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header+xml" PartName="/word/header4.xml"/>
  <Override ContentType="application/vnd.openxmlformats-officedocument.wordprocessingml.header+xml" PartName="/word/header5.xml"/>
  <Override ContentType="application/vnd.openxmlformats-officedocument.wordprocessingml.header+xml" PartName="/word/header6.xml"/>
  <Override ContentType="application/vnd.openxmlformats-officedocument.wordprocessingml.footer+xml" PartName="/word/footer4.xml"/>
  <Override ContentType="application/vnd.openxmlformats-officedocument.wordprocessingml.footer+xml" PartName="/word/footer5.xml"/>
  <Override ContentType="application/vnd.openxmlformats-officedocument.wordprocessingml.footer+xml" PartName="/word/footer6.xml"/>
  <Override ContentType="application/vnd.openxmlformats-officedocument.wordprocessingml.header+xml" PartName="/word/header7.xml"/>
  <Override ContentType="application/vnd.openxmlformats-officedocument.wordprocessingml.header+xml" PartName="/word/header8.xml"/>
  <Override ContentType="application/vnd.openxmlformats-officedocument.wordprocessingml.header+xml" PartName="/word/header9.xml"/>
  <Override ContentType="application/vnd.openxmlformats-officedocument.wordprocessingml.footer+xml" PartName="/word/footer7.xml"/>
  <Override ContentType="application/vnd.openxmlformats-officedocument.wordprocessingml.footer+xml" PartName="/word/footer8.xml"/>
  <Override ContentType="application/vnd.openxmlformats-officedocument.wordprocessingml.footer+xml" PartName="/word/footer9.xml"/>
  <Override ContentType="application/vnd.openxmlformats-officedocument.wordprocessingml.header+xml" PartName="/word/header10.xml"/>
  <Override ContentType="application/vnd.openxmlformats-officedocument.wordprocessingml.header+xml" PartName="/word/header11.xml"/>
  <Override ContentType="application/vnd.openxmlformats-officedocument.wordprocessingml.header+xml" PartName="/word/header12.xml"/>
  <Override ContentType="application/vnd.openxmlformats-officedocument.wordprocessingml.footer+xml" PartName="/word/footer10.xml"/>
  <Override ContentType="application/vnd.openxmlformats-officedocument.wordprocessingml.footer+xml" PartName="/word/footer11.xml"/>
  <Override ContentType="application/vnd.openxmlformats-officedocument.wordprocessingml.footer+xml" PartName="/word/footer12.xml"/>
  <Override ContentType="application/vnd.openxmlformats-officedocument.wordprocessingml.header+xml" PartName="/word/header13.xml"/>
  <Override ContentType="application/vnd.openxmlformats-officedocument.wordprocessingml.header+xml" PartName="/word/header14.xml"/>
  <Override ContentType="application/vnd.openxmlformats-officedocument.wordprocessingml.header+xml" PartName="/word/header15.xml"/>
  <Override ContentType="application/vnd.openxmlformats-officedocument.wordprocessingml.footer+xml" PartName="/word/footer13.xml"/>
  <Override ContentType="application/vnd.openxmlformats-officedocument.wordprocessingml.footer+xml" PartName="/word/footer14.xml"/>
  <Override ContentType="application/vnd.openxmlformats-officedocument.wordprocessingml.footer+xml" PartName="/word/footer15.xml"/>
  <Override ContentType="application/vnd.openxmlformats-officedocument.wordprocessingml.header+xml" PartName="/word/header16.xml"/>
  <Override ContentType="application/vnd.openxmlformats-officedocument.wordprocessingml.header+xml" PartName="/word/header17.xml"/>
  <Override ContentType="application/vnd.openxmlformats-officedocument.wordprocessingml.header+xml" PartName="/word/header18.xml"/>
  <Override ContentType="application/vnd.openxmlformats-officedocument.wordprocessingml.footer+xml" PartName="/word/footer16.xml"/>
  <Override ContentType="application/vnd.openxmlformats-officedocument.wordprocessingml.footer+xml" PartName="/word/footer17.xml"/>
  <Override ContentType="application/vnd.openxmlformats-officedocument.wordprocessingml.footer+xml" PartName="/word/footer18.xml"/>
  <Override ContentType="application/vnd.openxmlformats-officedocument.wordprocessingml.header+xml" PartName="/word/header19.xml"/>
  <Override ContentType="application/vnd.openxmlformats-officedocument.wordprocessingml.header+xml" PartName="/word/header20.xml"/>
  <Override ContentType="application/vnd.openxmlformats-officedocument.wordprocessingml.header+xml" PartName="/word/header21.xml"/>
  <Override ContentType="application/vnd.openxmlformats-officedocument.wordprocessingml.footer+xml" PartName="/word/footer19.xml"/>
  <Override ContentType="application/vnd.openxmlformats-officedocument.wordprocessingml.footer+xml" PartName="/word/footer20.xml"/>
  <Override ContentType="application/vnd.openxmlformats-officedocument.wordprocessingml.footer+xml" PartName="/word/footer21.xml"/>
  <Override ContentType="application/vnd.openxmlformats-officedocument.wordprocessingml.header+xml" PartName="/word/header22.xml"/>
  <Override ContentType="application/vnd.openxmlformats-officedocument.wordprocessingml.header+xml" PartName="/word/header23.xml"/>
  <Override ContentType="application/vnd.openxmlformats-officedocument.wordprocessingml.header+xml" PartName="/word/header24.xml"/>
  <Override ContentType="application/vnd.openxmlformats-officedocument.wordprocessingml.footer+xml" PartName="/word/footer22.xml"/>
  <Override ContentType="application/vnd.openxmlformats-officedocument.wordprocessingml.footer+xml" PartName="/word/footer23.xml"/>
  <Override ContentType="application/vnd.openxmlformats-officedocument.wordprocessingml.footer+xml" PartName="/word/footer24.xml"/>
  <Override ContentType="application/vnd.openxmlformats-officedocument.wordprocessingml.header+xml" PartName="/word/header25.xml"/>
  <Override ContentType="application/vnd.openxmlformats-officedocument.wordprocessingml.header+xml" PartName="/word/header26.xml"/>
  <Override ContentType="application/vnd.openxmlformats-officedocument.wordprocessingml.header+xml" PartName="/word/header27.xml"/>
  <Override ContentType="application/vnd.openxmlformats-officedocument.wordprocessingml.footer+xml" PartName="/word/footer25.xml"/>
  <Override ContentType="application/vnd.openxmlformats-officedocument.wordprocessingml.footer+xml" PartName="/word/footer26.xml"/>
  <Override ContentType="application/vnd.openxmlformats-officedocument.wordprocessingml.footer+xml" PartName="/word/footer27.xml"/>
  <Override ContentType="application/vnd.openxmlformats-officedocument.wordprocessingml.header+xml" PartName="/word/header28.xml"/>
  <Override ContentType="application/vnd.openxmlformats-officedocument.wordprocessingml.header+xml" PartName="/word/header29.xml"/>
  <Override ContentType="application/vnd.openxmlformats-officedocument.wordprocessingml.header+xml" PartName="/word/header30.xml"/>
  <Override ContentType="application/vnd.openxmlformats-officedocument.wordprocessingml.footer+xml" PartName="/word/footer28.xml"/>
  <Override ContentType="application/vnd.openxmlformats-officedocument.wordprocessingml.footer+xml" PartName="/word/footer29.xml"/>
  <Override ContentType="application/vnd.openxmlformats-officedocument.wordprocessingml.footer+xml" PartName="/word/footer30.xml"/>
  <Override ContentType="application/vnd.openxmlformats-officedocument.wordprocessingml.header+xml" PartName="/word/header31.xml"/>
  <Override ContentType="application/vnd.openxmlformats-officedocument.wordprocessingml.header+xml" PartName="/word/header32.xml"/>
  <Override ContentType="application/vnd.openxmlformats-officedocument.wordprocessingml.header+xml" PartName="/word/header33.xml"/>
  <Override ContentType="application/vnd.openxmlformats-officedocument.wordprocessingml.footer+xml" PartName="/word/footer31.xml"/>
  <Override ContentType="application/vnd.openxmlformats-officedocument.wordprocessingml.footer+xml" PartName="/word/footer32.xml"/>
  <Override ContentType="application/vnd.openxmlformats-officedocument.wordprocessingml.footer+xml" PartName="/word/footer33.xml"/>
  <Override ContentType="application/vnd.openxmlformats-officedocument.wordprocessingml.header+xml" PartName="/word/header34.xml"/>
  <Override ContentType="application/vnd.openxmlformats-officedocument.wordprocessingml.header+xml" PartName="/word/header35.xml"/>
  <Override ContentType="application/vnd.openxmlformats-officedocument.wordprocessingml.header+xml" PartName="/word/header36.xml"/>
  <Override ContentType="application/vnd.openxmlformats-officedocument.wordprocessingml.footer+xml" PartName="/word/footer34.xml"/>
  <Override ContentType="application/vnd.openxmlformats-officedocument.wordprocessingml.footer+xml" PartName="/word/footer35.xml"/>
  <Override ContentType="application/vnd.openxmlformats-officedocument.wordprocessingml.footer+xml" PartName="/word/footer36.xml"/>
  <Override ContentType="application/vnd.openxmlformats-officedocument.wordprocessingml.header+xml" PartName="/word/header37.xml"/>
  <Override ContentType="application/vnd.openxmlformats-officedocument.wordprocessingml.header+xml" PartName="/word/header38.xml"/>
  <Override ContentType="application/vnd.openxmlformats-officedocument.wordprocessingml.header+xml" PartName="/word/header39.xml"/>
  <Override ContentType="application/vnd.openxmlformats-officedocument.wordprocessingml.footer+xml" PartName="/word/footer37.xml"/>
  <Override ContentType="application/vnd.openxmlformats-officedocument.wordprocessingml.footer+xml" PartName="/word/footer38.xml"/>
  <Override ContentType="application/vnd.openxmlformats-officedocument.wordprocessingml.footer+xml" PartName="/word/footer39.xml"/>
  <Override ContentType="application/vnd.openxmlformats-officedocument.wordprocessingml.header+xml" PartName="/word/header40.xml"/>
  <Override ContentType="application/vnd.openxmlformats-officedocument.wordprocessingml.header+xml" PartName="/word/header41.xml"/>
  <Override ContentType="application/vnd.openxmlformats-officedocument.wordprocessingml.header+xml" PartName="/word/header42.xml"/>
  <Override ContentType="application/vnd.openxmlformats-officedocument.wordprocessingml.footer+xml" PartName="/word/footer40.xml"/>
  <Override ContentType="application/vnd.openxmlformats-officedocument.wordprocessingml.footer+xml" PartName="/word/footer41.xml"/>
  <Override ContentType="application/vnd.openxmlformats-officedocument.wordprocessingml.footer+xml" PartName="/word/footer42.xml"/>
  <Override ContentType="application/vnd.openxmlformats-officedocument.wordprocessingml.header+xml" PartName="/word/header43.xml"/>
  <Override ContentType="application/vnd.openxmlformats-officedocument.wordprocessingml.header+xml" PartName="/word/header44.xml"/>
  <Override ContentType="application/vnd.openxmlformats-officedocument.wordprocessingml.header+xml" PartName="/word/header45.xml"/>
  <Override ContentType="application/vnd.openxmlformats-officedocument.wordprocessingml.footer+xml" PartName="/word/footer43.xml"/>
  <Override ContentType="application/vnd.openxmlformats-officedocument.wordprocessingml.footer+xml" PartName="/word/footer44.xml"/>
  <Override ContentType="application/vnd.openxmlformats-officedocument.wordprocessingml.footer+xml" PartName="/word/footer45.xml"/>
  <Override ContentType="application/vnd.openxmlformats-officedocument.wordprocessingml.header+xml" PartName="/word/header46.xml"/>
  <Override ContentType="application/vnd.openxmlformats-officedocument.wordprocessingml.header+xml" PartName="/word/header47.xml"/>
  <Override ContentType="application/vnd.openxmlformats-officedocument.wordprocessingml.header+xml" PartName="/word/header48.xml"/>
  <Override ContentType="application/vnd.openxmlformats-officedocument.wordprocessingml.footer+xml" PartName="/word/footer46.xml"/>
  <Override ContentType="application/vnd.openxmlformats-officedocument.wordprocessingml.footer+xml" PartName="/word/footer47.xml"/>
  <Override ContentType="application/vnd.openxmlformats-officedocument.wordprocessingml.footer+xml" PartName="/word/footer48.xml"/>
  <Override ContentType="application/vnd.openxmlformats-officedocument.wordprocessingml.header+xml" PartName="/word/header49.xml"/>
  <Override ContentType="application/vnd.openxmlformats-officedocument.wordprocessingml.header+xml" PartName="/word/header50.xml"/>
  <Override ContentType="application/vnd.openxmlformats-officedocument.wordprocessingml.header+xml" PartName="/word/header51.xml"/>
  <Override ContentType="application/vnd.openxmlformats-officedocument.wordprocessingml.footer+xml" PartName="/word/footer49.xml"/>
  <Override ContentType="application/vnd.openxmlformats-officedocument.wordprocessingml.footer+xml" PartName="/word/footer50.xml"/>
  <Override ContentType="application/vnd.openxmlformats-officedocument.wordprocessingml.footer+xml" PartName="/word/footer51.xml"/>
  <Override ContentType="application/vnd.openxmlformats-officedocument.wordprocessingml.header+xml" PartName="/word/header52.xml"/>
  <Override ContentType="application/vnd.openxmlformats-officedocument.wordprocessingml.header+xml" PartName="/word/header53.xml"/>
  <Override ContentType="application/vnd.openxmlformats-officedocument.wordprocessingml.header+xml" PartName="/word/header54.xml"/>
  <Override ContentType="application/vnd.openxmlformats-officedocument.wordprocessingml.footer+xml" PartName="/word/footer52.xml"/>
  <Override ContentType="application/vnd.openxmlformats-officedocument.wordprocessingml.footer+xml" PartName="/word/footer53.xml"/>
  <Override ContentType="application/vnd.openxmlformats-officedocument.wordprocessingml.footer+xml" PartName="/word/footer54.xml"/>
  <Override ContentType="application/vnd.openxmlformats-officedocument.wordprocessingml.header+xml" PartName="/word/header55.xml"/>
  <Override ContentType="application/vnd.openxmlformats-officedocument.wordprocessingml.header+xml" PartName="/word/header56.xml"/>
  <Override ContentType="application/vnd.openxmlformats-officedocument.wordprocessingml.header+xml" PartName="/word/header57.xml"/>
  <Override ContentType="application/vnd.openxmlformats-officedocument.wordprocessingml.footer+xml" PartName="/word/footer55.xml"/>
  <Override ContentType="application/vnd.openxmlformats-officedocument.wordprocessingml.footer+xml" PartName="/word/footer56.xml"/>
  <Override ContentType="application/vnd.openxmlformats-officedocument.wordprocessingml.footer+xml" PartName="/word/footer57.xml"/>
  <Override ContentType="application/vnd.openxmlformats-officedocument.wordprocessingml.header+xml" PartName="/word/header58.xml"/>
  <Override ContentType="application/vnd.openxmlformats-officedocument.wordprocessingml.header+xml" PartName="/word/header59.xml"/>
  <Override ContentType="application/vnd.openxmlformats-officedocument.wordprocessingml.header+xml" PartName="/word/header60.xml"/>
  <Override ContentType="application/vnd.openxmlformats-officedocument.wordprocessingml.footer+xml" PartName="/word/footer58.xml"/>
  <Override ContentType="application/vnd.openxmlformats-officedocument.wordprocessingml.footer+xml" PartName="/word/footer59.xml"/>
  <Override ContentType="application/vnd.openxmlformats-officedocument.wordprocessingml.footer+xml" PartName="/word/footer60.xml"/>
  <Override ContentType="application/vnd.openxmlformats-officedocument.wordprocessingml.header+xml" PartName="/word/header61.xml"/>
  <Override ContentType="application/vnd.openxmlformats-officedocument.wordprocessingml.header+xml" PartName="/word/header62.xml"/>
  <Override ContentType="application/vnd.openxmlformats-officedocument.wordprocessingml.header+xml" PartName="/word/header63.xml"/>
  <Override ContentType="application/vnd.openxmlformats-officedocument.wordprocessingml.footer+xml" PartName="/word/footer61.xml"/>
  <Override ContentType="application/vnd.openxmlformats-officedocument.wordprocessingml.footer+xml" PartName="/word/footer62.xml"/>
  <Override ContentType="application/vnd.openxmlformats-officedocument.wordprocessingml.footer+xml" PartName="/word/footer63.xml"/>
  <Override ContentType="application/vnd.openxmlformats-officedocument.wordprocessingml.header+xml" PartName="/word/header64.xml"/>
  <Override ContentType="application/vnd.openxmlformats-officedocument.wordprocessingml.header+xml" PartName="/word/header65.xml"/>
  <Override ContentType="application/vnd.openxmlformats-officedocument.wordprocessingml.header+xml" PartName="/word/header66.xml"/>
  <Override ContentType="application/vnd.openxmlformats-officedocument.wordprocessingml.footer+xml" PartName="/word/footer64.xml"/>
  <Override ContentType="application/vnd.openxmlformats-officedocument.wordprocessingml.footer+xml" PartName="/word/footer65.xml"/>
  <Override ContentType="application/vnd.openxmlformats-officedocument.wordprocessingml.footer+xml" PartName="/word/footer66.xml"/>
  <Override ContentType="application/vnd.openxmlformats-officedocument.wordprocessingml.header+xml" PartName="/word/header67.xml"/>
  <Override ContentType="application/vnd.openxmlformats-officedocument.wordprocessingml.header+xml" PartName="/word/header68.xml"/>
  <Override ContentType="application/vnd.openxmlformats-officedocument.wordprocessingml.header+xml" PartName="/word/header69.xml"/>
  <Override ContentType="application/vnd.openxmlformats-officedocument.wordprocessingml.footer+xml" PartName="/word/footer67.xml"/>
  <Override ContentType="application/vnd.openxmlformats-officedocument.wordprocessingml.footer+xml" PartName="/word/footer68.xml"/>
  <Override ContentType="application/vnd.openxmlformats-officedocument.wordprocessingml.footer+xml" PartName="/word/footer69.xml"/>
  <Override ContentType="application/vnd.openxmlformats-officedocument.wordprocessingml.header+xml" PartName="/word/header70.xml"/>
  <Override ContentType="application/vnd.openxmlformats-officedocument.wordprocessingml.header+xml" PartName="/word/header71.xml"/>
  <Override ContentType="application/vnd.openxmlformats-officedocument.wordprocessingml.header+xml" PartName="/word/header72.xml"/>
  <Override ContentType="application/vnd.openxmlformats-officedocument.wordprocessingml.footer+xml" PartName="/word/footer70.xml"/>
  <Override ContentType="application/vnd.openxmlformats-officedocument.wordprocessingml.footer+xml" PartName="/word/footer71.xml"/>
  <Override ContentType="application/vnd.openxmlformats-officedocument.wordprocessingml.footer+xml" PartName="/word/footer72.xml"/>
  <Override ContentType="application/vnd.openxmlformats-officedocument.wordprocessingml.header+xml" PartName="/word/header73.xml"/>
  <Override ContentType="application/vnd.openxmlformats-officedocument.wordprocessingml.header+xml" PartName="/word/header74.xml"/>
  <Override ContentType="application/vnd.openxmlformats-officedocument.wordprocessingml.header+xml" PartName="/word/header75.xml"/>
  <Override ContentType="application/vnd.openxmlformats-officedocument.wordprocessingml.footer+xml" PartName="/word/footer73.xml"/>
  <Override ContentType="application/vnd.openxmlformats-officedocument.wordprocessingml.footer+xml" PartName="/word/footer74.xml"/>
  <Override ContentType="application/vnd.openxmlformats-officedocument.wordprocessingml.footer+xml" PartName="/word/footer75.xml"/>
  <Override ContentType="application/vnd.openxmlformats-officedocument.wordprocessingml.header+xml" PartName="/word/header76.xml"/>
  <Override ContentType="application/vnd.openxmlformats-officedocument.wordprocessingml.header+xml" PartName="/word/header77.xml"/>
  <Override ContentType="application/vnd.openxmlformats-officedocument.wordprocessingml.header+xml" PartName="/word/header78.xml"/>
  <Override ContentType="application/vnd.openxmlformats-officedocument.wordprocessingml.footer+xml" PartName="/word/footer76.xml"/>
  <Override ContentType="application/vnd.openxmlformats-officedocument.wordprocessingml.footer+xml" PartName="/word/footer77.xml"/>
  <Override ContentType="application/vnd.openxmlformats-officedocument.wordprocessingml.footer+xml" PartName="/word/footer78.xml"/>
  <Override ContentType="application/vnd.openxmlformats-officedocument.wordprocessingml.header+xml" PartName="/word/header79.xml"/>
  <Override ContentType="application/vnd.openxmlformats-officedocument.wordprocessingml.header+xml" PartName="/word/header80.xml"/>
  <Override ContentType="application/vnd.openxmlformats-officedocument.wordprocessingml.header+xml" PartName="/word/header81.xml"/>
  <Override ContentType="application/vnd.openxmlformats-officedocument.wordprocessingml.footer+xml" PartName="/word/footer79.xml"/>
  <Override ContentType="application/vnd.openxmlformats-officedocument.wordprocessingml.footer+xml" PartName="/word/footer80.xml"/>
  <Override ContentType="application/vnd.openxmlformats-officedocument.wordprocessingml.footer+xml" PartName="/word/footer81.xml"/>
  <Override ContentType="application/vnd.openxmlformats-officedocument.wordprocessingml.header+xml" PartName="/word/header82.xml"/>
  <Override ContentType="application/vnd.openxmlformats-officedocument.wordprocessingml.header+xml" PartName="/word/header83.xml"/>
  <Override ContentType="application/vnd.openxmlformats-officedocument.wordprocessingml.header+xml" PartName="/word/header84.xml"/>
  <Override ContentType="application/vnd.openxmlformats-officedocument.wordprocessingml.footer+xml" PartName="/word/footer82.xml"/>
  <Override ContentType="application/vnd.openxmlformats-officedocument.wordprocessingml.footer+xml" PartName="/word/footer83.xml"/>
  <Override ContentType="application/vnd.openxmlformats-officedocument.wordprocessingml.footer+xml" PartName="/word/footer84.xml"/>
  <Override ContentType="application/vnd.openxmlformats-officedocument.wordprocessingml.header+xml" PartName="/word/header85.xml"/>
  <Override ContentType="application/vnd.openxmlformats-officedocument.wordprocessingml.header+xml" PartName="/word/header86.xml"/>
  <Override ContentType="application/vnd.openxmlformats-officedocument.wordprocessingml.header+xml" PartName="/word/header87.xml"/>
  <Override ContentType="application/vnd.openxmlformats-officedocument.wordprocessingml.footer+xml" PartName="/word/footer85.xml"/>
  <Override ContentType="application/vnd.openxmlformats-officedocument.wordprocessingml.footer+xml" PartName="/word/footer86.xml"/>
  <Override ContentType="application/vnd.openxmlformats-officedocument.wordprocessingml.footer+xml" PartName="/word/footer87.xml"/>
  <Override ContentType="application/vnd.openxmlformats-officedocument.wordprocessingml.header+xml" PartName="/word/header88.xml"/>
  <Override ContentType="application/vnd.openxmlformats-officedocument.wordprocessingml.header+xml" PartName="/word/header89.xml"/>
  <Override ContentType="application/vnd.openxmlformats-officedocument.wordprocessingml.header+xml" PartName="/word/header90.xml"/>
  <Override ContentType="application/vnd.openxmlformats-officedocument.wordprocessingml.footer+xml" PartName="/word/footer88.xml"/>
  <Override ContentType="application/vnd.openxmlformats-officedocument.wordprocessingml.footer+xml" PartName="/word/footer89.xml"/>
  <Override ContentType="application/vnd.openxmlformats-officedocument.wordprocessingml.footer+xml" PartName="/word/footer90.xml"/>
  <Override ContentType="application/vnd.openxmlformats-officedocument.wordprocessingml.header+xml" PartName="/word/header91.xml"/>
  <Override ContentType="application/vnd.openxmlformats-officedocument.wordprocessingml.header+xml" PartName="/word/header92.xml"/>
  <Override ContentType="application/vnd.openxmlformats-officedocument.wordprocessingml.header+xml" PartName="/word/header93.xml"/>
  <Override ContentType="application/vnd.openxmlformats-officedocument.wordprocessingml.footer+xml" PartName="/word/footer91.xml"/>
  <Override ContentType="application/vnd.openxmlformats-officedocument.wordprocessingml.footer+xml" PartName="/word/footer92.xml"/>
  <Override ContentType="application/vnd.openxmlformats-officedocument.wordprocessingml.footer+xml" PartName="/word/footer93.xml"/>
  <Override ContentType="application/vnd.openxmlformats-officedocument.wordprocessingml.header+xml" PartName="/word/header94.xml"/>
  <Override ContentType="application/vnd.openxmlformats-officedocument.wordprocessingml.header+xml" PartName="/word/header95.xml"/>
  <Override ContentType="application/vnd.openxmlformats-officedocument.wordprocessingml.header+xml" PartName="/word/header96.xml"/>
  <Override ContentType="application/vnd.openxmlformats-officedocument.wordprocessingml.footer+xml" PartName="/word/footer94.xml"/>
  <Override ContentType="application/vnd.openxmlformats-officedocument.wordprocessingml.footer+xml" PartName="/word/footer95.xml"/>
  <Override ContentType="application/vnd.openxmlformats-officedocument.wordprocessingml.footer+xml" PartName="/word/footer96.xml"/>
  <Override ContentType="application/vnd.openxmlformats-officedocument.wordprocessingml.header+xml" PartName="/word/header97.xml"/>
  <Override ContentType="application/vnd.openxmlformats-officedocument.wordprocessingml.header+xml" PartName="/word/header98.xml"/>
  <Override ContentType="application/vnd.openxmlformats-officedocument.wordprocessingml.header+xml" PartName="/word/header99.xml"/>
  <Override ContentType="application/vnd.openxmlformats-officedocument.wordprocessingml.footer+xml" PartName="/word/footer97.xml"/>
  <Override ContentType="application/vnd.openxmlformats-officedocument.wordprocessingml.footer+xml" PartName="/word/footer98.xml"/>
  <Override ContentType="application/vnd.openxmlformats-officedocument.wordprocessingml.footer+xml" PartName="/word/footer99.xml"/>
  <Override ContentType="application/vnd.openxmlformats-officedocument.wordprocessingml.header+xml" PartName="/word/header100.xml"/>
  <Override ContentType="application/vnd.openxmlformats-officedocument.wordprocessingml.header+xml" PartName="/word/header101.xml"/>
  <Override ContentType="application/vnd.openxmlformats-officedocument.wordprocessingml.header+xml" PartName="/word/header102.xml"/>
  <Override ContentType="application/vnd.openxmlformats-officedocument.wordprocessingml.footer+xml" PartName="/word/footer100.xml"/>
  <Override ContentType="application/vnd.openxmlformats-officedocument.wordprocessingml.footer+xml" PartName="/word/footer101.xml"/>
  <Override ContentType="application/vnd.openxmlformats-officedocument.wordprocessingml.footer+xml" PartName="/word/footer102.xml"/>
  <Override ContentType="application/vnd.openxmlformats-officedocument.wordprocessingml.header+xml" PartName="/word/header103.xml"/>
  <Override ContentType="application/vnd.openxmlformats-officedocument.wordprocessingml.header+xml" PartName="/word/header104.xml"/>
  <Override ContentType="application/vnd.openxmlformats-officedocument.wordprocessingml.header+xml" PartName="/word/header105.xml"/>
  <Override ContentType="application/vnd.openxmlformats-officedocument.wordprocessingml.footer+xml" PartName="/word/footer103.xml"/>
  <Override ContentType="application/vnd.openxmlformats-officedocument.wordprocessingml.footer+xml" PartName="/word/footer104.xml"/>
  <Override ContentType="application/vnd.openxmlformats-officedocument.wordprocessingml.footer+xml" PartName="/word/footer105.xml"/>
  <Override ContentType="application/vnd.openxmlformats-officedocument.wordprocessingml.header+xml" PartName="/word/header106.xml"/>
  <Override ContentType="application/vnd.openxmlformats-officedocument.wordprocessingml.header+xml" PartName="/word/header107.xml"/>
  <Override ContentType="application/vnd.openxmlformats-officedocument.wordprocessingml.header+xml" PartName="/word/header108.xml"/>
  <Override ContentType="application/vnd.openxmlformats-officedocument.wordprocessingml.footer+xml" PartName="/word/footer106.xml"/>
  <Override ContentType="application/vnd.openxmlformats-officedocument.wordprocessingml.footer+xml" PartName="/word/footer107.xml"/>
  <Override ContentType="application/vnd.openxmlformats-officedocument.wordprocessingml.footer+xml" PartName="/word/footer108.xml"/>
  <Override ContentType="application/vnd.openxmlformats-officedocument.wordprocessingml.header+xml" PartName="/word/header109.xml"/>
  <Override ContentType="application/vnd.openxmlformats-officedocument.wordprocessingml.header+xml" PartName="/word/header110.xml"/>
  <Override ContentType="application/vnd.openxmlformats-officedocument.wordprocessingml.header+xml" PartName="/word/header111.xml"/>
  <Override ContentType="application/vnd.openxmlformats-officedocument.wordprocessingml.footer+xml" PartName="/word/footer109.xml"/>
  <Override ContentType="application/vnd.openxmlformats-officedocument.wordprocessingml.footer+xml" PartName="/word/footer110.xml"/>
  <Override ContentType="application/vnd.openxmlformats-officedocument.wordprocessingml.footer+xml" PartName="/word/footer111.xml"/>
  <Override ContentType="application/vnd.openxmlformats-officedocument.wordprocessingml.header+xml" PartName="/word/header112.xml"/>
  <Override ContentType="application/vnd.openxmlformats-officedocument.wordprocessingml.header+xml" PartName="/word/header113.xml"/>
  <Override ContentType="application/vnd.openxmlformats-officedocument.wordprocessingml.header+xml" PartName="/word/header114.xml"/>
  <Override ContentType="application/vnd.openxmlformats-officedocument.wordprocessingml.footer+xml" PartName="/word/footer112.xml"/>
  <Override ContentType="application/vnd.openxmlformats-officedocument.wordprocessingml.footer+xml" PartName="/word/footer113.xml"/>
  <Override ContentType="application/vnd.openxmlformats-officedocument.wordprocessingml.footer+xml" PartName="/word/footer114.xml"/>
  <Override ContentType="application/vnd.openxmlformats-officedocument.wordprocessingml.header+xml" PartName="/word/header115.xml"/>
  <Override ContentType="application/vnd.openxmlformats-officedocument.wordprocessingml.header+xml" PartName="/word/header116.xml"/>
  <Override ContentType="application/vnd.openxmlformats-officedocument.wordprocessingml.header+xml" PartName="/word/header117.xml"/>
  <Override ContentType="application/vnd.openxmlformats-officedocument.wordprocessingml.footer+xml" PartName="/word/footer115.xml"/>
  <Override ContentType="application/vnd.openxmlformats-officedocument.wordprocessingml.footer+xml" PartName="/word/footer116.xml"/>
  <Override ContentType="application/vnd.openxmlformats-officedocument.wordprocessingml.footer+xml" PartName="/word/footer117.xml"/>
  <Override ContentType="application/vnd.openxmlformats-officedocument.wordprocessingml.header+xml" PartName="/word/header118.xml"/>
  <Override ContentType="application/vnd.openxmlformats-officedocument.wordprocessingml.header+xml" PartName="/word/header119.xml"/>
  <Override ContentType="application/vnd.openxmlformats-officedocument.wordprocessingml.header+xml" PartName="/word/header120.xml"/>
  <Override ContentType="application/vnd.openxmlformats-officedocument.wordprocessingml.footer+xml" PartName="/word/footer118.xml"/>
  <Override ContentType="application/vnd.openxmlformats-officedocument.wordprocessingml.footer+xml" PartName="/word/footer119.xml"/>
  <Override ContentType="application/vnd.openxmlformats-officedocument.wordprocessingml.footer+xml" PartName="/word/footer120.xml"/>
  <Override ContentType="application/vnd.openxmlformats-officedocument.wordprocessingml.header+xml" PartName="/word/header121.xml"/>
  <Override ContentType="application/vnd.openxmlformats-officedocument.wordprocessingml.header+xml" PartName="/word/header122.xml"/>
  <Override ContentType="application/vnd.openxmlformats-officedocument.wordprocessingml.header+xml" PartName="/word/header123.xml"/>
  <Override ContentType="application/vnd.openxmlformats-officedocument.wordprocessingml.footer+xml" PartName="/word/footer121.xml"/>
  <Override ContentType="application/vnd.openxmlformats-officedocument.wordprocessingml.footer+xml" PartName="/word/footer122.xml"/>
  <Override ContentType="application/vnd.openxmlformats-officedocument.wordprocessingml.footer+xml" PartName="/word/footer123.xml"/>
  <Override ContentType="application/vnd.openxmlformats-officedocument.wordprocessingml.header+xml" PartName="/word/header124.xml"/>
  <Override ContentType="application/vnd.openxmlformats-officedocument.wordprocessingml.header+xml" PartName="/word/header125.xml"/>
  <Override ContentType="application/vnd.openxmlformats-officedocument.wordprocessingml.header+xml" PartName="/word/header126.xml"/>
  <Override ContentType="application/vnd.openxmlformats-officedocument.wordprocessingml.footer+xml" PartName="/word/footer124.xml"/>
  <Override ContentType="application/vnd.openxmlformats-officedocument.wordprocessingml.footer+xml" PartName="/word/footer125.xml"/>
  <Override ContentType="application/vnd.openxmlformats-officedocument.wordprocessingml.footer+xml" PartName="/word/footer126.xml"/>
  <Override ContentType="application/vnd.openxmlformats-officedocument.wordprocessingml.header+xml" PartName="/word/header127.xml"/>
  <Override ContentType="application/vnd.openxmlformats-officedocument.wordprocessingml.header+xml" PartName="/word/header128.xml"/>
  <Override ContentType="application/vnd.openxmlformats-officedocument.wordprocessingml.header+xml" PartName="/word/header129.xml"/>
  <Override ContentType="application/vnd.openxmlformats-officedocument.wordprocessingml.footer+xml" PartName="/word/footer127.xml"/>
  <Override ContentType="application/vnd.openxmlformats-officedocument.wordprocessingml.footer+xml" PartName="/word/footer128.xml"/>
  <Override ContentType="application/vnd.openxmlformats-officedocument.wordprocessingml.footer+xml" PartName="/word/footer129.xml"/>
  <Override ContentType="application/vnd.openxmlformats-officedocument.wordprocessingml.header+xml" PartName="/word/header130.xml"/>
  <Override ContentType="application/vnd.openxmlformats-officedocument.wordprocessingml.header+xml" PartName="/word/header131.xml"/>
  <Override ContentType="application/vnd.openxmlformats-officedocument.wordprocessingml.header+xml" PartName="/word/header132.xml"/>
  <Override ContentType="application/vnd.openxmlformats-officedocument.wordprocessingml.footer+xml" PartName="/word/footer130.xml"/>
  <Override ContentType="application/vnd.openxmlformats-officedocument.wordprocessingml.footer+xml" PartName="/word/footer131.xml"/>
  <Override ContentType="application/vnd.openxmlformats-officedocument.wordprocessingml.footer+xml" PartName="/word/footer132.xml"/>
  <Override ContentType="application/vnd.openxmlformats-officedocument.wordprocessingml.header+xml" PartName="/word/header133.xml"/>
  <Override ContentType="application/vnd.openxmlformats-officedocument.wordprocessingml.header+xml" PartName="/word/header134.xml"/>
  <Override ContentType="application/vnd.openxmlformats-officedocument.wordprocessingml.header+xml" PartName="/word/header135.xml"/>
  <Override ContentType="application/vnd.openxmlformats-officedocument.wordprocessingml.footer+xml" PartName="/word/footer133.xml"/>
  <Override ContentType="application/vnd.openxmlformats-officedocument.wordprocessingml.footer+xml" PartName="/word/footer134.xml"/>
  <Override ContentType="application/vnd.openxmlformats-officedocument.wordprocessingml.footer+xml" PartName="/word/footer135.xml"/>
  <Override ContentType="application/vnd.openxmlformats-officedocument.wordprocessingml.header+xml" PartName="/word/header136.xml"/>
  <Override ContentType="application/vnd.openxmlformats-officedocument.wordprocessingml.header+xml" PartName="/word/header137.xml"/>
  <Override ContentType="application/vnd.openxmlformats-officedocument.wordprocessingml.header+xml" PartName="/word/header138.xml"/>
  <Override ContentType="application/vnd.openxmlformats-officedocument.wordprocessingml.footer+xml" PartName="/word/footer136.xml"/>
  <Override ContentType="application/vnd.openxmlformats-officedocument.wordprocessingml.footer+xml" PartName="/word/footer137.xml"/>
  <Override ContentType="application/vnd.openxmlformats-officedocument.wordprocessingml.footer+xml" PartName="/word/footer138.xml"/>
  <Override ContentType="application/vnd.openxmlformats-officedocument.wordprocessingml.header+xml" PartName="/word/header139.xml"/>
  <Override ContentType="application/vnd.openxmlformats-officedocument.wordprocessingml.header+xml" PartName="/word/header140.xml"/>
  <Override ContentType="application/vnd.openxmlformats-officedocument.wordprocessingml.header+xml" PartName="/word/header141.xml"/>
  <Override ContentType="application/vnd.openxmlformats-officedocument.wordprocessingml.footer+xml" PartName="/word/footer139.xml"/>
  <Override ContentType="application/vnd.openxmlformats-officedocument.wordprocessingml.footer+xml" PartName="/word/footer140.xml"/>
  <Override ContentType="application/vnd.openxmlformats-officedocument.wordprocessingml.footer+xml" PartName="/word/footer141.xml"/>
  <Override ContentType="application/vnd.openxmlformats-officedocument.wordprocessingml.header+xml" PartName="/word/header142.xml"/>
  <Override ContentType="application/vnd.openxmlformats-officedocument.wordprocessingml.header+xml" PartName="/word/header143.xml"/>
  <Override ContentType="application/vnd.openxmlformats-officedocument.wordprocessingml.header+xml" PartName="/word/header144.xml"/>
  <Override ContentType="application/vnd.openxmlformats-officedocument.wordprocessingml.footer+xml" PartName="/word/footer142.xml"/>
  <Override ContentType="application/vnd.openxmlformats-officedocument.wordprocessingml.footer+xml" PartName="/word/footer143.xml"/>
  <Override ContentType="application/vnd.openxmlformats-officedocument.wordprocessingml.footer+xml" PartName="/word/footer144.xml"/>
  <Override ContentType="application/vnd.openxmlformats-officedocument.wordprocessingml.header+xml" PartName="/word/header145.xml"/>
  <Override ContentType="application/vnd.openxmlformats-officedocument.wordprocessingml.header+xml" PartName="/word/header146.xml"/>
  <Override ContentType="application/vnd.openxmlformats-officedocument.wordprocessingml.header+xml" PartName="/word/header147.xml"/>
  <Override ContentType="application/vnd.openxmlformats-officedocument.wordprocessingml.footer+xml" PartName="/word/footer145.xml"/>
  <Override ContentType="application/vnd.openxmlformats-officedocument.wordprocessingml.footer+xml" PartName="/word/footer146.xml"/>
  <Override ContentType="application/vnd.openxmlformats-officedocument.wordprocessingml.footer+xml" PartName="/word/footer147.xml"/>
  <Override ContentType="application/vnd.openxmlformats-officedocument.wordprocessingml.header+xml" PartName="/word/header148.xml"/>
  <Override ContentType="application/vnd.openxmlformats-officedocument.wordprocessingml.header+xml" PartName="/word/header149.xml"/>
  <Override ContentType="application/vnd.openxmlformats-officedocument.wordprocessingml.header+xml" PartName="/word/header150.xml"/>
  <Override ContentType="application/vnd.openxmlformats-officedocument.wordprocessingml.footer+xml" PartName="/word/footer148.xml"/>
  <Override ContentType="application/vnd.openxmlformats-officedocument.wordprocessingml.footer+xml" PartName="/word/footer149.xml"/>
  <Override ContentType="application/vnd.openxmlformats-officedocument.wordprocessingml.footer+xml" PartName="/word/footer150.xml"/>
  <Override ContentType="application/vnd.openxmlformats-officedocument.wordprocessingml.header+xml" PartName="/word/header151.xml"/>
  <Override ContentType="application/vnd.openxmlformats-officedocument.wordprocessingml.header+xml" PartName="/word/header152.xml"/>
  <Override ContentType="application/vnd.openxmlformats-officedocument.wordprocessingml.header+xml" PartName="/word/header153.xml"/>
  <Override ContentType="application/vnd.openxmlformats-officedocument.wordprocessingml.footer+xml" PartName="/word/footer151.xml"/>
  <Override ContentType="application/vnd.openxmlformats-officedocument.wordprocessingml.footer+xml" PartName="/word/footer152.xml"/>
  <Override ContentType="application/vnd.openxmlformats-officedocument.wordprocessingml.footer+xml" PartName="/word/footer153.xml"/>
  <Override ContentType="application/vnd.openxmlformats-officedocument.wordprocessingml.header+xml" PartName="/word/header154.xml"/>
  <Override ContentType="application/vnd.openxmlformats-officedocument.wordprocessingml.header+xml" PartName="/word/header155.xml"/>
  <Override ContentType="application/vnd.openxmlformats-officedocument.wordprocessingml.header+xml" PartName="/word/header156.xml"/>
  <Override ContentType="application/vnd.openxmlformats-officedocument.wordprocessingml.footer+xml" PartName="/word/footer154.xml"/>
  <Override ContentType="application/vnd.openxmlformats-officedocument.wordprocessingml.footer+xml" PartName="/word/footer155.xml"/>
  <Override ContentType="application/vnd.openxmlformats-officedocument.wordprocessingml.footer+xml" PartName="/word/footer156.xml"/>
  <Override ContentType="application/vnd.openxmlformats-officedocument.wordprocessingml.header+xml" PartName="/word/header157.xml"/>
  <Override ContentType="application/vnd.openxmlformats-officedocument.wordprocessingml.header+xml" PartName="/word/header158.xml"/>
  <Override ContentType="application/vnd.openxmlformats-officedocument.wordprocessingml.header+xml" PartName="/word/header159.xml"/>
  <Override ContentType="application/vnd.openxmlformats-officedocument.wordprocessingml.footer+xml" PartName="/word/footer157.xml"/>
  <Override ContentType="application/vnd.openxmlformats-officedocument.wordprocessingml.footer+xml" PartName="/word/footer158.xml"/>
  <Override ContentType="application/vnd.openxmlformats-officedocument.wordprocessingml.footer+xml" PartName="/word/footer159.xml"/>
  <Override ContentType="application/vnd.openxmlformats-officedocument.wordprocessingml.header+xml" PartName="/word/header160.xml"/>
  <Override ContentType="application/vnd.openxmlformats-officedocument.wordprocessingml.header+xml" PartName="/word/header161.xml"/>
  <Override ContentType="application/vnd.openxmlformats-officedocument.wordprocessingml.header+xml" PartName="/word/header162.xml"/>
  <Override ContentType="application/vnd.openxmlformats-officedocument.wordprocessingml.footer+xml" PartName="/word/footer160.xml"/>
  <Override ContentType="application/vnd.openxmlformats-officedocument.wordprocessingml.footer+xml" PartName="/word/footer161.xml"/>
  <Override ContentType="application/vnd.openxmlformats-officedocument.wordprocessingml.footer+xml" PartName="/word/footer162.xml"/>
  <Override ContentType="application/vnd.openxmlformats-officedocument.wordprocessingml.header+xml" PartName="/word/header163.xml"/>
  <Override ContentType="application/vnd.openxmlformats-officedocument.wordprocessingml.header+xml" PartName="/word/header164.xml"/>
  <Override ContentType="application/vnd.openxmlformats-officedocument.wordprocessingml.header+xml" PartName="/word/header165.xml"/>
  <Override ContentType="application/vnd.openxmlformats-officedocument.wordprocessingml.footer+xml" PartName="/word/footer163.xml"/>
  <Override ContentType="application/vnd.openxmlformats-officedocument.wordprocessingml.footer+xml" PartName="/word/footer164.xml"/>
  <Override ContentType="application/vnd.openxmlformats-officedocument.wordprocessingml.footer+xml" PartName="/word/footer165.xml"/>
  <Override ContentType="application/vnd.openxmlformats-officedocument.wordprocessingml.header+xml" PartName="/word/header166.xml"/>
  <Override ContentType="application/vnd.openxmlformats-officedocument.wordprocessingml.header+xml" PartName="/word/header167.xml"/>
  <Override ContentType="application/vnd.openxmlformats-officedocument.wordprocessingml.header+xml" PartName="/word/header168.xml"/>
  <Override ContentType="application/vnd.openxmlformats-officedocument.wordprocessingml.footer+xml" PartName="/word/footer166.xml"/>
  <Override ContentType="application/vnd.openxmlformats-officedocument.wordprocessingml.footer+xml" PartName="/word/footer167.xml"/>
  <Override ContentType="application/vnd.openxmlformats-officedocument.wordprocessingml.footer+xml" PartName="/word/footer168.xml"/>
  <Override ContentType="application/vnd.openxmlformats-officedocument.wordprocessingml.header+xml" PartName="/word/header169.xml"/>
  <Override ContentType="application/vnd.openxmlformats-officedocument.wordprocessingml.header+xml" PartName="/word/header170.xml"/>
  <Override ContentType="application/vnd.openxmlformats-officedocument.wordprocessingml.header+xml" PartName="/word/header171.xml"/>
  <Override ContentType="application/vnd.openxmlformats-officedocument.wordprocessingml.footer+xml" PartName="/word/footer169.xml"/>
  <Override ContentType="application/vnd.openxmlformats-officedocument.wordprocessingml.footer+xml" PartName="/word/footer170.xml"/>
  <Override ContentType="application/vnd.openxmlformats-officedocument.wordprocessingml.footer+xml" PartName="/word/footer171.xml"/>
  <Override ContentType="application/vnd.openxmlformats-officedocument.wordprocessingml.header+xml" PartName="/word/header172.xml"/>
  <Override ContentType="application/vnd.openxmlformats-officedocument.wordprocessingml.header+xml" PartName="/word/header173.xml"/>
  <Override ContentType="application/vnd.openxmlformats-officedocument.wordprocessingml.header+xml" PartName="/word/header174.xml"/>
  <Override ContentType="application/vnd.openxmlformats-officedocument.wordprocessingml.footer+xml" PartName="/word/footer172.xml"/>
  <Override ContentType="application/vnd.openxmlformats-officedocument.wordprocessingml.footer+xml" PartName="/word/footer173.xml"/>
  <Override ContentType="application/vnd.openxmlformats-officedocument.wordprocessingml.footer+xml" PartName="/word/footer174.xml"/>
  <Override ContentType="application/vnd.openxmlformats-officedocument.wordprocessingml.header+xml" PartName="/word/header175.xml"/>
  <Override ContentType="application/vnd.openxmlformats-officedocument.wordprocessingml.header+xml" PartName="/word/header176.xml"/>
  <Override ContentType="application/vnd.openxmlformats-officedocument.wordprocessingml.header+xml" PartName="/word/header177.xml"/>
  <Override ContentType="application/vnd.openxmlformats-officedocument.wordprocessingml.footer+xml" PartName="/word/footer175.xml"/>
  <Override ContentType="application/vnd.openxmlformats-officedocument.wordprocessingml.footer+xml" PartName="/word/footer176.xml"/>
  <Override ContentType="application/vnd.openxmlformats-officedocument.wordprocessingml.footer+xml" PartName="/word/footer177.xml"/>
  <Override ContentType="application/vnd.openxmlformats-officedocument.wordprocessingml.header+xml" PartName="/word/header178.xml"/>
  <Override ContentType="application/vnd.openxmlformats-officedocument.wordprocessingml.header+xml" PartName="/word/header179.xml"/>
  <Override ContentType="application/vnd.openxmlformats-officedocument.wordprocessingml.header+xml" PartName="/word/header180.xml"/>
  <Override ContentType="application/vnd.openxmlformats-officedocument.wordprocessingml.footer+xml" PartName="/word/footer178.xml"/>
  <Override ContentType="application/vnd.openxmlformats-officedocument.wordprocessingml.footer+xml" PartName="/word/footer179.xml"/>
  <Override ContentType="application/vnd.openxmlformats-officedocument.wordprocessingml.footer+xml" PartName="/word/footer180.xml"/>
  <Override ContentType="application/vnd.openxmlformats-officedocument.wordprocessingml.header+xml" PartName="/word/header181.xml"/>
  <Override ContentType="application/vnd.openxmlformats-officedocument.wordprocessingml.header+xml" PartName="/word/header182.xml"/>
  <Override ContentType="application/vnd.openxmlformats-officedocument.wordprocessingml.header+xml" PartName="/word/header183.xml"/>
  <Override ContentType="application/vnd.openxmlformats-officedocument.wordprocessingml.footer+xml" PartName="/word/footer181.xml"/>
  <Override ContentType="application/vnd.openxmlformats-officedocument.wordprocessingml.footer+xml" PartName="/word/footer182.xml"/>
  <Override ContentType="application/vnd.openxmlformats-officedocument.wordprocessingml.footer+xml" PartName="/word/footer183.xml"/>
  <Override ContentType="application/vnd.openxmlformats-officedocument.wordprocessingml.header+xml" PartName="/word/header184.xml"/>
  <Override ContentType="application/vnd.openxmlformats-officedocument.wordprocessingml.header+xml" PartName="/word/header185.xml"/>
  <Override ContentType="application/vnd.openxmlformats-officedocument.wordprocessingml.header+xml" PartName="/word/header186.xml"/>
  <Override ContentType="application/vnd.openxmlformats-officedocument.wordprocessingml.footer+xml" PartName="/word/footer184.xml"/>
  <Override ContentType="application/vnd.openxmlformats-officedocument.wordprocessingml.footer+xml" PartName="/word/footer185.xml"/>
  <Override ContentType="application/vnd.openxmlformats-officedocument.wordprocessingml.footer+xml" PartName="/word/footer186.xml"/>
  <Override ContentType="application/vnd.openxmlformats-officedocument.wordprocessingml.header+xml" PartName="/word/header187.xml"/>
  <Override ContentType="application/vnd.openxmlformats-officedocument.wordprocessingml.header+xml" PartName="/word/header188.xml"/>
  <Override ContentType="application/vnd.openxmlformats-officedocument.wordprocessingml.header+xml" PartName="/word/header189.xml"/>
  <Override ContentType="application/vnd.openxmlformats-officedocument.wordprocessingml.footer+xml" PartName="/word/footer187.xml"/>
  <Override ContentType="application/vnd.openxmlformats-officedocument.wordprocessingml.footer+xml" PartName="/word/footer188.xml"/>
  <Override ContentType="application/vnd.openxmlformats-officedocument.wordprocessingml.footer+xml" PartName="/word/footer189.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line="240"/>
        <w:sectPr>
          <w:headerReference w:type="default" r:id="rId6"/>
          <w:headerReference w:type="first" r:id="rId7"/>
          <w:headerReference w:type="even" r:id="rId8"/>
          <w:footerReference w:type="default" r:id="rId9"/>
          <w:footerReference w:type="first" r:id="rId10"/>
          <w:footerReference w:type="even" r:id="rId11"/>
          <w:pgSz w:w="12240" w:h="15840" w:orient="portrait"/>
          <w:pgMar w:top="720" w:right="720" w:bottom="720" w:left="720" w:header="0" w:footer="0" w:gutter="0"/>
          <w:pgNumType/>
          <w:titlePg/>
          <w:docGrid w:linePitch="360"/>
        </w:sectPr>
      </w:pPr>
      <w:r>
        <w:drawing>
          <wp:anchor distT="0" distB="0" distL="0" distR="0" simplePos="0" allowOverlap="1" behindDoc="1" locked="1" layoutInCell="1" relativeHeight="10058400">
            <wp:simplePos x="0" y="0"/>
            <wp:positionH relativeFrom="page">
              <wp:posOffset>0</wp:posOffset>
            </wp:positionH>
            <wp:positionV relativeFrom="page">
              <wp:posOffset>0</wp:posOffset>
            </wp:positionV>
            <wp:extent cx="7772400" cy="10058400"/>
            <wp:effectExtent t="0" r="0" b="0" l="0"/>
            <wp:wrapNone/>
            <wp:docPr id="1" name="portada" descr="Cubierta del libro de estudio del examen final de Teoría de Sistemas 1: título, unidades 1 a 4 y un diagrama de ciclos de refuerzo y balance." title="Porta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90" cstate="none"/>
                    <a:srcRect/>
                    <a:stretch>
                      <a:fillRect/>
                    </a:stretch>
                  </pic:blipFill>
                  <pic:spPr bwMode="auto">
                    <a:xfrm>
                      <a:off x="0" y="0"/>
                      <a:ext cx="7772400" cy="10058400"/>
                    </a:xfrm>
                    <a:prstGeom prst="rect">
                      <a:avLst/>
                    </a:prstGeom>
                  </pic:spPr>
                </pic:pic>
              </a:graphicData>
            </a:graphic>
          </wp:anchor>
        </w:drawing>
      </w:r>
    </w:p>
    <w:p>
      <w:pPr>
        <w:spacing w:after="0" w:before="1500"/>
      </w:pPr>
    </w:p>
    <w:p>
      <w:pPr>
        <w:pStyle w:val="SobreTitulo"/>
        <w:jc w:val="center"/>
      </w:pPr>
      <w:bookmarkStart w:name="b_portada_TEOR_A_DE_SISTEMAS_1" w:id="1"/>
      <w:r>
        <w:t xml:space="preserve">TEORÍA DE SISTEMAS 1</w:t>
      </w:r>
      <w:bookmarkEnd w:id="1"/>
    </w:p>
    <w:p>
      <w:pPr>
        <w:pStyle w:val="Portada"/>
        <w:jc w:val="center"/>
      </w:pPr>
      <w:bookmarkStart w:name="b_portada_Libro_de_estudio" w:id="2"/>
      <w:r>
        <w:t xml:space="preserve">Libro de estudio</w:t>
      </w:r>
      <w:bookmarkEnd w:id="2"/>
    </w:p>
    <w:p>
      <w:pPr>
        <w:pStyle w:val="Portada"/>
        <w:jc w:val="center"/>
      </w:pPr>
      <w:bookmarkStart w:name="b_portada_del_examen_final" w:id="3"/>
      <w:r>
        <w:t xml:space="preserve">del examen final</w:t>
      </w:r>
      <w:bookmarkEnd w:id="3"/>
    </w:p>
    <w:p>
      <w:pPr>
        <w:pStyle w:val="Subtitulo"/>
        <w:jc w:val="center"/>
      </w:pPr>
      <w:r>
        <w:t xml:space="preserve">Unidades 1 a 4 · Teoría, práctica, exámenes resueltos y simuladores</w:t>
      </w:r>
    </w:p>
    <w:p>
      <w:pPr>
        <w:spacing w:after="0" w:before="1500"/>
      </w:pPr>
    </w:p>
    <w:p>
      <w:pPr>
        <w:pStyle w:val="Normal"/>
        <w:jc w:val="center"/>
      </w:pPr>
      <w:r>
        <w:t xml:space="preserve">Curso 722 · Sección A · Facultad de Ingeniería · Universidad de San Carlos de Guatemala</w:t>
      </w:r>
    </w:p>
    <w:p>
      <w:pPr>
        <w:pStyle w:val="SobreTitulo"/>
        <w:jc w:val="center"/>
      </w:pPr>
      <w:bookmarkStart w:name="b_portada_Segundo_semestre_2026_5d30aa52" w:id="4"/>
      <w:r>
        <w:t xml:space="preserve">Segundo semestre 2026 · Edición del 27 de octubre de 2026</w:t>
      </w:r>
      <w:bookmarkEnd w:id="4"/>
    </w:p>
    <w:p>
      <w:pPr>
        <w:spacing w:after="0" w:before="1500"/>
      </w:pP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Un recorrido completo</w:t>
            </w:r>
          </w:p>
          <w:p>
            <w:pPr>
              <w:pStyle w:val="Recuadro"/>
            </w:pPr>
            <w:r>
              <w:t xml:space="preserve">33 temas · 3,085 puntos verificados · 354 páginas de presentaciones · 23 clases</w:t>
            </w:r>
          </w:p>
          <w:p>
            <w:pPr>
              <w:pStyle w:val="Recuadro"/>
            </w:pPr>
            <w:r>
              <w:t xml:space="preserve">463 autoevaluaciones y 696 preguntas únicas de exámenes y simuladores, más 25 ejercicios complementarios.</w:t>
            </w:r>
          </w:p>
        </w:tc>
      </w:tr>
    </w:tbl>
    <w:p>
      <w:pPr>
        <w:pStyle w:val="Normal"/>
        <w:jc w:val="center"/>
        <w:sectPr>
          <w:headerReference w:type="default" r:id="rId12"/>
          <w:headerReference w:type="first" r:id="rId13"/>
          <w:headerReference w:type="even" r:id="rId14"/>
          <w:footerReference w:type="default" r:id="rId15"/>
          <w:footerReference w:type="first" r:id="rId16"/>
          <w:footerReference w:type="even" r:id="rId17"/>
          <w:type w:val="nextPage"/>
          <w:pgSz w:w="12240" w:h="15840" w:orient="portrait"/>
          <w:pgMar w:top="1361" w:right="1134" w:bottom="1361" w:left="1474" w:header="650" w:footer="680" w:gutter="0"/>
          <w:pgNumType/>
          <w:titlePg/>
          <w:docGrid w:linePitch="360"/>
        </w:sectPr>
      </w:pPr>
      <w:r>
        <w:t xml:space="preserve">Preparación acumulativa a partir de las fuentes del curso y de la auditoría del portal académico TS1.</w:t>
      </w:r>
    </w:p>
    <w:p>
      <w:pPr>
        <w:pStyle w:val="Heading1"/>
      </w:pPr>
      <w:bookmarkStart w:name="b_creditos" w:id="5"/>
      <w:r>
        <w:t xml:space="preserve">Créditos y procedencia</w:t>
      </w:r>
      <w:bookmarkEnd w:id="5"/>
    </w:p>
    <w:p>
      <w:pPr>
        <w:pStyle w:val="Normal"/>
      </w:pPr>
      <w:r>
        <w:t xml:space="preserve">Este libro reúne el contenido del programa, las presentaciones y las clases de Teoría de Sistemas 1. La organización, las explicaciones de práctica y las resoluciones identificadas como editoriales proceden del portal académico. El documento es genérico y no incorpora datos personales del estudiante.</w:t>
      </w:r>
    </w:p>
    <w:p>
      <w:pPr>
        <w:pStyle w:val="Normal"/>
      </w:pPr>
      <w:r>
        <w:t xml:space="preserve">El alcance acumulativo comprende lo trabajado en los tres parciales. La fecha de Facultad y el formato oficial del examen final siguen por confirmar. Los tiempos, distribuciones y rúbricas de práctica no sustituyen disposiciones del curso.</w:t>
      </w:r>
    </w:p>
    <w:tbl>
      <w:tblPr>
        <w:tblW w:type="dxa" w:w="9632"/>
        <w:tblBorders>
          <w:top w:val="single" w:color="C5D5DB" w:sz="4"/>
          <w:left w:val="single" w:color="C5D5DB" w:sz="4"/>
          <w:bottom w:val="single" w:color="C5D5DB" w:sz="4"/>
          <w:right w:val="single" w:color="C5D5DB" w:sz="4"/>
          <w:insideH w:val="single" w:color="E4E9EB" w:sz="3"/>
          <w:insideV w:val="single" w:color="E4E9EB" w:sz="3"/>
        </w:tblBorders>
        <w:tblLayout w:type="fixed"/>
      </w:tblPr>
      <w:tblGrid>
        <w:gridCol w:w="4816"/>
        <w:gridCol w:w="4816"/>
      </w:tblGrid>
      <w:tr>
        <w:trPr>
          <w:cantSplit/>
          <w:tblHeader/>
        </w:trPr>
        <w:tc>
          <w:tcPr>
            <w:tcW w:type="dxa" w:w="4816"/>
            <w:shd w:fill="DFEAF0" w:val="clear"/>
            <w:tcMar>
              <w:top w:type="dxa" w:w="80"/>
              <w:left w:type="dxa" w:w="100"/>
              <w:bottom w:type="dxa" w:w="80"/>
              <w:right w:type="dxa" w:w="100"/>
            </w:tcMar>
          </w:tcPr>
          <w:p>
            <w:pPr>
              <w:pStyle w:val="Tabla"/>
            </w:pPr>
            <w:r>
              <w:rPr>
                <w:b/>
                <w:bCs/>
              </w:rPr>
              <w:t xml:space="preserve">Banda de procedencia</w:t>
            </w:r>
          </w:p>
        </w:tc>
        <w:tc>
          <w:tcPr>
            <w:tcW w:type="dxa" w:w="4816"/>
            <w:shd w:fill="DFEAF0" w:val="clear"/>
            <w:tcMar>
              <w:top w:type="dxa" w:w="80"/>
              <w:left w:type="dxa" w:w="100"/>
              <w:bottom w:type="dxa" w:w="80"/>
              <w:right w:type="dxa" w:w="100"/>
            </w:tcMar>
          </w:tcPr>
          <w:p>
            <w:pPr>
              <w:pStyle w:val="Tabla"/>
            </w:pPr>
            <w:r>
              <w:rPr>
                <w:b/>
                <w:bCs/>
              </w:rPr>
              <w:t xml:space="preserve">Cómo se reconoce</w:t>
            </w:r>
          </w:p>
        </w:tc>
      </w:tr>
      <w:tr>
        <w:trPr>
          <w:cantSplit/>
          <w:tblHeader w:val="off"/>
        </w:trPr>
        <w:tc>
          <w:tcPr>
            <w:tcW w:type="dxa" w:w="4816"/>
            <w:tcMar>
              <w:top w:type="dxa" w:w="80"/>
              <w:left w:type="dxa" w:w="100"/>
              <w:bottom w:type="dxa" w:w="80"/>
              <w:right w:type="dxa" w:w="100"/>
            </w:tcMar>
          </w:tcPr>
          <w:p>
            <w:pPr>
              <w:pStyle w:val="Tabla"/>
            </w:pPr>
            <w:r>
              <w:t xml:space="preserve">Programa y material del curso</w:t>
            </w:r>
          </w:p>
        </w:tc>
        <w:tc>
          <w:tcPr>
            <w:tcW w:type="dxa" w:w="4816"/>
            <w:tcMar>
              <w:top w:type="dxa" w:w="80"/>
              <w:left w:type="dxa" w:w="100"/>
              <w:bottom w:type="dxa" w:w="80"/>
              <w:right w:type="dxa" w:w="100"/>
            </w:tcMar>
          </w:tcPr>
          <w:p>
            <w:pPr>
              <w:pStyle w:val="Tabla"/>
            </w:pPr>
            <w:r>
              <w:t xml:space="preserve">P-1, C-1…C-8, L-x y T-x; página y versión expresas.</w:t>
            </w:r>
          </w:p>
        </w:tc>
      </w:tr>
      <w:tr>
        <w:trPr>
          <w:cantSplit/>
          <w:tblHeader w:val="off"/>
        </w:trPr>
        <w:tc>
          <w:tcPr>
            <w:tcW w:type="dxa" w:w="4816"/>
            <w:tcMar>
              <w:top w:type="dxa" w:w="80"/>
              <w:left w:type="dxa" w:w="100"/>
              <w:bottom w:type="dxa" w:w="80"/>
              <w:right w:type="dxa" w:w="100"/>
            </w:tcMar>
          </w:tcPr>
          <w:p>
            <w:pPr>
              <w:pStyle w:val="Tabla"/>
            </w:pPr>
            <w:r>
              <w:t xml:space="preserve">Clase grabada</w:t>
            </w:r>
          </w:p>
        </w:tc>
        <w:tc>
          <w:tcPr>
            <w:tcW w:type="dxa" w:w="4816"/>
            <w:tcMar>
              <w:top w:type="dxa" w:w="80"/>
              <w:left w:type="dxa" w:w="100"/>
              <w:bottom w:type="dxa" w:w="80"/>
              <w:right w:type="dxa" w:w="100"/>
            </w:tcMar>
          </w:tcPr>
          <w:p>
            <w:pPr>
              <w:pStyle w:val="Tabla"/>
            </w:pPr>
            <w:r>
              <w:t xml:space="preserve">Clase N · hh:mm:ss. Las citas literales se distinguen del resumen.</w:t>
            </w:r>
          </w:p>
        </w:tc>
      </w:tr>
      <w:tr>
        <w:trPr>
          <w:cantSplit/>
          <w:tblHeader w:val="off"/>
        </w:trPr>
        <w:tc>
          <w:tcPr>
            <w:tcW w:type="dxa" w:w="4816"/>
            <w:tcMar>
              <w:top w:type="dxa" w:w="80"/>
              <w:left w:type="dxa" w:w="100"/>
              <w:bottom w:type="dxa" w:w="80"/>
              <w:right w:type="dxa" w:w="100"/>
            </w:tcMar>
          </w:tcPr>
          <w:p>
            <w:pPr>
              <w:pStyle w:val="Tabla"/>
            </w:pPr>
            <w:r>
              <w:t xml:space="preserve">Clave oficial</w:t>
            </w:r>
          </w:p>
        </w:tc>
        <w:tc>
          <w:tcPr>
            <w:tcW w:type="dxa" w:w="4816"/>
            <w:tcMar>
              <w:top w:type="dxa" w:w="80"/>
              <w:left w:type="dxa" w:w="100"/>
              <w:bottom w:type="dxa" w:w="80"/>
              <w:right w:type="dxa" w:w="100"/>
            </w:tcMar>
          </w:tcPr>
          <w:p>
            <w:pPr>
              <w:pStyle w:val="Tabla"/>
            </w:pPr>
            <w:r>
              <w:t xml:space="preserve">Sólo retroalimentación o calificación publicada por la plataforma del curso.</w:t>
            </w:r>
          </w:p>
        </w:tc>
      </w:tr>
      <w:tr>
        <w:trPr>
          <w:cantSplit/>
          <w:tblHeader w:val="off"/>
        </w:trPr>
        <w:tc>
          <w:tcPr>
            <w:tcW w:type="dxa" w:w="4816"/>
            <w:tcMar>
              <w:top w:type="dxa" w:w="80"/>
              <w:left w:type="dxa" w:w="100"/>
              <w:bottom w:type="dxa" w:w="80"/>
              <w:right w:type="dxa" w:w="100"/>
            </w:tcMar>
          </w:tcPr>
          <w:p>
            <w:pPr>
              <w:pStyle w:val="Tabla"/>
            </w:pPr>
            <w:r>
              <w:t xml:space="preserve">Reconstrucción externa</w:t>
            </w:r>
          </w:p>
        </w:tc>
        <w:tc>
          <w:tcPr>
            <w:tcW w:type="dxa" w:w="4816"/>
            <w:tcMar>
              <w:top w:type="dxa" w:w="80"/>
              <w:left w:type="dxa" w:w="100"/>
              <w:bottom w:type="dxa" w:w="80"/>
              <w:right w:type="dxa" w:w="100"/>
            </w:tcMar>
          </w:tcPr>
          <w:p>
            <w:pPr>
              <w:pStyle w:val="Tabla"/>
            </w:pPr>
            <w:r>
              <w:t xml:space="preserve">Primer parcial y simulacro P1: enunciados y procedencia descritos antes del examen.</w:t>
            </w:r>
          </w:p>
        </w:tc>
      </w:tr>
      <w:tr>
        <w:trPr>
          <w:cantSplit/>
          <w:tblHeader w:val="off"/>
        </w:trPr>
        <w:tc>
          <w:tcPr>
            <w:tcW w:type="dxa" w:w="4816"/>
            <w:tcMar>
              <w:top w:type="dxa" w:w="80"/>
              <w:left w:type="dxa" w:w="100"/>
              <w:bottom w:type="dxa" w:w="80"/>
              <w:right w:type="dxa" w:w="100"/>
            </w:tcMar>
          </w:tcPr>
          <w:p>
            <w:pPr>
              <w:pStyle w:val="Tabla"/>
            </w:pPr>
            <w:r>
              <w:t xml:space="preserve">Resolución editorial</w:t>
            </w:r>
          </w:p>
        </w:tc>
        <w:tc>
          <w:tcPr>
            <w:tcW w:type="dxa" w:w="4816"/>
            <w:tcMar>
              <w:top w:type="dxa" w:w="80"/>
              <w:left w:type="dxa" w:w="100"/>
              <w:bottom w:type="dxa" w:w="80"/>
              <w:right w:type="dxa" w:w="100"/>
            </w:tcMar>
          </w:tcPr>
          <w:p>
            <w:pPr>
              <w:pStyle w:val="Tabla"/>
            </w:pPr>
            <w:r>
              <w:t xml:space="preserve">Razonamiento, variantes, casos, soluciones y rúbricas del portal; no se atribuyen al profesor.</w:t>
            </w:r>
          </w:p>
        </w:tc>
      </w:tr>
    </w:tbl>
    <w:p>
      <w:pPr>
        <w:pStyle w:val="Normal"/>
      </w:pPr>
      <w:r>
        <w:t xml:space="preserve">C-3 y C-4 conservan abril; C-7 y C-8 corresponden a octubre. Sus números de página no son intercambiables. Las erratas se corrigen junto a las figuras y la correspondencia completa está en los apéndices.</w:t>
      </w:r>
    </w:p>
    <w:p>
      <w:pPr>
        <w:pStyle w:val="Normal"/>
      </w:pPr>
      <w:r>
        <w:t xml:space="preserve">Los textos largos de hábitos se sintetizan; no se reproduce en bloque el contenido de Waters. Se conservan definiciones breves y citas verificadas cuando importa la formulación.</w:t>
      </w:r>
    </w:p>
    <w:p>
      <w:pPr>
        <w:pStyle w:val="Normal"/>
      </w:pPr>
      <w:r>
        <w:t xml:space="preserve">Cada opción de selección lleva su juicio en el solucionario. Cuando la fuente ofrece una explicación individual, se conserva; cuando sólo ofrece una justificación general, las opciones remiten al criterio común desarrollado después de la lista. No se atribuyen al profesor razones individuales que la fuente no proporciona.</w:t>
      </w:r>
    </w:p>
    <w:p>
      <w:pPr>
        <w:pStyle w:val="Fuente"/>
        <w:sectPr>
          <w:headerReference w:type="default" r:id="rId18"/>
          <w:headerReference w:type="first" r:id="rId19"/>
          <w:headerReference w:type="even" r:id="rId20"/>
          <w:footerReference w:type="default" r:id="rId21"/>
          <w:footerReference w:type="first" r:id="rId22"/>
          <w:footerReference w:type="even" r:id="rId23"/>
          <w:type w:val="nextPage"/>
          <w:pgSz w:w="12240" w:h="15840" w:orient="portrait"/>
          <w:pgMar w:top="1361" w:right="1134" w:bottom="1361" w:left="1474" w:header="650" w:footer="680" w:gutter="0"/>
          <w:pgNumType/>
          <w:titlePg/>
          <w:docGrid w:linePitch="360"/>
        </w:sectPr>
      </w:pPr>
      <w:r>
        <w:t xml:space="preserve">Tipografías: Source Serif 4 4.005R, Source Sans 3 3.052R y Source Code Pro, Adobe, SIL Open Font License 1.1. Archivos estáticos y licencias incluidos en el generador. </w:t>
      </w:r>
      <w:hyperlink w:history="1" r:id="rIdzgxfvwbqhvaeewoisabyd">
        <w:r>
          <w:rPr>
            <w:color w:val="156B70"/>
            <w:u w:val="single"/>
          </w:rPr>
          <w:t xml:space="preserve">https://github.com/adobe-fonts</w:t>
        </w:r>
      </w:hyperlink>
    </w:p>
    <w:p>
      <w:pPr>
        <w:pStyle w:val="Heading1"/>
      </w:pPr>
      <w:bookmarkStart w:name="b_como_usar" w:id="6"/>
      <w:r>
        <w:t xml:space="preserve">Cómo usar este libro</w:t>
      </w:r>
      <w:bookmarkEnd w:id="6"/>
    </w:p>
    <w:p>
      <w:pPr>
        <w:pStyle w:val="Normal"/>
        <w:numPr>
          <w:ilvl w:val="0"/>
          <w:numId w:val="2"/>
        </w:numPr>
      </w:pPr>
      <w:r>
        <w:t xml:space="preserve">Estudie por unidad y capítulo. La apertura delimita el concepto y las preguntas que debe poder responder.</w:t>
      </w:r>
    </w:p>
    <w:p>
      <w:pPr>
        <w:pStyle w:val="Normal"/>
        <w:numPr>
          <w:ilvl w:val="0"/>
          <w:numId w:val="2"/>
        </w:numPr>
      </w:pPr>
      <w:r>
        <w:t xml:space="preserve">Lea las figuras con su pie y fuente. El código C-x y la página fijan la versión; los diagramas de enunciado conservan las omisiones que exige la pregunta.</w:t>
      </w:r>
    </w:p>
    <w:p>
      <w:pPr>
        <w:pStyle w:val="Normal"/>
        <w:numPr>
          <w:ilvl w:val="0"/>
          <w:numId w:val="2"/>
        </w:numPr>
      </w:pPr>
      <w:r>
        <w:t xml:space="preserve">Explique los puntos de la presentación y la clase sin consultar. Las remisiones «véase» reúnen los asuntos que pertenecen a varios temas sin duplicar la afirmación verificada.</w:t>
      </w:r>
    </w:p>
    <w:p>
      <w:pPr>
        <w:pStyle w:val="Normal"/>
        <w:numPr>
          <w:ilvl w:val="0"/>
          <w:numId w:val="2"/>
        </w:numPr>
      </w:pPr>
      <w:r>
        <w:t xml:space="preserve">Resuelva las autoevaluaciones y los ejercicios antes de abrir el solucionario que cierra cada capítulo.</w:t>
      </w:r>
    </w:p>
    <w:p>
      <w:pPr>
        <w:pStyle w:val="Normal"/>
        <w:numPr>
          <w:ilvl w:val="0"/>
          <w:numId w:val="2"/>
        </w:numPr>
      </w:pPr>
      <w:r>
        <w:t xml:space="preserve">Trabaje los exámenes de la Parte V como ejemplos desarrollados. Reserve los bancos de la Parte VI para intentos sin respuestas a la vista.</w:t>
      </w:r>
    </w:p>
    <w:p>
      <w:pPr>
        <w:pStyle w:val="Normal"/>
        <w:numPr>
          <w:ilvl w:val="0"/>
          <w:numId w:val="2"/>
        </w:numPr>
      </w:pPr>
      <w:r>
        <w:t xml:space="preserve">Use las señales de examen en su contexto histórico. Una indicación de corto o reposición no fija por sí misma el alcance del final.</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Definición e idea clave</w:t>
            </w:r>
          </w:p>
          <w:p>
            <w:pPr>
              <w:pStyle w:val="Recuadro"/>
            </w:pPr>
            <w:r>
              <w:t xml:space="preserve">Los recuadros verdes destacan conceptos, relaciones y comprobaciones que conviene formular con precisión.</w:t>
            </w:r>
          </w:p>
        </w:tc>
      </w:tr>
    </w:tbl>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El profesor lo dijo así</w:t>
            </w:r>
          </w:p>
          <w:p>
            <w:pPr>
              <w:pStyle w:val="Recuadro"/>
            </w:pPr>
            <w:r>
              <w:t xml:space="preserve">Las citas breves conservan sus palabras y minuto. Los resúmenes de clase se presentan por separado.</w:t>
            </w:r>
          </w:p>
        </w:tc>
      </w:tr>
    </w:tbl>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9C620A" w:sz="20"/>
              <w:bottom w:val="nil"/>
              <w:right w:val="nil"/>
            </w:tcBorders>
            <w:shd w:fill="FBF3DF" w:val="clear"/>
            <w:tcMar>
              <w:top w:type="dxa" w:w="130"/>
              <w:left w:type="dxa" w:w="180"/>
              <w:bottom w:type="dxa" w:w="130"/>
              <w:right w:type="dxa" w:w="180"/>
            </w:tcMar>
          </w:tcPr>
          <w:p>
            <w:pPr>
              <w:pStyle w:val="RecuadroTitulo"/>
            </w:pPr>
            <w:r>
              <w:rPr>
                <w:b/>
                <w:bCs/>
                <w:color w:val="9C620A"/>
              </w:rPr>
              <w:t xml:space="preserve">Trampa de examen</w:t>
            </w:r>
          </w:p>
          <w:p>
            <w:pPr>
              <w:pStyle w:val="Recuadro"/>
            </w:pPr>
            <w:r>
              <w:t xml:space="preserve">Los recuadros ámbar muestran errores, condiciones omitidas y límites de una respuesta.</w:t>
            </w:r>
          </w:p>
        </w:tc>
      </w:tr>
    </w:tbl>
    <w:p>
      <w:pPr>
        <w:pStyle w:val="Normal"/>
        <w:sectPr>
          <w:headerReference w:type="default" r:id="rId24"/>
          <w:headerReference w:type="first" r:id="rId25"/>
          <w:headerReference w:type="even" r:id="rId26"/>
          <w:footerReference w:type="default" r:id="rId27"/>
          <w:footerReference w:type="first" r:id="rId28"/>
          <w:footerReference w:type="even" r:id="rId29"/>
          <w:type w:val="nextPage"/>
          <w:pgSz w:w="12240" w:h="15840" w:orient="portrait"/>
          <w:pgMar w:top="1361" w:right="1134" w:bottom="1361" w:left="1474" w:header="650" w:footer="680" w:gutter="0"/>
          <w:pgNumType/>
          <w:titlePg/>
          <w:docGrid w:linePitch="360"/>
        </w:sectPr>
      </w:pPr>
      <w:r>
        <w:t xml:space="preserve">El índice general, el índice de figuras y las remisiones tienen hipervínculos. Word puede pedir actualizar los campos al abrir. La paginación visible se calibra con la conversión de verificación; puede variar si el editor sustituye fuentes o cambia el tamaño del papel.</w:t>
      </w:r>
    </w:p>
    <w:p>
      <w:pPr>
        <w:pStyle w:val="Portada"/>
      </w:pPr>
      <w:bookmarkStart w:name="b_portada__ndice_general" w:id="7"/>
      <w:r>
        <w:t xml:space="preserve">Índice general</w:t>
      </w:r>
      <w:bookmarkEnd w:id="7"/>
    </w:p>
    <w:sdt>
      <w:sdtPr>
        <w:alias w:val="Índice general"/>
      </w:sdtPr>
      <w:sdtContent>
        <w:p>
          <w:pPr>
            <w:pStyle w:val="TOC1"/>
            <w:tabs>
              <w:tab w:val="clear" w:pos="9026"/>
              <w:tab w:val="right" w:pos="9025" w:leader="dot"/>
            </w:tabs>
          </w:pPr>
          <w:r>
            <w:fldChar w:fldCharType="begin"/>
            <w:instrText xml:space="preserve">TOC \h \o "1-2"</w:instrText>
            <w:fldChar w:fldCharType="separate"/>
          </w:r>
          <w:hyperlink w:history="1" w:anchor="b_creditos">
            <w:r>
              <w:rPr>
                <w:rStyle w:val="IndexLink"/>
              </w:rPr>
              <w:t xml:space="default">Créditos y procedencia</w:t>
              <w:tab/>
              <w:t xml:space="default">3</w:t>
            </w:r>
          </w:hyperlink>
        </w:p>
        <w:p>
          <w:pPr>
            <w:pStyle w:val="TOC1"/>
            <w:tabs>
              <w:tab w:val="clear" w:pos="9026"/>
              <w:tab w:val="right" w:pos="9025" w:leader="dot"/>
            </w:tabs>
          </w:pPr>
          <w:hyperlink w:history="1" w:anchor="b_como_usar">
            <w:r>
              <w:rPr>
                <w:rStyle w:val="IndexLink"/>
              </w:rPr>
              <w:t xml:space="default">Cómo usar este libro</w:t>
              <w:tab/>
              <w:t xml:space="default">4</w:t>
            </w:r>
          </w:hyperlink>
        </w:p>
        <w:p>
          <w:pPr>
            <w:pStyle w:val="TOC1"/>
            <w:tabs>
              <w:tab w:val="clear" w:pos="9026"/>
              <w:tab w:val="right" w:pos="9025" w:leader="dot"/>
            </w:tabs>
          </w:pPr>
          <w:hyperlink w:history="1" w:anchor="b_indice_figuras">
            <w:r>
              <w:rPr>
                <w:rStyle w:val="IndexLink"/>
              </w:rPr>
              <w:t xml:space="default">Índice de figuras</w:t>
              <w:tab/>
              <w:t xml:space="default">7</w:t>
            </w:r>
          </w:hyperlink>
        </w:p>
        <w:p>
          <w:pPr>
            <w:pStyle w:val="TOC1"/>
            <w:tabs>
              <w:tab w:val="clear" w:pos="9026"/>
              <w:tab w:val="right" w:pos="9025" w:leader="dot"/>
            </w:tabs>
          </w:pPr>
          <w:hyperlink w:history="1" w:anchor="b_unidad_1">
            <w:r>
              <w:rPr>
                <w:rStyle w:val="IndexLink"/>
              </w:rPr>
              <w:t xml:space="default">Parte I · Sistemas abstractos y paradigmas</w:t>
              <w:tab/>
              <w:t xml:space="default">17</w:t>
            </w:r>
          </w:hyperlink>
        </w:p>
        <w:p>
          <w:pPr>
            <w:pStyle w:val="TOC2"/>
            <w:tabs>
              <w:tab w:val="clear" w:pos="8786"/>
              <w:tab w:val="right" w:pos="9025" w:leader="dot"/>
            </w:tabs>
          </w:pPr>
          <w:hyperlink w:history="1" w:anchor="b_1_1">
            <w:r>
              <w:rPr>
                <w:rStyle w:val="IndexLink"/>
              </w:rPr>
              <w:t xml:space="default">1.1 · Paradigmas y modelos mentales</w:t>
              <w:tab/>
              <w:t xml:space="default">19</w:t>
            </w:r>
          </w:hyperlink>
        </w:p>
        <w:p>
          <w:pPr>
            <w:pStyle w:val="TOC2"/>
            <w:tabs>
              <w:tab w:val="clear" w:pos="8786"/>
              <w:tab w:val="right" w:pos="9025" w:leader="dot"/>
            </w:tabs>
          </w:pPr>
          <w:hyperlink w:history="1" w:anchor="b_1_2">
            <w:r>
              <w:rPr>
                <w:rStyle w:val="IndexLink"/>
              </w:rPr>
              <w:t xml:space="default">1.2 · Escalera de inferencias</w:t>
              <w:tab/>
              <w:t xml:space="default">55</w:t>
            </w:r>
          </w:hyperlink>
        </w:p>
        <w:p>
          <w:pPr>
            <w:pStyle w:val="TOC2"/>
            <w:tabs>
              <w:tab w:val="clear" w:pos="8786"/>
              <w:tab w:val="right" w:pos="9025" w:leader="dot"/>
            </w:tabs>
          </w:pPr>
          <w:hyperlink w:history="1" w:anchor="b_1_3">
            <w:r>
              <w:rPr>
                <w:rStyle w:val="IndexLink"/>
              </w:rPr>
              <w:t xml:space="default">1.3 · El paradigma de sistemas</w:t>
              <w:tab/>
              <w:t xml:space="default">83</w:t>
            </w:r>
          </w:hyperlink>
        </w:p>
        <w:p>
          <w:pPr>
            <w:pStyle w:val="TOC2"/>
            <w:tabs>
              <w:tab w:val="clear" w:pos="8786"/>
              <w:tab w:val="right" w:pos="9025" w:leader="dot"/>
            </w:tabs>
          </w:pPr>
          <w:hyperlink w:history="1" w:anchor="b_1_4">
            <w:r>
              <w:rPr>
                <w:rStyle w:val="IndexLink"/>
              </w:rPr>
              <w:t xml:space="default">1.4 · Sistémico vs no sistémico</w:t>
              <w:tab/>
              <w:t xml:space="default">104</w:t>
            </w:r>
          </w:hyperlink>
        </w:p>
        <w:p>
          <w:pPr>
            <w:pStyle w:val="TOC2"/>
            <w:tabs>
              <w:tab w:val="clear" w:pos="8786"/>
              <w:tab w:val="right" w:pos="9025" w:leader="dot"/>
            </w:tabs>
          </w:pPr>
          <w:hyperlink w:history="1" w:anchor="b_1_5">
            <w:r>
              <w:rPr>
                <w:rStyle w:val="IndexLink"/>
              </w:rPr>
              <w:t xml:space="default">1.5 · Perspectivas</w:t>
              <w:tab/>
              <w:t xml:space="default">125</w:t>
            </w:r>
          </w:hyperlink>
        </w:p>
        <w:p>
          <w:pPr>
            <w:pStyle w:val="TOC2"/>
            <w:tabs>
              <w:tab w:val="clear" w:pos="8786"/>
              <w:tab w:val="right" w:pos="9025" w:leader="dot"/>
            </w:tabs>
          </w:pPr>
          <w:hyperlink w:history="1" w:anchor="b_1_6">
            <w:r>
              <w:rPr>
                <w:rStyle w:val="IndexLink"/>
              </w:rPr>
              <w:t xml:space="default">1.6 · Operaciones DSRP</w:t>
              <w:tab/>
              <w:t xml:space="default">150</w:t>
            </w:r>
          </w:hyperlink>
        </w:p>
        <w:p>
          <w:pPr>
            <w:pStyle w:val="TOC2"/>
            <w:tabs>
              <w:tab w:val="clear" w:pos="8786"/>
              <w:tab w:val="right" w:pos="9025" w:leader="dot"/>
            </w:tabs>
          </w:pPr>
          <w:hyperlink w:history="1" w:anchor="b_1_7">
            <w:r>
              <w:rPr>
                <w:rStyle w:val="IndexLink"/>
              </w:rPr>
              <w:t xml:space="default">1.7 · Niveles — modelo del iceberg</w:t>
              <w:tab/>
              <w:t xml:space="default">175</w:t>
            </w:r>
          </w:hyperlink>
        </w:p>
        <w:p>
          <w:pPr>
            <w:pStyle w:val="TOC2"/>
            <w:tabs>
              <w:tab w:val="clear" w:pos="8786"/>
              <w:tab w:val="right" w:pos="9025" w:leader="dot"/>
            </w:tabs>
          </w:pPr>
          <w:hyperlink w:history="1" w:anchor="b_1_8">
            <w:r>
              <w:rPr>
                <w:rStyle w:val="IndexLink"/>
              </w:rPr>
              <w:t xml:space="default">1.8 · Hábitos del pensador</w:t>
              <w:tab/>
              <w:t xml:space="default">194</w:t>
            </w:r>
          </w:hyperlink>
        </w:p>
        <w:p>
          <w:pPr>
            <w:pStyle w:val="TOC1"/>
            <w:tabs>
              <w:tab w:val="clear" w:pos="9026"/>
              <w:tab w:val="right" w:pos="9025" w:leader="dot"/>
            </w:tabs>
          </w:pPr>
          <w:hyperlink w:history="1" w:anchor="b_unidad_2">
            <w:r>
              <w:rPr>
                <w:rStyle w:val="IndexLink"/>
              </w:rPr>
              <w:t xml:space="default">Parte II · Teoría de sistemas y pensamiento sistémico</w:t>
              <w:tab/>
              <w:t xml:space="default">220</w:t>
            </w:r>
          </w:hyperlink>
        </w:p>
        <w:p>
          <w:pPr>
            <w:pStyle w:val="TOC2"/>
            <w:tabs>
              <w:tab w:val="clear" w:pos="8786"/>
              <w:tab w:val="right" w:pos="9025" w:leader="dot"/>
            </w:tabs>
          </w:pPr>
          <w:hyperlink w:history="1" w:anchor="b_2_1">
            <w:r>
              <w:rPr>
                <w:rStyle w:val="IndexLink"/>
              </w:rPr>
              <w:t xml:space="default">2.1 · Visión general</w:t>
              <w:tab/>
              <w:t xml:space="default">222</w:t>
            </w:r>
          </w:hyperlink>
        </w:p>
        <w:p>
          <w:pPr>
            <w:pStyle w:val="TOC2"/>
            <w:tabs>
              <w:tab w:val="clear" w:pos="8786"/>
              <w:tab w:val="right" w:pos="9025" w:leader="dot"/>
            </w:tabs>
          </w:pPr>
          <w:hyperlink w:history="1" w:anchor="b_2_2">
            <w:r>
              <w:rPr>
                <w:rStyle w:val="IndexLink"/>
              </w:rPr>
              <w:t xml:space="default">2.2 · Conceptos de un sistema</w:t>
              <w:tab/>
              <w:t xml:space="default">242</w:t>
            </w:r>
          </w:hyperlink>
        </w:p>
        <w:p>
          <w:pPr>
            <w:pStyle w:val="TOC2"/>
            <w:tabs>
              <w:tab w:val="clear" w:pos="8786"/>
              <w:tab w:val="right" w:pos="9025" w:leader="dot"/>
            </w:tabs>
          </w:pPr>
          <w:hyperlink w:history="1" w:anchor="b_2_3">
            <w:r>
              <w:rPr>
                <w:rStyle w:val="IndexLink"/>
              </w:rPr>
              <w:t xml:space="default">2.3 · Estructura de los sistemas</w:t>
              <w:tab/>
              <w:t xml:space="default">259</w:t>
            </w:r>
          </w:hyperlink>
        </w:p>
        <w:p>
          <w:pPr>
            <w:pStyle w:val="TOC2"/>
            <w:tabs>
              <w:tab w:val="clear" w:pos="8786"/>
              <w:tab w:val="right" w:pos="9025" w:leader="dot"/>
            </w:tabs>
          </w:pPr>
          <w:hyperlink w:history="1" w:anchor="b_2_4">
            <w:r>
              <w:rPr>
                <w:rStyle w:val="IndexLink"/>
              </w:rPr>
              <w:t xml:space="default">2.4 · Sub y suprasistemas</w:t>
              <w:tab/>
              <w:t xml:space="default">277</w:t>
            </w:r>
          </w:hyperlink>
        </w:p>
        <w:p>
          <w:pPr>
            <w:pStyle w:val="TOC2"/>
            <w:tabs>
              <w:tab w:val="clear" w:pos="8786"/>
              <w:tab w:val="right" w:pos="9025" w:leader="dot"/>
            </w:tabs>
          </w:pPr>
          <w:hyperlink w:history="1" w:anchor="b_2_5">
            <w:r>
              <w:rPr>
                <w:rStyle w:val="IndexLink"/>
              </w:rPr>
              <w:t xml:space="default">2.5 · Sinergia y emergencia</w:t>
              <w:tab/>
              <w:t xml:space="default">292</w:t>
            </w:r>
          </w:hyperlink>
        </w:p>
        <w:p>
          <w:pPr>
            <w:pStyle w:val="TOC2"/>
            <w:tabs>
              <w:tab w:val="clear" w:pos="8786"/>
              <w:tab w:val="right" w:pos="9025" w:leader="dot"/>
            </w:tabs>
          </w:pPr>
          <w:hyperlink w:history="1" w:anchor="b_2_6">
            <w:r>
              <w:rPr>
                <w:rStyle w:val="IndexLink"/>
              </w:rPr>
              <w:t xml:space="default">2.6 · Complejidad sistémica</w:t>
              <w:tab/>
              <w:t xml:space="default">308</w:t>
            </w:r>
          </w:hyperlink>
        </w:p>
        <w:p>
          <w:pPr>
            <w:pStyle w:val="TOC2"/>
            <w:tabs>
              <w:tab w:val="clear" w:pos="8786"/>
              <w:tab w:val="right" w:pos="9025" w:leader="dot"/>
            </w:tabs>
          </w:pPr>
          <w:hyperlink w:history="1" w:anchor="b_2_7">
            <w:r>
              <w:rPr>
                <w:rStyle w:val="IndexLink"/>
              </w:rPr>
              <w:t xml:space="default">2.7 · El universo como sistemas</w:t>
              <w:tab/>
              <w:t xml:space="default">329</w:t>
            </w:r>
          </w:hyperlink>
        </w:p>
        <w:p>
          <w:pPr>
            <w:pStyle w:val="TOC2"/>
            <w:tabs>
              <w:tab w:val="clear" w:pos="8786"/>
              <w:tab w:val="right" w:pos="9025" w:leader="dot"/>
            </w:tabs>
          </w:pPr>
          <w:hyperlink w:history="1" w:anchor="b_2_8">
            <w:r>
              <w:rPr>
                <w:rStyle w:val="IndexLink"/>
              </w:rPr>
              <w:t xml:space="default">2.8 · Otros conceptos de la TGS</w:t>
              <w:tab/>
              <w:t xml:space="default">345</w:t>
            </w:r>
          </w:hyperlink>
        </w:p>
        <w:p>
          <w:pPr>
            <w:pStyle w:val="TOC2"/>
            <w:tabs>
              <w:tab w:val="clear" w:pos="8786"/>
              <w:tab w:val="right" w:pos="9025" w:leader="dot"/>
            </w:tabs>
          </w:pPr>
          <w:hyperlink w:history="1" w:anchor="b_2_9">
            <w:r>
              <w:rPr>
                <w:rStyle w:val="IndexLink"/>
              </w:rPr>
              <w:t xml:space="default">2.9 · Introducción a los hábitos</w:t>
              <w:tab/>
              <w:t xml:space="default">366</w:t>
            </w:r>
          </w:hyperlink>
        </w:p>
        <w:p>
          <w:pPr>
            <w:pStyle w:val="TOC1"/>
            <w:tabs>
              <w:tab w:val="clear" w:pos="9026"/>
              <w:tab w:val="right" w:pos="9025" w:leader="dot"/>
            </w:tabs>
          </w:pPr>
          <w:hyperlink w:history="1" w:anchor="b_unidad_3">
            <w:r>
              <w:rPr>
                <w:rStyle w:val="IndexLink"/>
              </w:rPr>
              <w:t xml:space="default">Parte III · Pensamiento sistémico complejo</w:t>
              <w:tab/>
              <w:t xml:space="default">377</w:t>
            </w:r>
          </w:hyperlink>
        </w:p>
        <w:p>
          <w:pPr>
            <w:pStyle w:val="TOC2"/>
            <w:tabs>
              <w:tab w:val="clear" w:pos="8786"/>
              <w:tab w:val="right" w:pos="9025" w:leader="dot"/>
            </w:tabs>
          </w:pPr>
          <w:hyperlink w:history="1" w:anchor="b_3_1">
            <w:r>
              <w:rPr>
                <w:rStyle w:val="IndexLink"/>
              </w:rPr>
              <w:t xml:space="default">3.1 · Mapas sistémicos</w:t>
              <w:tab/>
              <w:t xml:space="default">379</w:t>
            </w:r>
          </w:hyperlink>
        </w:p>
        <w:p>
          <w:pPr>
            <w:pStyle w:val="TOC2"/>
            <w:tabs>
              <w:tab w:val="clear" w:pos="8786"/>
              <w:tab w:val="right" w:pos="9025" w:leader="dot"/>
            </w:tabs>
          </w:pPr>
          <w:hyperlink w:history="1" w:anchor="b_3_2">
            <w:r>
              <w:rPr>
                <w:rStyle w:val="IndexLink"/>
              </w:rPr>
              <w:t xml:space="default">3.2 · Mapas DSRP generales</w:t>
              <w:tab/>
              <w:t xml:space="default">404</w:t>
            </w:r>
          </w:hyperlink>
        </w:p>
        <w:p>
          <w:pPr>
            <w:pStyle w:val="TOC2"/>
            <w:tabs>
              <w:tab w:val="clear" w:pos="8786"/>
              <w:tab w:val="right" w:pos="9025" w:leader="dot"/>
            </w:tabs>
          </w:pPr>
          <w:hyperlink w:history="1" w:anchor="b_3_3">
            <w:r>
              <w:rPr>
                <w:rStyle w:val="IndexLink"/>
              </w:rPr>
              <w:t xml:space="default">3.3 · Diagramas de ciclos causales</w:t>
              <w:tab/>
              <w:t xml:space="default">443</w:t>
            </w:r>
          </w:hyperlink>
        </w:p>
        <w:p>
          <w:pPr>
            <w:pStyle w:val="TOC2"/>
            <w:tabs>
              <w:tab w:val="clear" w:pos="8786"/>
              <w:tab w:val="right" w:pos="9025" w:leader="dot"/>
            </w:tabs>
          </w:pPr>
          <w:hyperlink w:history="1" w:anchor="b_3_4">
            <w:r>
              <w:rPr>
                <w:rStyle w:val="IndexLink"/>
              </w:rPr>
              <w:t xml:space="default">3.4 · Interdependencias sistémicas</w:t>
              <w:tab/>
              <w:t xml:space="default">476</w:t>
            </w:r>
          </w:hyperlink>
        </w:p>
        <w:p>
          <w:pPr>
            <w:pStyle w:val="TOC2"/>
            <w:tabs>
              <w:tab w:val="clear" w:pos="8786"/>
              <w:tab w:val="right" w:pos="9025" w:leader="dot"/>
            </w:tabs>
          </w:pPr>
          <w:hyperlink w:history="1" w:anchor="b_3_5">
            <w:r>
              <w:rPr>
                <w:rStyle w:val="IndexLink"/>
              </w:rPr>
              <w:t xml:space="default">3.5 · Refuerzo y compensación</w:t>
              <w:tab/>
              <w:t xml:space="default">501</w:t>
            </w:r>
          </w:hyperlink>
        </w:p>
        <w:p>
          <w:pPr>
            <w:pStyle w:val="TOC2"/>
            <w:tabs>
              <w:tab w:val="clear" w:pos="8786"/>
              <w:tab w:val="right" w:pos="9025" w:leader="dot"/>
            </w:tabs>
          </w:pPr>
          <w:hyperlink w:history="1" w:anchor="b_3_6">
            <w:r>
              <w:rPr>
                <w:rStyle w:val="IndexLink"/>
              </w:rPr>
              <w:t xml:space="default">3.6 · Modelación dinámica</w:t>
              <w:tab/>
              <w:t xml:space="default">537</w:t>
            </w:r>
          </w:hyperlink>
        </w:p>
        <w:p>
          <w:pPr>
            <w:pStyle w:val="TOC2"/>
            <w:tabs>
              <w:tab w:val="clear" w:pos="8786"/>
              <w:tab w:val="right" w:pos="9025" w:leader="dot"/>
            </w:tabs>
          </w:pPr>
          <w:hyperlink w:history="1" w:anchor="b_3_7">
            <w:r>
              <w:rPr>
                <w:rStyle w:val="IndexLink"/>
              </w:rPr>
              <w:t xml:space="default">3.7 · Demoras de tiempo</w:t>
              <w:tab/>
              <w:t xml:space="default">580</w:t>
            </w:r>
          </w:hyperlink>
        </w:p>
        <w:p>
          <w:pPr>
            <w:pStyle w:val="TOC2"/>
            <w:tabs>
              <w:tab w:val="clear" w:pos="8786"/>
              <w:tab w:val="right" w:pos="9025" w:leader="dot"/>
            </w:tabs>
          </w:pPr>
          <w:hyperlink w:history="1" w:anchor="b_3_8">
            <w:r>
              <w:rPr>
                <w:rStyle w:val="IndexLink"/>
              </w:rPr>
              <w:t xml:space="default">3.8 · Patrones y tendencias</w:t>
              <w:tab/>
              <w:t xml:space="default">597</w:t>
            </w:r>
          </w:hyperlink>
        </w:p>
        <w:p>
          <w:pPr>
            <w:pStyle w:val="TOC2"/>
            <w:tabs>
              <w:tab w:val="clear" w:pos="8786"/>
              <w:tab w:val="right" w:pos="9025" w:leader="dot"/>
            </w:tabs>
          </w:pPr>
          <w:hyperlink w:history="1" w:anchor="b_3_9">
            <w:r>
              <w:rPr>
                <w:rStyle w:val="IndexLink"/>
              </w:rPr>
              <w:t xml:space="default">3.9 · Hábitos (complejo)</w:t>
              <w:tab/>
              <w:t xml:space="default">622</w:t>
            </w:r>
          </w:hyperlink>
        </w:p>
        <w:p>
          <w:pPr>
            <w:pStyle w:val="TOC1"/>
            <w:tabs>
              <w:tab w:val="clear" w:pos="9026"/>
              <w:tab w:val="right" w:pos="9025" w:leader="dot"/>
            </w:tabs>
          </w:pPr>
          <w:hyperlink w:history="1" w:anchor="b_unidad_4">
            <w:r>
              <w:rPr>
                <w:rStyle w:val="IndexLink"/>
              </w:rPr>
              <w:t xml:space="default">Parte IV · Simulación dinámica y decisiones sistémicas</w:t>
              <w:tab/>
              <w:t xml:space="default">645</w:t>
            </w:r>
          </w:hyperlink>
        </w:p>
        <w:p>
          <w:pPr>
            <w:pStyle w:val="TOC2"/>
            <w:tabs>
              <w:tab w:val="clear" w:pos="8786"/>
              <w:tab w:val="right" w:pos="9025" w:leader="dot"/>
            </w:tabs>
          </w:pPr>
          <w:hyperlink w:history="1" w:anchor="b_4_1">
            <w:r>
              <w:rPr>
                <w:rStyle w:val="IndexLink"/>
              </w:rPr>
              <w:t xml:space="default">4.1 · Arquetipos sistémicos</w:t>
              <w:tab/>
              <w:t xml:space="default">646</w:t>
            </w:r>
          </w:hyperlink>
        </w:p>
        <w:p>
          <w:pPr>
            <w:pStyle w:val="TOC2"/>
            <w:tabs>
              <w:tab w:val="clear" w:pos="8786"/>
              <w:tab w:val="right" w:pos="9025" w:leader="dot"/>
            </w:tabs>
          </w:pPr>
          <w:hyperlink w:history="1" w:anchor="b_4_2">
            <w:r>
              <w:rPr>
                <w:rStyle w:val="IndexLink"/>
              </w:rPr>
              <w:t xml:space="default">4.2 · Flujos y niveles</w:t>
              <w:tab/>
              <w:t xml:space="default">709</w:t>
            </w:r>
          </w:hyperlink>
        </w:p>
        <w:p>
          <w:pPr>
            <w:pStyle w:val="TOC2"/>
            <w:tabs>
              <w:tab w:val="clear" w:pos="8786"/>
              <w:tab w:val="right" w:pos="9025" w:leader="dot"/>
            </w:tabs>
          </w:pPr>
          <w:hyperlink w:history="1" w:anchor="b_4_3">
            <w:r>
              <w:rPr>
                <w:rStyle w:val="IndexLink"/>
              </w:rPr>
              <w:t xml:space="default">4.3 · De ciclos causales a flujos</w:t>
              <w:tab/>
              <w:t xml:space="default">737</w:t>
            </w:r>
          </w:hyperlink>
        </w:p>
        <w:p>
          <w:pPr>
            <w:pStyle w:val="TOC2"/>
            <w:tabs>
              <w:tab w:val="clear" w:pos="8786"/>
              <w:tab w:val="right" w:pos="9025" w:leader="dot"/>
            </w:tabs>
          </w:pPr>
          <w:hyperlink w:history="1" w:anchor="b_4_4">
            <w:r>
              <w:rPr>
                <w:rStyle w:val="IndexLink"/>
              </w:rPr>
              <w:t xml:space="default">4.4 · Simulación con VENSIM</w:t>
              <w:tab/>
              <w:t xml:space="default">776</w:t>
            </w:r>
          </w:hyperlink>
        </w:p>
        <w:p>
          <w:pPr>
            <w:pStyle w:val="TOC2"/>
            <w:tabs>
              <w:tab w:val="clear" w:pos="8786"/>
              <w:tab w:val="right" w:pos="9025" w:leader="dot"/>
            </w:tabs>
          </w:pPr>
          <w:hyperlink w:history="1" w:anchor="b_4_5">
            <w:r>
              <w:rPr>
                <w:rStyle w:val="IndexLink"/>
              </w:rPr>
              <w:t xml:space="default">4.5 · Ejemplos en VENSIM</w:t>
              <w:tab/>
              <w:t xml:space="default">830</w:t>
            </w:r>
          </w:hyperlink>
        </w:p>
        <w:p>
          <w:pPr>
            <w:pStyle w:val="TOC2"/>
            <w:tabs>
              <w:tab w:val="clear" w:pos="8786"/>
              <w:tab w:val="right" w:pos="9025" w:leader="dot"/>
            </w:tabs>
          </w:pPr>
          <w:hyperlink w:history="1" w:anchor="b_4_6">
            <w:r>
              <w:rPr>
                <w:rStyle w:val="IndexLink"/>
              </w:rPr>
              <w:t xml:space="default">4.6 · Toma de decisiones</w:t>
              <w:tab/>
              <w:t xml:space="default">884</w:t>
            </w:r>
          </w:hyperlink>
        </w:p>
        <w:p>
          <w:pPr>
            <w:pStyle w:val="TOC2"/>
            <w:tabs>
              <w:tab w:val="clear" w:pos="8786"/>
              <w:tab w:val="right" w:pos="9025" w:leader="dot"/>
            </w:tabs>
          </w:pPr>
          <w:hyperlink w:history="1" w:anchor="b_4_7">
            <w:r>
              <w:rPr>
                <w:rStyle w:val="IndexLink"/>
              </w:rPr>
              <w:t xml:space="default">4.7 · Hábitos (simulación)</w:t>
              <w:tab/>
              <w:t xml:space="default">932</w:t>
            </w:r>
          </w:hyperlink>
        </w:p>
        <w:p>
          <w:pPr>
            <w:pStyle w:val="TOC1"/>
            <w:tabs>
              <w:tab w:val="clear" w:pos="9026"/>
              <w:tab w:val="right" w:pos="9025" w:leader="dot"/>
            </w:tabs>
          </w:pPr>
          <w:hyperlink w:history="1" w:anchor="b_examenes">
            <w:r>
              <w:rPr>
                <w:rStyle w:val="IndexLink"/>
              </w:rPr>
              <w:t xml:space="default">Parte V · Exámenes resueltos</w:t>
              <w:tab/>
              <w:t xml:space="default">976</w:t>
            </w:r>
          </w:hyperlink>
        </w:p>
        <w:p>
          <w:pPr>
            <w:pStyle w:val="TOC2"/>
            <w:tabs>
              <w:tab w:val="clear" w:pos="8786"/>
              <w:tab w:val="right" w:pos="9025" w:leader="dot"/>
            </w:tabs>
          </w:pPr>
          <w:hyperlink w:history="1" w:anchor="b_ex_p1">
            <w:r>
              <w:rPr>
                <w:rStyle w:val="IndexLink"/>
              </w:rPr>
              <w:t xml:space="default">Primer parcial reconstruido y resuelto</w:t>
              <w:tab/>
              <w:t xml:space="default">977</w:t>
            </w:r>
          </w:hyperlink>
        </w:p>
        <w:p>
          <w:pPr>
            <w:pStyle w:val="TOC2"/>
            <w:tabs>
              <w:tab w:val="clear" w:pos="8786"/>
              <w:tab w:val="right" w:pos="9025" w:leader="dot"/>
            </w:tabs>
          </w:pPr>
          <w:hyperlink w:history="1" w:anchor="b_ex_s1">
            <w:r>
              <w:rPr>
                <w:rStyle w:val="IndexLink"/>
              </w:rPr>
              <w:t xml:space="default">Simulacro del primer parcial</w:t>
              <w:tab/>
              <w:t xml:space="default">1012</w:t>
            </w:r>
          </w:hyperlink>
        </w:p>
        <w:p>
          <w:pPr>
            <w:pStyle w:val="TOC2"/>
            <w:tabs>
              <w:tab w:val="clear" w:pos="8786"/>
              <w:tab w:val="right" w:pos="9025" w:leader="dot"/>
            </w:tabs>
          </w:pPr>
          <w:hyperlink w:history="1" w:anchor="b_ex_p2">
            <w:r>
              <w:rPr>
                <w:rStyle w:val="IndexLink"/>
              </w:rPr>
              <w:t xml:space="default">Segundo parcial aplicado y complemento</w:t>
              <w:tab/>
              <w:t xml:space="default">1080</w:t>
            </w:r>
          </w:hyperlink>
        </w:p>
        <w:p>
          <w:pPr>
            <w:pStyle w:val="TOC2"/>
            <w:tabs>
              <w:tab w:val="clear" w:pos="8786"/>
              <w:tab w:val="right" w:pos="9025" w:leader="dot"/>
            </w:tabs>
          </w:pPr>
          <w:hyperlink w:history="1" w:anchor="b_ex_d2">
            <w:r>
              <w:rPr>
                <w:rStyle w:val="IndexLink"/>
              </w:rPr>
              <w:t xml:space="default">Desarrollo del segundo parcial</w:t>
              <w:tab/>
              <w:t xml:space="default">1141</w:t>
            </w:r>
          </w:hyperlink>
        </w:p>
        <w:p>
          <w:pPr>
            <w:pStyle w:val="TOC2"/>
            <w:tabs>
              <w:tab w:val="clear" w:pos="8786"/>
              <w:tab w:val="right" w:pos="9025" w:leader="dot"/>
            </w:tabs>
          </w:pPr>
          <w:hyperlink w:history="1" w:anchor="b_ex_e4">
            <w:r>
              <w:rPr>
                <w:rStyle w:val="IndexLink"/>
              </w:rPr>
              <w:t xml:space="default">Evaluación de la Unidad 4 y variantes</w:t>
              <w:tab/>
              <w:t xml:space="default">1194</w:t>
            </w:r>
          </w:hyperlink>
        </w:p>
        <w:p>
          <w:pPr>
            <w:pStyle w:val="TOC2"/>
            <w:tabs>
              <w:tab w:val="clear" w:pos="8786"/>
              <w:tab w:val="right" w:pos="9025" w:leader="dot"/>
            </w:tabs>
          </w:pPr>
          <w:hyperlink w:history="1" w:anchor="b_ex_d3">
            <w:r>
              <w:rPr>
                <w:rStyle w:val="IndexLink"/>
              </w:rPr>
              <w:t xml:space="default">Desarrollo del tercer parcial</w:t>
              <w:tab/>
              <w:t xml:space="default">1237</w:t>
            </w:r>
          </w:hyperlink>
        </w:p>
        <w:p>
          <w:pPr>
            <w:pStyle w:val="TOC2"/>
            <w:tabs>
              <w:tab w:val="clear" w:pos="8786"/>
              <w:tab w:val="right" w:pos="9025" w:leader="dot"/>
            </w:tabs>
          </w:pPr>
          <w:hyperlink w:history="1" w:anchor="b_ex_final">
            <w:r>
              <w:rPr>
                <w:rStyle w:val="IndexLink"/>
              </w:rPr>
              <w:t xml:space="default">Casos integradores del final</w:t>
              <w:tab/>
              <w:t xml:space="default">1253</w:t>
            </w:r>
          </w:hyperlink>
        </w:p>
        <w:p>
          <w:pPr>
            <w:pStyle w:val="TOC1"/>
            <w:tabs>
              <w:tab w:val="clear" w:pos="9026"/>
              <w:tab w:val="right" w:pos="9025" w:leader="dot"/>
            </w:tabs>
          </w:pPr>
          <w:hyperlink w:history="1" w:anchor="b_simuladores">
            <w:r>
              <w:rPr>
                <w:rStyle w:val="IndexLink"/>
              </w:rPr>
              <w:t xml:space="default">Parte VI · Simuladores y bancos completos</w:t>
              <w:tab/>
              <w:t xml:space="default">1267</w:t>
            </w:r>
          </w:hyperlink>
        </w:p>
        <w:p>
          <w:pPr>
            <w:pStyle w:val="TOC2"/>
            <w:tabs>
              <w:tab w:val="clear" w:pos="8786"/>
              <w:tab w:val="right" w:pos="9025" w:leader="dot"/>
            </w:tabs>
          </w:pPr>
          <w:hyperlink w:history="1" w:anchor="b_banco_p1">
            <w:r>
              <w:rPr>
                <w:rStyle w:val="IndexLink"/>
              </w:rPr>
              <w:t xml:space="default">Banco completo del primer parcial</w:t>
              <w:tab/>
              <w:t xml:space="default">1268</w:t>
            </w:r>
          </w:hyperlink>
        </w:p>
        <w:p>
          <w:pPr>
            <w:pStyle w:val="TOC2"/>
            <w:tabs>
              <w:tab w:val="clear" w:pos="8786"/>
              <w:tab w:val="right" w:pos="9025" w:leader="dot"/>
            </w:tabs>
          </w:pPr>
          <w:hyperlink w:history="1" w:anchor="b_banco_p2">
            <w:r>
              <w:rPr>
                <w:rStyle w:val="IndexLink"/>
              </w:rPr>
              <w:t xml:space="default">Banco completo del segundo parcial</w:t>
              <w:tab/>
              <w:t xml:space="default">1372</w:t>
            </w:r>
          </w:hyperlink>
        </w:p>
        <w:p>
          <w:pPr>
            <w:pStyle w:val="TOC2"/>
            <w:tabs>
              <w:tab w:val="clear" w:pos="8786"/>
              <w:tab w:val="right" w:pos="9025" w:leader="dot"/>
            </w:tabs>
          </w:pPr>
          <w:hyperlink w:history="1" w:anchor="b_banco_p3">
            <w:r>
              <w:rPr>
                <w:rStyle w:val="IndexLink"/>
              </w:rPr>
              <w:t xml:space="default">Banco completo del tercer parcial</w:t>
              <w:tab/>
              <w:t xml:space="default">1524</w:t>
            </w:r>
          </w:hyperlink>
        </w:p>
        <w:p>
          <w:pPr>
            <w:pStyle w:val="TOC1"/>
            <w:tabs>
              <w:tab w:val="clear" w:pos="9026"/>
              <w:tab w:val="right" w:pos="9025" w:leader="dot"/>
            </w:tabs>
          </w:pPr>
          <w:hyperlink w:history="1" w:anchor="b_apendices">
            <w:r>
              <w:rPr>
                <w:rStyle w:val="IndexLink"/>
              </w:rPr>
              <w:t xml:space="default">Apéndices</w:t>
              <w:tab/>
              <w:t xml:space="default">1662</w:t>
            </w:r>
          </w:hyperlink>
        </w:p>
        <w:p>
          <w:pPr>
            <w:pStyle w:val="TOC2"/>
            <w:tabs>
              <w:tab w:val="clear" w:pos="8786"/>
              <w:tab w:val="right" w:pos="9025" w:leader="dot"/>
            </w:tabs>
          </w:pPr>
          <w:hyperlink w:history="1" w:anchor="b_senales_examen">
            <w:r>
              <w:rPr>
                <w:rStyle w:val="IndexLink"/>
              </w:rPr>
              <w:t xml:space="default">A · Señales de examen</w:t>
              <w:tab/>
              <w:t xml:space="default">1663</w:t>
            </w:r>
          </w:hyperlink>
        </w:p>
        <w:p>
          <w:pPr>
            <w:pStyle w:val="TOC2"/>
            <w:tabs>
              <w:tab w:val="clear" w:pos="8786"/>
              <w:tab w:val="right" w:pos="9025" w:leader="dot"/>
            </w:tabs>
          </w:pPr>
          <w:hyperlink w:history="1" w:anchor="b_recetas">
            <w:r>
              <w:rPr>
                <w:rStyle w:val="IndexLink"/>
              </w:rPr>
              <w:t xml:space="default">B · Recetas reproducibles de Vensim</w:t>
              <w:tab/>
              <w:t xml:space="default">1676</w:t>
            </w:r>
          </w:hyperlink>
        </w:p>
        <w:p>
          <w:pPr>
            <w:pStyle w:val="TOC2"/>
            <w:tabs>
              <w:tab w:val="clear" w:pos="8786"/>
              <w:tab w:val="right" w:pos="9025" w:leader="dot"/>
            </w:tabs>
          </w:pPr>
          <w:hyperlink w:history="1" w:anchor="b_glosario">
            <w:r>
              <w:rPr>
                <w:rStyle w:val="IndexLink"/>
              </w:rPr>
              <w:t xml:space="default">C · Glosario de vocabulario clave</w:t>
              <w:tab/>
              <w:t xml:space="default">1682</w:t>
            </w:r>
          </w:hyperlink>
        </w:p>
        <w:p>
          <w:pPr>
            <w:pStyle w:val="TOC2"/>
            <w:tabs>
              <w:tab w:val="clear" w:pos="8786"/>
              <w:tab w:val="right" w:pos="9025" w:leader="dot"/>
            </w:tabs>
          </w:pPr>
          <w:hyperlink w:history="1" w:anchor="b_correspondencias">
            <w:r>
              <w:rPr>
                <w:rStyle w:val="IndexLink"/>
              </w:rPr>
              <w:t xml:space="default">D · Correspondencia de presentaciones</w:t>
              <w:tab/>
              <w:t xml:space="default">1709</w:t>
            </w:r>
          </w:hyperlink>
        </w:p>
        <w:p>
          <w:pPr>
            <w:pStyle w:val="TOC2"/>
            <w:tabs>
              <w:tab w:val="clear" w:pos="8786"/>
              <w:tab w:val="right" w:pos="9025" w:leader="dot"/>
            </w:tabs>
          </w:pPr>
          <w:hyperlink w:history="1" w:anchor="b_matriz">
            <w:r>
              <w:rPr>
                <w:rStyle w:val="IndexLink"/>
              </w:rPr>
              <w:t xml:space="default">E · Matriz de cobertura</w:t>
              <w:tab/>
              <w:t xml:space="default">1723</w:t>
            </w:r>
          </w:hyperlink>
        </w:p>
        <w:p>
          <w:pPr>
            <w:pStyle w:val="TOC2"/>
            <w:tabs>
              <w:tab w:val="clear" w:pos="8786"/>
              <w:tab w:val="right" w:pos="9025" w:leader="dot"/>
            </w:tabs>
          </w:pPr>
          <w:hyperlink w:history="1" w:anchor="b_bibliografia">
            <w:r>
              <w:rPr>
                <w:rStyle w:val="IndexLink"/>
              </w:rPr>
              <w:t xml:space="default">F · Bibliografía y materiales</w:t>
              <w:tab/>
              <w:t xml:space="default">1735</w:t>
            </w:r>
          </w:hyperlink>
        </w:p>
        <w:p>
          <w:pPr>
            <w:pStyle w:val="TOC2"/>
            <w:tabs>
              <w:tab w:val="clear" w:pos="8786"/>
              <w:tab w:val="right" w:pos="9025" w:leader="dot"/>
            </w:tabs>
          </w:pPr>
          <w:hyperlink w:history="1" w:anchor="b_avisos">
            <w:r>
              <w:rPr>
                <w:rStyle w:val="IndexLink"/>
              </w:rPr>
              <w:t xml:space="default">G · Avisos y logística no evaluables</w:t>
              <w:tab/>
              <w:t xml:space="default">1743</w:t>
            </w:r>
          </w:hyperlink>
          <w:r>
            <w:fldChar w:fldCharType="end"/>
          </w:r>
        </w:p>
      </w:sdtContent>
    </w:sdt>
    <w:p>
      <w:pPr>
        <w:sectPr>
          <w:headerReference w:type="default" r:id="rId30"/>
          <w:headerReference w:type="first" r:id="rId31"/>
          <w:headerReference w:type="even" r:id="rId32"/>
          <w:footerReference w:type="default" r:id="rId33"/>
          <w:footerReference w:type="first" r:id="rId34"/>
          <w:footerReference w:type="even" r:id="rId35"/>
          <w:type w:val="nextPage"/>
          <w:pgSz w:w="12240" w:h="15840" w:orient="portrait"/>
          <w:pgMar w:top="1361" w:right="1134" w:bottom="1361" w:left="1474" w:header="650" w:footer="680" w:gutter="0"/>
          <w:pgNumType/>
          <w:titlePg/>
          <w:docGrid w:linePitch="360"/>
        </w:sectPr>
      </w:pPr>
    </w:p>
    <w:p>
      <w:pPr>
        <w:pStyle w:val="Heading1"/>
      </w:pPr>
      <w:bookmarkStart w:name="b_indice_figuras" w:id="7011"/>
      <w:r>
        <w:t xml:space="preserve">Índice de figuras</w:t>
      </w:r>
      <w:bookmarkEnd w:id="7011"/>
    </w:p>
    <w:sdt>
      <w:sdtPr>
        <w:alias w:val="Índice de figuras"/>
      </w:sdtPr>
      <w:sdtContent>
        <w:p>
          <w:pPr>
            <w:pStyle w:val="TOC1"/>
            <w:tabs>
              <w:tab w:val="clear" w:pos="9026"/>
              <w:tab w:val="right" w:pos="9025" w:leader="dot"/>
            </w:tabs>
          </w:pPr>
          <w:r>
            <w:fldChar w:fldCharType="begin"/>
            <w:instrText xml:space="preserve">TOC \c "Figura" \h</w:instrText>
            <w:fldChar w:fldCharType="separate"/>
          </w:r>
          <w:hyperlink w:history="1" w:anchor="b_fig_1_1_1">
            <w:r>
              <w:rPr>
                <w:rStyle w:val="IndexLink"/>
              </w:rPr>
              <w:t xml:space="default">Figura 1.1.1 · ¿Qué son los paradigmas?</w:t>
              <w:tab/>
              <w:t xml:space="default">26</w:t>
            </w:r>
          </w:hyperlink>
        </w:p>
        <w:p>
          <w:pPr>
            <w:pStyle w:val="TOC1"/>
            <w:tabs>
              <w:tab w:val="clear" w:pos="9026"/>
              <w:tab w:val="right" w:pos="9025" w:leader="dot"/>
            </w:tabs>
          </w:pPr>
          <w:hyperlink w:history="1" w:anchor="b_fig_1_1_2">
            <w:r>
              <w:rPr>
                <w:rStyle w:val="IndexLink"/>
              </w:rPr>
              <w:t xml:space="default">Figura 1.1.2 · Paradigmas = modelos mentales = sistemas abstractos diseñados</w:t>
              <w:tab/>
              <w:t xml:space="default">30</w:t>
            </w:r>
          </w:hyperlink>
        </w:p>
        <w:p>
          <w:pPr>
            <w:pStyle w:val="TOC1"/>
            <w:tabs>
              <w:tab w:val="clear" w:pos="9026"/>
              <w:tab w:val="right" w:pos="9025" w:leader="dot"/>
            </w:tabs>
          </w:pPr>
          <w:hyperlink w:history="1" w:anchor="b_fig_1_2_1">
            <w:r>
              <w:rPr>
                <w:rStyle w:val="IndexLink"/>
              </w:rPr>
              <w:t xml:space="default">Figura 1.2.1 · Experimentando las operaciones mentales abstractas</w:t>
              <w:tab/>
              <w:t xml:space="default">62</w:t>
            </w:r>
          </w:hyperlink>
        </w:p>
        <w:p>
          <w:pPr>
            <w:pStyle w:val="TOC1"/>
            <w:tabs>
              <w:tab w:val="clear" w:pos="9026"/>
              <w:tab w:val="right" w:pos="9025" w:leader="dot"/>
            </w:tabs>
          </w:pPr>
          <w:hyperlink w:history="1" w:anchor="b_fig_1_2_2">
            <w:r>
              <w:rPr>
                <w:rStyle w:val="IndexLink"/>
              </w:rPr>
              <w:t xml:space="default">Figura 1.2.2 · La escalera de inferencias</w:t>
              <w:tab/>
              <w:t xml:space="default">63</w:t>
            </w:r>
          </w:hyperlink>
        </w:p>
        <w:p>
          <w:pPr>
            <w:pStyle w:val="TOC1"/>
            <w:tabs>
              <w:tab w:val="clear" w:pos="9026"/>
              <w:tab w:val="right" w:pos="9025" w:leader="dot"/>
            </w:tabs>
          </w:pPr>
          <w:hyperlink w:history="1" w:anchor="b_fig_1_2_3">
            <w:r>
              <w:rPr>
                <w:rStyle w:val="IndexLink"/>
              </w:rPr>
              <w:t xml:space="default">Figura 1.2.3 · La columna de la mano izquierda</w:t>
              <w:tab/>
              <w:t xml:space="default">66</w:t>
            </w:r>
          </w:hyperlink>
        </w:p>
        <w:p>
          <w:pPr>
            <w:pStyle w:val="TOC1"/>
            <w:tabs>
              <w:tab w:val="clear" w:pos="9026"/>
              <w:tab w:val="right" w:pos="9025" w:leader="dot"/>
            </w:tabs>
          </w:pPr>
          <w:hyperlink w:history="1" w:anchor="b_fig_1_2_4">
            <w:r>
              <w:rPr>
                <w:rStyle w:val="IndexLink"/>
              </w:rPr>
              <w:t xml:space="default">Figura 1.2.4 · Investigando suposiciones</w:t>
              <w:tab/>
              <w:t xml:space="default">67</w:t>
            </w:r>
          </w:hyperlink>
        </w:p>
        <w:p>
          <w:pPr>
            <w:pStyle w:val="TOC1"/>
            <w:tabs>
              <w:tab w:val="clear" w:pos="9026"/>
              <w:tab w:val="right" w:pos="9025" w:leader="dot"/>
            </w:tabs>
          </w:pPr>
          <w:hyperlink w:history="1" w:anchor="b_fig_1_2_5">
            <w:r>
              <w:rPr>
                <w:rStyle w:val="IndexLink"/>
              </w:rPr>
              <w:t xml:space="default">Figura 1.2.5 · Hipótesis y prácticas de la escalera</w:t>
              <w:tab/>
              <w:t xml:space="default">68</w:t>
            </w:r>
          </w:hyperlink>
        </w:p>
        <w:p>
          <w:pPr>
            <w:pStyle w:val="TOC1"/>
            <w:tabs>
              <w:tab w:val="clear" w:pos="9026"/>
              <w:tab w:val="right" w:pos="9025" w:leader="dot"/>
            </w:tabs>
          </w:pPr>
          <w:hyperlink w:history="1" w:anchor="b_fig_1_3_1">
            <w:r>
              <w:rPr>
                <w:rStyle w:val="IndexLink"/>
              </w:rPr>
              <w:t xml:space="default">Figura 1.3.1 · El paradigma de sistemas</w:t>
              <w:tab/>
              <w:t xml:space="default">87</w:t>
            </w:r>
          </w:hyperlink>
        </w:p>
        <w:p>
          <w:pPr>
            <w:pStyle w:val="TOC1"/>
            <w:tabs>
              <w:tab w:val="clear" w:pos="9026"/>
              <w:tab w:val="right" w:pos="9025" w:leader="dot"/>
            </w:tabs>
          </w:pPr>
          <w:hyperlink w:history="1" w:anchor="b_fig_1_3_2">
            <w:r>
              <w:rPr>
                <w:rStyle w:val="IndexLink"/>
              </w:rPr>
              <w:t xml:space="default">Figura 1.3.2 · Pensamiento sistémico para resolver problemas complejos</w:t>
              <w:tab/>
              <w:t xml:space="default">88</w:t>
            </w:r>
          </w:hyperlink>
        </w:p>
        <w:p>
          <w:pPr>
            <w:pStyle w:val="TOC1"/>
            <w:tabs>
              <w:tab w:val="clear" w:pos="9026"/>
              <w:tab w:val="right" w:pos="9025" w:leader="dot"/>
            </w:tabs>
          </w:pPr>
          <w:hyperlink w:history="1" w:anchor="b_fig_1_3_3">
            <w:r>
              <w:rPr>
                <w:rStyle w:val="IndexLink"/>
              </w:rPr>
              <w:t xml:space="default">Figura 1.3.3 · Premisa del pensamiento sistémico</w:t>
              <w:tab/>
              <w:t xml:space="default">90</w:t>
            </w:r>
          </w:hyperlink>
        </w:p>
        <w:p>
          <w:pPr>
            <w:pStyle w:val="TOC1"/>
            <w:tabs>
              <w:tab w:val="clear" w:pos="9026"/>
              <w:tab w:val="right" w:pos="9025" w:leader="dot"/>
            </w:tabs>
          </w:pPr>
          <w:hyperlink w:history="1" w:anchor="b_fig_1_4_1">
            <w:r>
              <w:rPr>
                <w:rStyle w:val="IndexLink"/>
              </w:rPr>
              <w:t xml:space="default">Figura 1.4.1 · Tipos de pensamiento</w:t>
              <w:tab/>
              <w:t xml:space="default">108</w:t>
            </w:r>
          </w:hyperlink>
        </w:p>
        <w:p>
          <w:pPr>
            <w:pStyle w:val="TOC1"/>
            <w:tabs>
              <w:tab w:val="clear" w:pos="9026"/>
              <w:tab w:val="right" w:pos="9025" w:leader="dot"/>
            </w:tabs>
          </w:pPr>
          <w:hyperlink w:history="1" w:anchor="b_fig_1_4_2">
            <w:r>
              <w:rPr>
                <w:rStyle w:val="IndexLink"/>
              </w:rPr>
              <w:t xml:space="default">Figura 1.4.2 · Tipos y entradas de modelos mentales</w:t>
              <w:tab/>
              <w:t xml:space="default">110</w:t>
            </w:r>
          </w:hyperlink>
        </w:p>
        <w:p>
          <w:pPr>
            <w:pStyle w:val="TOC1"/>
            <w:tabs>
              <w:tab w:val="clear" w:pos="9026"/>
              <w:tab w:val="right" w:pos="9025" w:leader="dot"/>
            </w:tabs>
          </w:pPr>
          <w:hyperlink w:history="1" w:anchor="b_fig_1_4_3">
            <w:r>
              <w:rPr>
                <w:rStyle w:val="IndexLink"/>
              </w:rPr>
              <w:t xml:space="default">Figura 1.4.3 · Cómo conseguir modelos mentales</w:t>
              <w:tab/>
              <w:t xml:space="default">111</w:t>
            </w:r>
          </w:hyperlink>
        </w:p>
        <w:p>
          <w:pPr>
            <w:pStyle w:val="TOC1"/>
            <w:tabs>
              <w:tab w:val="clear" w:pos="9026"/>
              <w:tab w:val="right" w:pos="9025" w:leader="dot"/>
            </w:tabs>
          </w:pPr>
          <w:hyperlink w:history="1" w:anchor="b_fig_1_5_1">
            <w:r>
              <w:rPr>
                <w:rStyle w:val="IndexLink"/>
              </w:rPr>
              <w:t xml:space="default">Figura 1.5.1 · Cambiar perspectivas aumenta la comprensión</w:t>
              <w:tab/>
              <w:t xml:space="default">130</w:t>
            </w:r>
          </w:hyperlink>
        </w:p>
        <w:p>
          <w:pPr>
            <w:pStyle w:val="TOC1"/>
            <w:tabs>
              <w:tab w:val="clear" w:pos="9026"/>
              <w:tab w:val="right" w:pos="9025" w:leader="dot"/>
            </w:tabs>
          </w:pPr>
          <w:hyperlink w:history="1" w:anchor="b_fig_1_5_2">
            <w:r>
              <w:rPr>
                <w:rStyle w:val="IndexLink"/>
              </w:rPr>
              <w:t xml:space="default">Figura 1.5.2 · Elena, Tom y la inspección de una casa</w:t>
              <w:tab/>
              <w:t xml:space="default">131</w:t>
            </w:r>
          </w:hyperlink>
        </w:p>
        <w:p>
          <w:pPr>
            <w:pStyle w:val="TOC1"/>
            <w:tabs>
              <w:tab w:val="clear" w:pos="9026"/>
              <w:tab w:val="right" w:pos="9025" w:leader="dot"/>
            </w:tabs>
          </w:pPr>
          <w:hyperlink w:history="1" w:anchor="b_fig_1_5_3">
            <w:r>
              <w:rPr>
                <w:rStyle w:val="IndexLink"/>
              </w:rPr>
              <w:t xml:space="default">Figura 1.5.3 · Cómo desarrollar un diálogo</w:t>
              <w:tab/>
              <w:t xml:space="default">132</w:t>
            </w:r>
          </w:hyperlink>
        </w:p>
        <w:p>
          <w:pPr>
            <w:pStyle w:val="TOC1"/>
            <w:tabs>
              <w:tab w:val="clear" w:pos="9026"/>
              <w:tab w:val="right" w:pos="9025" w:leader="dot"/>
            </w:tabs>
          </w:pPr>
          <w:hyperlink w:history="1" w:anchor="b_fig_1_5_4">
            <w:r>
              <w:rPr>
                <w:rStyle w:val="IndexLink"/>
              </w:rPr>
              <w:t xml:space="default">Figura 1.5.4 · Perspectivas (P)</w:t>
              <w:tab/>
              <w:t xml:space="default">135</w:t>
            </w:r>
          </w:hyperlink>
        </w:p>
        <w:p>
          <w:pPr>
            <w:pStyle w:val="TOC1"/>
            <w:tabs>
              <w:tab w:val="clear" w:pos="9026"/>
              <w:tab w:val="right" w:pos="9025" w:leader="dot"/>
            </w:tabs>
          </w:pPr>
          <w:hyperlink w:history="1" w:anchor="b_fig_1_6_1">
            <w:r>
              <w:rPr>
                <w:rStyle w:val="IndexLink"/>
              </w:rPr>
              <w:t xml:space="default">Figura 1.6.1 · Cuatro patrones que combinan ocho elementos</w:t>
              <w:tab/>
              <w:t xml:space="default">157</w:t>
            </w:r>
          </w:hyperlink>
        </w:p>
        <w:p>
          <w:pPr>
            <w:pStyle w:val="TOC1"/>
            <w:tabs>
              <w:tab w:val="clear" w:pos="9026"/>
              <w:tab w:val="right" w:pos="9025" w:leader="dot"/>
            </w:tabs>
          </w:pPr>
          <w:hyperlink w:history="1" w:anchor="b_fig_1_6_2">
            <w:r>
              <w:rPr>
                <w:rStyle w:val="IndexLink"/>
              </w:rPr>
              <w:t xml:space="default">Figura 1.6.2 · El bosque modelado con DSRP</w:t>
              <w:tab/>
              <w:t xml:space="default">160</w:t>
            </w:r>
          </w:hyperlink>
        </w:p>
        <w:p>
          <w:pPr>
            <w:pStyle w:val="TOC1"/>
            <w:tabs>
              <w:tab w:val="clear" w:pos="9026"/>
              <w:tab w:val="right" w:pos="9025" w:leader="dot"/>
            </w:tabs>
          </w:pPr>
          <w:hyperlink w:history="1" w:anchor="b_fig_1_7_1">
            <w:r>
              <w:rPr>
                <w:rStyle w:val="IndexLink"/>
              </w:rPr>
              <w:t xml:space="default">Figura 1.7.1 · Los cuatro niveles de la visión sistémica</w:t>
              <w:tab/>
              <w:t xml:space="default">180</w:t>
            </w:r>
          </w:hyperlink>
        </w:p>
        <w:p>
          <w:pPr>
            <w:pStyle w:val="TOC1"/>
            <w:tabs>
              <w:tab w:val="clear" w:pos="9026"/>
              <w:tab w:val="right" w:pos="9025" w:leader="dot"/>
            </w:tabs>
          </w:pPr>
          <w:hyperlink w:history="1" w:anchor="b_fig_1_7_2">
            <w:r>
              <w:rPr>
                <w:rStyle w:val="IndexLink"/>
              </w:rPr>
              <w:t xml:space="default">Figura 1.7.2 · Investigaciones cuantitativas o cualitativas</w:t>
              <w:tab/>
              <w:t xml:space="default">181</w:t>
            </w:r>
          </w:hyperlink>
        </w:p>
        <w:p>
          <w:pPr>
            <w:pStyle w:val="TOC1"/>
            <w:tabs>
              <w:tab w:val="clear" w:pos="9026"/>
              <w:tab w:val="right" w:pos="9025" w:leader="dot"/>
            </w:tabs>
          </w:pPr>
          <w:hyperlink w:history="1" w:anchor="b_fig_1_7_3">
            <w:r>
              <w:rPr>
                <w:rStyle w:val="IndexLink"/>
              </w:rPr>
              <w:t xml:space="default">Figura 1.7.3 · Michael y la crítica del restaurante</w:t>
              <w:tab/>
              <w:t xml:space="default">182</w:t>
            </w:r>
          </w:hyperlink>
        </w:p>
        <w:p>
          <w:pPr>
            <w:pStyle w:val="TOC1"/>
            <w:tabs>
              <w:tab w:val="clear" w:pos="9026"/>
              <w:tab w:val="right" w:pos="9025" w:leader="dot"/>
            </w:tabs>
          </w:pPr>
          <w:hyperlink w:history="1" w:anchor="b_fig_1_8_1">
            <w:r>
              <w:rPr>
                <w:rStyle w:val="IndexLink"/>
              </w:rPr>
              <w:t xml:space="default">Figura 1.8.1 · Los catorce hábitos del pensador de sistemas</w:t>
              <w:tab/>
              <w:t xml:space="default">199</w:t>
            </w:r>
          </w:hyperlink>
        </w:p>
        <w:p>
          <w:pPr>
            <w:pStyle w:val="TOC1"/>
            <w:tabs>
              <w:tab w:val="clear" w:pos="9026"/>
              <w:tab w:val="right" w:pos="9025" w:leader="dot"/>
            </w:tabs>
          </w:pPr>
          <w:hyperlink w:history="1" w:anchor="b_fig_1_8_2">
            <w:r>
              <w:rPr>
                <w:rStyle w:val="IndexLink"/>
              </w:rPr>
              <w:t xml:space="default">Figura 1.8.2 · Hábitos básicos de un pensador sistémico</w:t>
              <w:tab/>
              <w:t xml:space="default">200</w:t>
            </w:r>
          </w:hyperlink>
        </w:p>
        <w:p>
          <w:pPr>
            <w:pStyle w:val="TOC1"/>
            <w:tabs>
              <w:tab w:val="clear" w:pos="9026"/>
              <w:tab w:val="right" w:pos="9025" w:leader="dot"/>
            </w:tabs>
          </w:pPr>
          <w:hyperlink w:history="1" w:anchor="b_fig_1_8_3">
            <w:r>
              <w:rPr>
                <w:rStyle w:val="IndexLink"/>
              </w:rPr>
              <w:t xml:space="default">Figura 1.8.3 · Hábitos que construyen modelos mentales sistémicos</w:t>
              <w:tab/>
              <w:t xml:space="default">201</w:t>
            </w:r>
          </w:hyperlink>
        </w:p>
        <w:p>
          <w:pPr>
            <w:pStyle w:val="TOC1"/>
            <w:tabs>
              <w:tab w:val="clear" w:pos="9026"/>
              <w:tab w:val="right" w:pos="9025" w:leader="dot"/>
            </w:tabs>
          </w:pPr>
          <w:hyperlink w:history="1" w:anchor="b_fig_1_8_4">
            <w:r>
              <w:rPr>
                <w:rStyle w:val="IndexLink"/>
              </w:rPr>
              <w:t xml:space="default">Figura 1.8.4 · Hábitos que construyen modelos mentales sistémicos (repetición)</w:t>
              <w:tab/>
              <w:t xml:space="default">202</w:t>
            </w:r>
          </w:hyperlink>
        </w:p>
        <w:p>
          <w:pPr>
            <w:pStyle w:val="TOC1"/>
            <w:tabs>
              <w:tab w:val="clear" w:pos="9026"/>
              <w:tab w:val="right" w:pos="9025" w:leader="dot"/>
            </w:tabs>
          </w:pPr>
          <w:hyperlink w:history="1" w:anchor="b_fig_1_8_5">
            <w:r>
              <w:rPr>
                <w:rStyle w:val="IndexLink"/>
              </w:rPr>
              <w:t xml:space="default">Figura 1.8.5 · Considera cómo los modelos mentales afectan la realidad actual y el futuro</w:t>
              <w:tab/>
              <w:t xml:space="default">203</w:t>
            </w:r>
          </w:hyperlink>
        </w:p>
        <w:p>
          <w:pPr>
            <w:pStyle w:val="TOC1"/>
            <w:tabs>
              <w:tab w:val="clear" w:pos="9026"/>
              <w:tab w:val="right" w:pos="9025" w:leader="dot"/>
            </w:tabs>
          </w:pPr>
          <w:hyperlink w:history="1" w:anchor="b_fig_1_8_6">
            <w:r>
              <w:rPr>
                <w:rStyle w:val="IndexLink"/>
              </w:rPr>
              <w:t xml:space="default">Figura 1.8.6 · El pensador sistémico y los modelos mentales</w:t>
              <w:tab/>
              <w:t xml:space="default">204</w:t>
            </w:r>
          </w:hyperlink>
        </w:p>
        <w:p>
          <w:pPr>
            <w:pStyle w:val="TOC1"/>
            <w:tabs>
              <w:tab w:val="clear" w:pos="9026"/>
              <w:tab w:val="right" w:pos="9025" w:leader="dot"/>
            </w:tabs>
          </w:pPr>
          <w:hyperlink w:history="1" w:anchor="b_fig_1_8_7">
            <w:r>
              <w:rPr>
                <w:rStyle w:val="IndexLink"/>
              </w:rPr>
              <w:t xml:space="default">Figura 1.8.7 · Intenta entender la película completa</w:t>
              <w:tab/>
              <w:t xml:space="default">206</w:t>
            </w:r>
          </w:hyperlink>
        </w:p>
        <w:p>
          <w:pPr>
            <w:pStyle w:val="TOC1"/>
            <w:tabs>
              <w:tab w:val="clear" w:pos="9026"/>
              <w:tab w:val="right" w:pos="9025" w:leader="dot"/>
            </w:tabs>
          </w:pPr>
          <w:hyperlink w:history="1" w:anchor="b_fig_1_8_8">
            <w:r>
              <w:rPr>
                <w:rStyle w:val="IndexLink"/>
              </w:rPr>
              <w:t xml:space="default">Figura 1.8.8 · Los cuatro hábitos básicos y sus preguntas</w:t>
              <w:tab/>
              <w:t xml:space="default">207</w:t>
            </w:r>
          </w:hyperlink>
        </w:p>
        <w:p>
          <w:pPr>
            <w:pStyle w:val="TOC1"/>
            <w:tabs>
              <w:tab w:val="clear" w:pos="9026"/>
              <w:tab w:val="right" w:pos="9025" w:leader="dot"/>
            </w:tabs>
          </w:pPr>
          <w:hyperlink w:history="1" w:anchor="b_fig_1_8_9">
            <w:r>
              <w:rPr>
                <w:rStyle w:val="IndexLink"/>
              </w:rPr>
              <w:t xml:space="default">Figura 1.8.9 · Cuatro hábitos básicos y cinco de estructuras sistémicas</w:t>
              <w:tab/>
              <w:t xml:space="default">208</w:t>
            </w:r>
          </w:hyperlink>
        </w:p>
        <w:p>
          <w:pPr>
            <w:pStyle w:val="TOC1"/>
            <w:tabs>
              <w:tab w:val="clear" w:pos="9026"/>
              <w:tab w:val="right" w:pos="9025" w:leader="dot"/>
            </w:tabs>
          </w:pPr>
          <w:hyperlink w:history="1" w:anchor="b_fig_1_8_10">
            <w:r>
              <w:rPr>
                <w:rStyle w:val="IndexLink"/>
              </w:rPr>
              <w:t xml:space="default">Figura 1.8.10 · Cuatro hábitos básicos y cinco de estructuras sistémicas</w:t>
              <w:tab/>
              <w:t xml:space="default">209</w:t>
            </w:r>
          </w:hyperlink>
        </w:p>
        <w:p>
          <w:pPr>
            <w:pStyle w:val="TOC1"/>
            <w:tabs>
              <w:tab w:val="clear" w:pos="9026"/>
              <w:tab w:val="right" w:pos="9025" w:leader="dot"/>
            </w:tabs>
          </w:pPr>
          <w:hyperlink w:history="1" w:anchor="b_fig_2_1_1">
            <w:r>
              <w:rPr>
                <w:rStyle w:val="IndexLink"/>
              </w:rPr>
              <w:t xml:space="default">Figura 2.1.1 · Pensamiento sistémico</w:t>
              <w:tab/>
              <w:t xml:space="default">228</w:t>
            </w:r>
          </w:hyperlink>
        </w:p>
        <w:p>
          <w:pPr>
            <w:pStyle w:val="TOC1"/>
            <w:tabs>
              <w:tab w:val="clear" w:pos="9026"/>
              <w:tab w:val="right" w:pos="9025" w:leader="dot"/>
            </w:tabs>
          </w:pPr>
          <w:hyperlink w:history="1" w:anchor="b_fig_2_1_2">
            <w:r>
              <w:rPr>
                <w:rStyle w:val="IndexLink"/>
              </w:rPr>
              <w:t xml:space="default">Figura 2.1.2 · Qué es el pensamiento sistémico</w:t>
              <w:tab/>
              <w:t xml:space="default">229</w:t>
            </w:r>
          </w:hyperlink>
        </w:p>
        <w:p>
          <w:pPr>
            <w:pStyle w:val="TOC1"/>
            <w:tabs>
              <w:tab w:val="clear" w:pos="9026"/>
              <w:tab w:val="right" w:pos="9025" w:leader="dot"/>
            </w:tabs>
          </w:pPr>
          <w:hyperlink w:history="1" w:anchor="b_fig_2_1_3">
            <w:r>
              <w:rPr>
                <w:rStyle w:val="IndexLink"/>
              </w:rPr>
              <w:t xml:space="default">Figura 2.1.3 · Enfoque sistémico</w:t>
              <w:tab/>
              <w:t xml:space="default">230</w:t>
            </w:r>
          </w:hyperlink>
        </w:p>
        <w:p>
          <w:pPr>
            <w:pStyle w:val="TOC1"/>
            <w:tabs>
              <w:tab w:val="clear" w:pos="9026"/>
              <w:tab w:val="right" w:pos="9025" w:leader="dot"/>
            </w:tabs>
          </w:pPr>
          <w:hyperlink w:history="1" w:anchor="b_fig_2_2_1">
            <w:r>
              <w:rPr>
                <w:rStyle w:val="IndexLink"/>
              </w:rPr>
              <w:t xml:space="default">Figura 2.2.1 · El concepto de sistema generalizado</w:t>
              <w:tab/>
              <w:t xml:space="default">248</w:t>
            </w:r>
          </w:hyperlink>
        </w:p>
        <w:p>
          <w:pPr>
            <w:pStyle w:val="TOC1"/>
            <w:tabs>
              <w:tab w:val="clear" w:pos="9026"/>
              <w:tab w:val="right" w:pos="9025" w:leader="dot"/>
            </w:tabs>
          </w:pPr>
          <w:hyperlink w:history="1" w:anchor="b_fig_2_2_2">
            <w:r>
              <w:rPr>
                <w:rStyle w:val="IndexLink"/>
              </w:rPr>
              <w:t xml:space="default">Figura 2.2.2 · Conceptos importantes asociados al sistema</w:t>
              <w:tab/>
              <w:t xml:space="default">249</w:t>
            </w:r>
          </w:hyperlink>
        </w:p>
        <w:p>
          <w:pPr>
            <w:pStyle w:val="TOC1"/>
            <w:tabs>
              <w:tab w:val="clear" w:pos="9026"/>
              <w:tab w:val="right" w:pos="9025" w:leader="dot"/>
            </w:tabs>
          </w:pPr>
          <w:hyperlink w:history="1" w:anchor="b_fig_2_3_1">
            <w:r>
              <w:rPr>
                <w:rStyle w:val="IndexLink"/>
              </w:rPr>
              <w:t xml:space="default">Figura 2.3.1 · Punto de vista estructural de un sistema</w:t>
              <w:tab/>
              <w:t xml:space="default">264</w:t>
            </w:r>
          </w:hyperlink>
        </w:p>
        <w:p>
          <w:pPr>
            <w:pStyle w:val="TOC1"/>
            <w:tabs>
              <w:tab w:val="clear" w:pos="9026"/>
              <w:tab w:val="right" w:pos="9025" w:leader="dot"/>
            </w:tabs>
          </w:pPr>
          <w:hyperlink w:history="1" w:anchor="b_fig_2_4_1">
            <w:r>
              <w:rPr>
                <w:rStyle w:val="IndexLink"/>
              </w:rPr>
              <w:t xml:space="default">Figura 2.4.1 · Sistemas (S)</w:t>
              <w:tab/>
              <w:t xml:space="default">280</w:t>
            </w:r>
          </w:hyperlink>
        </w:p>
        <w:p>
          <w:pPr>
            <w:pStyle w:val="TOC1"/>
            <w:tabs>
              <w:tab w:val="clear" w:pos="9026"/>
              <w:tab w:val="right" w:pos="9025" w:leader="dot"/>
            </w:tabs>
          </w:pPr>
          <w:hyperlink w:history="1" w:anchor="b_fig_2_5_1">
            <w:r>
              <w:rPr>
                <w:rStyle w:val="IndexLink"/>
              </w:rPr>
              <w:t xml:space="default">Figura 2.5.1 · La mariposa aparece: sinergia y emergencia</w:t>
              <w:tab/>
              <w:t xml:space="default">296</w:t>
            </w:r>
          </w:hyperlink>
        </w:p>
        <w:p>
          <w:pPr>
            <w:pStyle w:val="TOC1"/>
            <w:tabs>
              <w:tab w:val="clear" w:pos="9026"/>
              <w:tab w:val="right" w:pos="9025" w:leader="dot"/>
            </w:tabs>
          </w:pPr>
          <w:hyperlink w:history="1" w:anchor="b_fig_2_5_2">
            <w:r>
              <w:rPr>
                <w:rStyle w:val="IndexLink"/>
              </w:rPr>
              <w:t xml:space="default">Figura 2.5.2 · Emergencia y propiedades emergentes</w:t>
              <w:tab/>
              <w:t xml:space="default">297</w:t>
            </w:r>
          </w:hyperlink>
        </w:p>
        <w:p>
          <w:pPr>
            <w:pStyle w:val="TOC1"/>
            <w:tabs>
              <w:tab w:val="clear" w:pos="9026"/>
              <w:tab w:val="right" w:pos="9025" w:leader="dot"/>
            </w:tabs>
          </w:pPr>
          <w:hyperlink w:history="1" w:anchor="b_fig_2_6_1">
            <w:r>
              <w:rPr>
                <w:rStyle w:val="IndexLink"/>
              </w:rPr>
              <w:t xml:space="default">Figura 2.6.1 · Los sistemas como telarañas</w:t>
              <w:tab/>
              <w:t xml:space="default">315</w:t>
            </w:r>
          </w:hyperlink>
        </w:p>
        <w:p>
          <w:pPr>
            <w:pStyle w:val="TOC1"/>
            <w:tabs>
              <w:tab w:val="clear" w:pos="9026"/>
              <w:tab w:val="right" w:pos="9025" w:leader="dot"/>
            </w:tabs>
          </w:pPr>
          <w:hyperlink w:history="1" w:anchor="b_fig_2_6_2">
            <w:r>
              <w:rPr>
                <w:rStyle w:val="IndexLink"/>
              </w:rPr>
              <w:t xml:space="default">Figura 2.6.2 · Estudio de sistemas complejos: escala, tiempo y conceptos</w:t>
              <w:tab/>
              <w:t xml:space="default">316</w:t>
            </w:r>
          </w:hyperlink>
        </w:p>
        <w:p>
          <w:pPr>
            <w:pStyle w:val="TOC1"/>
            <w:tabs>
              <w:tab w:val="clear" w:pos="9026"/>
              <w:tab w:val="right" w:pos="9025" w:leader="dot"/>
            </w:tabs>
          </w:pPr>
          <w:hyperlink w:history="1" w:anchor="b_fig_2_6_3">
            <w:r>
              <w:rPr>
                <w:rStyle w:val="IndexLink"/>
              </w:rPr>
              <w:t xml:space="default">Figura 2.6.3 · Estudio de sistemas complejos (repetición)</w:t>
              <w:tab/>
              <w:t xml:space="default">317</w:t>
            </w:r>
          </w:hyperlink>
        </w:p>
        <w:p>
          <w:pPr>
            <w:pStyle w:val="TOC1"/>
            <w:tabs>
              <w:tab w:val="clear" w:pos="9026"/>
              <w:tab w:val="right" w:pos="9025" w:leader="dot"/>
            </w:tabs>
          </w:pPr>
          <w:hyperlink w:history="1" w:anchor="b_fig_2_7_1">
            <w:r>
              <w:rPr>
                <w:rStyle w:val="IndexLink"/>
              </w:rPr>
              <w:t xml:space="default">Figura 2.7.1 · Mapa sistémico del universo</w:t>
              <w:tab/>
              <w:t xml:space="default">334</w:t>
            </w:r>
          </w:hyperlink>
        </w:p>
        <w:p>
          <w:pPr>
            <w:pStyle w:val="TOC1"/>
            <w:tabs>
              <w:tab w:val="clear" w:pos="9026"/>
              <w:tab w:val="right" w:pos="9025" w:leader="dot"/>
            </w:tabs>
          </w:pPr>
          <w:hyperlink w:history="1" w:anchor="b_fig_2_8_1">
            <w:r>
              <w:rPr>
                <w:rStyle w:val="IndexLink"/>
              </w:rPr>
              <w:t xml:space="default">Figura 2.8.1 · Entropía</w:t>
              <w:tab/>
              <w:t xml:space="default">354</w:t>
            </w:r>
          </w:hyperlink>
        </w:p>
        <w:p>
          <w:pPr>
            <w:pStyle w:val="TOC1"/>
            <w:tabs>
              <w:tab w:val="clear" w:pos="9026"/>
              <w:tab w:val="right" w:pos="9025" w:leader="dot"/>
            </w:tabs>
          </w:pPr>
          <w:hyperlink w:history="1" w:anchor="b_fig_2_8_2">
            <w:r>
              <w:rPr>
                <w:rStyle w:val="IndexLink"/>
              </w:rPr>
              <w:t xml:space="default">Figura 2.8.2 · Equifinalidad</w:t>
              <w:tab/>
              <w:t xml:space="default">355</w:t>
            </w:r>
          </w:hyperlink>
        </w:p>
        <w:p>
          <w:pPr>
            <w:pStyle w:val="TOC1"/>
            <w:tabs>
              <w:tab w:val="clear" w:pos="9026"/>
              <w:tab w:val="right" w:pos="9025" w:leader="dot"/>
            </w:tabs>
          </w:pPr>
          <w:hyperlink w:history="1" w:anchor="b_fig_3_1_1">
            <w:r>
              <w:rPr>
                <w:rStyle w:val="IndexLink"/>
              </w:rPr>
              <w:t xml:space="default">Figura 3.1.1 · Uniendo barras: educación y poderes del Estado</w:t>
              <w:tab/>
              <w:t xml:space="default">385</w:t>
            </w:r>
          </w:hyperlink>
        </w:p>
        <w:p>
          <w:pPr>
            <w:pStyle w:val="TOC1"/>
            <w:tabs>
              <w:tab w:val="clear" w:pos="9026"/>
              <w:tab w:val="right" w:pos="9025" w:leader="dot"/>
            </w:tabs>
          </w:pPr>
          <w:hyperlink w:history="1" w:anchor="b_fig_3_1_2">
            <w:r>
              <w:rPr>
                <w:rStyle w:val="IndexLink"/>
              </w:rPr>
              <w:t xml:space="default">Figura 3.1.2 · Conexiones que producen transferencias</w:t>
              <w:tab/>
              <w:t xml:space="default">387</w:t>
            </w:r>
          </w:hyperlink>
        </w:p>
        <w:p>
          <w:pPr>
            <w:pStyle w:val="TOC1"/>
            <w:tabs>
              <w:tab w:val="clear" w:pos="9026"/>
              <w:tab w:val="right" w:pos="9025" w:leader="dot"/>
            </w:tabs>
          </w:pPr>
          <w:hyperlink w:history="1" w:anchor="b_fig_3_2_1">
            <w:r>
              <w:rPr>
                <w:rStyle w:val="IndexLink"/>
              </w:rPr>
              <w:t xml:space="default">Figura 3.2.1 · Barras y relación como sistema</w:t>
              <w:tab/>
              <w:t xml:space="default">411</w:t>
            </w:r>
          </w:hyperlink>
        </w:p>
        <w:p>
          <w:pPr>
            <w:pStyle w:val="TOC1"/>
            <w:tabs>
              <w:tab w:val="clear" w:pos="9026"/>
              <w:tab w:val="right" w:pos="9025" w:leader="dot"/>
            </w:tabs>
          </w:pPr>
          <w:hyperlink w:history="1" w:anchor="b_fig_3_2_2">
            <w:r>
              <w:rPr>
                <w:rStyle w:val="IndexLink"/>
              </w:rPr>
              <w:t xml:space="default">Figura 3.2.2 · P-círculos y cuatro perspectivas entre papá y yo</w:t>
              <w:tab/>
              <w:t xml:space="default">412</w:t>
            </w:r>
          </w:hyperlink>
        </w:p>
        <w:p>
          <w:pPr>
            <w:pStyle w:val="TOC1"/>
            <w:tabs>
              <w:tab w:val="clear" w:pos="9026"/>
              <w:tab w:val="right" w:pos="9025" w:leader="dot"/>
            </w:tabs>
          </w:pPr>
          <w:hyperlink w:history="1" w:anchor="b_fig_3_2_3">
            <w:r>
              <w:rPr>
                <w:rStyle w:val="IndexLink"/>
              </w:rPr>
              <w:t xml:space="default">Figura 3.2.3 · Múltiples perspectivas: una epidemia</w:t>
              <w:tab/>
              <w:t xml:space="default">413</w:t>
            </w:r>
          </w:hyperlink>
        </w:p>
        <w:p>
          <w:pPr>
            <w:pStyle w:val="TOC1"/>
            <w:tabs>
              <w:tab w:val="clear" w:pos="9026"/>
              <w:tab w:val="right" w:pos="9025" w:leader="dot"/>
            </w:tabs>
          </w:pPr>
          <w:hyperlink w:history="1" w:anchor="b_fig_3_2_4">
            <w:r>
              <w:rPr>
                <w:rStyle w:val="IndexLink"/>
              </w:rPr>
              <w:t xml:space="default">Figura 3.2.4 · Mapa DSRP de la teoría de sistemas</w:t>
              <w:tab/>
              <w:t xml:space="default">415</w:t>
            </w:r>
          </w:hyperlink>
        </w:p>
        <w:p>
          <w:pPr>
            <w:pStyle w:val="TOC1"/>
            <w:tabs>
              <w:tab w:val="clear" w:pos="9026"/>
              <w:tab w:val="right" w:pos="9025" w:leader="dot"/>
            </w:tabs>
          </w:pPr>
          <w:hyperlink w:history="1" w:anchor="b_fig_3_2_5">
            <w:r>
              <w:rPr>
                <w:rStyle w:val="IndexLink"/>
              </w:rPr>
              <w:t xml:space="default">Figura 3.2.5 · Múltiples perspectivas: teléfono,nacimiento y 11 de septiembre</w:t>
              <w:tab/>
              <w:t xml:space="default">418</w:t>
            </w:r>
          </w:hyperlink>
        </w:p>
        <w:p>
          <w:pPr>
            <w:pStyle w:val="TOC1"/>
            <w:tabs>
              <w:tab w:val="clear" w:pos="9026"/>
              <w:tab w:val="right" w:pos="9025" w:leader="dot"/>
            </w:tabs>
          </w:pPr>
          <w:hyperlink w:history="1" w:anchor="b_fig_3_2_6">
            <w:r>
              <w:rPr>
                <w:rStyle w:val="IndexLink"/>
              </w:rPr>
              <w:t xml:space="default">Figura 3.2.6 · DSRP en bosquejos,escritos y resúmenes</w:t>
              <w:tab/>
              <w:t xml:space="default">420</w:t>
            </w:r>
          </w:hyperlink>
        </w:p>
        <w:p>
          <w:pPr>
            <w:pStyle w:val="TOC1"/>
            <w:tabs>
              <w:tab w:val="clear" w:pos="9026"/>
              <w:tab w:val="right" w:pos="9025" w:leader="dot"/>
            </w:tabs>
          </w:pPr>
          <w:hyperlink w:history="1" w:anchor="b_fig_3_3_1">
            <w:r>
              <w:rPr>
                <w:rStyle w:val="IndexLink"/>
              </w:rPr>
              <w:t xml:space="default">Figura 3.3.1 · Notación de los vínculos causales</w:t>
              <w:tab/>
              <w:t xml:space="default">454</w:t>
            </w:r>
          </w:hyperlink>
        </w:p>
        <w:p>
          <w:pPr>
            <w:pStyle w:val="TOC1"/>
            <w:tabs>
              <w:tab w:val="clear" w:pos="9026"/>
              <w:tab w:val="right" w:pos="9025" w:leader="dot"/>
            </w:tabs>
          </w:pPr>
          <w:hyperlink w:history="1" w:anchor="b_fig_3_3_2">
            <w:r>
              <w:rPr>
                <w:rStyle w:val="IndexLink"/>
              </w:rPr>
              <w:t xml:space="default">Figura 3.3.2 · Trazabilidad de frutas: estructura completa</w:t>
              <w:tab/>
              <w:t xml:space="default">456</w:t>
            </w:r>
          </w:hyperlink>
        </w:p>
        <w:p>
          <w:pPr>
            <w:pStyle w:val="TOC1"/>
            <w:tabs>
              <w:tab w:val="clear" w:pos="9026"/>
              <w:tab w:val="right" w:pos="9025" w:leader="dot"/>
            </w:tabs>
          </w:pPr>
          <w:hyperlink w:history="1" w:anchor="b_fig_3_3_3">
            <w:r>
              <w:rPr>
                <w:rStyle w:val="IndexLink"/>
              </w:rPr>
              <w:t xml:space="default">Figura 3.3.3 · Lineamientos para construir DCC</w:t>
              <w:tab/>
              <w:t xml:space="default">457</w:t>
            </w:r>
          </w:hyperlink>
        </w:p>
        <w:p>
          <w:pPr>
            <w:pStyle w:val="TOC1"/>
            <w:tabs>
              <w:tab w:val="clear" w:pos="9026"/>
              <w:tab w:val="right" w:pos="9025" w:leader="dot"/>
            </w:tabs>
          </w:pPr>
          <w:hyperlink w:history="1" w:anchor="b_fig_3_4_1">
            <w:r>
              <w:rPr>
                <w:rStyle w:val="IndexLink"/>
              </w:rPr>
              <w:t xml:space="default">Figura 3.4.1 · Tiempo lineal y tiempo circular</w:t>
              <w:tab/>
              <w:t xml:space="default">482</w:t>
            </w:r>
          </w:hyperlink>
        </w:p>
        <w:p>
          <w:pPr>
            <w:pStyle w:val="TOC1"/>
            <w:tabs>
              <w:tab w:val="clear" w:pos="9026"/>
              <w:tab w:val="right" w:pos="9025" w:leader="dot"/>
            </w:tabs>
          </w:pPr>
          <w:hyperlink w:history="1" w:anchor="b_fig_3_4_2">
            <w:r>
              <w:rPr>
                <w:rStyle w:val="IndexLink"/>
              </w:rPr>
              <w:t xml:space="default">Figura 3.4.2 · Una red con muchos ciclos</w:t>
              <w:tab/>
              <w:t xml:space="default">484</w:t>
            </w:r>
          </w:hyperlink>
        </w:p>
        <w:p>
          <w:pPr>
            <w:pStyle w:val="TOC1"/>
            <w:tabs>
              <w:tab w:val="clear" w:pos="9026"/>
              <w:tab w:val="right" w:pos="9025" w:leader="dot"/>
            </w:tabs>
          </w:pPr>
          <w:hyperlink w:history="1" w:anchor="b_fig_3_4_3">
            <w:r>
              <w:rPr>
                <w:rStyle w:val="IndexLink"/>
              </w:rPr>
              <w:t xml:space="default">Figura 3.4.3 · Una red con muchos ciclos</w:t>
              <w:tab/>
              <w:t xml:space="default">485</w:t>
            </w:r>
          </w:hyperlink>
        </w:p>
        <w:p>
          <w:pPr>
            <w:pStyle w:val="TOC1"/>
            <w:tabs>
              <w:tab w:val="clear" w:pos="9026"/>
              <w:tab w:val="right" w:pos="9025" w:leader="dot"/>
            </w:tabs>
          </w:pPr>
          <w:hyperlink w:history="1" w:anchor="b_fig_3_5_1">
            <w:r>
              <w:rPr>
                <w:rStyle w:val="IndexLink"/>
              </w:rPr>
              <w:t xml:space="default">Figura 3.5.1 · Retroalimentación negativa o de compensación</w:t>
              <w:tab/>
              <w:t xml:space="default">510</w:t>
            </w:r>
          </w:hyperlink>
        </w:p>
        <w:p>
          <w:pPr>
            <w:pStyle w:val="TOC1"/>
            <w:tabs>
              <w:tab w:val="clear" w:pos="9026"/>
              <w:tab w:val="right" w:pos="9025" w:leader="dot"/>
            </w:tabs>
          </w:pPr>
          <w:hyperlink w:history="1" w:anchor="b_fig_3_5_2">
            <w:r>
              <w:rPr>
                <w:rStyle w:val="IndexLink"/>
              </w:rPr>
              <w:t xml:space="default">Figura 3.5.2 · Refuerzo y compensación, lado a lado</w:t>
              <w:tab/>
              <w:t xml:space="default">512</w:t>
            </w:r>
          </w:hyperlink>
        </w:p>
        <w:p>
          <w:pPr>
            <w:pStyle w:val="TOC1"/>
            <w:tabs>
              <w:tab w:val="clear" w:pos="9026"/>
              <w:tab w:val="right" w:pos="9025" w:leader="dot"/>
            </w:tabs>
          </w:pPr>
          <w:hyperlink w:history="1" w:anchor="b_fig_3_5_3">
            <w:r>
              <w:rPr>
                <w:rStyle w:val="IndexLink"/>
              </w:rPr>
              <w:t xml:space="default">Figura 3.5.3 · Ampliando la historia: fatiga y productividad</w:t>
              <w:tab/>
              <w:t xml:space="default">517</w:t>
            </w:r>
          </w:hyperlink>
        </w:p>
        <w:p>
          <w:pPr>
            <w:pStyle w:val="TOC1"/>
            <w:tabs>
              <w:tab w:val="clear" w:pos="9026"/>
              <w:tab w:val="right" w:pos="9025" w:leader="dot"/>
            </w:tabs>
          </w:pPr>
          <w:hyperlink w:history="1" w:anchor="b_fig_3_5_4">
            <w:r>
              <w:rPr>
                <w:rStyle w:val="IndexLink"/>
              </w:rPr>
              <w:t xml:space="default">Figura 3.5.4 · Ampliando la historia: errores y cuatro ciclos</w:t>
              <w:tab/>
              <w:t xml:space="default">519</w:t>
            </w:r>
          </w:hyperlink>
        </w:p>
        <w:p>
          <w:pPr>
            <w:pStyle w:val="TOC1"/>
            <w:tabs>
              <w:tab w:val="clear" w:pos="9026"/>
              <w:tab w:val="right" w:pos="9025" w:leader="dot"/>
            </w:tabs>
          </w:pPr>
          <w:hyperlink w:history="1" w:anchor="b_fig_3_6_1">
            <w:r>
              <w:rPr>
                <w:rStyle w:val="IndexLink"/>
              </w:rPr>
              <w:t xml:space="default">Figura 3.6.1 · Comedero: aves al desayunar</w:t>
              <w:tab/>
              <w:t xml:space="default">542</w:t>
            </w:r>
          </w:hyperlink>
        </w:p>
        <w:p>
          <w:pPr>
            <w:pStyle w:val="TOC1"/>
            <w:tabs>
              <w:tab w:val="clear" w:pos="9026"/>
              <w:tab w:val="right" w:pos="9025" w:leader="dot"/>
            </w:tabs>
          </w:pPr>
          <w:hyperlink w:history="1" w:anchor="b_fig_3_6_2">
            <w:r>
              <w:rPr>
                <w:rStyle w:val="IndexLink"/>
              </w:rPr>
              <w:t xml:space="default">Figura 3.6.2 · Comedero: decidir poner un comedero</w:t>
              <w:tab/>
              <w:t xml:space="default">543</w:t>
            </w:r>
          </w:hyperlink>
        </w:p>
        <w:p>
          <w:pPr>
            <w:pStyle w:val="TOC1"/>
            <w:tabs>
              <w:tab w:val="clear" w:pos="9026"/>
              <w:tab w:val="right" w:pos="9025" w:leader="dot"/>
            </w:tabs>
          </w:pPr>
          <w:hyperlink w:history="1" w:anchor="b_fig_3_6_3">
            <w:r>
              <w:rPr>
                <w:rStyle w:val="IndexLink"/>
              </w:rPr>
              <w:t xml:space="default">Figura 3.6.3 · Comedero: el comedero atrae pájaros</w:t>
              <w:tab/>
              <w:t xml:space="default">544</w:t>
            </w:r>
          </w:hyperlink>
        </w:p>
        <w:p>
          <w:pPr>
            <w:pStyle w:val="TOC1"/>
            <w:tabs>
              <w:tab w:val="clear" w:pos="9026"/>
              <w:tab w:val="right" w:pos="9025" w:leader="dot"/>
            </w:tabs>
          </w:pPr>
          <w:hyperlink w:history="1" w:anchor="b_fig_3_6_4">
            <w:r>
              <w:rPr>
                <w:rStyle w:val="IndexLink"/>
              </w:rPr>
              <w:t xml:space="default">Figura 3.6.4 · Comedero: la intención inicial se cumple</w:t>
              <w:tab/>
              <w:t xml:space="default">545</w:t>
            </w:r>
          </w:hyperlink>
        </w:p>
        <w:p>
          <w:pPr>
            <w:pStyle w:val="TOC1"/>
            <w:tabs>
              <w:tab w:val="clear" w:pos="9026"/>
              <w:tab w:val="right" w:pos="9025" w:leader="dot"/>
            </w:tabs>
          </w:pPr>
          <w:hyperlink w:history="1" w:anchor="b_fig_3_6_5">
            <w:r>
              <w:rPr>
                <w:rStyle w:val="IndexLink"/>
              </w:rPr>
              <w:t xml:space="default">Figura 3.6.5 · Comedero: atractivo del jardín</w:t>
              <w:tab/>
              <w:t xml:space="default">546</w:t>
            </w:r>
          </w:hyperlink>
        </w:p>
        <w:p>
          <w:pPr>
            <w:pStyle w:val="TOC1"/>
            <w:tabs>
              <w:tab w:val="clear" w:pos="9026"/>
              <w:tab w:val="right" w:pos="9025" w:leader="dot"/>
            </w:tabs>
          </w:pPr>
          <w:hyperlink w:history="1" w:anchor="b_fig_3_6_6">
            <w:r>
              <w:rPr>
                <w:rStyle w:val="IndexLink"/>
              </w:rPr>
              <w:t xml:space="default">Figura 3.6.6 · Comedero: un beneficio adicional</w:t>
              <w:tab/>
              <w:t xml:space="default">547</w:t>
            </w:r>
          </w:hyperlink>
        </w:p>
        <w:p>
          <w:pPr>
            <w:pStyle w:val="TOC1"/>
            <w:tabs>
              <w:tab w:val="clear" w:pos="9026"/>
              <w:tab w:val="right" w:pos="9025" w:leader="dot"/>
            </w:tabs>
          </w:pPr>
          <w:hyperlink w:history="1" w:anchor="b_fig_3_6_7">
            <w:r>
              <w:rPr>
                <w:rStyle w:val="IndexLink"/>
              </w:rPr>
              <w:t xml:space="default">Figura 3.6.7 · Comedero: mañana agradable y frustración</w:t>
              <w:tab/>
              <w:t xml:space="default">548</w:t>
            </w:r>
          </w:hyperlink>
        </w:p>
        <w:p>
          <w:pPr>
            <w:pStyle w:val="TOC1"/>
            <w:tabs>
              <w:tab w:val="clear" w:pos="9026"/>
              <w:tab w:val="right" w:pos="9025" w:leader="dot"/>
            </w:tabs>
          </w:pPr>
          <w:hyperlink w:history="1" w:anchor="b_fig_3_6_8">
            <w:r>
              <w:rPr>
                <w:rStyle w:val="IndexLink"/>
              </w:rPr>
              <w:t xml:space="default">Figura 3.6.8 · Comedero: comprar alimento</w:t>
              <w:tab/>
              <w:t xml:space="default">549</w:t>
            </w:r>
          </w:hyperlink>
        </w:p>
        <w:p>
          <w:pPr>
            <w:pStyle w:val="TOC1"/>
            <w:tabs>
              <w:tab w:val="clear" w:pos="9026"/>
              <w:tab w:val="right" w:pos="9025" w:leader="dot"/>
            </w:tabs>
          </w:pPr>
          <w:hyperlink w:history="1" w:anchor="b_fig_3_6_9">
            <w:r>
              <w:rPr>
                <w:rStyle w:val="IndexLink"/>
              </w:rPr>
              <w:t xml:space="default">Figura 3.6.9 · Comedero: gasto imprevisto</w:t>
              <w:tab/>
              <w:t xml:space="default">550</w:t>
            </w:r>
          </w:hyperlink>
        </w:p>
        <w:p>
          <w:pPr>
            <w:pStyle w:val="TOC1"/>
            <w:tabs>
              <w:tab w:val="clear" w:pos="9026"/>
              <w:tab w:val="right" w:pos="9025" w:leader="dot"/>
            </w:tabs>
          </w:pPr>
          <w:hyperlink w:history="1" w:anchor="b_fig_3_6_10">
            <w:r>
              <w:rPr>
                <w:rStyle w:val="IndexLink"/>
              </w:rPr>
              <w:t xml:space="default">Figura 3.6.10 · Comedero: alimento derramado</w:t>
              <w:tab/>
              <w:t xml:space="default">551</w:t>
            </w:r>
          </w:hyperlink>
        </w:p>
        <w:p>
          <w:pPr>
            <w:pStyle w:val="TOC1"/>
            <w:tabs>
              <w:tab w:val="clear" w:pos="9026"/>
              <w:tab w:val="right" w:pos="9025" w:leader="dot"/>
            </w:tabs>
          </w:pPr>
          <w:hyperlink w:history="1" w:anchor="b_fig_3_6_11">
            <w:r>
              <w:rPr>
                <w:rStyle w:val="IndexLink"/>
              </w:rPr>
              <w:t xml:space="default">Figura 3.6.11 · Comedero: el comedero atrae ardillas</w:t>
              <w:tab/>
              <w:t xml:space="default">552</w:t>
            </w:r>
          </w:hyperlink>
        </w:p>
        <w:p>
          <w:pPr>
            <w:pStyle w:val="TOC1"/>
            <w:tabs>
              <w:tab w:val="clear" w:pos="9026"/>
              <w:tab w:val="right" w:pos="9025" w:leader="dot"/>
            </w:tabs>
          </w:pPr>
          <w:hyperlink w:history="1" w:anchor="b_fig_3_6_12">
            <w:r>
              <w:rPr>
                <w:rStyle w:val="IndexLink"/>
              </w:rPr>
              <w:t xml:space="default">Figura 3.6.12 · Comedero: ardillas y aves</w:t>
              <w:tab/>
              <w:t xml:space="default">553</w:t>
            </w:r>
          </w:hyperlink>
        </w:p>
        <w:p>
          <w:pPr>
            <w:pStyle w:val="TOC1"/>
            <w:tabs>
              <w:tab w:val="clear" w:pos="9026"/>
              <w:tab w:val="right" w:pos="9025" w:leader="dot"/>
            </w:tabs>
          </w:pPr>
          <w:hyperlink w:history="1" w:anchor="b_fig_3_6_13">
            <w:r>
              <w:rPr>
                <w:rStyle w:val="IndexLink"/>
              </w:rPr>
              <w:t xml:space="default">Figura 3.6.13 · Comedero: ardillas, consumo y desperdicio</w:t>
              <w:tab/>
              <w:t xml:space="default">554</w:t>
            </w:r>
          </w:hyperlink>
        </w:p>
        <w:p>
          <w:pPr>
            <w:pStyle w:val="TOC1"/>
            <w:tabs>
              <w:tab w:val="clear" w:pos="9026"/>
              <w:tab w:val="right" w:pos="9025" w:leader="dot"/>
            </w:tabs>
          </w:pPr>
          <w:hyperlink w:history="1" w:anchor="b_fig_3_6_14">
            <w:r>
              <w:rPr>
                <w:rStyle w:val="IndexLink"/>
              </w:rPr>
              <w:t xml:space="default">Figura 3.6.14 · Comedero: roedores</w:t>
              <w:tab/>
              <w:t xml:space="default">555</w:t>
            </w:r>
          </w:hyperlink>
        </w:p>
        <w:p>
          <w:pPr>
            <w:pStyle w:val="TOC1"/>
            <w:tabs>
              <w:tab w:val="clear" w:pos="9026"/>
              <w:tab w:val="right" w:pos="9025" w:leader="dot"/>
            </w:tabs>
          </w:pPr>
          <w:hyperlink w:history="1" w:anchor="b_fig_3_6_15">
            <w:r>
              <w:rPr>
                <w:rStyle w:val="IndexLink"/>
              </w:rPr>
              <w:t xml:space="default">Figura 3.6.15 · Comedero: crecimiento antiestético</w:t>
              <w:tab/>
              <w:t xml:space="default">556</w:t>
            </w:r>
          </w:hyperlink>
        </w:p>
        <w:p>
          <w:pPr>
            <w:pStyle w:val="TOC1"/>
            <w:tabs>
              <w:tab w:val="clear" w:pos="9026"/>
              <w:tab w:val="right" w:pos="9025" w:leader="dot"/>
            </w:tabs>
          </w:pPr>
          <w:hyperlink w:history="1" w:anchor="b_fig_3_6_16">
            <w:r>
              <w:rPr>
                <w:rStyle w:val="IndexLink"/>
              </w:rPr>
              <w:t xml:space="default">Figura 3.6.16 · Comedero: desechos de aves</w:t>
              <w:tab/>
              <w:t xml:space="default">557</w:t>
            </w:r>
          </w:hyperlink>
        </w:p>
        <w:p>
          <w:pPr>
            <w:pStyle w:val="TOC1"/>
            <w:tabs>
              <w:tab w:val="clear" w:pos="9026"/>
              <w:tab w:val="right" w:pos="9025" w:leader="dot"/>
            </w:tabs>
          </w:pPr>
          <w:hyperlink w:history="1" w:anchor="b_fig_3_6_17">
            <w:r>
              <w:rPr>
                <w:rStyle w:val="IndexLink"/>
              </w:rPr>
              <w:t xml:space="default">Figura 3.6.17 · Explorando estructuras sistémicas tangibles</w:t>
              <w:tab/>
              <w:t xml:space="default">559</w:t>
            </w:r>
          </w:hyperlink>
        </w:p>
        <w:p>
          <w:pPr>
            <w:pStyle w:val="TOC1"/>
            <w:tabs>
              <w:tab w:val="clear" w:pos="9026"/>
              <w:tab w:val="right" w:pos="9025" w:leader="dot"/>
            </w:tabs>
          </w:pPr>
          <w:hyperlink w:history="1" w:anchor="b_fig_3_6_18">
            <w:r>
              <w:rPr>
                <w:rStyle w:val="IndexLink"/>
              </w:rPr>
              <w:t xml:space="default">Figura 3.6.18 · Estructuras y comportamientos sistémicos</w:t>
              <w:tab/>
              <w:t xml:space="default">560</w:t>
            </w:r>
          </w:hyperlink>
        </w:p>
        <w:p>
          <w:pPr>
            <w:pStyle w:val="TOC1"/>
            <w:tabs>
              <w:tab w:val="clear" w:pos="9026"/>
              <w:tab w:val="right" w:pos="9025" w:leader="dot"/>
            </w:tabs>
          </w:pPr>
          <w:hyperlink w:history="1" w:anchor="b_fig_3_6_19">
            <w:r>
              <w:rPr>
                <w:rStyle w:val="IndexLink"/>
              </w:rPr>
              <w:t xml:space="default">Figura 3.6.19 · El hábito de explorar estructuras sistémicas</w:t>
              <w:tab/>
              <w:t xml:space="default">562</w:t>
            </w:r>
          </w:hyperlink>
        </w:p>
        <w:p>
          <w:pPr>
            <w:pStyle w:val="TOC1"/>
            <w:tabs>
              <w:tab w:val="clear" w:pos="9026"/>
              <w:tab w:val="right" w:pos="9025" w:leader="dot"/>
            </w:tabs>
          </w:pPr>
          <w:hyperlink w:history="1" w:anchor="b_fig_3_7_1">
            <w:r>
              <w:rPr>
                <w:rStyle w:val="IndexLink"/>
              </w:rPr>
              <w:t xml:space="default">Figura 3.7.1 · Reconoce el impacto de las demoras</w:t>
              <w:tab/>
              <w:t xml:space="default">584</w:t>
            </w:r>
          </w:hyperlink>
        </w:p>
        <w:p>
          <w:pPr>
            <w:pStyle w:val="TOC1"/>
            <w:tabs>
              <w:tab w:val="clear" w:pos="9026"/>
              <w:tab w:val="right" w:pos="9025" w:leader="dot"/>
            </w:tabs>
          </w:pPr>
          <w:hyperlink w:history="1" w:anchor="b_fig_3_8_1">
            <w:r>
              <w:rPr>
                <w:rStyle w:val="IndexLink"/>
              </w:rPr>
              <w:t xml:space="default">Figura 3.8.1 · Los cinco hábitos del pensador sistémico complejo</w:t>
              <w:tab/>
              <w:t xml:space="default">603</w:t>
            </w:r>
          </w:hyperlink>
        </w:p>
        <w:p>
          <w:pPr>
            <w:pStyle w:val="TOC1"/>
            <w:tabs>
              <w:tab w:val="clear" w:pos="9026"/>
              <w:tab w:val="right" w:pos="9025" w:leader="dot"/>
            </w:tabs>
          </w:pPr>
          <w:hyperlink w:history="1" w:anchor="b_fig_3_8_2">
            <w:r>
              <w:rPr>
                <w:rStyle w:val="IndexLink"/>
              </w:rPr>
              <w:t xml:space="default">Figura 3.8.2 · Observar cambios, patrones y tendencias</w:t>
              <w:tab/>
              <w:t xml:space="default">605</w:t>
            </w:r>
          </w:hyperlink>
        </w:p>
        <w:p>
          <w:pPr>
            <w:pStyle w:val="TOC1"/>
            <w:tabs>
              <w:tab w:val="clear" w:pos="9026"/>
              <w:tab w:val="right" w:pos="9025" w:leader="dot"/>
            </w:tabs>
          </w:pPr>
          <w:hyperlink w:history="1" w:anchor="b_fig_3_8_3">
            <w:r>
              <w:rPr>
                <w:rStyle w:val="IndexLink"/>
              </w:rPr>
              <w:t xml:space="default">Figura 3.8.3 · Ciclos de vida de productos y proyectos</w:t>
              <w:tab/>
              <w:t xml:space="default">608</w:t>
            </w:r>
          </w:hyperlink>
        </w:p>
        <w:p>
          <w:pPr>
            <w:pStyle w:val="TOC1"/>
            <w:tabs>
              <w:tab w:val="clear" w:pos="9026"/>
              <w:tab w:val="right" w:pos="9025" w:leader="dot"/>
            </w:tabs>
          </w:pPr>
          <w:hyperlink w:history="1" w:anchor="b_fig_3_8_4">
            <w:r>
              <w:rPr>
                <w:rStyle w:val="IndexLink"/>
              </w:rPr>
              <w:t xml:space="default">Figura 3.8.4 · Otras representaciones de ciclos de vida</w:t>
              <w:tab/>
              <w:t xml:space="default">609</w:t>
            </w:r>
          </w:hyperlink>
        </w:p>
        <w:p>
          <w:pPr>
            <w:pStyle w:val="TOC1"/>
            <w:tabs>
              <w:tab w:val="clear" w:pos="9026"/>
              <w:tab w:val="right" w:pos="9025" w:leader="dot"/>
            </w:tabs>
          </w:pPr>
          <w:hyperlink w:history="1" w:anchor="b_fig_3_9_1">
            <w:r>
              <w:rPr>
                <w:rStyle w:val="IndexLink"/>
              </w:rPr>
              <w:t xml:space="default">Figura 3.9.1 · Conexiones en sistemas humanos</w:t>
              <w:tab/>
              <w:t xml:space="default">628</w:t>
            </w:r>
          </w:hyperlink>
        </w:p>
        <w:p>
          <w:pPr>
            <w:pStyle w:val="TOC1"/>
            <w:tabs>
              <w:tab w:val="clear" w:pos="9026"/>
              <w:tab w:val="right" w:pos="9025" w:leader="dot"/>
            </w:tabs>
          </w:pPr>
          <w:hyperlink w:history="1" w:anchor="b_fig_3_9_2">
            <w:r>
              <w:rPr>
                <w:rStyle w:val="IndexLink"/>
              </w:rPr>
              <w:t xml:space="default">Figura 3.9.2 · Nueve hábitos en dos grupos</w:t>
              <w:tab/>
              <w:t xml:space="default">630</w:t>
            </w:r>
          </w:hyperlink>
        </w:p>
        <w:p>
          <w:pPr>
            <w:pStyle w:val="TOC1"/>
            <w:tabs>
              <w:tab w:val="clear" w:pos="9026"/>
              <w:tab w:val="right" w:pos="9025" w:leader="dot"/>
            </w:tabs>
          </w:pPr>
          <w:hyperlink w:history="1" w:anchor="b_fig_3_9_3">
            <w:r>
              <w:rPr>
                <w:rStyle w:val="IndexLink"/>
              </w:rPr>
              <w:t xml:space="default">Figura 3.9.3 · Cinco hábitos del pensamiento complejo</w:t>
              <w:tab/>
              <w:t xml:space="default">631</w:t>
            </w:r>
          </w:hyperlink>
        </w:p>
        <w:p>
          <w:pPr>
            <w:pStyle w:val="TOC1"/>
            <w:tabs>
              <w:tab w:val="clear" w:pos="9026"/>
              <w:tab w:val="right" w:pos="9025" w:leader="dot"/>
            </w:tabs>
          </w:pPr>
          <w:hyperlink w:history="1" w:anchor="b_fig_4_1_1">
            <w:r>
              <w:rPr>
                <w:rStyle w:val="IndexLink"/>
              </w:rPr>
              <w:t xml:space="default">Figura 4.1.1 · Compensación entre proceso y demora</w:t>
              <w:tab/>
              <w:t xml:space="default">661</w:t>
            </w:r>
          </w:hyperlink>
        </w:p>
        <w:p>
          <w:pPr>
            <w:pStyle w:val="TOC1"/>
            <w:tabs>
              <w:tab w:val="clear" w:pos="9026"/>
              <w:tab w:val="right" w:pos="9025" w:leader="dot"/>
            </w:tabs>
          </w:pPr>
          <w:hyperlink w:history="1" w:anchor="b_fig_4_1_2">
            <w:r>
              <w:rPr>
                <w:rStyle w:val="IndexLink"/>
              </w:rPr>
              <w:t xml:space="default">Figura 4.1.2 · Límites del crecimiento</w:t>
              <w:tab/>
              <w:t xml:space="default">662</w:t>
            </w:r>
          </w:hyperlink>
        </w:p>
        <w:p>
          <w:pPr>
            <w:pStyle w:val="TOC1"/>
            <w:tabs>
              <w:tab w:val="clear" w:pos="9026"/>
              <w:tab w:val="right" w:pos="9025" w:leader="dot"/>
            </w:tabs>
          </w:pPr>
          <w:hyperlink w:history="1" w:anchor="b_fig_4_1_3">
            <w:r>
              <w:rPr>
                <w:rStyle w:val="IndexLink"/>
              </w:rPr>
              <w:t xml:space="default">Figura 4.1.3 · Desplazamiento de la carga</w:t>
              <w:tab/>
              <w:t xml:space="default">664</w:t>
            </w:r>
          </w:hyperlink>
        </w:p>
        <w:p>
          <w:pPr>
            <w:pStyle w:val="TOC1"/>
            <w:tabs>
              <w:tab w:val="clear" w:pos="9026"/>
              <w:tab w:val="right" w:pos="9025" w:leader="dot"/>
            </w:tabs>
          </w:pPr>
          <w:hyperlink w:history="1" w:anchor="b_fig_4_1_4">
            <w:r>
              <w:rPr>
                <w:rStyle w:val="IndexLink"/>
              </w:rPr>
              <w:t xml:space="default">Figura 4.1.4 · Desplazamiento de la carga hacia la intervención</w:t>
              <w:tab/>
              <w:t xml:space="default">666</w:t>
            </w:r>
          </w:hyperlink>
        </w:p>
        <w:p>
          <w:pPr>
            <w:pStyle w:val="TOC1"/>
            <w:tabs>
              <w:tab w:val="clear" w:pos="9026"/>
              <w:tab w:val="right" w:pos="9025" w:leader="dot"/>
            </w:tabs>
          </w:pPr>
          <w:hyperlink w:history="1" w:anchor="b_fig_4_1_5">
            <w:r>
              <w:rPr>
                <w:rStyle w:val="IndexLink"/>
              </w:rPr>
              <w:t xml:space="default">Figura 4.1.5 · Erosión de metas</w:t>
              <w:tab/>
              <w:t xml:space="default">667</w:t>
            </w:r>
          </w:hyperlink>
        </w:p>
        <w:p>
          <w:pPr>
            <w:pStyle w:val="TOC1"/>
            <w:tabs>
              <w:tab w:val="clear" w:pos="9026"/>
              <w:tab w:val="right" w:pos="9025" w:leader="dot"/>
            </w:tabs>
          </w:pPr>
          <w:hyperlink w:history="1" w:anchor="b_fig_4_1_6">
            <w:r>
              <w:rPr>
                <w:rStyle w:val="IndexLink"/>
              </w:rPr>
              <w:t xml:space="default">Figura 4.1.6 · Escalada</w:t>
              <w:tab/>
              <w:t xml:space="default">669</w:t>
            </w:r>
          </w:hyperlink>
        </w:p>
        <w:p>
          <w:pPr>
            <w:pStyle w:val="TOC1"/>
            <w:tabs>
              <w:tab w:val="clear" w:pos="9026"/>
              <w:tab w:val="right" w:pos="9025" w:leader="dot"/>
            </w:tabs>
          </w:pPr>
          <w:hyperlink w:history="1" w:anchor="b_fig_4_1_7">
            <w:r>
              <w:rPr>
                <w:rStyle w:val="IndexLink"/>
              </w:rPr>
              <w:t xml:space="default">Figura 4.1.7 · Éxito para quien tiene éxito</w:t>
              <w:tab/>
              <w:t xml:space="default">670</w:t>
            </w:r>
          </w:hyperlink>
        </w:p>
        <w:p>
          <w:pPr>
            <w:pStyle w:val="TOC1"/>
            <w:tabs>
              <w:tab w:val="clear" w:pos="9026"/>
              <w:tab w:val="right" w:pos="9025" w:leader="dot"/>
            </w:tabs>
          </w:pPr>
          <w:hyperlink w:history="1" w:anchor="b_fig_4_1_8">
            <w:r>
              <w:rPr>
                <w:rStyle w:val="IndexLink"/>
              </w:rPr>
              <w:t xml:space="default">Figura 4.1.8 · Tragedia de los comunes</w:t>
              <w:tab/>
              <w:t xml:space="default">672</w:t>
            </w:r>
          </w:hyperlink>
        </w:p>
        <w:p>
          <w:pPr>
            <w:pStyle w:val="TOC1"/>
            <w:tabs>
              <w:tab w:val="clear" w:pos="9026"/>
              <w:tab w:val="right" w:pos="9025" w:leader="dot"/>
            </w:tabs>
          </w:pPr>
          <w:hyperlink w:history="1" w:anchor="b_fig_4_1_9">
            <w:r>
              <w:rPr>
                <w:rStyle w:val="IndexLink"/>
              </w:rPr>
              <w:t xml:space="default">Figura 4.1.9 · Soluciones rápidas que fallan</w:t>
              <w:tab/>
              <w:t xml:space="default">674</w:t>
            </w:r>
          </w:hyperlink>
        </w:p>
        <w:p>
          <w:pPr>
            <w:pStyle w:val="TOC1"/>
            <w:tabs>
              <w:tab w:val="clear" w:pos="9026"/>
              <w:tab w:val="right" w:pos="9025" w:leader="dot"/>
            </w:tabs>
          </w:pPr>
          <w:hyperlink w:history="1" w:anchor="b_fig_4_1_10">
            <w:r>
              <w:rPr>
                <w:rStyle w:val="IndexLink"/>
              </w:rPr>
              <w:t xml:space="default">Figura 4.1.10 · Crecimiento y subinversión</w:t>
              <w:tab/>
              <w:t xml:space="default">676</w:t>
            </w:r>
          </w:hyperlink>
        </w:p>
        <w:p>
          <w:pPr>
            <w:pStyle w:val="TOC1"/>
            <w:tabs>
              <w:tab w:val="clear" w:pos="9026"/>
              <w:tab w:val="right" w:pos="9025" w:leader="dot"/>
            </w:tabs>
          </w:pPr>
          <w:hyperlink w:history="1" w:anchor="b_fig_4_1_11">
            <w:r>
              <w:rPr>
                <w:rStyle w:val="IndexLink"/>
              </w:rPr>
              <w:t xml:space="default">Figura 4.1.11 · Desplazamiento de la carga</w:t>
              <w:tab/>
              <w:t xml:space="default">678</w:t>
            </w:r>
          </w:hyperlink>
        </w:p>
        <w:p>
          <w:pPr>
            <w:pStyle w:val="TOC1"/>
            <w:tabs>
              <w:tab w:val="clear" w:pos="9026"/>
              <w:tab w:val="right" w:pos="9025" w:leader="dot"/>
            </w:tabs>
          </w:pPr>
          <w:hyperlink w:history="1" w:anchor="b_fig_4_1_12">
            <w:r>
              <w:rPr>
                <w:rStyle w:val="IndexLink"/>
              </w:rPr>
              <w:t xml:space="default">Figura 4.1.12 · Desplazamiento de la carga</w:t>
              <w:tab/>
              <w:t xml:space="default">681</w:t>
            </w:r>
          </w:hyperlink>
        </w:p>
        <w:p>
          <w:pPr>
            <w:pStyle w:val="TOC1"/>
            <w:tabs>
              <w:tab w:val="clear" w:pos="9026"/>
              <w:tab w:val="right" w:pos="9025" w:leader="dot"/>
            </w:tabs>
          </w:pPr>
          <w:hyperlink w:history="1" w:anchor="b_fig_4_1_13">
            <w:r>
              <w:rPr>
                <w:rStyle w:val="IndexLink"/>
              </w:rPr>
              <w:t xml:space="default">Figura 4.1.13 · Arquetipo sistémico: soluciones rápidas que fallan</w:t>
              <w:tab/>
              <w:t xml:space="default">683</w:t>
            </w:r>
          </w:hyperlink>
        </w:p>
        <w:p>
          <w:pPr>
            <w:pStyle w:val="TOC1"/>
            <w:tabs>
              <w:tab w:val="clear" w:pos="9026"/>
              <w:tab w:val="right" w:pos="9025" w:leader="dot"/>
            </w:tabs>
          </w:pPr>
          <w:hyperlink w:history="1" w:anchor="b_fig_4_1_14">
            <w:r>
              <w:rPr>
                <w:rStyle w:val="IndexLink"/>
              </w:rPr>
              <w:t xml:space="default">Figura 4.1.14 · Un ejemplo de soluciones rápidas que fallan para modelar</w:t>
              <w:tab/>
              <w:t xml:space="default">683</w:t>
            </w:r>
          </w:hyperlink>
        </w:p>
        <w:p>
          <w:pPr>
            <w:pStyle w:val="TOC1"/>
            <w:tabs>
              <w:tab w:val="clear" w:pos="9026"/>
              <w:tab w:val="right" w:pos="9025" w:leader="dot"/>
            </w:tabs>
          </w:pPr>
          <w:hyperlink w:history="1" w:anchor="b_fig_4_1_15">
            <w:r>
              <w:rPr>
                <w:rStyle w:val="IndexLink"/>
              </w:rPr>
              <w:t xml:space="default">Figura 4.1.15 · Consecuencias no deseadas</w:t>
              <w:tab/>
              <w:t xml:space="default">684</w:t>
            </w:r>
          </w:hyperlink>
        </w:p>
        <w:p>
          <w:pPr>
            <w:pStyle w:val="TOC1"/>
            <w:tabs>
              <w:tab w:val="clear" w:pos="9026"/>
              <w:tab w:val="right" w:pos="9025" w:leader="dot"/>
            </w:tabs>
          </w:pPr>
          <w:hyperlink w:history="1" w:anchor="b_fig_4_1_16">
            <w:r>
              <w:rPr>
                <w:rStyle w:val="IndexLink"/>
              </w:rPr>
              <w:t xml:space="default">Figura 4.1.16 · Arquetipo sistémico: desplazamiento de la carga</w:t>
              <w:tab/>
              <w:t xml:space="default">684</w:t>
            </w:r>
          </w:hyperlink>
        </w:p>
        <w:p>
          <w:pPr>
            <w:pStyle w:val="TOC1"/>
            <w:tabs>
              <w:tab w:val="clear" w:pos="9026"/>
              <w:tab w:val="right" w:pos="9025" w:leader="dot"/>
            </w:tabs>
          </w:pPr>
          <w:hyperlink w:history="1" w:anchor="b_fig_4_1_17">
            <w:r>
              <w:rPr>
                <w:rStyle w:val="IndexLink"/>
              </w:rPr>
              <w:t xml:space="default">Figura 4.1.17 · Una historia del desplazamiento de la carga</w:t>
              <w:tab/>
              <w:t xml:space="default">685</w:t>
            </w:r>
          </w:hyperlink>
        </w:p>
        <w:p>
          <w:pPr>
            <w:pStyle w:val="TOC1"/>
            <w:tabs>
              <w:tab w:val="clear" w:pos="9026"/>
              <w:tab w:val="right" w:pos="9025" w:leader="dot"/>
            </w:tabs>
          </w:pPr>
          <w:hyperlink w:history="1" w:anchor="b_fig_4_1_18">
            <w:r>
              <w:rPr>
                <w:rStyle w:val="IndexLink"/>
              </w:rPr>
              <w:t xml:space="default">Figura 4.1.18 · Arquetipos sistémicos más comunes</w:t>
              <w:tab/>
              <w:t xml:space="default">685</w:t>
            </w:r>
          </w:hyperlink>
        </w:p>
        <w:p>
          <w:pPr>
            <w:pStyle w:val="TOC1"/>
            <w:tabs>
              <w:tab w:val="clear" w:pos="9026"/>
              <w:tab w:val="right" w:pos="9025" w:leader="dot"/>
            </w:tabs>
          </w:pPr>
          <w:hyperlink w:history="1" w:anchor="b_fig_4_1_19">
            <w:r>
              <w:rPr>
                <w:rStyle w:val="IndexLink"/>
              </w:rPr>
              <w:t xml:space="default">Figura 4.1.19 · Arquetipos sistémicos base para comprender las dinámicas de los sistemas</w:t>
              <w:tab/>
              <w:t xml:space="default">686</w:t>
            </w:r>
          </w:hyperlink>
        </w:p>
        <w:p>
          <w:pPr>
            <w:pStyle w:val="TOC1"/>
            <w:tabs>
              <w:tab w:val="clear" w:pos="9026"/>
              <w:tab w:val="right" w:pos="9025" w:leader="dot"/>
            </w:tabs>
          </w:pPr>
          <w:hyperlink w:history="1" w:anchor="b_fig_4_1_20">
            <w:r>
              <w:rPr>
                <w:rStyle w:val="IndexLink"/>
              </w:rPr>
              <w:t xml:space="default">Figura 4.1.20 · Arquetipo sistémico: desplazamiento de la carga</w:t>
              <w:tab/>
              <w:t xml:space="default">686</w:t>
            </w:r>
          </w:hyperlink>
        </w:p>
        <w:p>
          <w:pPr>
            <w:pStyle w:val="TOC1"/>
            <w:tabs>
              <w:tab w:val="clear" w:pos="9026"/>
              <w:tab w:val="right" w:pos="9025" w:leader="dot"/>
            </w:tabs>
          </w:pPr>
          <w:hyperlink w:history="1" w:anchor="b_fig_4_2_1">
            <w:r>
              <w:rPr>
                <w:rStyle w:val="IndexLink"/>
              </w:rPr>
              <w:t xml:space="default">Figura 4.2.1 · Acumulaciones y tasas de cambio</w:t>
              <w:tab/>
              <w:t xml:space="default">716</w:t>
            </w:r>
          </w:hyperlink>
        </w:p>
        <w:p>
          <w:pPr>
            <w:pStyle w:val="TOC1"/>
            <w:tabs>
              <w:tab w:val="clear" w:pos="9026"/>
              <w:tab w:val="right" w:pos="9025" w:leader="dot"/>
            </w:tabs>
          </w:pPr>
          <w:hyperlink w:history="1" w:anchor="b_fig_4_2_2">
            <w:r>
              <w:rPr>
                <w:rStyle w:val="IndexLink"/>
              </w:rPr>
              <w:t xml:space="default">Figura 4.2.2 · Notación de Forrester</w:t>
              <w:tab/>
              <w:t xml:space="default">717</w:t>
            </w:r>
          </w:hyperlink>
        </w:p>
        <w:p>
          <w:pPr>
            <w:pStyle w:val="TOC1"/>
            <w:tabs>
              <w:tab w:val="clear" w:pos="9026"/>
              <w:tab w:val="right" w:pos="9025" w:leader="dot"/>
            </w:tabs>
          </w:pPr>
          <w:hyperlink w:history="1" w:anchor="b_fig_4_2_3">
            <w:r>
              <w:rPr>
                <w:rStyle w:val="IndexLink"/>
              </w:rPr>
              <w:t xml:space="default">Figura 4.2.3 · Capital: derivada eintegral</w:t>
              <w:tab/>
              <w:t xml:space="default">718</w:t>
            </w:r>
          </w:hyperlink>
        </w:p>
        <w:p>
          <w:pPr>
            <w:pStyle w:val="TOC1"/>
            <w:tabs>
              <w:tab w:val="clear" w:pos="9026"/>
              <w:tab w:val="right" w:pos="9025" w:leader="dot"/>
            </w:tabs>
          </w:pPr>
          <w:hyperlink w:history="1" w:anchor="b_fig_4_2_4">
            <w:r>
              <w:rPr>
                <w:rStyle w:val="IndexLink"/>
              </w:rPr>
              <w:t xml:space="default">Figura 4.2.4 · Presta atención a las acumulaciones y sus tasas de cambio</w:t>
              <w:tab/>
              <w:t xml:space="default">719</w:t>
            </w:r>
          </w:hyperlink>
        </w:p>
        <w:p>
          <w:pPr>
            <w:pStyle w:val="TOC1"/>
            <w:tabs>
              <w:tab w:val="clear" w:pos="9026"/>
              <w:tab w:val="right" w:pos="9025" w:leader="dot"/>
            </w:tabs>
          </w:pPr>
          <w:hyperlink w:history="1" w:anchor="b_fig_4_2_5">
            <w:r>
              <w:rPr>
                <w:rStyle w:val="IndexLink"/>
              </w:rPr>
              <w:t xml:space="default">Figura 4.2.5 · Acumulaciones (niveles) y tasas de cambio (flujos)</w:t>
              <w:tab/>
              <w:t xml:space="default">719</w:t>
            </w:r>
          </w:hyperlink>
        </w:p>
        <w:p>
          <w:pPr>
            <w:pStyle w:val="TOC1"/>
            <w:tabs>
              <w:tab w:val="clear" w:pos="9026"/>
              <w:tab w:val="right" w:pos="9025" w:leader="dot"/>
            </w:tabs>
          </w:pPr>
          <w:hyperlink w:history="1" w:anchor="b_fig_4_2_6">
            <w:r>
              <w:rPr>
                <w:rStyle w:val="IndexLink"/>
              </w:rPr>
              <w:t xml:space="default">Figura 4.2.6 · Explorando acumulaciones</w:t>
              <w:tab/>
              <w:t xml:space="default">720</w:t>
            </w:r>
          </w:hyperlink>
        </w:p>
        <w:p>
          <w:pPr>
            <w:pStyle w:val="TOC1"/>
            <w:tabs>
              <w:tab w:val="clear" w:pos="9026"/>
              <w:tab w:val="right" w:pos="9025" w:leader="dot"/>
            </w:tabs>
          </w:pPr>
          <w:hyperlink w:history="1" w:anchor="b_fig_4_2_7">
            <w:r>
              <w:rPr>
                <w:rStyle w:val="IndexLink"/>
              </w:rPr>
              <w:t xml:space="default">Figura 4.2.7 · Otros ejemplos de acumulaciones y tasas de cambio</w:t>
              <w:tab/>
              <w:t xml:space="default">720</w:t>
            </w:r>
          </w:hyperlink>
        </w:p>
        <w:p>
          <w:pPr>
            <w:pStyle w:val="TOC1"/>
            <w:tabs>
              <w:tab w:val="clear" w:pos="9026"/>
              <w:tab w:val="right" w:pos="9025" w:leader="dot"/>
            </w:tabs>
          </w:pPr>
          <w:hyperlink w:history="1" w:anchor="b_fig_4_2_8">
            <w:r>
              <w:rPr>
                <w:rStyle w:val="IndexLink"/>
              </w:rPr>
              <w:t xml:space="default">Figura 4.2.8 · Representación gráfica de variables de flujo y de nivel: diagrama de Forrester</w:t>
              <w:tab/>
              <w:t xml:space="default">721</w:t>
            </w:r>
          </w:hyperlink>
        </w:p>
        <w:p>
          <w:pPr>
            <w:pStyle w:val="TOC1"/>
            <w:tabs>
              <w:tab w:val="clear" w:pos="9026"/>
              <w:tab w:val="right" w:pos="9025" w:leader="dot"/>
            </w:tabs>
          </w:pPr>
          <w:hyperlink w:history="1" w:anchor="b_fig_4_3_1">
            <w:r>
              <w:rPr>
                <w:rStyle w:val="IndexLink"/>
              </w:rPr>
              <w:t xml:space="default">Figura 4.3.1 · Epidemia: diagrama causal</w:t>
              <w:tab/>
              <w:t xml:space="default">744</w:t>
            </w:r>
          </w:hyperlink>
        </w:p>
        <w:p>
          <w:pPr>
            <w:pStyle w:val="TOC1"/>
            <w:tabs>
              <w:tab w:val="clear" w:pos="9026"/>
              <w:tab w:val="right" w:pos="9025" w:leader="dot"/>
            </w:tabs>
          </w:pPr>
          <w:hyperlink w:history="1" w:anchor="b_fig_4_3_2">
            <w:r>
              <w:rPr>
                <w:rStyle w:val="IndexLink"/>
              </w:rPr>
              <w:t xml:space="default">Figura 4.3.2 · Parámetros para escenarios</w:t>
              <w:tab/>
              <w:t xml:space="default">745</w:t>
            </w:r>
          </w:hyperlink>
        </w:p>
        <w:p>
          <w:pPr>
            <w:pStyle w:val="TOC1"/>
            <w:tabs>
              <w:tab w:val="clear" w:pos="9026"/>
              <w:tab w:val="right" w:pos="9025" w:leader="dot"/>
            </w:tabs>
          </w:pPr>
          <w:hyperlink w:history="1" w:anchor="b_fig_4_3_3">
            <w:r>
              <w:rPr>
                <w:rStyle w:val="IndexLink"/>
              </w:rPr>
              <w:t xml:space="default">Figura 4.3.3 · Capacidad de planta: conversión</w:t>
              <w:tab/>
              <w:t xml:space="default">747</w:t>
            </w:r>
          </w:hyperlink>
        </w:p>
        <w:p>
          <w:pPr>
            <w:pStyle w:val="TOC1"/>
            <w:tabs>
              <w:tab w:val="clear" w:pos="9026"/>
              <w:tab w:val="right" w:pos="9025" w:leader="dot"/>
            </w:tabs>
          </w:pPr>
          <w:hyperlink w:history="1" w:anchor="b_fig_4_3_4">
            <w:r>
              <w:rPr>
                <w:rStyle w:val="IndexLink"/>
              </w:rPr>
              <w:t xml:space="default">Figura 4.3.4 · Capacidad de planta: conversión</w:t>
              <w:tab/>
              <w:t xml:space="default">748</w:t>
            </w:r>
          </w:hyperlink>
        </w:p>
        <w:p>
          <w:pPr>
            <w:pStyle w:val="TOC1"/>
            <w:tabs>
              <w:tab w:val="clear" w:pos="9026"/>
              <w:tab w:val="right" w:pos="9025" w:leader="dot"/>
            </w:tabs>
          </w:pPr>
          <w:hyperlink w:history="1" w:anchor="b_fig_4_3_5">
            <w:r>
              <w:rPr>
                <w:rStyle w:val="IndexLink"/>
              </w:rPr>
              <w:t xml:space="default">Figura 4.3.5 · Capital einterés</w:t>
              <w:tab/>
              <w:t xml:space="default">749</w:t>
            </w:r>
          </w:hyperlink>
        </w:p>
        <w:p>
          <w:pPr>
            <w:pStyle w:val="TOC1"/>
            <w:tabs>
              <w:tab w:val="clear" w:pos="9026"/>
              <w:tab w:val="right" w:pos="9025" w:leader="dot"/>
            </w:tabs>
          </w:pPr>
          <w:hyperlink w:history="1" w:anchor="b_fig_4_3_6">
            <w:r>
              <w:rPr>
                <w:rStyle w:val="IndexLink"/>
              </w:rPr>
              <w:t xml:space="default">Figura 4.3.6 · Huevos y gallinas: convertir elDCC</w:t>
              <w:tab/>
              <w:t xml:space="default">750</w:t>
            </w:r>
          </w:hyperlink>
        </w:p>
        <w:p>
          <w:pPr>
            <w:pStyle w:val="TOC1"/>
            <w:tabs>
              <w:tab w:val="clear" w:pos="9026"/>
              <w:tab w:val="right" w:pos="9025" w:leader="dot"/>
            </w:tabs>
          </w:pPr>
          <w:hyperlink w:history="1" w:anchor="b_fig_4_3_7">
            <w:r>
              <w:rPr>
                <w:rStyle w:val="IndexLink"/>
              </w:rPr>
              <w:t xml:space="default">Figura 4.3.7 · Huevos y gallinas: convertir elDCC</w:t>
              <w:tab/>
              <w:t xml:space="default">751</w:t>
            </w:r>
          </w:hyperlink>
        </w:p>
        <w:p>
          <w:pPr>
            <w:pStyle w:val="TOC1"/>
            <w:tabs>
              <w:tab w:val="clear" w:pos="9026"/>
              <w:tab w:val="right" w:pos="9025" w:leader="dot"/>
            </w:tabs>
          </w:pPr>
          <w:hyperlink w:history="1" w:anchor="b_fig_4_3_8">
            <w:r>
              <w:rPr>
                <w:rStyle w:val="IndexLink"/>
              </w:rPr>
              <w:t xml:space="default">Figura 4.3.8 · Hasta ahora hemos modelado diagramas de causa y efecto o diagramas de influencias: proceso de propagación de una epidemia</w:t>
              <w:tab/>
              <w:t xml:space="default">752</w:t>
            </w:r>
          </w:hyperlink>
        </w:p>
        <w:p>
          <w:pPr>
            <w:pStyle w:val="TOC1"/>
            <w:tabs>
              <w:tab w:val="clear" w:pos="9026"/>
              <w:tab w:val="right" w:pos="9025" w:leader="dot"/>
            </w:tabs>
          </w:pPr>
          <w:hyperlink w:history="1" w:anchor="b_fig_4_3_9">
            <w:r>
              <w:rPr>
                <w:rStyle w:val="IndexLink"/>
              </w:rPr>
              <w:t xml:space="default">Figura 4.3.9 · Convirtiendo el diagrama de causa y efecto en un diagrama de flujos y niveles</w:t>
              <w:tab/>
              <w:t xml:space="default">752</w:t>
            </w:r>
          </w:hyperlink>
        </w:p>
        <w:p>
          <w:pPr>
            <w:pStyle w:val="TOC1"/>
            <w:tabs>
              <w:tab w:val="clear" w:pos="9026"/>
              <w:tab w:val="right" w:pos="9025" w:leader="dot"/>
            </w:tabs>
          </w:pPr>
          <w:hyperlink w:history="1" w:anchor="b_fig_4_3_10">
            <w:r>
              <w:rPr>
                <w:rStyle w:val="IndexLink"/>
              </w:rPr>
              <w:t xml:space="default">Figura 4.3.10 · Diagrama de flujo y nivel para la propagación de una epidemia</w:t>
              <w:tab/>
              <w:t xml:space="default">753</w:t>
            </w:r>
          </w:hyperlink>
        </w:p>
        <w:p>
          <w:pPr>
            <w:pStyle w:val="TOC1"/>
            <w:tabs>
              <w:tab w:val="clear" w:pos="9026"/>
              <w:tab w:val="right" w:pos="9025" w:leader="dot"/>
            </w:tabs>
          </w:pPr>
          <w:hyperlink w:history="1" w:anchor="b_fig_4_3_11">
            <w:r>
              <w:rPr>
                <w:rStyle w:val="IndexLink"/>
              </w:rPr>
              <w:t xml:space="default">Figura 4.3.11 · Conversión de DCC a diagramas de flujo y niveles</w:t>
              <w:tab/>
              <w:t xml:space="default">753</w:t>
            </w:r>
          </w:hyperlink>
        </w:p>
        <w:p>
          <w:pPr>
            <w:pStyle w:val="TOC1"/>
            <w:tabs>
              <w:tab w:val="clear" w:pos="9026"/>
              <w:tab w:val="right" w:pos="9025" w:leader="dot"/>
            </w:tabs>
          </w:pPr>
          <w:hyperlink w:history="1" w:anchor="b_fig_4_4_1">
            <w:r>
              <w:rPr>
                <w:rStyle w:val="IndexLink"/>
              </w:rPr>
              <w:t xml:space="default">Figura 4.4.1 · DYNAMO y curva de la epidemia</w:t>
              <w:tab/>
              <w:t xml:space="default">784</w:t>
            </w:r>
          </w:hyperlink>
        </w:p>
        <w:p>
          <w:pPr>
            <w:pStyle w:val="TOC1"/>
            <w:tabs>
              <w:tab w:val="clear" w:pos="9026"/>
              <w:tab w:val="right" w:pos="9025" w:leader="dot"/>
            </w:tabs>
          </w:pPr>
          <w:hyperlink w:history="1" w:anchor="b_fig_4_4_2">
            <w:r>
              <w:rPr>
                <w:rStyle w:val="IndexLink"/>
              </w:rPr>
              <w:t xml:space="default">Figura 4.4.2 · DYNAMO y curva de la epidemia</w:t>
              <w:tab/>
              <w:t xml:space="default">785</w:t>
            </w:r>
          </w:hyperlink>
        </w:p>
        <w:p>
          <w:pPr>
            <w:pStyle w:val="TOC1"/>
            <w:tabs>
              <w:tab w:val="clear" w:pos="9026"/>
              <w:tab w:val="right" w:pos="9025" w:leader="dot"/>
            </w:tabs>
          </w:pPr>
          <w:hyperlink w:history="1" w:anchor="b_fig_4_4_3">
            <w:r>
              <w:rPr>
                <w:rStyle w:val="IndexLink"/>
              </w:rPr>
              <w:t xml:space="default">Figura 4.4.3 · Componentes y escenario de población</w:t>
              <w:tab/>
              <w:t xml:space="default">786</w:t>
            </w:r>
          </w:hyperlink>
        </w:p>
        <w:p>
          <w:pPr>
            <w:pStyle w:val="TOC1"/>
            <w:tabs>
              <w:tab w:val="clear" w:pos="9026"/>
              <w:tab w:val="right" w:pos="9025" w:leader="dot"/>
            </w:tabs>
          </w:pPr>
          <w:hyperlink w:history="1" w:anchor="b_fig_4_4_4">
            <w:r>
              <w:rPr>
                <w:rStyle w:val="IndexLink"/>
              </w:rPr>
              <w:t xml:space="default">Figura 4.4.4 · Ecuaciones, DYNAMO y curva de epidemia</w:t>
              <w:tab/>
              <w:t xml:space="default">789</w:t>
            </w:r>
          </w:hyperlink>
        </w:p>
        <w:p>
          <w:pPr>
            <w:pStyle w:val="TOC1"/>
            <w:tabs>
              <w:tab w:val="clear" w:pos="9026"/>
              <w:tab w:val="right" w:pos="9025" w:leader="dot"/>
            </w:tabs>
          </w:pPr>
          <w:hyperlink w:history="1" w:anchor="b_fig_4_4_5">
            <w:r>
              <w:rPr>
                <w:rStyle w:val="IndexLink"/>
              </w:rPr>
              <w:t xml:space="default">Figura 4.4.5 · Seis fases de construir el modelo</w:t>
              <w:tab/>
              <w:t xml:space="default">790</w:t>
            </w:r>
          </w:hyperlink>
        </w:p>
        <w:p>
          <w:pPr>
            <w:pStyle w:val="TOC1"/>
            <w:tabs>
              <w:tab w:val="clear" w:pos="9026"/>
              <w:tab w:val="right" w:pos="9025" w:leader="dot"/>
            </w:tabs>
          </w:pPr>
          <w:hyperlink w:history="1" w:anchor="b_fig_4_4_6">
            <w:r>
              <w:rPr>
                <w:rStyle w:val="IndexLink"/>
              </w:rPr>
              <w:t xml:space="default">Figura 4.4.6 · Ventajas einconvenientes</w:t>
              <w:tab/>
              <w:t xml:space="default">791</w:t>
            </w:r>
          </w:hyperlink>
        </w:p>
        <w:p>
          <w:pPr>
            <w:pStyle w:val="TOC1"/>
            <w:tabs>
              <w:tab w:val="clear" w:pos="9026"/>
              <w:tab w:val="right" w:pos="9025" w:leader="dot"/>
            </w:tabs>
          </w:pPr>
          <w:hyperlink w:history="1" w:anchor="b_fig_4_4_7">
            <w:r>
              <w:rPr>
                <w:rStyle w:val="IndexLink"/>
              </w:rPr>
              <w:t xml:space="default">Figura 4.4.7 · Interfaz de VensimPLE</w:t>
              <w:tab/>
              <w:t xml:space="default">792</w:t>
            </w:r>
          </w:hyperlink>
        </w:p>
        <w:p>
          <w:pPr>
            <w:pStyle w:val="TOC1"/>
            <w:tabs>
              <w:tab w:val="clear" w:pos="9026"/>
              <w:tab w:val="right" w:pos="9025" w:leader="dot"/>
            </w:tabs>
          </w:pPr>
          <w:hyperlink w:history="1" w:anchor="b_fig_4_4_8">
            <w:r>
              <w:rPr>
                <w:rStyle w:val="IndexLink"/>
              </w:rPr>
              <w:t xml:space="default">Figura 4.4.8 · Modelar para aprender</w:t>
              <w:tab/>
              <w:t xml:space="default">793</w:t>
            </w:r>
          </w:hyperlink>
        </w:p>
        <w:p>
          <w:pPr>
            <w:pStyle w:val="TOC1"/>
            <w:tabs>
              <w:tab w:val="clear" w:pos="9026"/>
              <w:tab w:val="right" w:pos="9025" w:leader="dot"/>
            </w:tabs>
          </w:pPr>
          <w:hyperlink w:history="1" w:anchor="b_fig_4_4_9">
            <w:r>
              <w:rPr>
                <w:rStyle w:val="IndexLink"/>
              </w:rPr>
              <w:t xml:space="default">Figura 4.4.9 · Modelar para explicar</w:t>
              <w:tab/>
              <w:t xml:space="default">794</w:t>
            </w:r>
          </w:hyperlink>
        </w:p>
        <w:p>
          <w:pPr>
            <w:pStyle w:val="TOC1"/>
            <w:tabs>
              <w:tab w:val="clear" w:pos="9026"/>
              <w:tab w:val="right" w:pos="9025" w:leader="dot"/>
            </w:tabs>
          </w:pPr>
          <w:hyperlink w:history="1" w:anchor="b_fig_4_4_10">
            <w:r>
              <w:rPr>
                <w:rStyle w:val="IndexLink"/>
              </w:rPr>
              <w:t xml:space="default">Figura 4.4.10 · Modelar para intervenir</w:t>
              <w:tab/>
              <w:t xml:space="default">795</w:t>
            </w:r>
          </w:hyperlink>
        </w:p>
        <w:p>
          <w:pPr>
            <w:pStyle w:val="TOC1"/>
            <w:tabs>
              <w:tab w:val="clear" w:pos="9026"/>
              <w:tab w:val="right" w:pos="9025" w:leader="dot"/>
            </w:tabs>
          </w:pPr>
          <w:hyperlink w:history="1" w:anchor="b_fig_4_4_11">
            <w:r>
              <w:rPr>
                <w:rStyle w:val="IndexLink"/>
              </w:rPr>
              <w:t xml:space="default">Figura 4.4.11 · Ambientes de desarrollo</w:t>
              <w:tab/>
              <w:t xml:space="default">796</w:t>
            </w:r>
          </w:hyperlink>
        </w:p>
        <w:p>
          <w:pPr>
            <w:pStyle w:val="TOC1"/>
            <w:tabs>
              <w:tab w:val="clear" w:pos="9026"/>
              <w:tab w:val="right" w:pos="9025" w:leader="dot"/>
            </w:tabs>
          </w:pPr>
          <w:hyperlink w:history="1" w:anchor="b_fig_4_4_12">
            <w:r>
              <w:rPr>
                <w:rStyle w:val="IndexLink"/>
              </w:rPr>
              <w:t xml:space="default">Figura 4.4.12 · El almacén: entrada y dos salidas</w:t>
              <w:tab/>
              <w:t xml:space="default">797</w:t>
            </w:r>
          </w:hyperlink>
        </w:p>
        <w:p>
          <w:pPr>
            <w:pStyle w:val="TOC1"/>
            <w:tabs>
              <w:tab w:val="clear" w:pos="9026"/>
              <w:tab w:val="right" w:pos="9025" w:leader="dot"/>
            </w:tabs>
          </w:pPr>
          <w:hyperlink w:history="1" w:anchor="b_fig_4_4_13">
            <w:r>
              <w:rPr>
                <w:rStyle w:val="IndexLink"/>
              </w:rPr>
              <w:t xml:space="default">Figura 4.4.13 · Modelado de réplica</w:t>
              <w:tab/>
              <w:t xml:space="default">798</w:t>
            </w:r>
          </w:hyperlink>
        </w:p>
        <w:p>
          <w:pPr>
            <w:pStyle w:val="TOC1"/>
            <w:tabs>
              <w:tab w:val="clear" w:pos="9026"/>
              <w:tab w:val="right" w:pos="9025" w:leader="dot"/>
            </w:tabs>
          </w:pPr>
          <w:hyperlink w:history="1" w:anchor="b_fig_4_4_14">
            <w:r>
              <w:rPr>
                <w:rStyle w:val="IndexLink"/>
              </w:rPr>
              <w:t xml:space="default">Figura 4.4.14 · Modelado de reconstrucción</w:t>
              <w:tab/>
              <w:t xml:space="default">799</w:t>
            </w:r>
          </w:hyperlink>
        </w:p>
        <w:p>
          <w:pPr>
            <w:pStyle w:val="TOC1"/>
            <w:tabs>
              <w:tab w:val="clear" w:pos="9026"/>
              <w:tab w:val="right" w:pos="9025" w:leader="dot"/>
            </w:tabs>
          </w:pPr>
          <w:hyperlink w:history="1" w:anchor="b_fig_4_4_15">
            <w:r>
              <w:rPr>
                <w:rStyle w:val="IndexLink"/>
              </w:rPr>
              <w:t xml:space="default">Figura 4.4.15 · Modelado de construcción</w:t>
              <w:tab/>
              <w:t xml:space="default">800</w:t>
            </w:r>
          </w:hyperlink>
        </w:p>
        <w:p>
          <w:pPr>
            <w:pStyle w:val="TOC1"/>
            <w:tabs>
              <w:tab w:val="clear" w:pos="9026"/>
              <w:tab w:val="right" w:pos="9025" w:leader="dot"/>
            </w:tabs>
          </w:pPr>
          <w:hyperlink w:history="1" w:anchor="b_fig_4_4_16">
            <w:r>
              <w:rPr>
                <w:rStyle w:val="IndexLink"/>
              </w:rPr>
              <w:t xml:space="default">Figura 4.4.16 · Diagramas de flujos y niveles como base para la simulación del comportamiento de un sistema</w:t>
              <w:tab/>
              <w:t xml:space="default">801</w:t>
            </w:r>
          </w:hyperlink>
        </w:p>
        <w:p>
          <w:pPr>
            <w:pStyle w:val="TOC1"/>
            <w:tabs>
              <w:tab w:val="clear" w:pos="9026"/>
              <w:tab w:val="right" w:pos="9025" w:leader="dot"/>
            </w:tabs>
          </w:pPr>
          <w:hyperlink w:history="1" w:anchor="b_fig_4_4_17">
            <w:r>
              <w:rPr>
                <w:rStyle w:val="IndexLink"/>
              </w:rPr>
              <w:t xml:space="default">Figura 4.4.17 · Ejercicio de modelación de simulación dinámica</w:t>
              <w:tab/>
              <w:t xml:space="default">801</w:t>
            </w:r>
          </w:hyperlink>
        </w:p>
        <w:p>
          <w:pPr>
            <w:pStyle w:val="TOC1"/>
            <w:tabs>
              <w:tab w:val="clear" w:pos="9026"/>
              <w:tab w:val="right" w:pos="9025" w:leader="dot"/>
            </w:tabs>
          </w:pPr>
          <w:hyperlink w:history="1" w:anchor="b_fig_4_4_18">
            <w:r>
              <w:rPr>
                <w:rStyle w:val="IndexLink"/>
              </w:rPr>
              <w:t xml:space="default">Figura 4.4.18 · Componentes de un modelo de simulación dinámica de un sistema</w:t>
              <w:tab/>
              <w:t xml:space="default">802</w:t>
            </w:r>
          </w:hyperlink>
        </w:p>
        <w:p>
          <w:pPr>
            <w:pStyle w:val="TOC1"/>
            <w:tabs>
              <w:tab w:val="clear" w:pos="9026"/>
              <w:tab w:val="right" w:pos="9025" w:leader="dot"/>
            </w:tabs>
          </w:pPr>
          <w:hyperlink w:history="1" w:anchor="b_fig_4_4_19">
            <w:r>
              <w:rPr>
                <w:rStyle w:val="IndexLink"/>
              </w:rPr>
              <w:t xml:space="default">Figura 4.4.19 · Solución a caso de préstamo bancario: perspectiva 1, suponiendo que no se paga el préstamo y el saldo bancario se acumula</w:t>
              <w:tab/>
              <w:t xml:space="default">802</w:t>
            </w:r>
          </w:hyperlink>
        </w:p>
        <w:p>
          <w:pPr>
            <w:pStyle w:val="TOC1"/>
            <w:tabs>
              <w:tab w:val="clear" w:pos="9026"/>
              <w:tab w:val="right" w:pos="9025" w:leader="dot"/>
            </w:tabs>
          </w:pPr>
          <w:hyperlink w:history="1" w:anchor="b_fig_4_4_20">
            <w:r>
              <w:rPr>
                <w:rStyle w:val="IndexLink"/>
              </w:rPr>
              <w:t xml:space="default">Figura 4.4.20 · Solución a caso de préstamo bancario: perspectiva 2, suponiendo que se paga el préstamo mensualmente</w:t>
              <w:tab/>
              <w:t xml:space="default">803</w:t>
            </w:r>
          </w:hyperlink>
        </w:p>
        <w:p>
          <w:pPr>
            <w:pStyle w:val="TOC1"/>
            <w:tabs>
              <w:tab w:val="clear" w:pos="9026"/>
              <w:tab w:val="right" w:pos="9025" w:leader="dot"/>
            </w:tabs>
          </w:pPr>
          <w:hyperlink w:history="1" w:anchor="b_fig_4_4_21">
            <w:r>
              <w:rPr>
                <w:rStyle w:val="IndexLink"/>
              </w:rPr>
              <w:t xml:space="default">Figura 4.4.21 · Modelos de dinámica de sistemas para simular sistemas y evaluar escenarios «qué pasaría si…»</w:t>
              <w:tab/>
              <w:t xml:space="default">803</w:t>
            </w:r>
          </w:hyperlink>
        </w:p>
        <w:p>
          <w:pPr>
            <w:pStyle w:val="TOC1"/>
            <w:tabs>
              <w:tab w:val="clear" w:pos="9026"/>
              <w:tab w:val="right" w:pos="9025" w:leader="dot"/>
            </w:tabs>
          </w:pPr>
          <w:hyperlink w:history="1" w:anchor="b_fig_4_4_22">
            <w:r>
              <w:rPr>
                <w:rStyle w:val="IndexLink"/>
              </w:rPr>
              <w:t xml:space="default">Figura 4.4.22 · Elementos básicos de modelo</w:t>
              <w:tab/>
              <w:t xml:space="default">804</w:t>
            </w:r>
          </w:hyperlink>
        </w:p>
        <w:p>
          <w:pPr>
            <w:pStyle w:val="TOC1"/>
            <w:tabs>
              <w:tab w:val="clear" w:pos="9026"/>
              <w:tab w:val="right" w:pos="9025" w:leader="dot"/>
            </w:tabs>
          </w:pPr>
          <w:hyperlink w:history="1" w:anchor="b_fig_4_5_1">
            <w:r>
              <w:rPr>
                <w:rStyle w:val="IndexLink"/>
              </w:rPr>
              <w:t xml:space="default">Figura 4.5.1 · Francisco y los libros</w:t>
              <w:tab/>
              <w:t xml:space="default">843</w:t>
            </w:r>
          </w:hyperlink>
        </w:p>
        <w:p>
          <w:pPr>
            <w:pStyle w:val="TOC1"/>
            <w:tabs>
              <w:tab w:val="clear" w:pos="9026"/>
              <w:tab w:val="right" w:pos="9025" w:leader="dot"/>
            </w:tabs>
          </w:pPr>
          <w:hyperlink w:history="1" w:anchor="b_fig_4_5_2">
            <w:r>
              <w:rPr>
                <w:rStyle w:val="IndexLink"/>
              </w:rPr>
              <w:t xml:space="default">Figura 4.5.2 · Francisco: diagrama y conversión</w:t>
              <w:tab/>
              <w:t xml:space="default">844</w:t>
            </w:r>
          </w:hyperlink>
        </w:p>
        <w:p>
          <w:pPr>
            <w:pStyle w:val="TOC1"/>
            <w:tabs>
              <w:tab w:val="clear" w:pos="9026"/>
              <w:tab w:val="right" w:pos="9025" w:leader="dot"/>
            </w:tabs>
          </w:pPr>
          <w:hyperlink w:history="1" w:anchor="b_fig_4_5_3">
            <w:r>
              <w:rPr>
                <w:rStyle w:val="IndexLink"/>
              </w:rPr>
              <w:t xml:space="default">Figura 4.5.3 · Crecimiento cuadrático</w:t>
              <w:tab/>
              <w:t xml:space="default">845</w:t>
            </w:r>
          </w:hyperlink>
        </w:p>
        <w:p>
          <w:pPr>
            <w:pStyle w:val="TOC1"/>
            <w:tabs>
              <w:tab w:val="clear" w:pos="9026"/>
              <w:tab w:val="right" w:pos="9025" w:leader="dot"/>
            </w:tabs>
          </w:pPr>
          <w:hyperlink w:history="1" w:anchor="b_fig_4_5_4">
            <w:r>
              <w:rPr>
                <w:rStyle w:val="IndexLink"/>
              </w:rPr>
              <w:t xml:space="default">Figura 4.5.4 · Refuerzo a largo plazo</w:t>
              <w:tab/>
              <w:t xml:space="default">846</w:t>
            </w:r>
          </w:hyperlink>
        </w:p>
        <w:p>
          <w:pPr>
            <w:pStyle w:val="TOC1"/>
            <w:tabs>
              <w:tab w:val="clear" w:pos="9026"/>
              <w:tab w:val="right" w:pos="9025" w:leader="dot"/>
            </w:tabs>
          </w:pPr>
          <w:hyperlink w:history="1" w:anchor="b_fig_4_5_5">
            <w:r>
              <w:rPr>
                <w:rStyle w:val="IndexLink"/>
              </w:rPr>
              <w:t xml:space="default">Figura 4.5.5 · Doble realimentación a largo plazo</w:t>
              <w:tab/>
              <w:t xml:space="default">847</w:t>
            </w:r>
          </w:hyperlink>
        </w:p>
        <w:p>
          <w:pPr>
            <w:pStyle w:val="TOC1"/>
            <w:tabs>
              <w:tab w:val="clear" w:pos="9026"/>
              <w:tab w:val="right" w:pos="9025" w:leader="dot"/>
            </w:tabs>
          </w:pPr>
          <w:hyperlink w:history="1" w:anchor="b_fig_4_5_6">
            <w:r>
              <w:rPr>
                <w:rStyle w:val="IndexLink"/>
              </w:rPr>
              <w:t xml:space="default">Figura 4.5.6 · Referencia de entrada y salida</w:t>
              <w:tab/>
              <w:t xml:space="default">848</w:t>
            </w:r>
          </w:hyperlink>
        </w:p>
        <w:p>
          <w:pPr>
            <w:pStyle w:val="TOC1"/>
            <w:tabs>
              <w:tab w:val="clear" w:pos="9026"/>
              <w:tab w:val="right" w:pos="9025" w:leader="dot"/>
            </w:tabs>
          </w:pPr>
          <w:hyperlink w:history="1" w:anchor="b_fig_4_5_7">
            <w:r>
              <w:rPr>
                <w:rStyle w:val="IndexLink"/>
              </w:rPr>
              <w:t xml:space="default">Figura 4.5.7 · Convergencia a un valor inferior</w:t>
              <w:tab/>
              <w:t xml:space="default">849</w:t>
            </w:r>
          </w:hyperlink>
        </w:p>
        <w:p>
          <w:pPr>
            <w:pStyle w:val="TOC1"/>
            <w:tabs>
              <w:tab w:val="clear" w:pos="9026"/>
              <w:tab w:val="right" w:pos="9025" w:leader="dot"/>
            </w:tabs>
          </w:pPr>
          <w:hyperlink w:history="1" w:anchor="b_fig_4_5_8">
            <w:r>
              <w:rPr>
                <w:rStyle w:val="IndexLink"/>
              </w:rPr>
              <w:t xml:space="default">Figura 4.5.8 · Teléfonos en Vensim</w:t>
              <w:tab/>
              <w:t xml:space="default">850</w:t>
            </w:r>
          </w:hyperlink>
        </w:p>
        <w:p>
          <w:pPr>
            <w:pStyle w:val="TOC1"/>
            <w:tabs>
              <w:tab w:val="clear" w:pos="9026"/>
              <w:tab w:val="right" w:pos="9025" w:leader="dot"/>
            </w:tabs>
          </w:pPr>
          <w:hyperlink w:history="1" w:anchor="b_fig_4_5_9">
            <w:r>
              <w:rPr>
                <w:rStyle w:val="IndexLink"/>
              </w:rPr>
              <w:t xml:space="default">Figura 4.5.9 · Teléfonos: historia para construir elDCC</w:t>
              <w:tab/>
              <w:t xml:space="default">851</w:t>
            </w:r>
          </w:hyperlink>
        </w:p>
        <w:p>
          <w:pPr>
            <w:pStyle w:val="TOC1"/>
            <w:tabs>
              <w:tab w:val="clear" w:pos="9026"/>
              <w:tab w:val="right" w:pos="9025" w:leader="dot"/>
            </w:tabs>
          </w:pPr>
          <w:hyperlink w:history="1" w:anchor="b_fig_4_5_10">
            <w:r>
              <w:rPr>
                <w:rStyle w:val="IndexLink"/>
              </w:rPr>
              <w:t xml:space="default">Figura 4.5.10 · Alternativa proporcional de teléfonos</w:t>
              <w:tab/>
              <w:t xml:space="default">852</w:t>
            </w:r>
          </w:hyperlink>
        </w:p>
        <w:p>
          <w:pPr>
            <w:pStyle w:val="TOC1"/>
            <w:tabs>
              <w:tab w:val="clear" w:pos="9026"/>
              <w:tab w:val="right" w:pos="9025" w:leader="dot"/>
            </w:tabs>
          </w:pPr>
          <w:hyperlink w:history="1" w:anchor="b_fig_4_5_11">
            <w:r>
              <w:rPr>
                <w:rStyle w:val="IndexLink"/>
              </w:rPr>
              <w:t xml:space="default">Figura 4.5.11 · Alternativa con influencia vecinal</w:t>
              <w:tab/>
              <w:t xml:space="default">853</w:t>
            </w:r>
          </w:hyperlink>
        </w:p>
        <w:p>
          <w:pPr>
            <w:pStyle w:val="TOC1"/>
            <w:tabs>
              <w:tab w:val="clear" w:pos="9026"/>
              <w:tab w:val="right" w:pos="9025" w:leader="dot"/>
            </w:tabs>
          </w:pPr>
          <w:hyperlink w:history="1" w:anchor="b_fig_4_5_12">
            <w:r>
              <w:rPr>
                <w:rStyle w:val="IndexLink"/>
              </w:rPr>
              <w:t xml:space="default">Figura 4.5.12 · Teléfonos: ejercicio causal de abril</w:t>
              <w:tab/>
              <w:t xml:space="default">854</w:t>
            </w:r>
          </w:hyperlink>
        </w:p>
        <w:p>
          <w:pPr>
            <w:pStyle w:val="TOC1"/>
            <w:tabs>
              <w:tab w:val="clear" w:pos="9026"/>
              <w:tab w:val="right" w:pos="9025" w:leader="dot"/>
            </w:tabs>
          </w:pPr>
          <w:hyperlink w:history="1" w:anchor="b_fig_4_5_13">
            <w:r>
              <w:rPr>
                <w:rStyle w:val="IndexLink"/>
              </w:rPr>
              <w:t xml:space="default">Figura 4.5.13 · Presa-depredador ampliado</w:t>
              <w:tab/>
              <w:t xml:space="default">855</w:t>
            </w:r>
          </w:hyperlink>
        </w:p>
        <w:p>
          <w:pPr>
            <w:pStyle w:val="TOC1"/>
            <w:tabs>
              <w:tab w:val="clear" w:pos="9026"/>
              <w:tab w:val="right" w:pos="9025" w:leader="dot"/>
            </w:tabs>
          </w:pPr>
          <w:hyperlink w:history="1" w:anchor="b_fig_4_5_14">
            <w:r>
              <w:rPr>
                <w:rStyle w:val="IndexLink"/>
              </w:rPr>
              <w:t xml:space="default">Figura 4.5.14 · Alces y lobos: oscilación</w:t>
              <w:tab/>
              <w:t xml:space="default">856</w:t>
            </w:r>
          </w:hyperlink>
        </w:p>
        <w:p>
          <w:pPr>
            <w:pStyle w:val="TOC1"/>
            <w:tabs>
              <w:tab w:val="clear" w:pos="9026"/>
              <w:tab w:val="right" w:pos="9025" w:leader="dot"/>
            </w:tabs>
          </w:pPr>
          <w:hyperlink w:history="1" w:anchor="b_fig_4_5_15">
            <w:r>
              <w:rPr>
                <w:rStyle w:val="IndexLink"/>
              </w:rPr>
              <w:t xml:space="default">Figura 4.5.15 · Resultados de los modelos de simulación dinámica</w:t>
              <w:tab/>
              <w:t xml:space="default">856</w:t>
            </w:r>
          </w:hyperlink>
        </w:p>
        <w:p>
          <w:pPr>
            <w:pStyle w:val="TOC1"/>
            <w:tabs>
              <w:tab w:val="clear" w:pos="9026"/>
              <w:tab w:val="right" w:pos="9025" w:leader="dot"/>
            </w:tabs>
          </w:pPr>
          <w:hyperlink w:history="1" w:anchor="b_fig_4_5_16">
            <w:r>
              <w:rPr>
                <w:rStyle w:val="IndexLink"/>
              </w:rPr>
              <w:t xml:space="default">Figura 4.5.16 · Crecimiento simple</w:t>
              <w:tab/>
              <w:t xml:space="default">857</w:t>
            </w:r>
          </w:hyperlink>
        </w:p>
        <w:p>
          <w:pPr>
            <w:pStyle w:val="TOC1"/>
            <w:tabs>
              <w:tab w:val="clear" w:pos="9026"/>
              <w:tab w:val="right" w:pos="9025" w:leader="dot"/>
            </w:tabs>
          </w:pPr>
          <w:hyperlink w:history="1" w:anchor="b_fig_4_5_17">
            <w:r>
              <w:rPr>
                <w:rStyle w:val="IndexLink"/>
              </w:rPr>
              <w:t xml:space="default">Figura 4.5.17 · Crecimiento cuadrático</w:t>
              <w:tab/>
              <w:t xml:space="default">857</w:t>
            </w:r>
          </w:hyperlink>
        </w:p>
        <w:p>
          <w:pPr>
            <w:pStyle w:val="TOC1"/>
            <w:tabs>
              <w:tab w:val="clear" w:pos="9026"/>
              <w:tab w:val="right" w:pos="9025" w:leader="dot"/>
            </w:tabs>
          </w:pPr>
          <w:hyperlink w:history="1" w:anchor="b_fig_4_5_18">
            <w:r>
              <w:rPr>
                <w:rStyle w:val="IndexLink"/>
              </w:rPr>
              <w:t xml:space="default">Figura 4.5.18 · Crecimiento con retroalimentación: comportamiento a corto plazo</w:t>
              <w:tab/>
              <w:t xml:space="default">858</w:t>
            </w:r>
          </w:hyperlink>
        </w:p>
        <w:p>
          <w:pPr>
            <w:pStyle w:val="TOC1"/>
            <w:tabs>
              <w:tab w:val="clear" w:pos="9026"/>
              <w:tab w:val="right" w:pos="9025" w:leader="dot"/>
            </w:tabs>
          </w:pPr>
          <w:hyperlink w:history="1" w:anchor="b_fig_4_5_19">
            <w:r>
              <w:rPr>
                <w:rStyle w:val="IndexLink"/>
              </w:rPr>
              <w:t xml:space="default">Figura 4.5.19 · Crecimiento con retroalimentación: comportamiento exponencial a más largo plazo</w:t>
              <w:tab/>
              <w:t xml:space="default">858</w:t>
            </w:r>
          </w:hyperlink>
        </w:p>
        <w:p>
          <w:pPr>
            <w:pStyle w:val="TOC1"/>
            <w:tabs>
              <w:tab w:val="clear" w:pos="9026"/>
              <w:tab w:val="right" w:pos="9025" w:leader="dot"/>
            </w:tabs>
          </w:pPr>
          <w:hyperlink w:history="1" w:anchor="b_fig_4_5_20">
            <w:r>
              <w:rPr>
                <w:rStyle w:val="IndexLink"/>
              </w:rPr>
              <w:t xml:space="default">Figura 4.5.20 · Crecimiento con doble retroalimentación: comportamiento exponencial a corto plazo</w:t>
              <w:tab/>
              <w:t xml:space="default">859</w:t>
            </w:r>
          </w:hyperlink>
        </w:p>
        <w:p>
          <w:pPr>
            <w:pStyle w:val="TOC1"/>
            <w:tabs>
              <w:tab w:val="clear" w:pos="9026"/>
              <w:tab w:val="right" w:pos="9025" w:leader="dot"/>
            </w:tabs>
          </w:pPr>
          <w:hyperlink w:history="1" w:anchor="b_fig_4_5_21">
            <w:r>
              <w:rPr>
                <w:rStyle w:val="IndexLink"/>
              </w:rPr>
              <w:t xml:space="default">Figura 4.5.21 · Crecimiento con doble retroalimentación: comportamiento exponencial a más largo plazo</w:t>
              <w:tab/>
              <w:t xml:space="default">859</w:t>
            </w:r>
          </w:hyperlink>
        </w:p>
        <w:p>
          <w:pPr>
            <w:pStyle w:val="TOC1"/>
            <w:tabs>
              <w:tab w:val="clear" w:pos="9026"/>
              <w:tab w:val="right" w:pos="9025" w:leader="dot"/>
            </w:tabs>
          </w:pPr>
          <w:hyperlink w:history="1" w:anchor="b_fig_4_5_22">
            <w:r>
              <w:rPr>
                <w:rStyle w:val="IndexLink"/>
              </w:rPr>
              <w:t xml:space="default">Figura 4.5.22 · Decrecimiento con retroalimentación</w:t>
              <w:tab/>
              <w:t xml:space="default">860</w:t>
            </w:r>
          </w:hyperlink>
        </w:p>
        <w:p>
          <w:pPr>
            <w:pStyle w:val="TOC1"/>
            <w:tabs>
              <w:tab w:val="clear" w:pos="9026"/>
              <w:tab w:val="right" w:pos="9025" w:leader="dot"/>
            </w:tabs>
          </w:pPr>
          <w:hyperlink w:history="1" w:anchor="b_fig_4_5_23">
            <w:r>
              <w:rPr>
                <w:rStyle w:val="IndexLink"/>
              </w:rPr>
              <w:t xml:space="default">Figura 4.5.23 · Convergencia a un valor con referencias de entrada</w:t>
              <w:tab/>
              <w:t xml:space="default">860</w:t>
            </w:r>
          </w:hyperlink>
        </w:p>
        <w:p>
          <w:pPr>
            <w:pStyle w:val="TOC1"/>
            <w:tabs>
              <w:tab w:val="clear" w:pos="9026"/>
              <w:tab w:val="right" w:pos="9025" w:leader="dot"/>
            </w:tabs>
          </w:pPr>
          <w:hyperlink w:history="1" w:anchor="b_fig_4_5_24">
            <w:r>
              <w:rPr>
                <w:rStyle w:val="IndexLink"/>
              </w:rPr>
              <w:t xml:space="default">Figura 4.5.24 · Convergencia a un valor con referencias de entrada y de salida</w:t>
              <w:tab/>
              <w:t xml:space="default">861</w:t>
            </w:r>
          </w:hyperlink>
        </w:p>
        <w:p>
          <w:pPr>
            <w:pStyle w:val="TOC1"/>
            <w:tabs>
              <w:tab w:val="clear" w:pos="9026"/>
              <w:tab w:val="right" w:pos="9025" w:leader="dot"/>
            </w:tabs>
          </w:pPr>
          <w:hyperlink w:history="1" w:anchor="b_fig_4_5_25">
            <w:r>
              <w:rPr>
                <w:rStyle w:val="IndexLink"/>
              </w:rPr>
              <w:t xml:space="default">Figura 4.5.25 · Convergencia a un valor inferior</w:t>
              <w:tab/>
              <w:t xml:space="default">861</w:t>
            </w:r>
          </w:hyperlink>
        </w:p>
        <w:p>
          <w:pPr>
            <w:pStyle w:val="TOC1"/>
            <w:tabs>
              <w:tab w:val="clear" w:pos="9026"/>
              <w:tab w:val="right" w:pos="9025" w:leader="dot"/>
            </w:tabs>
          </w:pPr>
          <w:hyperlink w:history="1" w:anchor="b_fig_4_6_1">
            <w:r>
              <w:rPr>
                <w:rStyle w:val="IndexLink"/>
              </w:rPr>
              <w:t xml:space="default">Figura 4.6.1 · Judy y María: comparar alternativas</w:t>
              <w:tab/>
              <w:t xml:space="default">895</w:t>
            </w:r>
          </w:hyperlink>
        </w:p>
        <w:p>
          <w:pPr>
            <w:pStyle w:val="TOC1"/>
            <w:tabs>
              <w:tab w:val="clear" w:pos="9026"/>
              <w:tab w:val="right" w:pos="9025" w:leader="dot"/>
            </w:tabs>
          </w:pPr>
          <w:hyperlink w:history="1" w:anchor="b_fig_4_6_2">
            <w:r>
              <w:rPr>
                <w:rStyle w:val="IndexLink"/>
              </w:rPr>
              <w:t xml:space="default">Figura 4.6.2 · Judy y María: escenarios futuros</w:t>
              <w:tab/>
              <w:t xml:space="default">896</w:t>
            </w:r>
          </w:hyperlink>
        </w:p>
        <w:p>
          <w:pPr>
            <w:pStyle w:val="TOC1"/>
            <w:tabs>
              <w:tab w:val="clear" w:pos="9026"/>
              <w:tab w:val="right" w:pos="9025" w:leader="dot"/>
            </w:tabs>
          </w:pPr>
          <w:hyperlink w:history="1" w:anchor="b_fig_4_6_3">
            <w:r>
              <w:rPr>
                <w:rStyle w:val="IndexLink"/>
              </w:rPr>
              <w:t xml:space="default">Figura 4.6.3 · FábricaXYZ: cuatro propuestas</w:t>
              <w:tab/>
              <w:t xml:space="default">898</w:t>
            </w:r>
          </w:hyperlink>
        </w:p>
        <w:p>
          <w:pPr>
            <w:pStyle w:val="TOC1"/>
            <w:tabs>
              <w:tab w:val="clear" w:pos="9026"/>
              <w:tab w:val="right" w:pos="9025" w:leader="dot"/>
            </w:tabs>
          </w:pPr>
          <w:hyperlink w:history="1" w:anchor="b_fig_4_6_4">
            <w:r>
              <w:rPr>
                <w:rStyle w:val="IndexLink"/>
              </w:rPr>
              <w:t xml:space="default">Figura 4.6.4 · Meadows: puntos 8a4</w:t>
              <w:tab/>
              <w:t xml:space="default">900</w:t>
            </w:r>
          </w:hyperlink>
        </w:p>
        <w:p>
          <w:pPr>
            <w:pStyle w:val="TOC1"/>
            <w:tabs>
              <w:tab w:val="clear" w:pos="9026"/>
              <w:tab w:val="right" w:pos="9025" w:leader="dot"/>
            </w:tabs>
          </w:pPr>
          <w:hyperlink w:history="1" w:anchor="b_fig_4_6_5">
            <w:r>
              <w:rPr>
                <w:rStyle w:val="IndexLink"/>
              </w:rPr>
              <w:t xml:space="default">Figura 4.6.5 · Considera las consecuencias a corto plazo, a largo plazo, e inesperadas de las acciones</w:t>
              <w:tab/>
              <w:t xml:space="default">901</w:t>
            </w:r>
          </w:hyperlink>
        </w:p>
        <w:p>
          <w:pPr>
            <w:pStyle w:val="TOC1"/>
            <w:tabs>
              <w:tab w:val="clear" w:pos="9026"/>
              <w:tab w:val="right" w:pos="9025" w:leader="dot"/>
            </w:tabs>
          </w:pPr>
          <w:hyperlink w:history="1" w:anchor="b_fig_4_6_6">
            <w:r>
              <w:rPr>
                <w:rStyle w:val="IndexLink"/>
              </w:rPr>
              <w:t xml:space="default">Figura 4.6.6 · Consecuencias a corto y a largo plazo</w:t>
              <w:tab/>
              <w:t xml:space="default">902</w:t>
            </w:r>
          </w:hyperlink>
        </w:p>
        <w:p>
          <w:pPr>
            <w:pStyle w:val="TOC1"/>
            <w:tabs>
              <w:tab w:val="clear" w:pos="9026"/>
              <w:tab w:val="right" w:pos="9025" w:leader="dot"/>
            </w:tabs>
          </w:pPr>
          <w:hyperlink w:history="1" w:anchor="b_fig_4_6_7">
            <w:r>
              <w:rPr>
                <w:rStyle w:val="IndexLink"/>
              </w:rPr>
              <w:t xml:space="default">Figura 4.6.7 · Sopesando las ventajas y desventajas de las decisiones</w:t>
              <w:tab/>
              <w:t xml:space="default">902</w:t>
            </w:r>
          </w:hyperlink>
        </w:p>
        <w:p>
          <w:pPr>
            <w:pStyle w:val="TOC1"/>
            <w:tabs>
              <w:tab w:val="clear" w:pos="9026"/>
              <w:tab w:val="right" w:pos="9025" w:leader="dot"/>
            </w:tabs>
          </w:pPr>
          <w:hyperlink w:history="1" w:anchor="b_fig_4_6_8">
            <w:r>
              <w:rPr>
                <w:rStyle w:val="IndexLink"/>
              </w:rPr>
              <w:t xml:space="default">Figura 4.6.8 · Evaluando escenarios futuros</w:t>
              <w:tab/>
              <w:t xml:space="default">903</w:t>
            </w:r>
          </w:hyperlink>
        </w:p>
        <w:p>
          <w:pPr>
            <w:pStyle w:val="TOC1"/>
            <w:tabs>
              <w:tab w:val="clear" w:pos="9026"/>
              <w:tab w:val="right" w:pos="9025" w:leader="dot"/>
            </w:tabs>
          </w:pPr>
          <w:hyperlink w:history="1" w:anchor="b_fig_4_6_9">
            <w:r>
              <w:rPr>
                <w:rStyle w:val="IndexLink"/>
              </w:rPr>
              <w:t xml:space="default">Figura 4.6.9 · Considera un tema completamente y resiste al impulso de llegar a una conclusión rápida</w:t>
              <w:tab/>
              <w:t xml:space="default">903</w:t>
            </w:r>
          </w:hyperlink>
        </w:p>
        <w:p>
          <w:pPr>
            <w:pStyle w:val="TOC1"/>
            <w:tabs>
              <w:tab w:val="clear" w:pos="9026"/>
              <w:tab w:val="right" w:pos="9025" w:leader="dot"/>
            </w:tabs>
          </w:pPr>
          <w:hyperlink w:history="1" w:anchor="b_fig_4_6_10">
            <w:r>
              <w:rPr>
                <w:rStyle w:val="IndexLink"/>
              </w:rPr>
              <w:t xml:space="default">Figura 4.6.10 · El pensamiento reduccionista actúa rápidamente pero no ve las cadenas circulares de causa y efecto que producen el «efecto dominó»</w:t>
              <w:tab/>
              <w:t xml:space="default">904</w:t>
            </w:r>
          </w:hyperlink>
        </w:p>
        <w:p>
          <w:pPr>
            <w:pStyle w:val="TOC1"/>
            <w:tabs>
              <w:tab w:val="clear" w:pos="9026"/>
              <w:tab w:val="right" w:pos="9025" w:leader="dot"/>
            </w:tabs>
          </w:pPr>
          <w:hyperlink w:history="1" w:anchor="b_fig_4_6_11">
            <w:r>
              <w:rPr>
                <w:rStyle w:val="IndexLink"/>
              </w:rPr>
              <w:t xml:space="default">Figura 4.6.11 · Abordar deliberadamente desafíos y resolver problemas</w:t>
              <w:tab/>
              <w:t xml:space="default">904</w:t>
            </w:r>
          </w:hyperlink>
        </w:p>
        <w:p>
          <w:pPr>
            <w:pStyle w:val="TOC1"/>
            <w:tabs>
              <w:tab w:val="clear" w:pos="9026"/>
              <w:tab w:val="right" w:pos="9025" w:leader="dot"/>
            </w:tabs>
          </w:pPr>
          <w:hyperlink w:history="1" w:anchor="b_fig_4_6_12">
            <w:r>
              <w:rPr>
                <w:rStyle w:val="IndexLink"/>
              </w:rPr>
              <w:t xml:space="default">Figura 4.6.12 · Usa la comprensión de la estructura de un sistema para identificar posibles acciones de apalancamiento</w:t>
              <w:tab/>
              <w:t xml:space="default">905</w:t>
            </w:r>
          </w:hyperlink>
        </w:p>
        <w:p>
          <w:pPr>
            <w:pStyle w:val="TOC1"/>
            <w:tabs>
              <w:tab w:val="clear" w:pos="9026"/>
              <w:tab w:val="right" w:pos="9025" w:leader="dot"/>
            </w:tabs>
          </w:pPr>
          <w:hyperlink w:history="1" w:anchor="b_fig_4_6_13">
            <w:r>
              <w:rPr>
                <w:rStyle w:val="IndexLink"/>
              </w:rPr>
              <w:t xml:space="default">Figura 4.6.13 · Resolviendo situaciones problemáticas en los sistemas</w:t>
              <w:tab/>
              <w:t xml:space="default">905</w:t>
            </w:r>
          </w:hyperlink>
        </w:p>
        <w:p>
          <w:pPr>
            <w:pStyle w:val="TOC1"/>
            <w:tabs>
              <w:tab w:val="clear" w:pos="9026"/>
              <w:tab w:val="right" w:pos="9025" w:leader="dot"/>
            </w:tabs>
          </w:pPr>
          <w:hyperlink w:history="1" w:anchor="b_fig_4_6_14">
            <w:r>
              <w:rPr>
                <w:rStyle w:val="IndexLink"/>
              </w:rPr>
              <w:t xml:space="default">Figura 4.6.14 · La comprensión de la estructura del sistema permite identificar acciones de apalancamiento</w:t>
              <w:tab/>
              <w:t xml:space="default">906</w:t>
            </w:r>
          </w:hyperlink>
        </w:p>
        <w:p>
          <w:pPr>
            <w:pStyle w:val="TOC1"/>
            <w:tabs>
              <w:tab w:val="clear" w:pos="9026"/>
              <w:tab w:val="right" w:pos="9025" w:leader="dot"/>
            </w:tabs>
          </w:pPr>
          <w:hyperlink w:history="1" w:anchor="b_fig_4_6_15">
            <w:r>
              <w:rPr>
                <w:rStyle w:val="IndexLink"/>
              </w:rPr>
              <w:t xml:space="default">Figura 4.6.15 · Pequeñas acciones para soluciones muy útiles: ¿cómo sacar una aguja de un pajar?</w:t>
              <w:tab/>
              <w:t xml:space="default">906</w:t>
            </w:r>
          </w:hyperlink>
        </w:p>
        <w:p>
          <w:pPr>
            <w:pStyle w:val="TOC1"/>
            <w:tabs>
              <w:tab w:val="clear" w:pos="9026"/>
              <w:tab w:val="right" w:pos="9025" w:leader="dot"/>
            </w:tabs>
          </w:pPr>
          <w:hyperlink w:history="1" w:anchor="b_fig_4_6_16">
            <w:r>
              <w:rPr>
                <w:rStyle w:val="IndexLink"/>
              </w:rPr>
              <w:t xml:space="default">Figura 4.6.16 · Un caso de estudio de cómo encontrar puntos de apalancamiento</w:t>
              <w:tab/>
              <w:t xml:space="default">907</w:t>
            </w:r>
          </w:hyperlink>
        </w:p>
        <w:p>
          <w:pPr>
            <w:pStyle w:val="TOC1"/>
            <w:tabs>
              <w:tab w:val="clear" w:pos="9026"/>
              <w:tab w:val="right" w:pos="9025" w:leader="dot"/>
            </w:tabs>
          </w:pPr>
          <w:hyperlink w:history="1" w:anchor="b_fig_4_6_17">
            <w:r>
              <w:rPr>
                <w:rStyle w:val="IndexLink"/>
              </w:rPr>
              <w:t xml:space="default">Figura 4.6.17 · Explorando los puntos de apalancamiento</w:t>
              <w:tab/>
              <w:t xml:space="default">907</w:t>
            </w:r>
          </w:hyperlink>
        </w:p>
        <w:p>
          <w:pPr>
            <w:pStyle w:val="TOC1"/>
            <w:tabs>
              <w:tab w:val="clear" w:pos="9026"/>
              <w:tab w:val="right" w:pos="9025" w:leader="dot"/>
            </w:tabs>
          </w:pPr>
          <w:hyperlink w:history="1" w:anchor="b_fig_4_7_1">
            <w:r>
              <w:rPr>
                <w:rStyle w:val="IndexLink"/>
              </w:rPr>
              <w:t xml:space="default">Figura 4.7.1 · Hábitos para simular y decidir</w:t>
              <w:tab/>
              <w:t xml:space="default">941</w:t>
            </w:r>
          </w:hyperlink>
        </w:p>
        <w:p>
          <w:pPr>
            <w:pStyle w:val="TOC1"/>
            <w:tabs>
              <w:tab w:val="clear" w:pos="9026"/>
              <w:tab w:val="right" w:pos="9025" w:leader="dot"/>
            </w:tabs>
          </w:pPr>
          <w:hyperlink w:history="1" w:anchor="b_fig_4_7_2">
            <w:r>
              <w:rPr>
                <w:rStyle w:val="IndexLink"/>
              </w:rPr>
              <w:t xml:space="default">Figura 4.7.2 · Aproximación sucesiva tras implementar</w:t>
              <w:tab/>
              <w:t xml:space="default">949</w:t>
            </w:r>
          </w:hyperlink>
        </w:p>
        <w:p>
          <w:pPr>
            <w:pStyle w:val="TOC1"/>
            <w:tabs>
              <w:tab w:val="clear" w:pos="9026"/>
              <w:tab w:val="right" w:pos="9025" w:leader="dot"/>
            </w:tabs>
          </w:pPr>
          <w:hyperlink w:history="1" w:anchor="b_fig_4_7_3">
            <w:r>
              <w:rPr>
                <w:rStyle w:val="IndexLink"/>
              </w:rPr>
              <w:t xml:space="default">Figura 4.7.3 · Hábitos de un pensador sistémico</w:t>
              <w:tab/>
              <w:t xml:space="default">950</w:t>
            </w:r>
          </w:hyperlink>
        </w:p>
        <w:p>
          <w:pPr>
            <w:pStyle w:val="TOC1"/>
            <w:tabs>
              <w:tab w:val="clear" w:pos="9026"/>
              <w:tab w:val="right" w:pos="9025" w:leader="dot"/>
            </w:tabs>
          </w:pPr>
          <w:hyperlink w:history="1" w:anchor="b_fig_4_7_4">
            <w:r>
              <w:rPr>
                <w:rStyle w:val="IndexLink"/>
              </w:rPr>
              <w:t xml:space="default">Figura 4.7.4 · Hábitos de un pensador sistémico</w:t>
              <w:tab/>
              <w:t xml:space="default">951</w:t>
            </w:r>
          </w:hyperlink>
        </w:p>
        <w:p>
          <w:pPr>
            <w:pStyle w:val="TOC1"/>
            <w:tabs>
              <w:tab w:val="clear" w:pos="9026"/>
              <w:tab w:val="right" w:pos="9025" w:leader="dot"/>
            </w:tabs>
          </w:pPr>
          <w:hyperlink w:history="1" w:anchor="b_fig_4_7_5">
            <w:r>
              <w:rPr>
                <w:rStyle w:val="IndexLink"/>
              </w:rPr>
              <w:t xml:space="default">Figura 4.7.5 · Hábitos de un pensador sistémico</w:t>
              <w:tab/>
              <w:t xml:space="default">951</w:t>
            </w:r>
          </w:hyperlink>
        </w:p>
        <w:p>
          <w:pPr>
            <w:pStyle w:val="TOC1"/>
            <w:tabs>
              <w:tab w:val="clear" w:pos="9026"/>
              <w:tab w:val="right" w:pos="9025" w:leader="dot"/>
            </w:tabs>
          </w:pPr>
          <w:hyperlink w:history="1" w:anchor="b_fig_4_7_6">
            <w:r>
              <w:rPr>
                <w:rStyle w:val="IndexLink"/>
              </w:rPr>
              <w:t xml:space="default">Figura 4.7.6 · Examina los resultados y cambia las acciones si es necesario: «aproximación sucesiva»</w:t>
              <w:tab/>
              <w:t xml:space="default">952</w:t>
            </w:r>
          </w:hyperlink>
        </w:p>
        <w:p>
          <w:pPr>
            <w:pStyle w:val="TOC1"/>
            <w:tabs>
              <w:tab w:val="clear" w:pos="9026"/>
              <w:tab w:val="right" w:pos="9025" w:leader="dot"/>
            </w:tabs>
          </w:pPr>
          <w:hyperlink w:history="1" w:anchor="b_fig_4_7_7">
            <w:r>
              <w:rPr>
                <w:rStyle w:val="IndexLink"/>
              </w:rPr>
              <w:t xml:space="default">Figura 4.7.7 · Aproximación sucesiva</w:t>
              <w:tab/>
              <w:t xml:space="default">952</w:t>
            </w:r>
          </w:hyperlink>
        </w:p>
        <w:p>
          <w:pPr>
            <w:pStyle w:val="TOC1"/>
            <w:tabs>
              <w:tab w:val="clear" w:pos="9026"/>
              <w:tab w:val="right" w:pos="9025" w:leader="dot"/>
            </w:tabs>
          </w:pPr>
          <w:hyperlink w:history="1" w:anchor="b_fig_4_7_8">
            <w:r>
              <w:rPr>
                <w:rStyle w:val="IndexLink"/>
              </w:rPr>
              <w:t xml:space="default">Figura 4.7.8 · Ciclo de aproximación sucesiva</w:t>
              <w:tab/>
              <w:t xml:space="default">953</w:t>
            </w:r>
          </w:hyperlink>
        </w:p>
        <w:p>
          <w:pPr>
            <w:pStyle w:val="TOC1"/>
            <w:tabs>
              <w:tab w:val="clear" w:pos="9026"/>
              <w:tab w:val="right" w:pos="9025" w:leader="dot"/>
            </w:tabs>
          </w:pPr>
          <w:hyperlink w:history="1" w:anchor="b_fig_4_7_9">
            <w:r>
              <w:rPr>
                <w:rStyle w:val="IndexLink"/>
              </w:rPr>
              <w:t xml:space="default">Figura 4.7.9 · Definición de resiliencia</w:t>
              <w:tab/>
              <w:t xml:space="default">953</w:t>
            </w:r>
          </w:hyperlink>
        </w:p>
        <w:p>
          <w:pPr>
            <w:pStyle w:val="TOC1"/>
            <w:tabs>
              <w:tab w:val="clear" w:pos="9026"/>
              <w:tab w:val="right" w:pos="9025" w:leader="dot"/>
            </w:tabs>
          </w:pPr>
          <w:hyperlink w:history="1" w:anchor="b_fig_4_7_10">
            <w:r>
              <w:rPr>
                <w:rStyle w:val="IndexLink"/>
              </w:rPr>
              <w:t xml:space="default">Figura 4.7.10 · Enfoque sistémico de la resiliencia</w:t>
              <w:tab/>
              <w:t xml:space="default">954</w:t>
            </w:r>
          </w:hyperlink>
        </w:p>
        <w:p>
          <w:pPr>
            <w:pStyle w:val="TOC1"/>
            <w:tabs>
              <w:tab w:val="clear" w:pos="9026"/>
              <w:tab w:val="right" w:pos="9025" w:leader="dot"/>
            </w:tabs>
          </w:pPr>
          <w:hyperlink w:history="1" w:anchor="b_fig_4_7_11">
            <w:r>
              <w:rPr>
                <w:rStyle w:val="IndexLink"/>
              </w:rPr>
              <w:t xml:space="default">Figura 4.7.11 · Enfoque sistémico de la resiliencia</w:t>
              <w:tab/>
              <w:t xml:space="default">954</w:t>
            </w:r>
          </w:hyperlink>
        </w:p>
        <w:p>
          <w:pPr>
            <w:pStyle w:val="TOC1"/>
            <w:tabs>
              <w:tab w:val="clear" w:pos="9026"/>
              <w:tab w:val="right" w:pos="9025" w:leader="dot"/>
            </w:tabs>
          </w:pPr>
          <w:hyperlink w:history="1" w:anchor="b_fig_4_7_12">
            <w:r>
              <w:rPr>
                <w:rStyle w:val="IndexLink"/>
              </w:rPr>
              <w:t xml:space="default">Figura 4.7.12 · Resiliencia: habilidades requeridas</w:t>
              <w:tab/>
              <w:t xml:space="default">955</w:t>
            </w:r>
          </w:hyperlink>
        </w:p>
        <w:p>
          <w:pPr>
            <w:pStyle w:val="TOC1"/>
            <w:tabs>
              <w:tab w:val="clear" w:pos="9026"/>
              <w:tab w:val="right" w:pos="9025" w:leader="dot"/>
            </w:tabs>
          </w:pPr>
          <w:hyperlink w:history="1" w:anchor="b_fig_4_7_13">
            <w:r>
              <w:rPr>
                <w:rStyle w:val="IndexLink"/>
              </w:rPr>
              <w:t xml:space="default">Figura 4.7.13 · La montaña rusa del cambio</w:t>
              <w:tab/>
              <w:t xml:space="default">955</w:t>
            </w:r>
          </w:hyperlink>
        </w:p>
        <w:p>
          <w:pPr>
            <w:pStyle w:val="TOC1"/>
            <w:tabs>
              <w:tab w:val="clear" w:pos="9026"/>
              <w:tab w:val="right" w:pos="9025" w:leader="dot"/>
            </w:tabs>
          </w:pPr>
          <w:hyperlink w:history="1" w:anchor="b_fig_4_7_14">
            <w:r>
              <w:rPr>
                <w:rStyle w:val="IndexLink"/>
              </w:rPr>
              <w:t xml:space="default">Figura 4.7.14 · Resiliencia: una visión holística</w:t>
              <w:tab/>
              <w:t xml:space="default">956</w:t>
            </w:r>
          </w:hyperlink>
        </w:p>
        <w:p>
          <w:pPr>
            <w:pStyle w:val="TOC1"/>
            <w:tabs>
              <w:tab w:val="clear" w:pos="9026"/>
              <w:tab w:val="right" w:pos="9025" w:leader="dot"/>
            </w:tabs>
          </w:pPr>
          <w:hyperlink w:history="1" w:anchor="b_fig_4_7_15">
            <w:r>
              <w:rPr>
                <w:rStyle w:val="IndexLink"/>
              </w:rPr>
              <w:t xml:space="default">Figura 4.7.15 · Resolución de problemas de un pensador sistémico usando los hábitos que lo distinguen</w:t>
              <w:tab/>
              <w:t xml:space="default">956</w:t>
            </w:r>
          </w:hyperlink>
        </w:p>
        <w:p>
          <w:pPr>
            <w:pStyle w:val="TOC1"/>
            <w:tabs>
              <w:tab w:val="clear" w:pos="9026"/>
              <w:tab w:val="right" w:pos="9025" w:leader="dot"/>
            </w:tabs>
          </w:pPr>
          <w:hyperlink w:history="1" w:anchor="b_fig_4_7_16">
            <w:r>
              <w:rPr>
                <w:rStyle w:val="IndexLink"/>
              </w:rPr>
              <w:t xml:space="default">Figura 4.7.16 · Desarrollar conciencia del problema</w:t>
              <w:tab/>
              <w:t xml:space="default">957</w:t>
            </w:r>
          </w:hyperlink>
        </w:p>
        <w:p>
          <w:pPr>
            <w:pStyle w:val="TOC1"/>
            <w:tabs>
              <w:tab w:val="clear" w:pos="9026"/>
              <w:tab w:val="right" w:pos="9025" w:leader="dot"/>
            </w:tabs>
          </w:pPr>
          <w:hyperlink w:history="1" w:anchor="b_fig_4_7_17">
            <w:r>
              <w:rPr>
                <w:rStyle w:val="IndexLink"/>
              </w:rPr>
              <w:t xml:space="default">Figura 4.7.17 · Aumenta la comprensión del problema</w:t>
              <w:tab/>
              <w:t xml:space="default">957</w:t>
            </w:r>
          </w:hyperlink>
        </w:p>
        <w:p>
          <w:pPr>
            <w:pStyle w:val="TOC1"/>
            <w:tabs>
              <w:tab w:val="clear" w:pos="9026"/>
              <w:tab w:val="right" w:pos="9025" w:leader="dot"/>
            </w:tabs>
          </w:pPr>
          <w:hyperlink w:history="1" w:anchor="b_fig_4_7_18">
            <w:r>
              <w:rPr>
                <w:rStyle w:val="IndexLink"/>
              </w:rPr>
              <w:t xml:space="default">Figura 4.7.18 · Planificando y tomando medidas para resolver el problema</w:t>
              <w:tab/>
              <w:t xml:space="default">958</w:t>
            </w:r>
          </w:hyperlink>
        </w:p>
        <w:p>
          <w:pPr>
            <w:pStyle w:val="TOC1"/>
            <w:tabs>
              <w:tab w:val="clear" w:pos="9026"/>
              <w:tab w:val="right" w:pos="9025" w:leader="dot"/>
            </w:tabs>
          </w:pPr>
          <w:hyperlink w:history="1" w:anchor="b_fig_4_7_19">
            <w:r>
              <w:rPr>
                <w:rStyle w:val="IndexLink"/>
              </w:rPr>
              <w:t xml:space="default">Figura 4.7.19 · Y una vez implementada la solución</w:t>
              <w:tab/>
              <w:t xml:space="default">958</w:t>
            </w:r>
          </w:hyperlink>
        </w:p>
        <w:p>
          <w:pPr>
            <w:pStyle w:val="TOC1"/>
            <w:tabs>
              <w:tab w:val="clear" w:pos="9026"/>
              <w:tab w:val="right" w:pos="9025" w:leader="dot"/>
            </w:tabs>
          </w:pPr>
          <w:hyperlink w:history="1" w:anchor="b_fig_V3_1">
            <w:r>
              <w:rPr>
                <w:rStyle w:val="IndexLink"/>
              </w:rPr>
              <w:t xml:space="default">Figura V3.1 · Unidad 3 · 3.5 · Refuerzo y compensación: contar ciclos</w:t>
              <w:tab/>
              <w:t xml:space="default">1086</w:t>
            </w:r>
          </w:hyperlink>
        </w:p>
        <w:p>
          <w:pPr>
            <w:pStyle w:val="TOC1"/>
            <w:tabs>
              <w:tab w:val="clear" w:pos="9026"/>
              <w:tab w:val="right" w:pos="9025" w:leader="dot"/>
            </w:tabs>
          </w:pPr>
          <w:hyperlink w:history="1" w:anchor="b_fig_V3_2">
            <w:r>
              <w:rPr>
                <w:rStyle w:val="IndexLink"/>
              </w:rPr>
              <w:t xml:space="default">Figura V3.2 · Unidad 3 · 3.5 · Refuerzo y compensación: contar ciclos</w:t>
              <w:tab/>
              <w:t xml:space="default">1087</w:t>
            </w:r>
          </w:hyperlink>
        </w:p>
        <w:p>
          <w:pPr>
            <w:pStyle w:val="TOC1"/>
            <w:tabs>
              <w:tab w:val="clear" w:pos="9026"/>
              <w:tab w:val="right" w:pos="9025" w:leader="dot"/>
            </w:tabs>
          </w:pPr>
          <w:hyperlink w:history="1" w:anchor="b_fig_V3_3">
            <w:r>
              <w:rPr>
                <w:rStyle w:val="IndexLink"/>
              </w:rPr>
              <w:t xml:space="default">Figura V3.3 · Unidad 3 · 3.2 · Mapas DSRP: la regla de sistemas</w:t>
              <w:tab/>
              <w:t xml:space="default">1090</w:t>
            </w:r>
          </w:hyperlink>
        </w:p>
        <w:p>
          <w:pPr>
            <w:pStyle w:val="TOC1"/>
            <w:tabs>
              <w:tab w:val="clear" w:pos="9026"/>
              <w:tab w:val="right" w:pos="9025" w:leader="dot"/>
            </w:tabs>
          </w:pPr>
          <w:hyperlink w:history="1" w:anchor="b_fig_V3_4">
            <w:r>
              <w:rPr>
                <w:rStyle w:val="IndexLink"/>
              </w:rPr>
              <w:t xml:space="default">Figura V3.4 · Unidad 3 · 3.5 · Refuerzo y compensación: polaridad de los ciclos</w:t>
              <w:tab/>
              <w:t xml:space="default">1092</w:t>
            </w:r>
          </w:hyperlink>
        </w:p>
        <w:p>
          <w:pPr>
            <w:pStyle w:val="TOC1"/>
            <w:tabs>
              <w:tab w:val="clear" w:pos="9026"/>
              <w:tab w:val="right" w:pos="9025" w:leader="dot"/>
            </w:tabs>
          </w:pPr>
          <w:hyperlink w:history="1" w:anchor="b_fig_V3_5">
            <w:r>
              <w:rPr>
                <w:rStyle w:val="IndexLink"/>
              </w:rPr>
              <w:t xml:space="default">Figura V3.5 · Unidad 3 · 3.5 · Refuerzo y compensación: polaridad de los ciclos</w:t>
              <w:tab/>
              <w:t xml:space="default">1093</w:t>
            </w:r>
          </w:hyperlink>
        </w:p>
        <w:p>
          <w:pPr>
            <w:pStyle w:val="TOC1"/>
            <w:tabs>
              <w:tab w:val="clear" w:pos="9026"/>
              <w:tab w:val="right" w:pos="9025" w:leader="dot"/>
            </w:tabs>
          </w:pPr>
          <w:hyperlink w:history="1" w:anchor="b_fig_V3_6">
            <w:r>
              <w:rPr>
                <w:rStyle w:val="IndexLink"/>
              </w:rPr>
              <w:t xml:space="default">Figura V3.6 · Unidad 3 · 3.2 · Mapas DSRP: práctica en Plectica</w:t>
              <w:tab/>
              <w:t xml:space="default">1096</w:t>
            </w:r>
          </w:hyperlink>
        </w:p>
        <w:p>
          <w:pPr>
            <w:pStyle w:val="TOC1"/>
            <w:tabs>
              <w:tab w:val="clear" w:pos="9026"/>
              <w:tab w:val="right" w:pos="9025" w:leader="dot"/>
            </w:tabs>
          </w:pPr>
          <w:hyperlink w:history="1" w:anchor="b_fig_V3_7">
            <w:r>
              <w:rPr>
                <w:rStyle w:val="IndexLink"/>
              </w:rPr>
              <w:t xml:space="default">Figura V3.7 · Unidad 3 · 3.5 · Refuerzo y compensación: contar ciclos</w:t>
              <w:tab/>
              <w:t xml:space="default">1097</w:t>
            </w:r>
          </w:hyperlink>
        </w:p>
        <w:p>
          <w:pPr>
            <w:pStyle w:val="TOC1"/>
            <w:tabs>
              <w:tab w:val="clear" w:pos="9026"/>
              <w:tab w:val="right" w:pos="9025" w:leader="dot"/>
            </w:tabs>
          </w:pPr>
          <w:hyperlink w:history="1" w:anchor="b_fig_V3_8">
            <w:r>
              <w:rPr>
                <w:rStyle w:val="IndexLink"/>
              </w:rPr>
              <w:t xml:space="default">Figura V3.8 · Unidad 3 · 3.5 · Refuerzo y compensación: contar ciclos</w:t>
              <w:tab/>
              <w:t xml:space="default">1098</w:t>
            </w:r>
          </w:hyperlink>
        </w:p>
        <w:p>
          <w:pPr>
            <w:pStyle w:val="TOC1"/>
            <w:tabs>
              <w:tab w:val="clear" w:pos="9026"/>
              <w:tab w:val="right" w:pos="9025" w:leader="dot"/>
            </w:tabs>
          </w:pPr>
          <w:hyperlink w:history="1" w:anchor="b_fig_V3_9">
            <w:r>
              <w:rPr>
                <w:rStyle w:val="IndexLink"/>
              </w:rPr>
              <w:t xml:space="default">Figura V3.9 · Unidad 3 · 3.3 · Diagramas de ciclos causales: práctica</w:t>
              <w:tab/>
              <w:t xml:space="default">1107</w:t>
            </w:r>
          </w:hyperlink>
        </w:p>
        <w:p>
          <w:pPr>
            <w:pStyle w:val="TOC1"/>
            <w:tabs>
              <w:tab w:val="clear" w:pos="9026"/>
              <w:tab w:val="right" w:pos="9025" w:leader="dot"/>
            </w:tabs>
          </w:pPr>
          <w:hyperlink w:history="1" w:anchor="b_fig_V3_10">
            <w:r>
              <w:rPr>
                <w:rStyle w:val="IndexLink"/>
              </w:rPr>
              <w:t xml:space="default">Figura V3.10 · Unidad 3 · 3.3 · Leer un diagrama de ciclos causales</w:t>
              <w:tab/>
              <w:t xml:space="default">1109</w:t>
            </w:r>
          </w:hyperlink>
        </w:p>
        <w:p>
          <w:pPr>
            <w:pStyle w:val="TOC1"/>
            <w:tabs>
              <w:tab w:val="clear" w:pos="9026"/>
              <w:tab w:val="right" w:pos="9025" w:leader="dot"/>
            </w:tabs>
          </w:pPr>
          <w:hyperlink w:history="1" w:anchor="b_fig_V3_11">
            <w:r>
              <w:rPr>
                <w:rStyle w:val="IndexLink"/>
              </w:rPr>
              <w:t xml:space="default">Figura V3.11 · Unidad 3 · 3.3 · Leer un diagrama de ciclos causales</w:t>
              <w:tab/>
              <w:t xml:space="default">1110</w:t>
            </w:r>
          </w:hyperlink>
        </w:p>
        <w:p>
          <w:pPr>
            <w:pStyle w:val="TOC1"/>
            <w:tabs>
              <w:tab w:val="clear" w:pos="9026"/>
              <w:tab w:val="right" w:pos="9025" w:leader="dot"/>
            </w:tabs>
          </w:pPr>
          <w:hyperlink w:history="1" w:anchor="b_fig_V3_12">
            <w:r>
              <w:rPr>
                <w:rStyle w:val="IndexLink"/>
              </w:rPr>
              <w:t xml:space="default">Figura V3.12 · Unidad 3 · 3.8 · Patrones de comportamiento</w:t>
              <w:tab/>
              <w:t xml:space="default">1111</w:t>
            </w:r>
          </w:hyperlink>
        </w:p>
        <w:p>
          <w:pPr>
            <w:pStyle w:val="TOC1"/>
            <w:tabs>
              <w:tab w:val="clear" w:pos="9026"/>
              <w:tab w:val="right" w:pos="9025" w:leader="dot"/>
            </w:tabs>
          </w:pPr>
          <w:hyperlink w:history="1" w:anchor="b_fig_V3_13">
            <w:r>
              <w:rPr>
                <w:rStyle w:val="IndexLink"/>
              </w:rPr>
              <w:t xml:space="default">Figura V3.13 · Unidad 3 · 3.5 · Refuerzo y compensación: contar ciclos</w:t>
              <w:tab/>
              <w:t xml:space="default">1119</w:t>
            </w:r>
          </w:hyperlink>
        </w:p>
        <w:p>
          <w:pPr>
            <w:pStyle w:val="TOC1"/>
            <w:tabs>
              <w:tab w:val="clear" w:pos="9026"/>
              <w:tab w:val="right" w:pos="9025" w:leader="dot"/>
            </w:tabs>
          </w:pPr>
          <w:hyperlink w:history="1" w:anchor="b_fig_V3_14">
            <w:r>
              <w:rPr>
                <w:rStyle w:val="IndexLink"/>
              </w:rPr>
              <w:t xml:space="default">Figura V3.14 · Unidad 3 · 3.5 · Refuerzo y compensación: contar ciclos</w:t>
              <w:tab/>
              <w:t xml:space="default">1120</w:t>
            </w:r>
          </w:hyperlink>
        </w:p>
        <w:p>
          <w:pPr>
            <w:pStyle w:val="TOC1"/>
            <w:tabs>
              <w:tab w:val="clear" w:pos="9026"/>
              <w:tab w:val="right" w:pos="9025" w:leader="dot"/>
            </w:tabs>
          </w:pPr>
          <w:hyperlink w:history="1" w:anchor="b_fig_V3_15">
            <w:r>
              <w:rPr>
                <w:rStyle w:val="IndexLink"/>
              </w:rPr>
              <w:t xml:space="default">Figura V3.15 · Unidad 3 · 3.5 · Refuerzo y compensación: contar ciclos</w:t>
              <w:tab/>
              <w:t xml:space="default">1126</w:t>
            </w:r>
          </w:hyperlink>
        </w:p>
        <w:p>
          <w:pPr>
            <w:pStyle w:val="TOC1"/>
            <w:tabs>
              <w:tab w:val="clear" w:pos="9026"/>
              <w:tab w:val="right" w:pos="9025" w:leader="dot"/>
            </w:tabs>
          </w:pPr>
          <w:hyperlink w:history="1" w:anchor="b_fig_V3_16">
            <w:r>
              <w:rPr>
                <w:rStyle w:val="IndexLink"/>
              </w:rPr>
              <w:t xml:space="default">Figura V3.16 · Unidad 3 · 3.5 · Refuerzo y compensación: contar ciclos</w:t>
              <w:tab/>
              <w:t xml:space="default">1127</w:t>
            </w:r>
          </w:hyperlink>
        </w:p>
        <w:p>
          <w:pPr>
            <w:pStyle w:val="TOC1"/>
            <w:tabs>
              <w:tab w:val="clear" w:pos="9026"/>
              <w:tab w:val="right" w:pos="9025" w:leader="dot"/>
            </w:tabs>
          </w:pPr>
          <w:hyperlink w:history="1" w:anchor="b_fig_V3_17">
            <w:r>
              <w:rPr>
                <w:rStyle w:val="IndexLink"/>
              </w:rPr>
              <w:t xml:space="default">Figura V3.17 · Unidad 3 · 3.2 · Mapas DSRP: la notación</w:t>
              <w:tab/>
              <w:t xml:space="default">1134</w:t>
            </w:r>
          </w:hyperlink>
        </w:p>
        <w:p>
          <w:pPr>
            <w:pStyle w:val="TOC1"/>
            <w:tabs>
              <w:tab w:val="clear" w:pos="9026"/>
              <w:tab w:val="right" w:pos="9025" w:leader="dot"/>
            </w:tabs>
          </w:pPr>
          <w:hyperlink w:history="1" w:anchor="b_fig_V3_18">
            <w:r>
              <w:rPr>
                <w:rStyle w:val="IndexLink"/>
              </w:rPr>
              <w:t xml:space="default">Figura V3.18 · Unidad 3 · 3.3 · Diagramas de ciclos causales: práctica</w:t>
              <w:tab/>
              <w:t xml:space="default">1139</w:t>
            </w:r>
          </w:hyperlink>
        </w:p>
        <w:p>
          <w:pPr>
            <w:pStyle w:val="TOC1"/>
            <w:tabs>
              <w:tab w:val="clear" w:pos="9026"/>
              <w:tab w:val="right" w:pos="9025" w:leader="dot"/>
            </w:tabs>
          </w:pPr>
          <w:hyperlink w:history="1" w:anchor="b_fig_V4_1">
            <w:r>
              <w:rPr>
                <w:rStyle w:val="IndexLink"/>
              </w:rPr>
              <w:t xml:space="default">Figura V4.1 · Interpretar un modelo · polaridad y tipo de ciclo</w:t>
              <w:tab/>
              <w:t xml:space="default">1143</w:t>
            </w:r>
          </w:hyperlink>
        </w:p>
        <w:p>
          <w:pPr>
            <w:pStyle w:val="TOC1"/>
            <w:tabs>
              <w:tab w:val="clear" w:pos="9026"/>
              <w:tab w:val="right" w:pos="9025" w:leader="dot"/>
            </w:tabs>
          </w:pPr>
          <w:hyperlink w:history="1" w:anchor="b_fig_V4_2">
            <w:r>
              <w:rPr>
                <w:rStyle w:val="IndexLink"/>
              </w:rPr>
              <w:t xml:space="default">Figura V4.2 · Interpretar un modelo · polaridad y tipo de ciclo</w:t>
              <w:tab/>
              <w:t xml:space="default">1144</w:t>
            </w:r>
          </w:hyperlink>
        </w:p>
        <w:p>
          <w:pPr>
            <w:pStyle w:val="TOC1"/>
            <w:tabs>
              <w:tab w:val="clear" w:pos="9026"/>
              <w:tab w:val="right" w:pos="9025" w:leader="dot"/>
            </w:tabs>
          </w:pPr>
          <w:hyperlink w:history="1" w:anchor="b_fig_V4_3">
            <w:r>
              <w:rPr>
                <w:rStyle w:val="IndexLink"/>
              </w:rPr>
              <w:t xml:space="default">Figura V4.3 · Diagramar una historia · demora</w:t>
              <w:tab/>
              <w:t xml:space="default">1146</w:t>
            </w:r>
          </w:hyperlink>
        </w:p>
        <w:p>
          <w:pPr>
            <w:pStyle w:val="TOC1"/>
            <w:tabs>
              <w:tab w:val="clear" w:pos="9026"/>
              <w:tab w:val="right" w:pos="9025" w:leader="dot"/>
            </w:tabs>
          </w:pPr>
          <w:hyperlink w:history="1" w:anchor="b_fig_V4_4">
            <w:r>
              <w:rPr>
                <w:rStyle w:val="IndexLink"/>
              </w:rPr>
              <w:t xml:space="default">Figura V4.4 · Diagramar una historia · ciclo de balance</w:t>
              <w:tab/>
              <w:t xml:space="default">1148</w:t>
            </w:r>
          </w:hyperlink>
        </w:p>
        <w:p>
          <w:pPr>
            <w:pStyle w:val="TOC1"/>
            <w:tabs>
              <w:tab w:val="clear" w:pos="9026"/>
              <w:tab w:val="right" w:pos="9025" w:leader="dot"/>
            </w:tabs>
          </w:pPr>
          <w:hyperlink w:history="1" w:anchor="b_fig_V4_5">
            <w:r>
              <w:rPr>
                <w:rStyle w:val="IndexLink"/>
              </w:rPr>
              <w:t xml:space="default">Figura V4.5 · Interpretar un modelo · regla de paridad</w:t>
              <w:tab/>
              <w:t xml:space="default">1151</w:t>
            </w:r>
          </w:hyperlink>
        </w:p>
        <w:p>
          <w:pPr>
            <w:pStyle w:val="TOC1"/>
            <w:tabs>
              <w:tab w:val="clear" w:pos="9026"/>
              <w:tab w:val="right" w:pos="9025" w:leader="dot"/>
            </w:tabs>
          </w:pPr>
          <w:hyperlink w:history="1" w:anchor="b_fig_V4_6">
            <w:r>
              <w:rPr>
                <w:rStyle w:val="IndexLink"/>
              </w:rPr>
              <w:t xml:space="default">Figura V4.6 · Interpretar un modelo · regla de paridad</w:t>
              <w:tab/>
              <w:t xml:space="default">1152</w:t>
            </w:r>
          </w:hyperlink>
        </w:p>
        <w:p>
          <w:pPr>
            <w:pStyle w:val="TOC1"/>
            <w:tabs>
              <w:tab w:val="clear" w:pos="9026"/>
              <w:tab w:val="right" w:pos="9025" w:leader="dot"/>
            </w:tabs>
          </w:pPr>
          <w:hyperlink w:history="1" w:anchor="b_fig_V4_7">
            <w:r>
              <w:rPr>
                <w:rStyle w:val="IndexLink"/>
              </w:rPr>
              <w:t xml:space="default">Figura V4.7 · Interpretar un modelo · efecto de la demora</w:t>
              <w:tab/>
              <w:t xml:space="default">1153</w:t>
            </w:r>
          </w:hyperlink>
        </w:p>
        <w:p>
          <w:pPr>
            <w:pStyle w:val="TOC1"/>
            <w:tabs>
              <w:tab w:val="clear" w:pos="9026"/>
              <w:tab w:val="right" w:pos="9025" w:leader="dot"/>
            </w:tabs>
          </w:pPr>
          <w:hyperlink w:history="1" w:anchor="b_fig_V4_8">
            <w:r>
              <w:rPr>
                <w:rStyle w:val="IndexLink"/>
              </w:rPr>
              <w:t xml:space="default">Figura V4.8 · Interpretar un modelo · efecto de la demora</w:t>
              <w:tab/>
              <w:t xml:space="default">1154</w:t>
            </w:r>
          </w:hyperlink>
        </w:p>
        <w:p>
          <w:pPr>
            <w:pStyle w:val="TOC1"/>
            <w:tabs>
              <w:tab w:val="clear" w:pos="9026"/>
              <w:tab w:val="right" w:pos="9025" w:leader="dot"/>
            </w:tabs>
          </w:pPr>
          <w:hyperlink w:history="1" w:anchor="b_fig_V4_9">
            <w:r>
              <w:rPr>
                <w:rStyle w:val="IndexLink"/>
              </w:rPr>
              <w:t xml:space="default">Figura V4.9 · Diagramar una historia · proalimentación</w:t>
              <w:tab/>
              <w:t xml:space="default">1156</w:t>
            </w:r>
          </w:hyperlink>
        </w:p>
        <w:p>
          <w:pPr>
            <w:pStyle w:val="TOC1"/>
            <w:tabs>
              <w:tab w:val="clear" w:pos="9026"/>
              <w:tab w:val="right" w:pos="9025" w:leader="dot"/>
            </w:tabs>
          </w:pPr>
          <w:hyperlink w:history="1" w:anchor="b_fig_V4_10">
            <w:r>
              <w:rPr>
                <w:rStyle w:val="IndexLink"/>
              </w:rPr>
              <w:t xml:space="default">Figura V4.10 · Diagramar una historia · virtuoso y vicioso</w:t>
              <w:tab/>
              <w:t xml:space="default">1158</w:t>
            </w:r>
          </w:hyperlink>
        </w:p>
        <w:p>
          <w:pPr>
            <w:pStyle w:val="TOC1"/>
            <w:tabs>
              <w:tab w:val="clear" w:pos="9026"/>
              <w:tab w:val="right" w:pos="9025" w:leader="dot"/>
            </w:tabs>
          </w:pPr>
          <w:hyperlink w:history="1" w:anchor="b_fig_V4_11">
            <w:r>
              <w:rPr>
                <w:rStyle w:val="IndexLink"/>
              </w:rPr>
              <w:t xml:space="default">Figura V4.11 · Diagramar una historia · contraintuición</w:t>
              <w:tab/>
              <w:t xml:space="default">1160</w:t>
            </w:r>
          </w:hyperlink>
        </w:p>
        <w:p>
          <w:pPr>
            <w:pStyle w:val="TOC1"/>
            <w:tabs>
              <w:tab w:val="clear" w:pos="9026"/>
              <w:tab w:val="right" w:pos="9025" w:leader="dot"/>
            </w:tabs>
          </w:pPr>
          <w:hyperlink w:history="1" w:anchor="b_fig_V4_12">
            <w:r>
              <w:rPr>
                <w:rStyle w:val="IndexLink"/>
              </w:rPr>
              <w:t xml:space="default">Figura V4.12 · Interpretar un modelo · variable externa</w:t>
              <w:tab/>
              <w:t xml:space="default">1161</w:t>
            </w:r>
          </w:hyperlink>
        </w:p>
        <w:p>
          <w:pPr>
            <w:pStyle w:val="TOC1"/>
            <w:tabs>
              <w:tab w:val="clear" w:pos="9026"/>
              <w:tab w:val="right" w:pos="9025" w:leader="dot"/>
            </w:tabs>
          </w:pPr>
          <w:hyperlink w:history="1" w:anchor="b_fig_V4_13">
            <w:r>
              <w:rPr>
                <w:rStyle w:val="IndexLink"/>
              </w:rPr>
              <w:t xml:space="default">Figura V4.13 · Interpretar un modelo · variable externa</w:t>
              <w:tab/>
              <w:t xml:space="default">1162</w:t>
            </w:r>
          </w:hyperlink>
        </w:p>
        <w:p>
          <w:pPr>
            <w:pStyle w:val="TOC1"/>
            <w:tabs>
              <w:tab w:val="clear" w:pos="9026"/>
              <w:tab w:val="right" w:pos="9025" w:leader="dot"/>
            </w:tabs>
          </w:pPr>
          <w:hyperlink w:history="1" w:anchor="b_fig_V4_14">
            <w:r>
              <w:rPr>
                <w:rStyle w:val="IndexLink"/>
              </w:rPr>
              <w:t xml:space="default">Figura V4.14 · Diagramar una historia · demora y anticipación</w:t>
              <w:tab/>
              <w:t xml:space="default">1164</w:t>
            </w:r>
          </w:hyperlink>
        </w:p>
        <w:p>
          <w:pPr>
            <w:pStyle w:val="TOC1"/>
            <w:tabs>
              <w:tab w:val="clear" w:pos="9026"/>
              <w:tab w:val="right" w:pos="9025" w:leader="dot"/>
            </w:tabs>
          </w:pPr>
          <w:hyperlink w:history="1" w:anchor="b_fig_V4_15">
            <w:r>
              <w:rPr>
                <w:rStyle w:val="IndexLink"/>
              </w:rPr>
              <w:t xml:space="default">Figura V4.15 · Interpretar un modelo · del proceso al sistema</w:t>
              <w:tab/>
              <w:t xml:space="default">1165</w:t>
            </w:r>
          </w:hyperlink>
        </w:p>
        <w:p>
          <w:pPr>
            <w:pStyle w:val="TOC1"/>
            <w:tabs>
              <w:tab w:val="clear" w:pos="9026"/>
              <w:tab w:val="right" w:pos="9025" w:leader="dot"/>
            </w:tabs>
          </w:pPr>
          <w:hyperlink w:history="1" w:anchor="b_fig_V4_16">
            <w:r>
              <w:rPr>
                <w:rStyle w:val="IndexLink"/>
              </w:rPr>
              <w:t xml:space="default">Figura V4.16 · Interpretar un modelo · del proceso al sistema</w:t>
              <w:tab/>
              <w:t xml:space="default">1166</w:t>
            </w:r>
          </w:hyperlink>
        </w:p>
        <w:p>
          <w:pPr>
            <w:pStyle w:val="TOC1"/>
            <w:tabs>
              <w:tab w:val="clear" w:pos="9026"/>
              <w:tab w:val="right" w:pos="9025" w:leader="dot"/>
            </w:tabs>
          </w:pPr>
          <w:hyperlink w:history="1" w:anchor="b_fig_V4_17">
            <w:r>
              <w:rPr>
                <w:rStyle w:val="IndexLink"/>
              </w:rPr>
              <w:t xml:space="default">Figura V4.17 · Diagramar una historia · ciclo de vida</w:t>
              <w:tab/>
              <w:t xml:space="default">1174</w:t>
            </w:r>
          </w:hyperlink>
        </w:p>
        <w:p>
          <w:pPr>
            <w:pStyle w:val="TOC1"/>
            <w:tabs>
              <w:tab w:val="clear" w:pos="9026"/>
              <w:tab w:val="right" w:pos="9025" w:leader="dot"/>
            </w:tabs>
          </w:pPr>
          <w:hyperlink w:history="1" w:anchor="b_fig_V4_18">
            <w:r>
              <w:rPr>
                <w:rStyle w:val="IndexLink"/>
              </w:rPr>
              <w:t xml:space="default">Figura V4.18 · Diagramar una historia · control con objetivo</w:t>
              <w:tab/>
              <w:t xml:space="default">1179</w:t>
            </w:r>
          </w:hyperlink>
        </w:p>
        <w:p>
          <w:pPr>
            <w:pStyle w:val="TOC1"/>
            <w:tabs>
              <w:tab w:val="clear" w:pos="9026"/>
              <w:tab w:val="right" w:pos="9025" w:leader="dot"/>
            </w:tabs>
          </w:pPr>
          <w:hyperlink w:history="1" w:anchor="b_fig_V4_19">
            <w:r>
              <w:rPr>
                <w:rStyle w:val="IndexLink"/>
              </w:rPr>
              <w:t xml:space="default">Figura V4.19 · Diagramar una historia · mapa DSRP</w:t>
              <w:tab/>
              <w:t xml:space="default">1185</w:t>
            </w:r>
          </w:hyperlink>
        </w:p>
        <w:p>
          <w:pPr>
            <w:pStyle w:val="TOC1"/>
            <w:tabs>
              <w:tab w:val="clear" w:pos="9026"/>
              <w:tab w:val="right" w:pos="9025" w:leader="dot"/>
            </w:tabs>
          </w:pPr>
          <w:hyperlink w:history="1" w:anchor="b_fig_V4_20">
            <w:r>
              <w:rPr>
                <w:rStyle w:val="IndexLink"/>
              </w:rPr>
              <w:t xml:space="default">Figura V4.20 · Diagramar una historia · refuerzo de primer orden</w:t>
              <w:tab/>
              <w:t xml:space="default">1190</w:t>
            </w:r>
          </w:hyperlink>
        </w:p>
        <w:p>
          <w:pPr>
            <w:pStyle w:val="TOC1"/>
            <w:tabs>
              <w:tab w:val="clear" w:pos="9026"/>
              <w:tab w:val="right" w:pos="9025" w:leader="dot"/>
            </w:tabs>
          </w:pPr>
          <w:hyperlink w:history="1" w:anchor="b_fig_V4_21">
            <w:r>
              <w:rPr>
                <w:rStyle w:val="IndexLink"/>
              </w:rPr>
              <w:t xml:space="default">Figura V4.21 · Interpretar un mapa DSRP · las cuatro reglas</w:t>
              <w:tab/>
              <w:t xml:space="default">1191</w:t>
            </w:r>
          </w:hyperlink>
        </w:p>
        <w:p>
          <w:pPr>
            <w:pStyle w:val="TOC1"/>
            <w:tabs>
              <w:tab w:val="clear" w:pos="9026"/>
              <w:tab w:val="right" w:pos="9025" w:leader="dot"/>
            </w:tabs>
          </w:pPr>
          <w:hyperlink w:history="1" w:anchor="b_fig_V4_22">
            <w:r>
              <w:rPr>
                <w:rStyle w:val="IndexLink"/>
              </w:rPr>
              <w:t xml:space="default">Figura V4.22 · Interpretar un mapa DSRP · las cuatro reglas</w:t>
              <w:tab/>
              <w:t xml:space="default">1192</w:t>
            </w:r>
          </w:hyperlink>
        </w:p>
        <w:p>
          <w:pPr>
            <w:pStyle w:val="TOC1"/>
            <w:tabs>
              <w:tab w:val="clear" w:pos="9026"/>
              <w:tab w:val="right" w:pos="9025" w:leader="dot"/>
            </w:tabs>
          </w:pPr>
          <w:hyperlink w:history="1" w:anchor="b_fig_V5_1">
            <w:r>
              <w:rPr>
                <w:rStyle w:val="IndexLink"/>
              </w:rPr>
              <w:t xml:space="default">Figura V5.1 · Unidad 4 · 4.2 · Flujos y niveles: la nube</w:t>
              <w:tab/>
              <w:t xml:space="default">1202</w:t>
            </w:r>
          </w:hyperlink>
        </w:p>
        <w:p>
          <w:pPr>
            <w:pStyle w:val="TOC1"/>
            <w:tabs>
              <w:tab w:val="clear" w:pos="9026"/>
              <w:tab w:val="right" w:pos="9025" w:leader="dot"/>
            </w:tabs>
          </w:pPr>
          <w:hyperlink w:history="1" w:anchor="b_fig_V5_2">
            <w:r>
              <w:rPr>
                <w:rStyle w:val="IndexLink"/>
              </w:rPr>
              <w:t xml:space="default">Figura V5.2 · Unidad 4 · 4.2 · Flujos y niveles: el comportamiento de un nivel</w:t>
              <w:tab/>
              <w:t xml:space="default">1210</w:t>
            </w:r>
          </w:hyperlink>
        </w:p>
        <w:p>
          <w:pPr>
            <w:pStyle w:val="TOC1"/>
            <w:tabs>
              <w:tab w:val="clear" w:pos="9026"/>
              <w:tab w:val="right" w:pos="9025" w:leader="dot"/>
            </w:tabs>
          </w:pPr>
          <w:hyperlink w:history="1" w:anchor="b_fig_V5_3">
            <w:r>
              <w:rPr>
                <w:rStyle w:val="IndexLink"/>
              </w:rPr>
              <w:t xml:space="default">Figura V5.3 · Unidad 4 · 4.2 · Flujos y niveles: el saldo que baja</w:t>
              <w:tab/>
              <w:t xml:space="default">1234</w:t>
            </w:r>
          </w:hyperlink>
        </w:p>
        <w:p>
          <w:pPr>
            <w:pStyle w:val="TOC1"/>
            <w:tabs>
              <w:tab w:val="clear" w:pos="9026"/>
              <w:tab w:val="right" w:pos="9025" w:leader="dot"/>
            </w:tabs>
          </w:pPr>
          <w:hyperlink w:history="1" w:anchor="b_fig_V6_1">
            <w:r>
              <w:rPr>
                <w:rStyle w:val="IndexLink"/>
              </w:rPr>
              <w:t xml:space="default">Figura V6.1 · Unidad 4 · 4.1 · Arquetipos: contar los ciclos</w:t>
              <w:tab/>
              <w:t xml:space="default">1238</w:t>
            </w:r>
          </w:hyperlink>
        </w:p>
        <w:p>
          <w:pPr>
            <w:pStyle w:val="TOC1"/>
            <w:tabs>
              <w:tab w:val="clear" w:pos="9026"/>
              <w:tab w:val="right" w:pos="9025" w:leader="dot"/>
            </w:tabs>
          </w:pPr>
          <w:hyperlink w:history="1" w:anchor="b_fig_V6_2">
            <w:r>
              <w:rPr>
                <w:rStyle w:val="IndexLink"/>
              </w:rPr>
              <w:t xml:space="default">Figura V6.2 · Unidad 4 · 4.1 · Arquetipos: contar los ciclos</w:t>
              <w:tab/>
              <w:t xml:space="default">1239</w:t>
            </w:r>
          </w:hyperlink>
        </w:p>
        <w:p>
          <w:pPr>
            <w:pStyle w:val="TOC1"/>
            <w:tabs>
              <w:tab w:val="clear" w:pos="9026"/>
              <w:tab w:val="right" w:pos="9025" w:leader="dot"/>
            </w:tabs>
          </w:pPr>
          <w:hyperlink w:history="1" w:anchor="b_fig_V6_3">
            <w:r>
              <w:rPr>
                <w:rStyle w:val="IndexLink"/>
              </w:rPr>
              <w:t xml:space="default">Figura V6.3 · Unidad 4 · 4.4 · Simulación con VENSIM: el préstamo bancario</w:t>
              <w:tab/>
              <w:t xml:space="default">1241</w:t>
            </w:r>
          </w:hyperlink>
        </w:p>
        <w:p>
          <w:pPr>
            <w:pStyle w:val="TOC1"/>
            <w:tabs>
              <w:tab w:val="clear" w:pos="9026"/>
              <w:tab w:val="right" w:pos="9025" w:leader="dot"/>
            </w:tabs>
          </w:pPr>
          <w:hyperlink w:history="1" w:anchor="b_fig_V6_4">
            <w:r>
              <w:rPr>
                <w:rStyle w:val="IndexLink"/>
              </w:rPr>
              <w:t xml:space="default">Figura V6.4 · Unidad 4 · 4.3 · De ciclos causales a flujos: el ejercicio 1</w:t>
              <w:tab/>
              <w:t xml:space="default">1247</w:t>
            </w:r>
          </w:hyperlink>
        </w:p>
        <w:p>
          <w:pPr>
            <w:pStyle w:val="TOC1"/>
            <w:tabs>
              <w:tab w:val="clear" w:pos="9026"/>
              <w:tab w:val="right" w:pos="9025" w:leader="dot"/>
            </w:tabs>
          </w:pPr>
          <w:hyperlink w:history="1" w:anchor="b_fig_V6_5">
            <w:r>
              <w:rPr>
                <w:rStyle w:val="IndexLink"/>
              </w:rPr>
              <w:t xml:space="default">Figura V6.5 · Unidad 4 · 4.3 · De ciclos causales a flujos: el ejercicio 1</w:t>
              <w:tab/>
              <w:t xml:space="default">1247</w:t>
            </w:r>
          </w:hyperlink>
        </w:p>
        <w:p>
          <w:pPr>
            <w:pStyle w:val="TOC1"/>
            <w:tabs>
              <w:tab w:val="clear" w:pos="9026"/>
              <w:tab w:val="right" w:pos="9025" w:leader="dot"/>
            </w:tabs>
          </w:pPr>
          <w:hyperlink w:history="1" w:anchor="b_fig_V6_6">
            <w:r>
              <w:rPr>
                <w:rStyle w:val="IndexLink"/>
              </w:rPr>
              <w:t xml:space="default">Figura V6.6 · Unidad 4 · 4.1 · Arquetipos: de la historia al diagrama</w:t>
              <w:tab/>
              <w:t xml:space="default">1249</w:t>
            </w:r>
          </w:hyperlink>
        </w:p>
        <w:p>
          <w:pPr>
            <w:pStyle w:val="TOC1"/>
            <w:tabs>
              <w:tab w:val="clear" w:pos="9026"/>
              <w:tab w:val="right" w:pos="9025" w:leader="dot"/>
            </w:tabs>
          </w:pPr>
          <w:hyperlink w:history="1" w:anchor="b_fig_V6_7">
            <w:r>
              <w:rPr>
                <w:rStyle w:val="IndexLink"/>
              </w:rPr>
              <w:t xml:space="default">Figura V6.7 · Unidad 4 · 4.4 · Simulación con VENSIM: el préstamo bancario</w:t>
              <w:tab/>
              <w:t xml:space="default">1250</w:t>
            </w:r>
          </w:hyperlink>
        </w:p>
        <w:p>
          <w:pPr>
            <w:pStyle w:val="TOC1"/>
            <w:tabs>
              <w:tab w:val="clear" w:pos="9026"/>
              <w:tab w:val="right" w:pos="9025" w:leader="dot"/>
            </w:tabs>
          </w:pPr>
          <w:hyperlink w:history="1" w:anchor="b_fig_V6_8">
            <w:r>
              <w:rPr>
                <w:rStyle w:val="IndexLink"/>
              </w:rPr>
              <w:t xml:space="default">Figura V6.8 · Unidad 4 · 4.5 · Ejemplos en VENSIM: los teléfonos del residencial</w:t>
              <w:tab/>
              <w:t xml:space="default">1251</w:t>
            </w:r>
          </w:hyperlink>
        </w:p>
        <w:p>
          <w:pPr>
            <w:pStyle w:val="TOC1"/>
            <w:tabs>
              <w:tab w:val="clear" w:pos="9026"/>
              <w:tab w:val="right" w:pos="9025" w:leader="dot"/>
            </w:tabs>
          </w:pPr>
          <w:hyperlink w:history="1" w:anchor="b_fig_S3_1">
            <w:r>
              <w:rPr>
                <w:rStyle w:val="IndexLink"/>
              </w:rPr>
              <w:t xml:space="default">Figura S3.1 · Unidad 4 · 4.1 · Arquetipos: leer un diagrama de Pegasus</w:t>
              <w:tab/>
              <w:t xml:space="default">1526</w:t>
            </w:r>
          </w:hyperlink>
        </w:p>
        <w:p>
          <w:pPr>
            <w:pStyle w:val="TOC1"/>
            <w:tabs>
              <w:tab w:val="clear" w:pos="9026"/>
              <w:tab w:val="right" w:pos="9025" w:leader="dot"/>
            </w:tabs>
          </w:pPr>
          <w:hyperlink w:history="1" w:anchor="b_fig_S3_2">
            <w:r>
              <w:rPr>
                <w:rStyle w:val="IndexLink"/>
              </w:rPr>
              <w:t xml:space="default">Figura S3.2 · Unidad 4 · 4.1 · Arquetipos: contar los ciclos</w:t>
              <w:tab/>
              <w:t xml:space="default">1527</w:t>
            </w:r>
          </w:hyperlink>
        </w:p>
        <w:p>
          <w:pPr>
            <w:pStyle w:val="TOC1"/>
            <w:tabs>
              <w:tab w:val="clear" w:pos="9026"/>
              <w:tab w:val="right" w:pos="9025" w:leader="dot"/>
            </w:tabs>
          </w:pPr>
          <w:hyperlink w:history="1" w:anchor="b_fig_S3_3">
            <w:r>
              <w:rPr>
                <w:rStyle w:val="IndexLink"/>
              </w:rPr>
              <w:t xml:space="default">Figura S3.3 · Unidad 4 · 4.1 · Arquetipos: la escalada</w:t>
              <w:tab/>
              <w:t xml:space="default">1528</w:t>
            </w:r>
          </w:hyperlink>
        </w:p>
        <w:p>
          <w:pPr>
            <w:pStyle w:val="TOC1"/>
            <w:tabs>
              <w:tab w:val="clear" w:pos="9026"/>
              <w:tab w:val="right" w:pos="9025" w:leader="dot"/>
            </w:tabs>
          </w:pPr>
          <w:hyperlink w:history="1" w:anchor="b_fig_S3_4">
            <w:r>
              <w:rPr>
                <w:rStyle w:val="IndexLink"/>
              </w:rPr>
              <w:t xml:space="default">Figura S3.4 · Unidad 4 · 4.2 · Flujos y niveles: el nivel como integral de sus flujos</w:t>
              <w:tab/>
              <w:t xml:space="default">1535</w:t>
            </w:r>
          </w:hyperlink>
        </w:p>
        <w:p>
          <w:pPr>
            <w:pStyle w:val="TOC1"/>
            <w:tabs>
              <w:tab w:val="clear" w:pos="9026"/>
              <w:tab w:val="right" w:pos="9025" w:leader="dot"/>
            </w:tabs>
          </w:pPr>
          <w:hyperlink w:history="1" w:anchor="b_fig_S3_5">
            <w:r>
              <w:rPr>
                <w:rStyle w:val="IndexLink"/>
              </w:rPr>
              <w:t xml:space="default">Figura S3.5 · Unidad 4 · 4.3 · Conversión de DCC: ejercicio 1, la capacidad de planta</w:t>
              <w:tab/>
              <w:t xml:space="default">1537</w:t>
            </w:r>
          </w:hyperlink>
        </w:p>
        <w:p>
          <w:pPr>
            <w:pStyle w:val="TOC1"/>
            <w:tabs>
              <w:tab w:val="clear" w:pos="9026"/>
              <w:tab w:val="right" w:pos="9025" w:leader="dot"/>
            </w:tabs>
          </w:pPr>
          <w:hyperlink w:history="1" w:anchor="b_fig_S3_6">
            <w:r>
              <w:rPr>
                <w:rStyle w:val="IndexLink"/>
              </w:rPr>
              <w:t xml:space="default">Figura S3.6 · Unidad 4 · 4.3 · Conversión de DCC: ejercicio 2, huevos y gallinas</w:t>
              <w:tab/>
              <w:t xml:space="default">1538</w:t>
            </w:r>
          </w:hyperlink>
        </w:p>
        <w:p>
          <w:pPr>
            <w:pStyle w:val="TOC1"/>
            <w:tabs>
              <w:tab w:val="clear" w:pos="9026"/>
              <w:tab w:val="right" w:pos="9025" w:leader="dot"/>
            </w:tabs>
          </w:pPr>
          <w:hyperlink w:history="1" w:anchor="b_fig_S3_7">
            <w:r>
              <w:rPr>
                <w:rStyle w:val="IndexLink"/>
              </w:rPr>
              <w:t xml:space="default">Figura S3.7 · Unidad 4 · 4.5 · El préstamo bancario: los saldos a 14 meses</w:t>
              <w:tab/>
              <w:t xml:space="default">1548</w:t>
            </w:r>
          </w:hyperlink>
        </w:p>
        <w:p>
          <w:pPr>
            <w:pStyle w:val="TOC1"/>
            <w:tabs>
              <w:tab w:val="clear" w:pos="9026"/>
              <w:tab w:val="right" w:pos="9025" w:leader="dot"/>
            </w:tabs>
          </w:pPr>
          <w:hyperlink w:history="1" w:anchor="b_fig_S3_8">
            <w:r>
              <w:rPr>
                <w:rStyle w:val="IndexLink"/>
              </w:rPr>
              <w:t xml:space="default">Figura S3.8 · Unidad 4 · 4.5 · Los teléfonos del residencial: más casas</w:t>
              <w:tab/>
              <w:t xml:space="default">1550</w:t>
            </w:r>
          </w:hyperlink>
        </w:p>
        <w:p>
          <w:pPr>
            <w:pStyle w:val="TOC1"/>
            <w:tabs>
              <w:tab w:val="clear" w:pos="9026"/>
              <w:tab w:val="right" w:pos="9025" w:leader="dot"/>
            </w:tabs>
          </w:pPr>
          <w:hyperlink w:history="1" w:anchor="b_fig_S3_9">
            <w:r>
              <w:rPr>
                <w:rStyle w:val="IndexLink"/>
              </w:rPr>
              <w:t xml:space="default">Figura S3.9 · Unidad 4 · 4.5 · Otro ejemplo: el almacén</w:t>
              <w:tab/>
              <w:t xml:space="default">1552</w:t>
            </w:r>
          </w:hyperlink>
        </w:p>
        <w:p>
          <w:pPr>
            <w:pStyle w:val="TOC1"/>
            <w:tabs>
              <w:tab w:val="clear" w:pos="9026"/>
              <w:tab w:val="right" w:pos="9025" w:leader="dot"/>
            </w:tabs>
          </w:pPr>
          <w:hyperlink w:history="1" w:anchor="b_fig_S3_10">
            <w:r>
              <w:rPr>
                <w:rStyle w:val="IndexLink"/>
              </w:rPr>
              <w:t xml:space="default">Figura S3.10 · Unidad 4 · 4.7 · Hábitos: las cuatro etapas de resolución de problemas</w:t>
              <w:tab/>
              <w:t xml:space="default">1558</w:t>
            </w:r>
          </w:hyperlink>
          <w:r>
            <w:fldChar w:fldCharType="end"/>
          </w:r>
        </w:p>
      </w:sdtContent>
    </w:sdt>
    <w:p>
      <w:pPr>
        <w:sectPr>
          <w:headerReference w:type="default" r:id="rId36"/>
          <w:headerReference w:type="first" r:id="rId37"/>
          <w:headerReference w:type="even" r:id="rId38"/>
          <w:footerReference w:type="default" r:id="rId39"/>
          <w:footerReference w:type="first" r:id="rId40"/>
          <w:footerReference w:type="even" r:id="rId41"/>
          <w:type w:val="nextPage"/>
          <w:pgSz w:w="12240" w:h="15840" w:orient="portrait"/>
          <w:pgMar w:top="1361" w:right="1134" w:bottom="1361" w:left="1474" w:header="650" w:footer="680" w:gutter="0"/>
          <w:pgNumType/>
          <w:titlePg/>
          <w:docGrid w:linePitch="360"/>
        </w:sectPr>
      </w:pPr>
    </w:p>
    <w:p>
      <w:pPr>
        <w:pStyle w:val="Heading1"/>
      </w:pPr>
      <w:bookmarkStart w:name="b_unidad_1" w:id="8"/>
      <w:r>
        <w:t xml:space="preserve">Parte I · Sistemas abstractos y paradigmas</w:t>
      </w:r>
      <w:bookmarkEnd w:id="8"/>
    </w:p>
    <w:p>
      <w:pPr>
        <w:pStyle w:val="Normal"/>
      </w:pPr>
      <w:r>
        <w:t xml:space="preserve">Objetivo: comprender, explicar y aplicar los conceptos de la Unidad 1, conectando las presentaciones y los ejemplos de clase.</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El profesor lo dijo así</w:t>
            </w:r>
          </w:p>
          <w:p>
            <w:pPr>
              <w:pStyle w:val="Recuadro"/>
            </w:pPr>
            <w:r>
              <w:t xml:space="preserve">«Esos paradigmas o modelos mentales son creaciones propias de cada uno de nosotros como seres humanos, que usamos para modelar la realidad, cualquiera que esta sea.»</w:t>
            </w:r>
          </w:p>
          <w:p>
            <w:pPr>
              <w:pStyle w:val="Recuadro"/>
            </w:pPr>
            <w:r>
              <w:t xml:space="preserve">Clase 1 · 01:06:47</w:t>
            </w:r>
          </w:p>
        </w:tc>
      </w:tr>
    </w:tbl>
    <w:tbl>
      <w:tblPr>
        <w:tblW w:type="dxa" w:w="9632"/>
        <w:tblBorders>
          <w:top w:val="single" w:color="C5D5DB" w:sz="4"/>
          <w:left w:val="single" w:color="C5D5DB" w:sz="4"/>
          <w:bottom w:val="single" w:color="C5D5DB" w:sz="4"/>
          <w:right w:val="single" w:color="C5D5DB" w:sz="4"/>
          <w:insideH w:val="single" w:color="E4E9EB" w:sz="3"/>
          <w:insideV w:val="single" w:color="E4E9EB" w:sz="3"/>
        </w:tblBorders>
        <w:tblLayout w:type="fixed"/>
      </w:tblPr>
      <w:tblGrid>
        <w:gridCol w:w="4816"/>
        <w:gridCol w:w="4816"/>
      </w:tblGrid>
      <w:tr>
        <w:trPr>
          <w:cantSplit/>
          <w:tblHeader/>
        </w:trPr>
        <w:tc>
          <w:tcPr>
            <w:tcW w:type="dxa" w:w="4816"/>
            <w:shd w:fill="DFEAF0" w:val="clear"/>
            <w:tcMar>
              <w:top w:type="dxa" w:w="80"/>
              <w:left w:type="dxa" w:w="100"/>
              <w:bottom w:type="dxa" w:w="80"/>
              <w:right w:type="dxa" w:w="100"/>
            </w:tcMar>
          </w:tcPr>
          <w:p>
            <w:pPr>
              <w:pStyle w:val="Tabla"/>
            </w:pPr>
            <w:r>
              <w:rPr>
                <w:b/>
                <w:bCs/>
              </w:rPr>
              <w:t xml:space="preserve">Capítulo</w:t>
            </w:r>
          </w:p>
        </w:tc>
        <w:tc>
          <w:tcPr>
            <w:tcW w:type="dxa" w:w="4816"/>
            <w:shd w:fill="DFEAF0" w:val="clear"/>
            <w:tcMar>
              <w:top w:type="dxa" w:w="80"/>
              <w:left w:type="dxa" w:w="100"/>
              <w:bottom w:type="dxa" w:w="80"/>
              <w:right w:type="dxa" w:w="100"/>
            </w:tcMar>
          </w:tcPr>
          <w:p>
            <w:pPr>
              <w:pStyle w:val="Tabla"/>
            </w:pPr>
            <w:r>
              <w:rPr>
                <w:b/>
                <w:bCs/>
              </w:rPr>
              <w:t xml:space="preserve">Pregunta de aprendizaje</w:t>
            </w:r>
          </w:p>
        </w:tc>
      </w:tr>
      <w:tr>
        <w:trPr>
          <w:cantSplit/>
          <w:tblHeader w:val="off"/>
        </w:trPr>
        <w:tc>
          <w:tcPr>
            <w:tcW w:type="dxa" w:w="4816"/>
            <w:tcMar>
              <w:top w:type="dxa" w:w="80"/>
              <w:left w:type="dxa" w:w="100"/>
              <w:bottom w:type="dxa" w:w="80"/>
              <w:right w:type="dxa" w:w="100"/>
            </w:tcMar>
          </w:tcPr>
          <w:p>
            <w:pPr>
              <w:pStyle w:val="Tabla"/>
            </w:pPr>
            <w:r>
              <w:t xml:space="preserve">1.1 · Paradigmas y modelos mentales</w:t>
            </w:r>
          </w:p>
        </w:tc>
        <w:tc>
          <w:tcPr>
            <w:tcW w:type="dxa" w:w="4816"/>
            <w:tcMar>
              <w:top w:type="dxa" w:w="80"/>
              <w:left w:type="dxa" w:w="100"/>
              <w:bottom w:type="dxa" w:w="80"/>
              <w:right w:type="dxa" w:w="100"/>
            </w:tcMar>
          </w:tcPr>
          <w:p>
            <w:pPr>
              <w:pStyle w:val="Tabla"/>
            </w:pPr>
            <w:r>
              <w:t xml:space="preserve">Definir paradigma con alguna de las tres definiciones que dio la clase 1 —Adam Smith, Joel Barker, Willis Harmon— y sostener por qué las tres etiquetas designan lo mismo. Después, distinguir sin confundirlas parálisis de paradigma, efecto paradigma, enfermedad de la certidumbre y flexibilidad de paradigmas, cada una con un ejemplo propio.</w:t>
            </w:r>
          </w:p>
        </w:tc>
      </w:tr>
      <w:tr>
        <w:trPr>
          <w:cantSplit/>
          <w:tblHeader w:val="off"/>
        </w:trPr>
        <w:tc>
          <w:tcPr>
            <w:tcW w:type="dxa" w:w="4816"/>
            <w:tcMar>
              <w:top w:type="dxa" w:w="80"/>
              <w:left w:type="dxa" w:w="100"/>
              <w:bottom w:type="dxa" w:w="80"/>
              <w:right w:type="dxa" w:w="100"/>
            </w:tcMar>
          </w:tcPr>
          <w:p>
            <w:pPr>
              <w:pStyle w:val="Tabla"/>
            </w:pPr>
            <w:r>
              <w:t xml:space="preserve">1.2 · Escalera de inferencias</w:t>
            </w:r>
          </w:p>
        </w:tc>
        <w:tc>
          <w:tcPr>
            <w:tcW w:type="dxa" w:w="4816"/>
            <w:tcMar>
              <w:top w:type="dxa" w:w="80"/>
              <w:left w:type="dxa" w:w="100"/>
              <w:bottom w:type="dxa" w:w="80"/>
              <w:right w:type="dxa" w:w="100"/>
            </w:tcMar>
          </w:tcPr>
          <w:p>
            <w:pPr>
              <w:pStyle w:val="Tabla"/>
            </w:pPr>
            <w:r>
              <w:t xml:space="preserve">Nombrar los peldaños de la escalera y las cuatro operaciones mentales —eliminación, construcción, distorsión, generalización— y, sobre un caso dado, señalar dónde actuó cada una y en qué peldaño convenía detenerse a pedir datos. El caso Carlos–Pedro de la clase 3 es el modelo de respuesta.</w:t>
            </w:r>
          </w:p>
        </w:tc>
      </w:tr>
      <w:tr>
        <w:trPr>
          <w:cantSplit/>
          <w:tblHeader w:val="off"/>
        </w:trPr>
        <w:tc>
          <w:tcPr>
            <w:tcW w:type="dxa" w:w="4816"/>
            <w:tcMar>
              <w:top w:type="dxa" w:w="80"/>
              <w:left w:type="dxa" w:w="100"/>
              <w:bottom w:type="dxa" w:w="80"/>
              <w:right w:type="dxa" w:w="100"/>
            </w:tcMar>
          </w:tcPr>
          <w:p>
            <w:pPr>
              <w:pStyle w:val="Tabla"/>
            </w:pPr>
            <w:r>
              <w:t xml:space="preserve">1.3 · El paradigma de sistemas</w:t>
            </w:r>
          </w:p>
        </w:tc>
        <w:tc>
          <w:tcPr>
            <w:tcW w:type="dxa" w:w="4816"/>
            <w:tcMar>
              <w:top w:type="dxa" w:w="80"/>
              <w:left w:type="dxa" w:w="100"/>
              <w:bottom w:type="dxa" w:w="80"/>
              <w:right w:type="dxa" w:w="100"/>
            </w:tcMar>
          </w:tcPr>
          <w:p>
            <w:pPr>
              <w:pStyle w:val="Tabla"/>
            </w:pPr>
            <w:r>
              <w:t xml:space="preserve">Reproducir la definición de la lámina —una teoría generalista de visión unitaria del mundo, que sirve para modelar objetos naturales o artificiales con ayuda del sistema generalizado— y explicar en qué sentido la clase 6 lo llamó un metaparadigma: un modelo mental sobre cómo construir modelos mentales.</w:t>
            </w:r>
          </w:p>
        </w:tc>
      </w:tr>
      <w:tr>
        <w:trPr>
          <w:cantSplit/>
          <w:tblHeader w:val="off"/>
        </w:trPr>
        <w:tc>
          <w:tcPr>
            <w:tcW w:type="dxa" w:w="4816"/>
            <w:tcMar>
              <w:top w:type="dxa" w:w="80"/>
              <w:left w:type="dxa" w:w="100"/>
              <w:bottom w:type="dxa" w:w="80"/>
              <w:right w:type="dxa" w:w="100"/>
            </w:tcMar>
          </w:tcPr>
          <w:p>
            <w:pPr>
              <w:pStyle w:val="Tabla"/>
            </w:pPr>
            <w:r>
              <w:t xml:space="preserve">1.4 · Sistémico vs no sistémico</w:t>
            </w:r>
          </w:p>
        </w:tc>
        <w:tc>
          <w:tcPr>
            <w:tcW w:type="dxa" w:w="4816"/>
            <w:tcMar>
              <w:top w:type="dxa" w:w="80"/>
              <w:left w:type="dxa" w:w="100"/>
              <w:bottom w:type="dxa" w:w="80"/>
              <w:right w:type="dxa" w:w="100"/>
            </w:tcMar>
          </w:tcPr>
          <w:p>
            <w:pPr>
              <w:pStyle w:val="Tabla"/>
            </w:pPr>
            <w:r>
              <w:t xml:space="preserve">Contrastar, línea por línea, la conducta que produce modelos limitadores con la que produce modelos sistémicos, y explicar con la analogía de la maqueta y el edificio qué añaden el isomorfismo y el homomorfismo: por qué un modelo sistémico es una representación simplificada y a la vez de forma similar al objeto modelizado.</w:t>
            </w:r>
          </w:p>
        </w:tc>
      </w:tr>
      <w:tr>
        <w:trPr>
          <w:cantSplit/>
          <w:tblHeader w:val="off"/>
        </w:trPr>
        <w:tc>
          <w:tcPr>
            <w:tcW w:type="dxa" w:w="4816"/>
            <w:tcMar>
              <w:top w:type="dxa" w:w="80"/>
              <w:left w:type="dxa" w:w="100"/>
              <w:bottom w:type="dxa" w:w="80"/>
              <w:right w:type="dxa" w:w="100"/>
            </w:tcMar>
          </w:tcPr>
          <w:p>
            <w:pPr>
              <w:pStyle w:val="Tabla"/>
            </w:pPr>
            <w:r>
              <w:t xml:space="preserve">1.5 · Perspectivas</w:t>
            </w:r>
          </w:p>
        </w:tc>
        <w:tc>
          <w:tcPr>
            <w:tcW w:type="dxa" w:w="4816"/>
            <w:tcMar>
              <w:top w:type="dxa" w:w="80"/>
              <w:left w:type="dxa" w:w="100"/>
              <w:bottom w:type="dxa" w:w="80"/>
              <w:right w:type="dxa" w:w="100"/>
            </w:tcMar>
          </w:tcPr>
          <w:p>
            <w:pPr>
              <w:pStyle w:val="Tabla"/>
            </w:pPr>
            <w:r>
              <w:t xml:space="preserve">Explicar por qué el desacuerdo no se resuelve repitiendo la propia conclusión, y qué hacer en su lugar: pedir los datos y el razonamiento del otro. Se espera que enumere además las tres conclusiones que la clase 6 rescató del video de Guadalupe Nogués —promover el pluralismo, aprender a escuchar y separar las ideas de las personas— y que las conecte con el diálogo de la clase 5.</w:t>
            </w:r>
          </w:p>
        </w:tc>
      </w:tr>
      <w:tr>
        <w:trPr>
          <w:cantSplit/>
          <w:tblHeader w:val="off"/>
        </w:trPr>
        <w:tc>
          <w:tcPr>
            <w:tcW w:type="dxa" w:w="4816"/>
            <w:tcMar>
              <w:top w:type="dxa" w:w="80"/>
              <w:left w:type="dxa" w:w="100"/>
              <w:bottom w:type="dxa" w:w="80"/>
              <w:right w:type="dxa" w:w="100"/>
            </w:tcMar>
          </w:tcPr>
          <w:p>
            <w:pPr>
              <w:pStyle w:val="Tabla"/>
            </w:pPr>
            <w:r>
              <w:t xml:space="preserve">1.6 · Operaciones DSRP</w:t>
            </w:r>
          </w:p>
        </w:tc>
        <w:tc>
          <w:tcPr>
            <w:tcW w:type="dxa" w:w="4816"/>
            <w:tcMar>
              <w:top w:type="dxa" w:w="80"/>
              <w:left w:type="dxa" w:w="100"/>
              <w:bottom w:type="dxa" w:w="80"/>
              <w:right w:type="dxa" w:w="100"/>
            </w:tcMar>
          </w:tcPr>
          <w:p>
            <w:pPr>
              <w:pStyle w:val="Tabla"/>
            </w:pPr>
            <w:r>
              <w:t xml:space="preserve">Enunciar las cuatro reglas simples —distinciones, sistemas, relaciones y perspectivas— y explicar sus pares: identidad/otro, parte/todo, acción/reacción y punto/vista. Aplicarlas de manera iterativa a un caso, usando las preguntas de indagación de la clase 7, y defender la tesis retomada en la clase 8: el pensamiento sistémico emerge de combinar esas operaciones, no de seguir una secuencia rígida.</w:t>
            </w:r>
          </w:p>
        </w:tc>
      </w:tr>
      <w:tr>
        <w:trPr>
          <w:cantSplit/>
          <w:tblHeader w:val="off"/>
        </w:trPr>
        <w:tc>
          <w:tcPr>
            <w:tcW w:type="dxa" w:w="4816"/>
            <w:tcMar>
              <w:top w:type="dxa" w:w="80"/>
              <w:left w:type="dxa" w:w="100"/>
              <w:bottom w:type="dxa" w:w="80"/>
              <w:right w:type="dxa" w:w="100"/>
            </w:tcMar>
          </w:tcPr>
          <w:p>
            <w:pPr>
              <w:pStyle w:val="Tabla"/>
            </w:pPr>
            <w:r>
              <w:t xml:space="preserve">1.7 · Niveles — modelo del iceberg</w:t>
            </w:r>
          </w:p>
        </w:tc>
        <w:tc>
          <w:tcPr>
            <w:tcW w:type="dxa" w:w="4816"/>
            <w:tcMar>
              <w:top w:type="dxa" w:w="80"/>
              <w:left w:type="dxa" w:w="100"/>
              <w:bottom w:type="dxa" w:w="80"/>
              <w:right w:type="dxa" w:w="100"/>
            </w:tcMar>
          </w:tcPr>
          <w:p>
            <w:pPr>
              <w:pStyle w:val="Tabla"/>
            </w:pPr>
            <w:r>
              <w:t xml:space="preserve">Ordenar los cuatro niveles —eventos, tendencias, estructuras sistémicas y modelos mentales—, decir qué pregunta corresponde a cada uno y qué tipo de investigación, cuantitativa o cualitativa, sirve en cada nivel. Se espera que ubique un caso concreto en los cuatro niveles: el caso Acme de la clase 4 y la tarea de los cuatro niveles son la práctica.</w:t>
            </w:r>
          </w:p>
        </w:tc>
      </w:tr>
      <w:tr>
        <w:trPr>
          <w:cantSplit/>
          <w:tblHeader w:val="off"/>
        </w:trPr>
        <w:tc>
          <w:tcPr>
            <w:tcW w:type="dxa" w:w="4816"/>
            <w:tcMar>
              <w:top w:type="dxa" w:w="80"/>
              <w:left w:type="dxa" w:w="100"/>
              <w:bottom w:type="dxa" w:w="80"/>
              <w:right w:type="dxa" w:w="100"/>
            </w:tcMar>
          </w:tcPr>
          <w:p>
            <w:pPr>
              <w:pStyle w:val="Tabla"/>
            </w:pPr>
            <w:r>
              <w:t xml:space="preserve">1.8 · Hábitos del pensador</w:t>
            </w:r>
          </w:p>
        </w:tc>
        <w:tc>
          <w:tcPr>
            <w:tcW w:type="dxa" w:w="4816"/>
            <w:tcMar>
              <w:top w:type="dxa" w:w="80"/>
              <w:left w:type="dxa" w:w="100"/>
              <w:bottom w:type="dxa" w:w="80"/>
              <w:right w:type="dxa" w:w="100"/>
            </w:tcMar>
          </w:tcPr>
          <w:p>
            <w:pPr>
              <w:pStyle w:val="Tabla"/>
            </w:pPr>
            <w:r>
              <w:t xml:space="preserve">Nombrar los cuatro hábitos que la lámina asocia a los modelos mentales —considerar cómo los modelos mentales afectan la realidad actual y el futuro, reconocer y probar suposiciones, cambiar las perspectivas para aumentar la comprensión e intentar entender la «película completa»— y acompañar cada uno con al menos una de las preguntas que la propia lámina propone.</w:t>
            </w:r>
          </w:p>
        </w:tc>
      </w:tr>
    </w:tbl>
    <w:p>
      <w:pPr>
        <w:pStyle w:val="Fuente"/>
      </w:pPr>
      <w:r>
        <w:t xml:space="preserve">Fuentes: C-5 · clases 1–5.</w:t>
      </w:r>
    </w:p>
    <w:p>
      <w:pPr>
        <w:pStyle w:val="Normal"/>
      </w:pPr>
      <w:r>
        <w:t xml:space="preserve">Las portadas, el calendario y los avisos de las sesiones de esta unidad (9 registros verificados) no son materia de examen. Se conservan con su motivo en el apéndice G, para que la cobertura del libro sea completa sin interrumpir el estudio.</w:t>
      </w:r>
    </w:p>
    <w:p>
      <w:pPr>
        <w:pStyle w:val="Fuente"/>
        <w:sectPr>
          <w:headerReference w:type="default" r:id="rId42"/>
          <w:headerReference w:type="first" r:id="rId43"/>
          <w:headerReference w:type="even" r:id="rId44"/>
          <w:footerReference w:type="default" r:id="rId45"/>
          <w:footerReference w:type="first" r:id="rId46"/>
          <w:footerReference w:type="even" r:id="rId47"/>
          <w:type w:val="nextPage"/>
          <w:pgSz w:w="12240" w:h="15840" w:orient="portrait"/>
          <w:pgMar w:top="1361" w:right="1134" w:bottom="1361" w:left="1474" w:header="650" w:footer="680" w:gutter="0"/>
          <w:pgNumType/>
          <w:titlePg/>
          <w:docGrid w:linePitch="360"/>
        </w:sectPr>
      </w:pPr>
      <w:r>
        <w:t xml:space="preserve">Véase </w:t>
      </w:r>
      <w:hyperlink w:history="1" w:anchor="b_avisos_unidad_1">
        <w:r>
          <w:rPr>
            <w:color w:val="156B70"/>
            <w:u w:val="single"/>
          </w:rPr>
          <w:t xml:space="preserve">apéndice G · Unidad 1</w:t>
        </w:r>
      </w:hyperlink>
      <w:r>
        <w:t xml:space="preserve">, pág. </w:t>
      </w:r>
      <w:r>
        <w:fldChar w:fldCharType="begin"/>
        <w:instrText xml:space="preserve">PAGEREF b_avisos_unidad_1 \h</w:instrText>
        <w:fldChar w:fldCharType="separate"/>
        <w:t xml:space="preserve">1743</w:t>
        <w:fldChar w:fldCharType="end"/>
      </w:r>
      <w:r>
        <w:t xml:space="preserve">.</w:t>
      </w:r>
    </w:p>
    <w:p>
      <w:pPr>
        <w:pStyle w:val="Heading2"/>
      </w:pPr>
      <w:bookmarkStart w:name="b_1_1" w:id="9"/>
      <w:r>
        <w:t xml:space="preserve">1.1 · Paradigmas y modelos mentales</w:t>
      </w:r>
      <w:bookmarkEnd w:id="9"/>
    </w:p>
    <w:p>
      <w:pPr>
        <w:pStyle w:val="Subtitulo"/>
      </w:pPr>
      <w:r>
        <w:t xml:space="preserve">Los paradigmas o modelos mentales, características y comportamientos relacionados.</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En una línea</w:t>
            </w:r>
          </w:p>
          <w:p>
            <w:pPr>
              <w:pStyle w:val="Recuadro"/>
            </w:pPr>
            <w:r>
              <w:t xml:space="preserve">Paradigma, modelo mental y sistema abstracto diseñado nombran la misma cosa; lo que cambia es quién la nombró.</w:t>
            </w:r>
          </w:p>
        </w:tc>
      </w:tr>
    </w:tbl>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Qué te preguntan</w:t>
            </w:r>
          </w:p>
          <w:p>
            <w:pPr>
              <w:pStyle w:val="Recuadro"/>
            </w:pPr>
            <w:r>
              <w:t xml:space="preserve">Definir paradigma con alguna de las tres definiciones que dio la clase 1 —Adam Smith, Joel Barker, Willis Harmon— y sostener por qué las tres etiquetas designan lo mismo. Después, distinguir sin confundirlas parálisis de paradigma, efecto paradigma, enfermedad de la certidumbre y flexibilidad de paradigmas, cada una con un ejemplo propio.</w:t>
            </w:r>
          </w:p>
        </w:tc>
      </w:tr>
    </w:tbl>
    <w:p>
      <w:pPr>
        <w:pStyle w:val="Normal"/>
      </w:pPr>
      <w:r>
        <w:t xml:space="preserve">Paradigma, modelo mental, sistema de creencias y sistema abstracto diseñado nombran lo mismo: la representación mental que una persona crea de una realidad para interpretarla; según Barker, reglas y disposiciones, escritas o no, que definen límites e indican cómo tener éxito dentro de ellos. Se piensa con paradigmas: se construyen al pensar, aceleran el pensar y filtran lo que se ve: se ve lo que se espera ver. Comprobación: hacerlos conscientes, probarlos como realistas, útiles y vigentes, y cambiarlos cuando la realidad cambió y el modelo no.</w:t>
      </w:r>
    </w:p>
    <w:p>
      <w:pPr>
        <w:pStyle w:val="Heading3"/>
      </w:pPr>
      <w:r>
        <w:t xml:space="preserve">Vocabulario clave</w:t>
      </w:r>
    </w:p>
    <w:p>
      <w:pPr>
        <w:pStyle w:val="Normal"/>
      </w:pPr>
      <w:r>
        <w:t xml:space="preserve">paradigma (modelo mental, sistema abstracto diseñado, sistema de creencias, patrón o modelo) · efecto paradigma («lo veré cuando lo crea») · parálisis de paradigma (parálisis paradigmática, enfermedad de certidumbre) · resistencia al cambio · pioneros de paradigma (gente de fuera) · flexibilidad de paradigmas · inducción de paradigmas (aprendizaje social, transferencia) · certidumbre e incertidumbre · modelo realista, útil y vigente · retroalimentación del mundo real</w:t>
      </w:r>
    </w:p>
    <w:p>
      <w:pPr>
        <w:pStyle w:val="Fuente"/>
      </w:pPr>
      <w:r>
        <w:t xml:space="preserve">Recorrido: desarrollo conceptual → presentaciones → explicación en clase → errores y fuentes → práctica → solucionario.</w:t>
      </w:r>
    </w:p>
    <w:p>
      <w:pPr>
        <w:pStyle w:val="Heading3"/>
      </w:pPr>
      <w:r>
        <w:t xml:space="preserve">Reconocer el modelo propio y volver a aprender</w:t>
      </w:r>
    </w:p>
    <w:p>
      <w:pPr>
        <w:pStyle w:val="Normal"/>
      </w:pPr>
      <w:r>
        <w:t xml:space="preserve">Paradigma, modelo mental y sistema abstracto diseñado son las tres etiquetas que el curso reúne. Su influencia se observa en la cadena creencia → selección de información → interpretación → decisión; el modelo puede ayudar a lograr un fin o impedirlo.</w:t>
      </w:r>
    </w:p>
    <w:p>
      <w:pPr>
        <w:pStyle w:val="Normal"/>
      </w:pPr>
      <w:r>
        <w:t xml:space="preserve">La mente de principiante consiste en entrar a una situación nueva sin dar por comprobada la explicación que ya traemos. Primero ampliamos la información, registramos qué seleccionamos y observamos cómo se forma la interpretación; después contrastamos esa interpretación. Es una disposición de aprendizaje, no la exigencia de olvidar lo que sabemos.</w:t>
      </w:r>
    </w:p>
    <w:p>
      <w:pPr>
        <w:pStyle w:val="Normal"/>
      </w:pPr>
      <w:r>
        <w:t xml:space="preserve">Para ayudar a otra persona, pide un episodio concreto y reconstruye con ella datos, supuestos y decisión. Pregunta qué cambió al actuar y qué dato haría revisar la creencia. Así puede reconocer la influencia de su modelo sin recibir una etiqueta o un diagnóstico impuesto.</w:t>
      </w:r>
    </w:p>
    <w:p>
      <w:pPr>
        <w:pStyle w:val="Fuente"/>
      </w:pPr>
      <w:r>
        <w:t xml:space="preserve">Presentación de la unidad 1 (C-5), pág. 15 y 36 · Clase 1 · 00:32:40–00:34:18</w:t>
      </w:r>
    </w:p>
    <w:p>
      <w:pPr>
        <w:pStyle w:val="Heading3"/>
      </w:pPr>
      <w:r>
        <w:t xml:space="preserve">La variante de los monos y el aprendizaje social</w:t>
      </w:r>
    </w:p>
    <w:p>
      <w:pPr>
        <w:pStyle w:val="Normal"/>
      </w:pPr>
      <w:r>
        <w:t xml:space="preserve">La parábola proyectada muestra que, cuando un mono sube, el agua cae sobre quienes permanecen abajo; el que sube no la recibe. El grupo empieza a impedir nuevos intentos y, al relevarse sus integrantes, transmite la prohibición sin que los recién llegados conozcan su motivo.</w:t>
      </w:r>
    </w:p>
    <w:p>
      <w:pPr>
        <w:pStyle w:val="Normal"/>
      </w:pPr>
      <w:r>
        <w:t xml:space="preserve">La persistencia de la norma ilustra el aprendizaje social de supuestos y costumbres. El relato está rotulado como parábola: sirve para examinar una conducta aprendida y preguntar si sus condiciones siguen vigentes, sin presentarlo como un experimento histórico verificado.</w:t>
      </w:r>
    </w:p>
    <w:p>
      <w:pPr>
        <w:pStyle w:val="Fuente"/>
      </w:pPr>
      <w:r>
        <w:t xml:space="preserve">Clase 4 · 01:02:49–01:04:14</w:t>
      </w:r>
    </w:p>
    <w:p>
      <w:pPr>
        <w:pStyle w:val="Heading3"/>
      </w:pPr>
      <w:r>
        <w:t xml:space="preserve">Las definiciones como las dio la clase</w:t>
      </w:r>
    </w:p>
    <w:p>
      <w:pPr>
        <w:pStyle w:val="Normal"/>
      </w:pPr>
      <w:r>
        <w:t xml:space="preserve">Para el curso, paradigma equivale a modelo mental y a sistema abstracto diseñado (jerga de la teoría de sistemas); las lecturas dicen también «sistema de creencias»; sinónimos: patrón, modelo, representación.</w:t>
      </w:r>
    </w:p>
    <w:p>
      <w:pPr>
        <w:pStyle w:val="Normal"/>
      </w:pPr>
      <w:r>
        <w:t xml:space="preserve">Modelo mental: la representación que una persona crea de una realidad externa para interpretarla; creaciones propias de cada ser humano para modelar cualquier realidad, primero a través de la mente.</w:t>
      </w:r>
    </w:p>
    <w:p>
      <w:pPr>
        <w:pStyle w:val="Normal"/>
      </w:pPr>
      <w:r>
        <w:t xml:space="preserve">Adam Smith (lámina): conjunto compartido de suposiciones sobre cómo percibimos el mundo, el agua para el pez; el paradigma explica el mundo y ayuda a predecir su comportamiento.</w:t>
      </w:r>
    </w:p>
    <w:p>
      <w:pPr>
        <w:pStyle w:val="Normal"/>
      </w:pPr>
      <w:r>
        <w:t xml:space="preserve">Joel Barker (libro Paradigmas y video en UEDI): reglas y disposiciones, escritas o no, que hacen dos cosas: definen límites e indican cómo comportarse dentro de ellos para tener éxito; definición «operativamente práctica».</w:t>
      </w:r>
    </w:p>
    <w:p>
      <w:pPr>
        <w:pStyle w:val="Normal"/>
      </w:pPr>
      <w:r>
        <w:t xml:space="preserve">Willis Harmon (lámina): la forma básica de percibir, pensar, valorar y actuar según una visión particular de la realidad. Recuadro amarillo, sin autor, «quizás más completa»: el modelo desde donde nos situamos conceptualmente para mirar la realidad, identificarla, describirla, analizarla, explicarla y decidir.</w:t>
      </w:r>
    </w:p>
    <w:p>
      <w:pPr>
        <w:pStyle w:val="Normal"/>
      </w:pPr>
      <w:r>
        <w:t xml:space="preserve">Pensar: procesos abstractos, voluntarios o involuntarios, con los que se desarrollan ideas sobre la realidad, el entorno, los demás, uno mismo o cualquier sistema, siempre creando o usando modelos mentales.</w:t>
      </w:r>
    </w:p>
    <w:p>
      <w:pPr>
        <w:pStyle w:val="Fuente"/>
      </w:pPr>
      <w:r>
        <w:t xml:space="preserve">Clase 1 · 01:05:41–01:10:14 · 01:14:25–01:19:34 · 01:22:39–01:25:20 · 01:29:33–01:31:05 · lámina c1-03 · lámina c1-04</w:t>
      </w:r>
    </w:p>
    <w:p>
      <w:pPr>
        <w:pStyle w:val="Heading3"/>
      </w:pPr>
      <w:r>
        <w:t xml:space="preserve">Según Barker: comunes, útiles y elegibles</w:t>
      </w:r>
    </w:p>
    <w:p>
      <w:pPr>
        <w:pStyle w:val="Normal"/>
      </w:pPr>
      <w:r>
        <w:t xml:space="preserve">Punto 1: son comunes a todo ser humano desde que usa el lenguaje; cada quien los diseña o recibe los de su contexto («inducción paradigmática»). Punto 2: son útiles porque evitan repensar lo ya pensado; sus supuestos valen «hasta cierto punto».</w:t>
      </w:r>
    </w:p>
    <w:p>
      <w:pPr>
        <w:pStyle w:val="Normal"/>
      </w:pPr>
      <w:r>
        <w:t xml:space="preserve">Lámina: cortesía, procesos legales, construir una pared o programar software son creaciones mentales vueltas hábitos; aprender un paradigma va de no saber nada a practicar reglas que cuestan hasta volverlas automáticas.</w:t>
      </w:r>
    </w:p>
    <w:p>
      <w:pPr>
        <w:pStyle w:val="Normal"/>
      </w:pPr>
      <w:r>
        <w:t xml:space="preserve">Conclusión de Barker: no son herencia grabada ni predestinada; se crean o se aceptan de otros por aprendizaje, por eso pueden cambiarse, sustituirse o enriquecerse eligiendo cuál usar; útiles mientras sean vigentes.</w:t>
      </w:r>
    </w:p>
    <w:p>
      <w:pPr>
        <w:pStyle w:val="Fuente"/>
      </w:pPr>
      <w:r>
        <w:t xml:space="preserve">Clase 2 · 00:23:27–00:29:08 · 00:29:29–00:33:49 · 01:09:58–01:11:49 · Clase 5 · 01:01:40–01:03:35 · lámina c2-05 · lámina c2-07</w:t>
      </w:r>
    </w:p>
    <w:p>
      <w:pPr>
        <w:pStyle w:val="Heading3"/>
      </w:pPr>
      <w:r>
        <w:t xml:space="preserve">Parálisis de paradigma y resistencia al cambio</w:t>
      </w:r>
    </w:p>
    <w:p>
      <w:pPr>
        <w:pStyle w:val="Normal"/>
      </w:pPr>
      <w:r>
        <w:t xml:space="preserve">Parálisis de paradigma (Barker: «enfermedad de certidumbre», «parálisis paradigmática»): sin conciencia del paradigma, este se vuelve verdad absoluta y se rechaza lo que no coincide; provoca la resistencia al cambio, que impide transformar un paradigma útil.</w:t>
      </w:r>
    </w:p>
    <w:p>
      <w:pPr>
        <w:pStyle w:val="Normal"/>
      </w:pPr>
      <w:r>
        <w:t xml:space="preserve">Certidumbre: pensamiento claro sobre por qué, cómo y en qué orden actuar; incertidumbre: duda, no saber cómo proceder; la certeza es cómoda y aprender otro paradigma reabre la incertidumbre.</w:t>
      </w:r>
    </w:p>
    <w:p>
      <w:pPr>
        <w:pStyle w:val="Normal"/>
      </w:pPr>
      <w:r>
        <w:t xml:space="preserve">A quien juega distinto le decimos «está equivocado», con razón sólo donde hay reglamento escrito; en las organizaciones se rechaza lo nuevo por no ser «la forma correcta»: toda resistencia al cambio delata efecto paradigma.</w:t>
      </w:r>
    </w:p>
    <w:p>
      <w:pPr>
        <w:pStyle w:val="Normal"/>
      </w:pPr>
      <w:r>
        <w:t xml:space="preserve">Si la realidad cambia y el paradigma no, hay incongruencias, «no es que esté bien o mal»; los paradigmas crean hábitos automáticos y el pensamiento tradicional supone que la realidad no cambia.</w:t>
      </w:r>
    </w:p>
    <w:p>
      <w:pPr>
        <w:pStyle w:val="Fuente"/>
      </w:pPr>
      <w:r>
        <w:t xml:space="preserve">Clase 2 · 00:33:59–00:47:15 · 00:58:18–00:59:02 · 01:01:20–01:02:38 · 01:06:17–01:06:56 · 01:09:16–01:10:07 · 01:15:35–01:16:18 · Clase 3 · 00:13:49–00:14:28 · Clase 5 · 00:32:21–00:32:55 · 00:56:55–00:57:44</w:t>
      </w:r>
    </w:p>
    <w:p>
      <w:pPr>
        <w:pStyle w:val="Heading3"/>
      </w:pPr>
      <w:r>
        <w:t xml:space="preserve">El efecto paradigma: se ve lo que se espera ver</w:t>
      </w:r>
    </w:p>
    <w:p>
      <w:pPr>
        <w:pStyle w:val="Normal"/>
      </w:pPr>
      <w:r>
        <w:t xml:space="preserve">Efecto paradigma: el paradigma actúa como filtro; cada paradigma da una perspectiva, sesga lo que vemos y lo diferente se descarta; según Barker (punto 7) invierte la relación entre ver y creer: sólo vemos aquello en lo que creemos, «lo veré cuando lo crea».</w:t>
      </w:r>
    </w:p>
    <w:p>
      <w:pPr>
        <w:pStyle w:val="Normal"/>
      </w:pPr>
      <w:r>
        <w:t xml:space="preserve">Figura de la lámina: uno ve cuatro objetos y otro tres; el error es pensar que el otro se equivoca. En los negocios, quienes operan bajo un paradigma rechazan al inventor.</w:t>
      </w:r>
    </w:p>
    <w:p>
      <w:pPr>
        <w:pStyle w:val="Normal"/>
      </w:pPr>
      <w:r>
        <w:t xml:space="preserve">Los científicos ven lo que quieren demostrar: lo que «debería ser» entra en el modelo, lo que «no debe ser» queda fuera. El efecto existirá siempre: con 85–90 % de representación, el resto puede esconder información o perspectivas.</w:t>
      </w:r>
    </w:p>
    <w:p>
      <w:pPr>
        <w:pStyle w:val="Fuente"/>
      </w:pPr>
      <w:r>
        <w:t xml:space="preserve">Clase 1 · 01:26:16–01:27:19 · Clase 2 · 00:47:54–00:53:52 · 00:55:28–00:57:56 · 00:59:00–00:59:14 · Clase 3 · 00:24:57–00:25:58 · Clase 5 · 01:04:59–01:05:53 · Clase 6 · 00:27:15–00:27:43</w:t>
      </w:r>
    </w:p>
    <w:p>
      <w:pPr>
        <w:pStyle w:val="Heading3"/>
      </w:pPr>
      <w:r>
        <w:t xml:space="preserve">Pioneros, flexibilidad y la pregunta de Barker</w:t>
      </w:r>
    </w:p>
    <w:p>
      <w:pPr>
        <w:pStyle w:val="Normal"/>
      </w:pPr>
      <w:r>
        <w:t xml:space="preserve">Pioneros de paradigma (Barker): crean paradigmas sin estar sometidos al contexto dominante, «de fuera» mentalmente; deben ser valientes porque un paradigma temprano choca con los viejos.</w:t>
      </w:r>
    </w:p>
    <w:p>
      <w:pPr>
        <w:pStyle w:val="Normal"/>
      </w:pPr>
      <w:r>
        <w:t xml:space="preserve">Flexibilidad de paradigmas (según Barker): la habilidad de ver otras perspectivas y ser conscientes del propio paradigma, de los puntos de vista que limitan, del efecto paradigma y del peligro de la parálisis; la mejor estrategia para tiempos turbulentos.</w:t>
      </w:r>
    </w:p>
    <w:p>
      <w:pPr>
        <w:pStyle w:val="Normal"/>
      </w:pPr>
      <w:r>
        <w:t xml:space="preserve">Siempre hay más de una respuesta correcta; la respuesta «correcta» depende de los supuestos de cada quien.</w:t>
      </w:r>
    </w:p>
    <w:p>
      <w:pPr>
        <w:pStyle w:val="Normal"/>
      </w:pPr>
      <w:r>
        <w:t xml:space="preserve">Pregunta de Barker (lámina): qué creo imposible en mi campo que, de ser posible, cambiaría mi negocio: «ver en los márgenes». La indagación a otros es la mejor herramienta para «botar» restricciones.</w:t>
      </w:r>
    </w:p>
    <w:p>
      <w:pPr>
        <w:pStyle w:val="Fuente"/>
      </w:pPr>
      <w:r>
        <w:t xml:space="preserve">Clase 2 · 00:56:17–00:56:34 · 01:00:15–01:00:59 · 01:04:50–01:06:09 · 01:06:55–01:10:07 · 01:13:51–01:18:28</w:t>
      </w:r>
    </w:p>
    <w:p>
      <w:pPr>
        <w:pStyle w:val="Heading3"/>
      </w:pPr>
      <w:r>
        <w:t xml:space="preserve">Cómo se adquieren: inducción de paradigmas</w:t>
      </w:r>
    </w:p>
    <w:p>
      <w:pPr>
        <w:pStyle w:val="Normal"/>
      </w:pPr>
      <w:r>
        <w:t xml:space="preserve">Nadie construyó sus paradigmas conscientemente. Inducción de paradigmas: copiar creencias por analogía, replicando conductas ajenas de forma subconsciente; en sociología, aprendizaje social; también transferencia o «programaciones mentales».</w:t>
      </w:r>
    </w:p>
    <w:p>
      <w:pPr>
        <w:pStyle w:val="Normal"/>
      </w:pPr>
      <w:r>
        <w:t xml:space="preserve">Fábula de los monos (UEDI); el video afirma: cinco monos, escalera y plátanos; al subir uno mojaban a los que estaban abajo, no al que subía; los de abajo acabaron golpeando al que intentaba subir; sustituidos uno a uno, el grupo final, nunca mojado, siguió pegando.</w:t>
      </w:r>
    </w:p>
    <w:p>
      <w:pPr>
        <w:pStyle w:val="Normal"/>
      </w:pPr>
      <w:r>
        <w:t xml:space="preserve">Comentario de la clase: la segunda generación aprendió de la primera, que sí tenía razón; al cesar el agua nadie lo notó: la costumbre impide notar que «la realidad cambió».</w:t>
      </w:r>
    </w:p>
    <w:p>
      <w:pPr>
        <w:pStyle w:val="Normal"/>
      </w:pPr>
      <w:r>
        <w:t xml:space="preserve">Experimento de conformidad (televisión): cómplices se levantan con cada pitido; el video afirma que la recién llegada imita sin saber por qué y lo enseña a los nuevos: la regla se vuelve norma social. Así se adquieren los modelos mentales, replicando a otros.</w:t>
      </w:r>
    </w:p>
    <w:p>
      <w:pPr>
        <w:pStyle w:val="Fuente"/>
      </w:pPr>
      <w:r>
        <w:t xml:space="preserve">Clase 4 · 00:55:27–01:00:15 · 01:02:49–01:06:22 · 01:09:25–01:15:55 · 01:27:52–01:32:15 · Clase 5 · 00:56:28–00:56:58 · video proyectado</w:t>
      </w:r>
    </w:p>
    <w:p>
      <w:pPr>
        <w:pStyle w:val="Heading3"/>
      </w:pPr>
      <w:r>
        <w:t xml:space="preserve">Modelos mentales como sistemas abstractos diseñados y su bucle con el mundo real</w:t>
      </w:r>
    </w:p>
    <w:p>
      <w:pPr>
        <w:pStyle w:val="Normal"/>
      </w:pPr>
      <w:r>
        <w:t xml:space="preserve">Se llaman «diseñados» porque los diseñan los seres humanos, capaces de crear representaciones abstractas y usarlas al pensar; según Checkland son herramientas de apoyo del ser humano: los abstractos diseñados son los de la unidad 1, creencias y opiniones.</w:t>
      </w:r>
    </w:p>
    <w:p>
      <w:pPr>
        <w:pStyle w:val="Normal"/>
      </w:pPr>
      <w:r>
        <w:t xml:space="preserve">También son sistemas: la herramienta abstracta para comprender el mundo real e interactuar con él, base de decisiones y acciones; creaciones temporales, útiles si representan la realidad compleja.</w:t>
      </w:r>
    </w:p>
    <w:p>
      <w:pPr>
        <w:pStyle w:val="Normal"/>
      </w:pPr>
      <w:r>
        <w:t xml:space="preserve">El bucle: al actuar, el mundo real retroalimenta; si no funcionó se vuelve a pensar, si funcionó se confirma el modelo: una experimentación. La información de los resultados confirma los supuestos o revela que algo no encaja.</w:t>
      </w:r>
    </w:p>
    <w:p>
      <w:pPr>
        <w:pStyle w:val="Normal"/>
      </w:pPr>
      <w:r>
        <w:t xml:space="preserve">O'Connor: los modelos deben ser realistas y útiles; Meadows: todo lo que uno sabe es sólo un modelo, incompleto o impreciso. Según Barker se decide seguir usándolos o liberarlos; lo común es enriquecerlos o suspenderlos temporalmente.</w:t>
      </w:r>
    </w:p>
    <w:p>
      <w:pPr>
        <w:pStyle w:val="Fuente"/>
      </w:pPr>
      <w:r>
        <w:t xml:space="preserve">Clase 1 · 00:17:39–00:18:21 · Clase 2 · 00:04:46–00:06:21 · Clase 4 · 00:43:31–00:44:41 · 01:17:35–01:19:10 · Clase 6 · 00:31:44–00:32:29 · 00:35:10–00:36:06 · 01:22:15–01:25:00 · Clase 9 · 00:10:11–00:13:06 · 00:37:01–00:39:29 · lámina c2-09</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Procedimiento</w:t>
            </w:r>
          </w:p>
          <w:p>
            <w:pPr>
              <w:pStyle w:val="Recuadro"/>
            </w:pPr>
            <w:r>
              <w:t xml:space="preserve">Cómo detectar un paradigma y su efecto en un caso</w:t>
            </w:r>
          </w:p>
          <w:p>
            <w:pPr>
              <w:pStyle w:val="Recuadro"/>
            </w:pPr>
            <w:r>
              <w:t xml:space="preserve">1. </w:t>
            </w:r>
            <w:r>
              <w:rPr>
                <w:b/>
                <w:bCs/>
              </w:rPr>
              <w:t xml:space="preserve">Identificar las reglas del caso.</w:t>
            </w:r>
            <w:r>
              <w:t xml:space="preserve"> Buscar las reglas y disposiciones, escritas o no, que definen límites y dicen cómo tener éxito: en el fútbol, duración, roles, lo permitido y lo sancionado; en la empresa, qué se espera de cada rol. (Clase 1 · 01:19:27–01:22:36)</w:t>
            </w:r>
          </w:p>
          <w:p>
            <w:pPr>
              <w:pStyle w:val="Recuadro"/>
            </w:pPr>
            <w:r>
              <w:t xml:space="preserve">2. </w:t>
            </w:r>
            <w:r>
              <w:rPr>
                <w:b/>
                <w:bCs/>
              </w:rPr>
              <w:t xml:space="preserve">Reconocer que es una creación propia o heredada.</w:t>
            </w:r>
            <w:r>
              <w:t xml:space="preserve"> El primer paso es ser consciente de que hacemos esas representaciones, aprendidas inconscientemente con información incompleta y filtrada, diseñadas por uno mismo o recibidas del contexto por inducción. (Clase 2 · 00:23:27–00:29:08 · Clase 3 · 00:17:05–00:17:19 · Clase 4 · 01:19:00–01:19:39)</w:t>
            </w:r>
          </w:p>
          <w:p>
            <w:pPr>
              <w:pStyle w:val="Recuadro"/>
            </w:pPr>
            <w:r>
              <w:t xml:space="preserve">3. </w:t>
            </w:r>
            <w:r>
              <w:rPr>
                <w:b/>
                <w:bCs/>
              </w:rPr>
              <w:t xml:space="preserve">Ubicar el efecto paradigma.</w:t>
            </w:r>
            <w:r>
              <w:t xml:space="preserve"> Preguntar qué se ve porque se espera verlo y qué se descarta por diferente: el paradigma da una perspectiva y sesga lo que se ve; toda resistencia al cambio delata el efecto. (Clase 2 · 00:47:54–00:53:52 · 00:58:18–00:59:02)</w:t>
            </w:r>
          </w:p>
          <w:p>
            <w:pPr>
              <w:pStyle w:val="Recuadro"/>
            </w:pPr>
            <w:r>
              <w:t xml:space="preserve">4. </w:t>
            </w:r>
            <w:r>
              <w:rPr>
                <w:b/>
                <w:bCs/>
              </w:rPr>
              <w:t xml:space="preserve">Detectar la parálisis por su señal.</w:t>
            </w:r>
            <w:r>
              <w:t xml:space="preserve"> La señal es que algo no sale bien o no se logra un objetivo; entonces ver que lo hecho no basta, «quebrar» el paradigma y no aferrarse: la realidad cambió y el modelo no. (Clase 2 · 00:40:24–00:42:24 · 01:01:20–01:02:38)</w:t>
            </w:r>
          </w:p>
          <w:p>
            <w:pPr>
              <w:pStyle w:val="Recuadro"/>
            </w:pPr>
            <w:r>
              <w:t xml:space="preserve">5. </w:t>
            </w:r>
            <w:r>
              <w:rPr>
                <w:b/>
                <w:bCs/>
              </w:rPr>
              <w:t xml:space="preserve">Poner el modelo a prueba y elegir.</w:t>
            </w:r>
            <w:r>
              <w:t xml:space="preserve"> Reflexionar, autoindagarse, indagar a otros, evidenciar los supuestos y corregirlos; comprobar que el modelo es realista, útil y vigente; cuestionarlo cuando algo no cuadra, y decidir usarlo, enriquecerlo o suspenderlo. (Clase 4 · 01:19:36–01:20:18 · 01:30:10–01:32:15 · Clase 6 · 00:31:44–00:32:29 · 00:35:41–00:36:06)</w:t>
            </w:r>
          </w:p>
          <w:p>
            <w:pPr>
              <w:pStyle w:val="Recuadro"/>
            </w:pPr>
            <w:r>
              <w:t xml:space="preserve">Un paradigma no es bueno ni malo: es una herramienta temporal que sirve mientras sea vigente. El pensador sistémico lo detecta, lo hace consciente, lo pone a prueba contra la realidad y elige conservarlo, enriquecerlo o suspenderlo.</w:t>
            </w:r>
          </w:p>
        </w:tc>
      </w:tr>
    </w:tbl>
    <w:p>
      <w:pPr>
        <w:pStyle w:val="Heading3"/>
      </w:pPr>
      <w:bookmarkStart w:name="b_tabla_1_1_g1_paradigmas" w:id="10"/>
      <w:r>
        <w:t xml:space="preserve">Las cuatro definiciones de paradigma</w:t>
      </w:r>
      <w:bookmarkEnd w:id="10"/>
    </w:p>
    <w:tbl>
      <w:tblPr>
        <w:tblW w:type="dxa" w:w="9632"/>
        <w:tblBorders>
          <w:top w:val="single" w:color="C5D5DB" w:sz="4"/>
          <w:left w:val="single" w:color="C5D5DB" w:sz="4"/>
          <w:bottom w:val="single" w:color="C5D5DB" w:sz="4"/>
          <w:right w:val="single" w:color="C5D5DB" w:sz="4"/>
          <w:insideH w:val="single" w:color="E4E9EB" w:sz="3"/>
          <w:insideV w:val="single" w:color="E4E9EB" w:sz="3"/>
        </w:tblBorders>
        <w:tblLayout w:type="fixed"/>
      </w:tblPr>
      <w:tblGrid>
        <w:gridCol w:w="2408"/>
        <w:gridCol w:w="2408"/>
        <w:gridCol w:w="2408"/>
        <w:gridCol w:w="2408"/>
      </w:tblGrid>
      <w:tr>
        <w:trPr>
          <w:cantSplit/>
          <w:tblHeader/>
        </w:trPr>
        <w:tc>
          <w:tcPr>
            <w:tcW w:type="dxa" w:w="2408"/>
            <w:shd w:fill="DFEAF0" w:val="clear"/>
            <w:tcMar>
              <w:top w:type="dxa" w:w="80"/>
              <w:left w:type="dxa" w:w="100"/>
              <w:bottom w:type="dxa" w:w="80"/>
              <w:right w:type="dxa" w:w="100"/>
            </w:tcMar>
          </w:tcPr>
          <w:p>
            <w:pPr>
              <w:pStyle w:val="Tabla"/>
            </w:pPr>
            <w:r>
              <w:rPr>
                <w:b/>
                <w:bCs/>
              </w:rPr>
              <w:t xml:space="preserve">Firma</w:t>
            </w:r>
          </w:p>
        </w:tc>
        <w:tc>
          <w:tcPr>
            <w:tcW w:type="dxa" w:w="2408"/>
            <w:shd w:fill="DFEAF0" w:val="clear"/>
            <w:tcMar>
              <w:top w:type="dxa" w:w="80"/>
              <w:left w:type="dxa" w:w="100"/>
              <w:bottom w:type="dxa" w:w="80"/>
              <w:right w:type="dxa" w:w="100"/>
            </w:tcMar>
          </w:tcPr>
          <w:p>
            <w:pPr>
              <w:pStyle w:val="Tabla"/>
            </w:pPr>
            <w:r>
              <w:rPr>
                <w:b/>
                <w:bCs/>
              </w:rPr>
              <w:t xml:space="preserve">Obra</w:t>
            </w:r>
          </w:p>
        </w:tc>
        <w:tc>
          <w:tcPr>
            <w:tcW w:type="dxa" w:w="2408"/>
            <w:shd w:fill="DFEAF0" w:val="clear"/>
            <w:tcMar>
              <w:top w:type="dxa" w:w="80"/>
              <w:left w:type="dxa" w:w="100"/>
              <w:bottom w:type="dxa" w:w="80"/>
              <w:right w:type="dxa" w:w="100"/>
            </w:tcMar>
          </w:tcPr>
          <w:p>
            <w:pPr>
              <w:pStyle w:val="Tabla"/>
            </w:pPr>
            <w:r>
              <w:rPr>
                <w:b/>
                <w:bCs/>
              </w:rPr>
              <w:t xml:space="preserve">Qué pone en el centro</w:t>
            </w:r>
          </w:p>
        </w:tc>
        <w:tc>
          <w:tcPr>
            <w:tcW w:type="dxa" w:w="2408"/>
            <w:shd w:fill="DFEAF0" w:val="clear"/>
            <w:tcMar>
              <w:top w:type="dxa" w:w="80"/>
              <w:left w:type="dxa" w:w="100"/>
              <w:bottom w:type="dxa" w:w="80"/>
              <w:right w:type="dxa" w:w="100"/>
            </w:tcMar>
          </w:tcPr>
          <w:p>
            <w:pPr>
              <w:pStyle w:val="Tabla"/>
            </w:pPr>
            <w:r>
              <w:rPr>
                <w:b/>
                <w:bCs/>
              </w:rPr>
              <w:t xml:space="preserve">Min. clase 1</w:t>
            </w:r>
          </w:p>
        </w:tc>
      </w:tr>
      <w:tr>
        <w:trPr>
          <w:cantSplit/>
          <w:tblHeader w:val="off"/>
        </w:trPr>
        <w:tc>
          <w:tcPr>
            <w:tcW w:type="dxa" w:w="2408"/>
            <w:tcMar>
              <w:top w:type="dxa" w:w="80"/>
              <w:left w:type="dxa" w:w="100"/>
              <w:bottom w:type="dxa" w:w="80"/>
              <w:right w:type="dxa" w:w="100"/>
            </w:tcMar>
          </w:tcPr>
          <w:p>
            <w:pPr>
              <w:pStyle w:val="Tabla"/>
            </w:pPr>
            <w:r>
              <w:t xml:space="preserve">Adam Smith</w:t>
            </w:r>
          </w:p>
        </w:tc>
        <w:tc>
          <w:tcPr>
            <w:tcW w:type="dxa" w:w="2408"/>
            <w:tcMar>
              <w:top w:type="dxa" w:w="80"/>
              <w:left w:type="dxa" w:w="100"/>
              <w:bottom w:type="dxa" w:w="80"/>
              <w:right w:type="dxa" w:w="100"/>
            </w:tcMar>
          </w:tcPr>
          <w:p>
            <w:pPr>
              <w:pStyle w:val="Tabla"/>
            </w:pPr>
            <w:r>
              <w:t xml:space="preserve">Los poderes de la mente</w:t>
            </w:r>
          </w:p>
        </w:tc>
        <w:tc>
          <w:tcPr>
            <w:tcW w:type="dxa" w:w="2408"/>
            <w:tcMar>
              <w:top w:type="dxa" w:w="80"/>
              <w:left w:type="dxa" w:w="100"/>
              <w:bottom w:type="dxa" w:w="80"/>
              <w:right w:type="dxa" w:w="100"/>
            </w:tcMar>
          </w:tcPr>
          <w:p>
            <w:pPr>
              <w:pStyle w:val="Tabla"/>
            </w:pPr>
            <w:r>
              <w:t xml:space="preserve">Lo compartido y lo invisible: el paradigma es el medio en el que uno está metido, no un objeto que uno mire.</w:t>
            </w:r>
          </w:p>
        </w:tc>
        <w:tc>
          <w:tcPr>
            <w:tcW w:type="dxa" w:w="2408"/>
            <w:tcMar>
              <w:top w:type="dxa" w:w="80"/>
              <w:left w:type="dxa" w:w="100"/>
              <w:bottom w:type="dxa" w:w="80"/>
              <w:right w:type="dxa" w:w="100"/>
            </w:tcMar>
          </w:tcPr>
          <w:p>
            <w:pPr>
              <w:pStyle w:val="Tabla"/>
            </w:pPr>
            <w:r>
              <w:t xml:space="preserve">01:15:41</w:t>
            </w:r>
          </w:p>
        </w:tc>
      </w:tr>
      <w:tr>
        <w:trPr>
          <w:cantSplit/>
          <w:tblHeader w:val="off"/>
        </w:trPr>
        <w:tc>
          <w:tcPr>
            <w:tcW w:type="dxa" w:w="2408"/>
            <w:tcMar>
              <w:top w:type="dxa" w:w="80"/>
              <w:left w:type="dxa" w:w="100"/>
              <w:bottom w:type="dxa" w:w="80"/>
              <w:right w:type="dxa" w:w="100"/>
            </w:tcMar>
          </w:tcPr>
          <w:p>
            <w:pPr>
              <w:pStyle w:val="Tabla"/>
            </w:pPr>
            <w:r>
              <w:t xml:space="preserve">Joel Barker</w:t>
            </w:r>
          </w:p>
        </w:tc>
        <w:tc>
          <w:tcPr>
            <w:tcW w:type="dxa" w:w="2408"/>
            <w:tcMar>
              <w:top w:type="dxa" w:w="80"/>
              <w:left w:type="dxa" w:w="100"/>
              <w:bottom w:type="dxa" w:w="80"/>
              <w:right w:type="dxa" w:w="100"/>
            </w:tcMar>
          </w:tcPr>
          <w:p>
            <w:pPr>
              <w:pStyle w:val="Tabla"/>
            </w:pPr>
            <w:r>
              <w:t xml:space="preserve">Paradigmas</w:t>
            </w:r>
          </w:p>
        </w:tc>
        <w:tc>
          <w:tcPr>
            <w:tcW w:type="dxa" w:w="2408"/>
            <w:tcMar>
              <w:top w:type="dxa" w:w="80"/>
              <w:left w:type="dxa" w:w="100"/>
              <w:bottom w:type="dxa" w:w="80"/>
              <w:right w:type="dxa" w:w="100"/>
            </w:tcMar>
          </w:tcPr>
          <w:p>
            <w:pPr>
              <w:pStyle w:val="Tabla"/>
            </w:pPr>
            <w:r>
              <w:t xml:space="preserve">Lo operativo: reglas que trazan un límite y dicen cómo comportarse dentro de él para tener éxito.</w:t>
            </w:r>
          </w:p>
        </w:tc>
        <w:tc>
          <w:tcPr>
            <w:tcW w:type="dxa" w:w="2408"/>
            <w:tcMar>
              <w:top w:type="dxa" w:w="80"/>
              <w:left w:type="dxa" w:w="100"/>
              <w:bottom w:type="dxa" w:w="80"/>
              <w:right w:type="dxa" w:w="100"/>
            </w:tcMar>
          </w:tcPr>
          <w:p>
            <w:pPr>
              <w:pStyle w:val="Tabla"/>
            </w:pPr>
            <w:r>
              <w:t xml:space="preserve">01:17:33</w:t>
            </w:r>
          </w:p>
        </w:tc>
      </w:tr>
      <w:tr>
        <w:trPr>
          <w:cantSplit/>
          <w:tblHeader w:val="off"/>
        </w:trPr>
        <w:tc>
          <w:tcPr>
            <w:tcW w:type="dxa" w:w="2408"/>
            <w:tcMar>
              <w:top w:type="dxa" w:w="80"/>
              <w:left w:type="dxa" w:w="100"/>
              <w:bottom w:type="dxa" w:w="80"/>
              <w:right w:type="dxa" w:w="100"/>
            </w:tcMar>
          </w:tcPr>
          <w:p>
            <w:pPr>
              <w:pStyle w:val="Tabla"/>
            </w:pPr>
            <w:r>
              <w:t xml:space="preserve">Willis Harmon</w:t>
            </w:r>
          </w:p>
        </w:tc>
        <w:tc>
          <w:tcPr>
            <w:tcW w:type="dxa" w:w="2408"/>
            <w:tcMar>
              <w:top w:type="dxa" w:w="80"/>
              <w:left w:type="dxa" w:w="100"/>
              <w:bottom w:type="dxa" w:w="80"/>
              <w:right w:type="dxa" w:w="100"/>
            </w:tcMar>
          </w:tcPr>
          <w:p>
            <w:pPr>
              <w:pStyle w:val="Tabla"/>
            </w:pPr>
            <w:r>
              <w:t xml:space="preserve">Guía incompleta para el futuro</w:t>
            </w:r>
          </w:p>
        </w:tc>
        <w:tc>
          <w:tcPr>
            <w:tcW w:type="dxa" w:w="2408"/>
            <w:tcMar>
              <w:top w:type="dxa" w:w="80"/>
              <w:left w:type="dxa" w:w="100"/>
              <w:bottom w:type="dxa" w:w="80"/>
              <w:right w:type="dxa" w:w="100"/>
            </w:tcMar>
          </w:tcPr>
          <w:p>
            <w:pPr>
              <w:pStyle w:val="Tabla"/>
            </w:pPr>
            <w:r>
              <w:t xml:space="preserve">Lo actitudinal: una cadena de cuatro verbos que va de la percepción a la conducta pasando por el juicio de valor.</w:t>
            </w:r>
          </w:p>
        </w:tc>
        <w:tc>
          <w:tcPr>
            <w:tcW w:type="dxa" w:w="2408"/>
            <w:tcMar>
              <w:top w:type="dxa" w:w="80"/>
              <w:left w:type="dxa" w:w="100"/>
              <w:bottom w:type="dxa" w:w="80"/>
              <w:right w:type="dxa" w:w="100"/>
            </w:tcMar>
          </w:tcPr>
          <w:p>
            <w:pPr>
              <w:pStyle w:val="Tabla"/>
            </w:pPr>
            <w:r>
              <w:t xml:space="preserve">01:22:39</w:t>
            </w:r>
          </w:p>
        </w:tc>
      </w:tr>
      <w:tr>
        <w:trPr>
          <w:cantSplit/>
          <w:tblHeader w:val="off"/>
        </w:trPr>
        <w:tc>
          <w:tcPr>
            <w:tcW w:type="dxa" w:w="2408"/>
            <w:tcMar>
              <w:top w:type="dxa" w:w="80"/>
              <w:left w:type="dxa" w:w="100"/>
              <w:bottom w:type="dxa" w:w="80"/>
              <w:right w:type="dxa" w:w="100"/>
            </w:tcMar>
          </w:tcPr>
          <w:p>
            <w:pPr>
              <w:pStyle w:val="Tabla"/>
            </w:pPr>
            <w:r>
              <w:t xml:space="preserve">Sin firma (recuadro amarillo)</w:t>
            </w:r>
          </w:p>
        </w:tc>
        <w:tc>
          <w:tcPr>
            <w:tcW w:type="dxa" w:w="2408"/>
            <w:tcMar>
              <w:top w:type="dxa" w:w="80"/>
              <w:left w:type="dxa" w:w="100"/>
              <w:bottom w:type="dxa" w:w="80"/>
              <w:right w:type="dxa" w:w="100"/>
            </w:tcMar>
          </w:tcPr>
          <w:p>
            <w:pPr>
              <w:pStyle w:val="Tabla"/>
            </w:pPr>
            <w:r>
              <w:t xml:space="preserve">—</w:t>
            </w:r>
          </w:p>
        </w:tc>
        <w:tc>
          <w:tcPr>
            <w:tcW w:type="dxa" w:w="2408"/>
            <w:tcMar>
              <w:top w:type="dxa" w:w="80"/>
              <w:left w:type="dxa" w:w="100"/>
              <w:bottom w:type="dxa" w:w="80"/>
              <w:right w:type="dxa" w:w="100"/>
            </w:tcMar>
          </w:tcPr>
          <w:p>
            <w:pPr>
              <w:pStyle w:val="Tabla"/>
            </w:pPr>
            <w:r>
              <w:t xml:space="preserve">La posición del observador: no hay mirada sin un sitio desde el cual se mira, y ese sitio es conceptual.</w:t>
            </w:r>
          </w:p>
        </w:tc>
        <w:tc>
          <w:tcPr>
            <w:tcW w:type="dxa" w:w="2408"/>
            <w:tcMar>
              <w:top w:type="dxa" w:w="80"/>
              <w:left w:type="dxa" w:w="100"/>
              <w:bottom w:type="dxa" w:w="80"/>
              <w:right w:type="dxa" w:w="100"/>
            </w:tcMar>
          </w:tcPr>
          <w:p>
            <w:pPr>
              <w:pStyle w:val="Tabla"/>
            </w:pPr>
            <w:r>
              <w:t xml:space="preserve">01:23:49</w:t>
            </w:r>
          </w:p>
        </w:tc>
      </w:tr>
    </w:tbl>
    <w:p>
      <w:pPr>
        <w:pStyle w:val="Fuente"/>
      </w:pPr>
      <w:r>
        <w:t xml:space="preserve">Texto literal de las láminas 3 y 4 de la clase 1. La cuarta no lleva firma en la diapositiva.</w:t>
      </w:r>
    </w:p>
    <w:p>
      <w:pPr>
        <w:pStyle w:val="Heading3"/>
      </w:pPr>
      <w:bookmarkStart w:name="b_tabla_1_1_g1_autores" w:id="11"/>
      <w:r>
        <w:t xml:space="preserve">Quién dijo qué</w:t>
      </w:r>
      <w:bookmarkEnd w:id="11"/>
    </w:p>
    <w:tbl>
      <w:tblPr>
        <w:tblW w:type="dxa" w:w="9632"/>
        <w:tblBorders>
          <w:top w:val="single" w:color="C5D5DB" w:sz="4"/>
          <w:left w:val="single" w:color="C5D5DB" w:sz="4"/>
          <w:bottom w:val="single" w:color="C5D5DB" w:sz="4"/>
          <w:right w:val="single" w:color="C5D5DB" w:sz="4"/>
          <w:insideH w:val="single" w:color="E4E9EB" w:sz="3"/>
          <w:insideV w:val="single" w:color="E4E9EB" w:sz="3"/>
        </w:tblBorders>
        <w:tblLayout w:type="fixed"/>
      </w:tblPr>
      <w:tblGrid>
        <w:gridCol w:w="3212"/>
        <w:gridCol w:w="3210"/>
        <w:gridCol w:w="3210"/>
      </w:tblGrid>
      <w:tr>
        <w:trPr>
          <w:cantSplit/>
          <w:tblHeader/>
        </w:trPr>
        <w:tc>
          <w:tcPr>
            <w:tcW w:type="dxa" w:w="3212"/>
            <w:shd w:fill="DFEAF0" w:val="clear"/>
            <w:tcMar>
              <w:top w:type="dxa" w:w="80"/>
              <w:left w:type="dxa" w:w="100"/>
              <w:bottom w:type="dxa" w:w="80"/>
              <w:right w:type="dxa" w:w="100"/>
            </w:tcMar>
          </w:tcPr>
          <w:p>
            <w:pPr>
              <w:pStyle w:val="Tabla"/>
            </w:pPr>
            <w:r>
              <w:rPr>
                <w:b/>
                <w:bCs/>
              </w:rPr>
              <w:t xml:space="preserve">Autor</w:t>
            </w:r>
          </w:p>
        </w:tc>
        <w:tc>
          <w:tcPr>
            <w:tcW w:type="dxa" w:w="3210"/>
            <w:shd w:fill="DFEAF0" w:val="clear"/>
            <w:tcMar>
              <w:top w:type="dxa" w:w="80"/>
              <w:left w:type="dxa" w:w="100"/>
              <w:bottom w:type="dxa" w:w="80"/>
              <w:right w:type="dxa" w:w="100"/>
            </w:tcMar>
          </w:tcPr>
          <w:p>
            <w:pPr>
              <w:pStyle w:val="Tabla"/>
            </w:pPr>
            <w:r>
              <w:rPr>
                <w:b/>
                <w:bCs/>
              </w:rPr>
              <w:t xml:space="preserve">Se le atribuye</w:t>
            </w:r>
          </w:p>
        </w:tc>
        <w:tc>
          <w:tcPr>
            <w:tcW w:type="dxa" w:w="3210"/>
            <w:shd w:fill="DFEAF0" w:val="clear"/>
            <w:tcMar>
              <w:top w:type="dxa" w:w="80"/>
              <w:left w:type="dxa" w:w="100"/>
              <w:bottom w:type="dxa" w:w="80"/>
              <w:right w:type="dxa" w:w="100"/>
            </w:tcMar>
          </w:tcPr>
          <w:p>
            <w:pPr>
              <w:pStyle w:val="Tabla"/>
            </w:pPr>
            <w:r>
              <w:rPr>
                <w:b/>
                <w:bCs/>
              </w:rPr>
              <w:t xml:space="preserve">Dónde entra</w:t>
            </w:r>
          </w:p>
        </w:tc>
      </w:tr>
      <w:tr>
        <w:trPr>
          <w:cantSplit/>
          <w:tblHeader w:val="off"/>
        </w:trPr>
        <w:tc>
          <w:tcPr>
            <w:tcW w:type="dxa" w:w="3212"/>
            <w:tcMar>
              <w:top w:type="dxa" w:w="80"/>
              <w:left w:type="dxa" w:w="100"/>
              <w:bottom w:type="dxa" w:w="80"/>
              <w:right w:type="dxa" w:w="100"/>
            </w:tcMar>
          </w:tcPr>
          <w:p>
            <w:pPr>
              <w:pStyle w:val="Tabla"/>
            </w:pPr>
            <w:r>
              <w:t xml:space="preserve">J. L. Le Moigne</w:t>
            </w:r>
          </w:p>
        </w:tc>
        <w:tc>
          <w:tcPr>
            <w:tcW w:type="dxa" w:w="3210"/>
            <w:tcMar>
              <w:top w:type="dxa" w:w="80"/>
              <w:left w:type="dxa" w:w="100"/>
              <w:bottom w:type="dxa" w:w="80"/>
              <w:right w:type="dxa" w:w="100"/>
            </w:tcMar>
          </w:tcPr>
          <w:p>
            <w:pPr>
              <w:pStyle w:val="Tabla"/>
            </w:pPr>
            <w:r>
              <w:t xml:space="preserve">La definición de objeto y el sistema generalizado; el paradigma de sistemas como teoría generalista.</w:t>
            </w:r>
          </w:p>
        </w:tc>
        <w:tc>
          <w:tcPr>
            <w:tcW w:type="dxa" w:w="3210"/>
            <w:tcMar>
              <w:top w:type="dxa" w:w="80"/>
              <w:left w:type="dxa" w:w="100"/>
              <w:bottom w:type="dxa" w:w="80"/>
              <w:right w:type="dxa" w:w="100"/>
            </w:tcMar>
          </w:tcPr>
          <w:p>
            <w:pPr>
              <w:pStyle w:val="Tabla"/>
            </w:pPr>
            <w:r>
              <w:t xml:space="preserve">1.3 · 2.2</w:t>
            </w:r>
          </w:p>
        </w:tc>
      </w:tr>
      <w:tr>
        <w:trPr>
          <w:cantSplit/>
          <w:tblHeader w:val="off"/>
        </w:trPr>
        <w:tc>
          <w:tcPr>
            <w:tcW w:type="dxa" w:w="3212"/>
            <w:tcMar>
              <w:top w:type="dxa" w:w="80"/>
              <w:left w:type="dxa" w:w="100"/>
              <w:bottom w:type="dxa" w:w="80"/>
              <w:right w:type="dxa" w:w="100"/>
            </w:tcMar>
          </w:tcPr>
          <w:p>
            <w:pPr>
              <w:pStyle w:val="Tabla"/>
            </w:pPr>
            <w:r>
              <w:t xml:space="preserve">Derek y Laura Cabrera</w:t>
            </w:r>
          </w:p>
        </w:tc>
        <w:tc>
          <w:tcPr>
            <w:tcW w:type="dxa" w:w="3210"/>
            <w:tcMar>
              <w:top w:type="dxa" w:w="80"/>
              <w:left w:type="dxa" w:w="100"/>
              <w:bottom w:type="dxa" w:w="80"/>
              <w:right w:type="dxa" w:w="100"/>
            </w:tcMar>
          </w:tcPr>
          <w:p>
            <w:pPr>
              <w:pStyle w:val="Tabla"/>
            </w:pPr>
            <w:r>
              <w:t xml:space="preserve">Las cuatro reglas simples DSRP y el pensamiento sistémico como propiedad emergente; la discordancia.</w:t>
            </w:r>
          </w:p>
        </w:tc>
        <w:tc>
          <w:tcPr>
            <w:tcW w:type="dxa" w:w="3210"/>
            <w:tcMar>
              <w:top w:type="dxa" w:w="80"/>
              <w:left w:type="dxa" w:w="100"/>
              <w:bottom w:type="dxa" w:w="80"/>
              <w:right w:type="dxa" w:w="100"/>
            </w:tcMar>
          </w:tcPr>
          <w:p>
            <w:pPr>
              <w:pStyle w:val="Tabla"/>
            </w:pPr>
            <w:r>
              <w:t xml:space="preserve">1.6</w:t>
            </w:r>
          </w:p>
        </w:tc>
      </w:tr>
      <w:tr>
        <w:trPr>
          <w:cantSplit/>
          <w:tblHeader w:val="off"/>
        </w:trPr>
        <w:tc>
          <w:tcPr>
            <w:tcW w:type="dxa" w:w="3212"/>
            <w:tcMar>
              <w:top w:type="dxa" w:w="80"/>
              <w:left w:type="dxa" w:w="100"/>
              <w:bottom w:type="dxa" w:w="80"/>
              <w:right w:type="dxa" w:w="100"/>
            </w:tcMar>
          </w:tcPr>
          <w:p>
            <w:pPr>
              <w:pStyle w:val="Tabla"/>
            </w:pPr>
            <w:r>
              <w:t xml:space="preserve">Joel Barker</w:t>
            </w:r>
          </w:p>
        </w:tc>
        <w:tc>
          <w:tcPr>
            <w:tcW w:type="dxa" w:w="3210"/>
            <w:tcMar>
              <w:top w:type="dxa" w:w="80"/>
              <w:left w:type="dxa" w:w="100"/>
              <w:bottom w:type="dxa" w:w="80"/>
              <w:right w:type="dxa" w:w="100"/>
            </w:tcMar>
          </w:tcPr>
          <w:p>
            <w:pPr>
              <w:pStyle w:val="Tabla"/>
            </w:pPr>
            <w:r>
              <w:t xml:space="preserve">Definición de paradigma, las nueve observaciones, parálisis paradigmática, efecto paradigma, enfermedad de la certidumbre y la regla de vuelta a cero.</w:t>
            </w:r>
          </w:p>
        </w:tc>
        <w:tc>
          <w:tcPr>
            <w:tcW w:type="dxa" w:w="3210"/>
            <w:tcMar>
              <w:top w:type="dxa" w:w="80"/>
              <w:left w:type="dxa" w:w="100"/>
              <w:bottom w:type="dxa" w:w="80"/>
              <w:right w:type="dxa" w:w="100"/>
            </w:tcMar>
          </w:tcPr>
          <w:p>
            <w:pPr>
              <w:pStyle w:val="Tabla"/>
            </w:pPr>
            <w:r>
              <w:t xml:space="preserve">1.1</w:t>
            </w:r>
          </w:p>
        </w:tc>
      </w:tr>
      <w:tr>
        <w:trPr>
          <w:cantSplit/>
          <w:tblHeader w:val="off"/>
        </w:trPr>
        <w:tc>
          <w:tcPr>
            <w:tcW w:type="dxa" w:w="3212"/>
            <w:tcMar>
              <w:top w:type="dxa" w:w="80"/>
              <w:left w:type="dxa" w:w="100"/>
              <w:bottom w:type="dxa" w:w="80"/>
              <w:right w:type="dxa" w:w="100"/>
            </w:tcMar>
          </w:tcPr>
          <w:p>
            <w:pPr>
              <w:pStyle w:val="Tabla"/>
            </w:pPr>
            <w:r>
              <w:t xml:space="preserve">Adam Smith</w:t>
            </w:r>
          </w:p>
        </w:tc>
        <w:tc>
          <w:tcPr>
            <w:tcW w:type="dxa" w:w="3210"/>
            <w:tcMar>
              <w:top w:type="dxa" w:w="80"/>
              <w:left w:type="dxa" w:w="100"/>
              <w:bottom w:type="dxa" w:w="80"/>
              <w:right w:type="dxa" w:w="100"/>
            </w:tcMar>
          </w:tcPr>
          <w:p>
            <w:pPr>
              <w:pStyle w:val="Tabla"/>
            </w:pPr>
            <w:r>
              <w:t xml:space="preserve">Definición de paradigma en «Los poderes de la mente».</w:t>
            </w:r>
          </w:p>
        </w:tc>
        <w:tc>
          <w:tcPr>
            <w:tcW w:type="dxa" w:w="3210"/>
            <w:tcMar>
              <w:top w:type="dxa" w:w="80"/>
              <w:left w:type="dxa" w:w="100"/>
              <w:bottom w:type="dxa" w:w="80"/>
              <w:right w:type="dxa" w:w="100"/>
            </w:tcMar>
          </w:tcPr>
          <w:p>
            <w:pPr>
              <w:pStyle w:val="Tabla"/>
            </w:pPr>
            <w:r>
              <w:t xml:space="preserve">1.1</w:t>
            </w:r>
          </w:p>
        </w:tc>
      </w:tr>
      <w:tr>
        <w:trPr>
          <w:cantSplit/>
          <w:tblHeader w:val="off"/>
        </w:trPr>
        <w:tc>
          <w:tcPr>
            <w:tcW w:type="dxa" w:w="3212"/>
            <w:tcMar>
              <w:top w:type="dxa" w:w="80"/>
              <w:left w:type="dxa" w:w="100"/>
              <w:bottom w:type="dxa" w:w="80"/>
              <w:right w:type="dxa" w:w="100"/>
            </w:tcMar>
          </w:tcPr>
          <w:p>
            <w:pPr>
              <w:pStyle w:val="Tabla"/>
            </w:pPr>
            <w:r>
              <w:t xml:space="preserve">Willis Harmon</w:t>
            </w:r>
          </w:p>
        </w:tc>
        <w:tc>
          <w:tcPr>
            <w:tcW w:type="dxa" w:w="3210"/>
            <w:tcMar>
              <w:top w:type="dxa" w:w="80"/>
              <w:left w:type="dxa" w:w="100"/>
              <w:bottom w:type="dxa" w:w="80"/>
              <w:right w:type="dxa" w:w="100"/>
            </w:tcMar>
          </w:tcPr>
          <w:p>
            <w:pPr>
              <w:pStyle w:val="Tabla"/>
            </w:pPr>
            <w:r>
              <w:t xml:space="preserve">Definición de paradigma en «Guía incompleta para el futuro» (grafía de la lámina).</w:t>
            </w:r>
          </w:p>
        </w:tc>
        <w:tc>
          <w:tcPr>
            <w:tcW w:type="dxa" w:w="3210"/>
            <w:tcMar>
              <w:top w:type="dxa" w:w="80"/>
              <w:left w:type="dxa" w:w="100"/>
              <w:bottom w:type="dxa" w:w="80"/>
              <w:right w:type="dxa" w:w="100"/>
            </w:tcMar>
          </w:tcPr>
          <w:p>
            <w:pPr>
              <w:pStyle w:val="Tabla"/>
            </w:pPr>
            <w:r>
              <w:t xml:space="preserve">1.1</w:t>
            </w:r>
          </w:p>
        </w:tc>
      </w:tr>
      <w:tr>
        <w:trPr>
          <w:cantSplit/>
          <w:tblHeader w:val="off"/>
        </w:trPr>
        <w:tc>
          <w:tcPr>
            <w:tcW w:type="dxa" w:w="3212"/>
            <w:tcMar>
              <w:top w:type="dxa" w:w="80"/>
              <w:left w:type="dxa" w:w="100"/>
              <w:bottom w:type="dxa" w:w="80"/>
              <w:right w:type="dxa" w:w="100"/>
            </w:tcMar>
          </w:tcPr>
          <w:p>
            <w:pPr>
              <w:pStyle w:val="Tabla"/>
            </w:pPr>
            <w:r>
              <w:t xml:space="preserve">Chris Argyris</w:t>
            </w:r>
          </w:p>
        </w:tc>
        <w:tc>
          <w:tcPr>
            <w:tcW w:type="dxa" w:w="3210"/>
            <w:tcMar>
              <w:top w:type="dxa" w:w="80"/>
              <w:left w:type="dxa" w:w="100"/>
              <w:bottom w:type="dxa" w:w="80"/>
              <w:right w:type="dxa" w:w="100"/>
            </w:tcMar>
          </w:tcPr>
          <w:p>
            <w:pPr>
              <w:pStyle w:val="Tabla"/>
            </w:pPr>
            <w:r>
              <w:t xml:space="preserve">La escalera de inferencias y la columna de la mano izquierda.</w:t>
            </w:r>
          </w:p>
        </w:tc>
        <w:tc>
          <w:tcPr>
            <w:tcW w:type="dxa" w:w="3210"/>
            <w:tcMar>
              <w:top w:type="dxa" w:w="80"/>
              <w:left w:type="dxa" w:w="100"/>
              <w:bottom w:type="dxa" w:w="80"/>
              <w:right w:type="dxa" w:w="100"/>
            </w:tcMar>
          </w:tcPr>
          <w:p>
            <w:pPr>
              <w:pStyle w:val="Tabla"/>
            </w:pPr>
            <w:r>
              <w:t xml:space="preserve">1.2</w:t>
            </w:r>
          </w:p>
        </w:tc>
      </w:tr>
      <w:tr>
        <w:trPr>
          <w:cantSplit/>
          <w:tblHeader w:val="off"/>
        </w:trPr>
        <w:tc>
          <w:tcPr>
            <w:tcW w:type="dxa" w:w="3212"/>
            <w:tcMar>
              <w:top w:type="dxa" w:w="80"/>
              <w:left w:type="dxa" w:w="100"/>
              <w:bottom w:type="dxa" w:w="80"/>
              <w:right w:type="dxa" w:w="100"/>
            </w:tcMar>
          </w:tcPr>
          <w:p>
            <w:pPr>
              <w:pStyle w:val="Tabla"/>
            </w:pPr>
            <w:r>
              <w:t xml:space="preserve">Peter Senge y Fredy Kofman</w:t>
            </w:r>
          </w:p>
        </w:tc>
        <w:tc>
          <w:tcPr>
            <w:tcW w:type="dxa" w:w="3210"/>
            <w:tcMar>
              <w:top w:type="dxa" w:w="80"/>
              <w:left w:type="dxa" w:w="100"/>
              <w:bottom w:type="dxa" w:w="80"/>
              <w:right w:type="dxa" w:w="100"/>
            </w:tcMar>
          </w:tcPr>
          <w:p>
            <w:pPr>
              <w:pStyle w:val="Tabla"/>
            </w:pPr>
            <w:r>
              <w:t xml:space="preserve">Difundieron la escalera; el caso Acme de los cuatro niveles.</w:t>
            </w:r>
          </w:p>
        </w:tc>
        <w:tc>
          <w:tcPr>
            <w:tcW w:type="dxa" w:w="3210"/>
            <w:tcMar>
              <w:top w:type="dxa" w:w="80"/>
              <w:left w:type="dxa" w:w="100"/>
              <w:bottom w:type="dxa" w:w="80"/>
              <w:right w:type="dxa" w:w="100"/>
            </w:tcMar>
          </w:tcPr>
          <w:p>
            <w:pPr>
              <w:pStyle w:val="Tabla"/>
            </w:pPr>
            <w:r>
              <w:t xml:space="preserve">1.2 · 1.7</w:t>
            </w:r>
          </w:p>
        </w:tc>
      </w:tr>
      <w:tr>
        <w:trPr>
          <w:cantSplit/>
          <w:tblHeader w:val="off"/>
        </w:trPr>
        <w:tc>
          <w:tcPr>
            <w:tcW w:type="dxa" w:w="3212"/>
            <w:tcMar>
              <w:top w:type="dxa" w:w="80"/>
              <w:left w:type="dxa" w:w="100"/>
              <w:bottom w:type="dxa" w:w="80"/>
              <w:right w:type="dxa" w:w="100"/>
            </w:tcMar>
          </w:tcPr>
          <w:p>
            <w:pPr>
              <w:pStyle w:val="Tabla"/>
            </w:pPr>
            <w:r>
              <w:t xml:space="preserve">Joseph O'Connor e Ian McDermott</w:t>
            </w:r>
          </w:p>
        </w:tc>
        <w:tc>
          <w:tcPr>
            <w:tcW w:type="dxa" w:w="3210"/>
            <w:tcMar>
              <w:top w:type="dxa" w:w="80"/>
              <w:left w:type="dxa" w:w="100"/>
              <w:bottom w:type="dxa" w:w="80"/>
              <w:right w:type="dxa" w:w="100"/>
            </w:tcMar>
          </w:tcPr>
          <w:p>
            <w:pPr>
              <w:pStyle w:val="Tabla"/>
            </w:pPr>
            <w:r>
              <w:t xml:space="preserve">Las cuatro operaciones mentales: eliminación, construcción, distorsión y generalización.</w:t>
            </w:r>
          </w:p>
        </w:tc>
        <w:tc>
          <w:tcPr>
            <w:tcW w:type="dxa" w:w="3210"/>
            <w:tcMar>
              <w:top w:type="dxa" w:w="80"/>
              <w:left w:type="dxa" w:w="100"/>
              <w:bottom w:type="dxa" w:w="80"/>
              <w:right w:type="dxa" w:w="100"/>
            </w:tcMar>
          </w:tcPr>
          <w:p>
            <w:pPr>
              <w:pStyle w:val="Tabla"/>
            </w:pPr>
            <w:r>
              <w:t xml:space="preserve">1.2</w:t>
            </w:r>
          </w:p>
        </w:tc>
      </w:tr>
      <w:tr>
        <w:trPr>
          <w:cantSplit/>
          <w:tblHeader w:val="off"/>
        </w:trPr>
        <w:tc>
          <w:tcPr>
            <w:tcW w:type="dxa" w:w="3212"/>
            <w:tcMar>
              <w:top w:type="dxa" w:w="80"/>
              <w:left w:type="dxa" w:w="100"/>
              <w:bottom w:type="dxa" w:w="80"/>
              <w:right w:type="dxa" w:w="100"/>
            </w:tcMar>
          </w:tcPr>
          <w:p>
            <w:pPr>
              <w:pStyle w:val="Tabla"/>
            </w:pPr>
            <w:r>
              <w:t xml:space="preserve">Peter Checkland</w:t>
            </w:r>
          </w:p>
        </w:tc>
        <w:tc>
          <w:tcPr>
            <w:tcW w:type="dxa" w:w="3210"/>
            <w:tcMar>
              <w:top w:type="dxa" w:w="80"/>
              <w:left w:type="dxa" w:w="100"/>
              <w:bottom w:type="dxa" w:w="80"/>
              <w:right w:type="dxa" w:w="100"/>
            </w:tcMar>
          </w:tcPr>
          <w:p>
            <w:pPr>
              <w:pStyle w:val="Tabla"/>
            </w:pPr>
            <w:r>
              <w:t xml:space="preserve">El mapa del universo en cuatro familias de sistemas; la Weltanschauung.</w:t>
            </w:r>
          </w:p>
        </w:tc>
        <w:tc>
          <w:tcPr>
            <w:tcW w:type="dxa" w:w="3210"/>
            <w:tcMar>
              <w:top w:type="dxa" w:w="80"/>
              <w:left w:type="dxa" w:w="100"/>
              <w:bottom w:type="dxa" w:w="80"/>
              <w:right w:type="dxa" w:w="100"/>
            </w:tcMar>
          </w:tcPr>
          <w:p>
            <w:pPr>
              <w:pStyle w:val="Tabla"/>
            </w:pPr>
            <w:r>
              <w:t xml:space="preserve">2.7</w:t>
            </w:r>
          </w:p>
        </w:tc>
      </w:tr>
      <w:tr>
        <w:trPr>
          <w:cantSplit/>
          <w:tblHeader w:val="off"/>
        </w:trPr>
        <w:tc>
          <w:tcPr>
            <w:tcW w:type="dxa" w:w="3212"/>
            <w:tcMar>
              <w:top w:type="dxa" w:w="80"/>
              <w:left w:type="dxa" w:w="100"/>
              <w:bottom w:type="dxa" w:w="80"/>
              <w:right w:type="dxa" w:w="100"/>
            </w:tcMar>
          </w:tcPr>
          <w:p>
            <w:pPr>
              <w:pStyle w:val="Tabla"/>
            </w:pPr>
            <w:r>
              <w:t xml:space="preserve">Ludwig von Bertalanffy</w:t>
            </w:r>
          </w:p>
        </w:tc>
        <w:tc>
          <w:tcPr>
            <w:tcW w:type="dxa" w:w="3210"/>
            <w:tcMar>
              <w:top w:type="dxa" w:w="80"/>
              <w:left w:type="dxa" w:w="100"/>
              <w:bottom w:type="dxa" w:w="80"/>
              <w:right w:type="dxa" w:w="100"/>
            </w:tcMar>
          </w:tcPr>
          <w:p>
            <w:pPr>
              <w:pStyle w:val="Tabla"/>
            </w:pPr>
            <w:r>
              <w:t xml:space="preserve">Fundó la Teoría General de Sistemas; el organismo como sistema abierto, los isomorfismos y la equifinalidad.</w:t>
            </w:r>
          </w:p>
        </w:tc>
        <w:tc>
          <w:tcPr>
            <w:tcW w:type="dxa" w:w="3210"/>
            <w:tcMar>
              <w:top w:type="dxa" w:w="80"/>
              <w:left w:type="dxa" w:w="100"/>
              <w:bottom w:type="dxa" w:w="80"/>
              <w:right w:type="dxa" w:w="100"/>
            </w:tcMar>
          </w:tcPr>
          <w:p>
            <w:pPr>
              <w:pStyle w:val="Tabla"/>
            </w:pPr>
            <w:r>
              <w:t xml:space="preserve">2.1 · 2.8</w:t>
            </w:r>
          </w:p>
        </w:tc>
      </w:tr>
      <w:tr>
        <w:trPr>
          <w:cantSplit/>
          <w:tblHeader w:val="off"/>
        </w:trPr>
        <w:tc>
          <w:tcPr>
            <w:tcW w:type="dxa" w:w="3212"/>
            <w:tcMar>
              <w:top w:type="dxa" w:w="80"/>
              <w:left w:type="dxa" w:w="100"/>
              <w:bottom w:type="dxa" w:w="80"/>
              <w:right w:type="dxa" w:w="100"/>
            </w:tcMar>
          </w:tcPr>
          <w:p>
            <w:pPr>
              <w:pStyle w:val="Tabla"/>
            </w:pPr>
            <w:r>
              <w:t xml:space="preserve">Walter Cannon</w:t>
            </w:r>
          </w:p>
        </w:tc>
        <w:tc>
          <w:tcPr>
            <w:tcW w:type="dxa" w:w="3210"/>
            <w:tcMar>
              <w:top w:type="dxa" w:w="80"/>
              <w:left w:type="dxa" w:w="100"/>
              <w:bottom w:type="dxa" w:w="80"/>
              <w:right w:type="dxa" w:w="100"/>
            </w:tcMar>
          </w:tcPr>
          <w:p>
            <w:pPr>
              <w:pStyle w:val="Tabla"/>
            </w:pPr>
            <w:r>
              <w:t xml:space="preserve">Acuñó homeostasis (1929), sobre el «medio interno» de Claude Bernard.</w:t>
            </w:r>
          </w:p>
        </w:tc>
        <w:tc>
          <w:tcPr>
            <w:tcW w:type="dxa" w:w="3210"/>
            <w:tcMar>
              <w:top w:type="dxa" w:w="80"/>
              <w:left w:type="dxa" w:w="100"/>
              <w:bottom w:type="dxa" w:w="80"/>
              <w:right w:type="dxa" w:w="100"/>
            </w:tcMar>
          </w:tcPr>
          <w:p>
            <w:pPr>
              <w:pStyle w:val="Tabla"/>
            </w:pPr>
            <w:r>
              <w:t xml:space="preserve">2.8</w:t>
            </w:r>
          </w:p>
        </w:tc>
      </w:tr>
      <w:tr>
        <w:trPr>
          <w:cantSplit/>
          <w:tblHeader w:val="off"/>
        </w:trPr>
        <w:tc>
          <w:tcPr>
            <w:tcW w:type="dxa" w:w="3212"/>
            <w:tcMar>
              <w:top w:type="dxa" w:w="80"/>
              <w:left w:type="dxa" w:w="100"/>
              <w:bottom w:type="dxa" w:w="80"/>
              <w:right w:type="dxa" w:w="100"/>
            </w:tcMar>
          </w:tcPr>
          <w:p>
            <w:pPr>
              <w:pStyle w:val="Tabla"/>
            </w:pPr>
            <w:r>
              <w:t xml:space="preserve">Schrödinger y Brillouin</w:t>
            </w:r>
          </w:p>
        </w:tc>
        <w:tc>
          <w:tcPr>
            <w:tcW w:type="dxa" w:w="3210"/>
            <w:tcMar>
              <w:top w:type="dxa" w:w="80"/>
              <w:left w:type="dxa" w:w="100"/>
              <w:bottom w:type="dxa" w:w="80"/>
              <w:right w:type="dxa" w:w="100"/>
            </w:tcMar>
          </w:tcPr>
          <w:p>
            <w:pPr>
              <w:pStyle w:val="Tabla"/>
            </w:pPr>
            <w:r>
              <w:t xml:space="preserve">«Se alimenta de entropía negativa»; la acuñación del término neguentropía.</w:t>
            </w:r>
          </w:p>
        </w:tc>
        <w:tc>
          <w:tcPr>
            <w:tcW w:type="dxa" w:w="3210"/>
            <w:tcMar>
              <w:top w:type="dxa" w:w="80"/>
              <w:left w:type="dxa" w:w="100"/>
              <w:bottom w:type="dxa" w:w="80"/>
              <w:right w:type="dxa" w:w="100"/>
            </w:tcMar>
          </w:tcPr>
          <w:p>
            <w:pPr>
              <w:pStyle w:val="Tabla"/>
            </w:pPr>
            <w:r>
              <w:t xml:space="preserve">2.8</w:t>
            </w:r>
          </w:p>
        </w:tc>
      </w:tr>
      <w:tr>
        <w:trPr>
          <w:cantSplit/>
          <w:tblHeader w:val="off"/>
        </w:trPr>
        <w:tc>
          <w:tcPr>
            <w:tcW w:type="dxa" w:w="3212"/>
            <w:tcMar>
              <w:top w:type="dxa" w:w="80"/>
              <w:left w:type="dxa" w:w="100"/>
              <w:bottom w:type="dxa" w:w="80"/>
              <w:right w:type="dxa" w:w="100"/>
            </w:tcMar>
          </w:tcPr>
          <w:p>
            <w:pPr>
              <w:pStyle w:val="Tabla"/>
            </w:pPr>
            <w:r>
              <w:t xml:space="preserve">Norbert Wiener</w:t>
            </w:r>
          </w:p>
        </w:tc>
        <w:tc>
          <w:tcPr>
            <w:tcW w:type="dxa" w:w="3210"/>
            <w:tcMar>
              <w:top w:type="dxa" w:w="80"/>
              <w:left w:type="dxa" w:w="100"/>
              <w:bottom w:type="dxa" w:w="80"/>
              <w:right w:type="dxa" w:w="100"/>
            </w:tcMar>
          </w:tcPr>
          <w:p>
            <w:pPr>
              <w:pStyle w:val="Tabla"/>
            </w:pPr>
            <w:r>
              <w:t xml:space="preserve">Fundó la cibernética: retroalimentación y control.</w:t>
            </w:r>
          </w:p>
        </w:tc>
        <w:tc>
          <w:tcPr>
            <w:tcW w:type="dxa" w:w="3210"/>
            <w:tcMar>
              <w:top w:type="dxa" w:w="80"/>
              <w:left w:type="dxa" w:w="100"/>
              <w:bottom w:type="dxa" w:w="80"/>
              <w:right w:type="dxa" w:w="100"/>
            </w:tcMar>
          </w:tcPr>
          <w:p>
            <w:pPr>
              <w:pStyle w:val="Tabla"/>
            </w:pPr>
            <w:r>
              <w:t xml:space="preserve">2.8</w:t>
            </w:r>
          </w:p>
        </w:tc>
      </w:tr>
      <w:tr>
        <w:trPr>
          <w:cantSplit/>
          <w:tblHeader w:val="off"/>
        </w:trPr>
        <w:tc>
          <w:tcPr>
            <w:tcW w:type="dxa" w:w="3212"/>
            <w:tcMar>
              <w:top w:type="dxa" w:w="80"/>
              <w:left w:type="dxa" w:w="100"/>
              <w:bottom w:type="dxa" w:w="80"/>
              <w:right w:type="dxa" w:w="100"/>
            </w:tcMar>
          </w:tcPr>
          <w:p>
            <w:pPr>
              <w:pStyle w:val="Tabla"/>
            </w:pPr>
            <w:r>
              <w:t xml:space="preserve">W. Ross Ashby</w:t>
            </w:r>
          </w:p>
        </w:tc>
        <w:tc>
          <w:tcPr>
            <w:tcW w:type="dxa" w:w="3210"/>
            <w:tcMar>
              <w:top w:type="dxa" w:w="80"/>
              <w:left w:type="dxa" w:w="100"/>
              <w:bottom w:type="dxa" w:w="80"/>
              <w:right w:type="dxa" w:w="100"/>
            </w:tcMar>
          </w:tcPr>
          <w:p>
            <w:pPr>
              <w:pStyle w:val="Tabla"/>
            </w:pPr>
            <w:r>
              <w:t xml:space="preserve">La ley de la variedad requerida. Ampliación bibliográfica: no se dictó.</w:t>
            </w:r>
          </w:p>
        </w:tc>
        <w:tc>
          <w:tcPr>
            <w:tcW w:type="dxa" w:w="3210"/>
            <w:tcMar>
              <w:top w:type="dxa" w:w="80"/>
              <w:left w:type="dxa" w:w="100"/>
              <w:bottom w:type="dxa" w:w="80"/>
              <w:right w:type="dxa" w:w="100"/>
            </w:tcMar>
          </w:tcPr>
          <w:p>
            <w:pPr>
              <w:pStyle w:val="Tabla"/>
            </w:pPr>
            <w:r>
              <w:t xml:space="preserve">2.8</w:t>
            </w:r>
          </w:p>
        </w:tc>
      </w:tr>
      <w:tr>
        <w:trPr>
          <w:cantSplit/>
          <w:tblHeader w:val="off"/>
        </w:trPr>
        <w:tc>
          <w:tcPr>
            <w:tcW w:type="dxa" w:w="3212"/>
            <w:tcMar>
              <w:top w:type="dxa" w:w="80"/>
              <w:left w:type="dxa" w:w="100"/>
              <w:bottom w:type="dxa" w:w="80"/>
              <w:right w:type="dxa" w:w="100"/>
            </w:tcMar>
          </w:tcPr>
          <w:p>
            <w:pPr>
              <w:pStyle w:val="Tabla"/>
            </w:pPr>
            <w:r>
              <w:t xml:space="preserve">Arthur Koestler</w:t>
            </w:r>
          </w:p>
        </w:tc>
        <w:tc>
          <w:tcPr>
            <w:tcW w:type="dxa" w:w="3210"/>
            <w:tcMar>
              <w:top w:type="dxa" w:w="80"/>
              <w:left w:type="dxa" w:w="100"/>
              <w:bottom w:type="dxa" w:w="80"/>
              <w:right w:type="dxa" w:w="100"/>
            </w:tcMar>
          </w:tcPr>
          <w:p>
            <w:pPr>
              <w:pStyle w:val="Tabla"/>
            </w:pPr>
            <w:r>
              <w:t xml:space="preserve">Holón y holarquía: lo que es todo y parte a la vez.</w:t>
            </w:r>
          </w:p>
        </w:tc>
        <w:tc>
          <w:tcPr>
            <w:tcW w:type="dxa" w:w="3210"/>
            <w:tcMar>
              <w:top w:type="dxa" w:w="80"/>
              <w:left w:type="dxa" w:w="100"/>
              <w:bottom w:type="dxa" w:w="80"/>
              <w:right w:type="dxa" w:w="100"/>
            </w:tcMar>
          </w:tcPr>
          <w:p>
            <w:pPr>
              <w:pStyle w:val="Tabla"/>
            </w:pPr>
            <w:r>
              <w:t xml:space="preserve">2.4</w:t>
            </w:r>
          </w:p>
        </w:tc>
      </w:tr>
      <w:tr>
        <w:trPr>
          <w:cantSplit/>
          <w:tblHeader w:val="off"/>
        </w:trPr>
        <w:tc>
          <w:tcPr>
            <w:tcW w:type="dxa" w:w="3212"/>
            <w:tcMar>
              <w:top w:type="dxa" w:w="80"/>
              <w:left w:type="dxa" w:w="100"/>
              <w:bottom w:type="dxa" w:w="80"/>
              <w:right w:type="dxa" w:w="100"/>
            </w:tcMar>
          </w:tcPr>
          <w:p>
            <w:pPr>
              <w:pStyle w:val="Tabla"/>
            </w:pPr>
            <w:r>
              <w:t xml:space="preserve">Kenneth Boulding</w:t>
            </w:r>
          </w:p>
        </w:tc>
        <w:tc>
          <w:tcPr>
            <w:tcW w:type="dxa" w:w="3210"/>
            <w:tcMar>
              <w:top w:type="dxa" w:w="80"/>
              <w:left w:type="dxa" w:w="100"/>
              <w:bottom w:type="dxa" w:w="80"/>
              <w:right w:type="dxa" w:w="100"/>
            </w:tcMar>
          </w:tcPr>
          <w:p>
            <w:pPr>
              <w:pStyle w:val="Tabla"/>
            </w:pPr>
            <w:r>
              <w:t xml:space="preserve">Una jerarquía de sistemas por grado de complejidad. Se menciona; sus niveles no se enumeraron en clase.</w:t>
            </w:r>
          </w:p>
        </w:tc>
        <w:tc>
          <w:tcPr>
            <w:tcW w:type="dxa" w:w="3210"/>
            <w:tcMar>
              <w:top w:type="dxa" w:w="80"/>
              <w:left w:type="dxa" w:w="100"/>
              <w:bottom w:type="dxa" w:w="80"/>
              <w:right w:type="dxa" w:w="100"/>
            </w:tcMar>
          </w:tcPr>
          <w:p>
            <w:pPr>
              <w:pStyle w:val="Tabla"/>
            </w:pPr>
            <w:r>
              <w:t xml:space="preserve">2.4</w:t>
            </w:r>
          </w:p>
        </w:tc>
      </w:tr>
      <w:tr>
        <w:trPr>
          <w:cantSplit/>
          <w:tblHeader w:val="off"/>
        </w:trPr>
        <w:tc>
          <w:tcPr>
            <w:tcW w:type="dxa" w:w="3212"/>
            <w:tcMar>
              <w:top w:type="dxa" w:w="80"/>
              <w:left w:type="dxa" w:w="100"/>
              <w:bottom w:type="dxa" w:w="80"/>
              <w:right w:type="dxa" w:w="100"/>
            </w:tcMar>
          </w:tcPr>
          <w:p>
            <w:pPr>
              <w:pStyle w:val="Tabla"/>
            </w:pPr>
            <w:r>
              <w:t xml:space="preserve">Donella Meadows</w:t>
            </w:r>
          </w:p>
        </w:tc>
        <w:tc>
          <w:tcPr>
            <w:tcW w:type="dxa" w:w="3210"/>
            <w:tcMar>
              <w:top w:type="dxa" w:w="80"/>
              <w:left w:type="dxa" w:w="100"/>
              <w:bottom w:type="dxa" w:w="80"/>
              <w:right w:type="dxa" w:w="100"/>
            </w:tcMar>
          </w:tcPr>
          <w:p>
            <w:pPr>
              <w:pStyle w:val="Tabla"/>
            </w:pPr>
            <w:r>
              <w:t xml:space="preserve">Elementos, interconexiones y función o propósito. Complemento bibliográfico: para el examen manda la lámina.</w:t>
            </w:r>
          </w:p>
        </w:tc>
        <w:tc>
          <w:tcPr>
            <w:tcW w:type="dxa" w:w="3210"/>
            <w:tcMar>
              <w:top w:type="dxa" w:w="80"/>
              <w:left w:type="dxa" w:w="100"/>
              <w:bottom w:type="dxa" w:w="80"/>
              <w:right w:type="dxa" w:w="100"/>
            </w:tcMar>
          </w:tcPr>
          <w:p>
            <w:pPr>
              <w:pStyle w:val="Tabla"/>
            </w:pPr>
            <w:r>
              <w:t xml:space="preserve">2.2</w:t>
            </w:r>
          </w:p>
        </w:tc>
      </w:tr>
      <w:tr>
        <w:trPr>
          <w:cantSplit/>
          <w:tblHeader w:val="off"/>
        </w:trPr>
        <w:tc>
          <w:tcPr>
            <w:tcW w:type="dxa" w:w="3212"/>
            <w:tcMar>
              <w:top w:type="dxa" w:w="80"/>
              <w:left w:type="dxa" w:w="100"/>
              <w:bottom w:type="dxa" w:w="80"/>
              <w:right w:type="dxa" w:w="100"/>
            </w:tcMar>
          </w:tcPr>
          <w:p>
            <w:pPr>
              <w:pStyle w:val="Tabla"/>
            </w:pPr>
            <w:r>
              <w:t xml:space="preserve">Waters Center (Benson y Marlin)</w:t>
            </w:r>
          </w:p>
        </w:tc>
        <w:tc>
          <w:tcPr>
            <w:tcW w:type="dxa" w:w="3210"/>
            <w:tcMar>
              <w:top w:type="dxa" w:w="80"/>
              <w:left w:type="dxa" w:w="100"/>
              <w:bottom w:type="dxa" w:w="80"/>
              <w:right w:type="dxa" w:w="100"/>
            </w:tcMar>
          </w:tcPr>
          <w:p>
            <w:pPr>
              <w:pStyle w:val="Tabla"/>
            </w:pPr>
            <w:r>
              <w:t xml:space="preserve">Los quince cursos y catorce hábitos del pensador sistémico.</w:t>
            </w:r>
          </w:p>
        </w:tc>
        <w:tc>
          <w:tcPr>
            <w:tcW w:type="dxa" w:w="3210"/>
            <w:tcMar>
              <w:top w:type="dxa" w:w="80"/>
              <w:left w:type="dxa" w:w="100"/>
              <w:bottom w:type="dxa" w:w="80"/>
              <w:right w:type="dxa" w:w="100"/>
            </w:tcMar>
          </w:tcPr>
          <w:p>
            <w:pPr>
              <w:pStyle w:val="Tabla"/>
            </w:pPr>
            <w:r>
              <w:t xml:space="preserve">1.8 · 2.9</w:t>
            </w:r>
          </w:p>
        </w:tc>
      </w:tr>
      <w:tr>
        <w:trPr>
          <w:cantSplit/>
          <w:tblHeader w:val="off"/>
        </w:trPr>
        <w:tc>
          <w:tcPr>
            <w:tcW w:type="dxa" w:w="3212"/>
            <w:tcMar>
              <w:top w:type="dxa" w:w="80"/>
              <w:left w:type="dxa" w:w="100"/>
              <w:bottom w:type="dxa" w:w="80"/>
              <w:right w:type="dxa" w:w="100"/>
            </w:tcMar>
          </w:tcPr>
          <w:p>
            <w:pPr>
              <w:pStyle w:val="Tabla"/>
            </w:pPr>
            <w:r>
              <w:t xml:space="preserve">Guadalupe Nogués</w:t>
            </w:r>
          </w:p>
        </w:tc>
        <w:tc>
          <w:tcPr>
            <w:tcW w:type="dxa" w:w="3210"/>
            <w:tcMar>
              <w:top w:type="dxa" w:w="80"/>
              <w:left w:type="dxa" w:w="100"/>
              <w:bottom w:type="dxa" w:w="80"/>
              <w:right w:type="dxa" w:w="100"/>
            </w:tcMar>
          </w:tcPr>
          <w:p>
            <w:pPr>
              <w:pStyle w:val="Tabla"/>
            </w:pPr>
            <w:r>
              <w:t xml:space="preserve">Pluralismo, aprender a escuchar y separar las ideas de las personas.</w:t>
            </w:r>
          </w:p>
        </w:tc>
        <w:tc>
          <w:tcPr>
            <w:tcW w:type="dxa" w:w="3210"/>
            <w:tcMar>
              <w:top w:type="dxa" w:w="80"/>
              <w:left w:type="dxa" w:w="100"/>
              <w:bottom w:type="dxa" w:w="80"/>
              <w:right w:type="dxa" w:w="100"/>
            </w:tcMar>
          </w:tcPr>
          <w:p>
            <w:pPr>
              <w:pStyle w:val="Tabla"/>
            </w:pPr>
            <w:r>
              <w:t xml:space="preserve">1.5</w:t>
            </w:r>
          </w:p>
        </w:tc>
      </w:tr>
    </w:tbl>
    <w:p>
      <w:pPr>
        <w:pStyle w:val="Fuente"/>
      </w:pPr>
      <w:r>
        <w:t xml:space="preserve">Única tabla redactada por el portal: reúne atribuciones repartidas entre lecciones. Ackoff, Churchman y los nueve niveles de Boulding no son materia de este curso; no los cite.</w:t>
      </w:r>
    </w:p>
    <w:p>
      <w:pPr>
        <w:pStyle w:val="Heading3"/>
      </w:pPr>
      <w:r>
        <w:t xml:space="preserve">Lo que dicen las presentaciones</w:t>
      </w:r>
    </w:p>
    <w:p>
      <w:pPr>
        <w:pStyle w:val="Heading3"/>
      </w:pPr>
      <w:bookmarkStart w:name="b_pagina_1_1_C_5_p1" w:id="12"/>
      <w:r>
        <w:t xml:space="preserve">C-5 · página 1 · El pensamiento sistémico y los sistemas abstractos diseñados</w:t>
      </w:r>
      <w:bookmarkEnd w:id="12"/>
    </w:p>
    <w:p>
      <w:pPr>
        <w:pStyle w:val="Normal"/>
      </w:pPr>
      <w:r>
        <w:t xml:space="preserve">Portada de la unidad: dinámica de los modelos mentales o paradigmas.</w:t>
      </w:r>
    </w:p>
    <w:p>
      <w:pPr>
        <w:pStyle w:val="Fuente"/>
      </w:pPr>
      <w:r>
        <w:t xml:space="preserve">Proyección o explicación: Clase 1 · 01:00:13 · captura c1-01.</w:t>
      </w:r>
    </w:p>
    <w:p>
      <w:pPr>
        <w:pStyle w:val="Heading3"/>
      </w:pPr>
      <w:bookmarkStart w:name="b_pagina_1_1_C_5_p2" w:id="13"/>
      <w:r>
        <w:t xml:space="preserve">C-5 · página 2 · Programa y planificación de la Unidad 1</w:t>
      </w:r>
      <w:bookmarkEnd w:id="13"/>
    </w:p>
    <w:p>
      <w:pPr>
        <w:pStyle w:val="Normal"/>
      </w:pPr>
      <w:r>
        <w:t xml:space="preserve">Los ocho temas de la unidad y la planificación histórica de julio.</w:t>
      </w:r>
    </w:p>
    <w:p>
      <w:bookmarkStart w:name="b_punto_c5_p002_01" w:id="14"/>
      <w:r>
        <w:t xml:space="preserve">1.1 Paradigmas: características y comportamientos relacionados.</w:t>
      </w:r>
      <w:bookmarkEnd w:id="14"/>
    </w:p>
    <w:p>
      <w:pPr>
        <w:pStyle w:val="Fuente"/>
      </w:pPr>
      <w:r>
        <w:t xml:space="preserve">Véase </w:t>
      </w:r>
      <w:hyperlink w:history="1" w:anchor="b_1_2">
        <w:r>
          <w:rPr>
            <w:color w:val="156B70"/>
            <w:u w:val="single"/>
          </w:rPr>
          <w:t xml:space="preserve">capítulo 1.2 · Escalera de inferencias</w:t>
        </w:r>
      </w:hyperlink>
      <w:r>
        <w:t xml:space="preserve">, pág. </w:t>
      </w:r>
      <w:r>
        <w:fldChar w:fldCharType="begin"/>
        <w:instrText xml:space="preserve">PAGEREF b_1_2 \h</w:instrText>
        <w:fldChar w:fldCharType="separate"/>
        <w:t xml:space="preserve">55</w:t>
        <w:fldChar w:fldCharType="end"/>
      </w:r>
      <w:r>
        <w:t xml:space="preserve">.</w:t>
      </w:r>
    </w:p>
    <w:p>
      <w:pPr>
        <w:pStyle w:val="Fuente"/>
      </w:pPr>
      <w:r>
        <w:t xml:space="preserve">Véase </w:t>
      </w:r>
      <w:hyperlink w:history="1" w:anchor="b_1_3">
        <w:r>
          <w:rPr>
            <w:color w:val="156B70"/>
            <w:u w:val="single"/>
          </w:rPr>
          <w:t xml:space="preserve">capítulo 1.3 · El paradigma de sistemas</w:t>
        </w:r>
      </w:hyperlink>
      <w:r>
        <w:t xml:space="preserve">, pág. </w:t>
      </w:r>
      <w:r>
        <w:fldChar w:fldCharType="begin"/>
        <w:instrText xml:space="preserve">PAGEREF b_1_3 \h</w:instrText>
        <w:fldChar w:fldCharType="separate"/>
        <w:t xml:space="preserve">83</w:t>
        <w:fldChar w:fldCharType="end"/>
      </w:r>
      <w:r>
        <w:t xml:space="preserve">.</w:t>
      </w:r>
    </w:p>
    <w:p>
      <w:pPr>
        <w:pStyle w:val="Fuente"/>
      </w:pPr>
      <w:r>
        <w:t xml:space="preserve">Véase </w:t>
      </w:r>
      <w:hyperlink w:history="1" w:anchor="b_1_4">
        <w:r>
          <w:rPr>
            <w:color w:val="156B70"/>
            <w:u w:val="single"/>
          </w:rPr>
          <w:t xml:space="preserve">capítulo 1.4 · Sistémico vs no sistémico</w:t>
        </w:r>
      </w:hyperlink>
      <w:r>
        <w:t xml:space="preserve">, pág. </w:t>
      </w:r>
      <w:r>
        <w:fldChar w:fldCharType="begin"/>
        <w:instrText xml:space="preserve">PAGEREF b_1_4 \h</w:instrText>
        <w:fldChar w:fldCharType="separate"/>
        <w:t xml:space="preserve">104</w:t>
        <w:fldChar w:fldCharType="end"/>
      </w:r>
      <w:r>
        <w:t xml:space="preserve">.</w:t>
      </w:r>
    </w:p>
    <w:p>
      <w:pPr>
        <w:pStyle w:val="Fuente"/>
      </w:pPr>
      <w:r>
        <w:t xml:space="preserve">Véase </w:t>
      </w:r>
      <w:hyperlink w:history="1" w:anchor="b_1_5">
        <w:r>
          <w:rPr>
            <w:color w:val="156B70"/>
            <w:u w:val="single"/>
          </w:rPr>
          <w:t xml:space="preserve">capítulo 1.5 · Perspectivas</w:t>
        </w:r>
      </w:hyperlink>
      <w:r>
        <w:t xml:space="preserve">, pág. </w:t>
      </w:r>
      <w:r>
        <w:fldChar w:fldCharType="begin"/>
        <w:instrText xml:space="preserve">PAGEREF b_1_5 \h</w:instrText>
        <w:fldChar w:fldCharType="separate"/>
        <w:t xml:space="preserve">125</w:t>
        <w:fldChar w:fldCharType="end"/>
      </w:r>
      <w:r>
        <w:t xml:space="preserve">.</w:t>
      </w:r>
    </w:p>
    <w:p>
      <w:pPr>
        <w:pStyle w:val="Fuente"/>
      </w:pPr>
      <w:r>
        <w:t xml:space="preserve">Véase </w:t>
      </w:r>
      <w:hyperlink w:history="1" w:anchor="b_1_6">
        <w:r>
          <w:rPr>
            <w:color w:val="156B70"/>
            <w:u w:val="single"/>
          </w:rPr>
          <w:t xml:space="preserve">capítulo 1.6 · Operaciones DSRP</w:t>
        </w:r>
      </w:hyperlink>
      <w:r>
        <w:t xml:space="preserve">, pág. </w:t>
      </w:r>
      <w:r>
        <w:fldChar w:fldCharType="begin"/>
        <w:instrText xml:space="preserve">PAGEREF b_1_6 \h</w:instrText>
        <w:fldChar w:fldCharType="separate"/>
        <w:t xml:space="preserve">150</w:t>
        <w:fldChar w:fldCharType="end"/>
      </w:r>
      <w:r>
        <w:t xml:space="preserve">.</w:t>
      </w:r>
    </w:p>
    <w:p>
      <w:pPr>
        <w:pStyle w:val="Fuente"/>
      </w:pPr>
      <w:r>
        <w:t xml:space="preserve">Véase </w:t>
      </w:r>
      <w:hyperlink w:history="1" w:anchor="b_1_7">
        <w:r>
          <w:rPr>
            <w:color w:val="156B70"/>
            <w:u w:val="single"/>
          </w:rPr>
          <w:t xml:space="preserve">capítulo 1.7 · Niveles — modelo del iceberg</w:t>
        </w:r>
      </w:hyperlink>
      <w:r>
        <w:t xml:space="preserve">, pág. </w:t>
      </w:r>
      <w:r>
        <w:fldChar w:fldCharType="begin"/>
        <w:instrText xml:space="preserve">PAGEREF b_1_7 \h</w:instrText>
        <w:fldChar w:fldCharType="separate"/>
        <w:t xml:space="preserve">175</w:t>
        <w:fldChar w:fldCharType="end"/>
      </w:r>
      <w:r>
        <w:t xml:space="preserve">.</w:t>
      </w:r>
    </w:p>
    <w:p>
      <w:pPr>
        <w:pStyle w:val="Fuente"/>
      </w:pPr>
      <w:r>
        <w:t xml:space="preserve">Véase </w:t>
      </w:r>
      <w:hyperlink w:history="1" w:anchor="b_1_8">
        <w:r>
          <w:rPr>
            <w:color w:val="156B70"/>
            <w:u w:val="single"/>
          </w:rPr>
          <w:t xml:space="preserve">capítulo 1.8 · Hábitos del pensador</w:t>
        </w:r>
      </w:hyperlink>
      <w:r>
        <w:t xml:space="preserve">, pág. </w:t>
      </w:r>
      <w:r>
        <w:fldChar w:fldCharType="begin"/>
        <w:instrText xml:space="preserve">PAGEREF b_1_8 \h</w:instrText>
        <w:fldChar w:fldCharType="separate"/>
        <w:t xml:space="preserve">194</w:t>
        <w:fldChar w:fldCharType="end"/>
      </w:r>
      <w:r>
        <w:t xml:space="preserve">.</w:t>
      </w:r>
    </w:p>
    <w:p>
      <w:pPr>
        <w:pStyle w:val="Heading3"/>
      </w:pPr>
      <w:bookmarkStart w:name="b_pagina_1_1_C_5_p4" w:id="15"/>
      <w:r>
        <w:t xml:space="preserve">C-5 · página 4 · ¿Qué son los paradigmas?</w:t>
      </w:r>
      <w:bookmarkEnd w:id="15"/>
    </w:p>
    <w:p>
      <w:pPr>
        <w:pStyle w:val="Normal"/>
      </w:pPr>
      <w:r>
        <w:t xml:space="preserve">Cuatro definiciones complementarias y su papel como modelo para mirar la realidad.</w:t>
      </w:r>
    </w:p>
    <w:p>
      <w:pPr>
        <w:pStyle w:val="Fuente"/>
      </w:pPr>
      <w:r>
        <w:t xml:space="preserve">Proyección o explicación: Clase 1 · 01:15:19 · captura c1-03.</w:t>
      </w:r>
    </w:p>
    <w:p>
      <w:pPr>
        <w:keepNext/>
        <w:spacing w:after="40" w:before="150"/>
        <w:jc w:val="center"/>
      </w:pPr>
      <w:bookmarkStart w:name="b_figura_original_pagina_C_5_4" w:id="16"/>
      <w:bookmarkEnd w:id="16"/>
      <w:r>
        <w:drawing>
          <wp:inline distT="0" distB="0" distL="0" distR="0">
            <wp:extent cx="5381625" cy="4162425"/>
            <wp:effectExtent t="0" r="0" b="0" l="0"/>
            <wp:docPr id="2" name="pagina-C-5-4" descr="Presentación C-5, pág. 4" title="¿Qué son los paradig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91" cstate="none"/>
                    <a:srcRect/>
                    <a:stretch>
                      <a:fillRect/>
                    </a:stretch>
                  </pic:blipFill>
                  <pic:spPr bwMode="auto">
                    <a:xfrm>
                      <a:off x="0" y="0"/>
                      <a:ext cx="5381625" cy="4162425"/>
                    </a:xfrm>
                    <a:prstGeom prst="rect">
                      <a:avLst/>
                    </a:prstGeom>
                  </pic:spPr>
                </pic:pic>
              </a:graphicData>
            </a:graphic>
          </wp:inline>
        </w:drawing>
      </w:r>
    </w:p>
    <w:p>
      <w:pPr>
        <w:pStyle w:val="PieFigura"/>
        <w:keepNext/>
      </w:pPr>
      <w:bookmarkStart w:name="b_fig_1_1_1" w:id="17"/>
      <w:r>
        <w:t xml:space="preserve">Figura 1.1.</w:t>
      </w:r>
      <w:fldSimple w:instr="SEQ Figura \r 1 \* ARABIC">
        <w:r>
          <w:t xml:space="preserve">1</w:t>
        </w:r>
      </w:fldSimple>
      <w:r>
        <w:t xml:space="preserve"> · ¿Qué son los paradigmas?</w:t>
      </w:r>
      <w:bookmarkEnd w:id="17"/>
    </w:p>
    <w:p>
      <w:pPr>
        <w:pStyle w:val="Fuente"/>
      </w:pPr>
      <w:r>
        <w:t xml:space="preserve">Presentación C-5, pág. 4</w:t>
      </w:r>
    </w:p>
    <w:p>
      <w:bookmarkStart w:name="b_punto_c5_p004_01" w:id="18"/>
      <w:r>
        <w:t xml:space="preserve">Adam Smith: supuestos compartidos que explican el mundo y ayudan a predecirlo; analogía del agua para el pez.</w:t>
      </w:r>
      <w:bookmarkEnd w:id="18"/>
    </w:p>
    <w:p>
      <w:bookmarkStart w:name="b_punto_c5_p004_02" w:id="19"/>
      <w:r>
        <w:t xml:space="preserve">Barker: reglas y disposiciones, escritas o no, que definen límites e indican cómo tener éxito dentro de ellos.</w:t>
      </w:r>
      <w:bookmarkEnd w:id="19"/>
    </w:p>
    <w:p>
      <w:bookmarkStart w:name="b_punto_c5_p004_03" w:id="20"/>
      <w:r>
        <w:t xml:space="preserve">Harman: forma básica de percibir, pensar, valorar y actuar desde una visión de la realidad.</w:t>
      </w:r>
      <w:bookmarkEnd w:id="20"/>
    </w:p>
    <w:p>
      <w:bookmarkStart w:name="b_punto_c5_p004_04" w:id="21"/>
      <w:r>
        <w:t xml:space="preserve">Recuadro amarillo: modelo desde el que identificamos, describimos, analizamos y reflexionamos sobre la realidad.</w:t>
      </w:r>
      <w:bookmarkEnd w:id="21"/>
    </w:p>
    <w:p>
      <w:pPr>
        <w:pStyle w:val="Heading3"/>
      </w:pPr>
      <w:bookmarkStart w:name="b_pagina_1_1_C_5_p5" w:id="22"/>
      <w:r>
        <w:t xml:space="preserve">C-5 · página 5 · Sobre el pensamiento</w:t>
      </w:r>
      <w:bookmarkEnd w:id="22"/>
    </w:p>
    <w:p>
      <w:pPr>
        <w:pStyle w:val="Normal"/>
      </w:pPr>
      <w:r>
        <w:t xml:space="preserve">Definición del pensamiento, dimensión emocional y rueda de nueve tipos.</w:t>
      </w:r>
    </w:p>
    <w:p>
      <w:pPr>
        <w:pStyle w:val="Fuente"/>
      </w:pPr>
      <w:r>
        <w:t xml:space="preserve">Proyección o explicación: Clase 1 · 01:29:22 · captura c1-05.</w:t>
      </w:r>
    </w:p>
    <w:p>
      <w:bookmarkStart w:name="b_punto_c5_p005_01" w:id="23"/>
      <w:r>
        <w:t xml:space="preserve">Pensar: procesos mentales relativamente abstractos, voluntarios o involuntarios; ideas, recuerdos y creencias que se relacionan.</w:t>
      </w:r>
      <w:bookmarkEnd w:id="23"/>
    </w:p>
    <w:p>
      <w:bookmarkStart w:name="b_punto_c5_p005_02" w:id="24"/>
      <w:r>
        <w:t xml:space="preserve">El pensamiento no es una actividad intelectual pura: está ligado a las emociones; la lámina atribuye su regulación al sistema límbico.</w:t>
      </w:r>
      <w:bookmarkEnd w:id="24"/>
    </w:p>
    <w:p>
      <w:bookmarkStart w:name="b_punto_c5_p005_03" w:id="25"/>
      <w:r>
        <w:t xml:space="preserve">La rueda ilustra tipos deductivo, inductivo, analítico, creativo, suave, duro, divergente, convergente y mágico.</w:t>
      </w:r>
      <w:bookmarkEnd w:id="25"/>
    </w:p>
    <w:p>
      <w:pPr>
        <w:pStyle w:val="Heading3"/>
      </w:pPr>
      <w:bookmarkStart w:name="b_pagina_1_1_C_5_p6" w:id="26"/>
      <w:r>
        <w:t xml:space="preserve">C-5 · página 6 · Sobre el pensamiento (repetición)</w:t>
      </w:r>
      <w:bookmarkEnd w:id="26"/>
    </w:p>
    <w:p>
      <w:pPr>
        <w:pStyle w:val="Normal"/>
      </w:pPr>
      <w:r>
        <w:t xml:space="preserve">Repite la definición, la emocionalidad y la rueda de la página anterior.</w:t>
      </w:r>
    </w:p>
    <w:p>
      <w:pPr>
        <w:pStyle w:val="Fuente"/>
      </w:pPr>
      <w:r>
        <w:t xml:space="preserve">Proyección o explicación: Clase 1 · 01:29:22 · captura c1-05.</w:t>
      </w:r>
    </w:p>
    <w:p>
      <w:bookmarkStart w:name="b_punto_c5_p006_01" w:id="27"/>
      <w:r>
        <w:t xml:space="preserve">Pensar: procesos mentales relativamente abstractos, voluntarios o involuntarios; ideas, recuerdos y creencias que se relacionan.</w:t>
      </w:r>
      <w:bookmarkEnd w:id="27"/>
    </w:p>
    <w:p>
      <w:bookmarkStart w:name="b_punto_c5_p006_02" w:id="28"/>
      <w:r>
        <w:t xml:space="preserve">El pensamiento no es una actividad intelectual pura: está ligado a las emociones; la lámina atribuye su regulación al sistema límbico.</w:t>
      </w:r>
      <w:bookmarkEnd w:id="28"/>
    </w:p>
    <w:p>
      <w:bookmarkStart w:name="b_punto_c5_p006_03" w:id="29"/>
      <w:r>
        <w:t xml:space="preserve">La rueda ilustra tipos deductivo, inductivo, analítico, creativo, suave, duro, divergente, convergente y mágico.</w:t>
      </w:r>
      <w:bookmarkEnd w:id="29"/>
    </w:p>
    <w:p>
      <w:pPr>
        <w:pStyle w:val="Heading3"/>
      </w:pPr>
      <w:bookmarkStart w:name="b_pagina_1_1_C_5_p8" w:id="30"/>
      <w:r>
        <w:t xml:space="preserve">C-5 · página 8 · Video sobre paradigmas</w:t>
      </w:r>
      <w:bookmarkEnd w:id="30"/>
    </w:p>
    <w:p>
      <w:pPr>
        <w:pStyle w:val="Normal"/>
      </w:pPr>
      <w:r>
        <w:t xml:space="preserve">Recurso audiovisual de Joel Barker: El nuevo negocio de los paradigmas.</w:t>
      </w:r>
    </w:p>
    <w:p>
      <w:bookmarkStart w:name="b_punto_c5_p008_01" w:id="31"/>
      <w:r>
        <w:t xml:space="preserve">El video de Barker desarrolla los paradigmas, filtros, efecto, parálisis, pioneros y flexibilidad.</w:t>
      </w:r>
      <w:bookmarkEnd w:id="31"/>
    </w:p>
    <w:p>
      <w:pPr>
        <w:pStyle w:val="Heading3"/>
      </w:pPr>
      <w:bookmarkStart w:name="b_pagina_1_1_C_5_p9" w:id="32"/>
      <w:r>
        <w:t xml:space="preserve">C-5 · página 9 · Observaciones clave sobre los paradigmas (1)</w:t>
      </w:r>
      <w:bookmarkEnd w:id="32"/>
    </w:p>
    <w:p>
      <w:pPr>
        <w:pStyle w:val="Normal"/>
      </w:pPr>
      <w:r>
        <w:t xml:space="preserve">Comunes, útiles y susceptibles de parálisis; precisión científica, selección y diversidad de modelos.</w:t>
      </w:r>
    </w:p>
    <w:p>
      <w:pPr>
        <w:pStyle w:val="Fuente"/>
      </w:pPr>
      <w:r>
        <w:t xml:space="preserve">Proyección o explicación: Clase 2 · 00:23:33 · captura c2-05.</w:t>
      </w:r>
    </w:p>
    <w:p>
      <w:bookmarkStart w:name="b_punto_c5_p009_01" w:id="33"/>
      <w:r>
        <w:t xml:space="preserve">Los paradigmas son comunes a cualquier persona, en la ciencia y en la vida cotidiana.</w:t>
      </w:r>
      <w:bookmarkEnd w:id="33"/>
    </w:p>
    <w:p>
      <w:bookmarkStart w:name="b_punto_c5_p009_02" w:id="34"/>
      <w:r>
        <w:t xml:space="preserve">La precisión de comprobación y la reproducibilidad distinguen los paradigmas científicos.</w:t>
      </w:r>
      <w:bookmarkEnd w:id="34"/>
    </w:p>
    <w:p>
      <w:bookmarkStart w:name="b_punto_c5_p009_03" w:id="35"/>
      <w:r>
        <w:t xml:space="preserve">Cortesía, procesos legales, construcción de paredes y programación también responden a paradigmas, con observaciones más subjetivas.</w:t>
      </w:r>
      <w:bookmarkEnd w:id="35"/>
    </w:p>
    <w:p>
      <w:bookmarkStart w:name="b_punto_c5_p009_04" w:id="36"/>
      <w:r>
        <w:t xml:space="preserve">Las reglas orientan en un mundo lleno de datos y distinguen los importantes de los que se descartan.</w:t>
      </w:r>
      <w:bookmarkEnd w:id="36"/>
    </w:p>
    <w:p>
      <w:bookmarkStart w:name="b_punto_c5_p009_05" w:id="37"/>
      <w:r>
        <w:t xml:space="preserve">La diversidad de paradigmas permite a un grupo abordar mejor la complejidad que un individuo aislado.</w:t>
      </w:r>
      <w:bookmarkEnd w:id="37"/>
    </w:p>
    <w:p>
      <w:bookmarkStart w:name="b_punto_c5_p009_06" w:id="38"/>
      <w:r>
        <w:t xml:space="preserve">Conservados rígidamente, los paradigmas causan parálisis: resistencia al cambio pese a razones suficientes.</w:t>
      </w:r>
      <w:bookmarkEnd w:id="38"/>
    </w:p>
    <w:p>
      <w:pPr>
        <w:pStyle w:val="Heading3"/>
      </w:pPr>
      <w:bookmarkStart w:name="b_pagina_1_1_C_5_p10" w:id="39"/>
      <w:r>
        <w:t xml:space="preserve">C-5 · página 10 · Efecto paradigma</w:t>
      </w:r>
      <w:bookmarkEnd w:id="39"/>
    </w:p>
    <w:p>
      <w:pPr>
        <w:pStyle w:val="Normal"/>
      </w:pPr>
      <w:r>
        <w:t xml:space="preserve">La misma figura admite una lectura de tres o cuatro barras según la perspectiva.</w:t>
      </w:r>
    </w:p>
    <w:p>
      <w:pPr>
        <w:pStyle w:val="Fuente"/>
      </w:pPr>
      <w:r>
        <w:t xml:space="preserve">Proyección o explicación: Clase 2 · 00:51:41 · captura c2-06.</w:t>
      </w:r>
    </w:p>
    <w:p>
      <w:bookmarkStart w:name="b_punto_c5_p010_01" w:id="40"/>
      <w:r>
        <w:t xml:space="preserve">Ilustración de tres frente a cuatro barras: la lectura depende de la perspectiva y no prueba por sí sola el error del otro.</w:t>
      </w:r>
      <w:bookmarkEnd w:id="40"/>
    </w:p>
    <w:p>
      <w:pPr>
        <w:pStyle w:val="Heading3"/>
      </w:pPr>
      <w:bookmarkStart w:name="b_pagina_1_1_C_5_p11" w:id="41"/>
      <w:r>
        <w:t xml:space="preserve">C-5 · página 11 · Observaciones clave sobre los paradigmas (2)</w:t>
      </w:r>
      <w:bookmarkEnd w:id="41"/>
    </w:p>
    <w:p>
      <w:pPr>
        <w:pStyle w:val="Normal"/>
      </w:pPr>
      <w:r>
        <w:t xml:space="preserve">Pioneros que vienen de fuera y valentía de quienes adoptan pronto el cambio.</w:t>
      </w:r>
    </w:p>
    <w:p>
      <w:pPr>
        <w:pStyle w:val="Fuente"/>
      </w:pPr>
      <w:r>
        <w:t xml:space="preserve">Proyección o explicación: Clase 2 · 01:07:16 · captura c2-07.</w:t>
      </w:r>
    </w:p>
    <w:p>
      <w:bookmarkStart w:name="b_punto_c5_p011_01" w:id="42"/>
      <w:r>
        <w:t xml:space="preserve">Quienes crean paradigmas nuevos suelen estar fuera del paradigma dominante y tienen menos que perder.</w:t>
      </w:r>
      <w:bookmarkEnd w:id="42"/>
    </w:p>
    <w:p>
      <w:bookmarkStart w:name="b_punto_c5_p011_02" w:id="43"/>
      <w:r>
        <w:t xml:space="preserve">Buscar nuevas reglas en los márgenes y no sólo en el centro.</w:t>
      </w:r>
      <w:bookmarkEnd w:id="43"/>
    </w:p>
    <w:p>
      <w:bookmarkStart w:name="b_punto_c5_p011_03" w:id="44"/>
      <w:r>
        <w:t xml:space="preserve">Adoptar temprano un paradigma exige valentía, confianza o juicio intuitivo antes de disponer de toda la evidencia.</w:t>
      </w:r>
      <w:bookmarkEnd w:id="44"/>
    </w:p>
    <w:p>
      <w:pPr>
        <w:pStyle w:val="Heading3"/>
      </w:pPr>
      <w:bookmarkStart w:name="b_pagina_1_1_C_5_p12" w:id="45"/>
      <w:r>
        <w:t xml:space="preserve">C-5 · página 12 · Observaciones clave sobre los paradigmas (3)</w:t>
      </w:r>
      <w:bookmarkEnd w:id="45"/>
    </w:p>
    <w:p>
      <w:pPr>
        <w:pStyle w:val="Normal"/>
      </w:pPr>
      <w:r>
        <w:t xml:space="preserve">Podemos elegir cambiar y aprender el lenguaje de otros paradigmas escuchando sus razones.</w:t>
      </w:r>
    </w:p>
    <w:p>
      <w:pPr>
        <w:pStyle w:val="Fuente"/>
      </w:pPr>
      <w:r>
        <w:t xml:space="preserve">Proyección o explicación: Clase 2 · 01:10:04 · captura c2-08.</w:t>
      </w:r>
    </w:p>
    <w:p>
      <w:bookmarkStart w:name="b_punto_c5_p012_01" w:id="46"/>
      <w:r>
        <w:t xml:space="preserve">Los seres humanos no están genéticamente fijados a una sola manera de ver y pueden cambiar de paradigma.</w:t>
      </w:r>
      <w:bookmarkEnd w:id="46"/>
    </w:p>
    <w:p>
      <w:bookmarkStart w:name="b_punto_c5_p012_02" w:id="47"/>
      <w:r>
        <w:t xml:space="preserve">Hablar con otra persona que usa otro paradigma se parece a hablar idiomas distintos.</w:t>
      </w:r>
      <w:bookmarkEnd w:id="47"/>
    </w:p>
    <w:p>
      <w:bookmarkStart w:name="b_punto_c5_p012_03" w:id="48"/>
      <w:r>
        <w:t xml:space="preserve">Escuchar los argumentos ajenos permite identificar el paradigma del otro y comunicarse con claridad.</w:t>
      </w:r>
      <w:bookmarkEnd w:id="48"/>
    </w:p>
    <w:p>
      <w:pPr>
        <w:pStyle w:val="Heading3"/>
      </w:pPr>
      <w:bookmarkStart w:name="b_pagina_1_1_C_5_p13" w:id="49"/>
      <w:r>
        <w:t xml:space="preserve">C-5 · página 13 · Observaciones clave sobre los paradigmas (4)</w:t>
      </w:r>
      <w:bookmarkEnd w:id="49"/>
    </w:p>
    <w:p>
      <w:pPr>
        <w:pStyle w:val="Normal"/>
      </w:pPr>
      <w:r>
        <w:t xml:space="preserve">El efecto invierte ver y creer; diferentes paradigmas captan aspectos distintos de una realidad.</w:t>
      </w:r>
    </w:p>
    <w:p>
      <w:pPr>
        <w:pStyle w:val="Fuente"/>
      </w:pPr>
      <w:r>
        <w:t xml:space="preserve">Proyección o explicación: Clase 2 · 00:51:41 · captura c2-06.</w:t>
      </w:r>
    </w:p>
    <w:p>
      <w:bookmarkStart w:name="b_punto_c5_p013_01" w:id="50"/>
      <w:r>
        <w:t xml:space="preserve">El efecto paradigma invierte la relación habitual: ver depende de lo que se cree.</w:t>
      </w:r>
      <w:bookmarkEnd w:id="50"/>
    </w:p>
    <w:p>
      <w:bookmarkStart w:name="b_punto_c5_p013_02" w:id="51"/>
      <w:r>
        <w:t xml:space="preserve">Un dato nuevo necesita un paradigma para tener sentido; si no existe, lo construimos o ignoramos el dato.</w:t>
      </w:r>
      <w:bookmarkEnd w:id="51"/>
    </w:p>
    <w:p>
      <w:bookmarkStart w:name="b_punto_c5_p013_03" w:id="52"/>
      <w:r>
        <w:t xml:space="preserve">Cambiar de paradigma cambia la percepción; pueden existir explicaciones diferentes e igualmente correctas de aspectos de la misma realidad.</w:t>
      </w:r>
      <w:bookmarkEnd w:id="52"/>
    </w:p>
    <w:p>
      <w:bookmarkStart w:name="b_punto_c5_p013_04" w:id="53"/>
      <w:r>
        <w:t xml:space="preserve">Las ilustraciones de ver/creer y tres/cuatro barras muestran que no toda diferencia de percepción implica contradicción.</w:t>
      </w:r>
      <w:bookmarkEnd w:id="53"/>
    </w:p>
    <w:p>
      <w:pPr>
        <w:pStyle w:val="Heading3"/>
      </w:pPr>
      <w:bookmarkStart w:name="b_pagina_1_1_C_5_p14" w:id="54"/>
      <w:r>
        <w:t xml:space="preserve">C-5 · página 14 · Observaciones clave sobre los paradigmas (5)</w:t>
      </w:r>
      <w:bookmarkEnd w:id="54"/>
    </w:p>
    <w:p>
      <w:pPr>
        <w:pStyle w:val="Normal"/>
      </w:pPr>
      <w:r>
        <w:t xml:space="preserve">Flexibilidad como búsqueda intencional: tres preguntas y atención a lo que contradice lo sabido.</w:t>
      </w:r>
    </w:p>
    <w:p>
      <w:pPr>
        <w:pStyle w:val="Fuente"/>
      </w:pPr>
      <w:r>
        <w:t xml:space="preserve">Proyección o explicación: Clase 2 · 01:14:36 · captura c2-10.</w:t>
      </w:r>
    </w:p>
    <w:p>
      <w:bookmarkStart w:name="b_punto_c5_p014_01" w:id="55"/>
      <w:r>
        <w:t xml:space="preserve">La flexibilidad paradigmática es buscar intencional y activamente nuevas formas de hacer las cosas.</w:t>
      </w:r>
      <w:bookmarkEnd w:id="55"/>
    </w:p>
    <w:p>
      <w:bookmarkStart w:name="b_punto_c5_p014_02" w:id="56"/>
      <w:r>
        <w:t xml:space="preserve">Preguntar qué creemos imposible que cambiaría el propio campo si fuera posible.</w:t>
      </w:r>
      <w:bookmarkEnd w:id="56"/>
    </w:p>
    <w:p>
      <w:bookmarkStart w:name="b_punto_c5_p014_03" w:id="57"/>
      <w:r>
        <w:t xml:space="preserve">Preguntar quién, fuera del propio campo, puede interesarse en los problemas no resueltos.</w:t>
      </w:r>
      <w:bookmarkEnd w:id="57"/>
    </w:p>
    <w:p>
      <w:bookmarkStart w:name="b_punto_c5_p014_04" w:id="58"/>
      <w:r>
        <w:t xml:space="preserve">Preguntar cómo lograr lo que hasta ahora no ha podido conseguirse.</w:t>
      </w:r>
      <w:bookmarkEnd w:id="58"/>
    </w:p>
    <w:p>
      <w:bookmarkStart w:name="b_punto_c5_p014_05" w:id="59"/>
      <w:r>
        <w:t xml:space="preserve">La búsqueda activa y el examen de datos contradictorios, incluso erróneos, pueden descubrir ideas que antes no se veían.</w:t>
      </w:r>
      <w:bookmarkEnd w:id="59"/>
    </w:p>
    <w:p>
      <w:pPr>
        <w:pStyle w:val="Heading3"/>
      </w:pPr>
      <w:bookmarkStart w:name="b_pagina_1_1_C_5_p15" w:id="60"/>
      <w:r>
        <w:t xml:space="preserve">C-5 · página 15 · Paradigmas = modelos mentales = sistemas abstractos diseñados</w:t>
      </w:r>
      <w:bookmarkEnd w:id="60"/>
    </w:p>
    <w:p>
      <w:pPr>
        <w:pStyle w:val="Normal"/>
      </w:pPr>
      <w:r>
        <w:t xml:space="preserve">Índice de las nueve observaciones y equivalencia de los tres nombres.</w:t>
      </w:r>
    </w:p>
    <w:p>
      <w:pPr>
        <w:pStyle w:val="Fuente"/>
      </w:pPr>
      <w:r>
        <w:t xml:space="preserve">Proyección o explicación: Clase 2 · 01:13:41 · captura c2-09.</w:t>
      </w:r>
    </w:p>
    <w:p>
      <w:pPr>
        <w:keepNext/>
        <w:spacing w:after="40" w:before="150"/>
        <w:jc w:val="center"/>
      </w:pPr>
      <w:bookmarkStart w:name="b_figura_original_pagina_C_5_15" w:id="61"/>
      <w:bookmarkEnd w:id="61"/>
      <w:r>
        <w:drawing>
          <wp:inline distT="0" distB="0" distL="0" distR="0">
            <wp:extent cx="5381625" cy="4162425"/>
            <wp:effectExtent t="0" r="0" b="0" l="0"/>
            <wp:docPr id="3" name="pagina-C-5-15" descr="Presentación C-5, pág. 15" title="Paradigmas = modelos mentales = sistemas abstractos diseñad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92" cstate="none"/>
                    <a:srcRect/>
                    <a:stretch>
                      <a:fillRect/>
                    </a:stretch>
                  </pic:blipFill>
                  <pic:spPr bwMode="auto">
                    <a:xfrm>
                      <a:off x="0" y="0"/>
                      <a:ext cx="5381625" cy="4162425"/>
                    </a:xfrm>
                    <a:prstGeom prst="rect">
                      <a:avLst/>
                    </a:prstGeom>
                  </pic:spPr>
                </pic:pic>
              </a:graphicData>
            </a:graphic>
          </wp:inline>
        </w:drawing>
      </w:r>
    </w:p>
    <w:p>
      <w:pPr>
        <w:pStyle w:val="PieFigura"/>
        <w:keepNext/>
      </w:pPr>
      <w:bookmarkStart w:name="b_fig_1_1_2" w:id="62"/>
      <w:r>
        <w:t xml:space="preserve">Figura 1.1.</w:t>
      </w:r>
      <w:fldSimple w:instr="SEQ Figura \n \* ARABIC">
        <w:r>
          <w:t xml:space="preserve">2</w:t>
        </w:r>
      </w:fldSimple>
      <w:r>
        <w:t xml:space="preserve"> · Paradigmas = modelos mentales = sistemas abstractos diseñados</w:t>
      </w:r>
      <w:bookmarkEnd w:id="62"/>
    </w:p>
    <w:p>
      <w:pPr>
        <w:pStyle w:val="Fuente"/>
      </w:pPr>
      <w:r>
        <w:t xml:space="preserve">Presentación C-5, pág. 15</w:t>
      </w:r>
    </w:p>
    <w:p>
      <w:bookmarkStart w:name="b_punto_c5_p015_01" w:id="63"/>
      <w:r>
        <w:t xml:space="preserve">Paradigma, modelo mental y sistema abstracto diseñado son nombres equivalentes en este curso.</w:t>
      </w:r>
      <w:bookmarkEnd w:id="63"/>
    </w:p>
    <w:p>
      <w:bookmarkStart w:name="b_punto_c5_p015_02" w:id="64"/>
      <w:r>
        <w:t xml:space="preserve">Son comunes.</w:t>
      </w:r>
      <w:bookmarkEnd w:id="64"/>
    </w:p>
    <w:p>
      <w:bookmarkStart w:name="b_punto_c5_p015_03" w:id="65"/>
      <w:r>
        <w:t xml:space="preserve">Son útiles.</w:t>
      </w:r>
      <w:bookmarkEnd w:id="65"/>
    </w:p>
    <w:p>
      <w:bookmarkStart w:name="b_punto_c5_p015_04" w:id="66"/>
      <w:r>
        <w:t xml:space="preserve">La conservación rígida puede causar parálisis.</w:t>
      </w:r>
      <w:bookmarkEnd w:id="66"/>
    </w:p>
    <w:p>
      <w:bookmarkStart w:name="b_punto_c5_p015_05" w:id="67"/>
      <w:r>
        <w:t xml:space="preserve">Los creadores suelen venir de fuera.</w:t>
      </w:r>
      <w:bookmarkEnd w:id="67"/>
    </w:p>
    <w:p>
      <w:bookmarkStart w:name="b_punto_c5_p015_06" w:id="68"/>
      <w:r>
        <w:t xml:space="preserve">Los practicantes tempranos requieren valentía.</w:t>
      </w:r>
      <w:bookmarkEnd w:id="68"/>
    </w:p>
    <w:p>
      <w:bookmarkStart w:name="b_punto_c5_p015_07" w:id="69"/>
      <w:r>
        <w:t xml:space="preserve">Podemos elegir cambiarlos.</w:t>
      </w:r>
      <w:bookmarkEnd w:id="69"/>
    </w:p>
    <w:p>
      <w:bookmarkStart w:name="b_punto_c5_p015_08" w:id="70"/>
      <w:r>
        <w:t xml:space="preserve">El efecto invierte ver y creer.</w:t>
      </w:r>
      <w:bookmarkEnd w:id="70"/>
    </w:p>
    <w:p>
      <w:bookmarkStart w:name="b_punto_c5_p015_09" w:id="71"/>
      <w:r>
        <w:t xml:space="preserve">Existe más de una respuesta correcta.</w:t>
      </w:r>
      <w:bookmarkEnd w:id="71"/>
    </w:p>
    <w:p>
      <w:bookmarkStart w:name="b_punto_c5_p015_10" w:id="72"/>
      <w:r>
        <w:t xml:space="preserve">La flexibilidad es estrategia para tiempos turbulentos.</w:t>
      </w:r>
      <w:bookmarkEnd w:id="72"/>
    </w:p>
    <w:p>
      <w:pPr>
        <w:pStyle w:val="Heading3"/>
      </w:pPr>
      <w:bookmarkStart w:name="b_pagina_1_1_C_5_p17" w:id="73"/>
      <w:r>
        <w:t xml:space="preserve">C-5 · página 17 · Evaluación corta n.º 1</w:t>
      </w:r>
      <w:bookmarkEnd w:id="73"/>
    </w:p>
    <w:p>
      <w:pPr>
        <w:pStyle w:val="Normal"/>
      </w:pPr>
      <w:r>
        <w:t xml:space="preserve">Instrucción histórica para entrar a UEDI y completar el corto a las 8:49.</w:t>
      </w:r>
    </w:p>
    <w:p>
      <w:pPr>
        <w:pStyle w:val="Heading3"/>
      </w:pPr>
      <w:bookmarkStart w:name="b_pagina_1_1_C_5_p20" w:id="74"/>
      <w:r>
        <w:t xml:space="preserve">C-5 · página 20 · Operaciones abstractas y modelos mentales</w:t>
      </w:r>
      <w:bookmarkEnd w:id="74"/>
    </w:p>
    <w:p>
      <w:pPr>
        <w:pStyle w:val="Normal"/>
      </w:pPr>
      <w:r>
        <w:t xml:space="preserve">Origen social de los modelos y cuatro operaciones inconscientes con que los construimos y mantenemos.</w:t>
      </w:r>
    </w:p>
    <w:p>
      <w:pPr>
        <w:pStyle w:val="Fuente"/>
      </w:pPr>
      <w:r>
        <w:t xml:space="preserve">Proyección o explicación: Clase 3 · 00:21:53 · captura c3-02.</w:t>
      </w:r>
    </w:p>
    <w:p>
      <w:bookmarkStart w:name="b_punto_c5_p020_01" w:id="75"/>
      <w:r>
        <w:t xml:space="preserve">Los modelos mentales se forman desde la infancia por cultura, costumbres y adultos significativos, y continúan actualizándose con la experiencia.</w:t>
      </w:r>
      <w:bookmarkEnd w:id="75"/>
    </w:p>
    <w:p>
      <w:bookmarkStart w:name="b_punto_c5_p020_02" w:id="76"/>
      <w:r>
        <w:t xml:space="preserve">Eliminación: la atención selecciona estímulos según intereses, preocupaciones, ánimo y lucidez.</w:t>
      </w:r>
      <w:bookmarkEnd w:id="76"/>
    </w:p>
    <w:p>
      <w:bookmarkStart w:name="b_punto_c5_p020_03" w:id="77"/>
      <w:r>
        <w:t xml:space="preserve">Construcción: dar sentido con patrones previos y conectar causa probable con posible efecto, a veces inventando una historia.</w:t>
      </w:r>
      <w:bookmarkEnd w:id="77"/>
    </w:p>
    <w:p>
      <w:bookmarkStart w:name="b_punto_c5_p020_04" w:id="78"/>
      <w:r>
        <w:t xml:space="preserve">Distorsión: cambiar la experiencia amplificando aspectos y disminuyendo otros; puede alimentar creatividad o lecturas sesgadas.</w:t>
      </w:r>
      <w:bookmarkEnd w:id="78"/>
    </w:p>
    <w:p>
      <w:bookmarkStart w:name="b_punto_c5_p020_05" w:id="79"/>
      <w:r>
        <w:t xml:space="preserve">Generalización: usar una experiencia como representativa de todo un conjunto y formar reglas para situaciones semejantes.</w:t>
      </w:r>
      <w:bookmarkEnd w:id="79"/>
    </w:p>
    <w:p>
      <w:pPr>
        <w:pStyle w:val="Heading3"/>
      </w:pPr>
      <w:bookmarkStart w:name="b_pagina_1_1_C_5_p34" w:id="80"/>
      <w:r>
        <w:t xml:space="preserve">C-5 · página 34 · Considera cómo los modelos mentales afectan la realidad actual y el futuro</w:t>
      </w:r>
      <w:bookmarkEnd w:id="80"/>
    </w:p>
    <w:p>
      <w:pPr>
        <w:pStyle w:val="Normal"/>
      </w:pPr>
      <w:r>
        <w:t xml:space="preserve">Las creencias influyen en lo que percibimos y hacemos; el iceberg permite revisar esa influencia.</w:t>
      </w:r>
    </w:p>
    <w:p>
      <w:pPr>
        <w:pStyle w:val="Fuente"/>
      </w:pPr>
      <w:r>
        <w:t xml:space="preserve">Proyección o explicación: Clase 4 · 00:06:41 · captura c4-03.</w:t>
      </w:r>
    </w:p>
    <w:p>
      <w:pPr>
        <w:pStyle w:val="Fuente"/>
      </w:pPr>
      <w:r>
        <w:t xml:space="preserve">Véase </w:t>
      </w:r>
      <w:hyperlink w:history="1" w:anchor="b_figura_original_pagina_C_5_34">
        <w:r>
          <w:rPr>
            <w:color w:val="156B70"/>
            <w:u w:val="single"/>
          </w:rPr>
          <w:t xml:space="preserve">imagen de C-5, página 34</w:t>
        </w:r>
      </w:hyperlink>
      <w:r>
        <w:t xml:space="preserve">, pág. </w:t>
      </w:r>
      <w:r>
        <w:fldChar w:fldCharType="begin"/>
        <w:instrText xml:space="preserve">PAGEREF b_figura_original_pagina_C_5_34 \h</w:instrText>
        <w:fldChar w:fldCharType="separate"/>
        <w:t xml:space="preserve">203</w:t>
        <w:fldChar w:fldCharType="end"/>
      </w:r>
      <w:r>
        <w:t xml:space="preserve">.</w:t>
      </w:r>
    </w:p>
    <w:p>
      <w:bookmarkStart w:name="b_punto_c5_p034_03" w:id="81"/>
      <w:r>
        <w:t xml:space="preserve">Examinar si los modelos actuales acercan a los resultados buscados.</w:t>
      </w:r>
      <w:bookmarkEnd w:id="81"/>
    </w:p>
    <w:p>
      <w:bookmarkStart w:name="b_punto_c5_p034_04" w:id="82"/>
      <w:r>
        <w:t xml:space="preserve">Examinar si los modelos actuales obstaculizan el esfuerzo y las metas.</w:t>
      </w:r>
      <w:bookmarkEnd w:id="82"/>
    </w:p>
    <w:p>
      <w:pPr>
        <w:pStyle w:val="Fuente"/>
      </w:pPr>
      <w:r>
        <w:t xml:space="preserve">Véase </w:t>
      </w:r>
      <w:hyperlink w:history="1" w:anchor="b_1_8">
        <w:r>
          <w:rPr>
            <w:color w:val="156B70"/>
            <w:u w:val="single"/>
          </w:rPr>
          <w:t xml:space="preserve">capítulo 1.8 · Hábitos del pensador</w:t>
        </w:r>
      </w:hyperlink>
      <w:r>
        <w:t xml:space="preserve">, pág. </w:t>
      </w:r>
      <w:r>
        <w:fldChar w:fldCharType="begin"/>
        <w:instrText xml:space="preserve">PAGEREF b_1_8 \h</w:instrText>
        <w:fldChar w:fldCharType="separate"/>
        <w:t xml:space="preserve">194</w:t>
        <w:fldChar w:fldCharType="end"/>
      </w:r>
      <w:r>
        <w:t xml:space="preserve">.</w:t>
      </w:r>
    </w:p>
    <w:p>
      <w:pPr>
        <w:pStyle w:val="Fuente"/>
      </w:pPr>
      <w:r>
        <w:t xml:space="preserve">Véase </w:t>
      </w:r>
      <w:hyperlink w:history="1" w:anchor="b_1_7">
        <w:r>
          <w:rPr>
            <w:color w:val="156B70"/>
            <w:u w:val="single"/>
          </w:rPr>
          <w:t xml:space="preserve">capítulo 1.7 · Niveles — modelo del iceberg</w:t>
        </w:r>
      </w:hyperlink>
      <w:r>
        <w:t xml:space="preserve">, pág. </w:t>
      </w:r>
      <w:r>
        <w:fldChar w:fldCharType="begin"/>
        <w:instrText xml:space="preserve">PAGEREF b_1_7 \h</w:instrText>
        <w:fldChar w:fldCharType="separate"/>
        <w:t xml:space="preserve">175</w:t>
        <w:fldChar w:fldCharType="end"/>
      </w:r>
      <w:r>
        <w:t xml:space="preserve">.</w:t>
      </w:r>
    </w:p>
    <w:p>
      <w:pPr>
        <w:pStyle w:val="Heading3"/>
      </w:pPr>
      <w:bookmarkStart w:name="b_pagina_1_1_C_5_p36" w:id="83"/>
      <w:r>
        <w:t xml:space="preserve">C-5 · página 36 · El pensador sistémico y los modelos mentales</w:t>
      </w:r>
      <w:bookmarkEnd w:id="83"/>
    </w:p>
    <w:p>
      <w:pPr>
        <w:pStyle w:val="Normal"/>
      </w:pPr>
      <w:r>
        <w:t xml:space="preserve">Revisar la influencia de los modelos sobre el presente y el futuro, mantenerlos abiertos a revisión y ampliar la información.</w:t>
      </w:r>
    </w:p>
    <w:p>
      <w:pPr>
        <w:pStyle w:val="Fuente"/>
      </w:pPr>
      <w:r>
        <w:t xml:space="preserve">Proyección o explicación: Clase 4 · 00:08:04 · captura c4-04.</w:t>
      </w:r>
    </w:p>
    <w:p>
      <w:pPr>
        <w:pStyle w:val="Fuente"/>
      </w:pPr>
      <w:r>
        <w:t xml:space="preserve">Véase </w:t>
      </w:r>
      <w:hyperlink w:history="1" w:anchor="b_figura_original_pagina_C_5_36">
        <w:r>
          <w:rPr>
            <w:color w:val="156B70"/>
            <w:u w:val="single"/>
          </w:rPr>
          <w:t xml:space="preserve">imagen de C-5, página 36</w:t>
        </w:r>
      </w:hyperlink>
      <w:r>
        <w:t xml:space="preserve">, pág. </w:t>
      </w:r>
      <w:r>
        <w:fldChar w:fldCharType="begin"/>
        <w:instrText xml:space="preserve">PAGEREF b_figura_original_pagina_C_5_36 \h</w:instrText>
        <w:fldChar w:fldCharType="separate"/>
        <w:t xml:space="preserve">204</w:t>
        <w:fldChar w:fldCharType="end"/>
      </w:r>
      <w:r>
        <w:t xml:space="preserve">.</w:t>
      </w:r>
    </w:p>
    <w:p>
      <w:bookmarkStart w:name="b_punto_c5_p036_02" w:id="84"/>
      <w:r>
        <w:t xml:space="preserve">Ningún modelo agota la realidad; conviene mantener flexibilidad y someterlo a revisión.</w:t>
      </w:r>
      <w:bookmarkEnd w:id="84"/>
    </w:p>
    <w:p>
      <w:bookmarkStart w:name="b_punto_c5_p036_04" w:id="85"/>
      <w:r>
        <w:t xml:space="preserve">El diagrama solicita describir el evento, el modelo que influyó y la retroacción del evento sobre los modelos.</w:t>
      </w:r>
      <w:bookmarkEnd w:id="85"/>
    </w:p>
    <w:p>
      <w:pPr>
        <w:pStyle w:val="Fuente"/>
      </w:pPr>
      <w:r>
        <w:t xml:space="preserve">Véase </w:t>
      </w:r>
      <w:hyperlink w:history="1" w:anchor="b_1_8">
        <w:r>
          <w:rPr>
            <w:color w:val="156B70"/>
            <w:u w:val="single"/>
          </w:rPr>
          <w:t xml:space="preserve">capítulo 1.8 · Hábitos del pensador</w:t>
        </w:r>
      </w:hyperlink>
      <w:r>
        <w:t xml:space="preserve">, pág. </w:t>
      </w:r>
      <w:r>
        <w:fldChar w:fldCharType="begin"/>
        <w:instrText xml:space="preserve">PAGEREF b_1_8 \h</w:instrText>
        <w:fldChar w:fldCharType="separate"/>
        <w:t xml:space="preserve">194</w:t>
        <w:fldChar w:fldCharType="end"/>
      </w:r>
      <w:r>
        <w:t xml:space="preserve">.</w:t>
      </w:r>
    </w:p>
    <w:p>
      <w:pPr>
        <w:pStyle w:val="Fuente"/>
      </w:pPr>
      <w:r>
        <w:t xml:space="preserve">Véase </w:t>
      </w:r>
      <w:hyperlink w:history="1" w:anchor="b_1_4">
        <w:r>
          <w:rPr>
            <w:color w:val="156B70"/>
            <w:u w:val="single"/>
          </w:rPr>
          <w:t xml:space="preserve">capítulo 1.4 · Sistémico vs no sistémico</w:t>
        </w:r>
      </w:hyperlink>
      <w:r>
        <w:t xml:space="preserve">, pág. </w:t>
      </w:r>
      <w:r>
        <w:fldChar w:fldCharType="begin"/>
        <w:instrText xml:space="preserve">PAGEREF b_1_4 \h</w:instrText>
        <w:fldChar w:fldCharType="separate"/>
        <w:t xml:space="preserve">104</w:t>
        <w:fldChar w:fldCharType="end"/>
      </w:r>
      <w:r>
        <w:t xml:space="preserve">.</w:t>
      </w:r>
    </w:p>
    <w:p>
      <w:pPr>
        <w:pStyle w:val="Heading3"/>
      </w:pPr>
      <w:bookmarkStart w:name="b_pagina_1_1_C_5_p38" w:id="86"/>
      <w:r>
        <w:t xml:space="preserve">C-5 · página 38 · Los modelos mentales determinan la forma de actuar</w:t>
      </w:r>
      <w:bookmarkEnd w:id="86"/>
    </w:p>
    <w:p>
      <w:pPr>
        <w:pStyle w:val="Normal"/>
      </w:pPr>
      <w:r>
        <w:t xml:space="preserve">La adopción de una mascota muestra interpretaciones distintas según experiencia, cultura y creencias.</w:t>
      </w:r>
    </w:p>
    <w:p>
      <w:pPr>
        <w:pStyle w:val="Fuente"/>
      </w:pPr>
      <w:r>
        <w:t xml:space="preserve">Proyección o explicación: Clase 4 · 00:38:01 · captura c4-06.</w:t>
      </w:r>
    </w:p>
    <w:p>
      <w:bookmarkStart w:name="b_punto_c5_p038_01" w:id="87"/>
      <w:r>
        <w:t xml:space="preserve">La misma mascota puede significar diversión para una persona y coste o responsabilidad para otra.</w:t>
      </w:r>
      <w:bookmarkEnd w:id="87"/>
    </w:p>
    <w:p>
      <w:bookmarkStart w:name="b_punto_c5_p038_02" w:id="88"/>
      <w:r>
        <w:t xml:space="preserve">Los modelos están formados por creencias y supuestos desarrollados mediante cultura y experiencia.</w:t>
      </w:r>
      <w:bookmarkEnd w:id="88"/>
    </w:p>
    <w:p>
      <w:bookmarkStart w:name="b_punto_c5_p038_04" w:id="89"/>
      <w:r>
        <w:t xml:space="preserve">Exponer el propio modelo e invitar a otros a cuestionar sus supuestos permite ponerlo a prueba.</w:t>
      </w:r>
      <w:bookmarkEnd w:id="89"/>
    </w:p>
    <w:p>
      <w:pPr>
        <w:pStyle w:val="Fuente"/>
      </w:pPr>
      <w:r>
        <w:t xml:space="preserve">Véase </w:t>
      </w:r>
      <w:hyperlink w:history="1" w:anchor="b_1_5">
        <w:r>
          <w:rPr>
            <w:color w:val="156B70"/>
            <w:u w:val="single"/>
          </w:rPr>
          <w:t xml:space="preserve">capítulo 1.5 · Perspectivas</w:t>
        </w:r>
      </w:hyperlink>
      <w:r>
        <w:t xml:space="preserve">, pág. </w:t>
      </w:r>
      <w:r>
        <w:fldChar w:fldCharType="begin"/>
        <w:instrText xml:space="preserve">PAGEREF b_1_5 \h</w:instrText>
        <w:fldChar w:fldCharType="separate"/>
        <w:t xml:space="preserve">125</w:t>
        <w:fldChar w:fldCharType="end"/>
      </w:r>
      <w:r>
        <w:t xml:space="preserve">.</w:t>
      </w:r>
    </w:p>
    <w:p>
      <w:pPr>
        <w:pStyle w:val="Heading3"/>
      </w:pPr>
      <w:bookmarkStart w:name="b_pagina_1_1_C_5_p40" w:id="90"/>
      <w:r>
        <w:t xml:space="preserve">C-5 · página 40 · Cómo nace un paradigma</w:t>
      </w:r>
      <w:bookmarkEnd w:id="90"/>
    </w:p>
    <w:p>
      <w:pPr>
        <w:pStyle w:val="Normal"/>
      </w:pPr>
      <w:r>
        <w:t xml:space="preserve">La inducción paradigmática transmite creencias por costumbre; la fábula de los monos ilustra el mecanismo.</w:t>
      </w:r>
    </w:p>
    <w:p>
      <w:pPr>
        <w:pStyle w:val="Fuente"/>
      </w:pPr>
      <w:r>
        <w:t xml:space="preserve">Proyección o explicación: Clase 4 · 00:58:56 · captura c4-08.</w:t>
      </w:r>
    </w:p>
    <w:p>
      <w:bookmarkStart w:name="b_punto_c5_p040_01" w:id="91"/>
      <w:r>
        <w:t xml:space="preserve">La inducción paradigmática es adquirir de forma inconsciente prácticas y creencias de quienes nos rodean.</w:t>
      </w:r>
      <w:bookmarkEnd w:id="91"/>
    </w:p>
    <w:p>
      <w:bookmarkStart w:name="b_punto_c5_p040_02" w:id="92"/>
      <w:r>
        <w:t xml:space="preserve">La fábula de los monos ilustra una regla heredada que persiste aunque cambien las condiciones que la originaron.</w:t>
      </w:r>
      <w:bookmarkEnd w:id="92"/>
    </w:p>
    <w:p>
      <w:pPr>
        <w:pStyle w:val="Heading3"/>
      </w:pPr>
      <w:bookmarkStart w:name="b_pagina_1_1_C_5_p41" w:id="93"/>
      <w:r>
        <w:t xml:space="preserve">C-5 · página 41 · Cuestionamientos sobre nuestros modelos mentales</w:t>
      </w:r>
      <w:bookmarkEnd w:id="93"/>
    </w:p>
    <w:p>
      <w:pPr>
        <w:pStyle w:val="Normal"/>
      </w:pPr>
      <w:r>
        <w:t xml:space="preserve">Examinar las creencias según su realismo, utilidad y contribución al bienestar; remodelarlas con imparcialidad.</w:t>
      </w:r>
    </w:p>
    <w:p>
      <w:pPr>
        <w:pStyle w:val="Fuente"/>
      </w:pPr>
      <w:r>
        <w:t xml:space="preserve">Proyección o explicación: Clase 4 · 01:17:41 · captura c4-09.</w:t>
      </w:r>
    </w:p>
    <w:p>
      <w:bookmarkStart w:name="b_punto_c5_p041_01" w:id="94"/>
      <w:r>
        <w:t xml:space="preserve">El propósito de los modelos es contribuir al bienestar personal, laboral y familiar.</w:t>
      </w:r>
      <w:bookmarkEnd w:id="94"/>
    </w:p>
    <w:p>
      <w:bookmarkStart w:name="b_punto_c5_p041_02" w:id="95"/>
      <w:r>
        <w:t xml:space="preserve">Un modelo realista permite actuar con eficacia en el mundo real y uno útil aporta al diario vivir.</w:t>
      </w:r>
      <w:bookmarkEnd w:id="95"/>
    </w:p>
    <w:p>
      <w:bookmarkStart w:name="b_punto_c5_p041_03" w:id="96"/>
      <w:r>
        <w:t xml:space="preserve">Revisar cuán realistas y útiles son los modelos actuales, contemplándolos como un sistema con imparcialidad.</w:t>
      </w:r>
      <w:bookmarkEnd w:id="96"/>
    </w:p>
    <w:p>
      <w:bookmarkStart w:name="b_punto_c5_p041_04" w:id="97"/>
      <w:r>
        <w:t xml:space="preserve">Elegir los modelos que se adoptarán y desprenderse de los que obstaculizan el crecimiento, pese al arraigo.</w:t>
      </w:r>
      <w:bookmarkEnd w:id="97"/>
    </w:p>
    <w:p>
      <w:pPr>
        <w:pStyle w:val="Heading3"/>
      </w:pPr>
      <w:bookmarkStart w:name="b_pagina_1_1_C_5_p52" w:id="98"/>
      <w:r>
        <w:t xml:space="preserve">C-5 · página 52 · Los modelos mentales como sistema</w:t>
      </w:r>
      <w:bookmarkEnd w:id="98"/>
    </w:p>
    <w:p>
      <w:pPr>
        <w:pStyle w:val="Normal"/>
      </w:pPr>
      <w:r>
        <w:t xml:space="preserve">Subsistemas de creencias asociados a distintas parcelas de la realidad se refuerzan al seleccionar la información.</w:t>
      </w:r>
    </w:p>
    <w:p>
      <w:pPr>
        <w:pStyle w:val="Fuente"/>
      </w:pPr>
      <w:r>
        <w:t xml:space="preserve">Proyección o explicación: Clase 5 · 00:51:04 · captura c5-09.</w:t>
      </w:r>
    </w:p>
    <w:p>
      <w:bookmarkStart w:name="b_punto_c5_p052_01" w:id="99"/>
      <w:r>
        <w:t xml:space="preserve">El sistema abstracto mental se compone de múltiples modelos o subsistemas de creencias.</w:t>
      </w:r>
      <w:bookmarkEnd w:id="99"/>
    </w:p>
    <w:p>
      <w:bookmarkStart w:name="b_punto_c5_p052_02" w:id="100"/>
      <w:r>
        <w:t xml:space="preserve">Cada subsistema se refiere a un contexto: familia, trabajo, mujeres, hombres, comida, ciudad, tráfico, vida, eficiencia o tecnología.</w:t>
      </w:r>
      <w:bookmarkEnd w:id="100"/>
    </w:p>
    <w:p>
      <w:bookmarkStart w:name="b_punto_c5_p052_03" w:id="101"/>
      <w:r>
        <w:t xml:space="preserve">Las creencias seleccionan y eliminan datos, y estos vuelven a confirmar el modelo mediante construcción o distorsión.</w:t>
      </w:r>
      <w:bookmarkEnd w:id="101"/>
    </w:p>
    <w:p>
      <w:pPr>
        <w:pStyle w:val="Fuente"/>
      </w:pPr>
      <w:r>
        <w:t xml:space="preserve">Véase </w:t>
      </w:r>
      <w:hyperlink w:history="1" w:anchor="b_1_4">
        <w:r>
          <w:rPr>
            <w:color w:val="156B70"/>
            <w:u w:val="single"/>
          </w:rPr>
          <w:t xml:space="preserve">capítulo 1.4 · Sistémico vs no sistémico</w:t>
        </w:r>
      </w:hyperlink>
      <w:r>
        <w:t xml:space="preserve">, pág. </w:t>
      </w:r>
      <w:r>
        <w:fldChar w:fldCharType="begin"/>
        <w:instrText xml:space="preserve">PAGEREF b_1_4 \h</w:instrText>
        <w:fldChar w:fldCharType="separate"/>
        <w:t xml:space="preserve">104</w:t>
        <w:fldChar w:fldCharType="end"/>
      </w:r>
      <w:r>
        <w:t xml:space="preserve">.</w:t>
      </w:r>
    </w:p>
    <w:p>
      <w:pPr>
        <w:pStyle w:val="Fuente"/>
      </w:pPr>
      <w:r>
        <w:t xml:space="preserve">Véase </w:t>
      </w:r>
      <w:hyperlink w:history="1" w:anchor="b_1_5">
        <w:r>
          <w:rPr>
            <w:color w:val="156B70"/>
            <w:u w:val="single"/>
          </w:rPr>
          <w:t xml:space="preserve">capítulo 1.5 · Perspectivas</w:t>
        </w:r>
      </w:hyperlink>
      <w:r>
        <w:t xml:space="preserve">, pág. </w:t>
      </w:r>
      <w:r>
        <w:fldChar w:fldCharType="begin"/>
        <w:instrText xml:space="preserve">PAGEREF b_1_5 \h</w:instrText>
        <w:fldChar w:fldCharType="separate"/>
        <w:t xml:space="preserve">125</w:t>
        <w:fldChar w:fldCharType="end"/>
      </w:r>
      <w:r>
        <w:t xml:space="preserve">.</w:t>
      </w:r>
    </w:p>
    <w:p>
      <w:pPr>
        <w:pStyle w:val="Heading3"/>
      </w:pPr>
      <w:bookmarkStart w:name="b_pagina_1_1_C_5_p53" w:id="102"/>
      <w:r>
        <w:t xml:space="preserve">C-5 · página 53 · Síntesis sobre sistemas abstractos y creencias</w:t>
      </w:r>
      <w:bookmarkEnd w:id="102"/>
    </w:p>
    <w:p>
      <w:pPr>
        <w:pStyle w:val="Normal"/>
      </w:pPr>
      <w:r>
        <w:t xml:space="preserve">Repasa la perspectiva sistémica, las cuatro operaciones mentales, la inducción, la flexibilidad y el efecto paradigma.</w:t>
      </w:r>
    </w:p>
    <w:p>
      <w:pPr>
        <w:pStyle w:val="Fuente"/>
      </w:pPr>
      <w:r>
        <w:t xml:space="preserve">Proyección o explicación: Clase 5 · 00:58:29 · captura c5-10.</w:t>
      </w:r>
    </w:p>
    <w:p>
      <w:bookmarkStart w:name="b_punto_c5_p053_03" w:id="103"/>
      <w:r>
        <w:t xml:space="preserve">La transferencia o inducción transmite modelos al imitar hábitos de otros.</w:t>
      </w:r>
      <w:bookmarkEnd w:id="103"/>
    </w:p>
    <w:p>
      <w:bookmarkStart w:name="b_punto_c5_p053_04" w:id="104"/>
      <w:r>
        <w:t xml:space="preserve">Los paradigmas son comunes y útiles mientras son vigentes; aferrarse a ellos cuando el contexto cambia produce resistencia al cambio.</w:t>
      </w:r>
      <w:bookmarkEnd w:id="104"/>
    </w:p>
    <w:p>
      <w:bookmarkStart w:name="b_punto_c5_p053_05" w:id="105"/>
      <w:r>
        <w:t xml:space="preserve">Se pueden elegir conscientemente sistemas de creencias al reconocer los adquiridos de modo inconsciente.</w:t>
      </w:r>
      <w:bookmarkEnd w:id="105"/>
    </w:p>
    <w:p>
      <w:bookmarkStart w:name="b_punto_c5_p053_06" w:id="106"/>
      <w:r>
        <w:t xml:space="preserve">El efecto paradigma dificulta percibir las interpretaciones de otros sistemas de creencias.</w:t>
      </w:r>
      <w:bookmarkEnd w:id="106"/>
    </w:p>
    <w:p>
      <w:bookmarkStart w:name="b_punto_c5_p053_07" w:id="107"/>
      <w:r>
        <w:t xml:space="preserve">La flexibilidad permite adaptar los paradigmas cuando sea necesario.</w:t>
      </w:r>
      <w:bookmarkEnd w:id="107"/>
    </w:p>
    <w:p>
      <w:pPr>
        <w:pStyle w:val="Fuente"/>
      </w:pPr>
      <w:r>
        <w:t xml:space="preserve">Véase </w:t>
      </w:r>
      <w:hyperlink w:history="1" w:anchor="b_1_3">
        <w:r>
          <w:rPr>
            <w:color w:val="156B70"/>
            <w:u w:val="single"/>
          </w:rPr>
          <w:t xml:space="preserve">capítulo 1.3 · El paradigma de sistemas</w:t>
        </w:r>
      </w:hyperlink>
      <w:r>
        <w:t xml:space="preserve">, pág. </w:t>
      </w:r>
      <w:r>
        <w:fldChar w:fldCharType="begin"/>
        <w:instrText xml:space="preserve">PAGEREF b_1_3 \h</w:instrText>
        <w:fldChar w:fldCharType="separate"/>
        <w:t xml:space="preserve">83</w:t>
        <w:fldChar w:fldCharType="end"/>
      </w:r>
      <w:r>
        <w:t xml:space="preserve">.</w:t>
      </w:r>
    </w:p>
    <w:p>
      <w:pPr>
        <w:pStyle w:val="Fuente"/>
      </w:pPr>
      <w:r>
        <w:t xml:space="preserve">Véase </w:t>
      </w:r>
      <w:hyperlink w:history="1" w:anchor="b_1_2">
        <w:r>
          <w:rPr>
            <w:color w:val="156B70"/>
            <w:u w:val="single"/>
          </w:rPr>
          <w:t xml:space="preserve">capítulo 1.2 · Escalera de inferencias</w:t>
        </w:r>
      </w:hyperlink>
      <w:r>
        <w:t xml:space="preserve">, pág. </w:t>
      </w:r>
      <w:r>
        <w:fldChar w:fldCharType="begin"/>
        <w:instrText xml:space="preserve">PAGEREF b_1_2 \h</w:instrText>
        <w:fldChar w:fldCharType="separate"/>
        <w:t xml:space="preserve">55</w:t>
        <w:fldChar w:fldCharType="end"/>
      </w:r>
      <w:r>
        <w:t xml:space="preserve">.</w:t>
      </w:r>
    </w:p>
    <w:p>
      <w:pPr>
        <w:pStyle w:val="Heading3"/>
      </w:pPr>
      <w:bookmarkStart w:name="b_pagina_1_1_C_5_p59" w:id="108"/>
      <w:r>
        <w:t xml:space="preserve">C-5 · página 59 · Tipos y entradas de modelos mentales</w:t>
      </w:r>
      <w:bookmarkEnd w:id="108"/>
    </w:p>
    <w:p>
      <w:pPr>
        <w:pStyle w:val="Normal"/>
      </w:pPr>
      <w:r>
        <w:t xml:space="preserve">Aprendizaje, intereses, valores, ambiente, sociedad y otros modelos confluyen en un modelo que produce conducta.</w:t>
      </w:r>
    </w:p>
    <w:p>
      <w:pPr>
        <w:pStyle w:val="Fuente"/>
      </w:pPr>
      <w:r>
        <w:t xml:space="preserve">Proyección o explicación: Clase 5 · 01:29:56 · captura c5-16.</w:t>
      </w:r>
    </w:p>
    <w:p>
      <w:pPr>
        <w:pStyle w:val="Fuente"/>
      </w:pPr>
      <w:r>
        <w:t xml:space="preserve">Véase </w:t>
      </w:r>
      <w:hyperlink w:history="1" w:anchor="b_figura_original_pagina_C_5_59">
        <w:r>
          <w:rPr>
            <w:color w:val="156B70"/>
            <w:u w:val="single"/>
          </w:rPr>
          <w:t xml:space="preserve">imagen de C-5, página 59</w:t>
        </w:r>
      </w:hyperlink>
      <w:r>
        <w:t xml:space="preserve">, pág. </w:t>
      </w:r>
      <w:r>
        <w:fldChar w:fldCharType="begin"/>
        <w:instrText xml:space="preserve">PAGEREF b_figura_original_pagina_C_5_59 \h</w:instrText>
        <w:fldChar w:fldCharType="separate"/>
        <w:t xml:space="preserve">110</w:t>
        <w:fldChar w:fldCharType="end"/>
      </w:r>
      <w:r>
        <w:t xml:space="preserve">.</w:t>
      </w:r>
    </w:p>
    <w:p>
      <w:bookmarkStart w:name="b_punto_c5_p059_02" w:id="109"/>
      <w:r>
        <w:t xml:space="preserve">Las seis entradas del esquema son aprendizaje, intereses, valores, ambiente, aspectos sociales y culturales y otros modelos.</w:t>
      </w:r>
      <w:bookmarkEnd w:id="109"/>
    </w:p>
    <w:p>
      <w:bookmarkStart w:name="b_punto_c5_p059_03" w:id="110"/>
      <w:r>
        <w:t xml:space="preserve">El modelo mental organiza sus entradas y de él emerge la conducta que muestra la flecha de salida.</w:t>
      </w:r>
      <w:bookmarkEnd w:id="110"/>
    </w:p>
    <w:p>
      <w:pPr>
        <w:pStyle w:val="Fuente"/>
      </w:pPr>
      <w:r>
        <w:t xml:space="preserve">Véase </w:t>
      </w:r>
      <w:hyperlink w:history="1" w:anchor="b_1_4">
        <w:r>
          <w:rPr>
            <w:color w:val="156B70"/>
            <w:u w:val="single"/>
          </w:rPr>
          <w:t xml:space="preserve">capítulo 1.4 · Sistémico vs no sistémico</w:t>
        </w:r>
      </w:hyperlink>
      <w:r>
        <w:t xml:space="preserve">, pág. </w:t>
      </w:r>
      <w:r>
        <w:fldChar w:fldCharType="begin"/>
        <w:instrText xml:space="preserve">PAGEREF b_1_4 \h</w:instrText>
        <w:fldChar w:fldCharType="separate"/>
        <w:t xml:space="preserve">104</w:t>
        <w:fldChar w:fldCharType="end"/>
      </w:r>
      <w:r>
        <w:t xml:space="preserve">.</w:t>
      </w:r>
    </w:p>
    <w:p>
      <w:pPr>
        <w:pStyle w:val="Heading3"/>
      </w:pPr>
      <w:bookmarkStart w:name="b_pagina_1_1_C_5_p62" w:id="111"/>
      <w:r>
        <w:t xml:space="preserve">C-5 · página 62 · Vivir sin sistemas de creencias</w:t>
      </w:r>
      <w:bookmarkEnd w:id="111"/>
    </w:p>
    <w:p>
      <w:pPr>
        <w:pStyle w:val="Normal"/>
      </w:pPr>
      <w:r>
        <w:t xml:space="preserve">Fotograma del video de Emilio Carrillo, retomado y discutido en la clase 6.</w:t>
      </w:r>
    </w:p>
    <w:p>
      <w:pPr>
        <w:pStyle w:val="Fuente"/>
      </w:pPr>
      <w:r>
        <w:t xml:space="preserve">Proyección o explicación: Clase 6 · 00:11:01 · captura c6-04.</w:t>
      </w:r>
    </w:p>
    <w:p>
      <w:bookmarkStart w:name="b_punto_c5_p062_01" w:id="112"/>
      <w:r>
        <w:t xml:space="preserve">La página identifica el video de Emilio Carrillo sobre vivir sin sistemas de creencias, con el distintivo de Mindalia.</w:t>
      </w:r>
      <w:bookmarkEnd w:id="112"/>
    </w:p>
    <w:p>
      <w:pPr>
        <w:pStyle w:val="Heading3"/>
      </w:pPr>
      <w:bookmarkStart w:name="b_pagina_1_1_C_6_p2" w:id="113"/>
      <w:r>
        <w:t xml:space="preserve">C-6 · página 2 · Unidades 1 y 2 del curso</w:t>
      </w:r>
      <w:bookmarkEnd w:id="113"/>
    </w:p>
    <w:p>
      <w:pPr>
        <w:pStyle w:val="Normal"/>
      </w:pPr>
      <w:r>
        <w:t xml:space="preserve">Índice programático y planificación histórica del primer parcial.</w:t>
      </w:r>
    </w:p>
    <w:p>
      <w:pPr>
        <w:pStyle w:val="Fuente"/>
      </w:pPr>
      <w:r>
        <w:t xml:space="preserve">Proyección o explicación: Clase 6 · 00:02:05 · captura c6-01.</w:t>
      </w:r>
    </w:p>
    <w:p>
      <w:bookmarkStart w:name="b_punto_c6_p002_01" w:id="114"/>
      <w:r>
        <w:t xml:space="preserve">Los ocho temas de U1 van desde paradigmas hasta hábitos de los modelos mentales.</w:t>
      </w:r>
      <w:bookmarkEnd w:id="114"/>
    </w:p>
    <w:p>
      <w:pPr>
        <w:pStyle w:val="Fuente"/>
      </w:pPr>
      <w:r>
        <w:t xml:space="preserve">Véase </w:t>
      </w:r>
      <w:hyperlink w:history="1" w:anchor="b_2_1">
        <w:r>
          <w:rPr>
            <w:color w:val="156B70"/>
            <w:u w:val="single"/>
          </w:rPr>
          <w:t xml:space="preserve">capítulo 2.1 · Visión general</w:t>
        </w:r>
      </w:hyperlink>
      <w:r>
        <w:t xml:space="preserve">, pág. </w:t>
      </w:r>
      <w:r>
        <w:fldChar w:fldCharType="begin"/>
        <w:instrText xml:space="preserve">PAGEREF b_2_1 \h</w:instrText>
        <w:fldChar w:fldCharType="separate"/>
        <w:t xml:space="preserve">222</w:t>
        <w:fldChar w:fldCharType="end"/>
      </w:r>
      <w:r>
        <w:t xml:space="preserve">.</w:t>
      </w:r>
    </w:p>
    <w:p>
      <w:pPr>
        <w:pStyle w:val="Heading3"/>
      </w:pPr>
      <w:bookmarkStart w:name="b_pagina_1_1_C_6_p10" w:id="115"/>
      <w:r>
        <w:t xml:space="preserve">C-6 · página 10 · Modelos mentales y mundo real</w:t>
      </w:r>
      <w:bookmarkEnd w:id="115"/>
    </w:p>
    <w:p>
      <w:pPr>
        <w:pStyle w:val="Normal"/>
      </w:pPr>
      <w:r>
        <w:t xml:space="preserve">Bucle de acción y retroalimentación que adapta los modelos.</w:t>
      </w:r>
    </w:p>
    <w:p>
      <w:pPr>
        <w:pStyle w:val="Fuente"/>
      </w:pPr>
      <w:r>
        <w:t xml:space="preserve">Proyección o explicación: Clase 6 · 01:22:09 · captura c6-11.</w:t>
      </w:r>
    </w:p>
    <w:p>
      <w:bookmarkStart w:name="b_punto_c6_p010_01" w:id="116"/>
      <w:r>
        <w:t xml:space="preserve">Los modelos acercan a comprender la realidad y la realidad retroalimenta para adaptarlos.</w:t>
      </w:r>
      <w:bookmarkEnd w:id="116"/>
    </w:p>
    <w:p>
      <w:bookmarkStart w:name="b_punto_c6_p010_02" w:id="117"/>
      <w:r>
        <w:t xml:space="preserve">El modelo describe, resume y predice, y orienta un comportamiento en el mundo real.</w:t>
      </w:r>
      <w:bookmarkEnd w:id="117"/>
    </w:p>
    <w:p>
      <w:bookmarkStart w:name="b_punto_c6_p010_03" w:id="118"/>
      <w:r>
        <w:t xml:space="preserve">Las consecuencias del mundo real vuelven como información que confirma o corrige el modelo.</w:t>
      </w:r>
      <w:bookmarkEnd w:id="118"/>
    </w:p>
    <w:p>
      <w:pPr>
        <w:pStyle w:val="Heading3"/>
      </w:pPr>
      <w:bookmarkStart w:name="b_pagina_1_1_C_8_p30" w:id="119"/>
      <w:r>
        <w:t xml:space="preserve">C-8 · página 30 · Meadows: objetivos y paradigmas</w:t>
      </w:r>
      <w:bookmarkEnd w:id="119"/>
    </w:p>
    <w:p>
      <w:pPr>
        <w:pStyle w:val="Normal"/>
      </w:pPr>
      <w:r>
        <w:t xml:space="preserve">Metas, mentalidad compartida y capacidad de trascender marcos orientan las intervenciones más profundas.</w:t>
      </w:r>
    </w:p>
    <w:p>
      <w:pPr>
        <w:pStyle w:val="Fuente"/>
      </w:pPr>
      <w:r>
        <w:t xml:space="preserve">Proyección o explicación: Clase 23 · 00:54:21 · captura c23-11.</w:t>
      </w:r>
    </w:p>
    <w:p>
      <w:bookmarkStart w:name="b_punto_c8_p030_03" w:id="120"/>
      <w:r>
        <w:t xml:space="preserve">Un paradigma puede revisarse al reconocer anomalías con persistencia y mente abierta; no se afirma que cambiarlo sea fácil.</w:t>
      </w:r>
      <w:bookmarkEnd w:id="120"/>
    </w:p>
    <w:p>
      <w:pPr>
        <w:pStyle w:val="Fuente"/>
      </w:pPr>
      <w:r>
        <w:t xml:space="preserve">Véase </w:t>
      </w:r>
      <w:hyperlink w:history="1" w:anchor="b_4_6">
        <w:r>
          <w:rPr>
            <w:color w:val="156B70"/>
            <w:u w:val="single"/>
          </w:rPr>
          <w:t xml:space="preserve">capítulo 4.6 · Toma de decisiones</w:t>
        </w:r>
      </w:hyperlink>
      <w:r>
        <w:t xml:space="preserve">, pág. </w:t>
      </w:r>
      <w:r>
        <w:fldChar w:fldCharType="begin"/>
        <w:instrText xml:space="preserve">PAGEREF b_4_6 \h</w:instrText>
        <w:fldChar w:fldCharType="separate"/>
        <w:t xml:space="preserve">884</w:t>
        <w:fldChar w:fldCharType="end"/>
      </w:r>
      <w:r>
        <w:t xml:space="preserve">.</w:t>
      </w:r>
    </w:p>
    <w:p>
      <w:pPr>
        <w:pStyle w:val="Heading3"/>
      </w:pPr>
      <w:r>
        <w:t xml:space="preserve">Lo que explicó el profesor en clase</w:t>
      </w:r>
    </w:p>
    <w:p>
      <w:pPr>
        <w:pStyle w:val="Heading3"/>
      </w:pPr>
      <w:bookmarkStart w:name="b_clase_1_1_c1_cap_02" w:id="121"/>
      <w:r>
        <w:t xml:space="preserve">Clase 1 · 00:07:59–00:14:01 · De qué trata la teoría de sistemas</w:t>
      </w:r>
      <w:bookmarkEnd w:id="121"/>
    </w:p>
    <w:p>
      <w:bookmarkStart w:name="b_punto_c1_cap_02_p03" w:id="122"/>
      <w:r>
        <w:t xml:space="preserve">Los modelos mentales representan la realidad y ayudan a resolver problemas, aprender y comprender la complejidad.</w:t>
      </w:r>
      <w:bookmarkEnd w:id="122"/>
    </w:p>
    <w:p>
      <w:bookmarkStart w:name="b_punto_c1_cap_02_p04" w:id="123"/>
      <w:r>
        <w:t xml:space="preserve">El análisis, la modelación y la simulación se introducen como aplicaciones; el curso no desarrolla en profundidad todo el campo de simulación.</w:t>
      </w:r>
      <w:bookmarkEnd w:id="123"/>
    </w:p>
    <w:p>
      <w:bookmarkStart w:name="b_punto_c1_cap_02_p05" w:id="124"/>
      <w:r>
        <w:t xml:space="preserve">La informática y la inteligencia artificial son ejemplos del contexto tecnológico; el objeto del curso es cómo comprender la realidad compleja a nivel mental y en sistemas de actividad humana.</w:t>
      </w:r>
      <w:bookmarkEnd w:id="124"/>
    </w:p>
    <w:p>
      <w:pPr>
        <w:pStyle w:val="Fuente"/>
      </w:pPr>
      <w:r>
        <w:t xml:space="preserve">Véase </w:t>
      </w:r>
      <w:hyperlink w:history="1" w:anchor="b_2_1">
        <w:r>
          <w:rPr>
            <w:color w:val="156B70"/>
            <w:u w:val="single"/>
          </w:rPr>
          <w:t xml:space="preserve">capítulo 2.1 · Visión general</w:t>
        </w:r>
      </w:hyperlink>
      <w:r>
        <w:t xml:space="preserve">, pág. </w:t>
      </w:r>
      <w:r>
        <w:fldChar w:fldCharType="begin"/>
        <w:instrText xml:space="preserve">PAGEREF b_2_1 \h</w:instrText>
        <w:fldChar w:fldCharType="separate"/>
        <w:t xml:space="preserve">222</w:t>
        <w:fldChar w:fldCharType="end"/>
      </w:r>
      <w:r>
        <w:t xml:space="preserve">.</w:t>
      </w:r>
    </w:p>
    <w:p>
      <w:pPr>
        <w:pStyle w:val="Fuente"/>
      </w:pPr>
      <w:r>
        <w:t xml:space="preserve">Véase </w:t>
      </w:r>
      <w:hyperlink w:history="1" w:anchor="b_1_4">
        <w:r>
          <w:rPr>
            <w:color w:val="156B70"/>
            <w:u w:val="single"/>
          </w:rPr>
          <w:t xml:space="preserve">capítulo 1.4 · Sistémico vs no sistémico</w:t>
        </w:r>
      </w:hyperlink>
      <w:r>
        <w:t xml:space="preserve">, pág. </w:t>
      </w:r>
      <w:r>
        <w:fldChar w:fldCharType="begin"/>
        <w:instrText xml:space="preserve">PAGEREF b_1_4 \h</w:instrText>
        <w:fldChar w:fldCharType="separate"/>
        <w:t xml:space="preserve">104</w:t>
        <w:fldChar w:fldCharType="end"/>
      </w:r>
      <w:r>
        <w:t xml:space="preserve">.</w:t>
      </w:r>
    </w:p>
    <w:p>
      <w:pPr>
        <w:pStyle w:val="Heading3"/>
      </w:pPr>
      <w:bookmarkStart w:name="b_clase_1_1_c1_cap_03" w:id="125"/>
      <w:r>
        <w:t xml:space="preserve">Clase 1 · 00:14:03–00:25:56 · Las cuatro unidades y el hilo del curso</w:t>
      </w:r>
      <w:bookmarkEnd w:id="125"/>
    </w:p>
    <w:p>
      <w:bookmarkStart w:name="b_punto_c1_cap_03_p01" w:id="126"/>
      <w:r>
        <w:t xml:space="preserve">Los proyectos, las comunicaciones y las redes sociales sirven para ilustrar contextos con muchas variables y relaciones.</w:t>
      </w:r>
      <w:bookmarkEnd w:id="126"/>
    </w:p>
    <w:p>
      <w:bookmarkStart w:name="b_punto_c1_cap_03_p03" w:id="127"/>
      <w:r>
        <w:t xml:space="preserve">Los modelos mentales se llaman sistemas abstractos diseñados: sus elementos son abstractos y sirven para comprender y actuar.</w:t>
      </w:r>
      <w:bookmarkEnd w:id="127"/>
    </w:p>
    <w:p>
      <w:bookmarkStart w:name="b_punto_c1_cap_03_p05" w:id="128"/>
      <w:r>
        <w:t xml:space="preserve">La Unidad 2 introduce conceptos y dinámicas de la TGS, que se ampliarán gradualmente con ejemplos de las unidades siguientes.</w:t>
      </w:r>
      <w:bookmarkEnd w:id="128"/>
    </w:p>
    <w:p>
      <w:bookmarkStart w:name="b_punto_c1_cap_03_p07" w:id="129"/>
      <w:r>
        <w:t xml:space="preserve">La ruta de modelación pasa por DSRP, mapas sistémicos, diagramas causales y diagramas de flujos y niveles.</w:t>
      </w:r>
      <w:bookmarkEnd w:id="129"/>
    </w:p>
    <w:p>
      <w:pPr>
        <w:pStyle w:val="Fuente"/>
      </w:pPr>
      <w:r>
        <w:t xml:space="preserve">Véase </w:t>
      </w:r>
      <w:hyperlink w:history="1" w:anchor="b_1_3">
        <w:r>
          <w:rPr>
            <w:color w:val="156B70"/>
            <w:u w:val="single"/>
          </w:rPr>
          <w:t xml:space="preserve">capítulo 1.3 · El paradigma de sistemas</w:t>
        </w:r>
      </w:hyperlink>
      <w:r>
        <w:t xml:space="preserve">, pág. </w:t>
      </w:r>
      <w:r>
        <w:fldChar w:fldCharType="begin"/>
        <w:instrText xml:space="preserve">PAGEREF b_1_3 \h</w:instrText>
        <w:fldChar w:fldCharType="separate"/>
        <w:t xml:space="preserve">83</w:t>
        <w:fldChar w:fldCharType="end"/>
      </w:r>
      <w:r>
        <w:t xml:space="preserve">.</w:t>
      </w:r>
    </w:p>
    <w:p>
      <w:pPr>
        <w:pStyle w:val="Fuente"/>
      </w:pPr>
      <w:r>
        <w:t xml:space="preserve">Véase </w:t>
      </w:r>
      <w:hyperlink w:history="1" w:anchor="b_1_4">
        <w:r>
          <w:rPr>
            <w:color w:val="156B70"/>
            <w:u w:val="single"/>
          </w:rPr>
          <w:t xml:space="preserve">capítulo 1.4 · Sistémico vs no sistémico</w:t>
        </w:r>
      </w:hyperlink>
      <w:r>
        <w:t xml:space="preserve">, pág. </w:t>
      </w:r>
      <w:r>
        <w:fldChar w:fldCharType="begin"/>
        <w:instrText xml:space="preserve">PAGEREF b_1_4 \h</w:instrText>
        <w:fldChar w:fldCharType="separate"/>
        <w:t xml:space="preserve">104</w:t>
        <w:fldChar w:fldCharType="end"/>
      </w:r>
      <w:r>
        <w:t xml:space="preserve">.</w:t>
      </w:r>
    </w:p>
    <w:p>
      <w:pPr>
        <w:pStyle w:val="Fuente"/>
      </w:pPr>
      <w:r>
        <w:t xml:space="preserve">Véase </w:t>
      </w:r>
      <w:hyperlink w:history="1" w:anchor="b_3_1">
        <w:r>
          <w:rPr>
            <w:color w:val="156B70"/>
            <w:u w:val="single"/>
          </w:rPr>
          <w:t xml:space="preserve">capítulo 3.1 · Mapas sistémicos</w:t>
        </w:r>
      </w:hyperlink>
      <w:r>
        <w:t xml:space="preserve">, pág. </w:t>
      </w:r>
      <w:r>
        <w:fldChar w:fldCharType="begin"/>
        <w:instrText xml:space="preserve">PAGEREF b_3_1 \h</w:instrText>
        <w:fldChar w:fldCharType="separate"/>
        <w:t xml:space="preserve">379</w:t>
        <w:fldChar w:fldCharType="end"/>
      </w:r>
      <w:r>
        <w:t xml:space="preserve">.</w:t>
      </w:r>
    </w:p>
    <w:p>
      <w:pPr>
        <w:pStyle w:val="Fuente"/>
      </w:pPr>
      <w:r>
        <w:t xml:space="preserve">Véase </w:t>
      </w:r>
      <w:hyperlink w:history="1" w:anchor="b_4_4">
        <w:r>
          <w:rPr>
            <w:color w:val="156B70"/>
            <w:u w:val="single"/>
          </w:rPr>
          <w:t xml:space="preserve">capítulo 4.4 · Simulación con VENSIM</w:t>
        </w:r>
      </w:hyperlink>
      <w:r>
        <w:t xml:space="preserve">, pág. </w:t>
      </w:r>
      <w:r>
        <w:fldChar w:fldCharType="begin"/>
        <w:instrText xml:space="preserve">PAGEREF b_4_4 \h</w:instrText>
        <w:fldChar w:fldCharType="separate"/>
        <w:t xml:space="preserve">776</w:t>
        <w:fldChar w:fldCharType="end"/>
      </w:r>
      <w:r>
        <w:t xml:space="preserve">.</w:t>
      </w:r>
    </w:p>
    <w:p>
      <w:pPr>
        <w:pStyle w:val="Heading3"/>
      </w:pPr>
      <w:bookmarkStart w:name="b_clase_1_1_c1_cap_06" w:id="130"/>
      <w:r>
        <w:t xml:space="preserve">Clase 1 · 01:00:13–01:03:58 · Unidad 1: la ruta de los sistemas abstractos diseñados</w:t>
      </w:r>
      <w:bookmarkEnd w:id="130"/>
    </w:p>
    <w:p>
      <w:bookmarkStart w:name="b_punto_c1_cap_06_p01" w:id="131"/>
      <w:r>
        <w:t xml:space="preserve">El concepto central de la unidad es paradigma o modelo mental entendido como sistema abstracto diseñado.</w:t>
      </w:r>
      <w:bookmarkEnd w:id="131"/>
    </w:p>
    <w:p>
      <w:bookmarkStart w:name="b_punto_c1_cap_06_p02" w:id="132"/>
      <w:r>
        <w:t xml:space="preserve">La escalera de inferencias y el iceberg se usan como modelos por analogía para comprender los paradigmas y sus dinámicas.</w:t>
      </w:r>
      <w:bookmarkEnd w:id="132"/>
    </w:p>
    <w:p>
      <w:pPr>
        <w:pStyle w:val="Fuente"/>
      </w:pPr>
      <w:r>
        <w:t xml:space="preserve">Véase </w:t>
      </w:r>
      <w:hyperlink w:history="1" w:anchor="b_1_4">
        <w:r>
          <w:rPr>
            <w:color w:val="156B70"/>
            <w:u w:val="single"/>
          </w:rPr>
          <w:t xml:space="preserve">capítulo 1.4 · Sistémico vs no sistémico</w:t>
        </w:r>
      </w:hyperlink>
      <w:r>
        <w:t xml:space="preserve">, pág. </w:t>
      </w:r>
      <w:r>
        <w:fldChar w:fldCharType="begin"/>
        <w:instrText xml:space="preserve">PAGEREF b_1_4 \h</w:instrText>
        <w:fldChar w:fldCharType="separate"/>
        <w:t xml:space="preserve">104</w:t>
        <w:fldChar w:fldCharType="end"/>
      </w:r>
      <w:r>
        <w:t xml:space="preserve">.</w:t>
      </w:r>
    </w:p>
    <w:p>
      <w:pPr>
        <w:pStyle w:val="Fuente"/>
      </w:pPr>
      <w:r>
        <w:t xml:space="preserve">Véase </w:t>
      </w:r>
      <w:hyperlink w:history="1" w:anchor="b_1_8">
        <w:r>
          <w:rPr>
            <w:color w:val="156B70"/>
            <w:u w:val="single"/>
          </w:rPr>
          <w:t xml:space="preserve">capítulo 1.8 · Hábitos del pensador</w:t>
        </w:r>
      </w:hyperlink>
      <w:r>
        <w:t xml:space="preserve">, pág. </w:t>
      </w:r>
      <w:r>
        <w:fldChar w:fldCharType="begin"/>
        <w:instrText xml:space="preserve">PAGEREF b_1_8 \h</w:instrText>
        <w:fldChar w:fldCharType="separate"/>
        <w:t xml:space="preserve">194</w:t>
        <w:fldChar w:fldCharType="end"/>
      </w:r>
      <w:r>
        <w:t xml:space="preserve">.</w:t>
      </w:r>
    </w:p>
    <w:p>
      <w:pPr>
        <w:pStyle w:val="Heading3"/>
      </w:pPr>
      <w:bookmarkStart w:name="b_clase_1_1_c1_cap_07" w:id="133"/>
      <w:r>
        <w:t xml:space="preserve">Clase 1 · 01:04:01–01:10:25 · ¿Qué es un paradigma? La definición construida con la clase</w:t>
      </w:r>
      <w:bookmarkEnd w:id="133"/>
    </w:p>
    <w:p>
      <w:bookmarkStart w:name="b_punto_c1_cap_07_p01" w:id="134"/>
      <w:r>
        <w:t xml:space="preserve">Paradigma se aproxima mediante los términos modelo o patrón sobre una actividad, disciplina o realidad.</w:t>
      </w:r>
      <w:bookmarkEnd w:id="134"/>
    </w:p>
    <w:p>
      <w:bookmarkStart w:name="b_punto_c1_cap_07_p02" w:id="135"/>
      <w:r>
        <w:t xml:space="preserve">Cada persona crea representaciones mentales para comprender realidades como aprendizaje, trabajo, familia, deporte o relaciones.</w:t>
      </w:r>
      <w:bookmarkEnd w:id="135"/>
    </w:p>
    <w:p>
      <w:bookmarkStart w:name="b_punto_c1_cap_07_p03" w:id="136"/>
      <w:r>
        <w:t xml:space="preserve">La realidad representada es externa al observador; el modelo puede referirse a una máquina, otra persona, computadora o proceso empresarial.</w:t>
      </w:r>
      <w:bookmarkEnd w:id="136"/>
    </w:p>
    <w:p>
      <w:bookmarkStart w:name="b_punto_c1_cap_07_p04" w:id="137"/>
      <w:r>
        <w:t xml:space="preserve">Para fines del curso, paradigma, modelo mental, sistema abstracto diseñado y sistema de creencias son términos equivalentes.</w:t>
      </w:r>
      <w:bookmarkEnd w:id="137"/>
    </w:p>
    <w:p>
      <w:pPr>
        <w:pStyle w:val="Heading3"/>
      </w:pPr>
      <w:bookmarkStart w:name="b_clase_1_1_c1_cap_08" w:id="138"/>
      <w:r>
        <w:t xml:space="preserve">Clase 1 · 01:10:29–01:14:01 · El paradigma de sistemas como ejemplo</w:t>
      </w:r>
      <w:bookmarkEnd w:id="138"/>
    </w:p>
    <w:p>
      <w:bookmarkStart w:name="b_punto_c1_cap_08_p02" w:id="139"/>
      <w:r>
        <w:t xml:space="preserve">Computadoras, teléfonos, televisores, redes, bosques, países y continentes sirven como ejemplos de objetos simples o complejos que se pueden modelar como sistemas.</w:t>
      </w:r>
      <w:bookmarkEnd w:id="139"/>
    </w:p>
    <w:p>
      <w:pPr>
        <w:pStyle w:val="Fuente"/>
      </w:pPr>
      <w:r>
        <w:t xml:space="preserve">Véase </w:t>
      </w:r>
      <w:hyperlink w:history="1" w:anchor="b_1_3">
        <w:r>
          <w:rPr>
            <w:color w:val="156B70"/>
            <w:u w:val="single"/>
          </w:rPr>
          <w:t xml:space="preserve">capítulo 1.3 · El paradigma de sistemas</w:t>
        </w:r>
      </w:hyperlink>
      <w:r>
        <w:t xml:space="preserve">, pág. </w:t>
      </w:r>
      <w:r>
        <w:fldChar w:fldCharType="begin"/>
        <w:instrText xml:space="preserve">PAGEREF b_1_3 \h</w:instrText>
        <w:fldChar w:fldCharType="separate"/>
        <w:t xml:space="preserve">83</w:t>
        <w:fldChar w:fldCharType="end"/>
      </w:r>
      <w:r>
        <w:t xml:space="preserve">.</w:t>
      </w:r>
    </w:p>
    <w:p>
      <w:pPr>
        <w:pStyle w:val="Fuente"/>
      </w:pPr>
      <w:r>
        <w:t xml:space="preserve">Véase </w:t>
      </w:r>
      <w:hyperlink w:history="1" w:anchor="b_1_4">
        <w:r>
          <w:rPr>
            <w:color w:val="156B70"/>
            <w:u w:val="single"/>
          </w:rPr>
          <w:t xml:space="preserve">capítulo 1.4 · Sistémico vs no sistémico</w:t>
        </w:r>
      </w:hyperlink>
      <w:r>
        <w:t xml:space="preserve">, pág. </w:t>
      </w:r>
      <w:r>
        <w:fldChar w:fldCharType="begin"/>
        <w:instrText xml:space="preserve">PAGEREF b_1_4 \h</w:instrText>
        <w:fldChar w:fldCharType="separate"/>
        <w:t xml:space="preserve">104</w:t>
        <w:fldChar w:fldCharType="end"/>
      </w:r>
      <w:r>
        <w:t xml:space="preserve">.</w:t>
      </w:r>
    </w:p>
    <w:p>
      <w:pPr>
        <w:pStyle w:val="Heading3"/>
      </w:pPr>
      <w:bookmarkStart w:name="b_clase_1_1_c1_cap_09" w:id="140"/>
      <w:r>
        <w:t xml:space="preserve">Clase 1 · 01:14:04–01:28:02 · Las definiciones de paradigma: Smith, Barker y Harmon</w:t>
      </w:r>
      <w:bookmarkEnd w:id="140"/>
    </w:p>
    <w:p>
      <w:bookmarkStart w:name="b_punto_c1_cap_09_p01" w:id="141"/>
      <w:r>
        <w:t xml:space="preserve">Los paradigmas no nacen sólo en la teoría de sistemas: los seres humanos los diseñan y usan aunque no sean conscientes de ello.</w:t>
      </w:r>
      <w:bookmarkEnd w:id="141"/>
    </w:p>
    <w:p>
      <w:bookmarkStart w:name="b_punto_c1_cap_09_p02" w:id="142"/>
      <w:r>
        <w:t xml:space="preserve">Adam Smith describe un conjunto compartido de suposiciones: como el agua para el pez, orienta la percepción, explica el mundo y permite predecir su comportamiento.</w:t>
      </w:r>
      <w:bookmarkEnd w:id="142"/>
    </w:p>
    <w:p>
      <w:bookmarkStart w:name="b_punto_c1_cap_09_p03" w:id="143"/>
      <w:r>
        <w:t xml:space="preserve">Barker define reglas y disposiciones, escritas o no, que establecen límites e indican cómo comportarse dentro de ellos para tener éxito.</w:t>
      </w:r>
      <w:bookmarkEnd w:id="143"/>
    </w:p>
    <w:p>
      <w:bookmarkStart w:name="b_punto_c1_cap_09_p04" w:id="144"/>
      <w:r>
        <w:t xml:space="preserve">El fútbol ejemplifica reglas, duración, roles, acciones permitidas y sanciones que delimitan un contexto y la actuación adecuada.</w:t>
      </w:r>
      <w:bookmarkEnd w:id="144"/>
    </w:p>
    <w:p>
      <w:bookmarkStart w:name="b_punto_c1_cap_09_p05" w:id="145"/>
      <w:r>
        <w:t xml:space="preserve">Un puesto empresarial exige comprender su rol, otros roles y las contribuciones esperadas; esas reglas conforman la representación de cómo actuar con éxito.</w:t>
      </w:r>
      <w:bookmarkEnd w:id="145"/>
    </w:p>
    <w:p>
      <w:bookmarkStart w:name="b_punto_c1_cap_09_p06" w:id="146"/>
      <w:r>
        <w:t xml:space="preserve">Willis Harman define el paradigma como forma básica de percibir, pensar, valorar y actuar según una visión de la realidad.</w:t>
      </w:r>
      <w:bookmarkEnd w:id="146"/>
    </w:p>
    <w:p>
      <w:bookmarkStart w:name="b_punto_c1_cap_09_p07" w:id="147"/>
      <w:r>
        <w:t xml:space="preserve">El recuadro sin firma presenta el modelo conceptual desde el cual se identifica, describe, analiza y explica la realidad para decidir.</w:t>
      </w:r>
      <w:bookmarkEnd w:id="147"/>
    </w:p>
    <w:p>
      <w:bookmarkStart w:name="b_punto_c1_cap_09_p08" w:id="148"/>
      <w:r>
        <w:t xml:space="preserve">Los paradigmas pueden facilitar o limitar innovaciones; también los científicos parten de supuestos al experimentar y tender a buscar lo que esperan.</w:t>
      </w:r>
      <w:bookmarkEnd w:id="148"/>
    </w:p>
    <w:p>
      <w:pPr>
        <w:pStyle w:val="Heading3"/>
      </w:pPr>
      <w:bookmarkStart w:name="b_clase_1_1_c1_cap_10" w:id="149"/>
      <w:r>
        <w:t xml:space="preserve">Clase 1 · 01:28:06–01:35:22 · Sobre el pensamiento y la tarea para la próxima sesión</w:t>
      </w:r>
      <w:bookmarkEnd w:id="149"/>
    </w:p>
    <w:p>
      <w:bookmarkStart w:name="b_punto_c1_cap_10_p02" w:id="150"/>
      <w:r>
        <w:t xml:space="preserve">Pensar consiste en procesos abstractos, voluntarios o involuntarios, para desarrollar ideas sobre la realidad, los demás o uno mismo.</w:t>
      </w:r>
      <w:bookmarkEnd w:id="150"/>
    </w:p>
    <w:p>
      <w:bookmarkStart w:name="b_punto_c1_cap_10_p03" w:id="151"/>
      <w:r>
        <w:t xml:space="preserve">Al pensar se construyen paradigmas y después se reutilizan para pensar con más rapidez y eficiencia.</w:t>
      </w:r>
      <w:bookmarkEnd w:id="151"/>
    </w:p>
    <w:p>
      <w:pPr>
        <w:pStyle w:val="Fuente"/>
      </w:pPr>
      <w:r>
        <w:t xml:space="preserve">Véase </w:t>
      </w:r>
      <w:hyperlink w:history="1" w:anchor="b_senales_examen">
        <w:r>
          <w:rPr>
            <w:color w:val="156B70"/>
            <w:u w:val="single"/>
          </w:rPr>
          <w:t xml:space="preserve">1 indicación(es) de examen de este tramo, en el apéndice cronológico</w:t>
        </w:r>
      </w:hyperlink>
      <w:r>
        <w:t xml:space="preserve">, pág. </w:t>
      </w:r>
      <w:r>
        <w:fldChar w:fldCharType="begin"/>
        <w:instrText xml:space="preserve">PAGEREF b_senales_examen \h</w:instrText>
        <w:fldChar w:fldCharType="separate"/>
        <w:t xml:space="preserve">1663</w:t>
        <w:fldChar w:fldCharType="end"/>
      </w:r>
      <w:r>
        <w:t xml:space="preserve">.</w:t>
      </w:r>
    </w:p>
    <w:p>
      <w:pPr>
        <w:pStyle w:val="Fuente"/>
      </w:pPr>
      <w:r>
        <w:t xml:space="preserve">Véase </w:t>
      </w:r>
      <w:hyperlink w:history="1" w:anchor="b_1_4">
        <w:r>
          <w:rPr>
            <w:color w:val="156B70"/>
            <w:u w:val="single"/>
          </w:rPr>
          <w:t xml:space="preserve">capítulo 1.4 · Sistémico vs no sistémico</w:t>
        </w:r>
      </w:hyperlink>
      <w:r>
        <w:t xml:space="preserve">, pág. </w:t>
      </w:r>
      <w:r>
        <w:fldChar w:fldCharType="begin"/>
        <w:instrText xml:space="preserve">PAGEREF b_1_4 \h</w:instrText>
        <w:fldChar w:fldCharType="separate"/>
        <w:t xml:space="preserve">104</w:t>
        <w:fldChar w:fldCharType="end"/>
      </w:r>
      <w:r>
        <w:t xml:space="preserve">.</w:t>
      </w:r>
    </w:p>
    <w:p>
      <w:pPr>
        <w:pStyle w:val="Heading3"/>
      </w:pPr>
      <w:bookmarkStart w:name="b_clase_1_1_c2_cap_01" w:id="152"/>
      <w:r>
        <w:t xml:space="preserve">Clase 2 · 00:04:19–00:14:02 · Apertura: repaso de los sistemas abstractos y el mapa de los tipos de pensamiento</w:t>
      </w:r>
      <w:bookmarkEnd w:id="152"/>
    </w:p>
    <w:p>
      <w:bookmarkStart w:name="b_punto_c2_cap_01_p01" w:id="153"/>
      <w:r>
        <w:t xml:space="preserve">Los sistemas abstractos son diseñados porque las personas crean y usan sus representaciones mediante el pensamiento.</w:t>
      </w:r>
      <w:bookmarkEnd w:id="153"/>
    </w:p>
    <w:p>
      <w:bookmarkStart w:name="b_punto_c2_cap_01_p03" w:id="154"/>
      <w:r>
        <w:t xml:space="preserve">El sistémico no sustituye a los demás tipos de pensamiento; a la pregunta sobre la lectura se responde catorce y el profesor confirma la respuesta.</w:t>
      </w:r>
      <w:bookmarkEnd w:id="154"/>
    </w:p>
    <w:p>
      <w:pPr>
        <w:pStyle w:val="Fuente"/>
      </w:pPr>
      <w:r>
        <w:t xml:space="preserve">Véase </w:t>
      </w:r>
      <w:hyperlink w:history="1" w:anchor="b_1_4">
        <w:r>
          <w:rPr>
            <w:color w:val="156B70"/>
            <w:u w:val="single"/>
          </w:rPr>
          <w:t xml:space="preserve">capítulo 1.4 · Sistémico vs no sistémico</w:t>
        </w:r>
      </w:hyperlink>
      <w:r>
        <w:t xml:space="preserve">, pág. </w:t>
      </w:r>
      <w:r>
        <w:fldChar w:fldCharType="begin"/>
        <w:instrText xml:space="preserve">PAGEREF b_1_4 \h</w:instrText>
        <w:fldChar w:fldCharType="separate"/>
        <w:t xml:space="preserve">104</w:t>
        <w:fldChar w:fldCharType="end"/>
      </w:r>
      <w:r>
        <w:t xml:space="preserve">.</w:t>
      </w:r>
    </w:p>
    <w:p>
      <w:pPr>
        <w:pStyle w:val="Heading3"/>
      </w:pPr>
      <w:bookmarkStart w:name="b_clase_1_1_c2_cap_03" w:id="155"/>
      <w:r>
        <w:t xml:space="preserve">Clase 2 · 00:21:41–00:33:59 · Repaso de Joel Barker: los paradigmas son comunes y son útiles</w:t>
      </w:r>
      <w:bookmarkEnd w:id="155"/>
    </w:p>
    <w:p>
      <w:bookmarkStart w:name="b_punto_c2_cap_03_p01" w:id="156"/>
      <w:r>
        <w:t xml:space="preserve">Los ejemplos empresariales de Barker sirven para pensar metacognitivamente sobre lo que se hace al interpretar una situación.</w:t>
      </w:r>
      <w:bookmarkEnd w:id="156"/>
    </w:p>
    <w:p>
      <w:bookmarkStart w:name="b_punto_c2_cap_03_p02" w:id="157"/>
      <w:r>
        <w:t xml:space="preserve">Los paradigmas son comunes a cualquier persona desde el uso del lenguaje; se diseñan o se reciben del entorno por inducción y transmisión de experiencias.</w:t>
      </w:r>
      <w:bookmarkEnd w:id="157"/>
    </w:p>
    <w:p>
      <w:bookmarkStart w:name="b_punto_c2_cap_03_p03" w:id="158"/>
      <w:r>
        <w:t xml:space="preserve">Cortesía, procesos legales, construcción de paredes y programación ejemplifican modelos mentales que se concretan en acciones y hábitos.</w:t>
      </w:r>
      <w:bookmarkEnd w:id="158"/>
    </w:p>
    <w:p>
      <w:bookmarkStart w:name="b_punto_c2_cap_03_p04" w:id="159"/>
      <w:r>
        <w:t xml:space="preserve">La utilidad consiste en no repetir cada día el razonamiento sobre lo que ya se aprendió, mientras los supuestos sean pertinentes al contexto.</w:t>
      </w:r>
      <w:bookmarkEnd w:id="159"/>
    </w:p>
    <w:p>
      <w:bookmarkStart w:name="b_punto_c2_cap_03_p05" w:id="160"/>
      <w:r>
        <w:t xml:space="preserve">Aprender un deporte exige practicar reglas e interacciones hasta familiarizarse con el rol; esa automatización permite actuar eficientemente.</w:t>
      </w:r>
      <w:bookmarkEnd w:id="160"/>
    </w:p>
    <w:p>
      <w:bookmarkStart w:name="b_punto_c2_cap_03_p06" w:id="161"/>
      <w:r>
        <w:t xml:space="preserve">La secuencia de aprendizaje pasa de no saber, a reconocer reglas, practicarlas con esfuerzo y ejecutarlas automáticamente.</w:t>
      </w:r>
      <w:bookmarkEnd w:id="161"/>
    </w:p>
    <w:p>
      <w:pPr>
        <w:pStyle w:val="Heading3"/>
      </w:pPr>
      <w:bookmarkStart w:name="b_clase_1_1_c2_cap_04" w:id="162"/>
      <w:r>
        <w:t xml:space="preserve">Clase 2 · 00:33:59–00:46:56 · Parálisis de paradigma y enfermedad de certidumbre</w:t>
      </w:r>
      <w:bookmarkEnd w:id="162"/>
    </w:p>
    <w:p>
      <w:bookmarkStart w:name="b_punto_c2_cap_04_p01" w:id="163"/>
      <w:r>
        <w:t xml:space="preserve">La parálisis paradigmática o enfermedad de certidumbre surge al aferrarse a un modelo como verdad absoluta y rechazar lo que no encaja; tener paradigmas no es en sí el problema.</w:t>
      </w:r>
      <w:bookmarkEnd w:id="163"/>
    </w:p>
    <w:p>
      <w:bookmarkStart w:name="b_punto_c2_cap_04_p02" w:id="164"/>
      <w:r>
        <w:t xml:space="preserve">Seguir reglas escritas de un deporte puede ser correcto; trasladar esa rigidez a contextos empresariales cambiantes impide otras soluciones.</w:t>
      </w:r>
      <w:bookmarkEnd w:id="164"/>
    </w:p>
    <w:p>
      <w:bookmarkStart w:name="b_punto_c2_cap_04_p03" w:id="165"/>
      <w:r>
        <w:t xml:space="preserve">Una solución automatizada puede encontrar rechazo en usuarios acostumbrados al proceso manual o anterior; la resistencia procede de sus reglas sobre la forma correcta de trabajar.</w:t>
      </w:r>
      <w:bookmarkEnd w:id="165"/>
    </w:p>
    <w:p>
      <w:bookmarkStart w:name="b_punto_c2_cap_04_p04" w:id="166"/>
      <w:r>
        <w:t xml:space="preserve">No alcanzar objetivos revela que el paradigma puede ser insuficiente; revisar hábitos y creencias ayuda a romper la parálisis.</w:t>
      </w:r>
      <w:bookmarkEnd w:id="166"/>
    </w:p>
    <w:p>
      <w:bookmarkStart w:name="b_punto_c2_cap_04_p05" w:id="167"/>
      <w:r>
        <w:t xml:space="preserve">Certidumbre es claridad sobre qué hacer, por qué y en qué orden; incertidumbre trae duda sobre lo que sucederá y puede expresarse mediante posibilidades o probabilidades.</w:t>
      </w:r>
      <w:bookmarkEnd w:id="167"/>
    </w:p>
    <w:p>
      <w:bookmarkStart w:name="b_punto_c2_cap_04_p06" w:id="168"/>
      <w:r>
        <w:t xml:space="preserve">La certeza resulta cómoda; aprender otro paradigma reabre la incertidumbre, como ocurrió al adquirir los modelos que ahora se usan automáticamente.</w:t>
      </w:r>
      <w:bookmarkEnd w:id="168"/>
    </w:p>
    <w:p>
      <w:pPr>
        <w:pStyle w:val="Heading3"/>
      </w:pPr>
      <w:bookmarkStart w:name="b_clase_1_1_c2_cap_05" w:id="169"/>
      <w:r>
        <w:t xml:space="preserve">Clase 2 · 00:46:56–01:00:15 · El efecto paradigma: lo veré cuando lo crea</w:t>
      </w:r>
      <w:bookmarkEnd w:id="169"/>
    </w:p>
    <w:p>
      <w:bookmarkStart w:name="b_punto_c2_cap_05_p01" w:id="170"/>
      <w:r>
        <w:t xml:space="preserve">El efecto paradigma es el filtro de supuestos y creencias que determina qué se percibe e interpreta desde una perspectiva.</w:t>
      </w:r>
      <w:bookmarkEnd w:id="170"/>
    </w:p>
    <w:p>
      <w:bookmarkStart w:name="b_punto_c2_cap_05_p02" w:id="171"/>
      <w:r>
        <w:t xml:space="preserve">La figura de cuatro objetos vistos por una persona y tres por otra muestra distintas perspectivas; el error es convertir la propia en verdad absoluta y descalificar la otra.</w:t>
      </w:r>
      <w:bookmarkEnd w:id="171"/>
    </w:p>
    <w:p>
      <w:bookmarkStart w:name="b_punto_c2_cap_05_p03" w:id="172"/>
      <w:r>
        <w:t xml:space="preserve">También el científico puede buscar sólo la evidencia esperada por sus hipótesis e ignorar otra; el filtro puede cerrar oportunidades de descubrimiento.</w:t>
      </w:r>
      <w:bookmarkEnd w:id="172"/>
    </w:p>
    <w:p>
      <w:bookmarkStart w:name="b_punto_c2_cap_05_p04" w:id="173"/>
      <w:r>
        <w:t xml:space="preserve">El efecto invierte el dicho común: se ve lo que se cree, de ahí la formulación «lo veré cuando lo crea».</w:t>
      </w:r>
      <w:bookmarkEnd w:id="173"/>
    </w:p>
    <w:p>
      <w:bookmarkStart w:name="b_punto_c2_cap_05_p05" w:id="174"/>
      <w:r>
        <w:t xml:space="preserve">Los innovadores encuentran oportunidades que quienes dominan el paradigma rechazan; la evolución de dispositivos de música ilustra otras formas de concebir una misma función.</w:t>
      </w:r>
      <w:bookmarkEnd w:id="174"/>
    </w:p>
    <w:p>
      <w:bookmarkStart w:name="b_punto_c2_cap_05_p06" w:id="175"/>
      <w:r>
        <w:t xml:space="preserve">La resistencia al cambio indica el funcionamiento del efecto paradigma; una fijación más fuerte puede convertirse en parálisis y dificultar nuevo aprendizaje.</w:t>
      </w:r>
      <w:bookmarkEnd w:id="175"/>
    </w:p>
    <w:p>
      <w:pPr>
        <w:pStyle w:val="Fuente"/>
      </w:pPr>
      <w:r>
        <w:t xml:space="preserve">Véase </w:t>
      </w:r>
      <w:hyperlink w:history="1" w:anchor="b_1_4">
        <w:r>
          <w:rPr>
            <w:color w:val="156B70"/>
            <w:u w:val="single"/>
          </w:rPr>
          <w:t xml:space="preserve">capítulo 1.4 · Sistémico vs no sistémico</w:t>
        </w:r>
      </w:hyperlink>
      <w:r>
        <w:t xml:space="preserve">, pág. </w:t>
      </w:r>
      <w:r>
        <w:fldChar w:fldCharType="begin"/>
        <w:instrText xml:space="preserve">PAGEREF b_1_4 \h</w:instrText>
        <w:fldChar w:fldCharType="separate"/>
        <w:t xml:space="preserve">104</w:t>
        <w:fldChar w:fldCharType="end"/>
      </w:r>
      <w:r>
        <w:t xml:space="preserve">.</w:t>
      </w:r>
    </w:p>
    <w:p>
      <w:pPr>
        <w:pStyle w:val="Heading3"/>
      </w:pPr>
      <w:bookmarkStart w:name="b_clase_1_1_c2_cap_06" w:id="176"/>
      <w:r>
        <w:t xml:space="preserve">Clase 2 · 01:00:15–01:06:55 · Siempre hay más de una respuesta correcta</w:t>
      </w:r>
      <w:bookmarkEnd w:id="176"/>
    </w:p>
    <w:p>
      <w:bookmarkStart w:name="b_punto_c2_cap_06_p01" w:id="177"/>
      <w:r>
        <w:t xml:space="preserve">Puede haber más de una respuesta correcta e incluso varios algoritmos matemáticos para la misma respuesta.</w:t>
      </w:r>
      <w:bookmarkEnd w:id="177"/>
    </w:p>
    <w:p>
      <w:bookmarkStart w:name="b_punto_c2_cap_06_p02" w:id="178"/>
      <w:r>
        <w:t xml:space="preserve">Si cambia la realidad y el modelo no, aparecen incongruencias y dejan de alcanzarse objetivos; el modelo debe ajustarse al contexto.</w:t>
      </w:r>
      <w:bookmarkEnd w:id="178"/>
    </w:p>
    <w:p>
      <w:bookmarkStart w:name="b_punto_c2_cap_06_p03" w:id="179"/>
      <w:r>
        <w:t xml:space="preserve">Empresas similares tienen culturas, creencias y prácticas diferentes; un algoritmo de automatización puede orientar, pero debe contrastarse con la organización concreta.</w:t>
      </w:r>
      <w:bookmarkEnd w:id="179"/>
    </w:p>
    <w:p>
      <w:bookmarkStart w:name="b_punto_c2_cap_06_p04" w:id="180"/>
      <w:r>
        <w:t xml:space="preserve">La respuesta considerada correcta depende de supuestos compartidos; la flexibilidad escucha otros procedimientos y pregunta qué diferencias aportan.</w:t>
      </w:r>
      <w:bookmarkEnd w:id="180"/>
    </w:p>
    <w:p>
      <w:bookmarkStart w:name="b_punto_c2_cap_06_p05" w:id="181"/>
      <w:r>
        <w:t xml:space="preserve">El objetivo es comprender el funcionamiento del pensamiento, evitando reducir toda diferencia al juicio moral de bien o mal.</w:t>
      </w:r>
      <w:bookmarkEnd w:id="181"/>
    </w:p>
    <w:p>
      <w:pPr>
        <w:pStyle w:val="Heading3"/>
      </w:pPr>
      <w:bookmarkStart w:name="b_clase_1_1_c2_cap_07" w:id="182"/>
      <w:r>
        <w:t xml:space="preserve">Clase 2 · 01:06:55–01:13:41 · Pioneros de paradigma: gente de fuera, gente valiente y la elección de cambiar</w:t>
      </w:r>
      <w:bookmarkEnd w:id="182"/>
    </w:p>
    <w:p>
      <w:bookmarkStart w:name="b_punto_c2_cap_07_p01" w:id="183"/>
      <w:r>
        <w:t xml:space="preserve">Los creadores de paradigmas suelen venir de fuera del contexto dominante mentalmente, no necesariamente de otro lugar geográfico.</w:t>
      </w:r>
      <w:bookmarkEnd w:id="183"/>
    </w:p>
    <w:p>
      <w:bookmarkStart w:name="b_punto_c2_cap_07_p02" w:id="184"/>
      <w:r>
        <w:t xml:space="preserve">Adoptar temprano una propuesta requiere valentía para afrontar incertidumbre, críticas y resistencia de quienes encontraron útiles las reglas anteriores.</w:t>
      </w:r>
      <w:bookmarkEnd w:id="184"/>
    </w:p>
    <w:p>
      <w:bookmarkStart w:name="b_punto_c2_cap_07_p03" w:id="185"/>
      <w:r>
        <w:t xml:space="preserve">Los paradigmas no son predestinación genética: se aprenden y por eso pueden elegirse, sustituirse, enriquecerse o ampliarse con nueva información.</w:t>
      </w:r>
      <w:bookmarkEnd w:id="185"/>
    </w:p>
    <w:p>
      <w:bookmarkStart w:name="b_punto_c2_cap_07_p04" w:id="186"/>
      <w:r>
        <w:t xml:space="preserve">Dialogar con otro paradigma se compara con aprender otro idioma: comprender conceptos, puntos comunes y diferencias permite una representación más amplia.</w:t>
      </w:r>
      <w:bookmarkEnd w:id="186"/>
    </w:p>
    <w:p>
      <w:pPr>
        <w:pStyle w:val="Fuente"/>
      </w:pPr>
      <w:r>
        <w:t xml:space="preserve">Véase </w:t>
      </w:r>
      <w:hyperlink w:history="1" w:anchor="b_1_5">
        <w:r>
          <w:rPr>
            <w:color w:val="156B70"/>
            <w:u w:val="single"/>
          </w:rPr>
          <w:t xml:space="preserve">capítulo 1.5 · Perspectivas</w:t>
        </w:r>
      </w:hyperlink>
      <w:r>
        <w:t xml:space="preserve">, pág. </w:t>
      </w:r>
      <w:r>
        <w:fldChar w:fldCharType="begin"/>
        <w:instrText xml:space="preserve">PAGEREF b_1_5 \h</w:instrText>
        <w:fldChar w:fldCharType="separate"/>
        <w:t xml:space="preserve">125</w:t>
        <w:fldChar w:fldCharType="end"/>
      </w:r>
      <w:r>
        <w:t xml:space="preserve">.</w:t>
      </w:r>
    </w:p>
    <w:p>
      <w:pPr>
        <w:pStyle w:val="Heading3"/>
      </w:pPr>
      <w:bookmarkStart w:name="b_clase_1_1_c2_cap_08" w:id="187"/>
      <w:r>
        <w:t xml:space="preserve">Clase 2 · 01:13:41–01:19:22 · Flexibilidad de paradigmas: la mejor estrategia para tiempos turbulentos</w:t>
      </w:r>
      <w:bookmarkEnd w:id="187"/>
    </w:p>
    <w:p>
      <w:bookmarkStart w:name="b_punto_c2_cap_08_p01" w:id="188"/>
      <w:r>
        <w:t xml:space="preserve">La flexibilidad paradigmática es una habilidad para reconocer límites de los modelos, el efecto y el peligro de parálisis, útil ante cambios e información compleja.</w:t>
      </w:r>
      <w:bookmarkEnd w:id="188"/>
    </w:p>
    <w:p>
      <w:bookmarkStart w:name="b_punto_c2_cap_08_p02" w:id="189"/>
      <w:r>
        <w:t xml:space="preserve">Preguntar qué parece imposible pero cambiaría el negocio invita a mirar en los márgenes y salir de reglas que ya funcionan como restricciones.</w:t>
      </w:r>
      <w:bookmarkEnd w:id="189"/>
    </w:p>
    <w:p>
      <w:bookmarkStart w:name="b_punto_c2_cap_08_p04" w:id="190"/>
      <w:r>
        <w:t xml:space="preserve">Se deben examinar los datos que contradicen las creencias: pueden contener errores y aun así revelar algo valioso; la evidencia puede demostrar errores de una perspectiva.</w:t>
      </w:r>
      <w:bookmarkEnd w:id="190"/>
    </w:p>
    <w:p>
      <w:pPr>
        <w:pStyle w:val="Fuente"/>
      </w:pPr>
      <w:r>
        <w:t xml:space="preserve">Véase </w:t>
      </w:r>
      <w:hyperlink w:history="1" w:anchor="b_1_2">
        <w:r>
          <w:rPr>
            <w:color w:val="156B70"/>
            <w:u w:val="single"/>
          </w:rPr>
          <w:t xml:space="preserve">capítulo 1.2 · Escalera de inferencias</w:t>
        </w:r>
      </w:hyperlink>
      <w:r>
        <w:t xml:space="preserve">, pág. </w:t>
      </w:r>
      <w:r>
        <w:fldChar w:fldCharType="begin"/>
        <w:instrText xml:space="preserve">PAGEREF b_1_2 \h</w:instrText>
        <w:fldChar w:fldCharType="separate"/>
        <w:t xml:space="preserve">55</w:t>
        <w:fldChar w:fldCharType="end"/>
      </w:r>
      <w:r>
        <w:t xml:space="preserve">.</w:t>
      </w:r>
    </w:p>
    <w:p>
      <w:pPr>
        <w:pStyle w:val="Heading3"/>
      </w:pPr>
      <w:bookmarkStart w:name="b_clase_1_1_c2_cap_09" w:id="191"/>
      <w:r>
        <w:t xml:space="preserve">Clase 2 · 01:19:22–01:27:08 · La discordancia de Derek Cabrera: para qué sirve el pensamiento sistémico</w:t>
      </w:r>
      <w:bookmarkEnd w:id="191"/>
    </w:p>
    <w:p>
      <w:bookmarkStart w:name="b_punto_c2_cap_09_p02" w:id="192"/>
      <w:r>
        <w:t xml:space="preserve">Cabrera sitúa los problemas complejos en la discordancia entre el funcionamiento del mundo real y la forma de representarlo mentalmente.</w:t>
      </w:r>
      <w:bookmarkEnd w:id="192"/>
    </w:p>
    <w:p>
      <w:bookmarkStart w:name="b_punto_c2_cap_09_p03" w:id="193"/>
      <w:r>
        <w:t xml:space="preserve">Un modelo útil en una realidad sencilla puede dejar de servir cuando ésta evoluciona y se hace compleja, provocando errores o frustración.</w:t>
      </w:r>
      <w:bookmarkEnd w:id="193"/>
    </w:p>
    <w:p>
      <w:bookmarkStart w:name="b_punto_c2_cap_09_p05" w:id="194"/>
      <w:r>
        <w:t xml:space="preserve">La representación perfecta puede ser inalcanzable; los porcentajes 80–98 % ilustran una aproximación, y las personas pueden rediseñar sus modelos.</w:t>
      </w:r>
      <w:bookmarkEnd w:id="194"/>
    </w:p>
    <w:p>
      <w:pPr>
        <w:pStyle w:val="Fuente"/>
      </w:pPr>
      <w:r>
        <w:t xml:space="preserve">Véase </w:t>
      </w:r>
      <w:hyperlink w:history="1" w:anchor="b_1_4">
        <w:r>
          <w:rPr>
            <w:color w:val="156B70"/>
            <w:u w:val="single"/>
          </w:rPr>
          <w:t xml:space="preserve">capítulo 1.4 · Sistémico vs no sistémico</w:t>
        </w:r>
      </w:hyperlink>
      <w:r>
        <w:t xml:space="preserve">, pág. </w:t>
      </w:r>
      <w:r>
        <w:fldChar w:fldCharType="begin"/>
        <w:instrText xml:space="preserve">PAGEREF b_1_4 \h</w:instrText>
        <w:fldChar w:fldCharType="separate"/>
        <w:t xml:space="preserve">104</w:t>
        <w:fldChar w:fldCharType="end"/>
      </w:r>
      <w:r>
        <w:t xml:space="preserve">.</w:t>
      </w:r>
    </w:p>
    <w:p>
      <w:pPr>
        <w:pStyle w:val="Heading3"/>
      </w:pPr>
      <w:bookmarkStart w:name="b_clase_1_1_c3_cap_01" w:id="195"/>
      <w:r>
        <w:t xml:space="preserve">Clase 3 · 00:06:22–00:18:39 · Apertura: problemas complejos y la discordancia mente–realidad</w:t>
      </w:r>
      <w:bookmarkEnd w:id="195"/>
    </w:p>
    <w:p>
      <w:bookmarkStart w:name="b_punto_c3_cap_01_p01" w:id="196"/>
      <w:r>
        <w:t xml:space="preserve">Las soluciones a problemas complejos requieren modelos coherentes con la realidad; ignorar problemas cotidianos puede entrelazarlos y aumentar su complejidad.</w:t>
      </w:r>
      <w:bookmarkEnd w:id="196"/>
    </w:p>
    <w:p>
      <w:bookmarkStart w:name="b_punto_c3_cap_01_p02" w:id="197"/>
      <w:r>
        <w:t xml:space="preserve">La complejidad reúne pequeños problemas entrelazados y múltiples agencias que actúan en niveles local, regional, nacional y global.</w:t>
      </w:r>
      <w:bookmarkEnd w:id="197"/>
    </w:p>
    <w:p>
      <w:bookmarkStart w:name="b_punto_c3_cap_01_p03" w:id="198"/>
      <w:r>
        <w:t xml:space="preserve">Los diferentes puntos de vista crean conflictos sobre resultados y medios; una decisión adecuada desde una perspectiva puede ser incompleta desde otra.</w:t>
      </w:r>
      <w:bookmarkEnd w:id="198"/>
    </w:p>
    <w:p>
      <w:bookmarkStart w:name="b_punto_c3_cap_01_p04" w:id="199"/>
      <w:r>
        <w:t xml:space="preserve">La incertidumbre dificulta comprender e intervenir; el modelo más simple que la realidad produce discordancia entre resultados esperados y reales.</w:t>
      </w:r>
      <w:bookmarkEnd w:id="199"/>
    </w:p>
    <w:p>
      <w:pPr>
        <w:pStyle w:val="Fuente"/>
      </w:pPr>
      <w:r>
        <w:t xml:space="preserve">Véase </w:t>
      </w:r>
      <w:hyperlink w:history="1" w:anchor="b_1_4">
        <w:r>
          <w:rPr>
            <w:color w:val="156B70"/>
            <w:u w:val="single"/>
          </w:rPr>
          <w:t xml:space="preserve">capítulo 1.4 · Sistémico vs no sistémico</w:t>
        </w:r>
      </w:hyperlink>
      <w:r>
        <w:t xml:space="preserve">, pág. </w:t>
      </w:r>
      <w:r>
        <w:fldChar w:fldCharType="begin"/>
        <w:instrText xml:space="preserve">PAGEREF b_1_4 \h</w:instrText>
        <w:fldChar w:fldCharType="separate"/>
        <w:t xml:space="preserve">104</w:t>
        <w:fldChar w:fldCharType="end"/>
      </w:r>
      <w:r>
        <w:t xml:space="preserve">.</w:t>
      </w:r>
    </w:p>
    <w:p>
      <w:pPr>
        <w:pStyle w:val="Heading3"/>
      </w:pPr>
      <w:bookmarkStart w:name="b_clase_1_1_c3_cap_02" w:id="200"/>
      <w:r>
        <w:t xml:space="preserve">Clase 3 · 00:18:42–00:32:22 · Las cuatro operaciones mentales inconscientes: la eliminación</w:t>
      </w:r>
      <w:bookmarkEnd w:id="200"/>
    </w:p>
    <w:p>
      <w:bookmarkStart w:name="b_punto_c3_cap_02_p01" w:id="201"/>
      <w:r>
        <w:t xml:space="preserve">Eliminación, construcción, distorsión y generalización son operaciones abstractas automáticas de todo ser humano, no las cuatro reglas DSRP.</w:t>
      </w:r>
      <w:bookmarkEnd w:id="201"/>
    </w:p>
    <w:p>
      <w:bookmarkStart w:name="b_punto_c3_cap_02_p02" w:id="202"/>
      <w:r>
        <w:t xml:space="preserve">La eliminación selecciona información para impedir sobrecarga; se compara con la saturación de memoria de una computadora.</w:t>
      </w:r>
      <w:bookmarkEnd w:id="202"/>
    </w:p>
    <w:p>
      <w:bookmarkStart w:name="b_punto_c3_cap_02_p03" w:id="203"/>
      <w:r>
        <w:t xml:space="preserve">Intereses, preocupaciones, ánimo y lucidez influyen en lo considerado importante y, por ello, en los datos descartados.</w:t>
      </w:r>
      <w:bookmarkEnd w:id="203"/>
    </w:p>
    <w:p>
      <w:bookmarkStart w:name="b_punto_c3_cap_02_p04" w:id="204"/>
      <w:r>
        <w:t xml:space="preserve">El ejemplo de los científicos buscando evidencia acorde con sus hipótesis muestra que la selección no es neutral.</w:t>
      </w:r>
      <w:bookmarkEnd w:id="204"/>
    </w:p>
    <w:p>
      <w:pPr>
        <w:pStyle w:val="Fuente"/>
      </w:pPr>
      <w:r>
        <w:t xml:space="preserve">Véase </w:t>
      </w:r>
      <w:hyperlink w:history="1" w:anchor="b_1_2">
        <w:r>
          <w:rPr>
            <w:color w:val="156B70"/>
            <w:u w:val="single"/>
          </w:rPr>
          <w:t xml:space="preserve">capítulo 1.2 · Escalera de inferencias</w:t>
        </w:r>
      </w:hyperlink>
      <w:r>
        <w:t xml:space="preserve">, pág. </w:t>
      </w:r>
      <w:r>
        <w:fldChar w:fldCharType="begin"/>
        <w:instrText xml:space="preserve">PAGEREF b_1_2 \h</w:instrText>
        <w:fldChar w:fldCharType="separate"/>
        <w:t xml:space="preserve">55</w:t>
        <w:fldChar w:fldCharType="end"/>
      </w:r>
      <w:r>
        <w:t xml:space="preserve">.</w:t>
      </w:r>
    </w:p>
    <w:p>
      <w:pPr>
        <w:pStyle w:val="Heading3"/>
      </w:pPr>
      <w:bookmarkStart w:name="b_clase_1_1_c4_cap_05" w:id="205"/>
      <w:r>
        <w:t xml:space="preserve">Clase 4 · 00:36:31–00:46:03 · El nivel de los modelos mentales y la advertencia de Donella Meadows</w:t>
      </w:r>
      <w:bookmarkEnd w:id="205"/>
    </w:p>
    <w:p>
      <w:bookmarkStart w:name="b_punto_c4_cap_05_p02" w:id="206"/>
      <w:r>
        <w:t xml:space="preserve">Madre e hija interpretan distinto la misma mascota; la cadena experiencia→supuestos→interpretación→conducta explica sus reacciones. ModelosMentalesYConducta desarrolla el caso y puede reutilizarse en 1.4/1.5.</w:t>
      </w:r>
      <w:bookmarkEnd w:id="206"/>
    </w:p>
    <w:p>
      <w:bookmarkStart w:name="b_punto_c4_cap_05_p05" w:id="207"/>
      <w:r>
        <w:t xml:space="preserve">La advertencia de Meadows es que todo conocimiento es un modelo, que puede estar incompleto o ser impreciso.</w:t>
      </w:r>
      <w:bookmarkEnd w:id="207"/>
    </w:p>
    <w:p>
      <w:bookmarkStart w:name="b_punto_c4_cap_05_p06" w:id="208"/>
      <w:r>
        <w:t xml:space="preserve">Hacer visible el modelo, explicar por qué se cree algo e invitar a otros a desafiarlo permite contrastar supuestos; Carlos y Pedro ilustran la ampliación del razonamiento.</w:t>
      </w:r>
      <w:bookmarkEnd w:id="208"/>
    </w:p>
    <w:p>
      <w:pPr>
        <w:pStyle w:val="Fuente"/>
      </w:pPr>
      <w:r>
        <w:t xml:space="preserve">Véase </w:t>
      </w:r>
      <w:hyperlink w:history="1" w:anchor="b_senales_examen">
        <w:r>
          <w:rPr>
            <w:color w:val="156B70"/>
            <w:u w:val="single"/>
          </w:rPr>
          <w:t xml:space="preserve">1 indicación(es) de examen de este tramo, en el apéndice cronológico</w:t>
        </w:r>
      </w:hyperlink>
      <w:r>
        <w:t xml:space="preserve">, pág. </w:t>
      </w:r>
      <w:r>
        <w:fldChar w:fldCharType="begin"/>
        <w:instrText xml:space="preserve">PAGEREF b_senales_examen \h</w:instrText>
        <w:fldChar w:fldCharType="separate"/>
        <w:t xml:space="preserve">1663</w:t>
        <w:fldChar w:fldCharType="end"/>
      </w:r>
      <w:r>
        <w:t xml:space="preserve">.</w:t>
      </w:r>
    </w:p>
    <w:p>
      <w:pPr>
        <w:pStyle w:val="Fuente"/>
      </w:pPr>
      <w:r>
        <w:t xml:space="preserve">Véase </w:t>
      </w:r>
      <w:hyperlink w:history="1" w:anchor="b_1_7">
        <w:r>
          <w:rPr>
            <w:color w:val="156B70"/>
            <w:u w:val="single"/>
          </w:rPr>
          <w:t xml:space="preserve">capítulo 1.7 · Niveles — modelo del iceberg</w:t>
        </w:r>
      </w:hyperlink>
      <w:r>
        <w:t xml:space="preserve">, pág. </w:t>
      </w:r>
      <w:r>
        <w:fldChar w:fldCharType="begin"/>
        <w:instrText xml:space="preserve">PAGEREF b_1_7 \h</w:instrText>
        <w:fldChar w:fldCharType="separate"/>
        <w:t xml:space="preserve">175</w:t>
        <w:fldChar w:fldCharType="end"/>
      </w:r>
      <w:r>
        <w:t xml:space="preserve">.</w:t>
      </w:r>
    </w:p>
    <w:p>
      <w:pPr>
        <w:pStyle w:val="Heading3"/>
      </w:pPr>
      <w:bookmarkStart w:name="b_clase_1_1_c4_cap_07" w:id="209"/>
      <w:r>
        <w:t xml:space="preserve">Clase 4 · 00:55:27–01:07:01 · Inducción paradigmática y el experimento de los monos</w:t>
      </w:r>
      <w:bookmarkEnd w:id="209"/>
    </w:p>
    <w:p>
      <w:bookmarkStart w:name="b_punto_c4_cap_07_p01" w:id="210"/>
      <w:r>
        <w:t xml:space="preserve">Muchos paradigmas se adquieren inconscientemente por hábitos y práctica, replicando comportamientos de quienes rodean a la persona, sin formular las creencias explícitas.</w:t>
      </w:r>
      <w:bookmarkEnd w:id="210"/>
    </w:p>
    <w:p>
      <w:bookmarkStart w:name="b_punto_c4_cap_07_p02" w:id="211"/>
      <w:r>
        <w:t xml:space="preserve">Inducción de paradigmas y aprendizaje social nombran la copia de comportamientos y supuestos implícitos, influyente desde infancia y adolescencia.</w:t>
      </w:r>
      <w:bookmarkEnd w:id="211"/>
    </w:p>
    <w:p>
      <w:bookmarkStart w:name="b_punto_c4_cap_07_p03" w:id="212"/>
      <w:r>
        <w:t xml:space="preserve">La historia de cinco monos se presenta como fábula o hipótesis didáctica; el profesor reconoce dudas sobre su realidad, y el portal ya la distingue de un protocolo científico replicado.</w:t>
      </w:r>
      <w:bookmarkEnd w:id="212"/>
    </w:p>
    <w:p>
      <w:bookmarkStart w:name="b_punto_c4_cap_07_p04" w:id="213"/>
      <w:r>
        <w:t xml:space="preserve">En la variante proyectada en clase 4, el agua cae sobre los monos que permanecen abajo; el que sube no la recibe.</w:t>
      </w:r>
      <w:bookmarkEnd w:id="213"/>
    </w:p>
    <w:p>
      <w:bookmarkStart w:name="b_punto_c4_cap_07_p05" w:id="214"/>
      <w:r>
        <w:t xml:space="preserve">La primera generación aprendió una razón para impedir subir; los sustitutos heredan la conducta sin haber recibido agua. La regla puede persistir cuando ya nadie comprueba que cambió la realidad.</w:t>
      </w:r>
      <w:bookmarkEnd w:id="214"/>
    </w:p>
    <w:p>
      <w:bookmarkStart w:name="b_punto_c4_cap_07_p06" w:id="215"/>
      <w:r>
        <w:t xml:space="preserve">El profesor aclara explícitamente que al que subía no le caía agua y reitera el carácter de fábula antes de mostrar una demostración con humanos; esa precisión respalda la corrección del punto anterior.</w:t>
      </w:r>
      <w:bookmarkEnd w:id="215"/>
    </w:p>
    <w:p>
      <w:pPr>
        <w:pStyle w:val="Heading3"/>
      </w:pPr>
      <w:bookmarkStart w:name="b_clase_1_1_c4_cap_08" w:id="216"/>
      <w:r>
        <w:t xml:space="preserve">Clase 4 · 01:07:01–01:17:35 · El experimento de conformidad: el mismo patrón en humanos</w:t>
      </w:r>
      <w:bookmarkEnd w:id="216"/>
    </w:p>
    <w:p>
      <w:bookmarkStart w:name="b_punto_c4_cap_08_p01" w:id="217"/>
      <w:r>
        <w:t xml:space="preserve">La demostración televisiva prepara cómplices que se levantan ante un pitido en una sala de espera y observa con cámaras ocultas a quien desconoce la regla.</w:t>
      </w:r>
      <w:bookmarkEnd w:id="217"/>
    </w:p>
    <w:p>
      <w:bookmarkStart w:name="b_punto_c4_cap_08_p02" w:id="218"/>
      <w:r>
        <w:t xml:space="preserve">La participante imita sin saber por qué, mantiene la conducta sola y transmite la regla a un recién llegado.</w:t>
      </w:r>
      <w:bookmarkEnd w:id="218"/>
    </w:p>
    <w:p>
      <w:bookmarkStart w:name="b_punto_c4_cap_08_p03" w:id="219"/>
      <w:r>
        <w:t xml:space="preserve">En el video una regla arbitraria se vuelve norma social; Berger la explica como aprendizaje social y conformidad, que también puede transmitir malos hábitos y errores.</w:t>
      </w:r>
      <w:bookmarkEnd w:id="219"/>
    </w:p>
    <w:p>
      <w:bookmarkStart w:name="b_punto_c4_cap_08_p04" w:id="220"/>
      <w:r>
        <w:t xml:space="preserve">La comparación con los monos ilustra adquisición de hábitos por replicación y necesidad de aceptación, sin reflexión sobre el motivo.</w:t>
      </w:r>
      <w:bookmarkEnd w:id="220"/>
    </w:p>
    <w:p>
      <w:bookmarkStart w:name="b_punto_c4_cap_08_p05" w:id="221"/>
      <w:r>
        <w:t xml:space="preserve">El aprendizaje social influye no sólo en lo que se hace sino en lo que se piensa; el objetivo es hacer conscientes procesos normalmente automáticos.</w:t>
      </w:r>
      <w:bookmarkEnd w:id="221"/>
    </w:p>
    <w:p>
      <w:pPr>
        <w:pStyle w:val="Fuente"/>
      </w:pPr>
      <w:r>
        <w:t xml:space="preserve">Véase </w:t>
      </w:r>
      <w:hyperlink w:history="1" w:anchor="b_senales_examen">
        <w:r>
          <w:rPr>
            <w:color w:val="156B70"/>
            <w:u w:val="single"/>
          </w:rPr>
          <w:t xml:space="preserve">1 indicación(es) de examen de este tramo, en el apéndice cronológico</w:t>
        </w:r>
      </w:hyperlink>
      <w:r>
        <w:t xml:space="preserve">, pág. </w:t>
      </w:r>
      <w:r>
        <w:fldChar w:fldCharType="begin"/>
        <w:instrText xml:space="preserve">PAGEREF b_senales_examen \h</w:instrText>
        <w:fldChar w:fldCharType="separate"/>
        <w:t xml:space="preserve">1663</w:t>
        <w:fldChar w:fldCharType="end"/>
      </w:r>
      <w:r>
        <w:t xml:space="preserve">.</w:t>
      </w:r>
    </w:p>
    <w:p>
      <w:pPr>
        <w:pStyle w:val="Heading3"/>
      </w:pPr>
      <w:bookmarkStart w:name="b_clase_1_1_c4_cap_09" w:id="222"/>
      <w:r>
        <w:t xml:space="preserve">Clase 4 · 01:17:35–01:24:58 · Modelos mentales realistas y útiles: la columna de la mano izquierda</w:t>
      </w:r>
      <w:bookmarkEnd w:id="222"/>
    </w:p>
    <w:p>
      <w:bookmarkStart w:name="b_punto_c4_cap_09_p04" w:id="223"/>
      <w:r>
        <w:t xml:space="preserve">La columna izquierda divide la hoja: derecha para lo dicho o sucedido e izquierda para lo pensado y callado, durante la situación o al reconstruirla. ColumnaIzquierdaLab desarrolla ocho turnos de John; reutilizar en 1.2/1.4.</w:t>
      </w:r>
      <w:bookmarkEnd w:id="223"/>
    </w:p>
    <w:p>
      <w:bookmarkStart w:name="b_punto_c4_cap_09_p05" w:id="224"/>
      <w:r>
        <w:t xml:space="preserve">El diálogo de John muestra que lo dicho puede no revelar lo creído; ese ocultamiento explica la dificultad de acceder a modelos mentales profundos.</w:t>
      </w:r>
      <w:bookmarkEnd w:id="224"/>
    </w:p>
    <w:p>
      <w:pPr>
        <w:pStyle w:val="Fuente"/>
      </w:pPr>
      <w:r>
        <w:t xml:space="preserve">Véase </w:t>
      </w:r>
      <w:hyperlink w:history="1" w:anchor="b_1_4">
        <w:r>
          <w:rPr>
            <w:color w:val="156B70"/>
            <w:u w:val="single"/>
          </w:rPr>
          <w:t xml:space="preserve">capítulo 1.4 · Sistémico vs no sistémico</w:t>
        </w:r>
      </w:hyperlink>
      <w:r>
        <w:t xml:space="preserve">, pág. </w:t>
      </w:r>
      <w:r>
        <w:fldChar w:fldCharType="begin"/>
        <w:instrText xml:space="preserve">PAGEREF b_1_4 \h</w:instrText>
        <w:fldChar w:fldCharType="separate"/>
        <w:t xml:space="preserve">104</w:t>
        <w:fldChar w:fldCharType="end"/>
      </w:r>
      <w:r>
        <w:t xml:space="preserve">.</w:t>
      </w:r>
    </w:p>
    <w:p>
      <w:pPr>
        <w:pStyle w:val="Heading3"/>
      </w:pPr>
      <w:bookmarkStart w:name="b_clase_1_1_c4_cap_10" w:id="225"/>
      <w:r>
        <w:t xml:space="preserve">Clase 4 · 01:24:58–01:39:11 · Investigando suposiciones, cambiar las perspectivas y cierre</w:t>
      </w:r>
      <w:bookmarkEnd w:id="225"/>
    </w:p>
    <w:p>
      <w:bookmarkStart w:name="b_punto_c4_cap_10_p01" w:id="226"/>
      <w:r>
        <w:t xml:space="preserve">Ante la misma gráfica de rendimiento creciente, él espera reconocimiento o bono y ella teme más exigencia y carga; InvestigandoSuposiciones desarrolla hipótesis y evidencia favorable y contraria. Reutilizar en 1.2/1.5.</w:t>
      </w:r>
      <w:bookmarkEnd w:id="226"/>
    </w:p>
    <w:p>
      <w:bookmarkStart w:name="b_punto_c4_cap_10_p02" w:id="227"/>
      <w:r>
        <w:t xml:space="preserve">La gráfica por sí sola no decide qué interpretación es correcta; se comparan supuestos, similitudes y diferencias y se ponen a prueba.</w:t>
      </w:r>
      <w:bookmarkEnd w:id="227"/>
    </w:p>
    <w:p>
      <w:bookmarkStart w:name="b_punto_c4_cap_10_p03" w:id="228"/>
      <w:r>
        <w:t xml:space="preserve">Ante estudios y mensajes contradictorios se comparan fuentes, datos y supuestos; una sola expresión puede ser parcial, equivocada o intencionalmente engañosa.</w:t>
      </w:r>
      <w:bookmarkEnd w:id="228"/>
    </w:p>
    <w:p>
      <w:bookmarkStart w:name="b_punto_c4_cap_10_p04" w:id="229"/>
      <w:r>
        <w:t xml:space="preserve">Construir conocimiento sobre supuestos no representativos mezcla información real con invenciones; contrastar comprueba realismo y utilidad.</w:t>
      </w:r>
      <w:bookmarkEnd w:id="229"/>
    </w:p>
    <w:p>
      <w:pPr>
        <w:pStyle w:val="Fuente"/>
      </w:pPr>
      <w:r>
        <w:t xml:space="preserve">Véase </w:t>
      </w:r>
      <w:hyperlink w:history="1" w:anchor="b_senales_examen">
        <w:r>
          <w:rPr>
            <w:color w:val="156B70"/>
            <w:u w:val="single"/>
          </w:rPr>
          <w:t xml:space="preserve">1 indicación(es) de examen de este tramo, en el apéndice cronológico</w:t>
        </w:r>
      </w:hyperlink>
      <w:r>
        <w:t xml:space="preserve">, pág. </w:t>
      </w:r>
      <w:r>
        <w:fldChar w:fldCharType="begin"/>
        <w:instrText xml:space="preserve">PAGEREF b_senales_examen \h</w:instrText>
        <w:fldChar w:fldCharType="separate"/>
        <w:t xml:space="preserve">1663</w:t>
        <w:fldChar w:fldCharType="end"/>
      </w:r>
      <w:r>
        <w:t xml:space="preserve">.</w:t>
      </w:r>
    </w:p>
    <w:p>
      <w:pPr>
        <w:pStyle w:val="Fuente"/>
      </w:pPr>
      <w:r>
        <w:t xml:space="preserve">Véase </w:t>
      </w:r>
      <w:hyperlink w:history="1" w:anchor="b_1_4">
        <w:r>
          <w:rPr>
            <w:color w:val="156B70"/>
            <w:u w:val="single"/>
          </w:rPr>
          <w:t xml:space="preserve">capítulo 1.4 · Sistémico vs no sistémico</w:t>
        </w:r>
      </w:hyperlink>
      <w:r>
        <w:t xml:space="preserve">, pág. </w:t>
      </w:r>
      <w:r>
        <w:fldChar w:fldCharType="begin"/>
        <w:instrText xml:space="preserve">PAGEREF b_1_4 \h</w:instrText>
        <w:fldChar w:fldCharType="separate"/>
        <w:t xml:space="preserve">104</w:t>
        <w:fldChar w:fldCharType="end"/>
      </w:r>
      <w:r>
        <w:t xml:space="preserve">.</w:t>
      </w:r>
    </w:p>
    <w:p>
      <w:pPr>
        <w:pStyle w:val="Fuente"/>
      </w:pPr>
      <w:r>
        <w:t xml:space="preserve">Véase </w:t>
      </w:r>
      <w:hyperlink w:history="1" w:anchor="b_1_8">
        <w:r>
          <w:rPr>
            <w:color w:val="156B70"/>
            <w:u w:val="single"/>
          </w:rPr>
          <w:t xml:space="preserve">capítulo 1.8 · Hábitos del pensador</w:t>
        </w:r>
      </w:hyperlink>
      <w:r>
        <w:t xml:space="preserve">, pág. </w:t>
      </w:r>
      <w:r>
        <w:fldChar w:fldCharType="begin"/>
        <w:instrText xml:space="preserve">PAGEREF b_1_8 \h</w:instrText>
        <w:fldChar w:fldCharType="separate"/>
        <w:t xml:space="preserve">194</w:t>
        <w:fldChar w:fldCharType="end"/>
      </w:r>
      <w:r>
        <w:t xml:space="preserve">.</w:t>
      </w:r>
    </w:p>
    <w:p>
      <w:pPr>
        <w:pStyle w:val="Fuente"/>
      </w:pPr>
      <w:r>
        <w:t xml:space="preserve">Véase </w:t>
      </w:r>
      <w:hyperlink w:history="1" w:anchor="b_1_7">
        <w:r>
          <w:rPr>
            <w:color w:val="156B70"/>
            <w:u w:val="single"/>
          </w:rPr>
          <w:t xml:space="preserve">capítulo 1.7 · Niveles — modelo del iceberg</w:t>
        </w:r>
      </w:hyperlink>
      <w:r>
        <w:t xml:space="preserve">, pág. </w:t>
      </w:r>
      <w:r>
        <w:fldChar w:fldCharType="begin"/>
        <w:instrText xml:space="preserve">PAGEREF b_1_7 \h</w:instrText>
        <w:fldChar w:fldCharType="separate"/>
        <w:t xml:space="preserve">175</w:t>
        <w:fldChar w:fldCharType="end"/>
      </w:r>
      <w:r>
        <w:t xml:space="preserve">.</w:t>
      </w:r>
    </w:p>
    <w:p>
      <w:pPr>
        <w:pStyle w:val="Heading3"/>
      </w:pPr>
      <w:bookmarkStart w:name="b_clase_1_1_c5_cap_05" w:id="230"/>
      <w:r>
        <w:t xml:space="preserve">Clase 5 · 00:28:30–00:35:53 · Reglas del diálogo, el caso Acme y el cuarto nivel</w:t>
      </w:r>
      <w:bookmarkEnd w:id="230"/>
    </w:p>
    <w:p>
      <w:bookmarkStart w:name="b_punto_c5_cap_05_p01" w:id="231"/>
      <w:r>
        <w:t xml:space="preserve">El intercambio se realiza sin miedo ni represalias, con respeto y amistad; los aportes ayudan a formar un modelo más completo.</w:t>
      </w:r>
      <w:bookmarkEnd w:id="231"/>
    </w:p>
    <w:p>
      <w:bookmarkStart w:name="b_punto_c5_cap_05_p04" w:id="232"/>
      <w:r>
        <w:t xml:space="preserve">Las diez reglas fijan roles, moderación y límites de tiempo para impedir el monólogo y proteger participación de los demás.</w:t>
      </w:r>
      <w:bookmarkEnd w:id="232"/>
    </w:p>
    <w:p>
      <w:bookmarkStart w:name="b_punto_c5_cap_05_p05" w:id="233"/>
      <w:r>
        <w:t xml:space="preserve">Pedir la palabra y escuchar sin interrumpir permiten expresar desacuerdo y crítica con información en el turno propio, sin interrumpir la exposición ajena.</w:t>
      </w:r>
      <w:bookmarkEnd w:id="233"/>
    </w:p>
    <w:p>
      <w:pPr>
        <w:pStyle w:val="Fuente"/>
      </w:pPr>
      <w:r>
        <w:t xml:space="preserve">Véase </w:t>
      </w:r>
      <w:hyperlink w:history="1" w:anchor="b_senales_examen">
        <w:r>
          <w:rPr>
            <w:color w:val="156B70"/>
            <w:u w:val="single"/>
          </w:rPr>
          <w:t xml:space="preserve">1 indicación(es) de examen de este tramo, en el apéndice cronológico</w:t>
        </w:r>
      </w:hyperlink>
      <w:r>
        <w:t xml:space="preserve">, pág. </w:t>
      </w:r>
      <w:r>
        <w:fldChar w:fldCharType="begin"/>
        <w:instrText xml:space="preserve">PAGEREF b_senales_examen \h</w:instrText>
        <w:fldChar w:fldCharType="separate"/>
        <w:t xml:space="preserve">1663</w:t>
        <w:fldChar w:fldCharType="end"/>
      </w:r>
      <w:r>
        <w:t xml:space="preserve">.</w:t>
      </w:r>
    </w:p>
    <w:p>
      <w:pPr>
        <w:pStyle w:val="Fuente"/>
      </w:pPr>
      <w:r>
        <w:t xml:space="preserve">Véase </w:t>
      </w:r>
      <w:hyperlink w:history="1" w:anchor="b_1_7">
        <w:r>
          <w:rPr>
            <w:color w:val="156B70"/>
            <w:u w:val="single"/>
          </w:rPr>
          <w:t xml:space="preserve">capítulo 1.7 · Niveles — modelo del iceberg</w:t>
        </w:r>
      </w:hyperlink>
      <w:r>
        <w:t xml:space="preserve">, pág. </w:t>
      </w:r>
      <w:r>
        <w:fldChar w:fldCharType="begin"/>
        <w:instrText xml:space="preserve">PAGEREF b_1_7 \h</w:instrText>
        <w:fldChar w:fldCharType="separate"/>
        <w:t xml:space="preserve">175</w:t>
        <w:fldChar w:fldCharType="end"/>
      </w:r>
      <w:r>
        <w:t xml:space="preserve">.</w:t>
      </w:r>
    </w:p>
    <w:p>
      <w:pPr>
        <w:pStyle w:val="Fuente"/>
      </w:pPr>
      <w:r>
        <w:t xml:space="preserve">Véase </w:t>
      </w:r>
      <w:hyperlink w:history="1" w:anchor="b_1_5">
        <w:r>
          <w:rPr>
            <w:color w:val="156B70"/>
            <w:u w:val="single"/>
          </w:rPr>
          <w:t xml:space="preserve">capítulo 1.5 · Perspectivas</w:t>
        </w:r>
      </w:hyperlink>
      <w:r>
        <w:t xml:space="preserve">, pág. </w:t>
      </w:r>
      <w:r>
        <w:fldChar w:fldCharType="begin"/>
        <w:instrText xml:space="preserve">PAGEREF b_1_5 \h</w:instrText>
        <w:fldChar w:fldCharType="separate"/>
        <w:t xml:space="preserve">125</w:t>
        <w:fldChar w:fldCharType="end"/>
      </w:r>
      <w:r>
        <w:t xml:space="preserve">.</w:t>
      </w:r>
    </w:p>
    <w:p>
      <w:pPr>
        <w:pStyle w:val="Heading3"/>
      </w:pPr>
      <w:bookmarkStart w:name="b_clase_1_1_c5_cap_07" w:id="234"/>
      <w:r>
        <w:t xml:space="preserve">Clase 5 · 00:40:41–00:50:59 · La película completa: el bosque y el árbol</w:t>
      </w:r>
      <w:bookmarkEnd w:id="234"/>
    </w:p>
    <w:p>
      <w:bookmarkStart w:name="b_punto_c5_cap_07_p02" w:id="235"/>
      <w:r>
        <w:t xml:space="preserve">La discordancia de Cabrera es la brecha entre realidad compleja con historia e interacciones y el modelo incompleto construido de unas pocas partes.</w:t>
      </w:r>
      <w:bookmarkEnd w:id="235"/>
    </w:p>
    <w:p>
      <w:pPr>
        <w:pStyle w:val="Fuente"/>
      </w:pPr>
      <w:r>
        <w:t xml:space="preserve">Véase </w:t>
      </w:r>
      <w:hyperlink w:history="1" w:anchor="b_1_8">
        <w:r>
          <w:rPr>
            <w:color w:val="156B70"/>
            <w:u w:val="single"/>
          </w:rPr>
          <w:t xml:space="preserve">capítulo 1.8 · Hábitos del pensador</w:t>
        </w:r>
      </w:hyperlink>
      <w:r>
        <w:t xml:space="preserve">, pág. </w:t>
      </w:r>
      <w:r>
        <w:fldChar w:fldCharType="begin"/>
        <w:instrText xml:space="preserve">PAGEREF b_1_8 \h</w:instrText>
        <w:fldChar w:fldCharType="separate"/>
        <w:t xml:space="preserve">194</w:t>
        <w:fldChar w:fldCharType="end"/>
      </w:r>
      <w:r>
        <w:t xml:space="preserve">.</w:t>
      </w:r>
    </w:p>
    <w:p>
      <w:pPr>
        <w:pStyle w:val="Heading3"/>
      </w:pPr>
      <w:bookmarkStart w:name="b_clase_1_1_c5_cap_08" w:id="236"/>
      <w:r>
        <w:t xml:space="preserve">Clase 5 · 00:50:59–00:58:15 · Los modelos mentales como sistema</w:t>
      </w:r>
      <w:bookmarkEnd w:id="236"/>
    </w:p>
    <w:p>
      <w:bookmarkStart w:name="b_punto_c5_cap_08_p01" w:id="237"/>
      <w:r>
        <w:t xml:space="preserve">Un modelo mental es sistema abstracto porque contiene pequeños modelos o subsistemas de parcelas de realidad que interactúan.</w:t>
      </w:r>
      <w:bookmarkEnd w:id="237"/>
    </w:p>
    <w:p>
      <w:bookmarkStart w:name="b_punto_c5_cap_08_p02" w:id="238"/>
      <w:r>
        <w:t xml:space="preserve">Trabajo, estudio, familia, transporte, vida, eficiencia y tecnología dan ejemplos de subsistemas de creencias que juntos forman un sistema mental mayor.</w:t>
      </w:r>
      <w:bookmarkEnd w:id="238"/>
    </w:p>
    <w:p>
      <w:pPr>
        <w:pStyle w:val="Fuente"/>
      </w:pPr>
      <w:r>
        <w:t xml:space="preserve">Véase </w:t>
      </w:r>
      <w:hyperlink w:history="1" w:anchor="b_1_4">
        <w:r>
          <w:rPr>
            <w:color w:val="156B70"/>
            <w:u w:val="single"/>
          </w:rPr>
          <w:t xml:space="preserve">capítulo 1.4 · Sistémico vs no sistémico</w:t>
        </w:r>
      </w:hyperlink>
      <w:r>
        <w:t xml:space="preserve">, pág. </w:t>
      </w:r>
      <w:r>
        <w:fldChar w:fldCharType="begin"/>
        <w:instrText xml:space="preserve">PAGEREF b_1_4 \h</w:instrText>
        <w:fldChar w:fldCharType="separate"/>
        <w:t xml:space="preserve">104</w:t>
        <w:fldChar w:fldCharType="end"/>
      </w:r>
      <w:r>
        <w:t xml:space="preserve">.</w:t>
      </w:r>
    </w:p>
    <w:p>
      <w:pPr>
        <w:pStyle w:val="Fuente"/>
      </w:pPr>
      <w:r>
        <w:t xml:space="preserve">Véase </w:t>
      </w:r>
      <w:hyperlink w:history="1" w:anchor="b_1_5">
        <w:r>
          <w:rPr>
            <w:color w:val="156B70"/>
            <w:u w:val="single"/>
          </w:rPr>
          <w:t xml:space="preserve">capítulo 1.5 · Perspectivas</w:t>
        </w:r>
      </w:hyperlink>
      <w:r>
        <w:t xml:space="preserve">, pág. </w:t>
      </w:r>
      <w:r>
        <w:fldChar w:fldCharType="begin"/>
        <w:instrText xml:space="preserve">PAGEREF b_1_5 \h</w:instrText>
        <w:fldChar w:fldCharType="separate"/>
        <w:t xml:space="preserve">125</w:t>
        <w:fldChar w:fldCharType="end"/>
      </w:r>
      <w:r>
        <w:t xml:space="preserve">.</w:t>
      </w:r>
    </w:p>
    <w:p>
      <w:pPr>
        <w:pStyle w:val="Heading3"/>
      </w:pPr>
      <w:bookmarkStart w:name="b_clase_1_1_c5_cap_09" w:id="239"/>
      <w:r>
        <w:t xml:space="preserve">Clase 5 · 00:58:15–01:08:30 · Síntesis de los sistemas abstractos y una pregunta a la clase</w:t>
      </w:r>
      <w:bookmarkEnd w:id="239"/>
    </w:p>
    <w:p>
      <w:bookmarkStart w:name="b_punto_c5_cap_09_p01" w:id="240"/>
      <w:r>
        <w:t xml:space="preserve">El pensamiento sistémico también es un paradigma que busca representación holística; comprender más, aunque no el 100%, ayuda a decidir con coherencia.</w:t>
      </w:r>
      <w:bookmarkEnd w:id="240"/>
    </w:p>
    <w:p>
      <w:bookmarkStart w:name="b_punto_c5_cap_09_p03" w:id="241"/>
      <w:r>
        <w:t xml:space="preserve">Transferencia, inducción o aprendizaje social incorporan creencias inconscientes; la analogía de programas mentales describe esa adquisición.</w:t>
      </w:r>
      <w:bookmarkEnd w:id="241"/>
    </w:p>
    <w:p>
      <w:bookmarkStart w:name="b_punto_c5_cap_09_p04" w:id="242"/>
      <w:r>
        <w:t xml:space="preserve">Los paradigmas son comunes y útiles mientras sean vigentes; elegirlos y mejorarlos conscientemente evita parálisis y mantiene flexibilidad.</w:t>
      </w:r>
      <w:bookmarkEnd w:id="242"/>
    </w:p>
    <w:p>
      <w:bookmarkStart w:name="b_punto_c5_cap_09_p05" w:id="243"/>
      <w:r>
        <w:t xml:space="preserve">El efecto paradigma puede persistir incluso en un modelo sistémico porque siempre puede faltar información o perspectiva; los porcentajes de fidelidad citados son ilustrativos, no mediciones.</w:t>
      </w:r>
      <w:bookmarkEnd w:id="243"/>
    </w:p>
    <w:p>
      <w:bookmarkStart w:name="b_punto_c5_cap_09_p06" w:id="244"/>
      <w:r>
        <w:t xml:space="preserve">La pregunta sobre vivir sin paradigmas destaca su utilidad: sin representaciones guardadas habría que reconstruir significado para situaciones frecuentes cada día.</w:t>
      </w:r>
      <w:bookmarkEnd w:id="244"/>
    </w:p>
    <w:p>
      <w:pPr>
        <w:pStyle w:val="Fuente"/>
      </w:pPr>
      <w:r>
        <w:t xml:space="preserve">Véase </w:t>
      </w:r>
      <w:hyperlink w:history="1" w:anchor="b_1_2">
        <w:r>
          <w:rPr>
            <w:color w:val="156B70"/>
            <w:u w:val="single"/>
          </w:rPr>
          <w:t xml:space="preserve">capítulo 1.2 · Escalera de inferencias</w:t>
        </w:r>
      </w:hyperlink>
      <w:r>
        <w:t xml:space="preserve">, pág. </w:t>
      </w:r>
      <w:r>
        <w:fldChar w:fldCharType="begin"/>
        <w:instrText xml:space="preserve">PAGEREF b_1_2 \h</w:instrText>
        <w:fldChar w:fldCharType="separate"/>
        <w:t xml:space="preserve">55</w:t>
        <w:fldChar w:fldCharType="end"/>
      </w:r>
      <w:r>
        <w:t xml:space="preserve">.</w:t>
      </w:r>
    </w:p>
    <w:p>
      <w:pPr>
        <w:pStyle w:val="Fuente"/>
      </w:pPr>
      <w:r>
        <w:t xml:space="preserve">Véase </w:t>
      </w:r>
      <w:hyperlink w:history="1" w:anchor="b_1_8">
        <w:r>
          <w:rPr>
            <w:color w:val="156B70"/>
            <w:u w:val="single"/>
          </w:rPr>
          <w:t xml:space="preserve">capítulo 1.8 · Hábitos del pensador</w:t>
        </w:r>
      </w:hyperlink>
      <w:r>
        <w:t xml:space="preserve">, pág. </w:t>
      </w:r>
      <w:r>
        <w:fldChar w:fldCharType="begin"/>
        <w:instrText xml:space="preserve">PAGEREF b_1_8 \h</w:instrText>
        <w:fldChar w:fldCharType="separate"/>
        <w:t xml:space="preserve">194</w:t>
        <w:fldChar w:fldCharType="end"/>
      </w:r>
      <w:r>
        <w:t xml:space="preserve">.</w:t>
      </w:r>
    </w:p>
    <w:p>
      <w:pPr>
        <w:pStyle w:val="Heading3"/>
      </w:pPr>
      <w:bookmarkStart w:name="b_clase_1_1_c5_cap_10" w:id="245"/>
      <w:r>
        <w:t xml:space="preserve">Clase 5 · 01:08:30–01:21:35 · Aprender, desaprender y cierre de la unidad 1</w:t>
      </w:r>
      <w:bookmarkEnd w:id="245"/>
    </w:p>
    <w:p>
      <w:bookmarkStart w:name="b_punto_c5_cap_10_p02" w:id="246"/>
      <w:r>
        <w:t xml:space="preserve">Desaprender es reconocer que un supuesto o hábito perdió validez por cambios de realidad y aprender una forma nueva; exige tiempo y práctica.</w:t>
      </w:r>
      <w:bookmarkEnd w:id="246"/>
    </w:p>
    <w:p>
      <w:bookmarkStart w:name="b_punto_c5_cap_10_p03" w:id="247"/>
      <w:r>
        <w:t xml:space="preserve">Aprender, aplicar, revisar y, si hace falta, desaprender y reaprender forman un ciclo de retroalimentación para mantener la representación vigente y útil.</w:t>
      </w:r>
      <w:bookmarkEnd w:id="247"/>
    </w:p>
    <w:p>
      <w:bookmarkStart w:name="b_punto_c5_cap_10_p04" w:id="248"/>
      <w:r>
        <w:t xml:space="preserve">La posibilidad filosófica de vivir sin modelos se deja como reflexión y video futuro; el objetivo explícito del curso sigue siendo construir modelos mentales sistémicos representativos.</w:t>
      </w:r>
      <w:bookmarkEnd w:id="248"/>
    </w:p>
    <w:p>
      <w:bookmarkStart w:name="b_punto_c5_cap_10_p05" w:id="249"/>
      <w:r>
        <w:t xml:space="preserve">La reflexión evalúa las propias inferencias para reconocer qué se usa al construir un modelo mental.</w:t>
      </w:r>
      <w:bookmarkEnd w:id="249"/>
    </w:p>
    <w:p>
      <w:bookmarkStart w:name="b_punto_c5_cap_10_p06" w:id="250"/>
      <w:r>
        <w:t xml:space="preserve">La autoindagación provoca reflexión; indagar a otros explora sus escaleras y perspectivas para ampliar el modelo.</w:t>
      </w:r>
      <w:bookmarkEnd w:id="250"/>
    </w:p>
    <w:p>
      <w:bookmarkStart w:name="b_punto_c5_cap_10_p07" w:id="251"/>
      <w:r>
        <w:t xml:space="preserve">La argumentación hace visibles razonamiento y supuestos propios y los somete a crítica para mejorarlos; no consiste en imponer la conclusión. Reutilizar PracticasEscalera en 1.2.</w:t>
      </w:r>
      <w:bookmarkEnd w:id="251"/>
    </w:p>
    <w:p>
      <w:pPr>
        <w:pStyle w:val="Fuente"/>
      </w:pPr>
      <w:r>
        <w:t xml:space="preserve">Véase </w:t>
      </w:r>
      <w:hyperlink w:history="1" w:anchor="b_senales_examen">
        <w:r>
          <w:rPr>
            <w:color w:val="156B70"/>
            <w:u w:val="single"/>
          </w:rPr>
          <w:t xml:space="preserve">1 indicación(es) de examen de este tramo, en el apéndice cronológico</w:t>
        </w:r>
      </w:hyperlink>
      <w:r>
        <w:t xml:space="preserve">, pág. </w:t>
      </w:r>
      <w:r>
        <w:fldChar w:fldCharType="begin"/>
        <w:instrText xml:space="preserve">PAGEREF b_senales_examen \h</w:instrText>
        <w:fldChar w:fldCharType="separate"/>
        <w:t xml:space="preserve">1663</w:t>
        <w:fldChar w:fldCharType="end"/>
      </w:r>
      <w:r>
        <w:t xml:space="preserve">.</w:t>
      </w:r>
    </w:p>
    <w:p>
      <w:pPr>
        <w:pStyle w:val="Fuente"/>
      </w:pPr>
      <w:r>
        <w:t xml:space="preserve">Véase </w:t>
      </w:r>
      <w:hyperlink w:history="1" w:anchor="b_1_4">
        <w:r>
          <w:rPr>
            <w:color w:val="156B70"/>
            <w:u w:val="single"/>
          </w:rPr>
          <w:t xml:space="preserve">capítulo 1.4 · Sistémico vs no sistémico</w:t>
        </w:r>
      </w:hyperlink>
      <w:r>
        <w:t xml:space="preserve">, pág. </w:t>
      </w:r>
      <w:r>
        <w:fldChar w:fldCharType="begin"/>
        <w:instrText xml:space="preserve">PAGEREF b_1_4 \h</w:instrText>
        <w:fldChar w:fldCharType="separate"/>
        <w:t xml:space="preserve">104</w:t>
        <w:fldChar w:fldCharType="end"/>
      </w:r>
      <w:r>
        <w:t xml:space="preserve">.</w:t>
      </w:r>
    </w:p>
    <w:p>
      <w:pPr>
        <w:pStyle w:val="Fuente"/>
      </w:pPr>
      <w:r>
        <w:t xml:space="preserve">Véase </w:t>
      </w:r>
      <w:hyperlink w:history="1" w:anchor="b_1_2">
        <w:r>
          <w:rPr>
            <w:color w:val="156B70"/>
            <w:u w:val="single"/>
          </w:rPr>
          <w:t xml:space="preserve">capítulo 1.2 · Escalera de inferencias</w:t>
        </w:r>
      </w:hyperlink>
      <w:r>
        <w:t xml:space="preserve">, pág. </w:t>
      </w:r>
      <w:r>
        <w:fldChar w:fldCharType="begin"/>
        <w:instrText xml:space="preserve">PAGEREF b_1_2 \h</w:instrText>
        <w:fldChar w:fldCharType="separate"/>
        <w:t xml:space="preserve">55</w:t>
        <w:fldChar w:fldCharType="end"/>
      </w:r>
      <w:r>
        <w:t xml:space="preserve">.</w:t>
      </w:r>
    </w:p>
    <w:p>
      <w:pPr>
        <w:pStyle w:val="Fuente"/>
      </w:pPr>
      <w:r>
        <w:t xml:space="preserve">Véase </w:t>
      </w:r>
      <w:hyperlink w:history="1" w:anchor="b_1_5">
        <w:r>
          <w:rPr>
            <w:color w:val="156B70"/>
            <w:u w:val="single"/>
          </w:rPr>
          <w:t xml:space="preserve">capítulo 1.5 · Perspectivas</w:t>
        </w:r>
      </w:hyperlink>
      <w:r>
        <w:t xml:space="preserve">, pág. </w:t>
      </w:r>
      <w:r>
        <w:fldChar w:fldCharType="begin"/>
        <w:instrText xml:space="preserve">PAGEREF b_1_5 \h</w:instrText>
        <w:fldChar w:fldCharType="separate"/>
        <w:t xml:space="preserve">125</w:t>
        <w:fldChar w:fldCharType="end"/>
      </w:r>
      <w:r>
        <w:t xml:space="preserve">.</w:t>
      </w:r>
    </w:p>
    <w:p>
      <w:pPr>
        <w:pStyle w:val="Heading3"/>
      </w:pPr>
      <w:bookmarkStart w:name="b_clase_1_1_c6_cap_01" w:id="252"/>
      <w:r>
        <w:t xml:space="preserve">Clase 6 · 00:01:45–00:07:10 · Apertura: se cierra la unidad 1 y se abre la unidad 2</w:t>
      </w:r>
      <w:bookmarkEnd w:id="252"/>
    </w:p>
    <w:p>
      <w:bookmarkStart w:name="b_punto_c6_cap_01_p02" w:id="253"/>
      <w:r>
        <w:t xml:space="preserve">La Unidad 1 estudió sistemas abstractos diseñados, modelos mentales o paradigmas, sus operaciones y la escalera de inferencias o inducción.</w:t>
      </w:r>
      <w:bookmarkEnd w:id="253"/>
    </w:p>
    <w:p>
      <w:bookmarkStart w:name="b_punto_c6_cap_01_p03" w:id="254"/>
      <w:r>
        <w:t xml:space="preserve">El perfil del pensador sistémico usa cuatro hábitos de modelos mentales para trabajar con los sistemas de creencias.</w:t>
      </w:r>
      <w:bookmarkEnd w:id="254"/>
    </w:p>
    <w:p>
      <w:pPr>
        <w:pStyle w:val="Fuente"/>
      </w:pPr>
      <w:r>
        <w:t xml:space="preserve">Véase </w:t>
      </w:r>
      <w:hyperlink w:history="1" w:anchor="b_1_3">
        <w:r>
          <w:rPr>
            <w:color w:val="156B70"/>
            <w:u w:val="single"/>
          </w:rPr>
          <w:t xml:space="preserve">capítulo 1.3 · El paradigma de sistemas</w:t>
        </w:r>
      </w:hyperlink>
      <w:r>
        <w:t xml:space="preserve">, pág. </w:t>
      </w:r>
      <w:r>
        <w:fldChar w:fldCharType="begin"/>
        <w:instrText xml:space="preserve">PAGEREF b_1_3 \h</w:instrText>
        <w:fldChar w:fldCharType="separate"/>
        <w:t xml:space="preserve">83</w:t>
        <w:fldChar w:fldCharType="end"/>
      </w:r>
      <w:r>
        <w:t xml:space="preserve">.</w:t>
      </w:r>
    </w:p>
    <w:p>
      <w:pPr>
        <w:pStyle w:val="Fuente"/>
      </w:pPr>
      <w:r>
        <w:t xml:space="preserve">Véase </w:t>
      </w:r>
      <w:hyperlink w:history="1" w:anchor="b_2_1">
        <w:r>
          <w:rPr>
            <w:color w:val="156B70"/>
            <w:u w:val="single"/>
          </w:rPr>
          <w:t xml:space="preserve">capítulo 2.1 · Visión general</w:t>
        </w:r>
      </w:hyperlink>
      <w:r>
        <w:t xml:space="preserve">, pág. </w:t>
      </w:r>
      <w:r>
        <w:fldChar w:fldCharType="begin"/>
        <w:instrText xml:space="preserve">PAGEREF b_2_1 \h</w:instrText>
        <w:fldChar w:fldCharType="separate"/>
        <w:t xml:space="preserve">222</w:t>
        <w:fldChar w:fldCharType="end"/>
      </w:r>
      <w:r>
        <w:t xml:space="preserve">.</w:t>
      </w:r>
    </w:p>
    <w:p>
      <w:pPr>
        <w:pStyle w:val="Heading3"/>
      </w:pPr>
      <w:bookmarkStart w:name="b_clase_1_1_c6_cap_02" w:id="255"/>
      <w:r>
        <w:t xml:space="preserve">Clase 6 · 00:07:10–00:10:40 · Encuadre de la unidad 2, el parcial y el límite del paradigma</w:t>
      </w:r>
      <w:bookmarkEnd w:id="255"/>
    </w:p>
    <w:p>
      <w:bookmarkStart w:name="b_punto_c6_cap_02_p03" w:id="256"/>
      <w:r>
        <w:t xml:space="preserve">Los cuatro hábitos se articulan alrededor del modelo mental: reconocerlo, ponerlo a prueba y enriquecerlo con perspectivas hacia la película completa.</w:t>
      </w:r>
      <w:bookmarkEnd w:id="256"/>
    </w:p>
    <w:p>
      <w:bookmarkStart w:name="b_punto_c6_cap_02_p04" w:id="257"/>
      <w:r>
        <w:t xml:space="preserve">En la definición de Barker, las reglas explícitas o implícitas que permiten actuar exitosamente también delimitan y restringen la interpretación.</w:t>
      </w:r>
      <w:bookmarkEnd w:id="257"/>
    </w:p>
    <w:p>
      <w:pPr>
        <w:pStyle w:val="Fuente"/>
      </w:pPr>
      <w:r>
        <w:t xml:space="preserve">Véase </w:t>
      </w:r>
      <w:hyperlink w:history="1" w:anchor="b_senales_examen">
        <w:r>
          <w:rPr>
            <w:color w:val="156B70"/>
            <w:u w:val="single"/>
          </w:rPr>
          <w:t xml:space="preserve">1 indicación(es) de examen de este tramo, en el apéndice cronológico</w:t>
        </w:r>
      </w:hyperlink>
      <w:r>
        <w:t xml:space="preserve">, pág. </w:t>
      </w:r>
      <w:r>
        <w:fldChar w:fldCharType="begin"/>
        <w:instrText xml:space="preserve">PAGEREF b_senales_examen \h</w:instrText>
        <w:fldChar w:fldCharType="separate"/>
        <w:t xml:space="preserve">1663</w:t>
        <w:fldChar w:fldCharType="end"/>
      </w:r>
      <w:r>
        <w:t xml:space="preserve">.</w:t>
      </w:r>
    </w:p>
    <w:p>
      <w:pPr>
        <w:pStyle w:val="Heading3"/>
      </w:pPr>
      <w:bookmarkStart w:name="b_clase_1_1_c6_cap_05" w:id="258"/>
      <w:r>
        <w:t xml:space="preserve">Clase 6 · 00:25:03–00:32:20 · ¿Se puede vivir sin sistemas de creencias?</w:t>
      </w:r>
      <w:bookmarkEnd w:id="258"/>
    </w:p>
    <w:p>
      <w:bookmarkStart w:name="b_punto_c6_cap_05_p02" w:id="259"/>
      <w:r>
        <w:t xml:space="preserve">Repetir comportamientos derivados de supuestos conscientes o inconscientes crea hábitos; las reglas de Barker pueden sesgar las alternativas consideradas.</w:t>
      </w:r>
      <w:bookmarkEnd w:id="259"/>
    </w:p>
    <w:p>
      <w:bookmarkStart w:name="b_punto_c6_cap_05_p03" w:id="260"/>
      <w:r>
        <w:t xml:space="preserve">Una práctica posible consiste en suspender temporalmente algunos modelos y mantener activos los realmente necesarios, sin pretender abolir toda representación.</w:t>
      </w:r>
      <w:bookmarkEnd w:id="260"/>
    </w:p>
    <w:p>
      <w:bookmarkStart w:name="b_punto_c6_cap_05_p04" w:id="261"/>
      <w:r>
        <w:t xml:space="preserve">La inferencia seguirá ocurriendo; la ganancia es dejar entrar información del momento y evitar decidir sólo con datos limitados de un evento pasado.</w:t>
      </w:r>
      <w:bookmarkEnd w:id="261"/>
    </w:p>
    <w:p>
      <w:bookmarkStart w:name="b_punto_c6_cap_05_p05" w:id="262"/>
      <w:r>
        <w:t xml:space="preserve">El profesor duda de que sea posible vivir sin ningún sistema de creencias y distingue esa cuestión filosófica de la tarea del curso: construir modelos mentales sistémicos.</w:t>
      </w:r>
      <w:bookmarkEnd w:id="262"/>
    </w:p>
    <w:p>
      <w:bookmarkStart w:name="b_punto_c6_cap_05_p06" w:id="263"/>
      <w:r>
        <w:t xml:space="preserve">Se pueden hacer conscientes los modelos, enriquecerlos hasta volverlos sistémicos o suspenderlos al reconocer su falta de utilidad.</w:t>
      </w:r>
      <w:bookmarkEnd w:id="263"/>
    </w:p>
    <w:p>
      <w:pPr>
        <w:pStyle w:val="Heading3"/>
      </w:pPr>
      <w:bookmarkStart w:name="b_clase_1_1_c6_cap_06" w:id="264"/>
      <w:r>
        <w:t xml:space="preserve">Clase 6 · 00:32:20–00:40:30 · La tarea de Guadalupe Nogués: tribalismo, pluralismo y escucha</w:t>
      </w:r>
      <w:bookmarkEnd w:id="264"/>
    </w:p>
    <w:p>
      <w:bookmarkStart w:name="b_punto_c6_cap_06_p02" w:id="265"/>
      <w:r>
        <w:t xml:space="preserve">Los modelos mentales son creaciones o adopciones temporales que se usan como herramientas; la persona no es idéntica al conjunto de sus ideas.</w:t>
      </w:r>
      <w:bookmarkEnd w:id="265"/>
    </w:p>
    <w:p>
      <w:bookmarkStart w:name="b_punto_c6_cap_06_p03" w:id="266"/>
      <w:r>
        <w:t xml:space="preserve">Hablar sólo con quienes comparten una perspectiva limita la información y facilita efecto paradigma y parálisis de paradigma.</w:t>
      </w:r>
      <w:bookmarkEnd w:id="266"/>
    </w:p>
    <w:p>
      <w:bookmarkStart w:name="b_punto_c6_cap_06_p04" w:id="267"/>
      <w:r>
        <w:t xml:space="preserve">Se puede criticar una idea sin atacar a la persona; quien no reconoce la diferencia puede sentir una crítica al modelo como ataque personal.</w:t>
      </w:r>
      <w:bookmarkEnd w:id="267"/>
    </w:p>
    <w:p>
      <w:bookmarkStart w:name="b_punto_c6_cap_06_p05" w:id="268"/>
      <w:r>
        <w:t xml:space="preserve">La síntesis de Nogués articula pluralismo, escucha además de argumentación y separación entre ideas y personas.</w:t>
      </w:r>
      <w:bookmarkEnd w:id="268"/>
    </w:p>
    <w:p>
      <w:bookmarkStart w:name="b_punto_c6_cap_06_p06" w:id="269"/>
      <w:r>
        <w:t xml:space="preserve">Las ideas adoptadas por inducción o réplica pueden dirigir acciones repetidas y sostener resultados inadecuados cuando ya no representan la realidad vigente.</w:t>
      </w:r>
      <w:bookmarkEnd w:id="269"/>
    </w:p>
    <w:p>
      <w:bookmarkStart w:name="b_punto_c6_cap_06_p07" w:id="270"/>
      <w:r>
        <w:t xml:space="preserve">Cambiar la perspectiva cambia las decisiones y aumenta la posibilidad de otros resultados, conservando respeto por las personas y crítica constructiva a las ideas.</w:t>
      </w:r>
      <w:bookmarkEnd w:id="270"/>
    </w:p>
    <w:p>
      <w:pPr>
        <w:pStyle w:val="Heading3"/>
      </w:pPr>
      <w:bookmarkStart w:name="b_clase_1_1_c6_cap_12" w:id="271"/>
      <w:r>
        <w:t xml:space="preserve">Clase 6 · 01:22:09–01:39:23 · El bucle con el mundo real y las cuatro reglas de Cabrera</w:t>
      </w:r>
      <w:bookmarkEnd w:id="271"/>
    </w:p>
    <w:p>
      <w:bookmarkStart w:name="b_punto_c6_cap_12_p01" w:id="272"/>
      <w:r>
        <w:t xml:space="preserve">Los modelos mentales son sistemas abstractos usados para interpretar el mundo y decidir acciones en él.</w:t>
      </w:r>
      <w:bookmarkEnd w:id="272"/>
    </w:p>
    <w:p>
      <w:bookmarkStart w:name="b_punto_c6_cap_12_p02" w:id="273"/>
      <w:r>
        <w:t xml:space="preserve">El mundo devuelve información después de actuar: confirma resultados o revela fallas y supuestos insuficientes.</w:t>
      </w:r>
      <w:bookmarkEnd w:id="273"/>
    </w:p>
    <w:p>
      <w:bookmarkStart w:name="b_punto_c6_cap_12_p03" w:id="274"/>
      <w:r>
        <w:t xml:space="preserve">La información devuelta permite reflexionar, ampliar o confirmar el modelo; esta experimentación constituye su utilidad práctica.</w:t>
      </w:r>
      <w:bookmarkEnd w:id="274"/>
    </w:p>
    <w:p>
      <w:bookmarkStart w:name="b_punto_c6_cap_12_p04" w:id="275"/>
      <w:r>
        <w:t xml:space="preserve">Una representación parcial puede producir resultados que unas veces se cumplen y otras no se mantienen, por lo que requiere contraste y revisión.</w:t>
      </w:r>
      <w:bookmarkEnd w:id="275"/>
    </w:p>
    <w:p>
      <w:bookmarkStart w:name="b_punto_c6_cap_12_p06" w:id="276"/>
      <w:r>
        <w:t xml:space="preserve">Un sistema de creencias es un sistema adaptativo complejo de conceptos e ideas interconectadas que constituyen una estructura representativa.</w:t>
      </w:r>
      <w:bookmarkEnd w:id="276"/>
    </w:p>
    <w:p>
      <w:bookmarkStart w:name="b_punto_c6_cap_12_p07" w:id="277"/>
      <w:r>
        <w:t xml:space="preserve">Un CAS combina reglas simples y elementos múltiples; es diverso y complejo por interconexión y adaptativo por capacidad de aprender y cambiar.</w:t>
      </w:r>
      <w:bookmarkEnd w:id="277"/>
    </w:p>
    <w:p>
      <w:bookmarkStart w:name="b_punto_c6_cap_12_p08" w:id="278"/>
      <w:r>
        <w:t xml:space="preserve">Cambios en componentes y totalidad se influyen mutuamente; aprender permite reorganizar la representación y adaptarla al entorno para mantener vigencia.</w:t>
      </w:r>
      <w:bookmarkEnd w:id="278"/>
    </w:p>
    <w:p>
      <w:bookmarkStart w:name="b_punto_c6_cap_12_p09" w:id="279"/>
      <w:r>
        <w:t xml:space="preserve">El pensamiento sistémico emerge de pensar: la propiedad emergente pertenece al sistema completo en funcionamiento y no a una parte individual.</w:t>
      </w:r>
      <w:bookmarkEnd w:id="279"/>
    </w:p>
    <w:p>
      <w:pPr>
        <w:pStyle w:val="Fuente"/>
      </w:pPr>
      <w:r>
        <w:t xml:space="preserve">Véase </w:t>
      </w:r>
      <w:hyperlink w:history="1" w:anchor="b_senales_examen">
        <w:r>
          <w:rPr>
            <w:color w:val="156B70"/>
            <w:u w:val="single"/>
          </w:rPr>
          <w:t xml:space="preserve">1 indicación(es) de examen de este tramo, en el apéndice cronológico</w:t>
        </w:r>
      </w:hyperlink>
      <w:r>
        <w:t xml:space="preserve">, pág. </w:t>
      </w:r>
      <w:r>
        <w:fldChar w:fldCharType="begin"/>
        <w:instrText xml:space="preserve">PAGEREF b_senales_examen \h</w:instrText>
        <w:fldChar w:fldCharType="separate"/>
        <w:t xml:space="preserve">1663</w:t>
        <w:fldChar w:fldCharType="end"/>
      </w:r>
      <w:r>
        <w:t xml:space="preserve">.</w:t>
      </w:r>
    </w:p>
    <w:p>
      <w:pPr>
        <w:pStyle w:val="Fuente"/>
      </w:pPr>
      <w:r>
        <w:t xml:space="preserve">Véase </w:t>
      </w:r>
      <w:hyperlink w:history="1" w:anchor="b_1_6">
        <w:r>
          <w:rPr>
            <w:color w:val="156B70"/>
            <w:u w:val="single"/>
          </w:rPr>
          <w:t xml:space="preserve">capítulo 1.6 · Operaciones DSRP</w:t>
        </w:r>
      </w:hyperlink>
      <w:r>
        <w:t xml:space="preserve">, pág. </w:t>
      </w:r>
      <w:r>
        <w:fldChar w:fldCharType="begin"/>
        <w:instrText xml:space="preserve">PAGEREF b_1_6 \h</w:instrText>
        <w:fldChar w:fldCharType="separate"/>
        <w:t xml:space="preserve">150</w:t>
        <w:fldChar w:fldCharType="end"/>
      </w:r>
      <w:r>
        <w:t xml:space="preserve">.</w:t>
      </w:r>
    </w:p>
    <w:p>
      <w:pPr>
        <w:pStyle w:val="Heading3"/>
      </w:pPr>
      <w:bookmarkStart w:name="b_clase_1_1_c9_cap_06" w:id="280"/>
      <w:r>
        <w:t xml:space="preserve">Clase 9 · 00:36:34–00:43:44 · Retroalimentación, modelos mentales y la ambigüedad de Checkland</w:t>
      </w:r>
      <w:bookmarkEnd w:id="280"/>
    </w:p>
    <w:p>
      <w:bookmarkStart w:name="b_punto_c9_cap_06_p01" w:id="281"/>
      <w:r>
        <w:t xml:space="preserve">El mapa introduce feedback positivo/negativo y estructuras no lineales cuyo estudio detallado llegará en U3.</w:t>
      </w:r>
      <w:bookmarkEnd w:id="281"/>
    </w:p>
    <w:p>
      <w:bookmarkStart w:name="b_punto_c9_cap_06_p02" w:id="282"/>
      <w:r>
        <w:t xml:space="preserve">Modelos mentales orientan acciones; éstas generan resultados y la información percibida permite contrastar supuestos y aprender.</w:t>
      </w:r>
      <w:bookmarkEnd w:id="282"/>
    </w:p>
    <w:p>
      <w:bookmarkStart w:name="b_punto_c9_cap_06_p03" w:id="283"/>
      <w:r>
        <w:t xml:space="preserve">El retorno puede confirmar el modelo o mostrar lo que no encaja; corregirlo para mantener su representatividad se presenta como retroalimentación negativa.</w:t>
      </w:r>
      <w:bookmarkEnd w:id="283"/>
    </w:p>
    <w:p>
      <w:bookmarkStart w:name="b_punto_c9_cap_06_p04" w:id="284"/>
      <w:r>
        <w:t xml:space="preserve">La familia admite actividad humana y natural según la mirada: personas organizadas y agrupación natural que crece y evoluciona.</w:t>
      </w:r>
      <w:bookmarkEnd w:id="284"/>
    </w:p>
    <w:p>
      <w:pPr>
        <w:pStyle w:val="Fuente"/>
      </w:pPr>
      <w:r>
        <w:t xml:space="preserve">Véase </w:t>
      </w:r>
      <w:hyperlink w:history="1" w:anchor="b_2_6">
        <w:r>
          <w:rPr>
            <w:color w:val="156B70"/>
            <w:u w:val="single"/>
          </w:rPr>
          <w:t xml:space="preserve">capítulo 2.6 · Complejidad sistémica</w:t>
        </w:r>
      </w:hyperlink>
      <w:r>
        <w:t xml:space="preserve">, pág. </w:t>
      </w:r>
      <w:r>
        <w:fldChar w:fldCharType="begin"/>
        <w:instrText xml:space="preserve">PAGEREF b_2_6 \h</w:instrText>
        <w:fldChar w:fldCharType="separate"/>
        <w:t xml:space="preserve">308</w:t>
        <w:fldChar w:fldCharType="end"/>
      </w:r>
      <w:r>
        <w:t xml:space="preserve">.</w:t>
      </w:r>
    </w:p>
    <w:p>
      <w:pPr>
        <w:pStyle w:val="Heading3"/>
      </w:pPr>
      <w:bookmarkStart w:name="b_clase_1_1_c18_cap_01" w:id="285"/>
      <w:r>
        <w:t xml:space="preserve">Clase 18 · 00:09:30–00:26:24 · Calificaciones y revisión del primer parcial</w:t>
      </w:r>
      <w:bookmarkEnd w:id="285"/>
    </w:p>
    <w:p>
      <w:bookmarkStart w:name="b_punto_c18_cap_01_p02" w:id="286"/>
      <w:r>
        <w:t xml:space="preserve">La pregunta negativa sobre paradigmas exige leer qué atributo NO se pide, no sólo la letra del inciso.</w:t>
      </w:r>
      <w:bookmarkEnd w:id="286"/>
    </w:p>
    <w:p>
      <w:bookmarkStart w:name="b_punto_c18_cap_01_p03" w:id="287"/>
      <w:r>
        <w:t xml:space="preserve">Para quien usa un paradigma el suyo puede parecer correcto; el análisis sistémico reconoce varias perspectivas y respuestas válidas.</w:t>
      </w:r>
      <w:bookmarkEnd w:id="287"/>
    </w:p>
    <w:p>
      <w:bookmarkStart w:name="b_punto_c18_cap_01_p04" w:id="288"/>
      <w:r>
        <w:t xml:space="preserve">Aferrarse a reglas o creencias puede producir resistencia al cambio y parálisis paradigmática.</w:t>
      </w:r>
      <w:bookmarkEnd w:id="288"/>
    </w:p>
    <w:p>
      <w:bookmarkStart w:name="b_punto_c18_cap_01_p05" w:id="289"/>
      <w:r>
        <w:t xml:space="preserve">La revisión reconoce la ambigüedad entre la perspectiva de quien usa un paradigma y quien lo estudia sistémicamente.</w:t>
      </w:r>
      <w:bookmarkEnd w:id="289"/>
    </w:p>
    <w:p>
      <w:bookmarkStart w:name="b_punto_c18_cap_01_p06" w:id="290"/>
      <w:r>
        <w:t xml:space="preserve">No se puede certificar que un modelo represente el cien por ciento de una realidad compleja; confundirlo con ella puede cerrar otras perspectivas.</w:t>
      </w:r>
      <w:bookmarkEnd w:id="290"/>
    </w:p>
    <w:p>
      <w:pPr>
        <w:pStyle w:val="Fuente"/>
      </w:pPr>
      <w:r>
        <w:t xml:space="preserve">Véase </w:t>
      </w:r>
      <w:hyperlink w:history="1" w:anchor="b_senales_examen">
        <w:r>
          <w:rPr>
            <w:color w:val="156B70"/>
            <w:u w:val="single"/>
          </w:rPr>
          <w:t xml:space="preserve">1 indicación(es) de examen de este tramo, en el apéndice cronológico</w:t>
        </w:r>
      </w:hyperlink>
      <w:r>
        <w:t xml:space="preserve">, pág. </w:t>
      </w:r>
      <w:r>
        <w:fldChar w:fldCharType="begin"/>
        <w:instrText xml:space="preserve">PAGEREF b_senales_examen \h</w:instrText>
        <w:fldChar w:fldCharType="separate"/>
        <w:t xml:space="preserve">1663</w:t>
        <w:fldChar w:fldCharType="end"/>
      </w:r>
      <w:r>
        <w:t xml:space="preserve">.</w:t>
      </w:r>
    </w:p>
    <w:p>
      <w:pPr>
        <w:pStyle w:val="Heading3"/>
      </w:pPr>
      <w:bookmarkStart w:name="b_cita_clase_1_paradigmas_creac_379d3499" w:id="291"/>
      <w:r>
        <w:t xml:space="preserve">Palabras del profesor</w:t>
      </w:r>
      <w:bookmarkEnd w:id="291"/>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El profesor lo dijo así</w:t>
            </w:r>
          </w:p>
          <w:p>
            <w:pPr>
              <w:pStyle w:val="Recuadro"/>
            </w:pPr>
            <w:r>
              <w:t xml:space="preserve">«Esos paradigmas o modelos mentales son creaciones propias de cada uno de nosotros como seres humanos, que usamos para modelar la realidad, cualquiera que esta sea.»</w:t>
            </w:r>
          </w:p>
          <w:p>
            <w:pPr>
              <w:pStyle w:val="Recuadro"/>
            </w:pPr>
            <w:r>
              <w:t xml:space="preserve">Clase 1 · 01:06:47–01:07:11</w:t>
            </w:r>
          </w:p>
        </w:tc>
      </w:tr>
    </w:tbl>
    <w:p>
      <w:pPr>
        <w:pStyle w:val="Heading3"/>
      </w:pPr>
      <w:bookmarkStart w:name="b_cita_clase_1_reglas_limites_y_exito" w:id="292"/>
      <w:r>
        <w:t xml:space="preserve">Palabras del profesor</w:t>
      </w:r>
      <w:bookmarkEnd w:id="292"/>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El profesor lo dijo así</w:t>
            </w:r>
          </w:p>
          <w:p>
            <w:pPr>
              <w:pStyle w:val="Recuadro"/>
            </w:pPr>
            <w:r>
              <w:t xml:space="preserve">«Un paradigma es un conjunto de reglas y disposiciones, escritas o no, que hacen dos cosas: establecen o definen límites, y segundo, indican cómo comportarse dentro de esos límites para tener éxito, nos dice Barker.»</w:t>
            </w:r>
          </w:p>
          <w:p>
            <w:pPr>
              <w:pStyle w:val="Recuadro"/>
            </w:pPr>
            <w:r>
              <w:t xml:space="preserve">Clase 1 · 01:17:49–01:18:30</w:t>
            </w:r>
          </w:p>
        </w:tc>
      </w:tr>
    </w:tbl>
    <w:p>
      <w:pPr>
        <w:pStyle w:val="Heading3"/>
      </w:pPr>
      <w:bookmarkStart w:name="b_cita_clase_1_agua_para_el_pez" w:id="293"/>
      <w:r>
        <w:t xml:space="preserve">Palabras del profesor</w:t>
      </w:r>
      <w:bookmarkEnd w:id="293"/>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El profesor lo dijo así</w:t>
            </w:r>
          </w:p>
          <w:p>
            <w:pPr>
              <w:pStyle w:val="Recuadro"/>
            </w:pPr>
            <w:r>
              <w:t xml:space="preserve">«Si el pez, su naturaleza es vivir dentro del agua, entonces el mundo, el universo del pez es todo lo que está ahí debajo del agua o inmerso en el agua.»</w:t>
            </w:r>
          </w:p>
          <w:p>
            <w:pPr>
              <w:pStyle w:val="Recuadro"/>
            </w:pPr>
            <w:r>
              <w:t xml:space="preserve">Clase 1 · 01:16:05–01:16:24</w:t>
            </w:r>
          </w:p>
        </w:tc>
      </w:tr>
    </w:tbl>
    <w:p>
      <w:pPr>
        <w:pStyle w:val="Heading3"/>
      </w:pPr>
      <w:bookmarkStart w:name="b_cita_clase_2_lo_vere_cuando_lo_crea" w:id="294"/>
      <w:r>
        <w:t xml:space="preserve">Palabras del profesor</w:t>
      </w:r>
      <w:bookmarkEnd w:id="294"/>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El profesor lo dijo así</w:t>
            </w:r>
          </w:p>
          <w:p>
            <w:pPr>
              <w:pStyle w:val="Recuadro"/>
            </w:pPr>
            <w:r>
              <w:t xml:space="preserve">«El dicho más bien es «lo veré cuando lo crea», porque veo lo que supongo: las reglas que supongo, los supuestos que espero ver en esa realidad, eso es lo que veo.»</w:t>
            </w:r>
          </w:p>
          <w:p>
            <w:pPr>
              <w:pStyle w:val="Recuadro"/>
            </w:pPr>
            <w:r>
              <w:t xml:space="preserve">Clase 2 · 00:55:05–00:55:26</w:t>
            </w:r>
          </w:p>
        </w:tc>
      </w:tr>
    </w:tbl>
    <w:p>
      <w:pPr>
        <w:pStyle w:val="Heading3"/>
      </w:pPr>
      <w:bookmarkStart w:name="b_cita_clase_2_paradigmas_no_so_ffebbbfe" w:id="295"/>
      <w:r>
        <w:t xml:space="preserve">Palabras del profesor</w:t>
      </w:r>
      <w:bookmarkEnd w:id="295"/>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El profesor lo dijo así</w:t>
            </w:r>
          </w:p>
          <w:p>
            <w:pPr>
              <w:pStyle w:val="Recuadro"/>
            </w:pPr>
            <w:r>
              <w:t xml:space="preserve">«Los paradigmas no son una herencia grabada en nuestro organismo que no podemos cambiar. No es algo que venga ya predestinado en nuestros sistemas abstractos.»</w:t>
            </w:r>
          </w:p>
          <w:p>
            <w:pPr>
              <w:pStyle w:val="Recuadro"/>
            </w:pPr>
            <w:r>
              <w:t xml:space="preserve">Clase 2 · 01:10:09–01:10:31</w:t>
            </w:r>
          </w:p>
        </w:tc>
      </w:tr>
    </w:tbl>
    <w:p>
      <w:pPr>
        <w:pStyle w:val="Heading3"/>
      </w:pPr>
      <w:bookmarkStart w:name="b_cita_clase_2_flexibilidad_de__ea83f6bd" w:id="296"/>
      <w:r>
        <w:t xml:space="preserve">Palabras del profesor</w:t>
      </w:r>
      <w:bookmarkEnd w:id="296"/>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El profesor lo dijo así</w:t>
            </w:r>
          </w:p>
          <w:p>
            <w:pPr>
              <w:pStyle w:val="Recuadro"/>
            </w:pPr>
            <w:r>
              <w:t xml:space="preserve">«La flexibilidad de paradigmas es esa habilidad de ser conscientes de nuestro paradigma, de nuestros modelos mentales, de los puntos de vista que nos limitan, del efecto paradigma y del peligro de la parálisis de paradigma.»</w:t>
            </w:r>
          </w:p>
          <w:p>
            <w:pPr>
              <w:pStyle w:val="Recuadro"/>
            </w:pPr>
            <w:r>
              <w:t xml:space="preserve">Clase 2 · 01:14:19–01:14:46</w:t>
            </w:r>
          </w:p>
        </w:tc>
      </w:tr>
    </w:tbl>
    <w:p>
      <w:pPr>
        <w:pStyle w:val="Heading3"/>
      </w:pPr>
      <w:bookmarkStart w:name="b_cita_clase_2_paralisis_provoc_b3bec5a5" w:id="297"/>
      <w:r>
        <w:t xml:space="preserve">Palabras del profesor</w:t>
      </w:r>
      <w:bookmarkEnd w:id="297"/>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El profesor lo dijo así</w:t>
            </w:r>
          </w:p>
          <w:p>
            <w:pPr>
              <w:pStyle w:val="Recuadro"/>
            </w:pPr>
            <w:r>
              <w:t xml:space="preserve">«Esa parálisis de paradigma nos provoca la resistencia al cambio, que nos impide cambiar un paradigma previo que ya hemos adquirido y que nos ha sido útil durante un gran periodo de tiempo.»</w:t>
            </w:r>
          </w:p>
          <w:p>
            <w:pPr>
              <w:pStyle w:val="Recuadro"/>
            </w:pPr>
            <w:r>
              <w:t xml:space="preserve">Clase 2 · 00:39:33–00:40:06</w:t>
            </w:r>
          </w:p>
        </w:tc>
      </w:tr>
    </w:tbl>
    <w:p>
      <w:pPr>
        <w:pStyle w:val="Heading3"/>
      </w:pPr>
      <w:bookmarkStart w:name="b_cita_clase_6_el_mundo_real_no_ae7e1b3f" w:id="298"/>
      <w:r>
        <w:t xml:space="preserve">Palabras del profesor</w:t>
      </w:r>
      <w:bookmarkEnd w:id="298"/>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El profesor lo dijo así</w:t>
            </w:r>
          </w:p>
          <w:p>
            <w:pPr>
              <w:pStyle w:val="Recuadro"/>
            </w:pPr>
            <w:r>
              <w:t xml:space="preserve">«Cuando actuamos, cuando buscamos esos objetivos, cuando esperamos unos resultados de acuerdo a lo que hacemos, el mundo real nos retroalimenta: nos da información de vuelta que nos confirma o nos deja ver que posiblemente lo que hicimos funcionó o no funcionó, logró resultados o no los logró.»</w:t>
            </w:r>
          </w:p>
          <w:p>
            <w:pPr>
              <w:pStyle w:val="Recuadro"/>
            </w:pPr>
            <w:r>
              <w:t xml:space="preserve">Clase 6 · 01:23:13–01:23:40</w:t>
            </w:r>
          </w:p>
        </w:tc>
      </w:tr>
    </w:tbl>
    <w:p>
      <w:pPr>
        <w:pStyle w:val="Heading3"/>
      </w:pPr>
      <w:r>
        <w:t xml:space="preserve">Errores frecuentes y trampa de examen</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9C620A" w:sz="20"/>
              <w:bottom w:val="nil"/>
              <w:right w:val="nil"/>
            </w:tcBorders>
            <w:shd w:fill="FBF3DF" w:val="clear"/>
            <w:tcMar>
              <w:top w:type="dxa" w:w="130"/>
              <w:left w:type="dxa" w:w="180"/>
              <w:bottom w:type="dxa" w:w="130"/>
              <w:right w:type="dxa" w:w="180"/>
            </w:tcMar>
          </w:tcPr>
          <w:p>
            <w:pPr>
              <w:pStyle w:val="RecuadroTitulo"/>
            </w:pPr>
            <w:r>
              <w:rPr>
                <w:b/>
                <w:bCs/>
                <w:color w:val="9C620A"/>
              </w:rPr>
              <w:t xml:space="preserve">Error → corrección</w:t>
            </w:r>
          </w:p>
          <w:p>
            <w:pPr>
              <w:pStyle w:val="Recuadro"/>
            </w:pPr>
            <w:r>
              <w:rPr>
                <w:b/>
                <w:bCs/>
              </w:rPr>
              <w:t xml:space="preserve">Error:</w:t>
            </w:r>
            <w:r>
              <w:t xml:space="preserve"> Tomar «flexibles» por una característica de los paradigmas.</w:t>
            </w:r>
          </w:p>
          <w:p>
            <w:pPr>
              <w:pStyle w:val="Recuadro"/>
            </w:pPr>
            <w:r>
              <w:rPr>
                <w:b/>
                <w:bCs/>
              </w:rPr>
              <w:t xml:space="preserve">Corrección:</w:t>
            </w:r>
            <w:r>
              <w:t xml:space="preserve"> Son comunes, útiles y elegibles; la flexibilidad es una habilidad de la persona: ser consciente de su paradigma, del efecto paradigma y del peligro de la parálisis.</w:t>
            </w:r>
          </w:p>
          <w:p>
            <w:pPr>
              <w:pStyle w:val="Recuadro"/>
            </w:pPr>
            <w:r>
              <w:t xml:space="preserve">Clase 2 · 00:23:27–00:29:08 · 01:09:58–01:11:49 · 01:13:51–01:14:46</w:t>
            </w:r>
          </w:p>
        </w:tc>
      </w:tr>
    </w:tbl>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9C620A" w:sz="20"/>
              <w:bottom w:val="nil"/>
              <w:right w:val="nil"/>
            </w:tcBorders>
            <w:shd w:fill="FBF3DF" w:val="clear"/>
            <w:tcMar>
              <w:top w:type="dxa" w:w="130"/>
              <w:left w:type="dxa" w:w="180"/>
              <w:bottom w:type="dxa" w:w="130"/>
              <w:right w:type="dxa" w:w="180"/>
            </w:tcMar>
          </w:tcPr>
          <w:p>
            <w:pPr>
              <w:pStyle w:val="RecuadroTitulo"/>
            </w:pPr>
            <w:r>
              <w:rPr>
                <w:b/>
                <w:bCs/>
                <w:color w:val="9C620A"/>
              </w:rPr>
              <w:t xml:space="preserve">Error → corrección</w:t>
            </w:r>
          </w:p>
          <w:p>
            <w:pPr>
              <w:pStyle w:val="Recuadro"/>
            </w:pPr>
            <w:r>
              <w:rPr>
                <w:b/>
                <w:bCs/>
              </w:rPr>
              <w:t xml:space="preserve">Error:</w:t>
            </w:r>
            <w:r>
              <w:t xml:space="preserve"> Confundir el efecto paradigma con la parálisis de paradigma.</w:t>
            </w:r>
          </w:p>
          <w:p>
            <w:pPr>
              <w:pStyle w:val="Recuadro"/>
            </w:pPr>
            <w:r>
              <w:rPr>
                <w:b/>
                <w:bCs/>
              </w:rPr>
              <w:t xml:space="preserve">Corrección:</w:t>
            </w:r>
            <w:r>
              <w:t xml:space="preserve"> El efecto es el filtro: sólo se ve aquello en lo que se cree; la parálisis es la enfermedad de certidumbre: el paradigma se vuelve verdad absoluta y rechaza lo que no coincide.</w:t>
            </w:r>
          </w:p>
          <w:p>
            <w:pPr>
              <w:pStyle w:val="Recuadro"/>
            </w:pPr>
            <w:r>
              <w:t xml:space="preserve">Clase 2 · 00:33:59–00:47:15 · 00:51:36–00:53:52 · 00:59:00–00:59:14</w:t>
            </w:r>
          </w:p>
        </w:tc>
      </w:tr>
    </w:tbl>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9C620A" w:sz="20"/>
              <w:bottom w:val="nil"/>
              <w:right w:val="nil"/>
            </w:tcBorders>
            <w:shd w:fill="FBF3DF" w:val="clear"/>
            <w:tcMar>
              <w:top w:type="dxa" w:w="130"/>
              <w:left w:type="dxa" w:w="180"/>
              <w:bottom w:type="dxa" w:w="130"/>
              <w:right w:type="dxa" w:w="180"/>
            </w:tcMar>
          </w:tcPr>
          <w:p>
            <w:pPr>
              <w:pStyle w:val="RecuadroTitulo"/>
            </w:pPr>
            <w:r>
              <w:rPr>
                <w:b/>
                <w:bCs/>
                <w:color w:val="9C620A"/>
              </w:rPr>
              <w:t xml:space="preserve">Error → corrección</w:t>
            </w:r>
          </w:p>
          <w:p>
            <w:pPr>
              <w:pStyle w:val="Recuadro"/>
            </w:pPr>
            <w:r>
              <w:rPr>
                <w:b/>
                <w:bCs/>
              </w:rPr>
              <w:t xml:space="preserve">Error:</w:t>
            </w:r>
            <w:r>
              <w:t xml:space="preserve"> Creer que habría que vivir sin paradigmas.</w:t>
            </w:r>
          </w:p>
          <w:p>
            <w:pPr>
              <w:pStyle w:val="Recuadro"/>
            </w:pPr>
            <w:r>
              <w:rPr>
                <w:b/>
                <w:bCs/>
              </w:rPr>
              <w:t xml:space="preserve">Corrección:</w:t>
            </w:r>
            <w:r>
              <w:t xml:space="preserve"> Usar paradigmas no es malo; lo malo es no ser conscientes de ellos: sin ellos habría que repensar todo lo ya pensado; conviene conservarlos para lo frecuente y usar modelos sistémicos para lo complejo.</w:t>
            </w:r>
          </w:p>
          <w:p>
            <w:pPr>
              <w:pStyle w:val="Recuadro"/>
            </w:pPr>
            <w:r>
              <w:t xml:space="preserve">Clase 2 · 00:34:59–00:35:45 · 00:46:46–00:47:15 · Clase 5 · 01:06:13–01:10:18</w:t>
            </w:r>
          </w:p>
        </w:tc>
      </w:tr>
    </w:tbl>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9C620A" w:sz="20"/>
              <w:bottom w:val="nil"/>
              <w:right w:val="nil"/>
            </w:tcBorders>
            <w:shd w:fill="FBF3DF" w:val="clear"/>
            <w:tcMar>
              <w:top w:type="dxa" w:w="130"/>
              <w:left w:type="dxa" w:w="180"/>
              <w:bottom w:type="dxa" w:w="130"/>
              <w:right w:type="dxa" w:w="180"/>
            </w:tcMar>
          </w:tcPr>
          <w:p>
            <w:pPr>
              <w:pStyle w:val="RecuadroTitulo"/>
            </w:pPr>
            <w:r>
              <w:rPr>
                <w:b/>
                <w:bCs/>
                <w:color w:val="9C620A"/>
              </w:rPr>
              <w:t xml:space="preserve">Error → corrección</w:t>
            </w:r>
          </w:p>
          <w:p>
            <w:pPr>
              <w:pStyle w:val="Recuadro"/>
            </w:pPr>
            <w:r>
              <w:rPr>
                <w:b/>
                <w:bCs/>
              </w:rPr>
              <w:t xml:space="preserve">Error:</w:t>
            </w:r>
            <w:r>
              <w:t xml:space="preserve"> Suponer una sola respuesta correcta o un paradigma siempre correcto.</w:t>
            </w:r>
          </w:p>
          <w:p>
            <w:pPr>
              <w:pStyle w:val="Recuadro"/>
            </w:pPr>
            <w:r>
              <w:rPr>
                <w:b/>
                <w:bCs/>
              </w:rPr>
              <w:t xml:space="preserve">Corrección:</w:t>
            </w:r>
            <w:r>
              <w:t xml:space="preserve"> Quien piensa que existe sólo una respuesta correcta desconoce la esencia de los paradigmas: hasta en matemáticas hay varios algoritmos.</w:t>
            </w:r>
          </w:p>
          <w:p>
            <w:pPr>
              <w:pStyle w:val="Recuadro"/>
            </w:pPr>
            <w:r>
              <w:t xml:space="preserve">Clase 2 · 01:00:15–01:00:59 · 01:04:50–01:05:18 · 01:09:58–01:11:49</w:t>
            </w:r>
          </w:p>
        </w:tc>
      </w:tr>
    </w:tbl>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9C620A" w:sz="20"/>
              <w:bottom w:val="nil"/>
              <w:right w:val="nil"/>
            </w:tcBorders>
            <w:shd w:fill="FBF3DF" w:val="clear"/>
            <w:tcMar>
              <w:top w:type="dxa" w:w="130"/>
              <w:left w:type="dxa" w:w="180"/>
              <w:bottom w:type="dxa" w:w="130"/>
              <w:right w:type="dxa" w:w="180"/>
            </w:tcMar>
          </w:tcPr>
          <w:p>
            <w:pPr>
              <w:pStyle w:val="RecuadroTitulo"/>
            </w:pPr>
            <w:r>
              <w:rPr>
                <w:b/>
                <w:bCs/>
                <w:color w:val="9C620A"/>
              </w:rPr>
              <w:t xml:space="preserve">Trampa de examen</w:t>
            </w:r>
          </w:p>
          <w:p>
            <w:pPr>
              <w:pStyle w:val="Recuadro"/>
            </w:pPr>
            <w:r>
              <w:t xml:space="preserve">El efecto paradigma y la parálisis de paradigma no son lo mismo: el efecto es no ver (se ve lo que se espera ver y lo diferente se descarta); la parálisis es rechazar lo que otro ve y tomar el propio paradigma por verdad absoluta, con resistencia al cambio. Y «flexible» no describe al paradigma, que es común, útil y elegible, sino la habilidad del pensador frente a él.</w:t>
            </w:r>
          </w:p>
        </w:tc>
      </w:tr>
    </w:tbl>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Ampliación: lo no dictado en clase</w:t>
            </w:r>
          </w:p>
          <w:p>
            <w:pPr>
              <w:pStyle w:val="Recuadro"/>
            </w:pPr>
            <w:r>
              <w:t xml:space="preserve">La clase no desarrolló la «regla de vuelta a cero» ni otras observaciones del video de Barker más allá de las láminas de la clase 2: el video se dejó como tarea y se dio por visto. Tampoco dio los títulos de las obras de Smith y Harmon ni desarrolló «sistema de creencias» más allá de tomarlo como sinónimo de las lecturas.</w:t>
            </w:r>
          </w:p>
        </w:tc>
      </w:tr>
    </w:tbl>
    <w:p>
      <w:pPr>
        <w:pStyle w:val="Heading3"/>
      </w:pPr>
      <w:r>
        <w:t xml:space="preserve">Lecturas y tareas del curso</w:t>
      </w:r>
    </w:p>
    <w:p>
      <w:pPr>
        <w:pStyle w:val="Normal"/>
      </w:pPr>
      <w:r>
        <w:t xml:space="preserve">C-5 · Unidad 1 · Sistemas abstractos diseñados y paradigmas (presentación). 63 páginas con paradigmas, tipos de pensamiento, escalera de inferencias, iceberg, hábitos, DSRP y modelos sistémicos. Copia íntegra de la presentación del profesor.</w:t>
      </w:r>
    </w:p>
    <w:p>
      <w:pPr>
        <w:pStyle w:val="Normal"/>
      </w:pPr>
      <w:r>
        <w:t xml:space="preserve">L-1 · Modelos mentales — Joseph O’Connor. Lectura sobre los modelos mentales: cómo filtran la percepción, de dónde vienen y cómo se hacen conscientes. Fuente de la Unidad 1.</w:t>
      </w:r>
    </w:p>
    <w:p>
      <w:pPr>
        <w:pStyle w:val="Heading3"/>
      </w:pPr>
      <w:r>
        <w:t xml:space="preserve">Práctica de los laboratorios</w:t>
      </w:r>
    </w:p>
    <w:p>
      <w:pPr>
        <w:pStyle w:val="Normal"/>
      </w:pPr>
      <w:r>
        <w:t xml:space="preserve">Los procedimientos del capítulo permiten reconstruir en papel la práctica interactiva. Los laboratorios originales permanecen disponibles en la lección del portal.</w:t>
      </w:r>
    </w:p>
    <w:p>
      <w:pPr>
        <w:pStyle w:val="Normal"/>
        <w:numPr>
          <w:ilvl w:val="0"/>
          <w:numId w:val="2"/>
        </w:numPr>
      </w:pPr>
      <w:r>
        <w:t xml:space="preserve">Efecto paradigma, parálisis y certidumbre</w:t>
      </w:r>
    </w:p>
    <w:p>
      <w:pPr>
        <w:pStyle w:val="Normal"/>
        <w:numPr>
          <w:ilvl w:val="0"/>
          <w:numId w:val="2"/>
        </w:numPr>
      </w:pPr>
      <w:r>
        <w:t xml:space="preserve">Las nueve observaciones de Barker</w:t>
      </w:r>
    </w:p>
    <w:p>
      <w:pPr>
        <w:pStyle w:val="Normal"/>
        <w:numPr>
          <w:ilvl w:val="0"/>
          <w:numId w:val="2"/>
        </w:numPr>
      </w:pPr>
      <w:r>
        <w:t xml:space="preserve">Pioneros, márgenes y vuelta a cero</w:t>
      </w:r>
    </w:p>
    <w:p>
      <w:pPr>
        <w:pStyle w:val="Normal"/>
        <w:numPr>
          <w:ilvl w:val="0"/>
          <w:numId w:val="2"/>
        </w:numPr>
      </w:pPr>
      <w:r>
        <w:t xml:space="preserve">Comparar las cuatro definiciones de paradigma</w:t>
      </w:r>
    </w:p>
    <w:p>
      <w:pPr>
        <w:pStyle w:val="Normal"/>
        <w:numPr>
          <w:ilvl w:val="0"/>
          <w:numId w:val="2"/>
        </w:numPr>
      </w:pPr>
      <w:r>
        <w:t xml:space="preserve">Ver el efecto paradigma en funcionamiento</w:t>
      </w:r>
    </w:p>
    <w:p>
      <w:pPr>
        <w:pStyle w:val="Normal"/>
        <w:numPr>
          <w:ilvl w:val="0"/>
          <w:numId w:val="2"/>
        </w:numPr>
      </w:pPr>
      <w:r>
        <w:t xml:space="preserve">Paradigmas según Barker: los comportamientos relacionados</w:t>
      </w:r>
    </w:p>
    <w:p>
      <w:pPr>
        <w:pStyle w:val="Heading3"/>
      </w:pPr>
      <w:r>
        <w:t xml:space="preserve">Autoevaluación</w:t>
      </w:r>
    </w:p>
    <w:p>
      <w:pPr>
        <w:pStyle w:val="Normal"/>
      </w:pPr>
      <w:r>
        <w:t xml:space="preserve">Resuelva sin consultar las respuestas. Compruebe al final del capítulo por qué cada opción es correcta o incorrecta.</w:t>
      </w:r>
    </w:p>
    <w:p>
      <w:pPr>
        <w:pStyle w:val="Heading3"/>
      </w:pPr>
      <w:bookmarkStart w:name="b_pregunta_auto_1_1_1" w:id="299"/>
      <w:r>
        <w:t xml:space="preserve">1.1-A1 · ¿Qué secuencia permite reconocer la influencia de un modelo mental en una decisión?</w:t>
      </w:r>
      <w:bookmarkEnd w:id="299"/>
    </w:p>
    <w:p>
      <w:pPr>
        <w:pStyle w:val="Normal"/>
      </w:pPr>
      <w:r>
        <w:t xml:space="preserve">a) Creencia, selección de datos, interpretación y acción</w:t>
      </w:r>
    </w:p>
    <w:p>
      <w:pPr>
        <w:pStyle w:val="Normal"/>
      </w:pPr>
      <w:r>
        <w:t xml:space="preserve">b) Acción, demostración de que toda creencia es verdadera y cierre del diálogo</w:t>
      </w:r>
    </w:p>
    <w:p>
      <w:pPr>
        <w:pStyle w:val="Normal"/>
      </w:pPr>
      <w:r>
        <w:t xml:space="preserve">c) Número de opiniones, voto mayoritario y verdad garantizada</w:t>
      </w:r>
    </w:p>
    <w:p>
      <w:pPr>
        <w:pStyle w:val="Normal"/>
      </w:pPr>
      <w:r>
        <w:t xml:space="preserve">d) Personalidad, destino inevitable y ausencia de aprendizaje</w:t>
      </w:r>
    </w:p>
    <w:p>
      <w:pPr>
        <w:pStyle w:val="Heading3"/>
      </w:pPr>
      <w:bookmarkStart w:name="b_pregunta_auto_1_1_2" w:id="300"/>
      <w:r>
        <w:t xml:space="preserve">1.1-A2 · En la variante de los monos proyectada en clase 4, ¿quién recibe el agua cuando uno sube por los plátanos?</w:t>
      </w:r>
      <w:bookmarkEnd w:id="300"/>
    </w:p>
    <w:p>
      <w:pPr>
        <w:pStyle w:val="Normal"/>
      </w:pPr>
      <w:r>
        <w:t xml:space="preserve">a) Sólo el mono que está subiendo</w:t>
      </w:r>
    </w:p>
    <w:p>
      <w:pPr>
        <w:pStyle w:val="Normal"/>
      </w:pPr>
      <w:r>
        <w:t xml:space="preserve">b) Todos sin excepción, incluido el que sube</w:t>
      </w:r>
    </w:p>
    <w:p>
      <w:pPr>
        <w:pStyle w:val="Normal"/>
      </w:pPr>
      <w:r>
        <w:t xml:space="preserve">c) Los que permanecen abajo; la reacción colectiva frena los siguientes intentos</w:t>
      </w:r>
    </w:p>
    <w:p>
      <w:pPr>
        <w:pStyle w:val="Normal"/>
      </w:pPr>
      <w:r>
        <w:t xml:space="preserve">d) Ninguno, porque el agua nunca formó parte de la parábola</w:t>
      </w:r>
    </w:p>
    <w:p>
      <w:pPr>
        <w:pStyle w:val="Heading3"/>
      </w:pPr>
      <w:bookmarkStart w:name="b_pregunta_auto_1_1_3" w:id="301"/>
      <w:r>
        <w:t xml:space="preserve">1.1-A3 · Según Joel Barker, ¿qué es un paradigma?</w:t>
      </w:r>
      <w:bookmarkEnd w:id="301"/>
    </w:p>
    <w:p>
      <w:pPr>
        <w:pStyle w:val="Normal"/>
      </w:pPr>
      <w:r>
        <w:t xml:space="preserve">a) Una teoría científica ya comprobada y aceptada por toda la comunidad.</w:t>
      </w:r>
    </w:p>
    <w:p>
      <w:pPr>
        <w:pStyle w:val="Normal"/>
      </w:pPr>
      <w:r>
        <w:t xml:space="preserve">b) Un conjunto de reglas y disposiciones que definen límites e indican cómo comportarse dentro de ellos para tener éxito.</w:t>
      </w:r>
    </w:p>
    <w:p>
      <w:pPr>
        <w:pStyle w:val="Normal"/>
      </w:pPr>
      <w:r>
        <w:t xml:space="preserve">c) Un dato objetivo que existe independientemente de quien lo observa.</w:t>
      </w:r>
    </w:p>
    <w:p>
      <w:pPr>
        <w:pStyle w:val="Normal"/>
      </w:pPr>
      <w:r>
        <w:t xml:space="preserve">d) Una emoción pasajera que tiñe nuestros pensamientos.</w:t>
      </w:r>
    </w:p>
    <w:p>
      <w:pPr>
        <w:pStyle w:val="Heading3"/>
      </w:pPr>
      <w:bookmarkStart w:name="b_pregunta_auto_1_1_4" w:id="302"/>
      <w:r>
        <w:t xml:space="preserve">1.1-A4 · El «efecto paradigma» de Barker invierte la sensata relación entre ver y creer. ¿Qué quiere decir esto?</w:t>
      </w:r>
      <w:bookmarkEnd w:id="302"/>
    </w:p>
    <w:p>
      <w:pPr>
        <w:pStyle w:val="Normal"/>
      </w:pPr>
      <w:r>
        <w:t xml:space="preserve">a) Que primero vemos los hechos con neutralidad y solo después formamos una creencia.</w:t>
      </w:r>
    </w:p>
    <w:p>
      <w:pPr>
        <w:pStyle w:val="Normal"/>
      </w:pPr>
      <w:r>
        <w:t xml:space="preserve">b) Que tendemos a ver aquello que ya creemos y a descartar lo que no encaja con el paradigma.</w:t>
      </w:r>
    </w:p>
    <w:p>
      <w:pPr>
        <w:pStyle w:val="Normal"/>
      </w:pPr>
      <w:r>
        <w:t xml:space="preserve">c) Que ver y creer son procesos completamente independientes.</w:t>
      </w:r>
    </w:p>
    <w:p>
      <w:pPr>
        <w:pStyle w:val="Normal"/>
      </w:pPr>
      <w:r>
        <w:t xml:space="preserve">d) Que creer nos impide por completo percibir el mundo.</w:t>
      </w:r>
    </w:p>
    <w:p>
      <w:pPr>
        <w:pStyle w:val="Heading3"/>
      </w:pPr>
      <w:bookmarkStart w:name="b_pregunta_auto_1_1_5" w:id="303"/>
      <w:r>
        <w:t xml:space="preserve">1.1-A5 · Con el triángulo de Kanizsa, O’Connor ilustra que…</w:t>
      </w:r>
      <w:bookmarkEnd w:id="303"/>
    </w:p>
    <w:p>
      <w:pPr>
        <w:pStyle w:val="Normal"/>
      </w:pPr>
      <w:r>
        <w:t xml:space="preserve">a) la vista registra el mundo de forma objetiva, como una cámara de fotos.</w:t>
      </w:r>
    </w:p>
    <w:p>
      <w:pPr>
        <w:pStyle w:val="Normal"/>
      </w:pPr>
      <w:r>
        <w:t xml:space="preserve">b) vemos un triángulo blanco que no existe: la percepción es una construcción del ojo y el cerebro.</w:t>
      </w:r>
    </w:p>
    <w:p>
      <w:pPr>
        <w:pStyle w:val="Normal"/>
      </w:pPr>
      <w:r>
        <w:t xml:space="preserve">c) los modelos mentales no influyen en lo que percibimos.</w:t>
      </w:r>
    </w:p>
    <w:p>
      <w:pPr>
        <w:pStyle w:val="Normal"/>
      </w:pPr>
      <w:r>
        <w:t xml:space="preserve">d) las ilusiones ópticas desaparecen si nos esforzamos lo suficiente.</w:t>
      </w:r>
    </w:p>
    <w:p>
      <w:pPr>
        <w:pStyle w:val="Heading3"/>
      </w:pPr>
      <w:bookmarkStart w:name="b_pregunta_auto_1_1_6" w:id="304"/>
      <w:r>
        <w:t xml:space="preserve">1.1-A6 · ¿De dónde provienen principalmente nuestros modelos mentales?</w:t>
      </w:r>
      <w:bookmarkEnd w:id="304"/>
    </w:p>
    <w:p>
      <w:pPr>
        <w:pStyle w:val="Normal"/>
      </w:pPr>
      <w:r>
        <w:t xml:space="preserve">a) De la genética, de forma exclusiva.</w:t>
      </w:r>
    </w:p>
    <w:p>
      <w:pPr>
        <w:pStyle w:val="Normal"/>
      </w:pPr>
      <w:r>
        <w:t xml:space="preserve">b) De la biología, el lenguaje y la cultura (los supuestos básicos compartidos por un grupo).</w:t>
      </w:r>
    </w:p>
    <w:p>
      <w:pPr>
        <w:pStyle w:val="Normal"/>
      </w:pPr>
      <w:r>
        <w:t xml:space="preserve">c) De decisiones plenamente conscientes y racionales que tomamos de adultos.</w:t>
      </w:r>
    </w:p>
    <w:p>
      <w:pPr>
        <w:pStyle w:val="Normal"/>
      </w:pPr>
      <w:r>
        <w:t xml:space="preserve">d) De la pura casualidad, sin patrón alguno.</w:t>
      </w:r>
    </w:p>
    <w:p>
      <w:pPr>
        <w:pStyle w:val="Heading3"/>
      </w:pPr>
      <w:bookmarkStart w:name="b_pregunta_auto_1_1_7" w:id="305"/>
      <w:r>
        <w:t xml:space="preserve">1.1-A7 · Tomar una sola experiencia como representativa de todo un grupo —y usar palabras como «siempre», «nunca» o «todos»— corresponde al filtro de…</w:t>
      </w:r>
      <w:bookmarkEnd w:id="305"/>
    </w:p>
    <w:p>
      <w:pPr>
        <w:pStyle w:val="Normal"/>
      </w:pPr>
      <w:r>
        <w:t xml:space="preserve">a) Eliminación</w:t>
      </w:r>
    </w:p>
    <w:p>
      <w:pPr>
        <w:pStyle w:val="Normal"/>
      </w:pPr>
      <w:r>
        <w:t xml:space="preserve">b) Construcción</w:t>
      </w:r>
    </w:p>
    <w:p>
      <w:pPr>
        <w:pStyle w:val="Normal"/>
      </w:pPr>
      <w:r>
        <w:t xml:space="preserve">c) Distorsión</w:t>
      </w:r>
    </w:p>
    <w:p>
      <w:pPr>
        <w:pStyle w:val="Normal"/>
      </w:pPr>
      <w:r>
        <w:t xml:space="preserve">d) Generalización</w:t>
      </w:r>
    </w:p>
    <w:p>
      <w:pPr>
        <w:pStyle w:val="Heading3"/>
      </w:pPr>
      <w:bookmarkStart w:name="b_pregunta_auto_1_1_8" w:id="306"/>
      <w:r>
        <w:t xml:space="preserve">1.1-A8 · La «parálisis de paradigma» (o «enfermedad de la certidumbre») consiste en…</w:t>
      </w:r>
      <w:bookmarkEnd w:id="306"/>
    </w:p>
    <w:p>
      <w:pPr>
        <w:pStyle w:val="Normal"/>
      </w:pPr>
      <w:r>
        <w:t xml:space="preserve">a) no tener ningún paradigma y actuar sin reglas.</w:t>
      </w:r>
    </w:p>
    <w:p>
      <w:pPr>
        <w:pStyle w:val="Normal"/>
      </w:pPr>
      <w:r>
        <w:t xml:space="preserve">b) aferrarse tanto a un paradigma que se rechaza de entrada cualquier idea nueva que no encaje.</w:t>
      </w:r>
    </w:p>
    <w:p>
      <w:pPr>
        <w:pStyle w:val="Normal"/>
      </w:pPr>
      <w:r>
        <w:t xml:space="preserve">c) cambiar de paradigma con demasiada frecuencia.</w:t>
      </w:r>
    </w:p>
    <w:p>
      <w:pPr>
        <w:pStyle w:val="Normal"/>
      </w:pPr>
      <w:r>
        <w:t xml:space="preserve">d) ser consciente de que usamos paradigmas.</w:t>
      </w:r>
    </w:p>
    <w:p>
      <w:pPr>
        <w:pStyle w:val="Heading3"/>
      </w:pPr>
      <w:bookmarkStart w:name="b_pregunta_auto_1_1_9" w:id="307"/>
      <w:r>
        <w:t xml:space="preserve">1.1-A9 · Ante un colaborador que rinde por debajo de lo esperado, ¿qué sostiene el pensamiento sistémico?</w:t>
      </w:r>
      <w:bookmarkEnd w:id="307"/>
    </w:p>
    <w:p>
      <w:pPr>
        <w:pStyle w:val="Normal"/>
      </w:pPr>
      <w:r>
        <w:t xml:space="preserve">a) Que la falla es culpa exclusiva de la persona.</w:t>
      </w:r>
    </w:p>
    <w:p>
      <w:pPr>
        <w:pStyle w:val="Normal"/>
      </w:pPr>
      <w:r>
        <w:t xml:space="preserve">b) Que la estructura del sistema suele producir el comportamiento: «nadie va a trabajar para hacerlo mal».</w:t>
      </w:r>
    </w:p>
    <w:p>
      <w:pPr>
        <w:pStyle w:val="Normal"/>
      </w:pPr>
      <w:r>
        <w:t xml:space="preserve">c) Que hay que reemplazar de inmediato a la persona por otra.</w:t>
      </w:r>
    </w:p>
    <w:p>
      <w:pPr>
        <w:pStyle w:val="Normal"/>
      </w:pPr>
      <w:r>
        <w:t xml:space="preserve">d) Que el desempeño individual no guarda ninguna relación con el sistema.</w:t>
      </w:r>
    </w:p>
    <w:p>
      <w:pPr>
        <w:pStyle w:val="Heading3"/>
      </w:pPr>
      <w:bookmarkStart w:name="b_pregunta_auto_1_1_10" w:id="308"/>
      <w:r>
        <w:t xml:space="preserve">1.1-A10 · Además de universales, Barker dice que los paradigmas son útiles. ¿Por qué?</w:t>
      </w:r>
      <w:bookmarkEnd w:id="308"/>
    </w:p>
    <w:p>
      <w:pPr>
        <w:pStyle w:val="Normal"/>
      </w:pPr>
      <w:r>
        <w:t xml:space="preserve">a) Porque describen la realidad con total exactitud y sin sesgos.</w:t>
      </w:r>
    </w:p>
    <w:p>
      <w:pPr>
        <w:pStyle w:val="Normal"/>
      </w:pPr>
      <w:r>
        <w:t xml:space="preserve">b) Porque nos evitan repensar cada situación desde cero: al volverse hábito dan certeza y eficiencia.</w:t>
      </w:r>
    </w:p>
    <w:p>
      <w:pPr>
        <w:pStyle w:val="Normal"/>
      </w:pPr>
      <w:r>
        <w:t xml:space="preserve">c) Porque, una vez adquiridos, son imposibles de cambiar.</w:t>
      </w:r>
    </w:p>
    <w:p>
      <w:pPr>
        <w:pStyle w:val="Normal"/>
      </w:pPr>
      <w:r>
        <w:t xml:space="preserve">d) Porque solo los diseñan los científicos y expertos.</w:t>
      </w:r>
    </w:p>
    <w:p>
      <w:pPr>
        <w:pStyle w:val="Heading3"/>
      </w:pPr>
      <w:bookmarkStart w:name="b_solucionario_1_1" w:id="309"/>
      <w:r>
        <w:t xml:space="preserve">Solucionario del capítulo</w:t>
      </w:r>
      <w:bookmarkEnd w:id="309"/>
    </w:p>
    <w:p>
      <w:pPr>
        <w:pStyle w:val="Heading3"/>
      </w:pPr>
      <w:r>
        <w:t xml:space="preserve">1.1-A1</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a) Creencia, selección de datos, interpretación y acción</w:t>
            </w:r>
          </w:p>
        </w:tc>
      </w:tr>
    </w:tbl>
    <w:p>
      <w:pPr>
        <w:pStyle w:val="Normal"/>
      </w:pPr>
      <w:r>
        <w:t xml:space="preserve">Una creencia orienta qué información se selecciona y cómo se interpreta; esa interpretación influye en la acción. Reconstruir esa cadena permite contrastar el modelo con los resultados.</w:t>
      </w:r>
    </w:p>
    <w:p>
      <w:pPr>
        <w:pStyle w:val="Fuente"/>
      </w:pPr>
      <w:r>
        <w:t xml:space="preserve">Presentación de la unidad 1 (C-5), pág. 15 y 36</w:t>
      </w:r>
    </w:p>
    <w:p>
      <w:pPr>
        <w:pStyle w:val="Heading3"/>
      </w:pPr>
      <w:r>
        <w:t xml:space="preserve">1.1-A2</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c) Los que permanecen abajo; la reacción colectiva frena los siguientes intentos</w:t>
            </w:r>
          </w:p>
        </w:tc>
      </w:tr>
    </w:tbl>
    <w:p>
      <w:pPr>
        <w:pStyle w:val="Normal"/>
      </w:pPr>
      <w:r>
        <w:t xml:space="preserve">La versión proyectada moja a quienes están abajo, no al que sube. El grupo aprende a impedir el intento y la norma persiste tras los relevos. Se usa como parábola del aprendizaje social y no como experimento histórico acreditado.</w:t>
      </w:r>
    </w:p>
    <w:p>
      <w:pPr>
        <w:pStyle w:val="Fuente"/>
      </w:pPr>
      <w:r>
        <w:t xml:space="preserve">Clase 4 · 01:02:49–01:04:14</w:t>
      </w:r>
    </w:p>
    <w:p>
      <w:pPr>
        <w:pStyle w:val="Heading3"/>
      </w:pPr>
      <w:r>
        <w:t xml:space="preserve">1.1-A3</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b) Un conjunto de reglas y disposiciones que definen límites e indican cómo comportarse dentro de ellos para tener éxito.</w:t>
            </w:r>
          </w:p>
        </w:tc>
      </w:tr>
    </w:tbl>
    <w:p>
      <w:pPr>
        <w:pStyle w:val="Normal"/>
      </w:pPr>
      <w:r>
        <w:t xml:space="preserve">Barker define el paradigma como un conjunto de reglas y disposiciones —explícitas o implícitas— que (1) establecen los límites de una realidad y (2) indican cómo comportarse dentro de ellos para tener éxito.</w:t>
      </w:r>
    </w:p>
    <w:p>
      <w:pPr>
        <w:pStyle w:val="Normal"/>
      </w:pPr>
      <w:r>
        <w:t xml:space="preserve">a) Ese es un uso posible de la palabra en ciencia, pero no la definición operativa de Barker.</w:t>
      </w:r>
    </w:p>
    <w:p>
      <w:pPr>
        <w:pStyle w:val="Normal"/>
      </w:pPr>
      <w:r>
        <w:t xml:space="preserve">b) Correcto: Barker lo define como reglas/disposiciones (escritas o no) que fijan límites y dicen cómo actuar bien dentro de ellos.</w:t>
      </w:r>
    </w:p>
    <w:p>
      <w:pPr>
        <w:pStyle w:val="Normal"/>
      </w:pPr>
      <w:r>
        <w:t xml:space="preserve">c) Al revés: un paradigma no es el dato, es el filtro con que lo interpretamos.</w:t>
      </w:r>
    </w:p>
    <w:p>
      <w:pPr>
        <w:pStyle w:val="Normal"/>
      </w:pPr>
      <w:r>
        <w:t xml:space="preserve">d) Eso describe a un pensamiento teñido por el sistema límbico, no a un paradigma.</w:t>
      </w:r>
    </w:p>
    <w:p>
      <w:pPr>
        <w:pStyle w:val="Fuente"/>
      </w:pPr>
      <w:r>
        <w:t xml:space="preserve">J. Barker · Clase 1</w:t>
      </w:r>
    </w:p>
    <w:p>
      <w:pPr>
        <w:pStyle w:val="Heading3"/>
      </w:pPr>
      <w:r>
        <w:t xml:space="preserve">1.1-A4</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b) Que tendemos a ver aquello que ya creemos y a descartar lo que no encaja con el paradigma.</w:t>
            </w:r>
          </w:p>
        </w:tc>
      </w:tr>
    </w:tbl>
    <w:p>
      <w:pPr>
        <w:pStyle w:val="Normal"/>
      </w:pPr>
      <w:r>
        <w:t xml:space="preserve">El dicho sensato es «lo creeré cuando lo vea». El efecto paradigma lo invierte: «lo veré cuando lo crea». Las ideas previas actúan como filtro; por eso los científicos —y cualquiera— pasan por alto los datos que no encajan en su esquema.</w:t>
      </w:r>
    </w:p>
    <w:p>
      <w:pPr>
        <w:pStyle w:val="Fuente"/>
      </w:pPr>
      <w:r>
        <w:t xml:space="preserve">J. Barker · Clase 2</w:t>
      </w:r>
    </w:p>
    <w:p>
      <w:pPr>
        <w:pStyle w:val="Heading3"/>
      </w:pPr>
      <w:r>
        <w:t xml:space="preserve">1.1-A5</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b) vemos un triángulo blanco que no existe: la percepción es una construcción del ojo y el cerebro.</w:t>
            </w:r>
          </w:p>
        </w:tc>
      </w:tr>
    </w:tbl>
    <w:p>
      <w:pPr>
        <w:pStyle w:val="Normal"/>
      </w:pPr>
      <w:r>
        <w:t xml:space="preserve">No hay ningún triángulo blanco, pero la ilusión es inevitable: la vista funciona junto al cerebro para interpretar formas. O’Connor añade un matiz clave: los filtros fisiológicos no se pueden cambiar, pero los modelos mentales sí.</w:t>
      </w:r>
    </w:p>
    <w:p>
      <w:pPr>
        <w:pStyle w:val="Fuente"/>
      </w:pPr>
      <w:r>
        <w:t xml:space="preserve">O’Connor, «Modelos mentales»</w:t>
      </w:r>
    </w:p>
    <w:p>
      <w:pPr>
        <w:pStyle w:val="Heading3"/>
      </w:pPr>
      <w:r>
        <w:t xml:space="preserve">1.1-A6</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b) De la biología, el lenguaje y la cultura (los supuestos básicos compartidos por un grupo).</w:t>
            </w:r>
          </w:p>
        </w:tc>
      </w:tr>
    </w:tbl>
    <w:p>
      <w:pPr>
        <w:pStyle w:val="Normal"/>
      </w:pPr>
      <w:r>
        <w:t xml:space="preserve">Los niños no nacen con creencias incorporadas, pero sí con la capacidad de elaborarlas. Las construimos desde la biología (los sentidos filtran), el lenguaje (nombrar distingue) y la cultura: las costumbres sociales y los supuestos básicos compartidos que heredamos por «inducción paradigmática».</w:t>
      </w:r>
    </w:p>
    <w:p>
      <w:pPr>
        <w:pStyle w:val="Fuente"/>
      </w:pPr>
      <w:r>
        <w:t xml:space="preserve">Metamanagement · Schein · O’Connor</w:t>
      </w:r>
    </w:p>
    <w:p>
      <w:pPr>
        <w:pStyle w:val="Heading3"/>
      </w:pPr>
      <w:r>
        <w:t xml:space="preserve">1.1-A7</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d) Generalización</w:t>
            </w:r>
          </w:p>
        </w:tc>
      </w:tr>
    </w:tbl>
    <w:p>
      <w:pPr>
        <w:pStyle w:val="Normal"/>
      </w:pPr>
      <w:r>
        <w:t xml:space="preserve">O’Connor describe cuatro filtros con que formamos los modelos mentales: eliminación, construcción, distorsión y generalización. Generalizar es tomar una experiencia como patrón de todo un grupo.</w:t>
      </w:r>
    </w:p>
    <w:p>
      <w:pPr>
        <w:pStyle w:val="Normal"/>
      </w:pPr>
      <w:r>
        <w:t xml:space="preserve">a) No: la eliminación es filtrar y no atender parte de la información (el punto ciego).</w:t>
      </w:r>
    </w:p>
    <w:p>
      <w:pPr>
        <w:pStyle w:val="Normal"/>
      </w:pPr>
      <w:r>
        <w:t xml:space="preserve">b) No: la construcción es ver algo que no está (rellenar el vacío).</w:t>
      </w:r>
    </w:p>
    <w:p>
      <w:pPr>
        <w:pStyle w:val="Normal"/>
      </w:pPr>
      <w:r>
        <w:t xml:space="preserve">c) No: la distorsión amplifica unas partes de la experiencia y reduce otras.</w:t>
      </w:r>
    </w:p>
    <w:p>
      <w:pPr>
        <w:pStyle w:val="Normal"/>
      </w:pPr>
      <w:r>
        <w:t xml:space="preserve">d) Correcto: la generalización toma un caso como representativo de muchos; es base del aprendizaje, pero también de los prejuicios.</w:t>
      </w:r>
    </w:p>
    <w:p>
      <w:pPr>
        <w:pStyle w:val="Fuente"/>
      </w:pPr>
      <w:r>
        <w:t xml:space="preserve">O’Connor, «Modelos mentales»</w:t>
      </w:r>
    </w:p>
    <w:p>
      <w:pPr>
        <w:pStyle w:val="Heading3"/>
      </w:pPr>
      <w:r>
        <w:t xml:space="preserve">1.1-A8</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b) aferrarse tanto a un paradigma que se rechaza de entrada cualquier idea nueva que no encaje.</w:t>
            </w:r>
          </w:p>
        </w:tc>
      </w:tr>
    </w:tbl>
    <w:p>
      <w:pPr>
        <w:pStyle w:val="Normal"/>
      </w:pPr>
      <w:r>
        <w:t xml:space="preserve">El peligro no está en tener paradigmas —todos los usamos y son útiles—, sino en aferrarnos tanto a ellos que confundimos nuestro modelo con la realidad y rechazamos lo nuevo. Su antídoto es la flexibilidad paradigmática (mirar con pensamiento metacognitivo).</w:t>
      </w:r>
    </w:p>
    <w:p>
      <w:pPr>
        <w:pStyle w:val="Fuente"/>
      </w:pPr>
      <w:r>
        <w:t xml:space="preserve">J. Barker · Clase 2</w:t>
      </w:r>
    </w:p>
    <w:p>
      <w:pPr>
        <w:pStyle w:val="Heading3"/>
      </w:pPr>
      <w:r>
        <w:t xml:space="preserve">1.1-A9</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b) Que la estructura del sistema suele producir el comportamiento: «nadie va a trabajar para hacerlo mal».</w:t>
            </w:r>
          </w:p>
        </w:tc>
      </w:tr>
    </w:tbl>
    <w:p>
      <w:pPr>
        <w:pStyle w:val="Normal"/>
      </w:pPr>
      <w:r>
        <w:t xml:space="preserve">O’Connor: se puede impedir un buen trabajo por la estructura del sistema, no por la persona. Señalar culpables ignora los bucles de causa y efecto; para cambiar el resultado, hay que cambiar la estructura.</w:t>
      </w:r>
    </w:p>
    <w:p>
      <w:pPr>
        <w:pStyle w:val="Normal"/>
      </w:pPr>
      <w:r>
        <w:t xml:space="preserve">a) Eso es el modelo de «buscar culpables»: juzga a la persona sin mirar el sistema.</w:t>
      </w:r>
    </w:p>
    <w:p>
      <w:pPr>
        <w:pStyle w:val="Normal"/>
      </w:pPr>
      <w:r>
        <w:t xml:space="preserve">b) Correcto: para mejores resultados hay que cambiar la estructura del sistema, no solo señalar a la persona.</w:t>
      </w:r>
    </w:p>
    <w:p>
      <w:pPr>
        <w:pStyle w:val="Normal"/>
      </w:pPr>
      <w:r>
        <w:t xml:space="preserve">c) Reemplazar sin cambiar la estructura suele reproducir el mismo problema con otra persona.</w:t>
      </w:r>
    </w:p>
    <w:p>
      <w:pPr>
        <w:pStyle w:val="Normal"/>
      </w:pPr>
      <w:r>
        <w:t xml:space="preserve">d) Al contrario: la estructura del sistema es precisamente la que da lugar al comportamiento.</w:t>
      </w:r>
    </w:p>
    <w:p>
      <w:pPr>
        <w:pStyle w:val="Fuente"/>
      </w:pPr>
      <w:r>
        <w:t xml:space="preserve">O’Connor, «Modelos mentales»</w:t>
      </w:r>
    </w:p>
    <w:p>
      <w:pPr>
        <w:pStyle w:val="Heading3"/>
      </w:pPr>
      <w:r>
        <w:t xml:space="preserve">1.1-A10</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b) Porque nos evitan repensar cada situación desde cero: al volverse hábito dan certeza y eficiencia.</w:t>
            </w:r>
          </w:p>
        </w:tc>
      </w:tr>
    </w:tbl>
    <w:p>
      <w:pPr>
        <w:pStyle w:val="Normal"/>
      </w:pPr>
      <w:r>
        <w:t xml:space="preserve">La utilidad del paradigma es no tener que volver a pensar cada día lo ya resuelto: las reglas se vuelven hábito y actuamos con rapidez y certeza. Esa misma comodidad es la que, llevada al extremo, deriva en parálisis de paradigma.</w:t>
      </w:r>
    </w:p>
    <w:p>
      <w:pPr>
        <w:pStyle w:val="Fuente"/>
        <w:sectPr>
          <w:headerReference w:type="default" r:id="rId48"/>
          <w:headerReference w:type="first" r:id="rId49"/>
          <w:headerReference w:type="even" r:id="rId50"/>
          <w:footerReference w:type="default" r:id="rId51"/>
          <w:footerReference w:type="first" r:id="rId52"/>
          <w:footerReference w:type="even" r:id="rId53"/>
          <w:type w:val="nextPage"/>
          <w:pgSz w:w="12240" w:h="15840" w:orient="portrait"/>
          <w:pgMar w:top="1361" w:right="1134" w:bottom="1361" w:left="1474" w:header="650" w:footer="680" w:gutter="0"/>
          <w:pgNumType/>
          <w:titlePg/>
          <w:docGrid w:linePitch="360"/>
        </w:sectPr>
      </w:pPr>
      <w:r>
        <w:t xml:space="preserve">J. Barker · Clase 2</w:t>
      </w:r>
    </w:p>
    <w:p>
      <w:pPr>
        <w:pStyle w:val="Heading2"/>
      </w:pPr>
      <w:bookmarkStart w:name="b_1_2" w:id="310"/>
      <w:r>
        <w:t xml:space="preserve">1.2 · Escalera de inferencias</w:t>
      </w:r>
      <w:bookmarkEnd w:id="310"/>
    </w:p>
    <w:p>
      <w:pPr>
        <w:pStyle w:val="Subtitulo"/>
      </w:pPr>
      <w:r>
        <w:t xml:space="preserve">La dinámica de los sistemas abstractos diseñados en el comportamiento humano (la escalera de inferencias) y las operaciones mentales frecuentes del pensamiento.</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En una línea</w:t>
            </w:r>
          </w:p>
          <w:p>
            <w:pPr>
              <w:pStyle w:val="Recuadro"/>
            </w:pPr>
            <w:r>
              <w:t xml:space="preserve">Del dato observable a la acción hay siete peldaños, y cuatro operaciones inconscientes que los suben por usted.</w:t>
            </w:r>
          </w:p>
        </w:tc>
      </w:tr>
    </w:tbl>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Qué te preguntan</w:t>
            </w:r>
          </w:p>
          <w:p>
            <w:pPr>
              <w:pStyle w:val="Recuadro"/>
            </w:pPr>
            <w:r>
              <w:t xml:space="preserve">Nombrar los peldaños de la escalera y las cuatro operaciones mentales —eliminación, construcción, distorsión, generalización— y, sobre un caso dado, señalar dónde actuó cada una y en qué peldaño convenía detenerse a pedir datos. El caso Carlos–Pedro de la clase 3 es el modelo de respuesta.</w:t>
            </w:r>
          </w:p>
        </w:tc>
      </w:tr>
    </w:tbl>
    <w:p>
      <w:pPr>
        <w:pStyle w:val="Normal"/>
      </w:pPr>
      <w:r>
        <w:t xml:space="preserve">La escalera de inferencias es el modelo gráfico del proceso inferencial (pensamiento inductivo): de los datos disponibles se seleccionan unos pocos, se les agrega significado, se hacen suposiciones, se sacan conclusiones, se adoptan creencias y se actúa, y las creencias retroalimentan los modelos mentales. La suben en milisegundos cuatro operaciones inconscientes (eliminación, construcción, distorsión y generalización): por eso las conclusiones parecen obvias. Comprobación: reconocer cada conclusión como inferencia y verificarla preguntando o con más datos.</w:t>
      </w:r>
    </w:p>
    <w:p>
      <w:pPr>
        <w:pStyle w:val="Heading3"/>
      </w:pPr>
      <w:r>
        <w:t xml:space="preserve">Vocabulario clave</w:t>
      </w:r>
    </w:p>
    <w:p>
      <w:pPr>
        <w:pStyle w:val="Normal"/>
      </w:pPr>
      <w:r>
        <w:t xml:space="preserve">escalera de inferencias (proceso inferencial, pensamiento inductivo) · datos disponibles (nivel cero, la realidad) · selección de datos (eliminación, filtro) · construcción (agregar significados, suposiciones) · distorsión · generalización (creencias que retroalimentan los modelos mentales) · indagación («¿en qué datos te basas?, ¿qué supones?») · reflexión, indagación y argumentación · Carlos y Pedro</w:t>
      </w:r>
    </w:p>
    <w:p>
      <w:pPr>
        <w:pStyle w:val="Fuente"/>
      </w:pPr>
      <w:r>
        <w:t xml:space="preserve">Recorrido: desarrollo conceptual → presentaciones → explicación en clase → errores y fuentes → práctica → solucionario.</w:t>
      </w:r>
    </w:p>
    <w:p>
      <w:pPr>
        <w:pStyle w:val="Heading3"/>
      </w:pPr>
      <w:r>
        <w:t xml:space="preserve">De lo no dicho a una hipótesis comprobable</w:t>
      </w:r>
    </w:p>
    <w:p>
      <w:pPr>
        <w:pStyle w:val="Normal"/>
      </w:pPr>
      <w:r>
        <w:t xml:space="preserve">La columna izquierda registra lo que pensé o creí y callé; la derecha registra lo que se dijo. Compararlas descubre supuestos que la conversación no puso a prueba. Investigar esos supuestos exige separar el hecho observado de la intención que le atribuimos.</w:t>
      </w:r>
    </w:p>
    <w:p>
      <w:pPr>
        <w:pStyle w:val="Normal"/>
      </w:pPr>
      <w:r>
        <w:t xml:space="preserve">Reflexión: examino mi propia escalera. Indagación: pregunto por datos y supuestos propios o ajenos. Argumentación: expongo mi recorrido para que otros lo comprendan y puedan criticarlo. Argumentar aquí incluye hacer visible la posibilidad de estar equivocado.</w:t>
      </w:r>
    </w:p>
    <w:p>
      <w:pPr>
        <w:pStyle w:val="Normal"/>
      </w:pPr>
      <w:r>
        <w:t xml:space="preserve">En los laboratorios, escribe una inferencia y formula una pregunta verificable. Si no hay contraparte, recoge datos del sistema real para contrastarla; una sospecha más intensa no equivale a evidencia.</w:t>
      </w:r>
    </w:p>
    <w:p>
      <w:pPr>
        <w:pStyle w:val="Fuente"/>
      </w:pPr>
      <w:r>
        <w:t xml:space="preserve">Presentación de la unidad 1 (C-5), pág. 42, 43 y 55 · Clase 4 · 01:20:50–01:22:50 · Clase 5 · 01:16:07–01:17:39</w:t>
      </w:r>
    </w:p>
    <w:p>
      <w:pPr>
        <w:pStyle w:val="Heading3"/>
      </w:pPr>
      <w:r>
        <w:t xml:space="preserve">La figura, el criterio y el conteo</w:t>
      </w:r>
    </w:p>
    <w:p>
      <w:pPr>
        <w:pStyle w:val="Normal"/>
      </w:pPr>
      <w:r>
        <w:t xml:space="preserve">El ejercicio de clase comienza a las 00:43:38; entre las respuestas orales estuvo seis. Sirve para reconocer selección, construcción y distorsión. La reconstrucción interactiva del portal tiene trece triángulos y está identificada como adaptación: su figura y su conteo no sustituyen a la figura ilusoria proyectada.</w:t>
      </w:r>
    </w:p>
    <w:p>
      <w:pPr>
        <w:pStyle w:val="Normal"/>
      </w:pPr>
      <w:r>
        <w:t xml:space="preserve">Tres lados iguales es el criterio de un triángulo equilátero. En general, un triángulo es un polígono cerrado de tres segmentos rectos con vértices no colineales. Comprender cómo alguien contó no convierte todas las cuentas o definiciones en matemáticamente correctas.</w:t>
      </w:r>
    </w:p>
    <w:p>
      <w:pPr>
        <w:pStyle w:val="Fuente"/>
      </w:pPr>
      <w:r>
        <w:t xml:space="preserve">Presentación de la unidad 1 (C-5), pág. 21 · Clase 3 · 00:43:38–00:51:41</w:t>
      </w:r>
    </w:p>
    <w:p>
      <w:pPr>
        <w:pStyle w:val="Heading3"/>
      </w:pPr>
      <w:r>
        <w:t xml:space="preserve">Las cuatro operaciones mentales, como las definió la clase</w:t>
      </w:r>
    </w:p>
    <w:p>
      <w:pPr>
        <w:pStyle w:val="Normal"/>
      </w:pPr>
      <w:r>
        <w:t xml:space="preserve">Cuatro operaciones abstractas básicas (O'Connor, psicología cognitiva) de todo ser humano, sistémico o no, con las que creamos los modelos mentales desde la niñez, inconscientemente y en milisegundos.</w:t>
      </w:r>
    </w:p>
    <w:p>
      <w:pPr>
        <w:pStyle w:val="Normal"/>
      </w:pPr>
      <w:r>
        <w:t xml:space="preserve">Eliminación: proceso selectivo de atender ciertos «elementos de información» y descartar el resto; también llamada filtro, según una distinción previa de lo importante.</w:t>
      </w:r>
    </w:p>
    <w:p>
      <w:pPr>
        <w:pStyle w:val="Normal"/>
      </w:pPr>
      <w:r>
        <w:t xml:space="preserve">Construcción: dar sentido a lo filtrado con patrones previos; se lanza el primer sentido que se ocurre, un vínculo causa probable–posible efecto, «una historia que queremos que sea verdad».</w:t>
      </w:r>
    </w:p>
    <w:p>
      <w:pPr>
        <w:pStyle w:val="Normal"/>
      </w:pPr>
      <w:r>
        <w:t xml:space="preserve">Distorsión: amplifica o disminuye la importancia de una parte y llena lo que falta con creatividad, sin datos filtrados ni históricos; la que más dificulta apreciar problemas complejos.</w:t>
      </w:r>
    </w:p>
    <w:p>
      <w:pPr>
        <w:pStyle w:val="Normal"/>
      </w:pPr>
      <w:r>
        <w:t xml:space="preserve">Generalización: las conclusiones se vuelven creencias que retroalimentan los modelos mentales, grabadas por repetición como reglas para toda realidad semejante («todos» o «ninguno»).</w:t>
      </w:r>
    </w:p>
    <w:p>
      <w:pPr>
        <w:pStyle w:val="Fuente"/>
      </w:pPr>
      <w:r>
        <w:t xml:space="preserve">Clase 3 · 00:19:45–00:22:12 · 00:22:09–00:26:39 · 00:32:24–00:39:57 · 00:41:32–00:42:24 · lámina c3-02</w:t>
      </w:r>
    </w:p>
    <w:p>
      <w:pPr>
        <w:pStyle w:val="Heading3"/>
      </w:pPr>
      <w:r>
        <w:t xml:space="preserve">Los peldaños y la gráfica de la escalera</w:t>
      </w:r>
    </w:p>
    <w:p>
      <w:pPr>
        <w:pStyle w:val="Normal"/>
      </w:pPr>
      <w:r>
        <w:t xml:space="preserve">Según el autor tiene cuatro, cinco, siete u ocho escalones; es un modelo, no lo que pasa en la mente.</w:t>
      </w:r>
    </w:p>
    <w:p>
      <w:pPr>
        <w:pStyle w:val="Normal"/>
      </w:pPr>
      <w:r>
        <w:t xml:space="preserve">Gráfica (UEDI): base «datos disponibles» o «nivel cero»; escalones de selección, traducción y explicación, y decisión, hasta «conclusiones o decisiones de acción»; a la izquierda, «supuestos, valores, contextos» con flechas a cada escalón; arriba, flecha de vuelta a los modelos mentales y salida a actuar.</w:t>
      </w:r>
    </w:p>
    <w:p>
      <w:pPr>
        <w:pStyle w:val="Normal"/>
      </w:pPr>
      <w:r>
        <w:t xml:space="preserve">Peldaño a peldaño: la selección es el segundo escalón, donde actúa la eliminación; agregar significados es traducir con patrones previos; las suposiciones «van dando la construcción» y ahí aparece la distorsión; la conclusión es el escalón más abstracto; adoptar creencias es la generalización que retroalimenta los modelos mentales; actuar genera otro escenario.</w:t>
      </w:r>
    </w:p>
    <w:p>
      <w:pPr>
        <w:pStyle w:val="Normal"/>
      </w:pPr>
      <w:r>
        <w:t xml:space="preserve">Los eventos del iceberg son el escalón cero, con todo disponible.</w:t>
      </w:r>
    </w:p>
    <w:p>
      <w:pPr>
        <w:pStyle w:val="Fuente"/>
      </w:pPr>
      <w:r>
        <w:t xml:space="preserve">Clase 3 · 00:27:07–00:29:43 · 00:37:32–00:38:59 · 00:59:29–00:59:46 · 01:06:16–01:08:14 · 01:09:28–01:12:02 · Clase 4 · 00:03:05–00:06:52 · 00:13:33–00:13:58 · 00:44:54–00:45:28 · lámina c3-07</w:t>
      </w:r>
    </w:p>
    <w:p>
      <w:pPr>
        <w:pStyle w:val="Heading3"/>
      </w:pPr>
      <w:r>
        <w:t xml:space="preserve">Los ejercicios del filtro: triángulos, gorila y automóvil rojo</w:t>
      </w:r>
    </w:p>
    <w:p>
      <w:pPr>
        <w:pStyle w:val="Normal"/>
      </w:pPr>
      <w:r>
        <w:t xml:space="preserve">Triángulos: respuestas 8, 7, 6, 5, 4, 2 y ninguno; el concepto clave es «triángulo»: el blanco no tiene líneas, los patrones previos suponen que tapa las líneas (dos) o que los cortes dan triangulitos (5, 7, 8); con la definición matemática, ninguno; la respuesta no es lo importante sino ver el filtro.</w:t>
      </w:r>
    </w:p>
    <w:p>
      <w:pPr>
        <w:pStyle w:val="Normal"/>
      </w:pPr>
      <w:r>
        <w:t xml:space="preserve">Gorila («The monkey business», video proyectado): ¿cuántos pases? Respuestas 18, 16, 15 y 14; la correcta, 16, la dieron una o dos personas; atender al gorila hizo perder pases: «donde ponen su atención es donde están filtrando la información».</w:t>
      </w:r>
    </w:p>
    <w:p>
      <w:pPr>
        <w:pStyle w:val="Normal"/>
      </w:pPr>
      <w:r>
        <w:t xml:space="preserve">Automóvil rojo: quien quiere uno empieza a verlos por todos lados: el filtro sigue al interés, no está bien ni mal, así está diseñado el sistema; todo lo pensado sobre datos filtrados es parcial.</w:t>
      </w:r>
    </w:p>
    <w:p>
      <w:pPr>
        <w:pStyle w:val="Fuente"/>
      </w:pPr>
      <w:r>
        <w:t xml:space="preserve">Clase 3 · 00:43:38–00:46:14 · 00:47:43–00:51:24 · 00:53:22–01:01:18 · video proyectado</w:t>
      </w:r>
    </w:p>
    <w:p>
      <w:pPr>
        <w:pStyle w:val="Heading3"/>
      </w:pPr>
      <w:r>
        <w:t xml:space="preserve">El caso de Carlos y Pedro, peldaño a peldaño</w:t>
      </w:r>
    </w:p>
    <w:p>
      <w:pPr>
        <w:pStyle w:val="Normal"/>
      </w:pPr>
      <w:r>
        <w:t xml:space="preserve">Sin conciencia: Pedro, nuevo y bien recomendado, toma notas sin comentar ni preguntar mientras Carlos, antiguo, monologa media hora. Minuto 10: «tal vez sea tímido»; 20: «no sabe hablar, ¿cómo puede ser un vendedor tan brillante?»; 30: «será un farsante».</w:t>
      </w:r>
    </w:p>
    <w:p>
      <w:pPr>
        <w:pStyle w:val="Normal"/>
      </w:pPr>
      <w:r>
        <w:t xml:space="preserve">Peldaño a peldaño según la clase: dato = no habla; supuestos = el currículum y «un buen vendedor habla bastante»; conclusión = no sabe vender; generalización = «nunca habla», con media hora de muestra; acción = arma un lío con el jefe, sin poner nada a prueba.</w:t>
      </w:r>
    </w:p>
    <w:p>
      <w:pPr>
        <w:pStyle w:val="Normal"/>
      </w:pPr>
      <w:r>
        <w:t xml:space="preserve">Carlos sistémico: minuto 10, «mejor verifico qué piensa» y pregunta qué opinión le merece su exposición; minuto 20, «no quiero hacer un juicio apresurado», verifica otra vez y confiesa su escalera: cinco años en ventas, «hace falta ser agresivo», los vendedores exitosos son extrovertidos; Pedro, con la lección de su padre: «a la gente le gusta que le escuchen con atención… así es como se hacen las ventas».</w:t>
      </w:r>
    </w:p>
    <w:p>
      <w:pPr>
        <w:pStyle w:val="Normal"/>
      </w:pPr>
      <w:r>
        <w:t xml:space="preserve">Lectura de la clase: la confesión es «exactamente la descripción de su propia escalera»; creencia de Carlos: vendedor exitoso = extrovertido; la de Pedro, escuchar, no estaba en el mapa de Carlos: chocaron dos paradigmas, y cualquier respuesta confirma la creencia o amplía el modelo.</w:t>
      </w:r>
    </w:p>
    <w:p>
      <w:pPr>
        <w:pStyle w:val="Fuente"/>
      </w:pPr>
      <w:r>
        <w:t xml:space="preserve">Clase 3 · 01:14:32–01:18:43 · 01:19:33–01:21:18 · 01:29:07–01:34:57 · 01:36:01–01:36:20 · Clase 4 · 00:15:23–00:15:39 · Clase 5 · 00:17:23–00:23:04 · lámina c3-08</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Procedimiento</w:t>
            </w:r>
          </w:p>
          <w:p>
            <w:pPr>
              <w:pStyle w:val="Recuadro"/>
            </w:pPr>
            <w:r>
              <w:t xml:space="preserve">Cómo subir y bajar la escalera de inferencias</w:t>
            </w:r>
          </w:p>
          <w:p>
            <w:pPr>
              <w:pStyle w:val="Recuadro"/>
            </w:pPr>
            <w:r>
              <w:t xml:space="preserve">1. </w:t>
            </w:r>
            <w:r>
              <w:rPr>
                <w:b/>
                <w:bCs/>
              </w:rPr>
              <w:t xml:space="preserve">Partir de los datos disponibles y notar la selección.</w:t>
            </w:r>
            <w:r>
              <w:t xml:space="preserve"> En la base está la realidad, «nivel cero»; el segundo escalón es la selección, donde actúa la eliminación: Carlos retuvo un solo dato, «no habla». (Clase 3 · 00:28:27–00:29:43 · 00:55:31–00:55:42 · 01:19:33–01:21:18)</w:t>
            </w:r>
          </w:p>
          <w:p>
            <w:pPr>
              <w:pStyle w:val="Recuadro"/>
            </w:pPr>
            <w:r>
              <w:t xml:space="preserve">2. </w:t>
            </w:r>
            <w:r>
              <w:rPr>
                <w:b/>
                <w:bCs/>
              </w:rPr>
              <w:t xml:space="preserve">Reconocer significados, suposiciones, conclusión y creencia.</w:t>
            </w:r>
            <w:r>
              <w:t xml:space="preserve"> Se agrega significado con patrones previos (construcción), se supone con distorsión (el currículum, «un buen vendedor habla bastante»), se concluye («no sabe vender») y la conclusión se vuelve creencia («nunca habla») que lleva a actuar. (Clase 3 · 00:32:24–00:34:00 · 00:37:32–00:39:57 · 01:11:14–01:12:02 · 01:19:33–01:21:18)</w:t>
            </w:r>
          </w:p>
          <w:p>
            <w:pPr>
              <w:pStyle w:val="Recuadro"/>
            </w:pPr>
            <w:r>
              <w:t xml:space="preserve">3. </w:t>
            </w:r>
            <w:r>
              <w:rPr>
                <w:b/>
                <w:bCs/>
              </w:rPr>
              <w:t xml:space="preserve">Bajar: reconocer la conclusión como inferencia.</w:t>
            </w:r>
            <w:r>
              <w:t xml:space="preserve"> Reconocer las conclusiones como inferencias, aceptar lagunas en el razonamiento, describir la propia escalera («¿en qué me baso?, ¿qué supongo?») y decir los significados que se escuchan; la columna de la mano izquierda anota lo que se cree y no se dice. (Clase 3 · 01:23:59–01:27:06 · Clase 4 · 01:20:50–01:22:50 · lámina c3-10 · lámina c4-10)</w:t>
            </w:r>
          </w:p>
          <w:p>
            <w:pPr>
              <w:pStyle w:val="Recuadro"/>
            </w:pPr>
            <w:r>
              <w:t xml:space="preserve">4. </w:t>
            </w:r>
            <w:r>
              <w:rPr>
                <w:b/>
                <w:bCs/>
              </w:rPr>
              <w:t xml:space="preserve">Verificar preguntando o con más datos.</w:t>
            </w:r>
            <w:r>
              <w:t xml:space="preserve"> Con contraparte, preguntar («¿en qué datos te basas?, ¿qué supones?»); sin contraparte, recopilar más datos del sistema real o probar hipótesis con estadística; aceptar que otros concluyan distinto desde su escalera. (Clase 3 · 01:26:29–01:27:06 · 01:27:41–01:28:41 · 01:29:07–01:31:51)</w:t>
            </w:r>
          </w:p>
          <w:p>
            <w:pPr>
              <w:pStyle w:val="Recuadro"/>
            </w:pPr>
            <w:r>
              <w:t xml:space="preserve">5. </w:t>
            </w:r>
            <w:r>
              <w:rPr>
                <w:b/>
                <w:bCs/>
              </w:rPr>
              <w:t xml:space="preserve">Practicar reflexión, indagación y argumentación.</w:t>
            </w:r>
            <w:r>
              <w:t xml:space="preserve"> Reflexión: evaluar las propias escaleras; indagación: autoindagarse (cómo influyen mis supuestos, en qué datos me baso, qué filtro aplico) o explorar las escaleras de otros; argumentación: transmitir la propia escalera para que otros la comprendan y critiquen. (Clase 4 · 00:04:45–00:06:04 · Clase 5 · 00:28:21–00:28:44 · 01:16:17–01:17:39)</w:t>
            </w:r>
          </w:p>
          <w:p>
            <w:pPr>
              <w:pStyle w:val="Recuadro"/>
            </w:pPr>
            <w:r>
              <w:t xml:space="preserve">Subir la escalera es inevitable y ocurre en milisegundos; lo que distingue al pensador sistémico es bajarla: reconocer la conclusión como inferencia, exponer datos y supuestos, y verificar preguntando o con más datos antes de convertir la conclusión en creencia.</w:t>
            </w:r>
          </w:p>
        </w:tc>
      </w:tr>
    </w:tbl>
    <w:p>
      <w:pPr>
        <w:pStyle w:val="Heading3"/>
      </w:pPr>
      <w:bookmarkStart w:name="b_tabla_1_2_g1_escalera" w:id="311"/>
      <w:r>
        <w:t xml:space="preserve">Los siete peldaños de la escalera de inferencias</w:t>
      </w:r>
      <w:bookmarkEnd w:id="311"/>
    </w:p>
    <w:tbl>
      <w:tblPr>
        <w:tblW w:type="dxa" w:w="9632"/>
        <w:tblBorders>
          <w:top w:val="single" w:color="C5D5DB" w:sz="4"/>
          <w:left w:val="single" w:color="C5D5DB" w:sz="4"/>
          <w:bottom w:val="single" w:color="C5D5DB" w:sz="4"/>
          <w:right w:val="single" w:color="C5D5DB" w:sz="4"/>
          <w:insideH w:val="single" w:color="E4E9EB" w:sz="3"/>
          <w:insideV w:val="single" w:color="E4E9EB" w:sz="3"/>
        </w:tblBorders>
        <w:tblLayout w:type="fixed"/>
      </w:tblPr>
      <w:tblGrid>
        <w:gridCol w:w="2408"/>
        <w:gridCol w:w="2408"/>
        <w:gridCol w:w="2408"/>
        <w:gridCol w:w="2408"/>
      </w:tblGrid>
      <w:tr>
        <w:trPr>
          <w:cantSplit/>
          <w:tblHeader/>
        </w:trPr>
        <w:tc>
          <w:tcPr>
            <w:tcW w:type="dxa" w:w="2408"/>
            <w:shd w:fill="DFEAF0" w:val="clear"/>
            <w:tcMar>
              <w:top w:type="dxa" w:w="80"/>
              <w:left w:type="dxa" w:w="100"/>
              <w:bottom w:type="dxa" w:w="80"/>
              <w:right w:type="dxa" w:w="100"/>
            </w:tcMar>
          </w:tcPr>
          <w:p>
            <w:pPr>
              <w:pStyle w:val="Tabla"/>
            </w:pPr>
            <w:r>
              <w:rPr>
                <w:b/>
                <w:bCs/>
              </w:rPr>
              <w:t xml:space="preserve">#</w:t>
            </w:r>
          </w:p>
        </w:tc>
        <w:tc>
          <w:tcPr>
            <w:tcW w:type="dxa" w:w="2408"/>
            <w:shd w:fill="DFEAF0" w:val="clear"/>
            <w:tcMar>
              <w:top w:type="dxa" w:w="80"/>
              <w:left w:type="dxa" w:w="100"/>
              <w:bottom w:type="dxa" w:w="80"/>
              <w:right w:type="dxa" w:w="100"/>
            </w:tcMar>
          </w:tcPr>
          <w:p>
            <w:pPr>
              <w:pStyle w:val="Tabla"/>
            </w:pPr>
            <w:r>
              <w:rPr>
                <w:b/>
                <w:bCs/>
              </w:rPr>
              <w:t xml:space="preserve">Peldaño</w:t>
            </w:r>
          </w:p>
        </w:tc>
        <w:tc>
          <w:tcPr>
            <w:tcW w:type="dxa" w:w="2408"/>
            <w:shd w:fill="DFEAF0" w:val="clear"/>
            <w:tcMar>
              <w:top w:type="dxa" w:w="80"/>
              <w:left w:type="dxa" w:w="100"/>
              <w:bottom w:type="dxa" w:w="80"/>
              <w:right w:type="dxa" w:w="100"/>
            </w:tcMar>
          </w:tcPr>
          <w:p>
            <w:pPr>
              <w:pStyle w:val="Tabla"/>
            </w:pPr>
            <w:r>
              <w:rPr>
                <w:b/>
                <w:bCs/>
              </w:rPr>
              <w:t xml:space="preserve">Verbo</w:t>
            </w:r>
          </w:p>
        </w:tc>
        <w:tc>
          <w:tcPr>
            <w:tcW w:type="dxa" w:w="2408"/>
            <w:shd w:fill="DFEAF0" w:val="clear"/>
            <w:tcMar>
              <w:top w:type="dxa" w:w="80"/>
              <w:left w:type="dxa" w:w="100"/>
              <w:bottom w:type="dxa" w:w="80"/>
              <w:right w:type="dxa" w:w="100"/>
            </w:tcMar>
          </w:tcPr>
          <w:p>
            <w:pPr>
              <w:pStyle w:val="Tabla"/>
            </w:pPr>
            <w:r>
              <w:rPr>
                <w:b/>
                <w:bCs/>
              </w:rPr>
              <w:t xml:space="preserve">Qué ocurre ahí</w:t>
            </w:r>
          </w:p>
        </w:tc>
      </w:tr>
      <w:tr>
        <w:trPr>
          <w:cantSplit/>
          <w:tblHeader w:val="off"/>
        </w:trPr>
        <w:tc>
          <w:tcPr>
            <w:tcW w:type="dxa" w:w="2408"/>
            <w:tcMar>
              <w:top w:type="dxa" w:w="80"/>
              <w:left w:type="dxa" w:w="100"/>
              <w:bottom w:type="dxa" w:w="80"/>
              <w:right w:type="dxa" w:w="100"/>
            </w:tcMar>
          </w:tcPr>
          <w:p>
            <w:pPr>
              <w:pStyle w:val="Tabla"/>
            </w:pPr>
            <w:r>
              <w:t xml:space="preserve">1</w:t>
            </w:r>
          </w:p>
        </w:tc>
        <w:tc>
          <w:tcPr>
            <w:tcW w:type="dxa" w:w="2408"/>
            <w:tcMar>
              <w:top w:type="dxa" w:w="80"/>
              <w:left w:type="dxa" w:w="100"/>
              <w:bottom w:type="dxa" w:w="80"/>
              <w:right w:type="dxa" w:w="100"/>
            </w:tcMar>
          </w:tcPr>
          <w:p>
            <w:pPr>
              <w:pStyle w:val="Tabla"/>
            </w:pPr>
            <w:r>
              <w:t xml:space="preserve">Datos observables</w:t>
            </w:r>
          </w:p>
        </w:tc>
        <w:tc>
          <w:tcPr>
            <w:tcW w:type="dxa" w:w="2408"/>
            <w:tcMar>
              <w:top w:type="dxa" w:w="80"/>
              <w:left w:type="dxa" w:w="100"/>
              <w:bottom w:type="dxa" w:w="80"/>
              <w:right w:type="dxa" w:w="100"/>
            </w:tcMar>
          </w:tcPr>
          <w:p>
            <w:pPr>
              <w:pStyle w:val="Tabla"/>
            </w:pPr>
            <w:r>
              <w:t xml:space="preserve">Observo</w:t>
            </w:r>
          </w:p>
        </w:tc>
        <w:tc>
          <w:tcPr>
            <w:tcW w:type="dxa" w:w="2408"/>
            <w:tcMar>
              <w:top w:type="dxa" w:w="80"/>
              <w:left w:type="dxa" w:w="100"/>
              <w:bottom w:type="dxa" w:w="80"/>
              <w:right w:type="dxa" w:w="100"/>
            </w:tcMar>
          </w:tcPr>
          <w:p>
            <w:pPr>
              <w:pStyle w:val="Tabla"/>
            </w:pPr>
            <w:r>
              <w:t xml:space="preserve">El acervo de todo lo verificable por cualquier observador: palabras, tono de voz, gestos, cifras.</w:t>
            </w:r>
          </w:p>
        </w:tc>
      </w:tr>
      <w:tr>
        <w:trPr>
          <w:cantSplit/>
          <w:tblHeader w:val="off"/>
        </w:trPr>
        <w:tc>
          <w:tcPr>
            <w:tcW w:type="dxa" w:w="2408"/>
            <w:tcMar>
              <w:top w:type="dxa" w:w="80"/>
              <w:left w:type="dxa" w:w="100"/>
              <w:bottom w:type="dxa" w:w="80"/>
              <w:right w:type="dxa" w:w="100"/>
            </w:tcMar>
          </w:tcPr>
          <w:p>
            <w:pPr>
              <w:pStyle w:val="Tabla"/>
            </w:pPr>
            <w:r>
              <w:t xml:space="preserve">2</w:t>
            </w:r>
          </w:p>
        </w:tc>
        <w:tc>
          <w:tcPr>
            <w:tcW w:type="dxa" w:w="2408"/>
            <w:tcMar>
              <w:top w:type="dxa" w:w="80"/>
              <w:left w:type="dxa" w:w="100"/>
              <w:bottom w:type="dxa" w:w="80"/>
              <w:right w:type="dxa" w:w="100"/>
            </w:tcMar>
          </w:tcPr>
          <w:p>
            <w:pPr>
              <w:pStyle w:val="Tabla"/>
            </w:pPr>
            <w:r>
              <w:t xml:space="preserve">Selecciono datos</w:t>
            </w:r>
          </w:p>
        </w:tc>
        <w:tc>
          <w:tcPr>
            <w:tcW w:type="dxa" w:w="2408"/>
            <w:tcMar>
              <w:top w:type="dxa" w:w="80"/>
              <w:left w:type="dxa" w:w="100"/>
              <w:bottom w:type="dxa" w:w="80"/>
              <w:right w:type="dxa" w:w="100"/>
            </w:tcMar>
          </w:tcPr>
          <w:p>
            <w:pPr>
              <w:pStyle w:val="Tabla"/>
            </w:pPr>
            <w:r>
              <w:t xml:space="preserve">Selecciono</w:t>
            </w:r>
          </w:p>
        </w:tc>
        <w:tc>
          <w:tcPr>
            <w:tcW w:type="dxa" w:w="2408"/>
            <w:tcMar>
              <w:top w:type="dxa" w:w="80"/>
              <w:left w:type="dxa" w:w="100"/>
              <w:bottom w:type="dxa" w:w="80"/>
              <w:right w:type="dxa" w:w="100"/>
            </w:tcMar>
          </w:tcPr>
          <w:p>
            <w:pPr>
              <w:pStyle w:val="Tabla"/>
            </w:pPr>
            <w:r>
              <w:t xml:space="preserve">De todo lo disponible retengo unos pocos datos e ignoro el resto.</w:t>
            </w:r>
          </w:p>
        </w:tc>
      </w:tr>
      <w:tr>
        <w:trPr>
          <w:cantSplit/>
          <w:tblHeader w:val="off"/>
        </w:trPr>
        <w:tc>
          <w:tcPr>
            <w:tcW w:type="dxa" w:w="2408"/>
            <w:tcMar>
              <w:top w:type="dxa" w:w="80"/>
              <w:left w:type="dxa" w:w="100"/>
              <w:bottom w:type="dxa" w:w="80"/>
              <w:right w:type="dxa" w:w="100"/>
            </w:tcMar>
          </w:tcPr>
          <w:p>
            <w:pPr>
              <w:pStyle w:val="Tabla"/>
            </w:pPr>
            <w:r>
              <w:t xml:space="preserve">3</w:t>
            </w:r>
          </w:p>
        </w:tc>
        <w:tc>
          <w:tcPr>
            <w:tcW w:type="dxa" w:w="2408"/>
            <w:tcMar>
              <w:top w:type="dxa" w:w="80"/>
              <w:left w:type="dxa" w:w="100"/>
              <w:bottom w:type="dxa" w:w="80"/>
              <w:right w:type="dxa" w:w="100"/>
            </w:tcMar>
          </w:tcPr>
          <w:p>
            <w:pPr>
              <w:pStyle w:val="Tabla"/>
            </w:pPr>
            <w:r>
              <w:t xml:space="preserve">Añado significados</w:t>
            </w:r>
          </w:p>
        </w:tc>
        <w:tc>
          <w:tcPr>
            <w:tcW w:type="dxa" w:w="2408"/>
            <w:tcMar>
              <w:top w:type="dxa" w:w="80"/>
              <w:left w:type="dxa" w:w="100"/>
              <w:bottom w:type="dxa" w:w="80"/>
              <w:right w:type="dxa" w:w="100"/>
            </w:tcMar>
          </w:tcPr>
          <w:p>
            <w:pPr>
              <w:pStyle w:val="Tabla"/>
            </w:pPr>
            <w:r>
              <w:t xml:space="preserve">Traduzco</w:t>
            </w:r>
          </w:p>
        </w:tc>
        <w:tc>
          <w:tcPr>
            <w:tcW w:type="dxa" w:w="2408"/>
            <w:tcMar>
              <w:top w:type="dxa" w:w="80"/>
              <w:left w:type="dxa" w:w="100"/>
              <w:bottom w:type="dxa" w:w="80"/>
              <w:right w:type="dxa" w:w="100"/>
            </w:tcMar>
          </w:tcPr>
          <w:p>
            <w:pPr>
              <w:pStyle w:val="Tabla"/>
            </w:pPr>
            <w:r>
              <w:t xml:space="preserve">Traduzco los datos a mis propias palabras según mi cultura y mi historia personal.</w:t>
            </w:r>
          </w:p>
        </w:tc>
      </w:tr>
      <w:tr>
        <w:trPr>
          <w:cantSplit/>
          <w:tblHeader w:val="off"/>
        </w:trPr>
        <w:tc>
          <w:tcPr>
            <w:tcW w:type="dxa" w:w="2408"/>
            <w:tcMar>
              <w:top w:type="dxa" w:w="80"/>
              <w:left w:type="dxa" w:w="100"/>
              <w:bottom w:type="dxa" w:w="80"/>
              <w:right w:type="dxa" w:w="100"/>
            </w:tcMar>
          </w:tcPr>
          <w:p>
            <w:pPr>
              <w:pStyle w:val="Tabla"/>
            </w:pPr>
            <w:r>
              <w:t xml:space="preserve">4</w:t>
            </w:r>
          </w:p>
        </w:tc>
        <w:tc>
          <w:tcPr>
            <w:tcW w:type="dxa" w:w="2408"/>
            <w:tcMar>
              <w:top w:type="dxa" w:w="80"/>
              <w:left w:type="dxa" w:w="100"/>
              <w:bottom w:type="dxa" w:w="80"/>
              <w:right w:type="dxa" w:w="100"/>
            </w:tcMar>
          </w:tcPr>
          <w:p>
            <w:pPr>
              <w:pStyle w:val="Tabla"/>
            </w:pPr>
            <w:r>
              <w:t xml:space="preserve">Hago supuestos</w:t>
            </w:r>
          </w:p>
        </w:tc>
        <w:tc>
          <w:tcPr>
            <w:tcW w:type="dxa" w:w="2408"/>
            <w:tcMar>
              <w:top w:type="dxa" w:w="80"/>
              <w:left w:type="dxa" w:w="100"/>
              <w:bottom w:type="dxa" w:w="80"/>
              <w:right w:type="dxa" w:w="100"/>
            </w:tcMar>
          </w:tcPr>
          <w:p>
            <w:pPr>
              <w:pStyle w:val="Tabla"/>
            </w:pPr>
            <w:r>
              <w:t xml:space="preserve">Supongo</w:t>
            </w:r>
          </w:p>
        </w:tc>
        <w:tc>
          <w:tcPr>
            <w:tcW w:type="dxa" w:w="2408"/>
            <w:tcMar>
              <w:top w:type="dxa" w:w="80"/>
              <w:left w:type="dxa" w:w="100"/>
              <w:bottom w:type="dxa" w:w="80"/>
              <w:right w:type="dxa" w:w="100"/>
            </w:tcMar>
          </w:tcPr>
          <w:p>
            <w:pPr>
              <w:pStyle w:val="Tabla"/>
            </w:pPr>
            <w:r>
              <w:t xml:space="preserve">Sobre los significados añadidos construyo suposiciones: relleno los huecos con lo que «debe» estar pasando, aunque no lo haya visto.</w:t>
            </w:r>
          </w:p>
        </w:tc>
      </w:tr>
      <w:tr>
        <w:trPr>
          <w:cantSplit/>
          <w:tblHeader w:val="off"/>
        </w:trPr>
        <w:tc>
          <w:tcPr>
            <w:tcW w:type="dxa" w:w="2408"/>
            <w:tcMar>
              <w:top w:type="dxa" w:w="80"/>
              <w:left w:type="dxa" w:w="100"/>
              <w:bottom w:type="dxa" w:w="80"/>
              <w:right w:type="dxa" w:w="100"/>
            </w:tcMar>
          </w:tcPr>
          <w:p>
            <w:pPr>
              <w:pStyle w:val="Tabla"/>
            </w:pPr>
            <w:r>
              <w:t xml:space="preserve">5</w:t>
            </w:r>
          </w:p>
        </w:tc>
        <w:tc>
          <w:tcPr>
            <w:tcW w:type="dxa" w:w="2408"/>
            <w:tcMar>
              <w:top w:type="dxa" w:w="80"/>
              <w:left w:type="dxa" w:w="100"/>
              <w:bottom w:type="dxa" w:w="80"/>
              <w:right w:type="dxa" w:w="100"/>
            </w:tcMar>
          </w:tcPr>
          <w:p>
            <w:pPr>
              <w:pStyle w:val="Tabla"/>
            </w:pPr>
            <w:r>
              <w:t xml:space="preserve">Saco conclusiones</w:t>
            </w:r>
          </w:p>
        </w:tc>
        <w:tc>
          <w:tcPr>
            <w:tcW w:type="dxa" w:w="2408"/>
            <w:tcMar>
              <w:top w:type="dxa" w:w="80"/>
              <w:left w:type="dxa" w:w="100"/>
              <w:bottom w:type="dxa" w:w="80"/>
              <w:right w:type="dxa" w:w="100"/>
            </w:tcMar>
          </w:tcPr>
          <w:p>
            <w:pPr>
              <w:pStyle w:val="Tabla"/>
            </w:pPr>
            <w:r>
              <w:t xml:space="preserve">Concluyo</w:t>
            </w:r>
          </w:p>
        </w:tc>
        <w:tc>
          <w:tcPr>
            <w:tcW w:type="dxa" w:w="2408"/>
            <w:tcMar>
              <w:top w:type="dxa" w:w="80"/>
              <w:left w:type="dxa" w:w="100"/>
              <w:bottom w:type="dxa" w:w="80"/>
              <w:right w:type="dxa" w:w="100"/>
            </w:tcMar>
          </w:tcPr>
          <w:p>
            <w:pPr>
              <w:pStyle w:val="Tabla"/>
            </w:pPr>
            <w:r>
              <w:t xml:space="preserve">Armo un cuadro de situación y emito juicios: comparo mi interpretación con mis valores y decido que esto es «un problema» o «una oportunidad», que…</w:t>
            </w:r>
          </w:p>
        </w:tc>
      </w:tr>
      <w:tr>
        <w:trPr>
          <w:cantSplit/>
          <w:tblHeader w:val="off"/>
        </w:trPr>
        <w:tc>
          <w:tcPr>
            <w:tcW w:type="dxa" w:w="2408"/>
            <w:tcMar>
              <w:top w:type="dxa" w:w="80"/>
              <w:left w:type="dxa" w:w="100"/>
              <w:bottom w:type="dxa" w:w="80"/>
              <w:right w:type="dxa" w:w="100"/>
            </w:tcMar>
          </w:tcPr>
          <w:p>
            <w:pPr>
              <w:pStyle w:val="Tabla"/>
            </w:pPr>
            <w:r>
              <w:t xml:space="preserve">6</w:t>
            </w:r>
          </w:p>
        </w:tc>
        <w:tc>
          <w:tcPr>
            <w:tcW w:type="dxa" w:w="2408"/>
            <w:tcMar>
              <w:top w:type="dxa" w:w="80"/>
              <w:left w:type="dxa" w:w="100"/>
              <w:bottom w:type="dxa" w:w="80"/>
              <w:right w:type="dxa" w:w="100"/>
            </w:tcMar>
          </w:tcPr>
          <w:p>
            <w:pPr>
              <w:pStyle w:val="Tabla"/>
            </w:pPr>
            <w:r>
              <w:t xml:space="preserve">Adopto creencias</w:t>
            </w:r>
          </w:p>
        </w:tc>
        <w:tc>
          <w:tcPr>
            <w:tcW w:type="dxa" w:w="2408"/>
            <w:tcMar>
              <w:top w:type="dxa" w:w="80"/>
              <w:left w:type="dxa" w:w="100"/>
              <w:bottom w:type="dxa" w:w="80"/>
              <w:right w:type="dxa" w:w="100"/>
            </w:tcMar>
          </w:tcPr>
          <w:p>
            <w:pPr>
              <w:pStyle w:val="Tabla"/>
            </w:pPr>
            <w:r>
              <w:t xml:space="preserve">Creo</w:t>
            </w:r>
          </w:p>
        </w:tc>
        <w:tc>
          <w:tcPr>
            <w:tcW w:type="dxa" w:w="2408"/>
            <w:tcMar>
              <w:top w:type="dxa" w:w="80"/>
              <w:left w:type="dxa" w:w="100"/>
              <w:bottom w:type="dxa" w:w="80"/>
              <w:right w:type="dxa" w:w="100"/>
            </w:tcMar>
          </w:tcPr>
          <w:p>
            <w:pPr>
              <w:pStyle w:val="Tabla"/>
            </w:pPr>
            <w:r>
              <w:t xml:space="preserve">La conclusión se sedimenta en una creencia estable sobre el mundo o sobre la persona.</w:t>
            </w:r>
          </w:p>
        </w:tc>
      </w:tr>
      <w:tr>
        <w:trPr>
          <w:cantSplit/>
          <w:tblHeader w:val="off"/>
        </w:trPr>
        <w:tc>
          <w:tcPr>
            <w:tcW w:type="dxa" w:w="2408"/>
            <w:tcMar>
              <w:top w:type="dxa" w:w="80"/>
              <w:left w:type="dxa" w:w="100"/>
              <w:bottom w:type="dxa" w:w="80"/>
              <w:right w:type="dxa" w:w="100"/>
            </w:tcMar>
          </w:tcPr>
          <w:p>
            <w:pPr>
              <w:pStyle w:val="Tabla"/>
            </w:pPr>
            <w:r>
              <w:t xml:space="preserve">7</w:t>
            </w:r>
          </w:p>
        </w:tc>
        <w:tc>
          <w:tcPr>
            <w:tcW w:type="dxa" w:w="2408"/>
            <w:tcMar>
              <w:top w:type="dxa" w:w="80"/>
              <w:left w:type="dxa" w:w="100"/>
              <w:bottom w:type="dxa" w:w="80"/>
              <w:right w:type="dxa" w:w="100"/>
            </w:tcMar>
          </w:tcPr>
          <w:p>
            <w:pPr>
              <w:pStyle w:val="Tabla"/>
            </w:pPr>
            <w:r>
              <w:t xml:space="preserve">Actúo</w:t>
            </w:r>
          </w:p>
        </w:tc>
        <w:tc>
          <w:tcPr>
            <w:tcW w:type="dxa" w:w="2408"/>
            <w:tcMar>
              <w:top w:type="dxa" w:w="80"/>
              <w:left w:type="dxa" w:w="100"/>
              <w:bottom w:type="dxa" w:w="80"/>
              <w:right w:type="dxa" w:w="100"/>
            </w:tcMar>
          </w:tcPr>
          <w:p>
            <w:pPr>
              <w:pStyle w:val="Tabla"/>
            </w:pPr>
            <w:r>
              <w:t xml:space="preserve">Actúo</w:t>
            </w:r>
          </w:p>
        </w:tc>
        <w:tc>
          <w:tcPr>
            <w:tcW w:type="dxa" w:w="2408"/>
            <w:tcMar>
              <w:top w:type="dxa" w:w="80"/>
              <w:left w:type="dxa" w:w="100"/>
              <w:bottom w:type="dxa" w:w="80"/>
              <w:right w:type="dxa" w:w="100"/>
            </w:tcMar>
          </w:tcPr>
          <w:p>
            <w:pPr>
              <w:pStyle w:val="Tabla"/>
            </w:pPr>
            <w:r>
              <w:t xml:space="preserve">Decido y actúo según mis creencias.</w:t>
            </w:r>
          </w:p>
        </w:tc>
      </w:tr>
    </w:tbl>
    <w:p>
      <w:pPr>
        <w:pStyle w:val="Fuente"/>
      </w:pPr>
      <w:r>
        <w:t xml:space="preserve">De Chris Argyris; Senge y Kofman la difundieron. Se sube de un salto: por eso las conclusiones parecen obvias.</w:t>
      </w:r>
    </w:p>
    <w:p>
      <w:pPr>
        <w:pStyle w:val="Heading3"/>
      </w:pPr>
      <w:bookmarkStart w:name="b_tabla_1_2_g1_operaciones" w:id="312"/>
      <w:r>
        <w:t xml:space="preserve">Las cuatro operaciones mentales</w:t>
      </w:r>
      <w:bookmarkEnd w:id="312"/>
    </w:p>
    <w:tbl>
      <w:tblPr>
        <w:tblW w:type="dxa" w:w="9632"/>
        <w:tblBorders>
          <w:top w:val="single" w:color="C5D5DB" w:sz="4"/>
          <w:left w:val="single" w:color="C5D5DB" w:sz="4"/>
          <w:bottom w:val="single" w:color="C5D5DB" w:sz="4"/>
          <w:right w:val="single" w:color="C5D5DB" w:sz="4"/>
          <w:insideH w:val="single" w:color="E4E9EB" w:sz="3"/>
          <w:insideV w:val="single" w:color="E4E9EB" w:sz="3"/>
        </w:tblBorders>
        <w:tblLayout w:type="fixed"/>
      </w:tblPr>
      <w:tblGrid>
        <w:gridCol w:w="2408"/>
        <w:gridCol w:w="2408"/>
        <w:gridCol w:w="2408"/>
        <w:gridCol w:w="2408"/>
      </w:tblGrid>
      <w:tr>
        <w:trPr>
          <w:cantSplit/>
          <w:tblHeader/>
        </w:trPr>
        <w:tc>
          <w:tcPr>
            <w:tcW w:type="dxa" w:w="2408"/>
            <w:shd w:fill="DFEAF0" w:val="clear"/>
            <w:tcMar>
              <w:top w:type="dxa" w:w="80"/>
              <w:left w:type="dxa" w:w="100"/>
              <w:bottom w:type="dxa" w:w="80"/>
              <w:right w:type="dxa" w:w="100"/>
            </w:tcMar>
          </w:tcPr>
          <w:p>
            <w:pPr>
              <w:pStyle w:val="Tabla"/>
            </w:pPr>
            <w:r>
              <w:rPr>
                <w:b/>
                <w:bCs/>
              </w:rPr>
              <w:t xml:space="preserve">#</w:t>
            </w:r>
          </w:p>
        </w:tc>
        <w:tc>
          <w:tcPr>
            <w:tcW w:type="dxa" w:w="2408"/>
            <w:shd w:fill="DFEAF0" w:val="clear"/>
            <w:tcMar>
              <w:top w:type="dxa" w:w="80"/>
              <w:left w:type="dxa" w:w="100"/>
              <w:bottom w:type="dxa" w:w="80"/>
              <w:right w:type="dxa" w:w="100"/>
            </w:tcMar>
          </w:tcPr>
          <w:p>
            <w:pPr>
              <w:pStyle w:val="Tabla"/>
            </w:pPr>
            <w:r>
              <w:rPr>
                <w:b/>
                <w:bCs/>
              </w:rPr>
              <w:t xml:space="preserve">Operación</w:t>
            </w:r>
          </w:p>
        </w:tc>
        <w:tc>
          <w:tcPr>
            <w:tcW w:type="dxa" w:w="2408"/>
            <w:shd w:fill="DFEAF0" w:val="clear"/>
            <w:tcMar>
              <w:top w:type="dxa" w:w="80"/>
              <w:left w:type="dxa" w:w="100"/>
              <w:bottom w:type="dxa" w:w="80"/>
              <w:right w:type="dxa" w:w="100"/>
            </w:tcMar>
          </w:tcPr>
          <w:p>
            <w:pPr>
              <w:pStyle w:val="Tabla"/>
            </w:pPr>
            <w:r>
              <w:rPr>
                <w:b/>
                <w:bCs/>
              </w:rPr>
              <w:t xml:space="preserve">Definición de la lámina</w:t>
            </w:r>
          </w:p>
        </w:tc>
        <w:tc>
          <w:tcPr>
            <w:tcW w:type="dxa" w:w="2408"/>
            <w:shd w:fill="DFEAF0" w:val="clear"/>
            <w:tcMar>
              <w:top w:type="dxa" w:w="80"/>
              <w:left w:type="dxa" w:w="100"/>
              <w:bottom w:type="dxa" w:w="80"/>
              <w:right w:type="dxa" w:w="100"/>
            </w:tcMar>
          </w:tcPr>
          <w:p>
            <w:pPr>
              <w:pStyle w:val="Tabla"/>
            </w:pPr>
            <w:r>
              <w:rPr>
                <w:b/>
                <w:bCs/>
              </w:rPr>
              <w:t xml:space="preserve">Cómo se nota</w:t>
            </w:r>
          </w:p>
        </w:tc>
      </w:tr>
      <w:tr>
        <w:trPr>
          <w:cantSplit/>
          <w:tblHeader w:val="off"/>
        </w:trPr>
        <w:tc>
          <w:tcPr>
            <w:tcW w:type="dxa" w:w="2408"/>
            <w:tcMar>
              <w:top w:type="dxa" w:w="80"/>
              <w:left w:type="dxa" w:w="100"/>
              <w:bottom w:type="dxa" w:w="80"/>
              <w:right w:type="dxa" w:w="100"/>
            </w:tcMar>
          </w:tcPr>
          <w:p>
            <w:pPr>
              <w:pStyle w:val="Tabla"/>
            </w:pPr>
            <w:r>
              <w:t xml:space="preserve">1</w:t>
            </w:r>
          </w:p>
        </w:tc>
        <w:tc>
          <w:tcPr>
            <w:tcW w:type="dxa" w:w="2408"/>
            <w:tcMar>
              <w:top w:type="dxa" w:w="80"/>
              <w:left w:type="dxa" w:w="100"/>
              <w:bottom w:type="dxa" w:w="80"/>
              <w:right w:type="dxa" w:w="100"/>
            </w:tcMar>
          </w:tcPr>
          <w:p>
            <w:pPr>
              <w:pStyle w:val="Tabla"/>
            </w:pPr>
            <w:r>
              <w:t xml:space="preserve">Eliminación</w:t>
            </w:r>
          </w:p>
        </w:tc>
        <w:tc>
          <w:tcPr>
            <w:tcW w:type="dxa" w:w="2408"/>
            <w:tcMar>
              <w:top w:type="dxa" w:w="80"/>
              <w:left w:type="dxa" w:w="100"/>
              <w:bottom w:type="dxa" w:w="80"/>
              <w:right w:type="dxa" w:w="100"/>
            </w:tcMar>
          </w:tcPr>
          <w:p>
            <w:pPr>
              <w:pStyle w:val="Tabla"/>
            </w:pPr>
            <w:r>
              <w:t xml:space="preserve">Somos selectivos respecto a nuestra atención. Mientras estamos despiertos nuestros sentidos no dejan de recibir estímulos, y sería imposible prestar…</w:t>
            </w:r>
          </w:p>
        </w:tc>
        <w:tc>
          <w:tcPr>
            <w:tcW w:type="dxa" w:w="2408"/>
            <w:tcMar>
              <w:top w:type="dxa" w:w="80"/>
              <w:left w:type="dxa" w:w="100"/>
              <w:bottom w:type="dxa" w:w="80"/>
              <w:right w:type="dxa" w:w="100"/>
            </w:tcMar>
          </w:tcPr>
          <w:p>
            <w:pPr>
              <w:pStyle w:val="Tabla"/>
            </w:pPr>
            <w:r>
              <w:t xml:space="preserve">Me sorprendo diciendo «no había nada más que ver». Si alguien que estuvo en la misma escena menciona un detalle que yo no registré, ese detalle no…</w:t>
            </w:r>
          </w:p>
        </w:tc>
      </w:tr>
      <w:tr>
        <w:trPr>
          <w:cantSplit/>
          <w:tblHeader w:val="off"/>
        </w:trPr>
        <w:tc>
          <w:tcPr>
            <w:tcW w:type="dxa" w:w="2408"/>
            <w:tcMar>
              <w:top w:type="dxa" w:w="80"/>
              <w:left w:type="dxa" w:w="100"/>
              <w:bottom w:type="dxa" w:w="80"/>
              <w:right w:type="dxa" w:w="100"/>
            </w:tcMar>
          </w:tcPr>
          <w:p>
            <w:pPr>
              <w:pStyle w:val="Tabla"/>
            </w:pPr>
            <w:r>
              <w:t xml:space="preserve">2</w:t>
            </w:r>
          </w:p>
        </w:tc>
        <w:tc>
          <w:tcPr>
            <w:tcW w:type="dxa" w:w="2408"/>
            <w:tcMar>
              <w:top w:type="dxa" w:w="80"/>
              <w:left w:type="dxa" w:w="100"/>
              <w:bottom w:type="dxa" w:w="80"/>
              <w:right w:type="dxa" w:w="100"/>
            </w:tcMar>
          </w:tcPr>
          <w:p>
            <w:pPr>
              <w:pStyle w:val="Tabla"/>
            </w:pPr>
            <w:r>
              <w:t xml:space="preserve">Construcción</w:t>
            </w:r>
          </w:p>
        </w:tc>
        <w:tc>
          <w:tcPr>
            <w:tcW w:type="dxa" w:w="2408"/>
            <w:tcMar>
              <w:top w:type="dxa" w:w="80"/>
              <w:left w:type="dxa" w:w="100"/>
              <w:bottom w:type="dxa" w:w="80"/>
              <w:right w:type="dxa" w:w="100"/>
            </w:tcMar>
          </w:tcPr>
          <w:p>
            <w:pPr>
              <w:pStyle w:val="Tabla"/>
            </w:pPr>
            <w:r>
              <w:t xml:space="preserve">Uno de nuestros modelos más fuertes y de gran utilidad es el de que el mundo responde a determinados patrones y tiene un sentido, lo que pasa es que…</w:t>
            </w:r>
          </w:p>
        </w:tc>
        <w:tc>
          <w:tcPr>
            <w:tcW w:type="dxa" w:w="2408"/>
            <w:tcMar>
              <w:top w:type="dxa" w:w="80"/>
              <w:left w:type="dxa" w:w="100"/>
              <w:bottom w:type="dxa" w:w="80"/>
              <w:right w:type="dxa" w:w="100"/>
            </w:tcMar>
          </w:tcPr>
          <w:p>
            <w:pPr>
              <w:pStyle w:val="Tabla"/>
            </w:pPr>
            <w:r>
              <w:t xml:space="preserve">Me sorprendo diciendo «es obvio que lo hizo porque…». Si puedo nombrar la causa pero no el dato que la prueba, no observé: construí.</w:t>
            </w:r>
          </w:p>
        </w:tc>
      </w:tr>
      <w:tr>
        <w:trPr>
          <w:cantSplit/>
          <w:tblHeader w:val="off"/>
        </w:trPr>
        <w:tc>
          <w:tcPr>
            <w:tcW w:type="dxa" w:w="2408"/>
            <w:tcMar>
              <w:top w:type="dxa" w:w="80"/>
              <w:left w:type="dxa" w:w="100"/>
              <w:bottom w:type="dxa" w:w="80"/>
              <w:right w:type="dxa" w:w="100"/>
            </w:tcMar>
          </w:tcPr>
          <w:p>
            <w:pPr>
              <w:pStyle w:val="Tabla"/>
            </w:pPr>
            <w:r>
              <w:t xml:space="preserve">3</w:t>
            </w:r>
          </w:p>
        </w:tc>
        <w:tc>
          <w:tcPr>
            <w:tcW w:type="dxa" w:w="2408"/>
            <w:tcMar>
              <w:top w:type="dxa" w:w="80"/>
              <w:left w:type="dxa" w:w="100"/>
              <w:bottom w:type="dxa" w:w="80"/>
              <w:right w:type="dxa" w:w="100"/>
            </w:tcMar>
          </w:tcPr>
          <w:p>
            <w:pPr>
              <w:pStyle w:val="Tabla"/>
            </w:pPr>
            <w:r>
              <w:t xml:space="preserve">Distorsión</w:t>
            </w:r>
          </w:p>
        </w:tc>
        <w:tc>
          <w:tcPr>
            <w:tcW w:type="dxa" w:w="2408"/>
            <w:tcMar>
              <w:top w:type="dxa" w:w="80"/>
              <w:left w:type="dxa" w:w="100"/>
              <w:bottom w:type="dxa" w:w="80"/>
              <w:right w:type="dxa" w:w="100"/>
            </w:tcMar>
          </w:tcPr>
          <w:p>
            <w:pPr>
              <w:pStyle w:val="Tabla"/>
            </w:pPr>
            <w:r>
              <w:t xml:space="preserve">La distorsión se da cuando cambiamos la experiencia, amplificando algunas partes y disminuyendo otras. Es la base tanto de la creatividad como de la…</w:t>
            </w:r>
          </w:p>
        </w:tc>
        <w:tc>
          <w:tcPr>
            <w:tcW w:type="dxa" w:w="2408"/>
            <w:tcMar>
              <w:top w:type="dxa" w:w="80"/>
              <w:left w:type="dxa" w:w="100"/>
              <w:bottom w:type="dxa" w:w="80"/>
              <w:right w:type="dxa" w:w="100"/>
            </w:tcMar>
          </w:tcPr>
          <w:p>
            <w:pPr>
              <w:pStyle w:val="Tabla"/>
            </w:pPr>
            <w:r>
              <w:t xml:space="preserve">Me sorprendo diciendo «fue gravísimo» o «no fue nada». Cuando el tamaño del hecho cambia según quién lo cuenta —o según mi ánimo del día—, la…</w:t>
            </w:r>
          </w:p>
        </w:tc>
      </w:tr>
      <w:tr>
        <w:trPr>
          <w:cantSplit/>
          <w:tblHeader w:val="off"/>
        </w:trPr>
        <w:tc>
          <w:tcPr>
            <w:tcW w:type="dxa" w:w="2408"/>
            <w:tcMar>
              <w:top w:type="dxa" w:w="80"/>
              <w:left w:type="dxa" w:w="100"/>
              <w:bottom w:type="dxa" w:w="80"/>
              <w:right w:type="dxa" w:w="100"/>
            </w:tcMar>
          </w:tcPr>
          <w:p>
            <w:pPr>
              <w:pStyle w:val="Tabla"/>
            </w:pPr>
            <w:r>
              <w:t xml:space="preserve">4</w:t>
            </w:r>
          </w:p>
        </w:tc>
        <w:tc>
          <w:tcPr>
            <w:tcW w:type="dxa" w:w="2408"/>
            <w:tcMar>
              <w:top w:type="dxa" w:w="80"/>
              <w:left w:type="dxa" w:w="100"/>
              <w:bottom w:type="dxa" w:w="80"/>
              <w:right w:type="dxa" w:w="100"/>
            </w:tcMar>
          </w:tcPr>
          <w:p>
            <w:pPr>
              <w:pStyle w:val="Tabla"/>
            </w:pPr>
            <w:r>
              <w:t xml:space="preserve">Generalización</w:t>
            </w:r>
          </w:p>
        </w:tc>
        <w:tc>
          <w:tcPr>
            <w:tcW w:type="dxa" w:w="2408"/>
            <w:tcMar>
              <w:top w:type="dxa" w:w="80"/>
              <w:left w:type="dxa" w:w="100"/>
              <w:bottom w:type="dxa" w:w="80"/>
              <w:right w:type="dxa" w:w="100"/>
            </w:tcMar>
          </w:tcPr>
          <w:p>
            <w:pPr>
              <w:pStyle w:val="Tabla"/>
            </w:pPr>
            <w:r>
              <w:t xml:space="preserve">Mediante la generalización, creamos nuestros modelos mentales tomando una experiencia como representativa de un grupo de experiencias. La…</w:t>
            </w:r>
          </w:p>
        </w:tc>
        <w:tc>
          <w:tcPr>
            <w:tcW w:type="dxa" w:w="2408"/>
            <w:tcMar>
              <w:top w:type="dxa" w:w="80"/>
              <w:left w:type="dxa" w:w="100"/>
              <w:bottom w:type="dxa" w:w="80"/>
              <w:right w:type="dxa" w:w="100"/>
            </w:tcMar>
          </w:tcPr>
          <w:p>
            <w:pPr>
              <w:pStyle w:val="Tabla"/>
            </w:pPr>
            <w:r>
              <w:t xml:space="preserve">Me sorprendo diciendo «siempre» o «nunca». Si la muestra fue un solo episodio y la conclusión habla de todos los episodios, es generalización.</w:t>
            </w:r>
          </w:p>
        </w:tc>
      </w:tr>
    </w:tbl>
    <w:p>
      <w:pPr>
        <w:pStyle w:val="Fuente"/>
      </w:pPr>
      <w:r>
        <w:t xml:space="preserve">Texto literal de la lámina 2 de la clase 3, siguiendo a O'Connor y McDermott.</w:t>
      </w:r>
    </w:p>
    <w:p>
      <w:pPr>
        <w:pStyle w:val="Heading3"/>
      </w:pPr>
      <w:bookmarkStart w:name="b_tabla_1_2_g1_autores" w:id="313"/>
      <w:r>
        <w:t xml:space="preserve">Quién dijo qué</w:t>
      </w:r>
      <w:bookmarkEnd w:id="313"/>
    </w:p>
    <w:tbl>
      <w:tblPr>
        <w:tblW w:type="dxa" w:w="9632"/>
        <w:tblBorders>
          <w:top w:val="single" w:color="C5D5DB" w:sz="4"/>
          <w:left w:val="single" w:color="C5D5DB" w:sz="4"/>
          <w:bottom w:val="single" w:color="C5D5DB" w:sz="4"/>
          <w:right w:val="single" w:color="C5D5DB" w:sz="4"/>
          <w:insideH w:val="single" w:color="E4E9EB" w:sz="3"/>
          <w:insideV w:val="single" w:color="E4E9EB" w:sz="3"/>
        </w:tblBorders>
        <w:tblLayout w:type="fixed"/>
      </w:tblPr>
      <w:tblGrid>
        <w:gridCol w:w="3212"/>
        <w:gridCol w:w="3210"/>
        <w:gridCol w:w="3210"/>
      </w:tblGrid>
      <w:tr>
        <w:trPr>
          <w:cantSplit/>
          <w:tblHeader/>
        </w:trPr>
        <w:tc>
          <w:tcPr>
            <w:tcW w:type="dxa" w:w="3212"/>
            <w:shd w:fill="DFEAF0" w:val="clear"/>
            <w:tcMar>
              <w:top w:type="dxa" w:w="80"/>
              <w:left w:type="dxa" w:w="100"/>
              <w:bottom w:type="dxa" w:w="80"/>
              <w:right w:type="dxa" w:w="100"/>
            </w:tcMar>
          </w:tcPr>
          <w:p>
            <w:pPr>
              <w:pStyle w:val="Tabla"/>
            </w:pPr>
            <w:r>
              <w:rPr>
                <w:b/>
                <w:bCs/>
              </w:rPr>
              <w:t xml:space="preserve">Autor</w:t>
            </w:r>
          </w:p>
        </w:tc>
        <w:tc>
          <w:tcPr>
            <w:tcW w:type="dxa" w:w="3210"/>
            <w:shd w:fill="DFEAF0" w:val="clear"/>
            <w:tcMar>
              <w:top w:type="dxa" w:w="80"/>
              <w:left w:type="dxa" w:w="100"/>
              <w:bottom w:type="dxa" w:w="80"/>
              <w:right w:type="dxa" w:w="100"/>
            </w:tcMar>
          </w:tcPr>
          <w:p>
            <w:pPr>
              <w:pStyle w:val="Tabla"/>
            </w:pPr>
            <w:r>
              <w:rPr>
                <w:b/>
                <w:bCs/>
              </w:rPr>
              <w:t xml:space="preserve">Se le atribuye</w:t>
            </w:r>
          </w:p>
        </w:tc>
        <w:tc>
          <w:tcPr>
            <w:tcW w:type="dxa" w:w="3210"/>
            <w:shd w:fill="DFEAF0" w:val="clear"/>
            <w:tcMar>
              <w:top w:type="dxa" w:w="80"/>
              <w:left w:type="dxa" w:w="100"/>
              <w:bottom w:type="dxa" w:w="80"/>
              <w:right w:type="dxa" w:w="100"/>
            </w:tcMar>
          </w:tcPr>
          <w:p>
            <w:pPr>
              <w:pStyle w:val="Tabla"/>
            </w:pPr>
            <w:r>
              <w:rPr>
                <w:b/>
                <w:bCs/>
              </w:rPr>
              <w:t xml:space="preserve">Dónde entra</w:t>
            </w:r>
          </w:p>
        </w:tc>
      </w:tr>
      <w:tr>
        <w:trPr>
          <w:cantSplit/>
          <w:tblHeader w:val="off"/>
        </w:trPr>
        <w:tc>
          <w:tcPr>
            <w:tcW w:type="dxa" w:w="3212"/>
            <w:tcMar>
              <w:top w:type="dxa" w:w="80"/>
              <w:left w:type="dxa" w:w="100"/>
              <w:bottom w:type="dxa" w:w="80"/>
              <w:right w:type="dxa" w:w="100"/>
            </w:tcMar>
          </w:tcPr>
          <w:p>
            <w:pPr>
              <w:pStyle w:val="Tabla"/>
            </w:pPr>
            <w:r>
              <w:t xml:space="preserve">J. L. Le Moigne</w:t>
            </w:r>
          </w:p>
        </w:tc>
        <w:tc>
          <w:tcPr>
            <w:tcW w:type="dxa" w:w="3210"/>
            <w:tcMar>
              <w:top w:type="dxa" w:w="80"/>
              <w:left w:type="dxa" w:w="100"/>
              <w:bottom w:type="dxa" w:w="80"/>
              <w:right w:type="dxa" w:w="100"/>
            </w:tcMar>
          </w:tcPr>
          <w:p>
            <w:pPr>
              <w:pStyle w:val="Tabla"/>
            </w:pPr>
            <w:r>
              <w:t xml:space="preserve">La definición de objeto y el sistema generalizado; el paradigma de sistemas como teoría generalista.</w:t>
            </w:r>
          </w:p>
        </w:tc>
        <w:tc>
          <w:tcPr>
            <w:tcW w:type="dxa" w:w="3210"/>
            <w:tcMar>
              <w:top w:type="dxa" w:w="80"/>
              <w:left w:type="dxa" w:w="100"/>
              <w:bottom w:type="dxa" w:w="80"/>
              <w:right w:type="dxa" w:w="100"/>
            </w:tcMar>
          </w:tcPr>
          <w:p>
            <w:pPr>
              <w:pStyle w:val="Tabla"/>
            </w:pPr>
            <w:r>
              <w:t xml:space="preserve">1.3 · 2.2</w:t>
            </w:r>
          </w:p>
        </w:tc>
      </w:tr>
      <w:tr>
        <w:trPr>
          <w:cantSplit/>
          <w:tblHeader w:val="off"/>
        </w:trPr>
        <w:tc>
          <w:tcPr>
            <w:tcW w:type="dxa" w:w="3212"/>
            <w:tcMar>
              <w:top w:type="dxa" w:w="80"/>
              <w:left w:type="dxa" w:w="100"/>
              <w:bottom w:type="dxa" w:w="80"/>
              <w:right w:type="dxa" w:w="100"/>
            </w:tcMar>
          </w:tcPr>
          <w:p>
            <w:pPr>
              <w:pStyle w:val="Tabla"/>
            </w:pPr>
            <w:r>
              <w:t xml:space="preserve">Derek y Laura Cabrera</w:t>
            </w:r>
          </w:p>
        </w:tc>
        <w:tc>
          <w:tcPr>
            <w:tcW w:type="dxa" w:w="3210"/>
            <w:tcMar>
              <w:top w:type="dxa" w:w="80"/>
              <w:left w:type="dxa" w:w="100"/>
              <w:bottom w:type="dxa" w:w="80"/>
              <w:right w:type="dxa" w:w="100"/>
            </w:tcMar>
          </w:tcPr>
          <w:p>
            <w:pPr>
              <w:pStyle w:val="Tabla"/>
            </w:pPr>
            <w:r>
              <w:t xml:space="preserve">Las cuatro reglas simples DSRP y el pensamiento sistémico como propiedad emergente; la discordancia.</w:t>
            </w:r>
          </w:p>
        </w:tc>
        <w:tc>
          <w:tcPr>
            <w:tcW w:type="dxa" w:w="3210"/>
            <w:tcMar>
              <w:top w:type="dxa" w:w="80"/>
              <w:left w:type="dxa" w:w="100"/>
              <w:bottom w:type="dxa" w:w="80"/>
              <w:right w:type="dxa" w:w="100"/>
            </w:tcMar>
          </w:tcPr>
          <w:p>
            <w:pPr>
              <w:pStyle w:val="Tabla"/>
            </w:pPr>
            <w:r>
              <w:t xml:space="preserve">1.6</w:t>
            </w:r>
          </w:p>
        </w:tc>
      </w:tr>
      <w:tr>
        <w:trPr>
          <w:cantSplit/>
          <w:tblHeader w:val="off"/>
        </w:trPr>
        <w:tc>
          <w:tcPr>
            <w:tcW w:type="dxa" w:w="3212"/>
            <w:tcMar>
              <w:top w:type="dxa" w:w="80"/>
              <w:left w:type="dxa" w:w="100"/>
              <w:bottom w:type="dxa" w:w="80"/>
              <w:right w:type="dxa" w:w="100"/>
            </w:tcMar>
          </w:tcPr>
          <w:p>
            <w:pPr>
              <w:pStyle w:val="Tabla"/>
            </w:pPr>
            <w:r>
              <w:t xml:space="preserve">Joel Barker</w:t>
            </w:r>
          </w:p>
        </w:tc>
        <w:tc>
          <w:tcPr>
            <w:tcW w:type="dxa" w:w="3210"/>
            <w:tcMar>
              <w:top w:type="dxa" w:w="80"/>
              <w:left w:type="dxa" w:w="100"/>
              <w:bottom w:type="dxa" w:w="80"/>
              <w:right w:type="dxa" w:w="100"/>
            </w:tcMar>
          </w:tcPr>
          <w:p>
            <w:pPr>
              <w:pStyle w:val="Tabla"/>
            </w:pPr>
            <w:r>
              <w:t xml:space="preserve">Definición de paradigma, las nueve observaciones, parálisis paradigmática, efecto paradigma, enfermedad de la certidumbre y la regla de vuelta a cero.</w:t>
            </w:r>
          </w:p>
        </w:tc>
        <w:tc>
          <w:tcPr>
            <w:tcW w:type="dxa" w:w="3210"/>
            <w:tcMar>
              <w:top w:type="dxa" w:w="80"/>
              <w:left w:type="dxa" w:w="100"/>
              <w:bottom w:type="dxa" w:w="80"/>
              <w:right w:type="dxa" w:w="100"/>
            </w:tcMar>
          </w:tcPr>
          <w:p>
            <w:pPr>
              <w:pStyle w:val="Tabla"/>
            </w:pPr>
            <w:r>
              <w:t xml:space="preserve">1.1</w:t>
            </w:r>
          </w:p>
        </w:tc>
      </w:tr>
      <w:tr>
        <w:trPr>
          <w:cantSplit/>
          <w:tblHeader w:val="off"/>
        </w:trPr>
        <w:tc>
          <w:tcPr>
            <w:tcW w:type="dxa" w:w="3212"/>
            <w:tcMar>
              <w:top w:type="dxa" w:w="80"/>
              <w:left w:type="dxa" w:w="100"/>
              <w:bottom w:type="dxa" w:w="80"/>
              <w:right w:type="dxa" w:w="100"/>
            </w:tcMar>
          </w:tcPr>
          <w:p>
            <w:pPr>
              <w:pStyle w:val="Tabla"/>
            </w:pPr>
            <w:r>
              <w:t xml:space="preserve">Adam Smith</w:t>
            </w:r>
          </w:p>
        </w:tc>
        <w:tc>
          <w:tcPr>
            <w:tcW w:type="dxa" w:w="3210"/>
            <w:tcMar>
              <w:top w:type="dxa" w:w="80"/>
              <w:left w:type="dxa" w:w="100"/>
              <w:bottom w:type="dxa" w:w="80"/>
              <w:right w:type="dxa" w:w="100"/>
            </w:tcMar>
          </w:tcPr>
          <w:p>
            <w:pPr>
              <w:pStyle w:val="Tabla"/>
            </w:pPr>
            <w:r>
              <w:t xml:space="preserve">Definición de paradigma en «Los poderes de la mente».</w:t>
            </w:r>
          </w:p>
        </w:tc>
        <w:tc>
          <w:tcPr>
            <w:tcW w:type="dxa" w:w="3210"/>
            <w:tcMar>
              <w:top w:type="dxa" w:w="80"/>
              <w:left w:type="dxa" w:w="100"/>
              <w:bottom w:type="dxa" w:w="80"/>
              <w:right w:type="dxa" w:w="100"/>
            </w:tcMar>
          </w:tcPr>
          <w:p>
            <w:pPr>
              <w:pStyle w:val="Tabla"/>
            </w:pPr>
            <w:r>
              <w:t xml:space="preserve">1.1</w:t>
            </w:r>
          </w:p>
        </w:tc>
      </w:tr>
      <w:tr>
        <w:trPr>
          <w:cantSplit/>
          <w:tblHeader w:val="off"/>
        </w:trPr>
        <w:tc>
          <w:tcPr>
            <w:tcW w:type="dxa" w:w="3212"/>
            <w:tcMar>
              <w:top w:type="dxa" w:w="80"/>
              <w:left w:type="dxa" w:w="100"/>
              <w:bottom w:type="dxa" w:w="80"/>
              <w:right w:type="dxa" w:w="100"/>
            </w:tcMar>
          </w:tcPr>
          <w:p>
            <w:pPr>
              <w:pStyle w:val="Tabla"/>
            </w:pPr>
            <w:r>
              <w:t xml:space="preserve">Willis Harmon</w:t>
            </w:r>
          </w:p>
        </w:tc>
        <w:tc>
          <w:tcPr>
            <w:tcW w:type="dxa" w:w="3210"/>
            <w:tcMar>
              <w:top w:type="dxa" w:w="80"/>
              <w:left w:type="dxa" w:w="100"/>
              <w:bottom w:type="dxa" w:w="80"/>
              <w:right w:type="dxa" w:w="100"/>
            </w:tcMar>
          </w:tcPr>
          <w:p>
            <w:pPr>
              <w:pStyle w:val="Tabla"/>
            </w:pPr>
            <w:r>
              <w:t xml:space="preserve">Definición de paradigma en «Guía incompleta para el futuro» (grafía de la lámina).</w:t>
            </w:r>
          </w:p>
        </w:tc>
        <w:tc>
          <w:tcPr>
            <w:tcW w:type="dxa" w:w="3210"/>
            <w:tcMar>
              <w:top w:type="dxa" w:w="80"/>
              <w:left w:type="dxa" w:w="100"/>
              <w:bottom w:type="dxa" w:w="80"/>
              <w:right w:type="dxa" w:w="100"/>
            </w:tcMar>
          </w:tcPr>
          <w:p>
            <w:pPr>
              <w:pStyle w:val="Tabla"/>
            </w:pPr>
            <w:r>
              <w:t xml:space="preserve">1.1</w:t>
            </w:r>
          </w:p>
        </w:tc>
      </w:tr>
      <w:tr>
        <w:trPr>
          <w:cantSplit/>
          <w:tblHeader w:val="off"/>
        </w:trPr>
        <w:tc>
          <w:tcPr>
            <w:tcW w:type="dxa" w:w="3212"/>
            <w:tcMar>
              <w:top w:type="dxa" w:w="80"/>
              <w:left w:type="dxa" w:w="100"/>
              <w:bottom w:type="dxa" w:w="80"/>
              <w:right w:type="dxa" w:w="100"/>
            </w:tcMar>
          </w:tcPr>
          <w:p>
            <w:pPr>
              <w:pStyle w:val="Tabla"/>
            </w:pPr>
            <w:r>
              <w:t xml:space="preserve">Chris Argyris</w:t>
            </w:r>
          </w:p>
        </w:tc>
        <w:tc>
          <w:tcPr>
            <w:tcW w:type="dxa" w:w="3210"/>
            <w:tcMar>
              <w:top w:type="dxa" w:w="80"/>
              <w:left w:type="dxa" w:w="100"/>
              <w:bottom w:type="dxa" w:w="80"/>
              <w:right w:type="dxa" w:w="100"/>
            </w:tcMar>
          </w:tcPr>
          <w:p>
            <w:pPr>
              <w:pStyle w:val="Tabla"/>
            </w:pPr>
            <w:r>
              <w:t xml:space="preserve">La escalera de inferencias y la columna de la mano izquierda.</w:t>
            </w:r>
          </w:p>
        </w:tc>
        <w:tc>
          <w:tcPr>
            <w:tcW w:type="dxa" w:w="3210"/>
            <w:tcMar>
              <w:top w:type="dxa" w:w="80"/>
              <w:left w:type="dxa" w:w="100"/>
              <w:bottom w:type="dxa" w:w="80"/>
              <w:right w:type="dxa" w:w="100"/>
            </w:tcMar>
          </w:tcPr>
          <w:p>
            <w:pPr>
              <w:pStyle w:val="Tabla"/>
            </w:pPr>
            <w:r>
              <w:t xml:space="preserve">1.2</w:t>
            </w:r>
          </w:p>
        </w:tc>
      </w:tr>
      <w:tr>
        <w:trPr>
          <w:cantSplit/>
          <w:tblHeader w:val="off"/>
        </w:trPr>
        <w:tc>
          <w:tcPr>
            <w:tcW w:type="dxa" w:w="3212"/>
            <w:tcMar>
              <w:top w:type="dxa" w:w="80"/>
              <w:left w:type="dxa" w:w="100"/>
              <w:bottom w:type="dxa" w:w="80"/>
              <w:right w:type="dxa" w:w="100"/>
            </w:tcMar>
          </w:tcPr>
          <w:p>
            <w:pPr>
              <w:pStyle w:val="Tabla"/>
            </w:pPr>
            <w:r>
              <w:t xml:space="preserve">Peter Senge y Fredy Kofman</w:t>
            </w:r>
          </w:p>
        </w:tc>
        <w:tc>
          <w:tcPr>
            <w:tcW w:type="dxa" w:w="3210"/>
            <w:tcMar>
              <w:top w:type="dxa" w:w="80"/>
              <w:left w:type="dxa" w:w="100"/>
              <w:bottom w:type="dxa" w:w="80"/>
              <w:right w:type="dxa" w:w="100"/>
            </w:tcMar>
          </w:tcPr>
          <w:p>
            <w:pPr>
              <w:pStyle w:val="Tabla"/>
            </w:pPr>
            <w:r>
              <w:t xml:space="preserve">Difundieron la escalera; el caso Acme de los cuatro niveles.</w:t>
            </w:r>
          </w:p>
        </w:tc>
        <w:tc>
          <w:tcPr>
            <w:tcW w:type="dxa" w:w="3210"/>
            <w:tcMar>
              <w:top w:type="dxa" w:w="80"/>
              <w:left w:type="dxa" w:w="100"/>
              <w:bottom w:type="dxa" w:w="80"/>
              <w:right w:type="dxa" w:w="100"/>
            </w:tcMar>
          </w:tcPr>
          <w:p>
            <w:pPr>
              <w:pStyle w:val="Tabla"/>
            </w:pPr>
            <w:r>
              <w:t xml:space="preserve">1.2 · 1.7</w:t>
            </w:r>
          </w:p>
        </w:tc>
      </w:tr>
      <w:tr>
        <w:trPr>
          <w:cantSplit/>
          <w:tblHeader w:val="off"/>
        </w:trPr>
        <w:tc>
          <w:tcPr>
            <w:tcW w:type="dxa" w:w="3212"/>
            <w:tcMar>
              <w:top w:type="dxa" w:w="80"/>
              <w:left w:type="dxa" w:w="100"/>
              <w:bottom w:type="dxa" w:w="80"/>
              <w:right w:type="dxa" w:w="100"/>
            </w:tcMar>
          </w:tcPr>
          <w:p>
            <w:pPr>
              <w:pStyle w:val="Tabla"/>
            </w:pPr>
            <w:r>
              <w:t xml:space="preserve">Joseph O'Connor e Ian McDermott</w:t>
            </w:r>
          </w:p>
        </w:tc>
        <w:tc>
          <w:tcPr>
            <w:tcW w:type="dxa" w:w="3210"/>
            <w:tcMar>
              <w:top w:type="dxa" w:w="80"/>
              <w:left w:type="dxa" w:w="100"/>
              <w:bottom w:type="dxa" w:w="80"/>
              <w:right w:type="dxa" w:w="100"/>
            </w:tcMar>
          </w:tcPr>
          <w:p>
            <w:pPr>
              <w:pStyle w:val="Tabla"/>
            </w:pPr>
            <w:r>
              <w:t xml:space="preserve">Las cuatro operaciones mentales: eliminación, construcción, distorsión y generalización.</w:t>
            </w:r>
          </w:p>
        </w:tc>
        <w:tc>
          <w:tcPr>
            <w:tcW w:type="dxa" w:w="3210"/>
            <w:tcMar>
              <w:top w:type="dxa" w:w="80"/>
              <w:left w:type="dxa" w:w="100"/>
              <w:bottom w:type="dxa" w:w="80"/>
              <w:right w:type="dxa" w:w="100"/>
            </w:tcMar>
          </w:tcPr>
          <w:p>
            <w:pPr>
              <w:pStyle w:val="Tabla"/>
            </w:pPr>
            <w:r>
              <w:t xml:space="preserve">1.2</w:t>
            </w:r>
          </w:p>
        </w:tc>
      </w:tr>
      <w:tr>
        <w:trPr>
          <w:cantSplit/>
          <w:tblHeader w:val="off"/>
        </w:trPr>
        <w:tc>
          <w:tcPr>
            <w:tcW w:type="dxa" w:w="3212"/>
            <w:tcMar>
              <w:top w:type="dxa" w:w="80"/>
              <w:left w:type="dxa" w:w="100"/>
              <w:bottom w:type="dxa" w:w="80"/>
              <w:right w:type="dxa" w:w="100"/>
            </w:tcMar>
          </w:tcPr>
          <w:p>
            <w:pPr>
              <w:pStyle w:val="Tabla"/>
            </w:pPr>
            <w:r>
              <w:t xml:space="preserve">Peter Checkland</w:t>
            </w:r>
          </w:p>
        </w:tc>
        <w:tc>
          <w:tcPr>
            <w:tcW w:type="dxa" w:w="3210"/>
            <w:tcMar>
              <w:top w:type="dxa" w:w="80"/>
              <w:left w:type="dxa" w:w="100"/>
              <w:bottom w:type="dxa" w:w="80"/>
              <w:right w:type="dxa" w:w="100"/>
            </w:tcMar>
          </w:tcPr>
          <w:p>
            <w:pPr>
              <w:pStyle w:val="Tabla"/>
            </w:pPr>
            <w:r>
              <w:t xml:space="preserve">El mapa del universo en cuatro familias de sistemas; la Weltanschauung.</w:t>
            </w:r>
          </w:p>
        </w:tc>
        <w:tc>
          <w:tcPr>
            <w:tcW w:type="dxa" w:w="3210"/>
            <w:tcMar>
              <w:top w:type="dxa" w:w="80"/>
              <w:left w:type="dxa" w:w="100"/>
              <w:bottom w:type="dxa" w:w="80"/>
              <w:right w:type="dxa" w:w="100"/>
            </w:tcMar>
          </w:tcPr>
          <w:p>
            <w:pPr>
              <w:pStyle w:val="Tabla"/>
            </w:pPr>
            <w:r>
              <w:t xml:space="preserve">2.7</w:t>
            </w:r>
          </w:p>
        </w:tc>
      </w:tr>
      <w:tr>
        <w:trPr>
          <w:cantSplit/>
          <w:tblHeader w:val="off"/>
        </w:trPr>
        <w:tc>
          <w:tcPr>
            <w:tcW w:type="dxa" w:w="3212"/>
            <w:tcMar>
              <w:top w:type="dxa" w:w="80"/>
              <w:left w:type="dxa" w:w="100"/>
              <w:bottom w:type="dxa" w:w="80"/>
              <w:right w:type="dxa" w:w="100"/>
            </w:tcMar>
          </w:tcPr>
          <w:p>
            <w:pPr>
              <w:pStyle w:val="Tabla"/>
            </w:pPr>
            <w:r>
              <w:t xml:space="preserve">Ludwig von Bertalanffy</w:t>
            </w:r>
          </w:p>
        </w:tc>
        <w:tc>
          <w:tcPr>
            <w:tcW w:type="dxa" w:w="3210"/>
            <w:tcMar>
              <w:top w:type="dxa" w:w="80"/>
              <w:left w:type="dxa" w:w="100"/>
              <w:bottom w:type="dxa" w:w="80"/>
              <w:right w:type="dxa" w:w="100"/>
            </w:tcMar>
          </w:tcPr>
          <w:p>
            <w:pPr>
              <w:pStyle w:val="Tabla"/>
            </w:pPr>
            <w:r>
              <w:t xml:space="preserve">Fundó la Teoría General de Sistemas; el organismo como sistema abierto, los isomorfismos y la equifinalidad.</w:t>
            </w:r>
          </w:p>
        </w:tc>
        <w:tc>
          <w:tcPr>
            <w:tcW w:type="dxa" w:w="3210"/>
            <w:tcMar>
              <w:top w:type="dxa" w:w="80"/>
              <w:left w:type="dxa" w:w="100"/>
              <w:bottom w:type="dxa" w:w="80"/>
              <w:right w:type="dxa" w:w="100"/>
            </w:tcMar>
          </w:tcPr>
          <w:p>
            <w:pPr>
              <w:pStyle w:val="Tabla"/>
            </w:pPr>
            <w:r>
              <w:t xml:space="preserve">2.1 · 2.8</w:t>
            </w:r>
          </w:p>
        </w:tc>
      </w:tr>
      <w:tr>
        <w:trPr>
          <w:cantSplit/>
          <w:tblHeader w:val="off"/>
        </w:trPr>
        <w:tc>
          <w:tcPr>
            <w:tcW w:type="dxa" w:w="3212"/>
            <w:tcMar>
              <w:top w:type="dxa" w:w="80"/>
              <w:left w:type="dxa" w:w="100"/>
              <w:bottom w:type="dxa" w:w="80"/>
              <w:right w:type="dxa" w:w="100"/>
            </w:tcMar>
          </w:tcPr>
          <w:p>
            <w:pPr>
              <w:pStyle w:val="Tabla"/>
            </w:pPr>
            <w:r>
              <w:t xml:space="preserve">Walter Cannon</w:t>
            </w:r>
          </w:p>
        </w:tc>
        <w:tc>
          <w:tcPr>
            <w:tcW w:type="dxa" w:w="3210"/>
            <w:tcMar>
              <w:top w:type="dxa" w:w="80"/>
              <w:left w:type="dxa" w:w="100"/>
              <w:bottom w:type="dxa" w:w="80"/>
              <w:right w:type="dxa" w:w="100"/>
            </w:tcMar>
          </w:tcPr>
          <w:p>
            <w:pPr>
              <w:pStyle w:val="Tabla"/>
            </w:pPr>
            <w:r>
              <w:t xml:space="preserve">Acuñó homeostasis (1929), sobre el «medio interno» de Claude Bernard.</w:t>
            </w:r>
          </w:p>
        </w:tc>
        <w:tc>
          <w:tcPr>
            <w:tcW w:type="dxa" w:w="3210"/>
            <w:tcMar>
              <w:top w:type="dxa" w:w="80"/>
              <w:left w:type="dxa" w:w="100"/>
              <w:bottom w:type="dxa" w:w="80"/>
              <w:right w:type="dxa" w:w="100"/>
            </w:tcMar>
          </w:tcPr>
          <w:p>
            <w:pPr>
              <w:pStyle w:val="Tabla"/>
            </w:pPr>
            <w:r>
              <w:t xml:space="preserve">2.8</w:t>
            </w:r>
          </w:p>
        </w:tc>
      </w:tr>
      <w:tr>
        <w:trPr>
          <w:cantSplit/>
          <w:tblHeader w:val="off"/>
        </w:trPr>
        <w:tc>
          <w:tcPr>
            <w:tcW w:type="dxa" w:w="3212"/>
            <w:tcMar>
              <w:top w:type="dxa" w:w="80"/>
              <w:left w:type="dxa" w:w="100"/>
              <w:bottom w:type="dxa" w:w="80"/>
              <w:right w:type="dxa" w:w="100"/>
            </w:tcMar>
          </w:tcPr>
          <w:p>
            <w:pPr>
              <w:pStyle w:val="Tabla"/>
            </w:pPr>
            <w:r>
              <w:t xml:space="preserve">Schrödinger y Brillouin</w:t>
            </w:r>
          </w:p>
        </w:tc>
        <w:tc>
          <w:tcPr>
            <w:tcW w:type="dxa" w:w="3210"/>
            <w:tcMar>
              <w:top w:type="dxa" w:w="80"/>
              <w:left w:type="dxa" w:w="100"/>
              <w:bottom w:type="dxa" w:w="80"/>
              <w:right w:type="dxa" w:w="100"/>
            </w:tcMar>
          </w:tcPr>
          <w:p>
            <w:pPr>
              <w:pStyle w:val="Tabla"/>
            </w:pPr>
            <w:r>
              <w:t xml:space="preserve">«Se alimenta de entropía negativa»; la acuñación del término neguentropía.</w:t>
            </w:r>
          </w:p>
        </w:tc>
        <w:tc>
          <w:tcPr>
            <w:tcW w:type="dxa" w:w="3210"/>
            <w:tcMar>
              <w:top w:type="dxa" w:w="80"/>
              <w:left w:type="dxa" w:w="100"/>
              <w:bottom w:type="dxa" w:w="80"/>
              <w:right w:type="dxa" w:w="100"/>
            </w:tcMar>
          </w:tcPr>
          <w:p>
            <w:pPr>
              <w:pStyle w:val="Tabla"/>
            </w:pPr>
            <w:r>
              <w:t xml:space="preserve">2.8</w:t>
            </w:r>
          </w:p>
        </w:tc>
      </w:tr>
      <w:tr>
        <w:trPr>
          <w:cantSplit/>
          <w:tblHeader w:val="off"/>
        </w:trPr>
        <w:tc>
          <w:tcPr>
            <w:tcW w:type="dxa" w:w="3212"/>
            <w:tcMar>
              <w:top w:type="dxa" w:w="80"/>
              <w:left w:type="dxa" w:w="100"/>
              <w:bottom w:type="dxa" w:w="80"/>
              <w:right w:type="dxa" w:w="100"/>
            </w:tcMar>
          </w:tcPr>
          <w:p>
            <w:pPr>
              <w:pStyle w:val="Tabla"/>
            </w:pPr>
            <w:r>
              <w:t xml:space="preserve">Norbert Wiener</w:t>
            </w:r>
          </w:p>
        </w:tc>
        <w:tc>
          <w:tcPr>
            <w:tcW w:type="dxa" w:w="3210"/>
            <w:tcMar>
              <w:top w:type="dxa" w:w="80"/>
              <w:left w:type="dxa" w:w="100"/>
              <w:bottom w:type="dxa" w:w="80"/>
              <w:right w:type="dxa" w:w="100"/>
            </w:tcMar>
          </w:tcPr>
          <w:p>
            <w:pPr>
              <w:pStyle w:val="Tabla"/>
            </w:pPr>
            <w:r>
              <w:t xml:space="preserve">Fundó la cibernética: retroalimentación y control.</w:t>
            </w:r>
          </w:p>
        </w:tc>
        <w:tc>
          <w:tcPr>
            <w:tcW w:type="dxa" w:w="3210"/>
            <w:tcMar>
              <w:top w:type="dxa" w:w="80"/>
              <w:left w:type="dxa" w:w="100"/>
              <w:bottom w:type="dxa" w:w="80"/>
              <w:right w:type="dxa" w:w="100"/>
            </w:tcMar>
          </w:tcPr>
          <w:p>
            <w:pPr>
              <w:pStyle w:val="Tabla"/>
            </w:pPr>
            <w:r>
              <w:t xml:space="preserve">2.8</w:t>
            </w:r>
          </w:p>
        </w:tc>
      </w:tr>
      <w:tr>
        <w:trPr>
          <w:cantSplit/>
          <w:tblHeader w:val="off"/>
        </w:trPr>
        <w:tc>
          <w:tcPr>
            <w:tcW w:type="dxa" w:w="3212"/>
            <w:tcMar>
              <w:top w:type="dxa" w:w="80"/>
              <w:left w:type="dxa" w:w="100"/>
              <w:bottom w:type="dxa" w:w="80"/>
              <w:right w:type="dxa" w:w="100"/>
            </w:tcMar>
          </w:tcPr>
          <w:p>
            <w:pPr>
              <w:pStyle w:val="Tabla"/>
            </w:pPr>
            <w:r>
              <w:t xml:space="preserve">W. Ross Ashby</w:t>
            </w:r>
          </w:p>
        </w:tc>
        <w:tc>
          <w:tcPr>
            <w:tcW w:type="dxa" w:w="3210"/>
            <w:tcMar>
              <w:top w:type="dxa" w:w="80"/>
              <w:left w:type="dxa" w:w="100"/>
              <w:bottom w:type="dxa" w:w="80"/>
              <w:right w:type="dxa" w:w="100"/>
            </w:tcMar>
          </w:tcPr>
          <w:p>
            <w:pPr>
              <w:pStyle w:val="Tabla"/>
            </w:pPr>
            <w:r>
              <w:t xml:space="preserve">La ley de la variedad requerida. Ampliación bibliográfica: no se dictó.</w:t>
            </w:r>
          </w:p>
        </w:tc>
        <w:tc>
          <w:tcPr>
            <w:tcW w:type="dxa" w:w="3210"/>
            <w:tcMar>
              <w:top w:type="dxa" w:w="80"/>
              <w:left w:type="dxa" w:w="100"/>
              <w:bottom w:type="dxa" w:w="80"/>
              <w:right w:type="dxa" w:w="100"/>
            </w:tcMar>
          </w:tcPr>
          <w:p>
            <w:pPr>
              <w:pStyle w:val="Tabla"/>
            </w:pPr>
            <w:r>
              <w:t xml:space="preserve">2.8</w:t>
            </w:r>
          </w:p>
        </w:tc>
      </w:tr>
      <w:tr>
        <w:trPr>
          <w:cantSplit/>
          <w:tblHeader w:val="off"/>
        </w:trPr>
        <w:tc>
          <w:tcPr>
            <w:tcW w:type="dxa" w:w="3212"/>
            <w:tcMar>
              <w:top w:type="dxa" w:w="80"/>
              <w:left w:type="dxa" w:w="100"/>
              <w:bottom w:type="dxa" w:w="80"/>
              <w:right w:type="dxa" w:w="100"/>
            </w:tcMar>
          </w:tcPr>
          <w:p>
            <w:pPr>
              <w:pStyle w:val="Tabla"/>
            </w:pPr>
            <w:r>
              <w:t xml:space="preserve">Arthur Koestler</w:t>
            </w:r>
          </w:p>
        </w:tc>
        <w:tc>
          <w:tcPr>
            <w:tcW w:type="dxa" w:w="3210"/>
            <w:tcMar>
              <w:top w:type="dxa" w:w="80"/>
              <w:left w:type="dxa" w:w="100"/>
              <w:bottom w:type="dxa" w:w="80"/>
              <w:right w:type="dxa" w:w="100"/>
            </w:tcMar>
          </w:tcPr>
          <w:p>
            <w:pPr>
              <w:pStyle w:val="Tabla"/>
            </w:pPr>
            <w:r>
              <w:t xml:space="preserve">Holón y holarquía: lo que es todo y parte a la vez.</w:t>
            </w:r>
          </w:p>
        </w:tc>
        <w:tc>
          <w:tcPr>
            <w:tcW w:type="dxa" w:w="3210"/>
            <w:tcMar>
              <w:top w:type="dxa" w:w="80"/>
              <w:left w:type="dxa" w:w="100"/>
              <w:bottom w:type="dxa" w:w="80"/>
              <w:right w:type="dxa" w:w="100"/>
            </w:tcMar>
          </w:tcPr>
          <w:p>
            <w:pPr>
              <w:pStyle w:val="Tabla"/>
            </w:pPr>
            <w:r>
              <w:t xml:space="preserve">2.4</w:t>
            </w:r>
          </w:p>
        </w:tc>
      </w:tr>
      <w:tr>
        <w:trPr>
          <w:cantSplit/>
          <w:tblHeader w:val="off"/>
        </w:trPr>
        <w:tc>
          <w:tcPr>
            <w:tcW w:type="dxa" w:w="3212"/>
            <w:tcMar>
              <w:top w:type="dxa" w:w="80"/>
              <w:left w:type="dxa" w:w="100"/>
              <w:bottom w:type="dxa" w:w="80"/>
              <w:right w:type="dxa" w:w="100"/>
            </w:tcMar>
          </w:tcPr>
          <w:p>
            <w:pPr>
              <w:pStyle w:val="Tabla"/>
            </w:pPr>
            <w:r>
              <w:t xml:space="preserve">Kenneth Boulding</w:t>
            </w:r>
          </w:p>
        </w:tc>
        <w:tc>
          <w:tcPr>
            <w:tcW w:type="dxa" w:w="3210"/>
            <w:tcMar>
              <w:top w:type="dxa" w:w="80"/>
              <w:left w:type="dxa" w:w="100"/>
              <w:bottom w:type="dxa" w:w="80"/>
              <w:right w:type="dxa" w:w="100"/>
            </w:tcMar>
          </w:tcPr>
          <w:p>
            <w:pPr>
              <w:pStyle w:val="Tabla"/>
            </w:pPr>
            <w:r>
              <w:t xml:space="preserve">Una jerarquía de sistemas por grado de complejidad. Se menciona; sus niveles no se enumeraron en clase.</w:t>
            </w:r>
          </w:p>
        </w:tc>
        <w:tc>
          <w:tcPr>
            <w:tcW w:type="dxa" w:w="3210"/>
            <w:tcMar>
              <w:top w:type="dxa" w:w="80"/>
              <w:left w:type="dxa" w:w="100"/>
              <w:bottom w:type="dxa" w:w="80"/>
              <w:right w:type="dxa" w:w="100"/>
            </w:tcMar>
          </w:tcPr>
          <w:p>
            <w:pPr>
              <w:pStyle w:val="Tabla"/>
            </w:pPr>
            <w:r>
              <w:t xml:space="preserve">2.4</w:t>
            </w:r>
          </w:p>
        </w:tc>
      </w:tr>
      <w:tr>
        <w:trPr>
          <w:cantSplit/>
          <w:tblHeader w:val="off"/>
        </w:trPr>
        <w:tc>
          <w:tcPr>
            <w:tcW w:type="dxa" w:w="3212"/>
            <w:tcMar>
              <w:top w:type="dxa" w:w="80"/>
              <w:left w:type="dxa" w:w="100"/>
              <w:bottom w:type="dxa" w:w="80"/>
              <w:right w:type="dxa" w:w="100"/>
            </w:tcMar>
          </w:tcPr>
          <w:p>
            <w:pPr>
              <w:pStyle w:val="Tabla"/>
            </w:pPr>
            <w:r>
              <w:t xml:space="preserve">Donella Meadows</w:t>
            </w:r>
          </w:p>
        </w:tc>
        <w:tc>
          <w:tcPr>
            <w:tcW w:type="dxa" w:w="3210"/>
            <w:tcMar>
              <w:top w:type="dxa" w:w="80"/>
              <w:left w:type="dxa" w:w="100"/>
              <w:bottom w:type="dxa" w:w="80"/>
              <w:right w:type="dxa" w:w="100"/>
            </w:tcMar>
          </w:tcPr>
          <w:p>
            <w:pPr>
              <w:pStyle w:val="Tabla"/>
            </w:pPr>
            <w:r>
              <w:t xml:space="preserve">Elementos, interconexiones y función o propósito. Complemento bibliográfico: para el examen manda la lámina.</w:t>
            </w:r>
          </w:p>
        </w:tc>
        <w:tc>
          <w:tcPr>
            <w:tcW w:type="dxa" w:w="3210"/>
            <w:tcMar>
              <w:top w:type="dxa" w:w="80"/>
              <w:left w:type="dxa" w:w="100"/>
              <w:bottom w:type="dxa" w:w="80"/>
              <w:right w:type="dxa" w:w="100"/>
            </w:tcMar>
          </w:tcPr>
          <w:p>
            <w:pPr>
              <w:pStyle w:val="Tabla"/>
            </w:pPr>
            <w:r>
              <w:t xml:space="preserve">2.2</w:t>
            </w:r>
          </w:p>
        </w:tc>
      </w:tr>
      <w:tr>
        <w:trPr>
          <w:cantSplit/>
          <w:tblHeader w:val="off"/>
        </w:trPr>
        <w:tc>
          <w:tcPr>
            <w:tcW w:type="dxa" w:w="3212"/>
            <w:tcMar>
              <w:top w:type="dxa" w:w="80"/>
              <w:left w:type="dxa" w:w="100"/>
              <w:bottom w:type="dxa" w:w="80"/>
              <w:right w:type="dxa" w:w="100"/>
            </w:tcMar>
          </w:tcPr>
          <w:p>
            <w:pPr>
              <w:pStyle w:val="Tabla"/>
            </w:pPr>
            <w:r>
              <w:t xml:space="preserve">Waters Center (Benson y Marlin)</w:t>
            </w:r>
          </w:p>
        </w:tc>
        <w:tc>
          <w:tcPr>
            <w:tcW w:type="dxa" w:w="3210"/>
            <w:tcMar>
              <w:top w:type="dxa" w:w="80"/>
              <w:left w:type="dxa" w:w="100"/>
              <w:bottom w:type="dxa" w:w="80"/>
              <w:right w:type="dxa" w:w="100"/>
            </w:tcMar>
          </w:tcPr>
          <w:p>
            <w:pPr>
              <w:pStyle w:val="Tabla"/>
            </w:pPr>
            <w:r>
              <w:t xml:space="preserve">Los quince cursos y catorce hábitos del pensador sistémico.</w:t>
            </w:r>
          </w:p>
        </w:tc>
        <w:tc>
          <w:tcPr>
            <w:tcW w:type="dxa" w:w="3210"/>
            <w:tcMar>
              <w:top w:type="dxa" w:w="80"/>
              <w:left w:type="dxa" w:w="100"/>
              <w:bottom w:type="dxa" w:w="80"/>
              <w:right w:type="dxa" w:w="100"/>
            </w:tcMar>
          </w:tcPr>
          <w:p>
            <w:pPr>
              <w:pStyle w:val="Tabla"/>
            </w:pPr>
            <w:r>
              <w:t xml:space="preserve">1.8 · 2.9</w:t>
            </w:r>
          </w:p>
        </w:tc>
      </w:tr>
      <w:tr>
        <w:trPr>
          <w:cantSplit/>
          <w:tblHeader w:val="off"/>
        </w:trPr>
        <w:tc>
          <w:tcPr>
            <w:tcW w:type="dxa" w:w="3212"/>
            <w:tcMar>
              <w:top w:type="dxa" w:w="80"/>
              <w:left w:type="dxa" w:w="100"/>
              <w:bottom w:type="dxa" w:w="80"/>
              <w:right w:type="dxa" w:w="100"/>
            </w:tcMar>
          </w:tcPr>
          <w:p>
            <w:pPr>
              <w:pStyle w:val="Tabla"/>
            </w:pPr>
            <w:r>
              <w:t xml:space="preserve">Guadalupe Nogués</w:t>
            </w:r>
          </w:p>
        </w:tc>
        <w:tc>
          <w:tcPr>
            <w:tcW w:type="dxa" w:w="3210"/>
            <w:tcMar>
              <w:top w:type="dxa" w:w="80"/>
              <w:left w:type="dxa" w:w="100"/>
              <w:bottom w:type="dxa" w:w="80"/>
              <w:right w:type="dxa" w:w="100"/>
            </w:tcMar>
          </w:tcPr>
          <w:p>
            <w:pPr>
              <w:pStyle w:val="Tabla"/>
            </w:pPr>
            <w:r>
              <w:t xml:space="preserve">Pluralismo, aprender a escuchar y separar las ideas de las personas.</w:t>
            </w:r>
          </w:p>
        </w:tc>
        <w:tc>
          <w:tcPr>
            <w:tcW w:type="dxa" w:w="3210"/>
            <w:tcMar>
              <w:top w:type="dxa" w:w="80"/>
              <w:left w:type="dxa" w:w="100"/>
              <w:bottom w:type="dxa" w:w="80"/>
              <w:right w:type="dxa" w:w="100"/>
            </w:tcMar>
          </w:tcPr>
          <w:p>
            <w:pPr>
              <w:pStyle w:val="Tabla"/>
            </w:pPr>
            <w:r>
              <w:t xml:space="preserve">1.5</w:t>
            </w:r>
          </w:p>
        </w:tc>
      </w:tr>
    </w:tbl>
    <w:p>
      <w:pPr>
        <w:pStyle w:val="Fuente"/>
      </w:pPr>
      <w:r>
        <w:t xml:space="preserve">Única tabla redactada por el portal: reúne atribuciones repartidas entre lecciones. Ackoff, Churchman y los nueve niveles de Boulding no son materia de este curso; no los cite.</w:t>
      </w:r>
    </w:p>
    <w:p>
      <w:pPr>
        <w:pStyle w:val="Heading3"/>
      </w:pPr>
      <w:r>
        <w:t xml:space="preserve">Lo que dicen las presentaciones</w:t>
      </w:r>
    </w:p>
    <w:p>
      <w:pPr>
        <w:pStyle w:val="Heading3"/>
      </w:pPr>
      <w:bookmarkStart w:name="b_pagina_1_2_C_5_p2" w:id="314"/>
      <w:r>
        <w:t xml:space="preserve">C-5 · página 2 · Programa y planificación de la Unidad 1</w:t>
      </w:r>
      <w:bookmarkEnd w:id="314"/>
    </w:p>
    <w:p>
      <w:pPr>
        <w:pStyle w:val="Normal"/>
      </w:pPr>
      <w:r>
        <w:t xml:space="preserve">Los ocho temas de la unidad y la planificación histórica de julio.</w:t>
      </w:r>
    </w:p>
    <w:p>
      <w:bookmarkStart w:name="b_punto_c5_p002_02" w:id="315"/>
      <w:r>
        <w:t xml:space="preserve">1.2 Sistemas abstractos diseñados en la conducta, escalera y operaciones frecuentes.</w:t>
      </w:r>
      <w:bookmarkEnd w:id="315"/>
    </w:p>
    <w:p>
      <w:pPr>
        <w:pStyle w:val="Fuente"/>
      </w:pPr>
      <w:r>
        <w:t xml:space="preserve">Véase </w:t>
      </w:r>
      <w:hyperlink w:history="1" w:anchor="b_1_1">
        <w:r>
          <w:rPr>
            <w:color w:val="156B70"/>
            <w:u w:val="single"/>
          </w:rPr>
          <w:t xml:space="preserve">capítulo 1.1 · Paradigmas y modelos mentales</w:t>
        </w:r>
      </w:hyperlink>
      <w:r>
        <w:t xml:space="preserve">, pág. </w:t>
      </w:r>
      <w:r>
        <w:fldChar w:fldCharType="begin"/>
        <w:instrText xml:space="preserve">PAGEREF b_1_1 \h</w:instrText>
        <w:fldChar w:fldCharType="separate"/>
        <w:t xml:space="preserve">19</w:t>
        <w:fldChar w:fldCharType="end"/>
      </w:r>
      <w:r>
        <w:t xml:space="preserve">.</w:t>
      </w:r>
    </w:p>
    <w:p>
      <w:pPr>
        <w:pStyle w:val="Fuente"/>
      </w:pPr>
      <w:r>
        <w:t xml:space="preserve">Véase </w:t>
      </w:r>
      <w:hyperlink w:history="1" w:anchor="b_1_3">
        <w:r>
          <w:rPr>
            <w:color w:val="156B70"/>
            <w:u w:val="single"/>
          </w:rPr>
          <w:t xml:space="preserve">capítulo 1.3 · El paradigma de sistemas</w:t>
        </w:r>
      </w:hyperlink>
      <w:r>
        <w:t xml:space="preserve">, pág. </w:t>
      </w:r>
      <w:r>
        <w:fldChar w:fldCharType="begin"/>
        <w:instrText xml:space="preserve">PAGEREF b_1_3 \h</w:instrText>
        <w:fldChar w:fldCharType="separate"/>
        <w:t xml:space="preserve">83</w:t>
        <w:fldChar w:fldCharType="end"/>
      </w:r>
      <w:r>
        <w:t xml:space="preserve">.</w:t>
      </w:r>
    </w:p>
    <w:p>
      <w:pPr>
        <w:pStyle w:val="Fuente"/>
      </w:pPr>
      <w:r>
        <w:t xml:space="preserve">Véase </w:t>
      </w:r>
      <w:hyperlink w:history="1" w:anchor="b_1_4">
        <w:r>
          <w:rPr>
            <w:color w:val="156B70"/>
            <w:u w:val="single"/>
          </w:rPr>
          <w:t xml:space="preserve">capítulo 1.4 · Sistémico vs no sistémico</w:t>
        </w:r>
      </w:hyperlink>
      <w:r>
        <w:t xml:space="preserve">, pág. </w:t>
      </w:r>
      <w:r>
        <w:fldChar w:fldCharType="begin"/>
        <w:instrText xml:space="preserve">PAGEREF b_1_4 \h</w:instrText>
        <w:fldChar w:fldCharType="separate"/>
        <w:t xml:space="preserve">104</w:t>
        <w:fldChar w:fldCharType="end"/>
      </w:r>
      <w:r>
        <w:t xml:space="preserve">.</w:t>
      </w:r>
    </w:p>
    <w:p>
      <w:pPr>
        <w:pStyle w:val="Fuente"/>
      </w:pPr>
      <w:r>
        <w:t xml:space="preserve">Véase </w:t>
      </w:r>
      <w:hyperlink w:history="1" w:anchor="b_1_5">
        <w:r>
          <w:rPr>
            <w:color w:val="156B70"/>
            <w:u w:val="single"/>
          </w:rPr>
          <w:t xml:space="preserve">capítulo 1.5 · Perspectivas</w:t>
        </w:r>
      </w:hyperlink>
      <w:r>
        <w:t xml:space="preserve">, pág. </w:t>
      </w:r>
      <w:r>
        <w:fldChar w:fldCharType="begin"/>
        <w:instrText xml:space="preserve">PAGEREF b_1_5 \h</w:instrText>
        <w:fldChar w:fldCharType="separate"/>
        <w:t xml:space="preserve">125</w:t>
        <w:fldChar w:fldCharType="end"/>
      </w:r>
      <w:r>
        <w:t xml:space="preserve">.</w:t>
      </w:r>
    </w:p>
    <w:p>
      <w:pPr>
        <w:pStyle w:val="Fuente"/>
      </w:pPr>
      <w:r>
        <w:t xml:space="preserve">Véase </w:t>
      </w:r>
      <w:hyperlink w:history="1" w:anchor="b_1_6">
        <w:r>
          <w:rPr>
            <w:color w:val="156B70"/>
            <w:u w:val="single"/>
          </w:rPr>
          <w:t xml:space="preserve">capítulo 1.6 · Operaciones DSRP</w:t>
        </w:r>
      </w:hyperlink>
      <w:r>
        <w:t xml:space="preserve">, pág. </w:t>
      </w:r>
      <w:r>
        <w:fldChar w:fldCharType="begin"/>
        <w:instrText xml:space="preserve">PAGEREF b_1_6 \h</w:instrText>
        <w:fldChar w:fldCharType="separate"/>
        <w:t xml:space="preserve">150</w:t>
        <w:fldChar w:fldCharType="end"/>
      </w:r>
      <w:r>
        <w:t xml:space="preserve">.</w:t>
      </w:r>
    </w:p>
    <w:p>
      <w:pPr>
        <w:pStyle w:val="Fuente"/>
      </w:pPr>
      <w:r>
        <w:t xml:space="preserve">Véase </w:t>
      </w:r>
      <w:hyperlink w:history="1" w:anchor="b_1_7">
        <w:r>
          <w:rPr>
            <w:color w:val="156B70"/>
            <w:u w:val="single"/>
          </w:rPr>
          <w:t xml:space="preserve">capítulo 1.7 · Niveles — modelo del iceberg</w:t>
        </w:r>
      </w:hyperlink>
      <w:r>
        <w:t xml:space="preserve">, pág. </w:t>
      </w:r>
      <w:r>
        <w:fldChar w:fldCharType="begin"/>
        <w:instrText xml:space="preserve">PAGEREF b_1_7 \h</w:instrText>
        <w:fldChar w:fldCharType="separate"/>
        <w:t xml:space="preserve">175</w:t>
        <w:fldChar w:fldCharType="end"/>
      </w:r>
      <w:r>
        <w:t xml:space="preserve">.</w:t>
      </w:r>
    </w:p>
    <w:p>
      <w:pPr>
        <w:pStyle w:val="Fuente"/>
      </w:pPr>
      <w:r>
        <w:t xml:space="preserve">Véase </w:t>
      </w:r>
      <w:hyperlink w:history="1" w:anchor="b_1_8">
        <w:r>
          <w:rPr>
            <w:color w:val="156B70"/>
            <w:u w:val="single"/>
          </w:rPr>
          <w:t xml:space="preserve">capítulo 1.8 · Hábitos del pensador</w:t>
        </w:r>
      </w:hyperlink>
      <w:r>
        <w:t xml:space="preserve">, pág. </w:t>
      </w:r>
      <w:r>
        <w:fldChar w:fldCharType="begin"/>
        <w:instrText xml:space="preserve">PAGEREF b_1_8 \h</w:instrText>
        <w:fldChar w:fldCharType="separate"/>
        <w:t xml:space="preserve">194</w:t>
        <w:fldChar w:fldCharType="end"/>
      </w:r>
      <w:r>
        <w:t xml:space="preserve">.</w:t>
      </w:r>
    </w:p>
    <w:p>
      <w:pPr>
        <w:pStyle w:val="Heading3"/>
      </w:pPr>
      <w:bookmarkStart w:name="b_pagina_1_2_C_5_p21" w:id="316"/>
      <w:r>
        <w:t xml:space="preserve">C-5 · página 21 · Experimentando las operaciones mentales abstractas</w:t>
      </w:r>
      <w:bookmarkEnd w:id="316"/>
    </w:p>
    <w:p>
      <w:pPr>
        <w:pStyle w:val="Normal"/>
      </w:pPr>
      <w:r>
        <w:t xml:space="preserve">Ilusión de triángulos y espacio audiovisual para hacer visibles los filtros mentales.</w:t>
      </w:r>
    </w:p>
    <w:p>
      <w:pPr>
        <w:pStyle w:val="Fuente"/>
      </w:pPr>
      <w:r>
        <w:t xml:space="preserve">Proyección o explicación: Clase 3 · 00:43:38.</w:t>
      </w:r>
    </w:p>
    <w:p>
      <w:pPr>
        <w:keepNext/>
        <w:spacing w:after="40" w:before="150"/>
        <w:jc w:val="center"/>
      </w:pPr>
      <w:bookmarkStart w:name="b_figura_original_pagina_C_5_21" w:id="317"/>
      <w:bookmarkEnd w:id="317"/>
      <w:r>
        <w:drawing>
          <wp:inline distT="0" distB="0" distL="0" distR="0">
            <wp:extent cx="5381625" cy="4162425"/>
            <wp:effectExtent t="0" r="0" b="0" l="0"/>
            <wp:docPr id="4" name="pagina-C-5-21" descr="Presentación C-5, pág. 21" title="Experimentando las operaciones mentales abstract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93" cstate="none"/>
                    <a:srcRect/>
                    <a:stretch>
                      <a:fillRect/>
                    </a:stretch>
                  </pic:blipFill>
                  <pic:spPr bwMode="auto">
                    <a:xfrm>
                      <a:off x="0" y="0"/>
                      <a:ext cx="5381625" cy="4162425"/>
                    </a:xfrm>
                    <a:prstGeom prst="rect">
                      <a:avLst/>
                    </a:prstGeom>
                  </pic:spPr>
                </pic:pic>
              </a:graphicData>
            </a:graphic>
          </wp:inline>
        </w:drawing>
      </w:r>
    </w:p>
    <w:p>
      <w:pPr>
        <w:pStyle w:val="PieFigura"/>
        <w:keepNext/>
      </w:pPr>
      <w:bookmarkStart w:name="b_fig_1_2_1" w:id="318"/>
      <w:r>
        <w:t xml:space="preserve">Figura 1.2.</w:t>
      </w:r>
      <w:fldSimple w:instr="SEQ Figura \r 1 \* ARABIC">
        <w:r>
          <w:t xml:space="preserve">1</w:t>
        </w:r>
      </w:fldSimple>
      <w:r>
        <w:t xml:space="preserve"> · Experimentando las operaciones mentales abstractas</w:t>
      </w:r>
      <w:bookmarkEnd w:id="318"/>
    </w:p>
    <w:p>
      <w:pPr>
        <w:pStyle w:val="Fuente"/>
      </w:pPr>
      <w:r>
        <w:t xml:space="preserve">Presentación C-5, pág. 21</w:t>
      </w:r>
    </w:p>
    <w:p>
      <w:bookmarkStart w:name="b_punto_c5_p021_01" w:id="319"/>
      <w:r>
        <w:t xml:space="preserve">La figura de Kanizsa obliga a distinguir las líneas observadas de los triángulos que construye o completa la mente.</w:t>
      </w:r>
      <w:bookmarkEnd w:id="319"/>
    </w:p>
    <w:p>
      <w:bookmarkStart w:name="b_punto_c5_p021_02" w:id="320"/>
      <w:r>
        <w:t xml:space="preserve">El ejercicio de triángulos comienza en Clase 3 · 00:43:38; la fuente de su racimo usa el tramo correspondiente.</w:t>
      </w:r>
      <w:bookmarkEnd w:id="320"/>
    </w:p>
    <w:p>
      <w:pPr>
        <w:pStyle w:val="Heading3"/>
      </w:pPr>
      <w:bookmarkStart w:name="b_pagina_1_2_C_5_p24" w:id="321"/>
      <w:r>
        <w:t xml:space="preserve">C-5 · página 24 · Reconoce y prueba suposiciones</w:t>
      </w:r>
      <w:bookmarkEnd w:id="321"/>
    </w:p>
    <w:p>
      <w:pPr>
        <w:pStyle w:val="Normal"/>
      </w:pPr>
      <w:r>
        <w:t xml:space="preserve">Tarjeta del hábito, imagen del cereal y tres preguntas de contraste.</w:t>
      </w:r>
    </w:p>
    <w:p>
      <w:pPr>
        <w:pStyle w:val="Fuente"/>
      </w:pPr>
      <w:r>
        <w:t xml:space="preserve">Proyección o explicación: Clase 3 · 01:05:19 · captura c3-05.</w:t>
      </w:r>
    </w:p>
    <w:p>
      <w:bookmarkStart w:name="b_punto_c5_p024_01" w:id="322"/>
      <w:r>
        <w:t xml:space="preserve">Reconocer y probar suposiciones significa comprobar activamente teorías y contrastarlas, con otros cuando sea útil.</w:t>
      </w:r>
      <w:bookmarkEnd w:id="322"/>
    </w:p>
    <w:p>
      <w:bookmarkStart w:name="b_punto_c5_p024_02" w:id="323"/>
      <w:r>
        <w:t xml:space="preserve">La imagen del cereal ilustra interpretaciones diferentes de una misma realidad: azúcar frente a vitaminas.</w:t>
      </w:r>
      <w:bookmarkEnd w:id="323"/>
    </w:p>
    <w:p>
      <w:bookmarkStart w:name="b_punto_c5_p024_03" w:id="324"/>
      <w:r>
        <w:t xml:space="preserve">Preguntarse cómo influyen las experiencias pasadas en las teorías y suposiciones.</w:t>
      </w:r>
      <w:bookmarkEnd w:id="324"/>
    </w:p>
    <w:p>
      <w:bookmarkStart w:name="b_punto_c5_p024_04" w:id="325"/>
      <w:r>
        <w:t xml:space="preserve">Comparar la propia teoría o modelo con el sistema que pretende explicar.</w:t>
      </w:r>
      <w:bookmarkEnd w:id="325"/>
    </w:p>
    <w:p>
      <w:bookmarkStart w:name="b_punto_c5_p024_05" w:id="326"/>
      <w:r>
        <w:t xml:space="preserve">Al preparar acciones, plantear escenarios alternativos del tipo qué ocurriría si.</w:t>
      </w:r>
      <w:bookmarkEnd w:id="326"/>
    </w:p>
    <w:p>
      <w:pPr>
        <w:pStyle w:val="Heading3"/>
      </w:pPr>
      <w:bookmarkStart w:name="b_pagina_1_2_C_5_p25" w:id="327"/>
      <w:r>
        <w:t xml:space="preserve">C-5 · página 25 · La escalera de inferencias</w:t>
      </w:r>
      <w:bookmarkEnd w:id="327"/>
    </w:p>
    <w:p>
      <w:pPr>
        <w:pStyle w:val="Normal"/>
      </w:pPr>
      <w:r>
        <w:t xml:space="preserve">Dos representaciones del proceso: la escalera gráfica y los niveles de cero a cuatro.</w:t>
      </w:r>
    </w:p>
    <w:p>
      <w:pPr>
        <w:pStyle w:val="Fuente"/>
      </w:pPr>
      <w:r>
        <w:t xml:space="preserve">Proyección o explicación: Clase 3 · 01:09:42 · captura c3-06.</w:t>
      </w:r>
    </w:p>
    <w:p>
      <w:pPr>
        <w:keepNext/>
        <w:spacing w:after="40" w:before="150"/>
        <w:jc w:val="center"/>
      </w:pPr>
      <w:bookmarkStart w:name="b_figura_original_pagina_C_5_25" w:id="328"/>
      <w:bookmarkEnd w:id="328"/>
      <w:r>
        <w:drawing>
          <wp:inline distT="0" distB="0" distL="0" distR="0">
            <wp:extent cx="5381625" cy="4162425"/>
            <wp:effectExtent t="0" r="0" b="0" l="0"/>
            <wp:docPr id="5" name="pagina-C-5-25" descr="Presentación C-5, pág. 25" title="La escalera de inferenci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94" cstate="none"/>
                    <a:srcRect/>
                    <a:stretch>
                      <a:fillRect/>
                    </a:stretch>
                  </pic:blipFill>
                  <pic:spPr bwMode="auto">
                    <a:xfrm>
                      <a:off x="0" y="0"/>
                      <a:ext cx="5381625" cy="4162425"/>
                    </a:xfrm>
                    <a:prstGeom prst="rect">
                      <a:avLst/>
                    </a:prstGeom>
                  </pic:spPr>
                </pic:pic>
              </a:graphicData>
            </a:graphic>
          </wp:inline>
        </w:drawing>
      </w:r>
    </w:p>
    <w:p>
      <w:pPr>
        <w:pStyle w:val="PieFigura"/>
        <w:keepNext/>
      </w:pPr>
      <w:bookmarkStart w:name="b_fig_1_2_2" w:id="329"/>
      <w:r>
        <w:t xml:space="preserve">Figura 1.2.</w:t>
      </w:r>
      <w:fldSimple w:instr="SEQ Figura \n \* ARABIC">
        <w:r>
          <w:t xml:space="preserve">2</w:t>
        </w:r>
      </w:fldSimple>
      <w:r>
        <w:t xml:space="preserve"> · La escalera de inferencias</w:t>
      </w:r>
      <w:bookmarkEnd w:id="329"/>
    </w:p>
    <w:p>
      <w:pPr>
        <w:pStyle w:val="Fuente"/>
      </w:pPr>
      <w:r>
        <w:t xml:space="preserve">Presentación C-5, pág. 25</w:t>
      </w:r>
    </w:p>
    <w:p>
      <w:bookmarkStart w:name="b_punto_c5_p025_01" w:id="330"/>
      <w:r>
        <w:t xml:space="preserve">Actuamos según nuestra interpretación, que parece obvia aunque otras personas concluyan distinto.</w:t>
      </w:r>
      <w:bookmarkEnd w:id="330"/>
    </w:p>
    <w:p>
      <w:bookmarkStart w:name="b_punto_c5_p025_02" w:id="331"/>
      <w:r>
        <w:t xml:space="preserve">Nivel 0: realidad y datos disponibles antes del filtro.</w:t>
      </w:r>
      <w:bookmarkEnd w:id="331"/>
    </w:p>
    <w:p>
      <w:bookmarkStart w:name="b_punto_c5_p025_03" w:id="332"/>
      <w:r>
        <w:t xml:space="preserve">Nivel 1: observaciones relevantes seleccionadas por el modelo mental.</w:t>
      </w:r>
      <w:bookmarkEnd w:id="332"/>
    </w:p>
    <w:p>
      <w:bookmarkStart w:name="b_punto_c5_p025_04" w:id="333"/>
      <w:r>
        <w:t xml:space="preserve">Nivel 2: interpretación que articula los datos en una historia con supuestos e inferencias.</w:t>
      </w:r>
      <w:bookmarkEnd w:id="333"/>
    </w:p>
    <w:p>
      <w:bookmarkStart w:name="b_punto_c5_p025_05" w:id="334"/>
      <w:r>
        <w:t xml:space="preserve">Nivel 3: opiniones y juicios; nivel 4: conclusiones y decisiones de acción.</w:t>
      </w:r>
      <w:bookmarkEnd w:id="334"/>
    </w:p>
    <w:p>
      <w:bookmarkStart w:name="b_punto_c5_p025_06" w:id="335"/>
      <w:r>
        <w:t xml:space="preserve">La representación gráfica detalla seleccionar, traducir, decir qué pasa, explicar y decidir.</w:t>
      </w:r>
      <w:bookmarkEnd w:id="335"/>
    </w:p>
    <w:p>
      <w:bookmarkStart w:name="b_punto_c5_p025_07" w:id="336"/>
      <w:r>
        <w:t xml:space="preserve">Contextos, supuestos y valores influyen en los peldaños; actuar modifica los datos que se obtienen después.</w:t>
      </w:r>
      <w:bookmarkEnd w:id="336"/>
    </w:p>
    <w:p>
      <w:pPr>
        <w:pStyle w:val="Heading3"/>
      </w:pPr>
      <w:bookmarkStart w:name="b_pagina_1_2_C_5_p26" w:id="337"/>
      <w:r>
        <w:t xml:space="preserve">C-5 · página 26 · ¿Qué pasa en la mente cuando actúan los paradigmas?</w:t>
      </w:r>
      <w:bookmarkEnd w:id="337"/>
    </w:p>
    <w:p>
      <w:pPr>
        <w:pStyle w:val="Normal"/>
      </w:pPr>
      <w:r>
        <w:t xml:space="preserve">Fotograma del recurso animado Rethinking thinking de Trevor Maber.</w:t>
      </w:r>
    </w:p>
    <w:p>
      <w:bookmarkStart w:name="b_punto_c5_p026_01" w:id="338"/>
      <w:r>
        <w:t xml:space="preserve">El video muestra el recorrido automático desde los datos hasta las acciones y cómo una historia alternativa cambia la conclusión.</w:t>
      </w:r>
      <w:bookmarkEnd w:id="338"/>
    </w:p>
    <w:p>
      <w:pPr>
        <w:pStyle w:val="Heading3"/>
      </w:pPr>
      <w:bookmarkStart w:name="b_pagina_1_2_C_5_p27" w:id="339"/>
      <w:r>
        <w:t xml:space="preserve">C-5 · página 27 · La escalera de inferencias en acción</w:t>
      </w:r>
      <w:bookmarkEnd w:id="339"/>
    </w:p>
    <w:p>
      <w:pPr>
        <w:pStyle w:val="Normal"/>
      </w:pPr>
      <w:r>
        <w:t xml:space="preserve">Primera versión de Carlos y Pedro: el silencio se interpreta como incompetencia sin verificar.</w:t>
      </w:r>
    </w:p>
    <w:p>
      <w:pPr>
        <w:pStyle w:val="Fuente"/>
      </w:pPr>
      <w:r>
        <w:t xml:space="preserve">Proyección o explicación: Clase 3 · 01:14:32 · captura c3-08.</w:t>
      </w:r>
    </w:p>
    <w:p>
      <w:bookmarkStart w:name="b_punto_c5_p027_01" w:id="340"/>
      <w:r>
        <w:t xml:space="preserve">Carlos habla casi media hora; Pedro, vendedor nuevo con buenas recomendaciones, escucha y toma notas.</w:t>
      </w:r>
      <w:bookmarkEnd w:id="340"/>
    </w:p>
    <w:p>
      <w:bookmarkStart w:name="b_punto_c5_p027_02" w:id="341"/>
      <w:r>
        <w:t xml:space="preserve">A los diez minutos Carlos interpreta que quizá Pedro es tímido o aún se acomoda.</w:t>
      </w:r>
      <w:bookmarkEnd w:id="341"/>
    </w:p>
    <w:p>
      <w:bookmarkStart w:name="b_punto_c5_p027_03" w:id="342"/>
      <w:r>
        <w:t xml:space="preserve">A los veinte minutos pasa de observar silencio a concluir que Pedro no sabe hablar ni vender.</w:t>
      </w:r>
      <w:bookmarkEnd w:id="342"/>
    </w:p>
    <w:p>
      <w:bookmarkStart w:name="b_punto_c5_p027_04" w:id="343"/>
      <w:r>
        <w:t xml:space="preserve">A los treinta minutos lo considera un farsante y decide reclamar al jefe sin contrastar sus suposiciones.</w:t>
      </w:r>
      <w:bookmarkEnd w:id="343"/>
    </w:p>
    <w:p>
      <w:bookmarkStart w:name="b_punto_c5_p027_05" w:id="344"/>
      <w:r>
        <w:t xml:space="preserve">La historia separa el dato no habla de las inferencias sobre personalidad y capacidad; la media hora no justifica generalizar.</w:t>
      </w:r>
      <w:bookmarkEnd w:id="344"/>
    </w:p>
    <w:p>
      <w:pPr>
        <w:pStyle w:val="Heading3"/>
      </w:pPr>
      <w:bookmarkStart w:name="b_pagina_1_2_C_5_p28" w:id="345"/>
      <w:r>
        <w:t xml:space="preserve">C-5 · página 28 · Reflexiones sobre la escalera de inferencias</w:t>
      </w:r>
      <w:bookmarkEnd w:id="345"/>
    </w:p>
    <w:p>
      <w:pPr>
        <w:pStyle w:val="Normal"/>
      </w:pPr>
      <w:r>
        <w:t xml:space="preserve">Saltos inconscientes, conflicto entre conclusiones y prácticas para exponer datos y razonamientos.</w:t>
      </w:r>
    </w:p>
    <w:p>
      <w:pPr>
        <w:pStyle w:val="Fuente"/>
      </w:pPr>
      <w:r>
        <w:t xml:space="preserve">Proyección o explicación: Clase 3 · 01:21:37 · captura c3-09.</w:t>
      </w:r>
    </w:p>
    <w:p>
      <w:bookmarkStart w:name="b_punto_c5_p028_01" w:id="346"/>
      <w:r>
        <w:t xml:space="preserve">Subimos automáticamente: seleccionamos datos e imponemos interpretaciones sin advertir el salto.</w:t>
      </w:r>
      <w:bookmarkEnd w:id="346"/>
    </w:p>
    <w:p>
      <w:bookmarkStart w:name="b_punto_c5_p028_02" w:id="347"/>
      <w:r>
        <w:t xml:space="preserve">Las conclusiones propias parecen evidentes y las ajenas erróneas; se inventan razones para explicar el supuesto error del otro.</w:t>
      </w:r>
      <w:bookmarkEnd w:id="347"/>
    </w:p>
    <w:p>
      <w:bookmarkStart w:name="b_punto_c5_p028_03" w:id="348"/>
      <w:r>
        <w:t xml:space="preserve">Lanzarse conclusiones desde escaleras distintas dificulta resolver diferencias y aprender.</w:t>
      </w:r>
      <w:bookmarkEnd w:id="348"/>
    </w:p>
    <w:p>
      <w:bookmarkStart w:name="b_punto_c5_p028_04" w:id="349"/>
      <w:r>
        <w:t xml:space="preserve">Reconocer las conclusiones como inferencias en lugar de hechos autoevidentes.</w:t>
      </w:r>
      <w:bookmarkEnd w:id="349"/>
    </w:p>
    <w:p>
      <w:bookmarkStart w:name="b_punto_c5_p028_05" w:id="350"/>
      <w:r>
        <w:t xml:space="preserve">Aceptar que el razonamiento propio puede tener lagunas y errores.</w:t>
      </w:r>
      <w:bookmarkEnd w:id="350"/>
    </w:p>
    <w:p>
      <w:bookmarkStart w:name="b_punto_c5_p028_06" w:id="351"/>
      <w:r>
        <w:t xml:space="preserve">Usar ejemplos que muestren cómo los datos condujeron a la conclusión.</w:t>
      </w:r>
      <w:bookmarkEnd w:id="351"/>
    </w:p>
    <w:p>
      <w:bookmarkStart w:name="b_punto_c5_p028_07" w:id="352"/>
      <w:r>
        <w:t xml:space="preserve">Decir los significados que se escuchan para confirmar que se entendió al otro.</w:t>
      </w:r>
      <w:bookmarkEnd w:id="352"/>
    </w:p>
    <w:p>
      <w:bookmarkStart w:name="b_punto_c5_p028_08" w:id="353"/>
      <w:r>
        <w:t xml:space="preserve">Explicar el propio recorrido de datos seleccionados a conclusiones.</w:t>
      </w:r>
      <w:bookmarkEnd w:id="353"/>
    </w:p>
    <w:p>
      <w:bookmarkStart w:name="b_punto_c5_p028_09" w:id="354"/>
      <w:r>
        <w:t xml:space="preserve">Preguntar por otras interpretaciones y por posibles huecos en el razonamiento propio.</w:t>
      </w:r>
      <w:bookmarkEnd w:id="354"/>
    </w:p>
    <w:p>
      <w:bookmarkStart w:name="b_punto_c5_p028_10" w:id="355"/>
      <w:r>
        <w:t xml:space="preserve">Aceptar otras conclusiones como producto de una escalera con sentido para quien la usa.</w:t>
      </w:r>
      <w:bookmarkEnd w:id="355"/>
    </w:p>
    <w:p>
      <w:bookmarkStart w:name="b_punto_c5_p028_11" w:id="356"/>
      <w:r>
        <w:t xml:space="preserve">Pedir a otros ejemplos de los datos que seleccionan y de los significados que agregan.</w:t>
      </w:r>
      <w:bookmarkEnd w:id="356"/>
    </w:p>
    <w:p>
      <w:bookmarkStart w:name="b_punto_c5_p028_12" w:id="357"/>
      <w:r>
        <w:t xml:space="preserve">Pedir que el otro explique los pasos de su pensamiento.</w:t>
      </w:r>
      <w:bookmarkEnd w:id="357"/>
    </w:p>
    <w:p>
      <w:pPr>
        <w:pStyle w:val="Heading3"/>
      </w:pPr>
      <w:bookmarkStart w:name="b_pagina_1_2_C_5_p29" w:id="358"/>
      <w:r>
        <w:t xml:space="preserve">C-5 · página 29 · Siendo conscientes de la escalera de inferencias</w:t>
      </w:r>
      <w:bookmarkEnd w:id="358"/>
    </w:p>
    <w:p>
      <w:pPr>
        <w:pStyle w:val="Normal"/>
      </w:pPr>
      <w:r>
        <w:t xml:space="preserve">Carlos pregunta, expone sus creencias y descubre el valor de escuchar en las ventas.</w:t>
      </w:r>
    </w:p>
    <w:p>
      <w:pPr>
        <w:pStyle w:val="Fuente"/>
      </w:pPr>
      <w:r>
        <w:t xml:space="preserve">Proyección o explicación: Clase 3 · 01:28:44 · captura c3-11.</w:t>
      </w:r>
    </w:p>
    <w:p>
      <w:bookmarkStart w:name="b_punto_c5_p029_01" w:id="359"/>
      <w:r>
        <w:t xml:space="preserve">A los diez minutos, Carlos detiene el monólogo y pregunta a Pedro qué piensa.</w:t>
      </w:r>
      <w:bookmarkEnd w:id="359"/>
    </w:p>
    <w:p>
      <w:bookmarkStart w:name="b_punto_c5_p029_02" w:id="360"/>
      <w:r>
        <w:t xml:space="preserve">A los veinte minutos reconoce que puede estar apresurándose y verifica de nuevo.</w:t>
      </w:r>
      <w:bookmarkEnd w:id="360"/>
    </w:p>
    <w:p>
      <w:bookmarkStart w:name="b_punto_c5_p029_03" w:id="361"/>
      <w:r>
        <w:t xml:space="preserve">Carlos expone sus supuestos: su experiencia de ventas asocia éxito con agresividad verbal y extraversión.</w:t>
      </w:r>
      <w:bookmarkEnd w:id="361"/>
    </w:p>
    <w:p>
      <w:bookmarkStart w:name="b_punto_c5_p029_04" w:id="362"/>
      <w:r>
        <w:t xml:space="preserve">Pedro explica su modelo: escuchar revela necesidades y permite servir mejor al cliente.</w:t>
      </w:r>
      <w:bookmarkEnd w:id="362"/>
    </w:p>
    <w:p>
      <w:bookmarkStart w:name="b_punto_c5_p029_05" w:id="363"/>
      <w:r>
        <w:t xml:space="preserve">El contraste amplía el modelo de Carlos y evita tratar una interpretación del silencio como un hecho.</w:t>
      </w:r>
      <w:bookmarkEnd w:id="363"/>
    </w:p>
    <w:p>
      <w:pPr>
        <w:pStyle w:val="Heading3"/>
      </w:pPr>
      <w:bookmarkStart w:name="b_pagina_1_2_C_5_p30" w:id="364"/>
      <w:r>
        <w:t xml:space="preserve">C-5 · página 30 · Reconoce y prueba suposiciones (repetición)</w:t>
      </w:r>
      <w:bookmarkEnd w:id="364"/>
    </w:p>
    <w:p>
      <w:pPr>
        <w:pStyle w:val="Normal"/>
      </w:pPr>
      <w:r>
        <w:t xml:space="preserve">La misma tarjeta refuerza la verificación que Carlos acaba de practicar.</w:t>
      </w:r>
    </w:p>
    <w:p>
      <w:pPr>
        <w:pStyle w:val="Fuente"/>
      </w:pPr>
      <w:r>
        <w:t xml:space="preserve">Proyección o explicación: Clase 3 · 01:30:44 · captura c3-12.</w:t>
      </w:r>
    </w:p>
    <w:p>
      <w:bookmarkStart w:name="b_punto_c5_p030_01" w:id="365"/>
      <w:r>
        <w:t xml:space="preserve">Reconocer y probar suposiciones significa comprobar activamente teorías y contrastarlas, con otros cuando sea útil.</w:t>
      </w:r>
      <w:bookmarkEnd w:id="365"/>
    </w:p>
    <w:p>
      <w:bookmarkStart w:name="b_punto_c5_p030_02" w:id="366"/>
      <w:r>
        <w:t xml:space="preserve">La imagen del cereal ilustra interpretaciones diferentes de una misma realidad: azúcar frente a vitaminas.</w:t>
      </w:r>
      <w:bookmarkEnd w:id="366"/>
    </w:p>
    <w:p>
      <w:bookmarkStart w:name="b_punto_c5_p030_03" w:id="367"/>
      <w:r>
        <w:t xml:space="preserve">Preguntarse cómo influyen las experiencias pasadas en las teorías y suposiciones.</w:t>
      </w:r>
      <w:bookmarkEnd w:id="367"/>
    </w:p>
    <w:p>
      <w:bookmarkStart w:name="b_punto_c5_p030_04" w:id="368"/>
      <w:r>
        <w:t xml:space="preserve">Comparar la propia teoría o modelo con el sistema que pretende explicar.</w:t>
      </w:r>
      <w:bookmarkEnd w:id="368"/>
    </w:p>
    <w:p>
      <w:bookmarkStart w:name="b_punto_c5_p030_05" w:id="369"/>
      <w:r>
        <w:t xml:space="preserve">Al preparar acciones, plantear escenarios alternativos del tipo qué ocurriría si.</w:t>
      </w:r>
      <w:bookmarkEnd w:id="369"/>
    </w:p>
    <w:p>
      <w:pPr>
        <w:pStyle w:val="Heading3"/>
      </w:pPr>
      <w:bookmarkStart w:name="b_pagina_1_2_C_5_p33" w:id="370"/>
      <w:r>
        <w:t xml:space="preserve">C-5 · página 33 · Reconoce y prueba suposiciones</w:t>
      </w:r>
      <w:bookmarkEnd w:id="370"/>
    </w:p>
    <w:p>
      <w:pPr>
        <w:pStyle w:val="Normal"/>
      </w:pPr>
      <w:r>
        <w:t xml:space="preserve">Probar las propias interpretaciones con evidencia y con otras personas; la escalera permite hacer visibles los supuestos.</w:t>
      </w:r>
    </w:p>
    <w:p>
      <w:pPr>
        <w:pStyle w:val="Fuente"/>
      </w:pPr>
      <w:r>
        <w:t xml:space="preserve">Proyección o explicación: Clase 4 · 00:04:03 · captura c4-02.</w:t>
      </w:r>
    </w:p>
    <w:p>
      <w:bookmarkStart w:name="b_punto_c5_p033_03" w:id="371"/>
      <w:r>
        <w:t xml:space="preserve">Las experiencias previas influyen en las teorías y suposiciones actuales.</w:t>
      </w:r>
      <w:bookmarkEnd w:id="371"/>
    </w:p>
    <w:p>
      <w:bookmarkStart w:name="b_punto_c5_p033_04" w:id="372"/>
      <w:r>
        <w:t xml:space="preserve">Una teoría o modelo debe contrastarse con el sistema real que pretende representar.</w:t>
      </w:r>
      <w:bookmarkEnd w:id="372"/>
    </w:p>
    <w:p>
      <w:bookmarkStart w:name="b_punto_c5_p033_05" w:id="373"/>
      <w:r>
        <w:t xml:space="preserve">Ante una acción posible, explorar con otras personas hipótesis y escenarios alternativos en vez de asumir una única explicación.</w:t>
      </w:r>
      <w:bookmarkEnd w:id="373"/>
    </w:p>
    <w:p>
      <w:pPr>
        <w:pStyle w:val="Fuente"/>
      </w:pPr>
      <w:r>
        <w:t xml:space="preserve">Véase </w:t>
      </w:r>
      <w:hyperlink w:history="1" w:anchor="b_1_8">
        <w:r>
          <w:rPr>
            <w:color w:val="156B70"/>
            <w:u w:val="single"/>
          </w:rPr>
          <w:t xml:space="preserve">capítulo 1.8 · Hábitos del pensador</w:t>
        </w:r>
      </w:hyperlink>
      <w:r>
        <w:t xml:space="preserve">, pág. </w:t>
      </w:r>
      <w:r>
        <w:fldChar w:fldCharType="begin"/>
        <w:instrText xml:space="preserve">PAGEREF b_1_8 \h</w:instrText>
        <w:fldChar w:fldCharType="separate"/>
        <w:t xml:space="preserve">194</w:t>
        <w:fldChar w:fldCharType="end"/>
      </w:r>
      <w:r>
        <w:t xml:space="preserve">.</w:t>
      </w:r>
    </w:p>
    <w:p>
      <w:pPr>
        <w:pStyle w:val="Heading3"/>
      </w:pPr>
      <w:bookmarkStart w:name="b_pagina_1_2_C_5_p42" w:id="374"/>
      <w:r>
        <w:t xml:space="preserve">C-5 · página 42 · La columna de la mano izquierda</w:t>
      </w:r>
      <w:bookmarkEnd w:id="374"/>
    </w:p>
    <w:p>
      <w:pPr>
        <w:pStyle w:val="Normal"/>
      </w:pPr>
      <w:r>
        <w:t xml:space="preserve">John conversa sobre un informe mientras mantiene supuestos sin expresar: dos columnas hacen visible la diferencia.</w:t>
      </w:r>
    </w:p>
    <w:p>
      <w:pPr>
        <w:pStyle w:val="Fuente"/>
      </w:pPr>
      <w:r>
        <w:t xml:space="preserve">Proyección o explicación: Clase 4 · 01:20:55 · captura c4-10.</w:t>
      </w:r>
    </w:p>
    <w:p>
      <w:pPr>
        <w:keepNext/>
        <w:spacing w:after="40" w:before="150"/>
        <w:jc w:val="center"/>
      </w:pPr>
      <w:bookmarkStart w:name="b_figura_original_pagina_C_5_42" w:id="375"/>
      <w:bookmarkEnd w:id="375"/>
      <w:r>
        <w:drawing>
          <wp:inline distT="0" distB="0" distL="0" distR="0">
            <wp:extent cx="5381625" cy="4162425"/>
            <wp:effectExtent t="0" r="0" b="0" l="0"/>
            <wp:docPr id="6" name="pagina-C-5-42" descr="Presentación C-5, pág. 42" title="La columna de la mano izquier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95" cstate="none"/>
                    <a:srcRect/>
                    <a:stretch>
                      <a:fillRect/>
                    </a:stretch>
                  </pic:blipFill>
                  <pic:spPr bwMode="auto">
                    <a:xfrm>
                      <a:off x="0" y="0"/>
                      <a:ext cx="5381625" cy="4162425"/>
                    </a:xfrm>
                    <a:prstGeom prst="rect">
                      <a:avLst/>
                    </a:prstGeom>
                  </pic:spPr>
                </pic:pic>
              </a:graphicData>
            </a:graphic>
          </wp:inline>
        </w:drawing>
      </w:r>
    </w:p>
    <w:p>
      <w:pPr>
        <w:pStyle w:val="PieFigura"/>
        <w:keepNext/>
      </w:pPr>
      <w:bookmarkStart w:name="b_fig_1_2_3" w:id="376"/>
      <w:r>
        <w:t xml:space="preserve">Figura 1.2.</w:t>
      </w:r>
      <w:fldSimple w:instr="SEQ Figura \n \* ARABIC">
        <w:r>
          <w:t xml:space="preserve">3</w:t>
        </w:r>
      </w:fldSimple>
      <w:r>
        <w:t xml:space="preserve"> · La columna de la mano izquierda</w:t>
      </w:r>
      <w:bookmarkEnd w:id="376"/>
    </w:p>
    <w:p>
      <w:pPr>
        <w:pStyle w:val="Fuente"/>
      </w:pPr>
      <w:r>
        <w:t xml:space="preserve">Presentación C-5, pág. 42</w:t>
      </w:r>
    </w:p>
    <w:p>
      <w:bookmarkStart w:name="b_punto_c5_p042_01" w:id="377"/>
      <w:r>
        <w:t xml:space="preserve">La columna derecha registra la conversación real y la izquierda los pensamientos que no se dijeron.</w:t>
      </w:r>
      <w:bookmarkEnd w:id="377"/>
    </w:p>
    <w:p>
      <w:bookmarkStart w:name="b_punto_c5_p042_02" w:id="378"/>
      <w:r>
        <w:t xml:space="preserve">John pregunta si el informe está listo; su compañero lo promete en dos días mientras John supone excusas.</w:t>
      </w:r>
      <w:bookmarkEnd w:id="378"/>
    </w:p>
    <w:p>
      <w:bookmarkStart w:name="b_punto_c5_p042_03" w:id="379"/>
      <w:r>
        <w:t xml:space="preserve">El dato de las cifras en formato incompatible podría cuestionar la acusación, pero John lo convierte en descargo propio.</w:t>
      </w:r>
      <w:bookmarkEnd w:id="379"/>
    </w:p>
    <w:p>
      <w:pPr>
        <w:pStyle w:val="Fuente"/>
      </w:pPr>
      <w:r>
        <w:t xml:space="preserve">Véase </w:t>
      </w:r>
      <w:hyperlink w:history="1" w:anchor="b_1_8">
        <w:r>
          <w:rPr>
            <w:color w:val="156B70"/>
            <w:u w:val="single"/>
          </w:rPr>
          <w:t xml:space="preserve">capítulo 1.8 · Hábitos del pensador</w:t>
        </w:r>
      </w:hyperlink>
      <w:r>
        <w:t xml:space="preserve">, pág. </w:t>
      </w:r>
      <w:r>
        <w:fldChar w:fldCharType="begin"/>
        <w:instrText xml:space="preserve">PAGEREF b_1_8 \h</w:instrText>
        <w:fldChar w:fldCharType="separate"/>
        <w:t xml:space="preserve">194</w:t>
        <w:fldChar w:fldCharType="end"/>
      </w:r>
      <w:r>
        <w:t xml:space="preserve">.</w:t>
      </w:r>
    </w:p>
    <w:p>
      <w:pPr>
        <w:pStyle w:val="Heading3"/>
      </w:pPr>
      <w:bookmarkStart w:name="b_pagina_1_2_C_5_p43" w:id="380"/>
      <w:r>
        <w:t xml:space="preserve">C-5 · página 43 · Investigando suposiciones</w:t>
      </w:r>
      <w:bookmarkEnd w:id="380"/>
    </w:p>
    <w:p>
      <w:pPr>
        <w:pStyle w:val="Normal"/>
      </w:pPr>
      <w:r>
        <w:t xml:space="preserve">Una misma gráfica de rendimiento despierta expectativas de bono o de sobrecarga; ambas hipótesis requieren prueba.</w:t>
      </w:r>
    </w:p>
    <w:p>
      <w:pPr>
        <w:pStyle w:val="Fuente"/>
      </w:pPr>
      <w:r>
        <w:t xml:space="preserve">Proyección o explicación: Clase 4 · 01:24:58 · captura c4-11.</w:t>
      </w:r>
    </w:p>
    <w:p>
      <w:pPr>
        <w:keepNext/>
        <w:spacing w:after="40" w:before="150"/>
        <w:jc w:val="center"/>
      </w:pPr>
      <w:bookmarkStart w:name="b_figura_original_pagina_C_5_43" w:id="381"/>
      <w:bookmarkEnd w:id="381"/>
      <w:r>
        <w:drawing>
          <wp:inline distT="0" distB="0" distL="0" distR="0">
            <wp:extent cx="5381625" cy="4162425"/>
            <wp:effectExtent t="0" r="0" b="0" l="0"/>
            <wp:docPr id="7" name="pagina-C-5-43" descr="Presentación C-5, pág. 43" title="Investigando suposicio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96" cstate="none"/>
                    <a:srcRect/>
                    <a:stretch>
                      <a:fillRect/>
                    </a:stretch>
                  </pic:blipFill>
                  <pic:spPr bwMode="auto">
                    <a:xfrm>
                      <a:off x="0" y="0"/>
                      <a:ext cx="5381625" cy="4162425"/>
                    </a:xfrm>
                    <a:prstGeom prst="rect">
                      <a:avLst/>
                    </a:prstGeom>
                  </pic:spPr>
                </pic:pic>
              </a:graphicData>
            </a:graphic>
          </wp:inline>
        </w:drawing>
      </w:r>
    </w:p>
    <w:p>
      <w:pPr>
        <w:pStyle w:val="PieFigura"/>
        <w:keepNext/>
      </w:pPr>
      <w:bookmarkStart w:name="b_fig_1_2_4" w:id="382"/>
      <w:r>
        <w:t xml:space="preserve">Figura 1.2.</w:t>
      </w:r>
      <w:fldSimple w:instr="SEQ Figura \n \* ARABIC">
        <w:r>
          <w:t xml:space="preserve">4</w:t>
        </w:r>
      </w:fldSimple>
      <w:r>
        <w:t xml:space="preserve"> · Investigando suposiciones</w:t>
      </w:r>
      <w:bookmarkEnd w:id="382"/>
    </w:p>
    <w:p>
      <w:pPr>
        <w:pStyle w:val="Fuente"/>
      </w:pPr>
      <w:r>
        <w:t xml:space="preserve">Presentación C-5, pág. 43</w:t>
      </w:r>
    </w:p>
    <w:p>
      <w:bookmarkStart w:name="b_punto_c5_p043_01" w:id="383"/>
      <w:r>
        <w:t xml:space="preserve">Ante el rendimiento creciente, una persona espera compensación y otra teme mayores exigencias.</w:t>
      </w:r>
      <w:bookmarkEnd w:id="383"/>
    </w:p>
    <w:p>
      <w:bookmarkStart w:name="b_punto_c5_p043_02" w:id="384"/>
      <w:r>
        <w:t xml:space="preserve">Articular la creencia y buscar evidencia que la apoye o refute; compartirla es necesario para probarla.</w:t>
      </w:r>
      <w:bookmarkEnd w:id="384"/>
    </w:p>
    <w:p>
      <w:bookmarkStart w:name="b_punto_c5_p043_03" w:id="385"/>
      <w:r>
        <w:t xml:space="preserve">Un mismo aumento podría producir simultáneamente beneficios y cargas: no hay que escoger una interpretación por simpatía.</w:t>
      </w:r>
      <w:bookmarkEnd w:id="385"/>
    </w:p>
    <w:p>
      <w:bookmarkStart w:name="b_punto_c5_p043_04" w:id="386"/>
      <w:r>
        <w:t xml:space="preserve">Exponer una creencia ante otros puede ser arriesgado cuando sus supuestos difieren.</w:t>
      </w:r>
      <w:bookmarkEnd w:id="386"/>
    </w:p>
    <w:p>
      <w:bookmarkStart w:name="b_punto_c5_p043_05" w:id="387"/>
      <w:r>
        <w:t xml:space="preserve">Ante estudios contradictorios, ampliar el análisis más allá de una muestra única o del corto plazo.</w:t>
      </w:r>
      <w:bookmarkEnd w:id="387"/>
    </w:p>
    <w:p>
      <w:pPr>
        <w:pStyle w:val="Heading3"/>
      </w:pPr>
      <w:bookmarkStart w:name="b_pagina_1_2_C_5_p53" w:id="388"/>
      <w:r>
        <w:t xml:space="preserve">C-5 · página 53 · Síntesis sobre sistemas abstractos y creencias</w:t>
      </w:r>
      <w:bookmarkEnd w:id="388"/>
    </w:p>
    <w:p>
      <w:pPr>
        <w:pStyle w:val="Normal"/>
      </w:pPr>
      <w:r>
        <w:t xml:space="preserve">Repasa la perspectiva sistémica, las cuatro operaciones mentales, la inducción, la flexibilidad y el efecto paradigma.</w:t>
      </w:r>
    </w:p>
    <w:p>
      <w:pPr>
        <w:pStyle w:val="Fuente"/>
      </w:pPr>
      <w:r>
        <w:t xml:space="preserve">Proyección o explicación: Clase 5 · 00:58:29 · captura c5-10.</w:t>
      </w:r>
    </w:p>
    <w:p>
      <w:bookmarkStart w:name="b_punto_c5_p053_02" w:id="389"/>
      <w:r>
        <w:t xml:space="preserve">Eliminación, construcción, distorsión y generalización crean modelos automática y a menudo inconscientemente.</w:t>
      </w:r>
      <w:bookmarkEnd w:id="389"/>
    </w:p>
    <w:p>
      <w:pPr>
        <w:pStyle w:val="Fuente"/>
      </w:pPr>
      <w:r>
        <w:t xml:space="preserve">Véase </w:t>
      </w:r>
      <w:hyperlink w:history="1" w:anchor="b_1_3">
        <w:r>
          <w:rPr>
            <w:color w:val="156B70"/>
            <w:u w:val="single"/>
          </w:rPr>
          <w:t xml:space="preserve">capítulo 1.3 · El paradigma de sistemas</w:t>
        </w:r>
      </w:hyperlink>
      <w:r>
        <w:t xml:space="preserve">, pág. </w:t>
      </w:r>
      <w:r>
        <w:fldChar w:fldCharType="begin"/>
        <w:instrText xml:space="preserve">PAGEREF b_1_3 \h</w:instrText>
        <w:fldChar w:fldCharType="separate"/>
        <w:t xml:space="preserve">83</w:t>
        <w:fldChar w:fldCharType="end"/>
      </w:r>
      <w:r>
        <w:t xml:space="preserve">.</w:t>
      </w:r>
    </w:p>
    <w:p>
      <w:pPr>
        <w:pStyle w:val="Fuente"/>
      </w:pPr>
      <w:r>
        <w:t xml:space="preserve">Véase </w:t>
      </w:r>
      <w:hyperlink w:history="1" w:anchor="b_1_1">
        <w:r>
          <w:rPr>
            <w:color w:val="156B70"/>
            <w:u w:val="single"/>
          </w:rPr>
          <w:t xml:space="preserve">capítulo 1.1 · Paradigmas y modelos mentales</w:t>
        </w:r>
      </w:hyperlink>
      <w:r>
        <w:t xml:space="preserve">, pág. </w:t>
      </w:r>
      <w:r>
        <w:fldChar w:fldCharType="begin"/>
        <w:instrText xml:space="preserve">PAGEREF b_1_1 \h</w:instrText>
        <w:fldChar w:fldCharType="separate"/>
        <w:t xml:space="preserve">19</w:t>
        <w:fldChar w:fldCharType="end"/>
      </w:r>
      <w:r>
        <w:t xml:space="preserve">.</w:t>
      </w:r>
    </w:p>
    <w:p>
      <w:pPr>
        <w:pStyle w:val="Heading3"/>
      </w:pPr>
      <w:bookmarkStart w:name="b_pagina_1_2_C_5_p55" w:id="390"/>
      <w:r>
        <w:t xml:space="preserve">C-5 · página 55 · Hipótesis y prácticas de la escalera</w:t>
      </w:r>
      <w:bookmarkEnd w:id="390"/>
    </w:p>
    <w:p>
      <w:pPr>
        <w:pStyle w:val="Normal"/>
      </w:pPr>
      <w:r>
        <w:t xml:space="preserve">El proceso de investigación y las tres prácticas de la escalera convierten los supuestos en afirmaciones comprobables.</w:t>
      </w:r>
    </w:p>
    <w:p>
      <w:pPr>
        <w:pStyle w:val="Fuente"/>
      </w:pPr>
      <w:r>
        <w:t xml:space="preserve">Proyección o explicación: Clase 5 · 01:16:07 · captura c5-12.</w:t>
      </w:r>
    </w:p>
    <w:p>
      <w:pPr>
        <w:keepNext/>
        <w:spacing w:after="40" w:before="150"/>
        <w:jc w:val="center"/>
      </w:pPr>
      <w:bookmarkStart w:name="b_figura_original_pagina_C_5_55" w:id="391"/>
      <w:bookmarkEnd w:id="391"/>
      <w:r>
        <w:drawing>
          <wp:inline distT="0" distB="0" distL="0" distR="0">
            <wp:extent cx="5381625" cy="4162425"/>
            <wp:effectExtent t="0" r="0" b="0" l="0"/>
            <wp:docPr id="8" name="pagina-C-5-55" descr="Presentación C-5, pág. 55" title="Hipótesis y prácticas de la escale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97" cstate="none"/>
                    <a:srcRect/>
                    <a:stretch>
                      <a:fillRect/>
                    </a:stretch>
                  </pic:blipFill>
                  <pic:spPr bwMode="auto">
                    <a:xfrm>
                      <a:off x="0" y="0"/>
                      <a:ext cx="5381625" cy="4162425"/>
                    </a:xfrm>
                    <a:prstGeom prst="rect">
                      <a:avLst/>
                    </a:prstGeom>
                  </pic:spPr>
                </pic:pic>
              </a:graphicData>
            </a:graphic>
          </wp:inline>
        </w:drawing>
      </w:r>
    </w:p>
    <w:p>
      <w:pPr>
        <w:pStyle w:val="PieFigura"/>
        <w:keepNext/>
      </w:pPr>
      <w:bookmarkStart w:name="b_fig_1_2_5" w:id="392"/>
      <w:r>
        <w:t xml:space="preserve">Figura 1.2.</w:t>
      </w:r>
      <w:fldSimple w:instr="SEQ Figura \n \* ARABIC">
        <w:r>
          <w:t xml:space="preserve">5</w:t>
        </w:r>
      </w:fldSimple>
      <w:r>
        <w:t xml:space="preserve"> · Hipótesis y prácticas de la escalera</w:t>
      </w:r>
      <w:bookmarkEnd w:id="392"/>
    </w:p>
    <w:p>
      <w:pPr>
        <w:pStyle w:val="Fuente"/>
      </w:pPr>
      <w:r>
        <w:t xml:space="preserve">Presentación C-5, pág. 55</w:t>
      </w:r>
    </w:p>
    <w:p>
      <w:bookmarkStart w:name="b_punto_c5_p055_01" w:id="393"/>
      <w:r>
        <w:t xml:space="preserve">La investigación comienza con una hipótesis, define un diseño, recopila y analiza datos y extrae conclusiones.</w:t>
      </w:r>
      <w:bookmarkEnd w:id="393"/>
    </w:p>
    <w:p>
      <w:bookmarkStart w:name="b_punto_c5_p055_02" w:id="394"/>
      <w:r>
        <w:t xml:space="preserve">La reflexión suspende el juicio y hace consciente el propio razonamiento y la selección de datos.</w:t>
      </w:r>
      <w:bookmarkEnd w:id="394"/>
    </w:p>
    <w:p>
      <w:bookmarkStart w:name="b_punto_c5_p055_03" w:id="395"/>
      <w:r>
        <w:t xml:space="preserve">La indagación usa preguntas abiertas para comprender los datos y el proceso del otro.</w:t>
      </w:r>
      <w:bookmarkEnd w:id="395"/>
    </w:p>
    <w:p>
      <w:bookmarkStart w:name="b_punto_c5_p055_04" w:id="396"/>
      <w:r>
        <w:t xml:space="preserve">La argumentación hace visibles las razones y lo que influye en las propias creencias y acciones.</w:t>
      </w:r>
      <w:bookmarkEnd w:id="396"/>
    </w:p>
    <w:p>
      <w:bookmarkStart w:name="b_punto_c5_p055_05" w:id="397"/>
      <w:r>
        <w:t xml:space="preserve">El esquema de investigación recorre preguntas, información requerida, muestra, boleta, encuesta, sistematización y análisis.</w:t>
      </w:r>
      <w:bookmarkEnd w:id="397"/>
    </w:p>
    <w:p>
      <w:bookmarkStart w:name="b_punto_c5_p055_06" w:id="398"/>
      <w:r>
        <w:t xml:space="preserve">La escalera de cinco peldaños de la imagen enlaza experiencia, selección, significados, creencias y acción con retroalimentación sobre la atención.</w:t>
      </w:r>
      <w:bookmarkEnd w:id="398"/>
    </w:p>
    <w:p>
      <w:pPr>
        <w:pStyle w:val="Heading3"/>
      </w:pPr>
      <w:r>
        <w:t xml:space="preserve">Lo que explicó el profesor en clase</w:t>
      </w:r>
    </w:p>
    <w:p>
      <w:pPr>
        <w:pStyle w:val="Heading3"/>
      </w:pPr>
      <w:bookmarkStart w:name="b_clase_1_2_c2_cap_08" w:id="399"/>
      <w:r>
        <w:t xml:space="preserve">Clase 2 · 01:13:41–01:19:22 · Flexibilidad de paradigmas: la mejor estrategia para tiempos turbulentos</w:t>
      </w:r>
      <w:bookmarkEnd w:id="399"/>
    </w:p>
    <w:p>
      <w:bookmarkStart w:name="b_punto_c2_cap_08_p03" w:id="400"/>
      <w:r>
        <w:t xml:space="preserve">La autoindagación y la indagación a otros permiten considerar posibilidades antes descartadas y ampliar la comprensión.</w:t>
      </w:r>
      <w:bookmarkEnd w:id="400"/>
    </w:p>
    <w:p>
      <w:pPr>
        <w:pStyle w:val="Fuente"/>
      </w:pPr>
      <w:r>
        <w:t xml:space="preserve">Véase </w:t>
      </w:r>
      <w:hyperlink w:history="1" w:anchor="b_1_1">
        <w:r>
          <w:rPr>
            <w:color w:val="156B70"/>
            <w:u w:val="single"/>
          </w:rPr>
          <w:t xml:space="preserve">capítulo 1.1 · Paradigmas y modelos mentales</w:t>
        </w:r>
      </w:hyperlink>
      <w:r>
        <w:t xml:space="preserve">, pág. </w:t>
      </w:r>
      <w:r>
        <w:fldChar w:fldCharType="begin"/>
        <w:instrText xml:space="preserve">PAGEREF b_1_1 \h</w:instrText>
        <w:fldChar w:fldCharType="separate"/>
        <w:t xml:space="preserve">19</w:t>
        <w:fldChar w:fldCharType="end"/>
      </w:r>
      <w:r>
        <w:t xml:space="preserve">.</w:t>
      </w:r>
    </w:p>
    <w:p>
      <w:pPr>
        <w:pStyle w:val="Heading3"/>
      </w:pPr>
      <w:bookmarkStart w:name="b_clase_1_2_c3_cap_02" w:id="401"/>
      <w:r>
        <w:t xml:space="preserve">Clase 3 · 00:18:42–00:32:22 · Las cuatro operaciones mentales inconscientes: la eliminación</w:t>
      </w:r>
      <w:bookmarkEnd w:id="401"/>
    </w:p>
    <w:p>
      <w:bookmarkStart w:name="b_punto_c3_cap_02_p05" w:id="402"/>
      <w:r>
        <w:t xml:space="preserve">La escalera modela el proceso inferencial de lo concreto a lo abstracto; el número de peldaños cambia con el detalle elegido por cada autor.</w:t>
      </w:r>
      <w:bookmarkEnd w:id="402"/>
    </w:p>
    <w:p>
      <w:bookmarkStart w:name="b_punto_c3_cap_02_p06" w:id="403"/>
      <w:r>
        <w:t xml:space="preserve">La realidad disponible está en la base; el salto automático filtra antes de razonar y la mente llena vacíos con creencias previas.</w:t>
      </w:r>
      <w:bookmarkEnd w:id="403"/>
    </w:p>
    <w:p>
      <w:pPr>
        <w:pStyle w:val="Fuente"/>
      </w:pPr>
      <w:r>
        <w:t xml:space="preserve">Véase </w:t>
      </w:r>
      <w:hyperlink w:history="1" w:anchor="b_1_1">
        <w:r>
          <w:rPr>
            <w:color w:val="156B70"/>
            <w:u w:val="single"/>
          </w:rPr>
          <w:t xml:space="preserve">capítulo 1.1 · Paradigmas y modelos mentales</w:t>
        </w:r>
      </w:hyperlink>
      <w:r>
        <w:t xml:space="preserve">, pág. </w:t>
      </w:r>
      <w:r>
        <w:fldChar w:fldCharType="begin"/>
        <w:instrText xml:space="preserve">PAGEREF b_1_1 \h</w:instrText>
        <w:fldChar w:fldCharType="separate"/>
        <w:t xml:space="preserve">19</w:t>
        <w:fldChar w:fldCharType="end"/>
      </w:r>
      <w:r>
        <w:t xml:space="preserve">.</w:t>
      </w:r>
    </w:p>
    <w:p>
      <w:pPr>
        <w:pStyle w:val="Heading3"/>
      </w:pPr>
      <w:bookmarkStart w:name="b_clase_1_2_c3_cap_03" w:id="404"/>
      <w:r>
        <w:t xml:space="preserve">Clase 3 · 00:32:24–00:43:24 · Construcción, distorsión y generalización</w:t>
      </w:r>
      <w:bookmarkEnd w:id="404"/>
    </w:p>
    <w:p>
      <w:bookmarkStart w:name="b_punto_c3_cap_03_p01" w:id="405"/>
      <w:r>
        <w:t xml:space="preserve">La construcción articula datos seleccionados y patrones previos para dar sentido a la experiencia, vinculando una causa probable con un efecto posible.</w:t>
      </w:r>
      <w:bookmarkEnd w:id="405"/>
    </w:p>
    <w:p>
      <w:bookmarkStart w:name="b_punto_c3_cap_03_p02" w:id="406"/>
      <w:r>
        <w:t xml:space="preserve">La distorsión amplifica o disminuye partes y usa creatividad para completar lo no observado, generando escenarios aún no validados.</w:t>
      </w:r>
      <w:bookmarkEnd w:id="406"/>
    </w:p>
    <w:p>
      <w:bookmarkStart w:name="b_punto_c3_cap_03_p03" w:id="407"/>
      <w:r>
        <w:t xml:space="preserve">Agregar significados y suposiciones ayuda a relacionar las operaciones con peldaños de la escalera; construir con experiencia no es idéntico a inventar sin validación.</w:t>
      </w:r>
      <w:bookmarkEnd w:id="407"/>
    </w:p>
    <w:p>
      <w:bookmarkStart w:name="b_punto_c3_cap_03_p04" w:id="408"/>
      <w:r>
        <w:t xml:space="preserve">La generalización convierte conclusiones en reglas aprendidas que alimentarán los siguientes modelos; su grabación puede requerir repetición.</w:t>
      </w:r>
      <w:bookmarkEnd w:id="408"/>
    </w:p>
    <w:p>
      <w:bookmarkStart w:name="b_punto_c3_cap_03_p05" w:id="409"/>
      <w:r>
        <w:t xml:space="preserve">A partir de un vehículo o de unas personas se puede inferir indebidamente una regla para todo el universo; una propiedad puede pertenecer sólo a un subgrupo.</w:t>
      </w:r>
      <w:bookmarkEnd w:id="409"/>
    </w:p>
    <w:p>
      <w:bookmarkStart w:name="b_punto_c3_cap_03_p06" w:id="410"/>
      <w:r>
        <w:t xml:space="preserve">Las reglas generalizadas vuelven a llenar vacíos en experiencias posteriores, reforzando representaciones parciales; hacerlas conscientes permite examinarlas.</w:t>
      </w:r>
      <w:bookmarkEnd w:id="410"/>
    </w:p>
    <w:p>
      <w:pPr>
        <w:pStyle w:val="Heading3"/>
      </w:pPr>
      <w:bookmarkStart w:name="b_clase_1_2_c3_cap_04" w:id="411"/>
      <w:r>
        <w:t xml:space="preserve">Clase 3 · 00:43:26–00:51:56 · El ejercicio de los triángulos: por qué 5, 7 u 8</w:t>
      </w:r>
      <w:bookmarkEnd w:id="411"/>
    </w:p>
    <w:p>
      <w:bookmarkStart w:name="b_punto_c3_cap_04_p01" w:id="412"/>
      <w:r>
        <w:t xml:space="preserve">La figura ilusoria recibe respuestas 0, 2, 4, 5, 6, 7 y 8; el ejercicio pide comparar cómo se construyó cada respuesta.</w:t>
      </w:r>
      <w:bookmarkEnd w:id="412"/>
    </w:p>
    <w:p>
      <w:bookmarkStart w:name="b_punto_c3_cap_04_p02" w:id="413"/>
      <w:r>
        <w:t xml:space="preserve">El concepto implícito de triángulo funciona como filtro; Vanessa ve el grande y tres interiores, sumando cuatro.</w:t>
      </w:r>
      <w:bookmarkEnd w:id="413"/>
    </w:p>
    <w:p>
      <w:bookmarkStart w:name="b_punto_c3_cap_04_p03" w:id="414"/>
      <w:r>
        <w:t xml:space="preserve">Gustavo responde cero al exigir contornos completos; el portal separa esa figura Kanizsa de su adaptación enumerable de trece triángulos.</w:t>
      </w:r>
      <w:bookmarkEnd w:id="414"/>
    </w:p>
    <w:p>
      <w:bookmarkStart w:name="b_punto_c3_cap_04_p04" w:id="415"/>
      <w:r>
        <w:t xml:space="preserve">Tres lados iguales es el criterio de un equilátero; un triángulo general es un polígono cerrado de tres segmentos y vértices no colineales. Comprender un filtro no valida automáticamente un conteo.</w:t>
      </w:r>
      <w:bookmarkEnd w:id="415"/>
    </w:p>
    <w:p>
      <w:bookmarkStart w:name="b_punto_c3_cap_04_p05" w:id="416"/>
      <w:r>
        <w:t xml:space="preserve">La clase sí incluye la respuesta seis. El widget distingue esa respuesta oral de las cifras para las que su tabla ofrece una lectura editorial.</w:t>
      </w:r>
      <w:bookmarkEnd w:id="416"/>
    </w:p>
    <w:p>
      <w:bookmarkStart w:name="b_punto_c3_cap_04_p06" w:id="417"/>
      <w:r>
        <w:t xml:space="preserve">Suponer que una figura tapa líneas o completar pequeños triángulos muestra construcción y distorsión; la definición formal usada al final exige contornos enteros.</w:t>
      </w:r>
      <w:bookmarkEnd w:id="417"/>
    </w:p>
    <w:p>
      <w:bookmarkStart w:name="b_punto_c3_cap_04_p07" w:id="418"/>
      <w:r>
        <w:t xml:space="preserve">El objetivo declarado no es premiar un número, sino observar las operaciones mentales y reconstruir el filtro utilizado.</w:t>
      </w:r>
      <w:bookmarkEnd w:id="418"/>
    </w:p>
    <w:p>
      <w:bookmarkStart w:name="b_punto_c3_cap_04_p08" w:id="419"/>
      <w:r>
        <w:t xml:space="preserve">El ejercicio de triángulos comienza en Clase 3 · 00:43:38; la fuente de su racimo usa el tramo correspondiente.</w:t>
      </w:r>
      <w:bookmarkEnd w:id="419"/>
    </w:p>
    <w:p>
      <w:pPr>
        <w:pStyle w:val="Heading3"/>
      </w:pPr>
      <w:bookmarkStart w:name="b_clase_1_2_c3_cap_05" w:id="420"/>
      <w:r>
        <w:t xml:space="preserve">Clase 3 · 00:51:58–01:01:23 · El gorila invisible: la atención como filtro</w:t>
      </w:r>
      <w:bookmarkEnd w:id="420"/>
    </w:p>
    <w:p>
      <w:bookmarkStart w:name="b_punto_c3_cap_05_p01" w:id="421"/>
      <w:r>
        <w:t xml:space="preserve">El video Monkey Business pide contar pases del equipo blanco; se oyen 14, 15, 16 y 18 y el profesor identifica 16 como respuesta del video.</w:t>
      </w:r>
      <w:bookmarkEnd w:id="421"/>
    </w:p>
    <w:p>
      <w:bookmarkStart w:name="b_punto_c3_cap_05_p02" w:id="422"/>
      <w:r>
        <w:t xml:space="preserve">Atender al gorila puede hacer perder pases; es probable que quien se concentró en el conteo no lo viera. El foco de atención determina el filtro.</w:t>
      </w:r>
      <w:bookmarkEnd w:id="422"/>
    </w:p>
    <w:p>
      <w:bookmarkStart w:name="b_punto_c3_cap_05_p03" w:id="423"/>
      <w:r>
        <w:t xml:space="preserve">El automóvil rojo parece aparecer por todas partes cuando interesa comprarlo: cambia la atención, no la cantidad de automóviles.</w:t>
      </w:r>
      <w:bookmarkEnd w:id="423"/>
    </w:p>
    <w:p>
      <w:bookmarkStart w:name="b_punto_c3_cap_05_p04" w:id="424"/>
      <w:r>
        <w:t xml:space="preserve">La escalera es una analogía de la abstracción y no un diagnóstico moral; los filtros dejan información fuera y pueden producir conclusiones incompletas.</w:t>
      </w:r>
      <w:bookmarkEnd w:id="424"/>
    </w:p>
    <w:p>
      <w:pPr>
        <w:pStyle w:val="Heading3"/>
      </w:pPr>
      <w:bookmarkStart w:name="b_clase_1_2_c3_cap_06" w:id="425"/>
      <w:r>
        <w:t xml:space="preserve">Clase 3 · 01:01:27–01:09:27 · Los hábitos del pensador sistémico (Waters Foundation)</w:t>
      </w:r>
      <w:bookmarkEnd w:id="425"/>
    </w:p>
    <w:p>
      <w:bookmarkStart w:name="b_punto_c3_cap_06_p04" w:id="426"/>
      <w:r>
        <w:t xml:space="preserve">Las imágenes y la numeración cambian entre versiones, pero se mantienen los catorce hábitos; no hay un orden único obligatorio para estudiarlos.</w:t>
      </w:r>
      <w:bookmarkEnd w:id="426"/>
    </w:p>
    <w:p>
      <w:bookmarkStart w:name="b_punto_c3_cap_06_p06" w:id="427"/>
      <w:r>
        <w:t xml:space="preserve">La escalera no es una descripción literal de lo que ocurre en el cerebro: es un modelo creado para comprender la construcción de representaciones.</w:t>
      </w:r>
      <w:bookmarkEnd w:id="427"/>
    </w:p>
    <w:p>
      <w:pPr>
        <w:pStyle w:val="Fuente"/>
      </w:pPr>
      <w:r>
        <w:t xml:space="preserve">Véase </w:t>
      </w:r>
      <w:hyperlink w:history="1" w:anchor="b_senales_examen">
        <w:r>
          <w:rPr>
            <w:color w:val="156B70"/>
            <w:u w:val="single"/>
          </w:rPr>
          <w:t xml:space="preserve">1 indicación(es) de examen de este tramo, en el apéndice cronológico</w:t>
        </w:r>
      </w:hyperlink>
      <w:r>
        <w:t xml:space="preserve">, pág. </w:t>
      </w:r>
      <w:r>
        <w:fldChar w:fldCharType="begin"/>
        <w:instrText xml:space="preserve">PAGEREF b_senales_examen \h</w:instrText>
        <w:fldChar w:fldCharType="separate"/>
        <w:t xml:space="preserve">1663</w:t>
        <w:fldChar w:fldCharType="end"/>
      </w:r>
      <w:r>
        <w:t xml:space="preserve">.</w:t>
      </w:r>
    </w:p>
    <w:p>
      <w:pPr>
        <w:pStyle w:val="Fuente"/>
      </w:pPr>
      <w:r>
        <w:t xml:space="preserve">Véase </w:t>
      </w:r>
      <w:hyperlink w:history="1" w:anchor="b_2_9">
        <w:r>
          <w:rPr>
            <w:color w:val="156B70"/>
            <w:u w:val="single"/>
          </w:rPr>
          <w:t xml:space="preserve">capítulo 2.9 · Introducción a los hábitos</w:t>
        </w:r>
      </w:hyperlink>
      <w:r>
        <w:t xml:space="preserve">, pág. </w:t>
      </w:r>
      <w:r>
        <w:fldChar w:fldCharType="begin"/>
        <w:instrText xml:space="preserve">PAGEREF b_2_9 \h</w:instrText>
        <w:fldChar w:fldCharType="separate"/>
        <w:t xml:space="preserve">366</w:t>
        <w:fldChar w:fldCharType="end"/>
      </w:r>
      <w:r>
        <w:t xml:space="preserve">.</w:t>
      </w:r>
    </w:p>
    <w:p>
      <w:pPr>
        <w:pStyle w:val="Fuente"/>
      </w:pPr>
      <w:r>
        <w:t xml:space="preserve">Véase </w:t>
      </w:r>
      <w:hyperlink w:history="1" w:anchor="b_1_8">
        <w:r>
          <w:rPr>
            <w:color w:val="156B70"/>
            <w:u w:val="single"/>
          </w:rPr>
          <w:t xml:space="preserve">capítulo 1.8 · Hábitos del pensador</w:t>
        </w:r>
      </w:hyperlink>
      <w:r>
        <w:t xml:space="preserve">, pág. </w:t>
      </w:r>
      <w:r>
        <w:fldChar w:fldCharType="begin"/>
        <w:instrText xml:space="preserve">PAGEREF b_1_8 \h</w:instrText>
        <w:fldChar w:fldCharType="separate"/>
        <w:t xml:space="preserve">194</w:t>
        <w:fldChar w:fldCharType="end"/>
      </w:r>
      <w:r>
        <w:t xml:space="preserve">.</w:t>
      </w:r>
    </w:p>
    <w:p>
      <w:pPr>
        <w:pStyle w:val="Heading3"/>
      </w:pPr>
      <w:bookmarkStart w:name="b_clase_1_2_c3_cap_07" w:id="428"/>
      <w:r>
        <w:t xml:space="preserve">Clase 3 · 01:09:28–01:13:01 · Anatomía de la escalera: de los datos disponibles a la acción</w:t>
      </w:r>
      <w:bookmarkEnd w:id="428"/>
    </w:p>
    <w:p>
      <w:bookmarkStart w:name="b_punto_c3_cap_07_p01" w:id="429"/>
      <w:r>
        <w:t xml:space="preserve">La gráfica parte de datos disponibles y asciende por selección, traducción, explicación y decisiones; supuestos, valores y contextos están a la izquierda.</w:t>
      </w:r>
      <w:bookmarkEnd w:id="429"/>
    </w:p>
    <w:p>
      <w:bookmarkStart w:name="b_punto_c3_cap_07_p02" w:id="430"/>
      <w:r>
        <w:t xml:space="preserve">Las flechas desde los modelos previos a cada escalón muestran que la selección y la interpretación dependen de creencias y experiencia.</w:t>
      </w:r>
      <w:bookmarkEnd w:id="430"/>
    </w:p>
    <w:p>
      <w:bookmarkStart w:name="b_punto_c3_cap_07_p03" w:id="431"/>
      <w:r>
        <w:t xml:space="preserve">La flecha superior hacia los modelos previos representa la generalización que confirma, construye o amplía las creencias.</w:t>
      </w:r>
      <w:bookmarkEnd w:id="431"/>
    </w:p>
    <w:p>
      <w:bookmarkStart w:name="b_punto_c3_cap_07_p04" w:id="432"/>
      <w:r>
        <w:t xml:space="preserve">La acción cambia el mundo y provoca respuestas que generan otro escenario para un nuevo proceso de inferencia.</w:t>
      </w:r>
      <w:bookmarkEnd w:id="432"/>
    </w:p>
    <w:p>
      <w:bookmarkStart w:name="b_punto_c3_cap_07_p05" w:id="433"/>
      <w:r>
        <w:t xml:space="preserve">El video puede presentar más peldaños que las láminas; son variantes de detalle del mismo modelo inferencial.</w:t>
      </w:r>
      <w:bookmarkEnd w:id="433"/>
    </w:p>
    <w:p>
      <w:pPr>
        <w:pStyle w:val="Heading3"/>
      </w:pPr>
      <w:bookmarkStart w:name="b_clase_1_2_c3_cap_08" w:id="434"/>
      <w:r>
        <w:t xml:space="preserve">Clase 3 · 01:13:03–01:21:13 · Carlos y Pedro: la escalera en acción, sin conciencia</w:t>
      </w:r>
      <w:bookmarkEnd w:id="434"/>
    </w:p>
    <w:p>
      <w:bookmarkStart w:name="b_punto_c3_cap_08_p01" w:id="435"/>
      <w:r>
        <w:t xml:space="preserve">El caso contrapone dejar actuar automáticamente las inferencias y hacerse consciente de ellas para ponerlas a prueba.</w:t>
      </w:r>
      <w:bookmarkEnd w:id="435"/>
    </w:p>
    <w:p>
      <w:bookmarkStart w:name="b_punto_c3_cap_08_p02" w:id="436"/>
      <w:r>
        <w:t xml:space="preserve">Pedro llega recomendado para una gira de ventas; Carlos monopoliza media hora mientras Pedro escucha, toma notas y asiente sin preguntar.</w:t>
      </w:r>
      <w:bookmarkEnd w:id="436"/>
    </w:p>
    <w:p>
      <w:bookmarkStart w:name="b_punto_c3_cap_08_p03" w:id="437"/>
      <w:r>
        <w:t xml:space="preserve">A los diez minutos Carlos supone timidez y dificultad para adaptarse; todavía no dispone de una respuesta real de Pedro.</w:t>
      </w:r>
      <w:bookmarkEnd w:id="437"/>
    </w:p>
    <w:p>
      <w:bookmarkStart w:name="b_punto_c3_cap_08_p04" w:id="438"/>
      <w:r>
        <w:t xml:space="preserve">A los veinte minutos transforma el silencio en incapacidad para hablar o vender.</w:t>
      </w:r>
      <w:bookmarkEnd w:id="438"/>
    </w:p>
    <w:p>
      <w:bookmarkStart w:name="b_punto_c3_cap_08_p05" w:id="439"/>
      <w:r>
        <w:t xml:space="preserve">A los treinta minutos concluye falsedad e incompetencia y vuelve decepcionado; los juicios proceden de su expectativa de vendedor extrovertido.</w:t>
      </w:r>
      <w:bookmarkEnd w:id="439"/>
    </w:p>
    <w:p>
      <w:bookmarkStart w:name="b_punto_c3_cap_08_p06" w:id="440"/>
      <w:r>
        <w:t xml:space="preserve">Hacerse preguntas mentalmente no equivale a poner a prueba una creencia: en la primera versión ninguna obtiene respuesta de Pedro.</w:t>
      </w:r>
      <w:bookmarkEnd w:id="440"/>
    </w:p>
    <w:p>
      <w:bookmarkStart w:name="b_punto_c3_cap_08_p07" w:id="441"/>
      <w:r>
        <w:t xml:space="preserve">Carlos generaliza a toda una carrera a partir de una reunión de media hora y del supuesto de que un buen vendedor habla mucho.</w:t>
      </w:r>
      <w:bookmarkEnd w:id="441"/>
    </w:p>
    <w:p>
      <w:pPr>
        <w:pStyle w:val="Heading3"/>
      </w:pPr>
      <w:bookmarkStart w:name="b_clase_1_2_c3_cap_09" w:id="442"/>
      <w:r>
        <w:t xml:space="preserve">Clase 3 · 01:21:15–01:28:37 · Reflexiones y sugerencias para usar la escalera</w:t>
      </w:r>
      <w:bookmarkEnd w:id="442"/>
    </w:p>
    <w:p>
      <w:bookmarkStart w:name="b_punto_c3_cap_09_p01" w:id="443"/>
      <w:r>
        <w:t xml:space="preserve">Al subir de un salto, las conclusiones propias parecen obvias y las ajenas erróneas; se inventan explicaciones para descalificar al otro sin revisar cómo se infirió.</w:t>
      </w:r>
      <w:bookmarkEnd w:id="443"/>
    </w:p>
    <w:p>
      <w:bookmarkStart w:name="b_punto_c3_cap_09_p02" w:id="444"/>
      <w:r>
        <w:t xml:space="preserve">Conviene reconocer cada conclusión como inferencia y aceptar lagunas o errores del propio razonamiento; incluso el pensador sistémico no representa todo al 100 %.</w:t>
      </w:r>
      <w:bookmarkEnd w:id="444"/>
    </w:p>
    <w:p>
      <w:bookmarkStart w:name="b_punto_c3_cap_09_p03" w:id="445"/>
      <w:r>
        <w:t xml:space="preserve">La argumentación debe mostrar ejemplos, datos y supuestos que llevaron a la conclusión, no limitarse a afirmar el resultado final.</w:t>
      </w:r>
      <w:bookmarkEnd w:id="445"/>
    </w:p>
    <w:p>
      <w:bookmarkStart w:name="b_punto_c3_cap_09_p04" w:id="446"/>
      <w:r>
        <w:t xml:space="preserve">Verificar el significado escuchado y preguntar por datos y supuestos permite reconstruir la escalera ajena.</w:t>
      </w:r>
      <w:bookmarkEnd w:id="446"/>
    </w:p>
    <w:p>
      <w:bookmarkStart w:name="b_punto_c3_cap_09_p05" w:id="447"/>
      <w:r>
        <w:t xml:space="preserve">Discutir sólo conclusiones es insuficiente: comparar procesos e información puede revelar que un supuesto de la otra escalera no se sostiene.</w:t>
      </w:r>
      <w:bookmarkEnd w:id="447"/>
    </w:p>
    <w:p>
      <w:pPr>
        <w:pStyle w:val="Heading3"/>
      </w:pPr>
      <w:bookmarkStart w:name="b_clase_1_2_c3_cap_10" w:id="448"/>
      <w:r>
        <w:t xml:space="preserve">Clase 3 · 01:28:39–01:39:56 · El Carlos sistémico: el diálogo corregido y cierre</w:t>
      </w:r>
      <w:bookmarkEnd w:id="448"/>
    </w:p>
    <w:p>
      <w:bookmarkStart w:name="b_punto_c3_cap_10_p01" w:id="449"/>
      <w:r>
        <w:t xml:space="preserve">El Carlos sistémico detiene su monólogo a los diez minutos y pregunta qué piensa Pedro; obtiene la explicación de que lo escucha atentamente.</w:t>
      </w:r>
      <w:bookmarkEnd w:id="449"/>
    </w:p>
    <w:p>
      <w:bookmarkStart w:name="b_punto_c3_cap_10_p02" w:id="450"/>
      <w:r>
        <w:t xml:space="preserve">A los veinte minutos evita el juicio apresurado y verifica otra vez en lugar de confirmar automáticamente la idea de que sólo el vendedor agresivo tiene éxito.</w:t>
      </w:r>
      <w:bookmarkEnd w:id="450"/>
    </w:p>
    <w:p>
      <w:bookmarkStart w:name="b_punto_c3_cap_10_p03" w:id="451"/>
      <w:r>
        <w:t xml:space="preserve">Con contraparte se indaga; sin una persona que confirme, se recopilan datos del sistema o se realizan investigaciones y pruebas de hipótesis.</w:t>
      </w:r>
      <w:bookmarkEnd w:id="451"/>
    </w:p>
    <w:p>
      <w:bookmarkStart w:name="b_punto_c3_cap_10_p04" w:id="452"/>
      <w:r>
        <w:t xml:space="preserve">Carlos expone su propia escalera: cinco años en ventas, experiencia de vendedores extrovertidos y el supuesto de agresividad necesaria. La respuesta puede confirmar o ampliar el modelo.</w:t>
      </w:r>
      <w:bookmarkEnd w:id="452"/>
    </w:p>
    <w:p>
      <w:bookmarkStart w:name="b_punto_c3_cap_10_p05" w:id="453"/>
      <w:r>
        <w:t xml:space="preserve">Pedro relata la lección de su padre: escuchar permite comprender necesidades y ofrecer lo pertinente; ese elemento no estaba en el modelo de Carlos.</w:t>
      </w:r>
      <w:bookmarkEnd w:id="453"/>
    </w:p>
    <w:p>
      <w:bookmarkStart w:name="b_punto_c3_cap_10_p06" w:id="454"/>
      <w:r>
        <w:t xml:space="preserve">Abrir espacio de participación descubre el choque de paradigmas; la versión inconsciente pedía no trabajar con Pedro, mientras la sistémica obtiene nueva información.</w:t>
      </w:r>
      <w:bookmarkEnd w:id="454"/>
    </w:p>
    <w:p>
      <w:bookmarkStart w:name="b_punto_c3_cap_10_p07" w:id="455"/>
      <w:r>
        <w:t xml:space="preserve">La lección del caso es validar suposiciones, no aprender una técnica universal de ventas; deben reconocerse las limitaciones de modelos propios y aprendidos de otros.</w:t>
      </w:r>
      <w:bookmarkEnd w:id="455"/>
    </w:p>
    <w:p>
      <w:pPr>
        <w:pStyle w:val="Fuente"/>
      </w:pPr>
      <w:r>
        <w:t xml:space="preserve">Véase </w:t>
      </w:r>
      <w:hyperlink w:history="1" w:anchor="b_senales_examen">
        <w:r>
          <w:rPr>
            <w:color w:val="156B70"/>
            <w:u w:val="single"/>
          </w:rPr>
          <w:t xml:space="preserve">1 indicación(es) de examen de este tramo, en el apéndice cronológico</w:t>
        </w:r>
      </w:hyperlink>
      <w:r>
        <w:t xml:space="preserve">, pág. </w:t>
      </w:r>
      <w:r>
        <w:fldChar w:fldCharType="begin"/>
        <w:instrText xml:space="preserve">PAGEREF b_senales_examen \h</w:instrText>
        <w:fldChar w:fldCharType="separate"/>
        <w:t xml:space="preserve">1663</w:t>
        <w:fldChar w:fldCharType="end"/>
      </w:r>
      <w:r>
        <w:t xml:space="preserve">.</w:t>
      </w:r>
    </w:p>
    <w:p>
      <w:pPr>
        <w:pStyle w:val="Heading3"/>
      </w:pPr>
      <w:bookmarkStart w:name="b_clase_1_2_c4_cap_01" w:id="456"/>
      <w:r>
        <w:t xml:space="preserve">Clase 4 · 00:00:21–00:06:41 · Repaso: los cuatro hábitos ligados a los modelos mentales</w:t>
      </w:r>
      <w:bookmarkEnd w:id="456"/>
    </w:p>
    <w:p>
      <w:bookmarkStart w:name="b_punto_c4_cap_01_p04" w:id="457"/>
      <w:r>
        <w:t xml:space="preserve">Reconocer y probar suposiciones hace consciente el proceso inferencial: seleccionar información, añadir supuestos y llegar a conclusiones que fundamentan acciones; la escalera es su modelo.</w:t>
      </w:r>
      <w:bookmarkEnd w:id="457"/>
    </w:p>
    <w:p>
      <w:bookmarkStart w:name="b_punto_c4_cap_01_p06" w:id="458"/>
      <w:r>
        <w:t xml:space="preserve">La indagación a otros pone a prueba el proceso; Carlos y Pedro muestran cómo las preguntas hacen visible la escalera ajena.</w:t>
      </w:r>
      <w:bookmarkEnd w:id="458"/>
    </w:p>
    <w:p>
      <w:bookmarkStart w:name="b_punto_c4_cap_01_p07" w:id="459"/>
      <w:r>
        <w:t xml:space="preserve">Conclusiones y acciones pueden reforzar, ampliar o enriquecer creencias anteriores; la escalera incluye retorno al modelo mental.</w:t>
      </w:r>
      <w:bookmarkEnd w:id="459"/>
    </w:p>
    <w:p>
      <w:pPr>
        <w:pStyle w:val="Fuente"/>
      </w:pPr>
      <w:r>
        <w:t xml:space="preserve">Véase </w:t>
      </w:r>
      <w:hyperlink w:history="1" w:anchor="b_1_1">
        <w:r>
          <w:rPr>
            <w:color w:val="156B70"/>
            <w:u w:val="single"/>
          </w:rPr>
          <w:t xml:space="preserve">capítulo 1.1 · Paradigmas y modelos mentales</w:t>
        </w:r>
      </w:hyperlink>
      <w:r>
        <w:t xml:space="preserve">, pág. </w:t>
      </w:r>
      <w:r>
        <w:fldChar w:fldCharType="begin"/>
        <w:instrText xml:space="preserve">PAGEREF b_1_1 \h</w:instrText>
        <w:fldChar w:fldCharType="separate"/>
        <w:t xml:space="preserve">19</w:t>
        <w:fldChar w:fldCharType="end"/>
      </w:r>
      <w:r>
        <w:t xml:space="preserve">.</w:t>
      </w:r>
    </w:p>
    <w:p>
      <w:pPr>
        <w:pStyle w:val="Fuente"/>
      </w:pPr>
      <w:r>
        <w:t xml:space="preserve">Véase </w:t>
      </w:r>
      <w:hyperlink w:history="1" w:anchor="b_1_8">
        <w:r>
          <w:rPr>
            <w:color w:val="156B70"/>
            <w:u w:val="single"/>
          </w:rPr>
          <w:t xml:space="preserve">capítulo 1.8 · Hábitos del pensador</w:t>
        </w:r>
      </w:hyperlink>
      <w:r>
        <w:t xml:space="preserve">, pág. </w:t>
      </w:r>
      <w:r>
        <w:fldChar w:fldCharType="begin"/>
        <w:instrText xml:space="preserve">PAGEREF b_1_8 \h</w:instrText>
        <w:fldChar w:fldCharType="separate"/>
        <w:t xml:space="preserve">194</w:t>
        <w:fldChar w:fldCharType="end"/>
      </w:r>
      <w:r>
        <w:t xml:space="preserve">.</w:t>
      </w:r>
    </w:p>
    <w:p>
      <w:pPr>
        <w:pStyle w:val="Heading3"/>
      </w:pPr>
      <w:bookmarkStart w:name="b_clase_1_2_c4_cap_02" w:id="460"/>
      <w:r>
        <w:t xml:space="preserve">Clase 4 · 00:06:41–00:20:06 · El segundo hábito y el iceberg: el agua y el nivel de los eventos</w:t>
      </w:r>
      <w:bookmarkEnd w:id="460"/>
    </w:p>
    <w:p>
      <w:bookmarkStart w:name="b_punto_c4_cap_02_p04" w:id="461"/>
      <w:r>
        <w:t xml:space="preserve">La escalera representa el ascenso inferencial de lo concreto hacia lo abstracto; sus peldaños son una analogía del proceso.</w:t>
      </w:r>
      <w:bookmarkEnd w:id="461"/>
    </w:p>
    <w:p>
      <w:pPr>
        <w:pStyle w:val="Fuente"/>
      </w:pPr>
      <w:r>
        <w:t xml:space="preserve">Véase </w:t>
      </w:r>
      <w:hyperlink w:history="1" w:anchor="b_1_8">
        <w:r>
          <w:rPr>
            <w:color w:val="156B70"/>
            <w:u w:val="single"/>
          </w:rPr>
          <w:t xml:space="preserve">capítulo 1.8 · Hábitos del pensador</w:t>
        </w:r>
      </w:hyperlink>
      <w:r>
        <w:t xml:space="preserve">, pág. </w:t>
      </w:r>
      <w:r>
        <w:fldChar w:fldCharType="begin"/>
        <w:instrText xml:space="preserve">PAGEREF b_1_8 \h</w:instrText>
        <w:fldChar w:fldCharType="separate"/>
        <w:t xml:space="preserve">194</w:t>
        <w:fldChar w:fldCharType="end"/>
      </w:r>
      <w:r>
        <w:t xml:space="preserve">.</w:t>
      </w:r>
    </w:p>
    <w:p>
      <w:pPr>
        <w:pStyle w:val="Fuente"/>
      </w:pPr>
      <w:r>
        <w:t xml:space="preserve">Véase </w:t>
      </w:r>
      <w:hyperlink w:history="1" w:anchor="b_1_7">
        <w:r>
          <w:rPr>
            <w:color w:val="156B70"/>
            <w:u w:val="single"/>
          </w:rPr>
          <w:t xml:space="preserve">capítulo 1.7 · Niveles — modelo del iceberg</w:t>
        </w:r>
      </w:hyperlink>
      <w:r>
        <w:t xml:space="preserve">, pág. </w:t>
      </w:r>
      <w:r>
        <w:fldChar w:fldCharType="begin"/>
        <w:instrText xml:space="preserve">PAGEREF b_1_7 \h</w:instrText>
        <w:fldChar w:fldCharType="separate"/>
        <w:t xml:space="preserve">175</w:t>
        <w:fldChar w:fldCharType="end"/>
      </w:r>
      <w:r>
        <w:t xml:space="preserve">.</w:t>
      </w:r>
    </w:p>
    <w:p>
      <w:pPr>
        <w:pStyle w:val="Heading3"/>
      </w:pPr>
      <w:bookmarkStart w:name="b_clase_1_2_c4_cap_06" w:id="462"/>
      <w:r>
        <w:t xml:space="preserve">Clase 4 · 00:46:03–00:55:27 · La tarea de los cuatro niveles, el quinto nivel y las preguntas por nivel</w:t>
      </w:r>
      <w:bookmarkEnd w:id="462"/>
    </w:p>
    <w:p>
      <w:bookmarkStart w:name="b_punto_c4_cap_06_p04" w:id="463"/>
      <w:r>
        <w:t xml:space="preserve">La indagación sirve en todos los niveles; el tipo de pregunta cambia con la profundidad investigada.</w:t>
      </w:r>
      <w:bookmarkEnd w:id="463"/>
    </w:p>
    <w:p>
      <w:bookmarkStart w:name="b_punto_c4_cap_06_p08" w:id="464"/>
      <w:r>
        <w:t xml:space="preserve">La tabla proyectada está íntegra en InvestigacionPorNivel: eventos cuantitativos, patrones cuantitativos/cualitativos y estructura cualitativa; la cuarta fila dialógica se rotula como extensión. El audio recorre preguntas sin dictar esas etiquetas. Reutilizar el componente en 1.7.</w:t>
      </w:r>
      <w:bookmarkEnd w:id="464"/>
    </w:p>
    <w:p>
      <w:pPr>
        <w:pStyle w:val="Fuente"/>
      </w:pPr>
      <w:r>
        <w:t xml:space="preserve">Véase </w:t>
      </w:r>
      <w:hyperlink w:history="1" w:anchor="b_senales_examen">
        <w:r>
          <w:rPr>
            <w:color w:val="156B70"/>
            <w:u w:val="single"/>
          </w:rPr>
          <w:t xml:space="preserve">1 indicación(es) de examen de este tramo, en el apéndice cronológico</w:t>
        </w:r>
      </w:hyperlink>
      <w:r>
        <w:t xml:space="preserve">, pág. </w:t>
      </w:r>
      <w:r>
        <w:fldChar w:fldCharType="begin"/>
        <w:instrText xml:space="preserve">PAGEREF b_senales_examen \h</w:instrText>
        <w:fldChar w:fldCharType="separate"/>
        <w:t xml:space="preserve">1663</w:t>
        <w:fldChar w:fldCharType="end"/>
      </w:r>
      <w:r>
        <w:t xml:space="preserve">.</w:t>
      </w:r>
    </w:p>
    <w:p>
      <w:pPr>
        <w:pStyle w:val="Fuente"/>
      </w:pPr>
      <w:r>
        <w:t xml:space="preserve">Véase </w:t>
      </w:r>
      <w:hyperlink w:history="1" w:anchor="b_1_7">
        <w:r>
          <w:rPr>
            <w:color w:val="156B70"/>
            <w:u w:val="single"/>
          </w:rPr>
          <w:t xml:space="preserve">capítulo 1.7 · Niveles — modelo del iceberg</w:t>
        </w:r>
      </w:hyperlink>
      <w:r>
        <w:t xml:space="preserve">, pág. </w:t>
      </w:r>
      <w:r>
        <w:fldChar w:fldCharType="begin"/>
        <w:instrText xml:space="preserve">PAGEREF b_1_7 \h</w:instrText>
        <w:fldChar w:fldCharType="separate"/>
        <w:t xml:space="preserve">175</w:t>
        <w:fldChar w:fldCharType="end"/>
      </w:r>
      <w:r>
        <w:t xml:space="preserve">.</w:t>
      </w:r>
    </w:p>
    <w:p>
      <w:pPr>
        <w:pStyle w:val="Fuente"/>
      </w:pPr>
      <w:r>
        <w:t xml:space="preserve">Véase </w:t>
      </w:r>
      <w:hyperlink w:history="1" w:anchor="b_1_8">
        <w:r>
          <w:rPr>
            <w:color w:val="156B70"/>
            <w:u w:val="single"/>
          </w:rPr>
          <w:t xml:space="preserve">capítulo 1.8 · Hábitos del pensador</w:t>
        </w:r>
      </w:hyperlink>
      <w:r>
        <w:t xml:space="preserve">, pág. </w:t>
      </w:r>
      <w:r>
        <w:fldChar w:fldCharType="begin"/>
        <w:instrText xml:space="preserve">PAGEREF b_1_8 \h</w:instrText>
        <w:fldChar w:fldCharType="separate"/>
        <w:t xml:space="preserve">194</w:t>
        <w:fldChar w:fldCharType="end"/>
      </w:r>
      <w:r>
        <w:t xml:space="preserve">.</w:t>
      </w:r>
    </w:p>
    <w:p>
      <w:pPr>
        <w:pStyle w:val="Heading3"/>
      </w:pPr>
      <w:bookmarkStart w:name="b_clase_1_2_c5_cap_03" w:id="465"/>
      <w:r>
        <w:t xml:space="preserve">Clase 5 · 00:11:21–00:20:03 · Elena y Tom: tres perspectivas sobre un informe</w:t>
      </w:r>
      <w:bookmarkEnd w:id="465"/>
    </w:p>
    <w:p>
      <w:bookmarkStart w:name="b_punto_c5_cap_03_p02" w:id="466"/>
      <w:r>
        <w:t xml:space="preserve">El mismo informe genera expectativas opuestas: compradores esperan reparaciones a cargo de la venta; la vendedora interpreta que los detalles menores corresponden a los compradores.</w:t>
      </w:r>
      <w:bookmarkEnd w:id="466"/>
    </w:p>
    <w:p>
      <w:bookmarkStart w:name="b_punto_c5_cap_03_p06" w:id="467"/>
      <w:r>
        <w:t xml:space="preserve">La habilidad sirve también para comprender fenómenos que no requieren negociación; su finalidad general es ampliar la representación.</w:t>
      </w:r>
      <w:bookmarkEnd w:id="467"/>
    </w:p>
    <w:p>
      <w:pPr>
        <w:pStyle w:val="Fuente"/>
      </w:pPr>
      <w:r>
        <w:t xml:space="preserve">Véase </w:t>
      </w:r>
      <w:hyperlink w:history="1" w:anchor="b_1_5">
        <w:r>
          <w:rPr>
            <w:color w:val="156B70"/>
            <w:u w:val="single"/>
          </w:rPr>
          <w:t xml:space="preserve">capítulo 1.5 · Perspectivas</w:t>
        </w:r>
      </w:hyperlink>
      <w:r>
        <w:t xml:space="preserve">, pág. </w:t>
      </w:r>
      <w:r>
        <w:fldChar w:fldCharType="begin"/>
        <w:instrText xml:space="preserve">PAGEREF b_1_5 \h</w:instrText>
        <w:fldChar w:fldCharType="separate"/>
        <w:t xml:space="preserve">125</w:t>
        <w:fldChar w:fldCharType="end"/>
      </w:r>
      <w:r>
        <w:t xml:space="preserve">.</w:t>
      </w:r>
    </w:p>
    <w:p>
      <w:pPr>
        <w:pStyle w:val="Heading3"/>
      </w:pPr>
      <w:bookmarkStart w:name="b_clase_1_2_c5_cap_04" w:id="468"/>
      <w:r>
        <w:t xml:space="preserve">Clase 5 · 00:20:03–00:28:30 · El diálogo, una disciplina y no un debate</w:t>
      </w:r>
      <w:bookmarkEnd w:id="468"/>
    </w:p>
    <w:p>
      <w:bookmarkStart w:name="b_punto_c5_cap_04_p01" w:id="469"/>
      <w:r>
        <w:t xml:space="preserve">El diálogo es una disciplina de comunicación abierta para practicar perspectivas; se distingue de discurso, debate o charla y exige apertura empática. ReglasDelDialogo puede reutilizarse en 1.5.</w:t>
      </w:r>
      <w:bookmarkEnd w:id="469"/>
    </w:p>
    <w:p>
      <w:bookmarkStart w:name="b_punto_c5_cap_04_p03" w:id="470"/>
      <w:r>
        <w:t xml:space="preserve">La práctica frecuente desarrolla la consideración de múltiples perspectivas; puede haber diálogo entre varias personas e incluso interno si se mantiene ese espíritu.</w:t>
      </w:r>
      <w:bookmarkEnd w:id="470"/>
    </w:p>
    <w:p>
      <w:bookmarkStart w:name="b_punto_c5_cap_04_p04" w:id="471"/>
      <w:r>
        <w:t xml:space="preserve">Los supuestos de FCMD incluyen interacción directa, participación voluntaria e igual oportunidad y la premisa de verdad repartida entre perspectivas.</w:t>
      </w:r>
      <w:bookmarkEnd w:id="471"/>
    </w:p>
    <w:p>
      <w:bookmarkStart w:name="b_punto_c5_cap_04_p05" w:id="472"/>
      <w:r>
        <w:t xml:space="preserve">Escuchar a todos importa porque cada persona filtra y puede aportar variables, datos o razonamientos que las demás no consideraron.</w:t>
      </w:r>
      <w:bookmarkEnd w:id="472"/>
    </w:p>
    <w:p>
      <w:pPr>
        <w:pStyle w:val="Fuente"/>
      </w:pPr>
      <w:r>
        <w:t xml:space="preserve">Véase </w:t>
      </w:r>
      <w:hyperlink w:history="1" w:anchor="b_1_5">
        <w:r>
          <w:rPr>
            <w:color w:val="156B70"/>
            <w:u w:val="single"/>
          </w:rPr>
          <w:t xml:space="preserve">capítulo 1.5 · Perspectivas</w:t>
        </w:r>
      </w:hyperlink>
      <w:r>
        <w:t xml:space="preserve">, pág. </w:t>
      </w:r>
      <w:r>
        <w:fldChar w:fldCharType="begin"/>
        <w:instrText xml:space="preserve">PAGEREF b_1_5 \h</w:instrText>
        <w:fldChar w:fldCharType="separate"/>
        <w:t xml:space="preserve">125</w:t>
        <w:fldChar w:fldCharType="end"/>
      </w:r>
      <w:r>
        <w:t xml:space="preserve">.</w:t>
      </w:r>
    </w:p>
    <w:p>
      <w:pPr>
        <w:pStyle w:val="Heading3"/>
      </w:pPr>
      <w:bookmarkStart w:name="b_clase_1_2_c5_cap_09" w:id="473"/>
      <w:r>
        <w:t xml:space="preserve">Clase 5 · 00:58:15–01:08:30 · Síntesis de los sistemas abstractos y una pregunta a la clase</w:t>
      </w:r>
      <w:bookmarkEnd w:id="473"/>
    </w:p>
    <w:p>
      <w:bookmarkStart w:name="b_punto_c5_cap_09_p02" w:id="474"/>
      <w:r>
        <w:t xml:space="preserve">Las cuatro operaciones mentales habituales no necesariamente desaparecen: se complementan con operaciones sistémicas que atienden sus vacíos.</w:t>
      </w:r>
      <w:bookmarkEnd w:id="474"/>
    </w:p>
    <w:p>
      <w:pPr>
        <w:pStyle w:val="Fuente"/>
      </w:pPr>
      <w:r>
        <w:t xml:space="preserve">Véase </w:t>
      </w:r>
      <w:hyperlink w:history="1" w:anchor="b_1_1">
        <w:r>
          <w:rPr>
            <w:color w:val="156B70"/>
            <w:u w:val="single"/>
          </w:rPr>
          <w:t xml:space="preserve">capítulo 1.1 · Paradigmas y modelos mentales</w:t>
        </w:r>
      </w:hyperlink>
      <w:r>
        <w:t xml:space="preserve">, pág. </w:t>
      </w:r>
      <w:r>
        <w:fldChar w:fldCharType="begin"/>
        <w:instrText xml:space="preserve">PAGEREF b_1_1 \h</w:instrText>
        <w:fldChar w:fldCharType="separate"/>
        <w:t xml:space="preserve">19</w:t>
        <w:fldChar w:fldCharType="end"/>
      </w:r>
      <w:r>
        <w:t xml:space="preserve">.</w:t>
      </w:r>
    </w:p>
    <w:p>
      <w:pPr>
        <w:pStyle w:val="Fuente"/>
      </w:pPr>
      <w:r>
        <w:t xml:space="preserve">Véase </w:t>
      </w:r>
      <w:hyperlink w:history="1" w:anchor="b_1_8">
        <w:r>
          <w:rPr>
            <w:color w:val="156B70"/>
            <w:u w:val="single"/>
          </w:rPr>
          <w:t xml:space="preserve">capítulo 1.8 · Hábitos del pensador</w:t>
        </w:r>
      </w:hyperlink>
      <w:r>
        <w:t xml:space="preserve">, pág. </w:t>
      </w:r>
      <w:r>
        <w:fldChar w:fldCharType="begin"/>
        <w:instrText xml:space="preserve">PAGEREF b_1_8 \h</w:instrText>
        <w:fldChar w:fldCharType="separate"/>
        <w:t xml:space="preserve">194</w:t>
        <w:fldChar w:fldCharType="end"/>
      </w:r>
      <w:r>
        <w:t xml:space="preserve">.</w:t>
      </w:r>
    </w:p>
    <w:p>
      <w:pPr>
        <w:pStyle w:val="Heading3"/>
      </w:pPr>
      <w:bookmarkStart w:name="b_clase_1_2_c5_cap_10" w:id="475"/>
      <w:r>
        <w:t xml:space="preserve">Clase 5 · 01:08:30–01:21:35 · Aprender, desaprender y cierre de la unidad 1</w:t>
      </w:r>
      <w:bookmarkEnd w:id="475"/>
    </w:p>
    <w:p>
      <w:bookmarkStart w:name="b_punto_c5_cap_10_p08" w:id="476"/>
      <w:r>
        <w:t xml:space="preserve">Las tres prácticas se encuadran a 01:16:07; reflexión empieza 01:16:17, indagación 01:16:33 y argumentación 01:16:49, con transmitir a 01:17:08.</w:t>
      </w:r>
      <w:bookmarkEnd w:id="476"/>
    </w:p>
    <w:p>
      <w:pPr>
        <w:pStyle w:val="Fuente"/>
      </w:pPr>
      <w:r>
        <w:t xml:space="preserve">Véase </w:t>
      </w:r>
      <w:hyperlink w:history="1" w:anchor="b_senales_examen">
        <w:r>
          <w:rPr>
            <w:color w:val="156B70"/>
            <w:u w:val="single"/>
          </w:rPr>
          <w:t xml:space="preserve">1 indicación(es) de examen de este tramo, en el apéndice cronológico</w:t>
        </w:r>
      </w:hyperlink>
      <w:r>
        <w:t xml:space="preserve">, pág. </w:t>
      </w:r>
      <w:r>
        <w:fldChar w:fldCharType="begin"/>
        <w:instrText xml:space="preserve">PAGEREF b_senales_examen \h</w:instrText>
        <w:fldChar w:fldCharType="separate"/>
        <w:t xml:space="preserve">1663</w:t>
        <w:fldChar w:fldCharType="end"/>
      </w:r>
      <w:r>
        <w:t xml:space="preserve">.</w:t>
      </w:r>
    </w:p>
    <w:p>
      <w:pPr>
        <w:pStyle w:val="Fuente"/>
      </w:pPr>
      <w:r>
        <w:t xml:space="preserve">Véase </w:t>
      </w:r>
      <w:hyperlink w:history="1" w:anchor="b_1_4">
        <w:r>
          <w:rPr>
            <w:color w:val="156B70"/>
            <w:u w:val="single"/>
          </w:rPr>
          <w:t xml:space="preserve">capítulo 1.4 · Sistémico vs no sistémico</w:t>
        </w:r>
      </w:hyperlink>
      <w:r>
        <w:t xml:space="preserve">, pág. </w:t>
      </w:r>
      <w:r>
        <w:fldChar w:fldCharType="begin"/>
        <w:instrText xml:space="preserve">PAGEREF b_1_4 \h</w:instrText>
        <w:fldChar w:fldCharType="separate"/>
        <w:t xml:space="preserve">104</w:t>
        <w:fldChar w:fldCharType="end"/>
      </w:r>
      <w:r>
        <w:t xml:space="preserve">.</w:t>
      </w:r>
    </w:p>
    <w:p>
      <w:pPr>
        <w:pStyle w:val="Fuente"/>
      </w:pPr>
      <w:r>
        <w:t xml:space="preserve">Véase </w:t>
      </w:r>
      <w:hyperlink w:history="1" w:anchor="b_1_1">
        <w:r>
          <w:rPr>
            <w:color w:val="156B70"/>
            <w:u w:val="single"/>
          </w:rPr>
          <w:t xml:space="preserve">capítulo 1.1 · Paradigmas y modelos mentales</w:t>
        </w:r>
      </w:hyperlink>
      <w:r>
        <w:t xml:space="preserve">, pág. </w:t>
      </w:r>
      <w:r>
        <w:fldChar w:fldCharType="begin"/>
        <w:instrText xml:space="preserve">PAGEREF b_1_1 \h</w:instrText>
        <w:fldChar w:fldCharType="separate"/>
        <w:t xml:space="preserve">19</w:t>
        <w:fldChar w:fldCharType="end"/>
      </w:r>
      <w:r>
        <w:t xml:space="preserve">.</w:t>
      </w:r>
    </w:p>
    <w:p>
      <w:pPr>
        <w:pStyle w:val="Fuente"/>
      </w:pPr>
      <w:r>
        <w:t xml:space="preserve">Véase </w:t>
      </w:r>
      <w:hyperlink w:history="1" w:anchor="b_1_5">
        <w:r>
          <w:rPr>
            <w:color w:val="156B70"/>
            <w:u w:val="single"/>
          </w:rPr>
          <w:t xml:space="preserve">capítulo 1.5 · Perspectivas</w:t>
        </w:r>
      </w:hyperlink>
      <w:r>
        <w:t xml:space="preserve">, pág. </w:t>
      </w:r>
      <w:r>
        <w:fldChar w:fldCharType="begin"/>
        <w:instrText xml:space="preserve">PAGEREF b_1_5 \h</w:instrText>
        <w:fldChar w:fldCharType="separate"/>
        <w:t xml:space="preserve">125</w:t>
        <w:fldChar w:fldCharType="end"/>
      </w:r>
      <w:r>
        <w:t xml:space="preserve">.</w:t>
      </w:r>
    </w:p>
    <w:p>
      <w:pPr>
        <w:pStyle w:val="Heading3"/>
      </w:pPr>
      <w:bookmarkStart w:name="b_cita_clase_3_nuestras_conclus_2b206c4e" w:id="477"/>
      <w:r>
        <w:t xml:space="preserve">Palabras del profesor</w:t>
      </w:r>
      <w:bookmarkEnd w:id="477"/>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El profesor lo dijo así</w:t>
            </w:r>
          </w:p>
          <w:p>
            <w:pPr>
              <w:pStyle w:val="Recuadro"/>
            </w:pPr>
            <w:r>
              <w:t xml:space="preserve">«Nuestras conclusiones nos parecen obvias, obviamente correctas, y saltamos esos escalones que nos da la analogía de las inferencias de una manera automática, sin que seamos conscientes.»</w:t>
            </w:r>
          </w:p>
          <w:p>
            <w:pPr>
              <w:pStyle w:val="Recuadro"/>
            </w:pPr>
            <w:r>
              <w:t xml:space="preserve">Clase 3 · 01:21:42–01:22:05</w:t>
            </w:r>
          </w:p>
        </w:tc>
      </w:tr>
    </w:tbl>
    <w:p>
      <w:pPr>
        <w:pStyle w:val="Heading3"/>
      </w:pPr>
      <w:bookmarkStart w:name="b_cita_clase_3_discutir_a_nivel_a96c9493" w:id="478"/>
      <w:r>
        <w:t xml:space="preserve">Palabras del profesor</w:t>
      </w:r>
      <w:bookmarkEnd w:id="478"/>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El profesor lo dijo así</w:t>
            </w:r>
          </w:p>
          <w:p>
            <w:pPr>
              <w:pStyle w:val="Recuadro"/>
            </w:pPr>
            <w:r>
              <w:t xml:space="preserve">«Discutir a nivel de las conclusiones, cuando estamos en un proceso de interacción con otras personas sobre algún tema, es insuficiente.»</w:t>
            </w:r>
          </w:p>
          <w:p>
            <w:pPr>
              <w:pStyle w:val="Recuadro"/>
            </w:pPr>
            <w:r>
              <w:t xml:space="preserve">Clase 3 · 01:27:03–01:27:19</w:t>
            </w:r>
          </w:p>
        </w:tc>
      </w:tr>
    </w:tbl>
    <w:p>
      <w:pPr>
        <w:pStyle w:val="Heading3"/>
      </w:pPr>
      <w:bookmarkStart w:name="b_cita_clase_3_la_manera_de_ver_e2469e01" w:id="479"/>
      <w:r>
        <w:t xml:space="preserve">Palabras del profesor</w:t>
      </w:r>
      <w:bookmarkEnd w:id="479"/>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El profesor lo dijo así</w:t>
            </w:r>
          </w:p>
          <w:p>
            <w:pPr>
              <w:pStyle w:val="Recuadro"/>
            </w:pPr>
            <w:r>
              <w:t xml:space="preserve">«La manera de verificar es: si tengo la otra contraparte que puede darme más información, pues pregunto.»</w:t>
            </w:r>
          </w:p>
          <w:p>
            <w:pPr>
              <w:pStyle w:val="Recuadro"/>
            </w:pPr>
            <w:r>
              <w:t xml:space="preserve">Clase 3 · 01:30:53–01:31:05</w:t>
            </w:r>
          </w:p>
        </w:tc>
      </w:tr>
    </w:tbl>
    <w:p>
      <w:pPr>
        <w:pStyle w:val="Heading3"/>
      </w:pPr>
      <w:bookmarkStart w:name="b_cita_clase_3_donde_ponen_su_a_4264700a" w:id="480"/>
      <w:r>
        <w:t xml:space="preserve">Palabras del profesor</w:t>
      </w:r>
      <w:bookmarkEnd w:id="480"/>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El profesor lo dijo así</w:t>
            </w:r>
          </w:p>
          <w:p>
            <w:pPr>
              <w:pStyle w:val="Recuadro"/>
            </w:pPr>
            <w:r>
              <w:t xml:space="preserve">«Recuérdense: donde enfocan, donde ponen su atención, es donde están filtrando la información.»</w:t>
            </w:r>
          </w:p>
          <w:p>
            <w:pPr>
              <w:pStyle w:val="Recuadro"/>
            </w:pPr>
            <w:r>
              <w:t xml:space="preserve">Clase 3 · 00:55:31–00:55:42</w:t>
            </w:r>
          </w:p>
        </w:tc>
      </w:tr>
    </w:tbl>
    <w:p>
      <w:pPr>
        <w:pStyle w:val="Heading3"/>
      </w:pPr>
      <w:bookmarkStart w:name="b_cita_clase_3_cuatro_operacion_42047afb" w:id="481"/>
      <w:r>
        <w:t xml:space="preserve">Palabras del profesor</w:t>
      </w:r>
      <w:bookmarkEnd w:id="481"/>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El profesor lo dijo así</w:t>
            </w:r>
          </w:p>
          <w:p>
            <w:pPr>
              <w:pStyle w:val="Recuadro"/>
            </w:pPr>
            <w:r>
              <w:t xml:space="preserve">«En el libro de Connor se denominan la operación de eliminación, de construcción, de distorsión y de generalización.»</w:t>
            </w:r>
          </w:p>
          <w:p>
            <w:pPr>
              <w:pStyle w:val="Recuadro"/>
            </w:pPr>
            <w:r>
              <w:t xml:space="preserve">Clase 3 · 00:21:57–00:22:12</w:t>
            </w:r>
          </w:p>
        </w:tc>
      </w:tr>
    </w:tbl>
    <w:p>
      <w:pPr>
        <w:pStyle w:val="Heading3"/>
      </w:pPr>
      <w:bookmarkStart w:name="b_cita_clase_3_una_historia_que_ce90536d" w:id="482"/>
      <w:r>
        <w:t xml:space="preserve">Palabras del profesor</w:t>
      </w:r>
      <w:bookmarkEnd w:id="482"/>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El profesor lo dijo así</w:t>
            </w:r>
          </w:p>
          <w:p>
            <w:pPr>
              <w:pStyle w:val="Recuadro"/>
            </w:pPr>
            <w:r>
              <w:t xml:space="preserve">«Tendemos a establecer un vínculo entre la causa probable y el posible efecto, construyendo una historia que queremos que sea verdad.»</w:t>
            </w:r>
          </w:p>
          <w:p>
            <w:pPr>
              <w:pStyle w:val="Recuadro"/>
            </w:pPr>
            <w:r>
              <w:t xml:space="preserve">Clase 3 · 00:33:26–00:33:36</w:t>
            </w:r>
          </w:p>
        </w:tc>
      </w:tr>
    </w:tbl>
    <w:p>
      <w:pPr>
        <w:pStyle w:val="Heading3"/>
      </w:pPr>
      <w:bookmarkStart w:name="b_cita_clase_3_la_generalizacio_5384a437" w:id="483"/>
      <w:r>
        <w:t xml:space="preserve">Palabras del profesor</w:t>
      </w:r>
      <w:bookmarkEnd w:id="483"/>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El profesor lo dijo así</w:t>
            </w:r>
          </w:p>
          <w:p>
            <w:pPr>
              <w:pStyle w:val="Recuadro"/>
            </w:pPr>
            <w:r>
              <w:t xml:space="preserve">«Nos va dejando grabado a un nivel de generalización reglas que muchas veces no necesariamente son ciertas, aunque la generalización lo aplica como cierto para toda realidad que sea semejante o parecida.»</w:t>
            </w:r>
          </w:p>
          <w:p>
            <w:pPr>
              <w:pStyle w:val="Recuadro"/>
            </w:pPr>
            <w:r>
              <w:t xml:space="preserve">Clase 3 · 00:39:29–00:39:57</w:t>
            </w:r>
          </w:p>
        </w:tc>
      </w:tr>
    </w:tbl>
    <w:p>
      <w:pPr>
        <w:pStyle w:val="Heading3"/>
      </w:pPr>
      <w:bookmarkStart w:name="b_cita_clase_5_cada_participaci_0bcce699" w:id="484"/>
      <w:r>
        <w:t xml:space="preserve">Palabras del profesor</w:t>
      </w:r>
      <w:bookmarkEnd w:id="484"/>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El profesor lo dijo así</w:t>
            </w:r>
          </w:p>
          <w:p>
            <w:pPr>
              <w:pStyle w:val="Recuadro"/>
            </w:pPr>
            <w:r>
              <w:t xml:space="preserve">«Regularmente cada participación no viene a ser más que una explicación de nuestra propia escalera de inferencias, de qué conclusiones y qué interpretaciones damos, a partir de qué datos lo damos.»</w:t>
            </w:r>
          </w:p>
          <w:p>
            <w:pPr>
              <w:pStyle w:val="Recuadro"/>
            </w:pPr>
            <w:r>
              <w:t xml:space="preserve">Clase 5 · 00:28:21–00:28:44</w:t>
            </w:r>
          </w:p>
        </w:tc>
      </w:tr>
    </w:tbl>
    <w:p>
      <w:pPr>
        <w:pStyle w:val="Heading3"/>
      </w:pPr>
      <w:r>
        <w:t xml:space="preserve">Errores frecuentes y trampa de examen</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9C620A" w:sz="20"/>
              <w:bottom w:val="nil"/>
              <w:right w:val="nil"/>
            </w:tcBorders>
            <w:shd w:fill="FBF3DF" w:val="clear"/>
            <w:tcMar>
              <w:top w:type="dxa" w:w="130"/>
              <w:left w:type="dxa" w:w="180"/>
              <w:bottom w:type="dxa" w:w="130"/>
              <w:right w:type="dxa" w:w="180"/>
            </w:tcMar>
          </w:tcPr>
          <w:p>
            <w:pPr>
              <w:pStyle w:val="RecuadroTitulo"/>
            </w:pPr>
            <w:r>
              <w:rPr>
                <w:b/>
                <w:bCs/>
                <w:color w:val="9C620A"/>
              </w:rPr>
              <w:t xml:space="preserve">Error → corrección</w:t>
            </w:r>
          </w:p>
          <w:p>
            <w:pPr>
              <w:pStyle w:val="Recuadro"/>
            </w:pPr>
            <w:r>
              <w:rPr>
                <w:b/>
                <w:bCs/>
              </w:rPr>
              <w:t xml:space="preserve">Error:</w:t>
            </w:r>
            <w:r>
              <w:t xml:space="preserve"> Tomar eliminación, construcción, distorsión y generalización por operaciones del pensamiento sistémico.</w:t>
            </w:r>
          </w:p>
          <w:p>
            <w:pPr>
              <w:pStyle w:val="Recuadro"/>
            </w:pPr>
            <w:r>
              <w:rPr>
                <w:b/>
                <w:bCs/>
              </w:rPr>
              <w:t xml:space="preserve">Corrección:</w:t>
            </w:r>
            <w:r>
              <w:t xml:space="preserve"> Son las operaciones inconscientes con que todo ser humano crea sus modelos mentales; quizá no se dejen de usar, y hay que agregar operaciones sistémicas que llenen sus vacíos.</w:t>
            </w:r>
          </w:p>
          <w:p>
            <w:pPr>
              <w:pStyle w:val="Recuadro"/>
            </w:pPr>
            <w:r>
              <w:t xml:space="preserve">Clase 3 · 00:19:45–00:21:09 · Clase 5 · 01:00:25–01:01:40</w:t>
            </w:r>
          </w:p>
        </w:tc>
      </w:tr>
    </w:tbl>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9C620A" w:sz="20"/>
              <w:bottom w:val="nil"/>
              <w:right w:val="nil"/>
            </w:tcBorders>
            <w:shd w:fill="FBF3DF" w:val="clear"/>
            <w:tcMar>
              <w:top w:type="dxa" w:w="130"/>
              <w:left w:type="dxa" w:w="180"/>
              <w:bottom w:type="dxa" w:w="130"/>
              <w:right w:type="dxa" w:w="180"/>
            </w:tcMar>
          </w:tcPr>
          <w:p>
            <w:pPr>
              <w:pStyle w:val="RecuadroTitulo"/>
            </w:pPr>
            <w:r>
              <w:rPr>
                <w:b/>
                <w:bCs/>
                <w:color w:val="9C620A"/>
              </w:rPr>
              <w:t xml:space="preserve">Error → corrección</w:t>
            </w:r>
          </w:p>
          <w:p>
            <w:pPr>
              <w:pStyle w:val="Recuadro"/>
            </w:pPr>
            <w:r>
              <w:rPr>
                <w:b/>
                <w:bCs/>
              </w:rPr>
              <w:t xml:space="preserve">Error:</w:t>
            </w:r>
            <w:r>
              <w:t xml:space="preserve"> Discutir al nivel de las conclusiones, que parecen obvias.</w:t>
            </w:r>
          </w:p>
          <w:p>
            <w:pPr>
              <w:pStyle w:val="Recuadro"/>
            </w:pPr>
            <w:r>
              <w:rPr>
                <w:b/>
                <w:bCs/>
              </w:rPr>
              <w:t xml:space="preserve">Corrección:</w:t>
            </w:r>
            <w:r>
              <w:t xml:space="preserve"> Sin conciencia se saltan escalones y se inventan razones para los «errores» ajenos; importan los datos y los supuestos, y la manera de verificar es preguntar.</w:t>
            </w:r>
          </w:p>
          <w:p>
            <w:pPr>
              <w:pStyle w:val="Recuadro"/>
            </w:pPr>
            <w:r>
              <w:t xml:space="preserve">Clase 3 · 01:21:24–01:23:00 · 01:23:17–01:25:21 · 01:30:44–01:31:51 · lámina c3-09</w:t>
            </w:r>
          </w:p>
        </w:tc>
      </w:tr>
    </w:tbl>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9C620A" w:sz="20"/>
              <w:bottom w:val="nil"/>
              <w:right w:val="nil"/>
            </w:tcBorders>
            <w:shd w:fill="FBF3DF" w:val="clear"/>
            <w:tcMar>
              <w:top w:type="dxa" w:w="130"/>
              <w:left w:type="dxa" w:w="180"/>
              <w:bottom w:type="dxa" w:w="130"/>
              <w:right w:type="dxa" w:w="180"/>
            </w:tcMar>
          </w:tcPr>
          <w:p>
            <w:pPr>
              <w:pStyle w:val="RecuadroTitulo"/>
            </w:pPr>
            <w:r>
              <w:rPr>
                <w:b/>
                <w:bCs/>
                <w:color w:val="9C620A"/>
              </w:rPr>
              <w:t xml:space="preserve">Error → corrección</w:t>
            </w:r>
          </w:p>
          <w:p>
            <w:pPr>
              <w:pStyle w:val="Recuadro"/>
            </w:pPr>
            <w:r>
              <w:rPr>
                <w:b/>
                <w:bCs/>
              </w:rPr>
              <w:t xml:space="preserve">Error:</w:t>
            </w:r>
            <w:r>
              <w:t xml:space="preserve"> Generalizar con una muestra pequeña o confundir construcción con distorsión.</w:t>
            </w:r>
          </w:p>
          <w:p>
            <w:pPr>
              <w:pStyle w:val="Recuadro"/>
            </w:pPr>
            <w:r>
              <w:rPr>
                <w:b/>
                <w:bCs/>
              </w:rPr>
              <w:t xml:space="preserve">Corrección:</w:t>
            </w:r>
            <w:r>
              <w:t xml:space="preserve"> Construir es construir una teoría: comprobarla antes de generalizarla y grabarla; la construcción trata de ser objetiva sobre datos filtrados, la distorsión usa creatividad con suposiciones sin base en experiencia.</w:t>
            </w:r>
          </w:p>
          <w:p>
            <w:pPr>
              <w:pStyle w:val="Recuadro"/>
            </w:pPr>
            <w:r>
              <w:t xml:space="preserve">Clase 3 · 00:34:30–00:38:25 · 01:07:20–01:07:56 · 01:20:34–01:21:18</w:t>
            </w:r>
          </w:p>
        </w:tc>
      </w:tr>
    </w:tbl>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9C620A" w:sz="20"/>
              <w:bottom w:val="nil"/>
              <w:right w:val="nil"/>
            </w:tcBorders>
            <w:shd w:fill="FBF3DF" w:val="clear"/>
            <w:tcMar>
              <w:top w:type="dxa" w:w="130"/>
              <w:left w:type="dxa" w:w="180"/>
              <w:bottom w:type="dxa" w:w="130"/>
              <w:right w:type="dxa" w:w="180"/>
            </w:tcMar>
          </w:tcPr>
          <w:p>
            <w:pPr>
              <w:pStyle w:val="RecuadroTitulo"/>
            </w:pPr>
            <w:r>
              <w:rPr>
                <w:b/>
                <w:bCs/>
                <w:color w:val="9C620A"/>
              </w:rPr>
              <w:t xml:space="preserve">Trampa de examen</w:t>
            </w:r>
          </w:p>
          <w:p>
            <w:pPr>
              <w:pStyle w:val="Recuadro"/>
            </w:pPr>
            <w:r>
              <w:t xml:space="preserve">La escalera no prohíbe inferir: subirla es inevitable y ocurre en milisegundos. La trampa es discutir al nivel de las conclusiones, que parecen obvias; la respuesta es bajar a los datos y los supuestos y verificar preguntando («¿en qué datos te basas?, ¿qué supones?») o con más datos, como hizo el Carlos sistémico.</w:t>
            </w:r>
          </w:p>
        </w:tc>
      </w:tr>
    </w:tbl>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Ampliación: lo no dictado en clase</w:t>
            </w:r>
          </w:p>
          <w:p>
            <w:pPr>
              <w:pStyle w:val="Recuadro"/>
            </w:pPr>
            <w:r>
              <w:t xml:space="preserve">La clase no fijó una lista única de peldaños: dijo que según el autor son cuatro, cinco, siete u ocho y remitió al video de la escalera en UEDI, que agrega escalones. Tampoco nombró al autor del modelo ni a McDermott; el libro de las cuatro operaciones se oyó como «Connor».</w:t>
            </w:r>
          </w:p>
        </w:tc>
      </w:tr>
    </w:tbl>
    <w:p>
      <w:pPr>
        <w:pStyle w:val="Heading3"/>
      </w:pPr>
      <w:r>
        <w:t xml:space="preserve">Lecturas y tareas del curso</w:t>
      </w:r>
    </w:p>
    <w:p>
      <w:pPr>
        <w:pStyle w:val="Normal"/>
      </w:pPr>
      <w:r>
        <w:t xml:space="preserve">C-5 · Unidad 1 · Sistemas abstractos diseñados y paradigmas (presentación). 63 páginas con paradigmas, tipos de pensamiento, escalera de inferencias, iceberg, hábitos, DSRP y modelos sistémicos. Copia íntegra de la presentación del profesor.</w:t>
      </w:r>
    </w:p>
    <w:p>
      <w:pPr>
        <w:pStyle w:val="Normal"/>
      </w:pPr>
      <w:r>
        <w:t xml:space="preserve">L-3 · La escalera de inferencias — Metamanagement (Kofman). Capítulo de Metamanagement sobre la escalera de inferencias: de los datos observables a las conclusiones y acciones, y el salto de abstracción.</w:t>
      </w:r>
    </w:p>
    <w:p>
      <w:pPr>
        <w:pStyle w:val="Normal"/>
      </w:pPr>
      <w:r>
        <w:t xml:space="preserve">Tareas relacionadas: T-1. Consulte su procedencia en la bibliografía.</w:t>
      </w:r>
    </w:p>
    <w:p>
      <w:pPr>
        <w:pStyle w:val="Heading3"/>
      </w:pPr>
      <w:r>
        <w:t xml:space="preserve">Práctica de los laboratorios</w:t>
      </w:r>
    </w:p>
    <w:p>
      <w:pPr>
        <w:pStyle w:val="Normal"/>
      </w:pPr>
      <w:r>
        <w:t xml:space="preserve">Los procedimientos del capítulo permiten reconstruir en papel la práctica interactiva. Los laboratorios originales permanecen disponibles en la lección del portal.</w:t>
      </w:r>
    </w:p>
    <w:p>
      <w:pPr>
        <w:pStyle w:val="Normal"/>
        <w:numPr>
          <w:ilvl w:val="0"/>
          <w:numId w:val="2"/>
        </w:numPr>
      </w:pPr>
      <w:r>
        <w:t xml:space="preserve">Subir y bajar la escalera de inferencias</w:t>
      </w:r>
    </w:p>
    <w:p>
      <w:pPr>
        <w:pStyle w:val="Normal"/>
        <w:numPr>
          <w:ilvl w:val="0"/>
          <w:numId w:val="2"/>
        </w:numPr>
      </w:pPr>
      <w:r>
        <w:t xml:space="preserve">La escalera a velocidad real: el caso del estacionamiento</w:t>
      </w:r>
    </w:p>
    <w:p>
      <w:pPr>
        <w:pStyle w:val="Normal"/>
        <w:numPr>
          <w:ilvl w:val="0"/>
          <w:numId w:val="2"/>
        </w:numPr>
      </w:pPr>
      <w:r>
        <w:t xml:space="preserve">Las cuatro operaciones mentales, una por una</w:t>
      </w:r>
    </w:p>
    <w:p>
      <w:pPr>
        <w:pStyle w:val="Heading3"/>
      </w:pPr>
      <w:r>
        <w:t xml:space="preserve">Autoevaluación</w:t>
      </w:r>
    </w:p>
    <w:p>
      <w:pPr>
        <w:pStyle w:val="Normal"/>
      </w:pPr>
      <w:r>
        <w:t xml:space="preserve">Resuelva sin consultar las respuestas. Compruebe al final del capítulo por qué cada opción es correcta o incorrecta.</w:t>
      </w:r>
    </w:p>
    <w:p>
      <w:pPr>
        <w:pStyle w:val="Heading3"/>
      </w:pPr>
      <w:bookmarkStart w:name="b_pregunta_auto_1_2_1" w:id="485"/>
      <w:r>
        <w:t xml:space="preserve">1.2-A1 · ¿Cómo se usa la columna de la mano izquierda para investigar una conversación?</w:t>
      </w:r>
      <w:bookmarkEnd w:id="485"/>
    </w:p>
    <w:p>
      <w:pPr>
        <w:pStyle w:val="Normal"/>
      </w:pPr>
      <w:r>
        <w:t xml:space="preserve">a) Se anotan sólo los errores del interlocutor</w:t>
      </w:r>
    </w:p>
    <w:p>
      <w:pPr>
        <w:pStyle w:val="Normal"/>
      </w:pPr>
      <w:r>
        <w:t xml:space="preserve">b) Se compara lo pensado y callado con lo dicho para descubrir supuestos</w:t>
      </w:r>
    </w:p>
    <w:p>
      <w:pPr>
        <w:pStyle w:val="Normal"/>
      </w:pPr>
      <w:r>
        <w:t xml:space="preserve">c) Se sustituyen los hechos por las intenciones que suponemos</w:t>
      </w:r>
    </w:p>
    <w:p>
      <w:pPr>
        <w:pStyle w:val="Normal"/>
      </w:pPr>
      <w:r>
        <w:t xml:space="preserve">d) Se redacta una respuesta para ganar la discusión</w:t>
      </w:r>
    </w:p>
    <w:p>
      <w:pPr>
        <w:pStyle w:val="Heading3"/>
      </w:pPr>
      <w:bookmarkStart w:name="b_pregunta_auto_1_2_2" w:id="486"/>
      <w:r>
        <w:t xml:space="preserve">1.2-A2 · Examino mi inferencia, pregunto por la del otro y expongo mi razonamiento a crítica. ¿Qué prácticas uso, en ese orden?</w:t>
      </w:r>
      <w:bookmarkEnd w:id="486"/>
    </w:p>
    <w:p>
      <w:pPr>
        <w:pStyle w:val="Normal"/>
      </w:pPr>
      <w:r>
        <w:t xml:space="preserve">a) Indagación, argumentación y reflexión</w:t>
      </w:r>
    </w:p>
    <w:p>
      <w:pPr>
        <w:pStyle w:val="Normal"/>
      </w:pPr>
      <w:r>
        <w:t xml:space="preserve">b) Argumentación, eliminación y generalización</w:t>
      </w:r>
    </w:p>
    <w:p>
      <w:pPr>
        <w:pStyle w:val="Normal"/>
      </w:pPr>
      <w:r>
        <w:t xml:space="preserve">c) Reflexión, indagación y argumentación</w:t>
      </w:r>
    </w:p>
    <w:p>
      <w:pPr>
        <w:pStyle w:val="Normal"/>
      </w:pPr>
      <w:r>
        <w:t xml:space="preserve">d) Construcción, distorsión y eliminación</w:t>
      </w:r>
    </w:p>
    <w:p>
      <w:pPr>
        <w:pStyle w:val="Heading3"/>
      </w:pPr>
      <w:bookmarkStart w:name="b_pregunta_auto_1_2_3" w:id="487"/>
      <w:r>
        <w:t xml:space="preserve">1.2-A3 · En el ejercicio de triángulos, ¿qué precisión requiere la expresión «tres lados iguales»?</w:t>
      </w:r>
      <w:bookmarkEnd w:id="487"/>
    </w:p>
    <w:p>
      <w:pPr>
        <w:pStyle w:val="Normal"/>
      </w:pPr>
      <w:r>
        <w:t xml:space="preserve">a) Es la definición de todo triángulo</w:t>
      </w:r>
    </w:p>
    <w:p>
      <w:pPr>
        <w:pStyle w:val="Normal"/>
      </w:pPr>
      <w:r>
        <w:t xml:space="preserve">b) Prueba que cualquier conteo es matemáticamente correcto</w:t>
      </w:r>
    </w:p>
    <w:p>
      <w:pPr>
        <w:pStyle w:val="Normal"/>
      </w:pPr>
      <w:r>
        <w:t xml:space="preserve">c) Indica que el dibujo original y la reconstrucción del portal son idénticos</w:t>
      </w:r>
    </w:p>
    <w:p>
      <w:pPr>
        <w:pStyle w:val="Normal"/>
      </w:pPr>
      <w:r>
        <w:t xml:space="preserve">d) Describe un equilátero; un triángulo general no exige lados iguales</w:t>
      </w:r>
    </w:p>
    <w:p>
      <w:pPr>
        <w:pStyle w:val="Heading3"/>
      </w:pPr>
      <w:bookmarkStart w:name="b_pregunta_auto_1_2_4" w:id="488"/>
      <w:r>
        <w:t xml:space="preserve">1.2-A4 · ¿Qué modela la escalera de inferencias de Argyris?</w:t>
      </w:r>
      <w:bookmarkEnd w:id="488"/>
    </w:p>
    <w:p>
      <w:pPr>
        <w:pStyle w:val="Normal"/>
      </w:pPr>
      <w:r>
        <w:t xml:space="preserve">a) Una jerarquía de puestos dentro de una empresa</w:t>
      </w:r>
    </w:p>
    <w:p>
      <w:pPr>
        <w:pStyle w:val="Normal"/>
      </w:pPr>
      <w:r>
        <w:t xml:space="preserve">b) Un método estadístico para ordenar datos</w:t>
      </w:r>
    </w:p>
    <w:p>
      <w:pPr>
        <w:pStyle w:val="Normal"/>
      </w:pPr>
      <w:r>
        <w:t xml:space="preserve">c) El ascenso mental desde los datos observables hasta la acción, agregando interpretaciones en el camino</w:t>
      </w:r>
    </w:p>
    <w:p>
      <w:pPr>
        <w:pStyle w:val="Normal"/>
      </w:pPr>
      <w:r>
        <w:t xml:space="preserve">d) Una técnica de memorización</w:t>
      </w:r>
    </w:p>
    <w:p>
      <w:pPr>
        <w:pStyle w:val="Heading3"/>
      </w:pPr>
      <w:bookmarkStart w:name="b_pregunta_auto_1_2_5" w:id="489"/>
      <w:r>
        <w:t xml:space="preserve">1.2-A5 · Ordena los peldaños de la escalera, del pie a la cima.</w:t>
      </w:r>
      <w:bookmarkEnd w:id="489"/>
    </w:p>
    <w:p>
      <w:pPr>
        <w:pStyle w:val="Normal"/>
      </w:pPr>
      <w:r>
        <w:t xml:space="preserve">a) Datos observables → selecciono datos → añado significados → hago supuestos → saco conclusiones → adopto creencias → actúo</w:t>
      </w:r>
    </w:p>
    <w:p>
      <w:pPr>
        <w:pStyle w:val="Normal"/>
      </w:pPr>
      <w:r>
        <w:t xml:space="preserve">b) Actúo → saco conclusiones → observo datos → selecciono datos</w:t>
      </w:r>
    </w:p>
    <w:p>
      <w:pPr>
        <w:pStyle w:val="Normal"/>
      </w:pPr>
      <w:r>
        <w:t xml:space="preserve">c) Adopto creencias → actúo → observo datos → selecciono datos</w:t>
      </w:r>
    </w:p>
    <w:p>
      <w:pPr>
        <w:pStyle w:val="Normal"/>
      </w:pPr>
      <w:r>
        <w:t xml:space="preserve">d) Selecciono datos → datos observables → actúo → concluyo</w:t>
      </w:r>
    </w:p>
    <w:p>
      <w:pPr>
        <w:pStyle w:val="Heading3"/>
      </w:pPr>
      <w:bookmarkStart w:name="b_pregunta_auto_1_2_6" w:id="490"/>
      <w:r>
        <w:t xml:space="preserve">1.2-A6 · Carlos ve que Pedro estuvo callado en la reunión y termina pidiendo a su jefe que lo cambie de compañero. ¿Cuál fue su error según la escalera?</w:t>
      </w:r>
      <w:bookmarkEnd w:id="490"/>
    </w:p>
    <w:p>
      <w:pPr>
        <w:pStyle w:val="Normal"/>
      </w:pPr>
      <w:r>
        <w:t xml:space="preserve">a) Reunió demasiados datos antes de decidir</w:t>
      </w:r>
    </w:p>
    <w:p>
      <w:pPr>
        <w:pStyle w:val="Normal"/>
      </w:pPr>
      <w:r>
        <w:t xml:space="preserve">b) Trató sus inferencias (Pedro es tímido → un perdedor) como hechos evidentes y nunca las verificó preguntando</w:t>
      </w:r>
    </w:p>
    <w:p>
      <w:pPr>
        <w:pStyle w:val="Normal"/>
      </w:pPr>
      <w:r>
        <w:t xml:space="preserve">c) Bajó la escalera demasiado rápido</w:t>
      </w:r>
    </w:p>
    <w:p>
      <w:pPr>
        <w:pStyle w:val="Normal"/>
      </w:pPr>
      <w:r>
        <w:t xml:space="preserve">d) Se quedó atascado en el peldaño de los datos observables</w:t>
      </w:r>
    </w:p>
    <w:p>
      <w:pPr>
        <w:pStyle w:val="Heading3"/>
      </w:pPr>
      <w:bookmarkStart w:name="b_pregunta_auto_1_2_7" w:id="491"/>
      <w:r>
        <w:t xml:space="preserve">1.2-A7 · ¿Qué afirma el «ciclo reflexivo» de la escalera de inferencias?</w:t>
      </w:r>
      <w:bookmarkEnd w:id="491"/>
    </w:p>
    <w:p>
      <w:pPr>
        <w:pStyle w:val="Normal"/>
      </w:pPr>
      <w:r>
        <w:t xml:space="preserve">a) Que conviene repetir los datos en voz alta antes de concluir</w:t>
      </w:r>
    </w:p>
    <w:p>
      <w:pPr>
        <w:pStyle w:val="Normal"/>
      </w:pPr>
      <w:r>
        <w:t xml:space="preserve">b) Que la escalera solo puede subirse, nunca bajarse</w:t>
      </w:r>
    </w:p>
    <w:p>
      <w:pPr>
        <w:pStyle w:val="Normal"/>
      </w:pPr>
      <w:r>
        <w:t xml:space="preserve">c) Que los datos observables cambian por sí solos con el tiempo</w:t>
      </w:r>
    </w:p>
    <w:p>
      <w:pPr>
        <w:pStyle w:val="Normal"/>
      </w:pPr>
      <w:r>
        <w:t xml:space="preserve">d) Que nuestros supuestos y creencias influyen en qué datos seleccionamos e interpretamos después, reforzándose a sí mismos</w:t>
      </w:r>
    </w:p>
    <w:p>
      <w:pPr>
        <w:pStyle w:val="Heading3"/>
      </w:pPr>
      <w:bookmarkStart w:name="b_pregunta_auto_1_2_8" w:id="492"/>
      <w:r>
        <w:t xml:space="preserve">1.2-A8 · «El dato ya es un primer nivel de interpretación» (el escalón cero de Kofman). ¿Por qué?</w:t>
      </w:r>
      <w:bookmarkEnd w:id="492"/>
    </w:p>
    <w:p>
      <w:pPr>
        <w:pStyle w:val="Normal"/>
      </w:pPr>
      <w:r>
        <w:t xml:space="preserve">a) Porque todos los datos son numéricos</w:t>
      </w:r>
    </w:p>
    <w:p>
      <w:pPr>
        <w:pStyle w:val="Normal"/>
      </w:pPr>
      <w:r>
        <w:t xml:space="preserve">b) Porque en realidad nadie puede observar nada</w:t>
      </w:r>
    </w:p>
    <w:p>
      <w:pPr>
        <w:pStyle w:val="Normal"/>
      </w:pPr>
      <w:r>
        <w:t xml:space="preserve">c) Porque por debajo de toda observación hay filtros —biología, cultura, lenguaje, historia personal y atención limitada— que deciden qué llega a la conciencia</w:t>
      </w:r>
    </w:p>
    <w:p>
      <w:pPr>
        <w:pStyle w:val="Normal"/>
      </w:pPr>
      <w:r>
        <w:t xml:space="preserve">d) Porque las observaciones son objetivas y totalmente neutrales</w:t>
      </w:r>
    </w:p>
    <w:p>
      <w:pPr>
        <w:pStyle w:val="Heading3"/>
      </w:pPr>
      <w:bookmarkStart w:name="b_pregunta_auto_1_2_9" w:id="493"/>
      <w:r>
        <w:t xml:space="preserve">1.2-A9 · Ante la noticia «las ganancias cayeron», Ana propone más publicidad y Miguel propone recortarla. Según la escalera, esto ocurre porque…</w:t>
      </w:r>
      <w:bookmarkEnd w:id="493"/>
    </w:p>
    <w:p>
      <w:pPr>
        <w:pStyle w:val="Normal"/>
      </w:pPr>
      <w:r>
        <w:t xml:space="preserve">a) Cada uno sube su propia escalera, guiada por un modelo mental distinto, y llega a conclusiones opuestas a partir de los mismos datos</w:t>
      </w:r>
    </w:p>
    <w:p>
      <w:pPr>
        <w:pStyle w:val="Normal"/>
      </w:pPr>
      <w:r>
        <w:t xml:space="preserve">b) Uno de los dos está mintiendo sobre las cifras</w:t>
      </w:r>
    </w:p>
    <w:p>
      <w:pPr>
        <w:pStyle w:val="Normal"/>
      </w:pPr>
      <w:r>
        <w:t xml:space="preserve">c) Los datos que recibieron eran diferentes</w:t>
      </w:r>
    </w:p>
    <w:p>
      <w:pPr>
        <w:pStyle w:val="Normal"/>
      </w:pPr>
      <w:r>
        <w:t xml:space="preserve">d) Ninguno leyó bien la noticia</w:t>
      </w:r>
    </w:p>
    <w:p>
      <w:pPr>
        <w:pStyle w:val="Heading3"/>
      </w:pPr>
      <w:bookmarkStart w:name="b_pregunta_auto_1_2_10" w:id="494"/>
      <w:r>
        <w:t xml:space="preserve">1.2-A10 · Para «bajar» la escalera y coordinar mejor con otros, conviene…</w:t>
      </w:r>
      <w:bookmarkEnd w:id="494"/>
    </w:p>
    <w:p>
      <w:pPr>
        <w:pStyle w:val="Normal"/>
      </w:pPr>
      <w:r>
        <w:t xml:space="preserve">a) Defender la propia conclusión hasta que el otro ceda</w:t>
      </w:r>
    </w:p>
    <w:p>
      <w:pPr>
        <w:pStyle w:val="Normal"/>
      </w:pPr>
      <w:r>
        <w:t xml:space="preserve">b) Lanzar conclusiones desde lo alto de la escalera para ganar la discusión</w:t>
      </w:r>
    </w:p>
    <w:p>
      <w:pPr>
        <w:pStyle w:val="Normal"/>
      </w:pPr>
      <w:r>
        <w:t xml:space="preserve">c) Evitar dar ejemplos concretos para no condicionar al otro</w:t>
      </w:r>
    </w:p>
    <w:p>
      <w:pPr>
        <w:pStyle w:val="Normal"/>
      </w:pPr>
      <w:r>
        <w:t xml:space="preserve">d) Reconocer las conclusiones como inferencias, mostrar los datos y pasos que llevaron a ellas, e indagar cómo interpreta el otro (humildad y curiosidad)</w:t>
      </w:r>
    </w:p>
    <w:p>
      <w:pPr>
        <w:pStyle w:val="Heading3"/>
      </w:pPr>
      <w:r>
        <w:t xml:space="preserve">Ejercicios de aplicación</w:t>
      </w:r>
    </w:p>
    <w:p>
      <w:pPr>
        <w:pStyle w:val="Heading3"/>
      </w:pPr>
      <w:bookmarkStart w:name="b_pregunta_ej_P13" w:id="495"/>
      <w:r>
        <w:t xml:space="preserve">1.2-E1 · Datos e inferencias</w:t>
      </w:r>
      <w:bookmarkEnd w:id="495"/>
    </w:p>
    <w:p>
      <w:pPr>
        <w:pStyle w:val="Normal"/>
      </w:pPr>
      <w:r>
        <w:t xml:space="preserve">Un usuario devuelve tarde un libro y alguien concluye que no respeta a los demás. Separa el dato de las inferencias y formula una pregunta para contrastarlas.</w:t>
      </w:r>
    </w:p>
    <w:p>
      <w:pPr>
        <w:pStyle w:val="Heading3"/>
      </w:pPr>
      <w:bookmarkStart w:name="b_solucionario_1_2" w:id="496"/>
      <w:r>
        <w:t xml:space="preserve">Solucionario del capítulo</w:t>
      </w:r>
      <w:bookmarkEnd w:id="496"/>
    </w:p>
    <w:p>
      <w:pPr>
        <w:pStyle w:val="Heading3"/>
      </w:pPr>
      <w:r>
        <w:t xml:space="preserve">1.2-A1</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b) Se compara lo pensado y callado con lo dicho para descubrir supuestos</w:t>
            </w:r>
          </w:p>
        </w:tc>
      </w:tr>
    </w:tbl>
    <w:p>
      <w:pPr>
        <w:pStyle w:val="Normal"/>
      </w:pPr>
      <w:r>
        <w:t xml:space="preserve">La columna izquierda hace visibles los pensamientos no expresados; la derecha recoge lo dicho. Compararlas permite distinguir observación e interpretación y poner a prueba lo que quedó tácito.</w:t>
      </w:r>
    </w:p>
    <w:p>
      <w:pPr>
        <w:pStyle w:val="Fuente"/>
      </w:pPr>
      <w:r>
        <w:t xml:space="preserve">Presentación de la unidad 1 (C-5), pág. 42 · Clase 4 · 01:20:50–01:22:50</w:t>
      </w:r>
    </w:p>
    <w:p>
      <w:pPr>
        <w:pStyle w:val="Heading3"/>
      </w:pPr>
      <w:r>
        <w:t xml:space="preserve">1.2-A2</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c) Reflexión, indagación y argumentación</w:t>
            </w:r>
          </w:p>
        </w:tc>
      </w:tr>
    </w:tbl>
    <w:p>
      <w:pPr>
        <w:pStyle w:val="Normal"/>
      </w:pPr>
      <w:r>
        <w:t xml:space="preserve">Reflexionar examina el propio recorrido; indagar explora datos y supuestos propios o ajenos; argumentar hace visible el razonamiento para comprenderlo y criticarlo. No equivale a imponer una conclusión.</w:t>
      </w:r>
    </w:p>
    <w:p>
      <w:pPr>
        <w:pStyle w:val="Fuente"/>
      </w:pPr>
      <w:r>
        <w:t xml:space="preserve">Presentación de la unidad 1 (C-5), pág. 55 · Clase 5 · 01:16:17–01:17:39</w:t>
      </w:r>
    </w:p>
    <w:p>
      <w:pPr>
        <w:pStyle w:val="Heading3"/>
      </w:pPr>
      <w:r>
        <w:t xml:space="preserve">1.2-A3</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d) Describe un equilátero; un triángulo general no exige lados iguales</w:t>
            </w:r>
          </w:p>
        </w:tc>
      </w:tr>
    </w:tbl>
    <w:p>
      <w:pPr>
        <w:pStyle w:val="Normal"/>
      </w:pPr>
      <w:r>
        <w:t xml:space="preserve">Tres lados iguales restringe la figura a los equiláteros. Un triángulo general es un polígono cerrado de tres segmentos rectos y vértices no colineales. La lección sobre filtros no elimina esa distinción geométrica.</w:t>
      </w:r>
    </w:p>
    <w:p>
      <w:pPr>
        <w:pStyle w:val="Fuente"/>
      </w:pPr>
      <w:r>
        <w:t xml:space="preserve">Clase 3 · 00:47:33–00:51:41 · Presentación de la unidad 1 (C-5), pág. 21</w:t>
      </w:r>
    </w:p>
    <w:p>
      <w:pPr>
        <w:pStyle w:val="Heading3"/>
      </w:pPr>
      <w:r>
        <w:t xml:space="preserve">1.2-A4</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c) El ascenso mental desde los datos observables hasta la acción, agregando interpretaciones en el camino</w:t>
            </w:r>
          </w:p>
        </w:tc>
      </w:tr>
    </w:tbl>
    <w:p>
      <w:pPr>
        <w:pStyle w:val="Normal"/>
      </w:pPr>
      <w:r>
        <w:t xml:space="preserve">Es un modelo que ilustra cómo ascendemos mentalmente desde las observaciones hasta la toma de decisiones, agregando suposiciones, atribuciones, interpretaciones y conclusiones. No es un objeto real, sino un esquema conceptual para reflexionar sobre el propio pensamiento.</w:t>
      </w:r>
    </w:p>
    <w:p>
      <w:pPr>
        <w:pStyle w:val="Fuente"/>
      </w:pPr>
      <w:r>
        <w:t xml:space="preserve">Kofman · Argyris</w:t>
      </w:r>
    </w:p>
    <w:p>
      <w:pPr>
        <w:pStyle w:val="Heading3"/>
      </w:pPr>
      <w:r>
        <w:t xml:space="preserve">1.2-A5</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a) Datos observables → selecciono datos → añado significados → hago supuestos → saco conclusiones → adopto creencias → actúo</w:t>
            </w:r>
          </w:p>
        </w:tc>
      </w:tr>
    </w:tbl>
    <w:p>
      <w:pPr>
        <w:pStyle w:val="Normal"/>
      </w:pPr>
      <w:r>
        <w:t xml:space="preserve">Del pie a la cima: 1) datos observables, 2) selecciono datos, 3) añado significados (culturales y personales), 4) hago supuestos, 5) saco conclusiones, 6) adopto creencias, 7) actúo.</w:t>
      </w:r>
    </w:p>
    <w:p>
      <w:pPr>
        <w:pStyle w:val="Normal"/>
      </w:pPr>
      <w:r>
        <w:t xml:space="preserve">a) Correcto: se parte de lo observable y se sube agregando interpretación hasta la acción.</w:t>
      </w:r>
    </w:p>
    <w:p>
      <w:pPr>
        <w:pStyle w:val="Normal"/>
      </w:pPr>
      <w:r>
        <w:t xml:space="preserve">b) No: empieza por observar, no por actuar; ese sería bajar la escalera al revés.</w:t>
      </w:r>
    </w:p>
    <w:p>
      <w:pPr>
        <w:pStyle w:val="Normal"/>
      </w:pPr>
      <w:r>
        <w:t xml:space="preserve">c) No: las creencias y la acción están en la cima, no en el pie.</w:t>
      </w:r>
    </w:p>
    <w:p>
      <w:pPr>
        <w:pStyle w:val="Normal"/>
      </w:pPr>
      <w:r>
        <w:t xml:space="preserve">d) No: los datos observables son el primer peldaño, antes de seleccionar.</w:t>
      </w:r>
    </w:p>
    <w:p>
      <w:pPr>
        <w:pStyle w:val="Heading3"/>
      </w:pPr>
      <w:r>
        <w:t xml:space="preserve">1.2-A6</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b) Trató sus inferencias (Pedro es tímido → un perdedor) como hechos evidentes y nunca las verificó preguntando</w:t>
            </w:r>
          </w:p>
        </w:tc>
      </w:tr>
    </w:tbl>
    <w:p>
      <w:pPr>
        <w:pStyle w:val="Normal"/>
      </w:pPr>
      <w:r>
        <w:t xml:space="preserve">Carlos subió los siete peldaños de un salto: del único dato «no habló» saltó a la creencia «es un perdedor» sin notar que estaba infiriendo. Nunca ilustró sus datos ni indagó la perspectiva de Pedro.</w:t>
      </w:r>
    </w:p>
    <w:p>
      <w:pPr>
        <w:pStyle w:val="Fuente"/>
      </w:pPr>
      <w:r>
        <w:t xml:space="preserve">Metamanagement 2, cap. 12</w:t>
      </w:r>
    </w:p>
    <w:p>
      <w:pPr>
        <w:pStyle w:val="Heading3"/>
      </w:pPr>
      <w:r>
        <w:t xml:space="preserve">1.2-A7</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d) Que nuestros supuestos y creencias influyen en qué datos seleccionamos e interpretamos después, reforzándose a sí mismos</w:t>
            </w:r>
          </w:p>
        </w:tc>
      </w:tr>
    </w:tbl>
    <w:p>
      <w:pPr>
        <w:pStyle w:val="Normal"/>
      </w:pPr>
      <w:r>
        <w:t xml:space="preserve">La cima gobierna el pie: nuestras creencias condicionan qué datos vemos y cómo los traducimos. Actuamos según nuestras interpretaciones y nuestros actos afectan los datos disponibles, creando un sistema autorreforzador que nos aísla de otras formas de entender.</w:t>
      </w:r>
    </w:p>
    <w:p>
      <w:pPr>
        <w:pStyle w:val="Heading3"/>
      </w:pPr>
      <w:r>
        <w:t xml:space="preserve">1.2-A8</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c) Porque por debajo de toda observación hay filtros —biología, cultura, lenguaje, historia personal y atención limitada— que deciden qué llega a la conciencia</w:t>
            </w:r>
          </w:p>
        </w:tc>
      </w:tr>
    </w:tbl>
    <w:p>
      <w:pPr>
        <w:pStyle w:val="Normal"/>
      </w:pPr>
      <w:r>
        <w:t xml:space="preserve">Aquello que accede a la conciencia («una observación objetiva») es muchísimo menor que la realidad. Como dice Maturana: «Todo lo que es dicho, es dicho por alguien». Por eso nunca tenemos todos los datos de una situación.</w:t>
      </w:r>
    </w:p>
    <w:p>
      <w:pPr>
        <w:pStyle w:val="Normal"/>
      </w:pPr>
      <w:r>
        <w:t xml:space="preserve">a) No: el punto no es la forma del dato, sino el filtrado previo.</w:t>
      </w:r>
    </w:p>
    <w:p>
      <w:pPr>
        <w:pStyle w:val="Normal"/>
      </w:pPr>
      <w:r>
        <w:t xml:space="preserve">b) No: sí observamos, pero solo una porción mínima y seleccionada de la realidad.</w:t>
      </w:r>
    </w:p>
    <w:p>
      <w:pPr>
        <w:pStyle w:val="Normal"/>
      </w:pPr>
      <w:r>
        <w:t xml:space="preserve">c) Correcto: lo que vemos no es lo real, sino lo (real) ya filtrado por el modelo mental.</w:t>
      </w:r>
    </w:p>
    <w:p>
      <w:pPr>
        <w:pStyle w:val="Normal"/>
      </w:pPr>
      <w:r>
        <w:t xml:space="preserve">d) Al contrario: precisamente niega que la observación sea neutral y absoluta.</w:t>
      </w:r>
    </w:p>
    <w:p>
      <w:pPr>
        <w:pStyle w:val="Fuente"/>
      </w:pPr>
      <w:r>
        <w:t xml:space="preserve">Metamanagement 2, cap. 12</w:t>
      </w:r>
    </w:p>
    <w:p>
      <w:pPr>
        <w:pStyle w:val="Heading3"/>
      </w:pPr>
      <w:r>
        <w:t xml:space="preserve">1.2-A9</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a) Cada uno sube su propia escalera, guiada por un modelo mental distinto, y llega a conclusiones opuestas a partir de los mismos datos</w:t>
            </w:r>
          </w:p>
        </w:tc>
      </w:tr>
    </w:tbl>
    <w:p>
      <w:pPr>
        <w:pStyle w:val="Normal"/>
      </w:pPr>
      <w:r>
        <w:t xml:space="preserve">Distintas personas tienen distintos modelos mentales, que son las guías de la escalera. Con el mismo dato, Ana (marketing) y Miguel (costos) seleccionan, interpretan y concluyen distinto; peor aún, cada uno cree que su perspectiva es la única razonable.</w:t>
      </w:r>
    </w:p>
    <w:p>
      <w:pPr>
        <w:pStyle w:val="Fuente"/>
      </w:pPr>
      <w:r>
        <w:t xml:space="preserve">Metamanagement 2, cap. 12</w:t>
      </w:r>
    </w:p>
    <w:p>
      <w:pPr>
        <w:pStyle w:val="Heading3"/>
      </w:pPr>
      <w:r>
        <w:t xml:space="preserve">1.2-A10</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d) Reconocer las conclusiones como inferencias, mostrar los datos y pasos que llevaron a ellas, e indagar cómo interpreta el otro (humildad y curiosidad)</w:t>
            </w:r>
          </w:p>
        </w:tc>
      </w:tr>
    </w:tbl>
    <w:p>
      <w:pPr>
        <w:pStyle w:val="Normal"/>
      </w:pPr>
      <w:r>
        <w:t xml:space="preserve">Argyris sugiere reconocer las conclusiones como conclusiones, ilustrar con ejemplos cómo los datos nos llevaron a ellas y preguntar por otras interpretaciones. Kofman lo resume como exponer con humildad e indagar con curiosidad: la base del aprendizaje mutuo.</w:t>
      </w:r>
    </w:p>
    <w:p>
      <w:pPr>
        <w:pStyle w:val="Heading3"/>
      </w:pPr>
      <w:bookmarkStart w:name="b_solucion_ej_P13" w:id="497"/>
      <w:r>
        <w:t xml:space="preserve">Solución 1.2-E1</w:t>
      </w:r>
      <w:bookmarkEnd w:id="497"/>
    </w:p>
    <w:p>
      <w:pPr>
        <w:pStyle w:val="RecuadroTitulo"/>
      </w:pPr>
      <w:r>
        <w:t xml:space="preserve">Respuesta modelo</w:t>
      </w:r>
    </w:p>
    <w:p>
      <w:pPr>
        <w:pStyle w:val="Normal"/>
      </w:pPr>
      <w:r>
        <w:t xml:space="preserve">El dato es una devolución posterior al plazo, verificable en el registro. Atribuir falta de respeto es interpretación. Preguntar qué ocurrió y revisar si conocía el plazo aporta evidencia. Las creencias influyen en qué datos seleccionamos.</w:t>
      </w:r>
    </w:p>
    <w:p>
      <w:pPr>
        <w:pStyle w:val="Fuente"/>
        <w:sectPr>
          <w:headerReference w:type="default" r:id="rId54"/>
          <w:headerReference w:type="first" r:id="rId55"/>
          <w:headerReference w:type="even" r:id="rId56"/>
          <w:footerReference w:type="default" r:id="rId57"/>
          <w:footerReference w:type="first" r:id="rId58"/>
          <w:footerReference w:type="even" r:id="rId59"/>
          <w:type w:val="nextPage"/>
          <w:pgSz w:w="12240" w:h="15840" w:orient="portrait"/>
          <w:pgMar w:top="1361" w:right="1134" w:bottom="1361" w:left="1474" w:header="650" w:footer="680" w:gutter="0"/>
          <w:pgNumType/>
          <w:titlePg/>
          <w:docGrid w:linePitch="360"/>
        </w:sectPr>
      </w:pPr>
      <w:r>
        <w:t xml:space="preserve">Repaso seleccionado · guía recibida, pp. 3–5; lecciones de unidades 1–3.</w:t>
      </w:r>
    </w:p>
    <w:p>
      <w:pPr>
        <w:pStyle w:val="Heading2"/>
      </w:pPr>
      <w:bookmarkStart w:name="b_1_3" w:id="498"/>
      <w:r>
        <w:t xml:space="preserve">1.3 · El paradigma de sistemas</w:t>
      </w:r>
      <w:bookmarkEnd w:id="498"/>
    </w:p>
    <w:p>
      <w:pPr>
        <w:pStyle w:val="Subtitulo"/>
      </w:pPr>
      <w:r>
        <w:t xml:space="preserve">La realidad interpretada como sistemas – El Paradigma de Sistemas.</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En una línea</w:t>
            </w:r>
          </w:p>
          <w:p>
            <w:pPr>
              <w:pStyle w:val="Recuadro"/>
            </w:pPr>
            <w:r>
              <w:t xml:space="preserve">Un paradigma cuyo concepto central, el de sistema, decide qué información de la realidad se toma en cuenta.</w:t>
            </w:r>
          </w:p>
        </w:tc>
      </w:tr>
    </w:tbl>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Qué te preguntan</w:t>
            </w:r>
          </w:p>
          <w:p>
            <w:pPr>
              <w:pStyle w:val="Recuadro"/>
            </w:pPr>
            <w:r>
              <w:t xml:space="preserve">Reproducir la definición de la lámina —una teoría generalista de visión unitaria del mundo, que sirve para modelar objetos naturales o artificiales con ayuda del sistema generalizado— y explicar en qué sentido la clase 6 lo llamó un metaparadigma: un modelo mental sobre cómo construir modelos mentales.</w:t>
            </w:r>
          </w:p>
        </w:tc>
      </w:tr>
    </w:tbl>
    <w:p>
      <w:pPr>
        <w:pStyle w:val="Normal"/>
      </w:pPr>
      <w:r>
        <w:t xml:space="preserve">El paradigma de sistemas es una forma de pensar: una teoría generalista de visión unitaria (integral, holística) que usa el concepto más general de sistema como patrón para modelar cualquier realidad. Es un metaparadigma: fija las reglas con que se construyen los demás modelos mentales. El concepto de sistema es el filtro: sólo pasa lo que su definición nombra, y el objeto queda modelizado como sistema en su entorno.</w:t>
      </w:r>
    </w:p>
    <w:p>
      <w:pPr>
        <w:pStyle w:val="Heading3"/>
      </w:pPr>
      <w:r>
        <w:t xml:space="preserve">Vocabulario clave</w:t>
      </w:r>
    </w:p>
    <w:p>
      <w:pPr>
        <w:pStyle w:val="Normal"/>
      </w:pPr>
      <w:r>
        <w:t xml:space="preserve">paradigma de sistemas (paradigma sistémico; el pensamiento sistémico como paradigma) · teoría generalista de visión unitaria (integral, holística, global) · metaparadigma · concepto de sistema como filtro (patrón de modelaje) · objeto modelizado (objeto → filtro → modelo) · premisa sistémica: el universo es un conjunto de sistemas · discordancia (según Cabrera) · enfoque sistémico frente a pensamiento sistémico · la teoría de sistemas como filtro completo</w:t>
      </w:r>
    </w:p>
    <w:p>
      <w:pPr>
        <w:pStyle w:val="Fuente"/>
      </w:pPr>
      <w:r>
        <w:t xml:space="preserve">Recorrido: desarrollo conceptual → presentaciones → explicación en clase → errores y fuentes → práctica → solucionario.</w:t>
      </w:r>
    </w:p>
    <w:p>
      <w:pPr>
        <w:pStyle w:val="Heading3"/>
      </w:pPr>
      <w:r>
        <w:t xml:space="preserve">Por qué un problema exige más de una perspectiva</w:t>
      </w:r>
    </w:p>
    <w:p>
      <w:pPr>
        <w:pStyle w:val="Normal"/>
      </w:pPr>
      <w:r>
        <w:t xml:space="preserve">Un problema complejo conecta asuntos que atraviesan disciplinas y agencias, con actores locales, nacionales o globales. Pueden discrepar tanto sobre el resultado deseado como sobre los medios. Las relaciones de poder importan: quien controla presupuesto, reglas o voz puede bloquear una transformación aunque otros compartan el diagnóstico.</w:t>
      </w:r>
    </w:p>
    <w:p>
      <w:pPr>
        <w:pStyle w:val="Normal"/>
      </w:pPr>
      <w:r>
        <w:t xml:space="preserve">También hay incertidumbre sobre los efectos de intervenir. A medida que crecen las interrelaciones y los actores, aumentan los desacuerdos y puede escasear la información confiable. Acordar una acción no garantiza anticipar todas sus consecuencias; hay que explicitar las incertidumbres y observar sus efectos.</w:t>
      </w:r>
    </w:p>
    <w:p>
      <w:pPr>
        <w:pStyle w:val="Normal"/>
      </w:pPr>
      <w:r>
        <w:t xml:space="preserve">Ejemplo del portal: una propuesta de movilidad puede reducir tiempos para unos y desplazar costos hacia otros; la autoridad que decide el presupuesto y los grupos que tienen acceso a la discusión influyen en qué alternativa llega a probarse. El paradigma de sistemas obliga a incluir esas relaciones en el modelo.</w:t>
      </w:r>
    </w:p>
    <w:p>
      <w:pPr>
        <w:pStyle w:val="Fuente"/>
      </w:pPr>
      <w:r>
        <w:t xml:space="preserve">Presentación de la unidad 1 (C-5), pág. 18</w:t>
      </w:r>
    </w:p>
    <w:p>
      <w:pPr>
        <w:pStyle w:val="Heading3"/>
      </w:pPr>
      <w:r>
        <w:t xml:space="preserve">Definiciones como las dio la clase</w:t>
      </w:r>
    </w:p>
    <w:p>
      <w:pPr>
        <w:pStyle w:val="Normal"/>
      </w:pPr>
      <w:r>
        <w:t xml:space="preserve">Teoría generalista que aborda la realidad del mundo y del universo con visión unitaria o completa, integral, «a veces denominada holística»; busca modelos lo más completos, enteros y unitarios posible.</w:t>
      </w:r>
    </w:p>
    <w:p>
      <w:pPr>
        <w:pStyle w:val="Normal"/>
      </w:pPr>
      <w:r>
        <w:t xml:space="preserve">Usa el concepto más generalizado de sistema como patrón de modelaje de las realidades que nos rodean, «algunos simples, otros complejos».</w:t>
      </w:r>
    </w:p>
    <w:p>
      <w:pPr>
        <w:pStyle w:val="Normal"/>
      </w:pPr>
      <w:r>
        <w:t xml:space="preserve">Pensamiento sistémico: considera todas las interacciones entre los elementos de un conjunto llamado sistema, analizado integralmente con los sistemas relacionados; su base es el concepto de sistema y «eso ya es un paradigma». Es forma de pensar y paradigma: un sistema abstracto que genera la perspectiva sistémica.</w:t>
      </w:r>
    </w:p>
    <w:p>
      <w:pPr>
        <w:pStyle w:val="Fuente"/>
      </w:pPr>
      <w:r>
        <w:t xml:space="preserve">Clase 1 · 01:10:29–01:11:54 · Clase 1 · 01:12:27–01:13:34 · Clase 2 · 00:16:29–00:18:04 · Clase 5 · 00:58:15–00:58:46 · Clase 7 · 00:05:16–00:07:42 · lámina c1-02</w:t>
      </w:r>
    </w:p>
    <w:p>
      <w:pPr>
        <w:pStyle w:val="Heading3"/>
      </w:pPr>
      <w:r>
        <w:t xml:space="preserve">Por qué es un metaparadigma</w:t>
      </w:r>
    </w:p>
    <w:p>
      <w:pPr>
        <w:pStyle w:val="Normal"/>
      </w:pPr>
      <w:r>
        <w:t xml:space="preserve">Muchos autores lo llaman metaparadigma: un modelo mental amplio que determina las reglas con que construimos nuestros propios modelos mentales, basado en una teoría generalista de visión unitaria del mundo.</w:t>
      </w:r>
    </w:p>
    <w:p>
      <w:pPr>
        <w:pStyle w:val="Normal"/>
      </w:pPr>
      <w:r>
        <w:t xml:space="preserve">Su concepto central es el de sistema: da conceptos y estructuras conceptuales para ver como sistema cualquier cosa, natural o artificial, simple o compleja.</w:t>
      </w:r>
    </w:p>
    <w:p>
      <w:pPr>
        <w:pStyle w:val="Normal"/>
      </w:pPr>
      <w:r>
        <w:t xml:space="preserve">Incluye al pensamiento metacognitivo: el pensador sistémico vigila que sus modelos mentales sean sistémicos y, si no, atiende otros puntos de vista.</w:t>
      </w:r>
    </w:p>
    <w:p>
      <w:pPr>
        <w:pStyle w:val="Fuente"/>
      </w:pPr>
      <w:r>
        <w:t xml:space="preserve">Clase 2 · 01:19:27–01:20:08 · Clase 6 · 00:06:39–00:07:09 · Clase 6 · 00:41:08–00:42:54 · lámina c6-02</w:t>
      </w:r>
    </w:p>
    <w:p>
      <w:pPr>
        <w:pStyle w:val="Heading3"/>
      </w:pPr>
      <w:r>
        <w:t xml:space="preserve">El concepto de sistema como filtro</w:t>
      </w:r>
    </w:p>
    <w:p>
      <w:pPr>
        <w:pStyle w:val="Normal"/>
      </w:pPr>
      <w:r>
        <w:t xml:space="preserve">Los procesos abstractos siempre eliminan información y dejan pasar sólo lo importante para el razonamiento inductivo; todo modelo mental filtra con algún concepto clave, casi siempre automáticamente; en el sistémico ese concepto es el de sistema.</w:t>
      </w:r>
    </w:p>
    <w:p>
      <w:pPr>
        <w:pStyle w:val="Normal"/>
      </w:pPr>
      <w:r>
        <w:t xml:space="preserve">Esquema de la lámina: cualquier objeto (computadora, empresa, país) pasa por el filtro «concepto general de sistema» y se vuelve objeto modelizado en un entorno; sistema, medio, entradas, salidas, interacciones y objetivos son conceptos de esa definición.</w:t>
      </w:r>
    </w:p>
    <w:p>
      <w:pPr>
        <w:pStyle w:val="Normal"/>
      </w:pPr>
      <w:r>
        <w:t xml:space="preserve">El filtro completo es la teoría de sistemas: el concepto de sistema con todo lo que conlleva (qué tiene, qué genera, cómo se comporta), para identificar en cada sistema concreto cada característica o atributo.</w:t>
      </w:r>
    </w:p>
    <w:p>
      <w:pPr>
        <w:pStyle w:val="Fuente"/>
      </w:pPr>
      <w:r>
        <w:t xml:space="preserve">Clase 6 · 00:43:05–00:44:36 · Clase 6 · 01:00:51–01:04:08 · Clase 8 · 00:15:04–00:17:23 · Clase 9 · 00:31:09–00:31:38 · Clase 9 · 00:35:27–00:36:16 · lámina c6-08</w:t>
      </w:r>
    </w:p>
    <w:p>
      <w:pPr>
        <w:pStyle w:val="Heading3"/>
      </w:pPr>
      <w:r>
        <w:t xml:space="preserve">La premisa, la discordancia y lo que advirtió</w:t>
      </w:r>
    </w:p>
    <w:p>
      <w:pPr>
        <w:pStyle w:val="Normal"/>
      </w:pPr>
      <w:r>
        <w:t xml:space="preserve">Premisa básica: el universo está compuesto de múltiples sistemas. Es un supuesto, «es un paradigma»: se supone que el universo es un conjunto de sistemas interactuando, no que la realidad en sí lo sea.</w:t>
      </w:r>
    </w:p>
    <w:p>
      <w:pPr>
        <w:pStyle w:val="Normal"/>
      </w:pPr>
      <w:r>
        <w:t xml:space="preserve">Según Derek Cabrera, en la lámina leída, los problemas complejos surgen de la discordancia entre cómo funcionan los sistemas reales y cómo pensamos que funcionan: un paradigma que sirve con una realidad simple y no cambia cuando ella se vuelve compleja.</w:t>
      </w:r>
    </w:p>
    <w:p>
      <w:pPr>
        <w:pStyle w:val="Normal"/>
      </w:pPr>
      <w:r>
        <w:t xml:space="preserve">Representar la realidad compleja cuesta: quizá no se logre el 100 %, pero 80, 90, 95 o 98 % ya es bastante; una representación no acorde trae errores.</w:t>
      </w:r>
    </w:p>
    <w:p>
      <w:pPr>
        <w:pStyle w:val="Fuente"/>
      </w:pPr>
      <w:r>
        <w:t xml:space="preserve">Clase 1 · 00:16:46–00:17:12 · Clase 2 · 01:20:58–01:21:15 · Clase 2 · 01:21:36–01:23:21 · Clase 2 · 01:25:43–01:26:19 · Clase 8 · 01:22:26–01:22:59 · Clase 8 · 01:23:58–01:25:13</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Procedimiento</w:t>
            </w:r>
          </w:p>
          <w:p>
            <w:pPr>
              <w:pStyle w:val="Recuadro"/>
            </w:pPr>
            <w:r>
              <w:t xml:space="preserve">Cómo usar el concepto de sistema como filtro para modelar una realidad</w:t>
            </w:r>
          </w:p>
          <w:p>
            <w:pPr>
              <w:pStyle w:val="Recuadro"/>
            </w:pPr>
            <w:r>
              <w:t xml:space="preserve">1. </w:t>
            </w:r>
            <w:r>
              <w:rPr>
                <w:b/>
                <w:bCs/>
              </w:rPr>
              <w:t xml:space="preserve">Pasar el objeto por el filtro.</w:t>
            </w:r>
            <w:r>
              <w:t xml:space="preserve"> Se toma cualquier objeto (computadora, empresa, país) y se mira a través del concepto general de sistema: lo que la definición no nombra se elimina y queda un objeto modelizado en su entorno. (Clase 6 · 00:43:05–00:44:36 · Clase 6 · 01:00:51–01:02:46)</w:t>
            </w:r>
          </w:p>
          <w:p>
            <w:pPr>
              <w:pStyle w:val="Recuadro"/>
            </w:pPr>
            <w:r>
              <w:t xml:space="preserve">2. </w:t>
            </w:r>
            <w:r>
              <w:rPr>
                <w:b/>
                <w:bCs/>
              </w:rPr>
              <w:t xml:space="preserve">Buscar partes, relaciones, entradas y salidas.</w:t>
            </w:r>
            <w:r>
              <w:t xml:space="preserve"> Se identifican las partes que interactúan y sus relaciones, y luego las entradas y salidas, sin detalle interno o viendo cómo las transforman los subsistemas. (Clase 6 · 01:05:08–01:06:30)</w:t>
            </w:r>
          </w:p>
          <w:p>
            <w:pPr>
              <w:pStyle w:val="Recuadro"/>
            </w:pPr>
            <w:r>
              <w:t xml:space="preserve">3. </w:t>
            </w:r>
            <w:r>
              <w:rPr>
                <w:b/>
                <w:bCs/>
              </w:rPr>
              <w:t xml:space="preserve">Modelar la evolución.</w:t>
            </w:r>
            <w:r>
              <w:t xml:space="preserve"> El sistema evoluciona cambiando su estructura: se modela en una escala de tiempo representativa (la máquina se crea, es útil, falla y el mantenimiento alarga su vida). (Clase 6 · 01:06:23–01:09:14)</w:t>
            </w:r>
          </w:p>
          <w:p>
            <w:pPr>
              <w:pStyle w:val="Recuadro"/>
            </w:pPr>
            <w:r>
              <w:t xml:space="preserve">4. </w:t>
            </w:r>
            <w:r>
              <w:rPr>
                <w:b/>
                <w:bCs/>
              </w:rPr>
              <w:t xml:space="preserve">Bajar de lo abstracto a lo concreto.</w:t>
            </w:r>
            <w:r>
              <w:t xml:space="preserve"> Con el filtro de toda la teoría se distinguen conceptos y se representan en términos de relaciones y organización en el sistema concreto. (Clase 9 · 00:35:27–00:36:16 · Clase 9 · 00:59:49–01:01:16)</w:t>
            </w:r>
          </w:p>
          <w:p>
            <w:pPr>
              <w:pStyle w:val="Recuadro"/>
            </w:pPr>
            <w:r>
              <w:t xml:space="preserve">Varios modelos sistémicos del mismo objeto no compiten entre sí: son perspectivas de una misma realidad compleja.</w:t>
            </w:r>
          </w:p>
        </w:tc>
      </w:tr>
    </w:tbl>
    <w:p>
      <w:pPr>
        <w:pStyle w:val="Heading3"/>
      </w:pPr>
      <w:bookmarkStart w:name="b_tabla_1_3_g1_lamina_10" w:id="499"/>
      <w:r>
        <w:t xml:space="preserve">Reduccionista frente a sistémico · las nueve filas</w:t>
      </w:r>
      <w:bookmarkEnd w:id="499"/>
    </w:p>
    <w:tbl>
      <w:tblPr>
        <w:tblW w:type="dxa" w:w="9632"/>
        <w:tblBorders>
          <w:top w:val="single" w:color="C5D5DB" w:sz="4"/>
          <w:left w:val="single" w:color="C5D5DB" w:sz="4"/>
          <w:bottom w:val="single" w:color="C5D5DB" w:sz="4"/>
          <w:right w:val="single" w:color="C5D5DB" w:sz="4"/>
          <w:insideH w:val="single" w:color="E4E9EB" w:sz="3"/>
          <w:insideV w:val="single" w:color="E4E9EB" w:sz="3"/>
        </w:tblBorders>
        <w:tblLayout w:type="fixed"/>
      </w:tblPr>
      <w:tblGrid>
        <w:gridCol w:w="3212"/>
        <w:gridCol w:w="3210"/>
        <w:gridCol w:w="3210"/>
      </w:tblGrid>
      <w:tr>
        <w:trPr>
          <w:cantSplit/>
          <w:tblHeader/>
        </w:trPr>
        <w:tc>
          <w:tcPr>
            <w:tcW w:type="dxa" w:w="3212"/>
            <w:shd w:fill="DFEAF0" w:val="clear"/>
            <w:tcMar>
              <w:top w:type="dxa" w:w="80"/>
              <w:left w:type="dxa" w:w="100"/>
              <w:bottom w:type="dxa" w:w="80"/>
              <w:right w:type="dxa" w:w="100"/>
            </w:tcMar>
          </w:tcPr>
          <w:p>
            <w:pPr>
              <w:pStyle w:val="Tabla"/>
            </w:pPr>
            <w:r>
              <w:rPr>
                <w:b/>
                <w:bCs/>
              </w:rPr>
              <w:t xml:space="preserve">#</w:t>
            </w:r>
          </w:p>
        </w:tc>
        <w:tc>
          <w:tcPr>
            <w:tcW w:type="dxa" w:w="3210"/>
            <w:shd w:fill="DFEAF0" w:val="clear"/>
            <w:tcMar>
              <w:top w:type="dxa" w:w="80"/>
              <w:left w:type="dxa" w:w="100"/>
              <w:bottom w:type="dxa" w:w="80"/>
              <w:right w:type="dxa" w:w="100"/>
            </w:tcMar>
          </w:tcPr>
          <w:p>
            <w:pPr>
              <w:pStyle w:val="Tabla"/>
            </w:pPr>
            <w:r>
              <w:rPr>
                <w:b/>
                <w:bCs/>
              </w:rPr>
              <w:t xml:space="preserve">Pensamiento Reduccionista</w:t>
            </w:r>
          </w:p>
        </w:tc>
        <w:tc>
          <w:tcPr>
            <w:tcW w:type="dxa" w:w="3210"/>
            <w:shd w:fill="DFEAF0" w:val="clear"/>
            <w:tcMar>
              <w:top w:type="dxa" w:w="80"/>
              <w:left w:type="dxa" w:w="100"/>
              <w:bottom w:type="dxa" w:w="80"/>
              <w:right w:type="dxa" w:w="100"/>
            </w:tcMar>
          </w:tcPr>
          <w:p>
            <w:pPr>
              <w:pStyle w:val="Tabla"/>
            </w:pPr>
            <w:r>
              <w:rPr>
                <w:b/>
                <w:bCs/>
              </w:rPr>
              <w:t xml:space="preserve">Pensamiento Sistémico</w:t>
            </w:r>
          </w:p>
        </w:tc>
      </w:tr>
      <w:tr>
        <w:trPr>
          <w:cantSplit/>
          <w:tblHeader w:val="off"/>
        </w:trPr>
        <w:tc>
          <w:tcPr>
            <w:tcW w:type="dxa" w:w="3212"/>
            <w:tcMar>
              <w:top w:type="dxa" w:w="80"/>
              <w:left w:type="dxa" w:w="100"/>
              <w:bottom w:type="dxa" w:w="80"/>
              <w:right w:type="dxa" w:w="100"/>
            </w:tcMar>
          </w:tcPr>
          <w:p>
            <w:pPr>
              <w:pStyle w:val="Tabla"/>
            </w:pPr>
            <w:r>
              <w:t xml:space="preserve">1</w:t>
            </w:r>
          </w:p>
        </w:tc>
        <w:tc>
          <w:tcPr>
            <w:tcW w:type="dxa" w:w="3210"/>
            <w:tcMar>
              <w:top w:type="dxa" w:w="80"/>
              <w:left w:type="dxa" w:w="100"/>
              <w:bottom w:type="dxa" w:w="80"/>
              <w:right w:type="dxa" w:w="100"/>
            </w:tcMar>
          </w:tcPr>
          <w:p>
            <w:pPr>
              <w:pStyle w:val="Tabla"/>
            </w:pPr>
            <w:r>
              <w:t xml:space="preserve">Parcial (ve algunas partes)</w:t>
            </w:r>
          </w:p>
        </w:tc>
        <w:tc>
          <w:tcPr>
            <w:tcW w:type="dxa" w:w="3210"/>
            <w:tcMar>
              <w:top w:type="dxa" w:w="80"/>
              <w:left w:type="dxa" w:w="100"/>
              <w:bottom w:type="dxa" w:w="80"/>
              <w:right w:type="dxa" w:w="100"/>
            </w:tcMar>
          </w:tcPr>
          <w:p>
            <w:pPr>
              <w:pStyle w:val="Tabla"/>
            </w:pPr>
            <w:r>
              <w:t xml:space="preserve">Total (ve el todo) – Holístico</w:t>
            </w:r>
          </w:p>
        </w:tc>
      </w:tr>
      <w:tr>
        <w:trPr>
          <w:cantSplit/>
          <w:tblHeader w:val="off"/>
        </w:trPr>
        <w:tc>
          <w:tcPr>
            <w:tcW w:type="dxa" w:w="3212"/>
            <w:tcMar>
              <w:top w:type="dxa" w:w="80"/>
              <w:left w:type="dxa" w:w="100"/>
              <w:bottom w:type="dxa" w:w="80"/>
              <w:right w:type="dxa" w:w="100"/>
            </w:tcMar>
          </w:tcPr>
          <w:p>
            <w:pPr>
              <w:pStyle w:val="Tabla"/>
            </w:pPr>
            <w:r>
              <w:t xml:space="preserve">2</w:t>
            </w:r>
          </w:p>
        </w:tc>
        <w:tc>
          <w:tcPr>
            <w:tcW w:type="dxa" w:w="3210"/>
            <w:tcMar>
              <w:top w:type="dxa" w:w="80"/>
              <w:left w:type="dxa" w:w="100"/>
              <w:bottom w:type="dxa" w:w="80"/>
              <w:right w:type="dxa" w:w="100"/>
            </w:tcMar>
          </w:tcPr>
          <w:p>
            <w:pPr>
              <w:pStyle w:val="Tabla"/>
            </w:pPr>
            <w:r>
              <w:t xml:space="preserve">Rígido - solo ve una forma de hacer las cosas – (Parálisis paradigmática)</w:t>
            </w:r>
          </w:p>
        </w:tc>
        <w:tc>
          <w:tcPr>
            <w:tcW w:type="dxa" w:w="3210"/>
            <w:tcMar>
              <w:top w:type="dxa" w:w="80"/>
              <w:left w:type="dxa" w:w="100"/>
              <w:bottom w:type="dxa" w:w="80"/>
              <w:right w:type="dxa" w:w="100"/>
            </w:tcMar>
          </w:tcPr>
          <w:p>
            <w:pPr>
              <w:pStyle w:val="Tabla"/>
            </w:pPr>
            <w:r>
              <w:t xml:space="preserve">Flexible – ve múltiples perspectivas - múltiples formas de hacer las cosas</w:t>
            </w:r>
          </w:p>
        </w:tc>
      </w:tr>
      <w:tr>
        <w:trPr>
          <w:cantSplit/>
          <w:tblHeader w:val="off"/>
        </w:trPr>
        <w:tc>
          <w:tcPr>
            <w:tcW w:type="dxa" w:w="3212"/>
            <w:tcMar>
              <w:top w:type="dxa" w:w="80"/>
              <w:left w:type="dxa" w:w="100"/>
              <w:bottom w:type="dxa" w:w="80"/>
              <w:right w:type="dxa" w:w="100"/>
            </w:tcMar>
          </w:tcPr>
          <w:p>
            <w:pPr>
              <w:pStyle w:val="Tabla"/>
            </w:pPr>
            <w:r>
              <w:t xml:space="preserve">3</w:t>
            </w:r>
          </w:p>
        </w:tc>
        <w:tc>
          <w:tcPr>
            <w:tcW w:type="dxa" w:w="3210"/>
            <w:tcMar>
              <w:top w:type="dxa" w:w="80"/>
              <w:left w:type="dxa" w:w="100"/>
              <w:bottom w:type="dxa" w:w="80"/>
              <w:right w:type="dxa" w:w="100"/>
            </w:tcMar>
          </w:tcPr>
          <w:p>
            <w:pPr>
              <w:pStyle w:val="Tabla"/>
            </w:pPr>
            <w:r>
              <w:t xml:space="preserve">Busca el comportamiento en las partes o grupo de partes</w:t>
            </w:r>
          </w:p>
        </w:tc>
        <w:tc>
          <w:tcPr>
            <w:tcW w:type="dxa" w:w="3210"/>
            <w:tcMar>
              <w:top w:type="dxa" w:w="80"/>
              <w:left w:type="dxa" w:w="100"/>
              <w:bottom w:type="dxa" w:w="80"/>
              <w:right w:type="dxa" w:w="100"/>
            </w:tcMar>
          </w:tcPr>
          <w:p>
            <w:pPr>
              <w:pStyle w:val="Tabla"/>
            </w:pPr>
            <w:r>
              <w:t xml:space="preserve">Identifica el comportamiento en las propiedades emergentes</w:t>
            </w:r>
          </w:p>
        </w:tc>
      </w:tr>
      <w:tr>
        <w:trPr>
          <w:cantSplit/>
          <w:tblHeader w:val="off"/>
        </w:trPr>
        <w:tc>
          <w:tcPr>
            <w:tcW w:type="dxa" w:w="3212"/>
            <w:tcMar>
              <w:top w:type="dxa" w:w="80"/>
              <w:left w:type="dxa" w:w="100"/>
              <w:bottom w:type="dxa" w:w="80"/>
              <w:right w:type="dxa" w:w="100"/>
            </w:tcMar>
          </w:tcPr>
          <w:p>
            <w:pPr>
              <w:pStyle w:val="Tabla"/>
            </w:pPr>
            <w:r>
              <w:t xml:space="preserve">4</w:t>
            </w:r>
          </w:p>
        </w:tc>
        <w:tc>
          <w:tcPr>
            <w:tcW w:type="dxa" w:w="3210"/>
            <w:tcMar>
              <w:top w:type="dxa" w:w="80"/>
              <w:left w:type="dxa" w:w="100"/>
              <w:bottom w:type="dxa" w:w="80"/>
              <w:right w:type="dxa" w:w="100"/>
            </w:tcMar>
          </w:tcPr>
          <w:p>
            <w:pPr>
              <w:pStyle w:val="Tabla"/>
            </w:pPr>
            <w:r>
              <w:t xml:space="preserve">Pone énfasis en las partes – en lo individual de cada una de las partes</w:t>
            </w:r>
          </w:p>
        </w:tc>
        <w:tc>
          <w:tcPr>
            <w:tcW w:type="dxa" w:w="3210"/>
            <w:tcMar>
              <w:top w:type="dxa" w:w="80"/>
              <w:left w:type="dxa" w:w="100"/>
              <w:bottom w:type="dxa" w:w="80"/>
              <w:right w:type="dxa" w:w="100"/>
            </w:tcMar>
          </w:tcPr>
          <w:p>
            <w:pPr>
              <w:pStyle w:val="Tabla"/>
            </w:pPr>
            <w:r>
              <w:t xml:space="preserve">Pone énfasis en las relaciones – en las interrelaciones de las partes</w:t>
            </w:r>
          </w:p>
        </w:tc>
      </w:tr>
      <w:tr>
        <w:trPr>
          <w:cantSplit/>
          <w:tblHeader w:val="off"/>
        </w:trPr>
        <w:tc>
          <w:tcPr>
            <w:tcW w:type="dxa" w:w="3212"/>
            <w:tcMar>
              <w:top w:type="dxa" w:w="80"/>
              <w:left w:type="dxa" w:w="100"/>
              <w:bottom w:type="dxa" w:w="80"/>
              <w:right w:type="dxa" w:w="100"/>
            </w:tcMar>
          </w:tcPr>
          <w:p>
            <w:pPr>
              <w:pStyle w:val="Tabla"/>
            </w:pPr>
            <w:r>
              <w:t xml:space="preserve">5</w:t>
            </w:r>
          </w:p>
        </w:tc>
        <w:tc>
          <w:tcPr>
            <w:tcW w:type="dxa" w:w="3210"/>
            <w:tcMar>
              <w:top w:type="dxa" w:w="80"/>
              <w:left w:type="dxa" w:w="100"/>
              <w:bottom w:type="dxa" w:w="80"/>
              <w:right w:type="dxa" w:w="100"/>
            </w:tcMar>
          </w:tcPr>
          <w:p>
            <w:pPr>
              <w:pStyle w:val="Tabla"/>
            </w:pPr>
            <w:r>
              <w:t xml:space="preserve">Identifica soluciones parciales o temporales</w:t>
            </w:r>
          </w:p>
        </w:tc>
        <w:tc>
          <w:tcPr>
            <w:tcW w:type="dxa" w:w="3210"/>
            <w:tcMar>
              <w:top w:type="dxa" w:w="80"/>
              <w:left w:type="dxa" w:w="100"/>
              <w:bottom w:type="dxa" w:w="80"/>
              <w:right w:type="dxa" w:w="100"/>
            </w:tcMar>
          </w:tcPr>
          <w:p>
            <w:pPr>
              <w:pStyle w:val="Tabla"/>
            </w:pPr>
            <w:r>
              <w:t xml:space="preserve">Identifica soluciones integrales y completas</w:t>
            </w:r>
          </w:p>
        </w:tc>
      </w:tr>
      <w:tr>
        <w:trPr>
          <w:cantSplit/>
          <w:tblHeader w:val="off"/>
        </w:trPr>
        <w:tc>
          <w:tcPr>
            <w:tcW w:type="dxa" w:w="3212"/>
            <w:tcMar>
              <w:top w:type="dxa" w:w="80"/>
              <w:left w:type="dxa" w:w="100"/>
              <w:bottom w:type="dxa" w:w="80"/>
              <w:right w:type="dxa" w:w="100"/>
            </w:tcMar>
          </w:tcPr>
          <w:p>
            <w:pPr>
              <w:pStyle w:val="Tabla"/>
            </w:pPr>
            <w:r>
              <w:t xml:space="preserve">6</w:t>
            </w:r>
          </w:p>
        </w:tc>
        <w:tc>
          <w:tcPr>
            <w:tcW w:type="dxa" w:w="3210"/>
            <w:tcMar>
              <w:top w:type="dxa" w:w="80"/>
              <w:left w:type="dxa" w:w="100"/>
              <w:bottom w:type="dxa" w:w="80"/>
              <w:right w:type="dxa" w:w="100"/>
            </w:tcMar>
          </w:tcPr>
          <w:p>
            <w:pPr>
              <w:pStyle w:val="Tabla"/>
            </w:pPr>
            <w:r>
              <w:t xml:space="preserve">Es simple</w:t>
            </w:r>
          </w:p>
        </w:tc>
        <w:tc>
          <w:tcPr>
            <w:tcW w:type="dxa" w:w="3210"/>
            <w:tcMar>
              <w:top w:type="dxa" w:w="80"/>
              <w:left w:type="dxa" w:w="100"/>
              <w:bottom w:type="dxa" w:w="80"/>
              <w:right w:type="dxa" w:w="100"/>
            </w:tcMar>
          </w:tcPr>
          <w:p>
            <w:pPr>
              <w:pStyle w:val="Tabla"/>
            </w:pPr>
            <w:r>
              <w:t xml:space="preserve">Es complejo</w:t>
            </w:r>
          </w:p>
        </w:tc>
      </w:tr>
      <w:tr>
        <w:trPr>
          <w:cantSplit/>
          <w:tblHeader w:val="off"/>
        </w:trPr>
        <w:tc>
          <w:tcPr>
            <w:tcW w:type="dxa" w:w="3212"/>
            <w:tcMar>
              <w:top w:type="dxa" w:w="80"/>
              <w:left w:type="dxa" w:w="100"/>
              <w:bottom w:type="dxa" w:w="80"/>
              <w:right w:type="dxa" w:w="100"/>
            </w:tcMar>
          </w:tcPr>
          <w:p>
            <w:pPr>
              <w:pStyle w:val="Tabla"/>
            </w:pPr>
            <w:r>
              <w:t xml:space="preserve">7</w:t>
            </w:r>
          </w:p>
        </w:tc>
        <w:tc>
          <w:tcPr>
            <w:tcW w:type="dxa" w:w="3210"/>
            <w:tcMar>
              <w:top w:type="dxa" w:w="80"/>
              <w:left w:type="dxa" w:w="100"/>
              <w:bottom w:type="dxa" w:w="80"/>
              <w:right w:type="dxa" w:w="100"/>
            </w:tcMar>
          </w:tcPr>
          <w:p>
            <w:pPr>
              <w:pStyle w:val="Tabla"/>
            </w:pPr>
            <w:r>
              <w:t xml:space="preserve">Es rápido</w:t>
            </w:r>
          </w:p>
        </w:tc>
        <w:tc>
          <w:tcPr>
            <w:tcW w:type="dxa" w:w="3210"/>
            <w:tcMar>
              <w:top w:type="dxa" w:w="80"/>
              <w:left w:type="dxa" w:w="100"/>
              <w:bottom w:type="dxa" w:w="80"/>
              <w:right w:type="dxa" w:w="100"/>
            </w:tcMar>
          </w:tcPr>
          <w:p>
            <w:pPr>
              <w:pStyle w:val="Tabla"/>
            </w:pPr>
            <w:r>
              <w:t xml:space="preserve">Toma su tiempo</w:t>
            </w:r>
          </w:p>
        </w:tc>
      </w:tr>
      <w:tr>
        <w:trPr>
          <w:cantSplit/>
          <w:tblHeader w:val="off"/>
        </w:trPr>
        <w:tc>
          <w:tcPr>
            <w:tcW w:type="dxa" w:w="3212"/>
            <w:tcMar>
              <w:top w:type="dxa" w:w="80"/>
              <w:left w:type="dxa" w:w="100"/>
              <w:bottom w:type="dxa" w:w="80"/>
              <w:right w:type="dxa" w:w="100"/>
            </w:tcMar>
          </w:tcPr>
          <w:p>
            <w:pPr>
              <w:pStyle w:val="Tabla"/>
            </w:pPr>
            <w:r>
              <w:t xml:space="preserve">8</w:t>
            </w:r>
          </w:p>
        </w:tc>
        <w:tc>
          <w:tcPr>
            <w:tcW w:type="dxa" w:w="3210"/>
            <w:tcMar>
              <w:top w:type="dxa" w:w="80"/>
              <w:left w:type="dxa" w:w="100"/>
              <w:bottom w:type="dxa" w:w="80"/>
              <w:right w:type="dxa" w:w="100"/>
            </w:tcMar>
          </w:tcPr>
          <w:p>
            <w:pPr>
              <w:pStyle w:val="Tabla"/>
            </w:pPr>
            <w:r>
              <w:t xml:space="preserve">Es fácil de entender</w:t>
            </w:r>
          </w:p>
        </w:tc>
        <w:tc>
          <w:tcPr>
            <w:tcW w:type="dxa" w:w="3210"/>
            <w:tcMar>
              <w:top w:type="dxa" w:w="80"/>
              <w:left w:type="dxa" w:w="100"/>
              <w:bottom w:type="dxa" w:w="80"/>
              <w:right w:type="dxa" w:w="100"/>
            </w:tcMar>
          </w:tcPr>
          <w:p>
            <w:pPr>
              <w:pStyle w:val="Tabla"/>
            </w:pPr>
            <w:r>
              <w:t xml:space="preserve">Requiere mayor análisis</w:t>
            </w:r>
          </w:p>
        </w:tc>
      </w:tr>
      <w:tr>
        <w:trPr>
          <w:cantSplit/>
          <w:tblHeader w:val="off"/>
        </w:trPr>
        <w:tc>
          <w:tcPr>
            <w:tcW w:type="dxa" w:w="3212"/>
            <w:tcMar>
              <w:top w:type="dxa" w:w="80"/>
              <w:left w:type="dxa" w:w="100"/>
              <w:bottom w:type="dxa" w:w="80"/>
              <w:right w:type="dxa" w:w="100"/>
            </w:tcMar>
          </w:tcPr>
          <w:p>
            <w:pPr>
              <w:pStyle w:val="Tabla"/>
            </w:pPr>
            <w:r>
              <w:t xml:space="preserve">9</w:t>
            </w:r>
          </w:p>
        </w:tc>
        <w:tc>
          <w:tcPr>
            <w:tcW w:type="dxa" w:w="3210"/>
            <w:tcMar>
              <w:top w:type="dxa" w:w="80"/>
              <w:left w:type="dxa" w:w="100"/>
              <w:bottom w:type="dxa" w:w="80"/>
              <w:right w:type="dxa" w:w="100"/>
            </w:tcMar>
          </w:tcPr>
          <w:p>
            <w:pPr>
              <w:pStyle w:val="Tabla"/>
            </w:pPr>
            <w:r>
              <w:t xml:space="preserve">Identifica relaciones de causa y efecto lineales</w:t>
            </w:r>
          </w:p>
        </w:tc>
        <w:tc>
          <w:tcPr>
            <w:tcW w:type="dxa" w:w="3210"/>
            <w:tcMar>
              <w:top w:type="dxa" w:w="80"/>
              <w:left w:type="dxa" w:w="100"/>
              <w:bottom w:type="dxa" w:w="80"/>
              <w:right w:type="dxa" w:w="100"/>
            </w:tcMar>
          </w:tcPr>
          <w:p>
            <w:pPr>
              <w:pStyle w:val="Tabla"/>
            </w:pPr>
            <w:r>
              <w:t xml:space="preserve">Identifica relaciones de causa y efecto no lineales (ciclos de causa y efecto)</w:t>
            </w:r>
          </w:p>
        </w:tc>
      </w:tr>
    </w:tbl>
    <w:p>
      <w:pPr>
        <w:pStyle w:val="Fuente"/>
      </w:pPr>
      <w:r>
        <w:t xml:space="preserve">Texto literal de la lámina 10 de la clase 6. Las filas 6, 7 y 8 conceden la ventaja al reduccionismo: es simple, es rápido, es fácil de entender.</w:t>
      </w:r>
    </w:p>
    <w:p>
      <w:pPr>
        <w:pStyle w:val="Heading3"/>
      </w:pPr>
      <w:r>
        <w:t xml:space="preserve">Lo que dicen las presentaciones</w:t>
      </w:r>
    </w:p>
    <w:p>
      <w:pPr>
        <w:pStyle w:val="Heading3"/>
      </w:pPr>
      <w:bookmarkStart w:name="b_pagina_1_3_C_5_p2" w:id="500"/>
      <w:r>
        <w:t xml:space="preserve">C-5 · página 2 · Programa y planificación de la Unidad 1</w:t>
      </w:r>
      <w:bookmarkEnd w:id="500"/>
    </w:p>
    <w:p>
      <w:pPr>
        <w:pStyle w:val="Normal"/>
      </w:pPr>
      <w:r>
        <w:t xml:space="preserve">Los ocho temas de la unidad y la planificación histórica de julio.</w:t>
      </w:r>
    </w:p>
    <w:p>
      <w:bookmarkStart w:name="b_punto_c5_p002_03" w:id="501"/>
      <w:r>
        <w:t xml:space="preserve">1.3 Realidad interpretada como sistemas y paradigma de sistemas.</w:t>
      </w:r>
      <w:bookmarkEnd w:id="501"/>
    </w:p>
    <w:p>
      <w:pPr>
        <w:pStyle w:val="Fuente"/>
      </w:pPr>
      <w:r>
        <w:t xml:space="preserve">Véase </w:t>
      </w:r>
      <w:hyperlink w:history="1" w:anchor="b_1_1">
        <w:r>
          <w:rPr>
            <w:color w:val="156B70"/>
            <w:u w:val="single"/>
          </w:rPr>
          <w:t xml:space="preserve">capítulo 1.1 · Paradigmas y modelos mentales</w:t>
        </w:r>
      </w:hyperlink>
      <w:r>
        <w:t xml:space="preserve">, pág. </w:t>
      </w:r>
      <w:r>
        <w:fldChar w:fldCharType="begin"/>
        <w:instrText xml:space="preserve">PAGEREF b_1_1 \h</w:instrText>
        <w:fldChar w:fldCharType="separate"/>
        <w:t xml:space="preserve">19</w:t>
        <w:fldChar w:fldCharType="end"/>
      </w:r>
      <w:r>
        <w:t xml:space="preserve">.</w:t>
      </w:r>
    </w:p>
    <w:p>
      <w:pPr>
        <w:pStyle w:val="Fuente"/>
      </w:pPr>
      <w:r>
        <w:t xml:space="preserve">Véase </w:t>
      </w:r>
      <w:hyperlink w:history="1" w:anchor="b_1_2">
        <w:r>
          <w:rPr>
            <w:color w:val="156B70"/>
            <w:u w:val="single"/>
          </w:rPr>
          <w:t xml:space="preserve">capítulo 1.2 · Escalera de inferencias</w:t>
        </w:r>
      </w:hyperlink>
      <w:r>
        <w:t xml:space="preserve">, pág. </w:t>
      </w:r>
      <w:r>
        <w:fldChar w:fldCharType="begin"/>
        <w:instrText xml:space="preserve">PAGEREF b_1_2 \h</w:instrText>
        <w:fldChar w:fldCharType="separate"/>
        <w:t xml:space="preserve">55</w:t>
        <w:fldChar w:fldCharType="end"/>
      </w:r>
      <w:r>
        <w:t xml:space="preserve">.</w:t>
      </w:r>
    </w:p>
    <w:p>
      <w:pPr>
        <w:pStyle w:val="Fuente"/>
      </w:pPr>
      <w:r>
        <w:t xml:space="preserve">Véase </w:t>
      </w:r>
      <w:hyperlink w:history="1" w:anchor="b_1_4">
        <w:r>
          <w:rPr>
            <w:color w:val="156B70"/>
            <w:u w:val="single"/>
          </w:rPr>
          <w:t xml:space="preserve">capítulo 1.4 · Sistémico vs no sistémico</w:t>
        </w:r>
      </w:hyperlink>
      <w:r>
        <w:t xml:space="preserve">, pág. </w:t>
      </w:r>
      <w:r>
        <w:fldChar w:fldCharType="begin"/>
        <w:instrText xml:space="preserve">PAGEREF b_1_4 \h</w:instrText>
        <w:fldChar w:fldCharType="separate"/>
        <w:t xml:space="preserve">104</w:t>
        <w:fldChar w:fldCharType="end"/>
      </w:r>
      <w:r>
        <w:t xml:space="preserve">.</w:t>
      </w:r>
    </w:p>
    <w:p>
      <w:pPr>
        <w:pStyle w:val="Fuente"/>
      </w:pPr>
      <w:r>
        <w:t xml:space="preserve">Véase </w:t>
      </w:r>
      <w:hyperlink w:history="1" w:anchor="b_1_5">
        <w:r>
          <w:rPr>
            <w:color w:val="156B70"/>
            <w:u w:val="single"/>
          </w:rPr>
          <w:t xml:space="preserve">capítulo 1.5 · Perspectivas</w:t>
        </w:r>
      </w:hyperlink>
      <w:r>
        <w:t xml:space="preserve">, pág. </w:t>
      </w:r>
      <w:r>
        <w:fldChar w:fldCharType="begin"/>
        <w:instrText xml:space="preserve">PAGEREF b_1_5 \h</w:instrText>
        <w:fldChar w:fldCharType="separate"/>
        <w:t xml:space="preserve">125</w:t>
        <w:fldChar w:fldCharType="end"/>
      </w:r>
      <w:r>
        <w:t xml:space="preserve">.</w:t>
      </w:r>
    </w:p>
    <w:p>
      <w:pPr>
        <w:pStyle w:val="Fuente"/>
      </w:pPr>
      <w:r>
        <w:t xml:space="preserve">Véase </w:t>
      </w:r>
      <w:hyperlink w:history="1" w:anchor="b_1_6">
        <w:r>
          <w:rPr>
            <w:color w:val="156B70"/>
            <w:u w:val="single"/>
          </w:rPr>
          <w:t xml:space="preserve">capítulo 1.6 · Operaciones DSRP</w:t>
        </w:r>
      </w:hyperlink>
      <w:r>
        <w:t xml:space="preserve">, pág. </w:t>
      </w:r>
      <w:r>
        <w:fldChar w:fldCharType="begin"/>
        <w:instrText xml:space="preserve">PAGEREF b_1_6 \h</w:instrText>
        <w:fldChar w:fldCharType="separate"/>
        <w:t xml:space="preserve">150</w:t>
        <w:fldChar w:fldCharType="end"/>
      </w:r>
      <w:r>
        <w:t xml:space="preserve">.</w:t>
      </w:r>
    </w:p>
    <w:p>
      <w:pPr>
        <w:pStyle w:val="Fuente"/>
      </w:pPr>
      <w:r>
        <w:t xml:space="preserve">Véase </w:t>
      </w:r>
      <w:hyperlink w:history="1" w:anchor="b_1_7">
        <w:r>
          <w:rPr>
            <w:color w:val="156B70"/>
            <w:u w:val="single"/>
          </w:rPr>
          <w:t xml:space="preserve">capítulo 1.7 · Niveles — modelo del iceberg</w:t>
        </w:r>
      </w:hyperlink>
      <w:r>
        <w:t xml:space="preserve">, pág. </w:t>
      </w:r>
      <w:r>
        <w:fldChar w:fldCharType="begin"/>
        <w:instrText xml:space="preserve">PAGEREF b_1_7 \h</w:instrText>
        <w:fldChar w:fldCharType="separate"/>
        <w:t xml:space="preserve">175</w:t>
        <w:fldChar w:fldCharType="end"/>
      </w:r>
      <w:r>
        <w:t xml:space="preserve">.</w:t>
      </w:r>
    </w:p>
    <w:p>
      <w:pPr>
        <w:pStyle w:val="Fuente"/>
      </w:pPr>
      <w:r>
        <w:t xml:space="preserve">Véase </w:t>
      </w:r>
      <w:hyperlink w:history="1" w:anchor="b_1_8">
        <w:r>
          <w:rPr>
            <w:color w:val="156B70"/>
            <w:u w:val="single"/>
          </w:rPr>
          <w:t xml:space="preserve">capítulo 1.8 · Hábitos del pensador</w:t>
        </w:r>
      </w:hyperlink>
      <w:r>
        <w:t xml:space="preserve">, pág. </w:t>
      </w:r>
      <w:r>
        <w:fldChar w:fldCharType="begin"/>
        <w:instrText xml:space="preserve">PAGEREF b_1_8 \h</w:instrText>
        <w:fldChar w:fldCharType="separate"/>
        <w:t xml:space="preserve">194</w:t>
        <w:fldChar w:fldCharType="end"/>
      </w:r>
      <w:r>
        <w:t xml:space="preserve">.</w:t>
      </w:r>
    </w:p>
    <w:p>
      <w:pPr>
        <w:pStyle w:val="Heading3"/>
      </w:pPr>
      <w:bookmarkStart w:name="b_pagina_1_3_C_5_p3" w:id="502"/>
      <w:r>
        <w:t xml:space="preserve">C-5 · página 3 · El paradigma de sistemas</w:t>
      </w:r>
      <w:bookmarkEnd w:id="502"/>
    </w:p>
    <w:p>
      <w:pPr>
        <w:pStyle w:val="Normal"/>
      </w:pPr>
      <w:r>
        <w:t xml:space="preserve">Visión unitaria del mundo, sistema generalizado y definición de objeto de Le Moigne.</w:t>
      </w:r>
    </w:p>
    <w:p>
      <w:pPr>
        <w:pStyle w:val="Fuente"/>
      </w:pPr>
      <w:r>
        <w:t xml:space="preserve">Proyección o explicación: Clase 1 · 01:10:29 · captura c1-02.</w:t>
      </w:r>
    </w:p>
    <w:p>
      <w:pPr>
        <w:keepNext/>
        <w:spacing w:after="40" w:before="150"/>
        <w:jc w:val="center"/>
      </w:pPr>
      <w:bookmarkStart w:name="b_figura_original_pagina_C_5_3" w:id="503"/>
      <w:bookmarkEnd w:id="503"/>
      <w:r>
        <w:drawing>
          <wp:inline distT="0" distB="0" distL="0" distR="0">
            <wp:extent cx="5381625" cy="4162425"/>
            <wp:effectExtent t="0" r="0" b="0" l="0"/>
            <wp:docPr id="9" name="pagina-C-5-3" descr="Presentación C-5, pág. 3" title="El paradigma de siste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98" cstate="none"/>
                    <a:srcRect/>
                    <a:stretch>
                      <a:fillRect/>
                    </a:stretch>
                  </pic:blipFill>
                  <pic:spPr bwMode="auto">
                    <a:xfrm>
                      <a:off x="0" y="0"/>
                      <a:ext cx="5381625" cy="4162425"/>
                    </a:xfrm>
                    <a:prstGeom prst="rect">
                      <a:avLst/>
                    </a:prstGeom>
                  </pic:spPr>
                </pic:pic>
              </a:graphicData>
            </a:graphic>
          </wp:inline>
        </w:drawing>
      </w:r>
    </w:p>
    <w:p>
      <w:pPr>
        <w:pStyle w:val="PieFigura"/>
        <w:keepNext/>
      </w:pPr>
      <w:bookmarkStart w:name="b_fig_1_3_1" w:id="504"/>
      <w:r>
        <w:t xml:space="preserve">Figura 1.3.</w:t>
      </w:r>
      <w:fldSimple w:instr="SEQ Figura \r 1 \* ARABIC">
        <w:r>
          <w:t xml:space="preserve">1</w:t>
        </w:r>
      </w:fldSimple>
      <w:r>
        <w:t xml:space="preserve"> · El paradigma de sistemas</w:t>
      </w:r>
      <w:bookmarkEnd w:id="504"/>
    </w:p>
    <w:p>
      <w:pPr>
        <w:pStyle w:val="Fuente"/>
      </w:pPr>
      <w:r>
        <w:t xml:space="preserve">Presentación C-5, pág. 3</w:t>
      </w:r>
    </w:p>
    <w:p>
      <w:bookmarkStart w:name="b_punto_c5_p003_01" w:id="505"/>
      <w:r>
        <w:t xml:space="preserve">Es una teoría generalista que ofrece una visión unitaria del mundo.</w:t>
      </w:r>
      <w:bookmarkEnd w:id="505"/>
    </w:p>
    <w:p>
      <w:bookmarkStart w:name="b_punto_c5_p003_02" w:id="506"/>
      <w:r>
        <w:t xml:space="preserve">Modela objetos naturales o artificiales, simples o complejos, actuales o posibles, usando el sistema generalizado.</w:t>
      </w:r>
      <w:bookmarkEnd w:id="506"/>
    </w:p>
    <w:p>
      <w:bookmarkStart w:name="b_punto_c5_p003_03" w:id="507"/>
      <w:r>
        <w:t xml:space="preserve">Le Moigne: objeto con fines, entorno delimitado, actividad, estructura que evoluciona e identidad que permanece.</w:t>
      </w:r>
      <w:bookmarkEnd w:id="507"/>
    </w:p>
    <w:p>
      <w:pPr>
        <w:pStyle w:val="Heading3"/>
      </w:pPr>
      <w:bookmarkStart w:name="b_pagina_1_3_C_5_p16" w:id="508"/>
      <w:r>
        <w:t xml:space="preserve">C-5 · página 16 · Utilidad del pensamiento sistémico</w:t>
      </w:r>
      <w:bookmarkEnd w:id="508"/>
    </w:p>
    <w:p>
      <w:pPr>
        <w:pStyle w:val="Normal"/>
      </w:pPr>
      <w:r>
        <w:t xml:space="preserve">Alinear modelos y realidad para disminuir la discordancia que contribuye a los problemas complejos.</w:t>
      </w:r>
    </w:p>
    <w:p>
      <w:pPr>
        <w:pStyle w:val="Fuente"/>
      </w:pPr>
      <w:r>
        <w:t xml:space="preserve">Proyección o explicación: Clase 2 · 01:21:36 · captura c2-11.</w:t>
      </w:r>
    </w:p>
    <w:p>
      <w:bookmarkStart w:name="b_punto_c5_p016_01" w:id="509"/>
      <w:r>
        <w:t xml:space="preserve">La finalidad del pensamiento sistémico es alinear cómo pensamos con el funcionamiento del mundo real.</w:t>
      </w:r>
      <w:bookmarkEnd w:id="509"/>
    </w:p>
    <w:p>
      <w:bookmarkStart w:name="b_punto_c5_p016_02" w:id="510"/>
      <w:r>
        <w:t xml:space="preserve">Los sistemas reales conectan múltiples variables y pueden comportarse de forma compleja, impredecible y no lineal; las explicaciones simples y jerárquicas no siempre bastan.</w:t>
      </w:r>
      <w:bookmarkEnd w:id="510"/>
    </w:p>
    <w:p>
      <w:bookmarkStart w:name="b_punto_c5_p016_03" w:id="511"/>
      <w:r>
        <w:t xml:space="preserve">Los problemas complejos se asocian a la discordancia entre el sistema real y cómo pensamos que funciona.</w:t>
      </w:r>
      <w:bookmarkEnd w:id="511"/>
    </w:p>
    <w:p>
      <w:pPr>
        <w:pStyle w:val="Heading3"/>
      </w:pPr>
      <w:bookmarkStart w:name="b_pagina_1_3_C_5_p18" w:id="512"/>
      <w:r>
        <w:t xml:space="preserve">C-5 · página 18 · Pensamiento sistémico para resolver problemas complejos</w:t>
      </w:r>
      <w:bookmarkEnd w:id="512"/>
    </w:p>
    <w:p>
      <w:pPr>
        <w:pStyle w:val="Normal"/>
      </w:pPr>
      <w:r>
        <w:t xml:space="preserve">Problemas entrelazados, agencias, perspectivas, conflictos e incertidumbre; el pensamiento sistémico también sirve en situaciones cotidianas.</w:t>
      </w:r>
    </w:p>
    <w:p>
      <w:pPr>
        <w:pStyle w:val="Fuente"/>
      </w:pPr>
      <w:r>
        <w:t xml:space="preserve">Proyección o explicación: Clase 3 · 00:10:48 · captura c3-01.</w:t>
      </w:r>
    </w:p>
    <w:p>
      <w:pPr>
        <w:keepNext/>
        <w:spacing w:after="40" w:before="150"/>
        <w:jc w:val="center"/>
      </w:pPr>
      <w:bookmarkStart w:name="b_figura_original_pagina_C_5_18" w:id="513"/>
      <w:bookmarkEnd w:id="513"/>
      <w:r>
        <w:drawing>
          <wp:inline distT="0" distB="0" distL="0" distR="0">
            <wp:extent cx="5381625" cy="4162425"/>
            <wp:effectExtent t="0" r="0" b="0" l="0"/>
            <wp:docPr id="10" name="pagina-C-5-18" descr="Presentación C-5, pág. 18" title="Pensamiento sistémico para resolver problemas complej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99" cstate="none"/>
                    <a:srcRect/>
                    <a:stretch>
                      <a:fillRect/>
                    </a:stretch>
                  </pic:blipFill>
                  <pic:spPr bwMode="auto">
                    <a:xfrm>
                      <a:off x="0" y="0"/>
                      <a:ext cx="5381625" cy="4162425"/>
                    </a:xfrm>
                    <a:prstGeom prst="rect">
                      <a:avLst/>
                    </a:prstGeom>
                  </pic:spPr>
                </pic:pic>
              </a:graphicData>
            </a:graphic>
          </wp:inline>
        </w:drawing>
      </w:r>
    </w:p>
    <w:p>
      <w:pPr>
        <w:pStyle w:val="PieFigura"/>
        <w:keepNext/>
      </w:pPr>
      <w:bookmarkStart w:name="b_fig_1_3_2" w:id="514"/>
      <w:r>
        <w:t xml:space="preserve">Figura 1.3.</w:t>
      </w:r>
      <w:fldSimple w:instr="SEQ Figura \n \* ARABIC">
        <w:r>
          <w:t xml:space="preserve">2</w:t>
        </w:r>
      </w:fldSimple>
      <w:r>
        <w:t xml:space="preserve"> · Pensamiento sistémico para resolver problemas complejos</w:t>
      </w:r>
      <w:bookmarkEnd w:id="514"/>
    </w:p>
    <w:p>
      <w:pPr>
        <w:pStyle w:val="Fuente"/>
      </w:pPr>
      <w:r>
        <w:t xml:space="preserve">Presentación C-5, pág. 18</w:t>
      </w:r>
    </w:p>
    <w:p>
      <w:bookmarkStart w:name="b_punto_c5_p018_01" w:id="515"/>
      <w:r>
        <w:t xml:space="preserve">El pensamiento sistémico se aplica a problemas cotidianos de padres, docentes, estudiantes, empleados y ciudadanos; en distintos ámbitos y edades.</w:t>
      </w:r>
      <w:bookmarkEnd w:id="515"/>
    </w:p>
    <w:p>
      <w:bookmarkStart w:name="b_punto_c5_p018_02" w:id="516"/>
      <w:r>
        <w:t xml:space="preserve">Ignorar problemas cotidianos o tratarlos sin visión sistémica puede convertirlos en complejos.</w:t>
      </w:r>
      <w:bookmarkEnd w:id="516"/>
    </w:p>
    <w:p>
      <w:bookmarkStart w:name="b_punto_c5_p018_03" w:id="517"/>
      <w:r>
        <w:t xml:space="preserve">Un problema complejo reúne problemas entrelazados que atraviesan ramas como economía, salud y ambiente.</w:t>
      </w:r>
      <w:bookmarkEnd w:id="517"/>
    </w:p>
    <w:p>
      <w:bookmarkStart w:name="b_punto_c5_p018_04" w:id="518"/>
      <w:r>
        <w:t xml:space="preserve">Múltiples agencias públicas, privadas y voluntarias actúan a escalas local, regional, nacional y global.</w:t>
      </w:r>
      <w:bookmarkEnd w:id="518"/>
    </w:p>
    <w:p>
      <w:bookmarkStart w:name="b_punto_c5_p018_05" w:id="519"/>
      <w:r>
        <w:t xml:space="preserve">Hay muchos puntos de vista sobre el problema y sus posibles soluciones.</w:t>
      </w:r>
      <w:bookmarkEnd w:id="519"/>
    </w:p>
    <w:p>
      <w:pPr>
        <w:pStyle w:val="Fuente"/>
      </w:pPr>
      <w:r>
        <w:t xml:space="preserve">Véase </w:t>
      </w:r>
      <w:hyperlink w:history="1" w:anchor="b_2_6">
        <w:r>
          <w:rPr>
            <w:color w:val="156B70"/>
            <w:u w:val="single"/>
          </w:rPr>
          <w:t xml:space="preserve">capítulo 2.6 · Complejidad sistémica</w:t>
        </w:r>
      </w:hyperlink>
      <w:r>
        <w:t xml:space="preserve">, pág. </w:t>
      </w:r>
      <w:r>
        <w:fldChar w:fldCharType="begin"/>
        <w:instrText xml:space="preserve">PAGEREF b_2_6 \h</w:instrText>
        <w:fldChar w:fldCharType="separate"/>
        <w:t xml:space="preserve">308</w:t>
        <w:fldChar w:fldCharType="end"/>
      </w:r>
      <w:r>
        <w:t xml:space="preserve">.</w:t>
      </w:r>
    </w:p>
    <w:p>
      <w:pPr>
        <w:pStyle w:val="Heading3"/>
      </w:pPr>
      <w:bookmarkStart w:name="b_pagina_1_3_C_5_p19" w:id="520"/>
      <w:r>
        <w:t xml:space="preserve">C-5 · página 19 · Utilidad del pensamiento sistémico (repetición)</w:t>
      </w:r>
      <w:bookmarkEnd w:id="520"/>
    </w:p>
    <w:p>
      <w:pPr>
        <w:pStyle w:val="Normal"/>
      </w:pPr>
      <w:r>
        <w:t xml:space="preserve">Repite la página 16 antes de entrar a las operaciones abstractas.</w:t>
      </w:r>
    </w:p>
    <w:p>
      <w:pPr>
        <w:pStyle w:val="Fuente"/>
      </w:pPr>
      <w:r>
        <w:t xml:space="preserve">Proyección o explicación: Clase 2 · 01:21:36 · captura c2-11.</w:t>
      </w:r>
    </w:p>
    <w:p>
      <w:bookmarkStart w:name="b_punto_c5_p019_01" w:id="521"/>
      <w:r>
        <w:t xml:space="preserve">La finalidad del pensamiento sistémico es alinear cómo pensamos con el funcionamiento del mundo real.</w:t>
      </w:r>
      <w:bookmarkEnd w:id="521"/>
    </w:p>
    <w:p>
      <w:bookmarkStart w:name="b_punto_c5_p019_02" w:id="522"/>
      <w:r>
        <w:t xml:space="preserve">Los sistemas reales conectan múltiples variables y pueden comportarse de forma compleja, impredecible y no lineal; las explicaciones simples y jerárquicas no siempre bastan.</w:t>
      </w:r>
      <w:bookmarkEnd w:id="522"/>
    </w:p>
    <w:p>
      <w:bookmarkStart w:name="b_punto_c5_p019_03" w:id="523"/>
      <w:r>
        <w:t xml:space="preserve">Los problemas complejos se asocian a la discordancia entre el sistema real y cómo pensamos que funciona.</w:t>
      </w:r>
      <w:bookmarkEnd w:id="523"/>
    </w:p>
    <w:p>
      <w:pPr>
        <w:pStyle w:val="Heading3"/>
      </w:pPr>
      <w:bookmarkStart w:name="b_pagina_1_3_C_5_p53" w:id="524"/>
      <w:r>
        <w:t xml:space="preserve">C-5 · página 53 · Síntesis sobre sistemas abstractos y creencias</w:t>
      </w:r>
      <w:bookmarkEnd w:id="524"/>
    </w:p>
    <w:p>
      <w:pPr>
        <w:pStyle w:val="Normal"/>
      </w:pPr>
      <w:r>
        <w:t xml:space="preserve">Repasa la perspectiva sistémica, las cuatro operaciones mentales, la inducción, la flexibilidad y el efecto paradigma.</w:t>
      </w:r>
    </w:p>
    <w:p>
      <w:pPr>
        <w:pStyle w:val="Fuente"/>
      </w:pPr>
      <w:r>
        <w:t xml:space="preserve">Proyección o explicación: Clase 5 · 00:58:29 · captura c5-10.</w:t>
      </w:r>
    </w:p>
    <w:p>
      <w:bookmarkStart w:name="b_punto_c5_p053_01" w:id="525"/>
      <w:r>
        <w:t xml:space="preserve">El pensamiento sistémico es también un paradigma que produce una perspectiva integral u holística.</w:t>
      </w:r>
      <w:bookmarkEnd w:id="525"/>
    </w:p>
    <w:p>
      <w:pPr>
        <w:pStyle w:val="Fuente"/>
      </w:pPr>
      <w:r>
        <w:t xml:space="preserve">Véase </w:t>
      </w:r>
      <w:hyperlink w:history="1" w:anchor="b_1_2">
        <w:r>
          <w:rPr>
            <w:color w:val="156B70"/>
            <w:u w:val="single"/>
          </w:rPr>
          <w:t xml:space="preserve">capítulo 1.2 · Escalera de inferencias</w:t>
        </w:r>
      </w:hyperlink>
      <w:r>
        <w:t xml:space="preserve">, pág. </w:t>
      </w:r>
      <w:r>
        <w:fldChar w:fldCharType="begin"/>
        <w:instrText xml:space="preserve">PAGEREF b_1_2 \h</w:instrText>
        <w:fldChar w:fldCharType="separate"/>
        <w:t xml:space="preserve">55</w:t>
        <w:fldChar w:fldCharType="end"/>
      </w:r>
      <w:r>
        <w:t xml:space="preserve">.</w:t>
      </w:r>
    </w:p>
    <w:p>
      <w:pPr>
        <w:pStyle w:val="Fuente"/>
      </w:pPr>
      <w:r>
        <w:t xml:space="preserve">Véase </w:t>
      </w:r>
      <w:hyperlink w:history="1" w:anchor="b_1_1">
        <w:r>
          <w:rPr>
            <w:color w:val="156B70"/>
            <w:u w:val="single"/>
          </w:rPr>
          <w:t xml:space="preserve">capítulo 1.1 · Paradigmas y modelos mentales</w:t>
        </w:r>
      </w:hyperlink>
      <w:r>
        <w:t xml:space="preserve">, pág. </w:t>
      </w:r>
      <w:r>
        <w:fldChar w:fldCharType="begin"/>
        <w:instrText xml:space="preserve">PAGEREF b_1_1 \h</w:instrText>
        <w:fldChar w:fldCharType="separate"/>
        <w:t xml:space="preserve">19</w:t>
        <w:fldChar w:fldCharType="end"/>
      </w:r>
      <w:r>
        <w:t xml:space="preserve">.</w:t>
      </w:r>
    </w:p>
    <w:p>
      <w:pPr>
        <w:pStyle w:val="Heading3"/>
      </w:pPr>
      <w:bookmarkStart w:name="b_pagina_1_3_C_6_p52" w:id="526"/>
      <w:r>
        <w:t xml:space="preserve">C-6 · página 52 · Pensamiento sistémico como macroscopio</w:t>
      </w:r>
      <w:bookmarkEnd w:id="526"/>
    </w:p>
    <w:p>
      <w:pPr>
        <w:pStyle w:val="Normal"/>
      </w:pPr>
      <w:r>
        <w:t xml:space="preserve">La analogía mira lo complejo y distingue realidad, herramienta conceptual, modelizador y modelo resultante.</w:t>
      </w:r>
    </w:p>
    <w:p>
      <w:pPr>
        <w:pStyle w:val="Fuente"/>
      </w:pPr>
      <w:r>
        <w:t xml:space="preserve">Proyección o explicación: Clase 8 · 01:03:15 · captura c8-18.</w:t>
      </w:r>
    </w:p>
    <w:p>
      <w:bookmarkStart w:name="b_punto_c6_p052_01" w:id="527"/>
      <w:r>
        <w:t xml:space="preserve">Telescopio, microscopio y macroscopio miran lo lejano, lo pequeño y lo complejo, respectivamente.</w:t>
      </w:r>
      <w:bookmarkEnd w:id="527"/>
    </w:p>
    <w:p>
      <w:bookmarkStart w:name="b_punto_c6_p052_02" w:id="528"/>
      <w:r>
        <w:t xml:space="preserve">El macroscopio organiza jerarquías, relaciones, entradas/salidas y escalas.</w:t>
      </w:r>
      <w:bookmarkEnd w:id="528"/>
    </w:p>
    <w:p>
      <w:bookmarkStart w:name="b_punto_c6_p052_03" w:id="529"/>
      <w:r>
        <w:t xml:space="preserve">Objeto es la porción de realidad que se desea estudiar.</w:t>
      </w:r>
      <w:bookmarkEnd w:id="529"/>
    </w:p>
    <w:p>
      <w:bookmarkStart w:name="b_punto_c6_p052_04" w:id="530"/>
      <w:r>
        <w:t xml:space="preserve">Sistema generalizado es la herramienta conceptual aportada por la TGS.</w:t>
      </w:r>
      <w:bookmarkEnd w:id="530"/>
    </w:p>
    <w:p>
      <w:bookmarkStart w:name="b_punto_c6_p052_05" w:id="531"/>
      <w:r>
        <w:t xml:space="preserve">Sistema de representación o modelizador aporta conocimientos, sensibilidad, objetivos y perspectiva.</w:t>
      </w:r>
      <w:bookmarkEnd w:id="531"/>
    </w:p>
    <w:p>
      <w:bookmarkStart w:name="b_punto_c6_p052_06" w:id="532"/>
      <w:r>
        <w:t xml:space="preserve">Modelo sistémico es la representación resultante, útil y distinta del objeto real.</w:t>
      </w:r>
      <w:bookmarkEnd w:id="532"/>
    </w:p>
    <w:p>
      <w:pPr>
        <w:pStyle w:val="Heading3"/>
      </w:pPr>
      <w:bookmarkStart w:name="b_pagina_1_3_C_6_p55" w:id="533"/>
      <w:r>
        <w:t xml:space="preserve">C-6 · página 55 · Premisa del pensamiento sistémico</w:t>
      </w:r>
      <w:bookmarkEnd w:id="533"/>
    </w:p>
    <w:p>
      <w:pPr>
        <w:pStyle w:val="Normal"/>
      </w:pPr>
      <w:r>
        <w:t xml:space="preserve">Ver el universo como sistemas sirve para estructurar problemas y contexto, con tres aclaraciones metodológicas.</w:t>
      </w:r>
    </w:p>
    <w:p>
      <w:pPr>
        <w:pStyle w:val="Fuente"/>
      </w:pPr>
      <w:r>
        <w:t xml:space="preserve">Proyección o explicación: Clase 8 · 01:19:48 · captura c8-21.</w:t>
      </w:r>
    </w:p>
    <w:p>
      <w:pPr>
        <w:keepNext/>
        <w:spacing w:after="40" w:before="150"/>
        <w:jc w:val="center"/>
      </w:pPr>
      <w:bookmarkStart w:name="b_figura_original_pagina_C_6_55" w:id="534"/>
      <w:bookmarkEnd w:id="534"/>
      <w:r>
        <w:drawing>
          <wp:inline distT="0" distB="0" distL="0" distR="0">
            <wp:extent cx="5381625" cy="4162425"/>
            <wp:effectExtent t="0" r="0" b="0" l="0"/>
            <wp:docPr id="11" name="pagina-C-6-55" descr="Presentación C-6, pág. 55" title="Premisa del pensamiento sistémi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00" cstate="none"/>
                    <a:srcRect/>
                    <a:stretch>
                      <a:fillRect/>
                    </a:stretch>
                  </pic:blipFill>
                  <pic:spPr bwMode="auto">
                    <a:xfrm>
                      <a:off x="0" y="0"/>
                      <a:ext cx="5381625" cy="4162425"/>
                    </a:xfrm>
                    <a:prstGeom prst="rect">
                      <a:avLst/>
                    </a:prstGeom>
                  </pic:spPr>
                </pic:pic>
              </a:graphicData>
            </a:graphic>
          </wp:inline>
        </w:drawing>
      </w:r>
    </w:p>
    <w:p>
      <w:pPr>
        <w:pStyle w:val="PieFigura"/>
        <w:keepNext/>
      </w:pPr>
      <w:bookmarkStart w:name="b_fig_1_3_3" w:id="535"/>
      <w:r>
        <w:t xml:space="preserve">Figura 1.3.</w:t>
      </w:r>
      <w:fldSimple w:instr="SEQ Figura \n \* ARABIC">
        <w:r>
          <w:t xml:space="preserve">3</w:t>
        </w:r>
      </w:fldSimple>
      <w:r>
        <w:t xml:space="preserve"> · Premisa del pensamiento sistémico</w:t>
      </w:r>
      <w:bookmarkEnd w:id="535"/>
    </w:p>
    <w:p>
      <w:pPr>
        <w:pStyle w:val="Fuente"/>
      </w:pPr>
      <w:r>
        <w:t xml:space="preserve">Presentación C-6, pág. 55</w:t>
      </w:r>
    </w:p>
    <w:p>
      <w:bookmarkStart w:name="b_punto_c6_p055_01" w:id="536"/>
      <w:r>
        <w:t xml:space="preserve">Es razonable y útil representar el universo aparentemente caótico como sistemas interactuantes.</w:t>
      </w:r>
      <w:bookmarkEnd w:id="536"/>
    </w:p>
    <w:p>
      <w:bookmarkStart w:name="b_punto_c6_p055_04" w:id="537"/>
      <w:r>
        <w:t xml:space="preserve">No se pretende modelar todos los sistemas: se establece contexto pertinente para construir modelos específicos.</w:t>
      </w:r>
      <w:bookmarkEnd w:id="537"/>
    </w:p>
    <w:p>
      <w:bookmarkStart w:name="b_punto_c6_p055_06" w:id="538"/>
      <w:r>
        <w:t xml:space="preserve">La premisa no afirma lo que el mundo es; es supuesto para estructurar problemas no estructurados.</w:t>
      </w:r>
      <w:bookmarkEnd w:id="538"/>
    </w:p>
    <w:p>
      <w:pPr>
        <w:pStyle w:val="Fuente"/>
      </w:pPr>
      <w:r>
        <w:t xml:space="preserve">Véase </w:t>
      </w:r>
      <w:hyperlink w:history="1" w:anchor="b_2_7">
        <w:r>
          <w:rPr>
            <w:color w:val="156B70"/>
            <w:u w:val="single"/>
          </w:rPr>
          <w:t xml:space="preserve">capítulo 2.7 · El universo como sistemas</w:t>
        </w:r>
      </w:hyperlink>
      <w:r>
        <w:t xml:space="preserve">, pág. </w:t>
      </w:r>
      <w:r>
        <w:fldChar w:fldCharType="begin"/>
        <w:instrText xml:space="preserve">PAGEREF b_2_7 \h</w:instrText>
        <w:fldChar w:fldCharType="separate"/>
        <w:t xml:space="preserve">329</w:t>
        <w:fldChar w:fldCharType="end"/>
      </w:r>
      <w:r>
        <w:t xml:space="preserve">.</w:t>
      </w:r>
    </w:p>
    <w:p>
      <w:pPr>
        <w:pStyle w:val="Heading3"/>
      </w:pPr>
      <w:bookmarkStart w:name="b_pagina_1_3_C_6_p60" w:id="539"/>
      <w:r>
        <w:t xml:space="preserve">C-6 · página 60 · Estudiar, aprender e intervenir en sistemas complejos</w:t>
      </w:r>
      <w:bookmarkEnd w:id="539"/>
    </w:p>
    <w:p>
      <w:pPr>
        <w:pStyle w:val="Normal"/>
      </w:pPr>
      <w:r>
        <w:t xml:space="preserve">Modelos mentales y cardumen recuerdan la finalidad de comprender sistemas para intervenir con soluciones.</w:t>
      </w:r>
    </w:p>
    <w:p>
      <w:bookmarkStart w:name="b_punto_c6_p060_02" w:id="540"/>
      <w:r>
        <w:t xml:space="preserve">La imagen de modelos mentales conecta representación abstracta y sistemas adaptativos complejos.</w:t>
      </w:r>
      <w:bookmarkEnd w:id="540"/>
    </w:p>
    <w:p>
      <w:bookmarkStart w:name="b_punto_c6_p060_03" w:id="541"/>
      <w:r>
        <w:t xml:space="preserve">El cardumen representa una totalidad coordinada mediante reglas de interacción.</w:t>
      </w:r>
      <w:bookmarkEnd w:id="541"/>
    </w:p>
    <w:p>
      <w:pPr>
        <w:pStyle w:val="Fuente"/>
      </w:pPr>
      <w:r>
        <w:t xml:space="preserve">Véase </w:t>
      </w:r>
      <w:hyperlink w:history="1" w:anchor="b_2_6">
        <w:r>
          <w:rPr>
            <w:color w:val="156B70"/>
            <w:u w:val="single"/>
          </w:rPr>
          <w:t xml:space="preserve">capítulo 2.6 · Complejidad sistémica</w:t>
        </w:r>
      </w:hyperlink>
      <w:r>
        <w:t xml:space="preserve">, pág. </w:t>
      </w:r>
      <w:r>
        <w:fldChar w:fldCharType="begin"/>
        <w:instrText xml:space="preserve">PAGEREF b_2_6 \h</w:instrText>
        <w:fldChar w:fldCharType="separate"/>
        <w:t xml:space="preserve">308</w:t>
        <w:fldChar w:fldCharType="end"/>
      </w:r>
      <w:r>
        <w:t xml:space="preserve">.</w:t>
      </w:r>
    </w:p>
    <w:p>
      <w:pPr>
        <w:pStyle w:val="Heading3"/>
      </w:pPr>
      <w:r>
        <w:t xml:space="preserve">Lo que explicó el profesor en clase</w:t>
      </w:r>
    </w:p>
    <w:p>
      <w:pPr>
        <w:pStyle w:val="Heading3"/>
      </w:pPr>
      <w:bookmarkStart w:name="b_clase_1_3_c1_cap_03" w:id="542"/>
      <w:r>
        <w:t xml:space="preserve">Clase 1 · 00:14:03–00:25:56 · Las cuatro unidades y el hilo del curso</w:t>
      </w:r>
      <w:bookmarkEnd w:id="542"/>
    </w:p>
    <w:p>
      <w:bookmarkStart w:name="b_punto_c1_cap_03_p02" w:id="543"/>
      <w:r>
        <w:t xml:space="preserve">El pensamiento sistémico es un modelo mental que integra diversas perspectivas, procesos cognitivos, acción y entorno; supone un universo de sistemas interrelacionados.</w:t>
      </w:r>
      <w:bookmarkEnd w:id="543"/>
    </w:p>
    <w:p>
      <w:pPr>
        <w:pStyle w:val="Fuente"/>
      </w:pPr>
      <w:r>
        <w:t xml:space="preserve">Véase </w:t>
      </w:r>
      <w:hyperlink w:history="1" w:anchor="b_1_1">
        <w:r>
          <w:rPr>
            <w:color w:val="156B70"/>
            <w:u w:val="single"/>
          </w:rPr>
          <w:t xml:space="preserve">capítulo 1.1 · Paradigmas y modelos mentales</w:t>
        </w:r>
      </w:hyperlink>
      <w:r>
        <w:t xml:space="preserve">, pág. </w:t>
      </w:r>
      <w:r>
        <w:fldChar w:fldCharType="begin"/>
        <w:instrText xml:space="preserve">PAGEREF b_1_1 \h</w:instrText>
        <w:fldChar w:fldCharType="separate"/>
        <w:t xml:space="preserve">19</w:t>
        <w:fldChar w:fldCharType="end"/>
      </w:r>
      <w:r>
        <w:t xml:space="preserve">.</w:t>
      </w:r>
    </w:p>
    <w:p>
      <w:pPr>
        <w:pStyle w:val="Fuente"/>
      </w:pPr>
      <w:r>
        <w:t xml:space="preserve">Véase </w:t>
      </w:r>
      <w:hyperlink w:history="1" w:anchor="b_1_4">
        <w:r>
          <w:rPr>
            <w:color w:val="156B70"/>
            <w:u w:val="single"/>
          </w:rPr>
          <w:t xml:space="preserve">capítulo 1.4 · Sistémico vs no sistémico</w:t>
        </w:r>
      </w:hyperlink>
      <w:r>
        <w:t xml:space="preserve">, pág. </w:t>
      </w:r>
      <w:r>
        <w:fldChar w:fldCharType="begin"/>
        <w:instrText xml:space="preserve">PAGEREF b_1_4 \h</w:instrText>
        <w:fldChar w:fldCharType="separate"/>
        <w:t xml:space="preserve">104</w:t>
        <w:fldChar w:fldCharType="end"/>
      </w:r>
      <w:r>
        <w:t xml:space="preserve">.</w:t>
      </w:r>
    </w:p>
    <w:p>
      <w:pPr>
        <w:pStyle w:val="Fuente"/>
      </w:pPr>
      <w:r>
        <w:t xml:space="preserve">Véase </w:t>
      </w:r>
      <w:hyperlink w:history="1" w:anchor="b_3_1">
        <w:r>
          <w:rPr>
            <w:color w:val="156B70"/>
            <w:u w:val="single"/>
          </w:rPr>
          <w:t xml:space="preserve">capítulo 3.1 · Mapas sistémicos</w:t>
        </w:r>
      </w:hyperlink>
      <w:r>
        <w:t xml:space="preserve">, pág. </w:t>
      </w:r>
      <w:r>
        <w:fldChar w:fldCharType="begin"/>
        <w:instrText xml:space="preserve">PAGEREF b_3_1 \h</w:instrText>
        <w:fldChar w:fldCharType="separate"/>
        <w:t xml:space="preserve">379</w:t>
        <w:fldChar w:fldCharType="end"/>
      </w:r>
      <w:r>
        <w:t xml:space="preserve">.</w:t>
      </w:r>
    </w:p>
    <w:p>
      <w:pPr>
        <w:pStyle w:val="Fuente"/>
      </w:pPr>
      <w:r>
        <w:t xml:space="preserve">Véase </w:t>
      </w:r>
      <w:hyperlink w:history="1" w:anchor="b_4_4">
        <w:r>
          <w:rPr>
            <w:color w:val="156B70"/>
            <w:u w:val="single"/>
          </w:rPr>
          <w:t xml:space="preserve">capítulo 4.4 · Simulación con VENSIM</w:t>
        </w:r>
      </w:hyperlink>
      <w:r>
        <w:t xml:space="preserve">, pág. </w:t>
      </w:r>
      <w:r>
        <w:fldChar w:fldCharType="begin"/>
        <w:instrText xml:space="preserve">PAGEREF b_4_4 \h</w:instrText>
        <w:fldChar w:fldCharType="separate"/>
        <w:t xml:space="preserve">776</w:t>
        <w:fldChar w:fldCharType="end"/>
      </w:r>
      <w:r>
        <w:t xml:space="preserve">.</w:t>
      </w:r>
    </w:p>
    <w:p>
      <w:pPr>
        <w:pStyle w:val="Heading3"/>
      </w:pPr>
      <w:bookmarkStart w:name="b_clase_1_3_c1_cap_08" w:id="544"/>
      <w:r>
        <w:t xml:space="preserve">Clase 1 · 01:10:29–01:14:01 · El paradigma de sistemas como ejemplo</w:t>
      </w:r>
      <w:bookmarkEnd w:id="544"/>
    </w:p>
    <w:p>
      <w:bookmarkStart w:name="b_punto_c1_cap_08_p01" w:id="545"/>
      <w:r>
        <w:t xml:space="preserve">El paradigma de sistemas es una teoría generalista que busca una visión unitaria, integral u holística de la realidad.</w:t>
      </w:r>
      <w:bookmarkEnd w:id="545"/>
    </w:p>
    <w:p>
      <w:bookmarkStart w:name="b_punto_c1_cap_08_p03" w:id="546"/>
      <w:r>
        <w:t xml:space="preserve">El concepto generalizado de sistema actúa como patrón o herramienta abstracta para modelar las realidades del mundo.</w:t>
      </w:r>
      <w:bookmarkEnd w:id="546"/>
    </w:p>
    <w:p>
      <w:pPr>
        <w:pStyle w:val="Fuente"/>
      </w:pPr>
      <w:r>
        <w:t xml:space="preserve">Véase </w:t>
      </w:r>
      <w:hyperlink w:history="1" w:anchor="b_1_1">
        <w:r>
          <w:rPr>
            <w:color w:val="156B70"/>
            <w:u w:val="single"/>
          </w:rPr>
          <w:t xml:space="preserve">capítulo 1.1 · Paradigmas y modelos mentales</w:t>
        </w:r>
      </w:hyperlink>
      <w:r>
        <w:t xml:space="preserve">, pág. </w:t>
      </w:r>
      <w:r>
        <w:fldChar w:fldCharType="begin"/>
        <w:instrText xml:space="preserve">PAGEREF b_1_1 \h</w:instrText>
        <w:fldChar w:fldCharType="separate"/>
        <w:t xml:space="preserve">19</w:t>
        <w:fldChar w:fldCharType="end"/>
      </w:r>
      <w:r>
        <w:t xml:space="preserve">.</w:t>
      </w:r>
    </w:p>
    <w:p>
      <w:pPr>
        <w:pStyle w:val="Fuente"/>
      </w:pPr>
      <w:r>
        <w:t xml:space="preserve">Véase </w:t>
      </w:r>
      <w:hyperlink w:history="1" w:anchor="b_1_4">
        <w:r>
          <w:rPr>
            <w:color w:val="156B70"/>
            <w:u w:val="single"/>
          </w:rPr>
          <w:t xml:space="preserve">capítulo 1.4 · Sistémico vs no sistémico</w:t>
        </w:r>
      </w:hyperlink>
      <w:r>
        <w:t xml:space="preserve">, pág. </w:t>
      </w:r>
      <w:r>
        <w:fldChar w:fldCharType="begin"/>
        <w:instrText xml:space="preserve">PAGEREF b_1_4 \h</w:instrText>
        <w:fldChar w:fldCharType="separate"/>
        <w:t xml:space="preserve">104</w:t>
        <w:fldChar w:fldCharType="end"/>
      </w:r>
      <w:r>
        <w:t xml:space="preserve">.</w:t>
      </w:r>
    </w:p>
    <w:p>
      <w:pPr>
        <w:pStyle w:val="Heading3"/>
      </w:pPr>
      <w:bookmarkStart w:name="b_clase_1_3_c6_cap_01" w:id="547"/>
      <w:r>
        <w:t xml:space="preserve">Clase 6 · 00:01:45–00:07:10 · Apertura: se cierra la unidad 1 y se abre la unidad 2</w:t>
      </w:r>
      <w:bookmarkEnd w:id="547"/>
    </w:p>
    <w:p>
      <w:bookmarkStart w:name="b_punto_c6_cap_01_p04" w:id="548"/>
      <w:r>
        <w:t xml:space="preserve">Se buscan modelos con estructura sistémica, integrales y holísticos para reducir la discordancia entre la realidad y lo pensado sobre ella.</w:t>
      </w:r>
      <w:bookmarkEnd w:id="548"/>
    </w:p>
    <w:p>
      <w:bookmarkStart w:name="b_punto_c6_cap_01_p05" w:id="549"/>
      <w:r>
        <w:t xml:space="preserve">La teoría de sistemas reúne fases y perspectivas distintas alrededor del concepto central de sistema, que opera como filtro al construir modelos.</w:t>
      </w:r>
      <w:bookmarkEnd w:id="549"/>
    </w:p>
    <w:p>
      <w:pPr>
        <w:pStyle w:val="Fuente"/>
      </w:pPr>
      <w:r>
        <w:t xml:space="preserve">Véase </w:t>
      </w:r>
      <w:hyperlink w:history="1" w:anchor="b_1_1">
        <w:r>
          <w:rPr>
            <w:color w:val="156B70"/>
            <w:u w:val="single"/>
          </w:rPr>
          <w:t xml:space="preserve">capítulo 1.1 · Paradigmas y modelos mentales</w:t>
        </w:r>
      </w:hyperlink>
      <w:r>
        <w:t xml:space="preserve">, pág. </w:t>
      </w:r>
      <w:r>
        <w:fldChar w:fldCharType="begin"/>
        <w:instrText xml:space="preserve">PAGEREF b_1_1 \h</w:instrText>
        <w:fldChar w:fldCharType="separate"/>
        <w:t xml:space="preserve">19</w:t>
        <w:fldChar w:fldCharType="end"/>
      </w:r>
      <w:r>
        <w:t xml:space="preserve">.</w:t>
      </w:r>
    </w:p>
    <w:p>
      <w:pPr>
        <w:pStyle w:val="Fuente"/>
      </w:pPr>
      <w:r>
        <w:t xml:space="preserve">Véase </w:t>
      </w:r>
      <w:hyperlink w:history="1" w:anchor="b_2_1">
        <w:r>
          <w:rPr>
            <w:color w:val="156B70"/>
            <w:u w:val="single"/>
          </w:rPr>
          <w:t xml:space="preserve">capítulo 2.1 · Visión general</w:t>
        </w:r>
      </w:hyperlink>
      <w:r>
        <w:t xml:space="preserve">, pág. </w:t>
      </w:r>
      <w:r>
        <w:fldChar w:fldCharType="begin"/>
        <w:instrText xml:space="preserve">PAGEREF b_2_1 \h</w:instrText>
        <w:fldChar w:fldCharType="separate"/>
        <w:t xml:space="preserve">222</w:t>
        <w:fldChar w:fldCharType="end"/>
      </w:r>
      <w:r>
        <w:t xml:space="preserve">.</w:t>
      </w:r>
    </w:p>
    <w:p>
      <w:pPr>
        <w:pStyle w:val="Heading3"/>
      </w:pPr>
      <w:bookmarkStart w:name="b_clase_1_3_c6_cap_07" w:id="550"/>
      <w:r>
        <w:t xml:space="preserve">Clase 6 · 00:40:30–00:42:52 · El paradigma de sistemas como metaparadigma</w:t>
      </w:r>
      <w:bookmarkEnd w:id="550"/>
    </w:p>
    <w:p>
      <w:bookmarkStart w:name="b_punto_c6_cap_07_p01" w:id="551"/>
      <w:r>
        <w:t xml:space="preserve">El paradigma sistémico es un metaparadigma: influye en las reglas con que se construyen los propios modelos mentales.</w:t>
      </w:r>
      <w:bookmarkEnd w:id="551"/>
    </w:p>
    <w:p>
      <w:bookmarkStart w:name="b_punto_c6_cap_07_p02" w:id="552"/>
      <w:r>
        <w:t xml:space="preserve">Lo respalda una teoría generalista que procura una visión unitaria del mundo, universo y realidad con la que se interactúa.</w:t>
      </w:r>
      <w:bookmarkEnd w:id="552"/>
    </w:p>
    <w:p>
      <w:bookmarkStart w:name="b_punto_c6_cap_07_p03" w:id="553"/>
      <w:r>
        <w:t xml:space="preserve">Su concepto central de sistema y sus estructuras conceptuales permiten modelar realidades naturales, artificiales, simples o complejas.</w:t>
      </w:r>
      <w:bookmarkEnd w:id="553"/>
    </w:p>
    <w:p>
      <w:pPr>
        <w:pStyle w:val="Heading3"/>
      </w:pPr>
      <w:bookmarkStart w:name="b_clase_1_3_c6_cap_08" w:id="554"/>
      <w:r>
        <w:t xml:space="preserve">Clase 6 · 00:42:52–00:51:02 · Las cuatro definiciones de sistema, leídas y contrastadas</w:t>
      </w:r>
      <w:bookmarkEnd w:id="554"/>
    </w:p>
    <w:p>
      <w:bookmarkStart w:name="b_punto_c6_cap_08_p01" w:id="555"/>
      <w:r>
        <w:t xml:space="preserve">Todo modelo filtra información mediante conceptos clave; en el paradigma sistémico el filtro central es el concepto general de sistema.</w:t>
      </w:r>
      <w:bookmarkEnd w:id="555"/>
    </w:p>
    <w:p>
      <w:bookmarkStart w:name="b_punto_c6_cap_08_p02" w:id="556"/>
      <w:r>
        <w:t xml:space="preserve">Primera definición: un sistema es un conjunto de partes coordinadas y en interacción para alcanzar un objetivo.</w:t>
      </w:r>
      <w:bookmarkEnd w:id="556"/>
    </w:p>
    <w:p>
      <w:bookmarkStart w:name="b_punto_c6_cap_08_p03" w:id="557"/>
      <w:r>
        <w:t xml:space="preserve">La segunda definición conserva componentes interrelacionados y meta común y añade entradas, salidas y proceso de transformación, por lo que remite al exterior.</w:t>
      </w:r>
      <w:bookmarkEnd w:id="557"/>
    </w:p>
    <w:p>
      <w:bookmarkStart w:name="b_punto_c6_cap_08_p04" w:id="558"/>
      <w:r>
        <w:t xml:space="preserve">La tercera definición organiza elementos dinámicamente relacionados que realizan una actividad y transformación para alcanzar un objetivo.</w:t>
      </w:r>
      <w:bookmarkEnd w:id="558"/>
    </w:p>
    <w:p>
      <w:bookmarkStart w:name="b_punto_c6_cap_08_p05" w:id="559"/>
      <w:r>
        <w:t xml:space="preserve">La tercera definición sitúa al sistema en un medio y como totalidad diferente de otras: las personas pueden compartir estructura y diferir en sus sistemas abstractos.</w:t>
      </w:r>
      <w:bookmarkEnd w:id="559"/>
    </w:p>
    <w:p>
      <w:bookmarkStart w:name="b_punto_c6_cap_08_p06" w:id="560"/>
      <w:r>
        <w:t xml:space="preserve">La cuarta definición describe un objeto con fines, entorno delimitado y actividad cuya estructura interna evoluciona sin perder la identidad.</w:t>
      </w:r>
      <w:bookmarkEnd w:id="560"/>
    </w:p>
    <w:p>
      <w:pPr>
        <w:pStyle w:val="Fuente"/>
      </w:pPr>
      <w:r>
        <w:t xml:space="preserve">Véase </w:t>
      </w:r>
      <w:hyperlink w:history="1" w:anchor="b_2_2">
        <w:r>
          <w:rPr>
            <w:color w:val="156B70"/>
            <w:u w:val="single"/>
          </w:rPr>
          <w:t xml:space="preserve">capítulo 2.2 · Conceptos de un sistema</w:t>
        </w:r>
      </w:hyperlink>
      <w:r>
        <w:t xml:space="preserve">, pág. </w:t>
      </w:r>
      <w:r>
        <w:fldChar w:fldCharType="begin"/>
        <w:instrText xml:space="preserve">PAGEREF b_2_2 \h</w:instrText>
        <w:fldChar w:fldCharType="separate"/>
        <w:t xml:space="preserve">242</w:t>
        <w:fldChar w:fldCharType="end"/>
      </w:r>
      <w:r>
        <w:t xml:space="preserve">.</w:t>
      </w:r>
    </w:p>
    <w:p>
      <w:pPr>
        <w:pStyle w:val="Heading3"/>
      </w:pPr>
      <w:bookmarkStart w:name="b_clase_1_3_c6_cap_09" w:id="561"/>
      <w:r>
        <w:t xml:space="preserve">Clase 6 · 00:51:02–01:00:46 · Los nueve conceptos asociados al concepto de sistema</w:t>
      </w:r>
      <w:bookmarkEnd w:id="561"/>
    </w:p>
    <w:p>
      <w:bookmarkStart w:name="b_punto_c6_cap_09_p07" w:id="562"/>
      <w:r>
        <w:t xml:space="preserve">Sistemas con procesos rápidos o de años y siglos exigen escalas de observación representativas para percibir la dinámica.</w:t>
      </w:r>
      <w:bookmarkEnd w:id="562"/>
    </w:p>
    <w:p>
      <w:pPr>
        <w:pStyle w:val="Fuente"/>
      </w:pPr>
      <w:r>
        <w:t xml:space="preserve">Véase </w:t>
      </w:r>
      <w:hyperlink w:history="1" w:anchor="b_senales_examen">
        <w:r>
          <w:rPr>
            <w:color w:val="156B70"/>
            <w:u w:val="single"/>
          </w:rPr>
          <w:t xml:space="preserve">1 indicación(es) de examen de este tramo, en el apéndice cronológico</w:t>
        </w:r>
      </w:hyperlink>
      <w:r>
        <w:t xml:space="preserve">, pág. </w:t>
      </w:r>
      <w:r>
        <w:fldChar w:fldCharType="begin"/>
        <w:instrText xml:space="preserve">PAGEREF b_senales_examen \h</w:instrText>
        <w:fldChar w:fldCharType="separate"/>
        <w:t xml:space="preserve">1663</w:t>
        <w:fldChar w:fldCharType="end"/>
      </w:r>
      <w:r>
        <w:t xml:space="preserve">.</w:t>
      </w:r>
    </w:p>
    <w:p>
      <w:pPr>
        <w:pStyle w:val="Fuente"/>
      </w:pPr>
      <w:r>
        <w:t xml:space="preserve">Véase </w:t>
      </w:r>
      <w:hyperlink w:history="1" w:anchor="b_2_2">
        <w:r>
          <w:rPr>
            <w:color w:val="156B70"/>
            <w:u w:val="single"/>
          </w:rPr>
          <w:t xml:space="preserve">capítulo 2.2 · Conceptos de un sistema</w:t>
        </w:r>
      </w:hyperlink>
      <w:r>
        <w:t xml:space="preserve">, pág. </w:t>
      </w:r>
      <w:r>
        <w:fldChar w:fldCharType="begin"/>
        <w:instrText xml:space="preserve">PAGEREF b_2_2 \h</w:instrText>
        <w:fldChar w:fldCharType="separate"/>
        <w:t xml:space="preserve">242</w:t>
        <w:fldChar w:fldCharType="end"/>
      </w:r>
      <w:r>
        <w:t xml:space="preserve">.</w:t>
      </w:r>
    </w:p>
    <w:p>
      <w:pPr>
        <w:pStyle w:val="Fuente"/>
      </w:pPr>
      <w:r>
        <w:t xml:space="preserve">Véase </w:t>
      </w:r>
      <w:hyperlink w:history="1" w:anchor="b_2_4">
        <w:r>
          <w:rPr>
            <w:color w:val="156B70"/>
            <w:u w:val="single"/>
          </w:rPr>
          <w:t xml:space="preserve">capítulo 2.4 · Sub y suprasistemas</w:t>
        </w:r>
      </w:hyperlink>
      <w:r>
        <w:t xml:space="preserve">, pág. </w:t>
      </w:r>
      <w:r>
        <w:fldChar w:fldCharType="begin"/>
        <w:instrText xml:space="preserve">PAGEREF b_2_4 \h</w:instrText>
        <w:fldChar w:fldCharType="separate"/>
        <w:t xml:space="preserve">277</w:t>
        <w:fldChar w:fldCharType="end"/>
      </w:r>
      <w:r>
        <w:t xml:space="preserve">.</w:t>
      </w:r>
    </w:p>
    <w:p>
      <w:pPr>
        <w:pStyle w:val="Fuente"/>
      </w:pPr>
      <w:r>
        <w:t xml:space="preserve">Véase </w:t>
      </w:r>
      <w:hyperlink w:history="1" w:anchor="b_2_3">
        <w:r>
          <w:rPr>
            <w:color w:val="156B70"/>
            <w:u w:val="single"/>
          </w:rPr>
          <w:t xml:space="preserve">capítulo 2.3 · Estructura de los sistemas</w:t>
        </w:r>
      </w:hyperlink>
      <w:r>
        <w:t xml:space="preserve">, pág. </w:t>
      </w:r>
      <w:r>
        <w:fldChar w:fldCharType="begin"/>
        <w:instrText xml:space="preserve">PAGEREF b_2_3 \h</w:instrText>
        <w:fldChar w:fldCharType="separate"/>
        <w:t xml:space="preserve">259</w:t>
        <w:fldChar w:fldCharType="end"/>
      </w:r>
      <w:r>
        <w:t xml:space="preserve">.</w:t>
      </w:r>
    </w:p>
    <w:p>
      <w:pPr>
        <w:pStyle w:val="Heading3"/>
      </w:pPr>
      <w:bookmarkStart w:name="b_clase_1_3_c6_cap_10" w:id="563"/>
      <w:r>
        <w:t xml:space="preserve">Clase 6 · 01:00:46–01:14:25 · El concepto como filtro: isomorfismo, homomorfismo y la maqueta</w:t>
      </w:r>
      <w:bookmarkEnd w:id="563"/>
    </w:p>
    <w:p>
      <w:bookmarkStart w:name="b_punto_c6_cap_10_p01" w:id="564"/>
      <w:r>
        <w:t xml:space="preserve">Un objeto de la realidad se modeliza mediante el filtro del concepto general de sistema, dando varios modelos que son perspectivas de la misma realidad compleja.</w:t>
      </w:r>
      <w:bookmarkEnd w:id="564"/>
    </w:p>
    <w:p>
      <w:bookmarkStart w:name="b_punto_c6_cap_10_p05" w:id="565"/>
      <w:r>
        <w:t xml:space="preserve">Modelar la evolución exige recopilar datos del objeto en una escala de tiempo suficiente para representar cambios de estructura.</w:t>
      </w:r>
      <w:bookmarkEnd w:id="565"/>
    </w:p>
    <w:p>
      <w:bookmarkStart w:name="b_punto_c6_cap_10_p06" w:id="566"/>
      <w:r>
        <w:t xml:space="preserve">La máquina se crea, funciona y empieza a fallar; el mantenimiento de otras personas puede compensar fallas y extender su vida útil.</w:t>
      </w:r>
      <w:bookmarkEnd w:id="566"/>
    </w:p>
    <w:p>
      <w:bookmarkStart w:name="b_punto_c6_cap_10_p07" w:id="567"/>
      <w:r>
        <w:t xml:space="preserve">Los submodelos del mismo objeto aportan distintas perspectivas y forman conjuntamente su representación sistémica.</w:t>
      </w:r>
      <w:bookmarkEnd w:id="567"/>
    </w:p>
    <w:p>
      <w:bookmarkStart w:name="b_punto_c6_cap_10_p08" w:id="568"/>
      <w:r>
        <w:t xml:space="preserve">El patrón general se concreta en conceptos propios del objeto estudiado; el pensador crea nombres y relaciones que representan esa realidad.</w:t>
      </w:r>
      <w:bookmarkEnd w:id="568"/>
    </w:p>
    <w:p>
      <w:bookmarkStart w:name="b_punto_c6_cap_10_p10" w:id="569"/>
      <w:r>
        <w:t xml:space="preserve">Antes de existir el edificio, la maqueta representa el diseño que se pretende construir; el modelo también puede representar una realidad posible.</w:t>
      </w:r>
      <w:bookmarkEnd w:id="569"/>
    </w:p>
    <w:p>
      <w:pPr>
        <w:pStyle w:val="Fuente"/>
      </w:pPr>
      <w:r>
        <w:t xml:space="preserve">Véase </w:t>
      </w:r>
      <w:hyperlink w:history="1" w:anchor="b_1_7">
        <w:r>
          <w:rPr>
            <w:color w:val="156B70"/>
            <w:u w:val="single"/>
          </w:rPr>
          <w:t xml:space="preserve">capítulo 1.7 · Niveles — modelo del iceberg</w:t>
        </w:r>
      </w:hyperlink>
      <w:r>
        <w:t xml:space="preserve">, pág. </w:t>
      </w:r>
      <w:r>
        <w:fldChar w:fldCharType="begin"/>
        <w:instrText xml:space="preserve">PAGEREF b_1_7 \h</w:instrText>
        <w:fldChar w:fldCharType="separate"/>
        <w:t xml:space="preserve">175</w:t>
        <w:fldChar w:fldCharType="end"/>
      </w:r>
      <w:r>
        <w:t xml:space="preserve">.</w:t>
      </w:r>
    </w:p>
    <w:p>
      <w:pPr>
        <w:pStyle w:val="Fuente"/>
      </w:pPr>
      <w:r>
        <w:t xml:space="preserve">Véase </w:t>
      </w:r>
      <w:hyperlink w:history="1" w:anchor="b_2_4">
        <w:r>
          <w:rPr>
            <w:color w:val="156B70"/>
            <w:u w:val="single"/>
          </w:rPr>
          <w:t xml:space="preserve">capítulo 2.4 · Sub y suprasistemas</w:t>
        </w:r>
      </w:hyperlink>
      <w:r>
        <w:t xml:space="preserve">, pág. </w:t>
      </w:r>
      <w:r>
        <w:fldChar w:fldCharType="begin"/>
        <w:instrText xml:space="preserve">PAGEREF b_2_4 \h</w:instrText>
        <w:fldChar w:fldCharType="separate"/>
        <w:t xml:space="preserve">277</w:t>
        <w:fldChar w:fldCharType="end"/>
      </w:r>
      <w:r>
        <w:t xml:space="preserve">.</w:t>
      </w:r>
    </w:p>
    <w:p>
      <w:pPr>
        <w:pStyle w:val="Fuente"/>
      </w:pPr>
      <w:r>
        <w:t xml:space="preserve">Véase </w:t>
      </w:r>
      <w:hyperlink w:history="1" w:anchor="b_1_4">
        <w:r>
          <w:rPr>
            <w:color w:val="156B70"/>
            <w:u w:val="single"/>
          </w:rPr>
          <w:t xml:space="preserve">capítulo 1.4 · Sistémico vs no sistémico</w:t>
        </w:r>
      </w:hyperlink>
      <w:r>
        <w:t xml:space="preserve">, pág. </w:t>
      </w:r>
      <w:r>
        <w:fldChar w:fldCharType="begin"/>
        <w:instrText xml:space="preserve">PAGEREF b_1_4 \h</w:instrText>
        <w:fldChar w:fldCharType="separate"/>
        <w:t xml:space="preserve">104</w:t>
        <w:fldChar w:fldCharType="end"/>
      </w:r>
      <w:r>
        <w:t xml:space="preserve">.</w:t>
      </w:r>
    </w:p>
    <w:p>
      <w:pPr>
        <w:pStyle w:val="Fuente"/>
      </w:pPr>
      <w:r>
        <w:t xml:space="preserve">Véase </w:t>
      </w:r>
      <w:hyperlink w:history="1" w:anchor="b_2_2">
        <w:r>
          <w:rPr>
            <w:color w:val="156B70"/>
            <w:u w:val="single"/>
          </w:rPr>
          <w:t xml:space="preserve">capítulo 2.2 · Conceptos de un sistema</w:t>
        </w:r>
      </w:hyperlink>
      <w:r>
        <w:t xml:space="preserve">, pág. </w:t>
      </w:r>
      <w:r>
        <w:fldChar w:fldCharType="begin"/>
        <w:instrText xml:space="preserve">PAGEREF b_2_2 \h</w:instrText>
        <w:fldChar w:fldCharType="separate"/>
        <w:t xml:space="preserve">242</w:t>
        <w:fldChar w:fldCharType="end"/>
      </w:r>
      <w:r>
        <w:t xml:space="preserve">.</w:t>
      </w:r>
    </w:p>
    <w:p>
      <w:pPr>
        <w:pStyle w:val="Heading3"/>
      </w:pPr>
      <w:bookmarkStart w:name="b_clase_1_3_c6_cap_11" w:id="570"/>
      <w:r>
        <w:t xml:space="preserve">Clase 6 · 01:14:25–01:22:09 · El paradigma reduccionista y las propiedades emergentes</w:t>
      </w:r>
      <w:bookmarkEnd w:id="570"/>
    </w:p>
    <w:p>
      <w:bookmarkStart w:name="b_punto_c6_cap_11_p03" w:id="571"/>
      <w:r>
        <w:t xml:space="preserve">El ideal de totalidad puede ser demasiado ambicioso y no siempre necesario para resolver un problema particular; no garantiza representar el cien por ciento de una realidad compleja.</w:t>
      </w:r>
      <w:bookmarkEnd w:id="571"/>
    </w:p>
    <w:p>
      <w:pPr>
        <w:pStyle w:val="Fuente"/>
      </w:pPr>
      <w:r>
        <w:t xml:space="preserve">Véase </w:t>
      </w:r>
      <w:hyperlink w:history="1" w:anchor="b_2_1">
        <w:r>
          <w:rPr>
            <w:color w:val="156B70"/>
            <w:u w:val="single"/>
          </w:rPr>
          <w:t xml:space="preserve">capítulo 2.1 · Visión general</w:t>
        </w:r>
      </w:hyperlink>
      <w:r>
        <w:t xml:space="preserve">, pág. </w:t>
      </w:r>
      <w:r>
        <w:fldChar w:fldCharType="begin"/>
        <w:instrText xml:space="preserve">PAGEREF b_2_1 \h</w:instrText>
        <w:fldChar w:fldCharType="separate"/>
        <w:t xml:space="preserve">222</w:t>
        <w:fldChar w:fldCharType="end"/>
      </w:r>
      <w:r>
        <w:t xml:space="preserve">.</w:t>
      </w:r>
    </w:p>
    <w:p>
      <w:pPr>
        <w:pStyle w:val="Fuente"/>
      </w:pPr>
      <w:r>
        <w:t xml:space="preserve">Véase </w:t>
      </w:r>
      <w:hyperlink w:history="1" w:anchor="b_2_5">
        <w:r>
          <w:rPr>
            <w:color w:val="156B70"/>
            <w:u w:val="single"/>
          </w:rPr>
          <w:t xml:space="preserve">capítulo 2.5 · Sinergia y emergencia</w:t>
        </w:r>
      </w:hyperlink>
      <w:r>
        <w:t xml:space="preserve">, pág. </w:t>
      </w:r>
      <w:r>
        <w:fldChar w:fldCharType="begin"/>
        <w:instrText xml:space="preserve">PAGEREF b_2_5 \h</w:instrText>
        <w:fldChar w:fldCharType="separate"/>
        <w:t xml:space="preserve">292</w:t>
        <w:fldChar w:fldCharType="end"/>
      </w:r>
      <w:r>
        <w:t xml:space="preserve">.</w:t>
      </w:r>
    </w:p>
    <w:p>
      <w:pPr>
        <w:pStyle w:val="Heading3"/>
      </w:pPr>
      <w:bookmarkStart w:name="b_clase_1_3_c7_cap_01" w:id="572"/>
      <w:r>
        <w:t xml:space="preserve">Clase 7 · 00:03:20–00:15:02 · Del sistema como totalidad al análisis y la síntesis</w:t>
      </w:r>
      <w:bookmarkEnd w:id="572"/>
    </w:p>
    <w:p>
      <w:bookmarkStart w:name="b_punto_c7_cap_01_p04" w:id="573"/>
      <w:r>
        <w:t xml:space="preserve">Análisis y síntesis son complementarios al pensar sistémicamente: descomponer permite identificar componentes y sintetizar integra relaciones y totalidad.</w:t>
      </w:r>
      <w:bookmarkEnd w:id="573"/>
    </w:p>
    <w:p>
      <w:bookmarkStart w:name="b_punto_c7_cap_01_p05" w:id="574"/>
      <w:r>
        <w:t xml:space="preserve">Objeto es una distinción genérica que puede nombrar una máquina, persona, sistema social, país o planeta que se quiere comprender.</w:t>
      </w:r>
      <w:bookmarkEnd w:id="574"/>
    </w:p>
    <w:p>
      <w:bookmarkStart w:name="b_punto_c7_cap_01_p06" w:id="575"/>
      <w:r>
        <w:t xml:space="preserve">Una mirada exclusivamente analítica limita lo que se ve del contexto; la distinción metodológica se refuerza con el video proyectado después.</w:t>
      </w:r>
      <w:bookmarkEnd w:id="575"/>
    </w:p>
    <w:p>
      <w:pPr>
        <w:pStyle w:val="Fuente"/>
      </w:pPr>
      <w:r>
        <w:t xml:space="preserve">Véase </w:t>
      </w:r>
      <w:hyperlink w:history="1" w:anchor="b_2_2">
        <w:r>
          <w:rPr>
            <w:color w:val="156B70"/>
            <w:u w:val="single"/>
          </w:rPr>
          <w:t xml:space="preserve">capítulo 2.2 · Conceptos de un sistema</w:t>
        </w:r>
      </w:hyperlink>
      <w:r>
        <w:t xml:space="preserve">, pág. </w:t>
      </w:r>
      <w:r>
        <w:fldChar w:fldCharType="begin"/>
        <w:instrText xml:space="preserve">PAGEREF b_2_2 \h</w:instrText>
        <w:fldChar w:fldCharType="separate"/>
        <w:t xml:space="preserve">242</w:t>
        <w:fldChar w:fldCharType="end"/>
      </w:r>
      <w:r>
        <w:t xml:space="preserve">.</w:t>
      </w:r>
    </w:p>
    <w:p>
      <w:pPr>
        <w:pStyle w:val="Fuente"/>
      </w:pPr>
      <w:r>
        <w:t xml:space="preserve">Véase </w:t>
      </w:r>
      <w:hyperlink w:history="1" w:anchor="b_2_4">
        <w:r>
          <w:rPr>
            <w:color w:val="156B70"/>
            <w:u w:val="single"/>
          </w:rPr>
          <w:t xml:space="preserve">capítulo 2.4 · Sub y suprasistemas</w:t>
        </w:r>
      </w:hyperlink>
      <w:r>
        <w:t xml:space="preserve">, pág. </w:t>
      </w:r>
      <w:r>
        <w:fldChar w:fldCharType="begin"/>
        <w:instrText xml:space="preserve">PAGEREF b_2_4 \h</w:instrText>
        <w:fldChar w:fldCharType="separate"/>
        <w:t xml:space="preserve">277</w:t>
        <w:fldChar w:fldCharType="end"/>
      </w:r>
      <w:r>
        <w:t xml:space="preserve">.</w:t>
      </w:r>
    </w:p>
    <w:p>
      <w:pPr>
        <w:pStyle w:val="Heading3"/>
      </w:pPr>
      <w:bookmarkStart w:name="b_clase_1_3_c7_cap_07" w:id="576"/>
      <w:r>
        <w:t xml:space="preserve">Clase 7 · 01:09:49–01:16:32 · Pensamiento sistémico, enfoque sistémico e indagación</w:t>
      </w:r>
      <w:bookmarkEnd w:id="576"/>
    </w:p>
    <w:p>
      <w:bookmarkStart w:name="b_punto_c7_cap_07_p01" w:id="577"/>
      <w:r>
        <w:t xml:space="preserve">Pensamiento sistémico es la actividad de aplicar DSRP; no es idéntico a la perspectiva que el modelo resultante permite adquirir.</w:t>
      </w:r>
      <w:bookmarkEnd w:id="577"/>
    </w:p>
    <w:p>
      <w:bookmarkStart w:name="b_punto_c7_cap_07_p02" w:id="578"/>
      <w:r>
        <w:t xml:space="preserve">La empresa puede mirarse desde cliente, vendedor, patrocinador y regulador: cada rol cambia información y conceptos relevantes.</w:t>
      </w:r>
      <w:bookmarkEnd w:id="578"/>
    </w:p>
    <w:p>
      <w:bookmarkStart w:name="b_punto_c7_cap_07_p03" w:id="579"/>
      <w:r>
        <w:t xml:space="preserve">Enfoque o perspectiva sistémica es la mirada resultante de un modelo; su alcance depende de cómo se construyó y enriqueció la representación.</w:t>
      </w:r>
      <w:bookmarkEnd w:id="579"/>
    </w:p>
    <w:p>
      <w:bookmarkStart w:name="b_punto_c7_cap_07_p05" w:id="580"/>
      <w:r>
        <w:t xml:space="preserve">Representar toda una realidad compleja puede ser imposible; los porcentajes de completitud citados son aproximaciones relativas, no una magnitud que el docente afirme medir con precisión.</w:t>
      </w:r>
      <w:bookmarkEnd w:id="580"/>
    </w:p>
    <w:p>
      <w:pPr>
        <w:pStyle w:val="Fuente"/>
      </w:pPr>
      <w:r>
        <w:t xml:space="preserve">Véase </w:t>
      </w:r>
      <w:hyperlink w:history="1" w:anchor="b_1_6">
        <w:r>
          <w:rPr>
            <w:color w:val="156B70"/>
            <w:u w:val="single"/>
          </w:rPr>
          <w:t xml:space="preserve">capítulo 1.6 · Operaciones DSRP</w:t>
        </w:r>
      </w:hyperlink>
      <w:r>
        <w:t xml:space="preserve">, pág. </w:t>
      </w:r>
      <w:r>
        <w:fldChar w:fldCharType="begin"/>
        <w:instrText xml:space="preserve">PAGEREF b_1_6 \h</w:instrText>
        <w:fldChar w:fldCharType="separate"/>
        <w:t xml:space="preserve">150</w:t>
        <w:fldChar w:fldCharType="end"/>
      </w:r>
      <w:r>
        <w:t xml:space="preserve">.</w:t>
      </w:r>
    </w:p>
    <w:p>
      <w:pPr>
        <w:pStyle w:val="Heading3"/>
      </w:pPr>
      <w:bookmarkStart w:name="b_clase_1_3_c8_cap_06" w:id="581"/>
      <w:r>
        <w:t xml:space="preserve">Clase 8 · 00:56:42–01:06:31 · La telaraña, los ciclos y los puntos de apalancamiento</w:t>
      </w:r>
      <w:bookmarkEnd w:id="581"/>
    </w:p>
    <w:p>
      <w:bookmarkStart w:name="b_punto_c8_cap_06_p01" w:id="582"/>
      <w:r>
        <w:t xml:space="preserve">La telaraña representa relaciones complejas; internet enlaza computadoras y servidores por conexiones alámbricas e inalámbricas.</w:t>
      </w:r>
      <w:bookmarkEnd w:id="582"/>
    </w:p>
    <w:p>
      <w:bookmarkStart w:name="b_punto_c8_cap_06_p02" w:id="583"/>
      <w:r>
        <w:t xml:space="preserve">Gobiernos, redes empresariales entre ciudades e internet ejemplifican sistemas con muchos componentes conectados.</w:t>
      </w:r>
      <w:bookmarkEnd w:id="583"/>
    </w:p>
    <w:p>
      <w:bookmarkStart w:name="b_punto_c8_cap_06_p05" w:id="584"/>
      <w:r>
        <w:t xml:space="preserve">Mover una parte de una telaraña mueve el conjunto; una fuerza que supera su resistencia afecta toda la red.</w:t>
      </w:r>
      <w:bookmarkEnd w:id="584"/>
    </w:p>
    <w:p>
      <w:bookmarkStart w:name="b_punto_c8_cap_06_p06" w:id="585"/>
      <w:r>
        <w:t xml:space="preserve">El macroscopio nombra la mirada sistémica que acerca y aleja entre partes, sistema y contexto para comprender lo complejo y prever conductas.</w:t>
      </w:r>
      <w:bookmarkEnd w:id="585"/>
    </w:p>
    <w:p>
      <w:bookmarkStart w:name="b_punto_c8_cap_06_p07" w:id="586"/>
      <w:r>
        <w:t xml:space="preserve">La sistematografía se compara con filmar la estructura dinámica, funcional y genética en el tiempo; las fotografías fijan la estructura orgánica.</w:t>
      </w:r>
      <w:bookmarkEnd w:id="586"/>
    </w:p>
    <w:p>
      <w:pPr>
        <w:pStyle w:val="Fuente"/>
      </w:pPr>
      <w:r>
        <w:t xml:space="preserve">Véase </w:t>
      </w:r>
      <w:hyperlink w:history="1" w:anchor="b_2_6">
        <w:r>
          <w:rPr>
            <w:color w:val="156B70"/>
            <w:u w:val="single"/>
          </w:rPr>
          <w:t xml:space="preserve">capítulo 2.6 · Complejidad sistémica</w:t>
        </w:r>
      </w:hyperlink>
      <w:r>
        <w:t xml:space="preserve">, pág. </w:t>
      </w:r>
      <w:r>
        <w:fldChar w:fldCharType="begin"/>
        <w:instrText xml:space="preserve">PAGEREF b_2_6 \h</w:instrText>
        <w:fldChar w:fldCharType="separate"/>
        <w:t xml:space="preserve">308</w:t>
        <w:fldChar w:fldCharType="end"/>
      </w:r>
      <w:r>
        <w:t xml:space="preserve">.</w:t>
      </w:r>
    </w:p>
    <w:p>
      <w:pPr>
        <w:pStyle w:val="Heading3"/>
      </w:pPr>
      <w:bookmarkStart w:name="b_clase_1_3_c8_cap_09" w:id="587"/>
      <w:r>
        <w:t xml:space="preserve">Clase 8 · 01:21:22–01:30:35 · El universo como conjunto de sistemas y el mapa de Checkland</w:t>
      </w:r>
      <w:bookmarkEnd w:id="587"/>
    </w:p>
    <w:p>
      <w:bookmarkStart w:name="b_punto_c8_cap_09_p01" w:id="588"/>
      <w:r>
        <w:t xml:space="preserve">La TGS ofrece conceptos generales y un mapa de tipos y jerarquías como referencia para modelar sistemas concretos.</w:t>
      </w:r>
      <w:bookmarkEnd w:id="588"/>
    </w:p>
    <w:p>
      <w:bookmarkStart w:name="b_punto_c8_cap_09_p04" w:id="589"/>
      <w:r>
        <w:t xml:space="preserve">Checkland agrupa en cuatro categorías generales; la actividad humana incluye empresas, familias, comunidades y grupos políticos con personas como componente principal.</w:t>
      </w:r>
      <w:bookmarkEnd w:id="589"/>
    </w:p>
    <w:p>
      <w:bookmarkStart w:name="b_punto_c8_cap_09_p05" w:id="590"/>
      <w:r>
        <w:t xml:space="preserve">Natural es lo no diseñado por humanos: sistemas atómicos, moleculares, ecosistemas, plantas, animales y el propio ser humano.</w:t>
      </w:r>
      <w:bookmarkEnd w:id="590"/>
    </w:p>
    <w:p>
      <w:bookmarkStart w:name="b_punto_c8_cap_09_p09" w:id="591"/>
      <w:r>
        <w:t xml:space="preserve">Los diseñados, físicos o abstractos, se usan como herramientas para actividades y comprensión.</w:t>
      </w:r>
      <w:bookmarkEnd w:id="591"/>
    </w:p>
    <w:p>
      <w:pPr>
        <w:pStyle w:val="Fuente"/>
      </w:pPr>
      <w:r>
        <w:t xml:space="preserve">Véase </w:t>
      </w:r>
      <w:hyperlink w:history="1" w:anchor="b_2_7">
        <w:r>
          <w:rPr>
            <w:color w:val="156B70"/>
            <w:u w:val="single"/>
          </w:rPr>
          <w:t xml:space="preserve">capítulo 2.7 · El universo como sistemas</w:t>
        </w:r>
      </w:hyperlink>
      <w:r>
        <w:t xml:space="preserve">, pág. </w:t>
      </w:r>
      <w:r>
        <w:fldChar w:fldCharType="begin"/>
        <w:instrText xml:space="preserve">PAGEREF b_2_7 \h</w:instrText>
        <w:fldChar w:fldCharType="separate"/>
        <w:t xml:space="preserve">329</w:t>
        <w:fldChar w:fldCharType="end"/>
      </w:r>
      <w:r>
        <w:t xml:space="preserve">.</w:t>
      </w:r>
    </w:p>
    <w:p>
      <w:pPr>
        <w:pStyle w:val="Heading3"/>
      </w:pPr>
      <w:bookmarkStart w:name="b_clase_1_3_c9_cap_05" w:id="592"/>
      <w:r>
        <w:t xml:space="preserve">Clase 9 · 00:31:09–00:36:34 · Mapa integral de conceptos y transdisciplinariedad</w:t>
      </w:r>
      <w:bookmarkEnd w:id="592"/>
    </w:p>
    <w:p>
      <w:bookmarkStart w:name="b_punto_c9_cap_05_p01" w:id="593"/>
      <w:r>
        <w:t xml:space="preserve">El mapa integral reúne emergencia, jerarquías, autoorganización de subsistemas a suprasistemas, evolución y complejidad.</w:t>
      </w:r>
      <w:bookmarkEnd w:id="593"/>
    </w:p>
    <w:p>
      <w:bookmarkStart w:name="b_punto_c9_cap_05_p02" w:id="594"/>
      <w:r>
        <w:t xml:space="preserve">La transdisciplinariedad combina enfoques científicos que una sola perspectiva no alcanza a sustituir.</w:t>
      </w:r>
      <w:bookmarkEnd w:id="594"/>
    </w:p>
    <w:p>
      <w:bookmarkStart w:name="b_punto_c9_cap_05_p03" w:id="595"/>
      <w:r>
        <w:t xml:space="preserve">El equipo de empresa reúne recursos humanos, ingeniería/procesos, gerencia, finanzas y atención al cliente para coordinar y resolver.</w:t>
      </w:r>
      <w:bookmarkEnd w:id="595"/>
    </w:p>
    <w:p>
      <w:pPr>
        <w:pStyle w:val="Fuente"/>
      </w:pPr>
      <w:r>
        <w:t xml:space="preserve">Véase </w:t>
      </w:r>
      <w:hyperlink w:history="1" w:anchor="b_2_1">
        <w:r>
          <w:rPr>
            <w:color w:val="156B70"/>
            <w:u w:val="single"/>
          </w:rPr>
          <w:t xml:space="preserve">capítulo 2.1 · Visión general</w:t>
        </w:r>
      </w:hyperlink>
      <w:r>
        <w:t xml:space="preserve">, pág. </w:t>
      </w:r>
      <w:r>
        <w:fldChar w:fldCharType="begin"/>
        <w:instrText xml:space="preserve">PAGEREF b_2_1 \h</w:instrText>
        <w:fldChar w:fldCharType="separate"/>
        <w:t xml:space="preserve">222</w:t>
        <w:fldChar w:fldCharType="end"/>
      </w:r>
      <w:r>
        <w:t xml:space="preserve">.</w:t>
      </w:r>
    </w:p>
    <w:p>
      <w:pPr>
        <w:pStyle w:val="Heading3"/>
      </w:pPr>
      <w:bookmarkStart w:name="b_clase_1_3_c9_cap_09" w:id="596"/>
      <w:r>
        <w:t xml:space="preserve">Clase 9 · 00:59:30–01:10:00 · Sistemas abiertos y cerrados, equifinalidad y la tarea de multifinalidad</w:t>
      </w:r>
      <w:bookmarkEnd w:id="596"/>
    </w:p>
    <w:p>
      <w:bookmarkStart w:name="b_punto_c9_cap_09_p02" w:id="597"/>
      <w:r>
        <w:t xml:space="preserve">La computadora no se autolimpia: con usuario/técnico forma el sistema mayor que mantiene su utilidad y genera neguentropía.</w:t>
      </w:r>
      <w:bookmarkEnd w:id="597"/>
    </w:p>
    <w:p>
      <w:bookmarkStart w:name="b_punto_c9_cap_09_p03" w:id="598"/>
      <w:r>
        <w:t xml:space="preserve">En el vocabulario amplio de la sesión, el sistema abierto tiene interacciones de entradas/salidas con el medio y constituye la mayoría de los sistemas.</w:t>
      </w:r>
      <w:bookmarkEnd w:id="598"/>
    </w:p>
    <w:p>
      <w:bookmarkStart w:name="b_punto_c9_cap_09_p04" w:id="599"/>
      <w:r>
        <w:t xml:space="preserve">La sesión usa cerrado para el aislamiento de interacciones por experimento, accidente o decisión humana; lo presenta como poco común.</w:t>
      </w:r>
      <w:bookmarkEnd w:id="599"/>
    </w:p>
    <w:p>
      <w:bookmarkStart w:name="b_punto_c9_cap_09_p06" w:id="600"/>
      <w:r>
        <w:t xml:space="preserve">Una ruta para aumentar utilidades reduce los costos de producción: gastar menos para obtener el resultado.</w:t>
      </w:r>
      <w:bookmarkEnd w:id="600"/>
    </w:p>
    <w:p>
      <w:bookmarkStart w:name="b_punto_c9_cap_09_p07" w:id="601"/>
      <w:r>
        <w:t xml:space="preserve">Otra ruta aumenta el margen de ganancia por producto: una fracción mayor de la venta queda como utilidad en vez de cubrir costos.</w:t>
      </w:r>
      <w:bookmarkEnd w:id="601"/>
    </w:p>
    <w:p>
      <w:bookmarkStart w:name="b_punto_c9_cap_09_p08" w:id="602"/>
      <w:r>
        <w:t xml:space="preserve">La tercera ruta aumenta volumen mediante servicios, mercados o sucursales, sin cambiar precios ni costos por venta.</w:t>
      </w:r>
      <w:bookmarkEnd w:id="602"/>
    </w:p>
    <w:p>
      <w:bookmarkStart w:name="b_punto_c9_cap_09_p09" w:id="603"/>
      <w:r>
        <w:t xml:space="preserve">Multifinalidad sólo se menciona como sentido opuesto de equifinalidad y se encarga investigar y definirla; la grabación no da su definición.</w:t>
      </w:r>
      <w:bookmarkEnd w:id="603"/>
    </w:p>
    <w:p>
      <w:pPr>
        <w:pStyle w:val="Fuente"/>
      </w:pPr>
      <w:r>
        <w:t xml:space="preserve">Véase </w:t>
      </w:r>
      <w:hyperlink w:history="1" w:anchor="b_2_1">
        <w:r>
          <w:rPr>
            <w:color w:val="156B70"/>
            <w:u w:val="single"/>
          </w:rPr>
          <w:t xml:space="preserve">capítulo 2.1 · Visión general</w:t>
        </w:r>
      </w:hyperlink>
      <w:r>
        <w:t xml:space="preserve">, pág. </w:t>
      </w:r>
      <w:r>
        <w:fldChar w:fldCharType="begin"/>
        <w:instrText xml:space="preserve">PAGEREF b_2_1 \h</w:instrText>
        <w:fldChar w:fldCharType="separate"/>
        <w:t xml:space="preserve">222</w:t>
        <w:fldChar w:fldCharType="end"/>
      </w:r>
      <w:r>
        <w:t xml:space="preserve">.</w:t>
      </w:r>
    </w:p>
    <w:p>
      <w:pPr>
        <w:pStyle w:val="Fuente"/>
      </w:pPr>
      <w:r>
        <w:t xml:space="preserve">Véase </w:t>
      </w:r>
      <w:hyperlink w:history="1" w:anchor="b_2_8">
        <w:r>
          <w:rPr>
            <w:color w:val="156B70"/>
            <w:u w:val="single"/>
          </w:rPr>
          <w:t xml:space="preserve">capítulo 2.8 · Otros conceptos de la TGS</w:t>
        </w:r>
      </w:hyperlink>
      <w:r>
        <w:t xml:space="preserve">, pág. </w:t>
      </w:r>
      <w:r>
        <w:fldChar w:fldCharType="begin"/>
        <w:instrText xml:space="preserve">PAGEREF b_2_8 \h</w:instrText>
        <w:fldChar w:fldCharType="separate"/>
        <w:t xml:space="preserve">345</w:t>
        <w:fldChar w:fldCharType="end"/>
      </w:r>
      <w:r>
        <w:t xml:space="preserve">.</w:t>
      </w:r>
    </w:p>
    <w:p>
      <w:pPr>
        <w:pStyle w:val="Heading3"/>
      </w:pPr>
      <w:bookmarkStart w:name="b_cita_clase_6_el_paradigma_de__24d82d93" w:id="604"/>
      <w:r>
        <w:t xml:space="preserve">Palabras del profesor</w:t>
      </w:r>
      <w:bookmarkEnd w:id="604"/>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El profesor lo dijo así</w:t>
            </w:r>
          </w:p>
          <w:p>
            <w:pPr>
              <w:pStyle w:val="Recuadro"/>
            </w:pPr>
            <w:r>
              <w:t xml:space="preserve">«Muchos autores le denominan un metaparadigma: un modelo mental amplio que de alguna manera determina e influye en las reglas y en las normas con que debemos regir nuestros propios pensamientos y nuestra propia construcción de los modelos mentales, y que está basado en una teoría generalista que busca una visión unitaria del mundo, del universo, de la realidad.»</w:t>
            </w:r>
          </w:p>
          <w:p>
            <w:pPr>
              <w:pStyle w:val="Recuadro"/>
            </w:pPr>
            <w:r>
              <w:t xml:space="preserve">Clase 6 · 00:41:13–00:41:52</w:t>
            </w:r>
          </w:p>
        </w:tc>
      </w:tr>
    </w:tbl>
    <w:p>
      <w:pPr>
        <w:pStyle w:val="Heading3"/>
      </w:pPr>
      <w:bookmarkStart w:name="b_cita_clase_6_el_concepto_de_s_f95176bc" w:id="605"/>
      <w:r>
        <w:t xml:space="preserve">Palabras del profesor</w:t>
      </w:r>
      <w:bookmarkEnd w:id="605"/>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El profesor lo dijo así</w:t>
            </w:r>
          </w:p>
          <w:p>
            <w:pPr>
              <w:pStyle w:val="Recuadro"/>
            </w:pPr>
            <w:r>
              <w:t xml:space="preserve">«La creación de los modelos mentales sistémicos filtra la realidad utilizando como filtro, utilizando como proceso de discriminación de la realidad, el concepto de sistema.»</w:t>
            </w:r>
          </w:p>
          <w:p>
            <w:pPr>
              <w:pStyle w:val="Recuadro"/>
            </w:pPr>
            <w:r>
              <w:t xml:space="preserve">Clase 6 · 01:00:37–01:01:00</w:t>
            </w:r>
          </w:p>
        </w:tc>
      </w:tr>
    </w:tbl>
    <w:p>
      <w:pPr>
        <w:pStyle w:val="Heading3"/>
      </w:pPr>
      <w:bookmarkStart w:name="b_cita_clase_1_teoria_generalis_4e9f47e4" w:id="606"/>
      <w:r>
        <w:t xml:space="preserve">Palabras del profesor</w:t>
      </w:r>
      <w:bookmarkEnd w:id="606"/>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El profesor lo dijo así</w:t>
            </w:r>
          </w:p>
          <w:p>
            <w:pPr>
              <w:pStyle w:val="Recuadro"/>
            </w:pPr>
            <w:r>
              <w:t xml:space="preserve">«El paradigma de sistemas sería una forma de pensar, una teoría generalista que busca abordar el estudio de la realidad del mundo, la realidad del universo, con una visión unitaria o completa, una visión integral, a veces denominada holística»</w:t>
            </w:r>
          </w:p>
          <w:p>
            <w:pPr>
              <w:pStyle w:val="Recuadro"/>
            </w:pPr>
            <w:r>
              <w:t xml:space="preserve">Clase 1 · 01:10:39–01:11:11</w:t>
            </w:r>
          </w:p>
        </w:tc>
      </w:tr>
    </w:tbl>
    <w:p>
      <w:pPr>
        <w:pStyle w:val="Heading3"/>
      </w:pPr>
      <w:bookmarkStart w:name="b_cita_clase_1_concepto_de_sist_aa83ed64" w:id="607"/>
      <w:r>
        <w:t xml:space="preserve">Palabras del profesor</w:t>
      </w:r>
      <w:bookmarkEnd w:id="607"/>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El profesor lo dijo así</w:t>
            </w:r>
          </w:p>
          <w:p>
            <w:pPr>
              <w:pStyle w:val="Recuadro"/>
            </w:pPr>
            <w:r>
              <w:t xml:space="preserve">«El paradigma de sistemas utiliza el concepto de sistema para poder marcar un patrón de modelaje de esas realidades que aparecen alrededor de cada uno de nosotros»</w:t>
            </w:r>
          </w:p>
          <w:p>
            <w:pPr>
              <w:pStyle w:val="Recuadro"/>
            </w:pPr>
            <w:r>
              <w:t xml:space="preserve">Clase 1 · 01:12:27–01:12:46</w:t>
            </w:r>
          </w:p>
        </w:tc>
      </w:tr>
    </w:tbl>
    <w:p>
      <w:pPr>
        <w:pStyle w:val="Heading3"/>
      </w:pPr>
      <w:bookmarkStart w:name="b_cita_clase_2_el_concepto_de_s_47117cc9" w:id="608"/>
      <w:r>
        <w:t xml:space="preserve">Palabras del profesor</w:t>
      </w:r>
      <w:bookmarkEnd w:id="608"/>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El profesor lo dijo así</w:t>
            </w:r>
          </w:p>
          <w:p>
            <w:pPr>
              <w:pStyle w:val="Recuadro"/>
            </w:pPr>
            <w:r>
              <w:t xml:space="preserve">«El concepto de sistema es la base de ese tipo de pensamiento; eso ya es un paradigma. De hecho, todos los tipos de pensamiento de una u otra manera están asociados a algún paradigma.»</w:t>
            </w:r>
          </w:p>
          <w:p>
            <w:pPr>
              <w:pStyle w:val="Recuadro"/>
            </w:pPr>
            <w:r>
              <w:t xml:space="preserve">Clase 2 · 00:17:21–00:17:43</w:t>
            </w:r>
          </w:p>
        </w:tc>
      </w:tr>
    </w:tbl>
    <w:p>
      <w:pPr>
        <w:pStyle w:val="Heading3"/>
      </w:pPr>
      <w:bookmarkStart w:name="b_cita_clase_8_el_universo_como_d135ec90" w:id="609"/>
      <w:r>
        <w:t xml:space="preserve">Palabras del profesor</w:t>
      </w:r>
      <w:bookmarkEnd w:id="609"/>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El profesor lo dijo así</w:t>
            </w:r>
          </w:p>
          <w:p>
            <w:pPr>
              <w:pStyle w:val="Recuadro"/>
            </w:pPr>
            <w:r>
              <w:t xml:space="preserve">«La perspectiva sistémica supone que el universo, el mundo, es un conjunto de sistemas interactuando entre sí; es una premisa y un paradigma, no la afirmación de que conocemos la realidad en sí misma.»</w:t>
            </w:r>
          </w:p>
          <w:p>
            <w:pPr>
              <w:pStyle w:val="Recuadro"/>
            </w:pPr>
            <w:r>
              <w:t xml:space="preserve">Clase 8 · 01:22:26–01:22:59</w:t>
            </w:r>
          </w:p>
        </w:tc>
      </w:tr>
    </w:tbl>
    <w:p>
      <w:pPr>
        <w:pStyle w:val="Heading3"/>
      </w:pPr>
      <w:bookmarkStart w:name="b_cita_clase_8_el_filtro_comple_52bc31e0" w:id="610"/>
      <w:r>
        <w:t xml:space="preserve">Palabras del profesor</w:t>
      </w:r>
      <w:bookmarkEnd w:id="610"/>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El profesor lo dijo así</w:t>
            </w:r>
          </w:p>
          <w:p>
            <w:pPr>
              <w:pStyle w:val="Recuadro"/>
            </w:pPr>
            <w:r>
              <w:t xml:space="preserve">«El filtro completo que usamos para ver la realidad es la teoría de sistemas: sus conceptos y la estructura genérica de lo que es un sistema, lo que tiene, lo que genera y cómo se comporta.»</w:t>
            </w:r>
          </w:p>
          <w:p>
            <w:pPr>
              <w:pStyle w:val="Recuadro"/>
            </w:pPr>
            <w:r>
              <w:t xml:space="preserve">Clase 8 · 00:16:42–00:17:13</w:t>
            </w:r>
          </w:p>
        </w:tc>
      </w:tr>
    </w:tbl>
    <w:p>
      <w:pPr>
        <w:pStyle w:val="Heading3"/>
      </w:pPr>
      <w:bookmarkStart w:name="b_cita_clase_9_teoria_de_sistem_fe9dd9fc" w:id="611"/>
      <w:r>
        <w:t xml:space="preserve">Palabras del profesor</w:t>
      </w:r>
      <w:bookmarkEnd w:id="611"/>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El profesor lo dijo así</w:t>
            </w:r>
          </w:p>
          <w:p>
            <w:pPr>
              <w:pStyle w:val="Recuadro"/>
            </w:pPr>
            <w:r>
              <w:t xml:space="preserve">«El filtro que es toda esta teoría de sistemas, toda la conceptualización relacionada con el concepto base de sistema, debe servirnos de base para identificar en los sistemas concretos cada una de estas características, atributos o conceptos.»</w:t>
            </w:r>
          </w:p>
          <w:p>
            <w:pPr>
              <w:pStyle w:val="Recuadro"/>
            </w:pPr>
            <w:r>
              <w:t xml:space="preserve">Clase 9 · 00:35:51–00:36:16</w:t>
            </w:r>
          </w:p>
        </w:tc>
      </w:tr>
    </w:tbl>
    <w:p>
      <w:pPr>
        <w:pStyle w:val="Heading3"/>
      </w:pPr>
      <w:r>
        <w:t xml:space="preserve">Errores frecuentes y trampa de examen</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9C620A" w:sz="20"/>
              <w:bottom w:val="nil"/>
              <w:right w:val="nil"/>
            </w:tcBorders>
            <w:shd w:fill="FBF3DF" w:val="clear"/>
            <w:tcMar>
              <w:top w:type="dxa" w:w="130"/>
              <w:left w:type="dxa" w:w="180"/>
              <w:bottom w:type="dxa" w:w="130"/>
              <w:right w:type="dxa" w:w="180"/>
            </w:tcMar>
          </w:tcPr>
          <w:p>
            <w:pPr>
              <w:pStyle w:val="RecuadroTitulo"/>
            </w:pPr>
            <w:r>
              <w:rPr>
                <w:b/>
                <w:bCs/>
                <w:color w:val="9C620A"/>
              </w:rPr>
              <w:t xml:space="preserve">Error → corrección</w:t>
            </w:r>
          </w:p>
          <w:p>
            <w:pPr>
              <w:pStyle w:val="Recuadro"/>
            </w:pPr>
            <w:r>
              <w:rPr>
                <w:b/>
                <w:bCs/>
              </w:rPr>
              <w:t xml:space="preserve">Error:</w:t>
            </w:r>
            <w:r>
              <w:t xml:space="preserve"> Creer que la realidad «es» un conjunto de sistemas.</w:t>
            </w:r>
          </w:p>
          <w:p>
            <w:pPr>
              <w:pStyle w:val="Recuadro"/>
            </w:pPr>
            <w:r>
              <w:rPr>
                <w:b/>
                <w:bCs/>
              </w:rPr>
              <w:t xml:space="preserve">Corrección:</w:t>
            </w:r>
            <w:r>
              <w:t xml:space="preserve"> Es una premisa del paradigma: se supone que el universo es un conjunto de sistemas interactuando.</w:t>
            </w:r>
          </w:p>
          <w:p>
            <w:pPr>
              <w:pStyle w:val="Recuadro"/>
            </w:pPr>
            <w:r>
              <w:t xml:space="preserve">Clase 8 · 01:22:26–01:22:59 · Clase 8 · 01:23:58–01:25:13</w:t>
            </w:r>
          </w:p>
        </w:tc>
      </w:tr>
    </w:tbl>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9C620A" w:sz="20"/>
              <w:bottom w:val="nil"/>
              <w:right w:val="nil"/>
            </w:tcBorders>
            <w:shd w:fill="FBF3DF" w:val="clear"/>
            <w:tcMar>
              <w:top w:type="dxa" w:w="130"/>
              <w:left w:type="dxa" w:w="180"/>
              <w:bottom w:type="dxa" w:w="130"/>
              <w:right w:type="dxa" w:w="180"/>
            </w:tcMar>
          </w:tcPr>
          <w:p>
            <w:pPr>
              <w:pStyle w:val="RecuadroTitulo"/>
            </w:pPr>
            <w:r>
              <w:rPr>
                <w:b/>
                <w:bCs/>
                <w:color w:val="9C620A"/>
              </w:rPr>
              <w:t xml:space="preserve">Error → corrección</w:t>
            </w:r>
          </w:p>
          <w:p>
            <w:pPr>
              <w:pStyle w:val="Recuadro"/>
            </w:pPr>
            <w:r>
              <w:rPr>
                <w:b/>
                <w:bCs/>
              </w:rPr>
              <w:t xml:space="preserve">Error:</w:t>
            </w:r>
            <w:r>
              <w:t xml:space="preserve"> Tomarlo como único paradigma o sustituto de los demás.</w:t>
            </w:r>
          </w:p>
          <w:p>
            <w:pPr>
              <w:pStyle w:val="Recuadro"/>
            </w:pPr>
            <w:r>
              <w:rPr>
                <w:b/>
                <w:bCs/>
              </w:rPr>
              <w:t xml:space="preserve">Corrección:</w:t>
            </w:r>
            <w:r>
              <w:t xml:space="preserve"> Antes se usaron otros conceptos como filtro, y todo tipo de pensamiento se asocia a algún paradigma.</w:t>
            </w:r>
          </w:p>
          <w:p>
            <w:pPr>
              <w:pStyle w:val="Recuadro"/>
            </w:pPr>
            <w:r>
              <w:t xml:space="preserve">Clase 1 · 01:13:19–01:14:30 · Clase 2 · 00:17:21–00:18:04 · Clase 6 · 01:14:02–01:14:32</w:t>
            </w:r>
          </w:p>
        </w:tc>
      </w:tr>
    </w:tbl>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9C620A" w:sz="20"/>
              <w:bottom w:val="nil"/>
              <w:right w:val="nil"/>
            </w:tcBorders>
            <w:shd w:fill="FBF3DF" w:val="clear"/>
            <w:tcMar>
              <w:top w:type="dxa" w:w="130"/>
              <w:left w:type="dxa" w:w="180"/>
              <w:bottom w:type="dxa" w:w="130"/>
              <w:right w:type="dxa" w:w="180"/>
            </w:tcMar>
          </w:tcPr>
          <w:p>
            <w:pPr>
              <w:pStyle w:val="RecuadroTitulo"/>
            </w:pPr>
            <w:r>
              <w:rPr>
                <w:b/>
                <w:bCs/>
                <w:color w:val="9C620A"/>
              </w:rPr>
              <w:t xml:space="preserve">Error → corrección</w:t>
            </w:r>
          </w:p>
          <w:p>
            <w:pPr>
              <w:pStyle w:val="Recuadro"/>
            </w:pPr>
            <w:r>
              <w:rPr>
                <w:b/>
                <w:bCs/>
              </w:rPr>
              <w:t xml:space="preserve">Error:</w:t>
            </w:r>
            <w:r>
              <w:t xml:space="preserve"> Confundir pensamiento sistémico con enfoque sistémico.</w:t>
            </w:r>
          </w:p>
          <w:p>
            <w:pPr>
              <w:pStyle w:val="Recuadro"/>
            </w:pPr>
            <w:r>
              <w:rPr>
                <w:b/>
                <w:bCs/>
              </w:rPr>
              <w:t xml:space="preserve">Corrección:</w:t>
            </w:r>
            <w:r>
              <w:t xml:space="preserve"> El pensamiento sistémico es el paradigma; el enfoque o perspectiva sistémica es lo que ese paradigma permite ver.</w:t>
            </w:r>
          </w:p>
          <w:p>
            <w:pPr>
              <w:pStyle w:val="Recuadro"/>
            </w:pPr>
            <w:r>
              <w:t xml:space="preserve">Clase 7 · 01:10:01–01:10:32</w:t>
            </w:r>
          </w:p>
        </w:tc>
      </w:tr>
    </w:tbl>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9C620A" w:sz="20"/>
              <w:bottom w:val="nil"/>
              <w:right w:val="nil"/>
            </w:tcBorders>
            <w:shd w:fill="FBF3DF" w:val="clear"/>
            <w:tcMar>
              <w:top w:type="dxa" w:w="130"/>
              <w:left w:type="dxa" w:w="180"/>
              <w:bottom w:type="dxa" w:w="130"/>
              <w:right w:type="dxa" w:w="180"/>
            </w:tcMar>
          </w:tcPr>
          <w:p>
            <w:pPr>
              <w:pStyle w:val="RecuadroTitulo"/>
            </w:pPr>
            <w:r>
              <w:rPr>
                <w:b/>
                <w:bCs/>
                <w:color w:val="9C620A"/>
              </w:rPr>
              <w:t xml:space="preserve">Trampa de examen</w:t>
            </w:r>
          </w:p>
          <w:p>
            <w:pPr>
              <w:pStyle w:val="Recuadro"/>
            </w:pPr>
            <w:r>
              <w:t xml:space="preserve">Metaparadigma no significa «el paradigma más importante» ni «el que sustituye a los demás»: significa que opera sobre los otros modelos mentales, fijando las reglas con que se construyen, mediante un solo filtro, el concepto de sistema. Y que el universo sea un conjunto de sistemas es una premisa del paradigma, no una propiedad comprobada de la realidad.</w:t>
            </w:r>
          </w:p>
        </w:tc>
      </w:tr>
    </w:tbl>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Ampliación: lo no dictado en clase</w:t>
            </w:r>
          </w:p>
          <w:p>
            <w:pPr>
              <w:pStyle w:val="Recuadro"/>
            </w:pPr>
            <w:r>
              <w:t xml:space="preserve">La lámina de la clase 1 cierra con una definición de objeto firmada por Le Moigne que ese día no se desarrolló; la clase 6 la leyó como cuarta definición de sistema, materia del tema 2.2. El esquema de «sistemografiar» de la lectura (objeto, sistema generalizado, sistema de representación o modelizador, modelo) no se dictó: la clase sólo comentó el esquema objeto → filtro → objeto modelizado. Tampoco se dictó que la teoría general de sistemas (Bertalanffy) reaccione contra la fragmentación disciplinaria. Las relaciones de poder y el detalle de incertidumbre de los efectos se desarrollan desde C-5, página 18; no se presentan como una lectura oral íntegra de la página.</w:t>
            </w:r>
          </w:p>
        </w:tc>
      </w:tr>
    </w:tbl>
    <w:p>
      <w:pPr>
        <w:pStyle w:val="Heading3"/>
      </w:pPr>
      <w:r>
        <w:t xml:space="preserve">Lecturas y tareas del curso</w:t>
      </w:r>
    </w:p>
    <w:p>
      <w:pPr>
        <w:pStyle w:val="Normal"/>
      </w:pPr>
      <w:r>
        <w:t xml:space="preserve">C-5 · Unidad 1 · Sistemas abstractos diseñados y paradigmas (presentación). 63 páginas con paradigmas, tipos de pensamiento, escalera de inferencias, iceberg, hábitos, DSRP y modelos sistémicos. Copia íntegra de la presentación del profesor.</w:t>
      </w:r>
    </w:p>
    <w:p>
      <w:pPr>
        <w:pStyle w:val="Normal"/>
      </w:pPr>
      <w:r>
        <w:t xml:space="preserve">L-6 · El paradigma sistémico: Teoría General de Sistemas. Lectura que presenta la Teoría General de Sistemas como paradigma: de dónde surge, qué problema resuelve frente a la fragmentación disciplinaria y qué compromisos impone al observador.</w:t>
      </w:r>
    </w:p>
    <w:p>
      <w:pPr>
        <w:pStyle w:val="Normal"/>
      </w:pPr>
      <w:r>
        <w:t xml:space="preserve">L-5 · Enfoque de sistemas y pensamiento sistémico. Lectura de la Unidad 2 sobre el enfoque de sistemas: en qué se diferencia de la mirada analítica clásica y qué implica sostener el pensamiento sistémico como método de trabajo.</w:t>
      </w:r>
    </w:p>
    <w:p>
      <w:pPr>
        <w:pStyle w:val="Heading3"/>
      </w:pPr>
      <w:r>
        <w:t xml:space="preserve">Práctica de los laboratorios</w:t>
      </w:r>
    </w:p>
    <w:p>
      <w:pPr>
        <w:pStyle w:val="Normal"/>
      </w:pPr>
      <w:r>
        <w:t xml:space="preserve">Los procedimientos del capítulo permiten reconstruir en papel la práctica interactiva. Los laboratorios originales permanecen disponibles en la lección del portal.</w:t>
      </w:r>
    </w:p>
    <w:p>
      <w:pPr>
        <w:pStyle w:val="Normal"/>
        <w:numPr>
          <w:ilvl w:val="0"/>
          <w:numId w:val="2"/>
        </w:numPr>
      </w:pPr>
      <w:r>
        <w:t xml:space="preserve">Cambiar de paradigma y ver qué información entra</w:t>
      </w:r>
    </w:p>
    <w:p>
      <w:pPr>
        <w:pStyle w:val="Normal"/>
        <w:numPr>
          <w:ilvl w:val="0"/>
          <w:numId w:val="2"/>
        </w:numPr>
      </w:pPr>
      <w:r>
        <w:t xml:space="preserve">El concepto de sistema como filtro</w:t>
      </w:r>
    </w:p>
    <w:p>
      <w:pPr>
        <w:pStyle w:val="Normal"/>
        <w:numPr>
          <w:ilvl w:val="0"/>
          <w:numId w:val="2"/>
        </w:numPr>
      </w:pPr>
      <w:r>
        <w:t xml:space="preserve">La definición de objeto de Le Moigne, pieza a pieza</w:t>
      </w:r>
    </w:p>
    <w:p>
      <w:pPr>
        <w:pStyle w:val="Heading3"/>
      </w:pPr>
      <w:r>
        <w:t xml:space="preserve">Autoevaluación</w:t>
      </w:r>
    </w:p>
    <w:p>
      <w:pPr>
        <w:pStyle w:val="Normal"/>
      </w:pPr>
      <w:r>
        <w:t xml:space="preserve">Resuelva sin consultar las respuestas. Compruebe al final del capítulo por qué cada opción es correcta o incorrecta.</w:t>
      </w:r>
    </w:p>
    <w:p>
      <w:pPr>
        <w:pStyle w:val="Heading3"/>
      </w:pPr>
      <w:bookmarkStart w:name="b_pregunta_auto_1_3_1" w:id="612"/>
      <w:r>
        <w:t xml:space="preserve">1.3-A1 · Una propuesta técnica recibe apoyo, pero quien controla el presupuesto la bloquea. ¿Qué relación debe incluir el modelo?</w:t>
      </w:r>
      <w:bookmarkEnd w:id="612"/>
    </w:p>
    <w:p>
      <w:pPr>
        <w:pStyle w:val="Normal"/>
      </w:pPr>
      <w:r>
        <w:t xml:space="preserve">a) La distribución de poder para autorizar o impedir el cambio</w:t>
      </w:r>
    </w:p>
    <w:p>
      <w:pPr>
        <w:pStyle w:val="Normal"/>
      </w:pPr>
      <w:r>
        <w:t xml:space="preserve">b) Sólo la cantidad de piezas del sistema</w:t>
      </w:r>
    </w:p>
    <w:p>
      <w:pPr>
        <w:pStyle w:val="Normal"/>
      </w:pPr>
      <w:r>
        <w:t xml:space="preserve">c) La certeza de que el diagnóstico era falso</w:t>
      </w:r>
    </w:p>
    <w:p>
      <w:pPr>
        <w:pStyle w:val="Normal"/>
      </w:pPr>
      <w:r>
        <w:t xml:space="preserve">d) Únicamente la personalidad de quienes apoyaron</w:t>
      </w:r>
    </w:p>
    <w:p>
      <w:pPr>
        <w:pStyle w:val="Heading3"/>
      </w:pPr>
      <w:bookmarkStart w:name="b_pregunta_auto_1_3_2" w:id="613"/>
      <w:r>
        <w:t xml:space="preserve">1.3-A2 · ¿Qué implica la incertidumbre al intervenir en un problema con muchos actores e interrelaciones?</w:t>
      </w:r>
      <w:bookmarkEnd w:id="613"/>
    </w:p>
    <w:p>
      <w:pPr>
        <w:pStyle w:val="Normal"/>
      </w:pPr>
      <w:r>
        <w:t xml:space="preserve">a) Que acordar la acción garantiza prever sus efectos</w:t>
      </w:r>
    </w:p>
    <w:p>
      <w:pPr>
        <w:pStyle w:val="Normal"/>
      </w:pPr>
      <w:r>
        <w:t xml:space="preserve">b) No se conocen todos los efectos y hace falta explicitar lagunas y observar resultados</w:t>
      </w:r>
    </w:p>
    <w:p>
      <w:pPr>
        <w:pStyle w:val="Normal"/>
      </w:pPr>
      <w:r>
        <w:t xml:space="preserve">c) Que basta la información del actor con más recursos</w:t>
      </w:r>
    </w:p>
    <w:p>
      <w:pPr>
        <w:pStyle w:val="Normal"/>
      </w:pPr>
      <w:r>
        <w:t xml:space="preserve">d) Que toda intervención tiene el mismo resultado</w:t>
      </w:r>
    </w:p>
    <w:p>
      <w:pPr>
        <w:pStyle w:val="Heading3"/>
      </w:pPr>
      <w:bookmarkStart w:name="b_pregunta_auto_1_3_3" w:id="614"/>
      <w:r>
        <w:t xml:space="preserve">1.3-A3 · El paradigma de sistemas interpreta la realidad, ante todo, como…</w:t>
      </w:r>
      <w:bookmarkEnd w:id="614"/>
    </w:p>
    <w:p>
      <w:pPr>
        <w:pStyle w:val="Normal"/>
      </w:pPr>
      <w:r>
        <w:t xml:space="preserve">a) una colección de partes independientes que conviene separar</w:t>
      </w:r>
    </w:p>
    <w:p>
      <w:pPr>
        <w:pStyle w:val="Normal"/>
      </w:pPr>
      <w:r>
        <w:t xml:space="preserve">b) un conjunto de sistemas que interactúan entre sí</w:t>
      </w:r>
    </w:p>
    <w:p>
      <w:pPr>
        <w:pStyle w:val="Normal"/>
      </w:pPr>
      <w:r>
        <w:t xml:space="preserve">c) un montón de fenómenos sin relación ni orden</w:t>
      </w:r>
    </w:p>
    <w:p>
      <w:pPr>
        <w:pStyle w:val="Normal"/>
      </w:pPr>
      <w:r>
        <w:t xml:space="preserve">d) la suma exacta de sus componentes</w:t>
      </w:r>
    </w:p>
    <w:p>
      <w:pPr>
        <w:pStyle w:val="Heading3"/>
      </w:pPr>
      <w:bookmarkStart w:name="b_pregunta_auto_1_3_4" w:id="615"/>
      <w:r>
        <w:t xml:space="preserve">1.3-A4 · Mientras el paradigma reduccionista pregunta «¿de qué partes está hecho?», el paradigma de sistemas pregunta ante todo…</w:t>
      </w:r>
      <w:bookmarkEnd w:id="615"/>
    </w:p>
    <w:p>
      <w:pPr>
        <w:pStyle w:val="Normal"/>
      </w:pPr>
      <w:r>
        <w:t xml:space="preserve">a) ¿cómo se descompone en piezas más simples?</w:t>
      </w:r>
    </w:p>
    <w:p>
      <w:pPr>
        <w:pStyle w:val="Normal"/>
      </w:pPr>
      <w:r>
        <w:t xml:space="preserve">b) ¿cómo interactúan las partes y qué emerge del todo?</w:t>
      </w:r>
    </w:p>
    <w:p>
      <w:pPr>
        <w:pStyle w:val="Normal"/>
      </w:pPr>
      <w:r>
        <w:t xml:space="preserve">c) ¿cuál es la única parte que importa?</w:t>
      </w:r>
    </w:p>
    <w:p>
      <w:pPr>
        <w:pStyle w:val="Normal"/>
      </w:pPr>
      <w:r>
        <w:t xml:space="preserve">d) ¿cuántas partes hay en total?</w:t>
      </w:r>
    </w:p>
    <w:p>
      <w:pPr>
        <w:pStyle w:val="Heading3"/>
      </w:pPr>
      <w:bookmarkStart w:name="b_pregunta_auto_1_3_5" w:id="616"/>
      <w:r>
        <w:t xml:space="preserve">1.3-A5 · «Dividir cada dificultad en tantas partes como sea posible y examinarlas por separado» (Descartes) resume el método…</w:t>
      </w:r>
      <w:bookmarkEnd w:id="616"/>
    </w:p>
    <w:p>
      <w:pPr>
        <w:pStyle w:val="Normal"/>
      </w:pPr>
      <w:r>
        <w:t xml:space="preserve">a) sistémico</w:t>
      </w:r>
    </w:p>
    <w:p>
      <w:pPr>
        <w:pStyle w:val="Normal"/>
      </w:pPr>
      <w:r>
        <w:t xml:space="preserve">b) reduccionista</w:t>
      </w:r>
    </w:p>
    <w:p>
      <w:pPr>
        <w:pStyle w:val="Normal"/>
      </w:pPr>
      <w:r>
        <w:t xml:space="preserve">c) emergente</w:t>
      </w:r>
    </w:p>
    <w:p>
      <w:pPr>
        <w:pStyle w:val="Normal"/>
      </w:pPr>
      <w:r>
        <w:t xml:space="preserve">d) metacognitivo</w:t>
      </w:r>
    </w:p>
    <w:p>
      <w:pPr>
        <w:pStyle w:val="Heading3"/>
      </w:pPr>
      <w:bookmarkStart w:name="b_pregunta_auto_1_3_6" w:id="617"/>
      <w:r>
        <w:t xml:space="preserve">1.3-A6 · ¿Por qué se describe al paradigma de sistemas como un «metaparadigma» de la ciencia?</w:t>
      </w:r>
      <w:bookmarkEnd w:id="617"/>
    </w:p>
    <w:p>
      <w:pPr>
        <w:pStyle w:val="Normal"/>
      </w:pPr>
      <w:r>
        <w:t xml:space="preserve">a) Porque reemplaza a todas las ciencias por una sola disciplina</w:t>
      </w:r>
    </w:p>
    <w:p>
      <w:pPr>
        <w:pStyle w:val="Normal"/>
      </w:pPr>
      <w:r>
        <w:t xml:space="preserve">b) Porque sus principios —organización, interacción, emergencia— reaparecen en todas las disciplinas y las atraviesan</w:t>
      </w:r>
    </w:p>
    <w:p>
      <w:pPr>
        <w:pStyle w:val="Normal"/>
      </w:pPr>
      <w:r>
        <w:t xml:space="preserve">c) Porque solo se aplica a la física teórica</w:t>
      </w:r>
    </w:p>
    <w:p>
      <w:pPr>
        <w:pStyle w:val="Normal"/>
      </w:pPr>
      <w:r>
        <w:t xml:space="preserve">d) Porque niega el valor del método científico</w:t>
      </w:r>
    </w:p>
    <w:p>
      <w:pPr>
        <w:pStyle w:val="Heading3"/>
      </w:pPr>
      <w:bookmarkStart w:name="b_pregunta_auto_1_3_7" w:id="618"/>
      <w:r>
        <w:t xml:space="preserve">1.3-A7 · Un embotellamiento no está contenido en ningún automóvil por separado: surge de todos interactuando. A esa propiedad del todo, ausente en las partes, la llamamos…</w:t>
      </w:r>
      <w:bookmarkEnd w:id="618"/>
    </w:p>
    <w:p>
      <w:pPr>
        <w:pStyle w:val="Normal"/>
      </w:pPr>
      <w:r>
        <w:t xml:space="preserve">a) reduccionismo</w:t>
      </w:r>
    </w:p>
    <w:p>
      <w:pPr>
        <w:pStyle w:val="Normal"/>
      </w:pPr>
      <w:r>
        <w:t xml:space="preserve">b) emergencia</w:t>
      </w:r>
    </w:p>
    <w:p>
      <w:pPr>
        <w:pStyle w:val="Normal"/>
      </w:pPr>
      <w:r>
        <w:t xml:space="preserve">c) deducción</w:t>
      </w:r>
    </w:p>
    <w:p>
      <w:pPr>
        <w:pStyle w:val="Normal"/>
      </w:pPr>
      <w:r>
        <w:t xml:space="preserve">d) aislamiento</w:t>
      </w:r>
    </w:p>
    <w:p>
      <w:pPr>
        <w:pStyle w:val="Heading3"/>
      </w:pPr>
      <w:bookmarkStart w:name="b_pregunta_auto_1_3_8" w:id="619"/>
      <w:r>
        <w:t xml:space="preserve">1.3-A8 · Bajo la idea de que «el mapa no es el territorio», ¿qué gana el paradigma de sistemas frente al reduccionista?</w:t>
      </w:r>
      <w:bookmarkEnd w:id="619"/>
    </w:p>
    <w:p>
      <w:pPr>
        <w:pStyle w:val="Normal"/>
      </w:pPr>
      <w:r>
        <w:t xml:space="preserve">a) Un mapa con más partes etiquetadas, pero sin las relaciones</w:t>
      </w:r>
    </w:p>
    <w:p>
      <w:pPr>
        <w:pStyle w:val="Normal"/>
      </w:pPr>
      <w:r>
        <w:t xml:space="preserve">b) Un mapa que además dibuja las relaciones y el comportamiento del todo, más fiel al territorio</w:t>
      </w:r>
    </w:p>
    <w:p>
      <w:pPr>
        <w:pStyle w:val="Normal"/>
      </w:pPr>
      <w:r>
        <w:t xml:space="preserve">c) Un territorio sin ningún mapa</w:t>
      </w:r>
    </w:p>
    <w:p>
      <w:pPr>
        <w:pStyle w:val="Normal"/>
      </w:pPr>
      <w:r>
        <w:t xml:space="preserve">d) Un mapa idéntico, solo que más colorido</w:t>
      </w:r>
    </w:p>
    <w:p>
      <w:pPr>
        <w:pStyle w:val="Heading3"/>
      </w:pPr>
      <w:bookmarkStart w:name="b_pregunta_auto_1_3_9" w:id="620"/>
      <w:r>
        <w:t xml:space="preserve">1.3-A9 · Para Derek Cabrera, el pensamiento sistémico mejora nuestras decisiones porque…</w:t>
      </w:r>
      <w:bookmarkEnd w:id="620"/>
    </w:p>
    <w:p>
      <w:pPr>
        <w:pStyle w:val="Normal"/>
      </w:pPr>
      <w:r>
        <w:t xml:space="preserve">a) acumula más información sin cambiar cómo la organizamos</w:t>
      </w:r>
    </w:p>
    <w:p>
      <w:pPr>
        <w:pStyle w:val="Normal"/>
      </w:pPr>
      <w:r>
        <w:t xml:space="preserve">b) acerca nuestros modelos mentales a la estructura real del mundo (reduce la brecha entre modelo y realidad)</w:t>
      </w:r>
    </w:p>
    <w:p>
      <w:pPr>
        <w:pStyle w:val="Normal"/>
      </w:pPr>
      <w:r>
        <w:t xml:space="preserve">c) elimina la necesidad de evidencia</w:t>
      </w:r>
    </w:p>
    <w:p>
      <w:pPr>
        <w:pStyle w:val="Normal"/>
      </w:pPr>
      <w:r>
        <w:t xml:space="preserve">d) sustituye el razonamiento por la intuición</w:t>
      </w:r>
    </w:p>
    <w:p>
      <w:pPr>
        <w:pStyle w:val="Heading3"/>
      </w:pPr>
      <w:bookmarkStart w:name="b_pregunta_auto_1_3_10" w:id="621"/>
      <w:r>
        <w:t xml:space="preserve">1.3-A10 · Respecto al paradigma reduccionista, el paradigma de sistemas…</w:t>
      </w:r>
      <w:bookmarkEnd w:id="621"/>
    </w:p>
    <w:p>
      <w:pPr>
        <w:pStyle w:val="Normal"/>
      </w:pPr>
      <w:r>
        <w:t xml:space="preserve">a) lo declara falso y lo descarta por completo</w:t>
      </w:r>
    </w:p>
    <w:p>
      <w:pPr>
        <w:pStyle w:val="Normal"/>
      </w:pPr>
      <w:r>
        <w:t xml:space="preserve">b) lo complementa: al detalle de las partes le suma las relaciones y el todo</w:t>
      </w:r>
    </w:p>
    <w:p>
      <w:pPr>
        <w:pStyle w:val="Normal"/>
      </w:pPr>
      <w:r>
        <w:t xml:space="preserve">c) es exactamente lo mismo con otro nombre</w:t>
      </w:r>
    </w:p>
    <w:p>
      <w:pPr>
        <w:pStyle w:val="Normal"/>
      </w:pPr>
      <w:r>
        <w:t xml:space="preserve">d) solo sirve para las ciencias sociales</w:t>
      </w:r>
    </w:p>
    <w:p>
      <w:pPr>
        <w:pStyle w:val="Heading3"/>
      </w:pPr>
      <w:bookmarkStart w:name="b_solucionario_1_3" w:id="622"/>
      <w:r>
        <w:t xml:space="preserve">Solucionario del capítulo</w:t>
      </w:r>
      <w:bookmarkEnd w:id="622"/>
    </w:p>
    <w:p>
      <w:pPr>
        <w:pStyle w:val="Heading3"/>
      </w:pPr>
      <w:r>
        <w:t xml:space="preserve">1.3-A1</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a) La distribución de poder para autorizar o impedir el cambio</w:t>
            </w:r>
          </w:p>
        </w:tc>
      </w:tr>
    </w:tbl>
    <w:p>
      <w:pPr>
        <w:pStyle w:val="Normal"/>
      </w:pPr>
      <w:r>
        <w:t xml:space="preserve">Los desacuerdos no se refieren sólo a fines y medios. Controlar recursos, reglas o voz da una capacidad desigual para sostener o bloquear cambios; esa relación forma parte del problema complejo.</w:t>
      </w:r>
    </w:p>
    <w:p>
      <w:pPr>
        <w:pStyle w:val="Fuente"/>
      </w:pPr>
      <w:r>
        <w:t xml:space="preserve">Presentación de la unidad 1 (C-5), pág. 18</w:t>
      </w:r>
    </w:p>
    <w:p>
      <w:pPr>
        <w:pStyle w:val="Heading3"/>
      </w:pPr>
      <w:r>
        <w:t xml:space="preserve">1.3-A2</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b) No se conocen todos los efectos y hace falta explicitar lagunas y observar resultados</w:t>
            </w:r>
          </w:p>
        </w:tc>
      </w:tr>
    </w:tbl>
    <w:p>
      <w:pPr>
        <w:pStyle w:val="Normal"/>
      </w:pPr>
      <w:r>
        <w:t xml:space="preserve">La complejidad aumenta desacuerdos y puede reducir la información confiable. Aun con acuerdo sobre una acción, persiste incertidumbre sobre sus consecuencias; por eso se explicitan lagunas y se revisan los efectos.</w:t>
      </w:r>
    </w:p>
    <w:p>
      <w:pPr>
        <w:pStyle w:val="Fuente"/>
      </w:pPr>
      <w:r>
        <w:t xml:space="preserve">Presentación de la unidad 1 (C-5), pág. 18</w:t>
      </w:r>
    </w:p>
    <w:p>
      <w:pPr>
        <w:pStyle w:val="Heading3"/>
      </w:pPr>
      <w:r>
        <w:t xml:space="preserve">1.3-A3</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b) un conjunto de sistemas que interactúan entre sí</w:t>
            </w:r>
          </w:p>
        </w:tc>
      </w:tr>
    </w:tbl>
    <w:p>
      <w:pPr>
        <w:pStyle w:val="Normal"/>
      </w:pPr>
      <w:r>
        <w:t xml:space="preserve">El paradigma sistémico lee la realidad como un tejido de sistemas interrelacionados: importan las relaciones y el comportamiento del conjunto, no solo los elementos por separado.</w:t>
      </w:r>
    </w:p>
    <w:p>
      <w:pPr>
        <w:pStyle w:val="Normal"/>
      </w:pPr>
      <w:r>
        <w:t xml:space="preserve">a) Esa es la premisa reduccionista: aislar las piezas.</w:t>
      </w:r>
    </w:p>
    <w:p>
      <w:pPr>
        <w:pStyle w:val="Normal"/>
      </w:pPr>
      <w:r>
        <w:t xml:space="preserve">b) Correcto: el foco está en las interacciones y en el todo, no en las piezas sueltas.</w:t>
      </w:r>
    </w:p>
    <w:p>
      <w:pPr>
        <w:pStyle w:val="Normal"/>
      </w:pPr>
      <w:r>
        <w:t xml:space="preserve">c) No: el paradigma sistémico ve orden y relaciones, no caos.</w:t>
      </w:r>
    </w:p>
    <w:p>
      <w:pPr>
        <w:pStyle w:val="Normal"/>
      </w:pPr>
      <w:r>
        <w:t xml:space="preserve">d) No: el todo suele ser más que la suma de las partes (emergencia).</w:t>
      </w:r>
    </w:p>
    <w:p>
      <w:pPr>
        <w:pStyle w:val="Heading3"/>
      </w:pPr>
      <w:r>
        <w:t xml:space="preserve">1.3-A4</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b) ¿cómo interactúan las partes y qué emerge del todo?</w:t>
            </w:r>
          </w:p>
        </w:tc>
      </w:tr>
    </w:tbl>
    <w:p>
      <w:pPr>
        <w:pStyle w:val="Normal"/>
      </w:pPr>
      <w:r>
        <w:t xml:space="preserve">El cambio de paradigma es un cambio de pregunta: de «¿de qué está hecho?» a «¿cómo se relaciona y qué comportamiento global produce?».</w:t>
      </w:r>
    </w:p>
    <w:p>
      <w:pPr>
        <w:pStyle w:val="Normal"/>
      </w:pPr>
      <w:r>
        <w:t xml:space="preserve">a) Descomponer es justamente la pregunta reduccionista.</w:t>
      </w:r>
    </w:p>
    <w:p>
      <w:pPr>
        <w:pStyle w:val="Normal"/>
      </w:pPr>
      <w:r>
        <w:t xml:space="preserve">b) Correcto: la pregunta sistémica es por las relaciones y la emergencia.</w:t>
      </w:r>
    </w:p>
    <w:p>
      <w:pPr>
        <w:pStyle w:val="Normal"/>
      </w:pPr>
      <w:r>
        <w:t xml:space="preserve">c) El enfoque sistémico no reduce el todo a una parte privilegiada.</w:t>
      </w:r>
    </w:p>
    <w:p>
      <w:pPr>
        <w:pStyle w:val="Normal"/>
      </w:pPr>
      <w:r>
        <w:t xml:space="preserve">d) Contar piezas sigue siendo mirar partes aisladas.</w:t>
      </w:r>
    </w:p>
    <w:p>
      <w:pPr>
        <w:pStyle w:val="Heading3"/>
      </w:pPr>
      <w:r>
        <w:t xml:space="preserve">1.3-A5</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b) reduccionista</w:t>
            </w:r>
          </w:p>
        </w:tc>
      </w:tr>
    </w:tbl>
    <w:p>
      <w:pPr>
        <w:pStyle w:val="Normal"/>
      </w:pPr>
      <w:r>
        <w:t xml:space="preserve">Es la regla analítico-reduccionista del Discurso del método: separar y estudiar las partes. Fue el paradigma dominante de la ciencia moderna y el que el enfoque sistémico viene a complementar.</w:t>
      </w:r>
    </w:p>
    <w:p>
      <w:pPr>
        <w:pStyle w:val="Fuente"/>
      </w:pPr>
      <w:r>
        <w:t xml:space="preserve">Descartes · reduccionismo</w:t>
      </w:r>
    </w:p>
    <w:p>
      <w:pPr>
        <w:pStyle w:val="Heading3"/>
      </w:pPr>
      <w:r>
        <w:t xml:space="preserve">1.3-A6</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b) Porque sus principios —organización, interacción, emergencia— reaparecen en todas las disciplinas y las atraviesan</w:t>
            </w:r>
          </w:p>
        </w:tc>
      </w:tr>
    </w:tbl>
    <w:p>
      <w:pPr>
        <w:pStyle w:val="Normal"/>
      </w:pPr>
      <w:r>
        <w:t xml:space="preserve">La Teoría General de Sistemas buscó principios generales (isomorfismos) válidos en muchas disciplinas. Al atravesarlas a todas, el paradigma de sistemas actúa como un metaparadigma: un marco por encima de los marcos particulares.</w:t>
      </w:r>
    </w:p>
    <w:p>
      <w:pPr>
        <w:pStyle w:val="Normal"/>
      </w:pPr>
      <w:r>
        <w:t xml:space="preserve">a) No las reemplaza: ofrece una mirada común por encima de ellas.</w:t>
      </w:r>
    </w:p>
    <w:p>
      <w:pPr>
        <w:pStyle w:val="Normal"/>
      </w:pPr>
      <w:r>
        <w:t xml:space="preserve">b) Correcto: es un paradigma por encima de los paradigmas de cada campo (la ambición de la TGS de von Bertalanffy).</w:t>
      </w:r>
    </w:p>
    <w:p>
      <w:pPr>
        <w:pStyle w:val="Normal"/>
      </w:pPr>
      <w:r>
        <w:t xml:space="preserve">c) Al contrario: aspira a valer para biología, economía, ecología, etc.</w:t>
      </w:r>
    </w:p>
    <w:p>
      <w:pPr>
        <w:pStyle w:val="Normal"/>
      </w:pPr>
      <w:r>
        <w:t xml:space="preserve">d) No lo niega: lo complementa con la síntesis del todo.</w:t>
      </w:r>
    </w:p>
    <w:p>
      <w:pPr>
        <w:pStyle w:val="Fuente"/>
      </w:pPr>
      <w:r>
        <w:t xml:space="preserve">TGS · von Bertalanffy</w:t>
      </w:r>
    </w:p>
    <w:p>
      <w:pPr>
        <w:pStyle w:val="Heading3"/>
      </w:pPr>
      <w:r>
        <w:t xml:space="preserve">1.3-A7</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b) emergencia</w:t>
            </w:r>
          </w:p>
        </w:tc>
      </w:tr>
    </w:tbl>
    <w:p>
      <w:pPr>
        <w:pStyle w:val="Normal"/>
      </w:pPr>
      <w:r>
        <w:t xml:space="preserve">La emergencia es una propiedad del conjunto que no reside en ninguna pieza. La mirada sistémica la capta; la reduccionista, que solo cuenta piezas, la pierde.</w:t>
      </w:r>
    </w:p>
    <w:p>
      <w:pPr>
        <w:pStyle w:val="Heading3"/>
      </w:pPr>
      <w:r>
        <w:t xml:space="preserve">1.3-A8</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b) Un mapa que además dibuja las relaciones y el comportamiento del todo, más fiel al territorio</w:t>
            </w:r>
          </w:p>
        </w:tc>
      </w:tr>
    </w:tbl>
    <w:p>
      <w:pPr>
        <w:pStyle w:val="Normal"/>
      </w:pPr>
      <w:r>
        <w:t xml:space="preserve">El reduccionismo dibuja las partes pero borra las relaciones y el comportamiento del todo. El paradigma de sistemas restaura esas conexiones, así el modelo se vuelve estructuralmente más parecido a la realidad y predice mejor.</w:t>
      </w:r>
    </w:p>
    <w:p>
      <w:pPr>
        <w:pStyle w:val="Normal"/>
      </w:pPr>
      <w:r>
        <w:t xml:space="preserve">a) Ese mapa —solo piezas— es precisamente el que borra el reduccionismo.</w:t>
      </w:r>
    </w:p>
    <w:p>
      <w:pPr>
        <w:pStyle w:val="Normal"/>
      </w:pPr>
      <w:r>
        <w:t xml:space="preserve">b) Correcto: al incluir relaciones y emergencia, la representación se parece más a la realidad.</w:t>
      </w:r>
    </w:p>
    <w:p>
      <w:pPr>
        <w:pStyle w:val="Normal"/>
      </w:pPr>
      <w:r>
        <w:t xml:space="preserve">c) Sin mapa no hay representación que comparar.</w:t>
      </w:r>
    </w:p>
    <w:p>
      <w:pPr>
        <w:pStyle w:val="Normal"/>
      </w:pPr>
      <w:r>
        <w:t xml:space="preserve">d) El color no cambia la fidelidad del modelo.</w:t>
      </w:r>
    </w:p>
    <w:p>
      <w:pPr>
        <w:pStyle w:val="Heading3"/>
      </w:pPr>
      <w:r>
        <w:t xml:space="preserve">1.3-A9</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b) acerca nuestros modelos mentales a la estructura real del mundo (reduce la brecha entre modelo y realidad)</w:t>
            </w:r>
          </w:p>
        </w:tc>
      </w:tr>
    </w:tbl>
    <w:p>
      <w:pPr>
        <w:pStyle w:val="Normal"/>
      </w:pPr>
      <w:r>
        <w:t xml:space="preserve">Para Cabrera, comprender es información estructurada por el pensamiento. Estructurar mejor esa información —el trabajo del pensamiento sistémico y de las reglas DSRP— acerca el modelo mental a la realidad y, con ello, afina las decisiones.</w:t>
      </w:r>
    </w:p>
    <w:p>
      <w:pPr>
        <w:pStyle w:val="Fuente"/>
      </w:pPr>
      <w:r>
        <w:t xml:space="preserve">Cabrera · modelos mentales</w:t>
      </w:r>
    </w:p>
    <w:p>
      <w:pPr>
        <w:pStyle w:val="Heading3"/>
      </w:pPr>
      <w:r>
        <w:t xml:space="preserve">1.3-A10</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b) lo complementa: al detalle de las partes le suma las relaciones y el todo</w:t>
            </w:r>
          </w:p>
        </w:tc>
      </w:tr>
    </w:tbl>
    <w:p>
      <w:pPr>
        <w:pStyle w:val="Normal"/>
        <w:sectPr>
          <w:headerReference w:type="default" r:id="rId60"/>
          <w:headerReference w:type="first" r:id="rId61"/>
          <w:headerReference w:type="even" r:id="rId62"/>
          <w:footerReference w:type="default" r:id="rId63"/>
          <w:footerReference w:type="first" r:id="rId64"/>
          <w:footerReference w:type="even" r:id="rId65"/>
          <w:type w:val="nextPage"/>
          <w:pgSz w:w="12240" w:h="15840" w:orient="portrait"/>
          <w:pgMar w:top="1361" w:right="1134" w:bottom="1361" w:left="1474" w:header="650" w:footer="680" w:gutter="0"/>
          <w:pgNumType/>
          <w:titlePg/>
          <w:docGrid w:linePitch="360"/>
        </w:sectPr>
      </w:pPr>
      <w:r>
        <w:t xml:space="preserve">No son enemigos. El análisis (partes) y la síntesis (todo y relaciones) se necesitan mutuamente: el enfoque sistémico recupera lo que el reduccionismo dejó en segundo plano sin renunciar al detalle.</w:t>
      </w:r>
    </w:p>
    <w:p>
      <w:pPr>
        <w:pStyle w:val="Heading2"/>
      </w:pPr>
      <w:bookmarkStart w:name="b_1_4" w:id="623"/>
      <w:r>
        <w:t xml:space="preserve">1.4 · Sistémico vs no sistémico</w:t>
      </w:r>
      <w:bookmarkEnd w:id="623"/>
    </w:p>
    <w:p>
      <w:pPr>
        <w:pStyle w:val="Subtitulo"/>
      </w:pPr>
      <w:r>
        <w:t xml:space="preserve">Los sistemas abstractos diseñados sistémicos (modelos mentales sistémicos) en contraste con los no sistémicos.</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En una línea</w:t>
            </w:r>
          </w:p>
          <w:p>
            <w:pPr>
              <w:pStyle w:val="Recuadro"/>
            </w:pPr>
            <w:r>
              <w:t xml:space="preserve">No todo modelo mental sirve igual: unos cierran la mirada y otros la abren.</w:t>
            </w:r>
          </w:p>
        </w:tc>
      </w:tr>
    </w:tbl>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Qué te preguntan</w:t>
            </w:r>
          </w:p>
          <w:p>
            <w:pPr>
              <w:pStyle w:val="Recuadro"/>
            </w:pPr>
            <w:r>
              <w:t xml:space="preserve">Contrastar, línea por línea, la conducta que produce modelos limitadores con la que produce modelos sistémicos, y explicar con la analogía de la maqueta y el edificio qué añaden el isomorfismo y el homomorfismo: por qué un modelo sistémico es una representación simplificada y a la vez de forma similar al objeto modelizado.</w:t>
            </w:r>
          </w:p>
        </w:tc>
      </w:tr>
    </w:tbl>
    <w:p>
      <w:pPr>
        <w:pStyle w:val="Normal"/>
      </w:pPr>
      <w:r>
        <w:t xml:space="preserve">El pensamiento sistémico no es el único tipo de pensamiento ni sustituye a los demás: convive con el metacognitivo y el crítico. Un modelo mental es sistémico cuando se construye conscientemente, con más información, fuentes y reglas de interpretación, isomórfico al concepto general de sistema y homomórfico a la realidad (simplificado pero fiel, como la maqueta); es limitador (no sistémico, rígido, reduccionista) cuando nace inconsciente, sesgado por inferencias que eliminaron información. Comprobación: ¿es realista y útil?</w:t>
      </w:r>
    </w:p>
    <w:p>
      <w:pPr>
        <w:pStyle w:val="Heading3"/>
      </w:pPr>
      <w:r>
        <w:t xml:space="preserve">Vocabulario clave</w:t>
      </w:r>
    </w:p>
    <w:p>
      <w:pPr>
        <w:pStyle w:val="Normal"/>
      </w:pPr>
      <w:r>
        <w:t xml:space="preserve">tipos de pensamiento (inductivo, deductivo, creativo, divergente, convergente) · pensamiento metacognitivo (pensar sobre el pensamiento) · pensamiento crítico · modelo mental sistémico frente a limitador (no sistémico, rígido, reduccionista) · isomorfismo (forma similar al concepto general de sistema) · homomorfismo (representación simplificada de la realidad) · la maqueta y el edificio · realista y útil (según O'Connor) · tolerar la ambigüedad frente a la certeza inmediata · análisis sistémico (no analítico)</w:t>
      </w:r>
    </w:p>
    <w:p>
      <w:pPr>
        <w:pStyle w:val="Fuente"/>
      </w:pPr>
      <w:r>
        <w:t xml:space="preserve">Recorrido: desarrollo conceptual → presentaciones → explicación en clase → errores y fuentes → práctica → solucionario.</w:t>
      </w:r>
    </w:p>
    <w:p>
      <w:pPr>
        <w:pStyle w:val="Heading3"/>
      </w:pPr>
      <w:r>
        <w:t xml:space="preserve">Versiones de la lectura y apertura del modelo</w:t>
      </w:r>
    </w:p>
    <w:p>
      <w:pPr>
        <w:pStyle w:val="Normal"/>
      </w:pPr>
      <w:r>
        <w:t xml:space="preserve">La lámina acredita una versión titulada Los 12 tipos de pensamiento y destaca sistémico, metacognitivo y crítico con los números 10–12. La clase menciona catorce y explica que el artículo se actualizó. El catálogo del portal mantiene catorce; el audio no desarrolla nominalmente intuitivo y visual como tipos 13 y 14.</w:t>
      </w:r>
    </w:p>
    <w:p>
      <w:pPr>
        <w:pStyle w:val="Normal"/>
      </w:pPr>
      <w:r>
        <w:t xml:space="preserve">Un modelo se contrasta en dos dimensiones: realista, por su correspondencia con la realidad observada; útil, por lo que permite comprender o decidir en el propósito elegido. La utilidad no prueba por sí sola que sea fiel, ni la fidelidad lo hace útil para cualquier fin.</w:t>
      </w:r>
    </w:p>
    <w:p>
      <w:pPr>
        <w:pStyle w:val="Normal"/>
      </w:pPr>
      <w:r>
        <w:t xml:space="preserve">La mente de principiante de la página 36 añade una actitud concreta: ampliar la información antes de cerrar la explicación y observar cómo se está formando el modelo. Los laboratorios conservan las seis entradas del esquema y los nueve contrastes entre modelos limitadores y sistémicos; no son seis etapas ni nueve hábitos nuevos.</w:t>
      </w:r>
    </w:p>
    <w:p>
      <w:pPr>
        <w:pStyle w:val="Fuente"/>
      </w:pPr>
      <w:r>
        <w:t xml:space="preserve">Presentación de la unidad 1 (C-5), pág. 7, 36, 59 y 60 · Clase 2 · 00:09:45 y 00:14:02–00:14:32 · Clase 4 · 01:17:35–01:20:39 · Clase 5 · 01:31:56–01:33:29</w:t>
      </w:r>
    </w:p>
    <w:p>
      <w:pPr>
        <w:pStyle w:val="Heading3"/>
      </w:pPr>
      <w:r>
        <w:t xml:space="preserve">Los tipos de pensamiento como los presentó la clase</w:t>
      </w:r>
    </w:p>
    <w:p>
      <w:pPr>
        <w:pStyle w:val="Normal"/>
      </w:pPr>
      <w:r>
        <w:t xml:space="preserve">Hay muchas formas de pensar; el sistémico es una más, no la única, y no sustituye a las demás: se usan según los objetivos. La lectura lista catorce tipos; metacognitivo, sistémico y crítico son los de mayor énfasis, y el sistémico es el objetivo central.</w:t>
      </w:r>
    </w:p>
    <w:p>
      <w:pPr>
        <w:pStyle w:val="Normal"/>
      </w:pPr>
      <w:r>
        <w:t xml:space="preserve">Inductivo: infiere conclusiones abstractas de experiencias concretas y construye los modelos mentales; deductivo: usa esos supuestos para deducir conclusiones y acciones sin rehacer la comprensión cada día; son los más difundidos en la ciencia.</w:t>
      </w:r>
    </w:p>
    <w:p>
      <w:pPr>
        <w:pStyle w:val="Normal"/>
      </w:pPr>
      <w:r>
        <w:t xml:space="preserve">Creativo: lo nuevo empieza como creación mental y luego se manifiesta; divergente y convergente: formas de variar las creencias. Todos son útiles: saber para qué sirve cada uno y cuándo conviene.</w:t>
      </w:r>
    </w:p>
    <w:p>
      <w:pPr>
        <w:pStyle w:val="Fuente"/>
      </w:pPr>
      <w:r>
        <w:t xml:space="preserve">Clase 1 · 01:31:07–01:33:52 · Clase 2 · 00:07:52–00:14:07 · Clase 2 · 00:18:01–00:18:17 · Clase 2 · 00:19:56–00:21:42</w:t>
      </w:r>
    </w:p>
    <w:p>
      <w:pPr>
        <w:pStyle w:val="Heading3"/>
      </w:pPr>
      <w:r>
        <w:t xml:space="preserve">Metacognitivo y crítico</w:t>
      </w:r>
    </w:p>
    <w:p>
      <w:pPr>
        <w:pStyle w:val="Normal"/>
      </w:pPr>
      <w:r>
        <w:t xml:space="preserve">Metacognitivo (tipos 10 a 12 de la lectura): reflexionar sobre los propios procesos mentales, ser conscientes de cómo pensamos y aprendemos; permite autorregularse e identificar errores de los modelos mentales; se practica hasta volverse hábito.</w:t>
      </w:r>
    </w:p>
    <w:p>
      <w:pPr>
        <w:pStyle w:val="Normal"/>
      </w:pPr>
      <w:r>
        <w:t xml:space="preserve">Crítico: evaluar objetiva y sistémicamente la validez de ideas, argumentos e información; combina lógica, análisis y síntesis; se ejerce ante los datos, cuando estudios y resultados contradictorios respaldan y refutan una hipótesis (lámina).</w:t>
      </w:r>
    </w:p>
    <w:p>
      <w:pPr>
        <w:pStyle w:val="Normal"/>
      </w:pPr>
      <w:r>
        <w:t xml:space="preserve">Análisis sistémico no es el analítico: profundiza hasta las estructuras que originan los comportamientos; estas herramientas dan la visión holística del pensamiento sistémico.</w:t>
      </w:r>
    </w:p>
    <w:p>
      <w:pPr>
        <w:pStyle w:val="Fuente"/>
      </w:pPr>
      <w:r>
        <w:t xml:space="preserve">Clase 2 · 00:14:18–00:19:58 · Clase 4 · 00:08:42–00:09:08 · Clase 4 · 01:20:15–01:23:52 · Clase 4 · 01:27:56–01:28:22</w:t>
      </w:r>
    </w:p>
    <w:p>
      <w:pPr>
        <w:pStyle w:val="Heading3"/>
      </w:pPr>
      <w:r>
        <w:t xml:space="preserve">Isomorfismo, homomorfismo y la maqueta</w:t>
      </w:r>
    </w:p>
    <w:p>
      <w:pPr>
        <w:pStyle w:val="Normal"/>
      </w:pPr>
      <w:r>
        <w:t xml:space="preserve">Isomorfismo: los modelos del pensador sistémico son isomórficos respecto al concepto general de sistema; conociendo los sistemas en general se halla, para cualquier objeto, un modelo con sus términos propios.</w:t>
      </w:r>
    </w:p>
    <w:p>
      <w:pPr>
        <w:pStyle w:val="Normal"/>
      </w:pPr>
      <w:r>
        <w:t xml:space="preserve">Homomorfismo: a la vez son homomórficos respecto a la realidad, «como es todo morfismo»: una representación simplificada que busca ser representativa; el concepto representa la realidad sin ser igual en forma, y cuanto más representativo el modelo, más preciso.</w:t>
      </w:r>
    </w:p>
    <w:p>
      <w:pPr>
        <w:pStyle w:val="Normal"/>
      </w:pPr>
      <w:r>
        <w:t xml:space="preserve">La maqueta y el edificio: primero la maqueta representa un edificio que no existe; construido, es fiel y simplificada (niveles, estructura visual, puertas, ventanas), no en material ni dimensiones; así se construyen los modelos sistémicos.</w:t>
      </w:r>
    </w:p>
    <w:p>
      <w:pPr>
        <w:pStyle w:val="Fuente"/>
      </w:pPr>
      <w:r>
        <w:t xml:space="preserve">Clase 6 · 01:04:51–01:05:14 · Clase 6 · 01:09:14–01:12:58 · Clase 7 · 00:34:42–00:35:07 · Clase 7 · 00:54:37–00:54:59 · Clase 7 · 01:14:09–01:14:40 · lámina c6-08</w:t>
      </w:r>
    </w:p>
    <w:p>
      <w:pPr>
        <w:pStyle w:val="Heading3"/>
      </w:pPr>
      <w:r>
        <w:t xml:space="preserve">Modelos limitadores o sistémicos, según O'Connor</w:t>
      </w:r>
    </w:p>
    <w:p>
      <w:pPr>
        <w:pStyle w:val="Normal"/>
      </w:pPr>
      <w:r>
        <w:t xml:space="preserve">Un modelo mental sistémico se construye gradualmente incorporando más información, fuentes y reglas de interpretación; el inconsciente queda sesgado o limitado por inferencias que eliminaron información: parcial y no realista.</w:t>
      </w:r>
    </w:p>
    <w:p>
      <w:pPr>
        <w:pStyle w:val="Normal"/>
      </w:pPr>
      <w:r>
        <w:t xml:space="preserve">Limitan las metas si no son congruentes con lo que se busca e impiden comprender si no son realistas; cada modelo se refuerza porque sus creencias guían la selección y eliminación de información (lámina).</w:t>
      </w:r>
    </w:p>
    <w:p>
      <w:pPr>
        <w:pStyle w:val="Normal"/>
      </w:pPr>
      <w:r>
        <w:t xml:space="preserve">Según O'Connor hay dos opciones: modelos «limitadores» (no sistémicos, rígidos, reduccionistas) o sistémicos; la tabla enfrenta prácticas limitadoras y sistémicas, varias ya vistas: ambigüedad, «enfermedad de certidumbre», parálisis de paradigmas.</w:t>
      </w:r>
    </w:p>
    <w:p>
      <w:pPr>
        <w:pStyle w:val="Normal"/>
      </w:pPr>
      <w:r>
        <w:t xml:space="preserve">Tercera fila: querer certeza inmediata da respuestas parciales; tolerar temporalmente la ambigüedad permite recopilar más información y perspectivas, y los problemas mal resueltos reaparecen con mayor intensidad.</w:t>
      </w:r>
    </w:p>
    <w:p>
      <w:pPr>
        <w:pStyle w:val="Fuente"/>
      </w:pPr>
      <w:r>
        <w:t xml:space="preserve">Clase 5 · 00:05:18–00:05:45 · Clase 5 · 00:10:59–00:11:34 · Clase 5 · 00:55:20–00:56:43 · Clase 5 · 01:29:56–01:33:29 · Clase 6 · 00:03:48–00:04:47 · lámina c5-16 · lámina c5-17</w:t>
      </w:r>
    </w:p>
    <w:p>
      <w:pPr>
        <w:pStyle w:val="Heading3"/>
      </w:pPr>
      <w:r>
        <w:t xml:space="preserve">Lo que advirtió</w:t>
      </w:r>
    </w:p>
    <w:p>
      <w:pPr>
        <w:pStyle w:val="Normal"/>
      </w:pPr>
      <w:r>
        <w:t xml:space="preserve">Las estructuras mentales comunes son inconscientes y no necesariamente sistémicas: «estructuras automáticas» que hay que hacer conscientes; ante lo poco complejo bastan otros enfoques, ante lo más complejo el sistémico es «vital y esencial».</w:t>
      </w:r>
    </w:p>
    <w:p>
      <w:pPr>
        <w:pStyle w:val="Normal"/>
      </w:pPr>
      <w:r>
        <w:t xml:space="preserve">Pensamiento no sistémico: tratar lo que pasa como si no tuviera que ver con su contexto, visiones parciales o incompletas; sólo análisis sin síntesis da una visión no sistémica.</w:t>
      </w:r>
    </w:p>
    <w:p>
      <w:pPr>
        <w:pStyle w:val="Normal"/>
      </w:pPr>
      <w:r>
        <w:t xml:space="preserve">Los paradigmas no sistémicos tienden al reduccionismo; otros, como el pensamiento complejo, también son sistémicos. Un modelo no sistémico representa parcialmente y da resultados inconstantes.</w:t>
      </w:r>
    </w:p>
    <w:p>
      <w:pPr>
        <w:pStyle w:val="Fuente"/>
      </w:pPr>
      <w:r>
        <w:t xml:space="preserve">Clase 1 · 00:19:16–00:20:08 · Clase 1 · 00:31:00–00:31:57 · Clase 6 · 01:14:02–01:14:32 · Clase 6 · 01:20:36–01:21:05 · Clase 6 · 01:25:11–01:25:49 · Clase 7 · 00:07:04–00:07:53 · Clase 7 · 00:12:43–00:14:12</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Procedimiento</w:t>
            </w:r>
          </w:p>
          <w:p>
            <w:pPr>
              <w:pStyle w:val="Recuadro"/>
            </w:pPr>
            <w:r>
              <w:t xml:space="preserve">Cómo reconocer si un modelo mental es limitador o sistémico</w:t>
            </w:r>
          </w:p>
          <w:p>
            <w:pPr>
              <w:pStyle w:val="Recuadro"/>
            </w:pPr>
            <w:r>
              <w:t xml:space="preserve">1. </w:t>
            </w:r>
            <w:r>
              <w:rPr>
                <w:b/>
                <w:bCs/>
              </w:rPr>
              <w:t xml:space="preserve">Hacerlo consciente.</w:t>
            </w:r>
            <w:r>
              <w:t xml:space="preserve"> Saber que el modelo existe y su debilidad: se aprendió inconscientemente con información incompleta y filtrada; pensar sobre el propio pensamiento lo hace visible. (Clase 4 · 01:19:00–01:19:39 · Clase 4 · 01:20:15–01:20:39)</w:t>
            </w:r>
          </w:p>
          <w:p>
            <w:pPr>
              <w:pStyle w:val="Recuadro"/>
            </w:pPr>
            <w:r>
              <w:t xml:space="preserve">2. </w:t>
            </w:r>
            <w:r>
              <w:rPr>
                <w:b/>
                <w:bCs/>
              </w:rPr>
              <w:t xml:space="preserve">Preguntar si es realista y útil.</w:t>
            </w:r>
            <w:r>
              <w:t xml:space="preserve"> Según O'Connor debe ser realista (representar la realidad que se quiere resolver) y útil para lo que se busca; si no es congruente con la meta, limita; si no es realista, impide comprender. (Clase 4 · 01:17:35–01:18:19 · Clase 5 · 00:55:52–00:56:10 · lámina c4-09)</w:t>
            </w:r>
          </w:p>
          <w:p>
            <w:pPr>
              <w:pStyle w:val="Recuadro"/>
            </w:pPr>
            <w:r>
              <w:t xml:space="preserve">3. </w:t>
            </w:r>
            <w:r>
              <w:rPr>
                <w:b/>
                <w:bCs/>
              </w:rPr>
              <w:t xml:space="preserve">Comprobar los dos morfismos y la ambigüedad.</w:t>
            </w:r>
            <w:r>
              <w:t xml:space="preserve"> Conserva la forma del concepto general de sistema y simplifica la realidad sin dejar de representarla, como la maqueta; si exige certeza inmediata es limitador, si tolera la ambigüedad es sistémico. (Clase 5 · 01:31:56–01:33:29 · Clase 6 · 01:09:14–01:12:58)</w:t>
            </w:r>
          </w:p>
          <w:p>
            <w:pPr>
              <w:pStyle w:val="Recuadro"/>
            </w:pPr>
            <w:r>
              <w:t xml:space="preserve">4. </w:t>
            </w:r>
            <w:r>
              <w:rPr>
                <w:b/>
                <w:bCs/>
              </w:rPr>
              <w:t xml:space="preserve">Ponerlo a prueba y actualizarlo.</w:t>
            </w:r>
            <w:r>
              <w:t xml:space="preserve"> Reflexionar, autoindagarse, indagar a otros y evidenciar los supuestos; cuestionar el modelo cada cierto tiempo y cuando algo no cuadra: si la realidad cambió, actualizarlo. (Clase 4 · 01:19:36–01:20:18 · Clase 4 · 01:30:10–01:30:36 · Clase 4 · 01:31:33–01:32:15)</w:t>
            </w:r>
          </w:p>
          <w:p>
            <w:pPr>
              <w:pStyle w:val="Recuadro"/>
            </w:pPr>
            <w:r>
              <w:t xml:space="preserve">No se busca quedarse sin modelos mentales, sino construir modelos más completos, integrados y holísticos que rompan la discordancia entre la realidad y lo que se piensa.</w:t>
            </w:r>
          </w:p>
        </w:tc>
      </w:tr>
    </w:tbl>
    <w:p>
      <w:pPr>
        <w:pStyle w:val="Heading3"/>
      </w:pPr>
      <w:bookmarkStart w:name="b_tabla_1_4_g1_dsrp" w:id="624"/>
      <w:r>
        <w:t xml:space="preserve">DSRP · las cuatro reglas y sus pares</w:t>
      </w:r>
      <w:bookmarkEnd w:id="624"/>
    </w:p>
    <w:tbl>
      <w:tblPr>
        <w:tblW w:type="dxa" w:w="9632"/>
        <w:tblBorders>
          <w:top w:val="single" w:color="C5D5DB" w:sz="4"/>
          <w:left w:val="single" w:color="C5D5DB" w:sz="4"/>
          <w:bottom w:val="single" w:color="C5D5DB" w:sz="4"/>
          <w:right w:val="single" w:color="C5D5DB" w:sz="4"/>
          <w:insideH w:val="single" w:color="E4E9EB" w:sz="3"/>
          <w:insideV w:val="single" w:color="E4E9EB" w:sz="3"/>
        </w:tblBorders>
        <w:tblLayout w:type="fixed"/>
      </w:tblPr>
      <w:tblGrid>
        <w:gridCol w:w="2408"/>
        <w:gridCol w:w="2408"/>
        <w:gridCol w:w="2408"/>
        <w:gridCol w:w="2408"/>
      </w:tblGrid>
      <w:tr>
        <w:trPr>
          <w:cantSplit/>
          <w:tblHeader/>
        </w:trPr>
        <w:tc>
          <w:tcPr>
            <w:tcW w:type="dxa" w:w="2408"/>
            <w:shd w:fill="DFEAF0" w:val="clear"/>
            <w:tcMar>
              <w:top w:type="dxa" w:w="80"/>
              <w:left w:type="dxa" w:w="100"/>
              <w:bottom w:type="dxa" w:w="80"/>
              <w:right w:type="dxa" w:w="100"/>
            </w:tcMar>
          </w:tcPr>
          <w:p>
            <w:pPr>
              <w:pStyle w:val="Tabla"/>
            </w:pPr>
            <w:r>
              <w:rPr>
                <w:b/>
                <w:bCs/>
              </w:rPr>
              <w:t xml:space="preserve">Regla</w:t>
            </w:r>
          </w:p>
        </w:tc>
        <w:tc>
          <w:tcPr>
            <w:tcW w:type="dxa" w:w="2408"/>
            <w:shd w:fill="DFEAF0" w:val="clear"/>
            <w:tcMar>
              <w:top w:type="dxa" w:w="80"/>
              <w:left w:type="dxa" w:w="100"/>
              <w:bottom w:type="dxa" w:w="80"/>
              <w:right w:type="dxa" w:w="100"/>
            </w:tcMar>
          </w:tcPr>
          <w:p>
            <w:pPr>
              <w:pStyle w:val="Tabla"/>
            </w:pPr>
            <w:r>
              <w:rPr>
                <w:b/>
                <w:bCs/>
              </w:rPr>
              <w:t xml:space="preserve">Nombre</w:t>
            </w:r>
          </w:p>
        </w:tc>
        <w:tc>
          <w:tcPr>
            <w:tcW w:type="dxa" w:w="2408"/>
            <w:shd w:fill="DFEAF0" w:val="clear"/>
            <w:tcMar>
              <w:top w:type="dxa" w:w="80"/>
              <w:left w:type="dxa" w:w="100"/>
              <w:bottom w:type="dxa" w:w="80"/>
              <w:right w:type="dxa" w:w="100"/>
            </w:tcMar>
          </w:tcPr>
          <w:p>
            <w:pPr>
              <w:pStyle w:val="Tabla"/>
            </w:pPr>
            <w:r>
              <w:rPr>
                <w:b/>
                <w:bCs/>
              </w:rPr>
              <w:t xml:space="preserve">Par coimplicado</w:t>
            </w:r>
          </w:p>
        </w:tc>
        <w:tc>
          <w:tcPr>
            <w:tcW w:type="dxa" w:w="2408"/>
            <w:shd w:fill="DFEAF0" w:val="clear"/>
            <w:tcMar>
              <w:top w:type="dxa" w:w="80"/>
              <w:left w:type="dxa" w:w="100"/>
              <w:bottom w:type="dxa" w:w="80"/>
              <w:right w:type="dxa" w:w="100"/>
            </w:tcMar>
          </w:tcPr>
          <w:p>
            <w:pPr>
              <w:pStyle w:val="Tabla"/>
            </w:pPr>
            <w:r>
              <w:rPr>
                <w:b/>
                <w:bCs/>
              </w:rPr>
              <w:t xml:space="preserve">Pregunta que dispara</w:t>
            </w:r>
          </w:p>
        </w:tc>
      </w:tr>
      <w:tr>
        <w:trPr>
          <w:cantSplit/>
          <w:tblHeader w:val="off"/>
        </w:trPr>
        <w:tc>
          <w:tcPr>
            <w:tcW w:type="dxa" w:w="2408"/>
            <w:tcMar>
              <w:top w:type="dxa" w:w="80"/>
              <w:left w:type="dxa" w:w="100"/>
              <w:bottom w:type="dxa" w:w="80"/>
              <w:right w:type="dxa" w:w="100"/>
            </w:tcMar>
          </w:tcPr>
          <w:p>
            <w:pPr>
              <w:pStyle w:val="Tabla"/>
            </w:pPr>
            <w:r>
              <w:t xml:space="preserve">D</w:t>
            </w:r>
          </w:p>
        </w:tc>
        <w:tc>
          <w:tcPr>
            <w:tcW w:type="dxa" w:w="2408"/>
            <w:tcMar>
              <w:top w:type="dxa" w:w="80"/>
              <w:left w:type="dxa" w:w="100"/>
              <w:bottom w:type="dxa" w:w="80"/>
              <w:right w:type="dxa" w:w="100"/>
            </w:tcMar>
          </w:tcPr>
          <w:p>
            <w:pPr>
              <w:pStyle w:val="Tabla"/>
            </w:pPr>
            <w:r>
              <w:t xml:space="preserve">Distinciones</w:t>
            </w:r>
          </w:p>
        </w:tc>
        <w:tc>
          <w:tcPr>
            <w:tcW w:type="dxa" w:w="2408"/>
            <w:tcMar>
              <w:top w:type="dxa" w:w="80"/>
              <w:left w:type="dxa" w:w="100"/>
              <w:bottom w:type="dxa" w:w="80"/>
              <w:right w:type="dxa" w:w="100"/>
            </w:tcMar>
          </w:tcPr>
          <w:p>
            <w:pPr>
              <w:pStyle w:val="Tabla"/>
            </w:pPr>
            <w:r>
              <w:t xml:space="preserve">identidad </w:t>
            </w:r>
            <w:r>
              <w:rPr>
                <w:rFonts w:ascii="DejaVu Serif" w:cs="DejaVu Serif" w:eastAsia="DejaVu Serif" w:hAnsi="DejaVu Serif"/>
              </w:rPr>
              <w:t xml:space="preserve">⇔</w:t>
            </w:r>
            <w:r>
              <w:t xml:space="preserve"> otro</w:t>
            </w:r>
          </w:p>
        </w:tc>
        <w:tc>
          <w:tcPr>
            <w:tcW w:type="dxa" w:w="2408"/>
            <w:tcMar>
              <w:top w:type="dxa" w:w="80"/>
              <w:left w:type="dxa" w:w="100"/>
              <w:bottom w:type="dxa" w:w="80"/>
              <w:right w:type="dxa" w:w="100"/>
            </w:tcMar>
          </w:tcPr>
          <w:p>
            <w:pPr>
              <w:pStyle w:val="Tabla"/>
            </w:pPr>
            <w:r>
              <w:t xml:space="preserve">¿Qué es esto y qué NO es? ¿Dónde está su frontera?</w:t>
            </w:r>
          </w:p>
        </w:tc>
      </w:tr>
      <w:tr>
        <w:trPr>
          <w:cantSplit/>
          <w:tblHeader w:val="off"/>
        </w:trPr>
        <w:tc>
          <w:tcPr>
            <w:tcW w:type="dxa" w:w="2408"/>
            <w:tcMar>
              <w:top w:type="dxa" w:w="80"/>
              <w:left w:type="dxa" w:w="100"/>
              <w:bottom w:type="dxa" w:w="80"/>
              <w:right w:type="dxa" w:w="100"/>
            </w:tcMar>
          </w:tcPr>
          <w:p>
            <w:pPr>
              <w:pStyle w:val="Tabla"/>
            </w:pPr>
            <w:r>
              <w:t xml:space="preserve">S</w:t>
            </w:r>
          </w:p>
        </w:tc>
        <w:tc>
          <w:tcPr>
            <w:tcW w:type="dxa" w:w="2408"/>
            <w:tcMar>
              <w:top w:type="dxa" w:w="80"/>
              <w:left w:type="dxa" w:w="100"/>
              <w:bottom w:type="dxa" w:w="80"/>
              <w:right w:type="dxa" w:w="100"/>
            </w:tcMar>
          </w:tcPr>
          <w:p>
            <w:pPr>
              <w:pStyle w:val="Tabla"/>
            </w:pPr>
            <w:r>
              <w:t xml:space="preserve">Sistemas</w:t>
            </w:r>
          </w:p>
        </w:tc>
        <w:tc>
          <w:tcPr>
            <w:tcW w:type="dxa" w:w="2408"/>
            <w:tcMar>
              <w:top w:type="dxa" w:w="80"/>
              <w:left w:type="dxa" w:w="100"/>
              <w:bottom w:type="dxa" w:w="80"/>
              <w:right w:type="dxa" w:w="100"/>
            </w:tcMar>
          </w:tcPr>
          <w:p>
            <w:pPr>
              <w:pStyle w:val="Tabla"/>
            </w:pPr>
            <w:r>
              <w:t xml:space="preserve">parte </w:t>
            </w:r>
            <w:r>
              <w:rPr>
                <w:rFonts w:ascii="DejaVu Serif" w:cs="DejaVu Serif" w:eastAsia="DejaVu Serif" w:hAnsi="DejaVu Serif"/>
              </w:rPr>
              <w:t xml:space="preserve">⇔</w:t>
            </w:r>
            <w:r>
              <w:t xml:space="preserve"> todo</w:t>
            </w:r>
          </w:p>
        </w:tc>
        <w:tc>
          <w:tcPr>
            <w:tcW w:type="dxa" w:w="2408"/>
            <w:tcMar>
              <w:top w:type="dxa" w:w="80"/>
              <w:left w:type="dxa" w:w="100"/>
              <w:bottom w:type="dxa" w:w="80"/>
              <w:right w:type="dxa" w:w="100"/>
            </w:tcMar>
          </w:tcPr>
          <w:p>
            <w:pPr>
              <w:pStyle w:val="Tabla"/>
            </w:pPr>
            <w:r>
              <w:t xml:space="preserve">¿De qué partes se compone? ¿De qué todo mayor forma parte?</w:t>
            </w:r>
          </w:p>
        </w:tc>
      </w:tr>
      <w:tr>
        <w:trPr>
          <w:cantSplit/>
          <w:tblHeader w:val="off"/>
        </w:trPr>
        <w:tc>
          <w:tcPr>
            <w:tcW w:type="dxa" w:w="2408"/>
            <w:tcMar>
              <w:top w:type="dxa" w:w="80"/>
              <w:left w:type="dxa" w:w="100"/>
              <w:bottom w:type="dxa" w:w="80"/>
              <w:right w:type="dxa" w:w="100"/>
            </w:tcMar>
          </w:tcPr>
          <w:p>
            <w:pPr>
              <w:pStyle w:val="Tabla"/>
            </w:pPr>
            <w:r>
              <w:t xml:space="preserve">R</w:t>
            </w:r>
          </w:p>
        </w:tc>
        <w:tc>
          <w:tcPr>
            <w:tcW w:type="dxa" w:w="2408"/>
            <w:tcMar>
              <w:top w:type="dxa" w:w="80"/>
              <w:left w:type="dxa" w:w="100"/>
              <w:bottom w:type="dxa" w:w="80"/>
              <w:right w:type="dxa" w:w="100"/>
            </w:tcMar>
          </w:tcPr>
          <w:p>
            <w:pPr>
              <w:pStyle w:val="Tabla"/>
            </w:pPr>
            <w:r>
              <w:t xml:space="preserve">Relaciones</w:t>
            </w:r>
          </w:p>
        </w:tc>
        <w:tc>
          <w:tcPr>
            <w:tcW w:type="dxa" w:w="2408"/>
            <w:tcMar>
              <w:top w:type="dxa" w:w="80"/>
              <w:left w:type="dxa" w:w="100"/>
              <w:bottom w:type="dxa" w:w="80"/>
              <w:right w:type="dxa" w:w="100"/>
            </w:tcMar>
          </w:tcPr>
          <w:p>
            <w:pPr>
              <w:pStyle w:val="Tabla"/>
            </w:pPr>
            <w:r>
              <w:t xml:space="preserve">acción </w:t>
            </w:r>
            <w:r>
              <w:rPr>
                <w:rFonts w:ascii="DejaVu Serif" w:cs="DejaVu Serif" w:eastAsia="DejaVu Serif" w:hAnsi="DejaVu Serif"/>
              </w:rPr>
              <w:t xml:space="preserve">⇔</w:t>
            </w:r>
            <w:r>
              <w:t xml:space="preserve"> reacción</w:t>
            </w:r>
          </w:p>
        </w:tc>
        <w:tc>
          <w:tcPr>
            <w:tcW w:type="dxa" w:w="2408"/>
            <w:tcMar>
              <w:top w:type="dxa" w:w="80"/>
              <w:left w:type="dxa" w:w="100"/>
              <w:bottom w:type="dxa" w:w="80"/>
              <w:right w:type="dxa" w:w="100"/>
            </w:tcMar>
          </w:tcPr>
          <w:p>
            <w:pPr>
              <w:pStyle w:val="Tabla"/>
            </w:pPr>
            <w:r>
              <w:t xml:space="preserve">¿Cómo se conecta con lo demás? ¿Qué acción provoca y qué reacción recibe?</w:t>
            </w:r>
          </w:p>
        </w:tc>
      </w:tr>
      <w:tr>
        <w:trPr>
          <w:cantSplit/>
          <w:tblHeader w:val="off"/>
        </w:trPr>
        <w:tc>
          <w:tcPr>
            <w:tcW w:type="dxa" w:w="2408"/>
            <w:tcMar>
              <w:top w:type="dxa" w:w="80"/>
              <w:left w:type="dxa" w:w="100"/>
              <w:bottom w:type="dxa" w:w="80"/>
              <w:right w:type="dxa" w:w="100"/>
            </w:tcMar>
          </w:tcPr>
          <w:p>
            <w:pPr>
              <w:pStyle w:val="Tabla"/>
            </w:pPr>
            <w:r>
              <w:t xml:space="preserve">P</w:t>
            </w:r>
          </w:p>
        </w:tc>
        <w:tc>
          <w:tcPr>
            <w:tcW w:type="dxa" w:w="2408"/>
            <w:tcMar>
              <w:top w:type="dxa" w:w="80"/>
              <w:left w:type="dxa" w:w="100"/>
              <w:bottom w:type="dxa" w:w="80"/>
              <w:right w:type="dxa" w:w="100"/>
            </w:tcMar>
          </w:tcPr>
          <w:p>
            <w:pPr>
              <w:pStyle w:val="Tabla"/>
            </w:pPr>
            <w:r>
              <w:t xml:space="preserve">Perspectivas</w:t>
            </w:r>
          </w:p>
        </w:tc>
        <w:tc>
          <w:tcPr>
            <w:tcW w:type="dxa" w:w="2408"/>
            <w:tcMar>
              <w:top w:type="dxa" w:w="80"/>
              <w:left w:type="dxa" w:w="100"/>
              <w:bottom w:type="dxa" w:w="80"/>
              <w:right w:type="dxa" w:w="100"/>
            </w:tcMar>
          </w:tcPr>
          <w:p>
            <w:pPr>
              <w:pStyle w:val="Tabla"/>
            </w:pPr>
            <w:r>
              <w:t xml:space="preserve">punto </w:t>
            </w:r>
            <w:r>
              <w:rPr>
                <w:rFonts w:ascii="DejaVu Serif" w:cs="DejaVu Serif" w:eastAsia="DejaVu Serif" w:hAnsi="DejaVu Serif"/>
              </w:rPr>
              <w:t xml:space="preserve">⇔</w:t>
            </w:r>
            <w:r>
              <w:t xml:space="preserve"> visión</w:t>
            </w:r>
          </w:p>
        </w:tc>
        <w:tc>
          <w:tcPr>
            <w:tcW w:type="dxa" w:w="2408"/>
            <w:tcMar>
              <w:top w:type="dxa" w:w="80"/>
              <w:left w:type="dxa" w:w="100"/>
              <w:bottom w:type="dxa" w:w="80"/>
              <w:right w:type="dxa" w:w="100"/>
            </w:tcMar>
          </w:tcPr>
          <w:p>
            <w:pPr>
              <w:pStyle w:val="Tabla"/>
            </w:pPr>
            <w:r>
              <w:t xml:space="preserve">¿Desde qué punto se está mirando? ¿Qué se ve, y qué queda fuera de vista?</w:t>
            </w:r>
          </w:p>
        </w:tc>
      </w:tr>
    </w:tbl>
    <w:p>
      <w:pPr>
        <w:pStyle w:val="Fuente"/>
      </w:pPr>
      <w:r>
        <w:t xml:space="preserve">Derek y Laura Cabrera. No es una secuencia: se aplican de forma iterativa, y de ahí emerge el pensamiento sistémico.</w:t>
      </w:r>
    </w:p>
    <w:p>
      <w:pPr>
        <w:pStyle w:val="Heading3"/>
      </w:pPr>
      <w:r>
        <w:t xml:space="preserve">Lo que dicen las presentaciones</w:t>
      </w:r>
    </w:p>
    <w:p>
      <w:pPr>
        <w:pStyle w:val="Heading3"/>
      </w:pPr>
      <w:bookmarkStart w:name="b_pagina_1_4_C_5_p2" w:id="625"/>
      <w:r>
        <w:t xml:space="preserve">C-5 · página 2 · Programa y planificación de la Unidad 1</w:t>
      </w:r>
      <w:bookmarkEnd w:id="625"/>
    </w:p>
    <w:p>
      <w:pPr>
        <w:pStyle w:val="Normal"/>
      </w:pPr>
      <w:r>
        <w:t xml:space="preserve">Los ocho temas de la unidad y la planificación histórica de julio.</w:t>
      </w:r>
    </w:p>
    <w:p>
      <w:bookmarkStart w:name="b_punto_c5_p002_04" w:id="626"/>
      <w:r>
        <w:t xml:space="preserve">1.4 Modelos mentales sistémicos frente a no sistémicos.</w:t>
      </w:r>
      <w:bookmarkEnd w:id="626"/>
    </w:p>
    <w:p>
      <w:pPr>
        <w:pStyle w:val="Fuente"/>
      </w:pPr>
      <w:r>
        <w:t xml:space="preserve">Véase </w:t>
      </w:r>
      <w:hyperlink w:history="1" w:anchor="b_1_1">
        <w:r>
          <w:rPr>
            <w:color w:val="156B70"/>
            <w:u w:val="single"/>
          </w:rPr>
          <w:t xml:space="preserve">capítulo 1.1 · Paradigmas y modelos mentales</w:t>
        </w:r>
      </w:hyperlink>
      <w:r>
        <w:t xml:space="preserve">, pág. </w:t>
      </w:r>
      <w:r>
        <w:fldChar w:fldCharType="begin"/>
        <w:instrText xml:space="preserve">PAGEREF b_1_1 \h</w:instrText>
        <w:fldChar w:fldCharType="separate"/>
        <w:t xml:space="preserve">19</w:t>
        <w:fldChar w:fldCharType="end"/>
      </w:r>
      <w:r>
        <w:t xml:space="preserve">.</w:t>
      </w:r>
    </w:p>
    <w:p>
      <w:pPr>
        <w:pStyle w:val="Fuente"/>
      </w:pPr>
      <w:r>
        <w:t xml:space="preserve">Véase </w:t>
      </w:r>
      <w:hyperlink w:history="1" w:anchor="b_1_2">
        <w:r>
          <w:rPr>
            <w:color w:val="156B70"/>
            <w:u w:val="single"/>
          </w:rPr>
          <w:t xml:space="preserve">capítulo 1.2 · Escalera de inferencias</w:t>
        </w:r>
      </w:hyperlink>
      <w:r>
        <w:t xml:space="preserve">, pág. </w:t>
      </w:r>
      <w:r>
        <w:fldChar w:fldCharType="begin"/>
        <w:instrText xml:space="preserve">PAGEREF b_1_2 \h</w:instrText>
        <w:fldChar w:fldCharType="separate"/>
        <w:t xml:space="preserve">55</w:t>
        <w:fldChar w:fldCharType="end"/>
      </w:r>
      <w:r>
        <w:t xml:space="preserve">.</w:t>
      </w:r>
    </w:p>
    <w:p>
      <w:pPr>
        <w:pStyle w:val="Fuente"/>
      </w:pPr>
      <w:r>
        <w:t xml:space="preserve">Véase </w:t>
      </w:r>
      <w:hyperlink w:history="1" w:anchor="b_1_3">
        <w:r>
          <w:rPr>
            <w:color w:val="156B70"/>
            <w:u w:val="single"/>
          </w:rPr>
          <w:t xml:space="preserve">capítulo 1.3 · El paradigma de sistemas</w:t>
        </w:r>
      </w:hyperlink>
      <w:r>
        <w:t xml:space="preserve">, pág. </w:t>
      </w:r>
      <w:r>
        <w:fldChar w:fldCharType="begin"/>
        <w:instrText xml:space="preserve">PAGEREF b_1_3 \h</w:instrText>
        <w:fldChar w:fldCharType="separate"/>
        <w:t xml:space="preserve">83</w:t>
        <w:fldChar w:fldCharType="end"/>
      </w:r>
      <w:r>
        <w:t xml:space="preserve">.</w:t>
      </w:r>
    </w:p>
    <w:p>
      <w:pPr>
        <w:pStyle w:val="Fuente"/>
      </w:pPr>
      <w:r>
        <w:t xml:space="preserve">Véase </w:t>
      </w:r>
      <w:hyperlink w:history="1" w:anchor="b_1_5">
        <w:r>
          <w:rPr>
            <w:color w:val="156B70"/>
            <w:u w:val="single"/>
          </w:rPr>
          <w:t xml:space="preserve">capítulo 1.5 · Perspectivas</w:t>
        </w:r>
      </w:hyperlink>
      <w:r>
        <w:t xml:space="preserve">, pág. </w:t>
      </w:r>
      <w:r>
        <w:fldChar w:fldCharType="begin"/>
        <w:instrText xml:space="preserve">PAGEREF b_1_5 \h</w:instrText>
        <w:fldChar w:fldCharType="separate"/>
        <w:t xml:space="preserve">125</w:t>
        <w:fldChar w:fldCharType="end"/>
      </w:r>
      <w:r>
        <w:t xml:space="preserve">.</w:t>
      </w:r>
    </w:p>
    <w:p>
      <w:pPr>
        <w:pStyle w:val="Fuente"/>
      </w:pPr>
      <w:r>
        <w:t xml:space="preserve">Véase </w:t>
      </w:r>
      <w:hyperlink w:history="1" w:anchor="b_1_6">
        <w:r>
          <w:rPr>
            <w:color w:val="156B70"/>
            <w:u w:val="single"/>
          </w:rPr>
          <w:t xml:space="preserve">capítulo 1.6 · Operaciones DSRP</w:t>
        </w:r>
      </w:hyperlink>
      <w:r>
        <w:t xml:space="preserve">, pág. </w:t>
      </w:r>
      <w:r>
        <w:fldChar w:fldCharType="begin"/>
        <w:instrText xml:space="preserve">PAGEREF b_1_6 \h</w:instrText>
        <w:fldChar w:fldCharType="separate"/>
        <w:t xml:space="preserve">150</w:t>
        <w:fldChar w:fldCharType="end"/>
      </w:r>
      <w:r>
        <w:t xml:space="preserve">.</w:t>
      </w:r>
    </w:p>
    <w:p>
      <w:pPr>
        <w:pStyle w:val="Fuente"/>
      </w:pPr>
      <w:r>
        <w:t xml:space="preserve">Véase </w:t>
      </w:r>
      <w:hyperlink w:history="1" w:anchor="b_1_7">
        <w:r>
          <w:rPr>
            <w:color w:val="156B70"/>
            <w:u w:val="single"/>
          </w:rPr>
          <w:t xml:space="preserve">capítulo 1.7 · Niveles — modelo del iceberg</w:t>
        </w:r>
      </w:hyperlink>
      <w:r>
        <w:t xml:space="preserve">, pág. </w:t>
      </w:r>
      <w:r>
        <w:fldChar w:fldCharType="begin"/>
        <w:instrText xml:space="preserve">PAGEREF b_1_7 \h</w:instrText>
        <w:fldChar w:fldCharType="separate"/>
        <w:t xml:space="preserve">175</w:t>
        <w:fldChar w:fldCharType="end"/>
      </w:r>
      <w:r>
        <w:t xml:space="preserve">.</w:t>
      </w:r>
    </w:p>
    <w:p>
      <w:pPr>
        <w:pStyle w:val="Fuente"/>
      </w:pPr>
      <w:r>
        <w:t xml:space="preserve">Véase </w:t>
      </w:r>
      <w:hyperlink w:history="1" w:anchor="b_1_8">
        <w:r>
          <w:rPr>
            <w:color w:val="156B70"/>
            <w:u w:val="single"/>
          </w:rPr>
          <w:t xml:space="preserve">capítulo 1.8 · Hábitos del pensador</w:t>
        </w:r>
      </w:hyperlink>
      <w:r>
        <w:t xml:space="preserve">, pág. </w:t>
      </w:r>
      <w:r>
        <w:fldChar w:fldCharType="begin"/>
        <w:instrText xml:space="preserve">PAGEREF b_1_8 \h</w:instrText>
        <w:fldChar w:fldCharType="separate"/>
        <w:t xml:space="preserve">194</w:t>
        <w:fldChar w:fldCharType="end"/>
      </w:r>
      <w:r>
        <w:t xml:space="preserve">.</w:t>
      </w:r>
    </w:p>
    <w:p>
      <w:pPr>
        <w:pStyle w:val="Heading3"/>
      </w:pPr>
      <w:bookmarkStart w:name="b_pagina_1_4_C_5_p7" w:id="627"/>
      <w:r>
        <w:t xml:space="preserve">C-5 · página 7 · Tipos de pensamiento</w:t>
      </w:r>
      <w:bookmarkEnd w:id="627"/>
    </w:p>
    <w:p>
      <w:pPr>
        <w:pStyle w:val="Normal"/>
      </w:pPr>
      <w:r>
        <w:t xml:space="preserve">El deck cita doce tipos y desarrolla sistémico, metacognitivo y crítico.</w:t>
      </w:r>
    </w:p>
    <w:p>
      <w:pPr>
        <w:pStyle w:val="Fuente"/>
      </w:pPr>
      <w:r>
        <w:t xml:space="preserve">Proyección o explicación: Clase 2 · 00:09:53 · captura c2-01.</w:t>
      </w:r>
    </w:p>
    <w:p>
      <w:pPr>
        <w:keepNext/>
        <w:spacing w:after="40" w:before="150"/>
        <w:jc w:val="center"/>
      </w:pPr>
      <w:bookmarkStart w:name="b_figura_original_pagina_C_5_7" w:id="628"/>
      <w:bookmarkEnd w:id="628"/>
      <w:r>
        <w:drawing>
          <wp:inline distT="0" distB="0" distL="0" distR="0">
            <wp:extent cx="5381625" cy="4162425"/>
            <wp:effectExtent t="0" r="0" b="0" l="0"/>
            <wp:docPr id="12" name="pagina-C-5-7" descr="Presentación C-5, pág. 7" title="Tipos de pensamien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01" cstate="none"/>
                    <a:srcRect/>
                    <a:stretch>
                      <a:fillRect/>
                    </a:stretch>
                  </pic:blipFill>
                  <pic:spPr bwMode="auto">
                    <a:xfrm>
                      <a:off x="0" y="0"/>
                      <a:ext cx="5381625" cy="4162425"/>
                    </a:xfrm>
                    <a:prstGeom prst="rect">
                      <a:avLst/>
                    </a:prstGeom>
                  </pic:spPr>
                </pic:pic>
              </a:graphicData>
            </a:graphic>
          </wp:inline>
        </w:drawing>
      </w:r>
    </w:p>
    <w:p>
      <w:pPr>
        <w:pStyle w:val="PieFigura"/>
        <w:keepNext/>
      </w:pPr>
      <w:bookmarkStart w:name="b_fig_1_4_1" w:id="629"/>
      <w:r>
        <w:t xml:space="preserve">Figura 1.4.</w:t>
      </w:r>
      <w:fldSimple w:instr="SEQ Figura \r 1 \* ARABIC">
        <w:r>
          <w:t xml:space="preserve">1</w:t>
        </w:r>
      </w:fldSimple>
      <w:r>
        <w:t xml:space="preserve"> · Tipos de pensamiento</w:t>
      </w:r>
      <w:bookmarkEnd w:id="629"/>
    </w:p>
    <w:p>
      <w:pPr>
        <w:pStyle w:val="Fuente"/>
      </w:pPr>
      <w:r>
        <w:t xml:space="preserve">Presentación C-5, pág. 7</w:t>
      </w:r>
    </w:p>
    <w:p>
      <w:bookmarkStart w:name="b_punto_c5_p007_01" w:id="630"/>
      <w:r>
        <w:t xml:space="preserve">Pensamiento sistémico (10): considerar interacciones y comportamiento global, con el ecosistema como ejemplo.</w:t>
      </w:r>
      <w:bookmarkEnd w:id="630"/>
    </w:p>
    <w:p>
      <w:bookmarkStart w:name="b_punto_c5_p007_02" w:id="631"/>
      <w:r>
        <w:t xml:space="preserve">Metacognitivo (11): reflexionar sobre cómo pensamos y aprendemos, evaluar estrategias y ajustar el estudio.</w:t>
      </w:r>
      <w:bookmarkEnd w:id="631"/>
    </w:p>
    <w:p>
      <w:bookmarkStart w:name="b_punto_c5_p007_03" w:id="632"/>
      <w:r>
        <w:t xml:space="preserve">Crítico (12): evaluar argumentos con lógica y evidencia; contrastar fuentes antes de aceptar una noticia.</w:t>
      </w:r>
      <w:bookmarkEnd w:id="632"/>
    </w:p>
    <w:p>
      <w:bookmarkStart w:name="b_punto_c5_p007_04" w:id="633"/>
      <w:r>
        <w:t xml:space="preserve">La presentación acredita una versión de doce tipos; la clase 2 menciona catorce y explica la actualización del artículo. El portal conserva catorce con procedencia de versión explícita.</w:t>
      </w:r>
      <w:bookmarkEnd w:id="633"/>
    </w:p>
    <w:p>
      <w:pPr>
        <w:pStyle w:val="Heading3"/>
      </w:pPr>
      <w:bookmarkStart w:name="b_pagina_1_4_C_5_p36" w:id="634"/>
      <w:r>
        <w:t xml:space="preserve">C-5 · página 36 · El pensador sistémico y los modelos mentales</w:t>
      </w:r>
      <w:bookmarkEnd w:id="634"/>
    </w:p>
    <w:p>
      <w:pPr>
        <w:pStyle w:val="Normal"/>
      </w:pPr>
      <w:r>
        <w:t xml:space="preserve">Revisar la influencia de los modelos sobre el presente y el futuro, mantenerlos abiertos a revisión y ampliar la información.</w:t>
      </w:r>
    </w:p>
    <w:p>
      <w:pPr>
        <w:pStyle w:val="Fuente"/>
      </w:pPr>
      <w:r>
        <w:t xml:space="preserve">Proyección o explicación: Clase 4 · 00:08:04 · captura c4-04.</w:t>
      </w:r>
    </w:p>
    <w:p>
      <w:pPr>
        <w:pStyle w:val="Fuente"/>
      </w:pPr>
      <w:r>
        <w:t xml:space="preserve">Véase </w:t>
      </w:r>
      <w:hyperlink w:history="1" w:anchor="b_figura_original_pagina_C_5_36">
        <w:r>
          <w:rPr>
            <w:color w:val="156B70"/>
            <w:u w:val="single"/>
          </w:rPr>
          <w:t xml:space="preserve">imagen de C-5, página 36</w:t>
        </w:r>
      </w:hyperlink>
      <w:r>
        <w:t xml:space="preserve">, pág. </w:t>
      </w:r>
      <w:r>
        <w:fldChar w:fldCharType="begin"/>
        <w:instrText xml:space="preserve">PAGEREF b_figura_original_pagina_C_5_36 \h</w:instrText>
        <w:fldChar w:fldCharType="separate"/>
        <w:t xml:space="preserve">204</w:t>
        <w:fldChar w:fldCharType="end"/>
      </w:r>
      <w:r>
        <w:t xml:space="preserve">.</w:t>
      </w:r>
    </w:p>
    <w:p>
      <w:bookmarkStart w:name="b_punto_c5_p036_03" w:id="635"/>
      <w:r>
        <w:t xml:space="preserve">Acercarse a cada situación con disposición de principiante para obtener un conjunto amplio de información, observando cómo se forma el propio modelo.</w:t>
      </w:r>
      <w:bookmarkEnd w:id="635"/>
    </w:p>
    <w:p>
      <w:pPr>
        <w:pStyle w:val="Fuente"/>
      </w:pPr>
      <w:r>
        <w:t xml:space="preserve">Véase </w:t>
      </w:r>
      <w:hyperlink w:history="1" w:anchor="b_1_8">
        <w:r>
          <w:rPr>
            <w:color w:val="156B70"/>
            <w:u w:val="single"/>
          </w:rPr>
          <w:t xml:space="preserve">capítulo 1.8 · Hábitos del pensador</w:t>
        </w:r>
      </w:hyperlink>
      <w:r>
        <w:t xml:space="preserve">, pág. </w:t>
      </w:r>
      <w:r>
        <w:fldChar w:fldCharType="begin"/>
        <w:instrText xml:space="preserve">PAGEREF b_1_8 \h</w:instrText>
        <w:fldChar w:fldCharType="separate"/>
        <w:t xml:space="preserve">194</w:t>
        <w:fldChar w:fldCharType="end"/>
      </w:r>
      <w:r>
        <w:t xml:space="preserve">.</w:t>
      </w:r>
    </w:p>
    <w:p>
      <w:pPr>
        <w:pStyle w:val="Fuente"/>
      </w:pPr>
      <w:r>
        <w:t xml:space="preserve">Véase </w:t>
      </w:r>
      <w:hyperlink w:history="1" w:anchor="b_1_1">
        <w:r>
          <w:rPr>
            <w:color w:val="156B70"/>
            <w:u w:val="single"/>
          </w:rPr>
          <w:t xml:space="preserve">capítulo 1.1 · Paradigmas y modelos mentales</w:t>
        </w:r>
      </w:hyperlink>
      <w:r>
        <w:t xml:space="preserve">, pág. </w:t>
      </w:r>
      <w:r>
        <w:fldChar w:fldCharType="begin"/>
        <w:instrText xml:space="preserve">PAGEREF b_1_1 \h</w:instrText>
        <w:fldChar w:fldCharType="separate"/>
        <w:t xml:space="preserve">19</w:t>
        <w:fldChar w:fldCharType="end"/>
      </w:r>
      <w:r>
        <w:t xml:space="preserve">.</w:t>
      </w:r>
    </w:p>
    <w:p>
      <w:pPr>
        <w:pStyle w:val="Heading3"/>
      </w:pPr>
      <w:bookmarkStart w:name="b_pagina_1_4_C_5_p52" w:id="636"/>
      <w:r>
        <w:t xml:space="preserve">C-5 · página 52 · Los modelos mentales como sistema</w:t>
      </w:r>
      <w:bookmarkEnd w:id="636"/>
    </w:p>
    <w:p>
      <w:pPr>
        <w:pStyle w:val="Normal"/>
      </w:pPr>
      <w:r>
        <w:t xml:space="preserve">Subsistemas de creencias asociados a distintas parcelas de la realidad se refuerzan al seleccionar la información.</w:t>
      </w:r>
    </w:p>
    <w:p>
      <w:pPr>
        <w:pStyle w:val="Fuente"/>
      </w:pPr>
      <w:r>
        <w:t xml:space="preserve">Proyección o explicación: Clase 5 · 00:51:04 · captura c5-09.</w:t>
      </w:r>
    </w:p>
    <w:p>
      <w:bookmarkStart w:name="b_punto_c5_p052_04" w:id="637"/>
      <w:r>
        <w:t xml:space="preserve">Un modelo incongruente con las metas limita el logro; uno irrealista dificulta comprender las situaciones.</w:t>
      </w:r>
      <w:bookmarkEnd w:id="637"/>
    </w:p>
    <w:p>
      <w:pPr>
        <w:pStyle w:val="Fuente"/>
      </w:pPr>
      <w:r>
        <w:t xml:space="preserve">Véase </w:t>
      </w:r>
      <w:hyperlink w:history="1" w:anchor="b_1_1">
        <w:r>
          <w:rPr>
            <w:color w:val="156B70"/>
            <w:u w:val="single"/>
          </w:rPr>
          <w:t xml:space="preserve">capítulo 1.1 · Paradigmas y modelos mentales</w:t>
        </w:r>
      </w:hyperlink>
      <w:r>
        <w:t xml:space="preserve">, pág. </w:t>
      </w:r>
      <w:r>
        <w:fldChar w:fldCharType="begin"/>
        <w:instrText xml:space="preserve">PAGEREF b_1_1 \h</w:instrText>
        <w:fldChar w:fldCharType="separate"/>
        <w:t xml:space="preserve">19</w:t>
        <w:fldChar w:fldCharType="end"/>
      </w:r>
      <w:r>
        <w:t xml:space="preserve">.</w:t>
      </w:r>
    </w:p>
    <w:p>
      <w:pPr>
        <w:pStyle w:val="Fuente"/>
      </w:pPr>
      <w:r>
        <w:t xml:space="preserve">Véase </w:t>
      </w:r>
      <w:hyperlink w:history="1" w:anchor="b_1_5">
        <w:r>
          <w:rPr>
            <w:color w:val="156B70"/>
            <w:u w:val="single"/>
          </w:rPr>
          <w:t xml:space="preserve">capítulo 1.5 · Perspectivas</w:t>
        </w:r>
      </w:hyperlink>
      <w:r>
        <w:t xml:space="preserve">, pág. </w:t>
      </w:r>
      <w:r>
        <w:fldChar w:fldCharType="begin"/>
        <w:instrText xml:space="preserve">PAGEREF b_1_5 \h</w:instrText>
        <w:fldChar w:fldCharType="separate"/>
        <w:t xml:space="preserve">125</w:t>
        <w:fldChar w:fldCharType="end"/>
      </w:r>
      <w:r>
        <w:t xml:space="preserve">.</w:t>
      </w:r>
    </w:p>
    <w:p>
      <w:pPr>
        <w:pStyle w:val="Heading3"/>
      </w:pPr>
      <w:bookmarkStart w:name="b_pagina_1_4_C_5_p59" w:id="638"/>
      <w:r>
        <w:t xml:space="preserve">C-5 · página 59 · Tipos y entradas de modelos mentales</w:t>
      </w:r>
      <w:bookmarkEnd w:id="638"/>
    </w:p>
    <w:p>
      <w:pPr>
        <w:pStyle w:val="Normal"/>
      </w:pPr>
      <w:r>
        <w:t xml:space="preserve">Aprendizaje, intereses, valores, ambiente, sociedad y otros modelos confluyen en un modelo que produce conducta.</w:t>
      </w:r>
    </w:p>
    <w:p>
      <w:pPr>
        <w:pStyle w:val="Fuente"/>
      </w:pPr>
      <w:r>
        <w:t xml:space="preserve">Proyección o explicación: Clase 5 · 01:29:56 · captura c5-16.</w:t>
      </w:r>
    </w:p>
    <w:p>
      <w:pPr>
        <w:keepNext/>
        <w:spacing w:after="40" w:before="150"/>
        <w:jc w:val="center"/>
      </w:pPr>
      <w:bookmarkStart w:name="b_figura_original_pagina_C_5_59" w:id="639"/>
      <w:bookmarkEnd w:id="639"/>
      <w:r>
        <w:drawing>
          <wp:inline distT="0" distB="0" distL="0" distR="0">
            <wp:extent cx="5381625" cy="4162425"/>
            <wp:effectExtent t="0" r="0" b="0" l="0"/>
            <wp:docPr id="13" name="pagina-C-5-59" descr="Presentación C-5, pág. 59" title="Tipos y entradas de modelos menta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02" cstate="none"/>
                    <a:srcRect/>
                    <a:stretch>
                      <a:fillRect/>
                    </a:stretch>
                  </pic:blipFill>
                  <pic:spPr bwMode="auto">
                    <a:xfrm>
                      <a:off x="0" y="0"/>
                      <a:ext cx="5381625" cy="4162425"/>
                    </a:xfrm>
                    <a:prstGeom prst="rect">
                      <a:avLst/>
                    </a:prstGeom>
                  </pic:spPr>
                </pic:pic>
              </a:graphicData>
            </a:graphic>
          </wp:inline>
        </w:drawing>
      </w:r>
    </w:p>
    <w:p>
      <w:pPr>
        <w:pStyle w:val="PieFigura"/>
        <w:keepNext/>
      </w:pPr>
      <w:bookmarkStart w:name="b_fig_1_4_2" w:id="640"/>
      <w:r>
        <w:t xml:space="preserve">Figura 1.4.</w:t>
      </w:r>
      <w:fldSimple w:instr="SEQ Figura \n \* ARABIC">
        <w:r>
          <w:t xml:space="preserve">2</w:t>
        </w:r>
      </w:fldSimple>
      <w:r>
        <w:t xml:space="preserve"> · Tipos y entradas de modelos mentales</w:t>
      </w:r>
      <w:bookmarkEnd w:id="640"/>
    </w:p>
    <w:p>
      <w:pPr>
        <w:pStyle w:val="Fuente"/>
      </w:pPr>
      <w:r>
        <w:t xml:space="preserve">Presentación C-5, pág. 59</w:t>
      </w:r>
    </w:p>
    <w:p>
      <w:bookmarkStart w:name="b_punto_c5_p059_01" w:id="641"/>
      <w:r>
        <w:t xml:space="preserve">Distinguir modelos limitadores de modelos sistémicos.</w:t>
      </w:r>
      <w:bookmarkEnd w:id="641"/>
    </w:p>
    <w:p>
      <w:pPr>
        <w:pStyle w:val="Fuente"/>
      </w:pPr>
      <w:r>
        <w:t xml:space="preserve">Véase </w:t>
      </w:r>
      <w:hyperlink w:history="1" w:anchor="b_1_1">
        <w:r>
          <w:rPr>
            <w:color w:val="156B70"/>
            <w:u w:val="single"/>
          </w:rPr>
          <w:t xml:space="preserve">capítulo 1.1 · Paradigmas y modelos mentales</w:t>
        </w:r>
      </w:hyperlink>
      <w:r>
        <w:t xml:space="preserve">, pág. </w:t>
      </w:r>
      <w:r>
        <w:fldChar w:fldCharType="begin"/>
        <w:instrText xml:space="preserve">PAGEREF b_1_1 \h</w:instrText>
        <w:fldChar w:fldCharType="separate"/>
        <w:t xml:space="preserve">19</w:t>
        <w:fldChar w:fldCharType="end"/>
      </w:r>
      <w:r>
        <w:t xml:space="preserve">.</w:t>
      </w:r>
    </w:p>
    <w:p>
      <w:pPr>
        <w:pStyle w:val="Heading3"/>
      </w:pPr>
      <w:bookmarkStart w:name="b_pagina_1_4_C_5_p60" w:id="642"/>
      <w:r>
        <w:t xml:space="preserve">C-5 · página 60 · Cómo conseguir modelos mentales</w:t>
      </w:r>
      <w:bookmarkEnd w:id="642"/>
    </w:p>
    <w:p>
      <w:pPr>
        <w:pStyle w:val="Normal"/>
      </w:pPr>
      <w:r>
        <w:t xml:space="preserve">Nueve contrastes de conducta distinguen prácticas rígidas de la construcción de modelos abiertos y sistémicos.</w:t>
      </w:r>
    </w:p>
    <w:p>
      <w:pPr>
        <w:pStyle w:val="Fuente"/>
      </w:pPr>
      <w:r>
        <w:t xml:space="preserve">Proyección o explicación: Clase 5 · 01:30:49 · captura c5-17.</w:t>
      </w:r>
    </w:p>
    <w:p>
      <w:pPr>
        <w:keepNext/>
        <w:spacing w:after="40" w:before="150"/>
        <w:jc w:val="center"/>
      </w:pPr>
      <w:bookmarkStart w:name="b_figura_original_pagina_C_5_60" w:id="643"/>
      <w:bookmarkEnd w:id="643"/>
      <w:r>
        <w:drawing>
          <wp:inline distT="0" distB="0" distL="0" distR="0">
            <wp:extent cx="5381625" cy="4162425"/>
            <wp:effectExtent t="0" r="0" b="0" l="0"/>
            <wp:docPr id="14" name="pagina-C-5-60" descr="Presentación C-5, pág. 60" title="Cómo conseguir modelos menta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03" cstate="none"/>
                    <a:srcRect/>
                    <a:stretch>
                      <a:fillRect/>
                    </a:stretch>
                  </pic:blipFill>
                  <pic:spPr bwMode="auto">
                    <a:xfrm>
                      <a:off x="0" y="0"/>
                      <a:ext cx="5381625" cy="4162425"/>
                    </a:xfrm>
                    <a:prstGeom prst="rect">
                      <a:avLst/>
                    </a:prstGeom>
                  </pic:spPr>
                </pic:pic>
              </a:graphicData>
            </a:graphic>
          </wp:inline>
        </w:drawing>
      </w:r>
    </w:p>
    <w:p>
      <w:pPr>
        <w:pStyle w:val="PieFigura"/>
        <w:keepNext/>
      </w:pPr>
      <w:bookmarkStart w:name="b_fig_1_4_3" w:id="644"/>
      <w:r>
        <w:t xml:space="preserve">Figura 1.4.</w:t>
      </w:r>
      <w:fldSimple w:instr="SEQ Figura \n \* ARABIC">
        <w:r>
          <w:t xml:space="preserve">3</w:t>
        </w:r>
      </w:fldSimple>
      <w:r>
        <w:t xml:space="preserve"> · Cómo conseguir modelos mentales</w:t>
      </w:r>
      <w:bookmarkEnd w:id="644"/>
    </w:p>
    <w:p>
      <w:pPr>
        <w:pStyle w:val="Fuente"/>
      </w:pPr>
      <w:r>
        <w:t xml:space="preserve">Presentación C-5, pág. 60</w:t>
      </w:r>
    </w:p>
    <w:p>
      <w:bookmarkStart w:name="b_punto_c5_p060_01" w:id="645"/>
      <w:r>
        <w:t xml:space="preserve">Tratar las propias ideas como realidad frente a considerarlas modelos revisables.</w:t>
      </w:r>
      <w:bookmarkEnd w:id="645"/>
    </w:p>
    <w:p>
      <w:bookmarkStart w:name="b_punto_c5_p060_02" w:id="646"/>
      <w:r>
        <w:t xml:space="preserve">Mantener intereses estrechos y sin curiosidad frente a ampliar intereses y experiencias.</w:t>
      </w:r>
      <w:bookmarkEnd w:id="646"/>
    </w:p>
    <w:p>
      <w:bookmarkStart w:name="b_punto_c5_p060_03" w:id="647"/>
      <w:r>
        <w:t xml:space="preserve">Cerrar pronto para evitar la incertidumbre frente a tolerar la ambigüedad.</w:t>
      </w:r>
      <w:bookmarkEnd w:id="647"/>
    </w:p>
    <w:p>
      <w:bookmarkStart w:name="b_punto_c5_p060_04" w:id="648"/>
      <w:r>
        <w:t xml:space="preserve">Inventar explicaciones para lo que contradice al modelo frente a investigar esas experiencias.</w:t>
      </w:r>
      <w:bookmarkEnd w:id="648"/>
    </w:p>
    <w:p>
      <w:bookmarkStart w:name="b_punto_c5_p060_05" w:id="649"/>
      <w:r>
        <w:t xml:space="preserve">Acumular experiencias unilaterales sin tiempo frente a buscar retroalimentación en un horizonte amplio.</w:t>
      </w:r>
      <w:bookmarkEnd w:id="649"/>
    </w:p>
    <w:p>
      <w:bookmarkStart w:name="b_punto_c5_p060_06" w:id="650"/>
      <w:r>
        <w:t xml:space="preserve">Culpar a una persona frente a examinar simultáneamente la situación y los supuestos propios.</w:t>
      </w:r>
      <w:bookmarkEnd w:id="650"/>
    </w:p>
    <w:p>
      <w:bookmarkStart w:name="b_punto_c5_p060_07" w:id="651"/>
      <w:r>
        <w:t xml:space="preserve">Pensar sólo en cadenas rectilíneas frente a reconocer bucles de causa y efecto.</w:t>
      </w:r>
      <w:bookmarkEnd w:id="651"/>
    </w:p>
    <w:p>
      <w:bookmarkStart w:name="b_punto_c5_p060_08" w:id="652"/>
      <w:r>
        <w:t xml:space="preserve">Mantener creencias sin revisión frente a probarlas y actualizarlas con experiencia.</w:t>
      </w:r>
      <w:bookmarkEnd w:id="652"/>
    </w:p>
    <w:p>
      <w:bookmarkStart w:name="b_punto_c5_p060_09" w:id="653"/>
      <w:r>
        <w:t xml:space="preserve">Usar deberes y universales incuestionados y generalizar de un caso frente a hacer explícita y revisable la escalera.</w:t>
      </w:r>
      <w:bookmarkEnd w:id="653"/>
    </w:p>
    <w:p>
      <w:pPr>
        <w:pStyle w:val="Heading3"/>
      </w:pPr>
      <w:bookmarkStart w:name="b_pagina_1_4_C_2_p50" w:id="654"/>
      <w:r>
        <w:t xml:space="preserve">C-2 · página 50 · El pensamiento sistémico busca no ser reduccionista</w:t>
      </w:r>
      <w:bookmarkEnd w:id="654"/>
    </w:p>
    <w:p>
      <w:pPr>
        <w:pStyle w:val="Normal"/>
      </w:pPr>
      <w:r>
        <w:t xml:space="preserve">Nueve filas comparan las dos miradas sin convertir todo rasgo reduccionista en defecto.</w:t>
      </w:r>
    </w:p>
    <w:p>
      <w:pPr>
        <w:pStyle w:val="Fuente"/>
      </w:pPr>
      <w:r>
        <w:t xml:space="preserve">Proyección o explicación: Clase 13 · 01:31:47 · captura c13-09.</w:t>
      </w:r>
    </w:p>
    <w:p>
      <w:bookmarkStart w:name="b_punto_c2_p050_01" w:id="655"/>
      <w:r>
        <w:t xml:space="preserve">Mirada parcial frente a totalidad holística.</w:t>
      </w:r>
      <w:bookmarkEnd w:id="655"/>
    </w:p>
    <w:p>
      <w:bookmarkStart w:name="b_punto_c2_p050_02" w:id="656"/>
      <w:r>
        <w:t xml:space="preserve">Rigidez de una sola forma frente a múltiples perspectivas y flexibilidad.</w:t>
      </w:r>
      <w:bookmarkEnd w:id="656"/>
    </w:p>
    <w:p>
      <w:bookmarkStart w:name="b_punto_c2_p050_03" w:id="657"/>
      <w:r>
        <w:t xml:space="preserve">Comportamiento en partes frente a propiedades emergentes.</w:t>
      </w:r>
      <w:bookmarkEnd w:id="657"/>
    </w:p>
    <w:p>
      <w:bookmarkStart w:name="b_punto_c2_p050_04" w:id="658"/>
      <w:r>
        <w:t xml:space="preserve">Énfasis individual en las partes frente a sus interrelaciones.</w:t>
      </w:r>
      <w:bookmarkEnd w:id="658"/>
    </w:p>
    <w:p>
      <w:bookmarkStart w:name="b_punto_c2_p050_05" w:id="659"/>
      <w:r>
        <w:t xml:space="preserve">Soluciones parciales/temporales frente a integrales/completas.</w:t>
      </w:r>
      <w:bookmarkEnd w:id="659"/>
    </w:p>
    <w:p>
      <w:bookmarkStart w:name="b_punto_c2_p050_06" w:id="660"/>
      <w:r>
        <w:t xml:space="preserve">Simplicidad frente a complejidad.</w:t>
      </w:r>
      <w:bookmarkEnd w:id="660"/>
    </w:p>
    <w:p>
      <w:bookmarkStart w:name="b_punto_c2_p050_07" w:id="661"/>
      <w:r>
        <w:t xml:space="preserve">Rapidez frente a tomarse tiempo.</w:t>
      </w:r>
      <w:bookmarkEnd w:id="661"/>
    </w:p>
    <w:p>
      <w:bookmarkStart w:name="b_punto_c2_p050_08" w:id="662"/>
      <w:r>
        <w:t xml:space="preserve">Facilidad de entender frente a mayor análisis.</w:t>
      </w:r>
      <w:bookmarkEnd w:id="662"/>
    </w:p>
    <w:p>
      <w:bookmarkStart w:name="b_punto_c2_p050_09" w:id="663"/>
      <w:r>
        <w:t xml:space="preserve">Causalidad lineal frente a ciclos de causa y efecto.</w:t>
      </w:r>
      <w:bookmarkEnd w:id="663"/>
    </w:p>
    <w:p>
      <w:pPr>
        <w:pStyle w:val="Heading3"/>
      </w:pPr>
      <w:r>
        <w:t xml:space="preserve">Lo que explicó el profesor en clase</w:t>
      </w:r>
    </w:p>
    <w:p>
      <w:pPr>
        <w:pStyle w:val="Heading3"/>
      </w:pPr>
      <w:bookmarkStart w:name="b_clase_1_4_c1_cap_02" w:id="664"/>
      <w:r>
        <w:t xml:space="preserve">Clase 1 · 00:07:59–00:14:01 · De qué trata la teoría de sistemas</w:t>
      </w:r>
      <w:bookmarkEnd w:id="664"/>
    </w:p>
    <w:p>
      <w:bookmarkStart w:name="b_punto_c1_cap_02_p02" w:id="665"/>
      <w:r>
        <w:t xml:space="preserve">Se busca volver consciente el pensamiento aplicado antes de forma implícita; el pensamiento sistémico es también un modelo mental abstracto.</w:t>
      </w:r>
      <w:bookmarkEnd w:id="665"/>
    </w:p>
    <w:p>
      <w:pPr>
        <w:pStyle w:val="Fuente"/>
      </w:pPr>
      <w:r>
        <w:t xml:space="preserve">Véase </w:t>
      </w:r>
      <w:hyperlink w:history="1" w:anchor="b_2_1">
        <w:r>
          <w:rPr>
            <w:color w:val="156B70"/>
            <w:u w:val="single"/>
          </w:rPr>
          <w:t xml:space="preserve">capítulo 2.1 · Visión general</w:t>
        </w:r>
      </w:hyperlink>
      <w:r>
        <w:t xml:space="preserve">, pág. </w:t>
      </w:r>
      <w:r>
        <w:fldChar w:fldCharType="begin"/>
        <w:instrText xml:space="preserve">PAGEREF b_2_1 \h</w:instrText>
        <w:fldChar w:fldCharType="separate"/>
        <w:t xml:space="preserve">222</w:t>
        <w:fldChar w:fldCharType="end"/>
      </w:r>
      <w:r>
        <w:t xml:space="preserve">.</w:t>
      </w:r>
    </w:p>
    <w:p>
      <w:pPr>
        <w:pStyle w:val="Fuente"/>
      </w:pPr>
      <w:r>
        <w:t xml:space="preserve">Véase </w:t>
      </w:r>
      <w:hyperlink w:history="1" w:anchor="b_1_1">
        <w:r>
          <w:rPr>
            <w:color w:val="156B70"/>
            <w:u w:val="single"/>
          </w:rPr>
          <w:t xml:space="preserve">capítulo 1.1 · Paradigmas y modelos mentales</w:t>
        </w:r>
      </w:hyperlink>
      <w:r>
        <w:t xml:space="preserve">, pág. </w:t>
      </w:r>
      <w:r>
        <w:fldChar w:fldCharType="begin"/>
        <w:instrText xml:space="preserve">PAGEREF b_1_1 \h</w:instrText>
        <w:fldChar w:fldCharType="separate"/>
        <w:t xml:space="preserve">19</w:t>
        <w:fldChar w:fldCharType="end"/>
      </w:r>
      <w:r>
        <w:t xml:space="preserve">.</w:t>
      </w:r>
    </w:p>
    <w:p>
      <w:pPr>
        <w:pStyle w:val="Heading3"/>
      </w:pPr>
      <w:bookmarkStart w:name="b_clase_1_4_c1_cap_03" w:id="666"/>
      <w:r>
        <w:t xml:space="preserve">Clase 1 · 00:14:03–00:25:56 · Las cuatro unidades y el hilo del curso</w:t>
      </w:r>
      <w:bookmarkEnd w:id="666"/>
    </w:p>
    <w:p>
      <w:bookmarkStart w:name="b_punto_c1_cap_03_p04" w:id="667"/>
      <w:r>
        <w:t xml:space="preserve">Las estructuras mentales habituales son automáticas e inconscientes y no necesariamente producen pensamiento sistémico; hay que reconocerlas para gestionarlas.</w:t>
      </w:r>
      <w:bookmarkEnd w:id="667"/>
    </w:p>
    <w:p>
      <w:pPr>
        <w:pStyle w:val="Fuente"/>
      </w:pPr>
      <w:r>
        <w:t xml:space="preserve">Véase </w:t>
      </w:r>
      <w:hyperlink w:history="1" w:anchor="b_1_1">
        <w:r>
          <w:rPr>
            <w:color w:val="156B70"/>
            <w:u w:val="single"/>
          </w:rPr>
          <w:t xml:space="preserve">capítulo 1.1 · Paradigmas y modelos mentales</w:t>
        </w:r>
      </w:hyperlink>
      <w:r>
        <w:t xml:space="preserve">, pág. </w:t>
      </w:r>
      <w:r>
        <w:fldChar w:fldCharType="begin"/>
        <w:instrText xml:space="preserve">PAGEREF b_1_1 \h</w:instrText>
        <w:fldChar w:fldCharType="separate"/>
        <w:t xml:space="preserve">19</w:t>
        <w:fldChar w:fldCharType="end"/>
      </w:r>
      <w:r>
        <w:t xml:space="preserve">.</w:t>
      </w:r>
    </w:p>
    <w:p>
      <w:pPr>
        <w:pStyle w:val="Fuente"/>
      </w:pPr>
      <w:r>
        <w:t xml:space="preserve">Véase </w:t>
      </w:r>
      <w:hyperlink w:history="1" w:anchor="b_1_3">
        <w:r>
          <w:rPr>
            <w:color w:val="156B70"/>
            <w:u w:val="single"/>
          </w:rPr>
          <w:t xml:space="preserve">capítulo 1.3 · El paradigma de sistemas</w:t>
        </w:r>
      </w:hyperlink>
      <w:r>
        <w:t xml:space="preserve">, pág. </w:t>
      </w:r>
      <w:r>
        <w:fldChar w:fldCharType="begin"/>
        <w:instrText xml:space="preserve">PAGEREF b_1_3 \h</w:instrText>
        <w:fldChar w:fldCharType="separate"/>
        <w:t xml:space="preserve">83</w:t>
        <w:fldChar w:fldCharType="end"/>
      </w:r>
      <w:r>
        <w:t xml:space="preserve">.</w:t>
      </w:r>
    </w:p>
    <w:p>
      <w:pPr>
        <w:pStyle w:val="Fuente"/>
      </w:pPr>
      <w:r>
        <w:t xml:space="preserve">Véase </w:t>
      </w:r>
      <w:hyperlink w:history="1" w:anchor="b_3_1">
        <w:r>
          <w:rPr>
            <w:color w:val="156B70"/>
            <w:u w:val="single"/>
          </w:rPr>
          <w:t xml:space="preserve">capítulo 3.1 · Mapas sistémicos</w:t>
        </w:r>
      </w:hyperlink>
      <w:r>
        <w:t xml:space="preserve">, pág. </w:t>
      </w:r>
      <w:r>
        <w:fldChar w:fldCharType="begin"/>
        <w:instrText xml:space="preserve">PAGEREF b_3_1 \h</w:instrText>
        <w:fldChar w:fldCharType="separate"/>
        <w:t xml:space="preserve">379</w:t>
        <w:fldChar w:fldCharType="end"/>
      </w:r>
      <w:r>
        <w:t xml:space="preserve">.</w:t>
      </w:r>
    </w:p>
    <w:p>
      <w:pPr>
        <w:pStyle w:val="Fuente"/>
      </w:pPr>
      <w:r>
        <w:t xml:space="preserve">Véase </w:t>
      </w:r>
      <w:hyperlink w:history="1" w:anchor="b_4_4">
        <w:r>
          <w:rPr>
            <w:color w:val="156B70"/>
            <w:u w:val="single"/>
          </w:rPr>
          <w:t xml:space="preserve">capítulo 4.4 · Simulación con VENSIM</w:t>
        </w:r>
      </w:hyperlink>
      <w:r>
        <w:t xml:space="preserve">, pág. </w:t>
      </w:r>
      <w:r>
        <w:fldChar w:fldCharType="begin"/>
        <w:instrText xml:space="preserve">PAGEREF b_4_4 \h</w:instrText>
        <w:fldChar w:fldCharType="separate"/>
        <w:t xml:space="preserve">776</w:t>
        <w:fldChar w:fldCharType="end"/>
      </w:r>
      <w:r>
        <w:t xml:space="preserve">.</w:t>
      </w:r>
    </w:p>
    <w:p>
      <w:pPr>
        <w:pStyle w:val="Heading3"/>
      </w:pPr>
      <w:bookmarkStart w:name="b_clase_1_4_c1_cap_04" w:id="668"/>
      <w:r>
        <w:t xml:space="preserve">Clase 1 · 00:25:56–00:35:08 · Hábitos del pensador sistémico y objetivos del curso</w:t>
      </w:r>
      <w:bookmarkEnd w:id="668"/>
    </w:p>
    <w:p>
      <w:bookmarkStart w:name="b_punto_c1_cap_04_p03" w:id="669"/>
      <w:r>
        <w:t xml:space="preserve">Los objetivos incluyen distinguir formas de pensamiento, operaciones y hábitos, y aplicarlos a modelación, resolución de problemas y decisiones.</w:t>
      </w:r>
      <w:bookmarkEnd w:id="669"/>
    </w:p>
    <w:p>
      <w:bookmarkStart w:name="b_punto_c1_cap_04_p04" w:id="670"/>
      <w:r>
        <w:t xml:space="preserve">Se deben modelar sistemas simples y complejos; en situaciones de mayor complejidad el pensamiento sistémico es esencial, aunque otros enfoques puedan servir para las simples.</w:t>
      </w:r>
      <w:bookmarkEnd w:id="670"/>
    </w:p>
    <w:p>
      <w:bookmarkStart w:name="b_punto_c1_cap_04_p06" w:id="671"/>
      <w:r>
        <w:t xml:space="preserve">Los objetivos de práctica nombran mapas DSRP, DCC y Forrester, modelos de baja o moderada complejidad e interpretación de simulaciones de Vensim.</w:t>
      </w:r>
      <w:bookmarkEnd w:id="671"/>
    </w:p>
    <w:p>
      <w:pPr>
        <w:pStyle w:val="Fuente"/>
      </w:pPr>
      <w:r>
        <w:t xml:space="preserve">Véase </w:t>
      </w:r>
      <w:hyperlink w:history="1" w:anchor="b_1_8">
        <w:r>
          <w:rPr>
            <w:color w:val="156B70"/>
            <w:u w:val="single"/>
          </w:rPr>
          <w:t xml:space="preserve">capítulo 1.8 · Hábitos del pensador</w:t>
        </w:r>
      </w:hyperlink>
      <w:r>
        <w:t xml:space="preserve">, pág. </w:t>
      </w:r>
      <w:r>
        <w:fldChar w:fldCharType="begin"/>
        <w:instrText xml:space="preserve">PAGEREF b_1_8 \h</w:instrText>
        <w:fldChar w:fldCharType="separate"/>
        <w:t xml:space="preserve">194</w:t>
        <w:fldChar w:fldCharType="end"/>
      </w:r>
      <w:r>
        <w:t xml:space="preserve">.</w:t>
      </w:r>
    </w:p>
    <w:p>
      <w:pPr>
        <w:pStyle w:val="Fuente"/>
      </w:pPr>
      <w:r>
        <w:t xml:space="preserve">Véase </w:t>
      </w:r>
      <w:hyperlink w:history="1" w:anchor="b_2_9">
        <w:r>
          <w:rPr>
            <w:color w:val="156B70"/>
            <w:u w:val="single"/>
          </w:rPr>
          <w:t xml:space="preserve">capítulo 2.9 · Introducción a los hábitos</w:t>
        </w:r>
      </w:hyperlink>
      <w:r>
        <w:t xml:space="preserve">, pág. </w:t>
      </w:r>
      <w:r>
        <w:fldChar w:fldCharType="begin"/>
        <w:instrText xml:space="preserve">PAGEREF b_2_9 \h</w:instrText>
        <w:fldChar w:fldCharType="separate"/>
        <w:t xml:space="preserve">366</w:t>
        <w:fldChar w:fldCharType="end"/>
      </w:r>
      <w:r>
        <w:t xml:space="preserve">.</w:t>
      </w:r>
    </w:p>
    <w:p>
      <w:pPr>
        <w:pStyle w:val="Heading3"/>
      </w:pPr>
      <w:bookmarkStart w:name="b_clase_1_4_c1_cap_06" w:id="672"/>
      <w:r>
        <w:t xml:space="preserve">Clase 1 · 01:00:13–01:03:58 · Unidad 1: la ruta de los sistemas abstractos diseñados</w:t>
      </w:r>
      <w:bookmarkEnd w:id="672"/>
    </w:p>
    <w:p>
      <w:bookmarkStart w:name="b_punto_c1_cap_06_p03" w:id="673"/>
      <w:r>
        <w:t xml:space="preserve">La unidad distinguirá modelos sistémicos y no sistémicos, sus perspectivas y las operaciones DSRP, además de las operaciones automáticas comunes.</w:t>
      </w:r>
      <w:bookmarkEnd w:id="673"/>
    </w:p>
    <w:p>
      <w:pPr>
        <w:pStyle w:val="Fuente"/>
      </w:pPr>
      <w:r>
        <w:t xml:space="preserve">Véase </w:t>
      </w:r>
      <w:hyperlink w:history="1" w:anchor="b_1_1">
        <w:r>
          <w:rPr>
            <w:color w:val="156B70"/>
            <w:u w:val="single"/>
          </w:rPr>
          <w:t xml:space="preserve">capítulo 1.1 · Paradigmas y modelos mentales</w:t>
        </w:r>
      </w:hyperlink>
      <w:r>
        <w:t xml:space="preserve">, pág. </w:t>
      </w:r>
      <w:r>
        <w:fldChar w:fldCharType="begin"/>
        <w:instrText xml:space="preserve">PAGEREF b_1_1 \h</w:instrText>
        <w:fldChar w:fldCharType="separate"/>
        <w:t xml:space="preserve">19</w:t>
        <w:fldChar w:fldCharType="end"/>
      </w:r>
      <w:r>
        <w:t xml:space="preserve">.</w:t>
      </w:r>
    </w:p>
    <w:p>
      <w:pPr>
        <w:pStyle w:val="Fuente"/>
      </w:pPr>
      <w:r>
        <w:t xml:space="preserve">Véase </w:t>
      </w:r>
      <w:hyperlink w:history="1" w:anchor="b_1_8">
        <w:r>
          <w:rPr>
            <w:color w:val="156B70"/>
            <w:u w:val="single"/>
          </w:rPr>
          <w:t xml:space="preserve">capítulo 1.8 · Hábitos del pensador</w:t>
        </w:r>
      </w:hyperlink>
      <w:r>
        <w:t xml:space="preserve">, pág. </w:t>
      </w:r>
      <w:r>
        <w:fldChar w:fldCharType="begin"/>
        <w:instrText xml:space="preserve">PAGEREF b_1_8 \h</w:instrText>
        <w:fldChar w:fldCharType="separate"/>
        <w:t xml:space="preserve">194</w:t>
        <w:fldChar w:fldCharType="end"/>
      </w:r>
      <w:r>
        <w:t xml:space="preserve">.</w:t>
      </w:r>
    </w:p>
    <w:p>
      <w:pPr>
        <w:pStyle w:val="Heading3"/>
      </w:pPr>
      <w:bookmarkStart w:name="b_clase_1_4_c1_cap_08" w:id="674"/>
      <w:r>
        <w:t xml:space="preserve">Clase 1 · 01:10:29–01:14:01 · El paradigma de sistemas como ejemplo</w:t>
      </w:r>
      <w:bookmarkEnd w:id="674"/>
    </w:p>
    <w:p>
      <w:bookmarkStart w:name="b_punto_c1_cap_08_p04" w:id="675"/>
      <w:r>
        <w:t xml:space="preserve">El paradigma sistémico es un ejemplo de paradigma; primero se estudian los modelos mentales en general, sean sistémicos o no.</w:t>
      </w:r>
      <w:bookmarkEnd w:id="675"/>
    </w:p>
    <w:p>
      <w:pPr>
        <w:pStyle w:val="Fuente"/>
      </w:pPr>
      <w:r>
        <w:t xml:space="preserve">Véase </w:t>
      </w:r>
      <w:hyperlink w:history="1" w:anchor="b_1_3">
        <w:r>
          <w:rPr>
            <w:color w:val="156B70"/>
            <w:u w:val="single"/>
          </w:rPr>
          <w:t xml:space="preserve">capítulo 1.3 · El paradigma de sistemas</w:t>
        </w:r>
      </w:hyperlink>
      <w:r>
        <w:t xml:space="preserve">, pág. </w:t>
      </w:r>
      <w:r>
        <w:fldChar w:fldCharType="begin"/>
        <w:instrText xml:space="preserve">PAGEREF b_1_3 \h</w:instrText>
        <w:fldChar w:fldCharType="separate"/>
        <w:t xml:space="preserve">83</w:t>
        <w:fldChar w:fldCharType="end"/>
      </w:r>
      <w:r>
        <w:t xml:space="preserve">.</w:t>
      </w:r>
    </w:p>
    <w:p>
      <w:pPr>
        <w:pStyle w:val="Fuente"/>
      </w:pPr>
      <w:r>
        <w:t xml:space="preserve">Véase </w:t>
      </w:r>
      <w:hyperlink w:history="1" w:anchor="b_1_1">
        <w:r>
          <w:rPr>
            <w:color w:val="156B70"/>
            <w:u w:val="single"/>
          </w:rPr>
          <w:t xml:space="preserve">capítulo 1.1 · Paradigmas y modelos mentales</w:t>
        </w:r>
      </w:hyperlink>
      <w:r>
        <w:t xml:space="preserve">, pág. </w:t>
      </w:r>
      <w:r>
        <w:fldChar w:fldCharType="begin"/>
        <w:instrText xml:space="preserve">PAGEREF b_1_1 \h</w:instrText>
        <w:fldChar w:fldCharType="separate"/>
        <w:t xml:space="preserve">19</w:t>
        <w:fldChar w:fldCharType="end"/>
      </w:r>
      <w:r>
        <w:t xml:space="preserve">.</w:t>
      </w:r>
    </w:p>
    <w:p>
      <w:pPr>
        <w:pStyle w:val="Heading3"/>
      </w:pPr>
      <w:bookmarkStart w:name="b_clase_1_4_c1_cap_10" w:id="676"/>
      <w:r>
        <w:t xml:space="preserve">Clase 1 · 01:28:06–01:35:22 · Sobre el pensamiento y la tarea para la próxima sesión</w:t>
      </w:r>
      <w:bookmarkEnd w:id="676"/>
    </w:p>
    <w:p>
      <w:bookmarkStart w:name="b_punto_c1_cap_10_p04" w:id="677"/>
      <w:r>
        <w:t xml:space="preserve">Existen distintos tipos de pensamiento, vinculados con las emociones, las acciones y los modelos mentales; el sistémico no es exclusivo ni sustituye a los otros.</w:t>
      </w:r>
      <w:bookmarkEnd w:id="677"/>
    </w:p>
    <w:p>
      <w:pPr>
        <w:pStyle w:val="Fuente"/>
      </w:pPr>
      <w:r>
        <w:t xml:space="preserve">Véase </w:t>
      </w:r>
      <w:hyperlink w:history="1" w:anchor="b_senales_examen">
        <w:r>
          <w:rPr>
            <w:color w:val="156B70"/>
            <w:u w:val="single"/>
          </w:rPr>
          <w:t xml:space="preserve">1 indicación(es) de examen de este tramo, en el apéndice cronológico</w:t>
        </w:r>
      </w:hyperlink>
      <w:r>
        <w:t xml:space="preserve">, pág. </w:t>
      </w:r>
      <w:r>
        <w:fldChar w:fldCharType="begin"/>
        <w:instrText xml:space="preserve">PAGEREF b_senales_examen \h</w:instrText>
        <w:fldChar w:fldCharType="separate"/>
        <w:t xml:space="preserve">1663</w:t>
        <w:fldChar w:fldCharType="end"/>
      </w:r>
      <w:r>
        <w:t xml:space="preserve">.</w:t>
      </w:r>
    </w:p>
    <w:p>
      <w:pPr>
        <w:pStyle w:val="Fuente"/>
      </w:pPr>
      <w:r>
        <w:t xml:space="preserve">Véase </w:t>
      </w:r>
      <w:hyperlink w:history="1" w:anchor="b_1_1">
        <w:r>
          <w:rPr>
            <w:color w:val="156B70"/>
            <w:u w:val="single"/>
          </w:rPr>
          <w:t xml:space="preserve">capítulo 1.1 · Paradigmas y modelos mentales</w:t>
        </w:r>
      </w:hyperlink>
      <w:r>
        <w:t xml:space="preserve">, pág. </w:t>
      </w:r>
      <w:r>
        <w:fldChar w:fldCharType="begin"/>
        <w:instrText xml:space="preserve">PAGEREF b_1_1 \h</w:instrText>
        <w:fldChar w:fldCharType="separate"/>
        <w:t xml:space="preserve">19</w:t>
        <w:fldChar w:fldCharType="end"/>
      </w:r>
      <w:r>
        <w:t xml:space="preserve">.</w:t>
      </w:r>
    </w:p>
    <w:p>
      <w:pPr>
        <w:pStyle w:val="Heading3"/>
      </w:pPr>
      <w:bookmarkStart w:name="b_clase_1_4_c2_cap_01" w:id="678"/>
      <w:r>
        <w:t xml:space="preserve">Clase 2 · 00:04:19–00:14:02 · Apertura: repaso de los sistemas abstractos y el mapa de los tipos de pensamiento</w:t>
      </w:r>
      <w:bookmarkEnd w:id="678"/>
    </w:p>
    <w:p>
      <w:bookmarkStart w:name="b_punto_c2_cap_01_p02" w:id="679"/>
      <w:r>
        <w:t xml:space="preserve">El pensamiento consciente hace más clara y completa la representación; se revisan el video de Barker y la lectura previa.</w:t>
      </w:r>
      <w:bookmarkEnd w:id="679"/>
    </w:p>
    <w:p>
      <w:bookmarkStart w:name="b_punto_c2_cap_01_p04" w:id="680"/>
      <w:r>
        <w:t xml:space="preserve">La inducción infiere conclusiones abstractas de experiencias concretas y construye modelos; la deducción reutiliza esos supuestos para decidir sin reconstruir cada comprensión.</w:t>
      </w:r>
      <w:bookmarkEnd w:id="680"/>
    </w:p>
    <w:p>
      <w:bookmarkStart w:name="b_punto_c2_cap_01_p05" w:id="681"/>
      <w:r>
        <w:t xml:space="preserve">Las creaciones comienzan en la mente y luego se manifiestan en objetos o escritos; creativo, divergente y convergente son otras variantes útiles de pensamiento.</w:t>
      </w:r>
      <w:bookmarkEnd w:id="681"/>
    </w:p>
    <w:p>
      <w:pPr>
        <w:pStyle w:val="Fuente"/>
      </w:pPr>
      <w:r>
        <w:t xml:space="preserve">Véase </w:t>
      </w:r>
      <w:hyperlink w:history="1" w:anchor="b_1_1">
        <w:r>
          <w:rPr>
            <w:color w:val="156B70"/>
            <w:u w:val="single"/>
          </w:rPr>
          <w:t xml:space="preserve">capítulo 1.1 · Paradigmas y modelos mentales</w:t>
        </w:r>
      </w:hyperlink>
      <w:r>
        <w:t xml:space="preserve">, pág. </w:t>
      </w:r>
      <w:r>
        <w:fldChar w:fldCharType="begin"/>
        <w:instrText xml:space="preserve">PAGEREF b_1_1 \h</w:instrText>
        <w:fldChar w:fldCharType="separate"/>
        <w:t xml:space="preserve">19</w:t>
        <w:fldChar w:fldCharType="end"/>
      </w:r>
      <w:r>
        <w:t xml:space="preserve">.</w:t>
      </w:r>
    </w:p>
    <w:p>
      <w:pPr>
        <w:pStyle w:val="Heading3"/>
      </w:pPr>
      <w:bookmarkStart w:name="b_clase_1_4_c2_cap_02" w:id="682"/>
      <w:r>
        <w:t xml:space="preserve">Clase 2 · 00:14:02–00:21:41 · Los tres pensamientos del curso: metacognitivo, sistémico y crítico</w:t>
      </w:r>
      <w:bookmarkEnd w:id="682"/>
    </w:p>
    <w:p>
      <w:bookmarkStart w:name="b_punto_c2_cap_02_p01" w:id="683"/>
      <w:r>
        <w:t xml:space="preserve">La presentación acredita una versión de doce tipos; la clase 2 menciona catorce y explica la actualización del artículo. El portal conserva catorce con procedencia de versión explícita.</w:t>
      </w:r>
      <w:bookmarkEnd w:id="683"/>
    </w:p>
    <w:p>
      <w:bookmarkStart w:name="b_punto_c2_cap_02_p02" w:id="684"/>
      <w:r>
        <w:t xml:space="preserve">Metacognitivo significa reflexionar sobre los propios procesos de pensamiento y aprendizaje para autorregularse, detectar errores y reconocer su relación con emociones y acciones.</w:t>
      </w:r>
      <w:bookmarkEnd w:id="684"/>
    </w:p>
    <w:p>
      <w:bookmarkStart w:name="b_punto_c2_cap_02_p03" w:id="685"/>
      <w:r>
        <w:t xml:space="preserve">El pensamiento sistémico considera las interacciones entre elementos y otros sistemas de forma integral, con el concepto de sistema como base.</w:t>
      </w:r>
      <w:bookmarkEnd w:id="685"/>
    </w:p>
    <w:p>
      <w:bookmarkStart w:name="b_punto_c2_cap_02_p04" w:id="686"/>
      <w:r>
        <w:t xml:space="preserve">El pensamiento crítico evalúa la validez de ideas, argumentos e información con lógica, análisis, síntesis y evidencia, distinguiendo objetividad de subjetividad.</w:t>
      </w:r>
      <w:bookmarkEnd w:id="686"/>
    </w:p>
    <w:p>
      <w:bookmarkStart w:name="b_punto_c2_cap_02_p05" w:id="687"/>
      <w:r>
        <w:t xml:space="preserve">El pensamiento humano es un sistema abstracto complejo; los distintos tipos son herramientas cuya utilidad depende del contexto y del objetivo.</w:t>
      </w:r>
      <w:bookmarkEnd w:id="687"/>
    </w:p>
    <w:p>
      <w:pPr>
        <w:pStyle w:val="Fuente"/>
      </w:pPr>
      <w:r>
        <w:t xml:space="preserve">Véase </w:t>
      </w:r>
      <w:hyperlink w:history="1" w:anchor="b_senales_examen">
        <w:r>
          <w:rPr>
            <w:color w:val="156B70"/>
            <w:u w:val="single"/>
          </w:rPr>
          <w:t xml:space="preserve">1 indicación(es) de examen de este tramo, en el apéndice cronológico</w:t>
        </w:r>
      </w:hyperlink>
      <w:r>
        <w:t xml:space="preserve">, pág. </w:t>
      </w:r>
      <w:r>
        <w:fldChar w:fldCharType="begin"/>
        <w:instrText xml:space="preserve">PAGEREF b_senales_examen \h</w:instrText>
        <w:fldChar w:fldCharType="separate"/>
        <w:t xml:space="preserve">1663</w:t>
        <w:fldChar w:fldCharType="end"/>
      </w:r>
      <w:r>
        <w:t xml:space="preserve">.</w:t>
      </w:r>
    </w:p>
    <w:p>
      <w:pPr>
        <w:pStyle w:val="Heading3"/>
      </w:pPr>
      <w:bookmarkStart w:name="b_clase_1_4_c2_cap_05" w:id="688"/>
      <w:r>
        <w:t xml:space="preserve">Clase 2 · 00:46:56–01:00:15 · El efecto paradigma: lo veré cuando lo crea</w:t>
      </w:r>
      <w:bookmarkEnd w:id="688"/>
    </w:p>
    <w:p>
      <w:bookmarkStart w:name="b_punto_c2_cap_05_p07" w:id="689"/>
      <w:r>
        <w:t xml:space="preserve">Tolerar cierta incertidumbre abre espacio para observar prácticas nuevas y construir paradigmas; no requiere incertidumbre total.</w:t>
      </w:r>
      <w:bookmarkEnd w:id="689"/>
    </w:p>
    <w:p>
      <w:pPr>
        <w:pStyle w:val="Fuente"/>
      </w:pPr>
      <w:r>
        <w:t xml:space="preserve">Véase </w:t>
      </w:r>
      <w:hyperlink w:history="1" w:anchor="b_1_1">
        <w:r>
          <w:rPr>
            <w:color w:val="156B70"/>
            <w:u w:val="single"/>
          </w:rPr>
          <w:t xml:space="preserve">capítulo 1.1 · Paradigmas y modelos mentales</w:t>
        </w:r>
      </w:hyperlink>
      <w:r>
        <w:t xml:space="preserve">, pág. </w:t>
      </w:r>
      <w:r>
        <w:fldChar w:fldCharType="begin"/>
        <w:instrText xml:space="preserve">PAGEREF b_1_1 \h</w:instrText>
        <w:fldChar w:fldCharType="separate"/>
        <w:t xml:space="preserve">19</w:t>
        <w:fldChar w:fldCharType="end"/>
      </w:r>
      <w:r>
        <w:t xml:space="preserve">.</w:t>
      </w:r>
    </w:p>
    <w:p>
      <w:pPr>
        <w:pStyle w:val="Heading3"/>
      </w:pPr>
      <w:bookmarkStart w:name="b_clase_1_4_c2_cap_09" w:id="690"/>
      <w:r>
        <w:t xml:space="preserve">Clase 2 · 01:19:22–01:27:08 · La discordancia de Derek Cabrera: para qué sirve el pensamiento sistémico</w:t>
      </w:r>
      <w:bookmarkEnd w:id="690"/>
    </w:p>
    <w:p>
      <w:bookmarkStart w:name="b_punto_c2_cap_09_p01" w:id="691"/>
      <w:r>
        <w:t xml:space="preserve">El pensador sistémico usa metacognición para vigilar si sus modelos son sistémicos e incorporar otros puntos de vista.</w:t>
      </w:r>
      <w:bookmarkEnd w:id="691"/>
    </w:p>
    <w:p>
      <w:bookmarkStart w:name="b_punto_c2_cap_09_p04" w:id="692"/>
      <w:r>
        <w:t xml:space="preserve">La finalidad sistémica es pensar mejor sobre sistemas y problemas, construyendo representaciones más precisas para decidir y actuar.</w:t>
      </w:r>
      <w:bookmarkEnd w:id="692"/>
    </w:p>
    <w:p>
      <w:pPr>
        <w:pStyle w:val="Fuente"/>
      </w:pPr>
      <w:r>
        <w:t xml:space="preserve">Véase </w:t>
      </w:r>
      <w:hyperlink w:history="1" w:anchor="b_1_1">
        <w:r>
          <w:rPr>
            <w:color w:val="156B70"/>
            <w:u w:val="single"/>
          </w:rPr>
          <w:t xml:space="preserve">capítulo 1.1 · Paradigmas y modelos mentales</w:t>
        </w:r>
      </w:hyperlink>
      <w:r>
        <w:t xml:space="preserve">, pág. </w:t>
      </w:r>
      <w:r>
        <w:fldChar w:fldCharType="begin"/>
        <w:instrText xml:space="preserve">PAGEREF b_1_1 \h</w:instrText>
        <w:fldChar w:fldCharType="separate"/>
        <w:t xml:space="preserve">19</w:t>
        <w:fldChar w:fldCharType="end"/>
      </w:r>
      <w:r>
        <w:t xml:space="preserve">.</w:t>
      </w:r>
    </w:p>
    <w:p>
      <w:pPr>
        <w:pStyle w:val="Heading3"/>
      </w:pPr>
      <w:bookmarkStart w:name="b_clase_1_4_c3_cap_01" w:id="693"/>
      <w:r>
        <w:t xml:space="preserve">Clase 3 · 00:06:22–00:18:39 · Apertura: problemas complejos y la discordancia mente–realidad</w:t>
      </w:r>
      <w:bookmarkEnd w:id="693"/>
    </w:p>
    <w:p>
      <w:bookmarkStart w:name="b_punto_c3_cap_01_p05" w:id="694"/>
      <w:r>
        <w:t xml:space="preserve">El primer paso es hacerse consciente de las representaciones propias o recibidas, para mejorarlas, enriquecerlas o suspenderlas cuando corresponda.</w:t>
      </w:r>
      <w:bookmarkEnd w:id="694"/>
    </w:p>
    <w:p>
      <w:pPr>
        <w:pStyle w:val="Fuente"/>
      </w:pPr>
      <w:r>
        <w:t xml:space="preserve">Véase </w:t>
      </w:r>
      <w:hyperlink w:history="1" w:anchor="b_1_1">
        <w:r>
          <w:rPr>
            <w:color w:val="156B70"/>
            <w:u w:val="single"/>
          </w:rPr>
          <w:t xml:space="preserve">capítulo 1.1 · Paradigmas y modelos mentales</w:t>
        </w:r>
      </w:hyperlink>
      <w:r>
        <w:t xml:space="preserve">, pág. </w:t>
      </w:r>
      <w:r>
        <w:fldChar w:fldCharType="begin"/>
        <w:instrText xml:space="preserve">PAGEREF b_1_1 \h</w:instrText>
        <w:fldChar w:fldCharType="separate"/>
        <w:t xml:space="preserve">19</w:t>
        <w:fldChar w:fldCharType="end"/>
      </w:r>
      <w:r>
        <w:t xml:space="preserve">.</w:t>
      </w:r>
    </w:p>
    <w:p>
      <w:pPr>
        <w:pStyle w:val="Heading3"/>
      </w:pPr>
      <w:bookmarkStart w:name="b_clase_1_4_c4_cap_09" w:id="695"/>
      <w:r>
        <w:t xml:space="preserve">Clase 4 · 01:17:35–01:24:58 · Modelos mentales realistas y útiles: la columna de la mano izquierda</w:t>
      </w:r>
      <w:bookmarkEnd w:id="695"/>
    </w:p>
    <w:p>
      <w:bookmarkStart w:name="b_punto_c4_cap_09_p01" w:id="696"/>
      <w:r>
        <w:t xml:space="preserve">Los modelos deben ser realistas, representativos de la realidad que interesa, y útiles para resolver el problema o lograr el objetivo; ambos criterios se desarrollan con ModelosRealistasYUtiles.</w:t>
      </w:r>
      <w:bookmarkEnd w:id="696"/>
    </w:p>
    <w:p>
      <w:bookmarkStart w:name="b_punto_c4_cap_09_p02" w:id="697"/>
      <w:r>
        <w:t xml:space="preserve">Revisarlos exige reconocer su existencia, aprendizaje inconsciente e información filtrada; reflexionar, indagar, explicitar y corregir o enriquecer supuestos.</w:t>
      </w:r>
      <w:bookmarkEnd w:id="697"/>
    </w:p>
    <w:p>
      <w:bookmarkStart w:name="b_punto_c4_cap_09_p03" w:id="698"/>
      <w:r>
        <w:t xml:space="preserve">La metacognición requiere práctica para volverse hábito; la revisión no ocurre de manera inmediata.</w:t>
      </w:r>
      <w:bookmarkEnd w:id="698"/>
    </w:p>
    <w:p>
      <w:bookmarkStart w:name="b_punto_c4_cap_09_p06" w:id="699"/>
      <w:r>
        <w:t xml:space="preserve">Las herramientas buscan una visión integral u holística y pensamiento crítico para contrastar información; tomar lo pensado como verdad lleva a reacciones poco precisas.</w:t>
      </w:r>
      <w:bookmarkEnd w:id="699"/>
    </w:p>
    <w:p>
      <w:pPr>
        <w:pStyle w:val="Fuente"/>
      </w:pPr>
      <w:r>
        <w:t xml:space="preserve">Véase </w:t>
      </w:r>
      <w:hyperlink w:history="1" w:anchor="b_1_1">
        <w:r>
          <w:rPr>
            <w:color w:val="156B70"/>
            <w:u w:val="single"/>
          </w:rPr>
          <w:t xml:space="preserve">capítulo 1.1 · Paradigmas y modelos mentales</w:t>
        </w:r>
      </w:hyperlink>
      <w:r>
        <w:t xml:space="preserve">, pág. </w:t>
      </w:r>
      <w:r>
        <w:fldChar w:fldCharType="begin"/>
        <w:instrText xml:space="preserve">PAGEREF b_1_1 \h</w:instrText>
        <w:fldChar w:fldCharType="separate"/>
        <w:t xml:space="preserve">19</w:t>
        <w:fldChar w:fldCharType="end"/>
      </w:r>
      <w:r>
        <w:t xml:space="preserve">.</w:t>
      </w:r>
    </w:p>
    <w:p>
      <w:pPr>
        <w:pStyle w:val="Heading3"/>
      </w:pPr>
      <w:bookmarkStart w:name="b_clase_1_4_c4_cap_10" w:id="700"/>
      <w:r>
        <w:t xml:space="preserve">Clase 4 · 01:24:58–01:39:11 · Investigando suposiciones, cambiar las perspectivas y cierre</w:t>
      </w:r>
      <w:bookmarkEnd w:id="700"/>
    </w:p>
    <w:p>
      <w:bookmarkStart w:name="b_punto_c4_cap_10_p05" w:id="701"/>
      <w:r>
        <w:t xml:space="preserve">Los monos ilustran pérdida de vigencia: cambia la realidad y sigue el hábito. Conviene cuestionar creencias periódicamente y cuando algo no encaja.</w:t>
      </w:r>
      <w:bookmarkEnd w:id="701"/>
    </w:p>
    <w:p>
      <w:pPr>
        <w:pStyle w:val="Fuente"/>
      </w:pPr>
      <w:r>
        <w:t xml:space="preserve">Véase </w:t>
      </w:r>
      <w:hyperlink w:history="1" w:anchor="b_senales_examen">
        <w:r>
          <w:rPr>
            <w:color w:val="156B70"/>
            <w:u w:val="single"/>
          </w:rPr>
          <w:t xml:space="preserve">1 indicación(es) de examen de este tramo, en el apéndice cronológico</w:t>
        </w:r>
      </w:hyperlink>
      <w:r>
        <w:t xml:space="preserve">, pág. </w:t>
      </w:r>
      <w:r>
        <w:fldChar w:fldCharType="begin"/>
        <w:instrText xml:space="preserve">PAGEREF b_senales_examen \h</w:instrText>
        <w:fldChar w:fldCharType="separate"/>
        <w:t xml:space="preserve">1663</w:t>
        <w:fldChar w:fldCharType="end"/>
      </w:r>
      <w:r>
        <w:t xml:space="preserve">.</w:t>
      </w:r>
    </w:p>
    <w:p>
      <w:pPr>
        <w:pStyle w:val="Fuente"/>
      </w:pPr>
      <w:r>
        <w:t xml:space="preserve">Véase </w:t>
      </w:r>
      <w:hyperlink w:history="1" w:anchor="b_1_1">
        <w:r>
          <w:rPr>
            <w:color w:val="156B70"/>
            <w:u w:val="single"/>
          </w:rPr>
          <w:t xml:space="preserve">capítulo 1.1 · Paradigmas y modelos mentales</w:t>
        </w:r>
      </w:hyperlink>
      <w:r>
        <w:t xml:space="preserve">, pág. </w:t>
      </w:r>
      <w:r>
        <w:fldChar w:fldCharType="begin"/>
        <w:instrText xml:space="preserve">PAGEREF b_1_1 \h</w:instrText>
        <w:fldChar w:fldCharType="separate"/>
        <w:t xml:space="preserve">19</w:t>
        <w:fldChar w:fldCharType="end"/>
      </w:r>
      <w:r>
        <w:t xml:space="preserve">.</w:t>
      </w:r>
    </w:p>
    <w:p>
      <w:pPr>
        <w:pStyle w:val="Fuente"/>
      </w:pPr>
      <w:r>
        <w:t xml:space="preserve">Véase </w:t>
      </w:r>
      <w:hyperlink w:history="1" w:anchor="b_1_8">
        <w:r>
          <w:rPr>
            <w:color w:val="156B70"/>
            <w:u w:val="single"/>
          </w:rPr>
          <w:t xml:space="preserve">capítulo 1.8 · Hábitos del pensador</w:t>
        </w:r>
      </w:hyperlink>
      <w:r>
        <w:t xml:space="preserve">, pág. </w:t>
      </w:r>
      <w:r>
        <w:fldChar w:fldCharType="begin"/>
        <w:instrText xml:space="preserve">PAGEREF b_1_8 \h</w:instrText>
        <w:fldChar w:fldCharType="separate"/>
        <w:t xml:space="preserve">194</w:t>
        <w:fldChar w:fldCharType="end"/>
      </w:r>
      <w:r>
        <w:t xml:space="preserve">.</w:t>
      </w:r>
    </w:p>
    <w:p>
      <w:pPr>
        <w:pStyle w:val="Fuente"/>
      </w:pPr>
      <w:r>
        <w:t xml:space="preserve">Véase </w:t>
      </w:r>
      <w:hyperlink w:history="1" w:anchor="b_1_7">
        <w:r>
          <w:rPr>
            <w:color w:val="156B70"/>
            <w:u w:val="single"/>
          </w:rPr>
          <w:t xml:space="preserve">capítulo 1.7 · Niveles — modelo del iceberg</w:t>
        </w:r>
      </w:hyperlink>
      <w:r>
        <w:t xml:space="preserve">, pág. </w:t>
      </w:r>
      <w:r>
        <w:fldChar w:fldCharType="begin"/>
        <w:instrText xml:space="preserve">PAGEREF b_1_7 \h</w:instrText>
        <w:fldChar w:fldCharType="separate"/>
        <w:t xml:space="preserve">175</w:t>
        <w:fldChar w:fldCharType="end"/>
      </w:r>
      <w:r>
        <w:t xml:space="preserve">.</w:t>
      </w:r>
    </w:p>
    <w:p>
      <w:pPr>
        <w:pStyle w:val="Heading3"/>
      </w:pPr>
      <w:bookmarkStart w:name="b_clase_1_4_c5_cap_02" w:id="702"/>
      <w:r>
        <w:t xml:space="preserve">Clase 5 · 00:02:30–00:11:21 · El tercer hábito: cambiar las perspectivas</w:t>
      </w:r>
      <w:bookmarkEnd w:id="702"/>
    </w:p>
    <w:p>
      <w:bookmarkStart w:name="b_punto_c5_cap_02_p06" w:id="703"/>
      <w:r>
        <w:t xml:space="preserve">La empatía y la incorporación gradual de información, fuentes y reglas de interpretación contribuyen a un modelo mental sistémico más completo.</w:t>
      </w:r>
      <w:bookmarkEnd w:id="703"/>
    </w:p>
    <w:p>
      <w:pPr>
        <w:pStyle w:val="Fuente"/>
      </w:pPr>
      <w:r>
        <w:t xml:space="preserve">Véase </w:t>
      </w:r>
      <w:hyperlink w:history="1" w:anchor="b_senales_examen">
        <w:r>
          <w:rPr>
            <w:color w:val="156B70"/>
            <w:u w:val="single"/>
          </w:rPr>
          <w:t xml:space="preserve">1 indicación(es) de examen de este tramo, en el apéndice cronológico</w:t>
        </w:r>
      </w:hyperlink>
      <w:r>
        <w:t xml:space="preserve">, pág. </w:t>
      </w:r>
      <w:r>
        <w:fldChar w:fldCharType="begin"/>
        <w:instrText xml:space="preserve">PAGEREF b_senales_examen \h</w:instrText>
        <w:fldChar w:fldCharType="separate"/>
        <w:t xml:space="preserve">1663</w:t>
        <w:fldChar w:fldCharType="end"/>
      </w:r>
      <w:r>
        <w:t xml:space="preserve">.</w:t>
      </w:r>
    </w:p>
    <w:p>
      <w:pPr>
        <w:pStyle w:val="Fuente"/>
      </w:pPr>
      <w:r>
        <w:t xml:space="preserve">Véase </w:t>
      </w:r>
      <w:hyperlink w:history="1" w:anchor="b_1_5">
        <w:r>
          <w:rPr>
            <w:color w:val="156B70"/>
            <w:u w:val="single"/>
          </w:rPr>
          <w:t xml:space="preserve">capítulo 1.5 · Perspectivas</w:t>
        </w:r>
      </w:hyperlink>
      <w:r>
        <w:t xml:space="preserve">, pág. </w:t>
      </w:r>
      <w:r>
        <w:fldChar w:fldCharType="begin"/>
        <w:instrText xml:space="preserve">PAGEREF b_1_5 \h</w:instrText>
        <w:fldChar w:fldCharType="separate"/>
        <w:t xml:space="preserve">125</w:t>
        <w:fldChar w:fldCharType="end"/>
      </w:r>
      <w:r>
        <w:t xml:space="preserve">.</w:t>
      </w:r>
    </w:p>
    <w:p>
      <w:pPr>
        <w:pStyle w:val="Fuente"/>
      </w:pPr>
      <w:r>
        <w:t xml:space="preserve">Véase </w:t>
      </w:r>
      <w:hyperlink w:history="1" w:anchor="b_1_8">
        <w:r>
          <w:rPr>
            <w:color w:val="156B70"/>
            <w:u w:val="single"/>
          </w:rPr>
          <w:t xml:space="preserve">capítulo 1.8 · Hábitos del pensador</w:t>
        </w:r>
      </w:hyperlink>
      <w:r>
        <w:t xml:space="preserve">, pág. </w:t>
      </w:r>
      <w:r>
        <w:fldChar w:fldCharType="begin"/>
        <w:instrText xml:space="preserve">PAGEREF b_1_8 \h</w:instrText>
        <w:fldChar w:fldCharType="separate"/>
        <w:t xml:space="preserve">194</w:t>
        <w:fldChar w:fldCharType="end"/>
      </w:r>
      <w:r>
        <w:t xml:space="preserve">.</w:t>
      </w:r>
    </w:p>
    <w:p>
      <w:pPr>
        <w:pStyle w:val="Heading3"/>
      </w:pPr>
      <w:bookmarkStart w:name="b_clase_1_4_c5_cap_08" w:id="704"/>
      <w:r>
        <w:t xml:space="preserve">Clase 5 · 00:50:59–00:58:15 · Los modelos mentales como sistema</w:t>
      </w:r>
      <w:bookmarkEnd w:id="704"/>
    </w:p>
    <w:p>
      <w:bookmarkStart w:name="b_punto_c5_cap_08_p03" w:id="705"/>
      <w:r>
        <w:t xml:space="preserve">Las propias creencias refuerzan el modelo al guiar selección, eliminación, construcción y distorsión en nuevas experiencias.</w:t>
      </w:r>
      <w:bookmarkEnd w:id="705"/>
    </w:p>
    <w:p>
      <w:bookmarkStart w:name="b_punto_c5_cap_08_p04" w:id="706"/>
      <w:r>
        <w:t xml:space="preserve">Un modelo limita metas si no es congruente y dificulta comprender si no es realista; ante cambios se revisa vigencia con flexibilidad y retroalimentación.</w:t>
      </w:r>
      <w:bookmarkEnd w:id="706"/>
    </w:p>
    <w:p>
      <w:pPr>
        <w:pStyle w:val="Fuente"/>
      </w:pPr>
      <w:r>
        <w:t xml:space="preserve">Véase </w:t>
      </w:r>
      <w:hyperlink w:history="1" w:anchor="b_1_1">
        <w:r>
          <w:rPr>
            <w:color w:val="156B70"/>
            <w:u w:val="single"/>
          </w:rPr>
          <w:t xml:space="preserve">capítulo 1.1 · Paradigmas y modelos mentales</w:t>
        </w:r>
      </w:hyperlink>
      <w:r>
        <w:t xml:space="preserve">, pág. </w:t>
      </w:r>
      <w:r>
        <w:fldChar w:fldCharType="begin"/>
        <w:instrText xml:space="preserve">PAGEREF b_1_1 \h</w:instrText>
        <w:fldChar w:fldCharType="separate"/>
        <w:t xml:space="preserve">19</w:t>
        <w:fldChar w:fldCharType="end"/>
      </w:r>
      <w:r>
        <w:t xml:space="preserve">.</w:t>
      </w:r>
    </w:p>
    <w:p>
      <w:pPr>
        <w:pStyle w:val="Fuente"/>
      </w:pPr>
      <w:r>
        <w:t xml:space="preserve">Véase </w:t>
      </w:r>
      <w:hyperlink w:history="1" w:anchor="b_1_5">
        <w:r>
          <w:rPr>
            <w:color w:val="156B70"/>
            <w:u w:val="single"/>
          </w:rPr>
          <w:t xml:space="preserve">capítulo 1.5 · Perspectivas</w:t>
        </w:r>
      </w:hyperlink>
      <w:r>
        <w:t xml:space="preserve">, pág. </w:t>
      </w:r>
      <w:r>
        <w:fldChar w:fldCharType="begin"/>
        <w:instrText xml:space="preserve">PAGEREF b_1_5 \h</w:instrText>
        <w:fldChar w:fldCharType="separate"/>
        <w:t xml:space="preserve">125</w:t>
        <w:fldChar w:fldCharType="end"/>
      </w:r>
      <w:r>
        <w:t xml:space="preserve">.</w:t>
      </w:r>
    </w:p>
    <w:p>
      <w:pPr>
        <w:pStyle w:val="Heading3"/>
      </w:pPr>
      <w:bookmarkStart w:name="b_clase_1_4_c5_cap_10" w:id="707"/>
      <w:r>
        <w:t xml:space="preserve">Clase 5 · 01:08:30–01:21:35 · Aprender, desaprender y cierre de la unidad 1</w:t>
      </w:r>
      <w:bookmarkEnd w:id="707"/>
    </w:p>
    <w:p>
      <w:bookmarkStart w:name="b_punto_c5_cap_10_p01" w:id="708"/>
      <w:r>
        <w:t xml:space="preserve">El curso busca mejorar y hacer sistémicos los modelos mentales, conservando su utilidad para situaciones frecuentes; no eliminarlos inicialmente.</w:t>
      </w:r>
      <w:bookmarkEnd w:id="708"/>
    </w:p>
    <w:p>
      <w:pPr>
        <w:pStyle w:val="Fuente"/>
      </w:pPr>
      <w:r>
        <w:t xml:space="preserve">Véase </w:t>
      </w:r>
      <w:hyperlink w:history="1" w:anchor="b_senales_examen">
        <w:r>
          <w:rPr>
            <w:color w:val="156B70"/>
            <w:u w:val="single"/>
          </w:rPr>
          <w:t xml:space="preserve">1 indicación(es) de examen de este tramo, en el apéndice cronológico</w:t>
        </w:r>
      </w:hyperlink>
      <w:r>
        <w:t xml:space="preserve">, pág. </w:t>
      </w:r>
      <w:r>
        <w:fldChar w:fldCharType="begin"/>
        <w:instrText xml:space="preserve">PAGEREF b_senales_examen \h</w:instrText>
        <w:fldChar w:fldCharType="separate"/>
        <w:t xml:space="preserve">1663</w:t>
        <w:fldChar w:fldCharType="end"/>
      </w:r>
      <w:r>
        <w:t xml:space="preserve">.</w:t>
      </w:r>
    </w:p>
    <w:p>
      <w:pPr>
        <w:pStyle w:val="Fuente"/>
      </w:pPr>
      <w:r>
        <w:t xml:space="preserve">Véase </w:t>
      </w:r>
      <w:hyperlink w:history="1" w:anchor="b_1_1">
        <w:r>
          <w:rPr>
            <w:color w:val="156B70"/>
            <w:u w:val="single"/>
          </w:rPr>
          <w:t xml:space="preserve">capítulo 1.1 · Paradigmas y modelos mentales</w:t>
        </w:r>
      </w:hyperlink>
      <w:r>
        <w:t xml:space="preserve">, pág. </w:t>
      </w:r>
      <w:r>
        <w:fldChar w:fldCharType="begin"/>
        <w:instrText xml:space="preserve">PAGEREF b_1_1 \h</w:instrText>
        <w:fldChar w:fldCharType="separate"/>
        <w:t xml:space="preserve">19</w:t>
        <w:fldChar w:fldCharType="end"/>
      </w:r>
      <w:r>
        <w:t xml:space="preserve">.</w:t>
      </w:r>
    </w:p>
    <w:p>
      <w:pPr>
        <w:pStyle w:val="Fuente"/>
      </w:pPr>
      <w:r>
        <w:t xml:space="preserve">Véase </w:t>
      </w:r>
      <w:hyperlink w:history="1" w:anchor="b_1_2">
        <w:r>
          <w:rPr>
            <w:color w:val="156B70"/>
            <w:u w:val="single"/>
          </w:rPr>
          <w:t xml:space="preserve">capítulo 1.2 · Escalera de inferencias</w:t>
        </w:r>
      </w:hyperlink>
      <w:r>
        <w:t xml:space="preserve">, pág. </w:t>
      </w:r>
      <w:r>
        <w:fldChar w:fldCharType="begin"/>
        <w:instrText xml:space="preserve">PAGEREF b_1_2 \h</w:instrText>
        <w:fldChar w:fldCharType="separate"/>
        <w:t xml:space="preserve">55</w:t>
        <w:fldChar w:fldCharType="end"/>
      </w:r>
      <w:r>
        <w:t xml:space="preserve">.</w:t>
      </w:r>
    </w:p>
    <w:p>
      <w:pPr>
        <w:pStyle w:val="Fuente"/>
      </w:pPr>
      <w:r>
        <w:t xml:space="preserve">Véase </w:t>
      </w:r>
      <w:hyperlink w:history="1" w:anchor="b_1_5">
        <w:r>
          <w:rPr>
            <w:color w:val="156B70"/>
            <w:u w:val="single"/>
          </w:rPr>
          <w:t xml:space="preserve">capítulo 1.5 · Perspectivas</w:t>
        </w:r>
      </w:hyperlink>
      <w:r>
        <w:t xml:space="preserve">, pág. </w:t>
      </w:r>
      <w:r>
        <w:fldChar w:fldCharType="begin"/>
        <w:instrText xml:space="preserve">PAGEREF b_1_5 \h</w:instrText>
        <w:fldChar w:fldCharType="separate"/>
        <w:t xml:space="preserve">125</w:t>
        <w:fldChar w:fldCharType="end"/>
      </w:r>
      <w:r>
        <w:t xml:space="preserve">.</w:t>
      </w:r>
    </w:p>
    <w:p>
      <w:pPr>
        <w:pStyle w:val="Heading3"/>
      </w:pPr>
      <w:bookmarkStart w:name="b_clase_1_4_c5_cap_12" w:id="709"/>
      <w:r>
        <w:t xml:space="preserve">Clase 5 · 01:29:19–01:36:28 · Modelos limitadores o sistémicos, y el cierre del día</w:t>
      </w:r>
      <w:bookmarkEnd w:id="709"/>
    </w:p>
    <w:p>
      <w:bookmarkStart w:name="b_punto_c5_cap_12_p01" w:id="710"/>
      <w:r>
        <w:t xml:space="preserve">O'Connor contrasta modelos limitadores, rígidos o reduccionistas con sistémicos. ModelosLimitadoresVsSistemicos desarrolla las nueve filas; el audio sólo profundiza la tercera y da las demás por leídas.</w:t>
      </w:r>
      <w:bookmarkEnd w:id="710"/>
    </w:p>
    <w:p>
      <w:bookmarkStart w:name="b_punto_c5_cap_12_p02" w:id="711"/>
      <w:r>
        <w:t xml:space="preserve">Tolerar temporalmente ambigüedad e incertidumbre permite recopilar datos y perspectivas; exigir certeza inmediata favorece respuestas incompletas.</w:t>
      </w:r>
      <w:bookmarkEnd w:id="711"/>
    </w:p>
    <w:p>
      <w:bookmarkStart w:name="b_punto_c5_cap_12_p03" w:id="712"/>
      <w:r>
        <w:t xml:space="preserve">Una solución impulsiva que no atiende causas puede repetirse con mayor intensidad; el restaurante muestra por qué conviene comprender antes de actuar.</w:t>
      </w:r>
      <w:bookmarkEnd w:id="712"/>
    </w:p>
    <w:p>
      <w:bookmarkStart w:name="b_punto_c5_cap_12_p04" w:id="713"/>
      <w:r>
        <w:t xml:space="preserve">El cierre anuncia profundización en teoría de sistemas, operaciones sistémicas y retroalimentación, manteniendo la construcción de modelos sistémicos.</w:t>
      </w:r>
      <w:bookmarkEnd w:id="713"/>
    </w:p>
    <w:p>
      <w:pPr>
        <w:pStyle w:val="Fuente"/>
      </w:pPr>
      <w:r>
        <w:t xml:space="preserve">Véase </w:t>
      </w:r>
      <w:hyperlink w:history="1" w:anchor="b_senales_examen">
        <w:r>
          <w:rPr>
            <w:color w:val="156B70"/>
            <w:u w:val="single"/>
          </w:rPr>
          <w:t xml:space="preserve">1 indicación(es) de examen de este tramo, en el apéndice cronológico</w:t>
        </w:r>
      </w:hyperlink>
      <w:r>
        <w:t xml:space="preserve">, pág. </w:t>
      </w:r>
      <w:r>
        <w:fldChar w:fldCharType="begin"/>
        <w:instrText xml:space="preserve">PAGEREF b_senales_examen \h</w:instrText>
        <w:fldChar w:fldCharType="separate"/>
        <w:t xml:space="preserve">1663</w:t>
        <w:fldChar w:fldCharType="end"/>
      </w:r>
      <w:r>
        <w:t xml:space="preserve">.</w:t>
      </w:r>
    </w:p>
    <w:p>
      <w:pPr>
        <w:pStyle w:val="Heading3"/>
      </w:pPr>
      <w:bookmarkStart w:name="b_clase_1_4_c6_cap_10" w:id="714"/>
      <w:r>
        <w:t xml:space="preserve">Clase 6 · 01:00:46–01:14:25 · El concepto como filtro: isomorfismo, homomorfismo y la maqueta</w:t>
      </w:r>
      <w:bookmarkEnd w:id="714"/>
    </w:p>
    <w:p>
      <w:bookmarkStart w:name="b_punto_c6_cap_10_p04" w:id="715"/>
      <w:r>
        <w:t xml:space="preserve">El modelo es isomórfico respecto del concepto general de sistema: busca partes, relaciones, entradas, salidas y la transformación interna que ese patrón establece.</w:t>
      </w:r>
      <w:bookmarkEnd w:id="715"/>
    </w:p>
    <w:p>
      <w:bookmarkStart w:name="b_punto_c6_cap_10_p09" w:id="716"/>
      <w:r>
        <w:t xml:space="preserve">Respecto al objeto real el modelo es homomórfico: una representación simplificada que busca ser representativa.</w:t>
      </w:r>
      <w:bookmarkEnd w:id="716"/>
    </w:p>
    <w:p>
      <w:bookmarkStart w:name="b_punto_c6_cap_10_p11" w:id="717"/>
      <w:r>
        <w:t xml:space="preserve">La maqueta conserva niveles, apariencia, puertas y ventanas, pero no materiales, dimensiones ni toda la dinámica del edificio: fidelidad representativa no equivale a identidad.</w:t>
      </w:r>
      <w:bookmarkEnd w:id="717"/>
    </w:p>
    <w:p>
      <w:pPr>
        <w:pStyle w:val="Fuente"/>
      </w:pPr>
      <w:r>
        <w:t xml:space="preserve">Véase </w:t>
      </w:r>
      <w:hyperlink w:history="1" w:anchor="b_1_3">
        <w:r>
          <w:rPr>
            <w:color w:val="156B70"/>
            <w:u w:val="single"/>
          </w:rPr>
          <w:t xml:space="preserve">capítulo 1.3 · El paradigma de sistemas</w:t>
        </w:r>
      </w:hyperlink>
      <w:r>
        <w:t xml:space="preserve">, pág. </w:t>
      </w:r>
      <w:r>
        <w:fldChar w:fldCharType="begin"/>
        <w:instrText xml:space="preserve">PAGEREF b_1_3 \h</w:instrText>
        <w:fldChar w:fldCharType="separate"/>
        <w:t xml:space="preserve">83</w:t>
        <w:fldChar w:fldCharType="end"/>
      </w:r>
      <w:r>
        <w:t xml:space="preserve">.</w:t>
      </w:r>
    </w:p>
    <w:p>
      <w:pPr>
        <w:pStyle w:val="Fuente"/>
      </w:pPr>
      <w:r>
        <w:t xml:space="preserve">Véase </w:t>
      </w:r>
      <w:hyperlink w:history="1" w:anchor="b_1_7">
        <w:r>
          <w:rPr>
            <w:color w:val="156B70"/>
            <w:u w:val="single"/>
          </w:rPr>
          <w:t xml:space="preserve">capítulo 1.7 · Niveles — modelo del iceberg</w:t>
        </w:r>
      </w:hyperlink>
      <w:r>
        <w:t xml:space="preserve">, pág. </w:t>
      </w:r>
      <w:r>
        <w:fldChar w:fldCharType="begin"/>
        <w:instrText xml:space="preserve">PAGEREF b_1_7 \h</w:instrText>
        <w:fldChar w:fldCharType="separate"/>
        <w:t xml:space="preserve">175</w:t>
        <w:fldChar w:fldCharType="end"/>
      </w:r>
      <w:r>
        <w:t xml:space="preserve">.</w:t>
      </w:r>
    </w:p>
    <w:p>
      <w:pPr>
        <w:pStyle w:val="Fuente"/>
      </w:pPr>
      <w:r>
        <w:t xml:space="preserve">Véase </w:t>
      </w:r>
      <w:hyperlink w:history="1" w:anchor="b_2_4">
        <w:r>
          <w:rPr>
            <w:color w:val="156B70"/>
            <w:u w:val="single"/>
          </w:rPr>
          <w:t xml:space="preserve">capítulo 2.4 · Sub y suprasistemas</w:t>
        </w:r>
      </w:hyperlink>
      <w:r>
        <w:t xml:space="preserve">, pág. </w:t>
      </w:r>
      <w:r>
        <w:fldChar w:fldCharType="begin"/>
        <w:instrText xml:space="preserve">PAGEREF b_2_4 \h</w:instrText>
        <w:fldChar w:fldCharType="separate"/>
        <w:t xml:space="preserve">277</w:t>
        <w:fldChar w:fldCharType="end"/>
      </w:r>
      <w:r>
        <w:t xml:space="preserve">.</w:t>
      </w:r>
    </w:p>
    <w:p>
      <w:pPr>
        <w:pStyle w:val="Fuente"/>
      </w:pPr>
      <w:r>
        <w:t xml:space="preserve">Véase </w:t>
      </w:r>
      <w:hyperlink w:history="1" w:anchor="b_2_2">
        <w:r>
          <w:rPr>
            <w:color w:val="156B70"/>
            <w:u w:val="single"/>
          </w:rPr>
          <w:t xml:space="preserve">capítulo 2.2 · Conceptos de un sistema</w:t>
        </w:r>
      </w:hyperlink>
      <w:r>
        <w:t xml:space="preserve">, pág. </w:t>
      </w:r>
      <w:r>
        <w:fldChar w:fldCharType="begin"/>
        <w:instrText xml:space="preserve">PAGEREF b_2_2 \h</w:instrText>
        <w:fldChar w:fldCharType="separate"/>
        <w:t xml:space="preserve">242</w:t>
        <w:fldChar w:fldCharType="end"/>
      </w:r>
      <w:r>
        <w:t xml:space="preserve">.</w:t>
      </w:r>
    </w:p>
    <w:p>
      <w:pPr>
        <w:pStyle w:val="Heading3"/>
      </w:pPr>
      <w:bookmarkStart w:name="b_clase_1_4_c7_cap_05" w:id="718"/>
      <w:r>
        <w:t xml:space="preserve">Clase 7 · 00:50:54–01:01:05 · Relaciones y Perspectivas enriquecen el modelo</w:t>
      </w:r>
      <w:bookmarkEnd w:id="718"/>
    </w:p>
    <w:p>
      <w:bookmarkStart w:name="b_punto_c7_cap_05_p04" w:id="719"/>
      <w:r>
        <w:t xml:space="preserve">Combinar S y R permite nombrar sistemas, subsistemas, suprasistemas y conexiones; D se aplica también a los nombres de relaciones.</w:t>
      </w:r>
      <w:bookmarkEnd w:id="719"/>
    </w:p>
    <w:p>
      <w:pPr>
        <w:pStyle w:val="Fuente"/>
      </w:pPr>
      <w:r>
        <w:t xml:space="preserve">Véase </w:t>
      </w:r>
      <w:hyperlink w:history="1" w:anchor="b_1_6">
        <w:r>
          <w:rPr>
            <w:color w:val="156B70"/>
            <w:u w:val="single"/>
          </w:rPr>
          <w:t xml:space="preserve">capítulo 1.6 · Operaciones DSRP</w:t>
        </w:r>
      </w:hyperlink>
      <w:r>
        <w:t xml:space="preserve">, pág. </w:t>
      </w:r>
      <w:r>
        <w:fldChar w:fldCharType="begin"/>
        <w:instrText xml:space="preserve">PAGEREF b_1_6 \h</w:instrText>
        <w:fldChar w:fldCharType="separate"/>
        <w:t xml:space="preserve">150</w:t>
        <w:fldChar w:fldCharType="end"/>
      </w:r>
      <w:r>
        <w:t xml:space="preserve">.</w:t>
      </w:r>
    </w:p>
    <w:p>
      <w:pPr>
        <w:pStyle w:val="Fuente"/>
      </w:pPr>
      <w:r>
        <w:t xml:space="preserve">Véase </w:t>
      </w:r>
      <w:hyperlink w:history="1" w:anchor="b_2_4">
        <w:r>
          <w:rPr>
            <w:color w:val="156B70"/>
            <w:u w:val="single"/>
          </w:rPr>
          <w:t xml:space="preserve">capítulo 2.4 · Sub y suprasistemas</w:t>
        </w:r>
      </w:hyperlink>
      <w:r>
        <w:t xml:space="preserve">, pág. </w:t>
      </w:r>
      <w:r>
        <w:fldChar w:fldCharType="begin"/>
        <w:instrText xml:space="preserve">PAGEREF b_2_4 \h</w:instrText>
        <w:fldChar w:fldCharType="separate"/>
        <w:t xml:space="preserve">277</w:t>
        <w:fldChar w:fldCharType="end"/>
      </w:r>
      <w:r>
        <w:t xml:space="preserve">.</w:t>
      </w:r>
    </w:p>
    <w:p>
      <w:pPr>
        <w:pStyle w:val="Fuente"/>
      </w:pPr>
      <w:r>
        <w:t xml:space="preserve">Véase </w:t>
      </w:r>
      <w:hyperlink w:history="1" w:anchor="b_1_5">
        <w:r>
          <w:rPr>
            <w:color w:val="156B70"/>
            <w:u w:val="single"/>
          </w:rPr>
          <w:t xml:space="preserve">capítulo 1.5 · Perspectivas</w:t>
        </w:r>
      </w:hyperlink>
      <w:r>
        <w:t xml:space="preserve">, pág. </w:t>
      </w:r>
      <w:r>
        <w:fldChar w:fldCharType="begin"/>
        <w:instrText xml:space="preserve">PAGEREF b_1_5 \h</w:instrText>
        <w:fldChar w:fldCharType="separate"/>
        <w:t xml:space="preserve">125</w:t>
        <w:fldChar w:fldCharType="end"/>
      </w:r>
      <w:r>
        <w:t xml:space="preserve">.</w:t>
      </w:r>
    </w:p>
    <w:p>
      <w:pPr>
        <w:pStyle w:val="Heading3"/>
      </w:pPr>
      <w:bookmarkStart w:name="b_clase_1_4_c14_cap_09" w:id="720"/>
      <w:r>
        <w:t xml:space="preserve">Clase 14 · 01:10:59–01:26:29 · Notación de vínculos y complejidad</w:t>
      </w:r>
      <w:bookmarkEnd w:id="720"/>
    </w:p>
    <w:p>
      <w:bookmarkStart w:name="b_punto_c14_cap_09_p07" w:id="721"/>
      <w:r>
        <w:t xml:space="preserve">Al describir ese ejemplo el docente rectifica de físico a abstracto diseñado: el modelo debe representar las relaciones del proceso de facturación que pretende reproducir.</w:t>
      </w:r>
      <w:bookmarkEnd w:id="721"/>
    </w:p>
    <w:p>
      <w:pPr>
        <w:pStyle w:val="Fuente"/>
      </w:pPr>
      <w:r>
        <w:t xml:space="preserve">Véase </w:t>
      </w:r>
      <w:hyperlink w:history="1" w:anchor="b_senales_examen">
        <w:r>
          <w:rPr>
            <w:color w:val="156B70"/>
            <w:u w:val="single"/>
          </w:rPr>
          <w:t xml:space="preserve">1 indicación(es) de examen de este tramo, en el apéndice cronológico</w:t>
        </w:r>
      </w:hyperlink>
      <w:r>
        <w:t xml:space="preserve">, pág. </w:t>
      </w:r>
      <w:r>
        <w:fldChar w:fldCharType="begin"/>
        <w:instrText xml:space="preserve">PAGEREF b_senales_examen \h</w:instrText>
        <w:fldChar w:fldCharType="separate"/>
        <w:t xml:space="preserve">1663</w:t>
        <w:fldChar w:fldCharType="end"/>
      </w:r>
      <w:r>
        <w:t xml:space="preserve">.</w:t>
      </w:r>
    </w:p>
    <w:p>
      <w:pPr>
        <w:pStyle w:val="Fuente"/>
      </w:pPr>
      <w:r>
        <w:t xml:space="preserve">Véase </w:t>
      </w:r>
      <w:hyperlink w:history="1" w:anchor="b_3_1">
        <w:r>
          <w:rPr>
            <w:color w:val="156B70"/>
            <w:u w:val="single"/>
          </w:rPr>
          <w:t xml:space="preserve">capítulo 3.1 · Mapas sistémicos</w:t>
        </w:r>
      </w:hyperlink>
      <w:r>
        <w:t xml:space="preserve">, pág. </w:t>
      </w:r>
      <w:r>
        <w:fldChar w:fldCharType="begin"/>
        <w:instrText xml:space="preserve">PAGEREF b_3_1 \h</w:instrText>
        <w:fldChar w:fldCharType="separate"/>
        <w:t xml:space="preserve">379</w:t>
        <w:fldChar w:fldCharType="end"/>
      </w:r>
      <w:r>
        <w:t xml:space="preserve">.</w:t>
      </w:r>
    </w:p>
    <w:p>
      <w:pPr>
        <w:pStyle w:val="Fuente"/>
      </w:pPr>
      <w:r>
        <w:t xml:space="preserve">Véase </w:t>
      </w:r>
      <w:hyperlink w:history="1" w:anchor="b_3_5">
        <w:r>
          <w:rPr>
            <w:color w:val="156B70"/>
            <w:u w:val="single"/>
          </w:rPr>
          <w:t xml:space="preserve">capítulo 3.5 · Refuerzo y compensación</w:t>
        </w:r>
      </w:hyperlink>
      <w:r>
        <w:t xml:space="preserve">, pág. </w:t>
      </w:r>
      <w:r>
        <w:fldChar w:fldCharType="begin"/>
        <w:instrText xml:space="preserve">PAGEREF b_3_5 \h</w:instrText>
        <w:fldChar w:fldCharType="separate"/>
        <w:t xml:space="preserve">501</w:t>
        <w:fldChar w:fldCharType="end"/>
      </w:r>
      <w:r>
        <w:t xml:space="preserve">.</w:t>
      </w:r>
    </w:p>
    <w:p>
      <w:pPr>
        <w:pStyle w:val="Fuente"/>
      </w:pPr>
      <w:r>
        <w:t xml:space="preserve">Véase </w:t>
      </w:r>
      <w:hyperlink w:history="1" w:anchor="b_3_9">
        <w:r>
          <w:rPr>
            <w:color w:val="156B70"/>
            <w:u w:val="single"/>
          </w:rPr>
          <w:t xml:space="preserve">capítulo 3.9 · Hábitos (complejo)</w:t>
        </w:r>
      </w:hyperlink>
      <w:r>
        <w:t xml:space="preserve">, pág. </w:t>
      </w:r>
      <w:r>
        <w:fldChar w:fldCharType="begin"/>
        <w:instrText xml:space="preserve">PAGEREF b_3_9 \h</w:instrText>
        <w:fldChar w:fldCharType="separate"/>
        <w:t xml:space="preserve">622</w:t>
        <w:fldChar w:fldCharType="end"/>
      </w:r>
      <w:r>
        <w:t xml:space="preserve">.</w:t>
      </w:r>
    </w:p>
    <w:p>
      <w:pPr>
        <w:pStyle w:val="Fuente"/>
      </w:pPr>
      <w:r>
        <w:t xml:space="preserve">Véase </w:t>
      </w:r>
      <w:hyperlink w:history="1" w:anchor="b_3_8">
        <w:r>
          <w:rPr>
            <w:color w:val="156B70"/>
            <w:u w:val="single"/>
          </w:rPr>
          <w:t xml:space="preserve">capítulo 3.8 · Patrones y tendencias</w:t>
        </w:r>
      </w:hyperlink>
      <w:r>
        <w:t xml:space="preserve">, pág. </w:t>
      </w:r>
      <w:r>
        <w:fldChar w:fldCharType="begin"/>
        <w:instrText xml:space="preserve">PAGEREF b_3_8 \h</w:instrText>
        <w:fldChar w:fldCharType="separate"/>
        <w:t xml:space="preserve">597</w:t>
        <w:fldChar w:fldCharType="end"/>
      </w:r>
      <w:r>
        <w:t xml:space="preserve">.</w:t>
      </w:r>
    </w:p>
    <w:p>
      <w:pPr>
        <w:pStyle w:val="Heading3"/>
      </w:pPr>
      <w:bookmarkStart w:name="b_clase_1_4_c18_cap_02" w:id="722"/>
      <w:r>
        <w:t xml:space="preserve">Clase 18 · 00:26:24–00:37:43 · La perspectiva metacognitiva</w:t>
      </w:r>
      <w:bookmarkEnd w:id="722"/>
    </w:p>
    <w:p>
      <w:bookmarkStart w:name="b_punto_c18_cap_02_p03" w:id="723"/>
      <w:r>
        <w:t xml:space="preserve">El pensamiento sistémico busca reducir la discordancia entre realidad y modelo; la Unidad 2 aporta sistema, entradas, salidas, partes y entorno.</w:t>
      </w:r>
      <w:bookmarkEnd w:id="723"/>
    </w:p>
    <w:p>
      <w:pPr>
        <w:pStyle w:val="Fuente"/>
      </w:pPr>
      <w:r>
        <w:t xml:space="preserve">Véase </w:t>
      </w:r>
      <w:hyperlink w:history="1" w:anchor="b_senales_examen">
        <w:r>
          <w:rPr>
            <w:color w:val="156B70"/>
            <w:u w:val="single"/>
          </w:rPr>
          <w:t xml:space="preserve">1 indicación(es) de examen de este tramo, en el apéndice cronológico</w:t>
        </w:r>
      </w:hyperlink>
      <w:r>
        <w:t xml:space="preserve">, pág. </w:t>
      </w:r>
      <w:r>
        <w:fldChar w:fldCharType="begin"/>
        <w:instrText xml:space="preserve">PAGEREF b_senales_examen \h</w:instrText>
        <w:fldChar w:fldCharType="separate"/>
        <w:t xml:space="preserve">1663</w:t>
        <w:fldChar w:fldCharType="end"/>
      </w:r>
      <w:r>
        <w:t xml:space="preserve">.</w:t>
      </w:r>
    </w:p>
    <w:p>
      <w:pPr>
        <w:pStyle w:val="Fuente"/>
      </w:pPr>
      <w:r>
        <w:t xml:space="preserve">Véase </w:t>
      </w:r>
      <w:hyperlink w:history="1" w:anchor="b_4_6">
        <w:r>
          <w:rPr>
            <w:color w:val="156B70"/>
            <w:u w:val="single"/>
          </w:rPr>
          <w:t xml:space="preserve">capítulo 4.6 · Toma de decisiones</w:t>
        </w:r>
      </w:hyperlink>
      <w:r>
        <w:t xml:space="preserve">, pág. </w:t>
      </w:r>
      <w:r>
        <w:fldChar w:fldCharType="begin"/>
        <w:instrText xml:space="preserve">PAGEREF b_4_6 \h</w:instrText>
        <w:fldChar w:fldCharType="separate"/>
        <w:t xml:space="preserve">884</w:t>
        <w:fldChar w:fldCharType="end"/>
      </w:r>
      <w:r>
        <w:t xml:space="preserve">.</w:t>
      </w:r>
    </w:p>
    <w:p>
      <w:pPr>
        <w:pStyle w:val="Fuente"/>
      </w:pPr>
      <w:r>
        <w:t xml:space="preserve">Véase </w:t>
      </w:r>
      <w:hyperlink w:history="1" w:anchor="b_4_7">
        <w:r>
          <w:rPr>
            <w:color w:val="156B70"/>
            <w:u w:val="single"/>
          </w:rPr>
          <w:t xml:space="preserve">capítulo 4.7 · Hábitos (simulación)</w:t>
        </w:r>
      </w:hyperlink>
      <w:r>
        <w:t xml:space="preserve">, pág. </w:t>
      </w:r>
      <w:r>
        <w:fldChar w:fldCharType="begin"/>
        <w:instrText xml:space="preserve">PAGEREF b_4_7 \h</w:instrText>
        <w:fldChar w:fldCharType="separate"/>
        <w:t xml:space="preserve">932</w:t>
        <w:fldChar w:fldCharType="end"/>
      </w:r>
      <w:r>
        <w:t xml:space="preserve">.</w:t>
      </w:r>
    </w:p>
    <w:p>
      <w:pPr>
        <w:pStyle w:val="Heading3"/>
      </w:pPr>
      <w:bookmarkStart w:name="b_cita_clase_6_la_maqueta_y_el_edificio" w:id="724"/>
      <w:r>
        <w:t xml:space="preserve">Palabras del profesor</w:t>
      </w:r>
      <w:bookmarkEnd w:id="724"/>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El profesor lo dijo así</w:t>
            </w:r>
          </w:p>
          <w:p>
            <w:pPr>
              <w:pStyle w:val="Recuadro"/>
            </w:pPr>
            <w:r>
              <w:t xml:space="preserve">«Así como cuando los arquitectos construyen una maqueta de un edificio: al principio la maqueta representa el edificio que no existe aún, pero nos da la idea de lo que queremos construir; y luego, cuando el edificio ya está construido, la maqueta es una representación fiel de ese edificio a nivel simplificado.»</w:t>
            </w:r>
          </w:p>
          <w:p>
            <w:pPr>
              <w:pStyle w:val="Recuadro"/>
            </w:pPr>
            <w:r>
              <w:t xml:space="preserve">Clase 6 · 01:11:42–01:12:03</w:t>
            </w:r>
          </w:p>
        </w:tc>
      </w:tr>
    </w:tbl>
    <w:p>
      <w:pPr>
        <w:pStyle w:val="Heading3"/>
      </w:pPr>
      <w:bookmarkStart w:name="b_cita_clase_5_no_quedarnos_sin_ead6139b" w:id="725"/>
      <w:r>
        <w:t xml:space="preserve">Palabras del profesor</w:t>
      </w:r>
      <w:bookmarkEnd w:id="725"/>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El profesor lo dijo así</w:t>
            </w:r>
          </w:p>
          <w:p>
            <w:pPr>
              <w:pStyle w:val="Recuadro"/>
            </w:pPr>
            <w:r>
              <w:t xml:space="preserve">«No busca ni pretende que nos quedemos sin modelos mentales o sin paradigmas, sino que más bien busca que construyamos modelos mentales sistémicos más enriquecidos, de mayor comprensión, más representativos de la realidad compleja.»</w:t>
            </w:r>
          </w:p>
          <w:p>
            <w:pPr>
              <w:pStyle w:val="Recuadro"/>
            </w:pPr>
            <w:r>
              <w:t xml:space="preserve">Clase 5 · 01:15:52–01:16:05</w:t>
            </w:r>
          </w:p>
        </w:tc>
      </w:tr>
    </w:tbl>
    <w:p>
      <w:pPr>
        <w:pStyle w:val="Heading3"/>
      </w:pPr>
      <w:bookmarkStart w:name="b_cita_clase_5_la_realidad_se_m_099889ab" w:id="726"/>
      <w:r>
        <w:t xml:space="preserve">Palabras del profesor</w:t>
      </w:r>
      <w:bookmarkEnd w:id="726"/>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El profesor lo dijo así</w:t>
            </w:r>
          </w:p>
          <w:p>
            <w:pPr>
              <w:pStyle w:val="Recuadro"/>
            </w:pPr>
            <w:r>
              <w:t xml:space="preserve">«La realidad se modela mentalmente, y este modelo debe ser lo más fiel, representativo de esa realidad; pero con los procesos comunes de construcción de los modelos mentales construimos modelos parciales.»</w:t>
            </w:r>
          </w:p>
          <w:p>
            <w:pPr>
              <w:pStyle w:val="Recuadro"/>
            </w:pPr>
            <w:r>
              <w:t xml:space="preserve">Clase 5 · 01:03:38–01:03:45</w:t>
            </w:r>
          </w:p>
        </w:tc>
      </w:tr>
    </w:tbl>
    <w:p>
      <w:pPr>
        <w:pStyle w:val="Heading3"/>
      </w:pPr>
      <w:bookmarkStart w:name="b_cita_clase_6_modelos_isomorfi_946aecbc" w:id="727"/>
      <w:r>
        <w:t xml:space="preserve">Palabras del profesor</w:t>
      </w:r>
      <w:bookmarkEnd w:id="727"/>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El profesor lo dijo así</w:t>
            </w:r>
          </w:p>
          <w:p>
            <w:pPr>
              <w:pStyle w:val="Recuadro"/>
            </w:pPr>
            <w:r>
              <w:t xml:space="preserve">«Por eso se dice que es un isomorfismo: los modelos del pensador sistémico son isomórficos respecto al concepto general de sistema y todas las características que conlleva un sistema»</w:t>
            </w:r>
          </w:p>
          <w:p>
            <w:pPr>
              <w:pStyle w:val="Recuadro"/>
            </w:pPr>
            <w:r>
              <w:t xml:space="preserve">Clase 6 · 01:09:29–01:09:46</w:t>
            </w:r>
          </w:p>
        </w:tc>
      </w:tr>
    </w:tbl>
    <w:p>
      <w:pPr>
        <w:pStyle w:val="Heading3"/>
      </w:pPr>
      <w:bookmarkStart w:name="b_cita_clase_5_modelos_limitado_d1d36a1a" w:id="728"/>
      <w:r>
        <w:t xml:space="preserve">Palabras del profesor</w:t>
      </w:r>
      <w:bookmarkEnd w:id="728"/>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El profesor lo dijo así</w:t>
            </w:r>
          </w:p>
          <w:p>
            <w:pPr>
              <w:pStyle w:val="Recuadro"/>
            </w:pPr>
            <w:r>
              <w:t xml:space="preserve">«Tenemos las dos opciones: o quedarnos con modelos mentales que el autor llama limitadores, no sistémicos vamos a llamarles en este curso, o fomentar y construir modelos mentales sistémicos; esas son nuestras alternativas.»</w:t>
            </w:r>
          </w:p>
          <w:p>
            <w:pPr>
              <w:pStyle w:val="Recuadro"/>
            </w:pPr>
            <w:r>
              <w:t xml:space="preserve">Clase 5 · 01:30:18–01:30:38</w:t>
            </w:r>
          </w:p>
        </w:tc>
      </w:tr>
    </w:tbl>
    <w:p>
      <w:pPr>
        <w:pStyle w:val="Heading3"/>
      </w:pPr>
      <w:bookmarkStart w:name="b_cita_clase_2_no_sustituye_a_los_demas" w:id="729"/>
      <w:r>
        <w:t xml:space="preserve">Palabras del profesor</w:t>
      </w:r>
      <w:bookmarkEnd w:id="729"/>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El profesor lo dijo así</w:t>
            </w:r>
          </w:p>
          <w:p>
            <w:pPr>
              <w:pStyle w:val="Recuadro"/>
            </w:pPr>
            <w:r>
              <w:t xml:space="preserve">«El pensamiento sistémico, así como el paradigma sistémico, no es el único ni un pensamiento que sustituye a todos los demás: existe una gran variedad de formas de pensamiento que pueden utilizarse dependiendo de los objetivos que buscamos.»</w:t>
            </w:r>
          </w:p>
          <w:p>
            <w:pPr>
              <w:pStyle w:val="Recuadro"/>
            </w:pPr>
            <w:r>
              <w:t xml:space="preserve">Clase 2 · 00:08:08–00:08:38</w:t>
            </w:r>
          </w:p>
        </w:tc>
      </w:tr>
    </w:tbl>
    <w:p>
      <w:pPr>
        <w:pStyle w:val="Heading3"/>
      </w:pPr>
      <w:bookmarkStart w:name="b_cita_clase_4_pensamiento_meta_1f27207c" w:id="730"/>
      <w:r>
        <w:t xml:space="preserve">Palabras del profesor</w:t>
      </w:r>
      <w:bookmarkEnd w:id="730"/>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El profesor lo dijo así</w:t>
            </w:r>
          </w:p>
          <w:p>
            <w:pPr>
              <w:pStyle w:val="Recuadro"/>
            </w:pPr>
            <w:r>
              <w:t xml:space="preserve">«Esto es una cuestión de práctica, de hacer ejercicios para hacer más fluido nuestro pensar sobre el pensamiento; ese pensamiento metacognitivo lo tenemos que ir practicando y desarrollando para que se vuelva un hábito.»</w:t>
            </w:r>
          </w:p>
          <w:p>
            <w:pPr>
              <w:pStyle w:val="Recuadro"/>
            </w:pPr>
            <w:r>
              <w:t xml:space="preserve">Clase 4 · 01:20:15–01:20:39</w:t>
            </w:r>
          </w:p>
        </w:tc>
      </w:tr>
    </w:tbl>
    <w:p>
      <w:pPr>
        <w:pStyle w:val="Heading3"/>
      </w:pPr>
      <w:bookmarkStart w:name="b_cita_clase_4_modelos_mentales_225aad91" w:id="731"/>
      <w:r>
        <w:t xml:space="preserve">Palabras del profesor</w:t>
      </w:r>
      <w:bookmarkEnd w:id="731"/>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El profesor lo dijo así</w:t>
            </w:r>
          </w:p>
          <w:p>
            <w:pPr>
              <w:pStyle w:val="Recuadro"/>
            </w:pPr>
            <w:r>
              <w:t xml:space="preserve">«O'Connor nos deja claro que los modelos mentales deberían ser realistas, es decir, representar realmente la realidad que queremos resolver o en la cual queremos lograr un objetivo, y útiles para lo que estamos buscando hacer.»</w:t>
            </w:r>
          </w:p>
          <w:p>
            <w:pPr>
              <w:pStyle w:val="Recuadro"/>
            </w:pPr>
            <w:r>
              <w:t xml:space="preserve">Clase 4 · 01:17:41–01:18:19</w:t>
            </w:r>
          </w:p>
        </w:tc>
      </w:tr>
    </w:tbl>
    <w:p>
      <w:pPr>
        <w:pStyle w:val="Heading3"/>
      </w:pPr>
      <w:r>
        <w:t xml:space="preserve">Errores frecuentes y trampa de examen</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9C620A" w:sz="20"/>
              <w:bottom w:val="nil"/>
              <w:right w:val="nil"/>
            </w:tcBorders>
            <w:shd w:fill="FBF3DF" w:val="clear"/>
            <w:tcMar>
              <w:top w:type="dxa" w:w="130"/>
              <w:left w:type="dxa" w:w="180"/>
              <w:bottom w:type="dxa" w:w="130"/>
              <w:right w:type="dxa" w:w="180"/>
            </w:tcMar>
          </w:tcPr>
          <w:p>
            <w:pPr>
              <w:pStyle w:val="RecuadroTitulo"/>
            </w:pPr>
            <w:r>
              <w:rPr>
                <w:b/>
                <w:bCs/>
                <w:color w:val="9C620A"/>
              </w:rPr>
              <w:t xml:space="preserve">Error → corrección</w:t>
            </w:r>
          </w:p>
          <w:p>
            <w:pPr>
              <w:pStyle w:val="Recuadro"/>
            </w:pPr>
            <w:r>
              <w:rPr>
                <w:b/>
                <w:bCs/>
              </w:rPr>
              <w:t xml:space="preserve">Error:</w:t>
            </w:r>
            <w:r>
              <w:t xml:space="preserve"> Creer que el pensamiento sistémico reemplaza a los demás tipos.</w:t>
            </w:r>
          </w:p>
          <w:p>
            <w:pPr>
              <w:pStyle w:val="Recuadro"/>
            </w:pPr>
            <w:r>
              <w:rPr>
                <w:b/>
                <w:bCs/>
              </w:rPr>
              <w:t xml:space="preserve">Corrección:</w:t>
            </w:r>
            <w:r>
              <w:t xml:space="preserve"> Todos son útiles según el objetivo, y el pensador sistémico aprende también el metacognitivo y el crítico.</w:t>
            </w:r>
          </w:p>
          <w:p>
            <w:pPr>
              <w:pStyle w:val="Recuadro"/>
            </w:pPr>
            <w:r>
              <w:t xml:space="preserve">Clase 2 · 00:07:52–00:09:11 · Clase 2 · 00:19:56–00:21:42</w:t>
            </w:r>
          </w:p>
        </w:tc>
      </w:tr>
    </w:tbl>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9C620A" w:sz="20"/>
              <w:bottom w:val="nil"/>
              <w:right w:val="nil"/>
            </w:tcBorders>
            <w:shd w:fill="FBF3DF" w:val="clear"/>
            <w:tcMar>
              <w:top w:type="dxa" w:w="130"/>
              <w:left w:type="dxa" w:w="180"/>
              <w:bottom w:type="dxa" w:w="130"/>
              <w:right w:type="dxa" w:w="180"/>
            </w:tcMar>
          </w:tcPr>
          <w:p>
            <w:pPr>
              <w:pStyle w:val="RecuadroTitulo"/>
            </w:pPr>
            <w:r>
              <w:rPr>
                <w:b/>
                <w:bCs/>
                <w:color w:val="9C620A"/>
              </w:rPr>
              <w:t xml:space="preserve">Error → corrección</w:t>
            </w:r>
          </w:p>
          <w:p>
            <w:pPr>
              <w:pStyle w:val="Recuadro"/>
            </w:pPr>
            <w:r>
              <w:rPr>
                <w:b/>
                <w:bCs/>
              </w:rPr>
              <w:t xml:space="preserve">Error:</w:t>
            </w:r>
            <w:r>
              <w:t xml:space="preserve"> Decir que el modelo es isomórfico a la realidad.</w:t>
            </w:r>
          </w:p>
          <w:p>
            <w:pPr>
              <w:pStyle w:val="Recuadro"/>
            </w:pPr>
            <w:r>
              <w:rPr>
                <w:b/>
                <w:bCs/>
              </w:rPr>
              <w:t xml:space="preserve">Corrección:</w:t>
            </w:r>
            <w:r>
              <w:t xml:space="preserve"> Respecto a la realidad es homomórfico (simplificado, como la maqueta); es isomórfico respecto al concepto general de sistema.</w:t>
            </w:r>
          </w:p>
          <w:p>
            <w:pPr>
              <w:pStyle w:val="Recuadro"/>
            </w:pPr>
            <w:r>
              <w:t xml:space="preserve">Clase 6 · 01:09:14–01:11:44</w:t>
            </w:r>
          </w:p>
        </w:tc>
      </w:tr>
    </w:tbl>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9C620A" w:sz="20"/>
              <w:bottom w:val="nil"/>
              <w:right w:val="nil"/>
            </w:tcBorders>
            <w:shd w:fill="FBF3DF" w:val="clear"/>
            <w:tcMar>
              <w:top w:type="dxa" w:w="130"/>
              <w:left w:type="dxa" w:w="180"/>
              <w:bottom w:type="dxa" w:w="130"/>
              <w:right w:type="dxa" w:w="180"/>
            </w:tcMar>
          </w:tcPr>
          <w:p>
            <w:pPr>
              <w:pStyle w:val="RecuadroTitulo"/>
            </w:pPr>
            <w:r>
              <w:rPr>
                <w:b/>
                <w:bCs/>
                <w:color w:val="9C620A"/>
              </w:rPr>
              <w:t xml:space="preserve">Error → corrección</w:t>
            </w:r>
          </w:p>
          <w:p>
            <w:pPr>
              <w:pStyle w:val="Recuadro"/>
            </w:pPr>
            <w:r>
              <w:rPr>
                <w:b/>
                <w:bCs/>
              </w:rPr>
              <w:t xml:space="preserve">Error:</w:t>
            </w:r>
            <w:r>
              <w:t xml:space="preserve"> Tomar «análisis sistémico» por descomponer en partes.</w:t>
            </w:r>
          </w:p>
          <w:p>
            <w:pPr>
              <w:pStyle w:val="Recuadro"/>
            </w:pPr>
            <w:r>
              <w:rPr>
                <w:b/>
                <w:bCs/>
              </w:rPr>
              <w:t xml:space="preserve">Corrección:</w:t>
            </w:r>
            <w:r>
              <w:t xml:space="preserve"> El análisis sistémico profundiza hasta las estructuras que originan los comportamientos; sólo análisis sin síntesis da una visión no sistémica.</w:t>
            </w:r>
          </w:p>
          <w:p>
            <w:pPr>
              <w:pStyle w:val="Recuadro"/>
            </w:pPr>
            <w:r>
              <w:t xml:space="preserve">Clase 4 · 00:08:42–00:09:08 · Clase 7 · 00:12:43–00:14:12</w:t>
            </w:r>
          </w:p>
        </w:tc>
      </w:tr>
    </w:tbl>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9C620A" w:sz="20"/>
              <w:bottom w:val="nil"/>
              <w:right w:val="nil"/>
            </w:tcBorders>
            <w:shd w:fill="FBF3DF" w:val="clear"/>
            <w:tcMar>
              <w:top w:type="dxa" w:w="130"/>
              <w:left w:type="dxa" w:w="180"/>
              <w:bottom w:type="dxa" w:w="130"/>
              <w:right w:type="dxa" w:w="180"/>
            </w:tcMar>
          </w:tcPr>
          <w:p>
            <w:pPr>
              <w:pStyle w:val="RecuadroTitulo"/>
            </w:pPr>
            <w:r>
              <w:rPr>
                <w:b/>
                <w:bCs/>
                <w:color w:val="9C620A"/>
              </w:rPr>
              <w:t xml:space="preserve">Trampa de examen</w:t>
            </w:r>
          </w:p>
          <w:p>
            <w:pPr>
              <w:pStyle w:val="Recuadro"/>
            </w:pPr>
            <w:r>
              <w:t xml:space="preserve">Isomorfismo y homomorfismo no son la misma relación ni van en el mismo tramo: el modelo sistémico es isomórfico (de forma similar) respecto al concepto general de sistema y homomórfico (simplificado pero representativo) respecto a la realidad, como la maqueta respecto del edificio. Y «limitador» no quiere decir inútil: conviene conservar modelos para lo frecuente y construir sistémicos para lo complejo; lo que limita es lo parcial, rígido e inconsciente.</w:t>
            </w:r>
          </w:p>
        </w:tc>
      </w:tr>
    </w:tbl>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Ampliación: lo no dictado en clase</w:t>
            </w:r>
          </w:p>
          <w:p>
            <w:pPr>
              <w:pStyle w:val="Recuadro"/>
            </w:pPr>
            <w:r>
              <w:t xml:space="preserve">De los catorce tipos de pensamiento de la lectura sólo se trataron ocho. La lista de entradas del modelo mental de la lámina c5-16 no se leyó, y de la tabla de nueve filas de la lámina c5-17 sólo se desarrolló la tercera fila; las demás se dieron por vistas. La tabla reduccionista frente a sistémico (lámina c6-10) corresponde al tema 2.1. Que la conducta sea la propiedad emergente de un modelo mental no se enunció en clase. La disposición de principiante se amplía desde C-5, página 36. La clase 2 confirma catorce y actualizaciones del artículo, sin desarrollar nominalmente intuitivo y visual.</w:t>
            </w:r>
          </w:p>
        </w:tc>
      </w:tr>
    </w:tbl>
    <w:p>
      <w:pPr>
        <w:pStyle w:val="Heading3"/>
      </w:pPr>
      <w:r>
        <w:t xml:space="preserve">Lecturas y tareas del curso</w:t>
      </w:r>
    </w:p>
    <w:p>
      <w:pPr>
        <w:pStyle w:val="Normal"/>
      </w:pPr>
      <w:r>
        <w:t xml:space="preserve">C-5 · Unidad 1 · Sistemas abstractos diseñados y paradigmas (presentación). 63 páginas con paradigmas, tipos de pensamiento, escalera de inferencias, iceberg, hábitos, DSRP y modelos sistémicos. Copia íntegra de la presentación del profesor.</w:t>
      </w:r>
    </w:p>
    <w:p>
      <w:pPr>
        <w:pStyle w:val="Normal"/>
      </w:pPr>
      <w:r>
        <w:t xml:space="preserve">L-1 · Modelos mentales — Joseph O’Connor. Lectura sobre los modelos mentales: cómo filtran la percepción, de dónde vienen y cómo se hacen conscientes. Fuente de la Unidad 1.</w:t>
      </w:r>
    </w:p>
    <w:p>
      <w:pPr>
        <w:pStyle w:val="Normal"/>
      </w:pPr>
      <w:r>
        <w:t xml:space="preserve">L-5 · Enfoque de sistemas y pensamiento sistémico. Lectura de la Unidad 2 sobre el enfoque de sistemas: en qué se diferencia de la mirada analítica clásica y qué implica sostener el pensamiento sistémico como método de trabajo.</w:t>
      </w:r>
    </w:p>
    <w:p>
      <w:pPr>
        <w:pStyle w:val="Heading3"/>
      </w:pPr>
      <w:r>
        <w:t xml:space="preserve">Práctica de los laboratorios</w:t>
      </w:r>
    </w:p>
    <w:p>
      <w:pPr>
        <w:pStyle w:val="Normal"/>
      </w:pPr>
      <w:r>
        <w:t xml:space="preserve">Los procedimientos del capítulo permiten reconstruir en papel la práctica interactiva. Los laboratorios originales permanecen disponibles en la lección del portal.</w:t>
      </w:r>
    </w:p>
    <w:p>
      <w:pPr>
        <w:pStyle w:val="Normal"/>
        <w:numPr>
          <w:ilvl w:val="0"/>
          <w:numId w:val="2"/>
        </w:numPr>
      </w:pPr>
      <w:r>
        <w:t xml:space="preserve">Modelos sistémicos frente a no sistémicos</w:t>
      </w:r>
    </w:p>
    <w:p>
      <w:pPr>
        <w:pStyle w:val="Normal"/>
        <w:numPr>
          <w:ilvl w:val="0"/>
          <w:numId w:val="2"/>
        </w:numPr>
      </w:pPr>
      <w:r>
        <w:t xml:space="preserve">Macroscopio y sistematografía: los dos morfismos</w:t>
      </w:r>
    </w:p>
    <w:p>
      <w:pPr>
        <w:pStyle w:val="Heading3"/>
      </w:pPr>
      <w:r>
        <w:t xml:space="preserve">Autoevaluación</w:t>
      </w:r>
    </w:p>
    <w:p>
      <w:pPr>
        <w:pStyle w:val="Normal"/>
      </w:pPr>
      <w:r>
        <w:t xml:space="preserve">Resuelva sin consultar las respuestas. Compruebe al final del capítulo por qué cada opción es correcta o incorrecta.</w:t>
      </w:r>
    </w:p>
    <w:p>
      <w:pPr>
        <w:pStyle w:val="Heading3"/>
      </w:pPr>
      <w:bookmarkStart w:name="b_pregunta_auto_1_4_1" w:id="732"/>
      <w:r>
        <w:t xml:space="preserve">1.4-A1 · ¿Qué conducta concreta expresa entrar a una situación con mente de principiante?</w:t>
      </w:r>
      <w:bookmarkEnd w:id="732"/>
    </w:p>
    <w:p>
      <w:pPr>
        <w:pStyle w:val="Normal"/>
      </w:pPr>
      <w:r>
        <w:t xml:space="preserve">a) Descartar toda experiencia previa sin examinarla</w:t>
      </w:r>
    </w:p>
    <w:p>
      <w:pPr>
        <w:pStyle w:val="Normal"/>
      </w:pPr>
      <w:r>
        <w:t xml:space="preserve">b) Aplicar la primera explicación conocida para ahorrar tiempo</w:t>
      </w:r>
    </w:p>
    <w:p>
      <w:pPr>
        <w:pStyle w:val="Normal"/>
      </w:pPr>
      <w:r>
        <w:t xml:space="preserve">c) Ampliar la información y observar cómo se forma la interpretación antes de cerrarla</w:t>
      </w:r>
    </w:p>
    <w:p>
      <w:pPr>
        <w:pStyle w:val="Normal"/>
      </w:pPr>
      <w:r>
        <w:t xml:space="preserve">d) Aceptar sólo los datos que confirman la creencia</w:t>
      </w:r>
    </w:p>
    <w:p>
      <w:pPr>
        <w:pStyle w:val="Heading3"/>
      </w:pPr>
      <w:bookmarkStart w:name="b_pregunta_auto_1_4_2" w:id="733"/>
      <w:r>
        <w:t xml:space="preserve">1.4-A2 · Un mapa reproduce fielmente calles pero no muestra rutas accesibles que necesitamos. ¿Cómo se juzga para ese propósito?</w:t>
      </w:r>
      <w:bookmarkEnd w:id="733"/>
    </w:p>
    <w:p>
      <w:pPr>
        <w:pStyle w:val="Normal"/>
      </w:pPr>
      <w:r>
        <w:t xml:space="preserve">a) Es útil para todo propósito por ser fiel</w:t>
      </w:r>
    </w:p>
    <w:p>
      <w:pPr>
        <w:pStyle w:val="Normal"/>
      </w:pPr>
      <w:r>
        <w:t xml:space="preserve">b) No puede ser realista si no resuelve cualquier decisión</w:t>
      </w:r>
    </w:p>
    <w:p>
      <w:pPr>
        <w:pStyle w:val="Normal"/>
      </w:pPr>
      <w:r>
        <w:t xml:space="preserve">c) Su utilidad demuestra que representa todo el territorio</w:t>
      </w:r>
    </w:p>
    <w:p>
      <w:pPr>
        <w:pStyle w:val="Normal"/>
      </w:pPr>
      <w:r>
        <w:t xml:space="preserve">d) Puede ser realista y, a la vez, insuficientemente útil</w:t>
      </w:r>
    </w:p>
    <w:p>
      <w:pPr>
        <w:pStyle w:val="Heading3"/>
      </w:pPr>
      <w:bookmarkStart w:name="b_pregunta_auto_1_4_3" w:id="734"/>
      <w:r>
        <w:t xml:space="preserve">1.4-A3 · ¿Cómo se relacionan las seis entradas y los nueve contrastes del modelo mental de clase 5?</w:t>
      </w:r>
      <w:bookmarkEnd w:id="734"/>
    </w:p>
    <w:p>
      <w:pPr>
        <w:pStyle w:val="Normal"/>
      </w:pPr>
      <w:r>
        <w:t xml:space="preserve">a) Las entradas alimentan el modelo y los contrastes muestran cómo se trata la información</w:t>
      </w:r>
    </w:p>
    <w:p>
      <w:pPr>
        <w:pStyle w:val="Normal"/>
      </w:pPr>
      <w:r>
        <w:t xml:space="preserve">b) Son quince hábitos nuevos añadidos al catálogo</w:t>
      </w:r>
    </w:p>
    <w:p>
      <w:pPr>
        <w:pStyle w:val="Normal"/>
      </w:pPr>
      <w:r>
        <w:t xml:space="preserve">c) Son seis pasos seguidos obligatoriamente por nueve fases</w:t>
      </w:r>
    </w:p>
    <w:p>
      <w:pPr>
        <w:pStyle w:val="Normal"/>
      </w:pPr>
      <w:r>
        <w:t xml:space="preserve">d) Son quince fuentes que aseguran un modelo infalible</w:t>
      </w:r>
    </w:p>
    <w:p>
      <w:pPr>
        <w:pStyle w:val="Heading3"/>
      </w:pPr>
      <w:bookmarkStart w:name="b_pregunta_auto_1_4_4" w:id="735"/>
      <w:r>
        <w:t xml:space="preserve">1.4-A4 · ¿Qué distingue a un modelo mental sistémico de uno no sistémico?</w:t>
      </w:r>
      <w:bookmarkEnd w:id="735"/>
    </w:p>
    <w:p>
      <w:pPr>
        <w:pStyle w:val="Normal"/>
      </w:pPr>
      <w:r>
        <w:t xml:space="preserve">a) Distingue con cuidado, ve el todo y las partes, mapea las relaciones y cambia de perspectiva</w:t>
      </w:r>
    </w:p>
    <w:p>
      <w:pPr>
        <w:pStyle w:val="Normal"/>
      </w:pPr>
      <w:r>
        <w:t xml:space="preserve">b) Reduce el problema a su parte más pequeña y la estudia aislada</w:t>
      </w:r>
    </w:p>
    <w:p>
      <w:pPr>
        <w:pStyle w:val="Normal"/>
      </w:pPr>
      <w:r>
        <w:t xml:space="preserve">c) Busca una única causa lineal para cada efecto</w:t>
      </w:r>
    </w:p>
    <w:p>
      <w:pPr>
        <w:pStyle w:val="Normal"/>
      </w:pPr>
      <w:r>
        <w:t xml:space="preserve">d) Congela la situación en una fotografía para analizarla mejor</w:t>
      </w:r>
    </w:p>
    <w:p>
      <w:pPr>
        <w:pStyle w:val="Heading3"/>
      </w:pPr>
      <w:bookmarkStart w:name="b_pregunta_auto_1_4_5" w:id="736"/>
      <w:r>
        <w:t xml:space="preserve">1.4-A5 · Ampliar carriles y que la congestión regrese peor a los pocos años (demanda inducida) revela la debilidad de un modelo…</w:t>
      </w:r>
      <w:bookmarkEnd w:id="736"/>
    </w:p>
    <w:p>
      <w:pPr>
        <w:pStyle w:val="Normal"/>
      </w:pPr>
      <w:r>
        <w:t xml:space="preserve">a) Sistémico</w:t>
      </w:r>
    </w:p>
    <w:p>
      <w:pPr>
        <w:pStyle w:val="Normal"/>
      </w:pPr>
      <w:r>
        <w:t xml:space="preserve">b) Crítico</w:t>
      </w:r>
    </w:p>
    <w:p>
      <w:pPr>
        <w:pStyle w:val="Normal"/>
      </w:pPr>
      <w:r>
        <w:t xml:space="preserve">c) Lineal</w:t>
      </w:r>
    </w:p>
    <w:p>
      <w:pPr>
        <w:pStyle w:val="Normal"/>
      </w:pPr>
      <w:r>
        <w:t xml:space="preserve">d) Metacognitivo</w:t>
      </w:r>
    </w:p>
    <w:p>
      <w:pPr>
        <w:pStyle w:val="Heading3"/>
      </w:pPr>
      <w:bookmarkStart w:name="b_pregunta_auto_1_4_6" w:id="737"/>
      <w:r>
        <w:t xml:space="preserve">1.4-A6 · El rasgo sistémico «ver el todo y las partes» se opone sobre todo a la trampa…</w:t>
      </w:r>
      <w:bookmarkEnd w:id="737"/>
    </w:p>
    <w:p>
      <w:pPr>
        <w:pStyle w:val="Normal"/>
      </w:pPr>
      <w:r>
        <w:t xml:space="preserve">a) Estática</w:t>
      </w:r>
    </w:p>
    <w:p>
      <w:pPr>
        <w:pStyle w:val="Normal"/>
      </w:pPr>
      <w:r>
        <w:t xml:space="preserve">b) De perspectiva única</w:t>
      </w:r>
    </w:p>
    <w:p>
      <w:pPr>
        <w:pStyle w:val="Normal"/>
      </w:pPr>
      <w:r>
        <w:t xml:space="preserve">c) Emergente</w:t>
      </w:r>
    </w:p>
    <w:p>
      <w:pPr>
        <w:pStyle w:val="Normal"/>
      </w:pPr>
      <w:r>
        <w:t xml:space="preserve">d) Reduccionista</w:t>
      </w:r>
    </w:p>
    <w:p>
      <w:pPr>
        <w:pStyle w:val="Heading3"/>
      </w:pPr>
      <w:bookmarkStart w:name="b_pregunta_auto_1_4_7" w:id="738"/>
      <w:r>
        <w:t xml:space="preserve">1.4-A7 · «Renuncias → sobrecarga de los que quedan → más desgaste → más renuncias.» Este patrón es un ejemplo de…</w:t>
      </w:r>
      <w:bookmarkEnd w:id="738"/>
    </w:p>
    <w:p>
      <w:pPr>
        <w:pStyle w:val="Normal"/>
      </w:pPr>
      <w:r>
        <w:t xml:space="preserve">a) Un ciclo de retroalimentación de refuerzo que el modelo sistémico sí mapea</w:t>
      </w:r>
    </w:p>
    <w:p>
      <w:pPr>
        <w:pStyle w:val="Normal"/>
      </w:pPr>
      <w:r>
        <w:t xml:space="preserve">b) Una cadena causal lineal de un solo sentido</w:t>
      </w:r>
    </w:p>
    <w:p>
      <w:pPr>
        <w:pStyle w:val="Normal"/>
      </w:pPr>
      <w:r>
        <w:t xml:space="preserve">c) Una fotografía estática de la empresa</w:t>
      </w:r>
    </w:p>
    <w:p>
      <w:pPr>
        <w:pStyle w:val="Normal"/>
      </w:pPr>
      <w:r>
        <w:t xml:space="preserve">d) Una propiedad reduccionista del sistema</w:t>
      </w:r>
    </w:p>
    <w:p>
      <w:pPr>
        <w:pStyle w:val="Heading3"/>
      </w:pPr>
      <w:bookmarkStart w:name="b_pregunta_auto_1_4_8" w:id="739"/>
      <w:r>
        <w:t xml:space="preserve">1.4-A8 · Analizar la congestión desde el peatón, el urbanista y el conductor —y no solo desde uno— corresponde al movimiento sistémico de…</w:t>
      </w:r>
      <w:bookmarkEnd w:id="739"/>
    </w:p>
    <w:p>
      <w:pPr>
        <w:pStyle w:val="Normal"/>
      </w:pPr>
      <w:r>
        <w:t xml:space="preserve">a) Distinguir</w:t>
      </w:r>
    </w:p>
    <w:p>
      <w:pPr>
        <w:pStyle w:val="Normal"/>
      </w:pPr>
      <w:r>
        <w:t xml:space="preserve">b) Ver el todo y las partes</w:t>
      </w:r>
    </w:p>
    <w:p>
      <w:pPr>
        <w:pStyle w:val="Normal"/>
      </w:pPr>
      <w:r>
        <w:t xml:space="preserve">c) Mapear relaciones</w:t>
      </w:r>
    </w:p>
    <w:p>
      <w:pPr>
        <w:pStyle w:val="Normal"/>
      </w:pPr>
      <w:r>
        <w:t xml:space="preserve">d) Cambiar de perspectiva</w:t>
      </w:r>
    </w:p>
    <w:p>
      <w:pPr>
        <w:pStyle w:val="Heading3"/>
      </w:pPr>
      <w:bookmarkStart w:name="b_pregunta_auto_1_4_9" w:id="740"/>
      <w:r>
        <w:t xml:space="preserve">1.4-A9 · Tratar una plaga con cada vez más pesticida hasta que rebrota más fuerte muestra que el modelo no sistémico…</w:t>
      </w:r>
      <w:bookmarkEnd w:id="740"/>
    </w:p>
    <w:p>
      <w:pPr>
        <w:pStyle w:val="Normal"/>
      </w:pPr>
      <w:r>
        <w:t xml:space="preserve">a) Acierta, porque el pesticida siempre funciona</w:t>
      </w:r>
    </w:p>
    <w:p>
      <w:pPr>
        <w:pStyle w:val="Normal"/>
      </w:pPr>
      <w:r>
        <w:t xml:space="preserve">b) Es demasiado sistémico para el problema</w:t>
      </w:r>
    </w:p>
    <w:p>
      <w:pPr>
        <w:pStyle w:val="Normal"/>
      </w:pPr>
      <w:r>
        <w:t xml:space="preserve">c) Ignora las relaciones del agroecosistema y la respuesta con demora (mueren los depredadores naturales)</w:t>
      </w:r>
    </w:p>
    <w:p>
      <w:pPr>
        <w:pStyle w:val="Normal"/>
      </w:pPr>
      <w:r>
        <w:t xml:space="preserve">d) Solo falla por ser un pensamiento metacognitivo</w:t>
      </w:r>
    </w:p>
    <w:p>
      <w:pPr>
        <w:pStyle w:val="Heading3"/>
      </w:pPr>
      <w:bookmarkStart w:name="b_pregunta_auto_1_4_10" w:id="741"/>
      <w:r>
        <w:t xml:space="preserve">1.4-A10 · ¿Cuál afirmación describe mejor la relación entre el pensamiento sistémico y el analítico o reduccionista?</w:t>
      </w:r>
      <w:bookmarkEnd w:id="741"/>
    </w:p>
    <w:p>
      <w:pPr>
        <w:pStyle w:val="Normal"/>
      </w:pPr>
      <w:r>
        <w:t xml:space="preserve">a) El sistémico reemplaza y anula al analítico</w:t>
      </w:r>
    </w:p>
    <w:p>
      <w:pPr>
        <w:pStyle w:val="Normal"/>
      </w:pPr>
      <w:r>
        <w:t xml:space="preserve">b) Se complementan: hace falta ver el detalle de las partes y el panorama de las relaciones</w:t>
      </w:r>
    </w:p>
    <w:p>
      <w:pPr>
        <w:pStyle w:val="Normal"/>
      </w:pPr>
      <w:r>
        <w:t xml:space="preserve">c) Son exactamente lo mismo con otro nombre</w:t>
      </w:r>
    </w:p>
    <w:p>
      <w:pPr>
        <w:pStyle w:val="Normal"/>
      </w:pPr>
      <w:r>
        <w:t xml:space="preserve">d) El analítico siempre es superior al sistémico</w:t>
      </w:r>
    </w:p>
    <w:p>
      <w:pPr>
        <w:pStyle w:val="Heading3"/>
      </w:pPr>
      <w:bookmarkStart w:name="b_solucionario_1_4" w:id="742"/>
      <w:r>
        <w:t xml:space="preserve">Solucionario del capítulo</w:t>
      </w:r>
      <w:bookmarkEnd w:id="742"/>
    </w:p>
    <w:p>
      <w:pPr>
        <w:pStyle w:val="Heading3"/>
      </w:pPr>
      <w:r>
        <w:t xml:space="preserve">1.4-A1</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c) Ampliar la información y observar cómo se forma la interpretación antes de cerrarla</w:t>
            </w:r>
          </w:p>
        </w:tc>
      </w:tr>
    </w:tbl>
    <w:p>
      <w:pPr>
        <w:pStyle w:val="Normal"/>
      </w:pPr>
      <w:r>
        <w:t xml:space="preserve">La disposición de principiante consiste en mantenerse flexible y consciente de la formación del propio modelo. Se reúne información amplia y se contrasta la explicación, sin tratarla como una verdad definitiva.</w:t>
      </w:r>
    </w:p>
    <w:p>
      <w:pPr>
        <w:pStyle w:val="Fuente"/>
      </w:pPr>
      <w:r>
        <w:t xml:space="preserve">Presentación de la unidad 1 (C-5), pág. 36</w:t>
      </w:r>
    </w:p>
    <w:p>
      <w:pPr>
        <w:pStyle w:val="Heading3"/>
      </w:pPr>
      <w:r>
        <w:t xml:space="preserve">1.4-A2</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d) Puede ser realista y, a la vez, insuficientemente útil</w:t>
            </w:r>
          </w:p>
        </w:tc>
      </w:tr>
    </w:tbl>
    <w:p>
      <w:pPr>
        <w:pStyle w:val="Normal"/>
      </w:pPr>
      <w:r>
        <w:t xml:space="preserve">Realista alude a correspondencia con lo observado; útil al apoyo que presta al propósito. Son dimensiones distintas: una representación fiel puede omitir información decisiva para una tarea concreta.</w:t>
      </w:r>
    </w:p>
    <w:p>
      <w:pPr>
        <w:pStyle w:val="Fuente"/>
      </w:pPr>
      <w:r>
        <w:t xml:space="preserve">Clase 4 · 01:17:35–01:20:39 · Presentación de la unidad 1 (C-5), pág. 60</w:t>
      </w:r>
    </w:p>
    <w:p>
      <w:pPr>
        <w:pStyle w:val="Heading3"/>
      </w:pPr>
      <w:r>
        <w:t xml:space="preserve">1.4-A3</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a) Las entradas alimentan el modelo y los contrastes muestran cómo se trata la información</w:t>
            </w:r>
          </w:p>
        </w:tc>
      </w:tr>
    </w:tbl>
    <w:p>
      <w:pPr>
        <w:pStyle w:val="Normal"/>
      </w:pPr>
      <w:r>
        <w:t xml:space="preserve">El esquema reúne seis entradas que nutren el modelo durante la vida. La tabla de nueve contrastes compara conductas limitadoras y sistémicas ante la información; no establece fases ni hábitos adicionales.</w:t>
      </w:r>
    </w:p>
    <w:p>
      <w:pPr>
        <w:pStyle w:val="Fuente"/>
      </w:pPr>
      <w:r>
        <w:t xml:space="preserve">Presentación de la unidad 1 (C-5), pág. 59 y 60 · Clase 5 · 01:31:56–01:33:29</w:t>
      </w:r>
    </w:p>
    <w:p>
      <w:pPr>
        <w:pStyle w:val="Heading3"/>
      </w:pPr>
      <w:r>
        <w:t xml:space="preserve">1.4-A4</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a) Distingue con cuidado, ve el todo y las partes, mapea las relaciones y cambia de perspectiva</w:t>
            </w:r>
          </w:p>
        </w:tc>
      </w:tr>
    </w:tbl>
    <w:p>
      <w:pPr>
        <w:pStyle w:val="Normal"/>
      </w:pPr>
      <w:r>
        <w:t xml:space="preserve">Un modelo es sistémico cuando hace cuatro cosas: distingue (¿qué es y qué no es?), ve el todo y las partes, mapea las relaciones entre ellas y cambia de perspectiva. Los tres vicios opuestos son ser lineal, reduccionista y estático.</w:t>
      </w:r>
    </w:p>
    <w:p>
      <w:pPr>
        <w:pStyle w:val="Normal"/>
      </w:pPr>
      <w:r>
        <w:t xml:space="preserve">a) Correcto: son los cuatro movimientos que vuelven sistémico a un modelo (las reglas DSRP).</w:t>
      </w:r>
    </w:p>
    <w:p>
      <w:pPr>
        <w:pStyle w:val="Normal"/>
      </w:pPr>
      <w:r>
        <w:t xml:space="preserve">b) Eso es reduccionismo: una de las trampas del modelo no sistémico.</w:t>
      </w:r>
    </w:p>
    <w:p>
      <w:pPr>
        <w:pStyle w:val="Normal"/>
      </w:pPr>
      <w:r>
        <w:t xml:space="preserve">c) La causa lineal única es justamente la trampa «lineal».</w:t>
      </w:r>
    </w:p>
    <w:p>
      <w:pPr>
        <w:pStyle w:val="Normal"/>
      </w:pPr>
      <w:r>
        <w:t xml:space="preserve">d) Congelar la situación es la trampa «estática».</w:t>
      </w:r>
    </w:p>
    <w:p>
      <w:pPr>
        <w:pStyle w:val="Heading3"/>
      </w:pPr>
      <w:r>
        <w:t xml:space="preserve">1.4-A5</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c) Lineal</w:t>
            </w:r>
          </w:p>
        </w:tc>
      </w:tr>
    </w:tbl>
    <w:p>
      <w:pPr>
        <w:pStyle w:val="Normal"/>
      </w:pPr>
      <w:r>
        <w:t xml:space="preserve">La lectura lineal «más carriles → menos tráfico» ignora el ciclo de refuerzo: carriles nuevos abaratan manejar, atraen más viajes y vuelven a llenar la vía. Es una flecha recta donde en realidad hay un lazo.</w:t>
      </w:r>
    </w:p>
    <w:p>
      <w:pPr>
        <w:pStyle w:val="Fuente"/>
      </w:pPr>
      <w:r>
        <w:t xml:space="preserve">Comparador de modelos</w:t>
      </w:r>
    </w:p>
    <w:p>
      <w:pPr>
        <w:pStyle w:val="Heading3"/>
      </w:pPr>
      <w:r>
        <w:t xml:space="preserve">1.4-A6</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d) Reduccionista</w:t>
            </w:r>
          </w:p>
        </w:tc>
      </w:tr>
    </w:tbl>
    <w:p>
      <w:pPr>
        <w:pStyle w:val="Normal"/>
      </w:pPr>
      <w:r>
        <w:t xml:space="preserve">El reduccionismo cree que el todo es la suma de sus partes y las estudia por separado. El modelo sistémico recupera las propiedades que emergen de las relaciones entre las partes, es decir, mira el todo y las partes a la vez.</w:t>
      </w:r>
    </w:p>
    <w:p>
      <w:pPr>
        <w:pStyle w:val="Normal"/>
      </w:pPr>
      <w:r>
        <w:t xml:space="preserve">a) La trampa estática se opone a leer el cambio en el tiempo.</w:t>
      </w:r>
    </w:p>
    <w:p>
      <w:pPr>
        <w:pStyle w:val="Normal"/>
      </w:pPr>
      <w:r>
        <w:t xml:space="preserve">b) La perspectiva única se corrige cambiando de punto de vista, otro rasgo distinto.</w:t>
      </w:r>
    </w:p>
    <w:p>
      <w:pPr>
        <w:pStyle w:val="Normal"/>
      </w:pPr>
      <w:r>
        <w:t xml:space="preserve">c) La emergencia no es una trampa, sino lo que el reduccionismo deja escapar.</w:t>
      </w:r>
    </w:p>
    <w:p>
      <w:pPr>
        <w:pStyle w:val="Normal"/>
      </w:pPr>
      <w:r>
        <w:t xml:space="preserve">d) Correcto: el reduccionismo estudia las partes aisladas y pierde lo que emerge de sus relaciones.</w:t>
      </w:r>
    </w:p>
    <w:p>
      <w:pPr>
        <w:pStyle w:val="Heading3"/>
      </w:pPr>
      <w:r>
        <w:t xml:space="preserve">1.4-A7</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a) Un ciclo de retroalimentación de refuerzo que el modelo sistémico sí mapea</w:t>
            </w:r>
          </w:p>
        </w:tc>
      </w:tr>
    </w:tbl>
    <w:p>
      <w:pPr>
        <w:pStyle w:val="Normal"/>
      </w:pPr>
      <w:r>
        <w:t xml:space="preserve">El efecto (más renuncias) vuelve sobre su causa y la amplifica: es un lazo de refuerzo. El modelo no sistémico lo lee como «faltan manos» y acelera la contratación, con lo que agrava la espiral en vez de cerrarla.</w:t>
      </w:r>
    </w:p>
    <w:p>
      <w:pPr>
        <w:pStyle w:val="Heading3"/>
      </w:pPr>
      <w:r>
        <w:t xml:space="preserve">1.4-A8</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d) Cambiar de perspectiva</w:t>
            </w:r>
          </w:p>
        </w:tc>
      </w:tr>
    </w:tbl>
    <w:p>
      <w:pPr>
        <w:pStyle w:val="Normal"/>
      </w:pPr>
      <w:r>
        <w:t xml:space="preserve">Cambiar de perspectiva (la P de DSRP) consiste en mirar la misma situación desde distintos puntos de vista; cada uno revela causas y soluciones que los demás no ven.</w:t>
      </w:r>
    </w:p>
    <w:p>
      <w:pPr>
        <w:pStyle w:val="Heading3"/>
      </w:pPr>
      <w:r>
        <w:t xml:space="preserve">1.4-A9</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c) Ignora las relaciones del agroecosistema y la respuesta con demora (mueren los depredadores naturales)</w:t>
            </w:r>
          </w:p>
        </w:tc>
      </w:tr>
    </w:tbl>
    <w:p>
      <w:pPr>
        <w:pStyle w:val="Normal"/>
      </w:pPr>
      <w:r>
        <w:t xml:space="preserve">Al mirar solo «planta + insecto» de forma aislada y estática, el modelo reduccionista y lineal no ve que el veneno también mata a los depredadores naturales de la plaga y selecciona insectos resistentes; con demora, el problema regresa amplificado.</w:t>
      </w:r>
    </w:p>
    <w:p>
      <w:pPr>
        <w:pStyle w:val="Heading3"/>
      </w:pPr>
      <w:r>
        <w:t xml:space="preserve">1.4-A10</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b) Se complementan: hace falta ver el detalle de las partes y el panorama de las relaciones</w:t>
            </w:r>
          </w:p>
        </w:tc>
      </w:tr>
    </w:tbl>
    <w:p>
      <w:pPr>
        <w:pStyle w:val="Normal"/>
        <w:sectPr>
          <w:headerReference w:type="default" r:id="rId66"/>
          <w:headerReference w:type="first" r:id="rId67"/>
          <w:headerReference w:type="even" r:id="rId68"/>
          <w:footerReference w:type="default" r:id="rId69"/>
          <w:footerReference w:type="first" r:id="rId70"/>
          <w:footerReference w:type="even" r:id="rId71"/>
          <w:type w:val="nextPage"/>
          <w:pgSz w:w="12240" w:h="15840" w:orient="portrait"/>
          <w:pgMar w:top="1361" w:right="1134" w:bottom="1361" w:left="1474" w:header="650" w:footer="680" w:gutter="0"/>
          <w:pgNumType/>
          <w:titlePg/>
          <w:docGrid w:linePitch="360"/>
        </w:sectPr>
      </w:pPr>
      <w:r>
        <w:t xml:space="preserve">No son enemigos. El modelo sistémico no desprecia el análisis de las partes: lo complementa recuperando el todo, las relaciones y el cambio en el tiempo que el reduccionismo deja fuera. Se necesitan ambos.</w:t>
      </w:r>
    </w:p>
    <w:p>
      <w:pPr>
        <w:pStyle w:val="Heading2"/>
      </w:pPr>
      <w:bookmarkStart w:name="b_1_5" w:id="743"/>
      <w:r>
        <w:t xml:space="preserve">1.5 · Perspectivas</w:t>
      </w:r>
      <w:bookmarkEnd w:id="743"/>
    </w:p>
    <w:p>
      <w:pPr>
        <w:pStyle w:val="Subtitulo"/>
      </w:pPr>
      <w:r>
        <w:t xml:space="preserve">Las perspectivas y los sistemas abstractos diseñados.</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En una línea</w:t>
            </w:r>
          </w:p>
          <w:p>
            <w:pPr>
              <w:pStyle w:val="Recuadro"/>
            </w:pPr>
            <w:r>
              <w:t xml:space="preserve">Dos personas honestas ante el mismo dato no ven lo mismo, y ninguna de las dos está mintiendo.</w:t>
            </w:r>
          </w:p>
        </w:tc>
      </w:tr>
    </w:tbl>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Qué te preguntan</w:t>
            </w:r>
          </w:p>
          <w:p>
            <w:pPr>
              <w:pStyle w:val="Recuadro"/>
            </w:pPr>
            <w:r>
              <w:t xml:space="preserve">Explicar por qué el desacuerdo no se resuelve repitiendo la propia conclusión, y qué hacer en su lugar: pedir los datos y el razonamiento del otro. Se espera que enumere además las tres conclusiones que la clase 6 rescató del video de Guadalupe Nogués —promover el pluralismo, aprender a escuchar y separar las ideas de las personas— y que las conecte con el diálogo de la clase 5.</w:t>
            </w:r>
          </w:p>
        </w:tc>
      </w:tr>
    </w:tbl>
    <w:p>
      <w:pPr>
        <w:pStyle w:val="Normal"/>
      </w:pPr>
      <w:r>
        <w:t xml:space="preserve">Cada modelo mental genera una perspectiva: un punto de vista que filtra y elimina información. La realidad compleja admite múltiples perspectivas, todas correctas desde sus supuestos; el error es tomar la propia por verdad absoluta. Regla: cambiar de perspectiva para aumentar la comprensión, suspendiendo el juicio y la propia escalera, escuchando los datos y supuestos del otro y volviendo a la propia para integrar lo válido. El diálogo es la disciplina para hacerlo con quien piensa distinto, porque la verdad está repartida.</w:t>
      </w:r>
    </w:p>
    <w:p>
      <w:pPr>
        <w:pStyle w:val="Heading3"/>
      </w:pPr>
      <w:r>
        <w:t xml:space="preserve">Vocabulario clave</w:t>
      </w:r>
    </w:p>
    <w:p>
      <w:pPr>
        <w:pStyle w:val="Normal"/>
      </w:pPr>
      <w:r>
        <w:t xml:space="preserve">perspectiva (punto de vista que genera un modelo mental) · múltiples perspectivas, todas correctas · cambiar las perspectivas para aumentar la comprensión (tercer hábito) · suspender el juicio personal (y la propia escalera) · diálogo (disciplina de comunicación abierta; no debate, discurso ni charla) · la verdad está repartida · perspectiva subjetiva y objetiva (la del espectador) · empatía («los zapatos de otro») · otro paradigma, otro idioma (según Barker) · separar las ideas de las personas (Nogués)</w:t>
      </w:r>
    </w:p>
    <w:p>
      <w:pPr>
        <w:pStyle w:val="Fuente"/>
      </w:pPr>
      <w:r>
        <w:t xml:space="preserve">Recorrido: desarrollo conceptual → presentaciones → explicación en clase → errores y fuentes → práctica → solucionario.</w:t>
      </w:r>
    </w:p>
    <w:p>
      <w:pPr>
        <w:pStyle w:val="Heading3"/>
      </w:pPr>
      <w:r>
        <w:t xml:space="preserve">La empatía puede producir apoyo recíproco</w:t>
      </w:r>
    </w:p>
    <w:p>
      <w:pPr>
        <w:pStyle w:val="Normal"/>
      </w:pPr>
      <w:r>
        <w:t xml:space="preserve">Ponerse temporalmente en el lugar del otro permite comprender sus sentimientos, preocupaciones y criterios. Cuando esa comprensión se expresa en escucha y apoyo, la otra persona puede sentirse cuidada y responder con apoyo hacia quien la escuchó. Comprensión → apoyo percibido → apoyo recíproco forma un recorrido causal circular.</w:t>
      </w:r>
    </w:p>
    <w:p>
      <w:pPr>
        <w:pStyle w:val="Normal"/>
      </w:pPr>
      <w:r>
        <w:t xml:space="preserve">Es una posibilidad de interacción, no una garantía ni una técnica para exigir reciprocidad. Suspender el juicio ayuda a escuchar; luego se regresa a la perspectiva propia con información ampliada y se contrastan los supuestos de ambas partes.</w:t>
      </w:r>
    </w:p>
    <w:p>
      <w:pPr>
        <w:pStyle w:val="Fuente"/>
      </w:pPr>
      <w:r>
        <w:t xml:space="preserve">Presentación de la unidad 1 (C-5), pág. 46 · Clase 5 · 00:03:14–00:08:41</w:t>
      </w:r>
    </w:p>
    <w:p>
      <w:pPr>
        <w:pStyle w:val="Heading3"/>
      </w:pPr>
      <w:r>
        <w:t xml:space="preserve">Cuatro perspectivas sobre el mismo bosque</w:t>
      </w:r>
    </w:p>
    <w:p>
      <w:pPr>
        <w:pStyle w:val="Normal"/>
      </w:pPr>
      <w:r>
        <w:t xml:space="preserve">La perspectiva ecológica estudia el equilibrio dinámico de los flujos de energía y materia que sostiene la biodiversidad. La económica ve madera, productos medicinales y turismo como recursos y fuentes de ingresos; la lámina añade la responsabilidad de gestionar sosteniblemente ese capital natural.</w:t>
      </w:r>
    </w:p>
    <w:p>
      <w:pPr>
        <w:pStyle w:val="Normal"/>
      </w:pPr>
      <w:r>
        <w:t xml:space="preserve">La perspectiva cultural o indígena considera territorio sagrado, identidad y cosmovisión de las comunidades. La climática destaca la captura de carbono y la regulación del ciclo del agua y del clima. Estas dos se nombran en el audio; sus descripciones concretas proceden de la página 39.</w:t>
      </w:r>
    </w:p>
    <w:p>
      <w:pPr>
        <w:pStyle w:val="Normal"/>
      </w:pPr>
      <w:r>
        <w:t xml:space="preserve">En P, el punto es la posición o rol desde el que se observa y la vista es aquello observado. Un editor es el punto; el coloquialismo que evalúa es la vista. En el bosque, cambiar de punto hace visibles valores diferentes y permite discutir decisiones con una comprensión más amplia.</w:t>
      </w:r>
    </w:p>
    <w:p>
      <w:pPr>
        <w:pStyle w:val="Fuente"/>
      </w:pPr>
      <w:r>
        <w:t xml:space="preserve">Presentación de la unidad 2 (C-6), pág. 39 · Clase 8 · 00:21:34–00:22:59</w:t>
      </w:r>
    </w:p>
    <w:p>
      <w:pPr>
        <w:pStyle w:val="Heading3"/>
      </w:pPr>
      <w:r>
        <w:t xml:space="preserve">Qué es una perspectiva, según la clase</w:t>
      </w:r>
    </w:p>
    <w:p>
      <w:pPr>
        <w:pStyle w:val="Normal"/>
      </w:pPr>
      <w:r>
        <w:t xml:space="preserve">Cada paradigma da una perspectiva; la realidad compleja tiene múltiples perspectivas y muchas formas de definirse, todas correctas; el error es creer que la mía es la verdad absoluta. Cada quien sube su propia escalera, y su respuesta puede ser verdadera desde lo que supuso.</w:t>
      </w:r>
    </w:p>
    <w:p>
      <w:pPr>
        <w:pStyle w:val="Normal"/>
      </w:pPr>
      <w:r>
        <w:t xml:space="preserve">Dos personas ven distinta la misma realidad por su experiencia, sus modelos mentales y lo que ella significa para cada una; tener un modelo mental ya sesga, por el filtro y la eliminación, hacia un punto de vista ligado a las preocupaciones y emociones de la persona.</w:t>
      </w:r>
    </w:p>
    <w:p>
      <w:pPr>
        <w:pStyle w:val="Normal"/>
      </w:pPr>
      <w:r>
        <w:t xml:space="preserve">Tercer hábito (Waters Foundation): «un pensador sistémico cambia las perspectivas para aumentar la comprensión»; adopta temporalmente otras («los zapatos de otro») para ver qué elementos, relaciones e información no considera, con actitud empática.</w:t>
      </w:r>
    </w:p>
    <w:p>
      <w:pPr>
        <w:pStyle w:val="Normal"/>
      </w:pPr>
      <w:r>
        <w:t xml:space="preserve">Un modelo mental genera una perspectiva, «dos caras de lo mismo»: lo que se puede ver en los términos que el modelo permite; la perspectiva desde la que se modela deja fuera elementos y sesga el modelo. Sin «nombre y apellido», la perspectiva es la personal: «eso es lo que vemos desde donde estamos».</w:t>
      </w:r>
    </w:p>
    <w:p>
      <w:pPr>
        <w:pStyle w:val="Fuente"/>
      </w:pPr>
      <w:r>
        <w:t xml:space="preserve">Clase 2 · 00:48:54–00:51:36 · Clase 3 · 01:27:41–01:28:14 · Clase 4 · 00:38:01–00:39:29 · Clase 5 · 00:03:14–00:04:22 · Clase 5 · 00:05:47–00:06:54 · Clase 5 · 00:07:57–00:09:03 · Clase 5 · 00:10:37–00:11:01 · Clase 7 · 00:55:45–00:57:00 · Clase 7 · 01:11:33–01:12:22 · Clase 8 · 00:23:42–00:24:59 · lámina c5-03</w:t>
      </w:r>
    </w:p>
    <w:p>
      <w:pPr>
        <w:pStyle w:val="Heading3"/>
      </w:pPr>
      <w:r>
        <w:t xml:space="preserve">Los casos resueltos en clase</w:t>
      </w:r>
    </w:p>
    <w:p>
      <w:pPr>
        <w:pStyle w:val="Normal"/>
      </w:pPr>
      <w:r>
        <w:t xml:space="preserve">Figura de la lámina: uno ve cuatro objetos y otro tres; el error es pensar que el otro se equivoca. Tres empresas con las mismas «reglas» tienen cada una su cultura. En los triángulos cada respuesta puede ser correcta desde su perspectiva.</w:t>
      </w:r>
    </w:p>
    <w:p>
      <w:pPr>
        <w:pStyle w:val="Normal"/>
      </w:pPr>
      <w:r>
        <w:t xml:space="preserve">La mascota: mamá e hija la ven distinto. Gráfica de Waters Foundation con el rendimiento creciente de un equipo: él espera reconocimiento y un bono, ella teme más exigencia y carga; ninguna es correcta o incorrecta.</w:t>
      </w:r>
    </w:p>
    <w:p>
      <w:pPr>
        <w:pStyle w:val="Normal"/>
      </w:pPr>
      <w:r>
        <w:t xml:space="preserve">Elena y Tom (Waters Foundation): pareja compradora, vendedora y la auditoría técnica como tercera perspectiva; ante el informe de fallas, los compradores esperan que repare quien vende y la vendedora que paguen ellos por ser detalles pequeños: conflicto o negociación (ceder para obtener lo prioritario).</w:t>
      </w:r>
    </w:p>
    <w:p>
      <w:pPr>
        <w:pStyle w:val="Normal"/>
      </w:pPr>
      <w:r>
        <w:t xml:space="preserve">Programa en desarrollo: el rol de programador determina lo que se ve; usuario, técnico de plataforma y patrocinador muestran más partes y relaciones. Roles y disciplinas describen el mismo sistema de forma complementaria; el bosque (lámina): ecológica, económica, cultural y climática; cambiar de perspectiva agrega conceptos sin anular las otras.</w:t>
      </w:r>
    </w:p>
    <w:p>
      <w:pPr>
        <w:pStyle w:val="Fuente"/>
      </w:pPr>
      <w:r>
        <w:t xml:space="preserve">Clase 2 · 00:50:02–00:51:36 · Clase 2 · 01:02:50–01:04:05 · Clase 3 · 00:50:20–00:50:50 · Clase 4 · 00:38:31–00:38:51 · Clase 4 · 01:24:58–01:27:36 · Clase 5 · 00:11:32–00:16:28 · Clase 7 · 00:58:33–01:00:26 · Clase 8 · 00:03:48–00:08:10 · Clase 8 · 00:21:07–00:22:59 · lámina c5-04</w:t>
      </w:r>
    </w:p>
    <w:p>
      <w:pPr>
        <w:pStyle w:val="Heading3"/>
      </w:pPr>
      <w:r>
        <w:t xml:space="preserve">El diálogo como lo definió la clase</w:t>
      </w:r>
    </w:p>
    <w:p>
      <w:pPr>
        <w:pStyle w:val="Normal"/>
      </w:pPr>
      <w:r>
        <w:t xml:space="preserve">No es discurso, debate ni charla ociosa: es una disciplina de comunicación abierta que exige empatía, entre dos o más personas o, según algunos, consigo mismo.</w:t>
      </w:r>
    </w:p>
    <w:p>
      <w:pPr>
        <w:pStyle w:val="Normal"/>
      </w:pPr>
      <w:r>
        <w:t xml:space="preserve">Supuestos de la lámina (fundación Carlos Martínez Durán): participación voluntaria con igual derecho y compromiso; estructura circular, cara a cara; la verdad está repartida entre todos, porque cada perspectiva modela sólo algunas variables; escuchar a todos por igual; cada persona filtra por sus modelos mentales; sin miedo ni represalias.</w:t>
      </w:r>
    </w:p>
    <w:p>
      <w:pPr>
        <w:pStyle w:val="Normal"/>
      </w:pPr>
      <w:r>
        <w:t xml:space="preserve">Las reglas 1 a 10 fijan roles, moderadores y tiempos, pedir la palabra y escuchar sin interrumpir: impiden el monólogo. Dialogar con quienes piensan igual es dialogar con uno mismo.</w:t>
      </w:r>
    </w:p>
    <w:p>
      <w:pPr>
        <w:pStyle w:val="Fuente"/>
      </w:pPr>
      <w:r>
        <w:t xml:space="preserve">Clase 5 · 00:20:56–00:23:56 · Clase 5 · 00:25:09–00:29:59 · Clase 5 · 00:33:30–00:35:11 · Clase 5 · 00:39:09–00:40:43 · lámina c5-05</w:t>
      </w:r>
    </w:p>
    <w:p>
      <w:pPr>
        <w:pStyle w:val="Heading3"/>
      </w:pPr>
      <w:r>
        <w:t xml:space="preserve">Según Barker: más de una respuesta y otro idioma</w:t>
      </w:r>
    </w:p>
    <w:p>
      <w:pPr>
        <w:pStyle w:val="Normal"/>
      </w:pPr>
      <w:r>
        <w:t xml:space="preserve">Siempre hay más de una respuesta correcta (hasta en matemáticas hay varios algoritmos); la respuesta «correcta» de cada uno depende de sus supuestos; ante otra respuesta, atender qué tiene de diferente sabiendo que no es incorrecta.</w:t>
      </w:r>
    </w:p>
    <w:p>
      <w:pPr>
        <w:pStyle w:val="Normal"/>
      </w:pPr>
      <w:r>
        <w:t xml:space="preserve">Otro paradigma es otro idioma: aprenderlo, adoptar esa perspectiva, ver puntos comunes y divergentes y formar un paradigma más amplio que cubra ambos. Ante datos que contradicen lo que uno sabe, observar: evaluar el otro punto de vista e integrar lo valioso.</w:t>
      </w:r>
    </w:p>
    <w:p>
      <w:pPr>
        <w:pStyle w:val="Fuente"/>
      </w:pPr>
      <w:r>
        <w:t xml:space="preserve">Clase 2 · 01:00:15–01:06:09 · Clase 2 · 01:11:50–01:13:34 · Clase 2 · 01:17:07–01:18:28</w:t>
      </w:r>
    </w:p>
    <w:p>
      <w:pPr>
        <w:pStyle w:val="Heading3"/>
      </w:pPr>
      <w:r>
        <w:t xml:space="preserve">Subjetiva, objetiva y las conclusiones sobre Nogués</w:t>
      </w:r>
    </w:p>
    <w:p>
      <w:pPr>
        <w:pStyle w:val="Normal"/>
      </w:pPr>
      <w:r>
        <w:t xml:space="preserve">Perspectiva subjetiva: apreciación personal desde un rol dentro del sistema; objetiva: ver el sistema desde fuera; el pensamiento sistémico usa las dos. Según O'Connor no hay objetividad definitiva, porque no es posible salirse del sistema del que uno forma parte; cambiando de perspectiva se suspende la subjetiva hacia «la película completa».</w:t>
      </w:r>
    </w:p>
    <w:p>
      <w:pPr>
        <w:pStyle w:val="Normal"/>
      </w:pPr>
      <w:r>
        <w:t xml:space="preserve">Del video TEDx de Guadalupe Nogués (tarea del curso): tribalismo, e ideas y personas como dos sistemas diferentes. Tres conclusiones: pluralismo; escuchar, no sólo argumentar, para conocer la escalera y los supuestos de otros; distinguir ideas de personas.</w:t>
      </w:r>
    </w:p>
    <w:p>
      <w:pPr>
        <w:pStyle w:val="Normal"/>
      </w:pPr>
      <w:r>
        <w:t xml:space="preserve">Hablar sólo con quien piensa igual deja un único punto de vista y lleva al efecto paradigma y a la parálisis de paradigma; se atacan ideas, no personas.</w:t>
      </w:r>
    </w:p>
    <w:p>
      <w:pPr>
        <w:pStyle w:val="Fuente"/>
      </w:pPr>
      <w:r>
        <w:t xml:space="preserve">Clase 5 · 00:36:44–00:39:02 · Clase 5 · 01:17:45–01:21:29 · Clase 6 · 00:09:32–00:09:55 · Clase 6 · 00:34:47–00:40:14 · lámina c5-13 · lámina c6-05</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Procedimiento</w:t>
            </w:r>
          </w:p>
          <w:p>
            <w:pPr>
              <w:pStyle w:val="Recuadro"/>
            </w:pPr>
            <w:r>
              <w:t xml:space="preserve">Cómo cambiar de perspectiva y dialogar con quien piensa distinto</w:t>
            </w:r>
          </w:p>
          <w:p>
            <w:pPr>
              <w:pStyle w:val="Recuadro"/>
            </w:pPr>
            <w:r>
              <w:t xml:space="preserve">1. </w:t>
            </w:r>
            <w:r>
              <w:rPr>
                <w:b/>
                <w:bCs/>
              </w:rPr>
              <w:t xml:space="preserve">Reconocer otras formas de percibir.</w:t>
            </w:r>
            <w:r>
              <w:t xml:space="preserve"> Ser consciente de que hay distintas formas de percibir la misma realidad; considerar otras perspectivas: personas, grupos, «entidades inteligentes». (Clase 5 · 00:09:25–00:09:42 · Clase 7 · 00:57:27–00:58:18)</w:t>
            </w:r>
          </w:p>
          <w:p>
            <w:pPr>
              <w:pStyle w:val="Recuadro"/>
            </w:pPr>
            <w:r>
              <w:t xml:space="preserve">2. </w:t>
            </w:r>
            <w:r>
              <w:rPr>
                <w:b/>
                <w:bCs/>
              </w:rPr>
              <w:t xml:space="preserve">Suspender el juicio y la propia escalera.</w:t>
            </w:r>
            <w:r>
              <w:t xml:space="preserve"> Suspender tempranamente el juicio personal y la propia escalera, e interpretar con los elementos de la otra parte, como leer el informe de Elena y Tom con los ojos del vendedor. (Clase 5 · 00:16:51–00:17:31 · Clase 7 · 01:13:04–01:13:25)</w:t>
            </w:r>
          </w:p>
          <w:p>
            <w:pPr>
              <w:pStyle w:val="Recuadro"/>
            </w:pPr>
            <w:r>
              <w:t xml:space="preserve">3. </w:t>
            </w:r>
            <w:r>
              <w:rPr>
                <w:b/>
                <w:bCs/>
              </w:rPr>
              <w:t xml:space="preserve">Escuchar e indagar los supuestos.</w:t>
            </w:r>
            <w:r>
              <w:t xml:space="preserve"> Escuchar las razones de la otra escalera y validar o debatir con información concreta; identificar los supuestos de cada interpretación y evaluar su validez. (Clase 4 · 01:27:29–01:27:54 · Clase 4 · 01:28:56–01:29:32 · Clase 5 · 00:09:34–00:10:06 · Clase 5 · 00:17:23–00:18:32)</w:t>
            </w:r>
          </w:p>
          <w:p>
            <w:pPr>
              <w:pStyle w:val="Recuadro"/>
            </w:pPr>
            <w:r>
              <w:t xml:space="preserve">4. </w:t>
            </w:r>
            <w:r>
              <w:rPr>
                <w:b/>
                <w:bCs/>
              </w:rPr>
              <w:t xml:space="preserve">Dar validez parcial.</w:t>
            </w:r>
            <w:r>
              <w:t xml:space="preserve"> Dar validez parcial a lo que la tenga, aclarando lo que no la tiene. (Clase 5 · 00:18:41–00:19:07)</w:t>
            </w:r>
          </w:p>
          <w:p>
            <w:pPr>
              <w:pStyle w:val="Recuadro"/>
            </w:pPr>
            <w:r>
              <w:t xml:space="preserve">5. </w:t>
            </w:r>
            <w:r>
              <w:rPr>
                <w:b/>
                <w:bCs/>
              </w:rPr>
              <w:t xml:space="preserve">Volver a la propia e integrar.</w:t>
            </w:r>
            <w:r>
              <w:t xml:space="preserve"> Volver a la perspectiva original, comparar qué ya se había considerado y qué no, e integrar los supuestos válidos que faltaban. (Clase 5 · 00:09:58–00:10:21 · Clase 5 · 00:18:57–00:19:38 · Clase 7 · 01:13:19–01:13:56)</w:t>
            </w:r>
          </w:p>
          <w:p>
            <w:pPr>
              <w:pStyle w:val="Recuadro"/>
            </w:pPr>
            <w:r>
              <w:t xml:space="preserve">A más perspectivas integradas, representación más holística; se identifican al final porque exigen tener la propia para comparar, y aun con pensamiento sistémico uno ve sólo lo que su conocimiento permite.</w:t>
            </w:r>
          </w:p>
        </w:tc>
      </w:tr>
    </w:tbl>
    <w:p>
      <w:pPr>
        <w:pStyle w:val="Heading3"/>
      </w:pPr>
      <w:r>
        <w:t xml:space="preserve">Lo que dicen las presentaciones</w:t>
      </w:r>
    </w:p>
    <w:p>
      <w:pPr>
        <w:pStyle w:val="Heading3"/>
      </w:pPr>
      <w:bookmarkStart w:name="b_pagina_1_5_C_5_p2" w:id="744"/>
      <w:r>
        <w:t xml:space="preserve">C-5 · página 2 · Programa y planificación de la Unidad 1</w:t>
      </w:r>
      <w:bookmarkEnd w:id="744"/>
    </w:p>
    <w:p>
      <w:pPr>
        <w:pStyle w:val="Normal"/>
      </w:pPr>
      <w:r>
        <w:t xml:space="preserve">Los ocho temas de la unidad y la planificación histórica de julio.</w:t>
      </w:r>
    </w:p>
    <w:p>
      <w:bookmarkStart w:name="b_punto_c5_p002_05" w:id="745"/>
      <w:r>
        <w:t xml:space="preserve">1.5 Perspectivas y sistemas abstractos diseñados.</w:t>
      </w:r>
      <w:bookmarkEnd w:id="745"/>
    </w:p>
    <w:p>
      <w:pPr>
        <w:pStyle w:val="Fuente"/>
      </w:pPr>
      <w:r>
        <w:t xml:space="preserve">Véase </w:t>
      </w:r>
      <w:hyperlink w:history="1" w:anchor="b_1_1">
        <w:r>
          <w:rPr>
            <w:color w:val="156B70"/>
            <w:u w:val="single"/>
          </w:rPr>
          <w:t xml:space="preserve">capítulo 1.1 · Paradigmas y modelos mentales</w:t>
        </w:r>
      </w:hyperlink>
      <w:r>
        <w:t xml:space="preserve">, pág. </w:t>
      </w:r>
      <w:r>
        <w:fldChar w:fldCharType="begin"/>
        <w:instrText xml:space="preserve">PAGEREF b_1_1 \h</w:instrText>
        <w:fldChar w:fldCharType="separate"/>
        <w:t xml:space="preserve">19</w:t>
        <w:fldChar w:fldCharType="end"/>
      </w:r>
      <w:r>
        <w:t xml:space="preserve">.</w:t>
      </w:r>
    </w:p>
    <w:p>
      <w:pPr>
        <w:pStyle w:val="Fuente"/>
      </w:pPr>
      <w:r>
        <w:t xml:space="preserve">Véase </w:t>
      </w:r>
      <w:hyperlink w:history="1" w:anchor="b_1_2">
        <w:r>
          <w:rPr>
            <w:color w:val="156B70"/>
            <w:u w:val="single"/>
          </w:rPr>
          <w:t xml:space="preserve">capítulo 1.2 · Escalera de inferencias</w:t>
        </w:r>
      </w:hyperlink>
      <w:r>
        <w:t xml:space="preserve">, pág. </w:t>
      </w:r>
      <w:r>
        <w:fldChar w:fldCharType="begin"/>
        <w:instrText xml:space="preserve">PAGEREF b_1_2 \h</w:instrText>
        <w:fldChar w:fldCharType="separate"/>
        <w:t xml:space="preserve">55</w:t>
        <w:fldChar w:fldCharType="end"/>
      </w:r>
      <w:r>
        <w:t xml:space="preserve">.</w:t>
      </w:r>
    </w:p>
    <w:p>
      <w:pPr>
        <w:pStyle w:val="Fuente"/>
      </w:pPr>
      <w:r>
        <w:t xml:space="preserve">Véase </w:t>
      </w:r>
      <w:hyperlink w:history="1" w:anchor="b_1_3">
        <w:r>
          <w:rPr>
            <w:color w:val="156B70"/>
            <w:u w:val="single"/>
          </w:rPr>
          <w:t xml:space="preserve">capítulo 1.3 · El paradigma de sistemas</w:t>
        </w:r>
      </w:hyperlink>
      <w:r>
        <w:t xml:space="preserve">, pág. </w:t>
      </w:r>
      <w:r>
        <w:fldChar w:fldCharType="begin"/>
        <w:instrText xml:space="preserve">PAGEREF b_1_3 \h</w:instrText>
        <w:fldChar w:fldCharType="separate"/>
        <w:t xml:space="preserve">83</w:t>
        <w:fldChar w:fldCharType="end"/>
      </w:r>
      <w:r>
        <w:t xml:space="preserve">.</w:t>
      </w:r>
    </w:p>
    <w:p>
      <w:pPr>
        <w:pStyle w:val="Fuente"/>
      </w:pPr>
      <w:r>
        <w:t xml:space="preserve">Véase </w:t>
      </w:r>
      <w:hyperlink w:history="1" w:anchor="b_1_4">
        <w:r>
          <w:rPr>
            <w:color w:val="156B70"/>
            <w:u w:val="single"/>
          </w:rPr>
          <w:t xml:space="preserve">capítulo 1.4 · Sistémico vs no sistémico</w:t>
        </w:r>
      </w:hyperlink>
      <w:r>
        <w:t xml:space="preserve">, pág. </w:t>
      </w:r>
      <w:r>
        <w:fldChar w:fldCharType="begin"/>
        <w:instrText xml:space="preserve">PAGEREF b_1_4 \h</w:instrText>
        <w:fldChar w:fldCharType="separate"/>
        <w:t xml:space="preserve">104</w:t>
        <w:fldChar w:fldCharType="end"/>
      </w:r>
      <w:r>
        <w:t xml:space="preserve">.</w:t>
      </w:r>
    </w:p>
    <w:p>
      <w:pPr>
        <w:pStyle w:val="Fuente"/>
      </w:pPr>
      <w:r>
        <w:t xml:space="preserve">Véase </w:t>
      </w:r>
      <w:hyperlink w:history="1" w:anchor="b_1_6">
        <w:r>
          <w:rPr>
            <w:color w:val="156B70"/>
            <w:u w:val="single"/>
          </w:rPr>
          <w:t xml:space="preserve">capítulo 1.6 · Operaciones DSRP</w:t>
        </w:r>
      </w:hyperlink>
      <w:r>
        <w:t xml:space="preserve">, pág. </w:t>
      </w:r>
      <w:r>
        <w:fldChar w:fldCharType="begin"/>
        <w:instrText xml:space="preserve">PAGEREF b_1_6 \h</w:instrText>
        <w:fldChar w:fldCharType="separate"/>
        <w:t xml:space="preserve">150</w:t>
        <w:fldChar w:fldCharType="end"/>
      </w:r>
      <w:r>
        <w:t xml:space="preserve">.</w:t>
      </w:r>
    </w:p>
    <w:p>
      <w:pPr>
        <w:pStyle w:val="Fuente"/>
      </w:pPr>
      <w:r>
        <w:t xml:space="preserve">Véase </w:t>
      </w:r>
      <w:hyperlink w:history="1" w:anchor="b_1_7">
        <w:r>
          <w:rPr>
            <w:color w:val="156B70"/>
            <w:u w:val="single"/>
          </w:rPr>
          <w:t xml:space="preserve">capítulo 1.7 · Niveles — modelo del iceberg</w:t>
        </w:r>
      </w:hyperlink>
      <w:r>
        <w:t xml:space="preserve">, pág. </w:t>
      </w:r>
      <w:r>
        <w:fldChar w:fldCharType="begin"/>
        <w:instrText xml:space="preserve">PAGEREF b_1_7 \h</w:instrText>
        <w:fldChar w:fldCharType="separate"/>
        <w:t xml:space="preserve">175</w:t>
        <w:fldChar w:fldCharType="end"/>
      </w:r>
      <w:r>
        <w:t xml:space="preserve">.</w:t>
      </w:r>
    </w:p>
    <w:p>
      <w:pPr>
        <w:pStyle w:val="Fuente"/>
      </w:pPr>
      <w:r>
        <w:t xml:space="preserve">Véase </w:t>
      </w:r>
      <w:hyperlink w:history="1" w:anchor="b_1_8">
        <w:r>
          <w:rPr>
            <w:color w:val="156B70"/>
            <w:u w:val="single"/>
          </w:rPr>
          <w:t xml:space="preserve">capítulo 1.8 · Hábitos del pensador</w:t>
        </w:r>
      </w:hyperlink>
      <w:r>
        <w:t xml:space="preserve">, pág. </w:t>
      </w:r>
      <w:r>
        <w:fldChar w:fldCharType="begin"/>
        <w:instrText xml:space="preserve">PAGEREF b_1_8 \h</w:instrText>
        <w:fldChar w:fldCharType="separate"/>
        <w:t xml:space="preserve">194</w:t>
        <w:fldChar w:fldCharType="end"/>
      </w:r>
      <w:r>
        <w:t xml:space="preserve">.</w:t>
      </w:r>
    </w:p>
    <w:p>
      <w:pPr>
        <w:pStyle w:val="Heading3"/>
      </w:pPr>
      <w:bookmarkStart w:name="b_pagina_1_5_C_5_p38" w:id="746"/>
      <w:r>
        <w:t xml:space="preserve">C-5 · página 38 · Los modelos mentales determinan la forma de actuar</w:t>
      </w:r>
      <w:bookmarkEnd w:id="746"/>
    </w:p>
    <w:p>
      <w:pPr>
        <w:pStyle w:val="Normal"/>
      </w:pPr>
      <w:r>
        <w:t xml:space="preserve">La adopción de una mascota muestra interpretaciones distintas según experiencia, cultura y creencias.</w:t>
      </w:r>
    </w:p>
    <w:p>
      <w:pPr>
        <w:pStyle w:val="Fuente"/>
      </w:pPr>
      <w:r>
        <w:t xml:space="preserve">Proyección o explicación: Clase 4 · 00:38:01 · captura c4-06.</w:t>
      </w:r>
    </w:p>
    <w:p>
      <w:bookmarkStart w:name="b_punto_c5_p038_03" w:id="747"/>
      <w:r>
        <w:t xml:space="preserve">Diferencias entre los modelos explican interpretaciones y acciones diferentes ante un mismo hecho.</w:t>
      </w:r>
      <w:bookmarkEnd w:id="747"/>
    </w:p>
    <w:p>
      <w:pPr>
        <w:pStyle w:val="Fuente"/>
      </w:pPr>
      <w:r>
        <w:t xml:space="preserve">Véase </w:t>
      </w:r>
      <w:hyperlink w:history="1" w:anchor="b_1_1">
        <w:r>
          <w:rPr>
            <w:color w:val="156B70"/>
            <w:u w:val="single"/>
          </w:rPr>
          <w:t xml:space="preserve">capítulo 1.1 · Paradigmas y modelos mentales</w:t>
        </w:r>
      </w:hyperlink>
      <w:r>
        <w:t xml:space="preserve">, pág. </w:t>
      </w:r>
      <w:r>
        <w:fldChar w:fldCharType="begin"/>
        <w:instrText xml:space="preserve">PAGEREF b_1_1 \h</w:instrText>
        <w:fldChar w:fldCharType="separate"/>
        <w:t xml:space="preserve">19</w:t>
        <w:fldChar w:fldCharType="end"/>
      </w:r>
      <w:r>
        <w:t xml:space="preserve">.</w:t>
      </w:r>
    </w:p>
    <w:p>
      <w:pPr>
        <w:pStyle w:val="Heading3"/>
      </w:pPr>
      <w:bookmarkStart w:name="b_pagina_1_5_C_5_p45" w:id="748"/>
      <w:r>
        <w:t xml:space="preserve">C-5 · página 45 · Cambia las perspectivas para aumentar la comprensión</w:t>
      </w:r>
      <w:bookmarkEnd w:id="748"/>
    </w:p>
    <w:p>
      <w:pPr>
        <w:pStyle w:val="Normal"/>
      </w:pPr>
      <w:r>
        <w:t xml:space="preserve">Cambiar el lugar desde el que se observa revela información que la mirada inicial había omitido.</w:t>
      </w:r>
    </w:p>
    <w:p>
      <w:pPr>
        <w:pStyle w:val="Fuente"/>
      </w:pPr>
      <w:r>
        <w:t xml:space="preserve">Proyección o explicación: Clase 5 · 00:03:18 · captura c5-02.</w:t>
      </w:r>
    </w:p>
    <w:p>
      <w:bookmarkStart w:name="b_punto_c5_p045_01" w:id="749"/>
      <w:r>
        <w:t xml:space="preserve">Aumentar la comprensión cambiando la forma de ver el sistema.</w:t>
      </w:r>
      <w:bookmarkEnd w:id="749"/>
    </w:p>
    <w:p>
      <w:bookmarkStart w:name="b_punto_c5_p045_02" w:id="750"/>
      <w:r>
        <w:t xml:space="preserve">Preguntarse si se está abierto a otros puntos de vista y cómo estos modifican la comprensión.</w:t>
      </w:r>
      <w:bookmarkEnd w:id="750"/>
    </w:p>
    <w:p>
      <w:bookmarkStart w:name="b_punto_c5_p045_03" w:id="751"/>
      <w:r>
        <w:t xml:space="preserve">Identificar con quién hablar para adquirir otras perspectivas.</w:t>
      </w:r>
      <w:bookmarkEnd w:id="751"/>
    </w:p>
    <w:p>
      <w:bookmarkStart w:name="b_punto_c5_p045_04" w:id="752"/>
      <w:r>
        <w:t xml:space="preserve">Estar dispuesto a cambiar de opinión al aprender otras perspectivas.</w:t>
      </w:r>
      <w:bookmarkEnd w:id="752"/>
    </w:p>
    <w:p>
      <w:bookmarkStart w:name="b_punto_c5_p045_05" w:id="753"/>
      <w:r>
        <w:t xml:space="preserve">La imagen del muro muestra que el punto de observación condiciona lo visible.</w:t>
      </w:r>
      <w:bookmarkEnd w:id="753"/>
    </w:p>
    <w:p>
      <w:pPr>
        <w:pStyle w:val="Heading3"/>
      </w:pPr>
      <w:bookmarkStart w:name="b_pagina_1_5_C_5_p46" w:id="754"/>
      <w:r>
        <w:t xml:space="preserve">C-5 · página 46 · Cambiar perspectivas aumenta la comprensión</w:t>
      </w:r>
      <w:bookmarkEnd w:id="754"/>
    </w:p>
    <w:p>
      <w:pPr>
        <w:pStyle w:val="Normal"/>
      </w:pPr>
      <w:r>
        <w:t xml:space="preserve">La empatía y la suspensión del juicio permiten considerar información y sentimientos ajenos.</w:t>
      </w:r>
    </w:p>
    <w:p>
      <w:pPr>
        <w:pStyle w:val="Fuente"/>
      </w:pPr>
      <w:r>
        <w:t xml:space="preserve">Proyección o explicación: Clase 5 · 00:07:58 · captura c5-03.</w:t>
      </w:r>
    </w:p>
    <w:p>
      <w:pPr>
        <w:keepNext/>
        <w:spacing w:after="40" w:before="150"/>
        <w:jc w:val="center"/>
      </w:pPr>
      <w:bookmarkStart w:name="b_figura_original_pagina_C_5_46" w:id="755"/>
      <w:bookmarkEnd w:id="755"/>
      <w:r>
        <w:drawing>
          <wp:inline distT="0" distB="0" distL="0" distR="0">
            <wp:extent cx="5381625" cy="4162425"/>
            <wp:effectExtent t="0" r="0" b="0" l="0"/>
            <wp:docPr id="15" name="pagina-C-5-46" descr="Presentación C-5, pág. 46" title="Cambiar perspectivas aumenta la comprensió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04" cstate="none"/>
                    <a:srcRect/>
                    <a:stretch>
                      <a:fillRect/>
                    </a:stretch>
                  </pic:blipFill>
                  <pic:spPr bwMode="auto">
                    <a:xfrm>
                      <a:off x="0" y="0"/>
                      <a:ext cx="5381625" cy="4162425"/>
                    </a:xfrm>
                    <a:prstGeom prst="rect">
                      <a:avLst/>
                    </a:prstGeom>
                  </pic:spPr>
                </pic:pic>
              </a:graphicData>
            </a:graphic>
          </wp:inline>
        </w:drawing>
      </w:r>
    </w:p>
    <w:p>
      <w:pPr>
        <w:pStyle w:val="PieFigura"/>
        <w:keepNext/>
      </w:pPr>
      <w:bookmarkStart w:name="b_fig_1_5_1" w:id="756"/>
      <w:r>
        <w:t xml:space="preserve">Figura 1.5.</w:t>
      </w:r>
      <w:fldSimple w:instr="SEQ Figura \r 1 \* ARABIC">
        <w:r>
          <w:t xml:space="preserve">1</w:t>
        </w:r>
      </w:fldSimple>
      <w:r>
        <w:t xml:space="preserve"> · Cambiar perspectivas aumenta la comprensión</w:t>
      </w:r>
      <w:bookmarkEnd w:id="756"/>
    </w:p>
    <w:p>
      <w:pPr>
        <w:pStyle w:val="Fuente"/>
      </w:pPr>
      <w:r>
        <w:t xml:space="preserve">Presentación C-5, pág. 46</w:t>
      </w:r>
    </w:p>
    <w:p>
      <w:bookmarkStart w:name="b_punto_c5_p046_01" w:id="757"/>
      <w:r>
        <w:t xml:space="preserve">La capacidad de cambiar perspectivas sigue desarrollándose en la edad adulta.</w:t>
      </w:r>
      <w:bookmarkEnd w:id="757"/>
    </w:p>
    <w:p>
      <w:bookmarkStart w:name="b_punto_c5_p046_02" w:id="758"/>
      <w:r>
        <w:t xml:space="preserve">Considerar sentimientos y preocupaciones de otras personas y suspender el juicio para ampliar la imagen de la situación.</w:t>
      </w:r>
      <w:bookmarkEnd w:id="758"/>
    </w:p>
    <w:p>
      <w:bookmarkStart w:name="b_punto_c5_p046_03" w:id="759"/>
      <w:r>
        <w:t xml:space="preserve">La empatía tiene una dinámica causal y circular: comprender y apoyar al otro puede producir apoyo recíproco.</w:t>
      </w:r>
      <w:bookmarkEnd w:id="759"/>
    </w:p>
    <w:p>
      <w:pPr>
        <w:pStyle w:val="Heading3"/>
      </w:pPr>
      <w:bookmarkStart w:name="b_pagina_1_5_C_5_p47" w:id="760"/>
      <w:r>
        <w:t xml:space="preserve">C-5 · página 47 · Elena, Tom y la inspección de una casa</w:t>
      </w:r>
      <w:bookmarkEnd w:id="760"/>
    </w:p>
    <w:p>
      <w:pPr>
        <w:pStyle w:val="Normal"/>
      </w:pPr>
      <w:r>
        <w:t xml:space="preserve">El mismo informe genera expectativas distintas en comprador y vendedor; integrar ambas perspectivas evita perder la venta.</w:t>
      </w:r>
    </w:p>
    <w:p>
      <w:pPr>
        <w:pStyle w:val="Fuente"/>
      </w:pPr>
      <w:r>
        <w:t xml:space="preserve">Proyección o explicación: Clase 5 · 00:11:29 · captura c5-04.</w:t>
      </w:r>
    </w:p>
    <w:p>
      <w:pPr>
        <w:keepNext/>
        <w:spacing w:after="40" w:before="150"/>
        <w:jc w:val="center"/>
      </w:pPr>
      <w:bookmarkStart w:name="b_figura_original_pagina_C_5_47" w:id="761"/>
      <w:bookmarkEnd w:id="761"/>
      <w:r>
        <w:drawing>
          <wp:inline distT="0" distB="0" distL="0" distR="0">
            <wp:extent cx="5381625" cy="4162425"/>
            <wp:effectExtent t="0" r="0" b="0" l="0"/>
            <wp:docPr id="16" name="pagina-C-5-47" descr="Presentación C-5, pág. 47" title="Elena, Tom y la inspección de una ca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05" cstate="none"/>
                    <a:srcRect/>
                    <a:stretch>
                      <a:fillRect/>
                    </a:stretch>
                  </pic:blipFill>
                  <pic:spPr bwMode="auto">
                    <a:xfrm>
                      <a:off x="0" y="0"/>
                      <a:ext cx="5381625" cy="4162425"/>
                    </a:xfrm>
                    <a:prstGeom prst="rect">
                      <a:avLst/>
                    </a:prstGeom>
                  </pic:spPr>
                </pic:pic>
              </a:graphicData>
            </a:graphic>
          </wp:inline>
        </w:drawing>
      </w:r>
    </w:p>
    <w:p>
      <w:pPr>
        <w:pStyle w:val="PieFigura"/>
        <w:keepNext/>
      </w:pPr>
      <w:bookmarkStart w:name="b_fig_1_5_2" w:id="762"/>
      <w:r>
        <w:t xml:space="preserve">Figura 1.5.</w:t>
      </w:r>
      <w:fldSimple w:instr="SEQ Figura \n \* ARABIC">
        <w:r>
          <w:t xml:space="preserve">2</w:t>
        </w:r>
      </w:fldSimple>
      <w:r>
        <w:t xml:space="preserve"> · Elena, Tom y la inspección de una casa</w:t>
      </w:r>
      <w:bookmarkEnd w:id="762"/>
    </w:p>
    <w:p>
      <w:pPr>
        <w:pStyle w:val="Fuente"/>
      </w:pPr>
      <w:r>
        <w:t xml:space="preserve">Presentación C-5, pág. 47</w:t>
      </w:r>
    </w:p>
    <w:p>
      <w:bookmarkStart w:name="b_punto_c5_p047_01" w:id="763"/>
      <w:r>
        <w:t xml:space="preserve">Elena y Tom reciben un informe de inspección y esperan que el vendedor atienda toda la lista de reparaciones.</w:t>
      </w:r>
      <w:bookmarkEnd w:id="763"/>
    </w:p>
    <w:p>
      <w:bookmarkStart w:name="b_punto_c5_p047_02" w:id="764"/>
      <w:r>
        <w:t xml:space="preserve">El vendedor interpreta que la ausencia de problemas estructurales valida la preparación de la vivienda y minimiza los detalles.</w:t>
      </w:r>
      <w:bookmarkEnd w:id="764"/>
    </w:p>
    <w:p>
      <w:bookmarkStart w:name="b_punto_c5_p047_03" w:id="765"/>
      <w:r>
        <w:t xml:space="preserve">Aferrarse a las interpretaciones iniciales sobre responsabilidades puede hacer fracasar la venta.</w:t>
      </w:r>
      <w:bookmarkEnd w:id="765"/>
    </w:p>
    <w:p>
      <w:bookmarkStart w:name="b_punto_c5_p047_04" w:id="766"/>
      <w:r>
        <w:t xml:space="preserve">Hacer explícita la perspectiva propia, suspender el juicio y mirar el informe desde el otro punto permite acordar reparaciones razonables.</w:t>
      </w:r>
      <w:bookmarkEnd w:id="766"/>
    </w:p>
    <w:p>
      <w:bookmarkStart w:name="b_punto_c5_p047_05" w:id="767"/>
      <w:r>
        <w:t xml:space="preserve">La auditoría técnica como tercera perspectiva corresponde al aporte oral del profesor, no a una tercera persona descrita por la lámina.</w:t>
      </w:r>
      <w:bookmarkEnd w:id="767"/>
    </w:p>
    <w:p>
      <w:pPr>
        <w:pStyle w:val="Heading3"/>
      </w:pPr>
      <w:bookmarkStart w:name="b_pagina_1_5_C_5_p48" w:id="768"/>
      <w:r>
        <w:t xml:space="preserve">C-5 · página 48 · El diálogo como estrategia de cambio de perspectivas</w:t>
      </w:r>
      <w:bookmarkEnd w:id="768"/>
    </w:p>
    <w:p>
      <w:pPr>
        <w:pStyle w:val="Normal"/>
      </w:pPr>
      <w:r>
        <w:t xml:space="preserve">El diálogo es una disciplina para explorar posibilidades y comprender las perspectivas antes de juzgar.</w:t>
      </w:r>
    </w:p>
    <w:p>
      <w:pPr>
        <w:pStyle w:val="Fuente"/>
      </w:pPr>
      <w:r>
        <w:t xml:space="preserve">Proyección o explicación: Clase 5 · 00:20:10 · captura c5-05.</w:t>
      </w:r>
    </w:p>
    <w:p>
      <w:bookmarkStart w:name="b_punto_c5_p048_01" w:id="769"/>
      <w:r>
        <w:t xml:space="preserve">El diálogo es una estrategia para practicar la apertura deliberada a otras perspectivas.</w:t>
      </w:r>
      <w:bookmarkEnd w:id="769"/>
    </w:p>
    <w:p>
      <w:bookmarkStart w:name="b_punto_c5_p048_02" w:id="770"/>
      <w:r>
        <w:t xml:space="preserve">Distinguir diálogo, discurso informal, discusión, debate y charla ociosa; su propósito es entender en vez de ganar.</w:t>
      </w:r>
      <w:bookmarkEnd w:id="770"/>
    </w:p>
    <w:p>
      <w:bookmarkStart w:name="b_punto_c5_p048_03" w:id="771"/>
      <w:r>
        <w:t xml:space="preserve">Suspender los juicios arraigados y escuchar con intención de comprender el mensaje.</w:t>
      </w:r>
      <w:bookmarkEnd w:id="771"/>
    </w:p>
    <w:p>
      <w:bookmarkStart w:name="b_punto_c5_p048_04" w:id="772"/>
      <w:r>
        <w:t xml:space="preserve">Explorar posibilidades y reunir información antes de defender una decisión o emitir juicio.</w:t>
      </w:r>
      <w:bookmarkEnd w:id="772"/>
    </w:p>
    <w:p>
      <w:bookmarkStart w:name="b_punto_c5_p048_05" w:id="773"/>
      <w:r>
        <w:t xml:space="preserve">El diálogo puede darse entre más de dos personas e incluso como diálogo interior.</w:t>
      </w:r>
      <w:bookmarkEnd w:id="773"/>
    </w:p>
    <w:p>
      <w:pPr>
        <w:pStyle w:val="Heading3"/>
      </w:pPr>
      <w:bookmarkStart w:name="b_pagina_1_5_C_5_p49" w:id="774"/>
      <w:r>
        <w:t xml:space="preserve">C-5 · página 49 · Cómo desarrollar un diálogo</w:t>
      </w:r>
      <w:bookmarkEnd w:id="774"/>
    </w:p>
    <w:p>
      <w:pPr>
        <w:pStyle w:val="Normal"/>
      </w:pPr>
      <w:r>
        <w:t xml:space="preserve">Cinco supuestos y diez reglas ordenan la participación y permiten una conversación abierta.</w:t>
      </w:r>
    </w:p>
    <w:p>
      <w:pPr>
        <w:pStyle w:val="Fuente"/>
      </w:pPr>
      <w:r>
        <w:t xml:space="preserve">Proyección o explicación: Clase 5 · 00:25:09 · captura c5-06.</w:t>
      </w:r>
    </w:p>
    <w:p>
      <w:pPr>
        <w:keepNext/>
        <w:spacing w:after="40" w:before="150"/>
        <w:jc w:val="center"/>
      </w:pPr>
      <w:bookmarkStart w:name="b_figura_original_pagina_C_5_49" w:id="775"/>
      <w:bookmarkEnd w:id="775"/>
      <w:r>
        <w:drawing>
          <wp:inline distT="0" distB="0" distL="0" distR="0">
            <wp:extent cx="5381625" cy="4162425"/>
            <wp:effectExtent t="0" r="0" b="0" l="0"/>
            <wp:docPr id="17" name="pagina-C-5-49" descr="Presentación C-5, pág. 49" title="Cómo desarrollar un diá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06" cstate="none"/>
                    <a:srcRect/>
                    <a:stretch>
                      <a:fillRect/>
                    </a:stretch>
                  </pic:blipFill>
                  <pic:spPr bwMode="auto">
                    <a:xfrm>
                      <a:off x="0" y="0"/>
                      <a:ext cx="5381625" cy="4162425"/>
                    </a:xfrm>
                    <a:prstGeom prst="rect">
                      <a:avLst/>
                    </a:prstGeom>
                  </pic:spPr>
                </pic:pic>
              </a:graphicData>
            </a:graphic>
          </wp:inline>
        </w:drawing>
      </w:r>
    </w:p>
    <w:p>
      <w:pPr>
        <w:pStyle w:val="PieFigura"/>
        <w:keepNext/>
      </w:pPr>
      <w:bookmarkStart w:name="b_fig_1_5_3" w:id="776"/>
      <w:r>
        <w:t xml:space="preserve">Figura 1.5.</w:t>
      </w:r>
      <w:fldSimple w:instr="SEQ Figura \n \* ARABIC">
        <w:r>
          <w:t xml:space="preserve">3</w:t>
        </w:r>
      </w:fldSimple>
      <w:r>
        <w:t xml:space="preserve"> · Cómo desarrollar un diálogo</w:t>
      </w:r>
      <w:bookmarkEnd w:id="776"/>
    </w:p>
    <w:p>
      <w:pPr>
        <w:pStyle w:val="Fuente"/>
      </w:pPr>
      <w:r>
        <w:t xml:space="preserve">Presentación C-5, pág. 49</w:t>
      </w:r>
    </w:p>
    <w:p>
      <w:bookmarkStart w:name="b_punto_c5_p049_01" w:id="777"/>
      <w:r>
        <w:t xml:space="preserve">Formar una estructura que permita interacción directa entre todos.</w:t>
      </w:r>
      <w:bookmarkEnd w:id="777"/>
    </w:p>
    <w:p>
      <w:bookmarkStart w:name="b_punto_c5_p049_02" w:id="778"/>
      <w:r>
        <w:t xml:space="preserve">Partir de que la verdad está repartida entre los participantes.</w:t>
      </w:r>
      <w:bookmarkEnd w:id="778"/>
    </w:p>
    <w:p>
      <w:bookmarkStart w:name="b_punto_c5_p049_03" w:id="779"/>
      <w:r>
        <w:t xml:space="preserve">Estar dispuesto a escuchar a todos con atención.</w:t>
      </w:r>
      <w:bookmarkEnd w:id="779"/>
    </w:p>
    <w:p>
      <w:bookmarkStart w:name="b_punto_c5_p049_04" w:id="780"/>
      <w:r>
        <w:t xml:space="preserve">Dar igual oportunidad de participación a todos.</w:t>
      </w:r>
      <w:bookmarkEnd w:id="780"/>
    </w:p>
    <w:p>
      <w:bookmarkStart w:name="b_punto_c5_p049_05" w:id="781"/>
      <w:r>
        <w:t xml:space="preserve">Crear un ambiente libre de miedo y represalias, basado en respeto.</w:t>
      </w:r>
      <w:bookmarkEnd w:id="781"/>
    </w:p>
    <w:p>
      <w:bookmarkStart w:name="b_punto_c5_p049_06" w:id="782"/>
      <w:r>
        <w:t xml:space="preserve">Nombrar moderador y relator.</w:t>
      </w:r>
      <w:bookmarkEnd w:id="782"/>
    </w:p>
    <w:p>
      <w:bookmarkStart w:name="b_punto_c5_p049_07" w:id="783"/>
      <w:r>
        <w:t xml:space="preserve">Definir el tiempo del diálogo y de cada intervención.</w:t>
      </w:r>
      <w:bookmarkEnd w:id="783"/>
    </w:p>
    <w:p>
      <w:bookmarkStart w:name="b_punto_c5_p049_08" w:id="784"/>
      <w:r>
        <w:t xml:space="preserve">Pedir la palabra levantando la mano.</w:t>
      </w:r>
      <w:bookmarkEnd w:id="784"/>
    </w:p>
    <w:p>
      <w:bookmarkStart w:name="b_punto_c5_p049_09" w:id="785"/>
      <w:r>
        <w:t xml:space="preserve">Expresarse en primera persona del singular.</w:t>
      </w:r>
      <w:bookmarkEnd w:id="785"/>
    </w:p>
    <w:p>
      <w:bookmarkStart w:name="b_punto_c5_p049_10" w:id="786"/>
      <w:r>
        <w:t xml:space="preserve">Escuchar y respetar a quien habla.</w:t>
      </w:r>
      <w:bookmarkEnd w:id="786"/>
    </w:p>
    <w:p>
      <w:bookmarkStart w:name="b_punto_c5_p049_11" w:id="787"/>
      <w:r>
        <w:t xml:space="preserve">Compartir la información que se posee.</w:t>
      </w:r>
      <w:bookmarkEnd w:id="787"/>
    </w:p>
    <w:p>
      <w:bookmarkStart w:name="b_punto_c5_p049_12" w:id="788"/>
      <w:r>
        <w:t xml:space="preserve">Evitar conversaciones paralelas en pequeños grupos.</w:t>
      </w:r>
      <w:bookmarkEnd w:id="788"/>
    </w:p>
    <w:p>
      <w:bookmarkStart w:name="b_punto_c5_p049_13" w:id="789"/>
      <w:r>
        <w:t xml:space="preserve">Excluir la amenaza y la agresión.</w:t>
      </w:r>
      <w:bookmarkEnd w:id="789"/>
    </w:p>
    <w:p>
      <w:bookmarkStart w:name="b_punto_c5_p049_14" w:id="790"/>
      <w:r>
        <w:t xml:space="preserve">Mantener la confidencialidad de lo tratado.</w:t>
      </w:r>
      <w:bookmarkEnd w:id="790"/>
    </w:p>
    <w:p>
      <w:bookmarkStart w:name="b_punto_c5_p049_15" w:id="791"/>
      <w:r>
        <w:t xml:space="preserve">Aportar propuestas como parte de la solución.</w:t>
      </w:r>
      <w:bookmarkEnd w:id="791"/>
    </w:p>
    <w:p>
      <w:pPr>
        <w:pStyle w:val="Heading3"/>
      </w:pPr>
      <w:bookmarkStart w:name="b_pagina_1_5_C_5_p50" w:id="792"/>
      <w:r>
        <w:t xml:space="preserve">C-5 · página 50 · Cómo hablar con otros que piensan distinto</w:t>
      </w:r>
      <w:bookmarkEnd w:id="792"/>
    </w:p>
    <w:p>
      <w:pPr>
        <w:pStyle w:val="Normal"/>
      </w:pPr>
      <w:r>
        <w:t xml:space="preserve">Referencia a la charla de Guadalupe Nogués y a la síntesis que el curso pide elaborar.</w:t>
      </w:r>
    </w:p>
    <w:p>
      <w:pPr>
        <w:pStyle w:val="Fuente"/>
      </w:pPr>
      <w:r>
        <w:t xml:space="preserve">Proyección o explicación: Clase 5 · 00:36:49 · captura c5-07.</w:t>
      </w:r>
    </w:p>
    <w:p>
      <w:bookmarkStart w:name="b_punto_c5_p050_01" w:id="793"/>
      <w:r>
        <w:t xml:space="preserve">La charla de Guadalupe Nogués es el recurso audiovisual para comprender el diálogo entre personas con opiniones distintas.</w:t>
      </w:r>
      <w:bookmarkEnd w:id="793"/>
    </w:p>
    <w:p>
      <w:bookmarkStart w:name="b_punto_c5_p050_02" w:id="794"/>
      <w:r>
        <w:t xml:space="preserve">La síntesis de conclusiones del video se estudia en la tarea de diálogo sin tribalismo.</w:t>
      </w:r>
      <w:bookmarkEnd w:id="794"/>
    </w:p>
    <w:p>
      <w:pPr>
        <w:pStyle w:val="Heading3"/>
      </w:pPr>
      <w:bookmarkStart w:name="b_pagina_1_5_C_5_p52" w:id="795"/>
      <w:r>
        <w:t xml:space="preserve">C-5 · página 52 · Los modelos mentales como sistema</w:t>
      </w:r>
      <w:bookmarkEnd w:id="795"/>
    </w:p>
    <w:p>
      <w:pPr>
        <w:pStyle w:val="Normal"/>
      </w:pPr>
      <w:r>
        <w:t xml:space="preserve">Subsistemas de creencias asociados a distintas parcelas de la realidad se refuerzan al seleccionar la información.</w:t>
      </w:r>
    </w:p>
    <w:p>
      <w:pPr>
        <w:pStyle w:val="Fuente"/>
      </w:pPr>
      <w:r>
        <w:t xml:space="preserve">Proyección o explicación: Clase 5 · 00:51:04 · captura c5-09.</w:t>
      </w:r>
    </w:p>
    <w:p>
      <w:bookmarkStart w:name="b_punto_c5_p052_05" w:id="796"/>
      <w:r>
        <w:t xml:space="preserve">Todo modelo ofrece una perspectiva parcial, condicionada por las creencias propias.</w:t>
      </w:r>
      <w:bookmarkEnd w:id="796"/>
    </w:p>
    <w:p>
      <w:pPr>
        <w:pStyle w:val="Fuente"/>
      </w:pPr>
      <w:r>
        <w:t xml:space="preserve">Véase </w:t>
      </w:r>
      <w:hyperlink w:history="1" w:anchor="b_1_1">
        <w:r>
          <w:rPr>
            <w:color w:val="156B70"/>
            <w:u w:val="single"/>
          </w:rPr>
          <w:t xml:space="preserve">capítulo 1.1 · Paradigmas y modelos mentales</w:t>
        </w:r>
      </w:hyperlink>
      <w:r>
        <w:t xml:space="preserve">, pág. </w:t>
      </w:r>
      <w:r>
        <w:fldChar w:fldCharType="begin"/>
        <w:instrText xml:space="preserve">PAGEREF b_1_1 \h</w:instrText>
        <w:fldChar w:fldCharType="separate"/>
        <w:t xml:space="preserve">19</w:t>
        <w:fldChar w:fldCharType="end"/>
      </w:r>
      <w:r>
        <w:t xml:space="preserve">.</w:t>
      </w:r>
    </w:p>
    <w:p>
      <w:pPr>
        <w:pStyle w:val="Fuente"/>
      </w:pPr>
      <w:r>
        <w:t xml:space="preserve">Véase </w:t>
      </w:r>
      <w:hyperlink w:history="1" w:anchor="b_1_4">
        <w:r>
          <w:rPr>
            <w:color w:val="156B70"/>
            <w:u w:val="single"/>
          </w:rPr>
          <w:t xml:space="preserve">capítulo 1.4 · Sistémico vs no sistémico</w:t>
        </w:r>
      </w:hyperlink>
      <w:r>
        <w:t xml:space="preserve">, pág. </w:t>
      </w:r>
      <w:r>
        <w:fldChar w:fldCharType="begin"/>
        <w:instrText xml:space="preserve">PAGEREF b_1_4 \h</w:instrText>
        <w:fldChar w:fldCharType="separate"/>
        <w:t xml:space="preserve">104</w:t>
        <w:fldChar w:fldCharType="end"/>
      </w:r>
      <w:r>
        <w:t xml:space="preserve">.</w:t>
      </w:r>
    </w:p>
    <w:p>
      <w:pPr>
        <w:pStyle w:val="Heading3"/>
      </w:pPr>
      <w:bookmarkStart w:name="b_pagina_1_5_C_5_p56" w:id="797"/>
      <w:r>
        <w:t xml:space="preserve">C-5 · página 56 · Sobre las perspectivas</w:t>
      </w:r>
      <w:bookmarkEnd w:id="797"/>
    </w:p>
    <w:p>
      <w:pPr>
        <w:pStyle w:val="Normal"/>
      </w:pPr>
      <w:r>
        <w:t xml:space="preserve">El pensamiento sistémico combina perspectivas objetivas y subjetivas; ninguna sale por completo del sistema.</w:t>
      </w:r>
    </w:p>
    <w:p>
      <w:pPr>
        <w:pStyle w:val="Fuente"/>
      </w:pPr>
      <w:r>
        <w:t xml:space="preserve">Proyección o explicación: Clase 5 · 01:17:45 · captura c5-13.</w:t>
      </w:r>
    </w:p>
    <w:p>
      <w:bookmarkStart w:name="b_punto_c5_p056_01" w:id="798"/>
      <w:r>
        <w:t xml:space="preserve">Una perspectiva es un punto de vista.</w:t>
      </w:r>
      <w:bookmarkEnd w:id="798"/>
    </w:p>
    <w:p>
      <w:bookmarkStart w:name="b_punto_c5_p056_02" w:id="799"/>
      <w:r>
        <w:t xml:space="preserve">Integrar distintas perspectivas permite entender relaciones y conjuntos mayores y ampliar los modelos.</w:t>
      </w:r>
      <w:bookmarkEnd w:id="799"/>
    </w:p>
    <w:p>
      <w:bookmarkStart w:name="b_punto_c5_p056_03" w:id="800"/>
      <w:r>
        <w:t xml:space="preserve">El mundo es más rico que cualquier representación que podamos construir.</w:t>
      </w:r>
      <w:bookmarkEnd w:id="800"/>
    </w:p>
    <w:p>
      <w:bookmarkStart w:name="b_punto_c5_p056_04" w:id="801"/>
      <w:r>
        <w:t xml:space="preserve">La visión objetiva contempla el sistema desde fuera y la subjetiva desde dentro; ambas sirven al pensamiento sistémico.</w:t>
      </w:r>
      <w:bookmarkEnd w:id="801"/>
    </w:p>
    <w:p>
      <w:bookmarkStart w:name="b_punto_c5_p056_05" w:id="802"/>
      <w:r>
        <w:t xml:space="preserve">La posición del observador depende de los límites y no existe objetividad definitiva.</w:t>
      </w:r>
      <w:bookmarkEnd w:id="802"/>
    </w:p>
    <w:p>
      <w:bookmarkStart w:name="b_punto_c5_p056_06" w:id="803"/>
      <w:r>
        <w:t xml:space="preserve">La subjetividad comprende la perspectiva propia y la de otros, cuyos modelos también forman parte del sistema.</w:t>
      </w:r>
      <w:bookmarkEnd w:id="803"/>
    </w:p>
    <w:p>
      <w:pPr>
        <w:pStyle w:val="Heading3"/>
      </w:pPr>
      <w:bookmarkStart w:name="b_pagina_1_5_C_5_p57" w:id="804"/>
      <w:r>
        <w:t xml:space="preserve">C-5 · página 57 · Película completa y vista del espectador</w:t>
      </w:r>
      <w:bookmarkEnd w:id="804"/>
    </w:p>
    <w:p>
      <w:pPr>
        <w:pStyle w:val="Normal"/>
      </w:pPr>
      <w:r>
        <w:t xml:space="preserve">Los espectadores ven la figura formada por una banda; sus integrantes atienden a señales locales y deben imaginar el conjunto.</w:t>
      </w:r>
    </w:p>
    <w:p>
      <w:pPr>
        <w:pStyle w:val="Fuente"/>
      </w:pPr>
      <w:r>
        <w:t xml:space="preserve">Proyección o explicación: Clase 5 · 01:21:44 · captura c5-14.</w:t>
      </w:r>
    </w:p>
    <w:p>
      <w:bookmarkStart w:name="b_punto_c5_p057_01" w:id="805"/>
      <w:r>
        <w:t xml:space="preserve">Cada miembro de una banda realiza un papel local en una formación cuyo patrón se aprecia desde las gradas.</w:t>
      </w:r>
      <w:bookmarkEnd w:id="805"/>
    </w:p>
    <w:p>
      <w:bookmarkStart w:name="b_punto_c5_p057_02" w:id="806"/>
      <w:r>
        <w:t xml:space="preserve">El espectador puede observar las figuras y las desalineaciones que el integrante local no aprecia directamente.</w:t>
      </w:r>
      <w:bookmarkEnd w:id="806"/>
    </w:p>
    <w:p>
      <w:bookmarkStart w:name="b_punto_c5_p057_03" w:id="807"/>
      <w:r>
        <w:t xml:space="preserve">Los músicos observan vecinos, marcas y director; imaginar el conjunto complementa su observación local.</w:t>
      </w:r>
      <w:bookmarkEnd w:id="807"/>
    </w:p>
    <w:p>
      <w:bookmarkStart w:name="b_punto_c5_p057_04" w:id="808"/>
      <w:r>
        <w:t xml:space="preserve">La vista panorámica gana la totalidad y pierde detalles: combinar análisis y síntesis evita privilegiar una sola.</w:t>
      </w:r>
      <w:bookmarkEnd w:id="808"/>
    </w:p>
    <w:p>
      <w:pPr>
        <w:pStyle w:val="Heading3"/>
      </w:pPr>
      <w:bookmarkStart w:name="b_pagina_1_5_C_5_p63" w:id="809"/>
      <w:r>
        <w:t xml:space="preserve">C-5 · página 63 · Conclusiones para conversar con quien piensa distinto</w:t>
      </w:r>
      <w:bookmarkEnd w:id="809"/>
    </w:p>
    <w:p>
      <w:pPr>
        <w:pStyle w:val="Normal"/>
      </w:pPr>
      <w:r>
        <w:t xml:space="preserve">Pluralismo, escucha e indagación y separación entre ideas y personas cierran el tema de perspectivas.</w:t>
      </w:r>
    </w:p>
    <w:p>
      <w:pPr>
        <w:pStyle w:val="Fuente"/>
      </w:pPr>
      <w:r>
        <w:t xml:space="preserve">Proyección o explicación: Clase 6 · 00:37:54 · captura c6-05.</w:t>
      </w:r>
    </w:p>
    <w:p>
      <w:bookmarkStart w:name="b_punto_c5_p063_01" w:id="810"/>
      <w:r>
        <w:t xml:space="preserve">Promover pluralismo e intercambio entre puntos de vista diferentes sobre un tema, problema o sistema.</w:t>
      </w:r>
      <w:bookmarkEnd w:id="810"/>
    </w:p>
    <w:p>
      <w:bookmarkStart w:name="b_punto_c5_p063_02" w:id="811"/>
      <w:r>
        <w:t xml:space="preserve">Escuchar e indagar la opinión del otro además de argumentar; conocer sus datos y su escalera de inferencias.</w:t>
      </w:r>
      <w:bookmarkEnd w:id="811"/>
    </w:p>
    <w:p>
      <w:bookmarkStart w:name="b_punto_c5_p063_03" w:id="812"/>
      <w:r>
        <w:t xml:space="preserve">Separar las ideas de las personas: respetar a la persona y someter las creencias a prueba.</w:t>
      </w:r>
      <w:bookmarkEnd w:id="812"/>
    </w:p>
    <w:p>
      <w:pPr>
        <w:pStyle w:val="Fuente"/>
      </w:pPr>
      <w:r>
        <w:t xml:space="preserve">Véase </w:t>
      </w:r>
      <w:hyperlink w:history="1" w:anchor="b_1_8">
        <w:r>
          <w:rPr>
            <w:color w:val="156B70"/>
            <w:u w:val="single"/>
          </w:rPr>
          <w:t xml:space="preserve">capítulo 1.8 · Hábitos del pensador</w:t>
        </w:r>
      </w:hyperlink>
      <w:r>
        <w:t xml:space="preserve">, pág. </w:t>
      </w:r>
      <w:r>
        <w:fldChar w:fldCharType="begin"/>
        <w:instrText xml:space="preserve">PAGEREF b_1_8 \h</w:instrText>
        <w:fldChar w:fldCharType="separate"/>
        <w:t xml:space="preserve">194</w:t>
        <w:fldChar w:fldCharType="end"/>
      </w:r>
      <w:r>
        <w:t xml:space="preserve">.</w:t>
      </w:r>
    </w:p>
    <w:p>
      <w:pPr>
        <w:pStyle w:val="Heading3"/>
      </w:pPr>
      <w:bookmarkStart w:name="b_pagina_1_5_C_6_p22" w:id="813"/>
      <w:r>
        <w:t xml:space="preserve">C-6 · página 22 · Perspectivas (P)</w:t>
      </w:r>
      <w:bookmarkEnd w:id="813"/>
    </w:p>
    <w:p>
      <w:pPr>
        <w:pStyle w:val="Normal"/>
      </w:pPr>
      <w:r>
        <w:t xml:space="preserve">Punto y vista; sombras de un mismo objeto y dos observadores de una idea.</w:t>
      </w:r>
    </w:p>
    <w:p>
      <w:pPr>
        <w:pStyle w:val="Fuente"/>
      </w:pPr>
      <w:r>
        <w:t xml:space="preserve">Proyección o explicación: Clase 7 · 00:56:01 · captura c7-09.</w:t>
      </w:r>
    </w:p>
    <w:p>
      <w:pPr>
        <w:keepNext/>
        <w:spacing w:after="40" w:before="150"/>
        <w:jc w:val="center"/>
      </w:pPr>
      <w:bookmarkStart w:name="b_figura_original_pagina_C_6_22" w:id="814"/>
      <w:bookmarkEnd w:id="814"/>
      <w:r>
        <w:drawing>
          <wp:inline distT="0" distB="0" distL="0" distR="0">
            <wp:extent cx="5381625" cy="4162425"/>
            <wp:effectExtent t="0" r="0" b="0" l="0"/>
            <wp:docPr id="18" name="pagina-C-6-22" descr="Presentación C-6, pág. 22" title="Perspectivas (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07" cstate="none"/>
                    <a:srcRect/>
                    <a:stretch>
                      <a:fillRect/>
                    </a:stretch>
                  </pic:blipFill>
                  <pic:spPr bwMode="auto">
                    <a:xfrm>
                      <a:off x="0" y="0"/>
                      <a:ext cx="5381625" cy="4162425"/>
                    </a:xfrm>
                    <a:prstGeom prst="rect">
                      <a:avLst/>
                    </a:prstGeom>
                  </pic:spPr>
                </pic:pic>
              </a:graphicData>
            </a:graphic>
          </wp:inline>
        </w:drawing>
      </w:r>
    </w:p>
    <w:p>
      <w:pPr>
        <w:pStyle w:val="PieFigura"/>
        <w:keepNext/>
      </w:pPr>
      <w:bookmarkStart w:name="b_fig_1_5_4" w:id="815"/>
      <w:r>
        <w:t xml:space="preserve">Figura 1.5.</w:t>
      </w:r>
      <w:fldSimple w:instr="SEQ Figura \n \* ARABIC">
        <w:r>
          <w:t xml:space="preserve">4</w:t>
        </w:r>
      </w:fldSimple>
      <w:r>
        <w:t xml:space="preserve"> · Perspectivas (P)</w:t>
      </w:r>
      <w:bookmarkEnd w:id="815"/>
    </w:p>
    <w:p>
      <w:pPr>
        <w:pStyle w:val="Fuente"/>
      </w:pPr>
      <w:r>
        <w:t xml:space="preserve">Presentación C-6, pág. 22</w:t>
      </w:r>
    </w:p>
    <w:p>
      <w:bookmarkStart w:name="b_punto_c6_p022_01" w:id="816"/>
      <w:r>
        <w:t xml:space="preserve">Una misma figura tridimensional proyecta círculo o cuadrado según el punto de observación.</w:t>
      </w:r>
      <w:bookmarkEnd w:id="816"/>
    </w:p>
    <w:p>
      <w:bookmarkStart w:name="b_punto_c6_p022_02" w:id="817"/>
      <w:r>
        <w:t xml:space="preserve">Una perspectiva combina punto desde el que se observa y cosa vista.</w:t>
      </w:r>
      <w:bookmarkEnd w:id="817"/>
    </w:p>
    <w:p>
      <w:bookmarkStart w:name="b_punto_c6_p022_03" w:id="818"/>
      <w:r>
        <w:t xml:space="preserve">Las ideas A y B pueden ser puntos diferentes que observan C.</w:t>
      </w:r>
      <w:bookmarkEnd w:id="818"/>
    </w:p>
    <w:p>
      <w:pPr>
        <w:pStyle w:val="Fuente"/>
      </w:pPr>
      <w:r>
        <w:t xml:space="preserve">Véase </w:t>
      </w:r>
      <w:hyperlink w:history="1" w:anchor="b_1_6">
        <w:r>
          <w:rPr>
            <w:color w:val="156B70"/>
            <w:u w:val="single"/>
          </w:rPr>
          <w:t xml:space="preserve">capítulo 1.6 · Operaciones DSRP</w:t>
        </w:r>
      </w:hyperlink>
      <w:r>
        <w:t xml:space="preserve">, pág. </w:t>
      </w:r>
      <w:r>
        <w:fldChar w:fldCharType="begin"/>
        <w:instrText xml:space="preserve">PAGEREF b_1_6 \h</w:instrText>
        <w:fldChar w:fldCharType="separate"/>
        <w:t xml:space="preserve">150</w:t>
        <w:fldChar w:fldCharType="end"/>
      </w:r>
      <w:r>
        <w:t xml:space="preserve">.</w:t>
      </w:r>
    </w:p>
    <w:p>
      <w:pPr>
        <w:pStyle w:val="Heading3"/>
      </w:pPr>
      <w:bookmarkStart w:name="b_pagina_1_5_C_6_p39" w:id="819"/>
      <w:r>
        <w:t xml:space="preserve">C-6 · página 39 · El bosque modelado con DSRP</w:t>
      </w:r>
      <w:bookmarkEnd w:id="819"/>
    </w:p>
    <w:p>
      <w:pPr>
        <w:pStyle w:val="Normal"/>
      </w:pPr>
      <w:r>
        <w:t xml:space="preserve">El caso delimita el bosque, organiza seres y entorno, describe intercambios y compara cuatro perspectivas.</w:t>
      </w:r>
    </w:p>
    <w:p>
      <w:pPr>
        <w:pStyle w:val="Fuente"/>
      </w:pPr>
      <w:r>
        <w:t xml:space="preserve">Proyección o explicación: Clase 8 · 00:04:46 · captura c8-02.</w:t>
      </w:r>
    </w:p>
    <w:p>
      <w:pPr>
        <w:pStyle w:val="Fuente"/>
      </w:pPr>
      <w:r>
        <w:t xml:space="preserve">Véase </w:t>
      </w:r>
      <w:hyperlink w:history="1" w:anchor="b_figura_original_pagina_C_6_39">
        <w:r>
          <w:rPr>
            <w:color w:val="156B70"/>
            <w:u w:val="single"/>
          </w:rPr>
          <w:t xml:space="preserve">imagen de C-6, página 39</w:t>
        </w:r>
      </w:hyperlink>
      <w:r>
        <w:t xml:space="preserve">, pág. </w:t>
      </w:r>
      <w:r>
        <w:fldChar w:fldCharType="begin"/>
        <w:instrText xml:space="preserve">PAGEREF b_figura_original_pagina_C_6_39 \h</w:instrText>
        <w:fldChar w:fldCharType="separate"/>
        <w:t xml:space="preserve">160</w:t>
        <w:fldChar w:fldCharType="end"/>
      </w:r>
      <w:r>
        <w:t xml:space="preserve">.</w:t>
      </w:r>
    </w:p>
    <w:p>
      <w:bookmarkStart w:name="b_punto_c6_p039_07" w:id="820"/>
      <w:r>
        <w:t xml:space="preserve">P ecológica: equilibrio dinámico y biodiversidad; P económica: recursos y capital natural gestionado sosteniblemente.</w:t>
      </w:r>
      <w:bookmarkEnd w:id="820"/>
    </w:p>
    <w:p>
      <w:bookmarkStart w:name="b_punto_c6_p039_08" w:id="821"/>
      <w:r>
        <w:t xml:space="preserve">P cultural o indígena: territorio sagrado, identidad y cosmovisión; P climática: sumidero de carbono y regulación hídrica/climática.</w:t>
      </w:r>
      <w:bookmarkEnd w:id="821"/>
    </w:p>
    <w:p>
      <w:pPr>
        <w:pStyle w:val="Fuente"/>
      </w:pPr>
      <w:r>
        <w:t xml:space="preserve">Véase </w:t>
      </w:r>
      <w:hyperlink w:history="1" w:anchor="b_1_6">
        <w:r>
          <w:rPr>
            <w:color w:val="156B70"/>
            <w:u w:val="single"/>
          </w:rPr>
          <w:t xml:space="preserve">capítulo 1.6 · Operaciones DSRP</w:t>
        </w:r>
      </w:hyperlink>
      <w:r>
        <w:t xml:space="preserve">, pág. </w:t>
      </w:r>
      <w:r>
        <w:fldChar w:fldCharType="begin"/>
        <w:instrText xml:space="preserve">PAGEREF b_1_6 \h</w:instrText>
        <w:fldChar w:fldCharType="separate"/>
        <w:t xml:space="preserve">150</w:t>
        <w:fldChar w:fldCharType="end"/>
      </w:r>
      <w:r>
        <w:t xml:space="preserve">.</w:t>
      </w:r>
    </w:p>
    <w:p>
      <w:pPr>
        <w:pStyle w:val="Fuente"/>
      </w:pPr>
      <w:r>
        <w:t xml:space="preserve">Véase </w:t>
      </w:r>
      <w:hyperlink w:history="1" w:anchor="b_2_3">
        <w:r>
          <w:rPr>
            <w:color w:val="156B70"/>
            <w:u w:val="single"/>
          </w:rPr>
          <w:t xml:space="preserve">capítulo 2.3 · Estructura de los sistemas</w:t>
        </w:r>
      </w:hyperlink>
      <w:r>
        <w:t xml:space="preserve">, pág. </w:t>
      </w:r>
      <w:r>
        <w:fldChar w:fldCharType="begin"/>
        <w:instrText xml:space="preserve">PAGEREF b_2_3 \h</w:instrText>
        <w:fldChar w:fldCharType="separate"/>
        <w:t xml:space="preserve">259</w:t>
        <w:fldChar w:fldCharType="end"/>
      </w:r>
      <w:r>
        <w:t xml:space="preserve">.</w:t>
      </w:r>
    </w:p>
    <w:p>
      <w:pPr>
        <w:pStyle w:val="Fuente"/>
      </w:pPr>
      <w:r>
        <w:t xml:space="preserve">Véase </w:t>
      </w:r>
      <w:hyperlink w:history="1" w:anchor="b_2_4">
        <w:r>
          <w:rPr>
            <w:color w:val="156B70"/>
            <w:u w:val="single"/>
          </w:rPr>
          <w:t xml:space="preserve">capítulo 2.4 · Sub y suprasistemas</w:t>
        </w:r>
      </w:hyperlink>
      <w:r>
        <w:t xml:space="preserve">, pág. </w:t>
      </w:r>
      <w:r>
        <w:fldChar w:fldCharType="begin"/>
        <w:instrText xml:space="preserve">PAGEREF b_2_4 \h</w:instrText>
        <w:fldChar w:fldCharType="separate"/>
        <w:t xml:space="preserve">277</w:t>
        <w:fldChar w:fldCharType="end"/>
      </w:r>
      <w:r>
        <w:t xml:space="preserve">.</w:t>
      </w:r>
    </w:p>
    <w:p>
      <w:pPr>
        <w:pStyle w:val="Heading3"/>
      </w:pPr>
      <w:bookmarkStart w:name="b_pagina_1_5_C_6_p50" w:id="822"/>
      <w:r>
        <w:t xml:space="preserve">C-6 · página 50 · Resumen de conceptos iniciales de la teoría de sistemas</w:t>
      </w:r>
      <w:bookmarkEnd w:id="822"/>
    </w:p>
    <w:p>
      <w:pPr>
        <w:pStyle w:val="Normal"/>
      </w:pPr>
      <w:r>
        <w:t xml:space="preserve">Ocho afirmaciones reúnen totalidad, relaciones, jerarquía, emergencia, análisis, síntesis y DSRP.</w:t>
      </w:r>
    </w:p>
    <w:p>
      <w:pPr>
        <w:pStyle w:val="Fuente"/>
      </w:pPr>
      <w:r>
        <w:t xml:space="preserve">Proyección o explicación: Clase 8 · 00:50:47 · captura c8-16.</w:t>
      </w:r>
    </w:p>
    <w:p>
      <w:bookmarkStart w:name="b_punto_c6_p050_02" w:id="823"/>
      <w:r>
        <w:t xml:space="preserve">El comportamiento depende de cómo se relacionan partes, y principios comunes sirven para sistemas distintos.</w:t>
      </w:r>
      <w:bookmarkEnd w:id="823"/>
    </w:p>
    <w:p>
      <w:bookmarkStart w:name="b_punto_c6_p050_09" w:id="824"/>
      <w:r>
        <w:t xml:space="preserve">El punto de vista puede ser subjetivo de un rol u objetivo como visión externa, sin eliminar al modelizador.</w:t>
      </w:r>
      <w:bookmarkEnd w:id="824"/>
    </w:p>
    <w:p>
      <w:pPr>
        <w:pStyle w:val="Fuente"/>
      </w:pPr>
      <w:r>
        <w:t xml:space="preserve">Véase </w:t>
      </w:r>
      <w:hyperlink w:history="1" w:anchor="b_2_2">
        <w:r>
          <w:rPr>
            <w:color w:val="156B70"/>
            <w:u w:val="single"/>
          </w:rPr>
          <w:t xml:space="preserve">capítulo 2.2 · Conceptos de un sistema</w:t>
        </w:r>
      </w:hyperlink>
      <w:r>
        <w:t xml:space="preserve">, pág. </w:t>
      </w:r>
      <w:r>
        <w:fldChar w:fldCharType="begin"/>
        <w:instrText xml:space="preserve">PAGEREF b_2_2 \h</w:instrText>
        <w:fldChar w:fldCharType="separate"/>
        <w:t xml:space="preserve">242</w:t>
        <w:fldChar w:fldCharType="end"/>
      </w:r>
      <w:r>
        <w:t xml:space="preserve">.</w:t>
      </w:r>
    </w:p>
    <w:p>
      <w:pPr>
        <w:pStyle w:val="Fuente"/>
      </w:pPr>
      <w:r>
        <w:t xml:space="preserve">Véase </w:t>
      </w:r>
      <w:hyperlink w:history="1" w:anchor="b_2_4">
        <w:r>
          <w:rPr>
            <w:color w:val="156B70"/>
            <w:u w:val="single"/>
          </w:rPr>
          <w:t xml:space="preserve">capítulo 2.4 · Sub y suprasistemas</w:t>
        </w:r>
      </w:hyperlink>
      <w:r>
        <w:t xml:space="preserve">, pág. </w:t>
      </w:r>
      <w:r>
        <w:fldChar w:fldCharType="begin"/>
        <w:instrText xml:space="preserve">PAGEREF b_2_4 \h</w:instrText>
        <w:fldChar w:fldCharType="separate"/>
        <w:t xml:space="preserve">277</w:t>
        <w:fldChar w:fldCharType="end"/>
      </w:r>
      <w:r>
        <w:t xml:space="preserve">.</w:t>
      </w:r>
    </w:p>
    <w:p>
      <w:pPr>
        <w:pStyle w:val="Fuente"/>
      </w:pPr>
      <w:r>
        <w:t xml:space="preserve">Véase </w:t>
      </w:r>
      <w:hyperlink w:history="1" w:anchor="b_2_6">
        <w:r>
          <w:rPr>
            <w:color w:val="156B70"/>
            <w:u w:val="single"/>
          </w:rPr>
          <w:t xml:space="preserve">capítulo 2.6 · Complejidad sistémica</w:t>
        </w:r>
      </w:hyperlink>
      <w:r>
        <w:t xml:space="preserve">, pág. </w:t>
      </w:r>
      <w:r>
        <w:fldChar w:fldCharType="begin"/>
        <w:instrText xml:space="preserve">PAGEREF b_2_6 \h</w:instrText>
        <w:fldChar w:fldCharType="separate"/>
        <w:t xml:space="preserve">308</w:t>
        <w:fldChar w:fldCharType="end"/>
      </w:r>
      <w:r>
        <w:t xml:space="preserve">.</w:t>
      </w:r>
    </w:p>
    <w:p>
      <w:pPr>
        <w:pStyle w:val="Fuente"/>
      </w:pPr>
      <w:r>
        <w:t xml:space="preserve">Véase </w:t>
      </w:r>
      <w:hyperlink w:history="1" w:anchor="b_2_5">
        <w:r>
          <w:rPr>
            <w:color w:val="156B70"/>
            <w:u w:val="single"/>
          </w:rPr>
          <w:t xml:space="preserve">capítulo 2.5 · Sinergia y emergencia</w:t>
        </w:r>
      </w:hyperlink>
      <w:r>
        <w:t xml:space="preserve">, pág. </w:t>
      </w:r>
      <w:r>
        <w:fldChar w:fldCharType="begin"/>
        <w:instrText xml:space="preserve">PAGEREF b_2_5 \h</w:instrText>
        <w:fldChar w:fldCharType="separate"/>
        <w:t xml:space="preserve">292</w:t>
        <w:fldChar w:fldCharType="end"/>
      </w:r>
      <w:r>
        <w:t xml:space="preserve">.</w:t>
      </w:r>
    </w:p>
    <w:p>
      <w:pPr>
        <w:pStyle w:val="Fuente"/>
      </w:pPr>
      <w:r>
        <w:t xml:space="preserve">Véase </w:t>
      </w:r>
      <w:hyperlink w:history="1" w:anchor="b_1_6">
        <w:r>
          <w:rPr>
            <w:color w:val="156B70"/>
            <w:u w:val="single"/>
          </w:rPr>
          <w:t xml:space="preserve">capítulo 1.6 · Operaciones DSRP</w:t>
        </w:r>
      </w:hyperlink>
      <w:r>
        <w:t xml:space="preserve">, pág. </w:t>
      </w:r>
      <w:r>
        <w:fldChar w:fldCharType="begin"/>
        <w:instrText xml:space="preserve">PAGEREF b_1_6 \h</w:instrText>
        <w:fldChar w:fldCharType="separate"/>
        <w:t xml:space="preserve">150</w:t>
        <w:fldChar w:fldCharType="end"/>
      </w:r>
      <w:r>
        <w:t xml:space="preserve">.</w:t>
      </w:r>
    </w:p>
    <w:p>
      <w:pPr>
        <w:pStyle w:val="Heading3"/>
      </w:pPr>
      <w:r>
        <w:t xml:space="preserve">Lo que explicó el profesor en clase</w:t>
      </w:r>
    </w:p>
    <w:p>
      <w:pPr>
        <w:pStyle w:val="Heading3"/>
      </w:pPr>
      <w:bookmarkStart w:name="b_clase_1_5_c2_cap_07" w:id="825"/>
      <w:r>
        <w:t xml:space="preserve">Clase 2 · 01:06:55–01:13:41 · Pioneros de paradigma: gente de fuera, gente valiente y la elección de cambiar</w:t>
      </w:r>
      <w:bookmarkEnd w:id="825"/>
    </w:p>
    <w:p>
      <w:bookmarkStart w:name="b_punto_c2_cap_07_p05" w:id="826"/>
      <w:r>
        <w:t xml:space="preserve">Escuchar e indagar los argumentos ajenos es necesario para ampliar el propio paradigma.</w:t>
      </w:r>
      <w:bookmarkEnd w:id="826"/>
    </w:p>
    <w:p>
      <w:pPr>
        <w:pStyle w:val="Fuente"/>
      </w:pPr>
      <w:r>
        <w:t xml:space="preserve">Véase </w:t>
      </w:r>
      <w:hyperlink w:history="1" w:anchor="b_1_1">
        <w:r>
          <w:rPr>
            <w:color w:val="156B70"/>
            <w:u w:val="single"/>
          </w:rPr>
          <w:t xml:space="preserve">capítulo 1.1 · Paradigmas y modelos mentales</w:t>
        </w:r>
      </w:hyperlink>
      <w:r>
        <w:t xml:space="preserve">, pág. </w:t>
      </w:r>
      <w:r>
        <w:fldChar w:fldCharType="begin"/>
        <w:instrText xml:space="preserve">PAGEREF b_1_1 \h</w:instrText>
        <w:fldChar w:fldCharType="separate"/>
        <w:t xml:space="preserve">19</w:t>
        <w:fldChar w:fldCharType="end"/>
      </w:r>
      <w:r>
        <w:t xml:space="preserve">.</w:t>
      </w:r>
    </w:p>
    <w:p>
      <w:pPr>
        <w:pStyle w:val="Heading3"/>
      </w:pPr>
      <w:bookmarkStart w:name="b_clase_1_5_c5_cap_02" w:id="827"/>
      <w:r>
        <w:t xml:space="preserve">Clase 5 · 00:02:30–00:11:21 · El tercer hábito: cambiar las perspectivas</w:t>
      </w:r>
      <w:bookmarkEnd w:id="827"/>
    </w:p>
    <w:p>
      <w:bookmarkStart w:name="b_punto_c5_cap_02_p01" w:id="828"/>
      <w:r>
        <w:t xml:space="preserve">Cambiar perspectivas aumenta comprensión porque el filtro mental elimina información y produce visiones parciales que conviene enriquecer.</w:t>
      </w:r>
      <w:bookmarkEnd w:id="828"/>
    </w:p>
    <w:p>
      <w:bookmarkStart w:name="b_punto_c5_cap_02_p02" w:id="829"/>
      <w:r>
        <w:t xml:space="preserve">Se adopta temporalmente otra perspectiva para distinguir elementos, relaciones e información omitidos por la principal.</w:t>
      </w:r>
      <w:bookmarkEnd w:id="829"/>
    </w:p>
    <w:p>
      <w:bookmarkStart w:name="b_punto_c5_cap_02_p04" w:id="830"/>
      <w:r>
        <w:t xml:space="preserve">Ponerse en los zapatos de otra persona permite comprender preocupaciones y emociones vinculadas a sus interpretaciones, como las dos lecturas de rendimiento del equipo.</w:t>
      </w:r>
      <w:bookmarkEnd w:id="830"/>
    </w:p>
    <w:p>
      <w:bookmarkStart w:name="b_punto_c5_cap_02_p05" w:id="831"/>
      <w:r>
        <w:t xml:space="preserve">Se identifican supuestos de interpretaciones propias y ajenas, se evalúa su validez y se integra información para una representación más amplia.</w:t>
      </w:r>
      <w:bookmarkEnd w:id="831"/>
    </w:p>
    <w:p>
      <w:pPr>
        <w:pStyle w:val="Fuente"/>
      </w:pPr>
      <w:r>
        <w:t xml:space="preserve">Véase </w:t>
      </w:r>
      <w:hyperlink w:history="1" w:anchor="b_senales_examen">
        <w:r>
          <w:rPr>
            <w:color w:val="156B70"/>
            <w:u w:val="single"/>
          </w:rPr>
          <w:t xml:space="preserve">1 indicación(es) de examen de este tramo, en el apéndice cronológico</w:t>
        </w:r>
      </w:hyperlink>
      <w:r>
        <w:t xml:space="preserve">, pág. </w:t>
      </w:r>
      <w:r>
        <w:fldChar w:fldCharType="begin"/>
        <w:instrText xml:space="preserve">PAGEREF b_senales_examen \h</w:instrText>
        <w:fldChar w:fldCharType="separate"/>
        <w:t xml:space="preserve">1663</w:t>
        <w:fldChar w:fldCharType="end"/>
      </w:r>
      <w:r>
        <w:t xml:space="preserve">.</w:t>
      </w:r>
    </w:p>
    <w:p>
      <w:pPr>
        <w:pStyle w:val="Fuente"/>
      </w:pPr>
      <w:r>
        <w:t xml:space="preserve">Véase </w:t>
      </w:r>
      <w:hyperlink w:history="1" w:anchor="b_1_8">
        <w:r>
          <w:rPr>
            <w:color w:val="156B70"/>
            <w:u w:val="single"/>
          </w:rPr>
          <w:t xml:space="preserve">capítulo 1.8 · Hábitos del pensador</w:t>
        </w:r>
      </w:hyperlink>
      <w:r>
        <w:t xml:space="preserve">, pág. </w:t>
      </w:r>
      <w:r>
        <w:fldChar w:fldCharType="begin"/>
        <w:instrText xml:space="preserve">PAGEREF b_1_8 \h</w:instrText>
        <w:fldChar w:fldCharType="separate"/>
        <w:t xml:space="preserve">194</w:t>
        <w:fldChar w:fldCharType="end"/>
      </w:r>
      <w:r>
        <w:t xml:space="preserve">.</w:t>
      </w:r>
    </w:p>
    <w:p>
      <w:pPr>
        <w:pStyle w:val="Fuente"/>
      </w:pPr>
      <w:r>
        <w:t xml:space="preserve">Véase </w:t>
      </w:r>
      <w:hyperlink w:history="1" w:anchor="b_1_4">
        <w:r>
          <w:rPr>
            <w:color w:val="156B70"/>
            <w:u w:val="single"/>
          </w:rPr>
          <w:t xml:space="preserve">capítulo 1.4 · Sistémico vs no sistémico</w:t>
        </w:r>
      </w:hyperlink>
      <w:r>
        <w:t xml:space="preserve">, pág. </w:t>
      </w:r>
      <w:r>
        <w:fldChar w:fldCharType="begin"/>
        <w:instrText xml:space="preserve">PAGEREF b_1_4 \h</w:instrText>
        <w:fldChar w:fldCharType="separate"/>
        <w:t xml:space="preserve">104</w:t>
        <w:fldChar w:fldCharType="end"/>
      </w:r>
      <w:r>
        <w:t xml:space="preserve">.</w:t>
      </w:r>
    </w:p>
    <w:p>
      <w:pPr>
        <w:pStyle w:val="Heading3"/>
      </w:pPr>
      <w:bookmarkStart w:name="b_clase_1_5_c5_cap_03" w:id="832"/>
      <w:r>
        <w:t xml:space="preserve">Clase 5 · 00:11:21–00:20:03 · Elena y Tom: tres perspectivas sobre un informe</w:t>
      </w:r>
      <w:bookmarkEnd w:id="832"/>
    </w:p>
    <w:p>
      <w:bookmarkStart w:name="b_punto_c5_cap_03_p01" w:id="833"/>
      <w:r>
        <w:t xml:space="preserve">Elena y Tom compran una casa, la vendedora busca venderla y una inspección técnica aporta una tercera perspectiva sobre la construcción.</w:t>
      </w:r>
      <w:bookmarkEnd w:id="833"/>
    </w:p>
    <w:p>
      <w:bookmarkStart w:name="b_punto_c5_cap_03_p03" w:id="834"/>
      <w:r>
        <w:t xml:space="preserve">Negociar exige ceder demandas para obtener lo prioritario; al mirar desde el vendedor la pareja llega a un reparto de reparaciones.</w:t>
      </w:r>
      <w:bookmarkEnd w:id="834"/>
    </w:p>
    <w:p>
      <w:bookmarkStart w:name="b_punto_c5_cap_03_p04" w:id="835"/>
      <w:r>
        <w:t xml:space="preserve">Suspender temporalmente el juicio y la propia escalera permite escuchar datos, supuestos y razones ajenos, como Carlos cuando dejó responder a Pedro.</w:t>
      </w:r>
      <w:bookmarkEnd w:id="835"/>
    </w:p>
    <w:p>
      <w:bookmarkStart w:name="b_punto_c5_cap_03_p05" w:id="836"/>
      <w:r>
        <w:t xml:space="preserve">No se acepta todo por empatía: se verifica con información concreta, se reconoce validez parcial y se vuelve a la perspectiva propia para integrar lo omitido.</w:t>
      </w:r>
      <w:bookmarkEnd w:id="836"/>
    </w:p>
    <w:p>
      <w:pPr>
        <w:pStyle w:val="Fuente"/>
      </w:pPr>
      <w:r>
        <w:t xml:space="preserve">Véase </w:t>
      </w:r>
      <w:hyperlink w:history="1" w:anchor="b_1_2">
        <w:r>
          <w:rPr>
            <w:color w:val="156B70"/>
            <w:u w:val="single"/>
          </w:rPr>
          <w:t xml:space="preserve">capítulo 1.2 · Escalera de inferencias</w:t>
        </w:r>
      </w:hyperlink>
      <w:r>
        <w:t xml:space="preserve">, pág. </w:t>
      </w:r>
      <w:r>
        <w:fldChar w:fldCharType="begin"/>
        <w:instrText xml:space="preserve">PAGEREF b_1_2 \h</w:instrText>
        <w:fldChar w:fldCharType="separate"/>
        <w:t xml:space="preserve">55</w:t>
        <w:fldChar w:fldCharType="end"/>
      </w:r>
      <w:r>
        <w:t xml:space="preserve">.</w:t>
      </w:r>
    </w:p>
    <w:p>
      <w:pPr>
        <w:pStyle w:val="Heading3"/>
      </w:pPr>
      <w:bookmarkStart w:name="b_clase_1_5_c5_cap_04" w:id="837"/>
      <w:r>
        <w:t xml:space="preserve">Clase 5 · 00:20:03–00:28:30 · El diálogo, una disciplina y no un debate</w:t>
      </w:r>
      <w:bookmarkEnd w:id="837"/>
    </w:p>
    <w:p>
      <w:bookmarkStart w:name="b_punto_c5_cap_04_p02" w:id="838"/>
      <w:r>
        <w:t xml:space="preserve">Argumentar, escuchar e indagar se combinan: preguntar y permitir respuesta a Pedro revela a Carlos información que sus creencias omitían.</w:t>
      </w:r>
      <w:bookmarkEnd w:id="838"/>
    </w:p>
    <w:p>
      <w:bookmarkStart w:name="b_punto_c5_cap_04_p06" w:id="839"/>
      <w:r>
        <w:t xml:space="preserve">Las referencias canónicas de clase 5 son Carlos 00:22:33 y FCMD 00:25:09.</w:t>
      </w:r>
      <w:bookmarkEnd w:id="839"/>
    </w:p>
    <w:p>
      <w:pPr>
        <w:pStyle w:val="Fuente"/>
      </w:pPr>
      <w:r>
        <w:t xml:space="preserve">Véase </w:t>
      </w:r>
      <w:hyperlink w:history="1" w:anchor="b_1_2">
        <w:r>
          <w:rPr>
            <w:color w:val="156B70"/>
            <w:u w:val="single"/>
          </w:rPr>
          <w:t xml:space="preserve">capítulo 1.2 · Escalera de inferencias</w:t>
        </w:r>
      </w:hyperlink>
      <w:r>
        <w:t xml:space="preserve">, pág. </w:t>
      </w:r>
      <w:r>
        <w:fldChar w:fldCharType="begin"/>
        <w:instrText xml:space="preserve">PAGEREF b_1_2 \h</w:instrText>
        <w:fldChar w:fldCharType="separate"/>
        <w:t xml:space="preserve">55</w:t>
        <w:fldChar w:fldCharType="end"/>
      </w:r>
      <w:r>
        <w:t xml:space="preserve">.</w:t>
      </w:r>
    </w:p>
    <w:p>
      <w:pPr>
        <w:pStyle w:val="Heading3"/>
      </w:pPr>
      <w:bookmarkStart w:name="b_clase_1_5_c5_cap_05" w:id="840"/>
      <w:r>
        <w:t xml:space="preserve">Clase 5 · 00:28:30–00:35:53 · Reglas del diálogo, el caso Acme y el cuarto nivel</w:t>
      </w:r>
      <w:bookmarkEnd w:id="840"/>
    </w:p>
    <w:p>
      <w:bookmarkStart w:name="b_punto_c5_cap_05_p06" w:id="841"/>
      <w:r>
        <w:t xml:space="preserve">La explicación de descubrir lo que otros piensan sobre la estructura empieza en Clase 5 · 00:32:47.</w:t>
      </w:r>
      <w:bookmarkEnd w:id="841"/>
    </w:p>
    <w:p>
      <w:pPr>
        <w:pStyle w:val="Fuente"/>
      </w:pPr>
      <w:r>
        <w:t xml:space="preserve">Véase </w:t>
      </w:r>
      <w:hyperlink w:history="1" w:anchor="b_senales_examen">
        <w:r>
          <w:rPr>
            <w:color w:val="156B70"/>
            <w:u w:val="single"/>
          </w:rPr>
          <w:t xml:space="preserve">1 indicación(es) de examen de este tramo, en el apéndice cronológico</w:t>
        </w:r>
      </w:hyperlink>
      <w:r>
        <w:t xml:space="preserve">, pág. </w:t>
      </w:r>
      <w:r>
        <w:fldChar w:fldCharType="begin"/>
        <w:instrText xml:space="preserve">PAGEREF b_senales_examen \h</w:instrText>
        <w:fldChar w:fldCharType="separate"/>
        <w:t xml:space="preserve">1663</w:t>
        <w:fldChar w:fldCharType="end"/>
      </w:r>
      <w:r>
        <w:t xml:space="preserve">.</w:t>
      </w:r>
    </w:p>
    <w:p>
      <w:pPr>
        <w:pStyle w:val="Fuente"/>
      </w:pPr>
      <w:r>
        <w:t xml:space="preserve">Véase </w:t>
      </w:r>
      <w:hyperlink w:history="1" w:anchor="b_1_1">
        <w:r>
          <w:rPr>
            <w:color w:val="156B70"/>
            <w:u w:val="single"/>
          </w:rPr>
          <w:t xml:space="preserve">capítulo 1.1 · Paradigmas y modelos mentales</w:t>
        </w:r>
      </w:hyperlink>
      <w:r>
        <w:t xml:space="preserve">, pág. </w:t>
      </w:r>
      <w:r>
        <w:fldChar w:fldCharType="begin"/>
        <w:instrText xml:space="preserve">PAGEREF b_1_1 \h</w:instrText>
        <w:fldChar w:fldCharType="separate"/>
        <w:t xml:space="preserve">19</w:t>
        <w:fldChar w:fldCharType="end"/>
      </w:r>
      <w:r>
        <w:t xml:space="preserve">.</w:t>
      </w:r>
    </w:p>
    <w:p>
      <w:pPr>
        <w:pStyle w:val="Fuente"/>
      </w:pPr>
      <w:r>
        <w:t xml:space="preserve">Véase </w:t>
      </w:r>
      <w:hyperlink w:history="1" w:anchor="b_1_7">
        <w:r>
          <w:rPr>
            <w:color w:val="156B70"/>
            <w:u w:val="single"/>
          </w:rPr>
          <w:t xml:space="preserve">capítulo 1.7 · Niveles — modelo del iceberg</w:t>
        </w:r>
      </w:hyperlink>
      <w:r>
        <w:t xml:space="preserve">, pág. </w:t>
      </w:r>
      <w:r>
        <w:fldChar w:fldCharType="begin"/>
        <w:instrText xml:space="preserve">PAGEREF b_1_7 \h</w:instrText>
        <w:fldChar w:fldCharType="separate"/>
        <w:t xml:space="preserve">175</w:t>
        <w:fldChar w:fldCharType="end"/>
      </w:r>
      <w:r>
        <w:t xml:space="preserve">.</w:t>
      </w:r>
    </w:p>
    <w:p>
      <w:pPr>
        <w:pStyle w:val="Heading3"/>
      </w:pPr>
      <w:bookmarkStart w:name="b_clase_1_5_c5_cap_06" w:id="842"/>
      <w:r>
        <w:t xml:space="preserve">Clase 5 · 00:35:53–00:40:41 · Guadalupe Nogués y la tarea del video TEDx</w:t>
      </w:r>
      <w:bookmarkEnd w:id="842"/>
    </w:p>
    <w:p>
      <w:bookmarkStart w:name="b_punto_c5_cap_06_p01" w:id="843"/>
      <w:r>
        <w:t xml:space="preserve">La tarea del TEDx de Guadalupe Nogués pide sintetizar conclusiones sobre hablar con quien piensa distinto, como complemento del diálogo y cambio de perspectiva.</w:t>
      </w:r>
      <w:bookmarkEnd w:id="843"/>
    </w:p>
    <w:p>
      <w:bookmarkStart w:name="b_punto_c5_cap_06_p03" w:id="844"/>
      <w:r>
        <w:t xml:space="preserve">Hablar sólo con quienes piensan igual confirma lo conocido; las perspectivas distintas pueden aportar información y supuestos ausentes que se contrastan antes de integrar.</w:t>
      </w:r>
      <w:bookmarkEnd w:id="844"/>
    </w:p>
    <w:p>
      <w:pPr>
        <w:pStyle w:val="Fuente"/>
      </w:pPr>
      <w:r>
        <w:t xml:space="preserve">Véase </w:t>
      </w:r>
      <w:hyperlink w:history="1" w:anchor="b_senales_examen">
        <w:r>
          <w:rPr>
            <w:color w:val="156B70"/>
            <w:u w:val="single"/>
          </w:rPr>
          <w:t xml:space="preserve">1 indicación(es) de examen de este tramo, en el apéndice cronológico</w:t>
        </w:r>
      </w:hyperlink>
      <w:r>
        <w:t xml:space="preserve">, pág. </w:t>
      </w:r>
      <w:r>
        <w:fldChar w:fldCharType="begin"/>
        <w:instrText xml:space="preserve">PAGEREF b_senales_examen \h</w:instrText>
        <w:fldChar w:fldCharType="separate"/>
        <w:t xml:space="preserve">1663</w:t>
        <w:fldChar w:fldCharType="end"/>
      </w:r>
      <w:r>
        <w:t xml:space="preserve">.</w:t>
      </w:r>
    </w:p>
    <w:p>
      <w:pPr>
        <w:pStyle w:val="Heading3"/>
      </w:pPr>
      <w:bookmarkStart w:name="b_clase_1_5_c5_cap_08" w:id="845"/>
      <w:r>
        <w:t xml:space="preserve">Clase 5 · 00:50:59–00:58:15 · Los modelos mentales como sistema</w:t>
      </w:r>
      <w:bookmarkEnd w:id="845"/>
    </w:p>
    <w:p>
      <w:bookmarkStart w:name="b_punto_c5_cap_08_p05" w:id="846"/>
      <w:r>
        <w:t xml:space="preserve">La perspectiva es parcial por las creencias, supuestos e información seleccionada, así como por la información descartada.</w:t>
      </w:r>
      <w:bookmarkEnd w:id="846"/>
    </w:p>
    <w:p>
      <w:pPr>
        <w:pStyle w:val="Fuente"/>
      </w:pPr>
      <w:r>
        <w:t xml:space="preserve">Véase </w:t>
      </w:r>
      <w:hyperlink w:history="1" w:anchor="b_1_1">
        <w:r>
          <w:rPr>
            <w:color w:val="156B70"/>
            <w:u w:val="single"/>
          </w:rPr>
          <w:t xml:space="preserve">capítulo 1.1 · Paradigmas y modelos mentales</w:t>
        </w:r>
      </w:hyperlink>
      <w:r>
        <w:t xml:space="preserve">, pág. </w:t>
      </w:r>
      <w:r>
        <w:fldChar w:fldCharType="begin"/>
        <w:instrText xml:space="preserve">PAGEREF b_1_1 \h</w:instrText>
        <w:fldChar w:fldCharType="separate"/>
        <w:t xml:space="preserve">19</w:t>
        <w:fldChar w:fldCharType="end"/>
      </w:r>
      <w:r>
        <w:t xml:space="preserve">.</w:t>
      </w:r>
    </w:p>
    <w:p>
      <w:pPr>
        <w:pStyle w:val="Fuente"/>
      </w:pPr>
      <w:r>
        <w:t xml:space="preserve">Véase </w:t>
      </w:r>
      <w:hyperlink w:history="1" w:anchor="b_1_4">
        <w:r>
          <w:rPr>
            <w:color w:val="156B70"/>
            <w:u w:val="single"/>
          </w:rPr>
          <w:t xml:space="preserve">capítulo 1.4 · Sistémico vs no sistémico</w:t>
        </w:r>
      </w:hyperlink>
      <w:r>
        <w:t xml:space="preserve">, pág. </w:t>
      </w:r>
      <w:r>
        <w:fldChar w:fldCharType="begin"/>
        <w:instrText xml:space="preserve">PAGEREF b_1_4 \h</w:instrText>
        <w:fldChar w:fldCharType="separate"/>
        <w:t xml:space="preserve">104</w:t>
        <w:fldChar w:fldCharType="end"/>
      </w:r>
      <w:r>
        <w:t xml:space="preserve">.</w:t>
      </w:r>
    </w:p>
    <w:p>
      <w:pPr>
        <w:pStyle w:val="Heading3"/>
      </w:pPr>
      <w:bookmarkStart w:name="b_clase_1_5_c5_cap_10" w:id="847"/>
      <w:r>
        <w:t xml:space="preserve">Clase 5 · 01:08:30–01:21:35 · Aprender, desaprender y cierre de la unidad 1</w:t>
      </w:r>
      <w:bookmarkEnd w:id="847"/>
    </w:p>
    <w:p>
      <w:bookmarkStart w:name="b_punto_c5_cap_10_p09" w:id="848"/>
      <w:r>
        <w:t xml:space="preserve">Subjetiva es la perspectiva de un actor dentro del sistema; objetiva busca mirar desde fuera. Ambas importan en sistemas humanos porque las creencias influyen en la estructura.</w:t>
      </w:r>
      <w:bookmarkEnd w:id="848"/>
    </w:p>
    <w:p>
      <w:bookmarkStart w:name="b_punto_c5_cap_10_p10" w:id="849"/>
      <w:r>
        <w:t xml:space="preserve">No hay objetividad definitiva: no se sale por completo del sistema del que se forma parte; se puede suspender la perspectiva e integrar otras para ampliar comprensión.</w:t>
      </w:r>
      <w:bookmarkEnd w:id="849"/>
    </w:p>
    <w:p>
      <w:pPr>
        <w:pStyle w:val="Fuente"/>
      </w:pPr>
      <w:r>
        <w:t xml:space="preserve">Véase </w:t>
      </w:r>
      <w:hyperlink w:history="1" w:anchor="b_senales_examen">
        <w:r>
          <w:rPr>
            <w:color w:val="156B70"/>
            <w:u w:val="single"/>
          </w:rPr>
          <w:t xml:space="preserve">1 indicación(es) de examen de este tramo, en el apéndice cronológico</w:t>
        </w:r>
      </w:hyperlink>
      <w:r>
        <w:t xml:space="preserve">, pág. </w:t>
      </w:r>
      <w:r>
        <w:fldChar w:fldCharType="begin"/>
        <w:instrText xml:space="preserve">PAGEREF b_senales_examen \h</w:instrText>
        <w:fldChar w:fldCharType="separate"/>
        <w:t xml:space="preserve">1663</w:t>
        <w:fldChar w:fldCharType="end"/>
      </w:r>
      <w:r>
        <w:t xml:space="preserve">.</w:t>
      </w:r>
    </w:p>
    <w:p>
      <w:pPr>
        <w:pStyle w:val="Fuente"/>
      </w:pPr>
      <w:r>
        <w:t xml:space="preserve">Véase </w:t>
      </w:r>
      <w:hyperlink w:history="1" w:anchor="b_1_4">
        <w:r>
          <w:rPr>
            <w:color w:val="156B70"/>
            <w:u w:val="single"/>
          </w:rPr>
          <w:t xml:space="preserve">capítulo 1.4 · Sistémico vs no sistémico</w:t>
        </w:r>
      </w:hyperlink>
      <w:r>
        <w:t xml:space="preserve">, pág. </w:t>
      </w:r>
      <w:r>
        <w:fldChar w:fldCharType="begin"/>
        <w:instrText xml:space="preserve">PAGEREF b_1_4 \h</w:instrText>
        <w:fldChar w:fldCharType="separate"/>
        <w:t xml:space="preserve">104</w:t>
        <w:fldChar w:fldCharType="end"/>
      </w:r>
      <w:r>
        <w:t xml:space="preserve">.</w:t>
      </w:r>
    </w:p>
    <w:p>
      <w:pPr>
        <w:pStyle w:val="Fuente"/>
      </w:pPr>
      <w:r>
        <w:t xml:space="preserve">Véase </w:t>
      </w:r>
      <w:hyperlink w:history="1" w:anchor="b_1_1">
        <w:r>
          <w:rPr>
            <w:color w:val="156B70"/>
            <w:u w:val="single"/>
          </w:rPr>
          <w:t xml:space="preserve">capítulo 1.1 · Paradigmas y modelos mentales</w:t>
        </w:r>
      </w:hyperlink>
      <w:r>
        <w:t xml:space="preserve">, pág. </w:t>
      </w:r>
      <w:r>
        <w:fldChar w:fldCharType="begin"/>
        <w:instrText xml:space="preserve">PAGEREF b_1_1 \h</w:instrText>
        <w:fldChar w:fldCharType="separate"/>
        <w:t xml:space="preserve">19</w:t>
        <w:fldChar w:fldCharType="end"/>
      </w:r>
      <w:r>
        <w:t xml:space="preserve">.</w:t>
      </w:r>
    </w:p>
    <w:p>
      <w:pPr>
        <w:pStyle w:val="Fuente"/>
      </w:pPr>
      <w:r>
        <w:t xml:space="preserve">Véase </w:t>
      </w:r>
      <w:hyperlink w:history="1" w:anchor="b_1_2">
        <w:r>
          <w:rPr>
            <w:color w:val="156B70"/>
            <w:u w:val="single"/>
          </w:rPr>
          <w:t xml:space="preserve">capítulo 1.2 · Escalera de inferencias</w:t>
        </w:r>
      </w:hyperlink>
      <w:r>
        <w:t xml:space="preserve">, pág. </w:t>
      </w:r>
      <w:r>
        <w:fldChar w:fldCharType="begin"/>
        <w:instrText xml:space="preserve">PAGEREF b_1_2 \h</w:instrText>
        <w:fldChar w:fldCharType="separate"/>
        <w:t xml:space="preserve">55</w:t>
        <w:fldChar w:fldCharType="end"/>
      </w:r>
      <w:r>
        <w:t xml:space="preserve">.</w:t>
      </w:r>
    </w:p>
    <w:p>
      <w:pPr>
        <w:pStyle w:val="Heading3"/>
      </w:pPr>
      <w:bookmarkStart w:name="b_clase_1_5_c5_cap_11" w:id="850"/>
      <w:r>
        <w:t xml:space="preserve">Clase 5 · 01:21:35–01:29:19 · La perspectiva del espectador y el caso del restaurante</w:t>
      </w:r>
      <w:bookmarkEnd w:id="850"/>
    </w:p>
    <w:p>
      <w:bookmarkStart w:name="b_punto_c5_cap_11_p01" w:id="851"/>
      <w:r>
        <w:t xml:space="preserve">El espectador gana panorama desde distancia adecuada y puede perder precisión de detalles; se alterna con análisis de subsistemas sin olvidar el todo. VistaEspectador desarrolla campo/gradas con dramatización rotulada; reutilizar en 1.8.</w:t>
      </w:r>
      <w:bookmarkEnd w:id="851"/>
    </w:p>
    <w:p>
      <w:bookmarkStart w:name="b_punto_c5_cap_11_p06" w:id="852"/>
      <w:r>
        <w:t xml:space="preserve">La advertencia atribuida a Leroy Hood vincula atender sólo detalles con no comprender el panorama; una representación parcial lleva a acciones parciales.</w:t>
      </w:r>
      <w:bookmarkEnd w:id="852"/>
    </w:p>
    <w:p>
      <w:pPr>
        <w:pStyle w:val="Fuente"/>
      </w:pPr>
      <w:r>
        <w:t xml:space="preserve">Véase </w:t>
      </w:r>
      <w:hyperlink w:history="1" w:anchor="b_senales_examen">
        <w:r>
          <w:rPr>
            <w:color w:val="156B70"/>
            <w:u w:val="single"/>
          </w:rPr>
          <w:t xml:space="preserve">1 indicación(es) de examen de este tramo, en el apéndice cronológico</w:t>
        </w:r>
      </w:hyperlink>
      <w:r>
        <w:t xml:space="preserve">, pág. </w:t>
      </w:r>
      <w:r>
        <w:fldChar w:fldCharType="begin"/>
        <w:instrText xml:space="preserve">PAGEREF b_senales_examen \h</w:instrText>
        <w:fldChar w:fldCharType="separate"/>
        <w:t xml:space="preserve">1663</w:t>
        <w:fldChar w:fldCharType="end"/>
      </w:r>
      <w:r>
        <w:t xml:space="preserve">.</w:t>
      </w:r>
    </w:p>
    <w:p>
      <w:pPr>
        <w:pStyle w:val="Fuente"/>
      </w:pPr>
      <w:r>
        <w:t xml:space="preserve">Véase </w:t>
      </w:r>
      <w:hyperlink w:history="1" w:anchor="b_1_7">
        <w:r>
          <w:rPr>
            <w:color w:val="156B70"/>
            <w:u w:val="single"/>
          </w:rPr>
          <w:t xml:space="preserve">capítulo 1.7 · Niveles — modelo del iceberg</w:t>
        </w:r>
      </w:hyperlink>
      <w:r>
        <w:t xml:space="preserve">, pág. </w:t>
      </w:r>
      <w:r>
        <w:fldChar w:fldCharType="begin"/>
        <w:instrText xml:space="preserve">PAGEREF b_1_7 \h</w:instrText>
        <w:fldChar w:fldCharType="separate"/>
        <w:t xml:space="preserve">175</w:t>
        <w:fldChar w:fldCharType="end"/>
      </w:r>
      <w:r>
        <w:t xml:space="preserve">.</w:t>
      </w:r>
    </w:p>
    <w:p>
      <w:pPr>
        <w:pStyle w:val="Heading3"/>
      </w:pPr>
      <w:bookmarkStart w:name="b_clase_1_5_c7_cap_05" w:id="853"/>
      <w:r>
        <w:t xml:space="preserve">Clase 7 · 00:50:54–01:01:05 · Relaciones y Perspectivas enriquecen el modelo</w:t>
      </w:r>
      <w:bookmarkEnd w:id="853"/>
    </w:p>
    <w:p>
      <w:bookmarkStart w:name="b_punto_c7_cap_05_p06" w:id="854"/>
      <w:r>
        <w:t xml:space="preserve">Programador, usuario, técnico de arquitectura o hardware y patrocinador miran el mismo software con intereses que revelan distintas partes y relaciones.</w:t>
      </w:r>
      <w:bookmarkEnd w:id="854"/>
    </w:p>
    <w:p>
      <w:pPr>
        <w:pStyle w:val="Fuente"/>
      </w:pPr>
      <w:r>
        <w:t xml:space="preserve">Véase </w:t>
      </w:r>
      <w:hyperlink w:history="1" w:anchor="b_1_6">
        <w:r>
          <w:rPr>
            <w:color w:val="156B70"/>
            <w:u w:val="single"/>
          </w:rPr>
          <w:t xml:space="preserve">capítulo 1.6 · Operaciones DSRP</w:t>
        </w:r>
      </w:hyperlink>
      <w:r>
        <w:t xml:space="preserve">, pág. </w:t>
      </w:r>
      <w:r>
        <w:fldChar w:fldCharType="begin"/>
        <w:instrText xml:space="preserve">PAGEREF b_1_6 \h</w:instrText>
        <w:fldChar w:fldCharType="separate"/>
        <w:t xml:space="preserve">150</w:t>
        <w:fldChar w:fldCharType="end"/>
      </w:r>
      <w:r>
        <w:t xml:space="preserve">.</w:t>
      </w:r>
    </w:p>
    <w:p>
      <w:pPr>
        <w:pStyle w:val="Fuente"/>
      </w:pPr>
      <w:r>
        <w:t xml:space="preserve">Véase </w:t>
      </w:r>
      <w:hyperlink w:history="1" w:anchor="b_2_4">
        <w:r>
          <w:rPr>
            <w:color w:val="156B70"/>
            <w:u w:val="single"/>
          </w:rPr>
          <w:t xml:space="preserve">capítulo 2.4 · Sub y suprasistemas</w:t>
        </w:r>
      </w:hyperlink>
      <w:r>
        <w:t xml:space="preserve">, pág. </w:t>
      </w:r>
      <w:r>
        <w:fldChar w:fldCharType="begin"/>
        <w:instrText xml:space="preserve">PAGEREF b_2_4 \h</w:instrText>
        <w:fldChar w:fldCharType="separate"/>
        <w:t xml:space="preserve">277</w:t>
        <w:fldChar w:fldCharType="end"/>
      </w:r>
      <w:r>
        <w:t xml:space="preserve">.</w:t>
      </w:r>
    </w:p>
    <w:p>
      <w:pPr>
        <w:pStyle w:val="Fuente"/>
      </w:pPr>
      <w:r>
        <w:t xml:space="preserve">Véase </w:t>
      </w:r>
      <w:hyperlink w:history="1" w:anchor="b_1_4">
        <w:r>
          <w:rPr>
            <w:color w:val="156B70"/>
            <w:u w:val="single"/>
          </w:rPr>
          <w:t xml:space="preserve">capítulo 1.4 · Sistémico vs no sistémico</w:t>
        </w:r>
      </w:hyperlink>
      <w:r>
        <w:t xml:space="preserve">, pág. </w:t>
      </w:r>
      <w:r>
        <w:fldChar w:fldCharType="begin"/>
        <w:instrText xml:space="preserve">PAGEREF b_1_4 \h</w:instrText>
        <w:fldChar w:fldCharType="separate"/>
        <w:t xml:space="preserve">104</w:t>
        <w:fldChar w:fldCharType="end"/>
      </w:r>
      <w:r>
        <w:t xml:space="preserve">.</w:t>
      </w:r>
    </w:p>
    <w:p>
      <w:pPr>
        <w:pStyle w:val="Heading3"/>
      </w:pPr>
      <w:bookmarkStart w:name="b_clase_1_5_c7_cap_08" w:id="855"/>
      <w:r>
        <w:t xml:space="preserve">Clase 7 · 01:16:32–01:29:30 · Práctica de la ciudad: sistemas, relaciones y observadores</w:t>
      </w:r>
      <w:bookmarkEnd w:id="855"/>
    </w:p>
    <w:p>
      <w:bookmarkStart w:name="b_punto_c7_cap_08_p01" w:id="856"/>
      <w:r>
        <w:t xml:space="preserve">El ejercicio pide identificar sistemas en una escena urbana y contrastar hallazgos del chat para acceder a otras perspectivas; el conteo depende de la frontera y nivel elegidos.</w:t>
      </w:r>
      <w:bookmarkEnd w:id="856"/>
    </w:p>
    <w:p>
      <w:bookmarkStart w:name="b_punto_c7_cap_08_p04" w:id="857"/>
      <w:r>
        <w:t xml:space="preserve">El análisis de una realidad compleja necesita tiempo; cambiar de la pregunta por sistemas a la pregunta por relaciones activa otra operación.</w:t>
      </w:r>
      <w:bookmarkEnd w:id="857"/>
    </w:p>
    <w:p>
      <w:bookmarkStart w:name="b_punto_c7_cap_08_p05" w:id="858"/>
      <w:r>
        <w:t xml:space="preserve">El accidente relaciona automóvil rojo, camión amarillo y sus conductores; se distingue una relación circunstancial a partir de la escena.</w:t>
      </w:r>
      <w:bookmarkEnd w:id="858"/>
    </w:p>
    <w:p>
      <w:bookmarkStart w:name="b_punto_c7_cap_08_p06" w:id="859"/>
      <w:r>
        <w:t xml:space="preserve">La limpieza, pintura o reparación relaciona la casa con trabajadores y materiales de mantenimiento.</w:t>
      </w:r>
      <w:bookmarkEnd w:id="859"/>
    </w:p>
    <w:p>
      <w:bookmarkStart w:name="b_punto_c7_cap_08_p07" w:id="860"/>
      <w:r>
        <w:t xml:space="preserve">Los prestadores de servicios y consumidores participan en intercambios dentro de la ciudad.</w:t>
      </w:r>
      <w:bookmarkEnd w:id="860"/>
    </w:p>
    <w:p>
      <w:bookmarkStart w:name="b_punto_c7_cap_08_p08" w:id="861"/>
      <w:r>
        <w:t xml:space="preserve">Comercios, carrito y camión se relacionan por residuos: se infiere que la basura sale del negocio y será trasladada.</w:t>
      </w:r>
      <w:bookmarkEnd w:id="861"/>
    </w:p>
    <w:p>
      <w:bookmarkStart w:name="b_punto_c7_cap_08_p09" w:id="862"/>
      <w:r>
        <w:t xml:space="preserve">El camión de verduras y el restaurante se conectan por alimentos que sirven como insumos; la dirección concreta se interpreta con experiencia previa.</w:t>
      </w:r>
      <w:bookmarkEnd w:id="862"/>
    </w:p>
    <w:p>
      <w:bookmarkStart w:name="b_punto_c7_cap_08_p10" w:id="863"/>
      <w:r>
        <w:t xml:space="preserve">Sol y paneles se relacionan por energía, aunque el sol no se observe; la hipótesis surge de conocimiento previo y no del paso de tiempo capturado en la fotografía.</w:t>
      </w:r>
      <w:bookmarkEnd w:id="863"/>
    </w:p>
    <w:p>
      <w:bookmarkStart w:name="b_punto_c7_cap_08_p12" w:id="864"/>
      <w:r>
        <w:t xml:space="preserve">Las preguntas activan operaciones mentales; espectador, patrocinador y administrador priorizan cosas distintas de la misma ciudad.</w:t>
      </w:r>
      <w:bookmarkEnd w:id="864"/>
    </w:p>
    <w:p>
      <w:pPr>
        <w:pStyle w:val="Fuente"/>
      </w:pPr>
      <w:r>
        <w:t xml:space="preserve">Véase </w:t>
      </w:r>
      <w:hyperlink w:history="1" w:anchor="b_1_6">
        <w:r>
          <w:rPr>
            <w:color w:val="156B70"/>
            <w:u w:val="single"/>
          </w:rPr>
          <w:t xml:space="preserve">capítulo 1.6 · Operaciones DSRP</w:t>
        </w:r>
      </w:hyperlink>
      <w:r>
        <w:t xml:space="preserve">, pág. </w:t>
      </w:r>
      <w:r>
        <w:fldChar w:fldCharType="begin"/>
        <w:instrText xml:space="preserve">PAGEREF b_1_6 \h</w:instrText>
        <w:fldChar w:fldCharType="separate"/>
        <w:t xml:space="preserve">150</w:t>
        <w:fldChar w:fldCharType="end"/>
      </w:r>
      <w:r>
        <w:t xml:space="preserve">.</w:t>
      </w:r>
    </w:p>
    <w:p>
      <w:pPr>
        <w:pStyle w:val="Heading3"/>
      </w:pPr>
      <w:bookmarkStart w:name="b_clase_1_5_c8_cap_01" w:id="865"/>
      <w:r>
        <w:t xml:space="preserve">Clase 8 · 00:00:21–00:11:05 · La Tarea #4 como modelo mental de dos sistemas</w:t>
      </w:r>
      <w:bookmarkEnd w:id="865"/>
    </w:p>
    <w:p>
      <w:bookmarkStart w:name="b_punto_c8_cap_01_p02" w:id="866"/>
      <w:r>
        <w:t xml:space="preserve">El documento sobre dos sistemas hace visible el modelo mental construido con DSRP; los modelos también pueden expresarse en lenguaje natural.</w:t>
      </w:r>
      <w:bookmarkEnd w:id="866"/>
    </w:p>
    <w:p>
      <w:bookmarkStart w:name="b_punto_c8_cap_01_p05" w:id="867"/>
      <w:r>
        <w:t xml:space="preserve">Roles y disciplinas aportan perspectivas subjetivas: el pasajero del transporte o las miradas médica y psicológica del ser humano.</w:t>
      </w:r>
      <w:bookmarkEnd w:id="867"/>
    </w:p>
    <w:p>
      <w:bookmarkStart w:name="b_punto_c8_cap_01_p10" w:id="868"/>
      <w:r>
        <w:t xml:space="preserve">Los puntos de vista de roles se asocian especialmente con la actividad humana y la capacidad de producir perspectivas.</w:t>
      </w:r>
      <w:bookmarkEnd w:id="868"/>
    </w:p>
    <w:p>
      <w:pPr>
        <w:pStyle w:val="Fuente"/>
      </w:pPr>
      <w:r>
        <w:t xml:space="preserve">Véase </w:t>
      </w:r>
      <w:hyperlink w:history="1" w:anchor="b_2_3">
        <w:r>
          <w:rPr>
            <w:color w:val="156B70"/>
            <w:u w:val="single"/>
          </w:rPr>
          <w:t xml:space="preserve">capítulo 2.3 · Estructura de los sistemas</w:t>
        </w:r>
      </w:hyperlink>
      <w:r>
        <w:t xml:space="preserve">, pág. </w:t>
      </w:r>
      <w:r>
        <w:fldChar w:fldCharType="begin"/>
        <w:instrText xml:space="preserve">PAGEREF b_2_3 \h</w:instrText>
        <w:fldChar w:fldCharType="separate"/>
        <w:t xml:space="preserve">259</w:t>
        <w:fldChar w:fldCharType="end"/>
      </w:r>
      <w:r>
        <w:t xml:space="preserve">.</w:t>
      </w:r>
    </w:p>
    <w:p>
      <w:pPr>
        <w:pStyle w:val="Fuente"/>
      </w:pPr>
      <w:r>
        <w:t xml:space="preserve">Véase </w:t>
      </w:r>
      <w:hyperlink w:history="1" w:anchor="b_1_6">
        <w:r>
          <w:rPr>
            <w:color w:val="156B70"/>
            <w:u w:val="single"/>
          </w:rPr>
          <w:t xml:space="preserve">capítulo 1.6 · Operaciones DSRP</w:t>
        </w:r>
      </w:hyperlink>
      <w:r>
        <w:t xml:space="preserve">, pág. </w:t>
      </w:r>
      <w:r>
        <w:fldChar w:fldCharType="begin"/>
        <w:instrText xml:space="preserve">PAGEREF b_1_6 \h</w:instrText>
        <w:fldChar w:fldCharType="separate"/>
        <w:t xml:space="preserve">150</w:t>
        <w:fldChar w:fldCharType="end"/>
      </w:r>
      <w:r>
        <w:t xml:space="preserve">.</w:t>
      </w:r>
    </w:p>
    <w:p>
      <w:pPr>
        <w:pStyle w:val="Fuente"/>
      </w:pPr>
      <w:r>
        <w:t xml:space="preserve">Véase </w:t>
      </w:r>
      <w:hyperlink w:history="1" w:anchor="b_2_4">
        <w:r>
          <w:rPr>
            <w:color w:val="156B70"/>
            <w:u w:val="single"/>
          </w:rPr>
          <w:t xml:space="preserve">capítulo 2.4 · Sub y suprasistemas</w:t>
        </w:r>
      </w:hyperlink>
      <w:r>
        <w:t xml:space="preserve">, pág. </w:t>
      </w:r>
      <w:r>
        <w:fldChar w:fldCharType="begin"/>
        <w:instrText xml:space="preserve">PAGEREF b_2_4 \h</w:instrText>
        <w:fldChar w:fldCharType="separate"/>
        <w:t xml:space="preserve">277</w:t>
        <w:fldChar w:fldCharType="end"/>
      </w:r>
      <w:r>
        <w:t xml:space="preserve">.</w:t>
      </w:r>
    </w:p>
    <w:p>
      <w:pPr>
        <w:pStyle w:val="Heading3"/>
      </w:pPr>
      <w:bookmarkStart w:name="b_clase_1_5_c8_cap_03" w:id="869"/>
      <w:r>
        <w:t xml:space="preserve">Clase 8 · 00:14:39–00:25:08 · Cambiar de perspectiva enriquece el sistema</w:t>
      </w:r>
      <w:bookmarkEnd w:id="869"/>
    </w:p>
    <w:p>
      <w:bookmarkStart w:name="b_punto_c8_cap_03_p03" w:id="870"/>
      <w:r>
        <w:t xml:space="preserve">Aplicar P no excluye D, S oR: otra perspectiva puede revelar partes y relaciones no apreciadas desde la anterior.</w:t>
      </w:r>
      <w:bookmarkEnd w:id="870"/>
    </w:p>
    <w:p>
      <w:bookmarkStart w:name="b_punto_c8_cap_03_p04" w:id="871"/>
      <w:r>
        <w:t xml:space="preserve">El bosque se mira desde cuatro disciplinas: ecológica, económica, cultural y climática; no son las tres perspectivas básicas de la TGS.</w:t>
      </w:r>
      <w:bookmarkEnd w:id="871"/>
    </w:p>
    <w:p>
      <w:bookmarkStart w:name="b_punto_c8_cap_03_p05" w:id="872"/>
      <w:r>
        <w:t xml:space="preserve">La perspectiva ecológica del bosque mira el equilibrio dinámico de flujos de energía y materia que sostienen biodiversidad.</w:t>
      </w:r>
      <w:bookmarkEnd w:id="872"/>
    </w:p>
    <w:p>
      <w:bookmarkStart w:name="b_punto_c8_cap_03_p06" w:id="873"/>
      <w:r>
        <w:t xml:space="preserve">La perspectiva económica interpreta madera, medicina de plantas y visitas turísticas como recursos capaces de generar ingresos.</w:t>
      </w:r>
      <w:bookmarkEnd w:id="873"/>
    </w:p>
    <w:p>
      <w:bookmarkStart w:name="b_punto_c8_cap_03_p07" w:id="874"/>
      <w:r>
        <w:t xml:space="preserve">Agregar perspectivas suma conceptos, relaciones, entradas, salidas y subsistemas sin anular las miradas anteriores.</w:t>
      </w:r>
      <w:bookmarkEnd w:id="874"/>
    </w:p>
    <w:p>
      <w:bookmarkStart w:name="b_punto_c8_cap_03_p08" w:id="875"/>
      <w:r>
        <w:t xml:space="preserve">Aunque no se nombre, se comienza desde una perspectiva personal; indagar otras disciplinas y roles enriquece la comprensión, incluso al modelar sólo para comprender.</w:t>
      </w:r>
      <w:bookmarkEnd w:id="875"/>
    </w:p>
    <w:p>
      <w:pPr>
        <w:pStyle w:val="Fuente"/>
      </w:pPr>
      <w:r>
        <w:t xml:space="preserve">Véase </w:t>
      </w:r>
      <w:hyperlink w:history="1" w:anchor="b_2_1">
        <w:r>
          <w:rPr>
            <w:color w:val="156B70"/>
            <w:u w:val="single"/>
          </w:rPr>
          <w:t xml:space="preserve">capítulo 2.1 · Visión general</w:t>
        </w:r>
      </w:hyperlink>
      <w:r>
        <w:t xml:space="preserve">, pág. </w:t>
      </w:r>
      <w:r>
        <w:fldChar w:fldCharType="begin"/>
        <w:instrText xml:space="preserve">PAGEREF b_2_1 \h</w:instrText>
        <w:fldChar w:fldCharType="separate"/>
        <w:t xml:space="preserve">222</w:t>
        <w:fldChar w:fldCharType="end"/>
      </w:r>
      <w:r>
        <w:t xml:space="preserve">.</w:t>
      </w:r>
    </w:p>
    <w:p>
      <w:pPr>
        <w:pStyle w:val="Fuente"/>
      </w:pPr>
      <w:r>
        <w:t xml:space="preserve">Véase </w:t>
      </w:r>
      <w:hyperlink w:history="1" w:anchor="b_2_3">
        <w:r>
          <w:rPr>
            <w:color w:val="156B70"/>
            <w:u w:val="single"/>
          </w:rPr>
          <w:t xml:space="preserve">capítulo 2.3 · Estructura de los sistemas</w:t>
        </w:r>
      </w:hyperlink>
      <w:r>
        <w:t xml:space="preserve">, pág. </w:t>
      </w:r>
      <w:r>
        <w:fldChar w:fldCharType="begin"/>
        <w:instrText xml:space="preserve">PAGEREF b_2_3 \h</w:instrText>
        <w:fldChar w:fldCharType="separate"/>
        <w:t xml:space="preserve">259</w:t>
        <w:fldChar w:fldCharType="end"/>
      </w:r>
      <w:r>
        <w:t xml:space="preserve">.</w:t>
      </w:r>
    </w:p>
    <w:p>
      <w:pPr>
        <w:pStyle w:val="Heading3"/>
      </w:pPr>
      <w:bookmarkStart w:name="b_cita_clase_5_el_dialogo_no_es_d3045b8c" w:id="876"/>
      <w:r>
        <w:t xml:space="preserve">Palabras del profesor</w:t>
      </w:r>
      <w:bookmarkEnd w:id="876"/>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El profesor lo dijo así</w:t>
            </w:r>
          </w:p>
          <w:p>
            <w:pPr>
              <w:pStyle w:val="Recuadro"/>
            </w:pPr>
            <w:r>
              <w:t xml:space="preserve">«El diálogo no es exactamente un discurso o un debate o una charla ociosa, sino más bien es una disciplina de comunicación abierta que requiere, entre sus premisas de interacción, estar dispuestos a ser empáticos, a ver otras perspectivas.»</w:t>
            </w:r>
          </w:p>
          <w:p>
            <w:pPr>
              <w:pStyle w:val="Recuadro"/>
            </w:pPr>
            <w:r>
              <w:t xml:space="preserve">Clase 5 · 00:21:01–00:21:11</w:t>
            </w:r>
          </w:p>
        </w:tc>
      </w:tr>
    </w:tbl>
    <w:p>
      <w:pPr>
        <w:pStyle w:val="Heading3"/>
      </w:pPr>
      <w:bookmarkStart w:name="b_cita_clase_5_la_verdad_esta_repartida" w:id="877"/>
      <w:r>
        <w:t xml:space="preserve">Palabras del profesor</w:t>
      </w:r>
      <w:bookmarkEnd w:id="877"/>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El profesor lo dijo así</w:t>
            </w:r>
          </w:p>
          <w:p>
            <w:pPr>
              <w:pStyle w:val="Recuadro"/>
            </w:pPr>
            <w:r>
              <w:t xml:space="preserve">«Se parte del supuesto de que la verdad de cualquier tema que vayamos a dialogar está repartida entre todos.»</w:t>
            </w:r>
          </w:p>
          <w:p>
            <w:pPr>
              <w:pStyle w:val="Recuadro"/>
            </w:pPr>
            <w:r>
              <w:t xml:space="preserve">Clase 5 · 00:26:30–00:26:40</w:t>
            </w:r>
          </w:p>
        </w:tc>
      </w:tr>
    </w:tbl>
    <w:p>
      <w:pPr>
        <w:pStyle w:val="Heading3"/>
      </w:pPr>
      <w:bookmarkStart w:name="b_cita_clase_5_suspender_el_jui_58b6ac49" w:id="878"/>
      <w:r>
        <w:t xml:space="preserve">Palabras del profesor</w:t>
      </w:r>
      <w:bookmarkEnd w:id="878"/>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El profesor lo dijo así</w:t>
            </w:r>
          </w:p>
          <w:p>
            <w:pPr>
              <w:pStyle w:val="Recuadro"/>
            </w:pPr>
            <w:r>
              <w:t xml:space="preserve">«Puede implicar aprender a suspender el juicio personal —lo que uno considera importante o no importante— y los supuestos e interpretaciones que ya se dan en su escalera de inferencias, y ver la otra información interpretándola con los elementos que la otra parte interpreta.»</w:t>
            </w:r>
          </w:p>
          <w:p>
            <w:pPr>
              <w:pStyle w:val="Recuadro"/>
            </w:pPr>
            <w:r>
              <w:t xml:space="preserve">Clase 5 · 00:17:02–00:17:10</w:t>
            </w:r>
          </w:p>
        </w:tc>
      </w:tr>
    </w:tbl>
    <w:p>
      <w:pPr>
        <w:pStyle w:val="Heading3"/>
      </w:pPr>
      <w:bookmarkStart w:name="b_cita_clase_5_no_hay_objetivid_27a6234a" w:id="879"/>
      <w:r>
        <w:t xml:space="preserve">Palabras del profesor</w:t>
      </w:r>
      <w:bookmarkEnd w:id="879"/>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El profesor lo dijo así</w:t>
            </w:r>
          </w:p>
          <w:p>
            <w:pPr>
              <w:pStyle w:val="Recuadro"/>
            </w:pPr>
            <w:r>
              <w:t xml:space="preserve">«No puede haber una objetividad definitiva, porque no es posible salirse por completo del sistema del que uno forma parte.»</w:t>
            </w:r>
          </w:p>
          <w:p>
            <w:pPr>
              <w:pStyle w:val="Recuadro"/>
            </w:pPr>
            <w:r>
              <w:t xml:space="preserve">Clase 5 · 01:20:21–01:20:32</w:t>
            </w:r>
          </w:p>
        </w:tc>
      </w:tr>
    </w:tbl>
    <w:p>
      <w:pPr>
        <w:pStyle w:val="Heading3"/>
      </w:pPr>
      <w:bookmarkStart w:name="b_cita_clase_2_otro_paradigma_o_82f98363" w:id="880"/>
      <w:r>
        <w:t xml:space="preserve">Palabras del profesor</w:t>
      </w:r>
      <w:bookmarkEnd w:id="880"/>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El profesor lo dijo así</w:t>
            </w:r>
          </w:p>
          <w:p>
            <w:pPr>
              <w:pStyle w:val="Recuadro"/>
            </w:pPr>
            <w:r>
              <w:t xml:space="preserve">«Al hablar con una persona que tiene un paradigma diferente, usted debe considerar que está hablando con una persona que habla un idioma diferente.»</w:t>
            </w:r>
          </w:p>
          <w:p>
            <w:pPr>
              <w:pStyle w:val="Recuadro"/>
            </w:pPr>
            <w:r>
              <w:t xml:space="preserve">Clase 2 · 01:11:50–01:12:02</w:t>
            </w:r>
          </w:p>
        </w:tc>
      </w:tr>
    </w:tbl>
    <w:p>
      <w:pPr>
        <w:pStyle w:val="Heading3"/>
      </w:pPr>
      <w:bookmarkStart w:name="b_cita_clase_8_cada_perspectiva_2400dc83" w:id="881"/>
      <w:r>
        <w:t xml:space="preserve">Palabras del profesor</w:t>
      </w:r>
      <w:bookmarkEnd w:id="881"/>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El profesor lo dijo así</w:t>
            </w:r>
          </w:p>
          <w:p>
            <w:pPr>
              <w:pStyle w:val="Recuadro"/>
            </w:pPr>
            <w:r>
              <w:t xml:space="preserve">«Cada vez que cambiamos de perspectiva podemos agregar nuevos conceptos, distinguir nuevas relaciones, entradas, salidas o subsistemas que no podíamos ver desde otra perspectiva.»</w:t>
            </w:r>
          </w:p>
          <w:p>
            <w:pPr>
              <w:pStyle w:val="Recuadro"/>
            </w:pPr>
            <w:r>
              <w:t xml:space="preserve">Clase 8 · 00:22:56–00:23:50</w:t>
            </w:r>
          </w:p>
        </w:tc>
      </w:tr>
    </w:tbl>
    <w:p>
      <w:pPr>
        <w:pStyle w:val="Heading3"/>
      </w:pPr>
      <w:bookmarkStart w:name="b_cita_clase_2_multiples_perspe_1720b68c" w:id="882"/>
      <w:r>
        <w:t xml:space="preserve">Palabras del profesor</w:t>
      </w:r>
      <w:bookmarkEnd w:id="882"/>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El profesor lo dijo así</w:t>
            </w:r>
          </w:p>
          <w:p>
            <w:pPr>
              <w:pStyle w:val="Recuadro"/>
            </w:pPr>
            <w:r>
              <w:t xml:space="preserve">«El pensamiento sistémico sostiene que la realidad, al ser compleja, tiene múltiples perspectivas y tiene muchas formas de definirse, y todas son correctas.»</w:t>
            </w:r>
          </w:p>
          <w:p>
            <w:pPr>
              <w:pStyle w:val="Recuadro"/>
            </w:pPr>
            <w:r>
              <w:t xml:space="preserve">Clase 2 · 00:50:28–00:50:45</w:t>
            </w:r>
          </w:p>
        </w:tc>
      </w:tr>
    </w:tbl>
    <w:p>
      <w:pPr>
        <w:pStyle w:val="Heading3"/>
      </w:pPr>
      <w:bookmarkStart w:name="b_cita_clase_7_suspender_la_pro_0bbf74e1" w:id="883"/>
      <w:r>
        <w:t xml:space="preserve">Palabras del profesor</w:t>
      </w:r>
      <w:bookmarkEnd w:id="883"/>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El profesor lo dijo así</w:t>
            </w:r>
          </w:p>
          <w:p>
            <w:pPr>
              <w:pStyle w:val="Recuadro"/>
            </w:pPr>
            <w:r>
              <w:t xml:space="preserve">«La forma de alcanzar una visión sistémica más completa es considerar otras perspectivas, suspendiendo tempranamente la propia, apreciando la opinión de otros, y luego volviendo a la original y comparando e integrando»</w:t>
            </w:r>
          </w:p>
          <w:p>
            <w:pPr>
              <w:pStyle w:val="Recuadro"/>
            </w:pPr>
            <w:r>
              <w:t xml:space="preserve">Clase 7 · 01:13:04–01:13:30</w:t>
            </w:r>
          </w:p>
        </w:tc>
      </w:tr>
    </w:tbl>
    <w:p>
      <w:pPr>
        <w:pStyle w:val="Heading3"/>
      </w:pPr>
      <w:r>
        <w:t xml:space="preserve">Errores frecuentes y trampa de examen</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9C620A" w:sz="20"/>
              <w:bottom w:val="nil"/>
              <w:right w:val="nil"/>
            </w:tcBorders>
            <w:shd w:fill="FBF3DF" w:val="clear"/>
            <w:tcMar>
              <w:top w:type="dxa" w:w="130"/>
              <w:left w:type="dxa" w:w="180"/>
              <w:bottom w:type="dxa" w:w="130"/>
              <w:right w:type="dxa" w:w="180"/>
            </w:tcMar>
          </w:tcPr>
          <w:p>
            <w:pPr>
              <w:pStyle w:val="RecuadroTitulo"/>
            </w:pPr>
            <w:r>
              <w:rPr>
                <w:b/>
                <w:bCs/>
                <w:color w:val="9C620A"/>
              </w:rPr>
              <w:t xml:space="preserve">Error → corrección</w:t>
            </w:r>
          </w:p>
          <w:p>
            <w:pPr>
              <w:pStyle w:val="Recuadro"/>
            </w:pPr>
            <w:r>
              <w:rPr>
                <w:b/>
                <w:bCs/>
              </w:rPr>
              <w:t xml:space="preserve">Error:</w:t>
            </w:r>
            <w:r>
              <w:t xml:space="preserve"> Creer que quien ve distinto se equivoca o miente.</w:t>
            </w:r>
          </w:p>
          <w:p>
            <w:pPr>
              <w:pStyle w:val="Recuadro"/>
            </w:pPr>
            <w:r>
              <w:rPr>
                <w:b/>
                <w:bCs/>
              </w:rPr>
              <w:t xml:space="preserve">Corrección:</w:t>
            </w:r>
            <w:r>
              <w:t xml:space="preserve"> Ninguna perspectiva es correcta o incorrecta: cada quien tiene razón desde su modelo mental; descubrir el proceso inferencial del otro muestra perspectivas que faltan.</w:t>
            </w:r>
          </w:p>
          <w:p>
            <w:pPr>
              <w:pStyle w:val="Recuadro"/>
            </w:pPr>
            <w:r>
              <w:t xml:space="preserve">Clase 3 · 01:21:55–01:22:15 · Clase 3 · 01:27:28–01:27:48 · Clase 4 · 01:26:53–01:27:36</w:t>
            </w:r>
          </w:p>
        </w:tc>
      </w:tr>
    </w:tbl>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9C620A" w:sz="20"/>
              <w:bottom w:val="nil"/>
              <w:right w:val="nil"/>
            </w:tcBorders>
            <w:shd w:fill="FBF3DF" w:val="clear"/>
            <w:tcMar>
              <w:top w:type="dxa" w:w="130"/>
              <w:left w:type="dxa" w:w="180"/>
              <w:bottom w:type="dxa" w:w="130"/>
              <w:right w:type="dxa" w:w="180"/>
            </w:tcMar>
          </w:tcPr>
          <w:p>
            <w:pPr>
              <w:pStyle w:val="RecuadroTitulo"/>
            </w:pPr>
            <w:r>
              <w:rPr>
                <w:b/>
                <w:bCs/>
                <w:color w:val="9C620A"/>
              </w:rPr>
              <w:t xml:space="preserve">Error → corrección</w:t>
            </w:r>
          </w:p>
          <w:p>
            <w:pPr>
              <w:pStyle w:val="Recuadro"/>
            </w:pPr>
            <w:r>
              <w:rPr>
                <w:b/>
                <w:bCs/>
              </w:rPr>
              <w:t xml:space="preserve">Error:</w:t>
            </w:r>
            <w:r>
              <w:t xml:space="preserve"> Tomar el diálogo por un debate o dialogar sólo con quien piensa igual.</w:t>
            </w:r>
          </w:p>
          <w:p>
            <w:pPr>
              <w:pStyle w:val="Recuadro"/>
            </w:pPr>
            <w:r>
              <w:rPr>
                <w:b/>
                <w:bCs/>
              </w:rPr>
              <w:t xml:space="preserve">Corrección:</w:t>
            </w:r>
            <w:r>
              <w:t xml:space="preserve"> Es una disciplina con supuestos y reglas; con quien piensa igual se dialoga con uno mismo.</w:t>
            </w:r>
          </w:p>
          <w:p>
            <w:pPr>
              <w:pStyle w:val="Recuadro"/>
            </w:pPr>
            <w:r>
              <w:t xml:space="preserve">Clase 5 · 00:20:56–00:21:45 · Clase 5 · 00:39:09–00:40:43 · Clase 6 · 00:36:20–00:36:56</w:t>
            </w:r>
          </w:p>
        </w:tc>
      </w:tr>
    </w:tbl>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9C620A" w:sz="20"/>
              <w:bottom w:val="nil"/>
              <w:right w:val="nil"/>
            </w:tcBorders>
            <w:shd w:fill="FBF3DF" w:val="clear"/>
            <w:tcMar>
              <w:top w:type="dxa" w:w="130"/>
              <w:left w:type="dxa" w:w="180"/>
              <w:bottom w:type="dxa" w:w="130"/>
              <w:right w:type="dxa" w:w="180"/>
            </w:tcMar>
          </w:tcPr>
          <w:p>
            <w:pPr>
              <w:pStyle w:val="RecuadroTitulo"/>
            </w:pPr>
            <w:r>
              <w:rPr>
                <w:b/>
                <w:bCs/>
                <w:color w:val="9C620A"/>
              </w:rPr>
              <w:t xml:space="preserve">Error → corrección</w:t>
            </w:r>
          </w:p>
          <w:p>
            <w:pPr>
              <w:pStyle w:val="Recuadro"/>
            </w:pPr>
            <w:r>
              <w:rPr>
                <w:b/>
                <w:bCs/>
              </w:rPr>
              <w:t xml:space="preserve">Error:</w:t>
            </w:r>
            <w:r>
              <w:t xml:space="preserve"> Atacar a la persona en vez de a la idea.</w:t>
            </w:r>
          </w:p>
          <w:p>
            <w:pPr>
              <w:pStyle w:val="Recuadro"/>
            </w:pPr>
            <w:r>
              <w:rPr>
                <w:b/>
                <w:bCs/>
              </w:rPr>
              <w:t xml:space="preserve">Corrección:</w:t>
            </w:r>
            <w:r>
              <w:t xml:space="preserve"> Ideas y personas son dos sistemas diferentes; se critican las ideas, y quien no reconoce sus modelos mentales siente que lo atacan a él.</w:t>
            </w:r>
          </w:p>
          <w:p>
            <w:pPr>
              <w:pStyle w:val="Recuadro"/>
            </w:pPr>
            <w:r>
              <w:t xml:space="preserve">Clase 6 · 00:34:47–00:36:18 · Clase 6 · 00:36:58–00:37:34</w:t>
            </w:r>
          </w:p>
        </w:tc>
      </w:tr>
    </w:tbl>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9C620A" w:sz="20"/>
              <w:bottom w:val="nil"/>
              <w:right w:val="nil"/>
            </w:tcBorders>
            <w:shd w:fill="FBF3DF" w:val="clear"/>
            <w:tcMar>
              <w:top w:type="dxa" w:w="130"/>
              <w:left w:type="dxa" w:w="180"/>
              <w:bottom w:type="dxa" w:w="130"/>
              <w:right w:type="dxa" w:w="180"/>
            </w:tcMar>
          </w:tcPr>
          <w:p>
            <w:pPr>
              <w:pStyle w:val="RecuadroTitulo"/>
            </w:pPr>
            <w:r>
              <w:rPr>
                <w:b/>
                <w:bCs/>
                <w:color w:val="9C620A"/>
              </w:rPr>
              <w:t xml:space="preserve">Trampa de examen</w:t>
            </w:r>
          </w:p>
          <w:p>
            <w:pPr>
              <w:pStyle w:val="Recuadro"/>
            </w:pPr>
            <w:r>
              <w:t xml:space="preserve">«Todas las perspectivas son correctas» no significa que todo valga igual ni que no haya nada que verificar: cada una es verdadera desde sus supuestos y modela sólo algunas variables; por eso la verdad está repartida y hay que pedir los datos y supuestos del otro. Y la perspectiva objetiva no es la verdad absoluta: es mirar el sistema desde fuera, y ni ella es definitiva, porque no es posible salirse del sistema del que se forma parte.</w:t>
            </w:r>
          </w:p>
        </w:tc>
      </w:tr>
    </w:tbl>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Ampliación: lo no dictado en clase</w:t>
            </w:r>
          </w:p>
          <w:p>
            <w:pPr>
              <w:pStyle w:val="Recuadro"/>
            </w:pPr>
            <w:r>
              <w:t xml:space="preserve">La fábula de los ciegos y el elefante del laboratorio no se narró en las clases 2 a 8, y la lámina c7-09 distingue «punto» y «vista»; la clase 7 ilustra roles como puntos y el programa observado como vista (00:58:26–01:00:26). Las reglas 1 a 10 del diálogo se proyectaron sin leerse, y las 57 conclusiones entregadas sobre el video de Nogués no se leyeron en voz alta. Las descripciones cultural/indígena y climática del bosque proceden de C-6, página 39; el audio sólo las nombra.</w:t>
            </w:r>
          </w:p>
        </w:tc>
      </w:tr>
    </w:tbl>
    <w:p>
      <w:pPr>
        <w:pStyle w:val="Heading3"/>
      </w:pPr>
      <w:r>
        <w:t xml:space="preserve">Lecturas y tareas del curso</w:t>
      </w:r>
    </w:p>
    <w:p>
      <w:pPr>
        <w:pStyle w:val="Normal"/>
      </w:pPr>
      <w:r>
        <w:t xml:space="preserve">C-5 · Unidad 1 · Sistemas abstractos diseñados y paradigmas (presentación). 63 páginas con paradigmas, tipos de pensamiento, escalera de inferencias, iceberg, hábitos, DSRP y modelos sistémicos. Copia íntegra de la presentación del profesor.</w:t>
      </w:r>
    </w:p>
    <w:p>
      <w:pPr>
        <w:pStyle w:val="Normal"/>
      </w:pPr>
      <w:r>
        <w:t xml:space="preserve">C-6 · Unidad 2 · Teoría de sistemas y pensamiento sistémico (presentación). 65 páginas con teoría de sistemas, elementos, estructura, función, niveles, sinergia, emergencia, complejidad y universo de sistemas. Copia íntegra de la presentación del profesor.</w:t>
      </w:r>
    </w:p>
    <w:p>
      <w:pPr>
        <w:pStyle w:val="Normal"/>
      </w:pPr>
      <w:r>
        <w:t xml:space="preserve">L-2 · Perspectivas — Joseph O’Connor. Lectura sobre las perspectivas: punto y vista, y cómo cambiar de perspectiva amplía la comprensión de un sistema.</w:t>
      </w:r>
    </w:p>
    <w:p>
      <w:pPr>
        <w:pStyle w:val="Normal"/>
      </w:pPr>
      <w:r>
        <w:t xml:space="preserve">L-4 · La fábula de los ciegos y el elefante (extracto). Extracto sobre la fábula de los ciegos y el elefante: cada perspectiva parcial es verdadera pero incompleta; el sistema se comprende integrando puntos de vista.</w:t>
      </w:r>
    </w:p>
    <w:p>
      <w:pPr>
        <w:pStyle w:val="Normal"/>
      </w:pPr>
      <w:r>
        <w:t xml:space="preserve">Tareas relacionadas: T-3. Consulte su procedencia en la bibliografía.</w:t>
      </w:r>
    </w:p>
    <w:p>
      <w:pPr>
        <w:pStyle w:val="Heading3"/>
      </w:pPr>
      <w:r>
        <w:t xml:space="preserve">Práctica de los laboratorios</w:t>
      </w:r>
    </w:p>
    <w:p>
      <w:pPr>
        <w:pStyle w:val="Normal"/>
      </w:pPr>
      <w:r>
        <w:t xml:space="preserve">Los procedimientos del capítulo permiten reconstruir en papel la práctica interactiva. Los laboratorios originales permanecen disponibles en la lección del portal.</w:t>
      </w:r>
    </w:p>
    <w:p>
      <w:pPr>
        <w:pStyle w:val="Normal"/>
        <w:numPr>
          <w:ilvl w:val="0"/>
          <w:numId w:val="2"/>
        </w:numPr>
      </w:pPr>
      <w:r>
        <w:t xml:space="preserve">Seis perspectivas sobre el mismo elefante</w:t>
      </w:r>
    </w:p>
    <w:p>
      <w:pPr>
        <w:pStyle w:val="Heading3"/>
      </w:pPr>
      <w:r>
        <w:t xml:space="preserve">Autoevaluación</w:t>
      </w:r>
    </w:p>
    <w:p>
      <w:pPr>
        <w:pStyle w:val="Normal"/>
      </w:pPr>
      <w:r>
        <w:t xml:space="preserve">Resuelva sin consultar las respuestas. Compruebe al final del capítulo por qué cada opción es correcta o incorrecta.</w:t>
      </w:r>
    </w:p>
    <w:p>
      <w:pPr>
        <w:pStyle w:val="Heading3"/>
      </w:pPr>
      <w:bookmarkStart w:name="b_pregunta_auto_1_5_1" w:id="884"/>
      <w:r>
        <w:t xml:space="preserve">1.5-A1 · ¿Qué recorrido explica el carácter causal y circular de la empatía en la presentación?</w:t>
      </w:r>
      <w:bookmarkEnd w:id="884"/>
    </w:p>
    <w:p>
      <w:pPr>
        <w:pStyle w:val="Normal"/>
      </w:pPr>
      <w:r>
        <w:t xml:space="preserve">a) Comprender obliga al otro a aceptar mi conclusión</w:t>
      </w:r>
    </w:p>
    <w:p>
      <w:pPr>
        <w:pStyle w:val="Normal"/>
      </w:pPr>
      <w:r>
        <w:t xml:space="preserve">b) Comprender y apoyar puede hacer que el otro se sienta cuidado y devuelva apoyo</w:t>
      </w:r>
    </w:p>
    <w:p>
      <w:pPr>
        <w:pStyle w:val="Normal"/>
      </w:pPr>
      <w:r>
        <w:t xml:space="preserve">c) El apoyo sólo puede circular en una dirección</w:t>
      </w:r>
    </w:p>
    <w:p>
      <w:pPr>
        <w:pStyle w:val="Normal"/>
      </w:pPr>
      <w:r>
        <w:t xml:space="preserve">d) La empatía elimina todos los conflictos y desacuerdos</w:t>
      </w:r>
    </w:p>
    <w:p>
      <w:pPr>
        <w:pStyle w:val="Heading3"/>
      </w:pPr>
      <w:bookmarkStart w:name="b_pregunta_auto_1_5_2" w:id="885"/>
      <w:r>
        <w:t xml:space="preserve">1.5-A2 · ¿Qué contraste describe las perspectivas ecológica y económica del bosque?</w:t>
      </w:r>
      <w:bookmarkEnd w:id="885"/>
    </w:p>
    <w:p>
      <w:pPr>
        <w:pStyle w:val="Normal"/>
      </w:pPr>
      <w:r>
        <w:t xml:space="preserve">a) La ecológica sólo cuenta madera; la económica sólo especies</w:t>
      </w:r>
    </w:p>
    <w:p>
      <w:pPr>
        <w:pStyle w:val="Normal"/>
      </w:pPr>
      <w:r>
        <w:t xml:space="preserve">b) Ambas excluyen relaciones de energía y materia</w:t>
      </w:r>
    </w:p>
    <w:p>
      <w:pPr>
        <w:pStyle w:val="Normal"/>
      </w:pPr>
      <w:r>
        <w:t xml:space="preserve">c) La ecológica estudia flujos que sostienen biodiversidad; la económica, recursos e ingresos</w:t>
      </w:r>
    </w:p>
    <w:p>
      <w:pPr>
        <w:pStyle w:val="Normal"/>
      </w:pPr>
      <w:r>
        <w:t xml:space="preserve">d) La económica demuestra que las otras perspectivas son falsas</w:t>
      </w:r>
    </w:p>
    <w:p>
      <w:pPr>
        <w:pStyle w:val="Heading3"/>
      </w:pPr>
      <w:bookmarkStart w:name="b_pregunta_auto_1_5_3" w:id="886"/>
      <w:r>
        <w:t xml:space="preserve">1.5-A3 · ¿Qué aportes corresponden a las perspectivas cultural/indígena y climática del bosque?</w:t>
      </w:r>
      <w:bookmarkEnd w:id="886"/>
    </w:p>
    <w:p>
      <w:pPr>
        <w:pStyle w:val="Normal"/>
      </w:pPr>
      <w:r>
        <w:t xml:space="preserve">a) Precio de la madera; únicamente cantidad de visitantes</w:t>
      </w:r>
    </w:p>
    <w:p>
      <w:pPr>
        <w:pStyle w:val="Normal"/>
      </w:pPr>
      <w:r>
        <w:t xml:space="preserve">b) Sólo conteo de árboles; sólo límites municipales</w:t>
      </w:r>
    </w:p>
    <w:p>
      <w:pPr>
        <w:pStyle w:val="Normal"/>
      </w:pPr>
      <w:r>
        <w:t xml:space="preserve">c) Las mismas variables y los mismos valores sin diferencia</w:t>
      </w:r>
    </w:p>
    <w:p>
      <w:pPr>
        <w:pStyle w:val="Normal"/>
      </w:pPr>
      <w:r>
        <w:t xml:space="preserve">d) Identidad y territorio sagrado; captura de carbono y regulación hídrica</w:t>
      </w:r>
    </w:p>
    <w:p>
      <w:pPr>
        <w:pStyle w:val="Heading3"/>
      </w:pPr>
      <w:bookmarkStart w:name="b_pregunta_auto_1_5_4" w:id="887"/>
      <w:r>
        <w:t xml:space="preserve">1.5-A4 · Elena y Tom y la vendedora reciben el mismo informe técnico. ¿Qué permite negociar sin borrar sus diferencias?</w:t>
      </w:r>
      <w:bookmarkEnd w:id="887"/>
    </w:p>
    <w:p>
      <w:pPr>
        <w:pStyle w:val="Normal"/>
      </w:pPr>
      <w:r>
        <w:t xml:space="preserve">a) Reconstruir los supuestos de cada parte y reconsiderar prioridades con el informe común</w:t>
      </w:r>
    </w:p>
    <w:p>
      <w:pPr>
        <w:pStyle w:val="Normal"/>
      </w:pPr>
      <w:r>
        <w:t xml:space="preserve">b) Dar por probado que una parte no sabe leer</w:t>
      </w:r>
    </w:p>
    <w:p>
      <w:pPr>
        <w:pStyle w:val="Normal"/>
      </w:pPr>
      <w:r>
        <w:t xml:space="preserve">c) Creer que el informe elimina automáticamente toda perspectiva</w:t>
      </w:r>
    </w:p>
    <w:p>
      <w:pPr>
        <w:pStyle w:val="Normal"/>
      </w:pPr>
      <w:r>
        <w:t xml:space="preserve">d) Suponer que los mismos datos obligan a la misma conclusión</w:t>
      </w:r>
    </w:p>
    <w:p>
      <w:pPr>
        <w:pStyle w:val="Heading3"/>
      </w:pPr>
      <w:bookmarkStart w:name="b_pregunta_auto_1_5_5" w:id="888"/>
      <w:r>
        <w:t xml:space="preserve">1.5-A5 · ¿Para qué sirven los cinco supuestos y las diez reglas del diálogo trabajados en clase?</w:t>
      </w:r>
      <w:bookmarkEnd w:id="888"/>
    </w:p>
    <w:p>
      <w:pPr>
        <w:pStyle w:val="Normal"/>
      </w:pPr>
      <w:r>
        <w:t xml:space="preserve">a) Asegurar que gane quien hable más tiempo</w:t>
      </w:r>
    </w:p>
    <w:p>
      <w:pPr>
        <w:pStyle w:val="Normal"/>
      </w:pPr>
      <w:r>
        <w:t xml:space="preserve">b) Crear condiciones de participación, escucha y examen de perspectivas sin represalias</w:t>
      </w:r>
    </w:p>
    <w:p>
      <w:pPr>
        <w:pStyle w:val="Normal"/>
      </w:pPr>
      <w:r>
        <w:t xml:space="preserve">c) Imponer una conclusión antes de escuchar</w:t>
      </w:r>
    </w:p>
    <w:p>
      <w:pPr>
        <w:pStyle w:val="Normal"/>
      </w:pPr>
      <w:r>
        <w:t xml:space="preserve">d) Convertir el diálogo en un monólogo de la autoridad</w:t>
      </w:r>
    </w:p>
    <w:p>
      <w:pPr>
        <w:pStyle w:val="Heading3"/>
      </w:pPr>
      <w:bookmarkStart w:name="b_pregunta_auto_1_5_6" w:id="889"/>
      <w:r>
        <w:t xml:space="preserve">1.5-A6 · En su forma más básica, ¿qué dos elementos componen una perspectiva?</w:t>
      </w:r>
      <w:bookmarkEnd w:id="889"/>
    </w:p>
    <w:p>
      <w:pPr>
        <w:pStyle w:val="Normal"/>
      </w:pPr>
      <w:r>
        <w:t xml:space="preserve">a) Un punto (desde dónde se mira) y una vista (aquello que se ve)</w:t>
      </w:r>
    </w:p>
    <w:p>
      <w:pPr>
        <w:pStyle w:val="Normal"/>
      </w:pPr>
      <w:r>
        <w:t xml:space="preserve">b) Un sujeto y un objeto totalmente neutrales</w:t>
      </w:r>
    </w:p>
    <w:p>
      <w:pPr>
        <w:pStyle w:val="Normal"/>
      </w:pPr>
      <w:r>
        <w:t xml:space="preserve">c) Una causa y su efecto inmediato</w:t>
      </w:r>
    </w:p>
    <w:p>
      <w:pPr>
        <w:pStyle w:val="Normal"/>
      </w:pPr>
      <w:r>
        <w:t xml:space="preserve">d) Una parte y un todo que son idénticos</w:t>
      </w:r>
    </w:p>
    <w:p>
      <w:pPr>
        <w:pStyle w:val="Heading3"/>
      </w:pPr>
      <w:bookmarkStart w:name="b_pregunta_auto_1_5_7" w:id="890"/>
      <w:r>
        <w:t xml:space="preserve">1.5-A7 · En la fábula de los seis ciegos y el elefante, ¿por qué acaban discutiendo entre ellos?</w:t>
      </w:r>
      <w:bookmarkEnd w:id="890"/>
    </w:p>
    <w:p>
      <w:pPr>
        <w:pStyle w:val="Normal"/>
      </w:pPr>
      <w:r>
        <w:t xml:space="preserve">a) Porque uno de los ciegos miente a propósito</w:t>
      </w:r>
    </w:p>
    <w:p>
      <w:pPr>
        <w:pStyle w:val="Normal"/>
      </w:pPr>
      <w:r>
        <w:t xml:space="preserve">b) Porque cada uno toma su vista parcial —una parte real— por el animal entero</w:t>
      </w:r>
    </w:p>
    <w:p>
      <w:pPr>
        <w:pStyle w:val="Normal"/>
      </w:pPr>
      <w:r>
        <w:t xml:space="preserve">c) Porque ninguno logró tocar realmente al elefante</w:t>
      </w:r>
    </w:p>
    <w:p>
      <w:pPr>
        <w:pStyle w:val="Normal"/>
      </w:pPr>
      <w:r>
        <w:t xml:space="preserve">d) Porque todos tocaron exactamente la misma parte</w:t>
      </w:r>
    </w:p>
    <w:p>
      <w:pPr>
        <w:pStyle w:val="Heading3"/>
      </w:pPr>
      <w:bookmarkStart w:name="b_pregunta_auto_1_5_8" w:id="891"/>
      <w:r>
        <w:t xml:space="preserve">1.5-A8 · El ciego que palpa la trompa declara que el elefante es «una serpiente». ¿Cómo se valora mejor su afirmación?</w:t>
      </w:r>
      <w:bookmarkEnd w:id="891"/>
    </w:p>
    <w:p>
      <w:pPr>
        <w:pStyle w:val="Normal"/>
      </w:pPr>
      <w:r>
        <w:t xml:space="preserve">a) Es totalmente falsa: no tocó nada real</w:t>
      </w:r>
    </w:p>
    <w:p>
      <w:pPr>
        <w:pStyle w:val="Normal"/>
      </w:pPr>
      <w:r>
        <w:t xml:space="preserve">b) Es una verdad parcial: cierta para la parte, pero incompleta respecto al todo</w:t>
      </w:r>
    </w:p>
    <w:p>
      <w:pPr>
        <w:pStyle w:val="Normal"/>
      </w:pPr>
      <w:r>
        <w:t xml:space="preserve">c) Es la verdad completa sobre el elefante</w:t>
      </w:r>
    </w:p>
    <w:p>
      <w:pPr>
        <w:pStyle w:val="Normal"/>
      </w:pPr>
      <w:r>
        <w:t xml:space="preserve">d) Es una opinión sin ninguna base</w:t>
      </w:r>
    </w:p>
    <w:p>
      <w:pPr>
        <w:pStyle w:val="Heading3"/>
      </w:pPr>
      <w:bookmarkStart w:name="b_pregunta_auto_1_5_9" w:id="892"/>
      <w:r>
        <w:t xml:space="preserve">1.5-A9 · Según el pensamiento sistémico, ¿cuál es una actitud fundamental frente a las perspectivas?</w:t>
      </w:r>
      <w:bookmarkEnd w:id="892"/>
    </w:p>
    <w:p>
      <w:pPr>
        <w:pStyle w:val="Normal"/>
      </w:pPr>
      <w:r>
        <w:t xml:space="preserve">a) Elegir una sola perspectiva correcta y descartar todas las demás</w:t>
      </w:r>
    </w:p>
    <w:p>
      <w:pPr>
        <w:pStyle w:val="Normal"/>
      </w:pPr>
      <w:r>
        <w:t xml:space="preserve">b) Adoptar tantas perspectivas distintas como sea posible</w:t>
      </w:r>
    </w:p>
    <w:p>
      <w:pPr>
        <w:pStyle w:val="Normal"/>
      </w:pPr>
      <w:r>
        <w:t xml:space="preserve">c) Evitar las perspectivas subjetivas por poco fiables</w:t>
      </w:r>
    </w:p>
    <w:p>
      <w:pPr>
        <w:pStyle w:val="Normal"/>
      </w:pPr>
      <w:r>
        <w:t xml:space="preserve">d) Quedarse siempre con la perspectiva más objetiva y única</w:t>
      </w:r>
    </w:p>
    <w:p>
      <w:pPr>
        <w:pStyle w:val="Heading3"/>
      </w:pPr>
      <w:bookmarkStart w:name="b_pregunta_auto_1_5_10" w:id="893"/>
      <w:r>
        <w:t xml:space="preserve">1.5-A10 · Según O’Connor, ¿cuál es la forma más exacta de hablar de las perspectivas?</w:t>
      </w:r>
      <w:bookmarkEnd w:id="893"/>
    </w:p>
    <w:p>
      <w:pPr>
        <w:pStyle w:val="Normal"/>
      </w:pPr>
      <w:r>
        <w:t xml:space="preserve">a) Hay perspectivas verdaderas y perspectivas falsas</w:t>
      </w:r>
    </w:p>
    <w:p>
      <w:pPr>
        <w:pStyle w:val="Normal"/>
      </w:pPr>
      <w:r>
        <w:t xml:space="preserve">b) No hay perspectivas equivocadas, solo las que son útiles y las que no lo son</w:t>
      </w:r>
    </w:p>
    <w:p>
      <w:pPr>
        <w:pStyle w:val="Normal"/>
      </w:pPr>
      <w:r>
        <w:t xml:space="preserve">c) Solo la perspectiva objetiva es válida</w:t>
      </w:r>
    </w:p>
    <w:p>
      <w:pPr>
        <w:pStyle w:val="Normal"/>
      </w:pPr>
      <w:r>
        <w:t xml:space="preserve">d) Todas las perspectivas son igual de útiles en todo momento</w:t>
      </w:r>
    </w:p>
    <w:p>
      <w:pPr>
        <w:pStyle w:val="Heading3"/>
      </w:pPr>
      <w:bookmarkStart w:name="b_pregunta_auto_1_5_11" w:id="894"/>
      <w:r>
        <w:t xml:space="preserve">1.5-A11 · En términos sistémicos, ¿en qué consiste una visión OBJETIVA?</w:t>
      </w:r>
      <w:bookmarkEnd w:id="894"/>
    </w:p>
    <w:p>
      <w:pPr>
        <w:pStyle w:val="Normal"/>
      </w:pPr>
      <w:r>
        <w:t xml:space="preserve">a) Mirar un sistema desde dentro</w:t>
      </w:r>
    </w:p>
    <w:p>
      <w:pPr>
        <w:pStyle w:val="Normal"/>
      </w:pPr>
      <w:r>
        <w:t xml:space="preserve">b) Mirar un sistema desde fuera</w:t>
      </w:r>
    </w:p>
    <w:p>
      <w:pPr>
        <w:pStyle w:val="Normal"/>
      </w:pPr>
      <w:r>
        <w:t xml:space="preserve">c) Renunciar por completo al punto de vista propio</w:t>
      </w:r>
    </w:p>
    <w:p>
      <w:pPr>
        <w:pStyle w:val="Normal"/>
      </w:pPr>
      <w:r>
        <w:t xml:space="preserve">d) Ponerse en el lugar de otra persona</w:t>
      </w:r>
    </w:p>
    <w:p>
      <w:pPr>
        <w:pStyle w:val="Heading3"/>
      </w:pPr>
      <w:bookmarkStart w:name="b_pregunta_auto_1_5_12" w:id="895"/>
      <w:r>
        <w:t xml:space="preserve">1.5-A12 · ¿Qué factor señala O’Connor como el que más impide disfrutar de perspectivas distintas?</w:t>
      </w:r>
      <w:bookmarkEnd w:id="895"/>
    </w:p>
    <w:p>
      <w:pPr>
        <w:pStyle w:val="Normal"/>
      </w:pPr>
      <w:r>
        <w:t xml:space="preserve">a) El exceso de curiosidad</w:t>
      </w:r>
    </w:p>
    <w:p>
      <w:pPr>
        <w:pStyle w:val="Normal"/>
      </w:pPr>
      <w:r>
        <w:t xml:space="preserve">b) La falta de curiosidad</w:t>
      </w:r>
    </w:p>
    <w:p>
      <w:pPr>
        <w:pStyle w:val="Normal"/>
      </w:pPr>
      <w:r>
        <w:t xml:space="preserve">c) Ponerse en el punto de vista de otro</w:t>
      </w:r>
    </w:p>
    <w:p>
      <w:pPr>
        <w:pStyle w:val="Normal"/>
      </w:pPr>
      <w:r>
        <w:t xml:space="preserve">d) Dar un paso mental hacia fuera</w:t>
      </w:r>
    </w:p>
    <w:p>
      <w:pPr>
        <w:pStyle w:val="Heading3"/>
      </w:pPr>
      <w:bookmarkStart w:name="b_pregunta_auto_1_5_13" w:id="896"/>
      <w:r>
        <w:t xml:space="preserve">1.5-A13 · Cambiar de perspectiva —tomar un punto y su vista— corresponde, en el marco DSRP, a la operación…</w:t>
      </w:r>
      <w:bookmarkEnd w:id="896"/>
    </w:p>
    <w:p>
      <w:pPr>
        <w:pStyle w:val="Normal"/>
      </w:pPr>
      <w:r>
        <w:t xml:space="preserve">a) D — Distinciones (identidad y otro)</w:t>
      </w:r>
    </w:p>
    <w:p>
      <w:pPr>
        <w:pStyle w:val="Normal"/>
      </w:pPr>
      <w:r>
        <w:t xml:space="preserve">b) S — Sistemas (partes y todos)</w:t>
      </w:r>
    </w:p>
    <w:p>
      <w:pPr>
        <w:pStyle w:val="Normal"/>
      </w:pPr>
      <w:r>
        <w:t xml:space="preserve">c) R — Relaciones (acción y reacción)</w:t>
      </w:r>
    </w:p>
    <w:p>
      <w:pPr>
        <w:pStyle w:val="Normal"/>
      </w:pPr>
      <w:r>
        <w:t xml:space="preserve">d) P — Perspectivas (punto y vista)</w:t>
      </w:r>
    </w:p>
    <w:p>
      <w:pPr>
        <w:pStyle w:val="Heading3"/>
      </w:pPr>
      <w:r>
        <w:t xml:space="preserve">Ejercicios de aplicación</w:t>
      </w:r>
    </w:p>
    <w:p>
      <w:pPr>
        <w:pStyle w:val="Heading3"/>
      </w:pPr>
      <w:bookmarkStart w:name="b_pregunta_ej_P04" w:id="897"/>
      <w:r>
        <w:t xml:space="preserve">1.5-E1 · Perspectivas y supuestos</w:t>
      </w:r>
      <w:bookmarkEnd w:id="897"/>
    </w:p>
    <w:p>
      <w:pPr>
        <w:pStyle w:val="Normal"/>
      </w:pPr>
      <w:r>
        <w:t xml:space="preserve">La directora atribuye la espera a falta de esfuerzo. ¿Qué preguntarías a usuarios y trabajadores y cómo comprobarías su suposición?</w:t>
      </w:r>
    </w:p>
    <w:p>
      <w:pPr>
        <w:pStyle w:val="Heading3"/>
      </w:pPr>
      <w:bookmarkStart w:name="b_solucionario_1_5" w:id="898"/>
      <w:r>
        <w:t xml:space="preserve">Solucionario del capítulo</w:t>
      </w:r>
      <w:bookmarkEnd w:id="898"/>
    </w:p>
    <w:p>
      <w:pPr>
        <w:pStyle w:val="Heading3"/>
      </w:pPr>
      <w:r>
        <w:t xml:space="preserve">1.5-A1</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b) Comprender y apoyar puede hacer que el otro se sienta cuidado y devuelva apoyo</w:t>
            </w:r>
          </w:p>
        </w:tc>
      </w:tr>
    </w:tbl>
    <w:p>
      <w:pPr>
        <w:pStyle w:val="Normal"/>
      </w:pPr>
      <w:r>
        <w:t xml:space="preserve">La comprensión expresada en escucha y apoyo puede producir apoyo percibido y una respuesta recíproca. Es una posibilidad de interacción circular, no una garantía ni un derecho a exigir reciprocidad.</w:t>
      </w:r>
    </w:p>
    <w:p>
      <w:pPr>
        <w:pStyle w:val="Fuente"/>
      </w:pPr>
      <w:r>
        <w:t xml:space="preserve">Presentación de la unidad 1 (C-5), pág. 46</w:t>
      </w:r>
    </w:p>
    <w:p>
      <w:pPr>
        <w:pStyle w:val="Heading3"/>
      </w:pPr>
      <w:r>
        <w:t xml:space="preserve">1.5-A2</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c) La ecológica estudia flujos que sostienen biodiversidad; la económica, recursos e ingresos</w:t>
            </w:r>
          </w:p>
        </w:tc>
      </w:tr>
    </w:tbl>
    <w:p>
      <w:pPr>
        <w:pStyle w:val="Normal"/>
      </w:pPr>
      <w:r>
        <w:t xml:space="preserve">La ecológica destaca equilibrio dinámico y biodiversidad. La económica considera madera, medicina y turismo como recursos; la presentación añade su gestión sostenible. Mirar desde otro punto amplía lo que se reconoce.</w:t>
      </w:r>
    </w:p>
    <w:p>
      <w:pPr>
        <w:pStyle w:val="Fuente"/>
      </w:pPr>
      <w:r>
        <w:t xml:space="preserve">Presentación de la unidad 2 (C-6), pág. 39 · Clase 8 · 00:21:34–00:22:59</w:t>
      </w:r>
    </w:p>
    <w:p>
      <w:pPr>
        <w:pStyle w:val="Heading3"/>
      </w:pPr>
      <w:r>
        <w:t xml:space="preserve">1.5-A3</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d) Identidad y territorio sagrado; captura de carbono y regulación hídrica</w:t>
            </w:r>
          </w:p>
        </w:tc>
      </w:tr>
    </w:tbl>
    <w:p>
      <w:pPr>
        <w:pStyle w:val="Normal"/>
      </w:pPr>
      <w:r>
        <w:t xml:space="preserve">La lectura cultural o indígena considera territorio, identidad y cosmovisión. La climática destaca sumidero de carbono y regulación del agua y clima. El detalle de ambas procede del deck; el audio sólo las nombra.</w:t>
      </w:r>
    </w:p>
    <w:p>
      <w:pPr>
        <w:pStyle w:val="Fuente"/>
      </w:pPr>
      <w:r>
        <w:t xml:space="preserve">Presentación de la unidad 2 (C-6), pág. 39</w:t>
      </w:r>
    </w:p>
    <w:p>
      <w:pPr>
        <w:pStyle w:val="Heading3"/>
      </w:pPr>
      <w:r>
        <w:t xml:space="preserve">1.5-A4</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a) Reconstruir los supuestos de cada parte y reconsiderar prioridades con el informe común</w:t>
            </w:r>
          </w:p>
        </w:tc>
      </w:tr>
    </w:tbl>
    <w:p>
      <w:pPr>
        <w:pStyle w:val="Normal"/>
      </w:pPr>
      <w:r>
        <w:t xml:space="preserve">Los datos del informe son comunes, pero cada parte interpreta quién debe reparar desde expectativas distintas. Suspender temporalmente el juicio permite reconocer esas expectativas y negociar con mayor comprensión.</w:t>
      </w:r>
    </w:p>
    <w:p>
      <w:pPr>
        <w:pStyle w:val="Fuente"/>
      </w:pPr>
      <w:r>
        <w:t xml:space="preserve">Presentación de la unidad 1 (C-5), pág. 47 · Clase 5 · 00:11:32–00:16:28</w:t>
      </w:r>
    </w:p>
    <w:p>
      <w:pPr>
        <w:pStyle w:val="Heading3"/>
      </w:pPr>
      <w:r>
        <w:t xml:space="preserve">1.5-A5</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b) Crear condiciones de participación, escucha y examen de perspectivas sin represalias</w:t>
            </w:r>
          </w:p>
        </w:tc>
      </w:tr>
    </w:tbl>
    <w:p>
      <w:pPr>
        <w:pStyle w:val="Normal"/>
      </w:pPr>
      <w:r>
        <w:t xml:space="preserve">La verdad repartida y el derecho a participar requieren condiciones concretas: pedir la palabra, escuchar sin interrumpir y respetar tiempos y roles. Las reglas hacen practicable la comunicación abierta y no sustituyen la indagación.</w:t>
      </w:r>
    </w:p>
    <w:p>
      <w:pPr>
        <w:pStyle w:val="Fuente"/>
      </w:pPr>
      <w:r>
        <w:t xml:space="preserve">Presentación de la unidad 1 (C-5), pág. 49 · Clase 5 · 00:25:09–00:35:11</w:t>
      </w:r>
    </w:p>
    <w:p>
      <w:pPr>
        <w:pStyle w:val="Heading3"/>
      </w:pPr>
      <w:r>
        <w:t xml:space="preserve">1.5-A6</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a) Un punto (desde dónde se mira) y una vista (aquello que se ve)</w:t>
            </w:r>
          </w:p>
        </w:tc>
      </w:tr>
    </w:tbl>
    <w:p>
      <w:pPr>
        <w:pStyle w:val="Normal"/>
      </w:pPr>
      <w:r>
        <w:t xml:space="preserve">Toda perspectiva se descompone en un PUNTO (el lugar o marco desde el cual observamos, «desde dónde») y una VISTA (aquello que se ve desde ese punto, «hacia qué»). Es la P de DSRP.</w:t>
      </w:r>
    </w:p>
    <w:p>
      <w:pPr>
        <w:pStyle w:val="Normal"/>
      </w:pPr>
      <w:r>
        <w:t xml:space="preserve">a) Correcto: toda perspectiva es un punto de observación más la vista que ese punto produce.</w:t>
      </w:r>
    </w:p>
    <w:p>
      <w:pPr>
        <w:pStyle w:val="Normal"/>
      </w:pPr>
      <w:r>
        <w:t xml:space="preserve">b) No: no existe un punto de vista neutral; siempre se mira desde algún lugar.</w:t>
      </w:r>
    </w:p>
    <w:p>
      <w:pPr>
        <w:pStyle w:val="Normal"/>
      </w:pPr>
      <w:r>
        <w:t xml:space="preserve">c) No: eso describe una relación causal, no una perspectiva.</w:t>
      </w:r>
    </w:p>
    <w:p>
      <w:pPr>
        <w:pStyle w:val="Normal"/>
      </w:pPr>
      <w:r>
        <w:t xml:space="preserve">d) No: justamente el error de los ciegos fue confundir una parte con el todo.</w:t>
      </w:r>
    </w:p>
    <w:p>
      <w:pPr>
        <w:pStyle w:val="Fuente"/>
      </w:pPr>
      <w:r>
        <w:t xml:space="preserve">O'Connor &amp; McDermott, cap. 7 / DSRP</w:t>
      </w:r>
    </w:p>
    <w:p>
      <w:pPr>
        <w:pStyle w:val="Heading3"/>
      </w:pPr>
      <w:r>
        <w:t xml:space="preserve">1.5-A7</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b) Porque cada uno toma su vista parcial —una parte real— por el animal entero</w:t>
            </w:r>
          </w:p>
        </w:tc>
      </w:tr>
    </w:tbl>
    <w:p>
      <w:pPr>
        <w:pStyle w:val="Normal"/>
      </w:pPr>
      <w:r>
        <w:t xml:space="preserve">Cada ciego tocó una parte real (flanco, colmillo, trompa, pata, oreja, cola) y tomó esa verdad parcial por el elefante completo. «Cada uno tiene un poco de razón… y todos están equivocados.»</w:t>
      </w:r>
    </w:p>
    <w:p>
      <w:pPr>
        <w:pStyle w:val="Normal"/>
      </w:pPr>
      <w:r>
        <w:t xml:space="preserve">a) No: todos son sinceros; el problema no es la mentira sino la parcialidad.</w:t>
      </w:r>
    </w:p>
    <w:p>
      <w:pPr>
        <w:pStyle w:val="Normal"/>
      </w:pPr>
      <w:r>
        <w:t xml:space="preserve">b) Correcto: cada quien toca algo real y lo confunde con el todo.</w:t>
      </w:r>
    </w:p>
    <w:p>
      <w:pPr>
        <w:pStyle w:val="Normal"/>
      </w:pPr>
      <w:r>
        <w:t xml:space="preserve">c) No: cada uno sí tocó una parte verdadera del elefante.</w:t>
      </w:r>
    </w:p>
    <w:p>
      <w:pPr>
        <w:pStyle w:val="Normal"/>
      </w:pPr>
      <w:r>
        <w:t xml:space="preserve">d) No: cada ciego tocó una parte distinta, y de ahí las visiones opuestas.</w:t>
      </w:r>
    </w:p>
    <w:p>
      <w:pPr>
        <w:pStyle w:val="Fuente"/>
      </w:pPr>
      <w:r>
        <w:t xml:space="preserve">Fábula de Saxe / Muci-Mendoza</w:t>
      </w:r>
    </w:p>
    <w:p>
      <w:pPr>
        <w:pStyle w:val="Heading3"/>
      </w:pPr>
      <w:r>
        <w:t xml:space="preserve">1.5-A8</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b) Es una verdad parcial: cierta para la parte, pero incompleta respecto al todo</w:t>
            </w:r>
          </w:p>
        </w:tc>
      </w:tr>
    </w:tbl>
    <w:p>
      <w:pPr>
        <w:pStyle w:val="Normal"/>
      </w:pPr>
      <w:r>
        <w:t xml:space="preserve">Su vista es verdadera —la trompa sí se enrosca y repta como una serpiente— pero parcial: no agota al elefante. Verdadero, pero incompleto: ese es el patrón de toda perspectiva.</w:t>
      </w:r>
    </w:p>
    <w:p>
      <w:pPr>
        <w:pStyle w:val="Heading3"/>
      </w:pPr>
      <w:r>
        <w:t xml:space="preserve">1.5-A9</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b) Adoptar tantas perspectivas distintas como sea posible</w:t>
            </w:r>
          </w:p>
        </w:tc>
      </w:tr>
    </w:tbl>
    <w:p>
      <w:pPr>
        <w:pStyle w:val="Normal"/>
      </w:pPr>
      <w:r>
        <w:t xml:space="preserve">O'Connor: uno de los principios del pensamiento sistémico es adoptar tantas perspectivas distintas como sea posible. El mundo es más rico que cualquier representación única; cuantas más perspectivas tengamos, más rico nos parecerá.</w:t>
      </w:r>
    </w:p>
    <w:p>
      <w:pPr>
        <w:pStyle w:val="Fuente"/>
      </w:pPr>
      <w:r>
        <w:t xml:space="preserve">O'Connor &amp; McDermott, cap. 7</w:t>
      </w:r>
    </w:p>
    <w:p>
      <w:pPr>
        <w:pStyle w:val="Heading3"/>
      </w:pPr>
      <w:r>
        <w:t xml:space="preserve">1.5-A10</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b) No hay perspectivas equivocadas, solo las que son útiles y las que no lo son</w:t>
            </w:r>
          </w:p>
        </w:tc>
      </w:tr>
    </w:tbl>
    <w:p>
      <w:pPr>
        <w:pStyle w:val="Normal"/>
      </w:pPr>
      <w:r>
        <w:t xml:space="preserve">«No hay perspectivas equivocadas, sólo hay las que son útiles y las que no lo son.» El criterio de utilidad depende de un juicio de valor; la curiosidad genera perspectivas y flexibiliza los modelos mentales.</w:t>
      </w:r>
    </w:p>
    <w:p>
      <w:pPr>
        <w:pStyle w:val="Fuente"/>
      </w:pPr>
      <w:r>
        <w:t xml:space="preserve">O'Connor &amp; McDermott, cap. 7</w:t>
      </w:r>
    </w:p>
    <w:p>
      <w:pPr>
        <w:pStyle w:val="Heading3"/>
      </w:pPr>
      <w:r>
        <w:t xml:space="preserve">1.5-A11</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b) Mirar un sistema desde fuera</w:t>
            </w:r>
          </w:p>
        </w:tc>
      </w:tr>
    </w:tbl>
    <w:p>
      <w:pPr>
        <w:pStyle w:val="Normal"/>
      </w:pPr>
      <w:r>
        <w:t xml:space="preserve">Visión objetiva = mirar el sistema desde fuera; visión subjetiva = mirarlo desde dentro (la propia y la de la otra persona). El pensamiento sistémico utiliza las tres, sin quedarse en una sola.</w:t>
      </w:r>
    </w:p>
    <w:p>
      <w:pPr>
        <w:pStyle w:val="Normal"/>
      </w:pPr>
      <w:r>
        <w:t xml:space="preserve">a) No: mirar desde dentro es la visión subjetiva.</w:t>
      </w:r>
    </w:p>
    <w:p>
      <w:pPr>
        <w:pStyle w:val="Normal"/>
      </w:pPr>
      <w:r>
        <w:t xml:space="preserve">b) Correcto: la visión objetiva es dar un paso mental hacia fuera y mirar el sistema desde fuera.</w:t>
      </w:r>
    </w:p>
    <w:p>
      <w:pPr>
        <w:pStyle w:val="Normal"/>
      </w:pPr>
      <w:r>
        <w:t xml:space="preserve">c) No: nunca hay objetividad total; nadie puede salirse del sistema del que forma parte.</w:t>
      </w:r>
    </w:p>
    <w:p>
      <w:pPr>
        <w:pStyle w:val="Normal"/>
      </w:pPr>
      <w:r>
        <w:t xml:space="preserve">d) No: ponerse en el pellejo de otro es una de las visiones subjetivas.</w:t>
      </w:r>
    </w:p>
    <w:p>
      <w:pPr>
        <w:pStyle w:val="Fuente"/>
      </w:pPr>
      <w:r>
        <w:t xml:space="preserve">O'Connor &amp; McDermott, cap. 7</w:t>
      </w:r>
    </w:p>
    <w:p>
      <w:pPr>
        <w:pStyle w:val="Heading3"/>
      </w:pPr>
      <w:r>
        <w:t xml:space="preserve">1.5-A12</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b) La falta de curiosidad</w:t>
            </w:r>
          </w:p>
        </w:tc>
      </w:tr>
    </w:tbl>
    <w:p>
      <w:pPr>
        <w:pStyle w:val="Normal"/>
      </w:pPr>
      <w:r>
        <w:t xml:space="preserve">El freno más importante es la falta de curiosidad. La curiosidad, en cambio, va más allá de los modelos mentales y los pone en cuestión: nos empuja a averiguar cómo funcionan las cosas y genera perspectivas nuevas.</w:t>
      </w:r>
    </w:p>
    <w:p>
      <w:pPr>
        <w:pStyle w:val="Fuente"/>
      </w:pPr>
      <w:r>
        <w:t xml:space="preserve">O'Connor &amp; McDermott, cap. 7</w:t>
      </w:r>
    </w:p>
    <w:p>
      <w:pPr>
        <w:pStyle w:val="Heading3"/>
      </w:pPr>
      <w:r>
        <w:t xml:space="preserve">1.5-A13</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d) P — Perspectivas (punto y vista)</w:t>
            </w:r>
          </w:p>
        </w:tc>
      </w:tr>
    </w:tbl>
    <w:p>
      <w:pPr>
        <w:pStyle w:val="Normal"/>
      </w:pPr>
      <w:r>
        <w:t xml:space="preserve">La P de DSRP es Perspectivas: toda perspectiva se compone de un punto y una vista. Es una de las cuatro operaciones universales del pensamiento de Derek Cabrera, junto con Distinciones, Sistemas y Relaciones.</w:t>
      </w:r>
    </w:p>
    <w:p>
      <w:pPr>
        <w:pStyle w:val="Fuente"/>
      </w:pPr>
      <w:r>
        <w:t xml:space="preserve">DSRP · D. Cabrera</w:t>
      </w:r>
    </w:p>
    <w:p>
      <w:pPr>
        <w:pStyle w:val="Heading3"/>
      </w:pPr>
      <w:bookmarkStart w:name="b_solucion_ej_P04" w:id="899"/>
      <w:r>
        <w:t xml:space="preserve">Solución 1.5-E1</w:t>
      </w:r>
      <w:bookmarkEnd w:id="899"/>
    </w:p>
    <w:p>
      <w:pPr>
        <w:pStyle w:val="RecuadroTitulo"/>
      </w:pPr>
      <w:r>
        <w:t xml:space="preserve">Respuesta modelo</w:t>
      </w:r>
    </w:p>
    <w:p>
      <w:pPr>
        <w:pStyle w:val="Normal"/>
      </w:pPr>
      <w:r>
        <w:t xml:space="preserve">Preguntaría por tiempos, interrupciones, duplicaciones y casos complejos. Compararía volumen, capacidad y errores antes de atribuir causas. Las perspectivas aportan hipótesis; los registros y la observación permiten contrastarlas.</w:t>
      </w:r>
    </w:p>
    <w:p>
      <w:pPr>
        <w:pStyle w:val="Fuente"/>
        <w:sectPr>
          <w:headerReference w:type="default" r:id="rId72"/>
          <w:headerReference w:type="first" r:id="rId73"/>
          <w:headerReference w:type="even" r:id="rId74"/>
          <w:footerReference w:type="default" r:id="rId75"/>
          <w:footerReference w:type="first" r:id="rId76"/>
          <w:footerReference w:type="even" r:id="rId77"/>
          <w:type w:val="nextPage"/>
          <w:pgSz w:w="12240" w:h="15840" w:orient="portrait"/>
          <w:pgMar w:top="1361" w:right="1134" w:bottom="1361" w:left="1474" w:header="650" w:footer="680" w:gutter="0"/>
          <w:pgNumType/>
          <w:titlePg/>
          <w:docGrid w:linePitch="360"/>
        </w:sectPr>
      </w:pPr>
      <w:r>
        <w:t xml:space="preserve">Repaso seleccionado · guía recibida, pp. 3–5; lecciones de unidades 1–3.</w:t>
      </w:r>
    </w:p>
    <w:p>
      <w:pPr>
        <w:pStyle w:val="Heading2"/>
      </w:pPr>
      <w:bookmarkStart w:name="b_1_6" w:id="900"/>
      <w:r>
        <w:t xml:space="preserve">1.6 · Operaciones DSRP</w:t>
      </w:r>
      <w:bookmarkEnd w:id="900"/>
    </w:p>
    <w:p>
      <w:pPr>
        <w:pStyle w:val="Subtitulo"/>
      </w:pPr>
      <w:r>
        <w:t xml:space="preserve">Operaciones mentales básicas propias del pensamiento sistémico y su propiedad emergente.</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En una línea</w:t>
            </w:r>
          </w:p>
          <w:p>
            <w:pPr>
              <w:pStyle w:val="Recuadro"/>
            </w:pPr>
            <w:r>
              <w:t xml:space="preserve">Cuatro reglas simples, y de su combinación emerge el pensamiento sistémico.</w:t>
            </w:r>
          </w:p>
        </w:tc>
      </w:tr>
    </w:tbl>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Qué te preguntan</w:t>
            </w:r>
          </w:p>
          <w:p>
            <w:pPr>
              <w:pStyle w:val="Recuadro"/>
            </w:pPr>
            <w:r>
              <w:t xml:space="preserve">Enunciar las cuatro reglas simples —distinciones, sistemas, relaciones y perspectivas— y explicar sus pares: identidad/otro, parte/todo, acción/reacción y punto/vista. Aplicarlas de manera iterativa a un caso, usando las preguntas de indagación de la clase 7, y defender la tesis retomada en la clase 8: el pensamiento sistémico emerge de combinar esas operaciones, no de seguir una secuencia rígida.</w:t>
            </w:r>
          </w:p>
        </w:tc>
      </w:tr>
    </w:tbl>
    <w:p>
      <w:pPr>
        <w:pStyle w:val="Normal"/>
      </w:pPr>
      <w:r>
        <w:t xml:space="preserve">DSRP nombra las cuatro operaciones mentales sistémicas del curso, las cuatro reglas del doctor Derek Cabrera: distinciones, sistemas, relaciones y perspectivas. Son operaciones lógicas, como las aritméticas, que combinan elementos en un modelo conceptual abstracto; modelar es ordenar la información de una realidad según esas reglas. No se recorren una vez en orden: se aplica cualquiera, se pregunta si el modelo ya basta y se repite; el pensamiento sistémico es la propiedad emergente de ese hábito.</w:t>
      </w:r>
    </w:p>
    <w:p>
      <w:pPr>
        <w:pStyle w:val="Heading3"/>
      </w:pPr>
      <w:r>
        <w:t xml:space="preserve">Vocabulario clave</w:t>
      </w:r>
    </w:p>
    <w:p>
      <w:pPr>
        <w:pStyle w:val="Normal"/>
      </w:pPr>
      <w:r>
        <w:t xml:space="preserve">DSRP (distinciones, sistemas, relaciones, perspectivas) · distinción (conceptualización; A no es ni B ni C) · sistemas (partes dentro de un todo, todo compuesto de partes; subsistemas) · relaciones (flecha o línea; la salida de uno es entrada del otro) · perspectivas (punto de vista desde el que se entiende una idea) · algoritmo de Cabrera (¿es suficiente?; repetir con cualquier regla) · técnica de la indagación (una pregunta por regla) · propiedad emergente (el pensamiento sistémico no es un pensamiento en sí) · modelar (ordenar la información según las cuatro reglas)</w:t>
      </w:r>
    </w:p>
    <w:p>
      <w:pPr>
        <w:pStyle w:val="Fuente"/>
      </w:pPr>
      <w:r>
        <w:t xml:space="preserve">Recorrido: desarrollo conceptual → presentaciones → explicación en clase → errores y fuentes → práctica → solucionario.</w:t>
      </w:r>
    </w:p>
    <w:p>
      <w:pPr>
        <w:pStyle w:val="Heading3"/>
      </w:pPr>
      <w:r>
        <w:t xml:space="preserve">El bosque: un recorrido D, S, R y P completo</w:t>
      </w:r>
    </w:p>
    <w:p>
      <w:pPr>
        <w:pStyle w:val="Normal"/>
      </w:pPr>
      <w:r>
        <w:t xml:space="preserve">D: se distingue un ecosistema terrestre de seres vivos interconectados que comparten un entorno físico. La frontera del bosque permite decir qué incluimos y qué queda fuera del sistema focal.</w:t>
      </w:r>
    </w:p>
    <w:p>
      <w:pPr>
        <w:pStyle w:val="Normal"/>
      </w:pPr>
      <w:r>
        <w:t xml:space="preserve">S interna: flora (árboles, arbustos y otras plantas), fauna y microorganismos se agrupan en el bosque. Productores, consumidores y descomponedores organizan la cadena trófica; enumerar partes no basta para explicar su funcionamiento.</w:t>
      </w:r>
    </w:p>
    <w:p>
      <w:pPr>
        <w:pStyle w:val="Normal"/>
      </w:pPr>
      <w:r>
        <w:t xml:space="preserve">S hacia fuera: atmósfera, hidrósfera, suelo y sistemas agrícolas o urbanos circundantes forman el entorno considerado. Bioma, ecosfera terrestre y sistema climático global son sistemas mayores en los que se sitúa al bosque; pertenencia e intercambio son relaciones diferentes.</w:t>
      </w:r>
    </w:p>
    <w:p>
      <w:pPr>
        <w:pStyle w:val="Normal"/>
      </w:pPr>
      <w:r>
        <w:t xml:space="preserve">R: las plantas incorporan luz solar, CO</w:t>
      </w:r>
      <w:r>
        <w:rPr>
          <w:vertAlign w:val="subscript"/>
        </w:rPr>
        <w:t xml:space="preserve">2</w:t>
      </w:r>
      <w:r>
        <w:t xml:space="preserve"> y agua mediante fotosíntesis; los herbívoros consumen plantas, los carnívoros regulan poblaciones y los descomponedores devuelven nutrientes al suelo. La materia recorre ciclos y la energía fluye por el sistema.</w:t>
      </w:r>
    </w:p>
    <w:p>
      <w:pPr>
        <w:pStyle w:val="Normal"/>
      </w:pPr>
      <w:r>
        <w:t xml:space="preserve">Entradas del recorte: energía solar, lluvia, CO</w:t>
      </w:r>
      <w:r>
        <w:rPr>
          <w:vertAlign w:val="subscript"/>
        </w:rPr>
        <w:t xml:space="preserve">2</w:t>
      </w:r>
      <w:r>
        <w:t xml:space="preserve"> y nutrientes. Salidas consideradas: oxígeno, biomasa y efectos de regulación hídrica y climática. Estos últimos son servicios o efectos del funcionamiento; no todos son flujos materiales que crucen la frontera.</w:t>
      </w:r>
    </w:p>
    <w:p>
      <w:pPr>
        <w:pStyle w:val="Normal"/>
      </w:pPr>
      <w:r>
        <w:t xml:space="preserve">P: desde la ecología se ve biodiversidad y equilibrio dinámico; desde la economía, recursos y capital natural; desde la cultura o comunidad indígena, territorio e identidad; desde el clima, sumidero de carbono y regulación hídrica. Se combinan las cuatro operaciones y se vuelve a observar para mejorar el modelo.</w:t>
      </w:r>
    </w:p>
    <w:p>
      <w:pPr>
        <w:pStyle w:val="Normal"/>
      </w:pPr>
      <w:r>
        <w:t xml:space="preserve">El audio de clase 8 presenta el bosque y desarrolla las lecturas ecológica y económica. El inventario detallado de partes, pertenencia, relaciones y flujos de este recorrido se consulta en la presentación; no se atribuye todo al comentario oral.</w:t>
      </w:r>
    </w:p>
    <w:p>
      <w:pPr>
        <w:pStyle w:val="Fuente"/>
      </w:pPr>
      <w:r>
        <w:t xml:space="preserve">Presentación de la unidad 2 (C-6), pág. 39 · Clase 8 · 00:04:46–00:08:10 y 00:21:34–00:22:59</w:t>
      </w:r>
    </w:p>
    <w:p>
      <w:pPr>
        <w:pStyle w:val="Heading3"/>
      </w:pPr>
      <w:r>
        <w:t xml:space="preserve">Reconocer lo que aún no sabemos</w:t>
      </w:r>
    </w:p>
    <w:p>
      <w:pPr>
        <w:pStyle w:val="Normal"/>
      </w:pPr>
      <w:r>
        <w:t xml:space="preserve">A veces sabemos que falta algo aunque no conozcamos sus detalles. Podemos dejar en el modelo una referencia general, por ejemplo «factor de retraso todavía no identificado», y tratarla como incógnita. Así distinguimos reconocer una ausencia de inventar sus características.</w:t>
      </w:r>
    </w:p>
    <w:p>
      <w:pPr>
        <w:pStyle w:val="Normal"/>
      </w:pPr>
      <w:r>
        <w:t xml:space="preserve">Se recopilan datos reales y se vuelven a aplicar D, S, R y P para hacer el modelo más representativo. La clase presenta esta posibilidad como un anticipo; no desarrolla un método cuantitativo para medir esa incertidumbre ni un caso resuelto.</w:t>
      </w:r>
    </w:p>
    <w:p>
      <w:pPr>
        <w:pStyle w:val="Normal"/>
      </w:pPr>
      <w:r>
        <w:t xml:space="preserve">Al describir una perspectiva, conserva los papeles: editor = punto desde el que se mira; coloquialismo = vista o cosa observada. El punto no se intercambia con el objeto por el hecho de que ambos puedan modelarse como sistemas.</w:t>
      </w:r>
    </w:p>
    <w:p>
      <w:pPr>
        <w:pStyle w:val="Fuente"/>
      </w:pPr>
      <w:r>
        <w:t xml:space="preserve">Clase 7 · 01:15:38–01:16:21 · Presentación de la unidad 2 (C-6), pág. 24–26</w:t>
      </w:r>
    </w:p>
    <w:p>
      <w:pPr>
        <w:pStyle w:val="Heading3"/>
      </w:pPr>
      <w:r>
        <w:t xml:space="preserve">Qué nombra DSRP y para qué sirve</w:t>
      </w:r>
    </w:p>
    <w:p>
      <w:pPr>
        <w:pStyle w:val="Normal"/>
      </w:pPr>
      <w:r>
        <w:t xml:space="preserve">DSRP son las siglas de las cuatro operaciones mentales sistémicas del curso, su modelo principal; los mapas DSRP son diagramas de sistemas que luego se simplifican en ciclos causales y en flujos y niveles.</w:t>
      </w:r>
    </w:p>
    <w:p>
      <w:pPr>
        <w:pStyle w:val="Normal"/>
      </w:pPr>
      <w:r>
        <w:t xml:space="preserve">Son las cuatro reglas que el doctor Cabrera desarrolla en su libro, «las fundamentales para pensar sistémicamente»; modelar es ordenar la información de las realidades según lo que indican esas reglas, representando una realidad que se supone sistémica.</w:t>
      </w:r>
    </w:p>
    <w:p>
      <w:pPr>
        <w:pStyle w:val="Fuente"/>
      </w:pPr>
      <w:r>
        <w:t xml:space="preserve">Clase 1 · 00:23:20–00:24:23 · Clase 6 · 01:33:01–01:33:54 · Clase 6 · 01:36:47–01:37:34 · Clase 7 · 00:29:35–00:30:53 · Clase 8 · 00:08:07–00:09:03 · lámina c6-16</w:t>
      </w:r>
    </w:p>
    <w:p>
      <w:pPr>
        <w:pStyle w:val="Heading3"/>
      </w:pPr>
      <w:r>
        <w:t xml:space="preserve">Las cuatro reglas como las definió la clase, en el orden del acrónimo</w:t>
      </w:r>
    </w:p>
    <w:p>
      <w:pPr>
        <w:pStyle w:val="Normal"/>
      </w:pPr>
      <w:r>
        <w:t xml:space="preserve">Distinción: conceptualización, crear una idea o concepto que representa algo real; común a todo pensamiento y base de las demás reglas. Es la primera al modelar: diferenciar una cosa, parte o elemento de otros parecidos y darle un nombre; simbólicamente, A no es ni B ni C. Lo distinguido puede ser parte, sistema, relación, entrada o salida.</w:t>
      </w:r>
    </w:p>
    <w:p>
      <w:pPr>
        <w:pStyle w:val="Normal"/>
      </w:pPr>
      <w:r>
        <w:t xml:space="preserve">Sistemas: una idea se divide en partes con nombre o se agrupa en un todo mayor con nombre; partes dentro de un todo o un todo compuesto de partes, con subsistemas que a su vez son subsistemas de otro todo. «La regla básica principal más importante», aunque no la única. Los números enteros son el sistema y uno, dos, tres sus partes.</w:t>
      </w:r>
    </w:p>
    <w:p>
      <w:pPr>
        <w:pStyle w:val="Normal"/>
      </w:pPr>
      <w:r>
        <w:t xml:space="preserve">Relaciones: cómo una idea que representa una parte o un sistema y otra interactúan; relaciones dinámicas en el tiempo, dibujadas con una flecha o una línea; en la relación causal la salida de un sistema es la entrada del otro.</w:t>
      </w:r>
    </w:p>
    <w:p>
      <w:pPr>
        <w:pStyle w:val="Normal"/>
      </w:pPr>
      <w:r>
        <w:t xml:space="preserve">Perspectivas: desde un punto de vista, que suele ser un concepto, se entiende una idea; los puntos de vista varían, pero todos forman parte de un mismo sistema. «Seguramente la última que se aplica» y quizá la más difícil al inicio: la perspectiva desde la que se modela deja fuera elementos por eliminación y sesga el modelo hacia lo que uno supone válido. Cliente y vendedor: compra o venta según la perspectiva, compraventa si se integran.</w:t>
      </w:r>
    </w:p>
    <w:p>
      <w:pPr>
        <w:pStyle w:val="Fuente"/>
      </w:pPr>
      <w:r>
        <w:t xml:space="preserve">Clase 6 · 01:33:46–01:36:49 · Clase 7 · 00:30:45–00:34:44 · Clase 7 · 00:36:07–00:39:49 · Clase 7 · 00:49:58–00:50:47 · Clase 7 · 00:50:54–00:53:14 · Clase 7 · 00:54:01–00:54:44 · Clase 7 · 00:55:45–00:57:00 · Clase 7 · 01:01:28–01:01:56 · lámina c7-04 · lámina c7-08</w:t>
      </w:r>
    </w:p>
    <w:p>
      <w:pPr>
        <w:pStyle w:val="Heading3"/>
      </w:pPr>
      <w:r>
        <w:t xml:space="preserve">La práctica de la ciudad: sistemas, relaciones y observadores</w:t>
      </w:r>
    </w:p>
    <w:p>
      <w:pPr>
        <w:pStyle w:val="Normal"/>
      </w:pPr>
      <w:r>
        <w:t xml:space="preserve">Ante la imagen de una ciudad la clase preguntó cuántos sistemas se ven y validó los del chat: recolección de basura o gestión de residuos (un mismo sistema con dos conceptos), negocios, policial, reparto de alimentos, hotel, energético, plantas, mantenimiento, sistema social, tránsito y cada vehículo, más simple pero con su pequeña complejidad.</w:t>
      </w:r>
    </w:p>
    <w:p>
      <w:pPr>
        <w:pStyle w:val="Normal"/>
      </w:pPr>
      <w:r>
        <w:t xml:space="preserve">Relaciones: el accidente relaciona el auto, el camión de verduras y sus conductores; del chat, casa y mantenimiento, servicios y consumidores, basureros y negocios, verduras y restaurante, sol y paneles.</w:t>
      </w:r>
    </w:p>
    <w:p>
      <w:pPr>
        <w:pStyle w:val="Normal"/>
      </w:pPr>
      <w:r>
        <w:t xml:space="preserve">Perspectivas: espectadores, patrocinador, administrador; se identifican al final porque exigen tener la propia para comparar.</w:t>
      </w:r>
    </w:p>
    <w:p>
      <w:pPr>
        <w:pStyle w:val="Fuente"/>
      </w:pPr>
      <w:r>
        <w:t xml:space="preserve">Clase 7 · 01:16:27–01:21:25 · Clase 7 · 01:21:58–01:22:34 · Clase 7 · 01:22:27–01:26:02 · Clase 7 · 01:25:03–01:27:46 · Clase 7 · 01:28:13–01:29:24</w:t>
      </w:r>
    </w:p>
    <w:p>
      <w:pPr>
        <w:pStyle w:val="Heading3"/>
      </w:pPr>
      <w:r>
        <w:t xml:space="preserve">De dónde emerge el pensamiento sistémico</w:t>
      </w:r>
    </w:p>
    <w:p>
      <w:pPr>
        <w:pStyle w:val="Normal"/>
      </w:pPr>
      <w:r>
        <w:t xml:space="preserve">Las cuatro reglas hacen «emerger» los modelos mentales sistémicos; pensar sistémicamente es pensar estas cuatro reglas, a veces inconscientemente, y el pensamiento sistémico «no es más que una propiedad emergente» de aplicarlas rutinariamente hasta crear un hábito.</w:t>
      </w:r>
    </w:p>
    <w:p>
      <w:pPr>
        <w:pStyle w:val="Normal"/>
      </w:pPr>
      <w:r>
        <w:t xml:space="preserve">Según el doctor Cabrera, el pensamiento sistémico no es un pensamiento en sí sino el resultado del proceso: la propiedad emergente de pensar en términos de DSRP, que ordenan lo distinguido con la terminología de sistemas; es hacer consciente lo que suele hacerse inconscientemente.</w:t>
      </w:r>
    </w:p>
    <w:p>
      <w:pPr>
        <w:pStyle w:val="Fuente"/>
      </w:pPr>
      <w:r>
        <w:t xml:space="preserve">Clase 6 · 01:31:37–01:32:39 · Clase 6 · 01:36:58–01:37:34 · Clase 7 · 01:03:28–01:04:02 · Clase 7 · 01:10:24–01:11:06 · Clase 8 · 00:11:05–00:14:37</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Procedimiento</w:t>
            </w:r>
          </w:p>
          <w:p>
            <w:pPr>
              <w:pStyle w:val="Recuadro"/>
            </w:pPr>
            <w:r>
              <w:t xml:space="preserve">Cómo aplicar DSRP a un caso, iterando</w:t>
            </w:r>
          </w:p>
          <w:p>
            <w:pPr>
              <w:pStyle w:val="Recuadro"/>
            </w:pPr>
            <w:r>
              <w:t xml:space="preserve">1. </w:t>
            </w:r>
            <w:r>
              <w:rPr>
                <w:b/>
                <w:bCs/>
              </w:rPr>
              <w:t xml:space="preserve">Elegir la idea y distinguirla.</w:t>
            </w:r>
            <w:r>
              <w:t xml:space="preserve"> Partir de cualquier idea y hacer una primera distinción de una parte, relación o componente: diferenciarla de otras parecidas y darle un nombre (A no es ni B ni C); en la ciudad, el tránsito o cada vehículo. (Clase 7 · 00:30:45–00:33:08 · Clase 7 · 01:03:54–01:04:34 · lámina c7-12)</w:t>
            </w:r>
          </w:p>
          <w:p>
            <w:pPr>
              <w:pStyle w:val="Recuadro"/>
            </w:pPr>
            <w:r>
              <w:t xml:space="preserve">2. </w:t>
            </w:r>
            <w:r>
              <w:rPr>
                <w:b/>
                <w:bCs/>
              </w:rPr>
              <w:t xml:space="preserve">Organizarla en sistema.</w:t>
            </w:r>
            <w:r>
              <w:t xml:space="preserve"> Aplicar otra regla: dividir la idea en partes con nombre o agruparla en el todo mayor que la contiene, distinguiendo el sistema contenedor o los del medio; el modelo crece con otro concepto. (Clase 6 · 01:34:25–01:35:41 · Clase 7 · 01:04:32–01:05:30)</w:t>
            </w:r>
          </w:p>
          <w:p>
            <w:pPr>
              <w:pStyle w:val="Recuadro"/>
            </w:pPr>
            <w:r>
              <w:t xml:space="preserve">3. </w:t>
            </w:r>
            <w:r>
              <w:rPr>
                <w:b/>
                <w:bCs/>
              </w:rPr>
              <w:t xml:space="preserve">Relacionar.</w:t>
            </w:r>
            <w:r>
              <w:t xml:space="preserve"> Identificar cómo interactúan dos ideas del mismo contexto y dibujarlo con una flecha o una línea; en la relación causal la salida de un sistema es la entrada del otro (el accidente relaciona auto, camión y conductores). (Clase 7 · 00:50:54–00:53:14 · Clase 7 · 01:22:27–01:23:42 · lámina c7-08)</w:t>
            </w:r>
          </w:p>
          <w:p>
            <w:pPr>
              <w:pStyle w:val="Recuadro"/>
            </w:pPr>
            <w:r>
              <w:t xml:space="preserve">4. </w:t>
            </w:r>
            <w:r>
              <w:rPr>
                <w:b/>
                <w:bCs/>
              </w:rPr>
              <w:t xml:space="preserve">Declarar la perspectiva.</w:t>
            </w:r>
            <w:r>
              <w:t xml:space="preserve"> Nombrar desde qué punto de vista se modela (espectador, patrocinador, administrador; lo ontológico, lo funcional o lo genético) y preguntar qué se ve desde otro; cada cambio agrega conceptos y relaciones sin anular las otras. (Clase 7 · 01:28:13–01:29:24 · Clase 8 · 00:18:51–00:22:59)</w:t>
            </w:r>
          </w:p>
          <w:p>
            <w:pPr>
              <w:pStyle w:val="Recuadro"/>
            </w:pPr>
            <w:r>
              <w:t xml:space="preserve">5. </w:t>
            </w:r>
            <w:r>
              <w:rPr>
                <w:b/>
                <w:bCs/>
              </w:rPr>
              <w:t xml:space="preserve">Preguntar si es suficiente y repetir.</w:t>
            </w:r>
            <w:r>
              <w:t xml:space="preserve"> Si el modelo aún no basta para comprender el sistema, se vuelve a aplicar «cualquiera de las cuatro reglas», sin orden fijo, hasta que sea suficiente. (Clase 7 · 01:05:24–01:06:20 · lámina c7-12)</w:t>
            </w:r>
          </w:p>
          <w:p>
            <w:pPr>
              <w:pStyle w:val="Recuadro"/>
            </w:pPr>
            <w:r>
              <w:t xml:space="preserve">6. </w:t>
            </w:r>
            <w:r>
              <w:rPr>
                <w:b/>
                <w:bCs/>
              </w:rPr>
              <w:t xml:space="preserve">Estimular cada regla con la indagación.</w:t>
            </w:r>
            <w:r>
              <w:t xml:space="preserve"> Si no se sabe qué regla aplicar, preguntar: ¿qué es y qué no es? (distinciones); ¿qué partes forman un todo o qué todo forman las partes? (sistemas); ¿cómo se relacionan dos conceptos? (relaciones); ¿qué se ve desde cierta perspectiva y se puede pensar desde otra? (perspectivas). (Clase 7 · 01:06:47–01:08:36 · lámina c7-13)</w:t>
            </w:r>
          </w:p>
          <w:p>
            <w:pPr>
              <w:pStyle w:val="Recuadro"/>
            </w:pPr>
            <w:r>
              <w:t xml:space="preserve">El resultado no es la lista D-S-R-P llenada una vez, sino un modelo que crece en cada pasada; el pensamiento sistémico emerge del hábito de repetir el ciclo.</w:t>
            </w:r>
          </w:p>
        </w:tc>
      </w:tr>
    </w:tbl>
    <w:p>
      <w:pPr>
        <w:pStyle w:val="Heading3"/>
      </w:pPr>
      <w:bookmarkStart w:name="b_tabla_1_6_g1_dsrp" w:id="901"/>
      <w:r>
        <w:t xml:space="preserve">DSRP · las cuatro reglas y sus pares</w:t>
      </w:r>
      <w:bookmarkEnd w:id="901"/>
    </w:p>
    <w:tbl>
      <w:tblPr>
        <w:tblW w:type="dxa" w:w="9632"/>
        <w:tblBorders>
          <w:top w:val="single" w:color="C5D5DB" w:sz="4"/>
          <w:left w:val="single" w:color="C5D5DB" w:sz="4"/>
          <w:bottom w:val="single" w:color="C5D5DB" w:sz="4"/>
          <w:right w:val="single" w:color="C5D5DB" w:sz="4"/>
          <w:insideH w:val="single" w:color="E4E9EB" w:sz="3"/>
          <w:insideV w:val="single" w:color="E4E9EB" w:sz="3"/>
        </w:tblBorders>
        <w:tblLayout w:type="fixed"/>
      </w:tblPr>
      <w:tblGrid>
        <w:gridCol w:w="2408"/>
        <w:gridCol w:w="2408"/>
        <w:gridCol w:w="2408"/>
        <w:gridCol w:w="2408"/>
      </w:tblGrid>
      <w:tr>
        <w:trPr>
          <w:cantSplit/>
          <w:tblHeader/>
        </w:trPr>
        <w:tc>
          <w:tcPr>
            <w:tcW w:type="dxa" w:w="2408"/>
            <w:shd w:fill="DFEAF0" w:val="clear"/>
            <w:tcMar>
              <w:top w:type="dxa" w:w="80"/>
              <w:left w:type="dxa" w:w="100"/>
              <w:bottom w:type="dxa" w:w="80"/>
              <w:right w:type="dxa" w:w="100"/>
            </w:tcMar>
          </w:tcPr>
          <w:p>
            <w:pPr>
              <w:pStyle w:val="Tabla"/>
            </w:pPr>
            <w:r>
              <w:rPr>
                <w:b/>
                <w:bCs/>
              </w:rPr>
              <w:t xml:space="preserve">Regla</w:t>
            </w:r>
          </w:p>
        </w:tc>
        <w:tc>
          <w:tcPr>
            <w:tcW w:type="dxa" w:w="2408"/>
            <w:shd w:fill="DFEAF0" w:val="clear"/>
            <w:tcMar>
              <w:top w:type="dxa" w:w="80"/>
              <w:left w:type="dxa" w:w="100"/>
              <w:bottom w:type="dxa" w:w="80"/>
              <w:right w:type="dxa" w:w="100"/>
            </w:tcMar>
          </w:tcPr>
          <w:p>
            <w:pPr>
              <w:pStyle w:val="Tabla"/>
            </w:pPr>
            <w:r>
              <w:rPr>
                <w:b/>
                <w:bCs/>
              </w:rPr>
              <w:t xml:space="preserve">Nombre</w:t>
            </w:r>
          </w:p>
        </w:tc>
        <w:tc>
          <w:tcPr>
            <w:tcW w:type="dxa" w:w="2408"/>
            <w:shd w:fill="DFEAF0" w:val="clear"/>
            <w:tcMar>
              <w:top w:type="dxa" w:w="80"/>
              <w:left w:type="dxa" w:w="100"/>
              <w:bottom w:type="dxa" w:w="80"/>
              <w:right w:type="dxa" w:w="100"/>
            </w:tcMar>
          </w:tcPr>
          <w:p>
            <w:pPr>
              <w:pStyle w:val="Tabla"/>
            </w:pPr>
            <w:r>
              <w:rPr>
                <w:b/>
                <w:bCs/>
              </w:rPr>
              <w:t xml:space="preserve">Par coimplicado</w:t>
            </w:r>
          </w:p>
        </w:tc>
        <w:tc>
          <w:tcPr>
            <w:tcW w:type="dxa" w:w="2408"/>
            <w:shd w:fill="DFEAF0" w:val="clear"/>
            <w:tcMar>
              <w:top w:type="dxa" w:w="80"/>
              <w:left w:type="dxa" w:w="100"/>
              <w:bottom w:type="dxa" w:w="80"/>
              <w:right w:type="dxa" w:w="100"/>
            </w:tcMar>
          </w:tcPr>
          <w:p>
            <w:pPr>
              <w:pStyle w:val="Tabla"/>
            </w:pPr>
            <w:r>
              <w:rPr>
                <w:b/>
                <w:bCs/>
              </w:rPr>
              <w:t xml:space="preserve">Pregunta que dispara</w:t>
            </w:r>
          </w:p>
        </w:tc>
      </w:tr>
      <w:tr>
        <w:trPr>
          <w:cantSplit/>
          <w:tblHeader w:val="off"/>
        </w:trPr>
        <w:tc>
          <w:tcPr>
            <w:tcW w:type="dxa" w:w="2408"/>
            <w:tcMar>
              <w:top w:type="dxa" w:w="80"/>
              <w:left w:type="dxa" w:w="100"/>
              <w:bottom w:type="dxa" w:w="80"/>
              <w:right w:type="dxa" w:w="100"/>
            </w:tcMar>
          </w:tcPr>
          <w:p>
            <w:pPr>
              <w:pStyle w:val="Tabla"/>
            </w:pPr>
            <w:r>
              <w:t xml:space="preserve">D</w:t>
            </w:r>
          </w:p>
        </w:tc>
        <w:tc>
          <w:tcPr>
            <w:tcW w:type="dxa" w:w="2408"/>
            <w:tcMar>
              <w:top w:type="dxa" w:w="80"/>
              <w:left w:type="dxa" w:w="100"/>
              <w:bottom w:type="dxa" w:w="80"/>
              <w:right w:type="dxa" w:w="100"/>
            </w:tcMar>
          </w:tcPr>
          <w:p>
            <w:pPr>
              <w:pStyle w:val="Tabla"/>
            </w:pPr>
            <w:r>
              <w:t xml:space="preserve">Distinciones</w:t>
            </w:r>
          </w:p>
        </w:tc>
        <w:tc>
          <w:tcPr>
            <w:tcW w:type="dxa" w:w="2408"/>
            <w:tcMar>
              <w:top w:type="dxa" w:w="80"/>
              <w:left w:type="dxa" w:w="100"/>
              <w:bottom w:type="dxa" w:w="80"/>
              <w:right w:type="dxa" w:w="100"/>
            </w:tcMar>
          </w:tcPr>
          <w:p>
            <w:pPr>
              <w:pStyle w:val="Tabla"/>
            </w:pPr>
            <w:r>
              <w:t xml:space="preserve">identidad </w:t>
            </w:r>
            <w:r>
              <w:rPr>
                <w:rFonts w:ascii="DejaVu Serif" w:cs="DejaVu Serif" w:eastAsia="DejaVu Serif" w:hAnsi="DejaVu Serif"/>
              </w:rPr>
              <w:t xml:space="preserve">⇔</w:t>
            </w:r>
            <w:r>
              <w:t xml:space="preserve"> otro</w:t>
            </w:r>
          </w:p>
        </w:tc>
        <w:tc>
          <w:tcPr>
            <w:tcW w:type="dxa" w:w="2408"/>
            <w:tcMar>
              <w:top w:type="dxa" w:w="80"/>
              <w:left w:type="dxa" w:w="100"/>
              <w:bottom w:type="dxa" w:w="80"/>
              <w:right w:type="dxa" w:w="100"/>
            </w:tcMar>
          </w:tcPr>
          <w:p>
            <w:pPr>
              <w:pStyle w:val="Tabla"/>
            </w:pPr>
            <w:r>
              <w:t xml:space="preserve">¿Qué es esto y qué NO es? ¿Dónde está su frontera?</w:t>
            </w:r>
          </w:p>
        </w:tc>
      </w:tr>
      <w:tr>
        <w:trPr>
          <w:cantSplit/>
          <w:tblHeader w:val="off"/>
        </w:trPr>
        <w:tc>
          <w:tcPr>
            <w:tcW w:type="dxa" w:w="2408"/>
            <w:tcMar>
              <w:top w:type="dxa" w:w="80"/>
              <w:left w:type="dxa" w:w="100"/>
              <w:bottom w:type="dxa" w:w="80"/>
              <w:right w:type="dxa" w:w="100"/>
            </w:tcMar>
          </w:tcPr>
          <w:p>
            <w:pPr>
              <w:pStyle w:val="Tabla"/>
            </w:pPr>
            <w:r>
              <w:t xml:space="preserve">S</w:t>
            </w:r>
          </w:p>
        </w:tc>
        <w:tc>
          <w:tcPr>
            <w:tcW w:type="dxa" w:w="2408"/>
            <w:tcMar>
              <w:top w:type="dxa" w:w="80"/>
              <w:left w:type="dxa" w:w="100"/>
              <w:bottom w:type="dxa" w:w="80"/>
              <w:right w:type="dxa" w:w="100"/>
            </w:tcMar>
          </w:tcPr>
          <w:p>
            <w:pPr>
              <w:pStyle w:val="Tabla"/>
            </w:pPr>
            <w:r>
              <w:t xml:space="preserve">Sistemas</w:t>
            </w:r>
          </w:p>
        </w:tc>
        <w:tc>
          <w:tcPr>
            <w:tcW w:type="dxa" w:w="2408"/>
            <w:tcMar>
              <w:top w:type="dxa" w:w="80"/>
              <w:left w:type="dxa" w:w="100"/>
              <w:bottom w:type="dxa" w:w="80"/>
              <w:right w:type="dxa" w:w="100"/>
            </w:tcMar>
          </w:tcPr>
          <w:p>
            <w:pPr>
              <w:pStyle w:val="Tabla"/>
            </w:pPr>
            <w:r>
              <w:t xml:space="preserve">parte </w:t>
            </w:r>
            <w:r>
              <w:rPr>
                <w:rFonts w:ascii="DejaVu Serif" w:cs="DejaVu Serif" w:eastAsia="DejaVu Serif" w:hAnsi="DejaVu Serif"/>
              </w:rPr>
              <w:t xml:space="preserve">⇔</w:t>
            </w:r>
            <w:r>
              <w:t xml:space="preserve"> todo</w:t>
            </w:r>
          </w:p>
        </w:tc>
        <w:tc>
          <w:tcPr>
            <w:tcW w:type="dxa" w:w="2408"/>
            <w:tcMar>
              <w:top w:type="dxa" w:w="80"/>
              <w:left w:type="dxa" w:w="100"/>
              <w:bottom w:type="dxa" w:w="80"/>
              <w:right w:type="dxa" w:w="100"/>
            </w:tcMar>
          </w:tcPr>
          <w:p>
            <w:pPr>
              <w:pStyle w:val="Tabla"/>
            </w:pPr>
            <w:r>
              <w:t xml:space="preserve">¿De qué partes se compone? ¿De qué todo mayor forma parte?</w:t>
            </w:r>
          </w:p>
        </w:tc>
      </w:tr>
      <w:tr>
        <w:trPr>
          <w:cantSplit/>
          <w:tblHeader w:val="off"/>
        </w:trPr>
        <w:tc>
          <w:tcPr>
            <w:tcW w:type="dxa" w:w="2408"/>
            <w:tcMar>
              <w:top w:type="dxa" w:w="80"/>
              <w:left w:type="dxa" w:w="100"/>
              <w:bottom w:type="dxa" w:w="80"/>
              <w:right w:type="dxa" w:w="100"/>
            </w:tcMar>
          </w:tcPr>
          <w:p>
            <w:pPr>
              <w:pStyle w:val="Tabla"/>
            </w:pPr>
            <w:r>
              <w:t xml:space="preserve">R</w:t>
            </w:r>
          </w:p>
        </w:tc>
        <w:tc>
          <w:tcPr>
            <w:tcW w:type="dxa" w:w="2408"/>
            <w:tcMar>
              <w:top w:type="dxa" w:w="80"/>
              <w:left w:type="dxa" w:w="100"/>
              <w:bottom w:type="dxa" w:w="80"/>
              <w:right w:type="dxa" w:w="100"/>
            </w:tcMar>
          </w:tcPr>
          <w:p>
            <w:pPr>
              <w:pStyle w:val="Tabla"/>
            </w:pPr>
            <w:r>
              <w:t xml:space="preserve">Relaciones</w:t>
            </w:r>
          </w:p>
        </w:tc>
        <w:tc>
          <w:tcPr>
            <w:tcW w:type="dxa" w:w="2408"/>
            <w:tcMar>
              <w:top w:type="dxa" w:w="80"/>
              <w:left w:type="dxa" w:w="100"/>
              <w:bottom w:type="dxa" w:w="80"/>
              <w:right w:type="dxa" w:w="100"/>
            </w:tcMar>
          </w:tcPr>
          <w:p>
            <w:pPr>
              <w:pStyle w:val="Tabla"/>
            </w:pPr>
            <w:r>
              <w:t xml:space="preserve">acción </w:t>
            </w:r>
            <w:r>
              <w:rPr>
                <w:rFonts w:ascii="DejaVu Serif" w:cs="DejaVu Serif" w:eastAsia="DejaVu Serif" w:hAnsi="DejaVu Serif"/>
              </w:rPr>
              <w:t xml:space="preserve">⇔</w:t>
            </w:r>
            <w:r>
              <w:t xml:space="preserve"> reacción</w:t>
            </w:r>
          </w:p>
        </w:tc>
        <w:tc>
          <w:tcPr>
            <w:tcW w:type="dxa" w:w="2408"/>
            <w:tcMar>
              <w:top w:type="dxa" w:w="80"/>
              <w:left w:type="dxa" w:w="100"/>
              <w:bottom w:type="dxa" w:w="80"/>
              <w:right w:type="dxa" w:w="100"/>
            </w:tcMar>
          </w:tcPr>
          <w:p>
            <w:pPr>
              <w:pStyle w:val="Tabla"/>
            </w:pPr>
            <w:r>
              <w:t xml:space="preserve">¿Cómo se conecta con lo demás? ¿Qué acción provoca y qué reacción recibe?</w:t>
            </w:r>
          </w:p>
        </w:tc>
      </w:tr>
      <w:tr>
        <w:trPr>
          <w:cantSplit/>
          <w:tblHeader w:val="off"/>
        </w:trPr>
        <w:tc>
          <w:tcPr>
            <w:tcW w:type="dxa" w:w="2408"/>
            <w:tcMar>
              <w:top w:type="dxa" w:w="80"/>
              <w:left w:type="dxa" w:w="100"/>
              <w:bottom w:type="dxa" w:w="80"/>
              <w:right w:type="dxa" w:w="100"/>
            </w:tcMar>
          </w:tcPr>
          <w:p>
            <w:pPr>
              <w:pStyle w:val="Tabla"/>
            </w:pPr>
            <w:r>
              <w:t xml:space="preserve">P</w:t>
            </w:r>
          </w:p>
        </w:tc>
        <w:tc>
          <w:tcPr>
            <w:tcW w:type="dxa" w:w="2408"/>
            <w:tcMar>
              <w:top w:type="dxa" w:w="80"/>
              <w:left w:type="dxa" w:w="100"/>
              <w:bottom w:type="dxa" w:w="80"/>
              <w:right w:type="dxa" w:w="100"/>
            </w:tcMar>
          </w:tcPr>
          <w:p>
            <w:pPr>
              <w:pStyle w:val="Tabla"/>
            </w:pPr>
            <w:r>
              <w:t xml:space="preserve">Perspectivas</w:t>
            </w:r>
          </w:p>
        </w:tc>
        <w:tc>
          <w:tcPr>
            <w:tcW w:type="dxa" w:w="2408"/>
            <w:tcMar>
              <w:top w:type="dxa" w:w="80"/>
              <w:left w:type="dxa" w:w="100"/>
              <w:bottom w:type="dxa" w:w="80"/>
              <w:right w:type="dxa" w:w="100"/>
            </w:tcMar>
          </w:tcPr>
          <w:p>
            <w:pPr>
              <w:pStyle w:val="Tabla"/>
            </w:pPr>
            <w:r>
              <w:t xml:space="preserve">punto </w:t>
            </w:r>
            <w:r>
              <w:rPr>
                <w:rFonts w:ascii="DejaVu Serif" w:cs="DejaVu Serif" w:eastAsia="DejaVu Serif" w:hAnsi="DejaVu Serif"/>
              </w:rPr>
              <w:t xml:space="preserve">⇔</w:t>
            </w:r>
            <w:r>
              <w:t xml:space="preserve"> visión</w:t>
            </w:r>
          </w:p>
        </w:tc>
        <w:tc>
          <w:tcPr>
            <w:tcW w:type="dxa" w:w="2408"/>
            <w:tcMar>
              <w:top w:type="dxa" w:w="80"/>
              <w:left w:type="dxa" w:w="100"/>
              <w:bottom w:type="dxa" w:w="80"/>
              <w:right w:type="dxa" w:w="100"/>
            </w:tcMar>
          </w:tcPr>
          <w:p>
            <w:pPr>
              <w:pStyle w:val="Tabla"/>
            </w:pPr>
            <w:r>
              <w:t xml:space="preserve">¿Desde qué punto se está mirando? ¿Qué se ve, y qué queda fuera de vista?</w:t>
            </w:r>
          </w:p>
        </w:tc>
      </w:tr>
    </w:tbl>
    <w:p>
      <w:pPr>
        <w:pStyle w:val="Fuente"/>
      </w:pPr>
      <w:r>
        <w:t xml:space="preserve">Derek y Laura Cabrera. No es una secuencia: se aplican de forma iterativa, y de ahí emerge el pensamiento sistémico.</w:t>
      </w:r>
    </w:p>
    <w:p>
      <w:pPr>
        <w:pStyle w:val="Heading3"/>
      </w:pPr>
      <w:bookmarkStart w:name="b_tabla_1_6_g1_autores" w:id="902"/>
      <w:r>
        <w:t xml:space="preserve">Quién dijo qué</w:t>
      </w:r>
      <w:bookmarkEnd w:id="902"/>
    </w:p>
    <w:tbl>
      <w:tblPr>
        <w:tblW w:type="dxa" w:w="9632"/>
        <w:tblBorders>
          <w:top w:val="single" w:color="C5D5DB" w:sz="4"/>
          <w:left w:val="single" w:color="C5D5DB" w:sz="4"/>
          <w:bottom w:val="single" w:color="C5D5DB" w:sz="4"/>
          <w:right w:val="single" w:color="C5D5DB" w:sz="4"/>
          <w:insideH w:val="single" w:color="E4E9EB" w:sz="3"/>
          <w:insideV w:val="single" w:color="E4E9EB" w:sz="3"/>
        </w:tblBorders>
        <w:tblLayout w:type="fixed"/>
      </w:tblPr>
      <w:tblGrid>
        <w:gridCol w:w="3212"/>
        <w:gridCol w:w="3210"/>
        <w:gridCol w:w="3210"/>
      </w:tblGrid>
      <w:tr>
        <w:trPr>
          <w:cantSplit/>
          <w:tblHeader/>
        </w:trPr>
        <w:tc>
          <w:tcPr>
            <w:tcW w:type="dxa" w:w="3212"/>
            <w:shd w:fill="DFEAF0" w:val="clear"/>
            <w:tcMar>
              <w:top w:type="dxa" w:w="80"/>
              <w:left w:type="dxa" w:w="100"/>
              <w:bottom w:type="dxa" w:w="80"/>
              <w:right w:type="dxa" w:w="100"/>
            </w:tcMar>
          </w:tcPr>
          <w:p>
            <w:pPr>
              <w:pStyle w:val="Tabla"/>
            </w:pPr>
            <w:r>
              <w:rPr>
                <w:b/>
                <w:bCs/>
              </w:rPr>
              <w:t xml:space="preserve">Autor</w:t>
            </w:r>
          </w:p>
        </w:tc>
        <w:tc>
          <w:tcPr>
            <w:tcW w:type="dxa" w:w="3210"/>
            <w:shd w:fill="DFEAF0" w:val="clear"/>
            <w:tcMar>
              <w:top w:type="dxa" w:w="80"/>
              <w:left w:type="dxa" w:w="100"/>
              <w:bottom w:type="dxa" w:w="80"/>
              <w:right w:type="dxa" w:w="100"/>
            </w:tcMar>
          </w:tcPr>
          <w:p>
            <w:pPr>
              <w:pStyle w:val="Tabla"/>
            </w:pPr>
            <w:r>
              <w:rPr>
                <w:b/>
                <w:bCs/>
              </w:rPr>
              <w:t xml:space="preserve">Se le atribuye</w:t>
            </w:r>
          </w:p>
        </w:tc>
        <w:tc>
          <w:tcPr>
            <w:tcW w:type="dxa" w:w="3210"/>
            <w:shd w:fill="DFEAF0" w:val="clear"/>
            <w:tcMar>
              <w:top w:type="dxa" w:w="80"/>
              <w:left w:type="dxa" w:w="100"/>
              <w:bottom w:type="dxa" w:w="80"/>
              <w:right w:type="dxa" w:w="100"/>
            </w:tcMar>
          </w:tcPr>
          <w:p>
            <w:pPr>
              <w:pStyle w:val="Tabla"/>
            </w:pPr>
            <w:r>
              <w:rPr>
                <w:b/>
                <w:bCs/>
              </w:rPr>
              <w:t xml:space="preserve">Dónde entra</w:t>
            </w:r>
          </w:p>
        </w:tc>
      </w:tr>
      <w:tr>
        <w:trPr>
          <w:cantSplit/>
          <w:tblHeader w:val="off"/>
        </w:trPr>
        <w:tc>
          <w:tcPr>
            <w:tcW w:type="dxa" w:w="3212"/>
            <w:tcMar>
              <w:top w:type="dxa" w:w="80"/>
              <w:left w:type="dxa" w:w="100"/>
              <w:bottom w:type="dxa" w:w="80"/>
              <w:right w:type="dxa" w:w="100"/>
            </w:tcMar>
          </w:tcPr>
          <w:p>
            <w:pPr>
              <w:pStyle w:val="Tabla"/>
            </w:pPr>
            <w:r>
              <w:t xml:space="preserve">J. L. Le Moigne</w:t>
            </w:r>
          </w:p>
        </w:tc>
        <w:tc>
          <w:tcPr>
            <w:tcW w:type="dxa" w:w="3210"/>
            <w:tcMar>
              <w:top w:type="dxa" w:w="80"/>
              <w:left w:type="dxa" w:w="100"/>
              <w:bottom w:type="dxa" w:w="80"/>
              <w:right w:type="dxa" w:w="100"/>
            </w:tcMar>
          </w:tcPr>
          <w:p>
            <w:pPr>
              <w:pStyle w:val="Tabla"/>
            </w:pPr>
            <w:r>
              <w:t xml:space="preserve">La definición de objeto y el sistema generalizado; el paradigma de sistemas como teoría generalista.</w:t>
            </w:r>
          </w:p>
        </w:tc>
        <w:tc>
          <w:tcPr>
            <w:tcW w:type="dxa" w:w="3210"/>
            <w:tcMar>
              <w:top w:type="dxa" w:w="80"/>
              <w:left w:type="dxa" w:w="100"/>
              <w:bottom w:type="dxa" w:w="80"/>
              <w:right w:type="dxa" w:w="100"/>
            </w:tcMar>
          </w:tcPr>
          <w:p>
            <w:pPr>
              <w:pStyle w:val="Tabla"/>
            </w:pPr>
            <w:r>
              <w:t xml:space="preserve">1.3 · 2.2</w:t>
            </w:r>
          </w:p>
        </w:tc>
      </w:tr>
      <w:tr>
        <w:trPr>
          <w:cantSplit/>
          <w:tblHeader w:val="off"/>
        </w:trPr>
        <w:tc>
          <w:tcPr>
            <w:tcW w:type="dxa" w:w="3212"/>
            <w:tcMar>
              <w:top w:type="dxa" w:w="80"/>
              <w:left w:type="dxa" w:w="100"/>
              <w:bottom w:type="dxa" w:w="80"/>
              <w:right w:type="dxa" w:w="100"/>
            </w:tcMar>
          </w:tcPr>
          <w:p>
            <w:pPr>
              <w:pStyle w:val="Tabla"/>
            </w:pPr>
            <w:r>
              <w:t xml:space="preserve">Derek y Laura Cabrera</w:t>
            </w:r>
          </w:p>
        </w:tc>
        <w:tc>
          <w:tcPr>
            <w:tcW w:type="dxa" w:w="3210"/>
            <w:tcMar>
              <w:top w:type="dxa" w:w="80"/>
              <w:left w:type="dxa" w:w="100"/>
              <w:bottom w:type="dxa" w:w="80"/>
              <w:right w:type="dxa" w:w="100"/>
            </w:tcMar>
          </w:tcPr>
          <w:p>
            <w:pPr>
              <w:pStyle w:val="Tabla"/>
            </w:pPr>
            <w:r>
              <w:t xml:space="preserve">Las cuatro reglas simples DSRP y el pensamiento sistémico como propiedad emergente; la discordancia.</w:t>
            </w:r>
          </w:p>
        </w:tc>
        <w:tc>
          <w:tcPr>
            <w:tcW w:type="dxa" w:w="3210"/>
            <w:tcMar>
              <w:top w:type="dxa" w:w="80"/>
              <w:left w:type="dxa" w:w="100"/>
              <w:bottom w:type="dxa" w:w="80"/>
              <w:right w:type="dxa" w:w="100"/>
            </w:tcMar>
          </w:tcPr>
          <w:p>
            <w:pPr>
              <w:pStyle w:val="Tabla"/>
            </w:pPr>
            <w:r>
              <w:t xml:space="preserve">1.6</w:t>
            </w:r>
          </w:p>
        </w:tc>
      </w:tr>
      <w:tr>
        <w:trPr>
          <w:cantSplit/>
          <w:tblHeader w:val="off"/>
        </w:trPr>
        <w:tc>
          <w:tcPr>
            <w:tcW w:type="dxa" w:w="3212"/>
            <w:tcMar>
              <w:top w:type="dxa" w:w="80"/>
              <w:left w:type="dxa" w:w="100"/>
              <w:bottom w:type="dxa" w:w="80"/>
              <w:right w:type="dxa" w:w="100"/>
            </w:tcMar>
          </w:tcPr>
          <w:p>
            <w:pPr>
              <w:pStyle w:val="Tabla"/>
            </w:pPr>
            <w:r>
              <w:t xml:space="preserve">Joel Barker</w:t>
            </w:r>
          </w:p>
        </w:tc>
        <w:tc>
          <w:tcPr>
            <w:tcW w:type="dxa" w:w="3210"/>
            <w:tcMar>
              <w:top w:type="dxa" w:w="80"/>
              <w:left w:type="dxa" w:w="100"/>
              <w:bottom w:type="dxa" w:w="80"/>
              <w:right w:type="dxa" w:w="100"/>
            </w:tcMar>
          </w:tcPr>
          <w:p>
            <w:pPr>
              <w:pStyle w:val="Tabla"/>
            </w:pPr>
            <w:r>
              <w:t xml:space="preserve">Definición de paradigma, las nueve observaciones, parálisis paradigmática, efecto paradigma, enfermedad de la certidumbre y la regla de vuelta a cero.</w:t>
            </w:r>
          </w:p>
        </w:tc>
        <w:tc>
          <w:tcPr>
            <w:tcW w:type="dxa" w:w="3210"/>
            <w:tcMar>
              <w:top w:type="dxa" w:w="80"/>
              <w:left w:type="dxa" w:w="100"/>
              <w:bottom w:type="dxa" w:w="80"/>
              <w:right w:type="dxa" w:w="100"/>
            </w:tcMar>
          </w:tcPr>
          <w:p>
            <w:pPr>
              <w:pStyle w:val="Tabla"/>
            </w:pPr>
            <w:r>
              <w:t xml:space="preserve">1.1</w:t>
            </w:r>
          </w:p>
        </w:tc>
      </w:tr>
      <w:tr>
        <w:trPr>
          <w:cantSplit/>
          <w:tblHeader w:val="off"/>
        </w:trPr>
        <w:tc>
          <w:tcPr>
            <w:tcW w:type="dxa" w:w="3212"/>
            <w:tcMar>
              <w:top w:type="dxa" w:w="80"/>
              <w:left w:type="dxa" w:w="100"/>
              <w:bottom w:type="dxa" w:w="80"/>
              <w:right w:type="dxa" w:w="100"/>
            </w:tcMar>
          </w:tcPr>
          <w:p>
            <w:pPr>
              <w:pStyle w:val="Tabla"/>
            </w:pPr>
            <w:r>
              <w:t xml:space="preserve">Adam Smith</w:t>
            </w:r>
          </w:p>
        </w:tc>
        <w:tc>
          <w:tcPr>
            <w:tcW w:type="dxa" w:w="3210"/>
            <w:tcMar>
              <w:top w:type="dxa" w:w="80"/>
              <w:left w:type="dxa" w:w="100"/>
              <w:bottom w:type="dxa" w:w="80"/>
              <w:right w:type="dxa" w:w="100"/>
            </w:tcMar>
          </w:tcPr>
          <w:p>
            <w:pPr>
              <w:pStyle w:val="Tabla"/>
            </w:pPr>
            <w:r>
              <w:t xml:space="preserve">Definición de paradigma en «Los poderes de la mente».</w:t>
            </w:r>
          </w:p>
        </w:tc>
        <w:tc>
          <w:tcPr>
            <w:tcW w:type="dxa" w:w="3210"/>
            <w:tcMar>
              <w:top w:type="dxa" w:w="80"/>
              <w:left w:type="dxa" w:w="100"/>
              <w:bottom w:type="dxa" w:w="80"/>
              <w:right w:type="dxa" w:w="100"/>
            </w:tcMar>
          </w:tcPr>
          <w:p>
            <w:pPr>
              <w:pStyle w:val="Tabla"/>
            </w:pPr>
            <w:r>
              <w:t xml:space="preserve">1.1</w:t>
            </w:r>
          </w:p>
        </w:tc>
      </w:tr>
      <w:tr>
        <w:trPr>
          <w:cantSplit/>
          <w:tblHeader w:val="off"/>
        </w:trPr>
        <w:tc>
          <w:tcPr>
            <w:tcW w:type="dxa" w:w="3212"/>
            <w:tcMar>
              <w:top w:type="dxa" w:w="80"/>
              <w:left w:type="dxa" w:w="100"/>
              <w:bottom w:type="dxa" w:w="80"/>
              <w:right w:type="dxa" w:w="100"/>
            </w:tcMar>
          </w:tcPr>
          <w:p>
            <w:pPr>
              <w:pStyle w:val="Tabla"/>
            </w:pPr>
            <w:r>
              <w:t xml:space="preserve">Willis Harmon</w:t>
            </w:r>
          </w:p>
        </w:tc>
        <w:tc>
          <w:tcPr>
            <w:tcW w:type="dxa" w:w="3210"/>
            <w:tcMar>
              <w:top w:type="dxa" w:w="80"/>
              <w:left w:type="dxa" w:w="100"/>
              <w:bottom w:type="dxa" w:w="80"/>
              <w:right w:type="dxa" w:w="100"/>
            </w:tcMar>
          </w:tcPr>
          <w:p>
            <w:pPr>
              <w:pStyle w:val="Tabla"/>
            </w:pPr>
            <w:r>
              <w:t xml:space="preserve">Definición de paradigma en «Guía incompleta para el futuro» (grafía de la lámina).</w:t>
            </w:r>
          </w:p>
        </w:tc>
        <w:tc>
          <w:tcPr>
            <w:tcW w:type="dxa" w:w="3210"/>
            <w:tcMar>
              <w:top w:type="dxa" w:w="80"/>
              <w:left w:type="dxa" w:w="100"/>
              <w:bottom w:type="dxa" w:w="80"/>
              <w:right w:type="dxa" w:w="100"/>
            </w:tcMar>
          </w:tcPr>
          <w:p>
            <w:pPr>
              <w:pStyle w:val="Tabla"/>
            </w:pPr>
            <w:r>
              <w:t xml:space="preserve">1.1</w:t>
            </w:r>
          </w:p>
        </w:tc>
      </w:tr>
      <w:tr>
        <w:trPr>
          <w:cantSplit/>
          <w:tblHeader w:val="off"/>
        </w:trPr>
        <w:tc>
          <w:tcPr>
            <w:tcW w:type="dxa" w:w="3212"/>
            <w:tcMar>
              <w:top w:type="dxa" w:w="80"/>
              <w:left w:type="dxa" w:w="100"/>
              <w:bottom w:type="dxa" w:w="80"/>
              <w:right w:type="dxa" w:w="100"/>
            </w:tcMar>
          </w:tcPr>
          <w:p>
            <w:pPr>
              <w:pStyle w:val="Tabla"/>
            </w:pPr>
            <w:r>
              <w:t xml:space="preserve">Chris Argyris</w:t>
            </w:r>
          </w:p>
        </w:tc>
        <w:tc>
          <w:tcPr>
            <w:tcW w:type="dxa" w:w="3210"/>
            <w:tcMar>
              <w:top w:type="dxa" w:w="80"/>
              <w:left w:type="dxa" w:w="100"/>
              <w:bottom w:type="dxa" w:w="80"/>
              <w:right w:type="dxa" w:w="100"/>
            </w:tcMar>
          </w:tcPr>
          <w:p>
            <w:pPr>
              <w:pStyle w:val="Tabla"/>
            </w:pPr>
            <w:r>
              <w:t xml:space="preserve">La escalera de inferencias y la columna de la mano izquierda.</w:t>
            </w:r>
          </w:p>
        </w:tc>
        <w:tc>
          <w:tcPr>
            <w:tcW w:type="dxa" w:w="3210"/>
            <w:tcMar>
              <w:top w:type="dxa" w:w="80"/>
              <w:left w:type="dxa" w:w="100"/>
              <w:bottom w:type="dxa" w:w="80"/>
              <w:right w:type="dxa" w:w="100"/>
            </w:tcMar>
          </w:tcPr>
          <w:p>
            <w:pPr>
              <w:pStyle w:val="Tabla"/>
            </w:pPr>
            <w:r>
              <w:t xml:space="preserve">1.2</w:t>
            </w:r>
          </w:p>
        </w:tc>
      </w:tr>
      <w:tr>
        <w:trPr>
          <w:cantSplit/>
          <w:tblHeader w:val="off"/>
        </w:trPr>
        <w:tc>
          <w:tcPr>
            <w:tcW w:type="dxa" w:w="3212"/>
            <w:tcMar>
              <w:top w:type="dxa" w:w="80"/>
              <w:left w:type="dxa" w:w="100"/>
              <w:bottom w:type="dxa" w:w="80"/>
              <w:right w:type="dxa" w:w="100"/>
            </w:tcMar>
          </w:tcPr>
          <w:p>
            <w:pPr>
              <w:pStyle w:val="Tabla"/>
            </w:pPr>
            <w:r>
              <w:t xml:space="preserve">Peter Senge y Fredy Kofman</w:t>
            </w:r>
          </w:p>
        </w:tc>
        <w:tc>
          <w:tcPr>
            <w:tcW w:type="dxa" w:w="3210"/>
            <w:tcMar>
              <w:top w:type="dxa" w:w="80"/>
              <w:left w:type="dxa" w:w="100"/>
              <w:bottom w:type="dxa" w:w="80"/>
              <w:right w:type="dxa" w:w="100"/>
            </w:tcMar>
          </w:tcPr>
          <w:p>
            <w:pPr>
              <w:pStyle w:val="Tabla"/>
            </w:pPr>
            <w:r>
              <w:t xml:space="preserve">Difundieron la escalera; el caso Acme de los cuatro niveles.</w:t>
            </w:r>
          </w:p>
        </w:tc>
        <w:tc>
          <w:tcPr>
            <w:tcW w:type="dxa" w:w="3210"/>
            <w:tcMar>
              <w:top w:type="dxa" w:w="80"/>
              <w:left w:type="dxa" w:w="100"/>
              <w:bottom w:type="dxa" w:w="80"/>
              <w:right w:type="dxa" w:w="100"/>
            </w:tcMar>
          </w:tcPr>
          <w:p>
            <w:pPr>
              <w:pStyle w:val="Tabla"/>
            </w:pPr>
            <w:r>
              <w:t xml:space="preserve">1.2 · 1.7</w:t>
            </w:r>
          </w:p>
        </w:tc>
      </w:tr>
      <w:tr>
        <w:trPr>
          <w:cantSplit/>
          <w:tblHeader w:val="off"/>
        </w:trPr>
        <w:tc>
          <w:tcPr>
            <w:tcW w:type="dxa" w:w="3212"/>
            <w:tcMar>
              <w:top w:type="dxa" w:w="80"/>
              <w:left w:type="dxa" w:w="100"/>
              <w:bottom w:type="dxa" w:w="80"/>
              <w:right w:type="dxa" w:w="100"/>
            </w:tcMar>
          </w:tcPr>
          <w:p>
            <w:pPr>
              <w:pStyle w:val="Tabla"/>
            </w:pPr>
            <w:r>
              <w:t xml:space="preserve">Joseph O'Connor e Ian McDermott</w:t>
            </w:r>
          </w:p>
        </w:tc>
        <w:tc>
          <w:tcPr>
            <w:tcW w:type="dxa" w:w="3210"/>
            <w:tcMar>
              <w:top w:type="dxa" w:w="80"/>
              <w:left w:type="dxa" w:w="100"/>
              <w:bottom w:type="dxa" w:w="80"/>
              <w:right w:type="dxa" w:w="100"/>
            </w:tcMar>
          </w:tcPr>
          <w:p>
            <w:pPr>
              <w:pStyle w:val="Tabla"/>
            </w:pPr>
            <w:r>
              <w:t xml:space="preserve">Las cuatro operaciones mentales: eliminación, construcción, distorsión y generalización.</w:t>
            </w:r>
          </w:p>
        </w:tc>
        <w:tc>
          <w:tcPr>
            <w:tcW w:type="dxa" w:w="3210"/>
            <w:tcMar>
              <w:top w:type="dxa" w:w="80"/>
              <w:left w:type="dxa" w:w="100"/>
              <w:bottom w:type="dxa" w:w="80"/>
              <w:right w:type="dxa" w:w="100"/>
            </w:tcMar>
          </w:tcPr>
          <w:p>
            <w:pPr>
              <w:pStyle w:val="Tabla"/>
            </w:pPr>
            <w:r>
              <w:t xml:space="preserve">1.2</w:t>
            </w:r>
          </w:p>
        </w:tc>
      </w:tr>
      <w:tr>
        <w:trPr>
          <w:cantSplit/>
          <w:tblHeader w:val="off"/>
        </w:trPr>
        <w:tc>
          <w:tcPr>
            <w:tcW w:type="dxa" w:w="3212"/>
            <w:tcMar>
              <w:top w:type="dxa" w:w="80"/>
              <w:left w:type="dxa" w:w="100"/>
              <w:bottom w:type="dxa" w:w="80"/>
              <w:right w:type="dxa" w:w="100"/>
            </w:tcMar>
          </w:tcPr>
          <w:p>
            <w:pPr>
              <w:pStyle w:val="Tabla"/>
            </w:pPr>
            <w:r>
              <w:t xml:space="preserve">Peter Checkland</w:t>
            </w:r>
          </w:p>
        </w:tc>
        <w:tc>
          <w:tcPr>
            <w:tcW w:type="dxa" w:w="3210"/>
            <w:tcMar>
              <w:top w:type="dxa" w:w="80"/>
              <w:left w:type="dxa" w:w="100"/>
              <w:bottom w:type="dxa" w:w="80"/>
              <w:right w:type="dxa" w:w="100"/>
            </w:tcMar>
          </w:tcPr>
          <w:p>
            <w:pPr>
              <w:pStyle w:val="Tabla"/>
            </w:pPr>
            <w:r>
              <w:t xml:space="preserve">El mapa del universo en cuatro familias de sistemas; la Weltanschauung.</w:t>
            </w:r>
          </w:p>
        </w:tc>
        <w:tc>
          <w:tcPr>
            <w:tcW w:type="dxa" w:w="3210"/>
            <w:tcMar>
              <w:top w:type="dxa" w:w="80"/>
              <w:left w:type="dxa" w:w="100"/>
              <w:bottom w:type="dxa" w:w="80"/>
              <w:right w:type="dxa" w:w="100"/>
            </w:tcMar>
          </w:tcPr>
          <w:p>
            <w:pPr>
              <w:pStyle w:val="Tabla"/>
            </w:pPr>
            <w:r>
              <w:t xml:space="preserve">2.7</w:t>
            </w:r>
          </w:p>
        </w:tc>
      </w:tr>
      <w:tr>
        <w:trPr>
          <w:cantSplit/>
          <w:tblHeader w:val="off"/>
        </w:trPr>
        <w:tc>
          <w:tcPr>
            <w:tcW w:type="dxa" w:w="3212"/>
            <w:tcMar>
              <w:top w:type="dxa" w:w="80"/>
              <w:left w:type="dxa" w:w="100"/>
              <w:bottom w:type="dxa" w:w="80"/>
              <w:right w:type="dxa" w:w="100"/>
            </w:tcMar>
          </w:tcPr>
          <w:p>
            <w:pPr>
              <w:pStyle w:val="Tabla"/>
            </w:pPr>
            <w:r>
              <w:t xml:space="preserve">Ludwig von Bertalanffy</w:t>
            </w:r>
          </w:p>
        </w:tc>
        <w:tc>
          <w:tcPr>
            <w:tcW w:type="dxa" w:w="3210"/>
            <w:tcMar>
              <w:top w:type="dxa" w:w="80"/>
              <w:left w:type="dxa" w:w="100"/>
              <w:bottom w:type="dxa" w:w="80"/>
              <w:right w:type="dxa" w:w="100"/>
            </w:tcMar>
          </w:tcPr>
          <w:p>
            <w:pPr>
              <w:pStyle w:val="Tabla"/>
            </w:pPr>
            <w:r>
              <w:t xml:space="preserve">Fundó la Teoría General de Sistemas; el organismo como sistema abierto, los isomorfismos y la equifinalidad.</w:t>
            </w:r>
          </w:p>
        </w:tc>
        <w:tc>
          <w:tcPr>
            <w:tcW w:type="dxa" w:w="3210"/>
            <w:tcMar>
              <w:top w:type="dxa" w:w="80"/>
              <w:left w:type="dxa" w:w="100"/>
              <w:bottom w:type="dxa" w:w="80"/>
              <w:right w:type="dxa" w:w="100"/>
            </w:tcMar>
          </w:tcPr>
          <w:p>
            <w:pPr>
              <w:pStyle w:val="Tabla"/>
            </w:pPr>
            <w:r>
              <w:t xml:space="preserve">2.1 · 2.8</w:t>
            </w:r>
          </w:p>
        </w:tc>
      </w:tr>
      <w:tr>
        <w:trPr>
          <w:cantSplit/>
          <w:tblHeader w:val="off"/>
        </w:trPr>
        <w:tc>
          <w:tcPr>
            <w:tcW w:type="dxa" w:w="3212"/>
            <w:tcMar>
              <w:top w:type="dxa" w:w="80"/>
              <w:left w:type="dxa" w:w="100"/>
              <w:bottom w:type="dxa" w:w="80"/>
              <w:right w:type="dxa" w:w="100"/>
            </w:tcMar>
          </w:tcPr>
          <w:p>
            <w:pPr>
              <w:pStyle w:val="Tabla"/>
            </w:pPr>
            <w:r>
              <w:t xml:space="preserve">Walter Cannon</w:t>
            </w:r>
          </w:p>
        </w:tc>
        <w:tc>
          <w:tcPr>
            <w:tcW w:type="dxa" w:w="3210"/>
            <w:tcMar>
              <w:top w:type="dxa" w:w="80"/>
              <w:left w:type="dxa" w:w="100"/>
              <w:bottom w:type="dxa" w:w="80"/>
              <w:right w:type="dxa" w:w="100"/>
            </w:tcMar>
          </w:tcPr>
          <w:p>
            <w:pPr>
              <w:pStyle w:val="Tabla"/>
            </w:pPr>
            <w:r>
              <w:t xml:space="preserve">Acuñó homeostasis (1929), sobre el «medio interno» de Claude Bernard.</w:t>
            </w:r>
          </w:p>
        </w:tc>
        <w:tc>
          <w:tcPr>
            <w:tcW w:type="dxa" w:w="3210"/>
            <w:tcMar>
              <w:top w:type="dxa" w:w="80"/>
              <w:left w:type="dxa" w:w="100"/>
              <w:bottom w:type="dxa" w:w="80"/>
              <w:right w:type="dxa" w:w="100"/>
            </w:tcMar>
          </w:tcPr>
          <w:p>
            <w:pPr>
              <w:pStyle w:val="Tabla"/>
            </w:pPr>
            <w:r>
              <w:t xml:space="preserve">2.8</w:t>
            </w:r>
          </w:p>
        </w:tc>
      </w:tr>
      <w:tr>
        <w:trPr>
          <w:cantSplit/>
          <w:tblHeader w:val="off"/>
        </w:trPr>
        <w:tc>
          <w:tcPr>
            <w:tcW w:type="dxa" w:w="3212"/>
            <w:tcMar>
              <w:top w:type="dxa" w:w="80"/>
              <w:left w:type="dxa" w:w="100"/>
              <w:bottom w:type="dxa" w:w="80"/>
              <w:right w:type="dxa" w:w="100"/>
            </w:tcMar>
          </w:tcPr>
          <w:p>
            <w:pPr>
              <w:pStyle w:val="Tabla"/>
            </w:pPr>
            <w:r>
              <w:t xml:space="preserve">Schrödinger y Brillouin</w:t>
            </w:r>
          </w:p>
        </w:tc>
        <w:tc>
          <w:tcPr>
            <w:tcW w:type="dxa" w:w="3210"/>
            <w:tcMar>
              <w:top w:type="dxa" w:w="80"/>
              <w:left w:type="dxa" w:w="100"/>
              <w:bottom w:type="dxa" w:w="80"/>
              <w:right w:type="dxa" w:w="100"/>
            </w:tcMar>
          </w:tcPr>
          <w:p>
            <w:pPr>
              <w:pStyle w:val="Tabla"/>
            </w:pPr>
            <w:r>
              <w:t xml:space="preserve">«Se alimenta de entropía negativa»; la acuñación del término neguentropía.</w:t>
            </w:r>
          </w:p>
        </w:tc>
        <w:tc>
          <w:tcPr>
            <w:tcW w:type="dxa" w:w="3210"/>
            <w:tcMar>
              <w:top w:type="dxa" w:w="80"/>
              <w:left w:type="dxa" w:w="100"/>
              <w:bottom w:type="dxa" w:w="80"/>
              <w:right w:type="dxa" w:w="100"/>
            </w:tcMar>
          </w:tcPr>
          <w:p>
            <w:pPr>
              <w:pStyle w:val="Tabla"/>
            </w:pPr>
            <w:r>
              <w:t xml:space="preserve">2.8</w:t>
            </w:r>
          </w:p>
        </w:tc>
      </w:tr>
      <w:tr>
        <w:trPr>
          <w:cantSplit/>
          <w:tblHeader w:val="off"/>
        </w:trPr>
        <w:tc>
          <w:tcPr>
            <w:tcW w:type="dxa" w:w="3212"/>
            <w:tcMar>
              <w:top w:type="dxa" w:w="80"/>
              <w:left w:type="dxa" w:w="100"/>
              <w:bottom w:type="dxa" w:w="80"/>
              <w:right w:type="dxa" w:w="100"/>
            </w:tcMar>
          </w:tcPr>
          <w:p>
            <w:pPr>
              <w:pStyle w:val="Tabla"/>
            </w:pPr>
            <w:r>
              <w:t xml:space="preserve">Norbert Wiener</w:t>
            </w:r>
          </w:p>
        </w:tc>
        <w:tc>
          <w:tcPr>
            <w:tcW w:type="dxa" w:w="3210"/>
            <w:tcMar>
              <w:top w:type="dxa" w:w="80"/>
              <w:left w:type="dxa" w:w="100"/>
              <w:bottom w:type="dxa" w:w="80"/>
              <w:right w:type="dxa" w:w="100"/>
            </w:tcMar>
          </w:tcPr>
          <w:p>
            <w:pPr>
              <w:pStyle w:val="Tabla"/>
            </w:pPr>
            <w:r>
              <w:t xml:space="preserve">Fundó la cibernética: retroalimentación y control.</w:t>
            </w:r>
          </w:p>
        </w:tc>
        <w:tc>
          <w:tcPr>
            <w:tcW w:type="dxa" w:w="3210"/>
            <w:tcMar>
              <w:top w:type="dxa" w:w="80"/>
              <w:left w:type="dxa" w:w="100"/>
              <w:bottom w:type="dxa" w:w="80"/>
              <w:right w:type="dxa" w:w="100"/>
            </w:tcMar>
          </w:tcPr>
          <w:p>
            <w:pPr>
              <w:pStyle w:val="Tabla"/>
            </w:pPr>
            <w:r>
              <w:t xml:space="preserve">2.8</w:t>
            </w:r>
          </w:p>
        </w:tc>
      </w:tr>
      <w:tr>
        <w:trPr>
          <w:cantSplit/>
          <w:tblHeader w:val="off"/>
        </w:trPr>
        <w:tc>
          <w:tcPr>
            <w:tcW w:type="dxa" w:w="3212"/>
            <w:tcMar>
              <w:top w:type="dxa" w:w="80"/>
              <w:left w:type="dxa" w:w="100"/>
              <w:bottom w:type="dxa" w:w="80"/>
              <w:right w:type="dxa" w:w="100"/>
            </w:tcMar>
          </w:tcPr>
          <w:p>
            <w:pPr>
              <w:pStyle w:val="Tabla"/>
            </w:pPr>
            <w:r>
              <w:t xml:space="preserve">W. Ross Ashby</w:t>
            </w:r>
          </w:p>
        </w:tc>
        <w:tc>
          <w:tcPr>
            <w:tcW w:type="dxa" w:w="3210"/>
            <w:tcMar>
              <w:top w:type="dxa" w:w="80"/>
              <w:left w:type="dxa" w:w="100"/>
              <w:bottom w:type="dxa" w:w="80"/>
              <w:right w:type="dxa" w:w="100"/>
            </w:tcMar>
          </w:tcPr>
          <w:p>
            <w:pPr>
              <w:pStyle w:val="Tabla"/>
            </w:pPr>
            <w:r>
              <w:t xml:space="preserve">La ley de la variedad requerida. Ampliación bibliográfica: no se dictó.</w:t>
            </w:r>
          </w:p>
        </w:tc>
        <w:tc>
          <w:tcPr>
            <w:tcW w:type="dxa" w:w="3210"/>
            <w:tcMar>
              <w:top w:type="dxa" w:w="80"/>
              <w:left w:type="dxa" w:w="100"/>
              <w:bottom w:type="dxa" w:w="80"/>
              <w:right w:type="dxa" w:w="100"/>
            </w:tcMar>
          </w:tcPr>
          <w:p>
            <w:pPr>
              <w:pStyle w:val="Tabla"/>
            </w:pPr>
            <w:r>
              <w:t xml:space="preserve">2.8</w:t>
            </w:r>
          </w:p>
        </w:tc>
      </w:tr>
      <w:tr>
        <w:trPr>
          <w:cantSplit/>
          <w:tblHeader w:val="off"/>
        </w:trPr>
        <w:tc>
          <w:tcPr>
            <w:tcW w:type="dxa" w:w="3212"/>
            <w:tcMar>
              <w:top w:type="dxa" w:w="80"/>
              <w:left w:type="dxa" w:w="100"/>
              <w:bottom w:type="dxa" w:w="80"/>
              <w:right w:type="dxa" w:w="100"/>
            </w:tcMar>
          </w:tcPr>
          <w:p>
            <w:pPr>
              <w:pStyle w:val="Tabla"/>
            </w:pPr>
            <w:r>
              <w:t xml:space="preserve">Arthur Koestler</w:t>
            </w:r>
          </w:p>
        </w:tc>
        <w:tc>
          <w:tcPr>
            <w:tcW w:type="dxa" w:w="3210"/>
            <w:tcMar>
              <w:top w:type="dxa" w:w="80"/>
              <w:left w:type="dxa" w:w="100"/>
              <w:bottom w:type="dxa" w:w="80"/>
              <w:right w:type="dxa" w:w="100"/>
            </w:tcMar>
          </w:tcPr>
          <w:p>
            <w:pPr>
              <w:pStyle w:val="Tabla"/>
            </w:pPr>
            <w:r>
              <w:t xml:space="preserve">Holón y holarquía: lo que es todo y parte a la vez.</w:t>
            </w:r>
          </w:p>
        </w:tc>
        <w:tc>
          <w:tcPr>
            <w:tcW w:type="dxa" w:w="3210"/>
            <w:tcMar>
              <w:top w:type="dxa" w:w="80"/>
              <w:left w:type="dxa" w:w="100"/>
              <w:bottom w:type="dxa" w:w="80"/>
              <w:right w:type="dxa" w:w="100"/>
            </w:tcMar>
          </w:tcPr>
          <w:p>
            <w:pPr>
              <w:pStyle w:val="Tabla"/>
            </w:pPr>
            <w:r>
              <w:t xml:space="preserve">2.4</w:t>
            </w:r>
          </w:p>
        </w:tc>
      </w:tr>
      <w:tr>
        <w:trPr>
          <w:cantSplit/>
          <w:tblHeader w:val="off"/>
        </w:trPr>
        <w:tc>
          <w:tcPr>
            <w:tcW w:type="dxa" w:w="3212"/>
            <w:tcMar>
              <w:top w:type="dxa" w:w="80"/>
              <w:left w:type="dxa" w:w="100"/>
              <w:bottom w:type="dxa" w:w="80"/>
              <w:right w:type="dxa" w:w="100"/>
            </w:tcMar>
          </w:tcPr>
          <w:p>
            <w:pPr>
              <w:pStyle w:val="Tabla"/>
            </w:pPr>
            <w:r>
              <w:t xml:space="preserve">Kenneth Boulding</w:t>
            </w:r>
          </w:p>
        </w:tc>
        <w:tc>
          <w:tcPr>
            <w:tcW w:type="dxa" w:w="3210"/>
            <w:tcMar>
              <w:top w:type="dxa" w:w="80"/>
              <w:left w:type="dxa" w:w="100"/>
              <w:bottom w:type="dxa" w:w="80"/>
              <w:right w:type="dxa" w:w="100"/>
            </w:tcMar>
          </w:tcPr>
          <w:p>
            <w:pPr>
              <w:pStyle w:val="Tabla"/>
            </w:pPr>
            <w:r>
              <w:t xml:space="preserve">Una jerarquía de sistemas por grado de complejidad. Se menciona; sus niveles no se enumeraron en clase.</w:t>
            </w:r>
          </w:p>
        </w:tc>
        <w:tc>
          <w:tcPr>
            <w:tcW w:type="dxa" w:w="3210"/>
            <w:tcMar>
              <w:top w:type="dxa" w:w="80"/>
              <w:left w:type="dxa" w:w="100"/>
              <w:bottom w:type="dxa" w:w="80"/>
              <w:right w:type="dxa" w:w="100"/>
            </w:tcMar>
          </w:tcPr>
          <w:p>
            <w:pPr>
              <w:pStyle w:val="Tabla"/>
            </w:pPr>
            <w:r>
              <w:t xml:space="preserve">2.4</w:t>
            </w:r>
          </w:p>
        </w:tc>
      </w:tr>
      <w:tr>
        <w:trPr>
          <w:cantSplit/>
          <w:tblHeader w:val="off"/>
        </w:trPr>
        <w:tc>
          <w:tcPr>
            <w:tcW w:type="dxa" w:w="3212"/>
            <w:tcMar>
              <w:top w:type="dxa" w:w="80"/>
              <w:left w:type="dxa" w:w="100"/>
              <w:bottom w:type="dxa" w:w="80"/>
              <w:right w:type="dxa" w:w="100"/>
            </w:tcMar>
          </w:tcPr>
          <w:p>
            <w:pPr>
              <w:pStyle w:val="Tabla"/>
            </w:pPr>
            <w:r>
              <w:t xml:space="preserve">Donella Meadows</w:t>
            </w:r>
          </w:p>
        </w:tc>
        <w:tc>
          <w:tcPr>
            <w:tcW w:type="dxa" w:w="3210"/>
            <w:tcMar>
              <w:top w:type="dxa" w:w="80"/>
              <w:left w:type="dxa" w:w="100"/>
              <w:bottom w:type="dxa" w:w="80"/>
              <w:right w:type="dxa" w:w="100"/>
            </w:tcMar>
          </w:tcPr>
          <w:p>
            <w:pPr>
              <w:pStyle w:val="Tabla"/>
            </w:pPr>
            <w:r>
              <w:t xml:space="preserve">Elementos, interconexiones y función o propósito. Complemento bibliográfico: para el examen manda la lámina.</w:t>
            </w:r>
          </w:p>
        </w:tc>
        <w:tc>
          <w:tcPr>
            <w:tcW w:type="dxa" w:w="3210"/>
            <w:tcMar>
              <w:top w:type="dxa" w:w="80"/>
              <w:left w:type="dxa" w:w="100"/>
              <w:bottom w:type="dxa" w:w="80"/>
              <w:right w:type="dxa" w:w="100"/>
            </w:tcMar>
          </w:tcPr>
          <w:p>
            <w:pPr>
              <w:pStyle w:val="Tabla"/>
            </w:pPr>
            <w:r>
              <w:t xml:space="preserve">2.2</w:t>
            </w:r>
          </w:p>
        </w:tc>
      </w:tr>
      <w:tr>
        <w:trPr>
          <w:cantSplit/>
          <w:tblHeader w:val="off"/>
        </w:trPr>
        <w:tc>
          <w:tcPr>
            <w:tcW w:type="dxa" w:w="3212"/>
            <w:tcMar>
              <w:top w:type="dxa" w:w="80"/>
              <w:left w:type="dxa" w:w="100"/>
              <w:bottom w:type="dxa" w:w="80"/>
              <w:right w:type="dxa" w:w="100"/>
            </w:tcMar>
          </w:tcPr>
          <w:p>
            <w:pPr>
              <w:pStyle w:val="Tabla"/>
            </w:pPr>
            <w:r>
              <w:t xml:space="preserve">Waters Center (Benson y Marlin)</w:t>
            </w:r>
          </w:p>
        </w:tc>
        <w:tc>
          <w:tcPr>
            <w:tcW w:type="dxa" w:w="3210"/>
            <w:tcMar>
              <w:top w:type="dxa" w:w="80"/>
              <w:left w:type="dxa" w:w="100"/>
              <w:bottom w:type="dxa" w:w="80"/>
              <w:right w:type="dxa" w:w="100"/>
            </w:tcMar>
          </w:tcPr>
          <w:p>
            <w:pPr>
              <w:pStyle w:val="Tabla"/>
            </w:pPr>
            <w:r>
              <w:t xml:space="preserve">Los quince cursos y catorce hábitos del pensador sistémico.</w:t>
            </w:r>
          </w:p>
        </w:tc>
        <w:tc>
          <w:tcPr>
            <w:tcW w:type="dxa" w:w="3210"/>
            <w:tcMar>
              <w:top w:type="dxa" w:w="80"/>
              <w:left w:type="dxa" w:w="100"/>
              <w:bottom w:type="dxa" w:w="80"/>
              <w:right w:type="dxa" w:w="100"/>
            </w:tcMar>
          </w:tcPr>
          <w:p>
            <w:pPr>
              <w:pStyle w:val="Tabla"/>
            </w:pPr>
            <w:r>
              <w:t xml:space="preserve">1.8 · 2.9</w:t>
            </w:r>
          </w:p>
        </w:tc>
      </w:tr>
      <w:tr>
        <w:trPr>
          <w:cantSplit/>
          <w:tblHeader w:val="off"/>
        </w:trPr>
        <w:tc>
          <w:tcPr>
            <w:tcW w:type="dxa" w:w="3212"/>
            <w:tcMar>
              <w:top w:type="dxa" w:w="80"/>
              <w:left w:type="dxa" w:w="100"/>
              <w:bottom w:type="dxa" w:w="80"/>
              <w:right w:type="dxa" w:w="100"/>
            </w:tcMar>
          </w:tcPr>
          <w:p>
            <w:pPr>
              <w:pStyle w:val="Tabla"/>
            </w:pPr>
            <w:r>
              <w:t xml:space="preserve">Guadalupe Nogués</w:t>
            </w:r>
          </w:p>
        </w:tc>
        <w:tc>
          <w:tcPr>
            <w:tcW w:type="dxa" w:w="3210"/>
            <w:tcMar>
              <w:top w:type="dxa" w:w="80"/>
              <w:left w:type="dxa" w:w="100"/>
              <w:bottom w:type="dxa" w:w="80"/>
              <w:right w:type="dxa" w:w="100"/>
            </w:tcMar>
          </w:tcPr>
          <w:p>
            <w:pPr>
              <w:pStyle w:val="Tabla"/>
            </w:pPr>
            <w:r>
              <w:t xml:space="preserve">Pluralismo, aprender a escuchar y separar las ideas de las personas.</w:t>
            </w:r>
          </w:p>
        </w:tc>
        <w:tc>
          <w:tcPr>
            <w:tcW w:type="dxa" w:w="3210"/>
            <w:tcMar>
              <w:top w:type="dxa" w:w="80"/>
              <w:left w:type="dxa" w:w="100"/>
              <w:bottom w:type="dxa" w:w="80"/>
              <w:right w:type="dxa" w:w="100"/>
            </w:tcMar>
          </w:tcPr>
          <w:p>
            <w:pPr>
              <w:pStyle w:val="Tabla"/>
            </w:pPr>
            <w:r>
              <w:t xml:space="preserve">1.5</w:t>
            </w:r>
          </w:p>
        </w:tc>
      </w:tr>
    </w:tbl>
    <w:p>
      <w:pPr>
        <w:pStyle w:val="Fuente"/>
      </w:pPr>
      <w:r>
        <w:t xml:space="preserve">Única tabla redactada por el portal: reúne atribuciones repartidas entre lecciones. Ackoff, Churchman y los nueve niveles de Boulding no son materia de este curso; no los cite.</w:t>
      </w:r>
    </w:p>
    <w:p>
      <w:pPr>
        <w:pStyle w:val="Heading3"/>
      </w:pPr>
      <w:r>
        <w:t xml:space="preserve">Lo que dicen las presentaciones</w:t>
      </w:r>
    </w:p>
    <w:p>
      <w:pPr>
        <w:pStyle w:val="Heading3"/>
      </w:pPr>
      <w:bookmarkStart w:name="b_pagina_1_6_C_5_p2" w:id="903"/>
      <w:r>
        <w:t xml:space="preserve">C-5 · página 2 · Programa y planificación de la Unidad 1</w:t>
      </w:r>
      <w:bookmarkEnd w:id="903"/>
    </w:p>
    <w:p>
      <w:pPr>
        <w:pStyle w:val="Normal"/>
      </w:pPr>
      <w:r>
        <w:t xml:space="preserve">Los ocho temas de la unidad y la planificación histórica de julio.</w:t>
      </w:r>
    </w:p>
    <w:p>
      <w:bookmarkStart w:name="b_punto_c5_p002_06" w:id="904"/>
      <w:r>
        <w:t xml:space="preserve">1.6 Operaciones sistémicas y emergencia del pensamiento sistémico.</w:t>
      </w:r>
      <w:bookmarkEnd w:id="904"/>
    </w:p>
    <w:p>
      <w:pPr>
        <w:pStyle w:val="Fuente"/>
      </w:pPr>
      <w:r>
        <w:t xml:space="preserve">Véase </w:t>
      </w:r>
      <w:hyperlink w:history="1" w:anchor="b_1_1">
        <w:r>
          <w:rPr>
            <w:color w:val="156B70"/>
            <w:u w:val="single"/>
          </w:rPr>
          <w:t xml:space="preserve">capítulo 1.1 · Paradigmas y modelos mentales</w:t>
        </w:r>
      </w:hyperlink>
      <w:r>
        <w:t xml:space="preserve">, pág. </w:t>
      </w:r>
      <w:r>
        <w:fldChar w:fldCharType="begin"/>
        <w:instrText xml:space="preserve">PAGEREF b_1_1 \h</w:instrText>
        <w:fldChar w:fldCharType="separate"/>
        <w:t xml:space="preserve">19</w:t>
        <w:fldChar w:fldCharType="end"/>
      </w:r>
      <w:r>
        <w:t xml:space="preserve">.</w:t>
      </w:r>
    </w:p>
    <w:p>
      <w:pPr>
        <w:pStyle w:val="Fuente"/>
      </w:pPr>
      <w:r>
        <w:t xml:space="preserve">Véase </w:t>
      </w:r>
      <w:hyperlink w:history="1" w:anchor="b_1_2">
        <w:r>
          <w:rPr>
            <w:color w:val="156B70"/>
            <w:u w:val="single"/>
          </w:rPr>
          <w:t xml:space="preserve">capítulo 1.2 · Escalera de inferencias</w:t>
        </w:r>
      </w:hyperlink>
      <w:r>
        <w:t xml:space="preserve">, pág. </w:t>
      </w:r>
      <w:r>
        <w:fldChar w:fldCharType="begin"/>
        <w:instrText xml:space="preserve">PAGEREF b_1_2 \h</w:instrText>
        <w:fldChar w:fldCharType="separate"/>
        <w:t xml:space="preserve">55</w:t>
        <w:fldChar w:fldCharType="end"/>
      </w:r>
      <w:r>
        <w:t xml:space="preserve">.</w:t>
      </w:r>
    </w:p>
    <w:p>
      <w:pPr>
        <w:pStyle w:val="Fuente"/>
      </w:pPr>
      <w:r>
        <w:t xml:space="preserve">Véase </w:t>
      </w:r>
      <w:hyperlink w:history="1" w:anchor="b_1_3">
        <w:r>
          <w:rPr>
            <w:color w:val="156B70"/>
            <w:u w:val="single"/>
          </w:rPr>
          <w:t xml:space="preserve">capítulo 1.3 · El paradigma de sistemas</w:t>
        </w:r>
      </w:hyperlink>
      <w:r>
        <w:t xml:space="preserve">, pág. </w:t>
      </w:r>
      <w:r>
        <w:fldChar w:fldCharType="begin"/>
        <w:instrText xml:space="preserve">PAGEREF b_1_3 \h</w:instrText>
        <w:fldChar w:fldCharType="separate"/>
        <w:t xml:space="preserve">83</w:t>
        <w:fldChar w:fldCharType="end"/>
      </w:r>
      <w:r>
        <w:t xml:space="preserve">.</w:t>
      </w:r>
    </w:p>
    <w:p>
      <w:pPr>
        <w:pStyle w:val="Fuente"/>
      </w:pPr>
      <w:r>
        <w:t xml:space="preserve">Véase </w:t>
      </w:r>
      <w:hyperlink w:history="1" w:anchor="b_1_4">
        <w:r>
          <w:rPr>
            <w:color w:val="156B70"/>
            <w:u w:val="single"/>
          </w:rPr>
          <w:t xml:space="preserve">capítulo 1.4 · Sistémico vs no sistémico</w:t>
        </w:r>
      </w:hyperlink>
      <w:r>
        <w:t xml:space="preserve">, pág. </w:t>
      </w:r>
      <w:r>
        <w:fldChar w:fldCharType="begin"/>
        <w:instrText xml:space="preserve">PAGEREF b_1_4 \h</w:instrText>
        <w:fldChar w:fldCharType="separate"/>
        <w:t xml:space="preserve">104</w:t>
        <w:fldChar w:fldCharType="end"/>
      </w:r>
      <w:r>
        <w:t xml:space="preserve">.</w:t>
      </w:r>
    </w:p>
    <w:p>
      <w:pPr>
        <w:pStyle w:val="Fuente"/>
      </w:pPr>
      <w:r>
        <w:t xml:space="preserve">Véase </w:t>
      </w:r>
      <w:hyperlink w:history="1" w:anchor="b_1_5">
        <w:r>
          <w:rPr>
            <w:color w:val="156B70"/>
            <w:u w:val="single"/>
          </w:rPr>
          <w:t xml:space="preserve">capítulo 1.5 · Perspectivas</w:t>
        </w:r>
      </w:hyperlink>
      <w:r>
        <w:t xml:space="preserve">, pág. </w:t>
      </w:r>
      <w:r>
        <w:fldChar w:fldCharType="begin"/>
        <w:instrText xml:space="preserve">PAGEREF b_1_5 \h</w:instrText>
        <w:fldChar w:fldCharType="separate"/>
        <w:t xml:space="preserve">125</w:t>
        <w:fldChar w:fldCharType="end"/>
      </w:r>
      <w:r>
        <w:t xml:space="preserve">.</w:t>
      </w:r>
    </w:p>
    <w:p>
      <w:pPr>
        <w:pStyle w:val="Fuente"/>
      </w:pPr>
      <w:r>
        <w:t xml:space="preserve">Véase </w:t>
      </w:r>
      <w:hyperlink w:history="1" w:anchor="b_1_7">
        <w:r>
          <w:rPr>
            <w:color w:val="156B70"/>
            <w:u w:val="single"/>
          </w:rPr>
          <w:t xml:space="preserve">capítulo 1.7 · Niveles — modelo del iceberg</w:t>
        </w:r>
      </w:hyperlink>
      <w:r>
        <w:t xml:space="preserve">, pág. </w:t>
      </w:r>
      <w:r>
        <w:fldChar w:fldCharType="begin"/>
        <w:instrText xml:space="preserve">PAGEREF b_1_7 \h</w:instrText>
        <w:fldChar w:fldCharType="separate"/>
        <w:t xml:space="preserve">175</w:t>
        <w:fldChar w:fldCharType="end"/>
      </w:r>
      <w:r>
        <w:t xml:space="preserve">.</w:t>
      </w:r>
    </w:p>
    <w:p>
      <w:pPr>
        <w:pStyle w:val="Fuente"/>
      </w:pPr>
      <w:r>
        <w:t xml:space="preserve">Véase </w:t>
      </w:r>
      <w:hyperlink w:history="1" w:anchor="b_1_8">
        <w:r>
          <w:rPr>
            <w:color w:val="156B70"/>
            <w:u w:val="single"/>
          </w:rPr>
          <w:t xml:space="preserve">capítulo 1.8 · Hábitos del pensador</w:t>
        </w:r>
      </w:hyperlink>
      <w:r>
        <w:t xml:space="preserve">, pág. </w:t>
      </w:r>
      <w:r>
        <w:fldChar w:fldCharType="begin"/>
        <w:instrText xml:space="preserve">PAGEREF b_1_8 \h</w:instrText>
        <w:fldChar w:fldCharType="separate"/>
        <w:t xml:space="preserve">194</w:t>
        <w:fldChar w:fldCharType="end"/>
      </w:r>
      <w:r>
        <w:t xml:space="preserve">.</w:t>
      </w:r>
    </w:p>
    <w:p>
      <w:pPr>
        <w:pStyle w:val="Heading3"/>
      </w:pPr>
      <w:bookmarkStart w:name="b_pagina_1_6_C_6_p14" w:id="905"/>
      <w:r>
        <w:t xml:space="preserve">C-6 · página 14 · Pensamiento sistémico como propiedad emergente</w:t>
      </w:r>
      <w:bookmarkEnd w:id="905"/>
    </w:p>
    <w:p>
      <w:pPr>
        <w:pStyle w:val="Normal"/>
      </w:pPr>
      <w:r>
        <w:t xml:space="preserve">De agentes y reglas simples a dinámica colectiva y propiedades emergentes; dónde intervenir.</w:t>
      </w:r>
    </w:p>
    <w:p>
      <w:pPr>
        <w:pStyle w:val="Fuente"/>
      </w:pPr>
      <w:r>
        <w:t xml:space="preserve">Proyección o explicación: Clase 6 · 01:31:37 · captura c6-15.</w:t>
      </w:r>
    </w:p>
    <w:p>
      <w:bookmarkStart w:name="b_punto_c6_p014_01" w:id="906"/>
      <w:r>
        <w:t xml:space="preserve">El pensamiento sistémico es un resultado del proceso de pensamiento y no una regla individual.</w:t>
      </w:r>
      <w:bookmarkEnd w:id="906"/>
    </w:p>
    <w:p>
      <w:bookmarkStart w:name="b_punto_c6_p014_02" w:id="907"/>
      <w:r>
        <w:t xml:space="preserve">Surge como propiedad emergente de reglas simples al combinarse.</w:t>
      </w:r>
      <w:bookmarkEnd w:id="907"/>
    </w:p>
    <w:p>
      <w:bookmarkStart w:name="b_punto_c6_p014_04" w:id="908"/>
      <w:r>
        <w:t xml:space="preserve">Pila ascendente: agentes, reglas simples, dinámica colectiva/autoorganización, propiedades emergentes complejas.</w:t>
      </w:r>
      <w:bookmarkEnd w:id="908"/>
    </w:p>
    <w:p>
      <w:bookmarkStart w:name="b_punto_c6_p014_05" w:id="909"/>
      <w:r>
        <w:t xml:space="preserve">La línea de control separa reglas/agentes, donde se tiene influencia, de la dinámica y propiedades, donde se tiene poca.</w:t>
      </w:r>
      <w:bookmarkEnd w:id="909"/>
    </w:p>
    <w:p>
      <w:pPr>
        <w:pStyle w:val="Fuente"/>
      </w:pPr>
      <w:r>
        <w:t xml:space="preserve">Véase </w:t>
      </w:r>
      <w:hyperlink w:history="1" w:anchor="b_2_6">
        <w:r>
          <w:rPr>
            <w:color w:val="156B70"/>
            <w:u w:val="single"/>
          </w:rPr>
          <w:t xml:space="preserve">capítulo 2.6 · Complejidad sistémica</w:t>
        </w:r>
      </w:hyperlink>
      <w:r>
        <w:t xml:space="preserve">, pág. </w:t>
      </w:r>
      <w:r>
        <w:fldChar w:fldCharType="begin"/>
        <w:instrText xml:space="preserve">PAGEREF b_2_6 \h</w:instrText>
        <w:fldChar w:fldCharType="separate"/>
        <w:t xml:space="preserve">308</w:t>
        <w:fldChar w:fldCharType="end"/>
      </w:r>
      <w:r>
        <w:t xml:space="preserve">.</w:t>
      </w:r>
    </w:p>
    <w:p>
      <w:pPr>
        <w:pStyle w:val="Heading3"/>
      </w:pPr>
      <w:bookmarkStart w:name="b_pagina_1_6_C_6_p15" w:id="910"/>
      <w:r>
        <w:t xml:space="preserve">C-6 · página 15 · Cuatro reglas simples como base del pensamiento sistémico</w:t>
      </w:r>
      <w:bookmarkEnd w:id="910"/>
    </w:p>
    <w:p>
      <w:pPr>
        <w:pStyle w:val="Normal"/>
      </w:pPr>
      <w:r>
        <w:t xml:space="preserve">Distinciones, sistemas, relaciones y perspectivas se aplican a cualquier idea o cosa.</w:t>
      </w:r>
    </w:p>
    <w:p>
      <w:pPr>
        <w:pStyle w:val="Fuente"/>
      </w:pPr>
      <w:r>
        <w:t xml:space="preserve">Proyección o explicación: Clase 6 · 01:33:01 · captura c6-16.</w:t>
      </w:r>
    </w:p>
    <w:p>
      <w:bookmarkStart w:name="b_punto_c6_p015_01" w:id="911"/>
      <w:r>
        <w:t xml:space="preserve">D: una idea o cosa puede distinguirse de otras.</w:t>
      </w:r>
      <w:bookmarkEnd w:id="911"/>
    </w:p>
    <w:p>
      <w:bookmarkStart w:name="b_punto_c6_p015_02" w:id="912"/>
      <w:r>
        <w:t xml:space="preserve">S: una idea o cosa puede dividirse en partes o agruparse en un todo.</w:t>
      </w:r>
      <w:bookmarkEnd w:id="912"/>
    </w:p>
    <w:p>
      <w:bookmarkStart w:name="b_punto_c6_p015_03" w:id="913"/>
      <w:r>
        <w:t xml:space="preserve">R: una idea o cosa puede relacionarse con otra.</w:t>
      </w:r>
      <w:bookmarkEnd w:id="913"/>
    </w:p>
    <w:p>
      <w:bookmarkStart w:name="b_punto_c6_p015_04" w:id="914"/>
      <w:r>
        <w:t xml:space="preserve">P: una idea o cosa puede ser punto de vista o cosa vista desde otra perspectiva.</w:t>
      </w:r>
      <w:bookmarkEnd w:id="914"/>
    </w:p>
    <w:p>
      <w:pPr>
        <w:pStyle w:val="Heading3"/>
      </w:pPr>
      <w:bookmarkStart w:name="b_pagina_1_6_C_6_p18" w:id="915"/>
      <w:r>
        <w:t xml:space="preserve">C-6 · página 18 · Cuatro patrones que combinan ocho elementos</w:t>
      </w:r>
      <w:bookmarkEnd w:id="915"/>
    </w:p>
    <w:p>
      <w:pPr>
        <w:pStyle w:val="Normal"/>
      </w:pPr>
      <w:r>
        <w:t xml:space="preserve">Correspondencia entre DSRP y sus cuatro pares estructurales.</w:t>
      </w:r>
    </w:p>
    <w:p>
      <w:pPr>
        <w:pStyle w:val="Fuente"/>
      </w:pPr>
      <w:r>
        <w:t xml:space="preserve">Proyección o explicación: Clase 7 · 00:29:35 · captura c7-03.</w:t>
      </w:r>
    </w:p>
    <w:p>
      <w:pPr>
        <w:keepNext/>
        <w:spacing w:after="40" w:before="150"/>
        <w:jc w:val="center"/>
      </w:pPr>
      <w:bookmarkStart w:name="b_figura_original_pagina_C_6_18" w:id="916"/>
      <w:bookmarkEnd w:id="916"/>
      <w:r>
        <w:drawing>
          <wp:inline distT="0" distB="0" distL="0" distR="0">
            <wp:extent cx="5381625" cy="4162425"/>
            <wp:effectExtent t="0" r="0" b="0" l="0"/>
            <wp:docPr id="19" name="pagina-C-6-18" descr="Presentación C-6, pág. 18" title="Cuatro patrones que combinan ocho element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08" cstate="none"/>
                    <a:srcRect/>
                    <a:stretch>
                      <a:fillRect/>
                    </a:stretch>
                  </pic:blipFill>
                  <pic:spPr bwMode="auto">
                    <a:xfrm>
                      <a:off x="0" y="0"/>
                      <a:ext cx="5381625" cy="4162425"/>
                    </a:xfrm>
                    <a:prstGeom prst="rect">
                      <a:avLst/>
                    </a:prstGeom>
                  </pic:spPr>
                </pic:pic>
              </a:graphicData>
            </a:graphic>
          </wp:inline>
        </w:drawing>
      </w:r>
    </w:p>
    <w:p>
      <w:pPr>
        <w:pStyle w:val="PieFigura"/>
        <w:keepNext/>
      </w:pPr>
      <w:bookmarkStart w:name="b_fig_1_6_1" w:id="917"/>
      <w:r>
        <w:t xml:space="preserve">Figura 1.6.</w:t>
      </w:r>
      <w:fldSimple w:instr="SEQ Figura \r 1 \* ARABIC">
        <w:r>
          <w:t xml:space="preserve">1</w:t>
        </w:r>
      </w:fldSimple>
      <w:r>
        <w:t xml:space="preserve"> · Cuatro patrones que combinan ocho elementos</w:t>
      </w:r>
      <w:bookmarkEnd w:id="917"/>
    </w:p>
    <w:p>
      <w:pPr>
        <w:pStyle w:val="Fuente"/>
      </w:pPr>
      <w:r>
        <w:t xml:space="preserve">Presentación C-6, pág. 18</w:t>
      </w:r>
    </w:p>
    <w:p>
      <w:bookmarkStart w:name="b_punto_c6_p018_01" w:id="918"/>
      <w:r>
        <w:t xml:space="preserve">Distinción: una cosa y otras cosas, equivalentes al par identidad/otro del portal.</w:t>
      </w:r>
      <w:bookmarkEnd w:id="918"/>
    </w:p>
    <w:p>
      <w:bookmarkStart w:name="b_punto_c6_p018_02" w:id="919"/>
      <w:r>
        <w:t xml:space="preserve">Sistema: parte y todo.</w:t>
      </w:r>
      <w:bookmarkEnd w:id="919"/>
    </w:p>
    <w:p>
      <w:bookmarkStart w:name="b_punto_c6_p018_03" w:id="920"/>
      <w:r>
        <w:t xml:space="preserve">Relación: acción y reacción.</w:t>
      </w:r>
      <w:bookmarkEnd w:id="920"/>
    </w:p>
    <w:p>
      <w:bookmarkStart w:name="b_punto_c6_p018_04" w:id="921"/>
      <w:r>
        <w:t xml:space="preserve">Perspectiva: punto de vista y cosa vista, equivalentes al par punto/vista.</w:t>
      </w:r>
      <w:bookmarkEnd w:id="921"/>
    </w:p>
    <w:p>
      <w:pPr>
        <w:pStyle w:val="Heading3"/>
      </w:pPr>
      <w:bookmarkStart w:name="b_pagina_1_6_C_6_p19" w:id="922"/>
      <w:r>
        <w:t xml:space="preserve">C-6 · página 19 · Distinciones (D)</w:t>
      </w:r>
      <w:bookmarkEnd w:id="922"/>
    </w:p>
    <w:p>
      <w:pPr>
        <w:pStyle w:val="Normal"/>
      </w:pPr>
      <w:r>
        <w:t xml:space="preserve">Frontera conceptual y equivalencia entre A distinto de B/C y B/C distintos de A.</w:t>
      </w:r>
    </w:p>
    <w:p>
      <w:pPr>
        <w:pStyle w:val="Fuente"/>
      </w:pPr>
      <w:r>
        <w:t xml:space="preserve">Proyección o explicación: Clase 7 · 00:32:43 · captura c7-04.</w:t>
      </w:r>
    </w:p>
    <w:p>
      <w:bookmarkStart w:name="b_punto_c6_p019_01" w:id="923"/>
      <w:r>
        <w:t xml:space="preserve">Distinguir A traza una frontera frente a B y C, lo que no es A.</w:t>
      </w:r>
      <w:bookmarkEnd w:id="923"/>
    </w:p>
    <w:p>
      <w:bookmarkStart w:name="b_punto_c6_p019_02" w:id="924"/>
      <w:r>
        <w:t xml:space="preserve">A no es B ni C equivale a que B y C no son A.</w:t>
      </w:r>
      <w:bookmarkEnd w:id="924"/>
    </w:p>
    <w:p>
      <w:bookmarkStart w:name="b_punto_c6_p019_03" w:id="925"/>
      <w:r>
        <w:t xml:space="preserve">La operación de distinción diferencia y nombra una idea; identidad y otro son correlativos.</w:t>
      </w:r>
      <w:bookmarkEnd w:id="925"/>
    </w:p>
    <w:p>
      <w:pPr>
        <w:pStyle w:val="Heading3"/>
      </w:pPr>
      <w:bookmarkStart w:name="b_pagina_1_6_C_6_p20" w:id="926"/>
      <w:r>
        <w:t xml:space="preserve">C-6 · página 20 · Sistemas (S)</w:t>
      </w:r>
      <w:bookmarkEnd w:id="926"/>
    </w:p>
    <w:p>
      <w:pPr>
        <w:pStyle w:val="Normal"/>
      </w:pPr>
      <w:r>
        <w:t xml:space="preserve">Desagrupar recursivamente y agrupar letras y números en todos.</w:t>
      </w:r>
    </w:p>
    <w:p>
      <w:pPr>
        <w:pStyle w:val="Fuente"/>
      </w:pPr>
      <w:r>
        <w:t xml:space="preserve">Proyección o explicación: Clase 7 · 00:36:01 · captura c7-05.</w:t>
      </w:r>
    </w:p>
    <w:p>
      <w:pPr>
        <w:pStyle w:val="Fuente"/>
      </w:pPr>
      <w:r>
        <w:t xml:space="preserve">Véase </w:t>
      </w:r>
      <w:hyperlink w:history="1" w:anchor="b_figura_original_pagina_C_6_20">
        <w:r>
          <w:rPr>
            <w:color w:val="156B70"/>
            <w:u w:val="single"/>
          </w:rPr>
          <w:t xml:space="preserve">imagen de C-6, página 20</w:t>
        </w:r>
      </w:hyperlink>
      <w:r>
        <w:t xml:space="preserve">, pág. </w:t>
      </w:r>
      <w:r>
        <w:fldChar w:fldCharType="begin"/>
        <w:instrText xml:space="preserve">PAGEREF b_figura_original_pagina_C_6_20 \h</w:instrText>
        <w:fldChar w:fldCharType="separate"/>
        <w:t xml:space="preserve">280</w:t>
        <w:fldChar w:fldCharType="end"/>
      </w:r>
      <w:r>
        <w:t xml:space="preserve">.</w:t>
      </w:r>
    </w:p>
    <w:p>
      <w:bookmarkStart w:name="b_punto_c6_p020_02" w:id="927"/>
      <w:r>
        <w:t xml:space="preserve">Agrupar letras A/B/C y números 1/2/3 forma sistemas con nombres distintos.</w:t>
      </w:r>
      <w:bookmarkEnd w:id="927"/>
    </w:p>
    <w:p>
      <w:bookmarkStart w:name="b_punto_c6_p020_03" w:id="928"/>
      <w:r>
        <w:t xml:space="preserve">Partir y agrupar son las dos direcciones de la misma regla S.</w:t>
      </w:r>
      <w:bookmarkEnd w:id="928"/>
    </w:p>
    <w:p>
      <w:pPr>
        <w:pStyle w:val="Fuente"/>
      </w:pPr>
      <w:r>
        <w:t xml:space="preserve">Véase </w:t>
      </w:r>
      <w:hyperlink w:history="1" w:anchor="b_2_4">
        <w:r>
          <w:rPr>
            <w:color w:val="156B70"/>
            <w:u w:val="single"/>
          </w:rPr>
          <w:t xml:space="preserve">capítulo 2.4 · Sub y suprasistemas</w:t>
        </w:r>
      </w:hyperlink>
      <w:r>
        <w:t xml:space="preserve">, pág. </w:t>
      </w:r>
      <w:r>
        <w:fldChar w:fldCharType="begin"/>
        <w:instrText xml:space="preserve">PAGEREF b_2_4 \h</w:instrText>
        <w:fldChar w:fldCharType="separate"/>
        <w:t xml:space="preserve">277</w:t>
        <w:fldChar w:fldCharType="end"/>
      </w:r>
      <w:r>
        <w:t xml:space="preserve">.</w:t>
      </w:r>
    </w:p>
    <w:p>
      <w:pPr>
        <w:pStyle w:val="Heading3"/>
      </w:pPr>
      <w:bookmarkStart w:name="b_pagina_1_6_C_6_p21" w:id="929"/>
      <w:r>
        <w:t xml:space="preserve">C-6 · página 21 · Relaciones (R)</w:t>
      </w:r>
      <w:bookmarkEnd w:id="929"/>
    </w:p>
    <w:p>
      <w:pPr>
        <w:pStyle w:val="Normal"/>
      </w:pPr>
      <w:r>
        <w:t xml:space="preserve">Cinco notaciones gráficas para conexiones entre ideas.</w:t>
      </w:r>
    </w:p>
    <w:p>
      <w:pPr>
        <w:pStyle w:val="Fuente"/>
      </w:pPr>
      <w:r>
        <w:t xml:space="preserve">Proyección o explicación: Clase 7 · 00:51:06 · captura c7-08.</w:t>
      </w:r>
    </w:p>
    <w:p>
      <w:bookmarkStart w:name="b_punto_c6_p021_01" w:id="930"/>
      <w:r>
        <w:t xml:space="preserve">Una línea conecta ideas sin declarar dirección.</w:t>
      </w:r>
      <w:bookmarkEnd w:id="930"/>
    </w:p>
    <w:p>
      <w:bookmarkStart w:name="b_punto_c6_p021_02" w:id="931"/>
      <w:r>
        <w:t xml:space="preserve">Una flecha A→B declara un sentido; A←B declara el contrario.</w:t>
      </w:r>
      <w:bookmarkEnd w:id="931"/>
    </w:p>
    <w:p>
      <w:bookmarkStart w:name="b_punto_c6_p021_03" w:id="932"/>
      <w:r>
        <w:t xml:space="preserve">Una flecha con dos puntas representa conexión bidireccional.</w:t>
      </w:r>
      <w:bookmarkEnd w:id="932"/>
    </w:p>
    <w:p>
      <w:bookmarkStart w:name="b_punto_c6_p021_04" w:id="933"/>
      <w:r>
        <w:t xml:space="preserve">Dos flechas separadas permiten distinguir las acciones opuestas A→B y B→A.</w:t>
      </w:r>
      <w:bookmarkEnd w:id="933"/>
    </w:p>
    <w:p>
      <w:bookmarkStart w:name="b_punto_c6_p021_05" w:id="934"/>
      <w:r>
        <w:t xml:space="preserve">El sentido de una flecha no autoriza a inventar una reacción no representada.</w:t>
      </w:r>
      <w:bookmarkEnd w:id="934"/>
    </w:p>
    <w:p>
      <w:pPr>
        <w:pStyle w:val="Heading3"/>
      </w:pPr>
      <w:bookmarkStart w:name="b_pagina_1_6_C_6_p22" w:id="935"/>
      <w:r>
        <w:t xml:space="preserve">C-6 · página 22 · Perspectivas (P)</w:t>
      </w:r>
      <w:bookmarkEnd w:id="935"/>
    </w:p>
    <w:p>
      <w:pPr>
        <w:pStyle w:val="Normal"/>
      </w:pPr>
      <w:r>
        <w:t xml:space="preserve">Punto y vista; sombras de un mismo objeto y dos observadores de una idea.</w:t>
      </w:r>
    </w:p>
    <w:p>
      <w:pPr>
        <w:pStyle w:val="Fuente"/>
      </w:pPr>
      <w:r>
        <w:t xml:space="preserve">Proyección o explicación: Clase 7 · 00:56:01 · captura c7-09.</w:t>
      </w:r>
    </w:p>
    <w:p>
      <w:pPr>
        <w:pStyle w:val="Fuente"/>
      </w:pPr>
      <w:r>
        <w:t xml:space="preserve">Véase </w:t>
      </w:r>
      <w:hyperlink w:history="1" w:anchor="b_figura_original_pagina_C_6_22">
        <w:r>
          <w:rPr>
            <w:color w:val="156B70"/>
            <w:u w:val="single"/>
          </w:rPr>
          <w:t xml:space="preserve">imagen de C-6, página 22</w:t>
        </w:r>
      </w:hyperlink>
      <w:r>
        <w:t xml:space="preserve">, pág. </w:t>
      </w:r>
      <w:r>
        <w:fldChar w:fldCharType="begin"/>
        <w:instrText xml:space="preserve">PAGEREF b_figura_original_pagina_C_6_22 \h</w:instrText>
        <w:fldChar w:fldCharType="separate"/>
        <w:t xml:space="preserve">135</w:t>
        <w:fldChar w:fldCharType="end"/>
      </w:r>
      <w:r>
        <w:t xml:space="preserve">.</w:t>
      </w:r>
    </w:p>
    <w:p>
      <w:bookmarkStart w:name="b_punto_c6_p022_04" w:id="936"/>
      <w:r>
        <w:t xml:space="preserve">En el ejemplo editorial de P, el editor es el punto y el coloquialismo observado es la vista.</w:t>
      </w:r>
      <w:bookmarkEnd w:id="936"/>
    </w:p>
    <w:p>
      <w:pPr>
        <w:pStyle w:val="Fuente"/>
      </w:pPr>
      <w:r>
        <w:t xml:space="preserve">Véase </w:t>
      </w:r>
      <w:hyperlink w:history="1" w:anchor="b_1_5">
        <w:r>
          <w:rPr>
            <w:color w:val="156B70"/>
            <w:u w:val="single"/>
          </w:rPr>
          <w:t xml:space="preserve">capítulo 1.5 · Perspectivas</w:t>
        </w:r>
      </w:hyperlink>
      <w:r>
        <w:t xml:space="preserve">, pág. </w:t>
      </w:r>
      <w:r>
        <w:fldChar w:fldCharType="begin"/>
        <w:instrText xml:space="preserve">PAGEREF b_1_5 \h</w:instrText>
        <w:fldChar w:fldCharType="separate"/>
        <w:t xml:space="preserve">125</w:t>
        <w:fldChar w:fldCharType="end"/>
      </w:r>
      <w:r>
        <w:t xml:space="preserve">.</w:t>
      </w:r>
    </w:p>
    <w:p>
      <w:pPr>
        <w:pStyle w:val="Heading3"/>
      </w:pPr>
      <w:bookmarkStart w:name="b_pagina_1_6_C_6_p23" w:id="937"/>
      <w:r>
        <w:t xml:space="preserve">C-6 · página 23 · Cuatro reglas simples como base del pensamiento sistémico</w:t>
      </w:r>
      <w:bookmarkEnd w:id="937"/>
    </w:p>
    <w:p>
      <w:pPr>
        <w:pStyle w:val="Normal"/>
      </w:pPr>
      <w:r>
        <w:t xml:space="preserve">Distinciones, sistemas, relaciones y perspectivas se aplican a cualquier idea o cosa.</w:t>
      </w:r>
    </w:p>
    <w:p>
      <w:pPr>
        <w:pStyle w:val="Fuente"/>
      </w:pPr>
      <w:r>
        <w:t xml:space="preserve">Proyección o explicación: Clase 7 · 01:01:06 · captura c7-10.</w:t>
      </w:r>
    </w:p>
    <w:p>
      <w:bookmarkStart w:name="b_punto_c6_p023_01" w:id="938"/>
      <w:r>
        <w:t xml:space="preserve">D: una idea o cosa puede distinguirse de otras.</w:t>
      </w:r>
      <w:bookmarkEnd w:id="938"/>
    </w:p>
    <w:p>
      <w:bookmarkStart w:name="b_punto_c6_p023_02" w:id="939"/>
      <w:r>
        <w:t xml:space="preserve">S: una idea o cosa puede dividirse en partes o agruparse en un todo.</w:t>
      </w:r>
      <w:bookmarkEnd w:id="939"/>
    </w:p>
    <w:p>
      <w:bookmarkStart w:name="b_punto_c6_p023_03" w:id="940"/>
      <w:r>
        <w:t xml:space="preserve">R: una idea o cosa puede relacionarse con otra.</w:t>
      </w:r>
      <w:bookmarkEnd w:id="940"/>
    </w:p>
    <w:p>
      <w:bookmarkStart w:name="b_punto_c6_p023_04" w:id="941"/>
      <w:r>
        <w:t xml:space="preserve">P: una idea o cosa puede ser punto de vista o cosa vista desde otra perspectiva.</w:t>
      </w:r>
      <w:bookmarkEnd w:id="941"/>
    </w:p>
    <w:p>
      <w:pPr>
        <w:pStyle w:val="Heading3"/>
      </w:pPr>
      <w:bookmarkStart w:name="b_pagina_1_6_C_6_p24" w:id="942"/>
      <w:r>
        <w:t xml:space="preserve">C-6 · página 24 · Modelos mentales sistémicos a partir de información</w:t>
      </w:r>
      <w:bookmarkEnd w:id="942"/>
    </w:p>
    <w:p>
      <w:pPr>
        <w:pStyle w:val="Normal"/>
      </w:pPr>
      <w:r>
        <w:t xml:space="preserve">Bits, conceptos e ideas se organizan recursivamente con DSRP.</w:t>
      </w:r>
    </w:p>
    <w:p>
      <w:pPr>
        <w:pStyle w:val="Fuente"/>
      </w:pPr>
      <w:r>
        <w:t xml:space="preserve">Proyección o explicación: Clase 7 · 01:02:27 · captura c7-11.</w:t>
      </w:r>
    </w:p>
    <w:p>
      <w:bookmarkStart w:name="b_punto_c6_p024_01" w:id="943"/>
      <w:r>
        <w:t xml:space="preserve">Bits de información, conceptos e ideas son los elementos de los modelos mentales.</w:t>
      </w:r>
      <w:bookmarkEnd w:id="943"/>
    </w:p>
    <w:p>
      <w:bookmarkStart w:name="b_punto_c6_p024_02" w:id="944"/>
      <w:r>
        <w:t xml:space="preserve">D distingue cada idea respecto de otras.</w:t>
      </w:r>
      <w:bookmarkEnd w:id="944"/>
    </w:p>
    <w:p>
      <w:bookmarkStart w:name="b_punto_c6_p024_03" w:id="945"/>
      <w:r>
        <w:t xml:space="preserve">S hace que una idea contenga otras o forme parte de una mayor.</w:t>
      </w:r>
      <w:bookmarkEnd w:id="945"/>
    </w:p>
    <w:p>
      <w:bookmarkStart w:name="b_punto_c6_p024_04" w:id="946"/>
      <w:r>
        <w:t xml:space="preserve">R conecta ideas con otras.</w:t>
      </w:r>
      <w:bookmarkEnd w:id="946"/>
    </w:p>
    <w:p>
      <w:bookmarkStart w:name="b_punto_c6_p024_05" w:id="947"/>
      <w:r>
        <w:t xml:space="preserve">P permite considerar una idea desde otra y usar cualquier idea como punto de vista.</w:t>
      </w:r>
      <w:bookmarkEnd w:id="947"/>
    </w:p>
    <w:p>
      <w:bookmarkStart w:name="b_punto_c6_p024_06" w:id="948"/>
      <w:r>
        <w:t xml:space="preserve">Las figuras de peces y bloques ilustran un patrón compuesto por unidades simples.</w:t>
      </w:r>
      <w:bookmarkEnd w:id="948"/>
    </w:p>
    <w:p>
      <w:pPr>
        <w:pStyle w:val="Heading3"/>
      </w:pPr>
      <w:bookmarkStart w:name="b_pagina_1_6_C_6_p25" w:id="949"/>
      <w:r>
        <w:t xml:space="preserve">C-6 · página 25 · Generar modelos aplicando reglas repetitivamente</w:t>
      </w:r>
      <w:bookmarkEnd w:id="949"/>
    </w:p>
    <w:p>
      <w:pPr>
        <w:pStyle w:val="Normal"/>
      </w:pPr>
      <w:r>
        <w:t xml:space="preserve">Algoritmo abierto que vuelve a elegir reglas hasta obtener comprensión suficiente.</w:t>
      </w:r>
    </w:p>
    <w:p>
      <w:pPr>
        <w:pStyle w:val="Fuente"/>
      </w:pPr>
      <w:r>
        <w:t xml:space="preserve">Proyección o explicación: Clase 7 · 01:03:59 · captura c7-12.</w:t>
      </w:r>
    </w:p>
    <w:p>
      <w:bookmarkStart w:name="b_punto_c6_p025_01" w:id="950"/>
      <w:r>
        <w:t xml:space="preserve">Se comienza por elegir al menos una idea o variable.</w:t>
      </w:r>
      <w:bookmarkEnd w:id="950"/>
    </w:p>
    <w:p>
      <w:bookmarkStart w:name="b_punto_c6_p025_02" w:id="951"/>
      <w:r>
        <w:t xml:space="preserve">Se puede elegir cualquiera de D, S, R o P; no impone un orden fijo.</w:t>
      </w:r>
      <w:bookmarkEnd w:id="951"/>
    </w:p>
    <w:p>
      <w:bookmarkStart w:name="b_punto_c6_p025_03" w:id="952"/>
      <w:r>
        <w:t xml:space="preserve">Después de aplicar una regla se pregunta si ya basta; de lo contrario vuelve a elegir proceso.</w:t>
      </w:r>
      <w:bookmarkEnd w:id="952"/>
    </w:p>
    <w:p>
      <w:bookmarkStart w:name="b_punto_c6_p025_04" w:id="953"/>
      <w:r>
        <w:t xml:space="preserve">La condición de salida es la comprensión deseada de la realidad asociada a las ideas iniciales.</w:t>
      </w:r>
      <w:bookmarkEnd w:id="953"/>
    </w:p>
    <w:p>
      <w:pPr>
        <w:pStyle w:val="Heading3"/>
      </w:pPr>
      <w:bookmarkStart w:name="b_pagina_1_6_C_6_p26" w:id="954"/>
      <w:r>
        <w:t xml:space="preserve">C-6 · página 26 · Patrones y preguntas guía para formar modelos mentales</w:t>
      </w:r>
      <w:bookmarkEnd w:id="954"/>
    </w:p>
    <w:p>
      <w:pPr>
        <w:pStyle w:val="Normal"/>
      </w:pPr>
      <w:r>
        <w:t xml:space="preserve">Ocho preguntas de indagación, aplicadas a proyecto, trabajo operativo y patrocinador.</w:t>
      </w:r>
    </w:p>
    <w:p>
      <w:pPr>
        <w:pStyle w:val="Fuente"/>
      </w:pPr>
      <w:r>
        <w:t xml:space="preserve">Proyección o explicación: Clase 7 · 01:06:47 · captura c7-13.</w:t>
      </w:r>
    </w:p>
    <w:p>
      <w:bookmarkStart w:name="b_punto_c6_p026_01" w:id="955"/>
      <w:r>
        <w:t xml:space="preserve">D pregunta qué es y qué no es una idea, como un proyecto.</w:t>
      </w:r>
      <w:bookmarkEnd w:id="955"/>
    </w:p>
    <w:p>
      <w:bookmarkStart w:name="b_punto_c6_p026_02" w:id="956"/>
      <w:r>
        <w:t xml:space="preserve">S pregunta por sus partes y por un todo mayor del que forme parte.</w:t>
      </w:r>
      <w:bookmarkEnd w:id="956"/>
    </w:p>
    <w:p>
      <w:bookmarkStart w:name="b_punto_c6_p026_03" w:id="957"/>
      <w:r>
        <w:t xml:space="preserve">R pregunta por conexiones entre ideas y si la idea puede ser considerada una relación.</w:t>
      </w:r>
      <w:bookmarkEnd w:id="957"/>
    </w:p>
    <w:p>
      <w:bookmarkStart w:name="b_punto_c6_p026_04" w:id="958"/>
      <w:r>
        <w:t xml:space="preserve">P pregunta desde una perspectiva dada y desde una diferente.</w:t>
      </w:r>
      <w:bookmarkEnd w:id="958"/>
    </w:p>
    <w:p>
      <w:bookmarkStart w:name="b_punto_c6_p026_05" w:id="959"/>
      <w:r>
        <w:t xml:space="preserve">El ejemplo relaciona proyecto con trabajo operativo y solicita la perspectiva del patrocinador.</w:t>
      </w:r>
      <w:bookmarkEnd w:id="959"/>
    </w:p>
    <w:p>
      <w:pPr>
        <w:pStyle w:val="Heading3"/>
      </w:pPr>
      <w:bookmarkStart w:name="b_pagina_1_6_C_6_p28" w:id="960"/>
      <w:r>
        <w:t xml:space="preserve">C-6 · página 28 · Cuántos sistemas hay en la ciudad</w:t>
      </w:r>
      <w:bookmarkEnd w:id="960"/>
    </w:p>
    <w:p>
      <w:pPr>
        <w:pStyle w:val="Normal"/>
      </w:pPr>
      <w:r>
        <w:t xml:space="preserve">Práctica abierta de distinguir sistemas, relacionarlos y variar perspectivas.</w:t>
      </w:r>
    </w:p>
    <w:p>
      <w:pPr>
        <w:pStyle w:val="Fuente"/>
      </w:pPr>
      <w:r>
        <w:t xml:space="preserve">Proyección o explicación: Clase 7 · 01:16:32 · captura c7-15.</w:t>
      </w:r>
    </w:p>
    <w:p>
      <w:bookmarkStart w:name="b_punto_c6_p028_01" w:id="961"/>
      <w:r>
        <w:t xml:space="preserve">La escena permite reconocer hotel, negocios, tránsito, energía, residuos, servicios, plantas, mantenimiento y sistemas sociales.</w:t>
      </w:r>
      <w:bookmarkEnd w:id="961"/>
    </w:p>
    <w:p>
      <w:bookmarkStart w:name="b_punto_c6_p028_02" w:id="962"/>
      <w:r>
        <w:t xml:space="preserve">El conteo depende de frontera, nivel y perspectiva; dos nombres del mismo sistema no lo duplican.</w:t>
      </w:r>
      <w:bookmarkEnd w:id="962"/>
    </w:p>
    <w:p>
      <w:bookmarkStart w:name="b_punto_c6_p028_03" w:id="963"/>
      <w:r>
        <w:t xml:space="preserve">La práctica conecta auto/camión/conductores en accidente, verduras/restaurante, viviendas/mantenimiento y sol/paneles.</w:t>
      </w:r>
      <w:bookmarkEnd w:id="963"/>
    </w:p>
    <w:p>
      <w:bookmarkStart w:name="b_punto_c6_p028_04" w:id="964"/>
      <w:r>
        <w:t xml:space="preserve">Roles de espectador, patrocinador y administrador cambian el modelo.</w:t>
      </w:r>
      <w:bookmarkEnd w:id="964"/>
    </w:p>
    <w:p>
      <w:pPr>
        <w:pStyle w:val="Heading3"/>
      </w:pPr>
      <w:bookmarkStart w:name="b_pagina_1_6_C_6_p38" w:id="965"/>
      <w:r>
        <w:t xml:space="preserve">C-6 · página 38 · Cuatro reglas simples como base del pensamiento sistémico</w:t>
      </w:r>
      <w:bookmarkEnd w:id="965"/>
    </w:p>
    <w:p>
      <w:pPr>
        <w:pStyle w:val="Normal"/>
      </w:pPr>
      <w:r>
        <w:t xml:space="preserve">Distinguir, dividir o agrupar, relacionar y cambiar de perspectiva construyen el modelo sistémico.</w:t>
      </w:r>
    </w:p>
    <w:p>
      <w:pPr>
        <w:pStyle w:val="Fuente"/>
      </w:pPr>
      <w:r>
        <w:t xml:space="preserve">Proyección o explicación: Clase 8 · 00:01:31 · captura c8-01.</w:t>
      </w:r>
    </w:p>
    <w:p>
      <w:bookmarkStart w:name="b_punto_c6_p038_01" w:id="966"/>
      <w:r>
        <w:t xml:space="preserve">Distinciones: una idea o cosa puede distinguirse de otras.</w:t>
      </w:r>
      <w:bookmarkEnd w:id="966"/>
    </w:p>
    <w:p>
      <w:bookmarkStart w:name="b_punto_c6_p038_02" w:id="967"/>
      <w:r>
        <w:t xml:space="preserve">Sistemas: una idea o cosa puede dividirse en partes o agruparse en un todo.</w:t>
      </w:r>
      <w:bookmarkEnd w:id="967"/>
    </w:p>
    <w:p>
      <w:bookmarkStart w:name="b_punto_c6_p038_03" w:id="968"/>
      <w:r>
        <w:t xml:space="preserve">Relaciones: una idea o cosa puede relacionarse con otra.</w:t>
      </w:r>
      <w:bookmarkEnd w:id="968"/>
    </w:p>
    <w:p>
      <w:bookmarkStart w:name="b_punto_c6_p038_04" w:id="969"/>
      <w:r>
        <w:t xml:space="preserve">Perspectivas: una idea o cosa puede ser punto de observación o cosa vista.</w:t>
      </w:r>
      <w:bookmarkEnd w:id="969"/>
    </w:p>
    <w:p>
      <w:bookmarkStart w:name="b_punto_c6_p038_05" w:id="970"/>
      <w:r>
        <w:t xml:space="preserve">Las cuatro reglas se combinan como base del pensamiento sistémico; no son una secuencia obligatoria.</w:t>
      </w:r>
      <w:bookmarkEnd w:id="970"/>
    </w:p>
    <w:p>
      <w:pPr>
        <w:pStyle w:val="Heading3"/>
      </w:pPr>
      <w:bookmarkStart w:name="b_pagina_1_6_C_6_p39" w:id="971"/>
      <w:r>
        <w:t xml:space="preserve">C-6 · página 39 · El bosque modelado con DSRP</w:t>
      </w:r>
      <w:bookmarkEnd w:id="971"/>
    </w:p>
    <w:p>
      <w:pPr>
        <w:pStyle w:val="Normal"/>
      </w:pPr>
      <w:r>
        <w:t xml:space="preserve">El caso delimita el bosque, organiza seres y entorno, describe intercambios y compara cuatro perspectivas.</w:t>
      </w:r>
    </w:p>
    <w:p>
      <w:pPr>
        <w:pStyle w:val="Fuente"/>
      </w:pPr>
      <w:r>
        <w:t xml:space="preserve">Proyección o explicación: Clase 8 · 00:04:46 · captura c8-02.</w:t>
      </w:r>
    </w:p>
    <w:p>
      <w:pPr>
        <w:keepNext/>
        <w:spacing w:after="40" w:before="150"/>
        <w:jc w:val="center"/>
      </w:pPr>
      <w:bookmarkStart w:name="b_figura_original_pagina_C_6_39" w:id="972"/>
      <w:bookmarkEnd w:id="972"/>
      <w:r>
        <w:drawing>
          <wp:inline distT="0" distB="0" distL="0" distR="0">
            <wp:extent cx="5381625" cy="4162425"/>
            <wp:effectExtent t="0" r="0" b="0" l="0"/>
            <wp:docPr id="20" name="pagina-C-6-39" descr="Presentación C-6, pág. 39" title="El bosque modelado con DSR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09" cstate="none"/>
                    <a:srcRect/>
                    <a:stretch>
                      <a:fillRect/>
                    </a:stretch>
                  </pic:blipFill>
                  <pic:spPr bwMode="auto">
                    <a:xfrm>
                      <a:off x="0" y="0"/>
                      <a:ext cx="5381625" cy="4162425"/>
                    </a:xfrm>
                    <a:prstGeom prst="rect">
                      <a:avLst/>
                    </a:prstGeom>
                  </pic:spPr>
                </pic:pic>
              </a:graphicData>
            </a:graphic>
          </wp:inline>
        </w:drawing>
      </w:r>
    </w:p>
    <w:p>
      <w:pPr>
        <w:pStyle w:val="PieFigura"/>
        <w:keepNext/>
      </w:pPr>
      <w:bookmarkStart w:name="b_fig_1_6_2" w:id="973"/>
      <w:r>
        <w:t xml:space="preserve">Figura 1.6.</w:t>
      </w:r>
      <w:fldSimple w:instr="SEQ Figura \n \* ARABIC">
        <w:r>
          <w:t xml:space="preserve">2</w:t>
        </w:r>
      </w:fldSimple>
      <w:r>
        <w:t xml:space="preserve"> · El bosque modelado con DSRP</w:t>
      </w:r>
      <w:bookmarkEnd w:id="973"/>
    </w:p>
    <w:p>
      <w:pPr>
        <w:pStyle w:val="Fuente"/>
      </w:pPr>
      <w:r>
        <w:t xml:space="preserve">Presentación C-6, pág. 39</w:t>
      </w:r>
    </w:p>
    <w:p>
      <w:bookmarkStart w:name="b_punto_c6_p039_01" w:id="974"/>
      <w:r>
        <w:t xml:space="preserve">D: el bosque se distingue como ecosistema terrestre de seres vivos interconectados que comparten entorno físico.</w:t>
      </w:r>
      <w:bookmarkEnd w:id="974"/>
    </w:p>
    <w:p>
      <w:bookmarkStart w:name="b_punto_c6_p039_02" w:id="975"/>
      <w:r>
        <w:t xml:space="preserve">S interna: flora, fauna, microorganismos y cadena trófica se organizan como partes del bosque.</w:t>
      </w:r>
      <w:bookmarkEnd w:id="975"/>
    </w:p>
    <w:p>
      <w:bookmarkStart w:name="b_punto_c6_p039_05" w:id="976"/>
      <w:r>
        <w:t xml:space="preserve">R: fotosíntesis, herbivoría, regulación por carnívoros y descomposición cierran ciclos de materia.</w:t>
      </w:r>
      <w:bookmarkEnd w:id="976"/>
    </w:p>
    <w:p>
      <w:bookmarkStart w:name="b_punto_c6_p039_06" w:id="977"/>
      <w:r>
        <w:t xml:space="preserve">Entradas: energía solar, lluvia, CO2 y nutrientes; salidas: oxígeno, biomasa y regulación hídrica/climática.</w:t>
      </w:r>
      <w:bookmarkEnd w:id="977"/>
    </w:p>
    <w:p>
      <w:pPr>
        <w:pStyle w:val="Fuente"/>
      </w:pPr>
      <w:r>
        <w:t xml:space="preserve">Véase </w:t>
      </w:r>
      <w:hyperlink w:history="1" w:anchor="b_2_3">
        <w:r>
          <w:rPr>
            <w:color w:val="156B70"/>
            <w:u w:val="single"/>
          </w:rPr>
          <w:t xml:space="preserve">capítulo 2.3 · Estructura de los sistemas</w:t>
        </w:r>
      </w:hyperlink>
      <w:r>
        <w:t xml:space="preserve">, pág. </w:t>
      </w:r>
      <w:r>
        <w:fldChar w:fldCharType="begin"/>
        <w:instrText xml:space="preserve">PAGEREF b_2_3 \h</w:instrText>
        <w:fldChar w:fldCharType="separate"/>
        <w:t xml:space="preserve">259</w:t>
        <w:fldChar w:fldCharType="end"/>
      </w:r>
      <w:r>
        <w:t xml:space="preserve">.</w:t>
      </w:r>
    </w:p>
    <w:p>
      <w:pPr>
        <w:pStyle w:val="Fuente"/>
      </w:pPr>
      <w:r>
        <w:t xml:space="preserve">Véase </w:t>
      </w:r>
      <w:hyperlink w:history="1" w:anchor="b_2_4">
        <w:r>
          <w:rPr>
            <w:color w:val="156B70"/>
            <w:u w:val="single"/>
          </w:rPr>
          <w:t xml:space="preserve">capítulo 2.4 · Sub y suprasistemas</w:t>
        </w:r>
      </w:hyperlink>
      <w:r>
        <w:t xml:space="preserve">, pág. </w:t>
      </w:r>
      <w:r>
        <w:fldChar w:fldCharType="begin"/>
        <w:instrText xml:space="preserve">PAGEREF b_2_4 \h</w:instrText>
        <w:fldChar w:fldCharType="separate"/>
        <w:t xml:space="preserve">277</w:t>
        <w:fldChar w:fldCharType="end"/>
      </w:r>
      <w:r>
        <w:t xml:space="preserve">.</w:t>
      </w:r>
    </w:p>
    <w:p>
      <w:pPr>
        <w:pStyle w:val="Fuente"/>
      </w:pPr>
      <w:r>
        <w:t xml:space="preserve">Véase </w:t>
      </w:r>
      <w:hyperlink w:history="1" w:anchor="b_1_5">
        <w:r>
          <w:rPr>
            <w:color w:val="156B70"/>
            <w:u w:val="single"/>
          </w:rPr>
          <w:t xml:space="preserve">capítulo 1.5 · Perspectivas</w:t>
        </w:r>
      </w:hyperlink>
      <w:r>
        <w:t xml:space="preserve">, pág. </w:t>
      </w:r>
      <w:r>
        <w:fldChar w:fldCharType="begin"/>
        <w:instrText xml:space="preserve">PAGEREF b_1_5 \h</w:instrText>
        <w:fldChar w:fldCharType="separate"/>
        <w:t xml:space="preserve">125</w:t>
        <w:fldChar w:fldCharType="end"/>
      </w:r>
      <w:r>
        <w:t xml:space="preserve">.</w:t>
      </w:r>
    </w:p>
    <w:p>
      <w:pPr>
        <w:pStyle w:val="Heading3"/>
      </w:pPr>
      <w:bookmarkStart w:name="b_pagina_1_6_C_6_p40" w:id="978"/>
      <w:r>
        <w:t xml:space="preserve">C-6 · página 40 · Pensamiento sistémico como propiedad emergente</w:t>
      </w:r>
      <w:bookmarkEnd w:id="978"/>
    </w:p>
    <w:p>
      <w:pPr>
        <w:pStyle w:val="Normal"/>
      </w:pPr>
      <w:r>
        <w:t xml:space="preserve">Agentes y reglas simples producen autoorganización y propiedades complejas; el margen de control cambia por nivel.</w:t>
      </w:r>
    </w:p>
    <w:p>
      <w:pPr>
        <w:pStyle w:val="Fuente"/>
      </w:pPr>
      <w:r>
        <w:t xml:space="preserve">Proyección o explicación: Clase 8 · 00:11:05 · captura c8-04.</w:t>
      </w:r>
    </w:p>
    <w:p>
      <w:bookmarkStart w:name="b_punto_c6_p040_01" w:id="979"/>
      <w:r>
        <w:t xml:space="preserve">El pensamiento sistémico es resultado emergente del proceso de pensamiento, no el proceso mismo.</w:t>
      </w:r>
      <w:bookmarkEnd w:id="979"/>
    </w:p>
    <w:p>
      <w:bookmarkStart w:name="b_punto_c6_p040_02" w:id="980"/>
      <w:r>
        <w:t xml:space="preserve">La combinación de reglas elementales de pensamiento produce pensamiento sistémico.</w:t>
      </w:r>
      <w:bookmarkEnd w:id="980"/>
    </w:p>
    <w:p>
      <w:bookmarkStart w:name="b_punto_c6_p040_03" w:id="981"/>
      <w:r>
        <w:t xml:space="preserve">Los CAS se construyen mediante agentes y reglas simples de comportamiento.</w:t>
      </w:r>
      <w:bookmarkEnd w:id="981"/>
    </w:p>
    <w:p>
      <w:bookmarkStart w:name="b_punto_c6_p040_04" w:id="982"/>
      <w:r>
        <w:t xml:space="preserve">La pila asciende desde agentes a reglas simples, dinámica colectiva/autoorganización y propiedades emergentes complejas.</w:t>
      </w:r>
      <w:bookmarkEnd w:id="982"/>
    </w:p>
    <w:p>
      <w:bookmarkStart w:name="b_punto_c6_p040_05" w:id="983"/>
      <w:r>
        <w:t xml:space="preserve">Después de reglas simples hay poca influencia/control; debajo se puede intervenir sobre agentes o reglas.</w:t>
      </w:r>
      <w:bookmarkEnd w:id="983"/>
    </w:p>
    <w:p>
      <w:pPr>
        <w:pStyle w:val="Heading3"/>
      </w:pPr>
      <w:bookmarkStart w:name="b_pagina_1_6_C_6_p50" w:id="984"/>
      <w:r>
        <w:t xml:space="preserve">C-6 · página 50 · Resumen de conceptos iniciales de la teoría de sistemas</w:t>
      </w:r>
      <w:bookmarkEnd w:id="984"/>
    </w:p>
    <w:p>
      <w:pPr>
        <w:pStyle w:val="Normal"/>
      </w:pPr>
      <w:r>
        <w:t xml:space="preserve">Ocho afirmaciones reúnen totalidad, relaciones, jerarquía, emergencia, análisis, síntesis y DSRP.</w:t>
      </w:r>
    </w:p>
    <w:p>
      <w:pPr>
        <w:pStyle w:val="Fuente"/>
      </w:pPr>
      <w:r>
        <w:t xml:space="preserve">Proyección o explicación: Clase 8 · 00:50:47 · captura c8-16.</w:t>
      </w:r>
    </w:p>
    <w:p>
      <w:bookmarkStart w:name="b_punto_c6_p050_08" w:id="985"/>
      <w:r>
        <w:t xml:space="preserve">Distinciones, partes/todos, relaciones y perspectivas crean modelos conceptuales.</w:t>
      </w:r>
      <w:bookmarkEnd w:id="985"/>
    </w:p>
    <w:p>
      <w:pPr>
        <w:pStyle w:val="Fuente"/>
      </w:pPr>
      <w:r>
        <w:t xml:space="preserve">Véase </w:t>
      </w:r>
      <w:hyperlink w:history="1" w:anchor="b_2_2">
        <w:r>
          <w:rPr>
            <w:color w:val="156B70"/>
            <w:u w:val="single"/>
          </w:rPr>
          <w:t xml:space="preserve">capítulo 2.2 · Conceptos de un sistema</w:t>
        </w:r>
      </w:hyperlink>
      <w:r>
        <w:t xml:space="preserve">, pág. </w:t>
      </w:r>
      <w:r>
        <w:fldChar w:fldCharType="begin"/>
        <w:instrText xml:space="preserve">PAGEREF b_2_2 \h</w:instrText>
        <w:fldChar w:fldCharType="separate"/>
        <w:t xml:space="preserve">242</w:t>
        <w:fldChar w:fldCharType="end"/>
      </w:r>
      <w:r>
        <w:t xml:space="preserve">.</w:t>
      </w:r>
    </w:p>
    <w:p>
      <w:pPr>
        <w:pStyle w:val="Fuente"/>
      </w:pPr>
      <w:r>
        <w:t xml:space="preserve">Véase </w:t>
      </w:r>
      <w:hyperlink w:history="1" w:anchor="b_1_5">
        <w:r>
          <w:rPr>
            <w:color w:val="156B70"/>
            <w:u w:val="single"/>
          </w:rPr>
          <w:t xml:space="preserve">capítulo 1.5 · Perspectivas</w:t>
        </w:r>
      </w:hyperlink>
      <w:r>
        <w:t xml:space="preserve">, pág. </w:t>
      </w:r>
      <w:r>
        <w:fldChar w:fldCharType="begin"/>
        <w:instrText xml:space="preserve">PAGEREF b_1_5 \h</w:instrText>
        <w:fldChar w:fldCharType="separate"/>
        <w:t xml:space="preserve">125</w:t>
        <w:fldChar w:fldCharType="end"/>
      </w:r>
      <w:r>
        <w:t xml:space="preserve">.</w:t>
      </w:r>
    </w:p>
    <w:p>
      <w:pPr>
        <w:pStyle w:val="Fuente"/>
      </w:pPr>
      <w:r>
        <w:t xml:space="preserve">Véase </w:t>
      </w:r>
      <w:hyperlink w:history="1" w:anchor="b_2_4">
        <w:r>
          <w:rPr>
            <w:color w:val="156B70"/>
            <w:u w:val="single"/>
          </w:rPr>
          <w:t xml:space="preserve">capítulo 2.4 · Sub y suprasistemas</w:t>
        </w:r>
      </w:hyperlink>
      <w:r>
        <w:t xml:space="preserve">, pág. </w:t>
      </w:r>
      <w:r>
        <w:fldChar w:fldCharType="begin"/>
        <w:instrText xml:space="preserve">PAGEREF b_2_4 \h</w:instrText>
        <w:fldChar w:fldCharType="separate"/>
        <w:t xml:space="preserve">277</w:t>
        <w:fldChar w:fldCharType="end"/>
      </w:r>
      <w:r>
        <w:t xml:space="preserve">.</w:t>
      </w:r>
    </w:p>
    <w:p>
      <w:pPr>
        <w:pStyle w:val="Fuente"/>
      </w:pPr>
      <w:r>
        <w:t xml:space="preserve">Véase </w:t>
      </w:r>
      <w:hyperlink w:history="1" w:anchor="b_2_6">
        <w:r>
          <w:rPr>
            <w:color w:val="156B70"/>
            <w:u w:val="single"/>
          </w:rPr>
          <w:t xml:space="preserve">capítulo 2.6 · Complejidad sistémica</w:t>
        </w:r>
      </w:hyperlink>
      <w:r>
        <w:t xml:space="preserve">, pág. </w:t>
      </w:r>
      <w:r>
        <w:fldChar w:fldCharType="begin"/>
        <w:instrText xml:space="preserve">PAGEREF b_2_6 \h</w:instrText>
        <w:fldChar w:fldCharType="separate"/>
        <w:t xml:space="preserve">308</w:t>
        <w:fldChar w:fldCharType="end"/>
      </w:r>
      <w:r>
        <w:t xml:space="preserve">.</w:t>
      </w:r>
    </w:p>
    <w:p>
      <w:pPr>
        <w:pStyle w:val="Fuente"/>
      </w:pPr>
      <w:r>
        <w:t xml:space="preserve">Véase </w:t>
      </w:r>
      <w:hyperlink w:history="1" w:anchor="b_2_5">
        <w:r>
          <w:rPr>
            <w:color w:val="156B70"/>
            <w:u w:val="single"/>
          </w:rPr>
          <w:t xml:space="preserve">capítulo 2.5 · Sinergia y emergencia</w:t>
        </w:r>
      </w:hyperlink>
      <w:r>
        <w:t xml:space="preserve">, pág. </w:t>
      </w:r>
      <w:r>
        <w:fldChar w:fldCharType="begin"/>
        <w:instrText xml:space="preserve">PAGEREF b_2_5 \h</w:instrText>
        <w:fldChar w:fldCharType="separate"/>
        <w:t xml:space="preserve">292</w:t>
        <w:fldChar w:fldCharType="end"/>
      </w:r>
      <w:r>
        <w:t xml:space="preserve">.</w:t>
      </w:r>
    </w:p>
    <w:p>
      <w:pPr>
        <w:pStyle w:val="Heading3"/>
      </w:pPr>
      <w:r>
        <w:t xml:space="preserve">Lo que explicó el profesor en clase</w:t>
      </w:r>
    </w:p>
    <w:p>
      <w:pPr>
        <w:pStyle w:val="Heading3"/>
      </w:pPr>
      <w:bookmarkStart w:name="b_clase_1_6_c6_cap_12" w:id="986"/>
      <w:r>
        <w:t xml:space="preserve">Clase 6 · 01:22:09–01:39:23 · El bucle con el mundo real y las cuatro reglas de Cabrera</w:t>
      </w:r>
      <w:bookmarkEnd w:id="986"/>
    </w:p>
    <w:p>
      <w:bookmarkStart w:name="b_punto_c6_cap_12_p05" w:id="987"/>
      <w:r>
        <w:t xml:space="preserve">El pensamiento sistémico es el proceso de construir modelos que procuran representar, comprender, predecir o formular hipótesis sobre sistemas reales mediante integración y síntesis.</w:t>
      </w:r>
      <w:bookmarkEnd w:id="987"/>
    </w:p>
    <w:p>
      <w:bookmarkStart w:name="b_punto_c6_cap_12_p10" w:id="988"/>
      <w:r>
        <w:t xml:space="preserve">Cabrera organiza cuatro reglas fundamentales; D distingue conceptos y es común a cualquier pensamiento, siendo base de las demás reglas.</w:t>
      </w:r>
      <w:bookmarkEnd w:id="988"/>
    </w:p>
    <w:p>
      <w:bookmarkStart w:name="b_punto_c6_cap_12_p11" w:id="989"/>
      <w:r>
        <w:t xml:space="preserve">S permite dividir una idea en partes con nombre o agruparla en un todo superior, formando estructuras jerárquicas recursivas.</w:t>
      </w:r>
      <w:bookmarkEnd w:id="989"/>
    </w:p>
    <w:p>
      <w:bookmarkStart w:name="b_punto_c6_cap_12_p12" w:id="990"/>
      <w:r>
        <w:t xml:space="preserve">R permite identificar relaciones dinámicas entre ideas, partes, componentes, sistemas o subsistemas.</w:t>
      </w:r>
      <w:bookmarkEnd w:id="990"/>
    </w:p>
    <w:p>
      <w:bookmarkStart w:name="b_punto_c6_cap_12_p13" w:id="991"/>
      <w:r>
        <w:t xml:space="preserve">P distingue un punto desde el que se observa y una idea o cosa vista, admitiendo varios puntos sobre un mismo sistema.</w:t>
      </w:r>
      <w:bookmarkEnd w:id="991"/>
    </w:p>
    <w:p>
      <w:pPr>
        <w:pStyle w:val="Fuente"/>
      </w:pPr>
      <w:r>
        <w:t xml:space="preserve">Véase </w:t>
      </w:r>
      <w:hyperlink w:history="1" w:anchor="b_senales_examen">
        <w:r>
          <w:rPr>
            <w:color w:val="156B70"/>
            <w:u w:val="single"/>
          </w:rPr>
          <w:t xml:space="preserve">1 indicación(es) de examen de este tramo, en el apéndice cronológico</w:t>
        </w:r>
      </w:hyperlink>
      <w:r>
        <w:t xml:space="preserve">, pág. </w:t>
      </w:r>
      <w:r>
        <w:fldChar w:fldCharType="begin"/>
        <w:instrText xml:space="preserve">PAGEREF b_senales_examen \h</w:instrText>
        <w:fldChar w:fldCharType="separate"/>
        <w:t xml:space="preserve">1663</w:t>
        <w:fldChar w:fldCharType="end"/>
      </w:r>
      <w:r>
        <w:t xml:space="preserve">.</w:t>
      </w:r>
    </w:p>
    <w:p>
      <w:pPr>
        <w:pStyle w:val="Fuente"/>
      </w:pPr>
      <w:r>
        <w:t xml:space="preserve">Véase </w:t>
      </w:r>
      <w:hyperlink w:history="1" w:anchor="b_1_1">
        <w:r>
          <w:rPr>
            <w:color w:val="156B70"/>
            <w:u w:val="single"/>
          </w:rPr>
          <w:t xml:space="preserve">capítulo 1.1 · Paradigmas y modelos mentales</w:t>
        </w:r>
      </w:hyperlink>
      <w:r>
        <w:t xml:space="preserve">, pág. </w:t>
      </w:r>
      <w:r>
        <w:fldChar w:fldCharType="begin"/>
        <w:instrText xml:space="preserve">PAGEREF b_1_1 \h</w:instrText>
        <w:fldChar w:fldCharType="separate"/>
        <w:t xml:space="preserve">19</w:t>
        <w:fldChar w:fldCharType="end"/>
      </w:r>
      <w:r>
        <w:t xml:space="preserve">.</w:t>
      </w:r>
    </w:p>
    <w:p>
      <w:pPr>
        <w:pStyle w:val="Heading3"/>
      </w:pPr>
      <w:bookmarkStart w:name="b_clase_1_6_c7_cap_04" w:id="992"/>
      <w:r>
        <w:t xml:space="preserve">Clase 7 · 00:29:35–00:50:54 · Distinciones, Sistemas y el viaje entre escalas</w:t>
      </w:r>
      <w:bookmarkEnd w:id="992"/>
    </w:p>
    <w:p>
      <w:bookmarkStart w:name="b_punto_c7_cap_04_p01" w:id="993"/>
      <w:r>
        <w:t xml:space="preserve">Las reglas lógicas de Cabrera estructuran modelos conceptuales; distinguir es hacer explícita una idea que servirá de referencia para las demás operaciones.</w:t>
      </w:r>
      <w:bookmarkEnd w:id="993"/>
    </w:p>
    <w:p>
      <w:bookmarkStart w:name="b_punto_c7_cap_04_p02" w:id="994"/>
      <w:r>
        <w:t xml:space="preserve">D compara una cosa con otras y asigna nombre y límite: A no es B ni C, y B y C no son A.</w:t>
      </w:r>
      <w:bookmarkEnd w:id="994"/>
    </w:p>
    <w:p>
      <w:bookmarkStart w:name="b_punto_c7_cap_04_p03" w:id="995"/>
      <w:r>
        <w:t xml:space="preserve">La distinción no es exclusiva de pensamiento sistémico y puede nombrar una parte, sistema, relación, entrada o salida; definir ayuda a compartir el modelo.</w:t>
      </w:r>
      <w:bookmarkEnd w:id="995"/>
    </w:p>
    <w:p>
      <w:bookmarkStart w:name="b_punto_c7_cap_04_p04" w:id="996"/>
      <w:r>
        <w:t xml:space="preserve">S organiza el todo distinguido en sus partes o integra las partes en una totalidad; análisis y síntesis se aplican en ambos sentidos.</w:t>
      </w:r>
      <w:bookmarkEnd w:id="996"/>
    </w:p>
    <w:p>
      <w:bookmarkStart w:name="b_punto_c7_cap_04_p05" w:id="997"/>
      <w:r>
        <w:t xml:space="preserve">Los números enteros y 1, 2, 3, o alfabeto y letras, ilustran el todo y las distinciones que actúan como partes.</w:t>
      </w:r>
      <w:bookmarkEnd w:id="997"/>
    </w:p>
    <w:p>
      <w:bookmarkStart w:name="b_punto_c7_cap_04_p10" w:id="998"/>
      <w:r>
        <w:t xml:space="preserve">La regla S es presentada como básica y principal, aunque no única: identificar ideas como partes de otras ideas o totalidades con elementos.</w:t>
      </w:r>
      <w:bookmarkEnd w:id="998"/>
    </w:p>
    <w:p>
      <w:pPr>
        <w:pStyle w:val="Fuente"/>
      </w:pPr>
      <w:r>
        <w:t xml:space="preserve">Véase </w:t>
      </w:r>
      <w:hyperlink w:history="1" w:anchor="b_senales_examen">
        <w:r>
          <w:rPr>
            <w:color w:val="156B70"/>
            <w:u w:val="single"/>
          </w:rPr>
          <w:t xml:space="preserve">1 indicación(es) de examen de este tramo, en el apéndice cronológico</w:t>
        </w:r>
      </w:hyperlink>
      <w:r>
        <w:t xml:space="preserve">, pág. </w:t>
      </w:r>
      <w:r>
        <w:fldChar w:fldCharType="begin"/>
        <w:instrText xml:space="preserve">PAGEREF b_senales_examen \h</w:instrText>
        <w:fldChar w:fldCharType="separate"/>
        <w:t xml:space="preserve">1663</w:t>
        <w:fldChar w:fldCharType="end"/>
      </w:r>
      <w:r>
        <w:t xml:space="preserve">.</w:t>
      </w:r>
    </w:p>
    <w:p>
      <w:pPr>
        <w:pStyle w:val="Fuente"/>
      </w:pPr>
      <w:r>
        <w:t xml:space="preserve">Véase </w:t>
      </w:r>
      <w:hyperlink w:history="1" w:anchor="b_2_4">
        <w:r>
          <w:rPr>
            <w:color w:val="156B70"/>
            <w:u w:val="single"/>
          </w:rPr>
          <w:t xml:space="preserve">capítulo 2.4 · Sub y suprasistemas</w:t>
        </w:r>
      </w:hyperlink>
      <w:r>
        <w:t xml:space="preserve">, pág. </w:t>
      </w:r>
      <w:r>
        <w:fldChar w:fldCharType="begin"/>
        <w:instrText xml:space="preserve">PAGEREF b_2_4 \h</w:instrText>
        <w:fldChar w:fldCharType="separate"/>
        <w:t xml:space="preserve">277</w:t>
        <w:fldChar w:fldCharType="end"/>
      </w:r>
      <w:r>
        <w:t xml:space="preserve">.</w:t>
      </w:r>
    </w:p>
    <w:p>
      <w:pPr>
        <w:pStyle w:val="Heading3"/>
      </w:pPr>
      <w:bookmarkStart w:name="b_clase_1_6_c7_cap_05" w:id="999"/>
      <w:r>
        <w:t xml:space="preserve">Clase 7 · 00:50:54–01:01:05 · Relaciones y Perspectivas enriquecen el modelo</w:t>
      </w:r>
      <w:bookmarkEnd w:id="999"/>
    </w:p>
    <w:p>
      <w:bookmarkStart w:name="b_punto_c7_cap_05_p01" w:id="1000"/>
      <w:r>
        <w:t xml:space="preserve">R identifica interacciones entre dos ideas o sistemas y puede representarse con una línea o flecha.</w:t>
      </w:r>
      <w:bookmarkEnd w:id="1000"/>
    </w:p>
    <w:p>
      <w:bookmarkStart w:name="b_punto_c7_cap_05_p02" w:id="1001"/>
      <w:r>
        <w:t xml:space="preserve">Cliente y vendedor forman una relación denominada compra o venta según la perspectiva; compraventa integra ambas.</w:t>
      </w:r>
      <w:bookmarkEnd w:id="1001"/>
    </w:p>
    <w:p>
      <w:bookmarkStart w:name="b_punto_c7_cap_05_p05" w:id="1002"/>
      <w:r>
        <w:t xml:space="preserve">La perspectiva inicial filtra y puede omitir elementos; buscar otras personas o roles aporta conceptos y relaciones no considerados.</w:t>
      </w:r>
      <w:bookmarkEnd w:id="1002"/>
    </w:p>
    <w:p>
      <w:bookmarkStart w:name="b_punto_c7_cap_05_p07" w:id="1003"/>
      <w:r>
        <w:t xml:space="preserve">En el ejemplo editorial de P, el editor es el punto y el coloquialismo observado es la vista.</w:t>
      </w:r>
      <w:bookmarkEnd w:id="1003"/>
    </w:p>
    <w:p>
      <w:pPr>
        <w:pStyle w:val="Fuente"/>
      </w:pPr>
      <w:r>
        <w:t xml:space="preserve">Véase </w:t>
      </w:r>
      <w:hyperlink w:history="1" w:anchor="b_2_4">
        <w:r>
          <w:rPr>
            <w:color w:val="156B70"/>
            <w:u w:val="single"/>
          </w:rPr>
          <w:t xml:space="preserve">capítulo 2.4 · Sub y suprasistemas</w:t>
        </w:r>
      </w:hyperlink>
      <w:r>
        <w:t xml:space="preserve">, pág. </w:t>
      </w:r>
      <w:r>
        <w:fldChar w:fldCharType="begin"/>
        <w:instrText xml:space="preserve">PAGEREF b_2_4 \h</w:instrText>
        <w:fldChar w:fldCharType="separate"/>
        <w:t xml:space="preserve">277</w:t>
        <w:fldChar w:fldCharType="end"/>
      </w:r>
      <w:r>
        <w:t xml:space="preserve">.</w:t>
      </w:r>
    </w:p>
    <w:p>
      <w:pPr>
        <w:pStyle w:val="Fuente"/>
      </w:pPr>
      <w:r>
        <w:t xml:space="preserve">Véase </w:t>
      </w:r>
      <w:hyperlink w:history="1" w:anchor="b_1_4">
        <w:r>
          <w:rPr>
            <w:color w:val="156B70"/>
            <w:u w:val="single"/>
          </w:rPr>
          <w:t xml:space="preserve">capítulo 1.4 · Sistémico vs no sistémico</w:t>
        </w:r>
      </w:hyperlink>
      <w:r>
        <w:t xml:space="preserve">, pág. </w:t>
      </w:r>
      <w:r>
        <w:fldChar w:fldCharType="begin"/>
        <w:instrText xml:space="preserve">PAGEREF b_1_4 \h</w:instrText>
        <w:fldChar w:fldCharType="separate"/>
        <w:t xml:space="preserve">104</w:t>
        <w:fldChar w:fldCharType="end"/>
      </w:r>
      <w:r>
        <w:t xml:space="preserve">.</w:t>
      </w:r>
    </w:p>
    <w:p>
      <w:pPr>
        <w:pStyle w:val="Fuente"/>
      </w:pPr>
      <w:r>
        <w:t xml:space="preserve">Véase </w:t>
      </w:r>
      <w:hyperlink w:history="1" w:anchor="b_1_5">
        <w:r>
          <w:rPr>
            <w:color w:val="156B70"/>
            <w:u w:val="single"/>
          </w:rPr>
          <w:t xml:space="preserve">capítulo 1.5 · Perspectivas</w:t>
        </w:r>
      </w:hyperlink>
      <w:r>
        <w:t xml:space="preserve">, pág. </w:t>
      </w:r>
      <w:r>
        <w:fldChar w:fldCharType="begin"/>
        <w:instrText xml:space="preserve">PAGEREF b_1_5 \h</w:instrText>
        <w:fldChar w:fldCharType="separate"/>
        <w:t xml:space="preserve">125</w:t>
        <w:fldChar w:fldCharType="end"/>
      </w:r>
      <w:r>
        <w:t xml:space="preserve">.</w:t>
      </w:r>
    </w:p>
    <w:p>
      <w:pPr>
        <w:pStyle w:val="Heading3"/>
      </w:pPr>
      <w:bookmarkStart w:name="b_clase_1_6_c7_cap_06" w:id="1004"/>
      <w:r>
        <w:t xml:space="preserve">Clase 7 · 01:01:06–01:09:47 · Las cuatro reglas como ciclo iterativo de modelación</w:t>
      </w:r>
      <w:bookmarkEnd w:id="1004"/>
    </w:p>
    <w:p>
      <w:bookmarkStart w:name="b_punto_c7_cap_06_p01" w:id="1005"/>
      <w:r>
        <w:t xml:space="preserve">Las cuatro operaciones se combinan para estructurar partes, relaciones y perspectivas; la práctica habitual permite enriquecer un primer modelo.</w:t>
      </w:r>
      <w:bookmarkEnd w:id="1005"/>
    </w:p>
    <w:p>
      <w:bookmarkStart w:name="b_punto_c7_cap_06_p02" w:id="1006"/>
      <w:r>
        <w:t xml:space="preserve">Las reglas organizan información del mundo real en un modelo conceptual; el pensamiento sistémico es propiedad emergente de practicarlas rutinariamente.</w:t>
      </w:r>
      <w:bookmarkEnd w:id="1006"/>
    </w:p>
    <w:p>
      <w:bookmarkStart w:name="b_punto_c7_cap_06_p03" w:id="1007"/>
      <w:r>
        <w:t xml:space="preserve">El algoritmo comienza eligiendo una idea y distinguiéndola; puede ser parte, relación, componente o sistema.</w:t>
      </w:r>
      <w:bookmarkEnd w:id="1007"/>
    </w:p>
    <w:p>
      <w:bookmarkStart w:name="b_punto_c7_cap_06_p04" w:id="1008"/>
      <w:r>
        <w:t xml:space="preserve">En cada vuelta se elige cualquiera de D, S, R o P, se incorpora el concepto descubierto y se juzga si el modelo es suficiente para el propósito.</w:t>
      </w:r>
      <w:bookmarkEnd w:id="1008"/>
    </w:p>
    <w:p>
      <w:bookmarkStart w:name="b_punto_c7_cap_06_p05" w:id="1009"/>
      <w:r>
        <w:t xml:space="preserve">Si falta comprensión se repite con cualquier regla; el algoritmo no obliga a una única secuencia D→S→R→P.</w:t>
      </w:r>
      <w:bookmarkEnd w:id="1009"/>
    </w:p>
    <w:p>
      <w:bookmarkStart w:name="b_punto_c7_cap_06_p06" w:id="1010"/>
      <w:r>
        <w:t xml:space="preserve">Indagación de D: qué es y qué no es; de S: qué partes forman un todo o de qué todo forman parte.</w:t>
      </w:r>
      <w:bookmarkEnd w:id="1010"/>
    </w:p>
    <w:p>
      <w:bookmarkStart w:name="b_punto_c7_cap_06_p07" w:id="1011"/>
      <w:r>
        <w:t xml:space="preserve">Indagación de R: cómo se relacionan dos conceptos; de P: qué se ve desde cierto punto y si puede mirarse de otra manera.</w:t>
      </w:r>
      <w:bookmarkEnd w:id="1011"/>
    </w:p>
    <w:p>
      <w:bookmarkStart w:name="b_punto_c7_cap_06_p08" w:id="1012"/>
      <w:r>
        <w:t xml:space="preserve">El enfoque sistémico procura no perder partes, entorno, entradas, salidas, objetivos ni relaciones pertinentes al sistema modelado.</w:t>
      </w:r>
      <w:bookmarkEnd w:id="1012"/>
    </w:p>
    <w:p>
      <w:pPr>
        <w:pStyle w:val="Heading3"/>
      </w:pPr>
      <w:bookmarkStart w:name="b_clase_1_6_c7_cap_07" w:id="1013"/>
      <w:r>
        <w:t xml:space="preserve">Clase 7 · 01:09:49–01:16:32 · Pensamiento sistémico, enfoque sistémico e indagación</w:t>
      </w:r>
      <w:bookmarkEnd w:id="1013"/>
    </w:p>
    <w:p>
      <w:bookmarkStart w:name="b_punto_c7_cap_07_p04" w:id="1014"/>
      <w:r>
        <w:t xml:space="preserve">Ampliar el enfoque requiere suspender temporalmente la perspectiva propia, escuchar a otros y contrastar e integrar lo que aportan al modelo inicial.</w:t>
      </w:r>
      <w:bookmarkEnd w:id="1014"/>
    </w:p>
    <w:p>
      <w:bookmarkStart w:name="b_punto_c7_cap_07_p06" w:id="1015"/>
      <w:r>
        <w:t xml:space="preserve">La incertidumbre puede reconocerse como referencia general a algo que falta; recopilar datos reales y seguir aplicando las reglas mejora la representatividad.</w:t>
      </w:r>
      <w:bookmarkEnd w:id="1015"/>
    </w:p>
    <w:p>
      <w:pPr>
        <w:pStyle w:val="Fuente"/>
      </w:pPr>
      <w:r>
        <w:t xml:space="preserve">Véase </w:t>
      </w:r>
      <w:hyperlink w:history="1" w:anchor="b_1_3">
        <w:r>
          <w:rPr>
            <w:color w:val="156B70"/>
            <w:u w:val="single"/>
          </w:rPr>
          <w:t xml:space="preserve">capítulo 1.3 · El paradigma de sistemas</w:t>
        </w:r>
      </w:hyperlink>
      <w:r>
        <w:t xml:space="preserve">, pág. </w:t>
      </w:r>
      <w:r>
        <w:fldChar w:fldCharType="begin"/>
        <w:instrText xml:space="preserve">PAGEREF b_1_3 \h</w:instrText>
        <w:fldChar w:fldCharType="separate"/>
        <w:t xml:space="preserve">83</w:t>
        <w:fldChar w:fldCharType="end"/>
      </w:r>
      <w:r>
        <w:t xml:space="preserve">.</w:t>
      </w:r>
    </w:p>
    <w:p>
      <w:pPr>
        <w:pStyle w:val="Heading3"/>
      </w:pPr>
      <w:bookmarkStart w:name="b_clase_1_6_c7_cap_08" w:id="1016"/>
      <w:r>
        <w:t xml:space="preserve">Clase 7 · 01:16:32–01:29:30 · Práctica de la ciudad: sistemas, relaciones y observadores</w:t>
      </w:r>
      <w:bookmarkEnd w:id="1016"/>
    </w:p>
    <w:p>
      <w:bookmarkStart w:name="b_punto_c7_cap_08_p02" w:id="1017"/>
      <w:r>
        <w:t xml:space="preserve">Gestión de residuos y recolección de basura son dos nombres para un sistema; negocios puede agrupar varios sistemas y hotel distinguir uno concreto.</w:t>
      </w:r>
      <w:bookmarkEnd w:id="1017"/>
    </w:p>
    <w:p>
      <w:bookmarkStart w:name="b_punto_c7_cap_08_p03" w:id="1018"/>
      <w:r>
        <w:t xml:space="preserve">La escena permite distinguir policía, reparto de alimentos, hospedaje, energía, plantas, mantenimiento, sistema social, cada vehículo y tránsito global.</w:t>
      </w:r>
      <w:bookmarkEnd w:id="1018"/>
    </w:p>
    <w:p>
      <w:bookmarkStart w:name="b_punto_c7_cap_08_p11" w:id="1019"/>
      <w:r>
        <w:t xml:space="preserve">Las relaciones dinámicas requieren correr la película: una imagen estática permite inferirlas, pero conviene observar el sistema evolucionando y distinguir evidencia de imaginación.</w:t>
      </w:r>
      <w:bookmarkEnd w:id="1019"/>
    </w:p>
    <w:p>
      <w:pPr>
        <w:pStyle w:val="Fuente"/>
      </w:pPr>
      <w:r>
        <w:t xml:space="preserve">Véase </w:t>
      </w:r>
      <w:hyperlink w:history="1" w:anchor="b_1_5">
        <w:r>
          <w:rPr>
            <w:color w:val="156B70"/>
            <w:u w:val="single"/>
          </w:rPr>
          <w:t xml:space="preserve">capítulo 1.5 · Perspectivas</w:t>
        </w:r>
      </w:hyperlink>
      <w:r>
        <w:t xml:space="preserve">, pág. </w:t>
      </w:r>
      <w:r>
        <w:fldChar w:fldCharType="begin"/>
        <w:instrText xml:space="preserve">PAGEREF b_1_5 \h</w:instrText>
        <w:fldChar w:fldCharType="separate"/>
        <w:t xml:space="preserve">125</w:t>
        <w:fldChar w:fldCharType="end"/>
      </w:r>
      <w:r>
        <w:t xml:space="preserve">.</w:t>
      </w:r>
    </w:p>
    <w:p>
      <w:pPr>
        <w:pStyle w:val="Heading3"/>
      </w:pPr>
      <w:bookmarkStart w:name="b_clase_1_6_c7_cap_10" w:id="1020"/>
      <w:r>
        <w:t xml:space="preserve">Clase 7 · 01:40:17–01:43:19 · Tarea #4: dos sistemas descritos desde varias perspectivas</w:t>
      </w:r>
      <w:bookmarkEnd w:id="1020"/>
    </w:p>
    <w:p>
      <w:bookmarkStart w:name="b_punto_c7_cap_10_p01" w:id="1021"/>
      <w:r>
        <w:t xml:space="preserve">La tarea propone escoger por lo menos dos realidades físicas, tecnológicas, humanas o de otra naturaleza para practicar DSRP.</w:t>
      </w:r>
      <w:bookmarkEnd w:id="1021"/>
    </w:p>
    <w:p>
      <w:bookmarkStart w:name="b_punto_c7_cap_10_p02" w:id="1022"/>
      <w:r>
        <w:t xml:space="preserve">En cada realidad se describen partes y relaciones ontológicas, entradas/salidas/procesos funcionales y evolución genética.</w:t>
      </w:r>
      <w:bookmarkEnd w:id="1022"/>
    </w:p>
    <w:p>
      <w:bookmarkStart w:name="b_punto_c7_cap_10_p03" w:id="1023"/>
      <w:r>
        <w:t xml:space="preserve">Se pueden agregar otras perspectivas de actores y redactar con palabras y terminología conceptual propias, empezando por titular cada sistema.</w:t>
      </w:r>
      <w:bookmarkEnd w:id="1023"/>
    </w:p>
    <w:p>
      <w:pPr>
        <w:pStyle w:val="Heading3"/>
      </w:pPr>
      <w:bookmarkStart w:name="b_clase_1_6_c8_cap_01" w:id="1024"/>
      <w:r>
        <w:t xml:space="preserve">Clase 8 · 00:00:21–00:11:05 · La Tarea #4 como modelo mental de dos sistemas</w:t>
      </w:r>
      <w:bookmarkEnd w:id="1024"/>
    </w:p>
    <w:p>
      <w:bookmarkStart w:name="b_punto_c8_cap_01_p06" w:id="1025"/>
      <w:r>
        <w:t xml:space="preserve">El caso bosque comienza distinguiendo un ecosistema terrestre de seres vivos interconectados con entorno común; sus partes y relaciones se aprecian estática y funcionalmente.</w:t>
      </w:r>
      <w:bookmarkEnd w:id="1025"/>
    </w:p>
    <w:p>
      <w:bookmarkStart w:name="b_punto_c8_cap_01_p07" w:id="1026"/>
      <w:r>
        <w:t xml:space="preserve">Las miradas ontológica, funcional y genética son aplicaciones de P; dentro de cada una se usan también D, S y R para ordenar la información.</w:t>
      </w:r>
      <w:bookmarkEnd w:id="1026"/>
    </w:p>
    <w:p>
      <w:bookmarkStart w:name="b_punto_c8_cap_01_p08" w:id="1027"/>
      <w:r>
        <w:t xml:space="preserve">Modelar ordena información con las cuatro reglas para construir una representación coherente: partes, contexto, entradas y salidas se identifican en niveles relacionados.</w:t>
      </w:r>
      <w:bookmarkEnd w:id="1027"/>
    </w:p>
    <w:p>
      <w:pPr>
        <w:pStyle w:val="Fuente"/>
      </w:pPr>
      <w:r>
        <w:t xml:space="preserve">Véase </w:t>
      </w:r>
      <w:hyperlink w:history="1" w:anchor="b_1_5">
        <w:r>
          <w:rPr>
            <w:color w:val="156B70"/>
            <w:u w:val="single"/>
          </w:rPr>
          <w:t xml:space="preserve">capítulo 1.5 · Perspectivas</w:t>
        </w:r>
      </w:hyperlink>
      <w:r>
        <w:t xml:space="preserve">, pág. </w:t>
      </w:r>
      <w:r>
        <w:fldChar w:fldCharType="begin"/>
        <w:instrText xml:space="preserve">PAGEREF b_1_5 \h</w:instrText>
        <w:fldChar w:fldCharType="separate"/>
        <w:t xml:space="preserve">125</w:t>
        <w:fldChar w:fldCharType="end"/>
      </w:r>
      <w:r>
        <w:t xml:space="preserve">.</w:t>
      </w:r>
    </w:p>
    <w:p>
      <w:pPr>
        <w:pStyle w:val="Fuente"/>
      </w:pPr>
      <w:r>
        <w:t xml:space="preserve">Véase </w:t>
      </w:r>
      <w:hyperlink w:history="1" w:anchor="b_2_3">
        <w:r>
          <w:rPr>
            <w:color w:val="156B70"/>
            <w:u w:val="single"/>
          </w:rPr>
          <w:t xml:space="preserve">capítulo 2.3 · Estructura de los sistemas</w:t>
        </w:r>
      </w:hyperlink>
      <w:r>
        <w:t xml:space="preserve">, pág. </w:t>
      </w:r>
      <w:r>
        <w:fldChar w:fldCharType="begin"/>
        <w:instrText xml:space="preserve">PAGEREF b_2_3 \h</w:instrText>
        <w:fldChar w:fldCharType="separate"/>
        <w:t xml:space="preserve">259</w:t>
        <w:fldChar w:fldCharType="end"/>
      </w:r>
      <w:r>
        <w:t xml:space="preserve">.</w:t>
      </w:r>
    </w:p>
    <w:p>
      <w:pPr>
        <w:pStyle w:val="Fuente"/>
      </w:pPr>
      <w:r>
        <w:t xml:space="preserve">Véase </w:t>
      </w:r>
      <w:hyperlink w:history="1" w:anchor="b_2_4">
        <w:r>
          <w:rPr>
            <w:color w:val="156B70"/>
            <w:u w:val="single"/>
          </w:rPr>
          <w:t xml:space="preserve">capítulo 2.4 · Sub y suprasistemas</w:t>
        </w:r>
      </w:hyperlink>
      <w:r>
        <w:t xml:space="preserve">, pág. </w:t>
      </w:r>
      <w:r>
        <w:fldChar w:fldCharType="begin"/>
        <w:instrText xml:space="preserve">PAGEREF b_2_4 \h</w:instrText>
        <w:fldChar w:fldCharType="separate"/>
        <w:t xml:space="preserve">277</w:t>
        <w:fldChar w:fldCharType="end"/>
      </w:r>
      <w:r>
        <w:t xml:space="preserve">.</w:t>
      </w:r>
    </w:p>
    <w:p>
      <w:pPr>
        <w:pStyle w:val="Heading3"/>
      </w:pPr>
      <w:bookmarkStart w:name="b_clase_1_6_c8_cap_02" w:id="1028"/>
      <w:r>
        <w:t xml:space="preserve">Clase 8 · 00:11:05–00:14:37 · El pensamiento sistémico emerge de aplicar DSRP</w:t>
      </w:r>
      <w:bookmarkEnd w:id="1028"/>
    </w:p>
    <w:p>
      <w:bookmarkStart w:name="b_punto_c8_cap_02_p01" w:id="1029"/>
      <w:r>
        <w:t xml:space="preserve">El pensamiento sistémico se presenta como resultado o propiedad emergente del proceso de pensar con DSRP, no como una operación adicional aislada.</w:t>
      </w:r>
      <w:bookmarkEnd w:id="1029"/>
    </w:p>
    <w:p>
      <w:bookmarkStart w:name="b_punto_c8_cap_02_p02" w:id="1030"/>
      <w:r>
        <w:t xml:space="preserve">D, S, R y P estructuran conceptos de partes, relaciones, entradas, salidas, medio y jerarquías del sistema concreto.</w:t>
      </w:r>
      <w:bookmarkEnd w:id="1030"/>
    </w:p>
    <w:p>
      <w:bookmarkStart w:name="b_punto_c8_cap_02_p04" w:id="1031"/>
      <w:r>
        <w:t xml:space="preserve">Reiterar distinciones, sistemas, relaciones y perspectivas enriquece el modelo hasta aproximarse a una comprensión global y holística.</w:t>
      </w:r>
      <w:bookmarkEnd w:id="1031"/>
    </w:p>
    <w:p>
      <w:bookmarkStart w:name="b_punto_c8_cap_02_p05" w:id="1032"/>
      <w:r>
        <w:t xml:space="preserve">El ejercicio busca hacer conscientes operaciones que suelen realizarse intuitiva o inconscientemente.</w:t>
      </w:r>
      <w:bookmarkEnd w:id="1032"/>
    </w:p>
    <w:p>
      <w:pPr>
        <w:pStyle w:val="Fuente"/>
      </w:pPr>
      <w:r>
        <w:t xml:space="preserve">Véase </w:t>
      </w:r>
      <w:hyperlink w:history="1" w:anchor="b_2_6">
        <w:r>
          <w:rPr>
            <w:color w:val="156B70"/>
            <w:u w:val="single"/>
          </w:rPr>
          <w:t xml:space="preserve">capítulo 2.6 · Complejidad sistémica</w:t>
        </w:r>
      </w:hyperlink>
      <w:r>
        <w:t xml:space="preserve">, pág. </w:t>
      </w:r>
      <w:r>
        <w:fldChar w:fldCharType="begin"/>
        <w:instrText xml:space="preserve">PAGEREF b_2_6 \h</w:instrText>
        <w:fldChar w:fldCharType="separate"/>
        <w:t xml:space="preserve">308</w:t>
        <w:fldChar w:fldCharType="end"/>
      </w:r>
      <w:r>
        <w:t xml:space="preserve">.</w:t>
      </w:r>
    </w:p>
    <w:p>
      <w:pPr>
        <w:pStyle w:val="Heading3"/>
      </w:pPr>
      <w:bookmarkStart w:name="b_cita_clase_1_dsrp_cuatro_oper_94e84425" w:id="1033"/>
      <w:r>
        <w:t xml:space="preserve">Palabras del profesor</w:t>
      </w:r>
      <w:bookmarkEnd w:id="1033"/>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El profesor lo dijo así</w:t>
            </w:r>
          </w:p>
          <w:p>
            <w:pPr>
              <w:pStyle w:val="Recuadro"/>
            </w:pPr>
            <w:r>
              <w:t xml:space="preserve">«Vamos a principalmente utilizar el modelo DSRP, que son unas siglas asociadas a las cuatro operaciones mentales sistémicas que debemos de aprender a trabajar en este curso»</w:t>
            </w:r>
          </w:p>
          <w:p>
            <w:pPr>
              <w:pStyle w:val="Recuadro"/>
            </w:pPr>
            <w:r>
              <w:t xml:space="preserve">Clase 1 · 00:23:20–00:23:38</w:t>
            </w:r>
          </w:p>
        </w:tc>
      </w:tr>
    </w:tbl>
    <w:p>
      <w:pPr>
        <w:pStyle w:val="Heading3"/>
      </w:pPr>
      <w:bookmarkStart w:name="b_cita_clase_6_las_cuatro_regla_a3a8a500" w:id="1034"/>
      <w:r>
        <w:t xml:space="preserve">Palabras del profesor</w:t>
      </w:r>
      <w:bookmarkEnd w:id="1034"/>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El profesor lo dijo así</w:t>
            </w:r>
          </w:p>
          <w:p>
            <w:pPr>
              <w:pStyle w:val="Recuadro"/>
            </w:pPr>
            <w:r>
              <w:t xml:space="preserve">«Para simplificarlo aún más, para fines de qué es pensar sistémicamente, el doctor Cabrera desarrolla en su libro cuatro reglas, cuatro operaciones mentales que son las que hemos estado citando desde el inicio de este curso.»</w:t>
            </w:r>
          </w:p>
          <w:p>
            <w:pPr>
              <w:pStyle w:val="Recuadro"/>
            </w:pPr>
            <w:r>
              <w:t xml:space="preserve">Clase 6 · 01:33:06–01:33:27</w:t>
            </w:r>
          </w:p>
        </w:tc>
      </w:tr>
    </w:tbl>
    <w:p>
      <w:pPr>
        <w:pStyle w:val="Heading3"/>
      </w:pPr>
      <w:bookmarkStart w:name="b_cita_clase_7_distinciones_ide_9bebc18d" w:id="1035"/>
      <w:r>
        <w:t xml:space="preserve">Palabras del profesor</w:t>
      </w:r>
      <w:bookmarkEnd w:id="1035"/>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El profesor lo dijo así</w:t>
            </w:r>
          </w:p>
          <w:p>
            <w:pPr>
              <w:pStyle w:val="Recuadro"/>
            </w:pPr>
            <w:r>
              <w:t xml:space="preserve">«Diferenciar una cosa de la realidad, una parte de algún sistema, un elemento de un sistema, de otros elementos, de otras cosas, de otras realidades: a través de la distinción hacemos explícita la diferenciación de esas cosas, comparando una cosa con las otras y resaltando sus características particulares.»</w:t>
            </w:r>
          </w:p>
          <w:p>
            <w:pPr>
              <w:pStyle w:val="Recuadro"/>
            </w:pPr>
            <w:r>
              <w:t xml:space="preserve">Clase 7 · 00:31:05–00:31:47</w:t>
            </w:r>
          </w:p>
        </w:tc>
      </w:tr>
    </w:tbl>
    <w:p>
      <w:pPr>
        <w:pStyle w:val="Heading3"/>
      </w:pPr>
      <w:bookmarkStart w:name="b_cita_clase_7_sistemas_partes_y_todo" w:id="1036"/>
      <w:r>
        <w:t xml:space="preserve">Palabras del profesor</w:t>
      </w:r>
      <w:bookmarkEnd w:id="1036"/>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El profesor lo dijo así</w:t>
            </w:r>
          </w:p>
          <w:p>
            <w:pPr>
              <w:pStyle w:val="Recuadro"/>
            </w:pPr>
            <w:r>
              <w:t xml:space="preserve">«Estoy aplicando esta segunda operación básica del pensamiento sistémico, que es identificar, distinguir sistemas: distinguiendo partes dentro del contexto de un todo o distinguiendo un todo que se compone de algunas partes. Aunque este concepto del todo y de las partes es relativo.»</w:t>
            </w:r>
          </w:p>
          <w:p>
            <w:pPr>
              <w:pStyle w:val="Recuadro"/>
            </w:pPr>
            <w:r>
              <w:t xml:space="preserve">Clase 7 · 00:39:24–00:39:55</w:t>
            </w:r>
          </w:p>
        </w:tc>
      </w:tr>
    </w:tbl>
    <w:p>
      <w:pPr>
        <w:pStyle w:val="Heading3"/>
      </w:pPr>
      <w:bookmarkStart w:name="b_cita_clase_7_relaciones_conec_99f32f40" w:id="1037"/>
      <w:r>
        <w:t xml:space="preserve">Palabras del profesor</w:t>
      </w:r>
      <w:bookmarkEnd w:id="1037"/>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El profesor lo dijo así</w:t>
            </w:r>
          </w:p>
          <w:p>
            <w:pPr>
              <w:pStyle w:val="Recuadro"/>
            </w:pPr>
            <w:r>
              <w:t xml:space="preserve">«La regla de relaciones nos permite identificar cómo una idea, un concepto que representa una parte o un sistema, y otra idea, otro concepto que representa otra parte u otro sistema, interactúan entre sí. A nivel gráfico vamos a expresarlo con una flecha, con una línea, porque sabemos que hay una relación entre esa idea y esa otra idea.»</w:t>
            </w:r>
          </w:p>
          <w:p>
            <w:pPr>
              <w:pStyle w:val="Recuadro"/>
            </w:pPr>
            <w:r>
              <w:t xml:space="preserve">Clase 7 · 00:51:06–00:52:00</w:t>
            </w:r>
          </w:p>
        </w:tc>
      </w:tr>
    </w:tbl>
    <w:p>
      <w:pPr>
        <w:pStyle w:val="Heading3"/>
      </w:pPr>
      <w:bookmarkStart w:name="b_cita_clase_7_perspectivas_amp_866c2013" w:id="1038"/>
      <w:r>
        <w:t xml:space="preserve">Palabras del profesor</w:t>
      </w:r>
      <w:bookmarkEnd w:id="1038"/>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El profesor lo dijo así</w:t>
            </w:r>
          </w:p>
          <w:p>
            <w:pPr>
              <w:pStyle w:val="Recuadro"/>
            </w:pPr>
            <w:r>
              <w:t xml:space="preserve">«El objetivo máximo es alcanzar esa perspectiva de la película completa, esa perspectiva sistémica que permite darse cuenta de que la perspectiva inicial siempre puede ser limitada. La forma de ir completándola es considerar otras perspectivas, en términos de otras personas, grupos o entidades que puedan describir información diferente.»</w:t>
            </w:r>
          </w:p>
          <w:p>
            <w:pPr>
              <w:pStyle w:val="Recuadro"/>
            </w:pPr>
            <w:r>
              <w:t xml:space="preserve">Clase 7 · 00:57:10–00:57:55</w:t>
            </w:r>
          </w:p>
        </w:tc>
      </w:tr>
    </w:tbl>
    <w:p>
      <w:pPr>
        <w:pStyle w:val="Heading3"/>
      </w:pPr>
      <w:bookmarkStart w:name="b_cita_clase_7_algoritmo_dsrp_r_0cbf9460" w:id="1039"/>
      <w:r>
        <w:t xml:space="preserve">Palabras del profesor</w:t>
      </w:r>
      <w:bookmarkEnd w:id="1039"/>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El profesor lo dijo así</w:t>
            </w:r>
          </w:p>
          <w:p>
            <w:pPr>
              <w:pStyle w:val="Recuadro"/>
            </w:pPr>
            <w:r>
              <w:t xml:space="preserve">«Elegimos un proceso o una regla, una forma básica de distinguir, de diferenciar sistemas, relaciones o perspectivas. Cuando la aplicamos, nuestro modelo conceptual crece. Decidimos si es suficiente para comprender o representar el sistema y, si no es suficiente, repetimos el ciclo y seguimos aplicando cualquiera de las cuatro reglas.»</w:t>
            </w:r>
          </w:p>
          <w:p>
            <w:pPr>
              <w:pStyle w:val="Recuadro"/>
            </w:pPr>
            <w:r>
              <w:t xml:space="preserve">Clase 7 · 01:05:01–01:06:17</w:t>
            </w:r>
          </w:p>
        </w:tc>
      </w:tr>
    </w:tbl>
    <w:p>
      <w:pPr>
        <w:pStyle w:val="Heading3"/>
      </w:pPr>
      <w:bookmarkStart w:name="b_cita_clase_8_pensamiento_sist_17108180" w:id="1040"/>
      <w:r>
        <w:t xml:space="preserve">Palabras del profesor</w:t>
      </w:r>
      <w:bookmarkEnd w:id="1040"/>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El profesor lo dijo así</w:t>
            </w:r>
          </w:p>
          <w:p>
            <w:pPr>
              <w:pStyle w:val="Recuadro"/>
            </w:pPr>
            <w:r>
              <w:t xml:space="preserve">«El pensamiento sistémico se constituye como lo que en la teoría de sistemas llamaríamos una propiedad emergente de pensar en términos de las reglas DSRP: distinciones, sistemas, relaciones y perspectivas.»</w:t>
            </w:r>
          </w:p>
          <w:p>
            <w:pPr>
              <w:pStyle w:val="Recuadro"/>
            </w:pPr>
            <w:r>
              <w:t xml:space="preserve">Clase 8 · 00:11:38–00:12:14</w:t>
            </w:r>
          </w:p>
        </w:tc>
      </w:tr>
    </w:tbl>
    <w:p>
      <w:pPr>
        <w:pStyle w:val="Heading3"/>
      </w:pPr>
      <w:r>
        <w:t xml:space="preserve">Errores frecuentes y trampa de examen</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9C620A" w:sz="20"/>
              <w:bottom w:val="nil"/>
              <w:right w:val="nil"/>
            </w:tcBorders>
            <w:shd w:fill="FBF3DF" w:val="clear"/>
            <w:tcMar>
              <w:top w:type="dxa" w:w="130"/>
              <w:left w:type="dxa" w:w="180"/>
              <w:bottom w:type="dxa" w:w="130"/>
              <w:right w:type="dxa" w:w="180"/>
            </w:tcMar>
          </w:tcPr>
          <w:p>
            <w:pPr>
              <w:pStyle w:val="RecuadroTitulo"/>
            </w:pPr>
            <w:r>
              <w:rPr>
                <w:b/>
                <w:bCs/>
                <w:color w:val="9C620A"/>
              </w:rPr>
              <w:t xml:space="preserve">Error → corrección</w:t>
            </w:r>
          </w:p>
          <w:p>
            <w:pPr>
              <w:pStyle w:val="Recuadro"/>
            </w:pPr>
            <w:r>
              <w:rPr>
                <w:b/>
                <w:bCs/>
              </w:rPr>
              <w:t xml:space="preserve">Error:</w:t>
            </w:r>
            <w:r>
              <w:t xml:space="preserve"> Aplicar las cuatro reglas una sola vez, en el orden del acrónimo, como un procedimiento cerrado.</w:t>
            </w:r>
          </w:p>
          <w:p>
            <w:pPr>
              <w:pStyle w:val="Recuadro"/>
            </w:pPr>
            <w:r>
              <w:rPr>
                <w:b/>
                <w:bCs/>
              </w:rPr>
              <w:t xml:space="preserve">Corrección:</w:t>
            </w:r>
            <w:r>
              <w:t xml:space="preserve"> El algoritmo pregunta si el modelo es suficiente y, si no, repite con cualquiera de las reglas; el pensamiento sistémico es el resultado del proceso, no un paso.</w:t>
            </w:r>
          </w:p>
          <w:p>
            <w:pPr>
              <w:pStyle w:val="Recuadro"/>
            </w:pPr>
            <w:r>
              <w:t xml:space="preserve">Clase 7 · 01:05:24–01:06:20 · Clase 8 · 00:11:05–00:14:07</w:t>
            </w:r>
          </w:p>
        </w:tc>
      </w:tr>
    </w:tbl>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9C620A" w:sz="20"/>
              <w:bottom w:val="nil"/>
              <w:right w:val="nil"/>
            </w:tcBorders>
            <w:shd w:fill="FBF3DF" w:val="clear"/>
            <w:tcMar>
              <w:top w:type="dxa" w:w="130"/>
              <w:left w:type="dxa" w:w="180"/>
              <w:bottom w:type="dxa" w:w="130"/>
              <w:right w:type="dxa" w:w="180"/>
            </w:tcMar>
          </w:tcPr>
          <w:p>
            <w:pPr>
              <w:pStyle w:val="RecuadroTitulo"/>
            </w:pPr>
            <w:r>
              <w:rPr>
                <w:b/>
                <w:bCs/>
                <w:color w:val="9C620A"/>
              </w:rPr>
              <w:t xml:space="preserve">Error → corrección</w:t>
            </w:r>
          </w:p>
          <w:p>
            <w:pPr>
              <w:pStyle w:val="Recuadro"/>
            </w:pPr>
            <w:r>
              <w:rPr>
                <w:b/>
                <w:bCs/>
              </w:rPr>
              <w:t xml:space="preserve">Error:</w:t>
            </w:r>
            <w:r>
              <w:t xml:space="preserve"> Contar dos sistemas donde hay dos nombres, como recolección de basura y gestión de residuos.</w:t>
            </w:r>
          </w:p>
          <w:p>
            <w:pPr>
              <w:pStyle w:val="Recuadro"/>
            </w:pPr>
            <w:r>
              <w:rPr>
                <w:b/>
                <w:bCs/>
              </w:rPr>
              <w:t xml:space="preserve">Corrección:</w:t>
            </w:r>
            <w:r>
              <w:t xml:space="preserve"> Son un mismo sistema con dos conceptos: la distinción da nombre a lo que se diferencia de otros parecidos, no crea un sistema por cada palabra.</w:t>
            </w:r>
          </w:p>
          <w:p>
            <w:pPr>
              <w:pStyle w:val="Recuadro"/>
            </w:pPr>
            <w:r>
              <w:t xml:space="preserve">Clase 7 · 00:30:45–00:32:30 · Clase 7 · 01:18:37–01:21:25</w:t>
            </w:r>
          </w:p>
        </w:tc>
      </w:tr>
    </w:tbl>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9C620A" w:sz="20"/>
              <w:bottom w:val="nil"/>
              <w:right w:val="nil"/>
            </w:tcBorders>
            <w:shd w:fill="FBF3DF" w:val="clear"/>
            <w:tcMar>
              <w:top w:type="dxa" w:w="130"/>
              <w:left w:type="dxa" w:w="180"/>
              <w:bottom w:type="dxa" w:w="130"/>
              <w:right w:type="dxa" w:w="180"/>
            </w:tcMar>
          </w:tcPr>
          <w:p>
            <w:pPr>
              <w:pStyle w:val="RecuadroTitulo"/>
            </w:pPr>
            <w:r>
              <w:rPr>
                <w:b/>
                <w:bCs/>
                <w:color w:val="9C620A"/>
              </w:rPr>
              <w:t xml:space="preserve">Error → corrección</w:t>
            </w:r>
          </w:p>
          <w:p>
            <w:pPr>
              <w:pStyle w:val="Recuadro"/>
            </w:pPr>
            <w:r>
              <w:rPr>
                <w:b/>
                <w:bCs/>
              </w:rPr>
              <w:t xml:space="preserve">Error:</w:t>
            </w:r>
            <w:r>
              <w:t xml:space="preserve"> Imaginar las relaciones desde la propia experiencia mirando una imagen estática.</w:t>
            </w:r>
          </w:p>
          <w:p>
            <w:pPr>
              <w:pStyle w:val="Recuadro"/>
            </w:pPr>
            <w:r>
              <w:rPr>
                <w:b/>
                <w:bCs/>
              </w:rPr>
              <w:t xml:space="preserve">Corrección:</w:t>
            </w:r>
            <w:r>
              <w:t xml:space="preserve"> Las relaciones son más difíciles que los sistemas: hay que «correr la película», como propone Waters Foundation, para ver cómo interactúan las partes en el tiempo.</w:t>
            </w:r>
          </w:p>
          <w:p>
            <w:pPr>
              <w:pStyle w:val="Recuadro"/>
            </w:pPr>
            <w:r>
              <w:t xml:space="preserve">Clase 7 · 01:25:03–01:27:46</w:t>
            </w:r>
          </w:p>
        </w:tc>
      </w:tr>
    </w:tbl>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9C620A" w:sz="20"/>
              <w:bottom w:val="nil"/>
              <w:right w:val="nil"/>
            </w:tcBorders>
            <w:shd w:fill="FBF3DF" w:val="clear"/>
            <w:tcMar>
              <w:top w:type="dxa" w:w="130"/>
              <w:left w:type="dxa" w:w="180"/>
              <w:bottom w:type="dxa" w:w="130"/>
              <w:right w:type="dxa" w:w="180"/>
            </w:tcMar>
          </w:tcPr>
          <w:p>
            <w:pPr>
              <w:pStyle w:val="RecuadroTitulo"/>
            </w:pPr>
            <w:r>
              <w:rPr>
                <w:b/>
                <w:bCs/>
                <w:color w:val="9C620A"/>
              </w:rPr>
              <w:t xml:space="preserve">Error → corrección</w:t>
            </w:r>
          </w:p>
          <w:p>
            <w:pPr>
              <w:pStyle w:val="Recuadro"/>
            </w:pPr>
            <w:r>
              <w:rPr>
                <w:b/>
                <w:bCs/>
              </w:rPr>
              <w:t xml:space="preserve">Error:</w:t>
            </w:r>
            <w:r>
              <w:t xml:space="preserve"> Modelar sin declarar la perspectiva.</w:t>
            </w:r>
          </w:p>
          <w:p>
            <w:pPr>
              <w:pStyle w:val="Recuadro"/>
            </w:pPr>
            <w:r>
              <w:rPr>
                <w:b/>
                <w:bCs/>
              </w:rPr>
              <w:t xml:space="preserve">Corrección:</w:t>
            </w:r>
            <w:r>
              <w:t xml:space="preserve"> Sin nombre y apellido la perspectiva es la personal: reconocerlo e indagar otros roles o disciplinas.</w:t>
            </w:r>
          </w:p>
          <w:p>
            <w:pPr>
              <w:pStyle w:val="Recuadro"/>
            </w:pPr>
            <w:r>
              <w:t xml:space="preserve">Clase 8 · 00:23:42–00:24:59</w:t>
            </w:r>
          </w:p>
        </w:tc>
      </w:tr>
    </w:tbl>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9C620A" w:sz="20"/>
              <w:bottom w:val="nil"/>
              <w:right w:val="nil"/>
            </w:tcBorders>
            <w:shd w:fill="FBF3DF" w:val="clear"/>
            <w:tcMar>
              <w:top w:type="dxa" w:w="130"/>
              <w:left w:type="dxa" w:w="180"/>
              <w:bottom w:type="dxa" w:w="130"/>
              <w:right w:type="dxa" w:w="180"/>
            </w:tcMar>
          </w:tcPr>
          <w:p>
            <w:pPr>
              <w:pStyle w:val="RecuadroTitulo"/>
            </w:pPr>
            <w:r>
              <w:rPr>
                <w:b/>
                <w:bCs/>
                <w:color w:val="9C620A"/>
              </w:rPr>
              <w:t xml:space="preserve">Trampa de examen</w:t>
            </w:r>
          </w:p>
          <w:p>
            <w:pPr>
              <w:pStyle w:val="Recuadro"/>
            </w:pPr>
            <w:r>
              <w:t xml:space="preserve">La segunda regla es Sistemas, no Relaciones, y el orden del acrónimo (distinciones, sistemas, relaciones, perspectivas) sólo sirve para nombrarlas: no es un procedimiento que se recorra una vez. Se aplica cualquiera, se pregunta si el modelo basta y se repite; el pensamiento sistémico no es ninguna de las cuatro por separado sino la propiedad emergente del hábito de combinarlas.</w:t>
            </w:r>
          </w:p>
        </w:tc>
      </w:tr>
    </w:tbl>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Ampliación: lo no dictado en clase</w:t>
            </w:r>
          </w:p>
          <w:p>
            <w:pPr>
              <w:pStyle w:val="Recuadro"/>
            </w:pPr>
            <w:r>
              <w:t xml:space="preserve">La lámina c7-03 y el material de Cabrera alinean cada regla con un par (identidad y otros, parte y todo, acción y reacción, punto y vista) sin desarrollar los ocho elementos con igual detalle en voz alta. La sesión sí trata «A no es ni B ni C», partes y todo, y el rol desde el que se ve un programa (punto y vista, 00:58:26–01:00:26). Los mapas DSRP como diagramas y su paso a ciclos causales, flujos y niveles quedaron anunciados para las unidades 3 y 4. El inventario detallado del bosque procede de C-6, página 39. La referencia a una incógnita de clase 7 no incluye un método cuantitativo.</w:t>
            </w:r>
          </w:p>
        </w:tc>
      </w:tr>
    </w:tbl>
    <w:p>
      <w:pPr>
        <w:pStyle w:val="Heading3"/>
      </w:pPr>
      <w:r>
        <w:t xml:space="preserve">Lecturas y tareas del curso</w:t>
      </w:r>
    </w:p>
    <w:p>
      <w:pPr>
        <w:pStyle w:val="Normal"/>
      </w:pPr>
      <w:r>
        <w:t xml:space="preserve">C-6 · Unidad 2 · Teoría de sistemas y pensamiento sistémico (presentación). 65 páginas con teoría de sistemas, elementos, estructura, función, niveles, sinergia, emergencia, complejidad y universo de sistemas. Copia íntegra de la presentación del profesor.</w:t>
      </w:r>
    </w:p>
    <w:p>
      <w:pPr>
        <w:pStyle w:val="Normal"/>
      </w:pPr>
      <w:r>
        <w:t xml:space="preserve">L-5 · Enfoque de sistemas y pensamiento sistémico. Lectura de la Unidad 2 sobre el enfoque de sistemas: en qué se diferencia de la mirada analítica clásica y qué implica sostener el pensamiento sistémico como método de trabajo.</w:t>
      </w:r>
    </w:p>
    <w:p>
      <w:pPr>
        <w:pStyle w:val="Normal"/>
      </w:pPr>
      <w:r>
        <w:t xml:space="preserve">Tareas relacionadas: T-4. Consulte su procedencia en la bibliografía.</w:t>
      </w:r>
    </w:p>
    <w:p>
      <w:pPr>
        <w:pStyle w:val="Heading3"/>
      </w:pPr>
      <w:r>
        <w:t xml:space="preserve">Práctica de los laboratorios</w:t>
      </w:r>
    </w:p>
    <w:p>
      <w:pPr>
        <w:pStyle w:val="Normal"/>
      </w:pPr>
      <w:r>
        <w:t xml:space="preserve">Los procedimientos del capítulo permiten reconstruir en papel la práctica interactiva. Los laboratorios originales permanecen disponibles en la lección del portal.</w:t>
      </w:r>
    </w:p>
    <w:p>
      <w:pPr>
        <w:pStyle w:val="Normal"/>
        <w:numPr>
          <w:ilvl w:val="0"/>
          <w:numId w:val="2"/>
        </w:numPr>
      </w:pPr>
      <w:r>
        <w:t xml:space="preserve">Las cuatro reglas DSRP y sus pares coimplicados</w:t>
      </w:r>
    </w:p>
    <w:p>
      <w:pPr>
        <w:pStyle w:val="Normal"/>
        <w:numPr>
          <w:ilvl w:val="0"/>
          <w:numId w:val="2"/>
        </w:numPr>
      </w:pPr>
      <w:r>
        <w:t xml:space="preserve">Aplicar DSRP de forma iterativa a un caso</w:t>
      </w:r>
    </w:p>
    <w:p>
      <w:pPr>
        <w:pStyle w:val="Normal"/>
        <w:numPr>
          <w:ilvl w:val="0"/>
          <w:numId w:val="2"/>
        </w:numPr>
      </w:pPr>
      <w:r>
        <w:t xml:space="preserve">El ciclo DSRP paso a paso sobre una idea</w:t>
      </w:r>
    </w:p>
    <w:p>
      <w:pPr>
        <w:pStyle w:val="Normal"/>
        <w:numPr>
          <w:ilvl w:val="0"/>
          <w:numId w:val="2"/>
        </w:numPr>
      </w:pPr>
      <w:r>
        <w:t xml:space="preserve">Dibujar relaciones: con y sin dirección</w:t>
      </w:r>
    </w:p>
    <w:p>
      <w:pPr>
        <w:pStyle w:val="Heading3"/>
      </w:pPr>
      <w:r>
        <w:t xml:space="preserve">Autoevaluación</w:t>
      </w:r>
    </w:p>
    <w:p>
      <w:pPr>
        <w:pStyle w:val="Normal"/>
      </w:pPr>
      <w:r>
        <w:t xml:space="preserve">Resuelva sin consultar las respuestas. Compruebe al final del capítulo por qué cada opción es correcta o incorrecta.</w:t>
      </w:r>
    </w:p>
    <w:p>
      <w:pPr>
        <w:pStyle w:val="Heading3"/>
      </w:pPr>
      <w:bookmarkStart w:name="b_pregunta_auto_1_6_1" w:id="1041"/>
      <w:r>
        <w:t xml:space="preserve">1.6-A1 · Un editor evalúa un coloquialismo. ¿Cuál es la asignación correcta en P de DSRP?</w:t>
      </w:r>
      <w:bookmarkEnd w:id="1041"/>
    </w:p>
    <w:p>
      <w:pPr>
        <w:pStyle w:val="Normal"/>
      </w:pPr>
      <w:r>
        <w:t xml:space="preserve">a) Editor: vista; coloquialismo: punto</w:t>
      </w:r>
    </w:p>
    <w:p>
      <w:pPr>
        <w:pStyle w:val="Normal"/>
      </w:pPr>
      <w:r>
        <w:t xml:space="preserve">b) Ambos son el punto y nada es observado</w:t>
      </w:r>
    </w:p>
    <w:p>
      <w:pPr>
        <w:pStyle w:val="Normal"/>
      </w:pPr>
      <w:r>
        <w:t xml:space="preserve">c) Editor: punto; coloquialismo observado: vista</w:t>
      </w:r>
    </w:p>
    <w:p>
      <w:pPr>
        <w:pStyle w:val="Normal"/>
      </w:pPr>
      <w:r>
        <w:t xml:space="preserve">d) El punto es siempre una ubicación física y no un rol</w:t>
      </w:r>
    </w:p>
    <w:p>
      <w:pPr>
        <w:pStyle w:val="Heading3"/>
      </w:pPr>
      <w:bookmarkStart w:name="b_pregunta_auto_1_6_2" w:id="1042"/>
      <w:r>
        <w:t xml:space="preserve">1.6-A2 · ¿Qué hace D al comenzar el modelo del bosque de la presentación?</w:t>
      </w:r>
      <w:bookmarkEnd w:id="1042"/>
    </w:p>
    <w:p>
      <w:pPr>
        <w:pStyle w:val="Normal"/>
      </w:pPr>
      <w:r>
        <w:t xml:space="preserve">a) Calcula automáticamente su valor monetario</w:t>
      </w:r>
    </w:p>
    <w:p>
      <w:pPr>
        <w:pStyle w:val="Normal"/>
      </w:pPr>
      <w:r>
        <w:t xml:space="preserve">b) Confunde toda la biosfera con una sola parte interna</w:t>
      </w:r>
    </w:p>
    <w:p>
      <w:pPr>
        <w:pStyle w:val="Normal"/>
      </w:pPr>
      <w:r>
        <w:t xml:space="preserve">c) Demuestra que no existe nada fuera de la frontera</w:t>
      </w:r>
    </w:p>
    <w:p>
      <w:pPr>
        <w:pStyle w:val="Normal"/>
      </w:pPr>
      <w:r>
        <w:t xml:space="preserve">d) Distingue un ecosistema terrestre de seres vivos interconectados con entorno común</w:t>
      </w:r>
    </w:p>
    <w:p>
      <w:pPr>
        <w:pStyle w:val="Heading3"/>
      </w:pPr>
      <w:bookmarkStart w:name="b_pregunta_auto_1_6_3" w:id="1043"/>
      <w:r>
        <w:t xml:space="preserve">1.6-A3 · ¿Qué inventario corresponde a las partes internas del bosque en la página 39?</w:t>
      </w:r>
      <w:bookmarkEnd w:id="1043"/>
    </w:p>
    <w:p>
      <w:pPr>
        <w:pStyle w:val="Normal"/>
      </w:pPr>
      <w:r>
        <w:t xml:space="preserve">a) Flora, fauna y microorganismos organizados en productores, consumidores y descomponedores</w:t>
      </w:r>
    </w:p>
    <w:p>
      <w:pPr>
        <w:pStyle w:val="Normal"/>
      </w:pPr>
      <w:r>
        <w:t xml:space="preserve">b) Atmósfera global, ciudades y bioma como únicos componentes internos</w:t>
      </w:r>
    </w:p>
    <w:p>
      <w:pPr>
        <w:pStyle w:val="Normal"/>
      </w:pPr>
      <w:r>
        <w:t xml:space="preserve">c) Sólo árboles, sin otros seres vivos ni relaciones</w:t>
      </w:r>
    </w:p>
    <w:p>
      <w:pPr>
        <w:pStyle w:val="Normal"/>
      </w:pPr>
      <w:r>
        <w:t xml:space="preserve">d) Únicamente las personas que obtienen ingresos</w:t>
      </w:r>
    </w:p>
    <w:p>
      <w:pPr>
        <w:pStyle w:val="Heading3"/>
      </w:pPr>
      <w:bookmarkStart w:name="b_pregunta_auto_1_6_4" w:id="1044"/>
      <w:r>
        <w:t xml:space="preserve">1.6-A4 · ¿Qué secuencia describe relaciones que cierran ciclos de materia en el bosque?</w:t>
      </w:r>
      <w:bookmarkEnd w:id="1044"/>
    </w:p>
    <w:p>
      <w:pPr>
        <w:pStyle w:val="Normal"/>
      </w:pPr>
      <w:r>
        <w:t xml:space="preserve">a) Producción sin consumo y desaparición de los nutrientes</w:t>
      </w:r>
    </w:p>
    <w:p>
      <w:pPr>
        <w:pStyle w:val="Normal"/>
      </w:pPr>
      <w:r>
        <w:t xml:space="preserve">b) Fotosíntesis, consumo por herbívoros y carnívoros, descomposición y retorno de nutrientes</w:t>
      </w:r>
    </w:p>
    <w:p>
      <w:pPr>
        <w:pStyle w:val="Normal"/>
      </w:pPr>
      <w:r>
        <w:t xml:space="preserve">c) Ingreso de energía y reciclaje completo de toda esa energía</w:t>
      </w:r>
    </w:p>
    <w:p>
      <w:pPr>
        <w:pStyle w:val="Normal"/>
      </w:pPr>
      <w:r>
        <w:t xml:space="preserve">d) Sólo enumerar flora, fauna y microorganismos</w:t>
      </w:r>
    </w:p>
    <w:p>
      <w:pPr>
        <w:pStyle w:val="Heading3"/>
      </w:pPr>
      <w:bookmarkStart w:name="b_pregunta_auto_1_6_5" w:id="1045"/>
      <w:r>
        <w:t xml:space="preserve">1.6-A5 · ¿Qué lectura de entradas y salidas del bosque respeta el recorte de la lámina?</w:t>
      </w:r>
      <w:bookmarkEnd w:id="1045"/>
    </w:p>
    <w:p>
      <w:pPr>
        <w:pStyle w:val="Normal"/>
      </w:pPr>
      <w:r>
        <w:t xml:space="preserve">a) Entran sólo animales y no sale nada</w:t>
      </w:r>
    </w:p>
    <w:p>
      <w:pPr>
        <w:pStyle w:val="Normal"/>
      </w:pPr>
      <w:r>
        <w:t xml:space="preserve">b) Todos los efectos de regulación son corrientes de materia</w:t>
      </w:r>
    </w:p>
    <w:p>
      <w:pPr>
        <w:pStyle w:val="Normal"/>
      </w:pPr>
      <w:r>
        <w:t xml:space="preserve">c) Entran luz, lluvia, CO</w:t>
      </w:r>
      <w:r>
        <w:rPr>
          <w:vertAlign w:val="subscript"/>
        </w:rPr>
        <w:t xml:space="preserve">2</w:t>
      </w:r>
      <w:r>
        <w:t xml:space="preserve"> y nutrientes; se consideran oxígeno, biomasa y efectos de regulación como salidas</w:t>
      </w:r>
    </w:p>
    <w:p>
      <w:pPr>
        <w:pStyle w:val="Normal"/>
      </w:pPr>
      <w:r>
        <w:t xml:space="preserve">d) Bioma y ecosfera son flujos que entran por la frontera</w:t>
      </w:r>
    </w:p>
    <w:p>
      <w:pPr>
        <w:pStyle w:val="Heading3"/>
      </w:pPr>
      <w:bookmarkStart w:name="b_pregunta_auto_1_6_6" w:id="1046"/>
      <w:r>
        <w:t xml:space="preserve">1.6-A6 · Sabemos que falta un factor en el modelo, pero ignoramos sus detalles. ¿Qué admite la clase 7?</w:t>
      </w:r>
      <w:bookmarkEnd w:id="1046"/>
    </w:p>
    <w:p>
      <w:pPr>
        <w:pStyle w:val="Normal"/>
      </w:pPr>
      <w:r>
        <w:t xml:space="preserve">a) Inventar sus valores para dar el modelo por terminado</w:t>
      </w:r>
    </w:p>
    <w:p>
      <w:pPr>
        <w:pStyle w:val="Normal"/>
      </w:pPr>
      <w:r>
        <w:t xml:space="preserve">b) Ocultarlo hasta tener certeza completa</w:t>
      </w:r>
    </w:p>
    <w:p>
      <w:pPr>
        <w:pStyle w:val="Normal"/>
      </w:pPr>
      <w:r>
        <w:t xml:space="preserve">c) Aplicar una fórmula cuantitativa de incertidumbre desarrollada en esa sesión</w:t>
      </w:r>
    </w:p>
    <w:p>
      <w:pPr>
        <w:pStyle w:val="Normal"/>
      </w:pPr>
      <w:r>
        <w:t xml:space="preserve">d) Representarlo como referencia general pendiente y recopilar datos para ampliar el modelo</w:t>
      </w:r>
    </w:p>
    <w:p>
      <w:pPr>
        <w:pStyle w:val="Heading3"/>
      </w:pPr>
      <w:bookmarkStart w:name="b_pregunta_auto_1_6_7" w:id="1047"/>
      <w:r>
        <w:t xml:space="preserve">1.6-A7 · Las siglas DSRP (Derek y Laura Cabrera) nombran…</w:t>
      </w:r>
      <w:bookmarkEnd w:id="1047"/>
    </w:p>
    <w:p>
      <w:pPr>
        <w:pStyle w:val="Normal"/>
      </w:pPr>
      <w:r>
        <w:t xml:space="preserve">a) Cuatro fases secuenciales para resolver un problema</w:t>
      </w:r>
    </w:p>
    <w:p>
      <w:pPr>
        <w:pStyle w:val="Normal"/>
      </w:pPr>
      <w:r>
        <w:t xml:space="preserve">b) Cuatro operaciones mentales básicas del pensamiento sistémico</w:t>
      </w:r>
    </w:p>
    <w:p>
      <w:pPr>
        <w:pStyle w:val="Normal"/>
      </w:pPr>
      <w:r>
        <w:t xml:space="preserve">c) Cuatro tipos de sistemas de la realidad</w:t>
      </w:r>
    </w:p>
    <w:p>
      <w:pPr>
        <w:pStyle w:val="Normal"/>
      </w:pPr>
      <w:r>
        <w:t xml:space="preserve">d) Cuatro herramientas de software de simulación</w:t>
      </w:r>
    </w:p>
    <w:p>
      <w:pPr>
        <w:pStyle w:val="Heading3"/>
      </w:pPr>
      <w:bookmarkStart w:name="b_pregunta_auto_1_6_8" w:id="1048"/>
      <w:r>
        <w:t xml:space="preserve">1.6-A8 · Definir qué es algo y, al mismo tiempo, qué NO es —trazar su frontera— corresponde a la operación de…</w:t>
      </w:r>
      <w:bookmarkEnd w:id="1048"/>
    </w:p>
    <w:p>
      <w:pPr>
        <w:pStyle w:val="Normal"/>
      </w:pPr>
      <w:r>
        <w:t xml:space="preserve">a) Distinciones (identidad </w:t>
      </w:r>
      <w:r>
        <w:rPr>
          <w:rFonts w:ascii="DejaVu Serif" w:cs="DejaVu Serif" w:eastAsia="DejaVu Serif" w:hAnsi="DejaVu Serif"/>
        </w:rPr>
        <w:t xml:space="preserve">↔</w:t>
      </w:r>
      <w:r>
        <w:t xml:space="preserve"> otro)</w:t>
      </w:r>
    </w:p>
    <w:p>
      <w:pPr>
        <w:pStyle w:val="Normal"/>
      </w:pPr>
      <w:r>
        <w:t xml:space="preserve">b) Sistemas (parte </w:t>
      </w:r>
      <w:r>
        <w:rPr>
          <w:rFonts w:ascii="DejaVu Serif" w:cs="DejaVu Serif" w:eastAsia="DejaVu Serif" w:hAnsi="DejaVu Serif"/>
        </w:rPr>
        <w:t xml:space="preserve">↔</w:t>
      </w:r>
      <w:r>
        <w:t xml:space="preserve"> todo)</w:t>
      </w:r>
    </w:p>
    <w:p>
      <w:pPr>
        <w:pStyle w:val="Normal"/>
      </w:pPr>
      <w:r>
        <w:t xml:space="preserve">c) Relaciones (acción </w:t>
      </w:r>
      <w:r>
        <w:rPr>
          <w:rFonts w:ascii="DejaVu Serif" w:cs="DejaVu Serif" w:eastAsia="DejaVu Serif" w:hAnsi="DejaVu Serif"/>
        </w:rPr>
        <w:t xml:space="preserve">↔</w:t>
      </w:r>
      <w:r>
        <w:t xml:space="preserve"> reacción)</w:t>
      </w:r>
    </w:p>
    <w:p>
      <w:pPr>
        <w:pStyle w:val="Normal"/>
      </w:pPr>
      <w:r>
        <w:t xml:space="preserve">d) Perspectivas (punto </w:t>
      </w:r>
      <w:r>
        <w:rPr>
          <w:rFonts w:ascii="DejaVu Serif" w:cs="DejaVu Serif" w:eastAsia="DejaVu Serif" w:hAnsi="DejaVu Serif"/>
        </w:rPr>
        <w:t xml:space="preserve">↔</w:t>
      </w:r>
      <w:r>
        <w:t xml:space="preserve"> vista)</w:t>
      </w:r>
    </w:p>
    <w:p>
      <w:pPr>
        <w:pStyle w:val="Heading3"/>
      </w:pPr>
      <w:bookmarkStart w:name="b_pregunta_auto_1_6_9" w:id="1049"/>
      <w:r>
        <w:t xml:space="preserve">1.6-A9 · Ver la bicicleta como cuadro + ruedas + cadena y, a la vez, como parte del sistema de movilidad urbana, es aplicar la operación de…</w:t>
      </w:r>
      <w:bookmarkEnd w:id="1049"/>
    </w:p>
    <w:p>
      <w:pPr>
        <w:pStyle w:val="Normal"/>
      </w:pPr>
      <w:r>
        <w:t xml:space="preserve">a) Perspectivas</w:t>
      </w:r>
    </w:p>
    <w:p>
      <w:pPr>
        <w:pStyle w:val="Normal"/>
      </w:pPr>
      <w:r>
        <w:t xml:space="preserve">b) Relaciones</w:t>
      </w:r>
    </w:p>
    <w:p>
      <w:pPr>
        <w:pStyle w:val="Normal"/>
      </w:pPr>
      <w:r>
        <w:t xml:space="preserve">c) Sistemas</w:t>
      </w:r>
    </w:p>
    <w:p>
      <w:pPr>
        <w:pStyle w:val="Normal"/>
      </w:pPr>
      <w:r>
        <w:t xml:space="preserve">d) Distinciones</w:t>
      </w:r>
    </w:p>
    <w:p>
      <w:pPr>
        <w:pStyle w:val="Heading3"/>
      </w:pPr>
      <w:bookmarkStart w:name="b_pregunta_auto_1_6_10" w:id="1050"/>
      <w:r>
        <w:t xml:space="preserve">1.6-A10 · ¿Cuál es el par estructural de la operación Relaciones?</w:t>
      </w:r>
      <w:bookmarkEnd w:id="1050"/>
    </w:p>
    <w:p>
      <w:pPr>
        <w:pStyle w:val="Normal"/>
      </w:pPr>
      <w:r>
        <w:t xml:space="preserve">a) Punto </w:t>
      </w:r>
      <w:r>
        <w:rPr>
          <w:rFonts w:ascii="DejaVu Serif" w:cs="DejaVu Serif" w:eastAsia="DejaVu Serif" w:hAnsi="DejaVu Serif"/>
        </w:rPr>
        <w:t xml:space="preserve">↔</w:t>
      </w:r>
      <w:r>
        <w:t xml:space="preserve"> visión</w:t>
      </w:r>
    </w:p>
    <w:p>
      <w:pPr>
        <w:pStyle w:val="Normal"/>
      </w:pPr>
      <w:r>
        <w:t xml:space="preserve">b) Acción </w:t>
      </w:r>
      <w:r>
        <w:rPr>
          <w:rFonts w:ascii="DejaVu Serif" w:cs="DejaVu Serif" w:eastAsia="DejaVu Serif" w:hAnsi="DejaVu Serif"/>
        </w:rPr>
        <w:t xml:space="preserve">↔</w:t>
      </w:r>
      <w:r>
        <w:t xml:space="preserve"> reacción</w:t>
      </w:r>
    </w:p>
    <w:p>
      <w:pPr>
        <w:pStyle w:val="Normal"/>
      </w:pPr>
      <w:r>
        <w:t xml:space="preserve">c) Identidad </w:t>
      </w:r>
      <w:r>
        <w:rPr>
          <w:rFonts w:ascii="DejaVu Serif" w:cs="DejaVu Serif" w:eastAsia="DejaVu Serif" w:hAnsi="DejaVu Serif"/>
        </w:rPr>
        <w:t xml:space="preserve">↔</w:t>
      </w:r>
      <w:r>
        <w:t xml:space="preserve"> otro</w:t>
      </w:r>
    </w:p>
    <w:p>
      <w:pPr>
        <w:pStyle w:val="Normal"/>
      </w:pPr>
      <w:r>
        <w:t xml:space="preserve">d) Parte </w:t>
      </w:r>
      <w:r>
        <w:rPr>
          <w:rFonts w:ascii="DejaVu Serif" w:cs="DejaVu Serif" w:eastAsia="DejaVu Serif" w:hAnsi="DejaVu Serif"/>
        </w:rPr>
        <w:t xml:space="preserve">↔</w:t>
      </w:r>
      <w:r>
        <w:t xml:space="preserve"> todo</w:t>
      </w:r>
    </w:p>
    <w:p>
      <w:pPr>
        <w:pStyle w:val="Heading3"/>
      </w:pPr>
      <w:bookmarkStart w:name="b_pregunta_auto_1_6_11" w:id="1051"/>
      <w:r>
        <w:t xml:space="preserve">1.6-A11 · Un mismo bosque es «biodiversidad» para un ecólogo, «metros cúbicos» para una maderera y «agua y refugio» para una comunidad. ¿Qué operación DSRP se está ejerciendo?</w:t>
      </w:r>
      <w:bookmarkEnd w:id="1051"/>
    </w:p>
    <w:p>
      <w:pPr>
        <w:pStyle w:val="Normal"/>
      </w:pPr>
      <w:r>
        <w:t xml:space="preserve">a) Distinciones</w:t>
      </w:r>
    </w:p>
    <w:p>
      <w:pPr>
        <w:pStyle w:val="Normal"/>
      </w:pPr>
      <w:r>
        <w:t xml:space="preserve">b) Sistemas</w:t>
      </w:r>
    </w:p>
    <w:p>
      <w:pPr>
        <w:pStyle w:val="Normal"/>
      </w:pPr>
      <w:r>
        <w:t xml:space="preserve">c) Relaciones</w:t>
      </w:r>
    </w:p>
    <w:p>
      <w:pPr>
        <w:pStyle w:val="Normal"/>
      </w:pPr>
      <w:r>
        <w:t xml:space="preserve">d) Perspectivas</w:t>
      </w:r>
    </w:p>
    <w:p>
      <w:pPr>
        <w:pStyle w:val="Heading3"/>
      </w:pPr>
      <w:bookmarkStart w:name="b_pregunta_auto_1_6_12" w:id="1052"/>
      <w:r>
        <w:t xml:space="preserve">1.6-A12 · ¿Cómo produce DSRP el pensamiento sistémico?</w:t>
      </w:r>
      <w:bookmarkEnd w:id="1052"/>
    </w:p>
    <w:p>
      <w:pPr>
        <w:pStyle w:val="Normal"/>
      </w:pPr>
      <w:r>
        <w:t xml:space="preserve">a) Aplicando las reglas siempre en el orden D → S → R → P</w:t>
      </w:r>
    </w:p>
    <w:p>
      <w:pPr>
        <w:pStyle w:val="Normal"/>
      </w:pPr>
      <w:r>
        <w:t xml:space="preserve">b) Eligiendo la mejor de las cuatro reglas para cada problema</w:t>
      </w:r>
    </w:p>
    <w:p>
      <w:pPr>
        <w:pStyle w:val="Normal"/>
      </w:pPr>
      <w:r>
        <w:t xml:space="preserve">c) Combinando e interconectando las cuatro operaciones, de donde emerge una comprensión que ninguna da por sí sola</w:t>
      </w:r>
    </w:p>
    <w:p>
      <w:pPr>
        <w:pStyle w:val="Normal"/>
      </w:pPr>
      <w:r>
        <w:t xml:space="preserve">d) Sumando por separado el resultado de cada regla</w:t>
      </w:r>
    </w:p>
    <w:p>
      <w:pPr>
        <w:pStyle w:val="Heading3"/>
      </w:pPr>
      <w:bookmarkStart w:name="b_pregunta_auto_1_6_13" w:id="1053"/>
      <w:r>
        <w:t xml:space="preserve">1.6-A13 · Señala la afirmación FALSA sobre DSRP.</w:t>
      </w:r>
      <w:bookmarkEnd w:id="1053"/>
    </w:p>
    <w:p>
      <w:pPr>
        <w:pStyle w:val="Normal"/>
      </w:pPr>
      <w:r>
        <w:t xml:space="preserve">a) Cada operación tiene un par estructural de elementos coimplicados.</w:t>
      </w:r>
    </w:p>
    <w:p>
      <w:pPr>
        <w:pStyle w:val="Normal"/>
      </w:pPr>
      <w:r>
        <w:t xml:space="preserve">b) DSRP es una receta de pasos que se siguen en secuencia fija.</w:t>
      </w:r>
    </w:p>
    <w:p>
      <w:pPr>
        <w:pStyle w:val="Normal"/>
      </w:pPr>
      <w:r>
        <w:t xml:space="preserve">c) Las cuatro operaciones pueden aplicarse a cualquier idea o cosa.</w:t>
      </w:r>
    </w:p>
    <w:p>
      <w:pPr>
        <w:pStyle w:val="Normal"/>
      </w:pPr>
      <w:r>
        <w:t xml:space="preserve">d) De combinar las cuatro emerge el pensamiento sistémico.</w:t>
      </w:r>
    </w:p>
    <w:p>
      <w:pPr>
        <w:pStyle w:val="Heading3"/>
      </w:pPr>
      <w:bookmarkStart w:name="b_solucionario_1_6" w:id="1054"/>
      <w:r>
        <w:t xml:space="preserve">Solucionario del capítulo</w:t>
      </w:r>
      <w:bookmarkEnd w:id="1054"/>
    </w:p>
    <w:p>
      <w:pPr>
        <w:pStyle w:val="Heading3"/>
      </w:pPr>
      <w:r>
        <w:t xml:space="preserve">1.6-A1</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c) Editor: punto; coloquialismo observado: vista</w:t>
            </w:r>
          </w:p>
        </w:tc>
      </w:tr>
    </w:tbl>
    <w:p>
      <w:pPr>
        <w:pStyle w:val="Normal"/>
      </w:pPr>
      <w:r>
        <w:t xml:space="preserve">El punto es el lugar, posición o rol desde el que se mira y la vista es aquello observado. Por eso el editor ocupa el punto y el coloquialismo constituye la cosa vista; los rótulos no se invierten.</w:t>
      </w:r>
    </w:p>
    <w:p>
      <w:pPr>
        <w:pStyle w:val="Fuente"/>
      </w:pPr>
      <w:r>
        <w:t xml:space="preserve">Presentación de la unidad 2 (C-6), pág. 22 · Clase 7 · 00:58:26–01:00:26</w:t>
      </w:r>
    </w:p>
    <w:p>
      <w:pPr>
        <w:pStyle w:val="Heading3"/>
      </w:pPr>
      <w:r>
        <w:t xml:space="preserve">1.6-A2</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d) Distingue un ecosistema terrestre de seres vivos interconectados con entorno común</w:t>
            </w:r>
          </w:p>
        </w:tc>
      </w:tr>
    </w:tbl>
    <w:p>
      <w:pPr>
        <w:pStyle w:val="Normal"/>
      </w:pPr>
      <w:r>
        <w:t xml:space="preserve">D fija identidad y otro: se declara qué se llama bosque y qué queda fuera de su frontera. Esa distinción permite luego organizar partes, relaciones y perspectivas sin confundir el objeto focal con todo su contexto.</w:t>
      </w:r>
    </w:p>
    <w:p>
      <w:pPr>
        <w:pStyle w:val="Fuente"/>
      </w:pPr>
      <w:r>
        <w:t xml:space="preserve">Presentación de la unidad 2 (C-6), pág. 39 · Clase 8 · 00:04:46–00:08:10</w:t>
      </w:r>
    </w:p>
    <w:p>
      <w:pPr>
        <w:pStyle w:val="Heading3"/>
      </w:pPr>
      <w:r>
        <w:t xml:space="preserve">1.6-A3</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a) Flora, fauna y microorganismos organizados en productores, consumidores y descomponedores</w:t>
            </w:r>
          </w:p>
        </w:tc>
      </w:tr>
    </w:tbl>
    <w:p>
      <w:pPr>
        <w:pStyle w:val="Normal"/>
      </w:pPr>
      <w:r>
        <w:t xml:space="preserve">La composición incluye plantas, animales y microorganismos. La organización trófica los vincula como productores, consumidores y descomponedores: una lista de árboles no representa por sí sola la estructura del bosque.</w:t>
      </w:r>
    </w:p>
    <w:p>
      <w:pPr>
        <w:pStyle w:val="Fuente"/>
      </w:pPr>
      <w:r>
        <w:t xml:space="preserve">Presentación de la unidad 2 (C-6), pág. 39</w:t>
      </w:r>
    </w:p>
    <w:p>
      <w:pPr>
        <w:pStyle w:val="Heading3"/>
      </w:pPr>
      <w:r>
        <w:t xml:space="preserve">1.6-A4</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b) Fotosíntesis, consumo por herbívoros y carnívoros, descomposición y retorno de nutrientes</w:t>
            </w:r>
          </w:p>
        </w:tc>
      </w:tr>
    </w:tbl>
    <w:p>
      <w:pPr>
        <w:pStyle w:val="Normal"/>
      </w:pPr>
      <w:r>
        <w:t xml:space="preserve">Las plantas incorporan materia mediante fotosíntesis, los consumidores se alimentan y los descomponedores devuelven nutrientes al suelo. La materia puede recorrer ciclos; la energía fluye y no se recicla como la materia.</w:t>
      </w:r>
    </w:p>
    <w:p>
      <w:pPr>
        <w:pStyle w:val="Fuente"/>
      </w:pPr>
      <w:r>
        <w:t xml:space="preserve">Presentación de la unidad 2 (C-6), pág. 39</w:t>
      </w:r>
    </w:p>
    <w:p>
      <w:pPr>
        <w:pStyle w:val="Heading3"/>
      </w:pPr>
      <w:r>
        <w:t xml:space="preserve">1.6-A5</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c) Entran luz, lluvia, CO</w:t>
            </w:r>
            <w:r>
              <w:rPr>
                <w:vertAlign w:val="subscript"/>
              </w:rPr>
              <w:t xml:space="preserve">2</w:t>
            </w:r>
            <w:r>
              <w:t xml:space="preserve"> y nutrientes; se consideran oxígeno, biomasa y efectos de regulación como salidas</w:t>
            </w:r>
          </w:p>
        </w:tc>
      </w:tr>
    </w:tbl>
    <w:p>
      <w:pPr>
        <w:pStyle w:val="Normal"/>
      </w:pPr>
      <w:r>
        <w:t xml:space="preserve">El inventario distingue intercambios de materia y energía y efectos del sistema. Oxígeno y biomasa pueden ser salidas materiales; regulación hídrica y climática son servicios o efectos, no necesariamente corrientes materiales.</w:t>
      </w:r>
    </w:p>
    <w:p>
      <w:pPr>
        <w:pStyle w:val="Fuente"/>
      </w:pPr>
      <w:r>
        <w:t xml:space="preserve">Presentación de la unidad 2 (C-6), pág. 39</w:t>
      </w:r>
    </w:p>
    <w:p>
      <w:pPr>
        <w:pStyle w:val="Heading3"/>
      </w:pPr>
      <w:r>
        <w:t xml:space="preserve">1.6-A6</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d) Representarlo como referencia general pendiente y recopilar datos para ampliar el modelo</w:t>
            </w:r>
          </w:p>
        </w:tc>
      </w:tr>
    </w:tbl>
    <w:p>
      <w:pPr>
        <w:pStyle w:val="Normal"/>
      </w:pPr>
      <w:r>
        <w:t xml:space="preserve">Se reconoce una ausencia sin atribuirle detalles que no conocemos. La referencia general deja visible la incertidumbre; obtener datos reales y volver a aplicar las reglas amplía la representatividad. No se dictó allí un método cuantitativo.</w:t>
      </w:r>
    </w:p>
    <w:p>
      <w:pPr>
        <w:pStyle w:val="Fuente"/>
      </w:pPr>
      <w:r>
        <w:t xml:space="preserve">Clase 7 · 01:15:38–01:16:21</w:t>
      </w:r>
    </w:p>
    <w:p>
      <w:pPr>
        <w:pStyle w:val="Heading3"/>
      </w:pPr>
      <w:r>
        <w:t xml:space="preserve">1.6-A7</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b) Cuatro operaciones mentales básicas del pensamiento sistémico</w:t>
            </w:r>
          </w:p>
        </w:tc>
      </w:tr>
    </w:tbl>
    <w:p>
      <w:pPr>
        <w:pStyle w:val="Normal"/>
      </w:pPr>
      <w:r>
        <w:t xml:space="preserve">DSRP = Distinciones, Sistemas, Relaciones y Perspectivas: las cuatro operaciones mentales que, según Cabrera, subyacen a todo pensamiento sistémico.</w:t>
      </w:r>
    </w:p>
    <w:p>
      <w:pPr>
        <w:pStyle w:val="Normal"/>
      </w:pPr>
      <w:r>
        <w:t xml:space="preserve">a) No son fases en orden: son operaciones que ocurren en simultáneo y se interconectan.</w:t>
      </w:r>
    </w:p>
    <w:p>
      <w:pPr>
        <w:pStyle w:val="Normal"/>
      </w:pPr>
      <w:r>
        <w:t xml:space="preserve">b) Correcto: Distinciones, Sistemas, Relaciones y Perspectivas —las cuatro operaciones del pensar sistémico.</w:t>
      </w:r>
    </w:p>
    <w:p>
      <w:pPr>
        <w:pStyle w:val="Normal"/>
      </w:pPr>
      <w:r>
        <w:t xml:space="preserve">c) No: clasifican formas de pensar sobre cualquier sistema, no tipos de sistema.</w:t>
      </w:r>
    </w:p>
    <w:p>
      <w:pPr>
        <w:pStyle w:val="Normal"/>
      </w:pPr>
      <w:r>
        <w:t xml:space="preserve">d) No: DSRP es un modelo de cognición, no una herramienta informática.</w:t>
      </w:r>
    </w:p>
    <w:p>
      <w:pPr>
        <w:pStyle w:val="Fuente"/>
      </w:pPr>
      <w:r>
        <w:t xml:space="preserve">Clase 1</w:t>
      </w:r>
    </w:p>
    <w:p>
      <w:pPr>
        <w:pStyle w:val="Heading3"/>
      </w:pPr>
      <w:r>
        <w:t xml:space="preserve">1.6-A8</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a) Distinciones (identidad </w:t>
            </w:r>
            <w:r>
              <w:rPr>
                <w:rFonts w:ascii="DejaVu Serif" w:cs="DejaVu Serif" w:eastAsia="DejaVu Serif" w:hAnsi="DejaVu Serif"/>
              </w:rPr>
              <w:t xml:space="preserve">↔</w:t>
            </w:r>
            <w:r>
              <w:t xml:space="preserve"> otro)</w:t>
            </w:r>
          </w:p>
        </w:tc>
      </w:tr>
    </w:tbl>
    <w:p>
      <w:pPr>
        <w:pStyle w:val="Normal"/>
      </w:pPr>
      <w:r>
        <w:t xml:space="preserve">La operación de Distinción define la identidad de una idea o cosa frente a «lo otro». Su par estructural es identidad </w:t>
      </w:r>
      <w:r>
        <w:rPr>
          <w:rFonts w:ascii="DejaVu Serif" w:cs="DejaVu Serif" w:eastAsia="DejaVu Serif" w:hAnsi="DejaVu Serif"/>
        </w:rPr>
        <w:t xml:space="preserve">↔</w:t>
      </w:r>
      <w:r>
        <w:t xml:space="preserve"> otro.</w:t>
      </w:r>
    </w:p>
    <w:p>
      <w:pPr>
        <w:pStyle w:val="Heading3"/>
      </w:pPr>
      <w:r>
        <w:t xml:space="preserve">1.6-A9</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c) Sistemas</w:t>
            </w:r>
          </w:p>
        </w:tc>
      </w:tr>
    </w:tbl>
    <w:p>
      <w:pPr>
        <w:pStyle w:val="Normal"/>
      </w:pPr>
      <w:r>
        <w:t xml:space="preserve">La operación Sistemas descompone en partes y agrupa en todos; su par estructural es parte </w:t>
      </w:r>
      <w:r>
        <w:rPr>
          <w:rFonts w:ascii="DejaVu Serif" w:cs="DejaVu Serif" w:eastAsia="DejaVu Serif" w:hAnsi="DejaVu Serif"/>
        </w:rPr>
        <w:t xml:space="preserve">↔</w:t>
      </w:r>
      <w:r>
        <w:t xml:space="preserve"> todo, y todo «todo» es a su vez parte de un sistema mayor.</w:t>
      </w:r>
    </w:p>
    <w:p>
      <w:pPr>
        <w:pStyle w:val="Normal"/>
      </w:pPr>
      <w:r>
        <w:t xml:space="preserve">a) No: perspectivas es mirar desde distintos puntos, no descomponer en partes.</w:t>
      </w:r>
    </w:p>
    <w:p>
      <w:pPr>
        <w:pStyle w:val="Normal"/>
      </w:pPr>
      <w:r>
        <w:t xml:space="preserve">b) No: relaciones conecta las partes; aquí se agrupan y se encajan en un todo mayor.</w:t>
      </w:r>
    </w:p>
    <w:p>
      <w:pPr>
        <w:pStyle w:val="Normal"/>
      </w:pPr>
      <w:r>
        <w:t xml:space="preserve">c) Correcto: organizar en relaciones parte-todo es la operación Sistemas (parte </w:t>
      </w:r>
      <w:r>
        <w:rPr>
          <w:rFonts w:ascii="DejaVu Serif" w:cs="DejaVu Serif" w:eastAsia="DejaVu Serif" w:hAnsi="DejaVu Serif"/>
        </w:rPr>
        <w:t xml:space="preserve">↔</w:t>
      </w:r>
      <w:r>
        <w:t xml:space="preserve"> todo).</w:t>
      </w:r>
    </w:p>
    <w:p>
      <w:pPr>
        <w:pStyle w:val="Normal"/>
      </w:pPr>
      <w:r>
        <w:t xml:space="preserve">d) No: distinciones traza fronteras de identidad, no jerarquías parte-todo.</w:t>
      </w:r>
    </w:p>
    <w:p>
      <w:pPr>
        <w:pStyle w:val="Heading3"/>
      </w:pPr>
      <w:r>
        <w:t xml:space="preserve">1.6-A10</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b) Acción </w:t>
            </w:r>
            <w:r>
              <w:rPr>
                <w:rFonts w:ascii="DejaVu Serif" w:cs="DejaVu Serif" w:eastAsia="DejaVu Serif" w:hAnsi="DejaVu Serif"/>
              </w:rPr>
              <w:t xml:space="preserve">↔</w:t>
            </w:r>
            <w:r>
              <w:t xml:space="preserve"> reacción</w:t>
            </w:r>
          </w:p>
        </w:tc>
      </w:tr>
    </w:tbl>
    <w:p>
      <w:pPr>
        <w:pStyle w:val="Normal"/>
      </w:pPr>
      <w:r>
        <w:t xml:space="preserve">Toda relación tiene una acción y una reacción (una ida y una vuelta, causa y efecto). Ese par —acción </w:t>
      </w:r>
      <w:r>
        <w:rPr>
          <w:rFonts w:ascii="DejaVu Serif" w:cs="DejaVu Serif" w:eastAsia="DejaVu Serif" w:hAnsi="DejaVu Serif"/>
        </w:rPr>
        <w:t xml:space="preserve">↔</w:t>
      </w:r>
      <w:r>
        <w:t xml:space="preserve"> reacción— conecta las partes y hace que el todo se comporte como sistema.</w:t>
      </w:r>
    </w:p>
    <w:p>
      <w:pPr>
        <w:pStyle w:val="Heading3"/>
      </w:pPr>
      <w:r>
        <w:t xml:space="preserve">1.6-A11</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d) Perspectivas</w:t>
            </w:r>
          </w:p>
        </w:tc>
      </w:tr>
    </w:tbl>
    <w:p>
      <w:pPr>
        <w:pStyle w:val="Normal"/>
      </w:pPr>
      <w:r>
        <w:t xml:space="preserve">Una perspectiva se compone de un punto (desde dónde se mira) y una visión (lo que se mira). El objeto es el mismo; la perspectiva decide qué se ve y qué queda fuera de vista.</w:t>
      </w:r>
    </w:p>
    <w:p>
      <w:pPr>
        <w:pStyle w:val="Normal"/>
      </w:pPr>
      <w:r>
        <w:t xml:space="preserve">a) No: no se está definiendo la frontera del bosque, sino mirándolo distinto.</w:t>
      </w:r>
    </w:p>
    <w:p>
      <w:pPr>
        <w:pStyle w:val="Normal"/>
      </w:pPr>
      <w:r>
        <w:t xml:space="preserve">b) No: no se descompone en partes ni se agrupa en un todo.</w:t>
      </w:r>
    </w:p>
    <w:p>
      <w:pPr>
        <w:pStyle w:val="Normal"/>
      </w:pPr>
      <w:r>
        <w:t xml:space="preserve">c) No: no se describe una acción-reacción entre elementos.</w:t>
      </w:r>
    </w:p>
    <w:p>
      <w:pPr>
        <w:pStyle w:val="Normal"/>
      </w:pPr>
      <w:r>
        <w:t xml:space="preserve">d) Correcto: cambiar el punto desde el que se mira cambia la vista. Ese es el par punto </w:t>
      </w:r>
      <w:r>
        <w:rPr>
          <w:rFonts w:ascii="DejaVu Serif" w:cs="DejaVu Serif" w:eastAsia="DejaVu Serif" w:hAnsi="DejaVu Serif"/>
        </w:rPr>
        <w:t xml:space="preserve">↔</w:t>
      </w:r>
      <w:r>
        <w:t xml:space="preserve"> vista de Perspectivas.</w:t>
      </w:r>
    </w:p>
    <w:p>
      <w:pPr>
        <w:pStyle w:val="Heading3"/>
      </w:pPr>
      <w:r>
        <w:t xml:space="preserve">1.6-A12</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c) Combinando e interconectando las cuatro operaciones, de donde emerge una comprensión que ninguna da por sí sola</w:t>
            </w:r>
          </w:p>
        </w:tc>
      </w:tr>
    </w:tbl>
    <w:p>
      <w:pPr>
        <w:pStyle w:val="Normal"/>
      </w:pPr>
      <w:r>
        <w:t xml:space="preserve">El pensamiento sistémico es una propiedad emergente: cuatro reglas simples que, al interactuar, producen algo más rico que su suma. Es, en sí mismo, un ejemplo de la emergencia que estudia la teoría de sistemas.</w:t>
      </w:r>
    </w:p>
    <w:p>
      <w:pPr>
        <w:pStyle w:val="Normal"/>
      </w:pPr>
      <w:r>
        <w:t xml:space="preserve">a) No hay un orden fijo: las operaciones actúan en simultáneo y se recombinan.</w:t>
      </w:r>
    </w:p>
    <w:p>
      <w:pPr>
        <w:pStyle w:val="Normal"/>
      </w:pPr>
      <w:r>
        <w:t xml:space="preserve">b) No se elige una: se usan las cuatro entrelazadas.</w:t>
      </w:r>
    </w:p>
    <w:p>
      <w:pPr>
        <w:pStyle w:val="Normal"/>
      </w:pPr>
      <w:r>
        <w:t xml:space="preserve">c) Correcto: el pensamiento sistémico es la propiedad emergente de combinar las cuatro reglas.</w:t>
      </w:r>
    </w:p>
    <w:p>
      <w:pPr>
        <w:pStyle w:val="Normal"/>
      </w:pPr>
      <w:r>
        <w:t xml:space="preserve">d) No: la emergencia es justo lo contrario a una suma de partes aisladas.</w:t>
      </w:r>
    </w:p>
    <w:p>
      <w:pPr>
        <w:pStyle w:val="Heading3"/>
      </w:pPr>
      <w:r>
        <w:t xml:space="preserve">1.6-A13</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b) DSRP es una receta de pasos que se siguen en secuencia fija.</w:t>
            </w:r>
          </w:p>
        </w:tc>
      </w:tr>
    </w:tbl>
    <w:p>
      <w:pPr>
        <w:pStyle w:val="Normal"/>
        <w:sectPr>
          <w:headerReference w:type="default" r:id="rId78"/>
          <w:headerReference w:type="first" r:id="rId79"/>
          <w:headerReference w:type="even" r:id="rId80"/>
          <w:footerReference w:type="default" r:id="rId81"/>
          <w:footerReference w:type="first" r:id="rId82"/>
          <w:footerReference w:type="even" r:id="rId83"/>
          <w:type w:val="nextPage"/>
          <w:pgSz w:w="12240" w:h="15840" w:orient="portrait"/>
          <w:pgMar w:top="1361" w:right="1134" w:bottom="1361" w:left="1474" w:header="650" w:footer="680" w:gutter="0"/>
          <w:pgNumType/>
          <w:titlePg/>
          <w:docGrid w:linePitch="360"/>
        </w:sectPr>
      </w:pPr>
      <w:r>
        <w:t xml:space="preserve">Es falsa: DSRP no es una secuencia de pasos. Las cuatro operaciones son simultáneas, universales y se interconectan; tratarlas como receta lineal es un error común. Las otras tres afirmaciones sí son correctas.</w:t>
      </w:r>
    </w:p>
    <w:p>
      <w:pPr>
        <w:pStyle w:val="Heading2"/>
      </w:pPr>
      <w:bookmarkStart w:name="b_1_7" w:id="1055"/>
      <w:r>
        <w:t xml:space="preserve">1.7 · Niveles — modelo del iceberg</w:t>
      </w:r>
      <w:bookmarkEnd w:id="1055"/>
    </w:p>
    <w:p>
      <w:pPr>
        <w:pStyle w:val="Subtitulo"/>
      </w:pPr>
      <w:r>
        <w:t xml:space="preserve">Los niveles de perspectiva del pensamiento sistémico – modelo del iceberg.</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En una línea</w:t>
            </w:r>
          </w:p>
          <w:p>
            <w:pPr>
              <w:pStyle w:val="Recuadro"/>
            </w:pPr>
            <w:r>
              <w:t xml:space="preserve">Sobre la línea de flotación sólo hay eventos; lo que los produce está debajo.</w:t>
            </w:r>
          </w:p>
        </w:tc>
      </w:tr>
    </w:tbl>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Qué te preguntan</w:t>
            </w:r>
          </w:p>
          <w:p>
            <w:pPr>
              <w:pStyle w:val="Recuadro"/>
            </w:pPr>
            <w:r>
              <w:t xml:space="preserve">Ordenar los cuatro niveles —eventos, tendencias, estructuras sistémicas y modelos mentales—, decir qué pregunta corresponde a cada uno y qué tipo de investigación, cuantitativa o cualitativa, sirve en cada nivel. Se espera que ubique un caso concreto en los cuatro niveles: el caso Acme de la clase 4 y la tarea de los cuatro niveles son la práctica.</w:t>
            </w:r>
          </w:p>
        </w:tc>
      </w:tr>
    </w:tbl>
    <w:p>
      <w:pPr>
        <w:pStyle w:val="Normal"/>
      </w:pPr>
      <w:r>
        <w:t xml:space="preserve">El iceberg de Waters Foundation ordena en cuatro niveles las perspectivas del pensador sistémico: sobre el agua, los eventos, hechos captados sin esfuerzo; debajo, lo que no se ve a simple vista: las tendencias o patrones (una variable medida en el tiempo), las estructuras (relaciones causales que originan las tendencias) y, al fondo, los modelos mentales de las personas. Los hechos no suceden de la nada: las decisiones no se toman al nivel de los eventos, la claridad la dan las estructuras y el nivel más profundo determina a los demás.</w:t>
      </w:r>
    </w:p>
    <w:p>
      <w:pPr>
        <w:pStyle w:val="Heading3"/>
      </w:pPr>
      <w:r>
        <w:t xml:space="preserve">Vocabulario clave</w:t>
      </w:r>
    </w:p>
    <w:p>
      <w:pPr>
        <w:pStyle w:val="Normal"/>
      </w:pPr>
      <w:r>
        <w:t xml:space="preserve">iceberg (modelo de Waters Foundation; perspectivas sistémicas) · eventos (hechos; escalón cero de la escalera) · tendencias (patrones de comportamiento; la historia de una variable) · estructuras (subyacentes, sistémicas, complejas; relaciones causales) · modelos mentales (cuarto nivel; perspectivas subjetivas de las personas) · el agua (lo que no se ve a simple vista) · quinto nivel (motivación intrínseca, valores, emoción, voluntad) · caso Acme (Senge, La quinta disciplina en la práctica)</w:t>
      </w:r>
    </w:p>
    <w:p>
      <w:pPr>
        <w:pStyle w:val="Fuente"/>
      </w:pPr>
      <w:r>
        <w:t xml:space="preserve">Recorrido: desarrollo conceptual → presentaciones → explicación en clase → errores y fuentes → práctica → solucionario.</w:t>
      </w:r>
    </w:p>
    <w:p>
      <w:pPr>
        <w:pStyle w:val="Heading3"/>
      </w:pPr>
      <w:bookmarkStart w:name="b_lectura_p2" w:id="1056"/>
      <w:r>
        <w:t xml:space="preserve">P2. Eventos, patrones, estructura y modelos mentales</w:t>
      </w:r>
      <w:bookmarkEnd w:id="1056"/>
    </w:p>
    <w:p>
      <w:pPr>
        <w:pStyle w:val="Normal"/>
      </w:pPr>
      <w:r>
        <w:t xml:space="preserve">El iceberg sistémico distingue cuatro niveles de análisis:</w:t>
      </w:r>
    </w:p>
    <w:tbl>
      <w:tblPr>
        <w:tblW w:type="dxa" w:w="9632"/>
        <w:tblBorders>
          <w:top w:val="single" w:color="C5D5DB" w:sz="4"/>
          <w:left w:val="single" w:color="C5D5DB" w:sz="4"/>
          <w:bottom w:val="single" w:color="C5D5DB" w:sz="4"/>
          <w:right w:val="single" w:color="C5D5DB" w:sz="4"/>
          <w:insideH w:val="single" w:color="E4E9EB" w:sz="3"/>
          <w:insideV w:val="single" w:color="E4E9EB" w:sz="3"/>
        </w:tblBorders>
        <w:tblLayout w:type="fixed"/>
      </w:tblPr>
      <w:tblGrid>
        <w:gridCol w:w="3212"/>
        <w:gridCol w:w="3210"/>
        <w:gridCol w:w="3210"/>
      </w:tblGrid>
      <w:tr>
        <w:trPr>
          <w:cantSplit/>
          <w:tblHeader/>
        </w:trPr>
        <w:tc>
          <w:tcPr>
            <w:tcW w:type="dxa" w:w="3212"/>
            <w:shd w:fill="DFEAF0" w:val="clear"/>
            <w:tcMar>
              <w:top w:type="dxa" w:w="80"/>
              <w:left w:type="dxa" w:w="100"/>
              <w:bottom w:type="dxa" w:w="80"/>
              <w:right w:type="dxa" w:w="100"/>
            </w:tcMar>
          </w:tcPr>
          <w:p>
            <w:pPr>
              <w:pStyle w:val="Tabla"/>
            </w:pPr>
            <w:r>
              <w:rPr>
                <w:b/>
                <w:bCs/>
              </w:rPr>
              <w:t xml:space="preserve">Nivel de análisis</w:t>
            </w:r>
          </w:p>
        </w:tc>
        <w:tc>
          <w:tcPr>
            <w:tcW w:type="dxa" w:w="3210"/>
            <w:shd w:fill="DFEAF0" w:val="clear"/>
            <w:tcMar>
              <w:top w:type="dxa" w:w="80"/>
              <w:left w:type="dxa" w:w="100"/>
              <w:bottom w:type="dxa" w:w="80"/>
              <w:right w:type="dxa" w:w="100"/>
            </w:tcMar>
          </w:tcPr>
          <w:p>
            <w:pPr>
              <w:pStyle w:val="Tabla"/>
            </w:pPr>
            <w:r>
              <w:rPr>
                <w:b/>
                <w:bCs/>
              </w:rPr>
              <w:t xml:space="preserve">Pregunta orientadora</w:t>
            </w:r>
          </w:p>
        </w:tc>
        <w:tc>
          <w:tcPr>
            <w:tcW w:type="dxa" w:w="3210"/>
            <w:shd w:fill="DFEAF0" w:val="clear"/>
            <w:tcMar>
              <w:top w:type="dxa" w:w="80"/>
              <w:left w:type="dxa" w:w="100"/>
              <w:bottom w:type="dxa" w:w="80"/>
              <w:right w:type="dxa" w:w="100"/>
            </w:tcMar>
          </w:tcPr>
          <w:p>
            <w:pPr>
              <w:pStyle w:val="Tabla"/>
            </w:pPr>
            <w:r>
              <w:rPr>
                <w:b/>
                <w:bCs/>
              </w:rPr>
              <w:t xml:space="preserve">Ejemplo de biblioteca</w:t>
            </w:r>
          </w:p>
        </w:tc>
      </w:tr>
      <w:tr>
        <w:trPr>
          <w:cantSplit/>
          <w:tblHeader w:val="off"/>
        </w:trPr>
        <w:tc>
          <w:tcPr>
            <w:tcW w:type="dxa" w:w="3212"/>
            <w:tcMar>
              <w:top w:type="dxa" w:w="80"/>
              <w:left w:type="dxa" w:w="100"/>
              <w:bottom w:type="dxa" w:w="80"/>
              <w:right w:type="dxa" w:w="100"/>
            </w:tcMar>
          </w:tcPr>
          <w:p>
            <w:pPr>
              <w:pStyle w:val="Tabla"/>
            </w:pPr>
            <w:r>
              <w:t xml:space="preserve">Evento</w:t>
            </w:r>
          </w:p>
        </w:tc>
        <w:tc>
          <w:tcPr>
            <w:tcW w:type="dxa" w:w="3210"/>
            <w:tcMar>
              <w:top w:type="dxa" w:w="80"/>
              <w:left w:type="dxa" w:w="100"/>
              <w:bottom w:type="dxa" w:w="80"/>
              <w:right w:type="dxa" w:w="100"/>
            </w:tcMar>
          </w:tcPr>
          <w:p>
            <w:pPr>
              <w:pStyle w:val="Tabla"/>
            </w:pPr>
            <w:r>
              <w:t xml:space="preserve">¿Qué ocurrió?</w:t>
            </w:r>
          </w:p>
        </w:tc>
        <w:tc>
          <w:tcPr>
            <w:tcW w:type="dxa" w:w="3210"/>
            <w:tcMar>
              <w:top w:type="dxa" w:w="80"/>
              <w:left w:type="dxa" w:w="100"/>
              <w:bottom w:type="dxa" w:w="80"/>
              <w:right w:type="dxa" w:w="100"/>
            </w:tcMar>
          </w:tcPr>
          <w:p>
            <w:pPr>
              <w:pStyle w:val="Tabla"/>
            </w:pPr>
            <w:r>
              <w:t xml:space="preserve">Hoy hubo varias reclamaciones.</w:t>
            </w:r>
          </w:p>
        </w:tc>
      </w:tr>
      <w:tr>
        <w:trPr>
          <w:cantSplit/>
          <w:tblHeader w:val="off"/>
        </w:trPr>
        <w:tc>
          <w:tcPr>
            <w:tcW w:type="dxa" w:w="3212"/>
            <w:tcMar>
              <w:top w:type="dxa" w:w="80"/>
              <w:left w:type="dxa" w:w="100"/>
              <w:bottom w:type="dxa" w:w="80"/>
              <w:right w:type="dxa" w:w="100"/>
            </w:tcMar>
          </w:tcPr>
          <w:p>
            <w:pPr>
              <w:pStyle w:val="Tabla"/>
            </w:pPr>
            <w:r>
              <w:t xml:space="preserve">Patrón</w:t>
            </w:r>
          </w:p>
        </w:tc>
        <w:tc>
          <w:tcPr>
            <w:tcW w:type="dxa" w:w="3210"/>
            <w:tcMar>
              <w:top w:type="dxa" w:w="80"/>
              <w:left w:type="dxa" w:w="100"/>
              <w:bottom w:type="dxa" w:w="80"/>
              <w:right w:type="dxa" w:w="100"/>
            </w:tcMar>
          </w:tcPr>
          <w:p>
            <w:pPr>
              <w:pStyle w:val="Tabla"/>
            </w:pPr>
            <w:r>
              <w:t xml:space="preserve">¿Qué sucede a lo largo del tiempo?</w:t>
            </w:r>
          </w:p>
        </w:tc>
        <w:tc>
          <w:tcPr>
            <w:tcW w:type="dxa" w:w="3210"/>
            <w:tcMar>
              <w:top w:type="dxa" w:w="80"/>
              <w:left w:type="dxa" w:w="100"/>
              <w:bottom w:type="dxa" w:w="80"/>
              <w:right w:type="dxa" w:w="100"/>
            </w:tcMar>
          </w:tcPr>
          <w:p>
            <w:pPr>
              <w:pStyle w:val="Tabla"/>
            </w:pPr>
            <w:r>
              <w:t xml:space="preserve">Las reclamaciones aumentan mes a mes.</w:t>
            </w:r>
          </w:p>
        </w:tc>
      </w:tr>
      <w:tr>
        <w:trPr>
          <w:cantSplit/>
          <w:tblHeader w:val="off"/>
        </w:trPr>
        <w:tc>
          <w:tcPr>
            <w:tcW w:type="dxa" w:w="3212"/>
            <w:tcMar>
              <w:top w:type="dxa" w:w="80"/>
              <w:left w:type="dxa" w:w="100"/>
              <w:bottom w:type="dxa" w:w="80"/>
              <w:right w:type="dxa" w:w="100"/>
            </w:tcMar>
          </w:tcPr>
          <w:p>
            <w:pPr>
              <w:pStyle w:val="Tabla"/>
            </w:pPr>
            <w:r>
              <w:t xml:space="preserve">Estructura</w:t>
            </w:r>
          </w:p>
        </w:tc>
        <w:tc>
          <w:tcPr>
            <w:tcW w:type="dxa" w:w="3210"/>
            <w:tcMar>
              <w:top w:type="dxa" w:w="80"/>
              <w:left w:type="dxa" w:w="100"/>
              <w:bottom w:type="dxa" w:w="80"/>
              <w:right w:type="dxa" w:w="100"/>
            </w:tcMar>
          </w:tcPr>
          <w:p>
            <w:pPr>
              <w:pStyle w:val="Tabla"/>
            </w:pPr>
            <w:r>
              <w:t xml:space="preserve">¿Qué relaciones, reglas y procesos producen ese patrón?</w:t>
            </w:r>
          </w:p>
        </w:tc>
        <w:tc>
          <w:tcPr>
            <w:tcW w:type="dxa" w:w="3210"/>
            <w:tcMar>
              <w:top w:type="dxa" w:w="80"/>
              <w:left w:type="dxa" w:w="100"/>
              <w:bottom w:type="dxa" w:w="80"/>
              <w:right w:type="dxa" w:w="100"/>
            </w:tcMar>
          </w:tcPr>
          <w:p>
            <w:pPr>
              <w:pStyle w:val="Tabla"/>
            </w:pPr>
            <w:r>
              <w:t xml:space="preserve">Registrar lo mismo tres veces genera errores y trabajo repetido.</w:t>
            </w:r>
          </w:p>
        </w:tc>
      </w:tr>
      <w:tr>
        <w:trPr>
          <w:cantSplit/>
          <w:tblHeader w:val="off"/>
        </w:trPr>
        <w:tc>
          <w:tcPr>
            <w:tcW w:type="dxa" w:w="3212"/>
            <w:tcMar>
              <w:top w:type="dxa" w:w="80"/>
              <w:left w:type="dxa" w:w="100"/>
              <w:bottom w:type="dxa" w:w="80"/>
              <w:right w:type="dxa" w:w="100"/>
            </w:tcMar>
          </w:tcPr>
          <w:p>
            <w:pPr>
              <w:pStyle w:val="Tabla"/>
            </w:pPr>
            <w:r>
              <w:t xml:space="preserve">Modelo mental</w:t>
            </w:r>
          </w:p>
        </w:tc>
        <w:tc>
          <w:tcPr>
            <w:tcW w:type="dxa" w:w="3210"/>
            <w:tcMar>
              <w:top w:type="dxa" w:w="80"/>
              <w:left w:type="dxa" w:w="100"/>
              <w:bottom w:type="dxa" w:w="80"/>
              <w:right w:type="dxa" w:w="100"/>
            </w:tcMar>
          </w:tcPr>
          <w:p>
            <w:pPr>
              <w:pStyle w:val="Tabla"/>
            </w:pPr>
            <w:r>
              <w:t xml:space="preserve">¿Qué creencias o suposiciones sostienen esas reglas?</w:t>
            </w:r>
          </w:p>
        </w:tc>
        <w:tc>
          <w:tcPr>
            <w:tcW w:type="dxa" w:w="3210"/>
            <w:tcMar>
              <w:top w:type="dxa" w:w="80"/>
              <w:left w:type="dxa" w:w="100"/>
              <w:bottom w:type="dxa" w:w="80"/>
              <w:right w:type="dxa" w:w="100"/>
            </w:tcMar>
          </w:tcPr>
          <w:p>
            <w:pPr>
              <w:pStyle w:val="Tabla"/>
            </w:pPr>
            <w:r>
              <w:t xml:space="preserve">Se supone que más formularios siempre significan más control.</w:t>
            </w:r>
          </w:p>
        </w:tc>
      </w:tr>
    </w:tbl>
    <w:p>
      <w:pPr>
        <w:pStyle w:val="Normal"/>
      </w:pPr>
      <w:r>
        <w:t xml:space="preserve">La estructura no se limita al organigrama o al espacio físico: también incluye información, incentivos, restricciones y demoras. Preguntar por ella evita atribuir automáticamente un resultado a falta de esfuerzo de una persona.</w:t>
      </w:r>
    </w:p>
    <w:p>
      <w:pPr>
        <w:pStyle w:val="Normal"/>
      </w:pPr>
      <w:r>
        <w:t xml:space="preserve">Un modelo mental es una interpretación que influye en lo que observamos y decidimos. Cambiar de perspectiva y probar suposiciones permite detectar explicaciones alternativas. No se debe convertir una interpretación en un hecho sin evidencia.</w:t>
      </w:r>
    </w:p>
    <w:p>
      <w:pPr>
        <w:pStyle w:val="Heading3"/>
      </w:pPr>
      <w:r>
        <w:t xml:space="preserve">El nivel del iceberg cambia la investigación</w:t>
      </w:r>
    </w:p>
    <w:p>
      <w:pPr>
        <w:pStyle w:val="Normal"/>
      </w:pPr>
      <w:r>
        <w:t xml:space="preserve">En eventos se pregunta qué ocurrió y cuántas veces: predominan instrumentos cuantitativos. Las tendencias requieren observar series y también interpretar los patrones; por eso combinan instrumentos cuantitativos y cualitativos.</w:t>
      </w:r>
    </w:p>
    <w:p>
      <w:pPr>
        <w:pStyle w:val="Normal"/>
      </w:pPr>
      <w:r>
        <w:t xml:space="preserve">Las estructuras se investigan principalmente con instrumentos cualitativos para comprender relaciones y condiciones. Los modelos mentales exigen indagación y diálogo sobre creencias y supuestos. La cuarta fila es la ampliación explícita de la explicación de clase que conserva el laboratorio, no una medida física de las creencias.</w:t>
      </w:r>
    </w:p>
    <w:p>
      <w:pPr>
        <w:pStyle w:val="Normal"/>
      </w:pPr>
      <w:r>
        <w:t xml:space="preserve">Cambiar de nivel no invalida los datos del anterior: los integra. Para ayudar a otro a reconocer su modelo, conecta una creencia que expresa, una decisión y sus efectos; pide su razonamiento en vez de deducirlo desde fuera.</w:t>
      </w:r>
    </w:p>
    <w:p>
      <w:pPr>
        <w:pStyle w:val="Fuente"/>
      </w:pPr>
      <w:r>
        <w:t xml:space="preserve">Presentación de la unidad 1 (C-5), pág. 35 y 39 · Clase 4 · 00:50:02–00:50:24</w:t>
      </w:r>
    </w:p>
    <w:p>
      <w:pPr>
        <w:pStyle w:val="Heading3"/>
      </w:pPr>
      <w:r>
        <w:t xml:space="preserve">Qué es el modelo y qué representa el agua</w:t>
      </w:r>
    </w:p>
    <w:p>
      <w:pPr>
        <w:pStyle w:val="Normal"/>
      </w:pPr>
      <w:r>
        <w:t xml:space="preserve">Modelo de Waters Foundation con las perspectivas del pensador sistémico; muy usado porque muestra la complejidad que alcanza un análisis sistémico, el que profundiza a las estructuras que originan los comportamientos; difícil porque las operaciones abstractas eliminan información.</w:t>
      </w:r>
    </w:p>
    <w:p>
      <w:pPr>
        <w:pStyle w:val="Normal"/>
      </w:pPr>
      <w:r>
        <w:t xml:space="preserve">Cuatro niveles, de lo fácil a lo complejo: eventos fuera del agua, patrones o tendencias cerca de la superficie, estructuras («subyacentes» para Waters Foundation) ocultas y modelos mentales al fondo; el agua es todo lo que no se ve a simple vista.</w:t>
      </w:r>
    </w:p>
    <w:p>
      <w:pPr>
        <w:pStyle w:val="Fuente"/>
      </w:pPr>
      <w:r>
        <w:t xml:space="preserve">Clase 4 · 00:07:50–00:09:54 · Clase 4 · 00:10:20–00:12:55 · Clase 4 · 00:15:55–00:17:12 · lámina c4-04 · lámina c4-05</w:t>
      </w:r>
    </w:p>
    <w:p>
      <w:pPr>
        <w:pStyle w:val="Heading3"/>
      </w:pPr>
      <w:r>
        <w:t xml:space="preserve">Los cuatro niveles como los definió la clase</w:t>
      </w:r>
    </w:p>
    <w:p>
      <w:pPr>
        <w:pStyle w:val="Normal"/>
      </w:pPr>
      <w:r>
        <w:t xml:space="preserve">Eventos: lo que ocurre al interactuar con una realidad concreta, hechos captados sin esfuerzo por cualquier sentido (oír una detonación); debajo está lo que los originó. Son el escalón cero de la escalera de inferencias.</w:t>
      </w:r>
    </w:p>
    <w:p>
      <w:pPr>
        <w:pStyle w:val="Normal"/>
      </w:pPr>
      <w:r>
        <w:t xml:space="preserve">Tendencias o «patrones de comportamiento»: la historia, una variable medible cuyos valores se observan a lo largo del tiempo. Ventas: el evento es vender por debajo de lo necesario («bancarrota»); la variable, los ingresos por ventas, medida meses o años antes, mostraría valores altos que bajaron.</w:t>
      </w:r>
    </w:p>
    <w:p>
      <w:pPr>
        <w:pStyle w:val="Normal"/>
      </w:pPr>
      <w:r>
        <w:t xml:space="preserve">Estructuras (subyacentes, sistémicas, «complejas»): cómo los elementos forman interacciones y comportamientos; las interacciones entre las partes son relaciones causales que originan las tendencias, y éstas los eventos; exigen bucear.</w:t>
      </w:r>
    </w:p>
    <w:p>
      <w:pPr>
        <w:pStyle w:val="Normal"/>
      </w:pPr>
      <w:r>
        <w:t xml:space="preserve">Modelos mentales: teorías propias hechas de creencias replicadas de otros; el nivel más complejo de acceder y el más importante de tener consciente, porque está en la mente de las personas y determina a los demás. Los cuatro niveles son «perspectivas sistémicas», incluida la de lo que pienso yo; según Meadows, todo lo que uno sabe y todos saben es sólo un modelo.</w:t>
      </w:r>
    </w:p>
    <w:p>
      <w:pPr>
        <w:pStyle w:val="Normal"/>
      </w:pPr>
      <w:r>
        <w:t xml:space="preserve">Quinto nivel, de un profesor chileno en un video de UEDI: motivación intrínseca, valores, emoción y voluntad; se alcanza reflexionando o dialogando.</w:t>
      </w:r>
    </w:p>
    <w:p>
      <w:pPr>
        <w:pStyle w:val="Fuente"/>
      </w:pPr>
      <w:r>
        <w:t xml:space="preserve">Clase 4 · 00:14:17–00:18:44 · Clase 4 · 00:18:41–00:19:16 · Clase 4 · 00:21:14–00:25:35 · Clase 4 · 00:26:45–00:26:54 · Clase 4 · 00:31:02–00:32:57 · Clase 4 · 00:36:31–00:38:03 · Clase 4 · 00:39:55–00:41:06 · Clase 4 · 00:41:09–00:42:03 · Clase 4 · 00:43:31–00:44:41 · Clase 4 · 00:44:54–00:45:28 · Clase 4 · 00:48:51–00:50:26 · Clase 4 · 00:53:48–00:54:44 · lámina c4-03</w:t>
      </w:r>
    </w:p>
    <w:p>
      <w:pPr>
        <w:pStyle w:val="Heading3"/>
      </w:pPr>
      <w:r>
        <w:t xml:space="preserve">Los casos: Acme, el estudiante que reprueba y el restaurante</w:t>
      </w:r>
    </w:p>
    <w:p>
      <w:pPr>
        <w:pStyle w:val="Normal"/>
      </w:pPr>
      <w:r>
        <w:t xml:space="preserve">Caso Acme (Senge, La quinta disciplina en la práctica): los gerentes debaten la caída de ventas por hechos, tendencias de varios años y estructuras; las soluciones estructurales fallaron porque los modelos mentales de quienes venden las impedían: vendían de cualquier manera y dañaban el servicio, y cambiar las reglas no bastó sin cambiar hábitos y creencias. Tarea: tabla de cuatro filas con lo hallado en cada nivel y su dificultad.</w:t>
      </w:r>
    </w:p>
    <w:p>
      <w:pPr>
        <w:pStyle w:val="Normal"/>
      </w:pPr>
      <w:r>
        <w:t xml:space="preserve">Del chat: reprobar es el evento; debajo, notas bajas repetidas, sin horario de estudio, poco sueño y la creencia de que pedir ayuda es debilidad; la clase lo ubicó como tendencia o estructura, que exige comportamientos dinámicos repetitivos.</w:t>
      </w:r>
    </w:p>
    <w:p>
      <w:pPr>
        <w:pStyle w:val="Normal"/>
      </w:pPr>
      <w:r>
        <w:t xml:space="preserve">Restaurante (Waters Foundation): el propietario lee una crítica en línea contra un mesero; antes de actuar por impulso comparte la queja con él, se pregunta si fue ocurrencia única o parte de un patrón, indaga al supervisor y pondera que lleva más de tres meses.</w:t>
      </w:r>
    </w:p>
    <w:p>
      <w:pPr>
        <w:pStyle w:val="Fuente"/>
      </w:pPr>
      <w:r>
        <w:t xml:space="preserve">Clase 4 · 00:28:05–00:31:15 · Clase 4 · 00:34:00–00:35:35 · Clase 4 · 00:46:07–00:48:55 · Clase 4 · 01:34:31–01:38:31 · Clase 5 · 00:30:34–00:32:24 · Clase 5 · 01:23:23–01:29:03</w:t>
      </w:r>
    </w:p>
    <w:p>
      <w:pPr>
        <w:pStyle w:val="Heading3"/>
      </w:pPr>
      <w:r>
        <w:t xml:space="preserve">Lo que advirtió sobre decidir desde los eventos</w:t>
      </w:r>
    </w:p>
    <w:p>
      <w:pPr>
        <w:pStyle w:val="Normal"/>
      </w:pPr>
      <w:r>
        <w:t xml:space="preserve">Los hechos no suceden de la nada: sin sus tendencias y su estructura no hay soluciones; los eventos emergen de abajo: creencias, acciones, tendencias y una estructura inconsciente.</w:t>
      </w:r>
    </w:p>
    <w:p>
      <w:pPr>
        <w:pStyle w:val="Normal"/>
      </w:pPr>
      <w:r>
        <w:t xml:space="preserve">La estructura determina los resultados, pero quienes hacen que las cosas sucedan son las personas que deciden dentro de ella; sus perspectivas subjetivas, en un sistema de actividad humana, son el cuarto nivel, y comprender los cuatro permite cambiar hábitos.</w:t>
      </w:r>
    </w:p>
    <w:p>
      <w:pPr>
        <w:pStyle w:val="Fuente"/>
      </w:pPr>
      <w:r>
        <w:t xml:space="preserve">Clase 4 · 00:32:47–00:33:43 · Clase 4 · 00:35:34–00:36:39 · Clase 4 · 00:40:34–00:41:06 · Clase 4 · 00:47:37–00:47:55 · Clase 5 · 00:29:58–00:31:38</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Procedimiento</w:t>
            </w:r>
          </w:p>
          <w:p>
            <w:pPr>
              <w:pStyle w:val="Recuadro"/>
            </w:pPr>
            <w:r>
              <w:t xml:space="preserve">Cómo bajar por el iceberg: de un evento a los modelos mentales</w:t>
            </w:r>
          </w:p>
          <w:p>
            <w:pPr>
              <w:pStyle w:val="Recuadro"/>
            </w:pPr>
            <w:r>
              <w:t xml:space="preserve">1. </w:t>
            </w:r>
            <w:r>
              <w:rPr>
                <w:b/>
                <w:bCs/>
              </w:rPr>
              <w:t xml:space="preserve">Nombrar el evento.</w:t>
            </w:r>
            <w:r>
              <w:t xml:space="preserve"> Reconocer el hecho tal como se percibe sin esfuerzo (las ventas cayeron, alguien reprobó, una crítica en línea) y tomarlo como el escalón cero: debajo está lo que lo originó. (Clase 4 · 00:14:17–00:18:44 · Clase 4 · 00:44:54–00:45:28 · lámina c4-05)</w:t>
            </w:r>
          </w:p>
          <w:p>
            <w:pPr>
              <w:pStyle w:val="Recuadro"/>
            </w:pPr>
            <w:r>
              <w:t xml:space="preserve">2. </w:t>
            </w:r>
            <w:r>
              <w:rPr>
                <w:b/>
                <w:bCs/>
              </w:rPr>
              <w:t xml:space="preserve">Buscar la tendencia.</w:t>
            </w:r>
            <w:r>
              <w:t xml:space="preserve"> Antes de reaccionar, investigar las experiencias pasadas: elegir la variable, medirla en el tiempo y preguntar qué ha estado pasando, si es la primera vez o ya pasó antes, cuándo o cuántas veces, y si mejoró o empeoró. (Clase 4 · 00:21:14–00:22:27 · Clase 4 · 00:27:20–00:28:07 · Clase 4 · 00:50:24–00:52:17)</w:t>
            </w:r>
          </w:p>
          <w:p>
            <w:pPr>
              <w:pStyle w:val="Recuadro"/>
            </w:pPr>
            <w:r>
              <w:t xml:space="preserve">3. </w:t>
            </w:r>
            <w:r>
              <w:rPr>
                <w:b/>
                <w:bCs/>
              </w:rPr>
              <w:t xml:space="preserve">Bucear a la estructura.</w:t>
            </w:r>
            <w:r>
              <w:t xml:space="preserve"> Preguntar por qué y cómo sucede en términos de relaciones causales, «¿qué relación existe entre una parte y otra?»; ahí se explican las tendencias y está la claridad para decidir. (Clase 4 · 00:31:02–00:32:57 · Clase 4 · 00:52:21–00:53:40)</w:t>
            </w:r>
          </w:p>
          <w:p>
            <w:pPr>
              <w:pStyle w:val="Recuadro"/>
            </w:pPr>
            <w:r>
              <w:t xml:space="preserve">4. </w:t>
            </w:r>
            <w:r>
              <w:rPr>
                <w:b/>
                <w:bCs/>
              </w:rPr>
              <w:t xml:space="preserve">Llegar a los modelos mentales.</w:t>
            </w:r>
            <w:r>
              <w:t xml:space="preserve"> Preguntar qué creencias de las personas sostienen esa estructura: es el nivel más difícil, está en su mente y se accede reflexionando o dialogando. (Clase 4 · 00:48:51–00:50:26 · Clase 4 · 00:53:48–00:54:44 · Clase 5 · 00:29:58–00:31:38)</w:t>
            </w:r>
          </w:p>
          <w:p>
            <w:pPr>
              <w:pStyle w:val="Recuadro"/>
            </w:pPr>
            <w:r>
              <w:t xml:space="preserve">5. </w:t>
            </w:r>
            <w:r>
              <w:rPr>
                <w:b/>
                <w:bCs/>
              </w:rPr>
              <w:t xml:space="preserve">Decidir desde abajo.</w:t>
            </w:r>
            <w:r>
              <w:t xml:space="preserve"> Resolver en la estructura y en los hábitos y creencias de las personas, no en el evento: en Acme cambiar las reglas no bastó. (Clase 4 · 00:35:34–00:36:39 · Clase 5 · 00:30:34–00:32:24)</w:t>
            </w:r>
          </w:p>
          <w:p>
            <w:pPr>
              <w:pStyle w:val="Recuadro"/>
            </w:pPr>
            <w:r>
              <w:t xml:space="preserve">Un evento sólo se comprende cuando se sabe qué tendencia lo precede, qué estructura la produce y qué creencias sostienen esa estructura.</w:t>
            </w:r>
          </w:p>
        </w:tc>
      </w:tr>
    </w:tbl>
    <w:p>
      <w:pPr>
        <w:pStyle w:val="Heading3"/>
      </w:pPr>
      <w:bookmarkStart w:name="b_tabla_1_7_g1_iceberg" w:id="1057"/>
      <w:r>
        <w:t xml:space="preserve">Los cuatro niveles del iceberg</w:t>
      </w:r>
      <w:bookmarkEnd w:id="1057"/>
    </w:p>
    <w:tbl>
      <w:tblPr>
        <w:tblW w:type="dxa" w:w="9632"/>
        <w:tblBorders>
          <w:top w:val="single" w:color="C5D5DB" w:sz="4"/>
          <w:left w:val="single" w:color="C5D5DB" w:sz="4"/>
          <w:bottom w:val="single" w:color="C5D5DB" w:sz="4"/>
          <w:right w:val="single" w:color="C5D5DB" w:sz="4"/>
          <w:insideH w:val="single" w:color="E4E9EB" w:sz="3"/>
          <w:insideV w:val="single" w:color="E4E9EB" w:sz="3"/>
        </w:tblBorders>
        <w:tblLayout w:type="fixed"/>
      </w:tblPr>
      <w:tblGrid>
        <w:gridCol w:w="1928"/>
        <w:gridCol w:w="1926"/>
        <w:gridCol w:w="1926"/>
        <w:gridCol w:w="1926"/>
        <w:gridCol w:w="1926"/>
      </w:tblGrid>
      <w:tr>
        <w:trPr>
          <w:cantSplit/>
          <w:tblHeader/>
        </w:trPr>
        <w:tc>
          <w:tcPr>
            <w:tcW w:type="dxa" w:w="1928"/>
            <w:shd w:fill="DFEAF0" w:val="clear"/>
            <w:tcMar>
              <w:top w:type="dxa" w:w="80"/>
              <w:left w:type="dxa" w:w="100"/>
              <w:bottom w:type="dxa" w:w="80"/>
              <w:right w:type="dxa" w:w="100"/>
            </w:tcMar>
          </w:tcPr>
          <w:p>
            <w:pPr>
              <w:pStyle w:val="Tabla"/>
            </w:pPr>
            <w:r>
              <w:rPr>
                <w:b/>
                <w:bCs/>
              </w:rPr>
              <w:t xml:space="preserve">#</w:t>
            </w:r>
          </w:p>
        </w:tc>
        <w:tc>
          <w:tcPr>
            <w:tcW w:type="dxa" w:w="1926"/>
            <w:shd w:fill="DFEAF0" w:val="clear"/>
            <w:tcMar>
              <w:top w:type="dxa" w:w="80"/>
              <w:left w:type="dxa" w:w="100"/>
              <w:bottom w:type="dxa" w:w="80"/>
              <w:right w:type="dxa" w:w="100"/>
            </w:tcMar>
          </w:tcPr>
          <w:p>
            <w:pPr>
              <w:pStyle w:val="Tabla"/>
            </w:pPr>
            <w:r>
              <w:rPr>
                <w:b/>
                <w:bCs/>
              </w:rPr>
              <w:t xml:space="preserve">Nivel</w:t>
            </w:r>
          </w:p>
        </w:tc>
        <w:tc>
          <w:tcPr>
            <w:tcW w:type="dxa" w:w="1926"/>
            <w:shd w:fill="DFEAF0" w:val="clear"/>
            <w:tcMar>
              <w:top w:type="dxa" w:w="80"/>
              <w:left w:type="dxa" w:w="100"/>
              <w:bottom w:type="dxa" w:w="80"/>
              <w:right w:type="dxa" w:w="100"/>
            </w:tcMar>
          </w:tcPr>
          <w:p>
            <w:pPr>
              <w:pStyle w:val="Tabla"/>
            </w:pPr>
            <w:r>
              <w:rPr>
                <w:b/>
                <w:bCs/>
              </w:rPr>
              <w:t xml:space="preserve">Pregunta</w:t>
            </w:r>
          </w:p>
        </w:tc>
        <w:tc>
          <w:tcPr>
            <w:tcW w:type="dxa" w:w="1926"/>
            <w:shd w:fill="DFEAF0" w:val="clear"/>
            <w:tcMar>
              <w:top w:type="dxa" w:w="80"/>
              <w:left w:type="dxa" w:w="100"/>
              <w:bottom w:type="dxa" w:w="80"/>
              <w:right w:type="dxa" w:w="100"/>
            </w:tcMar>
          </w:tcPr>
          <w:p>
            <w:pPr>
              <w:pStyle w:val="Tabla"/>
            </w:pPr>
            <w:r>
              <w:rPr>
                <w:b/>
                <w:bCs/>
              </w:rPr>
              <w:t xml:space="preserve">Modo de acción</w:t>
            </w:r>
          </w:p>
        </w:tc>
        <w:tc>
          <w:tcPr>
            <w:tcW w:type="dxa" w:w="1926"/>
            <w:shd w:fill="DFEAF0" w:val="clear"/>
            <w:tcMar>
              <w:top w:type="dxa" w:w="80"/>
              <w:left w:type="dxa" w:w="100"/>
              <w:bottom w:type="dxa" w:w="80"/>
              <w:right w:type="dxa" w:w="100"/>
            </w:tcMar>
          </w:tcPr>
          <w:p>
            <w:pPr>
              <w:pStyle w:val="Tabla"/>
            </w:pPr>
            <w:r>
              <w:rPr>
                <w:b/>
                <w:bCs/>
              </w:rPr>
              <w:t xml:space="preserve">Apalancamiento</w:t>
            </w:r>
          </w:p>
        </w:tc>
      </w:tr>
      <w:tr>
        <w:trPr>
          <w:cantSplit/>
          <w:tblHeader w:val="off"/>
        </w:trPr>
        <w:tc>
          <w:tcPr>
            <w:tcW w:type="dxa" w:w="1928"/>
            <w:tcMar>
              <w:top w:type="dxa" w:w="80"/>
              <w:left w:type="dxa" w:w="100"/>
              <w:bottom w:type="dxa" w:w="80"/>
              <w:right w:type="dxa" w:w="100"/>
            </w:tcMar>
          </w:tcPr>
          <w:p>
            <w:pPr>
              <w:pStyle w:val="Tabla"/>
            </w:pPr>
            <w:r>
              <w:t xml:space="preserve">1</w:t>
            </w:r>
          </w:p>
        </w:tc>
        <w:tc>
          <w:tcPr>
            <w:tcW w:type="dxa" w:w="1926"/>
            <w:tcMar>
              <w:top w:type="dxa" w:w="80"/>
              <w:left w:type="dxa" w:w="100"/>
              <w:bottom w:type="dxa" w:w="80"/>
              <w:right w:type="dxa" w:w="100"/>
            </w:tcMar>
          </w:tcPr>
          <w:p>
            <w:pPr>
              <w:pStyle w:val="Tabla"/>
            </w:pPr>
            <w:r>
              <w:t xml:space="preserve">Eventos</w:t>
            </w:r>
          </w:p>
        </w:tc>
        <w:tc>
          <w:tcPr>
            <w:tcW w:type="dxa" w:w="1926"/>
            <w:tcMar>
              <w:top w:type="dxa" w:w="80"/>
              <w:left w:type="dxa" w:w="100"/>
              <w:bottom w:type="dxa" w:w="80"/>
              <w:right w:type="dxa" w:w="100"/>
            </w:tcMar>
          </w:tcPr>
          <w:p>
            <w:pPr>
              <w:pStyle w:val="Tabla"/>
            </w:pPr>
            <w:r>
              <w:t xml:space="preserve">¿Qué acaba de pasar?</w:t>
            </w:r>
          </w:p>
        </w:tc>
        <w:tc>
          <w:tcPr>
            <w:tcW w:type="dxa" w:w="1926"/>
            <w:tcMar>
              <w:top w:type="dxa" w:w="80"/>
              <w:left w:type="dxa" w:w="100"/>
              <w:bottom w:type="dxa" w:w="80"/>
              <w:right w:type="dxa" w:w="100"/>
            </w:tcMar>
          </w:tcPr>
          <w:p>
            <w:pPr>
              <w:pStyle w:val="Tabla"/>
            </w:pPr>
            <w:r>
              <w:t xml:space="preserve">Reaccionar</w:t>
            </w:r>
          </w:p>
        </w:tc>
        <w:tc>
          <w:tcPr>
            <w:tcW w:type="dxa" w:w="1926"/>
            <w:tcMar>
              <w:top w:type="dxa" w:w="80"/>
              <w:left w:type="dxa" w:w="100"/>
              <w:bottom w:type="dxa" w:w="80"/>
              <w:right w:type="dxa" w:w="100"/>
            </w:tcMar>
          </w:tcPr>
          <w:p>
            <w:pPr>
              <w:pStyle w:val="Tabla"/>
            </w:pPr>
            <w:r>
              <w:rPr>
                <w:rFonts w:ascii="DejaVu Serif" w:cs="DejaVu Serif" w:eastAsia="DejaVu Serif" w:hAnsi="DejaVu Serif"/>
              </w:rPr>
              <w:t xml:space="preserve">▮</w:t>
            </w:r>
          </w:p>
        </w:tc>
      </w:tr>
      <w:tr>
        <w:trPr>
          <w:cantSplit/>
          <w:tblHeader w:val="off"/>
        </w:trPr>
        <w:tc>
          <w:tcPr>
            <w:tcW w:type="dxa" w:w="1928"/>
            <w:tcMar>
              <w:top w:type="dxa" w:w="80"/>
              <w:left w:type="dxa" w:w="100"/>
              <w:bottom w:type="dxa" w:w="80"/>
              <w:right w:type="dxa" w:w="100"/>
            </w:tcMar>
          </w:tcPr>
          <w:p>
            <w:pPr>
              <w:pStyle w:val="Tabla"/>
            </w:pPr>
            <w:r>
              <w:t xml:space="preserve">2</w:t>
            </w:r>
          </w:p>
        </w:tc>
        <w:tc>
          <w:tcPr>
            <w:tcW w:type="dxa" w:w="1926"/>
            <w:tcMar>
              <w:top w:type="dxa" w:w="80"/>
              <w:left w:type="dxa" w:w="100"/>
              <w:bottom w:type="dxa" w:w="80"/>
              <w:right w:type="dxa" w:w="100"/>
            </w:tcMar>
          </w:tcPr>
          <w:p>
            <w:pPr>
              <w:pStyle w:val="Tabla"/>
            </w:pPr>
            <w:r>
              <w:t xml:space="preserve">Patrones y tendencias</w:t>
            </w:r>
          </w:p>
        </w:tc>
        <w:tc>
          <w:tcPr>
            <w:tcW w:type="dxa" w:w="1926"/>
            <w:tcMar>
              <w:top w:type="dxa" w:w="80"/>
              <w:left w:type="dxa" w:w="100"/>
              <w:bottom w:type="dxa" w:w="80"/>
              <w:right w:type="dxa" w:w="100"/>
            </w:tcMar>
          </w:tcPr>
          <w:p>
            <w:pPr>
              <w:pStyle w:val="Tabla"/>
            </w:pPr>
            <w:r>
              <w:t xml:space="preserve">¿Qué ha venido pasando? ¿Cuál es la tendencia?</w:t>
            </w:r>
          </w:p>
        </w:tc>
        <w:tc>
          <w:tcPr>
            <w:tcW w:type="dxa" w:w="1926"/>
            <w:tcMar>
              <w:top w:type="dxa" w:w="80"/>
              <w:left w:type="dxa" w:w="100"/>
              <w:bottom w:type="dxa" w:w="80"/>
              <w:right w:type="dxa" w:w="100"/>
            </w:tcMar>
          </w:tcPr>
          <w:p>
            <w:pPr>
              <w:pStyle w:val="Tabla"/>
            </w:pPr>
            <w:r>
              <w:t xml:space="preserve">Anticipar</w:t>
            </w:r>
          </w:p>
        </w:tc>
        <w:tc>
          <w:tcPr>
            <w:tcW w:type="dxa" w:w="1926"/>
            <w:tcMar>
              <w:top w:type="dxa" w:w="80"/>
              <w:left w:type="dxa" w:w="100"/>
              <w:bottom w:type="dxa" w:w="80"/>
              <w:right w:type="dxa" w:w="100"/>
            </w:tcMar>
          </w:tcPr>
          <w:p>
            <w:pPr>
              <w:pStyle w:val="Tabla"/>
            </w:pPr>
            <w:r>
              <w:rPr>
                <w:rFonts w:ascii="DejaVu Serif" w:cs="DejaVu Serif" w:eastAsia="DejaVu Serif" w:hAnsi="DejaVu Serif"/>
              </w:rPr>
              <w:t xml:space="preserve">▮▮</w:t>
            </w:r>
          </w:p>
        </w:tc>
      </w:tr>
      <w:tr>
        <w:trPr>
          <w:cantSplit/>
          <w:tblHeader w:val="off"/>
        </w:trPr>
        <w:tc>
          <w:tcPr>
            <w:tcW w:type="dxa" w:w="1928"/>
            <w:tcMar>
              <w:top w:type="dxa" w:w="80"/>
              <w:left w:type="dxa" w:w="100"/>
              <w:bottom w:type="dxa" w:w="80"/>
              <w:right w:type="dxa" w:w="100"/>
            </w:tcMar>
          </w:tcPr>
          <w:p>
            <w:pPr>
              <w:pStyle w:val="Tabla"/>
            </w:pPr>
            <w:r>
              <w:t xml:space="preserve">3</w:t>
            </w:r>
          </w:p>
        </w:tc>
        <w:tc>
          <w:tcPr>
            <w:tcW w:type="dxa" w:w="1926"/>
            <w:tcMar>
              <w:top w:type="dxa" w:w="80"/>
              <w:left w:type="dxa" w:w="100"/>
              <w:bottom w:type="dxa" w:w="80"/>
              <w:right w:type="dxa" w:w="100"/>
            </w:tcMar>
          </w:tcPr>
          <w:p>
            <w:pPr>
              <w:pStyle w:val="Tabla"/>
            </w:pPr>
            <w:r>
              <w:t xml:space="preserve">Estructuras sistémicas</w:t>
            </w:r>
          </w:p>
        </w:tc>
        <w:tc>
          <w:tcPr>
            <w:tcW w:type="dxa" w:w="1926"/>
            <w:tcMar>
              <w:top w:type="dxa" w:w="80"/>
              <w:left w:type="dxa" w:w="100"/>
              <w:bottom w:type="dxa" w:w="80"/>
              <w:right w:type="dxa" w:w="100"/>
            </w:tcMar>
          </w:tcPr>
          <w:p>
            <w:pPr>
              <w:pStyle w:val="Tabla"/>
            </w:pPr>
            <w:r>
              <w:t xml:space="preserve">¿Qué relaciones y estructuras producen esos patrones?</w:t>
            </w:r>
          </w:p>
        </w:tc>
        <w:tc>
          <w:tcPr>
            <w:tcW w:type="dxa" w:w="1926"/>
            <w:tcMar>
              <w:top w:type="dxa" w:w="80"/>
              <w:left w:type="dxa" w:w="100"/>
              <w:bottom w:type="dxa" w:w="80"/>
              <w:right w:type="dxa" w:w="100"/>
            </w:tcMar>
          </w:tcPr>
          <w:p>
            <w:pPr>
              <w:pStyle w:val="Tabla"/>
            </w:pPr>
            <w:r>
              <w:t xml:space="preserve">Diseñar</w:t>
            </w:r>
          </w:p>
        </w:tc>
        <w:tc>
          <w:tcPr>
            <w:tcW w:type="dxa" w:w="1926"/>
            <w:tcMar>
              <w:top w:type="dxa" w:w="80"/>
              <w:left w:type="dxa" w:w="100"/>
              <w:bottom w:type="dxa" w:w="80"/>
              <w:right w:type="dxa" w:w="100"/>
            </w:tcMar>
          </w:tcPr>
          <w:p>
            <w:pPr>
              <w:pStyle w:val="Tabla"/>
            </w:pPr>
            <w:r>
              <w:rPr>
                <w:rFonts w:ascii="DejaVu Serif" w:cs="DejaVu Serif" w:eastAsia="DejaVu Serif" w:hAnsi="DejaVu Serif"/>
              </w:rPr>
              <w:t xml:space="preserve">▮▮▮</w:t>
            </w:r>
          </w:p>
        </w:tc>
      </w:tr>
      <w:tr>
        <w:trPr>
          <w:cantSplit/>
          <w:tblHeader w:val="off"/>
        </w:trPr>
        <w:tc>
          <w:tcPr>
            <w:tcW w:type="dxa" w:w="1928"/>
            <w:tcMar>
              <w:top w:type="dxa" w:w="80"/>
              <w:left w:type="dxa" w:w="100"/>
              <w:bottom w:type="dxa" w:w="80"/>
              <w:right w:type="dxa" w:w="100"/>
            </w:tcMar>
          </w:tcPr>
          <w:p>
            <w:pPr>
              <w:pStyle w:val="Tabla"/>
            </w:pPr>
            <w:r>
              <w:t xml:space="preserve">4</w:t>
            </w:r>
          </w:p>
        </w:tc>
        <w:tc>
          <w:tcPr>
            <w:tcW w:type="dxa" w:w="1926"/>
            <w:tcMar>
              <w:top w:type="dxa" w:w="80"/>
              <w:left w:type="dxa" w:w="100"/>
              <w:bottom w:type="dxa" w:w="80"/>
              <w:right w:type="dxa" w:w="100"/>
            </w:tcMar>
          </w:tcPr>
          <w:p>
            <w:pPr>
              <w:pStyle w:val="Tabla"/>
            </w:pPr>
            <w:r>
              <w:t xml:space="preserve">Modelos mentales</w:t>
            </w:r>
          </w:p>
        </w:tc>
        <w:tc>
          <w:tcPr>
            <w:tcW w:type="dxa" w:w="1926"/>
            <w:tcMar>
              <w:top w:type="dxa" w:w="80"/>
              <w:left w:type="dxa" w:w="100"/>
              <w:bottom w:type="dxa" w:w="80"/>
              <w:right w:type="dxa" w:w="100"/>
            </w:tcMar>
          </w:tcPr>
          <w:p>
            <w:pPr>
              <w:pStyle w:val="Tabla"/>
            </w:pPr>
            <w:r>
              <w:t xml:space="preserve">¿Qué creencias, valores y supuestos mantienen en pie esa estructura?</w:t>
            </w:r>
          </w:p>
        </w:tc>
        <w:tc>
          <w:tcPr>
            <w:tcW w:type="dxa" w:w="1926"/>
            <w:tcMar>
              <w:top w:type="dxa" w:w="80"/>
              <w:left w:type="dxa" w:w="100"/>
              <w:bottom w:type="dxa" w:w="80"/>
              <w:right w:type="dxa" w:w="100"/>
            </w:tcMar>
          </w:tcPr>
          <w:p>
            <w:pPr>
              <w:pStyle w:val="Tabla"/>
            </w:pPr>
            <w:r>
              <w:t xml:space="preserve">Transformar</w:t>
            </w:r>
          </w:p>
        </w:tc>
        <w:tc>
          <w:tcPr>
            <w:tcW w:type="dxa" w:w="1926"/>
            <w:tcMar>
              <w:top w:type="dxa" w:w="80"/>
              <w:left w:type="dxa" w:w="100"/>
              <w:bottom w:type="dxa" w:w="80"/>
              <w:right w:type="dxa" w:w="100"/>
            </w:tcMar>
          </w:tcPr>
          <w:p>
            <w:pPr>
              <w:pStyle w:val="Tabla"/>
            </w:pPr>
            <w:r>
              <w:rPr>
                <w:rFonts w:ascii="DejaVu Serif" w:cs="DejaVu Serif" w:eastAsia="DejaVu Serif" w:hAnsi="DejaVu Serif"/>
              </w:rPr>
              <w:t xml:space="preserve">▮▮▮▮</w:t>
            </w:r>
          </w:p>
        </w:tc>
      </w:tr>
    </w:tbl>
    <w:p>
      <w:pPr>
        <w:pStyle w:val="Fuente"/>
      </w:pPr>
      <w:r>
        <w:t xml:space="preserve">Profundidad de explicación, no escala de contención: no confundir con los sub y suprasistemas del 2.4.</w:t>
      </w:r>
    </w:p>
    <w:p>
      <w:pPr>
        <w:pStyle w:val="Heading3"/>
      </w:pPr>
      <w:r>
        <w:t xml:space="preserve">Lo que dicen las presentaciones</w:t>
      </w:r>
    </w:p>
    <w:p>
      <w:pPr>
        <w:pStyle w:val="Heading3"/>
      </w:pPr>
      <w:bookmarkStart w:name="b_pagina_1_7_C_5_p2" w:id="1058"/>
      <w:r>
        <w:t xml:space="preserve">C-5 · página 2 · Programa y planificación de la Unidad 1</w:t>
      </w:r>
      <w:bookmarkEnd w:id="1058"/>
    </w:p>
    <w:p>
      <w:pPr>
        <w:pStyle w:val="Normal"/>
      </w:pPr>
      <w:r>
        <w:t xml:space="preserve">Los ocho temas de la unidad y la planificación histórica de julio.</w:t>
      </w:r>
    </w:p>
    <w:p>
      <w:bookmarkStart w:name="b_punto_c5_p002_07" w:id="1059"/>
      <w:r>
        <w:t xml:space="preserve">1.7 Niveles de perspectiva e iceberg.</w:t>
      </w:r>
      <w:bookmarkEnd w:id="1059"/>
    </w:p>
    <w:p>
      <w:pPr>
        <w:pStyle w:val="Fuente"/>
      </w:pPr>
      <w:r>
        <w:t xml:space="preserve">Véase </w:t>
      </w:r>
      <w:hyperlink w:history="1" w:anchor="b_1_1">
        <w:r>
          <w:rPr>
            <w:color w:val="156B70"/>
            <w:u w:val="single"/>
          </w:rPr>
          <w:t xml:space="preserve">capítulo 1.1 · Paradigmas y modelos mentales</w:t>
        </w:r>
      </w:hyperlink>
      <w:r>
        <w:t xml:space="preserve">, pág. </w:t>
      </w:r>
      <w:r>
        <w:fldChar w:fldCharType="begin"/>
        <w:instrText xml:space="preserve">PAGEREF b_1_1 \h</w:instrText>
        <w:fldChar w:fldCharType="separate"/>
        <w:t xml:space="preserve">19</w:t>
        <w:fldChar w:fldCharType="end"/>
      </w:r>
      <w:r>
        <w:t xml:space="preserve">.</w:t>
      </w:r>
    </w:p>
    <w:p>
      <w:pPr>
        <w:pStyle w:val="Fuente"/>
      </w:pPr>
      <w:r>
        <w:t xml:space="preserve">Véase </w:t>
      </w:r>
      <w:hyperlink w:history="1" w:anchor="b_1_2">
        <w:r>
          <w:rPr>
            <w:color w:val="156B70"/>
            <w:u w:val="single"/>
          </w:rPr>
          <w:t xml:space="preserve">capítulo 1.2 · Escalera de inferencias</w:t>
        </w:r>
      </w:hyperlink>
      <w:r>
        <w:t xml:space="preserve">, pág. </w:t>
      </w:r>
      <w:r>
        <w:fldChar w:fldCharType="begin"/>
        <w:instrText xml:space="preserve">PAGEREF b_1_2 \h</w:instrText>
        <w:fldChar w:fldCharType="separate"/>
        <w:t xml:space="preserve">55</w:t>
        <w:fldChar w:fldCharType="end"/>
      </w:r>
      <w:r>
        <w:t xml:space="preserve">.</w:t>
      </w:r>
    </w:p>
    <w:p>
      <w:pPr>
        <w:pStyle w:val="Fuente"/>
      </w:pPr>
      <w:r>
        <w:t xml:space="preserve">Véase </w:t>
      </w:r>
      <w:hyperlink w:history="1" w:anchor="b_1_3">
        <w:r>
          <w:rPr>
            <w:color w:val="156B70"/>
            <w:u w:val="single"/>
          </w:rPr>
          <w:t xml:space="preserve">capítulo 1.3 · El paradigma de sistemas</w:t>
        </w:r>
      </w:hyperlink>
      <w:r>
        <w:t xml:space="preserve">, pág. </w:t>
      </w:r>
      <w:r>
        <w:fldChar w:fldCharType="begin"/>
        <w:instrText xml:space="preserve">PAGEREF b_1_3 \h</w:instrText>
        <w:fldChar w:fldCharType="separate"/>
        <w:t xml:space="preserve">83</w:t>
        <w:fldChar w:fldCharType="end"/>
      </w:r>
      <w:r>
        <w:t xml:space="preserve">.</w:t>
      </w:r>
    </w:p>
    <w:p>
      <w:pPr>
        <w:pStyle w:val="Fuente"/>
      </w:pPr>
      <w:r>
        <w:t xml:space="preserve">Véase </w:t>
      </w:r>
      <w:hyperlink w:history="1" w:anchor="b_1_4">
        <w:r>
          <w:rPr>
            <w:color w:val="156B70"/>
            <w:u w:val="single"/>
          </w:rPr>
          <w:t xml:space="preserve">capítulo 1.4 · Sistémico vs no sistémico</w:t>
        </w:r>
      </w:hyperlink>
      <w:r>
        <w:t xml:space="preserve">, pág. </w:t>
      </w:r>
      <w:r>
        <w:fldChar w:fldCharType="begin"/>
        <w:instrText xml:space="preserve">PAGEREF b_1_4 \h</w:instrText>
        <w:fldChar w:fldCharType="separate"/>
        <w:t xml:space="preserve">104</w:t>
        <w:fldChar w:fldCharType="end"/>
      </w:r>
      <w:r>
        <w:t xml:space="preserve">.</w:t>
      </w:r>
    </w:p>
    <w:p>
      <w:pPr>
        <w:pStyle w:val="Fuente"/>
      </w:pPr>
      <w:r>
        <w:t xml:space="preserve">Véase </w:t>
      </w:r>
      <w:hyperlink w:history="1" w:anchor="b_1_5">
        <w:r>
          <w:rPr>
            <w:color w:val="156B70"/>
            <w:u w:val="single"/>
          </w:rPr>
          <w:t xml:space="preserve">capítulo 1.5 · Perspectivas</w:t>
        </w:r>
      </w:hyperlink>
      <w:r>
        <w:t xml:space="preserve">, pág. </w:t>
      </w:r>
      <w:r>
        <w:fldChar w:fldCharType="begin"/>
        <w:instrText xml:space="preserve">PAGEREF b_1_5 \h</w:instrText>
        <w:fldChar w:fldCharType="separate"/>
        <w:t xml:space="preserve">125</w:t>
        <w:fldChar w:fldCharType="end"/>
      </w:r>
      <w:r>
        <w:t xml:space="preserve">.</w:t>
      </w:r>
    </w:p>
    <w:p>
      <w:pPr>
        <w:pStyle w:val="Fuente"/>
      </w:pPr>
      <w:r>
        <w:t xml:space="preserve">Véase </w:t>
      </w:r>
      <w:hyperlink w:history="1" w:anchor="b_1_6">
        <w:r>
          <w:rPr>
            <w:color w:val="156B70"/>
            <w:u w:val="single"/>
          </w:rPr>
          <w:t xml:space="preserve">capítulo 1.6 · Operaciones DSRP</w:t>
        </w:r>
      </w:hyperlink>
      <w:r>
        <w:t xml:space="preserve">, pág. </w:t>
      </w:r>
      <w:r>
        <w:fldChar w:fldCharType="begin"/>
        <w:instrText xml:space="preserve">PAGEREF b_1_6 \h</w:instrText>
        <w:fldChar w:fldCharType="separate"/>
        <w:t xml:space="preserve">150</w:t>
        <w:fldChar w:fldCharType="end"/>
      </w:r>
      <w:r>
        <w:t xml:space="preserve">.</w:t>
      </w:r>
    </w:p>
    <w:p>
      <w:pPr>
        <w:pStyle w:val="Fuente"/>
      </w:pPr>
      <w:r>
        <w:t xml:space="preserve">Véase </w:t>
      </w:r>
      <w:hyperlink w:history="1" w:anchor="b_1_8">
        <w:r>
          <w:rPr>
            <w:color w:val="156B70"/>
            <w:u w:val="single"/>
          </w:rPr>
          <w:t xml:space="preserve">capítulo 1.8 · Hábitos del pensador</w:t>
        </w:r>
      </w:hyperlink>
      <w:r>
        <w:t xml:space="preserve">, pág. </w:t>
      </w:r>
      <w:r>
        <w:fldChar w:fldCharType="begin"/>
        <w:instrText xml:space="preserve">PAGEREF b_1_8 \h</w:instrText>
        <w:fldChar w:fldCharType="separate"/>
        <w:t xml:space="preserve">194</w:t>
        <w:fldChar w:fldCharType="end"/>
      </w:r>
      <w:r>
        <w:t xml:space="preserve">.</w:t>
      </w:r>
    </w:p>
    <w:p>
      <w:pPr>
        <w:pStyle w:val="Heading3"/>
      </w:pPr>
      <w:bookmarkStart w:name="b_pagina_1_7_C_5_p34" w:id="1060"/>
      <w:r>
        <w:t xml:space="preserve">C-5 · página 34 · Considera cómo los modelos mentales afectan la realidad actual y el futuro</w:t>
      </w:r>
      <w:bookmarkEnd w:id="1060"/>
    </w:p>
    <w:p>
      <w:pPr>
        <w:pStyle w:val="Normal"/>
      </w:pPr>
      <w:r>
        <w:t xml:space="preserve">Las creencias influyen en lo que percibimos y hacemos; el iceberg permite revisar esa influencia.</w:t>
      </w:r>
    </w:p>
    <w:p>
      <w:pPr>
        <w:pStyle w:val="Fuente"/>
      </w:pPr>
      <w:r>
        <w:t xml:space="preserve">Proyección o explicación: Clase 4 · 00:06:41 · captura c4-03.</w:t>
      </w:r>
    </w:p>
    <w:p>
      <w:pPr>
        <w:pStyle w:val="Fuente"/>
      </w:pPr>
      <w:r>
        <w:t xml:space="preserve">Véase </w:t>
      </w:r>
      <w:hyperlink w:history="1" w:anchor="b_figura_original_pagina_C_5_34">
        <w:r>
          <w:rPr>
            <w:color w:val="156B70"/>
            <w:u w:val="single"/>
          </w:rPr>
          <w:t xml:space="preserve">imagen de C-5, página 34</w:t>
        </w:r>
      </w:hyperlink>
      <w:r>
        <w:t xml:space="preserve">, pág. </w:t>
      </w:r>
      <w:r>
        <w:fldChar w:fldCharType="begin"/>
        <w:instrText xml:space="preserve">PAGEREF b_figura_original_pagina_C_5_34 \h</w:instrText>
        <w:fldChar w:fldCharType="separate"/>
        <w:t xml:space="preserve">203</w:t>
        <w:fldChar w:fldCharType="end"/>
      </w:r>
      <w:r>
        <w:t xml:space="preserve">.</w:t>
      </w:r>
    </w:p>
    <w:p>
      <w:bookmarkStart w:name="b_punto_c5_p034_02" w:id="1061"/>
      <w:r>
        <w:t xml:space="preserve">El iceberg conecta eventos, tendencias, estructuras y modelos mentales.</w:t>
      </w:r>
      <w:bookmarkEnd w:id="1061"/>
    </w:p>
    <w:p>
      <w:pPr>
        <w:pStyle w:val="Fuente"/>
      </w:pPr>
      <w:r>
        <w:t xml:space="preserve">Véase </w:t>
      </w:r>
      <w:hyperlink w:history="1" w:anchor="b_1_8">
        <w:r>
          <w:rPr>
            <w:color w:val="156B70"/>
            <w:u w:val="single"/>
          </w:rPr>
          <w:t xml:space="preserve">capítulo 1.8 · Hábitos del pensador</w:t>
        </w:r>
      </w:hyperlink>
      <w:r>
        <w:t xml:space="preserve">, pág. </w:t>
      </w:r>
      <w:r>
        <w:fldChar w:fldCharType="begin"/>
        <w:instrText xml:space="preserve">PAGEREF b_1_8 \h</w:instrText>
        <w:fldChar w:fldCharType="separate"/>
        <w:t xml:space="preserve">194</w:t>
        <w:fldChar w:fldCharType="end"/>
      </w:r>
      <w:r>
        <w:t xml:space="preserve">.</w:t>
      </w:r>
    </w:p>
    <w:p>
      <w:pPr>
        <w:pStyle w:val="Fuente"/>
      </w:pPr>
      <w:r>
        <w:t xml:space="preserve">Véase </w:t>
      </w:r>
      <w:hyperlink w:history="1" w:anchor="b_1_1">
        <w:r>
          <w:rPr>
            <w:color w:val="156B70"/>
            <w:u w:val="single"/>
          </w:rPr>
          <w:t xml:space="preserve">capítulo 1.1 · Paradigmas y modelos mentales</w:t>
        </w:r>
      </w:hyperlink>
      <w:r>
        <w:t xml:space="preserve">, pág. </w:t>
      </w:r>
      <w:r>
        <w:fldChar w:fldCharType="begin"/>
        <w:instrText xml:space="preserve">PAGEREF b_1_1 \h</w:instrText>
        <w:fldChar w:fldCharType="separate"/>
        <w:t xml:space="preserve">19</w:t>
        <w:fldChar w:fldCharType="end"/>
      </w:r>
      <w:r>
        <w:t xml:space="preserve">.</w:t>
      </w:r>
    </w:p>
    <w:p>
      <w:pPr>
        <w:pStyle w:val="Heading3"/>
      </w:pPr>
      <w:bookmarkStart w:name="b_pagina_1_7_C_5_p35" w:id="1062"/>
      <w:r>
        <w:t xml:space="preserve">C-5 · página 35 · Los cuatro niveles de la visión sistémica</w:t>
      </w:r>
      <w:bookmarkEnd w:id="1062"/>
    </w:p>
    <w:p>
      <w:pPr>
        <w:pStyle w:val="Normal"/>
      </w:pPr>
      <w:r>
        <w:t xml:space="preserve">Referencia audiovisual al iceberg y a la búsqueda de antecedentes de un evento.</w:t>
      </w:r>
    </w:p>
    <w:p>
      <w:pPr>
        <w:keepNext/>
        <w:spacing w:after="40" w:before="150"/>
        <w:jc w:val="center"/>
      </w:pPr>
      <w:bookmarkStart w:name="b_figura_original_pagina_C_5_35" w:id="1063"/>
      <w:bookmarkEnd w:id="1063"/>
      <w:r>
        <w:drawing>
          <wp:inline distT="0" distB="0" distL="0" distR="0">
            <wp:extent cx="5381625" cy="4162425"/>
            <wp:effectExtent t="0" r="0" b="0" l="0"/>
            <wp:docPr id="21" name="pagina-C-5-35" descr="Presentación C-5, pág. 35" title="Los cuatro niveles de la visión sistém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10" cstate="none"/>
                    <a:srcRect/>
                    <a:stretch>
                      <a:fillRect/>
                    </a:stretch>
                  </pic:blipFill>
                  <pic:spPr bwMode="auto">
                    <a:xfrm>
                      <a:off x="0" y="0"/>
                      <a:ext cx="5381625" cy="4162425"/>
                    </a:xfrm>
                    <a:prstGeom prst="rect">
                      <a:avLst/>
                    </a:prstGeom>
                  </pic:spPr>
                </pic:pic>
              </a:graphicData>
            </a:graphic>
          </wp:inline>
        </w:drawing>
      </w:r>
    </w:p>
    <w:p>
      <w:pPr>
        <w:pStyle w:val="PieFigura"/>
        <w:keepNext/>
      </w:pPr>
      <w:bookmarkStart w:name="b_fig_1_7_1" w:id="1064"/>
      <w:r>
        <w:t xml:space="preserve">Figura 1.7.</w:t>
      </w:r>
      <w:fldSimple w:instr="SEQ Figura \r 1 \* ARABIC">
        <w:r>
          <w:t xml:space="preserve">1</w:t>
        </w:r>
      </w:fldSimple>
      <w:r>
        <w:t xml:space="preserve"> · Los cuatro niveles de la visión sistémica</w:t>
      </w:r>
      <w:bookmarkEnd w:id="1064"/>
    </w:p>
    <w:p>
      <w:pPr>
        <w:pStyle w:val="Fuente"/>
      </w:pPr>
      <w:r>
        <w:t xml:space="preserve">Presentación C-5, pág. 35</w:t>
      </w:r>
    </w:p>
    <w:p>
      <w:bookmarkStart w:name="b_punto_c5_p035_01" w:id="1065"/>
      <w:r>
        <w:t xml:space="preserve">El video presentado como apoyo trata los cuatro niveles del iceberg.</w:t>
      </w:r>
      <w:bookmarkEnd w:id="1065"/>
    </w:p>
    <w:p>
      <w:bookmarkStart w:name="b_punto_c5_p035_02" w:id="1066"/>
      <w:r>
        <w:t xml:space="preserve">Para pasar del evento al patrón hay que preguntar si algo semejante ocurrió antes.</w:t>
      </w:r>
      <w:bookmarkEnd w:id="1066"/>
    </w:p>
    <w:p>
      <w:pPr>
        <w:pStyle w:val="Heading3"/>
      </w:pPr>
      <w:bookmarkStart w:name="b_pagina_1_7_C_5_p37" w:id="1067"/>
      <w:r>
        <w:t xml:space="preserve">C-5 · página 37 · El iceberg de las perspectivas sistémicas</w:t>
      </w:r>
      <w:bookmarkEnd w:id="1067"/>
    </w:p>
    <w:p>
      <w:pPr>
        <w:pStyle w:val="Normal"/>
      </w:pPr>
      <w:r>
        <w:t xml:space="preserve">El iceberg representa cuatro profundidades de explicación del mismo evento.</w:t>
      </w:r>
    </w:p>
    <w:p>
      <w:pPr>
        <w:pStyle w:val="Fuente"/>
      </w:pPr>
      <w:r>
        <w:t xml:space="preserve">Proyección o explicación: Clase 4 · 00:20:06 · captura c4-05.</w:t>
      </w:r>
    </w:p>
    <w:p>
      <w:bookmarkStart w:name="b_punto_c5_p037_01" w:id="1068"/>
      <w:r>
        <w:t xml:space="preserve">Distinguir eventos, tendencias, estructuras y modelos mentales, con los eventos sobre el agua.</w:t>
      </w:r>
      <w:bookmarkEnd w:id="1068"/>
    </w:p>
    <w:p>
      <w:pPr>
        <w:pStyle w:val="Fuente"/>
      </w:pPr>
      <w:r>
        <w:t xml:space="preserve">Véase </w:t>
      </w:r>
      <w:hyperlink w:history="1" w:anchor="b_1_8">
        <w:r>
          <w:rPr>
            <w:color w:val="156B70"/>
            <w:u w:val="single"/>
          </w:rPr>
          <w:t xml:space="preserve">capítulo 1.8 · Hábitos del pensador</w:t>
        </w:r>
      </w:hyperlink>
      <w:r>
        <w:t xml:space="preserve">, pág. </w:t>
      </w:r>
      <w:r>
        <w:fldChar w:fldCharType="begin"/>
        <w:instrText xml:space="preserve">PAGEREF b_1_8 \h</w:instrText>
        <w:fldChar w:fldCharType="separate"/>
        <w:t xml:space="preserve">194</w:t>
        <w:fldChar w:fldCharType="end"/>
      </w:r>
      <w:r>
        <w:t xml:space="preserve">.</w:t>
      </w:r>
    </w:p>
    <w:p>
      <w:pPr>
        <w:pStyle w:val="Heading3"/>
      </w:pPr>
      <w:bookmarkStart w:name="b_pagina_1_7_C_5_p39" w:id="1069"/>
      <w:r>
        <w:t xml:space="preserve">C-5 · página 39 · Investigaciones cuantitativas o cualitativas</w:t>
      </w:r>
      <w:bookmarkEnd w:id="1069"/>
    </w:p>
    <w:p>
      <w:pPr>
        <w:pStyle w:val="Normal"/>
      </w:pPr>
      <w:r>
        <w:t xml:space="preserve">Tabla de instrumentos y preguntas para eventos, patrones y estructura; requiere leer la imagen.</w:t>
      </w:r>
    </w:p>
    <w:p>
      <w:pPr>
        <w:pStyle w:val="Fuente"/>
      </w:pPr>
      <w:r>
        <w:t xml:space="preserve">Proyección o explicación: Clase 4 · 00:50:24 · captura c4-07.</w:t>
      </w:r>
    </w:p>
    <w:p>
      <w:pPr>
        <w:keepNext/>
        <w:spacing w:after="40" w:before="150"/>
        <w:jc w:val="center"/>
      </w:pPr>
      <w:bookmarkStart w:name="b_figura_original_pagina_C_5_39" w:id="1070"/>
      <w:bookmarkEnd w:id="1070"/>
      <w:r>
        <w:drawing>
          <wp:inline distT="0" distB="0" distL="0" distR="0">
            <wp:extent cx="5381625" cy="4162425"/>
            <wp:effectExtent t="0" r="0" b="0" l="0"/>
            <wp:docPr id="22" name="pagina-C-5-39" descr="Presentación C-5, pág. 39" title="Investigaciones cuantitativas o cualitativ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11" cstate="none"/>
                    <a:srcRect/>
                    <a:stretch>
                      <a:fillRect/>
                    </a:stretch>
                  </pic:blipFill>
                  <pic:spPr bwMode="auto">
                    <a:xfrm>
                      <a:off x="0" y="0"/>
                      <a:ext cx="5381625" cy="4162425"/>
                    </a:xfrm>
                    <a:prstGeom prst="rect">
                      <a:avLst/>
                    </a:prstGeom>
                  </pic:spPr>
                </pic:pic>
              </a:graphicData>
            </a:graphic>
          </wp:inline>
        </w:drawing>
      </w:r>
    </w:p>
    <w:p>
      <w:pPr>
        <w:pStyle w:val="PieFigura"/>
        <w:keepNext/>
      </w:pPr>
      <w:bookmarkStart w:name="b_fig_1_7_2" w:id="1071"/>
      <w:r>
        <w:t xml:space="preserve">Figura 1.7.</w:t>
      </w:r>
      <w:fldSimple w:instr="SEQ Figura \n \* ARABIC">
        <w:r>
          <w:t xml:space="preserve">2</w:t>
        </w:r>
      </w:fldSimple>
      <w:r>
        <w:t xml:space="preserve"> · Investigaciones cuantitativas o cualitativas</w:t>
      </w:r>
      <w:bookmarkEnd w:id="1071"/>
    </w:p>
    <w:p>
      <w:pPr>
        <w:pStyle w:val="Fuente"/>
      </w:pPr>
      <w:r>
        <w:t xml:space="preserve">Presentación C-5, pág. 39</w:t>
      </w:r>
    </w:p>
    <w:p>
      <w:bookmarkStart w:name="b_punto_c5_p039_01" w:id="1072"/>
      <w:r>
        <w:t xml:space="preserve">Los eventos son lo que pasó o pasa; se investigan con instrumentos cuantitativos.</w:t>
      </w:r>
      <w:bookmarkEnd w:id="1072"/>
    </w:p>
    <w:p>
      <w:bookmarkStart w:name="b_punto_c5_p039_02" w:id="1073"/>
      <w:r>
        <w:t xml:space="preserve">En eventos se pregunta qué, cuántos, cuáles, quiénes y dónde.</w:t>
      </w:r>
      <w:bookmarkEnd w:id="1073"/>
    </w:p>
    <w:p>
      <w:bookmarkStart w:name="b_punto_c5_p039_03" w:id="1074"/>
      <w:r>
        <w:t xml:space="preserve">Los patrones describen lo ocurrido a lo largo del tiempo; combinan instrumentos cuantitativos y cualitativos.</w:t>
      </w:r>
      <w:bookmarkEnd w:id="1074"/>
    </w:p>
    <w:p>
      <w:bookmarkStart w:name="b_punto_c5_p039_04" w:id="1075"/>
      <w:r>
        <w:t xml:space="preserve">En patrones se pregunta qué ha pasado, cuándo, qué cambió, si mejoró o empeoró y qué tendencias aparecen.</w:t>
      </w:r>
      <w:bookmarkEnd w:id="1075"/>
    </w:p>
    <w:p>
      <w:bookmarkStart w:name="b_punto_c5_p039_05" w:id="1076"/>
      <w:r>
        <w:t xml:space="preserve">La estructura consiste en interrelaciones que generan patrones; se proponen instrumentos cualitativos.</w:t>
      </w:r>
      <w:bookmarkEnd w:id="1076"/>
    </w:p>
    <w:p>
      <w:bookmarkStart w:name="b_punto_c5_p039_06" w:id="1077"/>
      <w:r>
        <w:t xml:space="preserve">En estructura se pregunta cómo, por qué, razones o causas, relaciones e influencias.</w:t>
      </w:r>
      <w:bookmarkEnd w:id="1077"/>
    </w:p>
    <w:p>
      <w:bookmarkStart w:name="b_punto_c5_p039_07" w:id="1078"/>
      <w:r>
        <w:t xml:space="preserve">La tabla impresa tiene tres filas; la fila adicional de modelos mentales del portal es una extensión editorial declarada.</w:t>
      </w:r>
      <w:bookmarkEnd w:id="1078"/>
    </w:p>
    <w:p>
      <w:pPr>
        <w:pStyle w:val="Heading3"/>
      </w:pPr>
      <w:bookmarkStart w:name="b_pagina_1_7_C_5_p58" w:id="1079"/>
      <w:r>
        <w:t xml:space="preserve">C-5 · página 58 · Michael y la crítica del restaurante</w:t>
      </w:r>
      <w:bookmarkEnd w:id="1079"/>
    </w:p>
    <w:p>
      <w:pPr>
        <w:pStyle w:val="Normal"/>
      </w:pPr>
      <w:r>
        <w:t xml:space="preserve">Antes de sancionar a un mesero por una crítica aislada, buscar información y distinguir evento de patrón.</w:t>
      </w:r>
    </w:p>
    <w:p>
      <w:pPr>
        <w:pStyle w:val="Fuente"/>
      </w:pPr>
      <w:r>
        <w:t xml:space="preserve">Proyección o explicación: Clase 5 · 01:23:40 · captura c5-15.</w:t>
      </w:r>
    </w:p>
    <w:p>
      <w:pPr>
        <w:keepNext/>
        <w:spacing w:after="40" w:before="150"/>
        <w:jc w:val="center"/>
      </w:pPr>
      <w:bookmarkStart w:name="b_figura_original_pagina_C_5_58" w:id="1080"/>
      <w:bookmarkEnd w:id="1080"/>
      <w:r>
        <w:drawing>
          <wp:inline distT="0" distB="0" distL="0" distR="0">
            <wp:extent cx="5381625" cy="4162425"/>
            <wp:effectExtent t="0" r="0" b="0" l="0"/>
            <wp:docPr id="23" name="pagina-C-5-58" descr="Presentación C-5, pág. 58" title="Michael y la crítica del restaura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12" cstate="none"/>
                    <a:srcRect/>
                    <a:stretch>
                      <a:fillRect/>
                    </a:stretch>
                  </pic:blipFill>
                  <pic:spPr bwMode="auto">
                    <a:xfrm>
                      <a:off x="0" y="0"/>
                      <a:ext cx="5381625" cy="4162425"/>
                    </a:xfrm>
                    <a:prstGeom prst="rect">
                      <a:avLst/>
                    </a:prstGeom>
                  </pic:spPr>
                </pic:pic>
              </a:graphicData>
            </a:graphic>
          </wp:inline>
        </w:drawing>
      </w:r>
    </w:p>
    <w:p>
      <w:pPr>
        <w:pStyle w:val="PieFigura"/>
        <w:keepNext/>
      </w:pPr>
      <w:bookmarkStart w:name="b_fig_1_7_3" w:id="1081"/>
      <w:r>
        <w:t xml:space="preserve">Figura 1.7.</w:t>
      </w:r>
      <w:fldSimple w:instr="SEQ Figura \n \* ARABIC">
        <w:r>
          <w:t xml:space="preserve">3</w:t>
        </w:r>
      </w:fldSimple>
      <w:r>
        <w:t xml:space="preserve"> · Michael y la crítica del restaurante</w:t>
      </w:r>
      <w:bookmarkEnd w:id="1081"/>
    </w:p>
    <w:p>
      <w:pPr>
        <w:pStyle w:val="Fuente"/>
      </w:pPr>
      <w:r>
        <w:t xml:space="preserve">Presentación C-5, pág. 58</w:t>
      </w:r>
    </w:p>
    <w:p>
      <w:bookmarkStart w:name="b_punto_c5_p058_01" w:id="1082"/>
      <w:r>
        <w:t xml:space="preserve">Michael recibe una crítica negativa en línea sobre uno de sus meseros.</w:t>
      </w:r>
      <w:bookmarkEnd w:id="1082"/>
    </w:p>
    <w:p>
      <w:bookmarkStart w:name="b_punto_c5_p058_02" w:id="1083"/>
      <w:r>
        <w:t xml:space="preserve">Comparte la queja y averigua si se trata de un hecho aislado o recurrente.</w:t>
      </w:r>
      <w:bookmarkEnd w:id="1083"/>
    </w:p>
    <w:p>
      <w:bookmarkStart w:name="b_punto_c5_p058_03" w:id="1084"/>
      <w:r>
        <w:t xml:space="preserve">El empleado lleva más de tres meses, lo que ofrece un horizonte mayor para evaluar que el comentario único.</w:t>
      </w:r>
      <w:bookmarkEnd w:id="1084"/>
    </w:p>
    <w:p>
      <w:bookmarkStart w:name="b_punto_c5_p058_04" w:id="1085"/>
      <w:r>
        <w:t xml:space="preserve">Resistir una conclusión apresurada y buscar patrones son prácticas complementarias del panorama general.</w:t>
      </w:r>
      <w:bookmarkEnd w:id="1085"/>
    </w:p>
    <w:p>
      <w:bookmarkStart w:name="b_punto_c5_p058_05" w:id="1086"/>
      <w:r>
        <w:t xml:space="preserve">Una colección de detalles relevantes puede ser necesaria para entender el conjunto; centrarse sólo en el detalle menor lo impide.</w:t>
      </w:r>
      <w:bookmarkEnd w:id="1086"/>
    </w:p>
    <w:p>
      <w:pPr>
        <w:pStyle w:val="Heading3"/>
      </w:pPr>
      <w:bookmarkStart w:name="b_pagina_1_7_C_6_p16" w:id="1087"/>
      <w:r>
        <w:t xml:space="preserve">C-6 · página 16 · Pensamiento sistémico</w:t>
      </w:r>
      <w:bookmarkEnd w:id="1087"/>
    </w:p>
    <w:p>
      <w:pPr>
        <w:pStyle w:val="Normal"/>
      </w:pPr>
      <w:r>
        <w:t xml:space="preserve">Todo, partes, conexiones y comprensión más allá del incidente aislado.</w:t>
      </w:r>
    </w:p>
    <w:p>
      <w:pPr>
        <w:pStyle w:val="Fuente"/>
      </w:pPr>
      <w:r>
        <w:t xml:space="preserve">Proyección o explicación: Clase 7 · 00:05:16 · captura c7-01.</w:t>
      </w:r>
    </w:p>
    <w:p>
      <w:pPr>
        <w:pStyle w:val="Fuente"/>
      </w:pPr>
      <w:r>
        <w:t xml:space="preserve">Véase </w:t>
      </w:r>
      <w:hyperlink w:history="1" w:anchor="b_figura_original_pagina_C_6_16">
        <w:r>
          <w:rPr>
            <w:color w:val="156B70"/>
            <w:u w:val="single"/>
          </w:rPr>
          <w:t xml:space="preserve">imagen de C-6, página 16</w:t>
        </w:r>
      </w:hyperlink>
      <w:r>
        <w:t xml:space="preserve">, pág. </w:t>
      </w:r>
      <w:r>
        <w:fldChar w:fldCharType="begin"/>
        <w:instrText xml:space="preserve">PAGEREF b_figura_original_pagina_C_6_16 \h</w:instrText>
        <w:fldChar w:fldCharType="separate"/>
        <w:t xml:space="preserve">228</w:t>
        <w:fldChar w:fldCharType="end"/>
      </w:r>
      <w:r>
        <w:t xml:space="preserve">.</w:t>
      </w:r>
    </w:p>
    <w:p>
      <w:bookmarkStart w:name="b_punto_c6_p016_02" w:id="1088"/>
      <w:r>
        <w:t xml:space="preserve">Trasciende el incidente aislado para reconocer relaciones y comprender sucesos con mayor profundidad.</w:t>
      </w:r>
      <w:bookmarkEnd w:id="1088"/>
    </w:p>
    <w:p>
      <w:pPr>
        <w:pStyle w:val="Fuente"/>
      </w:pPr>
      <w:r>
        <w:t xml:space="preserve">Véase </w:t>
      </w:r>
      <w:hyperlink w:history="1" w:anchor="b_2_1">
        <w:r>
          <w:rPr>
            <w:color w:val="156B70"/>
            <w:u w:val="single"/>
          </w:rPr>
          <w:t xml:space="preserve">capítulo 2.1 · Visión general</w:t>
        </w:r>
      </w:hyperlink>
      <w:r>
        <w:t xml:space="preserve">, pág. </w:t>
      </w:r>
      <w:r>
        <w:fldChar w:fldCharType="begin"/>
        <w:instrText xml:space="preserve">PAGEREF b_2_1 \h</w:instrText>
        <w:fldChar w:fldCharType="separate"/>
        <w:t xml:space="preserve">222</w:t>
        <w:fldChar w:fldCharType="end"/>
      </w:r>
      <w:r>
        <w:t xml:space="preserve">.</w:t>
      </w:r>
    </w:p>
    <w:p>
      <w:pPr>
        <w:pStyle w:val="Heading3"/>
      </w:pPr>
      <w:bookmarkStart w:name="b_pagina_1_7_C_6_p51" w:id="1089"/>
      <w:r>
        <w:t xml:space="preserve">C-6 · página 51 · Los sistemas como telarañas</w:t>
      </w:r>
      <w:bookmarkEnd w:id="1089"/>
    </w:p>
    <w:p>
      <w:pPr>
        <w:pStyle w:val="Normal"/>
      </w:pPr>
      <w:r>
        <w:t xml:space="preserve">La interconexión propaga cambios y permite palancas, a menudo en convicciones que sostienen la estructura.</w:t>
      </w:r>
    </w:p>
    <w:p>
      <w:pPr>
        <w:pStyle w:val="Fuente"/>
      </w:pPr>
      <w:r>
        <w:t xml:space="preserve">Proyección o explicación: Clase 8 · 00:57:26 · captura c8-17.</w:t>
      </w:r>
    </w:p>
    <w:p>
      <w:pPr>
        <w:pStyle w:val="Fuente"/>
      </w:pPr>
      <w:r>
        <w:t xml:space="preserve">Véase </w:t>
      </w:r>
      <w:hyperlink w:history="1" w:anchor="b_figura_original_pagina_C_6_51">
        <w:r>
          <w:rPr>
            <w:color w:val="156B70"/>
            <w:u w:val="single"/>
          </w:rPr>
          <w:t xml:space="preserve">imagen de C-6, página 51</w:t>
        </w:r>
      </w:hyperlink>
      <w:r>
        <w:t xml:space="preserve">, pág. </w:t>
      </w:r>
      <w:r>
        <w:fldChar w:fldCharType="begin"/>
        <w:instrText xml:space="preserve">PAGEREF b_figura_original_pagina_C_6_51 \h</w:instrText>
        <w:fldChar w:fldCharType="separate"/>
        <w:t xml:space="preserve">315</w:t>
        <w:fldChar w:fldCharType="end"/>
      </w:r>
      <w:r>
        <w:t xml:space="preserve">.</w:t>
      </w:r>
    </w:p>
    <w:p>
      <w:bookmarkStart w:name="b_punto_c6_p051_04" w:id="1090"/>
      <w:r>
        <w:t xml:space="preserve">Las convicciones pueden ser punto crucial de palanca porque sostienen el sistema.</w:t>
      </w:r>
      <w:bookmarkEnd w:id="1090"/>
    </w:p>
    <w:p>
      <w:pPr>
        <w:pStyle w:val="Fuente"/>
      </w:pPr>
      <w:r>
        <w:t xml:space="preserve">Véase </w:t>
      </w:r>
      <w:hyperlink w:history="1" w:anchor="b_2_6">
        <w:r>
          <w:rPr>
            <w:color w:val="156B70"/>
            <w:u w:val="single"/>
          </w:rPr>
          <w:t xml:space="preserve">capítulo 2.6 · Complejidad sistémica</w:t>
        </w:r>
      </w:hyperlink>
      <w:r>
        <w:t xml:space="preserve">, pág. </w:t>
      </w:r>
      <w:r>
        <w:fldChar w:fldCharType="begin"/>
        <w:instrText xml:space="preserve">PAGEREF b_2_6 \h</w:instrText>
        <w:fldChar w:fldCharType="separate"/>
        <w:t xml:space="preserve">308</w:t>
        <w:fldChar w:fldCharType="end"/>
      </w:r>
      <w:r>
        <w:t xml:space="preserve">.</w:t>
      </w:r>
    </w:p>
    <w:p>
      <w:pPr>
        <w:pStyle w:val="Heading3"/>
      </w:pPr>
      <w:bookmarkStart w:name="b_pagina_1_7_C_2_p98" w:id="1091"/>
      <w:r>
        <w:t xml:space="preserve">C-2 · página 98 · Iceberg de cuatro niveles</w:t>
      </w:r>
      <w:bookmarkEnd w:id="1091"/>
    </w:p>
    <w:p>
      <w:pPr>
        <w:pStyle w:val="Normal"/>
      </w:pPr>
      <w:r>
        <w:t xml:space="preserve">Eventos, patrones, estructuras y modelos mentales; aprendizaje y apalancamiento aumentan al profundizar.</w:t>
      </w:r>
    </w:p>
    <w:p>
      <w:pPr>
        <w:pStyle w:val="Fuente"/>
      </w:pPr>
      <w:r>
        <w:t xml:space="preserve">Proyección o explicación: Clase 16 · 00:17:44 · captura c16-02.</w:t>
      </w:r>
    </w:p>
    <w:p>
      <w:bookmarkStart w:name="b_punto_c2_p098_01" w:id="1092"/>
      <w:r>
        <w:t xml:space="preserve">Eventos son la parte visible; patrones de comportamiento, estructuras subyacentes y modelos mentales quedan debajo.</w:t>
      </w:r>
      <w:bookmarkEnd w:id="1092"/>
    </w:p>
    <w:p>
      <w:bookmarkStart w:name="b_punto_c2_p098_03" w:id="1093"/>
      <w:r>
        <w:t xml:space="preserve">Profundizar permite mayor aprendizaje y posibilidad de apalancamiento que reaccionar sólo ante eventos.</w:t>
      </w:r>
      <w:bookmarkEnd w:id="1093"/>
    </w:p>
    <w:p>
      <w:pPr>
        <w:pStyle w:val="Fuente"/>
      </w:pPr>
      <w:r>
        <w:t xml:space="preserve">Véase </w:t>
      </w:r>
      <w:hyperlink w:history="1" w:anchor="b_3_8">
        <w:r>
          <w:rPr>
            <w:color w:val="156B70"/>
            <w:u w:val="single"/>
          </w:rPr>
          <w:t xml:space="preserve">capítulo 3.8 · Patrones y tendencias</w:t>
        </w:r>
      </w:hyperlink>
      <w:r>
        <w:t xml:space="preserve">, pág. </w:t>
      </w:r>
      <w:r>
        <w:fldChar w:fldCharType="begin"/>
        <w:instrText xml:space="preserve">PAGEREF b_3_8 \h</w:instrText>
        <w:fldChar w:fldCharType="separate"/>
        <w:t xml:space="preserve">597</w:t>
        <w:fldChar w:fldCharType="end"/>
      </w:r>
      <w:r>
        <w:t xml:space="preserve">.</w:t>
      </w:r>
    </w:p>
    <w:p>
      <w:pPr>
        <w:pStyle w:val="Heading3"/>
      </w:pPr>
      <w:bookmarkStart w:name="b_pagina_1_7_C_2_p108" w:id="1094"/>
      <w:r>
        <w:t xml:space="preserve">C-2 · página 108 · Iceberg de cuatro niveles</w:t>
      </w:r>
      <w:bookmarkEnd w:id="1094"/>
    </w:p>
    <w:p>
      <w:pPr>
        <w:pStyle w:val="Normal"/>
      </w:pPr>
      <w:r>
        <w:t xml:space="preserve">Repetición del marco que relaciona la estructura profunda con los patrones y eventos observables.</w:t>
      </w:r>
    </w:p>
    <w:p>
      <w:pPr>
        <w:pStyle w:val="Fuente"/>
      </w:pPr>
      <w:r>
        <w:t xml:space="preserve">Proyección o explicación: Clase 16 · 01:31:05 · captura c16-14.</w:t>
      </w:r>
    </w:p>
    <w:p>
      <w:bookmarkStart w:name="b_punto_c2_p108_01" w:id="1095"/>
      <w:r>
        <w:t xml:space="preserve">Eventos son la parte visible; patrones de comportamiento, estructuras subyacentes y modelos mentales quedan debajo.</w:t>
      </w:r>
      <w:bookmarkEnd w:id="1095"/>
    </w:p>
    <w:p>
      <w:bookmarkStart w:name="b_punto_c2_p108_03" w:id="1096"/>
      <w:r>
        <w:t xml:space="preserve">Profundizar permite mayor aprendizaje y posibilidad de apalancamiento que reaccionar sólo ante eventos.</w:t>
      </w:r>
      <w:bookmarkEnd w:id="1096"/>
    </w:p>
    <w:p>
      <w:pPr>
        <w:pStyle w:val="Fuente"/>
      </w:pPr>
      <w:r>
        <w:t xml:space="preserve">Véase </w:t>
      </w:r>
      <w:hyperlink w:history="1" w:anchor="b_3_8">
        <w:r>
          <w:rPr>
            <w:color w:val="156B70"/>
            <w:u w:val="single"/>
          </w:rPr>
          <w:t xml:space="preserve">capítulo 3.8 · Patrones y tendencias</w:t>
        </w:r>
      </w:hyperlink>
      <w:r>
        <w:t xml:space="preserve">, pág. </w:t>
      </w:r>
      <w:r>
        <w:fldChar w:fldCharType="begin"/>
        <w:instrText xml:space="preserve">PAGEREF b_3_8 \h</w:instrText>
        <w:fldChar w:fldCharType="separate"/>
        <w:t xml:space="preserve">597</w:t>
        <w:fldChar w:fldCharType="end"/>
      </w:r>
      <w:r>
        <w:t xml:space="preserve">.</w:t>
      </w:r>
    </w:p>
    <w:p>
      <w:pPr>
        <w:pStyle w:val="Heading3"/>
      </w:pPr>
      <w:bookmarkStart w:name="b_pagina_1_7_C_2_p122" w:id="1097"/>
      <w:r>
        <w:t xml:space="preserve">C-2 · página 122 · Historia de la empresa Acme</w:t>
      </w:r>
      <w:bookmarkEnd w:id="1097"/>
    </w:p>
    <w:p>
      <w:pPr>
        <w:pStyle w:val="Normal"/>
      </w:pPr>
      <w:r>
        <w:t xml:space="preserve">Ventas, esfuerzo por cuentas nuevas y problemas de servicio se encadenan con una demora.</w:t>
      </w:r>
    </w:p>
    <w:p>
      <w:bookmarkStart w:name="b_punto_c2_p122_01" w:id="1098"/>
      <w:r>
        <w:t xml:space="preserve">Las ventas se estancan y caen; la presión por objetivos aumenta el esfuerzo sobre nuevas cuentas.</w:t>
      </w:r>
      <w:bookmarkEnd w:id="1098"/>
    </w:p>
    <w:p>
      <w:bookmarkStart w:name="b_punto_c2_p122_02" w:id="1099"/>
      <w:r>
        <w:t xml:space="preserve">Más promesas y esfuerzo en cuentas nuevas elevan problemas de servicio, que erosionan las ventas con demora.</w:t>
      </w:r>
      <w:bookmarkEnd w:id="1099"/>
    </w:p>
    <w:p>
      <w:bookmarkStart w:name="b_punto_c2_p122_03" w:id="1100"/>
      <w:r>
        <w:t xml:space="preserve">La caída de ventas vuelve a intensificar el esfuerzo y cierra un círculo vicioso; las gráficas son trayectorias ligadas a la estructura.</w:t>
      </w:r>
      <w:bookmarkEnd w:id="1100"/>
    </w:p>
    <w:p>
      <w:pPr>
        <w:pStyle w:val="Heading3"/>
      </w:pPr>
      <w:r>
        <w:t xml:space="preserve">Lo que explicó el profesor en clase</w:t>
      </w:r>
    </w:p>
    <w:p>
      <w:pPr>
        <w:pStyle w:val="Heading3"/>
      </w:pPr>
      <w:bookmarkStart w:name="b_clase_1_7_c4_cap_02" w:id="1101"/>
      <w:r>
        <w:t xml:space="preserve">Clase 4 · 00:06:41–00:20:06 · El segundo hábito y el iceberg: el agua y el nivel de los eventos</w:t>
      </w:r>
      <w:bookmarkEnd w:id="1101"/>
    </w:p>
    <w:p>
      <w:bookmarkStart w:name="b_punto_c4_cap_02_p02" w:id="1102"/>
      <w:r>
        <w:t xml:space="preserve">El iceberg representa perspectivas de distinta profundidad; el análisis sistémico busca estructuras que originan comportamiento y exige más esfuerzo que percibir hechos.</w:t>
      </w:r>
      <w:bookmarkEnd w:id="1102"/>
    </w:p>
    <w:p>
      <w:bookmarkStart w:name="b_punto_c4_cap_02_p03" w:id="1103"/>
      <w:r>
        <w:t xml:space="preserve">Cuatro niveles: eventos sobre el agua; tendencias o patrones, estructuras subyacentes y modelos mentales cada vez más profundos.</w:t>
      </w:r>
      <w:bookmarkEnd w:id="1103"/>
    </w:p>
    <w:p>
      <w:bookmarkStart w:name="b_punto_c4_cap_02_p05" w:id="1104"/>
      <w:r>
        <w:t xml:space="preserve">Los eventos son hechos percibidos directamente por cualquier sentido y corresponden al nivel de datos disponibles o escalón cero de la escalera.</w:t>
      </w:r>
      <w:bookmarkEnd w:id="1104"/>
    </w:p>
    <w:p>
      <w:bookmarkStart w:name="b_punto_c4_cap_02_p06" w:id="1105"/>
      <w:r>
        <w:t xml:space="preserve">El agua es lo que no se ve a simple vista; profundizar revela historia y factores del acontecimiento. Oír una detonación sin verla también permite percibir un evento.</w:t>
      </w:r>
      <w:bookmarkEnd w:id="1105"/>
    </w:p>
    <w:p>
      <w:bookmarkStart w:name="b_punto_c4_cap_02_p07" w:id="1106"/>
      <w:r>
        <w:t xml:space="preserve">Algunas lecturas o videos agregan un quinto nivel de valores y motivación; el modelo básico trabajado sigue teniendo cuatro.</w:t>
      </w:r>
      <w:bookmarkEnd w:id="1106"/>
    </w:p>
    <w:p>
      <w:pPr>
        <w:pStyle w:val="Fuente"/>
      </w:pPr>
      <w:r>
        <w:t xml:space="preserve">Véase </w:t>
      </w:r>
      <w:hyperlink w:history="1" w:anchor="b_1_8">
        <w:r>
          <w:rPr>
            <w:color w:val="156B70"/>
            <w:u w:val="single"/>
          </w:rPr>
          <w:t xml:space="preserve">capítulo 1.8 · Hábitos del pensador</w:t>
        </w:r>
      </w:hyperlink>
      <w:r>
        <w:t xml:space="preserve">, pág. </w:t>
      </w:r>
      <w:r>
        <w:fldChar w:fldCharType="begin"/>
        <w:instrText xml:space="preserve">PAGEREF b_1_8 \h</w:instrText>
        <w:fldChar w:fldCharType="separate"/>
        <w:t xml:space="preserve">194</w:t>
        <w:fldChar w:fldCharType="end"/>
      </w:r>
      <w:r>
        <w:t xml:space="preserve">.</w:t>
      </w:r>
    </w:p>
    <w:p>
      <w:pPr>
        <w:pStyle w:val="Fuente"/>
      </w:pPr>
      <w:r>
        <w:t xml:space="preserve">Véase </w:t>
      </w:r>
      <w:hyperlink w:history="1" w:anchor="b_1_2">
        <w:r>
          <w:rPr>
            <w:color w:val="156B70"/>
            <w:u w:val="single"/>
          </w:rPr>
          <w:t xml:space="preserve">capítulo 1.2 · Escalera de inferencias</w:t>
        </w:r>
      </w:hyperlink>
      <w:r>
        <w:t xml:space="preserve">, pág. </w:t>
      </w:r>
      <w:r>
        <w:fldChar w:fldCharType="begin"/>
        <w:instrText xml:space="preserve">PAGEREF b_1_2 \h</w:instrText>
        <w:fldChar w:fldCharType="separate"/>
        <w:t xml:space="preserve">55</w:t>
        <w:fldChar w:fldCharType="end"/>
      </w:r>
      <w:r>
        <w:t xml:space="preserve">.</w:t>
      </w:r>
    </w:p>
    <w:p>
      <w:pPr>
        <w:pStyle w:val="Heading3"/>
      </w:pPr>
      <w:bookmarkStart w:name="b_clase_1_7_c4_cap_03" w:id="1107"/>
      <w:r>
        <w:t xml:space="preserve">Clase 4 · 00:20:06–00:28:05 · El nivel de las tendencias: variables medidas en el tiempo</w:t>
      </w:r>
      <w:bookmarkEnd w:id="1107"/>
    </w:p>
    <w:p>
      <w:bookmarkStart w:name="b_punto_c4_cap_03_p01" w:id="1108"/>
      <w:r>
        <w:t xml:space="preserve">Una tendencia o patrón se reconoce al elegir una variable medible y observar sus valores en el tiempo.</w:t>
      </w:r>
      <w:bookmarkEnd w:id="1108"/>
    </w:p>
    <w:p>
      <w:bookmarkStart w:name="b_punto_c4_cap_03_p02" w:id="1109"/>
      <w:r>
        <w:t xml:space="preserve">En una empresa, los ingresos por ventas pueden descender durante semanas, meses o años hasta volverse insuficientes para sostener gastos: el evento tiene una historia.</w:t>
      </w:r>
      <w:bookmarkEnd w:id="1109"/>
    </w:p>
    <w:p>
      <w:bookmarkStart w:name="b_punto_c4_cap_03_p03" w:id="1110"/>
      <w:r>
        <w:t xml:space="preserve">La ventana temporal debe ser bastante amplia para reconocer los cambios que condujeron a la situación actual; no se interpreta el evento como surgido de la nada.</w:t>
      </w:r>
      <w:bookmarkEnd w:id="1110"/>
    </w:p>
    <w:p>
      <w:bookmarkStart w:name="b_punto_c4_cap_03_p04" w:id="1111"/>
      <w:r>
        <w:t xml:space="preserve">Investigar tendencias requiere experiencias pasadas y personas que conocen el sistema; quien acaba de llegar no puede deducirlas sólo del hecho actual.</w:t>
      </w:r>
      <w:bookmarkEnd w:id="1111"/>
    </w:p>
    <w:p>
      <w:pPr>
        <w:pStyle w:val="Fuente"/>
      </w:pPr>
      <w:r>
        <w:t xml:space="preserve">Véase </w:t>
      </w:r>
      <w:hyperlink w:history="1" w:anchor="b_senales_examen">
        <w:r>
          <w:rPr>
            <w:color w:val="156B70"/>
            <w:u w:val="single"/>
          </w:rPr>
          <w:t xml:space="preserve">1 indicación(es) de examen de este tramo, en el apéndice cronológico</w:t>
        </w:r>
      </w:hyperlink>
      <w:r>
        <w:t xml:space="preserve">, pág. </w:t>
      </w:r>
      <w:r>
        <w:fldChar w:fldCharType="begin"/>
        <w:instrText xml:space="preserve">PAGEREF b_senales_examen \h</w:instrText>
        <w:fldChar w:fldCharType="separate"/>
        <w:t xml:space="preserve">1663</w:t>
        <w:fldChar w:fldCharType="end"/>
      </w:r>
      <w:r>
        <w:t xml:space="preserve">.</w:t>
      </w:r>
    </w:p>
    <w:p>
      <w:pPr>
        <w:pStyle w:val="Heading3"/>
      </w:pPr>
      <w:bookmarkStart w:name="b_clase_1_7_c4_cap_04" w:id="1112"/>
      <w:r>
        <w:t xml:space="preserve">Clase 4 · 00:28:05–00:36:31 · Estructuras sistémicas y el caso de la empresa Acme</w:t>
      </w:r>
      <w:bookmarkEnd w:id="1112"/>
    </w:p>
    <w:p>
      <w:bookmarkStart w:name="b_punto_c4_cap_04_p01" w:id="1113"/>
      <w:r>
        <w:t xml:space="preserve">Acme, de La quinta disciplina en la práctica de Senge, reúne directivos que intentan explicar la caída de ventas y los vínculos con vendedores, clientes y productos a través de los años.</w:t>
      </w:r>
      <w:bookmarkEnd w:id="1113"/>
    </w:p>
    <w:p>
      <w:bookmarkStart w:name="b_punto_c4_cap_04_p02" w:id="1114"/>
      <w:r>
        <w:t xml:space="preserve">La estructura subyacente representa las interacciones y relaciones causales entre elementos que generan tendencias y eventos.</w:t>
      </w:r>
      <w:bookmarkEnd w:id="1114"/>
    </w:p>
    <w:p>
      <w:bookmarkStart w:name="b_punto_c4_cap_04_p03" w:id="1115"/>
      <w:r>
        <w:t xml:space="preserve">Comprender la estructura permite decidir acciones para cambiar una situación o reproducir un resultado beneficioso; no basta reaccionar al hecho visible.</w:t>
      </w:r>
      <w:bookmarkEnd w:id="1115"/>
    </w:p>
    <w:p>
      <w:bookmarkStart w:name="b_punto_c4_cap_04_p04" w:id="1116"/>
      <w:r>
        <w:t xml:space="preserve">En el estudiante que reprueba, la nota insuficiente es evento; notas bajas repetidas, falta de horario, poco sueño y creer que pedir ayuda es debilidad ayudan a investigar tendencias y estructura. Se requieren relaciones y comportamientos dinámicos repetitivos.</w:t>
      </w:r>
      <w:bookmarkEnd w:id="1116"/>
    </w:p>
    <w:p>
      <w:bookmarkStart w:name="b_punto_c4_cap_04_p05" w:id="1117"/>
      <w:r>
        <w:t xml:space="preserve">Para resolver un hecho se necesita su historia y estructura: la percepción de eventos por sí sola da poca información.</w:t>
      </w:r>
      <w:bookmarkEnd w:id="1117"/>
    </w:p>
    <w:p>
      <w:pPr>
        <w:pStyle w:val="Heading3"/>
      </w:pPr>
      <w:bookmarkStart w:name="b_clase_1_7_c4_cap_05" w:id="1118"/>
      <w:r>
        <w:t xml:space="preserve">Clase 4 · 00:36:31–00:46:03 · El nivel de los modelos mentales y la advertencia de Donella Meadows</w:t>
      </w:r>
      <w:bookmarkEnd w:id="1118"/>
    </w:p>
    <w:p>
      <w:bookmarkStart w:name="b_punto_c4_cap_05_p01" w:id="1119"/>
      <w:r>
        <w:t xml:space="preserve">Los modelos mentales son teorías propias de creencias y experiencias, también copiadas de otros sin vivirlas directamente; sesgan la interpretación de la realidad.</w:t>
      </w:r>
      <w:bookmarkEnd w:id="1119"/>
    </w:p>
    <w:p>
      <w:bookmarkStart w:name="b_punto_c4_cap_05_p03" w:id="1120"/>
      <w:r>
        <w:t xml:space="preserve">Las cuatro perspectivas del iceberg incluyen lo que piensa cada actor y también lo del observador cuando participa en el sistema.</w:t>
      </w:r>
      <w:bookmarkEnd w:id="1120"/>
    </w:p>
    <w:p>
      <w:bookmarkStart w:name="b_punto_c4_cap_05_p04" w:id="1121"/>
      <w:r>
        <w:t xml:space="preserve">Los modelos mentales son el nivel más difícil de hacer evidente y más importante de tener consciente: sus representaciones parciales requieren ampliar información y supuestos.</w:t>
      </w:r>
      <w:bookmarkEnd w:id="1121"/>
    </w:p>
    <w:p>
      <w:pPr>
        <w:pStyle w:val="Fuente"/>
      </w:pPr>
      <w:r>
        <w:t xml:space="preserve">Véase </w:t>
      </w:r>
      <w:hyperlink w:history="1" w:anchor="b_senales_examen">
        <w:r>
          <w:rPr>
            <w:color w:val="156B70"/>
            <w:u w:val="single"/>
          </w:rPr>
          <w:t xml:space="preserve">1 indicación(es) de examen de este tramo, en el apéndice cronológico</w:t>
        </w:r>
      </w:hyperlink>
      <w:r>
        <w:t xml:space="preserve">, pág. </w:t>
      </w:r>
      <w:r>
        <w:fldChar w:fldCharType="begin"/>
        <w:instrText xml:space="preserve">PAGEREF b_senales_examen \h</w:instrText>
        <w:fldChar w:fldCharType="separate"/>
        <w:t xml:space="preserve">1663</w:t>
        <w:fldChar w:fldCharType="end"/>
      </w:r>
      <w:r>
        <w:t xml:space="preserve">.</w:t>
      </w:r>
    </w:p>
    <w:p>
      <w:pPr>
        <w:pStyle w:val="Fuente"/>
      </w:pPr>
      <w:r>
        <w:t xml:space="preserve">Véase </w:t>
      </w:r>
      <w:hyperlink w:history="1" w:anchor="b_1_1">
        <w:r>
          <w:rPr>
            <w:color w:val="156B70"/>
            <w:u w:val="single"/>
          </w:rPr>
          <w:t xml:space="preserve">capítulo 1.1 · Paradigmas y modelos mentales</w:t>
        </w:r>
      </w:hyperlink>
      <w:r>
        <w:t xml:space="preserve">, pág. </w:t>
      </w:r>
      <w:r>
        <w:fldChar w:fldCharType="begin"/>
        <w:instrText xml:space="preserve">PAGEREF b_1_1 \h</w:instrText>
        <w:fldChar w:fldCharType="separate"/>
        <w:t xml:space="preserve">19</w:t>
        <w:fldChar w:fldCharType="end"/>
      </w:r>
      <w:r>
        <w:t xml:space="preserve">.</w:t>
      </w:r>
    </w:p>
    <w:p>
      <w:pPr>
        <w:pStyle w:val="Heading3"/>
      </w:pPr>
      <w:bookmarkStart w:name="b_clase_1_7_c4_cap_06" w:id="1122"/>
      <w:r>
        <w:t xml:space="preserve">Clase 4 · 00:46:03–00:55:27 · La tarea de los cuatro niveles, el quinto nivel y las preguntas por nivel</w:t>
      </w:r>
      <w:bookmarkEnd w:id="1122"/>
    </w:p>
    <w:p>
      <w:bookmarkStart w:name="b_punto_c4_cap_06_p01" w:id="1123"/>
      <w:r>
        <w:t xml:space="preserve">La tabla de la tarea Acme pide qué se encontró en cada uno de cuatro niveles, cómo se reconoció y qué tan difícil fue verlo; compara perspectivas de una misma realidad.</w:t>
      </w:r>
      <w:bookmarkEnd w:id="1123"/>
    </w:p>
    <w:p>
      <w:bookmarkStart w:name="b_punto_c4_cap_06_p02" w:id="1124"/>
      <w:r>
        <w:t xml:space="preserve">En Acme las soluciones estructurales no funcionaron como se esperaba porque las creencias de quienes producían las ventas impedían ejecutarlas.</w:t>
      </w:r>
      <w:bookmarkEnd w:id="1124"/>
    </w:p>
    <w:p>
      <w:bookmarkStart w:name="b_punto_c4_cap_06_p03" w:id="1125"/>
      <w:r>
        <w:t xml:space="preserve">El quinto nivel del video chileno se refiere a motivación intrínseca, valores, emociones, intención y voluntad; se explora mediante reflexión y diálogo, sin convertirlo en una quinta fila del modelo básico.</w:t>
      </w:r>
      <w:bookmarkEnd w:id="1125"/>
    </w:p>
    <w:p>
      <w:bookmarkStart w:name="b_punto_c4_cap_06_p05" w:id="1126"/>
      <w:r>
        <w:t xml:space="preserve">Para patrones se pregunta si fue primera vez, cuándo se repitió, cuántas veces, qué cambió y si mejoró o empeoró; el ejemplo es investigar fallas de un sistema automatizado complejo.</w:t>
      </w:r>
      <w:bookmarkEnd w:id="1126"/>
    </w:p>
    <w:p>
      <w:bookmarkStart w:name="b_punto_c4_cap_06_p06" w:id="1127"/>
      <w:r>
        <w:t xml:space="preserve">Para estructura se pregunta cómo, por qué y qué relación existe entre partes; las interacciones causales generan comportamientos individuales y globales.</w:t>
      </w:r>
      <w:bookmarkEnd w:id="1127"/>
    </w:p>
    <w:p>
      <w:pPr>
        <w:pStyle w:val="Fuente"/>
      </w:pPr>
      <w:r>
        <w:t xml:space="preserve">Véase </w:t>
      </w:r>
      <w:hyperlink w:history="1" w:anchor="b_senales_examen">
        <w:r>
          <w:rPr>
            <w:color w:val="156B70"/>
            <w:u w:val="single"/>
          </w:rPr>
          <w:t xml:space="preserve">1 indicación(es) de examen de este tramo, en el apéndice cronológico</w:t>
        </w:r>
      </w:hyperlink>
      <w:r>
        <w:t xml:space="preserve">, pág. </w:t>
      </w:r>
      <w:r>
        <w:fldChar w:fldCharType="begin"/>
        <w:instrText xml:space="preserve">PAGEREF b_senales_examen \h</w:instrText>
        <w:fldChar w:fldCharType="separate"/>
        <w:t xml:space="preserve">1663</w:t>
        <w:fldChar w:fldCharType="end"/>
      </w:r>
      <w:r>
        <w:t xml:space="preserve">.</w:t>
      </w:r>
    </w:p>
    <w:p>
      <w:pPr>
        <w:pStyle w:val="Fuente"/>
      </w:pPr>
      <w:r>
        <w:t xml:space="preserve">Véase </w:t>
      </w:r>
      <w:hyperlink w:history="1" w:anchor="b_1_2">
        <w:r>
          <w:rPr>
            <w:color w:val="156B70"/>
            <w:u w:val="single"/>
          </w:rPr>
          <w:t xml:space="preserve">capítulo 1.2 · Escalera de inferencias</w:t>
        </w:r>
      </w:hyperlink>
      <w:r>
        <w:t xml:space="preserve">, pág. </w:t>
      </w:r>
      <w:r>
        <w:fldChar w:fldCharType="begin"/>
        <w:instrText xml:space="preserve">PAGEREF b_1_2 \h</w:instrText>
        <w:fldChar w:fldCharType="separate"/>
        <w:t xml:space="preserve">55</w:t>
        <w:fldChar w:fldCharType="end"/>
      </w:r>
      <w:r>
        <w:t xml:space="preserve">.</w:t>
      </w:r>
    </w:p>
    <w:p>
      <w:pPr>
        <w:pStyle w:val="Fuente"/>
      </w:pPr>
      <w:r>
        <w:t xml:space="preserve">Véase </w:t>
      </w:r>
      <w:hyperlink w:history="1" w:anchor="b_1_8">
        <w:r>
          <w:rPr>
            <w:color w:val="156B70"/>
            <w:u w:val="single"/>
          </w:rPr>
          <w:t xml:space="preserve">capítulo 1.8 · Hábitos del pensador</w:t>
        </w:r>
      </w:hyperlink>
      <w:r>
        <w:t xml:space="preserve">, pág. </w:t>
      </w:r>
      <w:r>
        <w:fldChar w:fldCharType="begin"/>
        <w:instrText xml:space="preserve">PAGEREF b_1_8 \h</w:instrText>
        <w:fldChar w:fldCharType="separate"/>
        <w:t xml:space="preserve">194</w:t>
        <w:fldChar w:fldCharType="end"/>
      </w:r>
      <w:r>
        <w:t xml:space="preserve">.</w:t>
      </w:r>
    </w:p>
    <w:p>
      <w:pPr>
        <w:pStyle w:val="Heading3"/>
      </w:pPr>
      <w:bookmarkStart w:name="b_clase_1_7_c4_cap_10" w:id="1128"/>
      <w:r>
        <w:t xml:space="preserve">Clase 4 · 01:24:58–01:39:11 · Investigando suposiciones, cambiar las perspectivas y cierre</w:t>
      </w:r>
      <w:bookmarkEnd w:id="1128"/>
    </w:p>
    <w:p>
      <w:bookmarkStart w:name="b_punto_c4_cap_10_p07" w:id="1129"/>
      <w:r>
        <w:t xml:space="preserve">La síntesis de Acme exige comparar en cuatro niveles lo encontrado por sus actores y el esfuerzo necesario para reconocer cada perspectiva.</w:t>
      </w:r>
      <w:bookmarkEnd w:id="1129"/>
    </w:p>
    <w:p>
      <w:pPr>
        <w:pStyle w:val="Fuente"/>
      </w:pPr>
      <w:r>
        <w:t xml:space="preserve">Véase </w:t>
      </w:r>
      <w:hyperlink w:history="1" w:anchor="b_senales_examen">
        <w:r>
          <w:rPr>
            <w:color w:val="156B70"/>
            <w:u w:val="single"/>
          </w:rPr>
          <w:t xml:space="preserve">1 indicación(es) de examen de este tramo, en el apéndice cronológico</w:t>
        </w:r>
      </w:hyperlink>
      <w:r>
        <w:t xml:space="preserve">, pág. </w:t>
      </w:r>
      <w:r>
        <w:fldChar w:fldCharType="begin"/>
        <w:instrText xml:space="preserve">PAGEREF b_senales_examen \h</w:instrText>
        <w:fldChar w:fldCharType="separate"/>
        <w:t xml:space="preserve">1663</w:t>
        <w:fldChar w:fldCharType="end"/>
      </w:r>
      <w:r>
        <w:t xml:space="preserve">.</w:t>
      </w:r>
    </w:p>
    <w:p>
      <w:pPr>
        <w:pStyle w:val="Fuente"/>
      </w:pPr>
      <w:r>
        <w:t xml:space="preserve">Véase </w:t>
      </w:r>
      <w:hyperlink w:history="1" w:anchor="b_1_1">
        <w:r>
          <w:rPr>
            <w:color w:val="156B70"/>
            <w:u w:val="single"/>
          </w:rPr>
          <w:t xml:space="preserve">capítulo 1.1 · Paradigmas y modelos mentales</w:t>
        </w:r>
      </w:hyperlink>
      <w:r>
        <w:t xml:space="preserve">, pág. </w:t>
      </w:r>
      <w:r>
        <w:fldChar w:fldCharType="begin"/>
        <w:instrText xml:space="preserve">PAGEREF b_1_1 \h</w:instrText>
        <w:fldChar w:fldCharType="separate"/>
        <w:t xml:space="preserve">19</w:t>
        <w:fldChar w:fldCharType="end"/>
      </w:r>
      <w:r>
        <w:t xml:space="preserve">.</w:t>
      </w:r>
    </w:p>
    <w:p>
      <w:pPr>
        <w:pStyle w:val="Fuente"/>
      </w:pPr>
      <w:r>
        <w:t xml:space="preserve">Véase </w:t>
      </w:r>
      <w:hyperlink w:history="1" w:anchor="b_1_4">
        <w:r>
          <w:rPr>
            <w:color w:val="156B70"/>
            <w:u w:val="single"/>
          </w:rPr>
          <w:t xml:space="preserve">capítulo 1.4 · Sistémico vs no sistémico</w:t>
        </w:r>
      </w:hyperlink>
      <w:r>
        <w:t xml:space="preserve">, pág. </w:t>
      </w:r>
      <w:r>
        <w:fldChar w:fldCharType="begin"/>
        <w:instrText xml:space="preserve">PAGEREF b_1_4 \h</w:instrText>
        <w:fldChar w:fldCharType="separate"/>
        <w:t xml:space="preserve">104</w:t>
        <w:fldChar w:fldCharType="end"/>
      </w:r>
      <w:r>
        <w:t xml:space="preserve">.</w:t>
      </w:r>
    </w:p>
    <w:p>
      <w:pPr>
        <w:pStyle w:val="Fuente"/>
      </w:pPr>
      <w:r>
        <w:t xml:space="preserve">Véase </w:t>
      </w:r>
      <w:hyperlink w:history="1" w:anchor="b_1_8">
        <w:r>
          <w:rPr>
            <w:color w:val="156B70"/>
            <w:u w:val="single"/>
          </w:rPr>
          <w:t xml:space="preserve">capítulo 1.8 · Hábitos del pensador</w:t>
        </w:r>
      </w:hyperlink>
      <w:r>
        <w:t xml:space="preserve">, pág. </w:t>
      </w:r>
      <w:r>
        <w:fldChar w:fldCharType="begin"/>
        <w:instrText xml:space="preserve">PAGEREF b_1_8 \h</w:instrText>
        <w:fldChar w:fldCharType="separate"/>
        <w:t xml:space="preserve">194</w:t>
        <w:fldChar w:fldCharType="end"/>
      </w:r>
      <w:r>
        <w:t xml:space="preserve">.</w:t>
      </w:r>
    </w:p>
    <w:p>
      <w:pPr>
        <w:pStyle w:val="Heading3"/>
      </w:pPr>
      <w:bookmarkStart w:name="b_clase_1_7_c5_cap_05" w:id="1130"/>
      <w:r>
        <w:t xml:space="preserve">Clase 5 · 00:28:30–00:35:53 · Reglas del diálogo, el caso Acme y el cuarto nivel</w:t>
      </w:r>
      <w:bookmarkEnd w:id="1130"/>
    </w:p>
    <w:p>
      <w:bookmarkStart w:name="b_punto_c5_cap_05_p02" w:id="1131"/>
      <w:r>
        <w:t xml:space="preserve">En actividad humana las creencias de quienes actúan sostienen la estructura: en Acme los vendedores seguían vendiendo de cualquier modo y deterioraban servicio.</w:t>
      </w:r>
      <w:bookmarkEnd w:id="1131"/>
    </w:p>
    <w:p>
      <w:bookmarkStart w:name="b_punto_c5_cap_05_p03" w:id="1132"/>
      <w:r>
        <w:t xml:space="preserve">Las reglas nuevas no corrigieron Acme porque continuaron los hábitos automáticos; dialogar permite descubrir y revisar los modelos que los sostienen.</w:t>
      </w:r>
      <w:bookmarkEnd w:id="1132"/>
    </w:p>
    <w:p>
      <w:pPr>
        <w:pStyle w:val="Fuente"/>
      </w:pPr>
      <w:r>
        <w:t xml:space="preserve">Véase </w:t>
      </w:r>
      <w:hyperlink w:history="1" w:anchor="b_senales_examen">
        <w:r>
          <w:rPr>
            <w:color w:val="156B70"/>
            <w:u w:val="single"/>
          </w:rPr>
          <w:t xml:space="preserve">1 indicación(es) de examen de este tramo, en el apéndice cronológico</w:t>
        </w:r>
      </w:hyperlink>
      <w:r>
        <w:t xml:space="preserve">, pág. </w:t>
      </w:r>
      <w:r>
        <w:fldChar w:fldCharType="begin"/>
        <w:instrText xml:space="preserve">PAGEREF b_senales_examen \h</w:instrText>
        <w:fldChar w:fldCharType="separate"/>
        <w:t xml:space="preserve">1663</w:t>
        <w:fldChar w:fldCharType="end"/>
      </w:r>
      <w:r>
        <w:t xml:space="preserve">.</w:t>
      </w:r>
    </w:p>
    <w:p>
      <w:pPr>
        <w:pStyle w:val="Fuente"/>
      </w:pPr>
      <w:r>
        <w:t xml:space="preserve">Véase </w:t>
      </w:r>
      <w:hyperlink w:history="1" w:anchor="b_1_1">
        <w:r>
          <w:rPr>
            <w:color w:val="156B70"/>
            <w:u w:val="single"/>
          </w:rPr>
          <w:t xml:space="preserve">capítulo 1.1 · Paradigmas y modelos mentales</w:t>
        </w:r>
      </w:hyperlink>
      <w:r>
        <w:t xml:space="preserve">, pág. </w:t>
      </w:r>
      <w:r>
        <w:fldChar w:fldCharType="begin"/>
        <w:instrText xml:space="preserve">PAGEREF b_1_1 \h</w:instrText>
        <w:fldChar w:fldCharType="separate"/>
        <w:t xml:space="preserve">19</w:t>
        <w:fldChar w:fldCharType="end"/>
      </w:r>
      <w:r>
        <w:t xml:space="preserve">.</w:t>
      </w:r>
    </w:p>
    <w:p>
      <w:pPr>
        <w:pStyle w:val="Fuente"/>
      </w:pPr>
      <w:r>
        <w:t xml:space="preserve">Véase </w:t>
      </w:r>
      <w:hyperlink w:history="1" w:anchor="b_1_5">
        <w:r>
          <w:rPr>
            <w:color w:val="156B70"/>
            <w:u w:val="single"/>
          </w:rPr>
          <w:t xml:space="preserve">capítulo 1.5 · Perspectivas</w:t>
        </w:r>
      </w:hyperlink>
      <w:r>
        <w:t xml:space="preserve">, pág. </w:t>
      </w:r>
      <w:r>
        <w:fldChar w:fldCharType="begin"/>
        <w:instrText xml:space="preserve">PAGEREF b_1_5 \h</w:instrText>
        <w:fldChar w:fldCharType="separate"/>
        <w:t xml:space="preserve">125</w:t>
        <w:fldChar w:fldCharType="end"/>
      </w:r>
      <w:r>
        <w:t xml:space="preserve">.</w:t>
      </w:r>
    </w:p>
    <w:p>
      <w:pPr>
        <w:pStyle w:val="Heading3"/>
      </w:pPr>
      <w:bookmarkStart w:name="b_clase_1_7_c5_cap_11" w:id="1133"/>
      <w:r>
        <w:t xml:space="preserve">Clase 5 · 01:21:35–01:29:19 · La perspectiva del espectador y el caso del restaurante</w:t>
      </w:r>
      <w:bookmarkEnd w:id="1133"/>
    </w:p>
    <w:p>
      <w:bookmarkStart w:name="b_punto_c5_cap_11_p02" w:id="1134"/>
      <w:r>
        <w:t xml:space="preserve">Michael, propietario de restaurante, recibe una crítica contra un mesero y antes de reaccionar comparte la queja y busca más información.</w:t>
      </w:r>
      <w:bookmarkEnd w:id="1134"/>
    </w:p>
    <w:p>
      <w:bookmarkStart w:name="b_punto_c5_cap_11_p03" w:id="1135"/>
      <w:r>
        <w:t xml:space="preserve">Se comprueba si hubo un incidente único o un patrón; una sola queja no fija por sí misma la magnitud ni la causa del problema.</w:t>
      </w:r>
      <w:bookmarkEnd w:id="1135"/>
    </w:p>
    <w:p>
      <w:bookmarkStart w:name="b_punto_c5_cap_11_p04" w:id="1136"/>
      <w:r>
        <w:t xml:space="preserve">Se indaga al mesero, supervisor o gerente y su antigüedad mayor de tres meses; la falta de experiencia de alguien nuevo sería otra hipótesis a comprobar.</w:t>
      </w:r>
      <w:bookmarkEnd w:id="1136"/>
    </w:p>
    <w:p>
      <w:bookmarkStart w:name="b_punto_c5_cap_11_p05" w:id="1137"/>
      <w:r>
        <w:t xml:space="preserve">Las perspectivas y la historia permiten decidir; despedir al mesero por impulso puede dejar intacto un patrón que hará reaparecer el problema.</w:t>
      </w:r>
      <w:bookmarkEnd w:id="1137"/>
    </w:p>
    <w:p>
      <w:pPr>
        <w:pStyle w:val="Fuente"/>
      </w:pPr>
      <w:r>
        <w:t xml:space="preserve">Véase </w:t>
      </w:r>
      <w:hyperlink w:history="1" w:anchor="b_senales_examen">
        <w:r>
          <w:rPr>
            <w:color w:val="156B70"/>
            <w:u w:val="single"/>
          </w:rPr>
          <w:t xml:space="preserve">1 indicación(es) de examen de este tramo, en el apéndice cronológico</w:t>
        </w:r>
      </w:hyperlink>
      <w:r>
        <w:t xml:space="preserve">, pág. </w:t>
      </w:r>
      <w:r>
        <w:fldChar w:fldCharType="begin"/>
        <w:instrText xml:space="preserve">PAGEREF b_senales_examen \h</w:instrText>
        <w:fldChar w:fldCharType="separate"/>
        <w:t xml:space="preserve">1663</w:t>
        <w:fldChar w:fldCharType="end"/>
      </w:r>
      <w:r>
        <w:t xml:space="preserve">.</w:t>
      </w:r>
    </w:p>
    <w:p>
      <w:pPr>
        <w:pStyle w:val="Fuente"/>
      </w:pPr>
      <w:r>
        <w:t xml:space="preserve">Véase </w:t>
      </w:r>
      <w:hyperlink w:history="1" w:anchor="b_1_5">
        <w:r>
          <w:rPr>
            <w:color w:val="156B70"/>
            <w:u w:val="single"/>
          </w:rPr>
          <w:t xml:space="preserve">capítulo 1.5 · Perspectivas</w:t>
        </w:r>
      </w:hyperlink>
      <w:r>
        <w:t xml:space="preserve">, pág. </w:t>
      </w:r>
      <w:r>
        <w:fldChar w:fldCharType="begin"/>
        <w:instrText xml:space="preserve">PAGEREF b_1_5 \h</w:instrText>
        <w:fldChar w:fldCharType="separate"/>
        <w:t xml:space="preserve">125</w:t>
        <w:fldChar w:fldCharType="end"/>
      </w:r>
      <w:r>
        <w:t xml:space="preserve">.</w:t>
      </w:r>
    </w:p>
    <w:p>
      <w:pPr>
        <w:pStyle w:val="Heading3"/>
      </w:pPr>
      <w:bookmarkStart w:name="b_clase_1_7_c6_cap_10" w:id="1138"/>
      <w:r>
        <w:t xml:space="preserve">Clase 6 · 01:00:46–01:14:25 · El concepto como filtro: isomorfismo, homomorfismo y la maqueta</w:t>
      </w:r>
      <w:bookmarkEnd w:id="1138"/>
    </w:p>
    <w:p>
      <w:bookmarkStart w:name="b_punto_c6_cap_10_p02" w:id="1139"/>
      <w:r>
        <w:t xml:space="preserve">Los modelos mentales como parte del iceberg se manifiestan en sistemas de actividad humana, porque las personas usan esas representaciones al actuar.</w:t>
      </w:r>
      <w:bookmarkEnd w:id="1139"/>
    </w:p>
    <w:p>
      <w:pPr>
        <w:pStyle w:val="Fuente"/>
      </w:pPr>
      <w:r>
        <w:t xml:space="preserve">Véase </w:t>
      </w:r>
      <w:hyperlink w:history="1" w:anchor="b_1_3">
        <w:r>
          <w:rPr>
            <w:color w:val="156B70"/>
            <w:u w:val="single"/>
          </w:rPr>
          <w:t xml:space="preserve">capítulo 1.3 · El paradigma de sistemas</w:t>
        </w:r>
      </w:hyperlink>
      <w:r>
        <w:t xml:space="preserve">, pág. </w:t>
      </w:r>
      <w:r>
        <w:fldChar w:fldCharType="begin"/>
        <w:instrText xml:space="preserve">PAGEREF b_1_3 \h</w:instrText>
        <w:fldChar w:fldCharType="separate"/>
        <w:t xml:space="preserve">83</w:t>
        <w:fldChar w:fldCharType="end"/>
      </w:r>
      <w:r>
        <w:t xml:space="preserve">.</w:t>
      </w:r>
    </w:p>
    <w:p>
      <w:pPr>
        <w:pStyle w:val="Fuente"/>
      </w:pPr>
      <w:r>
        <w:t xml:space="preserve">Véase </w:t>
      </w:r>
      <w:hyperlink w:history="1" w:anchor="b_2_4">
        <w:r>
          <w:rPr>
            <w:color w:val="156B70"/>
            <w:u w:val="single"/>
          </w:rPr>
          <w:t xml:space="preserve">capítulo 2.4 · Sub y suprasistemas</w:t>
        </w:r>
      </w:hyperlink>
      <w:r>
        <w:t xml:space="preserve">, pág. </w:t>
      </w:r>
      <w:r>
        <w:fldChar w:fldCharType="begin"/>
        <w:instrText xml:space="preserve">PAGEREF b_2_4 \h</w:instrText>
        <w:fldChar w:fldCharType="separate"/>
        <w:t xml:space="preserve">277</w:t>
        <w:fldChar w:fldCharType="end"/>
      </w:r>
      <w:r>
        <w:t xml:space="preserve">.</w:t>
      </w:r>
    </w:p>
    <w:p>
      <w:pPr>
        <w:pStyle w:val="Fuente"/>
      </w:pPr>
      <w:r>
        <w:t xml:space="preserve">Véase </w:t>
      </w:r>
      <w:hyperlink w:history="1" w:anchor="b_1_4">
        <w:r>
          <w:rPr>
            <w:color w:val="156B70"/>
            <w:u w:val="single"/>
          </w:rPr>
          <w:t xml:space="preserve">capítulo 1.4 · Sistémico vs no sistémico</w:t>
        </w:r>
      </w:hyperlink>
      <w:r>
        <w:t xml:space="preserve">, pág. </w:t>
      </w:r>
      <w:r>
        <w:fldChar w:fldCharType="begin"/>
        <w:instrText xml:space="preserve">PAGEREF b_1_4 \h</w:instrText>
        <w:fldChar w:fldCharType="separate"/>
        <w:t xml:space="preserve">104</w:t>
        <w:fldChar w:fldCharType="end"/>
      </w:r>
      <w:r>
        <w:t xml:space="preserve">.</w:t>
      </w:r>
    </w:p>
    <w:p>
      <w:pPr>
        <w:pStyle w:val="Fuente"/>
      </w:pPr>
      <w:r>
        <w:t xml:space="preserve">Véase </w:t>
      </w:r>
      <w:hyperlink w:history="1" w:anchor="b_2_2">
        <w:r>
          <w:rPr>
            <w:color w:val="156B70"/>
            <w:u w:val="single"/>
          </w:rPr>
          <w:t xml:space="preserve">capítulo 2.2 · Conceptos de un sistema</w:t>
        </w:r>
      </w:hyperlink>
      <w:r>
        <w:t xml:space="preserve">, pág. </w:t>
      </w:r>
      <w:r>
        <w:fldChar w:fldCharType="begin"/>
        <w:instrText xml:space="preserve">PAGEREF b_2_2 \h</w:instrText>
        <w:fldChar w:fldCharType="separate"/>
        <w:t xml:space="preserve">242</w:t>
        <w:fldChar w:fldCharType="end"/>
      </w:r>
      <w:r>
        <w:t xml:space="preserve">.</w:t>
      </w:r>
    </w:p>
    <w:p>
      <w:pPr>
        <w:pStyle w:val="Heading3"/>
      </w:pPr>
      <w:bookmarkStart w:name="b_cita_clase_4_modelo_del_icebe_a5305393" w:id="1140"/>
      <w:r>
        <w:t xml:space="preserve">Palabras del profesor</w:t>
      </w:r>
      <w:bookmarkEnd w:id="1140"/>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El profesor lo dijo así</w:t>
            </w:r>
          </w:p>
          <w:p>
            <w:pPr>
              <w:pStyle w:val="Recuadro"/>
            </w:pPr>
            <w:r>
              <w:t xml:space="preserve">«El modelo del iceberg es un modelo muy utilizado en la teoría de sistemas porque permite comprender la complejidad a la que se accede con un análisis sistémico, que busca profundizar a las estructuras que dan origen a los comportamientos.»</w:t>
            </w:r>
          </w:p>
          <w:p>
            <w:pPr>
              <w:pStyle w:val="Recuadro"/>
            </w:pPr>
            <w:r>
              <w:t xml:space="preserve">Clase 4 · 00:08:25–00:09:01</w:t>
            </w:r>
          </w:p>
        </w:tc>
      </w:tr>
    </w:tbl>
    <w:p>
      <w:pPr>
        <w:pStyle w:val="Heading3"/>
      </w:pPr>
      <w:bookmarkStart w:name="b_cita_clase_4_el_agua_lo_que_no_se_ve" w:id="1141"/>
      <w:r>
        <w:t xml:space="preserve">Palabras del profesor</w:t>
      </w:r>
      <w:bookmarkEnd w:id="1141"/>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El profesor lo dijo así</w:t>
            </w:r>
          </w:p>
          <w:p>
            <w:pPr>
              <w:pStyle w:val="Recuadro"/>
            </w:pPr>
            <w:r>
              <w:t xml:space="preserve">«El agua representa todo aquello que no se ve a simple vista. Por eso la percepción de los eventos está fuera del agua: no hay que hacer mayor esfuerzo para tener esa perspectiva.»</w:t>
            </w:r>
          </w:p>
          <w:p>
            <w:pPr>
              <w:pStyle w:val="Recuadro"/>
            </w:pPr>
            <w:r>
              <w:t xml:space="preserve">Clase 4 · 00:15:55–00:16:12</w:t>
            </w:r>
          </w:p>
        </w:tc>
      </w:tr>
    </w:tbl>
    <w:p>
      <w:pPr>
        <w:pStyle w:val="Heading3"/>
      </w:pPr>
      <w:bookmarkStart w:name="b_cita_clase_4_tendencias_varia_3d83d622" w:id="1142"/>
      <w:r>
        <w:t xml:space="preserve">Palabras del profesor</w:t>
      </w:r>
      <w:bookmarkEnd w:id="1142"/>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El profesor lo dijo así</w:t>
            </w:r>
          </w:p>
          <w:p>
            <w:pPr>
              <w:pStyle w:val="Recuadro"/>
            </w:pPr>
            <w:r>
              <w:t xml:space="preserve">«El término que se usa para ese segundo nivel es el de las tendencias: si identificamos alguna variable, algún aspecto del sistema, y lo vamos midiendo a lo largo del tiempo, podemos observar los valores que toma esa variable.»</w:t>
            </w:r>
          </w:p>
          <w:p>
            <w:pPr>
              <w:pStyle w:val="Recuadro"/>
            </w:pPr>
            <w:r>
              <w:t xml:space="preserve">Clase 4 · 00:21:51–00:22:27</w:t>
            </w:r>
          </w:p>
        </w:tc>
      </w:tr>
    </w:tbl>
    <w:p>
      <w:pPr>
        <w:pStyle w:val="Heading3"/>
      </w:pPr>
      <w:bookmarkStart w:name="b_cita_clase_4_los_hechos_no_su_01d3d3b6" w:id="1143"/>
      <w:r>
        <w:t xml:space="preserve">Palabras del profesor</w:t>
      </w:r>
      <w:bookmarkEnd w:id="1143"/>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El profesor lo dijo así</w:t>
            </w:r>
          </w:p>
          <w:p>
            <w:pPr>
              <w:pStyle w:val="Recuadro"/>
            </w:pPr>
            <w:r>
              <w:t xml:space="preserve">«Los hechos, los acontecimientos que percibimos en cualquier realidad no suceden de la nada. No pasan solo porque sí: tienen toda una evolución histórica de tendencias y una estructura de comportamiento que les da origen.»</w:t>
            </w:r>
          </w:p>
          <w:p>
            <w:pPr>
              <w:pStyle w:val="Recuadro"/>
            </w:pPr>
            <w:r>
              <w:t xml:space="preserve">Clase 4 · 00:35:34–00:35:56</w:t>
            </w:r>
          </w:p>
        </w:tc>
      </w:tr>
    </w:tbl>
    <w:p>
      <w:pPr>
        <w:pStyle w:val="Heading3"/>
      </w:pPr>
      <w:bookmarkStart w:name="b_cita_clase_4_decisiones_no_al_9e547f46" w:id="1144"/>
      <w:r>
        <w:t xml:space="preserve">Palabras del profesor</w:t>
      </w:r>
      <w:bookmarkEnd w:id="1144"/>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El profesor lo dijo así</w:t>
            </w:r>
          </w:p>
          <w:p>
            <w:pPr>
              <w:pStyle w:val="Recuadro"/>
            </w:pPr>
            <w:r>
              <w:t xml:space="preserve">«Las soluciones o las mejores decisiones no se toman solo a nivel de la percepción de esa perspectiva de los eventos, porque eso nos da poca información.»</w:t>
            </w:r>
          </w:p>
          <w:p>
            <w:pPr>
              <w:pStyle w:val="Recuadro"/>
            </w:pPr>
            <w:r>
              <w:t xml:space="preserve">Clase 4 · 00:36:12–00:36:24</w:t>
            </w:r>
          </w:p>
        </w:tc>
      </w:tr>
    </w:tbl>
    <w:p>
      <w:pPr>
        <w:pStyle w:val="Heading3"/>
      </w:pPr>
      <w:bookmarkStart w:name="b_cita_clase_4_nivel_mas_comple_e4c3b71d" w:id="1145"/>
      <w:r>
        <w:t xml:space="preserve">Palabras del profesor</w:t>
      </w:r>
      <w:bookmarkEnd w:id="1145"/>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El profesor lo dijo así</w:t>
            </w:r>
          </w:p>
          <w:p>
            <w:pPr>
              <w:pStyle w:val="Recuadro"/>
            </w:pPr>
            <w:r>
              <w:t xml:space="preserve">«Ese nivel de los modelos mentales es el más complejo de acceder y es el más importante de tener conciencia para un pensador sistémico, porque a partir de ahí se construyen las otras perspectivas.»</w:t>
            </w:r>
          </w:p>
          <w:p>
            <w:pPr>
              <w:pStyle w:val="Recuadro"/>
            </w:pPr>
            <w:r>
              <w:t xml:space="preserve">Clase 4 · 00:42:01–00:42:26</w:t>
            </w:r>
          </w:p>
        </w:tc>
      </w:tr>
    </w:tbl>
    <w:p>
      <w:pPr>
        <w:pStyle w:val="Heading3"/>
      </w:pPr>
      <w:bookmarkStart w:name="b_cita_clase_4_ver_el_sistema_d_9a315d42" w:id="1146"/>
      <w:r>
        <w:t xml:space="preserve">Palabras del profesor</w:t>
      </w:r>
      <w:bookmarkEnd w:id="1146"/>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El profesor lo dijo así</w:t>
            </w:r>
          </w:p>
          <w:p>
            <w:pPr>
              <w:pStyle w:val="Recuadro"/>
            </w:pPr>
            <w:r>
              <w:t xml:space="preserve">«Un pensador sistémico sabe que todas esas perspectivas existen y se esfuerza por ver un sistema desde todas: la de los hechos, la histórica de las tendencias, la de las estructuras, incluso la de los modelos mentales.»</w:t>
            </w:r>
          </w:p>
          <w:p>
            <w:pPr>
              <w:pStyle w:val="Recuadro"/>
            </w:pPr>
            <w:r>
              <w:t xml:space="preserve">Clase 4 · 00:41:14–00:41:38</w:t>
            </w:r>
          </w:p>
        </w:tc>
      </w:tr>
    </w:tbl>
    <w:p>
      <w:pPr>
        <w:pStyle w:val="Heading3"/>
      </w:pPr>
      <w:bookmarkStart w:name="b_cita_clase_5_no_es_la_estruct_7491785a" w:id="1147"/>
      <w:r>
        <w:t xml:space="preserve">Palabras del profesor</w:t>
      </w:r>
      <w:bookmarkEnd w:id="1147"/>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El profesor lo dijo así</w:t>
            </w:r>
          </w:p>
          <w:p>
            <w:pPr>
              <w:pStyle w:val="Recuadro"/>
            </w:pPr>
            <w:r>
              <w:t xml:space="preserve">«Aunque identifiquemos la estructura del sistema, no vamos a poder hacer mayor cambio, porque no es la estructura en sí misma la que hace que las cosas sucedan, sino las personas que forman parte de esa estructura.»</w:t>
            </w:r>
          </w:p>
          <w:p>
            <w:pPr>
              <w:pStyle w:val="Recuadro"/>
            </w:pPr>
            <w:r>
              <w:t xml:space="preserve">Clase 5 · 00:30:29–00:30:58</w:t>
            </w:r>
          </w:p>
        </w:tc>
      </w:tr>
    </w:tbl>
    <w:p>
      <w:pPr>
        <w:pStyle w:val="Heading3"/>
      </w:pPr>
      <w:r>
        <w:t xml:space="preserve">Errores frecuentes y trampa de examen</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9C620A" w:sz="20"/>
              <w:bottom w:val="nil"/>
              <w:right w:val="nil"/>
            </w:tcBorders>
            <w:shd w:fill="FBF3DF" w:val="clear"/>
            <w:tcMar>
              <w:top w:type="dxa" w:w="130"/>
              <w:left w:type="dxa" w:w="180"/>
              <w:bottom w:type="dxa" w:w="130"/>
              <w:right w:type="dxa" w:w="180"/>
            </w:tcMar>
          </w:tcPr>
          <w:p>
            <w:pPr>
              <w:pStyle w:val="RecuadroTitulo"/>
            </w:pPr>
            <w:r>
              <w:rPr>
                <w:b/>
                <w:bCs/>
                <w:color w:val="9C620A"/>
              </w:rPr>
              <w:t xml:space="preserve">Error → corrección</w:t>
            </w:r>
          </w:p>
          <w:p>
            <w:pPr>
              <w:pStyle w:val="Recuadro"/>
            </w:pPr>
            <w:r>
              <w:rPr>
                <w:b/>
                <w:bCs/>
              </w:rPr>
              <w:t xml:space="preserve">Error:</w:t>
            </w:r>
            <w:r>
              <w:t xml:space="preserve"> Actuar por impulso ante el evento, como despedir al mesero por una crítica.</w:t>
            </w:r>
          </w:p>
          <w:p>
            <w:pPr>
              <w:pStyle w:val="Recuadro"/>
            </w:pPr>
            <w:r>
              <w:rPr>
                <w:b/>
                <w:bCs/>
              </w:rPr>
              <w:t xml:space="preserve">Corrección:</w:t>
            </w:r>
            <w:r>
              <w:t xml:space="preserve"> Preguntar si fue ocurrencia única o parte de un patrón e indagar; la solución impulsiva parece resolver, pero el patrón vuelve.</w:t>
            </w:r>
          </w:p>
          <w:p>
            <w:pPr>
              <w:pStyle w:val="Recuadro"/>
            </w:pPr>
            <w:r>
              <w:t xml:space="preserve">Clase 5 · 01:23:23–01:29:03</w:t>
            </w:r>
          </w:p>
        </w:tc>
      </w:tr>
    </w:tbl>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9C620A" w:sz="20"/>
              <w:bottom w:val="nil"/>
              <w:right w:val="nil"/>
            </w:tcBorders>
            <w:shd w:fill="FBF3DF" w:val="clear"/>
            <w:tcMar>
              <w:top w:type="dxa" w:w="130"/>
              <w:left w:type="dxa" w:w="180"/>
              <w:bottom w:type="dxa" w:w="130"/>
              <w:right w:type="dxa" w:w="180"/>
            </w:tcMar>
          </w:tcPr>
          <w:p>
            <w:pPr>
              <w:pStyle w:val="RecuadroTitulo"/>
            </w:pPr>
            <w:r>
              <w:rPr>
                <w:b/>
                <w:bCs/>
                <w:color w:val="9C620A"/>
              </w:rPr>
              <w:t xml:space="preserve">Error → corrección</w:t>
            </w:r>
          </w:p>
          <w:p>
            <w:pPr>
              <w:pStyle w:val="Recuadro"/>
            </w:pPr>
            <w:r>
              <w:rPr>
                <w:b/>
                <w:bCs/>
              </w:rPr>
              <w:t xml:space="preserve">Error:</w:t>
            </w:r>
            <w:r>
              <w:t xml:space="preserve"> Creer que cambiar las reglas o la estructura basta.</w:t>
            </w:r>
          </w:p>
          <w:p>
            <w:pPr>
              <w:pStyle w:val="Recuadro"/>
            </w:pPr>
            <w:r>
              <w:rPr>
                <w:b/>
                <w:bCs/>
              </w:rPr>
              <w:t xml:space="preserve">Corrección:</w:t>
            </w:r>
            <w:r>
              <w:t xml:space="preserve"> En Acme las soluciones estructurales fallaron porque los modelos mentales de los vendedores las impedían.</w:t>
            </w:r>
          </w:p>
          <w:p>
            <w:pPr>
              <w:pStyle w:val="Recuadro"/>
            </w:pPr>
            <w:r>
              <w:t xml:space="preserve">Clase 4 · 00:28:05–00:31:15 · Clase 4 · 00:47:54–00:48:26 · Clase 5 · 00:30:34–00:32:24</w:t>
            </w:r>
          </w:p>
        </w:tc>
      </w:tr>
    </w:tbl>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9C620A" w:sz="20"/>
              <w:bottom w:val="nil"/>
              <w:right w:val="nil"/>
            </w:tcBorders>
            <w:shd w:fill="FBF3DF" w:val="clear"/>
            <w:tcMar>
              <w:top w:type="dxa" w:w="130"/>
              <w:left w:type="dxa" w:w="180"/>
              <w:bottom w:type="dxa" w:w="130"/>
              <w:right w:type="dxa" w:w="180"/>
            </w:tcMar>
          </w:tcPr>
          <w:p>
            <w:pPr>
              <w:pStyle w:val="RecuadroTitulo"/>
            </w:pPr>
            <w:r>
              <w:rPr>
                <w:b/>
                <w:bCs/>
                <w:color w:val="9C620A"/>
              </w:rPr>
              <w:t xml:space="preserve">Error → corrección</w:t>
            </w:r>
          </w:p>
          <w:p>
            <w:pPr>
              <w:pStyle w:val="Recuadro"/>
            </w:pPr>
            <w:r>
              <w:rPr>
                <w:b/>
                <w:bCs/>
              </w:rPr>
              <w:t xml:space="preserve">Error:</w:t>
            </w:r>
            <w:r>
              <w:t xml:space="preserve"> Confundir la tendencia con la estructura.</w:t>
            </w:r>
          </w:p>
          <w:p>
            <w:pPr>
              <w:pStyle w:val="Recuadro"/>
            </w:pPr>
            <w:r>
              <w:rPr>
                <w:b/>
                <w:bCs/>
              </w:rPr>
              <w:t xml:space="preserve">Corrección:</w:t>
            </w:r>
            <w:r>
              <w:t xml:space="preserve"> La tendencia es la historia de una variable medida en el tiempo; la estructura son las relaciones causales que la originan y exige comportamientos dinámicos repetitivos.</w:t>
            </w:r>
          </w:p>
          <w:p>
            <w:pPr>
              <w:pStyle w:val="Recuadro"/>
            </w:pPr>
            <w:r>
              <w:t xml:space="preserve">Clase 4 · 00:21:14–00:22:27 · Clase 4 · 00:35:07–00:35:35</w:t>
            </w:r>
          </w:p>
        </w:tc>
      </w:tr>
    </w:tbl>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9C620A" w:sz="20"/>
              <w:bottom w:val="nil"/>
              <w:right w:val="nil"/>
            </w:tcBorders>
            <w:shd w:fill="FBF3DF" w:val="clear"/>
            <w:tcMar>
              <w:top w:type="dxa" w:w="130"/>
              <w:left w:type="dxa" w:w="180"/>
              <w:bottom w:type="dxa" w:w="130"/>
              <w:right w:type="dxa" w:w="180"/>
            </w:tcMar>
          </w:tcPr>
          <w:p>
            <w:pPr>
              <w:pStyle w:val="RecuadroTitulo"/>
            </w:pPr>
            <w:r>
              <w:rPr>
                <w:b/>
                <w:bCs/>
                <w:color w:val="9C620A"/>
              </w:rPr>
              <w:t xml:space="preserve">Trampa de examen</w:t>
            </w:r>
          </w:p>
          <w:p>
            <w:pPr>
              <w:pStyle w:val="Recuadro"/>
            </w:pPr>
            <w:r>
              <w:t xml:space="preserve">Los niveles del iceberg son profundidad de explicación de un mismo hecho, no una jerarquía de sistemas ni las perspectivas ontológica, funcional y genética. Ante «¿cuáles son las razones o causas de lo que ha estado pasando?» la respuesta es la estructura: «lo que ha estado pasando» es la tendencia y sus causas son las relaciones causales; los modelos mentales responden qué creencias sostienen esa estructura.</w:t>
            </w:r>
          </w:p>
        </w:tc>
      </w:tr>
    </w:tbl>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Ampliación: lo no dictado en clase</w:t>
            </w:r>
          </w:p>
          <w:p>
            <w:pPr>
              <w:pStyle w:val="Recuadro"/>
            </w:pPr>
            <w:r>
              <w:t xml:space="preserve">Las posturas por nivel (reaccionar, anticipar, diseñar, transformar) y el tipo de investigación por nivel no se dictaron en las clases 4 y 5; el punto de apalancamiento se definió en la clase 8 para la estructura (tema 2.6), no por nivel del iceberg. La modelación de tendencias y relaciones causales y la dinámica estructura, tendencias, eventos se difirieron a más adelante, y el video del iceberg no se reprodujo.</w:t>
            </w:r>
          </w:p>
        </w:tc>
      </w:tr>
    </w:tbl>
    <w:p>
      <w:pPr>
        <w:pStyle w:val="Heading3"/>
      </w:pPr>
      <w:r>
        <w:t xml:space="preserve">Lecturas y tareas del curso</w:t>
      </w:r>
    </w:p>
    <w:p>
      <w:pPr>
        <w:pStyle w:val="Normal"/>
      </w:pPr>
      <w:r>
        <w:t xml:space="preserve">C-5 · Unidad 1 · Sistemas abstractos diseñados y paradigmas (presentación). 63 páginas con paradigmas, tipos de pensamiento, escalera de inferencias, iceberg, hábitos, DSRP y modelos sistémicos. Copia íntegra de la presentación del profesor.</w:t>
      </w:r>
    </w:p>
    <w:p>
      <w:pPr>
        <w:pStyle w:val="Normal"/>
      </w:pPr>
      <w:r>
        <w:t xml:space="preserve">C-1 · Caso de estudio · Niveles de la visión sistémica. Caso de estudio práctico de los cuatro niveles de la visión sistémica (eventos, patrones, estructuras y modelos mentales) — base del modelo del iceberg.</w:t>
      </w:r>
    </w:p>
    <w:p>
      <w:pPr>
        <w:pStyle w:val="Normal"/>
      </w:pPr>
      <w:r>
        <w:t xml:space="preserve">Tareas relacionadas: T-1, T-2. Consulte su procedencia en la bibliografía.</w:t>
      </w:r>
    </w:p>
    <w:p>
      <w:pPr>
        <w:pStyle w:val="Heading3"/>
      </w:pPr>
      <w:r>
        <w:t xml:space="preserve">Práctica de los laboratorios</w:t>
      </w:r>
    </w:p>
    <w:p>
      <w:pPr>
        <w:pStyle w:val="Normal"/>
      </w:pPr>
      <w:r>
        <w:t xml:space="preserve">Los procedimientos del capítulo permiten reconstruir en papel la práctica interactiva. Los laboratorios originales permanecen disponibles en la lección del portal.</w:t>
      </w:r>
    </w:p>
    <w:p>
      <w:pPr>
        <w:pStyle w:val="Normal"/>
        <w:numPr>
          <w:ilvl w:val="0"/>
          <w:numId w:val="2"/>
        </w:numPr>
      </w:pPr>
      <w:r>
        <w:t xml:space="preserve">Bajar por los cuatro niveles del iceberg</w:t>
      </w:r>
    </w:p>
    <w:p>
      <w:pPr>
        <w:pStyle w:val="Heading3"/>
      </w:pPr>
      <w:r>
        <w:t xml:space="preserve">Autoevaluación</w:t>
      </w:r>
    </w:p>
    <w:p>
      <w:pPr>
        <w:pStyle w:val="Normal"/>
      </w:pPr>
      <w:r>
        <w:t xml:space="preserve">Resuelva sin consultar las respuestas. Compruebe al final del capítulo por qué cada opción es correcta o incorrecta.</w:t>
      </w:r>
    </w:p>
    <w:p>
      <w:pPr>
        <w:pStyle w:val="Heading3"/>
      </w:pPr>
      <w:bookmarkStart w:name="b_pregunta_auto_1_7_1" w:id="1148"/>
      <w:r>
        <w:t xml:space="preserve">1.7-A1 · ¿Qué combinación de instrumentos corresponde al recorrido del iceberg de clase 4?</w:t>
      </w:r>
      <w:bookmarkEnd w:id="1148"/>
    </w:p>
    <w:p>
      <w:pPr>
        <w:pStyle w:val="Normal"/>
      </w:pPr>
      <w:r>
        <w:t xml:space="preserve">a) Eventos: cuantitativos; tendencias: mixtos; estructuras: cualitativos; modelos mentales: diálogo</w:t>
      </w:r>
    </w:p>
    <w:p>
      <w:pPr>
        <w:pStyle w:val="Normal"/>
      </w:pPr>
      <w:r>
        <w:t xml:space="preserve">b) Todos los niveles requieren sólo contar eventos</w:t>
      </w:r>
    </w:p>
    <w:p>
      <w:pPr>
        <w:pStyle w:val="Normal"/>
      </w:pPr>
      <w:r>
        <w:t xml:space="preserve">c) Modelos mentales: termómetro; estructuras: sólo votación</w:t>
      </w:r>
    </w:p>
    <w:p>
      <w:pPr>
        <w:pStyle w:val="Normal"/>
      </w:pPr>
      <w:r>
        <w:t xml:space="preserve">d) Eventos: únicamente creencias; tendencias: sin datos temporales</w:t>
      </w:r>
    </w:p>
    <w:p>
      <w:pPr>
        <w:pStyle w:val="Heading3"/>
      </w:pPr>
      <w:bookmarkStart w:name="b_pregunta_auto_1_7_2" w:id="1149"/>
      <w:r>
        <w:t xml:space="preserve">1.7-A2 · En el modelo del iceberg, ¿qué representa la punta que sobresale del agua?</w:t>
      </w:r>
      <w:bookmarkEnd w:id="1149"/>
    </w:p>
    <w:p>
      <w:pPr>
        <w:pStyle w:val="Normal"/>
      </w:pPr>
      <w:r>
        <w:t xml:space="preserve">a) Los modelos mentales</w:t>
      </w:r>
    </w:p>
    <w:p>
      <w:pPr>
        <w:pStyle w:val="Normal"/>
      </w:pPr>
      <w:r>
        <w:t xml:space="preserve">b) Las estructuras sistémicas</w:t>
      </w:r>
    </w:p>
    <w:p>
      <w:pPr>
        <w:pStyle w:val="Normal"/>
      </w:pPr>
      <w:r>
        <w:t xml:space="preserve">c) Los eventos: lo que pasa y se puede observar directamente</w:t>
      </w:r>
    </w:p>
    <w:p>
      <w:pPr>
        <w:pStyle w:val="Normal"/>
      </w:pPr>
      <w:r>
        <w:t xml:space="preserve">d) Los patrones a lo largo del tiempo</w:t>
      </w:r>
    </w:p>
    <w:p>
      <w:pPr>
        <w:pStyle w:val="Heading3"/>
      </w:pPr>
      <w:bookmarkStart w:name="b_pregunta_auto_1_7_3" w:id="1150"/>
      <w:r>
        <w:t xml:space="preserve">1.7-A3 · Un vecino dice: «cada temporada de lluvia se inunda la misma zona y cada año es peor». ¿En qué nivel del iceberg está leyendo la situación?</w:t>
      </w:r>
      <w:bookmarkEnd w:id="1150"/>
    </w:p>
    <w:p>
      <w:pPr>
        <w:pStyle w:val="Normal"/>
      </w:pPr>
      <w:r>
        <w:t xml:space="preserve">a) Eventos</w:t>
      </w:r>
    </w:p>
    <w:p>
      <w:pPr>
        <w:pStyle w:val="Normal"/>
      </w:pPr>
      <w:r>
        <w:t xml:space="preserve">b) Patrones y tendencias</w:t>
      </w:r>
    </w:p>
    <w:p>
      <w:pPr>
        <w:pStyle w:val="Normal"/>
      </w:pPr>
      <w:r>
        <w:t xml:space="preserve">c) Estructuras sistémicas</w:t>
      </w:r>
    </w:p>
    <w:p>
      <w:pPr>
        <w:pStyle w:val="Normal"/>
      </w:pPr>
      <w:r>
        <w:t xml:space="preserve">d) Modelos mentales</w:t>
      </w:r>
    </w:p>
    <w:p>
      <w:pPr>
        <w:pStyle w:val="Heading3"/>
      </w:pPr>
      <w:bookmarkStart w:name="b_pregunta_auto_1_7_4" w:id="1151"/>
      <w:r>
        <w:t xml:space="preserve">1.7-A4 · ¿Qué pregunta caracteriza al nivel de las estructuras sistémicas?</w:t>
      </w:r>
      <w:bookmarkEnd w:id="1151"/>
    </w:p>
    <w:p>
      <w:pPr>
        <w:pStyle w:val="Normal"/>
      </w:pPr>
      <w:r>
        <w:t xml:space="preserve">a) ¿Qué acaba de pasar?</w:t>
      </w:r>
    </w:p>
    <w:p>
      <w:pPr>
        <w:pStyle w:val="Normal"/>
      </w:pPr>
      <w:r>
        <w:t xml:space="preserve">b) ¿Cuál ha sido la tendencia?</w:t>
      </w:r>
    </w:p>
    <w:p>
      <w:pPr>
        <w:pStyle w:val="Normal"/>
      </w:pPr>
      <w:r>
        <w:t xml:space="preserve">c) ¿Qué relaciones y estructuras producen esos patrones?</w:t>
      </w:r>
    </w:p>
    <w:p>
      <w:pPr>
        <w:pStyle w:val="Normal"/>
      </w:pPr>
      <w:r>
        <w:t xml:space="preserve">d) ¿Qué creencias sostienen todo esto?</w:t>
      </w:r>
    </w:p>
    <w:p>
      <w:pPr>
        <w:pStyle w:val="Heading3"/>
      </w:pPr>
      <w:bookmarkStart w:name="b_pregunta_auto_1_7_5" w:id="1152"/>
      <w:r>
        <w:t xml:space="preserve">1.7-A5 · Según el modelo, ¿qué relación hay entre la profundidad del nivel y el apalancamiento (leverage) de intervenir en él?</w:t>
      </w:r>
      <w:bookmarkEnd w:id="1152"/>
    </w:p>
    <w:p>
      <w:pPr>
        <w:pStyle w:val="Normal"/>
      </w:pPr>
      <w:r>
        <w:t xml:space="preserve">a) Cuanto más profundo, menor apalancamiento</w:t>
      </w:r>
    </w:p>
    <w:p>
      <w:pPr>
        <w:pStyle w:val="Normal"/>
      </w:pPr>
      <w:r>
        <w:t xml:space="preserve">b) Cuanto más profundo, mayor apalancamiento</w:t>
      </w:r>
    </w:p>
    <w:p>
      <w:pPr>
        <w:pStyle w:val="Normal"/>
      </w:pPr>
      <w:r>
        <w:t xml:space="preserve">c) El apalancamiento es igual en todos los niveles</w:t>
      </w:r>
    </w:p>
    <w:p>
      <w:pPr>
        <w:pStyle w:val="Normal"/>
      </w:pPr>
      <w:r>
        <w:t xml:space="preserve">d) Solo el nivel de eventos tiene apalancamiento real</w:t>
      </w:r>
    </w:p>
    <w:p>
      <w:pPr>
        <w:pStyle w:val="Heading3"/>
      </w:pPr>
      <w:bookmarkStart w:name="b_pregunta_auto_1_7_6" w:id="1153"/>
      <w:r>
        <w:t xml:space="preserve">1.7-A6 · Una empresa arregla cada falla del producto en cuanto un cliente se queja, pero las quejas nunca bajan. ¿Qué está pasando en términos del iceberg?</w:t>
      </w:r>
      <w:bookmarkEnd w:id="1153"/>
    </w:p>
    <w:p>
      <w:pPr>
        <w:pStyle w:val="Normal"/>
      </w:pPr>
      <w:r>
        <w:t xml:space="preserve">a) Está interviniendo en los modelos mentales</w:t>
      </w:r>
    </w:p>
    <w:p>
      <w:pPr>
        <w:pStyle w:val="Normal"/>
      </w:pPr>
      <w:r>
        <w:t xml:space="preserve">b) Está rediseñando la estructura</w:t>
      </w:r>
    </w:p>
    <w:p>
      <w:pPr>
        <w:pStyle w:val="Normal"/>
      </w:pPr>
      <w:r>
        <w:t xml:space="preserve">c) Se quedó reaccionando en el nivel de eventos («apagando incendios»)</w:t>
      </w:r>
    </w:p>
    <w:p>
      <w:pPr>
        <w:pStyle w:val="Normal"/>
      </w:pPr>
      <w:r>
        <w:t xml:space="preserve">d) Está trabajando en el nivel de patrones</w:t>
      </w:r>
    </w:p>
    <w:p>
      <w:pPr>
        <w:pStyle w:val="Heading3"/>
      </w:pPr>
      <w:bookmarkStart w:name="b_pregunta_auto_1_7_7" w:id="1154"/>
      <w:r>
        <w:t xml:space="preserve">1.7-A7 · ¿Qué son, exactamente, los modelos mentales en el nivel más profundo del iceberg?</w:t>
      </w:r>
      <w:bookmarkEnd w:id="1154"/>
    </w:p>
    <w:p>
      <w:pPr>
        <w:pStyle w:val="Normal"/>
      </w:pPr>
      <w:r>
        <w:t xml:space="preserve">a) Los hechos concretos que se repiten</w:t>
      </w:r>
    </w:p>
    <w:p>
      <w:pPr>
        <w:pStyle w:val="Normal"/>
      </w:pPr>
      <w:r>
        <w:t xml:space="preserve">b) Las gráficas de tendencias en el tiempo</w:t>
      </w:r>
    </w:p>
    <w:p>
      <w:pPr>
        <w:pStyle w:val="Normal"/>
      </w:pPr>
      <w:r>
        <w:t xml:space="preserve">c) Las creencias, valores y supuestos que sostienen la estructura</w:t>
      </w:r>
    </w:p>
    <w:p>
      <w:pPr>
        <w:pStyle w:val="Normal"/>
      </w:pPr>
      <w:r>
        <w:t xml:space="preserve">d) Las bombas y alertas que se preparan de antemano</w:t>
      </w:r>
    </w:p>
    <w:p>
      <w:pPr>
        <w:pStyle w:val="Heading3"/>
      </w:pPr>
      <w:bookmarkStart w:name="b_pregunta_auto_1_7_8" w:id="1155"/>
      <w:r>
        <w:t xml:space="preserve">1.7-A8 · Para diseñar una intervención de fondo con el iceberg, lo recomendable es…</w:t>
      </w:r>
      <w:bookmarkEnd w:id="1155"/>
    </w:p>
    <w:p>
      <w:pPr>
        <w:pStyle w:val="Normal"/>
      </w:pPr>
      <w:r>
        <w:t xml:space="preserve">a) Quedarse en los eventos, que es donde se ve el problema</w:t>
      </w:r>
    </w:p>
    <w:p>
      <w:pPr>
        <w:pStyle w:val="Normal"/>
      </w:pPr>
      <w:r>
        <w:t xml:space="preserve">b) Descender con las preguntas hasta las estructuras y los modelos mentales</w:t>
      </w:r>
    </w:p>
    <w:p>
      <w:pPr>
        <w:pStyle w:val="Normal"/>
      </w:pPr>
      <w:r>
        <w:t xml:space="preserve">c) Ignorar los patrones porque son solo estadística</w:t>
      </w:r>
    </w:p>
    <w:p>
      <w:pPr>
        <w:pStyle w:val="Normal"/>
      </w:pPr>
      <w:r>
        <w:t xml:space="preserve">d) Cambiar primero las creencias sin mirar la estructura</w:t>
      </w:r>
    </w:p>
    <w:p>
      <w:pPr>
        <w:pStyle w:val="Heading3"/>
      </w:pPr>
      <w:r>
        <w:t xml:space="preserve">Ejercicios de aplicación</w:t>
      </w:r>
    </w:p>
    <w:p>
      <w:pPr>
        <w:pStyle w:val="Heading3"/>
      </w:pPr>
      <w:bookmarkStart w:name="b_pregunta_ej_P03" w:id="1156"/>
      <w:r>
        <w:t xml:space="preserve">1.7-E1 · Los cuatro niveles del iceberg</w:t>
      </w:r>
      <w:bookmarkEnd w:id="1156"/>
    </w:p>
    <w:p>
      <w:pPr>
        <w:pStyle w:val="Normal"/>
      </w:pPr>
      <w:r>
        <w:t xml:space="preserve">Una biblioteca recibe hoy cinco quejas; aumentan cada mes; sus tres registros duplicados generan errores; se cree que más formularios siempre mejoran el control. Clasifica los cuatro niveles y propón qué investigar.</w:t>
      </w:r>
    </w:p>
    <w:p>
      <w:pPr>
        <w:pStyle w:val="Heading3"/>
      </w:pPr>
      <w:bookmarkStart w:name="b_solucionario_1_7" w:id="1157"/>
      <w:r>
        <w:t xml:space="preserve">Solucionario del capítulo</w:t>
      </w:r>
      <w:bookmarkEnd w:id="1157"/>
    </w:p>
    <w:p>
      <w:pPr>
        <w:pStyle w:val="Heading3"/>
      </w:pPr>
      <w:r>
        <w:t xml:space="preserve">1.7-A1</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a) Eventos: cuantitativos; tendencias: mixtos; estructuras: cualitativos; modelos mentales: diálogo</w:t>
            </w:r>
          </w:p>
        </w:tc>
      </w:tr>
    </w:tbl>
    <w:p>
      <w:pPr>
        <w:pStyle w:val="Normal"/>
      </w:pPr>
      <w:r>
        <w:t xml:space="preserve">Cada nivel exige preguntas e instrumentos acordes. La tabla de la lámina tiene tres filas; el diálogo de modelos mentales es la cuarta fila, ampliada y rotulada desde la explicación de clase. Ningún nivel sustituye toda la investigación anterior.</w:t>
      </w:r>
    </w:p>
    <w:p>
      <w:pPr>
        <w:pStyle w:val="Fuente"/>
      </w:pPr>
      <w:r>
        <w:t xml:space="preserve">Presentación de la unidad 1 (C-5), pág. 39 · Clase 4 · 00:50:02–00:50:24</w:t>
      </w:r>
    </w:p>
    <w:p>
      <w:pPr>
        <w:pStyle w:val="Heading3"/>
      </w:pPr>
      <w:r>
        <w:t xml:space="preserve">1.7-A2</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c) Los eventos: lo que pasa y se puede observar directamente</w:t>
            </w:r>
          </w:p>
        </w:tc>
      </w:tr>
    </w:tbl>
    <w:p>
      <w:pPr>
        <w:pStyle w:val="Normal"/>
      </w:pPr>
      <w:r>
        <w:t xml:space="preserve">Como en un iceberg real, lo visible (los eventos) es apenas una fracción. La mayor parte —patrones, estructuras y modelos mentales— queda sumergida.</w:t>
      </w:r>
    </w:p>
    <w:p>
      <w:pPr>
        <w:pStyle w:val="Normal"/>
      </w:pPr>
      <w:r>
        <w:t xml:space="preserve">a) No: los modelos mentales son el fondo del iceberg, lo más sumergido.</w:t>
      </w:r>
    </w:p>
    <w:p>
      <w:pPr>
        <w:pStyle w:val="Normal"/>
      </w:pPr>
      <w:r>
        <w:t xml:space="preserve">b) No: las estructuras están en la profundidad, no en la punta.</w:t>
      </w:r>
    </w:p>
    <w:p>
      <w:pPr>
        <w:pStyle w:val="Normal"/>
      </w:pPr>
      <w:r>
        <w:t xml:space="preserve">c) Correcto: la punta visible son los eventos, el hecho puntual que se ve.</w:t>
      </w:r>
    </w:p>
    <w:p>
      <w:pPr>
        <w:pStyle w:val="Normal"/>
      </w:pPr>
      <w:r>
        <w:t xml:space="preserve">d) No: los patrones están justo bajo la superficie, ya no a simple vista.</w:t>
      </w:r>
    </w:p>
    <w:p>
      <w:pPr>
        <w:pStyle w:val="Heading3"/>
      </w:pPr>
      <w:r>
        <w:t xml:space="preserve">1.7-A3</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b) Patrones y tendencias</w:t>
            </w:r>
          </w:p>
        </w:tc>
      </w:tr>
    </w:tbl>
    <w:p>
      <w:pPr>
        <w:pStyle w:val="Normal"/>
      </w:pPr>
      <w:r>
        <w:t xml:space="preserve">Ya no describe un hecho aislado, sino lo que ha venido pasando a lo largo del tiempo: eso es leer el patrón o la tendencia.</w:t>
      </w:r>
    </w:p>
    <w:p>
      <w:pPr>
        <w:pStyle w:val="Heading3"/>
      </w:pPr>
      <w:r>
        <w:t xml:space="preserve">1.7-A4</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c) ¿Qué relaciones y estructuras producen esos patrones?</w:t>
            </w:r>
          </w:p>
        </w:tc>
      </w:tr>
    </w:tbl>
    <w:p>
      <w:pPr>
        <w:pStyle w:val="Normal"/>
      </w:pPr>
      <w:r>
        <w:t xml:space="preserve">El nivel estructural busca las causas: políticas, incentivos, flujos y relaciones que generan una y otra vez el mismo patrón.</w:t>
      </w:r>
    </w:p>
    <w:p>
      <w:pPr>
        <w:pStyle w:val="Normal"/>
      </w:pPr>
      <w:r>
        <w:t xml:space="preserve">a) Esa es la pregunta del nivel de eventos.</w:t>
      </w:r>
    </w:p>
    <w:p>
      <w:pPr>
        <w:pStyle w:val="Normal"/>
      </w:pPr>
      <w:r>
        <w:t xml:space="preserve">b) Esa es la pregunta del nivel de patrones.</w:t>
      </w:r>
    </w:p>
    <w:p>
      <w:pPr>
        <w:pStyle w:val="Normal"/>
      </w:pPr>
      <w:r>
        <w:t xml:space="preserve">c) Correcto: las estructuras preguntan qué relaciones causan los patrones observados.</w:t>
      </w:r>
    </w:p>
    <w:p>
      <w:pPr>
        <w:pStyle w:val="Normal"/>
      </w:pPr>
      <w:r>
        <w:t xml:space="preserve">d) Esa es la pregunta del nivel de los modelos mentales.</w:t>
      </w:r>
    </w:p>
    <w:p>
      <w:pPr>
        <w:pStyle w:val="Heading3"/>
      </w:pPr>
      <w:r>
        <w:t xml:space="preserve">1.7-A5</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b) Cuanto más profundo, mayor apalancamiento</w:t>
            </w:r>
          </w:p>
        </w:tc>
      </w:tr>
    </w:tbl>
    <w:p>
      <w:pPr>
        <w:pStyle w:val="Normal"/>
      </w:pPr>
      <w:r>
        <w:t xml:space="preserve">Intervenir más abajo cuesta más y es más lento, pero produce cambios más profundos y duraderos: mayor apalancamiento. Reaccionar en la superficie es fácil pero deja intacta la causa.</w:t>
      </w:r>
    </w:p>
    <w:p>
      <w:pPr>
        <w:pStyle w:val="Fuente"/>
      </w:pPr>
      <w:r>
        <w:t xml:space="preserve">Puntos de apalancamiento (D. Meadows)</w:t>
      </w:r>
    </w:p>
    <w:p>
      <w:pPr>
        <w:pStyle w:val="Heading3"/>
      </w:pPr>
      <w:r>
        <w:t xml:space="preserve">1.7-A6</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c) Se quedó reaccionando en el nivel de eventos («apagando incendios»)</w:t>
            </w:r>
          </w:p>
        </w:tc>
      </w:tr>
    </w:tbl>
    <w:p>
      <w:pPr>
        <w:pStyle w:val="Normal"/>
      </w:pPr>
      <w:r>
        <w:t xml:space="preserve">Atender cada queja por separado es actuar en la superficie. Si la estructura que genera las fallas no cambia, el patrón de quejas se mantiene: es el clásico «apagar incendios».</w:t>
      </w:r>
    </w:p>
    <w:p>
      <w:pPr>
        <w:pStyle w:val="Heading3"/>
      </w:pPr>
      <w:r>
        <w:t xml:space="preserve">1.7-A7</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c) Las creencias, valores y supuestos que sostienen la estructura</w:t>
            </w:r>
          </w:p>
        </w:tc>
      </w:tr>
    </w:tbl>
    <w:p>
      <w:pPr>
        <w:pStyle w:val="Normal"/>
      </w:pPr>
      <w:r>
        <w:t xml:space="preserve">Los modelos mentales son los supuestos compartidos —muchas veces invisibles— que hacen que una estructura parezca «natural» o inevitable. Cambiarlos es la palanca más poderosa.</w:t>
      </w:r>
    </w:p>
    <w:p>
      <w:pPr>
        <w:pStyle w:val="Heading3"/>
      </w:pPr>
      <w:r>
        <w:t xml:space="preserve">1.7-A8</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b) Descender con las preguntas hasta las estructuras y los modelos mentales</w:t>
            </w:r>
          </w:p>
        </w:tc>
      </w:tr>
    </w:tbl>
    <w:p>
      <w:pPr>
        <w:pStyle w:val="Normal"/>
      </w:pPr>
      <w:r>
        <w:t xml:space="preserve">El iceberg se usa como diagnóstico: se baja pregunta por pregunta —de eventos a patrones, a estructuras, a modelos mentales— para intervenir donde el apalancamiento es mayor, sin quedarse en la superficie.</w:t>
      </w:r>
    </w:p>
    <w:p>
      <w:pPr>
        <w:pStyle w:val="Heading3"/>
      </w:pPr>
      <w:bookmarkStart w:name="b_solucion_ej_P03" w:id="1158"/>
      <w:r>
        <w:t xml:space="preserve">Solución 1.7-E1</w:t>
      </w:r>
      <w:bookmarkEnd w:id="1158"/>
    </w:p>
    <w:p>
      <w:pPr>
        <w:pStyle w:val="RecuadroTitulo"/>
      </w:pPr>
      <w:r>
        <w:t xml:space="preserve">Respuesta modelo</w:t>
      </w:r>
    </w:p>
    <w:p>
      <w:pPr>
        <w:pStyle w:val="Normal"/>
      </w:pPr>
      <w:r>
        <w:t xml:space="preserve">Cinco quejas hoy: evento. Aumento mensual: patrón. Registros duplicados y trabajo repetido: estructura. Creencia sobre formularios: modelo mental. Contrastar errores y trabajo por trámite permite investigar el mecanismo.</w:t>
      </w:r>
    </w:p>
    <w:p>
      <w:pPr>
        <w:pStyle w:val="Fuente"/>
        <w:sectPr>
          <w:headerReference w:type="default" r:id="rId84"/>
          <w:headerReference w:type="first" r:id="rId85"/>
          <w:headerReference w:type="even" r:id="rId86"/>
          <w:footerReference w:type="default" r:id="rId87"/>
          <w:footerReference w:type="first" r:id="rId88"/>
          <w:footerReference w:type="even" r:id="rId89"/>
          <w:type w:val="nextPage"/>
          <w:pgSz w:w="12240" w:h="15840" w:orient="portrait"/>
          <w:pgMar w:top="1361" w:right="1134" w:bottom="1361" w:left="1474" w:header="650" w:footer="680" w:gutter="0"/>
          <w:pgNumType/>
          <w:titlePg/>
          <w:docGrid w:linePitch="360"/>
        </w:sectPr>
      </w:pPr>
      <w:r>
        <w:t xml:space="preserve">Repaso seleccionado · guía recibida, pp. 3–5; lecciones de unidades 1–3.</w:t>
      </w:r>
    </w:p>
    <w:p>
      <w:pPr>
        <w:pStyle w:val="Heading2"/>
      </w:pPr>
      <w:bookmarkStart w:name="b_1_8" w:id="1159"/>
      <w:r>
        <w:t xml:space="preserve">1.8 · Hábitos del pensador</w:t>
      </w:r>
      <w:bookmarkEnd w:id="1159"/>
    </w:p>
    <w:p>
      <w:pPr>
        <w:pStyle w:val="Subtitulo"/>
      </w:pPr>
      <w:r>
        <w:t xml:space="preserve">Hábitos de un pensador sistémico tomando en cuenta el funcionamiento de los sistemas abstractos diseñados.</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En una línea</w:t>
            </w:r>
          </w:p>
          <w:p>
            <w:pPr>
              <w:pStyle w:val="Recuadro"/>
            </w:pPr>
            <w:r>
              <w:t xml:space="preserve">Cuatro hábitos, y cada uno se reconoce por las preguntas que obliga a hacerse.</w:t>
            </w:r>
          </w:p>
        </w:tc>
      </w:tr>
    </w:tbl>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Qué te preguntan</w:t>
            </w:r>
          </w:p>
          <w:p>
            <w:pPr>
              <w:pStyle w:val="Recuadro"/>
            </w:pPr>
            <w:r>
              <w:t xml:space="preserve">Nombrar los cuatro hábitos que la lámina asocia a los modelos mentales —considerar cómo los modelos mentales afectan la realidad actual y el futuro, reconocer y probar suposiciones, cambiar las perspectivas para aumentar la comprensión e intentar entender la «película completa»— y acompañar cada uno con al menos una de las preguntas que la propia lámina propone.</w:t>
            </w:r>
          </w:p>
        </w:tc>
      </w:tr>
    </w:tbl>
    <w:p>
      <w:pPr>
        <w:pStyle w:val="Normal"/>
      </w:pPr>
      <w:r>
        <w:t xml:space="preserve">De los catorce hábitos del pensador sistémico de Waters Foundation, la unidad 1 trabaja los cuatro ligados a los modelos mentales: reconoce y prueba suposiciones (su modelo es la escalera de inferencias), considera cómo los modelos mentales afectan la realidad actual y futura (el iceberg), cambia las perspectivas para aumentar la comprensión e intenta entender la «película completa». Cada uno se reconoce por las preguntas que obliga a hacerse.</w:t>
      </w:r>
    </w:p>
    <w:p>
      <w:pPr>
        <w:pStyle w:val="Heading3"/>
      </w:pPr>
      <w:r>
        <w:t xml:space="preserve">Vocabulario clave</w:t>
      </w:r>
    </w:p>
    <w:p>
      <w:pPr>
        <w:pStyle w:val="Normal"/>
      </w:pPr>
      <w:r>
        <w:t xml:space="preserve">hábitos del pensador sistémico (Waters Foundation; catorce en el póster) · reconoce y prueba suposiciones (escalera de inferencias) · considera cómo los modelos mentales afectan la realidad actual y futura (iceberg) · cambia las perspectivas para aumentar la comprensión («los zapatos de otro») · intenta entender la película completa (el bosque en vez del árbol) · perspectiva del espectador (objetiva; vista panorámica) · columna de la mano izquierda (O'Connor) · creadores de teorías</w:t>
      </w:r>
    </w:p>
    <w:p>
      <w:pPr>
        <w:pStyle w:val="Fuente"/>
      </w:pPr>
      <w:r>
        <w:t xml:space="preserve">Recorrido: desarrollo conceptual → presentaciones → explicación en clase → errores y fuentes → práctica → solucionario.</w:t>
      </w:r>
    </w:p>
    <w:p>
      <w:pPr>
        <w:pStyle w:val="Heading3"/>
      </w:pPr>
      <w:r>
        <w:t xml:space="preserve">Cuatro hábitos del curso y preguntas para practicarlos</w:t>
      </w:r>
    </w:p>
    <w:p>
      <w:pPr>
        <w:pStyle w:val="Normal"/>
      </w:pPr>
      <w:r>
        <w:t xml:space="preserve">El núcleo de la Unidad 1 reúne cuatro hábitos: considerar la influencia de los modelos mentales, reconocer y probar supuestos, cambiar de perspectiva e intentar comprender la película completa. Conexiones puede practicarse como ampliación del catálogo de catorce hábitos. La introducción del catálogo es un curso de entrada, no un hábito quince.</w:t>
      </w:r>
    </w:p>
    <w:p>
      <w:pPr>
        <w:pStyle w:val="Normal"/>
      </w:pPr>
      <w:r>
        <w:t xml:space="preserve">Para reconocer modelos: ¿qué creencia orientó la decisión y qué resultados produjo? Para facilitar que otro lo advierta: ¿qué dato observaste, qué supusiste y qué decisión cambió por eso? Escuchar su reconstrucción y contrastarla juntos ayuda más que imponerle una explicación.</w:t>
      </w:r>
    </w:p>
    <w:p>
      <w:pPr>
        <w:pStyle w:val="Normal"/>
      </w:pPr>
      <w:r>
        <w:t xml:space="preserve">Para probar supuestos: ¿qué experiencia los sostiene y cómo los comprobaríamos? Para ampliar perspectivas: ¿con quién hace falta conversar y qué podría ver que yo omito? Para la película completa: ¿qué horizonte de tiempo necesitamos, qué detalles importan y dónde podemos influir? Son preguntas de trabajo, no otra lista de hábitos.</w:t>
      </w:r>
    </w:p>
    <w:p>
      <w:pPr>
        <w:pStyle w:val="Fuente"/>
      </w:pPr>
      <w:r>
        <w:t xml:space="preserve">Presentación de la unidad 1 (C-5), pág. 23, 31, 32, 34 y 61 · Clase 3 · 01:02:32–01:06:19 · Clase 4 · 00:02:16–00:03:15 · Clase 5 · 00:01:58–00:03:36</w:t>
      </w:r>
    </w:p>
    <w:p>
      <w:pPr>
        <w:pStyle w:val="Heading3"/>
      </w:pPr>
      <w:r>
        <w:t xml:space="preserve">Michael: del episodio al patrón</w:t>
      </w:r>
    </w:p>
    <w:p>
      <w:pPr>
        <w:pStyle w:val="Normal"/>
      </w:pPr>
      <w:r>
        <w:t xml:space="preserve">En el caso de Michael, una crítica negativa de un cliente señala a un mesero. Antes de sancionarlo, el propietario comparte la queja e investiga si es un episodio aislado o un patrón; los más de tres meses de trabajo permiten contrastar un período mayor.</w:t>
      </w:r>
    </w:p>
    <w:p>
      <w:pPr>
        <w:pStyle w:val="Normal"/>
      </w:pPr>
      <w:r>
        <w:t xml:space="preserve">La película completa combina marco temporal, panorama y detalles relevantes. La vista del espectador permite tomar distancia para apreciar el conjunto; no concede una perspectiva infalible. Los laboratorios conservan esa exploración y la síntesis de los siete puntos de la Unidad 1.</w:t>
      </w:r>
    </w:p>
    <w:p>
      <w:pPr>
        <w:pStyle w:val="Fuente"/>
      </w:pPr>
      <w:r>
        <w:t xml:space="preserve">Presentación de la unidad 1 (C-5), pág. 51 y 58 · Clase 5 · 01:21:35–01:23:13</w:t>
      </w:r>
    </w:p>
    <w:p>
      <w:pPr>
        <w:pStyle w:val="Heading3"/>
      </w:pPr>
      <w:r>
        <w:t xml:space="preserve">Los cuatro hábitos ligados a los modelos mentales</w:t>
      </w:r>
    </w:p>
    <w:p>
      <w:pPr>
        <w:pStyle w:val="Normal"/>
      </w:pPr>
      <w:r>
        <w:t xml:space="preserve">El modelo de Waters Foundation describe el perfil del pensador sistémico por los comportamientos que más repite; un hábito es un comportamiento diario y repetido que moldea la conducta. Cada uno trae imagen, explicación y preguntas, sin orden obligatorio.</w:t>
      </w:r>
    </w:p>
    <w:p>
      <w:pPr>
        <w:pStyle w:val="Normal"/>
      </w:pPr>
      <w:r>
        <w:t xml:space="preserve">Desde la clase 1: todos somos creadores de teorías, generales y sistémicas o incompletas bajo supuestos no comprobados; el pensador sistémico reconoce que las suyas pueden ser equivocadas o imprecisas y se abre a validarlas, ampliarlas o completarlas.</w:t>
      </w:r>
    </w:p>
    <w:p>
      <w:pPr>
        <w:pStyle w:val="Normal"/>
      </w:pPr>
      <w:r>
        <w:t xml:space="preserve">La numeración varió entre clases; lo exigible es el enunciado de cada hábito y su modelo.</w:t>
      </w:r>
    </w:p>
    <w:p>
      <w:pPr>
        <w:pStyle w:val="Fuente"/>
      </w:pPr>
      <w:r>
        <w:t xml:space="preserve">Clase 1 · 00:16:05–00:16:27 · Clase 1 · 00:26:11–00:27:27 · Clase 1 · 00:32:40–00:34:18 · Clase 3 · 01:01:44–01:06:19 · Clase 3 · 01:38:54–01:39:22 · Clase 4 · 00:01:09–00:03:15 · Clase 4 · 00:06:55–00:07:53 · Clase 5 · 00:00:17–00:03:36 · Clase 5 · 00:40:45–00:42:14 · lámina c3-03 · lámina c4-01</w:t>
      </w:r>
    </w:p>
    <w:p>
      <w:pPr>
        <w:pStyle w:val="Heading3"/>
      </w:pPr>
      <w:r>
        <w:t xml:space="preserve">Reconoce y prueba suposiciones</w:t>
      </w:r>
    </w:p>
    <w:p>
      <w:pPr>
        <w:pStyle w:val="Normal"/>
      </w:pPr>
      <w:r>
        <w:t xml:space="preserve">«Un pensador sistémico reconoce y prueba suposiciones»; su modelo es la escalera de inferencias: conclusiones y percepciones pueden no ser completas y hay que reconocer cuáles son y ponerlas a prueba antes de darlas por válidas.</w:t>
      </w:r>
    </w:p>
    <w:p>
      <w:pPr>
        <w:pStyle w:val="Normal"/>
      </w:pPr>
      <w:r>
        <w:t xml:space="preserve">Sus preguntas hacen consciente cómo influyen mis supuestos, teorías y conclusiones, en qué datos me baso y qué filtro aplico; la indagación a otros pone a prueba el proceso.</w:t>
      </w:r>
    </w:p>
    <w:p>
      <w:pPr>
        <w:pStyle w:val="Fuente"/>
      </w:pPr>
      <w:r>
        <w:t xml:space="preserve">Clase 3 · 01:05:15–01:06:58 · Clase 3 · 01:07:00–01:09:17 · Clase 3 · 01:36:52–01:37:16 · Clase 4 · 00:04:45–00:06:04 · lámina c4-01</w:t>
      </w:r>
    </w:p>
    <w:p>
      <w:pPr>
        <w:pStyle w:val="Heading3"/>
      </w:pPr>
      <w:r>
        <w:t xml:space="preserve">Considera cómo los modelos mentales afectan la realidad actual y futura</w:t>
      </w:r>
    </w:p>
    <w:p>
      <w:pPr>
        <w:pStyle w:val="Normal"/>
      </w:pPr>
      <w:r>
        <w:t xml:space="preserve">Waters Foundation: todo pensador sistémico considera cómo los modelos mentales, sistemas de creencias o paradigmas, afectan la realidad actual o la del futuro; complementa al anterior y su modelo es el iceberg.</w:t>
      </w:r>
    </w:p>
    <w:p>
      <w:pPr>
        <w:pStyle w:val="Normal"/>
      </w:pPr>
      <w:r>
        <w:t xml:space="preserve">Practicarlo: saber que existen y su debilidad (aprendidos inconscientemente con información incompleta); evidenciar y corregir los supuestos; probarlos como realistas y útiles; cuestionarlos cada cierto tiempo y cuando algo no cuadra.</w:t>
      </w:r>
    </w:p>
    <w:p>
      <w:pPr>
        <w:pStyle w:val="Normal"/>
      </w:pPr>
      <w:r>
        <w:t xml:space="preserve">Columna de la mano izquierda (O'Connor): a la derecha de la hoja, la síntesis de lo que se dice; a la izquierda, lo que se cree y no se dice; a veces lo dicho no refleja lo creído, por eso los modelos mentales están al fondo.</w:t>
      </w:r>
    </w:p>
    <w:p>
      <w:pPr>
        <w:pStyle w:val="Fuente"/>
      </w:pPr>
      <w:r>
        <w:t xml:space="preserve">Clase 4 · 00:06:55–00:07:53 · Clase 4 · 01:19:00–01:20:18 · Clase 4 · 01:20:50–01:22:50 · Clase 4 · 01:30:10–01:30:36 · Clase 4 · 01:31:33–01:32:15 · lámina c4-01</w:t>
      </w:r>
    </w:p>
    <w:p>
      <w:pPr>
        <w:pStyle w:val="Heading3"/>
      </w:pPr>
      <w:r>
        <w:t xml:space="preserve">Cambia las perspectivas para aumentar la comprensión</w:t>
      </w:r>
    </w:p>
    <w:p>
      <w:pPr>
        <w:pStyle w:val="Normal"/>
      </w:pPr>
      <w:r>
        <w:t xml:space="preserve">«Un pensador sistémico cambia las perspectivas para aumentar la comprensión»: consciente de la escalera y de la eliminación, adopta temporalmente otras perspectivas, «los zapatos de otro», para ver qué elementos, relaciones e información no considera y recuperar lo que eliminó.</w:t>
      </w:r>
    </w:p>
    <w:p>
      <w:pPr>
        <w:pStyle w:val="Normal"/>
      </w:pPr>
      <w:r>
        <w:t xml:space="preserve">Preguntas de la lámina: si estoy abierto a otros puntos de vista y con quién debería hablar; luego identificar los supuestos de cada interpretación, incluida la propia, e intersecar las creencias válidas.</w:t>
      </w:r>
    </w:p>
    <w:p>
      <w:pPr>
        <w:pStyle w:val="Fuente"/>
      </w:pPr>
      <w:r>
        <w:t xml:space="preserve">Clase 4 · 00:54:57–00:55:33 · Clase 4 · 01:32:46–01:33:29 · Clase 5 · 00:03:14–00:08:41 · Clase 5 · 00:09:25–00:10:21</w:t>
      </w:r>
    </w:p>
    <w:p>
      <w:pPr>
        <w:pStyle w:val="Heading3"/>
      </w:pPr>
      <w:r>
        <w:t xml:space="preserve">Intenta entender la película completa</w:t>
      </w:r>
    </w:p>
    <w:p>
      <w:pPr>
        <w:pStyle w:val="Normal"/>
      </w:pPr>
      <w:r>
        <w:t xml:space="preserve">«El pensador sistémico intenta entender la película completa», no un fragmento; percibir parcialmente produce decisiones parciales. Se centra en el bosque en vez de los detalles de cualquier árbol: sólo con detalles no se aprecia el sistema.</w:t>
      </w:r>
    </w:p>
    <w:p>
      <w:pPr>
        <w:pStyle w:val="Normal"/>
      </w:pPr>
      <w:r>
        <w:t xml:space="preserve">Preguntas de la lámina: qué marco temporal considerar, el equilibrio entre lo global y los detalles, y las zonas de influencia frente a las de preocupación.</w:t>
      </w:r>
    </w:p>
    <w:p>
      <w:pPr>
        <w:pStyle w:val="Normal"/>
      </w:pPr>
      <w:r>
        <w:t xml:space="preserve">Perspectiva del espectador: la objetiva, de película completa, que ve todo lo que hay que ver; «vista panorámica» que pierde detalles y aprecia la totalidad.</w:t>
      </w:r>
    </w:p>
    <w:p>
      <w:pPr>
        <w:pStyle w:val="Fuente"/>
      </w:pPr>
      <w:r>
        <w:t xml:space="preserve">Clase 5 · 00:40:45–00:42:14 · Clase 5 · 00:43:45–00:44:25 · Clase 5 · 00:44:34–00:46:24 · Clase 5 · 00:48:56–00:49:37 · Clase 5 · 00:58:43–01:00:24 · Clase 5 · 01:21:35–01:23:13 · lámina c5-11</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Procedimiento</w:t>
            </w:r>
          </w:p>
          <w:p>
            <w:pPr>
              <w:pStyle w:val="Recuadro"/>
            </w:pPr>
            <w:r>
              <w:t xml:space="preserve">Cómo reconocer cada hábito por las preguntas que obliga a hacerse</w:t>
            </w:r>
          </w:p>
          <w:p>
            <w:pPr>
              <w:pStyle w:val="Recuadro"/>
            </w:pPr>
            <w:r>
              <w:t xml:space="preserve">1. </w:t>
            </w:r>
            <w:r>
              <w:rPr>
                <w:b/>
                <w:bCs/>
              </w:rPr>
              <w:t xml:space="preserve">Ubicar el hábito entre los cuatro.</w:t>
            </w:r>
            <w:r>
              <w:t xml:space="preserve"> Supuestos, datos o filtro: reconoce y prueba suposiciones; creencias que afectan lo que pasa: considera los modelos mentales; otros puntos de vista: cambia las perspectivas; marco temporal, totalidad y detalles: película completa. (Clase 3 · 01:03:24–01:06:19 · Clase 4 · 00:01:09–00:03:15 · lámina c4-01)</w:t>
            </w:r>
          </w:p>
          <w:p>
            <w:pPr>
              <w:pStyle w:val="Recuadro"/>
            </w:pPr>
            <w:r>
              <w:t xml:space="preserve">2. </w:t>
            </w:r>
            <w:r>
              <w:rPr>
                <w:b/>
                <w:bCs/>
              </w:rPr>
              <w:t xml:space="preserve">Reconoce y prueba suposiciones.</w:t>
            </w:r>
            <w:r>
              <w:t xml:space="preserve"> Preguntarse cómo influyen mis supuestos, en qué datos me baso y qué filtro aplico; luego probar: preguntar a la contraparte, investigar más datos del sistema real o hacer pruebas de hipótesis. (Clase 3 · 01:30:44–01:31:51 · Clase 4 · 00:04:45–00:06:04)</w:t>
            </w:r>
          </w:p>
          <w:p>
            <w:pPr>
              <w:pStyle w:val="Recuadro"/>
            </w:pPr>
            <w:r>
              <w:t xml:space="preserve">3. </w:t>
            </w:r>
            <w:r>
              <w:rPr>
                <w:b/>
                <w:bCs/>
              </w:rPr>
              <w:t xml:space="preserve">Considera los modelos mentales.</w:t>
            </w:r>
            <w:r>
              <w:t xml:space="preserve"> Preguntar qué creencias, propias o copiadas, sostienen lo que pasa hoy y lo que pasará; cuestionarlas cada cierto tiempo; escribir en la columna izquierda lo que se cree y no se dice. (Clase 4 · 00:06:55–00:07:53 · Clase 4 · 01:20:50–01:22:31 · Clase 4 · 01:31:33–01:32:15)</w:t>
            </w:r>
          </w:p>
          <w:p>
            <w:pPr>
              <w:pStyle w:val="Recuadro"/>
            </w:pPr>
            <w:r>
              <w:t xml:space="preserve">4. </w:t>
            </w:r>
            <w:r>
              <w:rPr>
                <w:b/>
                <w:bCs/>
              </w:rPr>
              <w:t xml:space="preserve">Cambia las perspectivas.</w:t>
            </w:r>
            <w:r>
              <w:t xml:space="preserve"> Preguntarse si estoy abierto a otros puntos de vista y con quién debería hablar; ponerse en los zapatos de otro para ver qué elementos, relaciones e información no se consideraban. (Clase 5 · 00:05:47–00:07:20 · Clase 5 · 00:07:57–00:08:41)</w:t>
            </w:r>
          </w:p>
          <w:p>
            <w:pPr>
              <w:pStyle w:val="Recuadro"/>
            </w:pPr>
            <w:r>
              <w:t xml:space="preserve">5. </w:t>
            </w:r>
            <w:r>
              <w:rPr>
                <w:b/>
                <w:bCs/>
              </w:rPr>
              <w:t xml:space="preserve">Intenta entender la película completa.</w:t>
            </w:r>
            <w:r>
              <w:t xml:space="preserve"> Preguntar qué marco temporal considerar, cómo equilibrar lo global y los detalles y qué está en la zona de influencia y qué sólo en la de preocupación; mirar el bosque antes que el árbol. (Clase 5 · 00:44:34–00:46:24 · Clase 5 · 00:48:56–00:49:37 · Clase 5 · 01:21:35–01:23:13 · lámina c5-11)</w:t>
            </w:r>
          </w:p>
          <w:p>
            <w:pPr>
              <w:pStyle w:val="Recuadro"/>
            </w:pPr>
            <w:r>
              <w:t xml:space="preserve">Cada hábito se reconoce por su pregunta y por su modelo: escalera, iceberg, otras perspectivas y película completa.</w:t>
            </w:r>
          </w:p>
        </w:tc>
      </w:tr>
    </w:tbl>
    <w:p>
      <w:pPr>
        <w:pStyle w:val="Heading3"/>
      </w:pPr>
      <w:bookmarkStart w:name="b_tabla_1_8_g1_habitos" w:id="1160"/>
      <w:r>
        <w:t xml:space="preserve">Catorce hábitos y una introducción del pensador sistémico</w:t>
      </w:r>
      <w:bookmarkEnd w:id="1160"/>
    </w:p>
    <w:tbl>
      <w:tblPr>
        <w:tblW w:type="dxa" w:w="9632"/>
        <w:tblBorders>
          <w:top w:val="single" w:color="C5D5DB" w:sz="4"/>
          <w:left w:val="single" w:color="C5D5DB" w:sz="4"/>
          <w:bottom w:val="single" w:color="C5D5DB" w:sz="4"/>
          <w:right w:val="single" w:color="C5D5DB" w:sz="4"/>
          <w:insideH w:val="single" w:color="E4E9EB" w:sz="3"/>
          <w:insideV w:val="single" w:color="E4E9EB" w:sz="3"/>
        </w:tblBorders>
        <w:tblLayout w:type="fixed"/>
      </w:tblPr>
      <w:tblGrid>
        <w:gridCol w:w="3212"/>
        <w:gridCol w:w="3210"/>
        <w:gridCol w:w="3210"/>
      </w:tblGrid>
      <w:tr>
        <w:trPr>
          <w:cantSplit/>
          <w:tblHeader/>
        </w:trPr>
        <w:tc>
          <w:tcPr>
            <w:tcW w:type="dxa" w:w="3212"/>
            <w:shd w:fill="DFEAF0" w:val="clear"/>
            <w:tcMar>
              <w:top w:type="dxa" w:w="80"/>
              <w:left w:type="dxa" w:w="100"/>
              <w:bottom w:type="dxa" w:w="80"/>
              <w:right w:type="dxa" w:w="100"/>
            </w:tcMar>
          </w:tcPr>
          <w:p>
            <w:pPr>
              <w:pStyle w:val="Tabla"/>
            </w:pPr>
            <w:r>
              <w:rPr>
                <w:b/>
                <w:bCs/>
              </w:rPr>
              <w:t xml:space="preserve">#</w:t>
            </w:r>
          </w:p>
        </w:tc>
        <w:tc>
          <w:tcPr>
            <w:tcW w:type="dxa" w:w="3210"/>
            <w:shd w:fill="DFEAF0" w:val="clear"/>
            <w:tcMar>
              <w:top w:type="dxa" w:w="80"/>
              <w:left w:type="dxa" w:w="100"/>
              <w:bottom w:type="dxa" w:w="80"/>
              <w:right w:type="dxa" w:w="100"/>
            </w:tcMar>
          </w:tcPr>
          <w:p>
            <w:pPr>
              <w:pStyle w:val="Tabla"/>
            </w:pPr>
            <w:r>
              <w:rPr>
                <w:b/>
                <w:bCs/>
              </w:rPr>
              <w:t xml:space="preserve">Hábito</w:t>
            </w:r>
          </w:p>
        </w:tc>
        <w:tc>
          <w:tcPr>
            <w:tcW w:type="dxa" w:w="3210"/>
            <w:shd w:fill="DFEAF0" w:val="clear"/>
            <w:tcMar>
              <w:top w:type="dxa" w:w="80"/>
              <w:left w:type="dxa" w:w="100"/>
              <w:bottom w:type="dxa" w:w="80"/>
              <w:right w:type="dxa" w:w="100"/>
            </w:tcMar>
          </w:tcPr>
          <w:p>
            <w:pPr>
              <w:pStyle w:val="Tabla"/>
            </w:pPr>
            <w:r>
              <w:rPr>
                <w:b/>
                <w:bCs/>
              </w:rPr>
              <w:t xml:space="preserve">Enunciado</w:t>
            </w:r>
          </w:p>
        </w:tc>
      </w:tr>
      <w:tr>
        <w:trPr>
          <w:cantSplit/>
          <w:tblHeader w:val="off"/>
        </w:trPr>
        <w:tc>
          <w:tcPr>
            <w:tcW w:type="dxa" w:w="3212"/>
            <w:tcMar>
              <w:top w:type="dxa" w:w="80"/>
              <w:left w:type="dxa" w:w="100"/>
              <w:bottom w:type="dxa" w:w="80"/>
              <w:right w:type="dxa" w:w="100"/>
            </w:tcMar>
          </w:tcPr>
          <w:p>
            <w:pPr>
              <w:pStyle w:val="Tabla"/>
            </w:pPr>
            <w:r>
              <w:t xml:space="preserve">00</w:t>
            </w:r>
          </w:p>
        </w:tc>
        <w:tc>
          <w:tcPr>
            <w:tcW w:type="dxa" w:w="3210"/>
            <w:tcMar>
              <w:top w:type="dxa" w:w="80"/>
              <w:left w:type="dxa" w:w="100"/>
              <w:bottom w:type="dxa" w:w="80"/>
              <w:right w:type="dxa" w:w="100"/>
            </w:tcMar>
          </w:tcPr>
          <w:p>
            <w:pPr>
              <w:pStyle w:val="Tabla"/>
            </w:pPr>
            <w:r>
              <w:t xml:space="preserve">Comenzando el viaje</w:t>
            </w:r>
          </w:p>
        </w:tc>
        <w:tc>
          <w:tcPr>
            <w:tcW w:type="dxa" w:w="3210"/>
            <w:tcMar>
              <w:top w:type="dxa" w:w="80"/>
              <w:left w:type="dxa" w:w="100"/>
              <w:bottom w:type="dxa" w:w="80"/>
              <w:right w:type="dxa" w:w="100"/>
            </w:tcMar>
          </w:tcPr>
          <w:p>
            <w:pPr>
              <w:pStyle w:val="Tabla"/>
            </w:pPr>
            <w:r>
              <w:t xml:space="preserve">Comienza tu viaje para convertirte en un pensador sistémico.</w:t>
            </w:r>
          </w:p>
        </w:tc>
      </w:tr>
      <w:tr>
        <w:trPr>
          <w:cantSplit/>
          <w:tblHeader w:val="off"/>
        </w:trPr>
        <w:tc>
          <w:tcPr>
            <w:tcW w:type="dxa" w:w="3212"/>
            <w:tcMar>
              <w:top w:type="dxa" w:w="80"/>
              <w:left w:type="dxa" w:w="100"/>
              <w:bottom w:type="dxa" w:w="80"/>
              <w:right w:type="dxa" w:w="100"/>
            </w:tcMar>
          </w:tcPr>
          <w:p>
            <w:pPr>
              <w:pStyle w:val="Tabla"/>
            </w:pPr>
            <w:r>
              <w:t xml:space="preserve">01</w:t>
            </w:r>
          </w:p>
        </w:tc>
        <w:tc>
          <w:tcPr>
            <w:tcW w:type="dxa" w:w="3210"/>
            <w:tcMar>
              <w:top w:type="dxa" w:w="80"/>
              <w:left w:type="dxa" w:w="100"/>
              <w:bottom w:type="dxa" w:w="80"/>
              <w:right w:type="dxa" w:w="100"/>
            </w:tcMar>
          </w:tcPr>
          <w:p>
            <w:pPr>
              <w:pStyle w:val="Tabla"/>
            </w:pPr>
            <w:r>
              <w:t xml:space="preserve">Hace conexiones significativas</w:t>
            </w:r>
          </w:p>
        </w:tc>
        <w:tc>
          <w:tcPr>
            <w:tcW w:type="dxa" w:w="3210"/>
            <w:tcMar>
              <w:top w:type="dxa" w:w="80"/>
              <w:left w:type="dxa" w:w="100"/>
              <w:bottom w:type="dxa" w:w="80"/>
              <w:right w:type="dxa" w:w="100"/>
            </w:tcMar>
          </w:tcPr>
          <w:p>
            <w:pPr>
              <w:pStyle w:val="Tabla"/>
            </w:pPr>
            <w:r>
              <w:t xml:space="preserve">Hace conexiones significativas dentro de los sistemas y entre ellos.</w:t>
            </w:r>
          </w:p>
        </w:tc>
      </w:tr>
      <w:tr>
        <w:trPr>
          <w:cantSplit/>
          <w:tblHeader w:val="off"/>
        </w:trPr>
        <w:tc>
          <w:tcPr>
            <w:tcW w:type="dxa" w:w="3212"/>
            <w:tcMar>
              <w:top w:type="dxa" w:w="80"/>
              <w:left w:type="dxa" w:w="100"/>
              <w:bottom w:type="dxa" w:w="80"/>
              <w:right w:type="dxa" w:w="100"/>
            </w:tcMar>
          </w:tcPr>
          <w:p>
            <w:pPr>
              <w:pStyle w:val="Tabla"/>
            </w:pPr>
            <w:r>
              <w:t xml:space="preserve">02</w:t>
            </w:r>
          </w:p>
        </w:tc>
        <w:tc>
          <w:tcPr>
            <w:tcW w:type="dxa" w:w="3210"/>
            <w:tcMar>
              <w:top w:type="dxa" w:w="80"/>
              <w:left w:type="dxa" w:w="100"/>
              <w:bottom w:type="dxa" w:w="80"/>
              <w:right w:type="dxa" w:w="100"/>
            </w:tcMar>
          </w:tcPr>
          <w:p>
            <w:pPr>
              <w:pStyle w:val="Tabla"/>
            </w:pPr>
            <w:r>
              <w:t xml:space="preserve">Busca el panorama general</w:t>
            </w:r>
          </w:p>
        </w:tc>
        <w:tc>
          <w:tcPr>
            <w:tcW w:type="dxa" w:w="3210"/>
            <w:tcMar>
              <w:top w:type="dxa" w:w="80"/>
              <w:left w:type="dxa" w:w="100"/>
              <w:bottom w:type="dxa" w:w="80"/>
              <w:right w:type="dxa" w:w="100"/>
            </w:tcMar>
          </w:tcPr>
          <w:p>
            <w:pPr>
              <w:pStyle w:val="Tabla"/>
            </w:pPr>
            <w:r>
              <w:t xml:space="preserve">Busca entender el panorama general (the big picture).</w:t>
            </w:r>
          </w:p>
        </w:tc>
      </w:tr>
      <w:tr>
        <w:trPr>
          <w:cantSplit/>
          <w:tblHeader w:val="off"/>
        </w:trPr>
        <w:tc>
          <w:tcPr>
            <w:tcW w:type="dxa" w:w="3212"/>
            <w:tcMar>
              <w:top w:type="dxa" w:w="80"/>
              <w:left w:type="dxa" w:w="100"/>
              <w:bottom w:type="dxa" w:w="80"/>
              <w:right w:type="dxa" w:w="100"/>
            </w:tcMar>
          </w:tcPr>
          <w:p>
            <w:pPr>
              <w:pStyle w:val="Tabla"/>
            </w:pPr>
            <w:r>
              <w:t xml:space="preserve">03</w:t>
            </w:r>
          </w:p>
        </w:tc>
        <w:tc>
          <w:tcPr>
            <w:tcW w:type="dxa" w:w="3210"/>
            <w:tcMar>
              <w:top w:type="dxa" w:w="80"/>
              <w:left w:type="dxa" w:w="100"/>
              <w:bottom w:type="dxa" w:w="80"/>
              <w:right w:type="dxa" w:w="100"/>
            </w:tcMar>
          </w:tcPr>
          <w:p>
            <w:pPr>
              <w:pStyle w:val="Tabla"/>
            </w:pPr>
            <w:r>
              <w:t xml:space="preserve">Cambia de perspectivas</w:t>
            </w:r>
          </w:p>
        </w:tc>
        <w:tc>
          <w:tcPr>
            <w:tcW w:type="dxa" w:w="3210"/>
            <w:tcMar>
              <w:top w:type="dxa" w:w="80"/>
              <w:left w:type="dxa" w:w="100"/>
              <w:bottom w:type="dxa" w:w="80"/>
              <w:right w:type="dxa" w:w="100"/>
            </w:tcMar>
          </w:tcPr>
          <w:p>
            <w:pPr>
              <w:pStyle w:val="Tabla"/>
            </w:pPr>
            <w:r>
              <w:t xml:space="preserve">Cambia de perspectivas para aumentar la comprensión.</w:t>
            </w:r>
          </w:p>
        </w:tc>
      </w:tr>
      <w:tr>
        <w:trPr>
          <w:cantSplit/>
          <w:tblHeader w:val="off"/>
        </w:trPr>
        <w:tc>
          <w:tcPr>
            <w:tcW w:type="dxa" w:w="3212"/>
            <w:tcMar>
              <w:top w:type="dxa" w:w="80"/>
              <w:left w:type="dxa" w:w="100"/>
              <w:bottom w:type="dxa" w:w="80"/>
              <w:right w:type="dxa" w:w="100"/>
            </w:tcMar>
          </w:tcPr>
          <w:p>
            <w:pPr>
              <w:pStyle w:val="Tabla"/>
            </w:pPr>
            <w:r>
              <w:t xml:space="preserve">04</w:t>
            </w:r>
          </w:p>
        </w:tc>
        <w:tc>
          <w:tcPr>
            <w:tcW w:type="dxa" w:w="3210"/>
            <w:tcMar>
              <w:top w:type="dxa" w:w="80"/>
              <w:left w:type="dxa" w:w="100"/>
              <w:bottom w:type="dxa" w:w="80"/>
              <w:right w:type="dxa" w:w="100"/>
            </w:tcMar>
          </w:tcPr>
          <w:p>
            <w:pPr>
              <w:pStyle w:val="Tabla"/>
            </w:pPr>
            <w:r>
              <w:t xml:space="preserve">Considera los modelos mentales</w:t>
            </w:r>
          </w:p>
        </w:tc>
        <w:tc>
          <w:tcPr>
            <w:tcW w:type="dxa" w:w="3210"/>
            <w:tcMar>
              <w:top w:type="dxa" w:w="80"/>
              <w:left w:type="dxa" w:w="100"/>
              <w:bottom w:type="dxa" w:w="80"/>
              <w:right w:type="dxa" w:w="100"/>
            </w:tcMar>
          </w:tcPr>
          <w:p>
            <w:pPr>
              <w:pStyle w:val="Tabla"/>
            </w:pPr>
            <w:r>
              <w:t xml:space="preserve">Considera cómo los modelos mentales afectan la realidad actual y el futuro.</w:t>
            </w:r>
          </w:p>
        </w:tc>
      </w:tr>
      <w:tr>
        <w:trPr>
          <w:cantSplit/>
          <w:tblHeader w:val="off"/>
        </w:trPr>
        <w:tc>
          <w:tcPr>
            <w:tcW w:type="dxa" w:w="3212"/>
            <w:tcMar>
              <w:top w:type="dxa" w:w="80"/>
              <w:left w:type="dxa" w:w="100"/>
              <w:bottom w:type="dxa" w:w="80"/>
              <w:right w:type="dxa" w:w="100"/>
            </w:tcMar>
          </w:tcPr>
          <w:p>
            <w:pPr>
              <w:pStyle w:val="Tabla"/>
            </w:pPr>
            <w:r>
              <w:t xml:space="preserve">05</w:t>
            </w:r>
          </w:p>
        </w:tc>
        <w:tc>
          <w:tcPr>
            <w:tcW w:type="dxa" w:w="3210"/>
            <w:tcMar>
              <w:top w:type="dxa" w:w="80"/>
              <w:left w:type="dxa" w:w="100"/>
              <w:bottom w:type="dxa" w:w="80"/>
              <w:right w:type="dxa" w:w="100"/>
            </w:tcMar>
          </w:tcPr>
          <w:p>
            <w:pPr>
              <w:pStyle w:val="Tabla"/>
            </w:pPr>
            <w:r>
              <w:t xml:space="preserve">Observa patrones en el tiempo</w:t>
            </w:r>
          </w:p>
        </w:tc>
        <w:tc>
          <w:tcPr>
            <w:tcW w:type="dxa" w:w="3210"/>
            <w:tcMar>
              <w:top w:type="dxa" w:w="80"/>
              <w:left w:type="dxa" w:w="100"/>
              <w:bottom w:type="dxa" w:w="80"/>
              <w:right w:type="dxa" w:w="100"/>
            </w:tcMar>
          </w:tcPr>
          <w:p>
            <w:pPr>
              <w:pStyle w:val="Tabla"/>
            </w:pPr>
            <w:r>
              <w:t xml:space="preserve">Observa cómo los elementos de un sistema cambian en el tiempo, generando patrones y tendencias.</w:t>
            </w:r>
          </w:p>
        </w:tc>
      </w:tr>
      <w:tr>
        <w:trPr>
          <w:cantSplit/>
          <w:tblHeader w:val="off"/>
        </w:trPr>
        <w:tc>
          <w:tcPr>
            <w:tcW w:type="dxa" w:w="3212"/>
            <w:tcMar>
              <w:top w:type="dxa" w:w="80"/>
              <w:left w:type="dxa" w:w="100"/>
              <w:bottom w:type="dxa" w:w="80"/>
              <w:right w:type="dxa" w:w="100"/>
            </w:tcMar>
          </w:tcPr>
          <w:p>
            <w:pPr>
              <w:pStyle w:val="Tabla"/>
            </w:pPr>
            <w:r>
              <w:t xml:space="preserve">06</w:t>
            </w:r>
          </w:p>
        </w:tc>
        <w:tc>
          <w:tcPr>
            <w:tcW w:type="dxa" w:w="3210"/>
            <w:tcMar>
              <w:top w:type="dxa" w:w="80"/>
              <w:left w:type="dxa" w:w="100"/>
              <w:bottom w:type="dxa" w:w="80"/>
              <w:right w:type="dxa" w:w="100"/>
            </w:tcMar>
          </w:tcPr>
          <w:p>
            <w:pPr>
              <w:pStyle w:val="Tabla"/>
            </w:pPr>
            <w:r>
              <w:t xml:space="preserve">Revela y prueba supuestos</w:t>
            </w:r>
          </w:p>
        </w:tc>
        <w:tc>
          <w:tcPr>
            <w:tcW w:type="dxa" w:w="3210"/>
            <w:tcMar>
              <w:top w:type="dxa" w:w="80"/>
              <w:left w:type="dxa" w:w="100"/>
              <w:bottom w:type="dxa" w:w="80"/>
              <w:right w:type="dxa" w:w="100"/>
            </w:tcMar>
          </w:tcPr>
          <w:p>
            <w:pPr>
              <w:pStyle w:val="Tabla"/>
            </w:pPr>
            <w:r>
              <w:t xml:space="preserve">Saca a la superficie y pone a prueba los supuestos.</w:t>
            </w:r>
          </w:p>
        </w:tc>
      </w:tr>
      <w:tr>
        <w:trPr>
          <w:cantSplit/>
          <w:tblHeader w:val="off"/>
        </w:trPr>
        <w:tc>
          <w:tcPr>
            <w:tcW w:type="dxa" w:w="3212"/>
            <w:tcMar>
              <w:top w:type="dxa" w:w="80"/>
              <w:left w:type="dxa" w:w="100"/>
              <w:bottom w:type="dxa" w:w="80"/>
              <w:right w:type="dxa" w:w="100"/>
            </w:tcMar>
          </w:tcPr>
          <w:p>
            <w:pPr>
              <w:pStyle w:val="Tabla"/>
            </w:pPr>
            <w:r>
              <w:t xml:space="preserve">07</w:t>
            </w:r>
          </w:p>
        </w:tc>
        <w:tc>
          <w:tcPr>
            <w:tcW w:type="dxa" w:w="3210"/>
            <w:tcMar>
              <w:top w:type="dxa" w:w="80"/>
              <w:left w:type="dxa" w:w="100"/>
              <w:bottom w:type="dxa" w:w="80"/>
              <w:right w:type="dxa" w:w="100"/>
            </w:tcMar>
          </w:tcPr>
          <w:p>
            <w:pPr>
              <w:pStyle w:val="Tabla"/>
            </w:pPr>
            <w:r>
              <w:t xml:space="preserve">La estructura genera el comportamiento</w:t>
            </w:r>
          </w:p>
        </w:tc>
        <w:tc>
          <w:tcPr>
            <w:tcW w:type="dxa" w:w="3210"/>
            <w:tcMar>
              <w:top w:type="dxa" w:w="80"/>
              <w:left w:type="dxa" w:w="100"/>
              <w:bottom w:type="dxa" w:w="80"/>
              <w:right w:type="dxa" w:w="100"/>
            </w:tcMar>
          </w:tcPr>
          <w:p>
            <w:pPr>
              <w:pStyle w:val="Tabla"/>
            </w:pPr>
            <w:r>
              <w:t xml:space="preserve">Reconoce que la estructura de un sistema genera su comportamiento.</w:t>
            </w:r>
          </w:p>
        </w:tc>
      </w:tr>
      <w:tr>
        <w:trPr>
          <w:cantSplit/>
          <w:tblHeader w:val="off"/>
        </w:trPr>
        <w:tc>
          <w:tcPr>
            <w:tcW w:type="dxa" w:w="3212"/>
            <w:tcMar>
              <w:top w:type="dxa" w:w="80"/>
              <w:left w:type="dxa" w:w="100"/>
              <w:bottom w:type="dxa" w:w="80"/>
              <w:right w:type="dxa" w:w="100"/>
            </w:tcMar>
          </w:tcPr>
          <w:p>
            <w:pPr>
              <w:pStyle w:val="Tabla"/>
            </w:pPr>
            <w:r>
              <w:t xml:space="preserve">08</w:t>
            </w:r>
          </w:p>
        </w:tc>
        <w:tc>
          <w:tcPr>
            <w:tcW w:type="dxa" w:w="3210"/>
            <w:tcMar>
              <w:top w:type="dxa" w:w="80"/>
              <w:left w:type="dxa" w:w="100"/>
              <w:bottom w:type="dxa" w:w="80"/>
              <w:right w:type="dxa" w:w="100"/>
            </w:tcMar>
          </w:tcPr>
          <w:p>
            <w:pPr>
              <w:pStyle w:val="Tabla"/>
            </w:pPr>
            <w:r>
              <w:t xml:space="preserve">Causa y efecto circular</w:t>
            </w:r>
          </w:p>
        </w:tc>
        <w:tc>
          <w:tcPr>
            <w:tcW w:type="dxa" w:w="3210"/>
            <w:tcMar>
              <w:top w:type="dxa" w:w="80"/>
              <w:left w:type="dxa" w:w="100"/>
              <w:bottom w:type="dxa" w:w="80"/>
              <w:right w:type="dxa" w:w="100"/>
            </w:tcMar>
          </w:tcPr>
          <w:p>
            <w:pPr>
              <w:pStyle w:val="Tabla"/>
            </w:pPr>
            <w:r>
              <w:t xml:space="preserve">Identifica la naturaleza circular de las relaciones complejas de causa y efecto.</w:t>
            </w:r>
          </w:p>
        </w:tc>
      </w:tr>
      <w:tr>
        <w:trPr>
          <w:cantSplit/>
          <w:tblHeader w:val="off"/>
        </w:trPr>
        <w:tc>
          <w:tcPr>
            <w:tcW w:type="dxa" w:w="3212"/>
            <w:tcMar>
              <w:top w:type="dxa" w:w="80"/>
              <w:left w:type="dxa" w:w="100"/>
              <w:bottom w:type="dxa" w:w="80"/>
              <w:right w:type="dxa" w:w="100"/>
            </w:tcMar>
          </w:tcPr>
          <w:p>
            <w:pPr>
              <w:pStyle w:val="Tabla"/>
            </w:pPr>
            <w:r>
              <w:t xml:space="preserve">09</w:t>
            </w:r>
          </w:p>
        </w:tc>
        <w:tc>
          <w:tcPr>
            <w:tcW w:type="dxa" w:w="3210"/>
            <w:tcMar>
              <w:top w:type="dxa" w:w="80"/>
              <w:left w:type="dxa" w:w="100"/>
              <w:bottom w:type="dxa" w:w="80"/>
              <w:right w:type="dxa" w:w="100"/>
            </w:tcMar>
          </w:tcPr>
          <w:p>
            <w:pPr>
              <w:pStyle w:val="Tabla"/>
            </w:pPr>
            <w:r>
              <w:t xml:space="preserve">Reconoce las demoras</w:t>
            </w:r>
          </w:p>
        </w:tc>
        <w:tc>
          <w:tcPr>
            <w:tcW w:type="dxa" w:w="3210"/>
            <w:tcMar>
              <w:top w:type="dxa" w:w="80"/>
              <w:left w:type="dxa" w:w="100"/>
              <w:bottom w:type="dxa" w:w="80"/>
              <w:right w:type="dxa" w:w="100"/>
            </w:tcMar>
          </w:tcPr>
          <w:p>
            <w:pPr>
              <w:pStyle w:val="Tabla"/>
            </w:pPr>
            <w:r>
              <w:t xml:space="preserve">Reconoce el impacto de las demoras de tiempo al explorar relaciones de causa y efecto.</w:t>
            </w:r>
          </w:p>
        </w:tc>
      </w:tr>
      <w:tr>
        <w:trPr>
          <w:cantSplit/>
          <w:tblHeader w:val="off"/>
        </w:trPr>
        <w:tc>
          <w:tcPr>
            <w:tcW w:type="dxa" w:w="3212"/>
            <w:tcMar>
              <w:top w:type="dxa" w:w="80"/>
              <w:left w:type="dxa" w:w="100"/>
              <w:bottom w:type="dxa" w:w="80"/>
              <w:right w:type="dxa" w:w="100"/>
            </w:tcMar>
          </w:tcPr>
          <w:p>
            <w:pPr>
              <w:pStyle w:val="Tabla"/>
            </w:pPr>
            <w:r>
              <w:t xml:space="preserve">10</w:t>
            </w:r>
          </w:p>
        </w:tc>
        <w:tc>
          <w:tcPr>
            <w:tcW w:type="dxa" w:w="3210"/>
            <w:tcMar>
              <w:top w:type="dxa" w:w="80"/>
              <w:left w:type="dxa" w:w="100"/>
              <w:bottom w:type="dxa" w:w="80"/>
              <w:right w:type="dxa" w:w="100"/>
            </w:tcMar>
          </w:tcPr>
          <w:p>
            <w:pPr>
              <w:pStyle w:val="Tabla"/>
            </w:pPr>
            <w:r>
              <w:t xml:space="preserve">Consecuencias de las acciones</w:t>
            </w:r>
          </w:p>
        </w:tc>
        <w:tc>
          <w:tcPr>
            <w:tcW w:type="dxa" w:w="3210"/>
            <w:tcMar>
              <w:top w:type="dxa" w:w="80"/>
              <w:left w:type="dxa" w:w="100"/>
              <w:bottom w:type="dxa" w:w="80"/>
              <w:right w:type="dxa" w:w="100"/>
            </w:tcMar>
          </w:tcPr>
          <w:p>
            <w:pPr>
              <w:pStyle w:val="Tabla"/>
            </w:pPr>
            <w:r>
              <w:t xml:space="preserve">Considera las consecuencias de corto plazo, de largo plazo e imprevistas de las acciones.</w:t>
            </w:r>
          </w:p>
        </w:tc>
      </w:tr>
      <w:tr>
        <w:trPr>
          <w:cantSplit/>
          <w:tblHeader w:val="off"/>
        </w:trPr>
        <w:tc>
          <w:tcPr>
            <w:tcW w:type="dxa" w:w="3212"/>
            <w:tcMar>
              <w:top w:type="dxa" w:w="80"/>
              <w:left w:type="dxa" w:w="100"/>
              <w:bottom w:type="dxa" w:w="80"/>
              <w:right w:type="dxa" w:w="100"/>
            </w:tcMar>
          </w:tcPr>
          <w:p>
            <w:pPr>
              <w:pStyle w:val="Tabla"/>
            </w:pPr>
            <w:r>
              <w:t xml:space="preserve">11</w:t>
            </w:r>
          </w:p>
        </w:tc>
        <w:tc>
          <w:tcPr>
            <w:tcW w:type="dxa" w:w="3210"/>
            <w:tcMar>
              <w:top w:type="dxa" w:w="80"/>
              <w:left w:type="dxa" w:w="100"/>
              <w:bottom w:type="dxa" w:w="80"/>
              <w:right w:type="dxa" w:w="100"/>
            </w:tcMar>
          </w:tcPr>
          <w:p>
            <w:pPr>
              <w:pStyle w:val="Tabla"/>
            </w:pPr>
            <w:r>
              <w:t xml:space="preserve">Considera el tema a fondo</w:t>
            </w:r>
          </w:p>
        </w:tc>
        <w:tc>
          <w:tcPr>
            <w:tcW w:type="dxa" w:w="3210"/>
            <w:tcMar>
              <w:top w:type="dxa" w:w="80"/>
              <w:left w:type="dxa" w:w="100"/>
              <w:bottom w:type="dxa" w:w="80"/>
              <w:right w:type="dxa" w:w="100"/>
            </w:tcMar>
          </w:tcPr>
          <w:p>
            <w:pPr>
              <w:pStyle w:val="Tabla"/>
            </w:pPr>
            <w:r>
              <w:t xml:space="preserve">Considera un asunto plenamente y resiste el impulso de llegar a una conclusión rápida.</w:t>
            </w:r>
          </w:p>
        </w:tc>
      </w:tr>
      <w:tr>
        <w:trPr>
          <w:cantSplit/>
          <w:tblHeader w:val="off"/>
        </w:trPr>
        <w:tc>
          <w:tcPr>
            <w:tcW w:type="dxa" w:w="3212"/>
            <w:tcMar>
              <w:top w:type="dxa" w:w="80"/>
              <w:left w:type="dxa" w:w="100"/>
              <w:bottom w:type="dxa" w:w="80"/>
              <w:right w:type="dxa" w:w="100"/>
            </w:tcMar>
          </w:tcPr>
          <w:p>
            <w:pPr>
              <w:pStyle w:val="Tabla"/>
            </w:pPr>
            <w:r>
              <w:t xml:space="preserve">12</w:t>
            </w:r>
          </w:p>
        </w:tc>
        <w:tc>
          <w:tcPr>
            <w:tcW w:type="dxa" w:w="3210"/>
            <w:tcMar>
              <w:top w:type="dxa" w:w="80"/>
              <w:left w:type="dxa" w:w="100"/>
              <w:bottom w:type="dxa" w:w="80"/>
              <w:right w:type="dxa" w:w="100"/>
            </w:tcMar>
          </w:tcPr>
          <w:p>
            <w:pPr>
              <w:pStyle w:val="Tabla"/>
            </w:pPr>
            <w:r>
              <w:t xml:space="preserve">Atiende las acumulaciones</w:t>
            </w:r>
          </w:p>
        </w:tc>
        <w:tc>
          <w:tcPr>
            <w:tcW w:type="dxa" w:w="3210"/>
            <w:tcMar>
              <w:top w:type="dxa" w:w="80"/>
              <w:left w:type="dxa" w:w="100"/>
              <w:bottom w:type="dxa" w:w="80"/>
              <w:right w:type="dxa" w:w="100"/>
            </w:tcMar>
          </w:tcPr>
          <w:p>
            <w:pPr>
              <w:pStyle w:val="Tabla"/>
            </w:pPr>
            <w:r>
              <w:t xml:space="preserve">Presta atención a las acumulaciones y a sus tasas de cambio.</w:t>
            </w:r>
          </w:p>
        </w:tc>
      </w:tr>
      <w:tr>
        <w:trPr>
          <w:cantSplit/>
          <w:tblHeader w:val="off"/>
        </w:trPr>
        <w:tc>
          <w:tcPr>
            <w:tcW w:type="dxa" w:w="3212"/>
            <w:tcMar>
              <w:top w:type="dxa" w:w="80"/>
              <w:left w:type="dxa" w:w="100"/>
              <w:bottom w:type="dxa" w:w="80"/>
              <w:right w:type="dxa" w:w="100"/>
            </w:tcMar>
          </w:tcPr>
          <w:p>
            <w:pPr>
              <w:pStyle w:val="Tabla"/>
            </w:pPr>
            <w:r>
              <w:t xml:space="preserve">13</w:t>
            </w:r>
          </w:p>
        </w:tc>
        <w:tc>
          <w:tcPr>
            <w:tcW w:type="dxa" w:w="3210"/>
            <w:tcMar>
              <w:top w:type="dxa" w:w="80"/>
              <w:left w:type="dxa" w:w="100"/>
              <w:bottom w:type="dxa" w:w="80"/>
              <w:right w:type="dxa" w:w="100"/>
            </w:tcMar>
          </w:tcPr>
          <w:p>
            <w:pPr>
              <w:pStyle w:val="Tabla"/>
            </w:pPr>
            <w:r>
              <w:t xml:space="preserve">Identifica el apalancamiento</w:t>
            </w:r>
          </w:p>
        </w:tc>
        <w:tc>
          <w:tcPr>
            <w:tcW w:type="dxa" w:w="3210"/>
            <w:tcMar>
              <w:top w:type="dxa" w:w="80"/>
              <w:left w:type="dxa" w:w="100"/>
              <w:bottom w:type="dxa" w:w="80"/>
              <w:right w:type="dxa" w:w="100"/>
            </w:tcMar>
          </w:tcPr>
          <w:p>
            <w:pPr>
              <w:pStyle w:val="Tabla"/>
            </w:pPr>
            <w:r>
              <w:t xml:space="preserve">Usa la comprensión de la estructura del sistema para identificar posibles acciones de apalancamiento.</w:t>
            </w:r>
          </w:p>
        </w:tc>
      </w:tr>
      <w:tr>
        <w:trPr>
          <w:cantSplit/>
          <w:tblHeader w:val="off"/>
        </w:trPr>
        <w:tc>
          <w:tcPr>
            <w:tcW w:type="dxa" w:w="3212"/>
            <w:tcMar>
              <w:top w:type="dxa" w:w="80"/>
              <w:left w:type="dxa" w:w="100"/>
              <w:bottom w:type="dxa" w:w="80"/>
              <w:right w:type="dxa" w:w="100"/>
            </w:tcMar>
          </w:tcPr>
          <w:p>
            <w:pPr>
              <w:pStyle w:val="Tabla"/>
            </w:pPr>
            <w:r>
              <w:t xml:space="preserve">14</w:t>
            </w:r>
          </w:p>
        </w:tc>
        <w:tc>
          <w:tcPr>
            <w:tcW w:type="dxa" w:w="3210"/>
            <w:tcMar>
              <w:top w:type="dxa" w:w="80"/>
              <w:left w:type="dxa" w:w="100"/>
              <w:bottom w:type="dxa" w:w="80"/>
              <w:right w:type="dxa" w:w="100"/>
            </w:tcMar>
          </w:tcPr>
          <w:p>
            <w:pPr>
              <w:pStyle w:val="Tabla"/>
            </w:pPr>
            <w:r>
              <w:t xml:space="preserve">Aproximación sucesiva</w:t>
            </w:r>
          </w:p>
        </w:tc>
        <w:tc>
          <w:tcPr>
            <w:tcW w:type="dxa" w:w="3210"/>
            <w:tcMar>
              <w:top w:type="dxa" w:w="80"/>
              <w:left w:type="dxa" w:w="100"/>
              <w:bottom w:type="dxa" w:w="80"/>
              <w:right w:type="dxa" w:w="100"/>
            </w:tcMar>
          </w:tcPr>
          <w:p>
            <w:pPr>
              <w:pStyle w:val="Tabla"/>
            </w:pPr>
            <w:r>
              <w:t xml:space="preserve">Verifica los resultados y cambia las acciones si es necesario: «aproximación sucesiva».</w:t>
            </w:r>
          </w:p>
        </w:tc>
      </w:tr>
    </w:tbl>
    <w:p>
      <w:pPr>
        <w:pStyle w:val="Fuente"/>
      </w:pPr>
      <w:r>
        <w:t xml:space="preserve">Catálogo completo del Waters Center. Por el parcial sólo entran los cuatro que la lámina liga a los modelos mentales; los hábitos no se dictaron uno por uno.</w:t>
      </w:r>
    </w:p>
    <w:p>
      <w:pPr>
        <w:pStyle w:val="Heading3"/>
      </w:pPr>
      <w:r>
        <w:t xml:space="preserve">Lo que dicen las presentaciones</w:t>
      </w:r>
    </w:p>
    <w:p>
      <w:pPr>
        <w:pStyle w:val="Heading3"/>
      </w:pPr>
      <w:bookmarkStart w:name="b_pagina_1_8_C_5_p2" w:id="1161"/>
      <w:r>
        <w:t xml:space="preserve">C-5 · página 2 · Programa y planificación de la Unidad 1</w:t>
      </w:r>
      <w:bookmarkEnd w:id="1161"/>
    </w:p>
    <w:p>
      <w:pPr>
        <w:pStyle w:val="Normal"/>
      </w:pPr>
      <w:r>
        <w:t xml:space="preserve">Los ocho temas de la unidad y la planificación histórica de julio.</w:t>
      </w:r>
    </w:p>
    <w:p>
      <w:bookmarkStart w:name="b_punto_c5_p002_08" w:id="1162"/>
      <w:r>
        <w:t xml:space="preserve">1.8 Hábitos asociados a sistemas abstractos diseñados.</w:t>
      </w:r>
      <w:bookmarkEnd w:id="1162"/>
    </w:p>
    <w:p>
      <w:pPr>
        <w:pStyle w:val="Fuente"/>
      </w:pPr>
      <w:r>
        <w:t xml:space="preserve">Véase </w:t>
      </w:r>
      <w:hyperlink w:history="1" w:anchor="b_1_1">
        <w:r>
          <w:rPr>
            <w:color w:val="156B70"/>
            <w:u w:val="single"/>
          </w:rPr>
          <w:t xml:space="preserve">capítulo 1.1 · Paradigmas y modelos mentales</w:t>
        </w:r>
      </w:hyperlink>
      <w:r>
        <w:t xml:space="preserve">, pág. </w:t>
      </w:r>
      <w:r>
        <w:fldChar w:fldCharType="begin"/>
        <w:instrText xml:space="preserve">PAGEREF b_1_1 \h</w:instrText>
        <w:fldChar w:fldCharType="separate"/>
        <w:t xml:space="preserve">19</w:t>
        <w:fldChar w:fldCharType="end"/>
      </w:r>
      <w:r>
        <w:t xml:space="preserve">.</w:t>
      </w:r>
    </w:p>
    <w:p>
      <w:pPr>
        <w:pStyle w:val="Fuente"/>
      </w:pPr>
      <w:r>
        <w:t xml:space="preserve">Véase </w:t>
      </w:r>
      <w:hyperlink w:history="1" w:anchor="b_1_2">
        <w:r>
          <w:rPr>
            <w:color w:val="156B70"/>
            <w:u w:val="single"/>
          </w:rPr>
          <w:t xml:space="preserve">capítulo 1.2 · Escalera de inferencias</w:t>
        </w:r>
      </w:hyperlink>
      <w:r>
        <w:t xml:space="preserve">, pág. </w:t>
      </w:r>
      <w:r>
        <w:fldChar w:fldCharType="begin"/>
        <w:instrText xml:space="preserve">PAGEREF b_1_2 \h</w:instrText>
        <w:fldChar w:fldCharType="separate"/>
        <w:t xml:space="preserve">55</w:t>
        <w:fldChar w:fldCharType="end"/>
      </w:r>
      <w:r>
        <w:t xml:space="preserve">.</w:t>
      </w:r>
    </w:p>
    <w:p>
      <w:pPr>
        <w:pStyle w:val="Fuente"/>
      </w:pPr>
      <w:r>
        <w:t xml:space="preserve">Véase </w:t>
      </w:r>
      <w:hyperlink w:history="1" w:anchor="b_1_3">
        <w:r>
          <w:rPr>
            <w:color w:val="156B70"/>
            <w:u w:val="single"/>
          </w:rPr>
          <w:t xml:space="preserve">capítulo 1.3 · El paradigma de sistemas</w:t>
        </w:r>
      </w:hyperlink>
      <w:r>
        <w:t xml:space="preserve">, pág. </w:t>
      </w:r>
      <w:r>
        <w:fldChar w:fldCharType="begin"/>
        <w:instrText xml:space="preserve">PAGEREF b_1_3 \h</w:instrText>
        <w:fldChar w:fldCharType="separate"/>
        <w:t xml:space="preserve">83</w:t>
        <w:fldChar w:fldCharType="end"/>
      </w:r>
      <w:r>
        <w:t xml:space="preserve">.</w:t>
      </w:r>
    </w:p>
    <w:p>
      <w:pPr>
        <w:pStyle w:val="Fuente"/>
      </w:pPr>
      <w:r>
        <w:t xml:space="preserve">Véase </w:t>
      </w:r>
      <w:hyperlink w:history="1" w:anchor="b_1_4">
        <w:r>
          <w:rPr>
            <w:color w:val="156B70"/>
            <w:u w:val="single"/>
          </w:rPr>
          <w:t xml:space="preserve">capítulo 1.4 · Sistémico vs no sistémico</w:t>
        </w:r>
      </w:hyperlink>
      <w:r>
        <w:t xml:space="preserve">, pág. </w:t>
      </w:r>
      <w:r>
        <w:fldChar w:fldCharType="begin"/>
        <w:instrText xml:space="preserve">PAGEREF b_1_4 \h</w:instrText>
        <w:fldChar w:fldCharType="separate"/>
        <w:t xml:space="preserve">104</w:t>
        <w:fldChar w:fldCharType="end"/>
      </w:r>
      <w:r>
        <w:t xml:space="preserve">.</w:t>
      </w:r>
    </w:p>
    <w:p>
      <w:pPr>
        <w:pStyle w:val="Fuente"/>
      </w:pPr>
      <w:r>
        <w:t xml:space="preserve">Véase </w:t>
      </w:r>
      <w:hyperlink w:history="1" w:anchor="b_1_5">
        <w:r>
          <w:rPr>
            <w:color w:val="156B70"/>
            <w:u w:val="single"/>
          </w:rPr>
          <w:t xml:space="preserve">capítulo 1.5 · Perspectivas</w:t>
        </w:r>
      </w:hyperlink>
      <w:r>
        <w:t xml:space="preserve">, pág. </w:t>
      </w:r>
      <w:r>
        <w:fldChar w:fldCharType="begin"/>
        <w:instrText xml:space="preserve">PAGEREF b_1_5 \h</w:instrText>
        <w:fldChar w:fldCharType="separate"/>
        <w:t xml:space="preserve">125</w:t>
        <w:fldChar w:fldCharType="end"/>
      </w:r>
      <w:r>
        <w:t xml:space="preserve">.</w:t>
      </w:r>
    </w:p>
    <w:p>
      <w:pPr>
        <w:pStyle w:val="Fuente"/>
      </w:pPr>
      <w:r>
        <w:t xml:space="preserve">Véase </w:t>
      </w:r>
      <w:hyperlink w:history="1" w:anchor="b_1_6">
        <w:r>
          <w:rPr>
            <w:color w:val="156B70"/>
            <w:u w:val="single"/>
          </w:rPr>
          <w:t xml:space="preserve">capítulo 1.6 · Operaciones DSRP</w:t>
        </w:r>
      </w:hyperlink>
      <w:r>
        <w:t xml:space="preserve">, pág. </w:t>
      </w:r>
      <w:r>
        <w:fldChar w:fldCharType="begin"/>
        <w:instrText xml:space="preserve">PAGEREF b_1_6 \h</w:instrText>
        <w:fldChar w:fldCharType="separate"/>
        <w:t xml:space="preserve">150</w:t>
        <w:fldChar w:fldCharType="end"/>
      </w:r>
      <w:r>
        <w:t xml:space="preserve">.</w:t>
      </w:r>
    </w:p>
    <w:p>
      <w:pPr>
        <w:pStyle w:val="Fuente"/>
      </w:pPr>
      <w:r>
        <w:t xml:space="preserve">Véase </w:t>
      </w:r>
      <w:hyperlink w:history="1" w:anchor="b_1_7">
        <w:r>
          <w:rPr>
            <w:color w:val="156B70"/>
            <w:u w:val="single"/>
          </w:rPr>
          <w:t xml:space="preserve">capítulo 1.7 · Niveles — modelo del iceberg</w:t>
        </w:r>
      </w:hyperlink>
      <w:r>
        <w:t xml:space="preserve">, pág. </w:t>
      </w:r>
      <w:r>
        <w:fldChar w:fldCharType="begin"/>
        <w:instrText xml:space="preserve">PAGEREF b_1_7 \h</w:instrText>
        <w:fldChar w:fldCharType="separate"/>
        <w:t xml:space="preserve">175</w:t>
        <w:fldChar w:fldCharType="end"/>
      </w:r>
      <w:r>
        <w:t xml:space="preserve">.</w:t>
      </w:r>
    </w:p>
    <w:p>
      <w:pPr>
        <w:pStyle w:val="Heading3"/>
      </w:pPr>
      <w:bookmarkStart w:name="b_pagina_1_8_C_5_p22" w:id="1163"/>
      <w:r>
        <w:t xml:space="preserve">C-5 · página 22 · Los catorce hábitos del pensador de sistemas</w:t>
      </w:r>
      <w:bookmarkEnd w:id="1163"/>
    </w:p>
    <w:p>
      <w:pPr>
        <w:pStyle w:val="Normal"/>
      </w:pPr>
      <w:r>
        <w:t xml:space="preserve">Póster general de catorce hábitos; el catálogo del portal utiliza otra numeración.</w:t>
      </w:r>
    </w:p>
    <w:p>
      <w:pPr>
        <w:pStyle w:val="Fuente"/>
      </w:pPr>
      <w:r>
        <w:t xml:space="preserve">Proyección o explicación: Clase 3 · 01:02:03 · captura c3-03.</w:t>
      </w:r>
    </w:p>
    <w:p>
      <w:pPr>
        <w:keepNext/>
        <w:spacing w:after="40" w:before="150"/>
        <w:jc w:val="center"/>
      </w:pPr>
      <w:bookmarkStart w:name="b_figura_original_pagina_C_5_22" w:id="1164"/>
      <w:bookmarkEnd w:id="1164"/>
      <w:r>
        <w:drawing>
          <wp:inline distT="0" distB="0" distL="0" distR="0">
            <wp:extent cx="5381625" cy="4162425"/>
            <wp:effectExtent t="0" r="0" b="0" l="0"/>
            <wp:docPr id="24" name="pagina-C-5-22" descr="Presentación C-5, pág. 22" title="Los catorce hábitos del pensador de siste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13" cstate="none"/>
                    <a:srcRect/>
                    <a:stretch>
                      <a:fillRect/>
                    </a:stretch>
                  </pic:blipFill>
                  <pic:spPr bwMode="auto">
                    <a:xfrm>
                      <a:off x="0" y="0"/>
                      <a:ext cx="5381625" cy="4162425"/>
                    </a:xfrm>
                    <a:prstGeom prst="rect">
                      <a:avLst/>
                    </a:prstGeom>
                  </pic:spPr>
                </pic:pic>
              </a:graphicData>
            </a:graphic>
          </wp:inline>
        </w:drawing>
      </w:r>
    </w:p>
    <w:p>
      <w:pPr>
        <w:pStyle w:val="PieFigura"/>
        <w:keepNext/>
      </w:pPr>
      <w:bookmarkStart w:name="b_fig_1_8_1" w:id="1165"/>
      <w:r>
        <w:t xml:space="preserve">Figura 1.8.</w:t>
      </w:r>
      <w:fldSimple w:instr="SEQ Figura \r 1 \* ARABIC">
        <w:r>
          <w:t xml:space="preserve">1</w:t>
        </w:r>
      </w:fldSimple>
      <w:r>
        <w:t xml:space="preserve"> · Los catorce hábitos del pensador de sistemas</w:t>
      </w:r>
      <w:bookmarkEnd w:id="1165"/>
    </w:p>
    <w:p>
      <w:pPr>
        <w:pStyle w:val="Fuente"/>
      </w:pPr>
      <w:r>
        <w:t xml:space="preserve">Presentación C-5, pág. 22</w:t>
      </w:r>
    </w:p>
    <w:p>
      <w:bookmarkStart w:name="b_punto_c5_p022_01" w:id="1166"/>
      <w:r>
        <w:t xml:space="preserve">Panorama general: comprender la totalidad antes de centrarse en un detalle.</w:t>
      </w:r>
      <w:bookmarkEnd w:id="1166"/>
    </w:p>
    <w:p>
      <w:bookmarkStart w:name="b_punto_c5_p022_02" w:id="1167"/>
      <w:r>
        <w:t xml:space="preserve">Patrones: observar cómo cambian los elementos a lo largo del tiempo.</w:t>
      </w:r>
      <w:bookmarkEnd w:id="1167"/>
    </w:p>
    <w:p>
      <w:bookmarkStart w:name="b_punto_c5_p022_03" w:id="1168"/>
      <w:r>
        <w:t xml:space="preserve">Estructura: reconocer que la organización sistémica genera el comportamiento.</w:t>
      </w:r>
      <w:bookmarkEnd w:id="1168"/>
    </w:p>
    <w:p>
      <w:bookmarkStart w:name="b_punto_c5_p022_04" w:id="1169"/>
      <w:r>
        <w:t xml:space="preserve">Causalidad circular: identificar relaciones recíprocas de causa y efecto.</w:t>
      </w:r>
      <w:bookmarkEnd w:id="1169"/>
    </w:p>
    <w:p>
      <w:bookmarkStart w:name="b_punto_c5_p022_05" w:id="1170"/>
      <w:r>
        <w:t xml:space="preserve">Conexiones: buscar vínculos significativos dentro de los sistemas y entre ellos.</w:t>
      </w:r>
      <w:bookmarkEnd w:id="1170"/>
    </w:p>
    <w:p>
      <w:bookmarkStart w:name="b_punto_c5_p022_06" w:id="1171"/>
      <w:r>
        <w:t xml:space="preserve">Perspectivas: cambiar el punto desde el que se observa para comprender más.</w:t>
      </w:r>
      <w:bookmarkEnd w:id="1171"/>
    </w:p>
    <w:p>
      <w:bookmarkStart w:name="b_punto_c5_p022_07" w:id="1172"/>
      <w:r>
        <w:t xml:space="preserve">Suposiciones: hacerlas conscientes y contrastarlas con evidencia.</w:t>
      </w:r>
      <w:bookmarkEnd w:id="1172"/>
    </w:p>
    <w:p>
      <w:bookmarkStart w:name="b_punto_c5_p022_09" w:id="1173"/>
      <w:r>
        <w:t xml:space="preserve">Modelos mentales: considerar sus efectos sobre la realidad actual y futura.</w:t>
      </w:r>
      <w:bookmarkEnd w:id="1173"/>
    </w:p>
    <w:p>
      <w:pPr>
        <w:pStyle w:val="Fuente"/>
      </w:pPr>
      <w:r>
        <w:t xml:space="preserve">Véase </w:t>
      </w:r>
      <w:hyperlink w:history="1" w:anchor="b_4_6">
        <w:r>
          <w:rPr>
            <w:color w:val="156B70"/>
            <w:u w:val="single"/>
          </w:rPr>
          <w:t xml:space="preserve">capítulo 4.6 · Toma de decisiones</w:t>
        </w:r>
      </w:hyperlink>
      <w:r>
        <w:t xml:space="preserve">, pág. </w:t>
      </w:r>
      <w:r>
        <w:fldChar w:fldCharType="begin"/>
        <w:instrText xml:space="preserve">PAGEREF b_4_6 \h</w:instrText>
        <w:fldChar w:fldCharType="separate"/>
        <w:t xml:space="preserve">884</w:t>
        <w:fldChar w:fldCharType="end"/>
      </w:r>
      <w:r>
        <w:t xml:space="preserve">.</w:t>
      </w:r>
    </w:p>
    <w:p>
      <w:pPr>
        <w:pStyle w:val="Fuente"/>
      </w:pPr>
      <w:r>
        <w:t xml:space="preserve">Véase </w:t>
      </w:r>
      <w:hyperlink w:history="1" w:anchor="b_4_2">
        <w:r>
          <w:rPr>
            <w:color w:val="156B70"/>
            <w:u w:val="single"/>
          </w:rPr>
          <w:t xml:space="preserve">capítulo 4.2 · Flujos y niveles</w:t>
        </w:r>
      </w:hyperlink>
      <w:r>
        <w:t xml:space="preserve">, pág. </w:t>
      </w:r>
      <w:r>
        <w:fldChar w:fldCharType="begin"/>
        <w:instrText xml:space="preserve">PAGEREF b_4_2 \h</w:instrText>
        <w:fldChar w:fldCharType="separate"/>
        <w:t xml:space="preserve">709</w:t>
        <w:fldChar w:fldCharType="end"/>
      </w:r>
      <w:r>
        <w:t xml:space="preserve">.</w:t>
      </w:r>
    </w:p>
    <w:p>
      <w:pPr>
        <w:pStyle w:val="Fuente"/>
      </w:pPr>
      <w:r>
        <w:t xml:space="preserve">Véase </w:t>
      </w:r>
      <w:hyperlink w:history="1" w:anchor="b_3_7">
        <w:r>
          <w:rPr>
            <w:color w:val="156B70"/>
            <w:u w:val="single"/>
          </w:rPr>
          <w:t xml:space="preserve">capítulo 3.7 · Demoras de tiempo</w:t>
        </w:r>
      </w:hyperlink>
      <w:r>
        <w:t xml:space="preserve">, pág. </w:t>
      </w:r>
      <w:r>
        <w:fldChar w:fldCharType="begin"/>
        <w:instrText xml:space="preserve">PAGEREF b_3_7 \h</w:instrText>
        <w:fldChar w:fldCharType="separate"/>
        <w:t xml:space="preserve">580</w:t>
        <w:fldChar w:fldCharType="end"/>
      </w:r>
      <w:r>
        <w:t xml:space="preserve">.</w:t>
      </w:r>
    </w:p>
    <w:p>
      <w:pPr>
        <w:pStyle w:val="Heading3"/>
      </w:pPr>
      <w:bookmarkStart w:name="b_pagina_1_8_C_5_p23" w:id="1174"/>
      <w:r>
        <w:t xml:space="preserve">C-5 · página 23 · Hábitos básicos de un pensador sistémico</w:t>
      </w:r>
      <w:bookmarkEnd w:id="1174"/>
    </w:p>
    <w:p>
      <w:pPr>
        <w:pStyle w:val="Normal"/>
      </w:pPr>
      <w:r>
        <w:t xml:space="preserve">Cuatro hábitos de la Unidad 1 con sus modelos y preguntas para practicarlos.</w:t>
      </w:r>
    </w:p>
    <w:p>
      <w:pPr>
        <w:pStyle w:val="Fuente"/>
      </w:pPr>
      <w:r>
        <w:t xml:space="preserve">Proyección o explicación: Clase 3 · 01:04:01 · captura c3-04.</w:t>
      </w:r>
    </w:p>
    <w:p>
      <w:pPr>
        <w:keepNext/>
        <w:spacing w:after="40" w:before="150"/>
        <w:jc w:val="center"/>
      </w:pPr>
      <w:bookmarkStart w:name="b_figura_original_pagina_C_5_23" w:id="1175"/>
      <w:bookmarkEnd w:id="1175"/>
      <w:r>
        <w:drawing>
          <wp:inline distT="0" distB="0" distL="0" distR="0">
            <wp:extent cx="5381625" cy="4162425"/>
            <wp:effectExtent t="0" r="0" b="0" l="0"/>
            <wp:docPr id="25" name="pagina-C-5-23" descr="Presentación C-5, pág. 23" title="Hábitos básicos de un pensador sistémi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14" cstate="none"/>
                    <a:srcRect/>
                    <a:stretch>
                      <a:fillRect/>
                    </a:stretch>
                  </pic:blipFill>
                  <pic:spPr bwMode="auto">
                    <a:xfrm>
                      <a:off x="0" y="0"/>
                      <a:ext cx="5381625" cy="4162425"/>
                    </a:xfrm>
                    <a:prstGeom prst="rect">
                      <a:avLst/>
                    </a:prstGeom>
                  </pic:spPr>
                </pic:pic>
              </a:graphicData>
            </a:graphic>
          </wp:inline>
        </w:drawing>
      </w:r>
    </w:p>
    <w:p>
      <w:pPr>
        <w:pStyle w:val="PieFigura"/>
        <w:keepNext/>
      </w:pPr>
      <w:bookmarkStart w:name="b_fig_1_8_2" w:id="1176"/>
      <w:r>
        <w:t xml:space="preserve">Figura 1.8.</w:t>
      </w:r>
      <w:fldSimple w:instr="SEQ Figura \n \* ARABIC">
        <w:r>
          <w:t xml:space="preserve">2</w:t>
        </w:r>
      </w:fldSimple>
      <w:r>
        <w:t xml:space="preserve"> · Hábitos básicos de un pensador sistémico</w:t>
      </w:r>
      <w:bookmarkEnd w:id="1176"/>
    </w:p>
    <w:p>
      <w:pPr>
        <w:pStyle w:val="Fuente"/>
      </w:pPr>
      <w:r>
        <w:t xml:space="preserve">Presentación C-5, pág. 23</w:t>
      </w:r>
    </w:p>
    <w:p>
      <w:bookmarkStart w:name="b_punto_c5_p023_01" w:id="1177"/>
      <w:r>
        <w:t xml:space="preserve">Los modelos mentales influyen en las perspectivas y acciones; el iceberg permite examinar los supuestos que sostienen los resultados.</w:t>
      </w:r>
      <w:bookmarkEnd w:id="1177"/>
    </w:p>
    <w:p>
      <w:bookmarkStart w:name="b_punto_c5_p023_02" w:id="1178"/>
      <w:r>
        <w:t xml:space="preserve">Probar suposiciones requiere contrastar teorías y experiencias con el sistema, utilizando preguntas e hipótesis alternativas.</w:t>
      </w:r>
      <w:bookmarkEnd w:id="1178"/>
    </w:p>
    <w:p>
      <w:bookmarkStart w:name="b_punto_c5_p023_03" w:id="1179"/>
      <w:r>
        <w:t xml:space="preserve">Cambiar perspectivas requiere apertura, otras personas y disposición a revisar la propia opinión.</w:t>
      </w:r>
      <w:bookmarkEnd w:id="1179"/>
    </w:p>
    <w:p>
      <w:bookmarkStart w:name="b_punto_c5_p023_04" w:id="1180"/>
      <w:r>
        <w:t xml:space="preserve">La película completa exige equilibrar totalidad y detalle, escoger horizonte temporal y diferenciar influencia de preocupación.</w:t>
      </w:r>
      <w:bookmarkEnd w:id="1180"/>
    </w:p>
    <w:p>
      <w:bookmarkStart w:name="b_punto_c5_p023_05" w:id="1181"/>
      <w:r>
        <w:t xml:space="preserve">La Unidad 1 selecciona cuatro hábitos: considerar modelos mentales, probar supuestos, cambiar perspectivas y comprender la película completa; conexiones se conserva como ampliación explícita.</w:t>
      </w:r>
      <w:bookmarkEnd w:id="1181"/>
    </w:p>
    <w:p>
      <w:pPr>
        <w:pStyle w:val="Heading3"/>
      </w:pPr>
      <w:bookmarkStart w:name="b_pagina_1_8_C_5_p31" w:id="1182"/>
      <w:r>
        <w:t xml:space="preserve">C-5 · página 31 · Hábitos que construyen modelos mentales sistémicos</w:t>
      </w:r>
      <w:bookmarkEnd w:id="1182"/>
    </w:p>
    <w:p>
      <w:pPr>
        <w:pStyle w:val="Normal"/>
      </w:pPr>
      <w:r>
        <w:t xml:space="preserve">Síntesis de los cuatro hábitos del núcleo de la Unidad 1.</w:t>
      </w:r>
    </w:p>
    <w:p>
      <w:pPr>
        <w:pStyle w:val="Fuente"/>
      </w:pPr>
      <w:r>
        <w:t xml:space="preserve">Proyección o explicación: Clase 3 · 01:38:49 · captura c3-13.</w:t>
      </w:r>
    </w:p>
    <w:p>
      <w:pPr>
        <w:keepNext/>
        <w:spacing w:after="40" w:before="150"/>
        <w:jc w:val="center"/>
      </w:pPr>
      <w:bookmarkStart w:name="b_figura_original_pagina_C_5_31" w:id="1183"/>
      <w:bookmarkEnd w:id="1183"/>
      <w:r>
        <w:drawing>
          <wp:inline distT="0" distB="0" distL="0" distR="0">
            <wp:extent cx="5381625" cy="4162425"/>
            <wp:effectExtent t="0" r="0" b="0" l="0"/>
            <wp:docPr id="26" name="pagina-C-5-31" descr="Presentación C-5, pág. 31" title="Hábitos que construyen modelos mentales sistémic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15" cstate="none"/>
                    <a:srcRect/>
                    <a:stretch>
                      <a:fillRect/>
                    </a:stretch>
                  </pic:blipFill>
                  <pic:spPr bwMode="auto">
                    <a:xfrm>
                      <a:off x="0" y="0"/>
                      <a:ext cx="5381625" cy="4162425"/>
                    </a:xfrm>
                    <a:prstGeom prst="rect">
                      <a:avLst/>
                    </a:prstGeom>
                  </pic:spPr>
                </pic:pic>
              </a:graphicData>
            </a:graphic>
          </wp:inline>
        </w:drawing>
      </w:r>
    </w:p>
    <w:p>
      <w:pPr>
        <w:pStyle w:val="PieFigura"/>
        <w:keepNext/>
      </w:pPr>
      <w:bookmarkStart w:name="b_fig_1_8_3" w:id="1184"/>
      <w:r>
        <w:t xml:space="preserve">Figura 1.8.</w:t>
      </w:r>
      <w:fldSimple w:instr="SEQ Figura \n \* ARABIC">
        <w:r>
          <w:t xml:space="preserve">3</w:t>
        </w:r>
      </w:fldSimple>
      <w:r>
        <w:t xml:space="preserve"> · Hábitos que construyen modelos mentales sistémicos</w:t>
      </w:r>
      <w:bookmarkEnd w:id="1184"/>
    </w:p>
    <w:p>
      <w:pPr>
        <w:pStyle w:val="Fuente"/>
      </w:pPr>
      <w:r>
        <w:t xml:space="preserve">Presentación C-5, pág. 31</w:t>
      </w:r>
    </w:p>
    <w:p>
      <w:bookmarkStart w:name="b_punto_c5_p031_01" w:id="1185"/>
      <w:r>
        <w:t xml:space="preserve">Los modelos mentales influyen en las perspectivas y acciones; el iceberg permite examinar los supuestos que sostienen los resultados.</w:t>
      </w:r>
      <w:bookmarkEnd w:id="1185"/>
    </w:p>
    <w:p>
      <w:bookmarkStart w:name="b_punto_c5_p031_02" w:id="1186"/>
      <w:r>
        <w:t xml:space="preserve">Probar suposiciones requiere contrastar teorías y experiencias con el sistema, utilizando preguntas e hipótesis alternativas.</w:t>
      </w:r>
      <w:bookmarkEnd w:id="1186"/>
    </w:p>
    <w:p>
      <w:bookmarkStart w:name="b_punto_c5_p031_03" w:id="1187"/>
      <w:r>
        <w:t xml:space="preserve">Cambiar perspectivas requiere apertura, otras personas y disposición a revisar la propia opinión.</w:t>
      </w:r>
      <w:bookmarkEnd w:id="1187"/>
    </w:p>
    <w:p>
      <w:bookmarkStart w:name="b_punto_c5_p031_04" w:id="1188"/>
      <w:r>
        <w:t xml:space="preserve">La película completa exige equilibrar totalidad y detalle, escoger horizonte temporal y diferenciar influencia de preocupación.</w:t>
      </w:r>
      <w:bookmarkEnd w:id="1188"/>
    </w:p>
    <w:p>
      <w:bookmarkStart w:name="b_punto_c5_p031_05" w:id="1189"/>
      <w:r>
        <w:t xml:space="preserve">La Unidad 1 selecciona cuatro hábitos: considerar modelos mentales, probar supuestos, cambiar perspectivas y comprender la película completa; conexiones se conserva como ampliación explícita.</w:t>
      </w:r>
      <w:bookmarkEnd w:id="1189"/>
    </w:p>
    <w:p>
      <w:pPr>
        <w:pStyle w:val="Heading3"/>
      </w:pPr>
      <w:bookmarkStart w:name="b_pagina_1_8_C_5_p32" w:id="1190"/>
      <w:r>
        <w:t xml:space="preserve">C-5 · página 32 · Hábitos que construyen modelos mentales sistémicos (repetición)</w:t>
      </w:r>
      <w:bookmarkEnd w:id="1190"/>
    </w:p>
    <w:p>
      <w:pPr>
        <w:pStyle w:val="Normal"/>
      </w:pPr>
      <w:r>
        <w:t xml:space="preserve">Repite la agrupación de cuatro hábitos para abrir el bloque siguiente.</w:t>
      </w:r>
    </w:p>
    <w:p>
      <w:pPr>
        <w:pStyle w:val="Fuente"/>
      </w:pPr>
      <w:r>
        <w:t xml:space="preserve">Proyección o explicación: Clase 3 · 01:38:49 · captura c3-13.</w:t>
      </w:r>
    </w:p>
    <w:p>
      <w:pPr>
        <w:keepNext/>
        <w:spacing w:after="40" w:before="150"/>
        <w:jc w:val="center"/>
      </w:pPr>
      <w:bookmarkStart w:name="b_figura_original_pagina_C_5_32" w:id="1191"/>
      <w:bookmarkEnd w:id="1191"/>
      <w:r>
        <w:drawing>
          <wp:inline distT="0" distB="0" distL="0" distR="0">
            <wp:extent cx="5381625" cy="4162425"/>
            <wp:effectExtent t="0" r="0" b="0" l="0"/>
            <wp:docPr id="27" name="pagina-C-5-32" descr="Presentación C-5, pág. 32" title="Hábitos que construyen modelos mentales sistémicos (repetició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15" cstate="none"/>
                    <a:srcRect/>
                    <a:stretch>
                      <a:fillRect/>
                    </a:stretch>
                  </pic:blipFill>
                  <pic:spPr bwMode="auto">
                    <a:xfrm>
                      <a:off x="0" y="0"/>
                      <a:ext cx="5381625" cy="4162425"/>
                    </a:xfrm>
                    <a:prstGeom prst="rect">
                      <a:avLst/>
                    </a:prstGeom>
                  </pic:spPr>
                </pic:pic>
              </a:graphicData>
            </a:graphic>
          </wp:inline>
        </w:drawing>
      </w:r>
    </w:p>
    <w:p>
      <w:pPr>
        <w:pStyle w:val="PieFigura"/>
        <w:keepNext/>
      </w:pPr>
      <w:bookmarkStart w:name="b_fig_1_8_4" w:id="1192"/>
      <w:r>
        <w:t xml:space="preserve">Figura 1.8.</w:t>
      </w:r>
      <w:fldSimple w:instr="SEQ Figura \n \* ARABIC">
        <w:r>
          <w:t xml:space="preserve">4</w:t>
        </w:r>
      </w:fldSimple>
      <w:r>
        <w:t xml:space="preserve"> · Hábitos que construyen modelos mentales sistémicos (repetición)</w:t>
      </w:r>
      <w:bookmarkEnd w:id="1192"/>
    </w:p>
    <w:p>
      <w:pPr>
        <w:pStyle w:val="Fuente"/>
      </w:pPr>
      <w:r>
        <w:t xml:space="preserve">Presentación C-5, pág. 32</w:t>
      </w:r>
    </w:p>
    <w:p>
      <w:bookmarkStart w:name="b_punto_c5_p032_01" w:id="1193"/>
      <w:r>
        <w:t xml:space="preserve">Los modelos mentales influyen en las perspectivas y acciones; el iceberg permite examinar los supuestos que sostienen los resultados.</w:t>
      </w:r>
      <w:bookmarkEnd w:id="1193"/>
    </w:p>
    <w:p>
      <w:bookmarkStart w:name="b_punto_c5_p032_02" w:id="1194"/>
      <w:r>
        <w:t xml:space="preserve">Probar suposiciones requiere contrastar teorías y experiencias con el sistema, utilizando preguntas e hipótesis alternativas.</w:t>
      </w:r>
      <w:bookmarkEnd w:id="1194"/>
    </w:p>
    <w:p>
      <w:bookmarkStart w:name="b_punto_c5_p032_03" w:id="1195"/>
      <w:r>
        <w:t xml:space="preserve">Cambiar perspectivas requiere apertura, otras personas y disposición a revisar la propia opinión.</w:t>
      </w:r>
      <w:bookmarkEnd w:id="1195"/>
    </w:p>
    <w:p>
      <w:bookmarkStart w:name="b_punto_c5_p032_04" w:id="1196"/>
      <w:r>
        <w:t xml:space="preserve">La película completa exige equilibrar totalidad y detalle, escoger horizonte temporal y diferenciar influencia de preocupación.</w:t>
      </w:r>
      <w:bookmarkEnd w:id="1196"/>
    </w:p>
    <w:p>
      <w:bookmarkStart w:name="b_punto_c5_p032_05" w:id="1197"/>
      <w:r>
        <w:t xml:space="preserve">La Unidad 1 selecciona cuatro hábitos: considerar modelos mentales, probar supuestos, cambiar perspectivas y comprender la película completa; conexiones se conserva como ampliación explícita.</w:t>
      </w:r>
      <w:bookmarkEnd w:id="1197"/>
    </w:p>
    <w:p>
      <w:pPr>
        <w:pStyle w:val="Heading3"/>
      </w:pPr>
      <w:bookmarkStart w:name="b_pagina_1_8_C_5_p33" w:id="1198"/>
      <w:r>
        <w:t xml:space="preserve">C-5 · página 33 · Reconoce y prueba suposiciones</w:t>
      </w:r>
      <w:bookmarkEnd w:id="1198"/>
    </w:p>
    <w:p>
      <w:pPr>
        <w:pStyle w:val="Normal"/>
      </w:pPr>
      <w:r>
        <w:t xml:space="preserve">Probar las propias interpretaciones con evidencia y con otras personas; la escalera permite hacer visibles los supuestos.</w:t>
      </w:r>
    </w:p>
    <w:p>
      <w:pPr>
        <w:pStyle w:val="Fuente"/>
      </w:pPr>
      <w:r>
        <w:t xml:space="preserve">Proyección o explicación: Clase 4 · 00:04:03 · captura c4-02.</w:t>
      </w:r>
    </w:p>
    <w:p>
      <w:bookmarkStart w:name="b_punto_c5_p033_01" w:id="1199"/>
      <w:r>
        <w:t xml:space="preserve">El hábito consiste en reconocer los supuestos y comprobar activamente las teorías, también con otros, para mejorar las acciones.</w:t>
      </w:r>
      <w:bookmarkEnd w:id="1199"/>
    </w:p>
    <w:p>
      <w:bookmarkStart w:name="b_punto_c5_p033_02" w:id="1200"/>
      <w:r>
        <w:t xml:space="preserve">La escalera de inferencias es el modelo asociado a este hábito.</w:t>
      </w:r>
      <w:bookmarkEnd w:id="1200"/>
    </w:p>
    <w:p>
      <w:pPr>
        <w:pStyle w:val="Fuente"/>
      </w:pPr>
      <w:r>
        <w:t xml:space="preserve">Véase </w:t>
      </w:r>
      <w:hyperlink w:history="1" w:anchor="b_1_2">
        <w:r>
          <w:rPr>
            <w:color w:val="156B70"/>
            <w:u w:val="single"/>
          </w:rPr>
          <w:t xml:space="preserve">capítulo 1.2 · Escalera de inferencias</w:t>
        </w:r>
      </w:hyperlink>
      <w:r>
        <w:t xml:space="preserve">, pág. </w:t>
      </w:r>
      <w:r>
        <w:fldChar w:fldCharType="begin"/>
        <w:instrText xml:space="preserve">PAGEREF b_1_2 \h</w:instrText>
        <w:fldChar w:fldCharType="separate"/>
        <w:t xml:space="preserve">55</w:t>
        <w:fldChar w:fldCharType="end"/>
      </w:r>
      <w:r>
        <w:t xml:space="preserve">.</w:t>
      </w:r>
    </w:p>
    <w:p>
      <w:pPr>
        <w:pStyle w:val="Heading3"/>
      </w:pPr>
      <w:bookmarkStart w:name="b_pagina_1_8_C_5_p34" w:id="1201"/>
      <w:r>
        <w:t xml:space="preserve">C-5 · página 34 · Considera cómo los modelos mentales afectan la realidad actual y el futuro</w:t>
      </w:r>
      <w:bookmarkEnd w:id="1201"/>
    </w:p>
    <w:p>
      <w:pPr>
        <w:pStyle w:val="Normal"/>
      </w:pPr>
      <w:r>
        <w:t xml:space="preserve">Las creencias influyen en lo que percibimos y hacemos; el iceberg permite revisar esa influencia.</w:t>
      </w:r>
    </w:p>
    <w:p>
      <w:pPr>
        <w:pStyle w:val="Fuente"/>
      </w:pPr>
      <w:r>
        <w:t xml:space="preserve">Proyección o explicación: Clase 4 · 00:06:41 · captura c4-03.</w:t>
      </w:r>
    </w:p>
    <w:p>
      <w:pPr>
        <w:keepNext/>
        <w:spacing w:after="40" w:before="150"/>
        <w:jc w:val="center"/>
      </w:pPr>
      <w:bookmarkStart w:name="b_figura_original_pagina_C_5_34" w:id="1202"/>
      <w:bookmarkEnd w:id="1202"/>
      <w:r>
        <w:drawing>
          <wp:inline distT="0" distB="0" distL="0" distR="0">
            <wp:extent cx="5381625" cy="4162425"/>
            <wp:effectExtent t="0" r="0" b="0" l="0"/>
            <wp:docPr id="28" name="pagina-C-5-34" descr="Presentación C-5, pág. 34" title="Considera cómo los modelos mentales afectan la realidad actual y el futu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16" cstate="none"/>
                    <a:srcRect/>
                    <a:stretch>
                      <a:fillRect/>
                    </a:stretch>
                  </pic:blipFill>
                  <pic:spPr bwMode="auto">
                    <a:xfrm>
                      <a:off x="0" y="0"/>
                      <a:ext cx="5381625" cy="4162425"/>
                    </a:xfrm>
                    <a:prstGeom prst="rect">
                      <a:avLst/>
                    </a:prstGeom>
                  </pic:spPr>
                </pic:pic>
              </a:graphicData>
            </a:graphic>
          </wp:inline>
        </w:drawing>
      </w:r>
    </w:p>
    <w:p>
      <w:pPr>
        <w:pStyle w:val="PieFigura"/>
        <w:keepNext/>
      </w:pPr>
      <w:bookmarkStart w:name="b_fig_1_8_5" w:id="1203"/>
      <w:r>
        <w:t xml:space="preserve">Figura 1.8.</w:t>
      </w:r>
      <w:fldSimple w:instr="SEQ Figura \n \* ARABIC">
        <w:r>
          <w:t xml:space="preserve">5</w:t>
        </w:r>
      </w:fldSimple>
      <w:r>
        <w:t xml:space="preserve"> · Considera cómo los modelos mentales afectan la realidad actual y el futuro</w:t>
      </w:r>
      <w:bookmarkEnd w:id="1203"/>
    </w:p>
    <w:p>
      <w:pPr>
        <w:pStyle w:val="Fuente"/>
      </w:pPr>
      <w:r>
        <w:t xml:space="preserve">Presentación C-5, pág. 34</w:t>
      </w:r>
    </w:p>
    <w:p>
      <w:bookmarkStart w:name="b_punto_c5_p034_01" w:id="1204"/>
      <w:r>
        <w:t xml:space="preserve">Ser consciente de cómo creencias y actitudes influyen en perspectivas y acciones.</w:t>
      </w:r>
      <w:bookmarkEnd w:id="1204"/>
    </w:p>
    <w:p>
      <w:bookmarkStart w:name="b_punto_c5_p034_05" w:id="1205"/>
      <w:r>
        <w:t xml:space="preserve">Ayudar a otras personas a reconocer el efecto de sus modelos mentales sobre sus decisiones.</w:t>
      </w:r>
      <w:bookmarkEnd w:id="1205"/>
    </w:p>
    <w:p>
      <w:pPr>
        <w:pStyle w:val="Fuente"/>
      </w:pPr>
      <w:r>
        <w:t xml:space="preserve">Véase </w:t>
      </w:r>
      <w:hyperlink w:history="1" w:anchor="b_1_7">
        <w:r>
          <w:rPr>
            <w:color w:val="156B70"/>
            <w:u w:val="single"/>
          </w:rPr>
          <w:t xml:space="preserve">capítulo 1.7 · Niveles — modelo del iceberg</w:t>
        </w:r>
      </w:hyperlink>
      <w:r>
        <w:t xml:space="preserve">, pág. </w:t>
      </w:r>
      <w:r>
        <w:fldChar w:fldCharType="begin"/>
        <w:instrText xml:space="preserve">PAGEREF b_1_7 \h</w:instrText>
        <w:fldChar w:fldCharType="separate"/>
        <w:t xml:space="preserve">175</w:t>
        <w:fldChar w:fldCharType="end"/>
      </w:r>
      <w:r>
        <w:t xml:space="preserve">.</w:t>
      </w:r>
    </w:p>
    <w:p>
      <w:pPr>
        <w:pStyle w:val="Fuente"/>
      </w:pPr>
      <w:r>
        <w:t xml:space="preserve">Véase </w:t>
      </w:r>
      <w:hyperlink w:history="1" w:anchor="b_1_1">
        <w:r>
          <w:rPr>
            <w:color w:val="156B70"/>
            <w:u w:val="single"/>
          </w:rPr>
          <w:t xml:space="preserve">capítulo 1.1 · Paradigmas y modelos mentales</w:t>
        </w:r>
      </w:hyperlink>
      <w:r>
        <w:t xml:space="preserve">, pág. </w:t>
      </w:r>
      <w:r>
        <w:fldChar w:fldCharType="begin"/>
        <w:instrText xml:space="preserve">PAGEREF b_1_1 \h</w:instrText>
        <w:fldChar w:fldCharType="separate"/>
        <w:t xml:space="preserve">19</w:t>
        <w:fldChar w:fldCharType="end"/>
      </w:r>
      <w:r>
        <w:t xml:space="preserve">.</w:t>
      </w:r>
    </w:p>
    <w:p>
      <w:pPr>
        <w:pStyle w:val="Heading3"/>
      </w:pPr>
      <w:bookmarkStart w:name="b_pagina_1_8_C_5_p36" w:id="1206"/>
      <w:r>
        <w:t xml:space="preserve">C-5 · página 36 · El pensador sistémico y los modelos mentales</w:t>
      </w:r>
      <w:bookmarkEnd w:id="1206"/>
    </w:p>
    <w:p>
      <w:pPr>
        <w:pStyle w:val="Normal"/>
      </w:pPr>
      <w:r>
        <w:t xml:space="preserve">Revisar la influencia de los modelos sobre el presente y el futuro, mantenerlos abiertos a revisión y ampliar la información.</w:t>
      </w:r>
    </w:p>
    <w:p>
      <w:pPr>
        <w:pStyle w:val="Fuente"/>
      </w:pPr>
      <w:r>
        <w:t xml:space="preserve">Proyección o explicación: Clase 4 · 00:08:04 · captura c4-04.</w:t>
      </w:r>
    </w:p>
    <w:p>
      <w:pPr>
        <w:keepNext/>
        <w:spacing w:after="40" w:before="150"/>
        <w:jc w:val="center"/>
      </w:pPr>
      <w:bookmarkStart w:name="b_figura_original_pagina_C_5_36" w:id="1207"/>
      <w:bookmarkEnd w:id="1207"/>
      <w:r>
        <w:drawing>
          <wp:inline distT="0" distB="0" distL="0" distR="0">
            <wp:extent cx="5381625" cy="4162425"/>
            <wp:effectExtent t="0" r="0" b="0" l="0"/>
            <wp:docPr id="29" name="pagina-C-5-36" descr="Presentación C-5, pág. 36" title="El pensador sistémico y los modelos menta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17" cstate="none"/>
                    <a:srcRect/>
                    <a:stretch>
                      <a:fillRect/>
                    </a:stretch>
                  </pic:blipFill>
                  <pic:spPr bwMode="auto">
                    <a:xfrm>
                      <a:off x="0" y="0"/>
                      <a:ext cx="5381625" cy="4162425"/>
                    </a:xfrm>
                    <a:prstGeom prst="rect">
                      <a:avLst/>
                    </a:prstGeom>
                  </pic:spPr>
                </pic:pic>
              </a:graphicData>
            </a:graphic>
          </wp:inline>
        </w:drawing>
      </w:r>
    </w:p>
    <w:p>
      <w:pPr>
        <w:pStyle w:val="PieFigura"/>
        <w:keepNext/>
      </w:pPr>
      <w:bookmarkStart w:name="b_fig_1_8_6" w:id="1208"/>
      <w:r>
        <w:t xml:space="preserve">Figura 1.8.</w:t>
      </w:r>
      <w:fldSimple w:instr="SEQ Figura \n \* ARABIC">
        <w:r>
          <w:t xml:space="preserve">6</w:t>
        </w:r>
      </w:fldSimple>
      <w:r>
        <w:t xml:space="preserve"> · El pensador sistémico y los modelos mentales</w:t>
      </w:r>
      <w:bookmarkEnd w:id="1208"/>
    </w:p>
    <w:p>
      <w:pPr>
        <w:pStyle w:val="Fuente"/>
      </w:pPr>
      <w:r>
        <w:t xml:space="preserve">Presentación C-5, pág. 36</w:t>
      </w:r>
    </w:p>
    <w:p>
      <w:bookmarkStart w:name="b_punto_c5_p036_01" w:id="1209"/>
      <w:r>
        <w:t xml:space="preserve">Los modelos mentales influyen en la interpretación actual y en la visión del futuro; el pensador reconoce esa influencia.</w:t>
      </w:r>
      <w:bookmarkEnd w:id="1209"/>
    </w:p>
    <w:p>
      <w:pPr>
        <w:pStyle w:val="Fuente"/>
      </w:pPr>
      <w:r>
        <w:t xml:space="preserve">Véase </w:t>
      </w:r>
      <w:hyperlink w:history="1" w:anchor="b_1_1">
        <w:r>
          <w:rPr>
            <w:color w:val="156B70"/>
            <w:u w:val="single"/>
          </w:rPr>
          <w:t xml:space="preserve">capítulo 1.1 · Paradigmas y modelos mentales</w:t>
        </w:r>
      </w:hyperlink>
      <w:r>
        <w:t xml:space="preserve">, pág. </w:t>
      </w:r>
      <w:r>
        <w:fldChar w:fldCharType="begin"/>
        <w:instrText xml:space="preserve">PAGEREF b_1_1 \h</w:instrText>
        <w:fldChar w:fldCharType="separate"/>
        <w:t xml:space="preserve">19</w:t>
        <w:fldChar w:fldCharType="end"/>
      </w:r>
      <w:r>
        <w:t xml:space="preserve">.</w:t>
      </w:r>
    </w:p>
    <w:p>
      <w:pPr>
        <w:pStyle w:val="Fuente"/>
      </w:pPr>
      <w:r>
        <w:t xml:space="preserve">Véase </w:t>
      </w:r>
      <w:hyperlink w:history="1" w:anchor="b_1_4">
        <w:r>
          <w:rPr>
            <w:color w:val="156B70"/>
            <w:u w:val="single"/>
          </w:rPr>
          <w:t xml:space="preserve">capítulo 1.4 · Sistémico vs no sistémico</w:t>
        </w:r>
      </w:hyperlink>
      <w:r>
        <w:t xml:space="preserve">, pág. </w:t>
      </w:r>
      <w:r>
        <w:fldChar w:fldCharType="begin"/>
        <w:instrText xml:space="preserve">PAGEREF b_1_4 \h</w:instrText>
        <w:fldChar w:fldCharType="separate"/>
        <w:t xml:space="preserve">104</w:t>
        <w:fldChar w:fldCharType="end"/>
      </w:r>
      <w:r>
        <w:t xml:space="preserve">.</w:t>
      </w:r>
    </w:p>
    <w:p>
      <w:pPr>
        <w:pStyle w:val="Heading3"/>
      </w:pPr>
      <w:bookmarkStart w:name="b_pagina_1_8_C_5_p37" w:id="1210"/>
      <w:r>
        <w:t xml:space="preserve">C-5 · página 37 · El iceberg de las perspectivas sistémicas</w:t>
      </w:r>
      <w:bookmarkEnd w:id="1210"/>
    </w:p>
    <w:p>
      <w:pPr>
        <w:pStyle w:val="Normal"/>
      </w:pPr>
      <w:r>
        <w:t xml:space="preserve">El iceberg representa cuatro profundidades de explicación del mismo evento.</w:t>
      </w:r>
    </w:p>
    <w:p>
      <w:pPr>
        <w:pStyle w:val="Fuente"/>
      </w:pPr>
      <w:r>
        <w:t xml:space="preserve">Proyección o explicación: Clase 4 · 00:20:06 · captura c4-05.</w:t>
      </w:r>
    </w:p>
    <w:p>
      <w:bookmarkStart w:name="b_punto_c5_p037_02" w:id="1211"/>
      <w:r>
        <w:t xml:space="preserve">Las creencias y actitudes influyen en las perspectivas y las acciones.</w:t>
      </w:r>
      <w:bookmarkEnd w:id="1211"/>
    </w:p>
    <w:p>
      <w:pPr>
        <w:pStyle w:val="Fuente"/>
      </w:pPr>
      <w:r>
        <w:t xml:space="preserve">Véase </w:t>
      </w:r>
      <w:hyperlink w:history="1" w:anchor="b_1_7">
        <w:r>
          <w:rPr>
            <w:color w:val="156B70"/>
            <w:u w:val="single"/>
          </w:rPr>
          <w:t xml:space="preserve">capítulo 1.7 · Niveles — modelo del iceberg</w:t>
        </w:r>
      </w:hyperlink>
      <w:r>
        <w:t xml:space="preserve">, pág. </w:t>
      </w:r>
      <w:r>
        <w:fldChar w:fldCharType="begin"/>
        <w:instrText xml:space="preserve">PAGEREF b_1_7 \h</w:instrText>
        <w:fldChar w:fldCharType="separate"/>
        <w:t xml:space="preserve">175</w:t>
        <w:fldChar w:fldCharType="end"/>
      </w:r>
      <w:r>
        <w:t xml:space="preserve">.</w:t>
      </w:r>
    </w:p>
    <w:p>
      <w:pPr>
        <w:pStyle w:val="Heading3"/>
      </w:pPr>
      <w:bookmarkStart w:name="b_pagina_1_8_C_5_p42" w:id="1212"/>
      <w:r>
        <w:t xml:space="preserve">C-5 · página 42 · La columna de la mano izquierda</w:t>
      </w:r>
      <w:bookmarkEnd w:id="1212"/>
    </w:p>
    <w:p>
      <w:pPr>
        <w:pStyle w:val="Normal"/>
      </w:pPr>
      <w:r>
        <w:t xml:space="preserve">John conversa sobre un informe mientras mantiene supuestos sin expresar: dos columnas hacen visible la diferencia.</w:t>
      </w:r>
    </w:p>
    <w:p>
      <w:pPr>
        <w:pStyle w:val="Fuente"/>
      </w:pPr>
      <w:r>
        <w:t xml:space="preserve">Proyección o explicación: Clase 4 · 01:20:55 · captura c4-10.</w:t>
      </w:r>
    </w:p>
    <w:p>
      <w:pPr>
        <w:pStyle w:val="Fuente"/>
      </w:pPr>
      <w:r>
        <w:t xml:space="preserve">Véase </w:t>
      </w:r>
      <w:hyperlink w:history="1" w:anchor="b_figura_original_pagina_C_5_42">
        <w:r>
          <w:rPr>
            <w:color w:val="156B70"/>
            <w:u w:val="single"/>
          </w:rPr>
          <w:t xml:space="preserve">imagen de C-5, página 42</w:t>
        </w:r>
      </w:hyperlink>
      <w:r>
        <w:t xml:space="preserve">, pág. </w:t>
      </w:r>
      <w:r>
        <w:fldChar w:fldCharType="begin"/>
        <w:instrText xml:space="preserve">PAGEREF b_figura_original_pagina_C_5_42 \h</w:instrText>
        <w:fldChar w:fldCharType="separate"/>
        <w:t xml:space="preserve">66</w:t>
        <w:fldChar w:fldCharType="end"/>
      </w:r>
      <w:r>
        <w:t xml:space="preserve">.</w:t>
      </w:r>
    </w:p>
    <w:p>
      <w:bookmarkStart w:name="b_punto_c5_p042_04" w:id="1213"/>
      <w:r>
        <w:t xml:space="preserve">Hacer explícito lo que se piensa y comprobarlo evita cerrar la conversación sin aprendizaje.</w:t>
      </w:r>
      <w:bookmarkEnd w:id="1213"/>
    </w:p>
    <w:p>
      <w:pPr>
        <w:pStyle w:val="Fuente"/>
      </w:pPr>
      <w:r>
        <w:t xml:space="preserve">Véase </w:t>
      </w:r>
      <w:hyperlink w:history="1" w:anchor="b_1_2">
        <w:r>
          <w:rPr>
            <w:color w:val="156B70"/>
            <w:u w:val="single"/>
          </w:rPr>
          <w:t xml:space="preserve">capítulo 1.2 · Escalera de inferencias</w:t>
        </w:r>
      </w:hyperlink>
      <w:r>
        <w:t xml:space="preserve">, pág. </w:t>
      </w:r>
      <w:r>
        <w:fldChar w:fldCharType="begin"/>
        <w:instrText xml:space="preserve">PAGEREF b_1_2 \h</w:instrText>
        <w:fldChar w:fldCharType="separate"/>
        <w:t xml:space="preserve">55</w:t>
        <w:fldChar w:fldCharType="end"/>
      </w:r>
      <w:r>
        <w:t xml:space="preserve">.</w:t>
      </w:r>
    </w:p>
    <w:p>
      <w:pPr>
        <w:pStyle w:val="Heading3"/>
      </w:pPr>
      <w:bookmarkStart w:name="b_pagina_1_8_C_5_p44" w:id="1214"/>
      <w:r>
        <w:t xml:space="preserve">C-5 · página 44 · Hábitos que construyen modelos mentales sistémicos</w:t>
      </w:r>
      <w:bookmarkEnd w:id="1214"/>
    </w:p>
    <w:p>
      <w:pPr>
        <w:pStyle w:val="Normal"/>
      </w:pPr>
      <w:r>
        <w:t xml:space="preserve">Agrupa los cuatro hábitos de la Unidad 1 en un mismo marco de trabajo.</w:t>
      </w:r>
    </w:p>
    <w:p>
      <w:pPr>
        <w:pStyle w:val="Fuente"/>
      </w:pPr>
      <w:r>
        <w:t xml:space="preserve">Proyección o explicación: Clase 5 · 00:00:31 · captura c5-01.</w:t>
      </w:r>
    </w:p>
    <w:p>
      <w:bookmarkStart w:name="b_punto_c5_p044_01" w:id="1215"/>
      <w:r>
        <w:t xml:space="preserve">Considerar la influencia de los modelos sobre presente y futuro.</w:t>
      </w:r>
      <w:bookmarkEnd w:id="1215"/>
    </w:p>
    <w:p>
      <w:bookmarkStart w:name="b_punto_c5_p044_02" w:id="1216"/>
      <w:r>
        <w:t xml:space="preserve">Reconocer y probar las suposiciones.</w:t>
      </w:r>
      <w:bookmarkEnd w:id="1216"/>
    </w:p>
    <w:p>
      <w:bookmarkStart w:name="b_punto_c5_p044_03" w:id="1217"/>
      <w:r>
        <w:t xml:space="preserve">Cambiar las perspectivas para ampliar la comprensión.</w:t>
      </w:r>
      <w:bookmarkEnd w:id="1217"/>
    </w:p>
    <w:p>
      <w:bookmarkStart w:name="b_punto_c5_p044_04" w:id="1218"/>
      <w:r>
        <w:t xml:space="preserve">Buscar la película completa, atendiendo al conjunto y a los detalles relevantes.</w:t>
      </w:r>
      <w:bookmarkEnd w:id="1218"/>
    </w:p>
    <w:p>
      <w:pPr>
        <w:pStyle w:val="Heading3"/>
      </w:pPr>
      <w:bookmarkStart w:name="b_pagina_1_8_C_5_p51" w:id="1219"/>
      <w:r>
        <w:t xml:space="preserve">C-5 · página 51 · Intenta entender la película completa</w:t>
      </w:r>
      <w:bookmarkEnd w:id="1219"/>
    </w:p>
    <w:p>
      <w:pPr>
        <w:pStyle w:val="Normal"/>
      </w:pPr>
      <w:r>
        <w:t xml:space="preserve">Atender al sistema como conjunto sin perder los detalles importantes, el horizonte temporal y el ámbito de influencia.</w:t>
      </w:r>
    </w:p>
    <w:p>
      <w:pPr>
        <w:pStyle w:val="Fuente"/>
      </w:pPr>
      <w:r>
        <w:t xml:space="preserve">Proyección o explicación: Clase 5 · 00:40:45 · captura c5-08.</w:t>
      </w:r>
    </w:p>
    <w:p>
      <w:pPr>
        <w:keepNext/>
        <w:spacing w:after="40" w:before="150"/>
        <w:jc w:val="center"/>
      </w:pPr>
      <w:bookmarkStart w:name="b_figura_original_pagina_C_5_51" w:id="1220"/>
      <w:bookmarkEnd w:id="1220"/>
      <w:r>
        <w:drawing>
          <wp:inline distT="0" distB="0" distL="0" distR="0">
            <wp:extent cx="5381625" cy="4162425"/>
            <wp:effectExtent t="0" r="0" b="0" l="0"/>
            <wp:docPr id="30" name="pagina-C-5-51" descr="Presentación C-5, pág. 51" title="Intenta entender la película comple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18" cstate="none"/>
                    <a:srcRect/>
                    <a:stretch>
                      <a:fillRect/>
                    </a:stretch>
                  </pic:blipFill>
                  <pic:spPr bwMode="auto">
                    <a:xfrm>
                      <a:off x="0" y="0"/>
                      <a:ext cx="5381625" cy="4162425"/>
                    </a:xfrm>
                    <a:prstGeom prst="rect">
                      <a:avLst/>
                    </a:prstGeom>
                  </pic:spPr>
                </pic:pic>
              </a:graphicData>
            </a:graphic>
          </wp:inline>
        </w:drawing>
      </w:r>
    </w:p>
    <w:p>
      <w:pPr>
        <w:pStyle w:val="PieFigura"/>
        <w:keepNext/>
      </w:pPr>
      <w:bookmarkStart w:name="b_fig_1_8_7" w:id="1221"/>
      <w:r>
        <w:t xml:space="preserve">Figura 1.8.</w:t>
      </w:r>
      <w:fldSimple w:instr="SEQ Figura \n \* ARABIC">
        <w:r>
          <w:t xml:space="preserve">7</w:t>
        </w:r>
      </w:fldSimple>
      <w:r>
        <w:t xml:space="preserve"> · Intenta entender la película completa</w:t>
      </w:r>
      <w:bookmarkEnd w:id="1221"/>
    </w:p>
    <w:p>
      <w:pPr>
        <w:pStyle w:val="Fuente"/>
      </w:pPr>
      <w:r>
        <w:t xml:space="preserve">Presentación C-5, pág. 51</w:t>
      </w:r>
    </w:p>
    <w:p>
      <w:bookmarkStart w:name="b_punto_c5_p051_01" w:id="1222"/>
      <w:r>
        <w:t xml:space="preserve">Buscar la película completa equivale a comprender el bosque, evitando confundir los detalles de un árbol con el sistema entero.</w:t>
      </w:r>
      <w:bookmarkEnd w:id="1222"/>
    </w:p>
    <w:p>
      <w:bookmarkStart w:name="b_punto_c5_p051_02" w:id="1223"/>
      <w:r>
        <w:t xml:space="preserve">Equilibrar visión global y detalles importantes.</w:t>
      </w:r>
      <w:bookmarkEnd w:id="1223"/>
    </w:p>
    <w:p>
      <w:bookmarkStart w:name="b_punto_c5_p051_03" w:id="1224"/>
      <w:r>
        <w:t xml:space="preserve">Elegir el marco temporal adecuado para estudiar el sistema.</w:t>
      </w:r>
      <w:bookmarkEnd w:id="1224"/>
    </w:p>
    <w:p>
      <w:bookmarkStart w:name="b_punto_c5_p051_04" w:id="1225"/>
      <w:r>
        <w:t xml:space="preserve">Distinguir zonas de influencia de preocupaciones sobre las que no se puede actuar.</w:t>
      </w:r>
      <w:bookmarkEnd w:id="1225"/>
    </w:p>
    <w:p>
      <w:pPr>
        <w:pStyle w:val="Heading3"/>
      </w:pPr>
      <w:bookmarkStart w:name="b_pagina_1_8_C_5_p54" w:id="1226"/>
      <w:r>
        <w:t xml:space="preserve">C-5 · página 54 · Hábitos que construyen modelos mentales sistémicos</w:t>
      </w:r>
      <w:bookmarkEnd w:id="1226"/>
    </w:p>
    <w:p>
      <w:pPr>
        <w:pStyle w:val="Normal"/>
      </w:pPr>
      <w:r>
        <w:t xml:space="preserve">Agrupa los cuatro hábitos de la Unidad 1 en un mismo marco de trabajo.</w:t>
      </w:r>
    </w:p>
    <w:p>
      <w:pPr>
        <w:pStyle w:val="Fuente"/>
      </w:pPr>
      <w:r>
        <w:t xml:space="preserve">Proyección o explicación: Clase 5 · 01:13:19 · captura c5-11.</w:t>
      </w:r>
    </w:p>
    <w:p>
      <w:bookmarkStart w:name="b_punto_c5_p054_01" w:id="1227"/>
      <w:r>
        <w:t xml:space="preserve">Considerar la influencia de los modelos sobre presente y futuro.</w:t>
      </w:r>
      <w:bookmarkEnd w:id="1227"/>
    </w:p>
    <w:p>
      <w:bookmarkStart w:name="b_punto_c5_p054_02" w:id="1228"/>
      <w:r>
        <w:t xml:space="preserve">Reconocer y probar las suposiciones.</w:t>
      </w:r>
      <w:bookmarkEnd w:id="1228"/>
    </w:p>
    <w:p>
      <w:bookmarkStart w:name="b_punto_c5_p054_03" w:id="1229"/>
      <w:r>
        <w:t xml:space="preserve">Cambiar las perspectivas para ampliar la comprensión.</w:t>
      </w:r>
      <w:bookmarkEnd w:id="1229"/>
    </w:p>
    <w:p>
      <w:bookmarkStart w:name="b_punto_c5_p054_04" w:id="1230"/>
      <w:r>
        <w:t xml:space="preserve">Buscar la película completa, atendiendo al conjunto y a los detalles relevantes.</w:t>
      </w:r>
      <w:bookmarkEnd w:id="1230"/>
    </w:p>
    <w:p>
      <w:pPr>
        <w:pStyle w:val="Heading3"/>
      </w:pPr>
      <w:bookmarkStart w:name="b_pagina_1_8_C_5_p61" w:id="1231"/>
      <w:r>
        <w:t xml:space="preserve">C-5 · página 61 · Los cuatro hábitos básicos y sus preguntas</w:t>
      </w:r>
      <w:bookmarkEnd w:id="1231"/>
    </w:p>
    <w:p>
      <w:pPr>
        <w:pStyle w:val="Normal"/>
      </w:pPr>
      <w:r>
        <w:t xml:space="preserve">Reúne las cuatro tarjetas de la Unidad 1, con sus preguntas de indagación y sus figuras.</w:t>
      </w:r>
    </w:p>
    <w:p>
      <w:pPr>
        <w:pStyle w:val="Fuente"/>
      </w:pPr>
      <w:r>
        <w:t xml:space="preserve">Proyección o explicación: Clase 6 · 00:09:02 · captura c6-03.</w:t>
      </w:r>
    </w:p>
    <w:p>
      <w:pPr>
        <w:keepNext/>
        <w:spacing w:after="40" w:before="150"/>
        <w:jc w:val="center"/>
      </w:pPr>
      <w:bookmarkStart w:name="b_figura_original_pagina_C_5_61" w:id="1232"/>
      <w:bookmarkEnd w:id="1232"/>
      <w:r>
        <w:drawing>
          <wp:inline distT="0" distB="0" distL="0" distR="0">
            <wp:extent cx="5381625" cy="4162425"/>
            <wp:effectExtent t="0" r="0" b="0" l="0"/>
            <wp:docPr id="31" name="pagina-C-5-61" descr="Presentación C-5, pág. 61" title="Los cuatro hábitos básicos y sus pregunt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14" cstate="none"/>
                    <a:srcRect/>
                    <a:stretch>
                      <a:fillRect/>
                    </a:stretch>
                  </pic:blipFill>
                  <pic:spPr bwMode="auto">
                    <a:xfrm>
                      <a:off x="0" y="0"/>
                      <a:ext cx="5381625" cy="4162425"/>
                    </a:xfrm>
                    <a:prstGeom prst="rect">
                      <a:avLst/>
                    </a:prstGeom>
                  </pic:spPr>
                </pic:pic>
              </a:graphicData>
            </a:graphic>
          </wp:inline>
        </w:drawing>
      </w:r>
    </w:p>
    <w:p>
      <w:pPr>
        <w:pStyle w:val="PieFigura"/>
        <w:keepNext/>
      </w:pPr>
      <w:bookmarkStart w:name="b_fig_1_8_8" w:id="1233"/>
      <w:r>
        <w:t xml:space="preserve">Figura 1.8.</w:t>
      </w:r>
      <w:fldSimple w:instr="SEQ Figura \n \* ARABIC">
        <w:r>
          <w:t xml:space="preserve">8</w:t>
        </w:r>
      </w:fldSimple>
      <w:r>
        <w:t xml:space="preserve"> · Los cuatro hábitos básicos y sus preguntas</w:t>
      </w:r>
      <w:bookmarkEnd w:id="1233"/>
    </w:p>
    <w:p>
      <w:pPr>
        <w:pStyle w:val="Fuente"/>
      </w:pPr>
      <w:r>
        <w:t xml:space="preserve">Presentación C-5, pág. 61</w:t>
      </w:r>
    </w:p>
    <w:p>
      <w:bookmarkStart w:name="b_punto_c5_p061_01" w:id="1234"/>
      <w:r>
        <w:t xml:space="preserve">Revisar la influencia de los modelos sobre presente y futuro, junto con sus preguntas orientadoras.</w:t>
      </w:r>
      <w:bookmarkEnd w:id="1234"/>
    </w:p>
    <w:p>
      <w:bookmarkStart w:name="b_punto_c5_p061_02" w:id="1235"/>
      <w:r>
        <w:t xml:space="preserve">Reconocer y probar supuestos utilizando preguntas de experiencia, contraste y alternativas.</w:t>
      </w:r>
      <w:bookmarkEnd w:id="1235"/>
    </w:p>
    <w:p>
      <w:bookmarkStart w:name="b_punto_c5_p061_03" w:id="1236"/>
      <w:r>
        <w:t xml:space="preserve">Cambiar perspectivas, consultar a otros y disponerse a revisar la opinión propia.</w:t>
      </w:r>
      <w:bookmarkEnd w:id="1236"/>
    </w:p>
    <w:p>
      <w:bookmarkStart w:name="b_punto_c5_p061_04" w:id="1237"/>
      <w:r>
        <w:t xml:space="preserve">Buscar la película completa: totalidad y detalle, horizonte y zonas de influencia.</w:t>
      </w:r>
      <w:bookmarkEnd w:id="1237"/>
    </w:p>
    <w:p>
      <w:pPr>
        <w:pStyle w:val="Heading3"/>
      </w:pPr>
      <w:bookmarkStart w:name="b_pagina_1_8_C_5_p63" w:id="1238"/>
      <w:r>
        <w:t xml:space="preserve">C-5 · página 63 · Conclusiones para conversar con quien piensa distinto</w:t>
      </w:r>
      <w:bookmarkEnd w:id="1238"/>
    </w:p>
    <w:p>
      <w:pPr>
        <w:pStyle w:val="Normal"/>
      </w:pPr>
      <w:r>
        <w:t xml:space="preserve">Pluralismo, escucha e indagación y separación entre ideas y personas cierran el tema de perspectivas.</w:t>
      </w:r>
    </w:p>
    <w:p>
      <w:pPr>
        <w:pStyle w:val="Fuente"/>
      </w:pPr>
      <w:r>
        <w:t xml:space="preserve">Proyección o explicación: Clase 6 · 00:37:54 · captura c6-05.</w:t>
      </w:r>
    </w:p>
    <w:p>
      <w:bookmarkStart w:name="b_punto_c5_p063_04" w:id="1239"/>
      <w:r>
        <w:t xml:space="preserve">Los dos hábitos resaltados son reconocer y probar suposiciones y cambiar perspectivas.</w:t>
      </w:r>
      <w:bookmarkEnd w:id="1239"/>
    </w:p>
    <w:p>
      <w:pPr>
        <w:pStyle w:val="Fuente"/>
      </w:pPr>
      <w:r>
        <w:t xml:space="preserve">Véase </w:t>
      </w:r>
      <w:hyperlink w:history="1" w:anchor="b_1_5">
        <w:r>
          <w:rPr>
            <w:color w:val="156B70"/>
            <w:u w:val="single"/>
          </w:rPr>
          <w:t xml:space="preserve">capítulo 1.5 · Perspectivas</w:t>
        </w:r>
      </w:hyperlink>
      <w:r>
        <w:t xml:space="preserve">, pág. </w:t>
      </w:r>
      <w:r>
        <w:fldChar w:fldCharType="begin"/>
        <w:instrText xml:space="preserve">PAGEREF b_1_5 \h</w:instrText>
        <w:fldChar w:fldCharType="separate"/>
        <w:t xml:space="preserve">125</w:t>
        <w:fldChar w:fldCharType="end"/>
      </w:r>
      <w:r>
        <w:t xml:space="preserve">.</w:t>
      </w:r>
    </w:p>
    <w:p>
      <w:pPr>
        <w:pStyle w:val="Heading3"/>
      </w:pPr>
      <w:bookmarkStart w:name="b_pagina_1_8_C_2_p33" w:id="1240"/>
      <w:r>
        <w:t xml:space="preserve">C-2 · página 33 · Cuatro hábitos básicos y cinco de estructuras sistémicas</w:t>
      </w:r>
      <w:bookmarkEnd w:id="1240"/>
    </w:p>
    <w:p>
      <w:pPr>
        <w:pStyle w:val="Normal"/>
      </w:pPr>
      <w:r>
        <w:t xml:space="preserve">El póster distingue los cuatro hábitos de modelos mentales de los cinco que profundizan en las estructuras sistémicas.</w:t>
      </w:r>
    </w:p>
    <w:p>
      <w:pPr>
        <w:pStyle w:val="Fuente"/>
      </w:pPr>
      <w:r>
        <w:t xml:space="preserve">Proyección o explicación: Clase 11 · 00:51:24 · captura c11-19.</w:t>
      </w:r>
    </w:p>
    <w:p>
      <w:pPr>
        <w:keepNext/>
        <w:spacing w:after="40" w:before="150"/>
        <w:jc w:val="center"/>
      </w:pPr>
      <w:bookmarkStart w:name="b_figura_original_pagina_C_2_33" w:id="1241"/>
      <w:bookmarkEnd w:id="1241"/>
      <w:r>
        <w:drawing>
          <wp:inline distT="0" distB="0" distL="0" distR="0">
            <wp:extent cx="5381625" cy="4162425"/>
            <wp:effectExtent t="0" r="0" b="0" l="0"/>
            <wp:docPr id="32" name="pagina-C-2-33" descr="Presentación C-2, pág. 33" title="Cuatro hábitos básicos y cinco de estructuras sistémic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19" cstate="none"/>
                    <a:srcRect/>
                    <a:stretch>
                      <a:fillRect/>
                    </a:stretch>
                  </pic:blipFill>
                  <pic:spPr bwMode="auto">
                    <a:xfrm>
                      <a:off x="0" y="0"/>
                      <a:ext cx="5381625" cy="4162425"/>
                    </a:xfrm>
                    <a:prstGeom prst="rect">
                      <a:avLst/>
                    </a:prstGeom>
                  </pic:spPr>
                </pic:pic>
              </a:graphicData>
            </a:graphic>
          </wp:inline>
        </w:drawing>
      </w:r>
    </w:p>
    <w:p>
      <w:pPr>
        <w:pStyle w:val="PieFigura"/>
        <w:keepNext/>
      </w:pPr>
      <w:bookmarkStart w:name="b_fig_1_8_9" w:id="1242"/>
      <w:r>
        <w:t xml:space="preserve">Figura 1.8.</w:t>
      </w:r>
      <w:fldSimple w:instr="SEQ Figura \n \* ARABIC">
        <w:r>
          <w:t xml:space="preserve">9</w:t>
        </w:r>
      </w:fldSimple>
      <w:r>
        <w:t xml:space="preserve"> · Cuatro hábitos básicos y cinco de estructuras sistémicas</w:t>
      </w:r>
      <w:bookmarkEnd w:id="1242"/>
    </w:p>
    <w:p>
      <w:pPr>
        <w:pStyle w:val="Fuente"/>
      </w:pPr>
      <w:r>
        <w:t xml:space="preserve">Presentación C-2, pág. 33</w:t>
      </w:r>
    </w:p>
    <w:p>
      <w:bookmarkStart w:name="b_punto_c2_p033_01" w:id="1243"/>
      <w:r>
        <w:t xml:space="preserve">Los cuatro hábitos básicos son considerar modelos mentales,probar suposiciones,cambiar perspectivas y buscar la película completa.</w:t>
      </w:r>
      <w:bookmarkEnd w:id="1243"/>
    </w:p>
    <w:p>
      <w:pPr>
        <w:pStyle w:val="Fuente"/>
      </w:pPr>
      <w:r>
        <w:t xml:space="preserve">Véase </w:t>
      </w:r>
      <w:hyperlink w:history="1" w:anchor="b_3_9">
        <w:r>
          <w:rPr>
            <w:color w:val="156B70"/>
            <w:u w:val="single"/>
          </w:rPr>
          <w:t xml:space="preserve">capítulo 3.9 · Hábitos (complejo)</w:t>
        </w:r>
      </w:hyperlink>
      <w:r>
        <w:t xml:space="preserve">, pág. </w:t>
      </w:r>
      <w:r>
        <w:fldChar w:fldCharType="begin"/>
        <w:instrText xml:space="preserve">PAGEREF b_3_9 \h</w:instrText>
        <w:fldChar w:fldCharType="separate"/>
        <w:t xml:space="preserve">622</w:t>
        <w:fldChar w:fldCharType="end"/>
      </w:r>
      <w:r>
        <w:t xml:space="preserve">.</w:t>
      </w:r>
    </w:p>
    <w:p>
      <w:pPr>
        <w:pStyle w:val="Heading3"/>
      </w:pPr>
      <w:bookmarkStart w:name="b_pagina_1_8_C_2_p41" w:id="1244"/>
      <w:r>
        <w:t xml:space="preserve">C-2 · página 41 · Cuatro hábitos básicos y cinco de estructuras sistémicas</w:t>
      </w:r>
      <w:bookmarkEnd w:id="1244"/>
    </w:p>
    <w:p>
      <w:pPr>
        <w:pStyle w:val="Normal"/>
      </w:pPr>
      <w:r>
        <w:t xml:space="preserve">El póster distingue los cuatro hábitos de modelos mentales de los cinco que profundizan en las estructuras sistémicas.</w:t>
      </w:r>
    </w:p>
    <w:p>
      <w:pPr>
        <w:pStyle w:val="Fuente"/>
      </w:pPr>
      <w:r>
        <w:t xml:space="preserve">Proyección o explicación: Clase 13 · 00:15:51 · captura c13-01.</w:t>
      </w:r>
    </w:p>
    <w:p>
      <w:pPr>
        <w:keepNext/>
        <w:spacing w:after="40" w:before="150"/>
        <w:jc w:val="center"/>
      </w:pPr>
      <w:bookmarkStart w:name="b_figura_original_pagina_C_2_41" w:id="1245"/>
      <w:bookmarkEnd w:id="1245"/>
      <w:r>
        <w:drawing>
          <wp:inline distT="0" distB="0" distL="0" distR="0">
            <wp:extent cx="5381625" cy="4162425"/>
            <wp:effectExtent t="0" r="0" b="0" l="0"/>
            <wp:docPr id="33" name="pagina-C-2-41" descr="Presentación C-2, pág. 41" title="Cuatro hábitos básicos y cinco de estructuras sistémic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19" cstate="none"/>
                    <a:srcRect/>
                    <a:stretch>
                      <a:fillRect/>
                    </a:stretch>
                  </pic:blipFill>
                  <pic:spPr bwMode="auto">
                    <a:xfrm>
                      <a:off x="0" y="0"/>
                      <a:ext cx="5381625" cy="4162425"/>
                    </a:xfrm>
                    <a:prstGeom prst="rect">
                      <a:avLst/>
                    </a:prstGeom>
                  </pic:spPr>
                </pic:pic>
              </a:graphicData>
            </a:graphic>
          </wp:inline>
        </w:drawing>
      </w:r>
    </w:p>
    <w:p>
      <w:pPr>
        <w:pStyle w:val="PieFigura"/>
        <w:keepNext/>
      </w:pPr>
      <w:bookmarkStart w:name="b_fig_1_8_10" w:id="1246"/>
      <w:r>
        <w:t xml:space="preserve">Figura 1.8.</w:t>
      </w:r>
      <w:fldSimple w:instr="SEQ Figura \n \* ARABIC">
        <w:r>
          <w:t xml:space="preserve">10</w:t>
        </w:r>
      </w:fldSimple>
      <w:r>
        <w:t xml:space="preserve"> · Cuatro hábitos básicos y cinco de estructuras sistémicas</w:t>
      </w:r>
      <w:bookmarkEnd w:id="1246"/>
    </w:p>
    <w:p>
      <w:pPr>
        <w:pStyle w:val="Fuente"/>
      </w:pPr>
      <w:r>
        <w:t xml:space="preserve">Presentación C-2, pág. 41</w:t>
      </w:r>
    </w:p>
    <w:p>
      <w:bookmarkStart w:name="b_punto_c2_p041_01" w:id="1247"/>
      <w:r>
        <w:t xml:space="preserve">Los cuatro hábitos básicos son considerar modelos mentales,probar suposiciones,cambiar perspectivas y buscar la película completa.</w:t>
      </w:r>
      <w:bookmarkEnd w:id="1247"/>
    </w:p>
    <w:p>
      <w:pPr>
        <w:pStyle w:val="Fuente"/>
      </w:pPr>
      <w:r>
        <w:t xml:space="preserve">Véase </w:t>
      </w:r>
      <w:hyperlink w:history="1" w:anchor="b_3_9">
        <w:r>
          <w:rPr>
            <w:color w:val="156B70"/>
            <w:u w:val="single"/>
          </w:rPr>
          <w:t xml:space="preserve">capítulo 3.9 · Hábitos (complejo)</w:t>
        </w:r>
      </w:hyperlink>
      <w:r>
        <w:t xml:space="preserve">, pág. </w:t>
      </w:r>
      <w:r>
        <w:fldChar w:fldCharType="begin"/>
        <w:instrText xml:space="preserve">PAGEREF b_3_9 \h</w:instrText>
        <w:fldChar w:fldCharType="separate"/>
        <w:t xml:space="preserve">622</w:t>
        <w:fldChar w:fldCharType="end"/>
      </w:r>
      <w:r>
        <w:t xml:space="preserve">.</w:t>
      </w:r>
    </w:p>
    <w:p>
      <w:pPr>
        <w:pStyle w:val="Heading3"/>
      </w:pPr>
      <w:r>
        <w:t xml:space="preserve">Lo que explicó el profesor en clase</w:t>
      </w:r>
    </w:p>
    <w:p>
      <w:pPr>
        <w:pStyle w:val="Heading3"/>
      </w:pPr>
      <w:bookmarkStart w:name="b_clase_1_8_c1_cap_04" w:id="1248"/>
      <w:r>
        <w:t xml:space="preserve">Clase 1 · 00:25:56–00:35:08 · Hábitos del pensador sistémico y objetivos del curso</w:t>
      </w:r>
      <w:bookmarkEnd w:id="1248"/>
    </w:p>
    <w:p>
      <w:bookmarkStart w:name="b_punto_c1_cap_04_p01" w:id="1249"/>
      <w:r>
        <w:t xml:space="preserve">Los hábitos de Waters Foundation concretan los conceptos del curso en comportamientos y conectan las cuatro unidades.</w:t>
      </w:r>
      <w:bookmarkEnd w:id="1249"/>
    </w:p>
    <w:p>
      <w:bookmarkStart w:name="b_punto_c1_cap_04_p05" w:id="1250"/>
      <w:r>
        <w:t xml:space="preserve">Toda persona crea teorías a partir de observaciones y modelos; sus teorías pueden ser incompletas o imprecisas y deben abrirse a validación, ampliación y corrección.</w:t>
      </w:r>
      <w:bookmarkEnd w:id="1250"/>
    </w:p>
    <w:p>
      <w:pPr>
        <w:pStyle w:val="Fuente"/>
      </w:pPr>
      <w:r>
        <w:t xml:space="preserve">Véase </w:t>
      </w:r>
      <w:hyperlink w:history="1" w:anchor="b_2_9">
        <w:r>
          <w:rPr>
            <w:color w:val="156B70"/>
            <w:u w:val="single"/>
          </w:rPr>
          <w:t xml:space="preserve">capítulo 2.9 · Introducción a los hábitos</w:t>
        </w:r>
      </w:hyperlink>
      <w:r>
        <w:t xml:space="preserve">, pág. </w:t>
      </w:r>
      <w:r>
        <w:fldChar w:fldCharType="begin"/>
        <w:instrText xml:space="preserve">PAGEREF b_2_9 \h</w:instrText>
        <w:fldChar w:fldCharType="separate"/>
        <w:t xml:space="preserve">366</w:t>
        <w:fldChar w:fldCharType="end"/>
      </w:r>
      <w:r>
        <w:t xml:space="preserve">.</w:t>
      </w:r>
    </w:p>
    <w:p>
      <w:pPr>
        <w:pStyle w:val="Fuente"/>
      </w:pPr>
      <w:r>
        <w:t xml:space="preserve">Véase </w:t>
      </w:r>
      <w:hyperlink w:history="1" w:anchor="b_1_4">
        <w:r>
          <w:rPr>
            <w:color w:val="156B70"/>
            <w:u w:val="single"/>
          </w:rPr>
          <w:t xml:space="preserve">capítulo 1.4 · Sistémico vs no sistémico</w:t>
        </w:r>
      </w:hyperlink>
      <w:r>
        <w:t xml:space="preserve">, pág. </w:t>
      </w:r>
      <w:r>
        <w:fldChar w:fldCharType="begin"/>
        <w:instrText xml:space="preserve">PAGEREF b_1_4 \h</w:instrText>
        <w:fldChar w:fldCharType="separate"/>
        <w:t xml:space="preserve">104</w:t>
        <w:fldChar w:fldCharType="end"/>
      </w:r>
      <w:r>
        <w:t xml:space="preserve">.</w:t>
      </w:r>
    </w:p>
    <w:p>
      <w:pPr>
        <w:pStyle w:val="Heading3"/>
      </w:pPr>
      <w:bookmarkStart w:name="b_clase_1_8_c1_cap_06" w:id="1251"/>
      <w:r>
        <w:t xml:space="preserve">Clase 1 · 01:00:13–01:03:58 · Unidad 1: la ruta de los sistemas abstractos diseñados</w:t>
      </w:r>
      <w:bookmarkEnd w:id="1251"/>
    </w:p>
    <w:p>
      <w:bookmarkStart w:name="b_punto_c1_cap_06_p04" w:id="1252"/>
      <w:r>
        <w:t xml:space="preserve">Los hábitos se introducen al estudiar los modelos mentales y se retomarán al final de la unidad.</w:t>
      </w:r>
      <w:bookmarkEnd w:id="1252"/>
    </w:p>
    <w:p>
      <w:pPr>
        <w:pStyle w:val="Fuente"/>
      </w:pPr>
      <w:r>
        <w:t xml:space="preserve">Véase </w:t>
      </w:r>
      <w:hyperlink w:history="1" w:anchor="b_1_1">
        <w:r>
          <w:rPr>
            <w:color w:val="156B70"/>
            <w:u w:val="single"/>
          </w:rPr>
          <w:t xml:space="preserve">capítulo 1.1 · Paradigmas y modelos mentales</w:t>
        </w:r>
      </w:hyperlink>
      <w:r>
        <w:t xml:space="preserve">, pág. </w:t>
      </w:r>
      <w:r>
        <w:fldChar w:fldCharType="begin"/>
        <w:instrText xml:space="preserve">PAGEREF b_1_1 \h</w:instrText>
        <w:fldChar w:fldCharType="separate"/>
        <w:t xml:space="preserve">19</w:t>
        <w:fldChar w:fldCharType="end"/>
      </w:r>
      <w:r>
        <w:t xml:space="preserve">.</w:t>
      </w:r>
    </w:p>
    <w:p>
      <w:pPr>
        <w:pStyle w:val="Fuente"/>
      </w:pPr>
      <w:r>
        <w:t xml:space="preserve">Véase </w:t>
      </w:r>
      <w:hyperlink w:history="1" w:anchor="b_1_4">
        <w:r>
          <w:rPr>
            <w:color w:val="156B70"/>
            <w:u w:val="single"/>
          </w:rPr>
          <w:t xml:space="preserve">capítulo 1.4 · Sistémico vs no sistémico</w:t>
        </w:r>
      </w:hyperlink>
      <w:r>
        <w:t xml:space="preserve">, pág. </w:t>
      </w:r>
      <w:r>
        <w:fldChar w:fldCharType="begin"/>
        <w:instrText xml:space="preserve">PAGEREF b_1_4 \h</w:instrText>
        <w:fldChar w:fldCharType="separate"/>
        <w:t xml:space="preserve">104</w:t>
        <w:fldChar w:fldCharType="end"/>
      </w:r>
      <w:r>
        <w:t xml:space="preserve">.</w:t>
      </w:r>
    </w:p>
    <w:p>
      <w:pPr>
        <w:pStyle w:val="Heading3"/>
      </w:pPr>
      <w:bookmarkStart w:name="b_clase_1_8_c3_cap_06" w:id="1253"/>
      <w:r>
        <w:t xml:space="preserve">Clase 3 · 01:01:27–01:09:27 · Los hábitos del pensador sistémico (Waters Foundation)</w:t>
      </w:r>
      <w:bookmarkEnd w:id="1253"/>
    </w:p>
    <w:p>
      <w:bookmarkStart w:name="b_punto_c3_cap_06_p02" w:id="1254"/>
      <w:r>
        <w:t xml:space="preserve">La Unidad 1 selecciona cuatro hábitos: considerar modelos mentales, probar supuestos, cambiar perspectivas y comprender la película completa; conexiones se conserva como ampliación explícita.</w:t>
      </w:r>
      <w:bookmarkEnd w:id="1254"/>
    </w:p>
    <w:p>
      <w:bookmarkStart w:name="b_punto_c3_cap_06_p03" w:id="1255"/>
      <w:r>
        <w:t xml:space="preserve">Un hábito es un comportamiento repetido que moldea la conducta; cada ficha aporta imagen, explicación y preguntas para indagar.</w:t>
      </w:r>
      <w:bookmarkEnd w:id="1255"/>
    </w:p>
    <w:p>
      <w:bookmarkStart w:name="b_punto_c3_cap_06_p05" w:id="1256"/>
      <w:r>
        <w:t xml:space="preserve">Reconocer y probar suposiciones requiere detectar que las propias conclusiones son teorías potencialmente incompletas antes de generalizarlas.</w:t>
      </w:r>
      <w:bookmarkEnd w:id="1256"/>
    </w:p>
    <w:p>
      <w:bookmarkStart w:name="b_punto_c3_cap_06_p07" w:id="1257"/>
      <w:r>
        <w:t xml:space="preserve">Probar las teorías y revisar percepciones incompletas mejora decisiones y resultados; de otro modo persiste la discordancia con la realidad.</w:t>
      </w:r>
      <w:bookmarkEnd w:id="1257"/>
    </w:p>
    <w:p>
      <w:pPr>
        <w:pStyle w:val="Fuente"/>
      </w:pPr>
      <w:r>
        <w:t xml:space="preserve">Véase </w:t>
      </w:r>
      <w:hyperlink w:history="1" w:anchor="b_senales_examen">
        <w:r>
          <w:rPr>
            <w:color w:val="156B70"/>
            <w:u w:val="single"/>
          </w:rPr>
          <w:t xml:space="preserve">1 indicación(es) de examen de este tramo, en el apéndice cronológico</w:t>
        </w:r>
      </w:hyperlink>
      <w:r>
        <w:t xml:space="preserve">, pág. </w:t>
      </w:r>
      <w:r>
        <w:fldChar w:fldCharType="begin"/>
        <w:instrText xml:space="preserve">PAGEREF b_senales_examen \h</w:instrText>
        <w:fldChar w:fldCharType="separate"/>
        <w:t xml:space="preserve">1663</w:t>
        <w:fldChar w:fldCharType="end"/>
      </w:r>
      <w:r>
        <w:t xml:space="preserve">.</w:t>
      </w:r>
    </w:p>
    <w:p>
      <w:pPr>
        <w:pStyle w:val="Fuente"/>
      </w:pPr>
      <w:r>
        <w:t xml:space="preserve">Véase </w:t>
      </w:r>
      <w:hyperlink w:history="1" w:anchor="b_2_9">
        <w:r>
          <w:rPr>
            <w:color w:val="156B70"/>
            <w:u w:val="single"/>
          </w:rPr>
          <w:t xml:space="preserve">capítulo 2.9 · Introducción a los hábitos</w:t>
        </w:r>
      </w:hyperlink>
      <w:r>
        <w:t xml:space="preserve">, pág. </w:t>
      </w:r>
      <w:r>
        <w:fldChar w:fldCharType="begin"/>
        <w:instrText xml:space="preserve">PAGEREF b_2_9 \h</w:instrText>
        <w:fldChar w:fldCharType="separate"/>
        <w:t xml:space="preserve">366</w:t>
        <w:fldChar w:fldCharType="end"/>
      </w:r>
      <w:r>
        <w:t xml:space="preserve">.</w:t>
      </w:r>
    </w:p>
    <w:p>
      <w:pPr>
        <w:pStyle w:val="Fuente"/>
      </w:pPr>
      <w:r>
        <w:t xml:space="preserve">Véase </w:t>
      </w:r>
      <w:hyperlink w:history="1" w:anchor="b_1_2">
        <w:r>
          <w:rPr>
            <w:color w:val="156B70"/>
            <w:u w:val="single"/>
          </w:rPr>
          <w:t xml:space="preserve">capítulo 1.2 · Escalera de inferencias</w:t>
        </w:r>
      </w:hyperlink>
      <w:r>
        <w:t xml:space="preserve">, pág. </w:t>
      </w:r>
      <w:r>
        <w:fldChar w:fldCharType="begin"/>
        <w:instrText xml:space="preserve">PAGEREF b_1_2 \h</w:instrText>
        <w:fldChar w:fldCharType="separate"/>
        <w:t xml:space="preserve">55</w:t>
        <w:fldChar w:fldCharType="end"/>
      </w:r>
      <w:r>
        <w:t xml:space="preserve">.</w:t>
      </w:r>
    </w:p>
    <w:p>
      <w:pPr>
        <w:pStyle w:val="Heading3"/>
      </w:pPr>
      <w:bookmarkStart w:name="b_clase_1_8_c4_cap_01" w:id="1258"/>
      <w:r>
        <w:t xml:space="preserve">Clase 4 · 00:00:21–00:06:41 · Repaso: los cuatro hábitos ligados a los modelos mentales</w:t>
      </w:r>
      <w:bookmarkEnd w:id="1258"/>
    </w:p>
    <w:p>
      <w:bookmarkStart w:name="b_punto_c4_cap_01_p02" w:id="1259"/>
      <w:r>
        <w:t xml:space="preserve">El modelo del curso reúne catorce hábitos y Unidad 1 selecciona cuatro relacionados con paradigmas o sistemas abstractos diseñados.</w:t>
      </w:r>
      <w:bookmarkEnd w:id="1259"/>
    </w:p>
    <w:p>
      <w:bookmarkStart w:name="b_punto_c4_cap_01_p03" w:id="1260"/>
      <w:r>
        <w:t xml:space="preserve">La Unidad 1 selecciona cuatro hábitos: considerar modelos mentales, probar supuestos, cambiar perspectivas y comprender la película completa; conexiones se conserva como ampliación explícita.</w:t>
      </w:r>
      <w:bookmarkEnd w:id="1260"/>
    </w:p>
    <w:p>
      <w:bookmarkStart w:name="b_punto_c4_cap_01_p05" w:id="1261"/>
      <w:r>
        <w:t xml:space="preserve">La autoindagación pregunta por supuestos, datos y filtros y provoca reflexión sobre el pensamiento propio.</w:t>
      </w:r>
      <w:bookmarkEnd w:id="1261"/>
    </w:p>
    <w:p>
      <w:pPr>
        <w:pStyle w:val="Fuente"/>
      </w:pPr>
      <w:r>
        <w:t xml:space="preserve">Véase </w:t>
      </w:r>
      <w:hyperlink w:history="1" w:anchor="b_1_1">
        <w:r>
          <w:rPr>
            <w:color w:val="156B70"/>
            <w:u w:val="single"/>
          </w:rPr>
          <w:t xml:space="preserve">capítulo 1.1 · Paradigmas y modelos mentales</w:t>
        </w:r>
      </w:hyperlink>
      <w:r>
        <w:t xml:space="preserve">, pág. </w:t>
      </w:r>
      <w:r>
        <w:fldChar w:fldCharType="begin"/>
        <w:instrText xml:space="preserve">PAGEREF b_1_1 \h</w:instrText>
        <w:fldChar w:fldCharType="separate"/>
        <w:t xml:space="preserve">19</w:t>
        <w:fldChar w:fldCharType="end"/>
      </w:r>
      <w:r>
        <w:t xml:space="preserve">.</w:t>
      </w:r>
    </w:p>
    <w:p>
      <w:pPr>
        <w:pStyle w:val="Fuente"/>
      </w:pPr>
      <w:r>
        <w:t xml:space="preserve">Véase </w:t>
      </w:r>
      <w:hyperlink w:history="1" w:anchor="b_1_2">
        <w:r>
          <w:rPr>
            <w:color w:val="156B70"/>
            <w:u w:val="single"/>
          </w:rPr>
          <w:t xml:space="preserve">capítulo 1.2 · Escalera de inferencias</w:t>
        </w:r>
      </w:hyperlink>
      <w:r>
        <w:t xml:space="preserve">, pág. </w:t>
      </w:r>
      <w:r>
        <w:fldChar w:fldCharType="begin"/>
        <w:instrText xml:space="preserve">PAGEREF b_1_2 \h</w:instrText>
        <w:fldChar w:fldCharType="separate"/>
        <w:t xml:space="preserve">55</w:t>
        <w:fldChar w:fldCharType="end"/>
      </w:r>
      <w:r>
        <w:t xml:space="preserve">.</w:t>
      </w:r>
    </w:p>
    <w:p>
      <w:pPr>
        <w:pStyle w:val="Heading3"/>
      </w:pPr>
      <w:bookmarkStart w:name="b_clase_1_8_c4_cap_02" w:id="1262"/>
      <w:r>
        <w:t xml:space="preserve">Clase 4 · 00:06:41–00:20:06 · El segundo hábito y el iceberg: el agua y el nivel de los eventos</w:t>
      </w:r>
      <w:bookmarkEnd w:id="1262"/>
    </w:p>
    <w:p>
      <w:bookmarkStart w:name="b_punto_c4_cap_02_p01" w:id="1263"/>
      <w:r>
        <w:t xml:space="preserve">Considerar cómo los modelos mentales afectan presente y futuro complementa la prueba de suposiciones: las creencias determinan perspectivas y acciones.</w:t>
      </w:r>
      <w:bookmarkEnd w:id="1263"/>
    </w:p>
    <w:p>
      <w:pPr>
        <w:pStyle w:val="Fuente"/>
      </w:pPr>
      <w:r>
        <w:t xml:space="preserve">Véase </w:t>
      </w:r>
      <w:hyperlink w:history="1" w:anchor="b_1_7">
        <w:r>
          <w:rPr>
            <w:color w:val="156B70"/>
            <w:u w:val="single"/>
          </w:rPr>
          <w:t xml:space="preserve">capítulo 1.7 · Niveles — modelo del iceberg</w:t>
        </w:r>
      </w:hyperlink>
      <w:r>
        <w:t xml:space="preserve">, pág. </w:t>
      </w:r>
      <w:r>
        <w:fldChar w:fldCharType="begin"/>
        <w:instrText xml:space="preserve">PAGEREF b_1_7 \h</w:instrText>
        <w:fldChar w:fldCharType="separate"/>
        <w:t xml:space="preserve">175</w:t>
        <w:fldChar w:fldCharType="end"/>
      </w:r>
      <w:r>
        <w:t xml:space="preserve">.</w:t>
      </w:r>
    </w:p>
    <w:p>
      <w:pPr>
        <w:pStyle w:val="Fuente"/>
      </w:pPr>
      <w:r>
        <w:t xml:space="preserve">Véase </w:t>
      </w:r>
      <w:hyperlink w:history="1" w:anchor="b_1_2">
        <w:r>
          <w:rPr>
            <w:color w:val="156B70"/>
            <w:u w:val="single"/>
          </w:rPr>
          <w:t xml:space="preserve">capítulo 1.2 · Escalera de inferencias</w:t>
        </w:r>
      </w:hyperlink>
      <w:r>
        <w:t xml:space="preserve">, pág. </w:t>
      </w:r>
      <w:r>
        <w:fldChar w:fldCharType="begin"/>
        <w:instrText xml:space="preserve">PAGEREF b_1_2 \h</w:instrText>
        <w:fldChar w:fldCharType="separate"/>
        <w:t xml:space="preserve">55</w:t>
        <w:fldChar w:fldCharType="end"/>
      </w:r>
      <w:r>
        <w:t xml:space="preserve">.</w:t>
      </w:r>
    </w:p>
    <w:p>
      <w:pPr>
        <w:pStyle w:val="Heading3"/>
      </w:pPr>
      <w:bookmarkStart w:name="b_clase_1_8_c4_cap_06" w:id="1264"/>
      <w:r>
        <w:t xml:space="preserve">Clase 4 · 00:46:03–00:55:27 · La tarea de los cuatro niveles, el quinto nivel y las preguntas por nivel</w:t>
      </w:r>
      <w:bookmarkEnd w:id="1264"/>
    </w:p>
    <w:p>
      <w:bookmarkStart w:name="b_punto_c4_cap_06_p07" w:id="1265"/>
      <w:r>
        <w:t xml:space="preserve">El énfasis inmediato es reconocer cómo los modelos afectan presente y futuro y hacer evidentes los propios y ajenos con la escalera de inferencias.</w:t>
      </w:r>
      <w:bookmarkEnd w:id="1265"/>
    </w:p>
    <w:p>
      <w:pPr>
        <w:pStyle w:val="Fuente"/>
      </w:pPr>
      <w:r>
        <w:t xml:space="preserve">Véase </w:t>
      </w:r>
      <w:hyperlink w:history="1" w:anchor="b_senales_examen">
        <w:r>
          <w:rPr>
            <w:color w:val="156B70"/>
            <w:u w:val="single"/>
          </w:rPr>
          <w:t xml:space="preserve">1 indicación(es) de examen de este tramo, en el apéndice cronológico</w:t>
        </w:r>
      </w:hyperlink>
      <w:r>
        <w:t xml:space="preserve">, pág. </w:t>
      </w:r>
      <w:r>
        <w:fldChar w:fldCharType="begin"/>
        <w:instrText xml:space="preserve">PAGEREF b_senales_examen \h</w:instrText>
        <w:fldChar w:fldCharType="separate"/>
        <w:t xml:space="preserve">1663</w:t>
        <w:fldChar w:fldCharType="end"/>
      </w:r>
      <w:r>
        <w:t xml:space="preserve">.</w:t>
      </w:r>
    </w:p>
    <w:p>
      <w:pPr>
        <w:pStyle w:val="Fuente"/>
      </w:pPr>
      <w:r>
        <w:t xml:space="preserve">Véase </w:t>
      </w:r>
      <w:hyperlink w:history="1" w:anchor="b_1_7">
        <w:r>
          <w:rPr>
            <w:color w:val="156B70"/>
            <w:u w:val="single"/>
          </w:rPr>
          <w:t xml:space="preserve">capítulo 1.7 · Niveles — modelo del iceberg</w:t>
        </w:r>
      </w:hyperlink>
      <w:r>
        <w:t xml:space="preserve">, pág. </w:t>
      </w:r>
      <w:r>
        <w:fldChar w:fldCharType="begin"/>
        <w:instrText xml:space="preserve">PAGEREF b_1_7 \h</w:instrText>
        <w:fldChar w:fldCharType="separate"/>
        <w:t xml:space="preserve">175</w:t>
        <w:fldChar w:fldCharType="end"/>
      </w:r>
      <w:r>
        <w:t xml:space="preserve">.</w:t>
      </w:r>
    </w:p>
    <w:p>
      <w:pPr>
        <w:pStyle w:val="Fuente"/>
      </w:pPr>
      <w:r>
        <w:t xml:space="preserve">Véase </w:t>
      </w:r>
      <w:hyperlink w:history="1" w:anchor="b_1_2">
        <w:r>
          <w:rPr>
            <w:color w:val="156B70"/>
            <w:u w:val="single"/>
          </w:rPr>
          <w:t xml:space="preserve">capítulo 1.2 · Escalera de inferencias</w:t>
        </w:r>
      </w:hyperlink>
      <w:r>
        <w:t xml:space="preserve">, pág. </w:t>
      </w:r>
      <w:r>
        <w:fldChar w:fldCharType="begin"/>
        <w:instrText xml:space="preserve">PAGEREF b_1_2 \h</w:instrText>
        <w:fldChar w:fldCharType="separate"/>
        <w:t xml:space="preserve">55</w:t>
        <w:fldChar w:fldCharType="end"/>
      </w:r>
      <w:r>
        <w:t xml:space="preserve">.</w:t>
      </w:r>
    </w:p>
    <w:p>
      <w:pPr>
        <w:pStyle w:val="Heading3"/>
      </w:pPr>
      <w:bookmarkStart w:name="b_clase_1_8_c4_cap_10" w:id="1266"/>
      <w:r>
        <w:t xml:space="preserve">Clase 4 · 01:24:58–01:39:11 · Investigando suposiciones, cambiar las perspectivas y cierre</w:t>
      </w:r>
      <w:bookmarkEnd w:id="1266"/>
    </w:p>
    <w:p>
      <w:bookmarkStart w:name="b_punto_c4_cap_10_p06" w:id="1267"/>
      <w:r>
        <w:t xml:space="preserve">Cambiar perspectivas recupera información eliminada y aumenta comprensión; reconocer representaciones permite actualizarlas con flexibilidad.</w:t>
      </w:r>
      <w:bookmarkEnd w:id="1267"/>
    </w:p>
    <w:p>
      <w:pPr>
        <w:pStyle w:val="Fuente"/>
      </w:pPr>
      <w:r>
        <w:t xml:space="preserve">Véase </w:t>
      </w:r>
      <w:hyperlink w:history="1" w:anchor="b_senales_examen">
        <w:r>
          <w:rPr>
            <w:color w:val="156B70"/>
            <w:u w:val="single"/>
          </w:rPr>
          <w:t xml:space="preserve">1 indicación(es) de examen de este tramo, en el apéndice cronológico</w:t>
        </w:r>
      </w:hyperlink>
      <w:r>
        <w:t xml:space="preserve">, pág. </w:t>
      </w:r>
      <w:r>
        <w:fldChar w:fldCharType="begin"/>
        <w:instrText xml:space="preserve">PAGEREF b_senales_examen \h</w:instrText>
        <w:fldChar w:fldCharType="separate"/>
        <w:t xml:space="preserve">1663</w:t>
        <w:fldChar w:fldCharType="end"/>
      </w:r>
      <w:r>
        <w:t xml:space="preserve">.</w:t>
      </w:r>
    </w:p>
    <w:p>
      <w:pPr>
        <w:pStyle w:val="Fuente"/>
      </w:pPr>
      <w:r>
        <w:t xml:space="preserve">Véase </w:t>
      </w:r>
      <w:hyperlink w:history="1" w:anchor="b_1_1">
        <w:r>
          <w:rPr>
            <w:color w:val="156B70"/>
            <w:u w:val="single"/>
          </w:rPr>
          <w:t xml:space="preserve">capítulo 1.1 · Paradigmas y modelos mentales</w:t>
        </w:r>
      </w:hyperlink>
      <w:r>
        <w:t xml:space="preserve">, pág. </w:t>
      </w:r>
      <w:r>
        <w:fldChar w:fldCharType="begin"/>
        <w:instrText xml:space="preserve">PAGEREF b_1_1 \h</w:instrText>
        <w:fldChar w:fldCharType="separate"/>
        <w:t xml:space="preserve">19</w:t>
        <w:fldChar w:fldCharType="end"/>
      </w:r>
      <w:r>
        <w:t xml:space="preserve">.</w:t>
      </w:r>
    </w:p>
    <w:p>
      <w:pPr>
        <w:pStyle w:val="Fuente"/>
      </w:pPr>
      <w:r>
        <w:t xml:space="preserve">Véase </w:t>
      </w:r>
      <w:hyperlink w:history="1" w:anchor="b_1_4">
        <w:r>
          <w:rPr>
            <w:color w:val="156B70"/>
            <w:u w:val="single"/>
          </w:rPr>
          <w:t xml:space="preserve">capítulo 1.4 · Sistémico vs no sistémico</w:t>
        </w:r>
      </w:hyperlink>
      <w:r>
        <w:t xml:space="preserve">, pág. </w:t>
      </w:r>
      <w:r>
        <w:fldChar w:fldCharType="begin"/>
        <w:instrText xml:space="preserve">PAGEREF b_1_4 \h</w:instrText>
        <w:fldChar w:fldCharType="separate"/>
        <w:t xml:space="preserve">104</w:t>
        <w:fldChar w:fldCharType="end"/>
      </w:r>
      <w:r>
        <w:t xml:space="preserve">.</w:t>
      </w:r>
    </w:p>
    <w:p>
      <w:pPr>
        <w:pStyle w:val="Fuente"/>
      </w:pPr>
      <w:r>
        <w:t xml:space="preserve">Véase </w:t>
      </w:r>
      <w:hyperlink w:history="1" w:anchor="b_1_7">
        <w:r>
          <w:rPr>
            <w:color w:val="156B70"/>
            <w:u w:val="single"/>
          </w:rPr>
          <w:t xml:space="preserve">capítulo 1.7 · Niveles — modelo del iceberg</w:t>
        </w:r>
      </w:hyperlink>
      <w:r>
        <w:t xml:space="preserve">, pág. </w:t>
      </w:r>
      <w:r>
        <w:fldChar w:fldCharType="begin"/>
        <w:instrText xml:space="preserve">PAGEREF b_1_7 \h</w:instrText>
        <w:fldChar w:fldCharType="separate"/>
        <w:t xml:space="preserve">175</w:t>
        <w:fldChar w:fldCharType="end"/>
      </w:r>
      <w:r>
        <w:t xml:space="preserve">.</w:t>
      </w:r>
    </w:p>
    <w:p>
      <w:pPr>
        <w:pStyle w:val="Heading3"/>
      </w:pPr>
      <w:bookmarkStart w:name="b_clase_1_8_c5_cap_01" w:id="1268"/>
      <w:r>
        <w:t xml:space="preserve">Clase 5 · 00:00:17–00:02:30 · Apertura: la unidad 1 entra en su última sesión</w:t>
      </w:r>
      <w:bookmarkEnd w:id="1268"/>
    </w:p>
    <w:p>
      <w:bookmarkStart w:name="b_punto_c5_cap_01_p02" w:id="1269"/>
      <w:r>
        <w:t xml:space="preserve">La clase retoma cuatro hábitos y la comprobación por indagación: hacer consciente el modelo permite confirmar, invalidar o actualizar interpretaciones.</w:t>
      </w:r>
      <w:bookmarkEnd w:id="1269"/>
    </w:p>
    <w:p>
      <w:bookmarkStart w:name="b_punto_c5_cap_01_p03" w:id="1270"/>
      <w:r>
        <w:t xml:space="preserve">La Unidad 1 selecciona cuatro hábitos: considerar modelos mentales, probar supuestos, cambiar perspectivas y comprender la película completa; conexiones se conserva como ampliación explícita.</w:t>
      </w:r>
      <w:bookmarkEnd w:id="1270"/>
    </w:p>
    <w:p>
      <w:pPr>
        <w:pStyle w:val="Heading3"/>
      </w:pPr>
      <w:bookmarkStart w:name="b_clase_1_8_c5_cap_02" w:id="1271"/>
      <w:r>
        <w:t xml:space="preserve">Clase 5 · 00:02:30–00:11:21 · El tercer hábito: cambiar las perspectivas</w:t>
      </w:r>
      <w:bookmarkEnd w:id="1271"/>
    </w:p>
    <w:p>
      <w:bookmarkStart w:name="b_punto_c5_cap_02_p03" w:id="1272"/>
      <w:r>
        <w:t xml:space="preserve">Las preguntas de autoindagación comprueban apertura a otros puntos de vista, su influencia en la comprensión y con quién hablar para obtener perspectivas nuevas.</w:t>
      </w:r>
      <w:bookmarkEnd w:id="1272"/>
    </w:p>
    <w:p>
      <w:pPr>
        <w:pStyle w:val="Fuente"/>
      </w:pPr>
      <w:r>
        <w:t xml:space="preserve">Véase </w:t>
      </w:r>
      <w:hyperlink w:history="1" w:anchor="b_senales_examen">
        <w:r>
          <w:rPr>
            <w:color w:val="156B70"/>
            <w:u w:val="single"/>
          </w:rPr>
          <w:t xml:space="preserve">1 indicación(es) de examen de este tramo, en el apéndice cronológico</w:t>
        </w:r>
      </w:hyperlink>
      <w:r>
        <w:t xml:space="preserve">, pág. </w:t>
      </w:r>
      <w:r>
        <w:fldChar w:fldCharType="begin"/>
        <w:instrText xml:space="preserve">PAGEREF b_senales_examen \h</w:instrText>
        <w:fldChar w:fldCharType="separate"/>
        <w:t xml:space="preserve">1663</w:t>
        <w:fldChar w:fldCharType="end"/>
      </w:r>
      <w:r>
        <w:t xml:space="preserve">.</w:t>
      </w:r>
    </w:p>
    <w:p>
      <w:pPr>
        <w:pStyle w:val="Fuente"/>
      </w:pPr>
      <w:r>
        <w:t xml:space="preserve">Véase </w:t>
      </w:r>
      <w:hyperlink w:history="1" w:anchor="b_1_5">
        <w:r>
          <w:rPr>
            <w:color w:val="156B70"/>
            <w:u w:val="single"/>
          </w:rPr>
          <w:t xml:space="preserve">capítulo 1.5 · Perspectivas</w:t>
        </w:r>
      </w:hyperlink>
      <w:r>
        <w:t xml:space="preserve">, pág. </w:t>
      </w:r>
      <w:r>
        <w:fldChar w:fldCharType="begin"/>
        <w:instrText xml:space="preserve">PAGEREF b_1_5 \h</w:instrText>
        <w:fldChar w:fldCharType="separate"/>
        <w:t xml:space="preserve">125</w:t>
        <w:fldChar w:fldCharType="end"/>
      </w:r>
      <w:r>
        <w:t xml:space="preserve">.</w:t>
      </w:r>
    </w:p>
    <w:p>
      <w:pPr>
        <w:pStyle w:val="Fuente"/>
      </w:pPr>
      <w:r>
        <w:t xml:space="preserve">Véase </w:t>
      </w:r>
      <w:hyperlink w:history="1" w:anchor="b_1_4">
        <w:r>
          <w:rPr>
            <w:color w:val="156B70"/>
            <w:u w:val="single"/>
          </w:rPr>
          <w:t xml:space="preserve">capítulo 1.4 · Sistémico vs no sistémico</w:t>
        </w:r>
      </w:hyperlink>
      <w:r>
        <w:t xml:space="preserve">, pág. </w:t>
      </w:r>
      <w:r>
        <w:fldChar w:fldCharType="begin"/>
        <w:instrText xml:space="preserve">PAGEREF b_1_4 \h</w:instrText>
        <w:fldChar w:fldCharType="separate"/>
        <w:t xml:space="preserve">104</w:t>
        <w:fldChar w:fldCharType="end"/>
      </w:r>
      <w:r>
        <w:t xml:space="preserve">.</w:t>
      </w:r>
    </w:p>
    <w:p>
      <w:pPr>
        <w:pStyle w:val="Heading3"/>
      </w:pPr>
      <w:bookmarkStart w:name="b_clase_1_8_c5_cap_07" w:id="1273"/>
      <w:r>
        <w:t xml:space="preserve">Clase 5 · 00:40:41–00:50:59 · La película completa: el bosque y el árbol</w:t>
      </w:r>
      <w:bookmarkEnd w:id="1273"/>
    </w:p>
    <w:p>
      <w:bookmarkStart w:name="b_punto_c5_cap_07_p01" w:id="1274"/>
      <w:r>
        <w:t xml:space="preserve">La película completa es el cuarto hábito: inferir de fragmentos produce representaciones, acciones y soluciones parciales.</w:t>
      </w:r>
      <w:bookmarkEnd w:id="1274"/>
    </w:p>
    <w:p>
      <w:bookmarkStart w:name="b_punto_c5_cap_07_p03" w:id="1275"/>
      <w:r>
        <w:t xml:space="preserve">El bosque contiene árboles, plantas y otras relaciones: estudiar un árbol puede servir a un interés específico, pero no describe el ecosistema completo.</w:t>
      </w:r>
      <w:bookmarkEnd w:id="1275"/>
    </w:p>
    <w:p>
      <w:bookmarkStart w:name="b_punto_c5_cap_07_p04" w:id="1276"/>
      <w:r>
        <w:t xml:space="preserve">Análisis y síntesis se complementan: uno descompone para obtener información y la otra integra sin perder el todo.</w:t>
      </w:r>
      <w:bookmarkEnd w:id="1276"/>
    </w:p>
    <w:p>
      <w:bookmarkStart w:name="b_punto_c5_cap_07_p05" w:id="1277"/>
      <w:r>
        <w:t xml:space="preserve">Las preguntas incluyen qué marco temporal usar y cómo equilibrar perspectiva global y detalles importantes.</w:t>
      </w:r>
      <w:bookmarkEnd w:id="1277"/>
    </w:p>
    <w:p>
      <w:bookmarkStart w:name="b_punto_c5_cap_07_p06" w:id="1278"/>
      <w:r>
        <w:t xml:space="preserve">Se enfocan zonas de influencia y subsistemas relevantes al problema, sin reducirse al síntoma ni intentar estudiar todos los sistemas existentes.</w:t>
      </w:r>
      <w:bookmarkEnd w:id="1278"/>
    </w:p>
    <w:p>
      <w:pPr>
        <w:pStyle w:val="Fuente"/>
      </w:pPr>
      <w:r>
        <w:t xml:space="preserve">Véase </w:t>
      </w:r>
      <w:hyperlink w:history="1" w:anchor="b_1_1">
        <w:r>
          <w:rPr>
            <w:color w:val="156B70"/>
            <w:u w:val="single"/>
          </w:rPr>
          <w:t xml:space="preserve">capítulo 1.1 · Paradigmas y modelos mentales</w:t>
        </w:r>
      </w:hyperlink>
      <w:r>
        <w:t xml:space="preserve">, pág. </w:t>
      </w:r>
      <w:r>
        <w:fldChar w:fldCharType="begin"/>
        <w:instrText xml:space="preserve">PAGEREF b_1_1 \h</w:instrText>
        <w:fldChar w:fldCharType="separate"/>
        <w:t xml:space="preserve">19</w:t>
        <w:fldChar w:fldCharType="end"/>
      </w:r>
      <w:r>
        <w:t xml:space="preserve">.</w:t>
      </w:r>
    </w:p>
    <w:p>
      <w:pPr>
        <w:pStyle w:val="Heading3"/>
      </w:pPr>
      <w:bookmarkStart w:name="b_clase_1_8_c5_cap_09" w:id="1279"/>
      <w:r>
        <w:t xml:space="preserve">Clase 5 · 00:58:15–01:08:30 · Síntesis de los sistemas abstractos y una pregunta a la clase</w:t>
      </w:r>
      <w:bookmarkEnd w:id="1279"/>
    </w:p>
    <w:p>
      <w:bookmarkStart w:name="b_punto_c5_cap_09_p07" w:id="1280"/>
      <w:r>
        <w:t xml:space="preserve">La lámina 10 de síntesis de la Unidad 1 se proyecta en Clase 5 · 00:58:29.</w:t>
      </w:r>
      <w:bookmarkEnd w:id="1280"/>
    </w:p>
    <w:p>
      <w:pPr>
        <w:pStyle w:val="Fuente"/>
      </w:pPr>
      <w:r>
        <w:t xml:space="preserve">Véase </w:t>
      </w:r>
      <w:hyperlink w:history="1" w:anchor="b_1_1">
        <w:r>
          <w:rPr>
            <w:color w:val="156B70"/>
            <w:u w:val="single"/>
          </w:rPr>
          <w:t xml:space="preserve">capítulo 1.1 · Paradigmas y modelos mentales</w:t>
        </w:r>
      </w:hyperlink>
      <w:r>
        <w:t xml:space="preserve">, pág. </w:t>
      </w:r>
      <w:r>
        <w:fldChar w:fldCharType="begin"/>
        <w:instrText xml:space="preserve">PAGEREF b_1_1 \h</w:instrText>
        <w:fldChar w:fldCharType="separate"/>
        <w:t xml:space="preserve">19</w:t>
        <w:fldChar w:fldCharType="end"/>
      </w:r>
      <w:r>
        <w:t xml:space="preserve">.</w:t>
      </w:r>
    </w:p>
    <w:p>
      <w:pPr>
        <w:pStyle w:val="Fuente"/>
      </w:pPr>
      <w:r>
        <w:t xml:space="preserve">Véase </w:t>
      </w:r>
      <w:hyperlink w:history="1" w:anchor="b_1_2">
        <w:r>
          <w:rPr>
            <w:color w:val="156B70"/>
            <w:u w:val="single"/>
          </w:rPr>
          <w:t xml:space="preserve">capítulo 1.2 · Escalera de inferencias</w:t>
        </w:r>
      </w:hyperlink>
      <w:r>
        <w:t xml:space="preserve">, pág. </w:t>
      </w:r>
      <w:r>
        <w:fldChar w:fldCharType="begin"/>
        <w:instrText xml:space="preserve">PAGEREF b_1_2 \h</w:instrText>
        <w:fldChar w:fldCharType="separate"/>
        <w:t xml:space="preserve">55</w:t>
        <w:fldChar w:fldCharType="end"/>
      </w:r>
      <w:r>
        <w:t xml:space="preserve">.</w:t>
      </w:r>
    </w:p>
    <w:p>
      <w:pPr>
        <w:pStyle w:val="Heading3"/>
      </w:pPr>
      <w:bookmarkStart w:name="b_cita_clase_1_todos_somos_crea_ad641bf5" w:id="1281"/>
      <w:r>
        <w:t xml:space="preserve">Palabras del profesor</w:t>
      </w:r>
      <w:bookmarkEnd w:id="1281"/>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El profesor lo dijo así</w:t>
            </w:r>
          </w:p>
          <w:p>
            <w:pPr>
              <w:pStyle w:val="Recuadro"/>
            </w:pPr>
            <w:r>
              <w:t xml:space="preserve">«Todos somos creadores de teorías; solo tenemos que distinguir la naturaleza de la teoría que estamos creando.»</w:t>
            </w:r>
          </w:p>
          <w:p>
            <w:pPr>
              <w:pStyle w:val="Recuadro"/>
            </w:pPr>
            <w:r>
              <w:t xml:space="preserve">Clase 1 · 00:33:22–00:33:37</w:t>
            </w:r>
          </w:p>
        </w:tc>
      </w:tr>
    </w:tbl>
    <w:p>
      <w:pPr>
        <w:pStyle w:val="Heading3"/>
      </w:pPr>
      <w:bookmarkStart w:name="b_cita_clase_3_reconocer_conclu_bf5ff3e7" w:id="1282"/>
      <w:r>
        <w:t xml:space="preserve">Palabras del profesor</w:t>
      </w:r>
      <w:bookmarkEnd w:id="1282"/>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El profesor lo dijo así</w:t>
            </w:r>
          </w:p>
          <w:p>
            <w:pPr>
              <w:pStyle w:val="Recuadro"/>
            </w:pPr>
            <w:r>
              <w:t xml:space="preserve">«Sus conclusiones y sus percepciones pueden no ser completas y tienen la necesidad de reconocer cuáles son y de ponerlas a prueba. Es el mensaje de este hábito.»</w:t>
            </w:r>
          </w:p>
          <w:p>
            <w:pPr>
              <w:pStyle w:val="Recuadro"/>
            </w:pPr>
            <w:r>
              <w:t xml:space="preserve">Clase 3 · 01:08:57–01:09:17</w:t>
            </w:r>
          </w:p>
        </w:tc>
      </w:tr>
    </w:tbl>
    <w:p>
      <w:pPr>
        <w:pStyle w:val="Heading3"/>
      </w:pPr>
      <w:bookmarkStart w:name="b_cita_clase_4_habito_modelos_m_5be75304" w:id="1283"/>
      <w:r>
        <w:t xml:space="preserve">Palabras del profesor</w:t>
      </w:r>
      <w:bookmarkEnd w:id="1283"/>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El profesor lo dijo así</w:t>
            </w:r>
          </w:p>
          <w:p>
            <w:pPr>
              <w:pStyle w:val="Recuadro"/>
            </w:pPr>
            <w:r>
              <w:t xml:space="preserve">«Waters Foundation nos dice que todo pensador sistémico considera cómo los modelos mentales, esos sistemas de creencias, esos paradigmas, afectan la realidad, ya sea la actual o la del futuro.»</w:t>
            </w:r>
          </w:p>
          <w:p>
            <w:pPr>
              <w:pStyle w:val="Recuadro"/>
            </w:pPr>
            <w:r>
              <w:t xml:space="preserve">Clase 4 · 00:06:55–00:07:14</w:t>
            </w:r>
          </w:p>
        </w:tc>
      </w:tr>
    </w:tbl>
    <w:p>
      <w:pPr>
        <w:pStyle w:val="Heading3"/>
      </w:pPr>
      <w:bookmarkStart w:name="b_cita_clase_4_cambiar_perspect_e3b1cc3d" w:id="1284"/>
      <w:r>
        <w:t xml:space="preserve">Palabras del profesor</w:t>
      </w:r>
      <w:bookmarkEnd w:id="1284"/>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El profesor lo dijo así</w:t>
            </w:r>
          </w:p>
          <w:p>
            <w:pPr>
              <w:pStyle w:val="Recuadro"/>
            </w:pPr>
            <w:r>
              <w:t xml:space="preserve">«Un pensador sistémico cambia las perspectivas para aumentar la comprensión: al cambiar las perspectivas tiene más información, porque puede acceder a la información que dejó eliminada en su proceso de inferencia anterior.»</w:t>
            </w:r>
          </w:p>
          <w:p>
            <w:pPr>
              <w:pStyle w:val="Recuadro"/>
            </w:pPr>
            <w:r>
              <w:t xml:space="preserve">Clase 4 · 01:32:56–01:33:23</w:t>
            </w:r>
          </w:p>
        </w:tc>
      </w:tr>
    </w:tbl>
    <w:p>
      <w:pPr>
        <w:pStyle w:val="Heading3"/>
      </w:pPr>
      <w:bookmarkStart w:name="b_cita_clase_4_cuestionar_nuest_86954602" w:id="1285"/>
      <w:r>
        <w:t xml:space="preserve">Palabras del profesor</w:t>
      </w:r>
      <w:bookmarkEnd w:id="1285"/>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El profesor lo dijo así</w:t>
            </w:r>
          </w:p>
          <w:p>
            <w:pPr>
              <w:pStyle w:val="Recuadro"/>
            </w:pPr>
            <w:r>
              <w:t xml:space="preserve">«La estrategia de paradigmas es cuestionar nuestras creencias y supuestos cada cierto tiempo, cada vez que empezamos a ver alguna situación que no cuadra con la realidad.»</w:t>
            </w:r>
          </w:p>
          <w:p>
            <w:pPr>
              <w:pStyle w:val="Recuadro"/>
            </w:pPr>
            <w:r>
              <w:t xml:space="preserve">Clase 4 · 01:31:33–01:31:53</w:t>
            </w:r>
          </w:p>
        </w:tc>
      </w:tr>
    </w:tbl>
    <w:p>
      <w:pPr>
        <w:pStyle w:val="Heading3"/>
      </w:pPr>
      <w:bookmarkStart w:name="b_cita_clase_5_intenta_entender_338a665b" w:id="1286"/>
      <w:r>
        <w:t xml:space="preserve">Palabras del profesor</w:t>
      </w:r>
      <w:bookmarkEnd w:id="1286"/>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El profesor lo dijo así</w:t>
            </w:r>
          </w:p>
          <w:p>
            <w:pPr>
              <w:pStyle w:val="Recuadro"/>
            </w:pPr>
            <w:r>
              <w:t xml:space="preserve">«El pensador sistémico intenta entender la película completa; esa analogía de película completa es decir que no se queda solo con un fragmento, solo con una parte de esa película.»</w:t>
            </w:r>
          </w:p>
          <w:p>
            <w:pPr>
              <w:pStyle w:val="Recuadro"/>
            </w:pPr>
            <w:r>
              <w:t xml:space="preserve">Clase 5 · 00:40:52–00:41:04</w:t>
            </w:r>
          </w:p>
        </w:tc>
      </w:tr>
    </w:tbl>
    <w:p>
      <w:pPr>
        <w:pStyle w:val="Heading3"/>
      </w:pPr>
      <w:bookmarkStart w:name="b_cita_clase_5_el_bosque_en_vez_6063c5e5" w:id="1287"/>
      <w:r>
        <w:t xml:space="preserve">Palabras del profesor</w:t>
      </w:r>
      <w:bookmarkEnd w:id="1287"/>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El profesor lo dijo así</w:t>
            </w:r>
          </w:p>
          <w:p>
            <w:pPr>
              <w:pStyle w:val="Recuadro"/>
            </w:pPr>
            <w:r>
              <w:t xml:space="preserve">«El pensador sistémico se centra en el bosque en vez de esos detalles de cualquier árbol, nos dice la Waters Foundation.»</w:t>
            </w:r>
          </w:p>
          <w:p>
            <w:pPr>
              <w:pStyle w:val="Recuadro"/>
            </w:pPr>
            <w:r>
              <w:t xml:space="preserve">Clase 5 · 00:45:31–00:45:43</w:t>
            </w:r>
          </w:p>
        </w:tc>
      </w:tr>
    </w:tbl>
    <w:p>
      <w:pPr>
        <w:pStyle w:val="Heading3"/>
      </w:pPr>
      <w:bookmarkStart w:name="b_cita_clase_5_la_perspectiva_d_9bf30c88" w:id="1288"/>
      <w:r>
        <w:t xml:space="preserve">Palabras del profesor</w:t>
      </w:r>
      <w:bookmarkEnd w:id="1288"/>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El profesor lo dijo así</w:t>
            </w:r>
          </w:p>
          <w:p>
            <w:pPr>
              <w:pStyle w:val="Recuadro"/>
            </w:pPr>
            <w:r>
              <w:t xml:space="preserve">«La perspectiva objetiva sería esa que es la perspectiva de película completa, perspectiva integral; Waters Foundation por facilidad la describe como la perspectiva del espectador, aquella que ve todo lo que hay que ver.»</w:t>
            </w:r>
          </w:p>
          <w:p>
            <w:pPr>
              <w:pStyle w:val="Recuadro"/>
            </w:pPr>
            <w:r>
              <w:t xml:space="preserve">Clase 5 · 01:21:35–01:21:50</w:t>
            </w:r>
          </w:p>
        </w:tc>
      </w:tr>
    </w:tbl>
    <w:p>
      <w:pPr>
        <w:pStyle w:val="Heading3"/>
      </w:pPr>
      <w:r>
        <w:t xml:space="preserve">Errores frecuentes y trampa de examen</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9C620A" w:sz="20"/>
              <w:bottom w:val="nil"/>
              <w:right w:val="nil"/>
            </w:tcBorders>
            <w:shd w:fill="FBF3DF" w:val="clear"/>
            <w:tcMar>
              <w:top w:type="dxa" w:w="130"/>
              <w:left w:type="dxa" w:w="180"/>
              <w:bottom w:type="dxa" w:w="130"/>
              <w:right w:type="dxa" w:w="180"/>
            </w:tcMar>
          </w:tcPr>
          <w:p>
            <w:pPr>
              <w:pStyle w:val="RecuadroTitulo"/>
            </w:pPr>
            <w:r>
              <w:rPr>
                <w:b/>
                <w:bCs/>
                <w:color w:val="9C620A"/>
              </w:rPr>
              <w:t xml:space="preserve">Error → corrección</w:t>
            </w:r>
          </w:p>
          <w:p>
            <w:pPr>
              <w:pStyle w:val="Recuadro"/>
            </w:pPr>
            <w:r>
              <w:rPr>
                <w:b/>
                <w:bCs/>
              </w:rPr>
              <w:t xml:space="preserve">Error:</w:t>
            </w:r>
            <w:r>
              <w:t xml:space="preserve"> Enumerar los catorce hábitos del póster como respuesta.</w:t>
            </w:r>
          </w:p>
          <w:p>
            <w:pPr>
              <w:pStyle w:val="Recuadro"/>
            </w:pPr>
            <w:r>
              <w:rPr>
                <w:b/>
                <w:bCs/>
              </w:rPr>
              <w:t xml:space="preserve">Corrección:</w:t>
            </w:r>
            <w:r>
              <w:t xml:space="preserve"> En la unidad 1 sólo se trabajan los cuatro ligados a los paradigmas o modelos mentales.</w:t>
            </w:r>
          </w:p>
          <w:p>
            <w:pPr>
              <w:pStyle w:val="Recuadro"/>
            </w:pPr>
            <w:r>
              <w:t xml:space="preserve">Clase 3 · 01:03:24–01:03:58 · Clase 4 · 00:01:09–00:01:40</w:t>
            </w:r>
          </w:p>
        </w:tc>
      </w:tr>
    </w:tbl>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9C620A" w:sz="20"/>
              <w:bottom w:val="nil"/>
              <w:right w:val="nil"/>
            </w:tcBorders>
            <w:shd w:fill="FBF3DF" w:val="clear"/>
            <w:tcMar>
              <w:top w:type="dxa" w:w="130"/>
              <w:left w:type="dxa" w:w="180"/>
              <w:bottom w:type="dxa" w:w="130"/>
              <w:right w:type="dxa" w:w="180"/>
            </w:tcMar>
          </w:tcPr>
          <w:p>
            <w:pPr>
              <w:pStyle w:val="RecuadroTitulo"/>
            </w:pPr>
            <w:r>
              <w:rPr>
                <w:b/>
                <w:bCs/>
                <w:color w:val="9C620A"/>
              </w:rPr>
              <w:t xml:space="preserve">Error → corrección</w:t>
            </w:r>
          </w:p>
          <w:p>
            <w:pPr>
              <w:pStyle w:val="Recuadro"/>
            </w:pPr>
            <w:r>
              <w:rPr>
                <w:b/>
                <w:bCs/>
              </w:rPr>
              <w:t xml:space="preserve">Error:</w:t>
            </w:r>
            <w:r>
              <w:t xml:space="preserve"> Dar por válida una conclusión que parece obvia, saltando escalones.</w:t>
            </w:r>
          </w:p>
          <w:p>
            <w:pPr>
              <w:pStyle w:val="Recuadro"/>
            </w:pPr>
            <w:r>
              <w:rPr>
                <w:b/>
                <w:bCs/>
              </w:rPr>
              <w:t xml:space="preserve">Corrección:</w:t>
            </w:r>
            <w:r>
              <w:t xml:space="preserve"> Reconocer que pueden no ser completas y ponerlas a prueba: preguntar o recopilar más datos.</w:t>
            </w:r>
          </w:p>
          <w:p>
            <w:pPr>
              <w:pStyle w:val="Recuadro"/>
            </w:pPr>
            <w:r>
              <w:t xml:space="preserve">Clase 3 · 01:07:00–01:09:17 · Clase 3 · 01:21:31–01:22:50 · Clase 3 · 01:30:44–01:31:51</w:t>
            </w:r>
          </w:p>
        </w:tc>
      </w:tr>
    </w:tbl>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9C620A" w:sz="20"/>
              <w:bottom w:val="nil"/>
              <w:right w:val="nil"/>
            </w:tcBorders>
            <w:shd w:fill="FBF3DF" w:val="clear"/>
            <w:tcMar>
              <w:top w:type="dxa" w:w="130"/>
              <w:left w:type="dxa" w:w="180"/>
              <w:bottom w:type="dxa" w:w="130"/>
              <w:right w:type="dxa" w:w="180"/>
            </w:tcMar>
          </w:tcPr>
          <w:p>
            <w:pPr>
              <w:pStyle w:val="RecuadroTitulo"/>
            </w:pPr>
            <w:r>
              <w:rPr>
                <w:b/>
                <w:bCs/>
                <w:color w:val="9C620A"/>
              </w:rPr>
              <w:t xml:space="preserve">Error → corrección</w:t>
            </w:r>
          </w:p>
          <w:p>
            <w:pPr>
              <w:pStyle w:val="Recuadro"/>
            </w:pPr>
            <w:r>
              <w:rPr>
                <w:b/>
                <w:bCs/>
              </w:rPr>
              <w:t xml:space="preserve">Error:</w:t>
            </w:r>
            <w:r>
              <w:t xml:space="preserve"> Creer que lo que se dice refleja lo que se cree.</w:t>
            </w:r>
          </w:p>
          <w:p>
            <w:pPr>
              <w:pStyle w:val="Recuadro"/>
            </w:pPr>
            <w:r>
              <w:rPr>
                <w:b/>
                <w:bCs/>
              </w:rPr>
              <w:t xml:space="preserve">Corrección:</w:t>
            </w:r>
            <w:r>
              <w:t xml:space="preserve"> A veces no lo refleja; la columna de la mano izquierda escribe lo que se cree y no se dice.</w:t>
            </w:r>
          </w:p>
          <w:p>
            <w:pPr>
              <w:pStyle w:val="Recuadro"/>
            </w:pPr>
            <w:r>
              <w:t xml:space="preserve">Clase 4 · 01:20:50–01:22:50</w:t>
            </w:r>
          </w:p>
        </w:tc>
      </w:tr>
    </w:tbl>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9C620A" w:sz="20"/>
              <w:bottom w:val="nil"/>
              <w:right w:val="nil"/>
            </w:tcBorders>
            <w:shd w:fill="FBF3DF" w:val="clear"/>
            <w:tcMar>
              <w:top w:type="dxa" w:w="130"/>
              <w:left w:type="dxa" w:w="180"/>
              <w:bottom w:type="dxa" w:w="130"/>
              <w:right w:type="dxa" w:w="180"/>
            </w:tcMar>
          </w:tcPr>
          <w:p>
            <w:pPr>
              <w:pStyle w:val="RecuadroTitulo"/>
            </w:pPr>
            <w:r>
              <w:rPr>
                <w:b/>
                <w:bCs/>
                <w:color w:val="9C620A"/>
              </w:rPr>
              <w:t xml:space="preserve">Trampa de examen</w:t>
            </w:r>
          </w:p>
          <w:p>
            <w:pPr>
              <w:pStyle w:val="Recuadro"/>
            </w:pPr>
            <w:r>
              <w:t xml:space="preserve">La pregunta que va con «reconoce y prueba suposiciones» contrasta la propia teoría o conclusión con los datos (¿en qué me baso?, ¿qué supongo?); si la pregunta habla de otros puntos de vista o de con quién hablar es «cambia las perspectivas», y si habla de marco temporal o del equilibrio entre lo global y los detalles es la «película completa». Probar es contrastar, no mirar desde otro lugar.</w:t>
            </w:r>
          </w:p>
        </w:tc>
      </w:tr>
    </w:tbl>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Ampliación: lo no dictado en clase</w:t>
            </w:r>
          </w:p>
          <w:p>
            <w:pPr>
              <w:pStyle w:val="Recuadro"/>
            </w:pPr>
            <w:r>
              <w:t xml:space="preserve">La pregunta literal «¿qué tan bien corresponde mi teoría con el comportamiento del sistema estudiado?» no se leyó en clase; la clase 1 dio su idea (validar, ampliar o completar las propias teorías). Los demás hábitos del póster (demoras, acumulaciones, la estructura que genera el comportamiento, el apalancamiento, las consecuencias de las acciones) quedaron para las unidades siguientes.</w:t>
            </w:r>
          </w:p>
        </w:tc>
      </w:tr>
    </w:tbl>
    <w:p>
      <w:pPr>
        <w:pStyle w:val="Heading3"/>
      </w:pPr>
      <w:r>
        <w:t xml:space="preserve">Lecturas y tareas del curso</w:t>
      </w:r>
    </w:p>
    <w:p>
      <w:pPr>
        <w:pStyle w:val="Normal"/>
      </w:pPr>
      <w:r>
        <w:t xml:space="preserve">C-5 · Unidad 1 · Sistemas abstractos diseñados y paradigmas (presentación). 63 páginas con paradigmas, tipos de pensamiento, escalera de inferencias, iceberg, hábitos, DSRP y modelos sistémicos. Copia íntegra de la presentación del profesor.</w:t>
      </w:r>
    </w:p>
    <w:p>
      <w:pPr>
        <w:pStyle w:val="Normal"/>
      </w:pPr>
      <w:r>
        <w:t xml:space="preserve">L-1 · Modelos mentales — Joseph O’Connor. Lectura sobre los modelos mentales: cómo filtran la percepción, de dónde vienen y cómo se hacen conscientes. Fuente de la Unidad 1.</w:t>
      </w:r>
    </w:p>
    <w:p>
      <w:pPr>
        <w:pStyle w:val="Heading3"/>
      </w:pPr>
      <w:r>
        <w:t xml:space="preserve">Práctica de los laboratorios</w:t>
      </w:r>
    </w:p>
    <w:p>
      <w:pPr>
        <w:pStyle w:val="Normal"/>
      </w:pPr>
      <w:r>
        <w:t xml:space="preserve">Los procedimientos del capítulo permiten reconstruir en papel la práctica interactiva. Los laboratorios originales permanecen disponibles en la lección del portal.</w:t>
      </w:r>
    </w:p>
    <w:p>
      <w:pPr>
        <w:pStyle w:val="Normal"/>
        <w:numPr>
          <w:ilvl w:val="0"/>
          <w:numId w:val="2"/>
        </w:numPr>
      </w:pPr>
      <w:r>
        <w:t xml:space="preserve">Los hábitos ligados a los modelos mentales</w:t>
      </w:r>
    </w:p>
    <w:p>
      <w:pPr>
        <w:pStyle w:val="Heading3"/>
      </w:pPr>
      <w:r>
        <w:t xml:space="preserve">Autoevaluación</w:t>
      </w:r>
    </w:p>
    <w:p>
      <w:pPr>
        <w:pStyle w:val="Normal"/>
      </w:pPr>
      <w:r>
        <w:t xml:space="preserve">Resuelva sin consultar las respuestas. Compruebe al final del capítulo por qué cada opción es correcta o incorrecta.</w:t>
      </w:r>
    </w:p>
    <w:p>
      <w:pPr>
        <w:pStyle w:val="Heading3"/>
      </w:pPr>
      <w:bookmarkStart w:name="b_pregunta_auto_1_8_1" w:id="1289"/>
      <w:r>
        <w:t xml:space="preserve">1.8-A1 · ¿Cuál es el núcleo de cuatro hábitos seleccionado en la Unidad 1?</w:t>
      </w:r>
      <w:bookmarkEnd w:id="1289"/>
    </w:p>
    <w:p>
      <w:pPr>
        <w:pStyle w:val="Normal"/>
      </w:pPr>
      <w:r>
        <w:t xml:space="preserve">a) Conexiones, demoras, acumulaciones y realimentación como único núcleo</w:t>
      </w:r>
    </w:p>
    <w:p>
      <w:pPr>
        <w:pStyle w:val="Normal"/>
      </w:pPr>
      <w:r>
        <w:t xml:space="preserve">b) Modelos mentales, probar supuestos, cambiar perspectivas y película completa</w:t>
      </w:r>
    </w:p>
    <w:p>
      <w:pPr>
        <w:pStyle w:val="Normal"/>
      </w:pPr>
      <w:r>
        <w:t xml:space="preserve">c) Quince hábitos, contando la introducción como uno más</w:t>
      </w:r>
    </w:p>
    <w:p>
      <w:pPr>
        <w:pStyle w:val="Normal"/>
      </w:pPr>
      <w:r>
        <w:t xml:space="preserve">d) Sólo modelos mentales, perspectivas y conexiones</w:t>
      </w:r>
    </w:p>
    <w:p>
      <w:pPr>
        <w:pStyle w:val="Heading3"/>
      </w:pPr>
      <w:bookmarkStart w:name="b_pregunta_auto_1_8_2" w:id="1290"/>
      <w:r>
        <w:t xml:space="preserve">1.8-A2 · ¿Qué pregunta ayuda a otra persona a reconocer la influencia de su modelo mental sobre una decisión?</w:t>
      </w:r>
      <w:bookmarkEnd w:id="1290"/>
    </w:p>
    <w:p>
      <w:pPr>
        <w:pStyle w:val="Normal"/>
      </w:pPr>
      <w:r>
        <w:t xml:space="preserve">a) ¿Por qué no aceptas que yo ya conozco tu verdadero motivo?</w:t>
      </w:r>
    </w:p>
    <w:p>
      <w:pPr>
        <w:pStyle w:val="Normal"/>
      </w:pPr>
      <w:r>
        <w:t xml:space="preserve">b) ¿Puedes repetir mi conclusión sin cuestionarla?</w:t>
      </w:r>
    </w:p>
    <w:p>
      <w:pPr>
        <w:pStyle w:val="Normal"/>
      </w:pPr>
      <w:r>
        <w:t xml:space="preserve">c) ¿Qué dato observaste, qué supusiste y cómo orientó eso tu decisión y sus resultados?</w:t>
      </w:r>
    </w:p>
    <w:p>
      <w:pPr>
        <w:pStyle w:val="Normal"/>
      </w:pPr>
      <w:r>
        <w:t xml:space="preserve">d) ¿Qué etiqueta de personalidad explica todo lo que haces?</w:t>
      </w:r>
    </w:p>
    <w:p>
      <w:pPr>
        <w:pStyle w:val="Heading3"/>
      </w:pPr>
      <w:bookmarkStart w:name="b_pregunta_auto_1_8_3" w:id="1291"/>
      <w:r>
        <w:t xml:space="preserve">1.8-A3 · Michael recibe una crítica negativa contra un mesero. ¿Qué hace para buscar la película completa?</w:t>
      </w:r>
      <w:bookmarkEnd w:id="1291"/>
    </w:p>
    <w:p>
      <w:pPr>
        <w:pStyle w:val="Normal"/>
      </w:pPr>
      <w:r>
        <w:t xml:space="preserve">a) Lo sanciona inmediatamente para mostrar autoridad</w:t>
      </w:r>
    </w:p>
    <w:p>
      <w:pPr>
        <w:pStyle w:val="Normal"/>
      </w:pPr>
      <w:r>
        <w:t xml:space="preserve">b) Ignora toda crítica porque es una sola opinión</w:t>
      </w:r>
    </w:p>
    <w:p>
      <w:pPr>
        <w:pStyle w:val="Normal"/>
      </w:pPr>
      <w:r>
        <w:t xml:space="preserve">c) Concluye que tres meses de antigüedad prueban que nunca falla</w:t>
      </w:r>
    </w:p>
    <w:p>
      <w:pPr>
        <w:pStyle w:val="Normal"/>
      </w:pPr>
      <w:r>
        <w:t xml:space="preserve">d) Comparte la queja e investiga si es un episodio o un patrón durante el período de trabajo</w:t>
      </w:r>
    </w:p>
    <w:p>
      <w:pPr>
        <w:pStyle w:val="Heading3"/>
      </w:pPr>
      <w:bookmarkStart w:name="b_pregunta_auto_1_8_4" w:id="1292"/>
      <w:r>
        <w:t xml:space="preserve">1.8-A4 · ¿Qué es, ante todo, un «hábito del pensador sistémico»?</w:t>
      </w:r>
      <w:bookmarkEnd w:id="1292"/>
    </w:p>
    <w:p>
      <w:pPr>
        <w:pStyle w:val="Normal"/>
      </w:pPr>
      <w:r>
        <w:t xml:space="preserve">a) Una regla que debe cumplirse siempre de la misma manera</w:t>
      </w:r>
    </w:p>
    <w:p>
      <w:pPr>
        <w:pStyle w:val="Normal"/>
      </w:pPr>
      <w:r>
        <w:t xml:space="preserve">b) Una disposición mental que se cultiva y se aplica con criterio</w:t>
      </w:r>
    </w:p>
    <w:p>
      <w:pPr>
        <w:pStyle w:val="Normal"/>
      </w:pPr>
      <w:r>
        <w:t xml:space="preserve">c) Un paso obligatorio del método científico</w:t>
      </w:r>
    </w:p>
    <w:p>
      <w:pPr>
        <w:pStyle w:val="Normal"/>
      </w:pPr>
      <w:r>
        <w:t xml:space="preserve">d) Una fórmula para calcular el comportamiento de un sistema</w:t>
      </w:r>
    </w:p>
    <w:p>
      <w:pPr>
        <w:pStyle w:val="Heading3"/>
      </w:pPr>
      <w:bookmarkStart w:name="b_pregunta_auto_1_8_5" w:id="1293"/>
      <w:r>
        <w:t xml:space="preserve">1.8-A5 · El hábito «considera cómo los modelos mentales afectan la realidad actual y el futuro» sostiene la Unidad 1 porque…</w:t>
      </w:r>
      <w:bookmarkEnd w:id="1293"/>
    </w:p>
    <w:p>
      <w:pPr>
        <w:pStyle w:val="Normal"/>
      </w:pPr>
      <w:r>
        <w:t xml:space="preserve">a) explica cómo simular sistemas en VENSIM</w:t>
      </w:r>
    </w:p>
    <w:p>
      <w:pPr>
        <w:pStyle w:val="Normal"/>
      </w:pPr>
      <w:r>
        <w:t xml:space="preserve">b) reconoce que nuestras creencias y supuestos filtran lo que vemos y guían lo que hacemos</w:t>
      </w:r>
    </w:p>
    <w:p>
      <w:pPr>
        <w:pStyle w:val="Normal"/>
      </w:pPr>
      <w:r>
        <w:t xml:space="preserve">c) ordena los pasos para dibujar un diagrama causal</w:t>
      </w:r>
    </w:p>
    <w:p>
      <w:pPr>
        <w:pStyle w:val="Normal"/>
      </w:pPr>
      <w:r>
        <w:t xml:space="preserve">d) demuestra que los modelos mentales no influyen en las decisiones</w:t>
      </w:r>
    </w:p>
    <w:p>
      <w:pPr>
        <w:pStyle w:val="Heading3"/>
      </w:pPr>
      <w:bookmarkStart w:name="b_pregunta_auto_1_8_6" w:id="1294"/>
      <w:r>
        <w:t xml:space="preserve">1.8-A6 · ¿Cuál es el propósito del hábito «cambia de perspectivas»?</w:t>
      </w:r>
      <w:bookmarkEnd w:id="1294"/>
    </w:p>
    <w:p>
      <w:pPr>
        <w:pStyle w:val="Normal"/>
      </w:pPr>
      <w:r>
        <w:t xml:space="preserve">a) Ganar una discusión imponiendo tu punto de vista</w:t>
      </w:r>
    </w:p>
    <w:p>
      <w:pPr>
        <w:pStyle w:val="Normal"/>
      </w:pPr>
      <w:r>
        <w:t xml:space="preserve">b) Aumentar la comprensión viendo el sistema desde otros lugares</w:t>
      </w:r>
    </w:p>
    <w:p>
      <w:pPr>
        <w:pStyle w:val="Normal"/>
      </w:pPr>
      <w:r>
        <w:t xml:space="preserve">c) Evitar tener que tomar cualquier decisión</w:t>
      </w:r>
    </w:p>
    <w:p>
      <w:pPr>
        <w:pStyle w:val="Normal"/>
      </w:pPr>
      <w:r>
        <w:t xml:space="preserve">d) Reducir el sistema a una sola variable</w:t>
      </w:r>
    </w:p>
    <w:p>
      <w:pPr>
        <w:pStyle w:val="Heading3"/>
      </w:pPr>
      <w:bookmarkStart w:name="b_pregunta_auto_1_8_7" w:id="1295"/>
      <w:r>
        <w:t xml:space="preserve">1.8-A7 · «Hace conexiones significativas dentro de los sistemas y entre ellos» entrena, sobre todo, la mirada que…</w:t>
      </w:r>
      <w:bookmarkEnd w:id="1295"/>
    </w:p>
    <w:p>
      <w:pPr>
        <w:pStyle w:val="Normal"/>
      </w:pPr>
      <w:r>
        <w:t xml:space="preserve">a) observa las partes por separado</w:t>
      </w:r>
    </w:p>
    <w:p>
      <w:pPr>
        <w:pStyle w:val="Normal"/>
      </w:pPr>
      <w:r>
        <w:t xml:space="preserve">b) busca relaciones antes que piezas aisladas</w:t>
      </w:r>
    </w:p>
    <w:p>
      <w:pPr>
        <w:pStyle w:val="Normal"/>
      </w:pPr>
      <w:r>
        <w:t xml:space="preserve">c) memoriza definiciones para el examen</w:t>
      </w:r>
    </w:p>
    <w:p>
      <w:pPr>
        <w:pStyle w:val="Normal"/>
      </w:pPr>
      <w:r>
        <w:t xml:space="preserve">d) cronometra las demoras del sistema</w:t>
      </w:r>
    </w:p>
    <w:p>
      <w:pPr>
        <w:pStyle w:val="Heading3"/>
      </w:pPr>
      <w:bookmarkStart w:name="b_pregunta_auto_1_8_8" w:id="1296"/>
      <w:r>
        <w:t xml:space="preserve">1.8-A8 · ¿Por qué saberse de memoria la lista de los 14 hábitos NO equivale a tenerlos?</w:t>
      </w:r>
      <w:bookmarkEnd w:id="1296"/>
    </w:p>
    <w:p>
      <w:pPr>
        <w:pStyle w:val="Normal"/>
      </w:pPr>
      <w:r>
        <w:t xml:space="preserve">a) Porque la lista cambia cada año</w:t>
      </w:r>
    </w:p>
    <w:p>
      <w:pPr>
        <w:pStyle w:val="Normal"/>
      </w:pPr>
      <w:r>
        <w:t xml:space="preserve">b) Porque un hábito solo existe cuando aparece por sí solo, sin que nadie lo pida</w:t>
      </w:r>
    </w:p>
    <w:p>
      <w:pPr>
        <w:pStyle w:val="Normal"/>
      </w:pPr>
      <w:r>
        <w:t xml:space="preserve">c) Porque los hábitos son secretos del Waters Center</w:t>
      </w:r>
    </w:p>
    <w:p>
      <w:pPr>
        <w:pStyle w:val="Normal"/>
      </w:pPr>
      <w:r>
        <w:t xml:space="preserve">d) Porque en el curso está prohibido memorizar</w:t>
      </w:r>
    </w:p>
    <w:p>
      <w:pPr>
        <w:pStyle w:val="Heading3"/>
      </w:pPr>
      <w:bookmarkStart w:name="b_pregunta_auto_1_8_9" w:id="1297"/>
      <w:r>
        <w:t xml:space="preserve">1.8-A9 · ¿Quién desarrolló los «Hábitos del Pensador Sistémico» (Habits of a Systems Thinker)?</w:t>
      </w:r>
      <w:bookmarkEnd w:id="1297"/>
    </w:p>
    <w:p>
      <w:pPr>
        <w:pStyle w:val="Normal"/>
      </w:pPr>
      <w:r>
        <w:t xml:space="preserve">a) El Waters Center for Systems Thinking</w:t>
      </w:r>
    </w:p>
    <w:p>
      <w:pPr>
        <w:pStyle w:val="Normal"/>
      </w:pPr>
      <w:r>
        <w:t xml:space="preserve">b) Joel Barker, con el video de los paradigmas</w:t>
      </w:r>
    </w:p>
    <w:p>
      <w:pPr>
        <w:pStyle w:val="Normal"/>
      </w:pPr>
      <w:r>
        <w:t xml:space="preserve">c) Peter Senge en solitario</w:t>
      </w:r>
    </w:p>
    <w:p>
      <w:pPr>
        <w:pStyle w:val="Normal"/>
      </w:pPr>
      <w:r>
        <w:t xml:space="preserve">d) La Facultad de Ingeniería de la USAC</w:t>
      </w:r>
    </w:p>
    <w:p>
      <w:pPr>
        <w:pStyle w:val="Heading3"/>
      </w:pPr>
      <w:bookmarkStart w:name="b_pregunta_auto_1_8_10" w:id="1298"/>
      <w:r>
        <w:t xml:space="preserve">1.8-A10 · El hábito «revela y prueba supuestos» es hermano de qué herramienta de la Unidad 1?</w:t>
      </w:r>
      <w:bookmarkEnd w:id="1298"/>
    </w:p>
    <w:p>
      <w:pPr>
        <w:pStyle w:val="Normal"/>
      </w:pPr>
      <w:r>
        <w:t xml:space="preserve">a) El modelo del iceberg</w:t>
      </w:r>
    </w:p>
    <w:p>
      <w:pPr>
        <w:pStyle w:val="Normal"/>
      </w:pPr>
      <w:r>
        <w:t xml:space="preserve">b) La escalera de inferencias</w:t>
      </w:r>
    </w:p>
    <w:p>
      <w:pPr>
        <w:pStyle w:val="Normal"/>
      </w:pPr>
      <w:r>
        <w:t xml:space="preserve">c) La simulación con VENSIM</w:t>
      </w:r>
    </w:p>
    <w:p>
      <w:pPr>
        <w:pStyle w:val="Normal"/>
      </w:pPr>
      <w:r>
        <w:t xml:space="preserve">d) Los arquetipos sistémicos</w:t>
      </w:r>
    </w:p>
    <w:p>
      <w:pPr>
        <w:pStyle w:val="Heading3"/>
      </w:pPr>
      <w:bookmarkStart w:name="b_solucionario_1_8" w:id="1299"/>
      <w:r>
        <w:t xml:space="preserve">Solucionario del capítulo</w:t>
      </w:r>
      <w:bookmarkEnd w:id="1299"/>
    </w:p>
    <w:p>
      <w:pPr>
        <w:pStyle w:val="Heading3"/>
      </w:pPr>
      <w:r>
        <w:t xml:space="preserve">1.8-A1</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b) Modelos mentales, probar supuestos, cambiar perspectivas y película completa</w:t>
            </w:r>
          </w:p>
        </w:tc>
      </w:tr>
    </w:tbl>
    <w:p>
      <w:pPr>
        <w:pStyle w:val="Normal"/>
      </w:pPr>
      <w:r>
        <w:t xml:space="preserve">La selección del curso contiene cuatro hábitos relacionados con modelos mentales. Conexiones pertenece al catálogo general y puede servir como ampliación, pero no reemplaza probar supuestos ni película completa en ese núcleo.</w:t>
      </w:r>
    </w:p>
    <w:p>
      <w:pPr>
        <w:pStyle w:val="Fuente"/>
      </w:pPr>
      <w:r>
        <w:t xml:space="preserve">Presentación de la unidad 1 (C-5), pág. 23, 31, 32 y 61 · Clase 3 · 01:02:32–01:06:19</w:t>
      </w:r>
    </w:p>
    <w:p>
      <w:pPr>
        <w:pStyle w:val="Heading3"/>
      </w:pPr>
      <w:r>
        <w:t xml:space="preserve">1.8-A2</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c) ¿Qué dato observaste, qué supusiste y cómo orientó eso tu decisión y sus resultados?</w:t>
            </w:r>
          </w:p>
        </w:tc>
      </w:tr>
    </w:tbl>
    <w:p>
      <w:pPr>
        <w:pStyle w:val="Normal"/>
      </w:pPr>
      <w:r>
        <w:t xml:space="preserve">Reconstruir juntos datos, supuestos y decisión permite que la persona advierta la influencia de su modelo y contraste sus efectos. Imponerle una interpretación externa puede repetir el mismo salto inferencial que se intenta revisar.</w:t>
      </w:r>
    </w:p>
    <w:p>
      <w:pPr>
        <w:pStyle w:val="Fuente"/>
      </w:pPr>
      <w:r>
        <w:t xml:space="preserve">Presentación de la unidad 1 (C-5), pág. 34 y 61</w:t>
      </w:r>
    </w:p>
    <w:p>
      <w:pPr>
        <w:pStyle w:val="Heading3"/>
      </w:pPr>
      <w:r>
        <w:t xml:space="preserve">1.8-A3</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d) Comparte la queja e investiga si es un episodio o un patrón durante el período de trabajo</w:t>
            </w:r>
          </w:p>
        </w:tc>
      </w:tr>
    </w:tbl>
    <w:p>
      <w:pPr>
        <w:pStyle w:val="Normal"/>
      </w:pPr>
      <w:r>
        <w:t xml:space="preserve">El caso distingue reacción a un evento de investigación de un patrón. Michael amplía el horizonte temporal y conversa antes de concluir; la antigüedad ofrece datos que examinar, no una prueba automática de competencia.</w:t>
      </w:r>
    </w:p>
    <w:p>
      <w:pPr>
        <w:pStyle w:val="Fuente"/>
      </w:pPr>
      <w:r>
        <w:t xml:space="preserve">Presentación de la unidad 1 (C-5), pág. 58 · Clase 5 · 01:21:35–01:23:13</w:t>
      </w:r>
    </w:p>
    <w:p>
      <w:pPr>
        <w:pStyle w:val="Heading3"/>
      </w:pPr>
      <w:r>
        <w:t xml:space="preserve">1.8-A4</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b) Una disposición mental que se cultiva y se aplica con criterio</w:t>
            </w:r>
          </w:p>
        </w:tc>
      </w:tr>
    </w:tbl>
    <w:p>
      <w:pPr>
        <w:pStyle w:val="Normal"/>
      </w:pPr>
      <w:r>
        <w:t xml:space="preserve">Un hábito es una disposición —una inclinación interna a pensar de cierta manera— que se cultiva con la práctica y se aplica con juicio según el contexto; no una regla externa que se obedece al pie de la letra.</w:t>
      </w:r>
    </w:p>
    <w:p>
      <w:pPr>
        <w:pStyle w:val="Normal"/>
      </w:pPr>
      <w:r>
        <w:t xml:space="preserve">a) No: una regla es externa y prescriptiva; el hábito es una inclinación interna.</w:t>
      </w:r>
    </w:p>
    <w:p>
      <w:pPr>
        <w:pStyle w:val="Normal"/>
      </w:pPr>
      <w:r>
        <w:t xml:space="preserve">b) Correcto: es una tendencia a pensar de cierta manera, cultivada con la práctica.</w:t>
      </w:r>
    </w:p>
    <w:p>
      <w:pPr>
        <w:pStyle w:val="Normal"/>
      </w:pPr>
      <w:r>
        <w:t xml:space="preserve">c) No: no es un procedimiento fijo, sino una manera de aproximarse.</w:t>
      </w:r>
    </w:p>
    <w:p>
      <w:pPr>
        <w:pStyle w:val="Normal"/>
      </w:pPr>
      <w:r>
        <w:t xml:space="preserve">d) No: no es un cálculo, sino una disposición de la mente.</w:t>
      </w:r>
    </w:p>
    <w:p>
      <w:pPr>
        <w:pStyle w:val="Heading3"/>
      </w:pPr>
      <w:r>
        <w:t xml:space="preserve">1.8-A5</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b) reconoce que nuestras creencias y supuestos filtran lo que vemos y guían lo que hacemos</w:t>
            </w:r>
          </w:p>
        </w:tc>
      </w:tr>
    </w:tbl>
    <w:p>
      <w:pPr>
        <w:pStyle w:val="Normal"/>
      </w:pPr>
      <w:r>
        <w:t xml:space="preserve">Los modelos mentales son las creencias y supuestos que llevamos dentro; moldean lo que percibimos y decidimos, y por eso afectan tanto la realidad presente como el futuro que construimos. Es el tema central de la unidad.</w:t>
      </w:r>
    </w:p>
    <w:p>
      <w:pPr>
        <w:pStyle w:val="Fuente"/>
      </w:pPr>
      <w:r>
        <w:t xml:space="preserve">Hábito 04</w:t>
      </w:r>
    </w:p>
    <w:p>
      <w:pPr>
        <w:pStyle w:val="Heading3"/>
      </w:pPr>
      <w:r>
        <w:t xml:space="preserve">1.8-A6</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b) Aumentar la comprensión viendo el sistema desde otros lugares</w:t>
            </w:r>
          </w:p>
        </w:tc>
      </w:tr>
    </w:tbl>
    <w:p>
      <w:pPr>
        <w:pStyle w:val="Normal"/>
      </w:pPr>
      <w:r>
        <w:t xml:space="preserve">Cambiar de perspectiva a propósito rompe la «historia única» de un solo modelo mental y revela partes del sistema que desde tu punto de vista quedaban invisibles.</w:t>
      </w:r>
    </w:p>
    <w:p>
      <w:pPr>
        <w:pStyle w:val="Fuente"/>
      </w:pPr>
      <w:r>
        <w:t xml:space="preserve">Hábito 03</w:t>
      </w:r>
    </w:p>
    <w:p>
      <w:pPr>
        <w:pStyle w:val="Heading3"/>
      </w:pPr>
      <w:r>
        <w:t xml:space="preserve">1.8-A7</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b) busca relaciones antes que piezas aisladas</w:t>
            </w:r>
          </w:p>
        </w:tc>
      </w:tr>
    </w:tbl>
    <w:p>
      <w:pPr>
        <w:pStyle w:val="Normal"/>
      </w:pPr>
      <w:r>
        <w:t xml:space="preserve">Hacer conexiones es la disposición cotidiana a preguntar «¿con qué se relaciona esto?», núcleo del pensamiento sistémico y de la operación R de DSRP.</w:t>
      </w:r>
    </w:p>
    <w:p>
      <w:pPr>
        <w:pStyle w:val="Normal"/>
      </w:pPr>
      <w:r>
        <w:t xml:space="preserve">a) Esa es la mirada analítica o reduccionista, justamente la contraria.</w:t>
      </w:r>
    </w:p>
    <w:p>
      <w:pPr>
        <w:pStyle w:val="Normal"/>
      </w:pPr>
      <w:r>
        <w:t xml:space="preserve">b) Correcto: el pensamiento sistémico prioriza las relaciones; es la mirada de la operación R (relaciones) de DSRP.</w:t>
      </w:r>
    </w:p>
    <w:p>
      <w:pPr>
        <w:pStyle w:val="Normal"/>
      </w:pPr>
      <w:r>
        <w:t xml:space="preserve">c) No: un hábito no consiste en memorizar.</w:t>
      </w:r>
    </w:p>
    <w:p>
      <w:pPr>
        <w:pStyle w:val="Normal"/>
      </w:pPr>
      <w:r>
        <w:t xml:space="preserve">d) No: eso corresponde al hábito que reconoce las demoras.</w:t>
      </w:r>
    </w:p>
    <w:p>
      <w:pPr>
        <w:pStyle w:val="Heading3"/>
      </w:pPr>
      <w:r>
        <w:t xml:space="preserve">1.8-A8</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b) Porque un hábito solo existe cuando aparece por sí solo, sin que nadie lo pida</w:t>
            </w:r>
          </w:p>
        </w:tc>
      </w:tr>
    </w:tbl>
    <w:p>
      <w:pPr>
        <w:pStyle w:val="Normal"/>
      </w:pPr>
      <w:r>
        <w:t xml:space="preserve">Un hábito es una disposición que se vuelve segunda naturaleza con la práctica y la reflexión. Conocer el enunciado es distinto de que la disposición aparezca espontáneamente cuando la necesitas.</w:t>
      </w:r>
    </w:p>
    <w:p>
      <w:pPr>
        <w:pStyle w:val="Heading3"/>
      </w:pPr>
      <w:r>
        <w:t xml:space="preserve">1.8-A9</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a) El Waters Center for Systems Thinking</w:t>
            </w:r>
          </w:p>
        </w:tc>
      </w:tr>
    </w:tbl>
    <w:p>
      <w:pPr>
        <w:pStyle w:val="Normal"/>
      </w:pPr>
      <w:r>
        <w:t xml:space="preserve">Los 14 «Habits of a Systems Thinker» fueron desarrollados por el Waters Center for Systems Thinking (antes Waters Foundation) como herramientas para comprender y actuar en sistemas complejos.</w:t>
      </w:r>
    </w:p>
    <w:p>
      <w:pPr>
        <w:pStyle w:val="Heading3"/>
      </w:pPr>
      <w:r>
        <w:t xml:space="preserve">1.8-A10</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b) La escalera de inferencias</w:t>
            </w:r>
          </w:p>
        </w:tc>
      </w:tr>
    </w:tbl>
    <w:p>
      <w:pPr>
        <w:pStyle w:val="Normal"/>
      </w:pPr>
      <w:r>
        <w:t xml:space="preserve">La escalera de inferencias hace visibles los saltos que damos entre el dato observado y la conclusión; revelar y probar supuestos es exactamente esa disposición de examinar lo que damos por hecho.</w:t>
      </w:r>
    </w:p>
    <w:p>
      <w:pPr>
        <w:pStyle w:val="Fuente"/>
        <w:sectPr>
          <w:headerReference w:type="default" r:id="rId90"/>
          <w:headerReference w:type="first" r:id="rId91"/>
          <w:headerReference w:type="even" r:id="rId92"/>
          <w:footerReference w:type="default" r:id="rId93"/>
          <w:footerReference w:type="first" r:id="rId94"/>
          <w:footerReference w:type="even" r:id="rId95"/>
          <w:type w:val="nextPage"/>
          <w:pgSz w:w="12240" w:h="15840" w:orient="portrait"/>
          <w:pgMar w:top="1361" w:right="1134" w:bottom="1361" w:left="1474" w:header="650" w:footer="680" w:gutter="0"/>
          <w:pgNumType/>
          <w:titlePg/>
          <w:docGrid w:linePitch="360"/>
        </w:sectPr>
      </w:pPr>
      <w:r>
        <w:t xml:space="preserve">Hábito 06</w:t>
      </w:r>
    </w:p>
    <w:p>
      <w:pPr>
        <w:pStyle w:val="Heading1"/>
      </w:pPr>
      <w:bookmarkStart w:name="b_unidad_2" w:id="1300"/>
      <w:r>
        <w:t xml:space="preserve">Parte II · Teoría de sistemas y pensamiento sistémico</w:t>
      </w:r>
      <w:bookmarkEnd w:id="1300"/>
    </w:p>
    <w:p>
      <w:pPr>
        <w:pStyle w:val="Normal"/>
      </w:pPr>
      <w:r>
        <w:t xml:space="preserve">Objetivo: comprender, explicar y aplicar los conceptos de la Unidad 2, conectando las presentaciones y los ejemplos de clase.</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El profesor lo dijo así</w:t>
            </w:r>
          </w:p>
          <w:p>
            <w:pPr>
              <w:pStyle w:val="Recuadro"/>
            </w:pPr>
            <w:r>
              <w:t xml:space="preserve">«El pensamiento sistémico es una forma de pensar que actualmente podríamos decir que es la más recomendada para todo científico y profesional, dada la naturaleza compleja que se nos presenta en los diferentes sistemas con los cuales interactuamos»</w:t>
            </w:r>
          </w:p>
          <w:p>
            <w:pPr>
              <w:pStyle w:val="Recuadro"/>
            </w:pPr>
            <w:r>
              <w:t xml:space="preserve">Clase 1 · 00:08:22</w:t>
            </w:r>
          </w:p>
        </w:tc>
      </w:tr>
    </w:tbl>
    <w:tbl>
      <w:tblPr>
        <w:tblW w:type="dxa" w:w="9632"/>
        <w:tblBorders>
          <w:top w:val="single" w:color="C5D5DB" w:sz="4"/>
          <w:left w:val="single" w:color="C5D5DB" w:sz="4"/>
          <w:bottom w:val="single" w:color="C5D5DB" w:sz="4"/>
          <w:right w:val="single" w:color="C5D5DB" w:sz="4"/>
          <w:insideH w:val="single" w:color="E4E9EB" w:sz="3"/>
          <w:insideV w:val="single" w:color="E4E9EB" w:sz="3"/>
        </w:tblBorders>
        <w:tblLayout w:type="fixed"/>
      </w:tblPr>
      <w:tblGrid>
        <w:gridCol w:w="4816"/>
        <w:gridCol w:w="4816"/>
      </w:tblGrid>
      <w:tr>
        <w:trPr>
          <w:cantSplit/>
          <w:tblHeader/>
        </w:trPr>
        <w:tc>
          <w:tcPr>
            <w:tcW w:type="dxa" w:w="4816"/>
            <w:shd w:fill="DFEAF0" w:val="clear"/>
            <w:tcMar>
              <w:top w:type="dxa" w:w="80"/>
              <w:left w:type="dxa" w:w="100"/>
              <w:bottom w:type="dxa" w:w="80"/>
              <w:right w:type="dxa" w:w="100"/>
            </w:tcMar>
          </w:tcPr>
          <w:p>
            <w:pPr>
              <w:pStyle w:val="Tabla"/>
            </w:pPr>
            <w:r>
              <w:rPr>
                <w:b/>
                <w:bCs/>
              </w:rPr>
              <w:t xml:space="preserve">Capítulo</w:t>
            </w:r>
          </w:p>
        </w:tc>
        <w:tc>
          <w:tcPr>
            <w:tcW w:type="dxa" w:w="4816"/>
            <w:shd w:fill="DFEAF0" w:val="clear"/>
            <w:tcMar>
              <w:top w:type="dxa" w:w="80"/>
              <w:left w:type="dxa" w:w="100"/>
              <w:bottom w:type="dxa" w:w="80"/>
              <w:right w:type="dxa" w:w="100"/>
            </w:tcMar>
          </w:tcPr>
          <w:p>
            <w:pPr>
              <w:pStyle w:val="Tabla"/>
            </w:pPr>
            <w:r>
              <w:rPr>
                <w:b/>
                <w:bCs/>
              </w:rPr>
              <w:t xml:space="preserve">Pregunta de aprendizaje</w:t>
            </w:r>
          </w:p>
        </w:tc>
      </w:tr>
      <w:tr>
        <w:trPr>
          <w:cantSplit/>
          <w:tblHeader w:val="off"/>
        </w:trPr>
        <w:tc>
          <w:tcPr>
            <w:tcW w:type="dxa" w:w="4816"/>
            <w:tcMar>
              <w:top w:type="dxa" w:w="80"/>
              <w:left w:type="dxa" w:w="100"/>
              <w:bottom w:type="dxa" w:w="80"/>
              <w:right w:type="dxa" w:w="100"/>
            </w:tcMar>
          </w:tcPr>
          <w:p>
            <w:pPr>
              <w:pStyle w:val="Tabla"/>
            </w:pPr>
            <w:r>
              <w:t xml:space="preserve">2.1 · Visión general</w:t>
            </w:r>
          </w:p>
        </w:tc>
        <w:tc>
          <w:tcPr>
            <w:tcW w:type="dxa" w:w="4816"/>
            <w:tcMar>
              <w:top w:type="dxa" w:w="80"/>
              <w:left w:type="dxa" w:w="100"/>
              <w:bottom w:type="dxa" w:w="80"/>
              <w:right w:type="dxa" w:w="100"/>
            </w:tcMar>
          </w:tcPr>
          <w:p>
            <w:pPr>
              <w:pStyle w:val="Tabla"/>
            </w:pPr>
            <w:r>
              <w:t xml:space="preserve">Contrastar el paradigma reduccionista con el sistémico usando la tabla de la lámina 10: parcial frente a total, rígido frente a flexible, comportamiento en las partes frente a comportamiento en las propiedades emergentes, causa y efecto lineal frente a ciclos de causa y efecto. Y explicar qué se pierde al fragmentar el objeto de estudio en sus componentes más simples.</w:t>
            </w:r>
          </w:p>
        </w:tc>
      </w:tr>
      <w:tr>
        <w:trPr>
          <w:cantSplit/>
          <w:tblHeader w:val="off"/>
        </w:trPr>
        <w:tc>
          <w:tcPr>
            <w:tcW w:type="dxa" w:w="4816"/>
            <w:tcMar>
              <w:top w:type="dxa" w:w="80"/>
              <w:left w:type="dxa" w:w="100"/>
              <w:bottom w:type="dxa" w:w="80"/>
              <w:right w:type="dxa" w:w="100"/>
            </w:tcMar>
          </w:tcPr>
          <w:p>
            <w:pPr>
              <w:pStyle w:val="Tabla"/>
            </w:pPr>
            <w:r>
              <w:t xml:space="preserve">2.2 · Conceptos de un sistema</w:t>
            </w:r>
          </w:p>
        </w:tc>
        <w:tc>
          <w:tcPr>
            <w:tcW w:type="dxa" w:w="4816"/>
            <w:tcMar>
              <w:top w:type="dxa" w:w="80"/>
              <w:left w:type="dxa" w:w="100"/>
              <w:bottom w:type="dxa" w:w="80"/>
              <w:right w:type="dxa" w:w="100"/>
            </w:tcMar>
          </w:tcPr>
          <w:p>
            <w:pPr>
              <w:pStyle w:val="Tabla"/>
            </w:pPr>
            <w:r>
              <w:t xml:space="preserve">Dar una definición de sistema y sostenerla. La más exigible es la de J. L. Le Moigne, que la lámina 6 cita entre comillas: «Objeto dotado de fines u objetivos que, en un entorno bien delimitado, ejerce una actividad, a la vez que ve evolucionar su estructura interna a lo largo del tiempo sin perder por ello su identidad». Después, listar los nueve conceptos asociados de la lámina 7 y aplicarlos a un sistema concreto.</w:t>
            </w:r>
          </w:p>
        </w:tc>
      </w:tr>
      <w:tr>
        <w:trPr>
          <w:cantSplit/>
          <w:tblHeader w:val="off"/>
        </w:trPr>
        <w:tc>
          <w:tcPr>
            <w:tcW w:type="dxa" w:w="4816"/>
            <w:tcMar>
              <w:top w:type="dxa" w:w="80"/>
              <w:left w:type="dxa" w:w="100"/>
              <w:bottom w:type="dxa" w:w="80"/>
              <w:right w:type="dxa" w:w="100"/>
            </w:tcMar>
          </w:tcPr>
          <w:p>
            <w:pPr>
              <w:pStyle w:val="Tabla"/>
            </w:pPr>
            <w:r>
              <w:t xml:space="preserve">2.3 · Estructura de los sistemas</w:t>
            </w:r>
          </w:p>
        </w:tc>
        <w:tc>
          <w:tcPr>
            <w:tcW w:type="dxa" w:w="4816"/>
            <w:tcMar>
              <w:top w:type="dxa" w:w="80"/>
              <w:left w:type="dxa" w:w="100"/>
              <w:bottom w:type="dxa" w:w="80"/>
              <w:right w:type="dxa" w:w="100"/>
            </w:tcMar>
          </w:tcPr>
          <w:p>
            <w:pPr>
              <w:pStyle w:val="Tabla"/>
            </w:pPr>
            <w:r>
              <w:t xml:space="preserve">Explicar la estructura como partes más relaciones dentro de una frontera elegida, distinguir relaciones unidireccionales y bidireccionales, reconocer entradas, salidas y retroacción, y comparar las seis topologías presentadas en la clase 7. Relacione la estructura con el comportamiento sin reducir el sistema a una lista de componentes.</w:t>
            </w:r>
          </w:p>
        </w:tc>
      </w:tr>
      <w:tr>
        <w:trPr>
          <w:cantSplit/>
          <w:tblHeader w:val="off"/>
        </w:trPr>
        <w:tc>
          <w:tcPr>
            <w:tcW w:type="dxa" w:w="4816"/>
            <w:tcMar>
              <w:top w:type="dxa" w:w="80"/>
              <w:left w:type="dxa" w:w="100"/>
              <w:bottom w:type="dxa" w:w="80"/>
              <w:right w:type="dxa" w:w="100"/>
            </w:tcMar>
          </w:tcPr>
          <w:p>
            <w:pPr>
              <w:pStyle w:val="Tabla"/>
            </w:pPr>
            <w:r>
              <w:t xml:space="preserve">2.4 · Sub y suprasistemas</w:t>
            </w:r>
          </w:p>
        </w:tc>
        <w:tc>
          <w:tcPr>
            <w:tcW w:type="dxa" w:w="4816"/>
            <w:tcMar>
              <w:top w:type="dxa" w:w="80"/>
              <w:left w:type="dxa" w:w="100"/>
              <w:bottom w:type="dxa" w:w="80"/>
              <w:right w:type="dxa" w:w="100"/>
            </w:tcMar>
          </w:tcPr>
          <w:p>
            <w:pPr>
              <w:pStyle w:val="Tabla"/>
            </w:pPr>
            <w:r>
              <w:t xml:space="preserve">Explicar la relación parte–todo de forma recursiva: un elemento puede estudiarse como subsistema y el sistema puede pertenecer a un suprasistema. En un caso concreto, justificar la frontera y el nivel de detalle elegidos, y mostrar cómo cambiar de escala modifica qué partes y relaciones se observan.</w:t>
            </w:r>
          </w:p>
        </w:tc>
      </w:tr>
      <w:tr>
        <w:trPr>
          <w:cantSplit/>
          <w:tblHeader w:val="off"/>
        </w:trPr>
        <w:tc>
          <w:tcPr>
            <w:tcW w:type="dxa" w:w="4816"/>
            <w:tcMar>
              <w:top w:type="dxa" w:w="80"/>
              <w:left w:type="dxa" w:w="100"/>
              <w:bottom w:type="dxa" w:w="80"/>
              <w:right w:type="dxa" w:w="100"/>
            </w:tcMar>
          </w:tcPr>
          <w:p>
            <w:pPr>
              <w:pStyle w:val="Tabla"/>
            </w:pPr>
            <w:r>
              <w:t xml:space="preserve">2.5 · Sinergia y emergencia</w:t>
            </w:r>
          </w:p>
        </w:tc>
        <w:tc>
          <w:tcPr>
            <w:tcW w:type="dxa" w:w="4816"/>
            <w:tcMar>
              <w:top w:type="dxa" w:w="80"/>
              <w:left w:type="dxa" w:w="100"/>
              <w:bottom w:type="dxa" w:w="80"/>
              <w:right w:type="dxa" w:w="100"/>
            </w:tcMar>
          </w:tcPr>
          <w:p>
            <w:pPr>
              <w:pStyle w:val="Tabla"/>
            </w:pPr>
            <w:r>
              <w:t xml:space="preserve">Distinguir un sistema de un montón o conglomerado y explicar sinergia y emergencia con el mosaico de la clase 8: las propiedades del todo aparecen por la estructura y las relaciones y pueden perderse al desordenarlas. Conecte el ejemplo con agentes, reglas simples y dinámica colectiva, y proponga un caso propio.</w:t>
            </w:r>
          </w:p>
        </w:tc>
      </w:tr>
      <w:tr>
        <w:trPr>
          <w:cantSplit/>
          <w:tblHeader w:val="off"/>
        </w:trPr>
        <w:tc>
          <w:tcPr>
            <w:tcW w:type="dxa" w:w="4816"/>
            <w:tcMar>
              <w:top w:type="dxa" w:w="80"/>
              <w:left w:type="dxa" w:w="100"/>
              <w:bottom w:type="dxa" w:w="80"/>
              <w:right w:type="dxa" w:w="100"/>
            </w:tcMar>
          </w:tcPr>
          <w:p>
            <w:pPr>
              <w:pStyle w:val="Tabla"/>
            </w:pPr>
            <w:r>
              <w:t xml:space="preserve">2.6 · Complejidad sistémica</w:t>
            </w:r>
          </w:p>
        </w:tc>
        <w:tc>
          <w:tcPr>
            <w:tcW w:type="dxa" w:w="4816"/>
            <w:tcMar>
              <w:top w:type="dxa" w:w="80"/>
              <w:left w:type="dxa" w:w="100"/>
              <w:bottom w:type="dxa" w:w="80"/>
              <w:right w:type="dxa" w:w="100"/>
            </w:tcMar>
          </w:tcPr>
          <w:p>
            <w:pPr>
              <w:pStyle w:val="Tabla"/>
            </w:pPr>
            <w:r>
              <w:t xml:space="preserve">Distinguir sistema simple, complejo y adaptativo complejo, y enumerar las cinco características que la lámina 14 atribuye a estos últimos: se adaptan a su entorno y se autoorganizan; los cambios en sus componentes cambian la totalidad; modelan su entorno observando, imaginando, probando y descartando; tienen múltiples niveles de interacción; y no hay equilibrio, porque el equilibrio significaría la muerte.</w:t>
            </w:r>
          </w:p>
        </w:tc>
      </w:tr>
      <w:tr>
        <w:trPr>
          <w:cantSplit/>
          <w:tblHeader w:val="off"/>
        </w:trPr>
        <w:tc>
          <w:tcPr>
            <w:tcW w:type="dxa" w:w="4816"/>
            <w:tcMar>
              <w:top w:type="dxa" w:w="80"/>
              <w:left w:type="dxa" w:w="100"/>
              <w:bottom w:type="dxa" w:w="80"/>
              <w:right w:type="dxa" w:w="100"/>
            </w:tcMar>
          </w:tcPr>
          <w:p>
            <w:pPr>
              <w:pStyle w:val="Tabla"/>
            </w:pPr>
            <w:r>
              <w:t xml:space="preserve">2.7 · El universo como sistemas</w:t>
            </w:r>
          </w:p>
        </w:tc>
        <w:tc>
          <w:tcPr>
            <w:tcW w:type="dxa" w:w="4816"/>
            <w:tcMar>
              <w:top w:type="dxa" w:w="80"/>
              <w:left w:type="dxa" w:w="100"/>
              <w:bottom w:type="dxa" w:w="80"/>
              <w:right w:type="dxa" w:w="100"/>
            </w:tcMar>
          </w:tcPr>
          <w:p>
            <w:pPr>
              <w:pStyle w:val="Tabla"/>
            </w:pPr>
            <w:r>
              <w:t xml:space="preserve">Enunciar y distinguir las cuatro categorías del mapa presentado en la clase 8 —naturales, físicos diseñados, abstractos diseñados y de actividad humana—, clasificar ejemplos concretos y justificar cada decisión. Relacione además las orientaciones de la lámina: aprender de los naturales, usar los diseñados y buscar cómo ingeniar los de actividad humana.</w:t>
            </w:r>
          </w:p>
        </w:tc>
      </w:tr>
      <w:tr>
        <w:trPr>
          <w:cantSplit/>
          <w:tblHeader w:val="off"/>
        </w:trPr>
        <w:tc>
          <w:tcPr>
            <w:tcW w:type="dxa" w:w="4816"/>
            <w:tcMar>
              <w:top w:type="dxa" w:w="80"/>
              <w:left w:type="dxa" w:w="100"/>
              <w:bottom w:type="dxa" w:w="80"/>
              <w:right w:type="dxa" w:w="100"/>
            </w:tcMar>
          </w:tcPr>
          <w:p>
            <w:pPr>
              <w:pStyle w:val="Tabla"/>
            </w:pPr>
            <w:r>
              <w:t xml:space="preserve">2.8 · Otros conceptos de la TGS</w:t>
            </w:r>
          </w:p>
        </w:tc>
        <w:tc>
          <w:tcPr>
            <w:tcW w:type="dxa" w:w="4816"/>
            <w:tcMar>
              <w:top w:type="dxa" w:w="80"/>
              <w:left w:type="dxa" w:w="100"/>
              <w:bottom w:type="dxa" w:w="80"/>
              <w:right w:type="dxa" w:w="100"/>
            </w:tcMar>
          </w:tcPr>
          <w:p>
            <w:pPr>
              <w:pStyle w:val="Tabla"/>
            </w:pPr>
            <w:r>
              <w:t xml:space="preserve">Explicar entradas, salidas, intercambio, retroacción, jerarquías y relaciones no lineales o circulares con apoyo de las clases 7 y 8, y los conceptos que la clase 9 cerró: homeostasis como equilibrio dinámico, entropía como grado de desorden de las relaciones, neguentropía como la fuerza que la contrarresta, la distinción entre sistemas abiertos y cerrados, y la equifinalidad. La multifinalidad quedó como investigación asignada y la variedad requerida sigue siendo ampliación bibliográfica: no las presente como dictadas.</w:t>
            </w:r>
          </w:p>
        </w:tc>
      </w:tr>
      <w:tr>
        <w:trPr>
          <w:cantSplit/>
          <w:tblHeader w:val="off"/>
        </w:trPr>
        <w:tc>
          <w:tcPr>
            <w:tcW w:type="dxa" w:w="4816"/>
            <w:tcMar>
              <w:top w:type="dxa" w:w="80"/>
              <w:left w:type="dxa" w:w="100"/>
              <w:bottom w:type="dxa" w:w="80"/>
              <w:right w:type="dxa" w:w="100"/>
            </w:tcMar>
          </w:tcPr>
          <w:p>
            <w:pPr>
              <w:pStyle w:val="Tabla"/>
            </w:pPr>
            <w:r>
              <w:t xml:space="preserve">2.9 · Introducción a los hábitos</w:t>
            </w:r>
          </w:p>
        </w:tc>
        <w:tc>
          <w:tcPr>
            <w:tcW w:type="dxa" w:w="4816"/>
            <w:tcMar>
              <w:top w:type="dxa" w:w="80"/>
              <w:left w:type="dxa" w:w="100"/>
              <w:bottom w:type="dxa" w:w="80"/>
              <w:right w:type="dxa" w:w="100"/>
            </w:tcMar>
          </w:tcPr>
          <w:p>
            <w:pPr>
              <w:pStyle w:val="Tabla"/>
            </w:pPr>
            <w:r>
              <w:t xml:space="preserve">La clase 9 cerró la unidad sintetizando el perfil del pensador sistémico: maneja el paradigma de sistemas y construye modelos mentales sistémicos. Los cuatro hábitos ligados a los modelos mentales ya se trabajaron en las clases 3, 4 y 5, y el catálogo completo de quince está en el portal; el resto se traslada a la unidad 3. Repase esas conexiones sin asumir que los hábitos se dictaron uno por uno.</w:t>
            </w:r>
          </w:p>
        </w:tc>
      </w:tr>
    </w:tbl>
    <w:p>
      <w:pPr>
        <w:pStyle w:val="Fuente"/>
      </w:pPr>
      <w:r>
        <w:t xml:space="preserve">Fuentes: C-6 · clases 6–9.</w:t>
      </w:r>
    </w:p>
    <w:p>
      <w:pPr>
        <w:pStyle w:val="Normal"/>
      </w:pPr>
      <w:r>
        <w:t xml:space="preserve">Las portadas, el calendario y los avisos de las sesiones de esta unidad (12 registros verificados) no son materia de examen. Se conservan con su motivo en el apéndice G, para que la cobertura del libro sea completa sin interrumpir el estudio.</w:t>
      </w:r>
    </w:p>
    <w:p>
      <w:pPr>
        <w:pStyle w:val="Fuente"/>
        <w:sectPr>
          <w:headerReference w:type="default" r:id="rId96"/>
          <w:headerReference w:type="first" r:id="rId97"/>
          <w:headerReference w:type="even" r:id="rId98"/>
          <w:footerReference w:type="default" r:id="rId99"/>
          <w:footerReference w:type="first" r:id="rId100"/>
          <w:footerReference w:type="even" r:id="rId101"/>
          <w:type w:val="nextPage"/>
          <w:pgSz w:w="12240" w:h="15840" w:orient="portrait"/>
          <w:pgMar w:top="1361" w:right="1134" w:bottom="1361" w:left="1474" w:header="650" w:footer="680" w:gutter="0"/>
          <w:pgNumType/>
          <w:titlePg/>
          <w:docGrid w:linePitch="360"/>
        </w:sectPr>
      </w:pPr>
      <w:r>
        <w:t xml:space="preserve">Véase </w:t>
      </w:r>
      <w:hyperlink w:history="1" w:anchor="b_avisos_unidad_2">
        <w:r>
          <w:rPr>
            <w:color w:val="156B70"/>
            <w:u w:val="single"/>
          </w:rPr>
          <w:t xml:space="preserve">apéndice G · Unidad 2</w:t>
        </w:r>
      </w:hyperlink>
      <w:r>
        <w:t xml:space="preserve">, pág. </w:t>
      </w:r>
      <w:r>
        <w:fldChar w:fldCharType="begin"/>
        <w:instrText xml:space="preserve">PAGEREF b_avisos_unidad_2 \h</w:instrText>
        <w:fldChar w:fldCharType="separate"/>
        <w:t xml:space="preserve">1747</w:t>
        <w:fldChar w:fldCharType="end"/>
      </w:r>
      <w:r>
        <w:t xml:space="preserve">.</w:t>
      </w:r>
    </w:p>
    <w:p>
      <w:pPr>
        <w:pStyle w:val="Heading2"/>
      </w:pPr>
      <w:bookmarkStart w:name="b_2_1" w:id="1301"/>
      <w:r>
        <w:t xml:space="preserve">2.1 · Visión general</w:t>
      </w:r>
      <w:bookmarkEnd w:id="1301"/>
    </w:p>
    <w:p>
      <w:pPr>
        <w:pStyle w:val="Subtitulo"/>
      </w:pPr>
      <w:r>
        <w:t xml:space="preserve">Visión general del pensamiento sistémico</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En una línea</w:t>
            </w:r>
          </w:p>
          <w:p>
            <w:pPr>
              <w:pStyle w:val="Recuadro"/>
            </w:pPr>
            <w:r>
              <w:t xml:space="preserve">El pensamiento sistémico se define mejor por contraste: frente al reduccionista, ve el todo.</w:t>
            </w:r>
          </w:p>
        </w:tc>
      </w:tr>
    </w:tbl>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Qué te preguntan</w:t>
            </w:r>
          </w:p>
          <w:p>
            <w:pPr>
              <w:pStyle w:val="Recuadro"/>
            </w:pPr>
            <w:r>
              <w:t xml:space="preserve">Contrastar el paradigma reduccionista con el sistémico usando la tabla de la lámina 10: parcial frente a total, rígido frente a flexible, comportamiento en las partes frente a comportamiento en las propiedades emergentes, causa y efecto lineal frente a ciclos de causa y efecto. Y explicar qué se pierde al fragmentar el objeto de estudio en sus componentes más simples.</w:t>
            </w:r>
          </w:p>
        </w:tc>
      </w:tr>
    </w:tbl>
    <w:p>
      <w:pPr>
        <w:pStyle w:val="Normal"/>
      </w:pPr>
      <w:r>
        <w:t xml:space="preserve">El pensamiento sistémico, fundado en la teoría general de sistemas, es la forma de pensar más recomendada por la complejidad de los sistemas. Se define por contraste con el paradigma reduccionista, que descompone la realidad en partes simples e infiere el todo desde ellas: el sistémico combina análisis y síntesis con énfasis en la síntesis y en las relaciones, donde el reduccionismo pierde procesos y propiedades emergentes. Comprobación: mientras más completo el modelo, más sistémica la perspectiva.</w:t>
      </w:r>
    </w:p>
    <w:p>
      <w:pPr>
        <w:pStyle w:val="Heading3"/>
      </w:pPr>
      <w:r>
        <w:t xml:space="preserve">Vocabulario clave</w:t>
      </w:r>
    </w:p>
    <w:p>
      <w:pPr>
        <w:pStyle w:val="Normal"/>
      </w:pPr>
      <w:r>
        <w:t xml:space="preserve">totalidad (el todo, cualquier realidad vista entera) · paradigma reduccionista (pensamiento analítico, simplista) · análisis (descomponer en partes más simples) · síntesis (pensamiento sintético, inductivo, holístico) · holístico (visión unitaria, integral, más completa) · enfoque sistémico (perspectiva sistémica) · énfasis en las relaciones · propiedades emergentes · procesos operativos y evolutivos · el bosque y el árbol</w:t>
      </w:r>
    </w:p>
    <w:p>
      <w:pPr>
        <w:pStyle w:val="Fuente"/>
      </w:pPr>
      <w:r>
        <w:t xml:space="preserve">Recorrido: desarrollo conceptual → presentaciones → explicación en clase → errores y fuentes → práctica → solucionario.</w:t>
      </w:r>
    </w:p>
    <w:p>
      <w:pPr>
        <w:pStyle w:val="Heading3"/>
      </w:pPr>
      <w:r>
        <w:t xml:space="preserve">Holismo y procedimiento profesional</w:t>
      </w:r>
    </w:p>
    <w:p>
      <w:pPr>
        <w:pStyle w:val="Normal"/>
      </w:pPr>
      <w:r>
        <w:t xml:space="preserve">Holismo viene del griego holos, entero. La presentación lo nombra como base filosófica de la mirada que integra totalidad, partes, relaciones y entorno. No basta con agregar todas las piezas: interesa cómo se organizan y qué produce su interacción.</w:t>
      </w:r>
    </w:p>
    <w:p>
      <w:pPr>
        <w:pStyle w:val="Normal"/>
      </w:pPr>
      <w:r>
        <w:t xml:space="preserve">Un problema profesional puede percibirse como una anomalía del funcionamiento de un sistema. Se describe qué funcionamiento se esperaba, qué ocurre y qué interacciones contribuyen a la diferencia, evitando convertir a una persona en explicación completa del problema.</w:t>
      </w:r>
    </w:p>
    <w:p>
      <w:pPr>
        <w:pStyle w:val="Normal"/>
      </w:pPr>
      <w:r>
        <w:t xml:space="preserve">El procedimiento de la página 27 es identificar y definir el problema, proponer una posible solución con un marco teórico y resolver pensando en sistemas durante todo el proceso. El marco hace explícitas las relaciones que se supone que producen el resultado.</w:t>
      </w:r>
    </w:p>
    <w:p>
      <w:pPr>
        <w:pStyle w:val="Normal"/>
      </w:pPr>
      <w:r>
        <w:t xml:space="preserve">Caso del portal: ante entregas tardías, delimita desde el pedido hasta la entrega, mide el retraso y estudia coordinación entre ventas, inventario y despacho. La hipótesis «la información de existencias llega tarde» permite ensayar una mejora y revisar sus efectos. Definir «el personal es irresponsable» no identifica esas interacciones.</w:t>
      </w:r>
    </w:p>
    <w:p>
      <w:pPr>
        <w:pStyle w:val="Fuente"/>
      </w:pPr>
      <w:r>
        <w:t xml:space="preserve">Presentación de la unidad 2 (C-6), pág. 17 y 27</w:t>
      </w:r>
    </w:p>
    <w:p>
      <w:pPr>
        <w:pStyle w:val="Heading3"/>
      </w:pPr>
      <w:r>
        <w:t xml:space="preserve">Qué es el pensamiento sistémico y de dónde viene</w:t>
      </w:r>
    </w:p>
    <w:p>
      <w:pPr>
        <w:pStyle w:val="Normal"/>
      </w:pPr>
      <w:r>
        <w:t xml:space="preserve">La teoría general de sistemas fundamenta el pensamiento sistémico, hoy la forma de pensar más recomendada para científicos y profesionales: así se comprende y aborda mejor la complejidad de los sistemas.</w:t>
      </w:r>
    </w:p>
    <w:p>
      <w:pPr>
        <w:pStyle w:val="Normal"/>
      </w:pPr>
      <w:r>
        <w:t xml:space="preserve">Área científica reciente que da formas de pensar más completas, holísticas y de perspectiva más amplia; teoría de sistemas, pensamiento sistémico, enfoque sistémico y metodología sistémica son nombres equivalentes.</w:t>
      </w:r>
    </w:p>
    <w:p>
      <w:pPr>
        <w:pStyle w:val="Normal"/>
      </w:pPr>
      <w:r>
        <w:t xml:space="preserve">Es un paradigma fundado en el concepto de sistema, que en su concepción más amplia concibe totalidades: cualquier realidad vista entera.</w:t>
      </w:r>
    </w:p>
    <w:p>
      <w:pPr>
        <w:pStyle w:val="Fuente"/>
      </w:pPr>
      <w:r>
        <w:t xml:space="preserve">Clase 1 · 00:07:59–00:10:05 · Clase 1 · 00:17:08–00:17:32 · Clase 7 · 00:05:16–00:06:00 · lámina c7-01</w:t>
      </w:r>
    </w:p>
    <w:p>
      <w:pPr>
        <w:pStyle w:val="Heading3"/>
      </w:pPr>
      <w:r>
        <w:t xml:space="preserve">El paradigma reduccionista, como lo definió la clase</w:t>
      </w:r>
    </w:p>
    <w:p>
      <w:pPr>
        <w:pStyle w:val="Normal"/>
      </w:pPr>
      <w:r>
        <w:t xml:space="preserve">Dominó el contexto científico con el pensamiento analítico: dividir el objeto en sus componentes más simples (y dividirlos más si siguen complejos) e inferir el comportamiento del todo observando las partes, que supuestamente lo determinan.</w:t>
      </w:r>
    </w:p>
    <w:p>
      <w:pPr>
        <w:pStyle w:val="Normal"/>
      </w:pPr>
      <w:r>
        <w:t xml:space="preserve">Recorre la realidad sistémica al revés: atiende a los fragmentos sin interés en la estructura de relaciones ni en los procesos evolutivos, comprende en términos parciales y, enfatizando las partes, pierde las propiedades emergentes.</w:t>
      </w:r>
    </w:p>
    <w:p>
      <w:pPr>
        <w:pStyle w:val="Normal"/>
      </w:pPr>
      <w:r>
        <w:t xml:space="preserve">«Adivina» la totalidad sin verla: omite y descarta las relaciones, donde principalmente se manifiesta la sinergia; cabe bajo cualquier concepto que simplifique.</w:t>
      </w:r>
    </w:p>
    <w:p>
      <w:pPr>
        <w:pStyle w:val="Fuente"/>
      </w:pPr>
      <w:r>
        <w:t xml:space="preserve">Clase 6 · 01:14:25–01:19:34 · Clase 8 · 00:43:01–00:45:42</w:t>
      </w:r>
    </w:p>
    <w:p>
      <w:pPr>
        <w:pStyle w:val="Heading3"/>
      </w:pPr>
      <w:r>
        <w:t xml:space="preserve">Análisis y síntesis: la herramienta del pensamiento sistémico</w:t>
      </w:r>
    </w:p>
    <w:p>
      <w:pPr>
        <w:pStyle w:val="Normal"/>
      </w:pPr>
      <w:r>
        <w:t xml:space="preserve">Análisis: descomponer en partes más simples la realidad compleja; acerca a la información pero no basta, porque atiende los detalles y pierde la totalidad; se complementa con la síntesis, la perspectiva sistémica.</w:t>
      </w:r>
    </w:p>
    <w:p>
      <w:pPr>
        <w:pStyle w:val="Normal"/>
      </w:pPr>
      <w:r>
        <w:t xml:space="preserve">Análisis y síntesis (pensamiento sintético «o inductivo») son ambos la herramienta del pensamiento sistémico, con énfasis en la síntesis y en las relaciones: los procesos operativos (de entradas a salidas) y evolutivos (cambio de estructura), invisibles al reduccionismo; las partes, extremos de las relaciones, no se descartan.</w:t>
      </w:r>
    </w:p>
    <w:p>
      <w:pPr>
        <w:pStyle w:val="Normal"/>
      </w:pPr>
      <w:r>
        <w:t xml:space="preserve">Se parte del contexto del todo y se comprende lo parcial en función de lo global, viendo lo invisible «a simple vista analítica»; el pensamiento sistémico necesita su tiempo de «análisis sistémico».</w:t>
      </w:r>
    </w:p>
    <w:p>
      <w:pPr>
        <w:pStyle w:val="Normal"/>
      </w:pPr>
      <w:r>
        <w:t xml:space="preserve">El bosque (Waters Foundation): el pensador sistémico se centra en el bosque, porque sólo con los detalles de un árbol no se aprecia el sistema; se enfoca el subsistema donde se manifiesta el problema sin quedarse en la manifestación.</w:t>
      </w:r>
    </w:p>
    <w:p>
      <w:pPr>
        <w:pStyle w:val="Fuente"/>
      </w:pPr>
      <w:r>
        <w:t xml:space="preserve">Clase 5 · 00:44:34–00:50:34 · Clase 6 · 01:19:51–01:20:32 · Clase 7 · 00:10:10–00:11:02 · lámina c7-02 · Clase 7 · 00:28:01–00:29:40 · Clase 7 · 01:21:40–01:22:03 · Clase 8 · 00:52:04–00:52:32 · lámina c8-16</w:t>
      </w:r>
    </w:p>
    <w:p>
      <w:pPr>
        <w:pStyle w:val="Heading3"/>
      </w:pPr>
      <w:r>
        <w:t xml:space="preserve">Lo que afirma el video proyectado en la clase 7</w:t>
      </w:r>
    </w:p>
    <w:p>
      <w:pPr>
        <w:pStyle w:val="Normal"/>
      </w:pPr>
      <w:r>
        <w:t xml:space="preserve">El video afirma que hay dos paradigmas: el análisis o reduccionismo descompone la entidad, analiza cada parte aislada y recombina; desestima las relaciones y supone que el todo es la suma de las partes.</w:t>
      </w:r>
    </w:p>
    <w:p>
      <w:pPr>
        <w:pStyle w:val="Normal"/>
      </w:pPr>
      <w:r>
        <w:t xml:space="preserve">El video afirma que la síntesis, base del pensamiento sistémico u holístico, describe una entidad por sus relaciones en tres pasos: identificar el sistema contenedor, ver cómo funciona ese todo y cómo se interconectan sus partes.</w:t>
      </w:r>
    </w:p>
    <w:p>
      <w:pPr>
        <w:pStyle w:val="Fuente"/>
      </w:pPr>
      <w:r>
        <w:t xml:space="preserve">Clase 7 · 00:22:24–00:27:58 · video proyectado</w:t>
      </w:r>
    </w:p>
    <w:p>
      <w:pPr>
        <w:pStyle w:val="Heading3"/>
      </w:pPr>
      <w:r>
        <w:t xml:space="preserve">El enfoque sistémico y lo que proyectó la lámina comparativa</w:t>
      </w:r>
    </w:p>
    <w:p>
      <w:pPr>
        <w:pStyle w:val="Normal"/>
      </w:pPr>
      <w:r>
        <w:t xml:space="preserve">Enfoque o perspectiva sistémica: no perder de vista nada de lo involucrado en un sistema; es lo que el paradigma sistémico permite ver, y mientras más completo el modelo mental, más sistémica la perspectiva.</w:t>
      </w:r>
    </w:p>
    <w:p>
      <w:pPr>
        <w:pStyle w:val="Normal"/>
      </w:pPr>
      <w:r>
        <w:t xml:space="preserve">Lámina comparativa, lado sistémico: holístico, flexible, múltiples perspectivas, emergencias, relaciones, apalancamiento y soluciones integrales pero lentas; lado reduccionista: rápido y simple, pero parcial, con soluciones que se desvanecen o causan mayores problemas.</w:t>
      </w:r>
    </w:p>
    <w:p>
      <w:pPr>
        <w:pStyle w:val="Normal"/>
      </w:pPr>
      <w:r>
        <w:t xml:space="preserve">Al comentarla: hallar una causa es fácil, pero no la hace culpable, porque las relaciones no lineales son típicamente cíclicas; en la clase 6 se proyectó sin detallarla.</w:t>
      </w:r>
    </w:p>
    <w:p>
      <w:pPr>
        <w:pStyle w:val="Fuente"/>
      </w:pPr>
      <w:r>
        <w:t xml:space="preserve">Clase 7 · 01:08:36–01:10:32 · Clase 7 · 01:13:50–01:14:13 · lámina c7-14 · Clase 8 · 01:06:40–01:08:46 · lámina c8-19 · Clase 6 · 01:21:06–01:22:12</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Procedimiento</w:t>
            </w:r>
          </w:p>
          <w:p>
            <w:pPr>
              <w:pStyle w:val="Recuadro"/>
            </w:pPr>
            <w:r>
              <w:t xml:space="preserve">Cómo contrastar una mirada reduccionista con una sistémica</w:t>
            </w:r>
          </w:p>
          <w:p>
            <w:pPr>
              <w:pStyle w:val="Recuadro"/>
            </w:pPr>
            <w:r>
              <w:t xml:space="preserve">1. </w:t>
            </w:r>
            <w:r>
              <w:rPr>
                <w:b/>
                <w:bCs/>
              </w:rPr>
              <w:t xml:space="preserve">Reconocer la mirada analítica.</w:t>
            </w:r>
            <w:r>
              <w:t xml:space="preserve"> Si la explicación divide el objeto en componentes simples y explica el todo por las propiedades de las partes, es reduccionista: rápida, simple, parcial. (Clase 6 · 01:15:20–01:15:54 · Clase 6 · 01:18:42–01:19:34)</w:t>
            </w:r>
          </w:p>
          <w:p>
            <w:pPr>
              <w:pStyle w:val="Recuadro"/>
            </w:pPr>
            <w:r>
              <w:t xml:space="preserve">2. </w:t>
            </w:r>
            <w:r>
              <w:rPr>
                <w:b/>
                <w:bCs/>
              </w:rPr>
              <w:t xml:space="preserve">Preguntar qué dejó fuera.</w:t>
            </w:r>
            <w:r>
              <w:t xml:space="preserve"> Las relaciones, donde se manifiesta la sinergia, y los procesos operativos y evolutivos; sin ellos se pierden las propiedades emergentes del todo. (Clase 6 · 01:19:51–01:20:32 · Clase 8 · 00:43:01–00:45:42)</w:t>
            </w:r>
          </w:p>
          <w:p>
            <w:pPr>
              <w:pStyle w:val="Recuadro"/>
            </w:pPr>
            <w:r>
              <w:t xml:space="preserve">3. </w:t>
            </w:r>
            <w:r>
              <w:rPr>
                <w:b/>
                <w:bCs/>
              </w:rPr>
              <w:t xml:space="preserve">Partir del contexto del todo.</w:t>
            </w:r>
            <w:r>
              <w:t xml:space="preserve"> Situar el objeto en su sistema contenedor y comprender lo parcial en función de lo global, como el árbol dentro del bosque. (Clase 7 · 00:28:01–00:29:40 · Clase 5 · 00:44:34–00:46:24)</w:t>
            </w:r>
          </w:p>
          <w:p>
            <w:pPr>
              <w:pStyle w:val="Recuadro"/>
            </w:pPr>
            <w:r>
              <w:t xml:space="preserve">4. </w:t>
            </w:r>
            <w:r>
              <w:rPr>
                <w:b/>
                <w:bCs/>
              </w:rPr>
              <w:t xml:space="preserve">Combinar análisis y síntesis.</w:t>
            </w:r>
            <w:r>
              <w:t xml:space="preserve"> Separar partes para distinguir elementos y subsistemas y luego sintetizar con énfasis en las relaciones; toma más tiempo, pero es integral. (Clase 8 · 00:52:04–00:52:32 · Clase 7 · 00:10:10–00:11:02 · Clase 8 · 01:06:40–01:08:26)</w:t>
            </w:r>
          </w:p>
          <w:p>
            <w:pPr>
              <w:pStyle w:val="Recuadro"/>
            </w:pPr>
            <w:r>
              <w:t xml:space="preserve">Mientras más completo el modelo, más sistémica la perspectiva: el análisis acerca a la información y la síntesis la integra en el todo.</w:t>
            </w:r>
          </w:p>
        </w:tc>
      </w:tr>
    </w:tbl>
    <w:p>
      <w:pPr>
        <w:pStyle w:val="Heading3"/>
      </w:pPr>
      <w:bookmarkStart w:name="b_tabla_2_1_g1_lamina_10" w:id="1302"/>
      <w:r>
        <w:t xml:space="preserve">Reduccionista frente a sistémico · las nueve filas</w:t>
      </w:r>
      <w:bookmarkEnd w:id="1302"/>
    </w:p>
    <w:tbl>
      <w:tblPr>
        <w:tblW w:type="dxa" w:w="9632"/>
        <w:tblBorders>
          <w:top w:val="single" w:color="C5D5DB" w:sz="4"/>
          <w:left w:val="single" w:color="C5D5DB" w:sz="4"/>
          <w:bottom w:val="single" w:color="C5D5DB" w:sz="4"/>
          <w:right w:val="single" w:color="C5D5DB" w:sz="4"/>
          <w:insideH w:val="single" w:color="E4E9EB" w:sz="3"/>
          <w:insideV w:val="single" w:color="E4E9EB" w:sz="3"/>
        </w:tblBorders>
        <w:tblLayout w:type="fixed"/>
      </w:tblPr>
      <w:tblGrid>
        <w:gridCol w:w="3212"/>
        <w:gridCol w:w="3210"/>
        <w:gridCol w:w="3210"/>
      </w:tblGrid>
      <w:tr>
        <w:trPr>
          <w:cantSplit/>
          <w:tblHeader/>
        </w:trPr>
        <w:tc>
          <w:tcPr>
            <w:tcW w:type="dxa" w:w="3212"/>
            <w:shd w:fill="DFEAF0" w:val="clear"/>
            <w:tcMar>
              <w:top w:type="dxa" w:w="80"/>
              <w:left w:type="dxa" w:w="100"/>
              <w:bottom w:type="dxa" w:w="80"/>
              <w:right w:type="dxa" w:w="100"/>
            </w:tcMar>
          </w:tcPr>
          <w:p>
            <w:pPr>
              <w:pStyle w:val="Tabla"/>
            </w:pPr>
            <w:r>
              <w:rPr>
                <w:b/>
                <w:bCs/>
              </w:rPr>
              <w:t xml:space="preserve">#</w:t>
            </w:r>
          </w:p>
        </w:tc>
        <w:tc>
          <w:tcPr>
            <w:tcW w:type="dxa" w:w="3210"/>
            <w:shd w:fill="DFEAF0" w:val="clear"/>
            <w:tcMar>
              <w:top w:type="dxa" w:w="80"/>
              <w:left w:type="dxa" w:w="100"/>
              <w:bottom w:type="dxa" w:w="80"/>
              <w:right w:type="dxa" w:w="100"/>
            </w:tcMar>
          </w:tcPr>
          <w:p>
            <w:pPr>
              <w:pStyle w:val="Tabla"/>
            </w:pPr>
            <w:r>
              <w:rPr>
                <w:b/>
                <w:bCs/>
              </w:rPr>
              <w:t xml:space="preserve">Pensamiento Reduccionista</w:t>
            </w:r>
          </w:p>
        </w:tc>
        <w:tc>
          <w:tcPr>
            <w:tcW w:type="dxa" w:w="3210"/>
            <w:shd w:fill="DFEAF0" w:val="clear"/>
            <w:tcMar>
              <w:top w:type="dxa" w:w="80"/>
              <w:left w:type="dxa" w:w="100"/>
              <w:bottom w:type="dxa" w:w="80"/>
              <w:right w:type="dxa" w:w="100"/>
            </w:tcMar>
          </w:tcPr>
          <w:p>
            <w:pPr>
              <w:pStyle w:val="Tabla"/>
            </w:pPr>
            <w:r>
              <w:rPr>
                <w:b/>
                <w:bCs/>
              </w:rPr>
              <w:t xml:space="preserve">Pensamiento Sistémico</w:t>
            </w:r>
          </w:p>
        </w:tc>
      </w:tr>
      <w:tr>
        <w:trPr>
          <w:cantSplit/>
          <w:tblHeader w:val="off"/>
        </w:trPr>
        <w:tc>
          <w:tcPr>
            <w:tcW w:type="dxa" w:w="3212"/>
            <w:tcMar>
              <w:top w:type="dxa" w:w="80"/>
              <w:left w:type="dxa" w:w="100"/>
              <w:bottom w:type="dxa" w:w="80"/>
              <w:right w:type="dxa" w:w="100"/>
            </w:tcMar>
          </w:tcPr>
          <w:p>
            <w:pPr>
              <w:pStyle w:val="Tabla"/>
            </w:pPr>
            <w:r>
              <w:t xml:space="preserve">1</w:t>
            </w:r>
          </w:p>
        </w:tc>
        <w:tc>
          <w:tcPr>
            <w:tcW w:type="dxa" w:w="3210"/>
            <w:tcMar>
              <w:top w:type="dxa" w:w="80"/>
              <w:left w:type="dxa" w:w="100"/>
              <w:bottom w:type="dxa" w:w="80"/>
              <w:right w:type="dxa" w:w="100"/>
            </w:tcMar>
          </w:tcPr>
          <w:p>
            <w:pPr>
              <w:pStyle w:val="Tabla"/>
            </w:pPr>
            <w:r>
              <w:t xml:space="preserve">Parcial (ve algunas partes)</w:t>
            </w:r>
          </w:p>
        </w:tc>
        <w:tc>
          <w:tcPr>
            <w:tcW w:type="dxa" w:w="3210"/>
            <w:tcMar>
              <w:top w:type="dxa" w:w="80"/>
              <w:left w:type="dxa" w:w="100"/>
              <w:bottom w:type="dxa" w:w="80"/>
              <w:right w:type="dxa" w:w="100"/>
            </w:tcMar>
          </w:tcPr>
          <w:p>
            <w:pPr>
              <w:pStyle w:val="Tabla"/>
            </w:pPr>
            <w:r>
              <w:t xml:space="preserve">Total (ve el todo) – Holístico</w:t>
            </w:r>
          </w:p>
        </w:tc>
      </w:tr>
      <w:tr>
        <w:trPr>
          <w:cantSplit/>
          <w:tblHeader w:val="off"/>
        </w:trPr>
        <w:tc>
          <w:tcPr>
            <w:tcW w:type="dxa" w:w="3212"/>
            <w:tcMar>
              <w:top w:type="dxa" w:w="80"/>
              <w:left w:type="dxa" w:w="100"/>
              <w:bottom w:type="dxa" w:w="80"/>
              <w:right w:type="dxa" w:w="100"/>
            </w:tcMar>
          </w:tcPr>
          <w:p>
            <w:pPr>
              <w:pStyle w:val="Tabla"/>
            </w:pPr>
            <w:r>
              <w:t xml:space="preserve">2</w:t>
            </w:r>
          </w:p>
        </w:tc>
        <w:tc>
          <w:tcPr>
            <w:tcW w:type="dxa" w:w="3210"/>
            <w:tcMar>
              <w:top w:type="dxa" w:w="80"/>
              <w:left w:type="dxa" w:w="100"/>
              <w:bottom w:type="dxa" w:w="80"/>
              <w:right w:type="dxa" w:w="100"/>
            </w:tcMar>
          </w:tcPr>
          <w:p>
            <w:pPr>
              <w:pStyle w:val="Tabla"/>
            </w:pPr>
            <w:r>
              <w:t xml:space="preserve">Rígido - solo ve una forma de hacer las cosas – (Parálisis paradigmática)</w:t>
            </w:r>
          </w:p>
        </w:tc>
        <w:tc>
          <w:tcPr>
            <w:tcW w:type="dxa" w:w="3210"/>
            <w:tcMar>
              <w:top w:type="dxa" w:w="80"/>
              <w:left w:type="dxa" w:w="100"/>
              <w:bottom w:type="dxa" w:w="80"/>
              <w:right w:type="dxa" w:w="100"/>
            </w:tcMar>
          </w:tcPr>
          <w:p>
            <w:pPr>
              <w:pStyle w:val="Tabla"/>
            </w:pPr>
            <w:r>
              <w:t xml:space="preserve">Flexible – ve múltiples perspectivas - múltiples formas de hacer las cosas</w:t>
            </w:r>
          </w:p>
        </w:tc>
      </w:tr>
      <w:tr>
        <w:trPr>
          <w:cantSplit/>
          <w:tblHeader w:val="off"/>
        </w:trPr>
        <w:tc>
          <w:tcPr>
            <w:tcW w:type="dxa" w:w="3212"/>
            <w:tcMar>
              <w:top w:type="dxa" w:w="80"/>
              <w:left w:type="dxa" w:w="100"/>
              <w:bottom w:type="dxa" w:w="80"/>
              <w:right w:type="dxa" w:w="100"/>
            </w:tcMar>
          </w:tcPr>
          <w:p>
            <w:pPr>
              <w:pStyle w:val="Tabla"/>
            </w:pPr>
            <w:r>
              <w:t xml:space="preserve">3</w:t>
            </w:r>
          </w:p>
        </w:tc>
        <w:tc>
          <w:tcPr>
            <w:tcW w:type="dxa" w:w="3210"/>
            <w:tcMar>
              <w:top w:type="dxa" w:w="80"/>
              <w:left w:type="dxa" w:w="100"/>
              <w:bottom w:type="dxa" w:w="80"/>
              <w:right w:type="dxa" w:w="100"/>
            </w:tcMar>
          </w:tcPr>
          <w:p>
            <w:pPr>
              <w:pStyle w:val="Tabla"/>
            </w:pPr>
            <w:r>
              <w:t xml:space="preserve">Busca el comportamiento en las partes o grupo de partes</w:t>
            </w:r>
          </w:p>
        </w:tc>
        <w:tc>
          <w:tcPr>
            <w:tcW w:type="dxa" w:w="3210"/>
            <w:tcMar>
              <w:top w:type="dxa" w:w="80"/>
              <w:left w:type="dxa" w:w="100"/>
              <w:bottom w:type="dxa" w:w="80"/>
              <w:right w:type="dxa" w:w="100"/>
            </w:tcMar>
          </w:tcPr>
          <w:p>
            <w:pPr>
              <w:pStyle w:val="Tabla"/>
            </w:pPr>
            <w:r>
              <w:t xml:space="preserve">Identifica el comportamiento en las propiedades emergentes</w:t>
            </w:r>
          </w:p>
        </w:tc>
      </w:tr>
      <w:tr>
        <w:trPr>
          <w:cantSplit/>
          <w:tblHeader w:val="off"/>
        </w:trPr>
        <w:tc>
          <w:tcPr>
            <w:tcW w:type="dxa" w:w="3212"/>
            <w:tcMar>
              <w:top w:type="dxa" w:w="80"/>
              <w:left w:type="dxa" w:w="100"/>
              <w:bottom w:type="dxa" w:w="80"/>
              <w:right w:type="dxa" w:w="100"/>
            </w:tcMar>
          </w:tcPr>
          <w:p>
            <w:pPr>
              <w:pStyle w:val="Tabla"/>
            </w:pPr>
            <w:r>
              <w:t xml:space="preserve">4</w:t>
            </w:r>
          </w:p>
        </w:tc>
        <w:tc>
          <w:tcPr>
            <w:tcW w:type="dxa" w:w="3210"/>
            <w:tcMar>
              <w:top w:type="dxa" w:w="80"/>
              <w:left w:type="dxa" w:w="100"/>
              <w:bottom w:type="dxa" w:w="80"/>
              <w:right w:type="dxa" w:w="100"/>
            </w:tcMar>
          </w:tcPr>
          <w:p>
            <w:pPr>
              <w:pStyle w:val="Tabla"/>
            </w:pPr>
            <w:r>
              <w:t xml:space="preserve">Pone énfasis en las partes – en lo individual de cada una de las partes</w:t>
            </w:r>
          </w:p>
        </w:tc>
        <w:tc>
          <w:tcPr>
            <w:tcW w:type="dxa" w:w="3210"/>
            <w:tcMar>
              <w:top w:type="dxa" w:w="80"/>
              <w:left w:type="dxa" w:w="100"/>
              <w:bottom w:type="dxa" w:w="80"/>
              <w:right w:type="dxa" w:w="100"/>
            </w:tcMar>
          </w:tcPr>
          <w:p>
            <w:pPr>
              <w:pStyle w:val="Tabla"/>
            </w:pPr>
            <w:r>
              <w:t xml:space="preserve">Pone énfasis en las relaciones – en las interrelaciones de las partes</w:t>
            </w:r>
          </w:p>
        </w:tc>
      </w:tr>
      <w:tr>
        <w:trPr>
          <w:cantSplit/>
          <w:tblHeader w:val="off"/>
        </w:trPr>
        <w:tc>
          <w:tcPr>
            <w:tcW w:type="dxa" w:w="3212"/>
            <w:tcMar>
              <w:top w:type="dxa" w:w="80"/>
              <w:left w:type="dxa" w:w="100"/>
              <w:bottom w:type="dxa" w:w="80"/>
              <w:right w:type="dxa" w:w="100"/>
            </w:tcMar>
          </w:tcPr>
          <w:p>
            <w:pPr>
              <w:pStyle w:val="Tabla"/>
            </w:pPr>
            <w:r>
              <w:t xml:space="preserve">5</w:t>
            </w:r>
          </w:p>
        </w:tc>
        <w:tc>
          <w:tcPr>
            <w:tcW w:type="dxa" w:w="3210"/>
            <w:tcMar>
              <w:top w:type="dxa" w:w="80"/>
              <w:left w:type="dxa" w:w="100"/>
              <w:bottom w:type="dxa" w:w="80"/>
              <w:right w:type="dxa" w:w="100"/>
            </w:tcMar>
          </w:tcPr>
          <w:p>
            <w:pPr>
              <w:pStyle w:val="Tabla"/>
            </w:pPr>
            <w:r>
              <w:t xml:space="preserve">Identifica soluciones parciales o temporales</w:t>
            </w:r>
          </w:p>
        </w:tc>
        <w:tc>
          <w:tcPr>
            <w:tcW w:type="dxa" w:w="3210"/>
            <w:tcMar>
              <w:top w:type="dxa" w:w="80"/>
              <w:left w:type="dxa" w:w="100"/>
              <w:bottom w:type="dxa" w:w="80"/>
              <w:right w:type="dxa" w:w="100"/>
            </w:tcMar>
          </w:tcPr>
          <w:p>
            <w:pPr>
              <w:pStyle w:val="Tabla"/>
            </w:pPr>
            <w:r>
              <w:t xml:space="preserve">Identifica soluciones integrales y completas</w:t>
            </w:r>
          </w:p>
        </w:tc>
      </w:tr>
      <w:tr>
        <w:trPr>
          <w:cantSplit/>
          <w:tblHeader w:val="off"/>
        </w:trPr>
        <w:tc>
          <w:tcPr>
            <w:tcW w:type="dxa" w:w="3212"/>
            <w:tcMar>
              <w:top w:type="dxa" w:w="80"/>
              <w:left w:type="dxa" w:w="100"/>
              <w:bottom w:type="dxa" w:w="80"/>
              <w:right w:type="dxa" w:w="100"/>
            </w:tcMar>
          </w:tcPr>
          <w:p>
            <w:pPr>
              <w:pStyle w:val="Tabla"/>
            </w:pPr>
            <w:r>
              <w:t xml:space="preserve">6</w:t>
            </w:r>
          </w:p>
        </w:tc>
        <w:tc>
          <w:tcPr>
            <w:tcW w:type="dxa" w:w="3210"/>
            <w:tcMar>
              <w:top w:type="dxa" w:w="80"/>
              <w:left w:type="dxa" w:w="100"/>
              <w:bottom w:type="dxa" w:w="80"/>
              <w:right w:type="dxa" w:w="100"/>
            </w:tcMar>
          </w:tcPr>
          <w:p>
            <w:pPr>
              <w:pStyle w:val="Tabla"/>
            </w:pPr>
            <w:r>
              <w:t xml:space="preserve">Es simple</w:t>
            </w:r>
          </w:p>
        </w:tc>
        <w:tc>
          <w:tcPr>
            <w:tcW w:type="dxa" w:w="3210"/>
            <w:tcMar>
              <w:top w:type="dxa" w:w="80"/>
              <w:left w:type="dxa" w:w="100"/>
              <w:bottom w:type="dxa" w:w="80"/>
              <w:right w:type="dxa" w:w="100"/>
            </w:tcMar>
          </w:tcPr>
          <w:p>
            <w:pPr>
              <w:pStyle w:val="Tabla"/>
            </w:pPr>
            <w:r>
              <w:t xml:space="preserve">Es complejo</w:t>
            </w:r>
          </w:p>
        </w:tc>
      </w:tr>
      <w:tr>
        <w:trPr>
          <w:cantSplit/>
          <w:tblHeader w:val="off"/>
        </w:trPr>
        <w:tc>
          <w:tcPr>
            <w:tcW w:type="dxa" w:w="3212"/>
            <w:tcMar>
              <w:top w:type="dxa" w:w="80"/>
              <w:left w:type="dxa" w:w="100"/>
              <w:bottom w:type="dxa" w:w="80"/>
              <w:right w:type="dxa" w:w="100"/>
            </w:tcMar>
          </w:tcPr>
          <w:p>
            <w:pPr>
              <w:pStyle w:val="Tabla"/>
            </w:pPr>
            <w:r>
              <w:t xml:space="preserve">7</w:t>
            </w:r>
          </w:p>
        </w:tc>
        <w:tc>
          <w:tcPr>
            <w:tcW w:type="dxa" w:w="3210"/>
            <w:tcMar>
              <w:top w:type="dxa" w:w="80"/>
              <w:left w:type="dxa" w:w="100"/>
              <w:bottom w:type="dxa" w:w="80"/>
              <w:right w:type="dxa" w:w="100"/>
            </w:tcMar>
          </w:tcPr>
          <w:p>
            <w:pPr>
              <w:pStyle w:val="Tabla"/>
            </w:pPr>
            <w:r>
              <w:t xml:space="preserve">Es rápido</w:t>
            </w:r>
          </w:p>
        </w:tc>
        <w:tc>
          <w:tcPr>
            <w:tcW w:type="dxa" w:w="3210"/>
            <w:tcMar>
              <w:top w:type="dxa" w:w="80"/>
              <w:left w:type="dxa" w:w="100"/>
              <w:bottom w:type="dxa" w:w="80"/>
              <w:right w:type="dxa" w:w="100"/>
            </w:tcMar>
          </w:tcPr>
          <w:p>
            <w:pPr>
              <w:pStyle w:val="Tabla"/>
            </w:pPr>
            <w:r>
              <w:t xml:space="preserve">Toma su tiempo</w:t>
            </w:r>
          </w:p>
        </w:tc>
      </w:tr>
      <w:tr>
        <w:trPr>
          <w:cantSplit/>
          <w:tblHeader w:val="off"/>
        </w:trPr>
        <w:tc>
          <w:tcPr>
            <w:tcW w:type="dxa" w:w="3212"/>
            <w:tcMar>
              <w:top w:type="dxa" w:w="80"/>
              <w:left w:type="dxa" w:w="100"/>
              <w:bottom w:type="dxa" w:w="80"/>
              <w:right w:type="dxa" w:w="100"/>
            </w:tcMar>
          </w:tcPr>
          <w:p>
            <w:pPr>
              <w:pStyle w:val="Tabla"/>
            </w:pPr>
            <w:r>
              <w:t xml:space="preserve">8</w:t>
            </w:r>
          </w:p>
        </w:tc>
        <w:tc>
          <w:tcPr>
            <w:tcW w:type="dxa" w:w="3210"/>
            <w:tcMar>
              <w:top w:type="dxa" w:w="80"/>
              <w:left w:type="dxa" w:w="100"/>
              <w:bottom w:type="dxa" w:w="80"/>
              <w:right w:type="dxa" w:w="100"/>
            </w:tcMar>
          </w:tcPr>
          <w:p>
            <w:pPr>
              <w:pStyle w:val="Tabla"/>
            </w:pPr>
            <w:r>
              <w:t xml:space="preserve">Es fácil de entender</w:t>
            </w:r>
          </w:p>
        </w:tc>
        <w:tc>
          <w:tcPr>
            <w:tcW w:type="dxa" w:w="3210"/>
            <w:tcMar>
              <w:top w:type="dxa" w:w="80"/>
              <w:left w:type="dxa" w:w="100"/>
              <w:bottom w:type="dxa" w:w="80"/>
              <w:right w:type="dxa" w:w="100"/>
            </w:tcMar>
          </w:tcPr>
          <w:p>
            <w:pPr>
              <w:pStyle w:val="Tabla"/>
            </w:pPr>
            <w:r>
              <w:t xml:space="preserve">Requiere mayor análisis</w:t>
            </w:r>
          </w:p>
        </w:tc>
      </w:tr>
      <w:tr>
        <w:trPr>
          <w:cantSplit/>
          <w:tblHeader w:val="off"/>
        </w:trPr>
        <w:tc>
          <w:tcPr>
            <w:tcW w:type="dxa" w:w="3212"/>
            <w:tcMar>
              <w:top w:type="dxa" w:w="80"/>
              <w:left w:type="dxa" w:w="100"/>
              <w:bottom w:type="dxa" w:w="80"/>
              <w:right w:type="dxa" w:w="100"/>
            </w:tcMar>
          </w:tcPr>
          <w:p>
            <w:pPr>
              <w:pStyle w:val="Tabla"/>
            </w:pPr>
            <w:r>
              <w:t xml:space="preserve">9</w:t>
            </w:r>
          </w:p>
        </w:tc>
        <w:tc>
          <w:tcPr>
            <w:tcW w:type="dxa" w:w="3210"/>
            <w:tcMar>
              <w:top w:type="dxa" w:w="80"/>
              <w:left w:type="dxa" w:w="100"/>
              <w:bottom w:type="dxa" w:w="80"/>
              <w:right w:type="dxa" w:w="100"/>
            </w:tcMar>
          </w:tcPr>
          <w:p>
            <w:pPr>
              <w:pStyle w:val="Tabla"/>
            </w:pPr>
            <w:r>
              <w:t xml:space="preserve">Identifica relaciones de causa y efecto lineales</w:t>
            </w:r>
          </w:p>
        </w:tc>
        <w:tc>
          <w:tcPr>
            <w:tcW w:type="dxa" w:w="3210"/>
            <w:tcMar>
              <w:top w:type="dxa" w:w="80"/>
              <w:left w:type="dxa" w:w="100"/>
              <w:bottom w:type="dxa" w:w="80"/>
              <w:right w:type="dxa" w:w="100"/>
            </w:tcMar>
          </w:tcPr>
          <w:p>
            <w:pPr>
              <w:pStyle w:val="Tabla"/>
            </w:pPr>
            <w:r>
              <w:t xml:space="preserve">Identifica relaciones de causa y efecto no lineales (ciclos de causa y efecto)</w:t>
            </w:r>
          </w:p>
        </w:tc>
      </w:tr>
    </w:tbl>
    <w:p>
      <w:pPr>
        <w:pStyle w:val="Fuente"/>
      </w:pPr>
      <w:r>
        <w:t xml:space="preserve">Texto literal de la lámina 10 de la clase 6. Las filas 6, 7 y 8 conceden la ventaja al reduccionismo: es simple, es rápido, es fácil de entender.</w:t>
      </w:r>
    </w:p>
    <w:p>
      <w:pPr>
        <w:pStyle w:val="Heading3"/>
      </w:pPr>
      <w:r>
        <w:t xml:space="preserve">Lo que dicen las presentaciones</w:t>
      </w:r>
    </w:p>
    <w:p>
      <w:pPr>
        <w:pStyle w:val="Heading3"/>
      </w:pPr>
      <w:bookmarkStart w:name="b_pagina_2_1_C_6_p1" w:id="1303"/>
      <w:r>
        <w:t xml:space="preserve">C-6 · página 1 · Introducción al pensamiento sistémico</w:t>
      </w:r>
      <w:bookmarkEnd w:id="1303"/>
    </w:p>
    <w:p>
      <w:pPr>
        <w:pStyle w:val="Normal"/>
      </w:pPr>
      <w:r>
        <w:t xml:space="preserve">Portada de los fundamentos de la Teoría de Sistemas.</w:t>
      </w:r>
    </w:p>
    <w:p>
      <w:pPr>
        <w:pStyle w:val="Heading3"/>
      </w:pPr>
      <w:bookmarkStart w:name="b_pagina_2_1_C_6_p2" w:id="1304"/>
      <w:r>
        <w:t xml:space="preserve">C-6 · página 2 · Unidades 1 y 2 del curso</w:t>
      </w:r>
      <w:bookmarkEnd w:id="1304"/>
    </w:p>
    <w:p>
      <w:pPr>
        <w:pStyle w:val="Normal"/>
      </w:pPr>
      <w:r>
        <w:t xml:space="preserve">Índice programático y planificación histórica del primer parcial.</w:t>
      </w:r>
    </w:p>
    <w:p>
      <w:pPr>
        <w:pStyle w:val="Fuente"/>
      </w:pPr>
      <w:r>
        <w:t xml:space="preserve">Proyección o explicación: Clase 6 · 00:02:05 · captura c6-01.</w:t>
      </w:r>
    </w:p>
    <w:p>
      <w:bookmarkStart w:name="b_punto_c6_p002_02" w:id="1305"/>
      <w:r>
        <w:t xml:space="preserve">Los nueve temas de U2 van desde visión general hasta introducción a los hábitos, incluyendo cuatro familias de Checkland en 2.7.</w:t>
      </w:r>
      <w:bookmarkEnd w:id="1305"/>
    </w:p>
    <w:p>
      <w:pPr>
        <w:pStyle w:val="Fuente"/>
      </w:pPr>
      <w:r>
        <w:t xml:space="preserve">Véase </w:t>
      </w:r>
      <w:hyperlink w:history="1" w:anchor="b_1_1">
        <w:r>
          <w:rPr>
            <w:color w:val="156B70"/>
            <w:u w:val="single"/>
          </w:rPr>
          <w:t xml:space="preserve">capítulo 1.1 · Paradigmas y modelos mentales</w:t>
        </w:r>
      </w:hyperlink>
      <w:r>
        <w:t xml:space="preserve">, pág. </w:t>
      </w:r>
      <w:r>
        <w:fldChar w:fldCharType="begin"/>
        <w:instrText xml:space="preserve">PAGEREF b_1_1 \h</w:instrText>
        <w:fldChar w:fldCharType="separate"/>
        <w:t xml:space="preserve">19</w:t>
        <w:fldChar w:fldCharType="end"/>
      </w:r>
      <w:r>
        <w:t xml:space="preserve">.</w:t>
      </w:r>
    </w:p>
    <w:p>
      <w:pPr>
        <w:pStyle w:val="Heading3"/>
      </w:pPr>
      <w:bookmarkStart w:name="b_pagina_2_1_C_6_p3" w:id="1306"/>
      <w:r>
        <w:t xml:space="preserve">C-6 · página 3 · Nota del autor sobre la diapositiva 2</w:t>
      </w:r>
      <w:bookmarkEnd w:id="1306"/>
    </w:p>
    <w:p>
      <w:pPr>
        <w:pStyle w:val="Normal"/>
      </w:pPr>
      <w:r>
        <w:t xml:space="preserve">Página de notas de presentación, sin desarrollo académico.</w:t>
      </w:r>
    </w:p>
    <w:p>
      <w:pPr>
        <w:pStyle w:val="Heading3"/>
      </w:pPr>
      <w:bookmarkStart w:name="b_pagina_2_1_C_6_p4" w:id="1307"/>
      <w:r>
        <w:t xml:space="preserve">C-6 · página 4 · El paradigma de sistemas</w:t>
      </w:r>
      <w:bookmarkEnd w:id="1307"/>
    </w:p>
    <w:p>
      <w:pPr>
        <w:pStyle w:val="Normal"/>
      </w:pPr>
      <w:r>
        <w:t xml:space="preserve">Visión generalista del mundo y uso del sistema generalizado para modelar cualquier objeto.</w:t>
      </w:r>
    </w:p>
    <w:p>
      <w:pPr>
        <w:pStyle w:val="Fuente"/>
      </w:pPr>
      <w:r>
        <w:t xml:space="preserve">Proyección o explicación: Clase 6 · 00:41:08 · captura c6-02.</w:t>
      </w:r>
    </w:p>
    <w:p>
      <w:bookmarkStart w:name="b_punto_c6_p004_01" w:id="1308"/>
      <w:r>
        <w:t xml:space="preserve">El paradigma de sistemas ofrece una visión unitaria y global del universo.</w:t>
      </w:r>
      <w:bookmarkEnd w:id="1308"/>
    </w:p>
    <w:p>
      <w:bookmarkStart w:name="b_punto_c6_p004_02" w:id="1309"/>
      <w:r>
        <w:t xml:space="preserve">Permite modelar objetos naturales o artificiales, simples o complejos, existentes o por aparecer.</w:t>
      </w:r>
      <w:bookmarkEnd w:id="1309"/>
    </w:p>
    <w:p>
      <w:bookmarkStart w:name="b_punto_c6_p004_03" w:id="1310"/>
      <w:r>
        <w:t xml:space="preserve">La herramienta de modelización recibe el nombre de sistema generalizado.</w:t>
      </w:r>
      <w:bookmarkEnd w:id="1310"/>
    </w:p>
    <w:p>
      <w:pPr>
        <w:pStyle w:val="Heading3"/>
      </w:pPr>
      <w:bookmarkStart w:name="b_pagina_2_1_C_6_p7" w:id="1311"/>
      <w:r>
        <w:t xml:space="preserve">C-6 · página 7 · Modelos mentales sistémicos: morfismos</w:t>
      </w:r>
      <w:bookmarkEnd w:id="1311"/>
    </w:p>
    <w:p>
      <w:pPr>
        <w:pStyle w:val="Normal"/>
      </w:pPr>
      <w:r>
        <w:t xml:space="preserve">El sistema general filtra el objeto; el modelo conserva forma conceptual y simplifica la realidad.</w:t>
      </w:r>
    </w:p>
    <w:p>
      <w:pPr>
        <w:pStyle w:val="Fuente"/>
      </w:pPr>
      <w:r>
        <w:t xml:space="preserve">Proyección o explicación: Clase 6 · 01:00:46 · captura c6-08.</w:t>
      </w:r>
    </w:p>
    <w:p>
      <w:bookmarkStart w:name="b_punto_c6_p007_01" w:id="1312"/>
      <w:r>
        <w:t xml:space="preserve">El esquema va desde objeto percibido en su entorno, pasando por sistema general, a varios modelos I, II y III.</w:t>
      </w:r>
      <w:bookmarkEnd w:id="1312"/>
    </w:p>
    <w:p>
      <w:bookmarkStart w:name="b_punto_c6_p007_02" w:id="1313"/>
      <w:r>
        <w:t xml:space="preserve">Isomorfismo significa forma similar; los modelos sistémicos conservan la forma del concepto general de sistema.</w:t>
      </w:r>
      <w:bookmarkEnd w:id="1313"/>
    </w:p>
    <w:p>
      <w:bookmarkStart w:name="b_punto_c6_p007_03" w:id="1314"/>
      <w:r>
        <w:t xml:space="preserve">El corazón artificial es el ejemplo de isomorfismo que la lámina ofrece.</w:t>
      </w:r>
      <w:bookmarkEnd w:id="1314"/>
    </w:p>
    <w:p>
      <w:bookmarkStart w:name="b_punto_c6_p007_04" w:id="1315"/>
      <w:r>
        <w:t xml:space="preserve">Homomorfismo del modelo respecto del objeto: reducción de variables y representación simplificada.</w:t>
      </w:r>
      <w:bookmarkEnd w:id="1315"/>
    </w:p>
    <w:p>
      <w:bookmarkStart w:name="b_punto_c6_p007_05" w:id="1316"/>
      <w:r>
        <w:t xml:space="preserve">Maqueta, organigrama, flujograma y modelo matemático de decisión ejemplifican representaciones simplificadas.</w:t>
      </w:r>
      <w:bookmarkEnd w:id="1316"/>
    </w:p>
    <w:p>
      <w:bookmarkStart w:name="b_punto_c6_p007_06" w:id="1317"/>
      <w:r>
        <w:t xml:space="preserve">La llave corta corresponde al isomorfismo modelo–sistema general; la larga al homomorfismo objeto–modelos.</w:t>
      </w:r>
      <w:bookmarkEnd w:id="1317"/>
    </w:p>
    <w:p>
      <w:pPr>
        <w:pStyle w:val="Heading3"/>
      </w:pPr>
      <w:bookmarkStart w:name="b_pagina_2_1_C_6_p8" w:id="1318"/>
      <w:r>
        <w:t xml:space="preserve">C-6 · página 8 · El paradigma reduccionista</w:t>
      </w:r>
      <w:bookmarkEnd w:id="1318"/>
    </w:p>
    <w:p>
      <w:pPr>
        <w:pStyle w:val="Normal"/>
      </w:pPr>
      <w:r>
        <w:t xml:space="preserve">Descomponer para inferir el todo y contraste visual entre reducción e integración.</w:t>
      </w:r>
    </w:p>
    <w:p>
      <w:pPr>
        <w:pStyle w:val="Fuente"/>
      </w:pPr>
      <w:r>
        <w:t xml:space="preserve">Proyección o explicación: Clase 6 · 01:14:25 · captura c6-09.</w:t>
      </w:r>
    </w:p>
    <w:p>
      <w:bookmarkStart w:name="b_punto_c6_p008_01" w:id="1319"/>
      <w:r>
        <w:t xml:space="preserve">El reduccionismo divide el objeto en componentes simples y deduce el comportamiento del todo desde ellos.</w:t>
      </w:r>
      <w:bookmarkEnd w:id="1319"/>
    </w:p>
    <w:p>
      <w:bookmarkStart w:name="b_punto_c6_p008_02" w:id="1320"/>
      <w:r>
        <w:t xml:space="preserve">Fragmentar, analizar y recomponer por operaciones simples es el método descrito.</w:t>
      </w:r>
      <w:bookmarkEnd w:id="1320"/>
    </w:p>
    <w:p>
      <w:bookmarkStart w:name="b_punto_c6_p008_03" w:id="1321"/>
      <w:r>
        <w:t xml:space="preserve">La formulación fuerte de la fuente rechaza buscar interrelaciones por considerarlas imaginarias.</w:t>
      </w:r>
      <w:bookmarkEnd w:id="1321"/>
    </w:p>
    <w:p>
      <w:bookmarkStart w:name="b_punto_c6_p008_04" w:id="1322"/>
      <w:r>
        <w:t xml:space="preserve">Figura de escalas: reducción desde planeta hasta átomo e integración en sentido contrario.</w:t>
      </w:r>
      <w:bookmarkEnd w:id="1322"/>
    </w:p>
    <w:p>
      <w:pPr>
        <w:pStyle w:val="Heading3"/>
      </w:pPr>
      <w:bookmarkStart w:name="b_pagina_2_1_C_6_p9" w:id="1323"/>
      <w:r>
        <w:t xml:space="preserve">C-6 · página 9 · Pensamiento sistémico versus reduccionista</w:t>
      </w:r>
      <w:bookmarkEnd w:id="1323"/>
    </w:p>
    <w:p>
      <w:pPr>
        <w:pStyle w:val="Normal"/>
      </w:pPr>
      <w:r>
        <w:t xml:space="preserve">Tabla de nueve contrastes con concesiones de rapidez y simplicidad al reduccionismo.</w:t>
      </w:r>
    </w:p>
    <w:p>
      <w:pPr>
        <w:pStyle w:val="Fuente"/>
      </w:pPr>
      <w:r>
        <w:t xml:space="preserve">Proyección o explicación: Clase 6 · 01:17:13 · captura c6-10.</w:t>
      </w:r>
    </w:p>
    <w:p>
      <w:bookmarkStart w:name="b_punto_c6_p009_01" w:id="1324"/>
      <w:r>
        <w:t xml:space="preserve">Parcial frente a total u holístico.</w:t>
      </w:r>
      <w:bookmarkEnd w:id="1324"/>
    </w:p>
    <w:p>
      <w:bookmarkStart w:name="b_punto_c6_p009_02" w:id="1325"/>
      <w:r>
        <w:t xml:space="preserve">Rigidez/parálisis paradigmática frente a flexibilidad y múltiples perspectivas.</w:t>
      </w:r>
      <w:bookmarkEnd w:id="1325"/>
    </w:p>
    <w:p>
      <w:bookmarkStart w:name="b_punto_c6_p009_03" w:id="1326"/>
      <w:r>
        <w:t xml:space="preserve">Comportamiento en las partes frente a propiedades emergentes del conjunto.</w:t>
      </w:r>
      <w:bookmarkEnd w:id="1326"/>
    </w:p>
    <w:p>
      <w:bookmarkStart w:name="b_punto_c6_p009_04" w:id="1327"/>
      <w:r>
        <w:t xml:space="preserve">Énfasis en partes individuales frente a relaciones e interrelaciones.</w:t>
      </w:r>
      <w:bookmarkEnd w:id="1327"/>
    </w:p>
    <w:p>
      <w:bookmarkStart w:name="b_punto_c6_p009_05" w:id="1328"/>
      <w:r>
        <w:t xml:space="preserve">Soluciones parciales o temporales frente a integrales y completas.</w:t>
      </w:r>
      <w:bookmarkEnd w:id="1328"/>
    </w:p>
    <w:p>
      <w:bookmarkStart w:name="b_punto_c6_p009_06" w:id="1329"/>
      <w:r>
        <w:t xml:space="preserve">Simple frente a complejo; rápido frente a requerir tiempo; fácil de entender frente a mayor análisis.</w:t>
      </w:r>
      <w:bookmarkEnd w:id="1329"/>
    </w:p>
    <w:p>
      <w:bookmarkStart w:name="b_punto_c6_p009_07" w:id="1330"/>
      <w:r>
        <w:t xml:space="preserve">Relaciones lineales de causa y efecto frente a relaciones no lineales y ciclos.</w:t>
      </w:r>
      <w:bookmarkEnd w:id="1330"/>
    </w:p>
    <w:p>
      <w:pPr>
        <w:pStyle w:val="Heading3"/>
      </w:pPr>
      <w:bookmarkStart w:name="b_pagina_2_1_C_6_p16" w:id="1331"/>
      <w:r>
        <w:t xml:space="preserve">C-6 · página 16 · Pensamiento sistémico</w:t>
      </w:r>
      <w:bookmarkEnd w:id="1331"/>
    </w:p>
    <w:p>
      <w:pPr>
        <w:pStyle w:val="Normal"/>
      </w:pPr>
      <w:r>
        <w:t xml:space="preserve">Todo, partes, conexiones y comprensión más allá del incidente aislado.</w:t>
      </w:r>
    </w:p>
    <w:p>
      <w:pPr>
        <w:pStyle w:val="Fuente"/>
      </w:pPr>
      <w:r>
        <w:t xml:space="preserve">Proyección o explicación: Clase 7 · 00:05:16 · captura c7-01.</w:t>
      </w:r>
    </w:p>
    <w:p>
      <w:pPr>
        <w:keepNext/>
        <w:spacing w:after="40" w:before="150"/>
        <w:jc w:val="center"/>
      </w:pPr>
      <w:bookmarkStart w:name="b_figura_original_pagina_C_6_16" w:id="1332"/>
      <w:bookmarkEnd w:id="1332"/>
      <w:r>
        <w:drawing>
          <wp:inline distT="0" distB="0" distL="0" distR="0">
            <wp:extent cx="5381625" cy="4162425"/>
            <wp:effectExtent t="0" r="0" b="0" l="0"/>
            <wp:docPr id="34" name="pagina-C-6-16" descr="Presentación C-6, pág. 16" title="Pensamiento sistémi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20" cstate="none"/>
                    <a:srcRect/>
                    <a:stretch>
                      <a:fillRect/>
                    </a:stretch>
                  </pic:blipFill>
                  <pic:spPr bwMode="auto">
                    <a:xfrm>
                      <a:off x="0" y="0"/>
                      <a:ext cx="5381625" cy="4162425"/>
                    </a:xfrm>
                    <a:prstGeom prst="rect">
                      <a:avLst/>
                    </a:prstGeom>
                  </pic:spPr>
                </pic:pic>
              </a:graphicData>
            </a:graphic>
          </wp:inline>
        </w:drawing>
      </w:r>
    </w:p>
    <w:p>
      <w:pPr>
        <w:pStyle w:val="PieFigura"/>
        <w:keepNext/>
      </w:pPr>
      <w:bookmarkStart w:name="b_fig_2_1_1" w:id="1333"/>
      <w:r>
        <w:t xml:space="preserve">Figura 2.1.</w:t>
      </w:r>
      <w:fldSimple w:instr="SEQ Figura \r 1 \* ARABIC">
        <w:r>
          <w:t xml:space="preserve">1</w:t>
        </w:r>
      </w:fldSimple>
      <w:r>
        <w:t xml:space="preserve"> · Pensamiento sistémico</w:t>
      </w:r>
      <w:bookmarkEnd w:id="1333"/>
    </w:p>
    <w:p>
      <w:pPr>
        <w:pStyle w:val="Fuente"/>
      </w:pPr>
      <w:r>
        <w:t xml:space="preserve">Presentación C-6, pág. 16</w:t>
      </w:r>
    </w:p>
    <w:p>
      <w:bookmarkStart w:name="b_punto_c6_p016_01" w:id="1334"/>
      <w:r>
        <w:t xml:space="preserve">Contempla todo y partes junto con sus conexiones y estudia cada escala para comprender la otra.</w:t>
      </w:r>
      <w:bookmarkEnd w:id="1334"/>
    </w:p>
    <w:p>
      <w:bookmarkStart w:name="b_punto_c6_p016_03" w:id="1335"/>
      <w:r>
        <w:t xml:space="preserve">La conciencia de relaciones aumenta capacidad de influir e interactuar con sistemas.</w:t>
      </w:r>
      <w:bookmarkEnd w:id="1335"/>
    </w:p>
    <w:p>
      <w:pPr>
        <w:pStyle w:val="Fuente"/>
      </w:pPr>
      <w:r>
        <w:t xml:space="preserve">Véase </w:t>
      </w:r>
      <w:hyperlink w:history="1" w:anchor="b_1_7">
        <w:r>
          <w:rPr>
            <w:color w:val="156B70"/>
            <w:u w:val="single"/>
          </w:rPr>
          <w:t xml:space="preserve">capítulo 1.7 · Niveles — modelo del iceberg</w:t>
        </w:r>
      </w:hyperlink>
      <w:r>
        <w:t xml:space="preserve">, pág. </w:t>
      </w:r>
      <w:r>
        <w:fldChar w:fldCharType="begin"/>
        <w:instrText xml:space="preserve">PAGEREF b_1_7 \h</w:instrText>
        <w:fldChar w:fldCharType="separate"/>
        <w:t xml:space="preserve">175</w:t>
        <w:fldChar w:fldCharType="end"/>
      </w:r>
      <w:r>
        <w:t xml:space="preserve">.</w:t>
      </w:r>
    </w:p>
    <w:p>
      <w:pPr>
        <w:pStyle w:val="Heading3"/>
      </w:pPr>
      <w:bookmarkStart w:name="b_pagina_2_1_C_6_p17" w:id="1336"/>
      <w:r>
        <w:t xml:space="preserve">C-6 · página 17 · Qué es el pensamiento sistémico</w:t>
      </w:r>
      <w:bookmarkEnd w:id="1336"/>
    </w:p>
    <w:p>
      <w:pPr>
        <w:pStyle w:val="Normal"/>
      </w:pPr>
      <w:r>
        <w:t xml:space="preserve">Percepción de totalidades, integración analítica y sintética y base filosófica holista.</w:t>
      </w:r>
    </w:p>
    <w:p>
      <w:pPr>
        <w:pStyle w:val="Fuente"/>
      </w:pPr>
      <w:r>
        <w:t xml:space="preserve">Proyección o explicación: Clase 7 · 00:10:20 · captura c7-02.</w:t>
      </w:r>
    </w:p>
    <w:p>
      <w:pPr>
        <w:keepNext/>
        <w:spacing w:after="40" w:before="150"/>
        <w:jc w:val="center"/>
      </w:pPr>
      <w:bookmarkStart w:name="b_figura_original_pagina_C_6_17" w:id="1337"/>
      <w:bookmarkEnd w:id="1337"/>
      <w:r>
        <w:drawing>
          <wp:inline distT="0" distB="0" distL="0" distR="0">
            <wp:extent cx="5381625" cy="4162425"/>
            <wp:effectExtent t="0" r="0" b="0" l="0"/>
            <wp:docPr id="35" name="pagina-C-6-17" descr="Presentación C-6, pág. 17" title="Qué es el pensamiento sistémi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21" cstate="none"/>
                    <a:srcRect/>
                    <a:stretch>
                      <a:fillRect/>
                    </a:stretch>
                  </pic:blipFill>
                  <pic:spPr bwMode="auto">
                    <a:xfrm>
                      <a:off x="0" y="0"/>
                      <a:ext cx="5381625" cy="4162425"/>
                    </a:xfrm>
                    <a:prstGeom prst="rect">
                      <a:avLst/>
                    </a:prstGeom>
                  </pic:spPr>
                </pic:pic>
              </a:graphicData>
            </a:graphic>
          </wp:inline>
        </w:drawing>
      </w:r>
    </w:p>
    <w:p>
      <w:pPr>
        <w:pStyle w:val="PieFigura"/>
        <w:keepNext/>
      </w:pPr>
      <w:bookmarkStart w:name="b_fig_2_1_2" w:id="1338"/>
      <w:r>
        <w:t xml:space="preserve">Figura 2.1.</w:t>
      </w:r>
      <w:fldSimple w:instr="SEQ Figura \n \* ARABIC">
        <w:r>
          <w:t xml:space="preserve">2</w:t>
        </w:r>
      </w:fldSimple>
      <w:r>
        <w:t xml:space="preserve"> · Qué es el pensamiento sistémico</w:t>
      </w:r>
      <w:bookmarkEnd w:id="1338"/>
    </w:p>
    <w:p>
      <w:pPr>
        <w:pStyle w:val="Fuente"/>
      </w:pPr>
      <w:r>
        <w:t xml:space="preserve">Presentación C-6, pág. 17</w:t>
      </w:r>
    </w:p>
    <w:p>
      <w:bookmarkStart w:name="b_punto_c6_p017_01" w:id="1339"/>
      <w:r>
        <w:t xml:space="preserve">Se define como percepción del mundo real en términos de totalidades para observar, comprender y actuar.</w:t>
      </w:r>
      <w:bookmarkEnd w:id="1339"/>
    </w:p>
    <w:p>
      <w:bookmarkStart w:name="b_punto_c6_p017_02" w:id="1340"/>
      <w:r>
        <w:t xml:space="preserve">Integra análisis y conclusiones atendiendo elementos, relaciones, estructura y entorno.</w:t>
      </w:r>
      <w:bookmarkEnd w:id="1340"/>
    </w:p>
    <w:p>
      <w:bookmarkStart w:name="b_punto_c6_p017_03" w:id="1341"/>
      <w:r>
        <w:t xml:space="preserve">Su fundamento filosófico se nombra Holismo, del griego holos, entero.</w:t>
      </w:r>
      <w:bookmarkEnd w:id="1341"/>
    </w:p>
    <w:p>
      <w:bookmarkStart w:name="b_punto_c6_p017_04" w:id="1342"/>
      <w:r>
        <w:t xml:space="preserve">La figura suma pensamiento analítico y sintético para dar pensamiento sistémico.</w:t>
      </w:r>
      <w:bookmarkEnd w:id="1342"/>
    </w:p>
    <w:p>
      <w:pPr>
        <w:pStyle w:val="Heading3"/>
      </w:pPr>
      <w:bookmarkStart w:name="b_pagina_2_1_C_6_p27" w:id="1343"/>
      <w:r>
        <w:t xml:space="preserve">C-6 · página 27 · Enfoque sistémico</w:t>
      </w:r>
      <w:bookmarkEnd w:id="1343"/>
    </w:p>
    <w:p>
      <w:pPr>
        <w:pStyle w:val="Normal"/>
      </w:pPr>
      <w:r>
        <w:t xml:space="preserve">Problemas como anomalías de interacción y sistema como apreciación del observador.</w:t>
      </w:r>
    </w:p>
    <w:p>
      <w:pPr>
        <w:pStyle w:val="Fuente"/>
      </w:pPr>
      <w:r>
        <w:t xml:space="preserve">Proyección o explicación: Clase 7 · 01:13:50 · captura c7-14.</w:t>
      </w:r>
    </w:p>
    <w:p>
      <w:pPr>
        <w:keepNext/>
        <w:spacing w:after="40" w:before="150"/>
        <w:jc w:val="center"/>
      </w:pPr>
      <w:bookmarkStart w:name="b_figura_original_pagina_C_6_27" w:id="1344"/>
      <w:bookmarkEnd w:id="1344"/>
      <w:r>
        <w:drawing>
          <wp:inline distT="0" distB="0" distL="0" distR="0">
            <wp:extent cx="5381625" cy="4162425"/>
            <wp:effectExtent t="0" r="0" b="0" l="0"/>
            <wp:docPr id="36" name="pagina-C-6-27" descr="Presentación C-6, pág. 27" title="Enfoque sistémi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22" cstate="none"/>
                    <a:srcRect/>
                    <a:stretch>
                      <a:fillRect/>
                    </a:stretch>
                  </pic:blipFill>
                  <pic:spPr bwMode="auto">
                    <a:xfrm>
                      <a:off x="0" y="0"/>
                      <a:ext cx="5381625" cy="4162425"/>
                    </a:xfrm>
                    <a:prstGeom prst="rect">
                      <a:avLst/>
                    </a:prstGeom>
                  </pic:spPr>
                </pic:pic>
              </a:graphicData>
            </a:graphic>
          </wp:inline>
        </w:drawing>
      </w:r>
    </w:p>
    <w:p>
      <w:pPr>
        <w:pStyle w:val="PieFigura"/>
        <w:keepNext/>
      </w:pPr>
      <w:bookmarkStart w:name="b_fig_2_1_3" w:id="1345"/>
      <w:r>
        <w:t xml:space="preserve">Figura 2.1.</w:t>
      </w:r>
      <w:fldSimple w:instr="SEQ Figura \n \* ARABIC">
        <w:r>
          <w:t xml:space="preserve">3</w:t>
        </w:r>
      </w:fldSimple>
      <w:r>
        <w:t xml:space="preserve"> · Enfoque sistémico</w:t>
      </w:r>
      <w:bookmarkEnd w:id="1345"/>
    </w:p>
    <w:p>
      <w:pPr>
        <w:pStyle w:val="Fuente"/>
      </w:pPr>
      <w:r>
        <w:t xml:space="preserve">Presentación C-6, pág. 27</w:t>
      </w:r>
    </w:p>
    <w:p>
      <w:bookmarkStart w:name="b_punto_c6_p027_01" w:id="1346"/>
      <w:r>
        <w:t xml:space="preserve">Los problemas profesionales se perciben como anomalías del funcionamiento de sistemas, nacidas de interacciones entre elementos.</w:t>
      </w:r>
      <w:bookmarkEnd w:id="1346"/>
    </w:p>
    <w:p>
      <w:bookmarkStart w:name="b_punto_c6_p027_02" w:id="1347"/>
      <w:r>
        <w:t xml:space="preserve">Procedimiento: identificar y definir el problema, formular solución con un marco teórico y resolver pensando en sistemas a lo largo del proceso.</w:t>
      </w:r>
      <w:bookmarkEnd w:id="1347"/>
    </w:p>
    <w:p>
      <w:bookmarkStart w:name="b_punto_c6_p027_03" w:id="1348"/>
      <w:r>
        <w:t xml:space="preserve">Según Herrscher la condición de sistema depende de una apreciación del observador y no es una cualidad intrínseca ya recortada en la cosa.</w:t>
      </w:r>
      <w:bookmarkEnd w:id="1348"/>
    </w:p>
    <w:p>
      <w:pPr>
        <w:pStyle w:val="Fuente"/>
      </w:pPr>
      <w:r>
        <w:t xml:space="preserve">Véase </w:t>
      </w:r>
      <w:hyperlink w:history="1" w:anchor="b_2_3">
        <w:r>
          <w:rPr>
            <w:color w:val="156B70"/>
            <w:u w:val="single"/>
          </w:rPr>
          <w:t xml:space="preserve">capítulo 2.3 · Estructura de los sistemas</w:t>
        </w:r>
      </w:hyperlink>
      <w:r>
        <w:t xml:space="preserve">, pág. </w:t>
      </w:r>
      <w:r>
        <w:fldChar w:fldCharType="begin"/>
        <w:instrText xml:space="preserve">PAGEREF b_2_3 \h</w:instrText>
        <w:fldChar w:fldCharType="separate"/>
        <w:t xml:space="preserve">259</w:t>
        <w:fldChar w:fldCharType="end"/>
      </w:r>
      <w:r>
        <w:t xml:space="preserve">.</w:t>
      </w:r>
    </w:p>
    <w:p>
      <w:pPr>
        <w:pStyle w:val="Heading3"/>
      </w:pPr>
      <w:bookmarkStart w:name="b_pagina_2_1_C_6_p53" w:id="1349"/>
      <w:r>
        <w:t xml:space="preserve">C-6 · página 53 · Pensamiento sistémico versus reduccionista</w:t>
      </w:r>
      <w:bookmarkEnd w:id="1349"/>
    </w:p>
    <w:p>
      <w:pPr>
        <w:pStyle w:val="Normal"/>
      </w:pPr>
      <w:r>
        <w:t xml:space="preserve">Nueve filas comparan alcance, flexibilidad, explicación, relaciones, solución, complejidad, tiempo, análisis y causalidad.</w:t>
      </w:r>
    </w:p>
    <w:p>
      <w:pPr>
        <w:pStyle w:val="Fuente"/>
      </w:pPr>
      <w:r>
        <w:t xml:space="preserve">Proyección o explicación: Clase 8 · 01:06:32 · captura c8-19.</w:t>
      </w:r>
    </w:p>
    <w:p>
      <w:bookmarkStart w:name="b_punto_c6_p053_01" w:id="1350"/>
      <w:r>
        <w:t xml:space="preserve">Reduccionista parcial frente a sistémico total u holístico.</w:t>
      </w:r>
      <w:bookmarkEnd w:id="1350"/>
    </w:p>
    <w:p>
      <w:bookmarkStart w:name="b_punto_c6_p053_02" w:id="1351"/>
      <w:r>
        <w:t xml:space="preserve">Rigidez/parálisis frente a flexibilidad y perspectivas múltiples.</w:t>
      </w:r>
      <w:bookmarkEnd w:id="1351"/>
    </w:p>
    <w:p>
      <w:bookmarkStart w:name="b_punto_c6_p053_03" w:id="1352"/>
      <w:r>
        <w:t xml:space="preserve">Buscar comportamiento en partes frente a reconocerlo en propiedades emergentes.</w:t>
      </w:r>
      <w:bookmarkEnd w:id="1352"/>
    </w:p>
    <w:p>
      <w:bookmarkStart w:name="b_punto_c6_p053_04" w:id="1353"/>
      <w:r>
        <w:t xml:space="preserve">Enfatizar partes individuales frente a relaciones e interrelaciones.</w:t>
      </w:r>
      <w:bookmarkEnd w:id="1353"/>
    </w:p>
    <w:p>
      <w:bookmarkStart w:name="b_punto_c6_p053_05" w:id="1354"/>
      <w:r>
        <w:t xml:space="preserve">Soluciones parciales/temporales frente a integrales/completas.</w:t>
      </w:r>
      <w:bookmarkEnd w:id="1354"/>
    </w:p>
    <w:p>
      <w:bookmarkStart w:name="b_punto_c6_p053_06" w:id="1355"/>
      <w:r>
        <w:t xml:space="preserve">El reduccionismo es simple; el enfoque sistémico es complejo.</w:t>
      </w:r>
      <w:bookmarkEnd w:id="1355"/>
    </w:p>
    <w:p>
      <w:bookmarkStart w:name="b_punto_c6_p053_07" w:id="1356"/>
      <w:r>
        <w:t xml:space="preserve">El reduccionismo es rápido; el enfoque sistémico toma tiempo.</w:t>
      </w:r>
      <w:bookmarkEnd w:id="1356"/>
    </w:p>
    <w:p>
      <w:bookmarkStart w:name="b_punto_c6_p053_08" w:id="1357"/>
      <w:r>
        <w:t xml:space="preserve">El reduccionismo es fácil de entender; el enfoque sistémico exige mayor análisis.</w:t>
      </w:r>
      <w:bookmarkEnd w:id="1357"/>
    </w:p>
    <w:p>
      <w:bookmarkStart w:name="b_punto_c6_p053_09" w:id="1358"/>
      <w:r>
        <w:t xml:space="preserve">Causa-efecto lineal frente a relaciones no lineales y ciclos.</w:t>
      </w:r>
      <w:bookmarkEnd w:id="1358"/>
    </w:p>
    <w:p>
      <w:pPr>
        <w:pStyle w:val="Heading3"/>
      </w:pPr>
      <w:r>
        <w:t xml:space="preserve">Lo que explicó el profesor en clase</w:t>
      </w:r>
    </w:p>
    <w:p>
      <w:pPr>
        <w:pStyle w:val="Heading3"/>
      </w:pPr>
      <w:bookmarkStart w:name="b_clase_2_1_c1_cap_02" w:id="1359"/>
      <w:r>
        <w:t xml:space="preserve">Clase 1 · 00:07:59–00:14:01 · De qué trata la teoría de sistemas</w:t>
      </w:r>
      <w:bookmarkEnd w:id="1359"/>
    </w:p>
    <w:p>
      <w:bookmarkStart w:name="b_punto_c1_cap_02_p01" w:id="1360"/>
      <w:r>
        <w:t xml:space="preserve">La TGS fundamenta el pensamiento sistémico para comprender y abordar realidades complejas.</w:t>
      </w:r>
      <w:bookmarkEnd w:id="1360"/>
    </w:p>
    <w:p>
      <w:pPr>
        <w:pStyle w:val="Fuente"/>
      </w:pPr>
      <w:r>
        <w:t xml:space="preserve">Véase </w:t>
      </w:r>
      <w:hyperlink w:history="1" w:anchor="b_1_4">
        <w:r>
          <w:rPr>
            <w:color w:val="156B70"/>
            <w:u w:val="single"/>
          </w:rPr>
          <w:t xml:space="preserve">capítulo 1.4 · Sistémico vs no sistémico</w:t>
        </w:r>
      </w:hyperlink>
      <w:r>
        <w:t xml:space="preserve">, pág. </w:t>
      </w:r>
      <w:r>
        <w:fldChar w:fldCharType="begin"/>
        <w:instrText xml:space="preserve">PAGEREF b_1_4 \h</w:instrText>
        <w:fldChar w:fldCharType="separate"/>
        <w:t xml:space="preserve">104</w:t>
        <w:fldChar w:fldCharType="end"/>
      </w:r>
      <w:r>
        <w:t xml:space="preserve">.</w:t>
      </w:r>
    </w:p>
    <w:p>
      <w:pPr>
        <w:pStyle w:val="Fuente"/>
      </w:pPr>
      <w:r>
        <w:t xml:space="preserve">Véase </w:t>
      </w:r>
      <w:hyperlink w:history="1" w:anchor="b_1_1">
        <w:r>
          <w:rPr>
            <w:color w:val="156B70"/>
            <w:u w:val="single"/>
          </w:rPr>
          <w:t xml:space="preserve">capítulo 1.1 · Paradigmas y modelos mentales</w:t>
        </w:r>
      </w:hyperlink>
      <w:r>
        <w:t xml:space="preserve">, pág. </w:t>
      </w:r>
      <w:r>
        <w:fldChar w:fldCharType="begin"/>
        <w:instrText xml:space="preserve">PAGEREF b_1_1 \h</w:instrText>
        <w:fldChar w:fldCharType="separate"/>
        <w:t xml:space="preserve">19</w:t>
        <w:fldChar w:fldCharType="end"/>
      </w:r>
      <w:r>
        <w:t xml:space="preserve">.</w:t>
      </w:r>
    </w:p>
    <w:p>
      <w:pPr>
        <w:pStyle w:val="Heading3"/>
      </w:pPr>
      <w:bookmarkStart w:name="b_clase_2_1_c6_cap_01" w:id="1361"/>
      <w:r>
        <w:t xml:space="preserve">Clase 6 · 00:01:45–00:07:10 · Apertura: se cierra la unidad 1 y se abre la unidad 2</w:t>
      </w:r>
      <w:bookmarkEnd w:id="1361"/>
    </w:p>
    <w:p>
      <w:bookmarkStart w:name="b_punto_c6_cap_01_p06" w:id="1362"/>
      <w:r>
        <w:t xml:space="preserve">La transición entre unidades conecta la construcción de modelos mentales con la teoría de sistemas, basada en el concepto general de sistema.</w:t>
      </w:r>
      <w:bookmarkEnd w:id="1362"/>
    </w:p>
    <w:p>
      <w:pPr>
        <w:pStyle w:val="Fuente"/>
      </w:pPr>
      <w:r>
        <w:t xml:space="preserve">Véase </w:t>
      </w:r>
      <w:hyperlink w:history="1" w:anchor="b_1_1">
        <w:r>
          <w:rPr>
            <w:color w:val="156B70"/>
            <w:u w:val="single"/>
          </w:rPr>
          <w:t xml:space="preserve">capítulo 1.1 · Paradigmas y modelos mentales</w:t>
        </w:r>
      </w:hyperlink>
      <w:r>
        <w:t xml:space="preserve">, pág. </w:t>
      </w:r>
      <w:r>
        <w:fldChar w:fldCharType="begin"/>
        <w:instrText xml:space="preserve">PAGEREF b_1_1 \h</w:instrText>
        <w:fldChar w:fldCharType="separate"/>
        <w:t xml:space="preserve">19</w:t>
        <w:fldChar w:fldCharType="end"/>
      </w:r>
      <w:r>
        <w:t xml:space="preserve">.</w:t>
      </w:r>
    </w:p>
    <w:p>
      <w:pPr>
        <w:pStyle w:val="Fuente"/>
      </w:pPr>
      <w:r>
        <w:t xml:space="preserve">Véase </w:t>
      </w:r>
      <w:hyperlink w:history="1" w:anchor="b_1_3">
        <w:r>
          <w:rPr>
            <w:color w:val="156B70"/>
            <w:u w:val="single"/>
          </w:rPr>
          <w:t xml:space="preserve">capítulo 1.3 · El paradigma de sistemas</w:t>
        </w:r>
      </w:hyperlink>
      <w:r>
        <w:t xml:space="preserve">, pág. </w:t>
      </w:r>
      <w:r>
        <w:fldChar w:fldCharType="begin"/>
        <w:instrText xml:space="preserve">PAGEREF b_1_3 \h</w:instrText>
        <w:fldChar w:fldCharType="separate"/>
        <w:t xml:space="preserve">83</w:t>
        <w:fldChar w:fldCharType="end"/>
      </w:r>
      <w:r>
        <w:t xml:space="preserve">.</w:t>
      </w:r>
    </w:p>
    <w:p>
      <w:pPr>
        <w:pStyle w:val="Heading3"/>
      </w:pPr>
      <w:bookmarkStart w:name="b_clase_2_1_c6_cap_11" w:id="1363"/>
      <w:r>
        <w:t xml:space="preserve">Clase 6 · 01:14:25–01:22:09 · El paradigma reduccionista y las propiedades emergentes</w:t>
      </w:r>
      <w:bookmarkEnd w:id="1363"/>
    </w:p>
    <w:p>
      <w:bookmarkStart w:name="b_punto_c6_cap_11_p01" w:id="1364"/>
      <w:r>
        <w:t xml:space="preserve">El enfoque reduccionista divide lo complejo en partes simples y describe el todo a partir de las propiedades de sus componentes.</w:t>
      </w:r>
      <w:bookmarkEnd w:id="1364"/>
    </w:p>
    <w:p>
      <w:bookmarkStart w:name="b_punto_c6_cap_11_p02" w:id="1365"/>
      <w:r>
        <w:t xml:space="preserve">El contraste sistémico pone énfasis en relaciones, interacciones, sentido y objetivo del conjunto, que se pueden perder al fragmentarlo.</w:t>
      </w:r>
      <w:bookmarkEnd w:id="1365"/>
    </w:p>
    <w:p>
      <w:bookmarkStart w:name="b_punto_c6_cap_11_p04" w:id="1366"/>
      <w:r>
        <w:t xml:space="preserve">La simplificación analítica puede ser rápida y fácil de entender, pero proporciona una comprensión parcial si se queda sólo en partes.</w:t>
      </w:r>
      <w:bookmarkEnd w:id="1366"/>
    </w:p>
    <w:p>
      <w:bookmarkStart w:name="b_punto_c6_cap_11_p06" w:id="1367"/>
      <w:r>
        <w:t xml:space="preserve">El pensamiento sistémico no descarta partes; las necesita como extremos de relaciones que explican procesos operativos y evolutivos.</w:t>
      </w:r>
      <w:bookmarkEnd w:id="1367"/>
    </w:p>
    <w:p>
      <w:bookmarkStart w:name="b_punto_c6_cap_11_p07" w:id="1368"/>
      <w:r>
        <w:t xml:space="preserve">El pensamiento complejo puede pertenecer a los paradigmas sistémicos; la comparación con reduccionismo sólo establece una referencia para la jerga y no agota todos los paradigmas.</w:t>
      </w:r>
      <w:bookmarkEnd w:id="1368"/>
    </w:p>
    <w:p>
      <w:pPr>
        <w:pStyle w:val="Fuente"/>
      </w:pPr>
      <w:r>
        <w:t xml:space="preserve">Véase </w:t>
      </w:r>
      <w:hyperlink w:history="1" w:anchor="b_1_3">
        <w:r>
          <w:rPr>
            <w:color w:val="156B70"/>
            <w:u w:val="single"/>
          </w:rPr>
          <w:t xml:space="preserve">capítulo 1.3 · El paradigma de sistemas</w:t>
        </w:r>
      </w:hyperlink>
      <w:r>
        <w:t xml:space="preserve">, pág. </w:t>
      </w:r>
      <w:r>
        <w:fldChar w:fldCharType="begin"/>
        <w:instrText xml:space="preserve">PAGEREF b_1_3 \h</w:instrText>
        <w:fldChar w:fldCharType="separate"/>
        <w:t xml:space="preserve">83</w:t>
        <w:fldChar w:fldCharType="end"/>
      </w:r>
      <w:r>
        <w:t xml:space="preserve">.</w:t>
      </w:r>
    </w:p>
    <w:p>
      <w:pPr>
        <w:pStyle w:val="Fuente"/>
      </w:pPr>
      <w:r>
        <w:t xml:space="preserve">Véase </w:t>
      </w:r>
      <w:hyperlink w:history="1" w:anchor="b_2_5">
        <w:r>
          <w:rPr>
            <w:color w:val="156B70"/>
            <w:u w:val="single"/>
          </w:rPr>
          <w:t xml:space="preserve">capítulo 2.5 · Sinergia y emergencia</w:t>
        </w:r>
      </w:hyperlink>
      <w:r>
        <w:t xml:space="preserve">, pág. </w:t>
      </w:r>
      <w:r>
        <w:fldChar w:fldCharType="begin"/>
        <w:instrText xml:space="preserve">PAGEREF b_2_5 \h</w:instrText>
        <w:fldChar w:fldCharType="separate"/>
        <w:t xml:space="preserve">292</w:t>
        <w:fldChar w:fldCharType="end"/>
      </w:r>
      <w:r>
        <w:t xml:space="preserve">.</w:t>
      </w:r>
    </w:p>
    <w:p>
      <w:pPr>
        <w:pStyle w:val="Heading3"/>
      </w:pPr>
      <w:bookmarkStart w:name="b_clase_2_1_c7_cap_02" w:id="1369"/>
      <w:r>
        <w:t xml:space="preserve">Clase 7 · 00:15:02–00:27:58 · Video proyectado: reduccionismo, síntesis y holismo</w:t>
      </w:r>
      <w:bookmarkEnd w:id="1369"/>
    </w:p>
    <w:p>
      <w:bookmarkStart w:name="b_punto_c7_cap_02_p02" w:id="1370"/>
      <w:r>
        <w:t xml:space="preserve">El primer fragmento del video define paradigma y empieza análisis/reduccionismo; se interrumpe y luego se repite completo.</w:t>
      </w:r>
      <w:bookmarkEnd w:id="1370"/>
    </w:p>
    <w:p>
      <w:bookmarkStart w:name="b_punto_c7_cap_02_p03" w:id="1371"/>
      <w:r>
        <w:t xml:space="preserve">El video define paradigma como visión y supuestos subyacentes a teorías y métodos; contrasta análisis de componentes con síntesis por contexto y relaciones.</w:t>
      </w:r>
      <w:bookmarkEnd w:id="1371"/>
    </w:p>
    <w:p>
      <w:bookmarkStart w:name="b_punto_c7_cap_02_p04" w:id="1372"/>
      <w:r>
        <w:t xml:space="preserve">Procedimiento analítico del video: descomponer el objeto, estudiar propiedades y funcionamiento aislados de las partes y recombinarlas para describir el sistema.</w:t>
      </w:r>
      <w:bookmarkEnd w:id="1372"/>
    </w:p>
    <w:p>
      <w:bookmarkStart w:name="b_punto_c7_cap_02_p05" w:id="1373"/>
      <w:r>
        <w:t xml:space="preserve">Automóvil, ave o empresa sirven para ilustrar el aislamiento de la entidad; el video reconoce éxitos del enfoque en átomos, ADN y organizaciones.</w:t>
      </w:r>
      <w:bookmarkEnd w:id="1373"/>
    </w:p>
    <w:p>
      <w:bookmarkStart w:name="b_punto_c7_cap_02_p06" w:id="1374"/>
      <w:r>
        <w:t xml:space="preserve">El análisis resulta útil con baja interconectividad; con alta interdependencia en ecosistemas, redes informáticas y sistemas sociales, puede ocultar relaciones determinantes.</w:t>
      </w:r>
      <w:bookmarkEnd w:id="1374"/>
    </w:p>
    <w:p>
      <w:bookmarkStart w:name="b_punto_c7_cap_02_p07" w:id="1375"/>
      <w:r>
        <w:t xml:space="preserve">Síntesis combina componentes en una totalidad conectada y explica una entidad por su función y relaciones dentro del todo; el video la llama holística.</w:t>
      </w:r>
      <w:bookmarkEnd w:id="1375"/>
    </w:p>
    <w:p>
      <w:bookmarkStart w:name="b_punto_c7_cap_02_p08" w:id="1376"/>
      <w:r>
        <w:t xml:space="preserve">Procedimiento sintético del video: identificar el sistema contenedor, entender cómo funciona el todo e identificar interconexión, lugar y función de la parte.</w:t>
      </w:r>
      <w:bookmarkEnd w:id="1376"/>
    </w:p>
    <w:p>
      <w:pPr>
        <w:pStyle w:val="Fuente"/>
      </w:pPr>
      <w:r>
        <w:t xml:space="preserve">Véase </w:t>
      </w:r>
      <w:hyperlink w:history="1" w:anchor="b_2_4">
        <w:r>
          <w:rPr>
            <w:color w:val="156B70"/>
            <w:u w:val="single"/>
          </w:rPr>
          <w:t xml:space="preserve">capítulo 2.4 · Sub y suprasistemas</w:t>
        </w:r>
      </w:hyperlink>
      <w:r>
        <w:t xml:space="preserve">, pág. </w:t>
      </w:r>
      <w:r>
        <w:fldChar w:fldCharType="begin"/>
        <w:instrText xml:space="preserve">PAGEREF b_2_4 \h</w:instrText>
        <w:fldChar w:fldCharType="separate"/>
        <w:t xml:space="preserve">277</w:t>
        <w:fldChar w:fldCharType="end"/>
      </w:r>
      <w:r>
        <w:t xml:space="preserve">.</w:t>
      </w:r>
    </w:p>
    <w:p>
      <w:pPr>
        <w:pStyle w:val="Heading3"/>
      </w:pPr>
      <w:bookmarkStart w:name="b_clase_2_1_c7_cap_03" w:id="1377"/>
      <w:r>
        <w:t xml:space="preserve">Clase 7 · 00:28:01–00:29:35 · Comentario posterior: empezar por el contexto del todo</w:t>
      </w:r>
      <w:bookmarkEnd w:id="1377"/>
    </w:p>
    <w:p>
      <w:bookmarkStart w:name="b_punto_c7_cap_03_p01" w:id="1378"/>
      <w:r>
        <w:t xml:space="preserve">El profesor retoma el video: el pensamiento sistémico parte del contexto del todo para comprender una realidad parcial con una visión más amplia.</w:t>
      </w:r>
      <w:bookmarkEnd w:id="1378"/>
    </w:p>
    <w:p>
      <w:bookmarkStart w:name="b_punto_c7_cap_03_p02" w:id="1379"/>
      <w:r>
        <w:t xml:space="preserve">La perspectiva holística permite identificar aportes del nivel analítico a la totalidad y relaciones que la pieza aislada no deja apreciar.</w:t>
      </w:r>
      <w:bookmarkEnd w:id="1379"/>
    </w:p>
    <w:p>
      <w:pPr>
        <w:pStyle w:val="Heading3"/>
      </w:pPr>
      <w:bookmarkStart w:name="b_clase_2_1_c8_cap_03" w:id="1380"/>
      <w:r>
        <w:t xml:space="preserve">Clase 8 · 00:14:39–00:25:08 · Cambiar de perspectiva enriquece el sistema</w:t>
      </w:r>
      <w:bookmarkEnd w:id="1380"/>
    </w:p>
    <w:p>
      <w:bookmarkStart w:name="b_punto_c8_cap_03_p01" w:id="1381"/>
      <w:r>
        <w:t xml:space="preserve">La TGS ofrece conceptos y estructura genérica como filtro para reconocer características de una realidad concreta.</w:t>
      </w:r>
      <w:bookmarkEnd w:id="1381"/>
    </w:p>
    <w:p>
      <w:pPr>
        <w:pStyle w:val="Fuente"/>
      </w:pPr>
      <w:r>
        <w:t xml:space="preserve">Véase </w:t>
      </w:r>
      <w:hyperlink w:history="1" w:anchor="b_2_3">
        <w:r>
          <w:rPr>
            <w:color w:val="156B70"/>
            <w:u w:val="single"/>
          </w:rPr>
          <w:t xml:space="preserve">capítulo 2.3 · Estructura de los sistemas</w:t>
        </w:r>
      </w:hyperlink>
      <w:r>
        <w:t xml:space="preserve">, pág. </w:t>
      </w:r>
      <w:r>
        <w:fldChar w:fldCharType="begin"/>
        <w:instrText xml:space="preserve">PAGEREF b_2_3 \h</w:instrText>
        <w:fldChar w:fldCharType="separate"/>
        <w:t xml:space="preserve">259</w:t>
        <w:fldChar w:fldCharType="end"/>
      </w:r>
      <w:r>
        <w:t xml:space="preserve">.</w:t>
      </w:r>
    </w:p>
    <w:p>
      <w:pPr>
        <w:pStyle w:val="Fuente"/>
      </w:pPr>
      <w:r>
        <w:t xml:space="preserve">Véase </w:t>
      </w:r>
      <w:hyperlink w:history="1" w:anchor="b_1_5">
        <w:r>
          <w:rPr>
            <w:color w:val="156B70"/>
            <w:u w:val="single"/>
          </w:rPr>
          <w:t xml:space="preserve">capítulo 1.5 · Perspectivas</w:t>
        </w:r>
      </w:hyperlink>
      <w:r>
        <w:t xml:space="preserve">, pág. </w:t>
      </w:r>
      <w:r>
        <w:fldChar w:fldCharType="begin"/>
        <w:instrText xml:space="preserve">PAGEREF b_1_5 \h</w:instrText>
        <w:fldChar w:fldCharType="separate"/>
        <w:t xml:space="preserve">125</w:t>
        <w:fldChar w:fldCharType="end"/>
      </w:r>
      <w:r>
        <w:t xml:space="preserve">.</w:t>
      </w:r>
    </w:p>
    <w:p>
      <w:pPr>
        <w:pStyle w:val="Heading3"/>
      </w:pPr>
      <w:bookmarkStart w:name="b_clase_2_1_c8_cap_04" w:id="1382"/>
      <w:r>
        <w:t xml:space="preserve">Clase 8 · 00:25:08–00:50:45 · Del conglomerado a la mariposa: sinergia y emergencia</w:t>
      </w:r>
      <w:bookmarkEnd w:id="1382"/>
    </w:p>
    <w:p>
      <w:bookmarkStart w:name="b_punto_c8_cap_04_p01" w:id="1383"/>
      <w:r>
        <w:t xml:space="preserve">Ante el mosaico desordenado, la mente construye una hipótesis de mariposa con modelos previos; sospechar esa figura no equivale todavía a reconocer una totalidad coherente.</w:t>
      </w:r>
      <w:bookmarkEnd w:id="1383"/>
    </w:p>
    <w:p>
      <w:bookmarkStart w:name="b_punto_c8_cap_04_p02" w:id="1384"/>
      <w:r>
        <w:t xml:space="preserve">Partes dispersas o mal conectadas forman un conglomerado; reunir piezas no garantiza estructura con sentido ni dinámica conjunta.</w:t>
      </w:r>
      <w:bookmarkEnd w:id="1384"/>
    </w:p>
    <w:p>
      <w:bookmarkStart w:name="b_punto_c8_cap_04_p09" w:id="1385"/>
      <w:r>
        <w:t xml:space="preserve">Al organizar el mosaico aparecen mariposa y flor: la propiedad se reconoce en los fragmentos relacionados, no en un cuadro aislado.</w:t>
      </w:r>
      <w:bookmarkEnd w:id="1385"/>
    </w:p>
    <w:p>
      <w:bookmarkStart w:name="b_punto_c8_cap_04_p13" w:id="1386"/>
      <w:r>
        <w:t xml:space="preserve">La síntesis recupera relaciones y totalidad; quitar o mover piezas sin preservar su función puede distorsionar la figura o devolverla a conglomerado.</w:t>
      </w:r>
      <w:bookmarkEnd w:id="1386"/>
    </w:p>
    <w:p>
      <w:pPr>
        <w:pStyle w:val="Fuente"/>
      </w:pPr>
      <w:r>
        <w:t xml:space="preserve">Véase </w:t>
      </w:r>
      <w:hyperlink w:history="1" w:anchor="b_senales_examen">
        <w:r>
          <w:rPr>
            <w:color w:val="156B70"/>
            <w:u w:val="single"/>
          </w:rPr>
          <w:t xml:space="preserve">1 indicación(es) de examen de este tramo, en el apéndice cronológico</w:t>
        </w:r>
      </w:hyperlink>
      <w:r>
        <w:t xml:space="preserve">, pág. </w:t>
      </w:r>
      <w:r>
        <w:fldChar w:fldCharType="begin"/>
        <w:instrText xml:space="preserve">PAGEREF b_senales_examen \h</w:instrText>
        <w:fldChar w:fldCharType="separate"/>
        <w:t xml:space="preserve">1663</w:t>
        <w:fldChar w:fldCharType="end"/>
      </w:r>
      <w:r>
        <w:t xml:space="preserve">.</w:t>
      </w:r>
    </w:p>
    <w:p>
      <w:pPr>
        <w:pStyle w:val="Fuente"/>
      </w:pPr>
      <w:r>
        <w:t xml:space="preserve">Véase </w:t>
      </w:r>
      <w:hyperlink w:history="1" w:anchor="b_2_5">
        <w:r>
          <w:rPr>
            <w:color w:val="156B70"/>
            <w:u w:val="single"/>
          </w:rPr>
          <w:t xml:space="preserve">capítulo 2.5 · Sinergia y emergencia</w:t>
        </w:r>
      </w:hyperlink>
      <w:r>
        <w:t xml:space="preserve">, pág. </w:t>
      </w:r>
      <w:r>
        <w:fldChar w:fldCharType="begin"/>
        <w:instrText xml:space="preserve">PAGEREF b_2_5 \h</w:instrText>
        <w:fldChar w:fldCharType="separate"/>
        <w:t xml:space="preserve">292</w:t>
        <w:fldChar w:fldCharType="end"/>
      </w:r>
      <w:r>
        <w:t xml:space="preserve">.</w:t>
      </w:r>
    </w:p>
    <w:p>
      <w:pPr>
        <w:pStyle w:val="Fuente"/>
      </w:pPr>
      <w:r>
        <w:t xml:space="preserve">Véase </w:t>
      </w:r>
      <w:hyperlink w:history="1" w:anchor="b_2_3">
        <w:r>
          <w:rPr>
            <w:color w:val="156B70"/>
            <w:u w:val="single"/>
          </w:rPr>
          <w:t xml:space="preserve">capítulo 2.3 · Estructura de los sistemas</w:t>
        </w:r>
      </w:hyperlink>
      <w:r>
        <w:t xml:space="preserve">, pág. </w:t>
      </w:r>
      <w:r>
        <w:fldChar w:fldCharType="begin"/>
        <w:instrText xml:space="preserve">PAGEREF b_2_3 \h</w:instrText>
        <w:fldChar w:fldCharType="separate"/>
        <w:t xml:space="preserve">259</w:t>
        <w:fldChar w:fldCharType="end"/>
      </w:r>
      <w:r>
        <w:t xml:space="preserve">.</w:t>
      </w:r>
    </w:p>
    <w:p>
      <w:pPr>
        <w:pStyle w:val="Heading3"/>
      </w:pPr>
      <w:bookmarkStart w:name="b_clase_2_1_c8_cap_05" w:id="1387"/>
      <w:r>
        <w:t xml:space="preserve">Clase 8 · 00:50:47–00:56:33 · Relaciones, síntesis y contexto real</w:t>
      </w:r>
      <w:bookmarkEnd w:id="1387"/>
    </w:p>
    <w:p>
      <w:bookmarkStart w:name="b_punto_c8_cap_05_p01" w:id="1388"/>
      <w:r>
        <w:t xml:space="preserve">Las relaciones determinan comportamiento y jerarquías; el análisis de partes se complementa con síntesis para comprender sinergia y propiedades globales.</w:t>
      </w:r>
      <w:bookmarkEnd w:id="1388"/>
    </w:p>
    <w:p>
      <w:bookmarkStart w:name="b_punto_c8_cap_05_p03" w:id="1389"/>
      <w:r>
        <w:t xml:space="preserve">Aislar en laboratorio cambia entradas, salidas y vínculos; el comportamiento observado puede diferir del que aparece en el contexto real.</w:t>
      </w:r>
      <w:bookmarkEnd w:id="1389"/>
    </w:p>
    <w:p>
      <w:bookmarkStart w:name="b_punto_c8_cap_05_p05" w:id="1390"/>
      <w:r>
        <w:t xml:space="preserve">Comprender en contexto exige describir también el medio como sistemas; la TGS y DSRP orientan esa ampliación del modelo.</w:t>
      </w:r>
      <w:bookmarkEnd w:id="1390"/>
    </w:p>
    <w:p>
      <w:pPr>
        <w:pStyle w:val="Fuente"/>
      </w:pPr>
      <w:r>
        <w:t xml:space="preserve">Véase </w:t>
      </w:r>
      <w:hyperlink w:history="1" w:anchor="b_2_6">
        <w:r>
          <w:rPr>
            <w:color w:val="156B70"/>
            <w:u w:val="single"/>
          </w:rPr>
          <w:t xml:space="preserve">capítulo 2.6 · Complejidad sistémica</w:t>
        </w:r>
      </w:hyperlink>
      <w:r>
        <w:t xml:space="preserve">, pág. </w:t>
      </w:r>
      <w:r>
        <w:fldChar w:fldCharType="begin"/>
        <w:instrText xml:space="preserve">PAGEREF b_2_6 \h</w:instrText>
        <w:fldChar w:fldCharType="separate"/>
        <w:t xml:space="preserve">308</w:t>
        <w:fldChar w:fldCharType="end"/>
      </w:r>
      <w:r>
        <w:t xml:space="preserve">.</w:t>
      </w:r>
    </w:p>
    <w:p>
      <w:pPr>
        <w:pStyle w:val="Fuente"/>
      </w:pPr>
      <w:r>
        <w:t xml:space="preserve">Véase </w:t>
      </w:r>
      <w:hyperlink w:history="1" w:anchor="b_2_3">
        <w:r>
          <w:rPr>
            <w:color w:val="156B70"/>
            <w:u w:val="single"/>
          </w:rPr>
          <w:t xml:space="preserve">capítulo 2.3 · Estructura de los sistemas</w:t>
        </w:r>
      </w:hyperlink>
      <w:r>
        <w:t xml:space="preserve">, pág. </w:t>
      </w:r>
      <w:r>
        <w:fldChar w:fldCharType="begin"/>
        <w:instrText xml:space="preserve">PAGEREF b_2_3 \h</w:instrText>
        <w:fldChar w:fldCharType="separate"/>
        <w:t xml:space="preserve">259</w:t>
        <w:fldChar w:fldCharType="end"/>
      </w:r>
      <w:r>
        <w:t xml:space="preserve">.</w:t>
      </w:r>
    </w:p>
    <w:p>
      <w:pPr>
        <w:pStyle w:val="Heading3"/>
      </w:pPr>
      <w:bookmarkStart w:name="b_clase_2_1_c9_cap_05" w:id="1391"/>
      <w:r>
        <w:t xml:space="preserve">Clase 9 · 00:31:09–00:36:34 · Mapa integral de conceptos y transdisciplinariedad</w:t>
      </w:r>
      <w:bookmarkEnd w:id="1391"/>
    </w:p>
    <w:p>
      <w:bookmarkStart w:name="b_punto_c9_cap_05_p04" w:id="1392"/>
      <w:r>
        <w:t xml:space="preserve">Los conceptos generales se llevan al pensamiento concreto para describir sistemas de cualquier categoría; el filtro es toda la teoría, no sólo el vocablo sistema.</w:t>
      </w:r>
      <w:bookmarkEnd w:id="1392"/>
    </w:p>
    <w:p>
      <w:pPr>
        <w:pStyle w:val="Fuente"/>
      </w:pPr>
      <w:r>
        <w:t xml:space="preserve">Véase </w:t>
      </w:r>
      <w:hyperlink w:history="1" w:anchor="b_1_3">
        <w:r>
          <w:rPr>
            <w:color w:val="156B70"/>
            <w:u w:val="single"/>
          </w:rPr>
          <w:t xml:space="preserve">capítulo 1.3 · El paradigma de sistemas</w:t>
        </w:r>
      </w:hyperlink>
      <w:r>
        <w:t xml:space="preserve">, pág. </w:t>
      </w:r>
      <w:r>
        <w:fldChar w:fldCharType="begin"/>
        <w:instrText xml:space="preserve">PAGEREF b_1_3 \h</w:instrText>
        <w:fldChar w:fldCharType="separate"/>
        <w:t xml:space="preserve">83</w:t>
        <w:fldChar w:fldCharType="end"/>
      </w:r>
      <w:r>
        <w:t xml:space="preserve">.</w:t>
      </w:r>
    </w:p>
    <w:p>
      <w:pPr>
        <w:pStyle w:val="Heading3"/>
      </w:pPr>
      <w:bookmarkStart w:name="b_clase_2_1_c9_cap_09" w:id="1393"/>
      <w:r>
        <w:t xml:space="preserve">Clase 9 · 00:59:30–01:10:00 · Sistemas abiertos y cerrados, equifinalidad y la tarea de multifinalidad</w:t>
      </w:r>
      <w:bookmarkEnd w:id="1393"/>
    </w:p>
    <w:p>
      <w:bookmarkStart w:name="b_punto_c9_cap_09_p01" w:id="1394"/>
      <w:r>
        <w:t xml:space="preserve">Modelar construye una teoría de conceptos, relaciones, sistemas y perspectivas; la TGS aporta el marco general aplicable a casos concretos.</w:t>
      </w:r>
      <w:bookmarkEnd w:id="1394"/>
    </w:p>
    <w:p>
      <w:pPr>
        <w:pStyle w:val="Fuente"/>
      </w:pPr>
      <w:r>
        <w:t xml:space="preserve">Véase </w:t>
      </w:r>
      <w:hyperlink w:history="1" w:anchor="b_1_3">
        <w:r>
          <w:rPr>
            <w:color w:val="156B70"/>
            <w:u w:val="single"/>
          </w:rPr>
          <w:t xml:space="preserve">capítulo 1.3 · El paradigma de sistemas</w:t>
        </w:r>
      </w:hyperlink>
      <w:r>
        <w:t xml:space="preserve">, pág. </w:t>
      </w:r>
      <w:r>
        <w:fldChar w:fldCharType="begin"/>
        <w:instrText xml:space="preserve">PAGEREF b_1_3 \h</w:instrText>
        <w:fldChar w:fldCharType="separate"/>
        <w:t xml:space="preserve">83</w:t>
        <w:fldChar w:fldCharType="end"/>
      </w:r>
      <w:r>
        <w:t xml:space="preserve">.</w:t>
      </w:r>
    </w:p>
    <w:p>
      <w:pPr>
        <w:pStyle w:val="Fuente"/>
      </w:pPr>
      <w:r>
        <w:t xml:space="preserve">Véase </w:t>
      </w:r>
      <w:hyperlink w:history="1" w:anchor="b_2_8">
        <w:r>
          <w:rPr>
            <w:color w:val="156B70"/>
            <w:u w:val="single"/>
          </w:rPr>
          <w:t xml:space="preserve">capítulo 2.8 · Otros conceptos de la TGS</w:t>
        </w:r>
      </w:hyperlink>
      <w:r>
        <w:t xml:space="preserve">, pág. </w:t>
      </w:r>
      <w:r>
        <w:fldChar w:fldCharType="begin"/>
        <w:instrText xml:space="preserve">PAGEREF b_2_8 \h</w:instrText>
        <w:fldChar w:fldCharType="separate"/>
        <w:t xml:space="preserve">345</w:t>
        <w:fldChar w:fldCharType="end"/>
      </w:r>
      <w:r>
        <w:t xml:space="preserve">.</w:t>
      </w:r>
    </w:p>
    <w:p>
      <w:pPr>
        <w:pStyle w:val="Heading3"/>
      </w:pPr>
      <w:bookmarkStart w:name="b_cita_clase_1_forma_de_pensar__ca8a5c45" w:id="1395"/>
      <w:r>
        <w:t xml:space="preserve">Palabras del profesor</w:t>
      </w:r>
      <w:bookmarkEnd w:id="1395"/>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El profesor lo dijo así</w:t>
            </w:r>
          </w:p>
          <w:p>
            <w:pPr>
              <w:pStyle w:val="Recuadro"/>
            </w:pPr>
            <w:r>
              <w:t xml:space="preserve">«El pensamiento sistémico es una forma de pensar que actualmente podríamos decir que es la más recomendada para todo científico y profesional, dada la naturaleza compleja que se nos presenta en los diferentes sistemas con los cuales interactuamos»</w:t>
            </w:r>
          </w:p>
          <w:p>
            <w:pPr>
              <w:pStyle w:val="Recuadro"/>
            </w:pPr>
            <w:r>
              <w:t xml:space="preserve">Clase 1 · 00:08:22–00:08:48</w:t>
            </w:r>
          </w:p>
        </w:tc>
      </w:tr>
    </w:tbl>
    <w:p>
      <w:pPr>
        <w:pStyle w:val="Heading3"/>
      </w:pPr>
      <w:bookmarkStart w:name="b_cita_clase_5_analisis_descomp_34c9ef35" w:id="1396"/>
      <w:r>
        <w:t xml:space="preserve">Palabras del profesor</w:t>
      </w:r>
      <w:bookmarkEnd w:id="1396"/>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El profesor lo dijo así</w:t>
            </w:r>
          </w:p>
          <w:p>
            <w:pPr>
              <w:pStyle w:val="Recuadro"/>
            </w:pPr>
            <w:r>
              <w:t xml:space="preserve">«Cuando solo vemos una parte del sistema estamos haciendo ese proceso de análisis que se conoce como pensamiento analítico: descomponer en partes más simples la realidad compleja; nos ayuda a acercarnos a la información, pero no es suficiente.»</w:t>
            </w:r>
          </w:p>
          <w:p>
            <w:pPr>
              <w:pStyle w:val="Recuadro"/>
            </w:pPr>
            <w:r>
              <w:t xml:space="preserve">Clase 5 · 00:46:54–00:47:34</w:t>
            </w:r>
          </w:p>
        </w:tc>
      </w:tr>
    </w:tbl>
    <w:p>
      <w:pPr>
        <w:pStyle w:val="Heading3"/>
      </w:pPr>
      <w:bookmarkStart w:name="b_cita_clase_6_dividir_el_objet_b3581d85" w:id="1397"/>
      <w:r>
        <w:t xml:space="preserve">Palabras del profesor</w:t>
      </w:r>
      <w:bookmarkEnd w:id="1397"/>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El profesor lo dijo así</w:t>
            </w:r>
          </w:p>
          <w:p>
            <w:pPr>
              <w:pStyle w:val="Recuadro"/>
            </w:pPr>
            <w:r>
              <w:t xml:space="preserve">«Ese principio de descomposición o de análisis, que es el ejercicio del pensamiento analítico: dividir el objeto bajo estudio en sus componentes más simples y observar el comportamiento de estas partes para inferir el comportamiento de ese objeto completo»</w:t>
            </w:r>
          </w:p>
          <w:p>
            <w:pPr>
              <w:pStyle w:val="Recuadro"/>
            </w:pPr>
            <w:r>
              <w:t xml:space="preserve">Clase 6 · 01:15:16–01:15:42</w:t>
            </w:r>
          </w:p>
        </w:tc>
      </w:tr>
    </w:tbl>
    <w:p>
      <w:pPr>
        <w:pStyle w:val="Heading3"/>
      </w:pPr>
      <w:bookmarkStart w:name="b_cita_clase_6_el_reduccionismo_b293d9c3" w:id="1398"/>
      <w:r>
        <w:t xml:space="preserve">Palabras del profesor</w:t>
      </w:r>
      <w:bookmarkEnd w:id="1398"/>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El profesor lo dijo así</w:t>
            </w:r>
          </w:p>
          <w:p>
            <w:pPr>
              <w:pStyle w:val="Recuadro"/>
            </w:pPr>
            <w:r>
              <w:t xml:space="preserve">«El pensamiento sistémico nos deja evidencia de que el pensamiento reduccionista pierde de vista las propiedades emergentes: los comportamientos que no nacen específicamente solo de una parte, sino que nacen de las interacciones de las partes y generan algo diferente.»</w:t>
            </w:r>
          </w:p>
          <w:p>
            <w:pPr>
              <w:pStyle w:val="Recuadro"/>
            </w:pPr>
            <w:r>
              <w:t xml:space="preserve">Clase 6 · 01:19:18–01:19:41</w:t>
            </w:r>
          </w:p>
        </w:tc>
      </w:tr>
    </w:tbl>
    <w:p>
      <w:pPr>
        <w:pStyle w:val="Heading3"/>
      </w:pPr>
      <w:bookmarkStart w:name="b_cita_clase_6_enfasis_en_las_relaciones" w:id="1399"/>
      <w:r>
        <w:t xml:space="preserve">Palabras del profesor</w:t>
      </w:r>
      <w:bookmarkEnd w:id="1399"/>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El profesor lo dijo así</w:t>
            </w:r>
          </w:p>
          <w:p>
            <w:pPr>
              <w:pStyle w:val="Recuadro"/>
            </w:pPr>
            <w:r>
              <w:t xml:space="preserve">«Aunque el pensamiento sistémico no descarta las partes porque son elemento fundamental de las relaciones, porque son las que están en los extremos de las relaciones, pone su énfasis en las relaciones sobre las interacciones»</w:t>
            </w:r>
          </w:p>
          <w:p>
            <w:pPr>
              <w:pStyle w:val="Recuadro"/>
            </w:pPr>
            <w:r>
              <w:t xml:space="preserve">Clase 6 · 01:19:51–01:20:11</w:t>
            </w:r>
          </w:p>
        </w:tc>
      </w:tr>
    </w:tbl>
    <w:p>
      <w:pPr>
        <w:pStyle w:val="Heading3"/>
      </w:pPr>
      <w:bookmarkStart w:name="b_cita_clase_7_analisis_y_sinte_040c1f3b" w:id="1400"/>
      <w:r>
        <w:t xml:space="preserve">Palabras del profesor</w:t>
      </w:r>
      <w:bookmarkEnd w:id="1400"/>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El profesor lo dijo así</w:t>
            </w:r>
          </w:p>
          <w:p>
            <w:pPr>
              <w:pStyle w:val="Recuadro"/>
            </w:pPr>
            <w:r>
              <w:t xml:space="preserve">«Podríamos combinar el pensamiento analítico y el pensamiento de síntesis o sintético, porque ambos son la herramienta para generar el pensamiento sistémico, aunque naturalmente el énfasis está en la síntesis, parte de integración de lo que podamos identificar como elementos, componentes que estructuran el sistema.»</w:t>
            </w:r>
          </w:p>
          <w:p>
            <w:pPr>
              <w:pStyle w:val="Recuadro"/>
            </w:pPr>
            <w:r>
              <w:t xml:space="preserve">Clase 7 · 00:10:20–00:10:57</w:t>
            </w:r>
          </w:p>
        </w:tc>
      </w:tr>
    </w:tbl>
    <w:p>
      <w:pPr>
        <w:pStyle w:val="Heading3"/>
      </w:pPr>
      <w:bookmarkStart w:name="b_cita_clase_7_pensamiento_sist_d5d10866" w:id="1401"/>
      <w:r>
        <w:t xml:space="preserve">Palabras del profesor</w:t>
      </w:r>
      <w:bookmarkEnd w:id="1401"/>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El profesor lo dijo así</w:t>
            </w:r>
          </w:p>
          <w:p>
            <w:pPr>
              <w:pStyle w:val="Recuadro"/>
            </w:pPr>
            <w:r>
              <w:t xml:space="preserve">«El pensamiento sistémico es pensar estas cuatro reglas de pensamiento. Lo que genera el enfoque sistémico o la perspectiva sistémica es la perspectiva que viene como resultado del modelo mental sistémico que estoy usando: son como dos caras de lo mismo; un modelo mental genera una perspectiva.»</w:t>
            </w:r>
          </w:p>
          <w:p>
            <w:pPr>
              <w:pStyle w:val="Recuadro"/>
            </w:pPr>
            <w:r>
              <w:t xml:space="preserve">Clase 7 · 01:10:24–01:11:57</w:t>
            </w:r>
          </w:p>
        </w:tc>
      </w:tr>
    </w:tbl>
    <w:p>
      <w:pPr>
        <w:pStyle w:val="Heading3"/>
      </w:pPr>
      <w:bookmarkStart w:name="b_cita_clase_8_el_analitico_des_7c7a8621" w:id="1402"/>
      <w:r>
        <w:t xml:space="preserve">Palabras del profesor</w:t>
      </w:r>
      <w:bookmarkEnd w:id="1402"/>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El profesor lo dijo así</w:t>
            </w:r>
          </w:p>
          <w:p>
            <w:pPr>
              <w:pStyle w:val="Recuadro"/>
            </w:pPr>
            <w:r>
              <w:t xml:space="preserve">«Es un problema del pensamiento analítico que, al descomponer la complejidad en pequeñas partes más fácilmente entendibles, omite y descarta las relaciones que existen entre esas partes.»</w:t>
            </w:r>
          </w:p>
          <w:p>
            <w:pPr>
              <w:pStyle w:val="Recuadro"/>
            </w:pPr>
            <w:r>
              <w:t xml:space="preserve">Clase 8 · 00:44:31–00:44:51</w:t>
            </w:r>
          </w:p>
        </w:tc>
      </w:tr>
    </w:tbl>
    <w:p>
      <w:pPr>
        <w:pStyle w:val="Heading3"/>
      </w:pPr>
      <w:r>
        <w:t xml:space="preserve">Errores frecuentes y trampa de examen</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9C620A" w:sz="20"/>
              <w:bottom w:val="nil"/>
              <w:right w:val="nil"/>
            </w:tcBorders>
            <w:shd w:fill="FBF3DF" w:val="clear"/>
            <w:tcMar>
              <w:top w:type="dxa" w:w="130"/>
              <w:left w:type="dxa" w:w="180"/>
              <w:bottom w:type="dxa" w:w="130"/>
              <w:right w:type="dxa" w:w="180"/>
            </w:tcMar>
          </w:tcPr>
          <w:p>
            <w:pPr>
              <w:pStyle w:val="RecuadroTitulo"/>
            </w:pPr>
            <w:r>
              <w:rPr>
                <w:b/>
                <w:bCs/>
                <w:color w:val="9C620A"/>
              </w:rPr>
              <w:t xml:space="preserve">Error → corrección</w:t>
            </w:r>
          </w:p>
          <w:p>
            <w:pPr>
              <w:pStyle w:val="Recuadro"/>
            </w:pPr>
            <w:r>
              <w:rPr>
                <w:b/>
                <w:bCs/>
              </w:rPr>
              <w:t xml:space="preserve">Error:</w:t>
            </w:r>
            <w:r>
              <w:t xml:space="preserve"> Creer que el pensamiento sistémico descarta el análisis o las partes.</w:t>
            </w:r>
          </w:p>
          <w:p>
            <w:pPr>
              <w:pStyle w:val="Recuadro"/>
            </w:pPr>
            <w:r>
              <w:rPr>
                <w:b/>
                <w:bCs/>
              </w:rPr>
              <w:t xml:space="preserve">Corrección:</w:t>
            </w:r>
            <w:r>
              <w:t xml:space="preserve"> Ambos son su herramienta: las partes, extremos de las relaciones, no se descartan; el énfasis va en las relaciones.</w:t>
            </w:r>
          </w:p>
          <w:p>
            <w:pPr>
              <w:pStyle w:val="Recuadro"/>
            </w:pPr>
            <w:r>
              <w:t xml:space="preserve">Clase 7 · 00:10:10–00:11:02 · Clase 6 · 01:19:51–01:20:32</w:t>
            </w:r>
          </w:p>
        </w:tc>
      </w:tr>
    </w:tbl>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9C620A" w:sz="20"/>
              <w:bottom w:val="nil"/>
              <w:right w:val="nil"/>
            </w:tcBorders>
            <w:shd w:fill="FBF3DF" w:val="clear"/>
            <w:tcMar>
              <w:top w:type="dxa" w:w="130"/>
              <w:left w:type="dxa" w:w="180"/>
              <w:bottom w:type="dxa" w:w="130"/>
              <w:right w:type="dxa" w:w="180"/>
            </w:tcMar>
          </w:tcPr>
          <w:p>
            <w:pPr>
              <w:pStyle w:val="RecuadroTitulo"/>
            </w:pPr>
            <w:r>
              <w:rPr>
                <w:b/>
                <w:bCs/>
                <w:color w:val="9C620A"/>
              </w:rPr>
              <w:t xml:space="preserve">Error → corrección</w:t>
            </w:r>
          </w:p>
          <w:p>
            <w:pPr>
              <w:pStyle w:val="Recuadro"/>
            </w:pPr>
            <w:r>
              <w:rPr>
                <w:b/>
                <w:bCs/>
              </w:rPr>
              <w:t xml:space="preserve">Error:</w:t>
            </w:r>
            <w:r>
              <w:t xml:space="preserve"> Profundizar en un subsistema (el árbol) perdiendo la visión integral del bosque.</w:t>
            </w:r>
          </w:p>
          <w:p>
            <w:pPr>
              <w:pStyle w:val="Recuadro"/>
            </w:pPr>
            <w:r>
              <w:rPr>
                <w:b/>
                <w:bCs/>
              </w:rPr>
              <w:t xml:space="preserve">Corrección:</w:t>
            </w:r>
            <w:r>
              <w:t xml:space="preserve"> Es la discordancia de Cabrera: la parte se analiza sin perder esa visión; el sistema completo es la perspectiva sistémica.</w:t>
            </w:r>
          </w:p>
          <w:p>
            <w:pPr>
              <w:pStyle w:val="Recuadro"/>
            </w:pPr>
            <w:r>
              <w:t xml:space="preserve">Clase 5 · 00:47:25–00:48:18 · Clase 5 · 00:49:29–00:50:34</w:t>
            </w:r>
          </w:p>
        </w:tc>
      </w:tr>
    </w:tbl>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9C620A" w:sz="20"/>
              <w:bottom w:val="nil"/>
              <w:right w:val="nil"/>
            </w:tcBorders>
            <w:shd w:fill="FBF3DF" w:val="clear"/>
            <w:tcMar>
              <w:top w:type="dxa" w:w="130"/>
              <w:left w:type="dxa" w:w="180"/>
              <w:bottom w:type="dxa" w:w="130"/>
              <w:right w:type="dxa" w:w="180"/>
            </w:tcMar>
          </w:tcPr>
          <w:p>
            <w:pPr>
              <w:pStyle w:val="RecuadroTitulo"/>
            </w:pPr>
            <w:r>
              <w:rPr>
                <w:b/>
                <w:bCs/>
                <w:color w:val="9C620A"/>
              </w:rPr>
              <w:t xml:space="preserve">Error → corrección</w:t>
            </w:r>
          </w:p>
          <w:p>
            <w:pPr>
              <w:pStyle w:val="Recuadro"/>
            </w:pPr>
            <w:r>
              <w:rPr>
                <w:b/>
                <w:bCs/>
              </w:rPr>
              <w:t xml:space="preserve">Error:</w:t>
            </w:r>
            <w:r>
              <w:t xml:space="preserve"> Pretender ver el 100 % de la realidad en cualquier problema.</w:t>
            </w:r>
          </w:p>
          <w:p>
            <w:pPr>
              <w:pStyle w:val="Recuadro"/>
            </w:pPr>
            <w:r>
              <w:rPr>
                <w:b/>
                <w:bCs/>
              </w:rPr>
              <w:t xml:space="preserve">Corrección:</w:t>
            </w:r>
            <w:r>
              <w:t xml:space="preserve"> Puede ser ambicioso e innecesario para un problema concreto; quizá no se llegue al 100 %, pero es el objetivo.</w:t>
            </w:r>
          </w:p>
          <w:p>
            <w:pPr>
              <w:pStyle w:val="Recuadro"/>
            </w:pPr>
            <w:r>
              <w:t xml:space="preserve">Clase 6 · 01:18:01–01:18:46</w:t>
            </w:r>
          </w:p>
        </w:tc>
      </w:tr>
    </w:tbl>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9C620A" w:sz="20"/>
              <w:bottom w:val="nil"/>
              <w:right w:val="nil"/>
            </w:tcBorders>
            <w:shd w:fill="FBF3DF" w:val="clear"/>
            <w:tcMar>
              <w:top w:type="dxa" w:w="130"/>
              <w:left w:type="dxa" w:w="180"/>
              <w:bottom w:type="dxa" w:w="130"/>
              <w:right w:type="dxa" w:w="180"/>
            </w:tcMar>
          </w:tcPr>
          <w:p>
            <w:pPr>
              <w:pStyle w:val="RecuadroTitulo"/>
            </w:pPr>
            <w:r>
              <w:rPr>
                <w:b/>
                <w:bCs/>
                <w:color w:val="9C620A"/>
              </w:rPr>
              <w:t xml:space="preserve">Trampa de examen</w:t>
            </w:r>
          </w:p>
          <w:p>
            <w:pPr>
              <w:pStyle w:val="Recuadro"/>
            </w:pPr>
            <w:r>
              <w:t xml:space="preserve">La lámina comparativa concede al reduccionismo que es rápido y simple, y al sistémico que sus soluciones integrales son lentas y piden tiempo de análisis; lo que descalifica al reduccionismo no es la velocidad sino que su respuesta es parcial: pierde las relaciones, los procesos y las propiedades emergentes, y sus soluciones se desvanecen o causan mayores problemas.</w:t>
            </w:r>
          </w:p>
        </w:tc>
      </w:tr>
    </w:tbl>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Ampliación: lo no dictado en clase</w:t>
            </w:r>
          </w:p>
          <w:p>
            <w:pPr>
              <w:pStyle w:val="Recuadro"/>
            </w:pPr>
            <w:r>
              <w:t xml:space="preserve">La lámina comparativa se proyectó en la clase 6 sin detallarla y se leyó en la clase 8; la diferencia precisa entre los métodos analítico y sintético se remitió a las metodologías científicas sin desarrollarla; las estructuras no lineales, de comportamiento no intuitivo, se difirieron a la unidad 3. La formulación «percepción del mundo real en términos de totalidades para observarlas, comprenderlas y accionarlas» no aparece en lo dictado en las clases 1 a 9. La etimología holos y el procedimiento profesional se detallan desde C-6, páginas 17 y 27.</w:t>
            </w:r>
          </w:p>
        </w:tc>
      </w:tr>
    </w:tbl>
    <w:p>
      <w:pPr>
        <w:pStyle w:val="Heading3"/>
      </w:pPr>
      <w:r>
        <w:t xml:space="preserve">Lecturas y tareas del curso</w:t>
      </w:r>
    </w:p>
    <w:p>
      <w:pPr>
        <w:pStyle w:val="Normal"/>
      </w:pPr>
      <w:r>
        <w:t xml:space="preserve">C-6 · Unidad 2 · Teoría de sistemas y pensamiento sistémico (presentación). 65 páginas con teoría de sistemas, elementos, estructura, función, niveles, sinergia, emergencia, complejidad y universo de sistemas. Copia íntegra de la presentación del profesor.</w:t>
      </w:r>
    </w:p>
    <w:p>
      <w:pPr>
        <w:pStyle w:val="Normal"/>
      </w:pPr>
      <w:r>
        <w:t xml:space="preserve">L-5 · Enfoque de sistemas y pensamiento sistémico. Lectura de la Unidad 2 sobre el enfoque de sistemas: en qué se diferencia de la mirada analítica clásica y qué implica sostener el pensamiento sistémico como método de trabajo.</w:t>
      </w:r>
    </w:p>
    <w:p>
      <w:pPr>
        <w:pStyle w:val="Normal"/>
      </w:pPr>
      <w:r>
        <w:t xml:space="preserve">L-6 · El paradigma sistémico: Teoría General de Sistemas. Lectura que presenta la Teoría General de Sistemas como paradigma: de dónde surge, qué problema resuelve frente a la fragmentación disciplinaria y qué compromisos impone al observador.</w:t>
      </w:r>
    </w:p>
    <w:p>
      <w:pPr>
        <w:pStyle w:val="Heading3"/>
      </w:pPr>
      <w:r>
        <w:t xml:space="preserve">Práctica de los laboratorios</w:t>
      </w:r>
    </w:p>
    <w:p>
      <w:pPr>
        <w:pStyle w:val="Normal"/>
      </w:pPr>
      <w:r>
        <w:t xml:space="preserve">Los procedimientos del capítulo permiten reconstruir en papel la práctica interactiva. Los laboratorios originales permanecen disponibles en la lección del portal.</w:t>
      </w:r>
    </w:p>
    <w:p>
      <w:pPr>
        <w:pStyle w:val="Normal"/>
        <w:numPr>
          <w:ilvl w:val="0"/>
          <w:numId w:val="2"/>
        </w:numPr>
      </w:pPr>
      <w:r>
        <w:t xml:space="preserve">El panorama del enfoque de sistemas</w:t>
      </w:r>
    </w:p>
    <w:p>
      <w:pPr>
        <w:pStyle w:val="Normal"/>
        <w:numPr>
          <w:ilvl w:val="0"/>
          <w:numId w:val="2"/>
        </w:numPr>
      </w:pPr>
      <w:r>
        <w:t xml:space="preserve">Explicación reduccionista frente a explicación sistémica</w:t>
      </w:r>
    </w:p>
    <w:p>
      <w:pPr>
        <w:pStyle w:val="Heading3"/>
      </w:pPr>
      <w:r>
        <w:t xml:space="preserve">Autoevaluación</w:t>
      </w:r>
    </w:p>
    <w:p>
      <w:pPr>
        <w:pStyle w:val="Normal"/>
      </w:pPr>
      <w:r>
        <w:t xml:space="preserve">Resuelva sin consultar las respuestas. Compruebe al final del capítulo por qué cada opción es correcta o incorrecta.</w:t>
      </w:r>
    </w:p>
    <w:p>
      <w:pPr>
        <w:pStyle w:val="Heading3"/>
      </w:pPr>
      <w:bookmarkStart w:name="b_pregunta_auto_2_1_1" w:id="1403"/>
      <w:r>
        <w:t xml:space="preserve">2.1-A1 · ¿Qué significa holos y qué papel tiene el holismo en la presentación?</w:t>
      </w:r>
      <w:bookmarkEnd w:id="1403"/>
    </w:p>
    <w:p>
      <w:pPr>
        <w:pStyle w:val="Normal"/>
      </w:pPr>
      <w:r>
        <w:t xml:space="preserve">a) Entero; base filosófica para percibir totalidades con partes, relaciones y entorno</w:t>
      </w:r>
    </w:p>
    <w:p>
      <w:pPr>
        <w:pStyle w:val="Normal"/>
      </w:pPr>
      <w:r>
        <w:t xml:space="preserve">b) Pequeño; obligación de estudiar sólo componentes</w:t>
      </w:r>
    </w:p>
    <w:p>
      <w:pPr>
        <w:pStyle w:val="Normal"/>
      </w:pPr>
      <w:r>
        <w:t xml:space="preserve">c) Idéntico; demostración de que todos los modelos son iguales</w:t>
      </w:r>
    </w:p>
    <w:p>
      <w:pPr>
        <w:pStyle w:val="Normal"/>
      </w:pPr>
      <w:r>
        <w:t xml:space="preserve">d) Aislado; rechazo de cualquier relación con el entorno</w:t>
      </w:r>
    </w:p>
    <w:p>
      <w:pPr>
        <w:pStyle w:val="Heading3"/>
      </w:pPr>
      <w:bookmarkStart w:name="b_pregunta_auto_2_1_2" w:id="1404"/>
      <w:r>
        <w:t xml:space="preserve">2.1-A2 · ¿Cómo formula sistémicamente un problema profesional la página 27?</w:t>
      </w:r>
      <w:bookmarkEnd w:id="1404"/>
    </w:p>
    <w:p>
      <w:pPr>
        <w:pStyle w:val="Normal"/>
      </w:pPr>
      <w:r>
        <w:t xml:space="preserve">a) Como defecto personal que explica todo sin estudiar relaciones</w:t>
      </w:r>
    </w:p>
    <w:p>
      <w:pPr>
        <w:pStyle w:val="Normal"/>
      </w:pPr>
      <w:r>
        <w:t xml:space="preserve">b) Como anomalía del funcionamiento ligada a interacciones entre elementos</w:t>
      </w:r>
    </w:p>
    <w:p>
      <w:pPr>
        <w:pStyle w:val="Normal"/>
      </w:pPr>
      <w:r>
        <w:t xml:space="preserve">c) Como cualquier diferencia de opinión sin referente de funcionamiento</w:t>
      </w:r>
    </w:p>
    <w:p>
      <w:pPr>
        <w:pStyle w:val="Normal"/>
      </w:pPr>
      <w:r>
        <w:t xml:space="preserve">d) Como una lista de piezas sin comparación entre lo esperado y lo observado</w:t>
      </w:r>
    </w:p>
    <w:p>
      <w:pPr>
        <w:pStyle w:val="Heading3"/>
      </w:pPr>
      <w:bookmarkStart w:name="b_pregunta_auto_2_1_3" w:id="1405"/>
      <w:r>
        <w:t xml:space="preserve">2.1-A3 · Ante entregas tardías, ¿qué secuencia sigue el procedimiento profesional de la presentación?</w:t>
      </w:r>
      <w:bookmarkEnd w:id="1405"/>
    </w:p>
    <w:p>
      <w:pPr>
        <w:pStyle w:val="Normal"/>
      </w:pPr>
      <w:r>
        <w:t xml:space="preserve">a) Comprar una solución, buscar culpables y definir el problema al final</w:t>
      </w:r>
    </w:p>
    <w:p>
      <w:pPr>
        <w:pStyle w:val="Normal"/>
      </w:pPr>
      <w:r>
        <w:t xml:space="preserve">b) Nombrar un sistema y omitir el contraste con su funcionamiento</w:t>
      </w:r>
    </w:p>
    <w:p>
      <w:pPr>
        <w:pStyle w:val="Normal"/>
      </w:pPr>
      <w:r>
        <w:t xml:space="preserve">c) Definir la anomalía, formular una solución con marco teórico y resolver pensando en sistemas</w:t>
      </w:r>
    </w:p>
    <w:p>
      <w:pPr>
        <w:pStyle w:val="Normal"/>
      </w:pPr>
      <w:r>
        <w:t xml:space="preserve">d) Elegir una parte al azar y suponer que cambiarla arregla todo</w:t>
      </w:r>
    </w:p>
    <w:p>
      <w:pPr>
        <w:pStyle w:val="Heading3"/>
      </w:pPr>
      <w:bookmarkStart w:name="b_pregunta_auto_2_1_4" w:id="1406"/>
      <w:r>
        <w:t xml:space="preserve">2.1-A4 · ¿Cuál fue el aporte central de la Teoría General de Sistemas de von Bertalanffy?</w:t>
      </w:r>
      <w:bookmarkEnd w:id="1406"/>
    </w:p>
    <w:p>
      <w:pPr>
        <w:pStyle w:val="Normal"/>
      </w:pPr>
      <w:r>
        <w:t xml:space="preserve">a) Demostrar que el todo es exactamente la suma de sus partes</w:t>
      </w:r>
    </w:p>
    <w:p>
      <w:pPr>
        <w:pStyle w:val="Normal"/>
      </w:pPr>
      <w:r>
        <w:t xml:space="preserve">b) Proponer principios y leyes comunes a todo tipo de sistema, más allá de cada disciplina</w:t>
      </w:r>
    </w:p>
    <w:p>
      <w:pPr>
        <w:pStyle w:val="Normal"/>
      </w:pPr>
      <w:r>
        <w:t xml:space="preserve">c) Reemplazar la biología por la física</w:t>
      </w:r>
    </w:p>
    <w:p>
      <w:pPr>
        <w:pStyle w:val="Normal"/>
      </w:pPr>
      <w:r>
        <w:t xml:space="preserve">d) Rechazar el uso de modelos en la ciencia</w:t>
      </w:r>
    </w:p>
    <w:p>
      <w:pPr>
        <w:pStyle w:val="Heading3"/>
      </w:pPr>
      <w:bookmarkStart w:name="b_pregunta_auto_2_1_5" w:id="1407"/>
      <w:r>
        <w:t xml:space="preserve">2.1-A5 · Von Bertalanffy caracterizó al organismo vivo como un…</w:t>
      </w:r>
      <w:bookmarkEnd w:id="1407"/>
    </w:p>
    <w:p>
      <w:pPr>
        <w:pStyle w:val="Normal"/>
      </w:pPr>
      <w:r>
        <w:t xml:space="preserve">a) sistema cerrado que tiende al equilibrio y a la entropía máxima</w:t>
      </w:r>
    </w:p>
    <w:p>
      <w:pPr>
        <w:pStyle w:val="Normal"/>
      </w:pPr>
      <w:r>
        <w:t xml:space="preserve">b) sistema abierto que intercambia materia y energía con su entorno</w:t>
      </w:r>
    </w:p>
    <w:p>
      <w:pPr>
        <w:pStyle w:val="Normal"/>
      </w:pPr>
      <w:r>
        <w:t xml:space="preserve">c) mecanismo idéntico a una máquina de relojería</w:t>
      </w:r>
    </w:p>
    <w:p>
      <w:pPr>
        <w:pStyle w:val="Normal"/>
      </w:pPr>
      <w:r>
        <w:t xml:space="preserve">d) conjunto de partes sin relación entre sí</w:t>
      </w:r>
    </w:p>
    <w:p>
      <w:pPr>
        <w:pStyle w:val="Heading3"/>
      </w:pPr>
      <w:bookmarkStart w:name="b_pregunta_auto_2_1_6" w:id="1408"/>
      <w:r>
        <w:t xml:space="preserve">2.1-A6 · La equifinalidad, propia de los sistemas abiertos, significa que…</w:t>
      </w:r>
      <w:bookmarkEnd w:id="1408"/>
    </w:p>
    <w:p>
      <w:pPr>
        <w:pStyle w:val="Normal"/>
      </w:pPr>
      <w:r>
        <w:t xml:space="preserve">a) todo sistema termina en el mismo estado de reposo</w:t>
      </w:r>
    </w:p>
    <w:p>
      <w:pPr>
        <w:pStyle w:val="Normal"/>
      </w:pPr>
      <w:r>
        <w:t xml:space="preserve">b) un sistema puede alcanzar el mismo estado final desde distintos puntos de partida y por distintos caminos</w:t>
      </w:r>
    </w:p>
    <w:p>
      <w:pPr>
        <w:pStyle w:val="Normal"/>
      </w:pPr>
      <w:r>
        <w:t xml:space="preserve">c) las causas y los efectos son siempre proporcionales</w:t>
      </w:r>
    </w:p>
    <w:p>
      <w:pPr>
        <w:pStyle w:val="Normal"/>
      </w:pPr>
      <w:r>
        <w:t xml:space="preserve">d) el estado final está totalmente determinado por las condiciones iniciales</w:t>
      </w:r>
    </w:p>
    <w:p>
      <w:pPr>
        <w:pStyle w:val="Heading3"/>
      </w:pPr>
      <w:bookmarkStart w:name="b_pregunta_auto_2_1_7" w:id="1409"/>
      <w:r>
        <w:t xml:space="preserve">2.1-A7 · «El todo es más —y otra cosa— que la suma de sus partes» apunta a la propiedad sistémica de…</w:t>
      </w:r>
      <w:bookmarkEnd w:id="1409"/>
    </w:p>
    <w:p>
      <w:pPr>
        <w:pStyle w:val="Normal"/>
      </w:pPr>
      <w:r>
        <w:t xml:space="preserve">a) la entropía</w:t>
      </w:r>
    </w:p>
    <w:p>
      <w:pPr>
        <w:pStyle w:val="Normal"/>
      </w:pPr>
      <w:r>
        <w:t xml:space="preserve">b) la emergencia</w:t>
      </w:r>
    </w:p>
    <w:p>
      <w:pPr>
        <w:pStyle w:val="Normal"/>
      </w:pPr>
      <w:r>
        <w:t xml:space="preserve">c) la deducción</w:t>
      </w:r>
    </w:p>
    <w:p>
      <w:pPr>
        <w:pStyle w:val="Normal"/>
      </w:pPr>
      <w:r>
        <w:t xml:space="preserve">d) la equifinalidad</w:t>
      </w:r>
    </w:p>
    <w:p>
      <w:pPr>
        <w:pStyle w:val="Heading3"/>
      </w:pPr>
      <w:bookmarkStart w:name="b_pregunta_auto_2_1_8" w:id="1410"/>
      <w:r>
        <w:t xml:space="preserve">2.1-A8 · ¿Por qué se dice que el enfoque sistémico es un «metaparadigma»?</w:t>
      </w:r>
      <w:bookmarkEnd w:id="1410"/>
    </w:p>
    <w:p>
      <w:pPr>
        <w:pStyle w:val="Normal"/>
      </w:pPr>
      <w:r>
        <w:t xml:space="preserve">a) porque es más antiguo que cualquier otra ciencia</w:t>
      </w:r>
    </w:p>
    <w:p>
      <w:pPr>
        <w:pStyle w:val="Normal"/>
      </w:pPr>
      <w:r>
        <w:t xml:space="preserve">b) porque sus principios reaparecen en disciplinas muy distintas —célula, empresa, ecosistema—</w:t>
      </w:r>
    </w:p>
    <w:p>
      <w:pPr>
        <w:pStyle w:val="Normal"/>
      </w:pPr>
      <w:r>
        <w:t xml:space="preserve">c) porque sustituye al método científico</w:t>
      </w:r>
    </w:p>
    <w:p>
      <w:pPr>
        <w:pStyle w:val="Normal"/>
      </w:pPr>
      <w:r>
        <w:t xml:space="preserve">d) porque solo se aplica a la biología</w:t>
      </w:r>
    </w:p>
    <w:p>
      <w:pPr>
        <w:pStyle w:val="Heading3"/>
      </w:pPr>
      <w:bookmarkStart w:name="b_pregunta_auto_2_1_9" w:id="1411"/>
      <w:r>
        <w:t xml:space="preserve">2.1-A9 · En la historia «de von Bertalanffy a hoy», ¿quién llevó el pensamiento sistémico a stocks, flujos y simulación por computadora (la dinámica de sistemas)?</w:t>
      </w:r>
      <w:bookmarkEnd w:id="1411"/>
    </w:p>
    <w:p>
      <w:pPr>
        <w:pStyle w:val="Normal"/>
      </w:pPr>
      <w:r>
        <w:t xml:space="preserve">a) Norbert Wiener</w:t>
      </w:r>
    </w:p>
    <w:p>
      <w:pPr>
        <w:pStyle w:val="Normal"/>
      </w:pPr>
      <w:r>
        <w:t xml:space="preserve">b) Jay Forrester, y más tarde Donella Meadows</w:t>
      </w:r>
    </w:p>
    <w:p>
      <w:pPr>
        <w:pStyle w:val="Normal"/>
      </w:pPr>
      <w:r>
        <w:t xml:space="preserve">c) René Descartes</w:t>
      </w:r>
    </w:p>
    <w:p>
      <w:pPr>
        <w:pStyle w:val="Normal"/>
      </w:pPr>
      <w:r>
        <w:t xml:space="preserve">d) Peter Senge, en solitario</w:t>
      </w:r>
    </w:p>
    <w:p>
      <w:pPr>
        <w:pStyle w:val="Heading3"/>
      </w:pPr>
      <w:bookmarkStart w:name="b_pregunta_auto_2_1_10" w:id="1412"/>
      <w:r>
        <w:t xml:space="preserve">2.1-A10 · Ver el mundo «como sistemas que interactúan» implica, ante cualquier objeto, preguntar sobre todo por…</w:t>
      </w:r>
      <w:bookmarkEnd w:id="1412"/>
    </w:p>
    <w:p>
      <w:pPr>
        <w:pStyle w:val="Normal"/>
      </w:pPr>
      <w:r>
        <w:t xml:space="preserve">a) de qué material está hecho, considerado aisladamente</w:t>
      </w:r>
    </w:p>
    <w:p>
      <w:pPr>
        <w:pStyle w:val="Normal"/>
      </w:pPr>
      <w:r>
        <w:t xml:space="preserve">b) sus relaciones, qué lo contiene y qué comportamiento global emerge</w:t>
      </w:r>
    </w:p>
    <w:p>
      <w:pPr>
        <w:pStyle w:val="Normal"/>
      </w:pPr>
      <w:r>
        <w:t xml:space="preserve">c) su precio en el mercado</w:t>
      </w:r>
    </w:p>
    <w:p>
      <w:pPr>
        <w:pStyle w:val="Normal"/>
      </w:pPr>
      <w:r>
        <w:t xml:space="preserve">d) su antigüedad</w:t>
      </w:r>
    </w:p>
    <w:p>
      <w:pPr>
        <w:pStyle w:val="Heading3"/>
      </w:pPr>
      <w:bookmarkStart w:name="b_pregunta_auto_2_1_11" w:id="1413"/>
      <w:r>
        <w:t xml:space="preserve">2.1-A11 · En el panorama de la Unidad 2, «subsistemas y suprasistemas» describe que un sistema…</w:t>
      </w:r>
      <w:bookmarkEnd w:id="1413"/>
    </w:p>
    <w:p>
      <w:pPr>
        <w:pStyle w:val="Normal"/>
      </w:pPr>
      <w:r>
        <w:t xml:space="preserve">a) no tiene partes internas</w:t>
      </w:r>
    </w:p>
    <w:p>
      <w:pPr>
        <w:pStyle w:val="Normal"/>
      </w:pPr>
      <w:r>
        <w:t xml:space="preserve">b) está anidado: contiene sistemas menores y, a la vez, es parte de sistemas mayores</w:t>
      </w:r>
    </w:p>
    <w:p>
      <w:pPr>
        <w:pStyle w:val="Normal"/>
      </w:pPr>
      <w:r>
        <w:t xml:space="preserve">c) es siempre un sistema cerrado</w:t>
      </w:r>
    </w:p>
    <w:p>
      <w:pPr>
        <w:pStyle w:val="Normal"/>
      </w:pPr>
      <w:r>
        <w:t xml:space="preserve">d) carece de límite con su entorno</w:t>
      </w:r>
    </w:p>
    <w:p>
      <w:pPr>
        <w:pStyle w:val="Heading3"/>
      </w:pPr>
      <w:bookmarkStart w:name="b_solucionario_2_1" w:id="1414"/>
      <w:r>
        <w:t xml:space="preserve">Solucionario del capítulo</w:t>
      </w:r>
      <w:bookmarkEnd w:id="1414"/>
    </w:p>
    <w:p>
      <w:pPr>
        <w:pStyle w:val="Heading3"/>
      </w:pPr>
      <w:r>
        <w:t xml:space="preserve">2.1-A1</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a) Entero; base filosófica para percibir totalidades con partes, relaciones y entorno</w:t>
            </w:r>
          </w:p>
        </w:tc>
      </w:tr>
    </w:tbl>
    <w:p>
      <w:pPr>
        <w:pStyle w:val="Normal"/>
      </w:pPr>
      <w:r>
        <w:t xml:space="preserve">La página 17 relaciona holismo con holos, entero. El enfoque integra la totalidad y sus relaciones con el entorno; no consiste en acumular piezas desconectadas ni en prescindir de su análisis.</w:t>
      </w:r>
    </w:p>
    <w:p>
      <w:pPr>
        <w:pStyle w:val="Fuente"/>
      </w:pPr>
      <w:r>
        <w:t xml:space="preserve">Presentación de la unidad 2 (C-6), pág. 17</w:t>
      </w:r>
    </w:p>
    <w:p>
      <w:pPr>
        <w:pStyle w:val="Heading3"/>
      </w:pPr>
      <w:r>
        <w:t xml:space="preserve">2.1-A2</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b) Como anomalía del funcionamiento ligada a interacciones entre elementos</w:t>
            </w:r>
          </w:p>
        </w:tc>
      </w:tr>
    </w:tbl>
    <w:p>
      <w:pPr>
        <w:pStyle w:val="Normal"/>
      </w:pPr>
      <w:r>
        <w:t xml:space="preserve">Describir la anomalía exige declarar qué funcionamiento se esperaba, qué ocurre y qué interacciones contribuyen. Así el problema orienta la indagación y evita que culpar a una parte sustituya la explicación.</w:t>
      </w:r>
    </w:p>
    <w:p>
      <w:pPr>
        <w:pStyle w:val="Fuente"/>
      </w:pPr>
      <w:r>
        <w:t xml:space="preserve">Presentación de la unidad 2 (C-6), pág. 27</w:t>
      </w:r>
    </w:p>
    <w:p>
      <w:pPr>
        <w:pStyle w:val="Heading3"/>
      </w:pPr>
      <w:r>
        <w:t xml:space="preserve">2.1-A3</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c) Definir la anomalía, formular una solución con marco teórico y resolver pensando en sistemas</w:t>
            </w:r>
          </w:p>
        </w:tc>
      </w:tr>
    </w:tbl>
    <w:p>
      <w:pPr>
        <w:pStyle w:val="Normal"/>
      </w:pPr>
      <w:r>
        <w:t xml:space="preserve">Primero se identifica y define el problema; luego se propone una solución fundada en un marco teórico y se resuelve con mirada sistémica durante el proceso. La teoría hace explícitas las relaciones que se pretende modificar.</w:t>
      </w:r>
    </w:p>
    <w:p>
      <w:pPr>
        <w:pStyle w:val="Fuente"/>
      </w:pPr>
      <w:r>
        <w:t xml:space="preserve">Presentación de la unidad 2 (C-6), pág. 27</w:t>
      </w:r>
    </w:p>
    <w:p>
      <w:pPr>
        <w:pStyle w:val="Heading3"/>
      </w:pPr>
      <w:r>
        <w:t xml:space="preserve">2.1-A4</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b) Proponer principios y leyes comunes a todo tipo de sistema, más allá de cada disciplina</w:t>
            </w:r>
          </w:p>
        </w:tc>
      </w:tr>
    </w:tbl>
    <w:p>
      <w:pPr>
        <w:pStyle w:val="Normal"/>
      </w:pPr>
      <w:r>
        <w:t xml:space="preserve">La TGS es un metaparadigma: busca principios comunes a todos los sistemas (organización, interacción, retroalimentación, emergencia) con independencia de su materia.</w:t>
      </w:r>
    </w:p>
    <w:p>
      <w:pPr>
        <w:pStyle w:val="Normal"/>
      </w:pPr>
      <w:r>
        <w:t xml:space="preserve">a) Al contrario: la TGS subraya que el todo es más que la suma (emergencia).</w:t>
      </w:r>
    </w:p>
    <w:p>
      <w:pPr>
        <w:pStyle w:val="Normal"/>
      </w:pPr>
      <w:r>
        <w:t xml:space="preserve">b) Correcto: busca isomorfismos —leyes válidas para sistemas biológicos, técnicos o sociales por igual—.</w:t>
      </w:r>
    </w:p>
    <w:p>
      <w:pPr>
        <w:pStyle w:val="Normal"/>
      </w:pPr>
      <w:r>
        <w:t xml:space="preserve">c) No: la TGS conecta disciplinas, no sustituye unas por otras.</w:t>
      </w:r>
    </w:p>
    <w:p>
      <w:pPr>
        <w:pStyle w:val="Normal"/>
      </w:pPr>
      <w:r>
        <w:t xml:space="preserve">d) No: el enfoque sistémico usa y afina los modelos, no los rechaza.</w:t>
      </w:r>
    </w:p>
    <w:p>
      <w:pPr>
        <w:pStyle w:val="Fuente"/>
      </w:pPr>
      <w:r>
        <w:t xml:space="preserve">von Bertalanffy</w:t>
      </w:r>
    </w:p>
    <w:p>
      <w:pPr>
        <w:pStyle w:val="Heading3"/>
      </w:pPr>
      <w:r>
        <w:t xml:space="preserve">2.1-A5</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b) sistema abierto que intercambia materia y energía con su entorno</w:t>
            </w:r>
          </w:p>
        </w:tc>
      </w:tr>
    </w:tbl>
    <w:p>
      <w:pPr>
        <w:pStyle w:val="Normal"/>
      </w:pPr>
      <w:r>
        <w:t xml:space="preserve">Frente a los sistemas cerrados de la física clásica, el organismo es un sistema abierto: se sostiene en un «flujo de equilibrio» (estado estable) gracias al intercambio continuo con su entorno.</w:t>
      </w:r>
    </w:p>
    <w:p>
      <w:pPr>
        <w:pStyle w:val="Normal"/>
      </w:pPr>
      <w:r>
        <w:t xml:space="preserve">a) Ese es el modelo de sistema cerrado de la física clásica, no el del organismo.</w:t>
      </w:r>
    </w:p>
    <w:p>
      <w:pPr>
        <w:pStyle w:val="Normal"/>
      </w:pPr>
      <w:r>
        <w:t xml:space="preserve">b) Correcto: un sistema abierto se mantiene en estado estable intercambiando con el entorno.</w:t>
      </w:r>
    </w:p>
    <w:p>
      <w:pPr>
        <w:pStyle w:val="Normal"/>
      </w:pPr>
      <w:r>
        <w:t xml:space="preserve">c) El mecanicismo es justo lo que la TGS vino a superar.</w:t>
      </w:r>
    </w:p>
    <w:p>
      <w:pPr>
        <w:pStyle w:val="Normal"/>
      </w:pPr>
      <w:r>
        <w:t xml:space="preserve">d) Un sistema se define precisamente por las relaciones entre sus partes.</w:t>
      </w:r>
    </w:p>
    <w:p>
      <w:pPr>
        <w:pStyle w:val="Heading3"/>
      </w:pPr>
      <w:r>
        <w:t xml:space="preserve">2.1-A6</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b) un sistema puede alcanzar el mismo estado final desde distintos puntos de partida y por distintos caminos</w:t>
            </w:r>
          </w:p>
        </w:tc>
      </w:tr>
    </w:tbl>
    <w:p>
      <w:pPr>
        <w:pStyle w:val="Normal"/>
      </w:pPr>
      <w:r>
        <w:t xml:space="preserve">La equifinalidad distingue a los sistemas abiertos: el estado final depende de la organización del sistema y no solo de las condiciones iniciales, así que hay muchos caminos hacia el mismo resultado.</w:t>
      </w:r>
    </w:p>
    <w:p>
      <w:pPr>
        <w:pStyle w:val="Fuente"/>
      </w:pPr>
      <w:r>
        <w:t xml:space="preserve">von Bertalanffy</w:t>
      </w:r>
    </w:p>
    <w:p>
      <w:pPr>
        <w:pStyle w:val="Heading3"/>
      </w:pPr>
      <w:r>
        <w:t xml:space="preserve">2.1-A7</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b) la emergencia</w:t>
            </w:r>
          </w:p>
        </w:tc>
      </w:tr>
    </w:tbl>
    <w:p>
      <w:pPr>
        <w:pStyle w:val="Normal"/>
      </w:pPr>
      <w:r>
        <w:t xml:space="preserve">De las interacciones entre las partes surgen propiedades nuevas (emergentes) que no están en ninguna parte por separado. Se estudia de lleno en 2.5, Sinergia y emergencia.</w:t>
      </w:r>
    </w:p>
    <w:p>
      <w:pPr>
        <w:pStyle w:val="Heading3"/>
      </w:pPr>
      <w:r>
        <w:t xml:space="preserve">2.1-A8</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b) porque sus principios reaparecen en disciplinas muy distintas —célula, empresa, ecosistema—</w:t>
            </w:r>
          </w:p>
        </w:tc>
      </w:tr>
    </w:tbl>
    <w:p>
      <w:pPr>
        <w:pStyle w:val="Normal"/>
      </w:pPr>
      <w:r>
        <w:t xml:space="preserve">Un metaparadigma está por encima de los paradigmas de cada disciplina y los atraviesa: los mismos conceptos sirven para sistemas biológicos, técnicos o sociales.</w:t>
      </w:r>
    </w:p>
    <w:p>
      <w:pPr>
        <w:pStyle w:val="Fuente"/>
      </w:pPr>
      <w:r>
        <w:t xml:space="preserve">Programa · Cabrera</w:t>
      </w:r>
    </w:p>
    <w:p>
      <w:pPr>
        <w:pStyle w:val="Heading3"/>
      </w:pPr>
      <w:r>
        <w:t xml:space="preserve">2.1-A9</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b) Jay Forrester, y más tarde Donella Meadows</w:t>
            </w:r>
          </w:p>
        </w:tc>
      </w:tr>
    </w:tbl>
    <w:p>
      <w:pPr>
        <w:pStyle w:val="Normal"/>
      </w:pPr>
      <w:r>
        <w:t xml:space="preserve">La dinámica de sistemas nace con Jay Forrester (MIT) y se difunde con Donella Meadows; es el puente hacia la modelación y la simulación de las Unidades 3 y 4.</w:t>
      </w:r>
    </w:p>
    <w:p>
      <w:pPr>
        <w:pStyle w:val="Normal"/>
      </w:pPr>
      <w:r>
        <w:t xml:space="preserve">a) Wiener fundó la cibernética (retroalimentación y control), corriente hermana pero distinta.</w:t>
      </w:r>
    </w:p>
    <w:p>
      <w:pPr>
        <w:pStyle w:val="Normal"/>
      </w:pPr>
      <w:r>
        <w:t xml:space="preserve">b) Correcto: Forrester creó la dinámica de sistemas en el MIT; Meadows la difundió (Límites del crecimiento, Thinking in Systems).</w:t>
      </w:r>
    </w:p>
    <w:p>
      <w:pPr>
        <w:pStyle w:val="Normal"/>
      </w:pPr>
      <w:r>
        <w:t xml:space="preserve">c) Descartes es más bien el emblema del método reduccionista que la TGS vino a complementar.</w:t>
      </w:r>
    </w:p>
    <w:p>
      <w:pPr>
        <w:pStyle w:val="Normal"/>
      </w:pPr>
      <w:r>
        <w:t xml:space="preserve">d) Senge popularizó el enfoque en las organizaciones (La quinta disciplina), pero no fundó la dinámica de sistemas.</w:t>
      </w:r>
    </w:p>
    <w:p>
      <w:pPr>
        <w:pStyle w:val="Fuente"/>
      </w:pPr>
      <w:r>
        <w:t xml:space="preserve">Forrester · Meadows</w:t>
      </w:r>
    </w:p>
    <w:p>
      <w:pPr>
        <w:pStyle w:val="Heading3"/>
      </w:pPr>
      <w:r>
        <w:t xml:space="preserve">2.1-A10</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b) sus relaciones, qué lo contiene y qué comportamiento global emerge</w:t>
            </w:r>
          </w:p>
        </w:tc>
      </w:tr>
    </w:tbl>
    <w:p>
      <w:pPr>
        <w:pStyle w:val="Normal"/>
      </w:pPr>
      <w:r>
        <w:t xml:space="preserve">El lente sistémico pone el foco en las relaciones y en el todo —sub y suprasistemas, emergencia—, no en las partes aisladas. Contrasta con el reduccionismo (ver 1.3).</w:t>
      </w:r>
    </w:p>
    <w:p>
      <w:pPr>
        <w:pStyle w:val="Heading3"/>
      </w:pPr>
      <w:r>
        <w:t xml:space="preserve">2.1-A11</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b) está anidado: contiene sistemas menores y, a la vez, es parte de sistemas mayores</w:t>
            </w:r>
          </w:p>
        </w:tc>
      </w:tr>
    </w:tbl>
    <w:p>
      <w:pPr>
        <w:pStyle w:val="Normal"/>
        <w:sectPr>
          <w:headerReference w:type="default" r:id="rId102"/>
          <w:headerReference w:type="first" r:id="rId103"/>
          <w:headerReference w:type="even" r:id="rId104"/>
          <w:footerReference w:type="default" r:id="rId105"/>
          <w:footerReference w:type="first" r:id="rId106"/>
          <w:footerReference w:type="even" r:id="rId107"/>
          <w:type w:val="nextPage"/>
          <w:pgSz w:w="12240" w:h="15840" w:orient="portrait"/>
          <w:pgMar w:top="1361" w:right="1134" w:bottom="1361" w:left="1474" w:header="650" w:footer="680" w:gutter="0"/>
          <w:pgNumType/>
          <w:titlePg/>
          <w:docGrid w:linePitch="360"/>
        </w:sectPr>
      </w:pPr>
      <w:r>
        <w:t xml:space="preserve">Todo sistema es un holón: un todo respecto de sus partes y una parte respecto del sistema que lo contiene. Esa jerarquía anidada se ve en 2.4.</w:t>
      </w:r>
    </w:p>
    <w:p>
      <w:pPr>
        <w:pStyle w:val="Heading2"/>
      </w:pPr>
      <w:bookmarkStart w:name="b_2_2" w:id="1415"/>
      <w:r>
        <w:t xml:space="preserve">2.2 · Conceptos de un sistema</w:t>
      </w:r>
      <w:bookmarkEnd w:id="1415"/>
    </w:p>
    <w:p>
      <w:pPr>
        <w:pStyle w:val="Subtitulo"/>
      </w:pPr>
      <w:r>
        <w:t xml:space="preserve">Conceptos básicos de un sistema</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En una línea</w:t>
            </w:r>
          </w:p>
          <w:p>
            <w:pPr>
              <w:pStyle w:val="Recuadro"/>
            </w:pPr>
            <w:r>
              <w:t xml:space="preserve">Un sistema es una totalidad: partes más relaciones, con objetivo, frontera, entradas y salidas.</w:t>
            </w:r>
          </w:p>
        </w:tc>
      </w:tr>
    </w:tbl>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Qué te preguntan</w:t>
            </w:r>
          </w:p>
          <w:p>
            <w:pPr>
              <w:pStyle w:val="Recuadro"/>
            </w:pPr>
            <w:r>
              <w:t xml:space="preserve">Dar una definición de sistema y sostenerla. La más exigible es la de J. L. Le Moigne, que la lámina 6 cita entre comillas: «Objeto dotado de fines u objetivos que, en un entorno bien delimitado, ejerce una actividad, a la vez que ve evolucionar su estructura interna a lo largo del tiempo sin perder por ello su identidad». Después, listar los nueve conceptos asociados de la lámina 7 y aplicarlos a un sistema concreto.</w:t>
            </w:r>
          </w:p>
        </w:tc>
      </w:tr>
    </w:tbl>
    <w:p>
      <w:pPr>
        <w:pStyle w:val="Normal"/>
      </w:pPr>
      <w:r>
        <w:t xml:space="preserve">Un sistema es un conjunto de partes coordinadas y en interacción para alcanzar un objetivo; las definiciones más amplias añaden entradas y salidas transformadas en un medio, la totalidad diferente de otra y la evolución de la estructura interna sin perder la identidad. Nombrar un sistema obliga a delimitarlo: dentro es sistema, fuera es el medio con el que interactúa. Comprobación: todo sistema tiene una razón de ser, aunque en los naturales sólo se perciba estudiando su evolución.</w:t>
      </w:r>
    </w:p>
    <w:p>
      <w:pPr>
        <w:pStyle w:val="Heading3"/>
      </w:pPr>
      <w:r>
        <w:t xml:space="preserve">Vocabulario clave</w:t>
      </w:r>
    </w:p>
    <w:p>
      <w:pPr>
        <w:pStyle w:val="Normal"/>
      </w:pPr>
      <w:r>
        <w:t xml:space="preserve">sistema (conjunto de partes o elementos que interactúan) · totalidad (el todo: partes más relaciones) · componentes (partes, elementos, subsistemas) · relaciones (interacciones: «dan vida al sistema») · objetivo (meta, razón de ser) · evolución (el tiempo: no una fotografía) · entorno (contexto, ambiente, medio) y frontera (límite) · estructura organizada (procedimientos, principios, serie de pasos) · entradas y salidas (proceso de transformación) · montón o conglomerado</w:t>
      </w:r>
    </w:p>
    <w:p>
      <w:pPr>
        <w:pStyle w:val="Fuente"/>
      </w:pPr>
      <w:r>
        <w:t xml:space="preserve">Recorrido: desarrollo conceptual → presentaciones → explicación en clase → errores y fuentes → práctica → solucionario.</w:t>
      </w:r>
    </w:p>
    <w:p>
      <w:pPr>
        <w:pStyle w:val="Heading3"/>
      </w:pPr>
      <w:bookmarkStart w:name="b_lectura_p1" w:id="1416"/>
      <w:r>
        <w:t xml:space="preserve">P1. Sistemas, fronteras y modelos</w:t>
      </w:r>
      <w:bookmarkEnd w:id="1416"/>
    </w:p>
    <w:p>
      <w:pPr>
        <w:pStyle w:val="Normal"/>
      </w:pPr>
      <w:r>
        <w:t xml:space="preserve">Un sistema se estudia considerando sus elementos, relaciones, propósito o comportamiento y contexto. La </w:t>
      </w:r>
      <w:r>
        <w:rPr>
          <w:b/>
          <w:bCs/>
        </w:rPr>
        <w:t xml:space="preserve">frontera</w:t>
      </w:r>
      <w:r>
        <w:t xml:space="preserve"> indica qué se representa dentro del modelo y qué se trata como externo. No es necesario incluir todo lo que existe para responder una pregunta, pero sí justificar las simplificaciones que afectan la explicación.</w:t>
      </w:r>
    </w:p>
    <w:p>
      <w:pPr>
        <w:pStyle w:val="Normal"/>
      </w:pPr>
      <w:r>
        <w:t xml:space="preserve">Un modelo es una representación construida para aprender, explicar o intervenir. Depende de la pregunta, la frontera y los supuestos. Por eso una misma cantidad puede representarse de maneras diferentes en modelos distintos. En el modelo epidémico trabajado, la población vulnerable puede calcularse como población total menos población infectada; en otro modelo más detallado podría ser un nivel con sus propios flujos.</w:t>
      </w:r>
    </w:p>
    <w:p>
      <w:pPr>
        <w:pStyle w:val="Normal"/>
      </w:pPr>
      <w:r>
        <w:t xml:space="preserve">En un diagrama de Forrester, la nube puede representar una fuente o un sumidero fuera de la frontera modelada. </w:t>
      </w:r>
      <w:r>
        <w:rPr>
          <w:b/>
          <w:bCs/>
        </w:rPr>
        <w:t xml:space="preserve">Externo no significa infinito ni irrelevante:</w:t>
      </w:r>
      <w:r>
        <w:t xml:space="preserve"> significa que no se representa su acumulación interna en ese modelo.</w:t>
      </w:r>
    </w:p>
    <w:p>
      <w:pPr>
        <w:pStyle w:val="Heading3"/>
      </w:pPr>
      <w:r>
        <w:t xml:space="preserve">Un concepto general para construir un modelo concreto</w:t>
      </w:r>
    </w:p>
    <w:p>
      <w:pPr>
        <w:pStyle w:val="Normal"/>
      </w:pPr>
      <w:r>
        <w:t xml:space="preserve">El sistema generalizado sirve como plantilla: componentes relacionados forman una totalidad delimitada, situada en un entorno. La definición concreta exige declarar propósito del estudio, frontera, partes y relaciones; el nombre del objeto no completa el modelo.</w:t>
      </w:r>
    </w:p>
    <w:p>
      <w:pPr>
        <w:pStyle w:val="Normal"/>
      </w:pPr>
      <w:r>
        <w:t xml:space="preserve">Un modelo de una cafetería puede incluir personal, equipos y pedidos, y estudiar sus interacciones para explicar el tiempo de servicio. La frontera define qué se trata como parte, qué como entorno y qué intercambios cruzan de uno a otro. Al cambiar el propósito se revisa ese recorte.</w:t>
      </w:r>
    </w:p>
    <w:p>
      <w:pPr>
        <w:pStyle w:val="Fuente"/>
      </w:pPr>
      <w:r>
        <w:t xml:space="preserve">Presentación de la unidad 2 (C-6), pág. 5 y 6 · Clase 6 · 00:44:34–00:49:34</w:t>
      </w:r>
    </w:p>
    <w:p>
      <w:pPr>
        <w:pStyle w:val="Heading3"/>
      </w:pPr>
      <w:r>
        <w:t xml:space="preserve">Las cuatro definiciones, leídas de la lámina</w:t>
      </w:r>
    </w:p>
    <w:p>
      <w:pPr>
        <w:pStyle w:val="Normal"/>
      </w:pPr>
      <w:r>
        <w:t xml:space="preserve">Primera: conjunto de partes coordinadas y en interacción para alcanzar un objetivo; fija partes, relaciones y objetivo o razón de ser.</w:t>
      </w:r>
    </w:p>
    <w:p>
      <w:pPr>
        <w:pStyle w:val="Normal"/>
      </w:pPr>
      <w:r>
        <w:t xml:space="preserve">Segunda: grupo de componentes interrelacionados que trabajan en conjunto hacia una meta común mediante la aceptación de entradas y generando salidas; añade el proceso de transformación con algo externo.</w:t>
      </w:r>
    </w:p>
    <w:p>
      <w:pPr>
        <w:pStyle w:val="Normal"/>
      </w:pPr>
      <w:r>
        <w:t xml:space="preserve">Tercera: conjunto de elementos dinámicamente relacionados que realizan una actividad para alcanzar un objetivo, operando sobre entradas y proveyendo salidas procesadas, en un medio ambiente, y que constituye una totalidad diferente de otra, como cada persona.</w:t>
      </w:r>
    </w:p>
    <w:p>
      <w:pPr>
        <w:pStyle w:val="Normal"/>
      </w:pPr>
      <w:r>
        <w:t xml:space="preserve">Cuarta, la más amplia: un objeto dotado de objetivos que, en un entorno bien delimitado, ejerce una actividad y ve evolucionar su estructura interna en el tiempo sin perder su identidad; el sistema humano pasa de bebé a adulto y sigue siendo el mismo sistema.</w:t>
      </w:r>
    </w:p>
    <w:p>
      <w:pPr>
        <w:pStyle w:val="Fuente"/>
      </w:pPr>
      <w:r>
        <w:t xml:space="preserve">Clase 6 · 00:44:34–00:49:34 · lámina c6-06 · Clase 6 · 00:49:59–00:50:53</w:t>
      </w:r>
    </w:p>
    <w:p>
      <w:pPr>
        <w:pStyle w:val="Heading3"/>
      </w:pPr>
      <w:r>
        <w:t xml:space="preserve">Los nueve conceptos asociados, como los glosó la clase</w:t>
      </w:r>
    </w:p>
    <w:p>
      <w:pPr>
        <w:pStyle w:val="Normal"/>
      </w:pPr>
      <w:r>
        <w:t xml:space="preserve">Totalidad; partes, elementos o componentes, que en sistemas muy complejos resultan ser otros sistemas más pequeños con un rol en el sistema global (subsistemas).</w:t>
      </w:r>
    </w:p>
    <w:p>
      <w:pPr>
        <w:pStyle w:val="Normal"/>
      </w:pPr>
      <w:r>
        <w:t xml:space="preserve">Relaciones o interacciones, que «dan vida al sistema»; objetivo o razón de ser: todo sistema la tiene, aunque en los naturales no siempre se perciba sin estudiar su evolución.</w:t>
      </w:r>
    </w:p>
    <w:p>
      <w:pPr>
        <w:pStyle w:val="Normal"/>
      </w:pPr>
      <w:r>
        <w:t xml:space="preserve">Evolución y tiempo: el sistema no es una fotografía; muchas conexiones sólo se ven en la dinámica, y las de siglos son las más difíciles.</w:t>
      </w:r>
    </w:p>
    <w:p>
      <w:pPr>
        <w:pStyle w:val="Normal"/>
      </w:pPr>
      <w:r>
        <w:t xml:space="preserve">Contexto, ambiente o medio, con términos que varían según el autor; frontera: nombrar un sistema, por ejemplo uno empresarial, obliga a delimitar hasta dónde llega: dentro es sistema, fuera es medio que interactúa.</w:t>
      </w:r>
    </w:p>
    <w:p>
      <w:pPr>
        <w:pStyle w:val="Normal"/>
      </w:pPr>
      <w:r>
        <w:t xml:space="preserve">Estructura organizada: cómo partes y relaciones se ordenan y cómo se transforman las entradas del medio (se desarrolla en 2.3); entradas y salidas: la salida de un sistema es entrada de otro, «un gran mapa de entradas y salidas».</w:t>
      </w:r>
    </w:p>
    <w:p>
      <w:pPr>
        <w:pStyle w:val="Fuente"/>
      </w:pPr>
      <w:r>
        <w:t xml:space="preserve">Clase 6 · 00:51:39–01:00:39 · lámina c6-07</w:t>
      </w:r>
    </w:p>
    <w:p>
      <w:pPr>
        <w:pStyle w:val="Heading3"/>
      </w:pPr>
      <w:r>
        <w:t xml:space="preserve">La definición mínima y los modelos mentales como sistema</w:t>
      </w:r>
    </w:p>
    <w:p>
      <w:pPr>
        <w:pStyle w:val="Normal"/>
      </w:pPr>
      <w:r>
        <w:t xml:space="preserve">Definición básica: conjunto de partes o elementos que interactúan; cualquier conjunto, de igual o diversa naturaleza, puede verse como sistema con el nombre de su contexto.</w:t>
      </w:r>
    </w:p>
    <w:p>
      <w:pPr>
        <w:pStyle w:val="Normal"/>
      </w:pPr>
      <w:r>
        <w:t xml:space="preserve">«Objeto» es una distinción tan genérica como «sistema»: ser humano, computadora, sistema social, país, planeta; la totalidad es partes y conexiones cuya dinámica muestra cómo funciona y se manifiesta el todo.</w:t>
      </w:r>
    </w:p>
    <w:p>
      <w:pPr>
        <w:pStyle w:val="Normal"/>
      </w:pPr>
      <w:r>
        <w:t xml:space="preserve">Comprenderlo por completo exige ver elementos y relaciones en varios niveles: físico, temporal y entre totalidades que interactúan por entradas y salidas.</w:t>
      </w:r>
    </w:p>
    <w:p>
      <w:pPr>
        <w:pStyle w:val="Normal"/>
      </w:pPr>
      <w:r>
        <w:t xml:space="preserve">Los modelos mentales son un sistema: sus partes son pequeños modelos sobre temáticas (estudiar, trabajar, la familia, el transporte) que unidos forman el gran sistema de creencias; la lámina muestra un concepto central rodeado de creencias y supuestos, y la realidad es un gran suprasistema complejo.</w:t>
      </w:r>
    </w:p>
    <w:p>
      <w:pPr>
        <w:pStyle w:val="Fuente"/>
      </w:pPr>
      <w:r>
        <w:t xml:space="preserve">Clase 5 · 00:51:04–00:54:45 · Clase 7 · 00:05:57–00:06:54 · Clase 7 · 00:07:50–00:08:57 · Clase 7 · 00:11:00–00:11:59 · Clase 7 · 00:36:58–00:37:47</w:t>
      </w:r>
    </w:p>
    <w:p>
      <w:pPr>
        <w:pStyle w:val="Heading3"/>
      </w:pPr>
      <w:r>
        <w:t xml:space="preserve">Lo que proyectó la lámina: sistema frente a montón</w:t>
      </w:r>
    </w:p>
    <w:p>
      <w:pPr>
        <w:pStyle w:val="Normal"/>
      </w:pPr>
      <w:r>
        <w:t xml:space="preserve">El comportamiento del sistema depende de su estructura global; el del montón, del número de piezas, «más una estadística».</w:t>
      </w:r>
    </w:p>
    <w:p>
      <w:pPr>
        <w:pStyle w:val="Normal"/>
      </w:pPr>
      <w:r>
        <w:t xml:space="preserve">Un conglomerado es un conjunto de partes juntas sin sentido, sinergia, objetivo, estructura ni dinámica en conjunto; las relaciones determinan el comportamiento, no sólo las partes.</w:t>
      </w:r>
    </w:p>
    <w:p>
      <w:pPr>
        <w:pStyle w:val="Fuente"/>
      </w:pPr>
      <w:r>
        <w:t xml:space="preserve">lámina c8-14</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Procedimiento</w:t>
            </w:r>
          </w:p>
          <w:p>
            <w:pPr>
              <w:pStyle w:val="Recuadro"/>
            </w:pPr>
            <w:r>
              <w:t xml:space="preserve">Cómo describir un sistema concreto con los nueve conceptos</w:t>
            </w:r>
          </w:p>
          <w:p>
            <w:pPr>
              <w:pStyle w:val="Recuadro"/>
            </w:pPr>
            <w:r>
              <w:t xml:space="preserve">1. </w:t>
            </w:r>
            <w:r>
              <w:rPr>
                <w:b/>
                <w:bCs/>
              </w:rPr>
              <w:t xml:space="preserve">Nombrar y delimitar.</w:t>
            </w:r>
            <w:r>
              <w:t xml:space="preserve"> Al nombrar el sistema (por ejemplo, uno empresarial) se fija su frontera: dentro es sistema, fuera es el medio, contexto o ambiente que interactúa con él. (Clase 6 · 00:56:40–00:57:51)</w:t>
            </w:r>
          </w:p>
          <w:p>
            <w:pPr>
              <w:pStyle w:val="Recuadro"/>
            </w:pPr>
            <w:r>
              <w:t xml:space="preserve">2. </w:t>
            </w:r>
            <w:r>
              <w:rPr>
                <w:b/>
                <w:bCs/>
              </w:rPr>
              <w:t xml:space="preserve">Distinguir partes y relaciones.</w:t>
            </w:r>
            <w:r>
              <w:t xml:space="preserve"> Identificar componentes o subsistemas, cada uno con su rol, y las interacciones que les dan vida; sin relaciones sólo hay un montón. (Clase 6 · 00:51:53–00:54:13 · lámina c8-14)</w:t>
            </w:r>
          </w:p>
          <w:p>
            <w:pPr>
              <w:pStyle w:val="Recuadro"/>
            </w:pPr>
            <w:r>
              <w:t xml:space="preserve">3. </w:t>
            </w:r>
            <w:r>
              <w:rPr>
                <w:b/>
                <w:bCs/>
              </w:rPr>
              <w:t xml:space="preserve">Enunciar el objetivo.</w:t>
            </w:r>
            <w:r>
              <w:t xml:space="preserve"> Todo sistema tiene una razón de ser; si no se percibe, como en muchos sistemas naturales, se busca estudiando su evolución. (Clase 6 · 00:54:10–00:55:03)</w:t>
            </w:r>
          </w:p>
          <w:p>
            <w:pPr>
              <w:pStyle w:val="Recuadro"/>
            </w:pPr>
            <w:r>
              <w:t xml:space="preserve">4. </w:t>
            </w:r>
            <w:r>
              <w:rPr>
                <w:b/>
                <w:bCs/>
              </w:rPr>
              <w:t xml:space="preserve">Trazar entradas y salidas.</w:t>
            </w:r>
            <w:r>
              <w:t xml:space="preserve"> Qué acepta del medio y qué salidas genera al transformarlo; la salida de un sistema es entrada de otro, en un gran mapa de entradas y salidas. (Clase 6 · 00:45:33–00:46:38 · Clase 6 · 00:57:42–00:58:01 · Clase 6 · 00:59:13–01:00:17)</w:t>
            </w:r>
          </w:p>
          <w:p>
            <w:pPr>
              <w:pStyle w:val="Recuadro"/>
            </w:pPr>
            <w:r>
              <w:t xml:space="preserve">5. </w:t>
            </w:r>
            <w:r>
              <w:rPr>
                <w:b/>
                <w:bCs/>
              </w:rPr>
              <w:t xml:space="preserve">Mirar la evolución.</w:t>
            </w:r>
            <w:r>
              <w:t xml:space="preserve"> El sistema no es una fotografía: describir cómo su estructura interna evoluciona sin perder la identidad; muchas conexiones sólo se ven en la dinámica. (Clase 6 · 00:55:01–00:56:43 · Clase 6 · 00:48:36–00:49:34)</w:t>
            </w:r>
          </w:p>
          <w:p>
            <w:pPr>
              <w:pStyle w:val="Recuadro"/>
            </w:pPr>
            <w:r>
              <w:t xml:space="preserve">Totalidad, componentes, relaciones, objetivo, evolución, entorno y frontera, estructura organizada, entradas y salidas: con los nueve conceptos cualquier objeto se describe como sistema.</w:t>
            </w:r>
          </w:p>
        </w:tc>
      </w:tr>
    </w:tbl>
    <w:p>
      <w:pPr>
        <w:pStyle w:val="Heading3"/>
      </w:pPr>
      <w:bookmarkStart w:name="b_tabla_2_2_g1_definiciones_sistema" w:id="1417"/>
      <w:r>
        <w:t xml:space="preserve">Las cuatro definiciones de sistema</w:t>
      </w:r>
      <w:bookmarkEnd w:id="1417"/>
    </w:p>
    <w:tbl>
      <w:tblPr>
        <w:tblW w:type="dxa" w:w="9632"/>
        <w:tblBorders>
          <w:top w:val="single" w:color="C5D5DB" w:sz="4"/>
          <w:left w:val="single" w:color="C5D5DB" w:sz="4"/>
          <w:bottom w:val="single" w:color="C5D5DB" w:sz="4"/>
          <w:right w:val="single" w:color="C5D5DB" w:sz="4"/>
          <w:insideH w:val="single" w:color="E4E9EB" w:sz="3"/>
          <w:insideV w:val="single" w:color="E4E9EB" w:sz="3"/>
        </w:tblBorders>
        <w:tblLayout w:type="fixed"/>
      </w:tblPr>
      <w:tblGrid>
        <w:gridCol w:w="3212"/>
        <w:gridCol w:w="3210"/>
        <w:gridCol w:w="3210"/>
      </w:tblGrid>
      <w:tr>
        <w:trPr>
          <w:cantSplit/>
          <w:tblHeader/>
        </w:trPr>
        <w:tc>
          <w:tcPr>
            <w:tcW w:type="dxa" w:w="3212"/>
            <w:shd w:fill="DFEAF0" w:val="clear"/>
            <w:tcMar>
              <w:top w:type="dxa" w:w="80"/>
              <w:left w:type="dxa" w:w="100"/>
              <w:bottom w:type="dxa" w:w="80"/>
              <w:right w:type="dxa" w:w="100"/>
            </w:tcMar>
          </w:tcPr>
          <w:p>
            <w:pPr>
              <w:pStyle w:val="Tabla"/>
            </w:pPr>
            <w:r>
              <w:rPr>
                <w:b/>
                <w:bCs/>
              </w:rPr>
              <w:t xml:space="preserve">Recuadro</w:t>
            </w:r>
          </w:p>
        </w:tc>
        <w:tc>
          <w:tcPr>
            <w:tcW w:type="dxa" w:w="3210"/>
            <w:shd w:fill="DFEAF0" w:val="clear"/>
            <w:tcMar>
              <w:top w:type="dxa" w:w="80"/>
              <w:left w:type="dxa" w:w="100"/>
              <w:bottom w:type="dxa" w:w="80"/>
              <w:right w:type="dxa" w:w="100"/>
            </w:tcMar>
          </w:tcPr>
          <w:p>
            <w:pPr>
              <w:pStyle w:val="Tabla"/>
            </w:pPr>
            <w:r>
              <w:rPr>
                <w:b/>
                <w:bCs/>
              </w:rPr>
              <w:t xml:space="preserve">Firma</w:t>
            </w:r>
          </w:p>
        </w:tc>
        <w:tc>
          <w:tcPr>
            <w:tcW w:type="dxa" w:w="3210"/>
            <w:shd w:fill="DFEAF0" w:val="clear"/>
            <w:tcMar>
              <w:top w:type="dxa" w:w="80"/>
              <w:left w:type="dxa" w:w="100"/>
              <w:bottom w:type="dxa" w:w="80"/>
              <w:right w:type="dxa" w:w="100"/>
            </w:tcMar>
          </w:tcPr>
          <w:p>
            <w:pPr>
              <w:pStyle w:val="Tabla"/>
            </w:pPr>
            <w:r>
              <w:rPr>
                <w:b/>
                <w:bCs/>
              </w:rPr>
              <w:t xml:space="preserve">Texto literal de la lámina</w:t>
            </w:r>
          </w:p>
        </w:tc>
      </w:tr>
      <w:tr>
        <w:trPr>
          <w:cantSplit/>
          <w:tblHeader w:val="off"/>
        </w:trPr>
        <w:tc>
          <w:tcPr>
            <w:tcW w:type="dxa" w:w="3212"/>
            <w:tcMar>
              <w:top w:type="dxa" w:w="80"/>
              <w:left w:type="dxa" w:w="100"/>
              <w:bottom w:type="dxa" w:w="80"/>
              <w:right w:type="dxa" w:w="100"/>
            </w:tcMar>
          </w:tcPr>
          <w:p>
            <w:pPr>
              <w:pStyle w:val="Tabla"/>
            </w:pPr>
            <w:r>
              <w:t xml:space="preserve">(a)</w:t>
            </w:r>
          </w:p>
        </w:tc>
        <w:tc>
          <w:tcPr>
            <w:tcW w:type="dxa" w:w="3210"/>
            <w:tcMar>
              <w:top w:type="dxa" w:w="80"/>
              <w:left w:type="dxa" w:w="100"/>
              <w:bottom w:type="dxa" w:w="80"/>
              <w:right w:type="dxa" w:w="100"/>
            </w:tcMar>
          </w:tcPr>
          <w:p>
            <w:pPr>
              <w:pStyle w:val="Tabla"/>
            </w:pPr>
            <w:r>
              <w:t xml:space="preserve">Sin firma</w:t>
            </w:r>
          </w:p>
        </w:tc>
        <w:tc>
          <w:tcPr>
            <w:tcW w:type="dxa" w:w="3210"/>
            <w:tcMar>
              <w:top w:type="dxa" w:w="80"/>
              <w:left w:type="dxa" w:w="100"/>
              <w:bottom w:type="dxa" w:w="80"/>
              <w:right w:type="dxa" w:w="100"/>
            </w:tcMar>
          </w:tcPr>
          <w:p>
            <w:pPr>
              <w:pStyle w:val="Tabla"/>
            </w:pPr>
            <w:r>
              <w:t xml:space="preserve">Conjunto de partes coordinadas y en interacción para alcanzar un objetivo</w:t>
            </w:r>
          </w:p>
        </w:tc>
      </w:tr>
      <w:tr>
        <w:trPr>
          <w:cantSplit/>
          <w:tblHeader w:val="off"/>
        </w:trPr>
        <w:tc>
          <w:tcPr>
            <w:tcW w:type="dxa" w:w="3212"/>
            <w:tcMar>
              <w:top w:type="dxa" w:w="80"/>
              <w:left w:type="dxa" w:w="100"/>
              <w:bottom w:type="dxa" w:w="80"/>
              <w:right w:type="dxa" w:w="100"/>
            </w:tcMar>
          </w:tcPr>
          <w:p>
            <w:pPr>
              <w:pStyle w:val="Tabla"/>
            </w:pPr>
            <w:r>
              <w:t xml:space="preserve">(b)</w:t>
            </w:r>
          </w:p>
        </w:tc>
        <w:tc>
          <w:tcPr>
            <w:tcW w:type="dxa" w:w="3210"/>
            <w:tcMar>
              <w:top w:type="dxa" w:w="80"/>
              <w:left w:type="dxa" w:w="100"/>
              <w:bottom w:type="dxa" w:w="80"/>
              <w:right w:type="dxa" w:w="100"/>
            </w:tcMar>
          </w:tcPr>
          <w:p>
            <w:pPr>
              <w:pStyle w:val="Tabla"/>
            </w:pPr>
            <w:r>
              <w:t xml:space="preserve">Sin firma</w:t>
            </w:r>
          </w:p>
        </w:tc>
        <w:tc>
          <w:tcPr>
            <w:tcW w:type="dxa" w:w="3210"/>
            <w:tcMar>
              <w:top w:type="dxa" w:w="80"/>
              <w:left w:type="dxa" w:w="100"/>
              <w:bottom w:type="dxa" w:w="80"/>
              <w:right w:type="dxa" w:w="100"/>
            </w:tcMar>
          </w:tcPr>
          <w:p>
            <w:pPr>
              <w:pStyle w:val="Tabla"/>
            </w:pPr>
            <w:r>
              <w:t xml:space="preserve">Un grupo de componentes interrelacionados que trabajan en conjunto hacia una meta común mediante la aceptación de entradas y generando salidas en un proceso de transformación organizado</w:t>
            </w:r>
          </w:p>
        </w:tc>
      </w:tr>
      <w:tr>
        <w:trPr>
          <w:cantSplit/>
          <w:tblHeader w:val="off"/>
        </w:trPr>
        <w:tc>
          <w:tcPr>
            <w:tcW w:type="dxa" w:w="3212"/>
            <w:tcMar>
              <w:top w:type="dxa" w:w="80"/>
              <w:left w:type="dxa" w:w="100"/>
              <w:bottom w:type="dxa" w:w="80"/>
              <w:right w:type="dxa" w:w="100"/>
            </w:tcMar>
          </w:tcPr>
          <w:p>
            <w:pPr>
              <w:pStyle w:val="Tabla"/>
            </w:pPr>
            <w:r>
              <w:t xml:space="preserve">(c)</w:t>
            </w:r>
          </w:p>
        </w:tc>
        <w:tc>
          <w:tcPr>
            <w:tcW w:type="dxa" w:w="3210"/>
            <w:tcMar>
              <w:top w:type="dxa" w:w="80"/>
              <w:left w:type="dxa" w:w="100"/>
              <w:bottom w:type="dxa" w:w="80"/>
              <w:right w:type="dxa" w:w="100"/>
            </w:tcMar>
          </w:tcPr>
          <w:p>
            <w:pPr>
              <w:pStyle w:val="Tabla"/>
            </w:pPr>
            <w:r>
              <w:t xml:space="preserve">Sin firma</w:t>
            </w:r>
          </w:p>
        </w:tc>
        <w:tc>
          <w:tcPr>
            <w:tcW w:type="dxa" w:w="3210"/>
            <w:tcMar>
              <w:top w:type="dxa" w:w="80"/>
              <w:left w:type="dxa" w:w="100"/>
              <w:bottom w:type="dxa" w:w="80"/>
              <w:right w:type="dxa" w:w="100"/>
            </w:tcMar>
          </w:tcPr>
          <w:p>
            <w:pPr>
              <w:pStyle w:val="Tabla"/>
            </w:pPr>
            <w:r>
              <w:t xml:space="preserve">Conjunto de elementos dinámicamente relacionados entre sí, que realizan una actividad para alcanzar un objetivo, operando sobre entradas y proveyendo salidas procesadas. Se encuentra en un medio ambiente y constituye una totalidad diferente de otra</w:t>
            </w:r>
          </w:p>
        </w:tc>
      </w:tr>
      <w:tr>
        <w:trPr>
          <w:cantSplit/>
          <w:tblHeader w:val="off"/>
        </w:trPr>
        <w:tc>
          <w:tcPr>
            <w:tcW w:type="dxa" w:w="3212"/>
            <w:tcMar>
              <w:top w:type="dxa" w:w="80"/>
              <w:left w:type="dxa" w:w="100"/>
              <w:bottom w:type="dxa" w:w="80"/>
              <w:right w:type="dxa" w:w="100"/>
            </w:tcMar>
          </w:tcPr>
          <w:p>
            <w:pPr>
              <w:pStyle w:val="Tabla"/>
            </w:pPr>
            <w:r>
              <w:t xml:space="preserve">(d)</w:t>
            </w:r>
          </w:p>
        </w:tc>
        <w:tc>
          <w:tcPr>
            <w:tcW w:type="dxa" w:w="3210"/>
            <w:tcMar>
              <w:top w:type="dxa" w:w="80"/>
              <w:left w:type="dxa" w:w="100"/>
              <w:bottom w:type="dxa" w:w="80"/>
              <w:right w:type="dxa" w:w="100"/>
            </w:tcMar>
          </w:tcPr>
          <w:p>
            <w:pPr>
              <w:pStyle w:val="Tabla"/>
            </w:pPr>
            <w:r>
              <w:t xml:space="preserve">J.L. Le Moigne</w:t>
            </w:r>
          </w:p>
        </w:tc>
        <w:tc>
          <w:tcPr>
            <w:tcW w:type="dxa" w:w="3210"/>
            <w:tcMar>
              <w:top w:type="dxa" w:w="80"/>
              <w:left w:type="dxa" w:w="100"/>
              <w:bottom w:type="dxa" w:w="80"/>
              <w:right w:type="dxa" w:w="100"/>
            </w:tcMar>
          </w:tcPr>
          <w:p>
            <w:pPr>
              <w:pStyle w:val="Tabla"/>
            </w:pPr>
            <w:r>
              <w:t xml:space="preserve">Objeto dotado de fines u objetivos que, en un entorno bien delimitado, ejerce una actividad, a la vez que ve evolucionar su estructura interna a lo largo del tiempo sin perder por ello su identidad</w:t>
            </w:r>
          </w:p>
        </w:tc>
      </w:tr>
    </w:tbl>
    <w:p>
      <w:pPr>
        <w:pStyle w:val="Fuente"/>
      </w:pPr>
      <w:r>
        <w:t xml:space="preserve">Lámina 6 de la clase 6, «EL CONCEPTO DE SISTEMA GENERALIZADO». La (d), de J. L. Le Moigne, es la única firmada y la más exigible.</w:t>
      </w:r>
    </w:p>
    <w:p>
      <w:pPr>
        <w:pStyle w:val="Heading3"/>
      </w:pPr>
      <w:bookmarkStart w:name="b_tabla_2_2_g1_conceptos_sistema" w:id="1418"/>
      <w:r>
        <w:t xml:space="preserve">Los nueve conceptos asociados al sistema</w:t>
      </w:r>
      <w:bookmarkEnd w:id="1418"/>
    </w:p>
    <w:tbl>
      <w:tblPr>
        <w:tblW w:type="dxa" w:w="9632"/>
        <w:tblBorders>
          <w:top w:val="single" w:color="C5D5DB" w:sz="4"/>
          <w:left w:val="single" w:color="C5D5DB" w:sz="4"/>
          <w:bottom w:val="single" w:color="C5D5DB" w:sz="4"/>
          <w:right w:val="single" w:color="C5D5DB" w:sz="4"/>
          <w:insideH w:val="single" w:color="E4E9EB" w:sz="3"/>
          <w:insideV w:val="single" w:color="E4E9EB" w:sz="3"/>
        </w:tblBorders>
        <w:tblLayout w:type="fixed"/>
      </w:tblPr>
      <w:tblGrid>
        <w:gridCol w:w="3212"/>
        <w:gridCol w:w="3210"/>
        <w:gridCol w:w="3210"/>
      </w:tblGrid>
      <w:tr>
        <w:trPr>
          <w:cantSplit/>
          <w:tblHeader/>
        </w:trPr>
        <w:tc>
          <w:tcPr>
            <w:tcW w:type="dxa" w:w="3212"/>
            <w:shd w:fill="DFEAF0" w:val="clear"/>
            <w:tcMar>
              <w:top w:type="dxa" w:w="80"/>
              <w:left w:type="dxa" w:w="100"/>
              <w:bottom w:type="dxa" w:w="80"/>
              <w:right w:type="dxa" w:w="100"/>
            </w:tcMar>
          </w:tcPr>
          <w:p>
            <w:pPr>
              <w:pStyle w:val="Tabla"/>
            </w:pPr>
            <w:r>
              <w:rPr>
                <w:b/>
                <w:bCs/>
              </w:rPr>
              <w:t xml:space="preserve">#</w:t>
            </w:r>
          </w:p>
        </w:tc>
        <w:tc>
          <w:tcPr>
            <w:tcW w:type="dxa" w:w="3210"/>
            <w:shd w:fill="DFEAF0" w:val="clear"/>
            <w:tcMar>
              <w:top w:type="dxa" w:w="80"/>
              <w:left w:type="dxa" w:w="100"/>
              <w:bottom w:type="dxa" w:w="80"/>
              <w:right w:type="dxa" w:w="100"/>
            </w:tcMar>
          </w:tcPr>
          <w:p>
            <w:pPr>
              <w:pStyle w:val="Tabla"/>
            </w:pPr>
            <w:r>
              <w:rPr>
                <w:b/>
                <w:bCs/>
              </w:rPr>
              <w:t xml:space="preserve">Racimo</w:t>
            </w:r>
          </w:p>
        </w:tc>
        <w:tc>
          <w:tcPr>
            <w:tcW w:type="dxa" w:w="3210"/>
            <w:shd w:fill="DFEAF0" w:val="clear"/>
            <w:tcMar>
              <w:top w:type="dxa" w:w="80"/>
              <w:left w:type="dxa" w:w="100"/>
              <w:bottom w:type="dxa" w:w="80"/>
              <w:right w:type="dxa" w:w="100"/>
            </w:tcMar>
          </w:tcPr>
          <w:p>
            <w:pPr>
              <w:pStyle w:val="Tabla"/>
            </w:pPr>
            <w:r>
              <w:rPr>
                <w:b/>
                <w:bCs/>
              </w:rPr>
              <w:t xml:space="preserve">Términos intercambiables</w:t>
            </w:r>
          </w:p>
        </w:tc>
      </w:tr>
      <w:tr>
        <w:trPr>
          <w:cantSplit/>
          <w:tblHeader w:val="off"/>
        </w:trPr>
        <w:tc>
          <w:tcPr>
            <w:tcW w:type="dxa" w:w="3212"/>
            <w:tcMar>
              <w:top w:type="dxa" w:w="80"/>
              <w:left w:type="dxa" w:w="100"/>
              <w:bottom w:type="dxa" w:w="80"/>
              <w:right w:type="dxa" w:w="100"/>
            </w:tcMar>
          </w:tcPr>
          <w:p>
            <w:pPr>
              <w:pStyle w:val="Tabla"/>
            </w:pPr>
            <w:r>
              <w:t xml:space="preserve">1</w:t>
            </w:r>
          </w:p>
        </w:tc>
        <w:tc>
          <w:tcPr>
            <w:tcW w:type="dxa" w:w="3210"/>
            <w:tcMar>
              <w:top w:type="dxa" w:w="80"/>
              <w:left w:type="dxa" w:w="100"/>
              <w:bottom w:type="dxa" w:w="80"/>
              <w:right w:type="dxa" w:w="100"/>
            </w:tcMar>
          </w:tcPr>
          <w:p>
            <w:pPr>
              <w:pStyle w:val="Tabla"/>
            </w:pPr>
            <w:r>
              <w:t xml:space="preserve">Totalidad</w:t>
            </w:r>
          </w:p>
        </w:tc>
        <w:tc>
          <w:tcPr>
            <w:tcW w:type="dxa" w:w="3210"/>
            <w:tcMar>
              <w:top w:type="dxa" w:w="80"/>
              <w:left w:type="dxa" w:w="100"/>
              <w:bottom w:type="dxa" w:w="80"/>
              <w:right w:type="dxa" w:w="100"/>
            </w:tcMar>
          </w:tcPr>
          <w:p>
            <w:pPr>
              <w:pStyle w:val="Tabla"/>
            </w:pPr>
            <w:r>
              <w:t xml:space="preserve">totalidad · todo</w:t>
            </w:r>
          </w:p>
        </w:tc>
      </w:tr>
      <w:tr>
        <w:trPr>
          <w:cantSplit/>
          <w:tblHeader w:val="off"/>
        </w:trPr>
        <w:tc>
          <w:tcPr>
            <w:tcW w:type="dxa" w:w="3212"/>
            <w:tcMar>
              <w:top w:type="dxa" w:w="80"/>
              <w:left w:type="dxa" w:w="100"/>
              <w:bottom w:type="dxa" w:w="80"/>
              <w:right w:type="dxa" w:w="100"/>
            </w:tcMar>
          </w:tcPr>
          <w:p>
            <w:pPr>
              <w:pStyle w:val="Tabla"/>
            </w:pPr>
            <w:r>
              <w:t xml:space="preserve">2</w:t>
            </w:r>
          </w:p>
        </w:tc>
        <w:tc>
          <w:tcPr>
            <w:tcW w:type="dxa" w:w="3210"/>
            <w:tcMar>
              <w:top w:type="dxa" w:w="80"/>
              <w:left w:type="dxa" w:w="100"/>
              <w:bottom w:type="dxa" w:w="80"/>
              <w:right w:type="dxa" w:w="100"/>
            </w:tcMar>
          </w:tcPr>
          <w:p>
            <w:pPr>
              <w:pStyle w:val="Tabla"/>
            </w:pPr>
            <w:r>
              <w:t xml:space="preserve">Componentes</w:t>
            </w:r>
          </w:p>
        </w:tc>
        <w:tc>
          <w:tcPr>
            <w:tcW w:type="dxa" w:w="3210"/>
            <w:tcMar>
              <w:top w:type="dxa" w:w="80"/>
              <w:left w:type="dxa" w:w="100"/>
              <w:bottom w:type="dxa" w:w="80"/>
              <w:right w:type="dxa" w:w="100"/>
            </w:tcMar>
          </w:tcPr>
          <w:p>
            <w:pPr>
              <w:pStyle w:val="Tabla"/>
            </w:pPr>
            <w:r>
              <w:t xml:space="preserve">componentes · partes · elementos · subsistemas</w:t>
            </w:r>
          </w:p>
        </w:tc>
      </w:tr>
      <w:tr>
        <w:trPr>
          <w:cantSplit/>
          <w:tblHeader w:val="off"/>
        </w:trPr>
        <w:tc>
          <w:tcPr>
            <w:tcW w:type="dxa" w:w="3212"/>
            <w:tcMar>
              <w:top w:type="dxa" w:w="80"/>
              <w:left w:type="dxa" w:w="100"/>
              <w:bottom w:type="dxa" w:w="80"/>
              <w:right w:type="dxa" w:w="100"/>
            </w:tcMar>
          </w:tcPr>
          <w:p>
            <w:pPr>
              <w:pStyle w:val="Tabla"/>
            </w:pPr>
            <w:r>
              <w:t xml:space="preserve">3</w:t>
            </w:r>
          </w:p>
        </w:tc>
        <w:tc>
          <w:tcPr>
            <w:tcW w:type="dxa" w:w="3210"/>
            <w:tcMar>
              <w:top w:type="dxa" w:w="80"/>
              <w:left w:type="dxa" w:w="100"/>
              <w:bottom w:type="dxa" w:w="80"/>
              <w:right w:type="dxa" w:w="100"/>
            </w:tcMar>
          </w:tcPr>
          <w:p>
            <w:pPr>
              <w:pStyle w:val="Tabla"/>
            </w:pPr>
            <w:r>
              <w:t xml:space="preserve">Relaciones</w:t>
            </w:r>
          </w:p>
        </w:tc>
        <w:tc>
          <w:tcPr>
            <w:tcW w:type="dxa" w:w="3210"/>
            <w:tcMar>
              <w:top w:type="dxa" w:w="80"/>
              <w:left w:type="dxa" w:w="100"/>
              <w:bottom w:type="dxa" w:w="80"/>
              <w:right w:type="dxa" w:w="100"/>
            </w:tcMar>
          </w:tcPr>
          <w:p>
            <w:pPr>
              <w:pStyle w:val="Tabla"/>
            </w:pPr>
            <w:r>
              <w:t xml:space="preserve">relaciones · interacciones · conexiones · interdependencias</w:t>
            </w:r>
          </w:p>
        </w:tc>
      </w:tr>
      <w:tr>
        <w:trPr>
          <w:cantSplit/>
          <w:tblHeader w:val="off"/>
        </w:trPr>
        <w:tc>
          <w:tcPr>
            <w:tcW w:type="dxa" w:w="3212"/>
            <w:tcMar>
              <w:top w:type="dxa" w:w="80"/>
              <w:left w:type="dxa" w:w="100"/>
              <w:bottom w:type="dxa" w:w="80"/>
              <w:right w:type="dxa" w:w="100"/>
            </w:tcMar>
          </w:tcPr>
          <w:p>
            <w:pPr>
              <w:pStyle w:val="Tabla"/>
            </w:pPr>
            <w:r>
              <w:t xml:space="preserve">4</w:t>
            </w:r>
          </w:p>
        </w:tc>
        <w:tc>
          <w:tcPr>
            <w:tcW w:type="dxa" w:w="3210"/>
            <w:tcMar>
              <w:top w:type="dxa" w:w="80"/>
              <w:left w:type="dxa" w:w="100"/>
              <w:bottom w:type="dxa" w:w="80"/>
              <w:right w:type="dxa" w:w="100"/>
            </w:tcMar>
          </w:tcPr>
          <w:p>
            <w:pPr>
              <w:pStyle w:val="Tabla"/>
            </w:pPr>
            <w:r>
              <w:t xml:space="preserve">Objetivos</w:t>
            </w:r>
          </w:p>
        </w:tc>
        <w:tc>
          <w:tcPr>
            <w:tcW w:type="dxa" w:w="3210"/>
            <w:tcMar>
              <w:top w:type="dxa" w:w="80"/>
              <w:left w:type="dxa" w:w="100"/>
              <w:bottom w:type="dxa" w:w="80"/>
              <w:right w:type="dxa" w:w="100"/>
            </w:tcMar>
          </w:tcPr>
          <w:p>
            <w:pPr>
              <w:pStyle w:val="Tabla"/>
            </w:pPr>
            <w:r>
              <w:t xml:space="preserve">objetivos · metas · razón de ser</w:t>
            </w:r>
          </w:p>
        </w:tc>
      </w:tr>
      <w:tr>
        <w:trPr>
          <w:cantSplit/>
          <w:tblHeader w:val="off"/>
        </w:trPr>
        <w:tc>
          <w:tcPr>
            <w:tcW w:type="dxa" w:w="3212"/>
            <w:tcMar>
              <w:top w:type="dxa" w:w="80"/>
              <w:left w:type="dxa" w:w="100"/>
              <w:bottom w:type="dxa" w:w="80"/>
              <w:right w:type="dxa" w:w="100"/>
            </w:tcMar>
          </w:tcPr>
          <w:p>
            <w:pPr>
              <w:pStyle w:val="Tabla"/>
            </w:pPr>
            <w:r>
              <w:t xml:space="preserve">5</w:t>
            </w:r>
          </w:p>
        </w:tc>
        <w:tc>
          <w:tcPr>
            <w:tcW w:type="dxa" w:w="3210"/>
            <w:tcMar>
              <w:top w:type="dxa" w:w="80"/>
              <w:left w:type="dxa" w:w="100"/>
              <w:bottom w:type="dxa" w:w="80"/>
              <w:right w:type="dxa" w:w="100"/>
            </w:tcMar>
          </w:tcPr>
          <w:p>
            <w:pPr>
              <w:pStyle w:val="Tabla"/>
            </w:pPr>
            <w:r>
              <w:t xml:space="preserve">Evolución</w:t>
            </w:r>
          </w:p>
        </w:tc>
        <w:tc>
          <w:tcPr>
            <w:tcW w:type="dxa" w:w="3210"/>
            <w:tcMar>
              <w:top w:type="dxa" w:w="80"/>
              <w:left w:type="dxa" w:w="100"/>
              <w:bottom w:type="dxa" w:w="80"/>
              <w:right w:type="dxa" w:w="100"/>
            </w:tcMar>
          </w:tcPr>
          <w:p>
            <w:pPr>
              <w:pStyle w:val="Tabla"/>
            </w:pPr>
            <w:r>
              <w:t xml:space="preserve">evoluciona · mejora · presenta diferentes características · conforme pasa el tiempo</w:t>
            </w:r>
          </w:p>
        </w:tc>
      </w:tr>
      <w:tr>
        <w:trPr>
          <w:cantSplit/>
          <w:tblHeader w:val="off"/>
        </w:trPr>
        <w:tc>
          <w:tcPr>
            <w:tcW w:type="dxa" w:w="3212"/>
            <w:tcMar>
              <w:top w:type="dxa" w:w="80"/>
              <w:left w:type="dxa" w:w="100"/>
              <w:bottom w:type="dxa" w:w="80"/>
              <w:right w:type="dxa" w:w="100"/>
            </w:tcMar>
          </w:tcPr>
          <w:p>
            <w:pPr>
              <w:pStyle w:val="Tabla"/>
            </w:pPr>
            <w:r>
              <w:t xml:space="preserve">6</w:t>
            </w:r>
          </w:p>
        </w:tc>
        <w:tc>
          <w:tcPr>
            <w:tcW w:type="dxa" w:w="3210"/>
            <w:tcMar>
              <w:top w:type="dxa" w:w="80"/>
              <w:left w:type="dxa" w:w="100"/>
              <w:bottom w:type="dxa" w:w="80"/>
              <w:right w:type="dxa" w:w="100"/>
            </w:tcMar>
          </w:tcPr>
          <w:p>
            <w:pPr>
              <w:pStyle w:val="Tabla"/>
            </w:pPr>
            <w:r>
              <w:t xml:space="preserve">Entorno y frontera</w:t>
            </w:r>
          </w:p>
        </w:tc>
        <w:tc>
          <w:tcPr>
            <w:tcW w:type="dxa" w:w="3210"/>
            <w:tcMar>
              <w:top w:type="dxa" w:w="80"/>
              <w:left w:type="dxa" w:w="100"/>
              <w:bottom w:type="dxa" w:w="80"/>
              <w:right w:type="dxa" w:w="100"/>
            </w:tcMar>
          </w:tcPr>
          <w:p>
            <w:pPr>
              <w:pStyle w:val="Tabla"/>
            </w:pPr>
            <w:r>
              <w:t xml:space="preserve">exterior · ambiente · contexto · medio · límites · frontera</w:t>
            </w:r>
          </w:p>
        </w:tc>
      </w:tr>
      <w:tr>
        <w:trPr>
          <w:cantSplit/>
          <w:tblHeader w:val="off"/>
        </w:trPr>
        <w:tc>
          <w:tcPr>
            <w:tcW w:type="dxa" w:w="3212"/>
            <w:tcMar>
              <w:top w:type="dxa" w:w="80"/>
              <w:left w:type="dxa" w:w="100"/>
              <w:bottom w:type="dxa" w:w="80"/>
              <w:right w:type="dxa" w:w="100"/>
            </w:tcMar>
          </w:tcPr>
          <w:p>
            <w:pPr>
              <w:pStyle w:val="Tabla"/>
            </w:pPr>
            <w:r>
              <w:t xml:space="preserve">7</w:t>
            </w:r>
          </w:p>
        </w:tc>
        <w:tc>
          <w:tcPr>
            <w:tcW w:type="dxa" w:w="3210"/>
            <w:tcMar>
              <w:top w:type="dxa" w:w="80"/>
              <w:left w:type="dxa" w:w="100"/>
              <w:bottom w:type="dxa" w:w="80"/>
              <w:right w:type="dxa" w:w="100"/>
            </w:tcMar>
          </w:tcPr>
          <w:p>
            <w:pPr>
              <w:pStyle w:val="Tabla"/>
            </w:pPr>
            <w:r>
              <w:t xml:space="preserve">Estructura organizada</w:t>
            </w:r>
          </w:p>
        </w:tc>
        <w:tc>
          <w:tcPr>
            <w:tcW w:type="dxa" w:w="3210"/>
            <w:tcMar>
              <w:top w:type="dxa" w:w="80"/>
              <w:left w:type="dxa" w:w="100"/>
              <w:bottom w:type="dxa" w:w="80"/>
              <w:right w:type="dxa" w:w="100"/>
            </w:tcMar>
          </w:tcPr>
          <w:p>
            <w:pPr>
              <w:pStyle w:val="Tabla"/>
            </w:pPr>
            <w:r>
              <w:t xml:space="preserve">estructura organizada · organización · reglas · principios · procedimientos · serie de pasos</w:t>
            </w:r>
          </w:p>
        </w:tc>
      </w:tr>
      <w:tr>
        <w:trPr>
          <w:cantSplit/>
          <w:tblHeader w:val="off"/>
        </w:trPr>
        <w:tc>
          <w:tcPr>
            <w:tcW w:type="dxa" w:w="3212"/>
            <w:tcMar>
              <w:top w:type="dxa" w:w="80"/>
              <w:left w:type="dxa" w:w="100"/>
              <w:bottom w:type="dxa" w:w="80"/>
              <w:right w:type="dxa" w:w="100"/>
            </w:tcMar>
          </w:tcPr>
          <w:p>
            <w:pPr>
              <w:pStyle w:val="Tabla"/>
            </w:pPr>
            <w:r>
              <w:t xml:space="preserve">8</w:t>
            </w:r>
          </w:p>
        </w:tc>
        <w:tc>
          <w:tcPr>
            <w:tcW w:type="dxa" w:w="3210"/>
            <w:tcMar>
              <w:top w:type="dxa" w:w="80"/>
              <w:left w:type="dxa" w:w="100"/>
              <w:bottom w:type="dxa" w:w="80"/>
              <w:right w:type="dxa" w:w="100"/>
            </w:tcMar>
          </w:tcPr>
          <w:p>
            <w:pPr>
              <w:pStyle w:val="Tabla"/>
            </w:pPr>
            <w:r>
              <w:t xml:space="preserve">Entradas</w:t>
            </w:r>
          </w:p>
        </w:tc>
        <w:tc>
          <w:tcPr>
            <w:tcW w:type="dxa" w:w="3210"/>
            <w:tcMar>
              <w:top w:type="dxa" w:w="80"/>
              <w:left w:type="dxa" w:w="100"/>
              <w:bottom w:type="dxa" w:w="80"/>
              <w:right w:type="dxa" w:w="100"/>
            </w:tcMar>
          </w:tcPr>
          <w:p>
            <w:pPr>
              <w:pStyle w:val="Tabla"/>
            </w:pPr>
            <w:r>
              <w:t xml:space="preserve">entradas · input</w:t>
            </w:r>
          </w:p>
        </w:tc>
      </w:tr>
      <w:tr>
        <w:trPr>
          <w:cantSplit/>
          <w:tblHeader w:val="off"/>
        </w:trPr>
        <w:tc>
          <w:tcPr>
            <w:tcW w:type="dxa" w:w="3212"/>
            <w:tcMar>
              <w:top w:type="dxa" w:w="80"/>
              <w:left w:type="dxa" w:w="100"/>
              <w:bottom w:type="dxa" w:w="80"/>
              <w:right w:type="dxa" w:w="100"/>
            </w:tcMar>
          </w:tcPr>
          <w:p>
            <w:pPr>
              <w:pStyle w:val="Tabla"/>
            </w:pPr>
            <w:r>
              <w:t xml:space="preserve">9</w:t>
            </w:r>
          </w:p>
        </w:tc>
        <w:tc>
          <w:tcPr>
            <w:tcW w:type="dxa" w:w="3210"/>
            <w:tcMar>
              <w:top w:type="dxa" w:w="80"/>
              <w:left w:type="dxa" w:w="100"/>
              <w:bottom w:type="dxa" w:w="80"/>
              <w:right w:type="dxa" w:w="100"/>
            </w:tcMar>
          </w:tcPr>
          <w:p>
            <w:pPr>
              <w:pStyle w:val="Tabla"/>
            </w:pPr>
            <w:r>
              <w:t xml:space="preserve">Salidas</w:t>
            </w:r>
          </w:p>
        </w:tc>
        <w:tc>
          <w:tcPr>
            <w:tcW w:type="dxa" w:w="3210"/>
            <w:tcMar>
              <w:top w:type="dxa" w:w="80"/>
              <w:left w:type="dxa" w:w="100"/>
              <w:bottom w:type="dxa" w:w="80"/>
              <w:right w:type="dxa" w:w="100"/>
            </w:tcMar>
          </w:tcPr>
          <w:p>
            <w:pPr>
              <w:pStyle w:val="Tabla"/>
            </w:pPr>
            <w:r>
              <w:t xml:space="preserve">salidas · output</w:t>
            </w:r>
          </w:p>
        </w:tc>
      </w:tr>
    </w:tbl>
    <w:p>
      <w:pPr>
        <w:pStyle w:val="Fuente"/>
      </w:pPr>
      <w:r>
        <w:t xml:space="preserve">Lámina 7 de la clase 6. Cada viñeta es un racimo de sinónimos: el examen puede usar cualquiera de los términos del racimo.</w:t>
      </w:r>
    </w:p>
    <w:p>
      <w:pPr>
        <w:pStyle w:val="Heading3"/>
      </w:pPr>
      <w:bookmarkStart w:name="b_tabla_2_2_g1_autores" w:id="1419"/>
      <w:r>
        <w:t xml:space="preserve">Quién dijo qué</w:t>
      </w:r>
      <w:bookmarkEnd w:id="1419"/>
    </w:p>
    <w:tbl>
      <w:tblPr>
        <w:tblW w:type="dxa" w:w="9632"/>
        <w:tblBorders>
          <w:top w:val="single" w:color="C5D5DB" w:sz="4"/>
          <w:left w:val="single" w:color="C5D5DB" w:sz="4"/>
          <w:bottom w:val="single" w:color="C5D5DB" w:sz="4"/>
          <w:right w:val="single" w:color="C5D5DB" w:sz="4"/>
          <w:insideH w:val="single" w:color="E4E9EB" w:sz="3"/>
          <w:insideV w:val="single" w:color="E4E9EB" w:sz="3"/>
        </w:tblBorders>
        <w:tblLayout w:type="fixed"/>
      </w:tblPr>
      <w:tblGrid>
        <w:gridCol w:w="3212"/>
        <w:gridCol w:w="3210"/>
        <w:gridCol w:w="3210"/>
      </w:tblGrid>
      <w:tr>
        <w:trPr>
          <w:cantSplit/>
          <w:tblHeader/>
        </w:trPr>
        <w:tc>
          <w:tcPr>
            <w:tcW w:type="dxa" w:w="3212"/>
            <w:shd w:fill="DFEAF0" w:val="clear"/>
            <w:tcMar>
              <w:top w:type="dxa" w:w="80"/>
              <w:left w:type="dxa" w:w="100"/>
              <w:bottom w:type="dxa" w:w="80"/>
              <w:right w:type="dxa" w:w="100"/>
            </w:tcMar>
          </w:tcPr>
          <w:p>
            <w:pPr>
              <w:pStyle w:val="Tabla"/>
            </w:pPr>
            <w:r>
              <w:rPr>
                <w:b/>
                <w:bCs/>
              </w:rPr>
              <w:t xml:space="preserve">Autor</w:t>
            </w:r>
          </w:p>
        </w:tc>
        <w:tc>
          <w:tcPr>
            <w:tcW w:type="dxa" w:w="3210"/>
            <w:shd w:fill="DFEAF0" w:val="clear"/>
            <w:tcMar>
              <w:top w:type="dxa" w:w="80"/>
              <w:left w:type="dxa" w:w="100"/>
              <w:bottom w:type="dxa" w:w="80"/>
              <w:right w:type="dxa" w:w="100"/>
            </w:tcMar>
          </w:tcPr>
          <w:p>
            <w:pPr>
              <w:pStyle w:val="Tabla"/>
            </w:pPr>
            <w:r>
              <w:rPr>
                <w:b/>
                <w:bCs/>
              </w:rPr>
              <w:t xml:space="preserve">Se le atribuye</w:t>
            </w:r>
          </w:p>
        </w:tc>
        <w:tc>
          <w:tcPr>
            <w:tcW w:type="dxa" w:w="3210"/>
            <w:shd w:fill="DFEAF0" w:val="clear"/>
            <w:tcMar>
              <w:top w:type="dxa" w:w="80"/>
              <w:left w:type="dxa" w:w="100"/>
              <w:bottom w:type="dxa" w:w="80"/>
              <w:right w:type="dxa" w:w="100"/>
            </w:tcMar>
          </w:tcPr>
          <w:p>
            <w:pPr>
              <w:pStyle w:val="Tabla"/>
            </w:pPr>
            <w:r>
              <w:rPr>
                <w:b/>
                <w:bCs/>
              </w:rPr>
              <w:t xml:space="preserve">Dónde entra</w:t>
            </w:r>
          </w:p>
        </w:tc>
      </w:tr>
      <w:tr>
        <w:trPr>
          <w:cantSplit/>
          <w:tblHeader w:val="off"/>
        </w:trPr>
        <w:tc>
          <w:tcPr>
            <w:tcW w:type="dxa" w:w="3212"/>
            <w:tcMar>
              <w:top w:type="dxa" w:w="80"/>
              <w:left w:type="dxa" w:w="100"/>
              <w:bottom w:type="dxa" w:w="80"/>
              <w:right w:type="dxa" w:w="100"/>
            </w:tcMar>
          </w:tcPr>
          <w:p>
            <w:pPr>
              <w:pStyle w:val="Tabla"/>
            </w:pPr>
            <w:r>
              <w:t xml:space="preserve">J. L. Le Moigne</w:t>
            </w:r>
          </w:p>
        </w:tc>
        <w:tc>
          <w:tcPr>
            <w:tcW w:type="dxa" w:w="3210"/>
            <w:tcMar>
              <w:top w:type="dxa" w:w="80"/>
              <w:left w:type="dxa" w:w="100"/>
              <w:bottom w:type="dxa" w:w="80"/>
              <w:right w:type="dxa" w:w="100"/>
            </w:tcMar>
          </w:tcPr>
          <w:p>
            <w:pPr>
              <w:pStyle w:val="Tabla"/>
            </w:pPr>
            <w:r>
              <w:t xml:space="preserve">La definición de objeto y el sistema generalizado; el paradigma de sistemas como teoría generalista.</w:t>
            </w:r>
          </w:p>
        </w:tc>
        <w:tc>
          <w:tcPr>
            <w:tcW w:type="dxa" w:w="3210"/>
            <w:tcMar>
              <w:top w:type="dxa" w:w="80"/>
              <w:left w:type="dxa" w:w="100"/>
              <w:bottom w:type="dxa" w:w="80"/>
              <w:right w:type="dxa" w:w="100"/>
            </w:tcMar>
          </w:tcPr>
          <w:p>
            <w:pPr>
              <w:pStyle w:val="Tabla"/>
            </w:pPr>
            <w:r>
              <w:t xml:space="preserve">1.3 · 2.2</w:t>
            </w:r>
          </w:p>
        </w:tc>
      </w:tr>
      <w:tr>
        <w:trPr>
          <w:cantSplit/>
          <w:tblHeader w:val="off"/>
        </w:trPr>
        <w:tc>
          <w:tcPr>
            <w:tcW w:type="dxa" w:w="3212"/>
            <w:tcMar>
              <w:top w:type="dxa" w:w="80"/>
              <w:left w:type="dxa" w:w="100"/>
              <w:bottom w:type="dxa" w:w="80"/>
              <w:right w:type="dxa" w:w="100"/>
            </w:tcMar>
          </w:tcPr>
          <w:p>
            <w:pPr>
              <w:pStyle w:val="Tabla"/>
            </w:pPr>
            <w:r>
              <w:t xml:space="preserve">Derek y Laura Cabrera</w:t>
            </w:r>
          </w:p>
        </w:tc>
        <w:tc>
          <w:tcPr>
            <w:tcW w:type="dxa" w:w="3210"/>
            <w:tcMar>
              <w:top w:type="dxa" w:w="80"/>
              <w:left w:type="dxa" w:w="100"/>
              <w:bottom w:type="dxa" w:w="80"/>
              <w:right w:type="dxa" w:w="100"/>
            </w:tcMar>
          </w:tcPr>
          <w:p>
            <w:pPr>
              <w:pStyle w:val="Tabla"/>
            </w:pPr>
            <w:r>
              <w:t xml:space="preserve">Las cuatro reglas simples DSRP y el pensamiento sistémico como propiedad emergente; la discordancia.</w:t>
            </w:r>
          </w:p>
        </w:tc>
        <w:tc>
          <w:tcPr>
            <w:tcW w:type="dxa" w:w="3210"/>
            <w:tcMar>
              <w:top w:type="dxa" w:w="80"/>
              <w:left w:type="dxa" w:w="100"/>
              <w:bottom w:type="dxa" w:w="80"/>
              <w:right w:type="dxa" w:w="100"/>
            </w:tcMar>
          </w:tcPr>
          <w:p>
            <w:pPr>
              <w:pStyle w:val="Tabla"/>
            </w:pPr>
            <w:r>
              <w:t xml:space="preserve">1.6</w:t>
            </w:r>
          </w:p>
        </w:tc>
      </w:tr>
      <w:tr>
        <w:trPr>
          <w:cantSplit/>
          <w:tblHeader w:val="off"/>
        </w:trPr>
        <w:tc>
          <w:tcPr>
            <w:tcW w:type="dxa" w:w="3212"/>
            <w:tcMar>
              <w:top w:type="dxa" w:w="80"/>
              <w:left w:type="dxa" w:w="100"/>
              <w:bottom w:type="dxa" w:w="80"/>
              <w:right w:type="dxa" w:w="100"/>
            </w:tcMar>
          </w:tcPr>
          <w:p>
            <w:pPr>
              <w:pStyle w:val="Tabla"/>
            </w:pPr>
            <w:r>
              <w:t xml:space="preserve">Joel Barker</w:t>
            </w:r>
          </w:p>
        </w:tc>
        <w:tc>
          <w:tcPr>
            <w:tcW w:type="dxa" w:w="3210"/>
            <w:tcMar>
              <w:top w:type="dxa" w:w="80"/>
              <w:left w:type="dxa" w:w="100"/>
              <w:bottom w:type="dxa" w:w="80"/>
              <w:right w:type="dxa" w:w="100"/>
            </w:tcMar>
          </w:tcPr>
          <w:p>
            <w:pPr>
              <w:pStyle w:val="Tabla"/>
            </w:pPr>
            <w:r>
              <w:t xml:space="preserve">Definición de paradigma, las nueve observaciones, parálisis paradigmática, efecto paradigma, enfermedad de la certidumbre y la regla de vuelta a cero.</w:t>
            </w:r>
          </w:p>
        </w:tc>
        <w:tc>
          <w:tcPr>
            <w:tcW w:type="dxa" w:w="3210"/>
            <w:tcMar>
              <w:top w:type="dxa" w:w="80"/>
              <w:left w:type="dxa" w:w="100"/>
              <w:bottom w:type="dxa" w:w="80"/>
              <w:right w:type="dxa" w:w="100"/>
            </w:tcMar>
          </w:tcPr>
          <w:p>
            <w:pPr>
              <w:pStyle w:val="Tabla"/>
            </w:pPr>
            <w:r>
              <w:t xml:space="preserve">1.1</w:t>
            </w:r>
          </w:p>
        </w:tc>
      </w:tr>
      <w:tr>
        <w:trPr>
          <w:cantSplit/>
          <w:tblHeader w:val="off"/>
        </w:trPr>
        <w:tc>
          <w:tcPr>
            <w:tcW w:type="dxa" w:w="3212"/>
            <w:tcMar>
              <w:top w:type="dxa" w:w="80"/>
              <w:left w:type="dxa" w:w="100"/>
              <w:bottom w:type="dxa" w:w="80"/>
              <w:right w:type="dxa" w:w="100"/>
            </w:tcMar>
          </w:tcPr>
          <w:p>
            <w:pPr>
              <w:pStyle w:val="Tabla"/>
            </w:pPr>
            <w:r>
              <w:t xml:space="preserve">Adam Smith</w:t>
            </w:r>
          </w:p>
        </w:tc>
        <w:tc>
          <w:tcPr>
            <w:tcW w:type="dxa" w:w="3210"/>
            <w:tcMar>
              <w:top w:type="dxa" w:w="80"/>
              <w:left w:type="dxa" w:w="100"/>
              <w:bottom w:type="dxa" w:w="80"/>
              <w:right w:type="dxa" w:w="100"/>
            </w:tcMar>
          </w:tcPr>
          <w:p>
            <w:pPr>
              <w:pStyle w:val="Tabla"/>
            </w:pPr>
            <w:r>
              <w:t xml:space="preserve">Definición de paradigma en «Los poderes de la mente».</w:t>
            </w:r>
          </w:p>
        </w:tc>
        <w:tc>
          <w:tcPr>
            <w:tcW w:type="dxa" w:w="3210"/>
            <w:tcMar>
              <w:top w:type="dxa" w:w="80"/>
              <w:left w:type="dxa" w:w="100"/>
              <w:bottom w:type="dxa" w:w="80"/>
              <w:right w:type="dxa" w:w="100"/>
            </w:tcMar>
          </w:tcPr>
          <w:p>
            <w:pPr>
              <w:pStyle w:val="Tabla"/>
            </w:pPr>
            <w:r>
              <w:t xml:space="preserve">1.1</w:t>
            </w:r>
          </w:p>
        </w:tc>
      </w:tr>
      <w:tr>
        <w:trPr>
          <w:cantSplit/>
          <w:tblHeader w:val="off"/>
        </w:trPr>
        <w:tc>
          <w:tcPr>
            <w:tcW w:type="dxa" w:w="3212"/>
            <w:tcMar>
              <w:top w:type="dxa" w:w="80"/>
              <w:left w:type="dxa" w:w="100"/>
              <w:bottom w:type="dxa" w:w="80"/>
              <w:right w:type="dxa" w:w="100"/>
            </w:tcMar>
          </w:tcPr>
          <w:p>
            <w:pPr>
              <w:pStyle w:val="Tabla"/>
            </w:pPr>
            <w:r>
              <w:t xml:space="preserve">Willis Harmon</w:t>
            </w:r>
          </w:p>
        </w:tc>
        <w:tc>
          <w:tcPr>
            <w:tcW w:type="dxa" w:w="3210"/>
            <w:tcMar>
              <w:top w:type="dxa" w:w="80"/>
              <w:left w:type="dxa" w:w="100"/>
              <w:bottom w:type="dxa" w:w="80"/>
              <w:right w:type="dxa" w:w="100"/>
            </w:tcMar>
          </w:tcPr>
          <w:p>
            <w:pPr>
              <w:pStyle w:val="Tabla"/>
            </w:pPr>
            <w:r>
              <w:t xml:space="preserve">Definición de paradigma en «Guía incompleta para el futuro» (grafía de la lámina).</w:t>
            </w:r>
          </w:p>
        </w:tc>
        <w:tc>
          <w:tcPr>
            <w:tcW w:type="dxa" w:w="3210"/>
            <w:tcMar>
              <w:top w:type="dxa" w:w="80"/>
              <w:left w:type="dxa" w:w="100"/>
              <w:bottom w:type="dxa" w:w="80"/>
              <w:right w:type="dxa" w:w="100"/>
            </w:tcMar>
          </w:tcPr>
          <w:p>
            <w:pPr>
              <w:pStyle w:val="Tabla"/>
            </w:pPr>
            <w:r>
              <w:t xml:space="preserve">1.1</w:t>
            </w:r>
          </w:p>
        </w:tc>
      </w:tr>
      <w:tr>
        <w:trPr>
          <w:cantSplit/>
          <w:tblHeader w:val="off"/>
        </w:trPr>
        <w:tc>
          <w:tcPr>
            <w:tcW w:type="dxa" w:w="3212"/>
            <w:tcMar>
              <w:top w:type="dxa" w:w="80"/>
              <w:left w:type="dxa" w:w="100"/>
              <w:bottom w:type="dxa" w:w="80"/>
              <w:right w:type="dxa" w:w="100"/>
            </w:tcMar>
          </w:tcPr>
          <w:p>
            <w:pPr>
              <w:pStyle w:val="Tabla"/>
            </w:pPr>
            <w:r>
              <w:t xml:space="preserve">Chris Argyris</w:t>
            </w:r>
          </w:p>
        </w:tc>
        <w:tc>
          <w:tcPr>
            <w:tcW w:type="dxa" w:w="3210"/>
            <w:tcMar>
              <w:top w:type="dxa" w:w="80"/>
              <w:left w:type="dxa" w:w="100"/>
              <w:bottom w:type="dxa" w:w="80"/>
              <w:right w:type="dxa" w:w="100"/>
            </w:tcMar>
          </w:tcPr>
          <w:p>
            <w:pPr>
              <w:pStyle w:val="Tabla"/>
            </w:pPr>
            <w:r>
              <w:t xml:space="preserve">La escalera de inferencias y la columna de la mano izquierda.</w:t>
            </w:r>
          </w:p>
        </w:tc>
        <w:tc>
          <w:tcPr>
            <w:tcW w:type="dxa" w:w="3210"/>
            <w:tcMar>
              <w:top w:type="dxa" w:w="80"/>
              <w:left w:type="dxa" w:w="100"/>
              <w:bottom w:type="dxa" w:w="80"/>
              <w:right w:type="dxa" w:w="100"/>
            </w:tcMar>
          </w:tcPr>
          <w:p>
            <w:pPr>
              <w:pStyle w:val="Tabla"/>
            </w:pPr>
            <w:r>
              <w:t xml:space="preserve">1.2</w:t>
            </w:r>
          </w:p>
        </w:tc>
      </w:tr>
      <w:tr>
        <w:trPr>
          <w:cantSplit/>
          <w:tblHeader w:val="off"/>
        </w:trPr>
        <w:tc>
          <w:tcPr>
            <w:tcW w:type="dxa" w:w="3212"/>
            <w:tcMar>
              <w:top w:type="dxa" w:w="80"/>
              <w:left w:type="dxa" w:w="100"/>
              <w:bottom w:type="dxa" w:w="80"/>
              <w:right w:type="dxa" w:w="100"/>
            </w:tcMar>
          </w:tcPr>
          <w:p>
            <w:pPr>
              <w:pStyle w:val="Tabla"/>
            </w:pPr>
            <w:r>
              <w:t xml:space="preserve">Peter Senge y Fredy Kofman</w:t>
            </w:r>
          </w:p>
        </w:tc>
        <w:tc>
          <w:tcPr>
            <w:tcW w:type="dxa" w:w="3210"/>
            <w:tcMar>
              <w:top w:type="dxa" w:w="80"/>
              <w:left w:type="dxa" w:w="100"/>
              <w:bottom w:type="dxa" w:w="80"/>
              <w:right w:type="dxa" w:w="100"/>
            </w:tcMar>
          </w:tcPr>
          <w:p>
            <w:pPr>
              <w:pStyle w:val="Tabla"/>
            </w:pPr>
            <w:r>
              <w:t xml:space="preserve">Difundieron la escalera; el caso Acme de los cuatro niveles.</w:t>
            </w:r>
          </w:p>
        </w:tc>
        <w:tc>
          <w:tcPr>
            <w:tcW w:type="dxa" w:w="3210"/>
            <w:tcMar>
              <w:top w:type="dxa" w:w="80"/>
              <w:left w:type="dxa" w:w="100"/>
              <w:bottom w:type="dxa" w:w="80"/>
              <w:right w:type="dxa" w:w="100"/>
            </w:tcMar>
          </w:tcPr>
          <w:p>
            <w:pPr>
              <w:pStyle w:val="Tabla"/>
            </w:pPr>
            <w:r>
              <w:t xml:space="preserve">1.2 · 1.7</w:t>
            </w:r>
          </w:p>
        </w:tc>
      </w:tr>
      <w:tr>
        <w:trPr>
          <w:cantSplit/>
          <w:tblHeader w:val="off"/>
        </w:trPr>
        <w:tc>
          <w:tcPr>
            <w:tcW w:type="dxa" w:w="3212"/>
            <w:tcMar>
              <w:top w:type="dxa" w:w="80"/>
              <w:left w:type="dxa" w:w="100"/>
              <w:bottom w:type="dxa" w:w="80"/>
              <w:right w:type="dxa" w:w="100"/>
            </w:tcMar>
          </w:tcPr>
          <w:p>
            <w:pPr>
              <w:pStyle w:val="Tabla"/>
            </w:pPr>
            <w:r>
              <w:t xml:space="preserve">Joseph O'Connor e Ian McDermott</w:t>
            </w:r>
          </w:p>
        </w:tc>
        <w:tc>
          <w:tcPr>
            <w:tcW w:type="dxa" w:w="3210"/>
            <w:tcMar>
              <w:top w:type="dxa" w:w="80"/>
              <w:left w:type="dxa" w:w="100"/>
              <w:bottom w:type="dxa" w:w="80"/>
              <w:right w:type="dxa" w:w="100"/>
            </w:tcMar>
          </w:tcPr>
          <w:p>
            <w:pPr>
              <w:pStyle w:val="Tabla"/>
            </w:pPr>
            <w:r>
              <w:t xml:space="preserve">Las cuatro operaciones mentales: eliminación, construcción, distorsión y generalización.</w:t>
            </w:r>
          </w:p>
        </w:tc>
        <w:tc>
          <w:tcPr>
            <w:tcW w:type="dxa" w:w="3210"/>
            <w:tcMar>
              <w:top w:type="dxa" w:w="80"/>
              <w:left w:type="dxa" w:w="100"/>
              <w:bottom w:type="dxa" w:w="80"/>
              <w:right w:type="dxa" w:w="100"/>
            </w:tcMar>
          </w:tcPr>
          <w:p>
            <w:pPr>
              <w:pStyle w:val="Tabla"/>
            </w:pPr>
            <w:r>
              <w:t xml:space="preserve">1.2</w:t>
            </w:r>
          </w:p>
        </w:tc>
      </w:tr>
      <w:tr>
        <w:trPr>
          <w:cantSplit/>
          <w:tblHeader w:val="off"/>
        </w:trPr>
        <w:tc>
          <w:tcPr>
            <w:tcW w:type="dxa" w:w="3212"/>
            <w:tcMar>
              <w:top w:type="dxa" w:w="80"/>
              <w:left w:type="dxa" w:w="100"/>
              <w:bottom w:type="dxa" w:w="80"/>
              <w:right w:type="dxa" w:w="100"/>
            </w:tcMar>
          </w:tcPr>
          <w:p>
            <w:pPr>
              <w:pStyle w:val="Tabla"/>
            </w:pPr>
            <w:r>
              <w:t xml:space="preserve">Peter Checkland</w:t>
            </w:r>
          </w:p>
        </w:tc>
        <w:tc>
          <w:tcPr>
            <w:tcW w:type="dxa" w:w="3210"/>
            <w:tcMar>
              <w:top w:type="dxa" w:w="80"/>
              <w:left w:type="dxa" w:w="100"/>
              <w:bottom w:type="dxa" w:w="80"/>
              <w:right w:type="dxa" w:w="100"/>
            </w:tcMar>
          </w:tcPr>
          <w:p>
            <w:pPr>
              <w:pStyle w:val="Tabla"/>
            </w:pPr>
            <w:r>
              <w:t xml:space="preserve">El mapa del universo en cuatro familias de sistemas; la Weltanschauung.</w:t>
            </w:r>
          </w:p>
        </w:tc>
        <w:tc>
          <w:tcPr>
            <w:tcW w:type="dxa" w:w="3210"/>
            <w:tcMar>
              <w:top w:type="dxa" w:w="80"/>
              <w:left w:type="dxa" w:w="100"/>
              <w:bottom w:type="dxa" w:w="80"/>
              <w:right w:type="dxa" w:w="100"/>
            </w:tcMar>
          </w:tcPr>
          <w:p>
            <w:pPr>
              <w:pStyle w:val="Tabla"/>
            </w:pPr>
            <w:r>
              <w:t xml:space="preserve">2.7</w:t>
            </w:r>
          </w:p>
        </w:tc>
      </w:tr>
      <w:tr>
        <w:trPr>
          <w:cantSplit/>
          <w:tblHeader w:val="off"/>
        </w:trPr>
        <w:tc>
          <w:tcPr>
            <w:tcW w:type="dxa" w:w="3212"/>
            <w:tcMar>
              <w:top w:type="dxa" w:w="80"/>
              <w:left w:type="dxa" w:w="100"/>
              <w:bottom w:type="dxa" w:w="80"/>
              <w:right w:type="dxa" w:w="100"/>
            </w:tcMar>
          </w:tcPr>
          <w:p>
            <w:pPr>
              <w:pStyle w:val="Tabla"/>
            </w:pPr>
            <w:r>
              <w:t xml:space="preserve">Ludwig von Bertalanffy</w:t>
            </w:r>
          </w:p>
        </w:tc>
        <w:tc>
          <w:tcPr>
            <w:tcW w:type="dxa" w:w="3210"/>
            <w:tcMar>
              <w:top w:type="dxa" w:w="80"/>
              <w:left w:type="dxa" w:w="100"/>
              <w:bottom w:type="dxa" w:w="80"/>
              <w:right w:type="dxa" w:w="100"/>
            </w:tcMar>
          </w:tcPr>
          <w:p>
            <w:pPr>
              <w:pStyle w:val="Tabla"/>
            </w:pPr>
            <w:r>
              <w:t xml:space="preserve">Fundó la Teoría General de Sistemas; el organismo como sistema abierto, los isomorfismos y la equifinalidad.</w:t>
            </w:r>
          </w:p>
        </w:tc>
        <w:tc>
          <w:tcPr>
            <w:tcW w:type="dxa" w:w="3210"/>
            <w:tcMar>
              <w:top w:type="dxa" w:w="80"/>
              <w:left w:type="dxa" w:w="100"/>
              <w:bottom w:type="dxa" w:w="80"/>
              <w:right w:type="dxa" w:w="100"/>
            </w:tcMar>
          </w:tcPr>
          <w:p>
            <w:pPr>
              <w:pStyle w:val="Tabla"/>
            </w:pPr>
            <w:r>
              <w:t xml:space="preserve">2.1 · 2.8</w:t>
            </w:r>
          </w:p>
        </w:tc>
      </w:tr>
      <w:tr>
        <w:trPr>
          <w:cantSplit/>
          <w:tblHeader w:val="off"/>
        </w:trPr>
        <w:tc>
          <w:tcPr>
            <w:tcW w:type="dxa" w:w="3212"/>
            <w:tcMar>
              <w:top w:type="dxa" w:w="80"/>
              <w:left w:type="dxa" w:w="100"/>
              <w:bottom w:type="dxa" w:w="80"/>
              <w:right w:type="dxa" w:w="100"/>
            </w:tcMar>
          </w:tcPr>
          <w:p>
            <w:pPr>
              <w:pStyle w:val="Tabla"/>
            </w:pPr>
            <w:r>
              <w:t xml:space="preserve">Walter Cannon</w:t>
            </w:r>
          </w:p>
        </w:tc>
        <w:tc>
          <w:tcPr>
            <w:tcW w:type="dxa" w:w="3210"/>
            <w:tcMar>
              <w:top w:type="dxa" w:w="80"/>
              <w:left w:type="dxa" w:w="100"/>
              <w:bottom w:type="dxa" w:w="80"/>
              <w:right w:type="dxa" w:w="100"/>
            </w:tcMar>
          </w:tcPr>
          <w:p>
            <w:pPr>
              <w:pStyle w:val="Tabla"/>
            </w:pPr>
            <w:r>
              <w:t xml:space="preserve">Acuñó homeostasis (1929), sobre el «medio interno» de Claude Bernard.</w:t>
            </w:r>
          </w:p>
        </w:tc>
        <w:tc>
          <w:tcPr>
            <w:tcW w:type="dxa" w:w="3210"/>
            <w:tcMar>
              <w:top w:type="dxa" w:w="80"/>
              <w:left w:type="dxa" w:w="100"/>
              <w:bottom w:type="dxa" w:w="80"/>
              <w:right w:type="dxa" w:w="100"/>
            </w:tcMar>
          </w:tcPr>
          <w:p>
            <w:pPr>
              <w:pStyle w:val="Tabla"/>
            </w:pPr>
            <w:r>
              <w:t xml:space="preserve">2.8</w:t>
            </w:r>
          </w:p>
        </w:tc>
      </w:tr>
      <w:tr>
        <w:trPr>
          <w:cantSplit/>
          <w:tblHeader w:val="off"/>
        </w:trPr>
        <w:tc>
          <w:tcPr>
            <w:tcW w:type="dxa" w:w="3212"/>
            <w:tcMar>
              <w:top w:type="dxa" w:w="80"/>
              <w:left w:type="dxa" w:w="100"/>
              <w:bottom w:type="dxa" w:w="80"/>
              <w:right w:type="dxa" w:w="100"/>
            </w:tcMar>
          </w:tcPr>
          <w:p>
            <w:pPr>
              <w:pStyle w:val="Tabla"/>
            </w:pPr>
            <w:r>
              <w:t xml:space="preserve">Schrödinger y Brillouin</w:t>
            </w:r>
          </w:p>
        </w:tc>
        <w:tc>
          <w:tcPr>
            <w:tcW w:type="dxa" w:w="3210"/>
            <w:tcMar>
              <w:top w:type="dxa" w:w="80"/>
              <w:left w:type="dxa" w:w="100"/>
              <w:bottom w:type="dxa" w:w="80"/>
              <w:right w:type="dxa" w:w="100"/>
            </w:tcMar>
          </w:tcPr>
          <w:p>
            <w:pPr>
              <w:pStyle w:val="Tabla"/>
            </w:pPr>
            <w:r>
              <w:t xml:space="preserve">«Se alimenta de entropía negativa»; la acuñación del término neguentropía.</w:t>
            </w:r>
          </w:p>
        </w:tc>
        <w:tc>
          <w:tcPr>
            <w:tcW w:type="dxa" w:w="3210"/>
            <w:tcMar>
              <w:top w:type="dxa" w:w="80"/>
              <w:left w:type="dxa" w:w="100"/>
              <w:bottom w:type="dxa" w:w="80"/>
              <w:right w:type="dxa" w:w="100"/>
            </w:tcMar>
          </w:tcPr>
          <w:p>
            <w:pPr>
              <w:pStyle w:val="Tabla"/>
            </w:pPr>
            <w:r>
              <w:t xml:space="preserve">2.8</w:t>
            </w:r>
          </w:p>
        </w:tc>
      </w:tr>
      <w:tr>
        <w:trPr>
          <w:cantSplit/>
          <w:tblHeader w:val="off"/>
        </w:trPr>
        <w:tc>
          <w:tcPr>
            <w:tcW w:type="dxa" w:w="3212"/>
            <w:tcMar>
              <w:top w:type="dxa" w:w="80"/>
              <w:left w:type="dxa" w:w="100"/>
              <w:bottom w:type="dxa" w:w="80"/>
              <w:right w:type="dxa" w:w="100"/>
            </w:tcMar>
          </w:tcPr>
          <w:p>
            <w:pPr>
              <w:pStyle w:val="Tabla"/>
            </w:pPr>
            <w:r>
              <w:t xml:space="preserve">Norbert Wiener</w:t>
            </w:r>
          </w:p>
        </w:tc>
        <w:tc>
          <w:tcPr>
            <w:tcW w:type="dxa" w:w="3210"/>
            <w:tcMar>
              <w:top w:type="dxa" w:w="80"/>
              <w:left w:type="dxa" w:w="100"/>
              <w:bottom w:type="dxa" w:w="80"/>
              <w:right w:type="dxa" w:w="100"/>
            </w:tcMar>
          </w:tcPr>
          <w:p>
            <w:pPr>
              <w:pStyle w:val="Tabla"/>
            </w:pPr>
            <w:r>
              <w:t xml:space="preserve">Fundó la cibernética: retroalimentación y control.</w:t>
            </w:r>
          </w:p>
        </w:tc>
        <w:tc>
          <w:tcPr>
            <w:tcW w:type="dxa" w:w="3210"/>
            <w:tcMar>
              <w:top w:type="dxa" w:w="80"/>
              <w:left w:type="dxa" w:w="100"/>
              <w:bottom w:type="dxa" w:w="80"/>
              <w:right w:type="dxa" w:w="100"/>
            </w:tcMar>
          </w:tcPr>
          <w:p>
            <w:pPr>
              <w:pStyle w:val="Tabla"/>
            </w:pPr>
            <w:r>
              <w:t xml:space="preserve">2.8</w:t>
            </w:r>
          </w:p>
        </w:tc>
      </w:tr>
      <w:tr>
        <w:trPr>
          <w:cantSplit/>
          <w:tblHeader w:val="off"/>
        </w:trPr>
        <w:tc>
          <w:tcPr>
            <w:tcW w:type="dxa" w:w="3212"/>
            <w:tcMar>
              <w:top w:type="dxa" w:w="80"/>
              <w:left w:type="dxa" w:w="100"/>
              <w:bottom w:type="dxa" w:w="80"/>
              <w:right w:type="dxa" w:w="100"/>
            </w:tcMar>
          </w:tcPr>
          <w:p>
            <w:pPr>
              <w:pStyle w:val="Tabla"/>
            </w:pPr>
            <w:r>
              <w:t xml:space="preserve">W. Ross Ashby</w:t>
            </w:r>
          </w:p>
        </w:tc>
        <w:tc>
          <w:tcPr>
            <w:tcW w:type="dxa" w:w="3210"/>
            <w:tcMar>
              <w:top w:type="dxa" w:w="80"/>
              <w:left w:type="dxa" w:w="100"/>
              <w:bottom w:type="dxa" w:w="80"/>
              <w:right w:type="dxa" w:w="100"/>
            </w:tcMar>
          </w:tcPr>
          <w:p>
            <w:pPr>
              <w:pStyle w:val="Tabla"/>
            </w:pPr>
            <w:r>
              <w:t xml:space="preserve">La ley de la variedad requerida. Ampliación bibliográfica: no se dictó.</w:t>
            </w:r>
          </w:p>
        </w:tc>
        <w:tc>
          <w:tcPr>
            <w:tcW w:type="dxa" w:w="3210"/>
            <w:tcMar>
              <w:top w:type="dxa" w:w="80"/>
              <w:left w:type="dxa" w:w="100"/>
              <w:bottom w:type="dxa" w:w="80"/>
              <w:right w:type="dxa" w:w="100"/>
            </w:tcMar>
          </w:tcPr>
          <w:p>
            <w:pPr>
              <w:pStyle w:val="Tabla"/>
            </w:pPr>
            <w:r>
              <w:t xml:space="preserve">2.8</w:t>
            </w:r>
          </w:p>
        </w:tc>
      </w:tr>
      <w:tr>
        <w:trPr>
          <w:cantSplit/>
          <w:tblHeader w:val="off"/>
        </w:trPr>
        <w:tc>
          <w:tcPr>
            <w:tcW w:type="dxa" w:w="3212"/>
            <w:tcMar>
              <w:top w:type="dxa" w:w="80"/>
              <w:left w:type="dxa" w:w="100"/>
              <w:bottom w:type="dxa" w:w="80"/>
              <w:right w:type="dxa" w:w="100"/>
            </w:tcMar>
          </w:tcPr>
          <w:p>
            <w:pPr>
              <w:pStyle w:val="Tabla"/>
            </w:pPr>
            <w:r>
              <w:t xml:space="preserve">Arthur Koestler</w:t>
            </w:r>
          </w:p>
        </w:tc>
        <w:tc>
          <w:tcPr>
            <w:tcW w:type="dxa" w:w="3210"/>
            <w:tcMar>
              <w:top w:type="dxa" w:w="80"/>
              <w:left w:type="dxa" w:w="100"/>
              <w:bottom w:type="dxa" w:w="80"/>
              <w:right w:type="dxa" w:w="100"/>
            </w:tcMar>
          </w:tcPr>
          <w:p>
            <w:pPr>
              <w:pStyle w:val="Tabla"/>
            </w:pPr>
            <w:r>
              <w:t xml:space="preserve">Holón y holarquía: lo que es todo y parte a la vez.</w:t>
            </w:r>
          </w:p>
        </w:tc>
        <w:tc>
          <w:tcPr>
            <w:tcW w:type="dxa" w:w="3210"/>
            <w:tcMar>
              <w:top w:type="dxa" w:w="80"/>
              <w:left w:type="dxa" w:w="100"/>
              <w:bottom w:type="dxa" w:w="80"/>
              <w:right w:type="dxa" w:w="100"/>
            </w:tcMar>
          </w:tcPr>
          <w:p>
            <w:pPr>
              <w:pStyle w:val="Tabla"/>
            </w:pPr>
            <w:r>
              <w:t xml:space="preserve">2.4</w:t>
            </w:r>
          </w:p>
        </w:tc>
      </w:tr>
      <w:tr>
        <w:trPr>
          <w:cantSplit/>
          <w:tblHeader w:val="off"/>
        </w:trPr>
        <w:tc>
          <w:tcPr>
            <w:tcW w:type="dxa" w:w="3212"/>
            <w:tcMar>
              <w:top w:type="dxa" w:w="80"/>
              <w:left w:type="dxa" w:w="100"/>
              <w:bottom w:type="dxa" w:w="80"/>
              <w:right w:type="dxa" w:w="100"/>
            </w:tcMar>
          </w:tcPr>
          <w:p>
            <w:pPr>
              <w:pStyle w:val="Tabla"/>
            </w:pPr>
            <w:r>
              <w:t xml:space="preserve">Kenneth Boulding</w:t>
            </w:r>
          </w:p>
        </w:tc>
        <w:tc>
          <w:tcPr>
            <w:tcW w:type="dxa" w:w="3210"/>
            <w:tcMar>
              <w:top w:type="dxa" w:w="80"/>
              <w:left w:type="dxa" w:w="100"/>
              <w:bottom w:type="dxa" w:w="80"/>
              <w:right w:type="dxa" w:w="100"/>
            </w:tcMar>
          </w:tcPr>
          <w:p>
            <w:pPr>
              <w:pStyle w:val="Tabla"/>
            </w:pPr>
            <w:r>
              <w:t xml:space="preserve">Una jerarquía de sistemas por grado de complejidad. Se menciona; sus niveles no se enumeraron en clase.</w:t>
            </w:r>
          </w:p>
        </w:tc>
        <w:tc>
          <w:tcPr>
            <w:tcW w:type="dxa" w:w="3210"/>
            <w:tcMar>
              <w:top w:type="dxa" w:w="80"/>
              <w:left w:type="dxa" w:w="100"/>
              <w:bottom w:type="dxa" w:w="80"/>
              <w:right w:type="dxa" w:w="100"/>
            </w:tcMar>
          </w:tcPr>
          <w:p>
            <w:pPr>
              <w:pStyle w:val="Tabla"/>
            </w:pPr>
            <w:r>
              <w:t xml:space="preserve">2.4</w:t>
            </w:r>
          </w:p>
        </w:tc>
      </w:tr>
      <w:tr>
        <w:trPr>
          <w:cantSplit/>
          <w:tblHeader w:val="off"/>
        </w:trPr>
        <w:tc>
          <w:tcPr>
            <w:tcW w:type="dxa" w:w="3212"/>
            <w:tcMar>
              <w:top w:type="dxa" w:w="80"/>
              <w:left w:type="dxa" w:w="100"/>
              <w:bottom w:type="dxa" w:w="80"/>
              <w:right w:type="dxa" w:w="100"/>
            </w:tcMar>
          </w:tcPr>
          <w:p>
            <w:pPr>
              <w:pStyle w:val="Tabla"/>
            </w:pPr>
            <w:r>
              <w:t xml:space="preserve">Donella Meadows</w:t>
            </w:r>
          </w:p>
        </w:tc>
        <w:tc>
          <w:tcPr>
            <w:tcW w:type="dxa" w:w="3210"/>
            <w:tcMar>
              <w:top w:type="dxa" w:w="80"/>
              <w:left w:type="dxa" w:w="100"/>
              <w:bottom w:type="dxa" w:w="80"/>
              <w:right w:type="dxa" w:w="100"/>
            </w:tcMar>
          </w:tcPr>
          <w:p>
            <w:pPr>
              <w:pStyle w:val="Tabla"/>
            </w:pPr>
            <w:r>
              <w:t xml:space="preserve">Elementos, interconexiones y función o propósito. Complemento bibliográfico: para el examen manda la lámina.</w:t>
            </w:r>
          </w:p>
        </w:tc>
        <w:tc>
          <w:tcPr>
            <w:tcW w:type="dxa" w:w="3210"/>
            <w:tcMar>
              <w:top w:type="dxa" w:w="80"/>
              <w:left w:type="dxa" w:w="100"/>
              <w:bottom w:type="dxa" w:w="80"/>
              <w:right w:type="dxa" w:w="100"/>
            </w:tcMar>
          </w:tcPr>
          <w:p>
            <w:pPr>
              <w:pStyle w:val="Tabla"/>
            </w:pPr>
            <w:r>
              <w:t xml:space="preserve">2.2</w:t>
            </w:r>
          </w:p>
        </w:tc>
      </w:tr>
      <w:tr>
        <w:trPr>
          <w:cantSplit/>
          <w:tblHeader w:val="off"/>
        </w:trPr>
        <w:tc>
          <w:tcPr>
            <w:tcW w:type="dxa" w:w="3212"/>
            <w:tcMar>
              <w:top w:type="dxa" w:w="80"/>
              <w:left w:type="dxa" w:w="100"/>
              <w:bottom w:type="dxa" w:w="80"/>
              <w:right w:type="dxa" w:w="100"/>
            </w:tcMar>
          </w:tcPr>
          <w:p>
            <w:pPr>
              <w:pStyle w:val="Tabla"/>
            </w:pPr>
            <w:r>
              <w:t xml:space="preserve">Waters Center (Benson y Marlin)</w:t>
            </w:r>
          </w:p>
        </w:tc>
        <w:tc>
          <w:tcPr>
            <w:tcW w:type="dxa" w:w="3210"/>
            <w:tcMar>
              <w:top w:type="dxa" w:w="80"/>
              <w:left w:type="dxa" w:w="100"/>
              <w:bottom w:type="dxa" w:w="80"/>
              <w:right w:type="dxa" w:w="100"/>
            </w:tcMar>
          </w:tcPr>
          <w:p>
            <w:pPr>
              <w:pStyle w:val="Tabla"/>
            </w:pPr>
            <w:r>
              <w:t xml:space="preserve">Los quince cursos y catorce hábitos del pensador sistémico.</w:t>
            </w:r>
          </w:p>
        </w:tc>
        <w:tc>
          <w:tcPr>
            <w:tcW w:type="dxa" w:w="3210"/>
            <w:tcMar>
              <w:top w:type="dxa" w:w="80"/>
              <w:left w:type="dxa" w:w="100"/>
              <w:bottom w:type="dxa" w:w="80"/>
              <w:right w:type="dxa" w:w="100"/>
            </w:tcMar>
          </w:tcPr>
          <w:p>
            <w:pPr>
              <w:pStyle w:val="Tabla"/>
            </w:pPr>
            <w:r>
              <w:t xml:space="preserve">1.8 · 2.9</w:t>
            </w:r>
          </w:p>
        </w:tc>
      </w:tr>
      <w:tr>
        <w:trPr>
          <w:cantSplit/>
          <w:tblHeader w:val="off"/>
        </w:trPr>
        <w:tc>
          <w:tcPr>
            <w:tcW w:type="dxa" w:w="3212"/>
            <w:tcMar>
              <w:top w:type="dxa" w:w="80"/>
              <w:left w:type="dxa" w:w="100"/>
              <w:bottom w:type="dxa" w:w="80"/>
              <w:right w:type="dxa" w:w="100"/>
            </w:tcMar>
          </w:tcPr>
          <w:p>
            <w:pPr>
              <w:pStyle w:val="Tabla"/>
            </w:pPr>
            <w:r>
              <w:t xml:space="preserve">Guadalupe Nogués</w:t>
            </w:r>
          </w:p>
        </w:tc>
        <w:tc>
          <w:tcPr>
            <w:tcW w:type="dxa" w:w="3210"/>
            <w:tcMar>
              <w:top w:type="dxa" w:w="80"/>
              <w:left w:type="dxa" w:w="100"/>
              <w:bottom w:type="dxa" w:w="80"/>
              <w:right w:type="dxa" w:w="100"/>
            </w:tcMar>
          </w:tcPr>
          <w:p>
            <w:pPr>
              <w:pStyle w:val="Tabla"/>
            </w:pPr>
            <w:r>
              <w:t xml:space="preserve">Pluralismo, aprender a escuchar y separar las ideas de las personas.</w:t>
            </w:r>
          </w:p>
        </w:tc>
        <w:tc>
          <w:tcPr>
            <w:tcW w:type="dxa" w:w="3210"/>
            <w:tcMar>
              <w:top w:type="dxa" w:w="80"/>
              <w:left w:type="dxa" w:w="100"/>
              <w:bottom w:type="dxa" w:w="80"/>
              <w:right w:type="dxa" w:w="100"/>
            </w:tcMar>
          </w:tcPr>
          <w:p>
            <w:pPr>
              <w:pStyle w:val="Tabla"/>
            </w:pPr>
            <w:r>
              <w:t xml:space="preserve">1.5</w:t>
            </w:r>
          </w:p>
        </w:tc>
      </w:tr>
    </w:tbl>
    <w:p>
      <w:pPr>
        <w:pStyle w:val="Fuente"/>
      </w:pPr>
      <w:r>
        <w:t xml:space="preserve">Única tabla redactada por el portal: reúne atribuciones repartidas entre lecciones. Ackoff, Churchman y los nueve niveles de Boulding no son materia de este curso; no los cite.</w:t>
      </w:r>
    </w:p>
    <w:p>
      <w:pPr>
        <w:pStyle w:val="Heading3"/>
      </w:pPr>
      <w:r>
        <w:t xml:space="preserve">Lo que dicen las presentaciones</w:t>
      </w:r>
    </w:p>
    <w:p>
      <w:pPr>
        <w:pStyle w:val="Heading3"/>
      </w:pPr>
      <w:bookmarkStart w:name="b_pagina_2_2_C_6_p5" w:id="1420"/>
      <w:r>
        <w:t xml:space="preserve">C-6 · página 5 · El concepto de sistema generalizado</w:t>
      </w:r>
      <w:bookmarkEnd w:id="1420"/>
    </w:p>
    <w:p>
      <w:pPr>
        <w:pStyle w:val="Normal"/>
      </w:pPr>
      <w:r>
        <w:t xml:space="preserve">Cuatro definiciones complementarias, incluida la evolución sin pérdida de identidad de Le Moigne.</w:t>
      </w:r>
    </w:p>
    <w:p>
      <w:pPr>
        <w:pStyle w:val="Fuente"/>
      </w:pPr>
      <w:r>
        <w:t xml:space="preserve">Proyección o explicación: Clase 6 · 00:42:52 · captura c6-06.</w:t>
      </w:r>
    </w:p>
    <w:p>
      <w:pPr>
        <w:keepNext/>
        <w:spacing w:after="40" w:before="150"/>
        <w:jc w:val="center"/>
      </w:pPr>
      <w:bookmarkStart w:name="b_figura_original_pagina_C_6_5" w:id="1421"/>
      <w:bookmarkEnd w:id="1421"/>
      <w:r>
        <w:drawing>
          <wp:inline distT="0" distB="0" distL="0" distR="0">
            <wp:extent cx="5381625" cy="4162425"/>
            <wp:effectExtent t="0" r="0" b="0" l="0"/>
            <wp:docPr id="37" name="pagina-C-6-5" descr="Presentación C-6, pág. 5" title="El concepto de sistema generaliza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23" cstate="none"/>
                    <a:srcRect/>
                    <a:stretch>
                      <a:fillRect/>
                    </a:stretch>
                  </pic:blipFill>
                  <pic:spPr bwMode="auto">
                    <a:xfrm>
                      <a:off x="0" y="0"/>
                      <a:ext cx="5381625" cy="4162425"/>
                    </a:xfrm>
                    <a:prstGeom prst="rect">
                      <a:avLst/>
                    </a:prstGeom>
                  </pic:spPr>
                </pic:pic>
              </a:graphicData>
            </a:graphic>
          </wp:inline>
        </w:drawing>
      </w:r>
    </w:p>
    <w:p>
      <w:pPr>
        <w:pStyle w:val="PieFigura"/>
        <w:keepNext/>
      </w:pPr>
      <w:bookmarkStart w:name="b_fig_2_2_1" w:id="1422"/>
      <w:r>
        <w:t xml:space="preserve">Figura 2.2.</w:t>
      </w:r>
      <w:fldSimple w:instr="SEQ Figura \r 1 \* ARABIC">
        <w:r>
          <w:t xml:space="preserve">1</w:t>
        </w:r>
      </w:fldSimple>
      <w:r>
        <w:t xml:space="preserve"> · El concepto de sistema generalizado</w:t>
      </w:r>
      <w:bookmarkEnd w:id="1422"/>
    </w:p>
    <w:p>
      <w:pPr>
        <w:pStyle w:val="Fuente"/>
      </w:pPr>
      <w:r>
        <w:t xml:space="preserve">Presentación C-6, pág. 5</w:t>
      </w:r>
    </w:p>
    <w:p>
      <w:bookmarkStart w:name="b_punto_c6_p005_01" w:id="1423"/>
      <w:r>
        <w:t xml:space="preserve">Sistema como conjunto de partes coordinadas y en interacción para alcanzar un objetivo.</w:t>
      </w:r>
      <w:bookmarkEnd w:id="1423"/>
    </w:p>
    <w:p>
      <w:bookmarkStart w:name="b_punto_c6_p005_02" w:id="1424"/>
      <w:r>
        <w:t xml:space="preserve">Componentes interrelacionados transforman entradas y generan salidas orientadas a una meta común.</w:t>
      </w:r>
      <w:bookmarkEnd w:id="1424"/>
    </w:p>
    <w:p>
      <w:bookmarkStart w:name="b_punto_c6_p005_03" w:id="1425"/>
      <w:r>
        <w:t xml:space="preserve">Elementos dinámicamente relacionados realizan actividad en un ambiente y forman una totalidad distinta.</w:t>
      </w:r>
      <w:bookmarkEnd w:id="1425"/>
    </w:p>
    <w:p>
      <w:bookmarkStart w:name="b_punto_c6_p005_04" w:id="1426"/>
      <w:r>
        <w:t xml:space="preserve">Le Moigne: objeto con fines, entorno, actividad y estructura que evoluciona sin perder identidad.</w:t>
      </w:r>
      <w:bookmarkEnd w:id="1426"/>
    </w:p>
    <w:p>
      <w:pPr>
        <w:pStyle w:val="Heading3"/>
      </w:pPr>
      <w:bookmarkStart w:name="b_pagina_2_2_C_6_p6" w:id="1427"/>
      <w:r>
        <w:t xml:space="preserve">C-6 · página 6 · Conceptos importantes asociados al sistema</w:t>
      </w:r>
      <w:bookmarkEnd w:id="1427"/>
    </w:p>
    <w:p>
      <w:pPr>
        <w:pStyle w:val="Normal"/>
      </w:pPr>
      <w:r>
        <w:t xml:space="preserve">Nueve términos de la definición general, de totalidad a salidas.</w:t>
      </w:r>
    </w:p>
    <w:p>
      <w:pPr>
        <w:pStyle w:val="Fuente"/>
      </w:pPr>
      <w:r>
        <w:t xml:space="preserve">Proyección o explicación: Clase 6 · 00:51:02 · captura c6-07.</w:t>
      </w:r>
    </w:p>
    <w:p>
      <w:pPr>
        <w:keepNext/>
        <w:spacing w:after="40" w:before="150"/>
        <w:jc w:val="center"/>
      </w:pPr>
      <w:bookmarkStart w:name="b_figura_original_pagina_C_6_6" w:id="1428"/>
      <w:bookmarkEnd w:id="1428"/>
      <w:r>
        <w:drawing>
          <wp:inline distT="0" distB="0" distL="0" distR="0">
            <wp:extent cx="5381625" cy="4162425"/>
            <wp:effectExtent t="0" r="0" b="0" l="0"/>
            <wp:docPr id="38" name="pagina-C-6-6" descr="Presentación C-6, pág. 6" title="Conceptos importantes asociados al siste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24" cstate="none"/>
                    <a:srcRect/>
                    <a:stretch>
                      <a:fillRect/>
                    </a:stretch>
                  </pic:blipFill>
                  <pic:spPr bwMode="auto">
                    <a:xfrm>
                      <a:off x="0" y="0"/>
                      <a:ext cx="5381625" cy="4162425"/>
                    </a:xfrm>
                    <a:prstGeom prst="rect">
                      <a:avLst/>
                    </a:prstGeom>
                  </pic:spPr>
                </pic:pic>
              </a:graphicData>
            </a:graphic>
          </wp:inline>
        </w:drawing>
      </w:r>
    </w:p>
    <w:p>
      <w:pPr>
        <w:pStyle w:val="PieFigura"/>
        <w:keepNext/>
      </w:pPr>
      <w:bookmarkStart w:name="b_fig_2_2_2" w:id="1429"/>
      <w:r>
        <w:t xml:space="preserve">Figura 2.2.</w:t>
      </w:r>
      <w:fldSimple w:instr="SEQ Figura \n \* ARABIC">
        <w:r>
          <w:t xml:space="preserve">2</w:t>
        </w:r>
      </w:fldSimple>
      <w:r>
        <w:t xml:space="preserve"> · Conceptos importantes asociados al sistema</w:t>
      </w:r>
      <w:bookmarkEnd w:id="1429"/>
    </w:p>
    <w:p>
      <w:pPr>
        <w:pStyle w:val="Fuente"/>
      </w:pPr>
      <w:r>
        <w:t xml:space="preserve">Presentación C-6, pág. 6</w:t>
      </w:r>
    </w:p>
    <w:p>
      <w:bookmarkStart w:name="b_punto_c6_p006_01" w:id="1430"/>
      <w:r>
        <w:t xml:space="preserve">Totalidad o todo integra partes y relaciones.</w:t>
      </w:r>
      <w:bookmarkEnd w:id="1430"/>
    </w:p>
    <w:p>
      <w:bookmarkStart w:name="b_punto_c6_p006_02" w:id="1431"/>
      <w:r>
        <w:t xml:space="preserve">Componentes, partes o elementos pueden ser subsistemas.</w:t>
      </w:r>
      <w:bookmarkEnd w:id="1431"/>
    </w:p>
    <w:p>
      <w:bookmarkStart w:name="b_punto_c6_p006_03" w:id="1432"/>
      <w:r>
        <w:t xml:space="preserve">Relaciones se expresan como interacciones, conexiones e interdependencias.</w:t>
      </w:r>
      <w:bookmarkEnd w:id="1432"/>
    </w:p>
    <w:p>
      <w:bookmarkStart w:name="b_punto_c6_p006_04" w:id="1433"/>
      <w:r>
        <w:t xml:space="preserve">Objetivos, metas y razón de ser forman parte del vocabulario general.</w:t>
      </w:r>
      <w:bookmarkEnd w:id="1433"/>
    </w:p>
    <w:p>
      <w:bookmarkStart w:name="b_punto_c6_p006_05" w:id="1434"/>
      <w:r>
        <w:t xml:space="preserve">La lámina afirma que todo sistema evoluciona, mejora y presenta características diferentes en el tiempo.</w:t>
      </w:r>
      <w:bookmarkEnd w:id="1434"/>
    </w:p>
    <w:p>
      <w:bookmarkStart w:name="b_punto_c6_p006_06" w:id="1435"/>
      <w:r>
        <w:t xml:space="preserve">Exterior, ambiente, contexto o medio quedan fuera de un límite o frontera del sistema.</w:t>
      </w:r>
      <w:bookmarkEnd w:id="1435"/>
    </w:p>
    <w:p>
      <w:bookmarkStart w:name="b_punto_c6_p006_07" w:id="1436"/>
      <w:r>
        <w:t xml:space="preserve">Organización, reglas, principios, procedimientos o pasos describen la estructura organizada.</w:t>
      </w:r>
      <w:bookmarkEnd w:id="1436"/>
    </w:p>
    <w:p>
      <w:pPr>
        <w:pStyle w:val="Fuente"/>
      </w:pPr>
      <w:r>
        <w:t xml:space="preserve">Véase </w:t>
      </w:r>
      <w:hyperlink w:history="1" w:anchor="b_2_3">
        <w:r>
          <w:rPr>
            <w:color w:val="156B70"/>
            <w:u w:val="single"/>
          </w:rPr>
          <w:t xml:space="preserve">capítulo 2.3 · Estructura de los sistemas</w:t>
        </w:r>
      </w:hyperlink>
      <w:r>
        <w:t xml:space="preserve">, pág. </w:t>
      </w:r>
      <w:r>
        <w:fldChar w:fldCharType="begin"/>
        <w:instrText xml:space="preserve">PAGEREF b_2_3 \h</w:instrText>
        <w:fldChar w:fldCharType="separate"/>
        <w:t xml:space="preserve">259</w:t>
        <w:fldChar w:fldCharType="end"/>
      </w:r>
      <w:r>
        <w:t xml:space="preserve">.</w:t>
      </w:r>
    </w:p>
    <w:p>
      <w:pPr>
        <w:pStyle w:val="Heading3"/>
      </w:pPr>
      <w:bookmarkStart w:name="b_pagina_2_2_C_6_p47" w:id="1437"/>
      <w:r>
        <w:t xml:space="preserve">C-6 · página 47 · Conglomerado versus sistema</w:t>
      </w:r>
      <w:bookmarkEnd w:id="1437"/>
    </w:p>
    <w:p>
      <w:pPr>
        <w:pStyle w:val="Normal"/>
      </w:pPr>
      <w:r>
        <w:t xml:space="preserve">Seis estados del mosaico comparan desorden, pérdida de piezas y totalidad ordenada.</w:t>
      </w:r>
    </w:p>
    <w:p>
      <w:pPr>
        <w:pStyle w:val="Fuente"/>
      </w:pPr>
      <w:r>
        <w:t xml:space="preserve">Proyección o explicación: Clase 8 · 00:46:32 · captura c8-13.</w:t>
      </w:r>
    </w:p>
    <w:p>
      <w:bookmarkStart w:name="b_punto_c6_p047_04" w:id="1438"/>
      <w:r>
        <w:t xml:space="preserve">Distinguir sistema de conglomerado requiere relaciones y comportamiento conjunto.</w:t>
      </w:r>
      <w:bookmarkEnd w:id="1438"/>
    </w:p>
    <w:p>
      <w:pPr>
        <w:pStyle w:val="Fuente"/>
      </w:pPr>
      <w:r>
        <w:t xml:space="preserve">Véase </w:t>
      </w:r>
      <w:hyperlink w:history="1" w:anchor="b_2_5">
        <w:r>
          <w:rPr>
            <w:color w:val="156B70"/>
            <w:u w:val="single"/>
          </w:rPr>
          <w:t xml:space="preserve">capítulo 2.5 · Sinergia y emergencia</w:t>
        </w:r>
      </w:hyperlink>
      <w:r>
        <w:t xml:space="preserve">, pág. </w:t>
      </w:r>
      <w:r>
        <w:fldChar w:fldCharType="begin"/>
        <w:instrText xml:space="preserve">PAGEREF b_2_5 \h</w:instrText>
        <w:fldChar w:fldCharType="separate"/>
        <w:t xml:space="preserve">292</w:t>
        <w:fldChar w:fldCharType="end"/>
      </w:r>
      <w:r>
        <w:t xml:space="preserve">.</w:t>
      </w:r>
    </w:p>
    <w:p>
      <w:pPr>
        <w:pStyle w:val="Heading3"/>
      </w:pPr>
      <w:bookmarkStart w:name="b_pagina_2_2_C_6_p48" w:id="1439"/>
      <w:r>
        <w:t xml:space="preserve">C-6 · página 48 · Sistema versus montón o conglomerado</w:t>
      </w:r>
      <w:bookmarkEnd w:id="1439"/>
    </w:p>
    <w:p>
      <w:pPr>
        <w:pStyle w:val="Normal"/>
      </w:pPr>
      <w:r>
        <w:t xml:space="preserve">Cinco contrastes comparan interconexión, piezas, disposición, trabajo conjunto y comportamiento.</w:t>
      </w:r>
    </w:p>
    <w:p>
      <w:pPr>
        <w:pStyle w:val="Fuente"/>
      </w:pPr>
      <w:r>
        <w:t xml:space="preserve">Proyección o explicación: Clase 8 · 00:47:52 · captura c8-14.</w:t>
      </w:r>
    </w:p>
    <w:p>
      <w:bookmarkStart w:name="b_punto_c6_p048_01" w:id="1440"/>
      <w:r>
        <w:t xml:space="preserve">Sistema: partes interconectadas como todo; montón: serie de partes.</w:t>
      </w:r>
      <w:bookmarkEnd w:id="1440"/>
    </w:p>
    <w:p>
      <w:bookmarkStart w:name="b_punto_c6_p048_02" w:id="1441"/>
      <w:r>
        <w:t xml:space="preserve">Añadir/quitar partes cambia propiedades sistémicas; el montón conserva sus propiedades esenciales.</w:t>
      </w:r>
      <w:bookmarkEnd w:id="1441"/>
    </w:p>
    <w:p>
      <w:bookmarkStart w:name="b_punto_c6_p048_03" w:id="1442"/>
      <w:r>
        <w:t xml:space="preserve">En el sistema la disposición es fundamental; en el montón no es esencial.</w:t>
      </w:r>
      <w:bookmarkEnd w:id="1442"/>
    </w:p>
    <w:p>
      <w:bookmarkStart w:name="b_punto_c6_p048_04" w:id="1443"/>
      <w:r>
        <w:t xml:space="preserve">Las partes sistémicas trabajan juntas; las del montón separadas.</w:t>
      </w:r>
      <w:bookmarkEnd w:id="1443"/>
    </w:p>
    <w:p>
      <w:bookmarkStart w:name="b_punto_c6_p048_05" w:id="1444"/>
      <w:r>
        <w:t xml:space="preserve">El sistema depende de estructura global; el montón depende de tamaño o número de piezas.</w:t>
      </w:r>
      <w:bookmarkEnd w:id="1444"/>
    </w:p>
    <w:p>
      <w:bookmarkStart w:name="b_punto_c6_p048_06" w:id="1445"/>
      <w:r>
        <w:t xml:space="preserve">Piezas sueltas de mecanismo ejemplifican montón y una red organizada ejemplifica sistema.</w:t>
      </w:r>
      <w:bookmarkEnd w:id="1445"/>
    </w:p>
    <w:p>
      <w:pPr>
        <w:pStyle w:val="Heading3"/>
      </w:pPr>
      <w:bookmarkStart w:name="b_pagina_2_2_C_6_p49" w:id="1446"/>
      <w:r>
        <w:t xml:space="preserve">C-6 · página 49 · Características de los sistemas</w:t>
      </w:r>
      <w:bookmarkEnd w:id="1446"/>
    </w:p>
    <w:p>
      <w:pPr>
        <w:pStyle w:val="Normal"/>
      </w:pPr>
      <w:r>
        <w:t xml:space="preserve">Las propiedades del conjunto no se descubren analizando piezas aisladas y se pierden al descomponer relaciones.</w:t>
      </w:r>
    </w:p>
    <w:p>
      <w:pPr>
        <w:pStyle w:val="Fuente"/>
      </w:pPr>
      <w:r>
        <w:t xml:space="preserve">Proyección o explicación: Clase 8 · 00:49:47 · captura c8-15.</w:t>
      </w:r>
    </w:p>
    <w:p>
      <w:bookmarkStart w:name="b_punto_c6_p049_02" w:id="1447"/>
      <w:r>
        <w:t xml:space="preserve">Dividir y analizar partes aisladas no predice las propiedades del conjunto.</w:t>
      </w:r>
      <w:bookmarkEnd w:id="1447"/>
    </w:p>
    <w:p>
      <w:bookmarkStart w:name="b_punto_c6_p049_04" w:id="1448"/>
      <w:r>
        <w:t xml:space="preserve">La vaca dividida y los materiales sueltos ilustran que sumar fragmentos no conserva la función del todo.</w:t>
      </w:r>
      <w:bookmarkEnd w:id="1448"/>
    </w:p>
    <w:p>
      <w:pPr>
        <w:pStyle w:val="Fuente"/>
      </w:pPr>
      <w:r>
        <w:t xml:space="preserve">Véase </w:t>
      </w:r>
      <w:hyperlink w:history="1" w:anchor="b_2_5">
        <w:r>
          <w:rPr>
            <w:color w:val="156B70"/>
            <w:u w:val="single"/>
          </w:rPr>
          <w:t xml:space="preserve">capítulo 2.5 · Sinergia y emergencia</w:t>
        </w:r>
      </w:hyperlink>
      <w:r>
        <w:t xml:space="preserve">, pág. </w:t>
      </w:r>
      <w:r>
        <w:fldChar w:fldCharType="begin"/>
        <w:instrText xml:space="preserve">PAGEREF b_2_5 \h</w:instrText>
        <w:fldChar w:fldCharType="separate"/>
        <w:t xml:space="preserve">292</w:t>
        <w:fldChar w:fldCharType="end"/>
      </w:r>
      <w:r>
        <w:t xml:space="preserve">.</w:t>
      </w:r>
    </w:p>
    <w:p>
      <w:pPr>
        <w:pStyle w:val="Heading3"/>
      </w:pPr>
      <w:bookmarkStart w:name="b_pagina_2_2_C_6_p50" w:id="1449"/>
      <w:r>
        <w:t xml:space="preserve">C-6 · página 50 · Resumen de conceptos iniciales de la teoría de sistemas</w:t>
      </w:r>
      <w:bookmarkEnd w:id="1449"/>
    </w:p>
    <w:p>
      <w:pPr>
        <w:pStyle w:val="Normal"/>
      </w:pPr>
      <w:r>
        <w:t xml:space="preserve">Ocho afirmaciones reúnen totalidad, relaciones, jerarquía, emergencia, análisis, síntesis y DSRP.</w:t>
      </w:r>
    </w:p>
    <w:p>
      <w:pPr>
        <w:pStyle w:val="Fuente"/>
      </w:pPr>
      <w:r>
        <w:t xml:space="preserve">Proyección o explicación: Clase 8 · 00:50:47 · captura c8-16.</w:t>
      </w:r>
    </w:p>
    <w:p>
      <w:bookmarkStart w:name="b_punto_c6_p050_01" w:id="1450"/>
      <w:r>
        <w:t xml:space="preserve">El sistema fundamenta su existencia y funciones como todo mediante interacción de partes.</w:t>
      </w:r>
      <w:bookmarkEnd w:id="1450"/>
    </w:p>
    <w:p>
      <w:pPr>
        <w:pStyle w:val="Fuente"/>
      </w:pPr>
      <w:r>
        <w:t xml:space="preserve">Véase </w:t>
      </w:r>
      <w:hyperlink w:history="1" w:anchor="b_1_5">
        <w:r>
          <w:rPr>
            <w:color w:val="156B70"/>
            <w:u w:val="single"/>
          </w:rPr>
          <w:t xml:space="preserve">capítulo 1.5 · Perspectivas</w:t>
        </w:r>
      </w:hyperlink>
      <w:r>
        <w:t xml:space="preserve">, pág. </w:t>
      </w:r>
      <w:r>
        <w:fldChar w:fldCharType="begin"/>
        <w:instrText xml:space="preserve">PAGEREF b_1_5 \h</w:instrText>
        <w:fldChar w:fldCharType="separate"/>
        <w:t xml:space="preserve">125</w:t>
        <w:fldChar w:fldCharType="end"/>
      </w:r>
      <w:r>
        <w:t xml:space="preserve">.</w:t>
      </w:r>
    </w:p>
    <w:p>
      <w:pPr>
        <w:pStyle w:val="Fuente"/>
      </w:pPr>
      <w:r>
        <w:t xml:space="preserve">Véase </w:t>
      </w:r>
      <w:hyperlink w:history="1" w:anchor="b_2_4">
        <w:r>
          <w:rPr>
            <w:color w:val="156B70"/>
            <w:u w:val="single"/>
          </w:rPr>
          <w:t xml:space="preserve">capítulo 2.4 · Sub y suprasistemas</w:t>
        </w:r>
      </w:hyperlink>
      <w:r>
        <w:t xml:space="preserve">, pág. </w:t>
      </w:r>
      <w:r>
        <w:fldChar w:fldCharType="begin"/>
        <w:instrText xml:space="preserve">PAGEREF b_2_4 \h</w:instrText>
        <w:fldChar w:fldCharType="separate"/>
        <w:t xml:space="preserve">277</w:t>
        <w:fldChar w:fldCharType="end"/>
      </w:r>
      <w:r>
        <w:t xml:space="preserve">.</w:t>
      </w:r>
    </w:p>
    <w:p>
      <w:pPr>
        <w:pStyle w:val="Fuente"/>
      </w:pPr>
      <w:r>
        <w:t xml:space="preserve">Véase </w:t>
      </w:r>
      <w:hyperlink w:history="1" w:anchor="b_2_6">
        <w:r>
          <w:rPr>
            <w:color w:val="156B70"/>
            <w:u w:val="single"/>
          </w:rPr>
          <w:t xml:space="preserve">capítulo 2.6 · Complejidad sistémica</w:t>
        </w:r>
      </w:hyperlink>
      <w:r>
        <w:t xml:space="preserve">, pág. </w:t>
      </w:r>
      <w:r>
        <w:fldChar w:fldCharType="begin"/>
        <w:instrText xml:space="preserve">PAGEREF b_2_6 \h</w:instrText>
        <w:fldChar w:fldCharType="separate"/>
        <w:t xml:space="preserve">308</w:t>
        <w:fldChar w:fldCharType="end"/>
      </w:r>
      <w:r>
        <w:t xml:space="preserve">.</w:t>
      </w:r>
    </w:p>
    <w:p>
      <w:pPr>
        <w:pStyle w:val="Fuente"/>
      </w:pPr>
      <w:r>
        <w:t xml:space="preserve">Véase </w:t>
      </w:r>
      <w:hyperlink w:history="1" w:anchor="b_2_5">
        <w:r>
          <w:rPr>
            <w:color w:val="156B70"/>
            <w:u w:val="single"/>
          </w:rPr>
          <w:t xml:space="preserve">capítulo 2.5 · Sinergia y emergencia</w:t>
        </w:r>
      </w:hyperlink>
      <w:r>
        <w:t xml:space="preserve">, pág. </w:t>
      </w:r>
      <w:r>
        <w:fldChar w:fldCharType="begin"/>
        <w:instrText xml:space="preserve">PAGEREF b_2_5 \h</w:instrText>
        <w:fldChar w:fldCharType="separate"/>
        <w:t xml:space="preserve">292</w:t>
        <w:fldChar w:fldCharType="end"/>
      </w:r>
      <w:r>
        <w:t xml:space="preserve">.</w:t>
      </w:r>
    </w:p>
    <w:p>
      <w:pPr>
        <w:pStyle w:val="Fuente"/>
      </w:pPr>
      <w:r>
        <w:t xml:space="preserve">Véase </w:t>
      </w:r>
      <w:hyperlink w:history="1" w:anchor="b_1_6">
        <w:r>
          <w:rPr>
            <w:color w:val="156B70"/>
            <w:u w:val="single"/>
          </w:rPr>
          <w:t xml:space="preserve">capítulo 1.6 · Operaciones DSRP</w:t>
        </w:r>
      </w:hyperlink>
      <w:r>
        <w:t xml:space="preserve">, pág. </w:t>
      </w:r>
      <w:r>
        <w:fldChar w:fldCharType="begin"/>
        <w:instrText xml:space="preserve">PAGEREF b_1_6 \h</w:instrText>
        <w:fldChar w:fldCharType="separate"/>
        <w:t xml:space="preserve">150</w:t>
        <w:fldChar w:fldCharType="end"/>
      </w:r>
      <w:r>
        <w:t xml:space="preserve">.</w:t>
      </w:r>
    </w:p>
    <w:p>
      <w:pPr>
        <w:pStyle w:val="Heading3"/>
      </w:pPr>
      <w:r>
        <w:t xml:space="preserve">Lo que explicó el profesor en clase</w:t>
      </w:r>
    </w:p>
    <w:p>
      <w:pPr>
        <w:pStyle w:val="Heading3"/>
      </w:pPr>
      <w:bookmarkStart w:name="b_clase_2_2_c6_cap_08" w:id="1451"/>
      <w:r>
        <w:t xml:space="preserve">Clase 6 · 00:42:52–00:51:02 · Las cuatro definiciones de sistema, leídas y contrastadas</w:t>
      </w:r>
      <w:bookmarkEnd w:id="1451"/>
    </w:p>
    <w:p>
      <w:bookmarkStart w:name="b_punto_c6_cap_08_p07" w:id="1452"/>
      <w:r>
        <w:t xml:space="preserve">El paso de bebé a niño, adolescente y adulto ejemplifica cambios de estructura y funcionamiento conservando identidad del mismo sistema humano.</w:t>
      </w:r>
      <w:bookmarkEnd w:id="1452"/>
    </w:p>
    <w:p>
      <w:pPr>
        <w:pStyle w:val="Fuente"/>
      </w:pPr>
      <w:r>
        <w:t xml:space="preserve">Véase </w:t>
      </w:r>
      <w:hyperlink w:history="1" w:anchor="b_1_3">
        <w:r>
          <w:rPr>
            <w:color w:val="156B70"/>
            <w:u w:val="single"/>
          </w:rPr>
          <w:t xml:space="preserve">capítulo 1.3 · El paradigma de sistemas</w:t>
        </w:r>
      </w:hyperlink>
      <w:r>
        <w:t xml:space="preserve">, pág. </w:t>
      </w:r>
      <w:r>
        <w:fldChar w:fldCharType="begin"/>
        <w:instrText xml:space="preserve">PAGEREF b_1_3 \h</w:instrText>
        <w:fldChar w:fldCharType="separate"/>
        <w:t xml:space="preserve">83</w:t>
        <w:fldChar w:fldCharType="end"/>
      </w:r>
      <w:r>
        <w:t xml:space="preserve">.</w:t>
      </w:r>
    </w:p>
    <w:p>
      <w:pPr>
        <w:pStyle w:val="Heading3"/>
      </w:pPr>
      <w:bookmarkStart w:name="b_clase_2_2_c6_cap_09" w:id="1453"/>
      <w:r>
        <w:t xml:space="preserve">Clase 6 · 00:51:02–01:00:46 · Los nueve conceptos asociados al concepto de sistema</w:t>
      </w:r>
      <w:bookmarkEnd w:id="1453"/>
    </w:p>
    <w:p>
      <w:bookmarkStart w:name="b_punto_c6_cap_09_p01" w:id="1454"/>
      <w:r>
        <w:t xml:space="preserve">Las definiciones se sintetizan en un modelo conceptual: totalidad formada por partes que interactúan.</w:t>
      </w:r>
      <w:bookmarkEnd w:id="1454"/>
    </w:p>
    <w:p>
      <w:bookmarkStart w:name="b_punto_c6_cap_09_p05" w:id="1455"/>
      <w:r>
        <w:t xml:space="preserve">Según la definición adoptada en clase, el sistema tiene una razón de ser, aunque su objetivo no sea evidente para el observador, especialmente en sistemas naturales.</w:t>
      </w:r>
      <w:bookmarkEnd w:id="1455"/>
    </w:p>
    <w:p>
      <w:bookmarkStart w:name="b_punto_c6_cap_09_p11" w:id="1456"/>
      <w:r>
        <w:t xml:space="preserve">La realidad puede modelarse como una trama de procesos e intercambios entre sistemas que interactúan; los conceptos permiten asociar lo general a casos concretos.</w:t>
      </w:r>
      <w:bookmarkEnd w:id="1456"/>
    </w:p>
    <w:p>
      <w:pPr>
        <w:pStyle w:val="Fuente"/>
      </w:pPr>
      <w:r>
        <w:t xml:space="preserve">Véase </w:t>
      </w:r>
      <w:hyperlink w:history="1" w:anchor="b_senales_examen">
        <w:r>
          <w:rPr>
            <w:color w:val="156B70"/>
            <w:u w:val="single"/>
          </w:rPr>
          <w:t xml:space="preserve">1 indicación(es) de examen de este tramo, en el apéndice cronológico</w:t>
        </w:r>
      </w:hyperlink>
      <w:r>
        <w:t xml:space="preserve">, pág. </w:t>
      </w:r>
      <w:r>
        <w:fldChar w:fldCharType="begin"/>
        <w:instrText xml:space="preserve">PAGEREF b_senales_examen \h</w:instrText>
        <w:fldChar w:fldCharType="separate"/>
        <w:t xml:space="preserve">1663</w:t>
        <w:fldChar w:fldCharType="end"/>
      </w:r>
      <w:r>
        <w:t xml:space="preserve">.</w:t>
      </w:r>
    </w:p>
    <w:p>
      <w:pPr>
        <w:pStyle w:val="Fuente"/>
      </w:pPr>
      <w:r>
        <w:t xml:space="preserve">Véase </w:t>
      </w:r>
      <w:hyperlink w:history="1" w:anchor="b_2_4">
        <w:r>
          <w:rPr>
            <w:color w:val="156B70"/>
            <w:u w:val="single"/>
          </w:rPr>
          <w:t xml:space="preserve">capítulo 2.4 · Sub y suprasistemas</w:t>
        </w:r>
      </w:hyperlink>
      <w:r>
        <w:t xml:space="preserve">, pág. </w:t>
      </w:r>
      <w:r>
        <w:fldChar w:fldCharType="begin"/>
        <w:instrText xml:space="preserve">PAGEREF b_2_4 \h</w:instrText>
        <w:fldChar w:fldCharType="separate"/>
        <w:t xml:space="preserve">277</w:t>
        <w:fldChar w:fldCharType="end"/>
      </w:r>
      <w:r>
        <w:t xml:space="preserve">.</w:t>
      </w:r>
    </w:p>
    <w:p>
      <w:pPr>
        <w:pStyle w:val="Fuente"/>
      </w:pPr>
      <w:r>
        <w:t xml:space="preserve">Véase </w:t>
      </w:r>
      <w:hyperlink w:history="1" w:anchor="b_2_3">
        <w:r>
          <w:rPr>
            <w:color w:val="156B70"/>
            <w:u w:val="single"/>
          </w:rPr>
          <w:t xml:space="preserve">capítulo 2.3 · Estructura de los sistemas</w:t>
        </w:r>
      </w:hyperlink>
      <w:r>
        <w:t xml:space="preserve">, pág. </w:t>
      </w:r>
      <w:r>
        <w:fldChar w:fldCharType="begin"/>
        <w:instrText xml:space="preserve">PAGEREF b_2_3 \h</w:instrText>
        <w:fldChar w:fldCharType="separate"/>
        <w:t xml:space="preserve">259</w:t>
        <w:fldChar w:fldCharType="end"/>
      </w:r>
      <w:r>
        <w:t xml:space="preserve">.</w:t>
      </w:r>
    </w:p>
    <w:p>
      <w:pPr>
        <w:pStyle w:val="Fuente"/>
      </w:pPr>
      <w:r>
        <w:t xml:space="preserve">Véase </w:t>
      </w:r>
      <w:hyperlink w:history="1" w:anchor="b_1_3">
        <w:r>
          <w:rPr>
            <w:color w:val="156B70"/>
            <w:u w:val="single"/>
          </w:rPr>
          <w:t xml:space="preserve">capítulo 1.3 · El paradigma de sistemas</w:t>
        </w:r>
      </w:hyperlink>
      <w:r>
        <w:t xml:space="preserve">, pág. </w:t>
      </w:r>
      <w:r>
        <w:fldChar w:fldCharType="begin"/>
        <w:instrText xml:space="preserve">PAGEREF b_1_3 \h</w:instrText>
        <w:fldChar w:fldCharType="separate"/>
        <w:t xml:space="preserve">83</w:t>
        <w:fldChar w:fldCharType="end"/>
      </w:r>
      <w:r>
        <w:t xml:space="preserve">.</w:t>
      </w:r>
    </w:p>
    <w:p>
      <w:pPr>
        <w:pStyle w:val="Heading3"/>
      </w:pPr>
      <w:bookmarkStart w:name="b_clase_2_2_c6_cap_10" w:id="1457"/>
      <w:r>
        <w:t xml:space="preserve">Clase 6 · 01:00:46–01:14:25 · El concepto como filtro: isomorfismo, homomorfismo y la maqueta</w:t>
      </w:r>
      <w:bookmarkEnd w:id="1457"/>
    </w:p>
    <w:p>
      <w:bookmarkStart w:name="b_punto_c6_cap_10_p12" w:id="1458"/>
      <w:r>
        <w:t xml:space="preserve">Tipos y atributos como simple, complejo, dinámico o estático se aplican a los objetos desde el lenguaje y las relaciones de la teoría general.</w:t>
      </w:r>
      <w:bookmarkEnd w:id="1458"/>
    </w:p>
    <w:p>
      <w:pPr>
        <w:pStyle w:val="Fuente"/>
      </w:pPr>
      <w:r>
        <w:t xml:space="preserve">Véase </w:t>
      </w:r>
      <w:hyperlink w:history="1" w:anchor="b_1_3">
        <w:r>
          <w:rPr>
            <w:color w:val="156B70"/>
            <w:u w:val="single"/>
          </w:rPr>
          <w:t xml:space="preserve">capítulo 1.3 · El paradigma de sistemas</w:t>
        </w:r>
      </w:hyperlink>
      <w:r>
        <w:t xml:space="preserve">, pág. </w:t>
      </w:r>
      <w:r>
        <w:fldChar w:fldCharType="begin"/>
        <w:instrText xml:space="preserve">PAGEREF b_1_3 \h</w:instrText>
        <w:fldChar w:fldCharType="separate"/>
        <w:t xml:space="preserve">83</w:t>
        <w:fldChar w:fldCharType="end"/>
      </w:r>
      <w:r>
        <w:t xml:space="preserve">.</w:t>
      </w:r>
    </w:p>
    <w:p>
      <w:pPr>
        <w:pStyle w:val="Fuente"/>
      </w:pPr>
      <w:r>
        <w:t xml:space="preserve">Véase </w:t>
      </w:r>
      <w:hyperlink w:history="1" w:anchor="b_1_7">
        <w:r>
          <w:rPr>
            <w:color w:val="156B70"/>
            <w:u w:val="single"/>
          </w:rPr>
          <w:t xml:space="preserve">capítulo 1.7 · Niveles — modelo del iceberg</w:t>
        </w:r>
      </w:hyperlink>
      <w:r>
        <w:t xml:space="preserve">, pág. </w:t>
      </w:r>
      <w:r>
        <w:fldChar w:fldCharType="begin"/>
        <w:instrText xml:space="preserve">PAGEREF b_1_7 \h</w:instrText>
        <w:fldChar w:fldCharType="separate"/>
        <w:t xml:space="preserve">175</w:t>
        <w:fldChar w:fldCharType="end"/>
      </w:r>
      <w:r>
        <w:t xml:space="preserve">.</w:t>
      </w:r>
    </w:p>
    <w:p>
      <w:pPr>
        <w:pStyle w:val="Fuente"/>
      </w:pPr>
      <w:r>
        <w:t xml:space="preserve">Véase </w:t>
      </w:r>
      <w:hyperlink w:history="1" w:anchor="b_2_4">
        <w:r>
          <w:rPr>
            <w:color w:val="156B70"/>
            <w:u w:val="single"/>
          </w:rPr>
          <w:t xml:space="preserve">capítulo 2.4 · Sub y suprasistemas</w:t>
        </w:r>
      </w:hyperlink>
      <w:r>
        <w:t xml:space="preserve">, pág. </w:t>
      </w:r>
      <w:r>
        <w:fldChar w:fldCharType="begin"/>
        <w:instrText xml:space="preserve">PAGEREF b_2_4 \h</w:instrText>
        <w:fldChar w:fldCharType="separate"/>
        <w:t xml:space="preserve">277</w:t>
        <w:fldChar w:fldCharType="end"/>
      </w:r>
      <w:r>
        <w:t xml:space="preserve">.</w:t>
      </w:r>
    </w:p>
    <w:p>
      <w:pPr>
        <w:pStyle w:val="Fuente"/>
      </w:pPr>
      <w:r>
        <w:t xml:space="preserve">Véase </w:t>
      </w:r>
      <w:hyperlink w:history="1" w:anchor="b_1_4">
        <w:r>
          <w:rPr>
            <w:color w:val="156B70"/>
            <w:u w:val="single"/>
          </w:rPr>
          <w:t xml:space="preserve">capítulo 1.4 · Sistémico vs no sistémico</w:t>
        </w:r>
      </w:hyperlink>
      <w:r>
        <w:t xml:space="preserve">, pág. </w:t>
      </w:r>
      <w:r>
        <w:fldChar w:fldCharType="begin"/>
        <w:instrText xml:space="preserve">PAGEREF b_1_4 \h</w:instrText>
        <w:fldChar w:fldCharType="separate"/>
        <w:t xml:space="preserve">104</w:t>
        <w:fldChar w:fldCharType="end"/>
      </w:r>
      <w:r>
        <w:t xml:space="preserve">.</w:t>
      </w:r>
    </w:p>
    <w:p>
      <w:pPr>
        <w:pStyle w:val="Heading3"/>
      </w:pPr>
      <w:bookmarkStart w:name="b_clase_2_2_c7_cap_01" w:id="1459"/>
      <w:r>
        <w:t xml:space="preserve">Clase 7 · 00:03:20–00:15:02 · Del sistema como totalidad al análisis y la síntesis</w:t>
      </w:r>
      <w:bookmarkEnd w:id="1459"/>
    </w:p>
    <w:p>
      <w:bookmarkStart w:name="b_punto_c7_cap_01_p02" w:id="1460"/>
      <w:r>
        <w:t xml:space="preserve">El sistema generalizado describe una totalidad de partes y conexiones cuyo funcionamiento conjunto expresa características del sistema en su contexto.</w:t>
      </w:r>
      <w:bookmarkEnd w:id="1460"/>
    </w:p>
    <w:p>
      <w:pPr>
        <w:pStyle w:val="Fuente"/>
      </w:pPr>
      <w:r>
        <w:t xml:space="preserve">Véase </w:t>
      </w:r>
      <w:hyperlink w:history="1" w:anchor="b_1_3">
        <w:r>
          <w:rPr>
            <w:color w:val="156B70"/>
            <w:u w:val="single"/>
          </w:rPr>
          <w:t xml:space="preserve">capítulo 1.3 · El paradigma de sistemas</w:t>
        </w:r>
      </w:hyperlink>
      <w:r>
        <w:t xml:space="preserve">, pág. </w:t>
      </w:r>
      <w:r>
        <w:fldChar w:fldCharType="begin"/>
        <w:instrText xml:space="preserve">PAGEREF b_1_3 \h</w:instrText>
        <w:fldChar w:fldCharType="separate"/>
        <w:t xml:space="preserve">83</w:t>
        <w:fldChar w:fldCharType="end"/>
      </w:r>
      <w:r>
        <w:t xml:space="preserve">.</w:t>
      </w:r>
    </w:p>
    <w:p>
      <w:pPr>
        <w:pStyle w:val="Fuente"/>
      </w:pPr>
      <w:r>
        <w:t xml:space="preserve">Véase </w:t>
      </w:r>
      <w:hyperlink w:history="1" w:anchor="b_2_4">
        <w:r>
          <w:rPr>
            <w:color w:val="156B70"/>
            <w:u w:val="single"/>
          </w:rPr>
          <w:t xml:space="preserve">capítulo 2.4 · Sub y suprasistemas</w:t>
        </w:r>
      </w:hyperlink>
      <w:r>
        <w:t xml:space="preserve">, pág. </w:t>
      </w:r>
      <w:r>
        <w:fldChar w:fldCharType="begin"/>
        <w:instrText xml:space="preserve">PAGEREF b_2_4 \h</w:instrText>
        <w:fldChar w:fldCharType="separate"/>
        <w:t xml:space="preserve">277</w:t>
        <w:fldChar w:fldCharType="end"/>
      </w:r>
      <w:r>
        <w:t xml:space="preserve">.</w:t>
      </w:r>
    </w:p>
    <w:p>
      <w:pPr>
        <w:pStyle w:val="Heading3"/>
      </w:pPr>
      <w:bookmarkStart w:name="b_cita_clase_5_los_modelos_ment_82757eff" w:id="1461"/>
      <w:r>
        <w:t xml:space="preserve">Palabras del profesor</w:t>
      </w:r>
      <w:bookmarkEnd w:id="1461"/>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El profesor lo dijo así</w:t>
            </w:r>
          </w:p>
          <w:p>
            <w:pPr>
              <w:pStyle w:val="Recuadro"/>
            </w:pPr>
            <w:r>
              <w:t xml:space="preserve">«Un sistema tiene un conjunto de partes o elementos que interactúan entre sí; los sistemas abstractos tienen también un conjunto de partes, y esas partes son pequeños modelos mentales sobre alguna temática o parte de la realidad.»</w:t>
            </w:r>
          </w:p>
          <w:p>
            <w:pPr>
              <w:pStyle w:val="Recuadro"/>
            </w:pPr>
            <w:r>
              <w:t xml:space="preserve">Clase 5 · 00:51:46–00:52:16</w:t>
            </w:r>
          </w:p>
        </w:tc>
      </w:tr>
    </w:tbl>
    <w:p>
      <w:pPr>
        <w:pStyle w:val="Heading3"/>
      </w:pPr>
      <w:bookmarkStart w:name="b_cita_clase_6_un_conjunto_de_p_bff0caa9" w:id="1462"/>
      <w:r>
        <w:t xml:space="preserve">Palabras del profesor</w:t>
      </w:r>
      <w:bookmarkEnd w:id="1462"/>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El profesor lo dijo así</w:t>
            </w:r>
          </w:p>
          <w:p>
            <w:pPr>
              <w:pStyle w:val="Recuadro"/>
            </w:pPr>
            <w:r>
              <w:t xml:space="preserve">«Un sistema puede interpretarse como un conjunto de partes coordinadas y en interacción para alcanzar un objetivo; vemos aquí, en la primera definición, los elementos importantes que hay que tomar en cuenta de la realidad cuando la interpretemos como sistema.»</w:t>
            </w:r>
          </w:p>
          <w:p>
            <w:pPr>
              <w:pStyle w:val="Recuadro"/>
            </w:pPr>
            <w:r>
              <w:t xml:space="preserve">Clase 6 · 00:44:34–00:44:47</w:t>
            </w:r>
          </w:p>
        </w:tc>
      </w:tr>
    </w:tbl>
    <w:p>
      <w:pPr>
        <w:pStyle w:val="Heading3"/>
      </w:pPr>
      <w:bookmarkStart w:name="b_cita_clase_6_todo_sistema_ten_0dc2cc97" w:id="1463"/>
      <w:r>
        <w:t xml:space="preserve">Palabras del profesor</w:t>
      </w:r>
      <w:bookmarkEnd w:id="1463"/>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El profesor lo dijo así</w:t>
            </w:r>
          </w:p>
          <w:p>
            <w:pPr>
              <w:pStyle w:val="Recuadro"/>
            </w:pPr>
            <w:r>
              <w:t xml:space="preserve">«Sobre todo en los sistemas naturales, a veces esa razón de ser no es perceptible muy fácilmente, pero todo sistema la tiene. ¿Se acuerdan de la definición? Todo sistema tendrá una razón de ser.»</w:t>
            </w:r>
          </w:p>
          <w:p>
            <w:pPr>
              <w:pStyle w:val="Recuadro"/>
            </w:pPr>
            <w:r>
              <w:t xml:space="preserve">Clase 6 · 00:54:51–00:55:03</w:t>
            </w:r>
          </w:p>
        </w:tc>
      </w:tr>
    </w:tbl>
    <w:p>
      <w:pPr>
        <w:pStyle w:val="Heading3"/>
      </w:pPr>
      <w:bookmarkStart w:name="b_cita_clase_6_la_frontera_deli_f69affb9" w:id="1464"/>
      <w:r>
        <w:t xml:space="preserve">Palabras del profesor</w:t>
      </w:r>
      <w:bookmarkEnd w:id="1464"/>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El profesor lo dijo así</w:t>
            </w:r>
          </w:p>
          <w:p>
            <w:pPr>
              <w:pStyle w:val="Recuadro"/>
            </w:pPr>
            <w:r>
              <w:t xml:space="preserve">«De alguna manera implícitamente definimos un límite o una frontera de los sistemas. Cada vez que referimos a algo como sistema, tenemos que delimitarlo, hasta dónde llega eso que podemos darle un nombre»</w:t>
            </w:r>
          </w:p>
          <w:p>
            <w:pPr>
              <w:pStyle w:val="Recuadro"/>
            </w:pPr>
            <w:r>
              <w:t xml:space="preserve">Clase 6 · 00:57:01–00:57:22</w:t>
            </w:r>
          </w:p>
        </w:tc>
      </w:tr>
    </w:tbl>
    <w:p>
      <w:pPr>
        <w:pStyle w:val="Heading3"/>
      </w:pPr>
      <w:bookmarkStart w:name="b_cita_clase_7_cualquier_conjun_8818c7c1" w:id="1465"/>
      <w:r>
        <w:t xml:space="preserve">Palabras del profesor</w:t>
      </w:r>
      <w:bookmarkEnd w:id="1465"/>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El profesor lo dijo así</w:t>
            </w:r>
          </w:p>
          <w:p>
            <w:pPr>
              <w:pStyle w:val="Recuadro"/>
            </w:pPr>
            <w:r>
              <w:t xml:space="preserve">«Sabemos que un sistema es un conjunto de partes o elementos; así que cualquier conjunto que esté constituido de partes o elementos podría verse como un sistema, no importa de qué naturaleza son esos elementos»</w:t>
            </w:r>
          </w:p>
          <w:p>
            <w:pPr>
              <w:pStyle w:val="Recuadro"/>
            </w:pPr>
            <w:r>
              <w:t xml:space="preserve">Clase 7 · 00:36:58–00:37:21</w:t>
            </w:r>
          </w:p>
        </w:tc>
      </w:tr>
    </w:tbl>
    <w:p>
      <w:pPr>
        <w:pStyle w:val="Heading3"/>
      </w:pPr>
      <w:r>
        <w:t xml:space="preserve">Errores frecuentes y trampa de examen</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9C620A" w:sz="20"/>
              <w:bottom w:val="nil"/>
              <w:right w:val="nil"/>
            </w:tcBorders>
            <w:shd w:fill="FBF3DF" w:val="clear"/>
            <w:tcMar>
              <w:top w:type="dxa" w:w="130"/>
              <w:left w:type="dxa" w:w="180"/>
              <w:bottom w:type="dxa" w:w="130"/>
              <w:right w:type="dxa" w:w="180"/>
            </w:tcMar>
          </w:tcPr>
          <w:p>
            <w:pPr>
              <w:pStyle w:val="RecuadroTitulo"/>
            </w:pPr>
            <w:r>
              <w:rPr>
                <w:b/>
                <w:bCs/>
                <w:color w:val="9C620A"/>
              </w:rPr>
              <w:t xml:space="preserve">Error → corrección</w:t>
            </w:r>
          </w:p>
          <w:p>
            <w:pPr>
              <w:pStyle w:val="Recuadro"/>
            </w:pPr>
            <w:r>
              <w:rPr>
                <w:b/>
                <w:bCs/>
              </w:rPr>
              <w:t xml:space="preserve">Error:</w:t>
            </w:r>
            <w:r>
              <w:t xml:space="preserve"> Describir el sistema enumerando sus componentes.</w:t>
            </w:r>
          </w:p>
          <w:p>
            <w:pPr>
              <w:pStyle w:val="Recuadro"/>
            </w:pPr>
            <w:r>
              <w:rPr>
                <w:b/>
                <w:bCs/>
              </w:rPr>
              <w:t xml:space="preserve">Corrección:</w:t>
            </w:r>
            <w:r>
              <w:t xml:space="preserve"> Un conglomerado también tiene partes; lo que hace sistema son las relaciones, que le dan vida, y la estructura global de la que depende el comportamiento.</w:t>
            </w:r>
          </w:p>
          <w:p>
            <w:pPr>
              <w:pStyle w:val="Recuadro"/>
            </w:pPr>
            <w:r>
              <w:t xml:space="preserve">lámina c8-14 · Clase 6 · 00:53:56–00:54:13</w:t>
            </w:r>
          </w:p>
        </w:tc>
      </w:tr>
    </w:tbl>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9C620A" w:sz="20"/>
              <w:bottom w:val="nil"/>
              <w:right w:val="nil"/>
            </w:tcBorders>
            <w:shd w:fill="FBF3DF" w:val="clear"/>
            <w:tcMar>
              <w:top w:type="dxa" w:w="130"/>
              <w:left w:type="dxa" w:w="180"/>
              <w:bottom w:type="dxa" w:w="130"/>
              <w:right w:type="dxa" w:w="180"/>
            </w:tcMar>
          </w:tcPr>
          <w:p>
            <w:pPr>
              <w:pStyle w:val="RecuadroTitulo"/>
            </w:pPr>
            <w:r>
              <w:rPr>
                <w:b/>
                <w:bCs/>
                <w:color w:val="9C620A"/>
              </w:rPr>
              <w:t xml:space="preserve">Error → corrección</w:t>
            </w:r>
          </w:p>
          <w:p>
            <w:pPr>
              <w:pStyle w:val="Recuadro"/>
            </w:pPr>
            <w:r>
              <w:rPr>
                <w:b/>
                <w:bCs/>
              </w:rPr>
              <w:t xml:space="preserve">Error:</w:t>
            </w:r>
            <w:r>
              <w:t xml:space="preserve"> Suponer que un sistema natural no tiene objetivo porque no se le ve.</w:t>
            </w:r>
          </w:p>
          <w:p>
            <w:pPr>
              <w:pStyle w:val="Recuadro"/>
            </w:pPr>
            <w:r>
              <w:rPr>
                <w:b/>
                <w:bCs/>
              </w:rPr>
              <w:t xml:space="preserve">Corrección:</w:t>
            </w:r>
            <w:r>
              <w:t xml:space="preserve"> Todo sistema tendrá una razón de ser; en los naturales a veces sólo se percibe estudiando su evolución.</w:t>
            </w:r>
          </w:p>
          <w:p>
            <w:pPr>
              <w:pStyle w:val="Recuadro"/>
            </w:pPr>
            <w:r>
              <w:t xml:space="preserve">Clase 6 · 00:54:10–00:55:03</w:t>
            </w:r>
          </w:p>
        </w:tc>
      </w:tr>
    </w:tbl>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9C620A" w:sz="20"/>
              <w:bottom w:val="nil"/>
              <w:right w:val="nil"/>
            </w:tcBorders>
            <w:shd w:fill="FBF3DF" w:val="clear"/>
            <w:tcMar>
              <w:top w:type="dxa" w:w="130"/>
              <w:left w:type="dxa" w:w="180"/>
              <w:bottom w:type="dxa" w:w="130"/>
              <w:right w:type="dxa" w:w="180"/>
            </w:tcMar>
          </w:tcPr>
          <w:p>
            <w:pPr>
              <w:pStyle w:val="RecuadroTitulo"/>
            </w:pPr>
            <w:r>
              <w:rPr>
                <w:b/>
                <w:bCs/>
                <w:color w:val="9C620A"/>
              </w:rPr>
              <w:t xml:space="preserve">Error → corrección</w:t>
            </w:r>
          </w:p>
          <w:p>
            <w:pPr>
              <w:pStyle w:val="Recuadro"/>
            </w:pPr>
            <w:r>
              <w:rPr>
                <w:b/>
                <w:bCs/>
              </w:rPr>
              <w:t xml:space="preserve">Error:</w:t>
            </w:r>
            <w:r>
              <w:t xml:space="preserve"> Tomar la definición básica (partes que interactúan) por la completa.</w:t>
            </w:r>
          </w:p>
          <w:p>
            <w:pPr>
              <w:pStyle w:val="Recuadro"/>
            </w:pPr>
            <w:r>
              <w:rPr>
                <w:b/>
                <w:bCs/>
              </w:rPr>
              <w:t xml:space="preserve">Corrección:</w:t>
            </w:r>
            <w:r>
              <w:t xml:space="preserve"> La clase la dio como básica y dejó pendiente la estricta: objetivo, entradas y salidas, medio, totalidad y evolución sin perder la identidad.</w:t>
            </w:r>
          </w:p>
          <w:p>
            <w:pPr>
              <w:pStyle w:val="Recuadro"/>
            </w:pPr>
            <w:r>
              <w:t xml:space="preserve">Clase 5 · 00:51:04–00:52:00 · Clase 6 · 00:44:34–00:49:34</w:t>
            </w:r>
          </w:p>
        </w:tc>
      </w:tr>
    </w:tbl>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9C620A" w:sz="20"/>
              <w:bottom w:val="nil"/>
              <w:right w:val="nil"/>
            </w:tcBorders>
            <w:shd w:fill="FBF3DF" w:val="clear"/>
            <w:tcMar>
              <w:top w:type="dxa" w:w="130"/>
              <w:left w:type="dxa" w:w="180"/>
              <w:bottom w:type="dxa" w:w="130"/>
              <w:right w:type="dxa" w:w="180"/>
            </w:tcMar>
          </w:tcPr>
          <w:p>
            <w:pPr>
              <w:pStyle w:val="RecuadroTitulo"/>
            </w:pPr>
            <w:r>
              <w:rPr>
                <w:b/>
                <w:bCs/>
                <w:color w:val="9C620A"/>
              </w:rPr>
              <w:t xml:space="preserve">Trampa de examen</w:t>
            </w:r>
          </w:p>
          <w:p>
            <w:pPr>
              <w:pStyle w:val="Recuadro"/>
            </w:pPr>
            <w:r>
              <w:t xml:space="preserve">Los sinónimos se preguntan por racimos: contexto, ambiente, medio y límite son el entorno y la frontera, no el objetivo ni la estructura; entradas y salidas nombran lo que cruza la frontera, no la frontera misma; y nombrar un sistema no es enumerar sus partes, porque sin relaciones sólo hay un montón cuyo comportamiento depende del número de piezas.</w:t>
            </w:r>
          </w:p>
        </w:tc>
      </w:tr>
    </w:tbl>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Ampliación: lo no dictado en clase</w:t>
            </w:r>
          </w:p>
          <w:p>
            <w:pPr>
              <w:pStyle w:val="Recuadro"/>
            </w:pPr>
            <w:r>
              <w:t xml:space="preserve">La lámina atribuye la cuarta definición a J. L. Le Moigne; en la grabación el nombre es ilegible y la clase no lo desarrolló. La tabla que opone sistema y montón (serie de partes, partes que funcionan por separado, piezas que se quitan o añaden) no se leyó fila por fila: la clase sólo glosó que el comportamiento del sistema depende de la estructura global y el del montón del número de piezas. Los tres ingredientes de un sistema según Meadows (elementos, interconexiones, propósito) son complemento de lectura que la clase no dictó.</w:t>
            </w:r>
          </w:p>
        </w:tc>
      </w:tr>
    </w:tbl>
    <w:p>
      <w:pPr>
        <w:pStyle w:val="Heading3"/>
      </w:pPr>
      <w:r>
        <w:t xml:space="preserve">Lecturas y tareas del curso</w:t>
      </w:r>
    </w:p>
    <w:p>
      <w:pPr>
        <w:pStyle w:val="Normal"/>
      </w:pPr>
      <w:r>
        <w:t xml:space="preserve">C-6 · Unidad 2 · Teoría de sistemas y pensamiento sistémico (presentación). 65 páginas con teoría de sistemas, elementos, estructura, función, niveles, sinergia, emergencia, complejidad y universo de sistemas. Copia íntegra de la presentación del profesor.</w:t>
      </w:r>
    </w:p>
    <w:p>
      <w:pPr>
        <w:pStyle w:val="Normal"/>
      </w:pPr>
      <w:r>
        <w:t xml:space="preserve">L-7 · Introducción a la TGS: conceptos e historia. Lectura que recorre la historia de la Teoría General de Sistemas y fija su vocabulario básico: sistema, frontera, entorno, entradas y salidas, jerarquía y los conceptos que la Unidad 2 desarrolla.</w:t>
      </w:r>
    </w:p>
    <w:p>
      <w:pPr>
        <w:pStyle w:val="Normal"/>
      </w:pPr>
      <w:r>
        <w:t xml:space="preserve">L-6 · El paradigma sistémico: Teoría General de Sistemas. Lectura que presenta la Teoría General de Sistemas como paradigma: de dónde surge, qué problema resuelve frente a la fragmentación disciplinaria y qué compromisos impone al observador.</w:t>
      </w:r>
    </w:p>
    <w:p>
      <w:pPr>
        <w:pStyle w:val="Heading3"/>
      </w:pPr>
      <w:r>
        <w:t xml:space="preserve">Práctica de los laboratorios</w:t>
      </w:r>
    </w:p>
    <w:p>
      <w:pPr>
        <w:pStyle w:val="Normal"/>
      </w:pPr>
      <w:r>
        <w:t xml:space="preserve">Los procedimientos del capítulo permiten reconstruir en papel la práctica interactiva. Los laboratorios originales permanecen disponibles en la lección del portal.</w:t>
      </w:r>
    </w:p>
    <w:p>
      <w:pPr>
        <w:pStyle w:val="Normal"/>
        <w:numPr>
          <w:ilvl w:val="0"/>
          <w:numId w:val="2"/>
        </w:numPr>
      </w:pPr>
      <w:r>
        <w:t xml:space="preserve">Las cuatro definiciones de sistema, lado a lado</w:t>
      </w:r>
    </w:p>
    <w:p>
      <w:pPr>
        <w:pStyle w:val="Normal"/>
        <w:numPr>
          <w:ilvl w:val="0"/>
          <w:numId w:val="2"/>
        </w:numPr>
      </w:pPr>
      <w:r>
        <w:t xml:space="preserve">Los nueve conceptos asociados al sistema</w:t>
      </w:r>
    </w:p>
    <w:p>
      <w:pPr>
        <w:pStyle w:val="Normal"/>
        <w:numPr>
          <w:ilvl w:val="0"/>
          <w:numId w:val="2"/>
        </w:numPr>
      </w:pPr>
      <w:r>
        <w:t xml:space="preserve">La anatomía de un sistema concreto</w:t>
      </w:r>
    </w:p>
    <w:p>
      <w:pPr>
        <w:pStyle w:val="Heading3"/>
      </w:pPr>
      <w:r>
        <w:t xml:space="preserve">Autoevaluación</w:t>
      </w:r>
    </w:p>
    <w:p>
      <w:pPr>
        <w:pStyle w:val="Normal"/>
      </w:pPr>
      <w:r>
        <w:t xml:space="preserve">Resuelva sin consultar las respuestas. Compruebe al final del capítulo por qué cada opción es correcta o incorrecta.</w:t>
      </w:r>
    </w:p>
    <w:p>
      <w:pPr>
        <w:pStyle w:val="Heading3"/>
      </w:pPr>
      <w:bookmarkStart w:name="b_pregunta_auto_2_2_1" w:id="1466"/>
      <w:r>
        <w:t xml:space="preserve">2.2-A1 · ¿Qué falta si se presenta «cafetería» como modelo de un sistema sin más explicación?</w:t>
      </w:r>
      <w:bookmarkEnd w:id="1466"/>
    </w:p>
    <w:p>
      <w:pPr>
        <w:pStyle w:val="Normal"/>
      </w:pPr>
      <w:r>
        <w:t xml:space="preserve">a) Sustituir todas las relaciones por nombres de personas</w:t>
      </w:r>
    </w:p>
    <w:p>
      <w:pPr>
        <w:pStyle w:val="Normal"/>
      </w:pPr>
      <w:r>
        <w:t xml:space="preserve">b) Garantizar que ese único recorte sirve para toda pregunta</w:t>
      </w:r>
    </w:p>
    <w:p>
      <w:pPr>
        <w:pStyle w:val="Normal"/>
      </w:pPr>
      <w:r>
        <w:t xml:space="preserve">c) Eliminar el entorno para que el modelo sea sistémico</w:t>
      </w:r>
    </w:p>
    <w:p>
      <w:pPr>
        <w:pStyle w:val="Normal"/>
      </w:pPr>
      <w:r>
        <w:t xml:space="preserve">d) Declarar propósito, frontera, componentes, relaciones e intercambios pertinentes</w:t>
      </w:r>
    </w:p>
    <w:p>
      <w:pPr>
        <w:pStyle w:val="Heading3"/>
      </w:pPr>
      <w:bookmarkStart w:name="b_pregunta_auto_2_2_2" w:id="1467"/>
      <w:r>
        <w:t xml:space="preserve">2.2-A2 · Según Donella Meadows, todo sistema se compone de tres clases de cosas. ¿Cuáles?</w:t>
      </w:r>
      <w:bookmarkEnd w:id="1467"/>
    </w:p>
    <w:p>
      <w:pPr>
        <w:pStyle w:val="Normal"/>
      </w:pPr>
      <w:r>
        <w:t xml:space="preserve">a) Entradas, procesos y salidas</w:t>
      </w:r>
    </w:p>
    <w:p>
      <w:pPr>
        <w:pStyle w:val="Normal"/>
      </w:pPr>
      <w:r>
        <w:t xml:space="preserve">b) Elementos, interconexiones y una función o propósito</w:t>
      </w:r>
    </w:p>
    <w:p>
      <w:pPr>
        <w:pStyle w:val="Normal"/>
      </w:pPr>
      <w:r>
        <w:t xml:space="preserve">c) Causas, efectos y demoras</w:t>
      </w:r>
    </w:p>
    <w:p>
      <w:pPr>
        <w:pStyle w:val="Normal"/>
      </w:pPr>
      <w:r>
        <w:t xml:space="preserve">d) Estructura, comportamiento y evento</w:t>
      </w:r>
    </w:p>
    <w:p>
      <w:pPr>
        <w:pStyle w:val="Heading3"/>
      </w:pPr>
      <w:bookmarkStart w:name="b_pregunta_auto_2_2_3" w:id="1468"/>
      <w:r>
        <w:t xml:space="preserve">2.2-A3 · ¿Es un montón de arena un sistema?</w:t>
      </w:r>
      <w:bookmarkEnd w:id="1468"/>
    </w:p>
    <w:p>
      <w:pPr>
        <w:pStyle w:val="Normal"/>
      </w:pPr>
      <w:r>
        <w:t xml:space="preserve">a) Sí, porque tiene muchos elementos (granos)</w:t>
      </w:r>
    </w:p>
    <w:p>
      <w:pPr>
        <w:pStyle w:val="Normal"/>
      </w:pPr>
      <w:r>
        <w:t xml:space="preserve">b) No, porque le faltan interconexiones y una función o propósito</w:t>
      </w:r>
    </w:p>
    <w:p>
      <w:pPr>
        <w:pStyle w:val="Normal"/>
      </w:pPr>
      <w:r>
        <w:t xml:space="preserve">c) Sí, porque ocupa un lugar en el espacio</w:t>
      </w:r>
    </w:p>
    <w:p>
      <w:pPr>
        <w:pStyle w:val="Normal"/>
      </w:pPr>
      <w:r>
        <w:t xml:space="preserve">d) No, porque los granos son todos iguales</w:t>
      </w:r>
    </w:p>
    <w:p>
      <w:pPr>
        <w:pStyle w:val="Heading3"/>
      </w:pPr>
      <w:bookmarkStart w:name="b_pregunta_auto_2_2_4" w:id="1469"/>
      <w:r>
        <w:t xml:space="preserve">2.2-A4 · En un equipo de fútbol, «las reglas del juego y la estrategia del entrenador» son, sobre todo…</w:t>
      </w:r>
      <w:bookmarkEnd w:id="1469"/>
    </w:p>
    <w:p>
      <w:pPr>
        <w:pStyle w:val="Normal"/>
      </w:pPr>
      <w:r>
        <w:t xml:space="preserve">a) Elementos</w:t>
      </w:r>
    </w:p>
    <w:p>
      <w:pPr>
        <w:pStyle w:val="Normal"/>
      </w:pPr>
      <w:r>
        <w:t xml:space="preserve">b) Interconexiones</w:t>
      </w:r>
    </w:p>
    <w:p>
      <w:pPr>
        <w:pStyle w:val="Normal"/>
      </w:pPr>
      <w:r>
        <w:t xml:space="preserve">c) El propósito</w:t>
      </w:r>
    </w:p>
    <w:p>
      <w:pPr>
        <w:pStyle w:val="Normal"/>
      </w:pPr>
      <w:r>
        <w:t xml:space="preserve">d) Entradas del sistema</w:t>
      </w:r>
    </w:p>
    <w:p>
      <w:pPr>
        <w:pStyle w:val="Heading3"/>
      </w:pPr>
      <w:bookmarkStart w:name="b_pregunta_auto_2_2_5" w:id="1470"/>
      <w:r>
        <w:t xml:space="preserve">2.2-A5 · Según Meadows, ¿qué cambio suele afectar MENOS el comportamiento de un sistema?</w:t>
      </w:r>
      <w:bookmarkEnd w:id="1470"/>
    </w:p>
    <w:p>
      <w:pPr>
        <w:pStyle w:val="Normal"/>
      </w:pPr>
      <w:r>
        <w:t xml:space="preserve">a) Cambiar sus elementos (las piezas)</w:t>
      </w:r>
    </w:p>
    <w:p>
      <w:pPr>
        <w:pStyle w:val="Normal"/>
      </w:pPr>
      <w:r>
        <w:t xml:space="preserve">b) Cambiar sus interconexiones</w:t>
      </w:r>
    </w:p>
    <w:p>
      <w:pPr>
        <w:pStyle w:val="Normal"/>
      </w:pPr>
      <w:r>
        <w:t xml:space="preserve">c) Cambiar su propósito o función</w:t>
      </w:r>
    </w:p>
    <w:p>
      <w:pPr>
        <w:pStyle w:val="Normal"/>
      </w:pPr>
      <w:r>
        <w:t xml:space="preserve">d) Todos afectan por igual</w:t>
      </w:r>
    </w:p>
    <w:p>
      <w:pPr>
        <w:pStyle w:val="Heading3"/>
      </w:pPr>
      <w:bookmarkStart w:name="b_pregunta_auto_2_2_6" w:id="1471"/>
      <w:r>
        <w:t xml:space="preserve">2.2-A6 · ¿Cómo se deduce el propósito de un sistema, según Meadows?</w:t>
      </w:r>
      <w:bookmarkEnd w:id="1471"/>
    </w:p>
    <w:p>
      <w:pPr>
        <w:pStyle w:val="Normal"/>
      </w:pPr>
      <w:r>
        <w:t xml:space="preserve">a) De lo que sus responsables declaran o prometen</w:t>
      </w:r>
    </w:p>
    <w:p>
      <w:pPr>
        <w:pStyle w:val="Normal"/>
      </w:pPr>
      <w:r>
        <w:t xml:space="preserve">b) De su comportamiento observado a lo largo del tiempo</w:t>
      </w:r>
    </w:p>
    <w:p>
      <w:pPr>
        <w:pStyle w:val="Normal"/>
      </w:pPr>
      <w:r>
        <w:t xml:space="preserve">c) Del organigrama o el reglamento oficial</w:t>
      </w:r>
    </w:p>
    <w:p>
      <w:pPr>
        <w:pStyle w:val="Normal"/>
      </w:pPr>
      <w:r>
        <w:t xml:space="preserve">d) De la cantidad de elementos que contiene</w:t>
      </w:r>
    </w:p>
    <w:p>
      <w:pPr>
        <w:pStyle w:val="Heading3"/>
      </w:pPr>
      <w:bookmarkStart w:name="b_pregunta_auto_2_2_7" w:id="1472"/>
      <w:r>
        <w:t xml:space="preserve">2.2-A7 · Meadows reserva la palabra «función» y la palabra «propósito» para…</w:t>
      </w:r>
      <w:bookmarkEnd w:id="1472"/>
    </w:p>
    <w:p>
      <w:pPr>
        <w:pStyle w:val="Normal"/>
      </w:pPr>
      <w:r>
        <w:t xml:space="preserve">a) «Función» para lo importante y «propósito» para lo secundario</w:t>
      </w:r>
    </w:p>
    <w:p>
      <w:pPr>
        <w:pStyle w:val="Normal"/>
      </w:pPr>
      <w:r>
        <w:t xml:space="preserve">b) «Función» para un sistema no humano y «propósito» para uno humano</w:t>
      </w:r>
    </w:p>
    <w:p>
      <w:pPr>
        <w:pStyle w:val="Normal"/>
      </w:pPr>
      <w:r>
        <w:t xml:space="preserve">c) «Función» para lo visible y «propósito» para lo oculto</w:t>
      </w:r>
    </w:p>
    <w:p>
      <w:pPr>
        <w:pStyle w:val="Normal"/>
      </w:pPr>
      <w:r>
        <w:t xml:space="preserve">d) Son sinónimos exactos, sin distinción</w:t>
      </w:r>
    </w:p>
    <w:p>
      <w:pPr>
        <w:pStyle w:val="Heading3"/>
      </w:pPr>
      <w:bookmarkStart w:name="b_pregunta_auto_2_2_8" w:id="1473"/>
      <w:r>
        <w:t xml:space="preserve">2.2-A8 · «La moral o el orgullo de un equipo» — ¿puede ser un elemento del sistema?</w:t>
      </w:r>
      <w:bookmarkEnd w:id="1473"/>
    </w:p>
    <w:p>
      <w:pPr>
        <w:pStyle w:val="Normal"/>
      </w:pPr>
      <w:r>
        <w:t xml:space="preserve">a) No; solo lo tangible puede ser un elemento</w:t>
      </w:r>
    </w:p>
    <w:p>
      <w:pPr>
        <w:pStyle w:val="Normal"/>
      </w:pPr>
      <w:r>
        <w:t xml:space="preserve">b) Sí; los elementos también pueden ser intangibles</w:t>
      </w:r>
    </w:p>
    <w:p>
      <w:pPr>
        <w:pStyle w:val="Normal"/>
      </w:pPr>
      <w:r>
        <w:t xml:space="preserve">c) No; eso es siempre una interconexión</w:t>
      </w:r>
    </w:p>
    <w:p>
      <w:pPr>
        <w:pStyle w:val="Normal"/>
      </w:pPr>
      <w:r>
        <w:t xml:space="preserve">d) No; eso es el propósito del equipo</w:t>
      </w:r>
    </w:p>
    <w:p>
      <w:pPr>
        <w:pStyle w:val="Heading3"/>
      </w:pPr>
      <w:bookmarkStart w:name="b_pregunta_auto_2_2_9" w:id="1474"/>
      <w:r>
        <w:t xml:space="preserve">2.2-A9 · Muchas interconexiones de un sistema operan, sobre todo, a través de…</w:t>
      </w:r>
      <w:bookmarkEnd w:id="1474"/>
    </w:p>
    <w:p>
      <w:pPr>
        <w:pStyle w:val="Normal"/>
      </w:pPr>
      <w:r>
        <w:t xml:space="preserve">a) Flujos de información</w:t>
      </w:r>
    </w:p>
    <w:p>
      <w:pPr>
        <w:pStyle w:val="Normal"/>
      </w:pPr>
      <w:r>
        <w:t xml:space="preserve">b) La fuerza de gravedad</w:t>
      </w:r>
    </w:p>
    <w:p>
      <w:pPr>
        <w:pStyle w:val="Normal"/>
      </w:pPr>
      <w:r>
        <w:t xml:space="preserve">c) El número de elementos</w:t>
      </w:r>
    </w:p>
    <w:p>
      <w:pPr>
        <w:pStyle w:val="Normal"/>
      </w:pPr>
      <w:r>
        <w:t xml:space="preserve">d) El tamaño físico del sistema</w:t>
      </w:r>
    </w:p>
    <w:p>
      <w:pPr>
        <w:pStyle w:val="Heading3"/>
      </w:pPr>
      <w:r>
        <w:t xml:space="preserve">Ejercicios de aplicación</w:t>
      </w:r>
    </w:p>
    <w:p>
      <w:pPr>
        <w:pStyle w:val="Heading3"/>
      </w:pPr>
      <w:bookmarkStart w:name="b_pregunta_ej_P01" w:id="1475"/>
      <w:r>
        <w:t xml:space="preserve">2.2-E1 · Frontera y contexto</w:t>
      </w:r>
      <w:bookmarkEnd w:id="1475"/>
    </w:p>
    <w:p>
      <w:pPr>
        <w:pStyle w:val="Normal"/>
      </w:pPr>
      <w:r>
        <w:t xml:space="preserve">Modela los préstamos de una biblioteca. ¿Qué incluyes y qué queda fuera si quieres explicar la espera? Justifica dos supuestos y el significado de una nube de proveedores.</w:t>
      </w:r>
    </w:p>
    <w:p>
      <w:pPr>
        <w:pStyle w:val="Heading3"/>
      </w:pPr>
      <w:bookmarkStart w:name="b_solucionario_2_2" w:id="1476"/>
      <w:r>
        <w:t xml:space="preserve">Solucionario del capítulo</w:t>
      </w:r>
      <w:bookmarkEnd w:id="1476"/>
    </w:p>
    <w:p>
      <w:pPr>
        <w:pStyle w:val="Heading3"/>
      </w:pPr>
      <w:r>
        <w:t xml:space="preserve">2.2-A1</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d) Declarar propósito, frontera, componentes, relaciones e intercambios pertinentes</w:t>
            </w:r>
          </w:p>
        </w:tc>
      </w:tr>
    </w:tbl>
    <w:p>
      <w:pPr>
        <w:pStyle w:val="Normal"/>
      </w:pPr>
      <w:r>
        <w:t xml:space="preserve">El nombre del objeto no declara un modelo. El concepto general orienta la selección de partes y relaciones y exige situarlas en una frontera y un entorno conforme al propósito del estudio.</w:t>
      </w:r>
    </w:p>
    <w:p>
      <w:pPr>
        <w:pStyle w:val="Fuente"/>
      </w:pPr>
      <w:r>
        <w:t xml:space="preserve">Presentación de la unidad 2 (C-6), pág. 5 y 6</w:t>
      </w:r>
    </w:p>
    <w:p>
      <w:pPr>
        <w:pStyle w:val="Heading3"/>
      </w:pPr>
      <w:r>
        <w:t xml:space="preserve">2.2-A2</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b) Elementos, interconexiones y una función o propósito</w:t>
            </w:r>
          </w:p>
        </w:tc>
      </w:tr>
    </w:tbl>
    <w:p>
      <w:pPr>
        <w:pStyle w:val="Normal"/>
      </w:pPr>
      <w:r>
        <w:t xml:space="preserve">Meadows define un sistema como elementos + interconexiones + una función o propósito. Si falta cualquiera de los tres, no hay sistema.</w:t>
      </w:r>
    </w:p>
    <w:p>
      <w:pPr>
        <w:pStyle w:val="Normal"/>
      </w:pPr>
      <w:r>
        <w:t xml:space="preserve">a) Ese es el esquema entrada–proceso–salida, útil pero no es la definición de Meadows.</w:t>
      </w:r>
    </w:p>
    <w:p>
      <w:pPr>
        <w:pStyle w:val="Normal"/>
      </w:pPr>
      <w:r>
        <w:t xml:space="preserve">b) Correcto: un sistema es un conjunto de elementos interconectados, organizado de forma coherente para lograr algo.</w:t>
      </w:r>
    </w:p>
    <w:p>
      <w:pPr>
        <w:pStyle w:val="Normal"/>
      </w:pPr>
      <w:r>
        <w:t xml:space="preserve">c) Son piezas de los diagramas causales (Unidad 3), no la definición de sistema.</w:t>
      </w:r>
    </w:p>
    <w:p>
      <w:pPr>
        <w:pStyle w:val="Normal"/>
      </w:pPr>
      <w:r>
        <w:t xml:space="preserve">d) Son los niveles del iceberg, no los ingredientes de un sistema.</w:t>
      </w:r>
    </w:p>
    <w:p>
      <w:pPr>
        <w:pStyle w:val="Fuente"/>
      </w:pPr>
      <w:r>
        <w:t xml:space="preserve">Meadows, Thinking in Systems</w:t>
      </w:r>
    </w:p>
    <w:p>
      <w:pPr>
        <w:pStyle w:val="Heading3"/>
      </w:pPr>
      <w:r>
        <w:t xml:space="preserve">2.2-A3</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b) No, porque le faltan interconexiones y una función o propósito</w:t>
            </w:r>
          </w:p>
        </w:tc>
      </w:tr>
    </w:tbl>
    <w:p>
      <w:pPr>
        <w:pStyle w:val="Normal"/>
      </w:pPr>
      <w:r>
        <w:t xml:space="preserve">Los granos no se afectan entre sí ni producen un comportamiento conjunto; quitar la mitad deja «medio montón». Sin interconexiones ni propósito, es solo un conglomerado, no un sistema.</w:t>
      </w:r>
    </w:p>
    <w:p>
      <w:pPr>
        <w:pStyle w:val="Heading3"/>
      </w:pPr>
      <w:r>
        <w:t xml:space="preserve">2.2-A4</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b) Interconexiones</w:t>
            </w:r>
          </w:p>
        </w:tc>
      </w:tr>
    </w:tbl>
    <w:p>
      <w:pPr>
        <w:pStyle w:val="Normal"/>
      </w:pPr>
      <w:r>
        <w:t xml:space="preserve">Son relaciones que gobiernan cómo actúan las piezas. Muchas interconexiones son, en el fondo, flujos de información que mantienen unido al sistema.</w:t>
      </w:r>
    </w:p>
    <w:p>
      <w:pPr>
        <w:pStyle w:val="Heading3"/>
      </w:pPr>
      <w:r>
        <w:t xml:space="preserve">2.2-A5</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a) Cambiar sus elementos (las piezas)</w:t>
            </w:r>
          </w:p>
        </w:tc>
      </w:tr>
    </w:tbl>
    <w:p>
      <w:pPr>
        <w:pStyle w:val="Normal"/>
      </w:pPr>
      <w:r>
        <w:t xml:space="preserve">Meadows ordena el impacto: cambiar elementos suele importar poco; cambiar interconexiones importa mucho; cambiar el propósito o función lo cambia casi todo.</w:t>
      </w:r>
    </w:p>
    <w:p>
      <w:pPr>
        <w:pStyle w:val="Normal"/>
      </w:pPr>
      <w:r>
        <w:t xml:space="preserve">a) Correcto: cambian todos los jugadores y sigue siendo el mismo equipo; los elementos son lo que menos altera al sistema.</w:t>
      </w:r>
    </w:p>
    <w:p>
      <w:pPr>
        <w:pStyle w:val="Normal"/>
      </w:pPr>
      <w:r>
        <w:t xml:space="preserve">b) Cambiar las interconexiones (las reglas, los flujos) sí transforma drásticamente al sistema.</w:t>
      </w:r>
    </w:p>
    <w:p>
      <w:pPr>
        <w:pStyle w:val="Normal"/>
      </w:pPr>
      <w:r>
        <w:t xml:space="preserve">c) Cambiar el propósito es lo que más lo transforma, aunque los elementos sigan iguales.</w:t>
      </w:r>
    </w:p>
    <w:p>
      <w:pPr>
        <w:pStyle w:val="Normal"/>
      </w:pPr>
      <w:r>
        <w:t xml:space="preserve">d) No es así: Meadows describe una jerarquía clara de impacto.</w:t>
      </w:r>
    </w:p>
    <w:p>
      <w:pPr>
        <w:pStyle w:val="Heading3"/>
      </w:pPr>
      <w:r>
        <w:t xml:space="preserve">2.2-A6</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b) De su comportamiento observado a lo largo del tiempo</w:t>
            </w:r>
          </w:p>
        </w:tc>
      </w:tr>
    </w:tbl>
    <w:p>
      <w:pPr>
        <w:pStyle w:val="Normal"/>
      </w:pPr>
      <w:r>
        <w:t xml:space="preserve">«El propósito se deduce del comportamiento, no de la retórica.» Si un gobierno dice proteger el ambiente pero no actúa, su propósito real se lee en lo que hace.</w:t>
      </w:r>
    </w:p>
    <w:p>
      <w:pPr>
        <w:pStyle w:val="Fuente"/>
      </w:pPr>
      <w:r>
        <w:t xml:space="preserve">Meadows</w:t>
      </w:r>
    </w:p>
    <w:p>
      <w:pPr>
        <w:pStyle w:val="Heading3"/>
      </w:pPr>
      <w:r>
        <w:t xml:space="preserve">2.2-A7</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b) «Función» para un sistema no humano y «propósito» para uno humano</w:t>
            </w:r>
          </w:p>
        </w:tc>
      </w:tr>
    </w:tbl>
    <w:p>
      <w:pPr>
        <w:pStyle w:val="Normal"/>
      </w:pPr>
      <w:r>
        <w:t xml:space="preserve">Meadows usa «función» para sistemas no humanos (un árbol, un aparato) y «propósito» para sistemas humanos (un equipo, una empresa). Es una convención de vocabulario.</w:t>
      </w:r>
    </w:p>
    <w:p>
      <w:pPr>
        <w:pStyle w:val="Heading3"/>
      </w:pPr>
      <w:r>
        <w:t xml:space="preserve">2.2-A8</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b) Sí; los elementos también pueden ser intangibles</w:t>
            </w:r>
          </w:p>
        </w:tc>
      </w:tr>
    </w:tbl>
    <w:p>
      <w:pPr>
        <w:pStyle w:val="Normal"/>
      </w:pPr>
      <w:r>
        <w:t xml:space="preserve">Meadows aclara que algunos elementos son intangibles: el orgullo o la cultura cuentan como elementos. No toda pieza de un sistema es física.</w:t>
      </w:r>
    </w:p>
    <w:p>
      <w:pPr>
        <w:pStyle w:val="Heading3"/>
      </w:pPr>
      <w:r>
        <w:t xml:space="preserve">2.2-A9</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a) Flujos de información</w:t>
            </w:r>
          </w:p>
        </w:tc>
      </w:tr>
    </w:tbl>
    <w:p>
      <w:pPr>
        <w:pStyle w:val="Normal"/>
      </w:pPr>
      <w:r>
        <w:t xml:space="preserve">Meadows subraya que muchas interconexiones son flujos de información: señales, reglas y datos que coordinan a los elementos (por ejemplo, la señal del termostato o las hormonas de un cuerpo).</w:t>
      </w:r>
    </w:p>
    <w:p>
      <w:pPr>
        <w:pStyle w:val="Heading3"/>
      </w:pPr>
      <w:bookmarkStart w:name="b_solucion_ej_P01" w:id="1477"/>
      <w:r>
        <w:t xml:space="preserve">Solución 2.2-E1</w:t>
      </w:r>
      <w:bookmarkEnd w:id="1477"/>
    </w:p>
    <w:p>
      <w:pPr>
        <w:pStyle w:val="RecuadroTitulo"/>
      </w:pPr>
      <w:r>
        <w:t xml:space="preserve">Respuesta modelo</w:t>
      </w:r>
    </w:p>
    <w:p>
      <w:pPr>
        <w:pStyle w:val="Normal"/>
      </w:pPr>
      <w:r>
        <w:t xml:space="preserve">Incluyo libros disponibles y prestados, préstamos, devoluciones y espera. Los proveedores pueden quedar fuera como fuente. Declaro si hay compras, pérdidas o límites de capacidad: omitirlos sólo es adecuado si no afectan la pregunta. La nube delimita el modelo; no afirma recursos infinitos.</w:t>
      </w:r>
    </w:p>
    <w:p>
      <w:pPr>
        <w:pStyle w:val="Fuente"/>
        <w:sectPr>
          <w:headerReference w:type="default" r:id="rId108"/>
          <w:headerReference w:type="first" r:id="rId109"/>
          <w:headerReference w:type="even" r:id="rId110"/>
          <w:footerReference w:type="default" r:id="rId111"/>
          <w:footerReference w:type="first" r:id="rId112"/>
          <w:footerReference w:type="even" r:id="rId113"/>
          <w:type w:val="nextPage"/>
          <w:pgSz w:w="12240" w:h="15840" w:orient="portrait"/>
          <w:pgMar w:top="1361" w:right="1134" w:bottom="1361" w:left="1474" w:header="650" w:footer="680" w:gutter="0"/>
          <w:pgNumType/>
          <w:titlePg/>
          <w:docGrid w:linePitch="360"/>
        </w:sectPr>
      </w:pPr>
      <w:r>
        <w:t xml:space="preserve">Repaso seleccionado · guía recibida, pp. 3–5; lecciones de unidades 1–3.</w:t>
      </w:r>
    </w:p>
    <w:p>
      <w:pPr>
        <w:pStyle w:val="Heading2"/>
      </w:pPr>
      <w:bookmarkStart w:name="b_2_3" w:id="1478"/>
      <w:r>
        <w:t xml:space="preserve">2.3 · Estructura de los sistemas</w:t>
      </w:r>
      <w:bookmarkEnd w:id="1478"/>
    </w:p>
    <w:p>
      <w:pPr>
        <w:pStyle w:val="Subtitulo"/>
      </w:pPr>
      <w:r>
        <w:t xml:space="preserve">Estructura de los sistemas</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En una línea</w:t>
            </w:r>
          </w:p>
          <w:p>
            <w:pPr>
              <w:pStyle w:val="Recuadro"/>
            </w:pPr>
            <w:r>
              <w:t xml:space="preserve">La estructura es el patrón de organización, y es lo que genera el comportamiento.</w:t>
            </w:r>
          </w:p>
        </w:tc>
      </w:tr>
    </w:tbl>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Qué te preguntan</w:t>
            </w:r>
          </w:p>
          <w:p>
            <w:pPr>
              <w:pStyle w:val="Recuadro"/>
            </w:pPr>
            <w:r>
              <w:t xml:space="preserve">Explicar la estructura como partes más relaciones dentro de una frontera elegida, distinguir relaciones unidireccionales y bidireccionales, reconocer entradas, salidas y retroacción, y comparar las seis topologías presentadas en la clase 7. Relacione la estructura con el comportamiento sin reducir el sistema a una lista de componentes.</w:t>
            </w:r>
          </w:p>
        </w:tc>
      </w:tr>
    </w:tbl>
    <w:p>
      <w:pPr>
        <w:pStyle w:val="Normal"/>
      </w:pPr>
      <w:r>
        <w:t xml:space="preserve">La estructura es el ordenamiento de partes y relaciones, una estructura organizada que describe cómo se transforman las entradas y genera los comportamientos: al cambiar la estructura cambia el comportamiento, y los problemas surgen de ella, no de una parte culpable. Se describe desde por lo menos tres perspectivas: ontológica (la fotografía estática de partes y relaciones), funcional (entradas, procesos y salidas en el tiempo) y genética (sus grandes estados). Comprobación: una lista de componentes sin relaciones no explica ningún comportamiento.</w:t>
      </w:r>
    </w:p>
    <w:p>
      <w:pPr>
        <w:pStyle w:val="Heading3"/>
      </w:pPr>
      <w:r>
        <w:t xml:space="preserve">Vocabulario clave</w:t>
      </w:r>
    </w:p>
    <w:p>
      <w:pPr>
        <w:pStyle w:val="Normal"/>
      </w:pPr>
      <w:r>
        <w:t xml:space="preserve">estructura (organizada, interna, relacional) · relaciones causales (interacciones que determinan el comportamiento) · perspectiva ontológica (estructural, orgánica: «una fotografía») · perspectiva funcional (dinámica: entradas, procesos, salidas) · perspectiva genética (evolutiva: los grandes estados) · topologías (jerárquica, matricial, circular, lineal, centralizada, descentralizada) · al cambiar la estructura cambia el comportamiento · cadenas causales no lineales y ciclos · subperspectivas de roles o disciplinas</w:t>
      </w:r>
    </w:p>
    <w:p>
      <w:pPr>
        <w:pStyle w:val="Fuente"/>
      </w:pPr>
      <w:r>
        <w:t xml:space="preserve">Recorrido: desarrollo conceptual → presentaciones → explicación en clase → errores y fuentes → práctica → solucionario.</w:t>
      </w:r>
    </w:p>
    <w:p>
      <w:pPr>
        <w:pStyle w:val="Heading3"/>
      </w:pPr>
      <w:r>
        <w:t xml:space="preserve">Interacciones internas, externas y anomalías</w:t>
      </w:r>
    </w:p>
    <w:p>
      <w:pPr>
        <w:pStyle w:val="Normal"/>
      </w:pPr>
      <w:r>
        <w:t xml:space="preserve">Endoestructura es el conjunto de relaciones entre componentes internos del sistema focal. Exoestructura reúne las relaciones que enlazan esos componentes con objetos del entorno. Son relaciones; la composición enumera las partes y el entorno enumera lo externo pertinente.</w:t>
      </w:r>
    </w:p>
    <w:p>
      <w:pPr>
        <w:pStyle w:val="Normal"/>
      </w:pPr>
      <w:r>
        <w:t xml:space="preserve">Ejemplo del portal: si la escuela es el sistema focal, coordinación docente–dirección es endoestructura; comunicación escuela–proveedor externo es exoestructura. El proveedor no se vuelve parte interna sólo porque exista esa relación; otra frontera sí puede cambiar su clasificación.</w:t>
      </w:r>
    </w:p>
    <w:p>
      <w:pPr>
        <w:pStyle w:val="Normal"/>
      </w:pPr>
      <w:r>
        <w:t xml:space="preserve">Una anomalía de funcionamiento puede surgir de interacciones deficientes aunque cada componente por separado funcione. Identificarla requiere comparar funcionamiento esperado y observado, y revisar esas relaciones antes de elegir una solución.</w:t>
      </w:r>
    </w:p>
    <w:p>
      <w:pPr>
        <w:pStyle w:val="Fuente"/>
      </w:pPr>
      <w:r>
        <w:t xml:space="preserve">Presentación de la unidad 2 (C-6), pág. 27 y 30 · Clase 7 · 01:29:30–01:35:46</w:t>
      </w:r>
    </w:p>
    <w:p>
      <w:pPr>
        <w:pStyle w:val="Heading3"/>
      </w:pPr>
      <w:r>
        <w:t xml:space="preserve">El bosque por dentro y en intercambio con el entorno</w:t>
      </w:r>
    </w:p>
    <w:p>
      <w:pPr>
        <w:pStyle w:val="Normal"/>
      </w:pPr>
      <w:r>
        <w:t xml:space="preserve">La composición interna reúne flora, fauna y microorganismos; la organización trófica conecta productores, consumidores y descomponedores. El entorno considerado incluye atmósfera, hidrósfera, suelo y sistemas agrícolas o urbanos vecinos.</w:t>
      </w:r>
    </w:p>
    <w:p>
      <w:pPr>
        <w:pStyle w:val="Normal"/>
      </w:pPr>
      <w:r>
        <w:t xml:space="preserve">Fotosíntesis, consumo y descomposición relacionan las partes: los nutrientes devueltos al suelo vuelven a estar disponibles para las plantas. En el recorte de la lámina entran energía solar, lluvia, CO</w:t>
      </w:r>
      <w:r>
        <w:rPr>
          <w:vertAlign w:val="subscript"/>
        </w:rPr>
        <w:t xml:space="preserve">2</w:t>
      </w:r>
      <w:r>
        <w:t xml:space="preserve"> y nutrientes; se consideran salidas el oxígeno y la biomasa, además de efectos o servicios de regulación hídrica y climática.</w:t>
      </w:r>
    </w:p>
    <w:p>
      <w:pPr>
        <w:pStyle w:val="Normal"/>
      </w:pPr>
      <w:r>
        <w:t xml:space="preserve">La ubicación del suelo puede cambiar según la frontera del estudio. Para leer esta página se conserva su recorte explícito; para otro modelo hay que declarar el cambio. No se confunde un efecto de regulación con una corriente material.</w:t>
      </w:r>
    </w:p>
    <w:p>
      <w:pPr>
        <w:pStyle w:val="Fuente"/>
      </w:pPr>
      <w:r>
        <w:t xml:space="preserve">Presentación de la unidad 2 (C-6), pág. 39 · Clase 8 · 00:04:46–00:08:10</w:t>
      </w:r>
    </w:p>
    <w:p>
      <w:pPr>
        <w:pStyle w:val="Heading3"/>
      </w:pPr>
      <w:r>
        <w:t xml:space="preserve">Qué es la estructura, como la definió la clase</w:t>
      </w:r>
    </w:p>
    <w:p>
      <w:pPr>
        <w:pStyle w:val="Normal"/>
      </w:pPr>
      <w:r>
        <w:t xml:space="preserve">Cada parte interactúa con las demás, «como dice la definición de sistema»: esas interacciones son relaciones causales que determinan el comportamiento de cada parte y el global; la estructura representa esas interacciones y comportamientos.</w:t>
      </w:r>
    </w:p>
    <w:p>
      <w:pPr>
        <w:pStyle w:val="Normal"/>
      </w:pPr>
      <w:r>
        <w:t xml:space="preserve">Estructura organizada: concepto de la teoría de sistemas que describe cómo partes y relaciones se ordenan y cómo se transforman las entradas del medio; la estructura interna genera los comportamientos (procedimientos, principios de trabajo, series de pasos).</w:t>
      </w:r>
    </w:p>
    <w:p>
      <w:pPr>
        <w:pStyle w:val="Normal"/>
      </w:pPr>
      <w:r>
        <w:t xml:space="preserve">La estructura relacional siempre existe; los procesos evolutivos muestran cómo cambia en el tiempo, y la cuarta definición exige que evolucione sin perder la identidad.</w:t>
      </w:r>
    </w:p>
    <w:p>
      <w:pPr>
        <w:pStyle w:val="Fuente"/>
      </w:pPr>
      <w:r>
        <w:t xml:space="preserve">Clase 4 · 00:31:53–00:32:29 · Clase 4 · 00:52:57–00:53:25 · Clase 6 · 00:46:49–00:47:01 · Clase 6 · 00:49:19–00:49:34 · Clase 6 · 00:57:54–00:58:57 · Clase 6 · 01:20:14–01:20:25</w:t>
      </w:r>
    </w:p>
    <w:p>
      <w:pPr>
        <w:pStyle w:val="Heading3"/>
      </w:pPr>
      <w:r>
        <w:t xml:space="preserve">La estructura genera el comportamiento</w:t>
      </w:r>
    </w:p>
    <w:p>
      <w:pPr>
        <w:pStyle w:val="Normal"/>
      </w:pPr>
      <w:r>
        <w:t xml:space="preserve">«Al cambiar la estructura cambia el comportamiento»: el del sistema depende de la estructura global y el del montón, del número de piezas; una pieza mal puesta o una relación no propicia cambian la característica emergente.</w:t>
      </w:r>
    </w:p>
    <w:p>
      <w:pPr>
        <w:pStyle w:val="Normal"/>
      </w:pPr>
      <w:r>
        <w:t xml:space="preserve">Las relaciones determinan el comportamiento, no sólo las partes: identificar sistemas y partes no es suficiente.</w:t>
      </w:r>
    </w:p>
    <w:p>
      <w:pPr>
        <w:pStyle w:val="Normal"/>
      </w:pPr>
      <w:r>
        <w:t xml:space="preserve">Proceso de venta: secuencia ordenada con relación lógica; la empresa desordenada no logra sus propiedades, y se nota por analogía con la que lo hace bien.</w:t>
      </w:r>
    </w:p>
    <w:p>
      <w:pPr>
        <w:pStyle w:val="Normal"/>
      </w:pPr>
      <w:r>
        <w:t xml:space="preserve">Los problemas surgen de la estructura, no de una parte culpable: cadenas causales no lineales y ciclos donde «ya no sabemos ni quién es la culpable».</w:t>
      </w:r>
    </w:p>
    <w:p>
      <w:pPr>
        <w:pStyle w:val="Fuente"/>
      </w:pPr>
      <w:r>
        <w:t xml:space="preserve">Clase 8 · 00:40:42–00:42:47 · Clase 8 · 00:49:03–00:49:46 · Clase 8 · 00:51:04–00:51:34 · Clase 8 · 00:59:25–01:01:02</w:t>
      </w:r>
    </w:p>
    <w:p>
      <w:pPr>
        <w:pStyle w:val="Heading3"/>
      </w:pPr>
      <w:r>
        <w:t xml:space="preserve">Las tres perspectivas, como las dictó la clase</w:t>
      </w:r>
    </w:p>
    <w:p>
      <w:pPr>
        <w:pStyle w:val="Normal"/>
      </w:pPr>
      <w:r>
        <w:t xml:space="preserve">La teoría de sistemas pide por lo menos tres perspectivas para cualquier sistema: ontológica, funcional y genética, con posibles subperspectivas de personas o roles.</w:t>
      </w:r>
    </w:p>
    <w:p>
      <w:pPr>
        <w:pStyle w:val="Normal"/>
      </w:pPr>
      <w:r>
        <w:t xml:space="preserve">Ontológica (estructural, orgánica): visión estática de partes internas, sistemas del entorno y relaciones fáciles de identificar, «una fotografía» sin el tiempo; topologías: jerarquías, relaciones matriciales, circulares, lineales, centralizaciones o descentralizaciones.</w:t>
      </w:r>
    </w:p>
    <w:p>
      <w:pPr>
        <w:pStyle w:val="Normal"/>
      </w:pPr>
      <w:r>
        <w:t xml:space="preserve">Funcional: con el tiempo; qué hace, qué entradas recibe y qué produce al medio; relaciones dinámicas con otros sistemas o internas (cada parte como subsistema); procesos, funciones y comportamientos paso a paso, secuenciales o iterativos, en términos de relaciones.</w:t>
      </w:r>
    </w:p>
    <w:p>
      <w:pPr>
        <w:pStyle w:val="Normal"/>
      </w:pPr>
      <w:r>
        <w:t xml:space="preserve">Genética o evolutiva: en ventanas amplias, los grandes estados por los que pasa el sistema y cómo cambia de características con la tecnología, las circunstancias o los conocimientos.</w:t>
      </w:r>
    </w:p>
    <w:p>
      <w:pPr>
        <w:pStyle w:val="Normal"/>
      </w:pPr>
      <w:r>
        <w:t xml:space="preserve">Las tres son las básicas, «aunque pueden haber más»: se empieza por ellas.</w:t>
      </w:r>
    </w:p>
    <w:p>
      <w:pPr>
        <w:pStyle w:val="Fuente"/>
      </w:pPr>
      <w:r>
        <w:t xml:space="preserve">Clase 7 · 01:29:30–01:35:46 · lámina c7-16 · lámina c7-17 · lámina c7-19 · lámina c7-20 · Clase 7 · 01:37:32–01:40:16 · lámina c7-24 · Clase 8 · 00:02:12–00:07:28 · Clase 8 · 00:17:52–00:18:59</w:t>
      </w:r>
    </w:p>
    <w:p>
      <w:pPr>
        <w:pStyle w:val="Heading3"/>
      </w:pPr>
      <w:r>
        <w:t xml:space="preserve">Los ejemplos resueltos y la tarea</w:t>
      </w:r>
    </w:p>
    <w:p>
      <w:pPr>
        <w:pStyle w:val="Normal"/>
      </w:pPr>
      <w:r>
        <w:t xml:space="preserve">Gráficos de empresas: los recuadros son subsistemas y las flechas, entradas y salidas.</w:t>
      </w:r>
    </w:p>
    <w:p>
      <w:pPr>
        <w:pStyle w:val="Normal"/>
      </w:pPr>
      <w:r>
        <w:t xml:space="preserve">Ser humano: ontológica, los sistemas circulatorio y digestivo; funcional, para qué sirve cada uno y cómo mantienen la vida; genética, niño, adolescente, adulto y mayor.</w:t>
      </w:r>
    </w:p>
    <w:p>
      <w:pPr>
        <w:pStyle w:val="Normal"/>
      </w:pPr>
      <w:r>
        <w:t xml:space="preserve">Sistemas operativos por generaciones; empresa familiar, empresa mayor, corporación: perspectiva genética.</w:t>
      </w:r>
    </w:p>
    <w:p>
      <w:pPr>
        <w:pStyle w:val="Normal"/>
      </w:pPr>
      <w:r>
        <w:t xml:space="preserve">Tarea 4: por lo menos dos realidades (físico, máquina, tecnológico o humano) descritas desde las tres perspectivas y otras de sus actores, en texto propio desde el título («la universidad como sistema»), en PDF.</w:t>
      </w:r>
    </w:p>
    <w:p>
      <w:pPr>
        <w:pStyle w:val="Fuente"/>
      </w:pPr>
      <w:r>
        <w:t xml:space="preserve">Clase 7 · 01:33:40–01:34:17 · lámina c7-21 · Clase 7 · 01:34:50–01:35:46 · Clase 7 · 01:38:34–01:39:20 · Clase 7 · 01:40:47–01:42:46 · Clase 8 · 00:05:09–00:07:28</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Procedimiento</w:t>
            </w:r>
          </w:p>
          <w:p>
            <w:pPr>
              <w:pStyle w:val="Recuadro"/>
            </w:pPr>
            <w:r>
              <w:t xml:space="preserve">Cómo describir la estructura desde las perspectivas ontológica, funcional y genética</w:t>
            </w:r>
          </w:p>
          <w:p>
            <w:pPr>
              <w:pStyle w:val="Recuadro"/>
            </w:pPr>
            <w:r>
              <w:t xml:space="preserve">1. </w:t>
            </w:r>
            <w:r>
              <w:rPr>
                <w:b/>
                <w:bCs/>
              </w:rPr>
              <w:t xml:space="preserve">Tomar la fotografía (ontológica).</w:t>
            </w:r>
            <w:r>
              <w:t xml:space="preserve"> Distinguir las partes internas, los sistemas del entorno y las relaciones fáciles de identificar, sin considerar el tiempo, y reconocer la topología: jerárquica, matricial, circular, lineal, centralizada o descentralizada. (Clase 7 · 01:30:59–01:33:08 · lámina c7-17 · lámina c7-19 · Clase 8 · 00:18:12–00:18:59)</w:t>
            </w:r>
          </w:p>
          <w:p>
            <w:pPr>
              <w:pStyle w:val="Recuadro"/>
            </w:pPr>
            <w:r>
              <w:t xml:space="preserve">2. </w:t>
            </w:r>
            <w:r>
              <w:rPr>
                <w:b/>
                <w:bCs/>
              </w:rPr>
              <w:t xml:space="preserve">Añadir el tiempo (funcional).</w:t>
            </w:r>
            <w:r>
              <w:t xml:space="preserve"> Qué entradas recibe, qué hace y qué produce al medio; procesos y funciones paso a paso, secuenciales o iterativos, en términos de relaciones: recuadros para subsistemas, flechas para entradas y salidas. (Clase 7 · 01:33:05–01:35:46 · lámina c7-20 · lámina c7-21)</w:t>
            </w:r>
          </w:p>
          <w:p>
            <w:pPr>
              <w:pStyle w:val="Recuadro"/>
            </w:pPr>
            <w:r>
              <w:t xml:space="preserve">3. </w:t>
            </w:r>
            <w:r>
              <w:rPr>
                <w:b/>
                <w:bCs/>
              </w:rPr>
              <w:t xml:space="preserve">Abrir la ventana amplia (genética).</w:t>
            </w:r>
            <w:r>
              <w:t xml:space="preserve"> Los grandes estados por los que ha pasado el sistema y cómo cambia con la tecnología, las circunstancias o los conocimientos: niño, adolescente, adulto, mayor; empresa familiar, empresa mayor, corporación. (Clase 7 · 01:37:32–01:39:55 · Clase 8 · 00:05:09–00:07:28)</w:t>
            </w:r>
          </w:p>
          <w:p>
            <w:pPr>
              <w:pStyle w:val="Recuadro"/>
            </w:pPr>
            <w:r>
              <w:t xml:space="preserve">4. </w:t>
            </w:r>
            <w:r>
              <w:rPr>
                <w:b/>
                <w:bCs/>
              </w:rPr>
              <w:t xml:space="preserve">Sumar las perspectivas de roles.</w:t>
            </w:r>
            <w:r>
              <w:t xml:space="preserve"> Ponerse en lo ontológico, funcional o genético aplica la regla de perspectivas: desde ahí se distinguen conceptos y se aplican relaciones o sistemas; después se añaden las subperspectivas de personas o roles. (Clase 8 · 00:18:51–00:20:48 · Clase 7 · 01:29:56–01:30:56 · Clase 8 · 00:07:06–00:07:28)</w:t>
            </w:r>
          </w:p>
          <w:p>
            <w:pPr>
              <w:pStyle w:val="Recuadro"/>
            </w:pPr>
            <w:r>
              <w:t xml:space="preserve">5. </w:t>
            </w:r>
            <w:r>
              <w:rPr>
                <w:b/>
                <w:bCs/>
              </w:rPr>
              <w:t xml:space="preserve">Comprobar con el comportamiento.</w:t>
            </w:r>
            <w:r>
              <w:t xml:space="preserve"> Si el sistema es complejo, varios modelos juntos forman el completo; la descripción sirve si explica el comportamiento, porque al cambiar la estructura cambia el comportamiento. (Clase 7 · 01:29:30–01:30:02 · Clase 8 · 00:49:16–00:49:46)</w:t>
            </w:r>
          </w:p>
          <w:p>
            <w:pPr>
              <w:pStyle w:val="Recuadro"/>
            </w:pPr>
            <w:r>
              <w:t xml:space="preserve">La estructura no es la lista de partes sino cómo partes y relaciones se ordenan; por eso genera el comportamiento y se describe, como mínimo, desde las tres perspectivas.</w:t>
            </w:r>
          </w:p>
        </w:tc>
      </w:tr>
    </w:tbl>
    <w:p>
      <w:pPr>
        <w:pStyle w:val="Heading3"/>
      </w:pPr>
      <w:bookmarkStart w:name="b_tabla_2_3_g1_conceptos_sistema" w:id="1479"/>
      <w:r>
        <w:t xml:space="preserve">Los nueve conceptos asociados al sistema</w:t>
      </w:r>
      <w:bookmarkEnd w:id="1479"/>
    </w:p>
    <w:tbl>
      <w:tblPr>
        <w:tblW w:type="dxa" w:w="9632"/>
        <w:tblBorders>
          <w:top w:val="single" w:color="C5D5DB" w:sz="4"/>
          <w:left w:val="single" w:color="C5D5DB" w:sz="4"/>
          <w:bottom w:val="single" w:color="C5D5DB" w:sz="4"/>
          <w:right w:val="single" w:color="C5D5DB" w:sz="4"/>
          <w:insideH w:val="single" w:color="E4E9EB" w:sz="3"/>
          <w:insideV w:val="single" w:color="E4E9EB" w:sz="3"/>
        </w:tblBorders>
        <w:tblLayout w:type="fixed"/>
      </w:tblPr>
      <w:tblGrid>
        <w:gridCol w:w="3212"/>
        <w:gridCol w:w="3210"/>
        <w:gridCol w:w="3210"/>
      </w:tblGrid>
      <w:tr>
        <w:trPr>
          <w:cantSplit/>
          <w:tblHeader/>
        </w:trPr>
        <w:tc>
          <w:tcPr>
            <w:tcW w:type="dxa" w:w="3212"/>
            <w:shd w:fill="DFEAF0" w:val="clear"/>
            <w:tcMar>
              <w:top w:type="dxa" w:w="80"/>
              <w:left w:type="dxa" w:w="100"/>
              <w:bottom w:type="dxa" w:w="80"/>
              <w:right w:type="dxa" w:w="100"/>
            </w:tcMar>
          </w:tcPr>
          <w:p>
            <w:pPr>
              <w:pStyle w:val="Tabla"/>
            </w:pPr>
            <w:r>
              <w:rPr>
                <w:b/>
                <w:bCs/>
              </w:rPr>
              <w:t xml:space="preserve">#</w:t>
            </w:r>
          </w:p>
        </w:tc>
        <w:tc>
          <w:tcPr>
            <w:tcW w:type="dxa" w:w="3210"/>
            <w:shd w:fill="DFEAF0" w:val="clear"/>
            <w:tcMar>
              <w:top w:type="dxa" w:w="80"/>
              <w:left w:type="dxa" w:w="100"/>
              <w:bottom w:type="dxa" w:w="80"/>
              <w:right w:type="dxa" w:w="100"/>
            </w:tcMar>
          </w:tcPr>
          <w:p>
            <w:pPr>
              <w:pStyle w:val="Tabla"/>
            </w:pPr>
            <w:r>
              <w:rPr>
                <w:b/>
                <w:bCs/>
              </w:rPr>
              <w:t xml:space="preserve">Racimo</w:t>
            </w:r>
          </w:p>
        </w:tc>
        <w:tc>
          <w:tcPr>
            <w:tcW w:type="dxa" w:w="3210"/>
            <w:shd w:fill="DFEAF0" w:val="clear"/>
            <w:tcMar>
              <w:top w:type="dxa" w:w="80"/>
              <w:left w:type="dxa" w:w="100"/>
              <w:bottom w:type="dxa" w:w="80"/>
              <w:right w:type="dxa" w:w="100"/>
            </w:tcMar>
          </w:tcPr>
          <w:p>
            <w:pPr>
              <w:pStyle w:val="Tabla"/>
            </w:pPr>
            <w:r>
              <w:rPr>
                <w:b/>
                <w:bCs/>
              </w:rPr>
              <w:t xml:space="preserve">Términos intercambiables</w:t>
            </w:r>
          </w:p>
        </w:tc>
      </w:tr>
      <w:tr>
        <w:trPr>
          <w:cantSplit/>
          <w:tblHeader w:val="off"/>
        </w:trPr>
        <w:tc>
          <w:tcPr>
            <w:tcW w:type="dxa" w:w="3212"/>
            <w:tcMar>
              <w:top w:type="dxa" w:w="80"/>
              <w:left w:type="dxa" w:w="100"/>
              <w:bottom w:type="dxa" w:w="80"/>
              <w:right w:type="dxa" w:w="100"/>
            </w:tcMar>
          </w:tcPr>
          <w:p>
            <w:pPr>
              <w:pStyle w:val="Tabla"/>
            </w:pPr>
            <w:r>
              <w:t xml:space="preserve">1</w:t>
            </w:r>
          </w:p>
        </w:tc>
        <w:tc>
          <w:tcPr>
            <w:tcW w:type="dxa" w:w="3210"/>
            <w:tcMar>
              <w:top w:type="dxa" w:w="80"/>
              <w:left w:type="dxa" w:w="100"/>
              <w:bottom w:type="dxa" w:w="80"/>
              <w:right w:type="dxa" w:w="100"/>
            </w:tcMar>
          </w:tcPr>
          <w:p>
            <w:pPr>
              <w:pStyle w:val="Tabla"/>
            </w:pPr>
            <w:r>
              <w:t xml:space="preserve">Totalidad</w:t>
            </w:r>
          </w:p>
        </w:tc>
        <w:tc>
          <w:tcPr>
            <w:tcW w:type="dxa" w:w="3210"/>
            <w:tcMar>
              <w:top w:type="dxa" w:w="80"/>
              <w:left w:type="dxa" w:w="100"/>
              <w:bottom w:type="dxa" w:w="80"/>
              <w:right w:type="dxa" w:w="100"/>
            </w:tcMar>
          </w:tcPr>
          <w:p>
            <w:pPr>
              <w:pStyle w:val="Tabla"/>
            </w:pPr>
            <w:r>
              <w:t xml:space="preserve">totalidad · todo</w:t>
            </w:r>
          </w:p>
        </w:tc>
      </w:tr>
      <w:tr>
        <w:trPr>
          <w:cantSplit/>
          <w:tblHeader w:val="off"/>
        </w:trPr>
        <w:tc>
          <w:tcPr>
            <w:tcW w:type="dxa" w:w="3212"/>
            <w:tcMar>
              <w:top w:type="dxa" w:w="80"/>
              <w:left w:type="dxa" w:w="100"/>
              <w:bottom w:type="dxa" w:w="80"/>
              <w:right w:type="dxa" w:w="100"/>
            </w:tcMar>
          </w:tcPr>
          <w:p>
            <w:pPr>
              <w:pStyle w:val="Tabla"/>
            </w:pPr>
            <w:r>
              <w:t xml:space="preserve">2</w:t>
            </w:r>
          </w:p>
        </w:tc>
        <w:tc>
          <w:tcPr>
            <w:tcW w:type="dxa" w:w="3210"/>
            <w:tcMar>
              <w:top w:type="dxa" w:w="80"/>
              <w:left w:type="dxa" w:w="100"/>
              <w:bottom w:type="dxa" w:w="80"/>
              <w:right w:type="dxa" w:w="100"/>
            </w:tcMar>
          </w:tcPr>
          <w:p>
            <w:pPr>
              <w:pStyle w:val="Tabla"/>
            </w:pPr>
            <w:r>
              <w:t xml:space="preserve">Componentes</w:t>
            </w:r>
          </w:p>
        </w:tc>
        <w:tc>
          <w:tcPr>
            <w:tcW w:type="dxa" w:w="3210"/>
            <w:tcMar>
              <w:top w:type="dxa" w:w="80"/>
              <w:left w:type="dxa" w:w="100"/>
              <w:bottom w:type="dxa" w:w="80"/>
              <w:right w:type="dxa" w:w="100"/>
            </w:tcMar>
          </w:tcPr>
          <w:p>
            <w:pPr>
              <w:pStyle w:val="Tabla"/>
            </w:pPr>
            <w:r>
              <w:t xml:space="preserve">componentes · partes · elementos · subsistemas</w:t>
            </w:r>
          </w:p>
        </w:tc>
      </w:tr>
      <w:tr>
        <w:trPr>
          <w:cantSplit/>
          <w:tblHeader w:val="off"/>
        </w:trPr>
        <w:tc>
          <w:tcPr>
            <w:tcW w:type="dxa" w:w="3212"/>
            <w:tcMar>
              <w:top w:type="dxa" w:w="80"/>
              <w:left w:type="dxa" w:w="100"/>
              <w:bottom w:type="dxa" w:w="80"/>
              <w:right w:type="dxa" w:w="100"/>
            </w:tcMar>
          </w:tcPr>
          <w:p>
            <w:pPr>
              <w:pStyle w:val="Tabla"/>
            </w:pPr>
            <w:r>
              <w:t xml:space="preserve">3</w:t>
            </w:r>
          </w:p>
        </w:tc>
        <w:tc>
          <w:tcPr>
            <w:tcW w:type="dxa" w:w="3210"/>
            <w:tcMar>
              <w:top w:type="dxa" w:w="80"/>
              <w:left w:type="dxa" w:w="100"/>
              <w:bottom w:type="dxa" w:w="80"/>
              <w:right w:type="dxa" w:w="100"/>
            </w:tcMar>
          </w:tcPr>
          <w:p>
            <w:pPr>
              <w:pStyle w:val="Tabla"/>
            </w:pPr>
            <w:r>
              <w:t xml:space="preserve">Relaciones</w:t>
            </w:r>
          </w:p>
        </w:tc>
        <w:tc>
          <w:tcPr>
            <w:tcW w:type="dxa" w:w="3210"/>
            <w:tcMar>
              <w:top w:type="dxa" w:w="80"/>
              <w:left w:type="dxa" w:w="100"/>
              <w:bottom w:type="dxa" w:w="80"/>
              <w:right w:type="dxa" w:w="100"/>
            </w:tcMar>
          </w:tcPr>
          <w:p>
            <w:pPr>
              <w:pStyle w:val="Tabla"/>
            </w:pPr>
            <w:r>
              <w:t xml:space="preserve">relaciones · interacciones · conexiones · interdependencias</w:t>
            </w:r>
          </w:p>
        </w:tc>
      </w:tr>
      <w:tr>
        <w:trPr>
          <w:cantSplit/>
          <w:tblHeader w:val="off"/>
        </w:trPr>
        <w:tc>
          <w:tcPr>
            <w:tcW w:type="dxa" w:w="3212"/>
            <w:tcMar>
              <w:top w:type="dxa" w:w="80"/>
              <w:left w:type="dxa" w:w="100"/>
              <w:bottom w:type="dxa" w:w="80"/>
              <w:right w:type="dxa" w:w="100"/>
            </w:tcMar>
          </w:tcPr>
          <w:p>
            <w:pPr>
              <w:pStyle w:val="Tabla"/>
            </w:pPr>
            <w:r>
              <w:t xml:space="preserve">4</w:t>
            </w:r>
          </w:p>
        </w:tc>
        <w:tc>
          <w:tcPr>
            <w:tcW w:type="dxa" w:w="3210"/>
            <w:tcMar>
              <w:top w:type="dxa" w:w="80"/>
              <w:left w:type="dxa" w:w="100"/>
              <w:bottom w:type="dxa" w:w="80"/>
              <w:right w:type="dxa" w:w="100"/>
            </w:tcMar>
          </w:tcPr>
          <w:p>
            <w:pPr>
              <w:pStyle w:val="Tabla"/>
            </w:pPr>
            <w:r>
              <w:t xml:space="preserve">Objetivos</w:t>
            </w:r>
          </w:p>
        </w:tc>
        <w:tc>
          <w:tcPr>
            <w:tcW w:type="dxa" w:w="3210"/>
            <w:tcMar>
              <w:top w:type="dxa" w:w="80"/>
              <w:left w:type="dxa" w:w="100"/>
              <w:bottom w:type="dxa" w:w="80"/>
              <w:right w:type="dxa" w:w="100"/>
            </w:tcMar>
          </w:tcPr>
          <w:p>
            <w:pPr>
              <w:pStyle w:val="Tabla"/>
            </w:pPr>
            <w:r>
              <w:t xml:space="preserve">objetivos · metas · razón de ser</w:t>
            </w:r>
          </w:p>
        </w:tc>
      </w:tr>
      <w:tr>
        <w:trPr>
          <w:cantSplit/>
          <w:tblHeader w:val="off"/>
        </w:trPr>
        <w:tc>
          <w:tcPr>
            <w:tcW w:type="dxa" w:w="3212"/>
            <w:tcMar>
              <w:top w:type="dxa" w:w="80"/>
              <w:left w:type="dxa" w:w="100"/>
              <w:bottom w:type="dxa" w:w="80"/>
              <w:right w:type="dxa" w:w="100"/>
            </w:tcMar>
          </w:tcPr>
          <w:p>
            <w:pPr>
              <w:pStyle w:val="Tabla"/>
            </w:pPr>
            <w:r>
              <w:t xml:space="preserve">5</w:t>
            </w:r>
          </w:p>
        </w:tc>
        <w:tc>
          <w:tcPr>
            <w:tcW w:type="dxa" w:w="3210"/>
            <w:tcMar>
              <w:top w:type="dxa" w:w="80"/>
              <w:left w:type="dxa" w:w="100"/>
              <w:bottom w:type="dxa" w:w="80"/>
              <w:right w:type="dxa" w:w="100"/>
            </w:tcMar>
          </w:tcPr>
          <w:p>
            <w:pPr>
              <w:pStyle w:val="Tabla"/>
            </w:pPr>
            <w:r>
              <w:t xml:space="preserve">Evolución</w:t>
            </w:r>
          </w:p>
        </w:tc>
        <w:tc>
          <w:tcPr>
            <w:tcW w:type="dxa" w:w="3210"/>
            <w:tcMar>
              <w:top w:type="dxa" w:w="80"/>
              <w:left w:type="dxa" w:w="100"/>
              <w:bottom w:type="dxa" w:w="80"/>
              <w:right w:type="dxa" w:w="100"/>
            </w:tcMar>
          </w:tcPr>
          <w:p>
            <w:pPr>
              <w:pStyle w:val="Tabla"/>
            </w:pPr>
            <w:r>
              <w:t xml:space="preserve">evoluciona · mejora · presenta diferentes características · conforme pasa el tiempo</w:t>
            </w:r>
          </w:p>
        </w:tc>
      </w:tr>
      <w:tr>
        <w:trPr>
          <w:cantSplit/>
          <w:tblHeader w:val="off"/>
        </w:trPr>
        <w:tc>
          <w:tcPr>
            <w:tcW w:type="dxa" w:w="3212"/>
            <w:tcMar>
              <w:top w:type="dxa" w:w="80"/>
              <w:left w:type="dxa" w:w="100"/>
              <w:bottom w:type="dxa" w:w="80"/>
              <w:right w:type="dxa" w:w="100"/>
            </w:tcMar>
          </w:tcPr>
          <w:p>
            <w:pPr>
              <w:pStyle w:val="Tabla"/>
            </w:pPr>
            <w:r>
              <w:t xml:space="preserve">6</w:t>
            </w:r>
          </w:p>
        </w:tc>
        <w:tc>
          <w:tcPr>
            <w:tcW w:type="dxa" w:w="3210"/>
            <w:tcMar>
              <w:top w:type="dxa" w:w="80"/>
              <w:left w:type="dxa" w:w="100"/>
              <w:bottom w:type="dxa" w:w="80"/>
              <w:right w:type="dxa" w:w="100"/>
            </w:tcMar>
          </w:tcPr>
          <w:p>
            <w:pPr>
              <w:pStyle w:val="Tabla"/>
            </w:pPr>
            <w:r>
              <w:t xml:space="preserve">Entorno y frontera</w:t>
            </w:r>
          </w:p>
        </w:tc>
        <w:tc>
          <w:tcPr>
            <w:tcW w:type="dxa" w:w="3210"/>
            <w:tcMar>
              <w:top w:type="dxa" w:w="80"/>
              <w:left w:type="dxa" w:w="100"/>
              <w:bottom w:type="dxa" w:w="80"/>
              <w:right w:type="dxa" w:w="100"/>
            </w:tcMar>
          </w:tcPr>
          <w:p>
            <w:pPr>
              <w:pStyle w:val="Tabla"/>
            </w:pPr>
            <w:r>
              <w:t xml:space="preserve">exterior · ambiente · contexto · medio · límites · frontera</w:t>
            </w:r>
          </w:p>
        </w:tc>
      </w:tr>
      <w:tr>
        <w:trPr>
          <w:cantSplit/>
          <w:tblHeader w:val="off"/>
        </w:trPr>
        <w:tc>
          <w:tcPr>
            <w:tcW w:type="dxa" w:w="3212"/>
            <w:tcMar>
              <w:top w:type="dxa" w:w="80"/>
              <w:left w:type="dxa" w:w="100"/>
              <w:bottom w:type="dxa" w:w="80"/>
              <w:right w:type="dxa" w:w="100"/>
            </w:tcMar>
          </w:tcPr>
          <w:p>
            <w:pPr>
              <w:pStyle w:val="Tabla"/>
            </w:pPr>
            <w:r>
              <w:t xml:space="preserve">7</w:t>
            </w:r>
          </w:p>
        </w:tc>
        <w:tc>
          <w:tcPr>
            <w:tcW w:type="dxa" w:w="3210"/>
            <w:tcMar>
              <w:top w:type="dxa" w:w="80"/>
              <w:left w:type="dxa" w:w="100"/>
              <w:bottom w:type="dxa" w:w="80"/>
              <w:right w:type="dxa" w:w="100"/>
            </w:tcMar>
          </w:tcPr>
          <w:p>
            <w:pPr>
              <w:pStyle w:val="Tabla"/>
            </w:pPr>
            <w:r>
              <w:t xml:space="preserve">Estructura organizada</w:t>
            </w:r>
          </w:p>
        </w:tc>
        <w:tc>
          <w:tcPr>
            <w:tcW w:type="dxa" w:w="3210"/>
            <w:tcMar>
              <w:top w:type="dxa" w:w="80"/>
              <w:left w:type="dxa" w:w="100"/>
              <w:bottom w:type="dxa" w:w="80"/>
              <w:right w:type="dxa" w:w="100"/>
            </w:tcMar>
          </w:tcPr>
          <w:p>
            <w:pPr>
              <w:pStyle w:val="Tabla"/>
            </w:pPr>
            <w:r>
              <w:t xml:space="preserve">estructura organizada · organización · reglas · principios · procedimientos · serie de pasos</w:t>
            </w:r>
          </w:p>
        </w:tc>
      </w:tr>
      <w:tr>
        <w:trPr>
          <w:cantSplit/>
          <w:tblHeader w:val="off"/>
        </w:trPr>
        <w:tc>
          <w:tcPr>
            <w:tcW w:type="dxa" w:w="3212"/>
            <w:tcMar>
              <w:top w:type="dxa" w:w="80"/>
              <w:left w:type="dxa" w:w="100"/>
              <w:bottom w:type="dxa" w:w="80"/>
              <w:right w:type="dxa" w:w="100"/>
            </w:tcMar>
          </w:tcPr>
          <w:p>
            <w:pPr>
              <w:pStyle w:val="Tabla"/>
            </w:pPr>
            <w:r>
              <w:t xml:space="preserve">8</w:t>
            </w:r>
          </w:p>
        </w:tc>
        <w:tc>
          <w:tcPr>
            <w:tcW w:type="dxa" w:w="3210"/>
            <w:tcMar>
              <w:top w:type="dxa" w:w="80"/>
              <w:left w:type="dxa" w:w="100"/>
              <w:bottom w:type="dxa" w:w="80"/>
              <w:right w:type="dxa" w:w="100"/>
            </w:tcMar>
          </w:tcPr>
          <w:p>
            <w:pPr>
              <w:pStyle w:val="Tabla"/>
            </w:pPr>
            <w:r>
              <w:t xml:space="preserve">Entradas</w:t>
            </w:r>
          </w:p>
        </w:tc>
        <w:tc>
          <w:tcPr>
            <w:tcW w:type="dxa" w:w="3210"/>
            <w:tcMar>
              <w:top w:type="dxa" w:w="80"/>
              <w:left w:type="dxa" w:w="100"/>
              <w:bottom w:type="dxa" w:w="80"/>
              <w:right w:type="dxa" w:w="100"/>
            </w:tcMar>
          </w:tcPr>
          <w:p>
            <w:pPr>
              <w:pStyle w:val="Tabla"/>
            </w:pPr>
            <w:r>
              <w:t xml:space="preserve">entradas · input</w:t>
            </w:r>
          </w:p>
        </w:tc>
      </w:tr>
      <w:tr>
        <w:trPr>
          <w:cantSplit/>
          <w:tblHeader w:val="off"/>
        </w:trPr>
        <w:tc>
          <w:tcPr>
            <w:tcW w:type="dxa" w:w="3212"/>
            <w:tcMar>
              <w:top w:type="dxa" w:w="80"/>
              <w:left w:type="dxa" w:w="100"/>
              <w:bottom w:type="dxa" w:w="80"/>
              <w:right w:type="dxa" w:w="100"/>
            </w:tcMar>
          </w:tcPr>
          <w:p>
            <w:pPr>
              <w:pStyle w:val="Tabla"/>
            </w:pPr>
            <w:r>
              <w:t xml:space="preserve">9</w:t>
            </w:r>
          </w:p>
        </w:tc>
        <w:tc>
          <w:tcPr>
            <w:tcW w:type="dxa" w:w="3210"/>
            <w:tcMar>
              <w:top w:type="dxa" w:w="80"/>
              <w:left w:type="dxa" w:w="100"/>
              <w:bottom w:type="dxa" w:w="80"/>
              <w:right w:type="dxa" w:w="100"/>
            </w:tcMar>
          </w:tcPr>
          <w:p>
            <w:pPr>
              <w:pStyle w:val="Tabla"/>
            </w:pPr>
            <w:r>
              <w:t xml:space="preserve">Salidas</w:t>
            </w:r>
          </w:p>
        </w:tc>
        <w:tc>
          <w:tcPr>
            <w:tcW w:type="dxa" w:w="3210"/>
            <w:tcMar>
              <w:top w:type="dxa" w:w="80"/>
              <w:left w:type="dxa" w:w="100"/>
              <w:bottom w:type="dxa" w:w="80"/>
              <w:right w:type="dxa" w:w="100"/>
            </w:tcMar>
          </w:tcPr>
          <w:p>
            <w:pPr>
              <w:pStyle w:val="Tabla"/>
            </w:pPr>
            <w:r>
              <w:t xml:space="preserve">salidas · output</w:t>
            </w:r>
          </w:p>
        </w:tc>
      </w:tr>
    </w:tbl>
    <w:p>
      <w:pPr>
        <w:pStyle w:val="Fuente"/>
      </w:pPr>
      <w:r>
        <w:t xml:space="preserve">Lámina 7 de la clase 6. Cada viñeta es un racimo de sinónimos: el examen puede usar cualquiera de los términos del racimo.</w:t>
      </w:r>
    </w:p>
    <w:p>
      <w:pPr>
        <w:pStyle w:val="Heading3"/>
      </w:pPr>
      <w:r>
        <w:t xml:space="preserve">Lo que dicen las presentaciones</w:t>
      </w:r>
    </w:p>
    <w:p>
      <w:pPr>
        <w:pStyle w:val="Heading3"/>
      </w:pPr>
      <w:bookmarkStart w:name="b_pagina_2_3_C_6_p6" w:id="1480"/>
      <w:r>
        <w:t xml:space="preserve">C-6 · página 6 · Conceptos importantes asociados al sistema</w:t>
      </w:r>
      <w:bookmarkEnd w:id="1480"/>
    </w:p>
    <w:p>
      <w:pPr>
        <w:pStyle w:val="Normal"/>
      </w:pPr>
      <w:r>
        <w:t xml:space="preserve">Nueve términos de la definición general, de totalidad a salidas.</w:t>
      </w:r>
    </w:p>
    <w:p>
      <w:pPr>
        <w:pStyle w:val="Fuente"/>
      </w:pPr>
      <w:r>
        <w:t xml:space="preserve">Proyección o explicación: Clase 6 · 00:51:02 · captura c6-07.</w:t>
      </w:r>
    </w:p>
    <w:p>
      <w:pPr>
        <w:pStyle w:val="Fuente"/>
      </w:pPr>
      <w:r>
        <w:t xml:space="preserve">Véase </w:t>
      </w:r>
      <w:hyperlink w:history="1" w:anchor="b_figura_original_pagina_C_6_6">
        <w:r>
          <w:rPr>
            <w:color w:val="156B70"/>
            <w:u w:val="single"/>
          </w:rPr>
          <w:t xml:space="preserve">imagen de C-6, página 6</w:t>
        </w:r>
      </w:hyperlink>
      <w:r>
        <w:t xml:space="preserve">, pág. </w:t>
      </w:r>
      <w:r>
        <w:fldChar w:fldCharType="begin"/>
        <w:instrText xml:space="preserve">PAGEREF b_figura_original_pagina_C_6_6 \h</w:instrText>
        <w:fldChar w:fldCharType="separate"/>
        <w:t xml:space="preserve">249</w:t>
        <w:fldChar w:fldCharType="end"/>
      </w:r>
      <w:r>
        <w:t xml:space="preserve">.</w:t>
      </w:r>
    </w:p>
    <w:p>
      <w:bookmarkStart w:name="b_punto_c6_p006_08" w:id="1481"/>
      <w:r>
        <w:t xml:space="preserve">Entradas corresponden a input.</w:t>
      </w:r>
      <w:bookmarkEnd w:id="1481"/>
    </w:p>
    <w:p>
      <w:bookmarkStart w:name="b_punto_c6_p006_09" w:id="1482"/>
      <w:r>
        <w:t xml:space="preserve">Salidas corresponden a output.</w:t>
      </w:r>
      <w:bookmarkEnd w:id="1482"/>
    </w:p>
    <w:p>
      <w:pPr>
        <w:pStyle w:val="Fuente"/>
      </w:pPr>
      <w:r>
        <w:t xml:space="preserve">Véase </w:t>
      </w:r>
      <w:hyperlink w:history="1" w:anchor="b_2_2">
        <w:r>
          <w:rPr>
            <w:color w:val="156B70"/>
            <w:u w:val="single"/>
          </w:rPr>
          <w:t xml:space="preserve">capítulo 2.2 · Conceptos de un sistema</w:t>
        </w:r>
      </w:hyperlink>
      <w:r>
        <w:t xml:space="preserve">, pág. </w:t>
      </w:r>
      <w:r>
        <w:fldChar w:fldCharType="begin"/>
        <w:instrText xml:space="preserve">PAGEREF b_2_2 \h</w:instrText>
        <w:fldChar w:fldCharType="separate"/>
        <w:t xml:space="preserve">242</w:t>
        <w:fldChar w:fldCharType="end"/>
      </w:r>
      <w:r>
        <w:t xml:space="preserve">.</w:t>
      </w:r>
    </w:p>
    <w:p>
      <w:pPr>
        <w:pStyle w:val="Heading3"/>
      </w:pPr>
      <w:bookmarkStart w:name="b_pagina_2_3_C_6_p27" w:id="1483"/>
      <w:r>
        <w:t xml:space="preserve">C-6 · página 27 · Enfoque sistémico</w:t>
      </w:r>
      <w:bookmarkEnd w:id="1483"/>
    </w:p>
    <w:p>
      <w:pPr>
        <w:pStyle w:val="Normal"/>
      </w:pPr>
      <w:r>
        <w:t xml:space="preserve">Problemas como anomalías de interacción y sistema como apreciación del observador.</w:t>
      </w:r>
    </w:p>
    <w:p>
      <w:pPr>
        <w:pStyle w:val="Fuente"/>
      </w:pPr>
      <w:r>
        <w:t xml:space="preserve">Proyección o explicación: Clase 7 · 01:13:50 · captura c7-14.</w:t>
      </w:r>
    </w:p>
    <w:p>
      <w:pPr>
        <w:pStyle w:val="Fuente"/>
      </w:pPr>
      <w:r>
        <w:t xml:space="preserve">Véase </w:t>
      </w:r>
      <w:hyperlink w:history="1" w:anchor="b_figura_original_pagina_C_6_27">
        <w:r>
          <w:rPr>
            <w:color w:val="156B70"/>
            <w:u w:val="single"/>
          </w:rPr>
          <w:t xml:space="preserve">imagen de C-6, página 27</w:t>
        </w:r>
      </w:hyperlink>
      <w:r>
        <w:t xml:space="preserve">, pág. </w:t>
      </w:r>
      <w:r>
        <w:fldChar w:fldCharType="begin"/>
        <w:instrText xml:space="preserve">PAGEREF b_figura_original_pagina_C_6_27 \h</w:instrText>
        <w:fldChar w:fldCharType="separate"/>
        <w:t xml:space="preserve">230</w:t>
        <w:fldChar w:fldCharType="end"/>
      </w:r>
      <w:r>
        <w:t xml:space="preserve">.</w:t>
      </w:r>
    </w:p>
    <w:p>
      <w:bookmarkStart w:name="b_punto_c6_p027_04" w:id="1484"/>
      <w:r>
        <w:t xml:space="preserve">La figura distingue componentes internos, endoestructura, exoestructura y objetos del entorno en dos sistemas relacionados.</w:t>
      </w:r>
      <w:bookmarkEnd w:id="1484"/>
    </w:p>
    <w:p>
      <w:pPr>
        <w:pStyle w:val="Fuente"/>
      </w:pPr>
      <w:r>
        <w:t xml:space="preserve">Véase </w:t>
      </w:r>
      <w:hyperlink w:history="1" w:anchor="b_2_1">
        <w:r>
          <w:rPr>
            <w:color w:val="156B70"/>
            <w:u w:val="single"/>
          </w:rPr>
          <w:t xml:space="preserve">capítulo 2.1 · Visión general</w:t>
        </w:r>
      </w:hyperlink>
      <w:r>
        <w:t xml:space="preserve">, pág. </w:t>
      </w:r>
      <w:r>
        <w:fldChar w:fldCharType="begin"/>
        <w:instrText xml:space="preserve">PAGEREF b_2_1 \h</w:instrText>
        <w:fldChar w:fldCharType="separate"/>
        <w:t xml:space="preserve">222</w:t>
        <w:fldChar w:fldCharType="end"/>
      </w:r>
      <w:r>
        <w:t xml:space="preserve">.</w:t>
      </w:r>
    </w:p>
    <w:p>
      <w:pPr>
        <w:pStyle w:val="Heading3"/>
      </w:pPr>
      <w:bookmarkStart w:name="b_pagina_2_3_C_6_p29" w:id="1485"/>
      <w:r>
        <w:t xml:space="preserve">C-6 · página 29 · Sistema generalizado como base del pensamiento sistémico</w:t>
      </w:r>
      <w:bookmarkEnd w:id="1485"/>
    </w:p>
    <w:p>
      <w:pPr>
        <w:pStyle w:val="Normal"/>
      </w:pPr>
      <w:r>
        <w:t xml:space="preserve">Ambiente, actividad, estructura, evolución y objetivo se leen desde tres perspectivas.</w:t>
      </w:r>
    </w:p>
    <w:p>
      <w:pPr>
        <w:pStyle w:val="Fuente"/>
      </w:pPr>
      <w:r>
        <w:t xml:space="preserve">Proyección o explicación: Clase 7 · 01:29:30 · captura c7-16.</w:t>
      </w:r>
    </w:p>
    <w:p>
      <w:bookmarkStart w:name="b_punto_c6_p029_01" w:id="1486"/>
      <w:r>
        <w:t xml:space="preserve">El objeto se describe por actividad, estructura y evolución en relación con entorno y objetivo.</w:t>
      </w:r>
      <w:bookmarkEnd w:id="1486"/>
    </w:p>
    <w:p>
      <w:bookmarkStart w:name="b_punto_c6_p029_02" w:id="1487"/>
      <w:r>
        <w:t xml:space="preserve">Perspectiva ontológica pregunta qué partes y relaciones constituyen su estructura.</w:t>
      </w:r>
      <w:bookmarkEnd w:id="1487"/>
    </w:p>
    <w:p>
      <w:bookmarkStart w:name="b_punto_c6_p029_03" w:id="1488"/>
      <w:r>
        <w:t xml:space="preserve">Perspectiva funcional pregunta qué recibe, transforma y entrega.</w:t>
      </w:r>
      <w:bookmarkEnd w:id="1488"/>
    </w:p>
    <w:p>
      <w:bookmarkStart w:name="b_punto_c6_p029_04" w:id="1489"/>
      <w:r>
        <w:t xml:space="preserve">Perspectiva genética pregunta por origen y estados a lo largo del tiempo.</w:t>
      </w:r>
      <w:bookmarkEnd w:id="1489"/>
    </w:p>
    <w:p>
      <w:bookmarkStart w:name="b_punto_c6_p029_05" w:id="1490"/>
      <w:r>
        <w:t xml:space="preserve">Las tres son perspectivas complementarias del mismo objeto percibido y no tres objetos distintos.</w:t>
      </w:r>
      <w:bookmarkEnd w:id="1490"/>
    </w:p>
    <w:p>
      <w:pPr>
        <w:pStyle w:val="Heading3"/>
      </w:pPr>
      <w:bookmarkStart w:name="b_pagina_2_3_C_6_p30" w:id="1491"/>
      <w:r>
        <w:t xml:space="preserve">C-6 · página 30 · Punto de vista estructural de un sistema</w:t>
      </w:r>
      <w:bookmarkEnd w:id="1491"/>
    </w:p>
    <w:p>
      <w:pPr>
        <w:pStyle w:val="Normal"/>
      </w:pPr>
      <w:r>
        <w:t xml:space="preserve">Representación estática mediante frontera, nodos y conexiones.</w:t>
      </w:r>
    </w:p>
    <w:p>
      <w:pPr>
        <w:pStyle w:val="Fuente"/>
      </w:pPr>
      <w:r>
        <w:t xml:space="preserve">Proyección o explicación: Clase 7 · 01:31:28 · captura c7-17.</w:t>
      </w:r>
    </w:p>
    <w:p>
      <w:pPr>
        <w:keepNext/>
        <w:spacing w:after="40" w:before="150"/>
        <w:jc w:val="center"/>
      </w:pPr>
      <w:bookmarkStart w:name="b_figura_original_pagina_C_6_30" w:id="1492"/>
      <w:bookmarkEnd w:id="1492"/>
      <w:r>
        <w:drawing>
          <wp:inline distT="0" distB="0" distL="0" distR="0">
            <wp:extent cx="5381625" cy="4162425"/>
            <wp:effectExtent t="0" r="0" b="0" l="0"/>
            <wp:docPr id="39" name="pagina-C-6-30" descr="Presentación C-6, pág. 30" title="Punto de vista estructural de un siste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25" cstate="none"/>
                    <a:srcRect/>
                    <a:stretch>
                      <a:fillRect/>
                    </a:stretch>
                  </pic:blipFill>
                  <pic:spPr bwMode="auto">
                    <a:xfrm>
                      <a:off x="0" y="0"/>
                      <a:ext cx="5381625" cy="4162425"/>
                    </a:xfrm>
                    <a:prstGeom prst="rect">
                      <a:avLst/>
                    </a:prstGeom>
                  </pic:spPr>
                </pic:pic>
              </a:graphicData>
            </a:graphic>
          </wp:inline>
        </w:drawing>
      </w:r>
    </w:p>
    <w:p>
      <w:pPr>
        <w:pStyle w:val="PieFigura"/>
        <w:keepNext/>
      </w:pPr>
      <w:bookmarkStart w:name="b_fig_2_3_1" w:id="1493"/>
      <w:r>
        <w:t xml:space="preserve">Figura 2.3.</w:t>
      </w:r>
      <w:fldSimple w:instr="SEQ Figura \r 1 \* ARABIC">
        <w:r>
          <w:t xml:space="preserve">1</w:t>
        </w:r>
      </w:fldSimple>
      <w:r>
        <w:t xml:space="preserve"> · Punto de vista estructural de un sistema</w:t>
      </w:r>
      <w:bookmarkEnd w:id="1493"/>
    </w:p>
    <w:p>
      <w:pPr>
        <w:pStyle w:val="Fuente"/>
      </w:pPr>
      <w:r>
        <w:t xml:space="preserve">Presentación C-6, pág. 30</w:t>
      </w:r>
    </w:p>
    <w:p>
      <w:bookmarkStart w:name="b_punto_c6_p030_01" w:id="1494"/>
      <w:r>
        <w:t xml:space="preserve">Los círculos representan elementos y las líneas relaciones.</w:t>
      </w:r>
      <w:bookmarkEnd w:id="1494"/>
    </w:p>
    <w:p>
      <w:bookmarkStart w:name="b_punto_c6_p030_02" w:id="1495"/>
      <w:r>
        <w:t xml:space="preserve">La frontera encierra al sistema y distingue su estructura del entorno.</w:t>
      </w:r>
      <w:bookmarkEnd w:id="1495"/>
    </w:p>
    <w:p>
      <w:bookmarkStart w:name="b_punto_c6_p030_03" w:id="1496"/>
      <w:r>
        <w:t xml:space="preserve">El grafo es una fotografía ontológica, que no modela aún procesos en el tiempo.</w:t>
      </w:r>
      <w:bookmarkEnd w:id="1496"/>
    </w:p>
    <w:p>
      <w:pPr>
        <w:pStyle w:val="Heading3"/>
      </w:pPr>
      <w:bookmarkStart w:name="b_pagina_2_3_C_6_p31" w:id="1497"/>
      <w:r>
        <w:t xml:space="preserve">C-6 · página 31 · Elementos de un sistema</w:t>
      </w:r>
      <w:bookmarkEnd w:id="1497"/>
    </w:p>
    <w:p>
      <w:pPr>
        <w:pStyle w:val="Normal"/>
      </w:pPr>
      <w:r>
        <w:t xml:space="preserve">Influencia parte–todo, decisión de detalle del analista y elemento entendido como subsistema.</w:t>
      </w:r>
    </w:p>
    <w:p>
      <w:pPr>
        <w:pStyle w:val="Fuente"/>
      </w:pPr>
      <w:r>
        <w:t xml:space="preserve">Proyección o explicación: Clase 7 · 01:31:43 · captura c7-18.</w:t>
      </w:r>
    </w:p>
    <w:p>
      <w:bookmarkStart w:name="b_punto_c6_p031_01" w:id="1498"/>
      <w:r>
        <w:t xml:space="preserve">Las características de los elementos afectan a la totalidad y las del sistema condicionan a los elementos mediante sus relaciones.</w:t>
      </w:r>
      <w:bookmarkEnd w:id="1498"/>
    </w:p>
    <w:p>
      <w:pPr>
        <w:pStyle w:val="Fuente"/>
      </w:pPr>
      <w:r>
        <w:t xml:space="preserve">Véase </w:t>
      </w:r>
      <w:hyperlink w:history="1" w:anchor="b_2_4">
        <w:r>
          <w:rPr>
            <w:color w:val="156B70"/>
            <w:u w:val="single"/>
          </w:rPr>
          <w:t xml:space="preserve">capítulo 2.4 · Sub y suprasistemas</w:t>
        </w:r>
      </w:hyperlink>
      <w:r>
        <w:t xml:space="preserve">, pág. </w:t>
      </w:r>
      <w:r>
        <w:fldChar w:fldCharType="begin"/>
        <w:instrText xml:space="preserve">PAGEREF b_2_4 \h</w:instrText>
        <w:fldChar w:fldCharType="separate"/>
        <w:t xml:space="preserve">277</w:t>
        <w:fldChar w:fldCharType="end"/>
      </w:r>
      <w:r>
        <w:t xml:space="preserve">.</w:t>
      </w:r>
    </w:p>
    <w:p>
      <w:pPr>
        <w:pStyle w:val="Heading3"/>
      </w:pPr>
      <w:bookmarkStart w:name="b_pagina_2_3_C_6_p32" w:id="1499"/>
      <w:r>
        <w:t xml:space="preserve">C-6 · página 32 · Relaciones y estructura estática</w:t>
      </w:r>
      <w:bookmarkEnd w:id="1499"/>
    </w:p>
    <w:p>
      <w:pPr>
        <w:pStyle w:val="Normal"/>
      </w:pPr>
      <w:r>
        <w:t xml:space="preserve">Seis topologías de relaciones sin atribuirles todavía dirección de flujo.</w:t>
      </w:r>
    </w:p>
    <w:p>
      <w:pPr>
        <w:pStyle w:val="Fuente"/>
      </w:pPr>
      <w:r>
        <w:t xml:space="preserve">Proyección o explicación: Clase 7 · 01:32:26 · captura c7-19.</w:t>
      </w:r>
    </w:p>
    <w:p>
      <w:bookmarkStart w:name="b_punto_c6_p032_01" w:id="1500"/>
      <w:r>
        <w:t xml:space="preserve">Lineal: elementos dispuestos en cadena.</w:t>
      </w:r>
      <w:bookmarkEnd w:id="1500"/>
    </w:p>
    <w:p>
      <w:bookmarkStart w:name="b_punto_c6_p032_02" w:id="1501"/>
      <w:r>
        <w:t xml:space="preserve">Matricial: filas y columnas de conexiones.</w:t>
      </w:r>
      <w:bookmarkEnd w:id="1501"/>
    </w:p>
    <w:p>
      <w:bookmarkStart w:name="b_punto_c6_p032_03" w:id="1502"/>
      <w:r>
        <w:t xml:space="preserve">Circular: circuito cerrado de elementos.</w:t>
      </w:r>
      <w:bookmarkEnd w:id="1502"/>
    </w:p>
    <w:p>
      <w:bookmarkStart w:name="b_punto_c6_p032_04" w:id="1503"/>
      <w:r>
        <w:t xml:space="preserve">Centralizada: un centro conectado a las demás partes.</w:t>
      </w:r>
      <w:bookmarkEnd w:id="1503"/>
    </w:p>
    <w:p>
      <w:bookmarkStart w:name="b_punto_c6_p032_05" w:id="1504"/>
      <w:r>
        <w:t xml:space="preserve">Descentralizada: conexiones distribuidas entre diversos nodos.</w:t>
      </w:r>
      <w:bookmarkEnd w:id="1504"/>
    </w:p>
    <w:p>
      <w:bookmarkStart w:name="b_punto_c6_p032_06" w:id="1505"/>
      <w:r>
        <w:t xml:space="preserve">Jerárquica: estructura ramificada por niveles.</w:t>
      </w:r>
      <w:bookmarkEnd w:id="1505"/>
    </w:p>
    <w:p>
      <w:bookmarkStart w:name="b_punto_c6_p032_07" w:id="1506"/>
      <w:r>
        <w:t xml:space="preserve">Las topologías son estáticas; no se infieren causalidad, polaridad, eficiencia ni vulnerabilidad de líneas sin flechas.</w:t>
      </w:r>
      <w:bookmarkEnd w:id="1506"/>
    </w:p>
    <w:p>
      <w:pPr>
        <w:pStyle w:val="Heading3"/>
      </w:pPr>
      <w:bookmarkStart w:name="b_pagina_2_3_C_6_p33" w:id="1507"/>
      <w:r>
        <w:t xml:space="preserve">C-6 · página 33 · Punto de vista funcional de un sistema</w:t>
      </w:r>
      <w:bookmarkEnd w:id="1507"/>
    </w:p>
    <w:p>
      <w:pPr>
        <w:pStyle w:val="Normal"/>
      </w:pPr>
      <w:r>
        <w:t xml:space="preserve">Sistema en su entorno, con entradas y salidas.</w:t>
      </w:r>
    </w:p>
    <w:p>
      <w:pPr>
        <w:pStyle w:val="Fuente"/>
      </w:pPr>
      <w:r>
        <w:t xml:space="preserve">Proyección o explicación: Clase 7 · 01:33:15 · captura c7-20.</w:t>
      </w:r>
    </w:p>
    <w:p>
      <w:bookmarkStart w:name="b_punto_c6_p033_01" w:id="1508"/>
      <w:r>
        <w:t xml:space="preserve">El sistema S está situado en un entorno E.</w:t>
      </w:r>
      <w:bookmarkEnd w:id="1508"/>
    </w:p>
    <w:p>
      <w:bookmarkStart w:name="b_punto_c6_p033_02" w:id="1509"/>
      <w:r>
        <w:t xml:space="preserve">Las entradas e cruzan desde el entorno al sistema.</w:t>
      </w:r>
      <w:bookmarkEnd w:id="1509"/>
    </w:p>
    <w:p>
      <w:bookmarkStart w:name="b_punto_c6_p033_03" w:id="1510"/>
      <w:r>
        <w:t xml:space="preserve">Las salidas s vuelven del sistema al entorno.</w:t>
      </w:r>
      <w:bookmarkEnd w:id="1510"/>
    </w:p>
    <w:p>
      <w:bookmarkStart w:name="b_punto_c6_p033_04" w:id="1511"/>
      <w:r>
        <w:t xml:space="preserve">La lectura funcional considera transformación y dinámica de las relaciones en el tiempo.</w:t>
      </w:r>
      <w:bookmarkEnd w:id="1511"/>
    </w:p>
    <w:p>
      <w:pPr>
        <w:pStyle w:val="Heading3"/>
      </w:pPr>
      <w:bookmarkStart w:name="b_pagina_2_3_C_6_p34" w:id="1512"/>
      <w:r>
        <w:t xml:space="preserve">C-6 · página 34 · Modelos de flujo de procesos de los sistemas</w:t>
      </w:r>
      <w:bookmarkEnd w:id="1512"/>
    </w:p>
    <w:p>
      <w:pPr>
        <w:pStyle w:val="Normal"/>
      </w:pPr>
      <w:r>
        <w:t xml:space="preserve">Dos mapas empresariales muestran procesos estratégicos, clave y de apoyo, y flujos entre áreas funcionales.</w:t>
      </w:r>
    </w:p>
    <w:p>
      <w:pPr>
        <w:pStyle w:val="Fuente"/>
      </w:pPr>
      <w:r>
        <w:t xml:space="preserve">Proyección o explicación: Clase 7 · 01:33:45 · captura c7-21.</w:t>
      </w:r>
    </w:p>
    <w:p>
      <w:bookmarkStart w:name="b_punto_c6_p034_01" w:id="1513"/>
      <w:r>
        <w:t xml:space="preserve">Un mapa de procesos distingue procesos estratégicos, clave y de apoyo.</w:t>
      </w:r>
      <w:bookmarkEnd w:id="1513"/>
    </w:p>
    <w:p>
      <w:bookmarkStart w:name="b_punto_c6_p034_02" w:id="1514"/>
      <w:r>
        <w:t xml:space="preserve">Marketing, diseño y gestión estratégica orientan la operación; recursos humanos, compras y calidad la apoyan.</w:t>
      </w:r>
      <w:bookmarkEnd w:id="1514"/>
    </w:p>
    <w:p>
      <w:bookmarkStart w:name="b_punto_c6_p034_03" w:id="1515"/>
      <w:r>
        <w:t xml:space="preserve">Pedidos y ventas alimentan recepción de pedidos, producción y distribución hacia el cliente.</w:t>
      </w:r>
      <w:bookmarkEnd w:id="1515"/>
    </w:p>
    <w:p>
      <w:bookmarkStart w:name="b_punto_c6_p034_04" w:id="1516"/>
      <w:r>
        <w:t xml:space="preserve">En el segundo esquema, recuadros representan áreas o subsistemas y flechas sus entradas y salidas; la reinversión cierra un retorno.</w:t>
      </w:r>
      <w:bookmarkEnd w:id="1516"/>
    </w:p>
    <w:p>
      <w:pPr>
        <w:pStyle w:val="Heading3"/>
      </w:pPr>
      <w:bookmarkStart w:name="b_pagina_2_3_C_6_p35" w:id="1517"/>
      <w:r>
        <w:t xml:space="preserve">C-6 · página 35 · Punto de vista funcional de un sistema</w:t>
      </w:r>
      <w:bookmarkEnd w:id="1517"/>
    </w:p>
    <w:p>
      <w:pPr>
        <w:pStyle w:val="Normal"/>
      </w:pPr>
      <w:r>
        <w:t xml:space="preserve">Entradas, transformación y salidas ocurren en el tiempo; una salida puede regresar como retroacción.</w:t>
      </w:r>
    </w:p>
    <w:p>
      <w:pPr>
        <w:pStyle w:val="Fuente"/>
      </w:pPr>
      <w:r>
        <w:t xml:space="preserve">Proyección o explicación: Clase 7 · 01:35:48 · captura c7-22.</w:t>
      </w:r>
    </w:p>
    <w:p>
      <w:bookmarkStart w:name="b_punto_c6_p035_01" w:id="1518"/>
      <w:r>
        <w:t xml:space="preserve">La perspectiva funcional sigue entradas o datos, actividad del sistema y salidas o resultados.</w:t>
      </w:r>
      <w:bookmarkEnd w:id="1518"/>
    </w:p>
    <w:p>
      <w:bookmarkStart w:name="b_punto_c6_p035_02" w:id="1519"/>
      <w:r>
        <w:t xml:space="preserve">El antes y el después son necesarios para describir la transformación funcional.</w:t>
      </w:r>
      <w:bookmarkEnd w:id="1519"/>
    </w:p>
    <w:p>
      <w:bookmarkStart w:name="b_punto_c6_p035_04" w:id="1520"/>
      <w:r>
        <w:t xml:space="preserve">El esquema de retorno introduce la circularidad y no un segundo sistema independiente.</w:t>
      </w:r>
      <w:bookmarkEnd w:id="1520"/>
    </w:p>
    <w:p>
      <w:pPr>
        <w:pStyle w:val="Fuente"/>
      </w:pPr>
      <w:r>
        <w:t xml:space="preserve">Véase </w:t>
      </w:r>
      <w:hyperlink w:history="1" w:anchor="b_2_8">
        <w:r>
          <w:rPr>
            <w:color w:val="156B70"/>
            <w:u w:val="single"/>
          </w:rPr>
          <w:t xml:space="preserve">capítulo 2.8 · Otros conceptos de la TGS</w:t>
        </w:r>
      </w:hyperlink>
      <w:r>
        <w:t xml:space="preserve">, pág. </w:t>
      </w:r>
      <w:r>
        <w:fldChar w:fldCharType="begin"/>
        <w:instrText xml:space="preserve">PAGEREF b_2_8 \h</w:instrText>
        <w:fldChar w:fldCharType="separate"/>
        <w:t xml:space="preserve">345</w:t>
        <w:fldChar w:fldCharType="end"/>
      </w:r>
      <w:r>
        <w:t xml:space="preserve">.</w:t>
      </w:r>
    </w:p>
    <w:p>
      <w:pPr>
        <w:pStyle w:val="Heading3"/>
      </w:pPr>
      <w:bookmarkStart w:name="b_pagina_2_3_C_6_p36" w:id="1521"/>
      <w:r>
        <w:t xml:space="preserve">C-6 · página 36 · Modelando sistemas o creando sistemas</w:t>
      </w:r>
      <w:bookmarkEnd w:id="1521"/>
    </w:p>
    <w:p>
      <w:pPr>
        <w:pStyle w:val="Normal"/>
      </w:pPr>
      <w:r>
        <w:t xml:space="preserve">Una red de componentes y subsistemas intercambia información, energía y recursos con su ambiente.</w:t>
      </w:r>
    </w:p>
    <w:p>
      <w:pPr>
        <w:pStyle w:val="Fuente"/>
      </w:pPr>
      <w:r>
        <w:t xml:space="preserve">Proyección o explicación: Clase 7 · 01:36:21 · captura c7-23.</w:t>
      </w:r>
    </w:p>
    <w:p>
      <w:bookmarkStart w:name="b_punto_c6_p036_01" w:id="1522"/>
      <w:r>
        <w:t xml:space="preserve">La frontera distingue sistema y ambiente sin eliminar las relaciones que cruzan el límite.</w:t>
      </w:r>
      <w:bookmarkEnd w:id="1522"/>
    </w:p>
    <w:p>
      <w:bookmarkStart w:name="b_punto_c6_p036_02" w:id="1523"/>
      <w:r>
        <w:t xml:space="preserve">Dentro del sistema se representan componentes y subsistemas relacionados.</w:t>
      </w:r>
      <w:bookmarkEnd w:id="1523"/>
    </w:p>
    <w:p>
      <w:bookmarkStart w:name="b_punto_c6_p036_03" w:id="1524"/>
      <w:r>
        <w:t xml:space="preserve">Las entradas y salidas incluyen información, energía y recursos.</w:t>
      </w:r>
      <w:bookmarkEnd w:id="1524"/>
    </w:p>
    <w:p>
      <w:bookmarkStart w:name="b_punto_c6_p036_05" w:id="1525"/>
      <w:r>
        <w:t xml:space="preserve">El dibujo de nodos interiores y exteriores representa conexiones internas y relaciones con el entorno.</w:t>
      </w:r>
      <w:bookmarkEnd w:id="1525"/>
    </w:p>
    <w:p>
      <w:pPr>
        <w:pStyle w:val="Fuente"/>
      </w:pPr>
      <w:r>
        <w:t xml:space="preserve">Véase </w:t>
      </w:r>
      <w:hyperlink w:history="1" w:anchor="b_2_4">
        <w:r>
          <w:rPr>
            <w:color w:val="156B70"/>
            <w:u w:val="single"/>
          </w:rPr>
          <w:t xml:space="preserve">capítulo 2.4 · Sub y suprasistemas</w:t>
        </w:r>
      </w:hyperlink>
      <w:r>
        <w:t xml:space="preserve">, pág. </w:t>
      </w:r>
      <w:r>
        <w:fldChar w:fldCharType="begin"/>
        <w:instrText xml:space="preserve">PAGEREF b_2_4 \h</w:instrText>
        <w:fldChar w:fldCharType="separate"/>
        <w:t xml:space="preserve">277</w:t>
        <w:fldChar w:fldCharType="end"/>
      </w:r>
      <w:r>
        <w:t xml:space="preserve">.</w:t>
      </w:r>
    </w:p>
    <w:p>
      <w:pPr>
        <w:pStyle w:val="Heading3"/>
      </w:pPr>
      <w:bookmarkStart w:name="b_pagina_2_3_C_6_p37" w:id="1526"/>
      <w:r>
        <w:t xml:space="preserve">C-6 · página 37 · Perspectivas del pensamiento sistémico</w:t>
      </w:r>
      <w:bookmarkEnd w:id="1526"/>
    </w:p>
    <w:p>
      <w:pPr>
        <w:pStyle w:val="Normal"/>
      </w:pPr>
      <w:r>
        <w:t xml:space="preserve">La misma realidad se describe desde su organización, funcionamiento y evolución.</w:t>
      </w:r>
    </w:p>
    <w:p>
      <w:pPr>
        <w:pStyle w:val="Fuente"/>
      </w:pPr>
      <w:r>
        <w:t xml:space="preserve">Proyección o explicación: Clase 7 · 01:38:15 · captura c7-24.</w:t>
      </w:r>
    </w:p>
    <w:p>
      <w:bookmarkStart w:name="b_punto_c6_p037_01" w:id="1527"/>
      <w:r>
        <w:t xml:space="preserve">Las perspectivas básicas son ontológica, funcional y genética.</w:t>
      </w:r>
      <w:bookmarkEnd w:id="1527"/>
    </w:p>
    <w:p>
      <w:bookmarkStart w:name="b_punto_c6_p037_02" w:id="1528"/>
      <w:r>
        <w:t xml:space="preserve">La ontológica mira partes y relaciones; la funcional, entradas/salidas en el tiempo; la genética, grandes estados evolutivos.</w:t>
      </w:r>
      <w:bookmarkEnd w:id="1528"/>
    </w:p>
    <w:p>
      <w:bookmarkStart w:name="b_punto_c6_p037_03" w:id="1529"/>
      <w:r>
        <w:t xml:space="preserve">Las generaciones de sistemas operativos ejemplifican la perspectiva genética.</w:t>
      </w:r>
      <w:bookmarkEnd w:id="1529"/>
    </w:p>
    <w:p>
      <w:bookmarkStart w:name="b_punto_c6_p037_04" w:id="1530"/>
      <w:r>
        <w:t xml:space="preserve">Entrada y retorno ejemplifican la perspectiva funcional, y la red delimitada la ontológica.</w:t>
      </w:r>
      <w:bookmarkEnd w:id="1530"/>
    </w:p>
    <w:p>
      <w:bookmarkStart w:name="b_punto_c6_p037_05" w:id="1531"/>
      <w:r>
        <w:t xml:space="preserve">Las miradas son complementarias y admiten otras subperspectivas de roles.</w:t>
      </w:r>
      <w:bookmarkEnd w:id="1531"/>
    </w:p>
    <w:p>
      <w:pPr>
        <w:pStyle w:val="Heading3"/>
      </w:pPr>
      <w:bookmarkStart w:name="b_pagina_2_3_C_6_p39" w:id="1532"/>
      <w:r>
        <w:t xml:space="preserve">C-6 · página 39 · El bosque modelado con DSRP</w:t>
      </w:r>
      <w:bookmarkEnd w:id="1532"/>
    </w:p>
    <w:p>
      <w:pPr>
        <w:pStyle w:val="Normal"/>
      </w:pPr>
      <w:r>
        <w:t xml:space="preserve">El caso delimita el bosque, organiza seres y entorno, describe intercambios y compara cuatro perspectivas.</w:t>
      </w:r>
    </w:p>
    <w:p>
      <w:pPr>
        <w:pStyle w:val="Fuente"/>
      </w:pPr>
      <w:r>
        <w:t xml:space="preserve">Proyección o explicación: Clase 8 · 00:04:46 · captura c8-02.</w:t>
      </w:r>
    </w:p>
    <w:p>
      <w:pPr>
        <w:pStyle w:val="Fuente"/>
      </w:pPr>
      <w:r>
        <w:t xml:space="preserve">Véase </w:t>
      </w:r>
      <w:hyperlink w:history="1" w:anchor="b_figura_original_pagina_C_6_39">
        <w:r>
          <w:rPr>
            <w:color w:val="156B70"/>
            <w:u w:val="single"/>
          </w:rPr>
          <w:t xml:space="preserve">imagen de C-6, página 39</w:t>
        </w:r>
      </w:hyperlink>
      <w:r>
        <w:t xml:space="preserve">, pág. </w:t>
      </w:r>
      <w:r>
        <w:fldChar w:fldCharType="begin"/>
        <w:instrText xml:space="preserve">PAGEREF b_figura_original_pagina_C_6_39 \h</w:instrText>
        <w:fldChar w:fldCharType="separate"/>
        <w:t xml:space="preserve">160</w:t>
        <w:fldChar w:fldCharType="end"/>
      </w:r>
      <w:r>
        <w:t xml:space="preserve">.</w:t>
      </w:r>
    </w:p>
    <w:p>
      <w:bookmarkStart w:name="b_punto_c6_p039_03" w:id="1533"/>
      <w:r>
        <w:t xml:space="preserve">S en el entorno: atmósfera, hidrósfera, suelo y sistemas agrícolas o urbanos circundantes.</w:t>
      </w:r>
      <w:bookmarkEnd w:id="1533"/>
    </w:p>
    <w:p>
      <w:pPr>
        <w:pStyle w:val="Fuente"/>
      </w:pPr>
      <w:r>
        <w:t xml:space="preserve">Véase </w:t>
      </w:r>
      <w:hyperlink w:history="1" w:anchor="b_1_6">
        <w:r>
          <w:rPr>
            <w:color w:val="156B70"/>
            <w:u w:val="single"/>
          </w:rPr>
          <w:t xml:space="preserve">capítulo 1.6 · Operaciones DSRP</w:t>
        </w:r>
      </w:hyperlink>
      <w:r>
        <w:t xml:space="preserve">, pág. </w:t>
      </w:r>
      <w:r>
        <w:fldChar w:fldCharType="begin"/>
        <w:instrText xml:space="preserve">PAGEREF b_1_6 \h</w:instrText>
        <w:fldChar w:fldCharType="separate"/>
        <w:t xml:space="preserve">150</w:t>
        <w:fldChar w:fldCharType="end"/>
      </w:r>
      <w:r>
        <w:t xml:space="preserve">.</w:t>
      </w:r>
    </w:p>
    <w:p>
      <w:pPr>
        <w:pStyle w:val="Fuente"/>
      </w:pPr>
      <w:r>
        <w:t xml:space="preserve">Véase </w:t>
      </w:r>
      <w:hyperlink w:history="1" w:anchor="b_2_4">
        <w:r>
          <w:rPr>
            <w:color w:val="156B70"/>
            <w:u w:val="single"/>
          </w:rPr>
          <w:t xml:space="preserve">capítulo 2.4 · Sub y suprasistemas</w:t>
        </w:r>
      </w:hyperlink>
      <w:r>
        <w:t xml:space="preserve">, pág. </w:t>
      </w:r>
      <w:r>
        <w:fldChar w:fldCharType="begin"/>
        <w:instrText xml:space="preserve">PAGEREF b_2_4 \h</w:instrText>
        <w:fldChar w:fldCharType="separate"/>
        <w:t xml:space="preserve">277</w:t>
        <w:fldChar w:fldCharType="end"/>
      </w:r>
      <w:r>
        <w:t xml:space="preserve">.</w:t>
      </w:r>
    </w:p>
    <w:p>
      <w:pPr>
        <w:pStyle w:val="Fuente"/>
      </w:pPr>
      <w:r>
        <w:t xml:space="preserve">Véase </w:t>
      </w:r>
      <w:hyperlink w:history="1" w:anchor="b_1_5">
        <w:r>
          <w:rPr>
            <w:color w:val="156B70"/>
            <w:u w:val="single"/>
          </w:rPr>
          <w:t xml:space="preserve">capítulo 1.5 · Perspectivas</w:t>
        </w:r>
      </w:hyperlink>
      <w:r>
        <w:t xml:space="preserve">, pág. </w:t>
      </w:r>
      <w:r>
        <w:fldChar w:fldCharType="begin"/>
        <w:instrText xml:space="preserve">PAGEREF b_1_5 \h</w:instrText>
        <w:fldChar w:fldCharType="separate"/>
        <w:t xml:space="preserve">125</w:t>
        <w:fldChar w:fldCharType="end"/>
      </w:r>
      <w:r>
        <w:t xml:space="preserve">.</w:t>
      </w:r>
    </w:p>
    <w:p>
      <w:pPr>
        <w:pStyle w:val="Heading3"/>
      </w:pPr>
      <w:r>
        <w:t xml:space="preserve">Lo que explicó el profesor en clase</w:t>
      </w:r>
    </w:p>
    <w:p>
      <w:pPr>
        <w:pStyle w:val="Heading3"/>
      </w:pPr>
      <w:bookmarkStart w:name="b_clase_2_3_c6_cap_09" w:id="1534"/>
      <w:r>
        <w:t xml:space="preserve">Clase 6 · 00:51:02–01:00:46 · Los nueve conceptos asociados al concepto de sistema</w:t>
      </w:r>
      <w:bookmarkEnd w:id="1534"/>
    </w:p>
    <w:p>
      <w:bookmarkStart w:name="b_punto_c6_cap_09_p06" w:id="1535"/>
      <w:r>
        <w:t xml:space="preserve">El tiempo es necesario para comprender la evolución y las relaciones: una fotografía puede mostrar partes y algunos vínculos, pero no toda la dinámica.</w:t>
      </w:r>
      <w:bookmarkEnd w:id="1535"/>
    </w:p>
    <w:p>
      <w:bookmarkStart w:name="b_punto_c6_cap_09_p09" w:id="1536"/>
      <w:r>
        <w:t xml:space="preserve">La estructura organizada ordena partes y relaciones y genera comportamientos, procedimientos, principios o pasos para transformar entradas del medio.</w:t>
      </w:r>
      <w:bookmarkEnd w:id="1536"/>
    </w:p>
    <w:p>
      <w:pPr>
        <w:pStyle w:val="Fuente"/>
      </w:pPr>
      <w:r>
        <w:t xml:space="preserve">Véase </w:t>
      </w:r>
      <w:hyperlink w:history="1" w:anchor="b_senales_examen">
        <w:r>
          <w:rPr>
            <w:color w:val="156B70"/>
            <w:u w:val="single"/>
          </w:rPr>
          <w:t xml:space="preserve">1 indicación(es) de examen de este tramo, en el apéndice cronológico</w:t>
        </w:r>
      </w:hyperlink>
      <w:r>
        <w:t xml:space="preserve">, pág. </w:t>
      </w:r>
      <w:r>
        <w:fldChar w:fldCharType="begin"/>
        <w:instrText xml:space="preserve">PAGEREF b_senales_examen \h</w:instrText>
        <w:fldChar w:fldCharType="separate"/>
        <w:t xml:space="preserve">1663</w:t>
        <w:fldChar w:fldCharType="end"/>
      </w:r>
      <w:r>
        <w:t xml:space="preserve">.</w:t>
      </w:r>
    </w:p>
    <w:p>
      <w:pPr>
        <w:pStyle w:val="Fuente"/>
      </w:pPr>
      <w:r>
        <w:t xml:space="preserve">Véase </w:t>
      </w:r>
      <w:hyperlink w:history="1" w:anchor="b_2_2">
        <w:r>
          <w:rPr>
            <w:color w:val="156B70"/>
            <w:u w:val="single"/>
          </w:rPr>
          <w:t xml:space="preserve">capítulo 2.2 · Conceptos de un sistema</w:t>
        </w:r>
      </w:hyperlink>
      <w:r>
        <w:t xml:space="preserve">, pág. </w:t>
      </w:r>
      <w:r>
        <w:fldChar w:fldCharType="begin"/>
        <w:instrText xml:space="preserve">PAGEREF b_2_2 \h</w:instrText>
        <w:fldChar w:fldCharType="separate"/>
        <w:t xml:space="preserve">242</w:t>
        <w:fldChar w:fldCharType="end"/>
      </w:r>
      <w:r>
        <w:t xml:space="preserve">.</w:t>
      </w:r>
    </w:p>
    <w:p>
      <w:pPr>
        <w:pStyle w:val="Fuente"/>
      </w:pPr>
      <w:r>
        <w:t xml:space="preserve">Véase </w:t>
      </w:r>
      <w:hyperlink w:history="1" w:anchor="b_2_4">
        <w:r>
          <w:rPr>
            <w:color w:val="156B70"/>
            <w:u w:val="single"/>
          </w:rPr>
          <w:t xml:space="preserve">capítulo 2.4 · Sub y suprasistemas</w:t>
        </w:r>
      </w:hyperlink>
      <w:r>
        <w:t xml:space="preserve">, pág. </w:t>
      </w:r>
      <w:r>
        <w:fldChar w:fldCharType="begin"/>
        <w:instrText xml:space="preserve">PAGEREF b_2_4 \h</w:instrText>
        <w:fldChar w:fldCharType="separate"/>
        <w:t xml:space="preserve">277</w:t>
        <w:fldChar w:fldCharType="end"/>
      </w:r>
      <w:r>
        <w:t xml:space="preserve">.</w:t>
      </w:r>
    </w:p>
    <w:p>
      <w:pPr>
        <w:pStyle w:val="Fuente"/>
      </w:pPr>
      <w:r>
        <w:t xml:space="preserve">Véase </w:t>
      </w:r>
      <w:hyperlink w:history="1" w:anchor="b_1_3">
        <w:r>
          <w:rPr>
            <w:color w:val="156B70"/>
            <w:u w:val="single"/>
          </w:rPr>
          <w:t xml:space="preserve">capítulo 1.3 · El paradigma de sistemas</w:t>
        </w:r>
      </w:hyperlink>
      <w:r>
        <w:t xml:space="preserve">, pág. </w:t>
      </w:r>
      <w:r>
        <w:fldChar w:fldCharType="begin"/>
        <w:instrText xml:space="preserve">PAGEREF b_1_3 \h</w:instrText>
        <w:fldChar w:fldCharType="separate"/>
        <w:t xml:space="preserve">83</w:t>
        <w:fldChar w:fldCharType="end"/>
      </w:r>
      <w:r>
        <w:t xml:space="preserve">.</w:t>
      </w:r>
    </w:p>
    <w:p>
      <w:pPr>
        <w:pStyle w:val="Heading3"/>
      </w:pPr>
      <w:bookmarkStart w:name="b_clase_2_3_c7_cap_09" w:id="1537"/>
      <w:r>
        <w:t xml:space="preserve">Clase 7 · 01:29:30–01:40:16 · Perspectivas ontológica, funcional y genética</w:t>
      </w:r>
      <w:bookmarkEnd w:id="1537"/>
    </w:p>
    <w:p>
      <w:bookmarkStart w:name="b_punto_c7_cap_09_p01" w:id="1538"/>
      <w:r>
        <w:t xml:space="preserve">Para un sistema complejo pueden requerirse varios modelos complementarios; la teoría propone al menos perspectivas ontológica, funcional y genética, más subperspectivas de actores.</w:t>
      </w:r>
      <w:bookmarkEnd w:id="1538"/>
    </w:p>
    <w:p>
      <w:bookmarkStart w:name="b_punto_c7_cap_09_p02" w:id="1539"/>
      <w:r>
        <w:t xml:space="preserve">Ontológica describe partes, frontera y relaciones más identificables de forma estática; el analista elige nivel de detalle según propósito y tiempo.</w:t>
      </w:r>
      <w:bookmarkEnd w:id="1539"/>
    </w:p>
    <w:p>
      <w:bookmarkStart w:name="b_punto_c7_cap_09_p03" w:id="1540"/>
      <w:r>
        <w:t xml:space="preserve">Las estructuras pueden representarse mediante topologías jerárquica, matricial, circular, lineal, centralizada y descentralizada.</w:t>
      </w:r>
      <w:bookmarkEnd w:id="1540"/>
    </w:p>
    <w:p>
      <w:bookmarkStart w:name="b_punto_c7_cap_09_p04" w:id="1541"/>
      <w:r>
        <w:t xml:space="preserve">La funcional incorpora tiempo, entradas, salidas y transformaciones internas o con otros sistemas; las flechas representan intercambios entre subsistemas.</w:t>
      </w:r>
      <w:bookmarkEnd w:id="1541"/>
    </w:p>
    <w:p>
      <w:bookmarkStart w:name="b_punto_c7_cap_09_p05" w:id="1542"/>
      <w:r>
        <w:t xml:space="preserve">Procesos y funciones pueden ser secuenciales, repetitivos o iterativos; los sistemas circulatorio y digestivo ilustran partes que conjuntamente sostienen la vida.</w:t>
      </w:r>
      <w:bookmarkEnd w:id="1542"/>
    </w:p>
    <w:p>
      <w:bookmarkStart w:name="b_punto_c7_cap_09_p07" w:id="1543"/>
      <w:r>
        <w:t xml:space="preserve">La genética describe grandes estados y cambios de un mismo sistema con el tiempo, conservando identidad pese a nuevas características.</w:t>
      </w:r>
      <w:bookmarkEnd w:id="1543"/>
    </w:p>
    <w:p>
      <w:bookmarkStart w:name="b_punto_c7_cap_09_p08" w:id="1544"/>
      <w:r>
        <w:t xml:space="preserve">Etapas de la vida humana, generaciones de sistemas operativos y evolución de textos o tecnología ejemplifican la perspectiva genética.</w:t>
      </w:r>
      <w:bookmarkEnd w:id="1544"/>
    </w:p>
    <w:p>
      <w:bookmarkStart w:name="b_punto_c7_cap_09_p09" w:id="1545"/>
      <w:r>
        <w:t xml:space="preserve">Si no se sabe por qué perspectiva empezar, el docente recomienda las tres básicas sin afirmar que sean las únicas.</w:t>
      </w:r>
      <w:bookmarkEnd w:id="1545"/>
    </w:p>
    <w:p>
      <w:pPr>
        <w:pStyle w:val="Fuente"/>
      </w:pPr>
      <w:r>
        <w:t xml:space="preserve">Véase </w:t>
      </w:r>
      <w:hyperlink w:history="1" w:anchor="b_senales_examen">
        <w:r>
          <w:rPr>
            <w:color w:val="156B70"/>
            <w:u w:val="single"/>
          </w:rPr>
          <w:t xml:space="preserve">1 indicación(es) de examen de este tramo, en el apéndice cronológico</w:t>
        </w:r>
      </w:hyperlink>
      <w:r>
        <w:t xml:space="preserve">, pág. </w:t>
      </w:r>
      <w:r>
        <w:fldChar w:fldCharType="begin"/>
        <w:instrText xml:space="preserve">PAGEREF b_senales_examen \h</w:instrText>
        <w:fldChar w:fldCharType="separate"/>
        <w:t xml:space="preserve">1663</w:t>
        <w:fldChar w:fldCharType="end"/>
      </w:r>
      <w:r>
        <w:t xml:space="preserve">.</w:t>
      </w:r>
    </w:p>
    <w:p>
      <w:pPr>
        <w:pStyle w:val="Fuente"/>
      </w:pPr>
      <w:r>
        <w:t xml:space="preserve">Véase </w:t>
      </w:r>
      <w:hyperlink w:history="1" w:anchor="b_2_8">
        <w:r>
          <w:rPr>
            <w:color w:val="156B70"/>
            <w:u w:val="single"/>
          </w:rPr>
          <w:t xml:space="preserve">capítulo 2.8 · Otros conceptos de la TGS</w:t>
        </w:r>
      </w:hyperlink>
      <w:r>
        <w:t xml:space="preserve">, pág. </w:t>
      </w:r>
      <w:r>
        <w:fldChar w:fldCharType="begin"/>
        <w:instrText xml:space="preserve">PAGEREF b_2_8 \h</w:instrText>
        <w:fldChar w:fldCharType="separate"/>
        <w:t xml:space="preserve">345</w:t>
        <w:fldChar w:fldCharType="end"/>
      </w:r>
      <w:r>
        <w:t xml:space="preserve">.</w:t>
      </w:r>
    </w:p>
    <w:p>
      <w:pPr>
        <w:pStyle w:val="Heading3"/>
      </w:pPr>
      <w:bookmarkStart w:name="b_clase_2_3_c8_cap_01" w:id="1546"/>
      <w:r>
        <w:t xml:space="preserve">Clase 8 · 00:00:21–00:11:05 · La Tarea #4 como modelo mental de dos sistemas</w:t>
      </w:r>
      <w:bookmarkEnd w:id="1546"/>
    </w:p>
    <w:p>
      <w:bookmarkStart w:name="b_punto_c8_cap_01_p03" w:id="1547"/>
      <w:r>
        <w:t xml:space="preserve">La perspectiva orgánica se aclara como ontológica: una fotografía inicial de partes y relaciones; la funcional agrega entradas, transformaciones, salidas y tiempo.</w:t>
      </w:r>
      <w:bookmarkEnd w:id="1547"/>
    </w:p>
    <w:p>
      <w:bookmarkStart w:name="b_punto_c8_cap_01_p04" w:id="1548"/>
      <w:r>
        <w:t xml:space="preserve">La perspectiva genética mira periodos amplios y cambios de características: una empresa familiar puede crecer hasta convertirse en corporación.</w:t>
      </w:r>
      <w:bookmarkEnd w:id="1548"/>
    </w:p>
    <w:p>
      <w:pPr>
        <w:pStyle w:val="Fuente"/>
      </w:pPr>
      <w:r>
        <w:t xml:space="preserve">Véase </w:t>
      </w:r>
      <w:hyperlink w:history="1" w:anchor="b_1_5">
        <w:r>
          <w:rPr>
            <w:color w:val="156B70"/>
            <w:u w:val="single"/>
          </w:rPr>
          <w:t xml:space="preserve">capítulo 1.5 · Perspectivas</w:t>
        </w:r>
      </w:hyperlink>
      <w:r>
        <w:t xml:space="preserve">, pág. </w:t>
      </w:r>
      <w:r>
        <w:fldChar w:fldCharType="begin"/>
        <w:instrText xml:space="preserve">PAGEREF b_1_5 \h</w:instrText>
        <w:fldChar w:fldCharType="separate"/>
        <w:t xml:space="preserve">125</w:t>
        <w:fldChar w:fldCharType="end"/>
      </w:r>
      <w:r>
        <w:t xml:space="preserve">.</w:t>
      </w:r>
    </w:p>
    <w:p>
      <w:pPr>
        <w:pStyle w:val="Fuente"/>
      </w:pPr>
      <w:r>
        <w:t xml:space="preserve">Véase </w:t>
      </w:r>
      <w:hyperlink w:history="1" w:anchor="b_1_6">
        <w:r>
          <w:rPr>
            <w:color w:val="156B70"/>
            <w:u w:val="single"/>
          </w:rPr>
          <w:t xml:space="preserve">capítulo 1.6 · Operaciones DSRP</w:t>
        </w:r>
      </w:hyperlink>
      <w:r>
        <w:t xml:space="preserve">, pág. </w:t>
      </w:r>
      <w:r>
        <w:fldChar w:fldCharType="begin"/>
        <w:instrText xml:space="preserve">PAGEREF b_1_6 \h</w:instrText>
        <w:fldChar w:fldCharType="separate"/>
        <w:t xml:space="preserve">150</w:t>
        <w:fldChar w:fldCharType="end"/>
      </w:r>
      <w:r>
        <w:t xml:space="preserve">.</w:t>
      </w:r>
    </w:p>
    <w:p>
      <w:pPr>
        <w:pStyle w:val="Fuente"/>
      </w:pPr>
      <w:r>
        <w:t xml:space="preserve">Véase </w:t>
      </w:r>
      <w:hyperlink w:history="1" w:anchor="b_2_4">
        <w:r>
          <w:rPr>
            <w:color w:val="156B70"/>
            <w:u w:val="single"/>
          </w:rPr>
          <w:t xml:space="preserve">capítulo 2.4 · Sub y suprasistemas</w:t>
        </w:r>
      </w:hyperlink>
      <w:r>
        <w:t xml:space="preserve">, pág. </w:t>
      </w:r>
      <w:r>
        <w:fldChar w:fldCharType="begin"/>
        <w:instrText xml:space="preserve">PAGEREF b_2_4 \h</w:instrText>
        <w:fldChar w:fldCharType="separate"/>
        <w:t xml:space="preserve">277</w:t>
        <w:fldChar w:fldCharType="end"/>
      </w:r>
      <w:r>
        <w:t xml:space="preserve">.</w:t>
      </w:r>
    </w:p>
    <w:p>
      <w:pPr>
        <w:pStyle w:val="Heading3"/>
      </w:pPr>
      <w:bookmarkStart w:name="b_clase_2_3_c8_cap_03" w:id="1549"/>
      <w:r>
        <w:t xml:space="preserve">Clase 8 · 00:14:39–00:25:08 · Cambiar de perspectiva enriquece el sistema</w:t>
      </w:r>
      <w:bookmarkEnd w:id="1549"/>
    </w:p>
    <w:p>
      <w:bookmarkStart w:name="b_punto_c8_cap_03_p02" w:id="1550"/>
      <w:r>
        <w:t xml:space="preserve">La mirada ontológica describe partes y relaciones sin considerar primero el tiempo; la funcional permite apreciar las transformaciones temporales.</w:t>
      </w:r>
      <w:bookmarkEnd w:id="1550"/>
    </w:p>
    <w:p>
      <w:pPr>
        <w:pStyle w:val="Fuente"/>
      </w:pPr>
      <w:r>
        <w:t xml:space="preserve">Véase </w:t>
      </w:r>
      <w:hyperlink w:history="1" w:anchor="b_2_1">
        <w:r>
          <w:rPr>
            <w:color w:val="156B70"/>
            <w:u w:val="single"/>
          </w:rPr>
          <w:t xml:space="preserve">capítulo 2.1 · Visión general</w:t>
        </w:r>
      </w:hyperlink>
      <w:r>
        <w:t xml:space="preserve">, pág. </w:t>
      </w:r>
      <w:r>
        <w:fldChar w:fldCharType="begin"/>
        <w:instrText xml:space="preserve">PAGEREF b_2_1 \h</w:instrText>
        <w:fldChar w:fldCharType="separate"/>
        <w:t xml:space="preserve">222</w:t>
        <w:fldChar w:fldCharType="end"/>
      </w:r>
      <w:r>
        <w:t xml:space="preserve">.</w:t>
      </w:r>
    </w:p>
    <w:p>
      <w:pPr>
        <w:pStyle w:val="Fuente"/>
      </w:pPr>
      <w:r>
        <w:t xml:space="preserve">Véase </w:t>
      </w:r>
      <w:hyperlink w:history="1" w:anchor="b_1_5">
        <w:r>
          <w:rPr>
            <w:color w:val="156B70"/>
            <w:u w:val="single"/>
          </w:rPr>
          <w:t xml:space="preserve">capítulo 1.5 · Perspectivas</w:t>
        </w:r>
      </w:hyperlink>
      <w:r>
        <w:t xml:space="preserve">, pág. </w:t>
      </w:r>
      <w:r>
        <w:fldChar w:fldCharType="begin"/>
        <w:instrText xml:space="preserve">PAGEREF b_1_5 \h</w:instrText>
        <w:fldChar w:fldCharType="separate"/>
        <w:t xml:space="preserve">125</w:t>
        <w:fldChar w:fldCharType="end"/>
      </w:r>
      <w:r>
        <w:t xml:space="preserve">.</w:t>
      </w:r>
    </w:p>
    <w:p>
      <w:pPr>
        <w:pStyle w:val="Heading3"/>
      </w:pPr>
      <w:bookmarkStart w:name="b_clase_2_3_c8_cap_04" w:id="1551"/>
      <w:r>
        <w:t xml:space="preserve">Clase 8 · 00:25:08–00:50:45 · Del conglomerado a la mariposa: sinergia y emergencia</w:t>
      </w:r>
      <w:bookmarkEnd w:id="1551"/>
    </w:p>
    <w:p>
      <w:bookmarkStart w:name="b_punto_c8_cap_04_p10" w:id="1552"/>
      <w:r>
        <w:t xml:space="preserve">La emergencia también se ve en funcionamiento: un proceso de venta o generación de valor exige interacciones ordenadas temporalmente.</w:t>
      </w:r>
      <w:bookmarkEnd w:id="1552"/>
    </w:p>
    <w:p>
      <w:bookmarkStart w:name="b_punto_c8_cap_04_p11" w:id="1553"/>
      <w:r>
        <w:t xml:space="preserve">Una empresa con relaciones desordenadas puede no lograr la venta; compararla por analogía con otra que funciona permite identificar la sinergia faltante.</w:t>
      </w:r>
      <w:bookmarkEnd w:id="1553"/>
    </w:p>
    <w:p>
      <w:bookmarkStart w:name="b_punto_c8_cap_04_p14" w:id="1554"/>
      <w:r>
        <w:t xml:space="preserve">El comportamiento del sistema depende de su estructura global; del montón se obtienen estadísticas como tamaño o número de piezas.</w:t>
      </w:r>
      <w:bookmarkEnd w:id="1554"/>
    </w:p>
    <w:p>
      <w:pPr>
        <w:pStyle w:val="Fuente"/>
      </w:pPr>
      <w:r>
        <w:t xml:space="preserve">Véase </w:t>
      </w:r>
      <w:hyperlink w:history="1" w:anchor="b_senales_examen">
        <w:r>
          <w:rPr>
            <w:color w:val="156B70"/>
            <w:u w:val="single"/>
          </w:rPr>
          <w:t xml:space="preserve">1 indicación(es) de examen de este tramo, en el apéndice cronológico</w:t>
        </w:r>
      </w:hyperlink>
      <w:r>
        <w:t xml:space="preserve">, pág. </w:t>
      </w:r>
      <w:r>
        <w:fldChar w:fldCharType="begin"/>
        <w:instrText xml:space="preserve">PAGEREF b_senales_examen \h</w:instrText>
        <w:fldChar w:fldCharType="separate"/>
        <w:t xml:space="preserve">1663</w:t>
        <w:fldChar w:fldCharType="end"/>
      </w:r>
      <w:r>
        <w:t xml:space="preserve">.</w:t>
      </w:r>
    </w:p>
    <w:p>
      <w:pPr>
        <w:pStyle w:val="Fuente"/>
      </w:pPr>
      <w:r>
        <w:t xml:space="preserve">Véase </w:t>
      </w:r>
      <w:hyperlink w:history="1" w:anchor="b_2_1">
        <w:r>
          <w:rPr>
            <w:color w:val="156B70"/>
            <w:u w:val="single"/>
          </w:rPr>
          <w:t xml:space="preserve">capítulo 2.1 · Visión general</w:t>
        </w:r>
      </w:hyperlink>
      <w:r>
        <w:t xml:space="preserve">, pág. </w:t>
      </w:r>
      <w:r>
        <w:fldChar w:fldCharType="begin"/>
        <w:instrText xml:space="preserve">PAGEREF b_2_1 \h</w:instrText>
        <w:fldChar w:fldCharType="separate"/>
        <w:t xml:space="preserve">222</w:t>
        <w:fldChar w:fldCharType="end"/>
      </w:r>
      <w:r>
        <w:t xml:space="preserve">.</w:t>
      </w:r>
    </w:p>
    <w:p>
      <w:pPr>
        <w:pStyle w:val="Fuente"/>
      </w:pPr>
      <w:r>
        <w:t xml:space="preserve">Véase </w:t>
      </w:r>
      <w:hyperlink w:history="1" w:anchor="b_2_5">
        <w:r>
          <w:rPr>
            <w:color w:val="156B70"/>
            <w:u w:val="single"/>
          </w:rPr>
          <w:t xml:space="preserve">capítulo 2.5 · Sinergia y emergencia</w:t>
        </w:r>
      </w:hyperlink>
      <w:r>
        <w:t xml:space="preserve">, pág. </w:t>
      </w:r>
      <w:r>
        <w:fldChar w:fldCharType="begin"/>
        <w:instrText xml:space="preserve">PAGEREF b_2_5 \h</w:instrText>
        <w:fldChar w:fldCharType="separate"/>
        <w:t xml:space="preserve">292</w:t>
        <w:fldChar w:fldCharType="end"/>
      </w:r>
      <w:r>
        <w:t xml:space="preserve">.</w:t>
      </w:r>
    </w:p>
    <w:p>
      <w:pPr>
        <w:pStyle w:val="Heading3"/>
      </w:pPr>
      <w:bookmarkStart w:name="b_clase_2_3_c8_cap_05" w:id="1555"/>
      <w:r>
        <w:t xml:space="preserve">Clase 8 · 00:50:47–00:56:33 · Relaciones, síntesis y contexto real</w:t>
      </w:r>
      <w:bookmarkEnd w:id="1555"/>
    </w:p>
    <w:p>
      <w:bookmarkStart w:name="b_punto_c8_cap_05_p04" w:id="1556"/>
      <w:r>
        <w:t xml:space="preserve">Una planta del bosque llevada a maceta puede no florecer o cambiar de color porque cambian clima e interacciones del entorno.</w:t>
      </w:r>
      <w:bookmarkEnd w:id="1556"/>
    </w:p>
    <w:p>
      <w:pPr>
        <w:pStyle w:val="Fuente"/>
      </w:pPr>
      <w:r>
        <w:t xml:space="preserve">Véase </w:t>
      </w:r>
      <w:hyperlink w:history="1" w:anchor="b_2_1">
        <w:r>
          <w:rPr>
            <w:color w:val="156B70"/>
            <w:u w:val="single"/>
          </w:rPr>
          <w:t xml:space="preserve">capítulo 2.1 · Visión general</w:t>
        </w:r>
      </w:hyperlink>
      <w:r>
        <w:t xml:space="preserve">, pág. </w:t>
      </w:r>
      <w:r>
        <w:fldChar w:fldCharType="begin"/>
        <w:instrText xml:space="preserve">PAGEREF b_2_1 \h</w:instrText>
        <w:fldChar w:fldCharType="separate"/>
        <w:t xml:space="preserve">222</w:t>
        <w:fldChar w:fldCharType="end"/>
      </w:r>
      <w:r>
        <w:t xml:space="preserve">.</w:t>
      </w:r>
    </w:p>
    <w:p>
      <w:pPr>
        <w:pStyle w:val="Fuente"/>
      </w:pPr>
      <w:r>
        <w:t xml:space="preserve">Véase </w:t>
      </w:r>
      <w:hyperlink w:history="1" w:anchor="b_2_6">
        <w:r>
          <w:rPr>
            <w:color w:val="156B70"/>
            <w:u w:val="single"/>
          </w:rPr>
          <w:t xml:space="preserve">capítulo 2.6 · Complejidad sistémica</w:t>
        </w:r>
      </w:hyperlink>
      <w:r>
        <w:t xml:space="preserve">, pág. </w:t>
      </w:r>
      <w:r>
        <w:fldChar w:fldCharType="begin"/>
        <w:instrText xml:space="preserve">PAGEREF b_2_6 \h</w:instrText>
        <w:fldChar w:fldCharType="separate"/>
        <w:t xml:space="preserve">308</w:t>
        <w:fldChar w:fldCharType="end"/>
      </w:r>
      <w:r>
        <w:t xml:space="preserve">.</w:t>
      </w:r>
    </w:p>
    <w:p>
      <w:pPr>
        <w:pStyle w:val="Heading3"/>
      </w:pPr>
      <w:bookmarkStart w:name="b_cita_clase_4_estructuras_repr_5a33cba3" w:id="1557"/>
      <w:r>
        <w:t xml:space="preserve">Palabras del profesor</w:t>
      </w:r>
      <w:bookmarkEnd w:id="1557"/>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El profesor lo dijo así</w:t>
            </w:r>
          </w:p>
          <w:p>
            <w:pPr>
              <w:pStyle w:val="Recuadro"/>
            </w:pPr>
            <w:r>
              <w:t xml:space="preserve">«Las estructuras son la representación de cómo los elementos de los sistemas van formando interacciones y van formando ciertos comportamientos, que se pueden comprender a partir de las relaciones causales.»</w:t>
            </w:r>
          </w:p>
          <w:p>
            <w:pPr>
              <w:pStyle w:val="Recuadro"/>
            </w:pPr>
            <w:r>
              <w:t xml:space="preserve">Clase 4 · 00:31:53–00:32:29</w:t>
            </w:r>
          </w:p>
        </w:tc>
      </w:tr>
    </w:tbl>
    <w:p>
      <w:pPr>
        <w:pStyle w:val="Heading3"/>
      </w:pPr>
      <w:bookmarkStart w:name="b_cita_clase_6_la_estructura_or_ae87ba13" w:id="1558"/>
      <w:r>
        <w:t xml:space="preserve">Palabras del profesor</w:t>
      </w:r>
      <w:bookmarkEnd w:id="1558"/>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El profesor lo dijo así</w:t>
            </w:r>
          </w:p>
          <w:p>
            <w:pPr>
              <w:pStyle w:val="Recuadro"/>
            </w:pPr>
            <w:r>
              <w:t xml:space="preserve">«Básicamente podemos definirla como una estructura organizada, que es el concepto de la teoría de sistemas, que nos describe el comportamiento de lo que sucede adentro, de cómo esas partes o elementos y esas relaciones se ordenan»</w:t>
            </w:r>
          </w:p>
          <w:p>
            <w:pPr>
              <w:pStyle w:val="Recuadro"/>
            </w:pPr>
            <w:r>
              <w:t xml:space="preserve">Clase 6 · 00:58:08–00:58:36</w:t>
            </w:r>
          </w:p>
        </w:tc>
      </w:tr>
    </w:tbl>
    <w:p>
      <w:pPr>
        <w:pStyle w:val="Heading3"/>
      </w:pPr>
      <w:bookmarkStart w:name="b_cita_clase_7_tres_perspectiva_227b78f1" w:id="1559"/>
      <w:r>
        <w:t xml:space="preserve">Palabras del profesor</w:t>
      </w:r>
      <w:bookmarkEnd w:id="1559"/>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El profesor lo dijo así</w:t>
            </w:r>
          </w:p>
          <w:p>
            <w:pPr>
              <w:pStyle w:val="Recuadro"/>
            </w:pPr>
            <w:r>
              <w:t xml:space="preserve">«Por lo menos hay tres perspectivas que deberíamos esforzarnos por ver aplicando estas cuatro operaciones básicas para apreciar y comprender cualquier sistema: la perspectiva funcional, la perspectiva ontológica y la perspectiva genética. Son las perspectivas más genéricas y pueden conllevar otras perspectivas de diferentes personas o roles.»</w:t>
            </w:r>
          </w:p>
          <w:p>
            <w:pPr>
              <w:pStyle w:val="Recuadro"/>
            </w:pPr>
            <w:r>
              <w:t xml:space="preserve">Clase 7 · 01:30:04–01:30:52</w:t>
            </w:r>
          </w:p>
        </w:tc>
      </w:tr>
    </w:tbl>
    <w:p>
      <w:pPr>
        <w:pStyle w:val="Heading3"/>
      </w:pPr>
      <w:bookmarkStart w:name="b_cita_clase_7_perspectiva_onto_24644e03" w:id="1560"/>
      <w:r>
        <w:t xml:space="preserve">Palabras del profesor</w:t>
      </w:r>
      <w:bookmarkEnd w:id="1560"/>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El profesor lo dijo así</w:t>
            </w:r>
          </w:p>
          <w:p>
            <w:pPr>
              <w:pStyle w:val="Recuadro"/>
            </w:pPr>
            <w:r>
              <w:t xml:space="preserve">«La perspectiva ontológica está compuesta por la visión estática, es decir, las partes, los elementos y posiblemente las relaciones que se pueden identificar fácilmente, que forman lo que llamamos una estructura del sistema»</w:t>
            </w:r>
          </w:p>
          <w:p>
            <w:pPr>
              <w:pStyle w:val="Recuadro"/>
            </w:pPr>
            <w:r>
              <w:t xml:space="preserve">Clase 7 · 01:30:59–01:31:35</w:t>
            </w:r>
          </w:p>
        </w:tc>
      </w:tr>
    </w:tbl>
    <w:p>
      <w:pPr>
        <w:pStyle w:val="Heading3"/>
      </w:pPr>
      <w:bookmarkStart w:name="b_cita_clase_7_perspectiva_func_2e2c0284" w:id="1561"/>
      <w:r>
        <w:t xml:space="preserve">Palabras del profesor</w:t>
      </w:r>
      <w:bookmarkEnd w:id="1561"/>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El profesor lo dijo así</w:t>
            </w:r>
          </w:p>
          <w:p>
            <w:pPr>
              <w:pStyle w:val="Recuadro"/>
            </w:pPr>
            <w:r>
              <w:t xml:space="preserve">«Esta perspectiva funcional es la que normalmente usamos cuando describimos procesos, funciones, comportamientos de los sistemas: procedimientos paso a paso, procesos en cierto orden secuencial o repetitivo, iterativo, que es lo que nos da las funciones del sistema»</w:t>
            </w:r>
          </w:p>
          <w:p>
            <w:pPr>
              <w:pStyle w:val="Recuadro"/>
            </w:pPr>
            <w:r>
              <w:t xml:space="preserve">Clase 7 · 01:34:11–01:34:57</w:t>
            </w:r>
          </w:p>
        </w:tc>
      </w:tr>
    </w:tbl>
    <w:p>
      <w:pPr>
        <w:pStyle w:val="Heading3"/>
      </w:pPr>
      <w:bookmarkStart w:name="b_cita_clase_8_al_cambiar_la_es_89fdef17" w:id="1562"/>
      <w:r>
        <w:t xml:space="preserve">Palabras del profesor</w:t>
      </w:r>
      <w:bookmarkEnd w:id="1562"/>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El profesor lo dijo así</w:t>
            </w:r>
          </w:p>
          <w:p>
            <w:pPr>
              <w:pStyle w:val="Recuadro"/>
            </w:pPr>
            <w:r>
              <w:t xml:space="preserve">«Al cambiar la estructura cambia el comportamiento: si movemos una pieza incorrectamente o dejamos una relación que no es propicia para la dinámica esperada, el comportamiento no es el que esperamos porque la característica emergente va a cambiar.»</w:t>
            </w:r>
          </w:p>
          <w:p>
            <w:pPr>
              <w:pStyle w:val="Recuadro"/>
            </w:pPr>
            <w:r>
              <w:t xml:space="preserve">Clase 8 · 00:49:16–00:49:46</w:t>
            </w:r>
          </w:p>
        </w:tc>
      </w:tr>
    </w:tbl>
    <w:p>
      <w:pPr>
        <w:pStyle w:val="Heading3"/>
      </w:pPr>
      <w:bookmarkStart w:name="b_cita_clase_8_relaciones_deter_39e21681" w:id="1563"/>
      <w:r>
        <w:t xml:space="preserve">Palabras del profesor</w:t>
      </w:r>
      <w:bookmarkEnd w:id="1563"/>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El profesor lo dijo así</w:t>
            </w:r>
          </w:p>
          <w:p>
            <w:pPr>
              <w:pStyle w:val="Recuadro"/>
            </w:pPr>
            <w:r>
              <w:t xml:space="preserve">«Las relaciones determinan el comportamiento del sistema, no solo las partes; identificar sistemas y partes no es suficiente hasta aplicar la regla de relaciones.»</w:t>
            </w:r>
          </w:p>
          <w:p>
            <w:pPr>
              <w:pStyle w:val="Recuadro"/>
            </w:pPr>
            <w:r>
              <w:t xml:space="preserve">Clase 8 · 00:50:53–00:51:34</w:t>
            </w:r>
          </w:p>
        </w:tc>
      </w:tr>
    </w:tbl>
    <w:p>
      <w:pPr>
        <w:pStyle w:val="Heading3"/>
      </w:pPr>
      <w:bookmarkStart w:name="b_cita_clase_8_los_problemas_su_2370fd48" w:id="1564"/>
      <w:r>
        <w:t xml:space="preserve">Palabras del profesor</w:t>
      </w:r>
      <w:bookmarkEnd w:id="1564"/>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El profesor lo dijo así</w:t>
            </w:r>
          </w:p>
          <w:p>
            <w:pPr>
              <w:pStyle w:val="Recuadro"/>
            </w:pPr>
            <w:r>
              <w:t xml:space="preserve">«Los problemas generalmente surgen como consecuencia de la estructura de los sistemas, no estrictamente como culpa de una parte, porque cada parte interactúa con las demás en cadenas de causas y efectos.»</w:t>
            </w:r>
          </w:p>
          <w:p>
            <w:pPr>
              <w:pStyle w:val="Recuadro"/>
            </w:pPr>
            <w:r>
              <w:t xml:space="preserve">Clase 8 · 00:59:03–01:00:12</w:t>
            </w:r>
          </w:p>
        </w:tc>
      </w:tr>
    </w:tbl>
    <w:p>
      <w:pPr>
        <w:pStyle w:val="Heading3"/>
      </w:pPr>
      <w:r>
        <w:t xml:space="preserve">Errores frecuentes y trampa de examen</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9C620A" w:sz="20"/>
              <w:bottom w:val="nil"/>
              <w:right w:val="nil"/>
            </w:tcBorders>
            <w:shd w:fill="FBF3DF" w:val="clear"/>
            <w:tcMar>
              <w:top w:type="dxa" w:w="130"/>
              <w:left w:type="dxa" w:w="180"/>
              <w:bottom w:type="dxa" w:w="130"/>
              <w:right w:type="dxa" w:w="180"/>
            </w:tcMar>
          </w:tcPr>
          <w:p>
            <w:pPr>
              <w:pStyle w:val="RecuadroTitulo"/>
            </w:pPr>
            <w:r>
              <w:rPr>
                <w:b/>
                <w:bCs/>
                <w:color w:val="9C620A"/>
              </w:rPr>
              <w:t xml:space="preserve">Error → corrección</w:t>
            </w:r>
          </w:p>
          <w:p>
            <w:pPr>
              <w:pStyle w:val="Recuadro"/>
            </w:pPr>
            <w:r>
              <w:rPr>
                <w:b/>
                <w:bCs/>
              </w:rPr>
              <w:t xml:space="preserve">Error:</w:t>
            </w:r>
            <w:r>
              <w:t xml:space="preserve"> Buscar la parte culpable del problema y cambiar sólo esa parte.</w:t>
            </w:r>
          </w:p>
          <w:p>
            <w:pPr>
              <w:pStyle w:val="Recuadro"/>
            </w:pPr>
            <w:r>
              <w:rPr>
                <w:b/>
                <w:bCs/>
              </w:rPr>
              <w:t xml:space="preserve">Corrección:</w:t>
            </w:r>
            <w:r>
              <w:t xml:space="preserve"> Los problemas surgen de la estructura: cadenas causales no lineales y ciclos; cambiar sólo una parte funciona en sistemas sencillos.</w:t>
            </w:r>
          </w:p>
          <w:p>
            <w:pPr>
              <w:pStyle w:val="Recuadro"/>
            </w:pPr>
            <w:r>
              <w:t xml:space="preserve">Clase 8 · 00:59:25–01:01:02</w:t>
            </w:r>
          </w:p>
        </w:tc>
      </w:tr>
    </w:tbl>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9C620A" w:sz="20"/>
              <w:bottom w:val="nil"/>
              <w:right w:val="nil"/>
            </w:tcBorders>
            <w:shd w:fill="FBF3DF" w:val="clear"/>
            <w:tcMar>
              <w:top w:type="dxa" w:w="130"/>
              <w:left w:type="dxa" w:w="180"/>
              <w:bottom w:type="dxa" w:w="130"/>
              <w:right w:type="dxa" w:w="180"/>
            </w:tcMar>
          </w:tcPr>
          <w:p>
            <w:pPr>
              <w:pStyle w:val="RecuadroTitulo"/>
            </w:pPr>
            <w:r>
              <w:rPr>
                <w:b/>
                <w:bCs/>
                <w:color w:val="9C620A"/>
              </w:rPr>
              <w:t xml:space="preserve">Error → corrección</w:t>
            </w:r>
          </w:p>
          <w:p>
            <w:pPr>
              <w:pStyle w:val="Recuadro"/>
            </w:pPr>
            <w:r>
              <w:rPr>
                <w:b/>
                <w:bCs/>
              </w:rPr>
              <w:t xml:space="preserve">Error:</w:t>
            </w:r>
            <w:r>
              <w:t xml:space="preserve"> Describir la estructura como una lista de componentes.</w:t>
            </w:r>
          </w:p>
          <w:p>
            <w:pPr>
              <w:pStyle w:val="Recuadro"/>
            </w:pPr>
            <w:r>
              <w:rPr>
                <w:b/>
                <w:bCs/>
              </w:rPr>
              <w:t xml:space="preserve">Corrección:</w:t>
            </w:r>
            <w:r>
              <w:t xml:space="preserve"> Identificar sistemas y partes no es suficiente: las relaciones determinan el comportamiento, no sólo las partes.</w:t>
            </w:r>
          </w:p>
          <w:p>
            <w:pPr>
              <w:pStyle w:val="Recuadro"/>
            </w:pPr>
            <w:r>
              <w:t xml:space="preserve">Clase 8 · 00:51:04–00:51:34</w:t>
            </w:r>
          </w:p>
        </w:tc>
      </w:tr>
    </w:tbl>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9C620A" w:sz="20"/>
              <w:bottom w:val="nil"/>
              <w:right w:val="nil"/>
            </w:tcBorders>
            <w:shd w:fill="FBF3DF" w:val="clear"/>
            <w:tcMar>
              <w:top w:type="dxa" w:w="130"/>
              <w:left w:type="dxa" w:w="180"/>
              <w:bottom w:type="dxa" w:w="130"/>
              <w:right w:type="dxa" w:w="180"/>
            </w:tcMar>
          </w:tcPr>
          <w:p>
            <w:pPr>
              <w:pStyle w:val="RecuadroTitulo"/>
            </w:pPr>
            <w:r>
              <w:rPr>
                <w:b/>
                <w:bCs/>
                <w:color w:val="9C620A"/>
              </w:rPr>
              <w:t xml:space="preserve">Error → corrección</w:t>
            </w:r>
          </w:p>
          <w:p>
            <w:pPr>
              <w:pStyle w:val="Recuadro"/>
            </w:pPr>
            <w:r>
              <w:rPr>
                <w:b/>
                <w:bCs/>
              </w:rPr>
              <w:t xml:space="preserve">Error:</w:t>
            </w:r>
            <w:r>
              <w:t xml:space="preserve"> Estudiar el sistema aislado de su medio, como en un laboratorio.</w:t>
            </w:r>
          </w:p>
          <w:p>
            <w:pPr>
              <w:pStyle w:val="Recuadro"/>
            </w:pPr>
            <w:r>
              <w:rPr>
                <w:b/>
                <w:bCs/>
              </w:rPr>
              <w:t xml:space="preserve">Corrección:</w:t>
            </w:r>
            <w:r>
              <w:t xml:space="preserve"> La planta llevada del bosque a una maceta no florece o cambia de color porque cambian sus estructuras con el medio; el medio se describe también como sistemas.</w:t>
            </w:r>
          </w:p>
          <w:p>
            <w:pPr>
              <w:pStyle w:val="Recuadro"/>
            </w:pPr>
            <w:r>
              <w:t xml:space="preserve">Clase 8 · 00:53:57–00:56:14</w:t>
            </w:r>
          </w:p>
        </w:tc>
      </w:tr>
    </w:tbl>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9C620A" w:sz="20"/>
              <w:bottom w:val="nil"/>
              <w:right w:val="nil"/>
            </w:tcBorders>
            <w:shd w:fill="FBF3DF" w:val="clear"/>
            <w:tcMar>
              <w:top w:type="dxa" w:w="130"/>
              <w:left w:type="dxa" w:w="180"/>
              <w:bottom w:type="dxa" w:w="130"/>
              <w:right w:type="dxa" w:w="180"/>
            </w:tcMar>
          </w:tcPr>
          <w:p>
            <w:pPr>
              <w:pStyle w:val="RecuadroTitulo"/>
            </w:pPr>
            <w:r>
              <w:rPr>
                <w:b/>
                <w:bCs/>
                <w:color w:val="9C620A"/>
              </w:rPr>
              <w:t xml:space="preserve">Trampa de examen</w:t>
            </w:r>
          </w:p>
          <w:p>
            <w:pPr>
              <w:pStyle w:val="Recuadro"/>
            </w:pPr>
            <w:r>
              <w:t xml:space="preserve">Ontológica y funcional se confunden: la ontológica es la fotografía estática (qué partes, relaciones y topología hay) y la funcional añade el tiempo (qué entra, qué hace, qué sale); la genética no es «cómo funciona» sino los grandes estados por los que ha pasado. Y describir la estructura no es listar componentes: sin las relaciones no se explica ningún comportamiento.</w:t>
            </w:r>
          </w:p>
        </w:tc>
      </w:tr>
    </w:tbl>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Ampliación: lo no dictado en clase</w:t>
            </w:r>
          </w:p>
          <w:p>
            <w:pPr>
              <w:pStyle w:val="Recuadro"/>
            </w:pPr>
            <w:r>
              <w:t xml:space="preserve">La lámina de topologías se nombró sin desarrollar cada configuración; la retroacción, los ciclos y la no linealidad (retroalimentación negativa y positiva, sensores y actuadores) se difirieron a la unidad 3, igual que la modelación de las relaciones causales; la referencia de lectura que pide las tres perspectivas no se nombró. Los rótulos endoestructura y exoestructura se explicitan como lectura de la figura; el inventario completo del bosque procede de C-6, página 39.</w:t>
            </w:r>
          </w:p>
        </w:tc>
      </w:tr>
    </w:tbl>
    <w:p>
      <w:pPr>
        <w:pStyle w:val="Heading3"/>
      </w:pPr>
      <w:r>
        <w:t xml:space="preserve">Lecturas y tareas del curso</w:t>
      </w:r>
    </w:p>
    <w:p>
      <w:pPr>
        <w:pStyle w:val="Normal"/>
      </w:pPr>
      <w:r>
        <w:t xml:space="preserve">C-6 · Unidad 2 · Teoría de sistemas y pensamiento sistémico (presentación). 65 páginas con teoría de sistemas, elementos, estructura, función, niveles, sinergia, emergencia, complejidad y universo de sistemas. Copia íntegra de la presentación del profesor.</w:t>
      </w:r>
    </w:p>
    <w:p>
      <w:pPr>
        <w:pStyle w:val="Normal"/>
      </w:pPr>
      <w:r>
        <w:t xml:space="preserve">L-6 · El paradigma sistémico: Teoría General de Sistemas. Lectura que presenta la Teoría General de Sistemas como paradigma: de dónde surge, qué problema resuelve frente a la fragmentación disciplinaria y qué compromisos impone al observador.</w:t>
      </w:r>
    </w:p>
    <w:p>
      <w:pPr>
        <w:pStyle w:val="Normal"/>
      </w:pPr>
      <w:r>
        <w:t xml:space="preserve">Tareas relacionadas: T-4. Consulte su procedencia en la bibliografía.</w:t>
      </w:r>
    </w:p>
    <w:p>
      <w:pPr>
        <w:pStyle w:val="Heading3"/>
      </w:pPr>
      <w:r>
        <w:t xml:space="preserve">Práctica de los laboratorios</w:t>
      </w:r>
    </w:p>
    <w:p>
      <w:pPr>
        <w:pStyle w:val="Normal"/>
      </w:pPr>
      <w:r>
        <w:t xml:space="preserve">Los procedimientos del capítulo permiten reconstruir en papel la práctica interactiva. Los laboratorios originales permanecen disponibles en la lección del portal.</w:t>
      </w:r>
    </w:p>
    <w:p>
      <w:pPr>
        <w:pStyle w:val="Normal"/>
        <w:numPr>
          <w:ilvl w:val="0"/>
          <w:numId w:val="2"/>
        </w:numPr>
      </w:pPr>
      <w:r>
        <w:t xml:space="preserve">Cambiar la estructura y ver cambiar el comportamiento</w:t>
      </w:r>
    </w:p>
    <w:p>
      <w:pPr>
        <w:pStyle w:val="Normal"/>
        <w:numPr>
          <w:ilvl w:val="0"/>
          <w:numId w:val="2"/>
        </w:numPr>
      </w:pPr>
      <w:r>
        <w:t xml:space="preserve">Las topologías de un sistema</w:t>
      </w:r>
    </w:p>
    <w:p>
      <w:pPr>
        <w:pStyle w:val="Normal"/>
        <w:numPr>
          <w:ilvl w:val="0"/>
          <w:numId w:val="2"/>
        </w:numPr>
      </w:pPr>
      <w:r>
        <w:t xml:space="preserve">Ontológica, funcional y genética sobre un caso</w:t>
      </w:r>
    </w:p>
    <w:p>
      <w:pPr>
        <w:pStyle w:val="Heading3"/>
      </w:pPr>
      <w:r>
        <w:t xml:space="preserve">Autoevaluación</w:t>
      </w:r>
    </w:p>
    <w:p>
      <w:pPr>
        <w:pStyle w:val="Normal"/>
      </w:pPr>
      <w:r>
        <w:t xml:space="preserve">Resuelva sin consultar las respuestas. Compruebe al final del capítulo por qué cada opción es correcta o incorrecta.</w:t>
      </w:r>
    </w:p>
    <w:p>
      <w:pPr>
        <w:pStyle w:val="Heading3"/>
      </w:pPr>
      <w:bookmarkStart w:name="b_pregunta_auto_2_3_1" w:id="1565"/>
      <w:r>
        <w:t xml:space="preserve">2.3-A1 · Con una escuela como sistema focal, ¿qué relación es endoestructura y cuál exoestructura?</w:t>
      </w:r>
      <w:bookmarkEnd w:id="1565"/>
    </w:p>
    <w:p>
      <w:pPr>
        <w:pStyle w:val="Normal"/>
      </w:pPr>
      <w:r>
        <w:t xml:space="preserve">a) Docentes–dirección: endoestructura; escuela–proveedor externo: exoestructura</w:t>
      </w:r>
    </w:p>
    <w:p>
      <w:pPr>
        <w:pStyle w:val="Normal"/>
      </w:pPr>
      <w:r>
        <w:t xml:space="preserve">b) Docentes–dirección: exoestructura; escuela–proveedor externo: endoestructura</w:t>
      </w:r>
    </w:p>
    <w:p>
      <w:pPr>
        <w:pStyle w:val="Normal"/>
      </w:pPr>
      <w:r>
        <w:t xml:space="preserve">c) Ambas son sólo listas de objetos sin relaciones</w:t>
      </w:r>
    </w:p>
    <w:p>
      <w:pPr>
        <w:pStyle w:val="Normal"/>
      </w:pPr>
      <w:r>
        <w:t xml:space="preserve">d) Toda relación con el proveedor lo convierte necesariamente en parte interna</w:t>
      </w:r>
    </w:p>
    <w:p>
      <w:pPr>
        <w:pStyle w:val="Heading3"/>
      </w:pPr>
      <w:bookmarkStart w:name="b_pregunta_auto_2_3_2" w:id="1566"/>
      <w:r>
        <w:t xml:space="preserve">2.3-A2 · ¿Qué conjunto sitúa la lámina del bosque en su entorno, en lugar de enumerarlo como flora o fauna interna?</w:t>
      </w:r>
      <w:bookmarkEnd w:id="1566"/>
    </w:p>
    <w:p>
      <w:pPr>
        <w:pStyle w:val="Normal"/>
      </w:pPr>
      <w:r>
        <w:t xml:space="preserve">a) Sólo árboles, arbustos y mamíferos</w:t>
      </w:r>
    </w:p>
    <w:p>
      <w:pPr>
        <w:pStyle w:val="Normal"/>
      </w:pPr>
      <w:r>
        <w:t xml:space="preserve">b) Atmósfera, hidrósfera, suelo y sistemas agrícolas o urbanos circundantes</w:t>
      </w:r>
    </w:p>
    <w:p>
      <w:pPr>
        <w:pStyle w:val="Normal"/>
      </w:pPr>
      <w:r>
        <w:t xml:space="preserve">c) Únicamente productores, consumidores y descomponedores</w:t>
      </w:r>
    </w:p>
    <w:p>
      <w:pPr>
        <w:pStyle w:val="Normal"/>
      </w:pPr>
      <w:r>
        <w:t xml:space="preserve">d) Biomasa producida y oxígeno como únicos objetos del entorno</w:t>
      </w:r>
    </w:p>
    <w:p>
      <w:pPr>
        <w:pStyle w:val="Heading3"/>
      </w:pPr>
      <w:bookmarkStart w:name="b_pregunta_auto_2_3_3" w:id="1567"/>
      <w:r>
        <w:t xml:space="preserve">2.3-A3 · La «estructura» de un sistema es, sobre todo…</w:t>
      </w:r>
      <w:bookmarkEnd w:id="1567"/>
    </w:p>
    <w:p>
      <w:pPr>
        <w:pStyle w:val="Normal"/>
      </w:pPr>
      <w:r>
        <w:t xml:space="preserve">a) La simple lista de sus partes</w:t>
      </w:r>
    </w:p>
    <w:p>
      <w:pPr>
        <w:pStyle w:val="Normal"/>
      </w:pPr>
      <w:r>
        <w:t xml:space="preserve">b) La organización de sus partes, sus interconexiones y la frontera que lo separa del entorno</w:t>
      </w:r>
    </w:p>
    <w:p>
      <w:pPr>
        <w:pStyle w:val="Normal"/>
      </w:pPr>
      <w:r>
        <w:t xml:space="preserve">c) El material del que están hechas sus partes</w:t>
      </w:r>
    </w:p>
    <w:p>
      <w:pPr>
        <w:pStyle w:val="Normal"/>
      </w:pPr>
      <w:r>
        <w:t xml:space="preserve">d) El propósito que declara su dueño</w:t>
      </w:r>
    </w:p>
    <w:p>
      <w:pPr>
        <w:pStyle w:val="Heading3"/>
      </w:pPr>
      <w:bookmarkStart w:name="b_pregunta_auto_2_3_4" w:id="1568"/>
      <w:r>
        <w:t xml:space="preserve">2.3-A4 · Según Donella Meadows, ¿dónde se traza la frontera de un sistema?</w:t>
      </w:r>
      <w:bookmarkEnd w:id="1568"/>
    </w:p>
    <w:p>
      <w:pPr>
        <w:pStyle w:val="Normal"/>
      </w:pPr>
      <w:r>
        <w:t xml:space="preserve">a) Siempre coincide con un límite físico real e indiscutible</w:t>
      </w:r>
    </w:p>
    <w:p>
      <w:pPr>
        <w:pStyle w:val="Normal"/>
      </w:pPr>
      <w:r>
        <w:t xml:space="preserve">b) La decide el observador según el propósito del estudio; puede ser física o conceptual</w:t>
      </w:r>
    </w:p>
    <w:p>
      <w:pPr>
        <w:pStyle w:val="Normal"/>
      </w:pPr>
      <w:r>
        <w:t xml:space="preserve">c) La fija la naturaleza y el analista no puede elegirla</w:t>
      </w:r>
    </w:p>
    <w:p>
      <w:pPr>
        <w:pStyle w:val="Normal"/>
      </w:pPr>
      <w:r>
        <w:t xml:space="preserve">d) Solo existe en los sistemas hechos por el ser humano</w:t>
      </w:r>
    </w:p>
    <w:p>
      <w:pPr>
        <w:pStyle w:val="Heading3"/>
      </w:pPr>
      <w:bookmarkStart w:name="b_pregunta_auto_2_3_5" w:id="1569"/>
      <w:r>
        <w:t xml:space="preserve">2.3-A5 · Un sistema que intercambia materia, energía e información con su entorno es un sistema…</w:t>
      </w:r>
      <w:bookmarkEnd w:id="1569"/>
    </w:p>
    <w:p>
      <w:pPr>
        <w:pStyle w:val="Normal"/>
      </w:pPr>
      <w:r>
        <w:t xml:space="preserve">a) Cerrado</w:t>
      </w:r>
    </w:p>
    <w:p>
      <w:pPr>
        <w:pStyle w:val="Normal"/>
      </w:pPr>
      <w:r>
        <w:t xml:space="preserve">b) Abierto</w:t>
      </w:r>
    </w:p>
    <w:p>
      <w:pPr>
        <w:pStyle w:val="Normal"/>
      </w:pPr>
      <w:r>
        <w:t xml:space="preserve">c) Aislado</w:t>
      </w:r>
    </w:p>
    <w:p>
      <w:pPr>
        <w:pStyle w:val="Normal"/>
      </w:pPr>
      <w:r>
        <w:t xml:space="preserve">d) Estático</w:t>
      </w:r>
    </w:p>
    <w:p>
      <w:pPr>
        <w:pStyle w:val="Heading3"/>
      </w:pPr>
      <w:bookmarkStart w:name="b_pregunta_auto_2_3_6" w:id="1570"/>
      <w:r>
        <w:t xml:space="preserve">2.3-A6 · En el esquema entradas → proceso → salidas, las «entradas» son…</w:t>
      </w:r>
      <w:bookmarkEnd w:id="1570"/>
    </w:p>
    <w:p>
      <w:pPr>
        <w:pStyle w:val="Normal"/>
      </w:pPr>
      <w:r>
        <w:t xml:space="preserve">a) Los productos que el sistema entrega al entorno</w:t>
      </w:r>
    </w:p>
    <w:p>
      <w:pPr>
        <w:pStyle w:val="Normal"/>
      </w:pPr>
      <w:r>
        <w:t xml:space="preserve">b) La materia, la energía y la información que cruzan la frontera hacia adentro</w:t>
      </w:r>
    </w:p>
    <w:p>
      <w:pPr>
        <w:pStyle w:val="Normal"/>
      </w:pPr>
      <w:r>
        <w:t xml:space="preserve">c) Las partes internas o subsistemas</w:t>
      </w:r>
    </w:p>
    <w:p>
      <w:pPr>
        <w:pStyle w:val="Normal"/>
      </w:pPr>
      <w:r>
        <w:t xml:space="preserve">d) El propósito del sistema</w:t>
      </w:r>
    </w:p>
    <w:p>
      <w:pPr>
        <w:pStyle w:val="Heading3"/>
      </w:pPr>
      <w:bookmarkStart w:name="b_pregunta_auto_2_3_7" w:id="1571"/>
      <w:r>
        <w:t xml:space="preserve">2.3-A7 · Al sistema mayor que contiene a nuestro sistema y del que este forma parte se le llama…</w:t>
      </w:r>
      <w:bookmarkEnd w:id="1571"/>
    </w:p>
    <w:p>
      <w:pPr>
        <w:pStyle w:val="Normal"/>
      </w:pPr>
      <w:r>
        <w:t xml:space="preserve">a) Subsistema</w:t>
      </w:r>
    </w:p>
    <w:p>
      <w:pPr>
        <w:pStyle w:val="Normal"/>
      </w:pPr>
      <w:r>
        <w:t xml:space="preserve">b) Suprasistema</w:t>
      </w:r>
    </w:p>
    <w:p>
      <w:pPr>
        <w:pStyle w:val="Normal"/>
      </w:pPr>
      <w:r>
        <w:t xml:space="preserve">c) Entorno cerrado</w:t>
      </w:r>
    </w:p>
    <w:p>
      <w:pPr>
        <w:pStyle w:val="Normal"/>
      </w:pPr>
      <w:r>
        <w:t xml:space="preserve">d) Elemento</w:t>
      </w:r>
    </w:p>
    <w:p>
      <w:pPr>
        <w:pStyle w:val="Heading3"/>
      </w:pPr>
      <w:bookmarkStart w:name="b_pregunta_auto_2_3_8" w:id="1572"/>
      <w:r>
        <w:t xml:space="preserve">2.3-A8 · La tesis central del pensamiento sistémico «la estructura genera el comportamiento» significa que…</w:t>
      </w:r>
      <w:bookmarkEnd w:id="1572"/>
    </w:p>
    <w:p>
      <w:pPr>
        <w:pStyle w:val="Normal"/>
      </w:pPr>
      <w:r>
        <w:t xml:space="preserve">a) El comportamiento es azar y no se puede explicar</w:t>
      </w:r>
    </w:p>
    <w:p>
      <w:pPr>
        <w:pStyle w:val="Normal"/>
      </w:pPr>
      <w:r>
        <w:t xml:space="preserve">b) Los patrones de comportamiento nacen de cómo están organizadas e interconectadas las partes</w:t>
      </w:r>
    </w:p>
    <w:p>
      <w:pPr>
        <w:pStyle w:val="Normal"/>
      </w:pPr>
      <w:r>
        <w:t xml:space="preserve">c) Solo las personas, y no la organización, explican lo que ocurre</w:t>
      </w:r>
    </w:p>
    <w:p>
      <w:pPr>
        <w:pStyle w:val="Normal"/>
      </w:pPr>
      <w:r>
        <w:t xml:space="preserve">d) La estructura física (los edificios, las máquinas) es lo único que importa</w:t>
      </w:r>
    </w:p>
    <w:p>
      <w:pPr>
        <w:pStyle w:val="Heading3"/>
      </w:pPr>
      <w:bookmarkStart w:name="b_pregunta_auto_2_3_9" w:id="1573"/>
      <w:r>
        <w:t xml:space="preserve">2.3-A9 · El «entorno» de un sistema abierto se define mejor como…</w:t>
      </w:r>
      <w:bookmarkEnd w:id="1573"/>
    </w:p>
    <w:p>
      <w:pPr>
        <w:pStyle w:val="Normal"/>
      </w:pPr>
      <w:r>
        <w:t xml:space="preserve">a) Todo lo que el sistema controla desde adentro</w:t>
      </w:r>
    </w:p>
    <w:p>
      <w:pPr>
        <w:pStyle w:val="Normal"/>
      </w:pPr>
      <w:r>
        <w:t xml:space="preserve">b) Todo lo que está fuera de la frontera, interactúa con el sistema y este no controla</w:t>
      </w:r>
    </w:p>
    <w:p>
      <w:pPr>
        <w:pStyle w:val="Normal"/>
      </w:pPr>
      <w:r>
        <w:t xml:space="preserve">c) El conjunto de sus subsistemas internos</w:t>
      </w:r>
    </w:p>
    <w:p>
      <w:pPr>
        <w:pStyle w:val="Normal"/>
      </w:pPr>
      <w:r>
        <w:t xml:space="preserve">d) Únicamente los recursos económicos disponibles</w:t>
      </w:r>
    </w:p>
    <w:p>
      <w:pPr>
        <w:pStyle w:val="Heading3"/>
      </w:pPr>
      <w:bookmarkStart w:name="b_pregunta_auto_2_3_10" w:id="1574"/>
      <w:r>
        <w:t xml:space="preserve">2.3-A10 · En una oficina el mismo error se repite aunque cambien tres veces al encargado. El pensador sistémico sospecha que la causa está en…</w:t>
      </w:r>
      <w:bookmarkEnd w:id="1574"/>
    </w:p>
    <w:p>
      <w:pPr>
        <w:pStyle w:val="Normal"/>
      </w:pPr>
      <w:r>
        <w:t xml:space="preserve">a) La mala suerte de contratar siempre a la persona equivocada</w:t>
      </w:r>
    </w:p>
    <w:p>
      <w:pPr>
        <w:pStyle w:val="Normal"/>
      </w:pPr>
      <w:r>
        <w:t xml:space="preserve">b) La estructura del sistema (sus reglas, flujos e incentivos), no en las personas</w:t>
      </w:r>
    </w:p>
    <w:p>
      <w:pPr>
        <w:pStyle w:val="Normal"/>
      </w:pPr>
      <w:r>
        <w:t xml:space="preserve">c) Un evento aislado que no volverá a ocurrir</w:t>
      </w:r>
    </w:p>
    <w:p>
      <w:pPr>
        <w:pStyle w:val="Normal"/>
      </w:pPr>
      <w:r>
        <w:t xml:space="preserve">d) El clima laboral de esa semana</w:t>
      </w:r>
    </w:p>
    <w:p>
      <w:pPr>
        <w:pStyle w:val="Heading3"/>
      </w:pPr>
      <w:bookmarkStart w:name="b_solucionario_2_3" w:id="1575"/>
      <w:r>
        <w:t xml:space="preserve">Solucionario del capítulo</w:t>
      </w:r>
      <w:bookmarkEnd w:id="1575"/>
    </w:p>
    <w:p>
      <w:pPr>
        <w:pStyle w:val="Heading3"/>
      </w:pPr>
      <w:r>
        <w:t xml:space="preserve">2.3-A1</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a) Docentes–dirección: endoestructura; escuela–proveedor externo: exoestructura</w:t>
            </w:r>
          </w:p>
        </w:tc>
      </w:tr>
    </w:tbl>
    <w:p>
      <w:pPr>
        <w:pStyle w:val="Normal"/>
      </w:pPr>
      <w:r>
        <w:t xml:space="preserve">Endoestructura vincula componentes internos; exoestructura los vincula con objetos del entorno. Una relación externa no incorpora automáticamente al proveedor: la frontera declarada determina su clasificación.</w:t>
      </w:r>
    </w:p>
    <w:p>
      <w:pPr>
        <w:pStyle w:val="Fuente"/>
      </w:pPr>
      <w:r>
        <w:t xml:space="preserve">Presentación de la unidad 2 (C-6), pág. 27 y 30</w:t>
      </w:r>
    </w:p>
    <w:p>
      <w:pPr>
        <w:pStyle w:val="Heading3"/>
      </w:pPr>
      <w:r>
        <w:t xml:space="preserve">2.3-A2</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b) Atmósfera, hidrósfera, suelo y sistemas agrícolas o urbanos circundantes</w:t>
            </w:r>
          </w:p>
        </w:tc>
      </w:tr>
    </w:tbl>
    <w:p>
      <w:pPr>
        <w:pStyle w:val="Normal"/>
      </w:pPr>
      <w:r>
        <w:t xml:space="preserve">La página 39 diferencia partes internas y sistemas del entorno que aportan condiciones o intercambios. Otro propósito puede cambiar el recorte del suelo, pero debe explicitarlo; no se cambia silenciosamente la frontera de la lámina.</w:t>
      </w:r>
    </w:p>
    <w:p>
      <w:pPr>
        <w:pStyle w:val="Fuente"/>
      </w:pPr>
      <w:r>
        <w:t xml:space="preserve">Presentación de la unidad 2 (C-6), pág. 39</w:t>
      </w:r>
    </w:p>
    <w:p>
      <w:pPr>
        <w:pStyle w:val="Heading3"/>
      </w:pPr>
      <w:r>
        <w:t xml:space="preserve">2.3-A3</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b) La organización de sus partes, sus interconexiones y la frontera que lo separa del entorno</w:t>
            </w:r>
          </w:p>
        </w:tc>
      </w:tr>
    </w:tbl>
    <w:p>
      <w:pPr>
        <w:pStyle w:val="Normal"/>
      </w:pPr>
      <w:r>
        <w:t xml:space="preserve">La estructura no es el inventario de piezas, sino el patrón que las organiza e interconecta, delimitado por una frontera. Por eso dos sistemas con las mismas partes pero distinta estructura se comportan distinto.</w:t>
      </w:r>
    </w:p>
    <w:p>
      <w:pPr>
        <w:pStyle w:val="Normal"/>
      </w:pPr>
      <w:r>
        <w:t xml:space="preserve">a) Una lista de partes no es una estructura: falta cómo se relacionan y dónde termina el sistema.</w:t>
      </w:r>
    </w:p>
    <w:p>
      <w:pPr>
        <w:pStyle w:val="Normal"/>
      </w:pPr>
      <w:r>
        <w:t xml:space="preserve">b) Correcto: estructura = cómo se disponen e interconectan las partes, más el límite con el entorno.</w:t>
      </w:r>
    </w:p>
    <w:p>
      <w:pPr>
        <w:pStyle w:val="Normal"/>
      </w:pPr>
      <w:r>
        <w:t xml:space="preserve">c) El material importa poco; la estructura es un patrón de organización, no una sustancia.</w:t>
      </w:r>
    </w:p>
    <w:p>
      <w:pPr>
        <w:pStyle w:val="Normal"/>
      </w:pPr>
      <w:r>
        <w:t xml:space="preserve">d) El propósito es otro ingrediente del sistema; la estructura es cómo está armado.</w:t>
      </w:r>
    </w:p>
    <w:p>
      <w:pPr>
        <w:pStyle w:val="Heading3"/>
      </w:pPr>
      <w:r>
        <w:t xml:space="preserve">2.3-A4</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b) La decide el observador según el propósito del estudio; puede ser física o conceptual</w:t>
            </w:r>
          </w:p>
        </w:tc>
      </w:tr>
    </w:tbl>
    <w:p>
      <w:pPr>
        <w:pStyle w:val="Normal"/>
      </w:pPr>
      <w:r>
        <w:t xml:space="preserve">«No hay sistemas separados; el mundo es un continuo. Dónde trazar la frontera depende del propósito de la discusión» (Meadows). La frontera es una decisión del analista, no un dato dado.</w:t>
      </w:r>
    </w:p>
    <w:p>
      <w:pPr>
        <w:pStyle w:val="Fuente"/>
      </w:pPr>
      <w:r>
        <w:t xml:space="preserve">Meadows, Thinking in Systems</w:t>
      </w:r>
    </w:p>
    <w:p>
      <w:pPr>
        <w:pStyle w:val="Heading3"/>
      </w:pPr>
      <w:r>
        <w:t xml:space="preserve">2.3-A5</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b) Abierto</w:t>
            </w:r>
          </w:p>
        </w:tc>
      </w:tr>
    </w:tbl>
    <w:p>
      <w:pPr>
        <w:pStyle w:val="Normal"/>
      </w:pPr>
      <w:r>
        <w:t xml:space="preserve">Von Bertalanffy definió el sistema abierto por su intercambio continuo con el entorno. Todo ser vivo es un sistema abierto: si sellas del todo su frontera, muere.</w:t>
      </w:r>
    </w:p>
    <w:p>
      <w:pPr>
        <w:pStyle w:val="Normal"/>
      </w:pPr>
      <w:r>
        <w:t xml:space="preserve">a) Un sistema cerrado no intercambia materia con su entorno.</w:t>
      </w:r>
    </w:p>
    <w:p>
      <w:pPr>
        <w:pStyle w:val="Normal"/>
      </w:pPr>
      <w:r>
        <w:t xml:space="preserve">b) Correcto: los sistemas abiertos (von Bertalanffy) se sostienen gracias al flujo con el entorno.</w:t>
      </w:r>
    </w:p>
    <w:p>
      <w:pPr>
        <w:pStyle w:val="Normal"/>
      </w:pPr>
      <w:r>
        <w:t xml:space="preserve">c) Aislado es el caso extremo: ni materia ni energía cruzan la frontera.</w:t>
      </w:r>
    </w:p>
    <w:p>
      <w:pPr>
        <w:pStyle w:val="Normal"/>
      </w:pPr>
      <w:r>
        <w:t xml:space="preserve">d) Estático no describe el intercambio; alude a que no cambia en el tiempo.</w:t>
      </w:r>
    </w:p>
    <w:p>
      <w:pPr>
        <w:pStyle w:val="Fuente"/>
      </w:pPr>
      <w:r>
        <w:t xml:space="preserve">von Bertalanffy</w:t>
      </w:r>
    </w:p>
    <w:p>
      <w:pPr>
        <w:pStyle w:val="Heading3"/>
      </w:pPr>
      <w:r>
        <w:t xml:space="preserve">2.3-A6</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b) La materia, la energía y la información que cruzan la frontera hacia adentro</w:t>
            </w:r>
          </w:p>
        </w:tc>
      </w:tr>
    </w:tbl>
    <w:p>
      <w:pPr>
        <w:pStyle w:val="Normal"/>
      </w:pPr>
      <w:r>
        <w:t xml:space="preserve">Las entradas son los flujos que el sistema toma del entorno para funcionar; el proceso las transforma y las devuelve como salidas. Las partes internas y el propósito son otra cosa.</w:t>
      </w:r>
    </w:p>
    <w:p>
      <w:pPr>
        <w:pStyle w:val="Heading3"/>
      </w:pPr>
      <w:r>
        <w:t xml:space="preserve">2.3-A7</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b) Suprasistema</w:t>
            </w:r>
          </w:p>
        </w:tc>
      </w:tr>
    </w:tbl>
    <w:p>
      <w:pPr>
        <w:pStyle w:val="Normal"/>
      </w:pPr>
      <w:r>
        <w:t xml:space="preserve">Los sistemas se anidan en jerarquía: hacia adentro están los subsistemas; hacia afuera, el suprasistema que lo contiene. Una célula es sistema, sus organelos son subsistemas y el tejido es su suprasistema. Lo veremos a fondo en 2.4.</w:t>
      </w:r>
    </w:p>
    <w:p>
      <w:pPr>
        <w:pStyle w:val="Heading3"/>
      </w:pPr>
      <w:r>
        <w:t xml:space="preserve">2.3-A8</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b) Los patrones de comportamiento nacen de cómo están organizadas e interconectadas las partes</w:t>
            </w:r>
          </w:p>
        </w:tc>
      </w:tr>
    </w:tbl>
    <w:p>
      <w:pPr>
        <w:pStyle w:val="Normal"/>
      </w:pPr>
      <w:r>
        <w:t xml:space="preserve">Meadows y Senge sostienen que el comportamiento (los patrones en el tiempo) es «latente en la estructura». Por eso, para cambiar los resultados, hay que rediseñar la estructura, no solo reaccionar a los eventos.</w:t>
      </w:r>
    </w:p>
    <w:p>
      <w:pPr>
        <w:pStyle w:val="Normal"/>
      </w:pPr>
      <w:r>
        <w:t xml:space="preserve">a) Lo contrario: el comportamiento tiene una fuente identificable, la estructura.</w:t>
      </w:r>
    </w:p>
    <w:p>
      <w:pPr>
        <w:pStyle w:val="Normal"/>
      </w:pPr>
      <w:r>
        <w:t xml:space="preserve">b) Correcto: «la estructura del sistema es la fuente de su comportamiento» (Meadows).</w:t>
      </w:r>
    </w:p>
    <w:p>
      <w:pPr>
        <w:pStyle w:val="Normal"/>
      </w:pPr>
      <w:r>
        <w:t xml:space="preserve">c) Al revés: la misma persona en otra estructura suele producir otro resultado.</w:t>
      </w:r>
    </w:p>
    <w:p>
      <w:pPr>
        <w:pStyle w:val="Normal"/>
      </w:pPr>
      <w:r>
        <w:t xml:space="preserve">d) Estructura aquí abarca reglas, flujos e interconexiones, no solo lo físico.</w:t>
      </w:r>
    </w:p>
    <w:p>
      <w:pPr>
        <w:pStyle w:val="Fuente"/>
      </w:pPr>
      <w:r>
        <w:t xml:space="preserve">Meadows · Senge</w:t>
      </w:r>
    </w:p>
    <w:p>
      <w:pPr>
        <w:pStyle w:val="Heading3"/>
      </w:pPr>
      <w:r>
        <w:t xml:space="preserve">2.3-A9</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b) Todo lo que está fuera de la frontera, interactúa con el sistema y este no controla</w:t>
            </w:r>
          </w:p>
        </w:tc>
      </w:tr>
    </w:tbl>
    <w:p>
      <w:pPr>
        <w:pStyle w:val="Normal"/>
      </w:pPr>
      <w:r>
        <w:t xml:space="preserve">El entorno es la parte del mundo, fuera de la frontera, que le entrega entradas y recibe sus salidas. El sistema depende de él pero no lo gobierna; solo cuenta el entorno «relevante», el que se relaciona de forma significativa.</w:t>
      </w:r>
    </w:p>
    <w:p>
      <w:pPr>
        <w:pStyle w:val="Heading3"/>
      </w:pPr>
      <w:r>
        <w:t xml:space="preserve">2.3-A10</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b) La estructura del sistema (sus reglas, flujos e incentivos), no en las personas</w:t>
            </w:r>
          </w:p>
        </w:tc>
      </w:tr>
    </w:tbl>
    <w:p>
      <w:pPr>
        <w:pStyle w:val="Normal"/>
      </w:pPr>
      <w:r>
        <w:t xml:space="preserve">Si el patrón persiste al cambiar los elementos (las personas), la fuente está en la estructura. «Puesta en el mismo sistema, gente muy distinta tiende a producir resultados parecidos» (Senge). Ahí, no en la culpa individual, está el apalancamiento.</w:t>
      </w:r>
    </w:p>
    <w:p>
      <w:pPr>
        <w:pStyle w:val="Fuente"/>
        <w:sectPr>
          <w:headerReference w:type="default" r:id="rId114"/>
          <w:headerReference w:type="first" r:id="rId115"/>
          <w:headerReference w:type="even" r:id="rId116"/>
          <w:footerReference w:type="default" r:id="rId117"/>
          <w:footerReference w:type="first" r:id="rId118"/>
          <w:footerReference w:type="even" r:id="rId119"/>
          <w:type w:val="nextPage"/>
          <w:pgSz w:w="12240" w:h="15840" w:orient="portrait"/>
          <w:pgMar w:top="1361" w:right="1134" w:bottom="1361" w:left="1474" w:header="650" w:footer="680" w:gutter="0"/>
          <w:pgNumType/>
          <w:titlePg/>
          <w:docGrid w:linePitch="360"/>
        </w:sectPr>
      </w:pPr>
      <w:r>
        <w:t xml:space="preserve">Senge, La quinta disciplina</w:t>
      </w:r>
    </w:p>
    <w:p>
      <w:pPr>
        <w:pStyle w:val="Heading2"/>
      </w:pPr>
      <w:bookmarkStart w:name="b_2_4" w:id="1576"/>
      <w:r>
        <w:t xml:space="preserve">2.4 · Sub y suprasistemas</w:t>
      </w:r>
      <w:bookmarkEnd w:id="1576"/>
    </w:p>
    <w:p>
      <w:pPr>
        <w:pStyle w:val="Subtitulo"/>
      </w:pPr>
      <w:r>
        <w:t xml:space="preserve">Niveles de percepción de los sistemas – subsistemas / suprasistemas</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En una línea</w:t>
            </w:r>
          </w:p>
          <w:p>
            <w:pPr>
              <w:pStyle w:val="Recuadro"/>
            </w:pPr>
            <w:r>
              <w:t xml:space="preserve">Todo sistema es a la vez un todo y una parte; elegir el nivel es parte del análisis.</w:t>
            </w:r>
          </w:p>
        </w:tc>
      </w:tr>
    </w:tbl>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Qué te preguntan</w:t>
            </w:r>
          </w:p>
          <w:p>
            <w:pPr>
              <w:pStyle w:val="Recuadro"/>
            </w:pPr>
            <w:r>
              <w:t xml:space="preserve">Explicar la relación parte–todo de forma recursiva: un elemento puede estudiarse como subsistema y el sistema puede pertenecer a un suprasistema. En un caso concreto, justificar la frontera y el nivel de detalle elegidos, y mostrar cómo cambiar de escala modifica qué partes y relaciones se observan.</w:t>
            </w:r>
          </w:p>
        </w:tc>
      </w:tr>
    </w:tbl>
    <w:p>
      <w:pPr>
        <w:pStyle w:val="Normal"/>
      </w:pPr>
      <w:r>
        <w:t xml:space="preserve">Las partes de un sistema complejo son a su vez sistemas con un rol en el sistema global: subsistemas. La definición es recursiva: lo que es sistema en un nivel es subsistema del superior, siempre habrá un nivel que lo contenga, y hablar de sistema o subsistema es relativo al nivel elegido. Comprobación: delimitar el objeto, abrir sus partes como subsistemas y subir al suprasistema cuando la jerarquía explica de qué depende.</w:t>
      </w:r>
    </w:p>
    <w:p>
      <w:pPr>
        <w:pStyle w:val="Heading3"/>
      </w:pPr>
      <w:r>
        <w:t xml:space="preserve">Vocabulario clave</w:t>
      </w:r>
    </w:p>
    <w:p>
      <w:pPr>
        <w:pStyle w:val="Normal"/>
      </w:pPr>
      <w:r>
        <w:t xml:space="preserve">subsistema (parte que es a su vez sistema) · sistema global (sistema de referencia) · suprasistema (supersistema, megasistema) · medio o contexto (sistemas del mismo nivel) · nivel de jerarquía · definición recursiva (sistemas dentro de sistemas) · estructuras anidadas · zoom al nivel superior</w:t>
      </w:r>
    </w:p>
    <w:p>
      <w:pPr>
        <w:pStyle w:val="Fuente"/>
      </w:pPr>
      <w:r>
        <w:t xml:space="preserve">Recorrido: desarrollo conceptual → presentaciones → explicación en clase → errores y fuentes → práctica → solucionario.</w:t>
      </w:r>
    </w:p>
    <w:p>
      <w:pPr>
        <w:pStyle w:val="Heading3"/>
      </w:pPr>
      <w:r>
        <w:t xml:space="preserve">Pertenencia y composición en distintas escalas</w:t>
      </w:r>
    </w:p>
    <w:p>
      <w:pPr>
        <w:pStyle w:val="Normal"/>
      </w:pPr>
      <w:r>
        <w:t xml:space="preserve">Con el bosque como sistema focal, flora, fauna y microorganismos son partes internas. Hacia niveles superiores la presentación sitúa bioma, ecosfera terrestre y sistema climático global. La jerarquía de pertenencia responde «¿parte de qué?», mientras que el entorno responde «¿con qué intercambia?».</w:t>
      </w:r>
    </w:p>
    <w:p>
      <w:pPr>
        <w:pStyle w:val="Normal"/>
      </w:pPr>
      <w:r>
        <w:t xml:space="preserve">Composición es reunir partes en unidades de un nivel superior; descomponibilidad es poder analizar una unidad en subestructuras sin olvidar las relaciones que la sostienen. Separar las piezas puede hacer perder las propiedades emergentes que explicaban el todo.</w:t>
      </w:r>
    </w:p>
    <w:p>
      <w:pPr>
        <w:pStyle w:val="Normal"/>
      </w:pPr>
      <w:r>
        <w:t xml:space="preserve">En el eje de escala de la figura aparecen compuestos y subestructuras, estructuras de control, autoorganización, jerarquías y emergencia. El control coordina o regula actividades entre partes; no significa necesariamente un jefe externo. La figura relaciona escalas, tiempo y conceptos compartidos, y no prescribe etapas obligatorias para todo sistema.</w:t>
      </w:r>
    </w:p>
    <w:p>
      <w:pPr>
        <w:pStyle w:val="Fuente"/>
      </w:pPr>
      <w:r>
        <w:t xml:space="preserve">Presentación de la unidad 2 (C-6), pág. 20, 39, 54 y 58</w:t>
      </w:r>
    </w:p>
    <w:p>
      <w:pPr>
        <w:pStyle w:val="Heading3"/>
      </w:pPr>
      <w:r>
        <w:t xml:space="preserve">Definiciones como las dio la clase</w:t>
      </w:r>
    </w:p>
    <w:p>
      <w:pPr>
        <w:pStyle w:val="Normal"/>
      </w:pPr>
      <w:r>
        <w:t xml:space="preserve">Las partes, elementos o componentes también pueden llamarse subsistemas: en los sistemas muy complejos resultan ser otros sistemas más pequeños con un rol en el sistema global.</w:t>
      </w:r>
    </w:p>
    <w:p>
      <w:pPr>
        <w:pStyle w:val="Normal"/>
      </w:pPr>
      <w:r>
        <w:t xml:space="preserve">Los subsistemas interactúan por entradas y salidas; en el medio hay sistemas del mismo nivel o de distinto tipo y tamaño, y la salida de uno es entrada de otro.</w:t>
      </w:r>
    </w:p>
    <w:p>
      <w:pPr>
        <w:pStyle w:val="Normal"/>
      </w:pPr>
      <w:r>
        <w:t xml:space="preserve">Al enfocar una parte del mundo se enfoca un subsistema de un sistema mayor, con un medio o contexto de otros sistemas que interactúan con él.</w:t>
      </w:r>
    </w:p>
    <w:p>
      <w:pPr>
        <w:pStyle w:val="Normal"/>
      </w:pPr>
      <w:r>
        <w:t xml:space="preserve">El que contiene al sistema estudiado es el supersistema o suprasistema; la jerarquía va de subsistemas a sistemas y a suprasistemas o megasistemas.</w:t>
      </w:r>
    </w:p>
    <w:p>
      <w:pPr>
        <w:pStyle w:val="Fuente"/>
      </w:pPr>
      <w:r>
        <w:t xml:space="preserve">Clase 6 · 00:52:14–00:52:44 · Clase 6 · 00:58:45–00:59:54 · Clase 7 · 00:09:00–00:10:01 · Clase 7 · 00:54:52–00:55:12 · Clase 8 · 00:51:34–00:51:51</w:t>
      </w:r>
    </w:p>
    <w:p>
      <w:pPr>
        <w:pStyle w:val="Heading3"/>
      </w:pPr>
      <w:r>
        <w:t xml:space="preserve">Todo y parte son relativos al nivel</w:t>
      </w:r>
    </w:p>
    <w:p>
      <w:pPr>
        <w:pStyle w:val="Normal"/>
      </w:pPr>
      <w:r>
        <w:t xml:space="preserve">Hablar de sistema o de subsistema es totalmente relativo: depende del nivel de referencia, y siempre habrá algún nivel superior que contenga esos sistemas.</w:t>
      </w:r>
    </w:p>
    <w:p>
      <w:pPr>
        <w:pStyle w:val="Normal"/>
      </w:pPr>
      <w:r>
        <w:t xml:space="preserve">La realidad tiene estructuras anidadas, recursivas: lo que era sistema a un nivel resulta subsistema de otro, y así sucesivamente, y en cada nivel crece la complejidad.</w:t>
      </w:r>
    </w:p>
    <w:p>
      <w:pPr>
        <w:pStyle w:val="Normal"/>
      </w:pPr>
      <w:r>
        <w:t xml:space="preserve">Jerarquía leída de una lámina: sistemas sociales, ecosistemas, humanos, biológicos, moleculares, galácticos y planetarios.</w:t>
      </w:r>
    </w:p>
    <w:p>
      <w:pPr>
        <w:pStyle w:val="Fuente"/>
      </w:pPr>
      <w:r>
        <w:t xml:space="preserve">Clase 6 · 01:04:02–01:04:53 · Clase 6 · 01:34:25–01:35:41 · Clase 7 · 00:39:39–00:43:28 · Clase 7 · 00:41:45–00:44:02 · Clase 8 · 01:19:48–01:20:30</w:t>
      </w:r>
    </w:p>
    <w:p>
      <w:pPr>
        <w:pStyle w:val="Heading3"/>
      </w:pPr>
      <w:r>
        <w:t xml:space="preserve">Los casos resueltos en clase</w:t>
      </w:r>
    </w:p>
    <w:p>
      <w:pPr>
        <w:pStyle w:val="Normal"/>
      </w:pPr>
      <w:r>
        <w:t xml:space="preserve">Ciudad: empresas que interactúan con sus proveedoras de materia prima; cada empresa contiene sistemas automatizados y de procesos que convierten entradas en salidas.</w:t>
      </w:r>
    </w:p>
    <w:p>
      <w:pPr>
        <w:pStyle w:val="Normal"/>
      </w:pPr>
      <w:r>
        <w:t xml:space="preserve">Alumnos del curso → carrera de sistemas (TS1, TS2 y los demás cursos) → Facultad de Ingeniería: subir de nivel amplía la visión; un país forma parte de un continente.</w:t>
      </w:r>
    </w:p>
    <w:p>
      <w:pPr>
        <w:pStyle w:val="Normal"/>
      </w:pPr>
      <w:r>
        <w:t xml:space="preserve">Escalas narradas sobre un video sin voz: colonia, ciudad, país, planeta, galaxias y de regreso a los subsistemas moleculares.</w:t>
      </w:r>
    </w:p>
    <w:p>
      <w:pPr>
        <w:pStyle w:val="Normal"/>
      </w:pPr>
      <w:r>
        <w:t xml:space="preserve">Automóvil: sistemas mecánicos y electrónicos por debajo; elemento del tráfico, dentro del sistema social de la ciudad; cada ampliación comprende más y complica el modelo.</w:t>
      </w:r>
    </w:p>
    <w:p>
      <w:pPr>
        <w:pStyle w:val="Fuente"/>
      </w:pPr>
      <w:r>
        <w:t xml:space="preserve">Clase 6 · 00:52:35–00:54:03 · Clase 7 · 00:39:59–00:41:48 · Clase 7 · 00:44:49–00:50:00 · Clase 8 · 00:09:37–00:09:56 · Clase 8 · 01:16:36–01:17:51</w:t>
      </w:r>
    </w:p>
    <w:p>
      <w:pPr>
        <w:pStyle w:val="Heading3"/>
      </w:pPr>
      <w:r>
        <w:t xml:space="preserve">Lo que advirtió</w:t>
      </w:r>
    </w:p>
    <w:p>
      <w:pPr>
        <w:pStyle w:val="Normal"/>
      </w:pPr>
      <w:r>
        <w:t xml:space="preserve">Nombrar algo como sistema obliga a delimitarlo: dentro de la frontera es sistema; fuera, medio que interactúa con él.</w:t>
      </w:r>
    </w:p>
    <w:p>
      <w:pPr>
        <w:pStyle w:val="Normal"/>
      </w:pPr>
      <w:r>
        <w:t xml:space="preserve">Los objetos son sistemas con partes y relaciones en su nivel; debajo, subsistemas; arriba, entradas y salidas hacia el medio. Si la jerarquía explica de qué depende el sistema, se hace «zoom» al nivel superior.</w:t>
      </w:r>
    </w:p>
    <w:p>
      <w:pPr>
        <w:pStyle w:val="Fuente"/>
      </w:pPr>
      <w:r>
        <w:t xml:space="preserve">Clase 6 · 00:57:01–00:57:51 · Clase 8 · 00:08:43–00:10:52</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Procedimiento</w:t>
            </w:r>
          </w:p>
          <w:p>
            <w:pPr>
              <w:pStyle w:val="Recuadro"/>
            </w:pPr>
            <w:r>
              <w:t xml:space="preserve">Cómo elegir el nivel: subsistema, sistema y suprasistema</w:t>
            </w:r>
          </w:p>
          <w:p>
            <w:pPr>
              <w:pStyle w:val="Recuadro"/>
            </w:pPr>
            <w:r>
              <w:t xml:space="preserve">1. </w:t>
            </w:r>
            <w:r>
              <w:rPr>
                <w:b/>
                <w:bCs/>
              </w:rPr>
              <w:t xml:space="preserve">Nombrar y delimitar el sistema de referencia.</w:t>
            </w:r>
            <w:r>
              <w:t xml:space="preserve"> Al referir algo como sistema hay que delimitarlo: lo de dentro es sistema, lo de fuera es medio. En la ciudad, cada empresa es el sistema y sus proveedoras, el medio. (Clase 6 · 00:52:35–00:54:03 · Clase 6 · 00:57:01–00:57:51)</w:t>
            </w:r>
          </w:p>
          <w:p>
            <w:pPr>
              <w:pStyle w:val="Recuadro"/>
            </w:pPr>
            <w:r>
              <w:t xml:space="preserve">2. </w:t>
            </w:r>
            <w:r>
              <w:rPr>
                <w:b/>
                <w:bCs/>
              </w:rPr>
              <w:t xml:space="preserve">Abrir las partes como subsistemas.</w:t>
            </w:r>
            <w:r>
              <w:t xml:space="preserve"> Distinguir las partes que a su vez son sistemas (los procesos de la empresa; lo mecánico y lo electrónico del automóvil) y ver cómo interactúan por entradas y salidas. (Clase 6 · 00:52:14–00:52:44 · Clase 6 · 00:58:45–00:59:54 · Clase 8 · 01:16:36–01:17:51)</w:t>
            </w:r>
          </w:p>
          <w:p>
            <w:pPr>
              <w:pStyle w:val="Recuadro"/>
            </w:pPr>
            <w:r>
              <w:t xml:space="preserve">3. </w:t>
            </w:r>
            <w:r>
              <w:rPr>
                <w:b/>
                <w:bCs/>
              </w:rPr>
              <w:t xml:space="preserve">Subir al suprasistema cuando el contexto lo pide.</w:t>
            </w:r>
            <w:r>
              <w:t xml:space="preserve"> Subir un nivel en la jerarquía cuando ella explica de qué depende el sistema: el país forma parte de un continente; el curso, de la carrera y de la Facultad. (Clase 7 · 00:39:59–00:41:48 · Clase 8 · 00:08:43–00:10:52)</w:t>
            </w:r>
          </w:p>
          <w:p>
            <w:pPr>
              <w:pStyle w:val="Recuadro"/>
            </w:pPr>
            <w:r>
              <w:t xml:space="preserve">4. </w:t>
            </w:r>
            <w:r>
              <w:rPr>
                <w:b/>
                <w:bCs/>
              </w:rPr>
              <w:t xml:space="preserve">Fijar el nivel y aceptar su relatividad.</w:t>
            </w:r>
            <w:r>
              <w:t xml:space="preserve"> Decir desde qué nivel se habla, porque sistema y subsistema son relativos y siempre habrá uno superior; cada ampliación comprende más pero complica el modelo. (Clase 7 · 00:39:39–00:43:28 · Clase 8 · 01:16:36–01:17:51)</w:t>
            </w:r>
          </w:p>
          <w:p>
            <w:pPr>
              <w:pStyle w:val="Recuadro"/>
            </w:pPr>
            <w:r>
              <w:t xml:space="preserve">Todo sistema es a la vez todo y parte: el nivel elegido decide qué es subsistema, qué es sistema y qué es suprasistema.</w:t>
            </w:r>
          </w:p>
        </w:tc>
      </w:tr>
    </w:tbl>
    <w:p>
      <w:pPr>
        <w:pStyle w:val="Heading3"/>
      </w:pPr>
      <w:bookmarkStart w:name="b_tabla_2_4_g1_dsrp" w:id="1577"/>
      <w:r>
        <w:t xml:space="preserve">DSRP · las cuatro reglas y sus pares</w:t>
      </w:r>
      <w:bookmarkEnd w:id="1577"/>
    </w:p>
    <w:tbl>
      <w:tblPr>
        <w:tblW w:type="dxa" w:w="9632"/>
        <w:tblBorders>
          <w:top w:val="single" w:color="C5D5DB" w:sz="4"/>
          <w:left w:val="single" w:color="C5D5DB" w:sz="4"/>
          <w:bottom w:val="single" w:color="C5D5DB" w:sz="4"/>
          <w:right w:val="single" w:color="C5D5DB" w:sz="4"/>
          <w:insideH w:val="single" w:color="E4E9EB" w:sz="3"/>
          <w:insideV w:val="single" w:color="E4E9EB" w:sz="3"/>
        </w:tblBorders>
        <w:tblLayout w:type="fixed"/>
      </w:tblPr>
      <w:tblGrid>
        <w:gridCol w:w="2408"/>
        <w:gridCol w:w="2408"/>
        <w:gridCol w:w="2408"/>
        <w:gridCol w:w="2408"/>
      </w:tblGrid>
      <w:tr>
        <w:trPr>
          <w:cantSplit/>
          <w:tblHeader/>
        </w:trPr>
        <w:tc>
          <w:tcPr>
            <w:tcW w:type="dxa" w:w="2408"/>
            <w:shd w:fill="DFEAF0" w:val="clear"/>
            <w:tcMar>
              <w:top w:type="dxa" w:w="80"/>
              <w:left w:type="dxa" w:w="100"/>
              <w:bottom w:type="dxa" w:w="80"/>
              <w:right w:type="dxa" w:w="100"/>
            </w:tcMar>
          </w:tcPr>
          <w:p>
            <w:pPr>
              <w:pStyle w:val="Tabla"/>
            </w:pPr>
            <w:r>
              <w:rPr>
                <w:b/>
                <w:bCs/>
              </w:rPr>
              <w:t xml:space="preserve">Regla</w:t>
            </w:r>
          </w:p>
        </w:tc>
        <w:tc>
          <w:tcPr>
            <w:tcW w:type="dxa" w:w="2408"/>
            <w:shd w:fill="DFEAF0" w:val="clear"/>
            <w:tcMar>
              <w:top w:type="dxa" w:w="80"/>
              <w:left w:type="dxa" w:w="100"/>
              <w:bottom w:type="dxa" w:w="80"/>
              <w:right w:type="dxa" w:w="100"/>
            </w:tcMar>
          </w:tcPr>
          <w:p>
            <w:pPr>
              <w:pStyle w:val="Tabla"/>
            </w:pPr>
            <w:r>
              <w:rPr>
                <w:b/>
                <w:bCs/>
              </w:rPr>
              <w:t xml:space="preserve">Nombre</w:t>
            </w:r>
          </w:p>
        </w:tc>
        <w:tc>
          <w:tcPr>
            <w:tcW w:type="dxa" w:w="2408"/>
            <w:shd w:fill="DFEAF0" w:val="clear"/>
            <w:tcMar>
              <w:top w:type="dxa" w:w="80"/>
              <w:left w:type="dxa" w:w="100"/>
              <w:bottom w:type="dxa" w:w="80"/>
              <w:right w:type="dxa" w:w="100"/>
            </w:tcMar>
          </w:tcPr>
          <w:p>
            <w:pPr>
              <w:pStyle w:val="Tabla"/>
            </w:pPr>
            <w:r>
              <w:rPr>
                <w:b/>
                <w:bCs/>
              </w:rPr>
              <w:t xml:space="preserve">Par coimplicado</w:t>
            </w:r>
          </w:p>
        </w:tc>
        <w:tc>
          <w:tcPr>
            <w:tcW w:type="dxa" w:w="2408"/>
            <w:shd w:fill="DFEAF0" w:val="clear"/>
            <w:tcMar>
              <w:top w:type="dxa" w:w="80"/>
              <w:left w:type="dxa" w:w="100"/>
              <w:bottom w:type="dxa" w:w="80"/>
              <w:right w:type="dxa" w:w="100"/>
            </w:tcMar>
          </w:tcPr>
          <w:p>
            <w:pPr>
              <w:pStyle w:val="Tabla"/>
            </w:pPr>
            <w:r>
              <w:rPr>
                <w:b/>
                <w:bCs/>
              </w:rPr>
              <w:t xml:space="preserve">Pregunta que dispara</w:t>
            </w:r>
          </w:p>
        </w:tc>
      </w:tr>
      <w:tr>
        <w:trPr>
          <w:cantSplit/>
          <w:tblHeader w:val="off"/>
        </w:trPr>
        <w:tc>
          <w:tcPr>
            <w:tcW w:type="dxa" w:w="2408"/>
            <w:tcMar>
              <w:top w:type="dxa" w:w="80"/>
              <w:left w:type="dxa" w:w="100"/>
              <w:bottom w:type="dxa" w:w="80"/>
              <w:right w:type="dxa" w:w="100"/>
            </w:tcMar>
          </w:tcPr>
          <w:p>
            <w:pPr>
              <w:pStyle w:val="Tabla"/>
            </w:pPr>
            <w:r>
              <w:t xml:space="preserve">D</w:t>
            </w:r>
          </w:p>
        </w:tc>
        <w:tc>
          <w:tcPr>
            <w:tcW w:type="dxa" w:w="2408"/>
            <w:tcMar>
              <w:top w:type="dxa" w:w="80"/>
              <w:left w:type="dxa" w:w="100"/>
              <w:bottom w:type="dxa" w:w="80"/>
              <w:right w:type="dxa" w:w="100"/>
            </w:tcMar>
          </w:tcPr>
          <w:p>
            <w:pPr>
              <w:pStyle w:val="Tabla"/>
            </w:pPr>
            <w:r>
              <w:t xml:space="preserve">Distinciones</w:t>
            </w:r>
          </w:p>
        </w:tc>
        <w:tc>
          <w:tcPr>
            <w:tcW w:type="dxa" w:w="2408"/>
            <w:tcMar>
              <w:top w:type="dxa" w:w="80"/>
              <w:left w:type="dxa" w:w="100"/>
              <w:bottom w:type="dxa" w:w="80"/>
              <w:right w:type="dxa" w:w="100"/>
            </w:tcMar>
          </w:tcPr>
          <w:p>
            <w:pPr>
              <w:pStyle w:val="Tabla"/>
            </w:pPr>
            <w:r>
              <w:t xml:space="preserve">identidad </w:t>
            </w:r>
            <w:r>
              <w:rPr>
                <w:rFonts w:ascii="DejaVu Serif" w:cs="DejaVu Serif" w:eastAsia="DejaVu Serif" w:hAnsi="DejaVu Serif"/>
              </w:rPr>
              <w:t xml:space="preserve">⇔</w:t>
            </w:r>
            <w:r>
              <w:t xml:space="preserve"> otro</w:t>
            </w:r>
          </w:p>
        </w:tc>
        <w:tc>
          <w:tcPr>
            <w:tcW w:type="dxa" w:w="2408"/>
            <w:tcMar>
              <w:top w:type="dxa" w:w="80"/>
              <w:left w:type="dxa" w:w="100"/>
              <w:bottom w:type="dxa" w:w="80"/>
              <w:right w:type="dxa" w:w="100"/>
            </w:tcMar>
          </w:tcPr>
          <w:p>
            <w:pPr>
              <w:pStyle w:val="Tabla"/>
            </w:pPr>
            <w:r>
              <w:t xml:space="preserve">¿Qué es esto y qué NO es? ¿Dónde está su frontera?</w:t>
            </w:r>
          </w:p>
        </w:tc>
      </w:tr>
      <w:tr>
        <w:trPr>
          <w:cantSplit/>
          <w:tblHeader w:val="off"/>
        </w:trPr>
        <w:tc>
          <w:tcPr>
            <w:tcW w:type="dxa" w:w="2408"/>
            <w:tcMar>
              <w:top w:type="dxa" w:w="80"/>
              <w:left w:type="dxa" w:w="100"/>
              <w:bottom w:type="dxa" w:w="80"/>
              <w:right w:type="dxa" w:w="100"/>
            </w:tcMar>
          </w:tcPr>
          <w:p>
            <w:pPr>
              <w:pStyle w:val="Tabla"/>
            </w:pPr>
            <w:r>
              <w:t xml:space="preserve">S</w:t>
            </w:r>
          </w:p>
        </w:tc>
        <w:tc>
          <w:tcPr>
            <w:tcW w:type="dxa" w:w="2408"/>
            <w:tcMar>
              <w:top w:type="dxa" w:w="80"/>
              <w:left w:type="dxa" w:w="100"/>
              <w:bottom w:type="dxa" w:w="80"/>
              <w:right w:type="dxa" w:w="100"/>
            </w:tcMar>
          </w:tcPr>
          <w:p>
            <w:pPr>
              <w:pStyle w:val="Tabla"/>
            </w:pPr>
            <w:r>
              <w:t xml:space="preserve">Sistemas</w:t>
            </w:r>
          </w:p>
        </w:tc>
        <w:tc>
          <w:tcPr>
            <w:tcW w:type="dxa" w:w="2408"/>
            <w:tcMar>
              <w:top w:type="dxa" w:w="80"/>
              <w:left w:type="dxa" w:w="100"/>
              <w:bottom w:type="dxa" w:w="80"/>
              <w:right w:type="dxa" w:w="100"/>
            </w:tcMar>
          </w:tcPr>
          <w:p>
            <w:pPr>
              <w:pStyle w:val="Tabla"/>
            </w:pPr>
            <w:r>
              <w:t xml:space="preserve">parte </w:t>
            </w:r>
            <w:r>
              <w:rPr>
                <w:rFonts w:ascii="DejaVu Serif" w:cs="DejaVu Serif" w:eastAsia="DejaVu Serif" w:hAnsi="DejaVu Serif"/>
              </w:rPr>
              <w:t xml:space="preserve">⇔</w:t>
            </w:r>
            <w:r>
              <w:t xml:space="preserve"> todo</w:t>
            </w:r>
          </w:p>
        </w:tc>
        <w:tc>
          <w:tcPr>
            <w:tcW w:type="dxa" w:w="2408"/>
            <w:tcMar>
              <w:top w:type="dxa" w:w="80"/>
              <w:left w:type="dxa" w:w="100"/>
              <w:bottom w:type="dxa" w:w="80"/>
              <w:right w:type="dxa" w:w="100"/>
            </w:tcMar>
          </w:tcPr>
          <w:p>
            <w:pPr>
              <w:pStyle w:val="Tabla"/>
            </w:pPr>
            <w:r>
              <w:t xml:space="preserve">¿De qué partes se compone? ¿De qué todo mayor forma parte?</w:t>
            </w:r>
          </w:p>
        </w:tc>
      </w:tr>
      <w:tr>
        <w:trPr>
          <w:cantSplit/>
          <w:tblHeader w:val="off"/>
        </w:trPr>
        <w:tc>
          <w:tcPr>
            <w:tcW w:type="dxa" w:w="2408"/>
            <w:tcMar>
              <w:top w:type="dxa" w:w="80"/>
              <w:left w:type="dxa" w:w="100"/>
              <w:bottom w:type="dxa" w:w="80"/>
              <w:right w:type="dxa" w:w="100"/>
            </w:tcMar>
          </w:tcPr>
          <w:p>
            <w:pPr>
              <w:pStyle w:val="Tabla"/>
            </w:pPr>
            <w:r>
              <w:t xml:space="preserve">R</w:t>
            </w:r>
          </w:p>
        </w:tc>
        <w:tc>
          <w:tcPr>
            <w:tcW w:type="dxa" w:w="2408"/>
            <w:tcMar>
              <w:top w:type="dxa" w:w="80"/>
              <w:left w:type="dxa" w:w="100"/>
              <w:bottom w:type="dxa" w:w="80"/>
              <w:right w:type="dxa" w:w="100"/>
            </w:tcMar>
          </w:tcPr>
          <w:p>
            <w:pPr>
              <w:pStyle w:val="Tabla"/>
            </w:pPr>
            <w:r>
              <w:t xml:space="preserve">Relaciones</w:t>
            </w:r>
          </w:p>
        </w:tc>
        <w:tc>
          <w:tcPr>
            <w:tcW w:type="dxa" w:w="2408"/>
            <w:tcMar>
              <w:top w:type="dxa" w:w="80"/>
              <w:left w:type="dxa" w:w="100"/>
              <w:bottom w:type="dxa" w:w="80"/>
              <w:right w:type="dxa" w:w="100"/>
            </w:tcMar>
          </w:tcPr>
          <w:p>
            <w:pPr>
              <w:pStyle w:val="Tabla"/>
            </w:pPr>
            <w:r>
              <w:t xml:space="preserve">acción </w:t>
            </w:r>
            <w:r>
              <w:rPr>
                <w:rFonts w:ascii="DejaVu Serif" w:cs="DejaVu Serif" w:eastAsia="DejaVu Serif" w:hAnsi="DejaVu Serif"/>
              </w:rPr>
              <w:t xml:space="preserve">⇔</w:t>
            </w:r>
            <w:r>
              <w:t xml:space="preserve"> reacción</w:t>
            </w:r>
          </w:p>
        </w:tc>
        <w:tc>
          <w:tcPr>
            <w:tcW w:type="dxa" w:w="2408"/>
            <w:tcMar>
              <w:top w:type="dxa" w:w="80"/>
              <w:left w:type="dxa" w:w="100"/>
              <w:bottom w:type="dxa" w:w="80"/>
              <w:right w:type="dxa" w:w="100"/>
            </w:tcMar>
          </w:tcPr>
          <w:p>
            <w:pPr>
              <w:pStyle w:val="Tabla"/>
            </w:pPr>
            <w:r>
              <w:t xml:space="preserve">¿Cómo se conecta con lo demás? ¿Qué acción provoca y qué reacción recibe?</w:t>
            </w:r>
          </w:p>
        </w:tc>
      </w:tr>
      <w:tr>
        <w:trPr>
          <w:cantSplit/>
          <w:tblHeader w:val="off"/>
        </w:trPr>
        <w:tc>
          <w:tcPr>
            <w:tcW w:type="dxa" w:w="2408"/>
            <w:tcMar>
              <w:top w:type="dxa" w:w="80"/>
              <w:left w:type="dxa" w:w="100"/>
              <w:bottom w:type="dxa" w:w="80"/>
              <w:right w:type="dxa" w:w="100"/>
            </w:tcMar>
          </w:tcPr>
          <w:p>
            <w:pPr>
              <w:pStyle w:val="Tabla"/>
            </w:pPr>
            <w:r>
              <w:t xml:space="preserve">P</w:t>
            </w:r>
          </w:p>
        </w:tc>
        <w:tc>
          <w:tcPr>
            <w:tcW w:type="dxa" w:w="2408"/>
            <w:tcMar>
              <w:top w:type="dxa" w:w="80"/>
              <w:left w:type="dxa" w:w="100"/>
              <w:bottom w:type="dxa" w:w="80"/>
              <w:right w:type="dxa" w:w="100"/>
            </w:tcMar>
          </w:tcPr>
          <w:p>
            <w:pPr>
              <w:pStyle w:val="Tabla"/>
            </w:pPr>
            <w:r>
              <w:t xml:space="preserve">Perspectivas</w:t>
            </w:r>
          </w:p>
        </w:tc>
        <w:tc>
          <w:tcPr>
            <w:tcW w:type="dxa" w:w="2408"/>
            <w:tcMar>
              <w:top w:type="dxa" w:w="80"/>
              <w:left w:type="dxa" w:w="100"/>
              <w:bottom w:type="dxa" w:w="80"/>
              <w:right w:type="dxa" w:w="100"/>
            </w:tcMar>
          </w:tcPr>
          <w:p>
            <w:pPr>
              <w:pStyle w:val="Tabla"/>
            </w:pPr>
            <w:r>
              <w:t xml:space="preserve">punto </w:t>
            </w:r>
            <w:r>
              <w:rPr>
                <w:rFonts w:ascii="DejaVu Serif" w:cs="DejaVu Serif" w:eastAsia="DejaVu Serif" w:hAnsi="DejaVu Serif"/>
              </w:rPr>
              <w:t xml:space="preserve">⇔</w:t>
            </w:r>
            <w:r>
              <w:t xml:space="preserve"> visión</w:t>
            </w:r>
          </w:p>
        </w:tc>
        <w:tc>
          <w:tcPr>
            <w:tcW w:type="dxa" w:w="2408"/>
            <w:tcMar>
              <w:top w:type="dxa" w:w="80"/>
              <w:left w:type="dxa" w:w="100"/>
              <w:bottom w:type="dxa" w:w="80"/>
              <w:right w:type="dxa" w:w="100"/>
            </w:tcMar>
          </w:tcPr>
          <w:p>
            <w:pPr>
              <w:pStyle w:val="Tabla"/>
            </w:pPr>
            <w:r>
              <w:t xml:space="preserve">¿Desde qué punto se está mirando? ¿Qué se ve, y qué queda fuera de vista?</w:t>
            </w:r>
          </w:p>
        </w:tc>
      </w:tr>
    </w:tbl>
    <w:p>
      <w:pPr>
        <w:pStyle w:val="Fuente"/>
      </w:pPr>
      <w:r>
        <w:t xml:space="preserve">Derek y Laura Cabrera. No es una secuencia: se aplican de forma iterativa, y de ahí emerge el pensamiento sistémico.</w:t>
      </w:r>
    </w:p>
    <w:p>
      <w:pPr>
        <w:pStyle w:val="Heading3"/>
      </w:pPr>
      <w:r>
        <w:t xml:space="preserve">Lo que dicen las presentaciones</w:t>
      </w:r>
    </w:p>
    <w:p>
      <w:pPr>
        <w:pStyle w:val="Heading3"/>
      </w:pPr>
      <w:bookmarkStart w:name="b_pagina_2_4_C_6_p20" w:id="1578"/>
      <w:r>
        <w:t xml:space="preserve">C-6 · página 20 · Sistemas (S)</w:t>
      </w:r>
      <w:bookmarkEnd w:id="1578"/>
    </w:p>
    <w:p>
      <w:pPr>
        <w:pStyle w:val="Normal"/>
      </w:pPr>
      <w:r>
        <w:t xml:space="preserve">Desagrupar recursivamente y agrupar letras y números en todos.</w:t>
      </w:r>
    </w:p>
    <w:p>
      <w:pPr>
        <w:pStyle w:val="Fuente"/>
      </w:pPr>
      <w:r>
        <w:t xml:space="preserve">Proyección o explicación: Clase 7 · 00:36:01 · captura c7-05.</w:t>
      </w:r>
    </w:p>
    <w:p>
      <w:pPr>
        <w:keepNext/>
        <w:spacing w:after="40" w:before="150"/>
        <w:jc w:val="center"/>
      </w:pPr>
      <w:bookmarkStart w:name="b_figura_original_pagina_C_6_20" w:id="1579"/>
      <w:bookmarkEnd w:id="1579"/>
      <w:r>
        <w:drawing>
          <wp:inline distT="0" distB="0" distL="0" distR="0">
            <wp:extent cx="5381625" cy="4162425"/>
            <wp:effectExtent t="0" r="0" b="0" l="0"/>
            <wp:docPr id="40" name="pagina-C-6-20" descr="Presentación C-6, pág. 20" title="Sistemas (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26" cstate="none"/>
                    <a:srcRect/>
                    <a:stretch>
                      <a:fillRect/>
                    </a:stretch>
                  </pic:blipFill>
                  <pic:spPr bwMode="auto">
                    <a:xfrm>
                      <a:off x="0" y="0"/>
                      <a:ext cx="5381625" cy="4162425"/>
                    </a:xfrm>
                    <a:prstGeom prst="rect">
                      <a:avLst/>
                    </a:prstGeom>
                  </pic:spPr>
                </pic:pic>
              </a:graphicData>
            </a:graphic>
          </wp:inline>
        </w:drawing>
      </w:r>
    </w:p>
    <w:p>
      <w:pPr>
        <w:pStyle w:val="PieFigura"/>
        <w:keepNext/>
      </w:pPr>
      <w:bookmarkStart w:name="b_fig_2_4_1" w:id="1580"/>
      <w:r>
        <w:t xml:space="preserve">Figura 2.4.</w:t>
      </w:r>
      <w:fldSimple w:instr="SEQ Figura \r 1 \* ARABIC">
        <w:r>
          <w:t xml:space="preserve">1</w:t>
        </w:r>
      </w:fldSimple>
      <w:r>
        <w:t xml:space="preserve"> · Sistemas (S)</w:t>
      </w:r>
      <w:bookmarkEnd w:id="1580"/>
    </w:p>
    <w:p>
      <w:pPr>
        <w:pStyle w:val="Fuente"/>
      </w:pPr>
      <w:r>
        <w:t xml:space="preserve">Presentación C-6, pág. 20</w:t>
      </w:r>
    </w:p>
    <w:p>
      <w:bookmarkStart w:name="b_punto_c6_p020_01" w:id="1581"/>
      <w:r>
        <w:t xml:space="preserve">La jerarquía A/B/C admite abrir B en B1/B2 y C en C1/C2.</w:t>
      </w:r>
      <w:bookmarkEnd w:id="1581"/>
    </w:p>
    <w:p>
      <w:pPr>
        <w:pStyle w:val="Fuente"/>
      </w:pPr>
      <w:r>
        <w:t xml:space="preserve">Véase </w:t>
      </w:r>
      <w:hyperlink w:history="1" w:anchor="b_1_6">
        <w:r>
          <w:rPr>
            <w:color w:val="156B70"/>
            <w:u w:val="single"/>
          </w:rPr>
          <w:t xml:space="preserve">capítulo 1.6 · Operaciones DSRP</w:t>
        </w:r>
      </w:hyperlink>
      <w:r>
        <w:t xml:space="preserve">, pág. </w:t>
      </w:r>
      <w:r>
        <w:fldChar w:fldCharType="begin"/>
        <w:instrText xml:space="preserve">PAGEREF b_1_6 \h</w:instrText>
        <w:fldChar w:fldCharType="separate"/>
        <w:t xml:space="preserve">150</w:t>
        <w:fldChar w:fldCharType="end"/>
      </w:r>
      <w:r>
        <w:t xml:space="preserve">.</w:t>
      </w:r>
    </w:p>
    <w:p>
      <w:pPr>
        <w:pStyle w:val="Heading3"/>
      </w:pPr>
      <w:bookmarkStart w:name="b_pagina_2_4_C_6_p31" w:id="1582"/>
      <w:r>
        <w:t xml:space="preserve">C-6 · página 31 · Elementos de un sistema</w:t>
      </w:r>
      <w:bookmarkEnd w:id="1582"/>
    </w:p>
    <w:p>
      <w:pPr>
        <w:pStyle w:val="Normal"/>
      </w:pPr>
      <w:r>
        <w:t xml:space="preserve">Influencia parte–todo, decisión de detalle del analista y elemento entendido como subsistema.</w:t>
      </w:r>
    </w:p>
    <w:p>
      <w:pPr>
        <w:pStyle w:val="Fuente"/>
      </w:pPr>
      <w:r>
        <w:t xml:space="preserve">Proyección o explicación: Clase 7 · 01:31:43 · captura c7-18.</w:t>
      </w:r>
    </w:p>
    <w:p>
      <w:bookmarkStart w:name="b_punto_c6_p031_02" w:id="1583"/>
      <w:r>
        <w:t xml:space="preserve">El analista decide con qué detalle y qué elementos considerar al evaluar el sistema.</w:t>
      </w:r>
      <w:bookmarkEnd w:id="1583"/>
    </w:p>
    <w:p>
      <w:bookmarkStart w:name="b_punto_c6_p031_03" w:id="1584"/>
      <w:r>
        <w:t xml:space="preserve">Un elemento puede considerarse sistema; respecto del sistema contenedor se denomina subsistema.</w:t>
      </w:r>
      <w:bookmarkEnd w:id="1584"/>
    </w:p>
    <w:p>
      <w:pPr>
        <w:pStyle w:val="Fuente"/>
      </w:pPr>
      <w:r>
        <w:t xml:space="preserve">Véase </w:t>
      </w:r>
      <w:hyperlink w:history="1" w:anchor="b_2_3">
        <w:r>
          <w:rPr>
            <w:color w:val="156B70"/>
            <w:u w:val="single"/>
          </w:rPr>
          <w:t xml:space="preserve">capítulo 2.3 · Estructura de los sistemas</w:t>
        </w:r>
      </w:hyperlink>
      <w:r>
        <w:t xml:space="preserve">, pág. </w:t>
      </w:r>
      <w:r>
        <w:fldChar w:fldCharType="begin"/>
        <w:instrText xml:space="preserve">PAGEREF b_2_3 \h</w:instrText>
        <w:fldChar w:fldCharType="separate"/>
        <w:t xml:space="preserve">259</w:t>
        <w:fldChar w:fldCharType="end"/>
      </w:r>
      <w:r>
        <w:t xml:space="preserve">.</w:t>
      </w:r>
    </w:p>
    <w:p>
      <w:pPr>
        <w:pStyle w:val="Heading3"/>
      </w:pPr>
      <w:bookmarkStart w:name="b_pagina_2_4_C_6_p36" w:id="1585"/>
      <w:r>
        <w:t xml:space="preserve">C-6 · página 36 · Modelando sistemas o creando sistemas</w:t>
      </w:r>
      <w:bookmarkEnd w:id="1585"/>
    </w:p>
    <w:p>
      <w:pPr>
        <w:pStyle w:val="Normal"/>
      </w:pPr>
      <w:r>
        <w:t xml:space="preserve">Una red de componentes y subsistemas intercambia información, energía y recursos con su ambiente.</w:t>
      </w:r>
    </w:p>
    <w:p>
      <w:pPr>
        <w:pStyle w:val="Fuente"/>
      </w:pPr>
      <w:r>
        <w:t xml:space="preserve">Proyección o explicación: Clase 7 · 01:36:21 · captura c7-23.</w:t>
      </w:r>
    </w:p>
    <w:p>
      <w:bookmarkStart w:name="b_punto_c6_p036_04" w:id="1586"/>
      <w:r>
        <w:t xml:space="preserve">El ambiente externo puede verse como supersistema del sistema delimitado.</w:t>
      </w:r>
      <w:bookmarkEnd w:id="1586"/>
    </w:p>
    <w:p>
      <w:pPr>
        <w:pStyle w:val="Fuente"/>
      </w:pPr>
      <w:r>
        <w:t xml:space="preserve">Véase </w:t>
      </w:r>
      <w:hyperlink w:history="1" w:anchor="b_2_3">
        <w:r>
          <w:rPr>
            <w:color w:val="156B70"/>
            <w:u w:val="single"/>
          </w:rPr>
          <w:t xml:space="preserve">capítulo 2.3 · Estructura de los sistemas</w:t>
        </w:r>
      </w:hyperlink>
      <w:r>
        <w:t xml:space="preserve">, pág. </w:t>
      </w:r>
      <w:r>
        <w:fldChar w:fldCharType="begin"/>
        <w:instrText xml:space="preserve">PAGEREF b_2_3 \h</w:instrText>
        <w:fldChar w:fldCharType="separate"/>
        <w:t xml:space="preserve">259</w:t>
        <w:fldChar w:fldCharType="end"/>
      </w:r>
      <w:r>
        <w:t xml:space="preserve">.</w:t>
      </w:r>
    </w:p>
    <w:p>
      <w:pPr>
        <w:pStyle w:val="Heading3"/>
      </w:pPr>
      <w:bookmarkStart w:name="b_pagina_2_4_C_6_p39" w:id="1587"/>
      <w:r>
        <w:t xml:space="preserve">C-6 · página 39 · El bosque modelado con DSRP</w:t>
      </w:r>
      <w:bookmarkEnd w:id="1587"/>
    </w:p>
    <w:p>
      <w:pPr>
        <w:pStyle w:val="Normal"/>
      </w:pPr>
      <w:r>
        <w:t xml:space="preserve">El caso delimita el bosque, organiza seres y entorno, describe intercambios y compara cuatro perspectivas.</w:t>
      </w:r>
    </w:p>
    <w:p>
      <w:pPr>
        <w:pStyle w:val="Fuente"/>
      </w:pPr>
      <w:r>
        <w:t xml:space="preserve">Proyección o explicación: Clase 8 · 00:04:46 · captura c8-02.</w:t>
      </w:r>
    </w:p>
    <w:p>
      <w:pPr>
        <w:pStyle w:val="Fuente"/>
      </w:pPr>
      <w:r>
        <w:t xml:space="preserve">Véase </w:t>
      </w:r>
      <w:hyperlink w:history="1" w:anchor="b_figura_original_pagina_C_6_39">
        <w:r>
          <w:rPr>
            <w:color w:val="156B70"/>
            <w:u w:val="single"/>
          </w:rPr>
          <w:t xml:space="preserve">imagen de C-6, página 39</w:t>
        </w:r>
      </w:hyperlink>
      <w:r>
        <w:t xml:space="preserve">, pág. </w:t>
      </w:r>
      <w:r>
        <w:fldChar w:fldCharType="begin"/>
        <w:instrText xml:space="preserve">PAGEREF b_figura_original_pagina_C_6_39 \h</w:instrText>
        <w:fldChar w:fldCharType="separate"/>
        <w:t xml:space="preserve">160</w:t>
        <w:fldChar w:fldCharType="end"/>
      </w:r>
      <w:r>
        <w:t xml:space="preserve">.</w:t>
      </w:r>
    </w:p>
    <w:p>
      <w:bookmarkStart w:name="b_punto_c6_p039_04" w:id="1588"/>
      <w:r>
        <w:t xml:space="preserve">S de pertenencia: bioma, ecosfera terrestre y sistema climático global contienen al bosque.</w:t>
      </w:r>
      <w:bookmarkEnd w:id="1588"/>
    </w:p>
    <w:p>
      <w:pPr>
        <w:pStyle w:val="Fuente"/>
      </w:pPr>
      <w:r>
        <w:t xml:space="preserve">Véase </w:t>
      </w:r>
      <w:hyperlink w:history="1" w:anchor="b_1_6">
        <w:r>
          <w:rPr>
            <w:color w:val="156B70"/>
            <w:u w:val="single"/>
          </w:rPr>
          <w:t xml:space="preserve">capítulo 1.6 · Operaciones DSRP</w:t>
        </w:r>
      </w:hyperlink>
      <w:r>
        <w:t xml:space="preserve">, pág. </w:t>
      </w:r>
      <w:r>
        <w:fldChar w:fldCharType="begin"/>
        <w:instrText xml:space="preserve">PAGEREF b_1_6 \h</w:instrText>
        <w:fldChar w:fldCharType="separate"/>
        <w:t xml:space="preserve">150</w:t>
        <w:fldChar w:fldCharType="end"/>
      </w:r>
      <w:r>
        <w:t xml:space="preserve">.</w:t>
      </w:r>
    </w:p>
    <w:p>
      <w:pPr>
        <w:pStyle w:val="Fuente"/>
      </w:pPr>
      <w:r>
        <w:t xml:space="preserve">Véase </w:t>
      </w:r>
      <w:hyperlink w:history="1" w:anchor="b_2_3">
        <w:r>
          <w:rPr>
            <w:color w:val="156B70"/>
            <w:u w:val="single"/>
          </w:rPr>
          <w:t xml:space="preserve">capítulo 2.3 · Estructura de los sistemas</w:t>
        </w:r>
      </w:hyperlink>
      <w:r>
        <w:t xml:space="preserve">, pág. </w:t>
      </w:r>
      <w:r>
        <w:fldChar w:fldCharType="begin"/>
        <w:instrText xml:space="preserve">PAGEREF b_2_3 \h</w:instrText>
        <w:fldChar w:fldCharType="separate"/>
        <w:t xml:space="preserve">259</w:t>
        <w:fldChar w:fldCharType="end"/>
      </w:r>
      <w:r>
        <w:t xml:space="preserve">.</w:t>
      </w:r>
    </w:p>
    <w:p>
      <w:pPr>
        <w:pStyle w:val="Fuente"/>
      </w:pPr>
      <w:r>
        <w:t xml:space="preserve">Véase </w:t>
      </w:r>
      <w:hyperlink w:history="1" w:anchor="b_1_5">
        <w:r>
          <w:rPr>
            <w:color w:val="156B70"/>
            <w:u w:val="single"/>
          </w:rPr>
          <w:t xml:space="preserve">capítulo 1.5 · Perspectivas</w:t>
        </w:r>
      </w:hyperlink>
      <w:r>
        <w:t xml:space="preserve">, pág. </w:t>
      </w:r>
      <w:r>
        <w:fldChar w:fldCharType="begin"/>
        <w:instrText xml:space="preserve">PAGEREF b_1_5 \h</w:instrText>
        <w:fldChar w:fldCharType="separate"/>
        <w:t xml:space="preserve">125</w:t>
        <w:fldChar w:fldCharType="end"/>
      </w:r>
      <w:r>
        <w:t xml:space="preserve">.</w:t>
      </w:r>
    </w:p>
    <w:p>
      <w:pPr>
        <w:pStyle w:val="Heading3"/>
      </w:pPr>
      <w:bookmarkStart w:name="b_pagina_2_4_C_6_p50" w:id="1589"/>
      <w:r>
        <w:t xml:space="preserve">C-6 · página 50 · Resumen de conceptos iniciales de la teoría de sistemas</w:t>
      </w:r>
      <w:bookmarkEnd w:id="1589"/>
    </w:p>
    <w:p>
      <w:pPr>
        <w:pStyle w:val="Normal"/>
      </w:pPr>
      <w:r>
        <w:t xml:space="preserve">Ocho afirmaciones reúnen totalidad, relaciones, jerarquía, emergencia, análisis, síntesis y DSRP.</w:t>
      </w:r>
    </w:p>
    <w:p>
      <w:pPr>
        <w:pStyle w:val="Fuente"/>
      </w:pPr>
      <w:r>
        <w:t xml:space="preserve">Proyección o explicación: Clase 8 · 00:50:47 · captura c8-16.</w:t>
      </w:r>
    </w:p>
    <w:p>
      <w:bookmarkStart w:name="b_punto_c6_p050_03" w:id="1590"/>
      <w:r>
        <w:t xml:space="preserve">Los sistemas pertenecen a sistemas mayores y se componen de subsistemas.</w:t>
      </w:r>
      <w:bookmarkEnd w:id="1590"/>
    </w:p>
    <w:p>
      <w:pPr>
        <w:pStyle w:val="Fuente"/>
      </w:pPr>
      <w:r>
        <w:t xml:space="preserve">Véase </w:t>
      </w:r>
      <w:hyperlink w:history="1" w:anchor="b_2_2">
        <w:r>
          <w:rPr>
            <w:color w:val="156B70"/>
            <w:u w:val="single"/>
          </w:rPr>
          <w:t xml:space="preserve">capítulo 2.2 · Conceptos de un sistema</w:t>
        </w:r>
      </w:hyperlink>
      <w:r>
        <w:t xml:space="preserve">, pág. </w:t>
      </w:r>
      <w:r>
        <w:fldChar w:fldCharType="begin"/>
        <w:instrText xml:space="preserve">PAGEREF b_2_2 \h</w:instrText>
        <w:fldChar w:fldCharType="separate"/>
        <w:t xml:space="preserve">242</w:t>
        <w:fldChar w:fldCharType="end"/>
      </w:r>
      <w:r>
        <w:t xml:space="preserve">.</w:t>
      </w:r>
    </w:p>
    <w:p>
      <w:pPr>
        <w:pStyle w:val="Fuente"/>
      </w:pPr>
      <w:r>
        <w:t xml:space="preserve">Véase </w:t>
      </w:r>
      <w:hyperlink w:history="1" w:anchor="b_1_5">
        <w:r>
          <w:rPr>
            <w:color w:val="156B70"/>
            <w:u w:val="single"/>
          </w:rPr>
          <w:t xml:space="preserve">capítulo 1.5 · Perspectivas</w:t>
        </w:r>
      </w:hyperlink>
      <w:r>
        <w:t xml:space="preserve">, pág. </w:t>
      </w:r>
      <w:r>
        <w:fldChar w:fldCharType="begin"/>
        <w:instrText xml:space="preserve">PAGEREF b_1_5 \h</w:instrText>
        <w:fldChar w:fldCharType="separate"/>
        <w:t xml:space="preserve">125</w:t>
        <w:fldChar w:fldCharType="end"/>
      </w:r>
      <w:r>
        <w:t xml:space="preserve">.</w:t>
      </w:r>
    </w:p>
    <w:p>
      <w:pPr>
        <w:pStyle w:val="Fuente"/>
      </w:pPr>
      <w:r>
        <w:t xml:space="preserve">Véase </w:t>
      </w:r>
      <w:hyperlink w:history="1" w:anchor="b_2_6">
        <w:r>
          <w:rPr>
            <w:color w:val="156B70"/>
            <w:u w:val="single"/>
          </w:rPr>
          <w:t xml:space="preserve">capítulo 2.6 · Complejidad sistémica</w:t>
        </w:r>
      </w:hyperlink>
      <w:r>
        <w:t xml:space="preserve">, pág. </w:t>
      </w:r>
      <w:r>
        <w:fldChar w:fldCharType="begin"/>
        <w:instrText xml:space="preserve">PAGEREF b_2_6 \h</w:instrText>
        <w:fldChar w:fldCharType="separate"/>
        <w:t xml:space="preserve">308</w:t>
        <w:fldChar w:fldCharType="end"/>
      </w:r>
      <w:r>
        <w:t xml:space="preserve">.</w:t>
      </w:r>
    </w:p>
    <w:p>
      <w:pPr>
        <w:pStyle w:val="Fuente"/>
      </w:pPr>
      <w:r>
        <w:t xml:space="preserve">Véase </w:t>
      </w:r>
      <w:hyperlink w:history="1" w:anchor="b_2_5">
        <w:r>
          <w:rPr>
            <w:color w:val="156B70"/>
            <w:u w:val="single"/>
          </w:rPr>
          <w:t xml:space="preserve">capítulo 2.5 · Sinergia y emergencia</w:t>
        </w:r>
      </w:hyperlink>
      <w:r>
        <w:t xml:space="preserve">, pág. </w:t>
      </w:r>
      <w:r>
        <w:fldChar w:fldCharType="begin"/>
        <w:instrText xml:space="preserve">PAGEREF b_2_5 \h</w:instrText>
        <w:fldChar w:fldCharType="separate"/>
        <w:t xml:space="preserve">292</w:t>
        <w:fldChar w:fldCharType="end"/>
      </w:r>
      <w:r>
        <w:t xml:space="preserve">.</w:t>
      </w:r>
    </w:p>
    <w:p>
      <w:pPr>
        <w:pStyle w:val="Fuente"/>
      </w:pPr>
      <w:r>
        <w:t xml:space="preserve">Véase </w:t>
      </w:r>
      <w:hyperlink w:history="1" w:anchor="b_1_6">
        <w:r>
          <w:rPr>
            <w:color w:val="156B70"/>
            <w:u w:val="single"/>
          </w:rPr>
          <w:t xml:space="preserve">capítulo 1.6 · Operaciones DSRP</w:t>
        </w:r>
      </w:hyperlink>
      <w:r>
        <w:t xml:space="preserve">, pág. </w:t>
      </w:r>
      <w:r>
        <w:fldChar w:fldCharType="begin"/>
        <w:instrText xml:space="preserve">PAGEREF b_1_6 \h</w:instrText>
        <w:fldChar w:fldCharType="separate"/>
        <w:t xml:space="preserve">150</w:t>
        <w:fldChar w:fldCharType="end"/>
      </w:r>
      <w:r>
        <w:t xml:space="preserve">.</w:t>
      </w:r>
    </w:p>
    <w:p>
      <w:pPr>
        <w:pStyle w:val="Heading3"/>
      </w:pPr>
      <w:bookmarkStart w:name="b_pagina_2_4_C_6_p54" w:id="1591"/>
      <w:r>
        <w:t xml:space="preserve">C-6 · página 54 · Estudio de sistemas complejos: escala, tiempo y conceptos</w:t>
      </w:r>
      <w:bookmarkEnd w:id="1591"/>
    </w:p>
    <w:p>
      <w:pPr>
        <w:pStyle w:val="Normal"/>
      </w:pPr>
      <w:r>
        <w:t xml:space="preserve">El diagrama integra componentes, escalas, emergencia, jerarquía, autoorganización, control, composición, caos y evolución.</w:t>
      </w:r>
    </w:p>
    <w:p>
      <w:pPr>
        <w:pStyle w:val="Fuente"/>
      </w:pPr>
      <w:r>
        <w:t xml:space="preserve">Proyección o explicación: Clase 8 · 01:09:11 · captura c8-20.</w:t>
      </w:r>
    </w:p>
    <w:p>
      <w:pPr>
        <w:pStyle w:val="Fuente"/>
      </w:pPr>
      <w:r>
        <w:t xml:space="preserve">Véase </w:t>
      </w:r>
      <w:hyperlink w:history="1" w:anchor="b_figura_original_pagina_C_6_54">
        <w:r>
          <w:rPr>
            <w:color w:val="156B70"/>
            <w:u w:val="single"/>
          </w:rPr>
          <w:t xml:space="preserve">imagen de C-6, página 54</w:t>
        </w:r>
      </w:hyperlink>
      <w:r>
        <w:t xml:space="preserve">, pág. </w:t>
      </w:r>
      <w:r>
        <w:fldChar w:fldCharType="begin"/>
        <w:instrText xml:space="preserve">PAGEREF b_figura_original_pagina_C_6_54 \h</w:instrText>
        <w:fldChar w:fldCharType="separate"/>
        <w:t xml:space="preserve">316</w:t>
        <w:fldChar w:fldCharType="end"/>
      </w:r>
      <w:r>
        <w:t xml:space="preserve">.</w:t>
      </w:r>
    </w:p>
    <w:p>
      <w:bookmarkStart w:name="b_punto_c6_p054_02" w:id="1592"/>
      <w:r>
        <w:t xml:space="preserve">Las interacciones producen niveles o escalas con comportamientos comunes.</w:t>
      </w:r>
      <w:bookmarkEnd w:id="1592"/>
    </w:p>
    <w:p>
      <w:bookmarkStart w:name="b_punto_c6_p054_03" w:id="1593"/>
      <w:r>
        <w:t xml:space="preserve">En el eje de escala se sitúan composición, estructuras de control, autoorganización, jerarquías y emergencia.</w:t>
      </w:r>
      <w:bookmarkEnd w:id="1593"/>
    </w:p>
    <w:p>
      <w:bookmarkStart w:name="b_punto_c6_p054_04" w:id="1594"/>
      <w:r>
        <w:t xml:space="preserve">Composición y descomponibilidad refieren agrupación de partes y organización como unidades de niveles superiores.</w:t>
      </w:r>
      <w:bookmarkEnd w:id="1594"/>
    </w:p>
    <w:p>
      <w:bookmarkStart w:name="b_punto_c6_p054_07" w:id="1595"/>
      <w:r>
        <w:t xml:space="preserve">Los conceptos atraviesan tipos de sistemas, escalas y disciplinas.</w:t>
      </w:r>
      <w:bookmarkEnd w:id="1595"/>
    </w:p>
    <w:p>
      <w:pPr>
        <w:pStyle w:val="Fuente"/>
      </w:pPr>
      <w:r>
        <w:t xml:space="preserve">Véase </w:t>
      </w:r>
      <w:hyperlink w:history="1" w:anchor="b_2_6">
        <w:r>
          <w:rPr>
            <w:color w:val="156B70"/>
            <w:u w:val="single"/>
          </w:rPr>
          <w:t xml:space="preserve">capítulo 2.6 · Complejidad sistémica</w:t>
        </w:r>
      </w:hyperlink>
      <w:r>
        <w:t xml:space="preserve">, pág. </w:t>
      </w:r>
      <w:r>
        <w:fldChar w:fldCharType="begin"/>
        <w:instrText xml:space="preserve">PAGEREF b_2_6 \h</w:instrText>
        <w:fldChar w:fldCharType="separate"/>
        <w:t xml:space="preserve">308</w:t>
        <w:fldChar w:fldCharType="end"/>
      </w:r>
      <w:r>
        <w:t xml:space="preserve">.</w:t>
      </w:r>
    </w:p>
    <w:p>
      <w:pPr>
        <w:pStyle w:val="Heading3"/>
      </w:pPr>
      <w:bookmarkStart w:name="b_pagina_2_4_C_6_p58" w:id="1596"/>
      <w:r>
        <w:t xml:space="preserve">C-6 · página 58 · Estudio de sistemas complejos (repetición)</w:t>
      </w:r>
      <w:bookmarkEnd w:id="1596"/>
    </w:p>
    <w:p>
      <w:pPr>
        <w:pStyle w:val="Normal"/>
      </w:pPr>
      <w:r>
        <w:t xml:space="preserve">Repite el gráfico de la p54, trabajado después en clase9 desde emergencia, jerarquía y transdisciplinariedad.</w:t>
      </w:r>
    </w:p>
    <w:p>
      <w:pPr>
        <w:pStyle w:val="Fuente"/>
      </w:pPr>
      <w:r>
        <w:t xml:space="preserve">Proyección o explicación: Clase 9 · 00:32:04 · captura c9-03.</w:t>
      </w:r>
    </w:p>
    <w:p>
      <w:pPr>
        <w:pStyle w:val="Fuente"/>
      </w:pPr>
      <w:r>
        <w:t xml:space="preserve">Véase </w:t>
      </w:r>
      <w:hyperlink w:history="1" w:anchor="b_figura_original_pagina_C_6_58">
        <w:r>
          <w:rPr>
            <w:color w:val="156B70"/>
            <w:u w:val="single"/>
          </w:rPr>
          <w:t xml:space="preserve">imagen de C-6, página 58</w:t>
        </w:r>
      </w:hyperlink>
      <w:r>
        <w:t xml:space="preserve">, pág. </w:t>
      </w:r>
      <w:r>
        <w:fldChar w:fldCharType="begin"/>
        <w:instrText xml:space="preserve">PAGEREF b_figura_original_pagina_C_6_58 \h</w:instrText>
        <w:fldChar w:fldCharType="separate"/>
        <w:t xml:space="preserve">317</w:t>
        <w:fldChar w:fldCharType="end"/>
      </w:r>
      <w:r>
        <w:t xml:space="preserve">.</w:t>
      </w:r>
    </w:p>
    <w:p>
      <w:bookmarkStart w:name="b_punto_c6_p058_02" w:id="1597"/>
      <w:r>
        <w:t xml:space="preserve">Las interacciones producen niveles o escalas con comportamientos comunes.</w:t>
      </w:r>
      <w:bookmarkEnd w:id="1597"/>
    </w:p>
    <w:p>
      <w:bookmarkStart w:name="b_punto_c6_p058_03" w:id="1598"/>
      <w:r>
        <w:t xml:space="preserve">En el eje de escala se sitúan composición, estructuras de control, autoorganización, jerarquías y emergencia.</w:t>
      </w:r>
      <w:bookmarkEnd w:id="1598"/>
    </w:p>
    <w:p>
      <w:bookmarkStart w:name="b_punto_c6_p058_04" w:id="1599"/>
      <w:r>
        <w:t xml:space="preserve">Composición y descomponibilidad refieren agrupación de partes y organización como unidades de niveles superiores.</w:t>
      </w:r>
      <w:bookmarkEnd w:id="1599"/>
    </w:p>
    <w:p>
      <w:bookmarkStart w:name="b_punto_c6_p058_07" w:id="1600"/>
      <w:r>
        <w:t xml:space="preserve">Los conceptos atraviesan tipos de sistemas, escalas y disciplinas.</w:t>
      </w:r>
      <w:bookmarkEnd w:id="1600"/>
    </w:p>
    <w:p>
      <w:pPr>
        <w:pStyle w:val="Fuente"/>
      </w:pPr>
      <w:r>
        <w:t xml:space="preserve">Véase </w:t>
      </w:r>
      <w:hyperlink w:history="1" w:anchor="b_2_6">
        <w:r>
          <w:rPr>
            <w:color w:val="156B70"/>
            <w:u w:val="single"/>
          </w:rPr>
          <w:t xml:space="preserve">capítulo 2.6 · Complejidad sistémica</w:t>
        </w:r>
      </w:hyperlink>
      <w:r>
        <w:t xml:space="preserve">, pág. </w:t>
      </w:r>
      <w:r>
        <w:fldChar w:fldCharType="begin"/>
        <w:instrText xml:space="preserve">PAGEREF b_2_6 \h</w:instrText>
        <w:fldChar w:fldCharType="separate"/>
        <w:t xml:space="preserve">308</w:t>
        <w:fldChar w:fldCharType="end"/>
      </w:r>
      <w:r>
        <w:t xml:space="preserve">.</w:t>
      </w:r>
    </w:p>
    <w:p>
      <w:pPr>
        <w:pStyle w:val="Heading3"/>
      </w:pPr>
      <w:r>
        <w:t xml:space="preserve">Lo que explicó el profesor en clase</w:t>
      </w:r>
    </w:p>
    <w:p>
      <w:pPr>
        <w:pStyle w:val="Heading3"/>
      </w:pPr>
      <w:bookmarkStart w:name="b_clase_2_4_c6_cap_09" w:id="1601"/>
      <w:r>
        <w:t xml:space="preserve">Clase 6 · 00:51:02–01:00:46 · Los nueve conceptos asociados al concepto de sistema</w:t>
      </w:r>
      <w:bookmarkEnd w:id="1601"/>
    </w:p>
    <w:p>
      <w:bookmarkStart w:name="b_punto_c6_cap_09_p02" w:id="1602"/>
      <w:r>
        <w:t xml:space="preserve">Una parte de un sistema complejo puede ser un sistema menor con un rol en el sistema global: un subsistema.</w:t>
      </w:r>
      <w:bookmarkEnd w:id="1602"/>
    </w:p>
    <w:p>
      <w:bookmarkStart w:name="b_punto_c6_cap_09_p03" w:id="1603"/>
      <w:r>
        <w:t xml:space="preserve">En una ciudad, empresas del sistema económico interactúan, por ejemplo, como proveedoras de materia prima de otras empresas.</w:t>
      </w:r>
      <w:bookmarkEnd w:id="1603"/>
    </w:p>
    <w:p>
      <w:bookmarkStart w:name="b_punto_c6_cap_09_p04" w:id="1604"/>
      <w:r>
        <w:t xml:space="preserve">Las empresas contienen sistemas automatizados y procesos de trabajo que convierten entradas en salidas; sus interacciones dan vida al sistema.</w:t>
      </w:r>
      <w:bookmarkEnd w:id="1604"/>
    </w:p>
    <w:p>
      <w:bookmarkStart w:name="b_punto_c6_cap_09_p08" w:id="1605"/>
      <w:r>
        <w:t xml:space="preserve">Contexto, ambiente y medio nombran el exterior; identificar un sistema implica delimitar frontera entre lo interno y lo externo que interactúa con él.</w:t>
      </w:r>
      <w:bookmarkEnd w:id="1605"/>
    </w:p>
    <w:p>
      <w:bookmarkStart w:name="b_punto_c6_cap_09_p10" w:id="1606"/>
      <w:r>
        <w:t xml:space="preserve">Los sistemas externos pueden ser de diverso tipo, tamaño o nivel; la salida de uno puede constituir la entrada de otro. Los subsistemas también intercambian entradas y salidas.</w:t>
      </w:r>
      <w:bookmarkEnd w:id="1606"/>
    </w:p>
    <w:p>
      <w:pPr>
        <w:pStyle w:val="Fuente"/>
      </w:pPr>
      <w:r>
        <w:t xml:space="preserve">Véase </w:t>
      </w:r>
      <w:hyperlink w:history="1" w:anchor="b_senales_examen">
        <w:r>
          <w:rPr>
            <w:color w:val="156B70"/>
            <w:u w:val="single"/>
          </w:rPr>
          <w:t xml:space="preserve">1 indicación(es) de examen de este tramo, en el apéndice cronológico</w:t>
        </w:r>
      </w:hyperlink>
      <w:r>
        <w:t xml:space="preserve">, pág. </w:t>
      </w:r>
      <w:r>
        <w:fldChar w:fldCharType="begin"/>
        <w:instrText xml:space="preserve">PAGEREF b_senales_examen \h</w:instrText>
        <w:fldChar w:fldCharType="separate"/>
        <w:t xml:space="preserve">1663</w:t>
        <w:fldChar w:fldCharType="end"/>
      </w:r>
      <w:r>
        <w:t xml:space="preserve">.</w:t>
      </w:r>
    </w:p>
    <w:p>
      <w:pPr>
        <w:pStyle w:val="Fuente"/>
      </w:pPr>
      <w:r>
        <w:t xml:space="preserve">Véase </w:t>
      </w:r>
      <w:hyperlink w:history="1" w:anchor="b_2_2">
        <w:r>
          <w:rPr>
            <w:color w:val="156B70"/>
            <w:u w:val="single"/>
          </w:rPr>
          <w:t xml:space="preserve">capítulo 2.2 · Conceptos de un sistema</w:t>
        </w:r>
      </w:hyperlink>
      <w:r>
        <w:t xml:space="preserve">, pág. </w:t>
      </w:r>
      <w:r>
        <w:fldChar w:fldCharType="begin"/>
        <w:instrText xml:space="preserve">PAGEREF b_2_2 \h</w:instrText>
        <w:fldChar w:fldCharType="separate"/>
        <w:t xml:space="preserve">242</w:t>
        <w:fldChar w:fldCharType="end"/>
      </w:r>
      <w:r>
        <w:t xml:space="preserve">.</w:t>
      </w:r>
    </w:p>
    <w:p>
      <w:pPr>
        <w:pStyle w:val="Fuente"/>
      </w:pPr>
      <w:r>
        <w:t xml:space="preserve">Véase </w:t>
      </w:r>
      <w:hyperlink w:history="1" w:anchor="b_2_3">
        <w:r>
          <w:rPr>
            <w:color w:val="156B70"/>
            <w:u w:val="single"/>
          </w:rPr>
          <w:t xml:space="preserve">capítulo 2.3 · Estructura de los sistemas</w:t>
        </w:r>
      </w:hyperlink>
      <w:r>
        <w:t xml:space="preserve">, pág. </w:t>
      </w:r>
      <w:r>
        <w:fldChar w:fldCharType="begin"/>
        <w:instrText xml:space="preserve">PAGEREF b_2_3 \h</w:instrText>
        <w:fldChar w:fldCharType="separate"/>
        <w:t xml:space="preserve">259</w:t>
        <w:fldChar w:fldCharType="end"/>
      </w:r>
      <w:r>
        <w:t xml:space="preserve">.</w:t>
      </w:r>
    </w:p>
    <w:p>
      <w:pPr>
        <w:pStyle w:val="Fuente"/>
      </w:pPr>
      <w:r>
        <w:t xml:space="preserve">Véase </w:t>
      </w:r>
      <w:hyperlink w:history="1" w:anchor="b_1_3">
        <w:r>
          <w:rPr>
            <w:color w:val="156B70"/>
            <w:u w:val="single"/>
          </w:rPr>
          <w:t xml:space="preserve">capítulo 1.3 · El paradigma de sistemas</w:t>
        </w:r>
      </w:hyperlink>
      <w:r>
        <w:t xml:space="preserve">, pág. </w:t>
      </w:r>
      <w:r>
        <w:fldChar w:fldCharType="begin"/>
        <w:instrText xml:space="preserve">PAGEREF b_1_3 \h</w:instrText>
        <w:fldChar w:fldCharType="separate"/>
        <w:t xml:space="preserve">83</w:t>
        <w:fldChar w:fldCharType="end"/>
      </w:r>
      <w:r>
        <w:t xml:space="preserve">.</w:t>
      </w:r>
    </w:p>
    <w:p>
      <w:pPr>
        <w:pStyle w:val="Heading3"/>
      </w:pPr>
      <w:bookmarkStart w:name="b_clase_2_4_c6_cap_10" w:id="1607"/>
      <w:r>
        <w:t xml:space="preserve">Clase 6 · 01:00:46–01:14:25 · El concepto como filtro: isomorfismo, homomorfismo y la maqueta</w:t>
      </w:r>
      <w:bookmarkEnd w:id="1607"/>
    </w:p>
    <w:p>
      <w:bookmarkStart w:name="b_punto_c6_cap_10_p03" w:id="1608"/>
      <w:r>
        <w:t xml:space="preserve">La combinación de sistemas dentro de sistemas permite reconocer niveles y estructuras recursivas crecientes en extensión y complejidad.</w:t>
      </w:r>
      <w:bookmarkEnd w:id="1608"/>
    </w:p>
    <w:p>
      <w:pPr>
        <w:pStyle w:val="Fuente"/>
      </w:pPr>
      <w:r>
        <w:t xml:space="preserve">Véase </w:t>
      </w:r>
      <w:hyperlink w:history="1" w:anchor="b_1_3">
        <w:r>
          <w:rPr>
            <w:color w:val="156B70"/>
            <w:u w:val="single"/>
          </w:rPr>
          <w:t xml:space="preserve">capítulo 1.3 · El paradigma de sistemas</w:t>
        </w:r>
      </w:hyperlink>
      <w:r>
        <w:t xml:space="preserve">, pág. </w:t>
      </w:r>
      <w:r>
        <w:fldChar w:fldCharType="begin"/>
        <w:instrText xml:space="preserve">PAGEREF b_1_3 \h</w:instrText>
        <w:fldChar w:fldCharType="separate"/>
        <w:t xml:space="preserve">83</w:t>
        <w:fldChar w:fldCharType="end"/>
      </w:r>
      <w:r>
        <w:t xml:space="preserve">.</w:t>
      </w:r>
    </w:p>
    <w:p>
      <w:pPr>
        <w:pStyle w:val="Fuente"/>
      </w:pPr>
      <w:r>
        <w:t xml:space="preserve">Véase </w:t>
      </w:r>
      <w:hyperlink w:history="1" w:anchor="b_1_7">
        <w:r>
          <w:rPr>
            <w:color w:val="156B70"/>
            <w:u w:val="single"/>
          </w:rPr>
          <w:t xml:space="preserve">capítulo 1.7 · Niveles — modelo del iceberg</w:t>
        </w:r>
      </w:hyperlink>
      <w:r>
        <w:t xml:space="preserve">, pág. </w:t>
      </w:r>
      <w:r>
        <w:fldChar w:fldCharType="begin"/>
        <w:instrText xml:space="preserve">PAGEREF b_1_7 \h</w:instrText>
        <w:fldChar w:fldCharType="separate"/>
        <w:t xml:space="preserve">175</w:t>
        <w:fldChar w:fldCharType="end"/>
      </w:r>
      <w:r>
        <w:t xml:space="preserve">.</w:t>
      </w:r>
    </w:p>
    <w:p>
      <w:pPr>
        <w:pStyle w:val="Fuente"/>
      </w:pPr>
      <w:r>
        <w:t xml:space="preserve">Véase </w:t>
      </w:r>
      <w:hyperlink w:history="1" w:anchor="b_1_4">
        <w:r>
          <w:rPr>
            <w:color w:val="156B70"/>
            <w:u w:val="single"/>
          </w:rPr>
          <w:t xml:space="preserve">capítulo 1.4 · Sistémico vs no sistémico</w:t>
        </w:r>
      </w:hyperlink>
      <w:r>
        <w:t xml:space="preserve">, pág. </w:t>
      </w:r>
      <w:r>
        <w:fldChar w:fldCharType="begin"/>
        <w:instrText xml:space="preserve">PAGEREF b_1_4 \h</w:instrText>
        <w:fldChar w:fldCharType="separate"/>
        <w:t xml:space="preserve">104</w:t>
        <w:fldChar w:fldCharType="end"/>
      </w:r>
      <w:r>
        <w:t xml:space="preserve">.</w:t>
      </w:r>
    </w:p>
    <w:p>
      <w:pPr>
        <w:pStyle w:val="Fuente"/>
      </w:pPr>
      <w:r>
        <w:t xml:space="preserve">Véase </w:t>
      </w:r>
      <w:hyperlink w:history="1" w:anchor="b_2_2">
        <w:r>
          <w:rPr>
            <w:color w:val="156B70"/>
            <w:u w:val="single"/>
          </w:rPr>
          <w:t xml:space="preserve">capítulo 2.2 · Conceptos de un sistema</w:t>
        </w:r>
      </w:hyperlink>
      <w:r>
        <w:t xml:space="preserve">, pág. </w:t>
      </w:r>
      <w:r>
        <w:fldChar w:fldCharType="begin"/>
        <w:instrText xml:space="preserve">PAGEREF b_2_2 \h</w:instrText>
        <w:fldChar w:fldCharType="separate"/>
        <w:t xml:space="preserve">242</w:t>
        <w:fldChar w:fldCharType="end"/>
      </w:r>
      <w:r>
        <w:t xml:space="preserve">.</w:t>
      </w:r>
    </w:p>
    <w:p>
      <w:pPr>
        <w:pStyle w:val="Heading3"/>
      </w:pPr>
      <w:bookmarkStart w:name="b_clase_2_4_c7_cap_01" w:id="1609"/>
      <w:r>
        <w:t xml:space="preserve">Clase 7 · 00:03:20–00:15:02 · Del sistema como totalidad al análisis y la síntesis</w:t>
      </w:r>
      <w:bookmarkEnd w:id="1609"/>
    </w:p>
    <w:p>
      <w:bookmarkStart w:name="b_punto_c7_cap_01_p03" w:id="1610"/>
      <w:r>
        <w:t xml:space="preserve">Una situación no se comprende aislada del resto: la realidad focal es subsistema de una totalidad mayor e interactúa con sistemas del medio.</w:t>
      </w:r>
      <w:bookmarkEnd w:id="1610"/>
    </w:p>
    <w:p>
      <w:pPr>
        <w:pStyle w:val="Fuente"/>
      </w:pPr>
      <w:r>
        <w:t xml:space="preserve">Véase </w:t>
      </w:r>
      <w:hyperlink w:history="1" w:anchor="b_1_3">
        <w:r>
          <w:rPr>
            <w:color w:val="156B70"/>
            <w:u w:val="single"/>
          </w:rPr>
          <w:t xml:space="preserve">capítulo 1.3 · El paradigma de sistemas</w:t>
        </w:r>
      </w:hyperlink>
      <w:r>
        <w:t xml:space="preserve">, pág. </w:t>
      </w:r>
      <w:r>
        <w:fldChar w:fldCharType="begin"/>
        <w:instrText xml:space="preserve">PAGEREF b_1_3 \h</w:instrText>
        <w:fldChar w:fldCharType="separate"/>
        <w:t xml:space="preserve">83</w:t>
        <w:fldChar w:fldCharType="end"/>
      </w:r>
      <w:r>
        <w:t xml:space="preserve">.</w:t>
      </w:r>
    </w:p>
    <w:p>
      <w:pPr>
        <w:pStyle w:val="Fuente"/>
      </w:pPr>
      <w:r>
        <w:t xml:space="preserve">Véase </w:t>
      </w:r>
      <w:hyperlink w:history="1" w:anchor="b_2_2">
        <w:r>
          <w:rPr>
            <w:color w:val="156B70"/>
            <w:u w:val="single"/>
          </w:rPr>
          <w:t xml:space="preserve">capítulo 2.2 · Conceptos de un sistema</w:t>
        </w:r>
      </w:hyperlink>
      <w:r>
        <w:t xml:space="preserve">, pág. </w:t>
      </w:r>
      <w:r>
        <w:fldChar w:fldCharType="begin"/>
        <w:instrText xml:space="preserve">PAGEREF b_2_2 \h</w:instrText>
        <w:fldChar w:fldCharType="separate"/>
        <w:t xml:space="preserve">242</w:t>
        <w:fldChar w:fldCharType="end"/>
      </w:r>
      <w:r>
        <w:t xml:space="preserve">.</w:t>
      </w:r>
    </w:p>
    <w:p>
      <w:pPr>
        <w:pStyle w:val="Heading3"/>
      </w:pPr>
      <w:bookmarkStart w:name="b_clase_2_4_c7_cap_02" w:id="1611"/>
      <w:r>
        <w:t xml:space="preserve">Clase 7 · 00:15:02–00:27:58 · Video proyectado: reduccionismo, síntesis y holismo</w:t>
      </w:r>
      <w:bookmarkEnd w:id="1611"/>
    </w:p>
    <w:p>
      <w:bookmarkStart w:name="b_punto_c7_cap_02_p09" w:id="1612"/>
      <w:r>
        <w:t xml:space="preserve">Ave/ecosistema, persona/cultura y disco duro/computadora ejemplifican estudiar la parte en el contexto de una totalidad.</w:t>
      </w:r>
      <w:bookmarkEnd w:id="1612"/>
    </w:p>
    <w:p>
      <w:pPr>
        <w:pStyle w:val="Fuente"/>
      </w:pPr>
      <w:r>
        <w:t xml:space="preserve">Véase </w:t>
      </w:r>
      <w:hyperlink w:history="1" w:anchor="b_2_1">
        <w:r>
          <w:rPr>
            <w:color w:val="156B70"/>
            <w:u w:val="single"/>
          </w:rPr>
          <w:t xml:space="preserve">capítulo 2.1 · Visión general</w:t>
        </w:r>
      </w:hyperlink>
      <w:r>
        <w:t xml:space="preserve">, pág. </w:t>
      </w:r>
      <w:r>
        <w:fldChar w:fldCharType="begin"/>
        <w:instrText xml:space="preserve">PAGEREF b_2_1 \h</w:instrText>
        <w:fldChar w:fldCharType="separate"/>
        <w:t xml:space="preserve">222</w:t>
        <w:fldChar w:fldCharType="end"/>
      </w:r>
      <w:r>
        <w:t xml:space="preserve">.</w:t>
      </w:r>
    </w:p>
    <w:p>
      <w:pPr>
        <w:pStyle w:val="Heading3"/>
      </w:pPr>
      <w:bookmarkStart w:name="b_clase_2_4_c7_cap_04" w:id="1613"/>
      <w:r>
        <w:t xml:space="preserve">Clase 7 · 00:29:35–00:50:54 · Distinciones, Sistemas y el viaje entre escalas</w:t>
      </w:r>
      <w:bookmarkEnd w:id="1613"/>
    </w:p>
    <w:p>
      <w:bookmarkStart w:name="b_punto_c7_cap_04_p06" w:id="1614"/>
      <w:r>
        <w:t xml:space="preserve">Se puede partir de la lista de alumnos para distinguir estudiantes o reconocer estudiantes y agruparlos en la lista de un curso.</w:t>
      </w:r>
      <w:bookmarkEnd w:id="1614"/>
    </w:p>
    <w:p>
      <w:bookmarkStart w:name="b_punto_c7_cap_04_p07" w:id="1615"/>
      <w:r>
        <w:t xml:space="preserve">Curso TS1, otros cursos, carrera de Sistemas y Facultad de Ingeniería ejemplifican subir de nivel y ampliar el todo contenedor.</w:t>
      </w:r>
      <w:bookmarkEnd w:id="1615"/>
    </w:p>
    <w:p>
      <w:bookmarkStart w:name="b_punto_c7_cap_04_p08" w:id="1616"/>
      <w:r>
        <w:t xml:space="preserve">Sistema y subsistema son relativos al nivel de referencia: lo que era totalidad puede ser parte de otra totalidad; la estructura es anidada y recursiva.</w:t>
      </w:r>
      <w:bookmarkEnd w:id="1616"/>
    </w:p>
    <w:p>
      <w:bookmarkStart w:name="b_punto_c7_cap_04_p09" w:id="1617"/>
      <w:r>
        <w:t xml:space="preserve">El video visual de escalas pasa por colonia, ciudad, país, continente, planeta y galaxias y regresa a subsistemas microscópicos para ilustrar contención.</w:t>
      </w:r>
      <w:bookmarkEnd w:id="1617"/>
    </w:p>
    <w:p>
      <w:pPr>
        <w:pStyle w:val="Fuente"/>
      </w:pPr>
      <w:r>
        <w:t xml:space="preserve">Véase </w:t>
      </w:r>
      <w:hyperlink w:history="1" w:anchor="b_senales_examen">
        <w:r>
          <w:rPr>
            <w:color w:val="156B70"/>
            <w:u w:val="single"/>
          </w:rPr>
          <w:t xml:space="preserve">1 indicación(es) de examen de este tramo, en el apéndice cronológico</w:t>
        </w:r>
      </w:hyperlink>
      <w:r>
        <w:t xml:space="preserve">, pág. </w:t>
      </w:r>
      <w:r>
        <w:fldChar w:fldCharType="begin"/>
        <w:instrText xml:space="preserve">PAGEREF b_senales_examen \h</w:instrText>
        <w:fldChar w:fldCharType="separate"/>
        <w:t xml:space="preserve">1663</w:t>
        <w:fldChar w:fldCharType="end"/>
      </w:r>
      <w:r>
        <w:t xml:space="preserve">.</w:t>
      </w:r>
    </w:p>
    <w:p>
      <w:pPr>
        <w:pStyle w:val="Fuente"/>
      </w:pPr>
      <w:r>
        <w:t xml:space="preserve">Véase </w:t>
      </w:r>
      <w:hyperlink w:history="1" w:anchor="b_1_6">
        <w:r>
          <w:rPr>
            <w:color w:val="156B70"/>
            <w:u w:val="single"/>
          </w:rPr>
          <w:t xml:space="preserve">capítulo 1.6 · Operaciones DSRP</w:t>
        </w:r>
      </w:hyperlink>
      <w:r>
        <w:t xml:space="preserve">, pág. </w:t>
      </w:r>
      <w:r>
        <w:fldChar w:fldCharType="begin"/>
        <w:instrText xml:space="preserve">PAGEREF b_1_6 \h</w:instrText>
        <w:fldChar w:fldCharType="separate"/>
        <w:t xml:space="preserve">150</w:t>
        <w:fldChar w:fldCharType="end"/>
      </w:r>
      <w:r>
        <w:t xml:space="preserve">.</w:t>
      </w:r>
    </w:p>
    <w:p>
      <w:pPr>
        <w:pStyle w:val="Heading3"/>
      </w:pPr>
      <w:bookmarkStart w:name="b_clase_2_4_c7_cap_05" w:id="1618"/>
      <w:r>
        <w:t xml:space="preserve">Clase 7 · 00:50:54–01:01:05 · Relaciones y Perspectivas enriquecen el modelo</w:t>
      </w:r>
      <w:bookmarkEnd w:id="1618"/>
    </w:p>
    <w:p>
      <w:bookmarkStart w:name="b_punto_c7_cap_05_p03" w:id="1619"/>
      <w:r>
        <w:t xml:space="preserve">En una relación causal, la salida de un sistema puede constituir la entrada de otro.</w:t>
      </w:r>
      <w:bookmarkEnd w:id="1619"/>
    </w:p>
    <w:p>
      <w:pPr>
        <w:pStyle w:val="Fuente"/>
      </w:pPr>
      <w:r>
        <w:t xml:space="preserve">Véase </w:t>
      </w:r>
      <w:hyperlink w:history="1" w:anchor="b_1_6">
        <w:r>
          <w:rPr>
            <w:color w:val="156B70"/>
            <w:u w:val="single"/>
          </w:rPr>
          <w:t xml:space="preserve">capítulo 1.6 · Operaciones DSRP</w:t>
        </w:r>
      </w:hyperlink>
      <w:r>
        <w:t xml:space="preserve">, pág. </w:t>
      </w:r>
      <w:r>
        <w:fldChar w:fldCharType="begin"/>
        <w:instrText xml:space="preserve">PAGEREF b_1_6 \h</w:instrText>
        <w:fldChar w:fldCharType="separate"/>
        <w:t xml:space="preserve">150</w:t>
        <w:fldChar w:fldCharType="end"/>
      </w:r>
      <w:r>
        <w:t xml:space="preserve">.</w:t>
      </w:r>
    </w:p>
    <w:p>
      <w:pPr>
        <w:pStyle w:val="Fuente"/>
      </w:pPr>
      <w:r>
        <w:t xml:space="preserve">Véase </w:t>
      </w:r>
      <w:hyperlink w:history="1" w:anchor="b_1_4">
        <w:r>
          <w:rPr>
            <w:color w:val="156B70"/>
            <w:u w:val="single"/>
          </w:rPr>
          <w:t xml:space="preserve">capítulo 1.4 · Sistémico vs no sistémico</w:t>
        </w:r>
      </w:hyperlink>
      <w:r>
        <w:t xml:space="preserve">, pág. </w:t>
      </w:r>
      <w:r>
        <w:fldChar w:fldCharType="begin"/>
        <w:instrText xml:space="preserve">PAGEREF b_1_4 \h</w:instrText>
        <w:fldChar w:fldCharType="separate"/>
        <w:t xml:space="preserve">104</w:t>
        <w:fldChar w:fldCharType="end"/>
      </w:r>
      <w:r>
        <w:t xml:space="preserve">.</w:t>
      </w:r>
    </w:p>
    <w:p>
      <w:pPr>
        <w:pStyle w:val="Fuente"/>
      </w:pPr>
      <w:r>
        <w:t xml:space="preserve">Véase </w:t>
      </w:r>
      <w:hyperlink w:history="1" w:anchor="b_1_5">
        <w:r>
          <w:rPr>
            <w:color w:val="156B70"/>
            <w:u w:val="single"/>
          </w:rPr>
          <w:t xml:space="preserve">capítulo 1.5 · Perspectivas</w:t>
        </w:r>
      </w:hyperlink>
      <w:r>
        <w:t xml:space="preserve">, pág. </w:t>
      </w:r>
      <w:r>
        <w:fldChar w:fldCharType="begin"/>
        <w:instrText xml:space="preserve">PAGEREF b_1_5 \h</w:instrText>
        <w:fldChar w:fldCharType="separate"/>
        <w:t xml:space="preserve">125</w:t>
        <w:fldChar w:fldCharType="end"/>
      </w:r>
      <w:r>
        <w:t xml:space="preserve">.</w:t>
      </w:r>
    </w:p>
    <w:p>
      <w:pPr>
        <w:pStyle w:val="Heading3"/>
      </w:pPr>
      <w:bookmarkStart w:name="b_clase_2_4_c8_cap_01" w:id="1620"/>
      <w:r>
        <w:t xml:space="preserve">Clase 8 · 00:00:21–00:11:05 · La Tarea #4 como modelo mental de dos sistemas</w:t>
      </w:r>
      <w:bookmarkEnd w:id="1620"/>
    </w:p>
    <w:p>
      <w:bookmarkStart w:name="b_punto_c8_cap_01_p09" w:id="1621"/>
      <w:r>
        <w:t xml:space="preserve">Ampliar hacia un suprasistema puede revelar dependencias: un país dentro de un continente y sus interacciones con otros países.</w:t>
      </w:r>
      <w:bookmarkEnd w:id="1621"/>
    </w:p>
    <w:p>
      <w:pPr>
        <w:pStyle w:val="Fuente"/>
      </w:pPr>
      <w:r>
        <w:t xml:space="preserve">Véase </w:t>
      </w:r>
      <w:hyperlink w:history="1" w:anchor="b_1_5">
        <w:r>
          <w:rPr>
            <w:color w:val="156B70"/>
            <w:u w:val="single"/>
          </w:rPr>
          <w:t xml:space="preserve">capítulo 1.5 · Perspectivas</w:t>
        </w:r>
      </w:hyperlink>
      <w:r>
        <w:t xml:space="preserve">, pág. </w:t>
      </w:r>
      <w:r>
        <w:fldChar w:fldCharType="begin"/>
        <w:instrText xml:space="preserve">PAGEREF b_1_5 \h</w:instrText>
        <w:fldChar w:fldCharType="separate"/>
        <w:t xml:space="preserve">125</w:t>
        <w:fldChar w:fldCharType="end"/>
      </w:r>
      <w:r>
        <w:t xml:space="preserve">.</w:t>
      </w:r>
    </w:p>
    <w:p>
      <w:pPr>
        <w:pStyle w:val="Fuente"/>
      </w:pPr>
      <w:r>
        <w:t xml:space="preserve">Véase </w:t>
      </w:r>
      <w:hyperlink w:history="1" w:anchor="b_2_3">
        <w:r>
          <w:rPr>
            <w:color w:val="156B70"/>
            <w:u w:val="single"/>
          </w:rPr>
          <w:t xml:space="preserve">capítulo 2.3 · Estructura de los sistemas</w:t>
        </w:r>
      </w:hyperlink>
      <w:r>
        <w:t xml:space="preserve">, pág. </w:t>
      </w:r>
      <w:r>
        <w:fldChar w:fldCharType="begin"/>
        <w:instrText xml:space="preserve">PAGEREF b_2_3 \h</w:instrText>
        <w:fldChar w:fldCharType="separate"/>
        <w:t xml:space="preserve">259</w:t>
        <w:fldChar w:fldCharType="end"/>
      </w:r>
      <w:r>
        <w:t xml:space="preserve">.</w:t>
      </w:r>
    </w:p>
    <w:p>
      <w:pPr>
        <w:pStyle w:val="Fuente"/>
      </w:pPr>
      <w:r>
        <w:t xml:space="preserve">Véase </w:t>
      </w:r>
      <w:hyperlink w:history="1" w:anchor="b_1_6">
        <w:r>
          <w:rPr>
            <w:color w:val="156B70"/>
            <w:u w:val="single"/>
          </w:rPr>
          <w:t xml:space="preserve">capítulo 1.6 · Operaciones DSRP</w:t>
        </w:r>
      </w:hyperlink>
      <w:r>
        <w:t xml:space="preserve">, pág. </w:t>
      </w:r>
      <w:r>
        <w:fldChar w:fldCharType="begin"/>
        <w:instrText xml:space="preserve">PAGEREF b_1_6 \h</w:instrText>
        <w:fldChar w:fldCharType="separate"/>
        <w:t xml:space="preserve">150</w:t>
        <w:fldChar w:fldCharType="end"/>
      </w:r>
      <w:r>
        <w:t xml:space="preserve">.</w:t>
      </w:r>
    </w:p>
    <w:p>
      <w:pPr>
        <w:pStyle w:val="Heading3"/>
      </w:pPr>
      <w:bookmarkStart w:name="b_clase_2_4_c8_cap_07" w:id="1622"/>
      <w:r>
        <w:t xml:space="preserve">Clase 8 · 01:06:32–01:17:59 · Qué vuelve complejo a un sistema</w:t>
      </w:r>
      <w:bookmarkEnd w:id="1622"/>
    </w:p>
    <w:p>
      <w:bookmarkStart w:name="b_punto_c8_cap_07_p07" w:id="1623"/>
      <w:r>
        <w:t xml:space="preserve">El auto reúne subsistemas mecánicos y electrónicos; al integrarse al tránsito y la ciudad aparece una jerarquía con más relaciones y variedad.</w:t>
      </w:r>
      <w:bookmarkEnd w:id="1623"/>
    </w:p>
    <w:p>
      <w:pPr>
        <w:pStyle w:val="Fuente"/>
      </w:pPr>
      <w:r>
        <w:t xml:space="preserve">Véase </w:t>
      </w:r>
      <w:hyperlink w:history="1" w:anchor="b_senales_examen">
        <w:r>
          <w:rPr>
            <w:color w:val="156B70"/>
            <w:u w:val="single"/>
          </w:rPr>
          <w:t xml:space="preserve">1 indicación(es) de examen de este tramo, en el apéndice cronológico</w:t>
        </w:r>
      </w:hyperlink>
      <w:r>
        <w:t xml:space="preserve">, pág. </w:t>
      </w:r>
      <w:r>
        <w:fldChar w:fldCharType="begin"/>
        <w:instrText xml:space="preserve">PAGEREF b_senales_examen \h</w:instrText>
        <w:fldChar w:fldCharType="separate"/>
        <w:t xml:space="preserve">1663</w:t>
        <w:fldChar w:fldCharType="end"/>
      </w:r>
      <w:r>
        <w:t xml:space="preserve">.</w:t>
      </w:r>
    </w:p>
    <w:p>
      <w:pPr>
        <w:pStyle w:val="Fuente"/>
      </w:pPr>
      <w:r>
        <w:t xml:space="preserve">Véase </w:t>
      </w:r>
      <w:hyperlink w:history="1" w:anchor="b_2_6">
        <w:r>
          <w:rPr>
            <w:color w:val="156B70"/>
            <w:u w:val="single"/>
          </w:rPr>
          <w:t xml:space="preserve">capítulo 2.6 · Complejidad sistémica</w:t>
        </w:r>
      </w:hyperlink>
      <w:r>
        <w:t xml:space="preserve">, pág. </w:t>
      </w:r>
      <w:r>
        <w:fldChar w:fldCharType="begin"/>
        <w:instrText xml:space="preserve">PAGEREF b_2_6 \h</w:instrText>
        <w:fldChar w:fldCharType="separate"/>
        <w:t xml:space="preserve">308</w:t>
        <w:fldChar w:fldCharType="end"/>
      </w:r>
      <w:r>
        <w:t xml:space="preserve">.</w:t>
      </w:r>
    </w:p>
    <w:p>
      <w:pPr>
        <w:pStyle w:val="Heading3"/>
      </w:pPr>
      <w:bookmarkStart w:name="b_cita_clase_6_las_partes_resul_44e0959a" w:id="1624"/>
      <w:r>
        <w:t xml:space="preserve">Palabras del profesor</w:t>
      </w:r>
      <w:bookmarkEnd w:id="1624"/>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El profesor lo dijo así</w:t>
            </w:r>
          </w:p>
          <w:p>
            <w:pPr>
              <w:pStyle w:val="Recuadro"/>
            </w:pPr>
            <w:r>
              <w:t xml:space="preserve">«Componentes o partes o elementos, que también podríamos llamar subsistemas, porque en sistemas muy complejos esas partes resultan ser otros sistemas, sistemas más pequeños que ya están tomando un rol, una acción en ese procesamiento del sistema global»</w:t>
            </w:r>
          </w:p>
          <w:p>
            <w:pPr>
              <w:pStyle w:val="Recuadro"/>
            </w:pPr>
            <w:r>
              <w:t xml:space="preserve">Clase 6 · 00:52:14–00:52:44</w:t>
            </w:r>
          </w:p>
        </w:tc>
      </w:tr>
    </w:tbl>
    <w:p>
      <w:pPr>
        <w:pStyle w:val="Fuente"/>
      </w:pPr>
      <w:r>
        <w:t xml:space="preserve">Véase </w:t>
      </w:r>
      <w:hyperlink w:history="1" w:anchor="b_cita_clase_6_la_frontera_deli_f69affb9">
        <w:r>
          <w:rPr>
            <w:color w:val="156B70"/>
            <w:u w:val="single"/>
          </w:rPr>
          <w:t xml:space="preserve">cita de Clase 6 · 00:57:01</w:t>
        </w:r>
      </w:hyperlink>
      <w:r>
        <w:t xml:space="preserve">, pág. </w:t>
      </w:r>
      <w:r>
        <w:fldChar w:fldCharType="begin"/>
        <w:instrText xml:space="preserve">PAGEREF b_cita_clase_6_la_frontera_deli_f69affb9 \h</w:instrText>
        <w:fldChar w:fldCharType="separate"/>
        <w:t xml:space="preserve">252</w:t>
        <w:fldChar w:fldCharType="end"/>
      </w:r>
      <w:r>
        <w:t xml:space="preserve">.</w:t>
      </w:r>
    </w:p>
    <w:p>
      <w:pPr>
        <w:pStyle w:val="Fuente"/>
      </w:pPr>
      <w:r>
        <w:t xml:space="preserve">Véase </w:t>
      </w:r>
      <w:hyperlink w:history="1" w:anchor="b_cita_clase_7_sistemas_partes_y_todo">
        <w:r>
          <w:rPr>
            <w:color w:val="156B70"/>
            <w:u w:val="single"/>
          </w:rPr>
          <w:t xml:space="preserve">cita de Clase 7 · 00:39:24</w:t>
        </w:r>
      </w:hyperlink>
      <w:r>
        <w:t xml:space="preserve">, pág. </w:t>
      </w:r>
      <w:r>
        <w:fldChar w:fldCharType="begin"/>
        <w:instrText xml:space="preserve">PAGEREF b_cita_clase_7_sistemas_partes_y_todo \h</w:instrText>
        <w:fldChar w:fldCharType="separate"/>
        <w:t xml:space="preserve">165</w:t>
        <w:fldChar w:fldCharType="end"/>
      </w:r>
      <w:r>
        <w:t xml:space="preserve">.</w:t>
      </w:r>
    </w:p>
    <w:p>
      <w:pPr>
        <w:pStyle w:val="Heading3"/>
      </w:pPr>
      <w:bookmarkStart w:name="b_cita_clase_7_sistema_o_subsis_f3a4f9bc" w:id="1625"/>
      <w:r>
        <w:t xml:space="preserve">Palabras del profesor</w:t>
      </w:r>
      <w:bookmarkEnd w:id="1625"/>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El profesor lo dijo así</w:t>
            </w:r>
          </w:p>
          <w:p>
            <w:pPr>
              <w:pStyle w:val="Recuadro"/>
            </w:pPr>
            <w:r>
              <w:t xml:space="preserve">«Es totalmente relativo el hablar de un sistema o de un subsistema, porque depende del nivel en el cual estemos haciendo referencia, y siempre habrá algún nivel posiblemente superior que contenga esos otros sistemas»</w:t>
            </w:r>
          </w:p>
          <w:p>
            <w:pPr>
              <w:pStyle w:val="Recuadro"/>
            </w:pPr>
            <w:r>
              <w:t xml:space="preserve">Clase 7 · 00:42:57–00:43:28</w:t>
            </w:r>
          </w:p>
        </w:tc>
      </w:tr>
    </w:tbl>
    <w:p>
      <w:pPr>
        <w:pStyle w:val="Heading3"/>
      </w:pPr>
      <w:bookmarkStart w:name="b_cita_clase_8_subir_de_nivel_e_0883ff29" w:id="1626"/>
      <w:r>
        <w:t xml:space="preserve">Palabras del profesor</w:t>
      </w:r>
      <w:bookmarkEnd w:id="1626"/>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El profesor lo dijo así</w:t>
            </w:r>
          </w:p>
          <w:p>
            <w:pPr>
              <w:pStyle w:val="Recuadro"/>
            </w:pPr>
            <w:r>
              <w:t xml:space="preserve">«Conforme vamos apreciando lo que está en el contexto, podemos subir a un nivel superior, como veíamos en la jerarquía de los sistemas: por ejemplo, un país forma parte de un continente.»</w:t>
            </w:r>
          </w:p>
          <w:p>
            <w:pPr>
              <w:pStyle w:val="Recuadro"/>
            </w:pPr>
            <w:r>
              <w:t xml:space="preserve">Clase 8 · 00:09:28–00:09:49</w:t>
            </w:r>
          </w:p>
        </w:tc>
      </w:tr>
    </w:tbl>
    <w:p>
      <w:pPr>
        <w:pStyle w:val="Heading3"/>
      </w:pPr>
      <w:r>
        <w:t xml:space="preserve">Errores frecuentes y trampa de examen</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9C620A" w:sz="20"/>
              <w:bottom w:val="nil"/>
              <w:right w:val="nil"/>
            </w:tcBorders>
            <w:shd w:fill="FBF3DF" w:val="clear"/>
            <w:tcMar>
              <w:top w:type="dxa" w:w="130"/>
              <w:left w:type="dxa" w:w="180"/>
              <w:bottom w:type="dxa" w:w="130"/>
              <w:right w:type="dxa" w:w="180"/>
            </w:tcMar>
          </w:tcPr>
          <w:p>
            <w:pPr>
              <w:pStyle w:val="RecuadroTitulo"/>
            </w:pPr>
            <w:r>
              <w:rPr>
                <w:b/>
                <w:bCs/>
                <w:color w:val="9C620A"/>
              </w:rPr>
              <w:t xml:space="preserve">Error → corrección</w:t>
            </w:r>
          </w:p>
          <w:p>
            <w:pPr>
              <w:pStyle w:val="Recuadro"/>
            </w:pPr>
            <w:r>
              <w:rPr>
                <w:b/>
                <w:bCs/>
              </w:rPr>
              <w:t xml:space="preserve">Error:</w:t>
            </w:r>
            <w:r>
              <w:t xml:space="preserve"> Tratar «sistema» y «subsistema» como categorías fijas de un objeto.</w:t>
            </w:r>
          </w:p>
          <w:p>
            <w:pPr>
              <w:pStyle w:val="Recuadro"/>
            </w:pPr>
            <w:r>
              <w:rPr>
                <w:b/>
                <w:bCs/>
              </w:rPr>
              <w:t xml:space="preserve">Corrección:</w:t>
            </w:r>
            <w:r>
              <w:t xml:space="preserve"> Son relativas al nivel: la carrera es suprasistema del curso y subsistema de la Facultad.</w:t>
            </w:r>
          </w:p>
          <w:p>
            <w:pPr>
              <w:pStyle w:val="Recuadro"/>
            </w:pPr>
            <w:r>
              <w:t xml:space="preserve">Clase 7 · 00:39:39–00:43:28</w:t>
            </w:r>
          </w:p>
        </w:tc>
      </w:tr>
    </w:tbl>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9C620A" w:sz="20"/>
              <w:bottom w:val="nil"/>
              <w:right w:val="nil"/>
            </w:tcBorders>
            <w:shd w:fill="FBF3DF" w:val="clear"/>
            <w:tcMar>
              <w:top w:type="dxa" w:w="130"/>
              <w:left w:type="dxa" w:w="180"/>
              <w:bottom w:type="dxa" w:w="130"/>
              <w:right w:type="dxa" w:w="180"/>
            </w:tcMar>
          </w:tcPr>
          <w:p>
            <w:pPr>
              <w:pStyle w:val="RecuadroTitulo"/>
            </w:pPr>
            <w:r>
              <w:rPr>
                <w:b/>
                <w:bCs/>
                <w:color w:val="9C620A"/>
              </w:rPr>
              <w:t xml:space="preserve">Error → corrección</w:t>
            </w:r>
          </w:p>
          <w:p>
            <w:pPr>
              <w:pStyle w:val="Recuadro"/>
            </w:pPr>
            <w:r>
              <w:rPr>
                <w:b/>
                <w:bCs/>
              </w:rPr>
              <w:t xml:space="preserve">Error:</w:t>
            </w:r>
            <w:r>
              <w:t xml:space="preserve"> Quedarse en las partes cuando el problema depende del contexto.</w:t>
            </w:r>
          </w:p>
          <w:p>
            <w:pPr>
              <w:pStyle w:val="Recuadro"/>
            </w:pPr>
            <w:r>
              <w:rPr>
                <w:b/>
                <w:bCs/>
              </w:rPr>
              <w:t xml:space="preserve">Corrección:</w:t>
            </w:r>
            <w:r>
              <w:t xml:space="preserve"> Se hace zoom al nivel superior y el medio se describe como sistemas que interactúan por entradas y salidas.</w:t>
            </w:r>
          </w:p>
          <w:p>
            <w:pPr>
              <w:pStyle w:val="Recuadro"/>
            </w:pPr>
            <w:r>
              <w:t xml:space="preserve">Clase 6 · 00:58:45–00:59:54 · Clase 8 · 00:08:43–00:10:52</w:t>
            </w:r>
          </w:p>
        </w:tc>
      </w:tr>
    </w:tbl>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9C620A" w:sz="20"/>
              <w:bottom w:val="nil"/>
              <w:right w:val="nil"/>
            </w:tcBorders>
            <w:shd w:fill="FBF3DF" w:val="clear"/>
            <w:tcMar>
              <w:top w:type="dxa" w:w="130"/>
              <w:left w:type="dxa" w:w="180"/>
              <w:bottom w:type="dxa" w:w="130"/>
              <w:right w:type="dxa" w:w="180"/>
            </w:tcMar>
          </w:tcPr>
          <w:p>
            <w:pPr>
              <w:pStyle w:val="RecuadroTitulo"/>
            </w:pPr>
            <w:r>
              <w:rPr>
                <w:b/>
                <w:bCs/>
                <w:color w:val="9C620A"/>
              </w:rPr>
              <w:t xml:space="preserve">Error → corrección</w:t>
            </w:r>
          </w:p>
          <w:p>
            <w:pPr>
              <w:pStyle w:val="Recuadro"/>
            </w:pPr>
            <w:r>
              <w:rPr>
                <w:b/>
                <w:bCs/>
              </w:rPr>
              <w:t xml:space="preserve">Error:</w:t>
            </w:r>
            <w:r>
              <w:t xml:space="preserve"> Suponer que ampliar el nivel deja el modelo igual de simple.</w:t>
            </w:r>
          </w:p>
          <w:p>
            <w:pPr>
              <w:pStyle w:val="Recuadro"/>
            </w:pPr>
            <w:r>
              <w:rPr>
                <w:b/>
                <w:bCs/>
              </w:rPr>
              <w:t xml:space="preserve">Corrección:</w:t>
            </w:r>
            <w:r>
              <w:t xml:space="preserve"> Cada ampliación comprende más pero complica el modelo; los niveles altos son más complejos porque se forman de sistemas simples.</w:t>
            </w:r>
          </w:p>
          <w:p>
            <w:pPr>
              <w:pStyle w:val="Recuadro"/>
            </w:pPr>
            <w:r>
              <w:t xml:space="preserve">Clase 8 · 01:15:15–01:15:35 · Clase 8 · 01:16:36–01:17:51</w:t>
            </w:r>
          </w:p>
        </w:tc>
      </w:tr>
    </w:tbl>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9C620A" w:sz="20"/>
              <w:bottom w:val="nil"/>
              <w:right w:val="nil"/>
            </w:tcBorders>
            <w:shd w:fill="FBF3DF" w:val="clear"/>
            <w:tcMar>
              <w:top w:type="dxa" w:w="130"/>
              <w:left w:type="dxa" w:w="180"/>
              <w:bottom w:type="dxa" w:w="130"/>
              <w:right w:type="dxa" w:w="180"/>
            </w:tcMar>
          </w:tcPr>
          <w:p>
            <w:pPr>
              <w:pStyle w:val="RecuadroTitulo"/>
            </w:pPr>
            <w:r>
              <w:rPr>
                <w:b/>
                <w:bCs/>
                <w:color w:val="9C620A"/>
              </w:rPr>
              <w:t xml:space="preserve">Trampa de examen</w:t>
            </w:r>
          </w:p>
          <w:p>
            <w:pPr>
              <w:pStyle w:val="Recuadro"/>
            </w:pPr>
            <w:r>
              <w:t xml:space="preserve">Subsistema, sistema y suprasistema no son etiquetas fijas de un objeto ni los cuatro niveles del iceberg: son contención relativa al nivel elegido. El curso es sistema si se estudian sus alumnos y subsistema si se estudia la Facultad; y como la propiedad emergente pertenece al sistema en su totalidad, primero hay que decir cuál es el todo del que se habla.</w:t>
            </w:r>
          </w:p>
        </w:tc>
      </w:tr>
    </w:tbl>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Ampliación: lo no dictado en clase</w:t>
            </w:r>
          </w:p>
          <w:p>
            <w:pPr>
              <w:pStyle w:val="Recuadro"/>
            </w:pPr>
            <w:r>
              <w:t xml:space="preserve">Los términos holón y holarquía, la jerarquía de niveles de complejidad de Boulding y la regla explícita de «declarar el nivel de análisis» vienen del programa y de las lecturas; la clase sólo habló de subsistemas, sistemas, suprasistemas o megasistemas, de la definición recursiva por niveles y del zoom al nivel superior. Composición, descomponibilidad y control se explicitan como lectura de C-6, páginas 54 y 58, sin atribuir una explicación oral completa de cada rótulo.</w:t>
            </w:r>
          </w:p>
        </w:tc>
      </w:tr>
    </w:tbl>
    <w:p>
      <w:pPr>
        <w:pStyle w:val="Heading3"/>
      </w:pPr>
      <w:r>
        <w:t xml:space="preserve">Lecturas y tareas del curso</w:t>
      </w:r>
    </w:p>
    <w:p>
      <w:pPr>
        <w:pStyle w:val="Normal"/>
      </w:pPr>
      <w:r>
        <w:t xml:space="preserve">C-6 · Unidad 2 · Teoría de sistemas y pensamiento sistémico (presentación). 65 páginas con teoría de sistemas, elementos, estructura, función, niveles, sinergia, emergencia, complejidad y universo de sistemas. Copia íntegra de la presentación del profesor.</w:t>
      </w:r>
    </w:p>
    <w:p>
      <w:pPr>
        <w:pStyle w:val="Normal"/>
      </w:pPr>
      <w:r>
        <w:t xml:space="preserve">L-7 · Introducción a la TGS: conceptos e historia. Lectura que recorre la historia de la Teoría General de Sistemas y fija su vocabulario básico: sistema, frontera, entorno, entradas y salidas, jerarquía y los conceptos que la Unidad 2 desarrolla.</w:t>
      </w:r>
    </w:p>
    <w:p>
      <w:pPr>
        <w:pStyle w:val="Heading3"/>
      </w:pPr>
      <w:r>
        <w:t xml:space="preserve">Práctica de los laboratorios</w:t>
      </w:r>
    </w:p>
    <w:p>
      <w:pPr>
        <w:pStyle w:val="Normal"/>
      </w:pPr>
      <w:r>
        <w:t xml:space="preserve">Los procedimientos del capítulo permiten reconstruir en papel la práctica interactiva. Los laboratorios originales permanecen disponibles en la lección del portal.</w:t>
      </w:r>
    </w:p>
    <w:p>
      <w:pPr>
        <w:pStyle w:val="Normal"/>
        <w:numPr>
          <w:ilvl w:val="0"/>
          <w:numId w:val="2"/>
        </w:numPr>
      </w:pPr>
      <w:r>
        <w:t xml:space="preserve">Acercarse y alejarse: sub, sistema y suprasistema</w:t>
      </w:r>
    </w:p>
    <w:p>
      <w:pPr>
        <w:pStyle w:val="Heading3"/>
      </w:pPr>
      <w:r>
        <w:t xml:space="preserve">Autoevaluación</w:t>
      </w:r>
    </w:p>
    <w:p>
      <w:pPr>
        <w:pStyle w:val="Normal"/>
      </w:pPr>
      <w:r>
        <w:t xml:space="preserve">Resuelva sin consultar las respuestas. Compruebe al final del capítulo por qué cada opción es correcta o incorrecta.</w:t>
      </w:r>
    </w:p>
    <w:p>
      <w:pPr>
        <w:pStyle w:val="Heading3"/>
      </w:pPr>
      <w:bookmarkStart w:name="b_pregunta_auto_2_4_1" w:id="1627"/>
      <w:r>
        <w:t xml:space="preserve">2.4-A1 · ¿Qué conjunto corresponde a sistemas mayores que contienen o sitúan al bosque según la presentación?</w:t>
      </w:r>
      <w:bookmarkEnd w:id="1627"/>
    </w:p>
    <w:p>
      <w:pPr>
        <w:pStyle w:val="Normal"/>
      </w:pPr>
      <w:r>
        <w:t xml:space="preserve">a) Productores, consumidores y descomponedores como únicos suprasistemas</w:t>
      </w:r>
    </w:p>
    <w:p>
      <w:pPr>
        <w:pStyle w:val="Normal"/>
      </w:pPr>
      <w:r>
        <w:t xml:space="preserve">b) Lluvia, CO</w:t>
      </w:r>
      <w:r>
        <w:rPr>
          <w:vertAlign w:val="subscript"/>
        </w:rPr>
        <w:t xml:space="preserve">2</w:t>
      </w:r>
      <w:r>
        <w:t xml:space="preserve"> y nutrientes como niveles de pertenencia</w:t>
      </w:r>
    </w:p>
    <w:p>
      <w:pPr>
        <w:pStyle w:val="Normal"/>
      </w:pPr>
      <w:r>
        <w:t xml:space="preserve">c) Bioma, ecosfera terrestre y sistema climático global</w:t>
      </w:r>
    </w:p>
    <w:p>
      <w:pPr>
        <w:pStyle w:val="Normal"/>
      </w:pPr>
      <w:r>
        <w:t xml:space="preserve">d) Madera y oxígeno como sistemas mayores contenedores</w:t>
      </w:r>
    </w:p>
    <w:p>
      <w:pPr>
        <w:pStyle w:val="Heading3"/>
      </w:pPr>
      <w:bookmarkStart w:name="b_pregunta_auto_2_4_2" w:id="1628"/>
      <w:r>
        <w:t xml:space="preserve">2.4-A2 · ¿Qué relaciona composición y descomponibilidad con la escala de un sistema?</w:t>
      </w:r>
      <w:bookmarkEnd w:id="1628"/>
    </w:p>
    <w:p>
      <w:pPr>
        <w:pStyle w:val="Normal"/>
      </w:pPr>
      <w:r>
        <w:t xml:space="preserve">a) Suponer que desarmar un sistema siempre conserva su emergencia</w:t>
      </w:r>
    </w:p>
    <w:p>
      <w:pPr>
        <w:pStyle w:val="Normal"/>
      </w:pPr>
      <w:r>
        <w:t xml:space="preserve">b) Contar únicamente piezas sin atender niveles</w:t>
      </w:r>
    </w:p>
    <w:p>
      <w:pPr>
        <w:pStyle w:val="Normal"/>
      </w:pPr>
      <w:r>
        <w:t xml:space="preserve">c) Afirmar que todo nivel tiene un jefe externo y una secuencia obligatoria</w:t>
      </w:r>
    </w:p>
    <w:p>
      <w:pPr>
        <w:pStyle w:val="Normal"/>
      </w:pPr>
      <w:r>
        <w:t xml:space="preserve">d) Agrupar partes en unidades superiores y analizar subestructuras conservando sus relaciones</w:t>
      </w:r>
    </w:p>
    <w:p>
      <w:pPr>
        <w:pStyle w:val="Heading3"/>
      </w:pPr>
      <w:bookmarkStart w:name="b_pregunta_auto_2_4_3" w:id="1629"/>
      <w:r>
        <w:t xml:space="preserve">2.4-A3 · El corazón, respecto del aparato circulatorio y respecto de los tejidos que lo forman, es…</w:t>
      </w:r>
      <w:bookmarkEnd w:id="1629"/>
    </w:p>
    <w:p>
      <w:pPr>
        <w:pStyle w:val="Normal"/>
      </w:pPr>
      <w:r>
        <w:t xml:space="preserve">a) Suprasistema del aparato y subsistema de los tejidos</w:t>
      </w:r>
    </w:p>
    <w:p>
      <w:pPr>
        <w:pStyle w:val="Normal"/>
      </w:pPr>
      <w:r>
        <w:t xml:space="preserve">b) Subsistema del aparato circulatorio y suprasistema de sus tejidos</w:t>
      </w:r>
    </w:p>
    <w:p>
      <w:pPr>
        <w:pStyle w:val="Normal"/>
      </w:pPr>
      <w:r>
        <w:t xml:space="preserve">c) Siempre un sistema, nunca subsistema ni suprasistema</w:t>
      </w:r>
    </w:p>
    <w:p>
      <w:pPr>
        <w:pStyle w:val="Normal"/>
      </w:pPr>
      <w:r>
        <w:t xml:space="preserve">d) El entorno del organismo</w:t>
      </w:r>
    </w:p>
    <w:p>
      <w:pPr>
        <w:pStyle w:val="Heading3"/>
      </w:pPr>
      <w:bookmarkStart w:name="b_pregunta_auto_2_4_4" w:id="1630"/>
      <w:r>
        <w:t xml:space="preserve">2.4-A4 · El sistema mayor que contiene al sistema de interés y le fija su entorno se llama…</w:t>
      </w:r>
      <w:bookmarkEnd w:id="1630"/>
    </w:p>
    <w:p>
      <w:pPr>
        <w:pStyle w:val="Normal"/>
      </w:pPr>
      <w:r>
        <w:t xml:space="preserve">a) Subsistema</w:t>
      </w:r>
    </w:p>
    <w:p>
      <w:pPr>
        <w:pStyle w:val="Normal"/>
      </w:pPr>
      <w:r>
        <w:t xml:space="preserve">b) Suprasistema</w:t>
      </w:r>
    </w:p>
    <w:p>
      <w:pPr>
        <w:pStyle w:val="Normal"/>
      </w:pPr>
      <w:r>
        <w:t xml:space="preserve">c) Frontera</w:t>
      </w:r>
    </w:p>
    <w:p>
      <w:pPr>
        <w:pStyle w:val="Normal"/>
      </w:pPr>
      <w:r>
        <w:t xml:space="preserve">d) Componente</w:t>
      </w:r>
    </w:p>
    <w:p>
      <w:pPr>
        <w:pStyle w:val="Heading3"/>
      </w:pPr>
      <w:bookmarkStart w:name="b_pregunta_auto_2_4_5" w:id="1631"/>
      <w:r>
        <w:t xml:space="preserve">2.4-A5 · Que la relación parte-todo se repita en cada nivel —cada todo es parte de un todo mayor y cada parte es un todo de partes menores— se conoce como…</w:t>
      </w:r>
      <w:bookmarkEnd w:id="1631"/>
    </w:p>
    <w:p>
      <w:pPr>
        <w:pStyle w:val="Normal"/>
      </w:pPr>
      <w:r>
        <w:t xml:space="preserve">a) Reduccionismo</w:t>
      </w:r>
    </w:p>
    <w:p>
      <w:pPr>
        <w:pStyle w:val="Normal"/>
      </w:pPr>
      <w:r>
        <w:t xml:space="preserve">b) Recursividad</w:t>
      </w:r>
    </w:p>
    <w:p>
      <w:pPr>
        <w:pStyle w:val="Normal"/>
      </w:pPr>
      <w:r>
        <w:t xml:space="preserve">c) Homeostasis</w:t>
      </w:r>
    </w:p>
    <w:p>
      <w:pPr>
        <w:pStyle w:val="Normal"/>
      </w:pPr>
      <w:r>
        <w:t xml:space="preserve">d) Entropía</w:t>
      </w:r>
    </w:p>
    <w:p>
      <w:pPr>
        <w:pStyle w:val="Heading3"/>
      </w:pPr>
      <w:bookmarkStart w:name="b_pregunta_auto_2_4_6" w:id="1632"/>
      <w:r>
        <w:t xml:space="preserve">2.4-A6 · Arthur Koestler llamó «holón» a algo que es, simultáneamente…</w:t>
      </w:r>
      <w:bookmarkEnd w:id="1632"/>
    </w:p>
    <w:p>
      <w:pPr>
        <w:pStyle w:val="Normal"/>
      </w:pPr>
      <w:r>
        <w:t xml:space="preserve">a) una entrada y una salida</w:t>
      </w:r>
    </w:p>
    <w:p>
      <w:pPr>
        <w:pStyle w:val="Normal"/>
      </w:pPr>
      <w:r>
        <w:t xml:space="preserve">b) un todo y una parte</w:t>
      </w:r>
    </w:p>
    <w:p>
      <w:pPr>
        <w:pStyle w:val="Normal"/>
      </w:pPr>
      <w:r>
        <w:t xml:space="preserve">c) una causa y un efecto</w:t>
      </w:r>
    </w:p>
    <w:p>
      <w:pPr>
        <w:pStyle w:val="Normal"/>
      </w:pPr>
      <w:r>
        <w:t xml:space="preserve">d) un sistema abierto y uno cerrado</w:t>
      </w:r>
    </w:p>
    <w:p>
      <w:pPr>
        <w:pStyle w:val="Heading3"/>
      </w:pPr>
      <w:bookmarkStart w:name="b_pregunta_auto_2_4_7" w:id="1633"/>
      <w:r>
        <w:t xml:space="preserve">2.4-A7 · En el modelo DSRP, la operación que organiza cualquier cosa en subsistemas y suprasistemas es la regla…</w:t>
      </w:r>
      <w:bookmarkEnd w:id="1633"/>
    </w:p>
    <w:p>
      <w:pPr>
        <w:pStyle w:val="Normal"/>
      </w:pPr>
      <w:r>
        <w:t xml:space="preserve">a) D · Distinciones (identidad </w:t>
      </w:r>
      <w:r>
        <w:rPr>
          <w:rFonts w:ascii="DejaVu Serif" w:cs="DejaVu Serif" w:eastAsia="DejaVu Serif" w:hAnsi="DejaVu Serif"/>
        </w:rPr>
        <w:t xml:space="preserve">↔</w:t>
      </w:r>
      <w:r>
        <w:t xml:space="preserve"> otro)</w:t>
      </w:r>
    </w:p>
    <w:p>
      <w:pPr>
        <w:pStyle w:val="Normal"/>
      </w:pPr>
      <w:r>
        <w:t xml:space="preserve">b) S · Sistemas (parte </w:t>
      </w:r>
      <w:r>
        <w:rPr>
          <w:rFonts w:ascii="DejaVu Serif" w:cs="DejaVu Serif" w:eastAsia="DejaVu Serif" w:hAnsi="DejaVu Serif"/>
        </w:rPr>
        <w:t xml:space="preserve">↔</w:t>
      </w:r>
      <w:r>
        <w:t xml:space="preserve"> todo)</w:t>
      </w:r>
    </w:p>
    <w:p>
      <w:pPr>
        <w:pStyle w:val="Normal"/>
      </w:pPr>
      <w:r>
        <w:t xml:space="preserve">c) R · Relaciones (acción </w:t>
      </w:r>
      <w:r>
        <w:rPr>
          <w:rFonts w:ascii="DejaVu Serif" w:cs="DejaVu Serif" w:eastAsia="DejaVu Serif" w:hAnsi="DejaVu Serif"/>
        </w:rPr>
        <w:t xml:space="preserve">↔</w:t>
      </w:r>
      <w:r>
        <w:t xml:space="preserve"> reacción)</w:t>
      </w:r>
    </w:p>
    <w:p>
      <w:pPr>
        <w:pStyle w:val="Normal"/>
      </w:pPr>
      <w:r>
        <w:t xml:space="preserve">d) P · Perspectivas (punto </w:t>
      </w:r>
      <w:r>
        <w:rPr>
          <w:rFonts w:ascii="DejaVu Serif" w:cs="DejaVu Serif" w:eastAsia="DejaVu Serif" w:hAnsi="DejaVu Serif"/>
        </w:rPr>
        <w:t xml:space="preserve">↔</w:t>
      </w:r>
      <w:r>
        <w:t xml:space="preserve"> vista)</w:t>
      </w:r>
    </w:p>
    <w:p>
      <w:pPr>
        <w:pStyle w:val="Heading3"/>
      </w:pPr>
      <w:bookmarkStart w:name="b_pregunta_auto_2_4_8" w:id="1634"/>
      <w:r>
        <w:t xml:space="preserve">2.4-A8 · ¿Qué determina cuál nivel de la jerarquía tratamos como «el sistema»?</w:t>
      </w:r>
      <w:bookmarkEnd w:id="1634"/>
    </w:p>
    <w:p>
      <w:pPr>
        <w:pStyle w:val="Normal"/>
      </w:pPr>
      <w:r>
        <w:t xml:space="preserve">a) Está fijado por la naturaleza; no se elige</w:t>
      </w:r>
    </w:p>
    <w:p>
      <w:pPr>
        <w:pStyle w:val="Normal"/>
      </w:pPr>
      <w:r>
        <w:t xml:space="preserve">b) El nivel donde el observador coloca su foco y traza la frontera</w:t>
      </w:r>
    </w:p>
    <w:p>
      <w:pPr>
        <w:pStyle w:val="Normal"/>
      </w:pPr>
      <w:r>
        <w:t xml:space="preserve">c) Siempre es el nivel más grande disponible</w:t>
      </w:r>
    </w:p>
    <w:p>
      <w:pPr>
        <w:pStyle w:val="Normal"/>
      </w:pPr>
      <w:r>
        <w:t xml:space="preserve">d) Siempre es el nivel más pequeño disponible</w:t>
      </w:r>
    </w:p>
    <w:p>
      <w:pPr>
        <w:pStyle w:val="Heading3"/>
      </w:pPr>
      <w:bookmarkStart w:name="b_pregunta_auto_2_4_9" w:id="1635"/>
      <w:r>
        <w:t xml:space="preserve">2.4-A9 · Según Donella Meadows, ¿para qué surge originalmente una jerarquía de sistemas?</w:t>
      </w:r>
      <w:bookmarkEnd w:id="1635"/>
    </w:p>
    <w:p>
      <w:pPr>
        <w:pStyle w:val="Normal"/>
      </w:pPr>
      <w:r>
        <w:t xml:space="preserve">a) Para que las capas superiores controlen a las inferiores</w:t>
      </w:r>
    </w:p>
    <w:p>
      <w:pPr>
        <w:pStyle w:val="Normal"/>
      </w:pPr>
      <w:r>
        <w:t xml:space="preserve">b) Para ayudar a los subsistemas a hacer mejor su trabajo</w:t>
      </w:r>
    </w:p>
    <w:p>
      <w:pPr>
        <w:pStyle w:val="Normal"/>
      </w:pPr>
      <w:r>
        <w:t xml:space="preserve">c) Para aumentar la entropía del conjunto</w:t>
      </w:r>
    </w:p>
    <w:p>
      <w:pPr>
        <w:pStyle w:val="Normal"/>
      </w:pPr>
      <w:r>
        <w:t xml:space="preserve">d) Para eliminar la recursividad</w:t>
      </w:r>
    </w:p>
    <w:p>
      <w:pPr>
        <w:pStyle w:val="Heading3"/>
      </w:pPr>
      <w:bookmarkStart w:name="b_pregunta_auto_2_4_10" w:id="1636"/>
      <w:r>
        <w:t xml:space="preserve">2.4-A10 · Los niveles de ESTA lección (sub/supra) se refieren a la escala o contención de los sistemas. En cambio, los niveles del modelo del iceberg se refieren a…</w:t>
      </w:r>
      <w:bookmarkEnd w:id="1636"/>
    </w:p>
    <w:p>
      <w:pPr>
        <w:pStyle w:val="Normal"/>
      </w:pPr>
      <w:r>
        <w:t xml:space="preserve">a) la profundidad de explicación de un mismo sistema (eventos, patrones, estructura, modelos mentales)</w:t>
      </w:r>
    </w:p>
    <w:p>
      <w:pPr>
        <w:pStyle w:val="Normal"/>
      </w:pPr>
      <w:r>
        <w:t xml:space="preserve">b) el tamaño físico de los objetos</w:t>
      </w:r>
    </w:p>
    <w:p>
      <w:pPr>
        <w:pStyle w:val="Normal"/>
      </w:pPr>
      <w:r>
        <w:t xml:space="preserve">c) la cantidad de subsistemas que contiene</w:t>
      </w:r>
    </w:p>
    <w:p>
      <w:pPr>
        <w:pStyle w:val="Normal"/>
      </w:pPr>
      <w:r>
        <w:t xml:space="preserve">d) la velocidad a la que cambia el sistema</w:t>
      </w:r>
    </w:p>
    <w:p>
      <w:pPr>
        <w:pStyle w:val="Heading3"/>
      </w:pPr>
      <w:bookmarkStart w:name="b_solucionario_2_4" w:id="1637"/>
      <w:r>
        <w:t xml:space="preserve">Solucionario del capítulo</w:t>
      </w:r>
      <w:bookmarkEnd w:id="1637"/>
    </w:p>
    <w:p>
      <w:pPr>
        <w:pStyle w:val="Heading3"/>
      </w:pPr>
      <w:r>
        <w:t xml:space="preserve">2.4-A1</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c) Bioma, ecosfera terrestre y sistema climático global</w:t>
            </w:r>
          </w:p>
        </w:tc>
      </w:tr>
    </w:tbl>
    <w:p>
      <w:pPr>
        <w:pStyle w:val="Normal"/>
      </w:pPr>
      <w:r>
        <w:t xml:space="preserve">La pertenencia sitúa al sistema focal en conjuntos de mayor escala. Bioma, ecosfera y sistema climático global amplían ese contexto; no son lo mismo que entradas materiales ni que partes internas.</w:t>
      </w:r>
    </w:p>
    <w:p>
      <w:pPr>
        <w:pStyle w:val="Fuente"/>
      </w:pPr>
      <w:r>
        <w:t xml:space="preserve">Presentación de la unidad 2 (C-6), pág. 39</w:t>
      </w:r>
    </w:p>
    <w:p>
      <w:pPr>
        <w:pStyle w:val="Heading3"/>
      </w:pPr>
      <w:r>
        <w:t xml:space="preserve">2.4-A2</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d) Agrupar partes en unidades superiores y analizar subestructuras conservando sus relaciones</w:t>
            </w:r>
          </w:p>
        </w:tc>
      </w:tr>
    </w:tbl>
    <w:p>
      <w:pPr>
        <w:pStyle w:val="Normal"/>
      </w:pPr>
      <w:r>
        <w:t xml:space="preserve">La composición organiza partes en unidades y la descomponibilidad permite analizar subestructuras. Ese análisis debe conservar la atención a sus relaciones, porque aislar piezas puede hacer perder propiedades emergentes del conjunto.</w:t>
      </w:r>
    </w:p>
    <w:p>
      <w:pPr>
        <w:pStyle w:val="Fuente"/>
      </w:pPr>
      <w:r>
        <w:t xml:space="preserve">Presentación de la unidad 2 (C-6), pág. 54 y 58</w:t>
      </w:r>
    </w:p>
    <w:p>
      <w:pPr>
        <w:pStyle w:val="Heading3"/>
      </w:pPr>
      <w:r>
        <w:t xml:space="preserve">2.4-A3</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b) Subsistema del aparato circulatorio y suprasistema de sus tejidos</w:t>
            </w:r>
          </w:p>
        </w:tc>
      </w:tr>
    </w:tbl>
    <w:p>
      <w:pPr>
        <w:pStyle w:val="Normal"/>
      </w:pPr>
      <w:r>
        <w:t xml:space="preserve">Los términos sistema, subsistema y suprasistema son relativos al nivel en el que ponemos el foco. Un mismo objeto es parte de algo mayor y todo de sus partes al mismo tiempo.</w:t>
      </w:r>
    </w:p>
    <w:p>
      <w:pPr>
        <w:pStyle w:val="Normal"/>
      </w:pPr>
      <w:r>
        <w:t xml:space="preserve">a) Al revés: hacia arriba (el aparato) el corazón es la parte; hacia abajo (los tejidos) es el todo.</w:t>
      </w:r>
    </w:p>
    <w:p>
      <w:pPr>
        <w:pStyle w:val="Normal"/>
      </w:pPr>
      <w:r>
        <w:t xml:space="preserve">b) Correcto: mirando hacia arriba es una parte (subsistema); mirando hacia abajo es un todo (suprasistema).</w:t>
      </w:r>
    </w:p>
    <w:p>
      <w:pPr>
        <w:pStyle w:val="Normal"/>
      </w:pPr>
      <w:r>
        <w:t xml:space="preserve">c) No: sub, sistema y supra son roles relativos al foco, no propiedades fijas de la cosa.</w:t>
      </w:r>
    </w:p>
    <w:p>
      <w:pPr>
        <w:pStyle w:val="Normal"/>
      </w:pPr>
      <w:r>
        <w:t xml:space="preserve">d) No: el entorno lo aporta el suprasistema; el corazón es un componente interno.</w:t>
      </w:r>
    </w:p>
    <w:p>
      <w:pPr>
        <w:pStyle w:val="Heading3"/>
      </w:pPr>
      <w:r>
        <w:t xml:space="preserve">2.4-A4</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b) Suprasistema</w:t>
            </w:r>
          </w:p>
        </w:tc>
      </w:tr>
    </w:tbl>
    <w:p>
      <w:pPr>
        <w:pStyle w:val="Normal"/>
      </w:pPr>
      <w:r>
        <w:t xml:space="preserve">El suprasistema es el todo que engloba al sistema de interés; le da contexto, propósito y entorno. Los subsistemas, en cambio, son las partes que lo componen.</w:t>
      </w:r>
    </w:p>
    <w:p>
      <w:pPr>
        <w:pStyle w:val="Heading3"/>
      </w:pPr>
      <w:r>
        <w:t xml:space="preserve">2.4-A5</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b) Recursividad</w:t>
            </w:r>
          </w:p>
        </w:tc>
      </w:tr>
    </w:tbl>
    <w:p>
      <w:pPr>
        <w:pStyle w:val="Normal"/>
      </w:pPr>
      <w:r>
        <w:t xml:space="preserve">La recursividad es la repetición del mismo patrón estructural (parte-todo) en cada nivel de la jerarquía. Por eso los sistemas se describen como «sistemas dentro de sistemas dentro de sistemas».</w:t>
      </w:r>
    </w:p>
    <w:p>
      <w:pPr>
        <w:pStyle w:val="Normal"/>
      </w:pPr>
      <w:r>
        <w:t xml:space="preserve">a) No: el reduccionismo estudia las partes aisladas; aquí hablamos de anidación de todos y partes.</w:t>
      </w:r>
    </w:p>
    <w:p>
      <w:pPr>
        <w:pStyle w:val="Normal"/>
      </w:pPr>
      <w:r>
        <w:t xml:space="preserve">b) Correcto: el mismo patrón parte-todo se anida hacia arriba y hacia abajo, escalón tras escalón.</w:t>
      </w:r>
    </w:p>
    <w:p>
      <w:pPr>
        <w:pStyle w:val="Normal"/>
      </w:pPr>
      <w:r>
        <w:t xml:space="preserve">c) No: la homeostasis es mantener el equilibrio interno; es otro concepto.</w:t>
      </w:r>
    </w:p>
    <w:p>
      <w:pPr>
        <w:pStyle w:val="Normal"/>
      </w:pPr>
      <w:r>
        <w:t xml:space="preserve">d) No: la entropía mide el desorden; no describe la anidación de niveles.</w:t>
      </w:r>
    </w:p>
    <w:p>
      <w:pPr>
        <w:pStyle w:val="Heading3"/>
      </w:pPr>
      <w:r>
        <w:t xml:space="preserve">2.4-A6</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b) un todo y una parte</w:t>
            </w:r>
          </w:p>
        </w:tc>
      </w:tr>
    </w:tbl>
    <w:p>
      <w:pPr>
        <w:pStyle w:val="Normal"/>
      </w:pPr>
      <w:r>
        <w:t xml:space="preserve">Un holón mira «hacia arriba» como parte de un todo mayor y «hacia abajo» como todo de sus propias partes (la doble cara de Jano). Una jerarquía de holones es una holarquía.</w:t>
      </w:r>
    </w:p>
    <w:p>
      <w:pPr>
        <w:pStyle w:val="Fuente"/>
      </w:pPr>
      <w:r>
        <w:t xml:space="preserve">Koestler, The Ghost in the Machine</w:t>
      </w:r>
    </w:p>
    <w:p>
      <w:pPr>
        <w:pStyle w:val="Heading3"/>
      </w:pPr>
      <w:r>
        <w:t xml:space="preserve">2.4-A7</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b) S · Sistemas (parte </w:t>
            </w:r>
            <w:r>
              <w:rPr>
                <w:rFonts w:ascii="DejaVu Serif" w:cs="DejaVu Serif" w:eastAsia="DejaVu Serif" w:hAnsi="DejaVu Serif"/>
              </w:rPr>
              <w:t xml:space="preserve">↔</w:t>
            </w:r>
            <w:r>
              <w:t xml:space="preserve"> todo)</w:t>
            </w:r>
          </w:p>
        </w:tc>
      </w:tr>
    </w:tbl>
    <w:p>
      <w:pPr>
        <w:pStyle w:val="Normal"/>
      </w:pPr>
      <w:r>
        <w:t xml:space="preserve">La regla S (Sistemas) de Derek y Laura Cabrera descompone en partes o agrupa en un todo. Subsistema y suprasistema son exactamente los dos lados de ese par estructural, y por eso es recursivo.</w:t>
      </w:r>
    </w:p>
    <w:p>
      <w:pPr>
        <w:pStyle w:val="Normal"/>
      </w:pPr>
      <w:r>
        <w:t xml:space="preserve">a) No: la regla D traza la frontera entre lo que algo es y lo que no es.</w:t>
      </w:r>
    </w:p>
    <w:p>
      <w:pPr>
        <w:pStyle w:val="Normal"/>
      </w:pPr>
      <w:r>
        <w:t xml:space="preserve">b) Correcto: la regla S tiene el par estructural parte </w:t>
      </w:r>
      <w:r>
        <w:rPr>
          <w:rFonts w:ascii="DejaVu Serif" w:cs="DejaVu Serif" w:eastAsia="DejaVu Serif" w:hAnsi="DejaVu Serif"/>
        </w:rPr>
        <w:t xml:space="preserve">↔</w:t>
      </w:r>
      <w:r>
        <w:t xml:space="preserve"> todo, que es justo sub- y suprasistema.</w:t>
      </w:r>
    </w:p>
    <w:p>
      <w:pPr>
        <w:pStyle w:val="Normal"/>
      </w:pPr>
      <w:r>
        <w:t xml:space="preserve">c) No: la regla R conecta elementos por acción y reacción.</w:t>
      </w:r>
    </w:p>
    <w:p>
      <w:pPr>
        <w:pStyle w:val="Normal"/>
      </w:pPr>
      <w:r>
        <w:t xml:space="preserve">d) No: la regla P cambia el punto desde el que se mira.</w:t>
      </w:r>
    </w:p>
    <w:p>
      <w:pPr>
        <w:pStyle w:val="Fuente"/>
      </w:pPr>
      <w:r>
        <w:t xml:space="preserve">DSRP · regla S</w:t>
      </w:r>
    </w:p>
    <w:p>
      <w:pPr>
        <w:pStyle w:val="Heading3"/>
      </w:pPr>
      <w:r>
        <w:t xml:space="preserve">2.4-A8</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b) El nivel donde el observador coloca su foco y traza la frontera</w:t>
            </w:r>
          </w:p>
        </w:tc>
      </w:tr>
    </w:tbl>
    <w:p>
      <w:pPr>
        <w:pStyle w:val="Normal"/>
      </w:pPr>
      <w:r>
        <w:t xml:space="preserve">Los niveles de percepción dependen del observador: cuál nivel llamamos «sistema» es una decisión sobre dónde poner el foco y la frontera. Por eso los mismos hechos admiten lecturas a distintas escalas.</w:t>
      </w:r>
    </w:p>
    <w:p>
      <w:pPr>
        <w:pStyle w:val="Normal"/>
      </w:pPr>
      <w:r>
        <w:t xml:space="preserve">a) No: la jerarquía existe, pero cuál nivel es «el sistema» depende de dónde miremos.</w:t>
      </w:r>
    </w:p>
    <w:p>
      <w:pPr>
        <w:pStyle w:val="Normal"/>
      </w:pPr>
      <w:r>
        <w:t xml:space="preserve">b) Correcto: elegir el nivel focal es un acto de distinción (D) y de perspectiva (P) del observador.</w:t>
      </w:r>
    </w:p>
    <w:p>
      <w:pPr>
        <w:pStyle w:val="Normal"/>
      </w:pPr>
      <w:r>
        <w:t xml:space="preserve">c) No: enfocar siempre lo más grande haría perder el detalle de los subsistemas.</w:t>
      </w:r>
    </w:p>
    <w:p>
      <w:pPr>
        <w:pStyle w:val="Normal"/>
      </w:pPr>
      <w:r>
        <w:t xml:space="preserve">d) No: enfocar siempre lo más pequeño haría perder el comportamiento del todo.</w:t>
      </w:r>
    </w:p>
    <w:p>
      <w:pPr>
        <w:pStyle w:val="Heading3"/>
      </w:pPr>
      <w:r>
        <w:t xml:space="preserve">2.4-A9</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b) Para ayudar a los subsistemas a hacer mejor su trabajo</w:t>
            </w:r>
          </w:p>
        </w:tc>
      </w:tr>
    </w:tbl>
    <w:p>
      <w:pPr>
        <w:pStyle w:val="Normal"/>
      </w:pPr>
      <w:r>
        <w:t xml:space="preserve">Meadows sostiene que las jerarquías evolucionan de abajo hacia arriba: su propósito original es ayudar a los subsistemas a cumplir mejor su función, no dominarlos. Reducen la información que cada parte debe manejar.</w:t>
      </w:r>
    </w:p>
    <w:p>
      <w:pPr>
        <w:pStyle w:val="Fuente"/>
      </w:pPr>
      <w:r>
        <w:t xml:space="preserve">Meadows, Thinking in Systems</w:t>
      </w:r>
    </w:p>
    <w:p>
      <w:pPr>
        <w:pStyle w:val="Heading3"/>
      </w:pPr>
      <w:r>
        <w:t xml:space="preserve">2.4-A10</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a) la profundidad de explicación de un mismo sistema (eventos, patrones, estructura, modelos mentales)</w:t>
            </w:r>
          </w:p>
        </w:tc>
      </w:tr>
    </w:tbl>
    <w:p>
      <w:pPr>
        <w:pStyle w:val="Normal"/>
      </w:pPr>
      <w:r>
        <w:t xml:space="preserve">Son dos ejes distintos. Aquí los niveles son de escala espacial u organizativa (qué contiene a qué). En el iceberg, los niveles son de profundidad explicativa dentro de un mismo sistema a lo largo del tiempo.</w:t>
      </w:r>
    </w:p>
    <w:p>
      <w:pPr>
        <w:pStyle w:val="Fuente"/>
        <w:sectPr>
          <w:headerReference w:type="default" r:id="rId120"/>
          <w:headerReference w:type="first" r:id="rId121"/>
          <w:headerReference w:type="even" r:id="rId122"/>
          <w:footerReference w:type="default" r:id="rId123"/>
          <w:footerReference w:type="first" r:id="rId124"/>
          <w:footerReference w:type="even" r:id="rId125"/>
          <w:type w:val="nextPage"/>
          <w:pgSz w:w="12240" w:h="15840" w:orient="portrait"/>
          <w:pgMar w:top="1361" w:right="1134" w:bottom="1361" w:left="1474" w:header="650" w:footer="680" w:gutter="0"/>
          <w:pgNumType/>
          <w:titlePg/>
          <w:docGrid w:linePitch="360"/>
        </w:sectPr>
      </w:pPr>
      <w:r>
        <w:t xml:space="preserve">Cf. 1.7 · Iceberg</w:t>
      </w:r>
    </w:p>
    <w:p>
      <w:pPr>
        <w:pStyle w:val="Heading2"/>
      </w:pPr>
      <w:bookmarkStart w:name="b_2_5" w:id="1638"/>
      <w:r>
        <w:t xml:space="preserve">2.5 · Sinergia y emergencia</w:t>
      </w:r>
      <w:bookmarkEnd w:id="1638"/>
    </w:p>
    <w:p>
      <w:pPr>
        <w:pStyle w:val="Subtitulo"/>
      </w:pPr>
      <w:r>
        <w:t xml:space="preserve">Sinergia y emergencia de los sistemas</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En una línea</w:t>
            </w:r>
          </w:p>
          <w:p>
            <w:pPr>
              <w:pStyle w:val="Recuadro"/>
            </w:pPr>
            <w:r>
              <w:t xml:space="preserve">De la interacción entre las partes surge algo que ninguna parte tenía.</w:t>
            </w:r>
          </w:p>
        </w:tc>
      </w:tr>
    </w:tbl>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Qué te preguntan</w:t>
            </w:r>
          </w:p>
          <w:p>
            <w:pPr>
              <w:pStyle w:val="Recuadro"/>
            </w:pPr>
            <w:r>
              <w:t xml:space="preserve">Distinguir un sistema de un montón o conglomerado y explicar sinergia y emergencia con el mosaico de la clase 8: las propiedades del todo aparecen por la estructura y las relaciones y pueden perderse al desordenarlas. Conecte el ejemplo con agentes, reglas simples y dinámica colectiva, y proponga un caso propio.</w:t>
            </w:r>
          </w:p>
        </w:tc>
      </w:tr>
    </w:tbl>
    <w:p>
      <w:pPr>
        <w:pStyle w:val="Normal"/>
      </w:pPr>
      <w:r>
        <w:t xml:space="preserve">La sinergia es la característica que diferencia un sistema de un montón de partes o conglomerado: las partes juntas y bien sincronizadas dan algo más allá de ellas mismas, «uno más uno es igual a tres». Las propiedades emergentes surgen de la integración completa de las partes interactuando y sólo se ven en la totalidad: son del conjunto, no de las partes. Comprobación: si examinar las partes por separado no explica ni predice el conjunto, hay sinergia; si al quitar o desordenar piezas la propiedad desaparece, era emergente.</w:t>
      </w:r>
    </w:p>
    <w:p>
      <w:pPr>
        <w:pStyle w:val="Heading3"/>
      </w:pPr>
      <w:r>
        <w:t xml:space="preserve">Vocabulario clave</w:t>
      </w:r>
    </w:p>
    <w:p>
      <w:pPr>
        <w:pStyle w:val="Normal"/>
      </w:pPr>
      <w:r>
        <w:t xml:space="preserve">sinergia («un tipo de energía») · conglomerado (montón, «sistema sin emergencia») · propiedad emergente (característica del sistema en su totalidad) · emergencia (generación dinámica) · «uno más uno es igual a tres» (tercera cualidad, no tercera parte) · integración completa de las partes · relaciones sinergéticas (interconectividad) · mosaico de la mariposa · análisis y síntesis</w:t>
      </w:r>
    </w:p>
    <w:p>
      <w:pPr>
        <w:pStyle w:val="Fuente"/>
      </w:pPr>
      <w:r>
        <w:t xml:space="preserve">Recorrido: desarrollo conceptual → presentaciones → explicación en clase → errores y fuentes → práctica → solucionario.</w:t>
      </w:r>
    </w:p>
    <w:p>
      <w:pPr>
        <w:pStyle w:val="Heading3"/>
      </w:pPr>
      <w:r>
        <w:t xml:space="preserve">Lo emergente depende de la organización</w:t>
      </w:r>
    </w:p>
    <w:p>
      <w:pPr>
        <w:pStyle w:val="Normal"/>
      </w:pPr>
      <w:r>
        <w:t xml:space="preserve">En el mosaico, las mismas piezas pueden dejar de mostrar la mariposa si cambian sus relaciones espaciales. La imagen reconocible pertenece al conjunto organizado y no a una sola pieza. Reunir componentes sin las relaciones pertinentes no conserva necesariamente la propiedad emergente.</w:t>
      </w:r>
    </w:p>
    <w:p>
      <w:pPr>
        <w:pStyle w:val="Normal"/>
      </w:pPr>
      <w:r>
        <w:t xml:space="preserve">Conviene distinguir enumerar la composición, describir las relaciones y explicar la propiedad del todo. El ejemplo enseña por qué estudiar las piezas es necesario pero insuficiente para comprender su organización.</w:t>
      </w:r>
    </w:p>
    <w:p>
      <w:pPr>
        <w:pStyle w:val="Fuente"/>
      </w:pPr>
      <w:r>
        <w:t xml:space="preserve">Presentación de la unidad 2 (C-6), pág. 44 y 45 · Clase 8 · 00:35:35–00:38:32</w:t>
      </w:r>
    </w:p>
    <w:p>
      <w:pPr>
        <w:pStyle w:val="Heading3"/>
      </w:pPr>
      <w:r>
        <w:t xml:space="preserve">Definiciones como las dio la clase</w:t>
      </w:r>
    </w:p>
    <w:p>
      <w:pPr>
        <w:pStyle w:val="Normal"/>
      </w:pPr>
      <w:r>
        <w:t xml:space="preserve">Sinergia: «un tipo de energía» por la que las partes juntas dan algo más allá de ellas; emerge sólo cuando las partes están bien sincronizadas, y es la característica fundamental que diferencia un sistema de un montón de partes o conglomerado.</w:t>
      </w:r>
    </w:p>
    <w:p>
      <w:pPr>
        <w:pStyle w:val="Normal"/>
      </w:pPr>
      <w:r>
        <w:t xml:space="preserve">Conglomerado: partes juntas sin sentido, sin sinergia, sin objetivo, sin estructura ni dinámica en conjunto.</w:t>
      </w:r>
    </w:p>
    <w:p>
      <w:pPr>
        <w:pStyle w:val="Normal"/>
      </w:pPr>
      <w:r>
        <w:t xml:space="preserve">Propiedades emergentes: comportamientos que no nacen de una parte sino de las interacciones entre partes; algo diferente que sólo se ve en la totalidad, una generación dinámica.</w:t>
      </w:r>
    </w:p>
    <w:p>
      <w:pPr>
        <w:pStyle w:val="Normal"/>
      </w:pPr>
      <w:r>
        <w:t xml:space="preserve">La propiedad emergente es una característica del sistema en su totalidad, no de una parte; surge de la integración completa de las partes interactuando adecuadamente: propiedades del conjunto, no de las partes.</w:t>
      </w:r>
    </w:p>
    <w:p>
      <w:pPr>
        <w:pStyle w:val="Normal"/>
      </w:pPr>
      <w:r>
        <w:t xml:space="preserve">Los «sistemas sin emergencia» del video son los conglomerados de clase, conjuntos sin sinergia; sin sinergia no se aplica por completo el concepto de sistema. Lo que da sentido a los sistemas son las relaciones sinergéticas, que dan la interconectividad.</w:t>
      </w:r>
    </w:p>
    <w:p>
      <w:pPr>
        <w:pStyle w:val="Normal"/>
      </w:pPr>
      <w:r>
        <w:t xml:space="preserve">El propio pensamiento sistémico es una propiedad emergente: surge de pensar, el proceso que produce los modelos mentales.</w:t>
      </w:r>
    </w:p>
    <w:p>
      <w:pPr>
        <w:pStyle w:val="Fuente"/>
      </w:pPr>
      <w:r>
        <w:t xml:space="preserve">Clase 6 · 01:19:18–01:19:54 · Clase 6 · 01:31:37–01:32:39 · Clase 8 · 00:28:43–00:32:51 · Clase 8 · 00:40:03–00:43:07 · Clase 9 · 00:27:20–00:28:17</w:t>
      </w:r>
    </w:p>
    <w:p>
      <w:pPr>
        <w:pStyle w:val="Heading3"/>
      </w:pPr>
      <w:r>
        <w:t xml:space="preserve">«Uno más uno es igual a tres»</w:t>
      </w:r>
    </w:p>
    <w:p>
      <w:pPr>
        <w:pStyle w:val="Normal"/>
      </w:pPr>
      <w:r>
        <w:t xml:space="preserve">La suma sinérgica de uno más uno es igual a tres: dos elementos relacionados producen una tercera cualidad emergente, no una tercera parte; «dos cabezas piensan mejor que una».</w:t>
      </w:r>
    </w:p>
    <w:p>
      <w:pPr>
        <w:pStyle w:val="Normal"/>
      </w:pPr>
      <w:r>
        <w:t xml:space="preserve">Juntar partes inconvenientes también produce sinergia, pero en sentido opuesto al objetivo.</w:t>
      </w:r>
    </w:p>
    <w:p>
      <w:pPr>
        <w:pStyle w:val="Fuente"/>
      </w:pPr>
      <w:r>
        <w:t xml:space="preserve">Clase 8 · 00:32:49–00:34:41 · Clase 8 · 00:34:48–00:35:24</w:t>
      </w:r>
    </w:p>
    <w:p>
      <w:pPr>
        <w:pStyle w:val="Heading3"/>
      </w:pPr>
      <w:r>
        <w:t xml:space="preserve">Lo que proyectaron las láminas</w:t>
      </w:r>
    </w:p>
    <w:p>
      <w:pPr>
        <w:pStyle w:val="Normal"/>
      </w:pPr>
      <w:r>
        <w:t xml:space="preserve">Hay sinergia cuando la suma de las partes es menor o diferente del todo, y cuando examinar las partes por separado no explica ni predice el comportamiento del conjunto.</w:t>
      </w:r>
    </w:p>
    <w:p>
      <w:pPr>
        <w:pStyle w:val="Normal"/>
      </w:pPr>
      <w:r>
        <w:t xml:space="preserve">Las propiedades emergentes son propiedades del conjunto, no de las partes; no se predicen dividiendo y analizando, salvo en sistemas simples.</w:t>
      </w:r>
    </w:p>
    <w:p>
      <w:pPr>
        <w:pStyle w:val="Normal"/>
      </w:pPr>
      <w:r>
        <w:t xml:space="preserve">El comportamiento del sistema depende de su estructura global; el del montón, del número de piezas, «más una estadística».</w:t>
      </w:r>
    </w:p>
    <w:p>
      <w:pPr>
        <w:pStyle w:val="Fuente"/>
      </w:pPr>
      <w:r>
        <w:t xml:space="preserve">Clase 8 · 00:31:52–00:32:05 · Clase 8 · 00:35:58–00:36:30 · Clase 8 · 00:49:16–00:49:46 · Clase 8 · 00:49:47–00:52:03 · lámina c8-08 · lámina c8-15</w:t>
      </w:r>
    </w:p>
    <w:p>
      <w:pPr>
        <w:pStyle w:val="Heading3"/>
      </w:pPr>
      <w:r>
        <w:t xml:space="preserve">El mosaico, paso a paso</w:t>
      </w:r>
    </w:p>
    <w:p>
      <w:pPr>
        <w:pStyle w:val="Normal"/>
      </w:pPr>
      <w:r>
        <w:t xml:space="preserve">Mosaico desordenado (lectura en UEDI): sólo se cuentan unas 70 piececitas; la mente «construye» orden y por eso «pareciera» una mariposa, pero así no es sistema.</w:t>
      </w:r>
    </w:p>
    <w:p>
      <w:pPr>
        <w:pStyle w:val="Normal"/>
      </w:pPr>
      <w:r>
        <w:t xml:space="preserve">Ordenado, emerge la mariposa sobre una flor y se describe lo que hacen todos los cuadritos juntos, no una pieza.</w:t>
      </w:r>
    </w:p>
    <w:p>
      <w:pPr>
        <w:pStyle w:val="Normal"/>
      </w:pPr>
      <w:r>
        <w:t xml:space="preserve">Quitar piezas devuelve el mosaico al conglomerado: la propiedad emergente se pierde.</w:t>
      </w:r>
    </w:p>
    <w:p>
      <w:pPr>
        <w:pStyle w:val="Normal"/>
      </w:pPr>
      <w:r>
        <w:t xml:space="preserve">Estudiar los sistemas como conglomerados limita la perspectiva; crear un sistema exige saber su lógica, no sólo tener las piezas.</w:t>
      </w:r>
    </w:p>
    <w:p>
      <w:pPr>
        <w:pStyle w:val="Fuente"/>
      </w:pPr>
      <w:r>
        <w:t xml:space="preserve">Clase 8 · 00:25:08–00:29:08 · Clase 8 · 00:31:58–00:32:31 · Clase 8 · 00:36:51–00:39:00 · Clase 8 · 00:45:40–00:46:33 · Clase 8 · 00:47:06–00:49:05 · lámina c8-05 · lámina c8-09 · lámina c8-12</w:t>
      </w:r>
    </w:p>
    <w:p>
      <w:pPr>
        <w:pStyle w:val="Heading3"/>
      </w:pPr>
      <w:r>
        <w:t xml:space="preserve">Análisis y síntesis frente a la sinergia</w:t>
      </w:r>
    </w:p>
    <w:p>
      <w:pPr>
        <w:pStyle w:val="Normal"/>
      </w:pPr>
      <w:r>
        <w:t xml:space="preserve">El pensamiento analítico descompone en partes y «adivina» la totalidad sin verla: omite y descarta las relaciones, que es donde la sinergia se manifiesta principalmente.</w:t>
      </w:r>
    </w:p>
    <w:p>
      <w:pPr>
        <w:pStyle w:val="Normal"/>
      </w:pPr>
      <w:r>
        <w:t xml:space="preserve">El pensamiento sistémico «sintetiza»: combina el análisis (separar partes para distinguir elementos y subsistemas) con la síntesis, con más énfasis en ésta; los pensamientos simplistas, al enfatizar las partes, pierden las propiedades emergentes.</w:t>
      </w:r>
    </w:p>
    <w:p>
      <w:pPr>
        <w:pStyle w:val="Fuente"/>
      </w:pPr>
      <w:r>
        <w:t xml:space="preserve">Clase 6 · 01:18:42–01:19:34 · Clase 8 · 00:43:01–00:45:42 · Clase 8 · 00:52:04–00:52:32</w:t>
      </w:r>
    </w:p>
    <w:p>
      <w:pPr>
        <w:pStyle w:val="Heading3"/>
      </w:pPr>
      <w:r>
        <w:t xml:space="preserve">Cuando se pierde la sinergia</w:t>
      </w:r>
    </w:p>
    <w:p>
      <w:pPr>
        <w:pStyle w:val="Normal"/>
      </w:pPr>
      <w:r>
        <w:t xml:space="preserve">Sin una relación apropiada entre las partes no se aprecia la emergencia: el sistema tiende a conglomerado, «un montón» según unos autores, y pierde su naturaleza sistémica; la clase 9 midió ese desorden de las relaciones como entropía.</w:t>
      </w:r>
    </w:p>
    <w:p>
      <w:pPr>
        <w:pStyle w:val="Normal"/>
      </w:pPr>
      <w:r>
        <w:t xml:space="preserve">Mariposa en pedazos: la emergencia esperada no se aprecia; vehículo desarmado: conglomerado, y armado con orden e interacción adecuados vuelve a ser sistema; huevo roto: pierde sus características de sistema.</w:t>
      </w:r>
    </w:p>
    <w:p>
      <w:pPr>
        <w:pStyle w:val="Fuente"/>
      </w:pPr>
      <w:r>
        <w:t xml:space="preserve">Clase 9 · 00:49:21–00:51:11 · Clase 9 · 00:51:03–00:52:25 · Clase 9 · 00:54:13–00:54:55</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Procedimiento</w:t>
            </w:r>
          </w:p>
          <w:p>
            <w:pPr>
              <w:pStyle w:val="Recuadro"/>
            </w:pPr>
            <w:r>
              <w:t xml:space="preserve">Cómo distinguir un conglomerado de un sistema y ver la emergencia</w:t>
            </w:r>
          </w:p>
          <w:p>
            <w:pPr>
              <w:pStyle w:val="Recuadro"/>
            </w:pPr>
            <w:r>
              <w:t xml:space="preserve">1. </w:t>
            </w:r>
            <w:r>
              <w:rPr>
                <w:b/>
                <w:bCs/>
              </w:rPr>
              <w:t xml:space="preserve">Contar las piezas y preguntar qué hacen juntas.</w:t>
            </w:r>
            <w:r>
              <w:t xml:space="preserve"> Frente al mosaico desordenado sólo se cuentan unas 70 piececitas: partes juntas sin sentido, objetivo, estructura ni dinámica en conjunto. Eso es un conglomerado. (Clase 8 · 00:25:08–00:29:08 · Clase 8 · 00:32:27–00:32:51)</w:t>
            </w:r>
          </w:p>
          <w:p>
            <w:pPr>
              <w:pStyle w:val="Recuadro"/>
            </w:pPr>
            <w:r>
              <w:t xml:space="preserve">2. </w:t>
            </w:r>
            <w:r>
              <w:rPr>
                <w:b/>
                <w:bCs/>
              </w:rPr>
              <w:t xml:space="preserve">Buscar las relaciones y su sincronización.</w:t>
            </w:r>
            <w:r>
              <w:t xml:space="preserve"> La sinergia emerge sólo con partes bien sincronizadas; lo que da sentido al sistema son las relaciones sinergéticas. Si faltan, no se aplica por completo el concepto de sistema. (Clase 8 · 00:29:15–00:31:52 · Clase 9 · 00:27:20–00:28:17)</w:t>
            </w:r>
          </w:p>
          <w:p>
            <w:pPr>
              <w:pStyle w:val="Recuadro"/>
            </w:pPr>
            <w:r>
              <w:t xml:space="preserve">3. </w:t>
            </w:r>
            <w:r>
              <w:rPr>
                <w:b/>
                <w:bCs/>
              </w:rPr>
              <w:t xml:space="preserve">Aplicar la prueba de la lámina.</w:t>
            </w:r>
            <w:r>
              <w:t xml:space="preserve"> Examinar las partes por separado: si eso no explica ni predice el comportamiento del conjunto, y la suma de las partes es menor o diferente del todo, hay sinergia. (Clase 8 · 00:31:52–00:32:05 · Clase 8 · 00:35:58–00:36:30 · lámina c8-08)</w:t>
            </w:r>
          </w:p>
          <w:p>
            <w:pPr>
              <w:pStyle w:val="Recuadro"/>
            </w:pPr>
            <w:r>
              <w:t xml:space="preserve">4. </w:t>
            </w:r>
            <w:r>
              <w:rPr>
                <w:b/>
                <w:bCs/>
              </w:rPr>
              <w:t xml:space="preserve">Nombrar la propiedad que sólo tiene el todo.</w:t>
            </w:r>
            <w:r>
              <w:t xml:space="preserve"> Ordenado el mosaico emerge la mariposa sobre una flor: lo que hacen todos los cuadritos juntos. Esa característica del sistema en su totalidad, y no de una parte, es la propiedad emergente. (Clase 6 · 01:32:06–01:32:29 · Clase 8 · 00:36:51–00:39:00)</w:t>
            </w:r>
          </w:p>
          <w:p>
            <w:pPr>
              <w:pStyle w:val="Recuadro"/>
            </w:pPr>
            <w:r>
              <w:t xml:space="preserve">5. </w:t>
            </w:r>
            <w:r>
              <w:rPr>
                <w:b/>
                <w:bCs/>
              </w:rPr>
              <w:t xml:space="preserve">Comprobar quitando o desordenando.</w:t>
            </w:r>
            <w:r>
              <w:t xml:space="preserve"> Quitar piezas devuelve el mosaico al conglomerado y la mariposa se pierde; el vehículo desarmado es conglomerado y, armado con orden e interacción adecuados, vuelve a ser sistema. (Clase 8 · 00:45:40–00:46:33 · Clase 9 · 00:51:03–00:52:25)</w:t>
            </w:r>
          </w:p>
          <w:p>
            <w:pPr>
              <w:pStyle w:val="Recuadro"/>
            </w:pPr>
            <w:r>
              <w:t xml:space="preserve">Sinergia: las partes juntas dan más allá de sí mismas; emergencia: aparece en el todo lo que ninguna parte tiene; conglomerado: partes juntas sin lo uno ni lo otro.</w:t>
            </w:r>
          </w:p>
        </w:tc>
      </w:tr>
    </w:tbl>
    <w:p>
      <w:pPr>
        <w:pStyle w:val="Heading3"/>
      </w:pPr>
      <w:r>
        <w:t xml:space="preserve">Lo que dicen las presentaciones</w:t>
      </w:r>
    </w:p>
    <w:p>
      <w:pPr>
        <w:pStyle w:val="Heading3"/>
      </w:pPr>
      <w:bookmarkStart w:name="b_pagina_2_5_C_6_p41" w:id="1639"/>
      <w:r>
        <w:t xml:space="preserve">C-6 · página 41 · Mosaico desordenado: ¿qué se representa?</w:t>
      </w:r>
      <w:bookmarkEnd w:id="1639"/>
    </w:p>
    <w:p>
      <w:pPr>
        <w:pStyle w:val="Normal"/>
      </w:pPr>
      <w:r>
        <w:t xml:space="preserve">Una imagen fragmentada muestra por qué juntar piezas no garantiza una totalidad reconocible.</w:t>
      </w:r>
    </w:p>
    <w:p>
      <w:pPr>
        <w:pStyle w:val="Fuente"/>
      </w:pPr>
      <w:r>
        <w:t xml:space="preserve">Proyección o explicación: Clase 8 · 00:26:54 · captura c8-07.</w:t>
      </w:r>
    </w:p>
    <w:p>
      <w:bookmarkStart w:name="b_punto_c6_p041_01" w:id="1640"/>
      <w:r>
        <w:t xml:space="preserve">El ejercicio pide describir qué se ve, decidir si es claro y explicar qué impide esa claridad.</w:t>
      </w:r>
      <w:bookmarkEnd w:id="1640"/>
    </w:p>
    <w:p>
      <w:bookmarkStart w:name="b_punto_c6_p041_02" w:id="1641"/>
      <w:r>
        <w:t xml:space="preserve">Reconocer una mariposa entre fragmentos puede deberse a percepción y conocimientos del observador.</w:t>
      </w:r>
      <w:bookmarkEnd w:id="1641"/>
    </w:p>
    <w:p>
      <w:bookmarkStart w:name="b_punto_c6_p041_03" w:id="1642"/>
      <w:r>
        <w:t xml:space="preserve">Piezas sin organización ni relaciones definidas forman un conglomerado.</w:t>
      </w:r>
      <w:bookmarkEnd w:id="1642"/>
    </w:p>
    <w:p>
      <w:bookmarkStart w:name="b_punto_c6_p041_04" w:id="1643"/>
      <w:r>
        <w:t xml:space="preserve">El conjunto desordenado no permite describir claramente una propiedad del todo.</w:t>
      </w:r>
      <w:bookmarkEnd w:id="1643"/>
    </w:p>
    <w:p>
      <w:pPr>
        <w:pStyle w:val="Heading3"/>
      </w:pPr>
      <w:bookmarkStart w:name="b_pagina_2_5_C_6_p42" w:id="1644"/>
      <w:r>
        <w:t xml:space="preserve">C-6 · página 42 · Sinergia</w:t>
      </w:r>
      <w:bookmarkEnd w:id="1644"/>
    </w:p>
    <w:p>
      <w:pPr>
        <w:pStyle w:val="Normal"/>
      </w:pPr>
      <w:r>
        <w:t xml:space="preserve">Diferencia sistema y conglomerado: las partes aisladas no explican ni predicen el comportamiento del conjunto.</w:t>
      </w:r>
    </w:p>
    <w:p>
      <w:pPr>
        <w:pStyle w:val="Fuente"/>
      </w:pPr>
      <w:r>
        <w:t xml:space="preserve">Proyección o explicación: Clase 8 · 00:31:25 · captura c8-08.</w:t>
      </w:r>
    </w:p>
    <w:p>
      <w:bookmarkStart w:name="b_punto_c6_p042_01" w:id="1645"/>
      <w:r>
        <w:t xml:space="preserve">La sinergia diferencia un sistema de un montón o conglomerado.</w:t>
      </w:r>
      <w:bookmarkEnd w:id="1645"/>
    </w:p>
    <w:p>
      <w:bookmarkStart w:name="b_punto_c6_p042_02" w:id="1646"/>
      <w:r>
        <w:t xml:space="preserve">La suma de las partes puede ser menor o diferente del todo.</w:t>
      </w:r>
      <w:bookmarkEnd w:id="1646"/>
    </w:p>
    <w:p>
      <w:bookmarkStart w:name="b_punto_c6_p042_03" w:id="1647"/>
      <w:r>
        <w:t xml:space="preserve">Examinar partes aisladas no explica ni predice el comportamiento del conjunto.</w:t>
      </w:r>
      <w:bookmarkEnd w:id="1647"/>
    </w:p>
    <w:p>
      <w:bookmarkStart w:name="b_punto_c6_p042_04" w:id="1648"/>
      <w:r>
        <w:t xml:space="preserve">La sinergia es inherente al sistema; sin relaciones sinérgicas el curso habla de conglomerado.</w:t>
      </w:r>
      <w:bookmarkEnd w:id="1648"/>
    </w:p>
    <w:p>
      <w:bookmarkStart w:name="b_punto_c6_p042_05" w:id="1649"/>
      <w:r>
        <w:t xml:space="preserve">La imagen 1+1=3 representa una tercera cualidad de las relaciones, no otra pieza ni aritmética literal.</w:t>
      </w:r>
      <w:bookmarkEnd w:id="1649"/>
    </w:p>
    <w:p>
      <w:pPr>
        <w:pStyle w:val="Heading3"/>
      </w:pPr>
      <w:bookmarkStart w:name="b_pagina_2_5_C_6_p43" w:id="1650"/>
      <w:r>
        <w:t xml:space="preserve">C-6 · página 43 · ¿Hay sinergia en este sistema?</w:t>
      </w:r>
      <w:bookmarkEnd w:id="1650"/>
    </w:p>
    <w:p>
      <w:pPr>
        <w:pStyle w:val="Normal"/>
      </w:pPr>
      <w:r>
        <w:t xml:space="preserve">Los mosaicos desordenados o incompletos exigen justificar si las relaciones producen una figura completa.</w:t>
      </w:r>
    </w:p>
    <w:p>
      <w:bookmarkStart w:name="b_punto_c6_p043_01" w:id="1651"/>
      <w:r>
        <w:t xml:space="preserve">La presencia de muchas piezas no garantiza sinergia si falta la relación apropiada.</w:t>
      </w:r>
      <w:bookmarkEnd w:id="1651"/>
    </w:p>
    <w:p>
      <w:bookmarkStart w:name="b_punto_c6_p043_02" w:id="1652"/>
      <w:r>
        <w:t xml:space="preserve">Huecos y desplazamientos impiden reconocer con claridad la propiedad del conjunto.</w:t>
      </w:r>
      <w:bookmarkEnd w:id="1652"/>
    </w:p>
    <w:p>
      <w:bookmarkStart w:name="b_punto_c6_p043_03" w:id="1653"/>
      <w:r>
        <w:t xml:space="preserve">Se decide qué logran las partes relacionadas, en vez de contar sólo cuántas hay.</w:t>
      </w:r>
      <w:bookmarkEnd w:id="1653"/>
    </w:p>
    <w:p>
      <w:pPr>
        <w:pStyle w:val="Heading3"/>
      </w:pPr>
      <w:bookmarkStart w:name="b_pagina_2_5_C_6_p44" w:id="1654"/>
      <w:r>
        <w:t xml:space="preserve">C-6 · página 44 · La mariposa aparece: sinergia y emergencia</w:t>
      </w:r>
      <w:bookmarkEnd w:id="1654"/>
    </w:p>
    <w:p>
      <w:pPr>
        <w:pStyle w:val="Normal"/>
      </w:pPr>
      <w:r>
        <w:t xml:space="preserve">Las mismas piezas ordenadas muestran mariposa y flor, propiedades ausentes en cada tesela.</w:t>
      </w:r>
    </w:p>
    <w:p>
      <w:pPr>
        <w:pStyle w:val="Fuente"/>
      </w:pPr>
      <w:r>
        <w:t xml:space="preserve">Proyección o explicación: Clase 8 · 00:38:36 · captura c8-10.</w:t>
      </w:r>
    </w:p>
    <w:p>
      <w:pPr>
        <w:keepNext/>
        <w:spacing w:after="40" w:before="150"/>
        <w:jc w:val="center"/>
      </w:pPr>
      <w:bookmarkStart w:name="b_figura_original_pagina_C_6_44" w:id="1655"/>
      <w:bookmarkEnd w:id="1655"/>
      <w:r>
        <w:drawing>
          <wp:inline distT="0" distB="0" distL="0" distR="0">
            <wp:extent cx="5381625" cy="4162425"/>
            <wp:effectExtent t="0" r="0" b="0" l="0"/>
            <wp:docPr id="41" name="pagina-C-6-44" descr="Presentación C-6, pág. 44" title="La mariposa aparece: sinergia y emergenc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27" cstate="none"/>
                    <a:srcRect/>
                    <a:stretch>
                      <a:fillRect/>
                    </a:stretch>
                  </pic:blipFill>
                  <pic:spPr bwMode="auto">
                    <a:xfrm>
                      <a:off x="0" y="0"/>
                      <a:ext cx="5381625" cy="4162425"/>
                    </a:xfrm>
                    <a:prstGeom prst="rect">
                      <a:avLst/>
                    </a:prstGeom>
                  </pic:spPr>
                </pic:pic>
              </a:graphicData>
            </a:graphic>
          </wp:inline>
        </w:drawing>
      </w:r>
    </w:p>
    <w:p>
      <w:pPr>
        <w:pStyle w:val="PieFigura"/>
        <w:keepNext/>
      </w:pPr>
      <w:bookmarkStart w:name="b_fig_2_5_1" w:id="1656"/>
      <w:r>
        <w:t xml:space="preserve">Figura 2.5.</w:t>
      </w:r>
      <w:fldSimple w:instr="SEQ Figura \r 1 \* ARABIC">
        <w:r>
          <w:t xml:space="preserve">1</w:t>
        </w:r>
      </w:fldSimple>
      <w:r>
        <w:t xml:space="preserve"> · La mariposa aparece: sinergia y emergencia</w:t>
      </w:r>
      <w:bookmarkEnd w:id="1656"/>
    </w:p>
    <w:p>
      <w:pPr>
        <w:pStyle w:val="Fuente"/>
      </w:pPr>
      <w:r>
        <w:t xml:space="preserve">Presentación C-6, pág. 44</w:t>
      </w:r>
    </w:p>
    <w:p>
      <w:bookmarkStart w:name="b_punto_c6_p044_01" w:id="1657"/>
      <w:r>
        <w:t xml:space="preserve">Con relaciones definidas las mismas piezas forman una totalidad reconocible y diferente.</w:t>
      </w:r>
      <w:bookmarkEnd w:id="1657"/>
    </w:p>
    <w:p>
      <w:bookmarkStart w:name="b_punto_c6_p044_02" w:id="1658"/>
      <w:r>
        <w:t xml:space="preserve">La mariposa sobre la flor se describe a nivel del todo, no de un fragmento.</w:t>
      </w:r>
      <w:bookmarkEnd w:id="1658"/>
    </w:p>
    <w:p>
      <w:bookmarkStart w:name="b_punto_c6_p044_03" w:id="1659"/>
      <w:r>
        <w:t xml:space="preserve">Las características nuevas que aparecen al relacionarse las partes se llaman emergentes.</w:t>
      </w:r>
      <w:bookmarkEnd w:id="1659"/>
    </w:p>
    <w:p>
      <w:pPr>
        <w:pStyle w:val="Heading3"/>
      </w:pPr>
      <w:bookmarkStart w:name="b_pagina_2_5_C_6_p45" w:id="1660"/>
      <w:r>
        <w:t xml:space="preserve">C-6 · página 45 · Emergencia y propiedades emergentes</w:t>
      </w:r>
      <w:bookmarkEnd w:id="1660"/>
    </w:p>
    <w:p>
      <w:pPr>
        <w:pStyle w:val="Normal"/>
      </w:pPr>
      <w:r>
        <w:t xml:space="preserve">Los elementos al interactuar generan propiedades nuevas; el cardumen ilustra coordinación colectiva.</w:t>
      </w:r>
    </w:p>
    <w:p>
      <w:pPr>
        <w:pStyle w:val="Fuente"/>
      </w:pPr>
      <w:r>
        <w:t xml:space="preserve">Proyección o explicación: Clase 8 · 00:40:03 · captura c8-11.</w:t>
      </w:r>
    </w:p>
    <w:p>
      <w:pPr>
        <w:keepNext/>
        <w:spacing w:after="40" w:before="150"/>
        <w:jc w:val="center"/>
      </w:pPr>
      <w:bookmarkStart w:name="b_figura_original_pagina_C_6_45" w:id="1661"/>
      <w:bookmarkEnd w:id="1661"/>
      <w:r>
        <w:drawing>
          <wp:inline distT="0" distB="0" distL="0" distR="0">
            <wp:extent cx="5381625" cy="4162425"/>
            <wp:effectExtent t="0" r="0" b="0" l="0"/>
            <wp:docPr id="42" name="pagina-C-6-45" descr="Presentación C-6, pág. 45" title="Emergencia y propiedades emergen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28" cstate="none"/>
                    <a:srcRect/>
                    <a:stretch>
                      <a:fillRect/>
                    </a:stretch>
                  </pic:blipFill>
                  <pic:spPr bwMode="auto">
                    <a:xfrm>
                      <a:off x="0" y="0"/>
                      <a:ext cx="5381625" cy="4162425"/>
                    </a:xfrm>
                    <a:prstGeom prst="rect">
                      <a:avLst/>
                    </a:prstGeom>
                  </pic:spPr>
                </pic:pic>
              </a:graphicData>
            </a:graphic>
          </wp:inline>
        </w:drawing>
      </w:r>
    </w:p>
    <w:p>
      <w:pPr>
        <w:pStyle w:val="PieFigura"/>
        <w:keepNext/>
      </w:pPr>
      <w:bookmarkStart w:name="b_fig_2_5_2" w:id="1662"/>
      <w:r>
        <w:t xml:space="preserve">Figura 2.5.</w:t>
      </w:r>
      <w:fldSimple w:instr="SEQ Figura \n \* ARABIC">
        <w:r>
          <w:t xml:space="preserve">2</w:t>
        </w:r>
      </w:fldSimple>
      <w:r>
        <w:t xml:space="preserve"> · Emergencia y propiedades emergentes</w:t>
      </w:r>
      <w:bookmarkEnd w:id="1662"/>
    </w:p>
    <w:p>
      <w:pPr>
        <w:pStyle w:val="Fuente"/>
      </w:pPr>
      <w:r>
        <w:t xml:space="preserve">Presentación C-6, pág. 45</w:t>
      </w:r>
    </w:p>
    <w:p>
      <w:bookmarkStart w:name="b_punto_c6_p045_01" w:id="1663"/>
      <w:r>
        <w:t xml:space="preserve">Las propiedades emergentes no existen en elementos aislados, sino en su interacción.</w:t>
      </w:r>
      <w:bookmarkEnd w:id="1663"/>
    </w:p>
    <w:p>
      <w:bookmarkStart w:name="b_punto_c6_p045_02" w:id="1664"/>
      <w:r>
        <w:t xml:space="preserve">El cardumen ejemplifica coordinación del conjunto que emerge de relaciones locales.</w:t>
      </w:r>
      <w:bookmarkEnd w:id="1664"/>
    </w:p>
    <w:p>
      <w:bookmarkStart w:name="b_punto_c6_p045_03" w:id="1665"/>
      <w:r>
        <w:t xml:space="preserve">Una propiedad global no exige conocimiento global en cada pez.</w:t>
      </w:r>
      <w:bookmarkEnd w:id="1665"/>
    </w:p>
    <w:p>
      <w:pPr>
        <w:pStyle w:val="Heading3"/>
      </w:pPr>
      <w:bookmarkStart w:name="b_pagina_2_5_C_6_p46" w:id="1666"/>
      <w:r>
        <w:t xml:space="preserve">C-6 · página 46 · ¿Se pierden propiedades emergentes en un sistema desordenado?</w:t>
      </w:r>
      <w:bookmarkEnd w:id="1666"/>
    </w:p>
    <w:p>
      <w:pPr>
        <w:pStyle w:val="Normal"/>
      </w:pPr>
      <w:r>
        <w:t xml:space="preserve">Piezas faltantes o desplazadas debilitan la imagen reconocible y permiten comprobar el papel de las relaciones.</w:t>
      </w:r>
    </w:p>
    <w:p>
      <w:pPr>
        <w:pStyle w:val="Fuente"/>
      </w:pPr>
      <w:r>
        <w:t xml:space="preserve">Proyección o explicación: Clase 8 · 00:45:40 · captura c8-12.</w:t>
      </w:r>
    </w:p>
    <w:p>
      <w:bookmarkStart w:name="b_punto_c6_p046_01" w:id="1667"/>
      <w:r>
        <w:t xml:space="preserve">Quitar o mover una pieza puede romper relaciones y perder propiedades emergentes.</w:t>
      </w:r>
      <w:bookmarkEnd w:id="1667"/>
    </w:p>
    <w:p>
      <w:bookmarkStart w:name="b_punto_c6_p046_02" w:id="1668"/>
      <w:r>
        <w:t xml:space="preserve">La figura parcialmente reconocible invita a discutir grados de organización.</w:t>
      </w:r>
      <w:bookmarkEnd w:id="1668"/>
    </w:p>
    <w:p>
      <w:bookmarkStart w:name="b_punto_c6_p046_03" w:id="1669"/>
      <w:r>
        <w:t xml:space="preserve">Conservar la emergencia exige organización de partes e interacciones.</w:t>
      </w:r>
      <w:bookmarkEnd w:id="1669"/>
    </w:p>
    <w:p>
      <w:pPr>
        <w:pStyle w:val="Heading3"/>
      </w:pPr>
      <w:bookmarkStart w:name="b_pagina_2_5_C_6_p47" w:id="1670"/>
      <w:r>
        <w:t xml:space="preserve">C-6 · página 47 · Conglomerado versus sistema</w:t>
      </w:r>
      <w:bookmarkEnd w:id="1670"/>
    </w:p>
    <w:p>
      <w:pPr>
        <w:pStyle w:val="Normal"/>
      </w:pPr>
      <w:r>
        <w:t xml:space="preserve">Seis estados del mosaico comparan desorden, pérdida de piezas y totalidad ordenada.</w:t>
      </w:r>
    </w:p>
    <w:p>
      <w:pPr>
        <w:pStyle w:val="Fuente"/>
      </w:pPr>
      <w:r>
        <w:t xml:space="preserve">Proyección o explicación: Clase 8 · 00:46:32 · captura c8-13.</w:t>
      </w:r>
    </w:p>
    <w:p>
      <w:bookmarkStart w:name="b_punto_c6_p047_01" w:id="1671"/>
      <w:r>
        <w:t xml:space="preserve">Las variantes desordenadas conservan fragmentos sin estructura que produzca el mismo resultado total.</w:t>
      </w:r>
      <w:bookmarkEnd w:id="1671"/>
    </w:p>
    <w:p>
      <w:bookmarkStart w:name="b_punto_c6_p047_02" w:id="1672"/>
      <w:r>
        <w:t xml:space="preserve">El mosaico ordenado conserva relaciones que hacen emerger la figura.</w:t>
      </w:r>
      <w:bookmarkEnd w:id="1672"/>
    </w:p>
    <w:p>
      <w:bookmarkStart w:name="b_punto_c6_p047_03" w:id="1673"/>
      <w:r>
        <w:t xml:space="preserve">Los estados incompletos muestran cómo la pérdida de relaciones altera la emergencia.</w:t>
      </w:r>
      <w:bookmarkEnd w:id="1673"/>
    </w:p>
    <w:p>
      <w:pPr>
        <w:pStyle w:val="Fuente"/>
      </w:pPr>
      <w:r>
        <w:t xml:space="preserve">Véase </w:t>
      </w:r>
      <w:hyperlink w:history="1" w:anchor="b_2_2">
        <w:r>
          <w:rPr>
            <w:color w:val="156B70"/>
            <w:u w:val="single"/>
          </w:rPr>
          <w:t xml:space="preserve">capítulo 2.2 · Conceptos de un sistema</w:t>
        </w:r>
      </w:hyperlink>
      <w:r>
        <w:t xml:space="preserve">, pág. </w:t>
      </w:r>
      <w:r>
        <w:fldChar w:fldCharType="begin"/>
        <w:instrText xml:space="preserve">PAGEREF b_2_2 \h</w:instrText>
        <w:fldChar w:fldCharType="separate"/>
        <w:t xml:space="preserve">242</w:t>
        <w:fldChar w:fldCharType="end"/>
      </w:r>
      <w:r>
        <w:t xml:space="preserve">.</w:t>
      </w:r>
    </w:p>
    <w:p>
      <w:pPr>
        <w:pStyle w:val="Heading3"/>
      </w:pPr>
      <w:bookmarkStart w:name="b_pagina_2_5_C_6_p49" w:id="1674"/>
      <w:r>
        <w:t xml:space="preserve">C-6 · página 49 · Características de los sistemas</w:t>
      </w:r>
      <w:bookmarkEnd w:id="1674"/>
    </w:p>
    <w:p>
      <w:pPr>
        <w:pStyle w:val="Normal"/>
      </w:pPr>
      <w:r>
        <w:t xml:space="preserve">Las propiedades del conjunto no se descubren analizando piezas aisladas y se pierden al descomponer relaciones.</w:t>
      </w:r>
    </w:p>
    <w:p>
      <w:pPr>
        <w:pStyle w:val="Fuente"/>
      </w:pPr>
      <w:r>
        <w:t xml:space="preserve">Proyección o explicación: Clase 8 · 00:49:47 · captura c8-15.</w:t>
      </w:r>
    </w:p>
    <w:p>
      <w:bookmarkStart w:name="b_punto_c6_p049_01" w:id="1675"/>
      <w:r>
        <w:t xml:space="preserve">Los sistemas presentan propiedades emergentes ausentes en las partes.</w:t>
      </w:r>
      <w:bookmarkEnd w:id="1675"/>
    </w:p>
    <w:p>
      <w:bookmarkStart w:name="b_punto_c6_p049_03" w:id="1676"/>
      <w:r>
        <w:t xml:space="preserve">Al descomponer las relaciones se pierden las propiedades que surgen del conjunto.</w:t>
      </w:r>
      <w:bookmarkEnd w:id="1676"/>
    </w:p>
    <w:p>
      <w:pPr>
        <w:pStyle w:val="Fuente"/>
      </w:pPr>
      <w:r>
        <w:t xml:space="preserve">Véase </w:t>
      </w:r>
      <w:hyperlink w:history="1" w:anchor="b_2_2">
        <w:r>
          <w:rPr>
            <w:color w:val="156B70"/>
            <w:u w:val="single"/>
          </w:rPr>
          <w:t xml:space="preserve">capítulo 2.2 · Conceptos de un sistema</w:t>
        </w:r>
      </w:hyperlink>
      <w:r>
        <w:t xml:space="preserve">, pág. </w:t>
      </w:r>
      <w:r>
        <w:fldChar w:fldCharType="begin"/>
        <w:instrText xml:space="preserve">PAGEREF b_2_2 \h</w:instrText>
        <w:fldChar w:fldCharType="separate"/>
        <w:t xml:space="preserve">242</w:t>
        <w:fldChar w:fldCharType="end"/>
      </w:r>
      <w:r>
        <w:t xml:space="preserve">.</w:t>
      </w:r>
    </w:p>
    <w:p>
      <w:pPr>
        <w:pStyle w:val="Heading3"/>
      </w:pPr>
      <w:bookmarkStart w:name="b_pagina_2_5_C_6_p50" w:id="1677"/>
      <w:r>
        <w:t xml:space="preserve">C-6 · página 50 · Resumen de conceptos iniciales de la teoría de sistemas</w:t>
      </w:r>
      <w:bookmarkEnd w:id="1677"/>
    </w:p>
    <w:p>
      <w:pPr>
        <w:pStyle w:val="Normal"/>
      </w:pPr>
      <w:r>
        <w:t xml:space="preserve">Ocho afirmaciones reúnen totalidad, relaciones, jerarquía, emergencia, análisis, síntesis y DSRP.</w:t>
      </w:r>
    </w:p>
    <w:p>
      <w:pPr>
        <w:pStyle w:val="Fuente"/>
      </w:pPr>
      <w:r>
        <w:t xml:space="preserve">Proyección o explicación: Clase 8 · 00:50:47 · captura c8-16.</w:t>
      </w:r>
    </w:p>
    <w:p>
      <w:bookmarkStart w:name="b_punto_c6_p050_05" w:id="1678"/>
      <w:r>
        <w:t xml:space="preserve">El análisis separa el todo en partes y aporta conocimiento.</w:t>
      </w:r>
      <w:bookmarkEnd w:id="1678"/>
    </w:p>
    <w:p>
      <w:bookmarkStart w:name="b_punto_c6_p050_06" w:id="1679"/>
      <w:r>
        <w:t xml:space="preserve">La síntesis reúne las partes y aporta comprensión del conjunto.</w:t>
      </w:r>
      <w:bookmarkEnd w:id="1679"/>
    </w:p>
    <w:p>
      <w:bookmarkStart w:name="b_punto_c6_p050_07" w:id="1680"/>
      <w:r>
        <w:t xml:space="preserve">Descomponer las relaciones pierde propiedades; comprender exige ver como todo.</w:t>
      </w:r>
      <w:bookmarkEnd w:id="1680"/>
    </w:p>
    <w:p>
      <w:pPr>
        <w:pStyle w:val="Fuente"/>
      </w:pPr>
      <w:r>
        <w:t xml:space="preserve">Véase </w:t>
      </w:r>
      <w:hyperlink w:history="1" w:anchor="b_2_2">
        <w:r>
          <w:rPr>
            <w:color w:val="156B70"/>
            <w:u w:val="single"/>
          </w:rPr>
          <w:t xml:space="preserve">capítulo 2.2 · Conceptos de un sistema</w:t>
        </w:r>
      </w:hyperlink>
      <w:r>
        <w:t xml:space="preserve">, pág. </w:t>
      </w:r>
      <w:r>
        <w:fldChar w:fldCharType="begin"/>
        <w:instrText xml:space="preserve">PAGEREF b_2_2 \h</w:instrText>
        <w:fldChar w:fldCharType="separate"/>
        <w:t xml:space="preserve">242</w:t>
        <w:fldChar w:fldCharType="end"/>
      </w:r>
      <w:r>
        <w:t xml:space="preserve">.</w:t>
      </w:r>
    </w:p>
    <w:p>
      <w:pPr>
        <w:pStyle w:val="Fuente"/>
      </w:pPr>
      <w:r>
        <w:t xml:space="preserve">Véase </w:t>
      </w:r>
      <w:hyperlink w:history="1" w:anchor="b_1_5">
        <w:r>
          <w:rPr>
            <w:color w:val="156B70"/>
            <w:u w:val="single"/>
          </w:rPr>
          <w:t xml:space="preserve">capítulo 1.5 · Perspectivas</w:t>
        </w:r>
      </w:hyperlink>
      <w:r>
        <w:t xml:space="preserve">, pág. </w:t>
      </w:r>
      <w:r>
        <w:fldChar w:fldCharType="begin"/>
        <w:instrText xml:space="preserve">PAGEREF b_1_5 \h</w:instrText>
        <w:fldChar w:fldCharType="separate"/>
        <w:t xml:space="preserve">125</w:t>
        <w:fldChar w:fldCharType="end"/>
      </w:r>
      <w:r>
        <w:t xml:space="preserve">.</w:t>
      </w:r>
    </w:p>
    <w:p>
      <w:pPr>
        <w:pStyle w:val="Fuente"/>
      </w:pPr>
      <w:r>
        <w:t xml:space="preserve">Véase </w:t>
      </w:r>
      <w:hyperlink w:history="1" w:anchor="b_2_4">
        <w:r>
          <w:rPr>
            <w:color w:val="156B70"/>
            <w:u w:val="single"/>
          </w:rPr>
          <w:t xml:space="preserve">capítulo 2.4 · Sub y suprasistemas</w:t>
        </w:r>
      </w:hyperlink>
      <w:r>
        <w:t xml:space="preserve">, pág. </w:t>
      </w:r>
      <w:r>
        <w:fldChar w:fldCharType="begin"/>
        <w:instrText xml:space="preserve">PAGEREF b_2_4 \h</w:instrText>
        <w:fldChar w:fldCharType="separate"/>
        <w:t xml:space="preserve">277</w:t>
        <w:fldChar w:fldCharType="end"/>
      </w:r>
      <w:r>
        <w:t xml:space="preserve">.</w:t>
      </w:r>
    </w:p>
    <w:p>
      <w:pPr>
        <w:pStyle w:val="Fuente"/>
      </w:pPr>
      <w:r>
        <w:t xml:space="preserve">Véase </w:t>
      </w:r>
      <w:hyperlink w:history="1" w:anchor="b_2_6">
        <w:r>
          <w:rPr>
            <w:color w:val="156B70"/>
            <w:u w:val="single"/>
          </w:rPr>
          <w:t xml:space="preserve">capítulo 2.6 · Complejidad sistémica</w:t>
        </w:r>
      </w:hyperlink>
      <w:r>
        <w:t xml:space="preserve">, pág. </w:t>
      </w:r>
      <w:r>
        <w:fldChar w:fldCharType="begin"/>
        <w:instrText xml:space="preserve">PAGEREF b_2_6 \h</w:instrText>
        <w:fldChar w:fldCharType="separate"/>
        <w:t xml:space="preserve">308</w:t>
        <w:fldChar w:fldCharType="end"/>
      </w:r>
      <w:r>
        <w:t xml:space="preserve">.</w:t>
      </w:r>
    </w:p>
    <w:p>
      <w:pPr>
        <w:pStyle w:val="Fuente"/>
      </w:pPr>
      <w:r>
        <w:t xml:space="preserve">Véase </w:t>
      </w:r>
      <w:hyperlink w:history="1" w:anchor="b_1_6">
        <w:r>
          <w:rPr>
            <w:color w:val="156B70"/>
            <w:u w:val="single"/>
          </w:rPr>
          <w:t xml:space="preserve">capítulo 1.6 · Operaciones DSRP</w:t>
        </w:r>
      </w:hyperlink>
      <w:r>
        <w:t xml:space="preserve">, pág. </w:t>
      </w:r>
      <w:r>
        <w:fldChar w:fldCharType="begin"/>
        <w:instrText xml:space="preserve">PAGEREF b_1_6 \h</w:instrText>
        <w:fldChar w:fldCharType="separate"/>
        <w:t xml:space="preserve">150</w:t>
        <w:fldChar w:fldCharType="end"/>
      </w:r>
      <w:r>
        <w:t xml:space="preserve">.</w:t>
      </w:r>
    </w:p>
    <w:p>
      <w:pPr>
        <w:pStyle w:val="Heading3"/>
      </w:pPr>
      <w:r>
        <w:t xml:space="preserve">Lo que explicó el profesor en clase</w:t>
      </w:r>
    </w:p>
    <w:p>
      <w:pPr>
        <w:pStyle w:val="Heading3"/>
      </w:pPr>
      <w:bookmarkStart w:name="b_clase_2_5_c6_cap_11" w:id="1681"/>
      <w:r>
        <w:t xml:space="preserve">Clase 6 · 01:14:25–01:22:09 · El paradigma reduccionista y las propiedades emergentes</w:t>
      </w:r>
      <w:bookmarkEnd w:id="1681"/>
    </w:p>
    <w:p>
      <w:bookmarkStart w:name="b_punto_c6_cap_11_p05" w:id="1682"/>
      <w:r>
        <w:t xml:space="preserve">Las propiedades emergentes no nacen de una parte aislada: aparecen en la dinámica de interacción de las partes y se aprecian a nivel del todo.</w:t>
      </w:r>
      <w:bookmarkEnd w:id="1682"/>
    </w:p>
    <w:p>
      <w:pPr>
        <w:pStyle w:val="Fuente"/>
      </w:pPr>
      <w:r>
        <w:t xml:space="preserve">Véase </w:t>
      </w:r>
      <w:hyperlink w:history="1" w:anchor="b_2_1">
        <w:r>
          <w:rPr>
            <w:color w:val="156B70"/>
            <w:u w:val="single"/>
          </w:rPr>
          <w:t xml:space="preserve">capítulo 2.1 · Visión general</w:t>
        </w:r>
      </w:hyperlink>
      <w:r>
        <w:t xml:space="preserve">, pág. </w:t>
      </w:r>
      <w:r>
        <w:fldChar w:fldCharType="begin"/>
        <w:instrText xml:space="preserve">PAGEREF b_2_1 \h</w:instrText>
        <w:fldChar w:fldCharType="separate"/>
        <w:t xml:space="preserve">222</w:t>
        <w:fldChar w:fldCharType="end"/>
      </w:r>
      <w:r>
        <w:t xml:space="preserve">.</w:t>
      </w:r>
    </w:p>
    <w:p>
      <w:pPr>
        <w:pStyle w:val="Fuente"/>
      </w:pPr>
      <w:r>
        <w:t xml:space="preserve">Véase </w:t>
      </w:r>
      <w:hyperlink w:history="1" w:anchor="b_1_3">
        <w:r>
          <w:rPr>
            <w:color w:val="156B70"/>
            <w:u w:val="single"/>
          </w:rPr>
          <w:t xml:space="preserve">capítulo 1.3 · El paradigma de sistemas</w:t>
        </w:r>
      </w:hyperlink>
      <w:r>
        <w:t xml:space="preserve">, pág. </w:t>
      </w:r>
      <w:r>
        <w:fldChar w:fldCharType="begin"/>
        <w:instrText xml:space="preserve">PAGEREF b_1_3 \h</w:instrText>
        <w:fldChar w:fldCharType="separate"/>
        <w:t xml:space="preserve">83</w:t>
        <w:fldChar w:fldCharType="end"/>
      </w:r>
      <w:r>
        <w:t xml:space="preserve">.</w:t>
      </w:r>
    </w:p>
    <w:p>
      <w:pPr>
        <w:pStyle w:val="Heading3"/>
      </w:pPr>
      <w:bookmarkStart w:name="b_clase_2_5_c8_cap_04" w:id="1683"/>
      <w:r>
        <w:t xml:space="preserve">Clase 8 · 00:25:08–00:50:45 · Del conglomerado a la mariposa: sinergia y emergencia</w:t>
      </w:r>
      <w:bookmarkEnd w:id="1683"/>
    </w:p>
    <w:p>
      <w:bookmarkStart w:name="b_punto_c8_cap_04_p03" w:id="1684"/>
      <w:r>
        <w:t xml:space="preserve">La clase llama sinergia al efecto de partes sincronizadas que producen algo más allá de sus cualidades aisladas.</w:t>
      </w:r>
      <w:bookmarkEnd w:id="1684"/>
    </w:p>
    <w:p>
      <w:bookmarkStart w:name="b_punto_c8_cap_04_p04" w:id="1685"/>
      <w:r>
        <w:t xml:space="preserve">La sinergia distingue sistema y conglomerado: contar unas setenta piezas sólo da cantidad, sin explicar qué hacen juntas.</w:t>
      </w:r>
      <w:bookmarkEnd w:id="1685"/>
    </w:p>
    <w:p>
      <w:bookmarkStart w:name="b_punto_c8_cap_04_p05" w:id="1686"/>
      <w:r>
        <w:t xml:space="preserve">Uno más uno igual a tres es analogía de dos elementos que generan una tercera cualidad, sin añadir una tercera pieza literal.</w:t>
      </w:r>
      <w:bookmarkEnd w:id="1686"/>
    </w:p>
    <w:p>
      <w:bookmarkStart w:name="b_punto_c8_cap_04_p06" w:id="1687"/>
      <w:r>
        <w:t xml:space="preserve">Dos personas que comparten ideas y perspectivas distintas pueden crear una solución más completa que cada esfuerzo individual.</w:t>
      </w:r>
      <w:bookmarkEnd w:id="1687"/>
    </w:p>
    <w:p>
      <w:bookmarkStart w:name="b_punto_c8_cap_04_p07" w:id="1688"/>
      <w:r>
        <w:t xml:space="preserve">Juntar partes inconvenientes puede generar un efecto contrario al objetivo; sinergia no garantiza un resultado favorable.</w:t>
      </w:r>
      <w:bookmarkEnd w:id="1688"/>
    </w:p>
    <w:p>
      <w:bookmarkStart w:name="b_punto_c8_cap_04_p08" w:id="1689"/>
      <w:r>
        <w:t xml:space="preserve">Si examinar partes aisladas no explica ni predice el conjunto, debe estudiarse su organización; reordenar sin criterio puede dejar otro conglomerado.</w:t>
      </w:r>
      <w:bookmarkEnd w:id="1689"/>
    </w:p>
    <w:p>
      <w:bookmarkStart w:name="b_punto_c8_cap_04_p12" w:id="1690"/>
      <w:r>
        <w:t xml:space="preserve">Las propiedades aparecen en la integración completa; el análisis que separa piezas y omite relaciones no basta para comprender la totalidad.</w:t>
      </w:r>
      <w:bookmarkEnd w:id="1690"/>
    </w:p>
    <w:p>
      <w:bookmarkStart w:name="b_punto_c8_cap_04_p15" w:id="1691"/>
      <w:r>
        <w:t xml:space="preserve">Dividir y analizar puede servir en sistemas sencillos, pero no basta para predecir propiedades de un conjunto altamente interconectado.</w:t>
      </w:r>
      <w:bookmarkEnd w:id="1691"/>
    </w:p>
    <w:p>
      <w:pPr>
        <w:pStyle w:val="Fuente"/>
      </w:pPr>
      <w:r>
        <w:t xml:space="preserve">Véase </w:t>
      </w:r>
      <w:hyperlink w:history="1" w:anchor="b_senales_examen">
        <w:r>
          <w:rPr>
            <w:color w:val="156B70"/>
            <w:u w:val="single"/>
          </w:rPr>
          <w:t xml:space="preserve">1 indicación(es) de examen de este tramo, en el apéndice cronológico</w:t>
        </w:r>
      </w:hyperlink>
      <w:r>
        <w:t xml:space="preserve">, pág. </w:t>
      </w:r>
      <w:r>
        <w:fldChar w:fldCharType="begin"/>
        <w:instrText xml:space="preserve">PAGEREF b_senales_examen \h</w:instrText>
        <w:fldChar w:fldCharType="separate"/>
        <w:t xml:space="preserve">1663</w:t>
        <w:fldChar w:fldCharType="end"/>
      </w:r>
      <w:r>
        <w:t xml:space="preserve">.</w:t>
      </w:r>
    </w:p>
    <w:p>
      <w:pPr>
        <w:pStyle w:val="Fuente"/>
      </w:pPr>
      <w:r>
        <w:t xml:space="preserve">Véase </w:t>
      </w:r>
      <w:hyperlink w:history="1" w:anchor="b_2_1">
        <w:r>
          <w:rPr>
            <w:color w:val="156B70"/>
            <w:u w:val="single"/>
          </w:rPr>
          <w:t xml:space="preserve">capítulo 2.1 · Visión general</w:t>
        </w:r>
      </w:hyperlink>
      <w:r>
        <w:t xml:space="preserve">, pág. </w:t>
      </w:r>
      <w:r>
        <w:fldChar w:fldCharType="begin"/>
        <w:instrText xml:space="preserve">PAGEREF b_2_1 \h</w:instrText>
        <w:fldChar w:fldCharType="separate"/>
        <w:t xml:space="preserve">222</w:t>
        <w:fldChar w:fldCharType="end"/>
      </w:r>
      <w:r>
        <w:t xml:space="preserve">.</w:t>
      </w:r>
    </w:p>
    <w:p>
      <w:pPr>
        <w:pStyle w:val="Fuente"/>
      </w:pPr>
      <w:r>
        <w:t xml:space="preserve">Véase </w:t>
      </w:r>
      <w:hyperlink w:history="1" w:anchor="b_2_3">
        <w:r>
          <w:rPr>
            <w:color w:val="156B70"/>
            <w:u w:val="single"/>
          </w:rPr>
          <w:t xml:space="preserve">capítulo 2.3 · Estructura de los sistemas</w:t>
        </w:r>
      </w:hyperlink>
      <w:r>
        <w:t xml:space="preserve">, pág. </w:t>
      </w:r>
      <w:r>
        <w:fldChar w:fldCharType="begin"/>
        <w:instrText xml:space="preserve">PAGEREF b_2_3 \h</w:instrText>
        <w:fldChar w:fldCharType="separate"/>
        <w:t xml:space="preserve">259</w:t>
        <w:fldChar w:fldCharType="end"/>
      </w:r>
      <w:r>
        <w:t xml:space="preserve">.</w:t>
      </w:r>
    </w:p>
    <w:p>
      <w:pPr>
        <w:pStyle w:val="Heading3"/>
      </w:pPr>
      <w:bookmarkStart w:name="b_clase_2_5_c9_cap_04" w:id="1692"/>
      <w:r>
        <w:t xml:space="preserve">Clase 9 · 00:27:16–00:31:09 · Lectura del video: conglomerado, sinergia y sistemas adaptativos</w:t>
      </w:r>
      <w:bookmarkEnd w:id="1692"/>
    </w:p>
    <w:p>
      <w:bookmarkStart w:name="b_punto_c9_cap_04_p01" w:id="1693"/>
      <w:r>
        <w:t xml:space="preserve">El profesor considera el video una buena síntesis de los contenidos de U2.</w:t>
      </w:r>
      <w:bookmarkEnd w:id="1693"/>
    </w:p>
    <w:p>
      <w:bookmarkStart w:name="b_punto_c9_cap_04_p02" w:id="1694"/>
      <w:r>
        <w:t xml:space="preserve">Los sistemas sin emergencia del video equivalen a conglomerados: sin relaciones sinergéticas no se aplica plenamente el concepto de sistema.</w:t>
      </w:r>
      <w:bookmarkEnd w:id="1694"/>
    </w:p>
    <w:p>
      <w:pPr>
        <w:pStyle w:val="Fuente"/>
      </w:pPr>
      <w:r>
        <w:t xml:space="preserve">Véase </w:t>
      </w:r>
      <w:hyperlink w:history="1" w:anchor="b_2_6">
        <w:r>
          <w:rPr>
            <w:color w:val="156B70"/>
            <w:u w:val="single"/>
          </w:rPr>
          <w:t xml:space="preserve">capítulo 2.6 · Complejidad sistémica</w:t>
        </w:r>
      </w:hyperlink>
      <w:r>
        <w:t xml:space="preserve">, pág. </w:t>
      </w:r>
      <w:r>
        <w:fldChar w:fldCharType="begin"/>
        <w:instrText xml:space="preserve">PAGEREF b_2_6 \h</w:instrText>
        <w:fldChar w:fldCharType="separate"/>
        <w:t xml:space="preserve">308</w:t>
        <w:fldChar w:fldCharType="end"/>
      </w:r>
      <w:r>
        <w:t xml:space="preserve">.</w:t>
      </w:r>
    </w:p>
    <w:p>
      <w:pPr>
        <w:pStyle w:val="Heading3"/>
      </w:pPr>
      <w:bookmarkStart w:name="b_clase_2_5_c9_cap_08" w:id="1695"/>
      <w:r>
        <w:t xml:space="preserve">Clase 9 · 00:49:25–00:59:30 · Entropía y neguentropía</w:t>
      </w:r>
      <w:bookmarkEnd w:id="1695"/>
    </w:p>
    <w:p>
      <w:bookmarkStart w:name="b_punto_c9_cap_08_p01" w:id="1696"/>
      <w:r>
        <w:t xml:space="preserve">El profesor traslada desde la termodinámica una lectura abstracta de entropía como orden o desorden de las relaciones.</w:t>
      </w:r>
      <w:bookmarkEnd w:id="1696"/>
    </w:p>
    <w:p>
      <w:bookmarkStart w:name="b_punto_c9_cap_08_p02" w:id="1697"/>
      <w:r>
        <w:t xml:space="preserve">La mariposa desordenada ejemplifica entropía alta: no aparece la emergencia esperada aunque se sospeche que antes había un sistema.</w:t>
      </w:r>
      <w:bookmarkEnd w:id="1697"/>
    </w:p>
    <w:p>
      <w:bookmarkStart w:name="b_punto_c9_cap_08_p03" w:id="1698"/>
      <w:r>
        <w:t xml:space="preserve">El auto desarmado es conglomerado; ordenar e integrar piezas devuelve la función de transporte y una entropía baja dentro de la analogía.</w:t>
      </w:r>
      <w:bookmarkEnd w:id="1698"/>
    </w:p>
    <w:p>
      <w:bookmarkStart w:name="b_punto_c9_cap_08_p04" w:id="1699"/>
      <w:r>
        <w:t xml:space="preserve">Uso y medio deterioran relaciones; la escala cualitativa pasa de resultados adecuados a dificultades y luego pérdida de emergencia.</w:t>
      </w:r>
      <w:bookmarkEnd w:id="1699"/>
    </w:p>
    <w:p>
      <w:bookmarkStart w:name="b_punto_c9_cap_08_p05" w:id="1700"/>
      <w:r>
        <w:t xml:space="preserve">El huevo roto es el caso declarado imposible de reconformar; ni vehículo ni mosaico se declaran irreversibles.</w:t>
      </w:r>
      <w:bookmarkEnd w:id="1700"/>
    </w:p>
    <w:p>
      <w:bookmarkStart w:name="b_punto_c9_cap_08_p06" w:id="1701"/>
      <w:r>
        <w:t xml:space="preserve">La neguentropía se lee como fuerza que reintegra, energía importada del ambiente y mecanismo autorregulador que ordena relaciones e información.</w:t>
      </w:r>
      <w:bookmarkEnd w:id="1701"/>
    </w:p>
    <w:p>
      <w:bookmarkStart w:name="b_punto_c9_cap_08_p07" w:id="1702"/>
      <w:r>
        <w:t xml:space="preserve">Sin mantenimiento, polvo o humedad afectan el teclado: se deteriora la entrada de datos y el logro del objetivo original.</w:t>
      </w:r>
      <w:bookmarkEnd w:id="1702"/>
    </w:p>
    <w:p>
      <w:pPr>
        <w:pStyle w:val="Fuente"/>
      </w:pPr>
      <w:r>
        <w:t xml:space="preserve">Véase </w:t>
      </w:r>
      <w:hyperlink w:history="1" w:anchor="b_2_8">
        <w:r>
          <w:rPr>
            <w:color w:val="156B70"/>
            <w:u w:val="single"/>
          </w:rPr>
          <w:t xml:space="preserve">capítulo 2.8 · Otros conceptos de la TGS</w:t>
        </w:r>
      </w:hyperlink>
      <w:r>
        <w:t xml:space="preserve">, pág. </w:t>
      </w:r>
      <w:r>
        <w:fldChar w:fldCharType="begin"/>
        <w:instrText xml:space="preserve">PAGEREF b_2_8 \h</w:instrText>
        <w:fldChar w:fldCharType="separate"/>
        <w:t xml:space="preserve">345</w:t>
        <w:fldChar w:fldCharType="end"/>
      </w:r>
      <w:r>
        <w:t xml:space="preserve">.</w:t>
      </w:r>
    </w:p>
    <w:p>
      <w:pPr>
        <w:pStyle w:val="Heading3"/>
      </w:pPr>
      <w:bookmarkStart w:name="b_cita_clase_6_la_propiedad_eme_df65de21" w:id="1703"/>
      <w:r>
        <w:t xml:space="preserve">Palabras del profesor</w:t>
      </w:r>
      <w:bookmarkEnd w:id="1703"/>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El profesor lo dijo así</w:t>
            </w:r>
          </w:p>
          <w:p>
            <w:pPr>
              <w:pStyle w:val="Recuadro"/>
            </w:pPr>
            <w:r>
              <w:t xml:space="preserve">«La propiedad emergente es una característica del sistema en su totalidad y no de una parte del sistema. La propiedad emergente se identifica solo cuando vemos las partes del sistema completamente interactuando entre sí y en dinámica completa del sistema.»</w:t>
            </w:r>
          </w:p>
          <w:p>
            <w:pPr>
              <w:pStyle w:val="Recuadro"/>
            </w:pPr>
            <w:r>
              <w:t xml:space="preserve">Clase 6 · 01:32:10–01:32:25</w:t>
            </w:r>
          </w:p>
        </w:tc>
      </w:tr>
    </w:tbl>
    <w:p>
      <w:pPr>
        <w:pStyle w:val="Heading3"/>
      </w:pPr>
      <w:bookmarkStart w:name="b_cita_clase_8_sinergia_diferen_28afc1f2" w:id="1704"/>
      <w:r>
        <w:t xml:space="preserve">Palabras del profesor</w:t>
      </w:r>
      <w:bookmarkEnd w:id="1704"/>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El profesor lo dijo así</w:t>
            </w:r>
          </w:p>
          <w:p>
            <w:pPr>
              <w:pStyle w:val="Recuadro"/>
            </w:pPr>
            <w:r>
              <w:t xml:space="preserve">«La sinergia es una característica fundamental de los sistemas que diferencia un sistema de un montón de partes o un conglomerado de elementos que no representan algo que emerge de esas interacciones.»</w:t>
            </w:r>
          </w:p>
          <w:p>
            <w:pPr>
              <w:pStyle w:val="Recuadro"/>
            </w:pPr>
            <w:r>
              <w:t xml:space="preserve">Clase 8 · 00:31:25–00:31:52</w:t>
            </w:r>
          </w:p>
        </w:tc>
      </w:tr>
    </w:tbl>
    <w:p>
      <w:pPr>
        <w:pStyle w:val="Heading3"/>
      </w:pPr>
      <w:bookmarkStart w:name="b_cita_clase_8_uno_mas_uno_es_tres" w:id="1705"/>
      <w:r>
        <w:t xml:space="preserve">Palabras del profesor</w:t>
      </w:r>
      <w:bookmarkEnd w:id="1705"/>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El profesor lo dijo así</w:t>
            </w:r>
          </w:p>
          <w:p>
            <w:pPr>
              <w:pStyle w:val="Recuadro"/>
            </w:pPr>
            <w:r>
              <w:t xml:space="preserve">«La suma sinérgica de uno más uno es igual a tres: al interactuar, dos elementos generan una propiedad adicional que no es una tercera parte, sino algo que emerge de sus interacciones.»</w:t>
            </w:r>
          </w:p>
          <w:p>
            <w:pPr>
              <w:pStyle w:val="Recuadro"/>
            </w:pPr>
            <w:r>
              <w:t xml:space="preserve">Clase 8 · 00:32:49–00:33:53</w:t>
            </w:r>
          </w:p>
        </w:tc>
      </w:tr>
    </w:tbl>
    <w:p>
      <w:pPr>
        <w:pStyle w:val="Heading3"/>
      </w:pPr>
      <w:bookmarkStart w:name="b_cita_clase_8_propiedades_emer_8639c074" w:id="1706"/>
      <w:r>
        <w:t xml:space="preserve">Palabras del profesor</w:t>
      </w:r>
      <w:bookmarkEnd w:id="1706"/>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El profesor lo dijo así</w:t>
            </w:r>
          </w:p>
          <w:p>
            <w:pPr>
              <w:pStyle w:val="Recuadro"/>
            </w:pPr>
            <w:r>
              <w:t xml:space="preserve">«Las propiedades emergentes surgen de la integración completa de las partes del sistema interactuando adecuadamente y solo se pueden ver cuando vemos la totalidad.»</w:t>
            </w:r>
          </w:p>
          <w:p>
            <w:pPr>
              <w:pStyle w:val="Recuadro"/>
            </w:pPr>
            <w:r>
              <w:t xml:space="preserve">Clase 8 · 00:42:44–00:43:21</w:t>
            </w:r>
          </w:p>
        </w:tc>
      </w:tr>
    </w:tbl>
    <w:p>
      <w:pPr>
        <w:pStyle w:val="Heading3"/>
      </w:pPr>
      <w:bookmarkStart w:name="b_cita_clase_8_sinergia_cuando__9bb1ad61" w:id="1707"/>
      <w:r>
        <w:t xml:space="preserve">Palabras del profesor</w:t>
      </w:r>
      <w:bookmarkEnd w:id="1707"/>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El profesor lo dijo así</w:t>
            </w:r>
          </w:p>
          <w:p>
            <w:pPr>
              <w:pStyle w:val="Recuadro"/>
            </w:pPr>
            <w:r>
              <w:t xml:space="preserve">«Existe sinergia en un sistema cuando al examinar individualmente sus partes no se llega a explicar el comportamiento del conjunto, y mucho menos a predecirlo: lo que caracteriza a la totalidad es el todo, no las partes.»</w:t>
            </w:r>
          </w:p>
          <w:p>
            <w:pPr>
              <w:pStyle w:val="Recuadro"/>
            </w:pPr>
            <w:r>
              <w:t xml:space="preserve">Clase 8 · 00:35:58–00:36:30</w:t>
            </w:r>
          </w:p>
        </w:tc>
      </w:tr>
    </w:tbl>
    <w:p>
      <w:pPr>
        <w:pStyle w:val="Heading3"/>
      </w:pPr>
      <w:bookmarkStart w:name="b_cita_clase_9_relaciones_siner_894929d7" w:id="1708"/>
      <w:r>
        <w:t xml:space="preserve">Palabras del profesor</w:t>
      </w:r>
      <w:bookmarkEnd w:id="1708"/>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El profesor lo dijo así</w:t>
            </w:r>
          </w:p>
          <w:p>
            <w:pPr>
              <w:pStyle w:val="Recuadro"/>
            </w:pPr>
            <w:r>
              <w:t xml:space="preserve">«Lo que da realmente un sentido a los sistemas son las relaciones sinergéticas que se establecen, que es lo que da la interconectividad de los sistemas.»</w:t>
            </w:r>
          </w:p>
          <w:p>
            <w:pPr>
              <w:pStyle w:val="Recuadro"/>
            </w:pPr>
            <w:r>
              <w:t xml:space="preserve">Clase 9 · 00:27:58–00:28:12</w:t>
            </w:r>
          </w:p>
        </w:tc>
      </w:tr>
    </w:tbl>
    <w:p>
      <w:pPr>
        <w:pStyle w:val="Heading3"/>
      </w:pPr>
      <w:bookmarkStart w:name="b_cita_clase_9_sin_sinergia_no__671157a0" w:id="1709"/>
      <w:r>
        <w:t xml:space="preserve">Palabras del profesor</w:t>
      </w:r>
      <w:bookmarkEnd w:id="1709"/>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El profesor lo dijo así</w:t>
            </w:r>
          </w:p>
          <w:p>
            <w:pPr>
              <w:pStyle w:val="Recuadro"/>
            </w:pPr>
            <w:r>
              <w:t xml:space="preserve">«Ese conjunto de partes que llama sistemas sin emergencia son los que denominábamos en clase como conglomerados, conjuntos de elementos que no tienen en sí sinergia; al no tener sinergia no existe la aplicación completa del concepto de sistema.»</w:t>
            </w:r>
          </w:p>
          <w:p>
            <w:pPr>
              <w:pStyle w:val="Recuadro"/>
            </w:pPr>
            <w:r>
              <w:t xml:space="preserve">Clase 9 · 00:27:27–00:28:01</w:t>
            </w:r>
          </w:p>
        </w:tc>
      </w:tr>
    </w:tbl>
    <w:p>
      <w:pPr>
        <w:pStyle w:val="Heading3"/>
      </w:pPr>
      <w:r>
        <w:t xml:space="preserve">Errores frecuentes y trampa de examen</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9C620A" w:sz="20"/>
              <w:bottom w:val="nil"/>
              <w:right w:val="nil"/>
            </w:tcBorders>
            <w:shd w:fill="FBF3DF" w:val="clear"/>
            <w:tcMar>
              <w:top w:type="dxa" w:w="130"/>
              <w:left w:type="dxa" w:w="180"/>
              <w:bottom w:type="dxa" w:w="130"/>
              <w:right w:type="dxa" w:w="180"/>
            </w:tcMar>
          </w:tcPr>
          <w:p>
            <w:pPr>
              <w:pStyle w:val="RecuadroTitulo"/>
            </w:pPr>
            <w:r>
              <w:rPr>
                <w:b/>
                <w:bCs/>
                <w:color w:val="9C620A"/>
              </w:rPr>
              <w:t xml:space="preserve">Error → corrección</w:t>
            </w:r>
          </w:p>
          <w:p>
            <w:pPr>
              <w:pStyle w:val="Recuadro"/>
            </w:pPr>
            <w:r>
              <w:rPr>
                <w:b/>
                <w:bCs/>
              </w:rPr>
              <w:t xml:space="preserve">Error:</w:t>
            </w:r>
            <w:r>
              <w:t xml:space="preserve"> Creer que «uno más uno es tres» significa que aparece una tercera parte o que el rendimiento se triplica.</w:t>
            </w:r>
          </w:p>
          <w:p>
            <w:pPr>
              <w:pStyle w:val="Recuadro"/>
            </w:pPr>
            <w:r>
              <w:rPr>
                <w:b/>
                <w:bCs/>
              </w:rPr>
              <w:t xml:space="preserve">Corrección:</w:t>
            </w:r>
            <w:r>
              <w:t xml:space="preserve"> Es una tercera cualidad emergente que producen dos elementos al relacionarse; nada se añade como pieza.</w:t>
            </w:r>
          </w:p>
          <w:p>
            <w:pPr>
              <w:pStyle w:val="Recuadro"/>
            </w:pPr>
            <w:r>
              <w:t xml:space="preserve">Clase 8 · 00:32:49–00:34:41</w:t>
            </w:r>
          </w:p>
        </w:tc>
      </w:tr>
    </w:tbl>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9C620A" w:sz="20"/>
              <w:bottom w:val="nil"/>
              <w:right w:val="nil"/>
            </w:tcBorders>
            <w:shd w:fill="FBF3DF" w:val="clear"/>
            <w:tcMar>
              <w:top w:type="dxa" w:w="130"/>
              <w:left w:type="dxa" w:w="180"/>
              <w:bottom w:type="dxa" w:w="130"/>
              <w:right w:type="dxa" w:w="180"/>
            </w:tcMar>
          </w:tcPr>
          <w:p>
            <w:pPr>
              <w:pStyle w:val="RecuadroTitulo"/>
            </w:pPr>
            <w:r>
              <w:rPr>
                <w:b/>
                <w:bCs/>
                <w:color w:val="9C620A"/>
              </w:rPr>
              <w:t xml:space="preserve">Error → corrección</w:t>
            </w:r>
          </w:p>
          <w:p>
            <w:pPr>
              <w:pStyle w:val="Recuadro"/>
            </w:pPr>
            <w:r>
              <w:rPr>
                <w:b/>
                <w:bCs/>
              </w:rPr>
              <w:t xml:space="preserve">Error:</w:t>
            </w:r>
            <w:r>
              <w:t xml:space="preserve"> Buscar la propiedad emergente en alguna de las partes.</w:t>
            </w:r>
          </w:p>
          <w:p>
            <w:pPr>
              <w:pStyle w:val="Recuadro"/>
            </w:pPr>
            <w:r>
              <w:rPr>
                <w:b/>
                <w:bCs/>
              </w:rPr>
              <w:t xml:space="preserve">Corrección:</w:t>
            </w:r>
            <w:r>
              <w:t xml:space="preserve"> Es del sistema en su totalidad; se identifica sólo con las partes interactuando en la dinámica completa, y no se predice dividiendo y analizando, salvo en sistemas simples.</w:t>
            </w:r>
          </w:p>
          <w:p>
            <w:pPr>
              <w:pStyle w:val="Recuadro"/>
            </w:pPr>
            <w:r>
              <w:t xml:space="preserve">Clase 6 · 01:32:06–01:32:29 · Clase 8 · 00:50:01–00:50:30</w:t>
            </w:r>
          </w:p>
        </w:tc>
      </w:tr>
    </w:tbl>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9C620A" w:sz="20"/>
              <w:bottom w:val="nil"/>
              <w:right w:val="nil"/>
            </w:tcBorders>
            <w:shd w:fill="FBF3DF" w:val="clear"/>
            <w:tcMar>
              <w:top w:type="dxa" w:w="130"/>
              <w:left w:type="dxa" w:w="180"/>
              <w:bottom w:type="dxa" w:w="130"/>
              <w:right w:type="dxa" w:w="180"/>
            </w:tcMar>
          </w:tcPr>
          <w:p>
            <w:pPr>
              <w:pStyle w:val="RecuadroTitulo"/>
            </w:pPr>
            <w:r>
              <w:rPr>
                <w:b/>
                <w:bCs/>
                <w:color w:val="9C620A"/>
              </w:rPr>
              <w:t xml:space="preserve">Error → corrección</w:t>
            </w:r>
          </w:p>
          <w:p>
            <w:pPr>
              <w:pStyle w:val="Recuadro"/>
            </w:pPr>
            <w:r>
              <w:rPr>
                <w:b/>
                <w:bCs/>
              </w:rPr>
              <w:t xml:space="preserve">Error:</w:t>
            </w:r>
            <w:r>
              <w:t xml:space="preserve"> Suponer que toda sinergia favorece el objetivo.</w:t>
            </w:r>
          </w:p>
          <w:p>
            <w:pPr>
              <w:pStyle w:val="Recuadro"/>
            </w:pPr>
            <w:r>
              <w:rPr>
                <w:b/>
                <w:bCs/>
              </w:rPr>
              <w:t xml:space="preserve">Corrección:</w:t>
            </w:r>
            <w:r>
              <w:t xml:space="preserve"> Juntar partes inconvenientes produce sinergia en sentido opuesto al objetivo.</w:t>
            </w:r>
          </w:p>
          <w:p>
            <w:pPr>
              <w:pStyle w:val="Recuadro"/>
            </w:pPr>
            <w:r>
              <w:t xml:space="preserve">Clase 8 · 00:34:48–00:35:24</w:t>
            </w:r>
          </w:p>
        </w:tc>
      </w:tr>
    </w:tbl>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9C620A" w:sz="20"/>
              <w:bottom w:val="nil"/>
              <w:right w:val="nil"/>
            </w:tcBorders>
            <w:shd w:fill="FBF3DF" w:val="clear"/>
            <w:tcMar>
              <w:top w:type="dxa" w:w="130"/>
              <w:left w:type="dxa" w:w="180"/>
              <w:bottom w:type="dxa" w:w="130"/>
              <w:right w:type="dxa" w:w="180"/>
            </w:tcMar>
          </w:tcPr>
          <w:p>
            <w:pPr>
              <w:pStyle w:val="RecuadroTitulo"/>
            </w:pPr>
            <w:r>
              <w:rPr>
                <w:b/>
                <w:bCs/>
                <w:color w:val="9C620A"/>
              </w:rPr>
              <w:t xml:space="preserve">Error → corrección</w:t>
            </w:r>
          </w:p>
          <w:p>
            <w:pPr>
              <w:pStyle w:val="Recuadro"/>
            </w:pPr>
            <w:r>
              <w:rPr>
                <w:b/>
                <w:bCs/>
              </w:rPr>
              <w:t xml:space="preserve">Error:</w:t>
            </w:r>
            <w:r>
              <w:t xml:space="preserve"> Estudiar un sistema como si fuera un conglomerado, pieza por pieza.</w:t>
            </w:r>
          </w:p>
          <w:p>
            <w:pPr>
              <w:pStyle w:val="Recuadro"/>
            </w:pPr>
            <w:r>
              <w:rPr>
                <w:b/>
                <w:bCs/>
              </w:rPr>
              <w:t xml:space="preserve">Corrección:</w:t>
            </w:r>
            <w:r>
              <w:t xml:space="preserve"> Eso limita la perspectiva: el análisis descarta las relaciones donde se manifiesta la sinergia; entender un sistema exige conocer su lógica, no sólo sus piezas.</w:t>
            </w:r>
          </w:p>
          <w:p>
            <w:pPr>
              <w:pStyle w:val="Recuadro"/>
            </w:pPr>
            <w:r>
              <w:t xml:space="preserve">Clase 8 · 00:43:01–00:45:42 · Clase 8 · 00:47:06–00:49:05</w:t>
            </w:r>
          </w:p>
        </w:tc>
      </w:tr>
    </w:tbl>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9C620A" w:sz="20"/>
              <w:bottom w:val="nil"/>
              <w:right w:val="nil"/>
            </w:tcBorders>
            <w:shd w:fill="FBF3DF" w:val="clear"/>
            <w:tcMar>
              <w:top w:type="dxa" w:w="130"/>
              <w:left w:type="dxa" w:w="180"/>
              <w:bottom w:type="dxa" w:w="130"/>
              <w:right w:type="dxa" w:w="180"/>
            </w:tcMar>
          </w:tcPr>
          <w:p>
            <w:pPr>
              <w:pStyle w:val="RecuadroTitulo"/>
            </w:pPr>
            <w:r>
              <w:rPr>
                <w:b/>
                <w:bCs/>
                <w:color w:val="9C620A"/>
              </w:rPr>
              <w:t xml:space="preserve">Trampa de examen</w:t>
            </w:r>
          </w:p>
          <w:p>
            <w:pPr>
              <w:pStyle w:val="Recuadro"/>
            </w:pPr>
            <w:r>
              <w:t xml:space="preserve">Sinergia y emergencia no son lo mismo aunque nacen de las mismas interacciones: sinergia es que las partes juntas den más allá de sí mismas («uno más uno es tres»); propiedad emergente es la característica que sólo tiene la totalidad. Y el conglomerado no es «un sistema pequeño»: es un conjunto sin sinergia al que la clase no le aplica por completo el concepto de sistema.</w:t>
            </w:r>
          </w:p>
        </w:tc>
      </w:tr>
    </w:tbl>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Ampliación: lo no dictado en clase</w:t>
            </w:r>
          </w:p>
          <w:p>
            <w:pPr>
              <w:pStyle w:val="Recuadro"/>
            </w:pPr>
            <w:r>
              <w:t xml:space="preserve">Los nombres «diferenciación» e «integración» para el análisis y la síntesis, y los ejemplos del agua o la orquesta, vienen de las lecturas; la clase trabajó con el mosaico, el vehículo y el huevo, y sólo dijo que el pensamiento sistémico combina análisis y síntesis con más énfasis en la síntesis.</w:t>
            </w:r>
          </w:p>
        </w:tc>
      </w:tr>
    </w:tbl>
    <w:p>
      <w:pPr>
        <w:pStyle w:val="Heading3"/>
      </w:pPr>
      <w:r>
        <w:t xml:space="preserve">Lecturas y tareas del curso</w:t>
      </w:r>
    </w:p>
    <w:p>
      <w:pPr>
        <w:pStyle w:val="Normal"/>
      </w:pPr>
      <w:r>
        <w:t xml:space="preserve">C-6 · Unidad 2 · Teoría de sistemas y pensamiento sistémico (presentación). 65 páginas con teoría de sistemas, elementos, estructura, función, niveles, sinergia, emergencia, complejidad y universo de sistemas. Copia íntegra de la presentación del profesor.</w:t>
      </w:r>
    </w:p>
    <w:p>
      <w:pPr>
        <w:pStyle w:val="Normal"/>
      </w:pPr>
      <w:r>
        <w:t xml:space="preserve">L-6 · El paradigma sistémico: Teoría General de Sistemas. Lectura que presenta la Teoría General de Sistemas como paradigma: de dónde surge, qué problema resuelve frente a la fragmentación disciplinaria y qué compromisos impone al observador.</w:t>
      </w:r>
    </w:p>
    <w:p>
      <w:pPr>
        <w:pStyle w:val="Heading3"/>
      </w:pPr>
      <w:r>
        <w:t xml:space="preserve">Práctica de los laboratorios</w:t>
      </w:r>
    </w:p>
    <w:p>
      <w:pPr>
        <w:pStyle w:val="Normal"/>
      </w:pPr>
      <w:r>
        <w:t xml:space="preserve">Los procedimientos del capítulo permiten reconstruir en papel la práctica interactiva. Los laboratorios originales permanecen disponibles en la lección del portal.</w:t>
      </w:r>
    </w:p>
    <w:p>
      <w:pPr>
        <w:pStyle w:val="Normal"/>
        <w:numPr>
          <w:ilvl w:val="0"/>
          <w:numId w:val="2"/>
        </w:numPr>
      </w:pPr>
      <w:r>
        <w:t xml:space="preserve">De montón a sistema: ver aparecer la emergencia</w:t>
      </w:r>
    </w:p>
    <w:p>
      <w:pPr>
        <w:pStyle w:val="Normal"/>
        <w:numPr>
          <w:ilvl w:val="0"/>
          <w:numId w:val="2"/>
        </w:numPr>
      </w:pPr>
      <w:r>
        <w:t xml:space="preserve">El mosaico: sinergia y emergencia sobre las mismas teselas</w:t>
      </w:r>
    </w:p>
    <w:p>
      <w:pPr>
        <w:pStyle w:val="Heading3"/>
      </w:pPr>
      <w:r>
        <w:t xml:space="preserve">Autoevaluación</w:t>
      </w:r>
    </w:p>
    <w:p>
      <w:pPr>
        <w:pStyle w:val="Normal"/>
      </w:pPr>
      <w:r>
        <w:t xml:space="preserve">Resuelva sin consultar las respuestas. Compruebe al final del capítulo por qué cada opción es correcta o incorrecta.</w:t>
      </w:r>
    </w:p>
    <w:p>
      <w:pPr>
        <w:pStyle w:val="Heading3"/>
      </w:pPr>
      <w:bookmarkStart w:name="b_pregunta_auto_2_5_1" w:id="1710"/>
      <w:r>
        <w:t xml:space="preserve">2.5-A1 · Las mismas piezas dejan de mostrar una mariposa al dispersarse. ¿Qué cambió que importa para la emergencia?</w:t>
      </w:r>
      <w:bookmarkEnd w:id="1710"/>
    </w:p>
    <w:p>
      <w:pPr>
        <w:pStyle w:val="Normal"/>
      </w:pPr>
      <w:r>
        <w:t xml:space="preserve">a) Las relaciones y la organización del conjunto</w:t>
      </w:r>
    </w:p>
    <w:p>
      <w:pPr>
        <w:pStyle w:val="Normal"/>
      </w:pPr>
      <w:r>
        <w:t xml:space="preserve">b) La necesidad de analizar cualquier pieza</w:t>
      </w:r>
    </w:p>
    <w:p>
      <w:pPr>
        <w:pStyle w:val="Normal"/>
      </w:pPr>
      <w:r>
        <w:t xml:space="preserve">c) El número de colores demuestra que no hay sistema</w:t>
      </w:r>
    </w:p>
    <w:p>
      <w:pPr>
        <w:pStyle w:val="Normal"/>
      </w:pPr>
      <w:r>
        <w:t xml:space="preserve">d) Cada pieza perdió por sí sola una mariposa que contenía entera</w:t>
      </w:r>
    </w:p>
    <w:p>
      <w:pPr>
        <w:pStyle w:val="Heading3"/>
      </w:pPr>
      <w:bookmarkStart w:name="b_pregunta_auto_2_5_2" w:id="1711"/>
      <w:r>
        <w:t xml:space="preserve">2.5-A2 · El principio «el todo es más que la suma de las partes» significa que…</w:t>
      </w:r>
      <w:bookmarkEnd w:id="1711"/>
    </w:p>
    <w:p>
      <w:pPr>
        <w:pStyle w:val="Normal"/>
      </w:pPr>
      <w:r>
        <w:t xml:space="preserve">a) las partes no importan, solo cuenta el todo</w:t>
      </w:r>
    </w:p>
    <w:p>
      <w:pPr>
        <w:pStyle w:val="Normal"/>
      </w:pPr>
      <w:r>
        <w:t xml:space="preserve">b) al combinar las partes surgen propiedades que ninguna tenía por separado</w:t>
      </w:r>
    </w:p>
    <w:p>
      <w:pPr>
        <w:pStyle w:val="Normal"/>
      </w:pPr>
      <w:r>
        <w:t xml:space="preserve">c) un sistema siempre pesa más que sus componentes juntos</w:t>
      </w:r>
    </w:p>
    <w:p>
      <w:pPr>
        <w:pStyle w:val="Normal"/>
      </w:pPr>
      <w:r>
        <w:t xml:space="preserve">d) para entender un sistema basta con estudiar cada parte aislada</w:t>
      </w:r>
    </w:p>
    <w:p>
      <w:pPr>
        <w:pStyle w:val="Heading3"/>
      </w:pPr>
      <w:bookmarkStart w:name="b_pregunta_auto_2_5_3" w:id="1712"/>
      <w:r>
        <w:t xml:space="preserve">2.5-A3 · Según Buckminster Fuller, la sinergia se define mejor como…</w:t>
      </w:r>
      <w:bookmarkEnd w:id="1712"/>
    </w:p>
    <w:p>
      <w:pPr>
        <w:pStyle w:val="Normal"/>
      </w:pPr>
      <w:r>
        <w:t xml:space="preserve">a) la suma exacta del comportamiento de las partes</w:t>
      </w:r>
    </w:p>
    <w:p>
      <w:pPr>
        <w:pStyle w:val="Normal"/>
      </w:pPr>
      <w:r>
        <w:t xml:space="preserve">b) el comportamiento del todo que no puede predecirse a partir de las partes por separado</w:t>
      </w:r>
    </w:p>
    <w:p>
      <w:pPr>
        <w:pStyle w:val="Normal"/>
      </w:pPr>
      <w:r>
        <w:t xml:space="preserve">c) el estudio en profundidad de una sola parte del sistema</w:t>
      </w:r>
    </w:p>
    <w:p>
      <w:pPr>
        <w:pStyle w:val="Normal"/>
      </w:pPr>
      <w:r>
        <w:t xml:space="preserve">d) la descomposición de un sistema en sus piezas mínimas</w:t>
      </w:r>
    </w:p>
    <w:p>
      <w:pPr>
        <w:pStyle w:val="Heading3"/>
      </w:pPr>
      <w:bookmarkStart w:name="b_pregunta_auto_2_5_4" w:id="1713"/>
      <w:r>
        <w:t xml:space="preserve">2.5-A4 · ¿Cuál de estos casos describe mejor una propiedad EMERGENTE (cualitativamente nueva)?</w:t>
      </w:r>
      <w:bookmarkEnd w:id="1713"/>
    </w:p>
    <w:p>
      <w:pPr>
        <w:pStyle w:val="Normal"/>
      </w:pPr>
      <w:r>
        <w:t xml:space="preserve">a) Un equipo coordinado rinde un 20 % más que la suma de esfuerzos individuales</w:t>
      </w:r>
    </w:p>
    <w:p>
      <w:pPr>
        <w:pStyle w:val="Normal"/>
      </w:pPr>
      <w:r>
        <w:t xml:space="preserve">b) El agua «moja» y apaga el fuego, algo que ni el hidrógeno ni el oxígeno hacen</w:t>
      </w:r>
    </w:p>
    <w:p>
      <w:pPr>
        <w:pStyle w:val="Normal"/>
      </w:pPr>
      <w:r>
        <w:t xml:space="preserve">c) Dos motores entregan más potencia total que uno solo</w:t>
      </w:r>
    </w:p>
    <w:p>
      <w:pPr>
        <w:pStyle w:val="Normal"/>
      </w:pPr>
      <w:r>
        <w:t xml:space="preserve">d) Contratar más obreros acelera la construcción de un muro</w:t>
      </w:r>
    </w:p>
    <w:p>
      <w:pPr>
        <w:pStyle w:val="Heading3"/>
      </w:pPr>
      <w:bookmarkStart w:name="b_pregunta_auto_2_5_5" w:id="1714"/>
      <w:r>
        <w:t xml:space="preserve">2.5-A5 · Una bolsa con todas las piezas de un reloj revueltas no da la hora. Esto muestra que la propiedad emergente depende sobre todo de…</w:t>
      </w:r>
      <w:bookmarkEnd w:id="1714"/>
    </w:p>
    <w:p>
      <w:pPr>
        <w:pStyle w:val="Normal"/>
      </w:pPr>
      <w:r>
        <w:t xml:space="preserve">a) el número de piezas</w:t>
      </w:r>
    </w:p>
    <w:p>
      <w:pPr>
        <w:pStyle w:val="Normal"/>
      </w:pPr>
      <w:r>
        <w:t xml:space="preserve">b) el peso total del conjunto</w:t>
      </w:r>
    </w:p>
    <w:p>
      <w:pPr>
        <w:pStyle w:val="Normal"/>
      </w:pPr>
      <w:r>
        <w:t xml:space="preserve">c) la organización y las relaciones entre las partes (la estructura)</w:t>
      </w:r>
    </w:p>
    <w:p>
      <w:pPr>
        <w:pStyle w:val="Normal"/>
      </w:pPr>
      <w:r>
        <w:t xml:space="preserve">d) el material del que están hechas las piezas</w:t>
      </w:r>
    </w:p>
    <w:p>
      <w:pPr>
        <w:pStyle w:val="Heading3"/>
      </w:pPr>
      <w:bookmarkStart w:name="b_pregunta_auto_2_5_6" w:id="1715"/>
      <w:r>
        <w:t xml:space="preserve">2.5-A6 · En una murmuración (bandada) de aves, el patrón global de vuelo…</w:t>
      </w:r>
      <w:bookmarkEnd w:id="1715"/>
    </w:p>
    <w:p>
      <w:pPr>
        <w:pStyle w:val="Normal"/>
      </w:pPr>
      <w:r>
        <w:t xml:space="preserve">a) lo dicta un ave líder que planifica la figura completa</w:t>
      </w:r>
    </w:p>
    <w:p>
      <w:pPr>
        <w:pStyle w:val="Normal"/>
      </w:pPr>
      <w:r>
        <w:t xml:space="preserve">b) emerge de reglas locales simples que muchas aves aplican al interactuar</w:t>
      </w:r>
    </w:p>
    <w:p>
      <w:pPr>
        <w:pStyle w:val="Normal"/>
      </w:pPr>
      <w:r>
        <w:t xml:space="preserve">c) está escrito por completo en los genes de una sola ave</w:t>
      </w:r>
    </w:p>
    <w:p>
      <w:pPr>
        <w:pStyle w:val="Normal"/>
      </w:pPr>
      <w:r>
        <w:t xml:space="preserve">d) es imposible sin un director externo que coordine a todas</w:t>
      </w:r>
    </w:p>
    <w:p>
      <w:pPr>
        <w:pStyle w:val="Heading3"/>
      </w:pPr>
      <w:bookmarkStart w:name="b_pregunta_auto_2_5_7" w:id="1716"/>
      <w:r>
        <w:t xml:space="preserve">2.5-A7 · ¿Por qué el enfoque puramente reduccionista (estudiar cada parte por separado) resulta insuficiente para un sistema?</w:t>
      </w:r>
      <w:bookmarkEnd w:id="1716"/>
    </w:p>
    <w:p>
      <w:pPr>
        <w:pStyle w:val="Normal"/>
      </w:pPr>
      <w:r>
        <w:t xml:space="preserve">a) porque las partes en realidad no existen</w:t>
      </w:r>
    </w:p>
    <w:p>
      <w:pPr>
        <w:pStyle w:val="Normal"/>
      </w:pPr>
      <w:r>
        <w:t xml:space="preserve">b) porque pierde las propiedades emergentes, que solo aparecen en las interacciones del todo</w:t>
      </w:r>
    </w:p>
    <w:p>
      <w:pPr>
        <w:pStyle w:val="Normal"/>
      </w:pPr>
      <w:r>
        <w:t xml:space="preserve">c) porque analizar las partes siempre conduce a un error</w:t>
      </w:r>
    </w:p>
    <w:p>
      <w:pPr>
        <w:pStyle w:val="Normal"/>
      </w:pPr>
      <w:r>
        <w:t xml:space="preserve">d) porque los sistemas no están hechos de partes</w:t>
      </w:r>
    </w:p>
    <w:p>
      <w:pPr>
        <w:pStyle w:val="Heading3"/>
      </w:pPr>
      <w:bookmarkStart w:name="b_pregunta_auto_2_5_8" w:id="1717"/>
      <w:r>
        <w:t xml:space="preserve">2.5-A8 · Para la Teoría General de Sistemas, un sistema es ante todo…</w:t>
      </w:r>
      <w:bookmarkEnd w:id="1717"/>
    </w:p>
    <w:p>
      <w:pPr>
        <w:pStyle w:val="Normal"/>
      </w:pPr>
      <w:r>
        <w:t xml:space="preserve">a) un montón de elementos sin relación entre sí</w:t>
      </w:r>
    </w:p>
    <w:p>
      <w:pPr>
        <w:pStyle w:val="Normal"/>
      </w:pPr>
      <w:r>
        <w:t xml:space="preserve">b) un conjunto de elementos en interacción, cuyo todo tiene propiedades ausentes en las partes aisladas</w:t>
      </w:r>
    </w:p>
    <w:p>
      <w:pPr>
        <w:pStyle w:val="Normal"/>
      </w:pPr>
      <w:r>
        <w:t xml:space="preserve">c) simplemente la parte más grande de un conjunto</w:t>
      </w:r>
    </w:p>
    <w:p>
      <w:pPr>
        <w:pStyle w:val="Normal"/>
      </w:pPr>
      <w:r>
        <w:t xml:space="preserve">d) una lista de componentes ordenada alfabéticamente</w:t>
      </w:r>
    </w:p>
    <w:p>
      <w:pPr>
        <w:pStyle w:val="Heading3"/>
      </w:pPr>
      <w:bookmarkStart w:name="b_pregunta_auto_2_5_9" w:id="1718"/>
      <w:r>
        <w:t xml:space="preserve">2.5-A9 · Al pasar de 2 a 4 partes que interactúan, el número de relaciones posibles (pares) pasa de 1 a…</w:t>
      </w:r>
      <w:bookmarkEnd w:id="1718"/>
    </w:p>
    <w:p>
      <w:pPr>
        <w:pStyle w:val="Normal"/>
      </w:pPr>
      <w:r>
        <w:t xml:space="preserve">a) 2</w:t>
      </w:r>
    </w:p>
    <w:p>
      <w:pPr>
        <w:pStyle w:val="Normal"/>
      </w:pPr>
      <w:r>
        <w:t xml:space="preserve">b) 4</w:t>
      </w:r>
    </w:p>
    <w:p>
      <w:pPr>
        <w:pStyle w:val="Normal"/>
      </w:pPr>
      <w:r>
        <w:t xml:space="preserve">c) 6</w:t>
      </w:r>
    </w:p>
    <w:p>
      <w:pPr>
        <w:pStyle w:val="Normal"/>
      </w:pPr>
      <w:r>
        <w:t xml:space="preserve">d) 12</w:t>
      </w:r>
    </w:p>
    <w:p>
      <w:pPr>
        <w:pStyle w:val="Heading3"/>
      </w:pPr>
      <w:bookmarkStart w:name="b_solucionario_2_5" w:id="1719"/>
      <w:r>
        <w:t xml:space="preserve">Solucionario del capítulo</w:t>
      </w:r>
      <w:bookmarkEnd w:id="1719"/>
    </w:p>
    <w:p>
      <w:pPr>
        <w:pStyle w:val="Heading3"/>
      </w:pPr>
      <w:r>
        <w:t xml:space="preserve">2.5-A1</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a) Las relaciones y la organización del conjunto</w:t>
            </w:r>
          </w:p>
        </w:tc>
      </w:tr>
    </w:tbl>
    <w:p>
      <w:pPr>
        <w:pStyle w:val="Normal"/>
      </w:pPr>
      <w:r>
        <w:t xml:space="preserve">La figura reconocible es una propiedad del conjunto organizado. Tener las mismas piezas no garantiza conservarla si se alteran las relaciones espaciales que la hacen aparecer; por eso composición y organización se distinguen.</w:t>
      </w:r>
    </w:p>
    <w:p>
      <w:pPr>
        <w:pStyle w:val="Fuente"/>
      </w:pPr>
      <w:r>
        <w:t xml:space="preserve">Presentación de la unidad 2 (C-6), pág. 44 y 45</w:t>
      </w:r>
    </w:p>
    <w:p>
      <w:pPr>
        <w:pStyle w:val="Heading3"/>
      </w:pPr>
      <w:r>
        <w:t xml:space="preserve">2.5-A2</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b) al combinar las partes surgen propiedades que ninguna tenía por separado</w:t>
            </w:r>
          </w:p>
        </w:tc>
      </w:tr>
    </w:tbl>
    <w:p>
      <w:pPr>
        <w:pStyle w:val="Normal"/>
      </w:pPr>
      <w:r>
        <w:t xml:space="preserve">El lema (de raíz aristotélica, central en la Teoría General de Sistemas) apunta a que la organización y las interacciones de las partes generan propiedades del conjunto que no existen en las piezas por separado.</w:t>
      </w:r>
    </w:p>
    <w:p>
      <w:pPr>
        <w:pStyle w:val="Normal"/>
      </w:pPr>
      <w:r>
        <w:t xml:space="preserve">a) No: las partes importan; lo que se añade son sus relaciones e interacciones.</w:t>
      </w:r>
    </w:p>
    <w:p>
      <w:pPr>
        <w:pStyle w:val="Normal"/>
      </w:pPr>
      <w:r>
        <w:t xml:space="preserve">b) Correcto: las relaciones entre las partes aportan propiedades nuevas del conjunto.</w:t>
      </w:r>
    </w:p>
    <w:p>
      <w:pPr>
        <w:pStyle w:val="Normal"/>
      </w:pPr>
      <w:r>
        <w:t xml:space="preserve">c) No se refiere al peso ni a una suma física, sino a propiedades del sistema.</w:t>
      </w:r>
    </w:p>
    <w:p>
      <w:pPr>
        <w:pStyle w:val="Normal"/>
      </w:pPr>
      <w:r>
        <w:t xml:space="preserve">d) Al contrario: estudiar solo las partes aisladas pierde lo que emerge del todo.</w:t>
      </w:r>
    </w:p>
    <w:p>
      <w:pPr>
        <w:pStyle w:val="Fuente"/>
      </w:pPr>
      <w:r>
        <w:t xml:space="preserve">von Bertalanffy · TGS</w:t>
      </w:r>
    </w:p>
    <w:p>
      <w:pPr>
        <w:pStyle w:val="Heading3"/>
      </w:pPr>
      <w:r>
        <w:t xml:space="preserve">2.5-A3</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b) el comportamiento del todo que no puede predecirse a partir de las partes por separado</w:t>
            </w:r>
          </w:p>
        </w:tc>
      </w:tr>
    </w:tbl>
    <w:p>
      <w:pPr>
        <w:pStyle w:val="Normal"/>
      </w:pPr>
      <w:r>
        <w:t xml:space="preserve">Fuller define la sinergia como «el comportamiento de sistemas completos no predecible por el comportamiento de sus partes tomadas por separado». El todo hace algo que las partes, sueltas, no anuncian.</w:t>
      </w:r>
    </w:p>
    <w:p>
      <w:pPr>
        <w:pStyle w:val="Fuente"/>
      </w:pPr>
      <w:r>
        <w:t xml:space="preserve">B. Fuller</w:t>
      </w:r>
    </w:p>
    <w:p>
      <w:pPr>
        <w:pStyle w:val="Heading3"/>
      </w:pPr>
      <w:r>
        <w:t xml:space="preserve">2.5-A4</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b) El agua «moja» y apaga el fuego, algo que ni el hidrógeno ni el oxígeno hacen</w:t>
            </w:r>
          </w:p>
        </w:tc>
      </w:tr>
    </w:tbl>
    <w:p>
      <w:pPr>
        <w:pStyle w:val="Normal"/>
      </w:pPr>
      <w:r>
        <w:t xml:space="preserve">La emergencia es cualitativa: surge una propiedad que no existe en ninguna parte. La sinergia es más cuantitativa: el todo rinde más que la suma. Ambas nacen de las interacciones, pero no son lo mismo.</w:t>
      </w:r>
    </w:p>
    <w:p>
      <w:pPr>
        <w:pStyle w:val="Normal"/>
      </w:pPr>
      <w:r>
        <w:t xml:space="preserve">a) Eso es sinergia: más de lo mismo (rendimiento). No aparece una propiedad cualitativamente nueva.</w:t>
      </w:r>
    </w:p>
    <w:p>
      <w:pPr>
        <w:pStyle w:val="Normal"/>
      </w:pPr>
      <w:r>
        <w:t xml:space="preserve">b) Correcto: «mojar»/apagar el fuego es una cualidad nueva, ausente en cada gas por separado.</w:t>
      </w:r>
    </w:p>
    <w:p>
      <w:pPr>
        <w:pStyle w:val="Normal"/>
      </w:pPr>
      <w:r>
        <w:t xml:space="preserve">c) Es rendimiento aditivo/sinérgico, no una cualidad nueva del todo.</w:t>
      </w:r>
    </w:p>
    <w:p>
      <w:pPr>
        <w:pStyle w:val="Normal"/>
      </w:pPr>
      <w:r>
        <w:t xml:space="preserve">d) Es un efecto cuantitativo de agregación, no una propiedad emergente.</w:t>
      </w:r>
    </w:p>
    <w:p>
      <w:pPr>
        <w:pStyle w:val="Heading3"/>
      </w:pPr>
      <w:r>
        <w:t xml:space="preserve">2.5-A5</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c) la organización y las relaciones entre las partes (la estructura)</w:t>
            </w:r>
          </w:p>
        </w:tc>
      </w:tr>
    </w:tbl>
    <w:p>
      <w:pPr>
        <w:pStyle w:val="Normal"/>
      </w:pPr>
      <w:r>
        <w:t xml:space="preserve">Con las mismas piezas, cambiar la organización cambia el resultado: «dar la hora» emerge de cómo se conectan y disponen las partes, no de tenerlas amontonadas. La estructura genera el comportamiento.</w:t>
      </w:r>
    </w:p>
    <w:p>
      <w:pPr>
        <w:pStyle w:val="Heading3"/>
      </w:pPr>
      <w:r>
        <w:t xml:space="preserve">2.5-A6</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b) emerge de reglas locales simples que muchas aves aplican al interactuar</w:t>
            </w:r>
          </w:p>
        </w:tc>
      </w:tr>
    </w:tbl>
    <w:p>
      <w:pPr>
        <w:pStyle w:val="Normal"/>
      </w:pPr>
      <w:r>
        <w:t xml:space="preserve">Con reglas locales —separación, alineación y cohesión— y muchas interacciones, el orden global surge de abajo hacia arriba, sin líder ni plano central. Es auto-organización.</w:t>
      </w:r>
    </w:p>
    <w:p>
      <w:pPr>
        <w:pStyle w:val="Fuente"/>
      </w:pPr>
      <w:r>
        <w:t xml:space="preserve">C. Reynolds · Boids</w:t>
      </w:r>
    </w:p>
    <w:p>
      <w:pPr>
        <w:pStyle w:val="Heading3"/>
      </w:pPr>
      <w:r>
        <w:t xml:space="preserve">2.5-A7</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b) porque pierde las propiedades emergentes, que solo aparecen en las interacciones del todo</w:t>
            </w:r>
          </w:p>
        </w:tc>
      </w:tr>
    </w:tbl>
    <w:p>
      <w:pPr>
        <w:pStyle w:val="Normal"/>
      </w:pPr>
      <w:r>
        <w:t xml:space="preserve">El análisis reduccionista es valioso, pero al desarmar el sistema destruye justamente las interacciones de las que emergen sinergia y propiedades nuevas. Por eso se complementa con la mirada sistémica.</w:t>
      </w:r>
    </w:p>
    <w:p>
      <w:pPr>
        <w:pStyle w:val="Normal"/>
      </w:pPr>
      <w:r>
        <w:t xml:space="preserve">a) Las partes sí existen; el problema es quedarse solo en ellas.</w:t>
      </w:r>
    </w:p>
    <w:p>
      <w:pPr>
        <w:pStyle w:val="Normal"/>
      </w:pPr>
      <w:r>
        <w:t xml:space="preserve">b) Correcto: lo emergente vive en las relaciones, invisibles si se aísla cada parte.</w:t>
      </w:r>
    </w:p>
    <w:p>
      <w:pPr>
        <w:pStyle w:val="Normal"/>
      </w:pPr>
      <w:r>
        <w:t xml:space="preserve">c) Analizar es útil; el error es creer que basta para explicar el todo.</w:t>
      </w:r>
    </w:p>
    <w:p>
      <w:pPr>
        <w:pStyle w:val="Normal"/>
      </w:pPr>
      <w:r>
        <w:t xml:space="preserve">d) Los sistemas sí tienen partes; además tienen interconexiones y función.</w:t>
      </w:r>
    </w:p>
    <w:p>
      <w:pPr>
        <w:pStyle w:val="Heading3"/>
      </w:pPr>
      <w:r>
        <w:t xml:space="preserve">2.5-A8</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b) un conjunto de elementos en interacción, cuyo todo tiene propiedades ausentes en las partes aisladas</w:t>
            </w:r>
          </w:p>
        </w:tc>
      </w:tr>
    </w:tbl>
    <w:p>
      <w:pPr>
        <w:pStyle w:val="Normal"/>
      </w:pPr>
      <w:r>
        <w:t xml:space="preserve">Von Bertalanffy define el sistema como un conjunto de elementos en interacción. Son precisamente esas interacciones las que dotan al todo de propiedades que ninguna parte posee por separado.</w:t>
      </w:r>
    </w:p>
    <w:p>
      <w:pPr>
        <w:pStyle w:val="Fuente"/>
      </w:pPr>
      <w:r>
        <w:t xml:space="preserve">von Bertalanffy</w:t>
      </w:r>
    </w:p>
    <w:p>
      <w:pPr>
        <w:pStyle w:val="Heading3"/>
      </w:pPr>
      <w:r>
        <w:t xml:space="preserve">2.5-A9</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c) 6</w:t>
            </w:r>
          </w:p>
        </w:tc>
      </w:tr>
    </w:tbl>
    <w:p>
      <w:pPr>
        <w:pStyle w:val="Normal"/>
        <w:sectPr>
          <w:headerReference w:type="default" r:id="rId126"/>
          <w:headerReference w:type="first" r:id="rId127"/>
          <w:headerReference w:type="even" r:id="rId128"/>
          <w:footerReference w:type="default" r:id="rId129"/>
          <w:footerReference w:type="first" r:id="rId130"/>
          <w:footerReference w:type="even" r:id="rId131"/>
          <w:type w:val="nextPage"/>
          <w:pgSz w:w="12240" w:h="15840" w:orient="portrait"/>
          <w:pgMar w:top="1361" w:right="1134" w:bottom="1361" w:left="1474" w:header="650" w:footer="680" w:gutter="0"/>
          <w:pgNumType/>
          <w:titlePg/>
          <w:docGrid w:linePitch="360"/>
        </w:sectPr>
      </w:pPr>
      <w:r>
        <w:t xml:space="preserve">Las relaciones entre k partes son k·(k−1)/2: con 2 partes hay 1; con 4 partes hay 6. Las interacciones crecen de forma cuadrática mientras las partes crecen lineal: por eso «lo que se suma» no son solo las partes, sino su red de interacciones.</w:t>
      </w:r>
    </w:p>
    <w:p>
      <w:pPr>
        <w:pStyle w:val="Heading2"/>
      </w:pPr>
      <w:bookmarkStart w:name="b_2_6" w:id="1720"/>
      <w:r>
        <w:t xml:space="preserve">2.6 · Complejidad sistémica</w:t>
      </w:r>
      <w:bookmarkEnd w:id="1720"/>
    </w:p>
    <w:p>
      <w:pPr>
        <w:pStyle w:val="Subtitulo"/>
      </w:pPr>
      <w:r>
        <w:t xml:space="preserve">Complejidad sistémica (sistemas simples, complejos, adaptativos complejos)</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En una línea</w:t>
            </w:r>
          </w:p>
          <w:p>
            <w:pPr>
              <w:pStyle w:val="Recuadro"/>
            </w:pPr>
            <w:r>
              <w:t xml:space="preserve">Complejo no es complicado: es denso en interacciones y capaz de aprender.</w:t>
            </w:r>
          </w:p>
        </w:tc>
      </w:tr>
    </w:tbl>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Qué te preguntan</w:t>
            </w:r>
          </w:p>
          <w:p>
            <w:pPr>
              <w:pStyle w:val="Recuadro"/>
            </w:pPr>
            <w:r>
              <w:t xml:space="preserve">Distinguir sistema simple, complejo y adaptativo complejo, y enumerar las cinco características que la lámina 14 atribuye a estos últimos: se adaptan a su entorno y se autoorganizan; los cambios en sus componentes cambian la totalidad; modelan su entorno observando, imaginando, probando y descartando; tienen múltiples niveles de interacción; y no hay equilibrio, porque el equilibrio significaría la muerte.</w:t>
            </w:r>
          </w:p>
        </w:tc>
      </w:tr>
    </w:tbl>
    <w:p>
      <w:pPr>
        <w:pStyle w:val="Normal"/>
      </w:pPr>
      <w:r>
        <w:t xml:space="preserve">La complejidad nace de muchas distinciones y, sobre todo, de muchas relaciones: más relaciones que elementos, variables con el estado del sistema, que exigen varias perspectivas y mapeadas forman una telaraña con puntos de apalancamiento. Un sistema adaptativo complejo es diverso e interconectado y además cambia y aprende: se adapta al entorno, se autoorganiza y lo modela, como los sistemas de creencias y los sociales. Comprobación: contar elementos no basta; se cuentan relaciones, estados, niveles y perspectivas.</w:t>
      </w:r>
    </w:p>
    <w:p>
      <w:pPr>
        <w:pStyle w:val="Heading3"/>
      </w:pPr>
      <w:r>
        <w:t xml:space="preserve">Vocabulario clave</w:t>
      </w:r>
    </w:p>
    <w:p>
      <w:pPr>
        <w:pStyle w:val="Normal"/>
      </w:pPr>
      <w:r>
        <w:t xml:space="preserve">complejidad (muchas relaciones, más que elementos) · telaraña (estructura de red) · punto de apalancamiento (efecto palanca, efecto dominó) · sistema adaptativo complejo (diverso, interconectado; cambia y aprende) · autoorganización (de subsistemas a suprasistemas) · transdisciplinariedad (equipos multidisciplinarios) · teoría del caos y efecto mariposa · sensibilidad a las condiciones iniciales (según el video) · macroscopio y sistematografía</w:t>
      </w:r>
    </w:p>
    <w:p>
      <w:pPr>
        <w:pStyle w:val="Fuente"/>
      </w:pPr>
      <w:r>
        <w:t xml:space="preserve">Recorrido: desarrollo conceptual → presentaciones → explicación en clase → errores y fuentes → práctica → solucionario.</w:t>
      </w:r>
    </w:p>
    <w:p>
      <w:pPr>
        <w:pStyle w:val="Heading3"/>
      </w:pPr>
      <w:r>
        <w:t xml:space="preserve">Poder e incertidumbre al intervenir</w:t>
      </w:r>
    </w:p>
    <w:p>
      <w:pPr>
        <w:pStyle w:val="Normal"/>
      </w:pPr>
      <w:r>
        <w:t xml:space="preserve">Las expectativas pueden entrar en conflicto sobre resultados y medios. Además, el poder está distribuido de manera desigual: controlar recursos, reglas o acceso a la discusión puede frenar un cambio aunque exista una propuesta técnica. El modelo debe incluir quién puede autorizar, bloquear o sostener la intervención.</w:t>
      </w:r>
    </w:p>
    <w:p>
      <w:pPr>
        <w:pStyle w:val="Normal"/>
      </w:pPr>
      <w:r>
        <w:t xml:space="preserve">Más interrelaciones y actores traen más desacuerdos y menos información confiable disponible; también dificultan anticipar qué efectos desencadenará una acción. Se explicitan esas lagunas y se observan los efectos de intervenir. Este desarrollo procede de la página 18; no se atribuyen al audio los detalles que no leyó.</w:t>
      </w:r>
    </w:p>
    <w:p>
      <w:pPr>
        <w:pStyle w:val="Fuente"/>
      </w:pPr>
      <w:r>
        <w:t xml:space="preserve">Presentación de la unidad 1 (C-5), pág. 18</w:t>
      </w:r>
    </w:p>
    <w:p>
      <w:pPr>
        <w:pStyle w:val="Heading3"/>
      </w:pPr>
      <w:r>
        <w:t xml:space="preserve">Resistencia estructural, cambios repentinos y escala</w:t>
      </w:r>
    </w:p>
    <w:p>
      <w:pPr>
        <w:pStyle w:val="Normal"/>
      </w:pPr>
      <w:r>
        <w:t xml:space="preserve">La interconexión puede sostener un comportamiento y resistir un cambio local: otras partes compensan o neutralizan la intervención. Sin embargo, al cambiar relaciones decisivas, el conjunto puede transformarse de forma repentina y de gran magnitud. La resistencia estructural y la transición brusca son compatibles; no se reducen a rigidez personal.</w:t>
      </w:r>
    </w:p>
    <w:p>
      <w:pPr>
        <w:pStyle w:val="Normal"/>
      </w:pPr>
      <w:r>
        <w:t xml:space="preserve">En la figura de escala, los compuestos agrupan partes; las subestructuras permiten descomponer el modelo en unidades relacionadas. Las estructuras de control regulan su coordinación y aparecen entre compuestos y autoorganización en el eje. Al ampliar la escala se consideran jerarquías y propiedades emergentes.</w:t>
      </w:r>
    </w:p>
    <w:p>
      <w:pPr>
        <w:pStyle w:val="Normal"/>
      </w:pPr>
      <w:r>
        <w:t xml:space="preserve">La descomponibilidad ayuda a estudiar niveles, pero aislar unidades puede ocultar las relaciones responsables de un comportamiento. El diagrama relaciona escala, tiempo y conceptos comunes: no afirma que cada sistema atraviese una secuencia universal de desarrollo ni que más piezas signifique por sí solo más complejidad.</w:t>
      </w:r>
    </w:p>
    <w:p>
      <w:pPr>
        <w:pStyle w:val="Fuente"/>
      </w:pPr>
      <w:r>
        <w:t xml:space="preserve">Presentación de la unidad 2 (C-6), pág. 51, 54 y 58 · Clase 8 · 00:59:03–01:02:17 · Clase 9 · 00:31:35–00:35:20</w:t>
      </w:r>
    </w:p>
    <w:p>
      <w:pPr>
        <w:pStyle w:val="Heading3"/>
      </w:pPr>
      <w:r>
        <w:t xml:space="preserve">De dónde viene la complejidad</w:t>
      </w:r>
    </w:p>
    <w:p>
      <w:pPr>
        <w:pStyle w:val="Normal"/>
      </w:pPr>
      <w:r>
        <w:t xml:space="preserve">Complejidad: muchas distinciones y, sobre todo, muchas relaciones; mapeadas forman una telaraña, la estructura más común (internet). La ciudad es compleja por sus muchos sistemas interactuando y sus relaciones implícitas.</w:t>
      </w:r>
    </w:p>
    <w:p>
      <w:pPr>
        <w:pStyle w:val="Normal"/>
      </w:pPr>
      <w:r>
        <w:t xml:space="preserve">Factores recogidos con el chat: la cantidad de elementos (aporte del chat); más relaciones que elementos, pues tres personas dan seis relaciones; la variedad de relaciones según el estado del sistema; y las perspectivas o conocimientos necesarios (mecánica, electrónica y software de un carro).</w:t>
      </w:r>
    </w:p>
    <w:p>
      <w:pPr>
        <w:pStyle w:val="Normal"/>
      </w:pPr>
      <w:r>
        <w:t xml:space="preserve">Según Cabrera, los problemas son complejos por varios problemas entrelazados y múltiples agencias o perspectivas en niveles local, regional, nacional o global: a mayor nivel, mayor complejidad.</w:t>
      </w:r>
    </w:p>
    <w:p>
      <w:pPr>
        <w:pStyle w:val="Fuente"/>
      </w:pPr>
      <w:r>
        <w:t xml:space="preserve">Clase 3 · 00:11:25–00:12:32 · Clase 7 · 01:21:58–01:22:34 · Clase 8 · 00:53:03–00:53:47 · Clase 8 · 00:57:26–00:58:22 · Clase 8 · 01:10:12–01:15:02</w:t>
      </w:r>
    </w:p>
    <w:p>
      <w:pPr>
        <w:pStyle w:val="Heading3"/>
      </w:pPr>
      <w:r>
        <w:t xml:space="preserve">Telaraña y apalancamiento</w:t>
      </w:r>
    </w:p>
    <w:p>
      <w:pPr>
        <w:pStyle w:val="Normal"/>
      </w:pPr>
      <w:r>
        <w:t xml:space="preserve">Los problemas surgen de la estructura, no de una parte culpable: cadenas causales no lineales, «típicamente cíclicas», donde «ya no sabemos ni quién es la culpable»; cambiar sólo una parte funciona en sistemas sencillos.</w:t>
      </w:r>
    </w:p>
    <w:p>
      <w:pPr>
        <w:pStyle w:val="Normal"/>
      </w:pPr>
      <w:r>
        <w:t xml:space="preserve">Punto de apalancamiento: la parte de la estructura donde un cambio de mínimo esfuerzo se propaga en cadena («efecto dominó», «efecto palanca»); cambiar toda la estructura es muy difícil por su sinergia. Telaraña real: tomarla de una parte la mueve toda.</w:t>
      </w:r>
    </w:p>
    <w:p>
      <w:pPr>
        <w:pStyle w:val="Fuente"/>
      </w:pPr>
      <w:r>
        <w:t xml:space="preserve">Clase 8 · 00:59:03–01:02:17 · Clase 8 · 01:02:15–01:02:52 · Clase 8 · 01:08:31–01:08:46 · lámina c8-17</w:t>
      </w:r>
    </w:p>
    <w:p>
      <w:pPr>
        <w:pStyle w:val="Heading3"/>
      </w:pPr>
      <w:r>
        <w:t xml:space="preserve">Sistemas adaptativos complejos</w:t>
      </w:r>
    </w:p>
    <w:p>
      <w:pPr>
        <w:pStyle w:val="Normal"/>
      </w:pPr>
      <w:r>
        <w:t xml:space="preserve">Los sistemas de creencias (sistemas abstractos diseñados) son sistemas adaptativos complejos: sus partes son creencias o ideas sobre conceptos que interactúan en una estructura sistémica.</w:t>
      </w:r>
    </w:p>
    <w:p>
      <w:pPr>
        <w:pStyle w:val="Normal"/>
      </w:pPr>
      <w:r>
        <w:t xml:space="preserve">Lámina glosada: complejo porque es diverso y conformado por múltiples elementos interconectados; adaptativo porque puede cambiar y aprender (la flexibilidad de paradigmas); se adaptan al entorno, aprenden, se autoorganizan, los cambios en los componentes cambian la totalidad y modelan su entorno.</w:t>
      </w:r>
    </w:p>
    <w:p>
      <w:pPr>
        <w:pStyle w:val="Normal"/>
      </w:pPr>
      <w:r>
        <w:t xml:space="preserve">Parten de reglas de comportamiento simples («agente simple») que construyen la realidad compleja; interdependencia y adaptación se dan especialmente en ellos: los sistemas abstractos de pensamiento y los sistemas sociales, evolutivos y no lineales.</w:t>
      </w:r>
    </w:p>
    <w:p>
      <w:pPr>
        <w:pStyle w:val="Normal"/>
      </w:pPr>
      <w:r>
        <w:t xml:space="preserve">Parvada: cada ave aplica operaciones sencillas de movimiento y control y emergen comportamientos complejos; igual, de las operaciones básicas del pensamiento emerge el pensamiento sistémico.</w:t>
      </w:r>
    </w:p>
    <w:p>
      <w:pPr>
        <w:pStyle w:val="Fuente"/>
      </w:pPr>
      <w:r>
        <w:t xml:space="preserve">Clase 6 · 01:27:48–01:29:02 · Clase 6 · 01:29:09–01:30:50 · Clase 6 · 01:32:39–01:33:00 · Clase 9 · 00:29:00–00:30:32 · Clase 9 · 00:42:34–00:43:42 · lámina c6-14</w:t>
      </w:r>
    </w:p>
    <w:p>
      <w:pPr>
        <w:pStyle w:val="Heading3"/>
      </w:pPr>
      <w:r>
        <w:t xml:space="preserve">El mapa integral de los sistemas complejos</w:t>
      </w:r>
    </w:p>
    <w:p>
      <w:pPr>
        <w:pStyle w:val="Normal"/>
      </w:pPr>
      <w:r>
        <w:t xml:space="preserve">El mapa integral enumera emergencia, jerarquía sistémica, autoorganización (de subsistemas a suprasistemas, donde se crea la complejidad de elementos y conexiones), evolución y transdisciplinariedad.</w:t>
      </w:r>
    </w:p>
    <w:p>
      <w:pPr>
        <w:pStyle w:val="Normal"/>
      </w:pPr>
      <w:r>
        <w:t xml:space="preserve">Transdisciplinariedad: muchos sistemas sólo se entienden con varios enfoques científicos; de ahí los equipos multidisciplinarios, como los departamentos de una empresa (recursos humanos, procesos, gerencia, finanzas, atención al cliente).</w:t>
      </w:r>
    </w:p>
    <w:p>
      <w:pPr>
        <w:pStyle w:val="Fuente"/>
      </w:pPr>
      <w:r>
        <w:t xml:space="preserve">Clase 9 · 00:31:35–00:33:45 · Clase 9 · 00:33:42–00:35:20 · lámina c9-03</w:t>
      </w:r>
    </w:p>
    <w:p>
      <w:pPr>
        <w:pStyle w:val="Heading3"/>
      </w:pPr>
      <w:r>
        <w:t xml:space="preserve">Herramientas para mirar lo complejo</w:t>
      </w:r>
    </w:p>
    <w:p>
      <w:pPr>
        <w:pStyle w:val="Normal"/>
      </w:pPr>
      <w:r>
        <w:t xml:space="preserve">Macroscopio (autor no nombrado): el pensamiento sistémico como telescopio o microscopio de lo complejo, que acerca y aleja para prever comportamientos; sistematografía: filmar la estructura dinámica y fotografiar la orgánica.</w:t>
      </w:r>
    </w:p>
    <w:p>
      <w:pPr>
        <w:pStyle w:val="Normal"/>
      </w:pPr>
      <w:r>
        <w:t xml:space="preserve">Teoría del caos: variación de la teoría general de sistemas para comportamientos altamente complejos, como el efecto mariposa; «no es al alcance de este curso» y quedó como tarea.</w:t>
      </w:r>
    </w:p>
    <w:p>
      <w:pPr>
        <w:pStyle w:val="Fuente"/>
      </w:pPr>
      <w:r>
        <w:t xml:space="preserve">Clase 8 · 01:03:15–01:04:48 · Clase 8 · 01:05:33–01:06:16 · Clase 8 · 01:17:53–01:19:32 · lámina c8-18</w:t>
      </w:r>
    </w:p>
    <w:p>
      <w:pPr>
        <w:pStyle w:val="Heading3"/>
      </w:pPr>
      <w:r>
        <w:t xml:space="preserve">Lo que afirma el video de la clase 9</w:t>
      </w:r>
    </w:p>
    <w:p>
      <w:pPr>
        <w:pStyle w:val="Normal"/>
      </w:pPr>
      <w:r>
        <w:t xml:space="preserve">El video afirma que el sistema complejo, sin definición formal, es una clase especial de sistema de muchas partes sin control centralizado.</w:t>
      </w:r>
    </w:p>
    <w:p>
      <w:pPr>
        <w:pStyle w:val="Normal"/>
      </w:pPr>
      <w:r>
        <w:t xml:space="preserve">El video afirma que la complejidad depende de cuatro parámetros: elementos y niveles de jerarquía; no linealidad (bucles de retroalimentación, transiciones de fase, sensibilidad a las condiciones iniciales); conectividad (redes); autonomía y adaptación (autoorganización, evolución).</w:t>
      </w:r>
    </w:p>
    <w:p>
      <w:pPr>
        <w:pStyle w:val="Normal"/>
      </w:pPr>
      <w:r>
        <w:t xml:space="preserve">La clase lo presentó como «una buena síntesis» de la unidad; interdependencia y conectividad se profundizan con las estructuras no lineales.</w:t>
      </w:r>
    </w:p>
    <w:p>
      <w:pPr>
        <w:pStyle w:val="Fuente"/>
      </w:pPr>
      <w:r>
        <w:t xml:space="preserve">Clase 9 · 00:05:10–00:05:37 · Clase 9 · 00:16:52–00:27:08 · Clase 9 · 00:27:16–00:29:04 · video proyectado</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Procedimiento</w:t>
            </w:r>
          </w:p>
          <w:p>
            <w:pPr>
              <w:pStyle w:val="Recuadro"/>
            </w:pPr>
            <w:r>
              <w:t xml:space="preserve">Cómo reconocer un sistema simple, complejo o adaptativo complejo</w:t>
            </w:r>
          </w:p>
          <w:p>
            <w:pPr>
              <w:pStyle w:val="Recuadro"/>
            </w:pPr>
            <w:r>
              <w:t xml:space="preserve">1. </w:t>
            </w:r>
            <w:r>
              <w:rPr>
                <w:b/>
                <w:bCs/>
              </w:rPr>
              <w:t xml:space="preserve">Contar elementos y, sobre todo, relaciones.</w:t>
            </w:r>
            <w:r>
              <w:t xml:space="preserve"> La cantidad de elementos es el primer factor, pero pesa más el número de relaciones: tres personas dan seis. Si cambiar una sola parte funciona, el sistema es sencillo. (Clase 8 · 00:59:25–01:01:02 · Clase 8 · 01:10:12–01:11:05)</w:t>
            </w:r>
          </w:p>
          <w:p>
            <w:pPr>
              <w:pStyle w:val="Recuadro"/>
            </w:pPr>
            <w:r>
              <w:t xml:space="preserve">2. </w:t>
            </w:r>
            <w:r>
              <w:rPr>
                <w:b/>
                <w:bCs/>
              </w:rPr>
              <w:t xml:space="preserve">Ver si las relaciones cambian con el estado.</w:t>
            </w:r>
            <w:r>
              <w:t xml:space="preserve"> Preguntar si el sistema tiene estados con distintas estructuras de comportamiento (la empresa de regalos en Navidad) y cuántas perspectivas o conocimientos exige describirlo. (Clase 8 · 01:11:57–01:12:44 · Clase 8 · 01:12:43–01:13:41 · Clase 8 · 01:14:23–01:15:02)</w:t>
            </w:r>
          </w:p>
          <w:p>
            <w:pPr>
              <w:pStyle w:val="Recuadro"/>
            </w:pPr>
            <w:r>
              <w:t xml:space="preserve">3. </w:t>
            </w:r>
            <w:r>
              <w:rPr>
                <w:b/>
                <w:bCs/>
              </w:rPr>
              <w:t xml:space="preserve">Mapear la telaraña y subir de nivel.</w:t>
            </w:r>
            <w:r>
              <w:t xml:space="preserve"> Si las relaciones mapeadas forman una telaraña con cadenas causales cíclicas donde ya no se sabe quién es la culpable, es complejo; cada nivel que se sube añade complejidad. (Clase 6 · 01:04:02–01:04:53 · Clase 8 · 00:53:03–00:53:47 · Clase 8 · 00:59:25–01:01:02)</w:t>
            </w:r>
          </w:p>
          <w:p>
            <w:pPr>
              <w:pStyle w:val="Recuadro"/>
            </w:pPr>
            <w:r>
              <w:t xml:space="preserve">4. </w:t>
            </w:r>
            <w:r>
              <w:rPr>
                <w:b/>
                <w:bCs/>
              </w:rPr>
              <w:t xml:space="preserve">Preguntar si cambia y aprende.</w:t>
            </w:r>
            <w:r>
              <w:t xml:space="preserve"> Si además se adapta al entorno, aprende, se autoorganiza y modela su entorno, con reglas simples de las que emergen comportamientos complejos (parvada, creencias, sistemas sociales), es adaptativo complejo. (Clase 6 · 01:29:09–01:30:50 · Clase 9 · 00:29:00–00:30:32)</w:t>
            </w:r>
          </w:p>
          <w:p>
            <w:pPr>
              <w:pStyle w:val="Recuadro"/>
            </w:pPr>
            <w:r>
              <w:t xml:space="preserve">5. </w:t>
            </w:r>
            <w:r>
              <w:rPr>
                <w:b/>
                <w:bCs/>
              </w:rPr>
              <w:t xml:space="preserve">Intervenir por el punto de apalancamiento.</w:t>
            </w:r>
            <w:r>
              <w:t xml:space="preserve"> En vez de cambiar toda la estructura, buscar la parte donde un cambio de mínimo esfuerzo se propaga en cadena, y modelar con las perspectivas de varias disciplinas. (Clase 8 · 01:00:55–01:02:17 · Clase 9 · 00:32:40–00:33:45)</w:t>
            </w:r>
          </w:p>
          <w:p>
            <w:pPr>
              <w:pStyle w:val="Recuadro"/>
            </w:pPr>
            <w:r>
              <w:t xml:space="preserve">Sencillo: pocas partes y relaciones, y cambiar una parte basta; complejo: telaraña de relaciones que superan a los elementos; adaptativo complejo: además cambia y aprende.</w:t>
            </w:r>
          </w:p>
        </w:tc>
      </w:tr>
    </w:tbl>
    <w:p>
      <w:pPr>
        <w:pStyle w:val="Heading3"/>
      </w:pPr>
      <w:bookmarkStart w:name="b_tabla_2_6_g1_complejidad" w:id="1721"/>
      <w:r>
        <w:t xml:space="preserve">Simple, complejo y adaptativo complejo</w:t>
      </w:r>
      <w:bookmarkEnd w:id="1721"/>
    </w:p>
    <w:tbl>
      <w:tblPr>
        <w:tblW w:type="dxa" w:w="9632"/>
        <w:tblBorders>
          <w:top w:val="single" w:color="C5D5DB" w:sz="4"/>
          <w:left w:val="single" w:color="C5D5DB" w:sz="4"/>
          <w:bottom w:val="single" w:color="C5D5DB" w:sz="4"/>
          <w:right w:val="single" w:color="C5D5DB" w:sz="4"/>
          <w:insideH w:val="single" w:color="E4E9EB" w:sz="3"/>
          <w:insideV w:val="single" w:color="E4E9EB" w:sz="3"/>
        </w:tblBorders>
        <w:tblLayout w:type="fixed"/>
      </w:tblPr>
      <w:tblGrid>
        <w:gridCol w:w="2408"/>
        <w:gridCol w:w="2408"/>
        <w:gridCol w:w="2408"/>
        <w:gridCol w:w="2408"/>
      </w:tblGrid>
      <w:tr>
        <w:trPr>
          <w:cantSplit/>
          <w:tblHeader/>
        </w:trPr>
        <w:tc>
          <w:tcPr>
            <w:tcW w:type="dxa" w:w="2408"/>
            <w:shd w:fill="DFEAF0" w:val="clear"/>
            <w:tcMar>
              <w:top w:type="dxa" w:w="80"/>
              <w:left w:type="dxa" w:w="100"/>
              <w:bottom w:type="dxa" w:w="80"/>
              <w:right w:type="dxa" w:w="100"/>
            </w:tcMar>
          </w:tcPr>
          <w:p>
            <w:pPr>
              <w:pStyle w:val="Tabla"/>
            </w:pPr>
            <w:r>
              <w:rPr>
                <w:b/>
                <w:bCs/>
              </w:rPr>
              <w:t xml:space="preserve">#</w:t>
            </w:r>
          </w:p>
        </w:tc>
        <w:tc>
          <w:tcPr>
            <w:tcW w:type="dxa" w:w="2408"/>
            <w:shd w:fill="DFEAF0" w:val="clear"/>
            <w:tcMar>
              <w:top w:type="dxa" w:w="80"/>
              <w:left w:type="dxa" w:w="100"/>
              <w:bottom w:type="dxa" w:w="80"/>
              <w:right w:type="dxa" w:w="100"/>
            </w:tcMar>
          </w:tcPr>
          <w:p>
            <w:pPr>
              <w:pStyle w:val="Tabla"/>
            </w:pPr>
            <w:r>
              <w:rPr>
                <w:b/>
                <w:bCs/>
              </w:rPr>
              <w:t xml:space="preserve">Grado</w:t>
            </w:r>
          </w:p>
        </w:tc>
        <w:tc>
          <w:tcPr>
            <w:tcW w:type="dxa" w:w="2408"/>
            <w:shd w:fill="DFEAF0" w:val="clear"/>
            <w:tcMar>
              <w:top w:type="dxa" w:w="80"/>
              <w:left w:type="dxa" w:w="100"/>
              <w:bottom w:type="dxa" w:w="80"/>
              <w:right w:type="dxa" w:w="100"/>
            </w:tcMar>
          </w:tcPr>
          <w:p>
            <w:pPr>
              <w:pStyle w:val="Tabla"/>
            </w:pPr>
            <w:r>
              <w:rPr>
                <w:b/>
                <w:bCs/>
              </w:rPr>
              <w:t xml:space="preserve">En una línea</w:t>
            </w:r>
          </w:p>
        </w:tc>
        <w:tc>
          <w:tcPr>
            <w:tcW w:type="dxa" w:w="2408"/>
            <w:shd w:fill="DFEAF0" w:val="clear"/>
            <w:tcMar>
              <w:top w:type="dxa" w:w="80"/>
              <w:left w:type="dxa" w:w="100"/>
              <w:bottom w:type="dxa" w:w="80"/>
              <w:right w:type="dxa" w:w="100"/>
            </w:tcMar>
          </w:tcPr>
          <w:p>
            <w:pPr>
              <w:pStyle w:val="Tabla"/>
            </w:pPr>
            <w:r>
              <w:rPr>
                <w:b/>
                <w:bCs/>
              </w:rPr>
              <w:t xml:space="preserve">Ejemplos</w:t>
            </w:r>
          </w:p>
        </w:tc>
      </w:tr>
      <w:tr>
        <w:trPr>
          <w:cantSplit/>
          <w:tblHeader w:val="off"/>
        </w:trPr>
        <w:tc>
          <w:tcPr>
            <w:tcW w:type="dxa" w:w="2408"/>
            <w:tcMar>
              <w:top w:type="dxa" w:w="80"/>
              <w:left w:type="dxa" w:w="100"/>
              <w:bottom w:type="dxa" w:w="80"/>
              <w:right w:type="dxa" w:w="100"/>
            </w:tcMar>
          </w:tcPr>
          <w:p>
            <w:pPr>
              <w:pStyle w:val="Tabla"/>
            </w:pPr>
            <w:r>
              <w:t xml:space="preserve">1</w:t>
            </w:r>
          </w:p>
        </w:tc>
        <w:tc>
          <w:tcPr>
            <w:tcW w:type="dxa" w:w="2408"/>
            <w:tcMar>
              <w:top w:type="dxa" w:w="80"/>
              <w:left w:type="dxa" w:w="100"/>
              <w:bottom w:type="dxa" w:w="80"/>
              <w:right w:type="dxa" w:w="100"/>
            </w:tcMar>
          </w:tcPr>
          <w:p>
            <w:pPr>
              <w:pStyle w:val="Tabla"/>
            </w:pPr>
            <w:r>
              <w:t xml:space="preserve">Sistema simple</w:t>
            </w:r>
          </w:p>
        </w:tc>
        <w:tc>
          <w:tcPr>
            <w:tcW w:type="dxa" w:w="2408"/>
            <w:tcMar>
              <w:top w:type="dxa" w:w="80"/>
              <w:left w:type="dxa" w:w="100"/>
              <w:bottom w:type="dxa" w:w="80"/>
              <w:right w:type="dxa" w:w="100"/>
            </w:tcMar>
          </w:tcPr>
          <w:p>
            <w:pPr>
              <w:pStyle w:val="Tabla"/>
            </w:pPr>
            <w:r>
              <w:t xml:space="preserve">Pocas partes; causa y efecto proporcionales y predecibles.</w:t>
            </w:r>
          </w:p>
        </w:tc>
        <w:tc>
          <w:tcPr>
            <w:tcW w:type="dxa" w:w="2408"/>
            <w:tcMar>
              <w:top w:type="dxa" w:w="80"/>
              <w:left w:type="dxa" w:w="100"/>
              <w:bottom w:type="dxa" w:w="80"/>
              <w:right w:type="dxa" w:w="100"/>
            </w:tcMar>
          </w:tcPr>
          <w:p>
            <w:pPr>
              <w:pStyle w:val="Tabla"/>
            </w:pPr>
            <w:r>
              <w:t xml:space="preserve">Interruptor y bombilla · Palanca o balancín · Termostato básico</w:t>
            </w:r>
          </w:p>
        </w:tc>
      </w:tr>
      <w:tr>
        <w:trPr>
          <w:cantSplit/>
          <w:tblHeader w:val="off"/>
        </w:trPr>
        <w:tc>
          <w:tcPr>
            <w:tcW w:type="dxa" w:w="2408"/>
            <w:tcMar>
              <w:top w:type="dxa" w:w="80"/>
              <w:left w:type="dxa" w:w="100"/>
              <w:bottom w:type="dxa" w:w="80"/>
              <w:right w:type="dxa" w:w="100"/>
            </w:tcMar>
          </w:tcPr>
          <w:p>
            <w:pPr>
              <w:pStyle w:val="Tabla"/>
            </w:pPr>
            <w:r>
              <w:t xml:space="preserve">2</w:t>
            </w:r>
          </w:p>
        </w:tc>
        <w:tc>
          <w:tcPr>
            <w:tcW w:type="dxa" w:w="2408"/>
            <w:tcMar>
              <w:top w:type="dxa" w:w="80"/>
              <w:left w:type="dxa" w:w="100"/>
              <w:bottom w:type="dxa" w:w="80"/>
              <w:right w:type="dxa" w:w="100"/>
            </w:tcMar>
          </w:tcPr>
          <w:p>
            <w:pPr>
              <w:pStyle w:val="Tabla"/>
            </w:pPr>
            <w:r>
              <w:t xml:space="preserve">Sistema complejo</w:t>
            </w:r>
          </w:p>
        </w:tc>
        <w:tc>
          <w:tcPr>
            <w:tcW w:type="dxa" w:w="2408"/>
            <w:tcMar>
              <w:top w:type="dxa" w:w="80"/>
              <w:left w:type="dxa" w:w="100"/>
              <w:bottom w:type="dxa" w:w="80"/>
              <w:right w:type="dxa" w:w="100"/>
            </w:tcMar>
          </w:tcPr>
          <w:p>
            <w:pPr>
              <w:pStyle w:val="Tabla"/>
            </w:pPr>
            <w:r>
              <w:t xml:space="preserve">Muchas interacciones no lineales; el todo hace cosas que ninguna parte explica.</w:t>
            </w:r>
          </w:p>
        </w:tc>
        <w:tc>
          <w:tcPr>
            <w:tcW w:type="dxa" w:w="2408"/>
            <w:tcMar>
              <w:top w:type="dxa" w:w="80"/>
              <w:left w:type="dxa" w:w="100"/>
              <w:bottom w:type="dxa" w:w="80"/>
              <w:right w:type="dxa" w:w="100"/>
            </w:tcMar>
          </w:tcPr>
          <w:p>
            <w:pPr>
              <w:pStyle w:val="Tabla"/>
            </w:pPr>
            <w:r>
              <w:t xml:space="preserve">El clima y la atmósfera · Tráfico en hora pico · Apagón en cascada de la red eléctrica</w:t>
            </w:r>
          </w:p>
        </w:tc>
      </w:tr>
      <w:tr>
        <w:trPr>
          <w:cantSplit/>
          <w:tblHeader w:val="off"/>
        </w:trPr>
        <w:tc>
          <w:tcPr>
            <w:tcW w:type="dxa" w:w="2408"/>
            <w:tcMar>
              <w:top w:type="dxa" w:w="80"/>
              <w:left w:type="dxa" w:w="100"/>
              <w:bottom w:type="dxa" w:w="80"/>
              <w:right w:type="dxa" w:w="100"/>
            </w:tcMar>
          </w:tcPr>
          <w:p>
            <w:pPr>
              <w:pStyle w:val="Tabla"/>
            </w:pPr>
            <w:r>
              <w:t xml:space="preserve">3</w:t>
            </w:r>
          </w:p>
        </w:tc>
        <w:tc>
          <w:tcPr>
            <w:tcW w:type="dxa" w:w="2408"/>
            <w:tcMar>
              <w:top w:type="dxa" w:w="80"/>
              <w:left w:type="dxa" w:w="100"/>
              <w:bottom w:type="dxa" w:w="80"/>
              <w:right w:type="dxa" w:w="100"/>
            </w:tcMar>
          </w:tcPr>
          <w:p>
            <w:pPr>
              <w:pStyle w:val="Tabla"/>
            </w:pPr>
            <w:r>
              <w:t xml:space="preserve">Sistema adaptativo complejo (CAS)</w:t>
            </w:r>
          </w:p>
        </w:tc>
        <w:tc>
          <w:tcPr>
            <w:tcW w:type="dxa" w:w="2408"/>
            <w:tcMar>
              <w:top w:type="dxa" w:w="80"/>
              <w:left w:type="dxa" w:w="100"/>
              <w:bottom w:type="dxa" w:w="80"/>
              <w:right w:type="dxa" w:w="100"/>
            </w:tcMar>
          </w:tcPr>
          <w:p>
            <w:pPr>
              <w:pStyle w:val="Tabla"/>
            </w:pPr>
            <w:r>
              <w:t xml:space="preserve">Un sistema complejo cuyos agentes aprenden, se adaptan y se autoorganizan.</w:t>
            </w:r>
          </w:p>
        </w:tc>
        <w:tc>
          <w:tcPr>
            <w:tcW w:type="dxa" w:w="2408"/>
            <w:tcMar>
              <w:top w:type="dxa" w:w="80"/>
              <w:left w:type="dxa" w:w="100"/>
              <w:bottom w:type="dxa" w:w="80"/>
              <w:right w:type="dxa" w:w="100"/>
            </w:tcMar>
          </w:tcPr>
          <w:p>
            <w:pPr>
              <w:pStyle w:val="Tabla"/>
            </w:pPr>
            <w:r>
              <w:t xml:space="preserve">Colonia de hormigas o bandada · Un mercado o la economía · El cerebro o el sistema inmune</w:t>
            </w:r>
          </w:p>
        </w:tc>
      </w:tr>
    </w:tbl>
    <w:p>
      <w:pPr>
        <w:pStyle w:val="Fuente"/>
      </w:pPr>
      <w:r>
        <w:t xml:space="preserve">Complicado no es complejo: un avión es complicadísimo y predecible. Lo que define al adaptativo complejo es que aprende y se autoorganiza.</w:t>
      </w:r>
    </w:p>
    <w:p>
      <w:pPr>
        <w:pStyle w:val="Heading3"/>
      </w:pPr>
      <w:bookmarkStart w:name="b_tabla_2_6_g1_cas" w:id="1722"/>
      <w:r>
        <w:t xml:space="preserve">Las cinco características de un sistema adaptativo complejo</w:t>
      </w:r>
      <w:bookmarkEnd w:id="1722"/>
    </w:p>
    <w:tbl>
      <w:tblPr>
        <w:tblW w:type="dxa" w:w="9632"/>
        <w:tblBorders>
          <w:top w:val="single" w:color="C5D5DB" w:sz="4"/>
          <w:left w:val="single" w:color="C5D5DB" w:sz="4"/>
          <w:bottom w:val="single" w:color="C5D5DB" w:sz="4"/>
          <w:right w:val="single" w:color="C5D5DB" w:sz="4"/>
          <w:insideH w:val="single" w:color="E4E9EB" w:sz="3"/>
          <w:insideV w:val="single" w:color="E4E9EB" w:sz="3"/>
        </w:tblBorders>
        <w:tblLayout w:type="fixed"/>
      </w:tblPr>
      <w:tblGrid>
        <w:gridCol w:w="3212"/>
        <w:gridCol w:w="3210"/>
        <w:gridCol w:w="3210"/>
      </w:tblGrid>
      <w:tr>
        <w:trPr>
          <w:cantSplit/>
          <w:tblHeader/>
        </w:trPr>
        <w:tc>
          <w:tcPr>
            <w:tcW w:type="dxa" w:w="3212"/>
            <w:shd w:fill="DFEAF0" w:val="clear"/>
            <w:tcMar>
              <w:top w:type="dxa" w:w="80"/>
              <w:left w:type="dxa" w:w="100"/>
              <w:bottom w:type="dxa" w:w="80"/>
              <w:right w:type="dxa" w:w="100"/>
            </w:tcMar>
          </w:tcPr>
          <w:p>
            <w:pPr>
              <w:pStyle w:val="Tabla"/>
            </w:pPr>
            <w:r>
              <w:rPr>
                <w:b/>
                <w:bCs/>
              </w:rPr>
              <w:t xml:space="preserve">#</w:t>
            </w:r>
          </w:p>
        </w:tc>
        <w:tc>
          <w:tcPr>
            <w:tcW w:type="dxa" w:w="3210"/>
            <w:shd w:fill="DFEAF0" w:val="clear"/>
            <w:tcMar>
              <w:top w:type="dxa" w:w="80"/>
              <w:left w:type="dxa" w:w="100"/>
              <w:bottom w:type="dxa" w:w="80"/>
              <w:right w:type="dxa" w:w="100"/>
            </w:tcMar>
          </w:tcPr>
          <w:p>
            <w:pPr>
              <w:pStyle w:val="Tabla"/>
            </w:pPr>
            <w:r>
              <w:rPr>
                <w:b/>
                <w:bCs/>
              </w:rPr>
              <w:t xml:space="preserve">Etiqueta</w:t>
            </w:r>
          </w:p>
        </w:tc>
        <w:tc>
          <w:tcPr>
            <w:tcW w:type="dxa" w:w="3210"/>
            <w:shd w:fill="DFEAF0" w:val="clear"/>
            <w:tcMar>
              <w:top w:type="dxa" w:w="80"/>
              <w:left w:type="dxa" w:w="100"/>
              <w:bottom w:type="dxa" w:w="80"/>
              <w:right w:type="dxa" w:w="100"/>
            </w:tcMar>
          </w:tcPr>
          <w:p>
            <w:pPr>
              <w:pStyle w:val="Tabla"/>
            </w:pPr>
            <w:r>
              <w:rPr>
                <w:b/>
                <w:bCs/>
              </w:rPr>
              <w:t xml:space="preserve">Texto literal de la lámina 14</w:t>
            </w:r>
          </w:p>
        </w:tc>
      </w:tr>
      <w:tr>
        <w:trPr>
          <w:cantSplit/>
          <w:tblHeader w:val="off"/>
        </w:trPr>
        <w:tc>
          <w:tcPr>
            <w:tcW w:type="dxa" w:w="3212"/>
            <w:tcMar>
              <w:top w:type="dxa" w:w="80"/>
              <w:left w:type="dxa" w:w="100"/>
              <w:bottom w:type="dxa" w:w="80"/>
              <w:right w:type="dxa" w:w="100"/>
            </w:tcMar>
          </w:tcPr>
          <w:p>
            <w:pPr>
              <w:pStyle w:val="Tabla"/>
            </w:pPr>
            <w:r>
              <w:t xml:space="preserve">1</w:t>
            </w:r>
          </w:p>
        </w:tc>
        <w:tc>
          <w:tcPr>
            <w:tcW w:type="dxa" w:w="3210"/>
            <w:tcMar>
              <w:top w:type="dxa" w:w="80"/>
              <w:left w:type="dxa" w:w="100"/>
              <w:bottom w:type="dxa" w:w="80"/>
              <w:right w:type="dxa" w:w="100"/>
            </w:tcMar>
          </w:tcPr>
          <w:p>
            <w:pPr>
              <w:pStyle w:val="Tabla"/>
            </w:pPr>
            <w:r>
              <w:t xml:space="preserve">Se adaptan a su entorno</w:t>
            </w:r>
          </w:p>
        </w:tc>
        <w:tc>
          <w:tcPr>
            <w:tcW w:type="dxa" w:w="3210"/>
            <w:tcMar>
              <w:top w:type="dxa" w:w="80"/>
              <w:left w:type="dxa" w:w="100"/>
              <w:bottom w:type="dxa" w:w="80"/>
              <w:right w:type="dxa" w:w="100"/>
            </w:tcMar>
          </w:tcPr>
          <w:p>
            <w:pPr>
              <w:pStyle w:val="Tabla"/>
            </w:pPr>
            <w:r>
              <w:t xml:space="preserve">Se adaptan a su entorno: aprende a la vez que se autorganiza.</w:t>
            </w:r>
          </w:p>
        </w:tc>
      </w:tr>
      <w:tr>
        <w:trPr>
          <w:cantSplit/>
          <w:tblHeader w:val="off"/>
        </w:trPr>
        <w:tc>
          <w:tcPr>
            <w:tcW w:type="dxa" w:w="3212"/>
            <w:tcMar>
              <w:top w:type="dxa" w:w="80"/>
              <w:left w:type="dxa" w:w="100"/>
              <w:bottom w:type="dxa" w:w="80"/>
              <w:right w:type="dxa" w:w="100"/>
            </w:tcMar>
          </w:tcPr>
          <w:p>
            <w:pPr>
              <w:pStyle w:val="Tabla"/>
            </w:pPr>
            <w:r>
              <w:t xml:space="preserve">2</w:t>
            </w:r>
          </w:p>
        </w:tc>
        <w:tc>
          <w:tcPr>
            <w:tcW w:type="dxa" w:w="3210"/>
            <w:tcMar>
              <w:top w:type="dxa" w:w="80"/>
              <w:left w:type="dxa" w:w="100"/>
              <w:bottom w:type="dxa" w:w="80"/>
              <w:right w:type="dxa" w:w="100"/>
            </w:tcMar>
          </w:tcPr>
          <w:p>
            <w:pPr>
              <w:pStyle w:val="Tabla"/>
            </w:pPr>
            <w:r>
              <w:t xml:space="preserve">Los cambios vuelven</w:t>
            </w:r>
          </w:p>
        </w:tc>
        <w:tc>
          <w:tcPr>
            <w:tcW w:type="dxa" w:w="3210"/>
            <w:tcMar>
              <w:top w:type="dxa" w:w="80"/>
              <w:left w:type="dxa" w:w="100"/>
              <w:bottom w:type="dxa" w:w="80"/>
              <w:right w:type="dxa" w:w="100"/>
            </w:tcMar>
          </w:tcPr>
          <w:p>
            <w:pPr>
              <w:pStyle w:val="Tabla"/>
            </w:pPr>
            <w:r>
              <w:t xml:space="preserve">Los cambios en los componentes, pueden provocar cambios en los mismos componentes y en la totalidad del sistema.</w:t>
            </w:r>
          </w:p>
        </w:tc>
      </w:tr>
      <w:tr>
        <w:trPr>
          <w:cantSplit/>
          <w:tblHeader w:val="off"/>
        </w:trPr>
        <w:tc>
          <w:tcPr>
            <w:tcW w:type="dxa" w:w="3212"/>
            <w:tcMar>
              <w:top w:type="dxa" w:w="80"/>
              <w:left w:type="dxa" w:w="100"/>
              <w:bottom w:type="dxa" w:w="80"/>
              <w:right w:type="dxa" w:w="100"/>
            </w:tcMar>
          </w:tcPr>
          <w:p>
            <w:pPr>
              <w:pStyle w:val="Tabla"/>
            </w:pPr>
            <w:r>
              <w:t xml:space="preserve">3</w:t>
            </w:r>
          </w:p>
        </w:tc>
        <w:tc>
          <w:tcPr>
            <w:tcW w:type="dxa" w:w="3210"/>
            <w:tcMar>
              <w:top w:type="dxa" w:w="80"/>
              <w:left w:type="dxa" w:w="100"/>
              <w:bottom w:type="dxa" w:w="80"/>
              <w:right w:type="dxa" w:w="100"/>
            </w:tcMar>
          </w:tcPr>
          <w:p>
            <w:pPr>
              <w:pStyle w:val="Tabla"/>
            </w:pPr>
            <w:r>
              <w:t xml:space="preserve">Modelan su entorno</w:t>
            </w:r>
          </w:p>
        </w:tc>
        <w:tc>
          <w:tcPr>
            <w:tcW w:type="dxa" w:w="3210"/>
            <w:tcMar>
              <w:top w:type="dxa" w:w="80"/>
              <w:left w:type="dxa" w:w="100"/>
              <w:bottom w:type="dxa" w:w="80"/>
              <w:right w:type="dxa" w:w="100"/>
            </w:tcMar>
          </w:tcPr>
          <w:p>
            <w:pPr>
              <w:pStyle w:val="Tabla"/>
            </w:pPr>
            <w:r>
              <w:t xml:space="preserve">Modelan su entorno: observando, imaginando, probando ideas, actuando, descartándolas, siempre evolucionando y aprendiendo.</w:t>
            </w:r>
          </w:p>
        </w:tc>
      </w:tr>
      <w:tr>
        <w:trPr>
          <w:cantSplit/>
          <w:tblHeader w:val="off"/>
        </w:trPr>
        <w:tc>
          <w:tcPr>
            <w:tcW w:type="dxa" w:w="3212"/>
            <w:tcMar>
              <w:top w:type="dxa" w:w="80"/>
              <w:left w:type="dxa" w:w="100"/>
              <w:bottom w:type="dxa" w:w="80"/>
              <w:right w:type="dxa" w:w="100"/>
            </w:tcMar>
          </w:tcPr>
          <w:p>
            <w:pPr>
              <w:pStyle w:val="Tabla"/>
            </w:pPr>
            <w:r>
              <w:t xml:space="preserve">4</w:t>
            </w:r>
          </w:p>
        </w:tc>
        <w:tc>
          <w:tcPr>
            <w:tcW w:type="dxa" w:w="3210"/>
            <w:tcMar>
              <w:top w:type="dxa" w:w="80"/>
              <w:left w:type="dxa" w:w="100"/>
              <w:bottom w:type="dxa" w:w="80"/>
              <w:right w:type="dxa" w:w="100"/>
            </w:tcMar>
          </w:tcPr>
          <w:p>
            <w:pPr>
              <w:pStyle w:val="Tabla"/>
            </w:pPr>
            <w:r>
              <w:t xml:space="preserve">Múltiples niveles</w:t>
            </w:r>
          </w:p>
        </w:tc>
        <w:tc>
          <w:tcPr>
            <w:tcW w:type="dxa" w:w="3210"/>
            <w:tcMar>
              <w:top w:type="dxa" w:w="80"/>
              <w:left w:type="dxa" w:w="100"/>
              <w:bottom w:type="dxa" w:w="80"/>
              <w:right w:type="dxa" w:w="100"/>
            </w:tcMar>
          </w:tcPr>
          <w:p>
            <w:pPr>
              <w:pStyle w:val="Tabla"/>
            </w:pPr>
            <w:r>
              <w:t xml:space="preserve">Múltiples niveles de interacción, con agentes de cualquier nivel actuando como bloques de construcción para niveles superiores.</w:t>
            </w:r>
          </w:p>
        </w:tc>
      </w:tr>
      <w:tr>
        <w:trPr>
          <w:cantSplit/>
          <w:tblHeader w:val="off"/>
        </w:trPr>
        <w:tc>
          <w:tcPr>
            <w:tcW w:type="dxa" w:w="3212"/>
            <w:tcMar>
              <w:top w:type="dxa" w:w="80"/>
              <w:left w:type="dxa" w:w="100"/>
              <w:bottom w:type="dxa" w:w="80"/>
              <w:right w:type="dxa" w:w="100"/>
            </w:tcMar>
          </w:tcPr>
          <w:p>
            <w:pPr>
              <w:pStyle w:val="Tabla"/>
            </w:pPr>
            <w:r>
              <w:t xml:space="preserve">5</w:t>
            </w:r>
          </w:p>
        </w:tc>
        <w:tc>
          <w:tcPr>
            <w:tcW w:type="dxa" w:w="3210"/>
            <w:tcMar>
              <w:top w:type="dxa" w:w="80"/>
              <w:left w:type="dxa" w:w="100"/>
              <w:bottom w:type="dxa" w:w="80"/>
              <w:right w:type="dxa" w:w="100"/>
            </w:tcMar>
          </w:tcPr>
          <w:p>
            <w:pPr>
              <w:pStyle w:val="Tabla"/>
            </w:pPr>
            <w:r>
              <w:t xml:space="preserve">No hay equilibrio</w:t>
            </w:r>
          </w:p>
        </w:tc>
        <w:tc>
          <w:tcPr>
            <w:tcW w:type="dxa" w:w="3210"/>
            <w:tcMar>
              <w:top w:type="dxa" w:w="80"/>
              <w:left w:type="dxa" w:w="100"/>
              <w:bottom w:type="dxa" w:w="80"/>
              <w:right w:type="dxa" w:w="100"/>
            </w:tcMar>
          </w:tcPr>
          <w:p>
            <w:pPr>
              <w:pStyle w:val="Tabla"/>
            </w:pPr>
            <w:r>
              <w:t xml:space="preserve">No hay equilibrio, pues siempre se está en transformación, el equilibrio significaría muerte.</w:t>
            </w:r>
          </w:p>
        </w:tc>
      </w:tr>
    </w:tbl>
    <w:p>
      <w:pPr>
        <w:pStyle w:val="Fuente"/>
      </w:pPr>
      <w:r>
        <w:t xml:space="preserve">Texto literal de la lámina 14 de la clase 6. La quinta es la que más se pregunta: el equilibrio significaría muerte.</w:t>
      </w:r>
    </w:p>
    <w:p>
      <w:pPr>
        <w:pStyle w:val="Heading3"/>
      </w:pPr>
      <w:r>
        <w:t xml:space="preserve">Lo que dicen las presentaciones</w:t>
      </w:r>
    </w:p>
    <w:p>
      <w:pPr>
        <w:pStyle w:val="Heading3"/>
      </w:pPr>
      <w:bookmarkStart w:name="b_pagina_2_6_C_5_p18" w:id="1723"/>
      <w:r>
        <w:t xml:space="preserve">C-5 · página 18 · Pensamiento sistémico para resolver problemas complejos</w:t>
      </w:r>
      <w:bookmarkEnd w:id="1723"/>
    </w:p>
    <w:p>
      <w:pPr>
        <w:pStyle w:val="Normal"/>
      </w:pPr>
      <w:r>
        <w:t xml:space="preserve">Problemas entrelazados, agencias, perspectivas, conflictos e incertidumbre; el pensamiento sistémico también sirve en situaciones cotidianas.</w:t>
      </w:r>
    </w:p>
    <w:p>
      <w:pPr>
        <w:pStyle w:val="Fuente"/>
      </w:pPr>
      <w:r>
        <w:t xml:space="preserve">Proyección o explicación: Clase 3 · 00:10:48 · captura c3-01.</w:t>
      </w:r>
    </w:p>
    <w:p>
      <w:pPr>
        <w:pStyle w:val="Fuente"/>
      </w:pPr>
      <w:r>
        <w:t xml:space="preserve">Véase </w:t>
      </w:r>
      <w:hyperlink w:history="1" w:anchor="b_figura_original_pagina_C_5_18">
        <w:r>
          <w:rPr>
            <w:color w:val="156B70"/>
            <w:u w:val="single"/>
          </w:rPr>
          <w:t xml:space="preserve">imagen de C-5, página 18</w:t>
        </w:r>
      </w:hyperlink>
      <w:r>
        <w:t xml:space="preserve">, pág. </w:t>
      </w:r>
      <w:r>
        <w:fldChar w:fldCharType="begin"/>
        <w:instrText xml:space="preserve">PAGEREF b_figura_original_pagina_C_5_18 \h</w:instrText>
        <w:fldChar w:fldCharType="separate"/>
        <w:t xml:space="preserve">88</w:t>
        <w:fldChar w:fldCharType="end"/>
      </w:r>
      <w:r>
        <w:t xml:space="preserve">.</w:t>
      </w:r>
    </w:p>
    <w:p>
      <w:bookmarkStart w:name="b_punto_c5_p018_06" w:id="1724"/>
      <w:r>
        <w:t xml:space="preserve">Los conflictos de expectativas y las relaciones de poder dificultan cambiar los sistemas.</w:t>
      </w:r>
      <w:bookmarkEnd w:id="1724"/>
    </w:p>
    <w:p>
      <w:bookmarkStart w:name="b_punto_c5_p018_07" w:id="1725"/>
      <w:r>
        <w:t xml:space="preserve">Existe incertidumbre sobre los efectos de las acciones; al aumentar la complejidad hay más interrelaciones, más actores, más desacuerdos y menos información confiable.</w:t>
      </w:r>
      <w:bookmarkEnd w:id="1725"/>
    </w:p>
    <w:p>
      <w:pPr>
        <w:pStyle w:val="Fuente"/>
      </w:pPr>
      <w:r>
        <w:t xml:space="preserve">Véase </w:t>
      </w:r>
      <w:hyperlink w:history="1" w:anchor="b_1_3">
        <w:r>
          <w:rPr>
            <w:color w:val="156B70"/>
            <w:u w:val="single"/>
          </w:rPr>
          <w:t xml:space="preserve">capítulo 1.3 · El paradigma de sistemas</w:t>
        </w:r>
      </w:hyperlink>
      <w:r>
        <w:t xml:space="preserve">, pág. </w:t>
      </w:r>
      <w:r>
        <w:fldChar w:fldCharType="begin"/>
        <w:instrText xml:space="preserve">PAGEREF b_1_3 \h</w:instrText>
        <w:fldChar w:fldCharType="separate"/>
        <w:t xml:space="preserve">83</w:t>
        <w:fldChar w:fldCharType="end"/>
      </w:r>
      <w:r>
        <w:t xml:space="preserve">.</w:t>
      </w:r>
    </w:p>
    <w:p>
      <w:pPr>
        <w:pStyle w:val="Heading3"/>
      </w:pPr>
      <w:bookmarkStart w:name="b_pagina_2_6_C_6_p11" w:id="1726"/>
      <w:r>
        <w:t xml:space="preserve">C-6 · página 11 · El pensamiento sistémico es un sistema adaptativo complejo</w:t>
      </w:r>
      <w:bookmarkEnd w:id="1726"/>
    </w:p>
    <w:p>
      <w:pPr>
        <w:pStyle w:val="Normal"/>
      </w:pPr>
      <w:r>
        <w:t xml:space="preserve">Modelos mentales como producto y mejor aproximación cualitativa al mundo real.</w:t>
      </w:r>
    </w:p>
    <w:p>
      <w:pPr>
        <w:pStyle w:val="Fuente"/>
      </w:pPr>
      <w:r>
        <w:t xml:space="preserve">Proyección o explicación: Clase 6 · 01:25:40 · captura c6-12.</w:t>
      </w:r>
    </w:p>
    <w:p>
      <w:bookmarkStart w:name="b_punto_c6_p011_01" w:id="1727"/>
      <w:r>
        <w:t xml:space="preserve">Los procesos del pensamiento sistémico buscan construir modelos mentales próximos a los sistemas reales.</w:t>
      </w:r>
      <w:bookmarkEnd w:id="1727"/>
    </w:p>
    <w:p>
      <w:bookmarkStart w:name="b_punto_c6_p011_02" w:id="1728"/>
      <w:r>
        <w:t xml:space="preserve">Los productos son representaciones para comprender, predecir y formular hipótesis o aproximaciones.</w:t>
      </w:r>
      <w:bookmarkEnd w:id="1728"/>
    </w:p>
    <w:p>
      <w:bookmarkStart w:name="b_punto_c6_p011_03" w:id="1729"/>
      <w:r>
        <w:t xml:space="preserve">El objetivo es generar modelos cualitativamente mejores, no simplemente más modelos o más rápidos.</w:t>
      </w:r>
      <w:bookmarkEnd w:id="1729"/>
    </w:p>
    <w:p>
      <w:pPr>
        <w:pStyle w:val="Heading3"/>
      </w:pPr>
      <w:bookmarkStart w:name="b_pagina_2_6_C_6_p12" w:id="1730"/>
      <w:r>
        <w:t xml:space="preserve">C-6 · página 12 · Cómo funciona el pensamiento sistémico como CAS</w:t>
      </w:r>
      <w:bookmarkEnd w:id="1730"/>
    </w:p>
    <w:p>
      <w:pPr>
        <w:pStyle w:val="Normal"/>
      </w:pPr>
      <w:r>
        <w:t xml:space="preserve">Silogismo de las reglas simples y definición de cambio y aprendizaje.</w:t>
      </w:r>
    </w:p>
    <w:p>
      <w:pPr>
        <w:pStyle w:val="Fuente"/>
      </w:pPr>
      <w:r>
        <w:t xml:space="preserve">Proyección o explicación: Clase 6 · 01:28:01 · captura c6-13.</w:t>
      </w:r>
    </w:p>
    <w:p>
      <w:bookmarkStart w:name="b_punto_c6_p012_01" w:id="1731"/>
      <w:r>
        <w:t xml:space="preserve">Premisa: los sistemas adaptativos complejos se basan en reglas simples.</w:t>
      </w:r>
      <w:bookmarkEnd w:id="1731"/>
    </w:p>
    <w:p>
      <w:bookmarkStart w:name="b_punto_c6_p012_02" w:id="1732"/>
      <w:r>
        <w:t xml:space="preserve">Premisa: pensar sistémicamente sobre sistemas complejos es en sí un sistema complejo.</w:t>
      </w:r>
      <w:bookmarkEnd w:id="1732"/>
    </w:p>
    <w:p>
      <w:bookmarkStart w:name="b_punto_c6_p012_03" w:id="1733"/>
      <w:r>
        <w:t xml:space="preserve">Conclusión: deben existir reglas simples que determinen el pensamiento sistémico.</w:t>
      </w:r>
      <w:bookmarkEnd w:id="1733"/>
    </w:p>
    <w:p>
      <w:bookmarkStart w:name="b_punto_c6_p012_04" w:id="1734"/>
      <w:r>
        <w:t xml:space="preserve">Complejo por diversidad e interconexión; adaptativo por capacidad de cambiar y aprender de la experiencia.</w:t>
      </w:r>
      <w:bookmarkEnd w:id="1734"/>
    </w:p>
    <w:p>
      <w:pPr>
        <w:pStyle w:val="Heading3"/>
      </w:pPr>
      <w:bookmarkStart w:name="b_pagina_2_6_C_6_p13" w:id="1735"/>
      <w:r>
        <w:t xml:space="preserve">C-6 · página 13 · Características de los sistemas adaptativos complejos</w:t>
      </w:r>
      <w:bookmarkEnd w:id="1735"/>
    </w:p>
    <w:p>
      <w:pPr>
        <w:pStyle w:val="Normal"/>
      </w:pPr>
      <w:r>
        <w:t xml:space="preserve">Cinco características, cardumen y piezas de LEGO.</w:t>
      </w:r>
    </w:p>
    <w:p>
      <w:pPr>
        <w:pStyle w:val="Fuente"/>
      </w:pPr>
      <w:r>
        <w:t xml:space="preserve">Proyección o explicación: Clase 6 · 01:29:05 · captura c6-14.</w:t>
      </w:r>
    </w:p>
    <w:p>
      <w:bookmarkStart w:name="b_punto_c6_p013_01" w:id="1736"/>
      <w:r>
        <w:t xml:space="preserve">Se adaptan al entorno mientras aprenden y se autoorganizan.</w:t>
      </w:r>
      <w:bookmarkEnd w:id="1736"/>
    </w:p>
    <w:p>
      <w:bookmarkStart w:name="b_punto_c6_p013_02" w:id="1737"/>
      <w:r>
        <w:t xml:space="preserve">Los cambios en componentes pueden repercutir en esos componentes y en la totalidad.</w:t>
      </w:r>
      <w:bookmarkEnd w:id="1737"/>
    </w:p>
    <w:p>
      <w:bookmarkStart w:name="b_punto_c6_p013_03" w:id="1738"/>
      <w:r>
        <w:t xml:space="preserve">Modelan el entorno observando, imaginando, probando, actuando y descartando ideas.</w:t>
      </w:r>
      <w:bookmarkEnd w:id="1738"/>
    </w:p>
    <w:p>
      <w:bookmarkStart w:name="b_punto_c6_p013_04" w:id="1739"/>
      <w:r>
        <w:t xml:space="preserve">Tienen múltiples niveles de interacción; agentes de un nivel sirven de bloques para niveles superiores.</w:t>
      </w:r>
      <w:bookmarkEnd w:id="1739"/>
    </w:p>
    <w:p>
      <w:bookmarkStart w:name="b_punto_c6_p013_05" w:id="1740"/>
      <w:r>
        <w:t xml:space="preserve">Se transforman continuamente: la lámina contrasta esto con un equilibrio que significaría muerte.</w:t>
      </w:r>
      <w:bookmarkEnd w:id="1740"/>
    </w:p>
    <w:p>
      <w:bookmarkStart w:name="b_punto_c6_p013_06" w:id="1741"/>
      <w:r>
        <w:t xml:space="preserve">Cardumen y camión de LEGO ilustran organización de elementos y reglas.</w:t>
      </w:r>
      <w:bookmarkEnd w:id="1741"/>
    </w:p>
    <w:p>
      <w:pPr>
        <w:pStyle w:val="Heading3"/>
      </w:pPr>
      <w:bookmarkStart w:name="b_pagina_2_6_C_6_p14" w:id="1742"/>
      <w:r>
        <w:t xml:space="preserve">C-6 · página 14 · Pensamiento sistémico como propiedad emergente</w:t>
      </w:r>
      <w:bookmarkEnd w:id="1742"/>
    </w:p>
    <w:p>
      <w:pPr>
        <w:pStyle w:val="Normal"/>
      </w:pPr>
      <w:r>
        <w:t xml:space="preserve">De agentes y reglas simples a dinámica colectiva y propiedades emergentes; dónde intervenir.</w:t>
      </w:r>
    </w:p>
    <w:p>
      <w:pPr>
        <w:pStyle w:val="Fuente"/>
      </w:pPr>
      <w:r>
        <w:t xml:space="preserve">Proyección o explicación: Clase 6 · 01:31:37 · captura c6-15.</w:t>
      </w:r>
    </w:p>
    <w:p>
      <w:bookmarkStart w:name="b_punto_c6_p014_03" w:id="1743"/>
      <w:r>
        <w:t xml:space="preserve">Los CAS combinan agentes y reglas simples para construir estructuras complejas.</w:t>
      </w:r>
      <w:bookmarkEnd w:id="1743"/>
    </w:p>
    <w:p>
      <w:pPr>
        <w:pStyle w:val="Fuente"/>
      </w:pPr>
      <w:r>
        <w:t xml:space="preserve">Véase </w:t>
      </w:r>
      <w:hyperlink w:history="1" w:anchor="b_1_6">
        <w:r>
          <w:rPr>
            <w:color w:val="156B70"/>
            <w:u w:val="single"/>
          </w:rPr>
          <w:t xml:space="preserve">capítulo 1.6 · Operaciones DSRP</w:t>
        </w:r>
      </w:hyperlink>
      <w:r>
        <w:t xml:space="preserve">, pág. </w:t>
      </w:r>
      <w:r>
        <w:fldChar w:fldCharType="begin"/>
        <w:instrText xml:space="preserve">PAGEREF b_1_6 \h</w:instrText>
        <w:fldChar w:fldCharType="separate"/>
        <w:t xml:space="preserve">150</w:t>
        <w:fldChar w:fldCharType="end"/>
      </w:r>
      <w:r>
        <w:t xml:space="preserve">.</w:t>
      </w:r>
    </w:p>
    <w:p>
      <w:pPr>
        <w:pStyle w:val="Heading3"/>
      </w:pPr>
      <w:bookmarkStart w:name="b_pagina_2_6_C_6_p50" w:id="1744"/>
      <w:r>
        <w:t xml:space="preserve">C-6 · página 50 · Resumen de conceptos iniciales de la teoría de sistemas</w:t>
      </w:r>
      <w:bookmarkEnd w:id="1744"/>
    </w:p>
    <w:p>
      <w:pPr>
        <w:pStyle w:val="Normal"/>
      </w:pPr>
      <w:r>
        <w:t xml:space="preserve">Ocho afirmaciones reúnen totalidad, relaciones, jerarquía, emergencia, análisis, síntesis y DSRP.</w:t>
      </w:r>
    </w:p>
    <w:p>
      <w:pPr>
        <w:pStyle w:val="Fuente"/>
      </w:pPr>
      <w:r>
        <w:t xml:space="preserve">Proyección o explicación: Clase 8 · 00:50:47 · captura c8-16.</w:t>
      </w:r>
    </w:p>
    <w:p>
      <w:bookmarkStart w:name="b_punto_c6_p050_04" w:id="1745"/>
      <w:r>
        <w:t xml:space="preserve">Las propiedades emergentes pertenecen al conjunto; al aumentar complejidad se vuelven menos predecibles.</w:t>
      </w:r>
      <w:bookmarkEnd w:id="1745"/>
    </w:p>
    <w:p>
      <w:pPr>
        <w:pStyle w:val="Fuente"/>
      </w:pPr>
      <w:r>
        <w:t xml:space="preserve">Véase </w:t>
      </w:r>
      <w:hyperlink w:history="1" w:anchor="b_2_2">
        <w:r>
          <w:rPr>
            <w:color w:val="156B70"/>
            <w:u w:val="single"/>
          </w:rPr>
          <w:t xml:space="preserve">capítulo 2.2 · Conceptos de un sistema</w:t>
        </w:r>
      </w:hyperlink>
      <w:r>
        <w:t xml:space="preserve">, pág. </w:t>
      </w:r>
      <w:r>
        <w:fldChar w:fldCharType="begin"/>
        <w:instrText xml:space="preserve">PAGEREF b_2_2 \h</w:instrText>
        <w:fldChar w:fldCharType="separate"/>
        <w:t xml:space="preserve">242</w:t>
        <w:fldChar w:fldCharType="end"/>
      </w:r>
      <w:r>
        <w:t xml:space="preserve">.</w:t>
      </w:r>
    </w:p>
    <w:p>
      <w:pPr>
        <w:pStyle w:val="Fuente"/>
      </w:pPr>
      <w:r>
        <w:t xml:space="preserve">Véase </w:t>
      </w:r>
      <w:hyperlink w:history="1" w:anchor="b_1_5">
        <w:r>
          <w:rPr>
            <w:color w:val="156B70"/>
            <w:u w:val="single"/>
          </w:rPr>
          <w:t xml:space="preserve">capítulo 1.5 · Perspectivas</w:t>
        </w:r>
      </w:hyperlink>
      <w:r>
        <w:t xml:space="preserve">, pág. </w:t>
      </w:r>
      <w:r>
        <w:fldChar w:fldCharType="begin"/>
        <w:instrText xml:space="preserve">PAGEREF b_1_5 \h</w:instrText>
        <w:fldChar w:fldCharType="separate"/>
        <w:t xml:space="preserve">125</w:t>
        <w:fldChar w:fldCharType="end"/>
      </w:r>
      <w:r>
        <w:t xml:space="preserve">.</w:t>
      </w:r>
    </w:p>
    <w:p>
      <w:pPr>
        <w:pStyle w:val="Fuente"/>
      </w:pPr>
      <w:r>
        <w:t xml:space="preserve">Véase </w:t>
      </w:r>
      <w:hyperlink w:history="1" w:anchor="b_2_4">
        <w:r>
          <w:rPr>
            <w:color w:val="156B70"/>
            <w:u w:val="single"/>
          </w:rPr>
          <w:t xml:space="preserve">capítulo 2.4 · Sub y suprasistemas</w:t>
        </w:r>
      </w:hyperlink>
      <w:r>
        <w:t xml:space="preserve">, pág. </w:t>
      </w:r>
      <w:r>
        <w:fldChar w:fldCharType="begin"/>
        <w:instrText xml:space="preserve">PAGEREF b_2_4 \h</w:instrText>
        <w:fldChar w:fldCharType="separate"/>
        <w:t xml:space="preserve">277</w:t>
        <w:fldChar w:fldCharType="end"/>
      </w:r>
      <w:r>
        <w:t xml:space="preserve">.</w:t>
      </w:r>
    </w:p>
    <w:p>
      <w:pPr>
        <w:pStyle w:val="Fuente"/>
      </w:pPr>
      <w:r>
        <w:t xml:space="preserve">Véase </w:t>
      </w:r>
      <w:hyperlink w:history="1" w:anchor="b_2_5">
        <w:r>
          <w:rPr>
            <w:color w:val="156B70"/>
            <w:u w:val="single"/>
          </w:rPr>
          <w:t xml:space="preserve">capítulo 2.5 · Sinergia y emergencia</w:t>
        </w:r>
      </w:hyperlink>
      <w:r>
        <w:t xml:space="preserve">, pág. </w:t>
      </w:r>
      <w:r>
        <w:fldChar w:fldCharType="begin"/>
        <w:instrText xml:space="preserve">PAGEREF b_2_5 \h</w:instrText>
        <w:fldChar w:fldCharType="separate"/>
        <w:t xml:space="preserve">292</w:t>
        <w:fldChar w:fldCharType="end"/>
      </w:r>
      <w:r>
        <w:t xml:space="preserve">.</w:t>
      </w:r>
    </w:p>
    <w:p>
      <w:pPr>
        <w:pStyle w:val="Fuente"/>
      </w:pPr>
      <w:r>
        <w:t xml:space="preserve">Véase </w:t>
      </w:r>
      <w:hyperlink w:history="1" w:anchor="b_1_6">
        <w:r>
          <w:rPr>
            <w:color w:val="156B70"/>
            <w:u w:val="single"/>
          </w:rPr>
          <w:t xml:space="preserve">capítulo 1.6 · Operaciones DSRP</w:t>
        </w:r>
      </w:hyperlink>
      <w:r>
        <w:t xml:space="preserve">, pág. </w:t>
      </w:r>
      <w:r>
        <w:fldChar w:fldCharType="begin"/>
        <w:instrText xml:space="preserve">PAGEREF b_1_6 \h</w:instrText>
        <w:fldChar w:fldCharType="separate"/>
        <w:t xml:space="preserve">150</w:t>
        <w:fldChar w:fldCharType="end"/>
      </w:r>
      <w:r>
        <w:t xml:space="preserve">.</w:t>
      </w:r>
    </w:p>
    <w:p>
      <w:pPr>
        <w:pStyle w:val="Heading3"/>
      </w:pPr>
      <w:bookmarkStart w:name="b_pagina_2_6_C_6_p51" w:id="1746"/>
      <w:r>
        <w:t xml:space="preserve">C-6 · página 51 · Los sistemas como telarañas</w:t>
      </w:r>
      <w:bookmarkEnd w:id="1746"/>
    </w:p>
    <w:p>
      <w:pPr>
        <w:pStyle w:val="Normal"/>
      </w:pPr>
      <w:r>
        <w:t xml:space="preserve">La interconexión propaga cambios y permite palancas, a menudo en convicciones que sostienen la estructura.</w:t>
      </w:r>
    </w:p>
    <w:p>
      <w:pPr>
        <w:pStyle w:val="Fuente"/>
      </w:pPr>
      <w:r>
        <w:t xml:space="preserve">Proyección o explicación: Clase 8 · 00:57:26 · captura c8-17.</w:t>
      </w:r>
    </w:p>
    <w:p>
      <w:pPr>
        <w:keepNext/>
        <w:spacing w:after="40" w:before="150"/>
        <w:jc w:val="center"/>
      </w:pPr>
      <w:bookmarkStart w:name="b_figura_original_pagina_C_6_51" w:id="1747"/>
      <w:bookmarkEnd w:id="1747"/>
      <w:r>
        <w:drawing>
          <wp:inline distT="0" distB="0" distL="0" distR="0">
            <wp:extent cx="5381625" cy="4162425"/>
            <wp:effectExtent t="0" r="0" b="0" l="0"/>
            <wp:docPr id="43" name="pagina-C-6-51" descr="Presentación C-6, pág. 51" title="Los sistemas como telarañ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29" cstate="none"/>
                    <a:srcRect/>
                    <a:stretch>
                      <a:fillRect/>
                    </a:stretch>
                  </pic:blipFill>
                  <pic:spPr bwMode="auto">
                    <a:xfrm>
                      <a:off x="0" y="0"/>
                      <a:ext cx="5381625" cy="4162425"/>
                    </a:xfrm>
                    <a:prstGeom prst="rect">
                      <a:avLst/>
                    </a:prstGeom>
                  </pic:spPr>
                </pic:pic>
              </a:graphicData>
            </a:graphic>
          </wp:inline>
        </w:drawing>
      </w:r>
    </w:p>
    <w:p>
      <w:pPr>
        <w:pStyle w:val="PieFigura"/>
        <w:keepNext/>
      </w:pPr>
      <w:bookmarkStart w:name="b_fig_2_6_1" w:id="1748"/>
      <w:r>
        <w:t xml:space="preserve">Figura 2.6.</w:t>
      </w:r>
      <w:fldSimple w:instr="SEQ Figura \r 1 \* ARABIC">
        <w:r>
          <w:t xml:space="preserve">1</w:t>
        </w:r>
      </w:fldSimple>
      <w:r>
        <w:t xml:space="preserve"> · Los sistemas como telarañas</w:t>
      </w:r>
      <w:bookmarkEnd w:id="1748"/>
    </w:p>
    <w:p>
      <w:pPr>
        <w:pStyle w:val="Fuente"/>
      </w:pPr>
      <w:r>
        <w:t xml:space="preserve">Presentación C-6, pág. 51</w:t>
      </w:r>
    </w:p>
    <w:p>
      <w:bookmarkStart w:name="b_punto_c6_p051_01" w:id="1749"/>
      <w:r>
        <w:t xml:space="preserve">Cada parte influye en el sistema entero por sus interconexiones.</w:t>
      </w:r>
      <w:bookmarkEnd w:id="1749"/>
    </w:p>
    <w:p>
      <w:bookmarkStart w:name="b_punto_c6_p051_02" w:id="1750"/>
      <w:r>
        <w:t xml:space="preserve">La red resiste cambios por interconexión, pero puede cambiar de forma repentina y de gran magnitud.</w:t>
      </w:r>
      <w:bookmarkEnd w:id="1750"/>
    </w:p>
    <w:p>
      <w:bookmarkStart w:name="b_punto_c6_p051_03" w:id="1751"/>
      <w:r>
        <w:t xml:space="preserve">Comprender el sistema permite ubicar pequeños cambios capaces de producir efectos amplios: efecto palanca.</w:t>
      </w:r>
      <w:bookmarkEnd w:id="1751"/>
    </w:p>
    <w:p>
      <w:bookmarkStart w:name="b_punto_c6_p051_05" w:id="1752"/>
      <w:r>
        <w:t xml:space="preserve">Gobierno, red informática y red interempresarial ejemplifican redes de relaciones.</w:t>
      </w:r>
      <w:bookmarkEnd w:id="1752"/>
    </w:p>
    <w:p>
      <w:pPr>
        <w:pStyle w:val="Fuente"/>
      </w:pPr>
      <w:r>
        <w:t xml:space="preserve">Véase </w:t>
      </w:r>
      <w:hyperlink w:history="1" w:anchor="b_1_7">
        <w:r>
          <w:rPr>
            <w:color w:val="156B70"/>
            <w:u w:val="single"/>
          </w:rPr>
          <w:t xml:space="preserve">capítulo 1.7 · Niveles — modelo del iceberg</w:t>
        </w:r>
      </w:hyperlink>
      <w:r>
        <w:t xml:space="preserve">, pág. </w:t>
      </w:r>
      <w:r>
        <w:fldChar w:fldCharType="begin"/>
        <w:instrText xml:space="preserve">PAGEREF b_1_7 \h</w:instrText>
        <w:fldChar w:fldCharType="separate"/>
        <w:t xml:space="preserve">175</w:t>
        <w:fldChar w:fldCharType="end"/>
      </w:r>
      <w:r>
        <w:t xml:space="preserve">.</w:t>
      </w:r>
    </w:p>
    <w:p>
      <w:pPr>
        <w:pStyle w:val="Heading3"/>
      </w:pPr>
      <w:bookmarkStart w:name="b_pagina_2_6_C_6_p54" w:id="1753"/>
      <w:r>
        <w:t xml:space="preserve">C-6 · página 54 · Estudio de sistemas complejos: escala, tiempo y conceptos</w:t>
      </w:r>
      <w:bookmarkEnd w:id="1753"/>
    </w:p>
    <w:p>
      <w:pPr>
        <w:pStyle w:val="Normal"/>
      </w:pPr>
      <w:r>
        <w:t xml:space="preserve">El diagrama integra componentes, escalas, emergencia, jerarquía, autoorganización, control, composición, caos y evolución.</w:t>
      </w:r>
    </w:p>
    <w:p>
      <w:pPr>
        <w:pStyle w:val="Fuente"/>
      </w:pPr>
      <w:r>
        <w:t xml:space="preserve">Proyección o explicación: Clase 8 · 01:09:11 · captura c8-20.</w:t>
      </w:r>
    </w:p>
    <w:p>
      <w:pPr>
        <w:keepNext/>
        <w:spacing w:after="40" w:before="150"/>
        <w:jc w:val="center"/>
      </w:pPr>
      <w:bookmarkStart w:name="b_figura_original_pagina_C_6_54" w:id="1754"/>
      <w:bookmarkEnd w:id="1754"/>
      <w:r>
        <w:drawing>
          <wp:inline distT="0" distB="0" distL="0" distR="0">
            <wp:extent cx="5381625" cy="4162425"/>
            <wp:effectExtent t="0" r="0" b="0" l="0"/>
            <wp:docPr id="44" name="pagina-C-6-54" descr="Presentación C-6, pág. 54" title="Estudio de sistemas complejos: escala, tiempo y concept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30" cstate="none"/>
                    <a:srcRect/>
                    <a:stretch>
                      <a:fillRect/>
                    </a:stretch>
                  </pic:blipFill>
                  <pic:spPr bwMode="auto">
                    <a:xfrm>
                      <a:off x="0" y="0"/>
                      <a:ext cx="5381625" cy="4162425"/>
                    </a:xfrm>
                    <a:prstGeom prst="rect">
                      <a:avLst/>
                    </a:prstGeom>
                  </pic:spPr>
                </pic:pic>
              </a:graphicData>
            </a:graphic>
          </wp:inline>
        </w:drawing>
      </w:r>
    </w:p>
    <w:p>
      <w:pPr>
        <w:pStyle w:val="PieFigura"/>
        <w:keepNext/>
      </w:pPr>
      <w:bookmarkStart w:name="b_fig_2_6_2" w:id="1755"/>
      <w:r>
        <w:t xml:space="preserve">Figura 2.6.</w:t>
      </w:r>
      <w:fldSimple w:instr="SEQ Figura \n \* ARABIC">
        <w:r>
          <w:t xml:space="preserve">2</w:t>
        </w:r>
      </w:fldSimple>
      <w:r>
        <w:t xml:space="preserve"> · Estudio de sistemas complejos: escala, tiempo y conceptos</w:t>
      </w:r>
      <w:bookmarkEnd w:id="1755"/>
    </w:p>
    <w:p>
      <w:pPr>
        <w:pStyle w:val="Fuente"/>
      </w:pPr>
      <w:r>
        <w:t xml:space="preserve">Presentación C-6, pág. 54</w:t>
      </w:r>
    </w:p>
    <w:p>
      <w:bookmarkStart w:name="b_punto_c6_p054_01" w:id="1756"/>
      <w:r>
        <w:t xml:space="preserve">Muchos componentes interactúan dinámicamente en sistemas complejos.</w:t>
      </w:r>
      <w:bookmarkEnd w:id="1756"/>
    </w:p>
    <w:p>
      <w:bookmarkStart w:name="b_punto_c6_p054_05" w:id="1757"/>
      <w:r>
        <w:t xml:space="preserve">Las estructuras de control aparecen entre compuestos y autoorganización en el eje de escala.</w:t>
      </w:r>
      <w:bookmarkEnd w:id="1757"/>
    </w:p>
    <w:p>
      <w:bookmarkStart w:name="b_punto_c6_p054_06" w:id="1758"/>
      <w:r>
        <w:t xml:space="preserve">El eje temporal incorpora caos y evolución; las partes aisladas no determinan toda dinámica.</w:t>
      </w:r>
      <w:bookmarkEnd w:id="1758"/>
    </w:p>
    <w:p>
      <w:pPr>
        <w:pStyle w:val="Fuente"/>
      </w:pPr>
      <w:r>
        <w:t xml:space="preserve">Véase </w:t>
      </w:r>
      <w:hyperlink w:history="1" w:anchor="b_2_4">
        <w:r>
          <w:rPr>
            <w:color w:val="156B70"/>
            <w:u w:val="single"/>
          </w:rPr>
          <w:t xml:space="preserve">capítulo 2.4 · Sub y suprasistemas</w:t>
        </w:r>
      </w:hyperlink>
      <w:r>
        <w:t xml:space="preserve">, pág. </w:t>
      </w:r>
      <w:r>
        <w:fldChar w:fldCharType="begin"/>
        <w:instrText xml:space="preserve">PAGEREF b_2_4 \h</w:instrText>
        <w:fldChar w:fldCharType="separate"/>
        <w:t xml:space="preserve">277</w:t>
        <w:fldChar w:fldCharType="end"/>
      </w:r>
      <w:r>
        <w:t xml:space="preserve">.</w:t>
      </w:r>
    </w:p>
    <w:p>
      <w:pPr>
        <w:pStyle w:val="Heading3"/>
      </w:pPr>
      <w:bookmarkStart w:name="b_pagina_2_6_C_6_p58" w:id="1759"/>
      <w:r>
        <w:t xml:space="preserve">C-6 · página 58 · Estudio de sistemas complejos (repetición)</w:t>
      </w:r>
      <w:bookmarkEnd w:id="1759"/>
    </w:p>
    <w:p>
      <w:pPr>
        <w:pStyle w:val="Normal"/>
      </w:pPr>
      <w:r>
        <w:t xml:space="preserve">Repite el gráfico de la p54, trabajado después en clase9 desde emergencia, jerarquía y transdisciplinariedad.</w:t>
      </w:r>
    </w:p>
    <w:p>
      <w:pPr>
        <w:pStyle w:val="Fuente"/>
      </w:pPr>
      <w:r>
        <w:t xml:space="preserve">Proyección o explicación: Clase 9 · 00:32:04 · captura c9-03.</w:t>
      </w:r>
    </w:p>
    <w:p>
      <w:pPr>
        <w:keepNext/>
        <w:spacing w:after="40" w:before="150"/>
        <w:jc w:val="center"/>
      </w:pPr>
      <w:bookmarkStart w:name="b_figura_original_pagina_C_6_58" w:id="1760"/>
      <w:bookmarkEnd w:id="1760"/>
      <w:r>
        <w:drawing>
          <wp:inline distT="0" distB="0" distL="0" distR="0">
            <wp:extent cx="5381625" cy="4162425"/>
            <wp:effectExtent t="0" r="0" b="0" l="0"/>
            <wp:docPr id="45" name="pagina-C-6-58" descr="Presentación C-6, pág. 58" title="Estudio de sistemas complejos (repetició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30" cstate="none"/>
                    <a:srcRect/>
                    <a:stretch>
                      <a:fillRect/>
                    </a:stretch>
                  </pic:blipFill>
                  <pic:spPr bwMode="auto">
                    <a:xfrm>
                      <a:off x="0" y="0"/>
                      <a:ext cx="5381625" cy="4162425"/>
                    </a:xfrm>
                    <a:prstGeom prst="rect">
                      <a:avLst/>
                    </a:prstGeom>
                  </pic:spPr>
                </pic:pic>
              </a:graphicData>
            </a:graphic>
          </wp:inline>
        </w:drawing>
      </w:r>
    </w:p>
    <w:p>
      <w:pPr>
        <w:pStyle w:val="PieFigura"/>
        <w:keepNext/>
      </w:pPr>
      <w:bookmarkStart w:name="b_fig_2_6_3" w:id="1761"/>
      <w:r>
        <w:t xml:space="preserve">Figura 2.6.</w:t>
      </w:r>
      <w:fldSimple w:instr="SEQ Figura \n \* ARABIC">
        <w:r>
          <w:t xml:space="preserve">3</w:t>
        </w:r>
      </w:fldSimple>
      <w:r>
        <w:t xml:space="preserve"> · Estudio de sistemas complejos (repetición)</w:t>
      </w:r>
      <w:bookmarkEnd w:id="1761"/>
    </w:p>
    <w:p>
      <w:pPr>
        <w:pStyle w:val="Fuente"/>
      </w:pPr>
      <w:r>
        <w:t xml:space="preserve">Presentación C-6, pág. 58</w:t>
      </w:r>
    </w:p>
    <w:p>
      <w:bookmarkStart w:name="b_punto_c6_p058_01" w:id="1762"/>
      <w:r>
        <w:t xml:space="preserve">Muchos componentes interactúan dinámicamente en sistemas complejos.</w:t>
      </w:r>
      <w:bookmarkEnd w:id="1762"/>
    </w:p>
    <w:p>
      <w:bookmarkStart w:name="b_punto_c6_p058_05" w:id="1763"/>
      <w:r>
        <w:t xml:space="preserve">Las estructuras de control aparecen entre compuestos y autoorganización en el eje de escala.</w:t>
      </w:r>
      <w:bookmarkEnd w:id="1763"/>
    </w:p>
    <w:p>
      <w:bookmarkStart w:name="b_punto_c6_p058_06" w:id="1764"/>
      <w:r>
        <w:t xml:space="preserve">El eje temporal incorpora caos y evolución; las partes aisladas no determinan toda dinámica.</w:t>
      </w:r>
      <w:bookmarkEnd w:id="1764"/>
    </w:p>
    <w:p>
      <w:pPr>
        <w:pStyle w:val="Fuente"/>
      </w:pPr>
      <w:r>
        <w:t xml:space="preserve">Véase </w:t>
      </w:r>
      <w:hyperlink w:history="1" w:anchor="b_2_4">
        <w:r>
          <w:rPr>
            <w:color w:val="156B70"/>
            <w:u w:val="single"/>
          </w:rPr>
          <w:t xml:space="preserve">capítulo 2.4 · Sub y suprasistemas</w:t>
        </w:r>
      </w:hyperlink>
      <w:r>
        <w:t xml:space="preserve">, pág. </w:t>
      </w:r>
      <w:r>
        <w:fldChar w:fldCharType="begin"/>
        <w:instrText xml:space="preserve">PAGEREF b_2_4 \h</w:instrText>
        <w:fldChar w:fldCharType="separate"/>
        <w:t xml:space="preserve">277</w:t>
        <w:fldChar w:fldCharType="end"/>
      </w:r>
      <w:r>
        <w:t xml:space="preserve">.</w:t>
      </w:r>
    </w:p>
    <w:p>
      <w:pPr>
        <w:pStyle w:val="Heading3"/>
      </w:pPr>
      <w:bookmarkStart w:name="b_pagina_2_6_C_6_p59" w:id="1765"/>
      <w:r>
        <w:t xml:space="preserve">C-6 · página 59 · Sistemas adaptativos complejos</w:t>
      </w:r>
      <w:bookmarkEnd w:id="1765"/>
    </w:p>
    <w:p>
      <w:pPr>
        <w:pStyle w:val="Normal"/>
      </w:pPr>
      <w:r>
        <w:t xml:space="preserve">Relaciones locales, entorno cambiante, emergencia y bucles positivos/negativos explican comportamiento adaptativo.</w:t>
      </w:r>
    </w:p>
    <w:p>
      <w:pPr>
        <w:pStyle w:val="Fuente"/>
      </w:pPr>
      <w:r>
        <w:t xml:space="preserve">Proyección o explicación: Clase 9 · 00:36:34 · captura c9-02.</w:t>
      </w:r>
    </w:p>
    <w:p>
      <w:bookmarkStart w:name="b_punto_c6_p059_01" w:id="1766"/>
      <w:r>
        <w:t xml:space="preserve">El comportamiento adaptativo complejo surge de relaciones locales autoorganizadas.</w:t>
      </w:r>
      <w:bookmarkEnd w:id="1766"/>
    </w:p>
    <w:p>
      <w:bookmarkStart w:name="b_punto_c6_p059_02" w:id="1767"/>
      <w:r>
        <w:t xml:space="preserve">El sistema intercambia información con un entorno externo cambiante.</w:t>
      </w:r>
      <w:bookmarkEnd w:id="1767"/>
    </w:p>
    <w:p>
      <w:bookmarkStart w:name="b_punto_c6_p059_04" w:id="1768"/>
      <w:r>
        <w:t xml:space="preserve">La emergencia es comportamiento colectivo y no una orden de un controlador central.</w:t>
      </w:r>
      <w:bookmarkEnd w:id="1768"/>
    </w:p>
    <w:p>
      <w:bookmarkStart w:name="b_punto_c6_p059_05" w:id="1769"/>
      <w:r>
        <w:t xml:space="preserve">El diagrama reúne ejemplos sociales, naturales, cognitivos y biológicos en escalas macro y micro.</w:t>
      </w:r>
      <w:bookmarkEnd w:id="1769"/>
    </w:p>
    <w:p>
      <w:bookmarkStart w:name="b_punto_c6_p059_06" w:id="1770"/>
      <w:r>
        <w:t xml:space="preserve">El estudio analiza sistemas existentes o inspira métodos de análisis, predicción y visualización.</w:t>
      </w:r>
      <w:bookmarkEnd w:id="1770"/>
    </w:p>
    <w:p>
      <w:pPr>
        <w:pStyle w:val="Fuente"/>
      </w:pPr>
      <w:r>
        <w:t xml:space="preserve">Véase </w:t>
      </w:r>
      <w:hyperlink w:history="1" w:anchor="b_2_8">
        <w:r>
          <w:rPr>
            <w:color w:val="156B70"/>
            <w:u w:val="single"/>
          </w:rPr>
          <w:t xml:space="preserve">capítulo 2.8 · Otros conceptos de la TGS</w:t>
        </w:r>
      </w:hyperlink>
      <w:r>
        <w:t xml:space="preserve">, pág. </w:t>
      </w:r>
      <w:r>
        <w:fldChar w:fldCharType="begin"/>
        <w:instrText xml:space="preserve">PAGEREF b_2_8 \h</w:instrText>
        <w:fldChar w:fldCharType="separate"/>
        <w:t xml:space="preserve">345</w:t>
        <w:fldChar w:fldCharType="end"/>
      </w:r>
      <w:r>
        <w:t xml:space="preserve">.</w:t>
      </w:r>
    </w:p>
    <w:p>
      <w:pPr>
        <w:pStyle w:val="Heading3"/>
      </w:pPr>
      <w:bookmarkStart w:name="b_pagina_2_6_C_6_p60" w:id="1771"/>
      <w:r>
        <w:t xml:space="preserve">C-6 · página 60 · Estudiar, aprender e intervenir en sistemas complejos</w:t>
      </w:r>
      <w:bookmarkEnd w:id="1771"/>
    </w:p>
    <w:p>
      <w:pPr>
        <w:pStyle w:val="Normal"/>
      </w:pPr>
      <w:r>
        <w:t xml:space="preserve">Modelos mentales y cardumen recuerdan la finalidad de comprender sistemas para intervenir con soluciones.</w:t>
      </w:r>
    </w:p>
    <w:p>
      <w:bookmarkStart w:name="b_punto_c6_p060_01" w:id="1772"/>
      <w:r>
        <w:t xml:space="preserve">El pensamiento sistémico busca estudiar, aprender e intervenir con soluciones en sistemas complejos.</w:t>
      </w:r>
      <w:bookmarkEnd w:id="1772"/>
    </w:p>
    <w:p>
      <w:pPr>
        <w:pStyle w:val="Fuente"/>
      </w:pPr>
      <w:r>
        <w:t xml:space="preserve">Véase </w:t>
      </w:r>
      <w:hyperlink w:history="1" w:anchor="b_1_3">
        <w:r>
          <w:rPr>
            <w:color w:val="156B70"/>
            <w:u w:val="single"/>
          </w:rPr>
          <w:t xml:space="preserve">capítulo 1.3 · El paradigma de sistemas</w:t>
        </w:r>
      </w:hyperlink>
      <w:r>
        <w:t xml:space="preserve">, pág. </w:t>
      </w:r>
      <w:r>
        <w:fldChar w:fldCharType="begin"/>
        <w:instrText xml:space="preserve">PAGEREF b_1_3 \h</w:instrText>
        <w:fldChar w:fldCharType="separate"/>
        <w:t xml:space="preserve">83</w:t>
        <w:fldChar w:fldCharType="end"/>
      </w:r>
      <w:r>
        <w:t xml:space="preserve">.</w:t>
      </w:r>
    </w:p>
    <w:p>
      <w:pPr>
        <w:pStyle w:val="Heading3"/>
      </w:pPr>
      <w:r>
        <w:t xml:space="preserve">Lo que explicó el profesor en clase</w:t>
      </w:r>
    </w:p>
    <w:p>
      <w:pPr>
        <w:pStyle w:val="Heading3"/>
      </w:pPr>
      <w:bookmarkStart w:name="b_clase_2_6_c8_cap_02" w:id="1773"/>
      <w:r>
        <w:t xml:space="preserve">Clase 8 · 00:11:05–00:14:37 · El pensamiento sistémico emerge de aplicar DSRP</w:t>
      </w:r>
      <w:bookmarkEnd w:id="1773"/>
    </w:p>
    <w:p>
      <w:bookmarkStart w:name="b_punto_c8_cap_02_p03" w:id="1774"/>
      <w:r>
        <w:t xml:space="preserve">El pensamiento abstracto se compara con un sistema adaptativo complejo: reglas elementales producen estructuras mentales más complejas.</w:t>
      </w:r>
      <w:bookmarkEnd w:id="1774"/>
    </w:p>
    <w:p>
      <w:pPr>
        <w:pStyle w:val="Fuente"/>
      </w:pPr>
      <w:r>
        <w:t xml:space="preserve">Véase </w:t>
      </w:r>
      <w:hyperlink w:history="1" w:anchor="b_1_6">
        <w:r>
          <w:rPr>
            <w:color w:val="156B70"/>
            <w:u w:val="single"/>
          </w:rPr>
          <w:t xml:space="preserve">capítulo 1.6 · Operaciones DSRP</w:t>
        </w:r>
      </w:hyperlink>
      <w:r>
        <w:t xml:space="preserve">, pág. </w:t>
      </w:r>
      <w:r>
        <w:fldChar w:fldCharType="begin"/>
        <w:instrText xml:space="preserve">PAGEREF b_1_6 \h</w:instrText>
        <w:fldChar w:fldCharType="separate"/>
        <w:t xml:space="preserve">150</w:t>
        <w:fldChar w:fldCharType="end"/>
      </w:r>
      <w:r>
        <w:t xml:space="preserve">.</w:t>
      </w:r>
    </w:p>
    <w:p>
      <w:pPr>
        <w:pStyle w:val="Heading3"/>
      </w:pPr>
      <w:bookmarkStart w:name="b_clase_2_6_c8_cap_05" w:id="1775"/>
      <w:r>
        <w:t xml:space="preserve">Clase 8 · 00:50:47–00:56:33 · Relaciones, síntesis y contexto real</w:t>
      </w:r>
      <w:bookmarkEnd w:id="1775"/>
    </w:p>
    <w:p>
      <w:bookmarkStart w:name="b_punto_c8_cap_05_p02" w:id="1776"/>
      <w:r>
        <w:t xml:space="preserve">Combinar perspectivas agrega distinciones y relaciones hasta formar una estructura compleja que puede mapearse como telaraña.</w:t>
      </w:r>
      <w:bookmarkEnd w:id="1776"/>
    </w:p>
    <w:p>
      <w:pPr>
        <w:pStyle w:val="Fuente"/>
      </w:pPr>
      <w:r>
        <w:t xml:space="preserve">Véase </w:t>
      </w:r>
      <w:hyperlink w:history="1" w:anchor="b_2_1">
        <w:r>
          <w:rPr>
            <w:color w:val="156B70"/>
            <w:u w:val="single"/>
          </w:rPr>
          <w:t xml:space="preserve">capítulo 2.1 · Visión general</w:t>
        </w:r>
      </w:hyperlink>
      <w:r>
        <w:t xml:space="preserve">, pág. </w:t>
      </w:r>
      <w:r>
        <w:fldChar w:fldCharType="begin"/>
        <w:instrText xml:space="preserve">PAGEREF b_2_1 \h</w:instrText>
        <w:fldChar w:fldCharType="separate"/>
        <w:t xml:space="preserve">222</w:t>
        <w:fldChar w:fldCharType="end"/>
      </w:r>
      <w:r>
        <w:t xml:space="preserve">.</w:t>
      </w:r>
    </w:p>
    <w:p>
      <w:pPr>
        <w:pStyle w:val="Fuente"/>
      </w:pPr>
      <w:r>
        <w:t xml:space="preserve">Véase </w:t>
      </w:r>
      <w:hyperlink w:history="1" w:anchor="b_2_3">
        <w:r>
          <w:rPr>
            <w:color w:val="156B70"/>
            <w:u w:val="single"/>
          </w:rPr>
          <w:t xml:space="preserve">capítulo 2.3 · Estructura de los sistemas</w:t>
        </w:r>
      </w:hyperlink>
      <w:r>
        <w:t xml:space="preserve">, pág. </w:t>
      </w:r>
      <w:r>
        <w:fldChar w:fldCharType="begin"/>
        <w:instrText xml:space="preserve">PAGEREF b_2_3 \h</w:instrText>
        <w:fldChar w:fldCharType="separate"/>
        <w:t xml:space="preserve">259</w:t>
        <w:fldChar w:fldCharType="end"/>
      </w:r>
      <w:r>
        <w:t xml:space="preserve">.</w:t>
      </w:r>
    </w:p>
    <w:p>
      <w:pPr>
        <w:pStyle w:val="Heading3"/>
      </w:pPr>
      <w:bookmarkStart w:name="b_clase_2_6_c8_cap_06" w:id="1777"/>
      <w:r>
        <w:t xml:space="preserve">Clase 8 · 00:56:42–01:06:31 · La telaraña, los ciclos y los puntos de apalancamiento</w:t>
      </w:r>
      <w:bookmarkEnd w:id="1777"/>
    </w:p>
    <w:p>
      <w:bookmarkStart w:name="b_punto_c8_cap_06_p03" w:id="1778"/>
      <w:r>
        <w:t xml:space="preserve">No basta culpar una parte: las cadenas causales pueden cerrar ciclos y sustituir una causa aislada puede ser insuficiente.</w:t>
      </w:r>
      <w:bookmarkEnd w:id="1778"/>
    </w:p>
    <w:p>
      <w:bookmarkStart w:name="b_punto_c8_cap_06_p04" w:id="1779"/>
      <w:r>
        <w:t xml:space="preserve">Un punto de apalancamiento permite introducir una modificación acotada que se propaga en cadena y cambia el comportamiento global.</w:t>
      </w:r>
      <w:bookmarkEnd w:id="1779"/>
    </w:p>
    <w:p>
      <w:pPr>
        <w:pStyle w:val="Fuente"/>
      </w:pPr>
      <w:r>
        <w:t xml:space="preserve">Véase </w:t>
      </w:r>
      <w:hyperlink w:history="1" w:anchor="b_1_3">
        <w:r>
          <w:rPr>
            <w:color w:val="156B70"/>
            <w:u w:val="single"/>
          </w:rPr>
          <w:t xml:space="preserve">capítulo 1.3 · El paradigma de sistemas</w:t>
        </w:r>
      </w:hyperlink>
      <w:r>
        <w:t xml:space="preserve">, pág. </w:t>
      </w:r>
      <w:r>
        <w:fldChar w:fldCharType="begin"/>
        <w:instrText xml:space="preserve">PAGEREF b_1_3 \h</w:instrText>
        <w:fldChar w:fldCharType="separate"/>
        <w:t xml:space="preserve">83</w:t>
        <w:fldChar w:fldCharType="end"/>
      </w:r>
      <w:r>
        <w:t xml:space="preserve">.</w:t>
      </w:r>
    </w:p>
    <w:p>
      <w:pPr>
        <w:pStyle w:val="Heading3"/>
      </w:pPr>
      <w:bookmarkStart w:name="b_clase_2_6_c8_cap_07" w:id="1780"/>
      <w:r>
        <w:t xml:space="preserve">Clase 8 · 01:06:32–01:17:59 · Qué vuelve complejo a un sistema</w:t>
      </w:r>
      <w:bookmarkEnd w:id="1780"/>
    </w:p>
    <w:p>
      <w:bookmarkStart w:name="b_punto_c8_cap_07_p01" w:id="1781"/>
      <w:r>
        <w:t xml:space="preserve">La mirada sistémica busca totalidad, varias perspectivas y soluciones integrales, pero exige tiempo y análisis; el reduccionismo puede ser rápido y dar soluciones incompletas.</w:t>
      </w:r>
      <w:bookmarkEnd w:id="1781"/>
    </w:p>
    <w:p>
      <w:bookmarkStart w:name="b_punto_c8_cap_07_p02" w:id="1782"/>
      <w:r>
        <w:t xml:space="preserve">Importa el número de elementos y especialmente sus relaciones: tres personas pueden establecer seis vínculos dirigidos de comunicación.</w:t>
      </w:r>
      <w:bookmarkEnd w:id="1782"/>
    </w:p>
    <w:p>
      <w:bookmarkStart w:name="b_punto_c8_cap_07_p03" w:id="1783"/>
      <w:r>
        <w:t xml:space="preserve">La diversidad de relaciones y sus cambios de manifestación según el estado agregan complejidad.</w:t>
      </w:r>
      <w:bookmarkEnd w:id="1783"/>
    </w:p>
    <w:p>
      <w:bookmarkStart w:name="b_punto_c8_cap_07_p04" w:id="1784"/>
      <w:r>
        <w:t xml:space="preserve">Una empresa de regalos necesita más producción e inventario en Navidad que en temporada baja: la dinámica cambia con el estado de demanda.</w:t>
      </w:r>
      <w:bookmarkEnd w:id="1784"/>
    </w:p>
    <w:p>
      <w:bookmarkStart w:name="b_punto_c8_cap_07_p05" w:id="1785"/>
      <w:r>
        <w:t xml:space="preserve">Comprender un automóvil puede exigir mecánica, electrónica y software; sumar perspectivas aporta conocimiento y complejidad.</w:t>
      </w:r>
      <w:bookmarkEnd w:id="1785"/>
    </w:p>
    <w:p>
      <w:bookmarkStart w:name="b_punto_c8_cap_07_p06" w:id="1786"/>
      <w:r>
        <w:t xml:space="preserve">El mapa reúne emergencia y jerarquía: sistemas simples se integran en niveles mayores, y de operaciones e información emerge pensamiento sistémico.</w:t>
      </w:r>
      <w:bookmarkEnd w:id="1786"/>
    </w:p>
    <w:p>
      <w:pPr>
        <w:pStyle w:val="Fuente"/>
      </w:pPr>
      <w:r>
        <w:t xml:space="preserve">Véase </w:t>
      </w:r>
      <w:hyperlink w:history="1" w:anchor="b_senales_examen">
        <w:r>
          <w:rPr>
            <w:color w:val="156B70"/>
            <w:u w:val="single"/>
          </w:rPr>
          <w:t xml:space="preserve">1 indicación(es) de examen de este tramo, en el apéndice cronológico</w:t>
        </w:r>
      </w:hyperlink>
      <w:r>
        <w:t xml:space="preserve">, pág. </w:t>
      </w:r>
      <w:r>
        <w:fldChar w:fldCharType="begin"/>
        <w:instrText xml:space="preserve">PAGEREF b_senales_examen \h</w:instrText>
        <w:fldChar w:fldCharType="separate"/>
        <w:t xml:space="preserve">1663</w:t>
        <w:fldChar w:fldCharType="end"/>
      </w:r>
      <w:r>
        <w:t xml:space="preserve">.</w:t>
      </w:r>
    </w:p>
    <w:p>
      <w:pPr>
        <w:pStyle w:val="Fuente"/>
      </w:pPr>
      <w:r>
        <w:t xml:space="preserve">Véase </w:t>
      </w:r>
      <w:hyperlink w:history="1" w:anchor="b_2_4">
        <w:r>
          <w:rPr>
            <w:color w:val="156B70"/>
            <w:u w:val="single"/>
          </w:rPr>
          <w:t xml:space="preserve">capítulo 2.4 · Sub y suprasistemas</w:t>
        </w:r>
      </w:hyperlink>
      <w:r>
        <w:t xml:space="preserve">, pág. </w:t>
      </w:r>
      <w:r>
        <w:fldChar w:fldCharType="begin"/>
        <w:instrText xml:space="preserve">PAGEREF b_2_4 \h</w:instrText>
        <w:fldChar w:fldCharType="separate"/>
        <w:t xml:space="preserve">277</w:t>
        <w:fldChar w:fldCharType="end"/>
      </w:r>
      <w:r>
        <w:t xml:space="preserve">.</w:t>
      </w:r>
    </w:p>
    <w:p>
      <w:pPr>
        <w:pStyle w:val="Heading3"/>
      </w:pPr>
      <w:bookmarkStart w:name="b_clase_2_6_c8_cap_08" w:id="1787"/>
      <w:r>
        <w:t xml:space="preserve">Clase 8 · 01:18:01–01:21:20 · Teoría del caos y efecto mariposa</w:t>
      </w:r>
      <w:bookmarkEnd w:id="1787"/>
    </w:p>
    <w:p>
      <w:bookmarkStart w:name="b_punto_c8_cap_08_p01" w:id="1788"/>
      <w:r>
        <w:t xml:space="preserve">Caos y efecto mariposa se introducen como contexto de alta complejidad y quedan de investigación; no se desarrolla aquí una teoría matemática del caos.</w:t>
      </w:r>
      <w:bookmarkEnd w:id="1788"/>
    </w:p>
    <w:p>
      <w:pPr>
        <w:pStyle w:val="Fuente"/>
      </w:pPr>
      <w:r>
        <w:t xml:space="preserve">Véase </w:t>
      </w:r>
      <w:hyperlink w:history="1" w:anchor="b_2_7">
        <w:r>
          <w:rPr>
            <w:color w:val="156B70"/>
            <w:u w:val="single"/>
          </w:rPr>
          <w:t xml:space="preserve">capítulo 2.7 · El universo como sistemas</w:t>
        </w:r>
      </w:hyperlink>
      <w:r>
        <w:t xml:space="preserve">, pág. </w:t>
      </w:r>
      <w:r>
        <w:fldChar w:fldCharType="begin"/>
        <w:instrText xml:space="preserve">PAGEREF b_2_7 \h</w:instrText>
        <w:fldChar w:fldCharType="separate"/>
        <w:t xml:space="preserve">329</w:t>
        <w:fldChar w:fldCharType="end"/>
      </w:r>
      <w:r>
        <w:t xml:space="preserve">.</w:t>
      </w:r>
    </w:p>
    <w:p>
      <w:pPr>
        <w:pStyle w:val="Heading3"/>
      </w:pPr>
      <w:bookmarkStart w:name="b_clase_2_6_c9_cap_03" w:id="1789"/>
      <w:r>
        <w:t xml:space="preserve">Clase 9 · 00:14:31–00:27:16 · Sistemas complejos: encuadre y video proyectado</w:t>
      </w:r>
      <w:bookmarkEnd w:id="1789"/>
    </w:p>
    <w:p>
      <w:bookmarkStart w:name="b_punto_c9_cap_03_p01" w:id="1790"/>
      <w:r>
        <w:t xml:space="preserve">El profesor presenta el video como repaso introductorio y pide manejar los conceptos de la jerga de TGS.</w:t>
      </w:r>
      <w:bookmarkEnd w:id="1790"/>
    </w:p>
    <w:p>
      <w:bookmarkStart w:name="b_punto_c9_cap_03_p02" w:id="1791"/>
      <w:r>
        <w:t xml:space="preserve">El video ofrece una definición de trabajo de sistema complejo y advierte la falta de una definición formal consensuada.</w:t>
      </w:r>
      <w:bookmarkEnd w:id="1791"/>
    </w:p>
    <w:p>
      <w:bookmarkStart w:name="b_punto_c9_cap_03_p03" w:id="1792"/>
      <w:r>
        <w:t xml:space="preserve">El video define elementos y relaciones; la pila de piedras desordenada se describe enumerando y sumando propiedades.</w:t>
      </w:r>
      <w:bookmarkEnd w:id="1792"/>
    </w:p>
    <w:p>
      <w:bookmarkStart w:name="b_punto_c9_cap_03_p04" w:id="1793"/>
      <w:r>
        <w:t xml:space="preserve">La organización de piezas produce transporte y la de células/órganos un organismo; emerge un nivel funcional global.</w:t>
      </w:r>
      <w:bookmarkEnd w:id="1793"/>
    </w:p>
    <w:p>
      <w:bookmarkStart w:name="b_punto_c9_cap_03_p05" w:id="1794"/>
      <w:r>
        <w:t xml:space="preserve">Muchas partes distribuidas, sin control central, interactúan localmente y se autoorganizan en niveles emergentes.</w:t>
      </w:r>
      <w:bookmarkEnd w:id="1794"/>
    </w:p>
    <w:p>
      <w:bookmarkStart w:name="b_punto_c9_cap_03_p06" w:id="1795"/>
      <w:r>
        <w:t xml:space="preserve">Los niveles se afectan: persona/grupo/sociedad/humanidad y empresa/economía local/nacional/global; no basta reducir todo a una escala.</w:t>
      </w:r>
      <w:bookmarkEnd w:id="1795"/>
    </w:p>
    <w:p>
      <w:bookmarkStart w:name="b_punto_c9_cap_03_p07" w:id="1796"/>
      <w:r>
        <w:t xml:space="preserve">La interdependencia genera efectos no aditivos, mayores o menores que la suma de propiedades aisladas; se introduce no linealidad.</w:t>
      </w:r>
      <w:bookmarkEnd w:id="1796"/>
    </w:p>
    <w:p>
      <w:bookmarkStart w:name="b_punto_c9_cap_03_p08" w:id="1797"/>
      <w:r>
        <w:t xml:space="preserve">Ondas sonoras desfasadas que se anulan y división del trabajo en comunidades humanas/insectos ilustran efectos combinados.</w:t>
      </w:r>
      <w:bookmarkEnd w:id="1797"/>
    </w:p>
    <w:p>
      <w:bookmarkStart w:name="b_punto_c9_cap_03_p09" w:id="1798"/>
      <w:r>
        <w:t xml:space="preserve">Retroalimentación, cambios rápidos, transiciones de fase y sensibilidad inicial se ilustran con crisis financieras y arrecifes de coral.</w:t>
      </w:r>
      <w:bookmarkEnd w:id="1798"/>
    </w:p>
    <w:p>
      <w:bookmarkStart w:name="b_punto_c9_cap_03_p10" w:id="1799"/>
      <w:r>
        <w:t xml:space="preserve">La conectividad densa hace importar red, flujos, posición y grado de conexión: ejemplos son red aérea, sistema financiero e internet.</w:t>
      </w:r>
      <w:bookmarkEnd w:id="1799"/>
    </w:p>
    <w:p>
      <w:bookmarkStart w:name="b_punto_c9_cap_03_p11" w:id="1800"/>
      <w:r>
        <w:t xml:space="preserve">Las muchas configuraciones de conexión y la autonomía local permiten cooperación, sincronización y diversidad sin una dirección central única.</w:t>
      </w:r>
      <w:bookmarkEnd w:id="1800"/>
    </w:p>
    <w:p>
      <w:bookmarkStart w:name="b_punto_c9_cap_03_p12" w:id="1801"/>
      <w:r>
        <w:t xml:space="preserve">La selección adapta el sistema macro: productos ante mercados, políticos ante electores y organismos ante competencia; crecen diferenciación e integración.</w:t>
      </w:r>
      <w:bookmarkEnd w:id="1801"/>
    </w:p>
    <w:p>
      <w:bookmarkStart w:name="b_punto_c9_cap_03_p13" w:id="1802"/>
      <w:r>
        <w:t xml:space="preserve">El video resume cuatro dimensiones: elementos/jerarquías, no linealidad, conectividad y autonomía/adaptación.</w:t>
      </w:r>
      <w:bookmarkEnd w:id="1802"/>
    </w:p>
    <w:p>
      <w:pPr>
        <w:pStyle w:val="Fuente"/>
      </w:pPr>
      <w:r>
        <w:t xml:space="preserve">Véase </w:t>
      </w:r>
      <w:hyperlink w:history="1" w:anchor="b_senales_examen">
        <w:r>
          <w:rPr>
            <w:color w:val="156B70"/>
            <w:u w:val="single"/>
          </w:rPr>
          <w:t xml:space="preserve">1 indicación(es) de examen de este tramo, en el apéndice cronológico</w:t>
        </w:r>
      </w:hyperlink>
      <w:r>
        <w:t xml:space="preserve">, pág. </w:t>
      </w:r>
      <w:r>
        <w:fldChar w:fldCharType="begin"/>
        <w:instrText xml:space="preserve">PAGEREF b_senales_examen \h</w:instrText>
        <w:fldChar w:fldCharType="separate"/>
        <w:t xml:space="preserve">1663</w:t>
        <w:fldChar w:fldCharType="end"/>
      </w:r>
      <w:r>
        <w:t xml:space="preserve">.</w:t>
      </w:r>
    </w:p>
    <w:p>
      <w:pPr>
        <w:pStyle w:val="Heading3"/>
      </w:pPr>
      <w:bookmarkStart w:name="b_clase_2_6_c9_cap_04" w:id="1803"/>
      <w:r>
        <w:t xml:space="preserve">Clase 9 · 00:27:16–00:31:09 · Lectura del video: conglomerado, sinergia y sistemas adaptativos</w:t>
      </w:r>
      <w:bookmarkEnd w:id="1803"/>
    </w:p>
    <w:p>
      <w:bookmarkStart w:name="b_punto_c9_cap_04_p03" w:id="1804"/>
      <w:r>
        <w:t xml:space="preserve">Interdependencia, conectividad y ciclos se anuncian para profundización posterior.</w:t>
      </w:r>
      <w:bookmarkEnd w:id="1804"/>
    </w:p>
    <w:p>
      <w:bookmarkStart w:name="b_punto_c9_cap_04_p04" w:id="1805"/>
      <w:r>
        <w:t xml:space="preserve">Las acciones simples de cada ave producen conducta compleja en la parvada; se compara con la emergencia del pensamiento sistémico a partir de DSRP.</w:t>
      </w:r>
      <w:bookmarkEnd w:id="1805"/>
    </w:p>
    <w:p>
      <w:pPr>
        <w:pStyle w:val="Fuente"/>
      </w:pPr>
      <w:r>
        <w:t xml:space="preserve">Véase </w:t>
      </w:r>
      <w:hyperlink w:history="1" w:anchor="b_2_5">
        <w:r>
          <w:rPr>
            <w:color w:val="156B70"/>
            <w:u w:val="single"/>
          </w:rPr>
          <w:t xml:space="preserve">capítulo 2.5 · Sinergia y emergencia</w:t>
        </w:r>
      </w:hyperlink>
      <w:r>
        <w:t xml:space="preserve">, pág. </w:t>
      </w:r>
      <w:r>
        <w:fldChar w:fldCharType="begin"/>
        <w:instrText xml:space="preserve">PAGEREF b_2_5 \h</w:instrText>
        <w:fldChar w:fldCharType="separate"/>
        <w:t xml:space="preserve">292</w:t>
        <w:fldChar w:fldCharType="end"/>
      </w:r>
      <w:r>
        <w:t xml:space="preserve">.</w:t>
      </w:r>
    </w:p>
    <w:p>
      <w:pPr>
        <w:pStyle w:val="Heading3"/>
      </w:pPr>
      <w:bookmarkStart w:name="b_clase_2_6_c9_cap_06" w:id="1806"/>
      <w:r>
        <w:t xml:space="preserve">Clase 9 · 00:36:34–00:43:44 · Retroalimentación, modelos mentales y la ambigüedad de Checkland</w:t>
      </w:r>
      <w:bookmarkEnd w:id="1806"/>
    </w:p>
    <w:p>
      <w:bookmarkStart w:name="b_punto_c9_cap_06_p05" w:id="1807"/>
      <w:r>
        <w:t xml:space="preserve">Agrupaciones sociales surgidas de convivencia y sobrevivencia pueden mostrar adaptación, evolución y dinámicas no lineales.</w:t>
      </w:r>
      <w:bookmarkEnd w:id="1807"/>
    </w:p>
    <w:p>
      <w:pPr>
        <w:pStyle w:val="Fuente"/>
      </w:pPr>
      <w:r>
        <w:t xml:space="preserve">Véase </w:t>
      </w:r>
      <w:hyperlink w:history="1" w:anchor="b_1_1">
        <w:r>
          <w:rPr>
            <w:color w:val="156B70"/>
            <w:u w:val="single"/>
          </w:rPr>
          <w:t xml:space="preserve">capítulo 1.1 · Paradigmas y modelos mentales</w:t>
        </w:r>
      </w:hyperlink>
      <w:r>
        <w:t xml:space="preserve">, pág. </w:t>
      </w:r>
      <w:r>
        <w:fldChar w:fldCharType="begin"/>
        <w:instrText xml:space="preserve">PAGEREF b_1_1 \h</w:instrText>
        <w:fldChar w:fldCharType="separate"/>
        <w:t xml:space="preserve">19</w:t>
        <w:fldChar w:fldCharType="end"/>
      </w:r>
      <w:r>
        <w:t xml:space="preserve">.</w:t>
      </w:r>
    </w:p>
    <w:p>
      <w:pPr>
        <w:pStyle w:val="Heading3"/>
      </w:pPr>
      <w:bookmarkStart w:name="b_cita_clase_3_a_mayor_nivel_ma_4bdc8602" w:id="1808"/>
      <w:r>
        <w:t xml:space="preserve">Palabras del profesor</w:t>
      </w:r>
      <w:bookmarkEnd w:id="1808"/>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El profesor lo dijo así</w:t>
            </w:r>
          </w:p>
          <w:p>
            <w:pPr>
              <w:pStyle w:val="Recuadro"/>
            </w:pPr>
            <w:r>
              <w:t xml:space="preserve">«Mientras más amplio sea ese espacio, ese nivel en el cual se describen esas situaciones de la realidad, pues habrá mayor complejidad.»</w:t>
            </w:r>
          </w:p>
          <w:p>
            <w:pPr>
              <w:pStyle w:val="Recuadro"/>
            </w:pPr>
            <w:r>
              <w:t xml:space="preserve">Clase 3 · 00:12:12–00:12:32</w:t>
            </w:r>
          </w:p>
        </w:tc>
      </w:tr>
    </w:tbl>
    <w:p>
      <w:pPr>
        <w:pStyle w:val="Heading3"/>
      </w:pPr>
      <w:bookmarkStart w:name="b_cita_clase_6_sistemas_de_cree_c4813c3b" w:id="1809"/>
      <w:r>
        <w:t xml:space="preserve">Palabras del profesor</w:t>
      </w:r>
      <w:bookmarkEnd w:id="1809"/>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El profesor lo dijo así</w:t>
            </w:r>
          </w:p>
          <w:p>
            <w:pPr>
              <w:pStyle w:val="Recuadro"/>
            </w:pPr>
            <w:r>
              <w:t xml:space="preserve">«Y siendo un sistema en sí mismo, los sistemas de creencias o los sistemas abstractos diseñados son en sí sistemas adaptativos complejos»</w:t>
            </w:r>
          </w:p>
          <w:p>
            <w:pPr>
              <w:pStyle w:val="Recuadro"/>
            </w:pPr>
            <w:r>
              <w:t xml:space="preserve">Clase 6 · 01:27:48–01:28:07</w:t>
            </w:r>
          </w:p>
        </w:tc>
      </w:tr>
    </w:tbl>
    <w:p>
      <w:pPr>
        <w:pStyle w:val="Heading3"/>
      </w:pPr>
      <w:bookmarkStart w:name="b_cita_clase_7_la_ciudad_contie_5480881c" w:id="1810"/>
      <w:r>
        <w:t xml:space="preserve">Palabras del profesor</w:t>
      </w:r>
      <w:bookmarkEnd w:id="1810"/>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El profesor lo dijo así</w:t>
            </w:r>
          </w:p>
          <w:p>
            <w:pPr>
              <w:pStyle w:val="Recuadro"/>
            </w:pPr>
            <w:r>
              <w:t xml:space="preserve">«Esta realidad que estamos apreciando en este gráfico es compleja porque podemos verla desde el punto de vista de que hay muchos sistemas interactuando entre sí. A la vez hay una gran cantidad de relaciones implícitas; si cambio la pregunta: ¿cuántas relaciones pueden identificar en esta realidad?»</w:t>
            </w:r>
          </w:p>
          <w:p>
            <w:pPr>
              <w:pStyle w:val="Recuadro"/>
            </w:pPr>
            <w:r>
              <w:t xml:space="preserve">Clase 7 · 01:22:01–01:22:42</w:t>
            </w:r>
          </w:p>
        </w:tc>
      </w:tr>
    </w:tbl>
    <w:p>
      <w:pPr>
        <w:pStyle w:val="Heading3"/>
      </w:pPr>
      <w:bookmarkStart w:name="b_cita_clase_8_mas_relaciones_q_749a0549" w:id="1811"/>
      <w:r>
        <w:t xml:space="preserve">Palabras del profesor</w:t>
      </w:r>
      <w:bookmarkEnd w:id="1811"/>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El profesor lo dijo así</w:t>
            </w:r>
          </w:p>
          <w:p>
            <w:pPr>
              <w:pStyle w:val="Recuadro"/>
            </w:pPr>
            <w:r>
              <w:t xml:space="preserve">«Tres personas pueden provocar no solo tres relaciones, porque cada persona se relaciona con cada una de las otras dos: habrá seis relaciones; la cantidad de relaciones es mayor que la cantidad de partes y eso va haciendo complejidad.»</w:t>
            </w:r>
          </w:p>
          <w:p>
            <w:pPr>
              <w:pStyle w:val="Recuadro"/>
            </w:pPr>
            <w:r>
              <w:t xml:space="preserve">Clase 8 · 01:10:27–01:11:05</w:t>
            </w:r>
          </w:p>
        </w:tc>
      </w:tr>
    </w:tbl>
    <w:p>
      <w:pPr>
        <w:pStyle w:val="Heading3"/>
      </w:pPr>
      <w:bookmarkStart w:name="b_cita_clase_8_apalancarse_para_b743252c" w:id="1812"/>
      <w:r>
        <w:t xml:space="preserve">Palabras del profesor</w:t>
      </w:r>
      <w:bookmarkEnd w:id="1812"/>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El profesor lo dijo así</w:t>
            </w:r>
          </w:p>
          <w:p>
            <w:pPr>
              <w:pStyle w:val="Recuadro"/>
            </w:pPr>
            <w:r>
              <w:t xml:space="preserve">«Un efecto en cadena que vamos a llamar efecto dominó, o el efecto palanca: lo que buscamos fue una parte del sistema donde podríamos apalancarnos para producir un movimiento completo de todo el sistema en su totalidad.»</w:t>
            </w:r>
          </w:p>
          <w:p>
            <w:pPr>
              <w:pStyle w:val="Recuadro"/>
            </w:pPr>
            <w:r>
              <w:t xml:space="preserve">Clase 8 · 01:01:32–01:01:59</w:t>
            </w:r>
          </w:p>
        </w:tc>
      </w:tr>
    </w:tbl>
    <w:p>
      <w:pPr>
        <w:pStyle w:val="Heading3"/>
      </w:pPr>
      <w:bookmarkStart w:name="b_cita_clase_9_pensamiento_sist_21a770f6" w:id="1813"/>
      <w:r>
        <w:t xml:space="preserve">Palabras del profesor</w:t>
      </w:r>
      <w:bookmarkEnd w:id="1813"/>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El profesor lo dijo así</w:t>
            </w:r>
          </w:p>
          <w:p>
            <w:pPr>
              <w:pStyle w:val="Recuadro"/>
            </w:pPr>
            <w:r>
              <w:t xml:space="preserve">«El pensamiento sistémico surge como la emergencia, como el resultado de una propiedad emergente de un proceso abstracto que es propio de un sistema adaptativo complejo.»</w:t>
            </w:r>
          </w:p>
          <w:p>
            <w:pPr>
              <w:pStyle w:val="Recuadro"/>
            </w:pPr>
            <w:r>
              <w:t xml:space="preserve">Clase 9 · 00:29:56–00:30:18</w:t>
            </w:r>
          </w:p>
        </w:tc>
      </w:tr>
    </w:tbl>
    <w:p>
      <w:pPr>
        <w:pStyle w:val="Heading3"/>
      </w:pPr>
      <w:bookmarkStart w:name="b_cita_clase_9_transdisciplinar_fc50af6e" w:id="1814"/>
      <w:r>
        <w:t xml:space="preserve">Palabras del profesor</w:t>
      </w:r>
      <w:bookmarkEnd w:id="1814"/>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El profesor lo dijo así</w:t>
            </w:r>
          </w:p>
          <w:p>
            <w:pPr>
              <w:pStyle w:val="Recuadro"/>
            </w:pPr>
            <w:r>
              <w:t xml:space="preserve">«Por eso se habla de una transdisciplinariedad o de equipos multidisciplinarios: hablamos de personas formadas en diferentes disciplinas científicas que pueden aportar, con sus diferentes perspectivas, una forma complementaria de ver y comprender los sistemas.»</w:t>
            </w:r>
          </w:p>
          <w:p>
            <w:pPr>
              <w:pStyle w:val="Recuadro"/>
            </w:pPr>
            <w:r>
              <w:t xml:space="preserve">Clase 9 · 00:33:10–00:33:21</w:t>
            </w:r>
          </w:p>
        </w:tc>
      </w:tr>
    </w:tbl>
    <w:p>
      <w:pPr>
        <w:pStyle w:val="Heading3"/>
      </w:pPr>
      <w:bookmarkStart w:name="b_cita_clase_9_sensibilidad_con_070f57d2" w:id="1815"/>
      <w:r>
        <w:t xml:space="preserve">Palabras del profesor</w:t>
      </w:r>
      <w:bookmarkEnd w:id="1815"/>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El profesor lo dijo así</w:t>
            </w:r>
          </w:p>
          <w:p>
            <w:pPr>
              <w:pStyle w:val="Recuadro"/>
            </w:pPr>
            <w:r>
              <w:t xml:space="preserve">«Un pequeño cambio en el valor de entrada del sistema puede desencadenar un gran efecto sistémico a través de bucles de retroalimentación. Esto se denomina sensibilidad a las condiciones iniciales y es la idea central de la teoría del caos.»</w:t>
            </w:r>
          </w:p>
          <w:p>
            <w:pPr>
              <w:pStyle w:val="Recuadro"/>
            </w:pPr>
            <w:r>
              <w:t xml:space="preserve">Clase 9 · 00:22:09–00:22:21</w:t>
            </w:r>
          </w:p>
        </w:tc>
      </w:tr>
    </w:tbl>
    <w:p>
      <w:pPr>
        <w:pStyle w:val="Heading3"/>
      </w:pPr>
      <w:r>
        <w:t xml:space="preserve">Errores frecuentes y trampa de examen</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9C620A" w:sz="20"/>
              <w:bottom w:val="nil"/>
              <w:right w:val="nil"/>
            </w:tcBorders>
            <w:shd w:fill="FBF3DF" w:val="clear"/>
            <w:tcMar>
              <w:top w:type="dxa" w:w="130"/>
              <w:left w:type="dxa" w:w="180"/>
              <w:bottom w:type="dxa" w:w="130"/>
              <w:right w:type="dxa" w:w="180"/>
            </w:tcMar>
          </w:tcPr>
          <w:p>
            <w:pPr>
              <w:pStyle w:val="RecuadroTitulo"/>
            </w:pPr>
            <w:r>
              <w:rPr>
                <w:b/>
                <w:bCs/>
                <w:color w:val="9C620A"/>
              </w:rPr>
              <w:t xml:space="preserve">Error → corrección</w:t>
            </w:r>
          </w:p>
          <w:p>
            <w:pPr>
              <w:pStyle w:val="Recuadro"/>
            </w:pPr>
            <w:r>
              <w:rPr>
                <w:b/>
                <w:bCs/>
              </w:rPr>
              <w:t xml:space="preserve">Error:</w:t>
            </w:r>
            <w:r>
              <w:t xml:space="preserve"> Medir la complejidad por la cantidad de piezas.</w:t>
            </w:r>
          </w:p>
          <w:p>
            <w:pPr>
              <w:pStyle w:val="Recuadro"/>
            </w:pPr>
            <w:r>
              <w:rPr>
                <w:b/>
                <w:bCs/>
              </w:rPr>
              <w:t xml:space="preserve">Corrección:</w:t>
            </w:r>
            <w:r>
              <w:t xml:space="preserve"> Cuenta más el número y la variedad de las relaciones: hay más relaciones que elementos y cambian con el estado del sistema.</w:t>
            </w:r>
          </w:p>
          <w:p>
            <w:pPr>
              <w:pStyle w:val="Recuadro"/>
            </w:pPr>
            <w:r>
              <w:t xml:space="preserve">Clase 8 · 01:10:12–01:11:05 · Clase 8 · 01:11:57–01:12:44</w:t>
            </w:r>
          </w:p>
        </w:tc>
      </w:tr>
    </w:tbl>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9C620A" w:sz="20"/>
              <w:bottom w:val="nil"/>
              <w:right w:val="nil"/>
            </w:tcBorders>
            <w:shd w:fill="FBF3DF" w:val="clear"/>
            <w:tcMar>
              <w:top w:type="dxa" w:w="130"/>
              <w:left w:type="dxa" w:w="180"/>
              <w:bottom w:type="dxa" w:w="130"/>
              <w:right w:type="dxa" w:w="180"/>
            </w:tcMar>
          </w:tcPr>
          <w:p>
            <w:pPr>
              <w:pStyle w:val="RecuadroTitulo"/>
            </w:pPr>
            <w:r>
              <w:rPr>
                <w:b/>
                <w:bCs/>
                <w:color w:val="9C620A"/>
              </w:rPr>
              <w:t xml:space="preserve">Error → corrección</w:t>
            </w:r>
          </w:p>
          <w:p>
            <w:pPr>
              <w:pStyle w:val="Recuadro"/>
            </w:pPr>
            <w:r>
              <w:rPr>
                <w:b/>
                <w:bCs/>
              </w:rPr>
              <w:t xml:space="preserve">Error:</w:t>
            </w:r>
            <w:r>
              <w:t xml:space="preserve"> Buscar una parte culpable y cambiarla.</w:t>
            </w:r>
          </w:p>
          <w:p>
            <w:pPr>
              <w:pStyle w:val="Recuadro"/>
            </w:pPr>
            <w:r>
              <w:rPr>
                <w:b/>
                <w:bCs/>
              </w:rPr>
              <w:t xml:space="preserve">Corrección:</w:t>
            </w:r>
            <w:r>
              <w:t xml:space="preserve"> Hallar una causa es fácil pero no la hace culpable, porque las relaciones no lineales son cíclicas: se busca el punto de apalancamiento.</w:t>
            </w:r>
          </w:p>
          <w:p>
            <w:pPr>
              <w:pStyle w:val="Recuadro"/>
            </w:pPr>
            <w:r>
              <w:t xml:space="preserve">Clase 8 · 00:59:25–01:01:02 · Clase 8 · 01:08:31–01:08:46</w:t>
            </w:r>
          </w:p>
        </w:tc>
      </w:tr>
    </w:tbl>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9C620A" w:sz="20"/>
              <w:bottom w:val="nil"/>
              <w:right w:val="nil"/>
            </w:tcBorders>
            <w:shd w:fill="FBF3DF" w:val="clear"/>
            <w:tcMar>
              <w:top w:type="dxa" w:w="130"/>
              <w:left w:type="dxa" w:w="180"/>
              <w:bottom w:type="dxa" w:w="130"/>
              <w:right w:type="dxa" w:w="180"/>
            </w:tcMar>
          </w:tcPr>
          <w:p>
            <w:pPr>
              <w:pStyle w:val="RecuadroTitulo"/>
            </w:pPr>
            <w:r>
              <w:rPr>
                <w:b/>
                <w:bCs/>
                <w:color w:val="9C620A"/>
              </w:rPr>
              <w:t xml:space="preserve">Error → corrección</w:t>
            </w:r>
          </w:p>
          <w:p>
            <w:pPr>
              <w:pStyle w:val="Recuadro"/>
            </w:pPr>
            <w:r>
              <w:rPr>
                <w:b/>
                <w:bCs/>
              </w:rPr>
              <w:t xml:space="preserve">Error:</w:t>
            </w:r>
            <w:r>
              <w:t xml:space="preserve"> Exigir el 100 % de representación de una realidad compleja.</w:t>
            </w:r>
          </w:p>
          <w:p>
            <w:pPr>
              <w:pStyle w:val="Recuadro"/>
            </w:pPr>
            <w:r>
              <w:rPr>
                <w:b/>
                <w:bCs/>
              </w:rPr>
              <w:t xml:space="preserve">Corrección:</w:t>
            </w:r>
            <w:r>
              <w:t xml:space="preserve"> Puede ser imposible; se busca al menos un 90, 80–85 o 75 % realista.</w:t>
            </w:r>
          </w:p>
          <w:p>
            <w:pPr>
              <w:pStyle w:val="Recuadro"/>
            </w:pPr>
            <w:r>
              <w:t xml:space="preserve">Clase 7 · 01:14:33–01:15:36</w:t>
            </w:r>
          </w:p>
        </w:tc>
      </w:tr>
    </w:tbl>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9C620A" w:sz="20"/>
              <w:bottom w:val="nil"/>
              <w:right w:val="nil"/>
            </w:tcBorders>
            <w:shd w:fill="FBF3DF" w:val="clear"/>
            <w:tcMar>
              <w:top w:type="dxa" w:w="130"/>
              <w:left w:type="dxa" w:w="180"/>
              <w:bottom w:type="dxa" w:w="130"/>
              <w:right w:type="dxa" w:w="180"/>
            </w:tcMar>
          </w:tcPr>
          <w:p>
            <w:pPr>
              <w:pStyle w:val="RecuadroTitulo"/>
            </w:pPr>
            <w:r>
              <w:rPr>
                <w:b/>
                <w:bCs/>
                <w:color w:val="9C620A"/>
              </w:rPr>
              <w:t xml:space="preserve">Trampa de examen</w:t>
            </w:r>
          </w:p>
          <w:p>
            <w:pPr>
              <w:pStyle w:val="Recuadro"/>
            </w:pPr>
            <w:r>
              <w:t xml:space="preserve">«Adaptativo» no significa «más grande» ni «con más piezas»: un sistema complejo tiene muchos elementos y muchas más relaciones, con niveles y jerarquía; el adaptativo complejo, además, cambia y aprende, se adapta al entorno y se autoorganiza (los sistemas de creencias, los sociales, la parvada). Y la complejidad no se mide contando partes, sino relaciones, estados y perspectivas.</w:t>
            </w:r>
          </w:p>
        </w:tc>
      </w:tr>
    </w:tbl>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Ampliación: lo no dictado en clase</w:t>
            </w:r>
          </w:p>
          <w:p>
            <w:pPr>
              <w:pStyle w:val="Recuadro"/>
            </w:pPr>
            <w:r>
              <w:t xml:space="preserve">La oposición «complejo frente a complicado» (el reloj de mil piezas predecible), las columnas de la lámina de la clase 6 sobre múltiples niveles de interacción y «el equilibrio significaría muerte», y la teoría del caos con la sensibilidad a las condiciones iniciales no se desarrollaron: el caos quedó como investigación y la sensibilidad sólo la enunció el video. Poder y efectos inciertos se amplían desde C-5, página 18; resistencia y cambio repentino, desde C-6, página 51; composición y control, desde las páginas 54 y 58.</w:t>
            </w:r>
          </w:p>
        </w:tc>
      </w:tr>
    </w:tbl>
    <w:p>
      <w:pPr>
        <w:pStyle w:val="Heading3"/>
      </w:pPr>
      <w:r>
        <w:t xml:space="preserve">Lecturas y tareas del curso</w:t>
      </w:r>
    </w:p>
    <w:p>
      <w:pPr>
        <w:pStyle w:val="Normal"/>
      </w:pPr>
      <w:r>
        <w:t xml:space="preserve">C-6 · Unidad 2 · Teoría de sistemas y pensamiento sistémico (presentación). 65 páginas con teoría de sistemas, elementos, estructura, función, niveles, sinergia, emergencia, complejidad y universo de sistemas. Copia íntegra de la presentación del profesor.</w:t>
      </w:r>
    </w:p>
    <w:p>
      <w:pPr>
        <w:pStyle w:val="Normal"/>
      </w:pPr>
      <w:r>
        <w:t xml:space="preserve">C-5 · Unidad 1 · Sistemas abstractos diseñados y paradigmas (presentación). 63 páginas con paradigmas, tipos de pensamiento, escalera de inferencias, iceberg, hábitos, DSRP y modelos sistémicos. Copia íntegra de la presentación del profesor.</w:t>
      </w:r>
    </w:p>
    <w:p>
      <w:pPr>
        <w:pStyle w:val="Normal"/>
      </w:pPr>
      <w:r>
        <w:t xml:space="preserve">L-6 · El paradigma sistémico: Teoría General de Sistemas. Lectura que presenta la Teoría General de Sistemas como paradigma: de dónde surge, qué problema resuelve frente a la fragmentación disciplinaria y qué compromisos impone al observador.</w:t>
      </w:r>
    </w:p>
    <w:p>
      <w:pPr>
        <w:pStyle w:val="Normal"/>
      </w:pPr>
      <w:r>
        <w:t xml:space="preserve">Tareas relacionadas: T-5. Consulte su procedencia en la bibliografía.</w:t>
      </w:r>
    </w:p>
    <w:p>
      <w:pPr>
        <w:pStyle w:val="Heading3"/>
      </w:pPr>
      <w:r>
        <w:t xml:space="preserve">Práctica de los laboratorios</w:t>
      </w:r>
    </w:p>
    <w:p>
      <w:pPr>
        <w:pStyle w:val="Normal"/>
      </w:pPr>
      <w:r>
        <w:t xml:space="preserve">Los procedimientos del capítulo permiten reconstruir en papel la práctica interactiva. Los laboratorios originales permanecen disponibles en la lección del portal.</w:t>
      </w:r>
    </w:p>
    <w:p>
      <w:pPr>
        <w:pStyle w:val="Normal"/>
        <w:numPr>
          <w:ilvl w:val="0"/>
          <w:numId w:val="2"/>
        </w:numPr>
      </w:pPr>
      <w:r>
        <w:t xml:space="preserve">Simple, complicado, complejo y adaptativo complejo</w:t>
      </w:r>
    </w:p>
    <w:p>
      <w:pPr>
        <w:pStyle w:val="Heading3"/>
      </w:pPr>
      <w:r>
        <w:t xml:space="preserve">Autoevaluación</w:t>
      </w:r>
    </w:p>
    <w:p>
      <w:pPr>
        <w:pStyle w:val="Normal"/>
      </w:pPr>
      <w:r>
        <w:t xml:space="preserve">Resuelva sin consultar las respuestas. Compruebe al final del capítulo por qué cada opción es correcta o incorrecta.</w:t>
      </w:r>
    </w:p>
    <w:p>
      <w:pPr>
        <w:pStyle w:val="Heading3"/>
      </w:pPr>
      <w:bookmarkStart w:name="b_pregunta_auto_2_6_1" w:id="1816"/>
      <w:r>
        <w:t xml:space="preserve">2.6-A1 · ¿Qué combinación debe incluir el estudio de una intervención compleja?</w:t>
      </w:r>
      <w:bookmarkEnd w:id="1816"/>
    </w:p>
    <w:p>
      <w:pPr>
        <w:pStyle w:val="Normal"/>
      </w:pPr>
      <w:r>
        <w:t xml:space="preserve">a) Sólo número de piezas y certeza sobre todos los efectos</w:t>
      </w:r>
    </w:p>
    <w:p>
      <w:pPr>
        <w:pStyle w:val="Normal"/>
      </w:pPr>
      <w:r>
        <w:t xml:space="preserve">b) Conflictos de expectativas, relaciones de poder e incertidumbre sobre efectos con información limitada</w:t>
      </w:r>
    </w:p>
    <w:p>
      <w:pPr>
        <w:pStyle w:val="Normal"/>
      </w:pPr>
      <w:r>
        <w:t xml:space="preserve">c) Sólo los intereses de quien puede pagar la intervención</w:t>
      </w:r>
    </w:p>
    <w:p>
      <w:pPr>
        <w:pStyle w:val="Normal"/>
      </w:pPr>
      <w:r>
        <w:t xml:space="preserve">d) Acuerdo sobre una acción como prueba de que no habrá consecuencias imprevistas</w:t>
      </w:r>
    </w:p>
    <w:p>
      <w:pPr>
        <w:pStyle w:val="Heading3"/>
      </w:pPr>
      <w:bookmarkStart w:name="b_pregunta_auto_2_6_2" w:id="1817"/>
      <w:r>
        <w:t xml:space="preserve">2.6-A2 · ¿Cómo puede una red resistir cambios locales y aun así transformarse de manera repentina?</w:t>
      </w:r>
      <w:bookmarkEnd w:id="1817"/>
    </w:p>
    <w:p>
      <w:pPr>
        <w:pStyle w:val="Normal"/>
      </w:pPr>
      <w:r>
        <w:t xml:space="preserve">a) La resistencia prueba que ningún cambio grande es posible</w:t>
      </w:r>
    </w:p>
    <w:p>
      <w:pPr>
        <w:pStyle w:val="Normal"/>
      </w:pPr>
      <w:r>
        <w:t xml:space="preserve">b) Toda transición brusca es sólo parálisis de una persona</w:t>
      </w:r>
    </w:p>
    <w:p>
      <w:pPr>
        <w:pStyle w:val="Normal"/>
      </w:pPr>
      <w:r>
        <w:t xml:space="preserve">c) Las interconexiones sostienen el estado y un cambio decisivo puede propagarse al conjunto</w:t>
      </w:r>
    </w:p>
    <w:p>
      <w:pPr>
        <w:pStyle w:val="Normal"/>
      </w:pPr>
      <w:r>
        <w:t xml:space="preserve">d) Cada parte cambia sin influir sobre ninguna otra</w:t>
      </w:r>
    </w:p>
    <w:p>
      <w:pPr>
        <w:pStyle w:val="Heading3"/>
      </w:pPr>
      <w:bookmarkStart w:name="b_pregunta_auto_2_6_3" w:id="1818"/>
      <w:r>
        <w:t xml:space="preserve">2.6-A3 · ¿Qué lectura corresponde a «estructuras de control» en el eje de escala de la figura?</w:t>
      </w:r>
      <w:bookmarkEnd w:id="1818"/>
    </w:p>
    <w:p>
      <w:pPr>
        <w:pStyle w:val="Normal"/>
      </w:pPr>
      <w:r>
        <w:t xml:space="preserve">a) Son un sinónimo de contar componentes desconectados</w:t>
      </w:r>
    </w:p>
    <w:p>
      <w:pPr>
        <w:pStyle w:val="Normal"/>
      </w:pPr>
      <w:r>
        <w:t xml:space="preserve">b) Prueban que todos los sistemas siguen las mismas fases obligatorias</w:t>
      </w:r>
    </w:p>
    <w:p>
      <w:pPr>
        <w:pStyle w:val="Normal"/>
      </w:pPr>
      <w:r>
        <w:t xml:space="preserve">c) Indican que la autoorganización elimina toda relación entre partes</w:t>
      </w:r>
    </w:p>
    <w:p>
      <w:pPr>
        <w:pStyle w:val="Normal"/>
      </w:pPr>
      <w:r>
        <w:t xml:space="preserve">d) Coordinan o regulan partes, entre compuestos y autoorganización, sin exigir un jefe externo</w:t>
      </w:r>
    </w:p>
    <w:p>
      <w:pPr>
        <w:pStyle w:val="Heading3"/>
      </w:pPr>
      <w:bookmarkStart w:name="b_pregunta_auto_2_6_4" w:id="1819"/>
      <w:r>
        <w:t xml:space="preserve">2.6-A4 · ¿Qué distingue a un sistema COMPLEJO de uno meramente COMPLICADO?</w:t>
      </w:r>
      <w:bookmarkEnd w:id="1819"/>
    </w:p>
    <w:p>
      <w:pPr>
        <w:pStyle w:val="Normal"/>
      </w:pPr>
      <w:r>
        <w:t xml:space="preserve">a) El complicado siempre tiene más piezas que el complejo</w:t>
      </w:r>
    </w:p>
    <w:p>
      <w:pPr>
        <w:pStyle w:val="Normal"/>
      </w:pPr>
      <w:r>
        <w:t xml:space="preserve">b) El complicado es predecible y descomponible; el complejo exhibe no linealidad y emergencia</w:t>
      </w:r>
    </w:p>
    <w:p>
      <w:pPr>
        <w:pStyle w:val="Normal"/>
      </w:pPr>
      <w:r>
        <w:t xml:space="preserve">c) Son sinónimos: cualquier sistema con muchas partes es complejo</w:t>
      </w:r>
    </w:p>
    <w:p>
      <w:pPr>
        <w:pStyle w:val="Normal"/>
      </w:pPr>
      <w:r>
        <w:t xml:space="preserve">d) El complejo es siempre más pequeño que el complicado</w:t>
      </w:r>
    </w:p>
    <w:p>
      <w:pPr>
        <w:pStyle w:val="Heading3"/>
      </w:pPr>
      <w:bookmarkStart w:name="b_pregunta_auto_2_6_5" w:id="1820"/>
      <w:r>
        <w:t xml:space="preserve">2.6-A5 · La afirmación «la salida no es proporcional a la entrada: causas pequeñas pueden tener efectos enormes (y al revés)» define…</w:t>
      </w:r>
      <w:bookmarkEnd w:id="1820"/>
    </w:p>
    <w:p>
      <w:pPr>
        <w:pStyle w:val="Normal"/>
      </w:pPr>
      <w:r>
        <w:t xml:space="preserve">a) La linealidad</w:t>
      </w:r>
    </w:p>
    <w:p>
      <w:pPr>
        <w:pStyle w:val="Normal"/>
      </w:pPr>
      <w:r>
        <w:t xml:space="preserve">b) La no linealidad</w:t>
      </w:r>
    </w:p>
    <w:p>
      <w:pPr>
        <w:pStyle w:val="Normal"/>
      </w:pPr>
      <w:r>
        <w:t xml:space="preserve">c) El reduccionismo</w:t>
      </w:r>
    </w:p>
    <w:p>
      <w:pPr>
        <w:pStyle w:val="Normal"/>
      </w:pPr>
      <w:r>
        <w:t xml:space="preserve">d) El determinismo</w:t>
      </w:r>
    </w:p>
    <w:p>
      <w:pPr>
        <w:pStyle w:val="Heading3"/>
      </w:pPr>
      <w:bookmarkStart w:name="b_pregunta_auto_2_6_6" w:id="1821"/>
      <w:r>
        <w:t xml:space="preserve">2.6-A6 · Un sistema adaptativo complejo (CAS) se diferencia de un sistema complejo «a secas» porque…</w:t>
      </w:r>
      <w:bookmarkEnd w:id="1821"/>
    </w:p>
    <w:p>
      <w:pPr>
        <w:pStyle w:val="Normal"/>
      </w:pPr>
      <w:r>
        <w:t xml:space="preserve">a) Tiene menos interacciones entre sus partes</w:t>
      </w:r>
    </w:p>
    <w:p>
      <w:pPr>
        <w:pStyle w:val="Normal"/>
      </w:pPr>
      <w:r>
        <w:t xml:space="preserve">b) Sus agentes aprenden, se adaptan y se autoorganizan</w:t>
      </w:r>
    </w:p>
    <w:p>
      <w:pPr>
        <w:pStyle w:val="Normal"/>
      </w:pPr>
      <w:r>
        <w:t xml:space="preserve">c) Es lineal y por tanto predecible</w:t>
      </w:r>
    </w:p>
    <w:p>
      <w:pPr>
        <w:pStyle w:val="Normal"/>
      </w:pPr>
      <w:r>
        <w:t xml:space="preserve">d) Se puede controlar por completo como una máquina</w:t>
      </w:r>
    </w:p>
    <w:p>
      <w:pPr>
        <w:pStyle w:val="Heading3"/>
      </w:pPr>
      <w:bookmarkStart w:name="b_pregunta_auto_2_6_7" w:id="1822"/>
      <w:r>
        <w:t xml:space="preserve">2.6-A7 · El clima es un buen ejemplo de sistema…</w:t>
      </w:r>
      <w:bookmarkEnd w:id="1822"/>
    </w:p>
    <w:p>
      <w:pPr>
        <w:pStyle w:val="Normal"/>
      </w:pPr>
      <w:r>
        <w:t xml:space="preserve">a) Simple</w:t>
      </w:r>
    </w:p>
    <w:p>
      <w:pPr>
        <w:pStyle w:val="Normal"/>
      </w:pPr>
      <w:r>
        <w:t xml:space="preserve">b) Complejo, pero no necesariamente adaptativo</w:t>
      </w:r>
    </w:p>
    <w:p>
      <w:pPr>
        <w:pStyle w:val="Normal"/>
      </w:pPr>
      <w:r>
        <w:t xml:space="preserve">c) Adaptativo complejo (CAS)</w:t>
      </w:r>
    </w:p>
    <w:p>
      <w:pPr>
        <w:pStyle w:val="Normal"/>
      </w:pPr>
      <w:r>
        <w:t xml:space="preserve">d) Complicado pero predecible</w:t>
      </w:r>
    </w:p>
    <w:p>
      <w:pPr>
        <w:pStyle w:val="Heading3"/>
      </w:pPr>
      <w:bookmarkStart w:name="b_pregunta_auto_2_6_8" w:id="1823"/>
      <w:r>
        <w:t xml:space="preserve">2.6-A8 · En teoría de sistemas, la «autoorganización» se refiere a…</w:t>
      </w:r>
      <w:bookmarkEnd w:id="1823"/>
    </w:p>
    <w:p>
      <w:pPr>
        <w:pStyle w:val="Normal"/>
      </w:pPr>
      <w:r>
        <w:t xml:space="preserve">a) Un gerente que reorganiza a su equipo desde arriba</w:t>
      </w:r>
    </w:p>
    <w:p>
      <w:pPr>
        <w:pStyle w:val="Normal"/>
      </w:pPr>
      <w:r>
        <w:t xml:space="preserve">b) La capacidad del sistema de estructurarse, crear estructura y aprender sin un control central</w:t>
      </w:r>
    </w:p>
    <w:p>
      <w:pPr>
        <w:pStyle w:val="Normal"/>
      </w:pPr>
      <w:r>
        <w:t xml:space="preserve">c) Ordenar los componentes alfabéticamente</w:t>
      </w:r>
    </w:p>
    <w:p>
      <w:pPr>
        <w:pStyle w:val="Normal"/>
      </w:pPr>
      <w:r>
        <w:t xml:space="preserve">d) El orden impuesto al sistema desde afuera</w:t>
      </w:r>
    </w:p>
    <w:p>
      <w:pPr>
        <w:pStyle w:val="Heading3"/>
      </w:pPr>
      <w:bookmarkStart w:name="b_pregunta_auto_2_6_9" w:id="1824"/>
      <w:r>
        <w:t xml:space="preserve">2.6-A9 · ¿Por qué el pensamiento reduccionista (analizar las partes por separado) FALLA con los sistemas complejos?</w:t>
      </w:r>
      <w:bookmarkEnd w:id="1824"/>
    </w:p>
    <w:p>
      <w:pPr>
        <w:pStyle w:val="Normal"/>
      </w:pPr>
      <w:r>
        <w:t xml:space="preserve">a) Porque las partes son demasiado pequeñas para medirlas</w:t>
      </w:r>
    </w:p>
    <w:p>
      <w:pPr>
        <w:pStyle w:val="Normal"/>
      </w:pPr>
      <w:r>
        <w:t xml:space="preserve">b) Porque el comportamiento emerge de las interacciones, que se destruyen al separar las partes</w:t>
      </w:r>
    </w:p>
    <w:p>
      <w:pPr>
        <w:pStyle w:val="Normal"/>
      </w:pPr>
      <w:r>
        <w:t xml:space="preserve">c) Porque faltan datos suficientes</w:t>
      </w:r>
    </w:p>
    <w:p>
      <w:pPr>
        <w:pStyle w:val="Normal"/>
      </w:pPr>
      <w:r>
        <w:t xml:space="preserve">d) Porque los sistemas complejos no tienen partes</w:t>
      </w:r>
    </w:p>
    <w:p>
      <w:pPr>
        <w:pStyle w:val="Heading3"/>
      </w:pPr>
      <w:bookmarkStart w:name="b_pregunta_auto_2_6_10" w:id="1825"/>
      <w:r>
        <w:t xml:space="preserve">2.6-A10 · Ante un sistema adaptativo complejo (una ciudad, una empresa, un ecosistema), la forma realista de intervenir es…</w:t>
      </w:r>
      <w:bookmarkEnd w:id="1825"/>
    </w:p>
    <w:p>
      <w:pPr>
        <w:pStyle w:val="Normal"/>
      </w:pPr>
      <w:r>
        <w:t xml:space="preserve">a) Controlarlo con precisión, como a una máquina</w:t>
      </w:r>
    </w:p>
    <w:p>
      <w:pPr>
        <w:pStyle w:val="Normal"/>
      </w:pPr>
      <w:r>
        <w:t xml:space="preserve">b) Influir y cultivar: moldear reglas y condiciones, buscar puntos de apalancamiento y dejar emerger</w:t>
      </w:r>
    </w:p>
    <w:p>
      <w:pPr>
        <w:pStyle w:val="Normal"/>
      </w:pPr>
      <w:r>
        <w:t xml:space="preserve">c) Ignorarlo hasta que se estabilice solo</w:t>
      </w:r>
    </w:p>
    <w:p>
      <w:pPr>
        <w:pStyle w:val="Normal"/>
      </w:pPr>
      <w:r>
        <w:t xml:space="preserve">d) Dividirlo en partes independientes y optimizar cada una por separado</w:t>
      </w:r>
    </w:p>
    <w:p>
      <w:pPr>
        <w:pStyle w:val="Heading3"/>
      </w:pPr>
      <w:r>
        <w:t xml:space="preserve">Ejercicios de aplicación</w:t>
      </w:r>
    </w:p>
    <w:p>
      <w:pPr>
        <w:pStyle w:val="Heading3"/>
      </w:pPr>
      <w:bookmarkStart w:name="b_pregunta_ej_P15" w:id="1826"/>
      <w:r>
        <w:t xml:space="preserve">2.6-E1 · Complejidad, DSRP y emergencia</w:t>
      </w:r>
      <w:bookmarkEnd w:id="1826"/>
    </w:p>
    <w:p>
      <w:pPr>
        <w:pStyle w:val="Normal"/>
      </w:pPr>
      <w:r>
        <w:t xml:space="preserve">Un equipo modifica sus reglas de coordinación y logra algo que nadie podía hacer solo. Explica complejidad, autoorganización, sinergia y emergencia; usa DSRP para representar el caso.</w:t>
      </w:r>
    </w:p>
    <w:p>
      <w:pPr>
        <w:pStyle w:val="Heading3"/>
      </w:pPr>
      <w:bookmarkStart w:name="b_solucionario_2_6" w:id="1827"/>
      <w:r>
        <w:t xml:space="preserve">Solucionario del capítulo</w:t>
      </w:r>
      <w:bookmarkEnd w:id="1827"/>
    </w:p>
    <w:p>
      <w:pPr>
        <w:pStyle w:val="Heading3"/>
      </w:pPr>
      <w:r>
        <w:t xml:space="preserve">2.6-A1</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b) Conflictos de expectativas, relaciones de poder e incertidumbre sobre efectos con información limitada</w:t>
            </w:r>
          </w:p>
        </w:tc>
      </w:tr>
    </w:tbl>
    <w:p>
      <w:pPr>
        <w:pStyle w:val="Normal"/>
      </w:pPr>
      <w:r>
        <w:t xml:space="preserve">Los actores pueden discrepar sobre fines y medios y tener capacidad desigual de decidir. Más interrelaciones y menos información confiable dificultan prever efectos; acordar una intervención no elimina esa incertidumbre.</w:t>
      </w:r>
    </w:p>
    <w:p>
      <w:pPr>
        <w:pStyle w:val="Fuente"/>
      </w:pPr>
      <w:r>
        <w:t xml:space="preserve">Presentación de la unidad 1 (C-5), pág. 18</w:t>
      </w:r>
    </w:p>
    <w:p>
      <w:pPr>
        <w:pStyle w:val="Heading3"/>
      </w:pPr>
      <w:r>
        <w:t xml:space="preserve">2.6-A2</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c) Las interconexiones sostienen el estado y un cambio decisivo puede propagarse al conjunto</w:t>
            </w:r>
          </w:p>
        </w:tc>
      </w:tr>
    </w:tbl>
    <w:p>
      <w:pPr>
        <w:pStyle w:val="Normal"/>
      </w:pPr>
      <w:r>
        <w:t xml:space="preserve">La estructura puede compensar cambios locales y mantener el comportamiento. Alterar relaciones decisivas puede desencadenar una transformación amplia y rápida. Resistencia estructural y cambio repentino son compatibles.</w:t>
      </w:r>
    </w:p>
    <w:p>
      <w:pPr>
        <w:pStyle w:val="Fuente"/>
      </w:pPr>
      <w:r>
        <w:t xml:space="preserve">Presentación de la unidad 2 (C-6), pág. 51</w:t>
      </w:r>
    </w:p>
    <w:p>
      <w:pPr>
        <w:pStyle w:val="Heading3"/>
      </w:pPr>
      <w:r>
        <w:t xml:space="preserve">2.6-A3</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d) Coordinan o regulan partes, entre compuestos y autoorganización, sin exigir un jefe externo</w:t>
            </w:r>
          </w:p>
        </w:tc>
      </w:tr>
    </w:tbl>
    <w:p>
      <w:pPr>
        <w:pStyle w:val="Normal"/>
      </w:pPr>
      <w:r>
        <w:t xml:space="preserve">La figura sitúa control entre compuestos y autoorganización y lo relaciona con jerarquías y emergencia. Leer el eje exige explicar cómo se coordinan unidades; no es una receta evolutiva universal ni exige control externo.</w:t>
      </w:r>
    </w:p>
    <w:p>
      <w:pPr>
        <w:pStyle w:val="Fuente"/>
      </w:pPr>
      <w:r>
        <w:t xml:space="preserve">Presentación de la unidad 2 (C-6), pág. 54 y 58</w:t>
      </w:r>
    </w:p>
    <w:p>
      <w:pPr>
        <w:pStyle w:val="Heading3"/>
      </w:pPr>
      <w:r>
        <w:t xml:space="preserve">2.6-A4</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b) El complicado es predecible y descomponible; el complejo exhibe no linealidad y emergencia</w:t>
            </w:r>
          </w:p>
        </w:tc>
      </w:tr>
    </w:tbl>
    <w:p>
      <w:pPr>
        <w:pStyle w:val="Normal"/>
      </w:pPr>
      <w:r>
        <w:t xml:space="preserve">Un sistema complicado (un motor a reacción, un reloj mecánico) tiene muchas partes, pero es conocible, predecible y se puede desarmar y rearmar. Un sistema complejo tiene muchas interacciones no lineales que producen comportamiento emergente que no se obtiene de las partes por separado.</w:t>
      </w:r>
    </w:p>
    <w:p>
      <w:pPr>
        <w:pStyle w:val="Normal"/>
      </w:pPr>
      <w:r>
        <w:t xml:space="preserve">a) El número de piezas no es el criterio: un motor a reacción tiene miles de piezas y es «complicado», no complejo.</w:t>
      </w:r>
    </w:p>
    <w:p>
      <w:pPr>
        <w:pStyle w:val="Normal"/>
      </w:pPr>
      <w:r>
        <w:t xml:space="preserve">b) Correcto: lo complicado es conocible y se puede desarmar y rearmar; lo complejo vive en sus interacciones.</w:t>
      </w:r>
    </w:p>
    <w:p>
      <w:pPr>
        <w:pStyle w:val="Normal"/>
      </w:pPr>
      <w:r>
        <w:t xml:space="preserve">c) No: «muchas partes» describe lo complicado; la complejidad está en las interacciones no lineales.</w:t>
      </w:r>
    </w:p>
    <w:p>
      <w:pPr>
        <w:pStyle w:val="Normal"/>
      </w:pPr>
      <w:r>
        <w:t xml:space="preserve">d) El tamaño no define la complejidad.</w:t>
      </w:r>
    </w:p>
    <w:p>
      <w:pPr>
        <w:pStyle w:val="Fuente"/>
      </w:pPr>
      <w:r>
        <w:t xml:space="preserve">Snowden (Cynefin)</w:t>
      </w:r>
    </w:p>
    <w:p>
      <w:pPr>
        <w:pStyle w:val="Heading3"/>
      </w:pPr>
      <w:r>
        <w:t xml:space="preserve">2.6-A5</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b) La no linealidad</w:t>
            </w:r>
          </w:p>
        </w:tc>
      </w:tr>
    </w:tbl>
    <w:p>
      <w:pPr>
        <w:pStyle w:val="Normal"/>
      </w:pPr>
      <w:r>
        <w:t xml:space="preserve">La no linealidad es el rasgo por el cual el efecto no es proporcional a la causa. En un sistema lineal, duplicar la causa duplica el efecto; en uno no lineal, un pequeño cambio puede desencadenar una respuesta desmesurada (efecto mariposa).</w:t>
      </w:r>
    </w:p>
    <w:p>
      <w:pPr>
        <w:pStyle w:val="Heading3"/>
      </w:pPr>
      <w:r>
        <w:t xml:space="preserve">2.6-A6</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b) Sus agentes aprenden, se adaptan y se autoorganizan</w:t>
            </w:r>
          </w:p>
        </w:tc>
      </w:tr>
    </w:tbl>
    <w:p>
      <w:pPr>
        <w:pStyle w:val="Normal"/>
      </w:pPr>
      <w:r>
        <w:t xml:space="preserve">Un CAS es una subclase de sistema complejo cuyos agentes cambian su conducta según la experiencia y la retroalimentación, y hacen emerger orden sin un controlador central. Ejemplos: una colonia de hormigas, el sistema inmune, la economía.</w:t>
      </w:r>
    </w:p>
    <w:p>
      <w:pPr>
        <w:pStyle w:val="Fuente"/>
      </w:pPr>
      <w:r>
        <w:t xml:space="preserve">Holland / Santa Fe Institute</w:t>
      </w:r>
    </w:p>
    <w:p>
      <w:pPr>
        <w:pStyle w:val="Heading3"/>
      </w:pPr>
      <w:r>
        <w:t xml:space="preserve">2.6-A7</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b) Complejo, pero no necesariamente adaptativo</w:t>
            </w:r>
          </w:p>
        </w:tc>
      </w:tr>
    </w:tbl>
    <w:p>
      <w:pPr>
        <w:pStyle w:val="Normal"/>
      </w:pPr>
      <w:r>
        <w:t xml:space="preserve">El clima es altamente no lineal y caótico —un sistema complejo—, pero no aprende ni adapta sus reglas, de modo que no es un sistema adaptativo complejo. Este caso ayuda a no confundir «complejo» con «adaptativo».</w:t>
      </w:r>
    </w:p>
    <w:p>
      <w:pPr>
        <w:pStyle w:val="Normal"/>
      </w:pPr>
      <w:r>
        <w:t xml:space="preserve">a) Nada simple: es fuertemente no lineal y sensible a las condiciones iniciales.</w:t>
      </w:r>
    </w:p>
    <w:p>
      <w:pPr>
        <w:pStyle w:val="Normal"/>
      </w:pPr>
      <w:r>
        <w:t xml:space="preserve">b) Correcto: es no lineal y caótico (complejo), pero no aprende ni se adapta, así que no es un CAS.</w:t>
      </w:r>
    </w:p>
    <w:p>
      <w:pPr>
        <w:pStyle w:val="Normal"/>
      </w:pPr>
      <w:r>
        <w:t xml:space="preserve">c) No: el clima no tiene agentes que aprendan ni se autoorganicen con memoria.</w:t>
      </w:r>
    </w:p>
    <w:p>
      <w:pPr>
        <w:pStyle w:val="Normal"/>
      </w:pPr>
      <w:r>
        <w:t xml:space="preserve">d) No es predecible en detalle: es el ejemplo clásico de caos.</w:t>
      </w:r>
    </w:p>
    <w:p>
      <w:pPr>
        <w:pStyle w:val="Heading3"/>
      </w:pPr>
      <w:r>
        <w:t xml:space="preserve">2.6-A8</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b) La capacidad del sistema de estructurarse, crear estructura y aprender sin un control central</w:t>
            </w:r>
          </w:p>
        </w:tc>
      </w:tr>
    </w:tbl>
    <w:p>
      <w:pPr>
        <w:pStyle w:val="Normal"/>
      </w:pPr>
      <w:r>
        <w:t xml:space="preserve">Meadows describe la autoorganización como la capacidad de un sistema de estructurarse, crear nueva estructura, aprender, diversificarse y complejizarse. El orden emerge de las interacciones locales, de abajo hacia arriba, sin un director central (la colonia de hormigas, los precios de un mercado, una bandada).</w:t>
      </w:r>
    </w:p>
    <w:p>
      <w:pPr>
        <w:pStyle w:val="Fuente"/>
      </w:pPr>
      <w:r>
        <w:t xml:space="preserve">Meadows</w:t>
      </w:r>
    </w:p>
    <w:p>
      <w:pPr>
        <w:pStyle w:val="Heading3"/>
      </w:pPr>
      <w:r>
        <w:t xml:space="preserve">2.6-A9</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b) Porque el comportamiento emerge de las interacciones, que se destruyen al separar las partes</w:t>
            </w:r>
          </w:p>
        </w:tc>
      </w:tr>
    </w:tbl>
    <w:p>
      <w:pPr>
        <w:pStyle w:val="Normal"/>
      </w:pPr>
      <w:r>
        <w:t xml:space="preserve">El comportamiento de un sistema complejo reside en las relaciones e interacciones entre sus partes. Al descomponerlo, esas interacciones desaparecen, y el todo deja de ser la suma de las partes. Por eso el pensamiento sistémico complementa —no reemplaza— al analítico.</w:t>
      </w:r>
    </w:p>
    <w:p>
      <w:pPr>
        <w:pStyle w:val="Fuente"/>
      </w:pPr>
      <w:r>
        <w:t xml:space="preserve">von Bertalanffy</w:t>
      </w:r>
    </w:p>
    <w:p>
      <w:pPr>
        <w:pStyle w:val="Heading3"/>
      </w:pPr>
      <w:r>
        <w:t xml:space="preserve">2.6-A10</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b) Influir y cultivar: moldear reglas y condiciones, buscar puntos de apalancamiento y dejar emerger</w:t>
            </w:r>
          </w:p>
        </w:tc>
      </w:tr>
    </w:tbl>
    <w:p>
      <w:pPr>
        <w:pStyle w:val="Normal"/>
      </w:pPr>
      <w:r>
        <w:t xml:space="preserve">No se puede controlar un CAS como a una máquina simple. Se lo empuja mediante puntos de apalancamiento (Meadows), moldeando reglas y condiciones para que el buen comportamiento se autoorganice. Optimizar las partes por separado suele empeorar el todo.</w:t>
      </w:r>
    </w:p>
    <w:p>
      <w:pPr>
        <w:pStyle w:val="Fuente"/>
      </w:pPr>
      <w:r>
        <w:t xml:space="preserve">Meadows</w:t>
      </w:r>
    </w:p>
    <w:p>
      <w:pPr>
        <w:pStyle w:val="Heading3"/>
      </w:pPr>
      <w:bookmarkStart w:name="b_solucion_ej_P15" w:id="1828"/>
      <w:r>
        <w:t xml:space="preserve">Solución 2.6-E1</w:t>
      </w:r>
      <w:bookmarkEnd w:id="1828"/>
    </w:p>
    <w:p>
      <w:pPr>
        <w:pStyle w:val="RecuadroTitulo"/>
      </w:pPr>
      <w:r>
        <w:t xml:space="preserve">Respuesta modelo</w:t>
      </w:r>
    </w:p>
    <w:p>
      <w:pPr>
        <w:pStyle w:val="Normal"/>
      </w:pPr>
      <w:r>
        <w:t xml:space="preserve">Las interacciones condicionan resultados; cambiar las propias reglas ilustra autoorganización. El efecto conjunto permite sinergia y la coordinación puede generar un patrón emergente. Distinguir actores, organizar partes y todo, describir relaciones y comparar perspectivas aplica DSRP. El mapa no sustituye ecuaciones cuantitativas.</w:t>
      </w:r>
    </w:p>
    <w:p>
      <w:pPr>
        <w:pStyle w:val="Fuente"/>
        <w:sectPr>
          <w:headerReference w:type="default" r:id="rId132"/>
          <w:headerReference w:type="first" r:id="rId133"/>
          <w:headerReference w:type="even" r:id="rId134"/>
          <w:footerReference w:type="default" r:id="rId135"/>
          <w:footerReference w:type="first" r:id="rId136"/>
          <w:footerReference w:type="even" r:id="rId137"/>
          <w:type w:val="nextPage"/>
          <w:pgSz w:w="12240" w:h="15840" w:orient="portrait"/>
          <w:pgMar w:top="1361" w:right="1134" w:bottom="1361" w:left="1474" w:header="650" w:footer="680" w:gutter="0"/>
          <w:pgNumType/>
          <w:titlePg/>
          <w:docGrid w:linePitch="360"/>
        </w:sectPr>
      </w:pPr>
      <w:r>
        <w:t xml:space="preserve">Repaso seleccionado · guía recibida, pp. 3–5; lecciones de unidades 1–3.</w:t>
      </w:r>
    </w:p>
    <w:p>
      <w:pPr>
        <w:pStyle w:val="Heading2"/>
      </w:pPr>
      <w:bookmarkStart w:name="b_2_7" w:id="1829"/>
      <w:r>
        <w:t xml:space="preserve">2.7 · El universo como sistemas</w:t>
      </w:r>
      <w:bookmarkEnd w:id="1829"/>
    </w:p>
    <w:p>
      <w:pPr>
        <w:pStyle w:val="Subtitulo"/>
      </w:pPr>
      <w:r>
        <w:t xml:space="preserve">El universo como un conjunto de sistemas</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En una línea</w:t>
            </w:r>
          </w:p>
          <w:p>
            <w:pPr>
              <w:pStyle w:val="Recuadro"/>
            </w:pPr>
            <w:r>
              <w:t xml:space="preserve">Cuatro familias de sistemas, y usted ya estudió una entera durante toda la unidad 1.</w:t>
            </w:r>
          </w:p>
        </w:tc>
      </w:tr>
    </w:tbl>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Qué te preguntan</w:t>
            </w:r>
          </w:p>
          <w:p>
            <w:pPr>
              <w:pStyle w:val="Recuadro"/>
            </w:pPr>
            <w:r>
              <w:t xml:space="preserve">Enunciar y distinguir las cuatro categorías del mapa presentado en la clase 8 —naturales, físicos diseñados, abstractos diseñados y de actividad humana—, clasificar ejemplos concretos y justificar cada decisión. Relacione además las orientaciones de la lámina: aprender de los naturales, usar los diseñados y buscar cómo ingeniar los de actividad humana.</w:t>
            </w:r>
          </w:p>
        </w:tc>
      </w:tr>
    </w:tbl>
    <w:p>
      <w:pPr>
        <w:pStyle w:val="Normal"/>
      </w:pPr>
      <w:r>
        <w:t xml:space="preserve">El universo se supone un conjunto de sistemas interactuando, y Checkland dibujó el mapa de cuatro tipos donde encaja cualquiera: naturales, de actividad humana, físicos diseñados y abstractos diseñados. Natural es lo que no creó el ser humano; de actividad humana, donde él es componente principal; diseñado, físico o abstracto, la herramienta creada como apoyo. La familia admite dos tipos según la perspectiva.</w:t>
      </w:r>
    </w:p>
    <w:p>
      <w:pPr>
        <w:pStyle w:val="Heading3"/>
      </w:pPr>
      <w:r>
        <w:t xml:space="preserve">Vocabulario clave</w:t>
      </w:r>
    </w:p>
    <w:p>
      <w:pPr>
        <w:pStyle w:val="Normal"/>
      </w:pPr>
      <w:r>
        <w:t xml:space="preserve">mapa sistémico del universo (Checkland) · sistema natural (la creación) · sistema de actividad humana · sistema físico diseñado · sistema abstracto diseñado (paradigma, modelo mental) · premisa sistémica (el universo como conjunto de sistemas) · orientación por tipo (aprender, usar, ingeniar) · ambigüedad de la clasificación (zoológico, familia)</w:t>
      </w:r>
    </w:p>
    <w:p>
      <w:pPr>
        <w:pStyle w:val="Fuente"/>
      </w:pPr>
      <w:r>
        <w:t xml:space="preserve">Recorrido: desarrollo conceptual → presentaciones → explicación en clase → errores y fuentes → práctica → solucionario.</w:t>
      </w:r>
    </w:p>
    <w:p>
      <w:pPr>
        <w:pStyle w:val="Heading3"/>
      </w:pPr>
      <w:r>
        <w:t xml:space="preserve">Usar la premisa sin simplificar el problema</w:t>
      </w:r>
    </w:p>
    <w:p>
      <w:pPr>
        <w:pStyle w:val="Normal"/>
      </w:pPr>
      <w:r>
        <w:t xml:space="preserve">Es razonable y útil representar el universo como sistemas que interactúan; es una premisa de trabajo para estructurar problemas y no una prueba de lo que el mundo es en sí. El problema multifacético debe formularse sin distorsionarlo ni simplificarlo en exceso.</w:t>
      </w:r>
    </w:p>
    <w:p>
      <w:pPr>
        <w:pStyle w:val="Normal"/>
      </w:pPr>
      <w:r>
        <w:t xml:space="preserve">Las dos preguntas metodológicas son: ¿en qué sistemas y subsistemas se sitúa el problema? y ¿cómo podrían diseñarse o modificarse para resolverlo? Si los objetivos son definibles, se intenta ingeniar el sistema para alcanzarlos. Si no lo son, el enfoque proporciona un marco para debatir los problemas relevantes, fines y criterios.</w:t>
      </w:r>
    </w:p>
    <w:p>
      <w:pPr>
        <w:pStyle w:val="Normal"/>
      </w:pPr>
      <w:r>
        <w:t xml:space="preserve">El propósito no es construir un único modelo de todos los sistemas pertinentes. El concepto general de sistema ayuda a organizar un contexto en el que tienen sentido los modelos específicos. En ese alcance contextual, la página lo considera más poderoso que un modelo aislado; no establece que cualquier uso de la palabra sistema sea superior a un modelo bien contrastado.</w:t>
      </w:r>
    </w:p>
    <w:p>
      <w:pPr>
        <w:pStyle w:val="Fuente"/>
      </w:pPr>
      <w:r>
        <w:t xml:space="preserve">Presentación de la unidad 2 (C-6), pág. 55 · Clase 8 · 01:22:26–01:25:13</w:t>
      </w:r>
    </w:p>
    <w:p>
      <w:pPr>
        <w:pStyle w:val="Heading3"/>
      </w:pPr>
      <w:r>
        <w:t xml:space="preserve">La premisa y el mapa de referencia</w:t>
      </w:r>
    </w:p>
    <w:p>
      <w:pPr>
        <w:pStyle w:val="Normal"/>
      </w:pPr>
      <w:r>
        <w:t xml:space="preserve">Se supone que el universo es un conjunto de sistemas interactuando; es un paradigma, no una afirmación sobre la realidad en sí, y ningún paradigma anterior la representaba tan compleja.</w:t>
      </w:r>
    </w:p>
    <w:p>
      <w:pPr>
        <w:pStyle w:val="Normal"/>
      </w:pPr>
      <w:r>
        <w:t xml:space="preserve">Ante un problema u objetivo se modela sólo el subconjunto involucrado, con la jerarquía y los tipos como mapa de referencia; otras clasificaciones sólo nombradas: dinámicos, estáticos, probabilísticos y trascendentales.</w:t>
      </w:r>
    </w:p>
    <w:p>
      <w:pPr>
        <w:pStyle w:val="Normal"/>
      </w:pPr>
      <w:r>
        <w:t xml:space="preserve">Checkland modeló el mundo como un mapa sistémico donde encaja cualquier sistema, con cuatro tipos.</w:t>
      </w:r>
    </w:p>
    <w:p>
      <w:pPr>
        <w:pStyle w:val="Fuente"/>
      </w:pPr>
      <w:r>
        <w:t xml:space="preserve">Clase 8 · 01:21:22–01:26:58 · lámina c8-21 · lámina c8-22</w:t>
      </w:r>
    </w:p>
    <w:p>
      <w:pPr>
        <w:pStyle w:val="Heading3"/>
      </w:pPr>
      <w:r>
        <w:t xml:space="preserve">Los cuatro tipos con los ejemplos de clase</w:t>
      </w:r>
    </w:p>
    <w:p>
      <w:pPr>
        <w:pStyle w:val="Normal"/>
      </w:pPr>
      <w:r>
        <w:t xml:space="preserve">Naturales, «la creación»: no creados por la capacidad e inteligencia del ser humano; atómicos, moleculares, ecosistemas, plantas, organismos y lo que haya en el universo; también los sistemas del propio ser humano (cualquier subsistema o el sistema entero), las especies animales y sus sistemas de convivencia; en las tareas: bosque, sistema planetario o galáctico, ciclo del agua.</w:t>
      </w:r>
    </w:p>
    <w:p>
      <w:pPr>
        <w:pStyle w:val="Normal"/>
      </w:pPr>
      <w:r>
        <w:t xml:space="preserve">De actividad humana: cualquier organización (empresas, familias, comunidades, grupos políticos) o sistema con seres humanos entre sus elementos, su componente principal: universidad, equipos con un objetivo (desarrollar software, organizar un evento), instituciones del Estado, hospitales, equipos de fútbol, voleibol o basquetbol.</w:t>
      </w:r>
    </w:p>
    <w:p>
      <w:pPr>
        <w:pStyle w:val="Normal"/>
      </w:pPr>
      <w:r>
        <w:t xml:space="preserve">Físicos diseñados: máquinas, computadoras, software, sistemas operativos, los automatizados que crean los ingenieros en computación, telefonía; toda tecnología: teléfonos inteligentes, generadores eléctricos, represas hidroeléctricas, motor de combustión interna, automóvil, inteligencia artificial y robótica.</w:t>
      </w:r>
    </w:p>
    <w:p>
      <w:pPr>
        <w:pStyle w:val="Normal"/>
      </w:pPr>
      <w:r>
        <w:t xml:space="preserve">Abstractos diseñados: los paradigmas o modelos mentales de la unidad 1 (creencias y opiniones), muchas veces los sistemas matemáticos y el lenguaje, creado por un proceso abstracto natural o de programación; son sistemas con elementos de naturaleza abstracta.</w:t>
      </w:r>
    </w:p>
    <w:p>
      <w:pPr>
        <w:pStyle w:val="Fuente"/>
      </w:pPr>
      <w:r>
        <w:t xml:space="preserve">Clase 8 · 01:26:55–01:29:10 · Clase 8 · 01:30:21–01:30:35 · Clase 9 · 00:06:07–00:13:06 · lámina c9-01</w:t>
      </w:r>
    </w:p>
    <w:p>
      <w:pPr>
        <w:pStyle w:val="Heading3"/>
      </w:pPr>
      <w:r>
        <w:t xml:space="preserve">Qué se hace con cada tipo, según Checkland</w:t>
      </w:r>
    </w:p>
    <w:p>
      <w:pPr>
        <w:pStyle w:val="Normal"/>
      </w:pPr>
      <w:r>
        <w:t xml:space="preserve">De los naturales se aprende (la inteligencia artificial replica la humana); su objetivo no es explícito y se identifica estudiando sus características y comportamientos.</w:t>
      </w:r>
    </w:p>
    <w:p>
      <w:pPr>
        <w:pStyle w:val="Normal"/>
      </w:pPr>
      <w:r>
        <w:t xml:space="preserve">Los diseñados, físicos y abstractos, son herramientas y apoyo del ser humano para sus actividades.</w:t>
      </w:r>
    </w:p>
    <w:p>
      <w:pPr>
        <w:pStyle w:val="Normal"/>
      </w:pPr>
      <w:r>
        <w:t xml:space="preserve">Los de actividad humana, donde el ser humano participa para lograr un objetivo, se buscan «ingeniar» para hacerlos óptimos y eficientes; ubicar un sistema en su tipo le da características particulares y su sentido.</w:t>
      </w:r>
    </w:p>
    <w:p>
      <w:pPr>
        <w:pStyle w:val="Fuente"/>
      </w:pPr>
      <w:r>
        <w:t xml:space="preserve">Clase 8 · 01:29:04–01:30:11 · Clase 9 · 00:10:11–00:10:52 · Clase 9 · 00:13:03–00:14:33 · lámina c8-22 · lámina c9-01</w:t>
      </w:r>
    </w:p>
    <w:p>
      <w:pPr>
        <w:pStyle w:val="Heading3"/>
      </w:pPr>
      <w:r>
        <w:t xml:space="preserve">Los casos ambiguos resueltos en clase</w:t>
      </w:r>
    </w:p>
    <w:p>
      <w:pPr>
        <w:pStyle w:val="Normal"/>
      </w:pPr>
      <w:r>
        <w:t xml:space="preserve">Zoológico: aunque sus componentes sean naturales, lo creó artificialmente el ser humano, se ordena como él desea y lo administran personas que alimentan a los animales: actividad humana.</w:t>
      </w:r>
    </w:p>
    <w:p>
      <w:pPr>
        <w:pStyle w:val="Normal"/>
      </w:pPr>
      <w:r>
        <w:t xml:space="preserve">Familia: cumple con ser de actividad humana, pero como creación natural, igual que la parvada o el banco de peces, agrupa a los seres humanos de manera natural para crecer y evolucionar: también es natural.</w:t>
      </w:r>
    </w:p>
    <w:p>
      <w:pPr>
        <w:pStyle w:val="Normal"/>
      </w:pPr>
      <w:r>
        <w:t xml:space="preserve">La clasificación trae cierta ambigüedad: los sistemas humanos nacidos de la sobrevivencia y la convivencia, no artificiales, también son naturales.</w:t>
      </w:r>
    </w:p>
    <w:p>
      <w:pPr>
        <w:pStyle w:val="Fuente"/>
      </w:pPr>
      <w:r>
        <w:t xml:space="preserve">Clase 9 · 00:07:24–00:08:56 · Clase 9 · 00:40:01–00:43:42</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Procedimiento</w:t>
            </w:r>
          </w:p>
          <w:p>
            <w:pPr>
              <w:pStyle w:val="Recuadro"/>
            </w:pPr>
            <w:r>
              <w:t xml:space="preserve">Cómo clasificar un sistema con el mapa de Checkland</w:t>
            </w:r>
          </w:p>
          <w:p>
            <w:pPr>
              <w:pStyle w:val="Recuadro"/>
            </w:pPr>
            <w:r>
              <w:t xml:space="preserve">1. </w:t>
            </w:r>
            <w:r>
              <w:rPr>
                <w:b/>
                <w:bCs/>
              </w:rPr>
              <w:t xml:space="preserve">Preguntar si lo creó el ser humano.</w:t>
            </w:r>
            <w:r>
              <w:t xml:space="preserve"> Si no lo creó la capacidad e inteligencia humana es natural: el bosque, el ciclo del agua, los sistemas del propio ser humano. (Clase 9 · 00:05:56–00:07:29)</w:t>
            </w:r>
          </w:p>
          <w:p>
            <w:pPr>
              <w:pStyle w:val="Recuadro"/>
            </w:pPr>
            <w:r>
              <w:t xml:space="preserve">2. </w:t>
            </w:r>
            <w:r>
              <w:rPr>
                <w:b/>
                <w:bCs/>
              </w:rPr>
              <w:t xml:space="preserve">Separar lo diseñado en físico o abstracto.</w:t>
            </w:r>
            <w:r>
              <w:t xml:space="preserve"> Si es una herramienta creada como apoyo es diseñado: físico si es tecnología (computadora, motor, represa), abstracto si es creencia, modelo mental, sistema matemático o lenguaje. (Clase 9 · 00:10:11–00:13:06)</w:t>
            </w:r>
          </w:p>
          <w:p>
            <w:pPr>
              <w:pStyle w:val="Recuadro"/>
            </w:pPr>
            <w:r>
              <w:t xml:space="preserve">3. </w:t>
            </w:r>
            <w:r>
              <w:rPr>
                <w:b/>
                <w:bCs/>
              </w:rPr>
              <w:t xml:space="preserve">Comprobar si el ser humano es parte del sistema.</w:t>
            </w:r>
            <w:r>
              <w:t xml:space="preserve"> Si el ser humano es su componente principal (universidad, empresa, equipo con objetivo) es de actividad humana, aunque contenga componentes naturales, como el zoológico. (Clase 9 · 00:07:24–00:10:14)</w:t>
            </w:r>
          </w:p>
          <w:p>
            <w:pPr>
              <w:pStyle w:val="Recuadro"/>
            </w:pPr>
            <w:r>
              <w:t xml:space="preserve">4. </w:t>
            </w:r>
            <w:r>
              <w:rPr>
                <w:b/>
                <w:bCs/>
              </w:rPr>
              <w:t xml:space="preserve">Justificar el caso ambiguo por la perspectiva.</w:t>
            </w:r>
            <w:r>
              <w:t xml:space="preserve"> Si admite dos lecturas, como la familia (actividad humana y, como agrupación natural, natural), se declara desde qué perspectiva se clasifica y qué se hace con el tipo. (Clase 9 · 00:40:01–00:43:42 · Clase 9 · 00:13:03–00:14:33)</w:t>
            </w:r>
          </w:p>
          <w:p>
            <w:pPr>
              <w:pStyle w:val="Recuadro"/>
            </w:pPr>
            <w:r>
              <w:t xml:space="preserve">Con la definición de cada tipo la clasificación es relativamente fácil; la tarea revisada en clase pidió por lo menos dos sistemas del contexto cercano por cada tipo, distinguidos, nombrados y descritos brevemente.</w:t>
            </w:r>
          </w:p>
        </w:tc>
      </w:tr>
    </w:tbl>
    <w:p>
      <w:pPr>
        <w:pStyle w:val="Heading3"/>
      </w:pPr>
      <w:bookmarkStart w:name="b_tabla_2_7_g1_checkland" w:id="1830"/>
      <w:r>
        <w:t xml:space="preserve">Las cuatro familias de sistemas (Checkland)</w:t>
      </w:r>
      <w:bookmarkEnd w:id="1830"/>
    </w:p>
    <w:tbl>
      <w:tblPr>
        <w:tblW w:type="dxa" w:w="9632"/>
        <w:tblBorders>
          <w:top w:val="single" w:color="C5D5DB" w:sz="4"/>
          <w:left w:val="single" w:color="C5D5DB" w:sz="4"/>
          <w:bottom w:val="single" w:color="C5D5DB" w:sz="4"/>
          <w:right w:val="single" w:color="C5D5DB" w:sz="4"/>
          <w:insideH w:val="single" w:color="E4E9EB" w:sz="3"/>
          <w:insideV w:val="single" w:color="E4E9EB" w:sz="3"/>
        </w:tblBorders>
        <w:tblLayout w:type="fixed"/>
      </w:tblPr>
      <w:tblGrid>
        <w:gridCol w:w="1928"/>
        <w:gridCol w:w="1926"/>
        <w:gridCol w:w="1926"/>
        <w:gridCol w:w="1926"/>
        <w:gridCol w:w="1926"/>
      </w:tblGrid>
      <w:tr>
        <w:trPr>
          <w:cantSplit/>
          <w:tblHeader/>
        </w:trPr>
        <w:tc>
          <w:tcPr>
            <w:tcW w:type="dxa" w:w="1928"/>
            <w:shd w:fill="DFEAF0" w:val="clear"/>
            <w:tcMar>
              <w:top w:type="dxa" w:w="80"/>
              <w:left w:type="dxa" w:w="100"/>
              <w:bottom w:type="dxa" w:w="80"/>
              <w:right w:type="dxa" w:w="100"/>
            </w:tcMar>
          </w:tcPr>
          <w:p>
            <w:pPr>
              <w:pStyle w:val="Tabla"/>
            </w:pPr>
            <w:r>
              <w:rPr>
                <w:b/>
                <w:bCs/>
              </w:rPr>
              <w:t xml:space="preserve">#</w:t>
            </w:r>
          </w:p>
        </w:tc>
        <w:tc>
          <w:tcPr>
            <w:tcW w:type="dxa" w:w="1926"/>
            <w:shd w:fill="DFEAF0" w:val="clear"/>
            <w:tcMar>
              <w:top w:type="dxa" w:w="80"/>
              <w:left w:type="dxa" w:w="100"/>
              <w:bottom w:type="dxa" w:w="80"/>
              <w:right w:type="dxa" w:w="100"/>
            </w:tcMar>
          </w:tcPr>
          <w:p>
            <w:pPr>
              <w:pStyle w:val="Tabla"/>
            </w:pPr>
            <w:r>
              <w:rPr>
                <w:b/>
                <w:bCs/>
              </w:rPr>
              <w:t xml:space="preserve">Familia</w:t>
            </w:r>
          </w:p>
        </w:tc>
        <w:tc>
          <w:tcPr>
            <w:tcW w:type="dxa" w:w="1926"/>
            <w:shd w:fill="DFEAF0" w:val="clear"/>
            <w:tcMar>
              <w:top w:type="dxa" w:w="80"/>
              <w:left w:type="dxa" w:w="100"/>
              <w:bottom w:type="dxa" w:w="80"/>
              <w:right w:type="dxa" w:w="100"/>
            </w:tcMar>
          </w:tcPr>
          <w:p>
            <w:pPr>
              <w:pStyle w:val="Tabla"/>
            </w:pPr>
            <w:r>
              <w:rPr>
                <w:b/>
                <w:bCs/>
              </w:rPr>
              <w:t xml:space="preserve">Origen</w:t>
            </w:r>
          </w:p>
        </w:tc>
        <w:tc>
          <w:tcPr>
            <w:tcW w:type="dxa" w:w="1926"/>
            <w:shd w:fill="DFEAF0" w:val="clear"/>
            <w:tcMar>
              <w:top w:type="dxa" w:w="80"/>
              <w:left w:type="dxa" w:w="100"/>
              <w:bottom w:type="dxa" w:w="80"/>
              <w:right w:type="dxa" w:w="100"/>
            </w:tcMar>
          </w:tcPr>
          <w:p>
            <w:pPr>
              <w:pStyle w:val="Tabla"/>
            </w:pPr>
            <w:r>
              <w:rPr>
                <w:b/>
                <w:bCs/>
              </w:rPr>
              <w:t xml:space="preserve">Propósito</w:t>
            </w:r>
          </w:p>
        </w:tc>
        <w:tc>
          <w:tcPr>
            <w:tcW w:type="dxa" w:w="1926"/>
            <w:shd w:fill="DFEAF0" w:val="clear"/>
            <w:tcMar>
              <w:top w:type="dxa" w:w="80"/>
              <w:left w:type="dxa" w:w="100"/>
              <w:bottom w:type="dxa" w:w="80"/>
              <w:right w:type="dxa" w:w="100"/>
            </w:tcMar>
          </w:tcPr>
          <w:p>
            <w:pPr>
              <w:pStyle w:val="Tabla"/>
            </w:pPr>
            <w:r>
              <w:rPr>
                <w:b/>
                <w:bCs/>
              </w:rPr>
              <w:t xml:space="preserve">Orientación</w:t>
            </w:r>
          </w:p>
        </w:tc>
      </w:tr>
      <w:tr>
        <w:trPr>
          <w:cantSplit/>
          <w:tblHeader w:val="off"/>
        </w:trPr>
        <w:tc>
          <w:tcPr>
            <w:tcW w:type="dxa" w:w="1928"/>
            <w:tcMar>
              <w:top w:type="dxa" w:w="80"/>
              <w:left w:type="dxa" w:w="100"/>
              <w:bottom w:type="dxa" w:w="80"/>
              <w:right w:type="dxa" w:w="100"/>
            </w:tcMar>
          </w:tcPr>
          <w:p>
            <w:pPr>
              <w:pStyle w:val="Tabla"/>
            </w:pPr>
            <w:r>
              <w:t xml:space="preserve">2.7.1</w:t>
            </w:r>
          </w:p>
        </w:tc>
        <w:tc>
          <w:tcPr>
            <w:tcW w:type="dxa" w:w="1926"/>
            <w:tcMar>
              <w:top w:type="dxa" w:w="80"/>
              <w:left w:type="dxa" w:w="100"/>
              <w:bottom w:type="dxa" w:w="80"/>
              <w:right w:type="dxa" w:w="100"/>
            </w:tcMar>
          </w:tcPr>
          <w:p>
            <w:pPr>
              <w:pStyle w:val="Tabla"/>
            </w:pPr>
            <w:r>
              <w:t xml:space="preserve">Sistemas naturales</w:t>
            </w:r>
          </w:p>
        </w:tc>
        <w:tc>
          <w:tcPr>
            <w:tcW w:type="dxa" w:w="1926"/>
            <w:tcMar>
              <w:top w:type="dxa" w:w="80"/>
              <w:left w:type="dxa" w:w="100"/>
              <w:bottom w:type="dxa" w:w="80"/>
              <w:right w:type="dxa" w:w="100"/>
            </w:tcMar>
          </w:tcPr>
          <w:p>
            <w:pPr>
              <w:pStyle w:val="Tabla"/>
            </w:pPr>
            <w:r>
              <w:t xml:space="preserve">El origen del universo y la evolución</w:t>
            </w:r>
          </w:p>
        </w:tc>
        <w:tc>
          <w:tcPr>
            <w:tcW w:type="dxa" w:w="1926"/>
            <w:tcMar>
              <w:top w:type="dxa" w:w="80"/>
              <w:left w:type="dxa" w:w="100"/>
              <w:bottom w:type="dxa" w:w="80"/>
              <w:right w:type="dxa" w:w="100"/>
            </w:tcMar>
          </w:tcPr>
          <w:p>
            <w:pPr>
              <w:pStyle w:val="Tabla"/>
            </w:pPr>
            <w:r>
              <w:t xml:space="preserve">Sin propósito impuesto desde fuera; «son como son»</w:t>
            </w:r>
          </w:p>
        </w:tc>
        <w:tc>
          <w:tcPr>
            <w:tcW w:type="dxa" w:w="1926"/>
            <w:tcMar>
              <w:top w:type="dxa" w:w="80"/>
              <w:left w:type="dxa" w:w="100"/>
              <w:bottom w:type="dxa" w:w="80"/>
              <w:right w:type="dxa" w:w="100"/>
            </w:tcMar>
          </w:tcPr>
          <w:p>
            <w:pPr>
              <w:pStyle w:val="Tabla"/>
            </w:pPr>
            <w:r>
              <w:t xml:space="preserve">Aprender de ellos</w:t>
            </w:r>
          </w:p>
        </w:tc>
      </w:tr>
      <w:tr>
        <w:trPr>
          <w:cantSplit/>
          <w:tblHeader w:val="off"/>
        </w:trPr>
        <w:tc>
          <w:tcPr>
            <w:tcW w:type="dxa" w:w="1928"/>
            <w:tcMar>
              <w:top w:type="dxa" w:w="80"/>
              <w:left w:type="dxa" w:w="100"/>
              <w:bottom w:type="dxa" w:w="80"/>
              <w:right w:type="dxa" w:w="100"/>
            </w:tcMar>
          </w:tcPr>
          <w:p>
            <w:pPr>
              <w:pStyle w:val="Tabla"/>
            </w:pPr>
            <w:r>
              <w:t xml:space="preserve">2.7.2</w:t>
            </w:r>
          </w:p>
        </w:tc>
        <w:tc>
          <w:tcPr>
            <w:tcW w:type="dxa" w:w="1926"/>
            <w:tcMar>
              <w:top w:type="dxa" w:w="80"/>
              <w:left w:type="dxa" w:w="100"/>
              <w:bottom w:type="dxa" w:w="80"/>
              <w:right w:type="dxa" w:w="100"/>
            </w:tcMar>
          </w:tcPr>
          <w:p>
            <w:pPr>
              <w:pStyle w:val="Tabla"/>
            </w:pPr>
            <w:r>
              <w:t xml:space="preserve">Sistemas físicos diseñados</w:t>
            </w:r>
          </w:p>
        </w:tc>
        <w:tc>
          <w:tcPr>
            <w:tcW w:type="dxa" w:w="1926"/>
            <w:tcMar>
              <w:top w:type="dxa" w:w="80"/>
              <w:left w:type="dxa" w:w="100"/>
              <w:bottom w:type="dxa" w:w="80"/>
              <w:right w:type="dxa" w:w="100"/>
            </w:tcMar>
          </w:tcPr>
          <w:p>
            <w:pPr>
              <w:pStyle w:val="Tabla"/>
            </w:pPr>
            <w:r>
              <w:t xml:space="preserve">El diseño humano deliberado</w:t>
            </w:r>
          </w:p>
        </w:tc>
        <w:tc>
          <w:tcPr>
            <w:tcW w:type="dxa" w:w="1926"/>
            <w:tcMar>
              <w:top w:type="dxa" w:w="80"/>
              <w:left w:type="dxa" w:w="100"/>
              <w:bottom w:type="dxa" w:w="80"/>
              <w:right w:type="dxa" w:w="100"/>
            </w:tcMar>
          </w:tcPr>
          <w:p>
            <w:pPr>
              <w:pStyle w:val="Tabla"/>
            </w:pPr>
            <w:r>
              <w:t xml:space="preserve">Cumplir un propósito humano fijado en el diseño</w:t>
            </w:r>
          </w:p>
        </w:tc>
        <w:tc>
          <w:tcPr>
            <w:tcW w:type="dxa" w:w="1926"/>
            <w:tcMar>
              <w:top w:type="dxa" w:w="80"/>
              <w:left w:type="dxa" w:w="100"/>
              <w:bottom w:type="dxa" w:w="80"/>
              <w:right w:type="dxa" w:w="100"/>
            </w:tcMar>
          </w:tcPr>
          <w:p>
            <w:pPr>
              <w:pStyle w:val="Tabla"/>
            </w:pPr>
            <w:r>
              <w:t xml:space="preserve">Usarlos</w:t>
            </w:r>
          </w:p>
        </w:tc>
      </w:tr>
      <w:tr>
        <w:trPr>
          <w:cantSplit/>
          <w:tblHeader w:val="off"/>
        </w:trPr>
        <w:tc>
          <w:tcPr>
            <w:tcW w:type="dxa" w:w="1928"/>
            <w:tcMar>
              <w:top w:type="dxa" w:w="80"/>
              <w:left w:type="dxa" w:w="100"/>
              <w:bottom w:type="dxa" w:w="80"/>
              <w:right w:type="dxa" w:w="100"/>
            </w:tcMar>
          </w:tcPr>
          <w:p>
            <w:pPr>
              <w:pStyle w:val="Tabla"/>
            </w:pPr>
            <w:r>
              <w:t xml:space="preserve">2.7.3</w:t>
            </w:r>
          </w:p>
        </w:tc>
        <w:tc>
          <w:tcPr>
            <w:tcW w:type="dxa" w:w="1926"/>
            <w:tcMar>
              <w:top w:type="dxa" w:w="80"/>
              <w:left w:type="dxa" w:w="100"/>
              <w:bottom w:type="dxa" w:w="80"/>
              <w:right w:type="dxa" w:w="100"/>
            </w:tcMar>
          </w:tcPr>
          <w:p>
            <w:pPr>
              <w:pStyle w:val="Tabla"/>
            </w:pPr>
            <w:r>
              <w:t xml:space="preserve">Sistemas abstractos diseñados</w:t>
            </w:r>
          </w:p>
        </w:tc>
        <w:tc>
          <w:tcPr>
            <w:tcW w:type="dxa" w:w="1926"/>
            <w:tcMar>
              <w:top w:type="dxa" w:w="80"/>
              <w:left w:type="dxa" w:w="100"/>
              <w:bottom w:type="dxa" w:w="80"/>
              <w:right w:type="dxa" w:w="100"/>
            </w:tcMar>
          </w:tcPr>
          <w:p>
            <w:pPr>
              <w:pStyle w:val="Tabla"/>
            </w:pPr>
            <w:r>
              <w:t xml:space="preserve">La mente humana que ordena ideas</w:t>
            </w:r>
          </w:p>
        </w:tc>
        <w:tc>
          <w:tcPr>
            <w:tcW w:type="dxa" w:w="1926"/>
            <w:tcMar>
              <w:top w:type="dxa" w:w="80"/>
              <w:left w:type="dxa" w:w="100"/>
              <w:bottom w:type="dxa" w:w="80"/>
              <w:right w:type="dxa" w:w="100"/>
            </w:tcMar>
          </w:tcPr>
          <w:p>
            <w:pPr>
              <w:pStyle w:val="Tabla"/>
            </w:pPr>
            <w:r>
              <w:t xml:space="preserve">Organizar el conocimiento y el pensamiento</w:t>
            </w:r>
          </w:p>
        </w:tc>
        <w:tc>
          <w:tcPr>
            <w:tcW w:type="dxa" w:w="1926"/>
            <w:tcMar>
              <w:top w:type="dxa" w:w="80"/>
              <w:left w:type="dxa" w:w="100"/>
              <w:bottom w:type="dxa" w:w="80"/>
              <w:right w:type="dxa" w:w="100"/>
            </w:tcMar>
          </w:tcPr>
          <w:p>
            <w:pPr>
              <w:pStyle w:val="Tabla"/>
            </w:pPr>
            <w:r>
              <w:t xml:space="preserve">Usarlos</w:t>
            </w:r>
          </w:p>
        </w:tc>
      </w:tr>
      <w:tr>
        <w:trPr>
          <w:cantSplit/>
          <w:tblHeader w:val="off"/>
        </w:trPr>
        <w:tc>
          <w:tcPr>
            <w:tcW w:type="dxa" w:w="1928"/>
            <w:tcMar>
              <w:top w:type="dxa" w:w="80"/>
              <w:left w:type="dxa" w:w="100"/>
              <w:bottom w:type="dxa" w:w="80"/>
              <w:right w:type="dxa" w:w="100"/>
            </w:tcMar>
          </w:tcPr>
          <w:p>
            <w:pPr>
              <w:pStyle w:val="Tabla"/>
            </w:pPr>
            <w:r>
              <w:t xml:space="preserve">2.7.4</w:t>
            </w:r>
          </w:p>
        </w:tc>
        <w:tc>
          <w:tcPr>
            <w:tcW w:type="dxa" w:w="1926"/>
            <w:tcMar>
              <w:top w:type="dxa" w:w="80"/>
              <w:left w:type="dxa" w:w="100"/>
              <w:bottom w:type="dxa" w:w="80"/>
              <w:right w:type="dxa" w:w="100"/>
            </w:tcMar>
          </w:tcPr>
          <w:p>
            <w:pPr>
              <w:pStyle w:val="Tabla"/>
            </w:pPr>
            <w:r>
              <w:t xml:space="preserve">Sistemas de actividad humana</w:t>
            </w:r>
          </w:p>
        </w:tc>
        <w:tc>
          <w:tcPr>
            <w:tcW w:type="dxa" w:w="1926"/>
            <w:tcMar>
              <w:top w:type="dxa" w:w="80"/>
              <w:left w:type="dxa" w:w="100"/>
              <w:bottom w:type="dxa" w:w="80"/>
              <w:right w:type="dxa" w:w="100"/>
            </w:tcMar>
          </w:tcPr>
          <w:p>
            <w:pPr>
              <w:pStyle w:val="Tabla"/>
            </w:pPr>
            <w:r>
              <w:t xml:space="preserve">Personas que organizan su actividad</w:t>
            </w:r>
          </w:p>
        </w:tc>
        <w:tc>
          <w:tcPr>
            <w:tcW w:type="dxa" w:w="1926"/>
            <w:tcMar>
              <w:top w:type="dxa" w:w="80"/>
              <w:left w:type="dxa" w:w="100"/>
              <w:bottom w:type="dxa" w:w="80"/>
              <w:right w:type="dxa" w:w="100"/>
            </w:tcMar>
          </w:tcPr>
          <w:p>
            <w:pPr>
              <w:pStyle w:val="Tabla"/>
            </w:pPr>
            <w:r>
              <w:t xml:space="preserve">Sí, pero es interpretable: depende de la perspectiva</w:t>
            </w:r>
          </w:p>
        </w:tc>
        <w:tc>
          <w:tcPr>
            <w:tcW w:type="dxa" w:w="1926"/>
            <w:tcMar>
              <w:top w:type="dxa" w:w="80"/>
              <w:left w:type="dxa" w:w="100"/>
              <w:bottom w:type="dxa" w:w="80"/>
              <w:right w:type="dxa" w:w="100"/>
            </w:tcMar>
          </w:tcPr>
          <w:p>
            <w:pPr>
              <w:pStyle w:val="Tabla"/>
            </w:pPr>
            <w:r>
              <w:t xml:space="preserve">Buscar cómo ingeniarlos</w:t>
            </w:r>
          </w:p>
        </w:tc>
      </w:tr>
    </w:tbl>
    <w:p>
      <w:pPr>
        <w:pStyle w:val="Fuente"/>
      </w:pPr>
      <w:r>
        <w:t xml:space="preserve">Los sistemas abstractos diseñados (2.7.3) son los modelos mentales y paradigmas que ocuparon toda la unidad 1.</w:t>
      </w:r>
    </w:p>
    <w:p>
      <w:pPr>
        <w:pStyle w:val="Heading3"/>
      </w:pPr>
      <w:bookmarkStart w:name="b_tabla_2_7_g1_autores" w:id="1831"/>
      <w:r>
        <w:t xml:space="preserve">Quién dijo qué</w:t>
      </w:r>
      <w:bookmarkEnd w:id="1831"/>
    </w:p>
    <w:tbl>
      <w:tblPr>
        <w:tblW w:type="dxa" w:w="9632"/>
        <w:tblBorders>
          <w:top w:val="single" w:color="C5D5DB" w:sz="4"/>
          <w:left w:val="single" w:color="C5D5DB" w:sz="4"/>
          <w:bottom w:val="single" w:color="C5D5DB" w:sz="4"/>
          <w:right w:val="single" w:color="C5D5DB" w:sz="4"/>
          <w:insideH w:val="single" w:color="E4E9EB" w:sz="3"/>
          <w:insideV w:val="single" w:color="E4E9EB" w:sz="3"/>
        </w:tblBorders>
        <w:tblLayout w:type="fixed"/>
      </w:tblPr>
      <w:tblGrid>
        <w:gridCol w:w="3212"/>
        <w:gridCol w:w="3210"/>
        <w:gridCol w:w="3210"/>
      </w:tblGrid>
      <w:tr>
        <w:trPr>
          <w:cantSplit/>
          <w:tblHeader/>
        </w:trPr>
        <w:tc>
          <w:tcPr>
            <w:tcW w:type="dxa" w:w="3212"/>
            <w:shd w:fill="DFEAF0" w:val="clear"/>
            <w:tcMar>
              <w:top w:type="dxa" w:w="80"/>
              <w:left w:type="dxa" w:w="100"/>
              <w:bottom w:type="dxa" w:w="80"/>
              <w:right w:type="dxa" w:w="100"/>
            </w:tcMar>
          </w:tcPr>
          <w:p>
            <w:pPr>
              <w:pStyle w:val="Tabla"/>
            </w:pPr>
            <w:r>
              <w:rPr>
                <w:b/>
                <w:bCs/>
              </w:rPr>
              <w:t xml:space="preserve">Autor</w:t>
            </w:r>
          </w:p>
        </w:tc>
        <w:tc>
          <w:tcPr>
            <w:tcW w:type="dxa" w:w="3210"/>
            <w:shd w:fill="DFEAF0" w:val="clear"/>
            <w:tcMar>
              <w:top w:type="dxa" w:w="80"/>
              <w:left w:type="dxa" w:w="100"/>
              <w:bottom w:type="dxa" w:w="80"/>
              <w:right w:type="dxa" w:w="100"/>
            </w:tcMar>
          </w:tcPr>
          <w:p>
            <w:pPr>
              <w:pStyle w:val="Tabla"/>
            </w:pPr>
            <w:r>
              <w:rPr>
                <w:b/>
                <w:bCs/>
              </w:rPr>
              <w:t xml:space="preserve">Se le atribuye</w:t>
            </w:r>
          </w:p>
        </w:tc>
        <w:tc>
          <w:tcPr>
            <w:tcW w:type="dxa" w:w="3210"/>
            <w:shd w:fill="DFEAF0" w:val="clear"/>
            <w:tcMar>
              <w:top w:type="dxa" w:w="80"/>
              <w:left w:type="dxa" w:w="100"/>
              <w:bottom w:type="dxa" w:w="80"/>
              <w:right w:type="dxa" w:w="100"/>
            </w:tcMar>
          </w:tcPr>
          <w:p>
            <w:pPr>
              <w:pStyle w:val="Tabla"/>
            </w:pPr>
            <w:r>
              <w:rPr>
                <w:b/>
                <w:bCs/>
              </w:rPr>
              <w:t xml:space="preserve">Dónde entra</w:t>
            </w:r>
          </w:p>
        </w:tc>
      </w:tr>
      <w:tr>
        <w:trPr>
          <w:cantSplit/>
          <w:tblHeader w:val="off"/>
        </w:trPr>
        <w:tc>
          <w:tcPr>
            <w:tcW w:type="dxa" w:w="3212"/>
            <w:tcMar>
              <w:top w:type="dxa" w:w="80"/>
              <w:left w:type="dxa" w:w="100"/>
              <w:bottom w:type="dxa" w:w="80"/>
              <w:right w:type="dxa" w:w="100"/>
            </w:tcMar>
          </w:tcPr>
          <w:p>
            <w:pPr>
              <w:pStyle w:val="Tabla"/>
            </w:pPr>
            <w:r>
              <w:t xml:space="preserve">J. L. Le Moigne</w:t>
            </w:r>
          </w:p>
        </w:tc>
        <w:tc>
          <w:tcPr>
            <w:tcW w:type="dxa" w:w="3210"/>
            <w:tcMar>
              <w:top w:type="dxa" w:w="80"/>
              <w:left w:type="dxa" w:w="100"/>
              <w:bottom w:type="dxa" w:w="80"/>
              <w:right w:type="dxa" w:w="100"/>
            </w:tcMar>
          </w:tcPr>
          <w:p>
            <w:pPr>
              <w:pStyle w:val="Tabla"/>
            </w:pPr>
            <w:r>
              <w:t xml:space="preserve">La definición de objeto y el sistema generalizado; el paradigma de sistemas como teoría generalista.</w:t>
            </w:r>
          </w:p>
        </w:tc>
        <w:tc>
          <w:tcPr>
            <w:tcW w:type="dxa" w:w="3210"/>
            <w:tcMar>
              <w:top w:type="dxa" w:w="80"/>
              <w:left w:type="dxa" w:w="100"/>
              <w:bottom w:type="dxa" w:w="80"/>
              <w:right w:type="dxa" w:w="100"/>
            </w:tcMar>
          </w:tcPr>
          <w:p>
            <w:pPr>
              <w:pStyle w:val="Tabla"/>
            </w:pPr>
            <w:r>
              <w:t xml:space="preserve">1.3 · 2.2</w:t>
            </w:r>
          </w:p>
        </w:tc>
      </w:tr>
      <w:tr>
        <w:trPr>
          <w:cantSplit/>
          <w:tblHeader w:val="off"/>
        </w:trPr>
        <w:tc>
          <w:tcPr>
            <w:tcW w:type="dxa" w:w="3212"/>
            <w:tcMar>
              <w:top w:type="dxa" w:w="80"/>
              <w:left w:type="dxa" w:w="100"/>
              <w:bottom w:type="dxa" w:w="80"/>
              <w:right w:type="dxa" w:w="100"/>
            </w:tcMar>
          </w:tcPr>
          <w:p>
            <w:pPr>
              <w:pStyle w:val="Tabla"/>
            </w:pPr>
            <w:r>
              <w:t xml:space="preserve">Derek y Laura Cabrera</w:t>
            </w:r>
          </w:p>
        </w:tc>
        <w:tc>
          <w:tcPr>
            <w:tcW w:type="dxa" w:w="3210"/>
            <w:tcMar>
              <w:top w:type="dxa" w:w="80"/>
              <w:left w:type="dxa" w:w="100"/>
              <w:bottom w:type="dxa" w:w="80"/>
              <w:right w:type="dxa" w:w="100"/>
            </w:tcMar>
          </w:tcPr>
          <w:p>
            <w:pPr>
              <w:pStyle w:val="Tabla"/>
            </w:pPr>
            <w:r>
              <w:t xml:space="preserve">Las cuatro reglas simples DSRP y el pensamiento sistémico como propiedad emergente; la discordancia.</w:t>
            </w:r>
          </w:p>
        </w:tc>
        <w:tc>
          <w:tcPr>
            <w:tcW w:type="dxa" w:w="3210"/>
            <w:tcMar>
              <w:top w:type="dxa" w:w="80"/>
              <w:left w:type="dxa" w:w="100"/>
              <w:bottom w:type="dxa" w:w="80"/>
              <w:right w:type="dxa" w:w="100"/>
            </w:tcMar>
          </w:tcPr>
          <w:p>
            <w:pPr>
              <w:pStyle w:val="Tabla"/>
            </w:pPr>
            <w:r>
              <w:t xml:space="preserve">1.6</w:t>
            </w:r>
          </w:p>
        </w:tc>
      </w:tr>
      <w:tr>
        <w:trPr>
          <w:cantSplit/>
          <w:tblHeader w:val="off"/>
        </w:trPr>
        <w:tc>
          <w:tcPr>
            <w:tcW w:type="dxa" w:w="3212"/>
            <w:tcMar>
              <w:top w:type="dxa" w:w="80"/>
              <w:left w:type="dxa" w:w="100"/>
              <w:bottom w:type="dxa" w:w="80"/>
              <w:right w:type="dxa" w:w="100"/>
            </w:tcMar>
          </w:tcPr>
          <w:p>
            <w:pPr>
              <w:pStyle w:val="Tabla"/>
            </w:pPr>
            <w:r>
              <w:t xml:space="preserve">Joel Barker</w:t>
            </w:r>
          </w:p>
        </w:tc>
        <w:tc>
          <w:tcPr>
            <w:tcW w:type="dxa" w:w="3210"/>
            <w:tcMar>
              <w:top w:type="dxa" w:w="80"/>
              <w:left w:type="dxa" w:w="100"/>
              <w:bottom w:type="dxa" w:w="80"/>
              <w:right w:type="dxa" w:w="100"/>
            </w:tcMar>
          </w:tcPr>
          <w:p>
            <w:pPr>
              <w:pStyle w:val="Tabla"/>
            </w:pPr>
            <w:r>
              <w:t xml:space="preserve">Definición de paradigma, las nueve observaciones, parálisis paradigmática, efecto paradigma, enfermedad de la certidumbre y la regla de vuelta a cero.</w:t>
            </w:r>
          </w:p>
        </w:tc>
        <w:tc>
          <w:tcPr>
            <w:tcW w:type="dxa" w:w="3210"/>
            <w:tcMar>
              <w:top w:type="dxa" w:w="80"/>
              <w:left w:type="dxa" w:w="100"/>
              <w:bottom w:type="dxa" w:w="80"/>
              <w:right w:type="dxa" w:w="100"/>
            </w:tcMar>
          </w:tcPr>
          <w:p>
            <w:pPr>
              <w:pStyle w:val="Tabla"/>
            </w:pPr>
            <w:r>
              <w:t xml:space="preserve">1.1</w:t>
            </w:r>
          </w:p>
        </w:tc>
      </w:tr>
      <w:tr>
        <w:trPr>
          <w:cantSplit/>
          <w:tblHeader w:val="off"/>
        </w:trPr>
        <w:tc>
          <w:tcPr>
            <w:tcW w:type="dxa" w:w="3212"/>
            <w:tcMar>
              <w:top w:type="dxa" w:w="80"/>
              <w:left w:type="dxa" w:w="100"/>
              <w:bottom w:type="dxa" w:w="80"/>
              <w:right w:type="dxa" w:w="100"/>
            </w:tcMar>
          </w:tcPr>
          <w:p>
            <w:pPr>
              <w:pStyle w:val="Tabla"/>
            </w:pPr>
            <w:r>
              <w:t xml:space="preserve">Adam Smith</w:t>
            </w:r>
          </w:p>
        </w:tc>
        <w:tc>
          <w:tcPr>
            <w:tcW w:type="dxa" w:w="3210"/>
            <w:tcMar>
              <w:top w:type="dxa" w:w="80"/>
              <w:left w:type="dxa" w:w="100"/>
              <w:bottom w:type="dxa" w:w="80"/>
              <w:right w:type="dxa" w:w="100"/>
            </w:tcMar>
          </w:tcPr>
          <w:p>
            <w:pPr>
              <w:pStyle w:val="Tabla"/>
            </w:pPr>
            <w:r>
              <w:t xml:space="preserve">Definición de paradigma en «Los poderes de la mente».</w:t>
            </w:r>
          </w:p>
        </w:tc>
        <w:tc>
          <w:tcPr>
            <w:tcW w:type="dxa" w:w="3210"/>
            <w:tcMar>
              <w:top w:type="dxa" w:w="80"/>
              <w:left w:type="dxa" w:w="100"/>
              <w:bottom w:type="dxa" w:w="80"/>
              <w:right w:type="dxa" w:w="100"/>
            </w:tcMar>
          </w:tcPr>
          <w:p>
            <w:pPr>
              <w:pStyle w:val="Tabla"/>
            </w:pPr>
            <w:r>
              <w:t xml:space="preserve">1.1</w:t>
            </w:r>
          </w:p>
        </w:tc>
      </w:tr>
      <w:tr>
        <w:trPr>
          <w:cantSplit/>
          <w:tblHeader w:val="off"/>
        </w:trPr>
        <w:tc>
          <w:tcPr>
            <w:tcW w:type="dxa" w:w="3212"/>
            <w:tcMar>
              <w:top w:type="dxa" w:w="80"/>
              <w:left w:type="dxa" w:w="100"/>
              <w:bottom w:type="dxa" w:w="80"/>
              <w:right w:type="dxa" w:w="100"/>
            </w:tcMar>
          </w:tcPr>
          <w:p>
            <w:pPr>
              <w:pStyle w:val="Tabla"/>
            </w:pPr>
            <w:r>
              <w:t xml:space="preserve">Willis Harmon</w:t>
            </w:r>
          </w:p>
        </w:tc>
        <w:tc>
          <w:tcPr>
            <w:tcW w:type="dxa" w:w="3210"/>
            <w:tcMar>
              <w:top w:type="dxa" w:w="80"/>
              <w:left w:type="dxa" w:w="100"/>
              <w:bottom w:type="dxa" w:w="80"/>
              <w:right w:type="dxa" w:w="100"/>
            </w:tcMar>
          </w:tcPr>
          <w:p>
            <w:pPr>
              <w:pStyle w:val="Tabla"/>
            </w:pPr>
            <w:r>
              <w:t xml:space="preserve">Definición de paradigma en «Guía incompleta para el futuro» (grafía de la lámina).</w:t>
            </w:r>
          </w:p>
        </w:tc>
        <w:tc>
          <w:tcPr>
            <w:tcW w:type="dxa" w:w="3210"/>
            <w:tcMar>
              <w:top w:type="dxa" w:w="80"/>
              <w:left w:type="dxa" w:w="100"/>
              <w:bottom w:type="dxa" w:w="80"/>
              <w:right w:type="dxa" w:w="100"/>
            </w:tcMar>
          </w:tcPr>
          <w:p>
            <w:pPr>
              <w:pStyle w:val="Tabla"/>
            </w:pPr>
            <w:r>
              <w:t xml:space="preserve">1.1</w:t>
            </w:r>
          </w:p>
        </w:tc>
      </w:tr>
      <w:tr>
        <w:trPr>
          <w:cantSplit/>
          <w:tblHeader w:val="off"/>
        </w:trPr>
        <w:tc>
          <w:tcPr>
            <w:tcW w:type="dxa" w:w="3212"/>
            <w:tcMar>
              <w:top w:type="dxa" w:w="80"/>
              <w:left w:type="dxa" w:w="100"/>
              <w:bottom w:type="dxa" w:w="80"/>
              <w:right w:type="dxa" w:w="100"/>
            </w:tcMar>
          </w:tcPr>
          <w:p>
            <w:pPr>
              <w:pStyle w:val="Tabla"/>
            </w:pPr>
            <w:r>
              <w:t xml:space="preserve">Chris Argyris</w:t>
            </w:r>
          </w:p>
        </w:tc>
        <w:tc>
          <w:tcPr>
            <w:tcW w:type="dxa" w:w="3210"/>
            <w:tcMar>
              <w:top w:type="dxa" w:w="80"/>
              <w:left w:type="dxa" w:w="100"/>
              <w:bottom w:type="dxa" w:w="80"/>
              <w:right w:type="dxa" w:w="100"/>
            </w:tcMar>
          </w:tcPr>
          <w:p>
            <w:pPr>
              <w:pStyle w:val="Tabla"/>
            </w:pPr>
            <w:r>
              <w:t xml:space="preserve">La escalera de inferencias y la columna de la mano izquierda.</w:t>
            </w:r>
          </w:p>
        </w:tc>
        <w:tc>
          <w:tcPr>
            <w:tcW w:type="dxa" w:w="3210"/>
            <w:tcMar>
              <w:top w:type="dxa" w:w="80"/>
              <w:left w:type="dxa" w:w="100"/>
              <w:bottom w:type="dxa" w:w="80"/>
              <w:right w:type="dxa" w:w="100"/>
            </w:tcMar>
          </w:tcPr>
          <w:p>
            <w:pPr>
              <w:pStyle w:val="Tabla"/>
            </w:pPr>
            <w:r>
              <w:t xml:space="preserve">1.2</w:t>
            </w:r>
          </w:p>
        </w:tc>
      </w:tr>
      <w:tr>
        <w:trPr>
          <w:cantSplit/>
          <w:tblHeader w:val="off"/>
        </w:trPr>
        <w:tc>
          <w:tcPr>
            <w:tcW w:type="dxa" w:w="3212"/>
            <w:tcMar>
              <w:top w:type="dxa" w:w="80"/>
              <w:left w:type="dxa" w:w="100"/>
              <w:bottom w:type="dxa" w:w="80"/>
              <w:right w:type="dxa" w:w="100"/>
            </w:tcMar>
          </w:tcPr>
          <w:p>
            <w:pPr>
              <w:pStyle w:val="Tabla"/>
            </w:pPr>
            <w:r>
              <w:t xml:space="preserve">Peter Senge y Fredy Kofman</w:t>
            </w:r>
          </w:p>
        </w:tc>
        <w:tc>
          <w:tcPr>
            <w:tcW w:type="dxa" w:w="3210"/>
            <w:tcMar>
              <w:top w:type="dxa" w:w="80"/>
              <w:left w:type="dxa" w:w="100"/>
              <w:bottom w:type="dxa" w:w="80"/>
              <w:right w:type="dxa" w:w="100"/>
            </w:tcMar>
          </w:tcPr>
          <w:p>
            <w:pPr>
              <w:pStyle w:val="Tabla"/>
            </w:pPr>
            <w:r>
              <w:t xml:space="preserve">Difundieron la escalera; el caso Acme de los cuatro niveles.</w:t>
            </w:r>
          </w:p>
        </w:tc>
        <w:tc>
          <w:tcPr>
            <w:tcW w:type="dxa" w:w="3210"/>
            <w:tcMar>
              <w:top w:type="dxa" w:w="80"/>
              <w:left w:type="dxa" w:w="100"/>
              <w:bottom w:type="dxa" w:w="80"/>
              <w:right w:type="dxa" w:w="100"/>
            </w:tcMar>
          </w:tcPr>
          <w:p>
            <w:pPr>
              <w:pStyle w:val="Tabla"/>
            </w:pPr>
            <w:r>
              <w:t xml:space="preserve">1.2 · 1.7</w:t>
            </w:r>
          </w:p>
        </w:tc>
      </w:tr>
      <w:tr>
        <w:trPr>
          <w:cantSplit/>
          <w:tblHeader w:val="off"/>
        </w:trPr>
        <w:tc>
          <w:tcPr>
            <w:tcW w:type="dxa" w:w="3212"/>
            <w:tcMar>
              <w:top w:type="dxa" w:w="80"/>
              <w:left w:type="dxa" w:w="100"/>
              <w:bottom w:type="dxa" w:w="80"/>
              <w:right w:type="dxa" w:w="100"/>
            </w:tcMar>
          </w:tcPr>
          <w:p>
            <w:pPr>
              <w:pStyle w:val="Tabla"/>
            </w:pPr>
            <w:r>
              <w:t xml:space="preserve">Joseph O'Connor e Ian McDermott</w:t>
            </w:r>
          </w:p>
        </w:tc>
        <w:tc>
          <w:tcPr>
            <w:tcW w:type="dxa" w:w="3210"/>
            <w:tcMar>
              <w:top w:type="dxa" w:w="80"/>
              <w:left w:type="dxa" w:w="100"/>
              <w:bottom w:type="dxa" w:w="80"/>
              <w:right w:type="dxa" w:w="100"/>
            </w:tcMar>
          </w:tcPr>
          <w:p>
            <w:pPr>
              <w:pStyle w:val="Tabla"/>
            </w:pPr>
            <w:r>
              <w:t xml:space="preserve">Las cuatro operaciones mentales: eliminación, construcción, distorsión y generalización.</w:t>
            </w:r>
          </w:p>
        </w:tc>
        <w:tc>
          <w:tcPr>
            <w:tcW w:type="dxa" w:w="3210"/>
            <w:tcMar>
              <w:top w:type="dxa" w:w="80"/>
              <w:left w:type="dxa" w:w="100"/>
              <w:bottom w:type="dxa" w:w="80"/>
              <w:right w:type="dxa" w:w="100"/>
            </w:tcMar>
          </w:tcPr>
          <w:p>
            <w:pPr>
              <w:pStyle w:val="Tabla"/>
            </w:pPr>
            <w:r>
              <w:t xml:space="preserve">1.2</w:t>
            </w:r>
          </w:p>
        </w:tc>
      </w:tr>
      <w:tr>
        <w:trPr>
          <w:cantSplit/>
          <w:tblHeader w:val="off"/>
        </w:trPr>
        <w:tc>
          <w:tcPr>
            <w:tcW w:type="dxa" w:w="3212"/>
            <w:tcMar>
              <w:top w:type="dxa" w:w="80"/>
              <w:left w:type="dxa" w:w="100"/>
              <w:bottom w:type="dxa" w:w="80"/>
              <w:right w:type="dxa" w:w="100"/>
            </w:tcMar>
          </w:tcPr>
          <w:p>
            <w:pPr>
              <w:pStyle w:val="Tabla"/>
            </w:pPr>
            <w:r>
              <w:t xml:space="preserve">Peter Checkland</w:t>
            </w:r>
          </w:p>
        </w:tc>
        <w:tc>
          <w:tcPr>
            <w:tcW w:type="dxa" w:w="3210"/>
            <w:tcMar>
              <w:top w:type="dxa" w:w="80"/>
              <w:left w:type="dxa" w:w="100"/>
              <w:bottom w:type="dxa" w:w="80"/>
              <w:right w:type="dxa" w:w="100"/>
            </w:tcMar>
          </w:tcPr>
          <w:p>
            <w:pPr>
              <w:pStyle w:val="Tabla"/>
            </w:pPr>
            <w:r>
              <w:t xml:space="preserve">El mapa del universo en cuatro familias de sistemas; la Weltanschauung.</w:t>
            </w:r>
          </w:p>
        </w:tc>
        <w:tc>
          <w:tcPr>
            <w:tcW w:type="dxa" w:w="3210"/>
            <w:tcMar>
              <w:top w:type="dxa" w:w="80"/>
              <w:left w:type="dxa" w:w="100"/>
              <w:bottom w:type="dxa" w:w="80"/>
              <w:right w:type="dxa" w:w="100"/>
            </w:tcMar>
          </w:tcPr>
          <w:p>
            <w:pPr>
              <w:pStyle w:val="Tabla"/>
            </w:pPr>
            <w:r>
              <w:t xml:space="preserve">2.7</w:t>
            </w:r>
          </w:p>
        </w:tc>
      </w:tr>
      <w:tr>
        <w:trPr>
          <w:cantSplit/>
          <w:tblHeader w:val="off"/>
        </w:trPr>
        <w:tc>
          <w:tcPr>
            <w:tcW w:type="dxa" w:w="3212"/>
            <w:tcMar>
              <w:top w:type="dxa" w:w="80"/>
              <w:left w:type="dxa" w:w="100"/>
              <w:bottom w:type="dxa" w:w="80"/>
              <w:right w:type="dxa" w:w="100"/>
            </w:tcMar>
          </w:tcPr>
          <w:p>
            <w:pPr>
              <w:pStyle w:val="Tabla"/>
            </w:pPr>
            <w:r>
              <w:t xml:space="preserve">Ludwig von Bertalanffy</w:t>
            </w:r>
          </w:p>
        </w:tc>
        <w:tc>
          <w:tcPr>
            <w:tcW w:type="dxa" w:w="3210"/>
            <w:tcMar>
              <w:top w:type="dxa" w:w="80"/>
              <w:left w:type="dxa" w:w="100"/>
              <w:bottom w:type="dxa" w:w="80"/>
              <w:right w:type="dxa" w:w="100"/>
            </w:tcMar>
          </w:tcPr>
          <w:p>
            <w:pPr>
              <w:pStyle w:val="Tabla"/>
            </w:pPr>
            <w:r>
              <w:t xml:space="preserve">Fundó la Teoría General de Sistemas; el organismo como sistema abierto, los isomorfismos y la equifinalidad.</w:t>
            </w:r>
          </w:p>
        </w:tc>
        <w:tc>
          <w:tcPr>
            <w:tcW w:type="dxa" w:w="3210"/>
            <w:tcMar>
              <w:top w:type="dxa" w:w="80"/>
              <w:left w:type="dxa" w:w="100"/>
              <w:bottom w:type="dxa" w:w="80"/>
              <w:right w:type="dxa" w:w="100"/>
            </w:tcMar>
          </w:tcPr>
          <w:p>
            <w:pPr>
              <w:pStyle w:val="Tabla"/>
            </w:pPr>
            <w:r>
              <w:t xml:space="preserve">2.1 · 2.8</w:t>
            </w:r>
          </w:p>
        </w:tc>
      </w:tr>
      <w:tr>
        <w:trPr>
          <w:cantSplit/>
          <w:tblHeader w:val="off"/>
        </w:trPr>
        <w:tc>
          <w:tcPr>
            <w:tcW w:type="dxa" w:w="3212"/>
            <w:tcMar>
              <w:top w:type="dxa" w:w="80"/>
              <w:left w:type="dxa" w:w="100"/>
              <w:bottom w:type="dxa" w:w="80"/>
              <w:right w:type="dxa" w:w="100"/>
            </w:tcMar>
          </w:tcPr>
          <w:p>
            <w:pPr>
              <w:pStyle w:val="Tabla"/>
            </w:pPr>
            <w:r>
              <w:t xml:space="preserve">Walter Cannon</w:t>
            </w:r>
          </w:p>
        </w:tc>
        <w:tc>
          <w:tcPr>
            <w:tcW w:type="dxa" w:w="3210"/>
            <w:tcMar>
              <w:top w:type="dxa" w:w="80"/>
              <w:left w:type="dxa" w:w="100"/>
              <w:bottom w:type="dxa" w:w="80"/>
              <w:right w:type="dxa" w:w="100"/>
            </w:tcMar>
          </w:tcPr>
          <w:p>
            <w:pPr>
              <w:pStyle w:val="Tabla"/>
            </w:pPr>
            <w:r>
              <w:t xml:space="preserve">Acuñó homeostasis (1929), sobre el «medio interno» de Claude Bernard.</w:t>
            </w:r>
          </w:p>
        </w:tc>
        <w:tc>
          <w:tcPr>
            <w:tcW w:type="dxa" w:w="3210"/>
            <w:tcMar>
              <w:top w:type="dxa" w:w="80"/>
              <w:left w:type="dxa" w:w="100"/>
              <w:bottom w:type="dxa" w:w="80"/>
              <w:right w:type="dxa" w:w="100"/>
            </w:tcMar>
          </w:tcPr>
          <w:p>
            <w:pPr>
              <w:pStyle w:val="Tabla"/>
            </w:pPr>
            <w:r>
              <w:t xml:space="preserve">2.8</w:t>
            </w:r>
          </w:p>
        </w:tc>
      </w:tr>
      <w:tr>
        <w:trPr>
          <w:cantSplit/>
          <w:tblHeader w:val="off"/>
        </w:trPr>
        <w:tc>
          <w:tcPr>
            <w:tcW w:type="dxa" w:w="3212"/>
            <w:tcMar>
              <w:top w:type="dxa" w:w="80"/>
              <w:left w:type="dxa" w:w="100"/>
              <w:bottom w:type="dxa" w:w="80"/>
              <w:right w:type="dxa" w:w="100"/>
            </w:tcMar>
          </w:tcPr>
          <w:p>
            <w:pPr>
              <w:pStyle w:val="Tabla"/>
            </w:pPr>
            <w:r>
              <w:t xml:space="preserve">Schrödinger y Brillouin</w:t>
            </w:r>
          </w:p>
        </w:tc>
        <w:tc>
          <w:tcPr>
            <w:tcW w:type="dxa" w:w="3210"/>
            <w:tcMar>
              <w:top w:type="dxa" w:w="80"/>
              <w:left w:type="dxa" w:w="100"/>
              <w:bottom w:type="dxa" w:w="80"/>
              <w:right w:type="dxa" w:w="100"/>
            </w:tcMar>
          </w:tcPr>
          <w:p>
            <w:pPr>
              <w:pStyle w:val="Tabla"/>
            </w:pPr>
            <w:r>
              <w:t xml:space="preserve">«Se alimenta de entropía negativa»; la acuñación del término neguentropía.</w:t>
            </w:r>
          </w:p>
        </w:tc>
        <w:tc>
          <w:tcPr>
            <w:tcW w:type="dxa" w:w="3210"/>
            <w:tcMar>
              <w:top w:type="dxa" w:w="80"/>
              <w:left w:type="dxa" w:w="100"/>
              <w:bottom w:type="dxa" w:w="80"/>
              <w:right w:type="dxa" w:w="100"/>
            </w:tcMar>
          </w:tcPr>
          <w:p>
            <w:pPr>
              <w:pStyle w:val="Tabla"/>
            </w:pPr>
            <w:r>
              <w:t xml:space="preserve">2.8</w:t>
            </w:r>
          </w:p>
        </w:tc>
      </w:tr>
      <w:tr>
        <w:trPr>
          <w:cantSplit/>
          <w:tblHeader w:val="off"/>
        </w:trPr>
        <w:tc>
          <w:tcPr>
            <w:tcW w:type="dxa" w:w="3212"/>
            <w:tcMar>
              <w:top w:type="dxa" w:w="80"/>
              <w:left w:type="dxa" w:w="100"/>
              <w:bottom w:type="dxa" w:w="80"/>
              <w:right w:type="dxa" w:w="100"/>
            </w:tcMar>
          </w:tcPr>
          <w:p>
            <w:pPr>
              <w:pStyle w:val="Tabla"/>
            </w:pPr>
            <w:r>
              <w:t xml:space="preserve">Norbert Wiener</w:t>
            </w:r>
          </w:p>
        </w:tc>
        <w:tc>
          <w:tcPr>
            <w:tcW w:type="dxa" w:w="3210"/>
            <w:tcMar>
              <w:top w:type="dxa" w:w="80"/>
              <w:left w:type="dxa" w:w="100"/>
              <w:bottom w:type="dxa" w:w="80"/>
              <w:right w:type="dxa" w:w="100"/>
            </w:tcMar>
          </w:tcPr>
          <w:p>
            <w:pPr>
              <w:pStyle w:val="Tabla"/>
            </w:pPr>
            <w:r>
              <w:t xml:space="preserve">Fundó la cibernética: retroalimentación y control.</w:t>
            </w:r>
          </w:p>
        </w:tc>
        <w:tc>
          <w:tcPr>
            <w:tcW w:type="dxa" w:w="3210"/>
            <w:tcMar>
              <w:top w:type="dxa" w:w="80"/>
              <w:left w:type="dxa" w:w="100"/>
              <w:bottom w:type="dxa" w:w="80"/>
              <w:right w:type="dxa" w:w="100"/>
            </w:tcMar>
          </w:tcPr>
          <w:p>
            <w:pPr>
              <w:pStyle w:val="Tabla"/>
            </w:pPr>
            <w:r>
              <w:t xml:space="preserve">2.8</w:t>
            </w:r>
          </w:p>
        </w:tc>
      </w:tr>
      <w:tr>
        <w:trPr>
          <w:cantSplit/>
          <w:tblHeader w:val="off"/>
        </w:trPr>
        <w:tc>
          <w:tcPr>
            <w:tcW w:type="dxa" w:w="3212"/>
            <w:tcMar>
              <w:top w:type="dxa" w:w="80"/>
              <w:left w:type="dxa" w:w="100"/>
              <w:bottom w:type="dxa" w:w="80"/>
              <w:right w:type="dxa" w:w="100"/>
            </w:tcMar>
          </w:tcPr>
          <w:p>
            <w:pPr>
              <w:pStyle w:val="Tabla"/>
            </w:pPr>
            <w:r>
              <w:t xml:space="preserve">W. Ross Ashby</w:t>
            </w:r>
          </w:p>
        </w:tc>
        <w:tc>
          <w:tcPr>
            <w:tcW w:type="dxa" w:w="3210"/>
            <w:tcMar>
              <w:top w:type="dxa" w:w="80"/>
              <w:left w:type="dxa" w:w="100"/>
              <w:bottom w:type="dxa" w:w="80"/>
              <w:right w:type="dxa" w:w="100"/>
            </w:tcMar>
          </w:tcPr>
          <w:p>
            <w:pPr>
              <w:pStyle w:val="Tabla"/>
            </w:pPr>
            <w:r>
              <w:t xml:space="preserve">La ley de la variedad requerida. Ampliación bibliográfica: no se dictó.</w:t>
            </w:r>
          </w:p>
        </w:tc>
        <w:tc>
          <w:tcPr>
            <w:tcW w:type="dxa" w:w="3210"/>
            <w:tcMar>
              <w:top w:type="dxa" w:w="80"/>
              <w:left w:type="dxa" w:w="100"/>
              <w:bottom w:type="dxa" w:w="80"/>
              <w:right w:type="dxa" w:w="100"/>
            </w:tcMar>
          </w:tcPr>
          <w:p>
            <w:pPr>
              <w:pStyle w:val="Tabla"/>
            </w:pPr>
            <w:r>
              <w:t xml:space="preserve">2.8</w:t>
            </w:r>
          </w:p>
        </w:tc>
      </w:tr>
      <w:tr>
        <w:trPr>
          <w:cantSplit/>
          <w:tblHeader w:val="off"/>
        </w:trPr>
        <w:tc>
          <w:tcPr>
            <w:tcW w:type="dxa" w:w="3212"/>
            <w:tcMar>
              <w:top w:type="dxa" w:w="80"/>
              <w:left w:type="dxa" w:w="100"/>
              <w:bottom w:type="dxa" w:w="80"/>
              <w:right w:type="dxa" w:w="100"/>
            </w:tcMar>
          </w:tcPr>
          <w:p>
            <w:pPr>
              <w:pStyle w:val="Tabla"/>
            </w:pPr>
            <w:r>
              <w:t xml:space="preserve">Arthur Koestler</w:t>
            </w:r>
          </w:p>
        </w:tc>
        <w:tc>
          <w:tcPr>
            <w:tcW w:type="dxa" w:w="3210"/>
            <w:tcMar>
              <w:top w:type="dxa" w:w="80"/>
              <w:left w:type="dxa" w:w="100"/>
              <w:bottom w:type="dxa" w:w="80"/>
              <w:right w:type="dxa" w:w="100"/>
            </w:tcMar>
          </w:tcPr>
          <w:p>
            <w:pPr>
              <w:pStyle w:val="Tabla"/>
            </w:pPr>
            <w:r>
              <w:t xml:space="preserve">Holón y holarquía: lo que es todo y parte a la vez.</w:t>
            </w:r>
          </w:p>
        </w:tc>
        <w:tc>
          <w:tcPr>
            <w:tcW w:type="dxa" w:w="3210"/>
            <w:tcMar>
              <w:top w:type="dxa" w:w="80"/>
              <w:left w:type="dxa" w:w="100"/>
              <w:bottom w:type="dxa" w:w="80"/>
              <w:right w:type="dxa" w:w="100"/>
            </w:tcMar>
          </w:tcPr>
          <w:p>
            <w:pPr>
              <w:pStyle w:val="Tabla"/>
            </w:pPr>
            <w:r>
              <w:t xml:space="preserve">2.4</w:t>
            </w:r>
          </w:p>
        </w:tc>
      </w:tr>
      <w:tr>
        <w:trPr>
          <w:cantSplit/>
          <w:tblHeader w:val="off"/>
        </w:trPr>
        <w:tc>
          <w:tcPr>
            <w:tcW w:type="dxa" w:w="3212"/>
            <w:tcMar>
              <w:top w:type="dxa" w:w="80"/>
              <w:left w:type="dxa" w:w="100"/>
              <w:bottom w:type="dxa" w:w="80"/>
              <w:right w:type="dxa" w:w="100"/>
            </w:tcMar>
          </w:tcPr>
          <w:p>
            <w:pPr>
              <w:pStyle w:val="Tabla"/>
            </w:pPr>
            <w:r>
              <w:t xml:space="preserve">Kenneth Boulding</w:t>
            </w:r>
          </w:p>
        </w:tc>
        <w:tc>
          <w:tcPr>
            <w:tcW w:type="dxa" w:w="3210"/>
            <w:tcMar>
              <w:top w:type="dxa" w:w="80"/>
              <w:left w:type="dxa" w:w="100"/>
              <w:bottom w:type="dxa" w:w="80"/>
              <w:right w:type="dxa" w:w="100"/>
            </w:tcMar>
          </w:tcPr>
          <w:p>
            <w:pPr>
              <w:pStyle w:val="Tabla"/>
            </w:pPr>
            <w:r>
              <w:t xml:space="preserve">Una jerarquía de sistemas por grado de complejidad. Se menciona; sus niveles no se enumeraron en clase.</w:t>
            </w:r>
          </w:p>
        </w:tc>
        <w:tc>
          <w:tcPr>
            <w:tcW w:type="dxa" w:w="3210"/>
            <w:tcMar>
              <w:top w:type="dxa" w:w="80"/>
              <w:left w:type="dxa" w:w="100"/>
              <w:bottom w:type="dxa" w:w="80"/>
              <w:right w:type="dxa" w:w="100"/>
            </w:tcMar>
          </w:tcPr>
          <w:p>
            <w:pPr>
              <w:pStyle w:val="Tabla"/>
            </w:pPr>
            <w:r>
              <w:t xml:space="preserve">2.4</w:t>
            </w:r>
          </w:p>
        </w:tc>
      </w:tr>
      <w:tr>
        <w:trPr>
          <w:cantSplit/>
          <w:tblHeader w:val="off"/>
        </w:trPr>
        <w:tc>
          <w:tcPr>
            <w:tcW w:type="dxa" w:w="3212"/>
            <w:tcMar>
              <w:top w:type="dxa" w:w="80"/>
              <w:left w:type="dxa" w:w="100"/>
              <w:bottom w:type="dxa" w:w="80"/>
              <w:right w:type="dxa" w:w="100"/>
            </w:tcMar>
          </w:tcPr>
          <w:p>
            <w:pPr>
              <w:pStyle w:val="Tabla"/>
            </w:pPr>
            <w:r>
              <w:t xml:space="preserve">Donella Meadows</w:t>
            </w:r>
          </w:p>
        </w:tc>
        <w:tc>
          <w:tcPr>
            <w:tcW w:type="dxa" w:w="3210"/>
            <w:tcMar>
              <w:top w:type="dxa" w:w="80"/>
              <w:left w:type="dxa" w:w="100"/>
              <w:bottom w:type="dxa" w:w="80"/>
              <w:right w:type="dxa" w:w="100"/>
            </w:tcMar>
          </w:tcPr>
          <w:p>
            <w:pPr>
              <w:pStyle w:val="Tabla"/>
            </w:pPr>
            <w:r>
              <w:t xml:space="preserve">Elementos, interconexiones y función o propósito. Complemento bibliográfico: para el examen manda la lámina.</w:t>
            </w:r>
          </w:p>
        </w:tc>
        <w:tc>
          <w:tcPr>
            <w:tcW w:type="dxa" w:w="3210"/>
            <w:tcMar>
              <w:top w:type="dxa" w:w="80"/>
              <w:left w:type="dxa" w:w="100"/>
              <w:bottom w:type="dxa" w:w="80"/>
              <w:right w:type="dxa" w:w="100"/>
            </w:tcMar>
          </w:tcPr>
          <w:p>
            <w:pPr>
              <w:pStyle w:val="Tabla"/>
            </w:pPr>
            <w:r>
              <w:t xml:space="preserve">2.2</w:t>
            </w:r>
          </w:p>
        </w:tc>
      </w:tr>
      <w:tr>
        <w:trPr>
          <w:cantSplit/>
          <w:tblHeader w:val="off"/>
        </w:trPr>
        <w:tc>
          <w:tcPr>
            <w:tcW w:type="dxa" w:w="3212"/>
            <w:tcMar>
              <w:top w:type="dxa" w:w="80"/>
              <w:left w:type="dxa" w:w="100"/>
              <w:bottom w:type="dxa" w:w="80"/>
              <w:right w:type="dxa" w:w="100"/>
            </w:tcMar>
          </w:tcPr>
          <w:p>
            <w:pPr>
              <w:pStyle w:val="Tabla"/>
            </w:pPr>
            <w:r>
              <w:t xml:space="preserve">Waters Center (Benson y Marlin)</w:t>
            </w:r>
          </w:p>
        </w:tc>
        <w:tc>
          <w:tcPr>
            <w:tcW w:type="dxa" w:w="3210"/>
            <w:tcMar>
              <w:top w:type="dxa" w:w="80"/>
              <w:left w:type="dxa" w:w="100"/>
              <w:bottom w:type="dxa" w:w="80"/>
              <w:right w:type="dxa" w:w="100"/>
            </w:tcMar>
          </w:tcPr>
          <w:p>
            <w:pPr>
              <w:pStyle w:val="Tabla"/>
            </w:pPr>
            <w:r>
              <w:t xml:space="preserve">Los quince cursos y catorce hábitos del pensador sistémico.</w:t>
            </w:r>
          </w:p>
        </w:tc>
        <w:tc>
          <w:tcPr>
            <w:tcW w:type="dxa" w:w="3210"/>
            <w:tcMar>
              <w:top w:type="dxa" w:w="80"/>
              <w:left w:type="dxa" w:w="100"/>
              <w:bottom w:type="dxa" w:w="80"/>
              <w:right w:type="dxa" w:w="100"/>
            </w:tcMar>
          </w:tcPr>
          <w:p>
            <w:pPr>
              <w:pStyle w:val="Tabla"/>
            </w:pPr>
            <w:r>
              <w:t xml:space="preserve">1.8 · 2.9</w:t>
            </w:r>
          </w:p>
        </w:tc>
      </w:tr>
      <w:tr>
        <w:trPr>
          <w:cantSplit/>
          <w:tblHeader w:val="off"/>
        </w:trPr>
        <w:tc>
          <w:tcPr>
            <w:tcW w:type="dxa" w:w="3212"/>
            <w:tcMar>
              <w:top w:type="dxa" w:w="80"/>
              <w:left w:type="dxa" w:w="100"/>
              <w:bottom w:type="dxa" w:w="80"/>
              <w:right w:type="dxa" w:w="100"/>
            </w:tcMar>
          </w:tcPr>
          <w:p>
            <w:pPr>
              <w:pStyle w:val="Tabla"/>
            </w:pPr>
            <w:r>
              <w:t xml:space="preserve">Guadalupe Nogués</w:t>
            </w:r>
          </w:p>
        </w:tc>
        <w:tc>
          <w:tcPr>
            <w:tcW w:type="dxa" w:w="3210"/>
            <w:tcMar>
              <w:top w:type="dxa" w:w="80"/>
              <w:left w:type="dxa" w:w="100"/>
              <w:bottom w:type="dxa" w:w="80"/>
              <w:right w:type="dxa" w:w="100"/>
            </w:tcMar>
          </w:tcPr>
          <w:p>
            <w:pPr>
              <w:pStyle w:val="Tabla"/>
            </w:pPr>
            <w:r>
              <w:t xml:space="preserve">Pluralismo, aprender a escuchar y separar las ideas de las personas.</w:t>
            </w:r>
          </w:p>
        </w:tc>
        <w:tc>
          <w:tcPr>
            <w:tcW w:type="dxa" w:w="3210"/>
            <w:tcMar>
              <w:top w:type="dxa" w:w="80"/>
              <w:left w:type="dxa" w:w="100"/>
              <w:bottom w:type="dxa" w:w="80"/>
              <w:right w:type="dxa" w:w="100"/>
            </w:tcMar>
          </w:tcPr>
          <w:p>
            <w:pPr>
              <w:pStyle w:val="Tabla"/>
            </w:pPr>
            <w:r>
              <w:t xml:space="preserve">1.5</w:t>
            </w:r>
          </w:p>
        </w:tc>
      </w:tr>
    </w:tbl>
    <w:p>
      <w:pPr>
        <w:pStyle w:val="Fuente"/>
      </w:pPr>
      <w:r>
        <w:t xml:space="preserve">Única tabla redactada por el portal: reúne atribuciones repartidas entre lecciones. Ackoff, Churchman y los nueve niveles de Boulding no son materia de este curso; no los cite.</w:t>
      </w:r>
    </w:p>
    <w:p>
      <w:pPr>
        <w:pStyle w:val="Heading3"/>
      </w:pPr>
      <w:r>
        <w:t xml:space="preserve">Lo que dicen las presentaciones</w:t>
      </w:r>
    </w:p>
    <w:p>
      <w:pPr>
        <w:pStyle w:val="Heading3"/>
      </w:pPr>
      <w:bookmarkStart w:name="b_pagina_2_7_C_6_p55" w:id="1832"/>
      <w:r>
        <w:t xml:space="preserve">C-6 · página 55 · Premisa del pensamiento sistémico</w:t>
      </w:r>
      <w:bookmarkEnd w:id="1832"/>
    </w:p>
    <w:p>
      <w:pPr>
        <w:pStyle w:val="Normal"/>
      </w:pPr>
      <w:r>
        <w:t xml:space="preserve">Ver el universo como sistemas sirve para estructurar problemas y contexto, con tres aclaraciones metodológicas.</w:t>
      </w:r>
    </w:p>
    <w:p>
      <w:pPr>
        <w:pStyle w:val="Fuente"/>
      </w:pPr>
      <w:r>
        <w:t xml:space="preserve">Proyección o explicación: Clase 8 · 01:19:48 · captura c8-21.</w:t>
      </w:r>
    </w:p>
    <w:p>
      <w:pPr>
        <w:pStyle w:val="Fuente"/>
      </w:pPr>
      <w:r>
        <w:t xml:space="preserve">Véase </w:t>
      </w:r>
      <w:hyperlink w:history="1" w:anchor="b_figura_original_pagina_C_6_55">
        <w:r>
          <w:rPr>
            <w:color w:val="156B70"/>
            <w:u w:val="single"/>
          </w:rPr>
          <w:t xml:space="preserve">imagen de C-6, página 55</w:t>
        </w:r>
      </w:hyperlink>
      <w:r>
        <w:t xml:space="preserve">, pág. </w:t>
      </w:r>
      <w:r>
        <w:fldChar w:fldCharType="begin"/>
        <w:instrText xml:space="preserve">PAGEREF b_figura_original_pagina_C_6_55 \h</w:instrText>
        <w:fldChar w:fldCharType="separate"/>
        <w:t xml:space="preserve">90</w:t>
        <w:fldChar w:fldCharType="end"/>
      </w:r>
      <w:r>
        <w:t xml:space="preserve">.</w:t>
      </w:r>
    </w:p>
    <w:p>
      <w:bookmarkStart w:name="b_punto_c6_p055_02" w:id="1833"/>
      <w:r>
        <w:t xml:space="preserve">Con objetivos definibles se intenta ingeniar el sistema; si no, el enfoque sirve como marco de debate sobre problemas relevantes.</w:t>
      </w:r>
      <w:bookmarkEnd w:id="1833"/>
    </w:p>
    <w:p>
      <w:bookmarkStart w:name="b_punto_c6_p055_03" w:id="1834"/>
      <w:r>
        <w:t xml:space="preserve">Los problemas multifacéticos se definen sin distorsionar ni sobresimplificar, preguntando en qué sistemas/subsistemas están y cómo ingeniarlos.</w:t>
      </w:r>
      <w:bookmarkEnd w:id="1834"/>
    </w:p>
    <w:p>
      <w:bookmarkStart w:name="b_punto_c6_p055_05" w:id="1835"/>
      <w:r>
        <w:t xml:space="preserve">El concepto general de sistema organiza el contexto para modelos específicos y se presenta como más poderoso que un modelo aislado.</w:t>
      </w:r>
      <w:bookmarkEnd w:id="1835"/>
    </w:p>
    <w:p>
      <w:bookmarkStart w:name="b_punto_c6_p055_07" w:id="1836"/>
      <w:r>
        <w:t xml:space="preserve">El mapa sistémico representa sistemas cuyas combinaciones complejas forman una noción del mundo real.</w:t>
      </w:r>
      <w:bookmarkEnd w:id="1836"/>
    </w:p>
    <w:p>
      <w:pPr>
        <w:pStyle w:val="Fuente"/>
      </w:pPr>
      <w:r>
        <w:t xml:space="preserve">Véase </w:t>
      </w:r>
      <w:hyperlink w:history="1" w:anchor="b_1_3">
        <w:r>
          <w:rPr>
            <w:color w:val="156B70"/>
            <w:u w:val="single"/>
          </w:rPr>
          <w:t xml:space="preserve">capítulo 1.3 · El paradigma de sistemas</w:t>
        </w:r>
      </w:hyperlink>
      <w:r>
        <w:t xml:space="preserve">, pág. </w:t>
      </w:r>
      <w:r>
        <w:fldChar w:fldCharType="begin"/>
        <w:instrText xml:space="preserve">PAGEREF b_1_3 \h</w:instrText>
        <w:fldChar w:fldCharType="separate"/>
        <w:t xml:space="preserve">83</w:t>
        <w:fldChar w:fldCharType="end"/>
      </w:r>
      <w:r>
        <w:t xml:space="preserve">.</w:t>
      </w:r>
    </w:p>
    <w:p>
      <w:pPr>
        <w:pStyle w:val="Heading3"/>
      </w:pPr>
      <w:bookmarkStart w:name="b_pagina_2_7_C_6_p56" w:id="1837"/>
      <w:r>
        <w:t xml:space="preserve">C-6 · página 56 · Mapa sistémico del universo</w:t>
      </w:r>
      <w:bookmarkEnd w:id="1837"/>
    </w:p>
    <w:p>
      <w:pPr>
        <w:pStyle w:val="Normal"/>
      </w:pPr>
      <w:r>
        <w:t xml:space="preserve">Cuatro tipos y tres orientaciones de Checkland: aprender de naturales, usar diseñados e ingeniar actividad humana.</w:t>
      </w:r>
    </w:p>
    <w:p>
      <w:pPr>
        <w:pStyle w:val="Fuente"/>
      </w:pPr>
      <w:r>
        <w:t xml:space="preserve">Proyección o explicación: Clase 8 · 01:26:33 · captura c8-22.</w:t>
      </w:r>
    </w:p>
    <w:p>
      <w:pPr>
        <w:keepNext/>
        <w:spacing w:after="40" w:before="150"/>
        <w:jc w:val="center"/>
      </w:pPr>
      <w:bookmarkStart w:name="b_figura_original_pagina_C_6_56" w:id="1838"/>
      <w:bookmarkEnd w:id="1838"/>
      <w:r>
        <w:drawing>
          <wp:inline distT="0" distB="0" distL="0" distR="0">
            <wp:extent cx="5381625" cy="4162425"/>
            <wp:effectExtent t="0" r="0" b="0" l="0"/>
            <wp:docPr id="46" name="pagina-C-6-56" descr="Presentación C-6, pág. 56" title="Mapa sistémico del univers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31" cstate="none"/>
                    <a:srcRect/>
                    <a:stretch>
                      <a:fillRect/>
                    </a:stretch>
                  </pic:blipFill>
                  <pic:spPr bwMode="auto">
                    <a:xfrm>
                      <a:off x="0" y="0"/>
                      <a:ext cx="5381625" cy="4162425"/>
                    </a:xfrm>
                    <a:prstGeom prst="rect">
                      <a:avLst/>
                    </a:prstGeom>
                  </pic:spPr>
                </pic:pic>
              </a:graphicData>
            </a:graphic>
          </wp:inline>
        </w:drawing>
      </w:r>
    </w:p>
    <w:p>
      <w:pPr>
        <w:pStyle w:val="PieFigura"/>
        <w:keepNext/>
      </w:pPr>
      <w:bookmarkStart w:name="b_fig_2_7_1" w:id="1839"/>
      <w:r>
        <w:t xml:space="preserve">Figura 2.7.</w:t>
      </w:r>
      <w:fldSimple w:instr="SEQ Figura \r 1 \* ARABIC">
        <w:r>
          <w:t xml:space="preserve">1</w:t>
        </w:r>
      </w:fldSimple>
      <w:r>
        <w:t xml:space="preserve"> · Mapa sistémico del universo</w:t>
      </w:r>
      <w:bookmarkEnd w:id="1839"/>
    </w:p>
    <w:p>
      <w:pPr>
        <w:pStyle w:val="Fuente"/>
      </w:pPr>
      <w:r>
        <w:t xml:space="preserve">Presentación C-6, pág. 56</w:t>
      </w:r>
    </w:p>
    <w:p>
      <w:bookmarkStart w:name="b_punto_c6_p056_01" w:id="1840"/>
      <w:r>
        <w:t xml:space="preserve">Los cuatro grupos son naturales, físicos diseñados, abstractos diseñados y actividad humana.</w:t>
      </w:r>
      <w:bookmarkEnd w:id="1840"/>
    </w:p>
    <w:p>
      <w:bookmarkStart w:name="b_punto_c6_p056_02" w:id="1841"/>
      <w:r>
        <w:t xml:space="preserve">Los naturales incluyen sistemas subatómicos, atómicos, moleculares, organismos, órganos, plantas y ecosistemas.</w:t>
      </w:r>
      <w:bookmarkEnd w:id="1841"/>
    </w:p>
    <w:p>
      <w:bookmarkStart w:name="b_punto_c6_p056_03" w:id="1842"/>
      <w:r>
        <w:t xml:space="preserve">Físicos diseñados: herramientas, máquinas, artefactos, equipos y sistemas mecanizados/automatizados.</w:t>
      </w:r>
      <w:bookmarkEnd w:id="1842"/>
    </w:p>
    <w:p>
      <w:bookmarkStart w:name="b_punto_c6_p056_04" w:id="1843"/>
      <w:r>
        <w:t xml:space="preserve">Abstractos diseñados: sistemas filosóficos y de conocimiento.</w:t>
      </w:r>
      <w:bookmarkEnd w:id="1843"/>
    </w:p>
    <w:p>
      <w:bookmarkStart w:name="b_punto_c6_p056_05" w:id="1844"/>
      <w:r>
        <w:t xml:space="preserve">Actividad humana: administración, planeación, información, monitoreo/control, manufactura y servicios.</w:t>
      </w:r>
      <w:bookmarkEnd w:id="1844"/>
    </w:p>
    <w:p>
      <w:bookmarkStart w:name="b_punto_c6_p056_06" w:id="1845"/>
      <w:r>
        <w:t xml:space="preserve">Los sistemas sociales y políticos locales, nacionales e internacionales se ubican en actividad humana.</w:t>
      </w:r>
      <w:bookmarkEnd w:id="1845"/>
    </w:p>
    <w:p>
      <w:bookmarkStart w:name="b_punto_c6_p056_07" w:id="1846"/>
      <w:r>
        <w:t xml:space="preserve">El dibujo admite sistemas hombre-máquina, hombre-animal-planta, agricultura, hogares y ciudades sin exigir categorías siempre excluyentes.</w:t>
      </w:r>
      <w:bookmarkEnd w:id="1846"/>
    </w:p>
    <w:p>
      <w:bookmarkStart w:name="b_punto_c6_p056_08" w:id="1847"/>
      <w:r>
        <w:t xml:space="preserve">Aprender de naturales, usar diseñados y buscar cómo ingeniar actividad humana son orientaciones prácticas.</w:t>
      </w:r>
      <w:bookmarkEnd w:id="1847"/>
    </w:p>
    <w:p>
      <w:pPr>
        <w:pStyle w:val="Heading3"/>
      </w:pPr>
      <w:r>
        <w:t xml:space="preserve">Lo que explicó el profesor en clase</w:t>
      </w:r>
    </w:p>
    <w:p>
      <w:pPr>
        <w:pStyle w:val="Heading3"/>
      </w:pPr>
      <w:bookmarkStart w:name="b_clase_2_7_c8_cap_08" w:id="1848"/>
      <w:r>
        <w:t xml:space="preserve">Clase 8 · 01:18:01–01:21:20 · Teoría del caos y efecto mariposa</w:t>
      </w:r>
      <w:bookmarkEnd w:id="1848"/>
    </w:p>
    <w:p>
      <w:bookmarkStart w:name="b_punto_c8_cap_08_p02" w:id="1849"/>
      <w:r>
        <w:t xml:space="preserve">La jerarquía sitúa sistemas sociales, ecológicos, humanos, biológicos, moleculares, planetarios y galácticos; la tecnología también interactúa con otros sistemas.</w:t>
      </w:r>
      <w:bookmarkEnd w:id="1849"/>
    </w:p>
    <w:p>
      <w:pPr>
        <w:pStyle w:val="Fuente"/>
      </w:pPr>
      <w:r>
        <w:t xml:space="preserve">Véase </w:t>
      </w:r>
      <w:hyperlink w:history="1" w:anchor="b_2_6">
        <w:r>
          <w:rPr>
            <w:color w:val="156B70"/>
            <w:u w:val="single"/>
          </w:rPr>
          <w:t xml:space="preserve">capítulo 2.6 · Complejidad sistémica</w:t>
        </w:r>
      </w:hyperlink>
      <w:r>
        <w:t xml:space="preserve">, pág. </w:t>
      </w:r>
      <w:r>
        <w:fldChar w:fldCharType="begin"/>
        <w:instrText xml:space="preserve">PAGEREF b_2_6 \h</w:instrText>
        <w:fldChar w:fldCharType="separate"/>
        <w:t xml:space="preserve">308</w:t>
        <w:fldChar w:fldCharType="end"/>
      </w:r>
      <w:r>
        <w:t xml:space="preserve">.</w:t>
      </w:r>
    </w:p>
    <w:p>
      <w:pPr>
        <w:pStyle w:val="Heading3"/>
      </w:pPr>
      <w:bookmarkStart w:name="b_clase_2_7_c8_cap_09" w:id="1850"/>
      <w:r>
        <w:t xml:space="preserve">Clase 8 · 01:21:22–01:30:35 · El universo como conjunto de sistemas y el mapa de Checkland</w:t>
      </w:r>
      <w:bookmarkEnd w:id="1850"/>
    </w:p>
    <w:p>
      <w:bookmarkStart w:name="b_punto_c8_cap_09_p02" w:id="1851"/>
      <w:r>
        <w:t xml:space="preserve">El universo como sistemas interactuando es una premisa del paradigma, no una descripción demostrada de su naturaleza última; se modela el subconjunto pertinente al problema u objetivo.</w:t>
      </w:r>
      <w:bookmarkEnd w:id="1851"/>
    </w:p>
    <w:p>
      <w:bookmarkStart w:name="b_punto_c8_cap_09_p03" w:id="1852"/>
      <w:r>
        <w:t xml:space="preserve">Se nombran sistemas dinámicos, estáticos, probabilísticos y trascendentales, sin definir esas categorías en la sesión.</w:t>
      </w:r>
      <w:bookmarkEnd w:id="1852"/>
    </w:p>
    <w:p>
      <w:bookmarkStart w:name="b_punto_c8_cap_09_p06" w:id="1853"/>
      <w:r>
        <w:t xml:space="preserve">Los físicos diseñados son herramientas tecnológicas creadas por personas: máquinas, computadoras, software, sistemas operativos, telefonía y automatización.</w:t>
      </w:r>
      <w:bookmarkEnd w:id="1853"/>
    </w:p>
    <w:p>
      <w:bookmarkStart w:name="b_punto_c8_cap_09_p07" w:id="1854"/>
      <w:r>
        <w:t xml:space="preserve">Los abstractos diseñados son herramientas conceptuales como paradigmas y modelos mentales de personas en sistemas de actividad humana.</w:t>
      </w:r>
      <w:bookmarkEnd w:id="1854"/>
    </w:p>
    <w:p>
      <w:bookmarkStart w:name="b_punto_c8_cap_09_p08" w:id="1855"/>
      <w:r>
        <w:t xml:space="preserve">De los naturales se aprende; el profesor ejemplifica con los intentos de replicar inteligencia humana en inteligencia artificial.</w:t>
      </w:r>
      <w:bookmarkEnd w:id="1855"/>
    </w:p>
    <w:p>
      <w:bookmarkStart w:name="b_punto_c8_cap_09_p10" w:id="1856"/>
      <w:r>
        <w:t xml:space="preserve">Los de actividad humana se buscan ingeniar para optimizar eficiencia y alcance respecto de sus objetivos.</w:t>
      </w:r>
      <w:bookmarkEnd w:id="1856"/>
    </w:p>
    <w:p>
      <w:pPr>
        <w:pStyle w:val="Fuente"/>
      </w:pPr>
      <w:r>
        <w:t xml:space="preserve">Véase </w:t>
      </w:r>
      <w:hyperlink w:history="1" w:anchor="b_1_3">
        <w:r>
          <w:rPr>
            <w:color w:val="156B70"/>
            <w:u w:val="single"/>
          </w:rPr>
          <w:t xml:space="preserve">capítulo 1.3 · El paradigma de sistemas</w:t>
        </w:r>
      </w:hyperlink>
      <w:r>
        <w:t xml:space="preserve">, pág. </w:t>
      </w:r>
      <w:r>
        <w:fldChar w:fldCharType="begin"/>
        <w:instrText xml:space="preserve">PAGEREF b_1_3 \h</w:instrText>
        <w:fldChar w:fldCharType="separate"/>
        <w:t xml:space="preserve">83</w:t>
        <w:fldChar w:fldCharType="end"/>
      </w:r>
      <w:r>
        <w:t xml:space="preserve">.</w:t>
      </w:r>
    </w:p>
    <w:p>
      <w:pPr>
        <w:pStyle w:val="Heading3"/>
      </w:pPr>
      <w:bookmarkStart w:name="b_clase_2_7_c8_cap_10" w:id="1857"/>
      <w:r>
        <w:t xml:space="preserve">Clase 8 · 01:30:37–01:32:20 · Dos tareas para la siguiente sesión</w:t>
      </w:r>
      <w:bookmarkEnd w:id="1857"/>
    </w:p>
    <w:p>
      <w:bookmarkStart w:name="b_punto_c8_cap_10_p01" w:id="1858"/>
      <w:r>
        <w:t xml:space="preserve">La investigación de caos y efecto mariposa se asigna como contexto, sin resolver esos conceptos en esta intervención.</w:t>
      </w:r>
      <w:bookmarkEnd w:id="1858"/>
    </w:p>
    <w:p>
      <w:bookmarkStart w:name="b_punto_c8_cap_10_p02" w:id="1859"/>
      <w:r>
        <w:t xml:space="preserve">Aplicación: identificar, nombrar y describir dos sistemas cercanos por cada categoría de Checkland.</w:t>
      </w:r>
      <w:bookmarkEnd w:id="1859"/>
    </w:p>
    <w:p>
      <w:pPr>
        <w:pStyle w:val="Heading3"/>
      </w:pPr>
      <w:bookmarkStart w:name="b_clase_2_7_c9_cap_02" w:id="1860"/>
      <w:r>
        <w:t xml:space="preserve">Clase 9 · 00:05:39–00:14:31 · Clasificación de Checkland: el mapa sistémico del universo</w:t>
      </w:r>
      <w:bookmarkEnd w:id="1860"/>
    </w:p>
    <w:p>
      <w:bookmarkStart w:name="b_punto_c9_cap_02_p01" w:id="1861"/>
      <w:r>
        <w:t xml:space="preserve">Con las definiciones de las categorías se justifica la clasificación de ejemplos concretos de la tarea.</w:t>
      </w:r>
      <w:bookmarkEnd w:id="1861"/>
    </w:p>
    <w:p>
      <w:bookmarkStart w:name="b_punto_c9_cap_02_p02" w:id="1862"/>
      <w:r>
        <w:t xml:space="preserve">Ejemplos naturales: bosque, sistema planetario o galáctico, ciclo del agua, cuerpo humano y sus subsistemas, animales y sus agrupaciones.</w:t>
      </w:r>
      <w:bookmarkEnd w:id="1862"/>
    </w:p>
    <w:p>
      <w:bookmarkStart w:name="b_punto_c9_cap_02_p03" w:id="1863"/>
      <w:r>
        <w:t xml:space="preserve">El zoológico es actividad humana aunque sus animales sean naturales: personas lo crean, ordenan, administran y alimentan a sus componentes.</w:t>
      </w:r>
      <w:bookmarkEnd w:id="1863"/>
    </w:p>
    <w:p>
      <w:bookmarkStart w:name="b_punto_c9_cap_02_p04" w:id="1864"/>
      <w:r>
        <w:t xml:space="preserve">Universidad, equipo de software, organización de eventos, Estado, hospital y equipos deportivos son actividad humana con personas y objetivos.</w:t>
      </w:r>
      <w:bookmarkEnd w:id="1864"/>
    </w:p>
    <w:p>
      <w:bookmarkStart w:name="b_punto_c9_cap_02_p05" w:id="1865"/>
      <w:r>
        <w:t xml:space="preserve">Los físicos diseñados son tecnologías de apoyo: computadoras, teléfonos, represas, generadores, motores, autos, robótica e inteligencia artificial.</w:t>
      </w:r>
      <w:bookmarkEnd w:id="1865"/>
    </w:p>
    <w:p>
      <w:bookmarkStart w:name="b_punto_c9_cap_02_p06" w:id="1866"/>
      <w:r>
        <w:t xml:space="preserve">Los abstractos diseñados incluyen creencias, opiniones, modelos mentales, sistemas matemáticos y lenguajes naturales y de programación.</w:t>
      </w:r>
      <w:bookmarkEnd w:id="1866"/>
    </w:p>
    <w:p>
      <w:bookmarkStart w:name="b_punto_c9_cap_02_p07" w:id="1867"/>
      <w:r>
        <w:t xml:space="preserve">La categoría orienta: usar los diseñados, ingeniar la actividad humana respecto de objetivos y aprender de los naturales aunque su objetivo no sea explícito.</w:t>
      </w:r>
      <w:bookmarkEnd w:id="1867"/>
    </w:p>
    <w:p>
      <w:pPr>
        <w:pStyle w:val="Heading3"/>
      </w:pPr>
      <w:bookmarkStart w:name="b_clase_2_7_c18_cap_03" w:id="1868"/>
      <w:r>
        <w:t xml:space="preserve">Clase 18 · 00:37:43–00:45:11 · Familias de sistemas y revisión presencial</w:t>
      </w:r>
      <w:bookmarkEnd w:id="1868"/>
    </w:p>
    <w:p>
      <w:bookmarkStart w:name="b_punto_c18_cap_03_p01" w:id="1869"/>
      <w:r>
        <w:t xml:space="preserve">La familia puede estudiarse como actividad humana y también como sistema natural bajo otra perspectiva compatible.</w:t>
      </w:r>
      <w:bookmarkEnd w:id="1869"/>
    </w:p>
    <w:p>
      <w:bookmarkStart w:name="b_punto_c18_cap_03_p02" w:id="1870"/>
      <w:r>
        <w:t xml:space="preserve">La agrupación y convivencia natural de humanos fundamenta la segunda lectura; no vuelve intercambiables todas las categorías de Checkland.</w:t>
      </w:r>
      <w:bookmarkEnd w:id="1870"/>
    </w:p>
    <w:p>
      <w:pPr>
        <w:pStyle w:val="Fuente"/>
      </w:pPr>
      <w:r>
        <w:t xml:space="preserve">Véase </w:t>
      </w:r>
      <w:hyperlink w:history="1" w:anchor="b_cita_clase_8_el_universo_como_d135ec90">
        <w:r>
          <w:rPr>
            <w:color w:val="156B70"/>
            <w:u w:val="single"/>
          </w:rPr>
          <w:t xml:space="preserve">cita de Clase 8 · 01:22:26</w:t>
        </w:r>
      </w:hyperlink>
      <w:r>
        <w:t xml:space="preserve">, pág. </w:t>
      </w:r>
      <w:r>
        <w:fldChar w:fldCharType="begin"/>
        <w:instrText xml:space="preserve">PAGEREF b_cita_clase_8_el_universo_como_d135ec90 \h</w:instrText>
        <w:fldChar w:fldCharType="separate"/>
        <w:t xml:space="preserve">96</w:t>
        <w:fldChar w:fldCharType="end"/>
      </w:r>
      <w:r>
        <w:t xml:space="preserve">.</w:t>
      </w:r>
    </w:p>
    <w:p>
      <w:pPr>
        <w:pStyle w:val="Heading3"/>
      </w:pPr>
      <w:bookmarkStart w:name="b_cita_clase_8_checkland_identi_4c298741" w:id="1871"/>
      <w:r>
        <w:t xml:space="preserve">Palabras del profesor</w:t>
      </w:r>
      <w:bookmarkEnd w:id="1871"/>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El profesor lo dijo así</w:t>
            </w:r>
          </w:p>
          <w:p>
            <w:pPr>
              <w:pStyle w:val="Recuadro"/>
            </w:pPr>
            <w:r>
              <w:t xml:space="preserve">«Peter Checkland buscó modelar el mundo como un mapa sistémico donde pudiera encajar cualquier sistema e identificó cuatro tipos de sistemas.»</w:t>
            </w:r>
          </w:p>
          <w:p>
            <w:pPr>
              <w:pStyle w:val="Recuadro"/>
            </w:pPr>
            <w:r>
              <w:t xml:space="preserve">Clase 8 · 01:26:02–01:27:04</w:t>
            </w:r>
          </w:p>
        </w:tc>
      </w:tr>
    </w:tbl>
    <w:p>
      <w:pPr>
        <w:pStyle w:val="Heading3"/>
      </w:pPr>
      <w:bookmarkStart w:name="b_cita_clase_9_sistema_natural__4cc6f541" w:id="1872"/>
      <w:r>
        <w:t xml:space="preserve">Palabras del profesor</w:t>
      </w:r>
      <w:bookmarkEnd w:id="1872"/>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El profesor lo dijo así</w:t>
            </w:r>
          </w:p>
          <w:p>
            <w:pPr>
              <w:pStyle w:val="Recuadro"/>
            </w:pPr>
            <w:r>
              <w:t xml:space="preserve">«Como sistema natural puede funcionar cualquier sistema; decíamos que no había sido creado por la capacidad e inteligencia del ser humano, como pueden ser los sistemas del entorno.»</w:t>
            </w:r>
          </w:p>
          <w:p>
            <w:pPr>
              <w:pStyle w:val="Recuadro"/>
            </w:pPr>
            <w:r>
              <w:t xml:space="preserve">Clase 9 · 00:06:07–00:06:27</w:t>
            </w:r>
          </w:p>
        </w:tc>
      </w:tr>
    </w:tbl>
    <w:p>
      <w:pPr>
        <w:pStyle w:val="Heading3"/>
      </w:pPr>
      <w:bookmarkStart w:name="b_cita_clase_9_checkland_herram_4136d8b6" w:id="1873"/>
      <w:r>
        <w:t xml:space="preserve">Palabras del profesor</w:t>
      </w:r>
      <w:bookmarkEnd w:id="1873"/>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El profesor lo dijo así</w:t>
            </w:r>
          </w:p>
          <w:p>
            <w:pPr>
              <w:pStyle w:val="Recuadro"/>
            </w:pPr>
            <w:r>
              <w:t xml:space="preserve">«Como bien nos dice Checkland, los sistemas diseñados, tanto físicos como abstractos, son utilizados por el ser humano como herramientas, como apoyo para realizar sus actividades.»</w:t>
            </w:r>
          </w:p>
          <w:p>
            <w:pPr>
              <w:pStyle w:val="Recuadro"/>
            </w:pPr>
            <w:r>
              <w:t xml:space="preserve">Clase 9 · 00:10:26–00:10:52</w:t>
            </w:r>
          </w:p>
        </w:tc>
      </w:tr>
    </w:tbl>
    <w:p>
      <w:pPr>
        <w:pStyle w:val="Heading3"/>
      </w:pPr>
      <w:bookmarkStart w:name="b_cita_clase_8_con_seres_humano_23124f29" w:id="1874"/>
      <w:r>
        <w:t xml:space="preserve">Palabras del profesor</w:t>
      </w:r>
      <w:bookmarkEnd w:id="1874"/>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El profesor lo dijo así</w:t>
            </w:r>
          </w:p>
          <w:p>
            <w:pPr>
              <w:pStyle w:val="Recuadro"/>
            </w:pPr>
            <w:r>
              <w:t xml:space="preserve">«Los sistemas de actividad humana agrupan cualquier organización humana: empresas, familias, comunidades sociales, grupos políticos; cualquier sistema que tenga entre sus elementos seres humanos cae en esa clasificación.»</w:t>
            </w:r>
          </w:p>
          <w:p>
            <w:pPr>
              <w:pStyle w:val="Recuadro"/>
            </w:pPr>
            <w:r>
              <w:t xml:space="preserve">Clase 8 · 01:26:55–01:27:28</w:t>
            </w:r>
          </w:p>
        </w:tc>
      </w:tr>
    </w:tbl>
    <w:p>
      <w:pPr>
        <w:pStyle w:val="Heading3"/>
      </w:pPr>
      <w:bookmarkStart w:name="b_cita_clase_9_zoologico_sistem_84ecaf82" w:id="1875"/>
      <w:r>
        <w:t xml:space="preserve">Palabras del profesor</w:t>
      </w:r>
      <w:bookmarkEnd w:id="1875"/>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El profesor lo dijo así</w:t>
            </w:r>
          </w:p>
          <w:p>
            <w:pPr>
              <w:pStyle w:val="Recuadro"/>
            </w:pPr>
            <w:r>
              <w:t xml:space="preserve">«Al ser creado de forma artificial por el mismo ser humano, aunque sus componentes sean de alguna forma naturales, se ordenan y clasifican como el ser humano lo desea, por lo cual sigue siendo un sistema de actividad humana.»</w:t>
            </w:r>
          </w:p>
          <w:p>
            <w:pPr>
              <w:pStyle w:val="Recuadro"/>
            </w:pPr>
            <w:r>
              <w:t xml:space="preserve">Clase 9 · 00:08:05–00:08:39</w:t>
            </w:r>
          </w:p>
        </w:tc>
      </w:tr>
    </w:tbl>
    <w:p>
      <w:pPr>
        <w:pStyle w:val="Heading3"/>
      </w:pPr>
      <w:bookmarkStart w:name="b_cita_clase_9_familia_tambien__1a5f91be" w:id="1876"/>
      <w:r>
        <w:t xml:space="preserve">Palabras del profesor</w:t>
      </w:r>
      <w:bookmarkEnd w:id="1876"/>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El profesor lo dijo así</w:t>
            </w:r>
          </w:p>
          <w:p>
            <w:pPr>
              <w:pStyle w:val="Recuadro"/>
            </w:pPr>
            <w:r>
              <w:t xml:space="preserve">«Igual podríamos hablar de un sistema como la familia, que agrupa a los seres humanos de una manera natural para desarrollar su crecimiento y su evolución; desde esa perspectiva igual podríamos verlo como un sistema natural.»</w:t>
            </w:r>
          </w:p>
          <w:p>
            <w:pPr>
              <w:pStyle w:val="Recuadro"/>
            </w:pPr>
            <w:r>
              <w:t xml:space="preserve">Clase 9 · 00:42:11–00:42:44</w:t>
            </w:r>
          </w:p>
        </w:tc>
      </w:tr>
    </w:tbl>
    <w:p>
      <w:pPr>
        <w:pStyle w:val="Heading3"/>
      </w:pPr>
      <w:bookmarkStart w:name="b_cita_clase_1_modelos_mentales_aaa0f02f" w:id="1877"/>
      <w:r>
        <w:t xml:space="preserve">Palabras del profesor</w:t>
      </w:r>
      <w:bookmarkEnd w:id="1877"/>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El profesor lo dijo así</w:t>
            </w:r>
          </w:p>
          <w:p>
            <w:pPr>
              <w:pStyle w:val="Recuadro"/>
            </w:pPr>
            <w:r>
              <w:t xml:space="preserve">«Para reconocer estos modelos mentales o estos paradigmas como sistemas, porque también son sistemas, nada más que con elementos o naturaleza abstracta a nivel de nuestro pensamiento»</w:t>
            </w:r>
          </w:p>
          <w:p>
            <w:pPr>
              <w:pStyle w:val="Recuadro"/>
            </w:pPr>
            <w:r>
              <w:t xml:space="preserve">Clase 1 · 00:18:02–00:18:21</w:t>
            </w:r>
          </w:p>
        </w:tc>
      </w:tr>
    </w:tbl>
    <w:p>
      <w:pPr>
        <w:pStyle w:val="Heading3"/>
      </w:pPr>
      <w:r>
        <w:t xml:space="preserve">Errores frecuentes y trampa de examen</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9C620A" w:sz="20"/>
              <w:bottom w:val="nil"/>
              <w:right w:val="nil"/>
            </w:tcBorders>
            <w:shd w:fill="FBF3DF" w:val="clear"/>
            <w:tcMar>
              <w:top w:type="dxa" w:w="130"/>
              <w:left w:type="dxa" w:w="180"/>
              <w:bottom w:type="dxa" w:w="130"/>
              <w:right w:type="dxa" w:w="180"/>
            </w:tcMar>
          </w:tcPr>
          <w:p>
            <w:pPr>
              <w:pStyle w:val="RecuadroTitulo"/>
            </w:pPr>
            <w:r>
              <w:rPr>
                <w:b/>
                <w:bCs/>
                <w:color w:val="9C620A"/>
              </w:rPr>
              <w:t xml:space="preserve">Error → corrección</w:t>
            </w:r>
          </w:p>
          <w:p>
            <w:pPr>
              <w:pStyle w:val="Recuadro"/>
            </w:pPr>
            <w:r>
              <w:rPr>
                <w:b/>
                <w:bCs/>
              </w:rPr>
              <w:t xml:space="preserve">Error:</w:t>
            </w:r>
            <w:r>
              <w:t xml:space="preserve"> Clasificar el zoológico como natural porque sus animales y plantas lo son.</w:t>
            </w:r>
          </w:p>
          <w:p>
            <w:pPr>
              <w:pStyle w:val="Recuadro"/>
            </w:pPr>
            <w:r>
              <w:rPr>
                <w:b/>
                <w:bCs/>
              </w:rPr>
              <w:t xml:space="preserve">Corrección:</w:t>
            </w:r>
            <w:r>
              <w:t xml:space="preserve"> Lo creó, ordena y administra el ser humano: es de actividad humana.</w:t>
            </w:r>
          </w:p>
          <w:p>
            <w:pPr>
              <w:pStyle w:val="Recuadro"/>
            </w:pPr>
            <w:r>
              <w:t xml:space="preserve">Clase 9 · 00:07:24–00:08:56</w:t>
            </w:r>
          </w:p>
        </w:tc>
      </w:tr>
    </w:tbl>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9C620A" w:sz="20"/>
              <w:bottom w:val="nil"/>
              <w:right w:val="nil"/>
            </w:tcBorders>
            <w:shd w:fill="FBF3DF" w:val="clear"/>
            <w:tcMar>
              <w:top w:type="dxa" w:w="130"/>
              <w:left w:type="dxa" w:w="180"/>
              <w:bottom w:type="dxa" w:w="130"/>
              <w:right w:type="dxa" w:w="180"/>
            </w:tcMar>
          </w:tcPr>
          <w:p>
            <w:pPr>
              <w:pStyle w:val="RecuadroTitulo"/>
            </w:pPr>
            <w:r>
              <w:rPr>
                <w:b/>
                <w:bCs/>
                <w:color w:val="9C620A"/>
              </w:rPr>
              <w:t xml:space="preserve">Error → corrección</w:t>
            </w:r>
          </w:p>
          <w:p>
            <w:pPr>
              <w:pStyle w:val="Recuadro"/>
            </w:pPr>
            <w:r>
              <w:rPr>
                <w:b/>
                <w:bCs/>
              </w:rPr>
              <w:t xml:space="preserve">Error:</w:t>
            </w:r>
            <w:r>
              <w:t xml:space="preserve"> Cerrar la familia sólo como sistema de actividad humana.</w:t>
            </w:r>
          </w:p>
          <w:p>
            <w:pPr>
              <w:pStyle w:val="Recuadro"/>
            </w:pPr>
            <w:r>
              <w:rPr>
                <w:b/>
                <w:bCs/>
              </w:rPr>
              <w:t xml:space="preserve">Corrección:</w:t>
            </w:r>
            <w:r>
              <w:t xml:space="preserve"> La clase admitió la ambigüedad: como agrupación natural de seres humanos también es natural.</w:t>
            </w:r>
          </w:p>
          <w:p>
            <w:pPr>
              <w:pStyle w:val="Recuadro"/>
            </w:pPr>
            <w:r>
              <w:t xml:space="preserve">Clase 9 · 00:40:01–00:43:42</w:t>
            </w:r>
          </w:p>
        </w:tc>
      </w:tr>
    </w:tbl>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9C620A" w:sz="20"/>
              <w:bottom w:val="nil"/>
              <w:right w:val="nil"/>
            </w:tcBorders>
            <w:shd w:fill="FBF3DF" w:val="clear"/>
            <w:tcMar>
              <w:top w:type="dxa" w:w="130"/>
              <w:left w:type="dxa" w:w="180"/>
              <w:bottom w:type="dxa" w:w="130"/>
              <w:right w:type="dxa" w:w="180"/>
            </w:tcMar>
          </w:tcPr>
          <w:p>
            <w:pPr>
              <w:pStyle w:val="RecuadroTitulo"/>
            </w:pPr>
            <w:r>
              <w:rPr>
                <w:b/>
                <w:bCs/>
                <w:color w:val="9C620A"/>
              </w:rPr>
              <w:t xml:space="preserve">Error → corrección</w:t>
            </w:r>
          </w:p>
          <w:p>
            <w:pPr>
              <w:pStyle w:val="Recuadro"/>
            </w:pPr>
            <w:r>
              <w:rPr>
                <w:b/>
                <w:bCs/>
              </w:rPr>
              <w:t xml:space="preserve">Error:</w:t>
            </w:r>
            <w:r>
              <w:t xml:space="preserve"> Tomar «el universo es un conjunto de sistemas» como descripción de la realidad en sí.</w:t>
            </w:r>
          </w:p>
          <w:p>
            <w:pPr>
              <w:pStyle w:val="Recuadro"/>
            </w:pPr>
            <w:r>
              <w:rPr>
                <w:b/>
                <w:bCs/>
              </w:rPr>
              <w:t xml:space="preserve">Corrección:</w:t>
            </w:r>
            <w:r>
              <w:t xml:space="preserve"> Es una suposición del paradigma para modelar, no lo que el mundo es.</w:t>
            </w:r>
          </w:p>
          <w:p>
            <w:pPr>
              <w:pStyle w:val="Recuadro"/>
            </w:pPr>
            <w:r>
              <w:t xml:space="preserve">Clase 8 · 01:22:26–01:25:13</w:t>
            </w:r>
          </w:p>
        </w:tc>
      </w:tr>
    </w:tbl>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9C620A" w:sz="20"/>
              <w:bottom w:val="nil"/>
              <w:right w:val="nil"/>
            </w:tcBorders>
            <w:shd w:fill="FBF3DF" w:val="clear"/>
            <w:tcMar>
              <w:top w:type="dxa" w:w="130"/>
              <w:left w:type="dxa" w:w="180"/>
              <w:bottom w:type="dxa" w:w="130"/>
              <w:right w:type="dxa" w:w="180"/>
            </w:tcMar>
          </w:tcPr>
          <w:p>
            <w:pPr>
              <w:pStyle w:val="RecuadroTitulo"/>
            </w:pPr>
            <w:r>
              <w:rPr>
                <w:b/>
                <w:bCs/>
                <w:color w:val="9C620A"/>
              </w:rPr>
              <w:t xml:space="preserve">Trampa de examen</w:t>
            </w:r>
          </w:p>
          <w:p>
            <w:pPr>
              <w:pStyle w:val="Recuadro"/>
            </w:pPr>
            <w:r>
              <w:t xml:space="preserve">«Sistema abstracto diseñado» no es cualquier cosa intangible: son los paradigmas o modelos mentales, las creencias, los sistemas matemáticos y el lenguaje. Y un sistema lleno de componentes naturales no es natural por eso: el zoológico es de actividad humana porque lo creó, ordena y administra el ser humano; la familia, en cambio, admite las dos lecturas.</w:t>
            </w:r>
          </w:p>
        </w:tc>
      </w:tr>
    </w:tbl>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Ampliación: lo no dictado en clase</w:t>
            </w:r>
          </w:p>
          <w:p>
            <w:pPr>
              <w:pStyle w:val="Recuadro"/>
            </w:pPr>
            <w:r>
              <w:t xml:space="preserve">La clase no desarrolló las preguntas de origen, materia y propósito ni la cosmovisión (Weltanschauung) con que Checkland define el propósito de los sistemas de actividad humana; las clasificaciones en dinámicos, estáticos, probabilísticos y trascendentales sólo se nombraron, sin definirlas. Las aclaraciones metodológicas detalladas se estudian desde C-6, página 55; no se atribuyen todas al audio.</w:t>
            </w:r>
          </w:p>
        </w:tc>
      </w:tr>
    </w:tbl>
    <w:p>
      <w:pPr>
        <w:pStyle w:val="Heading3"/>
      </w:pPr>
      <w:r>
        <w:t xml:space="preserve">Lecturas y tareas del curso</w:t>
      </w:r>
    </w:p>
    <w:p>
      <w:pPr>
        <w:pStyle w:val="Normal"/>
      </w:pPr>
      <w:r>
        <w:t xml:space="preserve">C-6 · Unidad 2 · Teoría de sistemas y pensamiento sistémico (presentación). 65 páginas con teoría de sistemas, elementos, estructura, función, niveles, sinergia, emergencia, complejidad y universo de sistemas. Copia íntegra de la presentación del profesor.</w:t>
      </w:r>
    </w:p>
    <w:p>
      <w:pPr>
        <w:pStyle w:val="Normal"/>
      </w:pPr>
      <w:r>
        <w:t xml:space="preserve">L-8 · Ingeniería de sistemas: orígenes y definición. Documento del catedrático del curso sobre el origen y la definición de la ingeniería de sistemas, y cómo se apoya en el mapa de los sistemas diseñados para intervenir en la realidad.</w:t>
      </w:r>
    </w:p>
    <w:p>
      <w:pPr>
        <w:pStyle w:val="Normal"/>
      </w:pPr>
      <w:r>
        <w:t xml:space="preserve">Tareas relacionadas: T-6. Consulte su procedencia en la bibliografía.</w:t>
      </w:r>
    </w:p>
    <w:p>
      <w:pPr>
        <w:pStyle w:val="Heading3"/>
      </w:pPr>
      <w:r>
        <w:t xml:space="preserve">Práctica de los laboratorios</w:t>
      </w:r>
    </w:p>
    <w:p>
      <w:pPr>
        <w:pStyle w:val="Normal"/>
      </w:pPr>
      <w:r>
        <w:t xml:space="preserve">Los procedimientos del capítulo permiten reconstruir en papel la práctica interactiva. Los laboratorios originales permanecen disponibles en la lección del portal.</w:t>
      </w:r>
    </w:p>
    <w:p>
      <w:pPr>
        <w:pStyle w:val="Normal"/>
        <w:numPr>
          <w:ilvl w:val="0"/>
          <w:numId w:val="2"/>
        </w:numPr>
      </w:pPr>
      <w:r>
        <w:t xml:space="preserve">Clasificar sistemas del entorno</w:t>
      </w:r>
    </w:p>
    <w:p>
      <w:pPr>
        <w:pStyle w:val="Normal"/>
        <w:numPr>
          <w:ilvl w:val="0"/>
          <w:numId w:val="2"/>
        </w:numPr>
      </w:pPr>
      <w:r>
        <w:t xml:space="preserve">Una escena leída como sistemas</w:t>
      </w:r>
    </w:p>
    <w:p>
      <w:pPr>
        <w:pStyle w:val="Normal"/>
        <w:numPr>
          <w:ilvl w:val="0"/>
          <w:numId w:val="2"/>
        </w:numPr>
      </w:pPr>
      <w:r>
        <w:t xml:space="preserve">Clasificar en las cuatro familias de Checkland</w:t>
      </w:r>
    </w:p>
    <w:p>
      <w:pPr>
        <w:pStyle w:val="Heading3"/>
      </w:pPr>
      <w:r>
        <w:t xml:space="preserve">Autoevaluación</w:t>
      </w:r>
    </w:p>
    <w:p>
      <w:pPr>
        <w:pStyle w:val="Normal"/>
      </w:pPr>
      <w:r>
        <w:t xml:space="preserve">Resuelva sin consultar las respuestas. Compruebe al final del capítulo por qué cada opción es correcta o incorrecta.</w:t>
      </w:r>
    </w:p>
    <w:p>
      <w:pPr>
        <w:pStyle w:val="Heading3"/>
      </w:pPr>
      <w:bookmarkStart w:name="b_pregunta_auto_2_7_1" w:id="1878"/>
      <w:r>
        <w:t xml:space="preserve">2.7-A1 · Según la premisa de la página 55, ¿qué cambia cuando los objetivos todavía no son definibles?</w:t>
      </w:r>
      <w:bookmarkEnd w:id="1878"/>
    </w:p>
    <w:p>
      <w:pPr>
        <w:pStyle w:val="Normal"/>
      </w:pPr>
      <w:r>
        <w:t xml:space="preserve">a) El enfoque ofrece un marco para debatir problemas relevantes, fines y criterios</w:t>
      </w:r>
    </w:p>
    <w:p>
      <w:pPr>
        <w:pStyle w:val="Normal"/>
      </w:pPr>
      <w:r>
        <w:t xml:space="preserve">b) Debe imponerse inmediatamente una solución técnica óptima</w:t>
      </w:r>
    </w:p>
    <w:p>
      <w:pPr>
        <w:pStyle w:val="Normal"/>
      </w:pPr>
      <w:r>
        <w:t xml:space="preserve">c) El enfoque deja de servir por completo</w:t>
      </w:r>
    </w:p>
    <w:p>
      <w:pPr>
        <w:pStyle w:val="Normal"/>
      </w:pPr>
      <w:r>
        <w:t xml:space="preserve">d) Ya no hace falta escuchar otras perspectivas</w:t>
      </w:r>
    </w:p>
    <w:p>
      <w:pPr>
        <w:pStyle w:val="Heading3"/>
      </w:pPr>
      <w:bookmarkStart w:name="b_pregunta_auto_2_7_2" w:id="1879"/>
      <w:r>
        <w:t xml:space="preserve">2.7-A2 · ¿Qué preguntas metodológicas conservan el alcance multifacético del problema en la página 55?</w:t>
      </w:r>
      <w:bookmarkEnd w:id="1879"/>
    </w:p>
    <w:p>
      <w:pPr>
        <w:pStyle w:val="Normal"/>
      </w:pPr>
      <w:r>
        <w:t xml:space="preserve">a) Quién es culpable y cómo excluirlo sin estudiar nada más</w:t>
      </w:r>
    </w:p>
    <w:p>
      <w:pPr>
        <w:pStyle w:val="Normal"/>
      </w:pPr>
      <w:r>
        <w:t xml:space="preserve">b) En qué sistemas y subsistemas se sitúa y cómo podrían diseñarse o modificarse para resolverlo</w:t>
      </w:r>
    </w:p>
    <w:p>
      <w:pPr>
        <w:pStyle w:val="Normal"/>
      </w:pPr>
      <w:r>
        <w:t xml:space="preserve">c) Cuántas piezas hay y por qué las relaciones no importan</w:t>
      </w:r>
    </w:p>
    <w:p>
      <w:pPr>
        <w:pStyle w:val="Normal"/>
      </w:pPr>
      <w:r>
        <w:t xml:space="preserve">d) Cómo incluir todo el universo en un único modelo obligatorio</w:t>
      </w:r>
    </w:p>
    <w:p>
      <w:pPr>
        <w:pStyle w:val="Heading3"/>
      </w:pPr>
      <w:bookmarkStart w:name="b_pregunta_auto_2_7_3" w:id="1880"/>
      <w:r>
        <w:t xml:space="preserve">2.7-A3 · ¿En qué sentido la presentación considera el concepto de sistema más poderoso que un modelo aislado?</w:t>
      </w:r>
      <w:bookmarkEnd w:id="1880"/>
    </w:p>
    <w:p>
      <w:pPr>
        <w:pStyle w:val="Normal"/>
      </w:pPr>
      <w:r>
        <w:t xml:space="preserve">a) Convierte cualquier frase con la palabra sistema en una explicación verdadera</w:t>
      </w:r>
    </w:p>
    <w:p>
      <w:pPr>
        <w:pStyle w:val="Normal"/>
      </w:pPr>
      <w:r>
        <w:t xml:space="preserve">b) Vuelve innecesario contrastar modelos con datos</w:t>
      </w:r>
    </w:p>
    <w:p>
      <w:pPr>
        <w:pStyle w:val="Normal"/>
      </w:pPr>
      <w:r>
        <w:t xml:space="preserve">c) Organiza el contexto en el que pueden construirse y relacionarse modelos específicos</w:t>
      </w:r>
    </w:p>
    <w:p>
      <w:pPr>
        <w:pStyle w:val="Normal"/>
      </w:pPr>
      <w:r>
        <w:t xml:space="preserve">d) Demuestra que existe un único modelo completo de todo el universo</w:t>
      </w:r>
    </w:p>
    <w:p>
      <w:pPr>
        <w:pStyle w:val="Heading3"/>
      </w:pPr>
      <w:bookmarkStart w:name="b_pregunta_auto_2_7_4" w:id="1881"/>
      <w:r>
        <w:t xml:space="preserve">2.7-A4 · Según la lección (basada en la clasificación de Checkland), el universo puede verse como cuatro clases de sistemas. ¿Cuáles son?</w:t>
      </w:r>
      <w:bookmarkEnd w:id="1881"/>
    </w:p>
    <w:p>
      <w:pPr>
        <w:pStyle w:val="Normal"/>
      </w:pPr>
      <w:r>
        <w:t xml:space="preserve">a) Naturales, físicos diseñados, abstractos diseñados y de actividad humana</w:t>
      </w:r>
    </w:p>
    <w:p>
      <w:pPr>
        <w:pStyle w:val="Normal"/>
      </w:pPr>
      <w:r>
        <w:t xml:space="preserve">b) Abiertos, cerrados, aislados y adiabáticos</w:t>
      </w:r>
    </w:p>
    <w:p>
      <w:pPr>
        <w:pStyle w:val="Normal"/>
      </w:pPr>
      <w:r>
        <w:t xml:space="preserve">c) Simples, complicados, complejos y caóticos</w:t>
      </w:r>
    </w:p>
    <w:p>
      <w:pPr>
        <w:pStyle w:val="Normal"/>
      </w:pPr>
      <w:r>
        <w:t xml:space="preserve">d) Mecánicos, orgánicos, sociales y digitales</w:t>
      </w:r>
    </w:p>
    <w:p>
      <w:pPr>
        <w:pStyle w:val="Heading3"/>
      </w:pPr>
      <w:bookmarkStart w:name="b_pregunta_auto_2_7_5" w:id="1882"/>
      <w:r>
        <w:t xml:space="preserve">2.7-A5 · El sistema solar, una célula y un bosque comparten que nadie los diseñó y que surgen del universo y de la evolución. Son sistemas…</w:t>
      </w:r>
      <w:bookmarkEnd w:id="1882"/>
    </w:p>
    <w:p>
      <w:pPr>
        <w:pStyle w:val="Normal"/>
      </w:pPr>
      <w:r>
        <w:t xml:space="preserve">a) Naturales</w:t>
      </w:r>
    </w:p>
    <w:p>
      <w:pPr>
        <w:pStyle w:val="Normal"/>
      </w:pPr>
      <w:r>
        <w:t xml:space="preserve">b) Físicos diseñados</w:t>
      </w:r>
    </w:p>
    <w:p>
      <w:pPr>
        <w:pStyle w:val="Normal"/>
      </w:pPr>
      <w:r>
        <w:t xml:space="preserve">c) Abstractos diseñados</w:t>
      </w:r>
    </w:p>
    <w:p>
      <w:pPr>
        <w:pStyle w:val="Normal"/>
      </w:pPr>
      <w:r>
        <w:t xml:space="preserve">d) De actividad humana</w:t>
      </w:r>
    </w:p>
    <w:p>
      <w:pPr>
        <w:pStyle w:val="Heading3"/>
      </w:pPr>
      <w:bookmarkStart w:name="b_pregunta_auto_2_7_6" w:id="1883"/>
      <w:r>
        <w:t xml:space="preserve">2.7-A6 · Un puente, un automóvil y un reloj —tangibles y creados con una finalidad— pertenecen a los sistemas…</w:t>
      </w:r>
      <w:bookmarkEnd w:id="1883"/>
    </w:p>
    <w:p>
      <w:pPr>
        <w:pStyle w:val="Normal"/>
      </w:pPr>
      <w:r>
        <w:t xml:space="preserve">a) De actividad humana</w:t>
      </w:r>
    </w:p>
    <w:p>
      <w:pPr>
        <w:pStyle w:val="Normal"/>
      </w:pPr>
      <w:r>
        <w:t xml:space="preserve">b) Físicos diseñados</w:t>
      </w:r>
    </w:p>
    <w:p>
      <w:pPr>
        <w:pStyle w:val="Normal"/>
      </w:pPr>
      <w:r>
        <w:t xml:space="preserve">c) Naturales</w:t>
      </w:r>
    </w:p>
    <w:p>
      <w:pPr>
        <w:pStyle w:val="Normal"/>
      </w:pPr>
      <w:r>
        <w:t xml:space="preserve">d) Abstractos diseñados</w:t>
      </w:r>
    </w:p>
    <w:p>
      <w:pPr>
        <w:pStyle w:val="Heading3"/>
      </w:pPr>
      <w:bookmarkStart w:name="b_pregunta_auto_2_7_7" w:id="1884"/>
      <w:r>
        <w:t xml:space="preserve">2.7-A7 · ¿En qué clase de sistemas se ubican los modelos mentales, los paradigmas y las teorías estudiados en la Unidad 1?</w:t>
      </w:r>
      <w:bookmarkEnd w:id="1884"/>
    </w:p>
    <w:p>
      <w:pPr>
        <w:pStyle w:val="Normal"/>
      </w:pPr>
      <w:r>
        <w:t xml:space="preserve">a) Sistemas naturales</w:t>
      </w:r>
    </w:p>
    <w:p>
      <w:pPr>
        <w:pStyle w:val="Normal"/>
      </w:pPr>
      <w:r>
        <w:t xml:space="preserve">b) Sistemas físicos diseñados</w:t>
      </w:r>
    </w:p>
    <w:p>
      <w:pPr>
        <w:pStyle w:val="Normal"/>
      </w:pPr>
      <w:r>
        <w:t xml:space="preserve">c) Sistemas abstractos diseñados</w:t>
      </w:r>
    </w:p>
    <w:p>
      <w:pPr>
        <w:pStyle w:val="Normal"/>
      </w:pPr>
      <w:r>
        <w:t xml:space="preserve">d) Sistemas de actividad humana</w:t>
      </w:r>
    </w:p>
    <w:p>
      <w:pPr>
        <w:pStyle w:val="Heading3"/>
      </w:pPr>
      <w:bookmarkStart w:name="b_pregunta_auto_2_7_8" w:id="1885"/>
      <w:r>
        <w:t xml:space="preserve">2.7-A8 · ¿Qué caracteriza sobre todo a los sistemas de actividad humana y los vuelve los más difíciles de describir?</w:t>
      </w:r>
      <w:bookmarkEnd w:id="1885"/>
    </w:p>
    <w:p>
      <w:pPr>
        <w:pStyle w:val="Normal"/>
      </w:pPr>
      <w:r>
        <w:t xml:space="preserve">a) Que no tienen ningún propósito</w:t>
      </w:r>
    </w:p>
    <w:p>
      <w:pPr>
        <w:pStyle w:val="Normal"/>
      </w:pPr>
      <w:r>
        <w:t xml:space="preserve">b) Que su propósito depende de la cosmovisión (Weltanschauung) de quien los observa</w:t>
      </w:r>
    </w:p>
    <w:p>
      <w:pPr>
        <w:pStyle w:val="Normal"/>
      </w:pPr>
      <w:r>
        <w:t xml:space="preserve">c) Que son intangibles como las matemáticas</w:t>
      </w:r>
    </w:p>
    <w:p>
      <w:pPr>
        <w:pStyle w:val="Normal"/>
      </w:pPr>
      <w:r>
        <w:t xml:space="preserve">d) Que obedecen solo a las leyes de la física</w:t>
      </w:r>
    </w:p>
    <w:p>
      <w:pPr>
        <w:pStyle w:val="Heading3"/>
      </w:pPr>
      <w:bookmarkStart w:name="b_pregunta_auto_2_7_9" w:id="1886"/>
      <w:r>
        <w:t xml:space="preserve">2.7-A9 · La computadora como aparato es un sistema físico diseñado. ¿Y el programa (el algoritmo) que se ejecuta en ella?</w:t>
      </w:r>
      <w:bookmarkEnd w:id="1886"/>
    </w:p>
    <w:p>
      <w:pPr>
        <w:pStyle w:val="Normal"/>
      </w:pPr>
      <w:r>
        <w:t xml:space="preserve">a) También es físico diseñado, porque vive dentro de la máquina</w:t>
      </w:r>
    </w:p>
    <w:p>
      <w:pPr>
        <w:pStyle w:val="Normal"/>
      </w:pPr>
      <w:r>
        <w:t xml:space="preserve">b) Es un sistema natural</w:t>
      </w:r>
    </w:p>
    <w:p>
      <w:pPr>
        <w:pStyle w:val="Normal"/>
      </w:pPr>
      <w:r>
        <w:t xml:space="preserve">c) Es un sistema abstracto diseñado: una estructura conceptual sin existencia física</w:t>
      </w:r>
    </w:p>
    <w:p>
      <w:pPr>
        <w:pStyle w:val="Normal"/>
      </w:pPr>
      <w:r>
        <w:t xml:space="preserve">d) Es un sistema de actividad humana</w:t>
      </w:r>
    </w:p>
    <w:p>
      <w:pPr>
        <w:pStyle w:val="Heading3"/>
      </w:pPr>
      <w:bookmarkStart w:name="b_pregunta_auto_2_7_10" w:id="1887"/>
      <w:r>
        <w:t xml:space="preserve">2.7-A10 · A diferencia de un martillo, un átomo o una galaxia NO tienen…</w:t>
      </w:r>
      <w:bookmarkEnd w:id="1887"/>
    </w:p>
    <w:p>
      <w:pPr>
        <w:pStyle w:val="Normal"/>
      </w:pPr>
      <w:r>
        <w:t xml:space="preserve">a) materia ni energía</w:t>
      </w:r>
    </w:p>
    <w:p>
      <w:pPr>
        <w:pStyle w:val="Normal"/>
      </w:pPr>
      <w:r>
        <w:t xml:space="preserve">b) un propósito impuesto desde fuera; «son como son»</w:t>
      </w:r>
    </w:p>
    <w:p>
      <w:pPr>
        <w:pStyle w:val="Normal"/>
      </w:pPr>
      <w:r>
        <w:t xml:space="preserve">c) relaciones entre sus partes</w:t>
      </w:r>
    </w:p>
    <w:p>
      <w:pPr>
        <w:pStyle w:val="Normal"/>
      </w:pPr>
      <w:r>
        <w:t xml:space="preserve">d) ninguna estructura</w:t>
      </w:r>
    </w:p>
    <w:p>
      <w:pPr>
        <w:pStyle w:val="Heading3"/>
      </w:pPr>
      <w:bookmarkStart w:name="b_pregunta_auto_2_7_11" w:id="1888"/>
      <w:r>
        <w:t xml:space="preserve">2.7-A11 · El edificio de un hospital es tangible, pero «el hospital» entendido como sistema —personas coordinadas para curar— es un sistema…</w:t>
      </w:r>
      <w:bookmarkEnd w:id="1888"/>
    </w:p>
    <w:p>
      <w:pPr>
        <w:pStyle w:val="Normal"/>
      </w:pPr>
      <w:r>
        <w:t xml:space="preserve">a) Físico diseñado</w:t>
      </w:r>
    </w:p>
    <w:p>
      <w:pPr>
        <w:pStyle w:val="Normal"/>
      </w:pPr>
      <w:r>
        <w:t xml:space="preserve">b) De actividad humana</w:t>
      </w:r>
    </w:p>
    <w:p>
      <w:pPr>
        <w:pStyle w:val="Normal"/>
      </w:pPr>
      <w:r>
        <w:t xml:space="preserve">c) Natural</w:t>
      </w:r>
    </w:p>
    <w:p>
      <w:pPr>
        <w:pStyle w:val="Normal"/>
      </w:pPr>
      <w:r>
        <w:t xml:space="preserve">d) Abstracto diseñado</w:t>
      </w:r>
    </w:p>
    <w:p>
      <w:pPr>
        <w:pStyle w:val="Heading3"/>
      </w:pPr>
      <w:bookmarkStart w:name="b_solucionario_2_7" w:id="1889"/>
      <w:r>
        <w:t xml:space="preserve">Solucionario del capítulo</w:t>
      </w:r>
      <w:bookmarkEnd w:id="1889"/>
    </w:p>
    <w:p>
      <w:pPr>
        <w:pStyle w:val="Heading3"/>
      </w:pPr>
      <w:r>
        <w:t xml:space="preserve">2.7-A1</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a) El enfoque ofrece un marco para debatir problemas relevantes, fines y criterios</w:t>
            </w:r>
          </w:p>
        </w:tc>
      </w:tr>
    </w:tbl>
    <w:p>
      <w:pPr>
        <w:pStyle w:val="Normal"/>
      </w:pPr>
      <w:r>
        <w:t xml:space="preserve">Con objetivos definibles se intenta ingeniar el sistema para alcanzarlos. Cuando no lo son, la mirada de sistemas permite estructurar el debate sobre la situación; no inventa consenso ni un objetivo único.</w:t>
      </w:r>
    </w:p>
    <w:p>
      <w:pPr>
        <w:pStyle w:val="Fuente"/>
      </w:pPr>
      <w:r>
        <w:t xml:space="preserve">Presentación de la unidad 2 (C-6), pág. 55</w:t>
      </w:r>
    </w:p>
    <w:p>
      <w:pPr>
        <w:pStyle w:val="Heading3"/>
      </w:pPr>
      <w:r>
        <w:t xml:space="preserve">2.7-A2</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b) En qué sistemas y subsistemas se sitúa y cómo podrían diseñarse o modificarse para resolverlo</w:t>
            </w:r>
          </w:p>
        </w:tc>
      </w:tr>
    </w:tbl>
    <w:p>
      <w:pPr>
        <w:pStyle w:val="Normal"/>
      </w:pPr>
      <w:r>
        <w:t xml:space="preserve">Las preguntas ubican el problema y orientan la intervención sin distorsionarlo ni simplificarlo en exceso. No se exige un solo modelo que contenga todos los sistemas pertinentes; se organiza un contexto para modelos específicos.</w:t>
      </w:r>
    </w:p>
    <w:p>
      <w:pPr>
        <w:pStyle w:val="Fuente"/>
      </w:pPr>
      <w:r>
        <w:t xml:space="preserve">Presentación de la unidad 2 (C-6), pág. 55</w:t>
      </w:r>
    </w:p>
    <w:p>
      <w:pPr>
        <w:pStyle w:val="Heading3"/>
      </w:pPr>
      <w:r>
        <w:t xml:space="preserve">2.7-A3</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c) Organiza el contexto en el que pueden construirse y relacionarse modelos específicos</w:t>
            </w:r>
          </w:p>
        </w:tc>
      </w:tr>
    </w:tbl>
    <w:p>
      <w:pPr>
        <w:pStyle w:val="Normal"/>
      </w:pPr>
      <w:r>
        <w:t xml:space="preserve">El alcance de la comparación es contextual: el concepto general ayuda a estructurar la situación y a situar modelos concretos. No es una superioridad automática de cualquier discurso ni una prueba de cómo es el mundo en sí.</w:t>
      </w:r>
    </w:p>
    <w:p>
      <w:pPr>
        <w:pStyle w:val="Fuente"/>
      </w:pPr>
      <w:r>
        <w:t xml:space="preserve">Presentación de la unidad 2 (C-6), pág. 55</w:t>
      </w:r>
    </w:p>
    <w:p>
      <w:pPr>
        <w:pStyle w:val="Heading3"/>
      </w:pPr>
      <w:r>
        <w:t xml:space="preserve">2.7-A4</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a) Naturales, físicos diseñados, abstractos diseñados y de actividad humana</w:t>
            </w:r>
          </w:p>
        </w:tc>
      </w:tr>
    </w:tbl>
    <w:p>
      <w:pPr>
        <w:pStyle w:val="Normal"/>
      </w:pPr>
      <w:r>
        <w:t xml:space="preserve">La taxonomía de la lección distingue sistemas naturales (2.7.1), físicos diseñados (2.7.2), abstractos diseñados (2.7.3) y de actividad humana (2.7.4).</w:t>
      </w:r>
    </w:p>
    <w:p>
      <w:pPr>
        <w:pStyle w:val="Fuente"/>
      </w:pPr>
      <w:r>
        <w:t xml:space="preserve">Temario 2.7</w:t>
      </w:r>
    </w:p>
    <w:p>
      <w:pPr>
        <w:pStyle w:val="Heading3"/>
      </w:pPr>
      <w:r>
        <w:t xml:space="preserve">2.7-A5</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a) Naturales</w:t>
            </w:r>
          </w:p>
        </w:tc>
      </w:tr>
    </w:tbl>
    <w:p>
      <w:pPr>
        <w:pStyle w:val="Normal"/>
      </w:pPr>
      <w:r>
        <w:t xml:space="preserve">Los sistemas naturales existen por el origen del universo y la evolución; están gobernados por las leyes de la naturaleza y no podrían ser de otra manera.</w:t>
      </w:r>
    </w:p>
    <w:p>
      <w:pPr>
        <w:pStyle w:val="Heading3"/>
      </w:pPr>
      <w:r>
        <w:t xml:space="preserve">2.7-A6</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b) Físicos diseñados</w:t>
            </w:r>
          </w:p>
        </w:tc>
      </w:tr>
    </w:tbl>
    <w:p>
      <w:pPr>
        <w:pStyle w:val="Normal"/>
      </w:pPr>
      <w:r>
        <w:t xml:space="preserve">Son artefactos físicos que el ser humano diseñó deliberadamente para servir a un propósito; por eso se llaman sistemas físicos diseñados.</w:t>
      </w:r>
    </w:p>
    <w:p>
      <w:pPr>
        <w:pStyle w:val="Heading3"/>
      </w:pPr>
      <w:r>
        <w:t xml:space="preserve">2.7-A7</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c) Sistemas abstractos diseñados</w:t>
            </w:r>
          </w:p>
        </w:tc>
      </w:tr>
    </w:tbl>
    <w:p>
      <w:pPr>
        <w:pStyle w:val="Normal"/>
      </w:pPr>
      <w:r>
        <w:t xml:space="preserve">Los modelos mentales y los paradigmas son productos ordenados y conscientes de la mente: sistemas abstractos diseñados. Es el puente directo con la Unidad 1.</w:t>
      </w:r>
    </w:p>
    <w:p>
      <w:pPr>
        <w:pStyle w:val="Normal"/>
      </w:pPr>
      <w:r>
        <w:t xml:space="preserve">a) No: los naturales no los diseña nadie; un modelo mental sí es una construcción humana.</w:t>
      </w:r>
    </w:p>
    <w:p>
      <w:pPr>
        <w:pStyle w:val="Normal"/>
      </w:pPr>
      <w:r>
        <w:t xml:space="preserve">b) No: un modelo mental no es un objeto físico tangible.</w:t>
      </w:r>
    </w:p>
    <w:p>
      <w:pPr>
        <w:pStyle w:val="Normal"/>
      </w:pPr>
      <w:r>
        <w:t xml:space="preserve">c) Correcto: son productos ordenados de la mente, sin existencia física.</w:t>
      </w:r>
    </w:p>
    <w:p>
      <w:pPr>
        <w:pStyle w:val="Normal"/>
      </w:pPr>
      <w:r>
        <w:t xml:space="preserve">d) No: no son personas actuando, sino ideas.</w:t>
      </w:r>
    </w:p>
    <w:p>
      <w:pPr>
        <w:pStyle w:val="Fuente"/>
      </w:pPr>
      <w:r>
        <w:t xml:space="preserve">Unidad 1 · 1.1</w:t>
      </w:r>
    </w:p>
    <w:p>
      <w:pPr>
        <w:pStyle w:val="Heading3"/>
      </w:pPr>
      <w:r>
        <w:t xml:space="preserve">2.7-A8</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b) Que su propósito depende de la cosmovisión (Weltanschauung) de quien los observa</w:t>
            </w:r>
          </w:p>
        </w:tc>
      </w:tr>
    </w:tbl>
    <w:p>
      <w:pPr>
        <w:pStyle w:val="Normal"/>
      </w:pPr>
      <w:r>
        <w:t xml:space="preserve">Un sistema de actividad humana sí tiene propósito, pero es interpretable: distintas personas ven distintos fines en el mismo sistema. Por eso la perspectiva (Unidad 1) es decisiva.</w:t>
      </w:r>
    </w:p>
    <w:p>
      <w:pPr>
        <w:pStyle w:val="Heading3"/>
      </w:pPr>
      <w:r>
        <w:t xml:space="preserve">2.7-A9</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c) Es un sistema abstracto diseñado: una estructura conceptual sin existencia física</w:t>
            </w:r>
          </w:p>
        </w:tc>
      </w:tr>
    </w:tbl>
    <w:p>
      <w:pPr>
        <w:pStyle w:val="Normal"/>
      </w:pPr>
      <w:r>
        <w:t xml:space="preserve">Es un caso frontera clásico: el hardware es un sistema físico diseñado, pero el software —el algoritmo— es un sistema abstracto diseñado.</w:t>
      </w:r>
    </w:p>
    <w:p>
      <w:pPr>
        <w:pStyle w:val="Normal"/>
      </w:pPr>
      <w:r>
        <w:t xml:space="preserve">a) No: el soporte es físico, pero el algoritmo no es materia.</w:t>
      </w:r>
    </w:p>
    <w:p>
      <w:pPr>
        <w:pStyle w:val="Normal"/>
      </w:pPr>
      <w:r>
        <w:t xml:space="preserve">b) No: fue diseñado por una mente, no surgió de la evolución.</w:t>
      </w:r>
    </w:p>
    <w:p>
      <w:pPr>
        <w:pStyle w:val="Normal"/>
      </w:pPr>
      <w:r>
        <w:t xml:space="preserve">c) Correcto: el programa es una estructura de ideas y símbolos.</w:t>
      </w:r>
    </w:p>
    <w:p>
      <w:pPr>
        <w:pStyle w:val="Normal"/>
      </w:pPr>
      <w:r>
        <w:t xml:space="preserve">d) No: no son personas actuando, sino una construcción conceptual.</w:t>
      </w:r>
    </w:p>
    <w:p>
      <w:pPr>
        <w:pStyle w:val="Heading3"/>
      </w:pPr>
      <w:r>
        <w:t xml:space="preserve">2.7-A10</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b) un propósito impuesto desde fuera; «son como son»</w:t>
            </w:r>
          </w:p>
        </w:tc>
      </w:tr>
    </w:tbl>
    <w:p>
      <w:pPr>
        <w:pStyle w:val="Normal"/>
      </w:pPr>
      <w:r>
        <w:t xml:space="preserve">Los sistemas naturales carecen de un propósito externo. Un martillo existe «para» algo; un átomo simplemente existe, gobernado por las leyes de la naturaleza.</w:t>
      </w:r>
    </w:p>
    <w:p>
      <w:pPr>
        <w:pStyle w:val="Heading3"/>
      </w:pPr>
      <w:r>
        <w:t xml:space="preserve">2.7-A11</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b) De actividad humana</w:t>
            </w:r>
          </w:p>
        </w:tc>
      </w:tr>
    </w:tbl>
    <w:p>
      <w:pPr>
        <w:pStyle w:val="Normal"/>
        <w:sectPr>
          <w:headerReference w:type="default" r:id="rId138"/>
          <w:headerReference w:type="first" r:id="rId139"/>
          <w:headerReference w:type="even" r:id="rId140"/>
          <w:footerReference w:type="default" r:id="rId141"/>
          <w:footerReference w:type="first" r:id="rId142"/>
          <w:footerReference w:type="even" r:id="rId143"/>
          <w:type w:val="nextPage"/>
          <w:pgSz w:w="12240" w:h="15840" w:orient="portrait"/>
          <w:pgMar w:top="1361" w:right="1134" w:bottom="1361" w:left="1474" w:header="650" w:footer="680" w:gutter="0"/>
          <w:pgNumType/>
          <w:titlePg/>
          <w:docGrid w:linePitch="360"/>
        </w:sectPr>
      </w:pPr>
      <w:r>
        <w:t xml:space="preserve">Conviene separar el artefacto (el edificio, físico diseñado) de la actividad organizada. El hospital como sistema son personas actuando con un propósito: sistema de actividad humana.</w:t>
      </w:r>
    </w:p>
    <w:p>
      <w:pPr>
        <w:pStyle w:val="Heading2"/>
      </w:pPr>
      <w:bookmarkStart w:name="b_2_8" w:id="1890"/>
      <w:r>
        <w:t xml:space="preserve">2.8 · Otros conceptos de la TGS</w:t>
      </w:r>
      <w:bookmarkEnd w:id="1890"/>
    </w:p>
    <w:p>
      <w:pPr>
        <w:pStyle w:val="Subtitulo"/>
      </w:pPr>
      <w:r>
        <w:t xml:space="preserve">Otros conceptos de la Teoría General de sistemas</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En una línea</w:t>
            </w:r>
          </w:p>
          <w:p>
            <w:pPr>
              <w:pStyle w:val="Recuadro"/>
            </w:pPr>
            <w:r>
              <w:t xml:space="preserve">El resto del vocabulario con el que se describe cualquier sistema.</w:t>
            </w:r>
          </w:p>
        </w:tc>
      </w:tr>
    </w:tbl>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Qué te preguntan</w:t>
            </w:r>
          </w:p>
          <w:p>
            <w:pPr>
              <w:pStyle w:val="Recuadro"/>
            </w:pPr>
            <w:r>
              <w:t xml:space="preserve">Explicar entradas, salidas, intercambio, retroacción, jerarquías y relaciones no lineales o circulares con apoyo de las clases 7 y 8, y los conceptos que la clase 9 cerró: homeostasis como equilibrio dinámico, entropía como grado de desorden de las relaciones, neguentropía como la fuerza que la contrarresta, la distinción entre sistemas abiertos y cerrados, y la equifinalidad. La multifinalidad quedó como investigación asignada y la variedad requerida sigue siendo ampliación bibliográfica: no las presente como dictadas.</w:t>
            </w:r>
          </w:p>
        </w:tc>
      </w:tr>
    </w:tbl>
    <w:p>
      <w:pPr>
        <w:pStyle w:val="Normal"/>
      </w:pPr>
      <w:r>
        <w:t xml:space="preserve">Estos conceptos describen cómo un sistema intercambia con su medio y cómo se mantiene o se degrada: la retroacción es una relación que sale del sistema y vuelve a él; la homeostasis, el equilibrio dinámico que sostienen los ciclos de retroalimentación negativa; la entropía, el desorden de las relaciones entre las partes, y la neguentropía, la fuerza que lo contrarresta; casi todos los sistemas son abiertos, y la equifinalidad es alcanzar el mismo objetivo por caminos distintos. La comprobación: nombrar en el caso el ciclo que equilibra, las relaciones que se desordenan, la acción que devuelve orden y los caminos al objetivo.</w:t>
      </w:r>
    </w:p>
    <w:p>
      <w:pPr>
        <w:pStyle w:val="Heading3"/>
      </w:pPr>
      <w:r>
        <w:t xml:space="preserve">Vocabulario clave</w:t>
      </w:r>
    </w:p>
    <w:p>
      <w:pPr>
        <w:pStyle w:val="Normal"/>
      </w:pPr>
      <w:r>
        <w:t xml:space="preserve">retroacción (retroalimentación, realimentación) · retroalimentación negativa (sistemas de control) · homeostasis (equilibrio dinámico) · entropía (grado de orden o desorden) · neguentropía (energía opuesta, mecanismo regulador) · sistema abierto y sistema cerrado · equifinalidad · multifinalidad (sólo nombrada) · jerarquía sistémica (subsistemas, sistemas, suprasistemas) · entradas y salidas</w:t>
      </w:r>
    </w:p>
    <w:p>
      <w:pPr>
        <w:pStyle w:val="Fuente"/>
      </w:pPr>
      <w:r>
        <w:t xml:space="preserve">Recorrido: desarrollo conceptual → presentaciones → explicación en clase → errores y fuentes → práctica → solucionario.</w:t>
      </w:r>
    </w:p>
    <w:p>
      <w:pPr>
        <w:pStyle w:val="Heading3"/>
      </w:pPr>
      <w:bookmarkStart w:name="b_lectura_p10" w:id="1891"/>
      <w:r>
        <w:t xml:space="preserve">P10. Conceptos de apoyo de prioridad secundaria</w:t>
      </w:r>
      <w:bookmarkEnd w:id="1891"/>
    </w:p>
    <w:p>
      <w:pPr>
        <w:pStyle w:val="Normal"/>
      </w:pPr>
      <w:r>
        <w:t xml:space="preserve">La guía selecciona también estos puentes con los parciales anteriores. Se incluyen como repaso breve, sin convertir el tercer parcial en un repaso exhaustivo de todo el curso:</w:t>
      </w:r>
    </w:p>
    <w:tbl>
      <w:tblPr>
        <w:tblW w:type="dxa" w:w="9632"/>
        <w:tblBorders>
          <w:top w:val="single" w:color="C5D5DB" w:sz="4"/>
          <w:left w:val="single" w:color="C5D5DB" w:sz="4"/>
          <w:bottom w:val="single" w:color="C5D5DB" w:sz="4"/>
          <w:right w:val="single" w:color="C5D5DB" w:sz="4"/>
          <w:insideH w:val="single" w:color="E4E9EB" w:sz="3"/>
          <w:insideV w:val="single" w:color="E4E9EB" w:sz="3"/>
        </w:tblBorders>
        <w:tblLayout w:type="fixed"/>
      </w:tblPr>
      <w:tblGrid>
        <w:gridCol w:w="4816"/>
        <w:gridCol w:w="4816"/>
      </w:tblGrid>
      <w:tr>
        <w:trPr>
          <w:cantSplit/>
          <w:tblHeader/>
        </w:trPr>
        <w:tc>
          <w:tcPr>
            <w:tcW w:type="dxa" w:w="4816"/>
            <w:shd w:fill="DFEAF0" w:val="clear"/>
            <w:tcMar>
              <w:top w:type="dxa" w:w="80"/>
              <w:left w:type="dxa" w:w="100"/>
              <w:bottom w:type="dxa" w:w="80"/>
              <w:right w:type="dxa" w:w="100"/>
            </w:tcMar>
          </w:tcPr>
          <w:p>
            <w:pPr>
              <w:pStyle w:val="Tabla"/>
            </w:pPr>
            <w:r>
              <w:rPr>
                <w:b/>
                <w:bCs/>
              </w:rPr>
              <w:t xml:space="preserve">Concepto</w:t>
            </w:r>
          </w:p>
        </w:tc>
        <w:tc>
          <w:tcPr>
            <w:tcW w:type="dxa" w:w="4816"/>
            <w:shd w:fill="DFEAF0" w:val="clear"/>
            <w:tcMar>
              <w:top w:type="dxa" w:w="80"/>
              <w:left w:type="dxa" w:w="100"/>
              <w:bottom w:type="dxa" w:w="80"/>
              <w:right w:type="dxa" w:w="100"/>
            </w:tcMar>
          </w:tcPr>
          <w:p>
            <w:pPr>
              <w:pStyle w:val="Tabla"/>
            </w:pPr>
            <w:r>
              <w:rPr>
                <w:b/>
                <w:bCs/>
              </w:rPr>
              <w:t xml:space="preserve">Recordatorio y conexión con Unidad 4</w:t>
            </w:r>
          </w:p>
        </w:tc>
      </w:tr>
      <w:tr>
        <w:trPr>
          <w:cantSplit/>
          <w:tblHeader w:val="off"/>
        </w:trPr>
        <w:tc>
          <w:tcPr>
            <w:tcW w:type="dxa" w:w="4816"/>
            <w:tcMar>
              <w:top w:type="dxa" w:w="80"/>
              <w:left w:type="dxa" w:w="100"/>
              <w:bottom w:type="dxa" w:w="80"/>
              <w:right w:type="dxa" w:w="100"/>
            </w:tcMar>
          </w:tcPr>
          <w:p>
            <w:pPr>
              <w:pStyle w:val="Tabla"/>
            </w:pPr>
            <w:r>
              <w:t xml:space="preserve">Escalera de inferencias</w:t>
            </w:r>
          </w:p>
        </w:tc>
        <w:tc>
          <w:tcPr>
            <w:tcW w:type="dxa" w:w="4816"/>
            <w:tcMar>
              <w:top w:type="dxa" w:w="80"/>
              <w:left w:type="dxa" w:w="100"/>
              <w:bottom w:type="dxa" w:w="80"/>
              <w:right w:type="dxa" w:w="100"/>
            </w:tcMar>
          </w:tcPr>
          <w:p>
            <w:pPr>
              <w:pStyle w:val="Tabla"/>
            </w:pPr>
            <w:r>
              <w:t xml:space="preserve">Podemos pasar de datos seleccionados a interpretaciones, supuestos, conclusiones y acciones muy rápidamente. Las creencias influyen a su vez en los datos que seleccionamos. Al modelar o decidir, distinguir observación de inferencia y comprobar supuestos.</w:t>
            </w:r>
          </w:p>
        </w:tc>
      </w:tr>
      <w:tr>
        <w:trPr>
          <w:cantSplit/>
          <w:tblHeader w:val="off"/>
        </w:trPr>
        <w:tc>
          <w:tcPr>
            <w:tcW w:type="dxa" w:w="4816"/>
            <w:tcMar>
              <w:top w:type="dxa" w:w="80"/>
              <w:left w:type="dxa" w:w="100"/>
              <w:bottom w:type="dxa" w:w="80"/>
              <w:right w:type="dxa" w:w="100"/>
            </w:tcMar>
          </w:tcPr>
          <w:p>
            <w:pPr>
              <w:pStyle w:val="Tabla"/>
            </w:pPr>
            <w:r>
              <w:t xml:space="preserve">Homeostasis</w:t>
            </w:r>
          </w:p>
        </w:tc>
        <w:tc>
          <w:tcPr>
            <w:tcW w:type="dxa" w:w="4816"/>
            <w:tcMar>
              <w:top w:type="dxa" w:w="80"/>
              <w:left w:type="dxa" w:w="100"/>
              <w:bottom w:type="dxa" w:w="80"/>
              <w:right w:type="dxa" w:w="100"/>
            </w:tcMar>
          </w:tcPr>
          <w:p>
            <w:pPr>
              <w:pStyle w:val="Tabla"/>
            </w:pPr>
            <w:r>
              <w:t xml:space="preserve">Regulación que permite sostener condiciones mediante ajustes y retroalimentación. Se relaciona con los balances y el equilibrio dinámico; no significa ausencia de actividad.</w:t>
            </w:r>
          </w:p>
        </w:tc>
      </w:tr>
      <w:tr>
        <w:trPr>
          <w:cantSplit/>
          <w:tblHeader w:val="off"/>
        </w:trPr>
        <w:tc>
          <w:tcPr>
            <w:tcW w:type="dxa" w:w="4816"/>
            <w:tcMar>
              <w:top w:type="dxa" w:w="80"/>
              <w:left w:type="dxa" w:w="100"/>
              <w:bottom w:type="dxa" w:w="80"/>
              <w:right w:type="dxa" w:w="100"/>
            </w:tcMar>
          </w:tcPr>
          <w:p>
            <w:pPr>
              <w:pStyle w:val="Tabla"/>
            </w:pPr>
            <w:r>
              <w:t xml:space="preserve">Complejidad y autoorganización</w:t>
            </w:r>
          </w:p>
        </w:tc>
        <w:tc>
          <w:tcPr>
            <w:tcW w:type="dxa" w:w="4816"/>
            <w:tcMar>
              <w:top w:type="dxa" w:w="80"/>
              <w:left w:type="dxa" w:w="100"/>
              <w:bottom w:type="dxa" w:w="80"/>
              <w:right w:type="dxa" w:w="100"/>
            </w:tcMar>
          </w:tcPr>
          <w:p>
            <w:pPr>
              <w:pStyle w:val="Tabla"/>
            </w:pPr>
            <w:r>
              <w:t xml:space="preserve">Las interacciones, demoras y perspectivas hacen difícil anticipar efectos a partir de una sola causa. La autoorganización permite modificar la propia organización o sus reglas; conecta con uno de los puntos de Meadows.</w:t>
            </w:r>
          </w:p>
        </w:tc>
      </w:tr>
      <w:tr>
        <w:trPr>
          <w:cantSplit/>
          <w:tblHeader w:val="off"/>
        </w:trPr>
        <w:tc>
          <w:tcPr>
            <w:tcW w:type="dxa" w:w="4816"/>
            <w:tcMar>
              <w:top w:type="dxa" w:w="80"/>
              <w:left w:type="dxa" w:w="100"/>
              <w:bottom w:type="dxa" w:w="80"/>
              <w:right w:type="dxa" w:w="100"/>
            </w:tcMar>
          </w:tcPr>
          <w:p>
            <w:pPr>
              <w:pStyle w:val="Tabla"/>
            </w:pPr>
            <w:r>
              <w:t xml:space="preserve">DSRP</w:t>
            </w:r>
          </w:p>
        </w:tc>
        <w:tc>
          <w:tcPr>
            <w:tcW w:type="dxa" w:w="4816"/>
            <w:tcMar>
              <w:top w:type="dxa" w:w="80"/>
              <w:left w:type="dxa" w:w="100"/>
              <w:bottom w:type="dxa" w:w="80"/>
              <w:right w:type="dxa" w:w="100"/>
            </w:tcMar>
          </w:tcPr>
          <w:p>
            <w:pPr>
              <w:pStyle w:val="Tabla"/>
            </w:pPr>
            <w:r>
              <w:t xml:space="preserve">Distinciones, sistemas, relaciones y perspectivas. Ayudan a explicitar qué se distingue, cómo se organiza en partes y todo, qué se relaciona y desde qué perspectiva se observa. No sustituyen las ecuaciones de un modelo cuantitativo.</w:t>
            </w:r>
          </w:p>
        </w:tc>
      </w:tr>
      <w:tr>
        <w:trPr>
          <w:cantSplit/>
          <w:tblHeader w:val="off"/>
        </w:trPr>
        <w:tc>
          <w:tcPr>
            <w:tcW w:type="dxa" w:w="4816"/>
            <w:tcMar>
              <w:top w:type="dxa" w:w="80"/>
              <w:left w:type="dxa" w:w="100"/>
              <w:bottom w:type="dxa" w:w="80"/>
              <w:right w:type="dxa" w:w="100"/>
            </w:tcMar>
          </w:tcPr>
          <w:p>
            <w:pPr>
              <w:pStyle w:val="Tabla"/>
            </w:pPr>
            <w:r>
              <w:t xml:space="preserve">Sinergia y emergencia</w:t>
            </w:r>
          </w:p>
        </w:tc>
        <w:tc>
          <w:tcPr>
            <w:tcW w:type="dxa" w:w="4816"/>
            <w:tcMar>
              <w:top w:type="dxa" w:w="80"/>
              <w:left w:type="dxa" w:w="100"/>
              <w:bottom w:type="dxa" w:w="80"/>
              <w:right w:type="dxa" w:w="100"/>
            </w:tcMar>
          </w:tcPr>
          <w:p>
            <w:pPr>
              <w:pStyle w:val="Tabla"/>
            </w:pPr>
            <w:r>
              <w:t xml:space="preserve">El efecto conjunto depende de las interacciones, y pueden aparecer propiedades o patrones del conjunto que no se explican mirando cada parte aisladamente. Conecta con la tesis de que la estructura genera el comportamiento.</w:t>
            </w:r>
          </w:p>
        </w:tc>
      </w:tr>
    </w:tbl>
    <w:p>
      <w:pPr>
        <w:pStyle w:val="Normal"/>
      </w:pPr>
      <w:r>
        <w:t xml:space="preserve">La síntesis de una página de la </w:t>
      </w:r>
      <w:r>
        <w:rPr>
          <w:b/>
          <w:bCs/>
        </w:rPr>
        <w:t xml:space="preserve">escalera de inferencias</w:t>
      </w:r>
      <w:r>
        <w:t xml:space="preserve"> del repositorio distingue datos disponibles, selección, traducción, caracterización, explicación/evaluación y decisión. Sus supuestos, valores y creencias influyen de vuelta en lo que selecciona. Ejemplo didáctico: observar una devolución tarde es un dato; concluir inmediatamente «no le importa la biblioteca» es una inferencia que omite otras explicaciones. Hacer visible el razonamiento y preguntar por los datos permite revisarlo. Otras versiones agrupan los peldaños de forma distinta: si el examen muestra un diagrama, seguir sus etiquetas.</w:t>
      </w:r>
    </w:p>
    <w:p>
      <w:pPr>
        <w:pStyle w:val="Heading3"/>
      </w:pPr>
      <w:r>
        <w:t xml:space="preserve">Cerrado y aislado: el alcance de la segunda ley</w:t>
      </w:r>
    </w:p>
    <w:p>
      <w:pPr>
        <w:pStyle w:val="Normal"/>
      </w:pPr>
      <w:r>
        <w:t xml:space="preserve">En el uso físico preciso, un sistema cerrado no intercambia materia pero puede intercambiar energía. Un sistema aislado no intercambia ni materia ni energía. Un recipiente sellado calentado desde fuera es cerrado y no está aislado.</w:t>
      </w:r>
    </w:p>
    <w:p>
      <w:pPr>
        <w:pStyle w:val="Normal"/>
      </w:pPr>
      <w:r>
        <w:t xml:space="preserve">La entropía total de un sistema aislado no disminuye: aumenta en un proceso irreversible y se mantiene en el límite reversible. Un sistema cerrado que intercambia calor puede disminuir su entropía si el aumento del entorno compensa esa disminución; el total aislado sigue cumpliendo la segunda ley.</w:t>
      </w:r>
    </w:p>
    <w:p>
      <w:pPr>
        <w:pStyle w:val="Normal"/>
      </w:pPr>
      <w:r>
        <w:t xml:space="preserve">Los sistemas abiertos pueden mantener organización local mediante intercambios, exportando entropía al entorno. Los ejemplos organizacionales de orden o deterioro son analogías y no mediciones termodinámicas. La página 62 habla de aislado; el audio usa cerrado en un sentido amplio sin explicar esta distinción física, que aquí se precisa editorialmente.</w:t>
      </w:r>
    </w:p>
    <w:p>
      <w:pPr>
        <w:pStyle w:val="Fuente"/>
      </w:pPr>
      <w:r>
        <w:t xml:space="preserve">Presentación de la unidad 2 (C-6), pág. 62 · Clase 9 · 00:49:21–00:54:55 y 01:03:48–01:05:32</w:t>
      </w:r>
    </w:p>
    <w:p>
      <w:pPr>
        <w:pStyle w:val="Heading3"/>
      </w:pPr>
      <w:r>
        <w:t xml:space="preserve">Entradas, salidas, retroacción y jerarquía</w:t>
      </w:r>
    </w:p>
    <w:p>
      <w:pPr>
        <w:pStyle w:val="Normal"/>
      </w:pPr>
      <w:r>
        <w:t xml:space="preserve">Retroacción, retroalimentación o realimentación nombran el mismo fenómeno: una salida que se vuelve entrada, o una relación que sale del sistema y vuelve a él, directa o indirectamente; la siguiente unidad la desarrolla como representación no lineal, con circularidades y ciclos.</w:t>
      </w:r>
    </w:p>
    <w:p>
      <w:pPr>
        <w:pStyle w:val="Normal"/>
      </w:pPr>
      <w:r>
        <w:t xml:space="preserve">En el diagrama de la clase, la retroalimentación («feedback» negativo o positivo) forma los ciclos no lineales de los sistemas, y la jerarquía sistémica va de subsistemas a sistemas y a suprasistemas.</w:t>
      </w:r>
    </w:p>
    <w:p>
      <w:pPr>
        <w:pStyle w:val="Normal"/>
      </w:pPr>
      <w:r>
        <w:t xml:space="preserve">Los modelos mentales son un sistema de retroalimentación: la información de los resultados confirma los supuestos o revela que algo no encaja; corregir el modelo, mantenerlo bajo control, será la retroalimentación negativa.</w:t>
      </w:r>
    </w:p>
    <w:p>
      <w:pPr>
        <w:pStyle w:val="Fuente"/>
      </w:pPr>
      <w:r>
        <w:t xml:space="preserve">Clase 7 · 01:35:43–01:37:18 · lámina c7-22 · Clase 9 · 00:32:11–00:32:38 · Clase 9 · 00:36:34–00:39:48</w:t>
      </w:r>
    </w:p>
    <w:p>
      <w:pPr>
        <w:pStyle w:val="Heading3"/>
      </w:pPr>
      <w:r>
        <w:t xml:space="preserve">Homeostasis: definición y ejemplos</w:t>
      </w:r>
    </w:p>
    <w:p>
      <w:pPr>
        <w:pStyle w:val="Normal"/>
      </w:pPr>
      <w:r>
        <w:t xml:space="preserve">Homeostasis, de los sistemas naturales y humanos: «equilibrio dinámico»; el sistema, interactuando con su medio, busca el equilibrio que le permite existir y sobrevivir, con las entradas que le influyen y las salidas y procesos internos que lo mantienen.</w:t>
      </w:r>
    </w:p>
    <w:p>
      <w:pPr>
        <w:pStyle w:val="Normal"/>
      </w:pPr>
      <w:r>
        <w:t xml:space="preserve">Es dinámico porque el valor interno no es siempre el mismo: varía según lo que viene de afuera y le está influyendo.</w:t>
      </w:r>
    </w:p>
    <w:p>
      <w:pPr>
        <w:pStyle w:val="Normal"/>
      </w:pPr>
      <w:r>
        <w:t xml:space="preserve">Los ciclos de retroalimentación negativa mantienen bajo control a los sistemas; los sistemas de control son dinámicas no lineales de retroalimentación negativa que producen la homeostasis persiguiendo un objetivo según los parámetros del medio.</w:t>
      </w:r>
    </w:p>
    <w:p>
      <w:pPr>
        <w:pStyle w:val="Normal"/>
      </w:pPr>
      <w:r>
        <w:t xml:space="preserve">Temperatura del cuerpo: con calor, procesos internos que evitan elevarla o el aire acondicionado (sistema físico diseñado); con frío, calor interno o abrigarse. Empresa: equilibrio entre ventas, procesos internos y compras que conserve un capital; gastos sobre ingresos llevan a déficit y bancarrota.</w:t>
      </w:r>
    </w:p>
    <w:p>
      <w:pPr>
        <w:pStyle w:val="Fuente"/>
      </w:pPr>
      <w:r>
        <w:t xml:space="preserve">Clase 9 · 00:43:54–00:49:12 · lámina c9-04</w:t>
      </w:r>
    </w:p>
    <w:p>
      <w:pPr>
        <w:pStyle w:val="Heading3"/>
      </w:pPr>
      <w:r>
        <w:t xml:space="preserve">Entropía y su escala</w:t>
      </w:r>
    </w:p>
    <w:p>
      <w:pPr>
        <w:pStyle w:val="Normal"/>
      </w:pPr>
      <w:r>
        <w:t xml:space="preserve">Entropía: de la fisicoquímica y la termodinámica (segunda ley), generalizada por la teoría de sistemas: el grado de orden o, al revés, de desorden de un sistema, el que provocan las relaciones entre sus partes.</w:t>
      </w:r>
    </w:p>
    <w:p>
      <w:pPr>
        <w:pStyle w:val="Normal"/>
      </w:pPr>
      <w:r>
        <w:t xml:space="preserve">Nombra a los conglomerados: partes que deberían ser sistema y no lo son por el desorden de sus relaciones; sin relación apropiada no hay emergencia y el sistema tiende a «montón».</w:t>
      </w:r>
    </w:p>
    <w:p>
      <w:pPr>
        <w:pStyle w:val="Normal"/>
      </w:pPr>
      <w:r>
        <w:t xml:space="preserve">Escala: muy baja o cero cuando el sistema se comporta idealmente; con el uso, el medio daña las relaciones y aparece entropía; entre baja y media aún hay resultados y emergencia, con problemas; alta es el montón sin sinergia ni emergencia.</w:t>
      </w:r>
    </w:p>
    <w:p>
      <w:pPr>
        <w:pStyle w:val="Normal"/>
      </w:pPr>
      <w:r>
        <w:t xml:space="preserve">Mariposa del mosaico en pedazos: alta entropía, medible por lo menos en escala cardinal, sin la emergencia esperada; vehículo desarmado: conglomerado, y armado con orden e interacción adecuados, entropía muy baja o cero; huevo roto: entropía elevada, pierde sus características de sistema.</w:t>
      </w:r>
    </w:p>
    <w:p>
      <w:pPr>
        <w:pStyle w:val="Fuente"/>
      </w:pPr>
      <w:r>
        <w:t xml:space="preserve">Clase 9 · 00:49:21–00:54:55 · lámina c9-05</w:t>
      </w:r>
    </w:p>
    <w:p>
      <w:pPr>
        <w:pStyle w:val="Heading3"/>
      </w:pPr>
      <w:r>
        <w:t xml:space="preserve">Neguentropía y el mantenimiento</w:t>
      </w:r>
    </w:p>
    <w:p>
      <w:pPr>
        <w:pStyle w:val="Normal"/>
      </w:pPr>
      <w:r>
        <w:t xml:space="preserve">Neguentropía: la perspectiva opuesta; los sistemas, sobre todo los adaptativos complejos con sistemas de control (cierta inteligencia), contrarrestan la entropía con la energía opuesta; en la lámina, mecanismo regulador o energía que contrarresta al medio.</w:t>
      </w:r>
    </w:p>
    <w:p>
      <w:pPr>
        <w:pStyle w:val="Normal"/>
      </w:pPr>
      <w:r>
        <w:t xml:space="preserve">Formulación analógica de la clase: todo sistema tiende al desorden y eleva su entropía con el tiempo; por eso debe generar neguentropía, con mejor ordenamiento o con más conocimiento e información para ordenar las interacciones; son dos fuerzas: una desintegra, la otra devuelve integración y orden.</w:t>
      </w:r>
    </w:p>
    <w:p>
      <w:pPr>
        <w:pStyle w:val="Normal"/>
      </w:pPr>
      <w:r>
        <w:t xml:space="preserve">El mantenimiento de equipos es el mecanismo autorregulador con que el ser humano provoca neguentropía: sin él, humedad o polvo afectan el teclado, no llegan las señales de datos y la entropía impide los objetivos del diseño.</w:t>
      </w:r>
    </w:p>
    <w:p>
      <w:pPr>
        <w:pStyle w:val="Normal"/>
      </w:pPr>
      <w:r>
        <w:t xml:space="preserve">La computadora no se autolimpia: con el usuario o el técnico forma un sistema mayor (igual el vehículo) que genera la neguentropía y la mantiene en homeostasis; aun los sistemas de complejidad baja requieren mantenimiento al integrarse a su medio.</w:t>
      </w:r>
    </w:p>
    <w:p>
      <w:pPr>
        <w:pStyle w:val="Fuente"/>
      </w:pPr>
      <w:r>
        <w:t xml:space="preserve">Clase 9 · 00:55:03–00:59:14 · Clase 9 · 01:01:34–01:03:25 · lámina c9-06</w:t>
      </w:r>
    </w:p>
    <w:p>
      <w:pPr>
        <w:pStyle w:val="Heading3"/>
      </w:pPr>
      <w:r>
        <w:t xml:space="preserve">Sistemas abiertos y cerrados</w:t>
      </w:r>
    </w:p>
    <w:p>
      <w:pPr>
        <w:pStyle w:val="Normal"/>
      </w:pPr>
      <w:r>
        <w:t xml:space="preserve">Otra clasificación fundamental: el abierto se diferencia del cerrado por su interacción con el medio; como todo sistema tiene entradas y salidas, «la mayoría de sistemas son abiertos».</w:t>
      </w:r>
    </w:p>
    <w:p>
      <w:pPr>
        <w:pStyle w:val="Normal"/>
      </w:pPr>
      <w:r>
        <w:t xml:space="preserve">En el uso amplio del audio, el cerrado es más que todo un físico diseñado por científicos que eliminan las interacciones con el medio para estudiarlo en sí mismo: artificial, porque esa restricción sólo existe provocada, por accidente o por decisión humana de aislarse; no es natural ni común.</w:t>
      </w:r>
    </w:p>
    <w:p>
      <w:pPr>
        <w:pStyle w:val="Fuente"/>
      </w:pPr>
      <w:r>
        <w:t xml:space="preserve">Clase 9 · 01:03:48–01:05:32</w:t>
      </w:r>
    </w:p>
    <w:p>
      <w:pPr>
        <w:pStyle w:val="Heading3"/>
      </w:pPr>
      <w:r>
        <w:t xml:space="preserve">Equifinalidad, la lámina de utilidades y la multifinalidad</w:t>
      </w:r>
    </w:p>
    <w:p>
      <w:pPr>
        <w:pStyle w:val="Normal"/>
      </w:pPr>
      <w:r>
        <w:t xml:space="preserve">Equifinalidad: cualidad de los sistemas abiertos; conseguir por caminos muy diferentes determinados objetivos con independencia de las condiciones individuales del sistema: distintas formas, algoritmos, secuencias de pasos o procesos, y sistemas similares siguen caminos distintos al mismo objetivo.</w:t>
      </w:r>
    </w:p>
    <w:p>
      <w:pPr>
        <w:pStyle w:val="Normal"/>
      </w:pPr>
      <w:r>
        <w:t xml:space="preserve">Lámina: aumentar utilidades por tres caminos: reducir costos de producción; subir el margen de ganancia (vender más caro: el porcentaje que no va a costos queda como utilidad); vender más sin tocar precios ni costos, diversificando mercados o abriendo sucursales en otras ciudades o países: misma ganancia por venta, más utilidad por volumen.</w:t>
      </w:r>
    </w:p>
    <w:p>
      <w:pPr>
        <w:pStyle w:val="Normal"/>
      </w:pPr>
      <w:r>
        <w:t xml:space="preserve">Equifinalidad y multifinalidad se oyen en otros enfoques científicos, pero son característica sistémica; la multifinalidad es «el sentido opuesto», similar pero opuesta a la equifinalidad, como neguentropía y entropía: no se definió y quedó de investigación.</w:t>
      </w:r>
    </w:p>
    <w:p>
      <w:pPr>
        <w:pStyle w:val="Fuente"/>
      </w:pPr>
      <w:r>
        <w:t xml:space="preserve">Clase 9 · 01:03:27–01:09:42 · lámina c9-07</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Procedimiento</w:t>
            </w:r>
          </w:p>
          <w:p>
            <w:pPr>
              <w:pStyle w:val="Recuadro"/>
            </w:pPr>
            <w:r>
              <w:t xml:space="preserve">Cómo reconocer homeostasis, entropía, neguentropía y equifinalidad en un caso</w:t>
            </w:r>
          </w:p>
          <w:p>
            <w:pPr>
              <w:pStyle w:val="Recuadro"/>
            </w:pPr>
            <w:r>
              <w:t xml:space="preserve">1. </w:t>
            </w:r>
            <w:r>
              <w:rPr>
                <w:b/>
                <w:bCs/>
              </w:rPr>
              <w:t xml:space="preserve">Marcar entradas, salidas y la relación que vuelve.</w:t>
            </w:r>
            <w:r>
              <w:t xml:space="preserve"> Se identifican las entradas, las salidas y la relación que sale y regresa, directa o indirectamente: la retroacción; si el sistema intercambia con el medio es abierto, como casi todos. (Clase 7 · 01:35:43–01:36:40 · Clase 9 · 01:03:48–01:05:32)</w:t>
            </w:r>
          </w:p>
          <w:p>
            <w:pPr>
              <w:pStyle w:val="Recuadro"/>
            </w:pPr>
            <w:r>
              <w:t xml:space="preserve">2. </w:t>
            </w:r>
            <w:r>
              <w:rPr>
                <w:b/>
                <w:bCs/>
              </w:rPr>
              <w:t xml:space="preserve">Buscar el equilibrio dinámico.</w:t>
            </w:r>
            <w:r>
              <w:t xml:space="preserve"> Hay homeostasis si un ciclo de retroalimentación negativa mantiene un valor interno variable dentro del equilibrio que permite existir: la temperatura del cuerpo o el capital de una empresa. (Clase 9 · 00:43:54–00:49:12)</w:t>
            </w:r>
          </w:p>
          <w:p>
            <w:pPr>
              <w:pStyle w:val="Recuadro"/>
            </w:pPr>
            <w:r>
              <w:t xml:space="preserve">3. </w:t>
            </w:r>
            <w:r>
              <w:rPr>
                <w:b/>
                <w:bCs/>
              </w:rPr>
              <w:t xml:space="preserve">Ubicar la entropía en las relaciones.</w:t>
            </w:r>
            <w:r>
              <w:t xml:space="preserve"> Se pregunta cuánto desorden tienen las relaciones entre las partes: cero o muy baja si el sistema se comporta idealmente, alta si es un montón sin sinergia ni emergencia, como el vehículo desarmado. (Clase 9 · 00:49:21–00:54:55)</w:t>
            </w:r>
          </w:p>
          <w:p>
            <w:pPr>
              <w:pStyle w:val="Recuadro"/>
            </w:pPr>
            <w:r>
              <w:t xml:space="preserve">4. </w:t>
            </w:r>
            <w:r>
              <w:rPr>
                <w:b/>
                <w:bCs/>
              </w:rPr>
              <w:t xml:space="preserve">Encontrar la acción que devuelve orden.</w:t>
            </w:r>
            <w:r>
              <w:t xml:space="preserve"> La neguentropía es el mecanismo regulador o la energía opuesta que contrarresta esa ley: el mantenimiento que el usuario o el técnico dan a la computadora, o más conocimiento e información. (Clase 9 · 00:55:03–00:59:14 · Clase 9 · 01:01:34–01:02:33)</w:t>
            </w:r>
          </w:p>
          <w:p>
            <w:pPr>
              <w:pStyle w:val="Recuadro"/>
            </w:pPr>
            <w:r>
              <w:t xml:space="preserve">5. </w:t>
            </w:r>
            <w:r>
              <w:rPr>
                <w:b/>
                <w:bCs/>
              </w:rPr>
              <w:t xml:space="preserve">Contar los caminos hacia el objetivo.</w:t>
            </w:r>
            <w:r>
              <w:t xml:space="preserve"> Si el sistema alcanza el mismo objetivo por formas, algoritmos o procesos distintos, como las utilidades por costos, margen o volumen, hay equifinalidad. (Clase 9 · 01:05:26–01:08:35)</w:t>
            </w:r>
          </w:p>
          <w:p>
            <w:pPr>
              <w:pStyle w:val="Recuadro"/>
            </w:pPr>
            <w:r>
              <w:t xml:space="preserve">Lo importante es manejar esta jerga propia de la teoría de sistemas: homeostasis, retroalimentación negativa y estructuras no lineales se retoman en la siguiente unidad y se oyen en varios videos del curso.</w:t>
            </w:r>
          </w:p>
        </w:tc>
      </w:tr>
    </w:tbl>
    <w:p>
      <w:pPr>
        <w:pStyle w:val="Heading3"/>
      </w:pPr>
      <w:bookmarkStart w:name="b_tabla_2_8_g1_conceptos_sistema" w:id="1892"/>
      <w:r>
        <w:t xml:space="preserve">Los nueve conceptos asociados al sistema</w:t>
      </w:r>
      <w:bookmarkEnd w:id="1892"/>
    </w:p>
    <w:tbl>
      <w:tblPr>
        <w:tblW w:type="dxa" w:w="9632"/>
        <w:tblBorders>
          <w:top w:val="single" w:color="C5D5DB" w:sz="4"/>
          <w:left w:val="single" w:color="C5D5DB" w:sz="4"/>
          <w:bottom w:val="single" w:color="C5D5DB" w:sz="4"/>
          <w:right w:val="single" w:color="C5D5DB" w:sz="4"/>
          <w:insideH w:val="single" w:color="E4E9EB" w:sz="3"/>
          <w:insideV w:val="single" w:color="E4E9EB" w:sz="3"/>
        </w:tblBorders>
        <w:tblLayout w:type="fixed"/>
      </w:tblPr>
      <w:tblGrid>
        <w:gridCol w:w="3212"/>
        <w:gridCol w:w="3210"/>
        <w:gridCol w:w="3210"/>
      </w:tblGrid>
      <w:tr>
        <w:trPr>
          <w:cantSplit/>
          <w:tblHeader/>
        </w:trPr>
        <w:tc>
          <w:tcPr>
            <w:tcW w:type="dxa" w:w="3212"/>
            <w:shd w:fill="DFEAF0" w:val="clear"/>
            <w:tcMar>
              <w:top w:type="dxa" w:w="80"/>
              <w:left w:type="dxa" w:w="100"/>
              <w:bottom w:type="dxa" w:w="80"/>
              <w:right w:type="dxa" w:w="100"/>
            </w:tcMar>
          </w:tcPr>
          <w:p>
            <w:pPr>
              <w:pStyle w:val="Tabla"/>
            </w:pPr>
            <w:r>
              <w:rPr>
                <w:b/>
                <w:bCs/>
              </w:rPr>
              <w:t xml:space="preserve">#</w:t>
            </w:r>
          </w:p>
        </w:tc>
        <w:tc>
          <w:tcPr>
            <w:tcW w:type="dxa" w:w="3210"/>
            <w:shd w:fill="DFEAF0" w:val="clear"/>
            <w:tcMar>
              <w:top w:type="dxa" w:w="80"/>
              <w:left w:type="dxa" w:w="100"/>
              <w:bottom w:type="dxa" w:w="80"/>
              <w:right w:type="dxa" w:w="100"/>
            </w:tcMar>
          </w:tcPr>
          <w:p>
            <w:pPr>
              <w:pStyle w:val="Tabla"/>
            </w:pPr>
            <w:r>
              <w:rPr>
                <w:b/>
                <w:bCs/>
              </w:rPr>
              <w:t xml:space="preserve">Racimo</w:t>
            </w:r>
          </w:p>
        </w:tc>
        <w:tc>
          <w:tcPr>
            <w:tcW w:type="dxa" w:w="3210"/>
            <w:shd w:fill="DFEAF0" w:val="clear"/>
            <w:tcMar>
              <w:top w:type="dxa" w:w="80"/>
              <w:left w:type="dxa" w:w="100"/>
              <w:bottom w:type="dxa" w:w="80"/>
              <w:right w:type="dxa" w:w="100"/>
            </w:tcMar>
          </w:tcPr>
          <w:p>
            <w:pPr>
              <w:pStyle w:val="Tabla"/>
            </w:pPr>
            <w:r>
              <w:rPr>
                <w:b/>
                <w:bCs/>
              </w:rPr>
              <w:t xml:space="preserve">Términos intercambiables</w:t>
            </w:r>
          </w:p>
        </w:tc>
      </w:tr>
      <w:tr>
        <w:trPr>
          <w:cantSplit/>
          <w:tblHeader w:val="off"/>
        </w:trPr>
        <w:tc>
          <w:tcPr>
            <w:tcW w:type="dxa" w:w="3212"/>
            <w:tcMar>
              <w:top w:type="dxa" w:w="80"/>
              <w:left w:type="dxa" w:w="100"/>
              <w:bottom w:type="dxa" w:w="80"/>
              <w:right w:type="dxa" w:w="100"/>
            </w:tcMar>
          </w:tcPr>
          <w:p>
            <w:pPr>
              <w:pStyle w:val="Tabla"/>
            </w:pPr>
            <w:r>
              <w:t xml:space="preserve">1</w:t>
            </w:r>
          </w:p>
        </w:tc>
        <w:tc>
          <w:tcPr>
            <w:tcW w:type="dxa" w:w="3210"/>
            <w:tcMar>
              <w:top w:type="dxa" w:w="80"/>
              <w:left w:type="dxa" w:w="100"/>
              <w:bottom w:type="dxa" w:w="80"/>
              <w:right w:type="dxa" w:w="100"/>
            </w:tcMar>
          </w:tcPr>
          <w:p>
            <w:pPr>
              <w:pStyle w:val="Tabla"/>
            </w:pPr>
            <w:r>
              <w:t xml:space="preserve">Totalidad</w:t>
            </w:r>
          </w:p>
        </w:tc>
        <w:tc>
          <w:tcPr>
            <w:tcW w:type="dxa" w:w="3210"/>
            <w:tcMar>
              <w:top w:type="dxa" w:w="80"/>
              <w:left w:type="dxa" w:w="100"/>
              <w:bottom w:type="dxa" w:w="80"/>
              <w:right w:type="dxa" w:w="100"/>
            </w:tcMar>
          </w:tcPr>
          <w:p>
            <w:pPr>
              <w:pStyle w:val="Tabla"/>
            </w:pPr>
            <w:r>
              <w:t xml:space="preserve">totalidad · todo</w:t>
            </w:r>
          </w:p>
        </w:tc>
      </w:tr>
      <w:tr>
        <w:trPr>
          <w:cantSplit/>
          <w:tblHeader w:val="off"/>
        </w:trPr>
        <w:tc>
          <w:tcPr>
            <w:tcW w:type="dxa" w:w="3212"/>
            <w:tcMar>
              <w:top w:type="dxa" w:w="80"/>
              <w:left w:type="dxa" w:w="100"/>
              <w:bottom w:type="dxa" w:w="80"/>
              <w:right w:type="dxa" w:w="100"/>
            </w:tcMar>
          </w:tcPr>
          <w:p>
            <w:pPr>
              <w:pStyle w:val="Tabla"/>
            </w:pPr>
            <w:r>
              <w:t xml:space="preserve">2</w:t>
            </w:r>
          </w:p>
        </w:tc>
        <w:tc>
          <w:tcPr>
            <w:tcW w:type="dxa" w:w="3210"/>
            <w:tcMar>
              <w:top w:type="dxa" w:w="80"/>
              <w:left w:type="dxa" w:w="100"/>
              <w:bottom w:type="dxa" w:w="80"/>
              <w:right w:type="dxa" w:w="100"/>
            </w:tcMar>
          </w:tcPr>
          <w:p>
            <w:pPr>
              <w:pStyle w:val="Tabla"/>
            </w:pPr>
            <w:r>
              <w:t xml:space="preserve">Componentes</w:t>
            </w:r>
          </w:p>
        </w:tc>
        <w:tc>
          <w:tcPr>
            <w:tcW w:type="dxa" w:w="3210"/>
            <w:tcMar>
              <w:top w:type="dxa" w:w="80"/>
              <w:left w:type="dxa" w:w="100"/>
              <w:bottom w:type="dxa" w:w="80"/>
              <w:right w:type="dxa" w:w="100"/>
            </w:tcMar>
          </w:tcPr>
          <w:p>
            <w:pPr>
              <w:pStyle w:val="Tabla"/>
            </w:pPr>
            <w:r>
              <w:t xml:space="preserve">componentes · partes · elementos · subsistemas</w:t>
            </w:r>
          </w:p>
        </w:tc>
      </w:tr>
      <w:tr>
        <w:trPr>
          <w:cantSplit/>
          <w:tblHeader w:val="off"/>
        </w:trPr>
        <w:tc>
          <w:tcPr>
            <w:tcW w:type="dxa" w:w="3212"/>
            <w:tcMar>
              <w:top w:type="dxa" w:w="80"/>
              <w:left w:type="dxa" w:w="100"/>
              <w:bottom w:type="dxa" w:w="80"/>
              <w:right w:type="dxa" w:w="100"/>
            </w:tcMar>
          </w:tcPr>
          <w:p>
            <w:pPr>
              <w:pStyle w:val="Tabla"/>
            </w:pPr>
            <w:r>
              <w:t xml:space="preserve">3</w:t>
            </w:r>
          </w:p>
        </w:tc>
        <w:tc>
          <w:tcPr>
            <w:tcW w:type="dxa" w:w="3210"/>
            <w:tcMar>
              <w:top w:type="dxa" w:w="80"/>
              <w:left w:type="dxa" w:w="100"/>
              <w:bottom w:type="dxa" w:w="80"/>
              <w:right w:type="dxa" w:w="100"/>
            </w:tcMar>
          </w:tcPr>
          <w:p>
            <w:pPr>
              <w:pStyle w:val="Tabla"/>
            </w:pPr>
            <w:r>
              <w:t xml:space="preserve">Relaciones</w:t>
            </w:r>
          </w:p>
        </w:tc>
        <w:tc>
          <w:tcPr>
            <w:tcW w:type="dxa" w:w="3210"/>
            <w:tcMar>
              <w:top w:type="dxa" w:w="80"/>
              <w:left w:type="dxa" w:w="100"/>
              <w:bottom w:type="dxa" w:w="80"/>
              <w:right w:type="dxa" w:w="100"/>
            </w:tcMar>
          </w:tcPr>
          <w:p>
            <w:pPr>
              <w:pStyle w:val="Tabla"/>
            </w:pPr>
            <w:r>
              <w:t xml:space="preserve">relaciones · interacciones · conexiones · interdependencias</w:t>
            </w:r>
          </w:p>
        </w:tc>
      </w:tr>
      <w:tr>
        <w:trPr>
          <w:cantSplit/>
          <w:tblHeader w:val="off"/>
        </w:trPr>
        <w:tc>
          <w:tcPr>
            <w:tcW w:type="dxa" w:w="3212"/>
            <w:tcMar>
              <w:top w:type="dxa" w:w="80"/>
              <w:left w:type="dxa" w:w="100"/>
              <w:bottom w:type="dxa" w:w="80"/>
              <w:right w:type="dxa" w:w="100"/>
            </w:tcMar>
          </w:tcPr>
          <w:p>
            <w:pPr>
              <w:pStyle w:val="Tabla"/>
            </w:pPr>
            <w:r>
              <w:t xml:space="preserve">4</w:t>
            </w:r>
          </w:p>
        </w:tc>
        <w:tc>
          <w:tcPr>
            <w:tcW w:type="dxa" w:w="3210"/>
            <w:tcMar>
              <w:top w:type="dxa" w:w="80"/>
              <w:left w:type="dxa" w:w="100"/>
              <w:bottom w:type="dxa" w:w="80"/>
              <w:right w:type="dxa" w:w="100"/>
            </w:tcMar>
          </w:tcPr>
          <w:p>
            <w:pPr>
              <w:pStyle w:val="Tabla"/>
            </w:pPr>
            <w:r>
              <w:t xml:space="preserve">Objetivos</w:t>
            </w:r>
          </w:p>
        </w:tc>
        <w:tc>
          <w:tcPr>
            <w:tcW w:type="dxa" w:w="3210"/>
            <w:tcMar>
              <w:top w:type="dxa" w:w="80"/>
              <w:left w:type="dxa" w:w="100"/>
              <w:bottom w:type="dxa" w:w="80"/>
              <w:right w:type="dxa" w:w="100"/>
            </w:tcMar>
          </w:tcPr>
          <w:p>
            <w:pPr>
              <w:pStyle w:val="Tabla"/>
            </w:pPr>
            <w:r>
              <w:t xml:space="preserve">objetivos · metas · razón de ser</w:t>
            </w:r>
          </w:p>
        </w:tc>
      </w:tr>
      <w:tr>
        <w:trPr>
          <w:cantSplit/>
          <w:tblHeader w:val="off"/>
        </w:trPr>
        <w:tc>
          <w:tcPr>
            <w:tcW w:type="dxa" w:w="3212"/>
            <w:tcMar>
              <w:top w:type="dxa" w:w="80"/>
              <w:left w:type="dxa" w:w="100"/>
              <w:bottom w:type="dxa" w:w="80"/>
              <w:right w:type="dxa" w:w="100"/>
            </w:tcMar>
          </w:tcPr>
          <w:p>
            <w:pPr>
              <w:pStyle w:val="Tabla"/>
            </w:pPr>
            <w:r>
              <w:t xml:space="preserve">5</w:t>
            </w:r>
          </w:p>
        </w:tc>
        <w:tc>
          <w:tcPr>
            <w:tcW w:type="dxa" w:w="3210"/>
            <w:tcMar>
              <w:top w:type="dxa" w:w="80"/>
              <w:left w:type="dxa" w:w="100"/>
              <w:bottom w:type="dxa" w:w="80"/>
              <w:right w:type="dxa" w:w="100"/>
            </w:tcMar>
          </w:tcPr>
          <w:p>
            <w:pPr>
              <w:pStyle w:val="Tabla"/>
            </w:pPr>
            <w:r>
              <w:t xml:space="preserve">Evolución</w:t>
            </w:r>
          </w:p>
        </w:tc>
        <w:tc>
          <w:tcPr>
            <w:tcW w:type="dxa" w:w="3210"/>
            <w:tcMar>
              <w:top w:type="dxa" w:w="80"/>
              <w:left w:type="dxa" w:w="100"/>
              <w:bottom w:type="dxa" w:w="80"/>
              <w:right w:type="dxa" w:w="100"/>
            </w:tcMar>
          </w:tcPr>
          <w:p>
            <w:pPr>
              <w:pStyle w:val="Tabla"/>
            </w:pPr>
            <w:r>
              <w:t xml:space="preserve">evoluciona · mejora · presenta diferentes características · conforme pasa el tiempo</w:t>
            </w:r>
          </w:p>
        </w:tc>
      </w:tr>
      <w:tr>
        <w:trPr>
          <w:cantSplit/>
          <w:tblHeader w:val="off"/>
        </w:trPr>
        <w:tc>
          <w:tcPr>
            <w:tcW w:type="dxa" w:w="3212"/>
            <w:tcMar>
              <w:top w:type="dxa" w:w="80"/>
              <w:left w:type="dxa" w:w="100"/>
              <w:bottom w:type="dxa" w:w="80"/>
              <w:right w:type="dxa" w:w="100"/>
            </w:tcMar>
          </w:tcPr>
          <w:p>
            <w:pPr>
              <w:pStyle w:val="Tabla"/>
            </w:pPr>
            <w:r>
              <w:t xml:space="preserve">6</w:t>
            </w:r>
          </w:p>
        </w:tc>
        <w:tc>
          <w:tcPr>
            <w:tcW w:type="dxa" w:w="3210"/>
            <w:tcMar>
              <w:top w:type="dxa" w:w="80"/>
              <w:left w:type="dxa" w:w="100"/>
              <w:bottom w:type="dxa" w:w="80"/>
              <w:right w:type="dxa" w:w="100"/>
            </w:tcMar>
          </w:tcPr>
          <w:p>
            <w:pPr>
              <w:pStyle w:val="Tabla"/>
            </w:pPr>
            <w:r>
              <w:t xml:space="preserve">Entorno y frontera</w:t>
            </w:r>
          </w:p>
        </w:tc>
        <w:tc>
          <w:tcPr>
            <w:tcW w:type="dxa" w:w="3210"/>
            <w:tcMar>
              <w:top w:type="dxa" w:w="80"/>
              <w:left w:type="dxa" w:w="100"/>
              <w:bottom w:type="dxa" w:w="80"/>
              <w:right w:type="dxa" w:w="100"/>
            </w:tcMar>
          </w:tcPr>
          <w:p>
            <w:pPr>
              <w:pStyle w:val="Tabla"/>
            </w:pPr>
            <w:r>
              <w:t xml:space="preserve">exterior · ambiente · contexto · medio · límites · frontera</w:t>
            </w:r>
          </w:p>
        </w:tc>
      </w:tr>
      <w:tr>
        <w:trPr>
          <w:cantSplit/>
          <w:tblHeader w:val="off"/>
        </w:trPr>
        <w:tc>
          <w:tcPr>
            <w:tcW w:type="dxa" w:w="3212"/>
            <w:tcMar>
              <w:top w:type="dxa" w:w="80"/>
              <w:left w:type="dxa" w:w="100"/>
              <w:bottom w:type="dxa" w:w="80"/>
              <w:right w:type="dxa" w:w="100"/>
            </w:tcMar>
          </w:tcPr>
          <w:p>
            <w:pPr>
              <w:pStyle w:val="Tabla"/>
            </w:pPr>
            <w:r>
              <w:t xml:space="preserve">7</w:t>
            </w:r>
          </w:p>
        </w:tc>
        <w:tc>
          <w:tcPr>
            <w:tcW w:type="dxa" w:w="3210"/>
            <w:tcMar>
              <w:top w:type="dxa" w:w="80"/>
              <w:left w:type="dxa" w:w="100"/>
              <w:bottom w:type="dxa" w:w="80"/>
              <w:right w:type="dxa" w:w="100"/>
            </w:tcMar>
          </w:tcPr>
          <w:p>
            <w:pPr>
              <w:pStyle w:val="Tabla"/>
            </w:pPr>
            <w:r>
              <w:t xml:space="preserve">Estructura organizada</w:t>
            </w:r>
          </w:p>
        </w:tc>
        <w:tc>
          <w:tcPr>
            <w:tcW w:type="dxa" w:w="3210"/>
            <w:tcMar>
              <w:top w:type="dxa" w:w="80"/>
              <w:left w:type="dxa" w:w="100"/>
              <w:bottom w:type="dxa" w:w="80"/>
              <w:right w:type="dxa" w:w="100"/>
            </w:tcMar>
          </w:tcPr>
          <w:p>
            <w:pPr>
              <w:pStyle w:val="Tabla"/>
            </w:pPr>
            <w:r>
              <w:t xml:space="preserve">estructura organizada · organización · reglas · principios · procedimientos · serie de pasos</w:t>
            </w:r>
          </w:p>
        </w:tc>
      </w:tr>
      <w:tr>
        <w:trPr>
          <w:cantSplit/>
          <w:tblHeader w:val="off"/>
        </w:trPr>
        <w:tc>
          <w:tcPr>
            <w:tcW w:type="dxa" w:w="3212"/>
            <w:tcMar>
              <w:top w:type="dxa" w:w="80"/>
              <w:left w:type="dxa" w:w="100"/>
              <w:bottom w:type="dxa" w:w="80"/>
              <w:right w:type="dxa" w:w="100"/>
            </w:tcMar>
          </w:tcPr>
          <w:p>
            <w:pPr>
              <w:pStyle w:val="Tabla"/>
            </w:pPr>
            <w:r>
              <w:t xml:space="preserve">8</w:t>
            </w:r>
          </w:p>
        </w:tc>
        <w:tc>
          <w:tcPr>
            <w:tcW w:type="dxa" w:w="3210"/>
            <w:tcMar>
              <w:top w:type="dxa" w:w="80"/>
              <w:left w:type="dxa" w:w="100"/>
              <w:bottom w:type="dxa" w:w="80"/>
              <w:right w:type="dxa" w:w="100"/>
            </w:tcMar>
          </w:tcPr>
          <w:p>
            <w:pPr>
              <w:pStyle w:val="Tabla"/>
            </w:pPr>
            <w:r>
              <w:t xml:space="preserve">Entradas</w:t>
            </w:r>
          </w:p>
        </w:tc>
        <w:tc>
          <w:tcPr>
            <w:tcW w:type="dxa" w:w="3210"/>
            <w:tcMar>
              <w:top w:type="dxa" w:w="80"/>
              <w:left w:type="dxa" w:w="100"/>
              <w:bottom w:type="dxa" w:w="80"/>
              <w:right w:type="dxa" w:w="100"/>
            </w:tcMar>
          </w:tcPr>
          <w:p>
            <w:pPr>
              <w:pStyle w:val="Tabla"/>
            </w:pPr>
            <w:r>
              <w:t xml:space="preserve">entradas · input</w:t>
            </w:r>
          </w:p>
        </w:tc>
      </w:tr>
      <w:tr>
        <w:trPr>
          <w:cantSplit/>
          <w:tblHeader w:val="off"/>
        </w:trPr>
        <w:tc>
          <w:tcPr>
            <w:tcW w:type="dxa" w:w="3212"/>
            <w:tcMar>
              <w:top w:type="dxa" w:w="80"/>
              <w:left w:type="dxa" w:w="100"/>
              <w:bottom w:type="dxa" w:w="80"/>
              <w:right w:type="dxa" w:w="100"/>
            </w:tcMar>
          </w:tcPr>
          <w:p>
            <w:pPr>
              <w:pStyle w:val="Tabla"/>
            </w:pPr>
            <w:r>
              <w:t xml:space="preserve">9</w:t>
            </w:r>
          </w:p>
        </w:tc>
        <w:tc>
          <w:tcPr>
            <w:tcW w:type="dxa" w:w="3210"/>
            <w:tcMar>
              <w:top w:type="dxa" w:w="80"/>
              <w:left w:type="dxa" w:w="100"/>
              <w:bottom w:type="dxa" w:w="80"/>
              <w:right w:type="dxa" w:w="100"/>
            </w:tcMar>
          </w:tcPr>
          <w:p>
            <w:pPr>
              <w:pStyle w:val="Tabla"/>
            </w:pPr>
            <w:r>
              <w:t xml:space="preserve">Salidas</w:t>
            </w:r>
          </w:p>
        </w:tc>
        <w:tc>
          <w:tcPr>
            <w:tcW w:type="dxa" w:w="3210"/>
            <w:tcMar>
              <w:top w:type="dxa" w:w="80"/>
              <w:left w:type="dxa" w:w="100"/>
              <w:bottom w:type="dxa" w:w="80"/>
              <w:right w:type="dxa" w:w="100"/>
            </w:tcMar>
          </w:tcPr>
          <w:p>
            <w:pPr>
              <w:pStyle w:val="Tabla"/>
            </w:pPr>
            <w:r>
              <w:t xml:space="preserve">salidas · output</w:t>
            </w:r>
          </w:p>
        </w:tc>
      </w:tr>
    </w:tbl>
    <w:p>
      <w:pPr>
        <w:pStyle w:val="Fuente"/>
      </w:pPr>
      <w:r>
        <w:t xml:space="preserve">Lámina 7 de la clase 6. Cada viñeta es un racimo de sinónimos: el examen puede usar cualquiera de los términos del racimo.</w:t>
      </w:r>
    </w:p>
    <w:p>
      <w:pPr>
        <w:pStyle w:val="Heading3"/>
      </w:pPr>
      <w:bookmarkStart w:name="b_tabla_2_8_g1_tgs" w:id="1893"/>
      <w:r>
        <w:t xml:space="preserve">Los conceptos de la Teoría General de Sistemas</w:t>
      </w:r>
      <w:bookmarkEnd w:id="1893"/>
    </w:p>
    <w:tbl>
      <w:tblPr>
        <w:tblW w:type="dxa" w:w="9632"/>
        <w:tblBorders>
          <w:top w:val="single" w:color="C5D5DB" w:sz="4"/>
          <w:left w:val="single" w:color="C5D5DB" w:sz="4"/>
          <w:bottom w:val="single" w:color="C5D5DB" w:sz="4"/>
          <w:right w:val="single" w:color="C5D5DB" w:sz="4"/>
          <w:insideH w:val="single" w:color="E4E9EB" w:sz="3"/>
          <w:insideV w:val="single" w:color="E4E9EB" w:sz="3"/>
        </w:tblBorders>
        <w:tblLayout w:type="fixed"/>
      </w:tblPr>
      <w:tblGrid>
        <w:gridCol w:w="1928"/>
        <w:gridCol w:w="1926"/>
        <w:gridCol w:w="1926"/>
        <w:gridCol w:w="1926"/>
        <w:gridCol w:w="1926"/>
      </w:tblGrid>
      <w:tr>
        <w:trPr>
          <w:cantSplit/>
          <w:tblHeader/>
        </w:trPr>
        <w:tc>
          <w:tcPr>
            <w:tcW w:type="dxa" w:w="1928"/>
            <w:shd w:fill="DFEAF0" w:val="clear"/>
            <w:tcMar>
              <w:top w:type="dxa" w:w="80"/>
              <w:left w:type="dxa" w:w="100"/>
              <w:bottom w:type="dxa" w:w="80"/>
              <w:right w:type="dxa" w:w="100"/>
            </w:tcMar>
          </w:tcPr>
          <w:p>
            <w:pPr>
              <w:pStyle w:val="Tabla"/>
            </w:pPr>
            <w:r>
              <w:rPr>
                <w:b/>
                <w:bCs/>
              </w:rPr>
              <w:t xml:space="preserve">Concepto</w:t>
            </w:r>
          </w:p>
        </w:tc>
        <w:tc>
          <w:tcPr>
            <w:tcW w:type="dxa" w:w="1926"/>
            <w:shd w:fill="DFEAF0" w:val="clear"/>
            <w:tcMar>
              <w:top w:type="dxa" w:w="80"/>
              <w:left w:type="dxa" w:w="100"/>
              <w:bottom w:type="dxa" w:w="80"/>
              <w:right w:type="dxa" w:w="100"/>
            </w:tcMar>
          </w:tcPr>
          <w:p>
            <w:pPr>
              <w:pStyle w:val="Tabla"/>
            </w:pPr>
            <w:r>
              <w:rPr>
                <w:b/>
                <w:bCs/>
              </w:rPr>
              <w:t xml:space="preserve">Familia</w:t>
            </w:r>
          </w:p>
        </w:tc>
        <w:tc>
          <w:tcPr>
            <w:tcW w:type="dxa" w:w="1926"/>
            <w:shd w:fill="DFEAF0" w:val="clear"/>
            <w:tcMar>
              <w:top w:type="dxa" w:w="80"/>
              <w:left w:type="dxa" w:w="100"/>
              <w:bottom w:type="dxa" w:w="80"/>
              <w:right w:type="dxa" w:w="100"/>
            </w:tcMar>
          </w:tcPr>
          <w:p>
            <w:pPr>
              <w:pStyle w:val="Tabla"/>
            </w:pPr>
            <w:r>
              <w:rPr>
                <w:b/>
                <w:bCs/>
              </w:rPr>
              <w:t xml:space="preserve">En una línea</w:t>
            </w:r>
          </w:p>
        </w:tc>
        <w:tc>
          <w:tcPr>
            <w:tcW w:type="dxa" w:w="1926"/>
            <w:shd w:fill="DFEAF0" w:val="clear"/>
            <w:tcMar>
              <w:top w:type="dxa" w:w="80"/>
              <w:left w:type="dxa" w:w="100"/>
              <w:bottom w:type="dxa" w:w="80"/>
              <w:right w:type="dxa" w:w="100"/>
            </w:tcMar>
          </w:tcPr>
          <w:p>
            <w:pPr>
              <w:pStyle w:val="Tabla"/>
            </w:pPr>
            <w:r>
              <w:rPr>
                <w:b/>
                <w:bCs/>
              </w:rPr>
              <w:t xml:space="preserve">Opuesto</w:t>
            </w:r>
          </w:p>
        </w:tc>
        <w:tc>
          <w:tcPr>
            <w:tcW w:type="dxa" w:w="1926"/>
            <w:shd w:fill="DFEAF0" w:val="clear"/>
            <w:tcMar>
              <w:top w:type="dxa" w:w="80"/>
              <w:left w:type="dxa" w:w="100"/>
              <w:bottom w:type="dxa" w:w="80"/>
              <w:right w:type="dxa" w:w="100"/>
            </w:tcMar>
          </w:tcPr>
          <w:p>
            <w:pPr>
              <w:pStyle w:val="Tabla"/>
            </w:pPr>
            <w:r>
              <w:rPr>
                <w:b/>
                <w:bCs/>
              </w:rPr>
              <w:t xml:space="preserve">Atribución</w:t>
            </w:r>
          </w:p>
        </w:tc>
      </w:tr>
      <w:tr>
        <w:trPr>
          <w:cantSplit/>
          <w:tblHeader w:val="off"/>
        </w:trPr>
        <w:tc>
          <w:tcPr>
            <w:tcW w:type="dxa" w:w="1928"/>
            <w:tcMar>
              <w:top w:type="dxa" w:w="80"/>
              <w:left w:type="dxa" w:w="100"/>
              <w:bottom w:type="dxa" w:w="80"/>
              <w:right w:type="dxa" w:w="100"/>
            </w:tcMar>
          </w:tcPr>
          <w:p>
            <w:pPr>
              <w:pStyle w:val="Tabla"/>
            </w:pPr>
            <w:r>
              <w:t xml:space="preserve">Sistema abierto</w:t>
            </w:r>
          </w:p>
        </w:tc>
        <w:tc>
          <w:tcPr>
            <w:tcW w:type="dxa" w:w="1926"/>
            <w:tcMar>
              <w:top w:type="dxa" w:w="80"/>
              <w:left w:type="dxa" w:w="100"/>
              <w:bottom w:type="dxa" w:w="80"/>
              <w:right w:type="dxa" w:w="100"/>
            </w:tcMar>
          </w:tcPr>
          <w:p>
            <w:pPr>
              <w:pStyle w:val="Tabla"/>
            </w:pPr>
            <w:r>
              <w:t xml:space="preserve">Fronteras y entorno</w:t>
            </w:r>
          </w:p>
        </w:tc>
        <w:tc>
          <w:tcPr>
            <w:tcW w:type="dxa" w:w="1926"/>
            <w:tcMar>
              <w:top w:type="dxa" w:w="80"/>
              <w:left w:type="dxa" w:w="100"/>
              <w:bottom w:type="dxa" w:w="80"/>
              <w:right w:type="dxa" w:w="100"/>
            </w:tcMar>
          </w:tcPr>
          <w:p>
            <w:pPr>
              <w:pStyle w:val="Tabla"/>
            </w:pPr>
            <w:r>
              <w:t xml:space="preserve">Intercambia materia, energía e información con su entorno</w:t>
            </w:r>
          </w:p>
        </w:tc>
        <w:tc>
          <w:tcPr>
            <w:tcW w:type="dxa" w:w="1926"/>
            <w:tcMar>
              <w:top w:type="dxa" w:w="80"/>
              <w:left w:type="dxa" w:w="100"/>
              <w:bottom w:type="dxa" w:w="80"/>
              <w:right w:type="dxa" w:w="100"/>
            </w:tcMar>
          </w:tcPr>
          <w:p>
            <w:pPr>
              <w:pStyle w:val="Tabla"/>
            </w:pPr>
            <w:r>
              <w:t xml:space="preserve">Sistema cerrado</w:t>
            </w:r>
          </w:p>
        </w:tc>
        <w:tc>
          <w:tcPr>
            <w:tcW w:type="dxa" w:w="1926"/>
            <w:tcMar>
              <w:top w:type="dxa" w:w="80"/>
              <w:left w:type="dxa" w:w="100"/>
              <w:bottom w:type="dxa" w:w="80"/>
              <w:right w:type="dxa" w:w="100"/>
            </w:tcMar>
          </w:tcPr>
          <w:p>
            <w:pPr>
              <w:pStyle w:val="Tabla"/>
            </w:pPr>
            <w:r>
              <w:t xml:space="preserve">von Bertalanffy</w:t>
            </w:r>
          </w:p>
        </w:tc>
      </w:tr>
      <w:tr>
        <w:trPr>
          <w:cantSplit/>
          <w:tblHeader w:val="off"/>
        </w:trPr>
        <w:tc>
          <w:tcPr>
            <w:tcW w:type="dxa" w:w="1928"/>
            <w:tcMar>
              <w:top w:type="dxa" w:w="80"/>
              <w:left w:type="dxa" w:w="100"/>
              <w:bottom w:type="dxa" w:w="80"/>
              <w:right w:type="dxa" w:w="100"/>
            </w:tcMar>
          </w:tcPr>
          <w:p>
            <w:pPr>
              <w:pStyle w:val="Tabla"/>
            </w:pPr>
            <w:r>
              <w:t xml:space="preserve">Sistema cerrado</w:t>
            </w:r>
          </w:p>
        </w:tc>
        <w:tc>
          <w:tcPr>
            <w:tcW w:type="dxa" w:w="1926"/>
            <w:tcMar>
              <w:top w:type="dxa" w:w="80"/>
              <w:left w:type="dxa" w:w="100"/>
              <w:bottom w:type="dxa" w:w="80"/>
              <w:right w:type="dxa" w:w="100"/>
            </w:tcMar>
          </w:tcPr>
          <w:p>
            <w:pPr>
              <w:pStyle w:val="Tabla"/>
            </w:pPr>
            <w:r>
              <w:t xml:space="preserve">Fronteras y entorno</w:t>
            </w:r>
          </w:p>
        </w:tc>
        <w:tc>
          <w:tcPr>
            <w:tcW w:type="dxa" w:w="1926"/>
            <w:tcMar>
              <w:top w:type="dxa" w:w="80"/>
              <w:left w:type="dxa" w:w="100"/>
              <w:bottom w:type="dxa" w:w="80"/>
              <w:right w:type="dxa" w:w="100"/>
            </w:tcMar>
          </w:tcPr>
          <w:p>
            <w:pPr>
              <w:pStyle w:val="Tabla"/>
            </w:pPr>
            <w:r>
              <w:t xml:space="preserve">No intercambia materia; puede intercambiar energía</w:t>
            </w:r>
          </w:p>
        </w:tc>
        <w:tc>
          <w:tcPr>
            <w:tcW w:type="dxa" w:w="1926"/>
            <w:tcMar>
              <w:top w:type="dxa" w:w="80"/>
              <w:left w:type="dxa" w:w="100"/>
              <w:bottom w:type="dxa" w:w="80"/>
              <w:right w:type="dxa" w:w="100"/>
            </w:tcMar>
          </w:tcPr>
          <w:p>
            <w:pPr>
              <w:pStyle w:val="Tabla"/>
            </w:pPr>
            <w:r>
              <w:t xml:space="preserve">Sistema abierto</w:t>
            </w:r>
          </w:p>
        </w:tc>
        <w:tc>
          <w:tcPr>
            <w:tcW w:type="dxa" w:w="1926"/>
            <w:tcMar>
              <w:top w:type="dxa" w:w="80"/>
              <w:left w:type="dxa" w:w="100"/>
              <w:bottom w:type="dxa" w:w="80"/>
              <w:right w:type="dxa" w:w="100"/>
            </w:tcMar>
          </w:tcPr>
          <w:p>
            <w:pPr>
              <w:pStyle w:val="Tabla"/>
            </w:pPr>
            <w:r>
              <w:t xml:space="preserve">—</w:t>
            </w:r>
          </w:p>
        </w:tc>
      </w:tr>
      <w:tr>
        <w:trPr>
          <w:cantSplit/>
          <w:tblHeader w:val="off"/>
        </w:trPr>
        <w:tc>
          <w:tcPr>
            <w:tcW w:type="dxa" w:w="1928"/>
            <w:tcMar>
              <w:top w:type="dxa" w:w="80"/>
              <w:left w:type="dxa" w:w="100"/>
              <w:bottom w:type="dxa" w:w="80"/>
              <w:right w:type="dxa" w:w="100"/>
            </w:tcMar>
          </w:tcPr>
          <w:p>
            <w:pPr>
              <w:pStyle w:val="Tabla"/>
            </w:pPr>
            <w:r>
              <w:t xml:space="preserve">Entropía</w:t>
            </w:r>
          </w:p>
        </w:tc>
        <w:tc>
          <w:tcPr>
            <w:tcW w:type="dxa" w:w="1926"/>
            <w:tcMar>
              <w:top w:type="dxa" w:w="80"/>
              <w:left w:type="dxa" w:w="100"/>
              <w:bottom w:type="dxa" w:w="80"/>
              <w:right w:type="dxa" w:w="100"/>
            </w:tcMar>
          </w:tcPr>
          <w:p>
            <w:pPr>
              <w:pStyle w:val="Tabla"/>
            </w:pPr>
            <w:r>
              <w:t xml:space="preserve">Energía y orden</w:t>
            </w:r>
          </w:p>
        </w:tc>
        <w:tc>
          <w:tcPr>
            <w:tcW w:type="dxa" w:w="1926"/>
            <w:tcMar>
              <w:top w:type="dxa" w:w="80"/>
              <w:left w:type="dxa" w:w="100"/>
              <w:bottom w:type="dxa" w:w="80"/>
              <w:right w:type="dxa" w:w="100"/>
            </w:tcMar>
          </w:tcPr>
          <w:p>
            <w:pPr>
              <w:pStyle w:val="Tabla"/>
            </w:pPr>
            <w:r>
              <w:t xml:space="preserve">Tendencia natural al desorden y a la pérdida de estructura</w:t>
            </w:r>
          </w:p>
        </w:tc>
        <w:tc>
          <w:tcPr>
            <w:tcW w:type="dxa" w:w="1926"/>
            <w:tcMar>
              <w:top w:type="dxa" w:w="80"/>
              <w:left w:type="dxa" w:w="100"/>
              <w:bottom w:type="dxa" w:w="80"/>
              <w:right w:type="dxa" w:w="100"/>
            </w:tcMar>
          </w:tcPr>
          <w:p>
            <w:pPr>
              <w:pStyle w:val="Tabla"/>
            </w:pPr>
            <w:r>
              <w:t xml:space="preserve">Neguentropía</w:t>
            </w:r>
          </w:p>
        </w:tc>
        <w:tc>
          <w:tcPr>
            <w:tcW w:type="dxa" w:w="1926"/>
            <w:tcMar>
              <w:top w:type="dxa" w:w="80"/>
              <w:left w:type="dxa" w:w="100"/>
              <w:bottom w:type="dxa" w:w="80"/>
              <w:right w:type="dxa" w:w="100"/>
            </w:tcMar>
          </w:tcPr>
          <w:p>
            <w:pPr>
              <w:pStyle w:val="Tabla"/>
            </w:pPr>
            <w:r>
              <w:t xml:space="preserve">—</w:t>
            </w:r>
          </w:p>
        </w:tc>
      </w:tr>
      <w:tr>
        <w:trPr>
          <w:cantSplit/>
          <w:tblHeader w:val="off"/>
        </w:trPr>
        <w:tc>
          <w:tcPr>
            <w:tcW w:type="dxa" w:w="1928"/>
            <w:tcMar>
              <w:top w:type="dxa" w:w="80"/>
              <w:left w:type="dxa" w:w="100"/>
              <w:bottom w:type="dxa" w:w="80"/>
              <w:right w:type="dxa" w:w="100"/>
            </w:tcMar>
          </w:tcPr>
          <w:p>
            <w:pPr>
              <w:pStyle w:val="Tabla"/>
            </w:pPr>
            <w:r>
              <w:t xml:space="preserve">Neguentropía</w:t>
            </w:r>
          </w:p>
        </w:tc>
        <w:tc>
          <w:tcPr>
            <w:tcW w:type="dxa" w:w="1926"/>
            <w:tcMar>
              <w:top w:type="dxa" w:w="80"/>
              <w:left w:type="dxa" w:w="100"/>
              <w:bottom w:type="dxa" w:w="80"/>
              <w:right w:type="dxa" w:w="100"/>
            </w:tcMar>
          </w:tcPr>
          <w:p>
            <w:pPr>
              <w:pStyle w:val="Tabla"/>
            </w:pPr>
            <w:r>
              <w:t xml:space="preserve">Energía y orden</w:t>
            </w:r>
          </w:p>
        </w:tc>
        <w:tc>
          <w:tcPr>
            <w:tcW w:type="dxa" w:w="1926"/>
            <w:tcMar>
              <w:top w:type="dxa" w:w="80"/>
              <w:left w:type="dxa" w:w="100"/>
              <w:bottom w:type="dxa" w:w="80"/>
              <w:right w:type="dxa" w:w="100"/>
            </w:tcMar>
          </w:tcPr>
          <w:p>
            <w:pPr>
              <w:pStyle w:val="Tabla"/>
            </w:pPr>
            <w:r>
              <w:t xml:space="preserve">Importa orden del entorno para resistir la degradación</w:t>
            </w:r>
          </w:p>
        </w:tc>
        <w:tc>
          <w:tcPr>
            <w:tcW w:type="dxa" w:w="1926"/>
            <w:tcMar>
              <w:top w:type="dxa" w:w="80"/>
              <w:left w:type="dxa" w:w="100"/>
              <w:bottom w:type="dxa" w:w="80"/>
              <w:right w:type="dxa" w:w="100"/>
            </w:tcMar>
          </w:tcPr>
          <w:p>
            <w:pPr>
              <w:pStyle w:val="Tabla"/>
            </w:pPr>
            <w:r>
              <w:t xml:space="preserve">Entropía</w:t>
            </w:r>
          </w:p>
        </w:tc>
        <w:tc>
          <w:tcPr>
            <w:tcW w:type="dxa" w:w="1926"/>
            <w:tcMar>
              <w:top w:type="dxa" w:w="80"/>
              <w:left w:type="dxa" w:w="100"/>
              <w:bottom w:type="dxa" w:w="80"/>
              <w:right w:type="dxa" w:w="100"/>
            </w:tcMar>
          </w:tcPr>
          <w:p>
            <w:pPr>
              <w:pStyle w:val="Tabla"/>
            </w:pPr>
            <w:r>
              <w:t xml:space="preserve">Schrödinger / Brillouin</w:t>
            </w:r>
          </w:p>
        </w:tc>
      </w:tr>
      <w:tr>
        <w:trPr>
          <w:cantSplit/>
          <w:tblHeader w:val="off"/>
        </w:trPr>
        <w:tc>
          <w:tcPr>
            <w:tcW w:type="dxa" w:w="1928"/>
            <w:tcMar>
              <w:top w:type="dxa" w:w="80"/>
              <w:left w:type="dxa" w:w="100"/>
              <w:bottom w:type="dxa" w:w="80"/>
              <w:right w:type="dxa" w:w="100"/>
            </w:tcMar>
          </w:tcPr>
          <w:p>
            <w:pPr>
              <w:pStyle w:val="Tabla"/>
            </w:pPr>
            <w:r>
              <w:t xml:space="preserve">Homeostasis</w:t>
            </w:r>
          </w:p>
        </w:tc>
        <w:tc>
          <w:tcPr>
            <w:tcW w:type="dxa" w:w="1926"/>
            <w:tcMar>
              <w:top w:type="dxa" w:w="80"/>
              <w:left w:type="dxa" w:w="100"/>
              <w:bottom w:type="dxa" w:w="80"/>
              <w:right w:type="dxa" w:w="100"/>
            </w:tcMar>
          </w:tcPr>
          <w:p>
            <w:pPr>
              <w:pStyle w:val="Tabla"/>
            </w:pPr>
            <w:r>
              <w:t xml:space="preserve">Regulación y control</w:t>
            </w:r>
          </w:p>
        </w:tc>
        <w:tc>
          <w:tcPr>
            <w:tcW w:type="dxa" w:w="1926"/>
            <w:tcMar>
              <w:top w:type="dxa" w:w="80"/>
              <w:left w:type="dxa" w:w="100"/>
              <w:bottom w:type="dxa" w:w="80"/>
              <w:right w:type="dxa" w:w="100"/>
            </w:tcMar>
          </w:tcPr>
          <w:p>
            <w:pPr>
              <w:pStyle w:val="Tabla"/>
            </w:pPr>
            <w:r>
              <w:t xml:space="preserve">Mantiene estables sus variables internas pese al entorno</w:t>
            </w:r>
          </w:p>
        </w:tc>
        <w:tc>
          <w:tcPr>
            <w:tcW w:type="dxa" w:w="1926"/>
            <w:tcMar>
              <w:top w:type="dxa" w:w="80"/>
              <w:left w:type="dxa" w:w="100"/>
              <w:bottom w:type="dxa" w:w="80"/>
              <w:right w:type="dxa" w:w="100"/>
            </w:tcMar>
          </w:tcPr>
          <w:p>
            <w:pPr>
              <w:pStyle w:val="Tabla"/>
            </w:pPr>
            <w:r>
              <w:t xml:space="preserve">—</w:t>
            </w:r>
          </w:p>
        </w:tc>
        <w:tc>
          <w:tcPr>
            <w:tcW w:type="dxa" w:w="1926"/>
            <w:tcMar>
              <w:top w:type="dxa" w:w="80"/>
              <w:left w:type="dxa" w:w="100"/>
              <w:bottom w:type="dxa" w:w="80"/>
              <w:right w:type="dxa" w:w="100"/>
            </w:tcMar>
          </w:tcPr>
          <w:p>
            <w:pPr>
              <w:pStyle w:val="Tabla"/>
            </w:pPr>
            <w:r>
              <w:t xml:space="preserve">Cannon</w:t>
            </w:r>
          </w:p>
        </w:tc>
      </w:tr>
      <w:tr>
        <w:trPr>
          <w:cantSplit/>
          <w:tblHeader w:val="off"/>
        </w:trPr>
        <w:tc>
          <w:tcPr>
            <w:tcW w:type="dxa" w:w="1928"/>
            <w:tcMar>
              <w:top w:type="dxa" w:w="80"/>
              <w:left w:type="dxa" w:w="100"/>
              <w:bottom w:type="dxa" w:w="80"/>
              <w:right w:type="dxa" w:w="100"/>
            </w:tcMar>
          </w:tcPr>
          <w:p>
            <w:pPr>
              <w:pStyle w:val="Tabla"/>
            </w:pPr>
            <w:r>
              <w:t xml:space="preserve">Retroalimentación negativa</w:t>
            </w:r>
          </w:p>
        </w:tc>
        <w:tc>
          <w:tcPr>
            <w:tcW w:type="dxa" w:w="1926"/>
            <w:tcMar>
              <w:top w:type="dxa" w:w="80"/>
              <w:left w:type="dxa" w:w="100"/>
              <w:bottom w:type="dxa" w:w="80"/>
              <w:right w:type="dxa" w:w="100"/>
            </w:tcMar>
          </w:tcPr>
          <w:p>
            <w:pPr>
              <w:pStyle w:val="Tabla"/>
            </w:pPr>
            <w:r>
              <w:t xml:space="preserve">Regulación y control</w:t>
            </w:r>
          </w:p>
        </w:tc>
        <w:tc>
          <w:tcPr>
            <w:tcW w:type="dxa" w:w="1926"/>
            <w:tcMar>
              <w:top w:type="dxa" w:w="80"/>
              <w:left w:type="dxa" w:w="100"/>
              <w:bottom w:type="dxa" w:w="80"/>
              <w:right w:type="dxa" w:w="100"/>
            </w:tcMar>
          </w:tcPr>
          <w:p>
            <w:pPr>
              <w:pStyle w:val="Tabla"/>
            </w:pPr>
            <w:r>
              <w:t xml:space="preserve">Corrige la desviación y estabiliza (bucle compensador)</w:t>
            </w:r>
          </w:p>
        </w:tc>
        <w:tc>
          <w:tcPr>
            <w:tcW w:type="dxa" w:w="1926"/>
            <w:tcMar>
              <w:top w:type="dxa" w:w="80"/>
              <w:left w:type="dxa" w:w="100"/>
              <w:bottom w:type="dxa" w:w="80"/>
              <w:right w:type="dxa" w:w="100"/>
            </w:tcMar>
          </w:tcPr>
          <w:p>
            <w:pPr>
              <w:pStyle w:val="Tabla"/>
            </w:pPr>
            <w:r>
              <w:t xml:space="preserve">Retroalimentación positiva</w:t>
            </w:r>
          </w:p>
        </w:tc>
        <w:tc>
          <w:tcPr>
            <w:tcW w:type="dxa" w:w="1926"/>
            <w:tcMar>
              <w:top w:type="dxa" w:w="80"/>
              <w:left w:type="dxa" w:w="100"/>
              <w:bottom w:type="dxa" w:w="80"/>
              <w:right w:type="dxa" w:w="100"/>
            </w:tcMar>
          </w:tcPr>
          <w:p>
            <w:pPr>
              <w:pStyle w:val="Tabla"/>
            </w:pPr>
            <w:r>
              <w:t xml:space="preserve">—</w:t>
            </w:r>
          </w:p>
        </w:tc>
      </w:tr>
      <w:tr>
        <w:trPr>
          <w:cantSplit/>
          <w:tblHeader w:val="off"/>
        </w:trPr>
        <w:tc>
          <w:tcPr>
            <w:tcW w:type="dxa" w:w="1928"/>
            <w:tcMar>
              <w:top w:type="dxa" w:w="80"/>
              <w:left w:type="dxa" w:w="100"/>
              <w:bottom w:type="dxa" w:w="80"/>
              <w:right w:type="dxa" w:w="100"/>
            </w:tcMar>
          </w:tcPr>
          <w:p>
            <w:pPr>
              <w:pStyle w:val="Tabla"/>
            </w:pPr>
            <w:r>
              <w:t xml:space="preserve">Retroalimentación positiva</w:t>
            </w:r>
          </w:p>
        </w:tc>
        <w:tc>
          <w:tcPr>
            <w:tcW w:type="dxa" w:w="1926"/>
            <w:tcMar>
              <w:top w:type="dxa" w:w="80"/>
              <w:left w:type="dxa" w:w="100"/>
              <w:bottom w:type="dxa" w:w="80"/>
              <w:right w:type="dxa" w:w="100"/>
            </w:tcMar>
          </w:tcPr>
          <w:p>
            <w:pPr>
              <w:pStyle w:val="Tabla"/>
            </w:pPr>
            <w:r>
              <w:t xml:space="preserve">Regulación y control</w:t>
            </w:r>
          </w:p>
        </w:tc>
        <w:tc>
          <w:tcPr>
            <w:tcW w:type="dxa" w:w="1926"/>
            <w:tcMar>
              <w:top w:type="dxa" w:w="80"/>
              <w:left w:type="dxa" w:w="100"/>
              <w:bottom w:type="dxa" w:w="80"/>
              <w:right w:type="dxa" w:w="100"/>
            </w:tcMar>
          </w:tcPr>
          <w:p>
            <w:pPr>
              <w:pStyle w:val="Tabla"/>
            </w:pPr>
            <w:r>
              <w:t xml:space="preserve">Amplifica la desviación; genera crecimiento o colapso (bucle reforzador)</w:t>
            </w:r>
          </w:p>
        </w:tc>
        <w:tc>
          <w:tcPr>
            <w:tcW w:type="dxa" w:w="1926"/>
            <w:tcMar>
              <w:top w:type="dxa" w:w="80"/>
              <w:left w:type="dxa" w:w="100"/>
              <w:bottom w:type="dxa" w:w="80"/>
              <w:right w:type="dxa" w:w="100"/>
            </w:tcMar>
          </w:tcPr>
          <w:p>
            <w:pPr>
              <w:pStyle w:val="Tabla"/>
            </w:pPr>
            <w:r>
              <w:t xml:space="preserve">Retroalimentación negativa</w:t>
            </w:r>
          </w:p>
        </w:tc>
        <w:tc>
          <w:tcPr>
            <w:tcW w:type="dxa" w:w="1926"/>
            <w:tcMar>
              <w:top w:type="dxa" w:w="80"/>
              <w:left w:type="dxa" w:w="100"/>
              <w:bottom w:type="dxa" w:w="80"/>
              <w:right w:type="dxa" w:w="100"/>
            </w:tcMar>
          </w:tcPr>
          <w:p>
            <w:pPr>
              <w:pStyle w:val="Tabla"/>
            </w:pPr>
            <w:r>
              <w:t xml:space="preserve">—</w:t>
            </w:r>
          </w:p>
        </w:tc>
      </w:tr>
      <w:tr>
        <w:trPr>
          <w:cantSplit/>
          <w:tblHeader w:val="off"/>
        </w:trPr>
        <w:tc>
          <w:tcPr>
            <w:tcW w:type="dxa" w:w="1928"/>
            <w:tcMar>
              <w:top w:type="dxa" w:w="80"/>
              <w:left w:type="dxa" w:w="100"/>
              <w:bottom w:type="dxa" w:w="80"/>
              <w:right w:type="dxa" w:w="100"/>
            </w:tcMar>
          </w:tcPr>
          <w:p>
            <w:pPr>
              <w:pStyle w:val="Tabla"/>
            </w:pPr>
            <w:r>
              <w:t xml:space="preserve">Equifinalidad</w:t>
            </w:r>
          </w:p>
        </w:tc>
        <w:tc>
          <w:tcPr>
            <w:tcW w:type="dxa" w:w="1926"/>
            <w:tcMar>
              <w:top w:type="dxa" w:w="80"/>
              <w:left w:type="dxa" w:w="100"/>
              <w:bottom w:type="dxa" w:w="80"/>
              <w:right w:type="dxa" w:w="100"/>
            </w:tcMar>
          </w:tcPr>
          <w:p>
            <w:pPr>
              <w:pStyle w:val="Tabla"/>
            </w:pPr>
            <w:r>
              <w:t xml:space="preserve">Regulación y control</w:t>
            </w:r>
          </w:p>
        </w:tc>
        <w:tc>
          <w:tcPr>
            <w:tcW w:type="dxa" w:w="1926"/>
            <w:tcMar>
              <w:top w:type="dxa" w:w="80"/>
              <w:left w:type="dxa" w:w="100"/>
              <w:bottom w:type="dxa" w:w="80"/>
              <w:right w:type="dxa" w:w="100"/>
            </w:tcMar>
          </w:tcPr>
          <w:p>
            <w:pPr>
              <w:pStyle w:val="Tabla"/>
            </w:pPr>
            <w:r>
              <w:t xml:space="preserve">Un mismo estado final desde orígenes y caminos distintos</w:t>
            </w:r>
          </w:p>
        </w:tc>
        <w:tc>
          <w:tcPr>
            <w:tcW w:type="dxa" w:w="1926"/>
            <w:tcMar>
              <w:top w:type="dxa" w:w="80"/>
              <w:left w:type="dxa" w:w="100"/>
              <w:bottom w:type="dxa" w:w="80"/>
              <w:right w:type="dxa" w:w="100"/>
            </w:tcMar>
          </w:tcPr>
          <w:p>
            <w:pPr>
              <w:pStyle w:val="Tabla"/>
            </w:pPr>
            <w:r>
              <w:t xml:space="preserve">—</w:t>
            </w:r>
          </w:p>
        </w:tc>
        <w:tc>
          <w:tcPr>
            <w:tcW w:type="dxa" w:w="1926"/>
            <w:tcMar>
              <w:top w:type="dxa" w:w="80"/>
              <w:left w:type="dxa" w:w="100"/>
              <w:bottom w:type="dxa" w:w="80"/>
              <w:right w:type="dxa" w:w="100"/>
            </w:tcMar>
          </w:tcPr>
          <w:p>
            <w:pPr>
              <w:pStyle w:val="Tabla"/>
            </w:pPr>
            <w:r>
              <w:t xml:space="preserve">von Bertalanffy</w:t>
            </w:r>
          </w:p>
        </w:tc>
      </w:tr>
      <w:tr>
        <w:trPr>
          <w:cantSplit/>
          <w:tblHeader w:val="off"/>
        </w:trPr>
        <w:tc>
          <w:tcPr>
            <w:tcW w:type="dxa" w:w="1928"/>
            <w:tcMar>
              <w:top w:type="dxa" w:w="80"/>
              <w:left w:type="dxa" w:w="100"/>
              <w:bottom w:type="dxa" w:w="80"/>
              <w:right w:type="dxa" w:w="100"/>
            </w:tcMar>
          </w:tcPr>
          <w:p>
            <w:pPr>
              <w:pStyle w:val="Tabla"/>
            </w:pPr>
            <w:r>
              <w:t xml:space="preserve">Variedad requerida</w:t>
            </w:r>
          </w:p>
        </w:tc>
        <w:tc>
          <w:tcPr>
            <w:tcW w:type="dxa" w:w="1926"/>
            <w:tcMar>
              <w:top w:type="dxa" w:w="80"/>
              <w:left w:type="dxa" w:w="100"/>
              <w:bottom w:type="dxa" w:w="80"/>
              <w:right w:type="dxa" w:w="100"/>
            </w:tcMar>
          </w:tcPr>
          <w:p>
            <w:pPr>
              <w:pStyle w:val="Tabla"/>
            </w:pPr>
            <w:r>
              <w:t xml:space="preserve">Regulación y control</w:t>
            </w:r>
          </w:p>
        </w:tc>
        <w:tc>
          <w:tcPr>
            <w:tcW w:type="dxa" w:w="1926"/>
            <w:tcMar>
              <w:top w:type="dxa" w:w="80"/>
              <w:left w:type="dxa" w:w="100"/>
              <w:bottom w:type="dxa" w:w="80"/>
              <w:right w:type="dxa" w:w="100"/>
            </w:tcMar>
          </w:tcPr>
          <w:p>
            <w:pPr>
              <w:pStyle w:val="Tabla"/>
            </w:pPr>
            <w:r>
              <w:t xml:space="preserve">Solo la variedad absorbe variedad (ley de Ashby)</w:t>
            </w:r>
          </w:p>
        </w:tc>
        <w:tc>
          <w:tcPr>
            <w:tcW w:type="dxa" w:w="1926"/>
            <w:tcMar>
              <w:top w:type="dxa" w:w="80"/>
              <w:left w:type="dxa" w:w="100"/>
              <w:bottom w:type="dxa" w:w="80"/>
              <w:right w:type="dxa" w:w="100"/>
            </w:tcMar>
          </w:tcPr>
          <w:p>
            <w:pPr>
              <w:pStyle w:val="Tabla"/>
            </w:pPr>
            <w:r>
              <w:t xml:space="preserve">—</w:t>
            </w:r>
          </w:p>
        </w:tc>
        <w:tc>
          <w:tcPr>
            <w:tcW w:type="dxa" w:w="1926"/>
            <w:tcMar>
              <w:top w:type="dxa" w:w="80"/>
              <w:left w:type="dxa" w:w="100"/>
              <w:bottom w:type="dxa" w:w="80"/>
              <w:right w:type="dxa" w:w="100"/>
            </w:tcMar>
          </w:tcPr>
          <w:p>
            <w:pPr>
              <w:pStyle w:val="Tabla"/>
            </w:pPr>
            <w:r>
              <w:t xml:space="preserve">Ashby</w:t>
            </w:r>
          </w:p>
        </w:tc>
      </w:tr>
    </w:tbl>
    <w:p>
      <w:pPr>
        <w:pStyle w:val="Fuente"/>
      </w:pPr>
      <w:r>
        <w:t xml:space="preserve">La clase 9 dictó homeostasis, entropía, neguentropía, abierto/cerrado y equifinalidad. La variedad requerida de Ashby es ampliación bibliográfica del portal, y la multifinalidad quedó como investigación asignada: ninguna de las dos se dictó.</w:t>
      </w:r>
    </w:p>
    <w:p>
      <w:pPr>
        <w:pStyle w:val="Heading3"/>
      </w:pPr>
      <w:bookmarkStart w:name="b_tabla_2_8_g1_autores" w:id="1894"/>
      <w:r>
        <w:t xml:space="preserve">Quién dijo qué</w:t>
      </w:r>
      <w:bookmarkEnd w:id="1894"/>
    </w:p>
    <w:tbl>
      <w:tblPr>
        <w:tblW w:type="dxa" w:w="9632"/>
        <w:tblBorders>
          <w:top w:val="single" w:color="C5D5DB" w:sz="4"/>
          <w:left w:val="single" w:color="C5D5DB" w:sz="4"/>
          <w:bottom w:val="single" w:color="C5D5DB" w:sz="4"/>
          <w:right w:val="single" w:color="C5D5DB" w:sz="4"/>
          <w:insideH w:val="single" w:color="E4E9EB" w:sz="3"/>
          <w:insideV w:val="single" w:color="E4E9EB" w:sz="3"/>
        </w:tblBorders>
        <w:tblLayout w:type="fixed"/>
      </w:tblPr>
      <w:tblGrid>
        <w:gridCol w:w="3212"/>
        <w:gridCol w:w="3210"/>
        <w:gridCol w:w="3210"/>
      </w:tblGrid>
      <w:tr>
        <w:trPr>
          <w:cantSplit/>
          <w:tblHeader/>
        </w:trPr>
        <w:tc>
          <w:tcPr>
            <w:tcW w:type="dxa" w:w="3212"/>
            <w:shd w:fill="DFEAF0" w:val="clear"/>
            <w:tcMar>
              <w:top w:type="dxa" w:w="80"/>
              <w:left w:type="dxa" w:w="100"/>
              <w:bottom w:type="dxa" w:w="80"/>
              <w:right w:type="dxa" w:w="100"/>
            </w:tcMar>
          </w:tcPr>
          <w:p>
            <w:pPr>
              <w:pStyle w:val="Tabla"/>
            </w:pPr>
            <w:r>
              <w:rPr>
                <w:b/>
                <w:bCs/>
              </w:rPr>
              <w:t xml:space="preserve">Autor</w:t>
            </w:r>
          </w:p>
        </w:tc>
        <w:tc>
          <w:tcPr>
            <w:tcW w:type="dxa" w:w="3210"/>
            <w:shd w:fill="DFEAF0" w:val="clear"/>
            <w:tcMar>
              <w:top w:type="dxa" w:w="80"/>
              <w:left w:type="dxa" w:w="100"/>
              <w:bottom w:type="dxa" w:w="80"/>
              <w:right w:type="dxa" w:w="100"/>
            </w:tcMar>
          </w:tcPr>
          <w:p>
            <w:pPr>
              <w:pStyle w:val="Tabla"/>
            </w:pPr>
            <w:r>
              <w:rPr>
                <w:b/>
                <w:bCs/>
              </w:rPr>
              <w:t xml:space="preserve">Se le atribuye</w:t>
            </w:r>
          </w:p>
        </w:tc>
        <w:tc>
          <w:tcPr>
            <w:tcW w:type="dxa" w:w="3210"/>
            <w:shd w:fill="DFEAF0" w:val="clear"/>
            <w:tcMar>
              <w:top w:type="dxa" w:w="80"/>
              <w:left w:type="dxa" w:w="100"/>
              <w:bottom w:type="dxa" w:w="80"/>
              <w:right w:type="dxa" w:w="100"/>
            </w:tcMar>
          </w:tcPr>
          <w:p>
            <w:pPr>
              <w:pStyle w:val="Tabla"/>
            </w:pPr>
            <w:r>
              <w:rPr>
                <w:b/>
                <w:bCs/>
              </w:rPr>
              <w:t xml:space="preserve">Dónde entra</w:t>
            </w:r>
          </w:p>
        </w:tc>
      </w:tr>
      <w:tr>
        <w:trPr>
          <w:cantSplit/>
          <w:tblHeader w:val="off"/>
        </w:trPr>
        <w:tc>
          <w:tcPr>
            <w:tcW w:type="dxa" w:w="3212"/>
            <w:tcMar>
              <w:top w:type="dxa" w:w="80"/>
              <w:left w:type="dxa" w:w="100"/>
              <w:bottom w:type="dxa" w:w="80"/>
              <w:right w:type="dxa" w:w="100"/>
            </w:tcMar>
          </w:tcPr>
          <w:p>
            <w:pPr>
              <w:pStyle w:val="Tabla"/>
            </w:pPr>
            <w:r>
              <w:t xml:space="preserve">J. L. Le Moigne</w:t>
            </w:r>
          </w:p>
        </w:tc>
        <w:tc>
          <w:tcPr>
            <w:tcW w:type="dxa" w:w="3210"/>
            <w:tcMar>
              <w:top w:type="dxa" w:w="80"/>
              <w:left w:type="dxa" w:w="100"/>
              <w:bottom w:type="dxa" w:w="80"/>
              <w:right w:type="dxa" w:w="100"/>
            </w:tcMar>
          </w:tcPr>
          <w:p>
            <w:pPr>
              <w:pStyle w:val="Tabla"/>
            </w:pPr>
            <w:r>
              <w:t xml:space="preserve">La definición de objeto y el sistema generalizado; el paradigma de sistemas como teoría generalista.</w:t>
            </w:r>
          </w:p>
        </w:tc>
        <w:tc>
          <w:tcPr>
            <w:tcW w:type="dxa" w:w="3210"/>
            <w:tcMar>
              <w:top w:type="dxa" w:w="80"/>
              <w:left w:type="dxa" w:w="100"/>
              <w:bottom w:type="dxa" w:w="80"/>
              <w:right w:type="dxa" w:w="100"/>
            </w:tcMar>
          </w:tcPr>
          <w:p>
            <w:pPr>
              <w:pStyle w:val="Tabla"/>
            </w:pPr>
            <w:r>
              <w:t xml:space="preserve">1.3 · 2.2</w:t>
            </w:r>
          </w:p>
        </w:tc>
      </w:tr>
      <w:tr>
        <w:trPr>
          <w:cantSplit/>
          <w:tblHeader w:val="off"/>
        </w:trPr>
        <w:tc>
          <w:tcPr>
            <w:tcW w:type="dxa" w:w="3212"/>
            <w:tcMar>
              <w:top w:type="dxa" w:w="80"/>
              <w:left w:type="dxa" w:w="100"/>
              <w:bottom w:type="dxa" w:w="80"/>
              <w:right w:type="dxa" w:w="100"/>
            </w:tcMar>
          </w:tcPr>
          <w:p>
            <w:pPr>
              <w:pStyle w:val="Tabla"/>
            </w:pPr>
            <w:r>
              <w:t xml:space="preserve">Derek y Laura Cabrera</w:t>
            </w:r>
          </w:p>
        </w:tc>
        <w:tc>
          <w:tcPr>
            <w:tcW w:type="dxa" w:w="3210"/>
            <w:tcMar>
              <w:top w:type="dxa" w:w="80"/>
              <w:left w:type="dxa" w:w="100"/>
              <w:bottom w:type="dxa" w:w="80"/>
              <w:right w:type="dxa" w:w="100"/>
            </w:tcMar>
          </w:tcPr>
          <w:p>
            <w:pPr>
              <w:pStyle w:val="Tabla"/>
            </w:pPr>
            <w:r>
              <w:t xml:space="preserve">Las cuatro reglas simples DSRP y el pensamiento sistémico como propiedad emergente; la discordancia.</w:t>
            </w:r>
          </w:p>
        </w:tc>
        <w:tc>
          <w:tcPr>
            <w:tcW w:type="dxa" w:w="3210"/>
            <w:tcMar>
              <w:top w:type="dxa" w:w="80"/>
              <w:left w:type="dxa" w:w="100"/>
              <w:bottom w:type="dxa" w:w="80"/>
              <w:right w:type="dxa" w:w="100"/>
            </w:tcMar>
          </w:tcPr>
          <w:p>
            <w:pPr>
              <w:pStyle w:val="Tabla"/>
            </w:pPr>
            <w:r>
              <w:t xml:space="preserve">1.6</w:t>
            </w:r>
          </w:p>
        </w:tc>
      </w:tr>
      <w:tr>
        <w:trPr>
          <w:cantSplit/>
          <w:tblHeader w:val="off"/>
        </w:trPr>
        <w:tc>
          <w:tcPr>
            <w:tcW w:type="dxa" w:w="3212"/>
            <w:tcMar>
              <w:top w:type="dxa" w:w="80"/>
              <w:left w:type="dxa" w:w="100"/>
              <w:bottom w:type="dxa" w:w="80"/>
              <w:right w:type="dxa" w:w="100"/>
            </w:tcMar>
          </w:tcPr>
          <w:p>
            <w:pPr>
              <w:pStyle w:val="Tabla"/>
            </w:pPr>
            <w:r>
              <w:t xml:space="preserve">Joel Barker</w:t>
            </w:r>
          </w:p>
        </w:tc>
        <w:tc>
          <w:tcPr>
            <w:tcW w:type="dxa" w:w="3210"/>
            <w:tcMar>
              <w:top w:type="dxa" w:w="80"/>
              <w:left w:type="dxa" w:w="100"/>
              <w:bottom w:type="dxa" w:w="80"/>
              <w:right w:type="dxa" w:w="100"/>
            </w:tcMar>
          </w:tcPr>
          <w:p>
            <w:pPr>
              <w:pStyle w:val="Tabla"/>
            </w:pPr>
            <w:r>
              <w:t xml:space="preserve">Definición de paradigma, las nueve observaciones, parálisis paradigmática, efecto paradigma, enfermedad de la certidumbre y la regla de vuelta a cero.</w:t>
            </w:r>
          </w:p>
        </w:tc>
        <w:tc>
          <w:tcPr>
            <w:tcW w:type="dxa" w:w="3210"/>
            <w:tcMar>
              <w:top w:type="dxa" w:w="80"/>
              <w:left w:type="dxa" w:w="100"/>
              <w:bottom w:type="dxa" w:w="80"/>
              <w:right w:type="dxa" w:w="100"/>
            </w:tcMar>
          </w:tcPr>
          <w:p>
            <w:pPr>
              <w:pStyle w:val="Tabla"/>
            </w:pPr>
            <w:r>
              <w:t xml:space="preserve">1.1</w:t>
            </w:r>
          </w:p>
        </w:tc>
      </w:tr>
      <w:tr>
        <w:trPr>
          <w:cantSplit/>
          <w:tblHeader w:val="off"/>
        </w:trPr>
        <w:tc>
          <w:tcPr>
            <w:tcW w:type="dxa" w:w="3212"/>
            <w:tcMar>
              <w:top w:type="dxa" w:w="80"/>
              <w:left w:type="dxa" w:w="100"/>
              <w:bottom w:type="dxa" w:w="80"/>
              <w:right w:type="dxa" w:w="100"/>
            </w:tcMar>
          </w:tcPr>
          <w:p>
            <w:pPr>
              <w:pStyle w:val="Tabla"/>
            </w:pPr>
            <w:r>
              <w:t xml:space="preserve">Adam Smith</w:t>
            </w:r>
          </w:p>
        </w:tc>
        <w:tc>
          <w:tcPr>
            <w:tcW w:type="dxa" w:w="3210"/>
            <w:tcMar>
              <w:top w:type="dxa" w:w="80"/>
              <w:left w:type="dxa" w:w="100"/>
              <w:bottom w:type="dxa" w:w="80"/>
              <w:right w:type="dxa" w:w="100"/>
            </w:tcMar>
          </w:tcPr>
          <w:p>
            <w:pPr>
              <w:pStyle w:val="Tabla"/>
            </w:pPr>
            <w:r>
              <w:t xml:space="preserve">Definición de paradigma en «Los poderes de la mente».</w:t>
            </w:r>
          </w:p>
        </w:tc>
        <w:tc>
          <w:tcPr>
            <w:tcW w:type="dxa" w:w="3210"/>
            <w:tcMar>
              <w:top w:type="dxa" w:w="80"/>
              <w:left w:type="dxa" w:w="100"/>
              <w:bottom w:type="dxa" w:w="80"/>
              <w:right w:type="dxa" w:w="100"/>
            </w:tcMar>
          </w:tcPr>
          <w:p>
            <w:pPr>
              <w:pStyle w:val="Tabla"/>
            </w:pPr>
            <w:r>
              <w:t xml:space="preserve">1.1</w:t>
            </w:r>
          </w:p>
        </w:tc>
      </w:tr>
      <w:tr>
        <w:trPr>
          <w:cantSplit/>
          <w:tblHeader w:val="off"/>
        </w:trPr>
        <w:tc>
          <w:tcPr>
            <w:tcW w:type="dxa" w:w="3212"/>
            <w:tcMar>
              <w:top w:type="dxa" w:w="80"/>
              <w:left w:type="dxa" w:w="100"/>
              <w:bottom w:type="dxa" w:w="80"/>
              <w:right w:type="dxa" w:w="100"/>
            </w:tcMar>
          </w:tcPr>
          <w:p>
            <w:pPr>
              <w:pStyle w:val="Tabla"/>
            </w:pPr>
            <w:r>
              <w:t xml:space="preserve">Willis Harmon</w:t>
            </w:r>
          </w:p>
        </w:tc>
        <w:tc>
          <w:tcPr>
            <w:tcW w:type="dxa" w:w="3210"/>
            <w:tcMar>
              <w:top w:type="dxa" w:w="80"/>
              <w:left w:type="dxa" w:w="100"/>
              <w:bottom w:type="dxa" w:w="80"/>
              <w:right w:type="dxa" w:w="100"/>
            </w:tcMar>
          </w:tcPr>
          <w:p>
            <w:pPr>
              <w:pStyle w:val="Tabla"/>
            </w:pPr>
            <w:r>
              <w:t xml:space="preserve">Definición de paradigma en «Guía incompleta para el futuro» (grafía de la lámina).</w:t>
            </w:r>
          </w:p>
        </w:tc>
        <w:tc>
          <w:tcPr>
            <w:tcW w:type="dxa" w:w="3210"/>
            <w:tcMar>
              <w:top w:type="dxa" w:w="80"/>
              <w:left w:type="dxa" w:w="100"/>
              <w:bottom w:type="dxa" w:w="80"/>
              <w:right w:type="dxa" w:w="100"/>
            </w:tcMar>
          </w:tcPr>
          <w:p>
            <w:pPr>
              <w:pStyle w:val="Tabla"/>
            </w:pPr>
            <w:r>
              <w:t xml:space="preserve">1.1</w:t>
            </w:r>
          </w:p>
        </w:tc>
      </w:tr>
      <w:tr>
        <w:trPr>
          <w:cantSplit/>
          <w:tblHeader w:val="off"/>
        </w:trPr>
        <w:tc>
          <w:tcPr>
            <w:tcW w:type="dxa" w:w="3212"/>
            <w:tcMar>
              <w:top w:type="dxa" w:w="80"/>
              <w:left w:type="dxa" w:w="100"/>
              <w:bottom w:type="dxa" w:w="80"/>
              <w:right w:type="dxa" w:w="100"/>
            </w:tcMar>
          </w:tcPr>
          <w:p>
            <w:pPr>
              <w:pStyle w:val="Tabla"/>
            </w:pPr>
            <w:r>
              <w:t xml:space="preserve">Chris Argyris</w:t>
            </w:r>
          </w:p>
        </w:tc>
        <w:tc>
          <w:tcPr>
            <w:tcW w:type="dxa" w:w="3210"/>
            <w:tcMar>
              <w:top w:type="dxa" w:w="80"/>
              <w:left w:type="dxa" w:w="100"/>
              <w:bottom w:type="dxa" w:w="80"/>
              <w:right w:type="dxa" w:w="100"/>
            </w:tcMar>
          </w:tcPr>
          <w:p>
            <w:pPr>
              <w:pStyle w:val="Tabla"/>
            </w:pPr>
            <w:r>
              <w:t xml:space="preserve">La escalera de inferencias y la columna de la mano izquierda.</w:t>
            </w:r>
          </w:p>
        </w:tc>
        <w:tc>
          <w:tcPr>
            <w:tcW w:type="dxa" w:w="3210"/>
            <w:tcMar>
              <w:top w:type="dxa" w:w="80"/>
              <w:left w:type="dxa" w:w="100"/>
              <w:bottom w:type="dxa" w:w="80"/>
              <w:right w:type="dxa" w:w="100"/>
            </w:tcMar>
          </w:tcPr>
          <w:p>
            <w:pPr>
              <w:pStyle w:val="Tabla"/>
            </w:pPr>
            <w:r>
              <w:t xml:space="preserve">1.2</w:t>
            </w:r>
          </w:p>
        </w:tc>
      </w:tr>
      <w:tr>
        <w:trPr>
          <w:cantSplit/>
          <w:tblHeader w:val="off"/>
        </w:trPr>
        <w:tc>
          <w:tcPr>
            <w:tcW w:type="dxa" w:w="3212"/>
            <w:tcMar>
              <w:top w:type="dxa" w:w="80"/>
              <w:left w:type="dxa" w:w="100"/>
              <w:bottom w:type="dxa" w:w="80"/>
              <w:right w:type="dxa" w:w="100"/>
            </w:tcMar>
          </w:tcPr>
          <w:p>
            <w:pPr>
              <w:pStyle w:val="Tabla"/>
            </w:pPr>
            <w:r>
              <w:t xml:space="preserve">Peter Senge y Fredy Kofman</w:t>
            </w:r>
          </w:p>
        </w:tc>
        <w:tc>
          <w:tcPr>
            <w:tcW w:type="dxa" w:w="3210"/>
            <w:tcMar>
              <w:top w:type="dxa" w:w="80"/>
              <w:left w:type="dxa" w:w="100"/>
              <w:bottom w:type="dxa" w:w="80"/>
              <w:right w:type="dxa" w:w="100"/>
            </w:tcMar>
          </w:tcPr>
          <w:p>
            <w:pPr>
              <w:pStyle w:val="Tabla"/>
            </w:pPr>
            <w:r>
              <w:t xml:space="preserve">Difundieron la escalera; el caso Acme de los cuatro niveles.</w:t>
            </w:r>
          </w:p>
        </w:tc>
        <w:tc>
          <w:tcPr>
            <w:tcW w:type="dxa" w:w="3210"/>
            <w:tcMar>
              <w:top w:type="dxa" w:w="80"/>
              <w:left w:type="dxa" w:w="100"/>
              <w:bottom w:type="dxa" w:w="80"/>
              <w:right w:type="dxa" w:w="100"/>
            </w:tcMar>
          </w:tcPr>
          <w:p>
            <w:pPr>
              <w:pStyle w:val="Tabla"/>
            </w:pPr>
            <w:r>
              <w:t xml:space="preserve">1.2 · 1.7</w:t>
            </w:r>
          </w:p>
        </w:tc>
      </w:tr>
      <w:tr>
        <w:trPr>
          <w:cantSplit/>
          <w:tblHeader w:val="off"/>
        </w:trPr>
        <w:tc>
          <w:tcPr>
            <w:tcW w:type="dxa" w:w="3212"/>
            <w:tcMar>
              <w:top w:type="dxa" w:w="80"/>
              <w:left w:type="dxa" w:w="100"/>
              <w:bottom w:type="dxa" w:w="80"/>
              <w:right w:type="dxa" w:w="100"/>
            </w:tcMar>
          </w:tcPr>
          <w:p>
            <w:pPr>
              <w:pStyle w:val="Tabla"/>
            </w:pPr>
            <w:r>
              <w:t xml:space="preserve">Joseph O'Connor e Ian McDermott</w:t>
            </w:r>
          </w:p>
        </w:tc>
        <w:tc>
          <w:tcPr>
            <w:tcW w:type="dxa" w:w="3210"/>
            <w:tcMar>
              <w:top w:type="dxa" w:w="80"/>
              <w:left w:type="dxa" w:w="100"/>
              <w:bottom w:type="dxa" w:w="80"/>
              <w:right w:type="dxa" w:w="100"/>
            </w:tcMar>
          </w:tcPr>
          <w:p>
            <w:pPr>
              <w:pStyle w:val="Tabla"/>
            </w:pPr>
            <w:r>
              <w:t xml:space="preserve">Las cuatro operaciones mentales: eliminación, construcción, distorsión y generalización.</w:t>
            </w:r>
          </w:p>
        </w:tc>
        <w:tc>
          <w:tcPr>
            <w:tcW w:type="dxa" w:w="3210"/>
            <w:tcMar>
              <w:top w:type="dxa" w:w="80"/>
              <w:left w:type="dxa" w:w="100"/>
              <w:bottom w:type="dxa" w:w="80"/>
              <w:right w:type="dxa" w:w="100"/>
            </w:tcMar>
          </w:tcPr>
          <w:p>
            <w:pPr>
              <w:pStyle w:val="Tabla"/>
            </w:pPr>
            <w:r>
              <w:t xml:space="preserve">1.2</w:t>
            </w:r>
          </w:p>
        </w:tc>
      </w:tr>
      <w:tr>
        <w:trPr>
          <w:cantSplit/>
          <w:tblHeader w:val="off"/>
        </w:trPr>
        <w:tc>
          <w:tcPr>
            <w:tcW w:type="dxa" w:w="3212"/>
            <w:tcMar>
              <w:top w:type="dxa" w:w="80"/>
              <w:left w:type="dxa" w:w="100"/>
              <w:bottom w:type="dxa" w:w="80"/>
              <w:right w:type="dxa" w:w="100"/>
            </w:tcMar>
          </w:tcPr>
          <w:p>
            <w:pPr>
              <w:pStyle w:val="Tabla"/>
            </w:pPr>
            <w:r>
              <w:t xml:space="preserve">Peter Checkland</w:t>
            </w:r>
          </w:p>
        </w:tc>
        <w:tc>
          <w:tcPr>
            <w:tcW w:type="dxa" w:w="3210"/>
            <w:tcMar>
              <w:top w:type="dxa" w:w="80"/>
              <w:left w:type="dxa" w:w="100"/>
              <w:bottom w:type="dxa" w:w="80"/>
              <w:right w:type="dxa" w:w="100"/>
            </w:tcMar>
          </w:tcPr>
          <w:p>
            <w:pPr>
              <w:pStyle w:val="Tabla"/>
            </w:pPr>
            <w:r>
              <w:t xml:space="preserve">El mapa del universo en cuatro familias de sistemas; la Weltanschauung.</w:t>
            </w:r>
          </w:p>
        </w:tc>
        <w:tc>
          <w:tcPr>
            <w:tcW w:type="dxa" w:w="3210"/>
            <w:tcMar>
              <w:top w:type="dxa" w:w="80"/>
              <w:left w:type="dxa" w:w="100"/>
              <w:bottom w:type="dxa" w:w="80"/>
              <w:right w:type="dxa" w:w="100"/>
            </w:tcMar>
          </w:tcPr>
          <w:p>
            <w:pPr>
              <w:pStyle w:val="Tabla"/>
            </w:pPr>
            <w:r>
              <w:t xml:space="preserve">2.7</w:t>
            </w:r>
          </w:p>
        </w:tc>
      </w:tr>
      <w:tr>
        <w:trPr>
          <w:cantSplit/>
          <w:tblHeader w:val="off"/>
        </w:trPr>
        <w:tc>
          <w:tcPr>
            <w:tcW w:type="dxa" w:w="3212"/>
            <w:tcMar>
              <w:top w:type="dxa" w:w="80"/>
              <w:left w:type="dxa" w:w="100"/>
              <w:bottom w:type="dxa" w:w="80"/>
              <w:right w:type="dxa" w:w="100"/>
            </w:tcMar>
          </w:tcPr>
          <w:p>
            <w:pPr>
              <w:pStyle w:val="Tabla"/>
            </w:pPr>
            <w:r>
              <w:t xml:space="preserve">Ludwig von Bertalanffy</w:t>
            </w:r>
          </w:p>
        </w:tc>
        <w:tc>
          <w:tcPr>
            <w:tcW w:type="dxa" w:w="3210"/>
            <w:tcMar>
              <w:top w:type="dxa" w:w="80"/>
              <w:left w:type="dxa" w:w="100"/>
              <w:bottom w:type="dxa" w:w="80"/>
              <w:right w:type="dxa" w:w="100"/>
            </w:tcMar>
          </w:tcPr>
          <w:p>
            <w:pPr>
              <w:pStyle w:val="Tabla"/>
            </w:pPr>
            <w:r>
              <w:t xml:space="preserve">Fundó la Teoría General de Sistemas; el organismo como sistema abierto, los isomorfismos y la equifinalidad.</w:t>
            </w:r>
          </w:p>
        </w:tc>
        <w:tc>
          <w:tcPr>
            <w:tcW w:type="dxa" w:w="3210"/>
            <w:tcMar>
              <w:top w:type="dxa" w:w="80"/>
              <w:left w:type="dxa" w:w="100"/>
              <w:bottom w:type="dxa" w:w="80"/>
              <w:right w:type="dxa" w:w="100"/>
            </w:tcMar>
          </w:tcPr>
          <w:p>
            <w:pPr>
              <w:pStyle w:val="Tabla"/>
            </w:pPr>
            <w:r>
              <w:t xml:space="preserve">2.1 · 2.8</w:t>
            </w:r>
          </w:p>
        </w:tc>
      </w:tr>
      <w:tr>
        <w:trPr>
          <w:cantSplit/>
          <w:tblHeader w:val="off"/>
        </w:trPr>
        <w:tc>
          <w:tcPr>
            <w:tcW w:type="dxa" w:w="3212"/>
            <w:tcMar>
              <w:top w:type="dxa" w:w="80"/>
              <w:left w:type="dxa" w:w="100"/>
              <w:bottom w:type="dxa" w:w="80"/>
              <w:right w:type="dxa" w:w="100"/>
            </w:tcMar>
          </w:tcPr>
          <w:p>
            <w:pPr>
              <w:pStyle w:val="Tabla"/>
            </w:pPr>
            <w:r>
              <w:t xml:space="preserve">Walter Cannon</w:t>
            </w:r>
          </w:p>
        </w:tc>
        <w:tc>
          <w:tcPr>
            <w:tcW w:type="dxa" w:w="3210"/>
            <w:tcMar>
              <w:top w:type="dxa" w:w="80"/>
              <w:left w:type="dxa" w:w="100"/>
              <w:bottom w:type="dxa" w:w="80"/>
              <w:right w:type="dxa" w:w="100"/>
            </w:tcMar>
          </w:tcPr>
          <w:p>
            <w:pPr>
              <w:pStyle w:val="Tabla"/>
            </w:pPr>
            <w:r>
              <w:t xml:space="preserve">Acuñó homeostasis (1929), sobre el «medio interno» de Claude Bernard.</w:t>
            </w:r>
          </w:p>
        </w:tc>
        <w:tc>
          <w:tcPr>
            <w:tcW w:type="dxa" w:w="3210"/>
            <w:tcMar>
              <w:top w:type="dxa" w:w="80"/>
              <w:left w:type="dxa" w:w="100"/>
              <w:bottom w:type="dxa" w:w="80"/>
              <w:right w:type="dxa" w:w="100"/>
            </w:tcMar>
          </w:tcPr>
          <w:p>
            <w:pPr>
              <w:pStyle w:val="Tabla"/>
            </w:pPr>
            <w:r>
              <w:t xml:space="preserve">2.8</w:t>
            </w:r>
          </w:p>
        </w:tc>
      </w:tr>
      <w:tr>
        <w:trPr>
          <w:cantSplit/>
          <w:tblHeader w:val="off"/>
        </w:trPr>
        <w:tc>
          <w:tcPr>
            <w:tcW w:type="dxa" w:w="3212"/>
            <w:tcMar>
              <w:top w:type="dxa" w:w="80"/>
              <w:left w:type="dxa" w:w="100"/>
              <w:bottom w:type="dxa" w:w="80"/>
              <w:right w:type="dxa" w:w="100"/>
            </w:tcMar>
          </w:tcPr>
          <w:p>
            <w:pPr>
              <w:pStyle w:val="Tabla"/>
            </w:pPr>
            <w:r>
              <w:t xml:space="preserve">Schrödinger y Brillouin</w:t>
            </w:r>
          </w:p>
        </w:tc>
        <w:tc>
          <w:tcPr>
            <w:tcW w:type="dxa" w:w="3210"/>
            <w:tcMar>
              <w:top w:type="dxa" w:w="80"/>
              <w:left w:type="dxa" w:w="100"/>
              <w:bottom w:type="dxa" w:w="80"/>
              <w:right w:type="dxa" w:w="100"/>
            </w:tcMar>
          </w:tcPr>
          <w:p>
            <w:pPr>
              <w:pStyle w:val="Tabla"/>
            </w:pPr>
            <w:r>
              <w:t xml:space="preserve">«Se alimenta de entropía negativa»; la acuñación del término neguentropía.</w:t>
            </w:r>
          </w:p>
        </w:tc>
        <w:tc>
          <w:tcPr>
            <w:tcW w:type="dxa" w:w="3210"/>
            <w:tcMar>
              <w:top w:type="dxa" w:w="80"/>
              <w:left w:type="dxa" w:w="100"/>
              <w:bottom w:type="dxa" w:w="80"/>
              <w:right w:type="dxa" w:w="100"/>
            </w:tcMar>
          </w:tcPr>
          <w:p>
            <w:pPr>
              <w:pStyle w:val="Tabla"/>
            </w:pPr>
            <w:r>
              <w:t xml:space="preserve">2.8</w:t>
            </w:r>
          </w:p>
        </w:tc>
      </w:tr>
      <w:tr>
        <w:trPr>
          <w:cantSplit/>
          <w:tblHeader w:val="off"/>
        </w:trPr>
        <w:tc>
          <w:tcPr>
            <w:tcW w:type="dxa" w:w="3212"/>
            <w:tcMar>
              <w:top w:type="dxa" w:w="80"/>
              <w:left w:type="dxa" w:w="100"/>
              <w:bottom w:type="dxa" w:w="80"/>
              <w:right w:type="dxa" w:w="100"/>
            </w:tcMar>
          </w:tcPr>
          <w:p>
            <w:pPr>
              <w:pStyle w:val="Tabla"/>
            </w:pPr>
            <w:r>
              <w:t xml:space="preserve">Norbert Wiener</w:t>
            </w:r>
          </w:p>
        </w:tc>
        <w:tc>
          <w:tcPr>
            <w:tcW w:type="dxa" w:w="3210"/>
            <w:tcMar>
              <w:top w:type="dxa" w:w="80"/>
              <w:left w:type="dxa" w:w="100"/>
              <w:bottom w:type="dxa" w:w="80"/>
              <w:right w:type="dxa" w:w="100"/>
            </w:tcMar>
          </w:tcPr>
          <w:p>
            <w:pPr>
              <w:pStyle w:val="Tabla"/>
            </w:pPr>
            <w:r>
              <w:t xml:space="preserve">Fundó la cibernética: retroalimentación y control.</w:t>
            </w:r>
          </w:p>
        </w:tc>
        <w:tc>
          <w:tcPr>
            <w:tcW w:type="dxa" w:w="3210"/>
            <w:tcMar>
              <w:top w:type="dxa" w:w="80"/>
              <w:left w:type="dxa" w:w="100"/>
              <w:bottom w:type="dxa" w:w="80"/>
              <w:right w:type="dxa" w:w="100"/>
            </w:tcMar>
          </w:tcPr>
          <w:p>
            <w:pPr>
              <w:pStyle w:val="Tabla"/>
            </w:pPr>
            <w:r>
              <w:t xml:space="preserve">2.8</w:t>
            </w:r>
          </w:p>
        </w:tc>
      </w:tr>
      <w:tr>
        <w:trPr>
          <w:cantSplit/>
          <w:tblHeader w:val="off"/>
        </w:trPr>
        <w:tc>
          <w:tcPr>
            <w:tcW w:type="dxa" w:w="3212"/>
            <w:tcMar>
              <w:top w:type="dxa" w:w="80"/>
              <w:left w:type="dxa" w:w="100"/>
              <w:bottom w:type="dxa" w:w="80"/>
              <w:right w:type="dxa" w:w="100"/>
            </w:tcMar>
          </w:tcPr>
          <w:p>
            <w:pPr>
              <w:pStyle w:val="Tabla"/>
            </w:pPr>
            <w:r>
              <w:t xml:space="preserve">W. Ross Ashby</w:t>
            </w:r>
          </w:p>
        </w:tc>
        <w:tc>
          <w:tcPr>
            <w:tcW w:type="dxa" w:w="3210"/>
            <w:tcMar>
              <w:top w:type="dxa" w:w="80"/>
              <w:left w:type="dxa" w:w="100"/>
              <w:bottom w:type="dxa" w:w="80"/>
              <w:right w:type="dxa" w:w="100"/>
            </w:tcMar>
          </w:tcPr>
          <w:p>
            <w:pPr>
              <w:pStyle w:val="Tabla"/>
            </w:pPr>
            <w:r>
              <w:t xml:space="preserve">La ley de la variedad requerida. Ampliación bibliográfica: no se dictó.</w:t>
            </w:r>
          </w:p>
        </w:tc>
        <w:tc>
          <w:tcPr>
            <w:tcW w:type="dxa" w:w="3210"/>
            <w:tcMar>
              <w:top w:type="dxa" w:w="80"/>
              <w:left w:type="dxa" w:w="100"/>
              <w:bottom w:type="dxa" w:w="80"/>
              <w:right w:type="dxa" w:w="100"/>
            </w:tcMar>
          </w:tcPr>
          <w:p>
            <w:pPr>
              <w:pStyle w:val="Tabla"/>
            </w:pPr>
            <w:r>
              <w:t xml:space="preserve">2.8</w:t>
            </w:r>
          </w:p>
        </w:tc>
      </w:tr>
      <w:tr>
        <w:trPr>
          <w:cantSplit/>
          <w:tblHeader w:val="off"/>
        </w:trPr>
        <w:tc>
          <w:tcPr>
            <w:tcW w:type="dxa" w:w="3212"/>
            <w:tcMar>
              <w:top w:type="dxa" w:w="80"/>
              <w:left w:type="dxa" w:w="100"/>
              <w:bottom w:type="dxa" w:w="80"/>
              <w:right w:type="dxa" w:w="100"/>
            </w:tcMar>
          </w:tcPr>
          <w:p>
            <w:pPr>
              <w:pStyle w:val="Tabla"/>
            </w:pPr>
            <w:r>
              <w:t xml:space="preserve">Arthur Koestler</w:t>
            </w:r>
          </w:p>
        </w:tc>
        <w:tc>
          <w:tcPr>
            <w:tcW w:type="dxa" w:w="3210"/>
            <w:tcMar>
              <w:top w:type="dxa" w:w="80"/>
              <w:left w:type="dxa" w:w="100"/>
              <w:bottom w:type="dxa" w:w="80"/>
              <w:right w:type="dxa" w:w="100"/>
            </w:tcMar>
          </w:tcPr>
          <w:p>
            <w:pPr>
              <w:pStyle w:val="Tabla"/>
            </w:pPr>
            <w:r>
              <w:t xml:space="preserve">Holón y holarquía: lo que es todo y parte a la vez.</w:t>
            </w:r>
          </w:p>
        </w:tc>
        <w:tc>
          <w:tcPr>
            <w:tcW w:type="dxa" w:w="3210"/>
            <w:tcMar>
              <w:top w:type="dxa" w:w="80"/>
              <w:left w:type="dxa" w:w="100"/>
              <w:bottom w:type="dxa" w:w="80"/>
              <w:right w:type="dxa" w:w="100"/>
            </w:tcMar>
          </w:tcPr>
          <w:p>
            <w:pPr>
              <w:pStyle w:val="Tabla"/>
            </w:pPr>
            <w:r>
              <w:t xml:space="preserve">2.4</w:t>
            </w:r>
          </w:p>
        </w:tc>
      </w:tr>
      <w:tr>
        <w:trPr>
          <w:cantSplit/>
          <w:tblHeader w:val="off"/>
        </w:trPr>
        <w:tc>
          <w:tcPr>
            <w:tcW w:type="dxa" w:w="3212"/>
            <w:tcMar>
              <w:top w:type="dxa" w:w="80"/>
              <w:left w:type="dxa" w:w="100"/>
              <w:bottom w:type="dxa" w:w="80"/>
              <w:right w:type="dxa" w:w="100"/>
            </w:tcMar>
          </w:tcPr>
          <w:p>
            <w:pPr>
              <w:pStyle w:val="Tabla"/>
            </w:pPr>
            <w:r>
              <w:t xml:space="preserve">Kenneth Boulding</w:t>
            </w:r>
          </w:p>
        </w:tc>
        <w:tc>
          <w:tcPr>
            <w:tcW w:type="dxa" w:w="3210"/>
            <w:tcMar>
              <w:top w:type="dxa" w:w="80"/>
              <w:left w:type="dxa" w:w="100"/>
              <w:bottom w:type="dxa" w:w="80"/>
              <w:right w:type="dxa" w:w="100"/>
            </w:tcMar>
          </w:tcPr>
          <w:p>
            <w:pPr>
              <w:pStyle w:val="Tabla"/>
            </w:pPr>
            <w:r>
              <w:t xml:space="preserve">Una jerarquía de sistemas por grado de complejidad. Se menciona; sus niveles no se enumeraron en clase.</w:t>
            </w:r>
          </w:p>
        </w:tc>
        <w:tc>
          <w:tcPr>
            <w:tcW w:type="dxa" w:w="3210"/>
            <w:tcMar>
              <w:top w:type="dxa" w:w="80"/>
              <w:left w:type="dxa" w:w="100"/>
              <w:bottom w:type="dxa" w:w="80"/>
              <w:right w:type="dxa" w:w="100"/>
            </w:tcMar>
          </w:tcPr>
          <w:p>
            <w:pPr>
              <w:pStyle w:val="Tabla"/>
            </w:pPr>
            <w:r>
              <w:t xml:space="preserve">2.4</w:t>
            </w:r>
          </w:p>
        </w:tc>
      </w:tr>
      <w:tr>
        <w:trPr>
          <w:cantSplit/>
          <w:tblHeader w:val="off"/>
        </w:trPr>
        <w:tc>
          <w:tcPr>
            <w:tcW w:type="dxa" w:w="3212"/>
            <w:tcMar>
              <w:top w:type="dxa" w:w="80"/>
              <w:left w:type="dxa" w:w="100"/>
              <w:bottom w:type="dxa" w:w="80"/>
              <w:right w:type="dxa" w:w="100"/>
            </w:tcMar>
          </w:tcPr>
          <w:p>
            <w:pPr>
              <w:pStyle w:val="Tabla"/>
            </w:pPr>
            <w:r>
              <w:t xml:space="preserve">Donella Meadows</w:t>
            </w:r>
          </w:p>
        </w:tc>
        <w:tc>
          <w:tcPr>
            <w:tcW w:type="dxa" w:w="3210"/>
            <w:tcMar>
              <w:top w:type="dxa" w:w="80"/>
              <w:left w:type="dxa" w:w="100"/>
              <w:bottom w:type="dxa" w:w="80"/>
              <w:right w:type="dxa" w:w="100"/>
            </w:tcMar>
          </w:tcPr>
          <w:p>
            <w:pPr>
              <w:pStyle w:val="Tabla"/>
            </w:pPr>
            <w:r>
              <w:t xml:space="preserve">Elementos, interconexiones y función o propósito. Complemento bibliográfico: para el examen manda la lámina.</w:t>
            </w:r>
          </w:p>
        </w:tc>
        <w:tc>
          <w:tcPr>
            <w:tcW w:type="dxa" w:w="3210"/>
            <w:tcMar>
              <w:top w:type="dxa" w:w="80"/>
              <w:left w:type="dxa" w:w="100"/>
              <w:bottom w:type="dxa" w:w="80"/>
              <w:right w:type="dxa" w:w="100"/>
            </w:tcMar>
          </w:tcPr>
          <w:p>
            <w:pPr>
              <w:pStyle w:val="Tabla"/>
            </w:pPr>
            <w:r>
              <w:t xml:space="preserve">2.2</w:t>
            </w:r>
          </w:p>
        </w:tc>
      </w:tr>
      <w:tr>
        <w:trPr>
          <w:cantSplit/>
          <w:tblHeader w:val="off"/>
        </w:trPr>
        <w:tc>
          <w:tcPr>
            <w:tcW w:type="dxa" w:w="3212"/>
            <w:tcMar>
              <w:top w:type="dxa" w:w="80"/>
              <w:left w:type="dxa" w:w="100"/>
              <w:bottom w:type="dxa" w:w="80"/>
              <w:right w:type="dxa" w:w="100"/>
            </w:tcMar>
          </w:tcPr>
          <w:p>
            <w:pPr>
              <w:pStyle w:val="Tabla"/>
            </w:pPr>
            <w:r>
              <w:t xml:space="preserve">Waters Center (Benson y Marlin)</w:t>
            </w:r>
          </w:p>
        </w:tc>
        <w:tc>
          <w:tcPr>
            <w:tcW w:type="dxa" w:w="3210"/>
            <w:tcMar>
              <w:top w:type="dxa" w:w="80"/>
              <w:left w:type="dxa" w:w="100"/>
              <w:bottom w:type="dxa" w:w="80"/>
              <w:right w:type="dxa" w:w="100"/>
            </w:tcMar>
          </w:tcPr>
          <w:p>
            <w:pPr>
              <w:pStyle w:val="Tabla"/>
            </w:pPr>
            <w:r>
              <w:t xml:space="preserve">Los quince cursos y catorce hábitos del pensador sistémico.</w:t>
            </w:r>
          </w:p>
        </w:tc>
        <w:tc>
          <w:tcPr>
            <w:tcW w:type="dxa" w:w="3210"/>
            <w:tcMar>
              <w:top w:type="dxa" w:w="80"/>
              <w:left w:type="dxa" w:w="100"/>
              <w:bottom w:type="dxa" w:w="80"/>
              <w:right w:type="dxa" w:w="100"/>
            </w:tcMar>
          </w:tcPr>
          <w:p>
            <w:pPr>
              <w:pStyle w:val="Tabla"/>
            </w:pPr>
            <w:r>
              <w:t xml:space="preserve">1.8 · 2.9</w:t>
            </w:r>
          </w:p>
        </w:tc>
      </w:tr>
      <w:tr>
        <w:trPr>
          <w:cantSplit/>
          <w:tblHeader w:val="off"/>
        </w:trPr>
        <w:tc>
          <w:tcPr>
            <w:tcW w:type="dxa" w:w="3212"/>
            <w:tcMar>
              <w:top w:type="dxa" w:w="80"/>
              <w:left w:type="dxa" w:w="100"/>
              <w:bottom w:type="dxa" w:w="80"/>
              <w:right w:type="dxa" w:w="100"/>
            </w:tcMar>
          </w:tcPr>
          <w:p>
            <w:pPr>
              <w:pStyle w:val="Tabla"/>
            </w:pPr>
            <w:r>
              <w:t xml:space="preserve">Guadalupe Nogués</w:t>
            </w:r>
          </w:p>
        </w:tc>
        <w:tc>
          <w:tcPr>
            <w:tcW w:type="dxa" w:w="3210"/>
            <w:tcMar>
              <w:top w:type="dxa" w:w="80"/>
              <w:left w:type="dxa" w:w="100"/>
              <w:bottom w:type="dxa" w:w="80"/>
              <w:right w:type="dxa" w:w="100"/>
            </w:tcMar>
          </w:tcPr>
          <w:p>
            <w:pPr>
              <w:pStyle w:val="Tabla"/>
            </w:pPr>
            <w:r>
              <w:t xml:space="preserve">Pluralismo, aprender a escuchar y separar las ideas de las personas.</w:t>
            </w:r>
          </w:p>
        </w:tc>
        <w:tc>
          <w:tcPr>
            <w:tcW w:type="dxa" w:w="3210"/>
            <w:tcMar>
              <w:top w:type="dxa" w:w="80"/>
              <w:left w:type="dxa" w:w="100"/>
              <w:bottom w:type="dxa" w:w="80"/>
              <w:right w:type="dxa" w:w="100"/>
            </w:tcMar>
          </w:tcPr>
          <w:p>
            <w:pPr>
              <w:pStyle w:val="Tabla"/>
            </w:pPr>
            <w:r>
              <w:t xml:space="preserve">1.5</w:t>
            </w:r>
          </w:p>
        </w:tc>
      </w:tr>
    </w:tbl>
    <w:p>
      <w:pPr>
        <w:pStyle w:val="Fuente"/>
      </w:pPr>
      <w:r>
        <w:t xml:space="preserve">Única tabla redactada por el portal: reúne atribuciones repartidas entre lecciones. Ackoff, Churchman y los nueve niveles de Boulding no son materia de este curso; no los cite.</w:t>
      </w:r>
    </w:p>
    <w:p>
      <w:pPr>
        <w:pStyle w:val="Heading3"/>
      </w:pPr>
      <w:r>
        <w:t xml:space="preserve">Lo que dicen las presentaciones</w:t>
      </w:r>
    </w:p>
    <w:p>
      <w:pPr>
        <w:pStyle w:val="Heading3"/>
      </w:pPr>
      <w:bookmarkStart w:name="b_pagina_2_8_C_6_p35" w:id="1895"/>
      <w:r>
        <w:t xml:space="preserve">C-6 · página 35 · Punto de vista funcional de un sistema</w:t>
      </w:r>
      <w:bookmarkEnd w:id="1895"/>
    </w:p>
    <w:p>
      <w:pPr>
        <w:pStyle w:val="Normal"/>
      </w:pPr>
      <w:r>
        <w:t xml:space="preserve">Entradas, transformación y salidas ocurren en el tiempo; una salida puede regresar como retroacción.</w:t>
      </w:r>
    </w:p>
    <w:p>
      <w:pPr>
        <w:pStyle w:val="Fuente"/>
      </w:pPr>
      <w:r>
        <w:t xml:space="preserve">Proyección o explicación: Clase 7 · 01:35:48 · captura c7-22.</w:t>
      </w:r>
    </w:p>
    <w:p>
      <w:bookmarkStart w:name="b_punto_c6_p035_03" w:id="1896"/>
      <w:r>
        <w:t xml:space="preserve">Retroacción es una salida que vuelve como entrada, directa o indirectamente.</w:t>
      </w:r>
      <w:bookmarkEnd w:id="1896"/>
    </w:p>
    <w:p>
      <w:pPr>
        <w:pStyle w:val="Fuente"/>
      </w:pPr>
      <w:r>
        <w:t xml:space="preserve">Véase </w:t>
      </w:r>
      <w:hyperlink w:history="1" w:anchor="b_2_3">
        <w:r>
          <w:rPr>
            <w:color w:val="156B70"/>
            <w:u w:val="single"/>
          </w:rPr>
          <w:t xml:space="preserve">capítulo 2.3 · Estructura de los sistemas</w:t>
        </w:r>
      </w:hyperlink>
      <w:r>
        <w:t xml:space="preserve">, pág. </w:t>
      </w:r>
      <w:r>
        <w:fldChar w:fldCharType="begin"/>
        <w:instrText xml:space="preserve">PAGEREF b_2_3 \h</w:instrText>
        <w:fldChar w:fldCharType="separate"/>
        <w:t xml:space="preserve">259</w:t>
        <w:fldChar w:fldCharType="end"/>
      </w:r>
      <w:r>
        <w:t xml:space="preserve">.</w:t>
      </w:r>
    </w:p>
    <w:p>
      <w:pPr>
        <w:pStyle w:val="Heading3"/>
      </w:pPr>
      <w:bookmarkStart w:name="b_pagina_2_8_C_6_p59" w:id="1897"/>
      <w:r>
        <w:t xml:space="preserve">C-6 · página 59 · Sistemas adaptativos complejos</w:t>
      </w:r>
      <w:bookmarkEnd w:id="1897"/>
    </w:p>
    <w:p>
      <w:pPr>
        <w:pStyle w:val="Normal"/>
      </w:pPr>
      <w:r>
        <w:t xml:space="preserve">Relaciones locales, entorno cambiante, emergencia y bucles positivos/negativos explican comportamiento adaptativo.</w:t>
      </w:r>
    </w:p>
    <w:p>
      <w:pPr>
        <w:pStyle w:val="Fuente"/>
      </w:pPr>
      <w:r>
        <w:t xml:space="preserve">Proyección o explicación: Clase 9 · 00:36:34 · captura c9-02.</w:t>
      </w:r>
    </w:p>
    <w:p>
      <w:bookmarkStart w:name="b_punto_c6_p059_03" w:id="1898"/>
      <w:r>
        <w:t xml:space="preserve">Retroalimentación positiva amplifica y negativa compensa, participando ambas en el esquema.</w:t>
      </w:r>
      <w:bookmarkEnd w:id="1898"/>
    </w:p>
    <w:p>
      <w:pPr>
        <w:pStyle w:val="Fuente"/>
      </w:pPr>
      <w:r>
        <w:t xml:space="preserve">Véase </w:t>
      </w:r>
      <w:hyperlink w:history="1" w:anchor="b_2_6">
        <w:r>
          <w:rPr>
            <w:color w:val="156B70"/>
            <w:u w:val="single"/>
          </w:rPr>
          <w:t xml:space="preserve">capítulo 2.6 · Complejidad sistémica</w:t>
        </w:r>
      </w:hyperlink>
      <w:r>
        <w:t xml:space="preserve">, pág. </w:t>
      </w:r>
      <w:r>
        <w:fldChar w:fldCharType="begin"/>
        <w:instrText xml:space="preserve">PAGEREF b_2_6 \h</w:instrText>
        <w:fldChar w:fldCharType="separate"/>
        <w:t xml:space="preserve">308</w:t>
        <w:fldChar w:fldCharType="end"/>
      </w:r>
      <w:r>
        <w:t xml:space="preserve">.</w:t>
      </w:r>
    </w:p>
    <w:p>
      <w:pPr>
        <w:pStyle w:val="Heading3"/>
      </w:pPr>
      <w:bookmarkStart w:name="b_pagina_2_8_C_6_p61" w:id="1899"/>
      <w:r>
        <w:t xml:space="preserve">C-6 · página 61 · Homeostasis</w:t>
      </w:r>
      <w:bookmarkEnd w:id="1899"/>
    </w:p>
    <w:p>
      <w:pPr>
        <w:pStyle w:val="Normal"/>
      </w:pPr>
      <w:r>
        <w:t xml:space="preserve">Mecanismos coordinados regulan el ambiente interno para mantener equilibrio dinámico frente a cambios del medio.</w:t>
      </w:r>
    </w:p>
    <w:p>
      <w:pPr>
        <w:pStyle w:val="Fuente"/>
      </w:pPr>
      <w:r>
        <w:t xml:space="preserve">Proyección o explicación: Clase 9 · 00:43:54 · captura c9-04.</w:t>
      </w:r>
    </w:p>
    <w:p>
      <w:bookmarkStart w:name="b_punto_c6_p061_01" w:id="1900"/>
      <w:r>
        <w:t xml:space="preserve">Homeostasis es regulación del ambiente interno para sostener condiciones relativamente constantes y estables.</w:t>
      </w:r>
      <w:bookmarkEnd w:id="1900"/>
    </w:p>
    <w:p>
      <w:bookmarkStart w:name="b_punto_c6_p061_02" w:id="1901"/>
      <w:r>
        <w:t xml:space="preserve">Es equilibrio dinámico, no ausencia de cambio.</w:t>
      </w:r>
      <w:bookmarkEnd w:id="1901"/>
    </w:p>
    <w:p>
      <w:bookmarkStart w:name="b_punto_c6_p061_03" w:id="1902"/>
      <w:r>
        <w:t xml:space="preserve">Mecanismos coordinados y regulados responden a estímulos y cambios del ambiente.</w:t>
      </w:r>
      <w:bookmarkEnd w:id="1902"/>
    </w:p>
    <w:p>
      <w:bookmarkStart w:name="b_punto_c6_p061_04" w:id="1903"/>
      <w:r>
        <w:t xml:space="preserve">La temperatura corporal ejemplifica mecanismos de equilibrio.</w:t>
      </w:r>
      <w:bookmarkEnd w:id="1903"/>
    </w:p>
    <w:p>
      <w:bookmarkStart w:name="b_punto_c6_p061_05" w:id="1904"/>
      <w:r>
        <w:t xml:space="preserve">Los procesos internos del organismo forman lazos reguladores que sostienen condiciones de vida.</w:t>
      </w:r>
      <w:bookmarkEnd w:id="1904"/>
    </w:p>
    <w:p>
      <w:pPr>
        <w:pStyle w:val="Heading3"/>
      </w:pPr>
      <w:bookmarkStart w:name="b_pagina_2_8_C_6_p62" w:id="1905"/>
      <w:r>
        <w:t xml:space="preserve">C-6 · página 62 · Entropía</w:t>
      </w:r>
      <w:bookmarkEnd w:id="1905"/>
    </w:p>
    <w:p>
      <w:pPr>
        <w:pStyle w:val="Normal"/>
      </w:pPr>
      <w:r>
        <w:t xml:space="preserve">El desorden aumenta espontáneamente en sistemas aislados y la ruptura de relaciones puede impedir recomponer la organización original.</w:t>
      </w:r>
    </w:p>
    <w:p>
      <w:pPr>
        <w:pStyle w:val="Fuente"/>
      </w:pPr>
      <w:r>
        <w:t xml:space="preserve">Proyección o explicación: Clase 9 · 00:49:48 · captura c9-05.</w:t>
      </w:r>
    </w:p>
    <w:p>
      <w:pPr>
        <w:keepNext/>
        <w:spacing w:after="40" w:before="150"/>
        <w:jc w:val="center"/>
      </w:pPr>
      <w:bookmarkStart w:name="b_figura_original_pagina_C_6_62" w:id="1906"/>
      <w:bookmarkEnd w:id="1906"/>
      <w:r>
        <w:drawing>
          <wp:inline distT="0" distB="0" distL="0" distR="0">
            <wp:extent cx="5381625" cy="4162425"/>
            <wp:effectExtent t="0" r="0" b="0" l="0"/>
            <wp:docPr id="47" name="pagina-C-6-62" descr="Presentación C-6, pág. 62" title="Entropí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32" cstate="none"/>
                    <a:srcRect/>
                    <a:stretch>
                      <a:fillRect/>
                    </a:stretch>
                  </pic:blipFill>
                  <pic:spPr bwMode="auto">
                    <a:xfrm>
                      <a:off x="0" y="0"/>
                      <a:ext cx="5381625" cy="4162425"/>
                    </a:xfrm>
                    <a:prstGeom prst="rect">
                      <a:avLst/>
                    </a:prstGeom>
                  </pic:spPr>
                </pic:pic>
              </a:graphicData>
            </a:graphic>
          </wp:inline>
        </w:drawing>
      </w:r>
    </w:p>
    <w:p>
      <w:pPr>
        <w:pStyle w:val="PieFigura"/>
        <w:keepNext/>
      </w:pPr>
      <w:bookmarkStart w:name="b_fig_2_8_1" w:id="1907"/>
      <w:r>
        <w:t xml:space="preserve">Figura 2.8.</w:t>
      </w:r>
      <w:fldSimple w:instr="SEQ Figura \r 1 \* ARABIC">
        <w:r>
          <w:t xml:space="preserve">1</w:t>
        </w:r>
      </w:fldSimple>
      <w:r>
        <w:t xml:space="preserve"> · Entropía</w:t>
      </w:r>
      <w:bookmarkEnd w:id="1907"/>
    </w:p>
    <w:p>
      <w:pPr>
        <w:pStyle w:val="Fuente"/>
      </w:pPr>
      <w:r>
        <w:t xml:space="preserve">Presentación C-6, pág. 62</w:t>
      </w:r>
    </w:p>
    <w:p>
      <w:bookmarkStart w:name="b_punto_c6_p062_01" w:id="1908"/>
      <w:r>
        <w:t xml:space="preserve">La entropía se presenta como medida del desorden sistémico.</w:t>
      </w:r>
      <w:bookmarkEnd w:id="1908"/>
    </w:p>
    <w:p>
      <w:bookmarkStart w:name="b_punto_c6_p062_02" w:id="1909"/>
      <w:r>
        <w:t xml:space="preserve">El esquema distingue estado ordenado de baja entropía y menos ordenado de mayor entropía.</w:t>
      </w:r>
      <w:bookmarkEnd w:id="1909"/>
    </w:p>
    <w:p>
      <w:bookmarkStart w:name="b_punto_c6_p062_03" w:id="1910"/>
      <w:r>
        <w:t xml:space="preserve">La entropía total del sistema aislado no disminuye; un sistema cerrado que intercambia energía puede reducir su entropía local con compensación en el entorno.</w:t>
      </w:r>
      <w:bookmarkEnd w:id="1910"/>
    </w:p>
    <w:p>
      <w:bookmarkStart w:name="b_punto_c6_p062_04" w:id="1911"/>
      <w:r>
        <w:t xml:space="preserve">La entrada de energía o recursos ambientales puede sostener orden local sin eliminar el intercambio con el entorno.</w:t>
      </w:r>
      <w:bookmarkEnd w:id="1911"/>
    </w:p>
    <w:p>
      <w:bookmarkStart w:name="b_punto_c6_p062_05" w:id="1912"/>
      <w:r>
        <w:t xml:space="preserve">El huevo roto ilustra pérdida organizativa e imposibilidad práctica de reconstruir el huevo original.</w:t>
      </w:r>
      <w:bookmarkEnd w:id="1912"/>
    </w:p>
    <w:p>
      <w:bookmarkStart w:name="b_punto_c6_p062_06" w:id="1913"/>
      <w:r>
        <w:t xml:space="preserve">Las imágenes moleculares representan aleatoriedad creciente del movimiento y relación entre orden y entropía.</w:t>
      </w:r>
      <w:bookmarkEnd w:id="1913"/>
    </w:p>
    <w:p>
      <w:pPr>
        <w:pStyle w:val="Heading3"/>
      </w:pPr>
      <w:bookmarkStart w:name="b_pagina_2_8_C_6_p63" w:id="1914"/>
      <w:r>
        <w:t xml:space="preserve">C-6 · página 63 · Árboles conceptuales de entropía y neguentropía</w:t>
      </w:r>
      <w:bookmarkEnd w:id="1914"/>
    </w:p>
    <w:p>
      <w:pPr>
        <w:pStyle w:val="Normal"/>
      </w:pPr>
      <w:r>
        <w:t xml:space="preserve">Entropía desordena relaciones y reduce capacidad; neguentropía recupera orden como fuerza, energía y regulación.</w:t>
      </w:r>
    </w:p>
    <w:p>
      <w:pPr>
        <w:pStyle w:val="Fuente"/>
      </w:pPr>
      <w:r>
        <w:t xml:space="preserve">Proyección o explicación: Clase 9 · 00:54:57 · captura c9-06.</w:t>
      </w:r>
    </w:p>
    <w:p>
      <w:bookmarkStart w:name="b_punto_c6_p063_01" w:id="1915"/>
      <w:r>
        <w:t xml:space="preserve">Entropía es desorden y pérdida progresiva de relaciones que forman el sistema.</w:t>
      </w:r>
      <w:bookmarkEnd w:id="1915"/>
    </w:p>
    <w:p>
      <w:bookmarkStart w:name="b_punto_c6_p063_02" w:id="1916"/>
      <w:r>
        <w:t xml:space="preserve">El deterioro organizativo tras la actividad resta capacidad para ejercer funciones de la formación del sistema.</w:t>
      </w:r>
      <w:bookmarkEnd w:id="1916"/>
    </w:p>
    <w:p>
      <w:bookmarkStart w:name="b_punto_c6_p063_03" w:id="1917"/>
      <w:r>
        <w:t xml:space="preserve">Neguentropía es una fuerza que produce niveles mayores de orden.</w:t>
      </w:r>
      <w:bookmarkEnd w:id="1917"/>
    </w:p>
    <w:p>
      <w:bookmarkStart w:name="b_punto_c6_p063_04" w:id="1918"/>
      <w:r>
        <w:t xml:space="preserve">Puede leerse como energía importada del ambiente para mantener organización y sobrevivir.</w:t>
      </w:r>
      <w:bookmarkEnd w:id="1918"/>
    </w:p>
    <w:p>
      <w:bookmarkStart w:name="b_punto_c6_p063_05" w:id="1919"/>
      <w:r>
        <w:t xml:space="preserve">Puede leerse como mecanismo autorregulador que estabiliza una situación caótica.</w:t>
      </w:r>
      <w:bookmarkEnd w:id="1919"/>
    </w:p>
    <w:p>
      <w:bookmarkStart w:name="b_punto_c6_p063_06" w:id="1920"/>
      <w:r>
        <w:t xml:space="preserve">Los árboles relacionan desorganización y reorganización como tendencias opuestas.</w:t>
      </w:r>
      <w:bookmarkEnd w:id="1920"/>
    </w:p>
    <w:p>
      <w:pPr>
        <w:pStyle w:val="Heading3"/>
      </w:pPr>
      <w:bookmarkStart w:name="b_pagina_2_8_C_6_p64" w:id="1921"/>
      <w:r>
        <w:t xml:space="preserve">C-6 · página 64 · Equifinalidad</w:t>
      </w:r>
      <w:bookmarkEnd w:id="1921"/>
    </w:p>
    <w:p>
      <w:pPr>
        <w:pStyle w:val="Normal"/>
      </w:pPr>
      <w:r>
        <w:t xml:space="preserve">Un mismo fin se logra por caminos distintos: más utilidades mediante costos, margen o ventas.</w:t>
      </w:r>
    </w:p>
    <w:p>
      <w:pPr>
        <w:pStyle w:val="Fuente"/>
      </w:pPr>
      <w:r>
        <w:t xml:space="preserve">Proyección o explicación: Clase 9 · 01:05:26 · captura c9-07.</w:t>
      </w:r>
    </w:p>
    <w:p>
      <w:pPr>
        <w:keepNext/>
        <w:spacing w:after="40" w:before="150"/>
        <w:jc w:val="center"/>
      </w:pPr>
      <w:bookmarkStart w:name="b_figura_original_pagina_C_6_64" w:id="1922"/>
      <w:bookmarkEnd w:id="1922"/>
      <w:r>
        <w:drawing>
          <wp:inline distT="0" distB="0" distL="0" distR="0">
            <wp:extent cx="5381625" cy="4162425"/>
            <wp:effectExtent t="0" r="0" b="0" l="0"/>
            <wp:docPr id="48" name="pagina-C-6-64" descr="Presentación C-6, pág. 64" title="Equifinalid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33" cstate="none"/>
                    <a:srcRect/>
                    <a:stretch>
                      <a:fillRect/>
                    </a:stretch>
                  </pic:blipFill>
                  <pic:spPr bwMode="auto">
                    <a:xfrm>
                      <a:off x="0" y="0"/>
                      <a:ext cx="5381625" cy="4162425"/>
                    </a:xfrm>
                    <a:prstGeom prst="rect">
                      <a:avLst/>
                    </a:prstGeom>
                  </pic:spPr>
                </pic:pic>
              </a:graphicData>
            </a:graphic>
          </wp:inline>
        </w:drawing>
      </w:r>
    </w:p>
    <w:p>
      <w:pPr>
        <w:pStyle w:val="PieFigura"/>
        <w:keepNext/>
      </w:pPr>
      <w:bookmarkStart w:name="b_fig_2_8_2" w:id="1923"/>
      <w:r>
        <w:t xml:space="preserve">Figura 2.8.</w:t>
      </w:r>
      <w:fldSimple w:instr="SEQ Figura \n \* ARABIC">
        <w:r>
          <w:t xml:space="preserve">2</w:t>
        </w:r>
      </w:fldSimple>
      <w:r>
        <w:t xml:space="preserve"> · Equifinalidad</w:t>
      </w:r>
      <w:bookmarkEnd w:id="1923"/>
    </w:p>
    <w:p>
      <w:pPr>
        <w:pStyle w:val="Fuente"/>
      </w:pPr>
      <w:r>
        <w:t xml:space="preserve">Presentación C-6, pág. 64</w:t>
      </w:r>
    </w:p>
    <w:p>
      <w:bookmarkStart w:name="b_punto_c6_p064_01" w:id="1924"/>
      <w:r>
        <w:t xml:space="preserve">Equifinalidad es la propiedad de sistemas abiertos de alcanzar objetivos por caminos distintos.</w:t>
      </w:r>
      <w:bookmarkEnd w:id="1924"/>
    </w:p>
    <w:p>
      <w:bookmarkStart w:name="b_punto_c6_p064_02" w:id="1925"/>
      <w:r>
        <w:t xml:space="preserve">El objetivo puede lograrse con independencia de las condiciones individuales del sistema.</w:t>
      </w:r>
      <w:bookmarkEnd w:id="1925"/>
    </w:p>
    <w:p>
      <w:bookmarkStart w:name="b_punto_c6_p064_03" w:id="1926"/>
      <w:r>
        <w:t xml:space="preserve">Las utilidades aumentan reduciendo costos de producción.</w:t>
      </w:r>
      <w:bookmarkEnd w:id="1926"/>
    </w:p>
    <w:p>
      <w:bookmarkStart w:name="b_punto_c6_p064_04" w:id="1927"/>
      <w:r>
        <w:t xml:space="preserve">Otro camino aumenta el margen de ganancia por venta.</w:t>
      </w:r>
      <w:bookmarkEnd w:id="1927"/>
    </w:p>
    <w:p>
      <w:bookmarkStart w:name="b_punto_c6_p064_05" w:id="1928"/>
      <w:r>
        <w:t xml:space="preserve">Otro aumenta ventas, diversifica mercados o abre sucursales.</w:t>
      </w:r>
      <w:bookmarkEnd w:id="1928"/>
    </w:p>
    <w:p>
      <w:bookmarkStart w:name="b_punto_c6_p064_06" w:id="1929"/>
      <w:r>
        <w:t xml:space="preserve">El laberinto ilustra varios recorridos a un fin y no varios fines distintos.</w:t>
      </w:r>
      <w:bookmarkEnd w:id="1929"/>
    </w:p>
    <w:p>
      <w:pPr>
        <w:pStyle w:val="Heading3"/>
      </w:pPr>
      <w:r>
        <w:t xml:space="preserve">Lo que explicó el profesor en clase</w:t>
      </w:r>
    </w:p>
    <w:p>
      <w:pPr>
        <w:pStyle w:val="Heading3"/>
      </w:pPr>
      <w:bookmarkStart w:name="b_clase_2_8_c7_cap_09" w:id="1930"/>
      <w:r>
        <w:t xml:space="preserve">Clase 7 · 01:29:30–01:40:16 · Perspectivas ontológica, funcional y genética</w:t>
      </w:r>
      <w:bookmarkEnd w:id="1930"/>
    </w:p>
    <w:p>
      <w:bookmarkStart w:name="b_punto_c7_cap_09_p06" w:id="1931"/>
      <w:r>
        <w:t xml:space="preserve">Retroacción, retroalimentación y realimentación nombran el retorno directo o indirecto de una salida al mismo sistema; los ciclos no lineales se desarrollarán en Unidad 3.</w:t>
      </w:r>
      <w:bookmarkEnd w:id="1931"/>
    </w:p>
    <w:p>
      <w:pPr>
        <w:pStyle w:val="Fuente"/>
      </w:pPr>
      <w:r>
        <w:t xml:space="preserve">Véase </w:t>
      </w:r>
      <w:hyperlink w:history="1" w:anchor="b_senales_examen">
        <w:r>
          <w:rPr>
            <w:color w:val="156B70"/>
            <w:u w:val="single"/>
          </w:rPr>
          <w:t xml:space="preserve">1 indicación(es) de examen de este tramo, en el apéndice cronológico</w:t>
        </w:r>
      </w:hyperlink>
      <w:r>
        <w:t xml:space="preserve">, pág. </w:t>
      </w:r>
      <w:r>
        <w:fldChar w:fldCharType="begin"/>
        <w:instrText xml:space="preserve">PAGEREF b_senales_examen \h</w:instrText>
        <w:fldChar w:fldCharType="separate"/>
        <w:t xml:space="preserve">1663</w:t>
        <w:fldChar w:fldCharType="end"/>
      </w:r>
      <w:r>
        <w:t xml:space="preserve">.</w:t>
      </w:r>
    </w:p>
    <w:p>
      <w:pPr>
        <w:pStyle w:val="Fuente"/>
      </w:pPr>
      <w:r>
        <w:t xml:space="preserve">Véase </w:t>
      </w:r>
      <w:hyperlink w:history="1" w:anchor="b_2_3">
        <w:r>
          <w:rPr>
            <w:color w:val="156B70"/>
            <w:u w:val="single"/>
          </w:rPr>
          <w:t xml:space="preserve">capítulo 2.3 · Estructura de los sistemas</w:t>
        </w:r>
      </w:hyperlink>
      <w:r>
        <w:t xml:space="preserve">, pág. </w:t>
      </w:r>
      <w:r>
        <w:fldChar w:fldCharType="begin"/>
        <w:instrText xml:space="preserve">PAGEREF b_2_3 \h</w:instrText>
        <w:fldChar w:fldCharType="separate"/>
        <w:t xml:space="preserve">259</w:t>
        <w:fldChar w:fldCharType="end"/>
      </w:r>
      <w:r>
        <w:t xml:space="preserve">.</w:t>
      </w:r>
    </w:p>
    <w:p>
      <w:pPr>
        <w:pStyle w:val="Heading3"/>
      </w:pPr>
      <w:bookmarkStart w:name="b_clase_2_8_c9_cap_07" w:id="1932"/>
      <w:r>
        <w:t xml:space="preserve">Clase 9 · 00:43:44–00:49:25 · Homeostasis y equilibrio dinámico</w:t>
      </w:r>
      <w:bookmarkEnd w:id="1932"/>
    </w:p>
    <w:p>
      <w:bookmarkStart w:name="b_punto_c9_cap_07_p01" w:id="1933"/>
      <w:r>
        <w:t xml:space="preserve">Homeostasis es equilibrio dinámico que permite existir: procesos internos y entradas/salidas regulan la interacción con el medio.</w:t>
      </w:r>
      <w:bookmarkEnd w:id="1933"/>
    </w:p>
    <w:p>
      <w:bookmarkStart w:name="b_punto_c9_cap_07_p02" w:id="1934"/>
      <w:r>
        <w:t xml:space="preserve">El cuerpo responde a frío/calor con procesos internos, acciones como abrigarse y sistemas físicos diseñados como aire acondicionado.</w:t>
      </w:r>
      <w:bookmarkEnd w:id="1934"/>
    </w:p>
    <w:p>
      <w:bookmarkStart w:name="b_punto_c9_cap_07_p03" w:id="1935"/>
      <w:r>
        <w:t xml:space="preserve">Dinámico no significa temperatura inmóvil: varía con el exterior y se mantiene en un rango compatible con la existencia.</w:t>
      </w:r>
      <w:bookmarkEnd w:id="1935"/>
    </w:p>
    <w:p>
      <w:bookmarkStart w:name="b_punto_c9_cap_07_p04" w:id="1936"/>
      <w:r>
        <w:t xml:space="preserve">Subsistemas de control y feedback negativo buscan una meta o equilibrio de acuerdo con los parámetros del entorno.</w:t>
      </w:r>
      <w:bookmarkEnd w:id="1936"/>
    </w:p>
    <w:p>
      <w:bookmarkStart w:name="b_punto_c9_cap_07_p05" w:id="1937"/>
      <w:r>
        <w:t xml:space="preserve">Una empresa busca equilibrar ingresos/ventas, compras/procesos y gastos; el déficit sostenido compromete recursos y continuidad.</w:t>
      </w:r>
      <w:bookmarkEnd w:id="1937"/>
    </w:p>
    <w:p>
      <w:pPr>
        <w:pStyle w:val="Heading3"/>
      </w:pPr>
      <w:bookmarkStart w:name="b_clase_2_8_c9_cap_08" w:id="1938"/>
      <w:r>
        <w:t xml:space="preserve">Clase 9 · 00:49:25–00:59:30 · Entropía y neguentropía</w:t>
      </w:r>
      <w:bookmarkEnd w:id="1938"/>
    </w:p>
    <w:p>
      <w:bookmarkStart w:name="b_punto_c9_cap_08_p08" w:id="1939"/>
      <w:r>
        <w:t xml:space="preserve">La clase contrasta desintegración y restauración de orden dentro de su analogía sistémica entropía/neguentropía.</w:t>
      </w:r>
      <w:bookmarkEnd w:id="1939"/>
    </w:p>
    <w:p>
      <w:pPr>
        <w:pStyle w:val="Fuente"/>
      </w:pPr>
      <w:r>
        <w:t xml:space="preserve">Véase </w:t>
      </w:r>
      <w:hyperlink w:history="1" w:anchor="b_2_5">
        <w:r>
          <w:rPr>
            <w:color w:val="156B70"/>
            <w:u w:val="single"/>
          </w:rPr>
          <w:t xml:space="preserve">capítulo 2.5 · Sinergia y emergencia</w:t>
        </w:r>
      </w:hyperlink>
      <w:r>
        <w:t xml:space="preserve">, pág. </w:t>
      </w:r>
      <w:r>
        <w:fldChar w:fldCharType="begin"/>
        <w:instrText xml:space="preserve">PAGEREF b_2_5 \h</w:instrText>
        <w:fldChar w:fldCharType="separate"/>
        <w:t xml:space="preserve">292</w:t>
        <w:fldChar w:fldCharType="end"/>
      </w:r>
      <w:r>
        <w:t xml:space="preserve">.</w:t>
      </w:r>
    </w:p>
    <w:p>
      <w:pPr>
        <w:pStyle w:val="Heading3"/>
      </w:pPr>
      <w:bookmarkStart w:name="b_clase_2_8_c9_cap_09" w:id="1940"/>
      <w:r>
        <w:t xml:space="preserve">Clase 9 · 00:59:30–01:10:00 · Sistemas abiertos y cerrados, equifinalidad y la tarea de multifinalidad</w:t>
      </w:r>
      <w:bookmarkEnd w:id="1940"/>
    </w:p>
    <w:p>
      <w:bookmarkStart w:name="b_punto_c9_cap_09_p05" w:id="1941"/>
      <w:r>
        <w:t xml:space="preserve">Equifinalidad es alcanzar un objetivo por caminos, algoritmos o procesos diferentes, con independencia de condiciones individuales; también se comparan sistemas similares.</w:t>
      </w:r>
      <w:bookmarkEnd w:id="1941"/>
    </w:p>
    <w:p>
      <w:pPr>
        <w:pStyle w:val="Fuente"/>
      </w:pPr>
      <w:r>
        <w:t xml:space="preserve">Véase </w:t>
      </w:r>
      <w:hyperlink w:history="1" w:anchor="b_2_1">
        <w:r>
          <w:rPr>
            <w:color w:val="156B70"/>
            <w:u w:val="single"/>
          </w:rPr>
          <w:t xml:space="preserve">capítulo 2.1 · Visión general</w:t>
        </w:r>
      </w:hyperlink>
      <w:r>
        <w:t xml:space="preserve">, pág. </w:t>
      </w:r>
      <w:r>
        <w:fldChar w:fldCharType="begin"/>
        <w:instrText xml:space="preserve">PAGEREF b_2_1 \h</w:instrText>
        <w:fldChar w:fldCharType="separate"/>
        <w:t xml:space="preserve">222</w:t>
        <w:fldChar w:fldCharType="end"/>
      </w:r>
      <w:r>
        <w:t xml:space="preserve">.</w:t>
      </w:r>
    </w:p>
    <w:p>
      <w:pPr>
        <w:pStyle w:val="Fuente"/>
      </w:pPr>
      <w:r>
        <w:t xml:space="preserve">Véase </w:t>
      </w:r>
      <w:hyperlink w:history="1" w:anchor="b_1_3">
        <w:r>
          <w:rPr>
            <w:color w:val="156B70"/>
            <w:u w:val="single"/>
          </w:rPr>
          <w:t xml:space="preserve">capítulo 1.3 · El paradigma de sistemas</w:t>
        </w:r>
      </w:hyperlink>
      <w:r>
        <w:t xml:space="preserve">, pág. </w:t>
      </w:r>
      <w:r>
        <w:fldChar w:fldCharType="begin"/>
        <w:instrText xml:space="preserve">PAGEREF b_1_3 \h</w:instrText>
        <w:fldChar w:fldCharType="separate"/>
        <w:t xml:space="preserve">83</w:t>
        <w:fldChar w:fldCharType="end"/>
      </w:r>
      <w:r>
        <w:t xml:space="preserve">.</w:t>
      </w:r>
    </w:p>
    <w:p>
      <w:pPr>
        <w:pStyle w:val="Heading3"/>
      </w:pPr>
      <w:bookmarkStart w:name="b_clase_2_8_c9_cap_10" w:id="1942"/>
      <w:r>
        <w:t xml:space="preserve">Clase 9 · 01:10:00–01:31:42 · Evaluación corta, retroalimentación y cierre</w:t>
      </w:r>
      <w:bookmarkEnd w:id="1942"/>
    </w:p>
    <w:p>
      <w:bookmarkStart w:name="b_punto_c9_cap_10_p06" w:id="1943"/>
      <w:r>
        <w:t xml:space="preserve">La clase 9 cierra la Unidad 2 y el punto 2.8; su cobertura es completa, con las ampliaciones de lectura identificadas.</w:t>
      </w:r>
      <w:bookmarkEnd w:id="1943"/>
    </w:p>
    <w:p>
      <w:pPr>
        <w:pStyle w:val="Fuente"/>
      </w:pPr>
      <w:r>
        <w:t xml:space="preserve">Véase </w:t>
      </w:r>
      <w:hyperlink w:history="1" w:anchor="b_senales_examen">
        <w:r>
          <w:rPr>
            <w:color w:val="156B70"/>
            <w:u w:val="single"/>
          </w:rPr>
          <w:t xml:space="preserve">1 indicación(es) de examen de este tramo, en el apéndice cronológico</w:t>
        </w:r>
      </w:hyperlink>
      <w:r>
        <w:t xml:space="preserve">, pág. </w:t>
      </w:r>
      <w:r>
        <w:fldChar w:fldCharType="begin"/>
        <w:instrText xml:space="preserve">PAGEREF b_senales_examen \h</w:instrText>
        <w:fldChar w:fldCharType="separate"/>
        <w:t xml:space="preserve">1663</w:t>
        <w:fldChar w:fldCharType="end"/>
      </w:r>
      <w:r>
        <w:t xml:space="preserve">.</w:t>
      </w:r>
    </w:p>
    <w:p>
      <w:pPr>
        <w:pStyle w:val="Fuente"/>
      </w:pPr>
      <w:r>
        <w:t xml:space="preserve">Véase </w:t>
      </w:r>
      <w:hyperlink w:history="1" w:anchor="b_2_9">
        <w:r>
          <w:rPr>
            <w:color w:val="156B70"/>
            <w:u w:val="single"/>
          </w:rPr>
          <w:t xml:space="preserve">capítulo 2.9 · Introducción a los hábitos</w:t>
        </w:r>
      </w:hyperlink>
      <w:r>
        <w:t xml:space="preserve">, pág. </w:t>
      </w:r>
      <w:r>
        <w:fldChar w:fldCharType="begin"/>
        <w:instrText xml:space="preserve">PAGEREF b_2_9 \h</w:instrText>
        <w:fldChar w:fldCharType="separate"/>
        <w:t xml:space="preserve">366</w:t>
        <w:fldChar w:fldCharType="end"/>
      </w:r>
      <w:r>
        <w:t xml:space="preserve">.</w:t>
      </w:r>
    </w:p>
    <w:p>
      <w:pPr>
        <w:pStyle w:val="Heading3"/>
      </w:pPr>
      <w:bookmarkStart w:name="b_cita_clase_9_homeostasis_equi_2f98c0ce" w:id="1944"/>
      <w:r>
        <w:t xml:space="preserve">Palabras del profesor</w:t>
      </w:r>
      <w:bookmarkEnd w:id="1944"/>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El profesor lo dijo así</w:t>
            </w:r>
          </w:p>
          <w:p>
            <w:pPr>
              <w:pStyle w:val="Recuadro"/>
            </w:pPr>
            <w:r>
              <w:t xml:space="preserve">«Los sistemas generan lo que se da por llamar un equilibrio dinámico. Ese equilibrio dinámico describe cómo el sistema, interactuando con su medio, busca mantenerse en un equilibrio adecuado que le permita existir, que le permita sobrevivir.»</w:t>
            </w:r>
          </w:p>
          <w:p>
            <w:pPr>
              <w:pStyle w:val="Recuadro"/>
            </w:pPr>
            <w:r>
              <w:t xml:space="preserve">Clase 9 · 00:44:13–00:44:29</w:t>
            </w:r>
          </w:p>
        </w:tc>
      </w:tr>
    </w:tbl>
    <w:p>
      <w:pPr>
        <w:pStyle w:val="Heading3"/>
      </w:pPr>
      <w:bookmarkStart w:name="b_cita_clase_9_entropia_grado_d_1f26fc7e" w:id="1945"/>
      <w:r>
        <w:t xml:space="preserve">Palabras del profesor</w:t>
      </w:r>
      <w:bookmarkEnd w:id="1945"/>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El profesor lo dijo así</w:t>
            </w:r>
          </w:p>
          <w:p>
            <w:pPr>
              <w:pStyle w:val="Recuadro"/>
            </w:pPr>
            <w:r>
              <w:t xml:space="preserve">«Esa medición de entropía nos representa el grado de orden o, bien visto desde otra perspectiva, el grado de desorden que pueda tener un sistema.»</w:t>
            </w:r>
          </w:p>
          <w:p>
            <w:pPr>
              <w:pStyle w:val="Recuadro"/>
            </w:pPr>
            <w:r>
              <w:t xml:space="preserve">Clase 9 · 00:50:43–00:51:00</w:t>
            </w:r>
          </w:p>
        </w:tc>
      </w:tr>
    </w:tbl>
    <w:p>
      <w:pPr>
        <w:pStyle w:val="Heading3"/>
      </w:pPr>
      <w:bookmarkStart w:name="b_cita_clase_9_todo_sistema_tie_8f9e9430" w:id="1946"/>
      <w:r>
        <w:t xml:space="preserve">Palabras del profesor</w:t>
      </w:r>
      <w:bookmarkEnd w:id="1946"/>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El profesor lo dijo así</w:t>
            </w:r>
          </w:p>
          <w:p>
            <w:pPr>
              <w:pStyle w:val="Recuadro"/>
            </w:pPr>
            <w:r>
              <w:t xml:space="preserve">«Es una ley natural: todo sistema tiende al desorden, a elevar su nivel de entropía conforme pasa el tiempo. Y por eso los sistemas tienen que generar neguentropía.»</w:t>
            </w:r>
          </w:p>
          <w:p>
            <w:pPr>
              <w:pStyle w:val="Recuadro"/>
            </w:pPr>
            <w:r>
              <w:t xml:space="preserve">Clase 9 · 00:55:46–00:55:58</w:t>
            </w:r>
          </w:p>
        </w:tc>
      </w:tr>
    </w:tbl>
    <w:p>
      <w:pPr>
        <w:pStyle w:val="Heading3"/>
      </w:pPr>
      <w:bookmarkStart w:name="b_cita_clase_9_neguentropia_con_fc01f715" w:id="1947"/>
      <w:r>
        <w:t xml:space="preserve">Palabras del profesor</w:t>
      </w:r>
      <w:bookmarkEnd w:id="1947"/>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El profesor lo dijo así</w:t>
            </w:r>
          </w:p>
          <w:p>
            <w:pPr>
              <w:pStyle w:val="Recuadro"/>
            </w:pPr>
            <w:r>
              <w:t xml:space="preserve">«Manteniendo siempre la entropía baja: la neguentropía contrarresta la entropía.»</w:t>
            </w:r>
          </w:p>
          <w:p>
            <w:pPr>
              <w:pStyle w:val="Recuadro"/>
            </w:pPr>
            <w:r>
              <w:t xml:space="preserve">Clase 9 · 00:56:20–00:56:28</w:t>
            </w:r>
          </w:p>
        </w:tc>
      </w:tr>
    </w:tbl>
    <w:p>
      <w:pPr>
        <w:pStyle w:val="Heading3"/>
      </w:pPr>
      <w:bookmarkStart w:name="b_cita_clase_9_sistema_abierto__ac5d5f4b" w:id="1948"/>
      <w:r>
        <w:t xml:space="preserve">Palabras del profesor</w:t>
      </w:r>
      <w:bookmarkEnd w:id="1948"/>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El profesor lo dijo así</w:t>
            </w:r>
          </w:p>
          <w:p>
            <w:pPr>
              <w:pStyle w:val="Recuadro"/>
            </w:pPr>
            <w:r>
              <w:t xml:space="preserve">«Un sistema abierto se diferencia de un sistema cerrado por su interacción con el medio. Y esa es otra de las clasificaciones fundamentales de la teoría de sistemas.»</w:t>
            </w:r>
          </w:p>
          <w:p>
            <w:pPr>
              <w:pStyle w:val="Recuadro"/>
            </w:pPr>
            <w:r>
              <w:t xml:space="preserve">Clase 9 · 01:03:53–01:04:03</w:t>
            </w:r>
          </w:p>
        </w:tc>
      </w:tr>
    </w:tbl>
    <w:p>
      <w:pPr>
        <w:pStyle w:val="Heading3"/>
      </w:pPr>
      <w:bookmarkStart w:name="b_cita_clase_9_equifinalidad_ca_e6a2f5c3" w:id="1949"/>
      <w:r>
        <w:t xml:space="preserve">Palabras del profesor</w:t>
      </w:r>
      <w:bookmarkEnd w:id="1949"/>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El profesor lo dijo así</w:t>
            </w:r>
          </w:p>
          <w:p>
            <w:pPr>
              <w:pStyle w:val="Recuadro"/>
            </w:pPr>
            <w:r>
              <w:t xml:space="preserve">«La equifinalidad es esa propiedad de conseguir por caminos muy diferentes determinados objetivos, con independencia de las condiciones individuales que posee el sistema.»</w:t>
            </w:r>
          </w:p>
          <w:p>
            <w:pPr>
              <w:pStyle w:val="Recuadro"/>
            </w:pPr>
            <w:r>
              <w:t xml:space="preserve">Clase 9 · 01:05:36–01:05:50</w:t>
            </w:r>
          </w:p>
        </w:tc>
      </w:tr>
    </w:tbl>
    <w:p>
      <w:pPr>
        <w:pStyle w:val="Heading3"/>
      </w:pPr>
      <w:bookmarkStart w:name="b_cita_clase_7_retroaccion_rela_38fd2f68" w:id="1950"/>
      <w:r>
        <w:t xml:space="preserve">Palabras del profesor</w:t>
      </w:r>
      <w:bookmarkEnd w:id="1950"/>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El profesor lo dijo así</w:t>
            </w:r>
          </w:p>
          <w:p>
            <w:pPr>
              <w:pStyle w:val="Recuadro"/>
            </w:pPr>
            <w:r>
              <w:t xml:space="preserve">«Cuando hay una relación que sale de un sistema y vuelve al sistema, hablamos de una retroacción o una retroalimentación o una realimentación, términos asociados al mismo fenómeno de relaciones del sistema consigo mismo, ya sea directa o indirectamente»</w:t>
            </w:r>
          </w:p>
          <w:p>
            <w:pPr>
              <w:pStyle w:val="Recuadro"/>
            </w:pPr>
            <w:r>
              <w:t xml:space="preserve">Clase 7 · 01:36:15–01:36:40</w:t>
            </w:r>
          </w:p>
        </w:tc>
      </w:tr>
    </w:tbl>
    <w:p>
      <w:pPr>
        <w:pStyle w:val="Heading3"/>
      </w:pPr>
      <w:bookmarkStart w:name="b_cita_clase_9_retroalimentacio_3eba76b9" w:id="1951"/>
      <w:r>
        <w:t xml:space="preserve">Palabras del profesor</w:t>
      </w:r>
      <w:bookmarkEnd w:id="1951"/>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El profesor lo dijo así</w:t>
            </w:r>
          </w:p>
          <w:p>
            <w:pPr>
              <w:pStyle w:val="Recuadro"/>
            </w:pPr>
            <w:r>
              <w:t xml:space="preserve">«Los ciclos de retroalimentación negativa, que mencionaba antes, son los que regularmente mantienen bajo control a los sistemas; cuando hablamos de sistemas de control estaremos hablando de dinámicas no lineales relacionadas con la retroalimentación negativa.»</w:t>
            </w:r>
          </w:p>
          <w:p>
            <w:pPr>
              <w:pStyle w:val="Recuadro"/>
            </w:pPr>
            <w:r>
              <w:t xml:space="preserve">Clase 9 · 00:46:40–00:47:05</w:t>
            </w:r>
          </w:p>
        </w:tc>
      </w:tr>
    </w:tbl>
    <w:p>
      <w:pPr>
        <w:pStyle w:val="Heading3"/>
      </w:pPr>
      <w:r>
        <w:t xml:space="preserve">Errores frecuentes y trampa de examen</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9C620A" w:sz="20"/>
              <w:bottom w:val="nil"/>
              <w:right w:val="nil"/>
            </w:tcBorders>
            <w:shd w:fill="FBF3DF" w:val="clear"/>
            <w:tcMar>
              <w:top w:type="dxa" w:w="130"/>
              <w:left w:type="dxa" w:w="180"/>
              <w:bottom w:type="dxa" w:w="130"/>
              <w:right w:type="dxa" w:w="180"/>
            </w:tcMar>
          </w:tcPr>
          <w:p>
            <w:pPr>
              <w:pStyle w:val="RecuadroTitulo"/>
            </w:pPr>
            <w:r>
              <w:rPr>
                <w:b/>
                <w:bCs/>
                <w:color w:val="9C620A"/>
              </w:rPr>
              <w:t xml:space="preserve">Error → corrección</w:t>
            </w:r>
          </w:p>
          <w:p>
            <w:pPr>
              <w:pStyle w:val="Recuadro"/>
            </w:pPr>
            <w:r>
              <w:rPr>
                <w:b/>
                <w:bCs/>
              </w:rPr>
              <w:t xml:space="preserve">Error:</w:t>
            </w:r>
            <w:r>
              <w:t xml:space="preserve"> Entender la homeostasis como un valor fijo o como quietud.</w:t>
            </w:r>
          </w:p>
          <w:p>
            <w:pPr>
              <w:pStyle w:val="Recuadro"/>
            </w:pPr>
            <w:r>
              <w:rPr>
                <w:b/>
                <w:bCs/>
              </w:rPr>
              <w:t xml:space="preserve">Corrección:</w:t>
            </w:r>
            <w:r>
              <w:t xml:space="preserve"> Es equilibrio dinámico: el valor interno varía según lo que viene de afuera y los procesos internos lo devuelven al equilibrio.</w:t>
            </w:r>
          </w:p>
          <w:p>
            <w:pPr>
              <w:pStyle w:val="Recuadro"/>
            </w:pPr>
            <w:r>
              <w:t xml:space="preserve">Clase 9 · 00:43:54–00:45:49</w:t>
            </w:r>
          </w:p>
        </w:tc>
      </w:tr>
    </w:tbl>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9C620A" w:sz="20"/>
              <w:bottom w:val="nil"/>
              <w:right w:val="nil"/>
            </w:tcBorders>
            <w:shd w:fill="FBF3DF" w:val="clear"/>
            <w:tcMar>
              <w:top w:type="dxa" w:w="130"/>
              <w:left w:type="dxa" w:w="180"/>
              <w:bottom w:type="dxa" w:w="130"/>
              <w:right w:type="dxa" w:w="180"/>
            </w:tcMar>
          </w:tcPr>
          <w:p>
            <w:pPr>
              <w:pStyle w:val="RecuadroTitulo"/>
            </w:pPr>
            <w:r>
              <w:rPr>
                <w:b/>
                <w:bCs/>
                <w:color w:val="9C620A"/>
              </w:rPr>
              <w:t xml:space="preserve">Error → corrección</w:t>
            </w:r>
          </w:p>
          <w:p>
            <w:pPr>
              <w:pStyle w:val="Recuadro"/>
            </w:pPr>
            <w:r>
              <w:rPr>
                <w:b/>
                <w:bCs/>
              </w:rPr>
              <w:t xml:space="preserve">Error:</w:t>
            </w:r>
            <w:r>
              <w:t xml:space="preserve"> Medir la entropía en las partes una por una, o creerla exclusiva de la termodinámica.</w:t>
            </w:r>
          </w:p>
          <w:p>
            <w:pPr>
              <w:pStyle w:val="Recuadro"/>
            </w:pPr>
            <w:r>
              <w:rPr>
                <w:b/>
                <w:bCs/>
              </w:rPr>
              <w:t xml:space="preserve">Corrección:</w:t>
            </w:r>
            <w:r>
              <w:t xml:space="preserve"> Es el desorden que provocan las relaciones entre las partes; la termodinámica tiene indicadores matemáticos y a los demás sistemas se traslada la idea.</w:t>
            </w:r>
          </w:p>
          <w:p>
            <w:pPr>
              <w:pStyle w:val="Recuadro"/>
            </w:pPr>
            <w:r>
              <w:t xml:space="preserve">Clase 9 · 00:49:21–00:51:11</w:t>
            </w:r>
          </w:p>
        </w:tc>
      </w:tr>
    </w:tbl>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9C620A" w:sz="20"/>
              <w:bottom w:val="nil"/>
              <w:right w:val="nil"/>
            </w:tcBorders>
            <w:shd w:fill="FBF3DF" w:val="clear"/>
            <w:tcMar>
              <w:top w:type="dxa" w:w="130"/>
              <w:left w:type="dxa" w:w="180"/>
              <w:bottom w:type="dxa" w:w="130"/>
              <w:right w:type="dxa" w:w="180"/>
            </w:tcMar>
          </w:tcPr>
          <w:p>
            <w:pPr>
              <w:pStyle w:val="RecuadroTitulo"/>
            </w:pPr>
            <w:r>
              <w:rPr>
                <w:b/>
                <w:bCs/>
                <w:color w:val="9C620A"/>
              </w:rPr>
              <w:t xml:space="preserve">Error → corrección</w:t>
            </w:r>
          </w:p>
          <w:p>
            <w:pPr>
              <w:pStyle w:val="Recuadro"/>
            </w:pPr>
            <w:r>
              <w:rPr>
                <w:b/>
                <w:bCs/>
              </w:rPr>
              <w:t xml:space="preserve">Error:</w:t>
            </w:r>
            <w:r>
              <w:t xml:space="preserve"> Suponer que la computadora se mantiene ordenada por sí sola.</w:t>
            </w:r>
          </w:p>
          <w:p>
            <w:pPr>
              <w:pStyle w:val="Recuadro"/>
            </w:pPr>
            <w:r>
              <w:rPr>
                <w:b/>
                <w:bCs/>
              </w:rPr>
              <w:t xml:space="preserve">Corrección:</w:t>
            </w:r>
            <w:r>
              <w:t xml:space="preserve"> No se autolimpia: la neguentropía la genera el sistema mayor que forma con el usuario o el técnico mediante el mantenimiento.</w:t>
            </w:r>
          </w:p>
          <w:p>
            <w:pPr>
              <w:pStyle w:val="Recuadro"/>
            </w:pPr>
            <w:r>
              <w:t xml:space="preserve">Clase 9 · 00:56:52–00:58:35 · Clase 9 · 01:01:34–01:02:33</w:t>
            </w:r>
          </w:p>
        </w:tc>
      </w:tr>
    </w:tbl>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9C620A" w:sz="20"/>
              <w:bottom w:val="nil"/>
              <w:right w:val="nil"/>
            </w:tcBorders>
            <w:shd w:fill="FBF3DF" w:val="clear"/>
            <w:tcMar>
              <w:top w:type="dxa" w:w="130"/>
              <w:left w:type="dxa" w:w="180"/>
              <w:bottom w:type="dxa" w:w="130"/>
              <w:right w:type="dxa" w:w="180"/>
            </w:tcMar>
          </w:tcPr>
          <w:p>
            <w:pPr>
              <w:pStyle w:val="RecuadroTitulo"/>
            </w:pPr>
            <w:r>
              <w:rPr>
                <w:b/>
                <w:bCs/>
                <w:color w:val="9C620A"/>
              </w:rPr>
              <w:t xml:space="preserve">Error → corrección</w:t>
            </w:r>
          </w:p>
          <w:p>
            <w:pPr>
              <w:pStyle w:val="Recuadro"/>
            </w:pPr>
            <w:r>
              <w:rPr>
                <w:b/>
                <w:bCs/>
              </w:rPr>
              <w:t xml:space="preserve">Error:</w:t>
            </w:r>
            <w:r>
              <w:t xml:space="preserve"> Tratar el sistema cerrado como natural o frecuente, o definir la multifinalidad como si se hubiera dictado.</w:t>
            </w:r>
          </w:p>
          <w:p>
            <w:pPr>
              <w:pStyle w:val="Recuadro"/>
            </w:pPr>
            <w:r>
              <w:rPr>
                <w:b/>
                <w:bCs/>
              </w:rPr>
              <w:t xml:space="preserve">Corrección:</w:t>
            </w:r>
            <w:r>
              <w:t xml:space="preserve"> La clase usa cerrado en sentido amplio para montajes que eliminan interacciones; físicamente cerrado sólo excluye materia y aislado excluye además energía; la multifinalidad sólo se nombró como la opuesta y quedó de investigación.</w:t>
            </w:r>
          </w:p>
          <w:p>
            <w:pPr>
              <w:pStyle w:val="Recuadro"/>
            </w:pPr>
            <w:r>
              <w:t xml:space="preserve">Clase 9 · 01:03:48–01:05:28 · Clase 9 · 01:08:33–01:09:42</w:t>
            </w:r>
          </w:p>
        </w:tc>
      </w:tr>
    </w:tbl>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9C620A" w:sz="20"/>
              <w:bottom w:val="nil"/>
              <w:right w:val="nil"/>
            </w:tcBorders>
            <w:shd w:fill="FBF3DF" w:val="clear"/>
            <w:tcMar>
              <w:top w:type="dxa" w:w="130"/>
              <w:left w:type="dxa" w:w="180"/>
              <w:bottom w:type="dxa" w:w="130"/>
              <w:right w:type="dxa" w:w="180"/>
            </w:tcMar>
          </w:tcPr>
          <w:p>
            <w:pPr>
              <w:pStyle w:val="RecuadroTitulo"/>
            </w:pPr>
            <w:r>
              <w:rPr>
                <w:b/>
                <w:bCs/>
                <w:color w:val="9C620A"/>
              </w:rPr>
              <w:t xml:space="preserve">Trampa de examen</w:t>
            </w:r>
          </w:p>
          <w:p>
            <w:pPr>
              <w:pStyle w:val="Recuadro"/>
            </w:pPr>
            <w:r>
              <w:t xml:space="preserve">Entropía y neguentropía son fuerzas opuestas: la entropía es el desorden de las relaciones, la pérdida progresiva que hay que contrarrestar, y la neguentropía la energía o el mecanismo regulador que devuelve orden; la homeostasis no es ninguna de las dos, es el equilibrio dinámico con el medio que sostienen los ciclos de retroalimentación negativa. Y equifinalidad no es multifinalidad: sólo la primera se definió.</w:t>
            </w:r>
          </w:p>
        </w:tc>
      </w:tr>
    </w:tbl>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Ampliación: lo no dictado en clase</w:t>
            </w:r>
          </w:p>
          <w:p>
            <w:pPr>
              <w:pStyle w:val="Recuadro"/>
            </w:pPr>
            <w:r>
              <w:t xml:space="preserve">La clase no definió la multifinalidad (quedó de investigación) ni desarrolló la retroalimentación positiva y negativa, diferidas a la unidad 3. Las definiciones de los sistemas probabilísticos y de las demás clasificaciones (concretos, dinámicos, estáticos, trascendentales), la cibernética como ciencia de la realimentación, la variedad requerida de Ashby y las atribuciones históricas a Bertalanffy y otros autores vienen de las lecturas, no de lo dictado. Cerrado frente a aislado y el alcance físico de la segunda ley son una precisión editorial contrastada con C-6, página 62, no una distinción que el audio haya explicado.</w:t>
            </w:r>
          </w:p>
        </w:tc>
      </w:tr>
    </w:tbl>
    <w:p>
      <w:pPr>
        <w:pStyle w:val="Heading3"/>
      </w:pPr>
      <w:r>
        <w:t xml:space="preserve">Lecturas y tareas del curso</w:t>
      </w:r>
    </w:p>
    <w:p>
      <w:pPr>
        <w:pStyle w:val="Normal"/>
      </w:pPr>
      <w:r>
        <w:t xml:space="preserve">C-6 · Unidad 2 · Teoría de sistemas y pensamiento sistémico (presentación). 65 páginas con teoría de sistemas, elementos, estructura, función, niveles, sinergia, emergencia, complejidad y universo de sistemas. Copia íntegra de la presentación del profesor.</w:t>
      </w:r>
    </w:p>
    <w:p>
      <w:pPr>
        <w:pStyle w:val="Normal"/>
      </w:pPr>
      <w:r>
        <w:t xml:space="preserve">L-7 · Introducción a la TGS: conceptos e historia. Lectura que recorre la historia de la Teoría General de Sistemas y fija su vocabulario básico: sistema, frontera, entorno, entradas y salidas, jerarquía y los conceptos que la Unidad 2 desarrolla.</w:t>
      </w:r>
    </w:p>
    <w:p>
      <w:pPr>
        <w:pStyle w:val="Normal"/>
      </w:pPr>
      <w:r>
        <w:t xml:space="preserve">L-8 · Ingeniería de sistemas: orígenes y definición. Documento del catedrático del curso sobre el origen y la definición de la ingeniería de sistemas, y cómo se apoya en el mapa de los sistemas diseñados para intervenir en la realidad.</w:t>
      </w:r>
    </w:p>
    <w:p>
      <w:pPr>
        <w:pStyle w:val="Normal"/>
      </w:pPr>
      <w:r>
        <w:t xml:space="preserve">Tareas relacionadas: T-7. Consulte su procedencia en la bibliografía.</w:t>
      </w:r>
    </w:p>
    <w:p>
      <w:pPr>
        <w:pStyle w:val="Heading3"/>
      </w:pPr>
      <w:r>
        <w:t xml:space="preserve">Práctica de los laboratorios</w:t>
      </w:r>
    </w:p>
    <w:p>
      <w:pPr>
        <w:pStyle w:val="Normal"/>
      </w:pPr>
      <w:r>
        <w:t xml:space="preserve">Los procedimientos del capítulo permiten reconstruir en papel la práctica interactiva. Los laboratorios originales permanecen disponibles en la lección del portal.</w:t>
      </w:r>
    </w:p>
    <w:p>
      <w:pPr>
        <w:pStyle w:val="Normal"/>
        <w:numPr>
          <w:ilvl w:val="0"/>
          <w:numId w:val="2"/>
        </w:numPr>
      </w:pPr>
      <w:r>
        <w:t xml:space="preserve">Los conceptos de la Teoría General de Sistemas</w:t>
      </w:r>
    </w:p>
    <w:p>
      <w:pPr>
        <w:pStyle w:val="Normal"/>
        <w:numPr>
          <w:ilvl w:val="0"/>
          <w:numId w:val="2"/>
        </w:numPr>
      </w:pPr>
      <w:r>
        <w:t xml:space="preserve">Entropía y neguentropía en el tiempo</w:t>
      </w:r>
    </w:p>
    <w:p>
      <w:pPr>
        <w:pStyle w:val="Normal"/>
        <w:numPr>
          <w:ilvl w:val="0"/>
          <w:numId w:val="2"/>
        </w:numPr>
      </w:pPr>
      <w:r>
        <w:t xml:space="preserve">Equifinalidad y multifinalidad: qué se dictó y qué no</w:t>
      </w:r>
    </w:p>
    <w:p>
      <w:pPr>
        <w:pStyle w:val="Heading3"/>
      </w:pPr>
      <w:r>
        <w:t xml:space="preserve">Autoevaluación</w:t>
      </w:r>
    </w:p>
    <w:p>
      <w:pPr>
        <w:pStyle w:val="Normal"/>
      </w:pPr>
      <w:r>
        <w:t xml:space="preserve">Resuelva sin consultar las respuestas. Compruebe al final del capítulo por qué cada opción es correcta o incorrecta.</w:t>
      </w:r>
    </w:p>
    <w:p>
      <w:pPr>
        <w:pStyle w:val="Heading3"/>
      </w:pPr>
      <w:bookmarkStart w:name="b_pregunta_auto_2_8_1" w:id="1952"/>
      <w:r>
        <w:t xml:space="preserve">2.8-A1 · Un recipiente sellado recibe calor de una fuente externa. ¿Cómo se clasifica con precisión física?</w:t>
      </w:r>
      <w:bookmarkEnd w:id="1952"/>
    </w:p>
    <w:p>
      <w:pPr>
        <w:pStyle w:val="Normal"/>
      </w:pPr>
      <w:r>
        <w:t xml:space="preserve">a) Aislado, porque una tapa impide cualquier intercambio energético</w:t>
      </w:r>
    </w:p>
    <w:p>
      <w:pPr>
        <w:pStyle w:val="Normal"/>
      </w:pPr>
      <w:r>
        <w:t xml:space="preserve">b) Abierto, porque toda entrada de calor transporta necesariamente materia</w:t>
      </w:r>
    </w:p>
    <w:p>
      <w:pPr>
        <w:pStyle w:val="Normal"/>
      </w:pPr>
      <w:r>
        <w:t xml:space="preserve">c) Imposible de clasificar sin conocer su forma geométrica</w:t>
      </w:r>
    </w:p>
    <w:p>
      <w:pPr>
        <w:pStyle w:val="Normal"/>
      </w:pPr>
      <w:r>
        <w:t xml:space="preserve">d) Cerrado, porque no intercambia materia, pero no aislado, porque intercambia energía</w:t>
      </w:r>
    </w:p>
    <w:p>
      <w:pPr>
        <w:pStyle w:val="Heading3"/>
      </w:pPr>
      <w:bookmarkStart w:name="b_pregunta_auto_2_8_2" w:id="1953"/>
      <w:r>
        <w:t xml:space="preserve">2.8-A2 · ¿Qué afirmación expresa correctamente el alcance de la segunda ley?</w:t>
      </w:r>
      <w:bookmarkEnd w:id="1953"/>
    </w:p>
    <w:p>
      <w:pPr>
        <w:pStyle w:val="Normal"/>
      </w:pPr>
      <w:r>
        <w:t xml:space="preserve">a) La entropía del total aislado no disminuye; una parte puede disminuirla compensándola en el entorno</w:t>
      </w:r>
    </w:p>
    <w:p>
      <w:pPr>
        <w:pStyle w:val="Normal"/>
      </w:pPr>
      <w:r>
        <w:t xml:space="preserve">b) La entropía de cualquier sistema cerrado aumenta siempre aunque exporte calor</w:t>
      </w:r>
    </w:p>
    <w:p>
      <w:pPr>
        <w:pStyle w:val="Normal"/>
      </w:pPr>
      <w:r>
        <w:t xml:space="preserve">c) Un organismo organizado viola la segunda ley</w:t>
      </w:r>
    </w:p>
    <w:p>
      <w:pPr>
        <w:pStyle w:val="Normal"/>
      </w:pPr>
      <w:r>
        <w:t xml:space="preserve">d) La entropía mide sin distinción cualquier error o conflicto social</w:t>
      </w:r>
    </w:p>
    <w:p>
      <w:pPr>
        <w:pStyle w:val="Heading3"/>
      </w:pPr>
      <w:bookmarkStart w:name="b_pregunta_auto_2_8_3" w:id="1954"/>
      <w:r>
        <w:t xml:space="preserve">2.8-A3 · Un sistema que intercambia continuamente materia, energía e información con su entorno —y que por eso puede sostenerse e incluso crecer— es un sistema…</w:t>
      </w:r>
      <w:bookmarkEnd w:id="1954"/>
    </w:p>
    <w:p>
      <w:pPr>
        <w:pStyle w:val="Normal"/>
      </w:pPr>
      <w:r>
        <w:t xml:space="preserve">a) Cerrado</w:t>
      </w:r>
    </w:p>
    <w:p>
      <w:pPr>
        <w:pStyle w:val="Normal"/>
      </w:pPr>
      <w:r>
        <w:t xml:space="preserve">b) Abierto</w:t>
      </w:r>
    </w:p>
    <w:p>
      <w:pPr>
        <w:pStyle w:val="Normal"/>
      </w:pPr>
      <w:r>
        <w:t xml:space="preserve">c) Aislado</w:t>
      </w:r>
    </w:p>
    <w:p>
      <w:pPr>
        <w:pStyle w:val="Normal"/>
      </w:pPr>
      <w:r>
        <w:t xml:space="preserve">d) En equilibrio</w:t>
      </w:r>
    </w:p>
    <w:p>
      <w:pPr>
        <w:pStyle w:val="Heading3"/>
      </w:pPr>
      <w:bookmarkStart w:name="b_pregunta_auto_2_8_4" w:id="1955"/>
      <w:r>
        <w:t xml:space="preserve">2.8-A4 · Librado a sí mismo, sin aportes externos, ¿hacia qué tiende un sistema aislado fuera del equilibrio?</w:t>
      </w:r>
      <w:bookmarkEnd w:id="1955"/>
    </w:p>
    <w:p>
      <w:pPr>
        <w:pStyle w:val="Normal"/>
      </w:pPr>
      <w:r>
        <w:t xml:space="preserve">a) Hacia una organización cada vez mayor</w:t>
      </w:r>
    </w:p>
    <w:p>
      <w:pPr>
        <w:pStyle w:val="Normal"/>
      </w:pPr>
      <w:r>
        <w:t xml:space="preserve">b) Hacia la máxima entropía y el equilibrio inerte</w:t>
      </w:r>
    </w:p>
    <w:p>
      <w:pPr>
        <w:pStyle w:val="Normal"/>
      </w:pPr>
      <w:r>
        <w:t xml:space="preserve">c) Hacia la equifinalidad</w:t>
      </w:r>
    </w:p>
    <w:p>
      <w:pPr>
        <w:pStyle w:val="Normal"/>
      </w:pPr>
      <w:r>
        <w:t xml:space="preserve">d) Hacia la neguentropía</w:t>
      </w:r>
    </w:p>
    <w:p>
      <w:pPr>
        <w:pStyle w:val="Heading3"/>
      </w:pPr>
      <w:bookmarkStart w:name="b_pregunta_auto_2_8_5" w:id="1956"/>
      <w:r>
        <w:t xml:space="preserve">2.8-A5 · El cuerpo mantiene la temperatura cerca de 37 °C corrigiendo cualquier desviación (sudar, tiritar). Esa estabilidad interna se llama…</w:t>
      </w:r>
      <w:bookmarkEnd w:id="1956"/>
    </w:p>
    <w:p>
      <w:pPr>
        <w:pStyle w:val="Normal"/>
      </w:pPr>
      <w:r>
        <w:t xml:space="preserve">a) Entropía</w:t>
      </w:r>
    </w:p>
    <w:p>
      <w:pPr>
        <w:pStyle w:val="Normal"/>
      </w:pPr>
      <w:r>
        <w:t xml:space="preserve">b) Homeostasis</w:t>
      </w:r>
    </w:p>
    <w:p>
      <w:pPr>
        <w:pStyle w:val="Normal"/>
      </w:pPr>
      <w:r>
        <w:t xml:space="preserve">c) Equifinalidad</w:t>
      </w:r>
    </w:p>
    <w:p>
      <w:pPr>
        <w:pStyle w:val="Normal"/>
      </w:pPr>
      <w:r>
        <w:t xml:space="preserve">d) Variedad requerida</w:t>
      </w:r>
    </w:p>
    <w:p>
      <w:pPr>
        <w:pStyle w:val="Heading3"/>
      </w:pPr>
      <w:bookmarkStart w:name="b_pregunta_auto_2_8_6" w:id="1957"/>
      <w:r>
        <w:t xml:space="preserve">2.8-A6 · La retroalimentación que sostiene la homeostasis, corrigiendo las desviaciones respecto de una meta, es la…</w:t>
      </w:r>
      <w:bookmarkEnd w:id="1957"/>
    </w:p>
    <w:p>
      <w:pPr>
        <w:pStyle w:val="Normal"/>
      </w:pPr>
      <w:r>
        <w:t xml:space="preserve">a) Positiva o reforzadora</w:t>
      </w:r>
    </w:p>
    <w:p>
      <w:pPr>
        <w:pStyle w:val="Normal"/>
      </w:pPr>
      <w:r>
        <w:t xml:space="preserve">b) Negativa o compensadora</w:t>
      </w:r>
    </w:p>
    <w:p>
      <w:pPr>
        <w:pStyle w:val="Normal"/>
      </w:pPr>
      <w:r>
        <w:t xml:space="preserve">c) Neguentrópica</w:t>
      </w:r>
    </w:p>
    <w:p>
      <w:pPr>
        <w:pStyle w:val="Normal"/>
      </w:pPr>
      <w:r>
        <w:t xml:space="preserve">d) Equifinal</w:t>
      </w:r>
    </w:p>
    <w:p>
      <w:pPr>
        <w:pStyle w:val="Heading3"/>
      </w:pPr>
      <w:bookmarkStart w:name="b_pregunta_auto_2_8_7" w:id="1958"/>
      <w:r>
        <w:t xml:space="preserve">2.8-A7 · El interés compuesto que dispara un capital y una corrida bancaria que se agrava con el pánico son ejemplos de retroalimentación…</w:t>
      </w:r>
      <w:bookmarkEnd w:id="1958"/>
    </w:p>
    <w:p>
      <w:pPr>
        <w:pStyle w:val="Normal"/>
      </w:pPr>
      <w:r>
        <w:t xml:space="preserve">a) Negativa, porque estabiliza</w:t>
      </w:r>
    </w:p>
    <w:p>
      <w:pPr>
        <w:pStyle w:val="Normal"/>
      </w:pPr>
      <w:r>
        <w:t xml:space="preserve">b) Positiva, porque amplifica la desviación</w:t>
      </w:r>
    </w:p>
    <w:p>
      <w:pPr>
        <w:pStyle w:val="Normal"/>
      </w:pPr>
      <w:r>
        <w:t xml:space="preserve">c) Nula, porque no hay bucle</w:t>
      </w:r>
    </w:p>
    <w:p>
      <w:pPr>
        <w:pStyle w:val="Normal"/>
      </w:pPr>
      <w:r>
        <w:t xml:space="preserve">d) Homeostática, porque busca el equilibrio</w:t>
      </w:r>
    </w:p>
    <w:p>
      <w:pPr>
        <w:pStyle w:val="Heading3"/>
      </w:pPr>
      <w:bookmarkStart w:name="b_pregunta_auto_2_8_8" w:id="1959"/>
      <w:r>
        <w:t xml:space="preserve">2.8-A8 · Que un sistema abierto pueda alcanzar un mismo estado final partiendo de condiciones iniciales distintas y por caminos distintos se conoce como…</w:t>
      </w:r>
      <w:bookmarkEnd w:id="1959"/>
    </w:p>
    <w:p>
      <w:pPr>
        <w:pStyle w:val="Normal"/>
      </w:pPr>
      <w:r>
        <w:t xml:space="preserve">a) Homeostasis</w:t>
      </w:r>
    </w:p>
    <w:p>
      <w:pPr>
        <w:pStyle w:val="Normal"/>
      </w:pPr>
      <w:r>
        <w:t xml:space="preserve">b) Equifinalidad</w:t>
      </w:r>
    </w:p>
    <w:p>
      <w:pPr>
        <w:pStyle w:val="Normal"/>
      </w:pPr>
      <w:r>
        <w:t xml:space="preserve">c) Entropía</w:t>
      </w:r>
    </w:p>
    <w:p>
      <w:pPr>
        <w:pStyle w:val="Normal"/>
      </w:pPr>
      <w:r>
        <w:t xml:space="preserve">d) Sinergia</w:t>
      </w:r>
    </w:p>
    <w:p>
      <w:pPr>
        <w:pStyle w:val="Heading3"/>
      </w:pPr>
      <w:bookmarkStart w:name="b_pregunta_auto_2_8_9" w:id="1960"/>
      <w:r>
        <w:t xml:space="preserve">2.8-A9 · Schrödinger decía que el ser vivo «se alimenta de entropía negativa». ¿Qué nombra ese mecanismo por el que un sistema abierto importa orden para no degradarse?</w:t>
      </w:r>
      <w:bookmarkEnd w:id="1960"/>
    </w:p>
    <w:p>
      <w:pPr>
        <w:pStyle w:val="Normal"/>
      </w:pPr>
      <w:r>
        <w:t xml:space="preserve">a) Neguentropía</w:t>
      </w:r>
    </w:p>
    <w:p>
      <w:pPr>
        <w:pStyle w:val="Normal"/>
      </w:pPr>
      <w:r>
        <w:t xml:space="preserve">b) Homeostasis</w:t>
      </w:r>
    </w:p>
    <w:p>
      <w:pPr>
        <w:pStyle w:val="Normal"/>
      </w:pPr>
      <w:r>
        <w:t xml:space="preserve">c) Equifinalidad</w:t>
      </w:r>
    </w:p>
    <w:p>
      <w:pPr>
        <w:pStyle w:val="Normal"/>
      </w:pPr>
      <w:r>
        <w:t xml:space="preserve">d) Retroalimentación positiva</w:t>
      </w:r>
    </w:p>
    <w:p>
      <w:pPr>
        <w:pStyle w:val="Heading3"/>
      </w:pPr>
      <w:bookmarkStart w:name="b_pregunta_auto_2_8_10" w:id="1961"/>
      <w:r>
        <w:t xml:space="preserve">2.8-A10 · Según la ley de Ashby, para regular con eficacia un sistema el controlador debe tener…</w:t>
      </w:r>
      <w:bookmarkEnd w:id="1961"/>
    </w:p>
    <w:p>
      <w:pPr>
        <w:pStyle w:val="Normal"/>
      </w:pPr>
      <w:r>
        <w:t xml:space="preserve">a) Menos variedad que el sistema, para simplificar</w:t>
      </w:r>
    </w:p>
    <w:p>
      <w:pPr>
        <w:pStyle w:val="Normal"/>
      </w:pPr>
      <w:r>
        <w:t xml:space="preserve">b) Al menos tanta variedad como perturbaciones distintas pueda presentar el sistema</w:t>
      </w:r>
    </w:p>
    <w:p>
      <w:pPr>
        <w:pStyle w:val="Normal"/>
      </w:pPr>
      <w:r>
        <w:t xml:space="preserve">c) La misma cantidad de energía que el sistema</w:t>
      </w:r>
    </w:p>
    <w:p>
      <w:pPr>
        <w:pStyle w:val="Normal"/>
      </w:pPr>
      <w:r>
        <w:t xml:space="preserve">d) Una sola respuesta bien elegida</w:t>
      </w:r>
    </w:p>
    <w:p>
      <w:pPr>
        <w:pStyle w:val="Heading3"/>
      </w:pPr>
      <w:r>
        <w:t xml:space="preserve">Ejercicios de aplicación</w:t>
      </w:r>
    </w:p>
    <w:p>
      <w:pPr>
        <w:pStyle w:val="Heading3"/>
      </w:pPr>
      <w:bookmarkStart w:name="b_pregunta_ej_P14" w:id="1962"/>
      <w:r>
        <w:t xml:space="preserve">2.8-E1 · Regulación y homeostasis</w:t>
      </w:r>
      <w:bookmarkEnd w:id="1962"/>
    </w:p>
    <w:p>
      <w:pPr>
        <w:pStyle w:val="Normal"/>
      </w:pPr>
      <w:r>
        <w:t xml:space="preserve">Entran y salen 10 litros/minuto de un tanque. ¿Hay actividad? ¿Basta ese dato para demostrar un regulador que restablece el nivel tras una perturbación?</w:t>
      </w:r>
    </w:p>
    <w:p>
      <w:pPr>
        <w:pStyle w:val="Heading3"/>
      </w:pPr>
      <w:bookmarkStart w:name="b_solucionario_2_8" w:id="1963"/>
      <w:r>
        <w:t xml:space="preserve">Solucionario del capítulo</w:t>
      </w:r>
      <w:bookmarkEnd w:id="1963"/>
    </w:p>
    <w:p>
      <w:pPr>
        <w:pStyle w:val="Heading3"/>
      </w:pPr>
      <w:r>
        <w:t xml:space="preserve">2.8-A1</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d) Cerrado, porque no intercambia materia, pero no aislado, porque intercambia energía</w:t>
            </w:r>
          </w:p>
        </w:tc>
      </w:tr>
    </w:tbl>
    <w:p>
      <w:pPr>
        <w:pStyle w:val="Normal"/>
      </w:pPr>
      <w:r>
        <w:t xml:space="preserve">Cerrado restringe el intercambio de materia; aislado restringe materia y energía. El calor que atraviesa la frontera demuestra que el recipiente no está aislado aunque permanezca sellado.</w:t>
      </w:r>
    </w:p>
    <w:p>
      <w:pPr>
        <w:pStyle w:val="Fuente"/>
      </w:pPr>
      <w:r>
        <w:t xml:space="preserve">Presentación de la unidad 2 (C-6), pág. 62 · precisión física editorial</w:t>
      </w:r>
    </w:p>
    <w:p>
      <w:pPr>
        <w:pStyle w:val="Heading3"/>
      </w:pPr>
      <w:r>
        <w:t xml:space="preserve">2.8-A2</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a) La entropía del total aislado no disminuye; una parte puede disminuirla compensándola en el entorno</w:t>
            </w:r>
          </w:p>
        </w:tc>
      </w:tr>
    </w:tbl>
    <w:p>
      <w:pPr>
        <w:pStyle w:val="Normal"/>
      </w:pPr>
      <w:r>
        <w:t xml:space="preserve">La segunda ley se aplica al total aislado: la entropía aumenta en procesos irreversibles y se conserva en el límite reversible. Un sistema que intercambia energía puede disminuir su entropía local con compensación en el entorno.</w:t>
      </w:r>
    </w:p>
    <w:p>
      <w:pPr>
        <w:pStyle w:val="Fuente"/>
      </w:pPr>
      <w:r>
        <w:t xml:space="preserve">Presentación de la unidad 2 (C-6), pág. 62 · precisión física editorial</w:t>
      </w:r>
    </w:p>
    <w:p>
      <w:pPr>
        <w:pStyle w:val="Heading3"/>
      </w:pPr>
      <w:r>
        <w:t xml:space="preserve">2.8-A3</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b) Abierto</w:t>
            </w:r>
          </w:p>
        </w:tc>
      </w:tr>
    </w:tbl>
    <w:p>
      <w:pPr>
        <w:pStyle w:val="Normal"/>
      </w:pPr>
      <w:r>
        <w:t xml:space="preserve">Para von Bertalanffy, todo sistema vivo es un sistema abierto: se mantiene en un estado uniforme gracias al flujo continuo de entradas y salidas.</w:t>
      </w:r>
    </w:p>
    <w:p>
      <w:pPr>
        <w:pStyle w:val="Normal"/>
      </w:pPr>
      <w:r>
        <w:t xml:space="preserve">a) Al revés: el cerrado no intercambia materia con el entorno.</w:t>
      </w:r>
    </w:p>
    <w:p>
      <w:pPr>
        <w:pStyle w:val="Normal"/>
      </w:pPr>
      <w:r>
        <w:t xml:space="preserve">b) Correcto: el intercambio constante define al sistema abierto.</w:t>
      </w:r>
    </w:p>
    <w:p>
      <w:pPr>
        <w:pStyle w:val="Normal"/>
      </w:pPr>
      <w:r>
        <w:t xml:space="preserve">c) Aislado es aún más restrictivo que cerrado: no intercambia nada.</w:t>
      </w:r>
    </w:p>
    <w:p>
      <w:pPr>
        <w:pStyle w:val="Normal"/>
      </w:pPr>
      <w:r>
        <w:t xml:space="preserve">d) El equilibrio no define un sistema abierto: lo define el intercambio a través de la frontera.</w:t>
      </w:r>
    </w:p>
    <w:p>
      <w:pPr>
        <w:pStyle w:val="Fuente"/>
      </w:pPr>
      <w:r>
        <w:t xml:space="preserve">von Bertalanffy</w:t>
      </w:r>
    </w:p>
    <w:p>
      <w:pPr>
        <w:pStyle w:val="Heading3"/>
      </w:pPr>
      <w:r>
        <w:t xml:space="preserve">2.8-A4</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b) Hacia la máxima entropía y el equilibrio inerte</w:t>
            </w:r>
          </w:p>
        </w:tc>
      </w:tr>
    </w:tbl>
    <w:p>
      <w:pPr>
        <w:pStyle w:val="Normal"/>
      </w:pPr>
      <w:r>
        <w:t xml:space="preserve">En un sistema aislado, la entropía no disminuye: aumenta en procesos irreversibles hasta el equilibrio. Un sistema cerrado puede intercambiar energía y reducir su entropía local con compensación en el entorno.</w:t>
      </w:r>
    </w:p>
    <w:p>
      <w:pPr>
        <w:pStyle w:val="Fuente"/>
      </w:pPr>
      <w:r>
        <w:t xml:space="preserve">Presentación de la unidad 2 (C-6), pág. 62 · precisión física editorial</w:t>
      </w:r>
    </w:p>
    <w:p>
      <w:pPr>
        <w:pStyle w:val="Heading3"/>
      </w:pPr>
      <w:r>
        <w:t xml:space="preserve">2.8-A5</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b) Homeostasis</w:t>
            </w:r>
          </w:p>
        </w:tc>
      </w:tr>
    </w:tbl>
    <w:p>
      <w:pPr>
        <w:pStyle w:val="Normal"/>
      </w:pPr>
      <w:r>
        <w:t xml:space="preserve">La homeostasis (Cannon) es el mantenimiento de las variables internas críticas dentro de un rango, logrado sobre todo por retroalimentación negativa.</w:t>
      </w:r>
    </w:p>
    <w:p>
      <w:pPr>
        <w:pStyle w:val="Normal"/>
      </w:pPr>
      <w:r>
        <w:t xml:space="preserve">a) La entropía es la tendencia al desorden, no a la estabilidad.</w:t>
      </w:r>
    </w:p>
    <w:p>
      <w:pPr>
        <w:pStyle w:val="Normal"/>
      </w:pPr>
      <w:r>
        <w:t xml:space="preserve">b) Correcto: mantener constantes las variables internas es la homeostasis.</w:t>
      </w:r>
    </w:p>
    <w:p>
      <w:pPr>
        <w:pStyle w:val="Normal"/>
      </w:pPr>
      <w:r>
        <w:t xml:space="preserve">c) La equifinalidad habla de llegar a un mismo fin por caminos distintos.</w:t>
      </w:r>
    </w:p>
    <w:p>
      <w:pPr>
        <w:pStyle w:val="Normal"/>
      </w:pPr>
      <w:r>
        <w:t xml:space="preserve">d) La variedad requerida es una ley del control, no la estabilidad interna.</w:t>
      </w:r>
    </w:p>
    <w:p>
      <w:pPr>
        <w:pStyle w:val="Fuente"/>
      </w:pPr>
      <w:r>
        <w:t xml:space="preserve">Cannon</w:t>
      </w:r>
    </w:p>
    <w:p>
      <w:pPr>
        <w:pStyle w:val="Heading3"/>
      </w:pPr>
      <w:r>
        <w:t xml:space="preserve">2.8-A6</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b) Negativa o compensadora</w:t>
            </w:r>
          </w:p>
        </w:tc>
      </w:tr>
    </w:tbl>
    <w:p>
      <w:pPr>
        <w:pStyle w:val="Normal"/>
      </w:pPr>
      <w:r>
        <w:t xml:space="preserve">La retroalimentación negativa (compensadora, equilibrante) reduce la brecha respecto del punto de ajuste y estabiliza el sistema; es el «freno».</w:t>
      </w:r>
    </w:p>
    <w:p>
      <w:pPr>
        <w:pStyle w:val="Fuente"/>
      </w:pPr>
      <w:r>
        <w:t xml:space="preserve">Cibernética</w:t>
      </w:r>
    </w:p>
    <w:p>
      <w:pPr>
        <w:pStyle w:val="Heading3"/>
      </w:pPr>
      <w:r>
        <w:t xml:space="preserve">2.8-A7</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b) Positiva, porque amplifica la desviación</w:t>
            </w:r>
          </w:p>
        </w:tc>
      </w:tr>
    </w:tbl>
    <w:p>
      <w:pPr>
        <w:pStyle w:val="Normal"/>
      </w:pPr>
      <w:r>
        <w:t xml:space="preserve">La retroalimentación positiva (reforzadora) amplifica la desviación en el mismo sentido y produce crecimiento o colapso exponencial: círculos virtuosos o viciosos.</w:t>
      </w:r>
    </w:p>
    <w:p>
      <w:pPr>
        <w:pStyle w:val="Heading3"/>
      </w:pPr>
      <w:r>
        <w:t xml:space="preserve">2.8-A8</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b) Equifinalidad</w:t>
            </w:r>
          </w:p>
        </w:tc>
      </w:tr>
    </w:tbl>
    <w:p>
      <w:pPr>
        <w:pStyle w:val="Normal"/>
      </w:pPr>
      <w:r>
        <w:t xml:space="preserve">La equifinalidad (von Bertalanffy) es propia de los sistemas abiertos y advierte contra el pensamiento de «causa única»: hay varias rutas hacia el mismo resultado.</w:t>
      </w:r>
    </w:p>
    <w:p>
      <w:pPr>
        <w:pStyle w:val="Normal"/>
      </w:pPr>
      <w:r>
        <w:t xml:space="preserve">a) La homeostasis es mantener estables las variables internas.</w:t>
      </w:r>
    </w:p>
    <w:p>
      <w:pPr>
        <w:pStyle w:val="Normal"/>
      </w:pPr>
      <w:r>
        <w:t xml:space="preserve">b) Correcto: distintos orígenes y rutas, mismo estado final = equifinalidad.</w:t>
      </w:r>
    </w:p>
    <w:p>
      <w:pPr>
        <w:pStyle w:val="Normal"/>
      </w:pPr>
      <w:r>
        <w:t xml:space="preserve">c) La entropía es la tendencia al desorden.</w:t>
      </w:r>
    </w:p>
    <w:p>
      <w:pPr>
        <w:pStyle w:val="Normal"/>
      </w:pPr>
      <w:r>
        <w:t xml:space="preserve">d) La sinergia es que el todo supere la suma de las partes (otra lección).</w:t>
      </w:r>
    </w:p>
    <w:p>
      <w:pPr>
        <w:pStyle w:val="Fuente"/>
      </w:pPr>
      <w:r>
        <w:t xml:space="preserve">von Bertalanffy</w:t>
      </w:r>
    </w:p>
    <w:p>
      <w:pPr>
        <w:pStyle w:val="Heading3"/>
      </w:pPr>
      <w:r>
        <w:t xml:space="preserve">2.8-A9</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a) Neguentropía</w:t>
            </w:r>
          </w:p>
        </w:tc>
      </w:tr>
    </w:tbl>
    <w:p>
      <w:pPr>
        <w:pStyle w:val="Normal"/>
      </w:pPr>
      <w:r>
        <w:t xml:space="preserve">La neguentropía es la importación de energía y orden desde el entorno para mantener o aumentar la organización interna, contrarrestando localmente la entropía.</w:t>
      </w:r>
    </w:p>
    <w:p>
      <w:pPr>
        <w:pStyle w:val="Fuente"/>
      </w:pPr>
      <w:r>
        <w:t xml:space="preserve">Schrödinger / Brillouin</w:t>
      </w:r>
    </w:p>
    <w:p>
      <w:pPr>
        <w:pStyle w:val="Heading3"/>
      </w:pPr>
      <w:r>
        <w:t xml:space="preserve">2.8-A10</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b) Al menos tanta variedad como perturbaciones distintas pueda presentar el sistema</w:t>
            </w:r>
          </w:p>
        </w:tc>
      </w:tr>
    </w:tbl>
    <w:p>
      <w:pPr>
        <w:pStyle w:val="Normal"/>
      </w:pPr>
      <w:r>
        <w:t xml:space="preserve">La ley de la variedad requerida se resume como «solo la variedad puede absorber variedad»: si el entorno es más variado que nuestras respuestas, no podremos controlarlo.</w:t>
      </w:r>
    </w:p>
    <w:p>
      <w:pPr>
        <w:pStyle w:val="Fuente"/>
      </w:pPr>
      <w:r>
        <w:t xml:space="preserve">Ashby</w:t>
      </w:r>
    </w:p>
    <w:p>
      <w:pPr>
        <w:pStyle w:val="Heading3"/>
      </w:pPr>
      <w:bookmarkStart w:name="b_solucion_ej_P14" w:id="1964"/>
      <w:r>
        <w:t xml:space="preserve">Solución 2.8-E1</w:t>
      </w:r>
      <w:bookmarkEnd w:id="1964"/>
    </w:p>
    <w:p>
      <w:pPr>
        <w:pStyle w:val="RecuadroTitulo"/>
      </w:pPr>
      <w:r>
        <w:t xml:space="preserve">Respuesta modelo</w:t>
      </w:r>
    </w:p>
    <w:p>
      <w:pPr>
        <w:pStyle w:val="Normal"/>
      </w:pPr>
      <w:r>
        <w:t xml:space="preserve">Hay equilibrio dinámico con flujos no nulos. Para demostrar regulación hay que identificar una respuesta a la perturbación, como ajustar entrada según la brecha. La igualdad accidental de tasas no demuestra por sí sola homeostasis.</w:t>
      </w:r>
    </w:p>
    <w:p>
      <w:pPr>
        <w:pStyle w:val="Fuente"/>
        <w:sectPr>
          <w:headerReference w:type="default" r:id="rId144"/>
          <w:headerReference w:type="first" r:id="rId145"/>
          <w:headerReference w:type="even" r:id="rId146"/>
          <w:footerReference w:type="default" r:id="rId147"/>
          <w:footerReference w:type="first" r:id="rId148"/>
          <w:footerReference w:type="even" r:id="rId149"/>
          <w:type w:val="nextPage"/>
          <w:pgSz w:w="12240" w:h="15840" w:orient="portrait"/>
          <w:pgMar w:top="1361" w:right="1134" w:bottom="1361" w:left="1474" w:header="650" w:footer="680" w:gutter="0"/>
          <w:pgNumType/>
          <w:titlePg/>
          <w:docGrid w:linePitch="360"/>
        </w:sectPr>
      </w:pPr>
      <w:r>
        <w:t xml:space="preserve">Repaso seleccionado · guía recibida, pp. 3–5; lecciones de unidades 1–3.</w:t>
      </w:r>
    </w:p>
    <w:p>
      <w:pPr>
        <w:pStyle w:val="Heading2"/>
      </w:pPr>
      <w:bookmarkStart w:name="b_2_9" w:id="1965"/>
      <w:r>
        <w:t xml:space="preserve">2.9 · Introducción a los hábitos</w:t>
      </w:r>
      <w:bookmarkEnd w:id="1965"/>
    </w:p>
    <w:p>
      <w:pPr>
        <w:pStyle w:val="Subtitulo"/>
      </w:pPr>
      <w:r>
        <w:t xml:space="preserve">Introducción a los Hábitos de un pensador sistémico.</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En una línea</w:t>
            </w:r>
          </w:p>
          <w:p>
            <w:pPr>
              <w:pStyle w:val="Recuadro"/>
            </w:pPr>
            <w:r>
              <w:t xml:space="preserve">El puente entre la teoría de sistemas y la manera concreta de mirar.</w:t>
            </w:r>
          </w:p>
        </w:tc>
      </w:tr>
    </w:tbl>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Qué te preguntan</w:t>
            </w:r>
          </w:p>
          <w:p>
            <w:pPr>
              <w:pStyle w:val="Recuadro"/>
            </w:pPr>
            <w:r>
              <w:t xml:space="preserve">La clase 9 cerró la unidad sintetizando el perfil del pensador sistémico: maneja el paradigma de sistemas y construye modelos mentales sistémicos. Los cuatro hábitos ligados a los modelos mentales ya se trabajaron en las clases 3, 4 y 5, y el catálogo completo de quince está en el portal; el resto se traslada a la unidad 3. Repase esas conexiones sin asumir que los hábitos se dictaron uno por uno.</w:t>
            </w:r>
          </w:p>
        </w:tc>
      </w:tr>
    </w:tbl>
    <w:p>
      <w:pPr>
        <w:pStyle w:val="Normal"/>
      </w:pPr>
      <w:r>
        <w:t xml:space="preserve">El pensador sistémico maneja el paradigma de sistemas, conoce y usa toda la teoría para pensar la realidad, y construye modelos mentales sistémicos representando cualquier realidad con esos conceptos, empezando por el de sistema. Los hábitos son comportamientos repetidos que moldean el comportamiento, y el modelo de la Waters Foundation describe ese perfil por los que más repite. La comprobación: identificarse con el perfil y admitir que las teorías propias pueden estar equivocadas.</w:t>
      </w:r>
    </w:p>
    <w:p>
      <w:pPr>
        <w:pStyle w:val="Heading3"/>
      </w:pPr>
      <w:r>
        <w:t xml:space="preserve">Vocabulario clave</w:t>
      </w:r>
    </w:p>
    <w:p>
      <w:pPr>
        <w:pStyle w:val="Normal"/>
      </w:pPr>
      <w:r>
        <w:t xml:space="preserve">pensador sistémico · perfil del pensador sistémico · hábito (comportamiento repetido) · modelo de hábitos de la Waters Foundation (14 hábitos) · maneja el paradigma de sistemas · construye modelos mentales sistémicos · creadores de teorías · subhábitos (unidad 3)</w:t>
      </w:r>
    </w:p>
    <w:p>
      <w:pPr>
        <w:pStyle w:val="Fuente"/>
      </w:pPr>
      <w:r>
        <w:t xml:space="preserve">Recorrido: desarrollo conceptual → presentaciones → explicación en clase → errores y fuentes → práctica → solucionario.</w:t>
      </w:r>
    </w:p>
    <w:p>
      <w:pPr>
        <w:pStyle w:val="Heading3"/>
      </w:pPr>
      <w:r>
        <w:t xml:space="preserve">Catorce hábitos, una introducción y un perfil practicable</w:t>
      </w:r>
    </w:p>
    <w:p>
      <w:pPr>
        <w:pStyle w:val="Normal"/>
      </w:pPr>
      <w:r>
        <w:t xml:space="preserve">El catálogo contiene catorce hábitos más un curso introductorio. En el tramo de modelos mentales el curso trabaja cuatro: considerar modelos, probar supuestos, cambiar perspectivas y comprender la película completa. La Unidad 2 no añade un catálogo de hábitos dictados uno por uno.</w:t>
      </w:r>
    </w:p>
    <w:p>
      <w:pPr>
        <w:pStyle w:val="Normal"/>
      </w:pPr>
      <w:r>
        <w:t xml:space="preserve">El perfil se reconoce en el comportamiento repetido: conocer el paradigma de sistemas y construir modelos con él, empezando por el concepto de sistema. Por ejemplo, ante un retraso recurrente, el estudiante explicita la frontera, investiga las relaciones y revisa sus supuestos con datos; recitar los nombres de los hábitos no demuestra esa práctica.</w:t>
      </w:r>
    </w:p>
    <w:p>
      <w:pPr>
        <w:pStyle w:val="Normal"/>
      </w:pPr>
      <w:r>
        <w:t xml:space="preserve">La página 16 de la Unidad 2 presenta la mirada sistémica de contexto y relaciones; el catálogo y la selección de hábitos se consultan en C-5. La caracterización del perfil y el cierre de la unidad corresponden al minuto citado de la clase 9.</w:t>
      </w:r>
    </w:p>
    <w:p>
      <w:pPr>
        <w:pStyle w:val="Fuente"/>
      </w:pPr>
      <w:r>
        <w:t xml:space="preserve">Presentación de la unidad 1 (C-5), pág. 22 y 23 · Presentación de la unidad 2 (C-6), pág. 16 · Clase 9 · 01:10:06–01:11:48</w:t>
      </w:r>
    </w:p>
    <w:p>
      <w:pPr>
        <w:pStyle w:val="Heading3"/>
      </w:pPr>
      <w:r>
        <w:t xml:space="preserve">Qué es un hábito y de dónde viene el modelo</w:t>
      </w:r>
    </w:p>
    <w:p>
      <w:pPr>
        <w:pStyle w:val="Normal"/>
      </w:pPr>
      <w:r>
        <w:t xml:space="preserve">Hábitos: comportamientos diarios y repetidos; esos comportamientos repetitivos moldean el comportamiento y crean la personalidad.</w:t>
      </w:r>
    </w:p>
    <w:p>
      <w:pPr>
        <w:pStyle w:val="Normal"/>
      </w:pPr>
      <w:r>
        <w:t xml:space="preserve">El modelo es de la Waters Foundation (Estados Unidos), fundación que desarrolla el pensamiento sistémico desde primaria hasta la universidad; sus 14 hábitos describen el perfil del pensador sistémico por los comportamientos que más repite, y en el curso sirven para ver cómo los conceptos se concretan en hábitos.</w:t>
      </w:r>
    </w:p>
    <w:p>
      <w:pPr>
        <w:pStyle w:val="Fuente"/>
      </w:pPr>
      <w:r>
        <w:t xml:space="preserve">Clase 1 · 00:26:11–00:27:27 · Clase 3 · 01:01:44–01:03:33 · lámina c3-03</w:t>
      </w:r>
    </w:p>
    <w:p>
      <w:pPr>
        <w:pStyle w:val="Heading3"/>
      </w:pPr>
      <w:r>
        <w:t xml:space="preserve">El perfil del pensador sistémico</w:t>
      </w:r>
    </w:p>
    <w:p>
      <w:pPr>
        <w:pStyle w:val="Normal"/>
      </w:pPr>
      <w:r>
        <w:t xml:space="preserve">Meta del curso: comprender e identificarse con el perfil del pensador sistémico, más consciente de su desempeño personal y profesional y del entorno, para decidir mejor e intervenir eficiente y efectivamente.</w:t>
      </w:r>
    </w:p>
    <w:p>
      <w:pPr>
        <w:pStyle w:val="Normal"/>
      </w:pPr>
      <w:r>
        <w:t xml:space="preserve">Todos somos creadores de teorías; hay que distinguir si la teoría es general y sistémica o incompleta y bajo supuestos no comprobados; el pensador sistémico reconoce que sus teorías pueden ser equivocadas o imprecisas y se abre a validarlas, ampliarlas o completarlas.</w:t>
      </w:r>
    </w:p>
    <w:p>
      <w:pPr>
        <w:pStyle w:val="Normal"/>
      </w:pPr>
      <w:r>
        <w:t xml:space="preserve">Cierre de la unidad 2: maneja el paradigma de sistemas y construye modelos mentales sistémicos con estos conceptos, empezando por el de sistema, básico y fundamental; ese hábito se desglosará en subhábitos.</w:t>
      </w:r>
    </w:p>
    <w:p>
      <w:pPr>
        <w:pStyle w:val="Fuente"/>
      </w:pPr>
      <w:r>
        <w:t xml:space="preserve">Clase 1 · 00:27:17–00:28:10 · Clase 1 · 00:32:40–00:34:18 · Clase 9 · 01:10:06–01:11:13</w:t>
      </w:r>
    </w:p>
    <w:p>
      <w:pPr>
        <w:pStyle w:val="Heading3"/>
      </w:pPr>
      <w:r>
        <w:t xml:space="preserve">Cómo se usa el modelo en el curso</w:t>
      </w:r>
    </w:p>
    <w:p>
      <w:pPr>
        <w:pStyle w:val="Normal"/>
      </w:pPr>
      <w:r>
        <w:t xml:space="preserve">Es guía en todas las unidades, sin orden obligatorio; el material está en UEDI y cada hábito trae imagen, explicación y preguntas.</w:t>
      </w:r>
    </w:p>
    <w:p>
      <w:pPr>
        <w:pStyle w:val="Normal"/>
      </w:pPr>
      <w:r>
        <w:t xml:space="preserve">En la unidad 1 se trabajaron cuatro de los 14 hábitos, ligados a los modelos mentales; entre ellos, «un pensador sistémico reconoce y prueba suposiciones», con la escalera de inferencias como modelo asociado; la introducción formal se anunció para la segunda parte de la unidad 2.</w:t>
      </w:r>
    </w:p>
    <w:p>
      <w:pPr>
        <w:pStyle w:val="Fuente"/>
      </w:pPr>
      <w:r>
        <w:t xml:space="preserve">Clase 1 · 00:48:40–00:49:05 · Clase 1 · 01:03:31–01:03:52 · Clase 3 · 01:02:14–01:06:58</w:t>
      </w:r>
    </w:p>
    <w:p>
      <w:pPr>
        <w:pStyle w:val="Heading3"/>
      </w:pPr>
      <w:r>
        <w:t xml:space="preserve">El puente hacia la unidad 3</w:t>
      </w:r>
    </w:p>
    <w:p>
      <w:pPr>
        <w:pStyle w:val="Normal"/>
      </w:pPr>
      <w:r>
        <w:t xml:space="preserve">La unidad 2 no aumenta los cuatro hábitos ya vistos, ligados a paradigmas y modelos mentales.</w:t>
      </w:r>
    </w:p>
    <w:p>
      <w:pPr>
        <w:pStyle w:val="Normal"/>
      </w:pPr>
      <w:r>
        <w:t xml:space="preserve">La siguiente unidad muestra cómo el pensador desarrolla habilidades de interconexiones, estructuras sistémicas y dinámicas no lineales, «porque eso es lo que tiene que aprender»; otros hábitos ligados a la complejidad llegan con los mapas sistémicos.</w:t>
      </w:r>
    </w:p>
    <w:p>
      <w:pPr>
        <w:pStyle w:val="Fuente"/>
      </w:pPr>
      <w:r>
        <w:t xml:space="preserve">Clase 9 · 00:04:25–00:05:06 · Clase 9 · 01:11:06–01:11:48</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Procedimiento</w:t>
            </w:r>
          </w:p>
          <w:p>
            <w:pPr>
              <w:pStyle w:val="Recuadro"/>
            </w:pPr>
            <w:r>
              <w:t xml:space="preserve">Cómo se reconoce a un pensador sistémico</w:t>
            </w:r>
          </w:p>
          <w:p>
            <w:pPr>
              <w:pStyle w:val="Recuadro"/>
            </w:pPr>
            <w:r>
              <w:t xml:space="preserve">1. </w:t>
            </w:r>
            <w:r>
              <w:rPr>
                <w:b/>
                <w:bCs/>
              </w:rPr>
              <w:t xml:space="preserve">Comprobar que maneja el paradigma de sistemas.</w:t>
            </w:r>
            <w:r>
              <w:t xml:space="preserve"> Conoce y utiliza toda la teoría de sistemas para pensar la realidad, no sólo la recita. (Clase 9 · 01:10:06–01:11:13)</w:t>
            </w:r>
          </w:p>
          <w:p>
            <w:pPr>
              <w:pStyle w:val="Recuadro"/>
            </w:pPr>
            <w:r>
              <w:t xml:space="preserve">2. </w:t>
            </w:r>
            <w:r>
              <w:rPr>
                <w:b/>
                <w:bCs/>
              </w:rPr>
              <w:t xml:space="preserve">Ver que construye modelos mentales sistémicos.</w:t>
            </w:r>
            <w:r>
              <w:t xml:space="preserve"> Cualquier realidad que modela la representa con los conceptos de la teoría, empezando por el de sistema, el básico y fundamental. (Clase 9 · 01:10:24–01:10:54)</w:t>
            </w:r>
          </w:p>
          <w:p>
            <w:pPr>
              <w:pStyle w:val="Recuadro"/>
            </w:pPr>
            <w:r>
              <w:t xml:space="preserve">3. </w:t>
            </w:r>
            <w:r>
              <w:rPr>
                <w:b/>
                <w:bCs/>
              </w:rPr>
              <w:t xml:space="preserve">Observar su conciencia y su apertura.</w:t>
            </w:r>
            <w:r>
              <w:t xml:space="preserve"> Es más consciente de su desempeño y del entorno para decidir mejor, y reconoce que sus teorías pueden ser equivocadas, validándolas o completándolas. (Clase 1 · 00:27:17–00:28:10 · Clase 1 · 00:32:40–00:34:18)</w:t>
            </w:r>
          </w:p>
          <w:p>
            <w:pPr>
              <w:pStyle w:val="Recuadro"/>
            </w:pPr>
            <w:r>
              <w:t xml:space="preserve">4. </w:t>
            </w:r>
            <w:r>
              <w:rPr>
                <w:b/>
                <w:bCs/>
              </w:rPr>
              <w:t xml:space="preserve">Buscar los comportamientos que repite.</w:t>
            </w:r>
            <w:r>
              <w:t xml:space="preserve"> El perfil se describe por los comportamientos que más repite: los hábitos del modelo de la Waters Foundation, como reconocer y probar suposiciones. (Clase 3 · 01:01:44–01:03:33 · Clase 3 · 01:05:15–01:06:58)</w:t>
            </w:r>
          </w:p>
          <w:p>
            <w:pPr>
              <w:pStyle w:val="Recuadro"/>
            </w:pPr>
            <w:r>
              <w:t xml:space="preserve">Lo que se busca es identificarse con ese perfil e ir adquiriendo su imagen a lo largo del curso para desarrollarlo en uno mismo.</w:t>
            </w:r>
          </w:p>
        </w:tc>
      </w:tr>
    </w:tbl>
    <w:p>
      <w:pPr>
        <w:pStyle w:val="Heading3"/>
      </w:pPr>
      <w:bookmarkStart w:name="b_tabla_2_9_g1_habitos" w:id="1966"/>
      <w:r>
        <w:t xml:space="preserve">Catorce hábitos y una introducción del pensador sistémico</w:t>
      </w:r>
      <w:bookmarkEnd w:id="1966"/>
    </w:p>
    <w:tbl>
      <w:tblPr>
        <w:tblW w:type="dxa" w:w="9632"/>
        <w:tblBorders>
          <w:top w:val="single" w:color="C5D5DB" w:sz="4"/>
          <w:left w:val="single" w:color="C5D5DB" w:sz="4"/>
          <w:bottom w:val="single" w:color="C5D5DB" w:sz="4"/>
          <w:right w:val="single" w:color="C5D5DB" w:sz="4"/>
          <w:insideH w:val="single" w:color="E4E9EB" w:sz="3"/>
          <w:insideV w:val="single" w:color="E4E9EB" w:sz="3"/>
        </w:tblBorders>
        <w:tblLayout w:type="fixed"/>
      </w:tblPr>
      <w:tblGrid>
        <w:gridCol w:w="3212"/>
        <w:gridCol w:w="3210"/>
        <w:gridCol w:w="3210"/>
      </w:tblGrid>
      <w:tr>
        <w:trPr>
          <w:cantSplit/>
          <w:tblHeader/>
        </w:trPr>
        <w:tc>
          <w:tcPr>
            <w:tcW w:type="dxa" w:w="3212"/>
            <w:shd w:fill="DFEAF0" w:val="clear"/>
            <w:tcMar>
              <w:top w:type="dxa" w:w="80"/>
              <w:left w:type="dxa" w:w="100"/>
              <w:bottom w:type="dxa" w:w="80"/>
              <w:right w:type="dxa" w:w="100"/>
            </w:tcMar>
          </w:tcPr>
          <w:p>
            <w:pPr>
              <w:pStyle w:val="Tabla"/>
            </w:pPr>
            <w:r>
              <w:rPr>
                <w:b/>
                <w:bCs/>
              </w:rPr>
              <w:t xml:space="preserve">#</w:t>
            </w:r>
          </w:p>
        </w:tc>
        <w:tc>
          <w:tcPr>
            <w:tcW w:type="dxa" w:w="3210"/>
            <w:shd w:fill="DFEAF0" w:val="clear"/>
            <w:tcMar>
              <w:top w:type="dxa" w:w="80"/>
              <w:left w:type="dxa" w:w="100"/>
              <w:bottom w:type="dxa" w:w="80"/>
              <w:right w:type="dxa" w:w="100"/>
            </w:tcMar>
          </w:tcPr>
          <w:p>
            <w:pPr>
              <w:pStyle w:val="Tabla"/>
            </w:pPr>
            <w:r>
              <w:rPr>
                <w:b/>
                <w:bCs/>
              </w:rPr>
              <w:t xml:space="preserve">Hábito</w:t>
            </w:r>
          </w:p>
        </w:tc>
        <w:tc>
          <w:tcPr>
            <w:tcW w:type="dxa" w:w="3210"/>
            <w:shd w:fill="DFEAF0" w:val="clear"/>
            <w:tcMar>
              <w:top w:type="dxa" w:w="80"/>
              <w:left w:type="dxa" w:w="100"/>
              <w:bottom w:type="dxa" w:w="80"/>
              <w:right w:type="dxa" w:w="100"/>
            </w:tcMar>
          </w:tcPr>
          <w:p>
            <w:pPr>
              <w:pStyle w:val="Tabla"/>
            </w:pPr>
            <w:r>
              <w:rPr>
                <w:b/>
                <w:bCs/>
              </w:rPr>
              <w:t xml:space="preserve">Enunciado</w:t>
            </w:r>
          </w:p>
        </w:tc>
      </w:tr>
      <w:tr>
        <w:trPr>
          <w:cantSplit/>
          <w:tblHeader w:val="off"/>
        </w:trPr>
        <w:tc>
          <w:tcPr>
            <w:tcW w:type="dxa" w:w="3212"/>
            <w:tcMar>
              <w:top w:type="dxa" w:w="80"/>
              <w:left w:type="dxa" w:w="100"/>
              <w:bottom w:type="dxa" w:w="80"/>
              <w:right w:type="dxa" w:w="100"/>
            </w:tcMar>
          </w:tcPr>
          <w:p>
            <w:pPr>
              <w:pStyle w:val="Tabla"/>
            </w:pPr>
            <w:r>
              <w:t xml:space="preserve">00</w:t>
            </w:r>
          </w:p>
        </w:tc>
        <w:tc>
          <w:tcPr>
            <w:tcW w:type="dxa" w:w="3210"/>
            <w:tcMar>
              <w:top w:type="dxa" w:w="80"/>
              <w:left w:type="dxa" w:w="100"/>
              <w:bottom w:type="dxa" w:w="80"/>
              <w:right w:type="dxa" w:w="100"/>
            </w:tcMar>
          </w:tcPr>
          <w:p>
            <w:pPr>
              <w:pStyle w:val="Tabla"/>
            </w:pPr>
            <w:r>
              <w:t xml:space="preserve">Comenzando el viaje</w:t>
            </w:r>
          </w:p>
        </w:tc>
        <w:tc>
          <w:tcPr>
            <w:tcW w:type="dxa" w:w="3210"/>
            <w:tcMar>
              <w:top w:type="dxa" w:w="80"/>
              <w:left w:type="dxa" w:w="100"/>
              <w:bottom w:type="dxa" w:w="80"/>
              <w:right w:type="dxa" w:w="100"/>
            </w:tcMar>
          </w:tcPr>
          <w:p>
            <w:pPr>
              <w:pStyle w:val="Tabla"/>
            </w:pPr>
            <w:r>
              <w:t xml:space="preserve">Comienza tu viaje para convertirte en un pensador sistémico.</w:t>
            </w:r>
          </w:p>
        </w:tc>
      </w:tr>
      <w:tr>
        <w:trPr>
          <w:cantSplit/>
          <w:tblHeader w:val="off"/>
        </w:trPr>
        <w:tc>
          <w:tcPr>
            <w:tcW w:type="dxa" w:w="3212"/>
            <w:tcMar>
              <w:top w:type="dxa" w:w="80"/>
              <w:left w:type="dxa" w:w="100"/>
              <w:bottom w:type="dxa" w:w="80"/>
              <w:right w:type="dxa" w:w="100"/>
            </w:tcMar>
          </w:tcPr>
          <w:p>
            <w:pPr>
              <w:pStyle w:val="Tabla"/>
            </w:pPr>
            <w:r>
              <w:t xml:space="preserve">01</w:t>
            </w:r>
          </w:p>
        </w:tc>
        <w:tc>
          <w:tcPr>
            <w:tcW w:type="dxa" w:w="3210"/>
            <w:tcMar>
              <w:top w:type="dxa" w:w="80"/>
              <w:left w:type="dxa" w:w="100"/>
              <w:bottom w:type="dxa" w:w="80"/>
              <w:right w:type="dxa" w:w="100"/>
            </w:tcMar>
          </w:tcPr>
          <w:p>
            <w:pPr>
              <w:pStyle w:val="Tabla"/>
            </w:pPr>
            <w:r>
              <w:t xml:space="preserve">Hace conexiones significativas</w:t>
            </w:r>
          </w:p>
        </w:tc>
        <w:tc>
          <w:tcPr>
            <w:tcW w:type="dxa" w:w="3210"/>
            <w:tcMar>
              <w:top w:type="dxa" w:w="80"/>
              <w:left w:type="dxa" w:w="100"/>
              <w:bottom w:type="dxa" w:w="80"/>
              <w:right w:type="dxa" w:w="100"/>
            </w:tcMar>
          </w:tcPr>
          <w:p>
            <w:pPr>
              <w:pStyle w:val="Tabla"/>
            </w:pPr>
            <w:r>
              <w:t xml:space="preserve">Hace conexiones significativas dentro de los sistemas y entre ellos.</w:t>
            </w:r>
          </w:p>
        </w:tc>
      </w:tr>
      <w:tr>
        <w:trPr>
          <w:cantSplit/>
          <w:tblHeader w:val="off"/>
        </w:trPr>
        <w:tc>
          <w:tcPr>
            <w:tcW w:type="dxa" w:w="3212"/>
            <w:tcMar>
              <w:top w:type="dxa" w:w="80"/>
              <w:left w:type="dxa" w:w="100"/>
              <w:bottom w:type="dxa" w:w="80"/>
              <w:right w:type="dxa" w:w="100"/>
            </w:tcMar>
          </w:tcPr>
          <w:p>
            <w:pPr>
              <w:pStyle w:val="Tabla"/>
            </w:pPr>
            <w:r>
              <w:t xml:space="preserve">02</w:t>
            </w:r>
          </w:p>
        </w:tc>
        <w:tc>
          <w:tcPr>
            <w:tcW w:type="dxa" w:w="3210"/>
            <w:tcMar>
              <w:top w:type="dxa" w:w="80"/>
              <w:left w:type="dxa" w:w="100"/>
              <w:bottom w:type="dxa" w:w="80"/>
              <w:right w:type="dxa" w:w="100"/>
            </w:tcMar>
          </w:tcPr>
          <w:p>
            <w:pPr>
              <w:pStyle w:val="Tabla"/>
            </w:pPr>
            <w:r>
              <w:t xml:space="preserve">Busca el panorama general</w:t>
            </w:r>
          </w:p>
        </w:tc>
        <w:tc>
          <w:tcPr>
            <w:tcW w:type="dxa" w:w="3210"/>
            <w:tcMar>
              <w:top w:type="dxa" w:w="80"/>
              <w:left w:type="dxa" w:w="100"/>
              <w:bottom w:type="dxa" w:w="80"/>
              <w:right w:type="dxa" w:w="100"/>
            </w:tcMar>
          </w:tcPr>
          <w:p>
            <w:pPr>
              <w:pStyle w:val="Tabla"/>
            </w:pPr>
            <w:r>
              <w:t xml:space="preserve">Busca entender el panorama general (the big picture).</w:t>
            </w:r>
          </w:p>
        </w:tc>
      </w:tr>
      <w:tr>
        <w:trPr>
          <w:cantSplit/>
          <w:tblHeader w:val="off"/>
        </w:trPr>
        <w:tc>
          <w:tcPr>
            <w:tcW w:type="dxa" w:w="3212"/>
            <w:tcMar>
              <w:top w:type="dxa" w:w="80"/>
              <w:left w:type="dxa" w:w="100"/>
              <w:bottom w:type="dxa" w:w="80"/>
              <w:right w:type="dxa" w:w="100"/>
            </w:tcMar>
          </w:tcPr>
          <w:p>
            <w:pPr>
              <w:pStyle w:val="Tabla"/>
            </w:pPr>
            <w:r>
              <w:t xml:space="preserve">03</w:t>
            </w:r>
          </w:p>
        </w:tc>
        <w:tc>
          <w:tcPr>
            <w:tcW w:type="dxa" w:w="3210"/>
            <w:tcMar>
              <w:top w:type="dxa" w:w="80"/>
              <w:left w:type="dxa" w:w="100"/>
              <w:bottom w:type="dxa" w:w="80"/>
              <w:right w:type="dxa" w:w="100"/>
            </w:tcMar>
          </w:tcPr>
          <w:p>
            <w:pPr>
              <w:pStyle w:val="Tabla"/>
            </w:pPr>
            <w:r>
              <w:t xml:space="preserve">Cambia de perspectivas</w:t>
            </w:r>
          </w:p>
        </w:tc>
        <w:tc>
          <w:tcPr>
            <w:tcW w:type="dxa" w:w="3210"/>
            <w:tcMar>
              <w:top w:type="dxa" w:w="80"/>
              <w:left w:type="dxa" w:w="100"/>
              <w:bottom w:type="dxa" w:w="80"/>
              <w:right w:type="dxa" w:w="100"/>
            </w:tcMar>
          </w:tcPr>
          <w:p>
            <w:pPr>
              <w:pStyle w:val="Tabla"/>
            </w:pPr>
            <w:r>
              <w:t xml:space="preserve">Cambia de perspectivas para aumentar la comprensión.</w:t>
            </w:r>
          </w:p>
        </w:tc>
      </w:tr>
      <w:tr>
        <w:trPr>
          <w:cantSplit/>
          <w:tblHeader w:val="off"/>
        </w:trPr>
        <w:tc>
          <w:tcPr>
            <w:tcW w:type="dxa" w:w="3212"/>
            <w:tcMar>
              <w:top w:type="dxa" w:w="80"/>
              <w:left w:type="dxa" w:w="100"/>
              <w:bottom w:type="dxa" w:w="80"/>
              <w:right w:type="dxa" w:w="100"/>
            </w:tcMar>
          </w:tcPr>
          <w:p>
            <w:pPr>
              <w:pStyle w:val="Tabla"/>
            </w:pPr>
            <w:r>
              <w:t xml:space="preserve">04</w:t>
            </w:r>
          </w:p>
        </w:tc>
        <w:tc>
          <w:tcPr>
            <w:tcW w:type="dxa" w:w="3210"/>
            <w:tcMar>
              <w:top w:type="dxa" w:w="80"/>
              <w:left w:type="dxa" w:w="100"/>
              <w:bottom w:type="dxa" w:w="80"/>
              <w:right w:type="dxa" w:w="100"/>
            </w:tcMar>
          </w:tcPr>
          <w:p>
            <w:pPr>
              <w:pStyle w:val="Tabla"/>
            </w:pPr>
            <w:r>
              <w:t xml:space="preserve">Considera los modelos mentales</w:t>
            </w:r>
          </w:p>
        </w:tc>
        <w:tc>
          <w:tcPr>
            <w:tcW w:type="dxa" w:w="3210"/>
            <w:tcMar>
              <w:top w:type="dxa" w:w="80"/>
              <w:left w:type="dxa" w:w="100"/>
              <w:bottom w:type="dxa" w:w="80"/>
              <w:right w:type="dxa" w:w="100"/>
            </w:tcMar>
          </w:tcPr>
          <w:p>
            <w:pPr>
              <w:pStyle w:val="Tabla"/>
            </w:pPr>
            <w:r>
              <w:t xml:space="preserve">Considera cómo los modelos mentales afectan la realidad actual y el futuro.</w:t>
            </w:r>
          </w:p>
        </w:tc>
      </w:tr>
      <w:tr>
        <w:trPr>
          <w:cantSplit/>
          <w:tblHeader w:val="off"/>
        </w:trPr>
        <w:tc>
          <w:tcPr>
            <w:tcW w:type="dxa" w:w="3212"/>
            <w:tcMar>
              <w:top w:type="dxa" w:w="80"/>
              <w:left w:type="dxa" w:w="100"/>
              <w:bottom w:type="dxa" w:w="80"/>
              <w:right w:type="dxa" w:w="100"/>
            </w:tcMar>
          </w:tcPr>
          <w:p>
            <w:pPr>
              <w:pStyle w:val="Tabla"/>
            </w:pPr>
            <w:r>
              <w:t xml:space="preserve">05</w:t>
            </w:r>
          </w:p>
        </w:tc>
        <w:tc>
          <w:tcPr>
            <w:tcW w:type="dxa" w:w="3210"/>
            <w:tcMar>
              <w:top w:type="dxa" w:w="80"/>
              <w:left w:type="dxa" w:w="100"/>
              <w:bottom w:type="dxa" w:w="80"/>
              <w:right w:type="dxa" w:w="100"/>
            </w:tcMar>
          </w:tcPr>
          <w:p>
            <w:pPr>
              <w:pStyle w:val="Tabla"/>
            </w:pPr>
            <w:r>
              <w:t xml:space="preserve">Observa patrones en el tiempo</w:t>
            </w:r>
          </w:p>
        </w:tc>
        <w:tc>
          <w:tcPr>
            <w:tcW w:type="dxa" w:w="3210"/>
            <w:tcMar>
              <w:top w:type="dxa" w:w="80"/>
              <w:left w:type="dxa" w:w="100"/>
              <w:bottom w:type="dxa" w:w="80"/>
              <w:right w:type="dxa" w:w="100"/>
            </w:tcMar>
          </w:tcPr>
          <w:p>
            <w:pPr>
              <w:pStyle w:val="Tabla"/>
            </w:pPr>
            <w:r>
              <w:t xml:space="preserve">Observa cómo los elementos de un sistema cambian en el tiempo, generando patrones y tendencias.</w:t>
            </w:r>
          </w:p>
        </w:tc>
      </w:tr>
      <w:tr>
        <w:trPr>
          <w:cantSplit/>
          <w:tblHeader w:val="off"/>
        </w:trPr>
        <w:tc>
          <w:tcPr>
            <w:tcW w:type="dxa" w:w="3212"/>
            <w:tcMar>
              <w:top w:type="dxa" w:w="80"/>
              <w:left w:type="dxa" w:w="100"/>
              <w:bottom w:type="dxa" w:w="80"/>
              <w:right w:type="dxa" w:w="100"/>
            </w:tcMar>
          </w:tcPr>
          <w:p>
            <w:pPr>
              <w:pStyle w:val="Tabla"/>
            </w:pPr>
            <w:r>
              <w:t xml:space="preserve">06</w:t>
            </w:r>
          </w:p>
        </w:tc>
        <w:tc>
          <w:tcPr>
            <w:tcW w:type="dxa" w:w="3210"/>
            <w:tcMar>
              <w:top w:type="dxa" w:w="80"/>
              <w:left w:type="dxa" w:w="100"/>
              <w:bottom w:type="dxa" w:w="80"/>
              <w:right w:type="dxa" w:w="100"/>
            </w:tcMar>
          </w:tcPr>
          <w:p>
            <w:pPr>
              <w:pStyle w:val="Tabla"/>
            </w:pPr>
            <w:r>
              <w:t xml:space="preserve">Revela y prueba supuestos</w:t>
            </w:r>
          </w:p>
        </w:tc>
        <w:tc>
          <w:tcPr>
            <w:tcW w:type="dxa" w:w="3210"/>
            <w:tcMar>
              <w:top w:type="dxa" w:w="80"/>
              <w:left w:type="dxa" w:w="100"/>
              <w:bottom w:type="dxa" w:w="80"/>
              <w:right w:type="dxa" w:w="100"/>
            </w:tcMar>
          </w:tcPr>
          <w:p>
            <w:pPr>
              <w:pStyle w:val="Tabla"/>
            </w:pPr>
            <w:r>
              <w:t xml:space="preserve">Saca a la superficie y pone a prueba los supuestos.</w:t>
            </w:r>
          </w:p>
        </w:tc>
      </w:tr>
      <w:tr>
        <w:trPr>
          <w:cantSplit/>
          <w:tblHeader w:val="off"/>
        </w:trPr>
        <w:tc>
          <w:tcPr>
            <w:tcW w:type="dxa" w:w="3212"/>
            <w:tcMar>
              <w:top w:type="dxa" w:w="80"/>
              <w:left w:type="dxa" w:w="100"/>
              <w:bottom w:type="dxa" w:w="80"/>
              <w:right w:type="dxa" w:w="100"/>
            </w:tcMar>
          </w:tcPr>
          <w:p>
            <w:pPr>
              <w:pStyle w:val="Tabla"/>
            </w:pPr>
            <w:r>
              <w:t xml:space="preserve">07</w:t>
            </w:r>
          </w:p>
        </w:tc>
        <w:tc>
          <w:tcPr>
            <w:tcW w:type="dxa" w:w="3210"/>
            <w:tcMar>
              <w:top w:type="dxa" w:w="80"/>
              <w:left w:type="dxa" w:w="100"/>
              <w:bottom w:type="dxa" w:w="80"/>
              <w:right w:type="dxa" w:w="100"/>
            </w:tcMar>
          </w:tcPr>
          <w:p>
            <w:pPr>
              <w:pStyle w:val="Tabla"/>
            </w:pPr>
            <w:r>
              <w:t xml:space="preserve">La estructura genera el comportamiento</w:t>
            </w:r>
          </w:p>
        </w:tc>
        <w:tc>
          <w:tcPr>
            <w:tcW w:type="dxa" w:w="3210"/>
            <w:tcMar>
              <w:top w:type="dxa" w:w="80"/>
              <w:left w:type="dxa" w:w="100"/>
              <w:bottom w:type="dxa" w:w="80"/>
              <w:right w:type="dxa" w:w="100"/>
            </w:tcMar>
          </w:tcPr>
          <w:p>
            <w:pPr>
              <w:pStyle w:val="Tabla"/>
            </w:pPr>
            <w:r>
              <w:t xml:space="preserve">Reconoce que la estructura de un sistema genera su comportamiento.</w:t>
            </w:r>
          </w:p>
        </w:tc>
      </w:tr>
      <w:tr>
        <w:trPr>
          <w:cantSplit/>
          <w:tblHeader w:val="off"/>
        </w:trPr>
        <w:tc>
          <w:tcPr>
            <w:tcW w:type="dxa" w:w="3212"/>
            <w:tcMar>
              <w:top w:type="dxa" w:w="80"/>
              <w:left w:type="dxa" w:w="100"/>
              <w:bottom w:type="dxa" w:w="80"/>
              <w:right w:type="dxa" w:w="100"/>
            </w:tcMar>
          </w:tcPr>
          <w:p>
            <w:pPr>
              <w:pStyle w:val="Tabla"/>
            </w:pPr>
            <w:r>
              <w:t xml:space="preserve">08</w:t>
            </w:r>
          </w:p>
        </w:tc>
        <w:tc>
          <w:tcPr>
            <w:tcW w:type="dxa" w:w="3210"/>
            <w:tcMar>
              <w:top w:type="dxa" w:w="80"/>
              <w:left w:type="dxa" w:w="100"/>
              <w:bottom w:type="dxa" w:w="80"/>
              <w:right w:type="dxa" w:w="100"/>
            </w:tcMar>
          </w:tcPr>
          <w:p>
            <w:pPr>
              <w:pStyle w:val="Tabla"/>
            </w:pPr>
            <w:r>
              <w:t xml:space="preserve">Causa y efecto circular</w:t>
            </w:r>
          </w:p>
        </w:tc>
        <w:tc>
          <w:tcPr>
            <w:tcW w:type="dxa" w:w="3210"/>
            <w:tcMar>
              <w:top w:type="dxa" w:w="80"/>
              <w:left w:type="dxa" w:w="100"/>
              <w:bottom w:type="dxa" w:w="80"/>
              <w:right w:type="dxa" w:w="100"/>
            </w:tcMar>
          </w:tcPr>
          <w:p>
            <w:pPr>
              <w:pStyle w:val="Tabla"/>
            </w:pPr>
            <w:r>
              <w:t xml:space="preserve">Identifica la naturaleza circular de las relaciones complejas de causa y efecto.</w:t>
            </w:r>
          </w:p>
        </w:tc>
      </w:tr>
      <w:tr>
        <w:trPr>
          <w:cantSplit/>
          <w:tblHeader w:val="off"/>
        </w:trPr>
        <w:tc>
          <w:tcPr>
            <w:tcW w:type="dxa" w:w="3212"/>
            <w:tcMar>
              <w:top w:type="dxa" w:w="80"/>
              <w:left w:type="dxa" w:w="100"/>
              <w:bottom w:type="dxa" w:w="80"/>
              <w:right w:type="dxa" w:w="100"/>
            </w:tcMar>
          </w:tcPr>
          <w:p>
            <w:pPr>
              <w:pStyle w:val="Tabla"/>
            </w:pPr>
            <w:r>
              <w:t xml:space="preserve">09</w:t>
            </w:r>
          </w:p>
        </w:tc>
        <w:tc>
          <w:tcPr>
            <w:tcW w:type="dxa" w:w="3210"/>
            <w:tcMar>
              <w:top w:type="dxa" w:w="80"/>
              <w:left w:type="dxa" w:w="100"/>
              <w:bottom w:type="dxa" w:w="80"/>
              <w:right w:type="dxa" w:w="100"/>
            </w:tcMar>
          </w:tcPr>
          <w:p>
            <w:pPr>
              <w:pStyle w:val="Tabla"/>
            </w:pPr>
            <w:r>
              <w:t xml:space="preserve">Reconoce las demoras</w:t>
            </w:r>
          </w:p>
        </w:tc>
        <w:tc>
          <w:tcPr>
            <w:tcW w:type="dxa" w:w="3210"/>
            <w:tcMar>
              <w:top w:type="dxa" w:w="80"/>
              <w:left w:type="dxa" w:w="100"/>
              <w:bottom w:type="dxa" w:w="80"/>
              <w:right w:type="dxa" w:w="100"/>
            </w:tcMar>
          </w:tcPr>
          <w:p>
            <w:pPr>
              <w:pStyle w:val="Tabla"/>
            </w:pPr>
            <w:r>
              <w:t xml:space="preserve">Reconoce el impacto de las demoras de tiempo al explorar relaciones de causa y efecto.</w:t>
            </w:r>
          </w:p>
        </w:tc>
      </w:tr>
      <w:tr>
        <w:trPr>
          <w:cantSplit/>
          <w:tblHeader w:val="off"/>
        </w:trPr>
        <w:tc>
          <w:tcPr>
            <w:tcW w:type="dxa" w:w="3212"/>
            <w:tcMar>
              <w:top w:type="dxa" w:w="80"/>
              <w:left w:type="dxa" w:w="100"/>
              <w:bottom w:type="dxa" w:w="80"/>
              <w:right w:type="dxa" w:w="100"/>
            </w:tcMar>
          </w:tcPr>
          <w:p>
            <w:pPr>
              <w:pStyle w:val="Tabla"/>
            </w:pPr>
            <w:r>
              <w:t xml:space="preserve">10</w:t>
            </w:r>
          </w:p>
        </w:tc>
        <w:tc>
          <w:tcPr>
            <w:tcW w:type="dxa" w:w="3210"/>
            <w:tcMar>
              <w:top w:type="dxa" w:w="80"/>
              <w:left w:type="dxa" w:w="100"/>
              <w:bottom w:type="dxa" w:w="80"/>
              <w:right w:type="dxa" w:w="100"/>
            </w:tcMar>
          </w:tcPr>
          <w:p>
            <w:pPr>
              <w:pStyle w:val="Tabla"/>
            </w:pPr>
            <w:r>
              <w:t xml:space="preserve">Consecuencias de las acciones</w:t>
            </w:r>
          </w:p>
        </w:tc>
        <w:tc>
          <w:tcPr>
            <w:tcW w:type="dxa" w:w="3210"/>
            <w:tcMar>
              <w:top w:type="dxa" w:w="80"/>
              <w:left w:type="dxa" w:w="100"/>
              <w:bottom w:type="dxa" w:w="80"/>
              <w:right w:type="dxa" w:w="100"/>
            </w:tcMar>
          </w:tcPr>
          <w:p>
            <w:pPr>
              <w:pStyle w:val="Tabla"/>
            </w:pPr>
            <w:r>
              <w:t xml:space="preserve">Considera las consecuencias de corto plazo, de largo plazo e imprevistas de las acciones.</w:t>
            </w:r>
          </w:p>
        </w:tc>
      </w:tr>
      <w:tr>
        <w:trPr>
          <w:cantSplit/>
          <w:tblHeader w:val="off"/>
        </w:trPr>
        <w:tc>
          <w:tcPr>
            <w:tcW w:type="dxa" w:w="3212"/>
            <w:tcMar>
              <w:top w:type="dxa" w:w="80"/>
              <w:left w:type="dxa" w:w="100"/>
              <w:bottom w:type="dxa" w:w="80"/>
              <w:right w:type="dxa" w:w="100"/>
            </w:tcMar>
          </w:tcPr>
          <w:p>
            <w:pPr>
              <w:pStyle w:val="Tabla"/>
            </w:pPr>
            <w:r>
              <w:t xml:space="preserve">11</w:t>
            </w:r>
          </w:p>
        </w:tc>
        <w:tc>
          <w:tcPr>
            <w:tcW w:type="dxa" w:w="3210"/>
            <w:tcMar>
              <w:top w:type="dxa" w:w="80"/>
              <w:left w:type="dxa" w:w="100"/>
              <w:bottom w:type="dxa" w:w="80"/>
              <w:right w:type="dxa" w:w="100"/>
            </w:tcMar>
          </w:tcPr>
          <w:p>
            <w:pPr>
              <w:pStyle w:val="Tabla"/>
            </w:pPr>
            <w:r>
              <w:t xml:space="preserve">Considera el tema a fondo</w:t>
            </w:r>
          </w:p>
        </w:tc>
        <w:tc>
          <w:tcPr>
            <w:tcW w:type="dxa" w:w="3210"/>
            <w:tcMar>
              <w:top w:type="dxa" w:w="80"/>
              <w:left w:type="dxa" w:w="100"/>
              <w:bottom w:type="dxa" w:w="80"/>
              <w:right w:type="dxa" w:w="100"/>
            </w:tcMar>
          </w:tcPr>
          <w:p>
            <w:pPr>
              <w:pStyle w:val="Tabla"/>
            </w:pPr>
            <w:r>
              <w:t xml:space="preserve">Considera un asunto plenamente y resiste el impulso de llegar a una conclusión rápida.</w:t>
            </w:r>
          </w:p>
        </w:tc>
      </w:tr>
      <w:tr>
        <w:trPr>
          <w:cantSplit/>
          <w:tblHeader w:val="off"/>
        </w:trPr>
        <w:tc>
          <w:tcPr>
            <w:tcW w:type="dxa" w:w="3212"/>
            <w:tcMar>
              <w:top w:type="dxa" w:w="80"/>
              <w:left w:type="dxa" w:w="100"/>
              <w:bottom w:type="dxa" w:w="80"/>
              <w:right w:type="dxa" w:w="100"/>
            </w:tcMar>
          </w:tcPr>
          <w:p>
            <w:pPr>
              <w:pStyle w:val="Tabla"/>
            </w:pPr>
            <w:r>
              <w:t xml:space="preserve">12</w:t>
            </w:r>
          </w:p>
        </w:tc>
        <w:tc>
          <w:tcPr>
            <w:tcW w:type="dxa" w:w="3210"/>
            <w:tcMar>
              <w:top w:type="dxa" w:w="80"/>
              <w:left w:type="dxa" w:w="100"/>
              <w:bottom w:type="dxa" w:w="80"/>
              <w:right w:type="dxa" w:w="100"/>
            </w:tcMar>
          </w:tcPr>
          <w:p>
            <w:pPr>
              <w:pStyle w:val="Tabla"/>
            </w:pPr>
            <w:r>
              <w:t xml:space="preserve">Atiende las acumulaciones</w:t>
            </w:r>
          </w:p>
        </w:tc>
        <w:tc>
          <w:tcPr>
            <w:tcW w:type="dxa" w:w="3210"/>
            <w:tcMar>
              <w:top w:type="dxa" w:w="80"/>
              <w:left w:type="dxa" w:w="100"/>
              <w:bottom w:type="dxa" w:w="80"/>
              <w:right w:type="dxa" w:w="100"/>
            </w:tcMar>
          </w:tcPr>
          <w:p>
            <w:pPr>
              <w:pStyle w:val="Tabla"/>
            </w:pPr>
            <w:r>
              <w:t xml:space="preserve">Presta atención a las acumulaciones y a sus tasas de cambio.</w:t>
            </w:r>
          </w:p>
        </w:tc>
      </w:tr>
      <w:tr>
        <w:trPr>
          <w:cantSplit/>
          <w:tblHeader w:val="off"/>
        </w:trPr>
        <w:tc>
          <w:tcPr>
            <w:tcW w:type="dxa" w:w="3212"/>
            <w:tcMar>
              <w:top w:type="dxa" w:w="80"/>
              <w:left w:type="dxa" w:w="100"/>
              <w:bottom w:type="dxa" w:w="80"/>
              <w:right w:type="dxa" w:w="100"/>
            </w:tcMar>
          </w:tcPr>
          <w:p>
            <w:pPr>
              <w:pStyle w:val="Tabla"/>
            </w:pPr>
            <w:r>
              <w:t xml:space="preserve">13</w:t>
            </w:r>
          </w:p>
        </w:tc>
        <w:tc>
          <w:tcPr>
            <w:tcW w:type="dxa" w:w="3210"/>
            <w:tcMar>
              <w:top w:type="dxa" w:w="80"/>
              <w:left w:type="dxa" w:w="100"/>
              <w:bottom w:type="dxa" w:w="80"/>
              <w:right w:type="dxa" w:w="100"/>
            </w:tcMar>
          </w:tcPr>
          <w:p>
            <w:pPr>
              <w:pStyle w:val="Tabla"/>
            </w:pPr>
            <w:r>
              <w:t xml:space="preserve">Identifica el apalancamiento</w:t>
            </w:r>
          </w:p>
        </w:tc>
        <w:tc>
          <w:tcPr>
            <w:tcW w:type="dxa" w:w="3210"/>
            <w:tcMar>
              <w:top w:type="dxa" w:w="80"/>
              <w:left w:type="dxa" w:w="100"/>
              <w:bottom w:type="dxa" w:w="80"/>
              <w:right w:type="dxa" w:w="100"/>
            </w:tcMar>
          </w:tcPr>
          <w:p>
            <w:pPr>
              <w:pStyle w:val="Tabla"/>
            </w:pPr>
            <w:r>
              <w:t xml:space="preserve">Usa la comprensión de la estructura del sistema para identificar posibles acciones de apalancamiento.</w:t>
            </w:r>
          </w:p>
        </w:tc>
      </w:tr>
      <w:tr>
        <w:trPr>
          <w:cantSplit/>
          <w:tblHeader w:val="off"/>
        </w:trPr>
        <w:tc>
          <w:tcPr>
            <w:tcW w:type="dxa" w:w="3212"/>
            <w:tcMar>
              <w:top w:type="dxa" w:w="80"/>
              <w:left w:type="dxa" w:w="100"/>
              <w:bottom w:type="dxa" w:w="80"/>
              <w:right w:type="dxa" w:w="100"/>
            </w:tcMar>
          </w:tcPr>
          <w:p>
            <w:pPr>
              <w:pStyle w:val="Tabla"/>
            </w:pPr>
            <w:r>
              <w:t xml:space="preserve">14</w:t>
            </w:r>
          </w:p>
        </w:tc>
        <w:tc>
          <w:tcPr>
            <w:tcW w:type="dxa" w:w="3210"/>
            <w:tcMar>
              <w:top w:type="dxa" w:w="80"/>
              <w:left w:type="dxa" w:w="100"/>
              <w:bottom w:type="dxa" w:w="80"/>
              <w:right w:type="dxa" w:w="100"/>
            </w:tcMar>
          </w:tcPr>
          <w:p>
            <w:pPr>
              <w:pStyle w:val="Tabla"/>
            </w:pPr>
            <w:r>
              <w:t xml:space="preserve">Aproximación sucesiva</w:t>
            </w:r>
          </w:p>
        </w:tc>
        <w:tc>
          <w:tcPr>
            <w:tcW w:type="dxa" w:w="3210"/>
            <w:tcMar>
              <w:top w:type="dxa" w:w="80"/>
              <w:left w:type="dxa" w:w="100"/>
              <w:bottom w:type="dxa" w:w="80"/>
              <w:right w:type="dxa" w:w="100"/>
            </w:tcMar>
          </w:tcPr>
          <w:p>
            <w:pPr>
              <w:pStyle w:val="Tabla"/>
            </w:pPr>
            <w:r>
              <w:t xml:space="preserve">Verifica los resultados y cambia las acciones si es necesario: «aproximación sucesiva».</w:t>
            </w:r>
          </w:p>
        </w:tc>
      </w:tr>
    </w:tbl>
    <w:p>
      <w:pPr>
        <w:pStyle w:val="Fuente"/>
      </w:pPr>
      <w:r>
        <w:t xml:space="preserve">Catálogo completo del Waters Center. Por el parcial sólo entran los cuatro que la lámina liga a los modelos mentales; los hábitos no se dictaron uno por uno.</w:t>
      </w:r>
    </w:p>
    <w:p>
      <w:pPr>
        <w:pStyle w:val="Heading3"/>
      </w:pPr>
      <w:r>
        <w:t xml:space="preserve">Lo que dicen las presentaciones</w:t>
      </w:r>
    </w:p>
    <w:p>
      <w:pPr>
        <w:pStyle w:val="Normal"/>
      </w:pPr>
      <w:r>
        <w:t xml:space="preserve">El desarrollo de este tema se sostiene en las clases, las lecturas y los procedimientos reunidos en este capítulo. No se le atribuye una página de presentación que no lo trate.</w:t>
      </w:r>
    </w:p>
    <w:p>
      <w:pPr>
        <w:pStyle w:val="Heading3"/>
      </w:pPr>
      <w:r>
        <w:t xml:space="preserve">Lo que explicó el profesor en clase</w:t>
      </w:r>
    </w:p>
    <w:p>
      <w:pPr>
        <w:pStyle w:val="Heading3"/>
      </w:pPr>
      <w:bookmarkStart w:name="b_clase_2_9_c1_cap_04" w:id="1967"/>
      <w:r>
        <w:t xml:space="preserve">Clase 1 · 00:25:56–00:35:08 · Hábitos del pensador sistémico y objetivos del curso</w:t>
      </w:r>
      <w:bookmarkEnd w:id="1967"/>
    </w:p>
    <w:p>
      <w:bookmarkStart w:name="b_punto_c1_cap_04_p02" w:id="1968"/>
      <w:r>
        <w:t xml:space="preserve">El perfil sistémico busca conciencia del desempeño y del entorno para tomar decisiones e integrar tecnología en otros sistemas humanos y físicos.</w:t>
      </w:r>
      <w:bookmarkEnd w:id="1968"/>
    </w:p>
    <w:p>
      <w:pPr>
        <w:pStyle w:val="Fuente"/>
      </w:pPr>
      <w:r>
        <w:t xml:space="preserve">Véase </w:t>
      </w:r>
      <w:hyperlink w:history="1" w:anchor="b_1_8">
        <w:r>
          <w:rPr>
            <w:color w:val="156B70"/>
            <w:u w:val="single"/>
          </w:rPr>
          <w:t xml:space="preserve">capítulo 1.8 · Hábitos del pensador</w:t>
        </w:r>
      </w:hyperlink>
      <w:r>
        <w:t xml:space="preserve">, pág. </w:t>
      </w:r>
      <w:r>
        <w:fldChar w:fldCharType="begin"/>
        <w:instrText xml:space="preserve">PAGEREF b_1_8 \h</w:instrText>
        <w:fldChar w:fldCharType="separate"/>
        <w:t xml:space="preserve">194</w:t>
        <w:fldChar w:fldCharType="end"/>
      </w:r>
      <w:r>
        <w:t xml:space="preserve">.</w:t>
      </w:r>
    </w:p>
    <w:p>
      <w:pPr>
        <w:pStyle w:val="Fuente"/>
      </w:pPr>
      <w:r>
        <w:t xml:space="preserve">Véase </w:t>
      </w:r>
      <w:hyperlink w:history="1" w:anchor="b_1_4">
        <w:r>
          <w:rPr>
            <w:color w:val="156B70"/>
            <w:u w:val="single"/>
          </w:rPr>
          <w:t xml:space="preserve">capítulo 1.4 · Sistémico vs no sistémico</w:t>
        </w:r>
      </w:hyperlink>
      <w:r>
        <w:t xml:space="preserve">, pág. </w:t>
      </w:r>
      <w:r>
        <w:fldChar w:fldCharType="begin"/>
        <w:instrText xml:space="preserve">PAGEREF b_1_4 \h</w:instrText>
        <w:fldChar w:fldCharType="separate"/>
        <w:t xml:space="preserve">104</w:t>
        <w:fldChar w:fldCharType="end"/>
      </w:r>
      <w:r>
        <w:t xml:space="preserve">.</w:t>
      </w:r>
    </w:p>
    <w:p>
      <w:pPr>
        <w:pStyle w:val="Heading3"/>
      </w:pPr>
      <w:bookmarkStart w:name="b_clase_2_9_c3_cap_06" w:id="1969"/>
      <w:r>
        <w:t xml:space="preserve">Clase 3 · 01:01:27–01:09:27 · Los hábitos del pensador sistémico (Waters Foundation)</w:t>
      </w:r>
      <w:bookmarkEnd w:id="1969"/>
    </w:p>
    <w:p>
      <w:bookmarkStart w:name="b_punto_c3_cap_06_p01" w:id="1970"/>
      <w:r>
        <w:t xml:space="preserve">El catálogo tiene catorce hábitos y una introducción; la introducción no es un hábito quince.</w:t>
      </w:r>
      <w:bookmarkEnd w:id="1970"/>
    </w:p>
    <w:p>
      <w:pPr>
        <w:pStyle w:val="Fuente"/>
      </w:pPr>
      <w:r>
        <w:t xml:space="preserve">Véase </w:t>
      </w:r>
      <w:hyperlink w:history="1" w:anchor="b_senales_examen">
        <w:r>
          <w:rPr>
            <w:color w:val="156B70"/>
            <w:u w:val="single"/>
          </w:rPr>
          <w:t xml:space="preserve">1 indicación(es) de examen de este tramo, en el apéndice cronológico</w:t>
        </w:r>
      </w:hyperlink>
      <w:r>
        <w:t xml:space="preserve">, pág. </w:t>
      </w:r>
      <w:r>
        <w:fldChar w:fldCharType="begin"/>
        <w:instrText xml:space="preserve">PAGEREF b_senales_examen \h</w:instrText>
        <w:fldChar w:fldCharType="separate"/>
        <w:t xml:space="preserve">1663</w:t>
        <w:fldChar w:fldCharType="end"/>
      </w:r>
      <w:r>
        <w:t xml:space="preserve">.</w:t>
      </w:r>
    </w:p>
    <w:p>
      <w:pPr>
        <w:pStyle w:val="Fuente"/>
      </w:pPr>
      <w:r>
        <w:t xml:space="preserve">Véase </w:t>
      </w:r>
      <w:hyperlink w:history="1" w:anchor="b_1_8">
        <w:r>
          <w:rPr>
            <w:color w:val="156B70"/>
            <w:u w:val="single"/>
          </w:rPr>
          <w:t xml:space="preserve">capítulo 1.8 · Hábitos del pensador</w:t>
        </w:r>
      </w:hyperlink>
      <w:r>
        <w:t xml:space="preserve">, pág. </w:t>
      </w:r>
      <w:r>
        <w:fldChar w:fldCharType="begin"/>
        <w:instrText xml:space="preserve">PAGEREF b_1_8 \h</w:instrText>
        <w:fldChar w:fldCharType="separate"/>
        <w:t xml:space="preserve">194</w:t>
        <w:fldChar w:fldCharType="end"/>
      </w:r>
      <w:r>
        <w:t xml:space="preserve">.</w:t>
      </w:r>
    </w:p>
    <w:p>
      <w:pPr>
        <w:pStyle w:val="Fuente"/>
      </w:pPr>
      <w:r>
        <w:t xml:space="preserve">Véase </w:t>
      </w:r>
      <w:hyperlink w:history="1" w:anchor="b_1_2">
        <w:r>
          <w:rPr>
            <w:color w:val="156B70"/>
            <w:u w:val="single"/>
          </w:rPr>
          <w:t xml:space="preserve">capítulo 1.2 · Escalera de inferencias</w:t>
        </w:r>
      </w:hyperlink>
      <w:r>
        <w:t xml:space="preserve">, pág. </w:t>
      </w:r>
      <w:r>
        <w:fldChar w:fldCharType="begin"/>
        <w:instrText xml:space="preserve">PAGEREF b_1_2 \h</w:instrText>
        <w:fldChar w:fldCharType="separate"/>
        <w:t xml:space="preserve">55</w:t>
        <w:fldChar w:fldCharType="end"/>
      </w:r>
      <w:r>
        <w:t xml:space="preserve">.</w:t>
      </w:r>
    </w:p>
    <w:p>
      <w:pPr>
        <w:pStyle w:val="Heading3"/>
      </w:pPr>
      <w:bookmarkStart w:name="b_clase_2_9_c9_cap_10" w:id="1971"/>
      <w:r>
        <w:t xml:space="preserve">Clase 9 · 01:10:00–01:31:42 · Evaluación corta, retroalimentación y cierre</w:t>
      </w:r>
      <w:bookmarkEnd w:id="1971"/>
    </w:p>
    <w:p>
      <w:bookmarkStart w:name="b_punto_c9_cap_10_p01" w:id="1972"/>
      <w:r>
        <w:t xml:space="preserve">El perfil sistémico reúne manejar el paradigma y construir modelos mentales con sus conceptos, comenzando por el de sistema.</w:t>
      </w:r>
      <w:bookmarkEnd w:id="1972"/>
    </w:p>
    <w:p>
      <w:bookmarkStart w:name="b_punto_c9_cap_10_p02" w:id="1973"/>
      <w:r>
        <w:t xml:space="preserve">U2 no añade hábitos a los cuatro previos; U3 desarrollará interconexiones, estructuras y dinámicas no lineales.</w:t>
      </w:r>
      <w:bookmarkEnd w:id="1973"/>
    </w:p>
    <w:p>
      <w:pPr>
        <w:pStyle w:val="Fuente"/>
      </w:pPr>
      <w:r>
        <w:t xml:space="preserve">Véase </w:t>
      </w:r>
      <w:hyperlink w:history="1" w:anchor="b_senales_examen">
        <w:r>
          <w:rPr>
            <w:color w:val="156B70"/>
            <w:u w:val="single"/>
          </w:rPr>
          <w:t xml:space="preserve">1 indicación(es) de examen de este tramo, en el apéndice cronológico</w:t>
        </w:r>
      </w:hyperlink>
      <w:r>
        <w:t xml:space="preserve">, pág. </w:t>
      </w:r>
      <w:r>
        <w:fldChar w:fldCharType="begin"/>
        <w:instrText xml:space="preserve">PAGEREF b_senales_examen \h</w:instrText>
        <w:fldChar w:fldCharType="separate"/>
        <w:t xml:space="preserve">1663</w:t>
        <w:fldChar w:fldCharType="end"/>
      </w:r>
      <w:r>
        <w:t xml:space="preserve">.</w:t>
      </w:r>
    </w:p>
    <w:p>
      <w:pPr>
        <w:pStyle w:val="Fuente"/>
      </w:pPr>
      <w:r>
        <w:t xml:space="preserve">Véase </w:t>
      </w:r>
      <w:hyperlink w:history="1" w:anchor="b_2_8">
        <w:r>
          <w:rPr>
            <w:color w:val="156B70"/>
            <w:u w:val="single"/>
          </w:rPr>
          <w:t xml:space="preserve">capítulo 2.8 · Otros conceptos de la TGS</w:t>
        </w:r>
      </w:hyperlink>
      <w:r>
        <w:t xml:space="preserve">, pág. </w:t>
      </w:r>
      <w:r>
        <w:fldChar w:fldCharType="begin"/>
        <w:instrText xml:space="preserve">PAGEREF b_2_8 \h</w:instrText>
        <w:fldChar w:fldCharType="separate"/>
        <w:t xml:space="preserve">345</w:t>
        <w:fldChar w:fldCharType="end"/>
      </w:r>
      <w:r>
        <w:t xml:space="preserve">.</w:t>
      </w:r>
    </w:p>
    <w:p>
      <w:pPr>
        <w:pStyle w:val="Heading3"/>
      </w:pPr>
      <w:bookmarkStart w:name="b_cita_clase_9_pensador_sistemi_fce2a6e5" w:id="1974"/>
      <w:r>
        <w:t xml:space="preserve">Palabras del profesor</w:t>
      </w:r>
      <w:bookmarkEnd w:id="1974"/>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El profesor lo dijo así</w:t>
            </w:r>
          </w:p>
          <w:p>
            <w:pPr>
              <w:pStyle w:val="Recuadro"/>
            </w:pPr>
            <w:r>
              <w:t xml:space="preserve">«Un pensador sistémico obviamente maneja el paradigma de sistemas; conoce y utiliza toda esta teoría de sistemas para pensar en la realidad, y busca construir modelos mentales sistémicos.»</w:t>
            </w:r>
          </w:p>
          <w:p>
            <w:pPr>
              <w:pStyle w:val="Recuadro"/>
            </w:pPr>
            <w:r>
              <w:t xml:space="preserve">Clase 9 · 01:10:06–01:10:27</w:t>
            </w:r>
          </w:p>
        </w:tc>
      </w:tr>
    </w:tbl>
    <w:p>
      <w:pPr>
        <w:pStyle w:val="Heading3"/>
      </w:pPr>
      <w:bookmarkStart w:name="b_cita_clase_1_pensador_sistemi_9fb9c3fd" w:id="1975"/>
      <w:r>
        <w:t xml:space="preserve">Palabras del profesor</w:t>
      </w:r>
      <w:bookmarkEnd w:id="1975"/>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El profesor lo dijo así</w:t>
            </w:r>
          </w:p>
          <w:p>
            <w:pPr>
              <w:pStyle w:val="Recuadro"/>
            </w:pPr>
            <w:r>
              <w:t xml:space="preserve">«Ser un pensador sistémico implica ser más consciente de nuestro desempeño personal y profesional, así como ser conscientes del entorno que nos rodea, para comprenderlo de formas más precisas y tomar decisiones más acertadas.»</w:t>
            </w:r>
          </w:p>
          <w:p>
            <w:pPr>
              <w:pStyle w:val="Recuadro"/>
            </w:pPr>
            <w:r>
              <w:t xml:space="preserve">Clase 1 · 00:27:40–00:28:04</w:t>
            </w:r>
          </w:p>
        </w:tc>
      </w:tr>
    </w:tbl>
    <w:p>
      <w:pPr>
        <w:pStyle w:val="Fuente"/>
      </w:pPr>
      <w:r>
        <w:t xml:space="preserve">Véase </w:t>
      </w:r>
      <w:hyperlink w:history="1" w:anchor="b_cita_clase_1_todos_somos_crea_ad641bf5">
        <w:r>
          <w:rPr>
            <w:color w:val="156B70"/>
            <w:u w:val="single"/>
          </w:rPr>
          <w:t xml:space="preserve">cita de Clase 1 · 00:33:22</w:t>
        </w:r>
      </w:hyperlink>
      <w:r>
        <w:t xml:space="preserve">, pág. </w:t>
      </w:r>
      <w:r>
        <w:fldChar w:fldCharType="begin"/>
        <w:instrText xml:space="preserve">PAGEREF b_cita_clase_1_todos_somos_crea_ad641bf5 \h</w:instrText>
        <w:fldChar w:fldCharType="separate"/>
        <w:t xml:space="preserve">212</w:t>
        <w:fldChar w:fldCharType="end"/>
      </w:r>
      <w:r>
        <w:t xml:space="preserve">.</w:t>
      </w:r>
    </w:p>
    <w:p>
      <w:pPr>
        <w:pStyle w:val="Heading3"/>
      </w:pPr>
      <w:bookmarkStart w:name="b_cita_clase_9_pensador_constru_48d5a250" w:id="1976"/>
      <w:r>
        <w:t xml:space="preserve">Palabras del profesor</w:t>
      </w:r>
      <w:bookmarkEnd w:id="1976"/>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El profesor lo dijo así</w:t>
            </w:r>
          </w:p>
          <w:p>
            <w:pPr>
              <w:pStyle w:val="Recuadro"/>
            </w:pPr>
            <w:r>
              <w:t xml:space="preserve">«El pensador sistémico piensa y busca construir modelos mentales sistémicos: cualquier realidad que busca modelar a nivel mental la va a representar utilizando estos conceptos, empezando por el concepto de sistema, que es el básico y fundamental.»</w:t>
            </w:r>
          </w:p>
          <w:p>
            <w:pPr>
              <w:pStyle w:val="Recuadro"/>
            </w:pPr>
            <w:r>
              <w:t xml:space="preserve">Clase 9 · 01:10:24–01:10:54</w:t>
            </w:r>
          </w:p>
        </w:tc>
      </w:tr>
    </w:tbl>
    <w:p>
      <w:pPr>
        <w:pStyle w:val="Heading3"/>
      </w:pPr>
      <w:bookmarkStart w:name="b_cita_clase_3_los_habitos_mold_463820a7" w:id="1977"/>
      <w:r>
        <w:t xml:space="preserve">Palabras del profesor</w:t>
      </w:r>
      <w:bookmarkEnd w:id="1977"/>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El profesor lo dijo así</w:t>
            </w:r>
          </w:p>
          <w:p>
            <w:pPr>
              <w:pStyle w:val="Recuadro"/>
            </w:pPr>
            <w:r>
              <w:t xml:space="preserve">«Los hábitos son los comportamientos que frecuentemente hacemos, que hacemos todos los días, los vamos repitiendo, y esos comportamientos repetitivos crean un poco nuestra personalidad y moldean nuestro comportamiento.»</w:t>
            </w:r>
          </w:p>
          <w:p>
            <w:pPr>
              <w:pStyle w:val="Recuadro"/>
            </w:pPr>
            <w:r>
              <w:t xml:space="preserve">Clase 3 · 01:02:47–01:03:17</w:t>
            </w:r>
          </w:p>
        </w:tc>
      </w:tr>
    </w:tbl>
    <w:p>
      <w:pPr>
        <w:pStyle w:val="Heading3"/>
      </w:pPr>
      <w:bookmarkStart w:name="b_cita_clase_1_identificarse_co_87bbc635" w:id="1978"/>
      <w:r>
        <w:t xml:space="preserve">Palabras del profesor</w:t>
      </w:r>
      <w:bookmarkEnd w:id="1978"/>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El profesor lo dijo así</w:t>
            </w:r>
          </w:p>
          <w:p>
            <w:pPr>
              <w:pStyle w:val="Recuadro"/>
            </w:pPr>
            <w:r>
              <w:t xml:space="preserve">«Lo que estamos buscando es que ustedes comprendan y se identifiquen con este perfil de un pensador sistémico y que a lo largo del curso vayan adquiriendo esa imagen de este perfil para desarrollarlo en ustedes mismos»</w:t>
            </w:r>
          </w:p>
          <w:p>
            <w:pPr>
              <w:pStyle w:val="Recuadro"/>
            </w:pPr>
            <w:r>
              <w:t xml:space="preserve">Clase 1 · 00:27:17–00:27:48</w:t>
            </w:r>
          </w:p>
        </w:tc>
      </w:tr>
    </w:tbl>
    <w:p>
      <w:pPr>
        <w:pStyle w:val="Heading3"/>
      </w:pPr>
      <w:r>
        <w:t xml:space="preserve">Errores frecuentes y trampa de examen</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9C620A" w:sz="20"/>
              <w:bottom w:val="nil"/>
              <w:right w:val="nil"/>
            </w:tcBorders>
            <w:shd w:fill="FBF3DF" w:val="clear"/>
            <w:tcMar>
              <w:top w:type="dxa" w:w="130"/>
              <w:left w:type="dxa" w:w="180"/>
              <w:bottom w:type="dxa" w:w="130"/>
              <w:right w:type="dxa" w:w="180"/>
            </w:tcMar>
          </w:tcPr>
          <w:p>
            <w:pPr>
              <w:pStyle w:val="RecuadroTitulo"/>
            </w:pPr>
            <w:r>
              <w:rPr>
                <w:b/>
                <w:bCs/>
                <w:color w:val="9C620A"/>
              </w:rPr>
              <w:t xml:space="preserve">Error → corrección</w:t>
            </w:r>
          </w:p>
          <w:p>
            <w:pPr>
              <w:pStyle w:val="Recuadro"/>
            </w:pPr>
            <w:r>
              <w:rPr>
                <w:b/>
                <w:bCs/>
              </w:rPr>
              <w:t xml:space="preserve">Error:</w:t>
            </w:r>
            <w:r>
              <w:t xml:space="preserve"> Presentar los 14 hábitos como materia dictada uno por uno.</w:t>
            </w:r>
          </w:p>
          <w:p>
            <w:pPr>
              <w:pStyle w:val="Recuadro"/>
            </w:pPr>
            <w:r>
              <w:rPr>
                <w:b/>
                <w:bCs/>
              </w:rPr>
              <w:t xml:space="preserve">Corrección:</w:t>
            </w:r>
            <w:r>
              <w:t xml:space="preserve"> Sólo se trabajaron los cuatro ligados a los modelos mentales y la unidad 2 no los aumentó.</w:t>
            </w:r>
          </w:p>
          <w:p>
            <w:pPr>
              <w:pStyle w:val="Recuadro"/>
            </w:pPr>
            <w:r>
              <w:t xml:space="preserve">Clase 3 · 01:03:24–01:03:58 · Clase 9 · 01:11:06–01:11:48</w:t>
            </w:r>
          </w:p>
        </w:tc>
      </w:tr>
    </w:tbl>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9C620A" w:sz="20"/>
              <w:bottom w:val="nil"/>
              <w:right w:val="nil"/>
            </w:tcBorders>
            <w:shd w:fill="FBF3DF" w:val="clear"/>
            <w:tcMar>
              <w:top w:type="dxa" w:w="130"/>
              <w:left w:type="dxa" w:w="180"/>
              <w:bottom w:type="dxa" w:w="130"/>
              <w:right w:type="dxa" w:w="180"/>
            </w:tcMar>
          </w:tcPr>
          <w:p>
            <w:pPr>
              <w:pStyle w:val="RecuadroTitulo"/>
            </w:pPr>
            <w:r>
              <w:rPr>
                <w:b/>
                <w:bCs/>
                <w:color w:val="9C620A"/>
              </w:rPr>
              <w:t xml:space="preserve">Error → corrección</w:t>
            </w:r>
          </w:p>
          <w:p>
            <w:pPr>
              <w:pStyle w:val="Recuadro"/>
            </w:pPr>
            <w:r>
              <w:rPr>
                <w:b/>
                <w:bCs/>
              </w:rPr>
              <w:t xml:space="preserve">Error:</w:t>
            </w:r>
            <w:r>
              <w:t xml:space="preserve"> Dar por general y sistémica cualquier teoría propia.</w:t>
            </w:r>
          </w:p>
          <w:p>
            <w:pPr>
              <w:pStyle w:val="Recuadro"/>
            </w:pPr>
            <w:r>
              <w:rPr>
                <w:b/>
                <w:bCs/>
              </w:rPr>
              <w:t xml:space="preserve">Corrección:</w:t>
            </w:r>
            <w:r>
              <w:t xml:space="preserve"> Todos creamos teorías; hay que distinguir si son sistémicas o incompletas y bajo supuestos no comprobados, el problema más frecuente.</w:t>
            </w:r>
          </w:p>
          <w:p>
            <w:pPr>
              <w:pStyle w:val="Recuadro"/>
            </w:pPr>
            <w:r>
              <w:t xml:space="preserve">Clase 1 · 00:32:40–00:33:53</w:t>
            </w:r>
          </w:p>
        </w:tc>
      </w:tr>
    </w:tbl>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9C620A" w:sz="20"/>
              <w:bottom w:val="nil"/>
              <w:right w:val="nil"/>
            </w:tcBorders>
            <w:shd w:fill="FBF3DF" w:val="clear"/>
            <w:tcMar>
              <w:top w:type="dxa" w:w="130"/>
              <w:left w:type="dxa" w:w="180"/>
              <w:bottom w:type="dxa" w:w="130"/>
              <w:right w:type="dxa" w:w="180"/>
            </w:tcMar>
          </w:tcPr>
          <w:p>
            <w:pPr>
              <w:pStyle w:val="RecuadroTitulo"/>
            </w:pPr>
            <w:r>
              <w:rPr>
                <w:b/>
                <w:bCs/>
                <w:color w:val="9C620A"/>
              </w:rPr>
              <w:t xml:space="preserve">Trampa de examen</w:t>
            </w:r>
          </w:p>
          <w:p>
            <w:pPr>
              <w:pStyle w:val="Recuadro"/>
            </w:pPr>
            <w:r>
              <w:t xml:space="preserve">El perfil que cerró la unidad tiene dos rasgos juntos: manejar el paradigma de sistemas y construir modelos mentales sistémicos; saber la teoría sin modelar con ella no es pensamiento sistémico. Los hábitos no son otra lista de definiciones: son los comportamientos repetidos con que ese perfil se reconoce.</w:t>
            </w:r>
          </w:p>
        </w:tc>
      </w:tr>
    </w:tbl>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Ampliación: lo no dictado en clase</w:t>
            </w:r>
          </w:p>
          <w:p>
            <w:pPr>
              <w:pStyle w:val="Recuadro"/>
            </w:pPr>
            <w:r>
              <w:t xml:space="preserve">La clase no recorrió el catálogo de los 14 hábitos ni sus preguntas; los hábitos ligados a interconexiones, estructuras sistémicas y dinámicas no lineales, y los subhábitos del manejo del paradigma, quedaron para la unidad 3.</w:t>
            </w:r>
          </w:p>
        </w:tc>
      </w:tr>
    </w:tbl>
    <w:p>
      <w:pPr>
        <w:pStyle w:val="Heading3"/>
      </w:pPr>
      <w:r>
        <w:t xml:space="preserve">Lecturas y tareas del curso</w:t>
      </w:r>
    </w:p>
    <w:p>
      <w:pPr>
        <w:pStyle w:val="Normal"/>
      </w:pPr>
      <w:r>
        <w:t xml:space="preserve">C-6 · Unidad 2 · Teoría de sistemas y pensamiento sistémico (presentación). 65 páginas con teoría de sistemas, elementos, estructura, función, niveles, sinergia, emergencia, complejidad y universo de sistemas. Copia íntegra de la presentación del profesor.</w:t>
      </w:r>
    </w:p>
    <w:p>
      <w:pPr>
        <w:pStyle w:val="Normal"/>
      </w:pPr>
      <w:r>
        <w:t xml:space="preserve">C-5 · Unidad 1 · Sistemas abstractos diseñados y paradigmas (presentación). 63 páginas con paradigmas, tipos de pensamiento, escalera de inferencias, iceberg, hábitos, DSRP y modelos sistémicos. Copia íntegra de la presentación del profesor.</w:t>
      </w:r>
    </w:p>
    <w:p>
      <w:pPr>
        <w:pStyle w:val="Normal"/>
      </w:pPr>
      <w:r>
        <w:t xml:space="preserve">L-5 · Enfoque de sistemas y pensamiento sistémico. Lectura de la Unidad 2 sobre el enfoque de sistemas: en qué se diferencia de la mirada analítica clásica y qué implica sostener el pensamiento sistémico como método de trabajo.</w:t>
      </w:r>
    </w:p>
    <w:p>
      <w:pPr>
        <w:pStyle w:val="Heading3"/>
      </w:pPr>
      <w:r>
        <w:t xml:space="preserve">Práctica de los laboratorios</w:t>
      </w:r>
    </w:p>
    <w:p>
      <w:pPr>
        <w:pStyle w:val="Normal"/>
      </w:pPr>
      <w:r>
        <w:t xml:space="preserve">Los procedimientos del capítulo permiten reconstruir en papel la práctica interactiva. Los laboratorios originales permanecen disponibles en la lección del portal.</w:t>
      </w:r>
    </w:p>
    <w:p>
      <w:pPr>
        <w:pStyle w:val="Normal"/>
        <w:numPr>
          <w:ilvl w:val="0"/>
          <w:numId w:val="2"/>
        </w:numPr>
      </w:pPr>
      <w:r>
        <w:t xml:space="preserve">El perfil del pensador sistémico</w:t>
      </w:r>
    </w:p>
    <w:p>
      <w:pPr>
        <w:pStyle w:val="Heading3"/>
      </w:pPr>
      <w:r>
        <w:t xml:space="preserve">Autoevaluación</w:t>
      </w:r>
    </w:p>
    <w:p>
      <w:pPr>
        <w:pStyle w:val="Normal"/>
      </w:pPr>
      <w:r>
        <w:t xml:space="preserve">Resuelva sin consultar las respuestas. Compruebe al final del capítulo por qué cada opción es correcta o incorrecta.</w:t>
      </w:r>
    </w:p>
    <w:p>
      <w:pPr>
        <w:pStyle w:val="Heading3"/>
      </w:pPr>
      <w:bookmarkStart w:name="b_pregunta_auto_2_9_1" w:id="1979"/>
      <w:r>
        <w:t xml:space="preserve">2.9-A1 · ¿Cómo se cuenta correctamente el catálogo de hábitos del portal respecto del curso?</w:t>
      </w:r>
      <w:bookmarkEnd w:id="1979"/>
    </w:p>
    <w:p>
      <w:pPr>
        <w:pStyle w:val="Normal"/>
      </w:pPr>
      <w:r>
        <w:t xml:space="preserve">a) Quince hábitos del mismo rango, incluida la introducción</w:t>
      </w:r>
    </w:p>
    <w:p>
      <w:pPr>
        <w:pStyle w:val="Normal"/>
      </w:pPr>
      <w:r>
        <w:t xml:space="preserve">b) Catorce hábitos y un curso introductorio; la introducción no es un hábito quince</w:t>
      </w:r>
    </w:p>
    <w:p>
      <w:pPr>
        <w:pStyle w:val="Normal"/>
      </w:pPr>
      <w:r>
        <w:t xml:space="preserve">c) Cuatro hábitos en total y ningún otro en el catálogo</w:t>
      </w:r>
    </w:p>
    <w:p>
      <w:pPr>
        <w:pStyle w:val="Normal"/>
      </w:pPr>
      <w:r>
        <w:t xml:space="preserve">d) Catorce fases que deben practicarse siempre en el mismo orden</w:t>
      </w:r>
    </w:p>
    <w:p>
      <w:pPr>
        <w:pStyle w:val="Heading3"/>
      </w:pPr>
      <w:bookmarkStart w:name="b_pregunta_auto_2_9_2" w:id="1980"/>
      <w:r>
        <w:t xml:space="preserve">2.9-A2 · ¿Qué evidencia se ajusta al perfil del pensador sistémico con que cierra la Unidad 2?</w:t>
      </w:r>
      <w:bookmarkEnd w:id="1980"/>
    </w:p>
    <w:p>
      <w:pPr>
        <w:pStyle w:val="Normal"/>
      </w:pPr>
      <w:r>
        <w:t xml:space="preserve">a) Recitar el catálogo sin aplicarlo a ninguna situación</w:t>
      </w:r>
    </w:p>
    <w:p>
      <w:pPr>
        <w:pStyle w:val="Normal"/>
      </w:pPr>
      <w:r>
        <w:t xml:space="preserve">b) Memorizar la palabra sistema y evitar datos que contradigan el modelo</w:t>
      </w:r>
    </w:p>
    <w:p>
      <w:pPr>
        <w:pStyle w:val="Normal"/>
      </w:pPr>
      <w:r>
        <w:t xml:space="preserve">c) Usar el paradigma para construir modelos, revisar relaciones y contrastar supuestos al decidir</w:t>
      </w:r>
    </w:p>
    <w:p>
      <w:pPr>
        <w:pStyle w:val="Normal"/>
      </w:pPr>
      <w:r>
        <w:t xml:space="preserve">d) Suponer que conocer la teoría hace innecesario modificar la interpretación</w:t>
      </w:r>
    </w:p>
    <w:p>
      <w:pPr>
        <w:pStyle w:val="Heading3"/>
      </w:pPr>
      <w:bookmarkStart w:name="b_pregunta_auto_2_9_3" w:id="1981"/>
      <w:r>
        <w:t xml:space="preserve">2.9-A3 · ¿Cómo se compone la «baraja» de 15 cursos del Waters Center que presenta esta lección?</w:t>
      </w:r>
      <w:bookmarkEnd w:id="1981"/>
    </w:p>
    <w:p>
      <w:pPr>
        <w:pStyle w:val="Normal"/>
      </w:pPr>
      <w:r>
        <w:t xml:space="preserve">a) 15 hábitos independientes, todos del mismo rango</w:t>
      </w:r>
    </w:p>
    <w:p>
      <w:pPr>
        <w:pStyle w:val="Normal"/>
      </w:pPr>
      <w:r>
        <w:t xml:space="preserve">b) 14 hábitos oficiales más un curso introductorio («Comenzando el viaje»)</w:t>
      </w:r>
    </w:p>
    <w:p>
      <w:pPr>
        <w:pStyle w:val="Normal"/>
      </w:pPr>
      <w:r>
        <w:t xml:space="preserve">c) 15 reglas obligatorias que deben aplicarse en orden</w:t>
      </w:r>
    </w:p>
    <w:p>
      <w:pPr>
        <w:pStyle w:val="Normal"/>
      </w:pPr>
      <w:r>
        <w:t xml:space="preserve">d) Un hábito por cada unidad del curso de la USAC</w:t>
      </w:r>
    </w:p>
    <w:p>
      <w:pPr>
        <w:pStyle w:val="Heading3"/>
      </w:pPr>
      <w:bookmarkStart w:name="b_pregunta_auto_2_9_4" w:id="1982"/>
      <w:r>
        <w:t xml:space="preserve">2.9-A4 · ¿Cuál es la relación entre los hábitos y la Teoría General de Sistemas que sostiene esta lección?</w:t>
      </w:r>
      <w:bookmarkEnd w:id="1982"/>
    </w:p>
    <w:p>
      <w:pPr>
        <w:pStyle w:val="Normal"/>
      </w:pPr>
      <w:r>
        <w:t xml:space="preserve">a) Los hábitos sustituyen a los conceptos de la TGS</w:t>
      </w:r>
    </w:p>
    <w:p>
      <w:pPr>
        <w:pStyle w:val="Normal"/>
      </w:pPr>
      <w:r>
        <w:t xml:space="preserve">b) La TGS aporta los conceptos; los hábitos aportan la conducta cotidiana del pensador</w:t>
      </w:r>
    </w:p>
    <w:p>
      <w:pPr>
        <w:pStyle w:val="Normal"/>
      </w:pPr>
      <w:r>
        <w:t xml:space="preserve">c) Son teorías rivales que no tienen relación</w:t>
      </w:r>
    </w:p>
    <w:p>
      <w:pPr>
        <w:pStyle w:val="Normal"/>
      </w:pPr>
      <w:r>
        <w:t xml:space="preserve">d) Los hábitos solo sirven para la simulación en VENSIM</w:t>
      </w:r>
    </w:p>
    <w:p>
      <w:pPr>
        <w:pStyle w:val="Heading3"/>
      </w:pPr>
      <w:bookmarkStart w:name="b_pregunta_auto_2_9_5" w:id="1983"/>
      <w:r>
        <w:t xml:space="preserve">2.9-A5 · El hábito «reconoce que la estructura de un sistema genera su comportamiento» conecta con qué principio de la dinámica de sistemas?</w:t>
      </w:r>
      <w:bookmarkEnd w:id="1983"/>
    </w:p>
    <w:p>
      <w:pPr>
        <w:pStyle w:val="Normal"/>
      </w:pPr>
      <w:r>
        <w:t xml:space="preserve">a) Que el comportamiento lo determinan los individuos, no el sistema</w:t>
      </w:r>
    </w:p>
    <w:p>
      <w:pPr>
        <w:pStyle w:val="Normal"/>
      </w:pPr>
      <w:r>
        <w:t xml:space="preserve">b) Que la estructura de interconexiones y realimentaciones produce los patrones observados</w:t>
      </w:r>
    </w:p>
    <w:p>
      <w:pPr>
        <w:pStyle w:val="Normal"/>
      </w:pPr>
      <w:r>
        <w:t xml:space="preserve">c) Que la estructura de un sistema es irrelevante para su conducta</w:t>
      </w:r>
    </w:p>
    <w:p>
      <w:pPr>
        <w:pStyle w:val="Normal"/>
      </w:pPr>
      <w:r>
        <w:t xml:space="preserve">d) Que basta cambiar a las personas para cambiar el comportamiento</w:t>
      </w:r>
    </w:p>
    <w:p>
      <w:pPr>
        <w:pStyle w:val="Heading3"/>
      </w:pPr>
      <w:bookmarkStart w:name="b_pregunta_auto_2_9_6" w:id="1984"/>
      <w:r>
        <w:t xml:space="preserve">2.9-A6 · El hábito «presta atención a las acumulaciones y a sus tasas de cambio» prepara directamente qué tema de la Unidad 4?</w:t>
      </w:r>
      <w:bookmarkEnd w:id="1984"/>
    </w:p>
    <w:p>
      <w:pPr>
        <w:pStyle w:val="Normal"/>
      </w:pPr>
      <w:r>
        <w:t xml:space="preserve">a) Los paradigmas y modelos mentales</w:t>
      </w:r>
    </w:p>
    <w:p>
      <w:pPr>
        <w:pStyle w:val="Normal"/>
      </w:pPr>
      <w:r>
        <w:t xml:space="preserve">b) Los flujos y niveles (stocks y flujos)</w:t>
      </w:r>
    </w:p>
    <w:p>
      <w:pPr>
        <w:pStyle w:val="Normal"/>
      </w:pPr>
      <w:r>
        <w:t xml:space="preserve">c) La escalera de inferencias</w:t>
      </w:r>
    </w:p>
    <w:p>
      <w:pPr>
        <w:pStyle w:val="Normal"/>
      </w:pPr>
      <w:r>
        <w:t xml:space="preserve">d) Los tipos de pensamiento</w:t>
      </w:r>
    </w:p>
    <w:p>
      <w:pPr>
        <w:pStyle w:val="Heading3"/>
      </w:pPr>
      <w:bookmarkStart w:name="b_pregunta_auto_2_9_7" w:id="1985"/>
      <w:r>
        <w:t xml:space="preserve">2.9-A7 · «Identifica la naturaleza circular de las relaciones de causa y efecto» se opone, sobre todo, a…</w:t>
      </w:r>
      <w:bookmarkEnd w:id="1985"/>
    </w:p>
    <w:p>
      <w:pPr>
        <w:pStyle w:val="Normal"/>
      </w:pPr>
      <w:r>
        <w:t xml:space="preserve">a) la causalidad lineal (A causa B y ahí termina)</w:t>
      </w:r>
    </w:p>
    <w:p>
      <w:pPr>
        <w:pStyle w:val="Normal"/>
      </w:pPr>
      <w:r>
        <w:t xml:space="preserve">b) la observación de patrones en el tiempo</w:t>
      </w:r>
    </w:p>
    <w:p>
      <w:pPr>
        <w:pStyle w:val="Normal"/>
      </w:pPr>
      <w:r>
        <w:t xml:space="preserve">c) el holismo del panorama general</w:t>
      </w:r>
    </w:p>
    <w:p>
      <w:pPr>
        <w:pStyle w:val="Normal"/>
      </w:pPr>
      <w:r>
        <w:t xml:space="preserve">d) la definición de sistema como conjunto de relaciones</w:t>
      </w:r>
    </w:p>
    <w:p>
      <w:pPr>
        <w:pStyle w:val="Heading3"/>
      </w:pPr>
      <w:bookmarkStart w:name="b_pregunta_auto_2_9_8" w:id="1986"/>
      <w:r>
        <w:t xml:space="preserve">2.9-A8 · El hábito 13, «identifica el apalancamiento», retoma la idea de los puntos de apalancamiento asociada sobre todo a…</w:t>
      </w:r>
      <w:bookmarkEnd w:id="1986"/>
    </w:p>
    <w:p>
      <w:pPr>
        <w:pStyle w:val="Normal"/>
      </w:pPr>
      <w:r>
        <w:t xml:space="preserve">a) Joel Barker</w:t>
      </w:r>
    </w:p>
    <w:p>
      <w:pPr>
        <w:pStyle w:val="Normal"/>
      </w:pPr>
      <w:r>
        <w:t xml:space="preserve">b) Donella Meadows</w:t>
      </w:r>
    </w:p>
    <w:p>
      <w:pPr>
        <w:pStyle w:val="Normal"/>
      </w:pPr>
      <w:r>
        <w:t xml:space="preserve">c) Sigmund Freud</w:t>
      </w:r>
    </w:p>
    <w:p>
      <w:pPr>
        <w:pStyle w:val="Normal"/>
      </w:pPr>
      <w:r>
        <w:t xml:space="preserve">d) René Descartes</w:t>
      </w:r>
    </w:p>
    <w:p>
      <w:pPr>
        <w:pStyle w:val="Heading3"/>
      </w:pPr>
      <w:bookmarkStart w:name="b_pregunta_auto_2_9_9" w:id="1987"/>
      <w:r>
        <w:t xml:space="preserve">2.9-A9 · «Busca comprender el panorama general» encarna, ante todo, qué idea de la TGS?</w:t>
      </w:r>
      <w:bookmarkEnd w:id="1987"/>
    </w:p>
    <w:p>
      <w:pPr>
        <w:pStyle w:val="Normal"/>
      </w:pPr>
      <w:r>
        <w:t xml:space="preserve">a) El reduccionismo: descomponer en partes mínimas</w:t>
      </w:r>
    </w:p>
    <w:p>
      <w:pPr>
        <w:pStyle w:val="Normal"/>
      </w:pPr>
      <w:r>
        <w:t xml:space="preserve">b) El holismo: el todo es más que la suma de sus partes</w:t>
      </w:r>
    </w:p>
    <w:p>
      <w:pPr>
        <w:pStyle w:val="Normal"/>
      </w:pPr>
      <w:r>
        <w:t xml:space="preserve">c) La causalidad lineal entre dos variables</w:t>
      </w:r>
    </w:p>
    <w:p>
      <w:pPr>
        <w:pStyle w:val="Normal"/>
      </w:pPr>
      <w:r>
        <w:t xml:space="preserve">d) La medición precisa de cada componente por separado</w:t>
      </w:r>
    </w:p>
    <w:p>
      <w:pPr>
        <w:pStyle w:val="Heading3"/>
      </w:pPr>
      <w:bookmarkStart w:name="b_solucionario_2_9" w:id="1988"/>
      <w:r>
        <w:t xml:space="preserve">Solucionario del capítulo</w:t>
      </w:r>
      <w:bookmarkEnd w:id="1988"/>
    </w:p>
    <w:p>
      <w:pPr>
        <w:pStyle w:val="Heading3"/>
      </w:pPr>
      <w:r>
        <w:t xml:space="preserve">2.9-A1</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b) Catorce hábitos y un curso introductorio; la introducción no es un hábito quince</w:t>
            </w:r>
          </w:p>
        </w:tc>
      </w:tr>
    </w:tbl>
    <w:p>
      <w:pPr>
        <w:pStyle w:val="Normal"/>
      </w:pPr>
      <w:r>
        <w:t xml:space="preserve">El modelo de Waters identifica catorce hábitos. El catálogo añade una introducción como curso de entrada y el tramo inicial selecciona cuatro; ni la introducción ni las ampliaciones cambian ese número de hábitos.</w:t>
      </w:r>
    </w:p>
    <w:p>
      <w:pPr>
        <w:pStyle w:val="Fuente"/>
      </w:pPr>
      <w:r>
        <w:t xml:space="preserve">Presentación de la unidad 1 (C-5), pág. 22 y 23 · Clase 3 · 01:01:27–01:03:33</w:t>
      </w:r>
    </w:p>
    <w:p>
      <w:pPr>
        <w:pStyle w:val="Heading3"/>
      </w:pPr>
      <w:r>
        <w:t xml:space="preserve">2.9-A2</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c) Usar el paradigma para construir modelos, revisar relaciones y contrastar supuestos al decidir</w:t>
            </w:r>
          </w:p>
        </w:tc>
      </w:tr>
    </w:tbl>
    <w:p>
      <w:pPr>
        <w:pStyle w:val="Normal"/>
      </w:pPr>
      <w:r>
        <w:t xml:space="preserve">El cierre reúne manejar el paradigma de sistemas y construir modelos mentales sistémicos con sus conceptos. Los hábitos se reconocen como comportamientos repetidos de observación, relación, contraste y revisión, no sólo como nombres aprendidos.</w:t>
      </w:r>
    </w:p>
    <w:p>
      <w:pPr>
        <w:pStyle w:val="Fuente"/>
      </w:pPr>
      <w:r>
        <w:t xml:space="preserve">Clase 9 · 01:10:06–01:11:48 · Presentación de la unidad 2 (C-6), pág. 16</w:t>
      </w:r>
    </w:p>
    <w:p>
      <w:pPr>
        <w:pStyle w:val="Heading3"/>
      </w:pPr>
      <w:r>
        <w:t xml:space="preserve">2.9-A3</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b) 14 hábitos oficiales más un curso introductorio («Comenzando el viaje»)</w:t>
            </w:r>
          </w:p>
        </w:tc>
      </w:tr>
    </w:tbl>
    <w:p>
      <w:pPr>
        <w:pStyle w:val="Normal"/>
      </w:pPr>
      <w:r>
        <w:t xml:space="preserve">El hub reúne 15 cursos: el introductorio «Comenzando el viaje» (00), que no es un hábito, y los 14 «Hábitos de un Pensador Sistémico» del Waters Center (01 a 14).</w:t>
      </w:r>
    </w:p>
    <w:p>
      <w:pPr>
        <w:pStyle w:val="Normal"/>
      </w:pPr>
      <w:r>
        <w:t xml:space="preserve">a) No: los hábitos propiamente dichos son 14; el curso 00 es una introducción, no un hábito.</w:t>
      </w:r>
    </w:p>
    <w:p>
      <w:pPr>
        <w:pStyle w:val="Normal"/>
      </w:pPr>
      <w:r>
        <w:t xml:space="preserve">b) Correcto: 14 hábitos + el curso de inicio 00 = 15 cursos en el hub.</w:t>
      </w:r>
    </w:p>
    <w:p>
      <w:pPr>
        <w:pStyle w:val="Normal"/>
      </w:pPr>
      <w:r>
        <w:t xml:space="preserve">c) No: un hábito es una disposición, no una regla que se cumple en orden.</w:t>
      </w:r>
    </w:p>
    <w:p>
      <w:pPr>
        <w:pStyle w:val="Normal"/>
      </w:pPr>
      <w:r>
        <w:t xml:space="preserve">d) No: hay 14 hábitos, no uno por unidad.</w:t>
      </w:r>
    </w:p>
    <w:p>
      <w:pPr>
        <w:pStyle w:val="Fuente"/>
      </w:pPr>
      <w:r>
        <w:t xml:space="preserve">Waters Center</w:t>
      </w:r>
    </w:p>
    <w:p>
      <w:pPr>
        <w:pStyle w:val="Heading3"/>
      </w:pPr>
      <w:r>
        <w:t xml:space="preserve">2.9-A4</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b) La TGS aporta los conceptos; los hábitos aportan la conducta cotidiana del pensador</w:t>
            </w:r>
          </w:p>
        </w:tc>
      </w:tr>
    </w:tbl>
    <w:p>
      <w:pPr>
        <w:pStyle w:val="Normal"/>
      </w:pPr>
      <w:r>
        <w:t xml:space="preserve">La TGS ofrece los conceptos (sistema, estructura, realimentación, emergencia); los hábitos son las disposiciones que ponen esos conceptos en práctica día a día. Son las dos caras —concepto y conducta— de pensar sistémicamente.</w:t>
      </w:r>
    </w:p>
    <w:p>
      <w:pPr>
        <w:pStyle w:val="Heading3"/>
      </w:pPr>
      <w:r>
        <w:t xml:space="preserve">2.9-A5</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b) Que la estructura de interconexiones y realimentaciones produce los patrones observados</w:t>
            </w:r>
          </w:p>
        </w:tc>
      </w:tr>
    </w:tbl>
    <w:p>
      <w:pPr>
        <w:pStyle w:val="Normal"/>
      </w:pPr>
      <w:r>
        <w:t xml:space="preserve">Es el principio central de la dinámica de sistemas: la estructura de interconexiones y realimentaciones —no los actores— genera el comportamiento. Se profundiza en 2.3 · Estructura de los sistemas.</w:t>
      </w:r>
    </w:p>
    <w:p>
      <w:pPr>
        <w:pStyle w:val="Normal"/>
      </w:pPr>
      <w:r>
        <w:t xml:space="preserve">a) Al revés: la dinámica de sistemas subraya que la estructura, no los individuos, gobierna el patrón.</w:t>
      </w:r>
    </w:p>
    <w:p>
      <w:pPr>
        <w:pStyle w:val="Normal"/>
      </w:pPr>
      <w:r>
        <w:t xml:space="preserve">b) Correcto: la estructura de relaciones y bucles genera el comportamiento; por eso para cambiar la conducta hay que cambiar la estructura.</w:t>
      </w:r>
    </w:p>
    <w:p>
      <w:pPr>
        <w:pStyle w:val="Normal"/>
      </w:pPr>
      <w:r>
        <w:t xml:space="preserve">c) No: la estructura es justamente lo determinante.</w:t>
      </w:r>
    </w:p>
    <w:p>
      <w:pPr>
        <w:pStyle w:val="Normal"/>
      </w:pPr>
      <w:r>
        <w:t xml:space="preserve">d) No: cambiar personas dentro de la misma estructura suele reproducir el mismo patrón.</w:t>
      </w:r>
    </w:p>
    <w:p>
      <w:pPr>
        <w:pStyle w:val="Fuente"/>
      </w:pPr>
      <w:r>
        <w:t xml:space="preserve">Hábito 07</w:t>
      </w:r>
    </w:p>
    <w:p>
      <w:pPr>
        <w:pStyle w:val="Heading3"/>
      </w:pPr>
      <w:r>
        <w:t xml:space="preserve">2.9-A6</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b) Los flujos y niveles (stocks y flujos)</w:t>
            </w:r>
          </w:p>
        </w:tc>
      </w:tr>
    </w:tbl>
    <w:p>
      <w:pPr>
        <w:pStyle w:val="Normal"/>
      </w:pPr>
      <w:r>
        <w:t xml:space="preserve">Las acumulaciones son los niveles (stocks: lo acumulado) y sus tasas de cambio son los flujos. Es el corazón de la modelación con flujos y niveles de la Unidad 4.</w:t>
      </w:r>
    </w:p>
    <w:p>
      <w:pPr>
        <w:pStyle w:val="Fuente"/>
      </w:pPr>
      <w:r>
        <w:t xml:space="preserve">Hábito 12</w:t>
      </w:r>
    </w:p>
    <w:p>
      <w:pPr>
        <w:pStyle w:val="Heading3"/>
      </w:pPr>
      <w:r>
        <w:t xml:space="preserve">2.9-A7</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a) la causalidad lineal (A causa B y ahí termina)</w:t>
            </w:r>
          </w:p>
        </w:tc>
      </w:tr>
    </w:tbl>
    <w:p>
      <w:pPr>
        <w:pStyle w:val="Normal"/>
      </w:pPr>
      <w:r>
        <w:t xml:space="preserve">Frente a la causalidad lineal, la TGS ve bucles de realimentación donde el efecto vuelve sobre su causa. Es la base de los ciclos de refuerzo y de compensación de la Unidad 3.</w:t>
      </w:r>
    </w:p>
    <w:p>
      <w:pPr>
        <w:pStyle w:val="Fuente"/>
      </w:pPr>
      <w:r>
        <w:t xml:space="preserve">Hábito 08</w:t>
      </w:r>
    </w:p>
    <w:p>
      <w:pPr>
        <w:pStyle w:val="Heading3"/>
      </w:pPr>
      <w:r>
        <w:t xml:space="preserve">2.9-A8</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b) Donella Meadows</w:t>
            </w:r>
          </w:p>
        </w:tc>
      </w:tr>
    </w:tbl>
    <w:p>
      <w:pPr>
        <w:pStyle w:val="Normal"/>
      </w:pPr>
      <w:r>
        <w:t xml:space="preserve">Los puntos de apalancamiento —lugares donde un pequeño cambio produce grandes efectos— son un aporte de Donella Meadows. Encontrarlos exige entender antes la estructura que genera el comportamiento.</w:t>
      </w:r>
    </w:p>
    <w:p>
      <w:pPr>
        <w:pStyle w:val="Fuente"/>
      </w:pPr>
      <w:r>
        <w:t xml:space="preserve">Hábito 13</w:t>
      </w:r>
    </w:p>
    <w:p>
      <w:pPr>
        <w:pStyle w:val="Heading3"/>
      </w:pPr>
      <w:r>
        <w:t xml:space="preserve">2.9-A9</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b) El holismo: el todo es más que la suma de sus partes</w:t>
            </w:r>
          </w:p>
        </w:tc>
      </w:tr>
    </w:tbl>
    <w:p>
      <w:pPr>
        <w:pStyle w:val="Normal"/>
      </w:pPr>
      <w:r>
        <w:t xml:space="preserve">Buscar el panorama general es la disposición holista de la TGS: levantar la vista al conjunto y a lo que emerge de él antes de analizar una pieza aislada.</w:t>
      </w:r>
    </w:p>
    <w:p>
      <w:pPr>
        <w:pStyle w:val="Fuente"/>
        <w:sectPr>
          <w:headerReference w:type="default" r:id="rId150"/>
          <w:headerReference w:type="first" r:id="rId151"/>
          <w:headerReference w:type="even" r:id="rId152"/>
          <w:footerReference w:type="default" r:id="rId153"/>
          <w:footerReference w:type="first" r:id="rId154"/>
          <w:footerReference w:type="even" r:id="rId155"/>
          <w:type w:val="nextPage"/>
          <w:pgSz w:w="12240" w:h="15840" w:orient="portrait"/>
          <w:pgMar w:top="1361" w:right="1134" w:bottom="1361" w:left="1474" w:header="650" w:footer="680" w:gutter="0"/>
          <w:pgNumType/>
          <w:titlePg/>
          <w:docGrid w:linePitch="360"/>
        </w:sectPr>
      </w:pPr>
      <w:r>
        <w:t xml:space="preserve">Hábito 02</w:t>
      </w:r>
    </w:p>
    <w:p>
      <w:pPr>
        <w:pStyle w:val="Heading1"/>
      </w:pPr>
      <w:bookmarkStart w:name="b_unidad_3" w:id="1989"/>
      <w:r>
        <w:t xml:space="preserve">Parte III · Pensamiento sistémico complejo</w:t>
      </w:r>
      <w:bookmarkEnd w:id="1989"/>
    </w:p>
    <w:p>
      <w:pPr>
        <w:pStyle w:val="Normal"/>
      </w:pPr>
      <w:r>
        <w:t xml:space="preserve">Objetivo: comprender, explicar y aplicar los conceptos de la Unidad 3, conectando las presentaciones y los ejemplos de clase.</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El profesor lo dijo así</w:t>
            </w:r>
          </w:p>
          <w:p>
            <w:pPr>
              <w:pStyle w:val="Recuadro"/>
            </w:pPr>
            <w:r>
              <w:t xml:space="preserve">«Es importante que ustedes sepan reconocer los denominados mapas sistémicos, que básicamente son representaciones gráficas de los comportamientos sistémicos.»</w:t>
            </w:r>
          </w:p>
          <w:p>
            <w:pPr>
              <w:pStyle w:val="Recuadro"/>
            </w:pPr>
            <w:r>
              <w:t xml:space="preserve">Clase 10 · 00:12:38</w:t>
            </w:r>
          </w:p>
        </w:tc>
      </w:tr>
    </w:tbl>
    <w:tbl>
      <w:tblPr>
        <w:tblW w:type="dxa" w:w="9632"/>
        <w:tblBorders>
          <w:top w:val="single" w:color="C5D5DB" w:sz="4"/>
          <w:left w:val="single" w:color="C5D5DB" w:sz="4"/>
          <w:bottom w:val="single" w:color="C5D5DB" w:sz="4"/>
          <w:right w:val="single" w:color="C5D5DB" w:sz="4"/>
          <w:insideH w:val="single" w:color="E4E9EB" w:sz="3"/>
          <w:insideV w:val="single" w:color="E4E9EB" w:sz="3"/>
        </w:tblBorders>
        <w:tblLayout w:type="fixed"/>
      </w:tblPr>
      <w:tblGrid>
        <w:gridCol w:w="4816"/>
        <w:gridCol w:w="4816"/>
      </w:tblGrid>
      <w:tr>
        <w:trPr>
          <w:cantSplit/>
          <w:tblHeader/>
        </w:trPr>
        <w:tc>
          <w:tcPr>
            <w:tcW w:type="dxa" w:w="4816"/>
            <w:shd w:fill="DFEAF0" w:val="clear"/>
            <w:tcMar>
              <w:top w:type="dxa" w:w="80"/>
              <w:left w:type="dxa" w:w="100"/>
              <w:bottom w:type="dxa" w:w="80"/>
              <w:right w:type="dxa" w:w="100"/>
            </w:tcMar>
          </w:tcPr>
          <w:p>
            <w:pPr>
              <w:pStyle w:val="Tabla"/>
            </w:pPr>
            <w:r>
              <w:rPr>
                <w:b/>
                <w:bCs/>
              </w:rPr>
              <w:t xml:space="preserve">Capítulo</w:t>
            </w:r>
          </w:p>
        </w:tc>
        <w:tc>
          <w:tcPr>
            <w:tcW w:type="dxa" w:w="4816"/>
            <w:shd w:fill="DFEAF0" w:val="clear"/>
            <w:tcMar>
              <w:top w:type="dxa" w:w="80"/>
              <w:left w:type="dxa" w:w="100"/>
              <w:bottom w:type="dxa" w:w="80"/>
              <w:right w:type="dxa" w:w="100"/>
            </w:tcMar>
          </w:tcPr>
          <w:p>
            <w:pPr>
              <w:pStyle w:val="Tabla"/>
            </w:pPr>
            <w:r>
              <w:rPr>
                <w:b/>
                <w:bCs/>
              </w:rPr>
              <w:t xml:space="preserve">Pregunta de aprendizaje</w:t>
            </w:r>
          </w:p>
        </w:tc>
      </w:tr>
      <w:tr>
        <w:trPr>
          <w:cantSplit/>
          <w:tblHeader w:val="off"/>
        </w:trPr>
        <w:tc>
          <w:tcPr>
            <w:tcW w:type="dxa" w:w="4816"/>
            <w:tcMar>
              <w:top w:type="dxa" w:w="80"/>
              <w:left w:type="dxa" w:w="100"/>
              <w:bottom w:type="dxa" w:w="80"/>
              <w:right w:type="dxa" w:w="100"/>
            </w:tcMar>
          </w:tcPr>
          <w:p>
            <w:pPr>
              <w:pStyle w:val="Tabla"/>
            </w:pPr>
            <w:r>
              <w:t xml:space="preserve">3.1 · Mapas sistémicos</w:t>
            </w:r>
          </w:p>
        </w:tc>
        <w:tc>
          <w:tcPr>
            <w:tcW w:type="dxa" w:w="4816"/>
            <w:tcMar>
              <w:top w:type="dxa" w:w="80"/>
              <w:left w:type="dxa" w:w="100"/>
              <w:bottom w:type="dxa" w:w="80"/>
              <w:right w:type="dxa" w:w="100"/>
            </w:tcMar>
          </w:tcPr>
          <w:p>
            <w:pPr>
              <w:pStyle w:val="Tabla"/>
            </w:pPr>
            <w:r>
              <w:t xml:space="preserve">Distinguir las dos familias de mapa que anunció la clase 10: los mapas DSRP, que expresan las cuatro operaciones, y los diagramas de ciclos causales, que se concentran en la estructura del tercer nivel del iceberg. Y sostener por qué un mapa sintetiza una teoría personal del modelador y no una fotografía del sistema.</w:t>
            </w:r>
          </w:p>
        </w:tc>
      </w:tr>
      <w:tr>
        <w:trPr>
          <w:cantSplit/>
          <w:tblHeader w:val="off"/>
        </w:trPr>
        <w:tc>
          <w:tcPr>
            <w:tcW w:type="dxa" w:w="4816"/>
            <w:tcMar>
              <w:top w:type="dxa" w:w="80"/>
              <w:left w:type="dxa" w:w="100"/>
              <w:bottom w:type="dxa" w:w="80"/>
              <w:right w:type="dxa" w:w="100"/>
            </w:tcMar>
          </w:tcPr>
          <w:p>
            <w:pPr>
              <w:pStyle w:val="Tabla"/>
            </w:pPr>
            <w:r>
              <w:t xml:space="preserve">3.2 · Mapas DSRP generales</w:t>
            </w:r>
          </w:p>
        </w:tc>
        <w:tc>
          <w:tcPr>
            <w:tcW w:type="dxa" w:w="4816"/>
            <w:tcMar>
              <w:top w:type="dxa" w:w="80"/>
              <w:left w:type="dxa" w:w="100"/>
              <w:bottom w:type="dxa" w:w="80"/>
              <w:right w:type="dxa" w:w="100"/>
            </w:tcMar>
          </w:tcPr>
          <w:p>
            <w:pPr>
              <w:pStyle w:val="Tabla"/>
            </w:pPr>
            <w:r>
              <w:t xml:space="preserve">Leer un mapa DSRP señalando qué regla evidencia cada elemento, y construir uno con la sintaxis inmersa en el contenido: el error que el profesor corrigió en la clase 11 y en la 12 es agrupar el mapa en bloques llamados «distinciones», «relaciones» y «perspectivas» en vez de dejar que la estructura hable por sí sola. La perspectiva exige siempre ojo y punto.</w:t>
            </w:r>
          </w:p>
        </w:tc>
      </w:tr>
      <w:tr>
        <w:trPr>
          <w:cantSplit/>
          <w:tblHeader w:val="off"/>
        </w:trPr>
        <w:tc>
          <w:tcPr>
            <w:tcW w:type="dxa" w:w="4816"/>
            <w:tcMar>
              <w:top w:type="dxa" w:w="80"/>
              <w:left w:type="dxa" w:w="100"/>
              <w:bottom w:type="dxa" w:w="80"/>
              <w:right w:type="dxa" w:w="100"/>
            </w:tcMar>
          </w:tcPr>
          <w:p>
            <w:pPr>
              <w:pStyle w:val="Tabla"/>
            </w:pPr>
            <w:r>
              <w:t xml:space="preserve">3.3 · Diagramas de ciclos causales</w:t>
            </w:r>
          </w:p>
        </w:tc>
        <w:tc>
          <w:tcPr>
            <w:tcW w:type="dxa" w:w="4816"/>
            <w:tcMar>
              <w:top w:type="dxa" w:w="80"/>
              <w:left w:type="dxa" w:w="100"/>
              <w:bottom w:type="dxa" w:w="80"/>
              <w:right w:type="dxa" w:w="100"/>
            </w:tcMar>
          </w:tcPr>
          <w:p>
            <w:pPr>
              <w:pStyle w:val="Tabla"/>
            </w:pPr>
            <w:r>
              <w:t xml:space="preserve">Dibujar el diagrama de una historia usando sólo sus variables, con cabeza de flecha en cada relación, el signo de cada polaridad y el identificador del ciclo al centro. Y leerlo al revés: convertir un diagrama en el relato que cuenta, con la cola de la flecha como causa y la punta como efecto.</w:t>
            </w:r>
          </w:p>
        </w:tc>
      </w:tr>
      <w:tr>
        <w:trPr>
          <w:cantSplit/>
          <w:tblHeader w:val="off"/>
        </w:trPr>
        <w:tc>
          <w:tcPr>
            <w:tcW w:type="dxa" w:w="4816"/>
            <w:tcMar>
              <w:top w:type="dxa" w:w="80"/>
              <w:left w:type="dxa" w:w="100"/>
              <w:bottom w:type="dxa" w:w="80"/>
              <w:right w:type="dxa" w:w="100"/>
            </w:tcMar>
          </w:tcPr>
          <w:p>
            <w:pPr>
              <w:pStyle w:val="Tabla"/>
            </w:pPr>
            <w:r>
              <w:t xml:space="preserve">3.4 · Interdependencias sistémicas</w:t>
            </w:r>
          </w:p>
        </w:tc>
        <w:tc>
          <w:tcPr>
            <w:tcW w:type="dxa" w:w="4816"/>
            <w:tcMar>
              <w:top w:type="dxa" w:w="80"/>
              <w:left w:type="dxa" w:w="100"/>
              <w:bottom w:type="dxa" w:w="80"/>
              <w:right w:type="dxa" w:w="100"/>
            </w:tcMar>
          </w:tcPr>
          <w:p>
            <w:pPr>
              <w:pStyle w:val="Tabla"/>
            </w:pPr>
            <w:r>
              <w:t xml:space="preserve">Separar un diagrama de proceso de un diagrama sistémico con la tabla de la clase 13: verbos frente a sustantivos, secuencia frente a influencia, línea frente a círculo. Y reconocer cuándo un lazo dibujado no es un ciclo porque no se cierra.</w:t>
            </w:r>
          </w:p>
        </w:tc>
      </w:tr>
      <w:tr>
        <w:trPr>
          <w:cantSplit/>
          <w:tblHeader w:val="off"/>
        </w:trPr>
        <w:tc>
          <w:tcPr>
            <w:tcW w:type="dxa" w:w="4816"/>
            <w:tcMar>
              <w:top w:type="dxa" w:w="80"/>
              <w:left w:type="dxa" w:w="100"/>
              <w:bottom w:type="dxa" w:w="80"/>
              <w:right w:type="dxa" w:w="100"/>
            </w:tcMar>
          </w:tcPr>
          <w:p>
            <w:pPr>
              <w:pStyle w:val="Tabla"/>
            </w:pPr>
            <w:r>
              <w:t xml:space="preserve">3.5 · Refuerzo y compensación</w:t>
            </w:r>
          </w:p>
        </w:tc>
        <w:tc>
          <w:tcPr>
            <w:tcW w:type="dxa" w:w="4816"/>
            <w:tcMar>
              <w:top w:type="dxa" w:w="80"/>
              <w:left w:type="dxa" w:w="100"/>
              <w:bottom w:type="dxa" w:w="80"/>
              <w:right w:type="dxa" w:w="100"/>
            </w:tcMar>
          </w:tcPr>
          <w:p>
            <w:pPr>
              <w:pStyle w:val="Tabla"/>
            </w:pPr>
            <w:r>
              <w:t xml:space="preserve">Clasificar un ciclo contando sus signos negativos y justificarlo leyendo la historia, que es la comprobación que el profesor exige después de aplicar la regla. Distinguir el ciclo de balance, que busca un objetivo y se queda ahí, del de refuerzo, que crece o cae sin límite, y separar el círculo virtuoso del vicioso: misma estructura, distinta valoración del resultado.</w:t>
            </w:r>
          </w:p>
        </w:tc>
      </w:tr>
      <w:tr>
        <w:trPr>
          <w:cantSplit/>
          <w:tblHeader w:val="off"/>
        </w:trPr>
        <w:tc>
          <w:tcPr>
            <w:tcW w:type="dxa" w:w="4816"/>
            <w:tcMar>
              <w:top w:type="dxa" w:w="80"/>
              <w:left w:type="dxa" w:w="100"/>
              <w:bottom w:type="dxa" w:w="80"/>
              <w:right w:type="dxa" w:w="100"/>
            </w:tcMar>
          </w:tcPr>
          <w:p>
            <w:pPr>
              <w:pStyle w:val="Tabla"/>
            </w:pPr>
            <w:r>
              <w:t xml:space="preserve">3.6 · Modelación dinámica</w:t>
            </w:r>
          </w:p>
        </w:tc>
        <w:tc>
          <w:tcPr>
            <w:tcW w:type="dxa" w:w="4816"/>
            <w:tcMar>
              <w:top w:type="dxa" w:w="80"/>
              <w:left w:type="dxa" w:w="100"/>
              <w:bottom w:type="dxa" w:w="80"/>
              <w:right w:type="dxa" w:w="100"/>
            </w:tcMar>
          </w:tcPr>
          <w:p>
            <w:pPr>
              <w:pStyle w:val="Tabla"/>
            </w:pPr>
            <w:r>
              <w:t xml:space="preserve">Explicar por qué buscar culpables es una estrategia de pensamiento lineal y qué la sustituye: preguntar cómo se afectan las partes entre sí y cómo su organización crea el comportamiento. Contar ciclos en un modelo de varios lazos anidados y nombrarlos uno por uno por las variables que los forman.</w:t>
            </w:r>
          </w:p>
        </w:tc>
      </w:tr>
      <w:tr>
        <w:trPr>
          <w:cantSplit/>
          <w:tblHeader w:val="off"/>
        </w:trPr>
        <w:tc>
          <w:tcPr>
            <w:tcW w:type="dxa" w:w="4816"/>
            <w:tcMar>
              <w:top w:type="dxa" w:w="80"/>
              <w:left w:type="dxa" w:w="100"/>
              <w:bottom w:type="dxa" w:w="80"/>
              <w:right w:type="dxa" w:w="100"/>
            </w:tcMar>
          </w:tcPr>
          <w:p>
            <w:pPr>
              <w:pStyle w:val="Tabla"/>
            </w:pPr>
            <w:r>
              <w:t xml:space="preserve">3.7 · Demoras de tiempo</w:t>
            </w:r>
          </w:p>
        </w:tc>
        <w:tc>
          <w:tcPr>
            <w:tcW w:type="dxa" w:w="4816"/>
            <w:tcMar>
              <w:top w:type="dxa" w:w="80"/>
              <w:left w:type="dxa" w:w="100"/>
              <w:bottom w:type="dxa" w:w="80"/>
              <w:right w:type="dxa" w:w="100"/>
            </w:tcMar>
          </w:tcPr>
          <w:p>
            <w:pPr>
              <w:pStyle w:val="Tabla"/>
            </w:pPr>
            <w:r>
              <w:t xml:space="preserve">Marcar la demora donde corresponde y explicar qué provoca: que el modelador no vea la relación causal durante un periodo y desista antes de tiempo. Los casos del curso son el refresco y la caries, el ejercicio y la condición física, y la fusión de dos aerolíneas con su caída del rendimiento.</w:t>
            </w:r>
          </w:p>
        </w:tc>
      </w:tr>
      <w:tr>
        <w:trPr>
          <w:cantSplit/>
          <w:tblHeader w:val="off"/>
        </w:trPr>
        <w:tc>
          <w:tcPr>
            <w:tcW w:type="dxa" w:w="4816"/>
            <w:tcMar>
              <w:top w:type="dxa" w:w="80"/>
              <w:left w:type="dxa" w:w="100"/>
              <w:bottom w:type="dxa" w:w="80"/>
              <w:right w:type="dxa" w:w="100"/>
            </w:tcMar>
          </w:tcPr>
          <w:p>
            <w:pPr>
              <w:pStyle w:val="Tabla"/>
            </w:pPr>
            <w:r>
              <w:t xml:space="preserve">3.8 · Patrones y tendencias</w:t>
            </w:r>
          </w:p>
        </w:tc>
        <w:tc>
          <w:tcPr>
            <w:tcW w:type="dxa" w:w="4816"/>
            <w:tcMar>
              <w:top w:type="dxa" w:w="80"/>
              <w:left w:type="dxa" w:w="100"/>
              <w:bottom w:type="dxa" w:w="80"/>
              <w:right w:type="dxa" w:w="100"/>
            </w:tcMar>
          </w:tcPr>
          <w:p>
            <w:pPr>
              <w:pStyle w:val="Tabla"/>
            </w:pPr>
            <w:r>
              <w:t xml:space="preserve">Emparejar una estructura con la curva que produce y reconocer los patrones genéricos de la lámina: crecimiento lineal, declive lineal, exponencial, en S, oscilación, estado estable, búsqueda de objetivo y crecimiento decreciente. Un parámetro es la línea horizontal: la variable que no cambia.</w:t>
            </w:r>
          </w:p>
        </w:tc>
      </w:tr>
      <w:tr>
        <w:trPr>
          <w:cantSplit/>
          <w:tblHeader w:val="off"/>
        </w:trPr>
        <w:tc>
          <w:tcPr>
            <w:tcW w:type="dxa" w:w="4816"/>
            <w:tcMar>
              <w:top w:type="dxa" w:w="80"/>
              <w:left w:type="dxa" w:w="100"/>
              <w:bottom w:type="dxa" w:w="80"/>
              <w:right w:type="dxa" w:w="100"/>
            </w:tcMar>
          </w:tcPr>
          <w:p>
            <w:pPr>
              <w:pStyle w:val="Tabla"/>
            </w:pPr>
            <w:r>
              <w:t xml:space="preserve">3.9 · Hábitos (complejo)</w:t>
            </w:r>
          </w:p>
        </w:tc>
        <w:tc>
          <w:tcPr>
            <w:tcW w:type="dxa" w:w="4816"/>
            <w:tcMar>
              <w:top w:type="dxa" w:w="80"/>
              <w:left w:type="dxa" w:w="100"/>
              <w:bottom w:type="dxa" w:w="80"/>
              <w:right w:type="dxa" w:w="100"/>
            </w:tcMar>
          </w:tcPr>
          <w:p>
            <w:pPr>
              <w:pStyle w:val="Tabla"/>
            </w:pPr>
            <w:r>
              <w:t xml:space="preserve">Reconocer a qué hábito pertenece cada pregunta guía de las tarjetas que el curso proyectó, y aplicarlo a un caso: qué se hace distinto cuando se busca la estructura en vez de un culpable, o cuando se consideran las demoras antes de descartar una idea.</w:t>
            </w:r>
          </w:p>
        </w:tc>
      </w:tr>
    </w:tbl>
    <w:p>
      <w:pPr>
        <w:pStyle w:val="Fuente"/>
      </w:pPr>
      <w:r>
        <w:t xml:space="preserve">Fuentes: C-2 · clases 10–16.</w:t>
      </w:r>
    </w:p>
    <w:p>
      <w:pPr>
        <w:pStyle w:val="Normal"/>
      </w:pPr>
      <w:r>
        <w:t xml:space="preserve">Las portadas, el calendario y los avisos de las sesiones de esta unidad (12 registros verificados) no son materia de examen. Se conservan con su motivo en el apéndice G, para que la cobertura del libro sea completa sin interrumpir el estudio.</w:t>
      </w:r>
    </w:p>
    <w:p>
      <w:pPr>
        <w:pStyle w:val="Fuente"/>
        <w:sectPr>
          <w:headerReference w:type="default" r:id="rId156"/>
          <w:headerReference w:type="first" r:id="rId157"/>
          <w:headerReference w:type="even" r:id="rId158"/>
          <w:footerReference w:type="default" r:id="rId159"/>
          <w:footerReference w:type="first" r:id="rId160"/>
          <w:footerReference w:type="even" r:id="rId161"/>
          <w:type w:val="nextPage"/>
          <w:pgSz w:w="12240" w:h="15840" w:orient="portrait"/>
          <w:pgMar w:top="1361" w:right="1134" w:bottom="1361" w:left="1474" w:header="650" w:footer="680" w:gutter="0"/>
          <w:pgNumType/>
          <w:titlePg/>
          <w:docGrid w:linePitch="360"/>
        </w:sectPr>
      </w:pPr>
      <w:r>
        <w:t xml:space="preserve">Véase </w:t>
      </w:r>
      <w:hyperlink w:history="1" w:anchor="b_avisos_unidad_3">
        <w:r>
          <w:rPr>
            <w:color w:val="156B70"/>
            <w:u w:val="single"/>
          </w:rPr>
          <w:t xml:space="preserve">apéndice G · Unidad 3</w:t>
        </w:r>
      </w:hyperlink>
      <w:r>
        <w:t xml:space="preserve">, pág. </w:t>
      </w:r>
      <w:r>
        <w:fldChar w:fldCharType="begin"/>
        <w:instrText xml:space="preserve">PAGEREF b_avisos_unidad_3 \h</w:instrText>
        <w:fldChar w:fldCharType="separate"/>
        <w:t xml:space="preserve">1750</w:t>
        <w:fldChar w:fldCharType="end"/>
      </w:r>
      <w:r>
        <w:t xml:space="preserve">.</w:t>
      </w:r>
    </w:p>
    <w:p>
      <w:pPr>
        <w:pStyle w:val="Heading2"/>
      </w:pPr>
      <w:bookmarkStart w:name="b_3_1" w:id="1990"/>
      <w:r>
        <w:t xml:space="preserve">3.1 · Mapas sistémicos</w:t>
      </w:r>
      <w:bookmarkEnd w:id="1990"/>
    </w:p>
    <w:p>
      <w:pPr>
        <w:pStyle w:val="Subtitulo"/>
      </w:pPr>
      <w:r>
        <w:t xml:space="preserve">La modelación de sistemas con mapas sistémicos como modelos de sistemas</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En una línea</w:t>
            </w:r>
          </w:p>
          <w:p>
            <w:pPr>
              <w:pStyle w:val="Recuadro"/>
            </w:pPr>
            <w:r>
              <w:t xml:space="preserve">Un mapa sistémico es un modelo: una sintaxis gráfica que se aprende a hacer, a leer y a discutir, no un dibujo decorativo.</w:t>
            </w:r>
          </w:p>
        </w:tc>
      </w:tr>
    </w:tbl>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Qué te preguntan</w:t>
            </w:r>
          </w:p>
          <w:p>
            <w:pPr>
              <w:pStyle w:val="Recuadro"/>
            </w:pPr>
            <w:r>
              <w:t xml:space="preserve">Distinguir las dos familias de mapa que anunció la clase 10: los mapas DSRP, que expresan las cuatro operaciones, y los diagramas de ciclos causales, que se concentran en la estructura del tercer nivel del iceberg. Y sostener por qué un mapa sintetiza una teoría personal del modelador y no una fotografía del sistema.</w:t>
            </w:r>
          </w:p>
        </w:tc>
      </w:tr>
    </w:tbl>
    <w:p>
      <w:pPr>
        <w:pStyle w:val="Normal"/>
      </w:pPr>
      <w:r>
        <w:t xml:space="preserve">Un mapa sistémico es una representación gráfica de los comportamientos sistémicos: un modelo con sintaxis gráfica que se aprende a hacer, interpretar y usar. Hacer un mapa es modelar el sistema que interesa comprender estructurando bits de información, y el mapa sintetiza la teoría (supuestos y creencias) de su autor. Se comprueba contra el sistema real, que debe existir como referencia: si una acción de prueba no da el resultado esperado, el modelo no es representativo.</w:t>
      </w:r>
    </w:p>
    <w:p>
      <w:pPr>
        <w:pStyle w:val="Heading3"/>
      </w:pPr>
      <w:r>
        <w:t xml:space="preserve">Vocabulario clave</w:t>
      </w:r>
    </w:p>
    <w:p>
      <w:pPr>
        <w:pStyle w:val="Normal"/>
      </w:pPr>
      <w:r>
        <w:t xml:space="preserve">mapa sistémico (modelo sistémico gráfico, modelo formal del sistema, notación gráfica) · modelación sistémica (modelaje sistémico, modelaje haciendo mapas) · modelo mental sistémico (estructura más bits de información) · bits de información · teoría del mapa (supuestos y creencias sobre el sistema) · sistema original o real de referencia · modelo representativo · modelo concreto frente a modelo general (con variables) · perspectiva delimitada del modelo</w:t>
      </w:r>
    </w:p>
    <w:p>
      <w:pPr>
        <w:pStyle w:val="Fuente"/>
      </w:pPr>
      <w:r>
        <w:t xml:space="preserve">Recorrido: desarrollo conceptual → presentaciones → explicación en clase → errores y fuentes → práctica → solucionario.</w:t>
      </w:r>
    </w:p>
    <w:p>
      <w:pPr>
        <w:pStyle w:val="Heading3"/>
      </w:pPr>
      <w:r>
        <w:t xml:space="preserve">Definiciones como las dio la clase</w:t>
      </w:r>
    </w:p>
    <w:p>
      <w:pPr>
        <w:pStyle w:val="Normal"/>
      </w:pPr>
      <w:r>
        <w:t xml:space="preserve">Mapa sistémico: representación gráfica de los comportamientos sistémicos; tipo de modelo con sintaxis gráfica que se aprende a hacer, interpretar y usar. Otros nombres: modelaje sistémico haciendo mapas, modelo sistémico gráfico o modelo formal del sistema; el mapa es una notación gráfica.</w:t>
      </w:r>
    </w:p>
    <w:p>
      <w:pPr>
        <w:pStyle w:val="Normal"/>
      </w:pPr>
      <w:r>
        <w:t xml:space="preserve">Hacer un mapa DSRP o cualquier mapa sistémico es hacer un modelo del sistema que interesa comprender; tiene que existir el sistema original como referencia. El modelo es simple o complejo según qué tan representativo se quiera y el tiempo invertido.</w:t>
      </w:r>
    </w:p>
    <w:p>
      <w:pPr>
        <w:pStyle w:val="Normal"/>
      </w:pPr>
      <w:r>
        <w:t xml:space="preserve">Modelo mental sistémico: estructura más bits de información ordenados según las cuatro operaciones; el mapa balancea contenido informacional (conceptos) y estructura (sistemas, relaciones, perspectivas). «El modelo es el mapa, visualmente hablando», aunque nace en la abstracción del pensamiento; se concreta en diagrama o en texto.</w:t>
      </w:r>
    </w:p>
    <w:p>
      <w:pPr>
        <w:pStyle w:val="Normal"/>
      </w:pPr>
      <w:r>
        <w:t xml:space="preserve">Bits de información (Cabrera): pequeños elementos conceptuales que, como los peces de un banco, se unen y hacen emerger el pensamiento sistémico; los modelos mentales son sistemas adaptativos complejos.</w:t>
      </w:r>
    </w:p>
    <w:p>
      <w:pPr>
        <w:pStyle w:val="Normal"/>
      </w:pPr>
      <w:r>
        <w:t xml:space="preserve">Pensamiento sistémico: generar la estructura que, con información específica, representa el sistema real; esa acción es la modelación o modelaje sistémico. El problema que quiere resolver (Cabrera): que no haya brecha entre el sistema real y lo que se piensa de él.</w:t>
      </w:r>
    </w:p>
    <w:p>
      <w:pPr>
        <w:pStyle w:val="Fuente"/>
      </w:pPr>
      <w:r>
        <w:t xml:space="preserve">Clase 10 · 00:12:44–00:13:34 · lámina c10-02 · Clase 10 · 00:19:14–00:19:49 · Clase 10 · 00:22:24–00:24:24 · Clase 10 · 00:43:38–00:45:17 · Clase 10 · 01:31:39–01:32:11 · lámina c10-22 · Clase 11 · 00:23:34–00:24:29 · Clase 11 · 00:26:43–00:27:34 · Clase 11 · 00:28:04–00:28:28 · Clase 11 · 00:29:11–00:29:35 · Clase 11 · 00:49:16–00:50:01 · lámina c11-18</w:t>
      </w:r>
    </w:p>
    <w:p>
      <w:pPr>
        <w:pStyle w:val="Heading3"/>
      </w:pPr>
      <w:r>
        <w:t xml:space="preserve">La teoría que sintetiza cada mapa</w:t>
      </w:r>
    </w:p>
    <w:p>
      <w:pPr>
        <w:pStyle w:val="Normal"/>
      </w:pPr>
      <w:r>
        <w:t xml:space="preserve">Todo mapa, todo modelo mental tiene una teoría asociada: el diagrama sólo la sintetiza, sin las oraciones completas de sus supuestos y creencias; contar la historia desarrolla más comprensión.</w:t>
      </w:r>
    </w:p>
    <w:p>
      <w:pPr>
        <w:pStyle w:val="Normal"/>
      </w:pPr>
      <w:r>
        <w:t xml:space="preserve">Teoría: conjunto de supuestos y creencias asumidos sobre el sistema, que puede escribirse como marco teórico o libro; describir en lenguaje natural el mapa del sistema educativo es describir su teoría.</w:t>
      </w:r>
    </w:p>
    <w:p>
      <w:pPr>
        <w:pStyle w:val="Normal"/>
      </w:pPr>
      <w:r>
        <w:t xml:space="preserve">Cada mapa sintetiza una teoría personal de su creador («es lo que todos hacemos, modelar la realidad»); del modelo nace una teoría con leyes, reglas o teoremas del desarrollo causal del sistema.</w:t>
      </w:r>
    </w:p>
    <w:p>
      <w:pPr>
        <w:pStyle w:val="Fuente"/>
      </w:pPr>
      <w:r>
        <w:t xml:space="preserve">Clase 10 · 01:36:36–01:37:50 · Clase 11 · 00:34:14–00:36:34 · Clase 12 · 00:17:31–00:17:56 · Clase 12 · 01:29:03–01:29:34 · Clase 13 · 01:36:41–01:37:03</w:t>
      </w:r>
    </w:p>
    <w:p>
      <w:pPr>
        <w:pStyle w:val="Heading3"/>
      </w:pPr>
      <w:r>
        <w:t xml:space="preserve">Tipos, niveles y alcance del modelo</w:t>
      </w:r>
    </w:p>
    <w:p>
      <w:pPr>
        <w:pStyle w:val="Normal"/>
      </w:pPr>
      <w:r>
        <w:t xml:space="preserve">En el iceberg, los mapas relacionales de causa y efecto se enfocan en la estructura subyacente (nivel 3); los diagramas de patrones, en las variaciones de las variables a lo largo del tiempo (nivel 2).</w:t>
      </w:r>
    </w:p>
    <w:p>
      <w:pPr>
        <w:pStyle w:val="Normal"/>
      </w:pPr>
      <w:r>
        <w:t xml:space="preserve">El mapa DSRP tiene más simbología para subsistemas y perspectivas; el diagrama de ciclos causales enfatiza sólo las relaciones (distinciones y flechas con polaridad) y las estructuras dinámicas en el tiempo, y en él la contención existe pero no se expresa explícitamente.</w:t>
      </w:r>
    </w:p>
    <w:p>
      <w:pPr>
        <w:pStyle w:val="Normal"/>
      </w:pPr>
      <w:r>
        <w:t xml:space="preserve">Dos niveles: concreto (nombres específicos) o general (variables): en vez de los nombres de 40 estudiantes, «estudiantes del curso», parte del curso y éste del pensum. El general muestra la estructura para estudiar relaciones y comportamientos dinámicos; ambos valen si se respeta la notación.</w:t>
      </w:r>
    </w:p>
    <w:p>
      <w:pPr>
        <w:pStyle w:val="Normal"/>
      </w:pPr>
      <w:r>
        <w:t xml:space="preserve">Un diagrama causal modela una situación particular en un tiempo determinado y se restringe a una perspectiva delimitada; ampliar la frontera da un mapa más realista pero más complejo.</w:t>
      </w:r>
    </w:p>
    <w:p>
      <w:pPr>
        <w:pStyle w:val="Fuente"/>
      </w:pPr>
      <w:r>
        <w:t xml:space="preserve">Clase 10 · 00:13:42–00:15:04 · Clase 12 · 00:37:45–00:41:16 · Clase 14 · 00:53:30–00:55:14 · Clase 14 · 01:08:07–01:09:02 · Clase 16 · 01:14:36–01:15:20</w:t>
      </w:r>
    </w:p>
    <w:p>
      <w:pPr>
        <w:pStyle w:val="Heading3"/>
      </w:pPr>
      <w:r>
        <w:t xml:space="preserve">Para qué sirve y lo que advirtió</w:t>
      </w:r>
    </w:p>
    <w:p>
      <w:pPr>
        <w:pStyle w:val="Normal"/>
      </w:pPr>
      <w:r>
        <w:t xml:space="preserve">Con mucha interdependencia es difícil manejarlo todo en la mente; ver el mapa completo permite reflexionar sobre la estructura y revela relaciones mal modeladas o conceptos faltantes.</w:t>
      </w:r>
    </w:p>
    <w:p>
      <w:pPr>
        <w:pStyle w:val="Normal"/>
      </w:pPr>
      <w:r>
        <w:t xml:space="preserve">Se mapea con graficador o a mano alzada: el medio es indiferente, pero quien lee debe conocer la notación.</w:t>
      </w:r>
    </w:p>
    <w:p>
      <w:pPr>
        <w:pStyle w:val="Normal"/>
      </w:pPr>
      <w:r>
        <w:t xml:space="preserve">Bosque: hongos y azúcares bajo tierra forman una estructura que se asemeja a internet («es un modelo, aunque no se hizo un mapa»); no todas las relaciones son fáciles de distinguir y algunas exigen microscopio o telescopio.</w:t>
      </w:r>
    </w:p>
    <w:p>
      <w:pPr>
        <w:pStyle w:val="Normal"/>
      </w:pPr>
      <w:r>
        <w:t xml:space="preserve">Se estudia cómo se representan los sistemas; los ejemplos son sólo contenido informacional.</w:t>
      </w:r>
    </w:p>
    <w:p>
      <w:pPr>
        <w:pStyle w:val="Fuente"/>
      </w:pPr>
      <w:r>
        <w:t xml:space="preserve">Clase 10 · 01:02:26–01:03:07 · Clase 10 · 01:11:00–01:12:15 · Clase 11 · 00:21:54–00:23:38 · lámina c11-06 · Clase 11 · 00:44:45–00:45:16 · Clase 11 · 01:39:16–01:39:57 · Clase 12 · 01:14:53–01:16:35 · Clase 12 · 01:19:12–01:20:51</w:t>
      </w:r>
    </w:p>
    <w:p>
      <w:pPr>
        <w:pStyle w:val="Heading3"/>
      </w:pPr>
      <w:r>
        <w:t xml:space="preserve">Lo que proyectaron las láminas</w:t>
      </w:r>
    </w:p>
    <w:p>
      <w:pPr>
        <w:pStyle w:val="Normal"/>
      </w:pPr>
      <w:r>
        <w:t xml:space="preserve">Modelos mentales sistémicos: información más estructura es igual a modelo mental; la balanza equilibra el contenido informativo y la estructura cognitiva, y «los mapas DSRP están balanceados».</w:t>
      </w:r>
    </w:p>
    <w:p>
      <w:pPr>
        <w:pStyle w:val="Normal"/>
      </w:pPr>
      <w:r>
        <w:t xml:space="preserve">El pensamiento sistémico en síntesis: un ciclo entre el sistema del mundo real y el modelo mental, con las flechas de probar y retroalimentar y la palabra «iterar» al centro; el modelo se compone de información y pensamiento.</w:t>
      </w:r>
    </w:p>
    <w:p>
      <w:pPr>
        <w:pStyle w:val="Normal"/>
      </w:pPr>
      <w:r>
        <w:t xml:space="preserve">Modelar el mundo real con procesos mentales sistémicos: el anillo entre mundo real y modelos mentales, con aproximación e información en cada sentido y las cuatro operaciones a ambos lados, para aumentar la probabilidad de coincidencia.</w:t>
      </w:r>
    </w:p>
    <w:p>
      <w:pPr>
        <w:pStyle w:val="Normal"/>
      </w:pPr>
      <w:r>
        <w:t xml:space="preserve">El medio no es el mapeo: la propia cabeza, papel y lápiz, pizarra, notas adhesivas, software o bloques táctiles sirven igual; el pensamiento sistémico aplicado es el mapeo, no la herramienta.</w:t>
      </w:r>
    </w:p>
    <w:p>
      <w:pPr>
        <w:pStyle w:val="Fuente"/>
      </w:pPr>
      <w:r>
        <w:t xml:space="preserve">lámina c10-22 · lámina c11-07 · lámina c11-18 · lámina c11-06</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Procedimiento</w:t>
            </w:r>
          </w:p>
          <w:p>
            <w:pPr>
              <w:pStyle w:val="Recuadro"/>
            </w:pPr>
            <w:r>
              <w:t xml:space="preserve">Cómo se construye y se valida un modelo sistémico</w:t>
            </w:r>
          </w:p>
          <w:p>
            <w:pPr>
              <w:pStyle w:val="Recuadro"/>
            </w:pPr>
            <w:r>
              <w:t xml:space="preserve">1. </w:t>
            </w:r>
            <w:r>
              <w:rPr>
                <w:b/>
                <w:bCs/>
              </w:rPr>
              <w:t xml:space="preserve">Ordenar los bits de un sistema real.</w:t>
            </w:r>
            <w:r>
              <w:t xml:space="preserve"> Se unen los bits de información dándoles estructura por sistemas, relaciones o perspectivas; primero se piensa y luego se diagrama, y ese ordenamiento de supuestos y creencias es el modelo mental. Siempre se parte de un objeto o situación real (en clase, frutas: plátano, naranja, manzana). (Clase 10 · 01:29:47–01:31:43 · lámina c10-21)</w:t>
            </w:r>
          </w:p>
          <w:p>
            <w:pPr>
              <w:pStyle w:val="Recuadro"/>
            </w:pPr>
            <w:r>
              <w:t xml:space="preserve">2. </w:t>
            </w:r>
            <w:r>
              <w:rPr>
                <w:b/>
                <w:bCs/>
              </w:rPr>
              <w:t xml:space="preserve">Concretar y usar el modelo.</w:t>
            </w:r>
            <w:r>
              <w:t xml:space="preserve"> El modelo mental se concreta como representación gráfica y se usa para comprender el sistema y decidir acciones dentro de él. (Clase 11 · 00:24:17–00:24:41)</w:t>
            </w:r>
          </w:p>
          <w:p>
            <w:pPr>
              <w:pStyle w:val="Recuadro"/>
            </w:pPr>
            <w:r>
              <w:t xml:space="preserve">3. </w:t>
            </w:r>
            <w:r>
              <w:rPr>
                <w:b/>
                <w:bCs/>
              </w:rPr>
              <w:t xml:space="preserve">Probar en el sistema real.</w:t>
            </w:r>
            <w:r>
              <w:t xml:space="preserve"> Las acciones de prueba, «como si fuera un experimento», devuelven resultados: retroalimentación. (Clase 11 · 00:24:33–00:25:06 · Clase 11 · 00:27:27–00:27:56)</w:t>
            </w:r>
          </w:p>
          <w:p>
            <w:pPr>
              <w:pStyle w:val="Recuadro"/>
            </w:pPr>
            <w:r>
              <w:t xml:space="preserve">4. </w:t>
            </w:r>
            <w:r>
              <w:rPr>
                <w:b/>
                <w:bCs/>
              </w:rPr>
              <w:t xml:space="preserve">Corregir e iterar.</w:t>
            </w:r>
            <w:r>
              <w:t xml:space="preserve"> Si se obtiene el resultado supuesto, el modelo es representativo; si no, falta algo, quizá una relación causal que en la realidad sí sucede. Iterar a prueba y error amplía la comprensión. (Clase 11 · 00:25:08–00:26:52)</w:t>
            </w:r>
          </w:p>
          <w:p>
            <w:pPr>
              <w:pStyle w:val="Recuadro"/>
            </w:pPr>
            <w:r>
              <w:t xml:space="preserve">El modelo tiene que ser representativo del sistema real, y es la prueba en ese sistema la que lo confirma o obliga a corregirlo.</w:t>
            </w:r>
          </w:p>
        </w:tc>
      </w:tr>
    </w:tbl>
    <w:p>
      <w:pPr>
        <w:pStyle w:val="Heading3"/>
      </w:pPr>
      <w:bookmarkStart w:name="b_tabla_3_1_g2_notacion_dsrp" w:id="1991"/>
      <w:r>
        <w:t xml:space="preserve">Notación de los mapas DSRP</w:t>
      </w:r>
      <w:bookmarkEnd w:id="1991"/>
    </w:p>
    <w:tbl>
      <w:tblPr>
        <w:tblW w:type="dxa" w:w="9632"/>
        <w:tblBorders>
          <w:top w:val="single" w:color="C5D5DB" w:sz="4"/>
          <w:left w:val="single" w:color="C5D5DB" w:sz="4"/>
          <w:bottom w:val="single" w:color="C5D5DB" w:sz="4"/>
          <w:right w:val="single" w:color="C5D5DB" w:sz="4"/>
          <w:insideH w:val="single" w:color="E4E9EB" w:sz="3"/>
          <w:insideV w:val="single" w:color="E4E9EB" w:sz="3"/>
        </w:tblBorders>
        <w:tblLayout w:type="fixed"/>
      </w:tblPr>
      <w:tblGrid>
        <w:gridCol w:w="2408"/>
        <w:gridCol w:w="2408"/>
        <w:gridCol w:w="2408"/>
        <w:gridCol w:w="2408"/>
      </w:tblGrid>
      <w:tr>
        <w:trPr>
          <w:cantSplit/>
          <w:tblHeader/>
        </w:trPr>
        <w:tc>
          <w:tcPr>
            <w:tcW w:type="dxa" w:w="2408"/>
            <w:shd w:fill="DFEAF0" w:val="clear"/>
            <w:tcMar>
              <w:top w:type="dxa" w:w="80"/>
              <w:left w:type="dxa" w:w="100"/>
              <w:bottom w:type="dxa" w:w="80"/>
              <w:right w:type="dxa" w:w="100"/>
            </w:tcMar>
          </w:tcPr>
          <w:p>
            <w:pPr>
              <w:pStyle w:val="Tabla"/>
            </w:pPr>
            <w:r>
              <w:rPr>
                <w:b/>
                <w:bCs/>
              </w:rPr>
              <w:t xml:space="preserve">Regla</w:t>
            </w:r>
          </w:p>
        </w:tc>
        <w:tc>
          <w:tcPr>
            <w:tcW w:type="dxa" w:w="2408"/>
            <w:shd w:fill="DFEAF0" w:val="clear"/>
            <w:tcMar>
              <w:top w:type="dxa" w:w="80"/>
              <w:left w:type="dxa" w:w="100"/>
              <w:bottom w:type="dxa" w:w="80"/>
              <w:right w:type="dxa" w:w="100"/>
            </w:tcMar>
          </w:tcPr>
          <w:p>
            <w:pPr>
              <w:pStyle w:val="Tabla"/>
            </w:pPr>
            <w:r>
              <w:rPr>
                <w:b/>
                <w:bCs/>
              </w:rPr>
              <w:t xml:space="preserve">Nombre</w:t>
            </w:r>
          </w:p>
        </w:tc>
        <w:tc>
          <w:tcPr>
            <w:tcW w:type="dxa" w:w="2408"/>
            <w:shd w:fill="DFEAF0" w:val="clear"/>
            <w:tcMar>
              <w:top w:type="dxa" w:w="80"/>
              <w:left w:type="dxa" w:w="100"/>
              <w:bottom w:type="dxa" w:w="80"/>
              <w:right w:type="dxa" w:w="100"/>
            </w:tcMar>
          </w:tcPr>
          <w:p>
            <w:pPr>
              <w:pStyle w:val="Tabla"/>
            </w:pPr>
            <w:r>
              <w:rPr>
                <w:b/>
                <w:bCs/>
              </w:rPr>
              <w:t xml:space="preserve">Par coimplicado</w:t>
            </w:r>
          </w:p>
        </w:tc>
        <w:tc>
          <w:tcPr>
            <w:tcW w:type="dxa" w:w="2408"/>
            <w:shd w:fill="DFEAF0" w:val="clear"/>
            <w:tcMar>
              <w:top w:type="dxa" w:w="80"/>
              <w:left w:type="dxa" w:w="100"/>
              <w:bottom w:type="dxa" w:w="80"/>
              <w:right w:type="dxa" w:w="100"/>
            </w:tcMar>
          </w:tcPr>
          <w:p>
            <w:pPr>
              <w:pStyle w:val="Tabla"/>
            </w:pPr>
            <w:r>
              <w:rPr>
                <w:b/>
                <w:bCs/>
              </w:rPr>
              <w:t xml:space="preserve">Cómo se dibuja</w:t>
            </w:r>
          </w:p>
        </w:tc>
      </w:tr>
      <w:tr>
        <w:trPr>
          <w:cantSplit/>
          <w:tblHeader w:val="off"/>
        </w:trPr>
        <w:tc>
          <w:tcPr>
            <w:tcW w:type="dxa" w:w="2408"/>
            <w:tcMar>
              <w:top w:type="dxa" w:w="80"/>
              <w:left w:type="dxa" w:w="100"/>
              <w:bottom w:type="dxa" w:w="80"/>
              <w:right w:type="dxa" w:w="100"/>
            </w:tcMar>
          </w:tcPr>
          <w:p>
            <w:pPr>
              <w:pStyle w:val="Tabla"/>
            </w:pPr>
            <w:r>
              <w:t xml:space="preserve">D</w:t>
            </w:r>
          </w:p>
        </w:tc>
        <w:tc>
          <w:tcPr>
            <w:tcW w:type="dxa" w:w="2408"/>
            <w:tcMar>
              <w:top w:type="dxa" w:w="80"/>
              <w:left w:type="dxa" w:w="100"/>
              <w:bottom w:type="dxa" w:w="80"/>
              <w:right w:type="dxa" w:w="100"/>
            </w:tcMar>
          </w:tcPr>
          <w:p>
            <w:pPr>
              <w:pStyle w:val="Tabla"/>
            </w:pPr>
            <w:r>
              <w:t xml:space="preserve">Distinciones</w:t>
            </w:r>
          </w:p>
        </w:tc>
        <w:tc>
          <w:tcPr>
            <w:tcW w:type="dxa" w:w="2408"/>
            <w:tcMar>
              <w:top w:type="dxa" w:w="80"/>
              <w:left w:type="dxa" w:w="100"/>
              <w:bottom w:type="dxa" w:w="80"/>
              <w:right w:type="dxa" w:w="100"/>
            </w:tcMar>
          </w:tcPr>
          <w:p>
            <w:pPr>
              <w:pStyle w:val="Tabla"/>
            </w:pPr>
            <w:r>
              <w:t xml:space="preserve">identidad </w:t>
            </w:r>
            <w:r>
              <w:rPr>
                <w:rFonts w:ascii="DejaVu Serif" w:cs="DejaVu Serif" w:eastAsia="DejaVu Serif" w:hAnsi="DejaVu Serif"/>
              </w:rPr>
              <w:t xml:space="preserve">⇔</w:t>
            </w:r>
            <w:r>
              <w:t xml:space="preserve"> otro</w:t>
            </w:r>
          </w:p>
        </w:tc>
        <w:tc>
          <w:tcPr>
            <w:tcW w:type="dxa" w:w="2408"/>
            <w:tcMar>
              <w:top w:type="dxa" w:w="80"/>
              <w:left w:type="dxa" w:w="100"/>
              <w:bottom w:type="dxa" w:w="80"/>
              <w:right w:type="dxa" w:w="100"/>
            </w:tcMar>
          </w:tcPr>
          <w:p>
            <w:pPr>
              <w:pStyle w:val="Tabla"/>
            </w:pPr>
            <w:r>
              <w:t xml:space="preserve">Un cuadro por idea: lo que queda dentro es la idea y lo de fuera, lo otro.</w:t>
            </w:r>
          </w:p>
        </w:tc>
      </w:tr>
      <w:tr>
        <w:trPr>
          <w:cantSplit/>
          <w:tblHeader w:val="off"/>
        </w:trPr>
        <w:tc>
          <w:tcPr>
            <w:tcW w:type="dxa" w:w="2408"/>
            <w:tcMar>
              <w:top w:type="dxa" w:w="80"/>
              <w:left w:type="dxa" w:w="100"/>
              <w:bottom w:type="dxa" w:w="80"/>
              <w:right w:type="dxa" w:w="100"/>
            </w:tcMar>
          </w:tcPr>
          <w:p>
            <w:pPr>
              <w:pStyle w:val="Tabla"/>
            </w:pPr>
            <w:r>
              <w:t xml:space="preserve">S</w:t>
            </w:r>
          </w:p>
        </w:tc>
        <w:tc>
          <w:tcPr>
            <w:tcW w:type="dxa" w:w="2408"/>
            <w:tcMar>
              <w:top w:type="dxa" w:w="80"/>
              <w:left w:type="dxa" w:w="100"/>
              <w:bottom w:type="dxa" w:w="80"/>
              <w:right w:type="dxa" w:w="100"/>
            </w:tcMar>
          </w:tcPr>
          <w:p>
            <w:pPr>
              <w:pStyle w:val="Tabla"/>
            </w:pPr>
            <w:r>
              <w:t xml:space="preserve">Sistemas</w:t>
            </w:r>
          </w:p>
        </w:tc>
        <w:tc>
          <w:tcPr>
            <w:tcW w:type="dxa" w:w="2408"/>
            <w:tcMar>
              <w:top w:type="dxa" w:w="80"/>
              <w:left w:type="dxa" w:w="100"/>
              <w:bottom w:type="dxa" w:w="80"/>
              <w:right w:type="dxa" w:w="100"/>
            </w:tcMar>
          </w:tcPr>
          <w:p>
            <w:pPr>
              <w:pStyle w:val="Tabla"/>
            </w:pPr>
            <w:r>
              <w:t xml:space="preserve">parte </w:t>
            </w:r>
            <w:r>
              <w:rPr>
                <w:rFonts w:ascii="DejaVu Serif" w:cs="DejaVu Serif" w:eastAsia="DejaVu Serif" w:hAnsi="DejaVu Serif"/>
              </w:rPr>
              <w:t xml:space="preserve">⇔</w:t>
            </w:r>
            <w:r>
              <w:t xml:space="preserve"> todo</w:t>
            </w:r>
          </w:p>
        </w:tc>
        <w:tc>
          <w:tcPr>
            <w:tcW w:type="dxa" w:w="2408"/>
            <w:tcMar>
              <w:top w:type="dxa" w:w="80"/>
              <w:left w:type="dxa" w:w="100"/>
              <w:bottom w:type="dxa" w:w="80"/>
              <w:right w:type="dxa" w:w="100"/>
            </w:tcMar>
          </w:tcPr>
          <w:p>
            <w:pPr>
              <w:pStyle w:val="Tabla"/>
            </w:pPr>
            <w:r>
              <w:t xml:space="preserve">Contención o tamaño: las partes van dentro del todo, o debajo y más pequeñas.</w:t>
            </w:r>
          </w:p>
        </w:tc>
      </w:tr>
      <w:tr>
        <w:trPr>
          <w:cantSplit/>
          <w:tblHeader w:val="off"/>
        </w:trPr>
        <w:tc>
          <w:tcPr>
            <w:tcW w:type="dxa" w:w="2408"/>
            <w:tcMar>
              <w:top w:type="dxa" w:w="80"/>
              <w:left w:type="dxa" w:w="100"/>
              <w:bottom w:type="dxa" w:w="80"/>
              <w:right w:type="dxa" w:w="100"/>
            </w:tcMar>
          </w:tcPr>
          <w:p>
            <w:pPr>
              <w:pStyle w:val="Tabla"/>
            </w:pPr>
            <w:r>
              <w:t xml:space="preserve">R</w:t>
            </w:r>
          </w:p>
        </w:tc>
        <w:tc>
          <w:tcPr>
            <w:tcW w:type="dxa" w:w="2408"/>
            <w:tcMar>
              <w:top w:type="dxa" w:w="80"/>
              <w:left w:type="dxa" w:w="100"/>
              <w:bottom w:type="dxa" w:w="80"/>
              <w:right w:type="dxa" w:w="100"/>
            </w:tcMar>
          </w:tcPr>
          <w:p>
            <w:pPr>
              <w:pStyle w:val="Tabla"/>
            </w:pPr>
            <w:r>
              <w:t xml:space="preserve">Relaciones</w:t>
            </w:r>
          </w:p>
        </w:tc>
        <w:tc>
          <w:tcPr>
            <w:tcW w:type="dxa" w:w="2408"/>
            <w:tcMar>
              <w:top w:type="dxa" w:w="80"/>
              <w:left w:type="dxa" w:w="100"/>
              <w:bottom w:type="dxa" w:w="80"/>
              <w:right w:type="dxa" w:w="100"/>
            </w:tcMar>
          </w:tcPr>
          <w:p>
            <w:pPr>
              <w:pStyle w:val="Tabla"/>
            </w:pPr>
            <w:r>
              <w:t xml:space="preserve">acción </w:t>
            </w:r>
            <w:r>
              <w:rPr>
                <w:rFonts w:ascii="DejaVu Serif" w:cs="DejaVu Serif" w:eastAsia="DejaVu Serif" w:hAnsi="DejaVu Serif"/>
              </w:rPr>
              <w:t xml:space="preserve">⇔</w:t>
            </w:r>
            <w:r>
              <w:t xml:space="preserve"> reacción</w:t>
            </w:r>
          </w:p>
        </w:tc>
        <w:tc>
          <w:tcPr>
            <w:tcW w:type="dxa" w:w="2408"/>
            <w:tcMar>
              <w:top w:type="dxa" w:w="80"/>
              <w:left w:type="dxa" w:w="100"/>
              <w:bottom w:type="dxa" w:w="80"/>
              <w:right w:type="dxa" w:w="100"/>
            </w:tcMar>
          </w:tcPr>
          <w:p>
            <w:pPr>
              <w:pStyle w:val="Tabla"/>
            </w:pPr>
            <w:r>
              <w:t xml:space="preserve">Una línea, reservada sólo para relaciones; la punta de flecha añade dirección.</w:t>
            </w:r>
          </w:p>
        </w:tc>
      </w:tr>
      <w:tr>
        <w:trPr>
          <w:cantSplit/>
          <w:tblHeader w:val="off"/>
        </w:trPr>
        <w:tc>
          <w:tcPr>
            <w:tcW w:type="dxa" w:w="2408"/>
            <w:tcMar>
              <w:top w:type="dxa" w:w="80"/>
              <w:left w:type="dxa" w:w="100"/>
              <w:bottom w:type="dxa" w:w="80"/>
              <w:right w:type="dxa" w:w="100"/>
            </w:tcMar>
          </w:tcPr>
          <w:p>
            <w:pPr>
              <w:pStyle w:val="Tabla"/>
            </w:pPr>
            <w:r>
              <w:t xml:space="preserve">P</w:t>
            </w:r>
          </w:p>
        </w:tc>
        <w:tc>
          <w:tcPr>
            <w:tcW w:type="dxa" w:w="2408"/>
            <w:tcMar>
              <w:top w:type="dxa" w:w="80"/>
              <w:left w:type="dxa" w:w="100"/>
              <w:bottom w:type="dxa" w:w="80"/>
              <w:right w:type="dxa" w:w="100"/>
            </w:tcMar>
          </w:tcPr>
          <w:p>
            <w:pPr>
              <w:pStyle w:val="Tabla"/>
            </w:pPr>
            <w:r>
              <w:t xml:space="preserve">Perspectivas</w:t>
            </w:r>
          </w:p>
        </w:tc>
        <w:tc>
          <w:tcPr>
            <w:tcW w:type="dxa" w:w="2408"/>
            <w:tcMar>
              <w:top w:type="dxa" w:w="80"/>
              <w:left w:type="dxa" w:w="100"/>
              <w:bottom w:type="dxa" w:w="80"/>
              <w:right w:type="dxa" w:w="100"/>
            </w:tcMar>
          </w:tcPr>
          <w:p>
            <w:pPr>
              <w:pStyle w:val="Tabla"/>
            </w:pPr>
            <w:r>
              <w:t xml:space="preserve">punto </w:t>
            </w:r>
            <w:r>
              <w:rPr>
                <w:rFonts w:ascii="DejaVu Serif" w:cs="DejaVu Serif" w:eastAsia="DejaVu Serif" w:hAnsi="DejaVu Serif"/>
              </w:rPr>
              <w:t xml:space="preserve">⇔</w:t>
            </w:r>
            <w:r>
              <w:t xml:space="preserve"> vista</w:t>
            </w:r>
          </w:p>
        </w:tc>
        <w:tc>
          <w:tcPr>
            <w:tcW w:type="dxa" w:w="2408"/>
            <w:tcMar>
              <w:top w:type="dxa" w:w="80"/>
              <w:left w:type="dxa" w:w="100"/>
              <w:bottom w:type="dxa" w:w="80"/>
              <w:right w:type="dxa" w:w="100"/>
            </w:tcMar>
          </w:tcPr>
          <w:p>
            <w:pPr>
              <w:pStyle w:val="Tabla"/>
            </w:pPr>
            <w:r>
              <w:t xml:space="preserve">Un ojo de color en la idea que mira y un punto del mismo color en la idea mirada.</w:t>
            </w:r>
          </w:p>
        </w:tc>
      </w:tr>
    </w:tbl>
    <w:p>
      <w:pPr>
        <w:pStyle w:val="Fuente"/>
      </w:pPr>
      <w:r>
        <w:t xml:space="preserve">Láminas c10-24 y c11-01, proyectadas en las clases 10 y 11. El rectángulo, la contención, la línea y el ojo con su punto son la notación del curso.</w:t>
      </w:r>
    </w:p>
    <w:p>
      <w:pPr>
        <w:pStyle w:val="Heading3"/>
      </w:pPr>
      <w:r>
        <w:t xml:space="preserve">Lo que dicen las presentaciones</w:t>
      </w:r>
    </w:p>
    <w:p>
      <w:pPr>
        <w:pStyle w:val="Heading3"/>
      </w:pPr>
      <w:bookmarkStart w:name="b_pagina_3_1_C_2_p2" w:id="1992"/>
      <w:r>
        <w:t xml:space="preserve">C-2 · página 2 · Contenido y programación de la Unidad 3</w:t>
      </w:r>
      <w:bookmarkEnd w:id="1992"/>
    </w:p>
    <w:p>
      <w:pPr>
        <w:pStyle w:val="Normal"/>
      </w:pPr>
      <w:r>
        <w:t xml:space="preserve">Nueve temas de mapas, interdependencia, ciclos, modelación, demoras, patrones y hábitos; calendario histórico del segundo parcial.</w:t>
      </w:r>
    </w:p>
    <w:p>
      <w:pPr>
        <w:pStyle w:val="Fuente"/>
      </w:pPr>
      <w:r>
        <w:t xml:space="preserve">Proyección o explicación: Clase 10 · 00:11:12 · captura c10-02.</w:t>
      </w:r>
    </w:p>
    <w:p>
      <w:bookmarkStart w:name="b_punto_c2_p002_01" w:id="1993"/>
      <w:r>
        <w:t xml:space="preserve">El índice incluye los nueve temas: mapas sistémicos generales, DSRP, DCC, interdependencias, refuerzo y compensación, modelación dinámica, demoras, patrones y hábitos.</w:t>
      </w:r>
      <w:bookmarkEnd w:id="1993"/>
    </w:p>
    <w:p>
      <w:pPr>
        <w:pStyle w:val="Heading3"/>
      </w:pPr>
      <w:bookmarkStart w:name="b_pagina_3_1_C_2_p3" w:id="1994"/>
      <w:r>
        <w:t xml:space="preserve">C-2 · página 3 · Reglas simples y la información como agente</w:t>
      </w:r>
      <w:bookmarkEnd w:id="1994"/>
    </w:p>
    <w:p>
      <w:pPr>
        <w:pStyle w:val="Normal"/>
      </w:pPr>
      <w:r>
        <w:t xml:space="preserve">Las cuatro reglas tienen pares inseparables y se aplican sobre unidades de información, análogas a agentes de un sistema adaptativo.</w:t>
      </w:r>
    </w:p>
    <w:p>
      <w:pPr>
        <w:pStyle w:val="Fuente"/>
      </w:pPr>
      <w:r>
        <w:t xml:space="preserve">Proyección o explicación: Clase 10 · 00:20:36 · captura c10-03.</w:t>
      </w:r>
    </w:p>
    <w:p>
      <w:bookmarkStart w:name="b_punto_c2_p003_02" w:id="1995"/>
      <w:r>
        <w:t xml:space="preserve">En el modelo abstracto, las pequeñas unidades de información actúan como los agentes que siguen reglas simples; los peces son la analogía, no el objeto de estudio.</w:t>
      </w:r>
      <w:bookmarkEnd w:id="1995"/>
    </w:p>
    <w:p>
      <w:pPr>
        <w:pStyle w:val="Fuente"/>
      </w:pPr>
      <w:r>
        <w:t xml:space="preserve">Véase </w:t>
      </w:r>
      <w:hyperlink w:history="1" w:anchor="b_3_2">
        <w:r>
          <w:rPr>
            <w:color w:val="156B70"/>
            <w:u w:val="single"/>
          </w:rPr>
          <w:t xml:space="preserve">capítulo 3.2 · Mapas DSRP generales</w:t>
        </w:r>
      </w:hyperlink>
      <w:r>
        <w:t xml:space="preserve">, pág. </w:t>
      </w:r>
      <w:r>
        <w:fldChar w:fldCharType="begin"/>
        <w:instrText xml:space="preserve">PAGEREF b_3_2 \h</w:instrText>
        <w:fldChar w:fldCharType="separate"/>
        <w:t xml:space="preserve">404</w:t>
        <w:fldChar w:fldCharType="end"/>
      </w:r>
      <w:r>
        <w:t xml:space="preserve">.</w:t>
      </w:r>
    </w:p>
    <w:p>
      <w:pPr>
        <w:pStyle w:val="Heading3"/>
      </w:pPr>
      <w:bookmarkStart w:name="b_pagina_3_1_C_2_p4" w:id="1996"/>
      <w:r>
        <w:t xml:space="preserve">C-2 · página 4 · El pensamiento sistémico como propiedad emergente</w:t>
      </w:r>
      <w:bookmarkEnd w:id="1996"/>
    </w:p>
    <w:p>
      <w:pPr>
        <w:pStyle w:val="Normal"/>
      </w:pPr>
      <w:r>
        <w:t xml:space="preserve">Paralelo entre el cardumen y el pensamiento: agentes e información siguen reglas simples y producen propiedades colectivas.</w:t>
      </w:r>
    </w:p>
    <w:p>
      <w:pPr>
        <w:pStyle w:val="Fuente"/>
      </w:pPr>
      <w:r>
        <w:t xml:space="preserve">Proyección o explicación: Clase 10 · 00:22:24 · captura c10-04.</w:t>
      </w:r>
    </w:p>
    <w:p>
      <w:bookmarkStart w:name="b_punto_c2_p004_01" w:id="1997"/>
      <w:r>
        <w:t xml:space="preserve">La dinámica colectiva de peces que siguen reglas simples produce un cardumen o superorganismo, con capacidades emergentes como autorregulación, robustez, resiliencia y adaptación.</w:t>
      </w:r>
      <w:bookmarkEnd w:id="1997"/>
    </w:p>
    <w:p>
      <w:bookmarkStart w:name="b_punto_c2_p004_02" w:id="1998"/>
      <w:r>
        <w:t xml:space="preserve">La información que sigue reglas DSRP genera modelos mentales; el pensamiento sistémico emerge como propiedad de un sistema adaptativo complejo abstracto.</w:t>
      </w:r>
      <w:bookmarkEnd w:id="1998"/>
    </w:p>
    <w:p>
      <w:bookmarkStart w:name="b_punto_c2_p004_03" w:id="1999"/>
      <w:r>
        <w:t xml:space="preserve">Ninguna unidad de información aislada contiene por sí sola el pensamiento emergente del conjunto.</w:t>
      </w:r>
      <w:bookmarkEnd w:id="1999"/>
    </w:p>
    <w:p>
      <w:pPr>
        <w:pStyle w:val="Heading3"/>
      </w:pPr>
      <w:bookmarkStart w:name="b_pagina_3_1_C_2_p5" w:id="2000"/>
      <w:r>
        <w:t xml:space="preserve">C-2 · página 5 · Todo objeto puede seguir DSRP</w:t>
      </w:r>
      <w:bookmarkEnd w:id="2000"/>
    </w:p>
    <w:p>
      <w:pPr>
        <w:pStyle w:val="Normal"/>
      </w:pPr>
      <w:r>
        <w:t xml:space="preserve">Cualquier información, incluidas palabras e imágenes, puede distinguirse, organizarse, relacionarse y mirarse desde perspectivas.</w:t>
      </w:r>
    </w:p>
    <w:p>
      <w:pPr>
        <w:pStyle w:val="Fuente"/>
      </w:pPr>
      <w:r>
        <w:t xml:space="preserve">Proyección o explicación: Clase 10 · 00:38:26 · captura c10-05.</w:t>
      </w:r>
    </w:p>
    <w:p>
      <w:bookmarkStart w:name="b_punto_c2_p005_03" w:id="2001"/>
      <w:r>
        <w:t xml:space="preserve">Cuatro reglas simples pueden producir dinámicas colectivas complejas y el pensamiento sistémico emergente.</w:t>
      </w:r>
      <w:bookmarkEnd w:id="2001"/>
    </w:p>
    <w:p>
      <w:pPr>
        <w:pStyle w:val="Fuente"/>
      </w:pPr>
      <w:r>
        <w:t xml:space="preserve">Véase </w:t>
      </w:r>
      <w:hyperlink w:history="1" w:anchor="b_3_2">
        <w:r>
          <w:rPr>
            <w:color w:val="156B70"/>
            <w:u w:val="single"/>
          </w:rPr>
          <w:t xml:space="preserve">capítulo 3.2 · Mapas DSRP generales</w:t>
        </w:r>
      </w:hyperlink>
      <w:r>
        <w:t xml:space="preserve">, pág. </w:t>
      </w:r>
      <w:r>
        <w:fldChar w:fldCharType="begin"/>
        <w:instrText xml:space="preserve">PAGEREF b_3_2 \h</w:instrText>
        <w:fldChar w:fldCharType="separate"/>
        <w:t xml:space="preserve">404</w:t>
        <w:fldChar w:fldCharType="end"/>
      </w:r>
      <w:r>
        <w:t xml:space="preserve">.</w:t>
      </w:r>
    </w:p>
    <w:p>
      <w:pPr>
        <w:pStyle w:val="Heading3"/>
      </w:pPr>
      <w:bookmarkStart w:name="b_pagina_3_1_C_2_p14" w:id="2002"/>
      <w:r>
        <w:t xml:space="preserve">C-2 · página 14 · El pensamiento sistémico como propiedad emergente</w:t>
      </w:r>
      <w:bookmarkEnd w:id="2002"/>
    </w:p>
    <w:p>
      <w:pPr>
        <w:pStyle w:val="Normal"/>
      </w:pPr>
      <w:r>
        <w:t xml:space="preserve">Paralelo entre el cardumen y el pensamiento: agentes e información siguen reglas simples y producen propiedades colectivas.</w:t>
      </w:r>
    </w:p>
    <w:p>
      <w:pPr>
        <w:pStyle w:val="Fuente"/>
      </w:pPr>
      <w:r>
        <w:t xml:space="preserve">Proyección o explicación: Clase 10 · 01:29:47 · captura c10-21.</w:t>
      </w:r>
    </w:p>
    <w:p>
      <w:bookmarkStart w:name="b_punto_c2_p014_01" w:id="2003"/>
      <w:r>
        <w:t xml:space="preserve">La dinámica colectiva de peces que siguen reglas simples produce un cardumen o superorganismo, con capacidades emergentes como autorregulación, robustez, resiliencia y adaptación.</w:t>
      </w:r>
      <w:bookmarkEnd w:id="2003"/>
    </w:p>
    <w:p>
      <w:bookmarkStart w:name="b_punto_c2_p014_02" w:id="2004"/>
      <w:r>
        <w:t xml:space="preserve">La información que sigue reglas DSRP genera modelos mentales; el pensamiento sistémico emerge como propiedad de un sistema adaptativo complejo abstracto.</w:t>
      </w:r>
      <w:bookmarkEnd w:id="2004"/>
    </w:p>
    <w:p>
      <w:bookmarkStart w:name="b_punto_c2_p014_03" w:id="2005"/>
      <w:r>
        <w:t xml:space="preserve">Ninguna unidad de información aislada contiene por sí sola el pensamiento emergente del conjunto.</w:t>
      </w:r>
      <w:bookmarkEnd w:id="2005"/>
    </w:p>
    <w:p>
      <w:pPr>
        <w:pStyle w:val="Heading3"/>
      </w:pPr>
      <w:bookmarkStart w:name="b_pagina_3_1_C_2_p15" w:id="2006"/>
      <w:r>
        <w:t xml:space="preserve">C-2 · página 15 · Información y estructura forman el modelo mental</w:t>
      </w:r>
      <w:bookmarkEnd w:id="2006"/>
    </w:p>
    <w:p>
      <w:pPr>
        <w:pStyle w:val="Normal"/>
      </w:pPr>
      <w:r>
        <w:t xml:space="preserve">La tabla define información,estructura y modelo mental; frutas y balanza ilustran el significado que aporta la organización.</w:t>
      </w:r>
    </w:p>
    <w:p>
      <w:pPr>
        <w:pStyle w:val="Fuente"/>
      </w:pPr>
      <w:r>
        <w:t xml:space="preserve">Proyección o explicación: Clase 10 · 01:30:30 · captura c10-22.</w:t>
      </w:r>
    </w:p>
    <w:p>
      <w:bookmarkStart w:name="b_punto_c2_p015_01" w:id="2007"/>
      <w:r>
        <w:t xml:space="preserve">Información incluye texto,palabras habladas,imágenes y cualquier dato que contribuya al significado.</w:t>
      </w:r>
      <w:bookmarkEnd w:id="2007"/>
    </w:p>
    <w:p>
      <w:bookmarkStart w:name="b_punto_c2_p015_02" w:id="2008"/>
      <w:r>
        <w:t xml:space="preserve">Estructura es la organización contextual que también aporta significado,aunque pueda pasar inadvertida.</w:t>
      </w:r>
      <w:bookmarkEnd w:id="2008"/>
    </w:p>
    <w:p>
      <w:bookmarkStart w:name="b_punto_c2_p015_03" w:id="2009"/>
      <w:r>
        <w:t xml:space="preserve">El modelo mental es el concepto o significado que la comunicación trata de transmitir.</w:t>
      </w:r>
      <w:bookmarkEnd w:id="2009"/>
    </w:p>
    <w:p>
      <w:bookmarkStart w:name="b_punto_c2_p015_04" w:id="2010"/>
      <w:r>
        <w:t xml:space="preserve">La jerarquía frutas contiene plátano,naranja y manzana; los mismos contenidos toman sentido al organizarlos como parte/todo.</w:t>
      </w:r>
      <w:bookmarkEnd w:id="2010"/>
    </w:p>
    <w:p>
      <w:bookmarkStart w:name="b_punto_c2_p015_05" w:id="2011"/>
      <w:r>
        <w:t xml:space="preserve">La balanza expresa el equilibrio entre contenido informativo y estructura cognitiva; no basta con reunir etiquetas sin organizarlas.</w:t>
      </w:r>
      <w:bookmarkEnd w:id="2011"/>
    </w:p>
    <w:p>
      <w:pPr>
        <w:pStyle w:val="Heading3"/>
      </w:pPr>
      <w:bookmarkStart w:name="b_pagina_3_1_C_2_p16" w:id="2012"/>
      <w:r>
        <w:t xml:space="preserve">C-2 · página 16 · Modelos en distintos niveles de detalle</w:t>
      </w:r>
      <w:bookmarkEnd w:id="2012"/>
    </w:p>
    <w:p>
      <w:pPr>
        <w:pStyle w:val="Normal"/>
      </w:pPr>
      <w:r>
        <w:t xml:space="preserve">El mismo todo se puede expandir para mostrar sus partes o colapsar sin eliminar el contenido.</w:t>
      </w:r>
    </w:p>
    <w:p>
      <w:pPr>
        <w:pStyle w:val="Fuente"/>
      </w:pPr>
      <w:r>
        <w:t xml:space="preserve">Proyección o explicación: Clase 10 · 01:32:12 · captura c10-23.</w:t>
      </w:r>
    </w:p>
    <w:p>
      <w:bookmarkStart w:name="b_punto_c2_p016_02" w:id="2013"/>
      <w:r>
        <w:t xml:space="preserve">La selección del detalle depende de lo que se desea comunicar y no cambia por sí sola la notación ni el modelo.</w:t>
      </w:r>
      <w:bookmarkEnd w:id="2013"/>
    </w:p>
    <w:p>
      <w:pPr>
        <w:pStyle w:val="Fuente"/>
      </w:pPr>
      <w:r>
        <w:t xml:space="preserve">Véase </w:t>
      </w:r>
      <w:hyperlink w:history="1" w:anchor="b_3_2">
        <w:r>
          <w:rPr>
            <w:color w:val="156B70"/>
            <w:u w:val="single"/>
          </w:rPr>
          <w:t xml:space="preserve">capítulo 3.2 · Mapas DSRP generales</w:t>
        </w:r>
      </w:hyperlink>
      <w:r>
        <w:t xml:space="preserve">, pág. </w:t>
      </w:r>
      <w:r>
        <w:fldChar w:fldCharType="begin"/>
        <w:instrText xml:space="preserve">PAGEREF b_3_2 \h</w:instrText>
        <w:fldChar w:fldCharType="separate"/>
        <w:t xml:space="preserve">404</w:t>
        <w:fldChar w:fldCharType="end"/>
      </w:r>
      <w:r>
        <w:t xml:space="preserve">.</w:t>
      </w:r>
    </w:p>
    <w:p>
      <w:pPr>
        <w:pStyle w:val="Heading3"/>
      </w:pPr>
      <w:bookmarkStart w:name="b_pagina_3_1_C_2_p21" w:id="2014"/>
      <w:r>
        <w:t xml:space="preserve">C-2 · página 21 · El medio no es el mapeo</w:t>
      </w:r>
      <w:bookmarkEnd w:id="2014"/>
    </w:p>
    <w:p>
      <w:pPr>
        <w:pStyle w:val="Normal"/>
      </w:pPr>
      <w:r>
        <w:t xml:space="preserve">El pensamiento sistémico aplicado se expresa mediante mapas independientemente del soporte empleado.</w:t>
      </w:r>
    </w:p>
    <w:p>
      <w:pPr>
        <w:pStyle w:val="Fuente"/>
      </w:pPr>
      <w:r>
        <w:t xml:space="preserve">Proyección o explicación: Clase 11 · 00:21:11 · captura c11-06.</w:t>
      </w:r>
    </w:p>
    <w:p>
      <w:bookmarkStart w:name="b_punto_c2_p021_01" w:id="2015"/>
      <w:r>
        <w:t xml:space="preserve">El modelo mental conceptual y su representación aplicada se distinguen: mapear externaliza el pensamiento.</w:t>
      </w:r>
      <w:bookmarkEnd w:id="2015"/>
    </w:p>
    <w:p>
      <w:bookmarkStart w:name="b_punto_c2_p021_02" w:id="2016"/>
      <w:r>
        <w:t xml:space="preserve">La cabeza,papel/lápiz,pizarra,notas adhesivas,software específico,software general,bloques DSRP y objetos táctiles son ocho soportes posibles.</w:t>
      </w:r>
      <w:bookmarkEnd w:id="2016"/>
    </w:p>
    <w:p>
      <w:bookmarkStart w:name="b_punto_c2_p021_03" w:id="2017"/>
      <w:r>
        <w:t xml:space="preserve">La herramienta no sustituye la estructura del modelo ni el conocimiento de su notación.</w:t>
      </w:r>
      <w:bookmarkEnd w:id="2017"/>
    </w:p>
    <w:p>
      <w:pPr>
        <w:pStyle w:val="Heading3"/>
      </w:pPr>
      <w:bookmarkStart w:name="b_pagina_3_1_C_2_p22" w:id="2018"/>
      <w:r>
        <w:t xml:space="preserve">C-2 · página 22 · Pensamiento sistémico en síntesis: ST Loop</w:t>
      </w:r>
      <w:bookmarkEnd w:id="2018"/>
    </w:p>
    <w:p>
      <w:pPr>
        <w:pStyle w:val="Normal"/>
      </w:pPr>
      <w:r>
        <w:t xml:space="preserve">Probar el modelo,recibir información e iterar permite mejorar su aproximación al mundo real; el modelo combina información y pensamiento DSRP.</w:t>
      </w:r>
    </w:p>
    <w:p>
      <w:pPr>
        <w:pStyle w:val="Fuente"/>
      </w:pPr>
      <w:r>
        <w:t xml:space="preserve">Proyección o explicación: Clase 11 · 00:24:08 · captura c11-07.</w:t>
      </w:r>
    </w:p>
    <w:p>
      <w:bookmarkStart w:name="b_punto_c2_p022_01" w:id="2019"/>
      <w:r>
        <w:t xml:space="preserve">Los modelos son aproximaciones imperfectas y su utilidad se comprueba probándolos en el mundo real.</w:t>
      </w:r>
      <w:bookmarkEnd w:id="2019"/>
    </w:p>
    <w:p>
      <w:bookmarkStart w:name="b_punto_c2_p022_02" w:id="2020"/>
      <w:r>
        <w:t xml:space="preserve">El ciclo ST Loop va de modelo a prueba,de prueba a retroalimentación y de la información recibida a la revisión e iteración del modelo.</w:t>
      </w:r>
      <w:bookmarkEnd w:id="2020"/>
    </w:p>
    <w:p>
      <w:bookmarkStart w:name="b_punto_c2_p022_03" w:id="2021"/>
      <w:r>
        <w:t xml:space="preserve">M=I×T relaciona modelo mental,información del mundo real y pensamiento que la organiza; no es una fórmula para contar ideas o relaciones.</w:t>
      </w:r>
      <w:bookmarkEnd w:id="2021"/>
    </w:p>
    <w:p>
      <w:bookmarkStart w:name="b_punto_c2_p022_04" w:id="2022"/>
      <w:r>
        <w:t xml:space="preserve">El sesgo de realidad significa que la información también llega filtrada por las operaciones DSRP de quien piensa.</w:t>
      </w:r>
      <w:bookmarkEnd w:id="2022"/>
    </w:p>
    <w:p>
      <w:bookmarkStart w:name="b_punto_c2_p022_05" w:id="2023"/>
      <w:r>
        <w:t xml:space="preserve">Los patrones universales DSRP describen la estructura del pensamiento; el pensamiento sistémico se obtiene al generar esa estructura con información.</w:t>
      </w:r>
      <w:bookmarkEnd w:id="2023"/>
    </w:p>
    <w:p>
      <w:pPr>
        <w:pStyle w:val="Heading3"/>
      </w:pPr>
      <w:bookmarkStart w:name="b_pagina_3_1_C_2_p24" w:id="2024"/>
      <w:r>
        <w:t xml:space="preserve">C-2 · página 24 · Uniendo barras: educación y poderes del Estado</w:t>
      </w:r>
      <w:bookmarkEnd w:id="2024"/>
    </w:p>
    <w:p>
      <w:pPr>
        <w:pStyle w:val="Normal"/>
      </w:pPr>
      <w:r>
        <w:t xml:space="preserve">Las relaciones de cuatro variables pueden nombrarse y refinarse para interpretar una red de vínculos.</w:t>
      </w:r>
    </w:p>
    <w:p>
      <w:pPr>
        <w:pStyle w:val="Fuente"/>
      </w:pPr>
      <w:r>
        <w:t xml:space="preserve">Proyección o explicación: Clase 11 · 00:29:33 · captura c11-08.</w:t>
      </w:r>
    </w:p>
    <w:p>
      <w:pPr>
        <w:keepNext/>
        <w:spacing w:after="40" w:before="150"/>
        <w:jc w:val="center"/>
      </w:pPr>
      <w:bookmarkStart w:name="b_figura_original_pagina_C_2_24" w:id="2025"/>
      <w:bookmarkEnd w:id="2025"/>
      <w:r>
        <w:drawing>
          <wp:inline distT="0" distB="0" distL="0" distR="0">
            <wp:extent cx="5381625" cy="4162425"/>
            <wp:effectExtent t="0" r="0" b="0" l="0"/>
            <wp:docPr id="49" name="pagina-C-2-24" descr="Presentación C-2, pág. 24" title="Uniendo barras: educación y poderes del Esta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34" cstate="none"/>
                    <a:srcRect/>
                    <a:stretch>
                      <a:fillRect/>
                    </a:stretch>
                  </pic:blipFill>
                  <pic:spPr bwMode="auto">
                    <a:xfrm>
                      <a:off x="0" y="0"/>
                      <a:ext cx="5381625" cy="4162425"/>
                    </a:xfrm>
                    <a:prstGeom prst="rect">
                      <a:avLst/>
                    </a:prstGeom>
                  </pic:spPr>
                </pic:pic>
              </a:graphicData>
            </a:graphic>
          </wp:inline>
        </w:drawing>
      </w:r>
    </w:p>
    <w:p>
      <w:pPr>
        <w:pStyle w:val="PieFigura"/>
        <w:keepNext/>
      </w:pPr>
      <w:bookmarkStart w:name="b_fig_3_1_1" w:id="2026"/>
      <w:r>
        <w:t xml:space="preserve">Figura 3.1.</w:t>
      </w:r>
      <w:fldSimple w:instr="SEQ Figura \r 1 \* ARABIC">
        <w:r>
          <w:t xml:space="preserve">1</w:t>
        </w:r>
      </w:fldSimple>
      <w:r>
        <w:t xml:space="preserve"> · Uniendo barras: educación y poderes del Estado</w:t>
      </w:r>
      <w:bookmarkEnd w:id="2026"/>
    </w:p>
    <w:p>
      <w:pPr>
        <w:pStyle w:val="Fuente"/>
      </w:pPr>
      <w:r>
        <w:t xml:space="preserve">Presentación C-2, pág. 24</w:t>
      </w:r>
    </w:p>
    <w:p>
      <w:bookmarkStart w:name="b_punto_c2_p024_01" w:id="2027"/>
      <w:r>
        <w:t xml:space="preserve">Las variables genéricas estudiante,padres,maestra y temario permiten que la misma estructura describa muchos casos concretos.</w:t>
      </w:r>
      <w:bookmarkEnd w:id="2027"/>
    </w:p>
    <w:p>
      <w:pPr>
        <w:pStyle w:val="Fuente"/>
      </w:pPr>
      <w:r>
        <w:t xml:space="preserve">Véase </w:t>
      </w:r>
      <w:hyperlink w:history="1" w:anchor="b_3_2">
        <w:r>
          <w:rPr>
            <w:color w:val="156B70"/>
            <w:u w:val="single"/>
          </w:rPr>
          <w:t xml:space="preserve">capítulo 3.2 · Mapas DSRP generales</w:t>
        </w:r>
      </w:hyperlink>
      <w:r>
        <w:t xml:space="preserve">, pág. </w:t>
      </w:r>
      <w:r>
        <w:fldChar w:fldCharType="begin"/>
        <w:instrText xml:space="preserve">PAGEREF b_3_2 \h</w:instrText>
        <w:fldChar w:fldCharType="separate"/>
        <w:t xml:space="preserve">404</w:t>
        <w:fldChar w:fldCharType="end"/>
      </w:r>
      <w:r>
        <w:t xml:space="preserve">.</w:t>
      </w:r>
    </w:p>
    <w:p>
      <w:pPr>
        <w:pStyle w:val="Heading3"/>
      </w:pPr>
      <w:bookmarkStart w:name="b_pagina_3_1_C_2_p32" w:id="2028"/>
      <w:r>
        <w:t xml:space="preserve">C-2 · página 32 · Aproximar modelos mentales al mundo real</w:t>
      </w:r>
      <w:bookmarkEnd w:id="2028"/>
    </w:p>
    <w:p>
      <w:pPr>
        <w:pStyle w:val="Normal"/>
      </w:pPr>
      <w:r>
        <w:t xml:space="preserve">El diagrama enlaza prueba,información e iteración para mejorar la coincidencia del modelo con el sistema real.</w:t>
      </w:r>
    </w:p>
    <w:p>
      <w:pPr>
        <w:pStyle w:val="Fuente"/>
      </w:pPr>
      <w:r>
        <w:t xml:space="preserve">Proyección o explicación: Clase 11 · 00:50:00 · captura c11-18.</w:t>
      </w:r>
    </w:p>
    <w:p>
      <w:bookmarkStart w:name="b_punto_c2_p032_01" w:id="2029"/>
      <w:r>
        <w:t xml:space="preserve">El modelo se prueba en el mundo real y la retroalimentación aporta información para revisarlo.</w:t>
      </w:r>
      <w:bookmarkEnd w:id="2029"/>
    </w:p>
    <w:p>
      <w:bookmarkStart w:name="b_punto_c2_p032_02" w:id="2030"/>
      <w:r>
        <w:t xml:space="preserve">Iterar puede aumentar la coincidencia entre representación y realidad,sin garantizar que el modelo sea completo o infalible.</w:t>
      </w:r>
      <w:bookmarkEnd w:id="2030"/>
    </w:p>
    <w:p>
      <w:bookmarkStart w:name="b_punto_c2_p032_03" w:id="2031"/>
      <w:r>
        <w:t xml:space="preserve">DSRP organiza la información en la representación mental y en la modelación de la realidad.</w:t>
      </w:r>
      <w:bookmarkEnd w:id="2031"/>
    </w:p>
    <w:p>
      <w:pPr>
        <w:pStyle w:val="Heading3"/>
      </w:pPr>
      <w:bookmarkStart w:name="b_pagina_3_1_C_2_p37" w:id="2032"/>
      <w:r>
        <w:t xml:space="preserve">C-2 · página 37 · Una solución posible del ciclo de la planta</w:t>
      </w:r>
      <w:bookmarkEnd w:id="2032"/>
    </w:p>
    <w:p>
      <w:pPr>
        <w:pStyle w:val="Normal"/>
      </w:pPr>
      <w:r>
        <w:t xml:space="preserve">La respuesta une semillas,raíces,tallo,flores,fruto y nuevas semillas y muestra la rama hacia hojas.</w:t>
      </w:r>
    </w:p>
    <w:p>
      <w:pPr>
        <w:pStyle w:val="Fuente"/>
      </w:pPr>
      <w:r>
        <w:t xml:space="preserve">Proyección o explicación: Clase 12 · 01:03:50 · captura c12-05.</w:t>
      </w:r>
    </w:p>
    <w:p>
      <w:bookmarkStart w:name="b_punto_c2_p037_04" w:id="2033"/>
      <w:r>
        <w:t xml:space="preserve">La respuesta es una posibilidad de modelación,no una afirmación de que toda representación válida deba tener idéntico número de cajas.</w:t>
      </w:r>
      <w:bookmarkEnd w:id="2033"/>
    </w:p>
    <w:p>
      <w:pPr>
        <w:pStyle w:val="Fuente"/>
      </w:pPr>
      <w:r>
        <w:t xml:space="preserve">Véase </w:t>
      </w:r>
      <w:hyperlink w:history="1" w:anchor="b_3_3">
        <w:r>
          <w:rPr>
            <w:color w:val="156B70"/>
            <w:u w:val="single"/>
          </w:rPr>
          <w:t xml:space="preserve">capítulo 3.3 · Diagramas de ciclos causales</w:t>
        </w:r>
      </w:hyperlink>
      <w:r>
        <w:t xml:space="preserve">, pág. </w:t>
      </w:r>
      <w:r>
        <w:fldChar w:fldCharType="begin"/>
        <w:instrText xml:space="preserve">PAGEREF b_3_3 \h</w:instrText>
        <w:fldChar w:fldCharType="separate"/>
        <w:t xml:space="preserve">443</w:t>
        <w:fldChar w:fldCharType="end"/>
      </w:r>
      <w:r>
        <w:t xml:space="preserve">.</w:t>
      </w:r>
    </w:p>
    <w:p>
      <w:pPr>
        <w:pStyle w:val="Heading3"/>
      </w:pPr>
      <w:bookmarkStart w:name="b_pagina_3_1_C_2_p38" w:id="2034"/>
      <w:r>
        <w:t xml:space="preserve">C-2 · página 38 · Las conexiones del bosque que no se ven</w:t>
      </w:r>
      <w:bookmarkEnd w:id="2034"/>
    </w:p>
    <w:p>
      <w:pPr>
        <w:pStyle w:val="Normal"/>
      </w:pPr>
      <w:r>
        <w:t xml:space="preserve">El reportaje sobre redes bajo el bosque recuerda que las relaciones relevantes pueden requerir observación y evidencia adicionales.</w:t>
      </w:r>
    </w:p>
    <w:p>
      <w:pPr>
        <w:pStyle w:val="Fuente"/>
      </w:pPr>
      <w:r>
        <w:t xml:space="preserve">Proyección o explicación: Clase 12 · 01:16:33 · captura c12-06.</w:t>
      </w:r>
    </w:p>
    <w:p>
      <w:bookmarkStart w:name="b_punto_c2_p038_03" w:id="2035"/>
      <w:r>
        <w:t xml:space="preserve">El mapa debe incluir relaciones respaldadas por evidencia,aunque no sean visibles directamente.</w:t>
      </w:r>
      <w:bookmarkEnd w:id="2035"/>
    </w:p>
    <w:p>
      <w:pPr>
        <w:pStyle w:val="Fuente"/>
      </w:pPr>
      <w:r>
        <w:t xml:space="preserve">Véase </w:t>
      </w:r>
      <w:hyperlink w:history="1" w:anchor="b_3_4">
        <w:r>
          <w:rPr>
            <w:color w:val="156B70"/>
            <w:u w:val="single"/>
          </w:rPr>
          <w:t xml:space="preserve">capítulo 3.4 · Interdependencias sistémicas</w:t>
        </w:r>
      </w:hyperlink>
      <w:r>
        <w:t xml:space="preserve">, pág. </w:t>
      </w:r>
      <w:r>
        <w:fldChar w:fldCharType="begin"/>
        <w:instrText xml:space="preserve">PAGEREF b_3_4 \h</w:instrText>
        <w:fldChar w:fldCharType="separate"/>
        <w:t xml:space="preserve">476</w:t>
        <w:fldChar w:fldCharType="end"/>
      </w:r>
      <w:r>
        <w:t xml:space="preserve">.</w:t>
      </w:r>
    </w:p>
    <w:p>
      <w:pPr>
        <w:pStyle w:val="Heading3"/>
      </w:pPr>
      <w:bookmarkStart w:name="b_pagina_3_1_C_2_p40" w:id="2036"/>
      <w:r>
        <w:t xml:space="preserve">C-2 · página 40 · Conexiones que producen transferencias</w:t>
      </w:r>
      <w:bookmarkEnd w:id="2036"/>
    </w:p>
    <w:p>
      <w:pPr>
        <w:pStyle w:val="Normal"/>
      </w:pPr>
      <w:r>
        <w:t xml:space="preserve">Ejemplos del piano,patrones entre sistemas y la capacitación de Kim; la gráfica económica requiere una lectura crítica.</w:t>
      </w:r>
    </w:p>
    <w:p>
      <w:pPr>
        <w:pStyle w:val="Fuente"/>
      </w:pPr>
      <w:r>
        <w:t xml:space="preserve">Proyección o explicación: Clase 12 · 01:33:20 · captura c12-08.</w:t>
      </w:r>
    </w:p>
    <w:p>
      <w:pPr>
        <w:keepNext/>
        <w:spacing w:after="40" w:before="150"/>
        <w:jc w:val="center"/>
      </w:pPr>
      <w:bookmarkStart w:name="b_figura_original_pagina_C_2_40" w:id="2037"/>
      <w:bookmarkEnd w:id="2037"/>
      <w:r>
        <w:drawing>
          <wp:inline distT="0" distB="0" distL="0" distR="0">
            <wp:extent cx="5381625" cy="4162425"/>
            <wp:effectExtent t="0" r="0" b="0" l="0"/>
            <wp:docPr id="50" name="pagina-C-2-40" descr="Presentación C-2, pág. 40. Precisión: El gráfico superior relaciona precio y cantidades ofrecidas/demandadas, sin eje temporal. No demuestra una oscilación ni una curva temporal idéntica a presa–depredador; la transferencia exige comprobar estructura y condiciones." title="Conexiones que producen transferenci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35" cstate="none"/>
                    <a:srcRect/>
                    <a:stretch>
                      <a:fillRect/>
                    </a:stretch>
                  </pic:blipFill>
                  <pic:spPr bwMode="auto">
                    <a:xfrm>
                      <a:off x="0" y="0"/>
                      <a:ext cx="5381625" cy="4162425"/>
                    </a:xfrm>
                    <a:prstGeom prst="rect">
                      <a:avLst/>
                    </a:prstGeom>
                  </pic:spPr>
                </pic:pic>
              </a:graphicData>
            </a:graphic>
          </wp:inline>
        </w:drawing>
      </w:r>
    </w:p>
    <w:p>
      <w:pPr>
        <w:pStyle w:val="PieFigura"/>
        <w:keepNext/>
      </w:pPr>
      <w:bookmarkStart w:name="b_fig_3_1_2" w:id="2038"/>
      <w:r>
        <w:t xml:space="preserve">Figura 3.1.</w:t>
      </w:r>
      <w:fldSimple w:instr="SEQ Figura \n \* ARABIC">
        <w:r>
          <w:t xml:space="preserve">2</w:t>
        </w:r>
      </w:fldSimple>
      <w:r>
        <w:t xml:space="preserve"> · Conexiones que producen transferencias</w:t>
      </w:r>
      <w:bookmarkEnd w:id="2038"/>
    </w:p>
    <w:p>
      <w:pPr>
        <w:pStyle w:val="Fuente"/>
      </w:pPr>
      <w:r>
        <w:t xml:space="preserve">Presentación C-2, pág. 40. Precisión: El gráfico superior relaciona precio y cantidades ofrecidas/demandadas, sin eje temporal. No demuestra una oscilación ni una curva temporal idéntica a presa–depredador; la transferencia exige comprobar estructura y condiciones.</w:t>
      </w:r>
    </w:p>
    <w:p>
      <w:bookmarkStart w:name="b_punto_c2_p040_01" w:id="2039"/>
      <w:r>
        <w:t xml:space="preserve">Practicar escalas debe transferirse a interpretar música,y los conceptos aprendidos en un instrumento pueden facilitar aprender otro.</w:t>
      </w:r>
      <w:bookmarkEnd w:id="2039"/>
    </w:p>
    <w:p>
      <w:bookmarkStart w:name="b_punto_c2_p040_03" w:id="2040"/>
      <w:r>
        <w:t xml:space="preserve">Kim adapta a su empresa lo aprendido en una conferencia sobre contabilidad y liderazgo; la transferencia implica convertir el conocimiento en acciones contextualizadas.</w:t>
      </w:r>
      <w:bookmarkEnd w:id="2040"/>
    </w:p>
    <w:p>
      <w:bookmarkStart w:name="b_punto_c2_p040_05" w:id="2041"/>
      <w:r>
        <w:t xml:space="preserve">Una posible analogía que exige comprobar mecanismos y condiciones; el gráfico económico no muestra una oscilación temporal</w:t>
      </w:r>
      <w:bookmarkEnd w:id="2041"/>
    </w:p>
    <w:p>
      <w:bookmarkStart w:name="b_punto_c2_p040_06" w:id="2042"/>
      <w:r>
        <w:t xml:space="preserve">Una posible analogía que exige comprobar mecanismos y condiciones; el gráfico económico no muestra una oscilación temporal</w:t>
      </w:r>
      <w:bookmarkEnd w:id="2042"/>
    </w:p>
    <w:p>
      <w:pPr>
        <w:pStyle w:val="Fuente"/>
      </w:pPr>
      <w:r>
        <w:t xml:space="preserve">Véase </w:t>
      </w:r>
      <w:hyperlink w:history="1" w:anchor="b_3_9">
        <w:r>
          <w:rPr>
            <w:color w:val="156B70"/>
            <w:u w:val="single"/>
          </w:rPr>
          <w:t xml:space="preserve">capítulo 3.9 · Hábitos (complejo)</w:t>
        </w:r>
      </w:hyperlink>
      <w:r>
        <w:t xml:space="preserve">, pág. </w:t>
      </w:r>
      <w:r>
        <w:fldChar w:fldCharType="begin"/>
        <w:instrText xml:space="preserve">PAGEREF b_3_9 \h</w:instrText>
        <w:fldChar w:fldCharType="separate"/>
        <w:t xml:space="preserve">622</w:t>
        <w:fldChar w:fldCharType="end"/>
      </w:r>
      <w:r>
        <w:t xml:space="preserve">.</w:t>
      </w:r>
    </w:p>
    <w:p>
      <w:pPr>
        <w:pStyle w:val="Heading3"/>
      </w:pPr>
      <w:bookmarkStart w:name="b_pagina_3_1_C_2_p77" w:id="2043"/>
      <w:r>
        <w:t xml:space="preserve">C-2 · página 77 · Mapas DSRP y DCC</w:t>
      </w:r>
      <w:bookmarkEnd w:id="2043"/>
    </w:p>
    <w:p>
      <w:pPr>
        <w:pStyle w:val="Normal"/>
      </w:pPr>
      <w:r>
        <w:t xml:space="preserve">DSRP explicita contención y perspectivas; el DCC destaca variables, relaciones y polaridades.</w:t>
      </w:r>
    </w:p>
    <w:p>
      <w:pPr>
        <w:pStyle w:val="Fuente"/>
      </w:pPr>
      <w:r>
        <w:t xml:space="preserve">Proyección o explicación: Clase 14 · 00:53:30 · captura c14-09.</w:t>
      </w:r>
    </w:p>
    <w:p>
      <w:bookmarkStart w:name="b_punto_c2_p077_01" w:id="2044"/>
      <w:r>
        <w:t xml:space="preserve">El ejemplo informático contiene hardware, software, usuarios, datos y redes; relaciona perspectivas y entorno.</w:t>
      </w:r>
      <w:bookmarkEnd w:id="2044"/>
    </w:p>
    <w:p>
      <w:pPr>
        <w:pStyle w:val="Fuente"/>
      </w:pPr>
      <w:r>
        <w:t xml:space="preserve">Véase </w:t>
      </w:r>
      <w:hyperlink w:history="1" w:anchor="b_3_5">
        <w:r>
          <w:rPr>
            <w:color w:val="156B70"/>
            <w:u w:val="single"/>
          </w:rPr>
          <w:t xml:space="preserve">capítulo 3.5 · Refuerzo y compensación</w:t>
        </w:r>
      </w:hyperlink>
      <w:r>
        <w:t xml:space="preserve">, pág. </w:t>
      </w:r>
      <w:r>
        <w:fldChar w:fldCharType="begin"/>
        <w:instrText xml:space="preserve">PAGEREF b_3_5 \h</w:instrText>
        <w:fldChar w:fldCharType="separate"/>
        <w:t xml:space="preserve">501</w:t>
        <w:fldChar w:fldCharType="end"/>
      </w:r>
      <w:r>
        <w:t xml:space="preserve">.</w:t>
      </w:r>
    </w:p>
    <w:p>
      <w:pPr>
        <w:pStyle w:val="Fuente"/>
      </w:pPr>
      <w:r>
        <w:t xml:space="preserve">Véase </w:t>
      </w:r>
      <w:hyperlink w:history="1" w:anchor="b_3_3">
        <w:r>
          <w:rPr>
            <w:color w:val="156B70"/>
            <w:u w:val="single"/>
          </w:rPr>
          <w:t xml:space="preserve">capítulo 3.3 · Diagramas de ciclos causales</w:t>
        </w:r>
      </w:hyperlink>
      <w:r>
        <w:t xml:space="preserve">, pág. </w:t>
      </w:r>
      <w:r>
        <w:fldChar w:fldCharType="begin"/>
        <w:instrText xml:space="preserve">PAGEREF b_3_3 \h</w:instrText>
        <w:fldChar w:fldCharType="separate"/>
        <w:t xml:space="preserve">443</w:t>
        <w:fldChar w:fldCharType="end"/>
      </w:r>
      <w:r>
        <w:t xml:space="preserve">.</w:t>
      </w:r>
    </w:p>
    <w:p>
      <w:pPr>
        <w:pStyle w:val="Heading3"/>
      </w:pPr>
      <w:bookmarkStart w:name="b_pagina_3_1_C_2_p78" w:id="2045"/>
      <w:r>
        <w:t xml:space="preserve">C-2 · página 78 · Ejercicio de la población de ballenas</w:t>
      </w:r>
      <w:bookmarkEnd w:id="2045"/>
    </w:p>
    <w:p>
      <w:pPr>
        <w:pStyle w:val="Normal"/>
      </w:pPr>
      <w:r>
        <w:t xml:space="preserve">Asignar y justificar polaridades de tres lazos que comparten la población.</w:t>
      </w:r>
    </w:p>
    <w:p>
      <w:pPr>
        <w:pStyle w:val="Fuente"/>
      </w:pPr>
      <w:r>
        <w:t xml:space="preserve">Proyección o explicación: Clase 14 · 01:03:33 · captura c14-10.</w:t>
      </w:r>
    </w:p>
    <w:p>
      <w:bookmarkStart w:name="b_punto_c2_p078_05" w:id="2046"/>
      <w:r>
        <w:t xml:space="preserve">Cada signo se justifica por el mecanismo de la flecha, no sólo por memorizar R o B.</w:t>
      </w:r>
      <w:bookmarkEnd w:id="2046"/>
    </w:p>
    <w:p>
      <w:pPr>
        <w:pStyle w:val="Fuente"/>
      </w:pPr>
      <w:r>
        <w:t xml:space="preserve">Véase </w:t>
      </w:r>
      <w:hyperlink w:history="1" w:anchor="b_3_5">
        <w:r>
          <w:rPr>
            <w:color w:val="156B70"/>
            <w:u w:val="single"/>
          </w:rPr>
          <w:t xml:space="preserve">capítulo 3.5 · Refuerzo y compensación</w:t>
        </w:r>
      </w:hyperlink>
      <w:r>
        <w:t xml:space="preserve">, pág. </w:t>
      </w:r>
      <w:r>
        <w:fldChar w:fldCharType="begin"/>
        <w:instrText xml:space="preserve">PAGEREF b_3_5 \h</w:instrText>
        <w:fldChar w:fldCharType="separate"/>
        <w:t xml:space="preserve">501</w:t>
        <w:fldChar w:fldCharType="end"/>
      </w:r>
      <w:r>
        <w:t xml:space="preserve">.</w:t>
      </w:r>
    </w:p>
    <w:p>
      <w:pPr>
        <w:pStyle w:val="Heading3"/>
      </w:pPr>
      <w:r>
        <w:t xml:space="preserve">Lo que explicó el profesor en clase</w:t>
      </w:r>
    </w:p>
    <w:p>
      <w:pPr>
        <w:pStyle w:val="Heading3"/>
      </w:pPr>
      <w:bookmarkStart w:name="b_clase_3_1_c1_cap_03" w:id="2047"/>
      <w:r>
        <w:t xml:space="preserve">Clase 1 · 00:14:03–00:25:56 · Las cuatro unidades y el hilo del curso</w:t>
      </w:r>
      <w:bookmarkEnd w:id="2047"/>
    </w:p>
    <w:p>
      <w:bookmarkStart w:name="b_punto_c1_cap_03_p06" w:id="2048"/>
      <w:r>
        <w:t xml:space="preserve">La Unidad 3 estudia estructuras no lineales de comportamiento poco intuitivo; modelos, análisis y síntesis hacen visibles relaciones y manifestaciones emergentes.</w:t>
      </w:r>
      <w:bookmarkEnd w:id="2048"/>
    </w:p>
    <w:p>
      <w:pPr>
        <w:pStyle w:val="Fuente"/>
      </w:pPr>
      <w:r>
        <w:t xml:space="preserve">Véase </w:t>
      </w:r>
      <w:hyperlink w:history="1" w:anchor="b_1_1">
        <w:r>
          <w:rPr>
            <w:color w:val="156B70"/>
            <w:u w:val="single"/>
          </w:rPr>
          <w:t xml:space="preserve">capítulo 1.1 · Paradigmas y modelos mentales</w:t>
        </w:r>
      </w:hyperlink>
      <w:r>
        <w:t xml:space="preserve">, pág. </w:t>
      </w:r>
      <w:r>
        <w:fldChar w:fldCharType="begin"/>
        <w:instrText xml:space="preserve">PAGEREF b_1_1 \h</w:instrText>
        <w:fldChar w:fldCharType="separate"/>
        <w:t xml:space="preserve">19</w:t>
        <w:fldChar w:fldCharType="end"/>
      </w:r>
      <w:r>
        <w:t xml:space="preserve">.</w:t>
      </w:r>
    </w:p>
    <w:p>
      <w:pPr>
        <w:pStyle w:val="Fuente"/>
      </w:pPr>
      <w:r>
        <w:t xml:space="preserve">Véase </w:t>
      </w:r>
      <w:hyperlink w:history="1" w:anchor="b_1_3">
        <w:r>
          <w:rPr>
            <w:color w:val="156B70"/>
            <w:u w:val="single"/>
          </w:rPr>
          <w:t xml:space="preserve">capítulo 1.3 · El paradigma de sistemas</w:t>
        </w:r>
      </w:hyperlink>
      <w:r>
        <w:t xml:space="preserve">, pág. </w:t>
      </w:r>
      <w:r>
        <w:fldChar w:fldCharType="begin"/>
        <w:instrText xml:space="preserve">PAGEREF b_1_3 \h</w:instrText>
        <w:fldChar w:fldCharType="separate"/>
        <w:t xml:space="preserve">83</w:t>
        <w:fldChar w:fldCharType="end"/>
      </w:r>
      <w:r>
        <w:t xml:space="preserve">.</w:t>
      </w:r>
    </w:p>
    <w:p>
      <w:pPr>
        <w:pStyle w:val="Fuente"/>
      </w:pPr>
      <w:r>
        <w:t xml:space="preserve">Véase </w:t>
      </w:r>
      <w:hyperlink w:history="1" w:anchor="b_1_4">
        <w:r>
          <w:rPr>
            <w:color w:val="156B70"/>
            <w:u w:val="single"/>
          </w:rPr>
          <w:t xml:space="preserve">capítulo 1.4 · Sistémico vs no sistémico</w:t>
        </w:r>
      </w:hyperlink>
      <w:r>
        <w:t xml:space="preserve">, pág. </w:t>
      </w:r>
      <w:r>
        <w:fldChar w:fldCharType="begin"/>
        <w:instrText xml:space="preserve">PAGEREF b_1_4 \h</w:instrText>
        <w:fldChar w:fldCharType="separate"/>
        <w:t xml:space="preserve">104</w:t>
        <w:fldChar w:fldCharType="end"/>
      </w:r>
      <w:r>
        <w:t xml:space="preserve">.</w:t>
      </w:r>
    </w:p>
    <w:p>
      <w:pPr>
        <w:pStyle w:val="Fuente"/>
      </w:pPr>
      <w:r>
        <w:t xml:space="preserve">Véase </w:t>
      </w:r>
      <w:hyperlink w:history="1" w:anchor="b_4_4">
        <w:r>
          <w:rPr>
            <w:color w:val="156B70"/>
            <w:u w:val="single"/>
          </w:rPr>
          <w:t xml:space="preserve">capítulo 4.4 · Simulación con VENSIM</w:t>
        </w:r>
      </w:hyperlink>
      <w:r>
        <w:t xml:space="preserve">, pág. </w:t>
      </w:r>
      <w:r>
        <w:fldChar w:fldCharType="begin"/>
        <w:instrText xml:space="preserve">PAGEREF b_4_4 \h</w:instrText>
        <w:fldChar w:fldCharType="separate"/>
        <w:t xml:space="preserve">776</w:t>
        <w:fldChar w:fldCharType="end"/>
      </w:r>
      <w:r>
        <w:t xml:space="preserve">.</w:t>
      </w:r>
    </w:p>
    <w:p>
      <w:pPr>
        <w:pStyle w:val="Heading3"/>
      </w:pPr>
      <w:bookmarkStart w:name="b_clase_3_1_c10_cap_02" w:id="2049"/>
      <w:r>
        <w:t xml:space="preserve">Clase 10 · 00:11:40–00:20:36 · Qué es la unidad 3 y qué es un mapa sistémico</w:t>
      </w:r>
      <w:bookmarkEnd w:id="2049"/>
    </w:p>
    <w:p>
      <w:bookmarkStart w:name="b_punto_c10_cap_02_p01" w:id="2050"/>
      <w:r>
        <w:t xml:space="preserve">La Unidad 3 amplía la teoría de sistemas hacia estructuras complejas y requiere modelos para comprenderlas.</w:t>
      </w:r>
      <w:bookmarkEnd w:id="2050"/>
    </w:p>
    <w:p>
      <w:bookmarkStart w:name="b_punto_c10_cap_02_p02" w:id="2051"/>
      <w:r>
        <w:t xml:space="preserve">Mapa sistémico: representación gráfica de comportamientos con sintaxis que se aprende a construir, interpretar y utilizar.</w:t>
      </w:r>
      <w:bookmarkEnd w:id="2051"/>
    </w:p>
    <w:p>
      <w:bookmarkStart w:name="b_punto_c10_cap_02_p03" w:id="2052"/>
      <w:r>
        <w:t xml:space="preserve">DSRP expresa cuatro operaciones; DCC se concentra en estructuras del nivel 3 y las gráficas de patrones en variaciones del nivel 2 del iceberg.</w:t>
      </w:r>
      <w:bookmarkEnd w:id="2052"/>
    </w:p>
    <w:p>
      <w:bookmarkStart w:name="b_punto_c10_cap_02_p06" w:id="2053"/>
      <w:r>
        <w:t xml:space="preserve">Demoras, estructuras, tendencias y hábitos se relacionan al concretar modelos mentales como mapas o modelos formales.</w:t>
      </w:r>
      <w:bookmarkEnd w:id="2053"/>
    </w:p>
    <w:p>
      <w:bookmarkStart w:name="b_punto_c10_cap_02_p07" w:id="2054"/>
      <w:r>
        <w:t xml:space="preserve">La notación gráfica representa lo que se piensa del sistema y refuerza la práctica de las unidades anteriores.</w:t>
      </w:r>
      <w:bookmarkEnd w:id="2054"/>
    </w:p>
    <w:p>
      <w:pPr>
        <w:pStyle w:val="Fuente"/>
      </w:pPr>
      <w:r>
        <w:t xml:space="preserve">Véase </w:t>
      </w:r>
      <w:hyperlink w:history="1" w:anchor="b_senales_examen">
        <w:r>
          <w:rPr>
            <w:color w:val="156B70"/>
            <w:u w:val="single"/>
          </w:rPr>
          <w:t xml:space="preserve">1 indicación(es) de examen de este tramo, en el apéndice cronológico</w:t>
        </w:r>
      </w:hyperlink>
      <w:r>
        <w:t xml:space="preserve">, pág. </w:t>
      </w:r>
      <w:r>
        <w:fldChar w:fldCharType="begin"/>
        <w:instrText xml:space="preserve">PAGEREF b_senales_examen \h</w:instrText>
        <w:fldChar w:fldCharType="separate"/>
        <w:t xml:space="preserve">1663</w:t>
        <w:fldChar w:fldCharType="end"/>
      </w:r>
      <w:r>
        <w:t xml:space="preserve">.</w:t>
      </w:r>
    </w:p>
    <w:p>
      <w:pPr>
        <w:pStyle w:val="Fuente"/>
      </w:pPr>
      <w:r>
        <w:t xml:space="preserve">Véase </w:t>
      </w:r>
      <w:hyperlink w:history="1" w:anchor="b_3_4">
        <w:r>
          <w:rPr>
            <w:color w:val="156B70"/>
            <w:u w:val="single"/>
          </w:rPr>
          <w:t xml:space="preserve">capítulo 3.4 · Interdependencias sistémicas</w:t>
        </w:r>
      </w:hyperlink>
      <w:r>
        <w:t xml:space="preserve">, pág. </w:t>
      </w:r>
      <w:r>
        <w:fldChar w:fldCharType="begin"/>
        <w:instrText xml:space="preserve">PAGEREF b_3_4 \h</w:instrText>
        <w:fldChar w:fldCharType="separate"/>
        <w:t xml:space="preserve">476</w:t>
        <w:fldChar w:fldCharType="end"/>
      </w:r>
      <w:r>
        <w:t xml:space="preserve">.</w:t>
      </w:r>
    </w:p>
    <w:p>
      <w:pPr>
        <w:pStyle w:val="Heading3"/>
      </w:pPr>
      <w:bookmarkStart w:name="b_clase_3_1_c10_cap_03" w:id="2055"/>
      <w:r>
        <w:t xml:space="preserve">Clase 10 · 00:20:36–00:26:21 · Repaso de las cuatro reglas y los bits de información</w:t>
      </w:r>
      <w:bookmarkEnd w:id="2055"/>
    </w:p>
    <w:p>
      <w:bookmarkStart w:name="b_punto_c10_cap_03_p02" w:id="2056"/>
      <w:r>
        <w:t xml:space="preserve">Los bits de información son pequeñas ideas o conceptos percibidos, comparados con peces de un cardumen.</w:t>
      </w:r>
      <w:bookmarkEnd w:id="2056"/>
    </w:p>
    <w:p>
      <w:bookmarkStart w:name="b_punto_c10_cap_03_p03" w:id="2057"/>
      <w:r>
        <w:t xml:space="preserve">La organización y dinámica colectiva de conceptos hace emerger pensamiento sistémico; los modelos mentales son sistemas adaptativos complejos.</w:t>
      </w:r>
      <w:bookmarkEnd w:id="2057"/>
    </w:p>
    <w:p>
      <w:bookmarkStart w:name="b_punto_c10_cap_03_p05" w:id="2058"/>
      <w:r>
        <w:t xml:space="preserve">El profesor anuncia un video del equipo Cabrera para reforzar DSRP.</w:t>
      </w:r>
      <w:bookmarkEnd w:id="2058"/>
    </w:p>
    <w:p>
      <w:pPr>
        <w:pStyle w:val="Fuente"/>
      </w:pPr>
      <w:r>
        <w:t xml:space="preserve">Véase </w:t>
      </w:r>
      <w:hyperlink w:history="1" w:anchor="b_3_2">
        <w:r>
          <w:rPr>
            <w:color w:val="156B70"/>
            <w:u w:val="single"/>
          </w:rPr>
          <w:t xml:space="preserve">capítulo 3.2 · Mapas DSRP generales</w:t>
        </w:r>
      </w:hyperlink>
      <w:r>
        <w:t xml:space="preserve">, pág. </w:t>
      </w:r>
      <w:r>
        <w:fldChar w:fldCharType="begin"/>
        <w:instrText xml:space="preserve">PAGEREF b_3_2 \h</w:instrText>
        <w:fldChar w:fldCharType="separate"/>
        <w:t xml:space="preserve">404</w:t>
        <w:fldChar w:fldCharType="end"/>
      </w:r>
      <w:r>
        <w:t xml:space="preserve">.</w:t>
      </w:r>
    </w:p>
    <w:p>
      <w:pPr>
        <w:pStyle w:val="Heading3"/>
      </w:pPr>
      <w:bookmarkStart w:name="b_clase_3_1_c10_cap_05" w:id="2059"/>
      <w:r>
        <w:t xml:space="preserve">Clase 10 · 00:38:00–00:47:26 · Mapas DSRP y la regla de distinción</w:t>
      </w:r>
      <w:bookmarkEnd w:id="2059"/>
    </w:p>
    <w:p>
      <w:bookmarkStart w:name="b_punto_c10_cap_05_p04" w:id="2060"/>
      <w:r>
        <w:t xml:space="preserve">Cada distinción queda circunscrita al contexto y el modelo exige un sistema real de referencia.</w:t>
      </w:r>
      <w:bookmarkEnd w:id="2060"/>
    </w:p>
    <w:p>
      <w:pPr>
        <w:pStyle w:val="Fuente"/>
      </w:pPr>
      <w:r>
        <w:t xml:space="preserve">Véase </w:t>
      </w:r>
      <w:hyperlink w:history="1" w:anchor="b_senales_examen">
        <w:r>
          <w:rPr>
            <w:color w:val="156B70"/>
            <w:u w:val="single"/>
          </w:rPr>
          <w:t xml:space="preserve">1 indicación(es) de examen de este tramo, en el apéndice cronológico</w:t>
        </w:r>
      </w:hyperlink>
      <w:r>
        <w:t xml:space="preserve">, pág. </w:t>
      </w:r>
      <w:r>
        <w:fldChar w:fldCharType="begin"/>
        <w:instrText xml:space="preserve">PAGEREF b_senales_examen \h</w:instrText>
        <w:fldChar w:fldCharType="separate"/>
        <w:t xml:space="preserve">1663</w:t>
        <w:fldChar w:fldCharType="end"/>
      </w:r>
      <w:r>
        <w:t xml:space="preserve">.</w:t>
      </w:r>
    </w:p>
    <w:p>
      <w:pPr>
        <w:pStyle w:val="Fuente"/>
      </w:pPr>
      <w:r>
        <w:t xml:space="preserve">Véase </w:t>
      </w:r>
      <w:hyperlink w:history="1" w:anchor="b_3_2">
        <w:r>
          <w:rPr>
            <w:color w:val="156B70"/>
            <w:u w:val="single"/>
          </w:rPr>
          <w:t xml:space="preserve">capítulo 3.2 · Mapas DSRP generales</w:t>
        </w:r>
      </w:hyperlink>
      <w:r>
        <w:t xml:space="preserve">, pág. </w:t>
      </w:r>
      <w:r>
        <w:fldChar w:fldCharType="begin"/>
        <w:instrText xml:space="preserve">PAGEREF b_3_2 \h</w:instrText>
        <w:fldChar w:fldCharType="separate"/>
        <w:t xml:space="preserve">404</w:t>
        <w:fldChar w:fldCharType="end"/>
      </w:r>
      <w:r>
        <w:t xml:space="preserve">.</w:t>
      </w:r>
    </w:p>
    <w:p>
      <w:pPr>
        <w:pStyle w:val="Heading3"/>
      </w:pPr>
      <w:bookmarkStart w:name="b_clase_3_1_c10_cap_08" w:id="2061"/>
      <w:r>
        <w:t xml:space="preserve">Clase 10 · 01:00:27–01:12:13 · Construcción en vivo del mapa empresa-cliente</w:t>
      </w:r>
      <w:bookmarkEnd w:id="2061"/>
    </w:p>
    <w:p>
      <w:bookmarkStart w:name="b_punto_c10_cap_08_p01" w:id="2062"/>
      <w:r>
        <w:t xml:space="preserve">Plectica es una herramienta; se puede mapear con otros programas o a mano.</w:t>
      </w:r>
      <w:bookmarkEnd w:id="2062"/>
    </w:p>
    <w:p>
      <w:bookmarkStart w:name="b_punto_c10_cap_08_p02" w:id="2063"/>
      <w:r>
        <w:t xml:space="preserve">Parte del trabajo de la unidad es convertir la descripción de lo pensado sobre un sistema en un mapa.</w:t>
      </w:r>
      <w:bookmarkEnd w:id="2063"/>
    </w:p>
    <w:p>
      <w:bookmarkStart w:name="b_punto_c10_cap_08_p05" w:id="2064"/>
      <w:r>
        <w:t xml:space="preserve">Cliente y empresa son conceptos generales; nombres específicos personalizan el modelo según propósito.</w:t>
      </w:r>
      <w:bookmarkEnd w:id="2064"/>
    </w:p>
    <w:p>
      <w:bookmarkStart w:name="b_punto_c10_cap_08_p08" w:id="2065"/>
      <w:r>
        <w:t xml:space="preserve">Externalizar lo complejo permite ver la estructura completa, detectar relaciones erróneas o conceptos faltantes.</w:t>
      </w:r>
      <w:bookmarkEnd w:id="2065"/>
    </w:p>
    <w:p>
      <w:pPr>
        <w:pStyle w:val="Fuente"/>
      </w:pPr>
      <w:r>
        <w:t xml:space="preserve">Véase </w:t>
      </w:r>
      <w:hyperlink w:history="1" w:anchor="b_senales_examen">
        <w:r>
          <w:rPr>
            <w:color w:val="156B70"/>
            <w:u w:val="single"/>
          </w:rPr>
          <w:t xml:space="preserve">2 indicación(es) de examen de este tramo, en el apéndice cronológico</w:t>
        </w:r>
      </w:hyperlink>
      <w:r>
        <w:t xml:space="preserve">, pág. </w:t>
      </w:r>
      <w:r>
        <w:fldChar w:fldCharType="begin"/>
        <w:instrText xml:space="preserve">PAGEREF b_senales_examen \h</w:instrText>
        <w:fldChar w:fldCharType="separate"/>
        <w:t xml:space="preserve">1663</w:t>
        <w:fldChar w:fldCharType="end"/>
      </w:r>
      <w:r>
        <w:t xml:space="preserve">.</w:t>
      </w:r>
    </w:p>
    <w:p>
      <w:pPr>
        <w:pStyle w:val="Fuente"/>
      </w:pPr>
      <w:r>
        <w:t xml:space="preserve">Véase </w:t>
      </w:r>
      <w:hyperlink w:history="1" w:anchor="b_3_2">
        <w:r>
          <w:rPr>
            <w:color w:val="156B70"/>
            <w:u w:val="single"/>
          </w:rPr>
          <w:t xml:space="preserve">capítulo 3.2 · Mapas DSRP generales</w:t>
        </w:r>
      </w:hyperlink>
      <w:r>
        <w:t xml:space="preserve">, pág. </w:t>
      </w:r>
      <w:r>
        <w:fldChar w:fldCharType="begin"/>
        <w:instrText xml:space="preserve">PAGEREF b_3_2 \h</w:instrText>
        <w:fldChar w:fldCharType="separate"/>
        <w:t xml:space="preserve">404</w:t>
        <w:fldChar w:fldCharType="end"/>
      </w:r>
      <w:r>
        <w:t xml:space="preserve">.</w:t>
      </w:r>
    </w:p>
    <w:p>
      <w:pPr>
        <w:pStyle w:val="Heading3"/>
      </w:pPr>
      <w:bookmarkStart w:name="b_clase_3_1_c10_cap_11" w:id="2066"/>
      <w:r>
        <w:t xml:space="preserve">Clase 10 · 01:29:42–01:37:39 · Modelos mentales, notación y el mapa de la teoría de sistemas</w:t>
      </w:r>
      <w:bookmarkEnd w:id="2066"/>
    </w:p>
    <w:p>
      <w:bookmarkStart w:name="b_punto_c10_cap_11_p01" w:id="2067"/>
      <w:r>
        <w:t xml:space="preserve">Información estructurada por S, R y P compone los supuestos y creencias del modelo mental.</w:t>
      </w:r>
      <w:bookmarkEnd w:id="2067"/>
    </w:p>
    <w:p>
      <w:bookmarkStart w:name="b_punto_c10_cap_11_p02" w:id="2068"/>
      <w:r>
        <w:t xml:space="preserve">Plátano, naranja y manzana forman un sistema de frutas que puede ampliarse con verduras o perspectivas.</w:t>
      </w:r>
      <w:bookmarkEnd w:id="2068"/>
    </w:p>
    <w:p>
      <w:bookmarkStart w:name="b_punto_c10_cap_11_p07" w:id="2069"/>
      <w:r>
        <w:t xml:space="preserve">El mapa sintetiza una teoría del autor y puede comunicarse; la historia completa expresa supuestos mediante oraciones.</w:t>
      </w:r>
      <w:bookmarkEnd w:id="2069"/>
    </w:p>
    <w:p>
      <w:pPr>
        <w:pStyle w:val="Fuente"/>
      </w:pPr>
      <w:r>
        <w:t xml:space="preserve">Véase </w:t>
      </w:r>
      <w:hyperlink w:history="1" w:anchor="b_3_2">
        <w:r>
          <w:rPr>
            <w:color w:val="156B70"/>
            <w:u w:val="single"/>
          </w:rPr>
          <w:t xml:space="preserve">capítulo 3.2 · Mapas DSRP generales</w:t>
        </w:r>
      </w:hyperlink>
      <w:r>
        <w:t xml:space="preserve">, pág. </w:t>
      </w:r>
      <w:r>
        <w:fldChar w:fldCharType="begin"/>
        <w:instrText xml:space="preserve">PAGEREF b_3_2 \h</w:instrText>
        <w:fldChar w:fldCharType="separate"/>
        <w:t xml:space="preserve">404</w:t>
        <w:fldChar w:fldCharType="end"/>
      </w:r>
      <w:r>
        <w:t xml:space="preserve">.</w:t>
      </w:r>
    </w:p>
    <w:p>
      <w:pPr>
        <w:pStyle w:val="Heading3"/>
      </w:pPr>
      <w:bookmarkStart w:name="b_clase_3_1_c10_cap_12" w:id="2070"/>
      <w:r>
        <w:t xml:space="preserve">Clase 10 · 01:37:39–01:41:01 · Tarea y cierre</w:t>
      </w:r>
      <w:bookmarkEnd w:id="2070"/>
    </w:p>
    <w:p>
      <w:bookmarkStart w:name="b_punto_c10_cap_12_p01" w:id="2071"/>
      <w:r>
        <w:t xml:space="preserve">La teoría expresa los supuestos y creencias que el gráfico sintetiza.</w:t>
      </w:r>
      <w:bookmarkEnd w:id="2071"/>
    </w:p>
    <w:p>
      <w:pPr>
        <w:pStyle w:val="Fuente"/>
      </w:pPr>
      <w:r>
        <w:t xml:space="preserve">Véase </w:t>
      </w:r>
      <w:hyperlink w:history="1" w:anchor="b_senales_examen">
        <w:r>
          <w:rPr>
            <w:color w:val="156B70"/>
            <w:u w:val="single"/>
          </w:rPr>
          <w:t xml:space="preserve">1 indicación(es) de examen de este tramo, en el apéndice cronológico</w:t>
        </w:r>
      </w:hyperlink>
      <w:r>
        <w:t xml:space="preserve">, pág. </w:t>
      </w:r>
      <w:r>
        <w:fldChar w:fldCharType="begin"/>
        <w:instrText xml:space="preserve">PAGEREF b_senales_examen \h</w:instrText>
        <w:fldChar w:fldCharType="separate"/>
        <w:t xml:space="preserve">1663</w:t>
        <w:fldChar w:fldCharType="end"/>
      </w:r>
      <w:r>
        <w:t xml:space="preserve">.</w:t>
      </w:r>
    </w:p>
    <w:p>
      <w:pPr>
        <w:pStyle w:val="Fuente"/>
      </w:pPr>
      <w:r>
        <w:t xml:space="preserve">Véase </w:t>
      </w:r>
      <w:hyperlink w:history="1" w:anchor="b_3_2">
        <w:r>
          <w:rPr>
            <w:color w:val="156B70"/>
            <w:u w:val="single"/>
          </w:rPr>
          <w:t xml:space="preserve">capítulo 3.2 · Mapas DSRP generales</w:t>
        </w:r>
      </w:hyperlink>
      <w:r>
        <w:t xml:space="preserve">, pág. </w:t>
      </w:r>
      <w:r>
        <w:fldChar w:fldCharType="begin"/>
        <w:instrText xml:space="preserve">PAGEREF b_3_2 \h</w:instrText>
        <w:fldChar w:fldCharType="separate"/>
        <w:t xml:space="preserve">404</w:t>
        <w:fldChar w:fldCharType="end"/>
      </w:r>
      <w:r>
        <w:t xml:space="preserve">.</w:t>
      </w:r>
    </w:p>
    <w:p>
      <w:pPr>
        <w:pStyle w:val="Heading3"/>
      </w:pPr>
      <w:bookmarkStart w:name="b_clase_3_1_c11_cap_03" w:id="2072"/>
      <w:r>
        <w:t xml:space="preserve">Clase 11 · 00:18:39–00:24:08 · Combinar las reglas y el medio de representación</w:t>
      </w:r>
      <w:bookmarkEnd w:id="2072"/>
    </w:p>
    <w:p>
      <w:bookmarkStart w:name="b_punto_c11_cap_03_p01" w:id="2073"/>
      <w:r>
        <w:t xml:space="preserve">El contenido cambia con el sistema y estructuras similares pueden combinarse para generar modelos más complejos.</w:t>
      </w:r>
      <w:bookmarkEnd w:id="2073"/>
    </w:p>
    <w:p>
      <w:bookmarkStart w:name="b_punto_c11_cap_03_p04" w:id="2074"/>
      <w:r>
        <w:t xml:space="preserve">El soporte puede ser programa, papel, pizarra u objetos: es necesario conservar la sintaxis para que otro interprete el modelo.</w:t>
      </w:r>
      <w:bookmarkEnd w:id="2074"/>
    </w:p>
    <w:p>
      <w:bookmarkStart w:name="b_punto_c11_cap_03_p05" w:id="2075"/>
      <w:r>
        <w:t xml:space="preserve">Contenido informacional y estructura forman un modelo que representa el sistema real.</w:t>
      </w:r>
      <w:bookmarkEnd w:id="2075"/>
    </w:p>
    <w:p>
      <w:pPr>
        <w:pStyle w:val="Fuente"/>
      </w:pPr>
      <w:r>
        <w:t xml:space="preserve">Véase </w:t>
      </w:r>
      <w:hyperlink w:history="1" w:anchor="b_3_2">
        <w:r>
          <w:rPr>
            <w:color w:val="156B70"/>
            <w:u w:val="single"/>
          </w:rPr>
          <w:t xml:space="preserve">capítulo 3.2 · Mapas DSRP generales</w:t>
        </w:r>
      </w:hyperlink>
      <w:r>
        <w:t xml:space="preserve">, pág. </w:t>
      </w:r>
      <w:r>
        <w:fldChar w:fldCharType="begin"/>
        <w:instrText xml:space="preserve">PAGEREF b_3_2 \h</w:instrText>
        <w:fldChar w:fldCharType="separate"/>
        <w:t xml:space="preserve">404</w:t>
        <w:fldChar w:fldCharType="end"/>
      </w:r>
      <w:r>
        <w:t xml:space="preserve">.</w:t>
      </w:r>
    </w:p>
    <w:p>
      <w:pPr>
        <w:pStyle w:val="Heading3"/>
      </w:pPr>
      <w:bookmarkStart w:name="b_clase_3_1_c11_cap_04" w:id="2076"/>
      <w:r>
        <w:t xml:space="preserve">Clase 11 · 00:24:08–00:29:27 · El ciclo entre el modelo mental y el mundo real</w:t>
      </w:r>
      <w:bookmarkEnd w:id="2076"/>
    </w:p>
    <w:p>
      <w:bookmarkStart w:name="b_punto_c11_cap_04_p01" w:id="2077"/>
      <w:r>
        <w:t xml:space="preserve">El modelo nace en abstracción, se concreta en gráfico y puede orientar comprensión, decisiones y acciones.</w:t>
      </w:r>
      <w:bookmarkEnd w:id="2077"/>
    </w:p>
    <w:p>
      <w:bookmarkStart w:name="b_punto_c11_cap_04_p02" w:id="2078"/>
      <w:r>
        <w:t xml:space="preserve">Una acción de prueba devuelve resultados que apoyan o cuestionan lo supuesto en el modelo.</w:t>
      </w:r>
      <w:bookmarkEnd w:id="2078"/>
    </w:p>
    <w:p>
      <w:bookmarkStart w:name="b_punto_c11_cap_04_p03" w:id="2079"/>
      <w:r>
        <w:t xml:space="preserve">Un resultado inesperado puede revelar relaciones reales omitidas; la iteración de prueba y error amplía comprensión.</w:t>
      </w:r>
      <w:bookmarkEnd w:id="2079"/>
    </w:p>
    <w:p>
      <w:bookmarkStart w:name="b_punto_c11_cap_04_p04" w:id="2080"/>
      <w:r>
        <w:t xml:space="preserve">Se busca reducir la brecha entre sistema real y modelo, haciendo consciente lo pensado antes de probarlo.</w:t>
      </w:r>
      <w:bookmarkEnd w:id="2080"/>
    </w:p>
    <w:p>
      <w:bookmarkStart w:name="b_punto_c11_cap_04_p05" w:id="2081"/>
      <w:r>
        <w:t xml:space="preserve">La prueba se parece a un experimento: se supone información y estructura y se confronta con el sistema.</w:t>
      </w:r>
      <w:bookmarkEnd w:id="2081"/>
    </w:p>
    <w:p>
      <w:bookmarkStart w:name="b_punto_c11_cap_04_p06" w:id="2082"/>
      <w:r>
        <w:t xml:space="preserve">Pensamiento sistémico es generar una estructura que, con información específica, representa el sistema por modelar.</w:t>
      </w:r>
      <w:bookmarkEnd w:id="2082"/>
    </w:p>
    <w:p>
      <w:pPr>
        <w:pStyle w:val="Heading3"/>
      </w:pPr>
      <w:bookmarkStart w:name="b_clase_3_1_c11_cap_05" w:id="2083"/>
      <w:r>
        <w:t xml:space="preserve">Clase 11 · 00:29:27–00:37:29 · Barras: el sistema educativo y la teoría del mapa</w:t>
      </w:r>
      <w:bookmarkEnd w:id="2083"/>
    </w:p>
    <w:p>
      <w:bookmarkStart w:name="b_punto_c11_cap_05_p02" w:id="2084"/>
      <w:r>
        <w:t xml:space="preserve">Un modelo concreto usa nombres específicos y uno general variables cuyos valores pueden cambiar.</w:t>
      </w:r>
      <w:bookmarkEnd w:id="2084"/>
    </w:p>
    <w:p>
      <w:bookmarkStart w:name="b_punto_c11_cap_05_p04" w:id="2085"/>
      <w:r>
        <w:t xml:space="preserve">Leer las relaciones como oraciones desarrolla la teoría: supuestos y creencias que el diagrama sintetiza.</w:t>
      </w:r>
      <w:bookmarkEnd w:id="2085"/>
    </w:p>
    <w:p>
      <w:pPr>
        <w:pStyle w:val="Fuente"/>
      </w:pPr>
      <w:r>
        <w:t xml:space="preserve">Véase </w:t>
      </w:r>
      <w:hyperlink w:history="1" w:anchor="b_3_2">
        <w:r>
          <w:rPr>
            <w:color w:val="156B70"/>
            <w:u w:val="single"/>
          </w:rPr>
          <w:t xml:space="preserve">capítulo 3.2 · Mapas DSRP generales</w:t>
        </w:r>
      </w:hyperlink>
      <w:r>
        <w:t xml:space="preserve">, pág. </w:t>
      </w:r>
      <w:r>
        <w:fldChar w:fldCharType="begin"/>
        <w:instrText xml:space="preserve">PAGEREF b_3_2 \h</w:instrText>
        <w:fldChar w:fldCharType="separate"/>
        <w:t xml:space="preserve">404</w:t>
        <w:fldChar w:fldCharType="end"/>
      </w:r>
      <w:r>
        <w:t xml:space="preserve">.</w:t>
      </w:r>
    </w:p>
    <w:p>
      <w:pPr>
        <w:pStyle w:val="Heading3"/>
      </w:pPr>
      <w:bookmarkStart w:name="b_clase_3_1_c11_cap_06" w:id="2086"/>
      <w:r>
        <w:t xml:space="preserve">Clase 11 · 00:37:29–00:51:35 · Perspectivas múltiples, sub-perspectivas y analogías</w:t>
      </w:r>
      <w:bookmarkEnd w:id="2086"/>
    </w:p>
    <w:p>
      <w:bookmarkStart w:name="b_punto_c11_cap_06_p02" w:id="2087"/>
      <w:r>
        <w:t xml:space="preserve">Los mapas del nacimiento y del11 de septiembre ejemplifican teorías del autor sobre situaciones distintas.</w:t>
      </w:r>
      <w:bookmarkEnd w:id="2087"/>
    </w:p>
    <w:p>
      <w:bookmarkStart w:name="b_punto_c11_cap_06_p06" w:id="2088"/>
      <w:r>
        <w:t xml:space="preserve">El curso estudia cómo se representan sistemas; viajes y accidentes son contenido informacional de los ejemplos.</w:t>
      </w:r>
      <w:bookmarkEnd w:id="2088"/>
    </w:p>
    <w:p>
      <w:pPr>
        <w:pStyle w:val="Fuente"/>
      </w:pPr>
      <w:r>
        <w:t xml:space="preserve">Véase </w:t>
      </w:r>
      <w:hyperlink w:history="1" w:anchor="b_3_2">
        <w:r>
          <w:rPr>
            <w:color w:val="156B70"/>
            <w:u w:val="single"/>
          </w:rPr>
          <w:t xml:space="preserve">capítulo 3.2 · Mapas DSRP generales</w:t>
        </w:r>
      </w:hyperlink>
      <w:r>
        <w:t xml:space="preserve">, pág. </w:t>
      </w:r>
      <w:r>
        <w:fldChar w:fldCharType="begin"/>
        <w:instrText xml:space="preserve">PAGEREF b_3_2 \h</w:instrText>
        <w:fldChar w:fldCharType="separate"/>
        <w:t xml:space="preserve">404</w:t>
        <w:fldChar w:fldCharType="end"/>
      </w:r>
      <w:r>
        <w:t xml:space="preserve">.</w:t>
      </w:r>
    </w:p>
    <w:p>
      <w:pPr>
        <w:pStyle w:val="Heading3"/>
      </w:pPr>
      <w:bookmarkStart w:name="b_clase_3_1_c11_cap_08" w:id="2089"/>
      <w:r>
        <w:t xml:space="preserve">Clase 11 · 00:58:49–01:13:00 · Corrección en vivo del mapa de un estudiante</w:t>
      </w:r>
      <w:bookmarkEnd w:id="2089"/>
    </w:p>
    <w:p>
      <w:bookmarkStart w:name="b_punto_c11_cap_08_p01" w:id="2090"/>
      <w:r>
        <w:t xml:space="preserve">Un estudiante consulta si puede separar por color D, S, R y P; se revisa la sintaxis de ese mapa.</w:t>
      </w:r>
      <w:bookmarkEnd w:id="2090"/>
    </w:p>
    <w:p>
      <w:bookmarkStart w:name="b_punto_c11_cap_08_p07" w:id="2091"/>
      <w:r>
        <w:t xml:space="preserve">En el niño corriendo por el parque, sujeto/verbo/predicado están en la estructura de la oración, sin rotularse como contenido.</w:t>
      </w:r>
      <w:bookmarkEnd w:id="2091"/>
    </w:p>
    <w:p>
      <w:pPr>
        <w:pStyle w:val="Fuente"/>
      </w:pPr>
      <w:r>
        <w:t xml:space="preserve">Véase </w:t>
      </w:r>
      <w:hyperlink w:history="1" w:anchor="b_senales_examen">
        <w:r>
          <w:rPr>
            <w:color w:val="156B70"/>
            <w:u w:val="single"/>
          </w:rPr>
          <w:t xml:space="preserve">1 indicación(es) de examen de este tramo, en el apéndice cronológico</w:t>
        </w:r>
      </w:hyperlink>
      <w:r>
        <w:t xml:space="preserve">, pág. </w:t>
      </w:r>
      <w:r>
        <w:fldChar w:fldCharType="begin"/>
        <w:instrText xml:space="preserve">PAGEREF b_senales_examen \h</w:instrText>
        <w:fldChar w:fldCharType="separate"/>
        <w:t xml:space="preserve">1663</w:t>
        <w:fldChar w:fldCharType="end"/>
      </w:r>
      <w:r>
        <w:t xml:space="preserve">.</w:t>
      </w:r>
    </w:p>
    <w:p>
      <w:pPr>
        <w:pStyle w:val="Fuente"/>
      </w:pPr>
      <w:r>
        <w:t xml:space="preserve">Véase </w:t>
      </w:r>
      <w:hyperlink w:history="1" w:anchor="b_3_2">
        <w:r>
          <w:rPr>
            <w:color w:val="156B70"/>
            <w:u w:val="single"/>
          </w:rPr>
          <w:t xml:space="preserve">capítulo 3.2 · Mapas DSRP generales</w:t>
        </w:r>
      </w:hyperlink>
      <w:r>
        <w:t xml:space="preserve">, pág. </w:t>
      </w:r>
      <w:r>
        <w:fldChar w:fldCharType="begin"/>
        <w:instrText xml:space="preserve">PAGEREF b_3_2 \h</w:instrText>
        <w:fldChar w:fldCharType="separate"/>
        <w:t xml:space="preserve">404</w:t>
        <w:fldChar w:fldCharType="end"/>
      </w:r>
      <w:r>
        <w:t xml:space="preserve">.</w:t>
      </w:r>
    </w:p>
    <w:p>
      <w:pPr>
        <w:pStyle w:val="Heading3"/>
      </w:pPr>
      <w:bookmarkStart w:name="b_clase_3_1_c11_cap_09" w:id="2092"/>
      <w:r>
        <w:t xml:space="preserve">Clase 11 · 01:13:00–01:34:07 · Reconstrucción del mapa de la Universidad de San Carlos</w:t>
      </w:r>
      <w:bookmarkEnd w:id="2092"/>
    </w:p>
    <w:p>
      <w:bookmarkStart w:name="b_punto_c11_cap_09_p07" w:id="2093"/>
      <w:r>
        <w:t xml:space="preserve">La disposición puede variar entre autores y debe mantener relaciones legibles; un mapa no tiene que ser idéntico a otro.</w:t>
      </w:r>
      <w:bookmarkEnd w:id="2093"/>
    </w:p>
    <w:p>
      <w:pPr>
        <w:pStyle w:val="Fuente"/>
      </w:pPr>
      <w:r>
        <w:t xml:space="preserve">Véase </w:t>
      </w:r>
      <w:hyperlink w:history="1" w:anchor="b_3_2">
        <w:r>
          <w:rPr>
            <w:color w:val="156B70"/>
            <w:u w:val="single"/>
          </w:rPr>
          <w:t xml:space="preserve">capítulo 3.2 · Mapas DSRP generales</w:t>
        </w:r>
      </w:hyperlink>
      <w:r>
        <w:t xml:space="preserve">, pág. </w:t>
      </w:r>
      <w:r>
        <w:fldChar w:fldCharType="begin"/>
        <w:instrText xml:space="preserve">PAGEREF b_3_2 \h</w:instrText>
        <w:fldChar w:fldCharType="separate"/>
        <w:t xml:space="preserve">404</w:t>
        <w:fldChar w:fldCharType="end"/>
      </w:r>
      <w:r>
        <w:t xml:space="preserve">.</w:t>
      </w:r>
    </w:p>
    <w:p>
      <w:pPr>
        <w:pStyle w:val="Heading3"/>
      </w:pPr>
      <w:bookmarkStart w:name="b_clase_3_1_c11_cap_10" w:id="2094"/>
      <w:r>
        <w:t xml:space="preserve">Clase 11 · 01:34:07–01:42:02 · Cierre: relaciones significativas y anuncios</w:t>
      </w:r>
      <w:bookmarkEnd w:id="2094"/>
    </w:p>
    <w:p>
      <w:bookmarkStart w:name="b_punto_c11_cap_10_p02" w:id="2095"/>
      <w:r>
        <w:t xml:space="preserve">Lo conocido se interpreta más fácilmente; un modelo puede servir para empezar a conocer un sistema poco familiar.</w:t>
      </w:r>
      <w:bookmarkEnd w:id="2095"/>
    </w:p>
    <w:p>
      <w:bookmarkStart w:name="b_punto_c11_cap_10_p05" w:id="2096"/>
      <w:r>
        <w:t xml:space="preserve">Universidad, sistemas naturales y organizaciones son ejemplos de contenido para estudiar estructuras.</w:t>
      </w:r>
      <w:bookmarkEnd w:id="2096"/>
    </w:p>
    <w:p>
      <w:pPr>
        <w:pStyle w:val="Fuente"/>
      </w:pPr>
      <w:r>
        <w:t xml:space="preserve">Véase </w:t>
      </w:r>
      <w:hyperlink w:history="1" w:anchor="b_3_2">
        <w:r>
          <w:rPr>
            <w:color w:val="156B70"/>
            <w:u w:val="single"/>
          </w:rPr>
          <w:t xml:space="preserve">capítulo 3.2 · Mapas DSRP generales</w:t>
        </w:r>
      </w:hyperlink>
      <w:r>
        <w:t xml:space="preserve">, pág. </w:t>
      </w:r>
      <w:r>
        <w:fldChar w:fldCharType="begin"/>
        <w:instrText xml:space="preserve">PAGEREF b_3_2 \h</w:instrText>
        <w:fldChar w:fldCharType="separate"/>
        <w:t xml:space="preserve">404</w:t>
        <w:fldChar w:fldCharType="end"/>
      </w:r>
      <w:r>
        <w:t xml:space="preserve">.</w:t>
      </w:r>
    </w:p>
    <w:p>
      <w:pPr>
        <w:pStyle w:val="Fuente"/>
      </w:pPr>
      <w:r>
        <w:t xml:space="preserve">Véase </w:t>
      </w:r>
      <w:hyperlink w:history="1" w:anchor="b_3_9">
        <w:r>
          <w:rPr>
            <w:color w:val="156B70"/>
            <w:u w:val="single"/>
          </w:rPr>
          <w:t xml:space="preserve">capítulo 3.9 · Hábitos (complejo)</w:t>
        </w:r>
      </w:hyperlink>
      <w:r>
        <w:t xml:space="preserve">, pág. </w:t>
      </w:r>
      <w:r>
        <w:fldChar w:fldCharType="begin"/>
        <w:instrText xml:space="preserve">PAGEREF b_3_9 \h</w:instrText>
        <w:fldChar w:fldCharType="separate"/>
        <w:t xml:space="preserve">622</w:t>
        <w:fldChar w:fldCharType="end"/>
      </w:r>
      <w:r>
        <w:t xml:space="preserve">.</w:t>
      </w:r>
    </w:p>
    <w:p>
      <w:pPr>
        <w:pStyle w:val="Fuente"/>
      </w:pPr>
      <w:r>
        <w:t xml:space="preserve">Véase </w:t>
      </w:r>
      <w:hyperlink w:history="1" w:anchor="b_3_4">
        <w:r>
          <w:rPr>
            <w:color w:val="156B70"/>
            <w:u w:val="single"/>
          </w:rPr>
          <w:t xml:space="preserve">capítulo 3.4 · Interdependencias sistémicas</w:t>
        </w:r>
      </w:hyperlink>
      <w:r>
        <w:t xml:space="preserve">, pág. </w:t>
      </w:r>
      <w:r>
        <w:fldChar w:fldCharType="begin"/>
        <w:instrText xml:space="preserve">PAGEREF b_3_4 \h</w:instrText>
        <w:fldChar w:fldCharType="separate"/>
        <w:t xml:space="preserve">476</w:t>
        <w:fldChar w:fldCharType="end"/>
      </w:r>
      <w:r>
        <w:t xml:space="preserve">.</w:t>
      </w:r>
    </w:p>
    <w:p>
      <w:pPr>
        <w:pStyle w:val="Heading3"/>
      </w:pPr>
      <w:bookmarkStart w:name="b_clase_3_1_c12_cap_04" w:id="2097"/>
      <w:r>
        <w:t xml:space="preserve">Clase 12 · 00:34:17–00:41:52 · Segunda tarea y abstracción de variables</w:t>
      </w:r>
      <w:bookmarkEnd w:id="2097"/>
    </w:p>
    <w:p>
      <w:bookmarkStart w:name="b_punto_c12_cap_04_p01" w:id="2098"/>
      <w:r>
        <w:t xml:space="preserve">La segunda tarea pide un sistema informático organizacional, como software de recursos y procesos.</w:t>
      </w:r>
      <w:bookmarkEnd w:id="2098"/>
    </w:p>
    <w:p>
      <w:bookmarkStart w:name="b_punto_c12_cap_04_p02" w:id="2099"/>
      <w:r>
        <w:t xml:space="preserve">Se piden componentes, interacciones, entradas/salidas y perspectivas de ese sistema informático.</w:t>
      </w:r>
      <w:bookmarkEnd w:id="2099"/>
    </w:p>
    <w:p>
      <w:bookmarkStart w:name="b_punto_c12_cap_04_p03" w:id="2100"/>
      <w:r>
        <w:t xml:space="preserve">El modelo admite nombres generales o específicos si mantiene sintaxis y contenido pertinente.</w:t>
      </w:r>
      <w:bookmarkEnd w:id="2100"/>
    </w:p>
    <w:p>
      <w:bookmarkStart w:name="b_punto_c12_cap_04_p04" w:id="2101"/>
      <w:r>
        <w:t xml:space="preserve">Nombrar 40 estudiantes da detalle; estudiantes del curso abstrae el grupo dentro de curso, pensum y facultad.</w:t>
      </w:r>
      <w:bookmarkEnd w:id="2101"/>
    </w:p>
    <w:p>
      <w:pPr>
        <w:pStyle w:val="Fuente"/>
      </w:pPr>
      <w:r>
        <w:t xml:space="preserve">Véase </w:t>
      </w:r>
      <w:hyperlink w:history="1" w:anchor="b_3_9">
        <w:r>
          <w:rPr>
            <w:color w:val="156B70"/>
            <w:u w:val="single"/>
          </w:rPr>
          <w:t xml:space="preserve">capítulo 3.9 · Hábitos (complejo)</w:t>
        </w:r>
      </w:hyperlink>
      <w:r>
        <w:t xml:space="preserve">, pág. </w:t>
      </w:r>
      <w:r>
        <w:fldChar w:fldCharType="begin"/>
        <w:instrText xml:space="preserve">PAGEREF b_3_9 \h</w:instrText>
        <w:fldChar w:fldCharType="separate"/>
        <w:t xml:space="preserve">622</w:t>
        <w:fldChar w:fldCharType="end"/>
      </w:r>
      <w:r>
        <w:t xml:space="preserve">.</w:t>
      </w:r>
    </w:p>
    <w:p>
      <w:pPr>
        <w:pStyle w:val="Heading3"/>
      </w:pPr>
      <w:bookmarkStart w:name="b_clase_3_1_c12_cap_07" w:id="2102"/>
      <w:r>
        <w:t xml:space="preserve">Clase 12 · 01:03:35–01:12:41 · El primer diagrama de ciclos causales</w:t>
      </w:r>
      <w:bookmarkEnd w:id="2102"/>
    </w:p>
    <w:p>
      <w:bookmarkStart w:name="b_punto_c12_cap_07_p03" w:id="2103"/>
      <w:r>
        <w:t xml:space="preserve">El dibujo se reduce a D y R, sin contención ni perspectivas explícitas.</w:t>
      </w:r>
      <w:bookmarkEnd w:id="2103"/>
    </w:p>
    <w:p>
      <w:bookmarkStart w:name="b_punto_c12_cap_07_p05" w:id="2104"/>
      <w:r>
        <w:t xml:space="preserve">Un DCC permite palabras, rectángulos o círculos para variables; no exige la misma forma gráfica estricta que DSRP.</w:t>
      </w:r>
      <w:bookmarkEnd w:id="2104"/>
    </w:p>
    <w:p>
      <w:pPr>
        <w:pStyle w:val="Fuente"/>
      </w:pPr>
      <w:r>
        <w:t xml:space="preserve">Véase </w:t>
      </w:r>
      <w:hyperlink w:history="1" w:anchor="b_3_2">
        <w:r>
          <w:rPr>
            <w:color w:val="156B70"/>
            <w:u w:val="single"/>
          </w:rPr>
          <w:t xml:space="preserve">capítulo 3.2 · Mapas DSRP generales</w:t>
        </w:r>
      </w:hyperlink>
      <w:r>
        <w:t xml:space="preserve">, pág. </w:t>
      </w:r>
      <w:r>
        <w:fldChar w:fldCharType="begin"/>
        <w:instrText xml:space="preserve">PAGEREF b_3_2 \h</w:instrText>
        <w:fldChar w:fldCharType="separate"/>
        <w:t xml:space="preserve">404</w:t>
        <w:fldChar w:fldCharType="end"/>
      </w:r>
      <w:r>
        <w:t xml:space="preserve">.</w:t>
      </w:r>
    </w:p>
    <w:p>
      <w:pPr>
        <w:pStyle w:val="Fuente"/>
      </w:pPr>
      <w:r>
        <w:t xml:space="preserve">Véase </w:t>
      </w:r>
      <w:hyperlink w:history="1" w:anchor="b_3_4">
        <w:r>
          <w:rPr>
            <w:color w:val="156B70"/>
            <w:u w:val="single"/>
          </w:rPr>
          <w:t xml:space="preserve">capítulo 3.4 · Interdependencias sistémicas</w:t>
        </w:r>
      </w:hyperlink>
      <w:r>
        <w:t xml:space="preserve">, pág. </w:t>
      </w:r>
      <w:r>
        <w:fldChar w:fldCharType="begin"/>
        <w:instrText xml:space="preserve">PAGEREF b_3_4 \h</w:instrText>
        <w:fldChar w:fldCharType="separate"/>
        <w:t xml:space="preserve">476</w:t>
        <w:fldChar w:fldCharType="end"/>
      </w:r>
      <w:r>
        <w:t xml:space="preserve">.</w:t>
      </w:r>
    </w:p>
    <w:p>
      <w:pPr>
        <w:pStyle w:val="Heading3"/>
      </w:pPr>
      <w:bookmarkStart w:name="b_clase_3_1_c12_cap_08" w:id="2105"/>
      <w:r>
        <w:t xml:space="preserve">Clase 12 · 01:12:41–01:19:07 · Estructura del sistema y relaciones no visibles</w:t>
      </w:r>
      <w:bookmarkEnd w:id="2105"/>
    </w:p>
    <w:p>
      <w:bookmarkStart w:name="b_punto_c12_cap_08_p01" w:id="2106"/>
      <w:r>
        <w:t xml:space="preserve">Los DCC representan causas y efectos entre variables y estructuras de comportamiento temporal.</w:t>
      </w:r>
      <w:bookmarkEnd w:id="2106"/>
    </w:p>
    <w:p>
      <w:bookmarkStart w:name="b_punto_c12_cap_08_p02" w:id="2107"/>
      <w:r>
        <w:t xml:space="preserve">Narrar la historia da detalle a las flechas y conecta estructura con patrones de comportamiento.</w:t>
      </w:r>
      <w:bookmarkEnd w:id="2107"/>
    </w:p>
    <w:p>
      <w:bookmarkStart w:name="b_punto_c12_cap_08_p03" w:id="2108"/>
      <w:r>
        <w:t xml:space="preserve">Algunas relaciones existen sin ser visibles, como raíces bajo tierra, y requieren esfuerzo de estudio.</w:t>
      </w:r>
      <w:bookmarkEnd w:id="2108"/>
    </w:p>
    <w:p>
      <w:pPr>
        <w:pStyle w:val="Fuente"/>
      </w:pPr>
      <w:r>
        <w:t xml:space="preserve">Véase </w:t>
      </w:r>
      <w:hyperlink w:history="1" w:anchor="b_3_4">
        <w:r>
          <w:rPr>
            <w:color w:val="156B70"/>
            <w:u w:val="single"/>
          </w:rPr>
          <w:t xml:space="preserve">capítulo 3.4 · Interdependencias sistémicas</w:t>
        </w:r>
      </w:hyperlink>
      <w:r>
        <w:t xml:space="preserve">, pág. </w:t>
      </w:r>
      <w:r>
        <w:fldChar w:fldCharType="begin"/>
        <w:instrText xml:space="preserve">PAGEREF b_3_4 \h</w:instrText>
        <w:fldChar w:fldCharType="separate"/>
        <w:t xml:space="preserve">476</w:t>
        <w:fldChar w:fldCharType="end"/>
      </w:r>
      <w:r>
        <w:t xml:space="preserve">.</w:t>
      </w:r>
    </w:p>
    <w:p>
      <w:pPr>
        <w:pStyle w:val="Heading3"/>
      </w:pPr>
      <w:bookmarkStart w:name="b_clase_3_1_c12_cap_09" w:id="2109"/>
      <w:r>
        <w:t xml:space="preserve">Clase 12 · 01:19:07–01:36:55 · Transferencia y mentalidad de crecimiento</w:t>
      </w:r>
      <w:bookmarkEnd w:id="2109"/>
    </w:p>
    <w:p>
      <w:bookmarkStart w:name="b_punto_c12_cap_09_p02" w:id="2110"/>
      <w:r>
        <w:t xml:space="preserve">Un reportaje verbal comunica un modelo; investigar relaciones ocultas requiere tiempo, herramientas e hipótesis.</w:t>
      </w:r>
      <w:bookmarkEnd w:id="2110"/>
    </w:p>
    <w:p>
      <w:bookmarkStart w:name="b_punto_c12_cap_09_p06" w:id="2111"/>
      <w:r>
        <w:t xml:space="preserve">Del modelo nace una teoría que puede expresar leyes, reglas o teoremas del comportamiento.</w:t>
      </w:r>
      <w:bookmarkEnd w:id="2111"/>
    </w:p>
    <w:p>
      <w:bookmarkStart w:name="b_punto_c12_cap_09_p11" w:id="2112"/>
      <w:r>
        <w:t xml:space="preserve">Una posible analogía que exige comprobar mecanismos y condiciones; el gráfico económico no muestra una oscilación temporal</w:t>
      </w:r>
      <w:bookmarkEnd w:id="2112"/>
    </w:p>
    <w:p>
      <w:pPr>
        <w:pStyle w:val="Fuente"/>
      </w:pPr>
      <w:r>
        <w:t xml:space="preserve">Véase </w:t>
      </w:r>
      <w:hyperlink w:history="1" w:anchor="b_3_4">
        <w:r>
          <w:rPr>
            <w:color w:val="156B70"/>
            <w:u w:val="single"/>
          </w:rPr>
          <w:t xml:space="preserve">capítulo 3.4 · Interdependencias sistémicas</w:t>
        </w:r>
      </w:hyperlink>
      <w:r>
        <w:t xml:space="preserve">, pág. </w:t>
      </w:r>
      <w:r>
        <w:fldChar w:fldCharType="begin"/>
        <w:instrText xml:space="preserve">PAGEREF b_3_4 \h</w:instrText>
        <w:fldChar w:fldCharType="separate"/>
        <w:t xml:space="preserve">476</w:t>
        <w:fldChar w:fldCharType="end"/>
      </w:r>
      <w:r>
        <w:t xml:space="preserve">.</w:t>
      </w:r>
    </w:p>
    <w:p>
      <w:pPr>
        <w:pStyle w:val="Fuente"/>
      </w:pPr>
      <w:r>
        <w:t xml:space="preserve">Véase </w:t>
      </w:r>
      <w:hyperlink w:history="1" w:anchor="b_3_7">
        <w:r>
          <w:rPr>
            <w:color w:val="156B70"/>
            <w:u w:val="single"/>
          </w:rPr>
          <w:t xml:space="preserve">capítulo 3.7 · Demoras de tiempo</w:t>
        </w:r>
      </w:hyperlink>
      <w:r>
        <w:t xml:space="preserve">, pág. </w:t>
      </w:r>
      <w:r>
        <w:fldChar w:fldCharType="begin"/>
        <w:instrText xml:space="preserve">PAGEREF b_3_7 \h</w:instrText>
        <w:fldChar w:fldCharType="separate"/>
        <w:t xml:space="preserve">580</w:t>
        <w:fldChar w:fldCharType="end"/>
      </w:r>
      <w:r>
        <w:t xml:space="preserve">.</w:t>
      </w:r>
    </w:p>
    <w:p>
      <w:pPr>
        <w:pStyle w:val="Fuente"/>
      </w:pPr>
      <w:r>
        <w:t xml:space="preserve">Véase </w:t>
      </w:r>
      <w:hyperlink w:history="1" w:anchor="b_3_9">
        <w:r>
          <w:rPr>
            <w:color w:val="156B70"/>
            <w:u w:val="single"/>
          </w:rPr>
          <w:t xml:space="preserve">capítulo 3.9 · Hábitos (complejo)</w:t>
        </w:r>
      </w:hyperlink>
      <w:r>
        <w:t xml:space="preserve">, pág. </w:t>
      </w:r>
      <w:r>
        <w:fldChar w:fldCharType="begin"/>
        <w:instrText xml:space="preserve">PAGEREF b_3_9 \h</w:instrText>
        <w:fldChar w:fldCharType="separate"/>
        <w:t xml:space="preserve">622</w:t>
        <w:fldChar w:fldCharType="end"/>
      </w:r>
      <w:r>
        <w:t xml:space="preserve">.</w:t>
      </w:r>
    </w:p>
    <w:p>
      <w:pPr>
        <w:pStyle w:val="Heading3"/>
      </w:pPr>
      <w:bookmarkStart w:name="b_clase_3_1_c13_cap_02" w:id="2113"/>
      <w:r>
        <w:t xml:space="preserve">Clase 13 · 00:15:51–00:25:14 · Conectividad y algoritmos como cadenas causales</w:t>
      </w:r>
      <w:bookmarkEnd w:id="2113"/>
    </w:p>
    <w:p>
      <w:bookmarkStart w:name="b_punto_c13_cap_02_p02" w:id="2114"/>
      <w:r>
        <w:t xml:space="preserve">El mapa sistémico vuelve más explícito el pensamiento y ayuda a comunicarlo a otras personas.</w:t>
      </w:r>
      <w:bookmarkEnd w:id="2114"/>
    </w:p>
    <w:p>
      <w:pPr>
        <w:pStyle w:val="Fuente"/>
      </w:pPr>
      <w:r>
        <w:t xml:space="preserve">Véase </w:t>
      </w:r>
      <w:hyperlink w:history="1" w:anchor="b_3_9">
        <w:r>
          <w:rPr>
            <w:color w:val="156B70"/>
            <w:u w:val="single"/>
          </w:rPr>
          <w:t xml:space="preserve">capítulo 3.9 · Hábitos (complejo)</w:t>
        </w:r>
      </w:hyperlink>
      <w:r>
        <w:t xml:space="preserve">, pág. </w:t>
      </w:r>
      <w:r>
        <w:fldChar w:fldCharType="begin"/>
        <w:instrText xml:space="preserve">PAGEREF b_3_9 \h</w:instrText>
        <w:fldChar w:fldCharType="separate"/>
        <w:t xml:space="preserve">622</w:t>
        <w:fldChar w:fldCharType="end"/>
      </w:r>
      <w:r>
        <w:t xml:space="preserve">.</w:t>
      </w:r>
    </w:p>
    <w:p>
      <w:pPr>
        <w:pStyle w:val="Fuente"/>
      </w:pPr>
      <w:r>
        <w:t xml:space="preserve">Véase </w:t>
      </w:r>
      <w:hyperlink w:history="1" w:anchor="b_3_4">
        <w:r>
          <w:rPr>
            <w:color w:val="156B70"/>
            <w:u w:val="single"/>
          </w:rPr>
          <w:t xml:space="preserve">capítulo 3.4 · Interdependencias sistémicas</w:t>
        </w:r>
      </w:hyperlink>
      <w:r>
        <w:t xml:space="preserve">, pág. </w:t>
      </w:r>
      <w:r>
        <w:fldChar w:fldCharType="begin"/>
        <w:instrText xml:space="preserve">PAGEREF b_3_4 \h</w:instrText>
        <w:fldChar w:fldCharType="separate"/>
        <w:t xml:space="preserve">476</w:t>
        <w:fldChar w:fldCharType="end"/>
      </w:r>
      <w:r>
        <w:t xml:space="preserve">.</w:t>
      </w:r>
    </w:p>
    <w:p>
      <w:pPr>
        <w:pStyle w:val="Heading3"/>
      </w:pPr>
      <w:bookmarkStart w:name="b_clase_3_1_c13_cap_09" w:id="2115"/>
      <w:r>
        <w:t xml:space="preserve">Clase 13 · 01:27:23–01:38:26 · Proceso frente a sistema y contar la historia</w:t>
      </w:r>
      <w:bookmarkEnd w:id="2115"/>
    </w:p>
    <w:p>
      <w:bookmarkStart w:name="b_punto_c13_cap_09_p03" w:id="2116"/>
      <w:r>
        <w:t xml:space="preserve">El diagrama de proceso expresa secuencia y acciones; el sistémico expresa variables e influencia causal y revela la regulación que el primero deja fuera.</w:t>
      </w:r>
      <w:bookmarkEnd w:id="2116"/>
    </w:p>
    <w:p>
      <w:bookmarkStart w:name="b_punto_c13_cap_09_p05" w:id="2117"/>
      <w:r>
        <w:t xml:space="preserve">El diagrama sintetiza una teoría; contar la historia en lenguaje natural detalla sus supuestos e interacciones y puede desarrollar mayor comprensión.</w:t>
      </w:r>
      <w:bookmarkEnd w:id="2117"/>
    </w:p>
    <w:p>
      <w:pPr>
        <w:pStyle w:val="Fuente"/>
      </w:pPr>
      <w:r>
        <w:t xml:space="preserve">Véase </w:t>
      </w:r>
      <w:hyperlink w:history="1" w:anchor="b_senales_examen">
        <w:r>
          <w:rPr>
            <w:color w:val="156B70"/>
            <w:u w:val="single"/>
          </w:rPr>
          <w:t xml:space="preserve">1 indicación(es) de examen de este tramo, en el apéndice cronológico</w:t>
        </w:r>
      </w:hyperlink>
      <w:r>
        <w:t xml:space="preserve">, pág. </w:t>
      </w:r>
      <w:r>
        <w:fldChar w:fldCharType="begin"/>
        <w:instrText xml:space="preserve">PAGEREF b_senales_examen \h</w:instrText>
        <w:fldChar w:fldCharType="separate"/>
        <w:t xml:space="preserve">1663</w:t>
        <w:fldChar w:fldCharType="end"/>
      </w:r>
      <w:r>
        <w:t xml:space="preserve">.</w:t>
      </w:r>
    </w:p>
    <w:p>
      <w:pPr>
        <w:pStyle w:val="Fuente"/>
      </w:pPr>
      <w:r>
        <w:t xml:space="preserve">Véase </w:t>
      </w:r>
      <w:hyperlink w:history="1" w:anchor="b_3_3">
        <w:r>
          <w:rPr>
            <w:color w:val="156B70"/>
            <w:u w:val="single"/>
          </w:rPr>
          <w:t xml:space="preserve">capítulo 3.3 · Diagramas de ciclos causales</w:t>
        </w:r>
      </w:hyperlink>
      <w:r>
        <w:t xml:space="preserve">, pág. </w:t>
      </w:r>
      <w:r>
        <w:fldChar w:fldCharType="begin"/>
        <w:instrText xml:space="preserve">PAGEREF b_3_3 \h</w:instrText>
        <w:fldChar w:fldCharType="separate"/>
        <w:t xml:space="preserve">443</w:t>
        <w:fldChar w:fldCharType="end"/>
      </w:r>
      <w:r>
        <w:t xml:space="preserve">.</w:t>
      </w:r>
    </w:p>
    <w:p>
      <w:pPr>
        <w:pStyle w:val="Fuente"/>
      </w:pPr>
      <w:r>
        <w:t xml:space="preserve">Véase </w:t>
      </w:r>
      <w:hyperlink w:history="1" w:anchor="b_3_4">
        <w:r>
          <w:rPr>
            <w:color w:val="156B70"/>
            <w:u w:val="single"/>
          </w:rPr>
          <w:t xml:space="preserve">capítulo 3.4 · Interdependencias sistémicas</w:t>
        </w:r>
      </w:hyperlink>
      <w:r>
        <w:t xml:space="preserve">, pág. </w:t>
      </w:r>
      <w:r>
        <w:fldChar w:fldCharType="begin"/>
        <w:instrText xml:space="preserve">PAGEREF b_3_4 \h</w:instrText>
        <w:fldChar w:fldCharType="separate"/>
        <w:t xml:space="preserve">476</w:t>
        <w:fldChar w:fldCharType="end"/>
      </w:r>
      <w:r>
        <w:t xml:space="preserve">.</w:t>
      </w:r>
    </w:p>
    <w:p>
      <w:pPr>
        <w:pStyle w:val="Heading3"/>
      </w:pPr>
      <w:bookmarkStart w:name="b_clase_3_1_c14_cap_04" w:id="2118"/>
      <w:r>
        <w:t xml:space="preserve">Clase 14 · 00:24:16–00:34:25 · La polaridad: por qué existen los signos</w:t>
      </w:r>
      <w:bookmarkEnd w:id="2118"/>
    </w:p>
    <w:p>
      <w:bookmarkStart w:name="b_punto_c14_cap_04_p01" w:id="2119"/>
      <w:r>
        <w:t xml:space="preserve">El signo positivo expresa efecto en el mismo sentido; el negativo, efecto inverso, como más contenido de agua y menos sed.</w:t>
      </w:r>
      <w:bookmarkEnd w:id="2119"/>
    </w:p>
    <w:p>
      <w:bookmarkStart w:name="b_punto_c14_cap_04_p02" w:id="2120"/>
      <w:r>
        <w:t xml:space="preserve">La cola de la flecha es la causa y la punta el efecto; el signo hace más explícito qué relación quiso modelar el autor.</w:t>
      </w:r>
      <w:bookmarkEnd w:id="2120"/>
    </w:p>
    <w:p>
      <w:bookmarkStart w:name="b_punto_c14_cap_04_p04" w:id="2121"/>
      <w:r>
        <w:t xml:space="preserve">La comprobación del signo debe hacerse al aumentar y al disminuir la causa: menos sed implica menos necesidad de beber; más medicina reduce dolor en el modelo propuesto.</w:t>
      </w:r>
      <w:bookmarkEnd w:id="2121"/>
    </w:p>
    <w:p>
      <w:pPr>
        <w:pStyle w:val="Fuente"/>
      </w:pPr>
      <w:r>
        <w:t xml:space="preserve">Véase </w:t>
      </w:r>
      <w:hyperlink w:history="1" w:anchor="b_3_5">
        <w:r>
          <w:rPr>
            <w:color w:val="156B70"/>
            <w:u w:val="single"/>
          </w:rPr>
          <w:t xml:space="preserve">capítulo 3.5 · Refuerzo y compensación</w:t>
        </w:r>
      </w:hyperlink>
      <w:r>
        <w:t xml:space="preserve">, pág. </w:t>
      </w:r>
      <w:r>
        <w:fldChar w:fldCharType="begin"/>
        <w:instrText xml:space="preserve">PAGEREF b_3_5 \h</w:instrText>
        <w:fldChar w:fldCharType="separate"/>
        <w:t xml:space="preserve">501</w:t>
        <w:fldChar w:fldCharType="end"/>
      </w:r>
      <w:r>
        <w:t xml:space="preserve">.</w:t>
      </w:r>
    </w:p>
    <w:p>
      <w:pPr>
        <w:pStyle w:val="Fuente"/>
      </w:pPr>
      <w:r>
        <w:t xml:space="preserve">Véase </w:t>
      </w:r>
      <w:hyperlink w:history="1" w:anchor="b_3_3">
        <w:r>
          <w:rPr>
            <w:color w:val="156B70"/>
            <w:u w:val="single"/>
          </w:rPr>
          <w:t xml:space="preserve">capítulo 3.3 · Diagramas de ciclos causales</w:t>
        </w:r>
      </w:hyperlink>
      <w:r>
        <w:t xml:space="preserve">, pág. </w:t>
      </w:r>
      <w:r>
        <w:fldChar w:fldCharType="begin"/>
        <w:instrText xml:space="preserve">PAGEREF b_3_3 \h</w:instrText>
        <w:fldChar w:fldCharType="separate"/>
        <w:t xml:space="preserve">443</w:t>
        <w:fldChar w:fldCharType="end"/>
      </w:r>
      <w:r>
        <w:t xml:space="preserve">.</w:t>
      </w:r>
    </w:p>
    <w:p>
      <w:pPr>
        <w:pStyle w:val="Heading3"/>
      </w:pPr>
      <w:bookmarkStart w:name="b_clase_3_1_c14_cap_08" w:id="2122"/>
      <w:r>
        <w:t xml:space="preserve">Clase 14 · 01:03:33–01:10:59 · El ejercicio de las ballenas</w:t>
      </w:r>
      <w:bookmarkEnd w:id="2122"/>
    </w:p>
    <w:p>
      <w:bookmarkStart w:name="b_punto_c14_cap_08_p01" w:id="2123"/>
      <w:r>
        <w:t xml:space="preserve">El ejercicio añade pesca a nacimientos y muertes de la población de ballenas, pasando de dos lazos a tres.</w:t>
      </w:r>
      <w:bookmarkEnd w:id="2123"/>
    </w:p>
    <w:p>
      <w:bookmarkStart w:name="b_punto_c14_cap_08_p02" w:id="2124"/>
      <w:r>
        <w:t xml:space="preserve">Más pesca reduce ballenas y más ballenas permite más pesca: esos signos +/− forman otro balance; nacimientos es R y muertes es B.</w:t>
      </w:r>
      <w:bookmarkEnd w:id="2124"/>
    </w:p>
    <w:p>
      <w:pPr>
        <w:pStyle w:val="Fuente"/>
      </w:pPr>
      <w:r>
        <w:t xml:space="preserve">Véase </w:t>
      </w:r>
      <w:hyperlink w:history="1" w:anchor="b_senales_examen">
        <w:r>
          <w:rPr>
            <w:color w:val="156B70"/>
            <w:u w:val="single"/>
          </w:rPr>
          <w:t xml:space="preserve">1 indicación(es) de examen de este tramo, en el apéndice cronológico</w:t>
        </w:r>
      </w:hyperlink>
      <w:r>
        <w:t xml:space="preserve">, pág. </w:t>
      </w:r>
      <w:r>
        <w:fldChar w:fldCharType="begin"/>
        <w:instrText xml:space="preserve">PAGEREF b_senales_examen \h</w:instrText>
        <w:fldChar w:fldCharType="separate"/>
        <w:t xml:space="preserve">1663</w:t>
        <w:fldChar w:fldCharType="end"/>
      </w:r>
      <w:r>
        <w:t xml:space="preserve">.</w:t>
      </w:r>
    </w:p>
    <w:p>
      <w:pPr>
        <w:pStyle w:val="Fuente"/>
      </w:pPr>
      <w:r>
        <w:t xml:space="preserve">Véase </w:t>
      </w:r>
      <w:hyperlink w:history="1" w:anchor="b_3_5">
        <w:r>
          <w:rPr>
            <w:color w:val="156B70"/>
            <w:u w:val="single"/>
          </w:rPr>
          <w:t xml:space="preserve">capítulo 3.5 · Refuerzo y compensación</w:t>
        </w:r>
      </w:hyperlink>
      <w:r>
        <w:t xml:space="preserve">, pág. </w:t>
      </w:r>
      <w:r>
        <w:fldChar w:fldCharType="begin"/>
        <w:instrText xml:space="preserve">PAGEREF b_3_5 \h</w:instrText>
        <w:fldChar w:fldCharType="separate"/>
        <w:t xml:space="preserve">501</w:t>
        <w:fldChar w:fldCharType="end"/>
      </w:r>
      <w:r>
        <w:t xml:space="preserve">.</w:t>
      </w:r>
    </w:p>
    <w:p>
      <w:pPr>
        <w:pStyle w:val="Fuente"/>
      </w:pPr>
      <w:r>
        <w:t xml:space="preserve">Véase </w:t>
      </w:r>
      <w:hyperlink w:history="1" w:anchor="b_3_8">
        <w:r>
          <w:rPr>
            <w:color w:val="156B70"/>
            <w:u w:val="single"/>
          </w:rPr>
          <w:t xml:space="preserve">capítulo 3.8 · Patrones y tendencias</w:t>
        </w:r>
      </w:hyperlink>
      <w:r>
        <w:t xml:space="preserve">, pág. </w:t>
      </w:r>
      <w:r>
        <w:fldChar w:fldCharType="begin"/>
        <w:instrText xml:space="preserve">PAGEREF b_3_8 \h</w:instrText>
        <w:fldChar w:fldCharType="separate"/>
        <w:t xml:space="preserve">597</w:t>
        <w:fldChar w:fldCharType="end"/>
      </w:r>
      <w:r>
        <w:t xml:space="preserve">.</w:t>
      </w:r>
    </w:p>
    <w:p>
      <w:pPr>
        <w:pStyle w:val="Heading3"/>
      </w:pPr>
      <w:bookmarkStart w:name="b_clase_3_1_c14_cap_09" w:id="2125"/>
      <w:r>
        <w:t xml:space="preserve">Clase 14 · 01:10:59–01:26:29 · Notación de vínculos y complejidad</w:t>
      </w:r>
      <w:bookmarkEnd w:id="2125"/>
    </w:p>
    <w:p>
      <w:bookmarkStart w:name="b_punto_c14_cap_09_p01" w:id="2126"/>
      <w:r>
        <w:t xml:space="preserve">La lámina precisa vínculos positivo/negativo respecto de lo que habría ocurrido en otro caso, con todo lo demás igual; no basta suponer que positivo significa crecimiento absoluto.</w:t>
      </w:r>
      <w:bookmarkEnd w:id="2126"/>
    </w:p>
    <w:p>
      <w:pPr>
        <w:pStyle w:val="Fuente"/>
      </w:pPr>
      <w:r>
        <w:t xml:space="preserve">Véase </w:t>
      </w:r>
      <w:hyperlink w:history="1" w:anchor="b_senales_examen">
        <w:r>
          <w:rPr>
            <w:color w:val="156B70"/>
            <w:u w:val="single"/>
          </w:rPr>
          <w:t xml:space="preserve">1 indicación(es) de examen de este tramo, en el apéndice cronológico</w:t>
        </w:r>
      </w:hyperlink>
      <w:r>
        <w:t xml:space="preserve">, pág. </w:t>
      </w:r>
      <w:r>
        <w:fldChar w:fldCharType="begin"/>
        <w:instrText xml:space="preserve">PAGEREF b_senales_examen \h</w:instrText>
        <w:fldChar w:fldCharType="separate"/>
        <w:t xml:space="preserve">1663</w:t>
        <w:fldChar w:fldCharType="end"/>
      </w:r>
      <w:r>
        <w:t xml:space="preserve">.</w:t>
      </w:r>
    </w:p>
    <w:p>
      <w:pPr>
        <w:pStyle w:val="Fuente"/>
      </w:pPr>
      <w:r>
        <w:t xml:space="preserve">Véase </w:t>
      </w:r>
      <w:hyperlink w:history="1" w:anchor="b_3_5">
        <w:r>
          <w:rPr>
            <w:color w:val="156B70"/>
            <w:u w:val="single"/>
          </w:rPr>
          <w:t xml:space="preserve">capítulo 3.5 · Refuerzo y compensación</w:t>
        </w:r>
      </w:hyperlink>
      <w:r>
        <w:t xml:space="preserve">, pág. </w:t>
      </w:r>
      <w:r>
        <w:fldChar w:fldCharType="begin"/>
        <w:instrText xml:space="preserve">PAGEREF b_3_5 \h</w:instrText>
        <w:fldChar w:fldCharType="separate"/>
        <w:t xml:space="preserve">501</w:t>
        <w:fldChar w:fldCharType="end"/>
      </w:r>
      <w:r>
        <w:t xml:space="preserve">.</w:t>
      </w:r>
    </w:p>
    <w:p>
      <w:pPr>
        <w:pStyle w:val="Fuente"/>
      </w:pPr>
      <w:r>
        <w:t xml:space="preserve">Véase </w:t>
      </w:r>
      <w:hyperlink w:history="1" w:anchor="b_3_9">
        <w:r>
          <w:rPr>
            <w:color w:val="156B70"/>
            <w:u w:val="single"/>
          </w:rPr>
          <w:t xml:space="preserve">capítulo 3.9 · Hábitos (complejo)</w:t>
        </w:r>
      </w:hyperlink>
      <w:r>
        <w:t xml:space="preserve">, pág. </w:t>
      </w:r>
      <w:r>
        <w:fldChar w:fldCharType="begin"/>
        <w:instrText xml:space="preserve">PAGEREF b_3_9 \h</w:instrText>
        <w:fldChar w:fldCharType="separate"/>
        <w:t xml:space="preserve">622</w:t>
        <w:fldChar w:fldCharType="end"/>
      </w:r>
      <w:r>
        <w:t xml:space="preserve">.</w:t>
      </w:r>
    </w:p>
    <w:p>
      <w:pPr>
        <w:pStyle w:val="Fuente"/>
      </w:pPr>
      <w:r>
        <w:t xml:space="preserve">Véase </w:t>
      </w:r>
      <w:hyperlink w:history="1" w:anchor="b_3_8">
        <w:r>
          <w:rPr>
            <w:color w:val="156B70"/>
            <w:u w:val="single"/>
          </w:rPr>
          <w:t xml:space="preserve">capítulo 3.8 · Patrones y tendencias</w:t>
        </w:r>
      </w:hyperlink>
      <w:r>
        <w:t xml:space="preserve">, pág. </w:t>
      </w:r>
      <w:r>
        <w:fldChar w:fldCharType="begin"/>
        <w:instrText xml:space="preserve">PAGEREF b_3_8 \h</w:instrText>
        <w:fldChar w:fldCharType="separate"/>
        <w:t xml:space="preserve">597</w:t>
        <w:fldChar w:fldCharType="end"/>
      </w:r>
      <w:r>
        <w:t xml:space="preserve">.</w:t>
      </w:r>
    </w:p>
    <w:p>
      <w:pPr>
        <w:pStyle w:val="Fuente"/>
      </w:pPr>
      <w:r>
        <w:t xml:space="preserve">Véase </w:t>
      </w:r>
      <w:hyperlink w:history="1" w:anchor="b_1_4">
        <w:r>
          <w:rPr>
            <w:color w:val="156B70"/>
            <w:u w:val="single"/>
          </w:rPr>
          <w:t xml:space="preserve">capítulo 1.4 · Sistémico vs no sistémico</w:t>
        </w:r>
      </w:hyperlink>
      <w:r>
        <w:t xml:space="preserve">, pág. </w:t>
      </w:r>
      <w:r>
        <w:fldChar w:fldCharType="begin"/>
        <w:instrText xml:space="preserve">PAGEREF b_1_4 \h</w:instrText>
        <w:fldChar w:fldCharType="separate"/>
        <w:t xml:space="preserve">104</w:t>
        <w:fldChar w:fldCharType="end"/>
      </w:r>
      <w:r>
        <w:t xml:space="preserve">.</w:t>
      </w:r>
    </w:p>
    <w:p>
      <w:pPr>
        <w:pStyle w:val="Heading3"/>
      </w:pPr>
      <w:bookmarkStart w:name="b_clase_3_1_c16_cap_09" w:id="2127"/>
      <w:r>
        <w:t xml:space="preserve">Clase 16 · 01:29:27–01:37:54 · Patrones y tendencias: los gráficos de comportamiento</w:t>
      </w:r>
      <w:bookmarkEnd w:id="2127"/>
    </w:p>
    <w:p>
      <w:bookmarkStart w:name="b_punto_c16_cap_09_p02" w:id="2128"/>
      <w:r>
        <w:t xml:space="preserve">Un nenúfar que se duplica y ocupa medio estanque el día 30 lo llena el 31; el VTT dice 39 y el portal ya registra y corrige esa cifra.</w:t>
      </w:r>
      <w:bookmarkEnd w:id="2128"/>
    </w:p>
    <w:p>
      <w:pPr>
        <w:pStyle w:val="Fuente"/>
      </w:pPr>
      <w:r>
        <w:t xml:space="preserve">Véase </w:t>
      </w:r>
      <w:hyperlink w:history="1" w:anchor="b_senales_examen">
        <w:r>
          <w:rPr>
            <w:color w:val="156B70"/>
            <w:u w:val="single"/>
          </w:rPr>
          <w:t xml:space="preserve">2 indicación(es) de examen de este tramo, en el apéndice cronológico</w:t>
        </w:r>
      </w:hyperlink>
      <w:r>
        <w:t xml:space="preserve">, pág. </w:t>
      </w:r>
      <w:r>
        <w:fldChar w:fldCharType="begin"/>
        <w:instrText xml:space="preserve">PAGEREF b_senales_examen \h</w:instrText>
        <w:fldChar w:fldCharType="separate"/>
        <w:t xml:space="preserve">1663</w:t>
        <w:fldChar w:fldCharType="end"/>
      </w:r>
      <w:r>
        <w:t xml:space="preserve">.</w:t>
      </w:r>
    </w:p>
    <w:p>
      <w:pPr>
        <w:pStyle w:val="Fuente"/>
      </w:pPr>
      <w:r>
        <w:t xml:space="preserve">Véase </w:t>
      </w:r>
      <w:hyperlink w:history="1" w:anchor="b_3_8">
        <w:r>
          <w:rPr>
            <w:color w:val="156B70"/>
            <w:u w:val="single"/>
          </w:rPr>
          <w:t xml:space="preserve">capítulo 3.8 · Patrones y tendencias</w:t>
        </w:r>
      </w:hyperlink>
      <w:r>
        <w:t xml:space="preserve">, pág. </w:t>
      </w:r>
      <w:r>
        <w:fldChar w:fldCharType="begin"/>
        <w:instrText xml:space="preserve">PAGEREF b_3_8 \h</w:instrText>
        <w:fldChar w:fldCharType="separate"/>
        <w:t xml:space="preserve">597</w:t>
        <w:fldChar w:fldCharType="end"/>
      </w:r>
      <w:r>
        <w:t xml:space="preserve">.</w:t>
      </w:r>
    </w:p>
    <w:p>
      <w:pPr>
        <w:pStyle w:val="Fuente"/>
      </w:pPr>
      <w:r>
        <w:t xml:space="preserve">Véase </w:t>
      </w:r>
      <w:hyperlink w:history="1" w:anchor="b_3_3">
        <w:r>
          <w:rPr>
            <w:color w:val="156B70"/>
            <w:u w:val="single"/>
          </w:rPr>
          <w:t xml:space="preserve">capítulo 3.3 · Diagramas de ciclos causales</w:t>
        </w:r>
      </w:hyperlink>
      <w:r>
        <w:t xml:space="preserve">, pág. </w:t>
      </w:r>
      <w:r>
        <w:fldChar w:fldCharType="begin"/>
        <w:instrText xml:space="preserve">PAGEREF b_3_3 \h</w:instrText>
        <w:fldChar w:fldCharType="separate"/>
        <w:t xml:space="preserve">443</w:t>
        <w:fldChar w:fldCharType="end"/>
      </w:r>
      <w:r>
        <w:t xml:space="preserve">.</w:t>
      </w:r>
    </w:p>
    <w:p>
      <w:pPr>
        <w:pStyle w:val="Heading3"/>
      </w:pPr>
      <w:bookmarkStart w:name="b_cita_clase_10_que_es_un_mapa_sistemico" w:id="2129"/>
      <w:r>
        <w:t xml:space="preserve">Palabras del profesor</w:t>
      </w:r>
      <w:bookmarkEnd w:id="2129"/>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El profesor lo dijo así</w:t>
            </w:r>
          </w:p>
          <w:p>
            <w:pPr>
              <w:pStyle w:val="Recuadro"/>
            </w:pPr>
            <w:r>
              <w:t xml:space="preserve">«Es importante que ustedes sepan reconocer los denominados mapas sistémicos, que básicamente son representaciones gráficas de los comportamientos sistémicos.»</w:t>
            </w:r>
          </w:p>
          <w:p>
            <w:pPr>
              <w:pStyle w:val="Recuadro"/>
            </w:pPr>
            <w:r>
              <w:t xml:space="preserve">Clase 10 · 00:12:38–00:13:04</w:t>
            </w:r>
          </w:p>
        </w:tc>
      </w:tr>
    </w:tbl>
    <w:p>
      <w:pPr>
        <w:pStyle w:val="Heading3"/>
      </w:pPr>
      <w:bookmarkStart w:name="b_cita_clase_10_mapa_es_modelo__a91922cf" w:id="2130"/>
      <w:r>
        <w:t xml:space="preserve">Palabras del profesor</w:t>
      </w:r>
      <w:bookmarkEnd w:id="2130"/>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El profesor lo dijo así</w:t>
            </w:r>
          </w:p>
          <w:p>
            <w:pPr>
              <w:pStyle w:val="Recuadro"/>
            </w:pPr>
            <w:r>
              <w:t xml:space="preserve">«Cada vez que hacemos un mapa DSRP o cualquiera de los mapas sistémicos, lo que estamos haciendo es un modelo del sistema; tiene que existir el sistema original como referencia para poder comprender el modelo.»</w:t>
            </w:r>
          </w:p>
          <w:p>
            <w:pPr>
              <w:pStyle w:val="Recuadro"/>
            </w:pPr>
            <w:r>
              <w:t xml:space="preserve">Clase 10 · 00:43:38–00:44:17</w:t>
            </w:r>
          </w:p>
        </w:tc>
      </w:tr>
    </w:tbl>
    <w:p>
      <w:pPr>
        <w:pStyle w:val="Heading3"/>
      </w:pPr>
      <w:bookmarkStart w:name="b_cita_clase_10_todo_mapa_tiene_bb9becee" w:id="2131"/>
      <w:r>
        <w:t xml:space="preserve">Palabras del profesor</w:t>
      </w:r>
      <w:bookmarkEnd w:id="2131"/>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El profesor lo dijo así</w:t>
            </w:r>
          </w:p>
          <w:p>
            <w:pPr>
              <w:pStyle w:val="Recuadro"/>
            </w:pPr>
            <w:r>
              <w:t xml:space="preserve">«El gráfico es una síntesis: no están todas las creencias o supuestos expresados como oraciones completas, porque todo mapa, todo modelo mental tiene una teoría asociada.»</w:t>
            </w:r>
          </w:p>
          <w:p>
            <w:pPr>
              <w:pStyle w:val="Recuadro"/>
            </w:pPr>
            <w:r>
              <w:t xml:space="preserve">Clase 10 · 01:37:18–01:37:36</w:t>
            </w:r>
          </w:p>
        </w:tc>
      </w:tr>
    </w:tbl>
    <w:p>
      <w:pPr>
        <w:pStyle w:val="Heading3"/>
      </w:pPr>
      <w:bookmarkStart w:name="b_cita_clase_11_el_modelo_es_el_mapa" w:id="2132"/>
      <w:r>
        <w:t xml:space="preserve">Palabras del profesor</w:t>
      </w:r>
      <w:bookmarkEnd w:id="2132"/>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El profesor lo dijo así</w:t>
            </w:r>
          </w:p>
          <w:p>
            <w:pPr>
              <w:pStyle w:val="Recuadro"/>
            </w:pPr>
            <w:r>
              <w:t xml:space="preserve">«Un modelo mental sistémico es una representación de algún sistema del mundo real que podemos comprender a través del modelo. El modelo es el mapa, visualmente hablando, aunque el modelo nace desde la abstracción del pensamiento.»</w:t>
            </w:r>
          </w:p>
          <w:p>
            <w:pPr>
              <w:pStyle w:val="Recuadro"/>
            </w:pPr>
            <w:r>
              <w:t xml:space="preserve">Clase 11 · 00:23:50–00:24:17</w:t>
            </w:r>
          </w:p>
        </w:tc>
      </w:tr>
    </w:tbl>
    <w:p>
      <w:pPr>
        <w:pStyle w:val="Heading3"/>
      </w:pPr>
      <w:bookmarkStart w:name="b_cita_clase_11_modelo_mental_e_7e04e671" w:id="2133"/>
      <w:r>
        <w:t xml:space="preserve">Palabras del profesor</w:t>
      </w:r>
      <w:bookmarkEnd w:id="2133"/>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El profesor lo dijo así</w:t>
            </w:r>
          </w:p>
          <w:p>
            <w:pPr>
              <w:pStyle w:val="Recuadro"/>
            </w:pPr>
            <w:r>
              <w:t xml:space="preserve">«Nuestro modelo mental está compuesto de una estructura y de una serie de bits de información que forman la información del sistema.»</w:t>
            </w:r>
          </w:p>
          <w:p>
            <w:pPr>
              <w:pStyle w:val="Recuadro"/>
            </w:pPr>
            <w:r>
              <w:t xml:space="preserve">Clase 11 · 00:28:04–00:28:28</w:t>
            </w:r>
          </w:p>
        </w:tc>
      </w:tr>
    </w:tbl>
    <w:p>
      <w:pPr>
        <w:pStyle w:val="Heading3"/>
      </w:pPr>
      <w:bookmarkStart w:name="b_cita_clase_11_prueba_sin_resu_ccb5e220" w:id="2134"/>
      <w:r>
        <w:t xml:space="preserve">Palabras del profesor</w:t>
      </w:r>
      <w:bookmarkEnd w:id="2134"/>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El profesor lo dijo así</w:t>
            </w:r>
          </w:p>
          <w:p>
            <w:pPr>
              <w:pStyle w:val="Recuadro"/>
            </w:pPr>
            <w:r>
              <w:t xml:space="preserve">«Si hacemos alguna acción de prueba en el sistema y no nos da el resultado esperado, es porque el modelo que tenemos de información y estructura del sistema no está siendo totalmente representativo del sistema real.»</w:t>
            </w:r>
          </w:p>
          <w:p>
            <w:pPr>
              <w:pStyle w:val="Recuadro"/>
            </w:pPr>
            <w:r>
              <w:t xml:space="preserve">Clase 11 · 00:25:29–00:25:52</w:t>
            </w:r>
          </w:p>
        </w:tc>
      </w:tr>
    </w:tbl>
    <w:p>
      <w:pPr>
        <w:pStyle w:val="Heading3"/>
      </w:pPr>
      <w:bookmarkStart w:name="b_cita_clase_12_modelos_general_b66ea2fc" w:id="2135"/>
      <w:r>
        <w:t xml:space="preserve">Palabras del profesor</w:t>
      </w:r>
      <w:bookmarkEnd w:id="2135"/>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El profesor lo dijo así</w:t>
            </w:r>
          </w:p>
          <w:p>
            <w:pPr>
              <w:pStyle w:val="Recuadro"/>
            </w:pPr>
            <w:r>
              <w:t xml:space="preserve">«Cuando son más generales nos permite tener una visión un poco más de la estructura para poder comprender y concentrarnos en el estudio de las relaciones y de los comportamientos dinámicos en el tiempo de los sistemas.»</w:t>
            </w:r>
          </w:p>
          <w:p>
            <w:pPr>
              <w:pStyle w:val="Recuadro"/>
            </w:pPr>
            <w:r>
              <w:t xml:space="preserve">Clase 12 · 00:40:57–00:41:16</w:t>
            </w:r>
          </w:p>
        </w:tc>
      </w:tr>
    </w:tbl>
    <w:p>
      <w:pPr>
        <w:pStyle w:val="Heading3"/>
      </w:pPr>
      <w:bookmarkStart w:name="b_cita_clase_16_no_hay_diagrama_0ae202aa" w:id="2136"/>
      <w:r>
        <w:t xml:space="preserve">Palabras del profesor</w:t>
      </w:r>
      <w:bookmarkEnd w:id="2136"/>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El profesor lo dijo así</w:t>
            </w:r>
          </w:p>
          <w:p>
            <w:pPr>
              <w:pStyle w:val="Recuadro"/>
            </w:pPr>
            <w:r>
              <w:t xml:space="preserve">«No existe un diagrama ideal único, no existe una única respuesta correcta, porque son modelos y ustedes como modeladores pueden modelar de diferentes perspectivas.»</w:t>
            </w:r>
          </w:p>
          <w:p>
            <w:pPr>
              <w:pStyle w:val="Recuadro"/>
            </w:pPr>
            <w:r>
              <w:t xml:space="preserve">Clase 16 · 01:34:26–01:34:49</w:t>
            </w:r>
          </w:p>
        </w:tc>
      </w:tr>
    </w:tbl>
    <w:p>
      <w:pPr>
        <w:pStyle w:val="Heading3"/>
      </w:pPr>
      <w:r>
        <w:t xml:space="preserve">Errores frecuentes y trampa de examen</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9C620A" w:sz="20"/>
              <w:bottom w:val="nil"/>
              <w:right w:val="nil"/>
            </w:tcBorders>
            <w:shd w:fill="FBF3DF" w:val="clear"/>
            <w:tcMar>
              <w:top w:type="dxa" w:w="130"/>
              <w:left w:type="dxa" w:w="180"/>
              <w:bottom w:type="dxa" w:w="130"/>
              <w:right w:type="dxa" w:w="180"/>
            </w:tcMar>
          </w:tcPr>
          <w:p>
            <w:pPr>
              <w:pStyle w:val="RecuadroTitulo"/>
            </w:pPr>
            <w:r>
              <w:rPr>
                <w:b/>
                <w:bCs/>
                <w:color w:val="9C620A"/>
              </w:rPr>
              <w:t xml:space="preserve">Error → corrección</w:t>
            </w:r>
          </w:p>
          <w:p>
            <w:pPr>
              <w:pStyle w:val="Recuadro"/>
            </w:pPr>
            <w:r>
              <w:rPr>
                <w:b/>
                <w:bCs/>
              </w:rPr>
              <w:t xml:space="preserve">Error:</w:t>
            </w:r>
            <w:r>
              <w:t xml:space="preserve"> Creer que existe un único diagrama correcto de un sistema.</w:t>
            </w:r>
          </w:p>
          <w:p>
            <w:pPr>
              <w:pStyle w:val="Recuadro"/>
            </w:pPr>
            <w:r>
              <w:rPr>
                <w:b/>
                <w:bCs/>
              </w:rPr>
              <w:t xml:space="preserve">Corrección:</w:t>
            </w:r>
            <w:r>
              <w:t xml:space="preserve"> Son modelos: cada modelador puede modelar desde otra perspectiva y con otros nombres; está bien si la historia leída por la cadena causal coincide con lo pedido.</w:t>
            </w:r>
          </w:p>
          <w:p>
            <w:pPr>
              <w:pStyle w:val="Recuadro"/>
            </w:pPr>
            <w:r>
              <w:t xml:space="preserve">Clase 16 · 00:37:21–00:37:59 · Clase 16 · 01:34:26–01:35:22</w:t>
            </w:r>
          </w:p>
        </w:tc>
      </w:tr>
    </w:tbl>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9C620A" w:sz="20"/>
              <w:bottom w:val="nil"/>
              <w:right w:val="nil"/>
            </w:tcBorders>
            <w:shd w:fill="FBF3DF" w:val="clear"/>
            <w:tcMar>
              <w:top w:type="dxa" w:w="130"/>
              <w:left w:type="dxa" w:w="180"/>
              <w:bottom w:type="dxa" w:w="130"/>
              <w:right w:type="dxa" w:w="180"/>
            </w:tcMar>
          </w:tcPr>
          <w:p>
            <w:pPr>
              <w:pStyle w:val="RecuadroTitulo"/>
            </w:pPr>
            <w:r>
              <w:rPr>
                <w:b/>
                <w:bCs/>
                <w:color w:val="9C620A"/>
              </w:rPr>
              <w:t xml:space="preserve">Error → corrección</w:t>
            </w:r>
          </w:p>
          <w:p>
            <w:pPr>
              <w:pStyle w:val="Recuadro"/>
            </w:pPr>
            <w:r>
              <w:rPr>
                <w:b/>
                <w:bCs/>
              </w:rPr>
              <w:t xml:space="preserve">Error:</w:t>
            </w:r>
            <w:r>
              <w:t xml:space="preserve"> Decir que el mapa modela el sistema «que estamos utilizando».</w:t>
            </w:r>
          </w:p>
          <w:p>
            <w:pPr>
              <w:pStyle w:val="Recuadro"/>
            </w:pPr>
            <w:r>
              <w:rPr>
                <w:b/>
                <w:bCs/>
              </w:rPr>
              <w:t xml:space="preserve">Corrección:</w:t>
            </w:r>
            <w:r>
              <w:t xml:space="preserve"> Se corrigió: modela el sistema que interesa comprender, y cada distinción queda circunscrita al contexto modelado.</w:t>
            </w:r>
          </w:p>
          <w:p>
            <w:pPr>
              <w:pStyle w:val="Recuadro"/>
            </w:pPr>
            <w:r>
              <w:t xml:space="preserve">Clase 10 · 00:43:17–00:44:10</w:t>
            </w:r>
          </w:p>
        </w:tc>
      </w:tr>
    </w:tbl>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9C620A" w:sz="20"/>
              <w:bottom w:val="nil"/>
              <w:right w:val="nil"/>
            </w:tcBorders>
            <w:shd w:fill="FBF3DF" w:val="clear"/>
            <w:tcMar>
              <w:top w:type="dxa" w:w="130"/>
              <w:left w:type="dxa" w:w="180"/>
              <w:bottom w:type="dxa" w:w="130"/>
              <w:right w:type="dxa" w:w="180"/>
            </w:tcMar>
          </w:tcPr>
          <w:p>
            <w:pPr>
              <w:pStyle w:val="RecuadroTitulo"/>
            </w:pPr>
            <w:r>
              <w:rPr>
                <w:b/>
                <w:bCs/>
                <w:color w:val="9C620A"/>
              </w:rPr>
              <w:t xml:space="preserve">Trampa de examen</w:t>
            </w:r>
          </w:p>
          <w:p>
            <w:pPr>
              <w:pStyle w:val="Recuadro"/>
            </w:pPr>
            <w:r>
              <w:t xml:space="preserve">Confundir el mapa con el sistema o con una verdad única. El mapa es un modelo que sintetiza la teoría personal de su autor; sólo se comprende con el sistema original como referencia y se valida probando acciones en él: si el resultado no es el esperado, lo que falla es el modelo.</w:t>
            </w:r>
          </w:p>
        </w:tc>
      </w:tr>
    </w:tbl>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Ampliación: lo no dictado en clase</w:t>
            </w:r>
          </w:p>
          <w:p>
            <w:pPr>
              <w:pStyle w:val="Recuadro"/>
            </w:pPr>
            <w:r>
              <w:t xml:space="preserve">Las láminas de los modelos mentales no se desarrollaron más allá de «estructura y bits de información», y la simulación de modelos quedó anunciada para la unidad 4.</w:t>
            </w:r>
          </w:p>
        </w:tc>
      </w:tr>
    </w:tbl>
    <w:p>
      <w:pPr>
        <w:pStyle w:val="Heading3"/>
      </w:pPr>
      <w:r>
        <w:t xml:space="preserve">Lecturas y tareas del curso</w:t>
      </w:r>
    </w:p>
    <w:p>
      <w:pPr>
        <w:pStyle w:val="Normal"/>
      </w:pPr>
      <w:r>
        <w:t xml:space="preserve">L-14 · El modelado: tipos y clasificaciones — UNAD, Dinámica de sistemas (capítulo 2). Lecciones 6 a 10 del curso de Dinámica de sistemas de la UNAD: la idea de modelo, el modelo para representar o para ser representado, y la clasificación del modelado según su uso y según su proceso.</w:t>
      </w:r>
    </w:p>
    <w:p>
      <w:pPr>
        <w:pStyle w:val="Normal"/>
      </w:pPr>
      <w:r>
        <w:t xml:space="preserve">C-2 · Unidad 3 · Desarrollo del pensamiento sistémico complejo (presentación). La presentación completa de la Unidad 3 tal como la compartió el profesor: 129 páginas con las reglas simples del pensamiento sistémico, los mapas DSRP, los diagramas de ciclos causales, la polaridad y los tipos de ciclo, las demoras, los patrones de comportamiento y los ejercicios trabajados en clase. Complementa las 128 láminas capturadas durante las sesiones.</w:t>
      </w:r>
    </w:p>
    <w:p>
      <w:pPr>
        <w:pStyle w:val="Heading3"/>
      </w:pPr>
      <w:r>
        <w:t xml:space="preserve">Práctica de los laboratorios</w:t>
      </w:r>
    </w:p>
    <w:p>
      <w:pPr>
        <w:pStyle w:val="Normal"/>
      </w:pPr>
      <w:r>
        <w:t xml:space="preserve">Los procedimientos del capítulo permiten reconstruir en papel la práctica interactiva. Los laboratorios originales permanecen disponibles en la lección del portal.</w:t>
      </w:r>
    </w:p>
    <w:p>
      <w:pPr>
        <w:pStyle w:val="Normal"/>
        <w:numPr>
          <w:ilvl w:val="0"/>
          <w:numId w:val="2"/>
        </w:numPr>
      </w:pPr>
      <w:r>
        <w:t xml:space="preserve">Las tres familias de mapas sistémicos</w:t>
      </w:r>
    </w:p>
    <w:p>
      <w:pPr>
        <w:pStyle w:val="Normal"/>
        <w:numPr>
          <w:ilvl w:val="0"/>
          <w:numId w:val="2"/>
        </w:numPr>
      </w:pPr>
      <w:r>
        <w:t xml:space="preserve">El proceso de mapeo, de la pregunta al modelo</w:t>
      </w:r>
    </w:p>
    <w:p>
      <w:pPr>
        <w:pStyle w:val="Normal"/>
        <w:numPr>
          <w:ilvl w:val="0"/>
          <w:numId w:val="2"/>
        </w:numPr>
      </w:pPr>
      <w:r>
        <w:t xml:space="preserve">Información y estructura en un mapa</w:t>
      </w:r>
    </w:p>
    <w:p>
      <w:pPr>
        <w:pStyle w:val="Heading3"/>
      </w:pPr>
      <w:r>
        <w:t xml:space="preserve">Autoevaluación</w:t>
      </w:r>
    </w:p>
    <w:p>
      <w:pPr>
        <w:pStyle w:val="Normal"/>
      </w:pPr>
      <w:r>
        <w:t xml:space="preserve">Resuelva sin consultar las respuestas. Compruebe al final del capítulo por qué cada opción es correcta o incorrecta.</w:t>
      </w:r>
    </w:p>
    <w:p>
      <w:pPr>
        <w:pStyle w:val="Heading3"/>
      </w:pPr>
      <w:bookmarkStart w:name="b_pregunta_auto_3_1_1" w:id="2137"/>
      <w:r>
        <w:t xml:space="preserve">3.1-A1 · ¿Qué permite concluir la comparación de oferta/demanda con presa/depredador de C-2, página 40?</w:t>
      </w:r>
      <w:bookmarkEnd w:id="2137"/>
    </w:p>
    <w:p>
      <w:pPr>
        <w:pStyle w:val="Normal"/>
      </w:pPr>
      <w:r>
        <w:t xml:space="preserve">a) Una posible analogía que exige comprobar mecanismos y condiciones; el gráfico económico no muestra una oscilación temporal</w:t>
      </w:r>
    </w:p>
    <w:p>
      <w:pPr>
        <w:pStyle w:val="Normal"/>
      </w:pPr>
      <w:r>
        <w:t xml:space="preserve">b) Que todos los mercados oscilan igual que todas las poblaciones</w:t>
      </w:r>
    </w:p>
    <w:p>
      <w:pPr>
        <w:pStyle w:val="Normal"/>
      </w:pPr>
      <w:r>
        <w:t xml:space="preserve">c) Que un gráfico de precio y cantidad tiene necesariamente tiempo en el eje horizontal</w:t>
      </w:r>
    </w:p>
    <w:p>
      <w:pPr>
        <w:pStyle w:val="Normal"/>
      </w:pPr>
      <w:r>
        <w:t xml:space="preserve">d) Que la transferencia permite omitir tasas y demoras</w:t>
      </w:r>
    </w:p>
    <w:p>
      <w:pPr>
        <w:pStyle w:val="Heading3"/>
      </w:pPr>
      <w:bookmarkStart w:name="b_pregunta_auto_3_1_2" w:id="2138"/>
      <w:r>
        <w:t xml:space="preserve">3.1-A2 · En términos de sistemas, ¿qué es fundamentalmente un mapa sistémico?</w:t>
      </w:r>
      <w:bookmarkEnd w:id="2138"/>
    </w:p>
    <w:p>
      <w:pPr>
        <w:pStyle w:val="Normal"/>
      </w:pPr>
      <w:r>
        <w:t xml:space="preserve">a) Una fotografía exacta del sistema real</w:t>
      </w:r>
    </w:p>
    <w:p>
      <w:pPr>
        <w:pStyle w:val="Normal"/>
      </w:pPr>
      <w:r>
        <w:t xml:space="preserve">b) Un modelo: una representación gráfica de la estructura del sistema</w:t>
      </w:r>
    </w:p>
    <w:p>
      <w:pPr>
        <w:pStyle w:val="Normal"/>
      </w:pPr>
      <w:r>
        <w:t xml:space="preserve">c) Un adorno para presentaciones, sin valor analítico</w:t>
      </w:r>
    </w:p>
    <w:p>
      <w:pPr>
        <w:pStyle w:val="Normal"/>
      </w:pPr>
      <w:r>
        <w:t xml:space="preserve">d) La lista completa de todos los elementos del sistema</w:t>
      </w:r>
    </w:p>
    <w:p>
      <w:pPr>
        <w:pStyle w:val="Heading3"/>
      </w:pPr>
      <w:bookmarkStart w:name="b_pregunta_auto_3_1_3" w:id="2139"/>
      <w:r>
        <w:t xml:space="preserve">3.1-A3 · La frase de Korzybski «el mapa no es el territorio» aplicada a los modelos significa que…</w:t>
      </w:r>
      <w:bookmarkEnd w:id="2139"/>
    </w:p>
    <w:p>
      <w:pPr>
        <w:pStyle w:val="Normal"/>
      </w:pPr>
      <w:r>
        <w:t xml:space="preserve">a) Un buen modelo debe incluir absolutamente todo el detalle de la realidad</w:t>
      </w:r>
    </w:p>
    <w:p>
      <w:pPr>
        <w:pStyle w:val="Normal"/>
      </w:pPr>
      <w:r>
        <w:t xml:space="preserve">b) Todo modelo es una simplificación de la realidad, no la realidad misma</w:t>
      </w:r>
    </w:p>
    <w:p>
      <w:pPr>
        <w:pStyle w:val="Normal"/>
      </w:pPr>
      <w:r>
        <w:t xml:space="preserve">c) Los mapas son inútiles porque nunca son exactos</w:t>
      </w:r>
    </w:p>
    <w:p>
      <w:pPr>
        <w:pStyle w:val="Normal"/>
      </w:pPr>
      <w:r>
        <w:t xml:space="preserve">d) El territorio se puede sustituir por completo por su mapa</w:t>
      </w:r>
    </w:p>
    <w:p>
      <w:pPr>
        <w:pStyle w:val="Heading3"/>
      </w:pPr>
      <w:bookmarkStart w:name="b_pregunta_auto_3_1_4" w:id="2140"/>
      <w:r>
        <w:t xml:space="preserve">3.1-A4 · En «Del rigor en la ciencia», Borges imagina un mapa a escala 1:1, tan grande como el imperio. La moraleja para el modelado es que…</w:t>
      </w:r>
      <w:bookmarkEnd w:id="2140"/>
    </w:p>
    <w:p>
      <w:pPr>
        <w:pStyle w:val="Normal"/>
      </w:pPr>
      <w:r>
        <w:t xml:space="preserve">a) El mejor mapa es siempre el más detallado y realista</w:t>
      </w:r>
    </w:p>
    <w:p>
      <w:pPr>
        <w:pStyle w:val="Normal"/>
      </w:pPr>
      <w:r>
        <w:t xml:space="preserve">b) Un mapa que lo copia todo es tan inútil como el territorio; el buen mapa sirve a un propósito</w:t>
      </w:r>
    </w:p>
    <w:p>
      <w:pPr>
        <w:pStyle w:val="Normal"/>
      </w:pPr>
      <w:r>
        <w:t xml:space="preserve">c) Los sistemas complejos no se pueden mapear</w:t>
      </w:r>
    </w:p>
    <w:p>
      <w:pPr>
        <w:pStyle w:val="Normal"/>
      </w:pPr>
      <w:r>
        <w:t xml:space="preserve">d) Solo los mapas cuantitativos tienen valor</w:t>
      </w:r>
    </w:p>
    <w:p>
      <w:pPr>
        <w:pStyle w:val="Heading3"/>
      </w:pPr>
      <w:bookmarkStart w:name="b_pregunta_auto_3_1_5" w:id="2141"/>
      <w:r>
        <w:t xml:space="preserve">3.1-A5 · ¿Qué familia de mapa muestra la estructura estática del sistema —sus distinciones, sus relaciones parte-todo, sus relaciones y sus perspectivas—?</w:t>
      </w:r>
      <w:bookmarkEnd w:id="2141"/>
    </w:p>
    <w:p>
      <w:pPr>
        <w:pStyle w:val="Normal"/>
      </w:pPr>
      <w:r>
        <w:t xml:space="preserve">a) El diagrama de ciclos causales</w:t>
      </w:r>
    </w:p>
    <w:p>
      <w:pPr>
        <w:pStyle w:val="Normal"/>
      </w:pPr>
      <w:r>
        <w:t xml:space="preserve">b) El diagrama de flujos y niveles</w:t>
      </w:r>
    </w:p>
    <w:p>
      <w:pPr>
        <w:pStyle w:val="Normal"/>
      </w:pPr>
      <w:r>
        <w:t xml:space="preserve">c) El mapa DSRP</w:t>
      </w:r>
    </w:p>
    <w:p>
      <w:pPr>
        <w:pStyle w:val="Normal"/>
      </w:pPr>
      <w:r>
        <w:t xml:space="preserve">d) La gráfica de barras</w:t>
      </w:r>
    </w:p>
    <w:p>
      <w:pPr>
        <w:pStyle w:val="Heading3"/>
      </w:pPr>
      <w:bookmarkStart w:name="b_pregunta_auto_3_1_6" w:id="2142"/>
      <w:r>
        <w:t xml:space="preserve">3.1-A6 · Un diagrama con variables conectadas por flechas de polaridad + y −, formando bucles etiquetados R (refuerzo) y B (compensación), es un…</w:t>
      </w:r>
      <w:bookmarkEnd w:id="2142"/>
    </w:p>
    <w:p>
      <w:pPr>
        <w:pStyle w:val="Normal"/>
      </w:pPr>
      <w:r>
        <w:t xml:space="preserve">a) Mapa DSRP</w:t>
      </w:r>
    </w:p>
    <w:p>
      <w:pPr>
        <w:pStyle w:val="Normal"/>
      </w:pPr>
      <w:r>
        <w:t xml:space="preserve">b) Diagrama de ciclos causales (CLD)</w:t>
      </w:r>
    </w:p>
    <w:p>
      <w:pPr>
        <w:pStyle w:val="Normal"/>
      </w:pPr>
      <w:r>
        <w:t xml:space="preserve">c) Diagrama de flujos y niveles</w:t>
      </w:r>
    </w:p>
    <w:p>
      <w:pPr>
        <w:pStyle w:val="Normal"/>
      </w:pPr>
      <w:r>
        <w:t xml:space="preserve">d) Organigrama</w:t>
      </w:r>
    </w:p>
    <w:p>
      <w:pPr>
        <w:pStyle w:val="Heading3"/>
      </w:pPr>
      <w:bookmarkStart w:name="b_pregunta_auto_3_1_7" w:id="2143"/>
      <w:r>
        <w:t xml:space="preserve">3.1-A7 · ¿Qué familia de mapa usa niveles (stocks) que acumulan y flujos (con válvulas) que los llenan o vacían, y sirve de base para la simulación?</w:t>
      </w:r>
      <w:bookmarkEnd w:id="2143"/>
    </w:p>
    <w:p>
      <w:pPr>
        <w:pStyle w:val="Normal"/>
      </w:pPr>
      <w:r>
        <w:t xml:space="preserve">a) El mapa DSRP</w:t>
      </w:r>
    </w:p>
    <w:p>
      <w:pPr>
        <w:pStyle w:val="Normal"/>
      </w:pPr>
      <w:r>
        <w:t xml:space="preserve">b) El diagrama de ciclos causales</w:t>
      </w:r>
    </w:p>
    <w:p>
      <w:pPr>
        <w:pStyle w:val="Normal"/>
      </w:pPr>
      <w:r>
        <w:t xml:space="preserve">c) El diagrama de flujos y niveles</w:t>
      </w:r>
    </w:p>
    <w:p>
      <w:pPr>
        <w:pStyle w:val="Normal"/>
      </w:pPr>
      <w:r>
        <w:t xml:space="preserve">d) El mapa mental</w:t>
      </w:r>
    </w:p>
    <w:p>
      <w:pPr>
        <w:pStyle w:val="Heading3"/>
      </w:pPr>
      <w:bookmarkStart w:name="b_pregunta_auto_3_1_8" w:id="2144"/>
      <w:r>
        <w:t xml:space="preserve">3.1-A8 · Meadows aconseja «sacar tu modelo a la vista, invitar a otros a desafiar tus supuestos y a añadir los suyos». ¿Por qué conviene externalizar un modelo mental en un mapa?</w:t>
      </w:r>
      <w:bookmarkEnd w:id="2144"/>
    </w:p>
    <w:p>
      <w:pPr>
        <w:pStyle w:val="Normal"/>
      </w:pPr>
      <w:r>
        <w:t xml:space="preserve">a) Para que el modelo quede fijo y ya no se pueda cambiar</w:t>
      </w:r>
    </w:p>
    <w:p>
      <w:pPr>
        <w:pStyle w:val="Normal"/>
      </w:pPr>
      <w:r>
        <w:t xml:space="preserve">b) Para hacerlo visible, compartible y sometible a prueba y mejora</w:t>
      </w:r>
    </w:p>
    <w:p>
      <w:pPr>
        <w:pStyle w:val="Normal"/>
      </w:pPr>
      <w:r>
        <w:t xml:space="preserve">c) Porque un mapa siempre es más verdadero que la realidad</w:t>
      </w:r>
    </w:p>
    <w:p>
      <w:pPr>
        <w:pStyle w:val="Normal"/>
      </w:pPr>
      <w:r>
        <w:t xml:space="preserve">d) Para ocultar los supuestos y evitar discusiones</w:t>
      </w:r>
    </w:p>
    <w:p>
      <w:pPr>
        <w:pStyle w:val="Heading3"/>
      </w:pPr>
      <w:bookmarkStart w:name="b_pregunta_auto_3_1_9" w:id="2145"/>
      <w:r>
        <w:t xml:space="preserve">3.1-A9 · Las tres familias de mapas del curso (DSRP, ciclos causales, flujos y niveles) se entienden mejor como…</w:t>
      </w:r>
      <w:bookmarkEnd w:id="2145"/>
    </w:p>
    <w:p>
      <w:pPr>
        <w:pStyle w:val="Normal"/>
      </w:pPr>
      <w:r>
        <w:t xml:space="preserve">a) Tres métodos rivales entre los que hay que elegir uno para siempre</w:t>
      </w:r>
    </w:p>
    <w:p>
      <w:pPr>
        <w:pStyle w:val="Normal"/>
      </w:pPr>
      <w:r>
        <w:t xml:space="preserve">b) El mismo sistema visto con creciente resolución: estructura, comportamiento y cantidad</w:t>
      </w:r>
    </w:p>
    <w:p>
      <w:pPr>
        <w:pStyle w:val="Normal"/>
      </w:pPr>
      <w:r>
        <w:t xml:space="preserve">c) Tres nombres distintos para exactamente el mismo diagrama</w:t>
      </w:r>
    </w:p>
    <w:p>
      <w:pPr>
        <w:pStyle w:val="Normal"/>
      </w:pPr>
      <w:r>
        <w:t xml:space="preserve">d) Tres estilos decorativos sin diferencia de contenido</w:t>
      </w:r>
    </w:p>
    <w:p>
      <w:pPr>
        <w:pStyle w:val="Heading3"/>
      </w:pPr>
      <w:bookmarkStart w:name="b_pregunta_auto_3_1_10" w:id="2146"/>
      <w:r>
        <w:t xml:space="preserve">3.1-A10 · «Vamos a comer niños» y «Vamos a comer, niños» usan exactamente las mismas palabras y significan cosas distintas. ¿Qué lo explica?</w:t>
      </w:r>
      <w:bookmarkEnd w:id="2146"/>
    </w:p>
    <w:p>
      <w:pPr>
        <w:pStyle w:val="Normal"/>
      </w:pPr>
      <w:r>
        <w:t xml:space="preserve">a) Que una de las dos frases tiene más información</w:t>
      </w:r>
    </w:p>
    <w:p>
      <w:pPr>
        <w:pStyle w:val="Normal"/>
      </w:pPr>
      <w:r>
        <w:t xml:space="preserve">b) Que la estructura, como la gramática, también aporta significado</w:t>
      </w:r>
    </w:p>
    <w:p>
      <w:pPr>
        <w:pStyle w:val="Normal"/>
      </w:pPr>
      <w:r>
        <w:t xml:space="preserve">c) Que el significado depende sólo de quien lee</w:t>
      </w:r>
    </w:p>
    <w:p>
      <w:pPr>
        <w:pStyle w:val="Normal"/>
      </w:pPr>
      <w:r>
        <w:t xml:space="preserve">d) Que las comas no cambian nada y es un error de lectura</w:t>
      </w:r>
    </w:p>
    <w:p>
      <w:pPr>
        <w:pStyle w:val="Heading3"/>
      </w:pPr>
      <w:bookmarkStart w:name="b_pregunta_auto_3_1_11" w:id="2147"/>
      <w:r>
        <w:t xml:space="preserve">3.1-A11 · En pensamiento sistémico, ¿qué equivale al texto y qué a la gramática?</w:t>
      </w:r>
      <w:bookmarkEnd w:id="2147"/>
    </w:p>
    <w:p>
      <w:pPr>
        <w:pStyle w:val="Normal"/>
      </w:pPr>
      <w:r>
        <w:t xml:space="preserve">a) El texto equivale a la estructura y la gramática a la información</w:t>
      </w:r>
    </w:p>
    <w:p>
      <w:pPr>
        <w:pStyle w:val="Normal"/>
      </w:pPr>
      <w:r>
        <w:t xml:space="preserve">b) El texto equivale a la información (palabras, números, símbolos, datos) y la gramática a la estructura</w:t>
      </w:r>
    </w:p>
    <w:p>
      <w:pPr>
        <w:pStyle w:val="Normal"/>
      </w:pPr>
      <w:r>
        <w:t xml:space="preserve">c) Los dos equivalen a la perspectiva</w:t>
      </w:r>
    </w:p>
    <w:p>
      <w:pPr>
        <w:pStyle w:val="Normal"/>
      </w:pPr>
      <w:r>
        <w:t xml:space="preserve">d) El texto equivale al modelo mental y la gramática al mapa</w:t>
      </w:r>
    </w:p>
    <w:p>
      <w:pPr>
        <w:pStyle w:val="Heading3"/>
      </w:pPr>
      <w:bookmarkStart w:name="b_pregunta_auto_3_1_12" w:id="2148"/>
      <w:r>
        <w:t xml:space="preserve">3.1-A12 · Según el video, ¿por qué se pierde el significado en muchas presentaciones?</w:t>
      </w:r>
      <w:bookmarkEnd w:id="2148"/>
    </w:p>
    <w:p>
      <w:pPr>
        <w:pStyle w:val="Normal"/>
      </w:pPr>
      <w:r>
        <w:t xml:space="preserve">a) Porque tienen demasiadas imágenes</w:t>
      </w:r>
    </w:p>
    <w:p>
      <w:pPr>
        <w:pStyle w:val="Normal"/>
      </w:pPr>
      <w:r>
        <w:t xml:space="preserve">b) Porque se concentran casi sólo en la información y pasan por alto la estructura del modelo mental</w:t>
      </w:r>
    </w:p>
    <w:p>
      <w:pPr>
        <w:pStyle w:val="Normal"/>
      </w:pPr>
      <w:r>
        <w:t xml:space="preserve">c) Porque usan mapas en vez de texto</w:t>
      </w:r>
    </w:p>
    <w:p>
      <w:pPr>
        <w:pStyle w:val="Normal"/>
      </w:pPr>
      <w:r>
        <w:t xml:space="preserve">d) Porque no citan fuentes</w:t>
      </w:r>
    </w:p>
    <w:p>
      <w:pPr>
        <w:pStyle w:val="Heading3"/>
      </w:pPr>
      <w:bookmarkStart w:name="b_pregunta_auto_3_1_13" w:id="2149"/>
      <w:r>
        <w:t xml:space="preserve">3.1-A13 · Según la «Cápsula 6», ¿cuál de estos diagramas SÍ es un mapa sistémico?</w:t>
      </w:r>
      <w:bookmarkEnd w:id="2149"/>
    </w:p>
    <w:p>
      <w:pPr>
        <w:pStyle w:val="Normal"/>
      </w:pPr>
      <w:r>
        <w:t xml:space="preserve">a) Un mapa mental con ideas alrededor de un centro</w:t>
      </w:r>
    </w:p>
    <w:p>
      <w:pPr>
        <w:pStyle w:val="Normal"/>
      </w:pPr>
      <w:r>
        <w:t xml:space="preserve">b) Un árbol de problemas con causas abajo y efectos arriba</w:t>
      </w:r>
    </w:p>
    <w:p>
      <w:pPr>
        <w:pStyle w:val="Normal"/>
      </w:pPr>
      <w:r>
        <w:t xml:space="preserve">c) Una representación gráfica de las relaciones no lineales, de interdependencia o multicausalidad, entre las variables de un sistema</w:t>
      </w:r>
    </w:p>
    <w:p>
      <w:pPr>
        <w:pStyle w:val="Normal"/>
      </w:pPr>
      <w:r>
        <w:t xml:space="preserve">d) Un sociograma de quién se relaciona con quién</w:t>
      </w:r>
    </w:p>
    <w:p>
      <w:pPr>
        <w:pStyle w:val="Heading3"/>
      </w:pPr>
      <w:bookmarkStart w:name="b_pregunta_auto_3_1_14" w:id="2150"/>
      <w:r>
        <w:t xml:space="preserve">3.1-A14 · En el proceso de mapeo de la cápsula, ¿qué significa una flecha de dos vías entre dos notas?</w:t>
      </w:r>
      <w:bookmarkEnd w:id="2150"/>
    </w:p>
    <w:p>
      <w:pPr>
        <w:pStyle w:val="Normal"/>
      </w:pPr>
      <w:r>
        <w:t xml:space="preserve">a) Que la relación es dudosa</w:t>
      </w:r>
    </w:p>
    <w:p>
      <w:pPr>
        <w:pStyle w:val="Normal"/>
      </w:pPr>
      <w:r>
        <w:t xml:space="preserve">b) Que hay una influencia recíproca o interdependiente entre los dos elementos</w:t>
      </w:r>
    </w:p>
    <w:p>
      <w:pPr>
        <w:pStyle w:val="Normal"/>
      </w:pPr>
      <w:r>
        <w:t xml:space="preserve">c) Que una causa produce dos efectos</w:t>
      </w:r>
    </w:p>
    <w:p>
      <w:pPr>
        <w:pStyle w:val="Normal"/>
      </w:pPr>
      <w:r>
        <w:t xml:space="preserve">d) Que la relación es más fuerte</w:t>
      </w:r>
    </w:p>
    <w:p>
      <w:pPr>
        <w:pStyle w:val="Heading3"/>
      </w:pPr>
      <w:bookmarkStart w:name="b_pregunta_auto_3_1_15" w:id="2151"/>
      <w:r>
        <w:t xml:space="preserve">3.1-A15 · ¿Por qué la cápsula recomienda convocar la inteligencia colectiva antes que mapear en solitario?</w:t>
      </w:r>
      <w:bookmarkEnd w:id="2151"/>
    </w:p>
    <w:p>
      <w:pPr>
        <w:pStyle w:val="Normal"/>
      </w:pPr>
      <w:r>
        <w:t xml:space="preserve">a) Porque un mapa individual no vale</w:t>
      </w:r>
    </w:p>
    <w:p>
      <w:pPr>
        <w:pStyle w:val="Normal"/>
      </w:pPr>
      <w:r>
        <w:t xml:space="preserve">b) Porque otros suman perspectivas, aportan ideas e información y desafían los propios supuestos</w:t>
      </w:r>
    </w:p>
    <w:p>
      <w:pPr>
        <w:pStyle w:val="Normal"/>
      </w:pPr>
      <w:r>
        <w:t xml:space="preserve">c) Porque así el mapa queda más bonito</w:t>
      </w:r>
    </w:p>
    <w:p>
      <w:pPr>
        <w:pStyle w:val="Normal"/>
      </w:pPr>
      <w:r>
        <w:t xml:space="preserve">d) Porque el papelógrafo es demasiado grande para una persona</w:t>
      </w:r>
    </w:p>
    <w:p>
      <w:pPr>
        <w:pStyle w:val="Heading3"/>
      </w:pPr>
      <w:bookmarkStart w:name="b_solucionario_3_1" w:id="2152"/>
      <w:r>
        <w:t xml:space="preserve">Solucionario del capítulo</w:t>
      </w:r>
      <w:bookmarkEnd w:id="2152"/>
    </w:p>
    <w:p>
      <w:pPr>
        <w:pStyle w:val="Heading3"/>
      </w:pPr>
      <w:r>
        <w:t xml:space="preserve">3.1-A1</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a) Una posible analogía que exige comprobar mecanismos y condiciones; el gráfico económico no muestra una oscilación temporal</w:t>
            </w:r>
          </w:p>
        </w:tc>
      </w:tr>
    </w:tbl>
    <w:p>
      <w:pPr>
        <w:pStyle w:val="Normal"/>
      </w:pPr>
      <w:r>
        <w:t xml:space="preserve">Una posible analogía que exige comprobar mecanismos y condiciones; el gráfico económico no muestra una oscilación temporal</w:t>
      </w:r>
    </w:p>
    <w:p>
      <w:pPr>
        <w:pStyle w:val="Fuente"/>
      </w:pPr>
      <w:r>
        <w:t xml:space="preserve">Presentación de la unidad 3 (C-2), pág. 40 · Clase 12 · 01:33:18–01:36:48</w:t>
      </w:r>
    </w:p>
    <w:p>
      <w:pPr>
        <w:pStyle w:val="Heading3"/>
      </w:pPr>
      <w:r>
        <w:t xml:space="preserve">3.1-A2</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b) Un modelo: una representación gráfica de la estructura del sistema</w:t>
            </w:r>
          </w:p>
        </w:tc>
      </w:tr>
    </w:tbl>
    <w:p>
      <w:pPr>
        <w:pStyle w:val="Normal"/>
      </w:pPr>
      <w:r>
        <w:t xml:space="preserve">Un mapa sistémico es un modelo: una representación simplificada de un sistema que saca el modelo mental de la cabeza y lo pone donde se puede examinar, discutir y mejorar.</w:t>
      </w:r>
    </w:p>
    <w:p>
      <w:pPr>
        <w:pStyle w:val="Normal"/>
      </w:pPr>
      <w:r>
        <w:t xml:space="preserve">a) No: una fotografía copiaría el detalle; el mapa selecciona y simplifica según un propósito.</w:t>
      </w:r>
    </w:p>
    <w:p>
      <w:pPr>
        <w:pStyle w:val="Normal"/>
      </w:pPr>
      <w:r>
        <w:t xml:space="preserve">b) Correcto: un mapa es un modelo que hace visible la estructura para poder pensarla y compartirla.</w:t>
      </w:r>
    </w:p>
    <w:p>
      <w:pPr>
        <w:pStyle w:val="Normal"/>
      </w:pPr>
      <w:r>
        <w:t xml:space="preserve">c) No: es una herramienta de pensamiento, no decoración.</w:t>
      </w:r>
    </w:p>
    <w:p>
      <w:pPr>
        <w:pStyle w:val="Normal"/>
      </w:pPr>
      <w:r>
        <w:t xml:space="preserve">d) No: un mapa deja cosas fuera a propósito; no busca ser exhaustivo.</w:t>
      </w:r>
    </w:p>
    <w:p>
      <w:pPr>
        <w:pStyle w:val="Heading3"/>
      </w:pPr>
      <w:r>
        <w:t xml:space="preserve">3.1-A3</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b) Todo modelo es una simplificación de la realidad, no la realidad misma</w:t>
            </w:r>
          </w:p>
        </w:tc>
      </w:tr>
    </w:tbl>
    <w:p>
      <w:pPr>
        <w:pStyle w:val="Normal"/>
      </w:pPr>
      <w:r>
        <w:t xml:space="preserve">Un modelo representa la realidad, pero no la copia: simplifica y deja cosas fuera. Esa simplificación —bien hecha— es justamente lo que lo vuelve útil para pensar.</w:t>
      </w:r>
    </w:p>
    <w:p>
      <w:pPr>
        <w:pStyle w:val="Fuente"/>
      </w:pPr>
      <w:r>
        <w:t xml:space="preserve">A. Korzybski · D. Meadows</w:t>
      </w:r>
    </w:p>
    <w:p>
      <w:pPr>
        <w:pStyle w:val="Heading3"/>
      </w:pPr>
      <w:r>
        <w:t xml:space="preserve">3.1-A4</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b) Un mapa que lo copia todo es tan inútil como el territorio; el buen mapa sirve a un propósito</w:t>
            </w:r>
          </w:p>
        </w:tc>
      </w:tr>
    </w:tbl>
    <w:p>
      <w:pPr>
        <w:pStyle w:val="Normal"/>
      </w:pPr>
      <w:r>
        <w:t xml:space="preserve">Un mapa 1:1 no simplifica nada, así que no ayuda a pensar. El mejor mapa no es el más detallado, sino el que mejor responde a la pregunta que se le hace, con el mínimo de ruido.</w:t>
      </w:r>
    </w:p>
    <w:p>
      <w:pPr>
        <w:pStyle w:val="Normal"/>
      </w:pPr>
      <w:r>
        <w:t xml:space="preserve">a) Mito: más detalle no es mejor; el exceso de detalle vuelve el mapa inservible.</w:t>
      </w:r>
    </w:p>
    <w:p>
      <w:pPr>
        <w:pStyle w:val="Normal"/>
      </w:pPr>
      <w:r>
        <w:t xml:space="preserve">b) Correcto: el valor de un mapa está en simplificar con propósito, no en copiarlo todo.</w:t>
      </w:r>
    </w:p>
    <w:p>
      <w:pPr>
        <w:pStyle w:val="Normal"/>
      </w:pPr>
      <w:r>
        <w:t xml:space="preserve">c) No: precisamente se mapean para poder pensarlos.</w:t>
      </w:r>
    </w:p>
    <w:p>
      <w:pPr>
        <w:pStyle w:val="Normal"/>
      </w:pPr>
      <w:r>
        <w:t xml:space="preserve">d) No: cada familia de mapa sirve a preguntas distintas.</w:t>
      </w:r>
    </w:p>
    <w:p>
      <w:pPr>
        <w:pStyle w:val="Heading3"/>
      </w:pPr>
      <w:r>
        <w:t xml:space="preserve">3.1-A5</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c) El mapa DSRP</w:t>
            </w:r>
          </w:p>
        </w:tc>
      </w:tr>
    </w:tbl>
    <w:p>
      <w:pPr>
        <w:pStyle w:val="Normal"/>
      </w:pPr>
      <w:r>
        <w:t xml:space="preserve">El mapa DSRP representa la «anatomía» del sistema con las cuatro operaciones: Distinciones, Sistemas (parte-todo), Relaciones y Perspectivas.</w:t>
      </w:r>
    </w:p>
    <w:p>
      <w:pPr>
        <w:pStyle w:val="Fuente"/>
      </w:pPr>
      <w:r>
        <w:t xml:space="preserve">D. Cabrera</w:t>
      </w:r>
    </w:p>
    <w:p>
      <w:pPr>
        <w:pStyle w:val="Heading3"/>
      </w:pPr>
      <w:r>
        <w:t xml:space="preserve">3.1-A6</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b) Diagrama de ciclos causales (CLD)</w:t>
            </w:r>
          </w:p>
        </w:tc>
      </w:tr>
    </w:tbl>
    <w:p>
      <w:pPr>
        <w:pStyle w:val="Normal"/>
      </w:pPr>
      <w:r>
        <w:t xml:space="preserve">El diagrama de ciclos causales (causal loop diagram) muestra relaciones causales entre variables y sus bucles de refuerzo (R) y compensación (B): explica por qué el sistema se comporta como se comporta.</w:t>
      </w:r>
    </w:p>
    <w:p>
      <w:pPr>
        <w:pStyle w:val="Normal"/>
      </w:pPr>
      <w:r>
        <w:t xml:space="preserve">a) No: el mapa DSRP muestra estructura, no bucles de retroalimentación.</w:t>
      </w:r>
    </w:p>
    <w:p>
      <w:pPr>
        <w:pStyle w:val="Normal"/>
      </w:pPr>
      <w:r>
        <w:t xml:space="preserve">b) Correcto: los CLD hacen visibles los bucles de retroalimentación que generan el comportamiento en el tiempo.</w:t>
      </w:r>
    </w:p>
    <w:p>
      <w:pPr>
        <w:pStyle w:val="Normal"/>
      </w:pPr>
      <w:r>
        <w:t xml:space="preserve">c) No: los flujos y niveles usan stocks, válvulas y nubes, no bucles con polaridad.</w:t>
      </w:r>
    </w:p>
    <w:p>
      <w:pPr>
        <w:pStyle w:val="Normal"/>
      </w:pPr>
      <w:r>
        <w:t xml:space="preserve">d) No: un organigrama muestra jerarquía, no causalidad circular.</w:t>
      </w:r>
    </w:p>
    <w:p>
      <w:pPr>
        <w:pStyle w:val="Heading3"/>
      </w:pPr>
      <w:r>
        <w:t xml:space="preserve">3.1-A7</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c) El diagrama de flujos y niveles</w:t>
            </w:r>
          </w:p>
        </w:tc>
      </w:tr>
    </w:tbl>
    <w:p>
      <w:pPr>
        <w:pStyle w:val="Normal"/>
      </w:pPr>
      <w:r>
        <w:t xml:space="preserve">El diagrama de flujos y niveles (stock and flow) representa la «tubería» cuantitativa del sistema —acumulaciones y ritmos— y es la base para simularlo (por ejemplo, en VENSIM).</w:t>
      </w:r>
    </w:p>
    <w:p>
      <w:pPr>
        <w:pStyle w:val="Fuente"/>
      </w:pPr>
      <w:r>
        <w:t xml:space="preserve">J. Forrester · D. Meadows</w:t>
      </w:r>
    </w:p>
    <w:p>
      <w:pPr>
        <w:pStyle w:val="Heading3"/>
      </w:pPr>
      <w:r>
        <w:t xml:space="preserve">3.1-A8</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b) Para hacerlo visible, compartible y sometible a prueba y mejora</w:t>
            </w:r>
          </w:p>
        </w:tc>
      </w:tr>
    </w:tbl>
    <w:p>
      <w:pPr>
        <w:pStyle w:val="Normal"/>
      </w:pPr>
      <w:r>
        <w:t xml:space="preserve">Nuestros modelos mentales son invisibles y llenos de vacíos. Dibujarlos los vuelve visibles y compartibles, de modo que se puedan cuestionar, corregir y mejorar por aproximación sucesiva.</w:t>
      </w:r>
    </w:p>
    <w:p>
      <w:pPr>
        <w:pStyle w:val="Fuente"/>
      </w:pPr>
      <w:r>
        <w:t xml:space="preserve">D. Meadows, «Thinking in Systems»</w:t>
      </w:r>
    </w:p>
    <w:p>
      <w:pPr>
        <w:pStyle w:val="Heading3"/>
      </w:pPr>
      <w:r>
        <w:t xml:space="preserve">3.1-A9</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b) El mismo sistema visto con creciente resolución: estructura, comportamiento y cantidad</w:t>
            </w:r>
          </w:p>
        </w:tc>
      </w:tr>
    </w:tbl>
    <w:p>
      <w:pPr>
        <w:pStyle w:val="Normal"/>
      </w:pPr>
      <w:r>
        <w:t xml:space="preserve">No compiten: son un mismo sistema a resolución creciente. DSRP fija la anatomía (qué es y cómo se organiza), los ciclos causales explican el comportamiento (qué bucles lo mueven) y los flujos-niveles añaden cantidad para simular. Se avanza de uno a otro conforme la pregunta se afina.</w:t>
      </w:r>
    </w:p>
    <w:p>
      <w:pPr>
        <w:pStyle w:val="Heading3"/>
      </w:pPr>
      <w:r>
        <w:t xml:space="preserve">3.1-A10</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b) Que la estructura, como la gramática, también aporta significado</w:t>
            </w:r>
          </w:p>
        </w:tc>
      </w:tr>
    </w:tbl>
    <w:p>
      <w:pPr>
        <w:pStyle w:val="Normal"/>
      </w:pPr>
      <w:r>
        <w:t xml:space="preserve">Si el texto es idéntico y el significado cambia, otro factor aporta significado: la estructura. Es el punto de partida del video «Information and Structure» y vale igual para los mapas.</w:t>
      </w:r>
    </w:p>
    <w:p>
      <w:pPr>
        <w:pStyle w:val="Fuente"/>
      </w:pPr>
      <w:r>
        <w:t xml:space="preserve">ST101.16 · 00:28 · ejemplo en español del portal</w:t>
      </w:r>
    </w:p>
    <w:p>
      <w:pPr>
        <w:pStyle w:val="Heading3"/>
      </w:pPr>
      <w:r>
        <w:t xml:space="preserve">3.1-A11</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b) El texto equivale a la información (palabras, números, símbolos, datos) y la gramática a la estructura</w:t>
            </w:r>
          </w:p>
        </w:tc>
      </w:tr>
    </w:tbl>
    <w:p>
      <w:pPr>
        <w:pStyle w:val="Normal"/>
      </w:pPr>
      <w:r>
        <w:t xml:space="preserve">La información es el material de cualquier tipo; la estructura es su gramática. Información más estructura produce el modelo mental que se quiere comunicar.</w:t>
      </w:r>
    </w:p>
    <w:p>
      <w:pPr>
        <w:pStyle w:val="Fuente"/>
      </w:pPr>
      <w:r>
        <w:t xml:space="preserve">ST101.16 · 00:49</w:t>
      </w:r>
    </w:p>
    <w:p>
      <w:pPr>
        <w:pStyle w:val="Heading3"/>
      </w:pPr>
      <w:r>
        <w:t xml:space="preserve">3.1-A12</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b) Porque se concentran casi sólo en la información y pasan por alto la estructura del modelo mental</w:t>
            </w:r>
          </w:p>
        </w:tc>
      </w:tr>
    </w:tbl>
    <w:p>
      <w:pPr>
        <w:pStyle w:val="Normal"/>
      </w:pPr>
      <w:r>
        <w:t xml:space="preserve">La mayoría de técnicas de comunicación cuidan la información y descuidan la estructura. Los metamapas equilibran las dos dando espacio a las formas.</w:t>
      </w:r>
    </w:p>
    <w:p>
      <w:pPr>
        <w:pStyle w:val="Fuente"/>
      </w:pPr>
      <w:r>
        <w:t xml:space="preserve">ST101.16 · 01:27</w:t>
      </w:r>
    </w:p>
    <w:p>
      <w:pPr>
        <w:pStyle w:val="Heading3"/>
      </w:pPr>
      <w:r>
        <w:t xml:space="preserve">3.1-A13</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c) Una representación gráfica de las relaciones no lineales, de interdependencia o multicausalidad, entre las variables de un sistema</w:t>
            </w:r>
          </w:p>
        </w:tc>
      </w:tr>
    </w:tbl>
    <w:p>
      <w:pPr>
        <w:pStyle w:val="Normal"/>
      </w:pPr>
      <w:r>
        <w:t xml:space="preserve">La cápsula lo define así y aclara que un mapa sistémico no es un mapa mental, ni conceptual, ni de actores, ni un sociograma, ni un árbol de problemas.</w:t>
      </w:r>
    </w:p>
    <w:p>
      <w:pPr>
        <w:pStyle w:val="Fuente"/>
      </w:pPr>
      <w:r>
        <w:t xml:space="preserve">Cápsula 6 · 00:00</w:t>
      </w:r>
    </w:p>
    <w:p>
      <w:pPr>
        <w:pStyle w:val="Heading3"/>
      </w:pPr>
      <w:r>
        <w:t xml:space="preserve">3.1-A14</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b) Que hay una influencia recíproca o interdependiente entre los dos elementos</w:t>
            </w:r>
          </w:p>
        </w:tc>
      </w:tr>
    </w:tbl>
    <w:p>
      <w:pPr>
        <w:pStyle w:val="Normal"/>
      </w:pPr>
      <w:r>
        <w:t xml:space="preserve">Una flecha de una vía es una relación unidireccional de una cosa a otra; una de dos vías, una relación de influencia recíproca e interdependiente.</w:t>
      </w:r>
    </w:p>
    <w:p>
      <w:pPr>
        <w:pStyle w:val="Fuente"/>
      </w:pPr>
      <w:r>
        <w:t xml:space="preserve">Cápsula 6 · 04:51</w:t>
      </w:r>
    </w:p>
    <w:p>
      <w:pPr>
        <w:pStyle w:val="Heading3"/>
      </w:pPr>
      <w:r>
        <w:t xml:space="preserve">3.1-A15</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b) Porque otros suman perspectivas, aportan ideas e información y desafían los propios supuestos</w:t>
            </w:r>
          </w:p>
        </w:tc>
      </w:tr>
    </w:tbl>
    <w:p>
      <w:pPr>
        <w:pStyle w:val="Normal"/>
      </w:pPr>
      <w:r>
        <w:t xml:space="preserve">Se puede mapear en solitario, pero es mucho mejor contar con la inteligencia de otros: el mapa representa la perspectiva de un grupo en un momento, lugar y propósito particular.</w:t>
      </w:r>
    </w:p>
    <w:p>
      <w:pPr>
        <w:pStyle w:val="Fuente"/>
        <w:sectPr>
          <w:headerReference w:type="default" r:id="rId162"/>
          <w:headerReference w:type="first" r:id="rId163"/>
          <w:headerReference w:type="even" r:id="rId164"/>
          <w:footerReference w:type="default" r:id="rId165"/>
          <w:footerReference w:type="first" r:id="rId166"/>
          <w:footerReference w:type="even" r:id="rId167"/>
          <w:type w:val="nextPage"/>
          <w:pgSz w:w="12240" w:h="15840" w:orient="portrait"/>
          <w:pgMar w:top="1361" w:right="1134" w:bottom="1361" w:left="1474" w:header="650" w:footer="680" w:gutter="0"/>
          <w:pgNumType/>
          <w:titlePg/>
          <w:docGrid w:linePitch="360"/>
        </w:sectPr>
      </w:pPr>
      <w:r>
        <w:t xml:space="preserve">Cápsula 6 · 02:02</w:t>
      </w:r>
    </w:p>
    <w:p>
      <w:pPr>
        <w:pStyle w:val="Heading2"/>
      </w:pPr>
      <w:bookmarkStart w:name="b_3_2" w:id="2153"/>
      <w:r>
        <w:t xml:space="preserve">3.2 · Mapas DSRP generales</w:t>
      </w:r>
      <w:bookmarkEnd w:id="2153"/>
    </w:p>
    <w:p>
      <w:pPr>
        <w:pStyle w:val="Subtitulo"/>
      </w:pPr>
      <w:r>
        <w:t xml:space="preserve">Mapas sistémicos generales: mapas DSRP</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En una línea</w:t>
            </w:r>
          </w:p>
          <w:p>
            <w:pPr>
              <w:pStyle w:val="Recuadro"/>
            </w:pPr>
            <w:r>
              <w:t xml:space="preserve">Rectángulo para distinguir, contención para el todo y las partes, línea para relacionar, ojo y punto para la perspectiva.</w:t>
            </w:r>
          </w:p>
        </w:tc>
      </w:tr>
    </w:tbl>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Qué te preguntan</w:t>
            </w:r>
          </w:p>
          <w:p>
            <w:pPr>
              <w:pStyle w:val="Recuadro"/>
            </w:pPr>
            <w:r>
              <w:t xml:space="preserve">Leer un mapa DSRP señalando qué regla evidencia cada elemento, y construir uno con la sintaxis inmersa en el contenido: el error que el profesor corrigió en la clase 11 y en la 12 es agrupar el mapa en bloques llamados «distinciones», «relaciones» y «perspectivas» en vez de dejar que la estructura hable por sí sola. La perspectiva exige siempre ojo y punto.</w:t>
            </w:r>
          </w:p>
        </w:tc>
      </w:tr>
    </w:tbl>
    <w:p>
      <w:pPr>
        <w:pStyle w:val="Normal"/>
      </w:pPr>
      <w:r>
        <w:t xml:space="preserve">El mapa DSRP (equipo de Derek Cabrera) expresa las cuatro reglas con sintaxis gráfica: distinción, rectángulo con nombre, sin repetirlo; sistema, recuadros de las partes dentro del recuadro del todo; relación, línea que con cabeza de flecha es causal (cola causa, cabeza efecto) y puede rotularse; perspectiva, ojo en el punto de vista y punto del mismo color en lo que se ve. Las reglas no se rotulan ni se separan en subdiagramas: van inmersas en el contenido. Un mapa dado se lee traduciendo cada marca a su regla; sin ojos, sólo tiene la perspectiva implícita del autor.</w:t>
      </w:r>
    </w:p>
    <w:p>
      <w:pPr>
        <w:pStyle w:val="Heading3"/>
      </w:pPr>
      <w:r>
        <w:t xml:space="preserve">Vocabulario clave</w:t>
      </w:r>
    </w:p>
    <w:p>
      <w:pPr>
        <w:pStyle w:val="Normal"/>
      </w:pPr>
      <w:r>
        <w:t xml:space="preserve">mapa DSRP (distinciones, sistemas, relaciones, perspectivas) · distinción (rectángulo con nombre, concepto) · sistema (todo y partes, recuadros anidados, contención) · relación (línea; con cabeza de flecha, causal: causa y efecto, acción y reacción) · interdependencia (dos cabezas o dos flechas opuestas, relación de doble vía) · barras (relación nombrada o detallada con la regla de sistemas) · variable (distinción con un concepto general) · perspectiva (punto de vista: ojo; lo que se ve: punto del mismo color) · perspectiva implícita (la del autor del mapa) · P-círculos, mapas de múltiples perspectivas y sub-perspectivas</w:t>
      </w:r>
    </w:p>
    <w:p>
      <w:pPr>
        <w:pStyle w:val="Fuente"/>
      </w:pPr>
      <w:r>
        <w:t xml:space="preserve">Recorrido: desarrollo conceptual → presentaciones → explicación en clase → errores y fuentes → práctica → solucionario.</w:t>
      </w:r>
    </w:p>
    <w:p>
      <w:pPr>
        <w:pStyle w:val="Heading3"/>
      </w:pPr>
      <w:r>
        <w:t xml:space="preserve">Las reglas y su base</w:t>
      </w:r>
    </w:p>
    <w:p>
      <w:pPr>
        <w:pStyle w:val="Normal"/>
      </w:pPr>
      <w:r>
        <w:t xml:space="preserve">La distinción es la mínima necesaria para cualquier forma de pensamiento y «siempre está en cualquier representación»; sistemas, relaciones y perspectivas completan la base de modelos mentales y mapas.</w:t>
      </w:r>
    </w:p>
    <w:p>
      <w:pPr>
        <w:pStyle w:val="Normal"/>
      </w:pPr>
      <w:r>
        <w:t xml:space="preserve">Los mapas DSRP son los mapas sistémicos más amplios; sus cuatro operaciones sólo sirven para ordenar de forma congruente y coherente la información de conceptos e ideas del sistema.</w:t>
      </w:r>
    </w:p>
    <w:p>
      <w:pPr>
        <w:pStyle w:val="Normal"/>
      </w:pPr>
      <w:r>
        <w:t xml:space="preserve">Cada regla tiene dos componentes: sistemas, todo y parte; relaciones, causa y efecto; perspectivas, punto de vista y lo que se ve. Del video proyectado: distinciones como identidad y otro, relaciones como acción y reacción, aplicadas todas a la vez.</w:t>
      </w:r>
    </w:p>
    <w:p>
      <w:pPr>
        <w:pStyle w:val="Normal"/>
      </w:pPr>
      <w:r>
        <w:t xml:space="preserve">Hay prácticamente dos tipos de relaciones en el mapa: la causal y la de punto de vista. El mapa es un lenguaje gráfico: quien lo lee debe conocer la notación.</w:t>
      </w:r>
    </w:p>
    <w:p>
      <w:pPr>
        <w:pStyle w:val="Normal"/>
      </w:pPr>
      <w:r>
        <w:t xml:space="preserve">El diagrama de ciclos causales no expresa explícitamente subsistemas ni perspectivas: el énfasis está en las relaciones, con + o − en cada flecha, R (o +) o B (o −) al centro del ciclo y dos líneas sobre la flecha para la demora.</w:t>
      </w:r>
    </w:p>
    <w:p>
      <w:pPr>
        <w:pStyle w:val="Fuente"/>
      </w:pPr>
      <w:r>
        <w:t xml:space="preserve">Clase 10 · 00:20:56–00:21:33 · Clase 10 · 00:30:18–00:31:13 · video proyectado · Clase 10 · 00:38:26–00:39:51 · lámina c10-05 · Clase 10 · 00:40:05–00:40:54 · Clase 10 · 01:22:37–01:22:58 · Clase 11 · 00:21:40–00:23:38 · Clase 11 · 01:12:06–01:12:55 · Clase 12 · 00:21:42–00:22:05 · Clase 14 · 00:53:30–00:55:05 · Clase 15 · 00:17:47–00:19:30 · Clase 15 · 01:32:55–01:33:30</w:t>
      </w:r>
    </w:p>
    <w:p>
      <w:pPr>
        <w:pStyle w:val="Heading3"/>
      </w:pPr>
      <w:r>
        <w:t xml:space="preserve">Cómo se dibuja cada regla</w:t>
      </w:r>
    </w:p>
    <w:p>
      <w:pPr>
        <w:pStyle w:val="Normal"/>
      </w:pPr>
      <w:r>
        <w:t xml:space="preserve">Distinción: rectángulo con el nombre del concepto en el centro («mínimo tienen que tener el nombre»); nombrar ya es distinguir; el concepto es único y no se repite; la definición es opcional. A, B, C o «idea» son genéricos: en un mapa real van nombres. El contexto define el concepto: un círculo naranja idéntico parece pequeño o grande según los grises que lo rodean.</w:t>
      </w:r>
    </w:p>
    <w:p>
      <w:pPr>
        <w:pStyle w:val="Normal"/>
      </w:pPr>
      <w:r>
        <w:t xml:space="preserve">Sistemas: un todo se compone de partes y puede estar dentro de un sistema superior; se dibujan rectángulos pequeños dentro de uno mayor, anidados como un diagrama de Venn, por descomposición o construcción: A contiene B y C; B, a B1 y B2; C, a C1 y C2. Una idea con subsistema se ve colapsada o expandida («zoom»).</w:t>
      </w:r>
    </w:p>
    <w:p>
      <w:pPr>
        <w:pStyle w:val="Normal"/>
      </w:pPr>
      <w:r>
        <w:t xml:space="preserve">Relaciones: línea entre dos recuadros. Sin cabeza, relación causal sin decir cómo; con cabeza, apunta al efecto y la cola es la causa (acción y reacción). Puede apuntar hacia la primera idea distinguida y, opcionalmente, nombrarse.</w:t>
      </w:r>
    </w:p>
    <w:p>
      <w:pPr>
        <w:pStyle w:val="Normal"/>
      </w:pPr>
      <w:r>
        <w:t xml:space="preserve">Interdependencia: relaciones en ambos sentidos, con línea de dos cabezas o dos flechas opuestas; A interactúa con B y B con A (comportamiento circular). Estudiantes «aprenden de» docentes y docentes «enseñan a» estudiantes.</w:t>
      </w:r>
    </w:p>
    <w:p>
      <w:pPr>
        <w:pStyle w:val="Normal"/>
      </w:pPr>
      <w:r>
        <w:t xml:space="preserve">Perspectivas: ojo en el concepto desde donde se ve (un rol, lugar, disciplina o marco de referencia) y punto del mismo color en lo que ve; un color por perspectiva. Estructural: partes y relaciones; funcional: dinámica y sinergia; genética: evolución.</w:t>
      </w:r>
    </w:p>
    <w:p>
      <w:pPr>
        <w:pStyle w:val="Normal"/>
      </w:pPr>
      <w:r>
        <w:t xml:space="preserve">Notación completa: recuadros, recuadros anidados, flechas o líneas, ojo y punto.</w:t>
      </w:r>
    </w:p>
    <w:p>
      <w:pPr>
        <w:pStyle w:val="Fuente"/>
      </w:pPr>
      <w:r>
        <w:t xml:space="preserve">Clase 10 · 00:40:56–00:41:16 · lámina c10-07 · Clase 10 · 00:45:19–00:46:11 · Clase 10 · 00:46:35–00:47:31 · Clase 10 · 00:49:14–00:51:37 · lámina c10-10 · Clase 10 · 00:52:43–00:56:12 · lámina c10-11 · Clase 10 · 00:59:34–01:00:04 · Clase 10 · 01:21:53–01:23:04 · Clase 10 · 01:32:12–01:32:58 · Clase 10 · 01:33:06–01:33:53 · lámina c10-24 · Clase 11 · 00:12:38–00:13:54 · Clase 11 · 00:14:05–00:18:33 · Clase 11 · 01:22:08–01:22:35 · Clase 12 · 00:26:33–00:28:33</w:t>
      </w:r>
    </w:p>
    <w:p>
      <w:pPr>
        <w:pStyle w:val="Heading3"/>
      </w:pPr>
      <w:r>
        <w:t xml:space="preserve">Barras, variables y analogías</w:t>
      </w:r>
    </w:p>
    <w:p>
      <w:pPr>
        <w:pStyle w:val="Normal"/>
      </w:pPr>
      <w:r>
        <w:t xml:space="preserve">Barras: la relación entre ideas se nombra o se detalla con la regla de sistemas y puede unir cuatro o más variables: «comprar» = solicitud → confirmación → pago → producto.</w:t>
      </w:r>
    </w:p>
    <w:p>
      <w:pPr>
        <w:pStyle w:val="Normal"/>
      </w:pPr>
      <w:r>
        <w:t xml:space="preserve">Variable: distinción con un concepto general (maestro, padres, estudiante, temario). Mapa con variables que toman diferentes valores (más abstracto) o concreto, con términos específicos.</w:t>
      </w:r>
    </w:p>
    <w:p>
      <w:pPr>
        <w:pStyle w:val="Normal"/>
      </w:pPr>
      <w:r>
        <w:t xml:space="preserve">Sistema educativo: la maestra inspira al estudiante y enseña el temario; el temario contiene temas que generan conocimiento; temario y estudiante, en doble vía.</w:t>
      </w:r>
    </w:p>
    <w:p>
      <w:pPr>
        <w:pStyle w:val="Normal"/>
      </w:pPr>
      <w:r>
        <w:t xml:space="preserve">Analogía: A y B comparados por similitud, mapeando partes y relaciones; metáforas y símiles son casi lo mismo, más abstractos. «El mundo es como un escenario»: hombres y mujeres </w:t>
      </w:r>
      <w:r>
        <w:rPr>
          <w:rFonts w:ascii="DejaVu Serif" w:cs="DejaVu Serif" w:eastAsia="DejaVu Serif" w:hAnsi="DejaVu Serif"/>
        </w:rPr>
        <w:t xml:space="preserve">↔</w:t>
      </w:r>
      <w:r>
        <w:t xml:space="preserve"> actores; entradas y salidas </w:t>
      </w:r>
      <w:r>
        <w:rPr>
          <w:rFonts w:ascii="DejaVu Serif" w:cs="DejaVu Serif" w:eastAsia="DejaVu Serif" w:hAnsi="DejaVu Serif"/>
        </w:rPr>
        <w:t xml:space="preserve">↔</w:t>
      </w:r>
      <w:r>
        <w:t xml:space="preserve"> nacimientos y muertes.</w:t>
      </w:r>
    </w:p>
    <w:p>
      <w:pPr>
        <w:pStyle w:val="Fuente"/>
      </w:pPr>
      <w:r>
        <w:t xml:space="preserve">Clase 10 · 01:12:58–01:15:04 · Clase 11 · 00:29:37–00:32:15 · Clase 11 · 00:33:06–00:34:18 · Clase 11 · 00:45:27–00:47:35</w:t>
      </w:r>
    </w:p>
    <w:p>
      <w:pPr>
        <w:pStyle w:val="Heading3"/>
      </w:pPr>
      <w:r>
        <w:t xml:space="preserve">Perspectivas: implícita, P-círculos y sub-perspectivas</w:t>
      </w:r>
    </w:p>
    <w:p>
      <w:pPr>
        <w:pStyle w:val="Normal"/>
      </w:pPr>
      <w:r>
        <w:t xml:space="preserve">Es la regla más compleja: suele requerir un mapa base, que ya trae implícita la perspectiva del modelador; pide «hacer explícita la perspectiva» y regularmente no se aplica de entrada.</w:t>
      </w:r>
    </w:p>
    <w:p>
      <w:pPr>
        <w:pStyle w:val="Normal"/>
      </w:pPr>
      <w:r>
        <w:t xml:space="preserve">Sin ojos ni puntos, el mapa sólo contiene la perspectiva implícita del autor; con tres o más explícitas se enriquece: más perspectivas, más información y comprensión.</w:t>
      </w:r>
    </w:p>
    <w:p>
      <w:pPr>
        <w:pStyle w:val="Normal"/>
      </w:pPr>
      <w:r>
        <w:t xml:space="preserve">Casos: iPhone visto por diseñador, psicólogo y cliente; viajar a San Francisco en avión, coche o tren no muestra lo mismo.</w:t>
      </w:r>
    </w:p>
    <w:p>
      <w:pPr>
        <w:pStyle w:val="Normal"/>
      </w:pPr>
      <w:r>
        <w:t xml:space="preserve">P-círculos: sólo distinguen perspectivas sobre una idea y no dicen qué ve distinto cada una; eso lo detallan los mapas de múltiples perspectivas. Inseguridad alimentaria: perspectivas económica, política y del medio ambiente; epidemia del sida: epidemiológica, política gubernamental y factores socioculturales.</w:t>
      </w:r>
    </w:p>
    <w:p>
      <w:pPr>
        <w:pStyle w:val="Normal"/>
      </w:pPr>
      <w:r>
        <w:t xml:space="preserve">Sub-perspectivas: regla de sistemas aplicada del lado del ojo, no del punto; dan variantes de un punto de vista. Accidente: conductor A, conductor B y aseguradora.</w:t>
      </w:r>
    </w:p>
    <w:p>
      <w:pPr>
        <w:pStyle w:val="Normal"/>
      </w:pPr>
      <w:r>
        <w:t xml:space="preserve">Reto de la P: sin ver todas las perspectivas no se ven todos los escenarios ni el 100 % de la estructura; más perspectivas revelan otros ciclos. En software importa más la del usuario que la del programador.</w:t>
      </w:r>
    </w:p>
    <w:p>
      <w:pPr>
        <w:pStyle w:val="Fuente"/>
      </w:pPr>
      <w:r>
        <w:t xml:space="preserve">Clase 10 · 01:16:28–01:19:10 · lámina c10-15 · Clase 10 · 01:20:29–01:20:54 · Clase 10 · 01:24:10–01:28:31 · Clase 11 · 00:17:06–00:18:33 · Clase 11 · 00:37:45–00:39:36 · Clase 11 · 00:40:50–00:41:36 · Clase 11 · 00:42:04–00:43:54 · Clase 15 · 00:50:21–00:50:50 · Clase 15 · 01:18:17–01:19:05 · Clase 15 · 01:27:04–01:27:56</w:t>
      </w:r>
    </w:p>
    <w:p>
      <w:pPr>
        <w:pStyle w:val="Heading3"/>
      </w:pPr>
      <w:r>
        <w:t xml:space="preserve">Mapas resueltos y revisados en clase</w:t>
      </w:r>
    </w:p>
    <w:p>
      <w:pPr>
        <w:pStyle w:val="Normal"/>
      </w:pPr>
      <w:r>
        <w:t xml:space="preserve">Empresa–cliente: «empresa» vende y «cliente» compra; dentro de empresa, atención al cliente, producción, contabilidad y administrativa; «comprar», detallada en barras; perspectivas de cliente, proveedor y patrocinador. Universidad: facultades de ingeniería, arquitectura y ciencias médicas dentro.</w:t>
      </w:r>
    </w:p>
    <w:p>
      <w:pPr>
        <w:pStyle w:val="Normal"/>
      </w:pPr>
      <w:r>
        <w:t xml:space="preserve">Las distinciones son contenido: un recuadro «distinciones» duplica conceptos y «no sería un mapa DSRP bien hecho»; clasificar la información por operaciones es un estudio lingüístico, y el modelo de la universidad debe representar la universidad.</w:t>
      </w:r>
    </w:p>
    <w:p>
      <w:pPr>
        <w:pStyle w:val="Normal"/>
      </w:pPr>
      <w:r>
        <w:t xml:space="preserve">«La estructura sistémica va inmersa en el contenido informacional»: las operaciones se usan implícitas al pensar y se plasma su resultado, como en una oración sujeto y verbo van implícitos.</w:t>
      </w:r>
    </w:p>
    <w:p>
      <w:pPr>
        <w:pStyle w:val="Normal"/>
      </w:pPr>
      <w:r>
        <w:t xml:space="preserve">Aceptados: subsistemas (consejo académico, facultades, administración) con entradas, salidas y flechas de enseñanza-aprendizaje y becas; ojo y punto amarillos para la perspectiva estudiantil sobre horarios y pensum; concepto central sin recuadro mayor; administración con flechas a finanzas, servicios y recursos humanos.</w:t>
      </w:r>
    </w:p>
    <w:p>
      <w:pPr>
        <w:pStyle w:val="Normal"/>
      </w:pPr>
      <w:r>
        <w:t xml:space="preserve">Detallado o abstracto «no importa», y un mapa incompleto es aceptable si usa bien las cuatro operaciones; se mantiene la sintaxis, a mano o en Plectica, y se titula con el nombre del sistema («universidad»), no «sistema».</w:t>
      </w:r>
    </w:p>
    <w:p>
      <w:pPr>
        <w:pStyle w:val="Fuente"/>
      </w:pPr>
      <w:r>
        <w:t xml:space="preserve">Clase 10 · 00:47:29–00:49:11 · Clase 10 · 00:56:55–00:59:36 · Clase 10 · 01:08:37–01:10:15 · Clase 10 · 01:14:04–01:15:04 · Clase 10 · 01:20:51–01:21:52 · Clase 11 · 01:00:18–01:04:24 · Clase 11 · 01:04:29–01:05:54 · Clase 11 · 01:09:36–01:12:08 · Clase 12 · 00:13:52–00:14:27 · Clase 12 · 00:15:14–00:17:28 · Clase 12 · 00:18:13–00:18:48 · Clase 12 · 00:19:54–00:20:46 · Clase 12 · 00:23:47–00:24:14 · Clase 12 · 00:24:21–00:26:35 · Clase 12 · 00:29:00–00:32:19</w:t>
      </w:r>
    </w:p>
    <w:p>
      <w:pPr>
        <w:pStyle w:val="Heading3"/>
      </w:pPr>
      <w:r>
        <w:t xml:space="preserve">Lo que proyectaron las láminas</w:t>
      </w:r>
    </w:p>
    <w:p>
      <w:pPr>
        <w:pStyle w:val="Normal"/>
      </w:pPr>
      <w:r>
        <w:t xml:space="preserve">Distinción: cualquier idea o cosa puede distinguirse de aquellas con las que se encuentra. La taza de té se define por lo que es y por lo que no es; el límite separa sin ser él mismo una cosa, y trazarlo crea a la vez la cosa y lo otro.</w:t>
      </w:r>
    </w:p>
    <w:p>
      <w:pPr>
        <w:pStyle w:val="Normal"/>
      </w:pPr>
      <w:r>
        <w:t xml:space="preserve">Relaciones: cinco formas de unir dos recuadros (línea sin flecha, flecha en cada sentido, flecha bidireccional y dos flechas opuestas); «líneas como relaciones, flechas como direccionalidad».</w:t>
      </w:r>
    </w:p>
    <w:p>
      <w:pPr>
        <w:pStyle w:val="Normal"/>
      </w:pPr>
      <w:r>
        <w:t xml:space="preserve">Barras: tratamiento y resultado, niño y perro, empatía y compasión. Una relación puede convertirse en un sistema con partes, y la retroalimentación se muestra con dos arcos cerrados.</w:t>
      </w:r>
    </w:p>
    <w:p>
      <w:pPr>
        <w:pStyle w:val="Normal"/>
      </w:pPr>
      <w:r>
        <w:t xml:space="preserve">Perspectivas: cualquier idea o cosa puede ser el punto o la vista de una perspectiva; el mismo objeto proyecta dos sombras distintas según desde dónde se ilumine.</w:t>
      </w:r>
    </w:p>
    <w:p>
      <w:pPr>
        <w:pStyle w:val="Normal"/>
      </w:pPr>
      <w:r>
        <w:t xml:space="preserve">Sub-perspectivas: una perspectiva se descompone en otras, como estrategia global y local, o viajar en avión, coche o tren. En el accidente, conductor A, conductor B y aseguradora miran la misma idea, la culpabilidad, y ven cosas distintas.</w:t>
      </w:r>
    </w:p>
    <w:p>
      <w:pPr>
        <w:pStyle w:val="Normal"/>
      </w:pPr>
      <w:r>
        <w:t xml:space="preserve">Analogías, símiles y metáforas: la comparación entre dos totalidades, como el mundo y el escenario de Shakespeare; como analogía se aparean también sus partes, como metáfora se afirma que uno es el otro.</w:t>
      </w:r>
    </w:p>
    <w:p>
      <w:pPr>
        <w:pStyle w:val="Fuente"/>
      </w:pPr>
      <w:r>
        <w:t xml:space="preserve">lámina c10-07 · lámina c10-09 · lámina c10-11 · lámina c10-14 · lámina c10-15 · lámina c11-13 · lámina c11-14 · lámina c11-15</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Procedimiento</w:t>
            </w:r>
          </w:p>
          <w:p>
            <w:pPr>
              <w:pStyle w:val="Recuadro"/>
            </w:pPr>
            <w:r>
              <w:t xml:space="preserve">Cómo se dibuja un mapa DSRP y cómo se lee uno dado</w:t>
            </w:r>
          </w:p>
          <w:p>
            <w:pPr>
              <w:pStyle w:val="Recuadro"/>
            </w:pPr>
            <w:r>
              <w:t xml:space="preserve">1. </w:t>
            </w:r>
            <w:r>
              <w:rPr>
                <w:b/>
                <w:bCs/>
              </w:rPr>
              <w:t xml:space="preserve">Distinguir el sistema.</w:t>
            </w:r>
            <w:r>
              <w:t xml:space="preserve"> Se distingue cada idea antes de cualquier otra operación, con rectángulo y nombre, sin repetirla: primero «universidad». Se puede pensar por la regla de sistemas o por entradas y salidas. (Clase 10 · 00:42:25–00:43:14 · Clase 10 · 00:46:35–00:47:31 · Clase 11 · 01:13:11–01:13:51)</w:t>
            </w:r>
          </w:p>
          <w:p>
            <w:pPr>
              <w:pStyle w:val="Recuadro"/>
            </w:pPr>
            <w:r>
              <w:t xml:space="preserve">2. </w:t>
            </w:r>
            <w:r>
              <w:rPr>
                <w:b/>
                <w:bCs/>
              </w:rPr>
              <w:t xml:space="preserve">Contener las partes.</w:t>
            </w:r>
            <w:r>
              <w:t xml:space="preserve"> Dentro de «universidad» van facultades, áreas administrativas, estudiantes y docentes; dentro de facultades, ingeniería, medicina y arquitectura; dentro de «educación secundaria», escuelas y colegios. (Clase 10 · 00:48:12–00:49:07 · Clase 11 · 01:16:27–01:18:41 · Clase 11 · 01:25:06–01:26:00)</w:t>
            </w:r>
          </w:p>
          <w:p>
            <w:pPr>
              <w:pStyle w:val="Recuadro"/>
            </w:pPr>
            <w:r>
              <w:t xml:space="preserve">3. </w:t>
            </w:r>
            <w:r>
              <w:rPr>
                <w:b/>
                <w:bCs/>
              </w:rPr>
              <w:t xml:space="preserve">Trazar y rotular relaciones.</w:t>
            </w:r>
            <w:r>
              <w:t xml:space="preserve"> Se traza la flecha de la causa al efecto y se puede nombrar: «educación secundaria» entra a «universidad»; estudiantes «aprenden de» docentes y docentes «enseñan a» estudiantes; «sistema laboral», fuera del recuadro, recibe «profesionales graduados». (Clase 10 · 00:52:52–00:53:16 · Clase 10 · 00:59:34–01:00:04 · Clase 11 · 01:14:01–01:16:13 · Clase 11 · 01:19:41–01:24:23)</w:t>
            </w:r>
          </w:p>
          <w:p>
            <w:pPr>
              <w:pStyle w:val="Recuadro"/>
            </w:pPr>
            <w:r>
              <w:t xml:space="preserve">4. </w:t>
            </w:r>
            <w:r>
              <w:rPr>
                <w:b/>
                <w:bCs/>
              </w:rPr>
              <w:t xml:space="preserve">Explicitar perspectivas.</w:t>
            </w:r>
            <w:r>
              <w:t xml:space="preserve"> Ojo en el concepto que mira y punto del mismo color en lo que ve: además de la implícita del modelador, la interna del docente y la externa del gobierno, ligada a «presupuesto del Estado». (Clase 10 · 01:22:18–01:23:04 · Clase 11 · 01:29:25–01:32:41)</w:t>
            </w:r>
          </w:p>
          <w:p>
            <w:pPr>
              <w:pStyle w:val="Recuadro"/>
            </w:pPr>
            <w:r>
              <w:t xml:space="preserve">5. </w:t>
            </w:r>
            <w:r>
              <w:rPr>
                <w:b/>
                <w:bCs/>
              </w:rPr>
              <w:t xml:space="preserve">Leer un mapa dado.</w:t>
            </w:r>
            <w:r>
              <w:t xml:space="preserve"> Cada marca se traduce a su regla: nombre en rectángulo, distinción; recuadros dentro de otro, partes de un sistema; flecha, relación de la cola (causa) a la cabeza (efecto) con su rótulo; ojo y punto del mismo color, quién mira qué. Sin ojos, sólo está la perspectiva del autor. (Clase 10 · 00:53:35–00:54:06 · Clase 11 · 00:17:06–00:17:49 · Clase 12 · 00:26:33–00:28:33)</w:t>
            </w:r>
          </w:p>
          <w:p>
            <w:pPr>
              <w:pStyle w:val="Recuadro"/>
            </w:pPr>
            <w:r>
              <w:t xml:space="preserve">Lo importante es que las cuatro operaciones queden representadas gráficamente, implícitas en el contenido del sistema, con la sintaxis mantenida.</w:t>
            </w:r>
          </w:p>
        </w:tc>
      </w:tr>
    </w:tbl>
    <w:p>
      <w:pPr>
        <w:pStyle w:val="Heading3"/>
      </w:pPr>
      <w:bookmarkStart w:name="b_tabla_3_2_g2_notacion_dsrp" w:id="2154"/>
      <w:r>
        <w:t xml:space="preserve">Notación de los mapas DSRP</w:t>
      </w:r>
      <w:bookmarkEnd w:id="2154"/>
    </w:p>
    <w:tbl>
      <w:tblPr>
        <w:tblW w:type="dxa" w:w="9632"/>
        <w:tblBorders>
          <w:top w:val="single" w:color="C5D5DB" w:sz="4"/>
          <w:left w:val="single" w:color="C5D5DB" w:sz="4"/>
          <w:bottom w:val="single" w:color="C5D5DB" w:sz="4"/>
          <w:right w:val="single" w:color="C5D5DB" w:sz="4"/>
          <w:insideH w:val="single" w:color="E4E9EB" w:sz="3"/>
          <w:insideV w:val="single" w:color="E4E9EB" w:sz="3"/>
        </w:tblBorders>
        <w:tblLayout w:type="fixed"/>
      </w:tblPr>
      <w:tblGrid>
        <w:gridCol w:w="2408"/>
        <w:gridCol w:w="2408"/>
        <w:gridCol w:w="2408"/>
        <w:gridCol w:w="2408"/>
      </w:tblGrid>
      <w:tr>
        <w:trPr>
          <w:cantSplit/>
          <w:tblHeader/>
        </w:trPr>
        <w:tc>
          <w:tcPr>
            <w:tcW w:type="dxa" w:w="2408"/>
            <w:shd w:fill="DFEAF0" w:val="clear"/>
            <w:tcMar>
              <w:top w:type="dxa" w:w="80"/>
              <w:left w:type="dxa" w:w="100"/>
              <w:bottom w:type="dxa" w:w="80"/>
              <w:right w:type="dxa" w:w="100"/>
            </w:tcMar>
          </w:tcPr>
          <w:p>
            <w:pPr>
              <w:pStyle w:val="Tabla"/>
            </w:pPr>
            <w:r>
              <w:rPr>
                <w:b/>
                <w:bCs/>
              </w:rPr>
              <w:t xml:space="preserve">Regla</w:t>
            </w:r>
          </w:p>
        </w:tc>
        <w:tc>
          <w:tcPr>
            <w:tcW w:type="dxa" w:w="2408"/>
            <w:shd w:fill="DFEAF0" w:val="clear"/>
            <w:tcMar>
              <w:top w:type="dxa" w:w="80"/>
              <w:left w:type="dxa" w:w="100"/>
              <w:bottom w:type="dxa" w:w="80"/>
              <w:right w:type="dxa" w:w="100"/>
            </w:tcMar>
          </w:tcPr>
          <w:p>
            <w:pPr>
              <w:pStyle w:val="Tabla"/>
            </w:pPr>
            <w:r>
              <w:rPr>
                <w:b/>
                <w:bCs/>
              </w:rPr>
              <w:t xml:space="preserve">Nombre</w:t>
            </w:r>
          </w:p>
        </w:tc>
        <w:tc>
          <w:tcPr>
            <w:tcW w:type="dxa" w:w="2408"/>
            <w:shd w:fill="DFEAF0" w:val="clear"/>
            <w:tcMar>
              <w:top w:type="dxa" w:w="80"/>
              <w:left w:type="dxa" w:w="100"/>
              <w:bottom w:type="dxa" w:w="80"/>
              <w:right w:type="dxa" w:w="100"/>
            </w:tcMar>
          </w:tcPr>
          <w:p>
            <w:pPr>
              <w:pStyle w:val="Tabla"/>
            </w:pPr>
            <w:r>
              <w:rPr>
                <w:b/>
                <w:bCs/>
              </w:rPr>
              <w:t xml:space="preserve">Par coimplicado</w:t>
            </w:r>
          </w:p>
        </w:tc>
        <w:tc>
          <w:tcPr>
            <w:tcW w:type="dxa" w:w="2408"/>
            <w:shd w:fill="DFEAF0" w:val="clear"/>
            <w:tcMar>
              <w:top w:type="dxa" w:w="80"/>
              <w:left w:type="dxa" w:w="100"/>
              <w:bottom w:type="dxa" w:w="80"/>
              <w:right w:type="dxa" w:w="100"/>
            </w:tcMar>
          </w:tcPr>
          <w:p>
            <w:pPr>
              <w:pStyle w:val="Tabla"/>
            </w:pPr>
            <w:r>
              <w:rPr>
                <w:b/>
                <w:bCs/>
              </w:rPr>
              <w:t xml:space="preserve">Cómo se dibuja</w:t>
            </w:r>
          </w:p>
        </w:tc>
      </w:tr>
      <w:tr>
        <w:trPr>
          <w:cantSplit/>
          <w:tblHeader w:val="off"/>
        </w:trPr>
        <w:tc>
          <w:tcPr>
            <w:tcW w:type="dxa" w:w="2408"/>
            <w:tcMar>
              <w:top w:type="dxa" w:w="80"/>
              <w:left w:type="dxa" w:w="100"/>
              <w:bottom w:type="dxa" w:w="80"/>
              <w:right w:type="dxa" w:w="100"/>
            </w:tcMar>
          </w:tcPr>
          <w:p>
            <w:pPr>
              <w:pStyle w:val="Tabla"/>
            </w:pPr>
            <w:r>
              <w:t xml:space="preserve">D</w:t>
            </w:r>
          </w:p>
        </w:tc>
        <w:tc>
          <w:tcPr>
            <w:tcW w:type="dxa" w:w="2408"/>
            <w:tcMar>
              <w:top w:type="dxa" w:w="80"/>
              <w:left w:type="dxa" w:w="100"/>
              <w:bottom w:type="dxa" w:w="80"/>
              <w:right w:type="dxa" w:w="100"/>
            </w:tcMar>
          </w:tcPr>
          <w:p>
            <w:pPr>
              <w:pStyle w:val="Tabla"/>
            </w:pPr>
            <w:r>
              <w:t xml:space="preserve">Distinciones</w:t>
            </w:r>
          </w:p>
        </w:tc>
        <w:tc>
          <w:tcPr>
            <w:tcW w:type="dxa" w:w="2408"/>
            <w:tcMar>
              <w:top w:type="dxa" w:w="80"/>
              <w:left w:type="dxa" w:w="100"/>
              <w:bottom w:type="dxa" w:w="80"/>
              <w:right w:type="dxa" w:w="100"/>
            </w:tcMar>
          </w:tcPr>
          <w:p>
            <w:pPr>
              <w:pStyle w:val="Tabla"/>
            </w:pPr>
            <w:r>
              <w:t xml:space="preserve">identidad </w:t>
            </w:r>
            <w:r>
              <w:rPr>
                <w:rFonts w:ascii="DejaVu Serif" w:cs="DejaVu Serif" w:eastAsia="DejaVu Serif" w:hAnsi="DejaVu Serif"/>
              </w:rPr>
              <w:t xml:space="preserve">⇔</w:t>
            </w:r>
            <w:r>
              <w:t xml:space="preserve"> otro</w:t>
            </w:r>
          </w:p>
        </w:tc>
        <w:tc>
          <w:tcPr>
            <w:tcW w:type="dxa" w:w="2408"/>
            <w:tcMar>
              <w:top w:type="dxa" w:w="80"/>
              <w:left w:type="dxa" w:w="100"/>
              <w:bottom w:type="dxa" w:w="80"/>
              <w:right w:type="dxa" w:w="100"/>
            </w:tcMar>
          </w:tcPr>
          <w:p>
            <w:pPr>
              <w:pStyle w:val="Tabla"/>
            </w:pPr>
            <w:r>
              <w:t xml:space="preserve">Un cuadro por idea: lo que queda dentro es la idea y lo de fuera, lo otro.</w:t>
            </w:r>
          </w:p>
        </w:tc>
      </w:tr>
      <w:tr>
        <w:trPr>
          <w:cantSplit/>
          <w:tblHeader w:val="off"/>
        </w:trPr>
        <w:tc>
          <w:tcPr>
            <w:tcW w:type="dxa" w:w="2408"/>
            <w:tcMar>
              <w:top w:type="dxa" w:w="80"/>
              <w:left w:type="dxa" w:w="100"/>
              <w:bottom w:type="dxa" w:w="80"/>
              <w:right w:type="dxa" w:w="100"/>
            </w:tcMar>
          </w:tcPr>
          <w:p>
            <w:pPr>
              <w:pStyle w:val="Tabla"/>
            </w:pPr>
            <w:r>
              <w:t xml:space="preserve">S</w:t>
            </w:r>
          </w:p>
        </w:tc>
        <w:tc>
          <w:tcPr>
            <w:tcW w:type="dxa" w:w="2408"/>
            <w:tcMar>
              <w:top w:type="dxa" w:w="80"/>
              <w:left w:type="dxa" w:w="100"/>
              <w:bottom w:type="dxa" w:w="80"/>
              <w:right w:type="dxa" w:w="100"/>
            </w:tcMar>
          </w:tcPr>
          <w:p>
            <w:pPr>
              <w:pStyle w:val="Tabla"/>
            </w:pPr>
            <w:r>
              <w:t xml:space="preserve">Sistemas</w:t>
            </w:r>
          </w:p>
        </w:tc>
        <w:tc>
          <w:tcPr>
            <w:tcW w:type="dxa" w:w="2408"/>
            <w:tcMar>
              <w:top w:type="dxa" w:w="80"/>
              <w:left w:type="dxa" w:w="100"/>
              <w:bottom w:type="dxa" w:w="80"/>
              <w:right w:type="dxa" w:w="100"/>
            </w:tcMar>
          </w:tcPr>
          <w:p>
            <w:pPr>
              <w:pStyle w:val="Tabla"/>
            </w:pPr>
            <w:r>
              <w:t xml:space="preserve">parte </w:t>
            </w:r>
            <w:r>
              <w:rPr>
                <w:rFonts w:ascii="DejaVu Serif" w:cs="DejaVu Serif" w:eastAsia="DejaVu Serif" w:hAnsi="DejaVu Serif"/>
              </w:rPr>
              <w:t xml:space="preserve">⇔</w:t>
            </w:r>
            <w:r>
              <w:t xml:space="preserve"> todo</w:t>
            </w:r>
          </w:p>
        </w:tc>
        <w:tc>
          <w:tcPr>
            <w:tcW w:type="dxa" w:w="2408"/>
            <w:tcMar>
              <w:top w:type="dxa" w:w="80"/>
              <w:left w:type="dxa" w:w="100"/>
              <w:bottom w:type="dxa" w:w="80"/>
              <w:right w:type="dxa" w:w="100"/>
            </w:tcMar>
          </w:tcPr>
          <w:p>
            <w:pPr>
              <w:pStyle w:val="Tabla"/>
            </w:pPr>
            <w:r>
              <w:t xml:space="preserve">Contención o tamaño: las partes van dentro del todo, o debajo y más pequeñas.</w:t>
            </w:r>
          </w:p>
        </w:tc>
      </w:tr>
      <w:tr>
        <w:trPr>
          <w:cantSplit/>
          <w:tblHeader w:val="off"/>
        </w:trPr>
        <w:tc>
          <w:tcPr>
            <w:tcW w:type="dxa" w:w="2408"/>
            <w:tcMar>
              <w:top w:type="dxa" w:w="80"/>
              <w:left w:type="dxa" w:w="100"/>
              <w:bottom w:type="dxa" w:w="80"/>
              <w:right w:type="dxa" w:w="100"/>
            </w:tcMar>
          </w:tcPr>
          <w:p>
            <w:pPr>
              <w:pStyle w:val="Tabla"/>
            </w:pPr>
            <w:r>
              <w:t xml:space="preserve">R</w:t>
            </w:r>
          </w:p>
        </w:tc>
        <w:tc>
          <w:tcPr>
            <w:tcW w:type="dxa" w:w="2408"/>
            <w:tcMar>
              <w:top w:type="dxa" w:w="80"/>
              <w:left w:type="dxa" w:w="100"/>
              <w:bottom w:type="dxa" w:w="80"/>
              <w:right w:type="dxa" w:w="100"/>
            </w:tcMar>
          </w:tcPr>
          <w:p>
            <w:pPr>
              <w:pStyle w:val="Tabla"/>
            </w:pPr>
            <w:r>
              <w:t xml:space="preserve">Relaciones</w:t>
            </w:r>
          </w:p>
        </w:tc>
        <w:tc>
          <w:tcPr>
            <w:tcW w:type="dxa" w:w="2408"/>
            <w:tcMar>
              <w:top w:type="dxa" w:w="80"/>
              <w:left w:type="dxa" w:w="100"/>
              <w:bottom w:type="dxa" w:w="80"/>
              <w:right w:type="dxa" w:w="100"/>
            </w:tcMar>
          </w:tcPr>
          <w:p>
            <w:pPr>
              <w:pStyle w:val="Tabla"/>
            </w:pPr>
            <w:r>
              <w:t xml:space="preserve">acción </w:t>
            </w:r>
            <w:r>
              <w:rPr>
                <w:rFonts w:ascii="DejaVu Serif" w:cs="DejaVu Serif" w:eastAsia="DejaVu Serif" w:hAnsi="DejaVu Serif"/>
              </w:rPr>
              <w:t xml:space="preserve">⇔</w:t>
            </w:r>
            <w:r>
              <w:t xml:space="preserve"> reacción</w:t>
            </w:r>
          </w:p>
        </w:tc>
        <w:tc>
          <w:tcPr>
            <w:tcW w:type="dxa" w:w="2408"/>
            <w:tcMar>
              <w:top w:type="dxa" w:w="80"/>
              <w:left w:type="dxa" w:w="100"/>
              <w:bottom w:type="dxa" w:w="80"/>
              <w:right w:type="dxa" w:w="100"/>
            </w:tcMar>
          </w:tcPr>
          <w:p>
            <w:pPr>
              <w:pStyle w:val="Tabla"/>
            </w:pPr>
            <w:r>
              <w:t xml:space="preserve">Una línea, reservada sólo para relaciones; la punta de flecha añade dirección.</w:t>
            </w:r>
          </w:p>
        </w:tc>
      </w:tr>
      <w:tr>
        <w:trPr>
          <w:cantSplit/>
          <w:tblHeader w:val="off"/>
        </w:trPr>
        <w:tc>
          <w:tcPr>
            <w:tcW w:type="dxa" w:w="2408"/>
            <w:tcMar>
              <w:top w:type="dxa" w:w="80"/>
              <w:left w:type="dxa" w:w="100"/>
              <w:bottom w:type="dxa" w:w="80"/>
              <w:right w:type="dxa" w:w="100"/>
            </w:tcMar>
          </w:tcPr>
          <w:p>
            <w:pPr>
              <w:pStyle w:val="Tabla"/>
            </w:pPr>
            <w:r>
              <w:t xml:space="preserve">P</w:t>
            </w:r>
          </w:p>
        </w:tc>
        <w:tc>
          <w:tcPr>
            <w:tcW w:type="dxa" w:w="2408"/>
            <w:tcMar>
              <w:top w:type="dxa" w:w="80"/>
              <w:left w:type="dxa" w:w="100"/>
              <w:bottom w:type="dxa" w:w="80"/>
              <w:right w:type="dxa" w:w="100"/>
            </w:tcMar>
          </w:tcPr>
          <w:p>
            <w:pPr>
              <w:pStyle w:val="Tabla"/>
            </w:pPr>
            <w:r>
              <w:t xml:space="preserve">Perspectivas</w:t>
            </w:r>
          </w:p>
        </w:tc>
        <w:tc>
          <w:tcPr>
            <w:tcW w:type="dxa" w:w="2408"/>
            <w:tcMar>
              <w:top w:type="dxa" w:w="80"/>
              <w:left w:type="dxa" w:w="100"/>
              <w:bottom w:type="dxa" w:w="80"/>
              <w:right w:type="dxa" w:w="100"/>
            </w:tcMar>
          </w:tcPr>
          <w:p>
            <w:pPr>
              <w:pStyle w:val="Tabla"/>
            </w:pPr>
            <w:r>
              <w:t xml:space="preserve">punto </w:t>
            </w:r>
            <w:r>
              <w:rPr>
                <w:rFonts w:ascii="DejaVu Serif" w:cs="DejaVu Serif" w:eastAsia="DejaVu Serif" w:hAnsi="DejaVu Serif"/>
              </w:rPr>
              <w:t xml:space="preserve">⇔</w:t>
            </w:r>
            <w:r>
              <w:t xml:space="preserve"> vista</w:t>
            </w:r>
          </w:p>
        </w:tc>
        <w:tc>
          <w:tcPr>
            <w:tcW w:type="dxa" w:w="2408"/>
            <w:tcMar>
              <w:top w:type="dxa" w:w="80"/>
              <w:left w:type="dxa" w:w="100"/>
              <w:bottom w:type="dxa" w:w="80"/>
              <w:right w:type="dxa" w:w="100"/>
            </w:tcMar>
          </w:tcPr>
          <w:p>
            <w:pPr>
              <w:pStyle w:val="Tabla"/>
            </w:pPr>
            <w:r>
              <w:t xml:space="preserve">Un ojo de color en la idea que mira y un punto del mismo color en la idea mirada.</w:t>
            </w:r>
          </w:p>
        </w:tc>
      </w:tr>
    </w:tbl>
    <w:p>
      <w:pPr>
        <w:pStyle w:val="Fuente"/>
      </w:pPr>
      <w:r>
        <w:t xml:space="preserve">Láminas c10-24 y c11-01, proyectadas en las clases 10 y 11. El rectángulo, la contención, la línea y el ojo con su punto son la notación del curso.</w:t>
      </w:r>
    </w:p>
    <w:p>
      <w:pPr>
        <w:pStyle w:val="Heading3"/>
      </w:pPr>
      <w:r>
        <w:t xml:space="preserve">Lo que dicen las presentaciones</w:t>
      </w:r>
    </w:p>
    <w:p>
      <w:pPr>
        <w:pStyle w:val="Heading3"/>
      </w:pPr>
      <w:bookmarkStart w:name="b_pagina_3_2_C_2_p3" w:id="2155"/>
      <w:r>
        <w:t xml:space="preserve">C-2 · página 3 · Reglas simples y la información como agente</w:t>
      </w:r>
      <w:bookmarkEnd w:id="2155"/>
    </w:p>
    <w:p>
      <w:pPr>
        <w:pStyle w:val="Normal"/>
      </w:pPr>
      <w:r>
        <w:t xml:space="preserve">Las cuatro reglas tienen pares inseparables y se aplican sobre unidades de información, análogas a agentes de un sistema adaptativo.</w:t>
      </w:r>
    </w:p>
    <w:p>
      <w:pPr>
        <w:pStyle w:val="Fuente"/>
      </w:pPr>
      <w:r>
        <w:t xml:space="preserve">Proyección o explicación: Clase 10 · 00:20:36 · captura c10-03.</w:t>
      </w:r>
    </w:p>
    <w:p>
      <w:bookmarkStart w:name="b_punto_c2_p003_01" w:id="2156"/>
      <w:r>
        <w:t xml:space="preserve">Distinciones separa una cosa de lo otro; Sistemas relaciona parte y todo; Relaciones, acción y reacción; Perspectivas, punto y vista.</w:t>
      </w:r>
      <w:bookmarkEnd w:id="2156"/>
    </w:p>
    <w:p>
      <w:bookmarkStart w:name="b_punto_c2_p003_03" w:id="2157"/>
      <w:r>
        <w:t xml:space="preserve">Las cuatro operaciones sirven para estructurar la información de conceptos e ideas, no para clasificar el mapa en cuatro bloques aislados.</w:t>
      </w:r>
      <w:bookmarkEnd w:id="2157"/>
    </w:p>
    <w:p>
      <w:pPr>
        <w:pStyle w:val="Fuente"/>
      </w:pPr>
      <w:r>
        <w:t xml:space="preserve">Véase </w:t>
      </w:r>
      <w:hyperlink w:history="1" w:anchor="b_3_1">
        <w:r>
          <w:rPr>
            <w:color w:val="156B70"/>
            <w:u w:val="single"/>
          </w:rPr>
          <w:t xml:space="preserve">capítulo 3.1 · Mapas sistémicos</w:t>
        </w:r>
      </w:hyperlink>
      <w:r>
        <w:t xml:space="preserve">, pág. </w:t>
      </w:r>
      <w:r>
        <w:fldChar w:fldCharType="begin"/>
        <w:instrText xml:space="preserve">PAGEREF b_3_1 \h</w:instrText>
        <w:fldChar w:fldCharType="separate"/>
        <w:t xml:space="preserve">379</w:t>
        <w:fldChar w:fldCharType="end"/>
      </w:r>
      <w:r>
        <w:t xml:space="preserve">.</w:t>
      </w:r>
    </w:p>
    <w:p>
      <w:pPr>
        <w:pStyle w:val="Heading3"/>
      </w:pPr>
      <w:bookmarkStart w:name="b_pagina_3_2_C_2_p5" w:id="2158"/>
      <w:r>
        <w:t xml:space="preserve">C-2 · página 5 · Todo objeto puede seguir DSRP</w:t>
      </w:r>
      <w:bookmarkEnd w:id="2158"/>
    </w:p>
    <w:p>
      <w:pPr>
        <w:pStyle w:val="Normal"/>
      </w:pPr>
      <w:r>
        <w:t xml:space="preserve">Cualquier información, incluidas palabras e imágenes, puede distinguirse, organizarse, relacionarse y mirarse desde perspectivas.</w:t>
      </w:r>
    </w:p>
    <w:p>
      <w:pPr>
        <w:pStyle w:val="Fuente"/>
      </w:pPr>
      <w:r>
        <w:t xml:space="preserve">Proyección o explicación: Clase 10 · 00:38:26 · captura c10-05.</w:t>
      </w:r>
    </w:p>
    <w:p>
      <w:bookmarkStart w:name="b_punto_c2_p005_01" w:id="2159"/>
      <w:r>
        <w:t xml:space="preserve">Cualquier información puede someterse a las cuatro reglas; una idea, una relación o una perspectiva puede examinarse también como un todo con partes.</w:t>
      </w:r>
      <w:bookmarkEnd w:id="2159"/>
    </w:p>
    <w:p>
      <w:bookmarkStart w:name="b_punto_c2_p005_02" w:id="2160"/>
      <w:r>
        <w:t xml:space="preserve">Las reglas operan recursivamente sobre el contenido de un mapa, en vez de limitarse a una aplicación única de cada letra.</w:t>
      </w:r>
      <w:bookmarkEnd w:id="2160"/>
    </w:p>
    <w:p>
      <w:pPr>
        <w:pStyle w:val="Fuente"/>
      </w:pPr>
      <w:r>
        <w:t xml:space="preserve">Véase </w:t>
      </w:r>
      <w:hyperlink w:history="1" w:anchor="b_3_1">
        <w:r>
          <w:rPr>
            <w:color w:val="156B70"/>
            <w:u w:val="single"/>
          </w:rPr>
          <w:t xml:space="preserve">capítulo 3.1 · Mapas sistémicos</w:t>
        </w:r>
      </w:hyperlink>
      <w:r>
        <w:t xml:space="preserve">, pág. </w:t>
      </w:r>
      <w:r>
        <w:fldChar w:fldCharType="begin"/>
        <w:instrText xml:space="preserve">PAGEREF b_3_1 \h</w:instrText>
        <w:fldChar w:fldCharType="separate"/>
        <w:t xml:space="preserve">379</w:t>
        <w:fldChar w:fldCharType="end"/>
      </w:r>
      <w:r>
        <w:t xml:space="preserve">.</w:t>
      </w:r>
    </w:p>
    <w:p>
      <w:pPr>
        <w:pStyle w:val="Heading3"/>
      </w:pPr>
      <w:bookmarkStart w:name="b_pagina_3_2_C_2_p6" w:id="2161"/>
      <w:r>
        <w:t xml:space="preserve">C-2 · página 6 · Regla de distinción: identidad, contexto y frontera</w:t>
      </w:r>
      <w:bookmarkEnd w:id="2161"/>
    </w:p>
    <w:p>
      <w:pPr>
        <w:pStyle w:val="Normal"/>
      </w:pPr>
      <w:r>
        <w:t xml:space="preserve">La taza de té, la ilusión de los círculos y un límite entre A,B,C ilustran identidad/otro y la influencia del contexto.</w:t>
      </w:r>
    </w:p>
    <w:p>
      <w:pPr>
        <w:pStyle w:val="Fuente"/>
      </w:pPr>
      <w:r>
        <w:t xml:space="preserve">Proyección o explicación: Clase 10 · 00:40:51 · captura c10-07.</w:t>
      </w:r>
    </w:p>
    <w:p>
      <w:bookmarkStart w:name="b_punto_c2_p006_01" w:id="2162"/>
      <w:r>
        <w:t xml:space="preserve">Cualquier idea puede distinguirse de las otras; definir lo que es una taza supone definir también lo que no es.</w:t>
      </w:r>
      <w:bookmarkEnd w:id="2162"/>
    </w:p>
    <w:p>
      <w:bookmarkStart w:name="b_punto_c2_p006_02" w:id="2163"/>
      <w:r>
        <w:t xml:space="preserve">Los dos círculos naranjas iguales parecen distintos por los círculos grises que los rodean: el contexto modifica la interpretación de una distinción.</w:t>
      </w:r>
      <w:bookmarkEnd w:id="2163"/>
    </w:p>
    <w:p>
      <w:bookmarkStart w:name="b_punto_c2_p006_03" w:id="2164"/>
      <w:r>
        <w:t xml:space="preserve">La distinción es un límite entre cosa y otro, no un objeto adicional del conjunto.</w:t>
      </w:r>
      <w:bookmarkEnd w:id="2164"/>
    </w:p>
    <w:p>
      <w:bookmarkStart w:name="b_punto_c2_p006_04" w:id="2165"/>
      <w:r>
        <w:t xml:space="preserve">Nombrar una idea en un rectángulo expresa gráficamente la distinción, conservando el contexto que da sentido al nombre.</w:t>
      </w:r>
      <w:bookmarkEnd w:id="2165"/>
    </w:p>
    <w:p>
      <w:pPr>
        <w:pStyle w:val="Heading3"/>
      </w:pPr>
      <w:bookmarkStart w:name="b_pagina_3_2_C_2_p7" w:id="2166"/>
      <w:r>
        <w:t xml:space="preserve">C-2 · página 7 · La distinción opera en ambas direcciones</w:t>
      </w:r>
      <w:bookmarkEnd w:id="2166"/>
    </w:p>
    <w:p>
      <w:pPr>
        <w:pStyle w:val="Normal"/>
      </w:pPr>
      <w:r>
        <w:t xml:space="preserve">El mismo límite hace surgir A y no-A; cualquiera de los lados puede convertirse en la cosa de interés.</w:t>
      </w:r>
    </w:p>
    <w:p>
      <w:pPr>
        <w:pStyle w:val="Fuente"/>
      </w:pPr>
      <w:r>
        <w:t xml:space="preserve">Proyección o explicación: Clase 10 · 00:45:30 · captura c10-09.</w:t>
      </w:r>
    </w:p>
    <w:p>
      <w:bookmarkStart w:name="b_punto_c2_p007_01" w:id="2167"/>
      <w:r>
        <w:t xml:space="preserve">Trazar una frontera crea simultáneamente la identidad y lo otro; no es posible tener una sin el otro.</w:t>
      </w:r>
      <w:bookmarkEnd w:id="2167"/>
    </w:p>
    <w:p>
      <w:bookmarkStart w:name="b_punto_c2_p007_02" w:id="2168"/>
      <w:r>
        <w:t xml:space="preserve">La relación cosa/otro es recíproca: A es lo otro de B/C y B/C son lo otro de A.</w:t>
      </w:r>
      <w:bookmarkEnd w:id="2168"/>
    </w:p>
    <w:p>
      <w:bookmarkStart w:name="b_punto_c2_p007_03" w:id="2169"/>
      <w:r>
        <w:t xml:space="preserve">Los límites permiten distinguir y no deben dibujarse como si fueran una cosa más del sistema.</w:t>
      </w:r>
      <w:bookmarkEnd w:id="2169"/>
    </w:p>
    <w:p>
      <w:pPr>
        <w:pStyle w:val="Heading3"/>
      </w:pPr>
      <w:bookmarkStart w:name="b_pagina_3_2_C_2_p8" w:id="2170"/>
      <w:r>
        <w:t xml:space="preserve">C-2 · página 8 · Regla de sistemas: construir, descomponer y organizar</w:t>
      </w:r>
      <w:bookmarkEnd w:id="2170"/>
    </w:p>
    <w:p>
      <w:pPr>
        <w:pStyle w:val="Normal"/>
      </w:pPr>
      <w:r>
        <w:t xml:space="preserve">Plastilina y recuadros anidados muestran cómo construir un todo, descomponerlo en partes y moverse entre niveles.</w:t>
      </w:r>
    </w:p>
    <w:p>
      <w:pPr>
        <w:pStyle w:val="Fuente"/>
      </w:pPr>
      <w:r>
        <w:t xml:space="preserve">Proyección o explicación: Clase 10 · 00:47:29 · captura c10-10.</w:t>
      </w:r>
    </w:p>
    <w:p>
      <w:bookmarkStart w:name="b_punto_c2_p008_01" w:id="2171"/>
      <w:r>
        <w:t xml:space="preserve">Una idea puede dividirse en partes o ser parte de un todo mayor; el modelador necesita tanto construir como deconstruir.</w:t>
      </w:r>
      <w:bookmarkEnd w:id="2171"/>
    </w:p>
    <w:p>
      <w:bookmarkStart w:name="b_punto_c2_p008_02" w:id="2172"/>
      <w:r>
        <w:t xml:space="preserve">A contiene B/C, B contiene B1/B2 y C contiene C1/C2; una parte puede ser un todo en otro nivel.</w:t>
      </w:r>
      <w:bookmarkEnd w:id="2172"/>
    </w:p>
    <w:p>
      <w:bookmarkStart w:name="b_punto_c2_p008_03" w:id="2173"/>
      <w:r>
        <w:t xml:space="preserve">Las relaciones parte/todo se expresan con contención y no con una flecha de causalidad.</w:t>
      </w:r>
      <w:bookmarkEnd w:id="2173"/>
    </w:p>
    <w:p>
      <w:bookmarkStart w:name="b_punto_c2_p008_04" w:id="2174"/>
      <w:r>
        <w:t xml:space="preserve">Las cajas sueltas pueden reorganizarse como letras y números: agrupar cambia la estructura que da sentido al contenido.</w:t>
      </w:r>
      <w:bookmarkEnd w:id="2174"/>
    </w:p>
    <w:p>
      <w:pPr>
        <w:pStyle w:val="Heading3"/>
      </w:pPr>
      <w:bookmarkStart w:name="b_pagina_3_2_C_2_p9" w:id="2175"/>
      <w:r>
        <w:t xml:space="preserve">C-2 · página 9 · Regla de relaciones y direccionalidad</w:t>
      </w:r>
      <w:bookmarkEnd w:id="2175"/>
    </w:p>
    <w:p>
      <w:pPr>
        <w:pStyle w:val="Normal"/>
      </w:pPr>
      <w:r>
        <w:t xml:space="preserve">Cinco formas gráficas distinguen conexión, dirección simple, doble dirección y dos relaciones opuestas.</w:t>
      </w:r>
    </w:p>
    <w:p>
      <w:pPr>
        <w:pStyle w:val="Fuente"/>
      </w:pPr>
      <w:r>
        <w:t xml:space="preserve">Proyección o explicación: Clase 10 · 00:52:43 · captura c10-11.</w:t>
      </w:r>
    </w:p>
    <w:p>
      <w:bookmarkStart w:name="b_punto_c2_p009_01" w:id="2176"/>
      <w:r>
        <w:t xml:space="preserve">Cualquier idea o cosa puede relacionarse con otra idea o cosa.</w:t>
      </w:r>
      <w:bookmarkEnd w:id="2176"/>
    </w:p>
    <w:p>
      <w:bookmarkStart w:name="b_punto_c2_p009_02" w:id="2177"/>
      <w:r>
        <w:t xml:space="preserve">Una línea sin punta representa relación y una punta añade dirección; los dos sentidos pueden mostrarse con doble punta o con dos flechas.</w:t>
      </w:r>
      <w:bookmarkEnd w:id="2177"/>
    </w:p>
    <w:p>
      <w:bookmarkStart w:name="b_punto_c2_p009_03" w:id="2178"/>
      <w:r>
        <w:t xml:space="preserve">Las influencias en ambos sentidos expresan interdependencia y abren la posibilidad de circularidad.</w:t>
      </w:r>
      <w:bookmarkEnd w:id="2178"/>
    </w:p>
    <w:p>
      <w:bookmarkStart w:name="b_punto_c2_p009_04" w:id="2179"/>
      <w:r>
        <w:t xml:space="preserve">En la lectura causal que usa el curso, la cola se interpreta como causa y la cabeza como efecto.</w:t>
      </w:r>
      <w:bookmarkEnd w:id="2179"/>
    </w:p>
    <w:p>
      <w:pPr>
        <w:pStyle w:val="Heading3"/>
      </w:pPr>
      <w:bookmarkStart w:name="b_pagina_3_2_C_2_p10" w:id="2180"/>
      <w:r>
        <w:t xml:space="preserve">C-2 · página 10 · Barras y relación como sistema</w:t>
      </w:r>
      <w:bookmarkEnd w:id="2180"/>
    </w:p>
    <w:p>
      <w:pPr>
        <w:pStyle w:val="Normal"/>
      </w:pPr>
      <w:r>
        <w:t xml:space="preserve">Una relación se distingue y después se despliega en partes; si es recíproca, puede mostrar dos arcos de retroalimentación.</w:t>
      </w:r>
    </w:p>
    <w:p>
      <w:pPr>
        <w:pStyle w:val="Fuente"/>
      </w:pPr>
      <w:r>
        <w:t xml:space="preserve">Proyección o explicación: Clase 10 · 01:12:24 · captura c10-14.</w:t>
      </w:r>
    </w:p>
    <w:p>
      <w:pPr>
        <w:keepNext/>
        <w:spacing w:after="40" w:before="150"/>
        <w:jc w:val="center"/>
      </w:pPr>
      <w:bookmarkStart w:name="b_figura_original_pagina_C_2_10" w:id="2181"/>
      <w:bookmarkEnd w:id="2181"/>
      <w:r>
        <w:drawing>
          <wp:inline distT="0" distB="0" distL="0" distR="0">
            <wp:extent cx="5381625" cy="4162425"/>
            <wp:effectExtent t="0" r="0" b="0" l="0"/>
            <wp:docPr id="51" name="pagina-C-2-10" descr="Presentación C-2, pág. 10" title="Barras y relación como siste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36" cstate="none"/>
                    <a:srcRect/>
                    <a:stretch>
                      <a:fillRect/>
                    </a:stretch>
                  </pic:blipFill>
                  <pic:spPr bwMode="auto">
                    <a:xfrm>
                      <a:off x="0" y="0"/>
                      <a:ext cx="5381625" cy="4162425"/>
                    </a:xfrm>
                    <a:prstGeom prst="rect">
                      <a:avLst/>
                    </a:prstGeom>
                  </pic:spPr>
                </pic:pic>
              </a:graphicData>
            </a:graphic>
          </wp:inline>
        </w:drawing>
      </w:r>
    </w:p>
    <w:p>
      <w:pPr>
        <w:pStyle w:val="PieFigura"/>
        <w:keepNext/>
      </w:pPr>
      <w:bookmarkStart w:name="b_fig_3_2_1" w:id="2182"/>
      <w:r>
        <w:t xml:space="preserve">Figura 3.2.</w:t>
      </w:r>
      <w:fldSimple w:instr="SEQ Figura \r 1 \* ARABIC">
        <w:r>
          <w:t xml:space="preserve">1</w:t>
        </w:r>
      </w:fldSimple>
      <w:r>
        <w:t xml:space="preserve"> · Barras y relación como sistema</w:t>
      </w:r>
      <w:bookmarkEnd w:id="2182"/>
    </w:p>
    <w:p>
      <w:pPr>
        <w:pStyle w:val="Fuente"/>
      </w:pPr>
      <w:r>
        <w:t xml:space="preserve">Presentación C-2, pág. 10</w:t>
      </w:r>
    </w:p>
    <w:p>
      <w:bookmarkStart w:name="b_punto_c2_p010_01" w:id="2183"/>
      <w:r>
        <w:t xml:space="preserve">Las barras simples unen tratamiento/resultado, niño/perro y empatía/compasión.</w:t>
      </w:r>
      <w:bookmarkEnd w:id="2183"/>
    </w:p>
    <w:p>
      <w:bookmarkStart w:name="b_punto_c2_p010_02" w:id="2184"/>
      <w:r>
        <w:t xml:space="preserve">La secuencia RDS relaciona dos ideas, distingue la relación con nombre y sistematiza sus partes.</w:t>
      </w:r>
      <w:bookmarkEnd w:id="2184"/>
    </w:p>
    <w:p>
      <w:bookmarkStart w:name="b_punto_c2_p010_03" w:id="2185"/>
      <w:r>
        <w:t xml:space="preserve">Las partes de una relación son a su vez distinciones y pueden desplegar sus propias partes.</w:t>
      </w:r>
      <w:bookmarkEnd w:id="2185"/>
    </w:p>
    <w:p>
      <w:bookmarkStart w:name="b_punto_c2_p010_04" w:id="2186"/>
      <w:r>
        <w:t xml:space="preserve">La figura añade dos arcos para representar retroalimentación y puede detallar cada relación direccional por separado.</w:t>
      </w:r>
      <w:bookmarkEnd w:id="2186"/>
    </w:p>
    <w:p>
      <w:bookmarkStart w:name="b_punto_c2_p010_05" w:id="2187"/>
      <w:r>
        <w:t xml:space="preserve">Solicitud, confirmación, pago y producto como partes de la relación distinguida</w:t>
      </w:r>
      <w:bookmarkEnd w:id="2187"/>
    </w:p>
    <w:p>
      <w:pPr>
        <w:pStyle w:val="Heading3"/>
      </w:pPr>
      <w:bookmarkStart w:name="b_pagina_3_2_C_2_p11" w:id="2188"/>
      <w:r>
        <w:t xml:space="preserve">C-2 · página 11 · Regla de perspectivas y sus marcas</w:t>
      </w:r>
      <w:bookmarkEnd w:id="2188"/>
    </w:p>
    <w:p>
      <w:pPr>
        <w:pStyle w:val="Normal"/>
      </w:pPr>
      <w:r>
        <w:t xml:space="preserve">Un objeto proyecta sombras distintas; los diagramas muestran cómo separar quién mira de lo que se mira.</w:t>
      </w:r>
    </w:p>
    <w:p>
      <w:pPr>
        <w:pStyle w:val="Fuente"/>
      </w:pPr>
      <w:r>
        <w:t xml:space="preserve">Proyección o explicación: Clase 10 · 01:16:28 · captura c10-15.</w:t>
      </w:r>
    </w:p>
    <w:p>
      <w:bookmarkStart w:name="b_punto_c2_p011_01" w:id="2189"/>
      <w:r>
        <w:t xml:space="preserve">Cualquier idea puede ser punto o vista de una perspectiva; el punto indica desde dónde se observa y la vista lo observado.</w:t>
      </w:r>
      <w:bookmarkEnd w:id="2189"/>
    </w:p>
    <w:p>
      <w:bookmarkStart w:name="b_punto_c2_p011_02" w:id="2190"/>
      <w:r>
        <w:t xml:space="preserve">Las distintas sombras de un mismo objeto ilustran que variar el punto, la vista o ambos cambia la perspectiva.</w:t>
      </w:r>
      <w:bookmarkEnd w:id="2190"/>
    </w:p>
    <w:p>
      <w:bookmarkStart w:name="b_punto_c2_p011_03" w:id="2191"/>
      <w:r>
        <w:t xml:space="preserve">Un ojo y su punto del mismo color forman la pareja gráfica; tres ojos pueden dejar tres puntos en una misma idea.</w:t>
      </w:r>
      <w:bookmarkEnd w:id="2191"/>
    </w:p>
    <w:p>
      <w:bookmarkStart w:name="b_punto_c2_p011_04" w:id="2192"/>
      <w:r>
        <w:t xml:space="preserve">Un ojo sin punto produce una perspectiva incompleta.</w:t>
      </w:r>
      <w:bookmarkEnd w:id="2192"/>
    </w:p>
    <w:p>
      <w:pPr>
        <w:pStyle w:val="Heading3"/>
      </w:pPr>
      <w:bookmarkStart w:name="b_pagina_3_2_C_2_p12" w:id="2193"/>
      <w:r>
        <w:t xml:space="preserve">C-2 · página 12 · P-círculos y cuatro perspectivas entre papá y yo</w:t>
      </w:r>
      <w:bookmarkEnd w:id="2193"/>
    </w:p>
    <w:p>
      <w:pPr>
        <w:pStyle w:val="Normal"/>
      </w:pPr>
      <w:r>
        <w:t xml:space="preserve">Punto/vista, autorreflexión y varias perspectivas sobre la inseguridad alimentaria.</w:t>
      </w:r>
    </w:p>
    <w:p>
      <w:pPr>
        <w:pStyle w:val="Fuente"/>
      </w:pPr>
      <w:r>
        <w:t xml:space="preserve">Proyección o explicación: Clase 10 · 01:24:10 · captura c10-18.</w:t>
      </w:r>
    </w:p>
    <w:p>
      <w:pPr>
        <w:keepNext/>
        <w:spacing w:after="40" w:before="150"/>
        <w:jc w:val="center"/>
      </w:pPr>
      <w:bookmarkStart w:name="b_figura_original_pagina_C_2_12" w:id="2194"/>
      <w:bookmarkEnd w:id="2194"/>
      <w:r>
        <w:drawing>
          <wp:inline distT="0" distB="0" distL="0" distR="0">
            <wp:extent cx="5381625" cy="4162425"/>
            <wp:effectExtent t="0" r="0" b="0" l="0"/>
            <wp:docPr id="52" name="pagina-C-2-12" descr="Presentación C-2, pág. 12" title="P-círculos y cuatro perspectivas entre papá y y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37" cstate="none"/>
                    <a:srcRect/>
                    <a:stretch>
                      <a:fillRect/>
                    </a:stretch>
                  </pic:blipFill>
                  <pic:spPr bwMode="auto">
                    <a:xfrm>
                      <a:off x="0" y="0"/>
                      <a:ext cx="5381625" cy="4162425"/>
                    </a:xfrm>
                    <a:prstGeom prst="rect">
                      <a:avLst/>
                    </a:prstGeom>
                  </pic:spPr>
                </pic:pic>
              </a:graphicData>
            </a:graphic>
          </wp:inline>
        </w:drawing>
      </w:r>
    </w:p>
    <w:p>
      <w:pPr>
        <w:pStyle w:val="PieFigura"/>
        <w:keepNext/>
      </w:pPr>
      <w:bookmarkStart w:name="b_fig_3_2_2" w:id="2195"/>
      <w:r>
        <w:t xml:space="preserve">Figura 3.2.</w:t>
      </w:r>
      <w:fldSimple w:instr="SEQ Figura \n \* ARABIC">
        <w:r>
          <w:t xml:space="preserve">2</w:t>
        </w:r>
      </w:fldSimple>
      <w:r>
        <w:t xml:space="preserve"> · P-círculos y cuatro perspectivas entre papá y yo</w:t>
      </w:r>
      <w:bookmarkEnd w:id="2195"/>
    </w:p>
    <w:p>
      <w:pPr>
        <w:pStyle w:val="Fuente"/>
      </w:pPr>
      <w:r>
        <w:t xml:space="preserve">Presentación C-2, pág. 12</w:t>
      </w:r>
    </w:p>
    <w:p>
      <w:bookmarkStart w:name="b_punto_c2_p012_01" w:id="2196"/>
      <w:r>
        <w:t xml:space="preserve">Una perspectiva mínima contiene punto y vista diferenciados por ojo y punto del mismo color.</w:t>
      </w:r>
      <w:bookmarkEnd w:id="2196"/>
    </w:p>
    <w:p>
      <w:bookmarkStart w:name="b_punto_c2_p012_02" w:id="2197"/>
      <w:r>
        <w:t xml:space="preserve">Con papá y yo se forman cuatro perspectivas: papá sobre mí,yo sobre papá,papá sobre sí mismo y yo sobre mí mismo.</w:t>
      </w:r>
      <w:bookmarkEnd w:id="2197"/>
    </w:p>
    <w:p>
      <w:bookmarkStart w:name="b_punto_c2_p012_03" w:id="2198"/>
      <w:r>
        <w:t xml:space="preserve">Un P-círculo puede declarar dos o más perspectivas sobre una misma idea.</w:t>
      </w:r>
      <w:bookmarkEnd w:id="2198"/>
    </w:p>
    <w:p>
      <w:bookmarkStart w:name="b_punto_c2_p012_04" w:id="2199"/>
      <w:r>
        <w:t xml:space="preserve">El ejemplo de inseguridad alimentaria distingue perspectivas ambiental,económica y política; no desarrolla todavía qué ve cada una.</w:t>
      </w:r>
      <w:bookmarkEnd w:id="2199"/>
    </w:p>
    <w:p>
      <w:bookmarkStart w:name="b_punto_c2_p012_05" w:id="2200"/>
      <w:r>
        <w:t xml:space="preserve">Desde qué perspectivas se mira el asunto, sin detallar todavía qué observa cada una</w:t>
      </w:r>
      <w:bookmarkEnd w:id="2200"/>
    </w:p>
    <w:p>
      <w:pPr>
        <w:pStyle w:val="Heading3"/>
      </w:pPr>
      <w:bookmarkStart w:name="b_pagina_3_2_C_2_p13" w:id="2201"/>
      <w:r>
        <w:t xml:space="preserve">C-2 · página 13 · Múltiples perspectivas: una epidemia</w:t>
      </w:r>
      <w:bookmarkEnd w:id="2201"/>
    </w:p>
    <w:p>
      <w:pPr>
        <w:pStyle w:val="Normal"/>
      </w:pPr>
      <w:r>
        <w:t xml:space="preserve">La vista se descompone en nueve elementos, cada uno marcado con el color de la perspectiva que lo distingue.</w:t>
      </w:r>
    </w:p>
    <w:p>
      <w:pPr>
        <w:pStyle w:val="Fuente"/>
      </w:pPr>
      <w:r>
        <w:t xml:space="preserve">Proyección o explicación: Clase 10 · 01:26:21 · captura c10-20.</w:t>
      </w:r>
    </w:p>
    <w:p>
      <w:pPr>
        <w:keepNext/>
        <w:spacing w:after="40" w:before="150"/>
        <w:jc w:val="center"/>
      </w:pPr>
      <w:bookmarkStart w:name="b_figura_original_pagina_C_2_13" w:id="2202"/>
      <w:bookmarkEnd w:id="2202"/>
      <w:r>
        <w:drawing>
          <wp:inline distT="0" distB="0" distL="0" distR="0">
            <wp:extent cx="5381625" cy="4162425"/>
            <wp:effectExtent t="0" r="0" b="0" l="0"/>
            <wp:docPr id="53" name="pagina-C-2-13" descr="Presentación C-2, pág. 13" title="Múltiples perspectivas: una epidem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38" cstate="none"/>
                    <a:srcRect/>
                    <a:stretch>
                      <a:fillRect/>
                    </a:stretch>
                  </pic:blipFill>
                  <pic:spPr bwMode="auto">
                    <a:xfrm>
                      <a:off x="0" y="0"/>
                      <a:ext cx="5381625" cy="4162425"/>
                    </a:xfrm>
                    <a:prstGeom prst="rect">
                      <a:avLst/>
                    </a:prstGeom>
                  </pic:spPr>
                </pic:pic>
              </a:graphicData>
            </a:graphic>
          </wp:inline>
        </w:drawing>
      </w:r>
    </w:p>
    <w:p>
      <w:pPr>
        <w:pStyle w:val="PieFigura"/>
        <w:keepNext/>
      </w:pPr>
      <w:bookmarkStart w:name="b_fig_3_2_3" w:id="2203"/>
      <w:r>
        <w:t xml:space="preserve">Figura 3.2.</w:t>
      </w:r>
      <w:fldSimple w:instr="SEQ Figura \n \* ARABIC">
        <w:r>
          <w:t xml:space="preserve">3</w:t>
        </w:r>
      </w:fldSimple>
      <w:r>
        <w:t xml:space="preserve"> · Múltiples perspectivas: una epidemia</w:t>
      </w:r>
      <w:bookmarkEnd w:id="2203"/>
    </w:p>
    <w:p>
      <w:pPr>
        <w:pStyle w:val="Fuente"/>
      </w:pPr>
      <w:r>
        <w:t xml:space="preserve">Presentación C-2, pág. 13</w:t>
      </w:r>
    </w:p>
    <w:p>
      <w:bookmarkStart w:name="b_punto_c2_p013_01" w:id="2204"/>
      <w:r>
        <w:t xml:space="preserve">La regla de sistemas se aplica a la vista para detallar lo que cada perspectiva distingue; es distinto de subdividir el punto de vista en sub-perspectivas.</w:t>
      </w:r>
      <w:bookmarkEnd w:id="2204"/>
    </w:p>
    <w:p>
      <w:bookmarkStart w:name="b_punto_c2_p013_02" w:id="2205"/>
      <w:r>
        <w:t xml:space="preserve">El ejemplo utiliza epidemiología,política gubernamental y factores socioculturales como tres puntos de vista sobre una epidemia.</w:t>
      </w:r>
      <w:bookmarkEnd w:id="2205"/>
    </w:p>
    <w:p>
      <w:bookmarkStart w:name="b_punto_c2_p013_03" w:id="2206"/>
      <w:r>
        <w:t xml:space="preserve">El ojo azul de política se corresponde con esos tres puntos azules de la vista; epidemiología y factores socioculturales seleccionan otras partes.</w:t>
      </w:r>
      <w:bookmarkEnd w:id="2206"/>
    </w:p>
    <w:p>
      <w:bookmarkStart w:name="b_punto_c2_p013_04" w:id="2207"/>
      <w:r>
        <w:t xml:space="preserve">Ampliar perspectivas revela partes distintas de un mismo problema y puede aumentar la comprensión de una situación compleja.</w:t>
      </w:r>
      <w:bookmarkEnd w:id="2207"/>
    </w:p>
    <w:p>
      <w:pPr>
        <w:pStyle w:val="Heading3"/>
      </w:pPr>
      <w:bookmarkStart w:name="b_pagina_3_2_C_2_p16" w:id="2208"/>
      <w:r>
        <w:t xml:space="preserve">C-2 · página 16 · Modelos en distintos niveles de detalle</w:t>
      </w:r>
      <w:bookmarkEnd w:id="2208"/>
    </w:p>
    <w:p>
      <w:pPr>
        <w:pStyle w:val="Normal"/>
      </w:pPr>
      <w:r>
        <w:t xml:space="preserve">El mismo todo se puede expandir para mostrar sus partes o colapsar sin eliminar el contenido.</w:t>
      </w:r>
    </w:p>
    <w:p>
      <w:pPr>
        <w:pStyle w:val="Fuente"/>
      </w:pPr>
      <w:r>
        <w:t xml:space="preserve">Proyección o explicación: Clase 10 · 01:32:12 · captura c10-23.</w:t>
      </w:r>
    </w:p>
    <w:p>
      <w:bookmarkStart w:name="b_punto_c2_p016_01" w:id="2209"/>
      <w:r>
        <w:t xml:space="preserve">Expandir y colapsar son dos vistas del mismo modelo mental,en distintos niveles de detalle.</w:t>
      </w:r>
      <w:bookmarkEnd w:id="2209"/>
    </w:p>
    <w:p>
      <w:bookmarkStart w:name="b_punto_c2_p016_03" w:id="2210"/>
      <w:r>
        <w:t xml:space="preserve">La regla de sistemas es recursiva: la parte expandida puede contener otras partes,como en el ejemplo de frutas.</w:t>
      </w:r>
      <w:bookmarkEnd w:id="2210"/>
    </w:p>
    <w:p>
      <w:pPr>
        <w:pStyle w:val="Fuente"/>
      </w:pPr>
      <w:r>
        <w:t xml:space="preserve">Véase </w:t>
      </w:r>
      <w:hyperlink w:history="1" w:anchor="b_3_1">
        <w:r>
          <w:rPr>
            <w:color w:val="156B70"/>
            <w:u w:val="single"/>
          </w:rPr>
          <w:t xml:space="preserve">capítulo 3.1 · Mapas sistémicos</w:t>
        </w:r>
      </w:hyperlink>
      <w:r>
        <w:t xml:space="preserve">, pág. </w:t>
      </w:r>
      <w:r>
        <w:fldChar w:fldCharType="begin"/>
        <w:instrText xml:space="preserve">PAGEREF b_3_1 \h</w:instrText>
        <w:fldChar w:fldCharType="separate"/>
        <w:t xml:space="preserve">379</w:t>
        <w:fldChar w:fldCharType="end"/>
      </w:r>
      <w:r>
        <w:t xml:space="preserve">.</w:t>
      </w:r>
    </w:p>
    <w:p>
      <w:pPr>
        <w:pStyle w:val="Heading3"/>
      </w:pPr>
      <w:bookmarkStart w:name="b_pagina_3_2_C_2_p17" w:id="2211"/>
      <w:r>
        <w:t xml:space="preserve">C-2 · página 17 · Notación gráfica de los mapas DSRP</w:t>
      </w:r>
      <w:bookmarkEnd w:id="2211"/>
    </w:p>
    <w:p>
      <w:pPr>
        <w:pStyle w:val="Normal"/>
      </w:pPr>
      <w:r>
        <w:t xml:space="preserve">Rectángulo,contención,línea y pareja ojo/punto corresponden a las cuatro reglas.</w:t>
      </w:r>
    </w:p>
    <w:p>
      <w:pPr>
        <w:pStyle w:val="Fuente"/>
      </w:pPr>
      <w:r>
        <w:t xml:space="preserve">Proyección o explicación: Clase 10 · 01:32:56 · captura c10-24.</w:t>
      </w:r>
    </w:p>
    <w:p>
      <w:bookmarkStart w:name="b_punto_c2_p017_01" w:id="2212"/>
      <w:r>
        <w:t xml:space="preserve">Los rectángulos permiten distinguir una idea de otra.</w:t>
      </w:r>
      <w:bookmarkEnd w:id="2212"/>
    </w:p>
    <w:p>
      <w:bookmarkStart w:name="b_punto_c2_p017_02" w:id="2213"/>
      <w:r>
        <w:t xml:space="preserve">La contención denota estructuras de parte/todo.</w:t>
      </w:r>
      <w:bookmarkEnd w:id="2213"/>
    </w:p>
    <w:p>
      <w:bookmarkStart w:name="b_punto_c2_p017_03" w:id="2214"/>
      <w:r>
        <w:t xml:space="preserve">Las líneas se usan para las relaciones; no reemplazan la contención.</w:t>
      </w:r>
      <w:bookmarkEnd w:id="2214"/>
    </w:p>
    <w:p>
      <w:bookmarkStart w:name="b_punto_c2_p017_04" w:id="2215"/>
      <w:r>
        <w:t xml:space="preserve">El ojo indica el punto de vista y el punto del mismo color indica lo visto.</w:t>
      </w:r>
      <w:bookmarkEnd w:id="2215"/>
    </w:p>
    <w:p>
      <w:pPr>
        <w:pStyle w:val="Heading3"/>
      </w:pPr>
      <w:bookmarkStart w:name="b_pagina_3_2_C_2_p18" w:id="2216"/>
      <w:r>
        <w:t xml:space="preserve">C-2 · página 18 · Mapa DSRP de la teoría de sistemas</w:t>
      </w:r>
      <w:bookmarkEnd w:id="2216"/>
    </w:p>
    <w:p>
      <w:pPr>
        <w:pStyle w:val="Normal"/>
      </w:pPr>
      <w:r>
        <w:t xml:space="preserve">Un modelo terminado integra sistema y contexto,subsistemas y tres perspectivas sobre la teoría de sistemas.</w:t>
      </w:r>
    </w:p>
    <w:p>
      <w:pPr>
        <w:pStyle w:val="Fuente"/>
      </w:pPr>
      <w:r>
        <w:t xml:space="preserve">Proyección o explicación: Clase 10 · 01:34:06 · captura c10-25.</w:t>
      </w:r>
    </w:p>
    <w:p>
      <w:pPr>
        <w:keepNext/>
        <w:spacing w:after="40" w:before="150"/>
        <w:jc w:val="center"/>
      </w:pPr>
      <w:bookmarkStart w:name="b_figura_original_pagina_C_2_18" w:id="2217"/>
      <w:bookmarkEnd w:id="2217"/>
      <w:r>
        <w:drawing>
          <wp:inline distT="0" distB="0" distL="0" distR="0">
            <wp:extent cx="5381625" cy="4162425"/>
            <wp:effectExtent t="0" r="0" b="0" l="0"/>
            <wp:docPr id="54" name="pagina-C-2-18" descr="Presentación C-2, pág. 18" title="Mapa DSRP de la teoría de siste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39" cstate="none"/>
                    <a:srcRect/>
                    <a:stretch>
                      <a:fillRect/>
                    </a:stretch>
                  </pic:blipFill>
                  <pic:spPr bwMode="auto">
                    <a:xfrm>
                      <a:off x="0" y="0"/>
                      <a:ext cx="5381625" cy="4162425"/>
                    </a:xfrm>
                    <a:prstGeom prst="rect">
                      <a:avLst/>
                    </a:prstGeom>
                  </pic:spPr>
                </pic:pic>
              </a:graphicData>
            </a:graphic>
          </wp:inline>
        </w:drawing>
      </w:r>
    </w:p>
    <w:p>
      <w:pPr>
        <w:pStyle w:val="PieFigura"/>
        <w:keepNext/>
      </w:pPr>
      <w:bookmarkStart w:name="b_fig_3_2_4" w:id="2218"/>
      <w:r>
        <w:t xml:space="preserve">Figura 3.2.</w:t>
      </w:r>
      <w:fldSimple w:instr="SEQ Figura \n \* ARABIC">
        <w:r>
          <w:t xml:space="preserve">4</w:t>
        </w:r>
      </w:fldSimple>
      <w:r>
        <w:t xml:space="preserve"> · Mapa DSRP de la teoría de sistemas</w:t>
      </w:r>
      <w:bookmarkEnd w:id="2218"/>
    </w:p>
    <w:p>
      <w:pPr>
        <w:pStyle w:val="Fuente"/>
      </w:pPr>
      <w:r>
        <w:t xml:space="preserve">Presentación C-2, pág. 18</w:t>
      </w:r>
    </w:p>
    <w:p>
      <w:bookmarkStart w:name="b_punto_c2_p018_01" w:id="2219"/>
      <w:r>
        <w:t xml:space="preserve">La figura aplica simultáneamente distinciones,contención,relaciones y perspectivas; sus conceptos son el contenido informativo de un mapa DSRP.</w:t>
      </w:r>
      <w:bookmarkEnd w:id="2219"/>
    </w:p>
    <w:p>
      <w:bookmarkStart w:name="b_punto_c2_p018_02" w:id="2220"/>
      <w:r>
        <w:t xml:space="preserve">Las perspectivas estructural,funcional y genética permiten mirar,respectivamente,partes/relaciones,dinámica/sinergia y evolución del sistema.</w:t>
      </w:r>
      <w:bookmarkEnd w:id="2220"/>
    </w:p>
    <w:p>
      <w:bookmarkStart w:name="b_punto_c2_p018_03" w:id="2221"/>
      <w:r>
        <w:t xml:space="preserve">Que «Partes» es observada desde la perspectiva estructural/ontológica cuyo ojo es verde</w:t>
      </w:r>
      <w:bookmarkEnd w:id="2221"/>
    </w:p>
    <w:p>
      <w:pPr>
        <w:pStyle w:val="Heading3"/>
      </w:pPr>
      <w:bookmarkStart w:name="b_pagina_3_2_C_2_p19" w:id="2222"/>
      <w:r>
        <w:t xml:space="preserve">C-2 · página 19 · Notación gráfica de los mapas DSRP</w:t>
      </w:r>
      <w:bookmarkEnd w:id="2222"/>
    </w:p>
    <w:p>
      <w:pPr>
        <w:pStyle w:val="Normal"/>
      </w:pPr>
      <w:r>
        <w:t xml:space="preserve">Rectángulo,contención,línea y pareja ojo/punto corresponden a las cuatro reglas.</w:t>
      </w:r>
    </w:p>
    <w:p>
      <w:pPr>
        <w:pStyle w:val="Fuente"/>
      </w:pPr>
      <w:r>
        <w:t xml:space="preserve">Proyección o explicación: Clase 11 · 00:11:36 · captura c11-01.</w:t>
      </w:r>
    </w:p>
    <w:p>
      <w:bookmarkStart w:name="b_punto_c2_p019_01" w:id="2223"/>
      <w:r>
        <w:t xml:space="preserve">Los rectángulos permiten distinguir una idea de otra.</w:t>
      </w:r>
      <w:bookmarkEnd w:id="2223"/>
    </w:p>
    <w:p>
      <w:bookmarkStart w:name="b_punto_c2_p019_02" w:id="2224"/>
      <w:r>
        <w:t xml:space="preserve">La contención denota estructuras de parte/todo.</w:t>
      </w:r>
      <w:bookmarkEnd w:id="2224"/>
    </w:p>
    <w:p>
      <w:bookmarkStart w:name="b_punto_c2_p019_03" w:id="2225"/>
      <w:r>
        <w:t xml:space="preserve">Las líneas se usan para las relaciones; no reemplazan la contención.</w:t>
      </w:r>
      <w:bookmarkEnd w:id="2225"/>
    </w:p>
    <w:p>
      <w:bookmarkStart w:name="b_punto_c2_p019_04" w:id="2226"/>
      <w:r>
        <w:t xml:space="preserve">El ojo indica el punto de vista y el punto del mismo color indica lo visto.</w:t>
      </w:r>
      <w:bookmarkEnd w:id="2226"/>
    </w:p>
    <w:p>
      <w:pPr>
        <w:pStyle w:val="Heading3"/>
      </w:pPr>
      <w:bookmarkStart w:name="b_pagina_3_2_C_2_p20" w:id="2227"/>
      <w:r>
        <w:t xml:space="preserve">C-2 · página 20 · Combinar y mezclar las reglas simples</w:t>
      </w:r>
      <w:bookmarkEnd w:id="2227"/>
    </w:p>
    <w:p>
      <w:pPr>
        <w:pStyle w:val="Normal"/>
      </w:pPr>
      <w:r>
        <w:t xml:space="preserve">Cuatro ecuaciones gráficas componen distinciones,sistemas,relaciones y perspectivas para producir estructuras más complejas.</w:t>
      </w:r>
    </w:p>
    <w:p>
      <w:pPr>
        <w:pStyle w:val="Fuente"/>
      </w:pPr>
      <w:r>
        <w:t xml:space="preserve">Proyección o explicación: Clase 11 · 00:18:33 · captura c11-05.</w:t>
      </w:r>
    </w:p>
    <w:p>
      <w:bookmarkStart w:name="b_punto_c2_p020_01" w:id="2228"/>
      <w:r>
        <w:t xml:space="preserve">D+S permite distinguir una parte dentro de un todo con partes,aplicando reglas unas sobre otras.</w:t>
      </w:r>
      <w:bookmarkEnd w:id="2228"/>
    </w:p>
    <w:p>
      <w:bookmarkStart w:name="b_punto_c2_p020_02" w:id="2229"/>
      <w:r>
        <w:t xml:space="preserve">Añadir parte/todo a una relación permite distinguir y sistematizar esa relación.</w:t>
      </w:r>
      <w:bookmarkEnd w:id="2229"/>
    </w:p>
    <w:p>
      <w:bookmarkStart w:name="b_punto_c2_p020_03" w:id="2230"/>
      <w:r>
        <w:t xml:space="preserve">Aplicar relaciones a las partes de un todo produce una ecología de partes relacionadas.</w:t>
      </w:r>
      <w:bookmarkEnd w:id="2230"/>
    </w:p>
    <w:p>
      <w:bookmarkStart w:name="b_punto_c2_p020_04" w:id="2231"/>
      <w:r>
        <w:t xml:space="preserve">Aplicar perspectivas al resultado permite que los extremos observen la misma relación desde puntos de vista distintos.</w:t>
      </w:r>
      <w:bookmarkEnd w:id="2231"/>
    </w:p>
    <w:p>
      <w:pPr>
        <w:pStyle w:val="Heading3"/>
      </w:pPr>
      <w:bookmarkStart w:name="b_pagina_3_2_C_2_p23" w:id="2232"/>
      <w:r>
        <w:t xml:space="preserve">C-2 · página 23 · Barras y relación como sistema</w:t>
      </w:r>
      <w:bookmarkEnd w:id="2232"/>
    </w:p>
    <w:p>
      <w:pPr>
        <w:pStyle w:val="Normal"/>
      </w:pPr>
      <w:r>
        <w:t xml:space="preserve">Una relación se distingue y después se despliega en partes; si es recíproca, puede mostrar dos arcos de retroalimentación.</w:t>
      </w:r>
    </w:p>
    <w:p>
      <w:pPr>
        <w:pStyle w:val="Fuente"/>
      </w:pPr>
      <w:r>
        <w:t xml:space="preserve">Proyección o explicación: Clase 10 · 01:12:24 · captura c10-14.</w:t>
      </w:r>
    </w:p>
    <w:p>
      <w:bookmarkStart w:name="b_punto_c2_p023_01" w:id="2233"/>
      <w:r>
        <w:t xml:space="preserve">Las barras simples unen tratamiento/resultado, niño/perro y empatía/compasión.</w:t>
      </w:r>
      <w:bookmarkEnd w:id="2233"/>
    </w:p>
    <w:p>
      <w:bookmarkStart w:name="b_punto_c2_p023_02" w:id="2234"/>
      <w:r>
        <w:t xml:space="preserve">La secuencia RDS relaciona dos ideas, distingue la relación con nombre y sistematiza sus partes.</w:t>
      </w:r>
      <w:bookmarkEnd w:id="2234"/>
    </w:p>
    <w:p>
      <w:bookmarkStart w:name="b_punto_c2_p023_03" w:id="2235"/>
      <w:r>
        <w:t xml:space="preserve">Las partes de una relación son a su vez distinciones y pueden desplegar sus propias partes.</w:t>
      </w:r>
      <w:bookmarkEnd w:id="2235"/>
    </w:p>
    <w:p>
      <w:bookmarkStart w:name="b_punto_c2_p023_04" w:id="2236"/>
      <w:r>
        <w:t xml:space="preserve">La figura añade dos arcos para representar retroalimentación y puede detallar cada relación direccional por separado.</w:t>
      </w:r>
      <w:bookmarkEnd w:id="2236"/>
    </w:p>
    <w:p>
      <w:bookmarkStart w:name="b_punto_c2_p023_05" w:id="2237"/>
      <w:r>
        <w:t xml:space="preserve">Solicitud, confirmación, pago y producto como partes de la relación distinguida</w:t>
      </w:r>
      <w:bookmarkEnd w:id="2237"/>
    </w:p>
    <w:p>
      <w:pPr>
        <w:pStyle w:val="Heading3"/>
      </w:pPr>
      <w:bookmarkStart w:name="b_pagina_3_2_C_2_p24" w:id="2238"/>
      <w:r>
        <w:t xml:space="preserve">C-2 · página 24 · Uniendo barras: educación y poderes del Estado</w:t>
      </w:r>
      <w:bookmarkEnd w:id="2238"/>
    </w:p>
    <w:p>
      <w:pPr>
        <w:pStyle w:val="Normal"/>
      </w:pPr>
      <w:r>
        <w:t xml:space="preserve">Las relaciones de cuatro variables pueden nombrarse y refinarse para interpretar una red de vínculos.</w:t>
      </w:r>
    </w:p>
    <w:p>
      <w:pPr>
        <w:pStyle w:val="Fuente"/>
      </w:pPr>
      <w:r>
        <w:t xml:space="preserve">Proyección o explicación: Clase 11 · 00:29:33 · captura c11-08.</w:t>
      </w:r>
    </w:p>
    <w:p>
      <w:pPr>
        <w:pStyle w:val="Fuente"/>
      </w:pPr>
      <w:r>
        <w:t xml:space="preserve">Véase </w:t>
      </w:r>
      <w:hyperlink w:history="1" w:anchor="b_figura_original_pagina_C_2_24">
        <w:r>
          <w:rPr>
            <w:color w:val="156B70"/>
            <w:u w:val="single"/>
          </w:rPr>
          <w:t xml:space="preserve">imagen de C-2, página 24</w:t>
        </w:r>
      </w:hyperlink>
      <w:r>
        <w:t xml:space="preserve">, pág. </w:t>
      </w:r>
      <w:r>
        <w:fldChar w:fldCharType="begin"/>
        <w:instrText xml:space="preserve">PAGEREF b_figura_original_pagina_C_2_24 \h</w:instrText>
        <w:fldChar w:fldCharType="separate"/>
        <w:t xml:space="preserve">385</w:t>
        <w:fldChar w:fldCharType="end"/>
      </w:r>
      <w:r>
        <w:t xml:space="preserve">.</w:t>
      </w:r>
    </w:p>
    <w:p>
      <w:bookmarkStart w:name="b_punto_c2_p024_02" w:id="2239"/>
      <w:r>
        <w:t xml:space="preserve">La maestra inspira/involucra al estudiante y el temario aporta aprendizaje/conocimiento,en doble vía con el estudiante.</w:t>
      </w:r>
      <w:bookmarkEnd w:id="2239"/>
    </w:p>
    <w:p>
      <w:bookmarkStart w:name="b_punto_c2_p024_03" w:id="2240"/>
      <w:r>
        <w:t xml:space="preserve">Guía/soporte, expectativas y cuestionamiento/validación, respectivamente</w:t>
      </w:r>
      <w:bookmarkEnd w:id="2240"/>
    </w:p>
    <w:p>
      <w:bookmarkStart w:name="b_punto_c2_p024_04" w:id="2241"/>
      <w:r>
        <w:t xml:space="preserve">Como una hipótesis editorial sobre relaciones que debe discutirse y contrastarse en su contexto</w:t>
      </w:r>
      <w:bookmarkEnd w:id="2241"/>
    </w:p>
    <w:p>
      <w:pPr>
        <w:pStyle w:val="Fuente"/>
      </w:pPr>
      <w:r>
        <w:t xml:space="preserve">Véase </w:t>
      </w:r>
      <w:hyperlink w:history="1" w:anchor="b_3_1">
        <w:r>
          <w:rPr>
            <w:color w:val="156B70"/>
            <w:u w:val="single"/>
          </w:rPr>
          <w:t xml:space="preserve">capítulo 3.1 · Mapas sistémicos</w:t>
        </w:r>
      </w:hyperlink>
      <w:r>
        <w:t xml:space="preserve">, pág. </w:t>
      </w:r>
      <w:r>
        <w:fldChar w:fldCharType="begin"/>
        <w:instrText xml:space="preserve">PAGEREF b_3_1 \h</w:instrText>
        <w:fldChar w:fldCharType="separate"/>
        <w:t xml:space="preserve">379</w:t>
        <w:fldChar w:fldCharType="end"/>
      </w:r>
      <w:r>
        <w:t xml:space="preserve">.</w:t>
      </w:r>
    </w:p>
    <w:p>
      <w:pPr>
        <w:pStyle w:val="Heading3"/>
      </w:pPr>
      <w:bookmarkStart w:name="b_pagina_3_2_C_2_p25" w:id="2242"/>
      <w:r>
        <w:t xml:space="preserve">C-2 · página 25 · P-círculos y cuatro perspectivas entre papá y yo</w:t>
      </w:r>
      <w:bookmarkEnd w:id="2242"/>
    </w:p>
    <w:p>
      <w:pPr>
        <w:pStyle w:val="Normal"/>
      </w:pPr>
      <w:r>
        <w:t xml:space="preserve">Punto/vista, autorreflexión y varias perspectivas sobre la inseguridad alimentaria.</w:t>
      </w:r>
    </w:p>
    <w:p>
      <w:pPr>
        <w:pStyle w:val="Fuente"/>
      </w:pPr>
      <w:r>
        <w:t xml:space="preserve">Proyección o explicación: Clase 11 · 00:36:30 · captura c11-10.</w:t>
      </w:r>
    </w:p>
    <w:p>
      <w:bookmarkStart w:name="b_punto_c2_p025_01" w:id="2243"/>
      <w:r>
        <w:t xml:space="preserve">Una perspectiva mínima contiene punto y vista diferenciados por ojo y punto del mismo color.</w:t>
      </w:r>
      <w:bookmarkEnd w:id="2243"/>
    </w:p>
    <w:p>
      <w:bookmarkStart w:name="b_punto_c2_p025_02" w:id="2244"/>
      <w:r>
        <w:t xml:space="preserve">Con papá y yo se forman cuatro perspectivas: papá sobre mí,yo sobre papá,papá sobre sí mismo y yo sobre mí mismo.</w:t>
      </w:r>
      <w:bookmarkEnd w:id="2244"/>
    </w:p>
    <w:p>
      <w:bookmarkStart w:name="b_punto_c2_p025_03" w:id="2245"/>
      <w:r>
        <w:t xml:space="preserve">Un P-círculo puede declarar dos o más perspectivas sobre una misma idea.</w:t>
      </w:r>
      <w:bookmarkEnd w:id="2245"/>
    </w:p>
    <w:p>
      <w:bookmarkStart w:name="b_punto_c2_p025_04" w:id="2246"/>
      <w:r>
        <w:t xml:space="preserve">El ejemplo de inseguridad alimentaria distingue perspectivas ambiental,económica y política; no desarrolla todavía qué ve cada una.</w:t>
      </w:r>
      <w:bookmarkEnd w:id="2246"/>
    </w:p>
    <w:p>
      <w:bookmarkStart w:name="b_punto_c2_p025_05" w:id="2247"/>
      <w:r>
        <w:t xml:space="preserve">Desde qué perspectivas se mira el asunto, sin detallar todavía qué observa cada una</w:t>
      </w:r>
      <w:bookmarkEnd w:id="2247"/>
    </w:p>
    <w:p>
      <w:pPr>
        <w:pStyle w:val="Heading3"/>
      </w:pPr>
      <w:bookmarkStart w:name="b_pagina_3_2_C_2_p26" w:id="2248"/>
      <w:r>
        <w:t xml:space="preserve">C-2 · página 26 · Múltiples perspectivas: una epidemia</w:t>
      </w:r>
      <w:bookmarkEnd w:id="2248"/>
    </w:p>
    <w:p>
      <w:pPr>
        <w:pStyle w:val="Normal"/>
      </w:pPr>
      <w:r>
        <w:t xml:space="preserve">La vista se descompone en nueve elementos, cada uno marcado con el color de la perspectiva que lo distingue.</w:t>
      </w:r>
    </w:p>
    <w:p>
      <w:pPr>
        <w:pStyle w:val="Fuente"/>
      </w:pPr>
      <w:r>
        <w:t xml:space="preserve">Proyección o explicación: Clase 10 · 01:26:21 · captura c10-20.</w:t>
      </w:r>
    </w:p>
    <w:p>
      <w:bookmarkStart w:name="b_punto_c2_p026_01" w:id="2249"/>
      <w:r>
        <w:t xml:space="preserve">La regla de sistemas se aplica a la vista para detallar lo que cada perspectiva distingue; es distinto de subdividir el punto de vista en sub-perspectivas.</w:t>
      </w:r>
      <w:bookmarkEnd w:id="2249"/>
    </w:p>
    <w:p>
      <w:bookmarkStart w:name="b_punto_c2_p026_02" w:id="2250"/>
      <w:r>
        <w:t xml:space="preserve">El ejemplo utiliza epidemiología,política gubernamental y factores socioculturales como tres puntos de vista sobre una epidemia.</w:t>
      </w:r>
      <w:bookmarkEnd w:id="2250"/>
    </w:p>
    <w:p>
      <w:bookmarkStart w:name="b_punto_c2_p026_03" w:id="2251"/>
      <w:r>
        <w:t xml:space="preserve">El ojo azul de política se corresponde con esos tres puntos azules de la vista; epidemiología y factores socioculturales seleccionan otras partes.</w:t>
      </w:r>
      <w:bookmarkEnd w:id="2251"/>
    </w:p>
    <w:p>
      <w:bookmarkStart w:name="b_punto_c2_p026_04" w:id="2252"/>
      <w:r>
        <w:t xml:space="preserve">Ampliar perspectivas revela partes distintas de un mismo problema y puede aumentar la comprensión de una situación compleja.</w:t>
      </w:r>
      <w:bookmarkEnd w:id="2252"/>
    </w:p>
    <w:p>
      <w:pPr>
        <w:pStyle w:val="Heading3"/>
      </w:pPr>
      <w:bookmarkStart w:name="b_pagina_3_2_C_2_p27" w:id="2253"/>
      <w:r>
        <w:t xml:space="preserve">C-2 · página 27 · Múltiples perspectivas: teléfono,nacimiento y 11 de septiembre</w:t>
      </w:r>
      <w:bookmarkEnd w:id="2253"/>
    </w:p>
    <w:p>
      <w:pPr>
        <w:pStyle w:val="Normal"/>
      </w:pPr>
      <w:r>
        <w:t xml:space="preserve">Tres ejemplos muestran que una misma vista se descompone en aspectos distintos según quién observa.</w:t>
      </w:r>
    </w:p>
    <w:p>
      <w:pPr>
        <w:pStyle w:val="Fuente"/>
      </w:pPr>
      <w:r>
        <w:t xml:space="preserve">Proyección o explicación: Clase 11 · 00:37:29 · captura c11-11.</w:t>
      </w:r>
    </w:p>
    <w:p>
      <w:pPr>
        <w:keepNext/>
        <w:spacing w:after="40" w:before="150"/>
        <w:jc w:val="center"/>
      </w:pPr>
      <w:bookmarkStart w:name="b_figura_original_pagina_C_2_27" w:id="2254"/>
      <w:bookmarkEnd w:id="2254"/>
      <w:r>
        <w:drawing>
          <wp:inline distT="0" distB="0" distL="0" distR="0">
            <wp:extent cx="5381625" cy="4162425"/>
            <wp:effectExtent t="0" r="0" b="0" l="0"/>
            <wp:docPr id="55" name="pagina-C-2-27" descr="Presentación C-2, pág. 27" title="Múltiples perspectivas: teléfono,nacimiento y 11 de septiemb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40" cstate="none"/>
                    <a:srcRect/>
                    <a:stretch>
                      <a:fillRect/>
                    </a:stretch>
                  </pic:blipFill>
                  <pic:spPr bwMode="auto">
                    <a:xfrm>
                      <a:off x="0" y="0"/>
                      <a:ext cx="5381625" cy="4162425"/>
                    </a:xfrm>
                    <a:prstGeom prst="rect">
                      <a:avLst/>
                    </a:prstGeom>
                  </pic:spPr>
                </pic:pic>
              </a:graphicData>
            </a:graphic>
          </wp:inline>
        </w:drawing>
      </w:r>
    </w:p>
    <w:p>
      <w:pPr>
        <w:pStyle w:val="PieFigura"/>
        <w:keepNext/>
      </w:pPr>
      <w:bookmarkStart w:name="b_fig_3_2_5" w:id="2255"/>
      <w:r>
        <w:t xml:space="preserve">Figura 3.2.</w:t>
      </w:r>
      <w:fldSimple w:instr="SEQ Figura \n \* ARABIC">
        <w:r>
          <w:t xml:space="preserve">5</w:t>
        </w:r>
      </w:fldSimple>
      <w:r>
        <w:t xml:space="preserve"> · Múltiples perspectivas: teléfono,nacimiento y 11 de septiembre</w:t>
      </w:r>
      <w:bookmarkEnd w:id="2255"/>
    </w:p>
    <w:p>
      <w:pPr>
        <w:pStyle w:val="Fuente"/>
      </w:pPr>
      <w:r>
        <w:t xml:space="preserve">Presentación C-2, pág. 27</w:t>
      </w:r>
    </w:p>
    <w:p>
      <w:bookmarkStart w:name="b_punto_c2_p027_01" w:id="2256"/>
      <w:r>
        <w:t xml:space="preserve">Las perspectivas de diseñador,psicólogo y cliente revelan distintos aspectos del mismo iPhone.</w:t>
      </w:r>
      <w:bookmarkEnd w:id="2256"/>
    </w:p>
    <w:p>
      <w:bookmarkStart w:name="b_punto_c2_p027_02" w:id="2257"/>
      <w:r>
        <w:t xml:space="preserve">La vista verde del cliente reúne información, costo y facilidad de uso. Es la selección del autor; no obliga a toda persona a ver lo mismo.</w:t>
      </w:r>
      <w:bookmarkEnd w:id="2257"/>
    </w:p>
    <w:p>
      <w:bookmarkStart w:name="b_punto_c2_p027_03" w:id="2258"/>
      <w:r>
        <w:t xml:space="preserve">Que distintos puntos pueden seleccionar una misma parte de la vista</w:t>
      </w:r>
      <w:bookmarkEnd w:id="2258"/>
    </w:p>
    <w:p>
      <w:bookmarkStart w:name="b_punto_c2_p027_04" w:id="2259"/>
      <w:r>
        <w:t xml:space="preserve">Como una selección del autor que se puede discutir, sin generalizarla a todos los integrantes de esos grupos</w:t>
      </w:r>
      <w:bookmarkEnd w:id="2259"/>
    </w:p>
    <w:p>
      <w:pPr>
        <w:pStyle w:val="Heading3"/>
      </w:pPr>
      <w:bookmarkStart w:name="b_pagina_3_2_C_2_p28" w:id="2260"/>
      <w:r>
        <w:t xml:space="preserve">C-2 · página 28 · Sub-perspectivas: el punto también tiene partes</w:t>
      </w:r>
      <w:bookmarkEnd w:id="2260"/>
    </w:p>
    <w:p>
      <w:pPr>
        <w:pStyle w:val="Normal"/>
      </w:pPr>
      <w:r>
        <w:t xml:space="preserve">La regla de sistemas puede aplicarse al lado del ojo para revelar heterogeneidad dentro de una perspectiva.</w:t>
      </w:r>
    </w:p>
    <w:p>
      <w:pPr>
        <w:pStyle w:val="Fuente"/>
      </w:pPr>
      <w:r>
        <w:t xml:space="preserve">Proyección o explicación: Clase 11 · 00:40:50 · captura c11-13.</w:t>
      </w:r>
    </w:p>
    <w:p>
      <w:bookmarkStart w:name="b_punto_c2_p028_01" w:id="2261"/>
      <w:r>
        <w:t xml:space="preserve">Las sub-perspectivas subdividen el punto de vista; un mapa de múltiples perspectivas subdivide la vista.</w:t>
      </w:r>
      <w:bookmarkEnd w:id="2261"/>
    </w:p>
    <w:p>
      <w:bookmarkStart w:name="b_punto_c2_p028_02" w:id="2262"/>
      <w:r>
        <w:t xml:space="preserve">La estrategia puede descomponerse en global/local y éstas en políticas y alianzas organizacionales a distinta escala.</w:t>
      </w:r>
      <w:bookmarkEnd w:id="2262"/>
    </w:p>
    <w:p>
      <w:bookmarkStart w:name="b_punto_c2_p028_03" w:id="2263"/>
      <w:r>
        <w:t xml:space="preserve">La perspectiva musulmana se muestra como heterogénea,con variantes conservadora,moderada y radical,en vez de asumir una opinión única.</w:t>
      </w:r>
      <w:bookmarkEnd w:id="2263"/>
    </w:p>
    <w:p>
      <w:bookmarkStart w:name="b_punto_c2_p028_04" w:id="2264"/>
      <w:r>
        <w:t xml:space="preserve">Viajar a San Francisco se subdivide en avión,coche y tren,con experiencias diferentes de llegada.</w:t>
      </w:r>
      <w:bookmarkEnd w:id="2264"/>
    </w:p>
    <w:p>
      <w:bookmarkStart w:name="b_punto_c2_p028_05" w:id="2265"/>
      <w:r>
        <w:t xml:space="preserve">En un accidente,conductorA,conductorB y aseguradora ofrecen distintas miradas sobre la culpabilidad.</w:t>
      </w:r>
      <w:bookmarkEnd w:id="2265"/>
    </w:p>
    <w:p>
      <w:pPr>
        <w:pStyle w:val="Heading3"/>
      </w:pPr>
      <w:bookmarkStart w:name="b_pagina_3_2_C_2_p29" w:id="2266"/>
      <w:r>
        <w:t xml:space="preserve">C-2 · página 29 · Analogías,símiles y metáforas</w:t>
      </w:r>
      <w:bookmarkEnd w:id="2266"/>
    </w:p>
    <w:p>
      <w:pPr>
        <w:pStyle w:val="Normal"/>
      </w:pPr>
      <w:r>
        <w:t xml:space="preserve">Tres plantillas comparan sistemas; la analogía hace corresponder también sus partes.</w:t>
      </w:r>
    </w:p>
    <w:p>
      <w:pPr>
        <w:pStyle w:val="Fuente"/>
      </w:pPr>
      <w:r>
        <w:t xml:space="preserve">Proyección o explicación: Clase 11 · 00:45:18 · captura c11-15.</w:t>
      </w:r>
    </w:p>
    <w:p>
      <w:bookmarkStart w:name="b_punto_c2_p029_01" w:id="2267"/>
      <w:r>
        <w:t xml:space="preserve">Una analogía relaciona dos sistemas con parecido explícito y correspondencia de partes.</w:t>
      </w:r>
      <w:bookmarkEnd w:id="2267"/>
    </w:p>
    <w:p>
      <w:bookmarkStart w:name="b_punto_c2_p029_02" w:id="2268"/>
      <w:r>
        <w:t xml:space="preserve">Un símil relaciona ideas con una comparación explícita sin desplegar las partes.</w:t>
      </w:r>
      <w:bookmarkEnd w:id="2268"/>
    </w:p>
    <w:p>
      <w:bookmarkStart w:name="b_punto_c2_p029_03" w:id="2269"/>
      <w:r>
        <w:t xml:space="preserve">Una metáfora afirma que una cosa es la otra; la correspondencia queda implícita.</w:t>
      </w:r>
      <w:bookmarkEnd w:id="2269"/>
    </w:p>
    <w:p>
      <w:bookmarkStart w:name="b_punto_c2_p029_04" w:id="2270"/>
      <w:r>
        <w:t xml:space="preserve">En Shakespeare,mundo/escenario,hombres-y-mujeres/actores y muertes-y-nacimientos/salidas-y-entradas forman una analogía de estructuras.</w:t>
      </w:r>
      <w:bookmarkEnd w:id="2270"/>
    </w:p>
    <w:p>
      <w:bookmarkStart w:name="b_punto_c2_p029_05" w:id="2271"/>
      <w:r>
        <w:t xml:space="preserve">La figura combina D,S y R para hacer visible la comparación,sin confundir parecido con causalidad.</w:t>
      </w:r>
      <w:bookmarkEnd w:id="2271"/>
    </w:p>
    <w:p>
      <w:pPr>
        <w:pStyle w:val="Heading3"/>
      </w:pPr>
      <w:bookmarkStart w:name="b_pagina_3_2_C_2_p30" w:id="2272"/>
      <w:r>
        <w:t xml:space="preserve">C-2 · página 30 · DSRP en bosquejos,escritos y resúmenes</w:t>
      </w:r>
      <w:bookmarkEnd w:id="2272"/>
    </w:p>
    <w:p>
      <w:pPr>
        <w:pStyle w:val="Normal"/>
      </w:pPr>
      <w:r>
        <w:t xml:space="preserve">Un escrito se puede mapear como sistema de partes,con relaciones entre secciones y perspectivas desde determinadas secciones.</w:t>
      </w:r>
    </w:p>
    <w:p>
      <w:pPr>
        <w:pStyle w:val="Fuente"/>
      </w:pPr>
      <w:r>
        <w:t xml:space="preserve">Proyección o explicación: Clase 11 · 00:48:19 · captura c11-16.</w:t>
      </w:r>
    </w:p>
    <w:p>
      <w:pPr>
        <w:keepNext/>
        <w:spacing w:after="40" w:before="150"/>
        <w:jc w:val="center"/>
      </w:pPr>
      <w:bookmarkStart w:name="b_figura_original_pagina_C_2_30" w:id="2273"/>
      <w:bookmarkEnd w:id="2273"/>
      <w:r>
        <w:drawing>
          <wp:inline distT="0" distB="0" distL="0" distR="0">
            <wp:extent cx="5381625" cy="4162425"/>
            <wp:effectExtent t="0" r="0" b="0" l="0"/>
            <wp:docPr id="56" name="pagina-C-2-30" descr="Presentación C-2, pág. 30" title="DSRP en bosquejos,escritos y resúme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41" cstate="none"/>
                    <a:srcRect/>
                    <a:stretch>
                      <a:fillRect/>
                    </a:stretch>
                  </pic:blipFill>
                  <pic:spPr bwMode="auto">
                    <a:xfrm>
                      <a:off x="0" y="0"/>
                      <a:ext cx="5381625" cy="4162425"/>
                    </a:xfrm>
                    <a:prstGeom prst="rect">
                      <a:avLst/>
                    </a:prstGeom>
                  </pic:spPr>
                </pic:pic>
              </a:graphicData>
            </a:graphic>
          </wp:inline>
        </w:drawing>
      </w:r>
    </w:p>
    <w:p>
      <w:pPr>
        <w:pStyle w:val="PieFigura"/>
        <w:keepNext/>
      </w:pPr>
      <w:bookmarkStart w:name="b_fig_3_2_6" w:id="2274"/>
      <w:r>
        <w:t xml:space="preserve">Figura 3.2.</w:t>
      </w:r>
      <w:fldSimple w:instr="SEQ Figura \n \* ARABIC">
        <w:r>
          <w:t xml:space="preserve">6</w:t>
        </w:r>
      </w:fldSimple>
      <w:r>
        <w:t xml:space="preserve"> · DSRP en bosquejos,escritos y resúmenes</w:t>
      </w:r>
      <w:bookmarkEnd w:id="2274"/>
    </w:p>
    <w:p>
      <w:pPr>
        <w:pStyle w:val="Fuente"/>
      </w:pPr>
      <w:r>
        <w:t xml:space="preserve">Presentación C-2, pág. 30</w:t>
      </w:r>
    </w:p>
    <w:p>
      <w:bookmarkStart w:name="b_punto_c2_p030_01" w:id="2275"/>
      <w:r>
        <w:t xml:space="preserve">El contenedor Introducción organiza las secciones 1 y 2 como partes. Una curva de conexión tendría otra función y no es necesaria para expresar pertenencia.</w:t>
      </w:r>
      <w:bookmarkEnd w:id="2275"/>
    </w:p>
    <w:p>
      <w:bookmarkStart w:name="b_punto_c2_p030_02" w:id="2276"/>
      <w:r>
        <w:t xml:space="preserve">Las curvas conectan partes del texto; ojo y punto explicitan desde dónde se mira y qué bloque se considera</w:t>
      </w:r>
      <w:bookmarkEnd w:id="2276"/>
    </w:p>
    <w:p>
      <w:bookmarkStart w:name="b_punto_c2_p030_03" w:id="2277"/>
      <w:r>
        <w:t xml:space="preserve">Las curvas conectan partes del texto; ojo y punto explicitan desde dónde se mira y qué bloque se considera</w:t>
      </w:r>
      <w:bookmarkEnd w:id="2277"/>
    </w:p>
    <w:p>
      <w:pPr>
        <w:pStyle w:val="Heading3"/>
      </w:pPr>
      <w:bookmarkStart w:name="b_pagina_3_2_C_2_p31" w:id="2278"/>
      <w:r>
        <w:t xml:space="preserve">C-2 · página 31 · Las cuatro reglas y sus ocho elementos</w:t>
      </w:r>
      <w:bookmarkEnd w:id="2278"/>
    </w:p>
    <w:p>
      <w:pPr>
        <w:pStyle w:val="Normal"/>
      </w:pPr>
      <w:r>
        <w:t xml:space="preserve">Recapitulación de los pares DSRP tras los ejemplos de mapas generales.</w:t>
      </w:r>
    </w:p>
    <w:p>
      <w:pPr>
        <w:pStyle w:val="Fuente"/>
      </w:pPr>
      <w:r>
        <w:t xml:space="preserve">Proyección o explicación: Clase 11 · 00:49:16 · captura c11-17.</w:t>
      </w:r>
    </w:p>
    <w:p>
      <w:bookmarkStart w:name="b_punto_c2_p031_01" w:id="2279"/>
      <w:r>
        <w:t xml:space="preserve">Distinciones se define por cosa/otro;sistemas por parte/todo;relaciones por acción/reacción;perspectivas por punto/vista.</w:t>
      </w:r>
      <w:bookmarkEnd w:id="2279"/>
    </w:p>
    <w:p>
      <w:bookmarkStart w:name="b_punto_c2_p031_02" w:id="2280"/>
      <w:r>
        <w:t xml:space="preserve">Los ocho elementos son pares de las cuatro reglas,que se combinan para estructurar el modelo mental.</w:t>
      </w:r>
      <w:bookmarkEnd w:id="2280"/>
    </w:p>
    <w:p>
      <w:pPr>
        <w:pStyle w:val="Heading3"/>
      </w:pPr>
      <w:r>
        <w:t xml:space="preserve">Lo que explicó el profesor en clase</w:t>
      </w:r>
    </w:p>
    <w:p>
      <w:pPr>
        <w:pStyle w:val="Heading3"/>
      </w:pPr>
      <w:bookmarkStart w:name="b_clase_3_2_c10_cap_03" w:id="2281"/>
      <w:r>
        <w:t xml:space="preserve">Clase 10 · 00:20:36–00:26:21 · Repaso de las cuatro reglas y los bits de información</w:t>
      </w:r>
      <w:bookmarkEnd w:id="2281"/>
    </w:p>
    <w:p>
      <w:bookmarkStart w:name="b_punto_c10_cap_03_p01" w:id="2282"/>
      <w:r>
        <w:t xml:space="preserve">Distinguir es mínimo para pensar; S, R y P completan la base de modelos mentales y mapas sistémicos.</w:t>
      </w:r>
      <w:bookmarkEnd w:id="2282"/>
    </w:p>
    <w:p>
      <w:bookmarkStart w:name="b_punto_c10_cap_03_p04" w:id="2283"/>
      <w:r>
        <w:t xml:space="preserve">Modelar hace consciente y visible una actividad mental que también sucede rápida y cotidianamente.</w:t>
      </w:r>
      <w:bookmarkEnd w:id="2283"/>
    </w:p>
    <w:p>
      <w:pPr>
        <w:pStyle w:val="Fuente"/>
      </w:pPr>
      <w:r>
        <w:t xml:space="preserve">Véase </w:t>
      </w:r>
      <w:hyperlink w:history="1" w:anchor="b_3_1">
        <w:r>
          <w:rPr>
            <w:color w:val="156B70"/>
            <w:u w:val="single"/>
          </w:rPr>
          <w:t xml:space="preserve">capítulo 3.1 · Mapas sistémicos</w:t>
        </w:r>
      </w:hyperlink>
      <w:r>
        <w:t xml:space="preserve">, pág. </w:t>
      </w:r>
      <w:r>
        <w:fldChar w:fldCharType="begin"/>
        <w:instrText xml:space="preserve">PAGEREF b_3_1 \h</w:instrText>
        <w:fldChar w:fldCharType="separate"/>
        <w:t xml:space="preserve">379</w:t>
        <w:fldChar w:fldCharType="end"/>
      </w:r>
      <w:r>
        <w:t xml:space="preserve">.</w:t>
      </w:r>
    </w:p>
    <w:p>
      <w:pPr>
        <w:pStyle w:val="Heading3"/>
      </w:pPr>
      <w:bookmarkStart w:name="b_clase_3_2_c10_cap_04" w:id="2284"/>
      <w:r>
        <w:t xml:space="preserve">Clase 10 · 00:26:21–00:38:00 · Video proyectado sobre pensamiento sistémico</w:t>
      </w:r>
      <w:bookmarkEnd w:id="2284"/>
    </w:p>
    <w:p>
      <w:bookmarkStart w:name="b_punto_c10_cap_04_p01" w:id="2285"/>
      <w:r>
        <w:t xml:space="preserve">El video distingue acumular datos de pensar: organizar información construye significado y ayuda a resolver problemas.</w:t>
      </w:r>
      <w:bookmarkEnd w:id="2285"/>
    </w:p>
    <w:p>
      <w:bookmarkStart w:name="b_punto_c10_cap_04_p02" w:id="2286"/>
      <w:r>
        <w:t xml:space="preserve">Experiencias y recuerdos crean modelos que influyen en sentimientos y acciones; el perro ilustra reacciones diferentes.</w:t>
      </w:r>
      <w:bookmarkEnd w:id="2286"/>
    </w:p>
    <w:p>
      <w:bookmarkStart w:name="b_punto_c10_cap_04_p03" w:id="2287"/>
      <w:r>
        <w:t xml:space="preserve">Los modelos se construyen antes del lenguaje y DSRP funciona junto y continuamente.</w:t>
      </w:r>
      <w:bookmarkEnd w:id="2287"/>
    </w:p>
    <w:p>
      <w:bookmarkStart w:name="b_punto_c10_cap_04_p05" w:id="2288"/>
      <w:r>
        <w:t xml:space="preserve">Inodoro y lavabo contienen partes y pertenecen al sistema planetario del agua; parte y todo se anidan y ofrecen marcos diferentes.</w:t>
      </w:r>
      <w:bookmarkEnd w:id="2288"/>
    </w:p>
    <w:p>
      <w:bookmarkStart w:name="b_punto_c10_cap_04_p06" w:id="2289"/>
      <w:r>
        <w:t xml:space="preserve">Las relaciones existen también entre objetos e ideas y no sólo entre familiares o amigos.</w:t>
      </w:r>
      <w:bookmarkEnd w:id="2289"/>
    </w:p>
    <w:p>
      <w:bookmarkStart w:name="b_punto_c10_cap_04_p08" w:id="2290"/>
      <w:r>
        <w:t xml:space="preserve">El cierre del video invita a descubrir nuevas posibilidades e ideas.</w:t>
      </w:r>
      <w:bookmarkEnd w:id="2290"/>
    </w:p>
    <w:p>
      <w:bookmarkStart w:name="b_punto_c10_cap_04_p09" w:id="2291"/>
      <w:r>
        <w:t xml:space="preserve">En el capítulo mixto c10-cap-04, los cues 260–279 son español académico sobre sistemas y relaciones; los tramos ajenos son 251–259 y 280–307. El capítulo se acredita a 3.2 y a la videolección DSRP existente.</w:t>
      </w:r>
      <w:bookmarkEnd w:id="2291"/>
    </w:p>
    <w:p>
      <w:pPr>
        <w:pStyle w:val="Heading3"/>
      </w:pPr>
      <w:bookmarkStart w:name="b_clase_3_2_c10_cap_05" w:id="2292"/>
      <w:r>
        <w:t xml:space="preserve">Clase 10 · 00:38:00–00:47:26 · Mapas DSRP y la regla de distinción</w:t>
      </w:r>
      <w:bookmarkEnd w:id="2292"/>
    </w:p>
    <w:p>
      <w:bookmarkStart w:name="b_punto_c10_cap_05_p01" w:id="2293"/>
      <w:r>
        <w:t xml:space="preserve">Los mapas DSRP del equipo Cabrera expresan gráficamente las cuatro operaciones que combinan ideas en estructuras más complejas.</w:t>
      </w:r>
      <w:bookmarkEnd w:id="2293"/>
    </w:p>
    <w:p>
      <w:bookmarkStart w:name="b_punto_c10_cap_05_p02" w:id="2294"/>
      <w:r>
        <w:t xml:space="preserve">Los DCC restringirán el énfasis a relaciones; D sigue siendo necesaria al representar sistemas, relaciones o perspectivas.</w:t>
      </w:r>
      <w:bookmarkEnd w:id="2294"/>
    </w:p>
    <w:p>
      <w:bookmarkStart w:name="b_punto_c10_cap_05_p03" w:id="2295"/>
      <w:r>
        <w:t xml:space="preserve">Un rectángulo con nombre distingue; A/B/C son genéricos y deben sustituirse por conceptos concretos como taza de té.</w:t>
      </w:r>
      <w:bookmarkEnd w:id="2295"/>
    </w:p>
    <w:p>
      <w:bookmarkStart w:name="b_punto_c10_cap_05_p05" w:id="2296"/>
      <w:r>
        <w:t xml:space="preserve">Los círculos naranjas iguales parecen distintos por sus círculos grises vecinos: el contexto afecta la distinción.</w:t>
      </w:r>
      <w:bookmarkEnd w:id="2296"/>
    </w:p>
    <w:p>
      <w:bookmarkStart w:name="b_punto_c10_cap_05_p06" w:id="2297"/>
      <w:r>
        <w:t xml:space="preserve">Una idea se representa una sola vez; repetir recuadros con el mismo nombre duplicaría el concepto.</w:t>
      </w:r>
      <w:bookmarkEnd w:id="2297"/>
    </w:p>
    <w:p>
      <w:pPr>
        <w:pStyle w:val="Fuente"/>
      </w:pPr>
      <w:r>
        <w:t xml:space="preserve">Véase </w:t>
      </w:r>
      <w:hyperlink w:history="1" w:anchor="b_senales_examen">
        <w:r>
          <w:rPr>
            <w:color w:val="156B70"/>
            <w:u w:val="single"/>
          </w:rPr>
          <w:t xml:space="preserve">1 indicación(es) de examen de este tramo, en el apéndice cronológico</w:t>
        </w:r>
      </w:hyperlink>
      <w:r>
        <w:t xml:space="preserve">, pág. </w:t>
      </w:r>
      <w:r>
        <w:fldChar w:fldCharType="begin"/>
        <w:instrText xml:space="preserve">PAGEREF b_senales_examen \h</w:instrText>
        <w:fldChar w:fldCharType="separate"/>
        <w:t xml:space="preserve">1663</w:t>
        <w:fldChar w:fldCharType="end"/>
      </w:r>
      <w:r>
        <w:t xml:space="preserve">.</w:t>
      </w:r>
    </w:p>
    <w:p>
      <w:pPr>
        <w:pStyle w:val="Fuente"/>
      </w:pPr>
      <w:r>
        <w:t xml:space="preserve">Véase </w:t>
      </w:r>
      <w:hyperlink w:history="1" w:anchor="b_3_1">
        <w:r>
          <w:rPr>
            <w:color w:val="156B70"/>
            <w:u w:val="single"/>
          </w:rPr>
          <w:t xml:space="preserve">capítulo 3.1 · Mapas sistémicos</w:t>
        </w:r>
      </w:hyperlink>
      <w:r>
        <w:t xml:space="preserve">, pág. </w:t>
      </w:r>
      <w:r>
        <w:fldChar w:fldCharType="begin"/>
        <w:instrText xml:space="preserve">PAGEREF b_3_1 \h</w:instrText>
        <w:fldChar w:fldCharType="separate"/>
        <w:t xml:space="preserve">379</w:t>
        <w:fldChar w:fldCharType="end"/>
      </w:r>
      <w:r>
        <w:t xml:space="preserve">.</w:t>
      </w:r>
    </w:p>
    <w:p>
      <w:pPr>
        <w:pStyle w:val="Heading3"/>
      </w:pPr>
      <w:bookmarkStart w:name="b_clase_3_2_c10_cap_06" w:id="2298"/>
      <w:r>
        <w:t xml:space="preserve">Clase 10 · 00:47:26–00:52:39 · La regla de sistemas: todo y partes</w:t>
      </w:r>
      <w:bookmarkEnd w:id="2298"/>
    </w:p>
    <w:p>
      <w:bookmarkStart w:name="b_punto_c10_cap_06_p01" w:id="2299"/>
      <w:r>
        <w:t xml:space="preserve">Universidad y facultades son distinciones; ingeniería, arquitectura y ciencias médicas dentro de universidad aplican S.</w:t>
      </w:r>
      <w:bookmarkEnd w:id="2299"/>
    </w:p>
    <w:p>
      <w:bookmarkStart w:name="b_punto_c10_cap_06_p02" w:id="2300"/>
      <w:r>
        <w:t xml:space="preserve">La contención de recuadros expresa todo/partes, como letras o números dentro de sus conjuntos.</w:t>
      </w:r>
      <w:bookmarkEnd w:id="2300"/>
    </w:p>
    <w:p>
      <w:bookmarkStart w:name="b_punto_c10_cap_06_p03" w:id="2301"/>
      <w:r>
        <w:t xml:space="preserve">El ejemplo A contiene B/C y éstos B1/B2/C1/C2 muestra jerarquías anidadas.</w:t>
      </w:r>
      <w:bookmarkEnd w:id="2301"/>
    </w:p>
    <w:p>
      <w:bookmarkStart w:name="b_punto_c10_cap_06_p04" w:id="2302"/>
      <w:r>
        <w:t xml:space="preserve">S permite descomponer un todo en componentes y construir un todo mayor desde partes.</w:t>
      </w:r>
      <w:bookmarkEnd w:id="2302"/>
    </w:p>
    <w:p>
      <w:bookmarkStart w:name="b_punto_c10_cap_06_p05" w:id="2303"/>
      <w:r>
        <w:t xml:space="preserve">El gráfico concreta la organización mental, sin imponer un orden universal de aplicación de reglas.</w:t>
      </w:r>
      <w:bookmarkEnd w:id="2303"/>
    </w:p>
    <w:p>
      <w:pPr>
        <w:pStyle w:val="Heading3"/>
      </w:pPr>
      <w:bookmarkStart w:name="b_clase_3_2_c10_cap_07" w:id="2304"/>
      <w:r>
        <w:t xml:space="preserve">Clase 10 · 00:52:39–01:00:27 · La regla de relaciones y la interdependencia</w:t>
      </w:r>
      <w:bookmarkEnd w:id="2304"/>
    </w:p>
    <w:p>
      <w:bookmarkStart w:name="b_punto_c10_cap_07_p01" w:id="2305"/>
      <w:r>
        <w:t xml:space="preserve">R se representa con líneas entre ideas distinguidas; percibir una relación requiere identificar sus extremos.</w:t>
      </w:r>
      <w:bookmarkEnd w:id="2305"/>
    </w:p>
    <w:p>
      <w:bookmarkStart w:name="b_punto_c10_cap_07_p02" w:id="2306"/>
      <w:r>
        <w:t xml:space="preserve">Una línea sin punta declara relación sin dirección; una flecha añade causa en la cola y efecto en la cabeza.</w:t>
      </w:r>
      <w:bookmarkEnd w:id="2306"/>
    </w:p>
    <w:p>
      <w:bookmarkStart w:name="b_punto_c10_cap_07_p03" w:id="2307"/>
      <w:r>
        <w:t xml:space="preserve">El sentido de la relación no depende de qué concepto se distinguió antes en el dibujo.</w:t>
      </w:r>
      <w:bookmarkEnd w:id="2307"/>
    </w:p>
    <w:p>
      <w:bookmarkStart w:name="b_punto_c10_cap_07_p04" w:id="2308"/>
      <w:r>
        <w:t xml:space="preserve">La influencia en ambos sentidos es interdependencia: dos flechas opuestas o una línea con dos cabezas.</w:t>
      </w:r>
      <w:bookmarkEnd w:id="2308"/>
    </w:p>
    <w:p>
      <w:bookmarkStart w:name="b_punto_c10_cap_07_p05" w:id="2309"/>
      <w:r>
        <w:t xml:space="preserve">Las relaciones pueden ser internas o conectar sistema y medio, como una empresa que ofrece productos a clientes.</w:t>
      </w:r>
      <w:bookmarkEnd w:id="2309"/>
    </w:p>
    <w:p>
      <w:bookmarkStart w:name="b_punto_c10_cap_07_p06" w:id="2310"/>
      <w:r>
        <w:t xml:space="preserve">Se dibujan cliente/empresa y los sentidos vende/compra para mostrar interdependencia.</w:t>
      </w:r>
      <w:bookmarkEnd w:id="2310"/>
    </w:p>
    <w:p>
      <w:bookmarkStart w:name="b_punto_c10_cap_07_p07" w:id="2311"/>
      <w:r>
        <w:t xml:space="preserve">La relación puede distinguirse y nombrarse como vender o comprar.</w:t>
      </w:r>
      <w:bookmarkEnd w:id="2311"/>
    </w:p>
    <w:p>
      <w:pPr>
        <w:pStyle w:val="Fuente"/>
      </w:pPr>
      <w:r>
        <w:t xml:space="preserve">Véase </w:t>
      </w:r>
      <w:hyperlink w:history="1" w:anchor="b_3_3">
        <w:r>
          <w:rPr>
            <w:color w:val="156B70"/>
            <w:u w:val="single"/>
          </w:rPr>
          <w:t xml:space="preserve">capítulo 3.3 · Diagramas de ciclos causales</w:t>
        </w:r>
      </w:hyperlink>
      <w:r>
        <w:t xml:space="preserve">, pág. </w:t>
      </w:r>
      <w:r>
        <w:fldChar w:fldCharType="begin"/>
        <w:instrText xml:space="preserve">PAGEREF b_3_3 \h</w:instrText>
        <w:fldChar w:fldCharType="separate"/>
        <w:t xml:space="preserve">443</w:t>
        <w:fldChar w:fldCharType="end"/>
      </w:r>
      <w:r>
        <w:t xml:space="preserve">.</w:t>
      </w:r>
    </w:p>
    <w:p>
      <w:pPr>
        <w:pStyle w:val="Heading3"/>
      </w:pPr>
      <w:bookmarkStart w:name="b_clase_3_2_c10_cap_08" w:id="2312"/>
      <w:r>
        <w:t xml:space="preserve">Clase 10 · 01:00:27–01:12:13 · Construcción en vivo del mapa empresa-cliente</w:t>
      </w:r>
      <w:bookmarkEnd w:id="2312"/>
    </w:p>
    <w:p>
      <w:bookmarkStart w:name="b_punto_c10_cap_08_p03" w:id="2313"/>
      <w:r>
        <w:t xml:space="preserve">La demostración crea un lienzo y tarjetas cliente/empresa con sus nombres.</w:t>
      </w:r>
      <w:bookmarkEnd w:id="2313"/>
    </w:p>
    <w:p>
      <w:bookmarkStart w:name="b_punto_c10_cap_08_p04" w:id="2314"/>
      <w:r>
        <w:t xml:space="preserve">Flechas de vender/comprar muestran interdependencia y una tarjeta sobre el vínculo distingue la acción de compra.</w:t>
      </w:r>
      <w:bookmarkEnd w:id="2314"/>
    </w:p>
    <w:p>
      <w:bookmarkStart w:name="b_punto_c10_cap_08_p06" w:id="2315"/>
      <w:r>
        <w:t xml:space="preserve">La empresa se descompone en atención al cliente, producción, contabilidad y administración.</w:t>
      </w:r>
      <w:bookmarkEnd w:id="2315"/>
    </w:p>
    <w:p>
      <w:bookmarkStart w:name="b_punto_c10_cap_08_p07" w:id="2316"/>
      <w:r>
        <w:t xml:space="preserve">D, S yR se combinan en un modelo que puede ampliarse con relaciones entre áreas y nuevos conceptos.</w:t>
      </w:r>
      <w:bookmarkEnd w:id="2316"/>
    </w:p>
    <w:p>
      <w:pPr>
        <w:pStyle w:val="Fuente"/>
      </w:pPr>
      <w:r>
        <w:t xml:space="preserve">Véase </w:t>
      </w:r>
      <w:hyperlink w:history="1" w:anchor="b_senales_examen">
        <w:r>
          <w:rPr>
            <w:color w:val="156B70"/>
            <w:u w:val="single"/>
          </w:rPr>
          <w:t xml:space="preserve">2 indicación(es) de examen de este tramo, en el apéndice cronológico</w:t>
        </w:r>
      </w:hyperlink>
      <w:r>
        <w:t xml:space="preserve">, pág. </w:t>
      </w:r>
      <w:r>
        <w:fldChar w:fldCharType="begin"/>
        <w:instrText xml:space="preserve">PAGEREF b_senales_examen \h</w:instrText>
        <w:fldChar w:fldCharType="separate"/>
        <w:t xml:space="preserve">1663</w:t>
        <w:fldChar w:fldCharType="end"/>
      </w:r>
      <w:r>
        <w:t xml:space="preserve">.</w:t>
      </w:r>
    </w:p>
    <w:p>
      <w:pPr>
        <w:pStyle w:val="Fuente"/>
      </w:pPr>
      <w:r>
        <w:t xml:space="preserve">Véase </w:t>
      </w:r>
      <w:hyperlink w:history="1" w:anchor="b_3_1">
        <w:r>
          <w:rPr>
            <w:color w:val="156B70"/>
            <w:u w:val="single"/>
          </w:rPr>
          <w:t xml:space="preserve">capítulo 3.1 · Mapas sistémicos</w:t>
        </w:r>
      </w:hyperlink>
      <w:r>
        <w:t xml:space="preserve">, pág. </w:t>
      </w:r>
      <w:r>
        <w:fldChar w:fldCharType="begin"/>
        <w:instrText xml:space="preserve">PAGEREF b_3_1 \h</w:instrText>
        <w:fldChar w:fldCharType="separate"/>
        <w:t xml:space="preserve">379</w:t>
        <w:fldChar w:fldCharType="end"/>
      </w:r>
      <w:r>
        <w:t xml:space="preserve">.</w:t>
      </w:r>
    </w:p>
    <w:p>
      <w:pPr>
        <w:pStyle w:val="Heading3"/>
      </w:pPr>
      <w:bookmarkStart w:name="b_clase_3_2_c10_cap_09" w:id="2317"/>
      <w:r>
        <w:t xml:space="preserve">Clase 10 · 01:12:13–01:24:00 · Barras y la regla de perspectivas</w:t>
      </w:r>
      <w:bookmarkEnd w:id="2317"/>
    </w:p>
    <w:p>
      <w:bookmarkStart w:name="b_punto_c10_cap_09_p01" w:id="2318"/>
      <w:r>
        <w:t xml:space="preserve">Una barra conecta dos ideas y permite nombrar o sistematizar la relación.</w:t>
      </w:r>
      <w:bookmarkEnd w:id="2318"/>
    </w:p>
    <w:p>
      <w:bookmarkStart w:name="b_punto_c10_cap_09_p02" w:id="2319"/>
      <w:r>
        <w:t xml:space="preserve">Comprar se descompone en solicitud, confirmación, pago y recepción del producto.</w:t>
      </w:r>
      <w:bookmarkEnd w:id="2319"/>
    </w:p>
    <w:p>
      <w:bookmarkStart w:name="b_punto_c10_cap_09_p03" w:id="2320"/>
      <w:r>
        <w:t xml:space="preserve">Solicitud, confirmación, pago y producto como partes de la relación distinguida</w:t>
      </w:r>
      <w:bookmarkEnd w:id="2320"/>
    </w:p>
    <w:p>
      <w:bookmarkStart w:name="b_punto_c10_cap_09_p05" w:id="2321"/>
      <w:r>
        <w:t xml:space="preserve">El modelo lleva implícita la perspectiva de su autor; P puede explicitarse después o al inicio según objetivo.</w:t>
      </w:r>
      <w:bookmarkEnd w:id="2321"/>
    </w:p>
    <w:p>
      <w:bookmarkStart w:name="b_punto_c10_cap_09_p06" w:id="2322"/>
      <w:r>
        <w:t xml:space="preserve">La empresa puede verse desde cliente, proveedor y patrocinador/inversionista.</w:t>
      </w:r>
      <w:bookmarkEnd w:id="2322"/>
    </w:p>
    <w:p>
      <w:bookmarkStart w:name="b_punto_c10_cap_09_p07" w:id="2323"/>
      <w:r>
        <w:t xml:space="preserve">Ojo y punto del mismo color indican desde dónde se ve y qué se ve.</w:t>
      </w:r>
      <w:bookmarkEnd w:id="2323"/>
    </w:p>
    <w:p>
      <w:bookmarkStart w:name="b_punto_c10_cap_09_p08" w:id="2324"/>
      <w:r>
        <w:t xml:space="preserve">Un ojo sin punto deja la perspectiva incompleta, como una causa que no apunta a ningún efecto.</w:t>
      </w:r>
      <w:bookmarkEnd w:id="2324"/>
    </w:p>
    <w:p>
      <w:pPr>
        <w:pStyle w:val="Fuente"/>
      </w:pPr>
      <w:r>
        <w:t xml:space="preserve">Véase </w:t>
      </w:r>
      <w:hyperlink w:history="1" w:anchor="b_3_4">
        <w:r>
          <w:rPr>
            <w:color w:val="156B70"/>
            <w:u w:val="single"/>
          </w:rPr>
          <w:t xml:space="preserve">capítulo 3.4 · Interdependencias sistémicas</w:t>
        </w:r>
      </w:hyperlink>
      <w:r>
        <w:t xml:space="preserve">, pág. </w:t>
      </w:r>
      <w:r>
        <w:fldChar w:fldCharType="begin"/>
        <w:instrText xml:space="preserve">PAGEREF b_3_4 \h</w:instrText>
        <w:fldChar w:fldCharType="separate"/>
        <w:t xml:space="preserve">476</w:t>
        <w:fldChar w:fldCharType="end"/>
      </w:r>
      <w:r>
        <w:t xml:space="preserve">.</w:t>
      </w:r>
    </w:p>
    <w:p>
      <w:pPr>
        <w:pStyle w:val="Fuente"/>
      </w:pPr>
      <w:r>
        <w:t xml:space="preserve">Véase </w:t>
      </w:r>
      <w:hyperlink w:history="1" w:anchor="b_3_9">
        <w:r>
          <w:rPr>
            <w:color w:val="156B70"/>
            <w:u w:val="single"/>
          </w:rPr>
          <w:t xml:space="preserve">capítulo 3.9 · Hábitos (complejo)</w:t>
        </w:r>
      </w:hyperlink>
      <w:r>
        <w:t xml:space="preserve">, pág. </w:t>
      </w:r>
      <w:r>
        <w:fldChar w:fldCharType="begin"/>
        <w:instrText xml:space="preserve">PAGEREF b_3_9 \h</w:instrText>
        <w:fldChar w:fldCharType="separate"/>
        <w:t xml:space="preserve">622</w:t>
        <w:fldChar w:fldCharType="end"/>
      </w:r>
      <w:r>
        <w:t xml:space="preserve">.</w:t>
      </w:r>
    </w:p>
    <w:p>
      <w:pPr>
        <w:pStyle w:val="Heading3"/>
      </w:pPr>
      <w:bookmarkStart w:name="b_clase_3_2_c10_cap_10" w:id="2325"/>
      <w:r>
        <w:t xml:space="preserve">Clase 10 · 01:24:00–01:29:42 · P-círculos y perspectivas múltiples</w:t>
      </w:r>
      <w:bookmarkEnd w:id="2325"/>
    </w:p>
    <w:p>
      <w:bookmarkStart w:name="b_punto_c10_cap_10_p01" w:id="2326"/>
      <w:r>
        <w:t xml:space="preserve">Se distinguen los roles de otras perspectivas y se puede hacer explícita la propia como modelador.</w:t>
      </w:r>
      <w:bookmarkEnd w:id="2326"/>
    </w:p>
    <w:p>
      <w:bookmarkStart w:name="b_punto_c10_cap_10_p02" w:id="2327"/>
      <w:r>
        <w:t xml:space="preserve">Los P-círculos de inseguridad alimentaria identifican perspectivas económica, política y ambiental, sin detallar sus vistas.</w:t>
      </w:r>
      <w:bookmarkEnd w:id="2327"/>
    </w:p>
    <w:p>
      <w:bookmarkStart w:name="b_punto_c10_cap_10_p03" w:id="2328"/>
      <w:r>
        <w:t xml:space="preserve">Desde qué perspectivas se mira el asunto, sin detallar todavía qué observa cada una</w:t>
      </w:r>
      <w:bookmarkEnd w:id="2328"/>
    </w:p>
    <w:p>
      <w:bookmarkStart w:name="b_punto_c10_cap_10_p04" w:id="2329"/>
      <w:r>
        <w:t xml:space="preserve">La epidemia se descompone con S y se mira desde epidemiología, política y factores socioculturales, mediante puntos del color correspondiente.</w:t>
      </w:r>
      <w:bookmarkEnd w:id="2329"/>
    </w:p>
    <w:p>
      <w:bookmarkStart w:name="b_punto_c10_cap_10_p05" w:id="2330"/>
      <w:r>
        <w:t xml:space="preserve">Los puntos de colores permiten identificar conceptos distintos o compartidos entre perspectivas.</w:t>
      </w:r>
      <w:bookmarkEnd w:id="2330"/>
    </w:p>
    <w:p>
      <w:bookmarkStart w:name="b_punto_c10_cap_10_p06" w:id="2331"/>
      <w:r>
        <w:t xml:space="preserve">Se puede ampliar el mapa descomponiendo conceptos y agregando relaciones con las cuatro reglas.</w:t>
      </w:r>
      <w:bookmarkEnd w:id="2331"/>
    </w:p>
    <w:p>
      <w:pPr>
        <w:pStyle w:val="Heading3"/>
      </w:pPr>
      <w:bookmarkStart w:name="b_clase_3_2_c10_cap_11" w:id="2332"/>
      <w:r>
        <w:t xml:space="preserve">Clase 10 · 01:29:42–01:37:39 · Modelos mentales, notación y el mapa de la teoría de sistemas</w:t>
      </w:r>
      <w:bookmarkEnd w:id="2332"/>
    </w:p>
    <w:p>
      <w:bookmarkStart w:name="b_punto_c10_cap_11_p03" w:id="2333"/>
      <w:r>
        <w:t xml:space="preserve">Colapsar o expandir un subsistema funciona como zoom del nivel de detalle.</w:t>
      </w:r>
      <w:bookmarkEnd w:id="2333"/>
    </w:p>
    <w:p>
      <w:bookmarkStart w:name="b_punto_c10_cap_11_p04" w:id="2334"/>
      <w:r>
        <w:t xml:space="preserve">La notación se resume en recuadros, contención, flechas/líneas y pares de ojo/punto.</w:t>
      </w:r>
      <w:bookmarkEnd w:id="2334"/>
    </w:p>
    <w:p>
      <w:bookmarkStart w:name="b_punto_c10_cap_11_p05" w:id="2335"/>
      <w:r>
        <w:t xml:space="preserve">Que «Partes» es observada desde la perspectiva estructural/ontológica cuyo ojo es verde</w:t>
      </w:r>
      <w:bookmarkEnd w:id="2335"/>
    </w:p>
    <w:p>
      <w:bookmarkStart w:name="b_punto_c10_cap_11_p06" w:id="2336"/>
      <w:r>
        <w:t xml:space="preserve">Funcional destaca dinámica, genética evolución y ontológica constitución/relaciones de las partes.</w:t>
      </w:r>
      <w:bookmarkEnd w:id="2336"/>
    </w:p>
    <w:p>
      <w:pPr>
        <w:pStyle w:val="Fuente"/>
      </w:pPr>
      <w:r>
        <w:t xml:space="preserve">Véase </w:t>
      </w:r>
      <w:hyperlink w:history="1" w:anchor="b_3_1">
        <w:r>
          <w:rPr>
            <w:color w:val="156B70"/>
            <w:u w:val="single"/>
          </w:rPr>
          <w:t xml:space="preserve">capítulo 3.1 · Mapas sistémicos</w:t>
        </w:r>
      </w:hyperlink>
      <w:r>
        <w:t xml:space="preserve">, pág. </w:t>
      </w:r>
      <w:r>
        <w:fldChar w:fldCharType="begin"/>
        <w:instrText xml:space="preserve">PAGEREF b_3_1 \h</w:instrText>
        <w:fldChar w:fldCharType="separate"/>
        <w:t xml:space="preserve">379</w:t>
        <w:fldChar w:fldCharType="end"/>
      </w:r>
      <w:r>
        <w:t xml:space="preserve">.</w:t>
      </w:r>
    </w:p>
    <w:p>
      <w:pPr>
        <w:pStyle w:val="Heading3"/>
      </w:pPr>
      <w:bookmarkStart w:name="b_clase_3_2_c10_cap_12" w:id="2337"/>
      <w:r>
        <w:t xml:space="preserve">Clase 10 · 01:37:39–01:41:01 · Tarea y cierre</w:t>
      </w:r>
      <w:bookmarkEnd w:id="2337"/>
    </w:p>
    <w:p>
      <w:bookmarkStart w:name="b_punto_c10_cap_12_p02" w:id="2338"/>
      <w:r>
        <w:t xml:space="preserve">La tarea académica pide completar el mapa de universidad usando S, R y P con notación gráfica, sin reemplazarlo por ensayo.</w:t>
      </w:r>
      <w:bookmarkEnd w:id="2338"/>
    </w:p>
    <w:p>
      <w:pPr>
        <w:pStyle w:val="Fuente"/>
      </w:pPr>
      <w:r>
        <w:t xml:space="preserve">Véase </w:t>
      </w:r>
      <w:hyperlink w:history="1" w:anchor="b_senales_examen">
        <w:r>
          <w:rPr>
            <w:color w:val="156B70"/>
            <w:u w:val="single"/>
          </w:rPr>
          <w:t xml:space="preserve">1 indicación(es) de examen de este tramo, en el apéndice cronológico</w:t>
        </w:r>
      </w:hyperlink>
      <w:r>
        <w:t xml:space="preserve">, pág. </w:t>
      </w:r>
      <w:r>
        <w:fldChar w:fldCharType="begin"/>
        <w:instrText xml:space="preserve">PAGEREF b_senales_examen \h</w:instrText>
        <w:fldChar w:fldCharType="separate"/>
        <w:t xml:space="preserve">1663</w:t>
        <w:fldChar w:fldCharType="end"/>
      </w:r>
      <w:r>
        <w:t xml:space="preserve">.</w:t>
      </w:r>
    </w:p>
    <w:p>
      <w:pPr>
        <w:pStyle w:val="Fuente"/>
      </w:pPr>
      <w:r>
        <w:t xml:space="preserve">Véase </w:t>
      </w:r>
      <w:hyperlink w:history="1" w:anchor="b_3_1">
        <w:r>
          <w:rPr>
            <w:color w:val="156B70"/>
            <w:u w:val="single"/>
          </w:rPr>
          <w:t xml:space="preserve">capítulo 3.1 · Mapas sistémicos</w:t>
        </w:r>
      </w:hyperlink>
      <w:r>
        <w:t xml:space="preserve">, pág. </w:t>
      </w:r>
      <w:r>
        <w:fldChar w:fldCharType="begin"/>
        <w:instrText xml:space="preserve">PAGEREF b_3_1 \h</w:instrText>
        <w:fldChar w:fldCharType="separate"/>
        <w:t xml:space="preserve">379</w:t>
        <w:fldChar w:fldCharType="end"/>
      </w:r>
      <w:r>
        <w:t xml:space="preserve">.</w:t>
      </w:r>
    </w:p>
    <w:p>
      <w:pPr>
        <w:pStyle w:val="Heading3"/>
      </w:pPr>
      <w:bookmarkStart w:name="b_clase_3_2_c11_cap_01" w:id="2339"/>
      <w:r>
        <w:t xml:space="preserve">Clase 11 · 00:07:52–00:12:00 · Apertura: la tarea del mapa y las notas del parcial</w:t>
      </w:r>
      <w:bookmarkEnd w:id="2339"/>
    </w:p>
    <w:p>
      <w:bookmarkStart w:name="b_punto_c11_cap_01_p03" w:id="2340"/>
      <w:r>
        <w:t xml:space="preserve">Los rectángulos deben contener nombres de conceptos del sistema modelado.</w:t>
      </w:r>
      <w:bookmarkEnd w:id="2340"/>
    </w:p>
    <w:p>
      <w:pPr>
        <w:pStyle w:val="Heading3"/>
      </w:pPr>
      <w:bookmarkStart w:name="b_clase_3_2_c11_cap_02" w:id="2341"/>
      <w:r>
        <w:t xml:space="preserve">Clase 11 · 00:12:00–00:18:39 · Repaso de la notación y de la perspectiva implícita</w:t>
      </w:r>
      <w:bookmarkEnd w:id="2341"/>
    </w:p>
    <w:p>
      <w:bookmarkStart w:name="b_punto_c11_cap_02_p01" w:id="2342"/>
      <w:r>
        <w:t xml:space="preserve">El nombre del concepto es mínimo y la definición opcional puede añadirse en Plectica.</w:t>
      </w:r>
      <w:bookmarkEnd w:id="2342"/>
    </w:p>
    <w:p>
      <w:bookmarkStart w:name="b_punto_c11_cap_02_p02" w:id="2343"/>
      <w:r>
        <w:t xml:space="preserve">El ejemplo de TGS usa distinciones y relaciones: la cabeza de flecha indica efecto y la cola causa.</w:t>
      </w:r>
      <w:bookmarkEnd w:id="2343"/>
    </w:p>
    <w:p>
      <w:bookmarkStart w:name="b_punto_c11_cap_02_p03" w:id="2344"/>
      <w:r>
        <w:t xml:space="preserve">Los recuadros pequeños dentro del mayor representan partes del sistema.</w:t>
      </w:r>
      <w:bookmarkEnd w:id="2344"/>
    </w:p>
    <w:p>
      <w:bookmarkStart w:name="b_punto_c11_cap_02_p04" w:id="2345"/>
      <w:r>
        <w:t xml:space="preserve">Colores vinculan punto/vista: ontológica ve partes y relaciones; funcional dinámica/sinergia; genética evolución.</w:t>
      </w:r>
      <w:bookmarkEnd w:id="2345"/>
    </w:p>
    <w:p>
      <w:bookmarkStart w:name="b_punto_c11_cap_02_p05" w:id="2346"/>
      <w:r>
        <w:t xml:space="preserve">Sin ojos ni puntos permanece una perspectiva implícita: la del autor.</w:t>
      </w:r>
      <w:bookmarkEnd w:id="2346"/>
    </w:p>
    <w:p>
      <w:bookmarkStart w:name="b_punto_c11_cap_02_p06" w:id="2347"/>
      <w:r>
        <w:t xml:space="preserve">Explicitar perspectivas de personas, lugares, roles o disciplinas amplía la información del modelo.</w:t>
      </w:r>
      <w:bookmarkEnd w:id="2347"/>
    </w:p>
    <w:p>
      <w:pPr>
        <w:pStyle w:val="Heading3"/>
      </w:pPr>
      <w:bookmarkStart w:name="b_clase_3_2_c11_cap_03" w:id="2348"/>
      <w:r>
        <w:t xml:space="preserve">Clase 11 · 00:18:39–00:24:08 · Combinar las reglas y el medio de representación</w:t>
      </w:r>
      <w:bookmarkEnd w:id="2348"/>
    </w:p>
    <w:p>
      <w:bookmarkStart w:name="b_punto_c11_cap_03_p02" w:id="2349"/>
      <w:r>
        <w:t xml:space="preserve">Sistemas anidados y partes relacionadas se combinan; una disposición exterior por legibilidad no cambia por sí sola la pertenencia pensada.</w:t>
      </w:r>
      <w:bookmarkEnd w:id="2349"/>
    </w:p>
    <w:p>
      <w:bookmarkStart w:name="b_punto_c11_cap_03_p03" w:id="2350"/>
      <w:r>
        <w:t xml:space="preserve">Las relaciones causales y las de punto de vista se distinguen por su notación.</w:t>
      </w:r>
      <w:bookmarkEnd w:id="2350"/>
    </w:p>
    <w:p>
      <w:pPr>
        <w:pStyle w:val="Fuente"/>
      </w:pPr>
      <w:r>
        <w:t xml:space="preserve">Véase </w:t>
      </w:r>
      <w:hyperlink w:history="1" w:anchor="b_3_1">
        <w:r>
          <w:rPr>
            <w:color w:val="156B70"/>
            <w:u w:val="single"/>
          </w:rPr>
          <w:t xml:space="preserve">capítulo 3.1 · Mapas sistémicos</w:t>
        </w:r>
      </w:hyperlink>
      <w:r>
        <w:t xml:space="preserve">, pág. </w:t>
      </w:r>
      <w:r>
        <w:fldChar w:fldCharType="begin"/>
        <w:instrText xml:space="preserve">PAGEREF b_3_1 \h</w:instrText>
        <w:fldChar w:fldCharType="separate"/>
        <w:t xml:space="preserve">379</w:t>
        <w:fldChar w:fldCharType="end"/>
      </w:r>
      <w:r>
        <w:t xml:space="preserve">.</w:t>
      </w:r>
    </w:p>
    <w:p>
      <w:pPr>
        <w:pStyle w:val="Heading3"/>
      </w:pPr>
      <w:bookmarkStart w:name="b_clase_3_2_c11_cap_05" w:id="2351"/>
      <w:r>
        <w:t xml:space="preserve">Clase 11 · 00:29:27–00:37:29 · Barras: el sistema educativo y la teoría del mapa</w:t>
      </w:r>
      <w:bookmarkEnd w:id="2351"/>
    </w:p>
    <w:p>
      <w:bookmarkStart w:name="b_punto_c11_cap_05_p01" w:id="2352"/>
      <w:r>
        <w:t xml:space="preserve">Las barras pueden relacionar varias variables: maestra, padres, estudiante y temario; nombres generales admiten distintas instancias.</w:t>
      </w:r>
      <w:bookmarkEnd w:id="2352"/>
    </w:p>
    <w:p>
      <w:bookmarkStart w:name="b_punto_c11_cap_05_p03" w:id="2353"/>
      <w:r>
        <w:t xml:space="preserve">La maestra inspira al estudiante y enseña el temario; el estudiante aprende y el temario aporta conocimientos y marco de referencia.</w:t>
      </w:r>
      <w:bookmarkEnd w:id="2353"/>
    </w:p>
    <w:p>
      <w:bookmarkStart w:name="b_punto_c11_cap_05_p05" w:id="2354"/>
      <w:r>
        <w:t xml:space="preserve">La figura de poderes del Estado deja interrogantes en las relaciones y necesita distinguir sus nombres.</w:t>
      </w:r>
      <w:bookmarkEnd w:id="2354"/>
    </w:p>
    <w:p>
      <w:bookmarkStart w:name="b_punto_c11_cap_05_p06" w:id="2355"/>
      <w:r>
        <w:t xml:space="preserve">Clase 11 trabaja tres vínculos de la red educativa; la lectura de las seis barras se realiza desde C-2, pág. 24, sin atribuir una enumeración completa al audio.</w:t>
      </w:r>
      <w:bookmarkEnd w:id="2355"/>
    </w:p>
    <w:p>
      <w:pPr>
        <w:pStyle w:val="Fuente"/>
      </w:pPr>
      <w:r>
        <w:t xml:space="preserve">Véase </w:t>
      </w:r>
      <w:hyperlink w:history="1" w:anchor="b_3_1">
        <w:r>
          <w:rPr>
            <w:color w:val="156B70"/>
            <w:u w:val="single"/>
          </w:rPr>
          <w:t xml:space="preserve">capítulo 3.1 · Mapas sistémicos</w:t>
        </w:r>
      </w:hyperlink>
      <w:r>
        <w:t xml:space="preserve">, pág. </w:t>
      </w:r>
      <w:r>
        <w:fldChar w:fldCharType="begin"/>
        <w:instrText xml:space="preserve">PAGEREF b_3_1 \h</w:instrText>
        <w:fldChar w:fldCharType="separate"/>
        <w:t xml:space="preserve">379</w:t>
        <w:fldChar w:fldCharType="end"/>
      </w:r>
      <w:r>
        <w:t xml:space="preserve">.</w:t>
      </w:r>
    </w:p>
    <w:p>
      <w:pPr>
        <w:pStyle w:val="Heading3"/>
      </w:pPr>
      <w:bookmarkStart w:name="b_clase_3_2_c11_cap_06" w:id="2356"/>
      <w:r>
        <w:t xml:space="preserve">Clase 11 · 00:37:29–00:51:35 · Perspectivas múltiples, sub-perspectivas y analogías</w:t>
      </w:r>
      <w:bookmarkEnd w:id="2356"/>
    </w:p>
    <w:p>
      <w:bookmarkStart w:name="b_punto_c11_cap_06_p01" w:id="2357"/>
      <w:r>
        <w:t xml:space="preserve">El iPhone se mira desde diseñador, psicólogo y cliente para mostrar perspectivas técnicas, de situaciones y de uso.</w:t>
      </w:r>
      <w:bookmarkEnd w:id="2357"/>
    </w:p>
    <w:p>
      <w:bookmarkStart w:name="b_punto_c11_cap_06_p03" w:id="2358"/>
      <w:r>
        <w:t xml:space="preserve">Las sub-perspectivas aplican S al punto de vista, lado del ojo, y no sólo descomponen lo visto.</w:t>
      </w:r>
      <w:bookmarkEnd w:id="2358"/>
    </w:p>
    <w:p>
      <w:bookmarkStart w:name="b_punto_c11_cap_06_p04" w:id="2359"/>
      <w:r>
        <w:t xml:space="preserve">Viajar a San Francisco por avión, vehículo o tren ofrece variantes de la perspectiva viajar.</w:t>
      </w:r>
      <w:bookmarkEnd w:id="2359"/>
    </w:p>
    <w:p>
      <w:bookmarkStart w:name="b_punto_c11_cap_06_p05" w:id="2360"/>
      <w:r>
        <w:t xml:space="preserve">ConductorA, conductor B y aseguradora pueden ver diferente la culpabilidad de un accidente, como los roles de compra/venta de casa.</w:t>
      </w:r>
      <w:bookmarkEnd w:id="2360"/>
    </w:p>
    <w:p>
      <w:bookmarkStart w:name="b_punto_c11_cap_06_p07" w:id="2361"/>
      <w:r>
        <w:t xml:space="preserve">La analogía compara dos sistemas y empareja partes/relaciones: mundo–escenario, personas–actores y nacimientos/muertes–entradas/salidas.</w:t>
      </w:r>
      <w:bookmarkEnd w:id="2361"/>
    </w:p>
    <w:p>
      <w:bookmarkStart w:name="b_punto_c11_cap_06_p08" w:id="2362"/>
      <w:r>
        <w:t xml:space="preserve">Metáforas y símiles se presentan más abstractos; mundo=escenario no despliega todas las correspondencias de la analogía.</w:t>
      </w:r>
      <w:bookmarkEnd w:id="2362"/>
    </w:p>
    <w:p>
      <w:bookmarkStart w:name="b_punto_c11_cap_06_p09" w:id="2363"/>
      <w:r>
        <w:t xml:space="preserve">El contenedor Introducción organiza las secciones 1 y 2 como partes. Una curva de conexión tendría otra función y no es necesaria para expresar pertenencia.</w:t>
      </w:r>
      <w:bookmarkEnd w:id="2363"/>
    </w:p>
    <w:p>
      <w:bookmarkStart w:name="b_punto_c11_cap_06_p10" w:id="2364"/>
      <w:r>
        <w:t xml:space="preserve">Las curvas conectan partes del texto; ojo y punto explicitan desde dónde se mira y qué bloque se considera</w:t>
      </w:r>
      <w:bookmarkEnd w:id="2364"/>
    </w:p>
    <w:p>
      <w:pPr>
        <w:pStyle w:val="Fuente"/>
      </w:pPr>
      <w:r>
        <w:t xml:space="preserve">Véase </w:t>
      </w:r>
      <w:hyperlink w:history="1" w:anchor="b_3_1">
        <w:r>
          <w:rPr>
            <w:color w:val="156B70"/>
            <w:u w:val="single"/>
          </w:rPr>
          <w:t xml:space="preserve">capítulo 3.1 · Mapas sistémicos</w:t>
        </w:r>
      </w:hyperlink>
      <w:r>
        <w:t xml:space="preserve">, pág. </w:t>
      </w:r>
      <w:r>
        <w:fldChar w:fldCharType="begin"/>
        <w:instrText xml:space="preserve">PAGEREF b_3_1 \h</w:instrText>
        <w:fldChar w:fldCharType="separate"/>
        <w:t xml:space="preserve">379</w:t>
        <w:fldChar w:fldCharType="end"/>
      </w:r>
      <w:r>
        <w:t xml:space="preserve">.</w:t>
      </w:r>
    </w:p>
    <w:p>
      <w:pPr>
        <w:pStyle w:val="Heading3"/>
      </w:pPr>
      <w:bookmarkStart w:name="b_clase_3_2_c11_cap_08" w:id="2365"/>
      <w:r>
        <w:t xml:space="preserve">Clase 11 · 00:58:49–01:13:00 · Corrección en vivo del mapa de un estudiante</w:t>
      </w:r>
      <w:bookmarkEnd w:id="2365"/>
    </w:p>
    <w:p>
      <w:bookmarkStart w:name="b_punto_c11_cap_08_p02" w:id="2366"/>
      <w:r>
        <w:t xml:space="preserve">Agrupar distinciones por separado duplica conceptos y oculta cómo docentes, estudiantes y recursos se estructuran.</w:t>
      </w:r>
      <w:bookmarkEnd w:id="2366"/>
    </w:p>
    <w:p>
      <w:bookmarkStart w:name="b_punto_c11_cap_08_p03" w:id="2367"/>
      <w:r>
        <w:t xml:space="preserve">Las cuatro reglas organizan contenido; separarlas en bloques estudia la gramática, no el sistema universidad.</w:t>
      </w:r>
      <w:bookmarkEnd w:id="2367"/>
    </w:p>
    <w:p>
      <w:bookmarkStart w:name="b_punto_c11_cap_08_p04" w:id="2368"/>
      <w:r>
        <w:t xml:space="preserve">Facultades/carreras van dentro de universidad para expresar S; una línea hacia ellas declara relación causal.</w:t>
      </w:r>
      <w:bookmarkEnd w:id="2368"/>
    </w:p>
    <w:p>
      <w:bookmarkStart w:name="b_punto_c11_cap_08_p05" w:id="2369"/>
      <w:r>
        <w:t xml:space="preserve">D, S, R y P son estructura y no cajas cuyos nombres sustituyan los conceptos del sistema.</w:t>
      </w:r>
      <w:bookmarkEnd w:id="2369"/>
    </w:p>
    <w:p>
      <w:bookmarkStart w:name="b_punto_c11_cap_08_p06" w:id="2370"/>
      <w:r>
        <w:t xml:space="preserve">El contenido puede ser semánticamente reconocible y requerir corregir su sintaxis.</w:t>
      </w:r>
      <w:bookmarkEnd w:id="2370"/>
    </w:p>
    <w:p>
      <w:pPr>
        <w:pStyle w:val="Fuente"/>
      </w:pPr>
      <w:r>
        <w:t xml:space="preserve">Véase </w:t>
      </w:r>
      <w:hyperlink w:history="1" w:anchor="b_senales_examen">
        <w:r>
          <w:rPr>
            <w:color w:val="156B70"/>
            <w:u w:val="single"/>
          </w:rPr>
          <w:t xml:space="preserve">1 indicación(es) de examen de este tramo, en el apéndice cronológico</w:t>
        </w:r>
      </w:hyperlink>
      <w:r>
        <w:t xml:space="preserve">, pág. </w:t>
      </w:r>
      <w:r>
        <w:fldChar w:fldCharType="begin"/>
        <w:instrText xml:space="preserve">PAGEREF b_senales_examen \h</w:instrText>
        <w:fldChar w:fldCharType="separate"/>
        <w:t xml:space="preserve">1663</w:t>
        <w:fldChar w:fldCharType="end"/>
      </w:r>
      <w:r>
        <w:t xml:space="preserve">.</w:t>
      </w:r>
    </w:p>
    <w:p>
      <w:pPr>
        <w:pStyle w:val="Fuente"/>
      </w:pPr>
      <w:r>
        <w:t xml:space="preserve">Véase </w:t>
      </w:r>
      <w:hyperlink w:history="1" w:anchor="b_3_1">
        <w:r>
          <w:rPr>
            <w:color w:val="156B70"/>
            <w:u w:val="single"/>
          </w:rPr>
          <w:t xml:space="preserve">capítulo 3.1 · Mapas sistémicos</w:t>
        </w:r>
      </w:hyperlink>
      <w:r>
        <w:t xml:space="preserve">, pág. </w:t>
      </w:r>
      <w:r>
        <w:fldChar w:fldCharType="begin"/>
        <w:instrText xml:space="preserve">PAGEREF b_3_1 \h</w:instrText>
        <w:fldChar w:fldCharType="separate"/>
        <w:t xml:space="preserve">379</w:t>
        <w:fldChar w:fldCharType="end"/>
      </w:r>
      <w:r>
        <w:t xml:space="preserve">.</w:t>
      </w:r>
    </w:p>
    <w:p>
      <w:pPr>
        <w:pStyle w:val="Heading3"/>
      </w:pPr>
      <w:bookmarkStart w:name="b_clase_3_2_c11_cap_09" w:id="2371"/>
      <w:r>
        <w:t xml:space="preserve">Clase 11 · 01:13:00–01:34:07 · Reconstrucción del mapa de la Universidad de San Carlos</w:t>
      </w:r>
      <w:bookmarkEnd w:id="2371"/>
    </w:p>
    <w:p>
      <w:bookmarkStart w:name="b_punto_c11_cap_09_p01" w:id="2372"/>
      <w:r>
        <w:t xml:space="preserve">Se distingue universidad y educación secundaria; los bachilleres o aspirantes forman una entrada nombrada.</w:t>
      </w:r>
      <w:bookmarkEnd w:id="2372"/>
    </w:p>
    <w:p>
      <w:bookmarkStart w:name="b_punto_c11_cap_09_p02" w:id="2373"/>
      <w:r>
        <w:t xml:space="preserve">Dentro de universidad hay facultades, áreas administrativas, estudiantes universitarios y docentes, distintos de aspirantes externos.</w:t>
      </w:r>
      <w:bookmarkEnd w:id="2373"/>
    </w:p>
    <w:p>
      <w:bookmarkStart w:name="b_punto_c11_cap_09_p03" w:id="2374"/>
      <w:r>
        <w:t xml:space="preserve">Escuelas y colegios se descomponen como partes de educación secundaria.</w:t>
      </w:r>
      <w:bookmarkEnd w:id="2374"/>
    </w:p>
    <w:p>
      <w:bookmarkStart w:name="b_punto_c11_cap_09_p04" w:id="2375"/>
      <w:r>
        <w:t xml:space="preserve">Dos flechas muestran interdependencia: estudiantes aprenden de docentes y docentes enseñan a estudiantes.</w:t>
      </w:r>
      <w:bookmarkEnd w:id="2375"/>
    </w:p>
    <w:p>
      <w:bookmarkStart w:name="b_punto_c11_cap_09_p05" w:id="2376"/>
      <w:r>
        <w:t xml:space="preserve">Fuera de universidad, el sistema laboral recibe profesionales graduados como salida.</w:t>
      </w:r>
      <w:bookmarkEnd w:id="2376"/>
    </w:p>
    <w:p>
      <w:bookmarkStart w:name="b_punto_c11_cap_09_p06" w:id="2377"/>
      <w:r>
        <w:t xml:space="preserve">Ingeniería, medicina y arquitectura detallan facultades con distinciones y contención simultáneas.</w:t>
      </w:r>
      <w:bookmarkEnd w:id="2377"/>
    </w:p>
    <w:p>
      <w:bookmarkStart w:name="b_punto_c11_cap_09_p08" w:id="2378"/>
      <w:r>
        <w:t xml:space="preserve">Se explicita la perspectiva del modelador y la perspectiva interna de un docente sobre estudiantes y facultad.</w:t>
      </w:r>
      <w:bookmarkEnd w:id="2378"/>
    </w:p>
    <w:p>
      <w:bookmarkStart w:name="b_punto_c11_cap_09_p09" w:id="2379"/>
      <w:r>
        <w:t xml:space="preserve">La perspectiva externa del gobierno sobre presupuesto del Estado obliga a especificar USAC y no generalizarlo a todas las universidades.</w:t>
      </w:r>
      <w:bookmarkEnd w:id="2379"/>
    </w:p>
    <w:p>
      <w:pPr>
        <w:pStyle w:val="Fuente"/>
      </w:pPr>
      <w:r>
        <w:t xml:space="preserve">Véase </w:t>
      </w:r>
      <w:hyperlink w:history="1" w:anchor="b_3_1">
        <w:r>
          <w:rPr>
            <w:color w:val="156B70"/>
            <w:u w:val="single"/>
          </w:rPr>
          <w:t xml:space="preserve">capítulo 3.1 · Mapas sistémicos</w:t>
        </w:r>
      </w:hyperlink>
      <w:r>
        <w:t xml:space="preserve">, pág. </w:t>
      </w:r>
      <w:r>
        <w:fldChar w:fldCharType="begin"/>
        <w:instrText xml:space="preserve">PAGEREF b_3_1 \h</w:instrText>
        <w:fldChar w:fldCharType="separate"/>
        <w:t xml:space="preserve">379</w:t>
        <w:fldChar w:fldCharType="end"/>
      </w:r>
      <w:r>
        <w:t xml:space="preserve">.</w:t>
      </w:r>
    </w:p>
    <w:p>
      <w:pPr>
        <w:pStyle w:val="Heading3"/>
      </w:pPr>
      <w:bookmarkStart w:name="b_clase_3_2_c11_cap_10" w:id="2380"/>
      <w:r>
        <w:t xml:space="preserve">Clase 11 · 01:34:07–01:42:02 · Cierre: relaciones significativas y anuncios</w:t>
      </w:r>
      <w:bookmarkEnd w:id="2380"/>
    </w:p>
    <w:p>
      <w:bookmarkStart w:name="b_punto_c11_cap_10_p01" w:id="2381"/>
      <w:r>
        <w:t xml:space="preserve">Los cuatro subdiagramas por regla son un error recurrente: el mapa debe representar universidad, partes, entradas, salidas y perspectivas.</w:t>
      </w:r>
      <w:bookmarkEnd w:id="2381"/>
    </w:p>
    <w:p>
      <w:pPr>
        <w:pStyle w:val="Fuente"/>
      </w:pPr>
      <w:r>
        <w:t xml:space="preserve">Véase </w:t>
      </w:r>
      <w:hyperlink w:history="1" w:anchor="b_3_1">
        <w:r>
          <w:rPr>
            <w:color w:val="156B70"/>
            <w:u w:val="single"/>
          </w:rPr>
          <w:t xml:space="preserve">capítulo 3.1 · Mapas sistémicos</w:t>
        </w:r>
      </w:hyperlink>
      <w:r>
        <w:t xml:space="preserve">, pág. </w:t>
      </w:r>
      <w:r>
        <w:fldChar w:fldCharType="begin"/>
        <w:instrText xml:space="preserve">PAGEREF b_3_1 \h</w:instrText>
        <w:fldChar w:fldCharType="separate"/>
        <w:t xml:space="preserve">379</w:t>
        <w:fldChar w:fldCharType="end"/>
      </w:r>
      <w:r>
        <w:t xml:space="preserve">.</w:t>
      </w:r>
    </w:p>
    <w:p>
      <w:pPr>
        <w:pStyle w:val="Fuente"/>
      </w:pPr>
      <w:r>
        <w:t xml:space="preserve">Véase </w:t>
      </w:r>
      <w:hyperlink w:history="1" w:anchor="b_3_9">
        <w:r>
          <w:rPr>
            <w:color w:val="156B70"/>
            <w:u w:val="single"/>
          </w:rPr>
          <w:t xml:space="preserve">capítulo 3.9 · Hábitos (complejo)</w:t>
        </w:r>
      </w:hyperlink>
      <w:r>
        <w:t xml:space="preserve">, pág. </w:t>
      </w:r>
      <w:r>
        <w:fldChar w:fldCharType="begin"/>
        <w:instrText xml:space="preserve">PAGEREF b_3_9 \h</w:instrText>
        <w:fldChar w:fldCharType="separate"/>
        <w:t xml:space="preserve">622</w:t>
        <w:fldChar w:fldCharType="end"/>
      </w:r>
      <w:r>
        <w:t xml:space="preserve">.</w:t>
      </w:r>
    </w:p>
    <w:p>
      <w:pPr>
        <w:pStyle w:val="Fuente"/>
      </w:pPr>
      <w:r>
        <w:t xml:space="preserve">Véase </w:t>
      </w:r>
      <w:hyperlink w:history="1" w:anchor="b_3_4">
        <w:r>
          <w:rPr>
            <w:color w:val="156B70"/>
            <w:u w:val="single"/>
          </w:rPr>
          <w:t xml:space="preserve">capítulo 3.4 · Interdependencias sistémicas</w:t>
        </w:r>
      </w:hyperlink>
      <w:r>
        <w:t xml:space="preserve">, pág. </w:t>
      </w:r>
      <w:r>
        <w:fldChar w:fldCharType="begin"/>
        <w:instrText xml:space="preserve">PAGEREF b_3_4 \h</w:instrText>
        <w:fldChar w:fldCharType="separate"/>
        <w:t xml:space="preserve">476</w:t>
        <w:fldChar w:fldCharType="end"/>
      </w:r>
      <w:r>
        <w:t xml:space="preserve">.</w:t>
      </w:r>
    </w:p>
    <w:p>
      <w:pPr>
        <w:pStyle w:val="Heading3"/>
      </w:pPr>
      <w:bookmarkStart w:name="b_clase_3_2_c12_cap_02" w:id="2382"/>
      <w:r>
        <w:t xml:space="preserve">Clase 12 · 00:09:44–00:13:59 · Entregas de la tarea y anuncio de una segunda</w:t>
      </w:r>
      <w:bookmarkEnd w:id="2382"/>
    </w:p>
    <w:p>
      <w:bookmarkStart w:name="b_punto_c12_cap_02_p02" w:id="2383"/>
      <w:r>
        <w:t xml:space="preserve">Hacer mapas DSRP es modelar sistemas utilizando una sintaxis gráfica.</w:t>
      </w:r>
      <w:bookmarkEnd w:id="2383"/>
    </w:p>
    <w:p>
      <w:bookmarkStart w:name="b_punto_c12_cap_02_p03" w:id="2384"/>
      <w:r>
        <w:t xml:space="preserve">La revisión de trabajos aclara qué es modelar y cómo se usa la notación.</w:t>
      </w:r>
      <w:bookmarkEnd w:id="2384"/>
    </w:p>
    <w:p>
      <w:pPr>
        <w:pStyle w:val="Fuente"/>
      </w:pPr>
      <w:r>
        <w:t xml:space="preserve">Véase </w:t>
      </w:r>
      <w:hyperlink w:history="1" w:anchor="b_3_1">
        <w:r>
          <w:rPr>
            <w:color w:val="156B70"/>
            <w:u w:val="single"/>
          </w:rPr>
          <w:t xml:space="preserve">capítulo 3.1 · Mapas sistémicos</w:t>
        </w:r>
      </w:hyperlink>
      <w:r>
        <w:t xml:space="preserve">, pág. </w:t>
      </w:r>
      <w:r>
        <w:fldChar w:fldCharType="begin"/>
        <w:instrText xml:space="preserve">PAGEREF b_3_1 \h</w:instrText>
        <w:fldChar w:fldCharType="separate"/>
        <w:t xml:space="preserve">379</w:t>
        <w:fldChar w:fldCharType="end"/>
      </w:r>
      <w:r>
        <w:t xml:space="preserve">.</w:t>
      </w:r>
    </w:p>
    <w:p>
      <w:pPr>
        <w:pStyle w:val="Heading3"/>
      </w:pPr>
      <w:bookmarkStart w:name="b_clase_3_2_c12_cap_03" w:id="2385"/>
      <w:r>
        <w:t xml:space="preserve">Clase 12 · 00:13:59–00:34:17 · Revisión de los mapas entregados</w:t>
      </w:r>
      <w:bookmarkEnd w:id="2385"/>
    </w:p>
    <w:p>
      <w:bookmarkStart w:name="b_punto_c12_cap_03_p01" w:id="2386"/>
      <w:r>
        <w:t xml:space="preserve">El mapa integra las operaciones en conceptos de universidad: deporte, salud, consejo, investigación y administración.</w:t>
      </w:r>
      <w:bookmarkEnd w:id="2386"/>
    </w:p>
    <w:p>
      <w:bookmarkStart w:name="b_punto_c12_cap_03_p02" w:id="2387"/>
      <w:r>
        <w:t xml:space="preserve">Entradas/salidas, becas, enseñanza y ojos/puntos evidencian las reglas; se acepta incompleto si conserva notación.</w:t>
      </w:r>
      <w:bookmarkEnd w:id="2387"/>
    </w:p>
    <w:p>
      <w:bookmarkStart w:name="b_punto_c12_cap_03_p03" w:id="2388"/>
      <w:r>
        <w:t xml:space="preserve">El concepto central debe nombrar universidad o sistema universitario y no el genérico sistema.</w:t>
      </w:r>
      <w:bookmarkEnd w:id="2388"/>
    </w:p>
    <w:p>
      <w:bookmarkStart w:name="b_punto_c12_cap_03_p04" w:id="2389"/>
      <w:r>
        <w:t xml:space="preserve">Agrupar D, S, R y P como contenido separado desplaza el énfasis del sistema a las operaciones mentales.</w:t>
      </w:r>
      <w:bookmarkEnd w:id="2389"/>
    </w:p>
    <w:p>
      <w:bookmarkStart w:name="b_punto_c12_cap_03_p05" w:id="2390"/>
      <w:r>
        <w:t xml:space="preserve">La sintaxis se mantiene también a mano: nombres=D, contención=S, líneas/flechas=R y ojo/punto=P.</w:t>
      </w:r>
      <w:bookmarkEnd w:id="2390"/>
    </w:p>
    <w:p>
      <w:bookmarkStart w:name="b_punto_c12_cap_03_p06" w:id="2391"/>
      <w:r>
        <w:t xml:space="preserve">Puede usarse un concepto central sin caja superior y perspectivas con sub-perspectivas si mantiene la notación.</w:t>
      </w:r>
      <w:bookmarkEnd w:id="2391"/>
    </w:p>
    <w:p>
      <w:bookmarkStart w:name="b_punto_c12_cap_03_p07" w:id="2392"/>
      <w:r>
        <w:t xml:space="preserve">Administración puede relacionarse con finanzas, servicios y recursos humanos según la perspectiva y los conceptos del autor.</w:t>
      </w:r>
      <w:bookmarkEnd w:id="2392"/>
    </w:p>
    <w:p>
      <w:bookmarkStart w:name="b_punto_c12_cap_03_p08" w:id="2393"/>
      <w:r>
        <w:t xml:space="preserve">Comparar mapas permite integrar contención de uno y relaciones de otro para ampliar comprensión.</w:t>
      </w:r>
      <w:bookmarkEnd w:id="2393"/>
    </w:p>
    <w:p>
      <w:pPr>
        <w:pStyle w:val="Fuente"/>
      </w:pPr>
      <w:r>
        <w:t xml:space="preserve">Véase </w:t>
      </w:r>
      <w:hyperlink w:history="1" w:anchor="b_senales_examen">
        <w:r>
          <w:rPr>
            <w:color w:val="156B70"/>
            <w:u w:val="single"/>
          </w:rPr>
          <w:t xml:space="preserve">2 indicación(es) de examen de este tramo, en el apéndice cronológico</w:t>
        </w:r>
      </w:hyperlink>
      <w:r>
        <w:t xml:space="preserve">, pág. </w:t>
      </w:r>
      <w:r>
        <w:fldChar w:fldCharType="begin"/>
        <w:instrText xml:space="preserve">PAGEREF b_senales_examen \h</w:instrText>
        <w:fldChar w:fldCharType="separate"/>
        <w:t xml:space="preserve">1663</w:t>
        <w:fldChar w:fldCharType="end"/>
      </w:r>
      <w:r>
        <w:t xml:space="preserve">.</w:t>
      </w:r>
    </w:p>
    <w:p>
      <w:pPr>
        <w:pStyle w:val="Heading3"/>
      </w:pPr>
      <w:bookmarkStart w:name="b_clase_3_2_c12_cap_07" w:id="2394"/>
      <w:r>
        <w:t xml:space="preserve">Clase 12 · 01:03:35–01:12:41 · El primer diagrama de ciclos causales</w:t>
      </w:r>
      <w:bookmarkEnd w:id="2394"/>
    </w:p>
    <w:p>
      <w:bookmarkStart w:name="b_punto_c12_cap_07_p01" w:id="2395"/>
      <w:r>
        <w:t xml:space="preserve">Se reconstruye el ciclo ordenado en Plectica desde semillas, raíces, tallo y ramas.</w:t>
      </w:r>
      <w:bookmarkEnd w:id="2395"/>
    </w:p>
    <w:p>
      <w:pPr>
        <w:pStyle w:val="Fuente"/>
      </w:pPr>
      <w:r>
        <w:t xml:space="preserve">Véase </w:t>
      </w:r>
      <w:hyperlink w:history="1" w:anchor="b_3_4">
        <w:r>
          <w:rPr>
            <w:color w:val="156B70"/>
            <w:u w:val="single"/>
          </w:rPr>
          <w:t xml:space="preserve">capítulo 3.4 · Interdependencias sistémicas</w:t>
        </w:r>
      </w:hyperlink>
      <w:r>
        <w:t xml:space="preserve">, pág. </w:t>
      </w:r>
      <w:r>
        <w:fldChar w:fldCharType="begin"/>
        <w:instrText xml:space="preserve">PAGEREF b_3_4 \h</w:instrText>
        <w:fldChar w:fldCharType="separate"/>
        <w:t xml:space="preserve">476</w:t>
        <w:fldChar w:fldCharType="end"/>
      </w:r>
      <w:r>
        <w:t xml:space="preserve">.</w:t>
      </w:r>
    </w:p>
    <w:p>
      <w:pPr>
        <w:pStyle w:val="Fuente"/>
      </w:pPr>
      <w:r>
        <w:t xml:space="preserve">Véase </w:t>
      </w:r>
      <w:hyperlink w:history="1" w:anchor="b_3_1">
        <w:r>
          <w:rPr>
            <w:color w:val="156B70"/>
            <w:u w:val="single"/>
          </w:rPr>
          <w:t xml:space="preserve">capítulo 3.1 · Mapas sistémicos</w:t>
        </w:r>
      </w:hyperlink>
      <w:r>
        <w:t xml:space="preserve">, pág. </w:t>
      </w:r>
      <w:r>
        <w:fldChar w:fldCharType="begin"/>
        <w:instrText xml:space="preserve">PAGEREF b_3_1 \h</w:instrText>
        <w:fldChar w:fldCharType="separate"/>
        <w:t xml:space="preserve">379</w:t>
        <w:fldChar w:fldCharType="end"/>
      </w:r>
      <w:r>
        <w:t xml:space="preserve">.</w:t>
      </w:r>
    </w:p>
    <w:p>
      <w:pPr>
        <w:pStyle w:val="Heading3"/>
      </w:pPr>
      <w:bookmarkStart w:name="b_clase_3_2_c14_cap_07" w:id="2396"/>
      <w:r>
        <w:t xml:space="preserve">Clase 14 · 00:53:47–01:03:33 · Diagrama causal frente a mapa DSRP</w:t>
      </w:r>
      <w:bookmarkEnd w:id="2396"/>
    </w:p>
    <w:p>
      <w:bookmarkStart w:name="b_punto_c14_cap_07_p01" w:id="2397"/>
      <w:r>
        <w:t xml:space="preserve">DSRP tiene notación explícita de contención y perspectivas; DCC concentra variables, flechas y polaridades para la estructura dinámica, dejando sistemas y perspectivas implícitos.</w:t>
      </w:r>
      <w:bookmarkEnd w:id="2397"/>
    </w:p>
    <w:p>
      <w:bookmarkStart w:name="b_punto_c14_cap_07_p02" w:id="2398"/>
      <w:r>
        <w:t xml:space="preserve">El modelo de población acopla nacimientos como R y muertes como B; las letras del centro distinguen la polaridad global de los signos de cada flecha.</w:t>
      </w:r>
      <w:bookmarkEnd w:id="2398"/>
    </w:p>
    <w:p>
      <w:bookmarkStart w:name="b_punto_c14_cap_07_p03" w:id="2399"/>
      <w:r>
        <w:t xml:space="preserve">Las tasas pueden provenir de un estudio estadístico y refieren una unidad temporal; no son automáticamente la población ni la cifra acumulada.</w:t>
      </w:r>
      <w:bookmarkEnd w:id="2399"/>
    </w:p>
    <w:p>
      <w:bookmarkStart w:name="b_punto_c14_cap_07_p04" w:id="2400"/>
      <w:r>
        <w:t xml:space="preserve">La población crece cuando nacimientos superan muertes y puede disminuir en la condición inversa; reconocer R y B no fija una trayectoria única sin atender sus valores y relaciones.</w:t>
      </w:r>
      <w:bookmarkEnd w:id="2400"/>
    </w:p>
    <w:p>
      <w:pPr>
        <w:pStyle w:val="Fuente"/>
      </w:pPr>
      <w:r>
        <w:t xml:space="preserve">Véase </w:t>
      </w:r>
      <w:hyperlink w:history="1" w:anchor="b_3_5">
        <w:r>
          <w:rPr>
            <w:color w:val="156B70"/>
            <w:u w:val="single"/>
          </w:rPr>
          <w:t xml:space="preserve">capítulo 3.5 · Refuerzo y compensación</w:t>
        </w:r>
      </w:hyperlink>
      <w:r>
        <w:t xml:space="preserve">, pág. </w:t>
      </w:r>
      <w:r>
        <w:fldChar w:fldCharType="begin"/>
        <w:instrText xml:space="preserve">PAGEREF b_3_5 \h</w:instrText>
        <w:fldChar w:fldCharType="separate"/>
        <w:t xml:space="preserve">501</w:t>
        <w:fldChar w:fldCharType="end"/>
      </w:r>
      <w:r>
        <w:t xml:space="preserve">.</w:t>
      </w:r>
    </w:p>
    <w:p>
      <w:pPr>
        <w:pStyle w:val="Fuente"/>
      </w:pPr>
      <w:r>
        <w:t xml:space="preserve">Véase </w:t>
      </w:r>
      <w:hyperlink w:history="1" w:anchor="b_3_8">
        <w:r>
          <w:rPr>
            <w:color w:val="156B70"/>
            <w:u w:val="single"/>
          </w:rPr>
          <w:t xml:space="preserve">capítulo 3.8 · Patrones y tendencias</w:t>
        </w:r>
      </w:hyperlink>
      <w:r>
        <w:t xml:space="preserve">, pág. </w:t>
      </w:r>
      <w:r>
        <w:fldChar w:fldCharType="begin"/>
        <w:instrText xml:space="preserve">PAGEREF b_3_8 \h</w:instrText>
        <w:fldChar w:fldCharType="separate"/>
        <w:t xml:space="preserve">597</w:t>
        <w:fldChar w:fldCharType="end"/>
      </w:r>
      <w:r>
        <w:t xml:space="preserve">.</w:t>
      </w:r>
    </w:p>
    <w:p>
      <w:pPr>
        <w:pStyle w:val="Heading3"/>
      </w:pPr>
      <w:bookmarkStart w:name="b_clase_3_2_c15_cap_10" w:id="2401"/>
      <w:r>
        <w:t xml:space="preserve">Clase 15 · 01:25:51–01:42:38 · Las demoras y su notación</w:t>
      </w:r>
      <w:bookmarkEnd w:id="2401"/>
    </w:p>
    <w:p>
      <w:bookmarkStart w:name="b_punto_c15_cap_10_p05" w:id="2402"/>
      <w:r>
        <w:t xml:space="preserve">Ejercicio→condición física lleva demora; condición→satisfacción→motivación→ejercicio sostiene un refuerzo, pero la falta de resultado visible puede llevar a abandonar.</w:t>
      </w:r>
      <w:bookmarkEnd w:id="2402"/>
    </w:p>
    <w:p>
      <w:bookmarkStart w:name="b_punto_c15_cap_10_p10" w:id="2403"/>
      <w:r>
        <w:t xml:space="preserve">Se proyecta la historia de Ana y se pide diagramarla; todavía no se resuelve la ampliación.</w:t>
      </w:r>
      <w:bookmarkEnd w:id="2403"/>
    </w:p>
    <w:p>
      <w:pPr>
        <w:pStyle w:val="Fuente"/>
      </w:pPr>
      <w:r>
        <w:t xml:space="preserve">Véase </w:t>
      </w:r>
      <w:hyperlink w:history="1" w:anchor="b_3_7">
        <w:r>
          <w:rPr>
            <w:color w:val="156B70"/>
            <w:u w:val="single"/>
          </w:rPr>
          <w:t xml:space="preserve">capítulo 3.7 · Demoras de tiempo</w:t>
        </w:r>
      </w:hyperlink>
      <w:r>
        <w:t xml:space="preserve">, pág. </w:t>
      </w:r>
      <w:r>
        <w:fldChar w:fldCharType="begin"/>
        <w:instrText xml:space="preserve">PAGEREF b_3_7 \h</w:instrText>
        <w:fldChar w:fldCharType="separate"/>
        <w:t xml:space="preserve">580</w:t>
        <w:fldChar w:fldCharType="end"/>
      </w:r>
      <w:r>
        <w:t xml:space="preserve">.</w:t>
      </w:r>
    </w:p>
    <w:p>
      <w:pPr>
        <w:pStyle w:val="Fuente"/>
      </w:pPr>
      <w:r>
        <w:t xml:space="preserve">Véase </w:t>
      </w:r>
      <w:hyperlink w:history="1" w:anchor="b_3_6">
        <w:r>
          <w:rPr>
            <w:color w:val="156B70"/>
            <w:u w:val="single"/>
          </w:rPr>
          <w:t xml:space="preserve">capítulo 3.6 · Modelación dinámica</w:t>
        </w:r>
      </w:hyperlink>
      <w:r>
        <w:t xml:space="preserve">, pág. </w:t>
      </w:r>
      <w:r>
        <w:fldChar w:fldCharType="begin"/>
        <w:instrText xml:space="preserve">PAGEREF b_3_6 \h</w:instrText>
        <w:fldChar w:fldCharType="separate"/>
        <w:t xml:space="preserve">537</w:t>
        <w:fldChar w:fldCharType="end"/>
      </w:r>
      <w:r>
        <w:t xml:space="preserve">.</w:t>
      </w:r>
    </w:p>
    <w:p>
      <w:pPr>
        <w:pStyle w:val="Fuente"/>
      </w:pPr>
      <w:r>
        <w:t xml:space="preserve">Véase </w:t>
      </w:r>
      <w:hyperlink w:history="1" w:anchor="b_3_8">
        <w:r>
          <w:rPr>
            <w:color w:val="156B70"/>
            <w:u w:val="single"/>
          </w:rPr>
          <w:t xml:space="preserve">capítulo 3.8 · Patrones y tendencias</w:t>
        </w:r>
      </w:hyperlink>
      <w:r>
        <w:t xml:space="preserve">, pág. </w:t>
      </w:r>
      <w:r>
        <w:fldChar w:fldCharType="begin"/>
        <w:instrText xml:space="preserve">PAGEREF b_3_8 \h</w:instrText>
        <w:fldChar w:fldCharType="separate"/>
        <w:t xml:space="preserve">597</w:t>
        <w:fldChar w:fldCharType="end"/>
      </w:r>
      <w:r>
        <w:t xml:space="preserve">.</w:t>
      </w:r>
    </w:p>
    <w:p>
      <w:pPr>
        <w:pStyle w:val="Heading3"/>
      </w:pPr>
      <w:bookmarkStart w:name="b_cita_clase_10_distincion_rect_770262e3" w:id="2404"/>
      <w:r>
        <w:t xml:space="preserve">Palabras del profesor</w:t>
      </w:r>
      <w:bookmarkEnd w:id="2404"/>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El profesor lo dijo así</w:t>
            </w:r>
          </w:p>
          <w:p>
            <w:pPr>
              <w:pStyle w:val="Recuadro"/>
            </w:pPr>
            <w:r>
              <w:t xml:space="preserve">«Para un concepto, una distinción, vamos a utilizar un rectángulo, un cuadrado, y dentro de este vamos a poner un nombre.»</w:t>
            </w:r>
          </w:p>
          <w:p>
            <w:pPr>
              <w:pStyle w:val="Recuadro"/>
            </w:pPr>
            <w:r>
              <w:t xml:space="preserve">Clase 10 · 00:41:00–00:41:34</w:t>
            </w:r>
          </w:p>
        </w:tc>
      </w:tr>
    </w:tbl>
    <w:p>
      <w:pPr>
        <w:pStyle w:val="Heading3"/>
      </w:pPr>
      <w:bookmarkStart w:name="b_cita_clase_10_regla_de_sistem_48e80da8" w:id="2405"/>
      <w:r>
        <w:t xml:space="preserve">Palabras del profesor</w:t>
      </w:r>
      <w:bookmarkEnd w:id="2405"/>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El profesor lo dijo así</w:t>
            </w:r>
          </w:p>
          <w:p>
            <w:pPr>
              <w:pStyle w:val="Recuadro"/>
            </w:pPr>
            <w:r>
              <w:t xml:space="preserve">«La estructura ya es aplicando la regla de sistemas: un todo se compone de partes, o unas partes están dentro de algún todo mayor, que sería el sistema al cual pertenece.»</w:t>
            </w:r>
          </w:p>
          <w:p>
            <w:pPr>
              <w:pStyle w:val="Recuadro"/>
            </w:pPr>
            <w:r>
              <w:t xml:space="preserve">Clase 10 · 00:50:00–00:50:26</w:t>
            </w:r>
          </w:p>
        </w:tc>
      </w:tr>
    </w:tbl>
    <w:p>
      <w:pPr>
        <w:pStyle w:val="Heading3"/>
      </w:pPr>
      <w:bookmarkStart w:name="b_cita_clase_10_cabeza_de_flech_48328dc8" w:id="2406"/>
      <w:r>
        <w:t xml:space="preserve">Palabras del profesor</w:t>
      </w:r>
      <w:bookmarkEnd w:id="2406"/>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El profesor lo dijo así</w:t>
            </w:r>
          </w:p>
          <w:p>
            <w:pPr>
              <w:pStyle w:val="Recuadro"/>
            </w:pPr>
            <w:r>
              <w:t xml:space="preserve">«Cuando le ponemos una cabeza de flecha, la cabeza distingue que la idea a la cual apunta es el efecto, el resultado que se ve afectado por la causa, la idea que está en la cola de la flecha.»</w:t>
            </w:r>
          </w:p>
          <w:p>
            <w:pPr>
              <w:pStyle w:val="Recuadro"/>
            </w:pPr>
            <w:r>
              <w:t xml:space="preserve">Clase 10 · 00:53:35–00:54:06</w:t>
            </w:r>
          </w:p>
        </w:tc>
      </w:tr>
    </w:tbl>
    <w:p>
      <w:pPr>
        <w:pStyle w:val="Heading3"/>
      </w:pPr>
      <w:bookmarkStart w:name="b_cita_clase_10_perspectiva_tie_cc2e5bce" w:id="2407"/>
      <w:r>
        <w:t xml:space="preserve">Palabras del profesor</w:t>
      </w:r>
      <w:bookmarkEnd w:id="2407"/>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El profesor lo dijo así</w:t>
            </w:r>
          </w:p>
          <w:p>
            <w:pPr>
              <w:pStyle w:val="Recuadro"/>
            </w:pPr>
            <w:r>
              <w:t xml:space="preserve">«La regla de perspectivas tiene dos componentes, igual que la de sistemas, el todo y la parte, o la de relación, la causa y el efecto: el punto de vista desde dónde se ve y lo que se ve.»</w:t>
            </w:r>
          </w:p>
          <w:p>
            <w:pPr>
              <w:pStyle w:val="Recuadro"/>
            </w:pPr>
            <w:r>
              <w:t xml:space="preserve">Clase 10 · 01:22:37–01:22:58</w:t>
            </w:r>
          </w:p>
        </w:tc>
      </w:tr>
    </w:tbl>
    <w:p>
      <w:pPr>
        <w:pStyle w:val="Heading3"/>
      </w:pPr>
      <w:bookmarkStart w:name="b_cita_clase_11_perspectiva_imp_9ffe7a58" w:id="2408"/>
      <w:r>
        <w:t xml:space="preserve">Palabras del profesor</w:t>
      </w:r>
      <w:bookmarkEnd w:id="2408"/>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El profesor lo dijo así</w:t>
            </w:r>
          </w:p>
          <w:p>
            <w:pPr>
              <w:pStyle w:val="Recuadro"/>
            </w:pPr>
            <w:r>
              <w:t xml:space="preserve">«Lo que está inmerso en un diagrama es solo una única perspectiva, que es la perspectiva implícita desde la cual hacemos un diagrama, que será la perspectiva del autor del mapa, implícita porque no deja explícita ninguna perspectiva.»</w:t>
            </w:r>
          </w:p>
          <w:p>
            <w:pPr>
              <w:pStyle w:val="Recuadro"/>
            </w:pPr>
            <w:r>
              <w:t xml:space="preserve">Clase 11 · 00:17:22–00:17:49</w:t>
            </w:r>
          </w:p>
        </w:tc>
      </w:tr>
    </w:tbl>
    <w:p>
      <w:pPr>
        <w:pStyle w:val="Heading3"/>
      </w:pPr>
      <w:bookmarkStart w:name="b_cita_clase_11_estructura_inme_f4eac3e7" w:id="2409"/>
      <w:r>
        <w:t xml:space="preserve">Palabras del profesor</w:t>
      </w:r>
      <w:bookmarkEnd w:id="2409"/>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El profesor lo dijo así</w:t>
            </w:r>
          </w:p>
          <w:p>
            <w:pPr>
              <w:pStyle w:val="Recuadro"/>
            </w:pPr>
            <w:r>
              <w:t xml:space="preserve">«Es muy importante que seamos conscientes que, cuando estamos modelando, la estructura sistémica va inmersa en el contenido informacional del sistema que estamos modelando.»</w:t>
            </w:r>
          </w:p>
          <w:p>
            <w:pPr>
              <w:pStyle w:val="Recuadro"/>
            </w:pPr>
            <w:r>
              <w:t xml:space="preserve">Clase 11 · 01:09:36–01:10:04</w:t>
            </w:r>
          </w:p>
        </w:tc>
      </w:tr>
    </w:tbl>
    <w:p>
      <w:pPr>
        <w:pStyle w:val="Heading3"/>
      </w:pPr>
      <w:bookmarkStart w:name="b_cita_clase_11_error_de_los_cu_5281462e" w:id="2410"/>
      <w:r>
        <w:t xml:space="preserve">Palabras del profesor</w:t>
      </w:r>
      <w:bookmarkEnd w:id="2410"/>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El profesor lo dijo así</w:t>
            </w:r>
          </w:p>
          <w:p>
            <w:pPr>
              <w:pStyle w:val="Recuadro"/>
            </w:pPr>
            <w:r>
              <w:t xml:space="preserve">«Eso sí ha sido un error que siempre he visto todos los semestres: hay quienes hacen un diagrama como si fueran cuatro subdiagramas; su énfasis es más la sintaxis gráfica que el modelo.»</w:t>
            </w:r>
          </w:p>
          <w:p>
            <w:pPr>
              <w:pStyle w:val="Recuadro"/>
            </w:pPr>
            <w:r>
              <w:t xml:space="preserve">Clase 11 · 01:34:11–01:34:36</w:t>
            </w:r>
          </w:p>
        </w:tc>
      </w:tr>
    </w:tbl>
    <w:p>
      <w:pPr>
        <w:pStyle w:val="Heading3"/>
      </w:pPr>
      <w:bookmarkStart w:name="b_cita_clase_12_sintaxis_grafic_5f77c44a" w:id="2411"/>
      <w:r>
        <w:t xml:space="preserve">Palabras del profesor</w:t>
      </w:r>
      <w:bookmarkEnd w:id="2411"/>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El profesor lo dijo así</w:t>
            </w:r>
          </w:p>
          <w:p>
            <w:pPr>
              <w:pStyle w:val="Recuadro"/>
            </w:pPr>
            <w:r>
              <w:t xml:space="preserve">«Las cuatro reglas del pensamiento sistémico que se pueden mostrar en un mapa DSRP quedan evidenciadas a través de la sintaxis del mapa, sintaxis gráfica.»</w:t>
            </w:r>
          </w:p>
          <w:p>
            <w:pPr>
              <w:pStyle w:val="Recuadro"/>
            </w:pPr>
            <w:r>
              <w:t xml:space="preserve">Clase 12 · 00:26:33–00:26:53</w:t>
            </w:r>
          </w:p>
        </w:tc>
      </w:tr>
    </w:tbl>
    <w:p>
      <w:pPr>
        <w:pStyle w:val="Heading3"/>
      </w:pPr>
      <w:r>
        <w:t xml:space="preserve">Errores frecuentes y trampa de examen</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9C620A" w:sz="20"/>
              <w:bottom w:val="nil"/>
              <w:right w:val="nil"/>
            </w:tcBorders>
            <w:shd w:fill="FBF3DF" w:val="clear"/>
            <w:tcMar>
              <w:top w:type="dxa" w:w="130"/>
              <w:left w:type="dxa" w:w="180"/>
              <w:bottom w:type="dxa" w:w="130"/>
              <w:right w:type="dxa" w:w="180"/>
            </w:tcMar>
          </w:tcPr>
          <w:p>
            <w:pPr>
              <w:pStyle w:val="RecuadroTitulo"/>
            </w:pPr>
            <w:r>
              <w:rPr>
                <w:b/>
                <w:bCs/>
                <w:color w:val="9C620A"/>
              </w:rPr>
              <w:t xml:space="preserve">Error → corrección</w:t>
            </w:r>
          </w:p>
          <w:p>
            <w:pPr>
              <w:pStyle w:val="Recuadro"/>
            </w:pPr>
            <w:r>
              <w:rPr>
                <w:b/>
                <w:bCs/>
              </w:rPr>
              <w:t xml:space="preserve">Error:</w:t>
            </w:r>
            <w:r>
              <w:t xml:space="preserve"> Hacer cuatro subdiagramas o recuadros rotulados «distinciones», «sistemas», «relaciones» y «perspectivas».</w:t>
            </w:r>
          </w:p>
          <w:p>
            <w:pPr>
              <w:pStyle w:val="Recuadro"/>
            </w:pPr>
            <w:r>
              <w:rPr>
                <w:b/>
                <w:bCs/>
              </w:rPr>
              <w:t xml:space="preserve">Corrección:</w:t>
            </w:r>
            <w:r>
              <w:t xml:space="preserve"> Es «un error que siempre he visto todos los semestres»: pone el énfasis en la sintaxis y no en el modelo; donde hay flechas o líneas ya hay relaciones.</w:t>
            </w:r>
          </w:p>
          <w:p>
            <w:pPr>
              <w:pStyle w:val="Recuadro"/>
            </w:pPr>
            <w:r>
              <w:t xml:space="preserve">Clase 11 · 01:34:07–01:34:49 · Clase 12 · 00:19:32–00:21:23</w:t>
            </w:r>
          </w:p>
        </w:tc>
      </w:tr>
    </w:tbl>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9C620A" w:sz="20"/>
              <w:bottom w:val="nil"/>
              <w:right w:val="nil"/>
            </w:tcBorders>
            <w:shd w:fill="FBF3DF" w:val="clear"/>
            <w:tcMar>
              <w:top w:type="dxa" w:w="130"/>
              <w:left w:type="dxa" w:w="180"/>
              <w:bottom w:type="dxa" w:w="130"/>
              <w:right w:type="dxa" w:w="180"/>
            </w:tcMar>
          </w:tcPr>
          <w:p>
            <w:pPr>
              <w:pStyle w:val="RecuadroTitulo"/>
            </w:pPr>
            <w:r>
              <w:rPr>
                <w:b/>
                <w:bCs/>
                <w:color w:val="9C620A"/>
              </w:rPr>
              <w:t xml:space="preserve">Error → corrección</w:t>
            </w:r>
          </w:p>
          <w:p>
            <w:pPr>
              <w:pStyle w:val="Recuadro"/>
            </w:pPr>
            <w:r>
              <w:rPr>
                <w:b/>
                <w:bCs/>
              </w:rPr>
              <w:t xml:space="preserve">Error:</w:t>
            </w:r>
            <w:r>
              <w:t xml:space="preserve"> Unir las partes con su todo mediante una línea.</w:t>
            </w:r>
          </w:p>
          <w:p>
            <w:pPr>
              <w:pStyle w:val="Recuadro"/>
            </w:pPr>
            <w:r>
              <w:rPr>
                <w:b/>
                <w:bCs/>
              </w:rPr>
              <w:t xml:space="preserve">Corrección:</w:t>
            </w:r>
            <w:r>
              <w:t xml:space="preserve"> Las facultades van dentro de «universidad»; unidas con una línea serían una relación causal.</w:t>
            </w:r>
          </w:p>
          <w:p>
            <w:pPr>
              <w:pStyle w:val="Recuadro"/>
            </w:pPr>
            <w:r>
              <w:t xml:space="preserve">Clase 11 · 01:05:47–01:07:04</w:t>
            </w:r>
          </w:p>
        </w:tc>
      </w:tr>
    </w:tbl>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9C620A" w:sz="20"/>
              <w:bottom w:val="nil"/>
              <w:right w:val="nil"/>
            </w:tcBorders>
            <w:shd w:fill="FBF3DF" w:val="clear"/>
            <w:tcMar>
              <w:top w:type="dxa" w:w="130"/>
              <w:left w:type="dxa" w:w="180"/>
              <w:bottom w:type="dxa" w:w="130"/>
              <w:right w:type="dxa" w:w="180"/>
            </w:tcMar>
          </w:tcPr>
          <w:p>
            <w:pPr>
              <w:pStyle w:val="RecuadroTitulo"/>
            </w:pPr>
            <w:r>
              <w:rPr>
                <w:b/>
                <w:bCs/>
                <w:color w:val="9C620A"/>
              </w:rPr>
              <w:t xml:space="preserve">Error → corrección</w:t>
            </w:r>
          </w:p>
          <w:p>
            <w:pPr>
              <w:pStyle w:val="Recuadro"/>
            </w:pPr>
            <w:r>
              <w:rPr>
                <w:b/>
                <w:bCs/>
              </w:rPr>
              <w:t xml:space="preserve">Error:</w:t>
            </w:r>
            <w:r>
              <w:t xml:space="preserve"> Poner el ojo sin su punto.</w:t>
            </w:r>
          </w:p>
          <w:p>
            <w:pPr>
              <w:pStyle w:val="Recuadro"/>
            </w:pPr>
            <w:r>
              <w:rPr>
                <w:b/>
                <w:bCs/>
              </w:rPr>
              <w:t xml:space="preserve">Corrección:</w:t>
            </w:r>
            <w:r>
              <w:t xml:space="preserve"> Es una perspectiva incompleta, «como que solo pusieran la causa y pusieran una flecha apuntando a nada».</w:t>
            </w:r>
          </w:p>
          <w:p>
            <w:pPr>
              <w:pStyle w:val="Recuadro"/>
            </w:pPr>
            <w:r>
              <w:t xml:space="preserve">Clase 10 · 01:22:55–01:23:30</w:t>
            </w:r>
          </w:p>
        </w:tc>
      </w:tr>
    </w:tbl>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9C620A" w:sz="20"/>
              <w:bottom w:val="nil"/>
              <w:right w:val="nil"/>
            </w:tcBorders>
            <w:shd w:fill="FBF3DF" w:val="clear"/>
            <w:tcMar>
              <w:top w:type="dxa" w:w="130"/>
              <w:left w:type="dxa" w:w="180"/>
              <w:bottom w:type="dxa" w:w="130"/>
              <w:right w:type="dxa" w:w="180"/>
            </w:tcMar>
          </w:tcPr>
          <w:p>
            <w:pPr>
              <w:pStyle w:val="RecuadroTitulo"/>
            </w:pPr>
            <w:r>
              <w:rPr>
                <w:b/>
                <w:bCs/>
                <w:color w:val="9C620A"/>
              </w:rPr>
              <w:t xml:space="preserve">Trampa de examen</w:t>
            </w:r>
          </w:p>
          <w:p>
            <w:pPr>
              <w:pStyle w:val="Recuadro"/>
            </w:pPr>
            <w:r>
              <w:t xml:space="preserve">Confundir contención con relación y el ojo con lo visto. Las partes se dibujan dentro del recuadro del todo (una línea entre ellas sería una relación causal); el ojo va en el punto de vista y el punto del mismo color en lo que ese punto de vista ve. Un P-círculo sólo distingue perspectivas: qué ve cada una lo detalla el mapa de múltiples perspectivas.</w:t>
            </w:r>
          </w:p>
        </w:tc>
      </w:tr>
    </w:tbl>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Ampliación: lo no dictado en clase</w:t>
            </w:r>
          </w:p>
          <w:p>
            <w:pPr>
              <w:pStyle w:val="Recuadro"/>
            </w:pPr>
            <w:r>
              <w:t xml:space="preserve">La clase trabajó parte de las barras y ejemplos de perspectivas, sin leer todos sus rótulos; las lecturas completas se acreditan al deck. La diferencia entre analogía, símil y metáfora no se desarrolló más allá de la comparación de los dos últimos como más abstractos. Las nueve partes de cada ejemplo de perspectivas, las seis barras educativas, la propuesta editorial sobre poderes y el detalle del bosquejo con perspectivas se leen desde C-2, págs. 13, 18, 24, 27 y 30; no se atribuyen a una enumeración oral completa.</w:t>
            </w:r>
          </w:p>
        </w:tc>
      </w:tr>
    </w:tbl>
    <w:p>
      <w:pPr>
        <w:pStyle w:val="Heading3"/>
      </w:pPr>
      <w:r>
        <w:t xml:space="preserve">Lecturas y tareas del curso</w:t>
      </w:r>
    </w:p>
    <w:p>
      <w:pPr>
        <w:pStyle w:val="Normal"/>
      </w:pPr>
      <w:r>
        <w:t xml:space="preserve">C-2 · Unidad 3 · Desarrollo del pensamiento sistémico complejo (presentación). La presentación completa de la Unidad 3 tal como la compartió el profesor: 129 páginas con las reglas simples del pensamiento sistémico, los mapas DSRP, los diagramas de ciclos causales, la polaridad y los tipos de ciclo, las demoras, los patrones de comportamiento y los ejercicios trabajados en clase. Complementa las 128 láminas capturadas durante las sesiones.</w:t>
      </w:r>
    </w:p>
    <w:p>
      <w:pPr>
        <w:pStyle w:val="Normal"/>
      </w:pPr>
      <w:r>
        <w:t xml:space="preserve">Tareas relacionadas: T-9, T-10. Consulte su procedencia en la bibliografía.</w:t>
      </w:r>
    </w:p>
    <w:p>
      <w:pPr>
        <w:pStyle w:val="Heading3"/>
      </w:pPr>
      <w:r>
        <w:t xml:space="preserve">Práctica de los laboratorios</w:t>
      </w:r>
    </w:p>
    <w:p>
      <w:pPr>
        <w:pStyle w:val="Normal"/>
      </w:pPr>
      <w:r>
        <w:t xml:space="preserve">Los procedimientos del capítulo permiten reconstruir en papel la práctica interactiva. Los laboratorios originales permanecen disponibles en la lección del portal.</w:t>
      </w:r>
    </w:p>
    <w:p>
      <w:pPr>
        <w:pStyle w:val="Normal"/>
        <w:numPr>
          <w:ilvl w:val="0"/>
          <w:numId w:val="2"/>
        </w:numPr>
      </w:pPr>
      <w:r>
        <w:t xml:space="preserve">Dibujar un mapa DSRP regla por regla</w:t>
      </w:r>
    </w:p>
    <w:p>
      <w:pPr>
        <w:pStyle w:val="Normal"/>
        <w:numPr>
          <w:ilvl w:val="0"/>
          <w:numId w:val="2"/>
        </w:numPr>
      </w:pPr>
      <w:r>
        <w:t xml:space="preserve">Las figuras de cada regla DSRP</w:t>
      </w:r>
    </w:p>
    <w:p>
      <w:pPr>
        <w:pStyle w:val="Normal"/>
        <w:numPr>
          <w:ilvl w:val="0"/>
          <w:numId w:val="2"/>
        </w:numPr>
      </w:pPr>
      <w:r>
        <w:t xml:space="preserve">La gramática del metamapa</w:t>
      </w:r>
    </w:p>
    <w:p>
      <w:pPr>
        <w:pStyle w:val="Normal"/>
        <w:numPr>
          <w:ilvl w:val="0"/>
          <w:numId w:val="2"/>
        </w:numPr>
      </w:pPr>
      <w:r>
        <w:t xml:space="preserve">Plantillas cognitivas: barras, P-círculos y más</w:t>
      </w:r>
    </w:p>
    <w:p>
      <w:pPr>
        <w:pStyle w:val="Normal"/>
        <w:numPr>
          <w:ilvl w:val="0"/>
          <w:numId w:val="2"/>
        </w:numPr>
      </w:pPr>
      <w:r>
        <w:t xml:space="preserve">Combinar y mezclar las cuatro reglas</w:t>
      </w:r>
    </w:p>
    <w:p>
      <w:pPr>
        <w:pStyle w:val="Heading3"/>
      </w:pPr>
      <w:r>
        <w:t xml:space="preserve">Autoevaluación</w:t>
      </w:r>
    </w:p>
    <w:p>
      <w:pPr>
        <w:pStyle w:val="Normal"/>
      </w:pPr>
      <w:r>
        <w:t xml:space="preserve">Resuelva sin consultar las respuestas. Compruebe al final del capítulo por qué cada opción es correcta o incorrecta.</w:t>
      </w:r>
    </w:p>
    <w:p>
      <w:pPr>
        <w:pStyle w:val="Heading3"/>
      </w:pPr>
      <w:bookmarkStart w:name="b_pregunta_auto_3_2_1" w:id="2412"/>
      <w:r>
        <w:t xml:space="preserve">3.2-A1 · En el mapa de la TGS, ¿qué indica el punto verde situado en «Partes»?</w:t>
      </w:r>
      <w:bookmarkEnd w:id="2412"/>
    </w:p>
    <w:p>
      <w:pPr>
        <w:pStyle w:val="Normal"/>
      </w:pPr>
      <w:r>
        <w:t xml:space="preserve">a) Que Partes causa necesariamente la perspectiva genética</w:t>
      </w:r>
    </w:p>
    <w:p>
      <w:pPr>
        <w:pStyle w:val="Normal"/>
      </w:pPr>
      <w:r>
        <w:t xml:space="preserve">b) Que «Partes» es observada desde la perspectiva estructural/ontológica cuyo ojo es verde</w:t>
      </w:r>
    </w:p>
    <w:p>
      <w:pPr>
        <w:pStyle w:val="Normal"/>
      </w:pPr>
      <w:r>
        <w:t xml:space="preserve">c) Que el color verde sustituye la contención</w:t>
      </w:r>
    </w:p>
    <w:p>
      <w:pPr>
        <w:pStyle w:val="Normal"/>
      </w:pPr>
      <w:r>
        <w:t xml:space="preserve">d) Que Partes queda fuera del Universo de sistemas</w:t>
      </w:r>
    </w:p>
    <w:p>
      <w:pPr>
        <w:pStyle w:val="Heading3"/>
      </w:pPr>
      <w:bookmarkStart w:name="b_pregunta_auto_3_2_2" w:id="2413"/>
      <w:r>
        <w:t xml:space="preserve">3.2-A2 · Al sistematizar la relación «comprar», ¿cuál es una descomposición compatible con R→D→S?</w:t>
      </w:r>
      <w:bookmarkEnd w:id="2413"/>
    </w:p>
    <w:p>
      <w:pPr>
        <w:pStyle w:val="Normal"/>
      </w:pPr>
      <w:r>
        <w:t xml:space="preserve">a) Únicamente acción y reacción; está prohibido añadir partes</w:t>
      </w:r>
    </w:p>
    <w:p>
      <w:pPr>
        <w:pStyle w:val="Normal"/>
      </w:pPr>
      <w:r>
        <w:t xml:space="preserve">b) Un ojo sin ninguna vista</w:t>
      </w:r>
    </w:p>
    <w:p>
      <w:pPr>
        <w:pStyle w:val="Normal"/>
      </w:pPr>
      <w:r>
        <w:t xml:space="preserve">c) Solicitud, confirmación, pago y producto como partes de la relación distinguida</w:t>
      </w:r>
    </w:p>
    <w:p>
      <w:pPr>
        <w:pStyle w:val="Normal"/>
      </w:pPr>
      <w:r>
        <w:t xml:space="preserve">d) Cuatro perspectivas que sustituyen toda relación</w:t>
      </w:r>
    </w:p>
    <w:p>
      <w:pPr>
        <w:pStyle w:val="Heading3"/>
      </w:pPr>
      <w:bookmarkStart w:name="b_pregunta_auto_3_2_3" w:id="2414"/>
      <w:r>
        <w:t xml:space="preserve">3.2-A3 · ¿Qué barras de C-2, página 24, relacionan a los padres con estudiante, maestra y temario?</w:t>
      </w:r>
      <w:bookmarkEnd w:id="2414"/>
    </w:p>
    <w:p>
      <w:pPr>
        <w:pStyle w:val="Normal"/>
      </w:pPr>
      <w:r>
        <w:t xml:space="preserve">a) Ventas, demanda y órdenes de producción</w:t>
      </w:r>
    </w:p>
    <w:p>
      <w:pPr>
        <w:pStyle w:val="Normal"/>
      </w:pPr>
      <w:r>
        <w:t xml:space="preserve">b) Tres relaciones sin nombre en la red educativa</w:t>
      </w:r>
    </w:p>
    <w:p>
      <w:pPr>
        <w:pStyle w:val="Normal"/>
      </w:pPr>
      <w:r>
        <w:t xml:space="preserve">c) Homeostasis, entropía y neguentropía</w:t>
      </w:r>
    </w:p>
    <w:p>
      <w:pPr>
        <w:pStyle w:val="Normal"/>
      </w:pPr>
      <w:r>
        <w:t xml:space="preserve">d) Guía/soporte, expectativas y cuestionamiento/validación, respectivamente</w:t>
      </w:r>
    </w:p>
    <w:p>
      <w:pPr>
        <w:pStyle w:val="Heading3"/>
      </w:pPr>
      <w:bookmarkStart w:name="b_pregunta_auto_3_2_4" w:id="2415"/>
      <w:r>
        <w:t xml:space="preserve">3.2-A4 · ¿Cómo se interpreta una propuesta de nombre para las barras con «???» de la red de poderes?</w:t>
      </w:r>
      <w:bookmarkEnd w:id="2415"/>
    </w:p>
    <w:p>
      <w:pPr>
        <w:pStyle w:val="Normal"/>
      </w:pPr>
      <w:r>
        <w:t xml:space="preserve">a) Como una hipótesis editorial sobre relaciones que debe discutirse y contrastarse en su contexto</w:t>
      </w:r>
    </w:p>
    <w:p>
      <w:pPr>
        <w:pStyle w:val="Normal"/>
      </w:pPr>
      <w:r>
        <w:t xml:space="preserve">b) Como la respuesta oficial escrita en la figura</w:t>
      </w:r>
    </w:p>
    <w:p>
      <w:pPr>
        <w:pStyle w:val="Normal"/>
      </w:pPr>
      <w:r>
        <w:t xml:space="preserve">c) Como prueba de una ley jurídica idéntica en todos los países</w:t>
      </w:r>
    </w:p>
    <w:p>
      <w:pPr>
        <w:pStyle w:val="Normal"/>
      </w:pPr>
      <w:r>
        <w:t xml:space="preserve">d) Como un ciclo causal B aunque no haya signos</w:t>
      </w:r>
    </w:p>
    <w:p>
      <w:pPr>
        <w:pStyle w:val="Heading3"/>
      </w:pPr>
      <w:bookmarkStart w:name="b_pregunta_auto_3_2_5" w:id="2416"/>
      <w:r>
        <w:t xml:space="preserve">3.2-A5 · ¿Qué explicita el P-círculo de inseguridad alimentaria mostrado en clase 10?</w:t>
      </w:r>
      <w:bookmarkEnd w:id="2416"/>
    </w:p>
    <w:p>
      <w:pPr>
        <w:pStyle w:val="Normal"/>
      </w:pPr>
      <w:r>
        <w:t xml:space="preserve">a) Todas las ideas distintas que ve cada perspectiva</w:t>
      </w:r>
    </w:p>
    <w:p>
      <w:pPr>
        <w:pStyle w:val="Normal"/>
      </w:pPr>
      <w:r>
        <w:t xml:space="preserve">b) Desde qué perspectivas se mira el asunto, sin detallar todavía qué observa cada una</w:t>
      </w:r>
    </w:p>
    <w:p>
      <w:pPr>
        <w:pStyle w:val="Normal"/>
      </w:pPr>
      <w:r>
        <w:t xml:space="preserve">c) Las polaridades de tres ciclos causales</w:t>
      </w:r>
    </w:p>
    <w:p>
      <w:pPr>
        <w:pStyle w:val="Normal"/>
      </w:pPr>
      <w:r>
        <w:t xml:space="preserve">d) El mecanismo que demuestra una única perspectiva correcta</w:t>
      </w:r>
    </w:p>
    <w:p>
      <w:pPr>
        <w:pStyle w:val="Heading3"/>
      </w:pPr>
      <w:bookmarkStart w:name="b_pregunta_auto_3_2_6" w:id="2417"/>
      <w:r>
        <w:t xml:space="preserve">3.2-A6 · En el mapa de la epidemia, ¿qué conjunto corresponde al ojo de política gubernamental?</w:t>
      </w:r>
      <w:bookmarkEnd w:id="2417"/>
    </w:p>
    <w:p>
      <w:pPr>
        <w:pStyle w:val="Normal"/>
      </w:pPr>
      <w:r>
        <w:t xml:space="preserve">a) Control de infección, contagio y seguimiento</w:t>
      </w:r>
    </w:p>
    <w:p>
      <w:pPr>
        <w:pStyle w:val="Normal"/>
      </w:pPr>
      <w:r>
        <w:t xml:space="preserve">b) Prácticas sexuales, estigma y normas religiosas</w:t>
      </w:r>
    </w:p>
    <w:p>
      <w:pPr>
        <w:pStyle w:val="Normal"/>
      </w:pPr>
      <w:r>
        <w:t xml:space="preserve">c) Ministerio de Salud, OMS y gobiernos tribales</w:t>
      </w:r>
    </w:p>
    <w:p>
      <w:pPr>
        <w:pStyle w:val="Normal"/>
      </w:pPr>
      <w:r>
        <w:t xml:space="preserve">d) Dolor, felicidad y bebé</w:t>
      </w:r>
    </w:p>
    <w:p>
      <w:pPr>
        <w:pStyle w:val="Heading3"/>
      </w:pPr>
      <w:bookmarkStart w:name="b_pregunta_auto_3_2_7" w:id="2418"/>
      <w:r>
        <w:t xml:space="preserve">3.2-A7 · ¿Cuál es la correspondencia que dibuja el autor en el ejemplo del iPhone?</w:t>
      </w:r>
      <w:bookmarkEnd w:id="2418"/>
    </w:p>
    <w:p>
      <w:pPr>
        <w:pStyle w:val="Normal"/>
      </w:pPr>
      <w:r>
        <w:t xml:space="preserve">a) Diseñador: gobiernos tribales y contagio</w:t>
      </w:r>
    </w:p>
    <w:p>
      <w:pPr>
        <w:pStyle w:val="Normal"/>
      </w:pPr>
      <w:r>
        <w:t xml:space="preserve">b) Psicólogo: únicamente el precio del teléfono</w:t>
      </w:r>
    </w:p>
    <w:p>
      <w:pPr>
        <w:pStyle w:val="Normal"/>
      </w:pPr>
      <w:r>
        <w:t xml:space="preserve">c) Todo cliente debe ver exactamente las mismas partes</w:t>
      </w:r>
    </w:p>
    <w:p>
      <w:pPr>
        <w:pStyle w:val="Normal"/>
      </w:pPr>
      <w:r>
        <w:t xml:space="preserve">d) Cliente: información reunida, costo y facilidad de uso</w:t>
      </w:r>
    </w:p>
    <w:p>
      <w:pPr>
        <w:pStyle w:val="Heading3"/>
      </w:pPr>
      <w:bookmarkStart w:name="b_pregunta_auto_3_2_8" w:id="2419"/>
      <w:r>
        <w:t xml:space="preserve">3.2-A8 · ¿Qué enseña que «bebé» figure en las vistas de madre y familia del mapa del nacimiento?</w:t>
      </w:r>
      <w:bookmarkEnd w:id="2419"/>
    </w:p>
    <w:p>
      <w:pPr>
        <w:pStyle w:val="Normal"/>
      </w:pPr>
      <w:r>
        <w:t xml:space="preserve">a) Que distintos puntos pueden seleccionar una misma parte de la vista</w:t>
      </w:r>
    </w:p>
    <w:p>
      <w:pPr>
        <w:pStyle w:val="Normal"/>
      </w:pPr>
      <w:r>
        <w:t xml:space="preserve">b) Que toda vista debe excluir lo que otra ya observó</w:t>
      </w:r>
    </w:p>
    <w:p>
      <w:pPr>
        <w:pStyle w:val="Normal"/>
      </w:pPr>
      <w:r>
        <w:t xml:space="preserve">c) Que las perspectivas son flechas de polaridad negativa</w:t>
      </w:r>
    </w:p>
    <w:p>
      <w:pPr>
        <w:pStyle w:val="Normal"/>
      </w:pPr>
      <w:r>
        <w:t xml:space="preserve">d) Que el mapa demuestra cómo se siente toda familia</w:t>
      </w:r>
    </w:p>
    <w:p>
      <w:pPr>
        <w:pStyle w:val="Heading3"/>
      </w:pPr>
      <w:bookmarkStart w:name="b_pregunta_auto_3_2_9" w:id="2420"/>
      <w:r>
        <w:t xml:space="preserve">3.2-A9 · ¿Cómo debe leerse la asignación de emociones del mapa del 11 de septiembre?</w:t>
      </w:r>
      <w:bookmarkEnd w:id="2420"/>
    </w:p>
    <w:p>
      <w:pPr>
        <w:pStyle w:val="Normal"/>
      </w:pPr>
      <w:r>
        <w:t xml:space="preserve">a) Como una ley sobre lo que siente cada persona de una religión</w:t>
      </w:r>
    </w:p>
    <w:p>
      <w:pPr>
        <w:pStyle w:val="Normal"/>
      </w:pPr>
      <w:r>
        <w:t xml:space="preserve">b) Como una selección del autor que se puede discutir, sin generalizarla a todos los integrantes de esos grupos</w:t>
      </w:r>
    </w:p>
    <w:p>
      <w:pPr>
        <w:pStyle w:val="Normal"/>
      </w:pPr>
      <w:r>
        <w:t xml:space="preserve">c) Como una medición temporal de emociones con tasas verificadas</w:t>
      </w:r>
    </w:p>
    <w:p>
      <w:pPr>
        <w:pStyle w:val="Normal"/>
      </w:pPr>
      <w:r>
        <w:t xml:space="preserve">d) Como una razón para eliminar la regla de perspectivas</w:t>
      </w:r>
    </w:p>
    <w:p>
      <w:pPr>
        <w:pStyle w:val="Heading3"/>
      </w:pPr>
      <w:bookmarkStart w:name="b_pregunta_auto_3_2_10" w:id="2421"/>
      <w:r>
        <w:t xml:space="preserve">3.2-A10 · En el bosquejo del escrito, ¿qué significa que Introducción contenga las secciones 1 y 2?</w:t>
      </w:r>
      <w:bookmarkEnd w:id="2421"/>
    </w:p>
    <w:p>
      <w:pPr>
        <w:pStyle w:val="Normal"/>
      </w:pPr>
      <w:r>
        <w:t xml:space="preserve">a) Que Introducción causa siempre mayor longitud de la sección 1</w:t>
      </w:r>
    </w:p>
    <w:p>
      <w:pPr>
        <w:pStyle w:val="Normal"/>
      </w:pPr>
      <w:r>
        <w:t xml:space="preserve">b) Que las dos secciones son perspectivas sin punto</w:t>
      </w:r>
    </w:p>
    <w:p>
      <w:pPr>
        <w:pStyle w:val="Normal"/>
      </w:pPr>
      <w:r>
        <w:t xml:space="preserve">c) Una relación parte–todo expresada por contención</w:t>
      </w:r>
    </w:p>
    <w:p>
      <w:pPr>
        <w:pStyle w:val="Normal"/>
      </w:pPr>
      <w:r>
        <w:t xml:space="preserve">d) Que las transiciones no pertenecen al texto</w:t>
      </w:r>
    </w:p>
    <w:p>
      <w:pPr>
        <w:pStyle w:val="Heading3"/>
      </w:pPr>
      <w:bookmarkStart w:name="b_pregunta_auto_3_2_11" w:id="2422"/>
      <w:r>
        <w:t xml:space="preserve">3.2-A11 · ¿Qué distingue las curvas entre secciones y resumen de los ojos y puntos del bosquejo?</w:t>
      </w:r>
      <w:bookmarkEnd w:id="2422"/>
    </w:p>
    <w:p>
      <w:pPr>
        <w:pStyle w:val="Normal"/>
      </w:pPr>
      <w:r>
        <w:t xml:space="preserve">a) Ambas marcas indican automáticamente un ciclo de refuerzo</w:t>
      </w:r>
    </w:p>
    <w:p>
      <w:pPr>
        <w:pStyle w:val="Normal"/>
      </w:pPr>
      <w:r>
        <w:t xml:space="preserve">b) Los ojos señalan una demora temporal</w:t>
      </w:r>
    </w:p>
    <w:p>
      <w:pPr>
        <w:pStyle w:val="Normal"/>
      </w:pPr>
      <w:r>
        <w:t xml:space="preserve">c) Las curvas reemplazan la contención de todas las partes</w:t>
      </w:r>
    </w:p>
    <w:p>
      <w:pPr>
        <w:pStyle w:val="Normal"/>
      </w:pPr>
      <w:r>
        <w:t xml:space="preserve">d) Las curvas conectan partes del texto; ojo y punto explicitan desde dónde se mira y qué bloque se considera</w:t>
      </w:r>
    </w:p>
    <w:p>
      <w:pPr>
        <w:pStyle w:val="Heading3"/>
      </w:pPr>
      <w:bookmarkStart w:name="b_pregunta_auto_3_2_12" w:id="2423"/>
      <w:r>
        <w:t xml:space="preserve">3.2-A12 · En una frase, ¿qué es un mapa DSRP?</w:t>
      </w:r>
      <w:bookmarkEnd w:id="2423"/>
    </w:p>
    <w:p>
      <w:pPr>
        <w:pStyle w:val="Normal"/>
      </w:pPr>
      <w:r>
        <w:t xml:space="preserve">a) Un mapa geográfico del territorio donde ocurre el sistema</w:t>
      </w:r>
    </w:p>
    <w:p>
      <w:pPr>
        <w:pStyle w:val="Normal"/>
      </w:pPr>
      <w:r>
        <w:t xml:space="preserve">b) La teoría DSRP «hecha visible»: un diagrama donde cada marca aplica una de las cuatro operaciones</w:t>
      </w:r>
    </w:p>
    <w:p>
      <w:pPr>
        <w:pStyle w:val="Normal"/>
      </w:pPr>
      <w:r>
        <w:t xml:space="preserve">c) Una lista ordenada de pasos para resolver un problema</w:t>
      </w:r>
    </w:p>
    <w:p>
      <w:pPr>
        <w:pStyle w:val="Normal"/>
      </w:pPr>
      <w:r>
        <w:t xml:space="preserve">d) Un gráfico estadístico de las variables del sistema en el tiempo</w:t>
      </w:r>
    </w:p>
    <w:p>
      <w:pPr>
        <w:pStyle w:val="Heading3"/>
      </w:pPr>
      <w:bookmarkStart w:name="b_pregunta_auto_3_2_13" w:id="2424"/>
      <w:r>
        <w:t xml:space="preserve">3.2-A13 · Al dibujar cada elemento del sistema en su propio rectángulo, con su frontera (qué es y qué no es), ¿qué regla DSRP estás aplicando?</w:t>
      </w:r>
      <w:bookmarkEnd w:id="2424"/>
    </w:p>
    <w:p>
      <w:pPr>
        <w:pStyle w:val="Normal"/>
      </w:pPr>
      <w:r>
        <w:t xml:space="preserve">a) S · Sistemas</w:t>
      </w:r>
    </w:p>
    <w:p>
      <w:pPr>
        <w:pStyle w:val="Normal"/>
      </w:pPr>
      <w:r>
        <w:t xml:space="preserve">b) R · Relaciones</w:t>
      </w:r>
    </w:p>
    <w:p>
      <w:pPr>
        <w:pStyle w:val="Normal"/>
      </w:pPr>
      <w:r>
        <w:t xml:space="preserve">c) D · Distinciones</w:t>
      </w:r>
    </w:p>
    <w:p>
      <w:pPr>
        <w:pStyle w:val="Normal"/>
      </w:pPr>
      <w:r>
        <w:t xml:space="preserve">d) P · Perspectivas</w:t>
      </w:r>
    </w:p>
    <w:p>
      <w:pPr>
        <w:pStyle w:val="Heading3"/>
      </w:pPr>
      <w:bookmarkStart w:name="b_pregunta_auto_3_2_14" w:id="2425"/>
      <w:r>
        <w:t xml:space="preserve">3.2-A14 · En el mapa metes varias ideas dentro de un rectángulo mayor. Esa contención corresponde a…</w:t>
      </w:r>
      <w:bookmarkEnd w:id="2425"/>
    </w:p>
    <w:p>
      <w:pPr>
        <w:pStyle w:val="Normal"/>
      </w:pPr>
      <w:r>
        <w:t xml:space="preserve">a) D · Distinciones (identidad </w:t>
      </w:r>
      <w:r>
        <w:rPr>
          <w:rFonts w:ascii="DejaVu Serif" w:cs="DejaVu Serif" w:eastAsia="DejaVu Serif" w:hAnsi="DejaVu Serif"/>
        </w:rPr>
        <w:t xml:space="preserve">⇔</w:t>
      </w:r>
      <w:r>
        <w:t xml:space="preserve"> otro)</w:t>
      </w:r>
    </w:p>
    <w:p>
      <w:pPr>
        <w:pStyle w:val="Normal"/>
      </w:pPr>
      <w:r>
        <w:t xml:space="preserve">b) S · Sistemas (parte </w:t>
      </w:r>
      <w:r>
        <w:rPr>
          <w:rFonts w:ascii="DejaVu Serif" w:cs="DejaVu Serif" w:eastAsia="DejaVu Serif" w:hAnsi="DejaVu Serif"/>
        </w:rPr>
        <w:t xml:space="preserve">⇔</w:t>
      </w:r>
      <w:r>
        <w:t xml:space="preserve"> todo)</w:t>
      </w:r>
    </w:p>
    <w:p>
      <w:pPr>
        <w:pStyle w:val="Normal"/>
      </w:pPr>
      <w:r>
        <w:t xml:space="preserve">c) R · Relaciones (acción </w:t>
      </w:r>
      <w:r>
        <w:rPr>
          <w:rFonts w:ascii="DejaVu Serif" w:cs="DejaVu Serif" w:eastAsia="DejaVu Serif" w:hAnsi="DejaVu Serif"/>
        </w:rPr>
        <w:t xml:space="preserve">⇔</w:t>
      </w:r>
      <w:r>
        <w:t xml:space="preserve"> reacción)</w:t>
      </w:r>
    </w:p>
    <w:p>
      <w:pPr>
        <w:pStyle w:val="Normal"/>
      </w:pPr>
      <w:r>
        <w:t xml:space="preserve">d) P · Perspectivas (punto </w:t>
      </w:r>
      <w:r>
        <w:rPr>
          <w:rFonts w:ascii="DejaVu Serif" w:cs="DejaVu Serif" w:eastAsia="DejaVu Serif" w:hAnsi="DejaVu Serif"/>
        </w:rPr>
        <w:t xml:space="preserve">⇔</w:t>
      </w:r>
      <w:r>
        <w:t xml:space="preserve"> vista)</w:t>
      </w:r>
    </w:p>
    <w:p>
      <w:pPr>
        <w:pStyle w:val="Heading3"/>
      </w:pPr>
      <w:bookmarkStart w:name="b_pregunta_auto_3_2_15" w:id="2426"/>
      <w:r>
        <w:t xml:space="preserve">3.2-A15 · Las líneas que conectan una idea con otra —una acción y su reacción— representan la regla…</w:t>
      </w:r>
      <w:bookmarkEnd w:id="2426"/>
    </w:p>
    <w:p>
      <w:pPr>
        <w:pStyle w:val="Normal"/>
      </w:pPr>
      <w:r>
        <w:t xml:space="preserve">a) R · Relaciones</w:t>
      </w:r>
    </w:p>
    <w:p>
      <w:pPr>
        <w:pStyle w:val="Normal"/>
      </w:pPr>
      <w:r>
        <w:t xml:space="preserve">b) S · Sistemas</w:t>
      </w:r>
    </w:p>
    <w:p>
      <w:pPr>
        <w:pStyle w:val="Normal"/>
      </w:pPr>
      <w:r>
        <w:t xml:space="preserve">c) P · Perspectivas</w:t>
      </w:r>
    </w:p>
    <w:p>
      <w:pPr>
        <w:pStyle w:val="Normal"/>
      </w:pPr>
      <w:r>
        <w:t xml:space="preserve">d) D · Distinciones</w:t>
      </w:r>
    </w:p>
    <w:p>
      <w:pPr>
        <w:pStyle w:val="Heading3"/>
      </w:pPr>
      <w:bookmarkStart w:name="b_pregunta_auto_3_2_16" w:id="2427"/>
      <w:r>
        <w:t xml:space="preserve">3.2-A16 · Dos estudiantes mapean la misma cafetería y obtienen mapas distintos —agrupan otras ideas y resaltan otras conexiones—. ¿Cómo debe interpretarse esto?</w:t>
      </w:r>
      <w:bookmarkEnd w:id="2427"/>
    </w:p>
    <w:p>
      <w:pPr>
        <w:pStyle w:val="Normal"/>
      </w:pPr>
      <w:r>
        <w:t xml:space="preserve">a) Uno de los dos mapas está mal; solo hay un mapa correcto por sistema</w:t>
      </w:r>
    </w:p>
    <w:p>
      <w:pPr>
        <w:pStyle w:val="Normal"/>
      </w:pPr>
      <w:r>
        <w:t xml:space="preserve">b) Es normal: todo mapa se arma desde una perspectiva, así que es una vista posible del sistema, no el sistema mismo</w:t>
      </w:r>
    </w:p>
    <w:p>
      <w:pPr>
        <w:pStyle w:val="Normal"/>
      </w:pPr>
      <w:r>
        <w:t xml:space="preserve">c) Los mapas DSRP no sirven porque no son objetivos</w:t>
      </w:r>
    </w:p>
    <w:p>
      <w:pPr>
        <w:pStyle w:val="Normal"/>
      </w:pPr>
      <w:r>
        <w:t xml:space="preserve">d) Deben promediar ambos mapas para obtener el verdadero</w:t>
      </w:r>
    </w:p>
    <w:p>
      <w:pPr>
        <w:pStyle w:val="Heading3"/>
      </w:pPr>
      <w:bookmarkStart w:name="b_pregunta_auto_3_2_17" w:id="2428"/>
      <w:r>
        <w:t xml:space="preserve">3.2-A17 · Al construir un mapa DSRP sobre un caso, ¿por qué conviene empezar por las Distinciones (D)?</w:t>
      </w:r>
      <w:bookmarkEnd w:id="2428"/>
    </w:p>
    <w:p>
      <w:pPr>
        <w:pStyle w:val="Normal"/>
      </w:pPr>
      <w:r>
        <w:t xml:space="preserve">a) Porque D siempre es más importante que las otras tres reglas</w:t>
      </w:r>
    </w:p>
    <w:p>
      <w:pPr>
        <w:pStyle w:val="Normal"/>
      </w:pPr>
      <w:r>
        <w:t xml:space="preserve">b) Porque las demás marcas se dibujan sobre las ideas: sin distinguirlas, no hay qué contener (S), conectar (R) ni mirar (P)</w:t>
      </w:r>
    </w:p>
    <w:p>
      <w:pPr>
        <w:pStyle w:val="Normal"/>
      </w:pPr>
      <w:r>
        <w:t xml:space="preserve">c) Porque las reglas DSRP deben seguirse siempre en el orden estricto D, S, R, P</w:t>
      </w:r>
    </w:p>
    <w:p>
      <w:pPr>
        <w:pStyle w:val="Normal"/>
      </w:pPr>
      <w:r>
        <w:t xml:space="preserve">d) Porque la perspectiva (P) no aporta nada al mapa</w:t>
      </w:r>
    </w:p>
    <w:p>
      <w:pPr>
        <w:pStyle w:val="Heading3"/>
      </w:pPr>
      <w:bookmarkStart w:name="b_pregunta_auto_3_2_18" w:id="2429"/>
      <w:r>
        <w:t xml:space="preserve">3.2-A18 · En un mapa DSRP dibujado a mano, ¿cómo se marca una perspectiva?</w:t>
      </w:r>
      <w:bookmarkEnd w:id="2429"/>
    </w:p>
    <w:p>
      <w:pPr>
        <w:pStyle w:val="Normal"/>
      </w:pPr>
      <w:r>
        <w:t xml:space="preserve">a) Con una flecha más gruesa entre dos ideas</w:t>
      </w:r>
    </w:p>
    <w:p>
      <w:pPr>
        <w:pStyle w:val="Normal"/>
      </w:pPr>
      <w:r>
        <w:t xml:space="preserve">b) Con un recuadro alrededor de todo el mapa</w:t>
      </w:r>
    </w:p>
    <w:p>
      <w:pPr>
        <w:pStyle w:val="Normal"/>
      </w:pPr>
      <w:r>
        <w:t xml:space="preserve">c) Con un ojo de color en la idea que mira (punto) y un punto del mismo color en la idea mirada (vista)</w:t>
      </w:r>
    </w:p>
    <w:p>
      <w:pPr>
        <w:pStyle w:val="Normal"/>
      </w:pPr>
      <w:r>
        <w:t xml:space="preserve">d) Con un color de fondo distinto para cada idea</w:t>
      </w:r>
    </w:p>
    <w:p>
      <w:pPr>
        <w:pStyle w:val="Heading3"/>
      </w:pPr>
      <w:bookmarkStart w:name="b_pregunta_auto_3_2_19" w:id="2430"/>
      <w:r>
        <w:t xml:space="preserve">3.2-A19 · Un mapa DSRP y las cuatro operaciones mentales DSRP que practicaste en la Unidad 1 se relacionan porque…</w:t>
      </w:r>
      <w:bookmarkEnd w:id="2430"/>
    </w:p>
    <w:p>
      <w:pPr>
        <w:pStyle w:val="Normal"/>
      </w:pPr>
      <w:r>
        <w:t xml:space="preserve">a) Son cosas independientes que casualmente comparten nombre</w:t>
      </w:r>
    </w:p>
    <w:p>
      <w:pPr>
        <w:pStyle w:val="Normal"/>
      </w:pPr>
      <w:r>
        <w:t xml:space="preserve">b) El mapa es la notación gráfica de esas mismas operaciones: pensar con DSRP y dibujar un mapa DSRP son la misma actividad hecha visible</w:t>
      </w:r>
    </w:p>
    <w:p>
      <w:pPr>
        <w:pStyle w:val="Normal"/>
      </w:pPr>
      <w:r>
        <w:t xml:space="preserve">c) El mapa reemplaza a las operaciones y las vuelve innecesarias</w:t>
      </w:r>
    </w:p>
    <w:p>
      <w:pPr>
        <w:pStyle w:val="Normal"/>
      </w:pPr>
      <w:r>
        <w:t xml:space="preserve">d) Las operaciones sirven para la mente y el mapa solo para la naturaleza</w:t>
      </w:r>
    </w:p>
    <w:p>
      <w:pPr>
        <w:pStyle w:val="Heading3"/>
      </w:pPr>
      <w:bookmarkStart w:name="b_pregunta_auto_3_2_20" w:id="2431"/>
      <w:r>
        <w:t xml:space="preserve">3.2-A20 · En un organigrama, las líneas unen al director con cada departamento. Según la gramática de los metamapas, ¿qué problema tiene eso en un mapa DSRP?</w:t>
      </w:r>
      <w:bookmarkEnd w:id="2431"/>
    </w:p>
    <w:p>
      <w:pPr>
        <w:pStyle w:val="Normal"/>
      </w:pPr>
      <w:r>
        <w:t xml:space="preserve">a) Ninguno: las líneas pueden significar lo que el autor quiera</w:t>
      </w:r>
    </w:p>
    <w:p>
      <w:pPr>
        <w:pStyle w:val="Normal"/>
      </w:pPr>
      <w:r>
        <w:t xml:space="preserve">b) Las líneas se reservan para las relaciones; «es parte de» debe decirse con contención o tamaño</w:t>
      </w:r>
    </w:p>
    <w:p>
      <w:pPr>
        <w:pStyle w:val="Normal"/>
      </w:pPr>
      <w:r>
        <w:t xml:space="preserve">c) Las líneas deberían ser de colores distintos</w:t>
      </w:r>
    </w:p>
    <w:p>
      <w:pPr>
        <w:pStyle w:val="Normal"/>
      </w:pPr>
      <w:r>
        <w:t xml:space="preserve">d) Faltan triángulos para distinguir a los jefes</w:t>
      </w:r>
    </w:p>
    <w:p>
      <w:pPr>
        <w:pStyle w:val="Heading3"/>
      </w:pPr>
      <w:bookmarkStart w:name="b_pregunta_auto_3_2_21" w:id="2432"/>
      <w:r>
        <w:t xml:space="preserve">3.2-A21 · ¿Qué papel tiene el color en un metamapa?</w:t>
      </w:r>
      <w:bookmarkEnd w:id="2432"/>
    </w:p>
    <w:p>
      <w:pPr>
        <w:pStyle w:val="Normal"/>
      </w:pPr>
      <w:r>
        <w:t xml:space="preserve">a) Decorar las áreas del mapa para hacerlo más atractivo</w:t>
      </w:r>
    </w:p>
    <w:p>
      <w:pPr>
        <w:pStyle w:val="Normal"/>
      </w:pPr>
      <w:r>
        <w:t xml:space="preserve">b) Distinguir las ideas importantes de las secundarias</w:t>
      </w:r>
    </w:p>
    <w:p>
      <w:pPr>
        <w:pStyle w:val="Normal"/>
      </w:pPr>
      <w:r>
        <w:t xml:space="preserve">c) Marcar, con las esquinas D, S, R y P de cada tarjeta, hacia dónde puede crecer el mapa</w:t>
      </w:r>
    </w:p>
    <w:p>
      <w:pPr>
        <w:pStyle w:val="Normal"/>
      </w:pPr>
      <w:r>
        <w:t xml:space="preserve">d) Indicar qué perspectiva tiene cada idea</w:t>
      </w:r>
    </w:p>
    <w:p>
      <w:pPr>
        <w:pStyle w:val="Heading3"/>
      </w:pPr>
      <w:bookmarkStart w:name="b_pregunta_auto_3_2_22" w:id="2433"/>
      <w:r>
        <w:t xml:space="preserve">3.2-A22 · La relación entre biología y química tiene nombre propio —bioquímica— y partes. En la notación, esa relación es…</w:t>
      </w:r>
      <w:bookmarkEnd w:id="2433"/>
    </w:p>
    <w:p>
      <w:pPr>
        <w:pStyle w:val="Normal"/>
      </w:pPr>
      <w:r>
        <w:t xml:space="preserve">a) Una simple línea sin rótulo</w:t>
      </w:r>
    </w:p>
    <w:p>
      <w:pPr>
        <w:pStyle w:val="Normal"/>
      </w:pPr>
      <w:r>
        <w:t xml:space="preserve">b) Una relación distinguida y sistematizada: un rectángulo sobre la línea, con partes</w:t>
      </w:r>
    </w:p>
    <w:p>
      <w:pPr>
        <w:pStyle w:val="Normal"/>
      </w:pPr>
      <w:r>
        <w:t xml:space="preserve">c) Una perspectiva de la biología sobre la química</w:t>
      </w:r>
    </w:p>
    <w:p>
      <w:pPr>
        <w:pStyle w:val="Normal"/>
      </w:pPr>
      <w:r>
        <w:t xml:space="preserve">d) Una categoría que contiene a las dos disciplinas</w:t>
      </w:r>
    </w:p>
    <w:p>
      <w:pPr>
        <w:pStyle w:val="Heading3"/>
      </w:pPr>
      <w:bookmarkStart w:name="b_pregunta_auto_3_2_23" w:id="2434"/>
      <w:r>
        <w:t xml:space="preserve">3.2-A23 · Aplicar la regla de relaciones a las partes de un todo produce…</w:t>
      </w:r>
      <w:bookmarkEnd w:id="2434"/>
    </w:p>
    <w:p>
      <w:pPr>
        <w:pStyle w:val="Normal"/>
      </w:pPr>
      <w:r>
        <w:t xml:space="preserve">a) Un todo cuyas partes quedan aisladas</w:t>
      </w:r>
    </w:p>
    <w:p>
      <w:pPr>
        <w:pStyle w:val="Normal"/>
      </w:pPr>
      <w:r>
        <w:t xml:space="preserve">b) Una ecología: un sistema de partes interrelacionadas, como un grupo social o un ecosistema</w:t>
      </w:r>
    </w:p>
    <w:p>
      <w:pPr>
        <w:pStyle w:val="Normal"/>
      </w:pPr>
      <w:r>
        <w:t xml:space="preserve">c) Una perspectiva nueva sobre el todo</w:t>
      </w:r>
    </w:p>
    <w:p>
      <w:pPr>
        <w:pStyle w:val="Normal"/>
      </w:pPr>
      <w:r>
        <w:t xml:space="preserve">d) Una distinción entre el todo y su entorno</w:t>
      </w:r>
    </w:p>
    <w:p>
      <w:pPr>
        <w:pStyle w:val="Heading3"/>
      </w:pPr>
      <w:bookmarkStart w:name="b_pregunta_auto_3_2_24" w:id="2435"/>
      <w:r>
        <w:t xml:space="preserve">3.2-A24 · Con sólo dos cosas, papá y yo, ¿cuántas perspectivas distintas pueden formarse?</w:t>
      </w:r>
      <w:bookmarkEnd w:id="2435"/>
    </w:p>
    <w:p>
      <w:pPr>
        <w:pStyle w:val="Normal"/>
      </w:pPr>
      <w:r>
        <w:t xml:space="preserve">a) Una, porque punto y vista son lo mismo</w:t>
      </w:r>
    </w:p>
    <w:p>
      <w:pPr>
        <w:pStyle w:val="Normal"/>
      </w:pPr>
      <w:r>
        <w:t xml:space="preserve">b) Dos: la de papá y la mía</w:t>
      </w:r>
    </w:p>
    <w:p>
      <w:pPr>
        <w:pStyle w:val="Normal"/>
      </w:pPr>
      <w:r>
        <w:t xml:space="preserve">c) Cuatro: papá sobre mí, yo sobre papá y dos de autorreflexión</w:t>
      </w:r>
    </w:p>
    <w:p>
      <w:pPr>
        <w:pStyle w:val="Normal"/>
      </w:pPr>
      <w:r>
        <w:t xml:space="preserve">d) Ninguna sin un tercero que observe</w:t>
      </w:r>
    </w:p>
    <w:p>
      <w:pPr>
        <w:pStyle w:val="Heading3"/>
      </w:pPr>
      <w:bookmarkStart w:name="b_pregunta_auto_3_2_25" w:id="2436"/>
      <w:r>
        <w:t xml:space="preserve">3.2-A25 · Un P-círculo es…</w:t>
      </w:r>
      <w:bookmarkEnd w:id="2436"/>
    </w:p>
    <w:p>
      <w:pPr>
        <w:pStyle w:val="Normal"/>
      </w:pPr>
      <w:r>
        <w:t xml:space="preserve">a) Un ciclo de retroalimentación de perspectivas</w:t>
      </w:r>
    </w:p>
    <w:p>
      <w:pPr>
        <w:pStyle w:val="Normal"/>
      </w:pPr>
      <w:r>
        <w:t xml:space="preserve">b) Una misma vista mirada a la vez desde varios puntos, cada uno con su ojo</w:t>
      </w:r>
    </w:p>
    <w:p>
      <w:pPr>
        <w:pStyle w:val="Normal"/>
      </w:pPr>
      <w:r>
        <w:t xml:space="preserve">c) Un círculo que encierra todas las partes de un sistema</w:t>
      </w:r>
    </w:p>
    <w:p>
      <w:pPr>
        <w:pStyle w:val="Normal"/>
      </w:pPr>
      <w:r>
        <w:t xml:space="preserve">d) Un diagrama de Venn de dos perspectivas</w:t>
      </w:r>
    </w:p>
    <w:p>
      <w:pPr>
        <w:pStyle w:val="Heading3"/>
      </w:pPr>
      <w:bookmarkStart w:name="b_pregunta_auto_3_2_26" w:id="2437"/>
      <w:r>
        <w:t xml:space="preserve">3.2-A26 · ¿Cuáles son, en orden, los pasos de una haltera RDS?</w:t>
      </w:r>
      <w:bookmarkEnd w:id="2437"/>
    </w:p>
    <w:p>
      <w:pPr>
        <w:pStyle w:val="Normal"/>
      </w:pPr>
      <w:r>
        <w:t xml:space="preserve">a) Relacionar con una línea, distinguir la relación con un rectángulo y rótulo, sistematizarla con partes</w:t>
      </w:r>
    </w:p>
    <w:p>
      <w:pPr>
        <w:pStyle w:val="Normal"/>
      </w:pPr>
      <w:r>
        <w:t xml:space="preserve">b) Revisar, dibujar y simular</w:t>
      </w:r>
    </w:p>
    <w:p>
      <w:pPr>
        <w:pStyle w:val="Normal"/>
      </w:pPr>
      <w:r>
        <w:t xml:space="preserve">c) Distinguir las ideas, relacionarlas y sumar sus partes</w:t>
      </w:r>
    </w:p>
    <w:p>
      <w:pPr>
        <w:pStyle w:val="Normal"/>
      </w:pPr>
      <w:r>
        <w:t xml:space="preserve">d) Rotular, dividir y sintetizar</w:t>
      </w:r>
    </w:p>
    <w:p>
      <w:pPr>
        <w:pStyle w:val="Heading3"/>
      </w:pPr>
      <w:bookmarkStart w:name="b_pregunta_auto_3_2_27" w:id="2438"/>
      <w:r>
        <w:t xml:space="preserve">3.2-A27 · ¿Qué distingue una analogía de un símil en las estructuras que muestra el video de plantillas cognitivas?</w:t>
      </w:r>
      <w:bookmarkEnd w:id="2438"/>
    </w:p>
    <w:p>
      <w:pPr>
        <w:pStyle w:val="Normal"/>
      </w:pPr>
      <w:r>
        <w:t xml:space="preserve">a) La analogía usa «es» y el símil «es como»</w:t>
      </w:r>
    </w:p>
    <w:p>
      <w:pPr>
        <w:pStyle w:val="Normal"/>
      </w:pPr>
      <w:r>
        <w:t xml:space="preserve">b) La analogía hace corresponder las partes de una cosa con las de la otra</w:t>
      </w:r>
    </w:p>
    <w:p>
      <w:pPr>
        <w:pStyle w:val="Normal"/>
      </w:pPr>
      <w:r>
        <w:t xml:space="preserve">c) El símil siempre es más largo</w:t>
      </w:r>
    </w:p>
    <w:p>
      <w:pPr>
        <w:pStyle w:val="Normal"/>
      </w:pPr>
      <w:r>
        <w:t xml:space="preserve">d) No hay diferencia estructural</w:t>
      </w:r>
    </w:p>
    <w:p>
      <w:pPr>
        <w:pStyle w:val="Heading3"/>
      </w:pPr>
      <w:bookmarkStart w:name="b_pregunta_auto_3_2_28" w:id="2439"/>
      <w:r>
        <w:t xml:space="preserve">3.2-A28 · ¿Por qué el video llama a las categorías un «callejón sin salida» y qué propone en su lugar?</w:t>
      </w:r>
      <w:bookmarkEnd w:id="2439"/>
    </w:p>
    <w:p>
      <w:pPr>
        <w:pStyle w:val="Normal"/>
      </w:pPr>
      <w:r>
        <w:t xml:space="preserve">a) Porque son difíciles de memorizar; propone memorizarlas mejor</w:t>
      </w:r>
    </w:p>
    <w:p>
      <w:pPr>
        <w:pStyle w:val="Normal"/>
      </w:pPr>
      <w:r>
        <w:t xml:space="preserve">b) Porque se basan en una perspectiva que casi nunca se declara; propone sistemas parte-todo agrupados desde perspectivas explícitas</w:t>
      </w:r>
    </w:p>
    <w:p>
      <w:pPr>
        <w:pStyle w:val="Normal"/>
      </w:pPr>
      <w:r>
        <w:t xml:space="preserve">c) Porque sólo sirven en biología; propone usarlas sólo ahí</w:t>
      </w:r>
    </w:p>
    <w:p>
      <w:pPr>
        <w:pStyle w:val="Normal"/>
      </w:pPr>
      <w:r>
        <w:t xml:space="preserve">d) Porque fueron inventadas por Aristóteles; propone abandonarlas</w:t>
      </w:r>
    </w:p>
    <w:p>
      <w:pPr>
        <w:pStyle w:val="Heading3"/>
      </w:pPr>
      <w:bookmarkStart w:name="b_solucionario_3_2" w:id="2440"/>
      <w:r>
        <w:t xml:space="preserve">Solucionario del capítulo</w:t>
      </w:r>
      <w:bookmarkEnd w:id="2440"/>
    </w:p>
    <w:p>
      <w:pPr>
        <w:pStyle w:val="Heading3"/>
      </w:pPr>
      <w:r>
        <w:t xml:space="preserve">3.2-A1</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b) Que «Partes» es observada desde la perspectiva estructural/ontológica cuyo ojo es verde</w:t>
            </w:r>
          </w:p>
        </w:tc>
      </w:tr>
    </w:tbl>
    <w:p>
      <w:pPr>
        <w:pStyle w:val="Normal"/>
      </w:pPr>
      <w:r>
        <w:t xml:space="preserve">Que «Partes» es observada desde la perspectiva estructural/ontológica cuyo ojo es verde</w:t>
      </w:r>
    </w:p>
    <w:p>
      <w:pPr>
        <w:pStyle w:val="Fuente"/>
      </w:pPr>
      <w:r>
        <w:t xml:space="preserve">Presentación de la unidad 3 (C-2), pág. 18 · Clase 10 · 01:34:27–01:36:26</w:t>
      </w:r>
    </w:p>
    <w:p>
      <w:pPr>
        <w:pStyle w:val="Heading3"/>
      </w:pPr>
      <w:r>
        <w:t xml:space="preserve">3.2-A2</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c) Solicitud, confirmación, pago y producto como partes de la relación distinguida</w:t>
            </w:r>
          </w:p>
        </w:tc>
      </w:tr>
    </w:tbl>
    <w:p>
      <w:pPr>
        <w:pStyle w:val="Normal"/>
      </w:pPr>
      <w:r>
        <w:t xml:space="preserve">Solicitud, confirmación, pago y producto como partes de la relación distinguida</w:t>
      </w:r>
    </w:p>
    <w:p>
      <w:pPr>
        <w:pStyle w:val="Fuente"/>
      </w:pPr>
      <w:r>
        <w:t xml:space="preserve">Presentación de la unidad 3 (C-2), pág. 10, 12 y 24 · Clase 10 · 01:25:44–01:26:25 · Clase 11 · 00:29:27–00:37:29</w:t>
      </w:r>
    </w:p>
    <w:p>
      <w:pPr>
        <w:pStyle w:val="Heading3"/>
      </w:pPr>
      <w:r>
        <w:t xml:space="preserve">3.2-A3</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d) Guía/soporte, expectativas y cuestionamiento/validación, respectivamente</w:t>
            </w:r>
          </w:p>
        </w:tc>
      </w:tr>
    </w:tbl>
    <w:p>
      <w:pPr>
        <w:pStyle w:val="Normal"/>
      </w:pPr>
      <w:r>
        <w:t xml:space="preserve">Guía/soporte, expectativas y cuestionamiento/validación, respectivamente</w:t>
      </w:r>
    </w:p>
    <w:p>
      <w:pPr>
        <w:pStyle w:val="Fuente"/>
      </w:pPr>
      <w:r>
        <w:t xml:space="preserve">Presentación de la unidad 3 (C-2), pág. 10, 12 y 24 · Clase 10 · 01:25:44–01:26:25 · Clase 11 · 00:29:27–00:37:29</w:t>
      </w:r>
    </w:p>
    <w:p>
      <w:pPr>
        <w:pStyle w:val="Heading3"/>
      </w:pPr>
      <w:r>
        <w:t xml:space="preserve">3.2-A4</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a) Como una hipótesis editorial sobre relaciones que debe discutirse y contrastarse en su contexto</w:t>
            </w:r>
          </w:p>
        </w:tc>
      </w:tr>
    </w:tbl>
    <w:p>
      <w:pPr>
        <w:pStyle w:val="Normal"/>
      </w:pPr>
      <w:r>
        <w:t xml:space="preserve">Como una hipótesis editorial sobre relaciones que debe discutirse y contrastarse en su contexto</w:t>
      </w:r>
    </w:p>
    <w:p>
      <w:pPr>
        <w:pStyle w:val="Fuente"/>
      </w:pPr>
      <w:r>
        <w:t xml:space="preserve">Presentación de la unidad 3 (C-2), pág. 10, 12 y 24 · Clase 10 · 01:25:44–01:26:25 · Clase 11 · 00:29:27–00:37:29</w:t>
      </w:r>
    </w:p>
    <w:p>
      <w:pPr>
        <w:pStyle w:val="Heading3"/>
      </w:pPr>
      <w:r>
        <w:t xml:space="preserve">3.2-A5</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b) Desde qué perspectivas se mira el asunto, sin detallar todavía qué observa cada una</w:t>
            </w:r>
          </w:p>
        </w:tc>
      </w:tr>
    </w:tbl>
    <w:p>
      <w:pPr>
        <w:pStyle w:val="Normal"/>
      </w:pPr>
      <w:r>
        <w:t xml:space="preserve">Desde qué perspectivas se mira el asunto, sin detallar todavía qué observa cada una</w:t>
      </w:r>
    </w:p>
    <w:p>
      <w:pPr>
        <w:pStyle w:val="Fuente"/>
      </w:pPr>
      <w:r>
        <w:t xml:space="preserve">Presentación de la unidad 3 (C-2), pág. 10, 12 y 24 · Clase 10 · 01:25:44–01:26:25 · Clase 11 · 00:29:27–00:37:29</w:t>
      </w:r>
    </w:p>
    <w:p>
      <w:pPr>
        <w:pStyle w:val="Heading3"/>
      </w:pPr>
      <w:r>
        <w:t xml:space="preserve">3.2-A6</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c) Ministerio de Salud, OMS y gobiernos tribales</w:t>
            </w:r>
          </w:p>
        </w:tc>
      </w:tr>
    </w:tbl>
    <w:p>
      <w:pPr>
        <w:pStyle w:val="Normal"/>
      </w:pPr>
      <w:r>
        <w:t xml:space="preserve">El ojo azul de política se corresponde con esos tres puntos azules de la vista; epidemiología y factores socioculturales seleccionan otras partes.</w:t>
      </w:r>
    </w:p>
    <w:p>
      <w:pPr>
        <w:pStyle w:val="Fuente"/>
      </w:pPr>
      <w:r>
        <w:t xml:space="preserve">Presentación de la unidad 3 (C-2), pág. 13, 26 y 27 · Clase 10 · 01:26:25</w:t>
      </w:r>
    </w:p>
    <w:p>
      <w:pPr>
        <w:pStyle w:val="Heading3"/>
      </w:pPr>
      <w:r>
        <w:t xml:space="preserve">3.2-A7</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d) Cliente: información reunida, costo y facilidad de uso</w:t>
            </w:r>
          </w:p>
        </w:tc>
      </w:tr>
    </w:tbl>
    <w:p>
      <w:pPr>
        <w:pStyle w:val="Normal"/>
      </w:pPr>
      <w:r>
        <w:t xml:space="preserve">La vista verde del cliente reúne información, costo y facilidad de uso. Es la selección del autor; no obliga a toda persona a ver lo mismo.</w:t>
      </w:r>
    </w:p>
    <w:p>
      <w:pPr>
        <w:pStyle w:val="Fuente"/>
      </w:pPr>
      <w:r>
        <w:t xml:space="preserve">Presentación de la unidad 3 (C-2), pág. 13, 26 y 27 · Clase 10 · 01:26:25</w:t>
      </w:r>
    </w:p>
    <w:p>
      <w:pPr>
        <w:pStyle w:val="Heading3"/>
      </w:pPr>
      <w:r>
        <w:t xml:space="preserve">3.2-A8</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a) Que distintos puntos pueden seleccionar una misma parte de la vista</w:t>
            </w:r>
          </w:p>
        </w:tc>
      </w:tr>
    </w:tbl>
    <w:p>
      <w:pPr>
        <w:pStyle w:val="Normal"/>
      </w:pPr>
      <w:r>
        <w:t xml:space="preserve">Que distintos puntos pueden seleccionar una misma parte de la vista</w:t>
      </w:r>
    </w:p>
    <w:p>
      <w:pPr>
        <w:pStyle w:val="Fuente"/>
      </w:pPr>
      <w:r>
        <w:t xml:space="preserve">Presentación de la unidad 3 (C-2), pág. 13, 26 y 27 · Clase 10 · 01:26:25</w:t>
      </w:r>
    </w:p>
    <w:p>
      <w:pPr>
        <w:pStyle w:val="Heading3"/>
      </w:pPr>
      <w:r>
        <w:t xml:space="preserve">3.2-A9</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b) Como una selección del autor que se puede discutir, sin generalizarla a todos los integrantes de esos grupos</w:t>
            </w:r>
          </w:p>
        </w:tc>
      </w:tr>
    </w:tbl>
    <w:p>
      <w:pPr>
        <w:pStyle w:val="Normal"/>
      </w:pPr>
      <w:r>
        <w:t xml:space="preserve">Como una selección del autor que se puede discutir, sin generalizarla a todos los integrantes de esos grupos</w:t>
      </w:r>
    </w:p>
    <w:p>
      <w:pPr>
        <w:pStyle w:val="Fuente"/>
      </w:pPr>
      <w:r>
        <w:t xml:space="preserve">Presentación de la unidad 3 (C-2), pág. 13, 26 y 27 · Clase 10 · 01:26:25</w:t>
      </w:r>
    </w:p>
    <w:p>
      <w:pPr>
        <w:pStyle w:val="Heading3"/>
      </w:pPr>
      <w:r>
        <w:t xml:space="preserve">3.2-A10</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c) Una relación parte–todo expresada por contención</w:t>
            </w:r>
          </w:p>
        </w:tc>
      </w:tr>
    </w:tbl>
    <w:p>
      <w:pPr>
        <w:pStyle w:val="Normal"/>
      </w:pPr>
      <w:r>
        <w:t xml:space="preserve">El contenedor Introducción organiza las secciones 1 y 2 como partes. Una curva de conexión tendría otra función y no es necesaria para expresar pertenencia.</w:t>
      </w:r>
    </w:p>
    <w:p>
      <w:pPr>
        <w:pStyle w:val="Fuente"/>
      </w:pPr>
      <w:r>
        <w:t xml:space="preserve">Presentación de la unidad 3 (C-2), pág. 30 · Clase 11 · 00:48:19–00:49:09 (organización y relaciones)</w:t>
      </w:r>
    </w:p>
    <w:p>
      <w:pPr>
        <w:pStyle w:val="Heading3"/>
      </w:pPr>
      <w:r>
        <w:t xml:space="preserve">3.2-A11</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d) Las curvas conectan partes del texto; ojo y punto explicitan desde dónde se mira y qué bloque se considera</w:t>
            </w:r>
          </w:p>
        </w:tc>
      </w:tr>
    </w:tbl>
    <w:p>
      <w:pPr>
        <w:pStyle w:val="Normal"/>
      </w:pPr>
      <w:r>
        <w:t xml:space="preserve">Las curvas conectan partes del texto; ojo y punto explicitan desde dónde se mira y qué bloque se considera</w:t>
      </w:r>
    </w:p>
    <w:p>
      <w:pPr>
        <w:pStyle w:val="Fuente"/>
      </w:pPr>
      <w:r>
        <w:t xml:space="preserve">Presentación de la unidad 3 (C-2), pág. 30 · Clase 11 · 00:48:19–00:49:09 (organización y relaciones)</w:t>
      </w:r>
    </w:p>
    <w:p>
      <w:pPr>
        <w:pStyle w:val="Heading3"/>
      </w:pPr>
      <w:r>
        <w:t xml:space="preserve">3.2-A12</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b) La teoría DSRP «hecha visible»: un diagrama donde cada marca aplica una de las cuatro operaciones</w:t>
            </w:r>
          </w:p>
        </w:tc>
      </w:tr>
    </w:tbl>
    <w:p>
      <w:pPr>
        <w:pStyle w:val="Normal"/>
      </w:pPr>
      <w:r>
        <w:t xml:space="preserve">Un mapa DSRP es la notación gráfica de las cuatro operaciones de Cabrera: cada rectángulo, contención, línea y par ojo-punto corresponde a una regla D, S, R o P.</w:t>
      </w:r>
    </w:p>
    <w:p>
      <w:pPr>
        <w:pStyle w:val="Normal"/>
      </w:pPr>
      <w:r>
        <w:t xml:space="preserve">a) No: no es cartografía; «el mapa no es el territorio».</w:t>
      </w:r>
    </w:p>
    <w:p>
      <w:pPr>
        <w:pStyle w:val="Normal"/>
      </w:pPr>
      <w:r>
        <w:t xml:space="preserve">b) Correcto: dibujar el sistema es aplicar Distinciones, Sistemas, Relaciones y Perspectivas.</w:t>
      </w:r>
    </w:p>
    <w:p>
      <w:pPr>
        <w:pStyle w:val="Normal"/>
      </w:pPr>
      <w:r>
        <w:t xml:space="preserve">c) No: DSRP no es una secuencia lineal de pasos.</w:t>
      </w:r>
    </w:p>
    <w:p>
      <w:pPr>
        <w:pStyle w:val="Normal"/>
      </w:pPr>
      <w:r>
        <w:t xml:space="preserve">d) Eso describe un patrón de comportamiento (Unidad 3.8), no un mapa DSRP.</w:t>
      </w:r>
    </w:p>
    <w:p>
      <w:pPr>
        <w:pStyle w:val="Fuente"/>
      </w:pPr>
      <w:r>
        <w:t xml:space="preserve">Cabrera · DSRP</w:t>
      </w:r>
    </w:p>
    <w:p>
      <w:pPr>
        <w:pStyle w:val="Heading3"/>
      </w:pPr>
      <w:r>
        <w:t xml:space="preserve">3.2-A13</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c) D · Distinciones</w:t>
            </w:r>
          </w:p>
        </w:tc>
      </w:tr>
    </w:tbl>
    <w:p>
      <w:pPr>
        <w:pStyle w:val="Normal"/>
      </w:pPr>
      <w:r>
        <w:t xml:space="preserve">Trazar la frontera de cada idea —identidad </w:t>
      </w:r>
      <w:r>
        <w:rPr>
          <w:rFonts w:ascii="DejaVu Serif" w:cs="DejaVu Serif" w:eastAsia="DejaVu Serif" w:hAnsi="DejaVu Serif"/>
        </w:rPr>
        <w:t xml:space="preserve">⇔</w:t>
      </w:r>
      <w:r>
        <w:t xml:space="preserve"> otro— es la operación de Distinciones. Es la base del mapa: sin ideas distinguidas no hay nada que agrupar ni relacionar.</w:t>
      </w:r>
    </w:p>
    <w:p>
      <w:pPr>
        <w:pStyle w:val="Heading3"/>
      </w:pPr>
      <w:r>
        <w:t xml:space="preserve">3.2-A14</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b) S · Sistemas (parte </w:t>
            </w:r>
            <w:r>
              <w:rPr>
                <w:rFonts w:ascii="DejaVu Serif" w:cs="DejaVu Serif" w:eastAsia="DejaVu Serif" w:hAnsi="DejaVu Serif"/>
              </w:rPr>
              <w:t xml:space="preserve">⇔</w:t>
            </w:r>
            <w:r>
              <w:t xml:space="preserve"> todo)</w:t>
            </w:r>
          </w:p>
        </w:tc>
      </w:tr>
    </w:tbl>
    <w:p>
      <w:pPr>
        <w:pStyle w:val="Normal"/>
      </w:pPr>
      <w:r>
        <w:t xml:space="preserve">Contener ideas dentro de un todo mayor (o descomponer un todo en partes) es la operación de Sistemas: el par parte </w:t>
      </w:r>
      <w:r>
        <w:rPr>
          <w:rFonts w:ascii="DejaVu Serif" w:cs="DejaVu Serif" w:eastAsia="DejaVu Serif" w:hAnsi="DejaVu Serif"/>
        </w:rPr>
        <w:t xml:space="preserve">⇔</w:t>
      </w:r>
      <w:r>
        <w:t xml:space="preserve"> todo. No hace falta ninguna línea para decir «es parte de».</w:t>
      </w:r>
    </w:p>
    <w:p>
      <w:pPr>
        <w:pStyle w:val="Fuente"/>
      </w:pPr>
      <w:r>
        <w:t xml:space="preserve">Clase 10 · lámina de sintaxis</w:t>
      </w:r>
    </w:p>
    <w:p>
      <w:pPr>
        <w:pStyle w:val="Heading3"/>
      </w:pPr>
      <w:r>
        <w:t xml:space="preserve">3.2-A15</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a) R · Relaciones</w:t>
            </w:r>
          </w:p>
        </w:tc>
      </w:tr>
    </w:tbl>
    <w:p>
      <w:pPr>
        <w:pStyle w:val="Normal"/>
      </w:pPr>
      <w:r>
        <w:t xml:space="preserve">Las relaciones se dibujan como líneas entre ideas, y las líneas se reservan sólo para eso. Son las que conectan las partes y hacen que el todo se comporte como sistema.</w:t>
      </w:r>
    </w:p>
    <w:p>
      <w:pPr>
        <w:pStyle w:val="Normal"/>
      </w:pPr>
      <w:r>
        <w:t xml:space="preserve">a) Correcto: cada línea es una relación acción </w:t>
      </w:r>
      <w:r>
        <w:rPr>
          <w:rFonts w:ascii="DejaVu Serif" w:cs="DejaVu Serif" w:eastAsia="DejaVu Serif" w:hAnsi="DejaVu Serif"/>
        </w:rPr>
        <w:t xml:space="preserve">⇔</w:t>
      </w:r>
      <w:r>
        <w:t xml:space="preserve"> reacción entre dos ideas; la punta de flecha sólo añade el sentido.</w:t>
      </w:r>
    </w:p>
    <w:p>
      <w:pPr>
        <w:pStyle w:val="Normal"/>
      </w:pPr>
      <w:r>
        <w:t xml:space="preserve">b) No: los sistemas se dibujan con contención, no con líneas.</w:t>
      </w:r>
    </w:p>
    <w:p>
      <w:pPr>
        <w:pStyle w:val="Normal"/>
      </w:pPr>
      <w:r>
        <w:t xml:space="preserve">c) No: la perspectiva lleva un ojo en el punto y un punto del mismo color en la vista.</w:t>
      </w:r>
    </w:p>
    <w:p>
      <w:pPr>
        <w:pStyle w:val="Normal"/>
      </w:pPr>
      <w:r>
        <w:t xml:space="preserve">d) No: las distinciones son los rectángulos, no las conexiones.</w:t>
      </w:r>
    </w:p>
    <w:p>
      <w:pPr>
        <w:pStyle w:val="Fuente"/>
      </w:pPr>
      <w:r>
        <w:t xml:space="preserve">Clase 10 · ST101.17 02:53</w:t>
      </w:r>
    </w:p>
    <w:p>
      <w:pPr>
        <w:pStyle w:val="Heading3"/>
      </w:pPr>
      <w:r>
        <w:t xml:space="preserve">3.2-A16</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b) Es normal: todo mapa se arma desde una perspectiva, así que es una vista posible del sistema, no el sistema mismo</w:t>
            </w:r>
          </w:p>
        </w:tc>
      </w:tr>
    </w:tbl>
    <w:p>
      <w:pPr>
        <w:pStyle w:val="Normal"/>
      </w:pPr>
      <w:r>
        <w:t xml:space="preserve">La regla P recuerda que un mapa es una organización posible desde un punto de vista. «El mapa no es el territorio»: reagrupar o cambiar de perspectiva produce otro mapa igual de válido.</w:t>
      </w:r>
    </w:p>
    <w:p>
      <w:pPr>
        <w:pStyle w:val="Fuente"/>
      </w:pPr>
      <w:r>
        <w:t xml:space="preserve">Regla P</w:t>
      </w:r>
    </w:p>
    <w:p>
      <w:pPr>
        <w:pStyle w:val="Heading3"/>
      </w:pPr>
      <w:r>
        <w:t xml:space="preserve">3.2-A17</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b) Porque las demás marcas se dibujan sobre las ideas: sin distinguirlas, no hay qué contener (S), conectar (R) ni mirar (P)</w:t>
            </w:r>
          </w:p>
        </w:tc>
      </w:tr>
    </w:tbl>
    <w:p>
      <w:pPr>
        <w:pStyle w:val="Normal"/>
      </w:pPr>
      <w:r>
        <w:t xml:space="preserve">Distinguir las ideas crea el soporte del mapa. Aun así, DSRP no es una receta lineal: una vez colocadas, las capas S, R y P se aplican y reajustan en cualquier orden.</w:t>
      </w:r>
    </w:p>
    <w:p>
      <w:pPr>
        <w:pStyle w:val="Normal"/>
      </w:pPr>
      <w:r>
        <w:t xml:space="preserve">a) No: ninguna regla es «más importante»; se co-implican y se anidan.</w:t>
      </w:r>
    </w:p>
    <w:p>
      <w:pPr>
        <w:pStyle w:val="Normal"/>
      </w:pPr>
      <w:r>
        <w:t xml:space="preserve">b) Correcto: los rectángulos son el soporte sobre el que se dibujan las demás marcas.</w:t>
      </w:r>
    </w:p>
    <w:p>
      <w:pPr>
        <w:pStyle w:val="Normal"/>
      </w:pPr>
      <w:r>
        <w:t xml:space="preserve">c) No: DSRP no es una secuencia rígida; las operaciones se combinan y anidan.</w:t>
      </w:r>
    </w:p>
    <w:p>
      <w:pPr>
        <w:pStyle w:val="Normal"/>
      </w:pPr>
      <w:r>
        <w:t xml:space="preserve">d) Falso: la perspectiva decide desde dónde se mira y qué se resalta.</w:t>
      </w:r>
    </w:p>
    <w:p>
      <w:pPr>
        <w:pStyle w:val="Heading3"/>
      </w:pPr>
      <w:r>
        <w:t xml:space="preserve">3.2-A18</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c) Con un ojo de color en la idea que mira (punto) y un punto del mismo color en la idea mirada (vista)</w:t>
            </w:r>
          </w:p>
        </w:tc>
      </w:tr>
    </w:tbl>
    <w:p>
      <w:pPr>
        <w:pStyle w:val="Normal"/>
      </w:pPr>
      <w:r>
        <w:t xml:space="preserve">La perspectiva es punto más vista: el ojo señala desde dónde se mira y el punto del mismo color, qué se mira. Un ojo sin punto deja la regla a medias. En los videos del Cabrera Lab el punto aparece al final de una línea que sale del ojo; significa lo mismo.</w:t>
      </w:r>
    </w:p>
    <w:p>
      <w:pPr>
        <w:pStyle w:val="Normal"/>
      </w:pPr>
      <w:r>
        <w:t xml:space="preserve">a) No: el grosor no significa nada; una línea es una relación.</w:t>
      </w:r>
    </w:p>
    <w:p>
      <w:pPr>
        <w:pStyle w:val="Normal"/>
      </w:pPr>
      <w:r>
        <w:t xml:space="preserve">b) No: un recuadro alrededor de ideas es contención, es decir, parte-todo.</w:t>
      </w:r>
    </w:p>
    <w:p>
      <w:pPr>
        <w:pStyle w:val="Normal"/>
      </w:pPr>
      <w:r>
        <w:t xml:space="preserve">c) Correcto: es el par ojo y punto de la clase 10 y de los metamapas del Cabrera Lab.</w:t>
      </w:r>
    </w:p>
    <w:p>
      <w:pPr>
        <w:pStyle w:val="Normal"/>
      </w:pPr>
      <w:r>
        <w:t xml:space="preserve">d) No: el color no decora ni marca perspectivas.</w:t>
      </w:r>
    </w:p>
    <w:p>
      <w:pPr>
        <w:pStyle w:val="Fuente"/>
      </w:pPr>
      <w:r>
        <w:t xml:space="preserve">Clase 10 · ST101.20 01:20</w:t>
      </w:r>
    </w:p>
    <w:p>
      <w:pPr>
        <w:pStyle w:val="Heading3"/>
      </w:pPr>
      <w:r>
        <w:t xml:space="preserve">3.2-A19</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b) El mapa es la notación gráfica de esas mismas operaciones: pensar con DSRP y dibujar un mapa DSRP son la misma actividad hecha visible</w:t>
            </w:r>
          </w:p>
        </w:tc>
      </w:tr>
    </w:tbl>
    <w:p>
      <w:pPr>
        <w:pStyle w:val="Normal"/>
      </w:pPr>
      <w:r>
        <w:t xml:space="preserve">Las operaciones DSRP (1.6) y el hub DSRP describen las cuatro reglas del pensamiento sistémico; el mapa es esas reglas puestas sobre el papel. Mapear un sistema es hacer explícito el pensamiento sistémico.</w:t>
      </w:r>
    </w:p>
    <w:p>
      <w:pPr>
        <w:pStyle w:val="Fuente"/>
      </w:pPr>
      <w:r>
        <w:t xml:space="preserve">Enlaza 1.6 y el hub /dsrp</w:t>
      </w:r>
    </w:p>
    <w:p>
      <w:pPr>
        <w:pStyle w:val="Heading3"/>
      </w:pPr>
      <w:r>
        <w:t xml:space="preserve">3.2-A20</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b) Las líneas se reservan para las relaciones; «es parte de» debe decirse con contención o tamaño</w:t>
            </w:r>
          </w:p>
        </w:tc>
      </w:tr>
    </w:tbl>
    <w:p>
      <w:pPr>
        <w:pStyle w:val="Normal"/>
      </w:pPr>
      <w:r>
        <w:t xml:space="preserve">Si una línea puede ser «es parte de», «se relaciona con» o nada, el lector no sabe qué leer. Los metamapas reservan las líneas para las relaciones y el tamaño o la contención para parte-todo; toda jerarquía es, en el fondo, parte-todo.</w:t>
      </w:r>
    </w:p>
    <w:p>
      <w:pPr>
        <w:pStyle w:val="Fuente"/>
      </w:pPr>
      <w:r>
        <w:t xml:space="preserve">ST101.17 · 04:03</w:t>
      </w:r>
    </w:p>
    <w:p>
      <w:pPr>
        <w:pStyle w:val="Heading3"/>
      </w:pPr>
      <w:r>
        <w:t xml:space="preserve">3.2-A21</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c) Marcar, con las esquinas D, S, R y P de cada tarjeta, hacia dónde puede crecer el mapa</w:t>
            </w:r>
          </w:p>
        </w:tc>
      </w:tr>
    </w:tbl>
    <w:p>
      <w:pPr>
        <w:pStyle w:val="Normal"/>
      </w:pPr>
      <w:r>
        <w:t xml:space="preserve">El video critica el color echado encima de una estructura, que resta claridad. Los metamapas lo usan con mesura: cada tarjeta muestra una esquina por regla DSRP para indicar dónde puede crecer.</w:t>
      </w:r>
    </w:p>
    <w:p>
      <w:pPr>
        <w:pStyle w:val="Fuente"/>
      </w:pPr>
      <w:r>
        <w:t xml:space="preserve">ST101.17 · 01:54</w:t>
      </w:r>
    </w:p>
    <w:p>
      <w:pPr>
        <w:pStyle w:val="Heading3"/>
      </w:pPr>
      <w:r>
        <w:t xml:space="preserve">3.2-A22</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b) Una relación distinguida y sistematizada: un rectángulo sobre la línea, con partes</w:t>
            </w:r>
          </w:p>
        </w:tc>
      </w:tr>
    </w:tbl>
    <w:p>
      <w:pPr>
        <w:pStyle w:val="Normal"/>
      </w:pPr>
      <w:r>
        <w:t xml:space="preserve">Es el resultado de combinar un todo con partes y una relación: la relación se distingue con su propio rectángulo y nombre y se sistematiza con partes. Es la haltera RDS completa.</w:t>
      </w:r>
    </w:p>
    <w:p>
      <w:pPr>
        <w:pStyle w:val="Fuente"/>
      </w:pPr>
      <w:r>
        <w:t xml:space="preserve">ST101.15 · 00:58</w:t>
      </w:r>
    </w:p>
    <w:p>
      <w:pPr>
        <w:pStyle w:val="Heading3"/>
      </w:pPr>
      <w:r>
        <w:t xml:space="preserve">3.2-A23</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b) Una ecología: un sistema de partes interrelacionadas, como un grupo social o un ecosistema</w:t>
            </w:r>
          </w:p>
        </w:tc>
      </w:tr>
    </w:tbl>
    <w:p>
      <w:pPr>
        <w:pStyle w:val="Normal"/>
      </w:pPr>
      <w:r>
        <w:t xml:space="preserve">Relaciones más parte-todo dan un sistema de partes interrelacionadas. Es también la «fiesta de partes»: una fiesta donde los invitados no conversan es aburrida.</w:t>
      </w:r>
    </w:p>
    <w:p>
      <w:pPr>
        <w:pStyle w:val="Fuente"/>
      </w:pPr>
      <w:r>
        <w:t xml:space="preserve">ST101.15 · 01:43</w:t>
      </w:r>
    </w:p>
    <w:p>
      <w:pPr>
        <w:pStyle w:val="Heading3"/>
      </w:pPr>
      <w:r>
        <w:t xml:space="preserve">3.2-A24</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c) Cuatro: papá sobre mí, yo sobre papá y dos de autorreflexión</w:t>
            </w:r>
          </w:p>
        </w:tc>
      </w:tr>
    </w:tbl>
    <w:p>
      <w:pPr>
        <w:pStyle w:val="Normal"/>
      </w:pPr>
      <w:r>
        <w:t xml:space="preserve">Una perspectiva es punto más vista, así que importa qué cosa ocupa cada lugar. Con dos cosas hay cuatro combinaciones; cuando punto y vista coinciden hay autorreflexión.</w:t>
      </w:r>
    </w:p>
    <w:p>
      <w:pPr>
        <w:pStyle w:val="Fuente"/>
      </w:pPr>
      <w:r>
        <w:t xml:space="preserve">ST101.20 · 01:04</w:t>
      </w:r>
    </w:p>
    <w:p>
      <w:pPr>
        <w:pStyle w:val="Heading3"/>
      </w:pPr>
      <w:r>
        <w:t xml:space="preserve">3.2-A25</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b) Una misma vista mirada a la vez desde varios puntos, cada uno con su ojo</w:t>
            </w:r>
          </w:p>
        </w:tc>
      </w:tr>
    </w:tbl>
    <w:p>
      <w:pPr>
        <w:pStyle w:val="Normal"/>
      </w:pPr>
      <w:r>
        <w:t xml:space="preserve">La plantilla toma una idea como vista y la mira desde varios puntos: por ejemplo, el hambre en el mundo desde los puntos ambiental, económico y político.</w:t>
      </w:r>
    </w:p>
    <w:p>
      <w:pPr>
        <w:pStyle w:val="Fuente"/>
      </w:pPr>
      <w:r>
        <w:t xml:space="preserve">ST101.20 · 01:47</w:t>
      </w:r>
    </w:p>
    <w:p>
      <w:pPr>
        <w:pStyle w:val="Heading3"/>
      </w:pPr>
      <w:r>
        <w:t xml:space="preserve">3.2-A26</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a) Relacionar con una línea, distinguir la relación con un rectángulo y rótulo, sistematizarla con partes</w:t>
            </w:r>
          </w:p>
        </w:tc>
      </w:tr>
    </w:tbl>
    <w:p>
      <w:pPr>
        <w:pStyle w:val="Normal"/>
      </w:pPr>
      <w:r>
        <w:t xml:space="preserve">R es relacionar dibujando la línea; D, distinguir qué relación es con un rectángulo y una etiqueta sobre la línea; S, sistematizarla añadiéndole partes más pequeñas.</w:t>
      </w:r>
    </w:p>
    <w:p>
      <w:pPr>
        <w:pStyle w:val="Fuente"/>
      </w:pPr>
      <w:r>
        <w:t xml:space="preserve">ST101.20 · 04:47</w:t>
      </w:r>
    </w:p>
    <w:p>
      <w:pPr>
        <w:pStyle w:val="Heading3"/>
      </w:pPr>
      <w:r>
        <w:t xml:space="preserve">3.2-A27</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b) La analogía hace corresponder las partes de una cosa con las de la otra</w:t>
            </w:r>
          </w:p>
        </w:tc>
      </w:tr>
    </w:tbl>
    <w:p>
      <w:pPr>
        <w:pStyle w:val="Normal"/>
      </w:pPr>
      <w:r>
        <w:t xml:space="preserve">Las dos dicen «es como», pero la analogía despliega la correspondencia parte por parte; la metáfora, en cambio, dice «es».</w:t>
      </w:r>
    </w:p>
    <w:p>
      <w:pPr>
        <w:pStyle w:val="Fuente"/>
      </w:pPr>
      <w:r>
        <w:t xml:space="preserve">ST101.19 · 02:19</w:t>
      </w:r>
    </w:p>
    <w:p>
      <w:pPr>
        <w:pStyle w:val="Heading3"/>
      </w:pPr>
      <w:r>
        <w:t xml:space="preserve">3.2-A28</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b) Porque se basan en una perspectiva que casi nunca se declara; propone sistemas parte-todo agrupados desde perspectivas explícitas</w:t>
            </w:r>
          </w:p>
        </w:tc>
      </w:tr>
    </w:tbl>
    <w:p>
      <w:pPr>
        <w:pStyle w:val="Normal"/>
      </w:pPr>
      <w:r>
        <w:t xml:space="preserve">¿El tomate es fruta o verdura? Depende del punto: para la botánica es fruto; en la cocina, verdura. Declarar la perspectiva y agrupar como parte-todo saca a la discusión del callejón.</w:t>
      </w:r>
    </w:p>
    <w:p>
      <w:pPr>
        <w:pStyle w:val="Fuente"/>
        <w:sectPr>
          <w:headerReference w:type="default" r:id="rId168"/>
          <w:headerReference w:type="first" r:id="rId169"/>
          <w:headerReference w:type="even" r:id="rId170"/>
          <w:footerReference w:type="default" r:id="rId171"/>
          <w:footerReference w:type="first" r:id="rId172"/>
          <w:footerReference w:type="even" r:id="rId173"/>
          <w:type w:val="nextPage"/>
          <w:pgSz w:w="12240" w:h="15840" w:orient="portrait"/>
          <w:pgMar w:top="1361" w:right="1134" w:bottom="1361" w:left="1474" w:header="650" w:footer="680" w:gutter="0"/>
          <w:pgNumType/>
          <w:titlePg/>
          <w:docGrid w:linePitch="360"/>
        </w:sectPr>
      </w:pPr>
      <w:r>
        <w:t xml:space="preserve">ST101.19 · 05:37</w:t>
      </w:r>
    </w:p>
    <w:p>
      <w:pPr>
        <w:pStyle w:val="Heading2"/>
      </w:pPr>
      <w:bookmarkStart w:name="b_3_3" w:id="2441"/>
      <w:r>
        <w:t xml:space="preserve">3.3 · Diagramas de ciclos causales</w:t>
      </w:r>
      <w:bookmarkEnd w:id="2441"/>
    </w:p>
    <w:p>
      <w:pPr>
        <w:pStyle w:val="Subtitulo"/>
      </w:pPr>
      <w:r>
        <w:t xml:space="preserve">Mapas sistémicos relacionales: diagramas de causa y efecto (o de ciclos causales)</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En una línea</w:t>
            </w:r>
          </w:p>
          <w:p>
            <w:pPr>
              <w:pStyle w:val="Recuadro"/>
            </w:pPr>
            <w:r>
              <w:t xml:space="preserve">Variables unidas por flechas con polaridad; donde la cadena vuelve sobre sí misma, hay un ciclo.</w:t>
            </w:r>
          </w:p>
        </w:tc>
      </w:tr>
    </w:tbl>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Qué te preguntan</w:t>
            </w:r>
          </w:p>
          <w:p>
            <w:pPr>
              <w:pStyle w:val="Recuadro"/>
            </w:pPr>
            <w:r>
              <w:t xml:space="preserve">Dibujar el diagrama de una historia usando sólo sus variables, con cabeza de flecha en cada relación, el signo de cada polaridad y el identificador del ciclo al centro. Y leerlo al revés: convertir un diagrama en el relato que cuenta, con la cola de la flecha como causa y la punta como efecto.</w:t>
            </w:r>
          </w:p>
        </w:tc>
      </w:tr>
    </w:tbl>
    <w:p>
      <w:pPr>
        <w:pStyle w:val="Normal"/>
      </w:pPr>
      <w:r>
        <w:t xml:space="preserve">El diagrama de ciclos causales (de bucles causales, de relaciones causales o de causa y efecto) es la variante de DSRP que usa sólo variables y flechas para mostrar la estructura dinámica. Cada flecha va de la causa (cola) al efecto (cabeza) con su polaridad: «+», mismo sentido; «−», sentido opuesto; al centro va la polaridad del ciclo (R o bola de nieve; B, C o balanza). Está bien si, leído por sus polaridades, cuenta la historia pedida.</w:t>
      </w:r>
    </w:p>
    <w:p>
      <w:pPr>
        <w:pStyle w:val="Heading3"/>
      </w:pPr>
      <w:r>
        <w:t xml:space="preserve">Vocabulario clave</w:t>
      </w:r>
    </w:p>
    <w:p>
      <w:pPr>
        <w:pStyle w:val="Normal"/>
      </w:pPr>
      <w:r>
        <w:t xml:space="preserve">diagrama de ciclos causales (de bucles causales, de relaciones causales; mapa o modelo de causa y efecto) · variable (distinción conceptual del sistema) · flecha causal (cola = causa o causante; cabeza o punta = efecto) · polaridad (signo sobre la flecha) · relación positiva «+» (mismo sentido) · relación negativa «−» (sentido opuesto, efecto inverso) · polaridad del ciclo (al centro: «+», R, bola de nieve; «−», B, C, balanza) · demora (dos líneas atravesadas o la palabra «demora») · historia del diagrama (la firma del autor) · diagrama de proceso (lineal) frente a diagrama sistémico</w:t>
      </w:r>
    </w:p>
    <w:p>
      <w:pPr>
        <w:pStyle w:val="Fuente"/>
      </w:pPr>
      <w:r>
        <w:t xml:space="preserve">Recorrido: desarrollo conceptual → presentaciones → explicación en clase → errores y fuentes → práctica → solucionario.</w:t>
      </w:r>
    </w:p>
    <w:p>
      <w:pPr>
        <w:pStyle w:val="Heading3"/>
      </w:pPr>
      <w:bookmarkStart w:name="b_lectura_p3" w:id="2442"/>
      <w:r>
        <w:t xml:space="preserve">P3. Variables y polaridad de una relación causal</w:t>
      </w:r>
      <w:bookmarkEnd w:id="2442"/>
    </w:p>
    <w:p>
      <w:pPr>
        <w:pStyle w:val="Normal"/>
      </w:pPr>
      <w:r>
        <w:t xml:space="preserve">Una variable debe poder aumentar o disminuir dentro del significado definido. La polaridad compara el </w:t>
      </w:r>
      <w:r>
        <w:rPr>
          <w:b/>
          <w:bCs/>
        </w:rPr>
        <w:t xml:space="preserve">sentido de cambio</w:t>
      </w:r>
      <w:r>
        <w:t xml:space="preserve"> entre dos variables, manteniendo las demás condiciones pertinentes constantes:</w:t>
      </w:r>
    </w:p>
    <w:p>
      <w:pPr>
        <w:pStyle w:val="Normal"/>
        <w:numPr>
          <w:ilvl w:val="0"/>
          <w:numId w:val="2"/>
        </w:numPr>
      </w:pPr>
      <w:r>
        <w:rPr>
          <w:b/>
          <w:bCs/>
        </w:rPr>
        <w:t xml:space="preserve">Positiva (+):</w:t>
      </w:r>
      <w:r>
        <w:t xml:space="preserve"> cambian en el mismo sentido. Más A conduce a más B; menos A conduce a menos B.</w:t>
      </w:r>
    </w:p>
    <w:p>
      <w:pPr>
        <w:pStyle w:val="Normal"/>
        <w:numPr>
          <w:ilvl w:val="0"/>
          <w:numId w:val="2"/>
        </w:numPr>
      </w:pPr>
      <w:r>
        <w:rPr>
          <w:b/>
          <w:bCs/>
        </w:rPr>
        <w:t xml:space="preserve">Negativa (−):</w:t>
      </w:r>
      <w:r>
        <w:t xml:space="preserve"> cambian en sentidos opuestos. Más A conduce a menos B; menos A conduce a más B.</w:t>
      </w:r>
    </w:p>
    <w:p>
      <w:pPr>
        <w:pStyle w:val="Normal"/>
      </w:pPr>
      <w:r>
        <w:t xml:space="preserve">El signo no significa bueno o malo; tampoco se elige porque aparezca la palabra «menos».</w:t>
      </w:r>
    </w:p>
    <w:tbl>
      <w:tblPr>
        <w:tblW w:type="dxa" w:w="9632"/>
        <w:tblBorders>
          <w:top w:val="single" w:color="C5D5DB" w:sz="4"/>
          <w:left w:val="single" w:color="C5D5DB" w:sz="4"/>
          <w:bottom w:val="single" w:color="C5D5DB" w:sz="4"/>
          <w:right w:val="single" w:color="C5D5DB" w:sz="4"/>
          <w:insideH w:val="single" w:color="E4E9EB" w:sz="3"/>
          <w:insideV w:val="single" w:color="E4E9EB" w:sz="3"/>
        </w:tblBorders>
        <w:tblLayout w:type="fixed"/>
      </w:tblPr>
      <w:tblGrid>
        <w:gridCol w:w="3212"/>
        <w:gridCol w:w="3210"/>
        <w:gridCol w:w="3210"/>
      </w:tblGrid>
      <w:tr>
        <w:trPr>
          <w:cantSplit/>
          <w:tblHeader/>
        </w:trPr>
        <w:tc>
          <w:tcPr>
            <w:tcW w:type="dxa" w:w="3212"/>
            <w:shd w:fill="DFEAF0" w:val="clear"/>
            <w:tcMar>
              <w:top w:type="dxa" w:w="80"/>
              <w:left w:type="dxa" w:w="100"/>
              <w:bottom w:type="dxa" w:w="80"/>
              <w:right w:type="dxa" w:w="100"/>
            </w:tcMar>
          </w:tcPr>
          <w:p>
            <w:pPr>
              <w:pStyle w:val="Tabla"/>
            </w:pPr>
            <w:r>
              <w:rPr>
                <w:b/>
                <w:bCs/>
              </w:rPr>
              <w:t xml:space="preserve">Relación practicada</w:t>
            </w:r>
          </w:p>
        </w:tc>
        <w:tc>
          <w:tcPr>
            <w:tcW w:type="dxa" w:w="3210"/>
            <w:shd w:fill="DFEAF0" w:val="clear"/>
            <w:tcMar>
              <w:top w:type="dxa" w:w="80"/>
              <w:left w:type="dxa" w:w="100"/>
              <w:bottom w:type="dxa" w:w="80"/>
              <w:right w:type="dxa" w:w="100"/>
            </w:tcMar>
          </w:tcPr>
          <w:p>
            <w:pPr>
              <w:pStyle w:val="Tabla"/>
            </w:pPr>
            <w:r>
              <w:rPr>
                <w:b/>
                <w:bCs/>
              </w:rPr>
              <w:t xml:space="preserve">Signo</w:t>
            </w:r>
          </w:p>
        </w:tc>
        <w:tc>
          <w:tcPr>
            <w:tcW w:type="dxa" w:w="3210"/>
            <w:shd w:fill="DFEAF0" w:val="clear"/>
            <w:tcMar>
              <w:top w:type="dxa" w:w="80"/>
              <w:left w:type="dxa" w:w="100"/>
              <w:bottom w:type="dxa" w:w="80"/>
              <w:right w:type="dxa" w:w="100"/>
            </w:tcMar>
          </w:tcPr>
          <w:p>
            <w:pPr>
              <w:pStyle w:val="Tabla"/>
            </w:pPr>
            <w:r>
              <w:rPr>
                <w:b/>
                <w:bCs/>
              </w:rPr>
              <w:t xml:space="preserve">Razón</w:t>
            </w:r>
          </w:p>
        </w:tc>
      </w:tr>
      <w:tr>
        <w:trPr>
          <w:cantSplit/>
          <w:tblHeader w:val="off"/>
        </w:trPr>
        <w:tc>
          <w:tcPr>
            <w:tcW w:type="dxa" w:w="3212"/>
            <w:tcMar>
              <w:top w:type="dxa" w:w="80"/>
              <w:left w:type="dxa" w:w="100"/>
              <w:bottom w:type="dxa" w:w="80"/>
              <w:right w:type="dxa" w:w="100"/>
            </w:tcMar>
          </w:tcPr>
          <w:p>
            <w:pPr>
              <w:pStyle w:val="Tabla"/>
            </w:pPr>
            <w:r>
              <w:t xml:space="preserve">Más préstamos → menos libros disponibles</w:t>
            </w:r>
          </w:p>
        </w:tc>
        <w:tc>
          <w:tcPr>
            <w:tcW w:type="dxa" w:w="3210"/>
            <w:tcMar>
              <w:top w:type="dxa" w:w="80"/>
              <w:left w:type="dxa" w:w="100"/>
              <w:bottom w:type="dxa" w:w="80"/>
              <w:right w:type="dxa" w:w="100"/>
            </w:tcMar>
          </w:tcPr>
          <w:p>
            <w:pPr>
              <w:pStyle w:val="Tabla"/>
            </w:pPr>
            <w:r>
              <w:t xml:space="preserve">−</w:t>
            </w:r>
          </w:p>
        </w:tc>
        <w:tc>
          <w:tcPr>
            <w:tcW w:type="dxa" w:w="3210"/>
            <w:tcMar>
              <w:top w:type="dxa" w:w="80"/>
              <w:left w:type="dxa" w:w="100"/>
              <w:bottom w:type="dxa" w:w="80"/>
              <w:right w:type="dxa" w:w="100"/>
            </w:tcMar>
          </w:tcPr>
          <w:p>
            <w:pPr>
              <w:pStyle w:val="Tabla"/>
            </w:pPr>
            <w:r>
              <w:t xml:space="preserve">Cambios en sentidos opuestos.</w:t>
            </w:r>
          </w:p>
        </w:tc>
      </w:tr>
      <w:tr>
        <w:trPr>
          <w:cantSplit/>
          <w:tblHeader w:val="off"/>
        </w:trPr>
        <w:tc>
          <w:tcPr>
            <w:tcW w:type="dxa" w:w="3212"/>
            <w:tcMar>
              <w:top w:type="dxa" w:w="80"/>
              <w:left w:type="dxa" w:w="100"/>
              <w:bottom w:type="dxa" w:w="80"/>
              <w:right w:type="dxa" w:w="100"/>
            </w:tcMar>
          </w:tcPr>
          <w:p>
            <w:pPr>
              <w:pStyle w:val="Tabla"/>
            </w:pPr>
            <w:r>
              <w:t xml:space="preserve">Más libros deteriorados → mayor necesidad de reparaciones</w:t>
            </w:r>
          </w:p>
        </w:tc>
        <w:tc>
          <w:tcPr>
            <w:tcW w:type="dxa" w:w="3210"/>
            <w:tcMar>
              <w:top w:type="dxa" w:w="80"/>
              <w:left w:type="dxa" w:w="100"/>
              <w:bottom w:type="dxa" w:w="80"/>
              <w:right w:type="dxa" w:w="100"/>
            </w:tcMar>
          </w:tcPr>
          <w:p>
            <w:pPr>
              <w:pStyle w:val="Tabla"/>
            </w:pPr>
            <w:r>
              <w:t xml:space="preserve">+</w:t>
            </w:r>
          </w:p>
        </w:tc>
        <w:tc>
          <w:tcPr>
            <w:tcW w:type="dxa" w:w="3210"/>
            <w:tcMar>
              <w:top w:type="dxa" w:w="80"/>
              <w:left w:type="dxa" w:w="100"/>
              <w:bottom w:type="dxa" w:w="80"/>
              <w:right w:type="dxa" w:w="100"/>
            </w:tcMar>
          </w:tcPr>
          <w:p>
            <w:pPr>
              <w:pStyle w:val="Tabla"/>
            </w:pPr>
            <w:r>
              <w:t xml:space="preserve">Cambios en el mismo sentido.</w:t>
            </w:r>
          </w:p>
        </w:tc>
      </w:tr>
      <w:tr>
        <w:trPr>
          <w:cantSplit/>
          <w:tblHeader w:val="off"/>
        </w:trPr>
        <w:tc>
          <w:tcPr>
            <w:tcW w:type="dxa" w:w="3212"/>
            <w:tcMar>
              <w:top w:type="dxa" w:w="80"/>
              <w:left w:type="dxa" w:w="100"/>
              <w:bottom w:type="dxa" w:w="80"/>
              <w:right w:type="dxa" w:w="100"/>
            </w:tcMar>
          </w:tcPr>
          <w:p>
            <w:pPr>
              <w:pStyle w:val="Tabla"/>
            </w:pPr>
            <w:r>
              <w:t xml:space="preserve">Menos libros deteriorados → más libros disponibles</w:t>
            </w:r>
          </w:p>
        </w:tc>
        <w:tc>
          <w:tcPr>
            <w:tcW w:type="dxa" w:w="3210"/>
            <w:tcMar>
              <w:top w:type="dxa" w:w="80"/>
              <w:left w:type="dxa" w:w="100"/>
              <w:bottom w:type="dxa" w:w="80"/>
              <w:right w:type="dxa" w:w="100"/>
            </w:tcMar>
          </w:tcPr>
          <w:p>
            <w:pPr>
              <w:pStyle w:val="Tabla"/>
            </w:pPr>
            <w:r>
              <w:t xml:space="preserve">−</w:t>
            </w:r>
          </w:p>
        </w:tc>
        <w:tc>
          <w:tcPr>
            <w:tcW w:type="dxa" w:w="3210"/>
            <w:tcMar>
              <w:top w:type="dxa" w:w="80"/>
              <w:left w:type="dxa" w:w="100"/>
              <w:bottom w:type="dxa" w:w="80"/>
              <w:right w:type="dxa" w:w="100"/>
            </w:tcMar>
          </w:tcPr>
          <w:p>
            <w:pPr>
              <w:pStyle w:val="Tabla"/>
            </w:pPr>
            <w:r>
              <w:t xml:space="preserve">Cambios en sentidos opuestos.</w:t>
            </w:r>
          </w:p>
        </w:tc>
      </w:tr>
      <w:tr>
        <w:trPr>
          <w:cantSplit/>
          <w:tblHeader w:val="off"/>
        </w:trPr>
        <w:tc>
          <w:tcPr>
            <w:tcW w:type="dxa" w:w="3212"/>
            <w:tcMar>
              <w:top w:type="dxa" w:w="80"/>
              <w:left w:type="dxa" w:w="100"/>
              <w:bottom w:type="dxa" w:w="80"/>
              <w:right w:type="dxa" w:w="100"/>
            </w:tcMar>
          </w:tcPr>
          <w:p>
            <w:pPr>
              <w:pStyle w:val="Tabla"/>
            </w:pPr>
            <w:r>
              <w:t xml:space="preserve">Menos usuarios → menor consumo de agua</w:t>
            </w:r>
          </w:p>
        </w:tc>
        <w:tc>
          <w:tcPr>
            <w:tcW w:type="dxa" w:w="3210"/>
            <w:tcMar>
              <w:top w:type="dxa" w:w="80"/>
              <w:left w:type="dxa" w:w="100"/>
              <w:bottom w:type="dxa" w:w="80"/>
              <w:right w:type="dxa" w:w="100"/>
            </w:tcMar>
          </w:tcPr>
          <w:p>
            <w:pPr>
              <w:pStyle w:val="Tabla"/>
            </w:pPr>
            <w:r>
              <w:t xml:space="preserve">+</w:t>
            </w:r>
          </w:p>
        </w:tc>
        <w:tc>
          <w:tcPr>
            <w:tcW w:type="dxa" w:w="3210"/>
            <w:tcMar>
              <w:top w:type="dxa" w:w="80"/>
              <w:left w:type="dxa" w:w="100"/>
              <w:bottom w:type="dxa" w:w="80"/>
              <w:right w:type="dxa" w:w="100"/>
            </w:tcMar>
          </w:tcPr>
          <w:p>
            <w:pPr>
              <w:pStyle w:val="Tabla"/>
            </w:pPr>
            <w:r>
              <w:t xml:space="preserve">Ambas variables disminuyen.</w:t>
            </w:r>
          </w:p>
        </w:tc>
      </w:tr>
    </w:tbl>
    <w:p>
      <w:pPr>
        <w:pStyle w:val="Normal"/>
      </w:pPr>
      <w:r>
        <w:t xml:space="preserve">Si existen varias causas o condiciones, el signo describe la relación postulada dentro del modelo; no sustituye el análisis de si esa relación está bien sustentada.</w:t>
      </w:r>
    </w:p>
    <w:p>
      <w:pPr>
        <w:pStyle w:val="Normal"/>
      </w:pPr>
      <w:r>
        <w:t xml:space="preserve">Con una </w:t>
      </w:r>
      <w:r>
        <w:rPr>
          <w:b/>
          <w:bCs/>
        </w:rPr>
        <w:t xml:space="preserve">acumulación</w:t>
      </w:r>
      <w:r>
        <w:t xml:space="preserve">, conviene expresar el efecto respecto de lo que habría ocurrido de otro modo. Más préstamos deja menos libros disponibles que con menos préstamos, manteniendo iguales las devoluciones. Los disponibles todavía podrían aumentar si las devoluciones superan a los préstamos. La flecha préstamos → disponibles sigue siendo negativa: el signo no depende de que la curva total necesariamente baje en ese momento.</w:t>
      </w:r>
    </w:p>
    <w:p>
      <w:pPr>
        <w:pStyle w:val="Heading3"/>
      </w:pPr>
      <w:r>
        <w:t xml:space="preserve">Qué es y cómo lo nombró la clase</w:t>
      </w:r>
    </w:p>
    <w:p>
      <w:pPr>
        <w:pStyle w:val="Normal"/>
      </w:pPr>
      <w:r>
        <w:t xml:space="preserve">Es el mapa relacional enfocado en la estructura subyacente, nivel 3 del iceberg; según el autor se llama mapa o diagrama de ciclos causales, de bucles causales, de relaciones causales o de causa y efecto.</w:t>
      </w:r>
    </w:p>
    <w:p>
      <w:pPr>
        <w:pStyle w:val="Normal"/>
      </w:pPr>
      <w:r>
        <w:t xml:space="preserve">Sale de DSRP usando sólo las reglas de distinciones y relaciones: conceptos (en rectángulo, en círculo o como palabras) que representan partes o sistemas, y flechas que representan las interacciones significativas. Es «un mapa sistémico que no es completamente DSRP».</w:t>
      </w:r>
    </w:p>
    <w:p>
      <w:pPr>
        <w:pStyle w:val="Normal"/>
      </w:pPr>
      <w:r>
        <w:t xml:space="preserve">Las variables son distinciones conceptuales del sistema que sirven para identificar las relaciones. El diagrama añade la polaridad «+» o «−» en cada flecha y en el círculo completo, y enfoca las estructuras dinámicas a lo largo del tiempo.</w:t>
      </w:r>
    </w:p>
    <w:p>
      <w:pPr>
        <w:pStyle w:val="Normal"/>
      </w:pPr>
      <w:r>
        <w:t xml:space="preserve">Es un lenguaje visual para transmitir a otros las ideas sobre la estructura de los sistemas.</w:t>
      </w:r>
    </w:p>
    <w:p>
      <w:pPr>
        <w:pStyle w:val="Fuente"/>
      </w:pPr>
      <w:r>
        <w:t xml:space="preserve">Clase 10 · 00:13:42–00:14:13 · Clase 10 · 00:14:27–00:14:47 · Clase 12 · 01:11:37–01:11:59 · Clase 12 · 01:12:13–01:13:20 · Clase 13 · 00:37:26–00:37:44 · Clase 13 · 01:27:20–01:27:46 · Clase 13 · 01:32:47–01:32:58 · Clase 14 · 00:08:55–00:09:21 · Clase 14 · 00:54:04–00:55:14 · Clase 15 · 00:16:53–00:17:21 · Clase 16 · 00:13:04–00:13:52 · Clase 16 · 00:18:48–00:19:30</w:t>
      </w:r>
    </w:p>
    <w:p>
      <w:pPr>
        <w:pStyle w:val="Heading3"/>
      </w:pPr>
      <w:r>
        <w:t xml:space="preserve">Frente al mapa DSRP y frente al diagrama de proceso</w:t>
      </w:r>
    </w:p>
    <w:p>
      <w:pPr>
        <w:pStyle w:val="Normal"/>
      </w:pPr>
      <w:r>
        <w:t xml:space="preserve">«Podemos decir que es DSRP», pero DSRP tiene más simbología para subsistemas y perspectivas; en el diagrama causal «el énfasis solo está en las relaciones» y la contención en un sistema mayor queda implícita, sin expresarse.</w:t>
      </w:r>
    </w:p>
    <w:p>
      <w:pPr>
        <w:pStyle w:val="Normal"/>
      </w:pPr>
      <w:r>
        <w:t xml:space="preserve">El diagrama de proceso es lineal, del paso 1 al 10 («enciendo el fuego, hiervo el agua, apago el fuego» es parcial); con flechas hacia atrás pasa a ser diagrama sistémico.</w:t>
      </w:r>
    </w:p>
    <w:p>
      <w:pPr>
        <w:pStyle w:val="Fuente"/>
      </w:pPr>
      <w:r>
        <w:t xml:space="preserve">Clase 12 · 01:08:23–01:08:58 · Clase 13 · 01:15:01–01:15:20 · Clase 13 · 01:31:44–01:32:49 · Clase 14 · 00:53:30–00:54:11 · Clase 14 · 00:54:28–00:55:05</w:t>
      </w:r>
    </w:p>
    <w:p>
      <w:pPr>
        <w:pStyle w:val="Heading3"/>
      </w:pPr>
      <w:r>
        <w:t xml:space="preserve">La flecha y la polaridad de cada relación</w:t>
      </w:r>
    </w:p>
    <w:p>
      <w:pPr>
        <w:pStyle w:val="Normal"/>
      </w:pPr>
      <w:r>
        <w:t xml:space="preserve">Toda relación es de causa y efecto: en A → B, una manifestación de A (mensaje, señal) llega a B y produce una reacción; B puede responder a A. La cola es la causa (causante); la cabeza o punta, el efecto.</w:t>
      </w:r>
    </w:p>
    <w:p>
      <w:pPr>
        <w:pStyle w:val="Normal"/>
      </w:pPr>
      <w:r>
        <w:t xml:space="preserve">Signo «+»: causa y efecto tienden en el mismo sentido, al aumentar y al disminuir («si no tenemos sed, no tomamos agua»); se liga a las relaciones de refuerzo.</w:t>
      </w:r>
    </w:p>
    <w:p>
      <w:pPr>
        <w:pStyle w:val="Normal"/>
      </w:pPr>
      <w:r>
        <w:t xml:space="preserve">Signo «−»: la relación provoca un efecto inverso a la tendencia original de la causante: si ésta aumenta, la afectada disminuye, o a la inversa; se liga a las relaciones de compensación.</w:t>
      </w:r>
    </w:p>
    <w:p>
      <w:pPr>
        <w:pStyle w:val="Normal"/>
      </w:pPr>
      <w:r>
        <w:t xml:space="preserve">Polaridad es el nombre que dieron los autores originales de la teoría de sistemas al signo sobre la flecha, «una forma simplificada y rápida» de distinguir la relación sin describirla; leer los signos cuenta la historia.</w:t>
      </w:r>
    </w:p>
    <w:p>
      <w:pPr>
        <w:pStyle w:val="Normal"/>
      </w:pPr>
      <w:r>
        <w:t xml:space="preserve">Sin signos se depende de que el autor cuente la historia; si un signo no se entiende, posiblemente la perspectiva del lector difiere de la del autor.</w:t>
      </w:r>
    </w:p>
    <w:p>
      <w:pPr>
        <w:pStyle w:val="Fuente"/>
      </w:pPr>
      <w:r>
        <w:t xml:space="preserve">Clase 13 · 00:26:25–00:28:21 · Clase 14 · 00:25:02–00:25:54 · Clase 14 · 00:26:34–00:27:13 · Clase 14 · 00:28:50–00:29:48 · Clase 14 · 00:31:07–00:32:22 · Clase 14 · 00:32:56–00:33:44 · Clase 14 · 00:36:57–00:37:30 · Clase 15 · 00:18:54–00:19:30 · Clase 16 · 00:35:44–00:36:18 · Clase 16 · 01:26:12–01:26:33</w:t>
      </w:r>
    </w:p>
    <w:p>
      <w:pPr>
        <w:pStyle w:val="Heading3"/>
      </w:pPr>
      <w:r>
        <w:t xml:space="preserve">La marca del ciclo y el resto de la notación</w:t>
      </w:r>
    </w:p>
    <w:p>
      <w:pPr>
        <w:pStyle w:val="Normal"/>
      </w:pPr>
      <w:r>
        <w:t xml:space="preserve">Al centro de un círculo va la polaridad del ciclo: «+», R o bola de nieve para refuerzo; «−», B de balance, C de compensación o balanza. «Lo que importa es la polaridad de las relaciones y del ciclo.»</w:t>
      </w:r>
    </w:p>
    <w:p>
      <w:pPr>
        <w:pStyle w:val="Normal"/>
      </w:pPr>
      <w:r>
        <w:t xml:space="preserve">La figura de la variable es indiferente (círculo, rectángulo o ninguna); la demora, con la palabra «demora» o dos líneas atravesadas. El rojo para la compensación no es una convención estandarizada.</w:t>
      </w:r>
    </w:p>
    <w:p>
      <w:pPr>
        <w:pStyle w:val="Normal"/>
      </w:pPr>
      <w:r>
        <w:t xml:space="preserve">Muchos diagramas omiten la polaridad (algunos autores cuentan la historia en párrafos al lado); lo más explícito es ponerla, y si falta se deduce de la historia del autor.</w:t>
      </w:r>
    </w:p>
    <w:p>
      <w:pPr>
        <w:pStyle w:val="Fuente"/>
      </w:pPr>
      <w:r>
        <w:t xml:space="preserve">Clase 13 · 01:29:14–01:29:52 · Clase 15 · 00:13:59–00:14:27 · Clase 15 · 00:17:47–00:18:54 · Clase 15 · 00:19:28–00:21:01 · Clase 16 · 00:49:47–00:50:25 · Clase 16 · 01:16:24–01:16:59 · Clase 16 · 01:18:28–01:19:02 · Clase 16 · 01:24:25–01:24:37</w:t>
      </w:r>
    </w:p>
    <w:p>
      <w:pPr>
        <w:pStyle w:val="Heading3"/>
      </w:pPr>
      <w:r>
        <w:t xml:space="preserve">Los casos resueltos en clase, con sus signos</w:t>
      </w:r>
    </w:p>
    <w:p>
      <w:pPr>
        <w:pStyle w:val="Normal"/>
      </w:pPr>
      <w:r>
        <w:t xml:space="preserve">Planta, primer diagrama del curso: semillas → raíces → tallo o ramas → hojas y flores (a veces en paralelo) → fruto → semillas en terreno fértil; sin signos, y la flecha podría rotularse («la semilla genera las raíces»).</w:t>
      </w:r>
    </w:p>
    <w:p>
      <w:pPr>
        <w:pStyle w:val="Normal"/>
      </w:pPr>
      <w:r>
        <w:t xml:space="preserve">Vaso de agua: posición del grifo → flujo de agua → nivel de agua en el vaso → brecha percibida con el nivel deseado → abrir o cerrar el grifo, gradualmente, para no derramar.</w:t>
      </w:r>
    </w:p>
    <w:p>
      <w:pPr>
        <w:pStyle w:val="Normal"/>
      </w:pPr>
      <w:r>
        <w:t xml:space="preserve">Hervir agua, balance (B): más apertura de la llave del fogón → más flujo de fuego → más nivel actual de temperatura → menor brecha percibida con el objetivo, agua hervida → reducir la llave hasta cerrarla al lograr la meta.</w:t>
      </w:r>
    </w:p>
    <w:p>
      <w:pPr>
        <w:pStyle w:val="Normal"/>
      </w:pPr>
      <w:r>
        <w:t xml:space="preserve">Tanque del inodoro: flujo de agua →+ nivel de agua →+ nivel de válvula de flote →− flujo de agua: compensación.</w:t>
      </w:r>
    </w:p>
    <w:p>
      <w:pPr>
        <w:pStyle w:val="Normal"/>
      </w:pPr>
      <w:r>
        <w:t xml:space="preserve">Acople: sonido de voz en el micrófono →+ sonido de la bocina («a más sonido de voz, más sonido en la bocina») →+ sonido en el micrófono, con la bocina cerca.</w:t>
      </w:r>
    </w:p>
    <w:p>
      <w:pPr>
        <w:pStyle w:val="Normal"/>
      </w:pPr>
      <w:r>
        <w:t xml:space="preserve">Caries 1: refrescos azucarados →+ caries →+ dolor de muelas →+ visitas al dentista →− refrescos: una negativa, compensación, sin polaridad de ciclo. Caries 2, buen modelo: consumo →+ exposición al azúcar →+ (demora) caries →+ (demora) dolor →+ visitas →+ conciencia de las consecuencias →− consumo: balance.</w:t>
      </w:r>
    </w:p>
    <w:p>
      <w:pPr>
        <w:pStyle w:val="Normal"/>
      </w:pPr>
      <w:r>
        <w:t xml:space="preserve">Caries 4: caries y sarro →+ dolor →+ tiempo en el dentista →− caries y sarro (balance), sin polaridad de ciclo; su «segundo ciclo» desde «dulces» no se cerraba. Caries 7: líneas sin cabeza hacia «estado de salud dental»; si es algo bueno, más salud da menos dolor y esa positiva sería negativa. Salvo el último, ambiguo, todos fueron correctos con deficiencias.</w:t>
      </w:r>
    </w:p>
    <w:p>
      <w:pPr>
        <w:pStyle w:val="Normal"/>
      </w:pPr>
      <w:r>
        <w:t xml:space="preserve">Notas, propuesta del chat: mala nota → menos confianza → menos estudio → menos aprendizaje → mala nota.</w:t>
      </w:r>
    </w:p>
    <w:p>
      <w:pPr>
        <w:pStyle w:val="Normal"/>
      </w:pPr>
      <w:r>
        <w:t xml:space="preserve">Caso de Ana: menos tiempo disponible, más presión; presión →+ trabajo extra →+ terminación →− trabajo pendiente →+ presión: balance.</w:t>
      </w:r>
    </w:p>
    <w:p>
      <w:pPr>
        <w:pStyle w:val="Fuente"/>
      </w:pPr>
      <w:r>
        <w:t xml:space="preserve">Clase 12 · 00:56:09–01:06:53 · Clase 13 · 00:45:48–00:51:00 · Clase 13 · 00:52:56–00:53:26 · Clase 13 · 01:06:06–01:06:22 · Clase 13 · 01:24:32–01:26:22 · Clase 14 · 00:17:15–00:24:21 · Clase 14 · 00:35:04–00:39:14 · Clase 14 · 00:47:41–00:50:15 · Clase 16 · 01:16:24–01:22:41 · Clase 16 · 01:24:35–01:28:52 · Clase 16 · 01:33:37–01:34:36 · Clase 16 · 01:43:01–01:43:53</w:t>
      </w:r>
    </w:p>
    <w:p>
      <w:pPr>
        <w:pStyle w:val="Heading3"/>
      </w:pPr>
      <w:r>
        <w:t xml:space="preserve">Lo que advirtió sobre leer el diagrama</w:t>
      </w:r>
    </w:p>
    <w:p>
      <w:pPr>
        <w:pStyle w:val="Normal"/>
      </w:pPr>
      <w:r>
        <w:t xml:space="preserve">Los nombres y la cantidad de variables dependen del autor, «la firma del autor», pero la historia es la misma: no hay una única forma de representar una realidad ni un diagrama ideal único.</w:t>
      </w:r>
    </w:p>
    <w:p>
      <w:pPr>
        <w:pStyle w:val="Normal"/>
      </w:pPr>
      <w:r>
        <w:t xml:space="preserve">El diagrama lleva implícita una historia que el lenguaje natural detalla; leído solo, interpretarlo es subjetivo y hace falta que el autor cuente la historia, que puede empezar en cualquier variable porque el ciclo se repite.</w:t>
      </w:r>
    </w:p>
    <w:p>
      <w:pPr>
        <w:pStyle w:val="Fuente"/>
      </w:pPr>
      <w:r>
        <w:t xml:space="preserve">Clase 12 · 01:13:30–01:14:01 · Clase 13 · 01:27:40–01:29:25 · Clase 13 · 01:37:20–01:38:01 · Clase 16 · 00:37:21–00:37:59 · Clase 16 · 01:34:26–01:35:22</w:t>
      </w:r>
    </w:p>
    <w:p>
      <w:pPr>
        <w:pStyle w:val="Heading3"/>
      </w:pPr>
      <w:r>
        <w:t xml:space="preserve">Lo que proyectaron las láminas</w:t>
      </w:r>
    </w:p>
    <w:p>
      <w:pPr>
        <w:pStyle w:val="Normal"/>
      </w:pPr>
      <w:r>
        <w:t xml:space="preserve">Los diagramas de bucles o ciclos causales son la herramienta para modelar historias sobre la dinámica de los sistemas; sus variables son elementos que cambian en el tiempo.</w:t>
      </w:r>
    </w:p>
    <w:p>
      <w:pPr>
        <w:pStyle w:val="Normal"/>
      </w:pPr>
      <w:r>
        <w:t xml:space="preserve">Son un lenguaje: se conectan variables clave indicando la relación causal entre ellas, y encadenando varios ciclos se obtiene una historia coherente.</w:t>
      </w:r>
    </w:p>
    <w:p>
      <w:pPr>
        <w:pStyle w:val="Normal"/>
      </w:pPr>
      <w:r>
        <w:t xml:space="preserve">Partes de la sintaxis: el vínculo causal, la polaridad del vínculo, la variable y los identificadores de ciclo, positivo o reforzado (R, +) y negativo o balanceado (B, −).</w:t>
      </w:r>
    </w:p>
    <w:p>
      <w:pPr>
        <w:pStyle w:val="Normal"/>
      </w:pPr>
      <w:r>
        <w:t xml:space="preserve">Cinco recomendaciones para contar la historia de un ciclo: empezar por cualquier elemento sin explicar todavía la causa, describir su movimiento con verbos de cambio, mostrar la repercusión sobre el elemento contiguo, continuar hasta cerrar el recorrido y darle vida con ilustraciones.</w:t>
      </w:r>
    </w:p>
    <w:p>
      <w:pPr>
        <w:pStyle w:val="Normal"/>
      </w:pPr>
      <w:r>
        <w:t xml:space="preserve">Dos lineamientos de Kim marcados en clase: insertar un término intermedio cuando una relación necesita demasiada explicación, y contar los signos negativos del ciclo (impar, balance; par, refuerzo) releyéndolo varias veces después de asignar la letra.</w:t>
      </w:r>
    </w:p>
    <w:p>
      <w:pPr>
        <w:pStyle w:val="Normal"/>
      </w:pPr>
      <w:r>
        <w:t xml:space="preserve">Vínculo positivo y negativo definidos por lo que le ocurre al efecto respecto de lo que habría ocurrido en otro caso, con ejemplos como calidad y ventas, esfuerzo y resultados, nacimientos y población.</w:t>
      </w:r>
    </w:p>
    <w:p>
      <w:pPr>
        <w:pStyle w:val="Fuente"/>
      </w:pPr>
      <w:r>
        <w:t xml:space="preserve">lámina c13-05 · lámina c15-05 · lámina c15-06 · lámina c13-11 · lámina c16-06 · lámina c14-12</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Procedimiento</w:t>
            </w:r>
          </w:p>
          <w:p>
            <w:pPr>
              <w:pStyle w:val="Recuadro"/>
            </w:pPr>
            <w:r>
              <w:t xml:space="preserve">Cómo se construye, se marca y se revisa un diagrama de ciclos causales</w:t>
            </w:r>
          </w:p>
          <w:p>
            <w:pPr>
              <w:pStyle w:val="Recuadro"/>
            </w:pPr>
            <w:r>
              <w:t xml:space="preserve">1. </w:t>
            </w:r>
            <w:r>
              <w:rPr>
                <w:b/>
                <w:bCs/>
              </w:rPr>
              <w:t xml:space="preserve">Distinguir las variables.</w:t>
            </w:r>
            <w:r>
              <w:t xml:space="preserve"> Se modela la historia planteada distinguiendo sus variables: flor, fruto, tallo, hojas, raíces y semillas en la planta; «sonido de voz» y «sonido de la bocina» en el acople. (Clase 12 · 00:53:40–00:54:12 · Clase 14 · 00:47:41–00:47:53 · Clase 16 · 01:28:44–01:29:08)</w:t>
            </w:r>
          </w:p>
          <w:p>
            <w:pPr>
              <w:pStyle w:val="Recuadro"/>
            </w:pPr>
            <w:r>
              <w:t xml:space="preserve">2. </w:t>
            </w:r>
            <w:r>
              <w:rPr>
                <w:b/>
                <w:bCs/>
              </w:rPr>
              <w:t xml:space="preserve">Trazar la cadena de flechas.</w:t>
            </w:r>
            <w:r>
              <w:t xml:space="preserve"> Una variable con nombre y una flecha hacia otra: la primera es la acción, la segunda la reacción, y así en cadena («¿en dónde pondrían una flecha que empieza desde semillas?»). (Clase 12 · 00:55:48–00:56:02 · Clase 12 · 00:57:58–00:58:22 · Clase 13 · 01:16:40–01:16:59)</w:t>
            </w:r>
          </w:p>
          <w:p>
            <w:pPr>
              <w:pStyle w:val="Recuadro"/>
            </w:pPr>
            <w:r>
              <w:t xml:space="preserve">3. </w:t>
            </w:r>
            <w:r>
              <w:rPr>
                <w:b/>
                <w:bCs/>
              </w:rPr>
              <w:t xml:space="preserve">Cerrar y ordenar el ciclo.</w:t>
            </w:r>
            <w:r>
              <w:t xml:space="preserve"> Donde una flecha retorna a una variable previa se cierra el ciclo; la «telaraña» de flechas se ordena hasta ver el ciclo implícito y se precisan los nombres de las variables. (Clase 12 · 01:02:28–01:03:18 · Clase 14 · 00:48:56–00:50:15 · Clase 15 · 00:17:20–00:17:57)</w:t>
            </w:r>
          </w:p>
          <w:p>
            <w:pPr>
              <w:pStyle w:val="Recuadro"/>
            </w:pPr>
            <w:r>
              <w:t xml:space="preserve">4. </w:t>
            </w:r>
            <w:r>
              <w:rPr>
                <w:b/>
                <w:bCs/>
              </w:rPr>
              <w:t xml:space="preserve">Asignar la polaridad de cada flecha.</w:t>
            </w:r>
            <w:r>
              <w:t xml:space="preserve"> Se vuelve a la historia, se sigue qué provoca la tendencia de la causa, se comparan tendencias y se prueba el caso contrario: válvula más alta, flujo menor; más baja, flujo mayor: «−». (Clase 14 · 00:35:28–00:38:20)</w:t>
            </w:r>
          </w:p>
          <w:p>
            <w:pPr>
              <w:pStyle w:val="Recuadro"/>
            </w:pPr>
            <w:r>
              <w:t xml:space="preserve">5. </w:t>
            </w:r>
            <w:r>
              <w:rPr>
                <w:b/>
                <w:bCs/>
              </w:rPr>
              <w:t xml:space="preserve">Marcar el ciclo y las demoras.</w:t>
            </w:r>
            <w:r>
              <w:t xml:space="preserve"> Al centro va la polaridad del ciclo aunque parezca obvia (B, C o balanza; R o bola de nieve), y cada demora se señala sobre su flecha. (Clase 15 · 00:19:45–00:20:07 · Clase 16 · 01:16:24–01:16:59 · Clase 16 · 01:18:28–01:19:02)</w:t>
            </w:r>
          </w:p>
          <w:p>
            <w:pPr>
              <w:pStyle w:val="Recuadro"/>
            </w:pPr>
            <w:r>
              <w:t xml:space="preserve">6. </w:t>
            </w:r>
            <w:r>
              <w:rPr>
                <w:b/>
                <w:bCs/>
              </w:rPr>
              <w:t xml:space="preserve">Leer y revisar.</w:t>
            </w:r>
            <w:r>
              <w:t xml:space="preserve"> Leído por sus polaridades, debe contar la misma historia; si no se entiende, algo falla. Se confirman polaridades completas, flechas en buen sentido y polaridad de los ciclos. (Clase 16 · 01:28:58–01:29:33)</w:t>
            </w:r>
          </w:p>
          <w:p>
            <w:pPr>
              <w:pStyle w:val="Recuadro"/>
            </w:pPr>
            <w:r>
              <w:t xml:space="preserve">Si la lectura de las polaridades reproduce la historia pedida, el diagrama es correcto aunque sus nombres o su número de variables difieran de otro.</w:t>
            </w:r>
          </w:p>
        </w:tc>
      </w:tr>
    </w:tbl>
    <w:p>
      <w:pPr>
        <w:pStyle w:val="Heading3"/>
      </w:pPr>
      <w:bookmarkStart w:name="b_tabla_3_3_g2_dos_ciclos" w:id="2443"/>
      <w:r>
        <w:t xml:space="preserve">Refuerzo y compensación, lado a lado</w:t>
      </w:r>
      <w:bookmarkEnd w:id="2443"/>
    </w:p>
    <w:tbl>
      <w:tblPr>
        <w:tblW w:type="dxa" w:w="9632"/>
        <w:tblBorders>
          <w:top w:val="single" w:color="C5D5DB" w:sz="4"/>
          <w:left w:val="single" w:color="C5D5DB" w:sz="4"/>
          <w:bottom w:val="single" w:color="C5D5DB" w:sz="4"/>
          <w:right w:val="single" w:color="C5D5DB" w:sz="4"/>
          <w:insideH w:val="single" w:color="E4E9EB" w:sz="3"/>
          <w:insideV w:val="single" w:color="E4E9EB" w:sz="3"/>
        </w:tblBorders>
        <w:tblLayout w:type="fixed"/>
      </w:tblPr>
      <w:tblGrid>
        <w:gridCol w:w="2408"/>
        <w:gridCol w:w="2408"/>
        <w:gridCol w:w="2408"/>
        <w:gridCol w:w="2408"/>
      </w:tblGrid>
      <w:tr>
        <w:trPr>
          <w:cantSplit/>
          <w:tblHeader/>
        </w:trPr>
        <w:tc>
          <w:tcPr>
            <w:tcW w:type="dxa" w:w="2408"/>
            <w:shd w:fill="DFEAF0" w:val="clear"/>
            <w:tcMar>
              <w:top w:type="dxa" w:w="80"/>
              <w:left w:type="dxa" w:w="100"/>
              <w:bottom w:type="dxa" w:w="80"/>
              <w:right w:type="dxa" w:w="100"/>
            </w:tcMar>
          </w:tcPr>
          <w:p>
            <w:pPr>
              <w:pStyle w:val="Tabla"/>
            </w:pPr>
            <w:r>
              <w:rPr>
                <w:b/>
                <w:bCs/>
              </w:rPr>
              <w:t xml:space="preserve">Aspecto</w:t>
            </w:r>
          </w:p>
        </w:tc>
        <w:tc>
          <w:tcPr>
            <w:tcW w:type="dxa" w:w="2408"/>
            <w:shd w:fill="DFEAF0" w:val="clear"/>
            <w:tcMar>
              <w:top w:type="dxa" w:w="80"/>
              <w:left w:type="dxa" w:w="100"/>
              <w:bottom w:type="dxa" w:w="80"/>
              <w:right w:type="dxa" w:w="100"/>
            </w:tcMar>
          </w:tcPr>
          <w:p>
            <w:pPr>
              <w:pStyle w:val="Tabla"/>
            </w:pPr>
            <w:r>
              <w:rPr>
                <w:b/>
                <w:bCs/>
              </w:rPr>
              <w:t xml:space="preserve">Refuerzo (R)</w:t>
            </w:r>
          </w:p>
        </w:tc>
        <w:tc>
          <w:tcPr>
            <w:tcW w:type="dxa" w:w="2408"/>
            <w:shd w:fill="DFEAF0" w:val="clear"/>
            <w:tcMar>
              <w:top w:type="dxa" w:w="80"/>
              <w:left w:type="dxa" w:w="100"/>
              <w:bottom w:type="dxa" w:w="80"/>
              <w:right w:type="dxa" w:w="100"/>
            </w:tcMar>
          </w:tcPr>
          <w:p>
            <w:pPr>
              <w:pStyle w:val="Tabla"/>
            </w:pPr>
            <w:r>
              <w:rPr>
                <w:b/>
                <w:bCs/>
              </w:rPr>
              <w:t xml:space="preserve">Compensación (B)</w:t>
            </w:r>
          </w:p>
        </w:tc>
        <w:tc>
          <w:tcPr>
            <w:tcW w:type="dxa" w:w="2408"/>
            <w:shd w:fill="DFEAF0" w:val="clear"/>
            <w:tcMar>
              <w:top w:type="dxa" w:w="80"/>
              <w:left w:type="dxa" w:w="100"/>
              <w:bottom w:type="dxa" w:w="80"/>
              <w:right w:type="dxa" w:w="100"/>
            </w:tcMar>
          </w:tcPr>
          <w:p>
            <w:pPr>
              <w:pStyle w:val="Tabla"/>
            </w:pPr>
            <w:r>
              <w:rPr>
                <w:b/>
                <w:bCs/>
              </w:rPr>
              <w:t xml:space="preserve">Dónde se dijo</w:t>
            </w:r>
          </w:p>
        </w:tc>
      </w:tr>
      <w:tr>
        <w:trPr>
          <w:cantSplit/>
          <w:tblHeader w:val="off"/>
        </w:trPr>
        <w:tc>
          <w:tcPr>
            <w:tcW w:type="dxa" w:w="2408"/>
            <w:tcMar>
              <w:top w:type="dxa" w:w="80"/>
              <w:left w:type="dxa" w:w="100"/>
              <w:bottom w:type="dxa" w:w="80"/>
              <w:right w:type="dxa" w:w="100"/>
            </w:tcMar>
          </w:tcPr>
          <w:p>
            <w:pPr>
              <w:pStyle w:val="Tabla"/>
            </w:pPr>
            <w:r>
              <w:t xml:space="preserve">Nombres</w:t>
            </w:r>
          </w:p>
        </w:tc>
        <w:tc>
          <w:tcPr>
            <w:tcW w:type="dxa" w:w="2408"/>
            <w:tcMar>
              <w:top w:type="dxa" w:w="80"/>
              <w:left w:type="dxa" w:w="100"/>
              <w:bottom w:type="dxa" w:w="80"/>
              <w:right w:type="dxa" w:w="100"/>
            </w:tcMar>
          </w:tcPr>
          <w:p>
            <w:pPr>
              <w:pStyle w:val="Tabla"/>
            </w:pPr>
            <w:r>
              <w:t xml:space="preserve">Ciclo de refuerzo; retroalimentación positiva.</w:t>
            </w:r>
          </w:p>
        </w:tc>
        <w:tc>
          <w:tcPr>
            <w:tcW w:type="dxa" w:w="2408"/>
            <w:tcMar>
              <w:top w:type="dxa" w:w="80"/>
              <w:left w:type="dxa" w:w="100"/>
              <w:bottom w:type="dxa" w:w="80"/>
              <w:right w:type="dxa" w:w="100"/>
            </w:tcMar>
          </w:tcPr>
          <w:p>
            <w:pPr>
              <w:pStyle w:val="Tabla"/>
            </w:pPr>
            <w:r>
              <w:t xml:space="preserve">Ciclo de compensación, de balance o de control; retroalimentación negativa.</w:t>
            </w:r>
          </w:p>
        </w:tc>
        <w:tc>
          <w:tcPr>
            <w:tcW w:type="dxa" w:w="2408"/>
            <w:tcMar>
              <w:top w:type="dxa" w:w="80"/>
              <w:left w:type="dxa" w:w="100"/>
              <w:bottom w:type="dxa" w:w="80"/>
              <w:right w:type="dxa" w:w="100"/>
            </w:tcMar>
          </w:tcPr>
          <w:p>
            <w:pPr>
              <w:pStyle w:val="Tabla"/>
            </w:pPr>
            <w:r>
              <w:t xml:space="preserve">Clase 15 · 00:10:16–00:11:18</w:t>
            </w:r>
          </w:p>
        </w:tc>
      </w:tr>
      <w:tr>
        <w:trPr>
          <w:cantSplit/>
          <w:tblHeader w:val="off"/>
        </w:trPr>
        <w:tc>
          <w:tcPr>
            <w:tcW w:type="dxa" w:w="2408"/>
            <w:tcMar>
              <w:top w:type="dxa" w:w="80"/>
              <w:left w:type="dxa" w:w="100"/>
              <w:bottom w:type="dxa" w:w="80"/>
              <w:right w:type="dxa" w:w="100"/>
            </w:tcMar>
          </w:tcPr>
          <w:p>
            <w:pPr>
              <w:pStyle w:val="Tabla"/>
            </w:pPr>
            <w:r>
              <w:t xml:space="preserve">Qué hace</w:t>
            </w:r>
          </w:p>
        </w:tc>
        <w:tc>
          <w:tcPr>
            <w:tcW w:type="dxa" w:w="2408"/>
            <w:tcMar>
              <w:top w:type="dxa" w:w="80"/>
              <w:left w:type="dxa" w:w="100"/>
              <w:bottom w:type="dxa" w:w="80"/>
              <w:right w:type="dxa" w:w="100"/>
            </w:tcMar>
          </w:tcPr>
          <w:p>
            <w:pPr>
              <w:pStyle w:val="Tabla"/>
            </w:pPr>
            <w:r>
              <w:t xml:space="preserve">Una tendencia de crecimiento o de decrecimiento, sin objetivo.</w:t>
            </w:r>
          </w:p>
        </w:tc>
        <w:tc>
          <w:tcPr>
            <w:tcW w:type="dxa" w:w="2408"/>
            <w:tcMar>
              <w:top w:type="dxa" w:w="80"/>
              <w:left w:type="dxa" w:w="100"/>
              <w:bottom w:type="dxa" w:w="80"/>
              <w:right w:type="dxa" w:w="100"/>
            </w:tcMar>
          </w:tcPr>
          <w:p>
            <w:pPr>
              <w:pStyle w:val="Tabla"/>
            </w:pPr>
            <w:r>
              <w:t xml:space="preserve">Busca un objetivo, una meta o un valor explícito o implícito: la tendencia de una variable se revierte hasta un estado estable.</w:t>
            </w:r>
          </w:p>
        </w:tc>
        <w:tc>
          <w:tcPr>
            <w:tcW w:type="dxa" w:w="2408"/>
            <w:tcMar>
              <w:top w:type="dxa" w:w="80"/>
              <w:left w:type="dxa" w:w="100"/>
              <w:bottom w:type="dxa" w:w="80"/>
              <w:right w:type="dxa" w:w="100"/>
            </w:tcMar>
          </w:tcPr>
          <w:p>
            <w:pPr>
              <w:pStyle w:val="Tabla"/>
            </w:pPr>
            <w:r>
              <w:t xml:space="preserve">Clase 15 · 00:10:16–00:11:18 · Clase 15 · 00:23:38–00:26:06</w:t>
            </w:r>
          </w:p>
        </w:tc>
      </w:tr>
      <w:tr>
        <w:trPr>
          <w:cantSplit/>
          <w:tblHeader w:val="off"/>
        </w:trPr>
        <w:tc>
          <w:tcPr>
            <w:tcW w:type="dxa" w:w="2408"/>
            <w:tcMar>
              <w:top w:type="dxa" w:w="80"/>
              <w:left w:type="dxa" w:w="100"/>
              <w:bottom w:type="dxa" w:w="80"/>
              <w:right w:type="dxa" w:w="100"/>
            </w:tcMar>
          </w:tcPr>
          <w:p>
            <w:pPr>
              <w:pStyle w:val="Tabla"/>
            </w:pPr>
            <w:r>
              <w:t xml:space="preserve">Marca al centro</w:t>
            </w:r>
          </w:p>
        </w:tc>
        <w:tc>
          <w:tcPr>
            <w:tcW w:type="dxa" w:w="2408"/>
            <w:tcMar>
              <w:top w:type="dxa" w:w="80"/>
              <w:left w:type="dxa" w:w="100"/>
              <w:bottom w:type="dxa" w:w="80"/>
              <w:right w:type="dxa" w:w="100"/>
            </w:tcMar>
          </w:tcPr>
          <w:p>
            <w:pPr>
              <w:pStyle w:val="Tabla"/>
            </w:pPr>
            <w:r>
              <w:t xml:space="preserve">Un «+» o la letra R; el dibujo de la bola de nieve.</w:t>
            </w:r>
          </w:p>
        </w:tc>
        <w:tc>
          <w:tcPr>
            <w:tcW w:type="dxa" w:w="2408"/>
            <w:tcMar>
              <w:top w:type="dxa" w:w="80"/>
              <w:left w:type="dxa" w:w="100"/>
              <w:bottom w:type="dxa" w:w="80"/>
              <w:right w:type="dxa" w:w="100"/>
            </w:tcMar>
          </w:tcPr>
          <w:p>
            <w:pPr>
              <w:pStyle w:val="Tabla"/>
            </w:pPr>
            <w:r>
              <w:t xml:space="preserve">Un «−» o la letra B; el dibujo de la balanza.</w:t>
            </w:r>
          </w:p>
        </w:tc>
        <w:tc>
          <w:tcPr>
            <w:tcW w:type="dxa" w:w="2408"/>
            <w:tcMar>
              <w:top w:type="dxa" w:w="80"/>
              <w:left w:type="dxa" w:w="100"/>
              <w:bottom w:type="dxa" w:w="80"/>
              <w:right w:type="dxa" w:w="100"/>
            </w:tcMar>
          </w:tcPr>
          <w:p>
            <w:pPr>
              <w:pStyle w:val="Tabla"/>
            </w:pPr>
            <w:r>
              <w:t xml:space="preserve">Clase 15 · 00:17:47–00:18:54</w:t>
            </w:r>
          </w:p>
        </w:tc>
      </w:tr>
      <w:tr>
        <w:trPr>
          <w:cantSplit/>
          <w:tblHeader w:val="off"/>
        </w:trPr>
        <w:tc>
          <w:tcPr>
            <w:tcW w:type="dxa" w:w="2408"/>
            <w:tcMar>
              <w:top w:type="dxa" w:w="80"/>
              <w:left w:type="dxa" w:w="100"/>
              <w:bottom w:type="dxa" w:w="80"/>
              <w:right w:type="dxa" w:w="100"/>
            </w:tcMar>
          </w:tcPr>
          <w:p>
            <w:pPr>
              <w:pStyle w:val="Tabla"/>
            </w:pPr>
            <w:r>
              <w:t xml:space="preserve">Regla de signos</w:t>
            </w:r>
          </w:p>
        </w:tc>
        <w:tc>
          <w:tcPr>
            <w:tcW w:type="dxa" w:w="2408"/>
            <w:tcMar>
              <w:top w:type="dxa" w:w="80"/>
              <w:left w:type="dxa" w:w="100"/>
              <w:bottom w:type="dxa" w:w="80"/>
              <w:right w:type="dxa" w:w="100"/>
            </w:tcMar>
          </w:tcPr>
          <w:p>
            <w:pPr>
              <w:pStyle w:val="Tabla"/>
            </w:pPr>
            <w:r>
              <w:t xml:space="preserve">Ninguna relación negativa, o un número par de ellas (2, 4, 6).</w:t>
            </w:r>
          </w:p>
        </w:tc>
        <w:tc>
          <w:tcPr>
            <w:tcW w:type="dxa" w:w="2408"/>
            <w:tcMar>
              <w:top w:type="dxa" w:w="80"/>
              <w:left w:type="dxa" w:w="100"/>
              <w:bottom w:type="dxa" w:w="80"/>
              <w:right w:type="dxa" w:w="100"/>
            </w:tcMar>
          </w:tcPr>
          <w:p>
            <w:pPr>
              <w:pStyle w:val="Tabla"/>
            </w:pPr>
            <w:r>
              <w:t xml:space="preserve">Un número impar de relaciones negativas (1, 3, 5).</w:t>
            </w:r>
          </w:p>
        </w:tc>
        <w:tc>
          <w:tcPr>
            <w:tcW w:type="dxa" w:w="2408"/>
            <w:tcMar>
              <w:top w:type="dxa" w:w="80"/>
              <w:left w:type="dxa" w:w="100"/>
              <w:bottom w:type="dxa" w:w="80"/>
              <w:right w:type="dxa" w:w="100"/>
            </w:tcMar>
          </w:tcPr>
          <w:p>
            <w:pPr>
              <w:pStyle w:val="Tabla"/>
            </w:pPr>
            <w:r>
              <w:t xml:space="preserve">Clase 15 · 01:10:31–01:16:21</w:t>
            </w:r>
          </w:p>
        </w:tc>
      </w:tr>
      <w:tr>
        <w:trPr>
          <w:cantSplit/>
          <w:tblHeader w:val="off"/>
        </w:trPr>
        <w:tc>
          <w:tcPr>
            <w:tcW w:type="dxa" w:w="2408"/>
            <w:tcMar>
              <w:top w:type="dxa" w:w="80"/>
              <w:left w:type="dxa" w:w="100"/>
              <w:bottom w:type="dxa" w:w="80"/>
              <w:right w:type="dxa" w:w="100"/>
            </w:tcMar>
          </w:tcPr>
          <w:p>
            <w:pPr>
              <w:pStyle w:val="Tabla"/>
            </w:pPr>
            <w:r>
              <w:t xml:space="preserve">Forma en el tiempo</w:t>
            </w:r>
          </w:p>
        </w:tc>
        <w:tc>
          <w:tcPr>
            <w:tcW w:type="dxa" w:w="2408"/>
            <w:tcMar>
              <w:top w:type="dxa" w:w="80"/>
              <w:left w:type="dxa" w:w="100"/>
              <w:bottom w:type="dxa" w:w="80"/>
              <w:right w:type="dxa" w:w="100"/>
            </w:tcMar>
          </w:tcPr>
          <w:p>
            <w:pPr>
              <w:pStyle w:val="Tabla"/>
            </w:pPr>
            <w:r>
              <w:t xml:space="preserve">Exponencial no acotado: crece o decrece sin freno, salvo que otro ciclo lo limite.</w:t>
            </w:r>
          </w:p>
        </w:tc>
        <w:tc>
          <w:tcPr>
            <w:tcW w:type="dxa" w:w="2408"/>
            <w:tcMar>
              <w:top w:type="dxa" w:w="80"/>
              <w:left w:type="dxa" w:w="100"/>
              <w:bottom w:type="dxa" w:w="80"/>
              <w:right w:type="dxa" w:w="100"/>
            </w:tcMar>
          </w:tcPr>
          <w:p>
            <w:pPr>
              <w:pStyle w:val="Tabla"/>
            </w:pPr>
            <w:r>
              <w:t xml:space="preserve">Exponencial acotado: crece o decrece hasta un límite y se mantiene, más o menos oscilatorio.</w:t>
            </w:r>
          </w:p>
        </w:tc>
        <w:tc>
          <w:tcPr>
            <w:tcW w:type="dxa" w:w="2408"/>
            <w:tcMar>
              <w:top w:type="dxa" w:w="80"/>
              <w:left w:type="dxa" w:w="100"/>
              <w:bottom w:type="dxa" w:w="80"/>
              <w:right w:type="dxa" w:w="100"/>
            </w:tcMar>
          </w:tcPr>
          <w:p>
            <w:pPr>
              <w:pStyle w:val="Tabla"/>
            </w:pPr>
            <w:r>
              <w:t xml:space="preserve">Clase 16 · 01:37:54–01:39:30 · Clase 15 · 00:23:38–00:26:06</w:t>
            </w:r>
          </w:p>
        </w:tc>
      </w:tr>
      <w:tr>
        <w:trPr>
          <w:cantSplit/>
          <w:tblHeader w:val="off"/>
        </w:trPr>
        <w:tc>
          <w:tcPr>
            <w:tcW w:type="dxa" w:w="2408"/>
            <w:tcMar>
              <w:top w:type="dxa" w:w="80"/>
              <w:left w:type="dxa" w:w="100"/>
              <w:bottom w:type="dxa" w:w="80"/>
              <w:right w:type="dxa" w:w="100"/>
            </w:tcMar>
          </w:tcPr>
          <w:p>
            <w:pPr>
              <w:pStyle w:val="Tabla"/>
            </w:pPr>
            <w:r>
              <w:t xml:space="preserve">Casos de clase</w:t>
            </w:r>
          </w:p>
        </w:tc>
        <w:tc>
          <w:tcPr>
            <w:tcW w:type="dxa" w:w="2408"/>
            <w:tcMar>
              <w:top w:type="dxa" w:w="80"/>
              <w:left w:type="dxa" w:w="100"/>
              <w:bottom w:type="dxa" w:w="80"/>
              <w:right w:type="dxa" w:w="100"/>
            </w:tcMar>
          </w:tcPr>
          <w:p>
            <w:pPr>
              <w:pStyle w:val="Tabla"/>
            </w:pPr>
            <w:r>
              <w:t xml:space="preserve">Ahorros →+ intereses →+ ahorros; el acople entre micrófono y bocina.</w:t>
            </w:r>
          </w:p>
        </w:tc>
        <w:tc>
          <w:tcPr>
            <w:tcW w:type="dxa" w:w="2408"/>
            <w:tcMar>
              <w:top w:type="dxa" w:w="80"/>
              <w:left w:type="dxa" w:w="100"/>
              <w:bottom w:type="dxa" w:w="80"/>
              <w:right w:type="dxa" w:w="100"/>
            </w:tcMar>
          </w:tcPr>
          <w:p>
            <w:pPr>
              <w:pStyle w:val="Tabla"/>
            </w:pPr>
            <w:r>
              <w:t xml:space="preserve">Hambre →+ consumo de alimentos →− hambre: «lo que está compensando es el hambre».</w:t>
            </w:r>
          </w:p>
        </w:tc>
        <w:tc>
          <w:tcPr>
            <w:tcW w:type="dxa" w:w="2408"/>
            <w:tcMar>
              <w:top w:type="dxa" w:w="80"/>
              <w:left w:type="dxa" w:w="100"/>
              <w:bottom w:type="dxa" w:w="80"/>
              <w:right w:type="dxa" w:w="100"/>
            </w:tcMar>
          </w:tcPr>
          <w:p>
            <w:pPr>
              <w:pStyle w:val="Tabla"/>
            </w:pPr>
            <w:r>
              <w:t xml:space="preserve">Clase 15 · 00:13:59–00:15:58 · Clase 15 · 00:22:31–00:23:42 · Clase 14 · 00:42:20–00:51:48</w:t>
            </w:r>
          </w:p>
        </w:tc>
      </w:tr>
      <w:tr>
        <w:trPr>
          <w:cantSplit/>
          <w:tblHeader w:val="off"/>
        </w:trPr>
        <w:tc>
          <w:tcPr>
            <w:tcW w:type="dxa" w:w="2408"/>
            <w:tcMar>
              <w:top w:type="dxa" w:w="80"/>
              <w:left w:type="dxa" w:w="100"/>
              <w:bottom w:type="dxa" w:w="80"/>
              <w:right w:type="dxa" w:w="100"/>
            </w:tcMar>
          </w:tcPr>
          <w:p>
            <w:pPr>
              <w:pStyle w:val="Tabla"/>
            </w:pPr>
            <w:r>
              <w:t xml:space="preserve">Virtuoso y vicioso</w:t>
            </w:r>
          </w:p>
        </w:tc>
        <w:tc>
          <w:tcPr>
            <w:tcW w:type="dxa" w:w="2408"/>
            <w:tcMar>
              <w:top w:type="dxa" w:w="80"/>
              <w:left w:type="dxa" w:w="100"/>
              <w:bottom w:type="dxa" w:w="80"/>
              <w:right w:type="dxa" w:w="100"/>
            </w:tcMar>
          </w:tcPr>
          <w:p>
            <w:pPr>
              <w:pStyle w:val="Tabla"/>
            </w:pPr>
            <w:r>
              <w:t xml:space="preserve">El mismo ciclo de refuerzo: virtuoso si amplifica lo favorable para el sistema, vicioso si amplifica lo desfavorable.</w:t>
            </w:r>
          </w:p>
        </w:tc>
        <w:tc>
          <w:tcPr>
            <w:tcW w:type="dxa" w:w="2408"/>
            <w:tcMar>
              <w:top w:type="dxa" w:w="80"/>
              <w:left w:type="dxa" w:w="100"/>
              <w:bottom w:type="dxa" w:w="80"/>
              <w:right w:type="dxa" w:w="100"/>
            </w:tcMar>
          </w:tcPr>
          <w:p>
            <w:pPr>
              <w:pStyle w:val="Tabla"/>
            </w:pPr>
            <w:r>
              <w:t xml:space="preserve">La distinción no se aplica: es de los ciclos de refuerzo.</w:t>
            </w:r>
          </w:p>
        </w:tc>
        <w:tc>
          <w:tcPr>
            <w:tcW w:type="dxa" w:w="2408"/>
            <w:tcMar>
              <w:top w:type="dxa" w:w="80"/>
              <w:left w:type="dxa" w:w="100"/>
              <w:bottom w:type="dxa" w:w="80"/>
              <w:right w:type="dxa" w:w="100"/>
            </w:tcMar>
          </w:tcPr>
          <w:p>
            <w:pPr>
              <w:pStyle w:val="Tabla"/>
            </w:pPr>
            <w:r>
              <w:t xml:space="preserve">Clase 14 · 01:26:29–01:31:28</w:t>
            </w:r>
          </w:p>
        </w:tc>
      </w:tr>
    </w:tbl>
    <w:p>
      <w:pPr>
        <w:pStyle w:val="Fuente"/>
      </w:pPr>
      <w:r>
        <w:t xml:space="preserve">Redactada por el portal desde las transcripciones de las clases 14 a 16; la última columna dice dónde comprobar cada fila.</w:t>
      </w:r>
    </w:p>
    <w:p>
      <w:pPr>
        <w:pStyle w:val="Heading3"/>
      </w:pPr>
      <w:bookmarkStart w:name="b_tabla_3_3_g2_lineamientos_kim" w:id="2444"/>
      <w:r>
        <w:t xml:space="preserve">Los diez lineamientos de Kim para diagramar ciclos</w:t>
      </w:r>
      <w:bookmarkEnd w:id="2444"/>
    </w:p>
    <w:tbl>
      <w:tblPr>
        <w:tblW w:type="dxa" w:w="9632"/>
        <w:tblBorders>
          <w:top w:val="single" w:color="C5D5DB" w:sz="4"/>
          <w:left w:val="single" w:color="C5D5DB" w:sz="4"/>
          <w:bottom w:val="single" w:color="C5D5DB" w:sz="4"/>
          <w:right w:val="single" w:color="C5D5DB" w:sz="4"/>
          <w:insideH w:val="single" w:color="E4E9EB" w:sz="3"/>
          <w:insideV w:val="single" w:color="E4E9EB" w:sz="3"/>
        </w:tblBorders>
        <w:tblLayout w:type="fixed"/>
      </w:tblPr>
      <w:tblGrid>
        <w:gridCol w:w="2408"/>
        <w:gridCol w:w="2408"/>
        <w:gridCol w:w="2408"/>
        <w:gridCol w:w="2408"/>
      </w:tblGrid>
      <w:tr>
        <w:trPr>
          <w:cantSplit/>
          <w:tblHeader/>
        </w:trPr>
        <w:tc>
          <w:tcPr>
            <w:tcW w:type="dxa" w:w="2408"/>
            <w:shd w:fill="DFEAF0" w:val="clear"/>
            <w:tcMar>
              <w:top w:type="dxa" w:w="80"/>
              <w:left w:type="dxa" w:w="100"/>
              <w:bottom w:type="dxa" w:w="80"/>
              <w:right w:type="dxa" w:w="100"/>
            </w:tcMar>
          </w:tcPr>
          <w:p>
            <w:pPr>
              <w:pStyle w:val="Tabla"/>
            </w:pPr>
            <w:r>
              <w:rPr>
                <w:b/>
                <w:bCs/>
              </w:rPr>
              <w:t xml:space="preserve">#</w:t>
            </w:r>
          </w:p>
        </w:tc>
        <w:tc>
          <w:tcPr>
            <w:tcW w:type="dxa" w:w="2408"/>
            <w:shd w:fill="DFEAF0" w:val="clear"/>
            <w:tcMar>
              <w:top w:type="dxa" w:w="80"/>
              <w:left w:type="dxa" w:w="100"/>
              <w:bottom w:type="dxa" w:w="80"/>
              <w:right w:type="dxa" w:w="100"/>
            </w:tcMar>
          </w:tcPr>
          <w:p>
            <w:pPr>
              <w:pStyle w:val="Tabla"/>
            </w:pPr>
            <w:r>
              <w:rPr>
                <w:b/>
                <w:bCs/>
              </w:rPr>
              <w:t xml:space="preserve">Lineamiento</w:t>
            </w:r>
          </w:p>
        </w:tc>
        <w:tc>
          <w:tcPr>
            <w:tcW w:type="dxa" w:w="2408"/>
            <w:shd w:fill="DFEAF0" w:val="clear"/>
            <w:tcMar>
              <w:top w:type="dxa" w:w="80"/>
              <w:left w:type="dxa" w:w="100"/>
              <w:bottom w:type="dxa" w:w="80"/>
              <w:right w:type="dxa" w:w="100"/>
            </w:tcMar>
          </w:tcPr>
          <w:p>
            <w:pPr>
              <w:pStyle w:val="Tabla"/>
            </w:pPr>
            <w:r>
              <w:rPr>
                <w:b/>
                <w:bCs/>
              </w:rPr>
              <w:t xml:space="preserve">Qué pide</w:t>
            </w:r>
          </w:p>
        </w:tc>
        <w:tc>
          <w:tcPr>
            <w:tcW w:type="dxa" w:w="2408"/>
            <w:shd w:fill="DFEAF0" w:val="clear"/>
            <w:tcMar>
              <w:top w:type="dxa" w:w="80"/>
              <w:left w:type="dxa" w:w="100"/>
              <w:bottom w:type="dxa" w:w="80"/>
              <w:right w:type="dxa" w:w="100"/>
            </w:tcMar>
          </w:tcPr>
          <w:p>
            <w:pPr>
              <w:pStyle w:val="Tabla"/>
            </w:pPr>
            <w:r>
              <w:rPr>
                <w:b/>
                <w:bCs/>
              </w:rPr>
              <w:t xml:space="preserve">¿Se proyectó en clase?</w:t>
            </w:r>
          </w:p>
        </w:tc>
      </w:tr>
      <w:tr>
        <w:trPr>
          <w:cantSplit/>
          <w:tblHeader w:val="off"/>
        </w:trPr>
        <w:tc>
          <w:tcPr>
            <w:tcW w:type="dxa" w:w="2408"/>
            <w:tcMar>
              <w:top w:type="dxa" w:w="80"/>
              <w:left w:type="dxa" w:w="100"/>
              <w:bottom w:type="dxa" w:w="80"/>
              <w:right w:type="dxa" w:w="100"/>
            </w:tcMar>
          </w:tcPr>
          <w:p>
            <w:pPr>
              <w:pStyle w:val="Tabla"/>
            </w:pPr>
            <w:r>
              <w:t xml:space="preserve">1</w:t>
            </w:r>
          </w:p>
        </w:tc>
        <w:tc>
          <w:tcPr>
            <w:tcW w:type="dxa" w:w="2408"/>
            <w:tcMar>
              <w:top w:type="dxa" w:w="80"/>
              <w:left w:type="dxa" w:w="100"/>
              <w:bottom w:type="dxa" w:w="80"/>
              <w:right w:type="dxa" w:w="100"/>
            </w:tcMar>
          </w:tcPr>
          <w:p>
            <w:pPr>
              <w:pStyle w:val="Tabla"/>
            </w:pPr>
            <w:r>
              <w:t xml:space="preserve">Sustantivos, no verbos</w:t>
            </w:r>
          </w:p>
        </w:tc>
        <w:tc>
          <w:tcPr>
            <w:tcW w:type="dxa" w:w="2408"/>
            <w:tcMar>
              <w:top w:type="dxa" w:w="80"/>
              <w:left w:type="dxa" w:w="100"/>
              <w:bottom w:type="dxa" w:w="80"/>
              <w:right w:type="dxa" w:w="100"/>
            </w:tcMar>
          </w:tcPr>
          <w:p>
            <w:pPr>
              <w:pStyle w:val="Tabla"/>
            </w:pPr>
            <w:r>
              <w:t xml:space="preserve">Use sustantivos al nombrar una variable y evite verbos y frases de acción: las acciones ya están implícitas en las flechas.</w:t>
            </w:r>
          </w:p>
        </w:tc>
        <w:tc>
          <w:tcPr>
            <w:tcW w:type="dxa" w:w="2408"/>
            <w:tcMar>
              <w:top w:type="dxa" w:w="80"/>
              <w:left w:type="dxa" w:w="100"/>
              <w:bottom w:type="dxa" w:w="80"/>
              <w:right w:type="dxa" w:w="100"/>
            </w:tcMar>
          </w:tcPr>
          <w:p>
            <w:pPr>
              <w:pStyle w:val="Tabla"/>
            </w:pPr>
            <w:r>
              <w:t xml:space="preserve">Sólo en la lectura</w:t>
            </w:r>
          </w:p>
        </w:tc>
      </w:tr>
      <w:tr>
        <w:trPr>
          <w:cantSplit/>
          <w:tblHeader w:val="off"/>
        </w:trPr>
        <w:tc>
          <w:tcPr>
            <w:tcW w:type="dxa" w:w="2408"/>
            <w:tcMar>
              <w:top w:type="dxa" w:w="80"/>
              <w:left w:type="dxa" w:w="100"/>
              <w:bottom w:type="dxa" w:w="80"/>
              <w:right w:type="dxa" w:w="100"/>
            </w:tcMar>
          </w:tcPr>
          <w:p>
            <w:pPr>
              <w:pStyle w:val="Tabla"/>
            </w:pPr>
            <w:r>
              <w:t xml:space="preserve">2</w:t>
            </w:r>
          </w:p>
        </w:tc>
        <w:tc>
          <w:tcPr>
            <w:tcW w:type="dxa" w:w="2408"/>
            <w:tcMar>
              <w:top w:type="dxa" w:w="80"/>
              <w:left w:type="dxa" w:w="100"/>
              <w:bottom w:type="dxa" w:w="80"/>
              <w:right w:type="dxa" w:w="100"/>
            </w:tcMar>
          </w:tcPr>
          <w:p>
            <w:pPr>
              <w:pStyle w:val="Tabla"/>
            </w:pPr>
            <w:r>
              <w:t xml:space="preserve">Cantidades que varían</w:t>
            </w:r>
          </w:p>
        </w:tc>
        <w:tc>
          <w:tcPr>
            <w:tcW w:type="dxa" w:w="2408"/>
            <w:tcMar>
              <w:top w:type="dxa" w:w="80"/>
              <w:left w:type="dxa" w:w="100"/>
              <w:bottom w:type="dxa" w:w="80"/>
              <w:right w:type="dxa" w:w="100"/>
            </w:tcMar>
          </w:tcPr>
          <w:p>
            <w:pPr>
              <w:pStyle w:val="Tabla"/>
            </w:pPr>
            <w:r>
              <w:t xml:space="preserve">Use variables que representen cantidades que puedan variar en el tiempo.</w:t>
            </w:r>
          </w:p>
        </w:tc>
        <w:tc>
          <w:tcPr>
            <w:tcW w:type="dxa" w:w="2408"/>
            <w:tcMar>
              <w:top w:type="dxa" w:w="80"/>
              <w:left w:type="dxa" w:w="100"/>
              <w:bottom w:type="dxa" w:w="80"/>
              <w:right w:type="dxa" w:w="100"/>
            </w:tcMar>
          </w:tcPr>
          <w:p>
            <w:pPr>
              <w:pStyle w:val="Tabla"/>
            </w:pPr>
            <w:r>
              <w:t xml:space="preserve">Sólo en la lectura</w:t>
            </w:r>
          </w:p>
        </w:tc>
      </w:tr>
      <w:tr>
        <w:trPr>
          <w:cantSplit/>
          <w:tblHeader w:val="off"/>
        </w:trPr>
        <w:tc>
          <w:tcPr>
            <w:tcW w:type="dxa" w:w="2408"/>
            <w:tcMar>
              <w:top w:type="dxa" w:w="80"/>
              <w:left w:type="dxa" w:w="100"/>
              <w:bottom w:type="dxa" w:w="80"/>
              <w:right w:type="dxa" w:w="100"/>
            </w:tcMar>
          </w:tcPr>
          <w:p>
            <w:pPr>
              <w:pStyle w:val="Tabla"/>
            </w:pPr>
            <w:r>
              <w:t xml:space="preserve">3</w:t>
            </w:r>
          </w:p>
        </w:tc>
        <w:tc>
          <w:tcPr>
            <w:tcW w:type="dxa" w:w="2408"/>
            <w:tcMar>
              <w:top w:type="dxa" w:w="80"/>
              <w:left w:type="dxa" w:w="100"/>
              <w:bottom w:type="dxa" w:w="80"/>
              <w:right w:type="dxa" w:w="100"/>
            </w:tcMar>
          </w:tcPr>
          <w:p>
            <w:pPr>
              <w:pStyle w:val="Tabla"/>
            </w:pPr>
            <w:r>
              <w:t xml:space="preserve">El sentido positivo</w:t>
            </w:r>
          </w:p>
        </w:tc>
        <w:tc>
          <w:tcPr>
            <w:tcW w:type="dxa" w:w="2408"/>
            <w:tcMar>
              <w:top w:type="dxa" w:w="80"/>
              <w:left w:type="dxa" w:w="100"/>
              <w:bottom w:type="dxa" w:w="80"/>
              <w:right w:type="dxa" w:w="100"/>
            </w:tcMar>
          </w:tcPr>
          <w:p>
            <w:pPr>
              <w:pStyle w:val="Tabla"/>
            </w:pPr>
            <w:r>
              <w:t xml:space="preserve">Si necesita incluir verbos, use el sentido positivo de la variable.</w:t>
            </w:r>
          </w:p>
        </w:tc>
        <w:tc>
          <w:tcPr>
            <w:tcW w:type="dxa" w:w="2408"/>
            <w:tcMar>
              <w:top w:type="dxa" w:w="80"/>
              <w:left w:type="dxa" w:w="100"/>
              <w:bottom w:type="dxa" w:w="80"/>
              <w:right w:type="dxa" w:w="100"/>
            </w:tcMar>
          </w:tcPr>
          <w:p>
            <w:pPr>
              <w:pStyle w:val="Tabla"/>
            </w:pPr>
            <w:r>
              <w:t xml:space="preserve">Sólo en la lectura</w:t>
            </w:r>
          </w:p>
        </w:tc>
      </w:tr>
      <w:tr>
        <w:trPr>
          <w:cantSplit/>
          <w:tblHeader w:val="off"/>
        </w:trPr>
        <w:tc>
          <w:tcPr>
            <w:tcW w:type="dxa" w:w="2408"/>
            <w:tcMar>
              <w:top w:type="dxa" w:w="80"/>
              <w:left w:type="dxa" w:w="100"/>
              <w:bottom w:type="dxa" w:w="80"/>
              <w:right w:type="dxa" w:w="100"/>
            </w:tcMar>
          </w:tcPr>
          <w:p>
            <w:pPr>
              <w:pStyle w:val="Tabla"/>
            </w:pPr>
            <w:r>
              <w:t xml:space="preserve">4</w:t>
            </w:r>
          </w:p>
        </w:tc>
        <w:tc>
          <w:tcPr>
            <w:tcW w:type="dxa" w:w="2408"/>
            <w:tcMar>
              <w:top w:type="dxa" w:w="80"/>
              <w:left w:type="dxa" w:w="100"/>
              <w:bottom w:type="dxa" w:w="80"/>
              <w:right w:type="dxa" w:w="100"/>
            </w:tcMar>
          </w:tcPr>
          <w:p>
            <w:pPr>
              <w:pStyle w:val="Tabla"/>
            </w:pPr>
            <w:r>
              <w:t xml:space="preserve">Consecuencias no intencionadas</w:t>
            </w:r>
          </w:p>
        </w:tc>
        <w:tc>
          <w:tcPr>
            <w:tcW w:type="dxa" w:w="2408"/>
            <w:tcMar>
              <w:top w:type="dxa" w:w="80"/>
              <w:left w:type="dxa" w:w="100"/>
              <w:bottom w:type="dxa" w:w="80"/>
              <w:right w:type="dxa" w:w="100"/>
            </w:tcMar>
          </w:tcPr>
          <w:p>
            <w:pPr>
              <w:pStyle w:val="Tabla"/>
            </w:pPr>
            <w:r>
              <w:t xml:space="preserve">Piense tanto en las consecuencias no intencionadas como en los resultados esperados de cada curso de acción que incluya.</w:t>
            </w:r>
          </w:p>
        </w:tc>
        <w:tc>
          <w:tcPr>
            <w:tcW w:type="dxa" w:w="2408"/>
            <w:tcMar>
              <w:top w:type="dxa" w:w="80"/>
              <w:left w:type="dxa" w:w="100"/>
              <w:bottom w:type="dxa" w:w="80"/>
              <w:right w:type="dxa" w:w="100"/>
            </w:tcMar>
          </w:tcPr>
          <w:p>
            <w:pPr>
              <w:pStyle w:val="Tabla"/>
            </w:pPr>
            <w:r>
              <w:t xml:space="preserve">Sólo en la lectura</w:t>
            </w:r>
          </w:p>
        </w:tc>
      </w:tr>
      <w:tr>
        <w:trPr>
          <w:cantSplit/>
          <w:tblHeader w:val="off"/>
        </w:trPr>
        <w:tc>
          <w:tcPr>
            <w:tcW w:type="dxa" w:w="2408"/>
            <w:tcMar>
              <w:top w:type="dxa" w:w="80"/>
              <w:left w:type="dxa" w:w="100"/>
              <w:bottom w:type="dxa" w:w="80"/>
              <w:right w:type="dxa" w:w="100"/>
            </w:tcMar>
          </w:tcPr>
          <w:p>
            <w:pPr>
              <w:pStyle w:val="Tabla"/>
            </w:pPr>
            <w:r>
              <w:t xml:space="preserve">5</w:t>
            </w:r>
          </w:p>
        </w:tc>
        <w:tc>
          <w:tcPr>
            <w:tcW w:type="dxa" w:w="2408"/>
            <w:tcMar>
              <w:top w:type="dxa" w:w="80"/>
              <w:left w:type="dxa" w:w="100"/>
              <w:bottom w:type="dxa" w:w="80"/>
              <w:right w:type="dxa" w:w="100"/>
            </w:tcMar>
          </w:tcPr>
          <w:p>
            <w:pPr>
              <w:pStyle w:val="Tabla"/>
            </w:pPr>
            <w:r>
              <w:t xml:space="preserve">El objetivo explícito</w:t>
            </w:r>
          </w:p>
        </w:tc>
        <w:tc>
          <w:tcPr>
            <w:tcW w:type="dxa" w:w="2408"/>
            <w:tcMar>
              <w:top w:type="dxa" w:w="80"/>
              <w:left w:type="dxa" w:w="100"/>
              <w:bottom w:type="dxa" w:w="80"/>
              <w:right w:type="dxa" w:w="100"/>
            </w:tcMar>
          </w:tcPr>
          <w:p>
            <w:pPr>
              <w:pStyle w:val="Tabla"/>
            </w:pPr>
            <w:r>
              <w:t xml:space="preserve">Todos los ciclos de balance son procesos que buscan un objetivo: haga explícitos los objetivos que controlan el ciclo.</w:t>
            </w:r>
          </w:p>
        </w:tc>
        <w:tc>
          <w:tcPr>
            <w:tcW w:type="dxa" w:w="2408"/>
            <w:tcMar>
              <w:top w:type="dxa" w:w="80"/>
              <w:left w:type="dxa" w:w="100"/>
              <w:bottom w:type="dxa" w:w="80"/>
              <w:right w:type="dxa" w:w="100"/>
            </w:tcMar>
          </w:tcPr>
          <w:p>
            <w:pPr>
              <w:pStyle w:val="Tabla"/>
            </w:pPr>
            <w:r>
              <w:t xml:space="preserve">Sólo en la lectura</w:t>
            </w:r>
          </w:p>
        </w:tc>
      </w:tr>
      <w:tr>
        <w:trPr>
          <w:cantSplit/>
          <w:tblHeader w:val="off"/>
        </w:trPr>
        <w:tc>
          <w:tcPr>
            <w:tcW w:type="dxa" w:w="2408"/>
            <w:tcMar>
              <w:top w:type="dxa" w:w="80"/>
              <w:left w:type="dxa" w:w="100"/>
              <w:bottom w:type="dxa" w:w="80"/>
              <w:right w:type="dxa" w:w="100"/>
            </w:tcMar>
          </w:tcPr>
          <w:p>
            <w:pPr>
              <w:pStyle w:val="Tabla"/>
            </w:pPr>
            <w:r>
              <w:t xml:space="preserve">6</w:t>
            </w:r>
          </w:p>
        </w:tc>
        <w:tc>
          <w:tcPr>
            <w:tcW w:type="dxa" w:w="2408"/>
            <w:tcMar>
              <w:top w:type="dxa" w:w="80"/>
              <w:left w:type="dxa" w:w="100"/>
              <w:bottom w:type="dxa" w:w="80"/>
              <w:right w:type="dxa" w:w="100"/>
            </w:tcMar>
          </w:tcPr>
          <w:p>
            <w:pPr>
              <w:pStyle w:val="Tabla"/>
            </w:pPr>
            <w:r>
              <w:t xml:space="preserve">Real y percibido</w:t>
            </w:r>
          </w:p>
        </w:tc>
        <w:tc>
          <w:tcPr>
            <w:tcW w:type="dxa" w:w="2408"/>
            <w:tcMar>
              <w:top w:type="dxa" w:w="80"/>
              <w:left w:type="dxa" w:w="100"/>
              <w:bottom w:type="dxa" w:w="80"/>
              <w:right w:type="dxa" w:w="100"/>
            </w:tcMar>
          </w:tcPr>
          <w:p>
            <w:pPr>
              <w:pStyle w:val="Tabla"/>
            </w:pPr>
            <w:r>
              <w:t xml:space="preserve">Distinga entre los estados reales y los percibidos: las percepciones cambian más lentamente que la realidad, y suponer que la percepción es…</w:t>
            </w:r>
          </w:p>
        </w:tc>
        <w:tc>
          <w:tcPr>
            <w:tcW w:type="dxa" w:w="2408"/>
            <w:tcMar>
              <w:top w:type="dxa" w:w="80"/>
              <w:left w:type="dxa" w:w="100"/>
              <w:bottom w:type="dxa" w:w="80"/>
              <w:right w:type="dxa" w:w="100"/>
            </w:tcMar>
          </w:tcPr>
          <w:p>
            <w:pPr>
              <w:pStyle w:val="Tabla"/>
            </w:pPr>
            <w:r>
              <w:t xml:space="preserve">Sólo en la lectura</w:t>
            </w:r>
          </w:p>
        </w:tc>
      </w:tr>
      <w:tr>
        <w:trPr>
          <w:cantSplit/>
          <w:tblHeader w:val="off"/>
        </w:trPr>
        <w:tc>
          <w:tcPr>
            <w:tcW w:type="dxa" w:w="2408"/>
            <w:tcMar>
              <w:top w:type="dxa" w:w="80"/>
              <w:left w:type="dxa" w:w="100"/>
              <w:bottom w:type="dxa" w:w="80"/>
              <w:right w:type="dxa" w:w="100"/>
            </w:tcMar>
          </w:tcPr>
          <w:p>
            <w:pPr>
              <w:pStyle w:val="Tabla"/>
            </w:pPr>
            <w:r>
              <w:t xml:space="preserve">7</w:t>
            </w:r>
          </w:p>
        </w:tc>
        <w:tc>
          <w:tcPr>
            <w:tcW w:type="dxa" w:w="2408"/>
            <w:tcMar>
              <w:top w:type="dxa" w:w="80"/>
              <w:left w:type="dxa" w:w="100"/>
              <w:bottom w:type="dxa" w:w="80"/>
              <w:right w:type="dxa" w:w="100"/>
            </w:tcMar>
          </w:tcPr>
          <w:p>
            <w:pPr>
              <w:pStyle w:val="Tabla"/>
            </w:pPr>
            <w:r>
              <w:t xml:space="preserve">Agregar mientras se termina</w:t>
            </w:r>
          </w:p>
        </w:tc>
        <w:tc>
          <w:tcPr>
            <w:tcW w:type="dxa" w:w="2408"/>
            <w:tcMar>
              <w:top w:type="dxa" w:w="80"/>
              <w:left w:type="dxa" w:w="100"/>
              <w:bottom w:type="dxa" w:w="80"/>
              <w:right w:type="dxa" w:w="100"/>
            </w:tcMar>
          </w:tcPr>
          <w:p>
            <w:pPr>
              <w:pStyle w:val="Tabla"/>
            </w:pPr>
            <w:r>
              <w:t xml:space="preserve">Si una variable tiene múltiples consecuencias, empiece por agregarlas en un solo término mientras termina el resto del ciclo.</w:t>
            </w:r>
          </w:p>
        </w:tc>
        <w:tc>
          <w:tcPr>
            <w:tcW w:type="dxa" w:w="2408"/>
            <w:tcMar>
              <w:top w:type="dxa" w:w="80"/>
              <w:left w:type="dxa" w:w="100"/>
              <w:bottom w:type="dxa" w:w="80"/>
              <w:right w:type="dxa" w:w="100"/>
            </w:tcMar>
          </w:tcPr>
          <w:p>
            <w:pPr>
              <w:pStyle w:val="Tabla"/>
            </w:pPr>
            <w:r>
              <w:t xml:space="preserve">Sólo en la lectura</w:t>
            </w:r>
          </w:p>
        </w:tc>
      </w:tr>
      <w:tr>
        <w:trPr>
          <w:cantSplit/>
          <w:tblHeader w:val="off"/>
        </w:trPr>
        <w:tc>
          <w:tcPr>
            <w:tcW w:type="dxa" w:w="2408"/>
            <w:tcMar>
              <w:top w:type="dxa" w:w="80"/>
              <w:left w:type="dxa" w:w="100"/>
              <w:bottom w:type="dxa" w:w="80"/>
              <w:right w:type="dxa" w:w="100"/>
            </w:tcMar>
          </w:tcPr>
          <w:p>
            <w:pPr>
              <w:pStyle w:val="Tabla"/>
            </w:pPr>
            <w:r>
              <w:t xml:space="preserve">8</w:t>
            </w:r>
          </w:p>
        </w:tc>
        <w:tc>
          <w:tcPr>
            <w:tcW w:type="dxa" w:w="2408"/>
            <w:tcMar>
              <w:top w:type="dxa" w:w="80"/>
              <w:left w:type="dxa" w:w="100"/>
              <w:bottom w:type="dxa" w:w="80"/>
              <w:right w:type="dxa" w:w="100"/>
            </w:tcMar>
          </w:tcPr>
          <w:p>
            <w:pPr>
              <w:pStyle w:val="Tabla"/>
            </w:pPr>
            <w:r>
              <w:t xml:space="preserve">Corto y largo plazo</w:t>
            </w:r>
          </w:p>
        </w:tc>
        <w:tc>
          <w:tcPr>
            <w:tcW w:type="dxa" w:w="2408"/>
            <w:tcMar>
              <w:top w:type="dxa" w:w="80"/>
              <w:left w:type="dxa" w:w="100"/>
              <w:bottom w:type="dxa" w:w="80"/>
              <w:right w:type="dxa" w:w="100"/>
            </w:tcMar>
          </w:tcPr>
          <w:p>
            <w:pPr>
              <w:pStyle w:val="Tabla"/>
            </w:pPr>
            <w:r>
              <w:t xml:space="preserve">Las acciones casi siempre tienen consecuencias de corto y de largo plazo: dibuje ciclos más grandes para los procesos más lentos.</w:t>
            </w:r>
          </w:p>
        </w:tc>
        <w:tc>
          <w:tcPr>
            <w:tcW w:type="dxa" w:w="2408"/>
            <w:tcMar>
              <w:top w:type="dxa" w:w="80"/>
              <w:left w:type="dxa" w:w="100"/>
              <w:bottom w:type="dxa" w:w="80"/>
              <w:right w:type="dxa" w:w="100"/>
            </w:tcMar>
          </w:tcPr>
          <w:p>
            <w:pPr>
              <w:pStyle w:val="Tabla"/>
            </w:pPr>
            <w:r>
              <w:t xml:space="preserve">Sólo en la lectura</w:t>
            </w:r>
          </w:p>
        </w:tc>
      </w:tr>
      <w:tr>
        <w:trPr>
          <w:cantSplit/>
          <w:tblHeader w:val="off"/>
        </w:trPr>
        <w:tc>
          <w:tcPr>
            <w:tcW w:type="dxa" w:w="2408"/>
            <w:tcMar>
              <w:top w:type="dxa" w:w="80"/>
              <w:left w:type="dxa" w:w="100"/>
              <w:bottom w:type="dxa" w:w="80"/>
              <w:right w:type="dxa" w:w="100"/>
            </w:tcMar>
          </w:tcPr>
          <w:p>
            <w:pPr>
              <w:pStyle w:val="Tabla"/>
            </w:pPr>
            <w:r>
              <w:t xml:space="preserve">9</w:t>
            </w:r>
          </w:p>
        </w:tc>
        <w:tc>
          <w:tcPr>
            <w:tcW w:type="dxa" w:w="2408"/>
            <w:tcMar>
              <w:top w:type="dxa" w:w="80"/>
              <w:left w:type="dxa" w:w="100"/>
              <w:bottom w:type="dxa" w:w="80"/>
              <w:right w:type="dxa" w:w="100"/>
            </w:tcMar>
          </w:tcPr>
          <w:p>
            <w:pPr>
              <w:pStyle w:val="Tabla"/>
            </w:pPr>
            <w:r>
              <w:t xml:space="preserve">Un término intermedio</w:t>
            </w:r>
          </w:p>
        </w:tc>
        <w:tc>
          <w:tcPr>
            <w:tcW w:type="dxa" w:w="2408"/>
            <w:tcMar>
              <w:top w:type="dxa" w:w="80"/>
              <w:left w:type="dxa" w:w="100"/>
              <w:bottom w:type="dxa" w:w="80"/>
              <w:right w:type="dxa" w:w="100"/>
            </w:tcMar>
          </w:tcPr>
          <w:p>
            <w:pPr>
              <w:pStyle w:val="Tabla"/>
            </w:pPr>
            <w:r>
              <w:t xml:space="preserve">Si una liga entre dos términos requiere muchas explicaciones para quedar clara, redefina las variables o inserte un término intermedio.</w:t>
            </w:r>
          </w:p>
        </w:tc>
        <w:tc>
          <w:tcPr>
            <w:tcW w:type="dxa" w:w="2408"/>
            <w:tcMar>
              <w:top w:type="dxa" w:w="80"/>
              <w:left w:type="dxa" w:w="100"/>
              <w:bottom w:type="dxa" w:w="80"/>
              <w:right w:type="dxa" w:w="100"/>
            </w:tcMar>
          </w:tcPr>
          <w:p>
            <w:pPr>
              <w:pStyle w:val="Tabla"/>
            </w:pPr>
            <w:r>
              <w:t xml:space="preserve">Sí, clase 16</w:t>
            </w:r>
          </w:p>
        </w:tc>
      </w:tr>
      <w:tr>
        <w:trPr>
          <w:cantSplit/>
          <w:tblHeader w:val="off"/>
        </w:trPr>
        <w:tc>
          <w:tcPr>
            <w:tcW w:type="dxa" w:w="2408"/>
            <w:tcMar>
              <w:top w:type="dxa" w:w="80"/>
              <w:left w:type="dxa" w:w="100"/>
              <w:bottom w:type="dxa" w:w="80"/>
              <w:right w:type="dxa" w:w="100"/>
            </w:tcMar>
          </w:tcPr>
          <w:p>
            <w:pPr>
              <w:pStyle w:val="Tabla"/>
            </w:pPr>
            <w:r>
              <w:t xml:space="preserve">10</w:t>
            </w:r>
          </w:p>
        </w:tc>
        <w:tc>
          <w:tcPr>
            <w:tcW w:type="dxa" w:w="2408"/>
            <w:tcMar>
              <w:top w:type="dxa" w:w="80"/>
              <w:left w:type="dxa" w:w="100"/>
              <w:bottom w:type="dxa" w:w="80"/>
              <w:right w:type="dxa" w:w="100"/>
            </w:tcMar>
          </w:tcPr>
          <w:p>
            <w:pPr>
              <w:pStyle w:val="Tabla"/>
            </w:pPr>
            <w:r>
              <w:t xml:space="preserve">Contar los negativos y releer</w:t>
            </w:r>
          </w:p>
        </w:tc>
        <w:tc>
          <w:tcPr>
            <w:tcW w:type="dxa" w:w="2408"/>
            <w:tcMar>
              <w:top w:type="dxa" w:w="80"/>
              <w:left w:type="dxa" w:w="100"/>
              <w:bottom w:type="dxa" w:w="80"/>
              <w:right w:type="dxa" w:w="100"/>
            </w:tcMar>
          </w:tcPr>
          <w:p>
            <w:pPr>
              <w:pStyle w:val="Tabla"/>
            </w:pPr>
            <w:r>
              <w:t xml:space="preserve">Para saber si un ciclo es de balance o de refuerzo cuente los signos negativos: un número impar indica balance; par o ninguno, refuerzo.…</w:t>
            </w:r>
          </w:p>
        </w:tc>
        <w:tc>
          <w:tcPr>
            <w:tcW w:type="dxa" w:w="2408"/>
            <w:tcMar>
              <w:top w:type="dxa" w:w="80"/>
              <w:left w:type="dxa" w:w="100"/>
              <w:bottom w:type="dxa" w:w="80"/>
              <w:right w:type="dxa" w:w="100"/>
            </w:tcMar>
          </w:tcPr>
          <w:p>
            <w:pPr>
              <w:pStyle w:val="Tabla"/>
            </w:pPr>
            <w:r>
              <w:t xml:space="preserve">Sí, clase 16</w:t>
            </w:r>
          </w:p>
        </w:tc>
      </w:tr>
    </w:tbl>
    <w:p>
      <w:pPr>
        <w:pStyle w:val="Fuente"/>
      </w:pPr>
      <w:r>
        <w:t xml:space="preserve">Lectura L-9 (Daniel H. Kim), compartida para el parcial. La clase 16 proyectó la lámina c16-06 con los lineamientos marcados en la columna de la derecha.</w:t>
      </w:r>
    </w:p>
    <w:p>
      <w:pPr>
        <w:pStyle w:val="Heading3"/>
      </w:pPr>
      <w:bookmarkStart w:name="b_tabla_3_3_g2_niveles_realimentacion" w:id="2445"/>
      <w:r>
        <w:t xml:space="preserve">De la variable al sistema de realimentación</w:t>
      </w:r>
      <w:bookmarkEnd w:id="2445"/>
    </w:p>
    <w:tbl>
      <w:tblPr>
        <w:tblW w:type="dxa" w:w="9632"/>
        <w:tblBorders>
          <w:top w:val="single" w:color="C5D5DB" w:sz="4"/>
          <w:left w:val="single" w:color="C5D5DB" w:sz="4"/>
          <w:bottom w:val="single" w:color="C5D5DB" w:sz="4"/>
          <w:right w:val="single" w:color="C5D5DB" w:sz="4"/>
          <w:insideH w:val="single" w:color="E4E9EB" w:sz="3"/>
          <w:insideV w:val="single" w:color="E4E9EB" w:sz="3"/>
        </w:tblBorders>
        <w:tblLayout w:type="fixed"/>
      </w:tblPr>
      <w:tblGrid>
        <w:gridCol w:w="2408"/>
        <w:gridCol w:w="2408"/>
        <w:gridCol w:w="2408"/>
        <w:gridCol w:w="2408"/>
      </w:tblGrid>
      <w:tr>
        <w:trPr>
          <w:cantSplit/>
          <w:tblHeader/>
        </w:trPr>
        <w:tc>
          <w:tcPr>
            <w:tcW w:type="dxa" w:w="2408"/>
            <w:shd w:fill="DFEAF0" w:val="clear"/>
            <w:tcMar>
              <w:top w:type="dxa" w:w="80"/>
              <w:left w:type="dxa" w:w="100"/>
              <w:bottom w:type="dxa" w:w="80"/>
              <w:right w:type="dxa" w:w="100"/>
            </w:tcMar>
          </w:tcPr>
          <w:p>
            <w:pPr>
              <w:pStyle w:val="Tabla"/>
            </w:pPr>
            <w:r>
              <w:rPr>
                <w:b/>
                <w:bCs/>
              </w:rPr>
              <w:t xml:space="preserve">#</w:t>
            </w:r>
          </w:p>
        </w:tc>
        <w:tc>
          <w:tcPr>
            <w:tcW w:type="dxa" w:w="2408"/>
            <w:shd w:fill="DFEAF0" w:val="clear"/>
            <w:tcMar>
              <w:top w:type="dxa" w:w="80"/>
              <w:left w:type="dxa" w:w="100"/>
              <w:bottom w:type="dxa" w:w="80"/>
              <w:right w:type="dxa" w:w="100"/>
            </w:tcMar>
          </w:tcPr>
          <w:p>
            <w:pPr>
              <w:pStyle w:val="Tabla"/>
            </w:pPr>
            <w:r>
              <w:rPr>
                <w:b/>
                <w:bCs/>
              </w:rPr>
              <w:t xml:space="preserve">Nivel</w:t>
            </w:r>
          </w:p>
        </w:tc>
        <w:tc>
          <w:tcPr>
            <w:tcW w:type="dxa" w:w="2408"/>
            <w:shd w:fill="DFEAF0" w:val="clear"/>
            <w:tcMar>
              <w:top w:type="dxa" w:w="80"/>
              <w:left w:type="dxa" w:w="100"/>
              <w:bottom w:type="dxa" w:w="80"/>
              <w:right w:type="dxa" w:w="100"/>
            </w:tcMar>
          </w:tcPr>
          <w:p>
            <w:pPr>
              <w:pStyle w:val="Tabla"/>
            </w:pPr>
            <w:r>
              <w:rPr>
                <w:b/>
                <w:bCs/>
              </w:rPr>
              <w:t xml:space="preserve">Qué es</w:t>
            </w:r>
          </w:p>
        </w:tc>
        <w:tc>
          <w:tcPr>
            <w:tcW w:type="dxa" w:w="2408"/>
            <w:shd w:fill="DFEAF0" w:val="clear"/>
            <w:tcMar>
              <w:top w:type="dxa" w:w="80"/>
              <w:left w:type="dxa" w:w="100"/>
              <w:bottom w:type="dxa" w:w="80"/>
              <w:right w:type="dxa" w:w="100"/>
            </w:tcMar>
          </w:tcPr>
          <w:p>
            <w:pPr>
              <w:pStyle w:val="Tabla"/>
            </w:pPr>
            <w:r>
              <w:rPr>
                <w:b/>
                <w:bCs/>
              </w:rPr>
              <w:t xml:space="preserve">Ejemplo de las autopistas</w:t>
            </w:r>
          </w:p>
        </w:tc>
      </w:tr>
      <w:tr>
        <w:trPr>
          <w:cantSplit/>
          <w:tblHeader w:val="off"/>
        </w:trPr>
        <w:tc>
          <w:tcPr>
            <w:tcW w:type="dxa" w:w="2408"/>
            <w:tcMar>
              <w:top w:type="dxa" w:w="80"/>
              <w:left w:type="dxa" w:w="100"/>
              <w:bottom w:type="dxa" w:w="80"/>
              <w:right w:type="dxa" w:w="100"/>
            </w:tcMar>
          </w:tcPr>
          <w:p>
            <w:pPr>
              <w:pStyle w:val="Tabla"/>
            </w:pPr>
            <w:r>
              <w:t xml:space="preserve">1</w:t>
            </w:r>
          </w:p>
        </w:tc>
        <w:tc>
          <w:tcPr>
            <w:tcW w:type="dxa" w:w="2408"/>
            <w:tcMar>
              <w:top w:type="dxa" w:w="80"/>
              <w:left w:type="dxa" w:w="100"/>
              <w:bottom w:type="dxa" w:w="80"/>
              <w:right w:type="dxa" w:w="100"/>
            </w:tcMar>
          </w:tcPr>
          <w:p>
            <w:pPr>
              <w:pStyle w:val="Tabla"/>
            </w:pPr>
            <w:r>
              <w:t xml:space="preserve">La variable</w:t>
            </w:r>
          </w:p>
        </w:tc>
        <w:tc>
          <w:tcPr>
            <w:tcW w:type="dxa" w:w="2408"/>
            <w:tcMar>
              <w:top w:type="dxa" w:w="80"/>
              <w:left w:type="dxa" w:w="100"/>
              <w:bottom w:type="dxa" w:w="80"/>
              <w:right w:type="dxa" w:w="100"/>
            </w:tcMar>
          </w:tcPr>
          <w:p>
            <w:pPr>
              <w:pStyle w:val="Tabla"/>
            </w:pPr>
            <w:r>
              <w:t xml:space="preserve">Una cantidad del sistema que puede subir o bajar.</w:t>
            </w:r>
          </w:p>
        </w:tc>
        <w:tc>
          <w:tcPr>
            <w:tcW w:type="dxa" w:w="2408"/>
            <w:tcMar>
              <w:top w:type="dxa" w:w="80"/>
              <w:left w:type="dxa" w:w="100"/>
              <w:bottom w:type="dxa" w:w="80"/>
              <w:right w:type="dxa" w:w="100"/>
            </w:tcMar>
          </w:tcPr>
          <w:p>
            <w:pPr>
              <w:pStyle w:val="Tabla"/>
            </w:pPr>
            <w:r>
              <w:t xml:space="preserve">Autopistas: los kilómetros de autopista en servicio.</w:t>
            </w:r>
          </w:p>
        </w:tc>
      </w:tr>
      <w:tr>
        <w:trPr>
          <w:cantSplit/>
          <w:tblHeader w:val="off"/>
        </w:trPr>
        <w:tc>
          <w:tcPr>
            <w:tcW w:type="dxa" w:w="2408"/>
            <w:tcMar>
              <w:top w:type="dxa" w:w="80"/>
              <w:left w:type="dxa" w:w="100"/>
              <w:bottom w:type="dxa" w:w="80"/>
              <w:right w:type="dxa" w:w="100"/>
            </w:tcMar>
          </w:tcPr>
          <w:p>
            <w:pPr>
              <w:pStyle w:val="Tabla"/>
            </w:pPr>
            <w:r>
              <w:t xml:space="preserve">2</w:t>
            </w:r>
          </w:p>
        </w:tc>
        <w:tc>
          <w:tcPr>
            <w:tcW w:type="dxa" w:w="2408"/>
            <w:tcMar>
              <w:top w:type="dxa" w:w="80"/>
              <w:left w:type="dxa" w:w="100"/>
              <w:bottom w:type="dxa" w:w="80"/>
              <w:right w:type="dxa" w:w="100"/>
            </w:tcMar>
          </w:tcPr>
          <w:p>
            <w:pPr>
              <w:pStyle w:val="Tabla"/>
            </w:pPr>
            <w:r>
              <w:t xml:space="preserve">La influencia</w:t>
            </w:r>
          </w:p>
        </w:tc>
        <w:tc>
          <w:tcPr>
            <w:tcW w:type="dxa" w:w="2408"/>
            <w:tcMar>
              <w:top w:type="dxa" w:w="80"/>
              <w:left w:type="dxa" w:w="100"/>
              <w:bottom w:type="dxa" w:w="80"/>
              <w:right w:type="dxa" w:w="100"/>
            </w:tcMar>
          </w:tcPr>
          <w:p>
            <w:pPr>
              <w:pStyle w:val="Tabla"/>
            </w:pPr>
            <w:r>
              <w:t xml:space="preserve">La relación entre dos variables.</w:t>
            </w:r>
          </w:p>
        </w:tc>
        <w:tc>
          <w:tcPr>
            <w:tcW w:type="dxa" w:w="2408"/>
            <w:tcMar>
              <w:top w:type="dxa" w:w="80"/>
              <w:left w:type="dxa" w:w="100"/>
              <w:bottom w:type="dxa" w:w="80"/>
              <w:right w:type="dxa" w:w="100"/>
            </w:tcMar>
          </w:tcPr>
          <w:p>
            <w:pPr>
              <w:pStyle w:val="Tabla"/>
            </w:pPr>
            <w:r>
              <w:t xml:space="preserve">A más autopistas, más ingresos de autopistas: influencia positiva.</w:t>
            </w:r>
          </w:p>
        </w:tc>
      </w:tr>
      <w:tr>
        <w:trPr>
          <w:cantSplit/>
          <w:tblHeader w:val="off"/>
        </w:trPr>
        <w:tc>
          <w:tcPr>
            <w:tcW w:type="dxa" w:w="2408"/>
            <w:tcMar>
              <w:top w:type="dxa" w:w="80"/>
              <w:left w:type="dxa" w:w="100"/>
              <w:bottom w:type="dxa" w:w="80"/>
              <w:right w:type="dxa" w:w="100"/>
            </w:tcMar>
          </w:tcPr>
          <w:p>
            <w:pPr>
              <w:pStyle w:val="Tabla"/>
            </w:pPr>
            <w:r>
              <w:t xml:space="preserve">3</w:t>
            </w:r>
          </w:p>
        </w:tc>
        <w:tc>
          <w:tcPr>
            <w:tcW w:type="dxa" w:w="2408"/>
            <w:tcMar>
              <w:top w:type="dxa" w:w="80"/>
              <w:left w:type="dxa" w:w="100"/>
              <w:bottom w:type="dxa" w:w="80"/>
              <w:right w:type="dxa" w:w="100"/>
            </w:tcMar>
          </w:tcPr>
          <w:p>
            <w:pPr>
              <w:pStyle w:val="Tabla"/>
            </w:pPr>
            <w:r>
              <w:t xml:space="preserve">El bucle de realimentación</w:t>
            </w:r>
          </w:p>
        </w:tc>
        <w:tc>
          <w:tcPr>
            <w:tcW w:type="dxa" w:w="2408"/>
            <w:tcMar>
              <w:top w:type="dxa" w:w="80"/>
              <w:left w:type="dxa" w:w="100"/>
              <w:bottom w:type="dxa" w:w="80"/>
              <w:right w:type="dxa" w:w="100"/>
            </w:tcMar>
          </w:tcPr>
          <w:p>
            <w:pPr>
              <w:pStyle w:val="Tabla"/>
            </w:pPr>
            <w:r>
              <w:t xml:space="preserve">Se forma cuando una variable influye sobre otra y ésta, a su vez, sobre la primera.</w:t>
            </w:r>
          </w:p>
        </w:tc>
        <w:tc>
          <w:tcPr>
            <w:tcW w:type="dxa" w:w="2408"/>
            <w:tcMar>
              <w:top w:type="dxa" w:w="80"/>
              <w:left w:type="dxa" w:w="100"/>
              <w:bottom w:type="dxa" w:w="80"/>
              <w:right w:type="dxa" w:w="100"/>
            </w:tcMar>
          </w:tcPr>
          <w:p>
            <w:pPr>
              <w:pStyle w:val="Tabla"/>
            </w:pPr>
            <w:r>
              <w:t xml:space="preserve">Autopistas → ingresos → construcción → autopistas: tres positivas, bucle positivo (R).</w:t>
            </w:r>
          </w:p>
        </w:tc>
      </w:tr>
      <w:tr>
        <w:trPr>
          <w:cantSplit/>
          <w:tblHeader w:val="off"/>
        </w:trPr>
        <w:tc>
          <w:tcPr>
            <w:tcW w:type="dxa" w:w="2408"/>
            <w:tcMar>
              <w:top w:type="dxa" w:w="80"/>
              <w:left w:type="dxa" w:w="100"/>
              <w:bottom w:type="dxa" w:w="80"/>
              <w:right w:type="dxa" w:w="100"/>
            </w:tcMar>
          </w:tcPr>
          <w:p>
            <w:pPr>
              <w:pStyle w:val="Tabla"/>
            </w:pPr>
            <w:r>
              <w:t xml:space="preserve">4</w:t>
            </w:r>
          </w:p>
        </w:tc>
        <w:tc>
          <w:tcPr>
            <w:tcW w:type="dxa" w:w="2408"/>
            <w:tcMar>
              <w:top w:type="dxa" w:w="80"/>
              <w:left w:type="dxa" w:w="100"/>
              <w:bottom w:type="dxa" w:w="80"/>
              <w:right w:type="dxa" w:w="100"/>
            </w:tcMar>
          </w:tcPr>
          <w:p>
            <w:pPr>
              <w:pStyle w:val="Tabla"/>
            </w:pPr>
            <w:r>
              <w:t xml:space="preserve">El sistema de realimentación</w:t>
            </w:r>
          </w:p>
        </w:tc>
        <w:tc>
          <w:tcPr>
            <w:tcW w:type="dxa" w:w="2408"/>
            <w:tcMar>
              <w:top w:type="dxa" w:w="80"/>
              <w:left w:type="dxa" w:w="100"/>
              <w:bottom w:type="dxa" w:w="80"/>
              <w:right w:type="dxa" w:w="100"/>
            </w:tcMar>
          </w:tcPr>
          <w:p>
            <w:pPr>
              <w:pStyle w:val="Tabla"/>
            </w:pPr>
            <w:r>
              <w:t xml:space="preserve">Un sistema dinámico de primer orden tiene un único nivel y bucles positivos o negativos.</w:t>
            </w:r>
          </w:p>
        </w:tc>
        <w:tc>
          <w:tcPr>
            <w:tcW w:type="dxa" w:w="2408"/>
            <w:tcMar>
              <w:top w:type="dxa" w:w="80"/>
              <w:left w:type="dxa" w:w="100"/>
              <w:bottom w:type="dxa" w:w="80"/>
              <w:right w:type="dxa" w:w="100"/>
            </w:tcMar>
          </w:tcPr>
          <w:p>
            <w:pPr>
              <w:pStyle w:val="Tabla"/>
            </w:pPr>
            <w:r>
              <w:t xml:space="preserve">El modelo de autopistas: los costes de construcción y el abandono frenan desde fuera, pero el bucle positivo sigue arrastrando el crecimiento.</w:t>
            </w:r>
          </w:p>
        </w:tc>
      </w:tr>
    </w:tbl>
    <w:p>
      <w:pPr>
        <w:pStyle w:val="Fuente"/>
      </w:pPr>
      <w:r>
        <w:t xml:space="preserve">Lectura L-10 (sesiones de aprendizaje 2 y 3), compartida para el parcial. No es dictado de clase: ordena el vocabulario que la clase sí usó.</w:t>
      </w:r>
    </w:p>
    <w:p>
      <w:pPr>
        <w:pStyle w:val="Heading3"/>
      </w:pPr>
      <w:r>
        <w:t xml:space="preserve">Lo que dicen las presentaciones</w:t>
      </w:r>
    </w:p>
    <w:p>
      <w:pPr>
        <w:pStyle w:val="Heading3"/>
      </w:pPr>
      <w:bookmarkStart w:name="b_pagina_3_3_C_2_p36" w:id="2446"/>
      <w:r>
        <w:t xml:space="preserve">C-2 · página 36 · Ejercicio: las seis partes de una planta</w:t>
      </w:r>
      <w:bookmarkEnd w:id="2446"/>
    </w:p>
    <w:p>
      <w:pPr>
        <w:pStyle w:val="Normal"/>
      </w:pPr>
      <w:r>
        <w:t xml:space="preserve">Con flor,fruto,tallo,hojas,semillas y raíces se pide establecer conexiones que expliquen la interacción del sistema.</w:t>
      </w:r>
    </w:p>
    <w:p>
      <w:pPr>
        <w:pStyle w:val="Fuente"/>
      </w:pPr>
      <w:r>
        <w:t xml:space="preserve">Proyección o explicación: Clase 12 · 00:53:28 · captura c12-04.</w:t>
      </w:r>
    </w:p>
    <w:p>
      <w:bookmarkStart w:name="b_punto_c2_p036_01" w:id="2447"/>
      <w:r>
        <w:t xml:space="preserve">Las seis variables iniciales son flor,fruto,tallo,hojas,semillas y raíces.</w:t>
      </w:r>
      <w:bookmarkEnd w:id="2447"/>
    </w:p>
    <w:p>
      <w:bookmarkStart w:name="b_punto_c2_p036_02" w:id="2448"/>
      <w:r>
        <w:t xml:space="preserve">El ejercicio requiere proponer conexiones significativas entre partes,no sólo enumerarlas o describir cada órgano aislado.</w:t>
      </w:r>
      <w:bookmarkEnd w:id="2448"/>
    </w:p>
    <w:p>
      <w:bookmarkStart w:name="b_punto_c2_p036_03" w:id="2449"/>
      <w:r>
        <w:t xml:space="preserve">El orden visual circular de las fotos no demuestra por sí solo que exista un ciclo causal; debe dibujarse la cadena de influencias y su retorno.</w:t>
      </w:r>
      <w:bookmarkEnd w:id="2449"/>
    </w:p>
    <w:p>
      <w:pPr>
        <w:pStyle w:val="Heading3"/>
      </w:pPr>
      <w:bookmarkStart w:name="b_pagina_3_3_C_2_p37" w:id="2450"/>
      <w:r>
        <w:t xml:space="preserve">C-2 · página 37 · Una solución posible del ciclo de la planta</w:t>
      </w:r>
      <w:bookmarkEnd w:id="2450"/>
    </w:p>
    <w:p>
      <w:pPr>
        <w:pStyle w:val="Normal"/>
      </w:pPr>
      <w:r>
        <w:t xml:space="preserve">La respuesta une semillas,raíces,tallo,flores,fruto y nuevas semillas y muestra la rama hacia hojas.</w:t>
      </w:r>
    </w:p>
    <w:p>
      <w:pPr>
        <w:pStyle w:val="Fuente"/>
      </w:pPr>
      <w:r>
        <w:t xml:space="preserve">Proyección o explicación: Clase 12 · 01:03:50 · captura c12-05.</w:t>
      </w:r>
    </w:p>
    <w:p>
      <w:bookmarkStart w:name="b_punto_c2_p037_01" w:id="2451"/>
      <w:r>
        <w:t xml:space="preserve">Las semillas producen raíces,las raíces sostienen el tallo,del tallo salen hojas y flores,las flores producen frutos y los frutos contienen nuevas semillas.</w:t>
      </w:r>
      <w:bookmarkEnd w:id="2451"/>
    </w:p>
    <w:p>
      <w:bookmarkStart w:name="b_punto_c2_p037_02" w:id="2452"/>
      <w:r>
        <w:t xml:space="preserve">El arco fruto→semillas cierra el recorrido y transforma la secuencia en un comportamiento circular.</w:t>
      </w:r>
      <w:bookmarkEnd w:id="2452"/>
    </w:p>
    <w:p>
      <w:bookmarkStart w:name="b_punto_c2_p037_03" w:id="2453"/>
      <w:r>
        <w:t xml:space="preserve">Los signos positivos indican relaciones en el mismo sentido y el ciclo reproductivo es de refuerzo.</w:t>
      </w:r>
      <w:bookmarkEnd w:id="2453"/>
    </w:p>
    <w:p>
      <w:pPr>
        <w:pStyle w:val="Fuente"/>
      </w:pPr>
      <w:r>
        <w:t xml:space="preserve">Véase </w:t>
      </w:r>
      <w:hyperlink w:history="1" w:anchor="b_3_1">
        <w:r>
          <w:rPr>
            <w:color w:val="156B70"/>
            <w:u w:val="single"/>
          </w:rPr>
          <w:t xml:space="preserve">capítulo 3.1 · Mapas sistémicos</w:t>
        </w:r>
      </w:hyperlink>
      <w:r>
        <w:t xml:space="preserve">, pág. </w:t>
      </w:r>
      <w:r>
        <w:fldChar w:fldCharType="begin"/>
        <w:instrText xml:space="preserve">PAGEREF b_3_1 \h</w:instrText>
        <w:fldChar w:fldCharType="separate"/>
        <w:t xml:space="preserve">379</w:t>
        <w:fldChar w:fldCharType="end"/>
      </w:r>
      <w:r>
        <w:t xml:space="preserve">.</w:t>
      </w:r>
    </w:p>
    <w:p>
      <w:pPr>
        <w:pStyle w:val="Heading3"/>
      </w:pPr>
      <w:bookmarkStart w:name="b_pagina_3_3_C_2_p44" w:id="2454"/>
      <w:r>
        <w:t xml:space="preserve">C-2 · página 44 · Un ciclo sencillo de un sistema natural</w:t>
      </w:r>
      <w:bookmarkEnd w:id="2454"/>
    </w:p>
    <w:p>
      <w:pPr>
        <w:pStyle w:val="Normal"/>
      </w:pPr>
      <w:r>
        <w:t xml:space="preserve">La planta cierra su ciclo al producir nuevas semillas; la figura amplía ramas y conexiones entre órganos.</w:t>
      </w:r>
    </w:p>
    <w:p>
      <w:pPr>
        <w:pStyle w:val="Fuente"/>
      </w:pPr>
      <w:r>
        <w:t xml:space="preserve">Proyección o explicación: Clase 13 · 00:32:02 · captura c13-04.</w:t>
      </w:r>
    </w:p>
    <w:p>
      <w:bookmarkStart w:name="b_punto_c2_p044_01" w:id="2455"/>
      <w:r>
        <w:t xml:space="preserve">Semillas → raíces → tallos → ramas; de ramas salen hojas, flores y frutos.</w:t>
      </w:r>
      <w:bookmarkEnd w:id="2455"/>
    </w:p>
    <w:p>
      <w:bookmarkStart w:name="b_punto_c2_p044_02" w:id="2456"/>
      <w:r>
        <w:t xml:space="preserve">Flores → frutos → semillas cierra el retorno: una aparente secuencia es un ciclo.</w:t>
      </w:r>
      <w:bookmarkEnd w:id="2456"/>
    </w:p>
    <w:p>
      <w:bookmarkStart w:name="b_punto_c2_p044_03" w:id="2457"/>
      <w:r>
        <w:t xml:space="preserve">Hay ramificaciones y rutas internas, además del retorno al origen.</w:t>
      </w:r>
      <w:bookmarkEnd w:id="2457"/>
    </w:p>
    <w:p>
      <w:pPr>
        <w:pStyle w:val="Heading3"/>
      </w:pPr>
      <w:bookmarkStart w:name="b_pagina_3_3_C_2_p45" w:id="2458"/>
      <w:r>
        <w:t xml:space="preserve">C-2 · página 45 · Modelando historias sobre la dinámica de los sistemas</w:t>
      </w:r>
      <w:bookmarkEnd w:id="2458"/>
    </w:p>
    <w:p>
      <w:pPr>
        <w:pStyle w:val="Normal"/>
      </w:pPr>
      <w:r>
        <w:t xml:space="preserve">DCC y variables representan historias circulares; practicar su lectura ayuda a anticipar consecuencias.</w:t>
      </w:r>
    </w:p>
    <w:p>
      <w:pPr>
        <w:pStyle w:val="Fuente"/>
      </w:pPr>
      <w:r>
        <w:t xml:space="preserve">Proyección o explicación: Clase 13 · 00:37:21 · captura c13-05.</w:t>
      </w:r>
    </w:p>
    <w:p>
      <w:bookmarkStart w:name="b_punto_c2_p045_01" w:id="2459"/>
      <w:r>
        <w:t xml:space="preserve">Los diagramas de bucles o ciclos causales, bucles de retroalimentación y mapas sistémicos modelan relaciones circulares.</w:t>
      </w:r>
      <w:bookmarkEnd w:id="2459"/>
    </w:p>
    <w:p>
      <w:bookmarkStart w:name="b_punto_c2_p045_02" w:id="2460"/>
      <w:r>
        <w:t xml:space="preserve">Abeja y flor son variables porque sus cantidades pueden cambiar con el tiempo.</w:t>
      </w:r>
      <w:bookmarkEnd w:id="2460"/>
    </w:p>
    <w:p>
      <w:bookmarkStart w:name="b_punto_c2_p045_03" w:id="2461"/>
      <w:r>
        <w:t xml:space="preserve">La abeja poliniza la flor y la flor alimenta la abeja: cada una es causa y efecto de la otra.</w:t>
      </w:r>
      <w:bookmarkEnd w:id="2461"/>
    </w:p>
    <w:p>
      <w:pPr>
        <w:pStyle w:val="Fuente"/>
      </w:pPr>
      <w:r>
        <w:t xml:space="preserve">Véase </w:t>
      </w:r>
      <w:hyperlink w:history="1" w:anchor="b_3_4">
        <w:r>
          <w:rPr>
            <w:color w:val="156B70"/>
            <w:u w:val="single"/>
          </w:rPr>
          <w:t xml:space="preserve">capítulo 3.4 · Interdependencias sistémicas</w:t>
        </w:r>
      </w:hyperlink>
      <w:r>
        <w:t xml:space="preserve">, pág. </w:t>
      </w:r>
      <w:r>
        <w:fldChar w:fldCharType="begin"/>
        <w:instrText xml:space="preserve">PAGEREF b_3_4 \h</w:instrText>
        <w:fldChar w:fldCharType="separate"/>
        <w:t xml:space="preserve">476</w:t>
        <w:fldChar w:fldCharType="end"/>
      </w:r>
      <w:r>
        <w:t xml:space="preserve">.</w:t>
      </w:r>
    </w:p>
    <w:p>
      <w:pPr>
        <w:pStyle w:val="Heading3"/>
      </w:pPr>
      <w:bookmarkStart w:name="b_pagina_3_3_C_2_p46" w:id="2462"/>
      <w:r>
        <w:t xml:space="preserve">C-2 · página 46 · Sistema para llenar un vaso con agua</w:t>
      </w:r>
      <w:bookmarkEnd w:id="2462"/>
    </w:p>
    <w:p>
      <w:pPr>
        <w:pStyle w:val="Normal"/>
      </w:pPr>
      <w:r>
        <w:t xml:space="preserve">Objetivo, brecha, grifo, flujo y nivel forman un control que se ajusta al llenarse el vaso.</w:t>
      </w:r>
    </w:p>
    <w:p>
      <w:pPr>
        <w:pStyle w:val="Fuente"/>
      </w:pPr>
      <w:r>
        <w:t xml:space="preserve">Proyección o explicación: Clase 13 · 00:43:56 · captura c13-06.</w:t>
      </w:r>
    </w:p>
    <w:p>
      <w:bookmarkStart w:name="b_punto_c2_p046_01" w:id="2463"/>
      <w:r>
        <w:t xml:space="preserve">Un nivel deseado fija el objetivo que se compara con la cantidad actual.</w:t>
      </w:r>
      <w:bookmarkEnd w:id="2463"/>
    </w:p>
    <w:p>
      <w:bookmarkStart w:name="b_punto_c2_p046_02" w:id="2464"/>
      <w:r>
        <w:t xml:space="preserve">La posición del grifo determina el flujo, que cambia el nivel y con ello la brecha percibida.</w:t>
      </w:r>
      <w:bookmarkEnd w:id="2464"/>
    </w:p>
    <w:p>
      <w:bookmarkStart w:name="b_punto_c2_p046_03" w:id="2465"/>
      <w:r>
        <w:t xml:space="preserve">Cuando se reduce la brecha se reduce el grifo hasta cerrar el flujo.</w:t>
      </w:r>
      <w:bookmarkEnd w:id="2465"/>
    </w:p>
    <w:p>
      <w:bookmarkStart w:name="b_punto_c2_p046_04" w:id="2466"/>
      <w:r>
        <w:t xml:space="preserve">La figura del deck omite nivel actual entre flujo y brecha; el portal lo añade para explicitar la historia.</w:t>
      </w:r>
      <w:bookmarkEnd w:id="2466"/>
    </w:p>
    <w:p>
      <w:pPr>
        <w:pStyle w:val="Heading3"/>
      </w:pPr>
      <w:bookmarkStart w:name="b_pagina_3_3_C_2_p47" w:id="2467"/>
      <w:r>
        <w:t xml:space="preserve">C-2 · página 47 · Tiempo lineal y tiempo circular</w:t>
      </w:r>
      <w:bookmarkEnd w:id="2467"/>
    </w:p>
    <w:p>
      <w:pPr>
        <w:pStyle w:val="Normal"/>
      </w:pPr>
      <w:r>
        <w:t xml:space="preserve">La analogía del corcho muestra supuestos de la predicción; un futuro imaginado puede orientar la acción presente.</w:t>
      </w:r>
    </w:p>
    <w:p>
      <w:pPr>
        <w:pStyle w:val="Fuente"/>
      </w:pPr>
      <w:r>
        <w:t xml:space="preserve">Proyección o explicación: Clase 13 · 00:53:59 · captura c13-07.</w:t>
      </w:r>
    </w:p>
    <w:p>
      <w:pPr>
        <w:pStyle w:val="Fuente"/>
      </w:pPr>
      <w:r>
        <w:t xml:space="preserve">Véase </w:t>
      </w:r>
      <w:hyperlink w:history="1" w:anchor="b_figura_original_pagina_C_2_47">
        <w:r>
          <w:rPr>
            <w:color w:val="156B70"/>
            <w:u w:val="single"/>
          </w:rPr>
          <w:t xml:space="preserve">imagen de C-2, página 47</w:t>
        </w:r>
      </w:hyperlink>
      <w:r>
        <w:t xml:space="preserve">, pág. </w:t>
      </w:r>
      <w:r>
        <w:fldChar w:fldCharType="begin"/>
        <w:instrText xml:space="preserve">PAGEREF b_figura_original_pagina_C_2_47 \h</w:instrText>
        <w:fldChar w:fldCharType="separate"/>
        <w:t xml:space="preserve">482</w:t>
        <w:fldChar w:fldCharType="end"/>
      </w:r>
      <w:r>
        <w:t xml:space="preserve">.</w:t>
      </w:r>
    </w:p>
    <w:p>
      <w:bookmarkStart w:name="b_punto_c2_p047_03" w:id="2468"/>
      <w:r>
        <w:t xml:space="preserve">Modelar exige delimitar variables y expresar supuestos que pueden alejarse del caso real.</w:t>
      </w:r>
      <w:bookmarkEnd w:id="2468"/>
    </w:p>
    <w:p>
      <w:pPr>
        <w:pStyle w:val="Fuente"/>
      </w:pPr>
      <w:r>
        <w:t xml:space="preserve">Véase </w:t>
      </w:r>
      <w:hyperlink w:history="1" w:anchor="b_3_4">
        <w:r>
          <w:rPr>
            <w:color w:val="156B70"/>
            <w:u w:val="single"/>
          </w:rPr>
          <w:t xml:space="preserve">capítulo 3.4 · Interdependencias sistémicas</w:t>
        </w:r>
      </w:hyperlink>
      <w:r>
        <w:t xml:space="preserve">, pág. </w:t>
      </w:r>
      <w:r>
        <w:fldChar w:fldCharType="begin"/>
        <w:instrText xml:space="preserve">PAGEREF b_3_4 \h</w:instrText>
        <w:fldChar w:fldCharType="separate"/>
        <w:t xml:space="preserve">476</w:t>
        <w:fldChar w:fldCharType="end"/>
      </w:r>
      <w:r>
        <w:t xml:space="preserve">.</w:t>
      </w:r>
    </w:p>
    <w:p>
      <w:pPr>
        <w:pStyle w:val="Heading3"/>
      </w:pPr>
      <w:bookmarkStart w:name="b_pagina_3_3_C_2_p48" w:id="2469"/>
      <w:r>
        <w:t xml:space="preserve">C-2 · página 48 · Hervir agua: la secuencia de acciones</w:t>
      </w:r>
      <w:bookmarkEnd w:id="2469"/>
    </w:p>
    <w:p>
      <w:pPr>
        <w:pStyle w:val="Normal"/>
      </w:pPr>
      <w:r>
        <w:t xml:space="preserve">Encender, hervir y apagar constituyen una secuencia inicial que todavía no explica la regulación.</w:t>
      </w:r>
    </w:p>
    <w:p>
      <w:bookmarkStart w:name="b_punto_c2_p048_01" w:id="2470"/>
      <w:r>
        <w:t xml:space="preserve">Encender fogón → hervir agua → apagar fogón enumera acciones en orden, con inicio y fin.</w:t>
      </w:r>
      <w:bookmarkEnd w:id="2470"/>
    </w:p>
    <w:p>
      <w:bookmarkStart w:name="b_punto_c2_p048_02" w:id="2471"/>
      <w:r>
        <w:t xml:space="preserve">La secuencia no sustituye a variables e influencias que expliquen la dinámica.</w:t>
      </w:r>
      <w:bookmarkEnd w:id="2471"/>
    </w:p>
    <w:p>
      <w:pPr>
        <w:pStyle w:val="Heading3"/>
      </w:pPr>
      <w:bookmarkStart w:name="b_pagina_3_3_C_2_p49" w:id="2472"/>
      <w:r>
        <w:t xml:space="preserve">C-2 · página 49 · Hervir agua: proceso frente a sistema</w:t>
      </w:r>
      <w:bookmarkEnd w:id="2472"/>
    </w:p>
    <w:p>
      <w:pPr>
        <w:pStyle w:val="Normal"/>
      </w:pPr>
      <w:r>
        <w:t xml:space="preserve">El mismo caso cambia de acciones sucesivas a variables, influencias, objetivo, brecha y un lazo B.</w:t>
      </w:r>
    </w:p>
    <w:p>
      <w:pPr>
        <w:pStyle w:val="Fuente"/>
      </w:pPr>
      <w:r>
        <w:t xml:space="preserve">Proyección o explicación: Clase 13 · 01:14:10 · captura c13-08.</w:t>
      </w:r>
    </w:p>
    <w:p>
      <w:bookmarkStart w:name="b_punto_c2_p049_01" w:id="2473"/>
      <w:r>
        <w:t xml:space="preserve">Brecha → llave del fogón → flujo de fuego → temperatura → brecha, con objetivo agua hervida.</w:t>
      </w:r>
      <w:bookmarkEnd w:id="2473"/>
    </w:p>
    <w:p>
      <w:bookmarkStart w:name="b_punto_c2_p049_02" w:id="2474"/>
      <w:r>
        <w:t xml:space="preserve">El proceso describe actividades y acciones nombradas con verbos.</w:t>
      </w:r>
      <w:bookmarkEnd w:id="2474"/>
    </w:p>
    <w:p>
      <w:bookmarkStart w:name="b_punto_c2_p049_03" w:id="2475"/>
      <w:r>
        <w:t xml:space="preserve">Las flechas del proceso indican secuencia y cronología; el diagrama es lineal.</w:t>
      </w:r>
      <w:bookmarkEnd w:id="2475"/>
    </w:p>
    <w:p>
      <w:bookmarkStart w:name="b_punto_c2_p049_04" w:id="2476"/>
      <w:r>
        <w:t xml:space="preserve">El diagrama sistémico describe variables nombradas con sustantivos.</w:t>
      </w:r>
      <w:bookmarkEnd w:id="2476"/>
    </w:p>
    <w:p>
      <w:bookmarkStart w:name="b_punto_c2_p049_05" w:id="2477"/>
      <w:r>
        <w:t xml:space="preserve">Las flechas sistémicas expresan influencia causal, no orden de ejecución.</w:t>
      </w:r>
      <w:bookmarkEnd w:id="2477"/>
    </w:p>
    <w:p>
      <w:bookmarkStart w:name="b_punto_c2_p049_06" w:id="2478"/>
      <w:r>
        <w:t xml:space="preserve">El retorno causal da estructura circular y distingue causa/efecto de secuencia.</w:t>
      </w:r>
      <w:bookmarkEnd w:id="2478"/>
    </w:p>
    <w:p>
      <w:bookmarkStart w:name="b_punto_c2_p049_07" w:id="2479"/>
      <w:r>
        <w:t xml:space="preserve">La B del centro indica balance hacia una meta.</w:t>
      </w:r>
      <w:bookmarkEnd w:id="2479"/>
    </w:p>
    <w:p>
      <w:pPr>
        <w:pStyle w:val="Heading3"/>
      </w:pPr>
      <w:bookmarkStart w:name="b_pagina_3_3_C_2_p51" w:id="2480"/>
      <w:r>
        <w:t xml:space="preserve">C-2 · página 51 · Hervir agua: proceso frente a sistema</w:t>
      </w:r>
      <w:bookmarkEnd w:id="2480"/>
    </w:p>
    <w:p>
      <w:pPr>
        <w:pStyle w:val="Normal"/>
      </w:pPr>
      <w:r>
        <w:t xml:space="preserve">El mismo caso cambia de acciones sucesivas a variables, influencias, objetivo, brecha y un lazo B.</w:t>
      </w:r>
    </w:p>
    <w:p>
      <w:pPr>
        <w:pStyle w:val="Fuente"/>
      </w:pPr>
      <w:r>
        <w:t xml:space="preserve">Proyección o explicación: Clase 13 · 01:14:10 · captura c13-08.</w:t>
      </w:r>
    </w:p>
    <w:p>
      <w:bookmarkStart w:name="b_punto_c2_p051_01" w:id="2481"/>
      <w:r>
        <w:t xml:space="preserve">Brecha → llave del fogón → flujo de fuego → temperatura → brecha, con objetivo agua hervida.</w:t>
      </w:r>
      <w:bookmarkEnd w:id="2481"/>
    </w:p>
    <w:p>
      <w:bookmarkStart w:name="b_punto_c2_p051_02" w:id="2482"/>
      <w:r>
        <w:t xml:space="preserve">El proceso describe actividades y acciones nombradas con verbos.</w:t>
      </w:r>
      <w:bookmarkEnd w:id="2482"/>
    </w:p>
    <w:p>
      <w:bookmarkStart w:name="b_punto_c2_p051_03" w:id="2483"/>
      <w:r>
        <w:t xml:space="preserve">Las flechas del proceso indican secuencia y cronología; el diagrama es lineal.</w:t>
      </w:r>
      <w:bookmarkEnd w:id="2483"/>
    </w:p>
    <w:p>
      <w:bookmarkStart w:name="b_punto_c2_p051_04" w:id="2484"/>
      <w:r>
        <w:t xml:space="preserve">El diagrama sistémico describe variables nombradas con sustantivos.</w:t>
      </w:r>
      <w:bookmarkEnd w:id="2484"/>
    </w:p>
    <w:p>
      <w:bookmarkStart w:name="b_punto_c2_p051_05" w:id="2485"/>
      <w:r>
        <w:t xml:space="preserve">Las flechas sistémicas expresan influencia causal, no orden de ejecución.</w:t>
      </w:r>
      <w:bookmarkEnd w:id="2485"/>
    </w:p>
    <w:p>
      <w:bookmarkStart w:name="b_punto_c2_p051_06" w:id="2486"/>
      <w:r>
        <w:t xml:space="preserve">El retorno causal da estructura circular y distingue causa/efecto de secuencia.</w:t>
      </w:r>
      <w:bookmarkEnd w:id="2486"/>
    </w:p>
    <w:p>
      <w:bookmarkStart w:name="b_punto_c2_p051_07" w:id="2487"/>
      <w:r>
        <w:t xml:space="preserve">La B del centro indica balance hacia una meta.</w:t>
      </w:r>
      <w:bookmarkEnd w:id="2487"/>
    </w:p>
    <w:p>
      <w:pPr>
        <w:pStyle w:val="Heading3"/>
      </w:pPr>
      <w:bookmarkStart w:name="b_pagina_3_3_C_2_p54" w:id="2488"/>
      <w:r>
        <w:t xml:space="preserve">C-2 · página 54 · Cómo contar historias circulares</w:t>
      </w:r>
      <w:bookmarkEnd w:id="2488"/>
    </w:p>
    <w:p>
      <w:pPr>
        <w:pStyle w:val="Normal"/>
      </w:pPr>
      <w:r>
        <w:t xml:space="preserve">Cinco recomendaciones permiten relatar el movimiento de un ciclo hasta regresar al inicio.</w:t>
      </w:r>
    </w:p>
    <w:p>
      <w:pPr>
        <w:pStyle w:val="Fuente"/>
      </w:pPr>
      <w:r>
        <w:t xml:space="preserve">Proyección o explicación: Clase 13 · 01:35:48 · captura c13-11.</w:t>
      </w:r>
    </w:p>
    <w:p>
      <w:bookmarkStart w:name="b_punto_c2_p054_01" w:id="2489"/>
      <w:r>
        <w:t xml:space="preserve">Empezar por cualquier elemento, por ejemplo el que preocupa, sin precipitarse a explicar su causa.</w:t>
      </w:r>
      <w:bookmarkEnd w:id="2489"/>
    </w:p>
    <w:p>
      <w:bookmarkStart w:name="b_punto_c2_p054_02" w:id="2490"/>
      <w:r>
        <w:t xml:space="preserve">Describir movimiento con crece, decrece, mejora, empeora, aumenta o disminuye.</w:t>
      </w:r>
      <w:bookmarkEnd w:id="2490"/>
    </w:p>
    <w:p>
      <w:bookmarkStart w:name="b_punto_c2_p054_03" w:id="2491"/>
      <w:r>
        <w:t xml:space="preserve">Describir cómo el movimiento repercute en el elemento contiguo.</w:t>
      </w:r>
      <w:bookmarkEnd w:id="2491"/>
    </w:p>
    <w:p>
      <w:bookmarkStart w:name="b_punto_c2_p054_04" w:id="2492"/>
      <w:r>
        <w:t xml:space="preserve">Continuar con frases de influencia hasta volver al punto de partida.</w:t>
      </w:r>
      <w:bookmarkEnd w:id="2492"/>
    </w:p>
    <w:p>
      <w:bookmarkStart w:name="b_punto_c2_p054_05" w:id="2493"/>
      <w:r>
        <w:t xml:space="preserve">Dar vida al relato con ilustraciones y anécdotas para hacerlo comprensible.</w:t>
      </w:r>
      <w:bookmarkEnd w:id="2493"/>
    </w:p>
    <w:p>
      <w:pPr>
        <w:pStyle w:val="Heading3"/>
      </w:pPr>
      <w:bookmarkStart w:name="b_pagina_3_3_C_2_p75" w:id="2494"/>
      <w:r>
        <w:t xml:space="preserve">C-2 · página 75 · Tres ciclos de compensación</w:t>
      </w:r>
      <w:bookmarkEnd w:id="2494"/>
    </w:p>
    <w:p>
      <w:pPr>
        <w:pStyle w:val="Normal"/>
      </w:pPr>
      <w:r>
        <w:t xml:space="preserve">Flotador, sed y medicina muestran acciones que atenúan lo que las pone en marcha.</w:t>
      </w:r>
    </w:p>
    <w:p>
      <w:pPr>
        <w:pStyle w:val="Fuente"/>
      </w:pPr>
      <w:r>
        <w:t xml:space="preserve">Proyección o explicación: Clase 14 · 00:09:38 · captura c14-04.</w:t>
      </w:r>
    </w:p>
    <w:p>
      <w:bookmarkStart w:name="b_punto_c2_p075_04" w:id="2495"/>
      <w:r>
        <w:t xml:space="preserve">El − central identifica la polaridad global del ciclo aunque las flechas aún no tengan signos.</w:t>
      </w:r>
      <w:bookmarkEnd w:id="2495"/>
    </w:p>
    <w:p>
      <w:pPr>
        <w:pStyle w:val="Fuente"/>
      </w:pPr>
      <w:r>
        <w:t xml:space="preserve">Véase </w:t>
      </w:r>
      <w:hyperlink w:history="1" w:anchor="b_3_5">
        <w:r>
          <w:rPr>
            <w:color w:val="156B70"/>
            <w:u w:val="single"/>
          </w:rPr>
          <w:t xml:space="preserve">capítulo 3.5 · Refuerzo y compensación</w:t>
        </w:r>
      </w:hyperlink>
      <w:r>
        <w:t xml:space="preserve">, pág. </w:t>
      </w:r>
      <w:r>
        <w:fldChar w:fldCharType="begin"/>
        <w:instrText xml:space="preserve">PAGEREF b_3_5 \h</w:instrText>
        <w:fldChar w:fldCharType="separate"/>
        <w:t xml:space="preserve">501</w:t>
        <w:fldChar w:fldCharType="end"/>
      </w:r>
      <w:r>
        <w:t xml:space="preserve">.</w:t>
      </w:r>
    </w:p>
    <w:p>
      <w:pPr>
        <w:pStyle w:val="Heading3"/>
      </w:pPr>
      <w:bookmarkStart w:name="b_pagina_3_3_C_2_p77" w:id="2496"/>
      <w:r>
        <w:t xml:space="preserve">C-2 · página 77 · Mapas DSRP y DCC</w:t>
      </w:r>
      <w:bookmarkEnd w:id="2496"/>
    </w:p>
    <w:p>
      <w:pPr>
        <w:pStyle w:val="Normal"/>
      </w:pPr>
      <w:r>
        <w:t xml:space="preserve">DSRP explicita contención y perspectivas; el DCC destaca variables, relaciones y polaridades.</w:t>
      </w:r>
    </w:p>
    <w:p>
      <w:pPr>
        <w:pStyle w:val="Fuente"/>
      </w:pPr>
      <w:r>
        <w:t xml:space="preserve">Proyección o explicación: Clase 14 · 00:53:30 · captura c14-09.</w:t>
      </w:r>
    </w:p>
    <w:p>
      <w:bookmarkStart w:name="b_punto_c2_p077_03" w:id="2497"/>
      <w:r>
        <w:t xml:space="preserve">DSRP tiene contención y perspectivas explícitas; DCC enfatiza relaciones y deja implícita la pertenencia al sistema.</w:t>
      </w:r>
      <w:bookmarkEnd w:id="2497"/>
    </w:p>
    <w:p>
      <w:pPr>
        <w:pStyle w:val="Fuente"/>
      </w:pPr>
      <w:r>
        <w:t xml:space="preserve">Véase </w:t>
      </w:r>
      <w:hyperlink w:history="1" w:anchor="b_3_1">
        <w:r>
          <w:rPr>
            <w:color w:val="156B70"/>
            <w:u w:val="single"/>
          </w:rPr>
          <w:t xml:space="preserve">capítulo 3.1 · Mapas sistémicos</w:t>
        </w:r>
      </w:hyperlink>
      <w:r>
        <w:t xml:space="preserve">, pág. </w:t>
      </w:r>
      <w:r>
        <w:fldChar w:fldCharType="begin"/>
        <w:instrText xml:space="preserve">PAGEREF b_3_1 \h</w:instrText>
        <w:fldChar w:fldCharType="separate"/>
        <w:t xml:space="preserve">379</w:t>
        <w:fldChar w:fldCharType="end"/>
      </w:r>
      <w:r>
        <w:t xml:space="preserve">.</w:t>
      </w:r>
    </w:p>
    <w:p>
      <w:pPr>
        <w:pStyle w:val="Fuente"/>
      </w:pPr>
      <w:r>
        <w:t xml:space="preserve">Véase </w:t>
      </w:r>
      <w:hyperlink w:history="1" w:anchor="b_3_5">
        <w:r>
          <w:rPr>
            <w:color w:val="156B70"/>
            <w:u w:val="single"/>
          </w:rPr>
          <w:t xml:space="preserve">capítulo 3.5 · Refuerzo y compensación</w:t>
        </w:r>
      </w:hyperlink>
      <w:r>
        <w:t xml:space="preserve">, pág. </w:t>
      </w:r>
      <w:r>
        <w:fldChar w:fldCharType="begin"/>
        <w:instrText xml:space="preserve">PAGEREF b_3_5 \h</w:instrText>
        <w:fldChar w:fldCharType="separate"/>
        <w:t xml:space="preserve">501</w:t>
        <w:fldChar w:fldCharType="end"/>
      </w:r>
      <w:r>
        <w:t xml:space="preserve">.</w:t>
      </w:r>
    </w:p>
    <w:p>
      <w:pPr>
        <w:pStyle w:val="Heading3"/>
      </w:pPr>
      <w:bookmarkStart w:name="b_pagina_3_3_C_2_p79" w:id="2498"/>
      <w:r>
        <w:t xml:space="preserve">C-2 · página 79 · Notación de los vínculos causales</w:t>
      </w:r>
      <w:bookmarkEnd w:id="2498"/>
    </w:p>
    <w:p>
      <w:pPr>
        <w:pStyle w:val="Normal"/>
      </w:pPr>
      <w:r>
        <w:t xml:space="preserve">Polaridad respecto de un escenario alternativo, sensibilidad matemática y efecto sobre acumulaciones.</w:t>
      </w:r>
    </w:p>
    <w:p>
      <w:pPr>
        <w:pStyle w:val="Fuente"/>
      </w:pPr>
      <w:r>
        <w:t xml:space="preserve">Proyección o explicación: Clase 14 · 01:11:03 · captura c14-12.</w:t>
      </w:r>
    </w:p>
    <w:p>
      <w:pPr>
        <w:keepNext/>
        <w:spacing w:after="40" w:before="150"/>
        <w:jc w:val="center"/>
      </w:pPr>
      <w:bookmarkStart w:name="b_figura_original_pagina_C_2_79" w:id="2499"/>
      <w:bookmarkEnd w:id="2499"/>
      <w:r>
        <w:drawing>
          <wp:inline distT="0" distB="0" distL="0" distR="0">
            <wp:extent cx="5381625" cy="4162425"/>
            <wp:effectExtent t="0" r="0" b="0" l="0"/>
            <wp:docPr id="57" name="pagina-C-2-79" descr="Presentación C-2, pág. 79" title="Notación de los vínculos causa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42" cstate="none"/>
                    <a:srcRect/>
                    <a:stretch>
                      <a:fillRect/>
                    </a:stretch>
                  </pic:blipFill>
                  <pic:spPr bwMode="auto">
                    <a:xfrm>
                      <a:off x="0" y="0"/>
                      <a:ext cx="5381625" cy="4162425"/>
                    </a:xfrm>
                    <a:prstGeom prst="rect">
                      <a:avLst/>
                    </a:prstGeom>
                  </pic:spPr>
                </pic:pic>
              </a:graphicData>
            </a:graphic>
          </wp:inline>
        </w:drawing>
      </w:r>
    </w:p>
    <w:p>
      <w:pPr>
        <w:pStyle w:val="PieFigura"/>
        <w:keepNext/>
      </w:pPr>
      <w:bookmarkStart w:name="b_fig_3_3_1" w:id="2500"/>
      <w:r>
        <w:t xml:space="preserve">Figura 3.3.</w:t>
      </w:r>
      <w:fldSimple w:instr="SEQ Figura \r 1 \* ARABIC">
        <w:r>
          <w:t xml:space="preserve">1</w:t>
        </w:r>
      </w:fldSimple>
      <w:r>
        <w:t xml:space="preserve"> · Notación de los vínculos causales</w:t>
      </w:r>
      <w:bookmarkEnd w:id="2500"/>
    </w:p>
    <w:p>
      <w:pPr>
        <w:pStyle w:val="Fuente"/>
      </w:pPr>
      <w:r>
        <w:t xml:space="preserve">Presentación C-2, pág. 79</w:t>
      </w:r>
    </w:p>
    <w:p>
      <w:bookmarkStart w:name="b_punto_c2_p079_01" w:id="2501"/>
      <w:r>
        <w:t xml:space="preserve">Con todo lo demás igual, vínculo positivo deja al efecto por encima de lo que habría ocurrido si la causa aumenta, y por debajo si decrece.</w:t>
      </w:r>
      <w:bookmarkEnd w:id="2501"/>
    </w:p>
    <w:p>
      <w:bookmarkStart w:name="b_punto_c2_p079_02" w:id="2502"/>
      <w:r>
        <w:t xml:space="preserve">Vínculo negativo deja al efecto por debajo ante aumento de causa y por encima ante disminución de causa.</w:t>
      </w:r>
      <w:bookmarkEnd w:id="2502"/>
    </w:p>
    <w:p>
      <w:bookmarkStart w:name="b_punto_c2_p079_03" w:id="2503"/>
      <w:r>
        <w:t xml:space="preserve">Que aumentar X reduce Y respecto de lo que habría ocurrido con las demás causas constantes</w:t>
      </w:r>
      <w:bookmarkEnd w:id="2503"/>
    </w:p>
    <w:p>
      <w:bookmarkStart w:name="b_punto_c2_p079_05" w:id="2504"/>
      <w:r>
        <w:t xml:space="preserve">Calidad del producto → ventas es positivo bajo los supuestos del caso.</w:t>
      </w:r>
      <w:bookmarkEnd w:id="2504"/>
    </w:p>
    <w:p>
      <w:bookmarkStart w:name="b_punto_c2_p079_07" w:id="2505"/>
      <w:r>
        <w:t xml:space="preserve">Nacimientos suman y muertes restan población, aunque otros flujos dominen la trayectoria absoluta.</w:t>
      </w:r>
      <w:bookmarkEnd w:id="2505"/>
    </w:p>
    <w:p>
      <w:bookmarkStart w:name="b_punto_c2_p079_08" w:id="2506"/>
      <w:r>
        <w:t xml:space="preserve">Más frustración tiende a reducir resultados frente al caso comparable, aunque otras causas pueden compensar el efecto</w:t>
      </w:r>
      <w:bookmarkEnd w:id="2506"/>
    </w:p>
    <w:p>
      <w:pPr>
        <w:pStyle w:val="Fuente"/>
      </w:pPr>
      <w:r>
        <w:t xml:space="preserve">Véase </w:t>
      </w:r>
      <w:hyperlink w:history="1" w:anchor="b_4_2">
        <w:r>
          <w:rPr>
            <w:color w:val="156B70"/>
            <w:u w:val="single"/>
          </w:rPr>
          <w:t xml:space="preserve">capítulo 4.2 · Flujos y niveles</w:t>
        </w:r>
      </w:hyperlink>
      <w:r>
        <w:t xml:space="preserve">, pág. </w:t>
      </w:r>
      <w:r>
        <w:fldChar w:fldCharType="begin"/>
        <w:instrText xml:space="preserve">PAGEREF b_4_2 \h</w:instrText>
        <w:fldChar w:fldCharType="separate"/>
        <w:t xml:space="preserve">709</w:t>
        <w:fldChar w:fldCharType="end"/>
      </w:r>
      <w:r>
        <w:t xml:space="preserve">.</w:t>
      </w:r>
    </w:p>
    <w:p>
      <w:pPr>
        <w:pStyle w:val="Fuente"/>
      </w:pPr>
      <w:r>
        <w:t xml:space="preserve">Véase </w:t>
      </w:r>
      <w:hyperlink w:history="1" w:anchor="b_3_4">
        <w:r>
          <w:rPr>
            <w:color w:val="156B70"/>
            <w:u w:val="single"/>
          </w:rPr>
          <w:t xml:space="preserve">capítulo 3.4 · Interdependencias sistémicas</w:t>
        </w:r>
      </w:hyperlink>
      <w:r>
        <w:t xml:space="preserve">, pág. </w:t>
      </w:r>
      <w:r>
        <w:fldChar w:fldCharType="begin"/>
        <w:instrText xml:space="preserve">PAGEREF b_3_4 \h</w:instrText>
        <w:fldChar w:fldCharType="separate"/>
        <w:t xml:space="preserve">476</w:t>
        <w:fldChar w:fldCharType="end"/>
      </w:r>
      <w:r>
        <w:t xml:space="preserve">.</w:t>
      </w:r>
    </w:p>
    <w:p>
      <w:pPr>
        <w:pStyle w:val="Heading3"/>
      </w:pPr>
      <w:bookmarkStart w:name="b_pagina_3_3_C_2_p85" w:id="2507"/>
      <w:r>
        <w:t xml:space="preserve">C-2 · página 85 · Diagramas de ciclos causales</w:t>
      </w:r>
      <w:bookmarkEnd w:id="2507"/>
    </w:p>
    <w:p>
      <w:pPr>
        <w:pStyle w:val="Normal"/>
      </w:pPr>
      <w:r>
        <w:t xml:space="preserve">Variables y vínculos encadenados permiten combinar ciclos y comunicar la estructura de una historia.</w:t>
      </w:r>
    </w:p>
    <w:p>
      <w:pPr>
        <w:pStyle w:val="Fuente"/>
      </w:pPr>
      <w:r>
        <w:t xml:space="preserve">Proyección o explicación: Clase 15 · 00:16:58 · captura c15-05.</w:t>
      </w:r>
    </w:p>
    <w:p>
      <w:bookmarkStart w:name="b_punto_c2_p085_01" w:id="2508"/>
      <w:r>
        <w:t xml:space="preserve">DCC es un lenguaje para explicar estructura dinámica; conectar ciclos compone historias coherentes.</w:t>
      </w:r>
      <w:bookmarkEnd w:id="2508"/>
    </w:p>
    <w:p>
      <w:bookmarkStart w:name="b_punto_c2_p085_02" w:id="2509"/>
      <w:r>
        <w:t xml:space="preserve">Población → nacimientos (+) → población (+) es R.</w:t>
      </w:r>
      <w:bookmarkEnd w:id="2509"/>
    </w:p>
    <w:p>
      <w:bookmarkStart w:name="b_punto_c2_p085_03" w:id="2510"/>
      <w:r>
        <w:t xml:space="preserve">Población → muertes (+) → población (−) es B.</w:t>
      </w:r>
      <w:bookmarkEnd w:id="2510"/>
    </w:p>
    <w:p>
      <w:bookmarkStart w:name="b_punto_c2_p085_04" w:id="2511"/>
      <w:r>
        <w:t xml:space="preserve">Fracción de nacimientos influye positivamente sobre nacimientos; esperanza de vida influye negativamente sobre muertes.</w:t>
      </w:r>
      <w:bookmarkEnd w:id="2511"/>
    </w:p>
    <w:p>
      <w:pPr>
        <w:pStyle w:val="Fuente"/>
      </w:pPr>
      <w:r>
        <w:t xml:space="preserve">Véase </w:t>
      </w:r>
      <w:hyperlink w:history="1" w:anchor="b_3_5">
        <w:r>
          <w:rPr>
            <w:color w:val="156B70"/>
            <w:u w:val="single"/>
          </w:rPr>
          <w:t xml:space="preserve">capítulo 3.5 · Refuerzo y compensación</w:t>
        </w:r>
      </w:hyperlink>
      <w:r>
        <w:t xml:space="preserve">, pág. </w:t>
      </w:r>
      <w:r>
        <w:fldChar w:fldCharType="begin"/>
        <w:instrText xml:space="preserve">PAGEREF b_3_5 \h</w:instrText>
        <w:fldChar w:fldCharType="separate"/>
        <w:t xml:space="preserve">501</w:t>
        <w:fldChar w:fldCharType="end"/>
      </w:r>
      <w:r>
        <w:t xml:space="preserve">.</w:t>
      </w:r>
    </w:p>
    <w:p>
      <w:pPr>
        <w:pStyle w:val="Fuente"/>
      </w:pPr>
      <w:r>
        <w:t xml:space="preserve">Véase </w:t>
      </w:r>
      <w:hyperlink w:history="1" w:anchor="b_3_4">
        <w:r>
          <w:rPr>
            <w:color w:val="156B70"/>
            <w:u w:val="single"/>
          </w:rPr>
          <w:t xml:space="preserve">capítulo 3.4 · Interdependencias sistémicas</w:t>
        </w:r>
      </w:hyperlink>
      <w:r>
        <w:t xml:space="preserve">, pág. </w:t>
      </w:r>
      <w:r>
        <w:fldChar w:fldCharType="begin"/>
        <w:instrText xml:space="preserve">PAGEREF b_3_4 \h</w:instrText>
        <w:fldChar w:fldCharType="separate"/>
        <w:t xml:space="preserve">476</w:t>
        <w:fldChar w:fldCharType="end"/>
      </w:r>
      <w:r>
        <w:t xml:space="preserve">.</w:t>
      </w:r>
    </w:p>
    <w:p>
      <w:pPr>
        <w:pStyle w:val="Heading3"/>
      </w:pPr>
      <w:bookmarkStart w:name="b_pagina_3_3_C_2_p86" w:id="2512"/>
      <w:r>
        <w:t xml:space="preserve">C-2 · página 86 · Notación de los DCC</w:t>
      </w:r>
      <w:bookmarkEnd w:id="2512"/>
    </w:p>
    <w:p>
      <w:pPr>
        <w:pStyle w:val="Normal"/>
      </w:pPr>
      <w:r>
        <w:t xml:space="preserve">Variable, vínculo, polaridad de relación e identificador de ciclo son elementos distintos de la sintaxis.</w:t>
      </w:r>
    </w:p>
    <w:p>
      <w:pPr>
        <w:pStyle w:val="Fuente"/>
      </w:pPr>
      <w:r>
        <w:t xml:space="preserve">Proyección o explicación: Clase 15 · 00:18:00 · captura c15-06.</w:t>
      </w:r>
    </w:p>
    <w:p>
      <w:bookmarkStart w:name="b_punto_c2_p086_01" w:id="2513"/>
      <w:r>
        <w:t xml:space="preserve">Cada variable se nombra y se conecta con flecha que va de causa a efecto.</w:t>
      </w:r>
      <w:bookmarkEnd w:id="2513"/>
    </w:p>
    <w:p>
      <w:bookmarkStart w:name="b_punto_c2_p086_02" w:id="2514"/>
      <w:r>
        <w:t xml:space="preserve">La polaridad +/− del vínculo indica mismo sentido/sentido opuesto.</w:t>
      </w:r>
      <w:bookmarkEnd w:id="2514"/>
    </w:p>
    <w:p>
      <w:bookmarkStart w:name="b_punto_c2_p086_03" w:id="2515"/>
      <w:r>
        <w:t xml:space="preserve">Nacimientos → población tiene signo positivo.</w:t>
      </w:r>
      <w:bookmarkEnd w:id="2515"/>
    </w:p>
    <w:p>
      <w:bookmarkStart w:name="b_punto_c2_p086_04" w:id="2516"/>
      <w:r>
        <w:t xml:space="preserve">R/+ identifica refuerzo y B/− balance en el centro; es distinto del signo de una flecha individual.</w:t>
      </w:r>
      <w:bookmarkEnd w:id="2516"/>
    </w:p>
    <w:p>
      <w:pPr>
        <w:pStyle w:val="Heading3"/>
      </w:pPr>
      <w:bookmarkStart w:name="b_pagina_3_3_C_2_p92" w:id="2517"/>
      <w:r>
        <w:t xml:space="preserve">C-2 · página 92 · Trazabilidad de frutas: estructura completa</w:t>
      </w:r>
      <w:bookmarkEnd w:id="2517"/>
    </w:p>
    <w:p>
      <w:pPr>
        <w:pStyle w:val="Normal"/>
      </w:pPr>
      <w:r>
        <w:t xml:space="preserve">Modelo con diez identificadores de ciclos que acopla ventas, producción, trazabilidad, tecnología y aprendizaje.</w:t>
      </w:r>
    </w:p>
    <w:p>
      <w:pPr>
        <w:pStyle w:val="Fuente"/>
      </w:pPr>
      <w:r>
        <w:t xml:space="preserve">Proyección o explicación: Clase 15 · 00:58:27 · captura c15-13.</w:t>
      </w:r>
    </w:p>
    <w:p>
      <w:pPr>
        <w:keepNext/>
        <w:spacing w:after="40" w:before="150"/>
        <w:jc w:val="center"/>
      </w:pPr>
      <w:bookmarkStart w:name="b_figura_original_pagina_C_2_92" w:id="2518"/>
      <w:bookmarkEnd w:id="2518"/>
      <w:r>
        <w:drawing>
          <wp:inline distT="0" distB="0" distL="0" distR="0">
            <wp:extent cx="5381625" cy="4162425"/>
            <wp:effectExtent t="0" r="0" b="0" l="0"/>
            <wp:docPr id="58" name="pagina-C-2-92" descr="Presentación C-2, pág. 92" title="Trazabilidad de frutas: estructura comple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43" cstate="none"/>
                    <a:srcRect/>
                    <a:stretch>
                      <a:fillRect/>
                    </a:stretch>
                  </pic:blipFill>
                  <pic:spPr bwMode="auto">
                    <a:xfrm>
                      <a:off x="0" y="0"/>
                      <a:ext cx="5381625" cy="4162425"/>
                    </a:xfrm>
                    <a:prstGeom prst="rect">
                      <a:avLst/>
                    </a:prstGeom>
                  </pic:spPr>
                </pic:pic>
              </a:graphicData>
            </a:graphic>
          </wp:inline>
        </w:drawing>
      </w:r>
    </w:p>
    <w:p>
      <w:pPr>
        <w:pStyle w:val="PieFigura"/>
        <w:keepNext/>
      </w:pPr>
      <w:bookmarkStart w:name="b_fig_3_3_2" w:id="2519"/>
      <w:r>
        <w:t xml:space="preserve">Figura 3.3.</w:t>
      </w:r>
      <w:fldSimple w:instr="SEQ Figura \n \* ARABIC">
        <w:r>
          <w:t xml:space="preserve">2</w:t>
        </w:r>
      </w:fldSimple>
      <w:r>
        <w:t xml:space="preserve"> · Trazabilidad de frutas: estructura completa</w:t>
      </w:r>
      <w:bookmarkEnd w:id="2519"/>
    </w:p>
    <w:p>
      <w:pPr>
        <w:pStyle w:val="Fuente"/>
      </w:pPr>
      <w:r>
        <w:t xml:space="preserve">Presentación C-2, pág. 92</w:t>
      </w:r>
    </w:p>
    <w:p>
      <w:bookmarkStart w:name="b_punto_c2_p092_01" w:id="2520"/>
      <w:r>
        <w:t xml:space="preserve">La figura identifica diez ciclos: cinco rotulados R y cinco rotulados B; contar ciclos informa sobre interdependencias, no sobre la calidad de un modelo.</w:t>
      </w:r>
      <w:bookmarkEnd w:id="2520"/>
    </w:p>
    <w:p>
      <w:pPr>
        <w:pStyle w:val="Fuente"/>
      </w:pPr>
      <w:r>
        <w:t xml:space="preserve">Véase </w:t>
      </w:r>
      <w:hyperlink w:history="1" w:anchor="b_3_6">
        <w:r>
          <w:rPr>
            <w:color w:val="156B70"/>
            <w:u w:val="single"/>
          </w:rPr>
          <w:t xml:space="preserve">capítulo 3.6 · Modelación dinámica</w:t>
        </w:r>
      </w:hyperlink>
      <w:r>
        <w:t xml:space="preserve">, pág. </w:t>
      </w:r>
      <w:r>
        <w:fldChar w:fldCharType="begin"/>
        <w:instrText xml:space="preserve">PAGEREF b_3_6 \h</w:instrText>
        <w:fldChar w:fldCharType="separate"/>
        <w:t xml:space="preserve">537</w:t>
        <w:fldChar w:fldCharType="end"/>
      </w:r>
      <w:r>
        <w:t xml:space="preserve">.</w:t>
      </w:r>
    </w:p>
    <w:p>
      <w:pPr>
        <w:pStyle w:val="Heading3"/>
      </w:pPr>
      <w:bookmarkStart w:name="b_pagina_3_3_C_2_p93" w:id="2521"/>
      <w:r>
        <w:t xml:space="preserve">C-2 · página 93 · Ejercicio de mapas DCC: energía y pobreza</w:t>
      </w:r>
      <w:bookmarkEnd w:id="2521"/>
    </w:p>
    <w:p>
      <w:pPr>
        <w:pStyle w:val="Normal"/>
      </w:pPr>
      <w:r>
        <w:t xml:space="preserve">Localizar y clasificar recorridos cerrados entre cinco variables de energía, desarrollo y ambiente.</w:t>
      </w:r>
    </w:p>
    <w:p>
      <w:pPr>
        <w:pStyle w:val="Fuente"/>
      </w:pPr>
      <w:r>
        <w:t xml:space="preserve">Proyección o explicación: Clase 15 · 01:01:42 · captura c15-14.</w:t>
      </w:r>
    </w:p>
    <w:p>
      <w:bookmarkStart w:name="b_punto_c2_p093_02" w:id="2522"/>
      <w:r>
        <w:t xml:space="preserve">El ejercicio pide enumerar recorridos cerrados por sus variables y clasificar cada uno por sus signos.</w:t>
      </w:r>
      <w:bookmarkEnd w:id="2522"/>
    </w:p>
    <w:p>
      <w:pPr>
        <w:pStyle w:val="Fuente"/>
      </w:pPr>
      <w:r>
        <w:t xml:space="preserve">Véase </w:t>
      </w:r>
      <w:hyperlink w:history="1" w:anchor="b_3_5">
        <w:r>
          <w:rPr>
            <w:color w:val="156B70"/>
            <w:u w:val="single"/>
          </w:rPr>
          <w:t xml:space="preserve">capítulo 3.5 · Refuerzo y compensación</w:t>
        </w:r>
      </w:hyperlink>
      <w:r>
        <w:t xml:space="preserve">, pág. </w:t>
      </w:r>
      <w:r>
        <w:fldChar w:fldCharType="begin"/>
        <w:instrText xml:space="preserve">PAGEREF b_3_5 \h</w:instrText>
        <w:fldChar w:fldCharType="separate"/>
        <w:t xml:space="preserve">501</w:t>
        <w:fldChar w:fldCharType="end"/>
      </w:r>
      <w:r>
        <w:t xml:space="preserve">.</w:t>
      </w:r>
    </w:p>
    <w:p>
      <w:pPr>
        <w:pStyle w:val="Heading3"/>
      </w:pPr>
      <w:bookmarkStart w:name="b_pagina_3_3_C_2_p101" w:id="2523"/>
      <w:r>
        <w:t xml:space="preserve">C-2 · página 101 · Lineamientos para construir DCC</w:t>
      </w:r>
      <w:bookmarkEnd w:id="2523"/>
    </w:p>
    <w:p>
      <w:pPr>
        <w:pStyle w:val="Normal"/>
      </w:pPr>
      <w:r>
        <w:t xml:space="preserve">Insertar variables intermedias cuando hagan falta y clasificar por paridad, comprobando después la lectura.</w:t>
      </w:r>
    </w:p>
    <w:p>
      <w:pPr>
        <w:pStyle w:val="Fuente"/>
      </w:pPr>
      <w:r>
        <w:t xml:space="preserve">Proyección o explicación: Clase 16 · 00:41:57 · captura c16-06.</w:t>
      </w:r>
    </w:p>
    <w:p>
      <w:pPr>
        <w:keepNext/>
        <w:spacing w:after="40" w:before="150"/>
        <w:jc w:val="center"/>
      </w:pPr>
      <w:bookmarkStart w:name="b_figura_original_pagina_C_2_101" w:id="2524"/>
      <w:bookmarkEnd w:id="2524"/>
      <w:r>
        <w:drawing>
          <wp:inline distT="0" distB="0" distL="0" distR="0">
            <wp:extent cx="5381625" cy="4162425"/>
            <wp:effectExtent t="0" r="0" b="0" l="0"/>
            <wp:docPr id="59" name="pagina-C-2-101" descr="Presentación C-2, pág. 101" title="Lineamientos para construir DC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44" cstate="none"/>
                    <a:srcRect/>
                    <a:stretch>
                      <a:fillRect/>
                    </a:stretch>
                  </pic:blipFill>
                  <pic:spPr bwMode="auto">
                    <a:xfrm>
                      <a:off x="0" y="0"/>
                      <a:ext cx="5381625" cy="4162425"/>
                    </a:xfrm>
                    <a:prstGeom prst="rect">
                      <a:avLst/>
                    </a:prstGeom>
                  </pic:spPr>
                </pic:pic>
              </a:graphicData>
            </a:graphic>
          </wp:inline>
        </w:drawing>
      </w:r>
    </w:p>
    <w:p>
      <w:pPr>
        <w:pStyle w:val="PieFigura"/>
        <w:keepNext/>
      </w:pPr>
      <w:bookmarkStart w:name="b_fig_3_3_3" w:id="2525"/>
      <w:r>
        <w:t xml:space="preserve">Figura 3.3.</w:t>
      </w:r>
      <w:fldSimple w:instr="SEQ Figura \n \* ARABIC">
        <w:r>
          <w:t xml:space="preserve">3</w:t>
        </w:r>
      </w:fldSimple>
      <w:r>
        <w:t xml:space="preserve"> · Lineamientos para construir DCC</w:t>
      </w:r>
      <w:bookmarkEnd w:id="2525"/>
    </w:p>
    <w:p>
      <w:pPr>
        <w:pStyle w:val="Fuente"/>
      </w:pPr>
      <w:r>
        <w:t xml:space="preserve">Presentación C-2, pág. 101</w:t>
      </w:r>
    </w:p>
    <w:p>
      <w:bookmarkStart w:name="b_punto_c2_p101_01" w:id="2526"/>
      <w:r>
        <w:t xml:space="preserve">Si una relación necesita mucha explicación, se redefine una variable o se inserta un término intermedio.</w:t>
      </w:r>
      <w:bookmarkEnd w:id="2526"/>
    </w:p>
    <w:p>
      <w:bookmarkStart w:name="b_punto_c2_p101_02" w:id="2527"/>
      <w:r>
        <w:t xml:space="preserve">Demanda→presión de producción→calidad hace explícito el mecanismo que una flecha directa escondería.</w:t>
      </w:r>
      <w:bookmarkEnd w:id="2527"/>
    </w:p>
    <w:p>
      <w:bookmarkStart w:name="b_punto_c2_p101_03" w:id="2528"/>
      <w:r>
        <w:t xml:space="preserve">Impar de negativas da B; par o cero da R. Después de asignar la letra se relee la historia.</w:t>
      </w:r>
      <w:bookmarkEnd w:id="2528"/>
    </w:p>
    <w:p>
      <w:bookmarkStart w:name="b_punto_c2_p101_05" w:id="2529"/>
      <w:r>
        <w:t xml:space="preserve">Porque ambos recorridos tienen un número par de relaciones negativas</w:t>
      </w:r>
      <w:bookmarkEnd w:id="2529"/>
    </w:p>
    <w:p>
      <w:pPr>
        <w:pStyle w:val="Fuente"/>
      </w:pPr>
      <w:r>
        <w:t xml:space="preserve">Véase </w:t>
      </w:r>
      <w:hyperlink w:history="1" w:anchor="b_3_5">
        <w:r>
          <w:rPr>
            <w:color w:val="156B70"/>
            <w:u w:val="single"/>
          </w:rPr>
          <w:t xml:space="preserve">capítulo 3.5 · Refuerzo y compensación</w:t>
        </w:r>
      </w:hyperlink>
      <w:r>
        <w:t xml:space="preserve">, pág. </w:t>
      </w:r>
      <w:r>
        <w:fldChar w:fldCharType="begin"/>
        <w:instrText xml:space="preserve">PAGEREF b_3_5 \h</w:instrText>
        <w:fldChar w:fldCharType="separate"/>
        <w:t xml:space="preserve">501</w:t>
        <w:fldChar w:fldCharType="end"/>
      </w:r>
      <w:r>
        <w:t xml:space="preserve">.</w:t>
      </w:r>
    </w:p>
    <w:p>
      <w:pPr>
        <w:pStyle w:val="Heading3"/>
      </w:pPr>
      <w:bookmarkStart w:name="b_pagina_3_3_C_2_p106" w:id="2530"/>
      <w:r>
        <w:t xml:space="preserve">C-2 · página 106 · Demoras a lo largo del tiempo</w:t>
      </w:r>
      <w:bookmarkEnd w:id="2530"/>
    </w:p>
    <w:p>
      <w:pPr>
        <w:pStyle w:val="Normal"/>
      </w:pPr>
      <w:r>
        <w:t xml:space="preserve">El ejemplo de refrescos y caries ilustra una relación causal cuyo resultado no se ve inmediatamente.</w:t>
      </w:r>
    </w:p>
    <w:p>
      <w:pPr>
        <w:pStyle w:val="Fuente"/>
      </w:pPr>
      <w:r>
        <w:t xml:space="preserve">Proyección o explicación: Clase 16 · 01:13:41 · captura c16-12.</w:t>
      </w:r>
    </w:p>
    <w:p>
      <w:bookmarkStart w:name="b_punto_c2_p106_03" w:id="2531"/>
      <w:r>
        <w:t xml:space="preserve">El retorno del dentista y la conciencia de consecuencias pueden reducir el consumo y cerrar un balance.</w:t>
      </w:r>
      <w:bookmarkEnd w:id="2531"/>
    </w:p>
    <w:p>
      <w:pPr>
        <w:pStyle w:val="Fuente"/>
      </w:pPr>
      <w:r>
        <w:t xml:space="preserve">Véase </w:t>
      </w:r>
      <w:hyperlink w:history="1" w:anchor="b_3_7">
        <w:r>
          <w:rPr>
            <w:color w:val="156B70"/>
            <w:u w:val="single"/>
          </w:rPr>
          <w:t xml:space="preserve">capítulo 3.7 · Demoras de tiempo</w:t>
        </w:r>
      </w:hyperlink>
      <w:r>
        <w:t xml:space="preserve">, pág. </w:t>
      </w:r>
      <w:r>
        <w:fldChar w:fldCharType="begin"/>
        <w:instrText xml:space="preserve">PAGEREF b_3_7 \h</w:instrText>
        <w:fldChar w:fldCharType="separate"/>
        <w:t xml:space="preserve">580</w:t>
        <w:fldChar w:fldCharType="end"/>
      </w:r>
      <w:r>
        <w:t xml:space="preserve">.</w:t>
      </w:r>
    </w:p>
    <w:p>
      <w:pPr>
        <w:pStyle w:val="Heading3"/>
      </w:pPr>
      <w:bookmarkStart w:name="b_pagina_3_3_C_2_p124" w:id="2532"/>
      <w:r>
        <w:t xml:space="preserve">C-2 · página 124 · Modelando la historia de proyectos de Ana</w:t>
      </w:r>
      <w:bookmarkEnd w:id="2532"/>
    </w:p>
    <w:p>
      <w:pPr>
        <w:pStyle w:val="Normal"/>
      </w:pPr>
      <w:r>
        <w:t xml:space="preserve">Extraer variables y cerrar la historia de presión, trabajo extra, terminación y pendientes.</w:t>
      </w:r>
    </w:p>
    <w:p>
      <w:pPr>
        <w:pStyle w:val="Fuente"/>
      </w:pPr>
      <w:r>
        <w:t xml:space="preserve">Proyección o explicación: Clase 16 · 01:42:05 · captura c16-24.</w:t>
      </w:r>
    </w:p>
    <w:p>
      <w:bookmarkStart w:name="b_punto_c2_p124_01" w:id="2533"/>
      <w:r>
        <w:t xml:space="preserve">El enunciado exige convertir cinco magnitudes en variables: tiempo disponible, presión, trabajo extra, tasa de terminación y trabajo pendiente.</w:t>
      </w:r>
      <w:bookmarkEnd w:id="2533"/>
    </w:p>
    <w:p>
      <w:bookmarkStart w:name="b_punto_c2_p124_02" w:id="2534"/>
      <w:r>
        <w:t xml:space="preserve">Menos tiempo implica más presión; más presión, más trabajo extra; éste aumenta la terminación que reduce pendientes.</w:t>
      </w:r>
      <w:bookmarkEnd w:id="2534"/>
    </w:p>
    <w:p>
      <w:bookmarkStart w:name="b_punto_c2_p124_03" w:id="2535"/>
      <w:r>
        <w:t xml:space="preserve">Menos pendientes reducen la presión y cierran la historia; no se añaden variables ni demoras que el relato no menciona.</w:t>
      </w:r>
      <w:bookmarkEnd w:id="2535"/>
    </w:p>
    <w:p>
      <w:pPr>
        <w:pStyle w:val="Heading3"/>
      </w:pPr>
      <w:bookmarkStart w:name="b_pagina_3_3_C_2_p125" w:id="2536"/>
      <w:r>
        <w:t xml:space="preserve">C-2 · página 125 · Caso de Ana: posible respuesta</w:t>
      </w:r>
      <w:bookmarkEnd w:id="2536"/>
    </w:p>
    <w:p>
      <w:pPr>
        <w:pStyle w:val="Normal"/>
      </w:pPr>
      <w:r>
        <w:t xml:space="preserve">Ciclo B1 de balance y variable externa de tiempo disponible.</w:t>
      </w:r>
    </w:p>
    <w:p>
      <w:pPr>
        <w:pStyle w:val="Fuente"/>
      </w:pPr>
      <w:r>
        <w:t xml:space="preserve">Proyección o explicación: Clase 16 · 01:42:53 · captura c16-25.</w:t>
      </w:r>
    </w:p>
    <w:p>
      <w:bookmarkStart w:name="b_punto_c2_p125_01" w:id="2537"/>
      <w:r>
        <w:t xml:space="preserve">Presión→trabajo extra→tasa de terminación→trabajo pendiente→presión forma B1, llamado Midnight Oil.</w:t>
      </w:r>
      <w:bookmarkEnd w:id="2537"/>
    </w:p>
    <w:p>
      <w:bookmarkStart w:name="b_punto_c2_p125_02" w:id="2538"/>
      <w:r>
        <w:t xml:space="preserve">Hay tres relaciones positivas y una negativa dentro del lazo, por lo que es de balance.</w:t>
      </w:r>
      <w:bookmarkEnd w:id="2538"/>
    </w:p>
    <w:p>
      <w:bookmarkStart w:name="b_punto_c2_p125_03" w:id="2539"/>
      <w:r>
        <w:t xml:space="preserve">Tiempo disponible es externo: tiene influencia negativa sobre presión pero no recibe retorno ni participa del conteo de signos del ciclo.</w:t>
      </w:r>
      <w:bookmarkEnd w:id="2539"/>
    </w:p>
    <w:p>
      <w:pPr>
        <w:pStyle w:val="Heading3"/>
      </w:pPr>
      <w:r>
        <w:t xml:space="preserve">Lo que explicó el profesor en clase</w:t>
      </w:r>
    </w:p>
    <w:p>
      <w:pPr>
        <w:pStyle w:val="Heading3"/>
      </w:pPr>
      <w:bookmarkStart w:name="b_clase_3_3_c10_cap_07" w:id="2540"/>
      <w:r>
        <w:t xml:space="preserve">Clase 10 · 00:52:39–01:00:27 · La regla de relaciones y la interdependencia</w:t>
      </w:r>
      <w:bookmarkEnd w:id="2540"/>
    </w:p>
    <w:p>
      <w:bookmarkStart w:name="b_punto_c10_cap_07_p08" w:id="2541"/>
      <w:r>
        <w:t xml:space="preserve">Una línea evidencia R. La cabeza permite leer causa y efecto; omitirla deja esa dirección sin determinar, sin borrar la conexión.</w:t>
      </w:r>
      <w:bookmarkEnd w:id="2541"/>
    </w:p>
    <w:p>
      <w:pPr>
        <w:pStyle w:val="Fuente"/>
      </w:pPr>
      <w:r>
        <w:t xml:space="preserve">Véase </w:t>
      </w:r>
      <w:hyperlink w:history="1" w:anchor="b_3_2">
        <w:r>
          <w:rPr>
            <w:color w:val="156B70"/>
            <w:u w:val="single"/>
          </w:rPr>
          <w:t xml:space="preserve">capítulo 3.2 · Mapas DSRP generales</w:t>
        </w:r>
      </w:hyperlink>
      <w:r>
        <w:t xml:space="preserve">, pág. </w:t>
      </w:r>
      <w:r>
        <w:fldChar w:fldCharType="begin"/>
        <w:instrText xml:space="preserve">PAGEREF b_3_2 \h</w:instrText>
        <w:fldChar w:fldCharType="separate"/>
        <w:t xml:space="preserve">404</w:t>
        <w:fldChar w:fldCharType="end"/>
      </w:r>
      <w:r>
        <w:t xml:space="preserve">.</w:t>
      </w:r>
    </w:p>
    <w:p>
      <w:pPr>
        <w:pStyle w:val="Heading3"/>
      </w:pPr>
      <w:bookmarkStart w:name="b_clase_3_3_c12_cap_06" w:id="2542"/>
      <w:r>
        <w:t xml:space="preserve">Clase 12 · 00:53:36–01:03:35 · El ejercicio de la planta</w:t>
      </w:r>
      <w:bookmarkEnd w:id="2542"/>
    </w:p>
    <w:p>
      <w:bookmarkStart w:name="b_punto_c12_cap_06_p01" w:id="2543"/>
      <w:r>
        <w:t xml:space="preserve">Se distinguen flor, fruto, tallo, hojas, raíces y semillas para buscar sus interacciones en el tiempo.</w:t>
      </w:r>
      <w:bookmarkEnd w:id="2543"/>
    </w:p>
    <w:p>
      <w:bookmarkStart w:name="b_punto_c12_cap_06_p04" w:id="2544"/>
      <w:r>
        <w:t xml:space="preserve">Raíces originan tallo y ramas como siguiente relación de la cadena.</w:t>
      </w:r>
      <w:bookmarkEnd w:id="2544"/>
    </w:p>
    <w:p>
      <w:bookmarkStart w:name="b_punto_c12_cap_06_p05" w:id="2545"/>
      <w:r>
        <w:t xml:space="preserve">Del tallo surgen hojas y flores; puede haber paralelismo y variantes según la planta elegida.</w:t>
      </w:r>
      <w:bookmarkEnd w:id="2545"/>
    </w:p>
    <w:p>
      <w:bookmarkStart w:name="b_punto_c12_cap_06_p07" w:id="2546"/>
      <w:r>
        <w:t xml:space="preserve">Ordenar las flechas deja ver el ciclo que la telaraña inicial dificultaba reconocer.</w:t>
      </w:r>
      <w:bookmarkEnd w:id="2546"/>
    </w:p>
    <w:p>
      <w:pPr>
        <w:pStyle w:val="Fuente"/>
      </w:pPr>
      <w:r>
        <w:t xml:space="preserve">Véase </w:t>
      </w:r>
      <w:hyperlink w:history="1" w:anchor="b_3_4">
        <w:r>
          <w:rPr>
            <w:color w:val="156B70"/>
            <w:u w:val="single"/>
          </w:rPr>
          <w:t xml:space="preserve">capítulo 3.4 · Interdependencias sistémicas</w:t>
        </w:r>
      </w:hyperlink>
      <w:r>
        <w:t xml:space="preserve">, pág. </w:t>
      </w:r>
      <w:r>
        <w:fldChar w:fldCharType="begin"/>
        <w:instrText xml:space="preserve">PAGEREF b_3_4 \h</w:instrText>
        <w:fldChar w:fldCharType="separate"/>
        <w:t xml:space="preserve">476</w:t>
        <w:fldChar w:fldCharType="end"/>
      </w:r>
      <w:r>
        <w:t xml:space="preserve">.</w:t>
      </w:r>
    </w:p>
    <w:p>
      <w:pPr>
        <w:pStyle w:val="Fuente"/>
      </w:pPr>
      <w:r>
        <w:t xml:space="preserve">Véase </w:t>
      </w:r>
      <w:hyperlink w:history="1" w:anchor="b_3_7">
        <w:r>
          <w:rPr>
            <w:color w:val="156B70"/>
            <w:u w:val="single"/>
          </w:rPr>
          <w:t xml:space="preserve">capítulo 3.7 · Demoras de tiempo</w:t>
        </w:r>
      </w:hyperlink>
      <w:r>
        <w:t xml:space="preserve">, pág. </w:t>
      </w:r>
      <w:r>
        <w:fldChar w:fldCharType="begin"/>
        <w:instrText xml:space="preserve">PAGEREF b_3_7 \h</w:instrText>
        <w:fldChar w:fldCharType="separate"/>
        <w:t xml:space="preserve">580</w:t>
        <w:fldChar w:fldCharType="end"/>
      </w:r>
      <w:r>
        <w:t xml:space="preserve">.</w:t>
      </w:r>
    </w:p>
    <w:p>
      <w:pPr>
        <w:pStyle w:val="Heading3"/>
      </w:pPr>
      <w:bookmarkStart w:name="b_clase_3_3_c13_cap_04" w:id="2547"/>
      <w:r>
        <w:t xml:space="preserve">Clase 13 · 00:31:59–00:43:51 · Variables, ciclos y escalas de tiempo</w:t>
      </w:r>
      <w:bookmarkEnd w:id="2547"/>
    </w:p>
    <w:p>
      <w:bookmarkStart w:name="b_punto_c13_cap_04_p05" w:id="2548"/>
      <w:r>
        <w:t xml:space="preserve">Los diagramas causales concentran distinciones y relaciones para representar retornos e información de retroalimentación, incluso cuando la cadena es larga.</w:t>
      </w:r>
      <w:bookmarkEnd w:id="2548"/>
    </w:p>
    <w:p>
      <w:pPr>
        <w:pStyle w:val="Fuente"/>
      </w:pPr>
      <w:r>
        <w:t xml:space="preserve">Véase </w:t>
      </w:r>
      <w:hyperlink w:history="1" w:anchor="b_senales_examen">
        <w:r>
          <w:rPr>
            <w:color w:val="156B70"/>
            <w:u w:val="single"/>
          </w:rPr>
          <w:t xml:space="preserve">1 indicación(es) de examen de este tramo, en el apéndice cronológico</w:t>
        </w:r>
      </w:hyperlink>
      <w:r>
        <w:t xml:space="preserve">, pág. </w:t>
      </w:r>
      <w:r>
        <w:fldChar w:fldCharType="begin"/>
        <w:instrText xml:space="preserve">PAGEREF b_senales_examen \h</w:instrText>
        <w:fldChar w:fldCharType="separate"/>
        <w:t xml:space="preserve">1663</w:t>
        <w:fldChar w:fldCharType="end"/>
      </w:r>
      <w:r>
        <w:t xml:space="preserve">.</w:t>
      </w:r>
    </w:p>
    <w:p>
      <w:pPr>
        <w:pStyle w:val="Fuente"/>
      </w:pPr>
      <w:r>
        <w:t xml:space="preserve">Véase </w:t>
      </w:r>
      <w:hyperlink w:history="1" w:anchor="b_3_4">
        <w:r>
          <w:rPr>
            <w:color w:val="156B70"/>
            <w:u w:val="single"/>
          </w:rPr>
          <w:t xml:space="preserve">capítulo 3.4 · Interdependencias sistémicas</w:t>
        </w:r>
      </w:hyperlink>
      <w:r>
        <w:t xml:space="preserve">, pág. </w:t>
      </w:r>
      <w:r>
        <w:fldChar w:fldCharType="begin"/>
        <w:instrText xml:space="preserve">PAGEREF b_3_4 \h</w:instrText>
        <w:fldChar w:fldCharType="separate"/>
        <w:t xml:space="preserve">476</w:t>
        <w:fldChar w:fldCharType="end"/>
      </w:r>
      <w:r>
        <w:t xml:space="preserve">.</w:t>
      </w:r>
    </w:p>
    <w:p>
      <w:pPr>
        <w:pStyle w:val="Fuente"/>
      </w:pPr>
      <w:r>
        <w:t xml:space="preserve">Véase </w:t>
      </w:r>
      <w:hyperlink w:history="1" w:anchor="b_3_9">
        <w:r>
          <w:rPr>
            <w:color w:val="156B70"/>
            <w:u w:val="single"/>
          </w:rPr>
          <w:t xml:space="preserve">capítulo 3.9 · Hábitos (complejo)</w:t>
        </w:r>
      </w:hyperlink>
      <w:r>
        <w:t xml:space="preserve">, pág. </w:t>
      </w:r>
      <w:r>
        <w:fldChar w:fldCharType="begin"/>
        <w:instrText xml:space="preserve">PAGEREF b_3_9 \h</w:instrText>
        <w:fldChar w:fldCharType="separate"/>
        <w:t xml:space="preserve">622</w:t>
        <w:fldChar w:fldCharType="end"/>
      </w:r>
      <w:r>
        <w:t xml:space="preserve">.</w:t>
      </w:r>
    </w:p>
    <w:p>
      <w:pPr>
        <w:pStyle w:val="Heading3"/>
      </w:pPr>
      <w:bookmarkStart w:name="b_clase_3_3_c13_cap_05" w:id="2549"/>
      <w:r>
        <w:t xml:space="preserve">Clase 13 · 00:43:51–00:53:42 · El vaso de agua: objetivo y brecha percibida</w:t>
      </w:r>
      <w:bookmarkEnd w:id="2549"/>
    </w:p>
    <w:p>
      <w:bookmarkStart w:name="b_punto_c13_cap_05_p01" w:id="2550"/>
      <w:r>
        <w:t xml:space="preserve">Servirse un vaso parece una acción simple, pero contiene una estructura de regulación que un diagrama y su historia hacen explícita.</w:t>
      </w:r>
      <w:bookmarkEnd w:id="2550"/>
    </w:p>
    <w:p>
      <w:bookmarkStart w:name="b_punto_c13_cap_05_p02" w:id="2551"/>
      <w:r>
        <w:t xml:space="preserve">Posición del grifo determina flujo; flujo modifica nivel de agua; el nivel cambia la brecha percibida entre valor actual y deseado y esa brecha vuelve a modificar el grifo.</w:t>
      </w:r>
      <w:bookmarkEnd w:id="2551"/>
    </w:p>
    <w:p>
      <w:bookmarkStart w:name="b_punto_c13_cap_05_p03" w:id="2552"/>
      <w:r>
        <w:t xml:space="preserve">La meta puede ser llenar el vaso, la mitad o tres cuartos: el objetivo determina qué diferencia se está intentando cerrar.</w:t>
      </w:r>
      <w:bookmarkEnd w:id="2552"/>
    </w:p>
    <w:p>
      <w:bookmarkStart w:name="b_punto_c13_cap_05_p06" w:id="2553"/>
      <w:r>
        <w:t xml:space="preserve">El autor puede añadir explícitamente la variable nivel de agua entre flujo y brecha para que la historia quede más clara; el diagrama publicado puede sintetizar detalles.</w:t>
      </w:r>
      <w:bookmarkEnd w:id="2553"/>
    </w:p>
    <w:p>
      <w:pPr>
        <w:pStyle w:val="Fuente"/>
      </w:pPr>
      <w:r>
        <w:t xml:space="preserve">Véase </w:t>
      </w:r>
      <w:hyperlink w:history="1" w:anchor="b_3_5">
        <w:r>
          <w:rPr>
            <w:color w:val="156B70"/>
            <w:u w:val="single"/>
          </w:rPr>
          <w:t xml:space="preserve">capítulo 3.5 · Refuerzo y compensación</w:t>
        </w:r>
      </w:hyperlink>
      <w:r>
        <w:t xml:space="preserve">, pág. </w:t>
      </w:r>
      <w:r>
        <w:fldChar w:fldCharType="begin"/>
        <w:instrText xml:space="preserve">PAGEREF b_3_5 \h</w:instrText>
        <w:fldChar w:fldCharType="separate"/>
        <w:t xml:space="preserve">501</w:t>
        <w:fldChar w:fldCharType="end"/>
      </w:r>
      <w:r>
        <w:t xml:space="preserve">.</w:t>
      </w:r>
    </w:p>
    <w:p>
      <w:pPr>
        <w:pStyle w:val="Heading3"/>
      </w:pPr>
      <w:bookmarkStart w:name="b_clase_3_3_c13_cap_08" w:id="2554"/>
      <w:r>
        <w:t xml:space="preserve">Clase 13 · 01:14:06–01:27:23 · El ejercicio de hervir agua</w:t>
      </w:r>
      <w:bookmarkEnd w:id="2554"/>
    </w:p>
    <w:p>
      <w:bookmarkStart w:name="b_punto_c13_cap_08_p01" w:id="2555"/>
      <w:r>
        <w:t xml:space="preserve">El ejercicio pide imaginar cómo se hierve agua y pasar de encender–hervir–apagar a una descripción de las interacciones circulares.</w:t>
      </w:r>
      <w:bookmarkEnd w:id="2555"/>
    </w:p>
    <w:p>
      <w:bookmarkStart w:name="b_punto_c13_cap_08_p02" w:id="2556"/>
      <w:r>
        <w:t xml:space="preserve">La propuesta del chat necesita distinguir la fuente de calor, la temperatura actual y la deseada; frío, medio y caliente pueden servir como escala cualitativa sin dar cifras inventadas.</w:t>
      </w:r>
      <w:bookmarkEnd w:id="2556"/>
    </w:p>
    <w:p>
      <w:bookmarkStart w:name="b_punto_c13_cap_08_p03" w:id="2557"/>
      <w:r>
        <w:t xml:space="preserve">El fogón transfiere calor, aumenta la temperatura y reduce la diferencia con el objetivo de agua hervida.</w:t>
      </w:r>
      <w:bookmarkEnd w:id="2557"/>
    </w:p>
    <w:p>
      <w:bookmarkStart w:name="b_punto_c13_cap_08_p05" w:id="2558"/>
      <w:r>
        <w:t xml:space="preserve">El ciclo se cuenta con brecha percibida→posición de la llave→flujo de fuego→temperatura→brecha; la relación de temperatura a brecha es inversa.</w:t>
      </w:r>
      <w:bookmarkEnd w:id="2558"/>
    </w:p>
    <w:p>
      <w:bookmarkStart w:name="b_punto_c13_cap_08_p06" w:id="2559"/>
      <w:r>
        <w:t xml:space="preserve">El objetivo está expresado en temperatura; la elección de la variable principal y la escala de tiempo dependen del sistema representado.</w:t>
      </w:r>
      <w:bookmarkEnd w:id="2559"/>
    </w:p>
    <w:p>
      <w:pPr>
        <w:pStyle w:val="Fuente"/>
      </w:pPr>
      <w:r>
        <w:t xml:space="preserve">Véase </w:t>
      </w:r>
      <w:hyperlink w:history="1" w:anchor="b_senales_examen">
        <w:r>
          <w:rPr>
            <w:color w:val="156B70"/>
            <w:u w:val="single"/>
          </w:rPr>
          <w:t xml:space="preserve">1 indicación(es) de examen de este tramo, en el apéndice cronológico</w:t>
        </w:r>
      </w:hyperlink>
      <w:r>
        <w:t xml:space="preserve">, pág. </w:t>
      </w:r>
      <w:r>
        <w:fldChar w:fldCharType="begin"/>
        <w:instrText xml:space="preserve">PAGEREF b_senales_examen \h</w:instrText>
        <w:fldChar w:fldCharType="separate"/>
        <w:t xml:space="preserve">1663</w:t>
        <w:fldChar w:fldCharType="end"/>
      </w:r>
      <w:r>
        <w:t xml:space="preserve">.</w:t>
      </w:r>
    </w:p>
    <w:p>
      <w:pPr>
        <w:pStyle w:val="Fuente"/>
      </w:pPr>
      <w:r>
        <w:t xml:space="preserve">Véase </w:t>
      </w:r>
      <w:hyperlink w:history="1" w:anchor="b_3_5">
        <w:r>
          <w:rPr>
            <w:color w:val="156B70"/>
            <w:u w:val="single"/>
          </w:rPr>
          <w:t xml:space="preserve">capítulo 3.5 · Refuerzo y compensación</w:t>
        </w:r>
      </w:hyperlink>
      <w:r>
        <w:t xml:space="preserve">, pág. </w:t>
      </w:r>
      <w:r>
        <w:fldChar w:fldCharType="begin"/>
        <w:instrText xml:space="preserve">PAGEREF b_3_5 \h</w:instrText>
        <w:fldChar w:fldCharType="separate"/>
        <w:t xml:space="preserve">501</w:t>
        <w:fldChar w:fldCharType="end"/>
      </w:r>
      <w:r>
        <w:t xml:space="preserve">.</w:t>
      </w:r>
    </w:p>
    <w:p>
      <w:pPr>
        <w:pStyle w:val="Heading3"/>
      </w:pPr>
      <w:bookmarkStart w:name="b_clase_3_3_c13_cap_09" w:id="2560"/>
      <w:r>
        <w:t xml:space="preserve">Clase 13 · 01:27:23–01:38:26 · Proceso frente a sistema y contar la historia</w:t>
      </w:r>
      <w:bookmarkEnd w:id="2560"/>
    </w:p>
    <w:p>
      <w:bookmarkStart w:name="b_punto_c13_cap_09_p01" w:id="2561"/>
      <w:r>
        <w:t xml:space="preserve">Nombre, cantidad de variables y forma de graficar dependen del autor; puede añadirse detalle para hacer explícita la misma historia.</w:t>
      </w:r>
      <w:bookmarkEnd w:id="2561"/>
    </w:p>
    <w:p>
      <w:bookmarkStart w:name="b_punto_c13_cap_09_p02" w:id="2562"/>
      <w:r>
        <w:t xml:space="preserve">B, C o una balanza identifican compensación; lograr una meta puede cerrar temporalmente el sistema, que reaparece al buscar de nuevo una bebida caliente.</w:t>
      </w:r>
      <w:bookmarkEnd w:id="2562"/>
    </w:p>
    <w:p>
      <w:bookmarkStart w:name="b_punto_c13_cap_09_p07" w:id="2563"/>
      <w:r>
        <w:t xml:space="preserve">El profesor recomendó estudiar las cinco recomendaciones de C-2, pág. 54; no las leyó una por una. El inicio es arbitrario y la historia se comprueba cerrando el recorrido.</w:t>
      </w:r>
      <w:bookmarkEnd w:id="2563"/>
    </w:p>
    <w:p>
      <w:pPr>
        <w:pStyle w:val="Fuente"/>
      </w:pPr>
      <w:r>
        <w:t xml:space="preserve">Véase </w:t>
      </w:r>
      <w:hyperlink w:history="1" w:anchor="b_senales_examen">
        <w:r>
          <w:rPr>
            <w:color w:val="156B70"/>
            <w:u w:val="single"/>
          </w:rPr>
          <w:t xml:space="preserve">1 indicación(es) de examen de este tramo, en el apéndice cronológico</w:t>
        </w:r>
      </w:hyperlink>
      <w:r>
        <w:t xml:space="preserve">, pág. </w:t>
      </w:r>
      <w:r>
        <w:fldChar w:fldCharType="begin"/>
        <w:instrText xml:space="preserve">PAGEREF b_senales_examen \h</w:instrText>
        <w:fldChar w:fldCharType="separate"/>
        <w:t xml:space="preserve">1663</w:t>
        <w:fldChar w:fldCharType="end"/>
      </w:r>
      <w:r>
        <w:t xml:space="preserve">.</w:t>
      </w:r>
    </w:p>
    <w:p>
      <w:pPr>
        <w:pStyle w:val="Fuente"/>
      </w:pPr>
      <w:r>
        <w:t xml:space="preserve">Véase </w:t>
      </w:r>
      <w:hyperlink w:history="1" w:anchor="b_3_1">
        <w:r>
          <w:rPr>
            <w:color w:val="156B70"/>
            <w:u w:val="single"/>
          </w:rPr>
          <w:t xml:space="preserve">capítulo 3.1 · Mapas sistémicos</w:t>
        </w:r>
      </w:hyperlink>
      <w:r>
        <w:t xml:space="preserve">, pág. </w:t>
      </w:r>
      <w:r>
        <w:fldChar w:fldCharType="begin"/>
        <w:instrText xml:space="preserve">PAGEREF b_3_1 \h</w:instrText>
        <w:fldChar w:fldCharType="separate"/>
        <w:t xml:space="preserve">379</w:t>
        <w:fldChar w:fldCharType="end"/>
      </w:r>
      <w:r>
        <w:t xml:space="preserve">.</w:t>
      </w:r>
    </w:p>
    <w:p>
      <w:pPr>
        <w:pStyle w:val="Fuente"/>
      </w:pPr>
      <w:r>
        <w:t xml:space="preserve">Véase </w:t>
      </w:r>
      <w:hyperlink w:history="1" w:anchor="b_3_4">
        <w:r>
          <w:rPr>
            <w:color w:val="156B70"/>
            <w:u w:val="single"/>
          </w:rPr>
          <w:t xml:space="preserve">capítulo 3.4 · Interdependencias sistémicas</w:t>
        </w:r>
      </w:hyperlink>
      <w:r>
        <w:t xml:space="preserve">, pág. </w:t>
      </w:r>
      <w:r>
        <w:fldChar w:fldCharType="begin"/>
        <w:instrText xml:space="preserve">PAGEREF b_3_4 \h</w:instrText>
        <w:fldChar w:fldCharType="separate"/>
        <w:t xml:space="preserve">476</w:t>
        <w:fldChar w:fldCharType="end"/>
      </w:r>
      <w:r>
        <w:t xml:space="preserve">.</w:t>
      </w:r>
    </w:p>
    <w:p>
      <w:pPr>
        <w:pStyle w:val="Heading3"/>
      </w:pPr>
      <w:bookmarkStart w:name="b_clase_3_3_c14_cap_03" w:id="2564"/>
      <w:r>
        <w:t xml:space="preserve">Clase 14 · 00:07:58–00:24:16 · Qué es un ciclo de compensación</w:t>
      </w:r>
      <w:bookmarkEnd w:id="2564"/>
    </w:p>
    <w:p>
      <w:bookmarkStart w:name="b_punto_c14_cap_03_p02" w:id="2565"/>
      <w:r>
        <w:t xml:space="preserve">Sed→tomar agua→contenido de agua→sed cierra un balance; el aumento de contenido reduce la necesidad inicial.</w:t>
      </w:r>
      <w:bookmarkEnd w:id="2565"/>
    </w:p>
    <w:p>
      <w:bookmarkStart w:name="b_punto_c14_cap_03_p04" w:id="2566"/>
      <w:r>
        <w:t xml:space="preserve">Un tanque se llena desde una fuente externa y el nivel eleva un flotador que cierra la entrada; llamar nivel de la válvula explicita la magnitud que cambia.</w:t>
      </w:r>
      <w:bookmarkEnd w:id="2566"/>
    </w:p>
    <w:p>
      <w:bookmarkStart w:name="b_punto_c14_cap_03_p05" w:id="2567"/>
      <w:r>
        <w:t xml:space="preserve">Flujo de agua aumenta nivel, nivel aumenta altura del flotador y el flotador reduce el flujo; el retorno frena el llenado.</w:t>
      </w:r>
      <w:bookmarkEnd w:id="2567"/>
    </w:p>
    <w:p>
      <w:pPr>
        <w:pStyle w:val="Fuente"/>
      </w:pPr>
      <w:r>
        <w:t xml:space="preserve">Véase </w:t>
      </w:r>
      <w:hyperlink w:history="1" w:anchor="b_3_5">
        <w:r>
          <w:rPr>
            <w:color w:val="156B70"/>
            <w:u w:val="single"/>
          </w:rPr>
          <w:t xml:space="preserve">capítulo 3.5 · Refuerzo y compensación</w:t>
        </w:r>
      </w:hyperlink>
      <w:r>
        <w:t xml:space="preserve">, pág. </w:t>
      </w:r>
      <w:r>
        <w:fldChar w:fldCharType="begin"/>
        <w:instrText xml:space="preserve">PAGEREF b_3_5 \h</w:instrText>
        <w:fldChar w:fldCharType="separate"/>
        <w:t xml:space="preserve">501</w:t>
        <w:fldChar w:fldCharType="end"/>
      </w:r>
      <w:r>
        <w:t xml:space="preserve">.</w:t>
      </w:r>
    </w:p>
    <w:p>
      <w:pPr>
        <w:pStyle w:val="Heading3"/>
      </w:pPr>
      <w:bookmarkStart w:name="b_clase_3_3_c14_cap_04" w:id="2568"/>
      <w:r>
        <w:t xml:space="preserve">Clase 14 · 00:24:16–00:34:25 · La polaridad: por qué existen los signos</w:t>
      </w:r>
      <w:bookmarkEnd w:id="2568"/>
    </w:p>
    <w:p>
      <w:bookmarkStart w:name="b_punto_c14_cap_04_p05" w:id="2569"/>
      <w:r>
        <w:t xml:space="preserve">Sin signos la lectura depende más de la historia y la perspectiva del autor; si un signo no se comprende hay que reconstruir esa interpretación, no adivinarla.</w:t>
      </w:r>
      <w:bookmarkEnd w:id="2569"/>
    </w:p>
    <w:p>
      <w:bookmarkStart w:name="b_punto_c14_cap_04_p06" w:id="2570"/>
      <w:r>
        <w:t xml:space="preserve">La polaridad permite describir estructuras y tendencias generales aplicables a sistemas de distintos contenidos.</w:t>
      </w:r>
      <w:bookmarkEnd w:id="2570"/>
    </w:p>
    <w:p>
      <w:pPr>
        <w:pStyle w:val="Fuente"/>
      </w:pPr>
      <w:r>
        <w:t xml:space="preserve">Véase </w:t>
      </w:r>
      <w:hyperlink w:history="1" w:anchor="b_3_1">
        <w:r>
          <w:rPr>
            <w:color w:val="156B70"/>
            <w:u w:val="single"/>
          </w:rPr>
          <w:t xml:space="preserve">capítulo 3.1 · Mapas sistémicos</w:t>
        </w:r>
      </w:hyperlink>
      <w:r>
        <w:t xml:space="preserve">, pág. </w:t>
      </w:r>
      <w:r>
        <w:fldChar w:fldCharType="begin"/>
        <w:instrText xml:space="preserve">PAGEREF b_3_1 \h</w:instrText>
        <w:fldChar w:fldCharType="separate"/>
        <w:t xml:space="preserve">379</w:t>
        <w:fldChar w:fldCharType="end"/>
      </w:r>
      <w:r>
        <w:t xml:space="preserve">.</w:t>
      </w:r>
    </w:p>
    <w:p>
      <w:pPr>
        <w:pStyle w:val="Fuente"/>
      </w:pPr>
      <w:r>
        <w:t xml:space="preserve">Véase </w:t>
      </w:r>
      <w:hyperlink w:history="1" w:anchor="b_3_5">
        <w:r>
          <w:rPr>
            <w:color w:val="156B70"/>
            <w:u w:val="single"/>
          </w:rPr>
          <w:t xml:space="preserve">capítulo 3.5 · Refuerzo y compensación</w:t>
        </w:r>
      </w:hyperlink>
      <w:r>
        <w:t xml:space="preserve">, pág. </w:t>
      </w:r>
      <w:r>
        <w:fldChar w:fldCharType="begin"/>
        <w:instrText xml:space="preserve">PAGEREF b_3_5 \h</w:instrText>
        <w:fldChar w:fldCharType="separate"/>
        <w:t xml:space="preserve">501</w:t>
        <w:fldChar w:fldCharType="end"/>
      </w:r>
      <w:r>
        <w:t xml:space="preserve">.</w:t>
      </w:r>
    </w:p>
    <w:p>
      <w:pPr>
        <w:pStyle w:val="Heading3"/>
      </w:pPr>
      <w:bookmarkStart w:name="b_clase_3_3_c14_cap_05" w:id="2571"/>
      <w:r>
        <w:t xml:space="preserve">Clase 14 · 00:34:25–00:41:44 · Ejercicios de polaridad con la clase</w:t>
      </w:r>
      <w:bookmarkEnd w:id="2571"/>
    </w:p>
    <w:p>
      <w:bookmarkStart w:name="b_punto_c14_cap_05_p01" w:id="2572"/>
      <w:r>
        <w:t xml:space="preserve">El ejercicio corrige la respuesta positiva para flotador→flujo: al subir el flotador se cierra la entrada, por lo que la relación es negativa.</w:t>
      </w:r>
      <w:bookmarkEnd w:id="2572"/>
    </w:p>
    <w:p>
      <w:bookmarkStart w:name="b_punto_c14_cap_05_p02" w:id="2573"/>
      <w:r>
        <w:t xml:space="preserve">Polaridad es el nombre del signo sobre la flecha; al bajar el flotador aumenta el flujo y se comprueba de nuevo el signo negativo.</w:t>
      </w:r>
      <w:bookmarkEnd w:id="2573"/>
    </w:p>
    <w:p>
      <w:bookmarkStart w:name="b_punto_c14_cap_05_p03" w:id="2574"/>
      <w:r>
        <w:t xml:space="preserve">Flujo→nivel de agua y nivel→flotador son positivas; una negativa completa este ciclo compensador.</w:t>
      </w:r>
      <w:bookmarkEnd w:id="2574"/>
    </w:p>
    <w:p>
      <w:pPr>
        <w:pStyle w:val="Fuente"/>
      </w:pPr>
      <w:r>
        <w:t xml:space="preserve">Véase </w:t>
      </w:r>
      <w:hyperlink w:history="1" w:anchor="b_senales_examen">
        <w:r>
          <w:rPr>
            <w:color w:val="156B70"/>
            <w:u w:val="single"/>
          </w:rPr>
          <w:t xml:space="preserve">1 indicación(es) de examen de este tramo, en el apéndice cronológico</w:t>
        </w:r>
      </w:hyperlink>
      <w:r>
        <w:t xml:space="preserve">, pág. </w:t>
      </w:r>
      <w:r>
        <w:fldChar w:fldCharType="begin"/>
        <w:instrText xml:space="preserve">PAGEREF b_senales_examen \h</w:instrText>
        <w:fldChar w:fldCharType="separate"/>
        <w:t xml:space="preserve">1663</w:t>
        <w:fldChar w:fldCharType="end"/>
      </w:r>
      <w:r>
        <w:t xml:space="preserve">.</w:t>
      </w:r>
    </w:p>
    <w:p>
      <w:pPr>
        <w:pStyle w:val="Fuente"/>
      </w:pPr>
      <w:r>
        <w:t xml:space="preserve">Véase </w:t>
      </w:r>
      <w:hyperlink w:history="1" w:anchor="b_3_8">
        <w:r>
          <w:rPr>
            <w:color w:val="156B70"/>
            <w:u w:val="single"/>
          </w:rPr>
          <w:t xml:space="preserve">capítulo 3.8 · Patrones y tendencias</w:t>
        </w:r>
      </w:hyperlink>
      <w:r>
        <w:t xml:space="preserve">, pág. </w:t>
      </w:r>
      <w:r>
        <w:fldChar w:fldCharType="begin"/>
        <w:instrText xml:space="preserve">PAGEREF b_3_8 \h</w:instrText>
        <w:fldChar w:fldCharType="separate"/>
        <w:t xml:space="preserve">597</w:t>
        <w:fldChar w:fldCharType="end"/>
      </w:r>
      <w:r>
        <w:t xml:space="preserve">.</w:t>
      </w:r>
    </w:p>
    <w:p>
      <w:pPr>
        <w:pStyle w:val="Heading3"/>
      </w:pPr>
      <w:bookmarkStart w:name="b_clase_3_3_c14_cap_06" w:id="2575"/>
      <w:r>
        <w:t xml:space="preserve">Clase 14 · 00:41:44–00:53:47 · Ciclos de refuerzo y el acople del micrófono</w:t>
      </w:r>
      <w:bookmarkEnd w:id="2575"/>
    </w:p>
    <w:p>
      <w:bookmarkStart w:name="b_punto_c14_cap_06_p01" w:id="2576"/>
      <w:r>
        <w:t xml:space="preserve">El acople devuelve la salida de la bocina al micrófono, aumenta el sonido en vueltas sucesivas y termina en chillido; separar ambos rompe la realimentación del ejemplo.</w:t>
      </w:r>
      <w:bookmarkEnd w:id="2576"/>
    </w:p>
    <w:p>
      <w:bookmarkStart w:name="b_punto_c14_cap_06_p02" w:id="2577"/>
      <w:r>
        <w:t xml:space="preserve">El docente dibuja el caso en Plectica y nombra variables para distinguir sonido en micrófono, sonido en bocina y voz como entrada.</w:t>
      </w:r>
      <w:bookmarkEnd w:id="2577"/>
    </w:p>
    <w:p>
      <w:bookmarkStart w:name="b_punto_c14_cap_06_p03" w:id="2578"/>
      <w:r>
        <w:t xml:space="preserve">Las relaciones micrófono→bocina y bocina→micrófono son positivas; la voz externa excita el ciclo sin recibir una flecha de retorno.</w:t>
      </w:r>
      <w:bookmarkEnd w:id="2578"/>
    </w:p>
    <w:p>
      <w:pPr>
        <w:pStyle w:val="Fuente"/>
      </w:pPr>
      <w:r>
        <w:t xml:space="preserve">Véase </w:t>
      </w:r>
      <w:hyperlink w:history="1" w:anchor="b_3_5">
        <w:r>
          <w:rPr>
            <w:color w:val="156B70"/>
            <w:u w:val="single"/>
          </w:rPr>
          <w:t xml:space="preserve">capítulo 3.5 · Refuerzo y compensación</w:t>
        </w:r>
      </w:hyperlink>
      <w:r>
        <w:t xml:space="preserve">, pág. </w:t>
      </w:r>
      <w:r>
        <w:fldChar w:fldCharType="begin"/>
        <w:instrText xml:space="preserve">PAGEREF b_3_5 \h</w:instrText>
        <w:fldChar w:fldCharType="separate"/>
        <w:t xml:space="preserve">501</w:t>
        <w:fldChar w:fldCharType="end"/>
      </w:r>
      <w:r>
        <w:t xml:space="preserve">.</w:t>
      </w:r>
    </w:p>
    <w:p>
      <w:pPr>
        <w:pStyle w:val="Heading3"/>
      </w:pPr>
      <w:bookmarkStart w:name="b_clase_3_3_c15_cap_02" w:id="2579"/>
      <w:r>
        <w:t xml:space="preserve">Clase 15 · 00:10:12–00:16:53 · Repaso de los dos patrones y la cuenta de ahorro</w:t>
      </w:r>
      <w:bookmarkEnd w:id="2579"/>
    </w:p>
    <w:p>
      <w:bookmarkStart w:name="b_punto_c15_cap_02_p03" w:id="2580"/>
      <w:r>
        <w:t xml:space="preserve">Anotar los signos y R o+ al centro hace explícita la historia que de otro modo depende del texto.</w:t>
      </w:r>
      <w:bookmarkEnd w:id="2580"/>
    </w:p>
    <w:p>
      <w:pPr>
        <w:pStyle w:val="Fuente"/>
      </w:pPr>
      <w:r>
        <w:t xml:space="preserve">Véase </w:t>
      </w:r>
      <w:hyperlink w:history="1" w:anchor="b_3_5">
        <w:r>
          <w:rPr>
            <w:color w:val="156B70"/>
            <w:u w:val="single"/>
          </w:rPr>
          <w:t xml:space="preserve">capítulo 3.5 · Refuerzo y compensación</w:t>
        </w:r>
      </w:hyperlink>
      <w:r>
        <w:t xml:space="preserve">, pág. </w:t>
      </w:r>
      <w:r>
        <w:fldChar w:fldCharType="begin"/>
        <w:instrText xml:space="preserve">PAGEREF b_3_5 \h</w:instrText>
        <w:fldChar w:fldCharType="separate"/>
        <w:t xml:space="preserve">501</w:t>
        <w:fldChar w:fldCharType="end"/>
      </w:r>
      <w:r>
        <w:t xml:space="preserve">.</w:t>
      </w:r>
    </w:p>
    <w:p>
      <w:pPr>
        <w:pStyle w:val="Heading3"/>
      </w:pPr>
      <w:bookmarkStart w:name="b_clase_3_3_c15_cap_03" w:id="2581"/>
      <w:r>
        <w:t xml:space="preserve">Clase 15 · 00:16:53–00:20:58 · Notación, identificadores y arquetipos básicos</w:t>
      </w:r>
      <w:bookmarkEnd w:id="2581"/>
    </w:p>
    <w:p>
      <w:bookmarkStart w:name="b_punto_c15_cap_03_p01" w:id="2582"/>
      <w:r>
        <w:t xml:space="preserve">El DCC comunica visualmente un modelo mental de la estructura; un ciclo se cierra cuando una flecha vuelve a una variable previa.</w:t>
      </w:r>
      <w:bookmarkEnd w:id="2582"/>
    </w:p>
    <w:p>
      <w:bookmarkStart w:name="b_punto_c15_cap_03_p02" w:id="2583"/>
      <w:r>
        <w:t xml:space="preserve">R,+ o bola de nieve identifican refuerzo; B,C,− o balanza, balance: son los dos arquetipos sistémicos básicos de la exposición.</w:t>
      </w:r>
      <w:bookmarkEnd w:id="2583"/>
    </w:p>
    <w:p>
      <w:bookmarkStart w:name="b_punto_c15_cap_03_p03" w:id="2584"/>
      <w:r>
        <w:t xml:space="preserve">La polaridad positiva compara movimientos en el mismo sentido y la negativa en sentidos opuestos, tanto al subir como al bajar.</w:t>
      </w:r>
      <w:bookmarkEnd w:id="2584"/>
    </w:p>
    <w:p>
      <w:bookmarkStart w:name="b_punto_c15_cap_03_p04" w:id="2585"/>
      <w:r>
        <w:t xml:space="preserve">El rojo usado para compensación no constituye una convención universal y puede variar entre autores.</w:t>
      </w:r>
      <w:bookmarkEnd w:id="2585"/>
    </w:p>
    <w:p>
      <w:bookmarkStart w:name="b_punto_c15_cap_03_p05" w:id="2586"/>
      <w:r>
        <w:t xml:space="preserve">Para un diagrama explícito se marcan relaciones y ciclos; cuando un autor omite sus signos, se infieren de la historia.</w:t>
      </w:r>
      <w:bookmarkEnd w:id="2586"/>
    </w:p>
    <w:p>
      <w:pPr>
        <w:pStyle w:val="Fuente"/>
      </w:pPr>
      <w:r>
        <w:t xml:space="preserve">Véase </w:t>
      </w:r>
      <w:hyperlink w:history="1" w:anchor="b_senales_examen">
        <w:r>
          <w:rPr>
            <w:color w:val="156B70"/>
            <w:u w:val="single"/>
          </w:rPr>
          <w:t xml:space="preserve">1 indicación(es) de examen de este tramo, en el apéndice cronológico</w:t>
        </w:r>
      </w:hyperlink>
      <w:r>
        <w:t xml:space="preserve">, pág. </w:t>
      </w:r>
      <w:r>
        <w:fldChar w:fldCharType="begin"/>
        <w:instrText xml:space="preserve">PAGEREF b_senales_examen \h</w:instrText>
        <w:fldChar w:fldCharType="separate"/>
        <w:t xml:space="preserve">1663</w:t>
        <w:fldChar w:fldCharType="end"/>
      </w:r>
      <w:r>
        <w:t xml:space="preserve">.</w:t>
      </w:r>
    </w:p>
    <w:p>
      <w:pPr>
        <w:pStyle w:val="Heading3"/>
      </w:pPr>
      <w:bookmarkStart w:name="b_clase_3_3_c16_cap_01" w:id="2587"/>
      <w:r>
        <w:t xml:space="preserve">Clase 16 · 00:10:13–00:17:41 · Apertura, entregas y repaso de los hábitos</w:t>
      </w:r>
      <w:bookmarkEnd w:id="2587"/>
    </w:p>
    <w:p>
      <w:bookmarkStart w:name="b_punto_c16_cap_01_p02" w:id="2588"/>
      <w:r>
        <w:t xml:space="preserve">Se debe practicar construcción e interpretación de DSRP y DCC con flechas, signos y sintaxis gráfica.</w:t>
      </w:r>
      <w:bookmarkEnd w:id="2588"/>
    </w:p>
    <w:p>
      <w:pPr>
        <w:pStyle w:val="Fuente"/>
      </w:pPr>
      <w:r>
        <w:t xml:space="preserve">Véase </w:t>
      </w:r>
      <w:hyperlink w:history="1" w:anchor="b_senales_examen">
        <w:r>
          <w:rPr>
            <w:color w:val="156B70"/>
            <w:u w:val="single"/>
          </w:rPr>
          <w:t xml:space="preserve">1 indicación(es) de examen de este tramo, en el apéndice cronológico</w:t>
        </w:r>
      </w:hyperlink>
      <w:r>
        <w:t xml:space="preserve">, pág. </w:t>
      </w:r>
      <w:r>
        <w:fldChar w:fldCharType="begin"/>
        <w:instrText xml:space="preserve">PAGEREF b_senales_examen \h</w:instrText>
        <w:fldChar w:fldCharType="separate"/>
        <w:t xml:space="preserve">1663</w:t>
        <w:fldChar w:fldCharType="end"/>
      </w:r>
      <w:r>
        <w:t xml:space="preserve">.</w:t>
      </w:r>
    </w:p>
    <w:p>
      <w:pPr>
        <w:pStyle w:val="Fuente"/>
      </w:pPr>
      <w:r>
        <w:t xml:space="preserve">Véase </w:t>
      </w:r>
      <w:hyperlink w:history="1" w:anchor="b_3_9">
        <w:r>
          <w:rPr>
            <w:color w:val="156B70"/>
            <w:u w:val="single"/>
          </w:rPr>
          <w:t xml:space="preserve">capítulo 3.9 · Hábitos (complejo)</w:t>
        </w:r>
      </w:hyperlink>
      <w:r>
        <w:t xml:space="preserve">, pág. </w:t>
      </w:r>
      <w:r>
        <w:fldChar w:fldCharType="begin"/>
        <w:instrText xml:space="preserve">PAGEREF b_3_9 \h</w:instrText>
        <w:fldChar w:fldCharType="separate"/>
        <w:t xml:space="preserve">622</w:t>
        <w:fldChar w:fldCharType="end"/>
      </w:r>
      <w:r>
        <w:t xml:space="preserve">.</w:t>
      </w:r>
    </w:p>
    <w:p>
      <w:pPr>
        <w:pStyle w:val="Fuente"/>
      </w:pPr>
      <w:r>
        <w:t xml:space="preserve">Véase </w:t>
      </w:r>
      <w:hyperlink w:history="1" w:anchor="b_3_6">
        <w:r>
          <w:rPr>
            <w:color w:val="156B70"/>
            <w:u w:val="single"/>
          </w:rPr>
          <w:t xml:space="preserve">capítulo 3.6 · Modelación dinámica</w:t>
        </w:r>
      </w:hyperlink>
      <w:r>
        <w:t xml:space="preserve">, pág. </w:t>
      </w:r>
      <w:r>
        <w:fldChar w:fldCharType="begin"/>
        <w:instrText xml:space="preserve">PAGEREF b_3_6 \h</w:instrText>
        <w:fldChar w:fldCharType="separate"/>
        <w:t xml:space="preserve">537</w:t>
        <w:fldChar w:fldCharType="end"/>
      </w:r>
      <w:r>
        <w:t xml:space="preserve">.</w:t>
      </w:r>
    </w:p>
    <w:p>
      <w:pPr>
        <w:pStyle w:val="Fuente"/>
      </w:pPr>
      <w:r>
        <w:t xml:space="preserve">Véase </w:t>
      </w:r>
      <w:hyperlink w:history="1" w:anchor="b_3_7">
        <w:r>
          <w:rPr>
            <w:color w:val="156B70"/>
            <w:u w:val="single"/>
          </w:rPr>
          <w:t xml:space="preserve">capítulo 3.7 · Demoras de tiempo</w:t>
        </w:r>
      </w:hyperlink>
      <w:r>
        <w:t xml:space="preserve">, pág. </w:t>
      </w:r>
      <w:r>
        <w:fldChar w:fldCharType="begin"/>
        <w:instrText xml:space="preserve">PAGEREF b_3_7 \h</w:instrText>
        <w:fldChar w:fldCharType="separate"/>
        <w:t xml:space="preserve">580</w:t>
        <w:fldChar w:fldCharType="end"/>
      </w:r>
      <w:r>
        <w:t xml:space="preserve">.</w:t>
      </w:r>
    </w:p>
    <w:p>
      <w:pPr>
        <w:pStyle w:val="Heading3"/>
      </w:pPr>
      <w:bookmarkStart w:name="b_clase_3_3_c16_cap_03" w:id="2589"/>
      <w:r>
        <w:t xml:space="preserve">Clase 16 · 00:21:29–00:41:57 · No buscar culpables: el ciclo de la culpa</w:t>
      </w:r>
      <w:bookmarkEnd w:id="2589"/>
    </w:p>
    <w:p>
      <w:bookmarkStart w:name="b_punto_c16_cap_03_p08" w:id="2590"/>
      <w:r>
        <w:t xml:space="preserve">Dos mapas pueden representar el mismo problema con diferente perspectiva y detalle; no hay una única forma gráfica.</w:t>
      </w:r>
      <w:bookmarkEnd w:id="2590"/>
    </w:p>
    <w:p>
      <w:pPr>
        <w:pStyle w:val="Fuente"/>
      </w:pPr>
      <w:r>
        <w:t xml:space="preserve">Véase </w:t>
      </w:r>
      <w:hyperlink w:history="1" w:anchor="b_3_6">
        <w:r>
          <w:rPr>
            <w:color w:val="156B70"/>
            <w:u w:val="single"/>
          </w:rPr>
          <w:t xml:space="preserve">capítulo 3.6 · Modelación dinámica</w:t>
        </w:r>
      </w:hyperlink>
      <w:r>
        <w:t xml:space="preserve">, pág. </w:t>
      </w:r>
      <w:r>
        <w:fldChar w:fldCharType="begin"/>
        <w:instrText xml:space="preserve">PAGEREF b_3_6 \h</w:instrText>
        <w:fldChar w:fldCharType="separate"/>
        <w:t xml:space="preserve">537</w:t>
        <w:fldChar w:fldCharType="end"/>
      </w:r>
      <w:r>
        <w:t xml:space="preserve">.</w:t>
      </w:r>
    </w:p>
    <w:p>
      <w:pPr>
        <w:pStyle w:val="Fuente"/>
      </w:pPr>
      <w:r>
        <w:t xml:space="preserve">Véase </w:t>
      </w:r>
      <w:hyperlink w:history="1" w:anchor="b_3_9">
        <w:r>
          <w:rPr>
            <w:color w:val="156B70"/>
            <w:u w:val="single"/>
          </w:rPr>
          <w:t xml:space="preserve">capítulo 3.9 · Hábitos (complejo)</w:t>
        </w:r>
      </w:hyperlink>
      <w:r>
        <w:t xml:space="preserve">, pág. </w:t>
      </w:r>
      <w:r>
        <w:fldChar w:fldCharType="begin"/>
        <w:instrText xml:space="preserve">PAGEREF b_3_9 \h</w:instrText>
        <w:fldChar w:fldCharType="separate"/>
        <w:t xml:space="preserve">622</w:t>
        <w:fldChar w:fldCharType="end"/>
      </w:r>
      <w:r>
        <w:t xml:space="preserve">.</w:t>
      </w:r>
    </w:p>
    <w:p>
      <w:pPr>
        <w:pStyle w:val="Heading3"/>
      </w:pPr>
      <w:bookmarkStart w:name="b_clase_3_3_c16_cap_04" w:id="2591"/>
      <w:r>
        <w:t xml:space="preserve">Clase 16 · 00:41:57–00:49:47 · Lineamientos y la regla del número de negativas</w:t>
      </w:r>
      <w:bookmarkEnd w:id="2591"/>
    </w:p>
    <w:p>
      <w:bookmarkStart w:name="b_punto_c16_cap_04_p01" w:id="2592"/>
      <w:r>
        <w:t xml:space="preserve">Se asigna leer los lineamientos; no se enumeran oralmente todos, aunque el material y el portal sí los desarrollan.</w:t>
      </w:r>
      <w:bookmarkEnd w:id="2592"/>
    </w:p>
    <w:p>
      <w:bookmarkStart w:name="b_punto_c16_cap_04_p02" w:id="2593"/>
      <w:r>
        <w:t xml:space="preserve">Fallas→confianza→retiros→solvencia→fallas tiene cuatro negativas y es R: la historia ilustra una corrida bancaria.</w:t>
      </w:r>
      <w:bookmarkEnd w:id="2593"/>
    </w:p>
    <w:p>
      <w:bookmarkStart w:name="b_punto_c16_cap_04_p03" w:id="2594"/>
      <w:r>
        <w:t xml:space="preserve">Comprimir las parejas negativas produce fallas→retiros→fallas con positivas: conserva el efecto cualitativo y pierde explicaciones intermedias.</w:t>
      </w:r>
      <w:bookmarkEnd w:id="2594"/>
    </w:p>
    <w:p>
      <w:bookmarkStart w:name="b_punto_c16_cap_04_p05" w:id="2595"/>
      <w:r>
        <w:t xml:space="preserve">Porque ambos recorridos tienen un número par de relaciones negativas</w:t>
      </w:r>
      <w:bookmarkEnd w:id="2595"/>
    </w:p>
    <w:p>
      <w:pPr>
        <w:pStyle w:val="Fuente"/>
      </w:pPr>
      <w:r>
        <w:t xml:space="preserve">Véase </w:t>
      </w:r>
      <w:hyperlink w:history="1" w:anchor="b_senales_examen">
        <w:r>
          <w:rPr>
            <w:color w:val="156B70"/>
            <w:u w:val="single"/>
          </w:rPr>
          <w:t xml:space="preserve">1 indicación(es) de examen de este tramo, en el apéndice cronológico</w:t>
        </w:r>
      </w:hyperlink>
      <w:r>
        <w:t xml:space="preserve">, pág. </w:t>
      </w:r>
      <w:r>
        <w:fldChar w:fldCharType="begin"/>
        <w:instrText xml:space="preserve">PAGEREF b_senales_examen \h</w:instrText>
        <w:fldChar w:fldCharType="separate"/>
        <w:t xml:space="preserve">1663</w:t>
        <w:fldChar w:fldCharType="end"/>
      </w:r>
      <w:r>
        <w:t xml:space="preserve">.</w:t>
      </w:r>
    </w:p>
    <w:p>
      <w:pPr>
        <w:pStyle w:val="Fuente"/>
      </w:pPr>
      <w:r>
        <w:t xml:space="preserve">Véase </w:t>
      </w:r>
      <w:hyperlink w:history="1" w:anchor="b_3_5">
        <w:r>
          <w:rPr>
            <w:color w:val="156B70"/>
            <w:u w:val="single"/>
          </w:rPr>
          <w:t xml:space="preserve">capítulo 3.5 · Refuerzo y compensación</w:t>
        </w:r>
      </w:hyperlink>
      <w:r>
        <w:t xml:space="preserve">, pág. </w:t>
      </w:r>
      <w:r>
        <w:fldChar w:fldCharType="begin"/>
        <w:instrText xml:space="preserve">PAGEREF b_3_5 \h</w:instrText>
        <w:fldChar w:fldCharType="separate"/>
        <w:t xml:space="preserve">501</w:t>
        <w:fldChar w:fldCharType="end"/>
      </w:r>
      <w:r>
        <w:t xml:space="preserve">.</w:t>
      </w:r>
    </w:p>
    <w:p>
      <w:pPr>
        <w:pStyle w:val="Heading3"/>
      </w:pPr>
      <w:bookmarkStart w:name="b_clase_3_3_c16_cap_05" w:id="2596"/>
      <w:r>
        <w:t xml:space="preserve">Clase 16 · 00:49:47–01:02:36 · Proalimentación: cuando el futuro causa el presente</w:t>
      </w:r>
      <w:bookmarkEnd w:id="2596"/>
    </w:p>
    <w:p>
      <w:bookmarkStart w:name="b_punto_c16_cap_05_p01" w:id="2597"/>
      <w:r>
        <w:t xml:space="preserve">Cuando faltan signos, la historia debe permitir inferirlos; el DCC sin polaridad explícita es menos claro.</w:t>
      </w:r>
      <w:bookmarkEnd w:id="2597"/>
    </w:p>
    <w:p>
      <w:bookmarkStart w:name="b_punto_c16_cap_05_p06" w:id="2598"/>
      <w:r>
        <w:t xml:space="preserve">Predecir derrota puede motivar al atleta a ganar y alejarlo de lo predicho: proalimentación de refuerzo o profecía contraproducente.</w:t>
      </w:r>
      <w:bookmarkEnd w:id="2598"/>
    </w:p>
    <w:p>
      <w:bookmarkStart w:name="b_punto_c16_cap_05_p07" w:id="2599"/>
      <w:r>
        <w:t xml:space="preserve">Las seis categorías del curso son R, B, virtuoso, vicioso y dos proalimentaciones; virtuoso/vicioso valoran el resultado de R.</w:t>
      </w:r>
      <w:bookmarkEnd w:id="2599"/>
    </w:p>
    <w:p>
      <w:pPr>
        <w:pStyle w:val="Fuente"/>
      </w:pPr>
      <w:r>
        <w:t xml:space="preserve">Véase </w:t>
      </w:r>
      <w:hyperlink w:history="1" w:anchor="b_3_5">
        <w:r>
          <w:rPr>
            <w:color w:val="156B70"/>
            <w:u w:val="single"/>
          </w:rPr>
          <w:t xml:space="preserve">capítulo 3.5 · Refuerzo y compensación</w:t>
        </w:r>
      </w:hyperlink>
      <w:r>
        <w:t xml:space="preserve">, pág. </w:t>
      </w:r>
      <w:r>
        <w:fldChar w:fldCharType="begin"/>
        <w:instrText xml:space="preserve">PAGEREF b_3_5 \h</w:instrText>
        <w:fldChar w:fldCharType="separate"/>
        <w:t xml:space="preserve">501</w:t>
        <w:fldChar w:fldCharType="end"/>
      </w:r>
      <w:r>
        <w:t xml:space="preserve">.</w:t>
      </w:r>
    </w:p>
    <w:p>
      <w:pPr>
        <w:pStyle w:val="Heading3"/>
      </w:pPr>
      <w:bookmarkStart w:name="b_clase_3_3_c16_cap_08" w:id="2600"/>
      <w:r>
        <w:t xml:space="preserve">Clase 16 · 01:13:36–01:29:27 · Retroalimentación pública de los diagramas entregados</w:t>
      </w:r>
      <w:bookmarkEnd w:id="2600"/>
    </w:p>
    <w:p>
      <w:bookmarkStart w:name="b_punto_c16_cap_08_p01" w:id="2601"/>
      <w:r>
        <w:t xml:space="preserve">Más o menos variables y nombres distintos pueden describir una situación; se preserva la historia y se explicitan signos y ciclos.</w:t>
      </w:r>
      <w:bookmarkEnd w:id="2601"/>
    </w:p>
    <w:p>
      <w:bookmarkStart w:name="b_punto_c16_cap_08_p02" w:id="2602"/>
      <w:r>
        <w:t xml:space="preserve">Aunque B sea obvio, se anota al centro B/C o balanza; el profesor corrige su mención de bola de nieve, propia de R.</w:t>
      </w:r>
      <w:bookmarkEnd w:id="2602"/>
    </w:p>
    <w:p>
      <w:bookmarkStart w:name="b_punto_c16_cap_08_p03" w:id="2603"/>
      <w:r>
        <w:t xml:space="preserve">Bebidas→caries→dolor→visitas→menor consumo forma B; pasta dental actúa como influencia externa sobre caries.</w:t>
      </w:r>
      <w:bookmarkEnd w:id="2603"/>
    </w:p>
    <w:p>
      <w:bookmarkStart w:name="b_punto_c16_cap_08_p05" w:id="2604"/>
      <w:r>
        <w:t xml:space="preserve">Caries/sarro→dolor→dentista→menos caries es B; la bifurcación desde dulces no crea otro ciclo porque no retorna a su origen.</w:t>
      </w:r>
      <w:bookmarkEnd w:id="2604"/>
    </w:p>
    <w:p>
      <w:bookmarkStart w:name="b_punto_c16_cap_08_p06" w:id="2605"/>
      <w:r>
        <w:t xml:space="preserve">Omitir la polaridad del ciclo fue el fallo común; también se marcan demoras y variables que permitan leer la historia.</w:t>
      </w:r>
      <w:bookmarkEnd w:id="2605"/>
    </w:p>
    <w:p>
      <w:bookmarkStart w:name="b_punto_c16_cap_08_p07" w:id="2606"/>
      <w:r>
        <w:t xml:space="preserve">Sin cabeza no se sabe cuál variable causa cuál; salud dental puede ser un nombre ambiguo para decidir el signo hacia dolor.</w:t>
      </w:r>
      <w:bookmarkEnd w:id="2606"/>
    </w:p>
    <w:p>
      <w:bookmarkStart w:name="b_punto_c16_cap_08_p08" w:id="2607"/>
      <w:r>
        <w:t xml:space="preserve">Se releen flechas y signos para comprobar que cuentan el enunciado; si no se entiende, se revisa el modelo.</w:t>
      </w:r>
      <w:bookmarkEnd w:id="2607"/>
    </w:p>
    <w:p>
      <w:bookmarkStart w:name="b_punto_c16_cap_08_p09" w:id="2608"/>
      <w:r>
        <w:t xml:space="preserve">Una línea evidencia R. La cabeza permite leer causa y efecto; omitirla deja esa dirección sin determinar, sin borrar la conexión.</w:t>
      </w:r>
      <w:bookmarkEnd w:id="2608"/>
    </w:p>
    <w:p>
      <w:pPr>
        <w:pStyle w:val="Fuente"/>
      </w:pPr>
      <w:r>
        <w:t xml:space="preserve">Véase </w:t>
      </w:r>
      <w:hyperlink w:history="1" w:anchor="b_senales_examen">
        <w:r>
          <w:rPr>
            <w:color w:val="156B70"/>
            <w:u w:val="single"/>
          </w:rPr>
          <w:t xml:space="preserve">2 indicación(es) de examen de este tramo, en el apéndice cronológico</w:t>
        </w:r>
      </w:hyperlink>
      <w:r>
        <w:t xml:space="preserve">, pág. </w:t>
      </w:r>
      <w:r>
        <w:fldChar w:fldCharType="begin"/>
        <w:instrText xml:space="preserve">PAGEREF b_senales_examen \h</w:instrText>
        <w:fldChar w:fldCharType="separate"/>
        <w:t xml:space="preserve">1663</w:t>
        <w:fldChar w:fldCharType="end"/>
      </w:r>
      <w:r>
        <w:t xml:space="preserve">.</w:t>
      </w:r>
    </w:p>
    <w:p>
      <w:pPr>
        <w:pStyle w:val="Fuente"/>
      </w:pPr>
      <w:r>
        <w:t xml:space="preserve">Véase </w:t>
      </w:r>
      <w:hyperlink w:history="1" w:anchor="b_3_7">
        <w:r>
          <w:rPr>
            <w:color w:val="156B70"/>
            <w:u w:val="single"/>
          </w:rPr>
          <w:t xml:space="preserve">capítulo 3.7 · Demoras de tiempo</w:t>
        </w:r>
      </w:hyperlink>
      <w:r>
        <w:t xml:space="preserve">, pág. </w:t>
      </w:r>
      <w:r>
        <w:fldChar w:fldCharType="begin"/>
        <w:instrText xml:space="preserve">PAGEREF b_3_7 \h</w:instrText>
        <w:fldChar w:fldCharType="separate"/>
        <w:t xml:space="preserve">580</w:t>
        <w:fldChar w:fldCharType="end"/>
      </w:r>
      <w:r>
        <w:t xml:space="preserve">.</w:t>
      </w:r>
    </w:p>
    <w:p>
      <w:pPr>
        <w:pStyle w:val="Heading3"/>
      </w:pPr>
      <w:bookmarkStart w:name="b_clase_3_3_c16_cap_09" w:id="2609"/>
      <w:r>
        <w:t xml:space="preserve">Clase 16 · 01:29:27–01:37:54 · Patrones y tendencias: los gráficos de comportamiento</w:t>
      </w:r>
      <w:bookmarkEnd w:id="2609"/>
    </w:p>
    <w:p>
      <w:bookmarkStart w:name="b_punto_c16_cap_09_p04" w:id="2610"/>
      <w:r>
        <w:t xml:space="preserve">No hay dibujo ideal único, pero nombres, flechas y signos deben contar coherentemente la historia; no todo modelo vale.</w:t>
      </w:r>
      <w:bookmarkEnd w:id="2610"/>
    </w:p>
    <w:p>
      <w:bookmarkStart w:name="b_punto_c16_cap_09_p05" w:id="2611"/>
      <w:r>
        <w:t xml:space="preserve">No se inventan variables ajenas al enunciado para hacerlo más completo: se modelaría otro sistema más complejo que el pedido.</w:t>
      </w:r>
      <w:bookmarkEnd w:id="2611"/>
    </w:p>
    <w:p>
      <w:pPr>
        <w:pStyle w:val="Fuente"/>
      </w:pPr>
      <w:r>
        <w:t xml:space="preserve">Véase </w:t>
      </w:r>
      <w:hyperlink w:history="1" w:anchor="b_senales_examen">
        <w:r>
          <w:rPr>
            <w:color w:val="156B70"/>
            <w:u w:val="single"/>
          </w:rPr>
          <w:t xml:space="preserve">2 indicación(es) de examen de este tramo, en el apéndice cronológico</w:t>
        </w:r>
      </w:hyperlink>
      <w:r>
        <w:t xml:space="preserve">, pág. </w:t>
      </w:r>
      <w:r>
        <w:fldChar w:fldCharType="begin"/>
        <w:instrText xml:space="preserve">PAGEREF b_senales_examen \h</w:instrText>
        <w:fldChar w:fldCharType="separate"/>
        <w:t xml:space="preserve">1663</w:t>
        <w:fldChar w:fldCharType="end"/>
      </w:r>
      <w:r>
        <w:t xml:space="preserve">.</w:t>
      </w:r>
    </w:p>
    <w:p>
      <w:pPr>
        <w:pStyle w:val="Fuente"/>
      </w:pPr>
      <w:r>
        <w:t xml:space="preserve">Véase </w:t>
      </w:r>
      <w:hyperlink w:history="1" w:anchor="b_3_8">
        <w:r>
          <w:rPr>
            <w:color w:val="156B70"/>
            <w:u w:val="single"/>
          </w:rPr>
          <w:t xml:space="preserve">capítulo 3.8 · Patrones y tendencias</w:t>
        </w:r>
      </w:hyperlink>
      <w:r>
        <w:t xml:space="preserve">, pág. </w:t>
      </w:r>
      <w:r>
        <w:fldChar w:fldCharType="begin"/>
        <w:instrText xml:space="preserve">PAGEREF b_3_8 \h</w:instrText>
        <w:fldChar w:fldCharType="separate"/>
        <w:t xml:space="preserve">597</w:t>
        <w:fldChar w:fldCharType="end"/>
      </w:r>
      <w:r>
        <w:t xml:space="preserve">.</w:t>
      </w:r>
    </w:p>
    <w:p>
      <w:pPr>
        <w:pStyle w:val="Fuente"/>
      </w:pPr>
      <w:r>
        <w:t xml:space="preserve">Véase </w:t>
      </w:r>
      <w:hyperlink w:history="1" w:anchor="b_3_1">
        <w:r>
          <w:rPr>
            <w:color w:val="156B70"/>
            <w:u w:val="single"/>
          </w:rPr>
          <w:t xml:space="preserve">capítulo 3.1 · Mapas sistémicos</w:t>
        </w:r>
      </w:hyperlink>
      <w:r>
        <w:t xml:space="preserve">, pág. </w:t>
      </w:r>
      <w:r>
        <w:fldChar w:fldCharType="begin"/>
        <w:instrText xml:space="preserve">PAGEREF b_3_1 \h</w:instrText>
        <w:fldChar w:fldCharType="separate"/>
        <w:t xml:space="preserve">379</w:t>
        <w:fldChar w:fldCharType="end"/>
      </w:r>
      <w:r>
        <w:t xml:space="preserve">.</w:t>
      </w:r>
    </w:p>
    <w:p>
      <w:pPr>
        <w:pStyle w:val="Heading3"/>
      </w:pPr>
      <w:bookmarkStart w:name="b_clase_3_3_c16_cap_11" w:id="2612"/>
      <w:r>
        <w:t xml:space="preserve">Clase 16 · 01:42:10–01:47:55 · El segundo parcial y la solución del caso de Ana</w:t>
      </w:r>
      <w:bookmarkEnd w:id="2612"/>
    </w:p>
    <w:p>
      <w:bookmarkStart w:name="b_punto_c16_cap_11_p02" w:id="2613"/>
      <w:r>
        <w:t xml:space="preserve">Menos tiempo aumenta presión; presión aumenta trabajo extra, éste aumenta terminación, terminación reduce pendientes y pendientes aumentan presión: lazo B.</w:t>
      </w:r>
      <w:bookmarkEnd w:id="2613"/>
    </w:p>
    <w:p>
      <w:bookmarkStart w:name="b_punto_c16_cap_11_p03" w:id="2614"/>
      <w:r>
        <w:t xml:space="preserve">La solución puede variar en nombres y detalle, pero debe contar el mismo relato; tiempo disponible es externo.</w:t>
      </w:r>
      <w:bookmarkEnd w:id="2614"/>
    </w:p>
    <w:p>
      <w:bookmarkStart w:name="b_punto_c16_cap_11_p04" w:id="2615"/>
      <w:r>
        <w:t xml:space="preserve">Trabajar extra puede aliviar unos días y después provocar fatiga, menor productividad y errores al exceder capacidad; el modelo de cuatro ciclos no se exigía en la tarea básica.</w:t>
      </w:r>
      <w:bookmarkEnd w:id="2615"/>
    </w:p>
    <w:p>
      <w:bookmarkStart w:name="b_punto_c16_cap_11_p06" w:id="2616"/>
      <w:r>
        <w:t xml:space="preserve">El segundo parcial será lápiz y papel: preguntas temáticas, modelos para interpretar y relatos para diagramar con sintaxis DSRP/DCC.</w:t>
      </w:r>
      <w:bookmarkEnd w:id="2616"/>
    </w:p>
    <w:p>
      <w:pPr>
        <w:pStyle w:val="Fuente"/>
      </w:pPr>
      <w:r>
        <w:t xml:space="preserve">Véase </w:t>
      </w:r>
      <w:hyperlink w:history="1" w:anchor="b_senales_examen">
        <w:r>
          <w:rPr>
            <w:color w:val="156B70"/>
            <w:u w:val="single"/>
          </w:rPr>
          <w:t xml:space="preserve">3 indicación(es) de examen de este tramo, en el apéndice cronológico</w:t>
        </w:r>
      </w:hyperlink>
      <w:r>
        <w:t xml:space="preserve">, pág. </w:t>
      </w:r>
      <w:r>
        <w:fldChar w:fldCharType="begin"/>
        <w:instrText xml:space="preserve">PAGEREF b_senales_examen \h</w:instrText>
        <w:fldChar w:fldCharType="separate"/>
        <w:t xml:space="preserve">1663</w:t>
        <w:fldChar w:fldCharType="end"/>
      </w:r>
      <w:r>
        <w:t xml:space="preserve">.</w:t>
      </w:r>
    </w:p>
    <w:p>
      <w:pPr>
        <w:pStyle w:val="Fuente"/>
      </w:pPr>
      <w:r>
        <w:t xml:space="preserve">Véase </w:t>
      </w:r>
      <w:hyperlink w:history="1" w:anchor="b_3_7">
        <w:r>
          <w:rPr>
            <w:color w:val="156B70"/>
            <w:u w:val="single"/>
          </w:rPr>
          <w:t xml:space="preserve">capítulo 3.7 · Demoras de tiempo</w:t>
        </w:r>
      </w:hyperlink>
      <w:r>
        <w:t xml:space="preserve">, pág. </w:t>
      </w:r>
      <w:r>
        <w:fldChar w:fldCharType="begin"/>
        <w:instrText xml:space="preserve">PAGEREF b_3_7 \h</w:instrText>
        <w:fldChar w:fldCharType="separate"/>
        <w:t xml:space="preserve">580</w:t>
        <w:fldChar w:fldCharType="end"/>
      </w:r>
      <w:r>
        <w:t xml:space="preserve">.</w:t>
      </w:r>
    </w:p>
    <w:p>
      <w:pPr>
        <w:pStyle w:val="Heading3"/>
      </w:pPr>
      <w:bookmarkStart w:name="b_cita_clase_12_nace_el_diagram_43f512fc" w:id="2617"/>
      <w:r>
        <w:t xml:space="preserve">Palabras del profesor</w:t>
      </w:r>
      <w:bookmarkEnd w:id="2617"/>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El profesor lo dijo así</w:t>
            </w:r>
          </w:p>
          <w:p>
            <w:pPr>
              <w:pStyle w:val="Recuadro"/>
            </w:pPr>
            <w:r>
              <w:t xml:space="preserve">«Es un mapa sistémico que no es completamente DSRP, sino el que han usado otros autores de sistemas para estudiar las estructuras sistémicas: se llaman diagramas de ciclos causales.»</w:t>
            </w:r>
          </w:p>
          <w:p>
            <w:pPr>
              <w:pStyle w:val="Recuadro"/>
            </w:pPr>
            <w:r>
              <w:t xml:space="preserve">Clase 12 · 01:12:41–01:13:05</w:t>
            </w:r>
          </w:p>
        </w:tc>
      </w:tr>
    </w:tbl>
    <w:p>
      <w:pPr>
        <w:pStyle w:val="Heading3"/>
      </w:pPr>
      <w:bookmarkStart w:name="b_cita_clase_13_ciclos_causales_6acce762" w:id="2618"/>
      <w:r>
        <w:t xml:space="preserve">Palabras del profesor</w:t>
      </w:r>
      <w:bookmarkEnd w:id="2618"/>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El profesor lo dijo así</w:t>
            </w:r>
          </w:p>
          <w:p>
            <w:pPr>
              <w:pStyle w:val="Recuadro"/>
            </w:pPr>
            <w:r>
              <w:t xml:space="preserve">«Si nos concentramos solamente en la parte de la regla de relaciones y distinciones, podemos crear diagramas de ciclos causales o diagramas de bucles causales para representar esas estructuras circulares.»</w:t>
            </w:r>
          </w:p>
          <w:p>
            <w:pPr>
              <w:pStyle w:val="Recuadro"/>
            </w:pPr>
            <w:r>
              <w:t xml:space="preserve">Clase 13 · 00:37:26–00:37:53</w:t>
            </w:r>
          </w:p>
        </w:tc>
      </w:tr>
    </w:tbl>
    <w:p>
      <w:pPr>
        <w:pStyle w:val="Heading3"/>
      </w:pPr>
      <w:bookmarkStart w:name="b_cita_clase_13_el_diagrama_dep_4cc00579" w:id="2619"/>
      <w:r>
        <w:t xml:space="preserve">Palabras del profesor</w:t>
      </w:r>
      <w:bookmarkEnd w:id="2619"/>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El profesor lo dijo así</w:t>
            </w:r>
          </w:p>
          <w:p>
            <w:pPr>
              <w:pStyle w:val="Recuadro"/>
            </w:pPr>
            <w:r>
              <w:t xml:space="preserve">«Los diagramas de ciclos causales dependen totalmente de su autor: a veces hay más o menos variables, pero la historia que expresan es la misma.»</w:t>
            </w:r>
          </w:p>
          <w:p>
            <w:pPr>
              <w:pStyle w:val="Recuadro"/>
            </w:pPr>
            <w:r>
              <w:t xml:space="preserve">Clase 13 · 01:28:51–01:29:25</w:t>
            </w:r>
          </w:p>
        </w:tc>
      </w:tr>
    </w:tbl>
    <w:p>
      <w:pPr>
        <w:pStyle w:val="Heading3"/>
      </w:pPr>
      <w:bookmarkStart w:name="b_cita_clase_14_cola_causa_punta_efecto" w:id="2620"/>
      <w:r>
        <w:t xml:space="preserve">Palabras del profesor</w:t>
      </w:r>
      <w:bookmarkEnd w:id="2620"/>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El profesor lo dijo así</w:t>
            </w:r>
          </w:p>
          <w:p>
            <w:pPr>
              <w:pStyle w:val="Recuadro"/>
            </w:pPr>
            <w:r>
              <w:t xml:space="preserve">«En una relación entre dos variables, la variable que está en la cola de la flecha es la causante y la variable que está en la punta de la flecha es el efecto.»</w:t>
            </w:r>
          </w:p>
          <w:p>
            <w:pPr>
              <w:pStyle w:val="Recuadro"/>
            </w:pPr>
            <w:r>
              <w:t xml:space="preserve">Clase 14 · 00:26:38–00:27:07</w:t>
            </w:r>
          </w:p>
        </w:tc>
      </w:tr>
    </w:tbl>
    <w:p>
      <w:pPr>
        <w:pStyle w:val="Heading3"/>
      </w:pPr>
      <w:bookmarkStart w:name="b_cita_clase_14_signo_mas_mismo_sentido" w:id="2621"/>
      <w:r>
        <w:t xml:space="preserve">Palabras del profesor</w:t>
      </w:r>
      <w:bookmarkEnd w:id="2621"/>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El profesor lo dijo así</w:t>
            </w:r>
          </w:p>
          <w:p>
            <w:pPr>
              <w:pStyle w:val="Recuadro"/>
            </w:pPr>
            <w:r>
              <w:t xml:space="preserve">«Cada vez que queramos expresar una relación donde la tendencia de las variables siempre es en el mismo sentido, porque se refuerzan entre sí, si uno aumenta el otro aumenta, si uno disminuye el otro disminuye, usamos un signo más.»</w:t>
            </w:r>
          </w:p>
          <w:p>
            <w:pPr>
              <w:pStyle w:val="Recuadro"/>
            </w:pPr>
            <w:r>
              <w:t xml:space="preserve">Clase 14 · 00:32:39–00:32:59</w:t>
            </w:r>
          </w:p>
        </w:tc>
      </w:tr>
    </w:tbl>
    <w:p>
      <w:pPr>
        <w:pStyle w:val="Heading3"/>
      </w:pPr>
      <w:bookmarkStart w:name="b_cita_clase_14_que_es_la_polaridad" w:id="2622"/>
      <w:r>
        <w:t xml:space="preserve">Palabras del profesor</w:t>
      </w:r>
      <w:bookmarkEnd w:id="2622"/>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El profesor lo dijo así</w:t>
            </w:r>
          </w:p>
          <w:p>
            <w:pPr>
              <w:pStyle w:val="Recuadro"/>
            </w:pPr>
            <w:r>
              <w:t xml:space="preserve">«La polaridad: esta relación es negativa. El efecto de la relación causal es de una tendencia en sentido opuesto.»</w:t>
            </w:r>
          </w:p>
          <w:p>
            <w:pPr>
              <w:pStyle w:val="Recuadro"/>
            </w:pPr>
            <w:r>
              <w:t xml:space="preserve">Clase 14 · 00:37:01–00:37:30</w:t>
            </w:r>
          </w:p>
        </w:tc>
      </w:tr>
    </w:tbl>
    <w:p>
      <w:pPr>
        <w:pStyle w:val="Heading3"/>
      </w:pPr>
      <w:bookmarkStart w:name="b_cita_clase_15_polaridad_hace__3ef20edc" w:id="2623"/>
      <w:r>
        <w:t xml:space="preserve">Palabras del profesor</w:t>
      </w:r>
      <w:bookmarkEnd w:id="2623"/>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El profesor lo dijo así</w:t>
            </w:r>
          </w:p>
          <w:p>
            <w:pPr>
              <w:pStyle w:val="Recuadro"/>
            </w:pPr>
            <w:r>
              <w:t xml:space="preserve">«La polaridad es la que hace más explícita la historia, identificando si la relación es de refuerzo o es de compensación.»</w:t>
            </w:r>
          </w:p>
          <w:p>
            <w:pPr>
              <w:pStyle w:val="Recuadro"/>
            </w:pPr>
            <w:r>
              <w:t xml:space="preserve">Clase 15 · 00:18:44–00:19:15</w:t>
            </w:r>
          </w:p>
        </w:tc>
      </w:tr>
    </w:tbl>
    <w:p>
      <w:pPr>
        <w:pStyle w:val="Heading3"/>
      </w:pPr>
      <w:bookmarkStart w:name="b_cita_clase_16_polaridad_expli_a0b3e607" w:id="2624"/>
      <w:r>
        <w:t xml:space="preserve">Palabras del profesor</w:t>
      </w:r>
      <w:bookmarkEnd w:id="2624"/>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El profesor lo dijo así</w:t>
            </w:r>
          </w:p>
          <w:p>
            <w:pPr>
              <w:pStyle w:val="Recuadro"/>
            </w:pPr>
            <w:r>
              <w:t xml:space="preserve">«Lo importante es que ustedes dejen explícitamente la polaridad de las relaciones para ser claros y también la polaridad de los ciclos. Al centro debía haberse puesto si esto era un ciclo de refuerzo o un ciclo de compensación.»</w:t>
            </w:r>
          </w:p>
          <w:p>
            <w:pPr>
              <w:pStyle w:val="Recuadro"/>
            </w:pPr>
            <w:r>
              <w:t xml:space="preserve">Clase 16 · 01:16:09–01:16:26</w:t>
            </w:r>
          </w:p>
        </w:tc>
      </w:tr>
    </w:tbl>
    <w:p>
      <w:pPr>
        <w:pStyle w:val="Heading3"/>
      </w:pPr>
      <w:r>
        <w:t xml:space="preserve">Errores frecuentes y trampa de examen</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9C620A" w:sz="20"/>
              <w:bottom w:val="nil"/>
              <w:right w:val="nil"/>
            </w:tcBorders>
            <w:shd w:fill="FBF3DF" w:val="clear"/>
            <w:tcMar>
              <w:top w:type="dxa" w:w="130"/>
              <w:left w:type="dxa" w:w="180"/>
              <w:bottom w:type="dxa" w:w="130"/>
              <w:right w:type="dxa" w:w="180"/>
            </w:tcMar>
          </w:tcPr>
          <w:p>
            <w:pPr>
              <w:pStyle w:val="RecuadroTitulo"/>
            </w:pPr>
            <w:r>
              <w:rPr>
                <w:b/>
                <w:bCs/>
                <w:color w:val="9C620A"/>
              </w:rPr>
              <w:t xml:space="preserve">Error → corrección</w:t>
            </w:r>
          </w:p>
          <w:p>
            <w:pPr>
              <w:pStyle w:val="Recuadro"/>
            </w:pPr>
            <w:r>
              <w:rPr>
                <w:b/>
                <w:bCs/>
              </w:rPr>
              <w:t xml:space="preserve">Error:</w:t>
            </w:r>
            <w:r>
              <w:t xml:space="preserve"> Omitir la polaridad del ciclo.</w:t>
            </w:r>
          </w:p>
          <w:p>
            <w:pPr>
              <w:pStyle w:val="Recuadro"/>
            </w:pPr>
            <w:r>
              <w:rPr>
                <w:b/>
                <w:bCs/>
              </w:rPr>
              <w:t xml:space="preserve">Corrección:</w:t>
            </w:r>
            <w:r>
              <w:t xml:space="preserve"> Fue el error más común: aunque sea obvia, al centro va B, C o balanza, o la bola de nieve si es refuerzo.</w:t>
            </w:r>
          </w:p>
          <w:p>
            <w:pPr>
              <w:pStyle w:val="Recuadro"/>
            </w:pPr>
            <w:r>
              <w:t xml:space="preserve">Clase 16 · 01:16:24–01:16:59 · Clase 16 · 01:24:25–01:24:37</w:t>
            </w:r>
          </w:p>
        </w:tc>
      </w:tr>
    </w:tbl>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9C620A" w:sz="20"/>
              <w:bottom w:val="nil"/>
              <w:right w:val="nil"/>
            </w:tcBorders>
            <w:shd w:fill="FBF3DF" w:val="clear"/>
            <w:tcMar>
              <w:top w:type="dxa" w:w="130"/>
              <w:left w:type="dxa" w:w="180"/>
              <w:bottom w:type="dxa" w:w="130"/>
              <w:right w:type="dxa" w:w="180"/>
            </w:tcMar>
          </w:tcPr>
          <w:p>
            <w:pPr>
              <w:pStyle w:val="RecuadroTitulo"/>
            </w:pPr>
            <w:r>
              <w:rPr>
                <w:b/>
                <w:bCs/>
                <w:color w:val="9C620A"/>
              </w:rPr>
              <w:t xml:space="preserve">Error → corrección</w:t>
            </w:r>
          </w:p>
          <w:p>
            <w:pPr>
              <w:pStyle w:val="Recuadro"/>
            </w:pPr>
            <w:r>
              <w:rPr>
                <w:b/>
                <w:bCs/>
              </w:rPr>
              <w:t xml:space="preserve">Error:</w:t>
            </w:r>
            <w:r>
              <w:t xml:space="preserve"> Dibujar líneas sin cabeza de flecha.</w:t>
            </w:r>
          </w:p>
          <w:p>
            <w:pPr>
              <w:pStyle w:val="Recuadro"/>
            </w:pPr>
            <w:r>
              <w:rPr>
                <w:b/>
                <w:bCs/>
              </w:rPr>
              <w:t xml:space="preserve">Corrección:</w:t>
            </w:r>
            <w:r>
              <w:t xml:space="preserve"> Sin cabeza no se distingue la causa (cola) de la consecuencia (cabeza).</w:t>
            </w:r>
          </w:p>
          <w:p>
            <w:pPr>
              <w:pStyle w:val="Recuadro"/>
            </w:pPr>
            <w:r>
              <w:t xml:space="preserve">Clase 16 · 01:25:27–01:26:33</w:t>
            </w:r>
          </w:p>
        </w:tc>
      </w:tr>
    </w:tbl>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9C620A" w:sz="20"/>
              <w:bottom w:val="nil"/>
              <w:right w:val="nil"/>
            </w:tcBorders>
            <w:shd w:fill="FBF3DF" w:val="clear"/>
            <w:tcMar>
              <w:top w:type="dxa" w:w="130"/>
              <w:left w:type="dxa" w:w="180"/>
              <w:bottom w:type="dxa" w:w="130"/>
              <w:right w:type="dxa" w:w="180"/>
            </w:tcMar>
          </w:tcPr>
          <w:p>
            <w:pPr>
              <w:pStyle w:val="RecuadroTitulo"/>
            </w:pPr>
            <w:r>
              <w:rPr>
                <w:b/>
                <w:bCs/>
                <w:color w:val="9C620A"/>
              </w:rPr>
              <w:t xml:space="preserve">Error → corrección</w:t>
            </w:r>
          </w:p>
          <w:p>
            <w:pPr>
              <w:pStyle w:val="Recuadro"/>
            </w:pPr>
            <w:r>
              <w:rPr>
                <w:b/>
                <w:bCs/>
              </w:rPr>
              <w:t xml:space="preserve">Error:</w:t>
            </w:r>
            <w:r>
              <w:t xml:space="preserve"> Agregar variables que el relato no trae, como el sarro.</w:t>
            </w:r>
          </w:p>
          <w:p>
            <w:pPr>
              <w:pStyle w:val="Recuadro"/>
            </w:pPr>
            <w:r>
              <w:rPr>
                <w:b/>
                <w:bCs/>
              </w:rPr>
              <w:t xml:space="preserve">Corrección:</w:t>
            </w:r>
            <w:r>
              <w:t xml:space="preserve"> Se modela sólo la historia pedida; si no, se modela algo más complejo que lo solicitado.</w:t>
            </w:r>
          </w:p>
          <w:p>
            <w:pPr>
              <w:pStyle w:val="Recuadro"/>
            </w:pPr>
            <w:r>
              <w:t xml:space="preserve">Clase 16 · 01:35:20–01:36:16</w:t>
            </w:r>
          </w:p>
        </w:tc>
      </w:tr>
    </w:tbl>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9C620A" w:sz="20"/>
              <w:bottom w:val="nil"/>
              <w:right w:val="nil"/>
            </w:tcBorders>
            <w:shd w:fill="FBF3DF" w:val="clear"/>
            <w:tcMar>
              <w:top w:type="dxa" w:w="130"/>
              <w:left w:type="dxa" w:w="180"/>
              <w:bottom w:type="dxa" w:w="130"/>
              <w:right w:type="dxa" w:w="180"/>
            </w:tcMar>
          </w:tcPr>
          <w:p>
            <w:pPr>
              <w:pStyle w:val="RecuadroTitulo"/>
            </w:pPr>
            <w:r>
              <w:rPr>
                <w:b/>
                <w:bCs/>
                <w:color w:val="9C620A"/>
              </w:rPr>
              <w:t xml:space="preserve">Error → corrección</w:t>
            </w:r>
          </w:p>
          <w:p>
            <w:pPr>
              <w:pStyle w:val="Recuadro"/>
            </w:pPr>
            <w:r>
              <w:rPr>
                <w:b/>
                <w:bCs/>
              </w:rPr>
              <w:t xml:space="preserve">Error:</w:t>
            </w:r>
            <w:r>
              <w:t xml:space="preserve"> Poner «+» de la válvula de flote al flujo de agua y llamarla sólo «válvula de flote».</w:t>
            </w:r>
          </w:p>
          <w:p>
            <w:pPr>
              <w:pStyle w:val="Recuadro"/>
            </w:pPr>
            <w:r>
              <w:rPr>
                <w:b/>
                <w:bCs/>
              </w:rPr>
              <w:t xml:space="preserve">Corrección:</w:t>
            </w:r>
            <w:r>
              <w:t xml:space="preserve"> La relación es «−», y la variable se nombra con precisión: «nivel de válvula de flote».</w:t>
            </w:r>
          </w:p>
          <w:p>
            <w:pPr>
              <w:pStyle w:val="Recuadro"/>
            </w:pPr>
            <w:r>
              <w:t xml:space="preserve">Clase 14 · 00:19:42–00:19:54 · Clase 14 · 00:35:04–00:36:59</w:t>
            </w:r>
          </w:p>
        </w:tc>
      </w:tr>
    </w:tbl>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9C620A" w:sz="20"/>
              <w:bottom w:val="nil"/>
              <w:right w:val="nil"/>
            </w:tcBorders>
            <w:shd w:fill="FBF3DF" w:val="clear"/>
            <w:tcMar>
              <w:top w:type="dxa" w:w="130"/>
              <w:left w:type="dxa" w:w="180"/>
              <w:bottom w:type="dxa" w:w="130"/>
              <w:right w:type="dxa" w:w="180"/>
            </w:tcMar>
          </w:tcPr>
          <w:p>
            <w:pPr>
              <w:pStyle w:val="RecuadroTitulo"/>
            </w:pPr>
            <w:r>
              <w:rPr>
                <w:b/>
                <w:bCs/>
                <w:color w:val="9C620A"/>
              </w:rPr>
              <w:t xml:space="preserve">Error → corrección</w:t>
            </w:r>
          </w:p>
          <w:p>
            <w:pPr>
              <w:pStyle w:val="Recuadro"/>
            </w:pPr>
            <w:r>
              <w:rPr>
                <w:b/>
                <w:bCs/>
              </w:rPr>
              <w:t xml:space="preserve">Error:</w:t>
            </w:r>
            <w:r>
              <w:t xml:space="preserve"> Mezclar las variables con su comportamiento («más necesidad de calor») u omitir variables intermedias.</w:t>
            </w:r>
          </w:p>
          <w:p>
            <w:pPr>
              <w:pStyle w:val="Recuadro"/>
            </w:pPr>
            <w:r>
              <w:rPr>
                <w:b/>
                <w:bCs/>
              </w:rPr>
              <w:t xml:space="preserve">Corrección:</w:t>
            </w:r>
            <w:r>
              <w:t xml:space="preserve"> En el fogón faltaba qué genera el calor, el fogón; en el vaso, «nivel de agua en el vaso» entre flujo de agua y brecha percibida.</w:t>
            </w:r>
          </w:p>
          <w:p>
            <w:pPr>
              <w:pStyle w:val="Recuadro"/>
            </w:pPr>
            <w:r>
              <w:t xml:space="preserve">Clase 13 · 00:52:56–00:53:26 · Clase 13 · 01:18:45–01:19:41</w:t>
            </w:r>
          </w:p>
        </w:tc>
      </w:tr>
    </w:tbl>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9C620A" w:sz="20"/>
              <w:bottom w:val="nil"/>
              <w:right w:val="nil"/>
            </w:tcBorders>
            <w:shd w:fill="FBF3DF" w:val="clear"/>
            <w:tcMar>
              <w:top w:type="dxa" w:w="130"/>
              <w:left w:type="dxa" w:w="180"/>
              <w:bottom w:type="dxa" w:w="130"/>
              <w:right w:type="dxa" w:w="180"/>
            </w:tcMar>
          </w:tcPr>
          <w:p>
            <w:pPr>
              <w:pStyle w:val="RecuadroTitulo"/>
            </w:pPr>
            <w:r>
              <w:rPr>
                <w:b/>
                <w:bCs/>
                <w:color w:val="9C620A"/>
              </w:rPr>
              <w:t xml:space="preserve">Trampa de examen</w:t>
            </w:r>
          </w:p>
          <w:p>
            <w:pPr>
              <w:pStyle w:val="Recuadro"/>
            </w:pPr>
            <w:r>
              <w:t xml:space="preserve">Leer «+» como «aumenta» y «−» como «disminuye». El signo compara tendencias: «+» dice que causa y efecto van en el mismo sentido, también cuando ambos bajan («si no tenemos sed, no tomamos agua»), y «−» que van en sentido opuesto. El signo de cada flecha no sustituye la polaridad del ciclo, que va al centro.</w:t>
            </w:r>
          </w:p>
        </w:tc>
      </w:tr>
    </w:tbl>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Ampliación: lo no dictado en clase</w:t>
            </w:r>
          </w:p>
          <w:p>
            <w:pPr>
              <w:pStyle w:val="Recuadro"/>
            </w:pPr>
            <w:r>
              <w:t xml:space="preserve">Los cinco puntos para contar la historia de un ciclo y las unas diez sugerencias de la lectura para construir estos diagramas quedaron remitidos al material: la clase no los enumeró ni los repasó, y la lámina de notación de los signos se mostró sin leerla.</w:t>
            </w:r>
          </w:p>
        </w:tc>
      </w:tr>
    </w:tbl>
    <w:p>
      <w:pPr>
        <w:pStyle w:val="Heading3"/>
      </w:pPr>
      <w:r>
        <w:t xml:space="preserve">Lecturas y tareas del curso</w:t>
      </w:r>
    </w:p>
    <w:p>
      <w:pPr>
        <w:pStyle w:val="Normal"/>
      </w:pPr>
      <w:r>
        <w:t xml:space="preserve">L-9 · Lineamientos para dibujar diagramas de ciclos causales — Daniel H. Kim. Una página con los diez lineamientos de Kim para dibujar diagramas de ciclos causales: variables nombradas con sustantivos que puedan subir y bajar, el objetivo explícito en los ciclos de balance, los términos intermedios, las consecuencias no buscadas y la regla de contar los negativos y releer el ciclo. El profesor mostró dos de ellos en la clase 16.</w:t>
      </w:r>
    </w:p>
    <w:p>
      <w:pPr>
        <w:pStyle w:val="Normal"/>
      </w:pPr>
      <w:r>
        <w:t xml:space="preserve">L-13 · Retroalimentación y realimentación · Diagramas lineales y sistémicos — Echeverri y Franco (capítulos III a VIII). Diagramas lineales frente a sistémicos con el caso de hervir el agua; el sistema para llenar un vaso con agua (nivel deseado, brecha percibida, grifo, flujo y nivel actual); procesos reforzadores y compensadores con demoras; diagramas de acopio y flujo; diagramas de procesos frente a diagramas sistémicos; y la diferencia entre la retroalimentación de la teoría tradicional de sistemas y la realimentación del pensamiento sistémico. Copia recomprimida del escaneo.</w:t>
      </w:r>
    </w:p>
    <w:p>
      <w:pPr>
        <w:pStyle w:val="Normal"/>
      </w:pPr>
      <w:r>
        <w:t xml:space="preserve">C-2 · Unidad 3 · Desarrollo del pensamiento sistémico complejo (presentación). La presentación completa de la Unidad 3 tal como la compartió el profesor: 129 páginas con las reglas simples del pensamiento sistémico, los mapas DSRP, los diagramas de ciclos causales, la polaridad y los tipos de ciclo, las demoras, los patrones de comportamiento y los ejercicios trabajados en clase. Complementa las 128 láminas capturadas durante las sesiones.</w:t>
      </w:r>
    </w:p>
    <w:p>
      <w:pPr>
        <w:pStyle w:val="Heading3"/>
      </w:pPr>
      <w:r>
        <w:t xml:space="preserve">Práctica de los laboratorios</w:t>
      </w:r>
    </w:p>
    <w:p>
      <w:pPr>
        <w:pStyle w:val="Normal"/>
      </w:pPr>
      <w:r>
        <w:t xml:space="preserve">Los procedimientos del capítulo permiten reconstruir en papel la práctica interactiva. Los laboratorios originales permanecen disponibles en la lección del portal.</w:t>
      </w:r>
    </w:p>
    <w:p>
      <w:pPr>
        <w:pStyle w:val="Normal"/>
        <w:numPr>
          <w:ilvl w:val="0"/>
          <w:numId w:val="2"/>
        </w:numPr>
      </w:pPr>
      <w:r>
        <w:t xml:space="preserve">Construir un diagrama de ciclos causales</w:t>
      </w:r>
    </w:p>
    <w:p>
      <w:pPr>
        <w:pStyle w:val="Normal"/>
        <w:numPr>
          <w:ilvl w:val="0"/>
          <w:numId w:val="2"/>
        </w:numPr>
      </w:pPr>
      <w:r>
        <w:t xml:space="preserve">Los diez lineamientos de Kim, caso por caso</w:t>
      </w:r>
    </w:p>
    <w:p>
      <w:pPr>
        <w:pStyle w:val="Normal"/>
        <w:numPr>
          <w:ilvl w:val="0"/>
          <w:numId w:val="2"/>
        </w:numPr>
      </w:pPr>
      <w:r>
        <w:t xml:space="preserve">El vaso de agua: objetivo, brecha y acción</w:t>
      </w:r>
    </w:p>
    <w:p>
      <w:pPr>
        <w:pStyle w:val="Normal"/>
        <w:numPr>
          <w:ilvl w:val="0"/>
          <w:numId w:val="2"/>
        </w:numPr>
      </w:pPr>
      <w:r>
        <w:t xml:space="preserve">Ciclos de clase: leer flechas y signos</w:t>
      </w:r>
    </w:p>
    <w:p>
      <w:pPr>
        <w:pStyle w:val="Heading3"/>
      </w:pPr>
      <w:r>
        <w:t xml:space="preserve">Autoevaluación</w:t>
      </w:r>
    </w:p>
    <w:p>
      <w:pPr>
        <w:pStyle w:val="Normal"/>
      </w:pPr>
      <w:r>
        <w:t xml:space="preserve">Resuelva sin consultar las respuestas. Compruebe al final del capítulo por qué cada opción es correcta o incorrecta.</w:t>
      </w:r>
    </w:p>
    <w:p>
      <w:pPr>
        <w:pStyle w:val="Heading3"/>
      </w:pPr>
      <w:bookmarkStart w:name="b_pregunta_auto_3_3_1" w:id="2625"/>
      <w:r>
        <w:t xml:space="preserve">3.3-A1 · ¿Qué afirma ∂Y/∂X &lt; 0 en la notación de C-2, página 79?</w:t>
      </w:r>
      <w:bookmarkEnd w:id="2625"/>
    </w:p>
    <w:p>
      <w:pPr>
        <w:pStyle w:val="Normal"/>
      </w:pPr>
      <w:r>
        <w:t xml:space="preserve">a) Que aumentar X reduce Y respecto de lo que habría ocurrido con las demás causas constantes</w:t>
      </w:r>
    </w:p>
    <w:p>
      <w:pPr>
        <w:pStyle w:val="Normal"/>
      </w:pPr>
      <w:r>
        <w:t xml:space="preserve">b) Que Y siempre disminuye con el tiempo</w:t>
      </w:r>
    </w:p>
    <w:p>
      <w:pPr>
        <w:pStyle w:val="Normal"/>
      </w:pPr>
      <w:r>
        <w:t xml:space="preserve">c) Que X e Y no están relacionados</w:t>
      </w:r>
    </w:p>
    <w:p>
      <w:pPr>
        <w:pStyle w:val="Normal"/>
      </w:pPr>
      <w:r>
        <w:t xml:space="preserve">d) Que todo ciclo que incluya esa flecha es B</w:t>
      </w:r>
    </w:p>
    <w:p>
      <w:pPr>
        <w:pStyle w:val="Heading3"/>
      </w:pPr>
      <w:bookmarkStart w:name="b_pregunta_auto_3_3_2" w:id="2626"/>
      <w:r>
        <w:t xml:space="preserve">3.3-A2 · ¿Cómo se lee frustración →− resultados sin confundir polaridad con trayectoria?</w:t>
      </w:r>
      <w:bookmarkEnd w:id="2626"/>
    </w:p>
    <w:p>
      <w:pPr>
        <w:pStyle w:val="Normal"/>
      </w:pPr>
      <w:r>
        <w:t xml:space="preserve">a) Los resultados deben caer en todo periodo sin importar otras causas</w:t>
      </w:r>
    </w:p>
    <w:p>
      <w:pPr>
        <w:pStyle w:val="Normal"/>
      </w:pPr>
      <w:r>
        <w:t xml:space="preserve">b) Más frustración tiende a reducir resultados frente al caso comparable, aunque otras causas pueden compensar el efecto</w:t>
      </w:r>
    </w:p>
    <w:p>
      <w:pPr>
        <w:pStyle w:val="Normal"/>
      </w:pPr>
      <w:r>
        <w:t xml:space="preserve">c) La frustración es siempre una constante</w:t>
      </w:r>
    </w:p>
    <w:p>
      <w:pPr>
        <w:pStyle w:val="Normal"/>
      </w:pPr>
      <w:r>
        <w:t xml:space="preserve">d) Una relación negativa significa que ambas variables disminuyen juntas</w:t>
      </w:r>
    </w:p>
    <w:p>
      <w:pPr>
        <w:pStyle w:val="Heading3"/>
      </w:pPr>
      <w:bookmarkStart w:name="b_pregunta_auto_3_3_3" w:id="2627"/>
      <w:r>
        <w:t xml:space="preserve">3.3-A3 · ¿Qué afirma una línea entre dos conceptos cuando no tiene cabeza de flecha?</w:t>
      </w:r>
      <w:bookmarkEnd w:id="2627"/>
    </w:p>
    <w:p>
      <w:pPr>
        <w:pStyle w:val="Normal"/>
      </w:pPr>
      <w:r>
        <w:t xml:space="preserve">a) Que no existe ninguna relación</w:t>
      </w:r>
    </w:p>
    <w:p>
      <w:pPr>
        <w:pStyle w:val="Normal"/>
      </w:pPr>
      <w:r>
        <w:t xml:space="preserve">b) Que los dos forman necesariamente un ciclo de balance</w:t>
      </w:r>
    </w:p>
    <w:p>
      <w:pPr>
        <w:pStyle w:val="Normal"/>
      </w:pPr>
      <w:r>
        <w:t xml:space="preserve">c) Que se relacionan, dejando indeterminada la dirección causal</w:t>
      </w:r>
    </w:p>
    <w:p>
      <w:pPr>
        <w:pStyle w:val="Normal"/>
      </w:pPr>
      <w:r>
        <w:t xml:space="preserve">d) Que el concepto izquierdo causa al derecho por su posición</w:t>
      </w:r>
    </w:p>
    <w:p>
      <w:pPr>
        <w:pStyle w:val="Heading3"/>
      </w:pPr>
      <w:bookmarkStart w:name="b_pregunta_auto_3_3_4" w:id="2628"/>
      <w:r>
        <w:t xml:space="preserve">3.3-A4 · ¿Por qué el banco canónico de cuatro negativas y la variante de tres variables con dos negativas son R?</w:t>
      </w:r>
      <w:bookmarkEnd w:id="2628"/>
    </w:p>
    <w:p>
      <w:pPr>
        <w:pStyle w:val="Normal"/>
      </w:pPr>
      <w:r>
        <w:t xml:space="preserve">a) Porque cualquier negativa produce balance</w:t>
      </w:r>
    </w:p>
    <w:p>
      <w:pPr>
        <w:pStyle w:val="Normal"/>
      </w:pPr>
      <w:r>
        <w:t xml:space="preserve">b) Porque perseguir un objetivo decide la polaridad</w:t>
      </w:r>
    </w:p>
    <w:p>
      <w:pPr>
        <w:pStyle w:val="Normal"/>
      </w:pPr>
      <w:r>
        <w:t xml:space="preserve">c) Porque deben tener el mismo número de variables</w:t>
      </w:r>
    </w:p>
    <w:p>
      <w:pPr>
        <w:pStyle w:val="Normal"/>
      </w:pPr>
      <w:r>
        <w:t xml:space="preserve">d) Porque ambos recorridos tienen un número par de relaciones negativas</w:t>
      </w:r>
    </w:p>
    <w:p>
      <w:pPr>
        <w:pStyle w:val="Heading3"/>
      </w:pPr>
      <w:bookmarkStart w:name="b_pregunta_auto_3_3_5" w:id="2629"/>
      <w:r>
        <w:t xml:space="preserve">3.3-A5 · En un diagrama de ciclos causales, una flecha con polaridad «+» entre A y B significa que…</w:t>
      </w:r>
      <w:bookmarkEnd w:id="2629"/>
    </w:p>
    <w:p>
      <w:pPr>
        <w:pStyle w:val="Normal"/>
      </w:pPr>
      <w:r>
        <w:t xml:space="preserve">a) A y B cambian en el mismo sentido (si A sube, B sube por encima de lo que habría sido)</w:t>
      </w:r>
    </w:p>
    <w:p>
      <w:pPr>
        <w:pStyle w:val="Normal"/>
      </w:pPr>
      <w:r>
        <w:t xml:space="preserve">b) B siempre aumenta, pase lo que pase con A</w:t>
      </w:r>
    </w:p>
    <w:p>
      <w:pPr>
        <w:pStyle w:val="Normal"/>
      </w:pPr>
      <w:r>
        <w:t xml:space="preserve">c) A es algo «bueno» para el sistema</w:t>
      </w:r>
    </w:p>
    <w:p>
      <w:pPr>
        <w:pStyle w:val="Normal"/>
      </w:pPr>
      <w:r>
        <w:t xml:space="preserve">d) A y B están correlacionadas, sin implicar causa</w:t>
      </w:r>
    </w:p>
    <w:p>
      <w:pPr>
        <w:pStyle w:val="Heading3"/>
      </w:pPr>
      <w:bookmarkStart w:name="b_pregunta_auto_3_3_6" w:id="2630"/>
      <w:r>
        <w:t xml:space="preserve">3.3-A6 · Beber agua reduce la sed. ¿Qué polaridad lleva la flecha «Beber agua → Sed»?</w:t>
      </w:r>
      <w:bookmarkEnd w:id="2630"/>
    </w:p>
    <w:p>
      <w:pPr>
        <w:pStyle w:val="Normal"/>
      </w:pPr>
      <w:r>
        <w:t xml:space="preserve">a) Positiva (+)</w:t>
      </w:r>
    </w:p>
    <w:p>
      <w:pPr>
        <w:pStyle w:val="Normal"/>
      </w:pPr>
      <w:r>
        <w:t xml:space="preserve">b) Negativa (−)</w:t>
      </w:r>
    </w:p>
    <w:p>
      <w:pPr>
        <w:pStyle w:val="Normal"/>
      </w:pPr>
      <w:r>
        <w:t xml:space="preserve">c) Ninguna, no hay causa</w:t>
      </w:r>
    </w:p>
    <w:p>
      <w:pPr>
        <w:pStyle w:val="Normal"/>
      </w:pPr>
      <w:r>
        <w:t xml:space="preserve">d) Depende del clima</w:t>
      </w:r>
    </w:p>
    <w:p>
      <w:pPr>
        <w:pStyle w:val="Heading3"/>
      </w:pPr>
      <w:bookmarkStart w:name="b_pregunta_auto_3_3_7" w:id="2631"/>
      <w:r>
        <w:t xml:space="preserve">3.3-A7 · Regla de paridad: un bucle cerrado con un número PAR de flechas negativas (incluido cero) es un bucle de…</w:t>
      </w:r>
      <w:bookmarkEnd w:id="2631"/>
    </w:p>
    <w:p>
      <w:pPr>
        <w:pStyle w:val="Normal"/>
      </w:pPr>
      <w:r>
        <w:t xml:space="preserve">a) Refuerzo (R)</w:t>
      </w:r>
    </w:p>
    <w:p>
      <w:pPr>
        <w:pStyle w:val="Normal"/>
      </w:pPr>
      <w:r>
        <w:t xml:space="preserve">b) Balance (B)</w:t>
      </w:r>
    </w:p>
    <w:p>
      <w:pPr>
        <w:pStyle w:val="Normal"/>
      </w:pPr>
      <w:r>
        <w:t xml:space="preserve">c) Demora</w:t>
      </w:r>
    </w:p>
    <w:p>
      <w:pPr>
        <w:pStyle w:val="Normal"/>
      </w:pPr>
      <w:r>
        <w:t xml:space="preserve">d) No se puede saber sin simular</w:t>
      </w:r>
    </w:p>
    <w:p>
      <w:pPr>
        <w:pStyle w:val="Heading3"/>
      </w:pPr>
      <w:bookmarkStart w:name="b_pregunta_auto_3_3_8" w:id="2632"/>
      <w:r>
        <w:t xml:space="preserve">3.3-A8 · Un bucle: «Sed → Beber agua» (+) y «Beber agua → Sed» (−). ¿De qué tipo es?</w:t>
      </w:r>
      <w:bookmarkEnd w:id="2632"/>
    </w:p>
    <w:p>
      <w:pPr>
        <w:pStyle w:val="Normal"/>
      </w:pPr>
      <w:r>
        <w:t xml:space="preserve">a) De refuerzo: la sed se dispara sola</w:t>
      </w:r>
    </w:p>
    <w:p>
      <w:pPr>
        <w:pStyle w:val="Normal"/>
      </w:pPr>
      <w:r>
        <w:t xml:space="preserve">b) De balance: busca la meta «sin sed» y se estabiliza</w:t>
      </w:r>
    </w:p>
    <w:p>
      <w:pPr>
        <w:pStyle w:val="Normal"/>
      </w:pPr>
      <w:r>
        <w:t xml:space="preserve">c) De refuerzo: dos flechas siempre refuerzan</w:t>
      </w:r>
    </w:p>
    <w:p>
      <w:pPr>
        <w:pStyle w:val="Normal"/>
      </w:pPr>
      <w:r>
        <w:t xml:space="preserve">d) No es un bucle porque tiene un signo negativo</w:t>
      </w:r>
    </w:p>
    <w:p>
      <w:pPr>
        <w:pStyle w:val="Heading3"/>
      </w:pPr>
      <w:bookmarkStart w:name="b_pregunta_auto_3_3_9" w:id="2633"/>
      <w:r>
        <w:t xml:space="preserve">3.3-A9 · El comportamiento típico de un bucle de REFUERZO es…</w:t>
      </w:r>
      <w:bookmarkEnd w:id="2633"/>
    </w:p>
    <w:p>
      <w:pPr>
        <w:pStyle w:val="Normal"/>
      </w:pPr>
      <w:r>
        <w:t xml:space="preserve">a) Estabilizarse alrededor de una meta</w:t>
      </w:r>
    </w:p>
    <w:p>
      <w:pPr>
        <w:pStyle w:val="Normal"/>
      </w:pPr>
      <w:r>
        <w:t xml:space="preserve">b) Oscilar sin cambiar de nivel</w:t>
      </w:r>
    </w:p>
    <w:p>
      <w:pPr>
        <w:pStyle w:val="Normal"/>
      </w:pPr>
      <w:r>
        <w:t xml:space="preserve">c) Crecimiento o colapso exponencial (círculo virtuoso o vicioso)</w:t>
      </w:r>
    </w:p>
    <w:p>
      <w:pPr>
        <w:pStyle w:val="Normal"/>
      </w:pPr>
      <w:r>
        <w:t xml:space="preserve">d) Quedarse siempre constante</w:t>
      </w:r>
    </w:p>
    <w:p>
      <w:pPr>
        <w:pStyle w:val="Heading3"/>
      </w:pPr>
      <w:bookmarkStart w:name="b_pregunta_auto_3_3_10" w:id="2634"/>
      <w:r>
        <w:t xml:space="preserve">3.3-A10 · ¿Cuál de estos NO sirve como variable de un diagrama de ciclos causales?</w:t>
      </w:r>
      <w:bookmarkEnd w:id="2634"/>
    </w:p>
    <w:p>
      <w:pPr>
        <w:pStyle w:val="Normal"/>
      </w:pPr>
      <w:r>
        <w:t xml:space="preserve">a) Nivel de estrés</w:t>
      </w:r>
    </w:p>
    <w:p>
      <w:pPr>
        <w:pStyle w:val="Normal"/>
      </w:pPr>
      <w:r>
        <w:t xml:space="preserve">b) Número de clientes</w:t>
      </w:r>
    </w:p>
    <w:p>
      <w:pPr>
        <w:pStyle w:val="Normal"/>
      </w:pPr>
      <w:r>
        <w:t xml:space="preserve">c) Cerrar la fábrica</w:t>
      </w:r>
    </w:p>
    <w:p>
      <w:pPr>
        <w:pStyle w:val="Normal"/>
      </w:pPr>
      <w:r>
        <w:t xml:space="preserve">d) Temperatura del agua</w:t>
      </w:r>
    </w:p>
    <w:p>
      <w:pPr>
        <w:pStyle w:val="Heading3"/>
      </w:pPr>
      <w:bookmarkStart w:name="b_pregunta_auto_3_3_11" w:id="2635"/>
      <w:r>
        <w:t xml:space="preserve">3.3-A11 · En el bucle del termostato: «Temperatura → Brecha con la deseada» (−), «Brecha → Calefacción» (+), «Calefacción → Temperatura» (+). ¿Qué tipo de bucle es y por qué?</w:t>
      </w:r>
      <w:bookmarkEnd w:id="2635"/>
    </w:p>
    <w:p>
      <w:pPr>
        <w:pStyle w:val="Normal"/>
      </w:pPr>
      <w:r>
        <w:t xml:space="preserve">a) Refuerzo, porque hay dos signos «+»</w:t>
      </w:r>
    </w:p>
    <w:p>
      <w:pPr>
        <w:pStyle w:val="Normal"/>
      </w:pPr>
      <w:r>
        <w:t xml:space="preserve">b) Balance, porque tiene un número impar de signos negativos (uno)</w:t>
      </w:r>
    </w:p>
    <w:p>
      <w:pPr>
        <w:pStyle w:val="Normal"/>
      </w:pPr>
      <w:r>
        <w:t xml:space="preserve">c) Refuerzo, porque el termostato calienta</w:t>
      </w:r>
    </w:p>
    <w:p>
      <w:pPr>
        <w:pStyle w:val="Normal"/>
      </w:pPr>
      <w:r>
        <w:t xml:space="preserve">d) Balance, porque todos los bucles con tres flechas lo son</w:t>
      </w:r>
    </w:p>
    <w:p>
      <w:pPr>
        <w:pStyle w:val="Heading3"/>
      </w:pPr>
      <w:bookmarkStart w:name="b_pregunta_auto_3_3_12" w:id="2636"/>
      <w:r>
        <w:t xml:space="preserve">3.3-A12 · Un diagrama dice «Aumentar la publicidad → Ventas → Motivación del equipo → Aumentar la publicidad». ¿Qué lineamiento de Kim se rompe y cómo se corrige?</w:t>
      </w:r>
      <w:bookmarkEnd w:id="2636"/>
    </w:p>
    <w:p>
      <w:pPr>
        <w:pStyle w:val="Normal"/>
      </w:pPr>
      <w:r>
        <w:t xml:space="preserve">a) El de contar los negativos: hay que cambiar la letra a B</w:t>
      </w:r>
    </w:p>
    <w:p>
      <w:pPr>
        <w:pStyle w:val="Normal"/>
      </w:pPr>
      <w:r>
        <w:t xml:space="preserve">b) El de usar sustantivos: la acción va en la flecha, así que la variable debe ser «Publicidad»</w:t>
      </w:r>
    </w:p>
    <w:p>
      <w:pPr>
        <w:pStyle w:val="Normal"/>
      </w:pPr>
      <w:r>
        <w:t xml:space="preserve">c) El del objetivo explícito: falta «Publicidad deseada»</w:t>
      </w:r>
    </w:p>
    <w:p>
      <w:pPr>
        <w:pStyle w:val="Normal"/>
      </w:pPr>
      <w:r>
        <w:t xml:space="preserve">d) Ninguno: el diagrama está bien</w:t>
      </w:r>
    </w:p>
    <w:p>
      <w:pPr>
        <w:pStyle w:val="Heading3"/>
      </w:pPr>
      <w:bookmarkStart w:name="b_pregunta_auto_3_3_13" w:id="2637"/>
      <w:r>
        <w:t xml:space="preserve">3.3-A13 · Un ciclo de balance muestra Calidad → (−) Acciones de mejora → (+) Calidad y nadie entiende por qué la calidad frena la mejora. Según Kim, ¿qué falta?</w:t>
      </w:r>
      <w:bookmarkEnd w:id="2637"/>
    </w:p>
    <w:p>
      <w:pPr>
        <w:pStyle w:val="Normal"/>
      </w:pPr>
      <w:r>
        <w:t xml:space="preserve">a) Una demora en la flecha negativa</w:t>
      </w:r>
    </w:p>
    <w:p>
      <w:pPr>
        <w:pStyle w:val="Normal"/>
      </w:pPr>
      <w:r>
        <w:t xml:space="preserve">b) Cambiar la letra a R</w:t>
      </w:r>
    </w:p>
    <w:p>
      <w:pPr>
        <w:pStyle w:val="Normal"/>
      </w:pPr>
      <w:r>
        <w:t xml:space="preserve">c) Hacer explícito el objetivo: «Calidad deseada» y la «Diferencia en calidad» que controla las acciones</w:t>
      </w:r>
    </w:p>
    <w:p>
      <w:pPr>
        <w:pStyle w:val="Normal"/>
      </w:pPr>
      <w:r>
        <w:t xml:space="preserve">d) Quitar la variable «Calidad»</w:t>
      </w:r>
    </w:p>
    <w:p>
      <w:pPr>
        <w:pStyle w:val="Heading3"/>
      </w:pPr>
      <w:bookmarkStart w:name="b_pregunta_auto_3_3_14" w:id="2638"/>
      <w:r>
        <w:t xml:space="preserve">3.3-A14 · El profesor mostró en la clase 16 dos lineamientos de la hoja de Kim. ¿Cuáles?</w:t>
      </w:r>
      <w:bookmarkEnd w:id="2638"/>
    </w:p>
    <w:p>
      <w:pPr>
        <w:pStyle w:val="Normal"/>
      </w:pPr>
      <w:r>
        <w:t xml:space="preserve">a) Usar sustantivos y usar cantidades que varían</w:t>
      </w:r>
    </w:p>
    <w:p>
      <w:pPr>
        <w:pStyle w:val="Normal"/>
      </w:pPr>
      <w:r>
        <w:t xml:space="preserve">b) Insertar un término intermedio cuando una relación necesita demasiada explicación, y contar los negativos del ciclo releyéndolo después de asignar la letra</w:t>
      </w:r>
    </w:p>
    <w:p>
      <w:pPr>
        <w:pStyle w:val="Normal"/>
      </w:pPr>
      <w:r>
        <w:t xml:space="preserve">c) Distinguir lo real de lo percibido y agregar consecuencias en un término</w:t>
      </w:r>
    </w:p>
    <w:p>
      <w:pPr>
        <w:pStyle w:val="Normal"/>
      </w:pPr>
      <w:r>
        <w:t xml:space="preserve">d) Dibujar ciclos grandes para los procesos lentos y pensar en las consecuencias no intencionadas</w:t>
      </w:r>
    </w:p>
    <w:p>
      <w:pPr>
        <w:pStyle w:val="Heading3"/>
      </w:pPr>
      <w:bookmarkStart w:name="b_pregunta_auto_3_3_15" w:id="2639"/>
      <w:r>
        <w:t xml:space="preserve">3.3-A15 · Según Echeverri y Franco (siguiendo a Senge), ¿qué cinco variables forman el sistema para llenar un vaso con agua?</w:t>
      </w:r>
      <w:bookmarkEnd w:id="2639"/>
    </w:p>
    <w:p>
      <w:pPr>
        <w:pStyle w:val="Normal"/>
      </w:pPr>
      <w:r>
        <w:t xml:space="preserve">a) Vaso, agua, mano, grifo y mesa</w:t>
      </w:r>
    </w:p>
    <w:p>
      <w:pPr>
        <w:pStyle w:val="Normal"/>
      </w:pPr>
      <w:r>
        <w:t xml:space="preserve">b) Nivel de agua deseado, nivel actual, brecha percibida, posición del grifo y flujo de agua</w:t>
      </w:r>
    </w:p>
    <w:p>
      <w:pPr>
        <w:pStyle w:val="Normal"/>
      </w:pPr>
      <w:r>
        <w:t xml:space="preserve">c) Sed, tomar agua, contenido de agua en el cuerpo, vaso y grifo</w:t>
      </w:r>
    </w:p>
    <w:p>
      <w:pPr>
        <w:pStyle w:val="Normal"/>
      </w:pPr>
      <w:r>
        <w:t xml:space="preserve">d) Objetivo, acción, resultado, evaluación y corrección</w:t>
      </w:r>
    </w:p>
    <w:p>
      <w:pPr>
        <w:pStyle w:val="Heading3"/>
      </w:pPr>
      <w:bookmarkStart w:name="b_pregunta_auto_3_3_16" w:id="2640"/>
      <w:r>
        <w:t xml:space="preserve">3.3-A16 · ¿Cuál es, según Echeverri y Franco, la clave para leer un diagrama sistémico?</w:t>
      </w:r>
      <w:bookmarkEnd w:id="2640"/>
    </w:p>
    <w:p>
      <w:pPr>
        <w:pStyle w:val="Normal"/>
      </w:pPr>
      <w:r>
        <w:t xml:space="preserve">a) Empezar siempre por la variable de arriba y leer hacia abajo</w:t>
      </w:r>
    </w:p>
    <w:p>
      <w:pPr>
        <w:pStyle w:val="Normal"/>
      </w:pPr>
      <w:r>
        <w:t xml:space="preserve">b) Ver círculos de influencia en vez de líneas rectas: cada círculo cuenta una historia</w:t>
      </w:r>
    </w:p>
    <w:p>
      <w:pPr>
        <w:pStyle w:val="Normal"/>
      </w:pPr>
      <w:r>
        <w:t xml:space="preserve">c) Contar las flechas: a más flechas, más sistémico es el diagrama</w:t>
      </w:r>
    </w:p>
    <w:p>
      <w:pPr>
        <w:pStyle w:val="Normal"/>
      </w:pPr>
      <w:r>
        <w:t xml:space="preserve">d) Identificar la causa única que origina todo lo demás</w:t>
      </w:r>
    </w:p>
    <w:p>
      <w:pPr>
        <w:pStyle w:val="Heading3"/>
      </w:pPr>
      <w:r>
        <w:t xml:space="preserve">Ejercicios de aplicación</w:t>
      </w:r>
    </w:p>
    <w:p>
      <w:pPr>
        <w:pStyle w:val="Heading3"/>
      </w:pPr>
      <w:bookmarkStart w:name="b_pregunta_ej_P02" w:id="2641"/>
      <w:r>
        <w:t xml:space="preserve">3.3-E1 · La variable depende del modelo</w:t>
      </w:r>
      <w:bookmarkEnd w:id="2641"/>
    </w:p>
    <w:p>
      <w:pPr>
        <w:pStyle w:val="Normal"/>
      </w:pPr>
      <w:r>
        <w:t xml:space="preserve">En una epidemia sin recuperación, compara representar vulnerables como PT − PI y representarlos mediante INTEG. ¿Qué supuestos permiten la primera opción?</w:t>
      </w:r>
    </w:p>
    <w:p>
      <w:pPr>
        <w:pStyle w:val="Heading3"/>
      </w:pPr>
      <w:bookmarkStart w:name="b_pregunta_ej_P05" w:id="2642"/>
      <w:r>
        <w:t xml:space="preserve">3.3-E2 · Polaridad con disminuciones</w:t>
      </w:r>
      <w:bookmarkEnd w:id="2642"/>
    </w:p>
    <w:p>
      <w:pPr>
        <w:pStyle w:val="Normal"/>
      </w:pPr>
      <w:r>
        <w:t xml:space="preserve">Menos recursos producen menos resultados; menos préstamos dejan más libros disponibles, manteniendo iguales las devoluciones. Asigna los signos y explica por qué son diferentes.</w:t>
      </w:r>
    </w:p>
    <w:p>
      <w:pPr>
        <w:pStyle w:val="Heading3"/>
      </w:pPr>
      <w:bookmarkStart w:name="b_solucionario_3_3" w:id="2643"/>
      <w:r>
        <w:t xml:space="preserve">Solucionario del capítulo</w:t>
      </w:r>
      <w:bookmarkEnd w:id="2643"/>
    </w:p>
    <w:p>
      <w:pPr>
        <w:pStyle w:val="Heading3"/>
      </w:pPr>
      <w:r>
        <w:t xml:space="preserve">3.3-A1</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a) Que aumentar X reduce Y respecto de lo que habría ocurrido con las demás causas constantes</w:t>
            </w:r>
          </w:p>
        </w:tc>
      </w:tr>
    </w:tbl>
    <w:p>
      <w:pPr>
        <w:pStyle w:val="Normal"/>
      </w:pPr>
      <w:r>
        <w:t xml:space="preserve">Que aumentar X reduce Y respecto de lo que habría ocurrido con las demás causas constantes</w:t>
      </w:r>
    </w:p>
    <w:p>
      <w:pPr>
        <w:pStyle w:val="Fuente"/>
      </w:pPr>
      <w:r>
        <w:t xml:space="preserve">Presentación de la unidad 3 (C-2), pág. 79 y 101 · Clase 16 · 00:47:21–00:48:23</w:t>
      </w:r>
    </w:p>
    <w:p>
      <w:pPr>
        <w:pStyle w:val="Heading3"/>
      </w:pPr>
      <w:r>
        <w:t xml:space="preserve">3.3-A2</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b) Más frustración tiende a reducir resultados frente al caso comparable, aunque otras causas pueden compensar el efecto</w:t>
            </w:r>
          </w:p>
        </w:tc>
      </w:tr>
    </w:tbl>
    <w:p>
      <w:pPr>
        <w:pStyle w:val="Normal"/>
      </w:pPr>
      <w:r>
        <w:t xml:space="preserve">Más frustración tiende a reducir resultados frente al caso comparable, aunque otras causas pueden compensar el efecto</w:t>
      </w:r>
    </w:p>
    <w:p>
      <w:pPr>
        <w:pStyle w:val="Fuente"/>
      </w:pPr>
      <w:r>
        <w:t xml:space="preserve">Presentación de la unidad 3 (C-2), pág. 79 y 101 · Clase 16 · 00:47:21–00:48:23</w:t>
      </w:r>
    </w:p>
    <w:p>
      <w:pPr>
        <w:pStyle w:val="Heading3"/>
      </w:pPr>
      <w:r>
        <w:t xml:space="preserve">3.3-A3</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c) Que se relacionan, dejando indeterminada la dirección causal</w:t>
            </w:r>
          </w:p>
        </w:tc>
      </w:tr>
    </w:tbl>
    <w:p>
      <w:pPr>
        <w:pStyle w:val="Normal"/>
      </w:pPr>
      <w:r>
        <w:t xml:space="preserve">Una línea evidencia R. La cabeza permite leer causa y efecto; omitirla deja esa dirección sin determinar, sin borrar la conexión.</w:t>
      </w:r>
    </w:p>
    <w:p>
      <w:pPr>
        <w:pStyle w:val="Fuente"/>
      </w:pPr>
      <w:r>
        <w:t xml:space="preserve">Presentación de la unidad 3 (C-2), pág. 79 y 101 · Clase 16 · 00:47:21–00:48:23</w:t>
      </w:r>
    </w:p>
    <w:p>
      <w:pPr>
        <w:pStyle w:val="Heading3"/>
      </w:pPr>
      <w:r>
        <w:t xml:space="preserve">3.3-A4</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d) Porque ambos recorridos tienen un número par de relaciones negativas</w:t>
            </w:r>
          </w:p>
        </w:tc>
      </w:tr>
    </w:tbl>
    <w:p>
      <w:pPr>
        <w:pStyle w:val="Normal"/>
      </w:pPr>
      <w:r>
        <w:t xml:space="preserve">Porque ambos recorridos tienen un número par de relaciones negativas</w:t>
      </w:r>
    </w:p>
    <w:p>
      <w:pPr>
        <w:pStyle w:val="Fuente"/>
      </w:pPr>
      <w:r>
        <w:t xml:space="preserve">Presentación de la unidad 3 (C-2), pág. 79 y 101 · Clase 16 · 00:47:21–00:48:23</w:t>
      </w:r>
    </w:p>
    <w:p>
      <w:pPr>
        <w:pStyle w:val="Heading3"/>
      </w:pPr>
      <w:r>
        <w:t xml:space="preserve">3.3-A5</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a) A y B cambian en el mismo sentido (si A sube, B sube por encima de lo que habría sido)</w:t>
            </w:r>
          </w:p>
        </w:tc>
      </w:tr>
    </w:tbl>
    <w:p>
      <w:pPr>
        <w:pStyle w:val="Normal"/>
      </w:pPr>
      <w:r>
        <w:t xml:space="preserve">La polaridad «+» indica que, si la causa sube, el efecto sube (y si baja, baja) por encima/por debajo de lo que habría sido, ceteris paribus. No es un juicio de valor ni una simple correlación.</w:t>
      </w:r>
    </w:p>
    <w:p>
      <w:pPr>
        <w:pStyle w:val="Normal"/>
      </w:pPr>
      <w:r>
        <w:t xml:space="preserve">a) Correcto: «+» = mismo sentido, manteniendo lo demás constante.</w:t>
      </w:r>
    </w:p>
    <w:p>
      <w:pPr>
        <w:pStyle w:val="Normal"/>
      </w:pPr>
      <w:r>
        <w:t xml:space="preserve">b) No: el signo describe la dirección del cambio, no un aumento garantizado.</w:t>
      </w:r>
    </w:p>
    <w:p>
      <w:pPr>
        <w:pStyle w:val="Normal"/>
      </w:pPr>
      <w:r>
        <w:t xml:space="preserve">c) No: el signo no es un juicio de valor; «+» no significa deseable.</w:t>
      </w:r>
    </w:p>
    <w:p>
      <w:pPr>
        <w:pStyle w:val="Normal"/>
      </w:pPr>
      <w:r>
        <w:t xml:space="preserve">d) No: la flecha afirma causa, no mera correlación.</w:t>
      </w:r>
    </w:p>
    <w:p>
      <w:pPr>
        <w:pStyle w:val="Fuente"/>
      </w:pPr>
      <w:r>
        <w:t xml:space="preserve">Sterman, Business Dynamics</w:t>
      </w:r>
    </w:p>
    <w:p>
      <w:pPr>
        <w:pStyle w:val="Heading3"/>
      </w:pPr>
      <w:r>
        <w:t xml:space="preserve">3.3-A6</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b) Negativa (−)</w:t>
            </w:r>
          </w:p>
        </w:tc>
      </w:tr>
    </w:tbl>
    <w:p>
      <w:pPr>
        <w:pStyle w:val="Normal"/>
      </w:pPr>
      <w:r>
        <w:t xml:space="preserve">Cuando la causa sube y el efecto baja, la flecha es de sentido opuesto: polaridad negativa (−). Más agua bebida → menos sed.</w:t>
      </w:r>
    </w:p>
    <w:p>
      <w:pPr>
        <w:pStyle w:val="Heading3"/>
      </w:pPr>
      <w:r>
        <w:t xml:space="preserve">3.3-A7</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a) Refuerzo (R)</w:t>
            </w:r>
          </w:p>
        </w:tc>
      </w:tr>
    </w:tbl>
    <w:p>
      <w:pPr>
        <w:pStyle w:val="Normal"/>
      </w:pPr>
      <w:r>
        <w:t xml:space="preserve">Contando los signos: par de negativos (0, 2, 4…) → bucle de refuerzo (R); impar → bucle de balance (B). Es lo mismo que multiplicar los signos (+ = +1, − = −1): producto positivo → R.</w:t>
      </w:r>
    </w:p>
    <w:p>
      <w:pPr>
        <w:pStyle w:val="Normal"/>
      </w:pPr>
      <w:r>
        <w:t xml:space="preserve">a) Correcto: par de negativos → refuerzo. Equivale a que el producto de los signos sea positivo.</w:t>
      </w:r>
    </w:p>
    <w:p>
      <w:pPr>
        <w:pStyle w:val="Normal"/>
      </w:pPr>
      <w:r>
        <w:t xml:space="preserve">b) No: el balance aparece con un número impar de negativos.</w:t>
      </w:r>
    </w:p>
    <w:p>
      <w:pPr>
        <w:pStyle w:val="Normal"/>
      </w:pPr>
      <w:r>
        <w:t xml:space="preserve">c) No: la demora es otro elemento (retraso), no la polaridad del bucle.</w:t>
      </w:r>
    </w:p>
    <w:p>
      <w:pPr>
        <w:pStyle w:val="Normal"/>
      </w:pPr>
      <w:r>
        <w:t xml:space="preserve">d) La polaridad del bucle se lee directo de los signos, sin simular.</w:t>
      </w:r>
    </w:p>
    <w:p>
      <w:pPr>
        <w:pStyle w:val="Heading3"/>
      </w:pPr>
      <w:r>
        <w:t xml:space="preserve">3.3-A8</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b) De balance: busca la meta «sin sed» y se estabiliza</w:t>
            </w:r>
          </w:p>
        </w:tc>
      </w:tr>
    </w:tbl>
    <w:p>
      <w:pPr>
        <w:pStyle w:val="Normal"/>
      </w:pPr>
      <w:r>
        <w:t xml:space="preserve">Hay un solo signo negativo (impar) → bucle de balance. Persigue una meta (saciar la sed) y se autorregula, apagándose cuando la alcanza.</w:t>
      </w:r>
    </w:p>
    <w:p>
      <w:pPr>
        <w:pStyle w:val="Heading3"/>
      </w:pPr>
      <w:r>
        <w:t xml:space="preserve">3.3-A9</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c) Crecimiento o colapso exponencial (círculo virtuoso o vicioso)</w:t>
            </w:r>
          </w:p>
        </w:tc>
      </w:tr>
    </w:tbl>
    <w:p>
      <w:pPr>
        <w:pStyle w:val="Normal"/>
      </w:pPr>
      <w:r>
        <w:t xml:space="preserve">El refuerzo (realimentación positiva) amplifica el cambio: lo que crece crece más rápido y lo que cae se desploma. Puede ser un círculo virtuoso o vicioso, según la dirección.</w:t>
      </w:r>
    </w:p>
    <w:p>
      <w:pPr>
        <w:pStyle w:val="Normal"/>
      </w:pPr>
      <w:r>
        <w:t xml:space="preserve">a) Eso describe a un bucle de balance, no de refuerzo.</w:t>
      </w:r>
    </w:p>
    <w:p>
      <w:pPr>
        <w:pStyle w:val="Normal"/>
      </w:pPr>
      <w:r>
        <w:t xml:space="preserve">b) La oscilación suele venir del balance con demoras, no del refuerzo puro.</w:t>
      </w:r>
    </w:p>
    <w:p>
      <w:pPr>
        <w:pStyle w:val="Normal"/>
      </w:pPr>
      <w:r>
        <w:t xml:space="preserve">c) Correcto: el refuerzo amplifica el cambio como una bola de nieve.</w:t>
      </w:r>
    </w:p>
    <w:p>
      <w:pPr>
        <w:pStyle w:val="Normal"/>
      </w:pPr>
      <w:r>
        <w:t xml:space="preserve">d) Un bucle de refuerzo no deja el sistema quieto: lo empuja cada vez más.</w:t>
      </w:r>
    </w:p>
    <w:p>
      <w:pPr>
        <w:pStyle w:val="Heading3"/>
      </w:pPr>
      <w:r>
        <w:t xml:space="preserve">3.3-A10</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c) Cerrar la fábrica</w:t>
            </w:r>
          </w:p>
        </w:tc>
      </w:tr>
    </w:tbl>
    <w:p>
      <w:pPr>
        <w:pStyle w:val="Normal"/>
      </w:pPr>
      <w:r>
        <w:t xml:space="preserve">Las variables de un CLD son magnitudes que pueden aumentar o disminuir (sustantivos cuantificables), no acciones puntuales. «Cerrar la fábrica» es un evento/acción; en su lugar usaríamos algo como «producción» o «fábricas abiertas».</w:t>
      </w:r>
    </w:p>
    <w:p>
      <w:pPr>
        <w:pStyle w:val="Normal"/>
      </w:pPr>
      <w:r>
        <w:t xml:space="preserve">a) Válida: es una magnitud que puede subir o bajar.</w:t>
      </w:r>
    </w:p>
    <w:p>
      <w:pPr>
        <w:pStyle w:val="Normal"/>
      </w:pPr>
      <w:r>
        <w:t xml:space="preserve">b) Válida: se puede contar y varía en el tiempo.</w:t>
      </w:r>
    </w:p>
    <w:p>
      <w:pPr>
        <w:pStyle w:val="Normal"/>
      </w:pPr>
      <w:r>
        <w:t xml:space="preserve">c) Correcto: es una acción puntual, no una magnitud que suba o baje.</w:t>
      </w:r>
    </w:p>
    <w:p>
      <w:pPr>
        <w:pStyle w:val="Normal"/>
      </w:pPr>
      <w:r>
        <w:t xml:space="preserve">d) Válida: es una cantidad medible que varía.</w:t>
      </w:r>
    </w:p>
    <w:p>
      <w:pPr>
        <w:pStyle w:val="Heading3"/>
      </w:pPr>
      <w:r>
        <w:t xml:space="preserve">3.3-A11</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b) Balance, porque tiene un número impar de signos negativos (uno)</w:t>
            </w:r>
          </w:p>
        </w:tc>
      </w:tr>
    </w:tbl>
    <w:p>
      <w:pPr>
        <w:pStyle w:val="Normal"/>
      </w:pPr>
      <w:r>
        <w:t xml:space="preserve">Cuenta los negativos: solo uno (Temperatura → Brecha). Uno es impar → bucle de balance. Por eso el termostato persigue su meta y estabiliza la temperatura. El número de flechas no determina el tipo; la paridad de los negativos, sí.</w:t>
      </w:r>
    </w:p>
    <w:p>
      <w:pPr>
        <w:pStyle w:val="Heading3"/>
      </w:pPr>
      <w:r>
        <w:t xml:space="preserve">3.3-A12</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b) El de usar sustantivos: la acción va en la flecha, así que la variable debe ser «Publicidad»</w:t>
            </w:r>
          </w:p>
        </w:tc>
      </w:tr>
    </w:tbl>
    <w:p>
      <w:pPr>
        <w:pStyle w:val="Normal"/>
      </w:pPr>
      <w:r>
        <w:t xml:space="preserve">Lineamiento 1 de Kim: use sustantivos y evite verbos y frases de acción, porque las acciones ya están implícitas en las flechas. «Un decremento en aumentar la publicidad» no se puede leer; «menos publicidad» sí.</w:t>
      </w:r>
    </w:p>
    <w:p>
      <w:pPr>
        <w:pStyle w:val="Normal"/>
      </w:pPr>
      <w:r>
        <w:t xml:space="preserve">a) No: el ciclo no tiene negativos y su letra R es correcta.</w:t>
      </w:r>
    </w:p>
    <w:p>
      <w:pPr>
        <w:pStyle w:val="Normal"/>
      </w:pPr>
      <w:r>
        <w:t xml:space="preserve">b) Correcto: «Aumentar la publicidad» es una frase de acción; con «Publicidad» el signo de la flecha dice si sube o baja.</w:t>
      </w:r>
    </w:p>
    <w:p>
      <w:pPr>
        <w:pStyle w:val="Normal"/>
      </w:pPr>
      <w:r>
        <w:t xml:space="preserve">c) El objetivo explícito se pide en los ciclos de balance; este es de refuerzo.</w:t>
      </w:r>
    </w:p>
    <w:p>
      <w:pPr>
        <w:pStyle w:val="Normal"/>
      </w:pPr>
      <w:r>
        <w:t xml:space="preserve">d) Sí rompe el primer lineamiento: los nombres de variable deben ser sustantivos.</w:t>
      </w:r>
    </w:p>
    <w:p>
      <w:pPr>
        <w:pStyle w:val="Fuente"/>
      </w:pPr>
      <w:r>
        <w:t xml:space="preserve">Lectura L-9 · Kim, lineamiento 1</w:t>
      </w:r>
    </w:p>
    <w:p>
      <w:pPr>
        <w:pStyle w:val="Heading3"/>
      </w:pPr>
      <w:r>
        <w:t xml:space="preserve">3.3-A13</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c) Hacer explícito el objetivo: «Calidad deseada» y la «Diferencia en calidad» que controla las acciones</w:t>
            </w:r>
          </w:p>
        </w:tc>
      </w:tr>
    </w:tbl>
    <w:p>
      <w:pPr>
        <w:pStyle w:val="Normal"/>
      </w:pPr>
      <w:r>
        <w:t xml:space="preserve">Lineamiento 5: todos los ciclos de balance son procesos que buscan un objetivo; hágalo explícito. Con la calidad deseada en el diagrama, la diferencia entre lo deseado y lo actual es la que mueve las acciones de mejora.</w:t>
      </w:r>
    </w:p>
    <w:p>
      <w:pPr>
        <w:pStyle w:val="Normal"/>
      </w:pPr>
      <w:r>
        <w:t xml:space="preserve">a) La demora explica retrasos, no la dirección de la relación.</w:t>
      </w:r>
    </w:p>
    <w:p>
      <w:pPr>
        <w:pStyle w:val="Normal"/>
      </w:pPr>
      <w:r>
        <w:t xml:space="preserve">b) El ciclo tiene un negativo: es B, y la letra está bien.</w:t>
      </w:r>
    </w:p>
    <w:p>
      <w:pPr>
        <w:pStyle w:val="Normal"/>
      </w:pPr>
      <w:r>
        <w:t xml:space="preserve">c) Correcto: todos los ciclos de balance buscan un objetivo, y conviene dibujarlo.</w:t>
      </w:r>
    </w:p>
    <w:p>
      <w:pPr>
        <w:pStyle w:val="Normal"/>
      </w:pPr>
      <w:r>
        <w:t xml:space="preserve">d) Sin la variable de estado no hay nada que comparar con la meta.</w:t>
      </w:r>
    </w:p>
    <w:p>
      <w:pPr>
        <w:pStyle w:val="Fuente"/>
      </w:pPr>
      <w:r>
        <w:t xml:space="preserve">Lectura L-9 · Kim, lineamiento 5</w:t>
      </w:r>
    </w:p>
    <w:p>
      <w:pPr>
        <w:pStyle w:val="Heading3"/>
      </w:pPr>
      <w:r>
        <w:t xml:space="preserve">3.3-A14</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b) Insertar un término intermedio cuando una relación necesita demasiada explicación, y contar los negativos del ciclo releyéndolo después de asignar la letra</w:t>
            </w:r>
          </w:p>
        </w:tc>
      </w:tr>
    </w:tbl>
    <w:p>
      <w:pPr>
        <w:pStyle w:val="Normal"/>
      </w:pPr>
      <w:r>
        <w:t xml:space="preserve">La lámina 6 de la clase 16 (00:41:57) reproduce dos sugerencias de la lista: el término intermedio (lineamiento 9) y la regla par/impar con la advertencia de releer el ciclo (lineamiento 10). La hoja completa quedó publicada como lectura L-9.</w:t>
      </w:r>
    </w:p>
    <w:p>
      <w:pPr>
        <w:pStyle w:val="Normal"/>
      </w:pPr>
      <w:r>
        <w:t xml:space="preserve">a) Están en la hoja, pero no fueron los dos de la lámina.</w:t>
      </w:r>
    </w:p>
    <w:p>
      <w:pPr>
        <w:pStyle w:val="Normal"/>
      </w:pPr>
      <w:r>
        <w:t xml:space="preserve">b) Correcto: son los lineamientos 9 y 10, los de la lámina «Lineamientos para construir diagramas causales».</w:t>
      </w:r>
    </w:p>
    <w:p>
      <w:pPr>
        <w:pStyle w:val="Normal"/>
      </w:pPr>
      <w:r>
        <w:t xml:space="preserve">c) Están en la hoja (6 y 7), pero no en la lámina de la clase.</w:t>
      </w:r>
    </w:p>
    <w:p>
      <w:pPr>
        <w:pStyle w:val="Normal"/>
      </w:pPr>
      <w:r>
        <w:t xml:space="preserve">d) Están en la hoja (8 y 4), pero no en la lámina de la clase.</w:t>
      </w:r>
    </w:p>
    <w:p>
      <w:pPr>
        <w:pStyle w:val="Fuente"/>
      </w:pPr>
      <w:r>
        <w:t xml:space="preserve">Clase 16 · 00:41:57 · lámina 6 · lectura L-9</w:t>
      </w:r>
    </w:p>
    <w:p>
      <w:pPr>
        <w:pStyle w:val="Heading3"/>
      </w:pPr>
      <w:r>
        <w:t xml:space="preserve">3.3-A15</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b) Nivel de agua deseado, nivel actual, brecha percibida, posición del grifo y flujo de agua</w:t>
            </w:r>
          </w:p>
        </w:tc>
      </w:tr>
    </w:tbl>
    <w:p>
      <w:pPr>
        <w:pStyle w:val="Normal"/>
      </w:pPr>
      <w:r>
        <w:t xml:space="preserve">Cuando llenamos un vaso operamos en un sistema de regulación con cinco variables: el nivel deseado, el nivel actual, la brecha entre ambos, la posición del grifo y el flujo de agua, organizadas en un ciclo compensador que se cuenta dando vueltas.</w:t>
      </w:r>
    </w:p>
    <w:p>
      <w:pPr>
        <w:pStyle w:val="Normal"/>
      </w:pPr>
      <w:r>
        <w:t xml:space="preserve">a) Son objetos, no cantidades que suban o bajen.</w:t>
      </w:r>
    </w:p>
    <w:p>
      <w:pPr>
        <w:pStyle w:val="Normal"/>
      </w:pPr>
      <w:r>
        <w:t xml:space="preserve">b) Correcto: las cinco variables del capítulo IV, organizadas en un círculo de causa y efecto.</w:t>
      </w:r>
    </w:p>
    <w:p>
      <w:pPr>
        <w:pStyle w:val="Normal"/>
      </w:pPr>
      <w:r>
        <w:t xml:space="preserve">c) Ese es el ciclo de la sed de la clase 14, otro caso.</w:t>
      </w:r>
    </w:p>
    <w:p>
      <w:pPr>
        <w:pStyle w:val="Normal"/>
      </w:pPr>
      <w:r>
        <w:t xml:space="preserve">d) Ese es el vocabulario del enfoque tradicional de sistemas, no el del diagrama sistémico.</w:t>
      </w:r>
    </w:p>
    <w:p>
      <w:pPr>
        <w:pStyle w:val="Fuente"/>
      </w:pPr>
      <w:r>
        <w:t xml:space="preserve">Lectura L-13 · Echeverri y Franco, capítulo IV</w:t>
      </w:r>
    </w:p>
    <w:p>
      <w:pPr>
        <w:pStyle w:val="Heading3"/>
      </w:pPr>
      <w:r>
        <w:t xml:space="preserve">3.3-A16</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b) Ver círculos de influencia en vez de líneas rectas: cada círculo cuenta una historia</w:t>
            </w:r>
          </w:p>
        </w:tc>
      </w:tr>
    </w:tbl>
    <w:p>
      <w:pPr>
        <w:pStyle w:val="Normal"/>
      </w:pPr>
      <w:r>
        <w:t xml:space="preserve">Al seguir los flujos de influencia se ven patrones que se repiten una y otra vez. «Yo causo que el nivel del agua se eleve» es sólo media historia; la otra mitad es «el nivel del agua me controla la mano»: las flechas nunca existen aisladas, existen dentro de un círculo.</w:t>
      </w:r>
    </w:p>
    <w:p>
      <w:pPr>
        <w:pStyle w:val="Normal"/>
      </w:pPr>
      <w:r>
        <w:t xml:space="preserve">a) Un círculo no tiene principio: se puede empezar por cualquier variable.</w:t>
      </w:r>
    </w:p>
    <w:p>
      <w:pPr>
        <w:pStyle w:val="Normal"/>
      </w:pPr>
      <w:r>
        <w:t xml:space="preserve">b) Correcto: es el primer paso para romper con el marco mental reactivo del pensamiento lineal.</w:t>
      </w:r>
    </w:p>
    <w:p>
      <w:pPr>
        <w:pStyle w:val="Normal"/>
      </w:pPr>
      <w:r>
        <w:t xml:space="preserve">c) La cantidad de flechas no dice nada del enfoque.</w:t>
      </w:r>
    </w:p>
    <w:p>
      <w:pPr>
        <w:pStyle w:val="Normal"/>
      </w:pPr>
      <w:r>
        <w:t xml:space="preserve">d) Buscar la causa única es justamente el enfoque lineal que el diagrama sistémico deja atrás.</w:t>
      </w:r>
    </w:p>
    <w:p>
      <w:pPr>
        <w:pStyle w:val="Fuente"/>
      </w:pPr>
      <w:r>
        <w:t xml:space="preserve">Lectura L-13 · Echeverri y Franco, capítulo IV</w:t>
      </w:r>
    </w:p>
    <w:p>
      <w:pPr>
        <w:pStyle w:val="Heading3"/>
      </w:pPr>
      <w:bookmarkStart w:name="b_solucion_ej_P02" w:id="2644"/>
      <w:r>
        <w:t xml:space="preserve">Solución 3.3-E1</w:t>
      </w:r>
      <w:bookmarkEnd w:id="2644"/>
    </w:p>
    <w:p>
      <w:pPr>
        <w:pStyle w:val="RecuadroTitulo"/>
      </w:pPr>
      <w:r>
        <w:t xml:space="preserve">Respuesta modelo</w:t>
      </w:r>
    </w:p>
    <w:p>
      <w:pPr>
        <w:pStyle w:val="Normal"/>
      </w:pPr>
      <w:r>
        <w:t xml:space="preserve">PT constante y dos conjuntos exhaustivos, sin migración ni recuperación, permiten PV = PT − PI. Un modelo con entradas y salidas independientes de susceptibles puede requerir otro nivel. El nombre personas no determina por sí solo el tipo de variable.</w:t>
      </w:r>
    </w:p>
    <w:p>
      <w:pPr>
        <w:pStyle w:val="Fuente"/>
      </w:pPr>
      <w:r>
        <w:t xml:space="preserve">Repaso seleccionado · guía recibida, pp. 3–5; lecciones de unidades 1–3.</w:t>
      </w:r>
    </w:p>
    <w:p>
      <w:pPr>
        <w:pStyle w:val="Heading3"/>
      </w:pPr>
      <w:bookmarkStart w:name="b_solucion_ej_P05" w:id="2645"/>
      <w:r>
        <w:t xml:space="preserve">Solución 3.3-E2</w:t>
      </w:r>
      <w:bookmarkEnd w:id="2645"/>
    </w:p>
    <w:p>
      <w:pPr>
        <w:pStyle w:val="RecuadroTitulo"/>
      </w:pPr>
      <w:r>
        <w:t xml:space="preserve">Respuesta modelo</w:t>
      </w:r>
    </w:p>
    <w:p>
      <w:pPr>
        <w:pStyle w:val="Normal"/>
      </w:pPr>
      <w:r>
        <w:t xml:space="preserve">Recursos → resultados es positiva: ambas magnitudes cambian en el mismo sentido. Préstamos → disponibles es negativa: sentidos opuestos. Menos no equivale a signo negativo y el signo no valora si el resultado conviene.</w:t>
      </w:r>
    </w:p>
    <w:p>
      <w:pPr>
        <w:pStyle w:val="Fuente"/>
        <w:sectPr>
          <w:headerReference w:type="default" r:id="rId174"/>
          <w:headerReference w:type="first" r:id="rId175"/>
          <w:headerReference w:type="even" r:id="rId176"/>
          <w:footerReference w:type="default" r:id="rId177"/>
          <w:footerReference w:type="first" r:id="rId178"/>
          <w:footerReference w:type="even" r:id="rId179"/>
          <w:type w:val="nextPage"/>
          <w:pgSz w:w="12240" w:h="15840" w:orient="portrait"/>
          <w:pgMar w:top="1361" w:right="1134" w:bottom="1361" w:left="1474" w:header="650" w:footer="680" w:gutter="0"/>
          <w:pgNumType/>
          <w:titlePg/>
          <w:docGrid w:linePitch="360"/>
        </w:sectPr>
      </w:pPr>
      <w:r>
        <w:t xml:space="preserve">Repaso seleccionado · guía recibida, pp. 3–5; lecciones de unidades 1–3.</w:t>
      </w:r>
    </w:p>
    <w:p>
      <w:pPr>
        <w:pStyle w:val="Heading2"/>
      </w:pPr>
      <w:bookmarkStart w:name="b_3_4" w:id="2646"/>
      <w:r>
        <w:t xml:space="preserve">3.4 · Interdependencias sistémicas</w:t>
      </w:r>
      <w:bookmarkEnd w:id="2646"/>
    </w:p>
    <w:p>
      <w:pPr>
        <w:pStyle w:val="Subtitulo"/>
      </w:pPr>
      <w:r>
        <w:t xml:space="preserve">Las interdependencias sistémicas y los comportamientos circulares</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En una línea</w:t>
            </w:r>
          </w:p>
          <w:p>
            <w:pPr>
              <w:pStyle w:val="Recuadro"/>
            </w:pPr>
            <w:r>
              <w:t xml:space="preserve">La primera impresión de una cadena causal es que es secuencial, hasta que una variable vuelve sobre otra anterior.</w:t>
            </w:r>
          </w:p>
        </w:tc>
      </w:tr>
    </w:tbl>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Qué te preguntan</w:t>
            </w:r>
          </w:p>
          <w:p>
            <w:pPr>
              <w:pStyle w:val="Recuadro"/>
            </w:pPr>
            <w:r>
              <w:t xml:space="preserve">Separar un diagrama de proceso de un diagrama sistémico con la tabla de la clase 13: verbos frente a sustantivos, secuencia frente a influencia, línea frente a círculo. Y reconocer cuándo un lazo dibujado no es un ciclo porque no se cierra.</w:t>
            </w:r>
          </w:p>
        </w:tc>
      </w:tr>
    </w:tbl>
    <w:p>
      <w:pPr>
        <w:pStyle w:val="Normal"/>
      </w:pPr>
      <w:r>
        <w:t xml:space="preserve">Hay interdependencia cuando dos partes se afectan en ambos sentidos (línea con dos cabezas o dos flechas opuestas): A actúa sobre B y B reacciona hacia A, comportamiento circular, no lineal. Una cadena causal es un ciclo cuando, partiendo de una variable, regresa a ella; esa circularidad provoca la no linealidad. En la realidad hay muchos ciclos anidados que comparten variables, y el comportamiento emerge de todos, no de una parte.</w:t>
      </w:r>
    </w:p>
    <w:p>
      <w:pPr>
        <w:pStyle w:val="Heading3"/>
      </w:pPr>
      <w:r>
        <w:t xml:space="preserve">Vocabulario clave</w:t>
      </w:r>
    </w:p>
    <w:p>
      <w:pPr>
        <w:pStyle w:val="Normal"/>
      </w:pPr>
      <w:r>
        <w:t xml:space="preserve">interdependencia (relaciones en ambos sentidos: dos cabezas de flecha o dos flechas opuestas) · comportamiento circular (no lineal) · estructura sistémica (relaciones y partes que crean la dinámica) · conexiones significativas (interacciones, relaciones de causa y efecto, interdependencias) · ciclo (cadena que regresa a la variable de partida; completo o parcial) · retroalimentación de causalidad circular · segundo hábito: la naturaleza circular de las relaciones · telaraña de ciclos (anidados, en paralelo o solapados) · tiempo lineal y tiempo circular · interdependencias contraintuitivas</w:t>
      </w:r>
    </w:p>
    <w:p>
      <w:pPr>
        <w:pStyle w:val="Fuente"/>
      </w:pPr>
      <w:r>
        <w:t xml:space="preserve">Recorrido: desarrollo conceptual → presentaciones → explicación en clase → errores y fuentes → práctica → solucionario.</w:t>
      </w:r>
    </w:p>
    <w:p>
      <w:pPr>
        <w:pStyle w:val="Heading3"/>
      </w:pPr>
      <w:bookmarkStart w:name="b_lectura_p4" w:id="2647"/>
      <w:r>
        <w:t xml:space="preserve">P4. Cadena causal y ciclo de retroalimentación</w:t>
      </w:r>
      <w:bookmarkEnd w:id="2647"/>
    </w:p>
    <w:p>
      <w:pPr>
        <w:pStyle w:val="Normal"/>
      </w:pPr>
      <w:r>
        <w:t xml:space="preserve">Una cadena es un recorrido de influencias. Es un </w:t>
      </w:r>
      <w:r>
        <w:rPr>
          <w:b/>
          <w:bCs/>
        </w:rPr>
        <w:t xml:space="preserve">ciclo de retroalimentación</w:t>
      </w:r>
      <w:r>
        <w:t xml:space="preserve"> cuando el recorrido vuelve a afectar la variable desde la que comenzó. Volver a la misma variable no significa recuperar su mismo valor numérico.</w:t>
      </w:r>
    </w:p>
    <w:p>
      <w:pPr>
        <w:pStyle w:val="Normal"/>
      </w:pPr>
      <w:r>
        <w:t xml:space="preserve">Ejemplo de ciclo: clientes → ingresos → inversión en publicidad → clientes. El cambio inicial en clientes produce consecuencias que regresan e influyen sobre clientes. La cadena «clientes → ingresos» por sí sola no demuestra un ciclo cerrado.</w:t>
      </w:r>
    </w:p>
    <w:p>
      <w:pPr>
        <w:pStyle w:val="Normal"/>
      </w:pPr>
      <w:r>
        <w:t xml:space="preserve">Tanto los ciclos de refuerzo como los de balance regresan a la variable inicial. Lo que los distingue es cómo responde el efecto que vuelve.</w:t>
      </w:r>
    </w:p>
    <w:p>
      <w:pPr>
        <w:pStyle w:val="Heading3"/>
      </w:pPr>
      <w:r>
        <w:t xml:space="preserve">Definiciones como las dio la clase</w:t>
      </w:r>
    </w:p>
    <w:p>
      <w:pPr>
        <w:pStyle w:val="Normal"/>
      </w:pPr>
      <w:r>
        <w:t xml:space="preserve">Interdependencia: relaciones en ambos sentidos entre dos conceptos (línea de dos cabezas o dos flechas opuestas): A interactúa con B y B con A. Con alta interdependencia los sistemas presentan estructuras no lineales.</w:t>
      </w:r>
    </w:p>
    <w:p>
      <w:pPr>
        <w:pStyle w:val="Normal"/>
      </w:pPr>
      <w:r>
        <w:t xml:space="preserve">Estructura sistémica: conjunto de relaciones y de elementos o partes que forman el sistema y crean en el tiempo su dinámica de comportamiento. Conexiones significativas: las flechas que la crean, «la base fundamental», llamadas también interacciones, relaciones de causa y efecto o interdependencias.</w:t>
      </w:r>
    </w:p>
    <w:p>
      <w:pPr>
        <w:pStyle w:val="Normal"/>
      </w:pPr>
      <w:r>
        <w:t xml:space="preserve">Comportamiento circular, no lineal: un ciclo de relaciones entre las partes del sistema.</w:t>
      </w:r>
    </w:p>
    <w:p>
      <w:pPr>
        <w:pStyle w:val="Normal"/>
      </w:pPr>
      <w:r>
        <w:t xml:space="preserve">Segundo hábito: de las relaciones que identifica, el pensador sistémico va reconociendo su naturaleza circular. Complejidad: muchos elementos, o pocos con relaciones de distinta naturaleza.</w:t>
      </w:r>
    </w:p>
    <w:p>
      <w:pPr>
        <w:pStyle w:val="Normal"/>
      </w:pPr>
      <w:r>
        <w:t xml:space="preserve">La circularidad más sencilla es A actúa y B reacciona hacia A. Si en A → B → … → G la G reacciona hacia A, el ciclo es completo; si reacciona hacia B o C, es parcial y deja variables fuera. Eso «provoca la no linealidad».</w:t>
      </w:r>
    </w:p>
    <w:p>
      <w:pPr>
        <w:pStyle w:val="Normal"/>
      </w:pPr>
      <w:r>
        <w:t xml:space="preserve">Ciclo: partiendo de una variable y recorriendo relaciones causales se regresa a ella; «si es ciclo, siempre regresará», empiece donde se empiece.</w:t>
      </w:r>
    </w:p>
    <w:p>
      <w:pPr>
        <w:pStyle w:val="Fuente"/>
      </w:pPr>
      <w:r>
        <w:t xml:space="preserve">Clase 10 · 00:15:24–00:15:51 · Clase 10 · 00:55:17–00:56:12 · Clase 12 · 00:44:13–00:46:12 · Clase 12 · 01:07:21–01:07:53 · Clase 12 · 01:08:51–01:09:15 · Clase 12 · 01:11:57–01:12:08 · Clase 13 · 00:25:27–00:26:32 · Clase 13 · 00:29:11–00:31:14 · Clase 15 · 01:07:02–01:07:21</w:t>
      </w:r>
    </w:p>
    <w:p>
      <w:pPr>
        <w:pStyle w:val="Heading3"/>
      </w:pPr>
      <w:r>
        <w:t xml:space="preserve">Ejemplos de circularidad usados en clase</w:t>
      </w:r>
    </w:p>
    <w:p>
      <w:pPr>
        <w:pStyle w:val="Normal"/>
      </w:pPr>
      <w:r>
        <w:t xml:space="preserve">Empresa que vende y cliente que compra. Relaciones humanas (comunicación, familiares, laborales) y naturales: el animal que come una planta obtiene alimento y la daña.</w:t>
      </w:r>
    </w:p>
    <w:p>
      <w:pPr>
        <w:pStyle w:val="Normal"/>
      </w:pPr>
      <w:r>
        <w:t xml:space="preserve">Algoritmo: cada paso es una relación causal, lineal si es simple y cíclico si se repite. Conversación: pregunta → respuesta, circular y repetitiva. Abeja y flor: retroalimentación natural.</w:t>
      </w:r>
    </w:p>
    <w:p>
      <w:pPr>
        <w:pStyle w:val="Normal"/>
      </w:pPr>
      <w:r>
        <w:t xml:space="preserve">Planta: semillas → raíces → tallos → hojas, flores y frutos → semillas, y emergen «más plantas». El medio (aves, abejas, sol, viento, agua) aporta entradas y salidas, y semillas en zona rocosa pueden detener el ciclo.</w:t>
      </w:r>
    </w:p>
    <w:p>
      <w:pPr>
        <w:pStyle w:val="Fuente"/>
      </w:pPr>
      <w:r>
        <w:t xml:space="preserve">Clase 10 · 00:59:15–00:59:36 · Clase 10 · 01:05:13–01:05:30 · Clase 12 · 00:47:10–00:49:09 · Clase 12 · 00:51:45–00:53:01 · Clase 12 · 01:10:48–01:11:29 · Clase 13 · 00:20:36–00:21:32 · Clase 13 · 00:28:19–00:29:00 · Clase 13 · 00:32:02–00:34:09 · Clase 13 · 00:38:39–00:39:15</w:t>
      </w:r>
    </w:p>
    <w:p>
      <w:pPr>
        <w:pStyle w:val="Heading3"/>
      </w:pPr>
      <w:r>
        <w:t xml:space="preserve">Tiempo lineal y tiempo circular</w:t>
      </w:r>
    </w:p>
    <w:p>
      <w:pPr>
        <w:pStyle w:val="Normal"/>
      </w:pPr>
      <w:r>
        <w:t xml:space="preserve">Tiempo lineal: pasado, presente, futuro (corcho en el río: se pone, baja y se ve dónde para). Tiempo circular: omite el presente y agrega futuro → pasado.</w:t>
      </w:r>
    </w:p>
    <w:p>
      <w:pPr>
        <w:pStyle w:val="Normal"/>
      </w:pPr>
      <w:r>
        <w:t xml:space="preserve">Examen: «si en el pasado no estudio […] en el futuro perderé el examen» es una relación lineal; es circular cuando se visualiza el futuro, éste retroalimenta y se estudia; sin objetivo «no hay mayor incidencia circular». El deportista entrena por el título futuro.</w:t>
      </w:r>
    </w:p>
    <w:p>
      <w:pPr>
        <w:pStyle w:val="Normal"/>
      </w:pPr>
      <w:r>
        <w:t xml:space="preserve">Inventario de 10 unidades, venta de 3 diarias y entrega en un día: se prevé quedar en 1 o 0 y se pide a tiempo; «esa información del futuro es la que me hace mover a las acciones».</w:t>
      </w:r>
    </w:p>
    <w:p>
      <w:pPr>
        <w:pStyle w:val="Normal"/>
      </w:pPr>
      <w:r>
        <w:t xml:space="preserve">El tiempo es determinante: las emergencias casi instantáneas o de siglos pasan inadvertidas; se estudian las de semanas, meses o años.</w:t>
      </w:r>
    </w:p>
    <w:p>
      <w:pPr>
        <w:pStyle w:val="Fuente"/>
      </w:pPr>
      <w:r>
        <w:t xml:space="preserve">Clase 13 · 00:34:00–00:36:37 · Clase 13 · 00:54:36–00:57:49 · Clase 13 · 00:59:07–01:06:02 · Clase 13 · 01:08:55–01:10:30</w:t>
      </w:r>
    </w:p>
    <w:p>
      <w:pPr>
        <w:pStyle w:val="Heading3"/>
      </w:pPr>
      <w:r>
        <w:t xml:space="preserve">La telaraña: muchos ciclos que comparten variables</w:t>
      </w:r>
    </w:p>
    <w:p>
      <w:pPr>
        <w:pStyle w:val="Normal"/>
      </w:pPr>
      <w:r>
        <w:t xml:space="preserve">«Todo está conectado de alguna manera con todo»: subsistemas, sistemas, supersistemas, suprasistemas y megasistemas forman una telaraña de relaciones causales.</w:t>
      </w:r>
    </w:p>
    <w:p>
      <w:pPr>
        <w:pStyle w:val="Normal"/>
      </w:pPr>
      <w:r>
        <w:t xml:space="preserve">La telaraña es «un montón de ciclos», anidados o en paralelo, con interdependencias entre variables y entre ciclos; al interactuar originan los comportamientos emergentes. Toda estructura se construye con los dos tipos de ciclos.</w:t>
      </w:r>
    </w:p>
    <w:p>
      <w:pPr>
        <w:pStyle w:val="Normal"/>
      </w:pPr>
      <w:r>
        <w:t xml:space="preserve">Población: dos ciclos, nacimientos y muertes, que comparten una variable; con las ballenas son tres. En energía y pobreza se solapan múltiples variables. Jardín con comederos de pájaros: 11 o 12 ciclos entrelazados, sólo dos de balance.</w:t>
      </w:r>
    </w:p>
    <w:p>
      <w:pPr>
        <w:pStyle w:val="Normal"/>
      </w:pPr>
      <w:r>
        <w:t xml:space="preserve">Un ciclo aislado se entiende fácil; dos o tres solapados por variables compartidas, no, y eso hace complejos los sistemas. Si se combinan refuerzo y compensación, el efecto sobre la variable compartida depende de cuál domina.</w:t>
      </w:r>
    </w:p>
    <w:p>
      <w:pPr>
        <w:pStyle w:val="Fuente"/>
      </w:pPr>
      <w:r>
        <w:t xml:space="preserve">Clase 13 · 00:17:30–00:19:08 · Clase 13 · 01:33:31–01:35:11 · Clase 13 · 01:39:01–01:42:24 · Clase 14 · 00:06:21–00:07:05 · Clase 14 · 00:55:36–00:56:03 · Clase 14 · 01:04:01–01:04:19 · Clase 14 · 01:08:54–01:09:18 · Clase 14 · 01:33:35–01:33:55 · Clase 15 · 01:16:47–01:18:02 · Clase 16 · 00:14:03–00:15:10 · Clase 16 · 00:50:41–00:51:13</w:t>
      </w:r>
    </w:p>
    <w:p>
      <w:pPr>
        <w:pStyle w:val="Heading3"/>
      </w:pPr>
      <w:r>
        <w:t xml:space="preserve">Lo que advirtió</w:t>
      </w:r>
    </w:p>
    <w:p>
      <w:pPr>
        <w:pStyle w:val="Normal"/>
      </w:pPr>
      <w:r>
        <w:t xml:space="preserve">Los ciclos «no siguen la lógica normal» del pensamiento analítico, reduccionista: sin la perspectiva circular se ven relaciones causales lineales simples y no se explora una ventana de tiempo mayor.</w:t>
      </w:r>
    </w:p>
    <w:p>
      <w:pPr>
        <w:pStyle w:val="Normal"/>
      </w:pPr>
      <w:r>
        <w:t xml:space="preserve">La causa lineal puede servir en sistemas de baja complejidad, no en los de alta, cuyas relaciones son circulares. La circularidad produce interdependencias contraintuitivas: el culpable hallado puede no ser la causa.</w:t>
      </w:r>
    </w:p>
    <w:p>
      <w:pPr>
        <w:pStyle w:val="Normal"/>
      </w:pPr>
      <w:r>
        <w:t xml:space="preserve">Varias estructuras circulares unidas dan modelos cada vez más complejos; comprendido el ciclo base, se comprende cómo se replica.</w:t>
      </w:r>
    </w:p>
    <w:p>
      <w:pPr>
        <w:pStyle w:val="Fuente"/>
      </w:pPr>
      <w:r>
        <w:t xml:space="preserve">Clase 10 · 00:16:31–00:17:11 · Clase 10 · 00:17:36–00:18:24 · Clase 12 · 01:07:46–01:08:26 · Clase 13 · 00:40:04–00:41:08 · Clase 15 · 00:33:04–00:33:37 · Clase 16 · 00:22:40–00:23:46</w:t>
      </w:r>
    </w:p>
    <w:p>
      <w:pPr>
        <w:pStyle w:val="Heading3"/>
      </w:pPr>
      <w:r>
        <w:t xml:space="preserve">Lo que proyectaron las láminas</w:t>
      </w:r>
    </w:p>
    <w:p>
      <w:pPr>
        <w:pStyle w:val="Normal"/>
      </w:pPr>
      <w:r>
        <w:t xml:space="preserve">Pensamiento lineal frente a circular: la cadena pasado, presente y futuro frente al círculo entre pasado y futuro. La analogía del corcho en un río ideal muestra cuántos supuestos exige el enfoque lineal y qué variables deja fuera.</w:t>
      </w:r>
    </w:p>
    <w:p>
      <w:pPr>
        <w:pStyle w:val="Normal"/>
      </w:pPr>
      <w:r>
        <w:t xml:space="preserve">Hervir el agua: el diagrama de proceso (encender el fogón, hervir el agua, apagar el fogón) frente al diagrama sistémico con objetivo, brecha percibida, posición de la llave, flujo de fuego y nivel de temperatura, con B al centro, y una tabla que contrapone ambos tipos de diagrama.</w:t>
      </w:r>
    </w:p>
    <w:p>
      <w:pPr>
        <w:pStyle w:val="Normal"/>
      </w:pPr>
      <w:r>
        <w:t xml:space="preserve">El pensamiento sistémico busca no ser reduccionista: visión parcial frente a holística, rigidez frente a flexibilidad, énfasis en las partes frente a énfasis en las relaciones, rapidez frente a análisis, causalidad lineal frente a ciclos de causa y efecto.</w:t>
      </w:r>
    </w:p>
    <w:p>
      <w:pPr>
        <w:pStyle w:val="Normal"/>
      </w:pPr>
      <w:r>
        <w:t xml:space="preserve">El atleta: la recta de cien metros y el diagrama de bloques partir, correr y llegar, frente al ciclo de regulación con objetivo de ganar, brecha percibida, velocidad de competencia y situación actual.</w:t>
      </w:r>
    </w:p>
    <w:p>
      <w:pPr>
        <w:pStyle w:val="Fuente"/>
      </w:pPr>
      <w:r>
        <w:t xml:space="preserve">lámina c13-07 · lámina c13-08 · lámina c13-09 · lámina c13-10</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Procedimiento</w:t>
            </w:r>
          </w:p>
          <w:p>
            <w:pPr>
              <w:pStyle w:val="Recuadro"/>
            </w:pPr>
            <w:r>
              <w:t xml:space="preserve">Cómo se descubre la circularidad de un sistema</w:t>
            </w:r>
          </w:p>
          <w:p>
            <w:pPr>
              <w:pStyle w:val="Recuadro"/>
            </w:pPr>
            <w:r>
              <w:t xml:space="preserve">1. </w:t>
            </w:r>
            <w:r>
              <w:rPr>
                <w:b/>
                <w:bCs/>
              </w:rPr>
              <w:t xml:space="preserve">Identificar las cadenas causales.</w:t>
            </w:r>
            <w:r>
              <w:t xml:space="preserve"> Se identifican cadenas de causa y efecto entre variables que representan conceptos generales, preguntando, como plantea la lámina, cómo se afectan las partes entre sí. (Clase 12 · 00:46:14–00:46:41 · Clase 13 · 00:31:17–00:31:24)</w:t>
            </w:r>
          </w:p>
          <w:p>
            <w:pPr>
              <w:pStyle w:val="Recuadro"/>
            </w:pPr>
            <w:r>
              <w:t xml:space="preserve">2. </w:t>
            </w:r>
            <w:r>
              <w:rPr>
                <w:b/>
                <w:bCs/>
              </w:rPr>
              <w:t xml:space="preserve">Seguir la cadena hasta el retorno.</w:t>
            </w:r>
            <w:r>
              <w:t xml:space="preserve"> La cadena parece secuencial hasta que un concepto vuelve a uno anterior y se forma el círculo: completo si vuelve al inicio, parcial si vuelve a una variable intermedia. (Clase 12 · 00:46:38–00:47:14 · Clase 13 · 00:29:11–00:31:14)</w:t>
            </w:r>
          </w:p>
          <w:p>
            <w:pPr>
              <w:pStyle w:val="Recuadro"/>
            </w:pPr>
            <w:r>
              <w:t xml:space="preserve">3. </w:t>
            </w:r>
            <w:r>
              <w:rPr>
                <w:b/>
                <w:bCs/>
              </w:rPr>
              <w:t xml:space="preserve">Buscar la retroalimentación.</w:t>
            </w:r>
            <w:r>
              <w:t xml:space="preserve"> Se pregunta dónde aparece la retroalimentación de causalidad circular, incluida la del futuro proyectado: el inventario que se prevé agotado mueve hoy el pedido. (Clase 13 · 00:31:17–00:31:30 · Clase 13 · 01:02:27–01:04:33)</w:t>
            </w:r>
          </w:p>
          <w:p>
            <w:pPr>
              <w:pStyle w:val="Recuadro"/>
            </w:pPr>
            <w:r>
              <w:t xml:space="preserve">4. </w:t>
            </w:r>
            <w:r>
              <w:rPr>
                <w:b/>
                <w:bCs/>
              </w:rPr>
              <w:t xml:space="preserve">Comprender el ciclo base y los demás.</w:t>
            </w:r>
            <w:r>
              <w:t xml:space="preserve"> Se comprende el ciclo base, que se replica, y se consideran todos los ciclos que influyen en cada variable, porque la circularidad está anidada. (Clase 12 · 01:07:46–01:08:26 · Clase 14 · 01:02:47–01:03:12 · Clase 14 · 01:24:52–01:25:17)</w:t>
            </w:r>
          </w:p>
          <w:p>
            <w:pPr>
              <w:pStyle w:val="Recuadro"/>
            </w:pPr>
            <w:r>
              <w:t xml:space="preserve">Hay circularidad cuando el recorrido regresa; el comportamiento se explica por la telaraña completa de ciclos, no por una causa lineal.</w:t>
            </w:r>
          </w:p>
        </w:tc>
      </w:tr>
    </w:tbl>
    <w:p>
      <w:pPr>
        <w:pStyle w:val="Heading3"/>
      </w:pPr>
      <w:bookmarkStart w:name="b_tabla_3_4_g2_tres_alimentaciones" w:id="2648"/>
      <w:r>
        <w:t xml:space="preserve">Retroalimentación, realimentación y proalimentación</w:t>
      </w:r>
      <w:bookmarkEnd w:id="2648"/>
    </w:p>
    <w:tbl>
      <w:tblPr>
        <w:tblW w:type="dxa" w:w="9632"/>
        <w:tblBorders>
          <w:top w:val="single" w:color="C5D5DB" w:sz="4"/>
          <w:left w:val="single" w:color="C5D5DB" w:sz="4"/>
          <w:bottom w:val="single" w:color="C5D5DB" w:sz="4"/>
          <w:right w:val="single" w:color="C5D5DB" w:sz="4"/>
          <w:insideH w:val="single" w:color="E4E9EB" w:sz="3"/>
          <w:insideV w:val="single" w:color="E4E9EB" w:sz="3"/>
        </w:tblBorders>
        <w:tblLayout w:type="fixed"/>
      </w:tblPr>
      <w:tblGrid>
        <w:gridCol w:w="2408"/>
        <w:gridCol w:w="2408"/>
        <w:gridCol w:w="2408"/>
        <w:gridCol w:w="2408"/>
      </w:tblGrid>
      <w:tr>
        <w:trPr>
          <w:cantSplit/>
          <w:tblHeader/>
        </w:trPr>
        <w:tc>
          <w:tcPr>
            <w:tcW w:type="dxa" w:w="2408"/>
            <w:shd w:fill="DFEAF0" w:val="clear"/>
            <w:tcMar>
              <w:top w:type="dxa" w:w="80"/>
              <w:left w:type="dxa" w:w="100"/>
              <w:bottom w:type="dxa" w:w="80"/>
              <w:right w:type="dxa" w:w="100"/>
            </w:tcMar>
          </w:tcPr>
          <w:p>
            <w:pPr>
              <w:pStyle w:val="Tabla"/>
            </w:pPr>
            <w:r>
              <w:rPr>
                <w:b/>
                <w:bCs/>
              </w:rPr>
              <w:t xml:space="preserve">Término</w:t>
            </w:r>
          </w:p>
        </w:tc>
        <w:tc>
          <w:tcPr>
            <w:tcW w:type="dxa" w:w="2408"/>
            <w:shd w:fill="DFEAF0" w:val="clear"/>
            <w:tcMar>
              <w:top w:type="dxa" w:w="80"/>
              <w:left w:type="dxa" w:w="100"/>
              <w:bottom w:type="dxa" w:w="80"/>
              <w:right w:type="dxa" w:w="100"/>
            </w:tcMar>
          </w:tcPr>
          <w:p>
            <w:pPr>
              <w:pStyle w:val="Tabla"/>
            </w:pPr>
            <w:r>
              <w:rPr>
                <w:b/>
                <w:bCs/>
              </w:rPr>
              <w:t xml:space="preserve">Enfoque</w:t>
            </w:r>
          </w:p>
        </w:tc>
        <w:tc>
          <w:tcPr>
            <w:tcW w:type="dxa" w:w="2408"/>
            <w:shd w:fill="DFEAF0" w:val="clear"/>
            <w:tcMar>
              <w:top w:type="dxa" w:w="80"/>
              <w:left w:type="dxa" w:w="100"/>
              <w:bottom w:type="dxa" w:w="80"/>
              <w:right w:type="dxa" w:w="100"/>
            </w:tcMar>
          </w:tcPr>
          <w:p>
            <w:pPr>
              <w:pStyle w:val="Tabla"/>
            </w:pPr>
            <w:r>
              <w:rPr>
                <w:b/>
                <w:bCs/>
              </w:rPr>
              <w:t xml:space="preserve">Qué es</w:t>
            </w:r>
          </w:p>
        </w:tc>
        <w:tc>
          <w:tcPr>
            <w:tcW w:type="dxa" w:w="2408"/>
            <w:shd w:fill="DFEAF0" w:val="clear"/>
            <w:tcMar>
              <w:top w:type="dxa" w:w="80"/>
              <w:left w:type="dxa" w:w="100"/>
              <w:bottom w:type="dxa" w:w="80"/>
              <w:right w:type="dxa" w:w="100"/>
            </w:tcMar>
          </w:tcPr>
          <w:p>
            <w:pPr>
              <w:pStyle w:val="Tabla"/>
            </w:pPr>
            <w:r>
              <w:rPr>
                <w:b/>
                <w:bCs/>
              </w:rPr>
              <w:t xml:space="preserve">Fuente</w:t>
            </w:r>
          </w:p>
        </w:tc>
      </w:tr>
      <w:tr>
        <w:trPr>
          <w:cantSplit/>
          <w:tblHeader w:val="off"/>
        </w:trPr>
        <w:tc>
          <w:tcPr>
            <w:tcW w:type="dxa" w:w="2408"/>
            <w:tcMar>
              <w:top w:type="dxa" w:w="80"/>
              <w:left w:type="dxa" w:w="100"/>
              <w:bottom w:type="dxa" w:w="80"/>
              <w:right w:type="dxa" w:w="100"/>
            </w:tcMar>
          </w:tcPr>
          <w:p>
            <w:pPr>
              <w:pStyle w:val="Tabla"/>
            </w:pPr>
            <w:r>
              <w:t xml:space="preserve">Retroalimentación</w:t>
            </w:r>
          </w:p>
        </w:tc>
        <w:tc>
          <w:tcPr>
            <w:tcW w:type="dxa" w:w="2408"/>
            <w:tcMar>
              <w:top w:type="dxa" w:w="80"/>
              <w:left w:type="dxa" w:w="100"/>
              <w:bottom w:type="dxa" w:w="80"/>
              <w:right w:type="dxa" w:w="100"/>
            </w:tcMar>
          </w:tcPr>
          <w:p>
            <w:pPr>
              <w:pStyle w:val="Tabla"/>
            </w:pPr>
            <w:r>
              <w:t xml:space="preserve">enfoque tradicional de sistemas</w:t>
            </w:r>
          </w:p>
        </w:tc>
        <w:tc>
          <w:tcPr>
            <w:tcW w:type="dxa" w:w="2408"/>
            <w:tcMar>
              <w:top w:type="dxa" w:w="80"/>
              <w:left w:type="dxa" w:w="100"/>
              <w:bottom w:type="dxa" w:w="80"/>
              <w:right w:type="dxa" w:w="100"/>
            </w:tcMar>
          </w:tcPr>
          <w:p>
            <w:pPr>
              <w:pStyle w:val="Tabla"/>
            </w:pPr>
            <w:r>
              <w:t xml:space="preserve">La información que vuelve al final del proceso —insumo, proceso, producto— para comparar el resultado con el deseado y corregir. Es una parte del sistema, demarcada por…</w:t>
            </w:r>
          </w:p>
        </w:tc>
        <w:tc>
          <w:tcPr>
            <w:tcW w:type="dxa" w:w="2408"/>
            <w:tcMar>
              <w:top w:type="dxa" w:w="80"/>
              <w:left w:type="dxa" w:w="100"/>
              <w:bottom w:type="dxa" w:w="80"/>
              <w:right w:type="dxa" w:w="100"/>
            </w:tcMar>
          </w:tcPr>
          <w:p>
            <w:pPr>
              <w:pStyle w:val="Tabla"/>
            </w:pPr>
            <w:r>
              <w:t xml:space="preserve">Echeverri y Franco, cap. VIII · lectura L-13</w:t>
            </w:r>
          </w:p>
        </w:tc>
      </w:tr>
      <w:tr>
        <w:trPr>
          <w:cantSplit/>
          <w:tblHeader w:val="off"/>
        </w:trPr>
        <w:tc>
          <w:tcPr>
            <w:tcW w:type="dxa" w:w="2408"/>
            <w:tcMar>
              <w:top w:type="dxa" w:w="80"/>
              <w:left w:type="dxa" w:w="100"/>
              <w:bottom w:type="dxa" w:w="80"/>
              <w:right w:type="dxa" w:w="100"/>
            </w:tcMar>
          </w:tcPr>
          <w:p>
            <w:pPr>
              <w:pStyle w:val="Tabla"/>
            </w:pPr>
            <w:r>
              <w:t xml:space="preserve">Realimentación</w:t>
            </w:r>
          </w:p>
        </w:tc>
        <w:tc>
          <w:tcPr>
            <w:tcW w:type="dxa" w:w="2408"/>
            <w:tcMar>
              <w:top w:type="dxa" w:w="80"/>
              <w:left w:type="dxa" w:w="100"/>
              <w:bottom w:type="dxa" w:w="80"/>
              <w:right w:type="dxa" w:w="100"/>
            </w:tcMar>
          </w:tcPr>
          <w:p>
            <w:pPr>
              <w:pStyle w:val="Tabla"/>
            </w:pPr>
            <w:r>
              <w:t xml:space="preserve">pensamiento sistémico</w:t>
            </w:r>
          </w:p>
        </w:tc>
        <w:tc>
          <w:tcPr>
            <w:tcW w:type="dxa" w:w="2408"/>
            <w:tcMar>
              <w:top w:type="dxa" w:w="80"/>
              <w:left w:type="dxa" w:w="100"/>
              <w:bottom w:type="dxa" w:w="80"/>
              <w:right w:type="dxa" w:w="100"/>
            </w:tcMar>
          </w:tcPr>
          <w:p>
            <w:pPr>
              <w:pStyle w:val="Tabla"/>
            </w:pPr>
            <w:r>
              <w:t xml:space="preserve">La influencia permanente de unas variables sobre otras dentro de un ciclo. No es una flecha sino todo el círculo: refuerza en los ciclos R y compensa en los B, sin…</w:t>
            </w:r>
          </w:p>
        </w:tc>
        <w:tc>
          <w:tcPr>
            <w:tcW w:type="dxa" w:w="2408"/>
            <w:tcMar>
              <w:top w:type="dxa" w:w="80"/>
              <w:left w:type="dxa" w:w="100"/>
              <w:bottom w:type="dxa" w:w="80"/>
              <w:right w:type="dxa" w:w="100"/>
            </w:tcMar>
          </w:tcPr>
          <w:p>
            <w:pPr>
              <w:pStyle w:val="Tabla"/>
            </w:pPr>
            <w:r>
              <w:t xml:space="preserve">Echeverri y Franco, cap. VIII · lectura L-13</w:t>
            </w:r>
          </w:p>
        </w:tc>
      </w:tr>
      <w:tr>
        <w:trPr>
          <w:cantSplit/>
          <w:tblHeader w:val="off"/>
        </w:trPr>
        <w:tc>
          <w:tcPr>
            <w:tcW w:type="dxa" w:w="2408"/>
            <w:tcMar>
              <w:top w:type="dxa" w:w="80"/>
              <w:left w:type="dxa" w:w="100"/>
              <w:bottom w:type="dxa" w:w="80"/>
              <w:right w:type="dxa" w:w="100"/>
            </w:tcMar>
          </w:tcPr>
          <w:p>
            <w:pPr>
              <w:pStyle w:val="Tabla"/>
            </w:pPr>
            <w:r>
              <w:t xml:space="preserve">Proalimentación</w:t>
            </w:r>
          </w:p>
        </w:tc>
        <w:tc>
          <w:tcPr>
            <w:tcW w:type="dxa" w:w="2408"/>
            <w:tcMar>
              <w:top w:type="dxa" w:w="80"/>
              <w:left w:type="dxa" w:w="100"/>
              <w:bottom w:type="dxa" w:w="80"/>
              <w:right w:type="dxa" w:w="100"/>
            </w:tcMar>
          </w:tcPr>
          <w:p>
            <w:pPr>
              <w:pStyle w:val="Tabla"/>
            </w:pPr>
            <w:r>
              <w:t xml:space="preserve">anticipación de un cambio</w:t>
            </w:r>
          </w:p>
        </w:tc>
        <w:tc>
          <w:tcPr>
            <w:tcW w:type="dxa" w:w="2408"/>
            <w:tcMar>
              <w:top w:type="dxa" w:w="80"/>
              <w:left w:type="dxa" w:w="100"/>
              <w:bottom w:type="dxa" w:w="80"/>
              <w:right w:type="dxa" w:w="100"/>
            </w:tcMar>
          </w:tcPr>
          <w:p>
            <w:pPr>
              <w:pStyle w:val="Tabla"/>
            </w:pPr>
            <w:r>
              <w:t xml:space="preserve">Una predicción o anticipación que modifica el futuro por el solo hecho de formularse. Es de compensación cuando conduce al sistema al estado predicho —la profecía que se…</w:t>
            </w:r>
          </w:p>
        </w:tc>
        <w:tc>
          <w:tcPr>
            <w:tcW w:type="dxa" w:w="2408"/>
            <w:tcMar>
              <w:top w:type="dxa" w:w="80"/>
              <w:left w:type="dxa" w:w="100"/>
              <w:bottom w:type="dxa" w:w="80"/>
              <w:right w:type="dxa" w:w="100"/>
            </w:tcMar>
          </w:tcPr>
          <w:p>
            <w:pPr>
              <w:pStyle w:val="Tabla"/>
            </w:pPr>
            <w:r>
              <w:t xml:space="preserve">O’Connor y McDermott, cap. 2 · lectura L-11</w:t>
            </w:r>
          </w:p>
        </w:tc>
      </w:tr>
    </w:tbl>
    <w:p>
      <w:pPr>
        <w:pStyle w:val="Fuente"/>
      </w:pPr>
      <w:r>
        <w:t xml:space="preserve">La proalimentación sí se dictó (clase 16, lámina c16-08); la distinción entre retroalimentación y realimentación viene de la lectura L-13.</w:t>
      </w:r>
    </w:p>
    <w:p>
      <w:pPr>
        <w:pStyle w:val="Heading3"/>
      </w:pPr>
      <w:bookmarkStart w:name="b_tabla_3_4_g2_retro_vs_reali" w:id="2649"/>
      <w:r>
        <w:t xml:space="preserve">Retroalimentación frente a realimentación</w:t>
      </w:r>
      <w:bookmarkEnd w:id="2649"/>
    </w:p>
    <w:tbl>
      <w:tblPr>
        <w:tblW w:type="dxa" w:w="9632"/>
        <w:tblBorders>
          <w:top w:val="single" w:color="C5D5DB" w:sz="4"/>
          <w:left w:val="single" w:color="C5D5DB" w:sz="4"/>
          <w:bottom w:val="single" w:color="C5D5DB" w:sz="4"/>
          <w:right w:val="single" w:color="C5D5DB" w:sz="4"/>
          <w:insideH w:val="single" w:color="E4E9EB" w:sz="3"/>
          <w:insideV w:val="single" w:color="E4E9EB" w:sz="3"/>
        </w:tblBorders>
        <w:tblLayout w:type="fixed"/>
      </w:tblPr>
      <w:tblGrid>
        <w:gridCol w:w="4816"/>
        <w:gridCol w:w="4816"/>
      </w:tblGrid>
      <w:tr>
        <w:trPr>
          <w:cantSplit/>
          <w:tblHeader/>
        </w:trPr>
        <w:tc>
          <w:tcPr>
            <w:tcW w:type="dxa" w:w="4816"/>
            <w:shd w:fill="DFEAF0" w:val="clear"/>
            <w:tcMar>
              <w:top w:type="dxa" w:w="80"/>
              <w:left w:type="dxa" w:w="100"/>
              <w:bottom w:type="dxa" w:w="80"/>
              <w:right w:type="dxa" w:w="100"/>
            </w:tcMar>
          </w:tcPr>
          <w:p>
            <w:pPr>
              <w:pStyle w:val="Tabla"/>
            </w:pPr>
            <w:r>
              <w:rPr>
                <w:b/>
                <w:bCs/>
              </w:rPr>
              <w:t xml:space="preserve">Retroalimentación</w:t>
            </w:r>
          </w:p>
        </w:tc>
        <w:tc>
          <w:tcPr>
            <w:tcW w:type="dxa" w:w="4816"/>
            <w:shd w:fill="DFEAF0" w:val="clear"/>
            <w:tcMar>
              <w:top w:type="dxa" w:w="80"/>
              <w:left w:type="dxa" w:w="100"/>
              <w:bottom w:type="dxa" w:w="80"/>
              <w:right w:type="dxa" w:w="100"/>
            </w:tcMar>
          </w:tcPr>
          <w:p>
            <w:pPr>
              <w:pStyle w:val="Tabla"/>
            </w:pPr>
            <w:r>
              <w:rPr>
                <w:b/>
                <w:bCs/>
              </w:rPr>
              <w:t xml:space="preserve">Realimentación</w:t>
            </w:r>
          </w:p>
        </w:tc>
      </w:tr>
      <w:tr>
        <w:trPr>
          <w:cantSplit/>
          <w:tblHeader w:val="off"/>
        </w:trPr>
        <w:tc>
          <w:tcPr>
            <w:tcW w:type="dxa" w:w="4816"/>
            <w:tcMar>
              <w:top w:type="dxa" w:w="80"/>
              <w:left w:type="dxa" w:w="100"/>
              <w:bottom w:type="dxa" w:w="80"/>
              <w:right w:type="dxa" w:w="100"/>
            </w:tcMar>
          </w:tcPr>
          <w:p>
            <w:pPr>
              <w:pStyle w:val="Tabla"/>
            </w:pPr>
            <w:r>
              <w:t xml:space="preserve">Enfoque tradicional de sistemas</w:t>
            </w:r>
          </w:p>
        </w:tc>
        <w:tc>
          <w:tcPr>
            <w:tcW w:type="dxa" w:w="4816"/>
            <w:tcMar>
              <w:top w:type="dxa" w:w="80"/>
              <w:left w:type="dxa" w:w="100"/>
              <w:bottom w:type="dxa" w:w="80"/>
              <w:right w:type="dxa" w:w="100"/>
            </w:tcMar>
          </w:tcPr>
          <w:p>
            <w:pPr>
              <w:pStyle w:val="Tabla"/>
            </w:pPr>
            <w:r>
              <w:t xml:space="preserve">Pensamiento sistémico</w:t>
            </w:r>
          </w:p>
        </w:tc>
      </w:tr>
      <w:tr>
        <w:trPr>
          <w:cantSplit/>
          <w:tblHeader w:val="off"/>
        </w:trPr>
        <w:tc>
          <w:tcPr>
            <w:tcW w:type="dxa" w:w="4816"/>
            <w:tcMar>
              <w:top w:type="dxa" w:w="80"/>
              <w:left w:type="dxa" w:w="100"/>
              <w:bottom w:type="dxa" w:w="80"/>
              <w:right w:type="dxa" w:w="100"/>
            </w:tcMar>
          </w:tcPr>
          <w:p>
            <w:pPr>
              <w:pStyle w:val="Tabla"/>
            </w:pPr>
            <w:r>
              <w:t xml:space="preserve">Secuencia y cronología</w:t>
            </w:r>
          </w:p>
        </w:tc>
        <w:tc>
          <w:tcPr>
            <w:tcW w:type="dxa" w:w="4816"/>
            <w:tcMar>
              <w:top w:type="dxa" w:w="80"/>
              <w:left w:type="dxa" w:w="100"/>
              <w:bottom w:type="dxa" w:w="80"/>
              <w:right w:type="dxa" w:w="100"/>
            </w:tcMar>
          </w:tcPr>
          <w:p>
            <w:pPr>
              <w:pStyle w:val="Tabla"/>
            </w:pPr>
            <w:r>
              <w:t xml:space="preserve">Influencia</w:t>
            </w:r>
          </w:p>
        </w:tc>
      </w:tr>
      <w:tr>
        <w:trPr>
          <w:cantSplit/>
          <w:tblHeader w:val="off"/>
        </w:trPr>
        <w:tc>
          <w:tcPr>
            <w:tcW w:type="dxa" w:w="4816"/>
            <w:tcMar>
              <w:top w:type="dxa" w:w="80"/>
              <w:left w:type="dxa" w:w="100"/>
              <w:bottom w:type="dxa" w:w="80"/>
              <w:right w:type="dxa" w:w="100"/>
            </w:tcMar>
          </w:tcPr>
          <w:p>
            <w:pPr>
              <w:pStyle w:val="Tabla"/>
            </w:pPr>
            <w:r>
              <w:t xml:space="preserve">Parte del sistema</w:t>
            </w:r>
          </w:p>
        </w:tc>
        <w:tc>
          <w:tcPr>
            <w:tcW w:type="dxa" w:w="4816"/>
            <w:tcMar>
              <w:top w:type="dxa" w:w="80"/>
              <w:left w:type="dxa" w:w="100"/>
              <w:bottom w:type="dxa" w:w="80"/>
              <w:right w:type="dxa" w:w="100"/>
            </w:tcMar>
          </w:tcPr>
          <w:p>
            <w:pPr>
              <w:pStyle w:val="Tabla"/>
            </w:pPr>
            <w:r>
              <w:t xml:space="preserve">Sistema como tal</w:t>
            </w:r>
          </w:p>
        </w:tc>
      </w:tr>
      <w:tr>
        <w:trPr>
          <w:cantSplit/>
          <w:tblHeader w:val="off"/>
        </w:trPr>
        <w:tc>
          <w:tcPr>
            <w:tcW w:type="dxa" w:w="4816"/>
            <w:tcMar>
              <w:top w:type="dxa" w:w="80"/>
              <w:left w:type="dxa" w:w="100"/>
              <w:bottom w:type="dxa" w:w="80"/>
              <w:right w:type="dxa" w:w="100"/>
            </w:tcMar>
          </w:tcPr>
          <w:p>
            <w:pPr>
              <w:pStyle w:val="Tabla"/>
            </w:pPr>
            <w:r>
              <w:t xml:space="preserve">Opinión, evaluación, corrección, mejoramiento</w:t>
            </w:r>
          </w:p>
        </w:tc>
        <w:tc>
          <w:tcPr>
            <w:tcW w:type="dxa" w:w="4816"/>
            <w:tcMar>
              <w:top w:type="dxa" w:w="80"/>
              <w:left w:type="dxa" w:w="100"/>
              <w:bottom w:type="dxa" w:w="80"/>
              <w:right w:type="dxa" w:w="100"/>
            </w:tcMar>
          </w:tcPr>
          <w:p>
            <w:pPr>
              <w:pStyle w:val="Tabla"/>
            </w:pPr>
            <w:r>
              <w:t xml:space="preserve">Pautas de conducta del sistema</w:t>
            </w:r>
          </w:p>
        </w:tc>
      </w:tr>
      <w:tr>
        <w:trPr>
          <w:cantSplit/>
          <w:tblHeader w:val="off"/>
        </w:trPr>
        <w:tc>
          <w:tcPr>
            <w:tcW w:type="dxa" w:w="4816"/>
            <w:tcMar>
              <w:top w:type="dxa" w:w="80"/>
              <w:left w:type="dxa" w:w="100"/>
              <w:bottom w:type="dxa" w:w="80"/>
              <w:right w:type="dxa" w:w="100"/>
            </w:tcMar>
          </w:tcPr>
          <w:p>
            <w:pPr>
              <w:pStyle w:val="Tabla"/>
            </w:pPr>
            <w:r>
              <w:t xml:space="preserve">Aparece al final del proceso</w:t>
            </w:r>
          </w:p>
        </w:tc>
        <w:tc>
          <w:tcPr>
            <w:tcW w:type="dxa" w:w="4816"/>
            <w:tcMar>
              <w:top w:type="dxa" w:w="80"/>
              <w:left w:type="dxa" w:w="100"/>
              <w:bottom w:type="dxa" w:w="80"/>
              <w:right w:type="dxa" w:w="100"/>
            </w:tcMar>
          </w:tcPr>
          <w:p>
            <w:pPr>
              <w:pStyle w:val="Tabla"/>
            </w:pPr>
            <w:r>
              <w:t xml:space="preserve">Es todo el sistema; no aparece en el proceso</w:t>
            </w:r>
          </w:p>
        </w:tc>
      </w:tr>
      <w:tr>
        <w:trPr>
          <w:cantSplit/>
          <w:tblHeader w:val="off"/>
        </w:trPr>
        <w:tc>
          <w:tcPr>
            <w:tcW w:type="dxa" w:w="4816"/>
            <w:tcMar>
              <w:top w:type="dxa" w:w="80"/>
              <w:left w:type="dxa" w:w="100"/>
              <w:bottom w:type="dxa" w:w="80"/>
              <w:right w:type="dxa" w:w="100"/>
            </w:tcMar>
          </w:tcPr>
          <w:p>
            <w:pPr>
              <w:pStyle w:val="Tabla"/>
            </w:pPr>
            <w:r>
              <w:t xml:space="preserve">Información de retorno</w:t>
            </w:r>
          </w:p>
        </w:tc>
        <w:tc>
          <w:tcPr>
            <w:tcW w:type="dxa" w:w="4816"/>
            <w:tcMar>
              <w:top w:type="dxa" w:w="80"/>
              <w:left w:type="dxa" w:w="100"/>
              <w:bottom w:type="dxa" w:w="80"/>
              <w:right w:type="dxa" w:w="100"/>
            </w:tcMar>
          </w:tcPr>
          <w:p>
            <w:pPr>
              <w:pStyle w:val="Tabla"/>
            </w:pPr>
            <w:r>
              <w:t xml:space="preserve">Dinámica del sistema</w:t>
            </w:r>
          </w:p>
        </w:tc>
      </w:tr>
      <w:tr>
        <w:trPr>
          <w:cantSplit/>
          <w:tblHeader w:val="off"/>
        </w:trPr>
        <w:tc>
          <w:tcPr>
            <w:tcW w:type="dxa" w:w="4816"/>
            <w:tcMar>
              <w:top w:type="dxa" w:w="80"/>
              <w:left w:type="dxa" w:w="100"/>
              <w:bottom w:type="dxa" w:w="80"/>
              <w:right w:type="dxa" w:w="100"/>
            </w:tcMar>
          </w:tcPr>
          <w:p>
            <w:pPr>
              <w:pStyle w:val="Tabla"/>
            </w:pPr>
            <w:r>
              <w:t xml:space="preserve">Sistemas y subsistemas</w:t>
            </w:r>
          </w:p>
        </w:tc>
        <w:tc>
          <w:tcPr>
            <w:tcW w:type="dxa" w:w="4816"/>
            <w:tcMar>
              <w:top w:type="dxa" w:w="80"/>
              <w:left w:type="dxa" w:w="100"/>
              <w:bottom w:type="dxa" w:w="80"/>
              <w:right w:type="dxa" w:w="100"/>
            </w:tcMar>
          </w:tcPr>
          <w:p>
            <w:pPr>
              <w:pStyle w:val="Tabla"/>
            </w:pPr>
            <w:r>
              <w:t xml:space="preserve">Sistemas simples y complejos</w:t>
            </w:r>
          </w:p>
        </w:tc>
      </w:tr>
    </w:tbl>
    <w:p>
      <w:pPr>
        <w:pStyle w:val="Fuente"/>
      </w:pPr>
      <w:r>
        <w:t xml:space="preserve">Figura 29 de Echeverri y Franco, lectura L-13. Tabla de lectura, no de clase.</w:t>
      </w:r>
    </w:p>
    <w:p>
      <w:pPr>
        <w:pStyle w:val="Heading3"/>
      </w:pPr>
      <w:r>
        <w:t xml:space="preserve">Lo que dicen las presentaciones</w:t>
      </w:r>
    </w:p>
    <w:p>
      <w:pPr>
        <w:pStyle w:val="Heading3"/>
      </w:pPr>
      <w:bookmarkStart w:name="b_pagina_3_4_C_2_p35" w:id="2650"/>
      <w:r>
        <w:t xml:space="preserve">C-2 · página 35 · Hacer conexiones significativas en contextos distintos</w:t>
      </w:r>
      <w:bookmarkEnd w:id="2650"/>
    </w:p>
    <w:p>
      <w:pPr>
        <w:pStyle w:val="Normal"/>
      </w:pPr>
      <w:r>
        <w:t xml:space="preserve">Naturaleza,aprendizaje y relaciones humanas exigen distinguir conexiones útiles; la planta sirve de ejemplo de dependencias.</w:t>
      </w:r>
    </w:p>
    <w:p>
      <w:pPr>
        <w:pStyle w:val="Fuente"/>
      </w:pPr>
      <w:r>
        <w:t xml:space="preserve">Proyección o explicación: Clase 12 · 00:45:39 · captura c12-03.</w:t>
      </w:r>
    </w:p>
    <w:p>
      <w:bookmarkStart w:name="b_punto_c2_p035_02" w:id="2651"/>
      <w:r>
        <w:t xml:space="preserve">Decir que todo está conectado es trivial si no se distingue qué conexiones aportan información significativa.</w:t>
      </w:r>
      <w:bookmarkEnd w:id="2651"/>
    </w:p>
    <w:p>
      <w:bookmarkStart w:name="b_punto_c2_p035_03" w:id="2652"/>
      <w:r>
        <w:t xml:space="preserve">El ciclo semilla,planta,flor,fruto y semillas enlaza partes internas y permite reconocer su dependencia mutua.</w:t>
      </w:r>
      <w:bookmarkEnd w:id="2652"/>
    </w:p>
    <w:p>
      <w:bookmarkStart w:name="b_punto_c2_p035_04" w:id="2653"/>
      <w:r>
        <w:t xml:space="preserve">La planta depende además de polinizadores,sol,viento,agua y condiciones del medio; el agricultor necesita considerar estas entradas y salidas.</w:t>
      </w:r>
      <w:bookmarkEnd w:id="2653"/>
    </w:p>
    <w:p>
      <w:pPr>
        <w:pStyle w:val="Fuente"/>
      </w:pPr>
      <w:r>
        <w:t xml:space="preserve">Véase </w:t>
      </w:r>
      <w:hyperlink w:history="1" w:anchor="b_3_9">
        <w:r>
          <w:rPr>
            <w:color w:val="156B70"/>
            <w:u w:val="single"/>
          </w:rPr>
          <w:t xml:space="preserve">capítulo 3.9 · Hábitos (complejo)</w:t>
        </w:r>
      </w:hyperlink>
      <w:r>
        <w:t xml:space="preserve">, pág. </w:t>
      </w:r>
      <w:r>
        <w:fldChar w:fldCharType="begin"/>
        <w:instrText xml:space="preserve">PAGEREF b_3_9 \h</w:instrText>
        <w:fldChar w:fldCharType="separate"/>
        <w:t xml:space="preserve">622</w:t>
        <w:fldChar w:fldCharType="end"/>
      </w:r>
      <w:r>
        <w:t xml:space="preserve">.</w:t>
      </w:r>
    </w:p>
    <w:p>
      <w:pPr>
        <w:pStyle w:val="Heading3"/>
      </w:pPr>
      <w:bookmarkStart w:name="b_pagina_3_4_C_2_p38" w:id="2654"/>
      <w:r>
        <w:t xml:space="preserve">C-2 · página 38 · Las conexiones del bosque que no se ven</w:t>
      </w:r>
      <w:bookmarkEnd w:id="2654"/>
    </w:p>
    <w:p>
      <w:pPr>
        <w:pStyle w:val="Normal"/>
      </w:pPr>
      <w:r>
        <w:t xml:space="preserve">El reportaje sobre redes bajo el bosque recuerda que las relaciones relevantes pueden requerir observación y evidencia adicionales.</w:t>
      </w:r>
    </w:p>
    <w:p>
      <w:pPr>
        <w:pStyle w:val="Fuente"/>
      </w:pPr>
      <w:r>
        <w:t xml:space="preserve">Proyección o explicación: Clase 12 · 01:16:33 · captura c12-06.</w:t>
      </w:r>
    </w:p>
    <w:p>
      <w:bookmarkStart w:name="b_punto_c2_p038_01" w:id="2655"/>
      <w:r>
        <w:t xml:space="preserve">La naturaleza se comprende por relaciones entre elementos y no como objetos aislados.</w:t>
      </w:r>
      <w:bookmarkEnd w:id="2655"/>
    </w:p>
    <w:p>
      <w:bookmarkStart w:name="b_punto_c2_p038_02" w:id="2656"/>
      <w:r>
        <w:t xml:space="preserve">La red subterránea de hongos y raíces muestra relaciones que no se perciben a simple vista y pueden explicar el comportamiento del sistema.</w:t>
      </w:r>
      <w:bookmarkEnd w:id="2656"/>
    </w:p>
    <w:p>
      <w:pPr>
        <w:pStyle w:val="Fuente"/>
      </w:pPr>
      <w:r>
        <w:t xml:space="preserve">Véase </w:t>
      </w:r>
      <w:hyperlink w:history="1" w:anchor="b_3_1">
        <w:r>
          <w:rPr>
            <w:color w:val="156B70"/>
            <w:u w:val="single"/>
          </w:rPr>
          <w:t xml:space="preserve">capítulo 3.1 · Mapas sistémicos</w:t>
        </w:r>
      </w:hyperlink>
      <w:r>
        <w:t xml:space="preserve">, pág. </w:t>
      </w:r>
      <w:r>
        <w:fldChar w:fldCharType="begin"/>
        <w:instrText xml:space="preserve">PAGEREF b_3_1 \h</w:instrText>
        <w:fldChar w:fldCharType="separate"/>
        <w:t xml:space="preserve">379</w:t>
        <w:fldChar w:fldCharType="end"/>
      </w:r>
      <w:r>
        <w:t xml:space="preserve">.</w:t>
      </w:r>
    </w:p>
    <w:p>
      <w:pPr>
        <w:pStyle w:val="Heading3"/>
      </w:pPr>
      <w:bookmarkStart w:name="b_pagina_3_4_C_2_p42" w:id="2657"/>
      <w:r>
        <w:t xml:space="preserve">C-2 · página 42 · Conexiones en sistemas humanos</w:t>
      </w:r>
      <w:bookmarkEnd w:id="2657"/>
    </w:p>
    <w:p>
      <w:pPr>
        <w:pStyle w:val="Normal"/>
      </w:pPr>
      <w:r>
        <w:t xml:space="preserve">La interacción entre personas puede formar un ciclo de refuerzo y el mismo individuo participa en redes humanas distintas.</w:t>
      </w:r>
    </w:p>
    <w:p>
      <w:pPr>
        <w:pStyle w:val="Fuente"/>
      </w:pPr>
      <w:r>
        <w:t xml:space="preserve">Proyección o explicación: Clase 13 · 00:17:30 · captura c13-02.</w:t>
      </w:r>
    </w:p>
    <w:p>
      <w:pPr>
        <w:pStyle w:val="Fuente"/>
      </w:pPr>
      <w:r>
        <w:t xml:space="preserve">Véase </w:t>
      </w:r>
      <w:hyperlink w:history="1" w:anchor="b_figura_original_pagina_C_2_42">
        <w:r>
          <w:rPr>
            <w:color w:val="156B70"/>
            <w:u w:val="single"/>
          </w:rPr>
          <w:t xml:space="preserve">imagen de C-2, página 42</w:t>
        </w:r>
      </w:hyperlink>
      <w:r>
        <w:t xml:space="preserve">, pág. </w:t>
      </w:r>
      <w:r>
        <w:fldChar w:fldCharType="begin"/>
        <w:instrText xml:space="preserve">PAGEREF b_figura_original_pagina_C_2_42 \h</w:instrText>
        <w:fldChar w:fldCharType="separate"/>
        <w:t xml:space="preserve">628</w:t>
        <w:fldChar w:fldCharType="end"/>
      </w:r>
      <w:r>
        <w:t xml:space="preserve">.</w:t>
      </w:r>
    </w:p>
    <w:p>
      <w:bookmarkStart w:name="b_punto_c2_p042_03" w:id="2658"/>
      <w:r>
        <w:t xml:space="preserve">El vínculo entre conexiones humanas y bienestar es un modelo didáctico del deck. Su referencia incompleta no permite afirmar un efecto universal idéntico para introvertidos y extrovertidos.</w:t>
      </w:r>
      <w:bookmarkEnd w:id="2658"/>
    </w:p>
    <w:p>
      <w:bookmarkStart w:name="b_punto_c2_p042_04" w:id="2659"/>
      <w:r>
        <w:t xml:space="preserve">La figura de personas enlazadas representa una estructura densa de interacciones;aún debe nombrarse qué relación significa cada línea para analizarla.</w:t>
      </w:r>
      <w:bookmarkEnd w:id="2659"/>
    </w:p>
    <w:p>
      <w:pPr>
        <w:pStyle w:val="Fuente"/>
      </w:pPr>
      <w:r>
        <w:t xml:space="preserve">Véase </w:t>
      </w:r>
      <w:hyperlink w:history="1" w:anchor="b_3_9">
        <w:r>
          <w:rPr>
            <w:color w:val="156B70"/>
            <w:u w:val="single"/>
          </w:rPr>
          <w:t xml:space="preserve">capítulo 3.9 · Hábitos (complejo)</w:t>
        </w:r>
      </w:hyperlink>
      <w:r>
        <w:t xml:space="preserve">, pág. </w:t>
      </w:r>
      <w:r>
        <w:fldChar w:fldCharType="begin"/>
        <w:instrText xml:space="preserve">PAGEREF b_3_9 \h</w:instrText>
        <w:fldChar w:fldCharType="separate"/>
        <w:t xml:space="preserve">622</w:t>
        <w:fldChar w:fldCharType="end"/>
      </w:r>
      <w:r>
        <w:t xml:space="preserve">.</w:t>
      </w:r>
    </w:p>
    <w:p>
      <w:pPr>
        <w:pStyle w:val="Heading3"/>
      </w:pPr>
      <w:bookmarkStart w:name="b_pagina_3_4_C_2_p43" w:id="2660"/>
      <w:r>
        <w:t xml:space="preserve">C-2 · página 43 · Hábito de reconocer causalidad circular</w:t>
      </w:r>
      <w:bookmarkEnd w:id="2660"/>
    </w:p>
    <w:p>
      <w:pPr>
        <w:pStyle w:val="Normal"/>
      </w:pPr>
      <w:r>
        <w:t xml:space="preserve">Las interdependencias se buscan como recorridos donde el efecto vuelve a afectar a su causa; tres preguntas guían su exploración.</w:t>
      </w:r>
    </w:p>
    <w:p>
      <w:pPr>
        <w:pStyle w:val="Fuente"/>
      </w:pPr>
      <w:r>
        <w:t xml:space="preserve">Proyección o explicación: Clase 13 · 00:25:23 · captura c13-03.</w:t>
      </w:r>
    </w:p>
    <w:p>
      <w:bookmarkStart w:name="b_punto_c2_p043_02" w:id="2661"/>
      <w:r>
        <w:t xml:space="preserve">La abeja y la flor conectadas en ambos sentidos ilustran una relación de retroalimentación natural.</w:t>
      </w:r>
      <w:bookmarkEnd w:id="2661"/>
    </w:p>
    <w:p>
      <w:bookmarkStart w:name="b_punto_c2_p043_03" w:id="2662"/>
      <w:r>
        <w:t xml:space="preserve">Primera pregunta: cómo se afectan entre sí las partes del sistema.</w:t>
      </w:r>
      <w:bookmarkEnd w:id="2662"/>
    </w:p>
    <w:p>
      <w:bookmarkStart w:name="b_punto_c2_p043_04" w:id="2663"/>
      <w:r>
        <w:t xml:space="preserve">Segunda pregunta: dónde aparece el retorno que cierra el circuito de causalidad.</w:t>
      </w:r>
      <w:bookmarkEnd w:id="2663"/>
    </w:p>
    <w:p>
      <w:bookmarkStart w:name="b_punto_c2_p043_05" w:id="2664"/>
      <w:r>
        <w:t xml:space="preserve">Tercera pregunta: qué circuito puede ser más influyente a largo plazo y por qué.</w:t>
      </w:r>
      <w:bookmarkEnd w:id="2664"/>
    </w:p>
    <w:p>
      <w:pPr>
        <w:pStyle w:val="Fuente"/>
      </w:pPr>
      <w:r>
        <w:t xml:space="preserve">Véase </w:t>
      </w:r>
      <w:hyperlink w:history="1" w:anchor="b_3_9">
        <w:r>
          <w:rPr>
            <w:color w:val="156B70"/>
            <w:u w:val="single"/>
          </w:rPr>
          <w:t xml:space="preserve">capítulo 3.9 · Hábitos (complejo)</w:t>
        </w:r>
      </w:hyperlink>
      <w:r>
        <w:t xml:space="preserve">, pág. </w:t>
      </w:r>
      <w:r>
        <w:fldChar w:fldCharType="begin"/>
        <w:instrText xml:space="preserve">PAGEREF b_3_9 \h</w:instrText>
        <w:fldChar w:fldCharType="separate"/>
        <w:t xml:space="preserve">622</w:t>
        <w:fldChar w:fldCharType="end"/>
      </w:r>
      <w:r>
        <w:t xml:space="preserve">.</w:t>
      </w:r>
    </w:p>
    <w:p>
      <w:pPr>
        <w:pStyle w:val="Heading3"/>
      </w:pPr>
      <w:bookmarkStart w:name="b_pagina_3_4_C_2_p45" w:id="2665"/>
      <w:r>
        <w:t xml:space="preserve">C-2 · página 45 · Modelando historias sobre la dinámica de los sistemas</w:t>
      </w:r>
      <w:bookmarkEnd w:id="2665"/>
    </w:p>
    <w:p>
      <w:pPr>
        <w:pStyle w:val="Normal"/>
      </w:pPr>
      <w:r>
        <w:t xml:space="preserve">DCC y variables representan historias circulares; practicar su lectura ayuda a anticipar consecuencias.</w:t>
      </w:r>
    </w:p>
    <w:p>
      <w:pPr>
        <w:pStyle w:val="Fuente"/>
      </w:pPr>
      <w:r>
        <w:t xml:space="preserve">Proyección o explicación: Clase 13 · 00:37:21 · captura c13-05.</w:t>
      </w:r>
    </w:p>
    <w:p>
      <w:bookmarkStart w:name="b_punto_c2_p045_04" w:id="2666"/>
      <w:r>
        <w:t xml:space="preserve">Reconocer circularidad permite identificar refuerzo/compensación y anticipar dinámicas y decisiones.</w:t>
      </w:r>
      <w:bookmarkEnd w:id="2666"/>
    </w:p>
    <w:p>
      <w:pPr>
        <w:pStyle w:val="Fuente"/>
      </w:pPr>
      <w:r>
        <w:t xml:space="preserve">Véase </w:t>
      </w:r>
      <w:hyperlink w:history="1" w:anchor="b_3_3">
        <w:r>
          <w:rPr>
            <w:color w:val="156B70"/>
            <w:u w:val="single"/>
          </w:rPr>
          <w:t xml:space="preserve">capítulo 3.3 · Diagramas de ciclos causales</w:t>
        </w:r>
      </w:hyperlink>
      <w:r>
        <w:t xml:space="preserve">, pág. </w:t>
      </w:r>
      <w:r>
        <w:fldChar w:fldCharType="begin"/>
        <w:instrText xml:space="preserve">PAGEREF b_3_3 \h</w:instrText>
        <w:fldChar w:fldCharType="separate"/>
        <w:t xml:space="preserve">443</w:t>
        <w:fldChar w:fldCharType="end"/>
      </w:r>
      <w:r>
        <w:t xml:space="preserve">.</w:t>
      </w:r>
    </w:p>
    <w:p>
      <w:pPr>
        <w:pStyle w:val="Heading3"/>
      </w:pPr>
      <w:bookmarkStart w:name="b_pagina_3_4_C_2_p47" w:id="2667"/>
      <w:r>
        <w:t xml:space="preserve">C-2 · página 47 · Tiempo lineal y tiempo circular</w:t>
      </w:r>
      <w:bookmarkEnd w:id="2667"/>
    </w:p>
    <w:p>
      <w:pPr>
        <w:pStyle w:val="Normal"/>
      </w:pPr>
      <w:r>
        <w:t xml:space="preserve">La analogía del corcho muestra supuestos de la predicción; un futuro imaginado puede orientar la acción presente.</w:t>
      </w:r>
    </w:p>
    <w:p>
      <w:pPr>
        <w:pStyle w:val="Fuente"/>
      </w:pPr>
      <w:r>
        <w:t xml:space="preserve">Proyección o explicación: Clase 13 · 00:53:59 · captura c13-07.</w:t>
      </w:r>
    </w:p>
    <w:p>
      <w:pPr>
        <w:keepNext/>
        <w:spacing w:after="40" w:before="150"/>
        <w:jc w:val="center"/>
      </w:pPr>
      <w:bookmarkStart w:name="b_figura_original_pagina_C_2_47" w:id="2668"/>
      <w:bookmarkEnd w:id="2668"/>
      <w:r>
        <w:drawing>
          <wp:inline distT="0" distB="0" distL="0" distR="0">
            <wp:extent cx="5381625" cy="4162425"/>
            <wp:effectExtent t="0" r="0" b="0" l="0"/>
            <wp:docPr id="60" name="pagina-C-2-47" descr="Presentación C-2, pág. 47" title="Tiempo lineal y tiempo circul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45" cstate="none"/>
                    <a:srcRect/>
                    <a:stretch>
                      <a:fillRect/>
                    </a:stretch>
                  </pic:blipFill>
                  <pic:spPr bwMode="auto">
                    <a:xfrm>
                      <a:off x="0" y="0"/>
                      <a:ext cx="5381625" cy="4162425"/>
                    </a:xfrm>
                    <a:prstGeom prst="rect">
                      <a:avLst/>
                    </a:prstGeom>
                  </pic:spPr>
                </pic:pic>
              </a:graphicData>
            </a:graphic>
          </wp:inline>
        </w:drawing>
      </w:r>
    </w:p>
    <w:p>
      <w:pPr>
        <w:pStyle w:val="PieFigura"/>
        <w:keepNext/>
      </w:pPr>
      <w:bookmarkStart w:name="b_fig_3_4_1" w:id="2669"/>
      <w:r>
        <w:t xml:space="preserve">Figura 3.4.</w:t>
      </w:r>
      <w:fldSimple w:instr="SEQ Figura \r 1 \* ARABIC">
        <w:r>
          <w:t xml:space="preserve">1</w:t>
        </w:r>
      </w:fldSimple>
      <w:r>
        <w:t xml:space="preserve"> · Tiempo lineal y tiempo circular</w:t>
      </w:r>
      <w:bookmarkEnd w:id="2669"/>
    </w:p>
    <w:p>
      <w:pPr>
        <w:pStyle w:val="Fuente"/>
      </w:pPr>
      <w:r>
        <w:t xml:space="preserve">Presentación C-2, pág. 47</w:t>
      </w:r>
    </w:p>
    <w:p>
      <w:bookmarkStart w:name="b_punto_c2_p047_01" w:id="2670"/>
      <w:r>
        <w:t xml:space="preserve">Tiempo lineal: pasado → presente → futuro.</w:t>
      </w:r>
      <w:bookmarkEnd w:id="2670"/>
    </w:p>
    <w:p>
      <w:bookmarkStart w:name="b_punto_c2_p047_02" w:id="2671"/>
      <w:r>
        <w:t xml:space="preserve">Cuando el río ideal y el flujo satisfacen los supuestos, y se reconocen las interferencias excluidas</w:t>
      </w:r>
      <w:bookmarkEnd w:id="2671"/>
    </w:p>
    <w:p>
      <w:bookmarkStart w:name="b_punto_c2_p047_04" w:id="2672"/>
      <w:r>
        <w:t xml:space="preserve">Imaginar el título futuro lleva al deportista a entrenar hoy; imaginar una pintura u obra precede su realización.</w:t>
      </w:r>
      <w:bookmarkEnd w:id="2672"/>
    </w:p>
    <w:p>
      <w:pPr>
        <w:pStyle w:val="Fuente"/>
      </w:pPr>
      <w:r>
        <w:t xml:space="preserve">Véase </w:t>
      </w:r>
      <w:hyperlink w:history="1" w:anchor="b_3_3">
        <w:r>
          <w:rPr>
            <w:color w:val="156B70"/>
            <w:u w:val="single"/>
          </w:rPr>
          <w:t xml:space="preserve">capítulo 3.3 · Diagramas de ciclos causales</w:t>
        </w:r>
      </w:hyperlink>
      <w:r>
        <w:t xml:space="preserve">, pág. </w:t>
      </w:r>
      <w:r>
        <w:fldChar w:fldCharType="begin"/>
        <w:instrText xml:space="preserve">PAGEREF b_3_3 \h</w:instrText>
        <w:fldChar w:fldCharType="separate"/>
        <w:t xml:space="preserve">443</w:t>
        <w:fldChar w:fldCharType="end"/>
      </w:r>
      <w:r>
        <w:t xml:space="preserve">.</w:t>
      </w:r>
    </w:p>
    <w:p>
      <w:pPr>
        <w:pStyle w:val="Heading3"/>
      </w:pPr>
      <w:bookmarkStart w:name="b_pagina_3_4_C_2_p52" w:id="2673"/>
      <w:r>
        <w:t xml:space="preserve">C-2 · página 52 · Pensamiento lineal frente a circular</w:t>
      </w:r>
      <w:bookmarkEnd w:id="2673"/>
    </w:p>
    <w:p>
      <w:pPr>
        <w:pStyle w:val="Normal"/>
      </w:pPr>
      <w:r>
        <w:t xml:space="preserve">Cadenas causa-efecto y problema-solución se contrastan con influencias recíprocas como producción y consumo.</w:t>
      </w:r>
    </w:p>
    <w:p>
      <w:bookmarkStart w:name="b_punto_c2_p052_01" w:id="2674"/>
      <w:r>
        <w:t xml:space="preserve">Causa-efecto, principio-fin, nacimiento-muerte, pregunta-respuesta, problema-solución y estímulo-respuesta son pares de lectura lineal.</w:t>
      </w:r>
      <w:bookmarkEnd w:id="2674"/>
    </w:p>
    <w:p>
      <w:bookmarkStart w:name="b_punto_c2_p052_02" w:id="2675"/>
      <w:r>
        <w:t xml:space="preserve">Producción induce consumo y consumo induce producción: el efecto vuelve sobre la causa.</w:t>
      </w:r>
      <w:bookmarkEnd w:id="2675"/>
    </w:p>
    <w:p>
      <w:bookmarkStart w:name="b_punto_c2_p052_03" w:id="2676"/>
      <w:r>
        <w:t xml:space="preserve">Aprender a ver círculos requiere práctica para reconocer interdependencias en procesos diversos.</w:t>
      </w:r>
      <w:bookmarkEnd w:id="2676"/>
    </w:p>
    <w:p>
      <w:pPr>
        <w:pStyle w:val="Heading3"/>
      </w:pPr>
      <w:bookmarkStart w:name="b_pagina_3_4_C_2_p53" w:id="2677"/>
      <w:r>
        <w:t xml:space="preserve">C-2 · página 53 · El atleta: secuencia frente a regulación</w:t>
      </w:r>
      <w:bookmarkEnd w:id="2677"/>
    </w:p>
    <w:p>
      <w:pPr>
        <w:pStyle w:val="Normal"/>
      </w:pPr>
      <w:r>
        <w:t xml:space="preserve">La recta de cien metros puede ocultar el control de velocidad según objetivo y situación actual.</w:t>
      </w:r>
    </w:p>
    <w:p>
      <w:pPr>
        <w:pStyle w:val="Fuente"/>
      </w:pPr>
      <w:r>
        <w:t xml:space="preserve">Proyección o explicación: Clase 13 · 01:33:20 · captura c13-10.</w:t>
      </w:r>
    </w:p>
    <w:p>
      <w:bookmarkStart w:name="b_punto_c2_p053_01" w:id="2678"/>
      <w:r>
        <w:t xml:space="preserve">Partir → correr → llegar describe la secuencia, pero la recta física no prueba dinámica lineal.</w:t>
      </w:r>
      <w:bookmarkEnd w:id="2678"/>
    </w:p>
    <w:p>
      <w:bookmarkStart w:name="b_punto_c2_p053_02" w:id="2679"/>
      <w:r>
        <w:t xml:space="preserve">Objetivo de ganar, brecha percibida, velocidad y situación actual forman un control circular.</w:t>
      </w:r>
      <w:bookmarkEnd w:id="2679"/>
    </w:p>
    <w:p>
      <w:bookmarkStart w:name="b_punto_c2_p053_03" w:id="2680"/>
      <w:r>
        <w:t xml:space="preserve">Distancia pendiente y ritmo de los competidores llevan al atleta a ajustar velocidad mientras no llega a la meta.</w:t>
      </w:r>
      <w:bookmarkEnd w:id="2680"/>
    </w:p>
    <w:p>
      <w:pPr>
        <w:pStyle w:val="Heading3"/>
      </w:pPr>
      <w:bookmarkStart w:name="b_pagina_3_4_C_2_p55" w:id="2681"/>
      <w:r>
        <w:t xml:space="preserve">C-2 · página 55 · Una red con muchos ciclos</w:t>
      </w:r>
      <w:bookmarkEnd w:id="2681"/>
    </w:p>
    <w:p>
      <w:pPr>
        <w:pStyle w:val="Normal"/>
      </w:pPr>
      <w:r>
        <w:t xml:space="preserve">El mapa completo del comedero muestra beneficios iniciales y efectos laterales entrelazados.</w:t>
      </w:r>
    </w:p>
    <w:p>
      <w:pPr>
        <w:pStyle w:val="Fuente"/>
      </w:pPr>
      <w:r>
        <w:t xml:space="preserve">Proyección o explicación: Clase 13 · 01:38:26 · captura c13-12.</w:t>
      </w:r>
    </w:p>
    <w:p>
      <w:pPr>
        <w:keepNext/>
        <w:spacing w:after="40" w:before="150"/>
        <w:jc w:val="center"/>
      </w:pPr>
      <w:bookmarkStart w:name="b_figura_original_pagina_C_2_55" w:id="2682"/>
      <w:bookmarkEnd w:id="2682"/>
      <w:r>
        <w:drawing>
          <wp:inline distT="0" distB="0" distL="0" distR="0">
            <wp:extent cx="5381625" cy="4162425"/>
            <wp:effectExtent t="0" r="0" b="0" l="0"/>
            <wp:docPr id="61" name="pagina-C-2-55" descr="Presentación C-2, pág. 55" title="Una red con muchos cicl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46" cstate="none"/>
                    <a:srcRect/>
                    <a:stretch>
                      <a:fillRect/>
                    </a:stretch>
                  </pic:blipFill>
                  <pic:spPr bwMode="auto">
                    <a:xfrm>
                      <a:off x="0" y="0"/>
                      <a:ext cx="5381625" cy="4162425"/>
                    </a:xfrm>
                    <a:prstGeom prst="rect">
                      <a:avLst/>
                    </a:prstGeom>
                  </pic:spPr>
                </pic:pic>
              </a:graphicData>
            </a:graphic>
          </wp:inline>
        </w:drawing>
      </w:r>
    </w:p>
    <w:p>
      <w:pPr>
        <w:pStyle w:val="PieFigura"/>
        <w:keepNext/>
      </w:pPr>
      <w:bookmarkStart w:name="b_fig_3_4_2" w:id="2683"/>
      <w:r>
        <w:t xml:space="preserve">Figura 3.4.</w:t>
      </w:r>
      <w:fldSimple w:instr="SEQ Figura \n \* ARABIC">
        <w:r>
          <w:t xml:space="preserve">2</w:t>
        </w:r>
      </w:fldSimple>
      <w:r>
        <w:t xml:space="preserve"> · Una red con muchos ciclos</w:t>
      </w:r>
      <w:bookmarkEnd w:id="2683"/>
    </w:p>
    <w:p>
      <w:pPr>
        <w:pStyle w:val="Fuente"/>
      </w:pPr>
      <w:r>
        <w:t xml:space="preserve">Presentación C-2, pág. 55</w:t>
      </w:r>
    </w:p>
    <w:p>
      <w:bookmarkStart w:name="b_punto_c2_p055_01" w:id="2684"/>
      <w:r>
        <w:t xml:space="preserve">Una intervención aislada dispara efectos laterales y ciclos que interactúan; el mapa tampoco contiene todas las relaciones posibles.</w:t>
      </w:r>
      <w:bookmarkEnd w:id="2684"/>
    </w:p>
    <w:p>
      <w:bookmarkStart w:name="b_punto_c2_p055_05" w:id="2685"/>
      <w:r>
        <w:t xml:space="preserve">La red revela la limitación de pensar sólo acción → objetivo sin estudiar retornos.</w:t>
      </w:r>
      <w:bookmarkEnd w:id="2685"/>
    </w:p>
    <w:p>
      <w:pPr>
        <w:pStyle w:val="Fuente"/>
      </w:pPr>
      <w:r>
        <w:t xml:space="preserve">Véase </w:t>
      </w:r>
      <w:hyperlink w:history="1" w:anchor="b_3_6">
        <w:r>
          <w:rPr>
            <w:color w:val="156B70"/>
            <w:u w:val="single"/>
          </w:rPr>
          <w:t xml:space="preserve">capítulo 3.6 · Modelación dinámica</w:t>
        </w:r>
      </w:hyperlink>
      <w:r>
        <w:t xml:space="preserve">, pág. </w:t>
      </w:r>
      <w:r>
        <w:fldChar w:fldCharType="begin"/>
        <w:instrText xml:space="preserve">PAGEREF b_3_6 \h</w:instrText>
        <w:fldChar w:fldCharType="separate"/>
        <w:t xml:space="preserve">537</w:t>
        <w:fldChar w:fldCharType="end"/>
      </w:r>
      <w:r>
        <w:t xml:space="preserve">.</w:t>
      </w:r>
    </w:p>
    <w:p>
      <w:pPr>
        <w:pStyle w:val="Heading3"/>
      </w:pPr>
      <w:bookmarkStart w:name="b_pagina_3_4_C_2_p73" w:id="2686"/>
      <w:r>
        <w:t xml:space="preserve">C-2 · página 73 · Una red con muchos ciclos</w:t>
      </w:r>
      <w:bookmarkEnd w:id="2686"/>
    </w:p>
    <w:p>
      <w:pPr>
        <w:pStyle w:val="Normal"/>
      </w:pPr>
      <w:r>
        <w:t xml:space="preserve">El mapa completo del comedero muestra beneficios iniciales y efectos laterales entrelazados.</w:t>
      </w:r>
    </w:p>
    <w:p>
      <w:pPr>
        <w:pStyle w:val="Fuente"/>
      </w:pPr>
      <w:r>
        <w:t xml:space="preserve">Proyección o explicación: Clase 14 · 00:05:39 · captura c14-02.</w:t>
      </w:r>
    </w:p>
    <w:p>
      <w:pPr>
        <w:keepNext/>
        <w:spacing w:after="40" w:before="150"/>
        <w:jc w:val="center"/>
      </w:pPr>
      <w:bookmarkStart w:name="b_figura_original_pagina_C_2_73" w:id="2687"/>
      <w:bookmarkEnd w:id="2687"/>
      <w:r>
        <w:drawing>
          <wp:inline distT="0" distB="0" distL="0" distR="0">
            <wp:extent cx="5381625" cy="4162425"/>
            <wp:effectExtent t="0" r="0" b="0" l="0"/>
            <wp:docPr id="62" name="pagina-C-2-73" descr="Presentación C-2, pág. 73" title="Una red con muchos cicl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47" cstate="none"/>
                    <a:srcRect/>
                    <a:stretch>
                      <a:fillRect/>
                    </a:stretch>
                  </pic:blipFill>
                  <pic:spPr bwMode="auto">
                    <a:xfrm>
                      <a:off x="0" y="0"/>
                      <a:ext cx="5381625" cy="4162425"/>
                    </a:xfrm>
                    <a:prstGeom prst="rect">
                      <a:avLst/>
                    </a:prstGeom>
                  </pic:spPr>
                </pic:pic>
              </a:graphicData>
            </a:graphic>
          </wp:inline>
        </w:drawing>
      </w:r>
    </w:p>
    <w:p>
      <w:pPr>
        <w:pStyle w:val="PieFigura"/>
        <w:keepNext/>
      </w:pPr>
      <w:bookmarkStart w:name="b_fig_3_4_3" w:id="2688"/>
      <w:r>
        <w:t xml:space="preserve">Figura 3.4.</w:t>
      </w:r>
      <w:fldSimple w:instr="SEQ Figura \n \* ARABIC">
        <w:r>
          <w:t xml:space="preserve">3</w:t>
        </w:r>
      </w:fldSimple>
      <w:r>
        <w:t xml:space="preserve"> · Una red con muchos ciclos</w:t>
      </w:r>
      <w:bookmarkEnd w:id="2688"/>
    </w:p>
    <w:p>
      <w:pPr>
        <w:pStyle w:val="Fuente"/>
      </w:pPr>
      <w:r>
        <w:t xml:space="preserve">Presentación C-2, pág. 73</w:t>
      </w:r>
    </w:p>
    <w:p>
      <w:bookmarkStart w:name="b_punto_c2_p073_01" w:id="2689"/>
      <w:r>
        <w:t xml:space="preserve">Una intervención aislada dispara efectos laterales y ciclos que interactúan; el mapa tampoco contiene todas las relaciones posibles.</w:t>
      </w:r>
      <w:bookmarkEnd w:id="2689"/>
    </w:p>
    <w:p>
      <w:bookmarkStart w:name="b_punto_c2_p073_05" w:id="2690"/>
      <w:r>
        <w:t xml:space="preserve">La red revela la limitación de pensar sólo acción → objetivo sin estudiar retornos.</w:t>
      </w:r>
      <w:bookmarkEnd w:id="2690"/>
    </w:p>
    <w:p>
      <w:pPr>
        <w:pStyle w:val="Fuente"/>
      </w:pPr>
      <w:r>
        <w:t xml:space="preserve">Véase </w:t>
      </w:r>
      <w:hyperlink w:history="1" w:anchor="b_3_6">
        <w:r>
          <w:rPr>
            <w:color w:val="156B70"/>
            <w:u w:val="single"/>
          </w:rPr>
          <w:t xml:space="preserve">capítulo 3.6 · Modelación dinámica</w:t>
        </w:r>
      </w:hyperlink>
      <w:r>
        <w:t xml:space="preserve">, pág. </w:t>
      </w:r>
      <w:r>
        <w:fldChar w:fldCharType="begin"/>
        <w:instrText xml:space="preserve">PAGEREF b_3_6 \h</w:instrText>
        <w:fldChar w:fldCharType="separate"/>
        <w:t xml:space="preserve">537</w:t>
        <w:fldChar w:fldCharType="end"/>
      </w:r>
      <w:r>
        <w:t xml:space="preserve">.</w:t>
      </w:r>
    </w:p>
    <w:p>
      <w:pPr>
        <w:pStyle w:val="Heading3"/>
      </w:pPr>
      <w:bookmarkStart w:name="b_pagina_3_4_C_2_p76" w:id="2691"/>
      <w:r>
        <w:t xml:space="preserve">C-2 · página 76 · Retroalimentación positiva o de refuerzo</w:t>
      </w:r>
      <w:bookmarkEnd w:id="2691"/>
    </w:p>
    <w:p>
      <w:pPr>
        <w:pStyle w:val="Normal"/>
      </w:pPr>
      <w:r>
        <w:t xml:space="preserve">El cambio retorna amplificado; sin límites, crecimiento o caída se aceleran.</w:t>
      </w:r>
    </w:p>
    <w:p>
      <w:pPr>
        <w:pStyle w:val="Fuente"/>
      </w:pPr>
      <w:r>
        <w:t xml:space="preserve">Proyección o explicación: Clase 14 · 00:41:47 · captura c14-06.</w:t>
      </w:r>
    </w:p>
    <w:p>
      <w:bookmarkStart w:name="b_punto_c2_p076_03" w:id="2692"/>
      <w:r>
        <w:t xml:space="preserve">Rumores y aprendizaje se refuerzan al volver sus efectos sobre difusión o esfuerzo.</w:t>
      </w:r>
      <w:bookmarkEnd w:id="2692"/>
    </w:p>
    <w:p>
      <w:pPr>
        <w:pStyle w:val="Fuente"/>
      </w:pPr>
      <w:r>
        <w:t xml:space="preserve">Véase </w:t>
      </w:r>
      <w:hyperlink w:history="1" w:anchor="b_3_5">
        <w:r>
          <w:rPr>
            <w:color w:val="156B70"/>
            <w:u w:val="single"/>
          </w:rPr>
          <w:t xml:space="preserve">capítulo 3.5 · Refuerzo y compensación</w:t>
        </w:r>
      </w:hyperlink>
      <w:r>
        <w:t xml:space="preserve">, pág. </w:t>
      </w:r>
      <w:r>
        <w:fldChar w:fldCharType="begin"/>
        <w:instrText xml:space="preserve">PAGEREF b_3_5 \h</w:instrText>
        <w:fldChar w:fldCharType="separate"/>
        <w:t xml:space="preserve">501</w:t>
        <w:fldChar w:fldCharType="end"/>
      </w:r>
      <w:r>
        <w:t xml:space="preserve">.</w:t>
      </w:r>
    </w:p>
    <w:p>
      <w:pPr>
        <w:pStyle w:val="Fuente"/>
      </w:pPr>
      <w:r>
        <w:t xml:space="preserve">Véase </w:t>
      </w:r>
      <w:hyperlink w:history="1" w:anchor="b_3_6">
        <w:r>
          <w:rPr>
            <w:color w:val="156B70"/>
            <w:u w:val="single"/>
          </w:rPr>
          <w:t xml:space="preserve">capítulo 3.6 · Modelación dinámica</w:t>
        </w:r>
      </w:hyperlink>
      <w:r>
        <w:t xml:space="preserve">, pág. </w:t>
      </w:r>
      <w:r>
        <w:fldChar w:fldCharType="begin"/>
        <w:instrText xml:space="preserve">PAGEREF b_3_6 \h</w:instrText>
        <w:fldChar w:fldCharType="separate"/>
        <w:t xml:space="preserve">537</w:t>
        <w:fldChar w:fldCharType="end"/>
      </w:r>
      <w:r>
        <w:t xml:space="preserve">.</w:t>
      </w:r>
    </w:p>
    <w:p>
      <w:pPr>
        <w:pStyle w:val="Heading3"/>
      </w:pPr>
      <w:bookmarkStart w:name="b_pagina_3_4_C_2_p79" w:id="2693"/>
      <w:r>
        <w:t xml:space="preserve">C-2 · página 79 · Notación de los vínculos causales</w:t>
      </w:r>
      <w:bookmarkEnd w:id="2693"/>
    </w:p>
    <w:p>
      <w:pPr>
        <w:pStyle w:val="Normal"/>
      </w:pPr>
      <w:r>
        <w:t xml:space="preserve">Polaridad respecto de un escenario alternativo, sensibilidad matemática y efecto sobre acumulaciones.</w:t>
      </w:r>
    </w:p>
    <w:p>
      <w:pPr>
        <w:pStyle w:val="Fuente"/>
      </w:pPr>
      <w:r>
        <w:t xml:space="preserve">Proyección o explicación: Clase 14 · 01:11:03 · captura c14-12.</w:t>
      </w:r>
    </w:p>
    <w:p>
      <w:pPr>
        <w:pStyle w:val="Fuente"/>
      </w:pPr>
      <w:r>
        <w:t xml:space="preserve">Véase </w:t>
      </w:r>
      <w:hyperlink w:history="1" w:anchor="b_figura_original_pagina_C_2_79">
        <w:r>
          <w:rPr>
            <w:color w:val="156B70"/>
            <w:u w:val="single"/>
          </w:rPr>
          <w:t xml:space="preserve">imagen de C-2, página 79</w:t>
        </w:r>
      </w:hyperlink>
      <w:r>
        <w:t xml:space="preserve">, pág. </w:t>
      </w:r>
      <w:r>
        <w:fldChar w:fldCharType="begin"/>
        <w:instrText xml:space="preserve">PAGEREF b_figura_original_pagina_C_2_79 \h</w:instrText>
        <w:fldChar w:fldCharType="separate"/>
        <w:t xml:space="preserve">454</w:t>
        <w:fldChar w:fldCharType="end"/>
      </w:r>
      <w:r>
        <w:t xml:space="preserve">.</w:t>
      </w:r>
    </w:p>
    <w:p>
      <w:bookmarkStart w:name="b_punto_c2_p079_06" w:id="2694"/>
      <w:r>
        <w:t xml:space="preserve">Esfuerzo → resultados es positivo dentro del mecanismo descrito.</w:t>
      </w:r>
      <w:bookmarkEnd w:id="2694"/>
    </w:p>
    <w:p>
      <w:pPr>
        <w:pStyle w:val="Fuente"/>
      </w:pPr>
      <w:r>
        <w:t xml:space="preserve">Véase </w:t>
      </w:r>
      <w:hyperlink w:history="1" w:anchor="b_3_3">
        <w:r>
          <w:rPr>
            <w:color w:val="156B70"/>
            <w:u w:val="single"/>
          </w:rPr>
          <w:t xml:space="preserve">capítulo 3.3 · Diagramas de ciclos causales</w:t>
        </w:r>
      </w:hyperlink>
      <w:r>
        <w:t xml:space="preserve">, pág. </w:t>
      </w:r>
      <w:r>
        <w:fldChar w:fldCharType="begin"/>
        <w:instrText xml:space="preserve">PAGEREF b_3_3 \h</w:instrText>
        <w:fldChar w:fldCharType="separate"/>
        <w:t xml:space="preserve">443</w:t>
        <w:fldChar w:fldCharType="end"/>
      </w:r>
      <w:r>
        <w:t xml:space="preserve">.</w:t>
      </w:r>
    </w:p>
    <w:p>
      <w:pPr>
        <w:pStyle w:val="Fuente"/>
      </w:pPr>
      <w:r>
        <w:t xml:space="preserve">Véase </w:t>
      </w:r>
      <w:hyperlink w:history="1" w:anchor="b_4_2">
        <w:r>
          <w:rPr>
            <w:color w:val="156B70"/>
            <w:u w:val="single"/>
          </w:rPr>
          <w:t xml:space="preserve">capítulo 4.2 · Flujos y niveles</w:t>
        </w:r>
      </w:hyperlink>
      <w:r>
        <w:t xml:space="preserve">, pág. </w:t>
      </w:r>
      <w:r>
        <w:fldChar w:fldCharType="begin"/>
        <w:instrText xml:space="preserve">PAGEREF b_4_2 \h</w:instrText>
        <w:fldChar w:fldCharType="separate"/>
        <w:t xml:space="preserve">709</w:t>
        <w:fldChar w:fldCharType="end"/>
      </w:r>
      <w:r>
        <w:t xml:space="preserve">.</w:t>
      </w:r>
    </w:p>
    <w:p>
      <w:pPr>
        <w:pStyle w:val="Heading3"/>
      </w:pPr>
      <w:bookmarkStart w:name="b_pagina_3_4_C_2_p80" w:id="2695"/>
      <w:r>
        <w:t xml:space="preserve">C-2 · página 80 · Refuerzo y compensación, lado a lado</w:t>
      </w:r>
      <w:bookmarkEnd w:id="2695"/>
    </w:p>
    <w:p>
      <w:pPr>
        <w:pStyle w:val="Normal"/>
      </w:pPr>
      <w:r>
        <w:t xml:space="preserve">Amplificación, regulación y dos historias concretas muestran el retorno de los cambios.</w:t>
      </w:r>
    </w:p>
    <w:p>
      <w:pPr>
        <w:pStyle w:val="Fuente"/>
      </w:pPr>
      <w:r>
        <w:t xml:space="preserve">Proyección o explicación: Clase 14 · 01:18:40 · captura c14-13.</w:t>
      </w:r>
    </w:p>
    <w:p>
      <w:pPr>
        <w:pStyle w:val="Fuente"/>
      </w:pPr>
      <w:r>
        <w:t xml:space="preserve">Véase </w:t>
      </w:r>
      <w:hyperlink w:history="1" w:anchor="b_figura_original_pagina_C_2_80">
        <w:r>
          <w:rPr>
            <w:color w:val="156B70"/>
            <w:u w:val="single"/>
          </w:rPr>
          <w:t xml:space="preserve">imagen de C-2, página 80</w:t>
        </w:r>
      </w:hyperlink>
      <w:r>
        <w:t xml:space="preserve">, pág. </w:t>
      </w:r>
      <w:r>
        <w:fldChar w:fldCharType="begin"/>
        <w:instrText xml:space="preserve">PAGEREF b_figura_original_pagina_C_2_80 \h</w:instrText>
        <w:fldChar w:fldCharType="separate"/>
        <w:t xml:space="preserve">512</w:t>
        <w:fldChar w:fldCharType="end"/>
      </w:r>
      <w:r>
        <w:t xml:space="preserve">.</w:t>
      </w:r>
    </w:p>
    <w:p>
      <w:bookmarkStart w:name="b_punto_c2_p080_03" w:id="2696"/>
      <w:r>
        <w:t xml:space="preserve">Cambio en una parte → cambio en otra → cambio en la primera es un esquema genérico de retorno.</w:t>
      </w:r>
      <w:bookmarkEnd w:id="2696"/>
    </w:p>
    <w:p>
      <w:pPr>
        <w:pStyle w:val="Fuente"/>
      </w:pPr>
      <w:r>
        <w:t xml:space="preserve">Véase </w:t>
      </w:r>
      <w:hyperlink w:history="1" w:anchor="b_3_5">
        <w:r>
          <w:rPr>
            <w:color w:val="156B70"/>
            <w:u w:val="single"/>
          </w:rPr>
          <w:t xml:space="preserve">capítulo 3.5 · Refuerzo y compensación</w:t>
        </w:r>
      </w:hyperlink>
      <w:r>
        <w:t xml:space="preserve">, pág. </w:t>
      </w:r>
      <w:r>
        <w:fldChar w:fldCharType="begin"/>
        <w:instrText xml:space="preserve">PAGEREF b_3_5 \h</w:instrText>
        <w:fldChar w:fldCharType="separate"/>
        <w:t xml:space="preserve">501</w:t>
        <w:fldChar w:fldCharType="end"/>
      </w:r>
      <w:r>
        <w:t xml:space="preserve">.</w:t>
      </w:r>
    </w:p>
    <w:p>
      <w:pPr>
        <w:pStyle w:val="Heading3"/>
      </w:pPr>
      <w:bookmarkStart w:name="b_pagina_3_4_C_2_p85" w:id="2697"/>
      <w:r>
        <w:t xml:space="preserve">C-2 · página 85 · Diagramas de ciclos causales</w:t>
      </w:r>
      <w:bookmarkEnd w:id="2697"/>
    </w:p>
    <w:p>
      <w:pPr>
        <w:pStyle w:val="Normal"/>
      </w:pPr>
      <w:r>
        <w:t xml:space="preserve">Variables y vínculos encadenados permiten combinar ciclos y comunicar la estructura de una historia.</w:t>
      </w:r>
    </w:p>
    <w:p>
      <w:pPr>
        <w:pStyle w:val="Fuente"/>
      </w:pPr>
      <w:r>
        <w:t xml:space="preserve">Proyección o explicación: Clase 15 · 00:16:58 · captura c15-05.</w:t>
      </w:r>
    </w:p>
    <w:p>
      <w:bookmarkStart w:name="b_punto_c2_p085_06" w:id="2698"/>
      <w:r>
        <w:t xml:space="preserve">R y B pueden combinarse de distintas formas; el comportamiento global depende de su interacción.</w:t>
      </w:r>
      <w:bookmarkEnd w:id="2698"/>
    </w:p>
    <w:p>
      <w:pPr>
        <w:pStyle w:val="Fuente"/>
      </w:pPr>
      <w:r>
        <w:t xml:space="preserve">Véase </w:t>
      </w:r>
      <w:hyperlink w:history="1" w:anchor="b_3_3">
        <w:r>
          <w:rPr>
            <w:color w:val="156B70"/>
            <w:u w:val="single"/>
          </w:rPr>
          <w:t xml:space="preserve">capítulo 3.3 · Diagramas de ciclos causales</w:t>
        </w:r>
      </w:hyperlink>
      <w:r>
        <w:t xml:space="preserve">, pág. </w:t>
      </w:r>
      <w:r>
        <w:fldChar w:fldCharType="begin"/>
        <w:instrText xml:space="preserve">PAGEREF b_3_3 \h</w:instrText>
        <w:fldChar w:fldCharType="separate"/>
        <w:t xml:space="preserve">443</w:t>
        <w:fldChar w:fldCharType="end"/>
      </w:r>
      <w:r>
        <w:t xml:space="preserve">.</w:t>
      </w:r>
    </w:p>
    <w:p>
      <w:pPr>
        <w:pStyle w:val="Fuente"/>
      </w:pPr>
      <w:r>
        <w:t xml:space="preserve">Véase </w:t>
      </w:r>
      <w:hyperlink w:history="1" w:anchor="b_3_5">
        <w:r>
          <w:rPr>
            <w:color w:val="156B70"/>
            <w:u w:val="single"/>
          </w:rPr>
          <w:t xml:space="preserve">capítulo 3.5 · Refuerzo y compensación</w:t>
        </w:r>
      </w:hyperlink>
      <w:r>
        <w:t xml:space="preserve">, pág. </w:t>
      </w:r>
      <w:r>
        <w:fldChar w:fldCharType="begin"/>
        <w:instrText xml:space="preserve">PAGEREF b_3_5 \h</w:instrText>
        <w:fldChar w:fldCharType="separate"/>
        <w:t xml:space="preserve">501</w:t>
        <w:fldChar w:fldCharType="end"/>
      </w:r>
      <w:r>
        <w:t xml:space="preserve">.</w:t>
      </w:r>
    </w:p>
    <w:p>
      <w:pPr>
        <w:pStyle w:val="Heading3"/>
      </w:pPr>
      <w:r>
        <w:t xml:space="preserve">Lo que explicó el profesor en clase</w:t>
      </w:r>
    </w:p>
    <w:p>
      <w:pPr>
        <w:pStyle w:val="Heading3"/>
      </w:pPr>
      <w:bookmarkStart w:name="b_clase_3_4_c10_cap_02" w:id="2699"/>
      <w:r>
        <w:t xml:space="preserve">Clase 10 · 00:11:40–00:20:36 · Qué es la unidad 3 y qué es un mapa sistémico</w:t>
      </w:r>
      <w:bookmarkEnd w:id="2699"/>
    </w:p>
    <w:p>
      <w:bookmarkStart w:name="b_punto_c10_cap_02_p04" w:id="2700"/>
      <w:r>
        <w:t xml:space="preserve">La alta interdependencia genera estructuras no lineales que no se comprenden sólo desde una intuición analítica o reduccionista.</w:t>
      </w:r>
      <w:bookmarkEnd w:id="2700"/>
    </w:p>
    <w:p>
      <w:bookmarkStart w:name="b_punto_c10_cap_02_p05" w:id="2701"/>
      <w:r>
        <w:t xml:space="preserve">Variables, interacciones y varias estructuras circulares combinadas aumentan complejidad y exigen análisis detenido.</w:t>
      </w:r>
      <w:bookmarkEnd w:id="2701"/>
    </w:p>
    <w:p>
      <w:pPr>
        <w:pStyle w:val="Fuente"/>
      </w:pPr>
      <w:r>
        <w:t xml:space="preserve">Véase </w:t>
      </w:r>
      <w:hyperlink w:history="1" w:anchor="b_senales_examen">
        <w:r>
          <w:rPr>
            <w:color w:val="156B70"/>
            <w:u w:val="single"/>
          </w:rPr>
          <w:t xml:space="preserve">1 indicación(es) de examen de este tramo, en el apéndice cronológico</w:t>
        </w:r>
      </w:hyperlink>
      <w:r>
        <w:t xml:space="preserve">, pág. </w:t>
      </w:r>
      <w:r>
        <w:fldChar w:fldCharType="begin"/>
        <w:instrText xml:space="preserve">PAGEREF b_senales_examen \h</w:instrText>
        <w:fldChar w:fldCharType="separate"/>
        <w:t xml:space="preserve">1663</w:t>
        <w:fldChar w:fldCharType="end"/>
      </w:r>
      <w:r>
        <w:t xml:space="preserve">.</w:t>
      </w:r>
    </w:p>
    <w:p>
      <w:pPr>
        <w:pStyle w:val="Fuente"/>
      </w:pPr>
      <w:r>
        <w:t xml:space="preserve">Véase </w:t>
      </w:r>
      <w:hyperlink w:history="1" w:anchor="b_3_1">
        <w:r>
          <w:rPr>
            <w:color w:val="156B70"/>
            <w:u w:val="single"/>
          </w:rPr>
          <w:t xml:space="preserve">capítulo 3.1 · Mapas sistémicos</w:t>
        </w:r>
      </w:hyperlink>
      <w:r>
        <w:t xml:space="preserve">, pág. </w:t>
      </w:r>
      <w:r>
        <w:fldChar w:fldCharType="begin"/>
        <w:instrText xml:space="preserve">PAGEREF b_3_1 \h</w:instrText>
        <w:fldChar w:fldCharType="separate"/>
        <w:t xml:space="preserve">379</w:t>
        <w:fldChar w:fldCharType="end"/>
      </w:r>
      <w:r>
        <w:t xml:space="preserve">.</w:t>
      </w:r>
    </w:p>
    <w:p>
      <w:pPr>
        <w:pStyle w:val="Heading3"/>
      </w:pPr>
      <w:bookmarkStart w:name="b_clase_3_4_c10_cap_09" w:id="2702"/>
      <w:r>
        <w:t xml:space="preserve">Clase 10 · 01:12:13–01:24:00 · Barras y la regla de perspectivas</w:t>
      </w:r>
      <w:bookmarkEnd w:id="2702"/>
    </w:p>
    <w:p>
      <w:bookmarkStart w:name="b_punto_c10_cap_09_p04" w:id="2703"/>
      <w:r>
        <w:t xml:space="preserve">Las estructuras interdependientes llevan a feedback, control y crecimiento, a estudiar con más detalle.</w:t>
      </w:r>
      <w:bookmarkEnd w:id="2703"/>
    </w:p>
    <w:p>
      <w:pPr>
        <w:pStyle w:val="Fuente"/>
      </w:pPr>
      <w:r>
        <w:t xml:space="preserve">Véase </w:t>
      </w:r>
      <w:hyperlink w:history="1" w:anchor="b_3_2">
        <w:r>
          <w:rPr>
            <w:color w:val="156B70"/>
            <w:u w:val="single"/>
          </w:rPr>
          <w:t xml:space="preserve">capítulo 3.2 · Mapas DSRP generales</w:t>
        </w:r>
      </w:hyperlink>
      <w:r>
        <w:t xml:space="preserve">, pág. </w:t>
      </w:r>
      <w:r>
        <w:fldChar w:fldCharType="begin"/>
        <w:instrText xml:space="preserve">PAGEREF b_3_2 \h</w:instrText>
        <w:fldChar w:fldCharType="separate"/>
        <w:t xml:space="preserve">404</w:t>
        <w:fldChar w:fldCharType="end"/>
      </w:r>
      <w:r>
        <w:t xml:space="preserve">.</w:t>
      </w:r>
    </w:p>
    <w:p>
      <w:pPr>
        <w:pStyle w:val="Fuente"/>
      </w:pPr>
      <w:r>
        <w:t xml:space="preserve">Véase </w:t>
      </w:r>
      <w:hyperlink w:history="1" w:anchor="b_3_9">
        <w:r>
          <w:rPr>
            <w:color w:val="156B70"/>
            <w:u w:val="single"/>
          </w:rPr>
          <w:t xml:space="preserve">capítulo 3.9 · Hábitos (complejo)</w:t>
        </w:r>
      </w:hyperlink>
      <w:r>
        <w:t xml:space="preserve">, pág. </w:t>
      </w:r>
      <w:r>
        <w:fldChar w:fldCharType="begin"/>
        <w:instrText xml:space="preserve">PAGEREF b_3_9 \h</w:instrText>
        <w:fldChar w:fldCharType="separate"/>
        <w:t xml:space="preserve">622</w:t>
        <w:fldChar w:fldCharType="end"/>
      </w:r>
      <w:r>
        <w:t xml:space="preserve">.</w:t>
      </w:r>
    </w:p>
    <w:p>
      <w:pPr>
        <w:pStyle w:val="Heading3"/>
      </w:pPr>
      <w:bookmarkStart w:name="b_clase_3_4_c11_cap_10" w:id="2704"/>
      <w:r>
        <w:t xml:space="preserve">Clase 11 · 01:34:07–01:42:02 · Cierre: relaciones significativas y anuncios</w:t>
      </w:r>
      <w:bookmarkEnd w:id="2704"/>
    </w:p>
    <w:p>
      <w:bookmarkStart w:name="b_punto_c11_cap_10_p04" w:id="2705"/>
      <w:r>
        <w:t xml:space="preserve">Las muchas relaciones motivan estudiar DCC y comportamientos no lineales; una telaraña es difícil de leer sin ordenarla.</w:t>
      </w:r>
      <w:bookmarkEnd w:id="2705"/>
    </w:p>
    <w:p>
      <w:pPr>
        <w:pStyle w:val="Fuente"/>
      </w:pPr>
      <w:r>
        <w:t xml:space="preserve">Véase </w:t>
      </w:r>
      <w:hyperlink w:history="1" w:anchor="b_3_2">
        <w:r>
          <w:rPr>
            <w:color w:val="156B70"/>
            <w:u w:val="single"/>
          </w:rPr>
          <w:t xml:space="preserve">capítulo 3.2 · Mapas DSRP generales</w:t>
        </w:r>
      </w:hyperlink>
      <w:r>
        <w:t xml:space="preserve">, pág. </w:t>
      </w:r>
      <w:r>
        <w:fldChar w:fldCharType="begin"/>
        <w:instrText xml:space="preserve">PAGEREF b_3_2 \h</w:instrText>
        <w:fldChar w:fldCharType="separate"/>
        <w:t xml:space="preserve">404</w:t>
        <w:fldChar w:fldCharType="end"/>
      </w:r>
      <w:r>
        <w:t xml:space="preserve">.</w:t>
      </w:r>
    </w:p>
    <w:p>
      <w:pPr>
        <w:pStyle w:val="Fuente"/>
      </w:pPr>
      <w:r>
        <w:t xml:space="preserve">Véase </w:t>
      </w:r>
      <w:hyperlink w:history="1" w:anchor="b_3_1">
        <w:r>
          <w:rPr>
            <w:color w:val="156B70"/>
            <w:u w:val="single"/>
          </w:rPr>
          <w:t xml:space="preserve">capítulo 3.1 · Mapas sistémicos</w:t>
        </w:r>
      </w:hyperlink>
      <w:r>
        <w:t xml:space="preserve">, pág. </w:t>
      </w:r>
      <w:r>
        <w:fldChar w:fldCharType="begin"/>
        <w:instrText xml:space="preserve">PAGEREF b_3_1 \h</w:instrText>
        <w:fldChar w:fldCharType="separate"/>
        <w:t xml:space="preserve">379</w:t>
        <w:fldChar w:fldCharType="end"/>
      </w:r>
      <w:r>
        <w:t xml:space="preserve">.</w:t>
      </w:r>
    </w:p>
    <w:p>
      <w:pPr>
        <w:pStyle w:val="Fuente"/>
      </w:pPr>
      <w:r>
        <w:t xml:space="preserve">Véase </w:t>
      </w:r>
      <w:hyperlink w:history="1" w:anchor="b_3_9">
        <w:r>
          <w:rPr>
            <w:color w:val="156B70"/>
            <w:u w:val="single"/>
          </w:rPr>
          <w:t xml:space="preserve">capítulo 3.9 · Hábitos (complejo)</w:t>
        </w:r>
      </w:hyperlink>
      <w:r>
        <w:t xml:space="preserve">, pág. </w:t>
      </w:r>
      <w:r>
        <w:fldChar w:fldCharType="begin"/>
        <w:instrText xml:space="preserve">PAGEREF b_3_9 \h</w:instrText>
        <w:fldChar w:fldCharType="separate"/>
        <w:t xml:space="preserve">622</w:t>
        <w:fldChar w:fldCharType="end"/>
      </w:r>
      <w:r>
        <w:t xml:space="preserve">.</w:t>
      </w:r>
    </w:p>
    <w:p>
      <w:pPr>
        <w:pStyle w:val="Heading3"/>
      </w:pPr>
      <w:bookmarkStart w:name="b_clase_3_4_c12_cap_05" w:id="2706"/>
      <w:r>
        <w:t xml:space="preserve">Clase 12 · 00:41:52–00:53:36 · Los cinco hábitos y las conexiones significativas</w:t>
      </w:r>
      <w:bookmarkEnd w:id="2706"/>
    </w:p>
    <w:p>
      <w:bookmarkStart w:name="b_punto_c12_cap_05_p02" w:id="2707"/>
      <w:r>
        <w:t xml:space="preserve">La estructura combina partes y relaciones que generan dinámicas de procesos e intercambios.</w:t>
      </w:r>
      <w:bookmarkEnd w:id="2707"/>
    </w:p>
    <w:p>
      <w:bookmarkStart w:name="b_punto_c12_cap_05_p03" w:id="2708"/>
      <w:r>
        <w:t xml:space="preserve">Una cadena aparentemente secuencial se vuelve circular al regresar a un concepto previo.</w:t>
      </w:r>
      <w:bookmarkEnd w:id="2708"/>
    </w:p>
    <w:p>
      <w:bookmarkStart w:name="b_punto_c12_cap_05_p05" w:id="2709"/>
      <w:r>
        <w:t xml:space="preserve">Semilla, crecimiento, flores, frutos y nuevas semillas repiten un ciclo en distintas instancias, si el medio no lo frena.</w:t>
      </w:r>
      <w:bookmarkEnd w:id="2709"/>
    </w:p>
    <w:p>
      <w:bookmarkStart w:name="b_punto_c12_cap_05_p06" w:id="2710"/>
      <w:r>
        <w:t xml:space="preserve">Ampliar la frontera agrega sol, agua, viento, aves e insectos como relaciones de entrada/salida.</w:t>
      </w:r>
      <w:bookmarkEnd w:id="2710"/>
    </w:p>
    <w:p>
      <w:pPr>
        <w:pStyle w:val="Fuente"/>
      </w:pPr>
      <w:r>
        <w:t xml:space="preserve">Véase </w:t>
      </w:r>
      <w:hyperlink w:history="1" w:anchor="b_3_9">
        <w:r>
          <w:rPr>
            <w:color w:val="156B70"/>
            <w:u w:val="single"/>
          </w:rPr>
          <w:t xml:space="preserve">capítulo 3.9 · Hábitos (complejo)</w:t>
        </w:r>
      </w:hyperlink>
      <w:r>
        <w:t xml:space="preserve">, pág. </w:t>
      </w:r>
      <w:r>
        <w:fldChar w:fldCharType="begin"/>
        <w:instrText xml:space="preserve">PAGEREF b_3_9 \h</w:instrText>
        <w:fldChar w:fldCharType="separate"/>
        <w:t xml:space="preserve">622</w:t>
        <w:fldChar w:fldCharType="end"/>
      </w:r>
      <w:r>
        <w:t xml:space="preserve">.</w:t>
      </w:r>
    </w:p>
    <w:p>
      <w:pPr>
        <w:pStyle w:val="Heading3"/>
      </w:pPr>
      <w:bookmarkStart w:name="b_clase_3_4_c12_cap_06" w:id="2711"/>
      <w:r>
        <w:t xml:space="preserve">Clase 12 · 00:53:36–01:03:35 · El ejercicio de la planta</w:t>
      </w:r>
      <w:bookmarkEnd w:id="2711"/>
    </w:p>
    <w:p>
      <w:bookmarkStart w:name="b_punto_c12_cap_06_p02" w:id="2712"/>
      <w:r>
        <w:t xml:space="preserve">La primera flecha acordada es semillas→raíces, aunque éstas queden ocultas bajo suelo.</w:t>
      </w:r>
      <w:bookmarkEnd w:id="2712"/>
    </w:p>
    <w:p>
      <w:bookmarkStart w:name="b_punto_c12_cap_06_p06" w:id="2713"/>
      <w:r>
        <w:t xml:space="preserve">El fruto produce nuevas semillas y se repite la estructura del ciclo de vida.</w:t>
      </w:r>
      <w:bookmarkEnd w:id="2713"/>
    </w:p>
    <w:p>
      <w:pPr>
        <w:pStyle w:val="Fuente"/>
      </w:pPr>
      <w:r>
        <w:t xml:space="preserve">Véase </w:t>
      </w:r>
      <w:hyperlink w:history="1" w:anchor="b_3_3">
        <w:r>
          <w:rPr>
            <w:color w:val="156B70"/>
            <w:u w:val="single"/>
          </w:rPr>
          <w:t xml:space="preserve">capítulo 3.3 · Diagramas de ciclos causales</w:t>
        </w:r>
      </w:hyperlink>
      <w:r>
        <w:t xml:space="preserve">, pág. </w:t>
      </w:r>
      <w:r>
        <w:fldChar w:fldCharType="begin"/>
        <w:instrText xml:space="preserve">PAGEREF b_3_3 \h</w:instrText>
        <w:fldChar w:fldCharType="separate"/>
        <w:t xml:space="preserve">443</w:t>
        <w:fldChar w:fldCharType="end"/>
      </w:r>
      <w:r>
        <w:t xml:space="preserve">.</w:t>
      </w:r>
    </w:p>
    <w:p>
      <w:pPr>
        <w:pStyle w:val="Fuente"/>
      </w:pPr>
      <w:r>
        <w:t xml:space="preserve">Véase </w:t>
      </w:r>
      <w:hyperlink w:history="1" w:anchor="b_3_7">
        <w:r>
          <w:rPr>
            <w:color w:val="156B70"/>
            <w:u w:val="single"/>
          </w:rPr>
          <w:t xml:space="preserve">capítulo 3.7 · Demoras de tiempo</w:t>
        </w:r>
      </w:hyperlink>
      <w:r>
        <w:t xml:space="preserve">, pág. </w:t>
      </w:r>
      <w:r>
        <w:fldChar w:fldCharType="begin"/>
        <w:instrText xml:space="preserve">PAGEREF b_3_7 \h</w:instrText>
        <w:fldChar w:fldCharType="separate"/>
        <w:t xml:space="preserve">580</w:t>
        <w:fldChar w:fldCharType="end"/>
      </w:r>
      <w:r>
        <w:t xml:space="preserve">.</w:t>
      </w:r>
    </w:p>
    <w:p>
      <w:pPr>
        <w:pStyle w:val="Heading3"/>
      </w:pPr>
      <w:bookmarkStart w:name="b_clase_3_4_c12_cap_07" w:id="2714"/>
      <w:r>
        <w:t xml:space="preserve">Clase 12 · 01:03:35–01:12:41 · El primer diagrama de ciclos causales</w:t>
      </w:r>
      <w:bookmarkEnd w:id="2714"/>
    </w:p>
    <w:p>
      <w:bookmarkStart w:name="b_punto_c12_cap_07_p02" w:id="2715"/>
      <w:r>
        <w:t xml:space="preserve">Hojas, flores, frutos y nuevas semillas cierran una dinámica circular repetitiva de vida.</w:t>
      </w:r>
      <w:bookmarkEnd w:id="2715"/>
    </w:p>
    <w:p>
      <w:bookmarkStart w:name="b_punto_c12_cap_07_p04" w:id="2716"/>
      <w:r>
        <w:t xml:space="preserve">El diagrama sintetiza una historia; suelo rocoso y otras condiciones del medio pueden limitar su repetición.</w:t>
      </w:r>
      <w:bookmarkEnd w:id="2716"/>
    </w:p>
    <w:p>
      <w:pPr>
        <w:pStyle w:val="Fuente"/>
      </w:pPr>
      <w:r>
        <w:t xml:space="preserve">Véase </w:t>
      </w:r>
      <w:hyperlink w:history="1" w:anchor="b_3_2">
        <w:r>
          <w:rPr>
            <w:color w:val="156B70"/>
            <w:u w:val="single"/>
          </w:rPr>
          <w:t xml:space="preserve">capítulo 3.2 · Mapas DSRP generales</w:t>
        </w:r>
      </w:hyperlink>
      <w:r>
        <w:t xml:space="preserve">, pág. </w:t>
      </w:r>
      <w:r>
        <w:fldChar w:fldCharType="begin"/>
        <w:instrText xml:space="preserve">PAGEREF b_3_2 \h</w:instrText>
        <w:fldChar w:fldCharType="separate"/>
        <w:t xml:space="preserve">404</w:t>
        <w:fldChar w:fldCharType="end"/>
      </w:r>
      <w:r>
        <w:t xml:space="preserve">.</w:t>
      </w:r>
    </w:p>
    <w:p>
      <w:pPr>
        <w:pStyle w:val="Fuente"/>
      </w:pPr>
      <w:r>
        <w:t xml:space="preserve">Véase </w:t>
      </w:r>
      <w:hyperlink w:history="1" w:anchor="b_3_1">
        <w:r>
          <w:rPr>
            <w:color w:val="156B70"/>
            <w:u w:val="single"/>
          </w:rPr>
          <w:t xml:space="preserve">capítulo 3.1 · Mapas sistémicos</w:t>
        </w:r>
      </w:hyperlink>
      <w:r>
        <w:t xml:space="preserve">, pág. </w:t>
      </w:r>
      <w:r>
        <w:fldChar w:fldCharType="begin"/>
        <w:instrText xml:space="preserve">PAGEREF b_3_1 \h</w:instrText>
        <w:fldChar w:fldCharType="separate"/>
        <w:t xml:space="preserve">379</w:t>
        <w:fldChar w:fldCharType="end"/>
      </w:r>
      <w:r>
        <w:t xml:space="preserve">.</w:t>
      </w:r>
    </w:p>
    <w:p>
      <w:pPr>
        <w:pStyle w:val="Heading3"/>
      </w:pPr>
      <w:bookmarkStart w:name="b_clase_3_4_c12_cap_08" w:id="2717"/>
      <w:r>
        <w:t xml:space="preserve">Clase 12 · 01:12:41–01:19:07 · Estructura del sistema y relaciones no visibles</w:t>
      </w:r>
      <w:bookmarkEnd w:id="2717"/>
    </w:p>
    <w:p>
      <w:bookmarkStart w:name="b_punto_c12_cap_08_p04" w:id="2718"/>
      <w:r>
        <w:t xml:space="preserve">Estudios, microscopio o telescopio permiten percibir conexiones; se proyecta la red subterránea de BBC Mundo.</w:t>
      </w:r>
      <w:bookmarkEnd w:id="2718"/>
    </w:p>
    <w:p>
      <w:bookmarkStart w:name="b_punto_c12_cap_08_p05" w:id="2719"/>
      <w:r>
        <w:t xml:space="preserve">El reportaje se sigue por textos visibles; su falta de voz no implica ausencia de contenido académico.</w:t>
      </w:r>
      <w:bookmarkEnd w:id="2719"/>
    </w:p>
    <w:p>
      <w:pPr>
        <w:pStyle w:val="Fuente"/>
      </w:pPr>
      <w:r>
        <w:t xml:space="preserve">Véase </w:t>
      </w:r>
      <w:hyperlink w:history="1" w:anchor="b_3_1">
        <w:r>
          <w:rPr>
            <w:color w:val="156B70"/>
            <w:u w:val="single"/>
          </w:rPr>
          <w:t xml:space="preserve">capítulo 3.1 · Mapas sistémicos</w:t>
        </w:r>
      </w:hyperlink>
      <w:r>
        <w:t xml:space="preserve">, pág. </w:t>
      </w:r>
      <w:r>
        <w:fldChar w:fldCharType="begin"/>
        <w:instrText xml:space="preserve">PAGEREF b_3_1 \h</w:instrText>
        <w:fldChar w:fldCharType="separate"/>
        <w:t xml:space="preserve">379</w:t>
        <w:fldChar w:fldCharType="end"/>
      </w:r>
      <w:r>
        <w:t xml:space="preserve">.</w:t>
      </w:r>
    </w:p>
    <w:p>
      <w:pPr>
        <w:pStyle w:val="Heading3"/>
      </w:pPr>
      <w:bookmarkStart w:name="b_clase_3_4_c12_cap_09" w:id="2720"/>
      <w:r>
        <w:t xml:space="preserve">Clase 12 · 01:19:07–01:36:55 · Transferencia y mentalidad de crecimiento</w:t>
      </w:r>
      <w:bookmarkEnd w:id="2720"/>
    </w:p>
    <w:p>
      <w:bookmarkStart w:name="b_punto_c12_cap_09_p01" w:id="2721"/>
      <w:r>
        <w:t xml:space="preserve">La red de hongos/raíces y los intercambios de azúcares se describen por analogías como internet, fuera de la vista directa.</w:t>
      </w:r>
      <w:bookmarkEnd w:id="2721"/>
    </w:p>
    <w:p>
      <w:pPr>
        <w:pStyle w:val="Fuente"/>
      </w:pPr>
      <w:r>
        <w:t xml:space="preserve">Véase </w:t>
      </w:r>
      <w:hyperlink w:history="1" w:anchor="b_3_1">
        <w:r>
          <w:rPr>
            <w:color w:val="156B70"/>
            <w:u w:val="single"/>
          </w:rPr>
          <w:t xml:space="preserve">capítulo 3.1 · Mapas sistémicos</w:t>
        </w:r>
      </w:hyperlink>
      <w:r>
        <w:t xml:space="preserve">, pág. </w:t>
      </w:r>
      <w:r>
        <w:fldChar w:fldCharType="begin"/>
        <w:instrText xml:space="preserve">PAGEREF b_3_1 \h</w:instrText>
        <w:fldChar w:fldCharType="separate"/>
        <w:t xml:space="preserve">379</w:t>
        <w:fldChar w:fldCharType="end"/>
      </w:r>
      <w:r>
        <w:t xml:space="preserve">.</w:t>
      </w:r>
    </w:p>
    <w:p>
      <w:pPr>
        <w:pStyle w:val="Fuente"/>
      </w:pPr>
      <w:r>
        <w:t xml:space="preserve">Véase </w:t>
      </w:r>
      <w:hyperlink w:history="1" w:anchor="b_3_7">
        <w:r>
          <w:rPr>
            <w:color w:val="156B70"/>
            <w:u w:val="single"/>
          </w:rPr>
          <w:t xml:space="preserve">capítulo 3.7 · Demoras de tiempo</w:t>
        </w:r>
      </w:hyperlink>
      <w:r>
        <w:t xml:space="preserve">, pág. </w:t>
      </w:r>
      <w:r>
        <w:fldChar w:fldCharType="begin"/>
        <w:instrText xml:space="preserve">PAGEREF b_3_7 \h</w:instrText>
        <w:fldChar w:fldCharType="separate"/>
        <w:t xml:space="preserve">580</w:t>
        <w:fldChar w:fldCharType="end"/>
      </w:r>
      <w:r>
        <w:t xml:space="preserve">.</w:t>
      </w:r>
    </w:p>
    <w:p>
      <w:pPr>
        <w:pStyle w:val="Fuente"/>
      </w:pPr>
      <w:r>
        <w:t xml:space="preserve">Véase </w:t>
      </w:r>
      <w:hyperlink w:history="1" w:anchor="b_3_9">
        <w:r>
          <w:rPr>
            <w:color w:val="156B70"/>
            <w:u w:val="single"/>
          </w:rPr>
          <w:t xml:space="preserve">capítulo 3.9 · Hábitos (complejo)</w:t>
        </w:r>
      </w:hyperlink>
      <w:r>
        <w:t xml:space="preserve">, pág. </w:t>
      </w:r>
      <w:r>
        <w:fldChar w:fldCharType="begin"/>
        <w:instrText xml:space="preserve">PAGEREF b_3_9 \h</w:instrText>
        <w:fldChar w:fldCharType="separate"/>
        <w:t xml:space="preserve">622</w:t>
        <w:fldChar w:fldCharType="end"/>
      </w:r>
      <w:r>
        <w:t xml:space="preserve">.</w:t>
      </w:r>
    </w:p>
    <w:p>
      <w:pPr>
        <w:pStyle w:val="Heading3"/>
      </w:pPr>
      <w:bookmarkStart w:name="b_clase_3_4_c12_cap_10" w:id="2722"/>
      <w:r>
        <w:t xml:space="preserve">Clase 12 · 01:36:55–01:41:12 · Cierre y recordatorio de las dos tareas</w:t>
      </w:r>
      <w:bookmarkEnd w:id="2722"/>
    </w:p>
    <w:p>
      <w:bookmarkStart w:name="b_punto_c12_cap_10_p02" w:id="2723"/>
      <w:r>
        <w:t xml:space="preserve">Los modelos circulares permitirán distinguir variantes de feedback y transferir conocimiento estructural.</w:t>
      </w:r>
      <w:bookmarkEnd w:id="2723"/>
    </w:p>
    <w:p>
      <w:pPr>
        <w:pStyle w:val="Fuente"/>
      </w:pPr>
      <w:r>
        <w:t xml:space="preserve">Véase </w:t>
      </w:r>
      <w:hyperlink w:history="1" w:anchor="b_3_9">
        <w:r>
          <w:rPr>
            <w:color w:val="156B70"/>
            <w:u w:val="single"/>
          </w:rPr>
          <w:t xml:space="preserve">capítulo 3.9 · Hábitos (complejo)</w:t>
        </w:r>
      </w:hyperlink>
      <w:r>
        <w:t xml:space="preserve">, pág. </w:t>
      </w:r>
      <w:r>
        <w:fldChar w:fldCharType="begin"/>
        <w:instrText xml:space="preserve">PAGEREF b_3_9 \h</w:instrText>
        <w:fldChar w:fldCharType="separate"/>
        <w:t xml:space="preserve">622</w:t>
        <w:fldChar w:fldCharType="end"/>
      </w:r>
      <w:r>
        <w:t xml:space="preserve">.</w:t>
      </w:r>
    </w:p>
    <w:p>
      <w:pPr>
        <w:pStyle w:val="Heading3"/>
      </w:pPr>
      <w:bookmarkStart w:name="b_clase_3_4_c13_cap_02" w:id="2724"/>
      <w:r>
        <w:t xml:space="preserve">Clase 13 · 00:15:51–00:25:14 · Conectividad y algoritmos como cadenas causales</w:t>
      </w:r>
      <w:bookmarkEnd w:id="2724"/>
    </w:p>
    <w:p>
      <w:bookmarkStart w:name="b_punto_c13_cap_02_p03" w:id="2725"/>
      <w:r>
        <w:t xml:space="preserve">Subsistemas, sistemas y sistemas del medio se enlazan en niveles superiores formando una telaraña de relaciones causales.</w:t>
      </w:r>
      <w:bookmarkEnd w:id="2725"/>
    </w:p>
    <w:p>
      <w:bookmarkStart w:name="b_punto_c13_cap_02_p05" w:id="2726"/>
      <w:r>
        <w:t xml:space="preserve">Un algoritmo o procedimiento describe una cadena causal; sus pasos pueden aparecer lineales, y las estructuras repetitivas hacen explícitos los retornos.</w:t>
      </w:r>
      <w:bookmarkEnd w:id="2726"/>
    </w:p>
    <w:p>
      <w:pPr>
        <w:pStyle w:val="Fuente"/>
      </w:pPr>
      <w:r>
        <w:t xml:space="preserve">Véase </w:t>
      </w:r>
      <w:hyperlink w:history="1" w:anchor="b_3_9">
        <w:r>
          <w:rPr>
            <w:color w:val="156B70"/>
            <w:u w:val="single"/>
          </w:rPr>
          <w:t xml:space="preserve">capítulo 3.9 · Hábitos (complejo)</w:t>
        </w:r>
      </w:hyperlink>
      <w:r>
        <w:t xml:space="preserve">, pág. </w:t>
      </w:r>
      <w:r>
        <w:fldChar w:fldCharType="begin"/>
        <w:instrText xml:space="preserve">PAGEREF b_3_9 \h</w:instrText>
        <w:fldChar w:fldCharType="separate"/>
        <w:t xml:space="preserve">622</w:t>
        <w:fldChar w:fldCharType="end"/>
      </w:r>
      <w:r>
        <w:t xml:space="preserve">.</w:t>
      </w:r>
    </w:p>
    <w:p>
      <w:pPr>
        <w:pStyle w:val="Fuente"/>
      </w:pPr>
      <w:r>
        <w:t xml:space="preserve">Véase </w:t>
      </w:r>
      <w:hyperlink w:history="1" w:anchor="b_3_1">
        <w:r>
          <w:rPr>
            <w:color w:val="156B70"/>
            <w:u w:val="single"/>
          </w:rPr>
          <w:t xml:space="preserve">capítulo 3.1 · Mapas sistémicos</w:t>
        </w:r>
      </w:hyperlink>
      <w:r>
        <w:t xml:space="preserve">, pág. </w:t>
      </w:r>
      <w:r>
        <w:fldChar w:fldCharType="begin"/>
        <w:instrText xml:space="preserve">PAGEREF b_3_1 \h</w:instrText>
        <w:fldChar w:fldCharType="separate"/>
        <w:t xml:space="preserve">379</w:t>
        <w:fldChar w:fldCharType="end"/>
      </w:r>
      <w:r>
        <w:t xml:space="preserve">.</w:t>
      </w:r>
    </w:p>
    <w:p>
      <w:pPr>
        <w:pStyle w:val="Heading3"/>
      </w:pPr>
      <w:bookmarkStart w:name="b_clase_3_4_c13_cap_03" w:id="2727"/>
      <w:r>
        <w:t xml:space="preserve">Clase 13 · 00:25:14–00:31:59 · El hábito de la naturaleza circular</w:t>
      </w:r>
      <w:bookmarkEnd w:id="2727"/>
    </w:p>
    <w:p>
      <w:bookmarkStart w:name="b_punto_c13_cap_03_p01" w:id="2728"/>
      <w:r>
        <w:t xml:space="preserve">El segundo hábito de la serie reconoce la naturaleza circular de las relaciones complejas; pocos elementos con relaciones diversas también pueden producir complejidad.</w:t>
      </w:r>
      <w:bookmarkEnd w:id="2728"/>
    </w:p>
    <w:p>
      <w:bookmarkStart w:name="b_punto_c13_cap_03_p02" w:id="2729"/>
      <w:r>
        <w:t xml:space="preserve">A actúa sobre B y la reacción de B vuelve a afectar a A; la flecha representa la relación causal dirigida entre esas partes.</w:t>
      </w:r>
      <w:bookmarkEnd w:id="2729"/>
    </w:p>
    <w:p>
      <w:bookmarkStart w:name="b_punto_c13_cap_03_p03" w:id="2730"/>
      <w:r>
        <w:t xml:space="preserve">En una conversación, una pregunta provoca una respuesta que cambia la información de quien preguntó y puede provocar la siguiente pregunta.</w:t>
      </w:r>
      <w:bookmarkEnd w:id="2730"/>
    </w:p>
    <w:p>
      <w:bookmarkStart w:name="b_punto_c13_cap_03_p04" w:id="2731"/>
      <w:r>
        <w:t xml:space="preserve">Una cadena A→B→…→G forma un ciclo si retorna a una variable anterior; puede volver al inicio o a una intermedia, dejando variables fuera del recorrido cerrado.</w:t>
      </w:r>
      <w:bookmarkEnd w:id="2731"/>
    </w:p>
    <w:p>
      <w:bookmarkStart w:name="b_punto_c13_cap_03_p05" w:id="2732"/>
      <w:r>
        <w:t xml:space="preserve">El pensador pregunta cómo se afectan las partes y dónde aparece la retroalimentación de causalidad circular.</w:t>
      </w:r>
      <w:bookmarkEnd w:id="2732"/>
    </w:p>
    <w:p>
      <w:bookmarkStart w:name="b_punto_c13_cap_03_p06" w:id="2733"/>
      <w:r>
        <w:t xml:space="preserve">Las clases 10–16 desarrollan interdependencia y retorno causal; Senge, Meadows y O’Connor/McDermott aportan ampliaciones bibliográficas.</w:t>
      </w:r>
      <w:bookmarkEnd w:id="2733"/>
    </w:p>
    <w:p>
      <w:bookmarkStart w:name="b_punto_c13_cap_03_p07" w:id="2734"/>
      <w:r>
        <w:t xml:space="preserve">El lazo causal se cierra y puede repetirse; lo que no se agota es el recorrido, no su cierre.</w:t>
      </w:r>
      <w:bookmarkEnd w:id="2734"/>
    </w:p>
    <w:p>
      <w:pPr>
        <w:pStyle w:val="Heading3"/>
      </w:pPr>
      <w:bookmarkStart w:name="b_clase_3_4_c13_cap_04" w:id="2735"/>
      <w:r>
        <w:t xml:space="preserve">Clase 13 · 00:31:59–00:43:51 · Variables, ciclos y escalas de tiempo</w:t>
      </w:r>
      <w:bookmarkEnd w:id="2735"/>
    </w:p>
    <w:p>
      <w:bookmarkStart w:name="b_punto_c13_cap_04_p01" w:id="2736"/>
      <w:r>
        <w:t xml:space="preserve">El ciclo de la planta añade ramas y recorre semillas, raíces, tallos, hojas, flores y frutos hasta producir nuevas semillas; la reproducción de más plantas es el comportamiento emergente.</w:t>
      </w:r>
      <w:bookmarkEnd w:id="2736"/>
    </w:p>
    <w:p>
      <w:bookmarkStart w:name="b_punto_c13_cap_04_p03" w:id="2737"/>
      <w:r>
        <w:t xml:space="preserve">Hay emergencias casi instantáneas y otras de años o siglos que una experiencia humana breve puede no percibir.</w:t>
      </w:r>
      <w:bookmarkEnd w:id="2737"/>
    </w:p>
    <w:p>
      <w:bookmarkStart w:name="b_punto_c13_cap_04_p04" w:id="2738"/>
      <w:r>
        <w:t xml:space="preserve">El tiempo es determinante para percibir la estructura; el curso trabaja sobre todo escalas de semanas, meses y años.</w:t>
      </w:r>
      <w:bookmarkEnd w:id="2738"/>
    </w:p>
    <w:p>
      <w:bookmarkStart w:name="b_punto_c13_cap_04_p06" w:id="2739"/>
      <w:r>
        <w:t xml:space="preserve">Abeja y flor ejemplifican una influencia mutua natural; reconocerla es una habilidad que se entrena, no sólo una observación casual.</w:t>
      </w:r>
      <w:bookmarkEnd w:id="2739"/>
    </w:p>
    <w:p>
      <w:bookmarkStart w:name="b_punto_c13_cap_04_p07" w:id="2740"/>
      <w:r>
        <w:t xml:space="preserve">La explicación lineal muestra sólo un segmento; ampliar ventana temporal y perspectivas permite hallar retornos, aunque modelar su complejidad exige tiempo o estudiar teorías ya construidas.</w:t>
      </w:r>
      <w:bookmarkEnd w:id="2740"/>
    </w:p>
    <w:p>
      <w:pPr>
        <w:pStyle w:val="Fuente"/>
      </w:pPr>
      <w:r>
        <w:t xml:space="preserve">Véase </w:t>
      </w:r>
      <w:hyperlink w:history="1" w:anchor="b_senales_examen">
        <w:r>
          <w:rPr>
            <w:color w:val="156B70"/>
            <w:u w:val="single"/>
          </w:rPr>
          <w:t xml:space="preserve">1 indicación(es) de examen de este tramo, en el apéndice cronológico</w:t>
        </w:r>
      </w:hyperlink>
      <w:r>
        <w:t xml:space="preserve">, pág. </w:t>
      </w:r>
      <w:r>
        <w:fldChar w:fldCharType="begin"/>
        <w:instrText xml:space="preserve">PAGEREF b_senales_examen \h</w:instrText>
        <w:fldChar w:fldCharType="separate"/>
        <w:t xml:space="preserve">1663</w:t>
        <w:fldChar w:fldCharType="end"/>
      </w:r>
      <w:r>
        <w:t xml:space="preserve">.</w:t>
      </w:r>
    </w:p>
    <w:p>
      <w:pPr>
        <w:pStyle w:val="Fuente"/>
      </w:pPr>
      <w:r>
        <w:t xml:space="preserve">Véase </w:t>
      </w:r>
      <w:hyperlink w:history="1" w:anchor="b_3_9">
        <w:r>
          <w:rPr>
            <w:color w:val="156B70"/>
            <w:u w:val="single"/>
          </w:rPr>
          <w:t xml:space="preserve">capítulo 3.9 · Hábitos (complejo)</w:t>
        </w:r>
      </w:hyperlink>
      <w:r>
        <w:t xml:space="preserve">, pág. </w:t>
      </w:r>
      <w:r>
        <w:fldChar w:fldCharType="begin"/>
        <w:instrText xml:space="preserve">PAGEREF b_3_9 \h</w:instrText>
        <w:fldChar w:fldCharType="separate"/>
        <w:t xml:space="preserve">622</w:t>
        <w:fldChar w:fldCharType="end"/>
      </w:r>
      <w:r>
        <w:t xml:space="preserve">.</w:t>
      </w:r>
    </w:p>
    <w:p>
      <w:pPr>
        <w:pStyle w:val="Fuente"/>
      </w:pPr>
      <w:r>
        <w:t xml:space="preserve">Véase </w:t>
      </w:r>
      <w:hyperlink w:history="1" w:anchor="b_3_3">
        <w:r>
          <w:rPr>
            <w:color w:val="156B70"/>
            <w:u w:val="single"/>
          </w:rPr>
          <w:t xml:space="preserve">capítulo 3.3 · Diagramas de ciclos causales</w:t>
        </w:r>
      </w:hyperlink>
      <w:r>
        <w:t xml:space="preserve">, pág. </w:t>
      </w:r>
      <w:r>
        <w:fldChar w:fldCharType="begin"/>
        <w:instrText xml:space="preserve">PAGEREF b_3_3 \h</w:instrText>
        <w:fldChar w:fldCharType="separate"/>
        <w:t xml:space="preserve">443</w:t>
        <w:fldChar w:fldCharType="end"/>
      </w:r>
      <w:r>
        <w:t xml:space="preserve">.</w:t>
      </w:r>
    </w:p>
    <w:p>
      <w:pPr>
        <w:pStyle w:val="Heading3"/>
      </w:pPr>
      <w:bookmarkStart w:name="b_clase_3_4_c13_cap_06" w:id="2741"/>
      <w:r>
        <w:t xml:space="preserve">Clase 13 · 00:53:42–00:58:54 · Tiempo lineal y tiempo circular</w:t>
      </w:r>
      <w:bookmarkEnd w:id="2741"/>
    </w:p>
    <w:p>
      <w:bookmarkStart w:name="b_punto_c13_cap_06_p01" w:id="2742"/>
      <w:r>
        <w:t xml:space="preserve">La perspectiva lineal del tiempo usa pasado, presente y futuro como una secuencia y tiene una tradición física asociada por el texto a Newton.</w:t>
      </w:r>
      <w:bookmarkEnd w:id="2742"/>
    </w:p>
    <w:p>
      <w:bookmarkStart w:name="b_punto_c13_cap_06_p02" w:id="2743"/>
      <w:r>
        <w:t xml:space="preserve">Cuando el río ideal y el flujo satisfacen los supuestos, y se reconocen las interferencias excluidas</w:t>
      </w:r>
      <w:bookmarkEnd w:id="2743"/>
    </w:p>
    <w:p>
      <w:bookmarkStart w:name="b_punto_c13_cap_06_p03" w:id="2744"/>
      <w:r>
        <w:t xml:space="preserve">La representación circular omite el presente y enlaza pasado y futuro; la pregunta es cómo una representación de lo futuro puede influir en una acción presente.</w:t>
      </w:r>
      <w:bookmarkEnd w:id="2744"/>
    </w:p>
    <w:p>
      <w:pPr>
        <w:pStyle w:val="Heading3"/>
      </w:pPr>
      <w:bookmarkStart w:name="b_clase_3_4_c13_cap_07" w:id="2745"/>
      <w:r>
        <w:t xml:space="preserve">Clase 13 · 00:58:54–01:14:06 · El futuro que retroalimenta al presente</w:t>
      </w:r>
      <w:bookmarkEnd w:id="2745"/>
    </w:p>
    <w:p>
      <w:bookmarkStart w:name="b_punto_c13_cap_07_p01" w:id="2746"/>
      <w:r>
        <w:t xml:space="preserve">No estudiar antes y perder después el examen es una descripción lineal mientras no se haga explícita la influencia de la expectativa sobre el estudio de hoy.</w:t>
      </w:r>
      <w:bookmarkEnd w:id="2746"/>
    </w:p>
    <w:p>
      <w:bookmarkStart w:name="b_punto_c13_cap_07_p02" w:id="2747"/>
      <w:r>
        <w:t xml:space="preserve">El inventario debe mantener existencias y ordenar reposición con tiempo suficiente para atender ventas mientras llega el pedido.</w:t>
      </w:r>
      <w:bookmarkEnd w:id="2747"/>
    </w:p>
    <w:p>
      <w:bookmarkStart w:name="b_punto_c13_cap_07_p03" w:id="2748"/>
      <w:r>
        <w:t xml:space="preserve">Con diez unidades, tres ventas diarias y un día de entrega, proyectar el agotamiento en unos tres días mueve la orden de reposición antes de quedarse sin producto.</w:t>
      </w:r>
      <w:bookmarkEnd w:id="2748"/>
    </w:p>
    <w:p>
      <w:bookmarkStart w:name="b_punto_c13_cap_07_p04" w:id="2749"/>
      <w:r>
        <w:t xml:space="preserve">Visualizar la aprobación deseada cambia el esfuerzo de estudio presente; sin un objetivo que importe, esa anticipación no produce la misma motivación.</w:t>
      </w:r>
      <w:bookmarkEnd w:id="2749"/>
    </w:p>
    <w:p>
      <w:bookmarkStart w:name="b_punto_c13_cap_07_p05" w:id="2750"/>
      <w:r>
        <w:t xml:space="preserve">Mala nota, menor confianza, menos estudio, menos aprendizaje y nueva mala nota describen un lazo que puede operar también en sentido favorable.</w:t>
      </w:r>
      <w:bookmarkEnd w:id="2750"/>
    </w:p>
    <w:p>
      <w:bookmarkStart w:name="b_punto_c13_cap_07_p07" w:id="2751"/>
      <w:r>
        <w:t xml:space="preserve">La imagen futura de una medalla o un título mueve el entrenamiento individual o coordinado de un equipo; la anticipación se presenta como habilidad que se profundizará después.</w:t>
      </w:r>
      <w:bookmarkEnd w:id="2751"/>
    </w:p>
    <w:p>
      <w:bookmarkStart w:name="b_punto_c13_cap_07_p08" w:id="2752"/>
      <w:r>
        <w:t xml:space="preserve">En el ejemplo de software, presión de entrega, menos tiempo para pruebas, trabajo y retrasos son variables que permiten revelar circularidad detrás de una descripción parcial.</w:t>
      </w:r>
      <w:bookmarkEnd w:id="2752"/>
    </w:p>
    <w:p>
      <w:pPr>
        <w:pStyle w:val="Fuente"/>
      </w:pPr>
      <w:r>
        <w:t xml:space="preserve">Véase </w:t>
      </w:r>
      <w:hyperlink w:history="1" w:anchor="b_senales_examen">
        <w:r>
          <w:rPr>
            <w:color w:val="156B70"/>
            <w:u w:val="single"/>
          </w:rPr>
          <w:t xml:space="preserve">1 indicación(es) de examen de este tramo, en el apéndice cronológico</w:t>
        </w:r>
      </w:hyperlink>
      <w:r>
        <w:t xml:space="preserve">, pág. </w:t>
      </w:r>
      <w:r>
        <w:fldChar w:fldCharType="begin"/>
        <w:instrText xml:space="preserve">PAGEREF b_senales_examen \h</w:instrText>
        <w:fldChar w:fldCharType="separate"/>
        <w:t xml:space="preserve">1663</w:t>
        <w:fldChar w:fldCharType="end"/>
      </w:r>
      <w:r>
        <w:t xml:space="preserve">.</w:t>
      </w:r>
    </w:p>
    <w:p>
      <w:pPr>
        <w:pStyle w:val="Fuente"/>
      </w:pPr>
      <w:r>
        <w:t xml:space="preserve">Véase </w:t>
      </w:r>
      <w:hyperlink w:history="1" w:anchor="b_3_5">
        <w:r>
          <w:rPr>
            <w:color w:val="156B70"/>
            <w:u w:val="single"/>
          </w:rPr>
          <w:t xml:space="preserve">capítulo 3.5 · Refuerzo y compensación</w:t>
        </w:r>
      </w:hyperlink>
      <w:r>
        <w:t xml:space="preserve">, pág. </w:t>
      </w:r>
      <w:r>
        <w:fldChar w:fldCharType="begin"/>
        <w:instrText xml:space="preserve">PAGEREF b_3_5 \h</w:instrText>
        <w:fldChar w:fldCharType="separate"/>
        <w:t xml:space="preserve">501</w:t>
        <w:fldChar w:fldCharType="end"/>
      </w:r>
      <w:r>
        <w:t xml:space="preserve">.</w:t>
      </w:r>
    </w:p>
    <w:p>
      <w:pPr>
        <w:pStyle w:val="Heading3"/>
      </w:pPr>
      <w:bookmarkStart w:name="b_clase_3_4_c13_cap_09" w:id="2753"/>
      <w:r>
        <w:t xml:space="preserve">Clase 13 · 01:27:23–01:38:26 · Proceso frente a sistema y contar la historia</w:t>
      </w:r>
      <w:bookmarkEnd w:id="2753"/>
    </w:p>
    <w:p>
      <w:bookmarkStart w:name="b_punto_c13_cap_09_p04" w:id="2754"/>
      <w:r>
        <w:t xml:space="preserve">La realidad combina ciclos anidados o paralelos que comparten variables; modelarlos y ordenar sus cruces exige análisis y distintas perspectivas.</w:t>
      </w:r>
      <w:bookmarkEnd w:id="2754"/>
    </w:p>
    <w:p>
      <w:bookmarkStart w:name="b_punto_c13_cap_09_p06" w:id="2755"/>
      <w:r>
        <w:t xml:space="preserve">Sin signos, el autor debe explicar cómo interpreta las flechas; una historia circular puede empezar en cualquier variable y cierra repitiendo el recorrido.</w:t>
      </w:r>
      <w:bookmarkEnd w:id="2755"/>
    </w:p>
    <w:p>
      <w:pPr>
        <w:pStyle w:val="Fuente"/>
      </w:pPr>
      <w:r>
        <w:t xml:space="preserve">Véase </w:t>
      </w:r>
      <w:hyperlink w:history="1" w:anchor="b_senales_examen">
        <w:r>
          <w:rPr>
            <w:color w:val="156B70"/>
            <w:u w:val="single"/>
          </w:rPr>
          <w:t xml:space="preserve">1 indicación(es) de examen de este tramo, en el apéndice cronológico</w:t>
        </w:r>
      </w:hyperlink>
      <w:r>
        <w:t xml:space="preserve">, pág. </w:t>
      </w:r>
      <w:r>
        <w:fldChar w:fldCharType="begin"/>
        <w:instrText xml:space="preserve">PAGEREF b_senales_examen \h</w:instrText>
        <w:fldChar w:fldCharType="separate"/>
        <w:t xml:space="preserve">1663</w:t>
        <w:fldChar w:fldCharType="end"/>
      </w:r>
      <w:r>
        <w:t xml:space="preserve">.</w:t>
      </w:r>
    </w:p>
    <w:p>
      <w:pPr>
        <w:pStyle w:val="Fuente"/>
      </w:pPr>
      <w:r>
        <w:t xml:space="preserve">Véase </w:t>
      </w:r>
      <w:hyperlink w:history="1" w:anchor="b_3_3">
        <w:r>
          <w:rPr>
            <w:color w:val="156B70"/>
            <w:u w:val="single"/>
          </w:rPr>
          <w:t xml:space="preserve">capítulo 3.3 · Diagramas de ciclos causales</w:t>
        </w:r>
      </w:hyperlink>
      <w:r>
        <w:t xml:space="preserve">, pág. </w:t>
      </w:r>
      <w:r>
        <w:fldChar w:fldCharType="begin"/>
        <w:instrText xml:space="preserve">PAGEREF b_3_3 \h</w:instrText>
        <w:fldChar w:fldCharType="separate"/>
        <w:t xml:space="preserve">443</w:t>
        <w:fldChar w:fldCharType="end"/>
      </w:r>
      <w:r>
        <w:t xml:space="preserve">.</w:t>
      </w:r>
    </w:p>
    <w:p>
      <w:pPr>
        <w:pStyle w:val="Fuente"/>
      </w:pPr>
      <w:r>
        <w:t xml:space="preserve">Véase </w:t>
      </w:r>
      <w:hyperlink w:history="1" w:anchor="b_3_1">
        <w:r>
          <w:rPr>
            <w:color w:val="156B70"/>
            <w:u w:val="single"/>
          </w:rPr>
          <w:t xml:space="preserve">capítulo 3.1 · Mapas sistémicos</w:t>
        </w:r>
      </w:hyperlink>
      <w:r>
        <w:t xml:space="preserve">, pág. </w:t>
      </w:r>
      <w:r>
        <w:fldChar w:fldCharType="begin"/>
        <w:instrText xml:space="preserve">PAGEREF b_3_1 \h</w:instrText>
        <w:fldChar w:fldCharType="separate"/>
        <w:t xml:space="preserve">379</w:t>
        <w:fldChar w:fldCharType="end"/>
      </w:r>
      <w:r>
        <w:t xml:space="preserve">.</w:t>
      </w:r>
    </w:p>
    <w:p>
      <w:pPr>
        <w:pStyle w:val="Heading3"/>
      </w:pPr>
      <w:bookmarkStart w:name="b_clase_3_4_c13_cap_10" w:id="2756"/>
      <w:r>
        <w:t xml:space="preserve">Clase 13 · 01:38:26–01:47:02 · El mapa del jardín y los dos tipos de ciclo</w:t>
      </w:r>
      <w:bookmarkEnd w:id="2756"/>
    </w:p>
    <w:p>
      <w:bookmarkStart w:name="b_punto_c13_cap_10_p01" w:id="2757"/>
      <w:r>
        <w:t xml:space="preserve">El caso parte de desayunar placenteramente en el jardín, disfrutar aves y añadir comederos y alimento para que lleguen más pájaros; la intervención desencadena otras consecuencias.</w:t>
      </w:r>
      <w:bookmarkEnd w:id="2757"/>
    </w:p>
    <w:p>
      <w:bookmarkStart w:name="b_punto_c13_cap_10_p02" w:id="2758"/>
      <w:r>
        <w:t xml:space="preserve">El docente anuncia que no alcanza a contar toda la historia; las láminas progresivas muestran cómo aparece una telaraña de once o doce recorridos.</w:t>
      </w:r>
      <w:bookmarkEnd w:id="2758"/>
    </w:p>
    <w:p>
      <w:pPr>
        <w:pStyle w:val="Fuente"/>
      </w:pPr>
      <w:r>
        <w:t xml:space="preserve">Véase </w:t>
      </w:r>
      <w:hyperlink w:history="1" w:anchor="b_senales_examen">
        <w:r>
          <w:rPr>
            <w:color w:val="156B70"/>
            <w:u w:val="single"/>
          </w:rPr>
          <w:t xml:space="preserve">2 indicación(es) de examen de este tramo, en el apéndice cronológico</w:t>
        </w:r>
      </w:hyperlink>
      <w:r>
        <w:t xml:space="preserve">, pág. </w:t>
      </w:r>
      <w:r>
        <w:fldChar w:fldCharType="begin"/>
        <w:instrText xml:space="preserve">PAGEREF b_senales_examen \h</w:instrText>
        <w:fldChar w:fldCharType="separate"/>
        <w:t xml:space="preserve">1663</w:t>
        <w:fldChar w:fldCharType="end"/>
      </w:r>
      <w:r>
        <w:t xml:space="preserve">.</w:t>
      </w:r>
    </w:p>
    <w:p>
      <w:pPr>
        <w:pStyle w:val="Fuente"/>
      </w:pPr>
      <w:r>
        <w:t xml:space="preserve">Véase </w:t>
      </w:r>
      <w:hyperlink w:history="1" w:anchor="b_3_5">
        <w:r>
          <w:rPr>
            <w:color w:val="156B70"/>
            <w:u w:val="single"/>
          </w:rPr>
          <w:t xml:space="preserve">capítulo 3.5 · Refuerzo y compensación</w:t>
        </w:r>
      </w:hyperlink>
      <w:r>
        <w:t xml:space="preserve">, pág. </w:t>
      </w:r>
      <w:r>
        <w:fldChar w:fldCharType="begin"/>
        <w:instrText xml:space="preserve">PAGEREF b_3_5 \h</w:instrText>
        <w:fldChar w:fldCharType="separate"/>
        <w:t xml:space="preserve">501</w:t>
        <w:fldChar w:fldCharType="end"/>
      </w:r>
      <w:r>
        <w:t xml:space="preserve">.</w:t>
      </w:r>
    </w:p>
    <w:p>
      <w:pPr>
        <w:pStyle w:val="Heading3"/>
      </w:pPr>
      <w:bookmarkStart w:name="b_clase_3_4_c14_cap_02" w:id="2759"/>
      <w:r>
        <w:t xml:space="preserve">Clase 14 · 00:03:57–00:07:58 · La telaraña de ciclos y la convención de color</w:t>
      </w:r>
      <w:bookmarkEnd w:id="2759"/>
    </w:p>
    <w:p>
      <w:bookmarkStart w:name="b_punto_c14_cap_02_p02" w:id="2760"/>
      <w:r>
        <w:t xml:space="preserve">La telaraña representa varios ciclos que interactúan; el profesor declara que no desarrollará el comedero y deja su historia progresiva en las láminas.</w:t>
      </w:r>
      <w:bookmarkEnd w:id="2760"/>
    </w:p>
    <w:p>
      <w:pPr>
        <w:pStyle w:val="Fuente"/>
      </w:pPr>
      <w:r>
        <w:t xml:space="preserve">Véase </w:t>
      </w:r>
      <w:hyperlink w:history="1" w:anchor="b_senales_examen">
        <w:r>
          <w:rPr>
            <w:color w:val="156B70"/>
            <w:u w:val="single"/>
          </w:rPr>
          <w:t xml:space="preserve">1 indicación(es) de examen de este tramo, en el apéndice cronológico</w:t>
        </w:r>
      </w:hyperlink>
      <w:r>
        <w:t xml:space="preserve">, pág. </w:t>
      </w:r>
      <w:r>
        <w:fldChar w:fldCharType="begin"/>
        <w:instrText xml:space="preserve">PAGEREF b_senales_examen \h</w:instrText>
        <w:fldChar w:fldCharType="separate"/>
        <w:t xml:space="preserve">1663</w:t>
        <w:fldChar w:fldCharType="end"/>
      </w:r>
      <w:r>
        <w:t xml:space="preserve">.</w:t>
      </w:r>
    </w:p>
    <w:p>
      <w:pPr>
        <w:pStyle w:val="Fuente"/>
      </w:pPr>
      <w:r>
        <w:t xml:space="preserve">Véase </w:t>
      </w:r>
      <w:hyperlink w:history="1" w:anchor="b_3_9">
        <w:r>
          <w:rPr>
            <w:color w:val="156B70"/>
            <w:u w:val="single"/>
          </w:rPr>
          <w:t xml:space="preserve">capítulo 3.9 · Hábitos (complejo)</w:t>
        </w:r>
      </w:hyperlink>
      <w:r>
        <w:t xml:space="preserve">, pág. </w:t>
      </w:r>
      <w:r>
        <w:fldChar w:fldCharType="begin"/>
        <w:instrText xml:space="preserve">PAGEREF b_3_9 \h</w:instrText>
        <w:fldChar w:fldCharType="separate"/>
        <w:t xml:space="preserve">622</w:t>
        <w:fldChar w:fldCharType="end"/>
      </w:r>
      <w:r>
        <w:t xml:space="preserve">.</w:t>
      </w:r>
    </w:p>
    <w:p>
      <w:pPr>
        <w:pStyle w:val="Fuente"/>
      </w:pPr>
      <w:r>
        <w:t xml:space="preserve">Véase </w:t>
      </w:r>
      <w:hyperlink w:history="1" w:anchor="b_3_5">
        <w:r>
          <w:rPr>
            <w:color w:val="156B70"/>
            <w:u w:val="single"/>
          </w:rPr>
          <w:t xml:space="preserve">capítulo 3.5 · Refuerzo y compensación</w:t>
        </w:r>
      </w:hyperlink>
      <w:r>
        <w:t xml:space="preserve">, pág. </w:t>
      </w:r>
      <w:r>
        <w:fldChar w:fldCharType="begin"/>
        <w:instrText xml:space="preserve">PAGEREF b_3_5 \h</w:instrText>
        <w:fldChar w:fldCharType="separate"/>
        <w:t xml:space="preserve">501</w:t>
        <w:fldChar w:fldCharType="end"/>
      </w:r>
      <w:r>
        <w:t xml:space="preserve">.</w:t>
      </w:r>
    </w:p>
    <w:p>
      <w:pPr>
        <w:pStyle w:val="Heading3"/>
      </w:pPr>
      <w:bookmarkStart w:name="b_clase_3_4_c14_cap_10" w:id="2761"/>
      <w:r>
        <w:t xml:space="preserve">Clase 14 · 01:26:29–01:37:24 · Círculos virtuosos y viciosos, y la tarea</w:t>
      </w:r>
      <w:bookmarkEnd w:id="2761"/>
    </w:p>
    <w:p>
      <w:bookmarkStart w:name="b_punto_c14_cap_10_p02" w:id="2762"/>
      <w:r>
        <w:t xml:space="preserve">Virtuoso y vicioso valoran el resultado para el sistema; comparten estructura y no son sinónimos de balance/refuerzo ni de signo bueno/malo.</w:t>
      </w:r>
      <w:bookmarkEnd w:id="2762"/>
    </w:p>
    <w:p>
      <w:bookmarkStart w:name="b_punto_c14_cap_10_p06" w:id="2763"/>
      <w:r>
        <w:t xml:space="preserve">La definición aceptada por el profesor distingue refuerzo favorable y desfavorable por la valoración de consecuencias, sin cambiar su estructura básica.</w:t>
      </w:r>
      <w:bookmarkEnd w:id="2763"/>
    </w:p>
    <w:p>
      <w:pPr>
        <w:pStyle w:val="Fuente"/>
      </w:pPr>
      <w:r>
        <w:t xml:space="preserve">Véase </w:t>
      </w:r>
      <w:hyperlink w:history="1" w:anchor="b_senales_examen">
        <w:r>
          <w:rPr>
            <w:color w:val="156B70"/>
            <w:u w:val="single"/>
          </w:rPr>
          <w:t xml:space="preserve">1 indicación(es) de examen de este tramo, en el apéndice cronológico</w:t>
        </w:r>
      </w:hyperlink>
      <w:r>
        <w:t xml:space="preserve">, pág. </w:t>
      </w:r>
      <w:r>
        <w:fldChar w:fldCharType="begin"/>
        <w:instrText xml:space="preserve">PAGEREF b_senales_examen \h</w:instrText>
        <w:fldChar w:fldCharType="separate"/>
        <w:t xml:space="preserve">1663</w:t>
        <w:fldChar w:fldCharType="end"/>
      </w:r>
      <w:r>
        <w:t xml:space="preserve">.</w:t>
      </w:r>
    </w:p>
    <w:p>
      <w:pPr>
        <w:pStyle w:val="Fuente"/>
      </w:pPr>
      <w:r>
        <w:t xml:space="preserve">Véase </w:t>
      </w:r>
      <w:hyperlink w:history="1" w:anchor="b_3_5">
        <w:r>
          <w:rPr>
            <w:color w:val="156B70"/>
            <w:u w:val="single"/>
          </w:rPr>
          <w:t xml:space="preserve">capítulo 3.5 · Refuerzo y compensación</w:t>
        </w:r>
      </w:hyperlink>
      <w:r>
        <w:t xml:space="preserve">, pág. </w:t>
      </w:r>
      <w:r>
        <w:fldChar w:fldCharType="begin"/>
        <w:instrText xml:space="preserve">PAGEREF b_3_5 \h</w:instrText>
        <w:fldChar w:fldCharType="separate"/>
        <w:t xml:space="preserve">501</w:t>
        <w:fldChar w:fldCharType="end"/>
      </w:r>
      <w:r>
        <w:t xml:space="preserve">.</w:t>
      </w:r>
    </w:p>
    <w:p>
      <w:pPr>
        <w:pStyle w:val="Fuente"/>
      </w:pPr>
      <w:r>
        <w:t xml:space="preserve">Véase </w:t>
      </w:r>
      <w:hyperlink w:history="1" w:anchor="b_3_7">
        <w:r>
          <w:rPr>
            <w:color w:val="156B70"/>
            <w:u w:val="single"/>
          </w:rPr>
          <w:t xml:space="preserve">capítulo 3.7 · Demoras de tiempo</w:t>
        </w:r>
      </w:hyperlink>
      <w:r>
        <w:t xml:space="preserve">, pág. </w:t>
      </w:r>
      <w:r>
        <w:fldChar w:fldCharType="begin"/>
        <w:instrText xml:space="preserve">PAGEREF b_3_7 \h</w:instrText>
        <w:fldChar w:fldCharType="separate"/>
        <w:t xml:space="preserve">580</w:t>
        <w:fldChar w:fldCharType="end"/>
      </w:r>
      <w:r>
        <w:t xml:space="preserve">.</w:t>
      </w:r>
    </w:p>
    <w:p>
      <w:pPr>
        <w:pStyle w:val="Heading3"/>
      </w:pPr>
      <w:bookmarkStart w:name="b_clase_3_4_c15_cap_09" w:id="2764"/>
      <w:r>
        <w:t xml:space="preserve">Clase 15 · 01:05:12–01:25:51 · La regla del número de negativas</w:t>
      </w:r>
      <w:bookmarkEnd w:id="2764"/>
    </w:p>
    <w:p>
      <w:bookmarkStart w:name="b_punto_c15_cap_09_p02" w:id="2765"/>
      <w:r>
        <w:t xml:space="preserve">Desarrollo→pobreza→oferta→desarrollo tiene dos negativas: más desarrollo reduce pobreza y menos pobreza permite más oferta, que aumenta desarrollo.</w:t>
      </w:r>
      <w:bookmarkEnd w:id="2765"/>
    </w:p>
    <w:p>
      <w:bookmarkStart w:name="b_punto_c15_cap_09_p05" w:id="2766"/>
      <w:r>
        <w:t xml:space="preserve">Los seis recorridos de energía son tres R y tres B; un número impar de negativas, incluida una, da balance.</w:t>
      </w:r>
      <w:bookmarkEnd w:id="2766"/>
    </w:p>
    <w:p>
      <w:pPr>
        <w:pStyle w:val="Fuente"/>
      </w:pPr>
      <w:r>
        <w:t xml:space="preserve">Véase </w:t>
      </w:r>
      <w:hyperlink w:history="1" w:anchor="b_senales_examen">
        <w:r>
          <w:rPr>
            <w:color w:val="156B70"/>
            <w:u w:val="single"/>
          </w:rPr>
          <w:t xml:space="preserve">1 indicación(es) de examen de este tramo, en el apéndice cronológico</w:t>
        </w:r>
      </w:hyperlink>
      <w:r>
        <w:t xml:space="preserve">, pág. </w:t>
      </w:r>
      <w:r>
        <w:fldChar w:fldCharType="begin"/>
        <w:instrText xml:space="preserve">PAGEREF b_senales_examen \h</w:instrText>
        <w:fldChar w:fldCharType="separate"/>
        <w:t xml:space="preserve">1663</w:t>
        <w:fldChar w:fldCharType="end"/>
      </w:r>
      <w:r>
        <w:t xml:space="preserve">.</w:t>
      </w:r>
    </w:p>
    <w:p>
      <w:pPr>
        <w:pStyle w:val="Fuente"/>
      </w:pPr>
      <w:r>
        <w:t xml:space="preserve">Véase </w:t>
      </w:r>
      <w:hyperlink w:history="1" w:anchor="b_3_5">
        <w:r>
          <w:rPr>
            <w:color w:val="156B70"/>
            <w:u w:val="single"/>
          </w:rPr>
          <w:t xml:space="preserve">capítulo 3.5 · Refuerzo y compensación</w:t>
        </w:r>
      </w:hyperlink>
      <w:r>
        <w:t xml:space="preserve">, pág. </w:t>
      </w:r>
      <w:r>
        <w:fldChar w:fldCharType="begin"/>
        <w:instrText xml:space="preserve">PAGEREF b_3_5 \h</w:instrText>
        <w:fldChar w:fldCharType="separate"/>
        <w:t xml:space="preserve">501</w:t>
        <w:fldChar w:fldCharType="end"/>
      </w:r>
      <w:r>
        <w:t xml:space="preserve">.</w:t>
      </w:r>
    </w:p>
    <w:p>
      <w:pPr>
        <w:pStyle w:val="Fuente"/>
      </w:pPr>
      <w:r>
        <w:t xml:space="preserve">Véase </w:t>
      </w:r>
      <w:hyperlink w:history="1" w:anchor="b_3_6">
        <w:r>
          <w:rPr>
            <w:color w:val="156B70"/>
            <w:u w:val="single"/>
          </w:rPr>
          <w:t xml:space="preserve">capítulo 3.6 · Modelación dinámica</w:t>
        </w:r>
      </w:hyperlink>
      <w:r>
        <w:t xml:space="preserve">, pág. </w:t>
      </w:r>
      <w:r>
        <w:fldChar w:fldCharType="begin"/>
        <w:instrText xml:space="preserve">PAGEREF b_3_6 \h</w:instrText>
        <w:fldChar w:fldCharType="separate"/>
        <w:t xml:space="preserve">537</w:t>
        <w:fldChar w:fldCharType="end"/>
      </w:r>
      <w:r>
        <w:t xml:space="preserve">.</w:t>
      </w:r>
    </w:p>
    <w:p>
      <w:pPr>
        <w:pStyle w:val="Heading3"/>
      </w:pPr>
      <w:bookmarkStart w:name="b_cita_clase_10_interdependenci_42fc50c8" w:id="2767"/>
      <w:r>
        <w:t xml:space="preserve">Palabras del profesor</w:t>
      </w:r>
      <w:bookmarkEnd w:id="2767"/>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El profesor lo dijo así</w:t>
            </w:r>
          </w:p>
          <w:p>
            <w:pPr>
              <w:pStyle w:val="Recuadro"/>
            </w:pPr>
            <w:r>
              <w:t xml:space="preserve">«Cuando hay interdependencia quiere decir que hay relaciones entre los dos conceptos.»</w:t>
            </w:r>
          </w:p>
          <w:p>
            <w:pPr>
              <w:pStyle w:val="Recuadro"/>
            </w:pPr>
            <w:r>
              <w:t xml:space="preserve">Clase 10 · 00:55:12–00:55:41</w:t>
            </w:r>
          </w:p>
        </w:tc>
      </w:tr>
    </w:tbl>
    <w:p>
      <w:pPr>
        <w:pStyle w:val="Heading3"/>
      </w:pPr>
      <w:bookmarkStart w:name="b_cita_clase_12_comportamiento__e4b30a13" w:id="2768"/>
      <w:r>
        <w:t xml:space="preserve">Palabras del profesor</w:t>
      </w:r>
      <w:bookmarkEnd w:id="2768"/>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El profesor lo dijo así</w:t>
            </w:r>
          </w:p>
          <w:p>
            <w:pPr>
              <w:pStyle w:val="Recuadro"/>
            </w:pPr>
            <w:r>
              <w:t xml:space="preserve">«Esto es lo que llamamos un comportamiento circular, no lineal, es un comportamiento donde hay un ciclo de relaciones, en este caso, entre las partes del sistema.»</w:t>
            </w:r>
          </w:p>
          <w:p>
            <w:pPr>
              <w:pStyle w:val="Recuadro"/>
            </w:pPr>
            <w:r>
              <w:t xml:space="preserve">Clase 12 · 01:07:21–01:07:39</w:t>
            </w:r>
          </w:p>
        </w:tc>
      </w:tr>
    </w:tbl>
    <w:p>
      <w:pPr>
        <w:pStyle w:val="Heading3"/>
      </w:pPr>
      <w:bookmarkStart w:name="b_cita_clase_12_comprender_el_ciclo_base" w:id="2769"/>
      <w:r>
        <w:t xml:space="preserve">Palabras del profesor</w:t>
      </w:r>
      <w:bookmarkEnd w:id="2769"/>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El profesor lo dijo así</w:t>
            </w:r>
          </w:p>
          <w:p>
            <w:pPr>
              <w:pStyle w:val="Recuadro"/>
            </w:pPr>
            <w:r>
              <w:t xml:space="preserve">«Si comprendemos el ciclo inicial, el ciclo base, la estructura del ciclo, estaremos comprendiendo cómo es que se reproducen las plantas.»</w:t>
            </w:r>
          </w:p>
          <w:p>
            <w:pPr>
              <w:pStyle w:val="Recuadro"/>
            </w:pPr>
            <w:r>
              <w:t xml:space="preserve">Clase 12 · 01:08:03–01:08:32</w:t>
            </w:r>
          </w:p>
        </w:tc>
      </w:tr>
    </w:tbl>
    <w:p>
      <w:pPr>
        <w:pStyle w:val="Heading3"/>
      </w:pPr>
      <w:bookmarkStart w:name="b_cita_clase_13_circularidad_pr_aee5000c" w:id="2770"/>
      <w:r>
        <w:t xml:space="preserve">Palabras del profesor</w:t>
      </w:r>
      <w:bookmarkEnd w:id="2770"/>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El profesor lo dijo así</w:t>
            </w:r>
          </w:p>
          <w:p>
            <w:pPr>
              <w:pStyle w:val="Recuadro"/>
            </w:pPr>
            <w:r>
              <w:t xml:space="preserve">«Se provoca una reacción que no es totalmente lineal, sino que forma una circularidad, que es lo que provoca la no linealidad de los sistemas.»</w:t>
            </w:r>
          </w:p>
          <w:p>
            <w:pPr>
              <w:pStyle w:val="Recuadro"/>
            </w:pPr>
            <w:r>
              <w:t xml:space="preserve">Clase 13 · 00:30:55–00:31:14</w:t>
            </w:r>
          </w:p>
        </w:tc>
      </w:tr>
    </w:tbl>
    <w:p>
      <w:pPr>
        <w:pStyle w:val="Heading3"/>
      </w:pPr>
      <w:bookmarkStart w:name="b_cita_clase_14_telarana_de_cic_4fbbd10e" w:id="2771"/>
      <w:r>
        <w:t xml:space="preserve">Palabras del profesor</w:t>
      </w:r>
      <w:bookmarkEnd w:id="2771"/>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El profesor lo dijo así</w:t>
            </w:r>
          </w:p>
          <w:p>
            <w:pPr>
              <w:pStyle w:val="Recuadro"/>
            </w:pPr>
            <w:r>
              <w:t xml:space="preserve">«Las estructuras de telaraña de los sistemas son, desde esta perspectiva circular, ciclos de retroalimentación que están interactuando entre sí para describir la compleja estructura que da origen a los comportamientos emergentes del sistema.»</w:t>
            </w:r>
          </w:p>
          <w:p>
            <w:pPr>
              <w:pStyle w:val="Recuadro"/>
            </w:pPr>
            <w:r>
              <w:t xml:space="preserve">Clase 14 · 00:06:21–00:07:05</w:t>
            </w:r>
          </w:p>
        </w:tc>
      </w:tr>
    </w:tbl>
    <w:p>
      <w:pPr>
        <w:pStyle w:val="Heading3"/>
      </w:pPr>
      <w:bookmarkStart w:name="b_cita_clase_15_comportamiento__fa9b9ba1" w:id="2772"/>
      <w:r>
        <w:t xml:space="preserve">Palabras del profesor</w:t>
      </w:r>
      <w:bookmarkEnd w:id="2772"/>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El profesor lo dijo así</w:t>
            </w:r>
          </w:p>
          <w:p>
            <w:pPr>
              <w:pStyle w:val="Recuadro"/>
            </w:pPr>
            <w:r>
              <w:t xml:space="preserve">«El comportamiento emerge de todas las relaciones causales de causa y efecto, de todas las variables, de todos los subsistemas. No es que esté solamente en una de esas partes, sino que surge como resultado de todas las interacciones.»</w:t>
            </w:r>
          </w:p>
          <w:p>
            <w:pPr>
              <w:pStyle w:val="Recuadro"/>
            </w:pPr>
            <w:r>
              <w:t xml:space="preserve">Clase 15 · 00:33:50–00:34:16</w:t>
            </w:r>
          </w:p>
        </w:tc>
      </w:tr>
    </w:tbl>
    <w:p>
      <w:pPr>
        <w:pStyle w:val="Heading3"/>
      </w:pPr>
      <w:bookmarkStart w:name="b_cita_clase_16_multiples_ciclo_75fbeb17" w:id="2773"/>
      <w:r>
        <w:t xml:space="preserve">Palabras del profesor</w:t>
      </w:r>
      <w:bookmarkEnd w:id="2773"/>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El profesor lo dijo así</w:t>
            </w:r>
          </w:p>
          <w:p>
            <w:pPr>
              <w:pStyle w:val="Recuadro"/>
            </w:pPr>
            <w:r>
              <w:t xml:space="preserve">«Las estructuras de los sistemas son complejas porque hay múltiples ciclos anidados.»</w:t>
            </w:r>
          </w:p>
          <w:p>
            <w:pPr>
              <w:pStyle w:val="Recuadro"/>
            </w:pPr>
            <w:r>
              <w:t xml:space="preserve">Clase 16 · 01:02:36–01:02:59</w:t>
            </w:r>
          </w:p>
        </w:tc>
      </w:tr>
    </w:tbl>
    <w:p>
      <w:pPr>
        <w:pStyle w:val="Heading3"/>
      </w:pPr>
      <w:bookmarkStart w:name="b_cita_clase_16_interdependenci_5399607b" w:id="2774"/>
      <w:r>
        <w:t xml:space="preserve">Palabras del profesor</w:t>
      </w:r>
      <w:bookmarkEnd w:id="2774"/>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El profesor lo dijo así</w:t>
            </w:r>
          </w:p>
          <w:p>
            <w:pPr>
              <w:pStyle w:val="Recuadro"/>
            </w:pPr>
            <w:r>
              <w:t xml:space="preserve">«Las estructuras no lineales circulares producen unas interdependencias a veces contraintuitivas, es decir, no son fácilmente de entender con la intuición normal, digamos no sistémica.»</w:t>
            </w:r>
          </w:p>
          <w:p>
            <w:pPr>
              <w:pStyle w:val="Recuadro"/>
            </w:pPr>
            <w:r>
              <w:t xml:space="preserve">Clase 16 · 00:22:40–00:23:05</w:t>
            </w:r>
          </w:p>
        </w:tc>
      </w:tr>
    </w:tbl>
    <w:p>
      <w:pPr>
        <w:pStyle w:val="Heading3"/>
      </w:pPr>
      <w:r>
        <w:t xml:space="preserve">Errores frecuentes y trampa de examen</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9C620A" w:sz="20"/>
              <w:bottom w:val="nil"/>
              <w:right w:val="nil"/>
            </w:tcBorders>
            <w:shd w:fill="FBF3DF" w:val="clear"/>
            <w:tcMar>
              <w:top w:type="dxa" w:w="130"/>
              <w:left w:type="dxa" w:w="180"/>
              <w:bottom w:type="dxa" w:w="130"/>
              <w:right w:type="dxa" w:w="180"/>
            </w:tcMar>
          </w:tcPr>
          <w:p>
            <w:pPr>
              <w:pStyle w:val="RecuadroTitulo"/>
            </w:pPr>
            <w:r>
              <w:rPr>
                <w:b/>
                <w:bCs/>
                <w:color w:val="9C620A"/>
              </w:rPr>
              <w:t xml:space="preserve">Error → corrección</w:t>
            </w:r>
          </w:p>
          <w:p>
            <w:pPr>
              <w:pStyle w:val="Recuadro"/>
            </w:pPr>
            <w:r>
              <w:rPr>
                <w:b/>
                <w:bCs/>
              </w:rPr>
              <w:t xml:space="preserve">Error:</w:t>
            </w:r>
            <w:r>
              <w:t xml:space="preserve"> Contar como ciclo flechas que salen de una variable sin volver a ella («dulces», en las caries).</w:t>
            </w:r>
          </w:p>
          <w:p>
            <w:pPr>
              <w:pStyle w:val="Recuadro"/>
            </w:pPr>
            <w:r>
              <w:rPr>
                <w:b/>
                <w:bCs/>
              </w:rPr>
              <w:t xml:space="preserve">Corrección:</w:t>
            </w:r>
            <w:r>
              <w:t xml:space="preserve"> No es ciclo: sólo lo es la cadena que regresa a la variable de partida.</w:t>
            </w:r>
          </w:p>
          <w:p>
            <w:pPr>
              <w:pStyle w:val="Recuadro"/>
            </w:pPr>
            <w:r>
              <w:t xml:space="preserve">Clase 15 · 01:07:02–01:07:21 · Clase 16 · 01:20:47–01:22:41</w:t>
            </w:r>
          </w:p>
        </w:tc>
      </w:tr>
    </w:tbl>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9C620A" w:sz="20"/>
              <w:bottom w:val="nil"/>
              <w:right w:val="nil"/>
            </w:tcBorders>
            <w:shd w:fill="FBF3DF" w:val="clear"/>
            <w:tcMar>
              <w:top w:type="dxa" w:w="130"/>
              <w:left w:type="dxa" w:w="180"/>
              <w:bottom w:type="dxa" w:w="130"/>
              <w:right w:type="dxa" w:w="180"/>
            </w:tcMar>
          </w:tcPr>
          <w:p>
            <w:pPr>
              <w:pStyle w:val="RecuadroTitulo"/>
            </w:pPr>
            <w:r>
              <w:rPr>
                <w:b/>
                <w:bCs/>
                <w:color w:val="9C620A"/>
              </w:rPr>
              <w:t xml:space="preserve">Error → corrección</w:t>
            </w:r>
          </w:p>
          <w:p>
            <w:pPr>
              <w:pStyle w:val="Recuadro"/>
            </w:pPr>
            <w:r>
              <w:rPr>
                <w:b/>
                <w:bCs/>
              </w:rPr>
              <w:t xml:space="preserve">Error:</w:t>
            </w:r>
            <w:r>
              <w:t xml:space="preserve"> Pensar que los zorros acabarán con los conejos.</w:t>
            </w:r>
          </w:p>
          <w:p>
            <w:pPr>
              <w:pStyle w:val="Recuadro"/>
            </w:pPr>
            <w:r>
              <w:rPr>
                <w:b/>
                <w:bCs/>
              </w:rPr>
              <w:t xml:space="preserve">Corrección:</w:t>
            </w:r>
            <w:r>
              <w:t xml:space="preserve"> Es una perspectiva lineal y reduccionista: hay cuatro ciclos; los zorros agotan los conejos, mueren de hambre y los conejos se recuperan: oscilación y equilibrio.</w:t>
            </w:r>
          </w:p>
          <w:p>
            <w:pPr>
              <w:pStyle w:val="Recuadro"/>
            </w:pPr>
            <w:r>
              <w:t xml:space="preserve">Clase 16 · 01:03:03–01:06:00</w:t>
            </w:r>
          </w:p>
        </w:tc>
      </w:tr>
    </w:tbl>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9C620A" w:sz="20"/>
              <w:bottom w:val="nil"/>
              <w:right w:val="nil"/>
            </w:tcBorders>
            <w:shd w:fill="FBF3DF" w:val="clear"/>
            <w:tcMar>
              <w:top w:type="dxa" w:w="130"/>
              <w:left w:type="dxa" w:w="180"/>
              <w:bottom w:type="dxa" w:w="130"/>
              <w:right w:type="dxa" w:w="180"/>
            </w:tcMar>
          </w:tcPr>
          <w:p>
            <w:pPr>
              <w:pStyle w:val="RecuadroTitulo"/>
            </w:pPr>
            <w:r>
              <w:rPr>
                <w:b/>
                <w:bCs/>
                <w:color w:val="9C620A"/>
              </w:rPr>
              <w:t xml:space="preserve">Error → corrección</w:t>
            </w:r>
          </w:p>
          <w:p>
            <w:pPr>
              <w:pStyle w:val="Recuadro"/>
            </w:pPr>
            <w:r>
              <w:rPr>
                <w:b/>
                <w:bCs/>
              </w:rPr>
              <w:t xml:space="preserve">Error:</w:t>
            </w:r>
            <w:r>
              <w:t xml:space="preserve"> Buscar un culpable como causa lineal del problema.</w:t>
            </w:r>
          </w:p>
          <w:p>
            <w:pPr>
              <w:pStyle w:val="Recuadro"/>
            </w:pPr>
            <w:r>
              <w:rPr>
                <w:b/>
                <w:bCs/>
              </w:rPr>
              <w:t xml:space="preserve">Corrección:</w:t>
            </w:r>
            <w:r>
              <w:t xml:space="preserve"> En alta complejidad las relaciones son circulares: el culpable puede no ser la causa; el comportamiento emerge de todas las relaciones.</w:t>
            </w:r>
          </w:p>
          <w:p>
            <w:pPr>
              <w:pStyle w:val="Recuadro"/>
            </w:pPr>
            <w:r>
              <w:t xml:space="preserve">Clase 15 · 00:33:04–00:33:37 · Clase 15 · 00:33:50–00:34:16 · Clase 16 · 00:22:40–00:23:46</w:t>
            </w:r>
          </w:p>
        </w:tc>
      </w:tr>
    </w:tbl>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9C620A" w:sz="20"/>
              <w:bottom w:val="nil"/>
              <w:right w:val="nil"/>
            </w:tcBorders>
            <w:shd w:fill="FBF3DF" w:val="clear"/>
            <w:tcMar>
              <w:top w:type="dxa" w:w="130"/>
              <w:left w:type="dxa" w:w="180"/>
              <w:bottom w:type="dxa" w:w="130"/>
              <w:right w:type="dxa" w:w="180"/>
            </w:tcMar>
          </w:tcPr>
          <w:p>
            <w:pPr>
              <w:pStyle w:val="RecuadroTitulo"/>
            </w:pPr>
            <w:r>
              <w:rPr>
                <w:b/>
                <w:bCs/>
                <w:color w:val="9C620A"/>
              </w:rPr>
              <w:t xml:space="preserve">Error → corrección</w:t>
            </w:r>
          </w:p>
          <w:p>
            <w:pPr>
              <w:pStyle w:val="Recuadro"/>
            </w:pPr>
            <w:r>
              <w:rPr>
                <w:b/>
                <w:bCs/>
              </w:rPr>
              <w:t xml:space="preserve">Error:</w:t>
            </w:r>
            <w:r>
              <w:t xml:space="preserve"> Analizar un ciclo aislado.</w:t>
            </w:r>
          </w:p>
          <w:p>
            <w:pPr>
              <w:pStyle w:val="Recuadro"/>
            </w:pPr>
            <w:r>
              <w:rPr>
                <w:b/>
                <w:bCs/>
              </w:rPr>
              <w:t xml:space="preserve">Corrección:</w:t>
            </w:r>
            <w:r>
              <w:t xml:space="preserve"> Se consideran todos los ciclos que influyen en la variable: su efecto depende de cuál domina.</w:t>
            </w:r>
          </w:p>
          <w:p>
            <w:pPr>
              <w:pStyle w:val="Recuadro"/>
            </w:pPr>
            <w:r>
              <w:t xml:space="preserve">Clase 14 · 01:02:47–01:03:12 · Clase 16 · 00:50:41–00:51:13</w:t>
            </w:r>
          </w:p>
        </w:tc>
      </w:tr>
    </w:tbl>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9C620A" w:sz="20"/>
              <w:bottom w:val="nil"/>
              <w:right w:val="nil"/>
            </w:tcBorders>
            <w:shd w:fill="FBF3DF" w:val="clear"/>
            <w:tcMar>
              <w:top w:type="dxa" w:w="130"/>
              <w:left w:type="dxa" w:w="180"/>
              <w:bottom w:type="dxa" w:w="130"/>
              <w:right w:type="dxa" w:w="180"/>
            </w:tcMar>
          </w:tcPr>
          <w:p>
            <w:pPr>
              <w:pStyle w:val="RecuadroTitulo"/>
            </w:pPr>
            <w:r>
              <w:rPr>
                <w:b/>
                <w:bCs/>
                <w:color w:val="9C620A"/>
              </w:rPr>
              <w:t xml:space="preserve">Trampa de examen</w:t>
            </w:r>
          </w:p>
          <w:p>
            <w:pPr>
              <w:pStyle w:val="Recuadro"/>
            </w:pPr>
            <w:r>
              <w:t xml:space="preserve">Confundir apariencia secuencial con linealidad: semillas → raíces → tallo → hojas y flores → fruto parece una secuencia, pero es un ciclo porque el fruto vuelve a dar semillas. A la inversa, flechas que salen de una variable sin regresar a ella no forman ciclo, aunque estén conectadas.</w:t>
            </w:r>
          </w:p>
        </w:tc>
      </w:tr>
    </w:tbl>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Ampliación: lo no dictado en clase</w:t>
            </w:r>
          </w:p>
          <w:p>
            <w:pPr>
              <w:pStyle w:val="Recuadro"/>
            </w:pPr>
            <w:r>
              <w:t xml:space="preserve">Los puntos de apalancamiento que aparecen al hallar la circularidad y la simulación del modelo presa-depredador se difirieron a la próxima unidad.</w:t>
            </w:r>
          </w:p>
        </w:tc>
      </w:tr>
    </w:tbl>
    <w:p>
      <w:pPr>
        <w:pStyle w:val="Heading3"/>
      </w:pPr>
      <w:r>
        <w:t xml:space="preserve">Lecturas y tareas del curso</w:t>
      </w:r>
    </w:p>
    <w:p>
      <w:pPr>
        <w:pStyle w:val="Normal"/>
      </w:pPr>
      <w:r>
        <w:t xml:space="preserve">L-12 · Del pensamiento lineal al pensamiento sistémico — Echeverri y Franco (capítulos I y II). Primera parte de Pensamiento sistémico: un enfoque práctico. El capítulo I describe el pensamiento lineal y su idea del tiempo; el capítulo II opone los dos enfoques sobre la causalidad: la cadena causa → efecto y el círculo en el que el efecto vuelve sobre la causa. Copia recomprimida del escaneo.</w:t>
      </w:r>
    </w:p>
    <w:p>
      <w:pPr>
        <w:pStyle w:val="Normal"/>
      </w:pPr>
      <w:r>
        <w:t xml:space="preserve">L-13 · Retroalimentación y realimentación · Diagramas lineales y sistémicos — Echeverri y Franco (capítulos III a VIII). Diagramas lineales frente a sistémicos con el caso de hervir el agua; el sistema para llenar un vaso con agua (nivel deseado, brecha percibida, grifo, flujo y nivel actual); procesos reforzadores y compensadores con demoras; diagramas de acopio y flujo; diagramas de procesos frente a diagramas sistémicos; y la diferencia entre la retroalimentación de la teoría tradicional de sistemas y la realimentación del pensamiento sistémico. Copia recomprimida del escaneo.</w:t>
      </w:r>
    </w:p>
    <w:p>
      <w:pPr>
        <w:pStyle w:val="Normal"/>
      </w:pPr>
      <w:r>
        <w:t xml:space="preserve">C-2 · Unidad 3 · Desarrollo del pensamiento sistémico complejo (presentación). La presentación completa de la Unidad 3 tal como la compartió el profesor: 129 páginas con las reglas simples del pensamiento sistémico, los mapas DSRP, los diagramas de ciclos causales, la polaridad y los tipos de ciclo, las demoras, los patrones de comportamiento y los ejercicios trabajados en clase. Complementa las 128 láminas capturadas durante las sesiones.</w:t>
      </w:r>
    </w:p>
    <w:p>
      <w:pPr>
        <w:pStyle w:val="Heading3"/>
      </w:pPr>
      <w:r>
        <w:t xml:space="preserve">Práctica de los laboratorios</w:t>
      </w:r>
    </w:p>
    <w:p>
      <w:pPr>
        <w:pStyle w:val="Normal"/>
      </w:pPr>
      <w:r>
        <w:t xml:space="preserve">Los procedimientos del capítulo permiten reconstruir en papel la práctica interactiva. Los laboratorios originales permanecen disponibles en la lección del portal.</w:t>
      </w:r>
    </w:p>
    <w:p>
      <w:pPr>
        <w:pStyle w:val="Normal"/>
        <w:numPr>
          <w:ilvl w:val="0"/>
          <w:numId w:val="2"/>
        </w:numPr>
      </w:pPr>
      <w:r>
        <w:t xml:space="preserve">De la cadena lineal al círculo</w:t>
      </w:r>
    </w:p>
    <w:p>
      <w:pPr>
        <w:pStyle w:val="Normal"/>
        <w:numPr>
          <w:ilvl w:val="0"/>
          <w:numId w:val="2"/>
        </w:numPr>
      </w:pPr>
      <w:r>
        <w:t xml:space="preserve">La red bajo el bosque: interdependencias</w:t>
      </w:r>
    </w:p>
    <w:p>
      <w:pPr>
        <w:pStyle w:val="Normal"/>
        <w:numPr>
          <w:ilvl w:val="0"/>
          <w:numId w:val="2"/>
        </w:numPr>
      </w:pPr>
      <w:r>
        <w:t xml:space="preserve">Ciclos de clase: la planta y la cuenta de ahorro</w:t>
      </w:r>
    </w:p>
    <w:p>
      <w:pPr>
        <w:pStyle w:val="Heading3"/>
      </w:pPr>
      <w:r>
        <w:t xml:space="preserve">Autoevaluación</w:t>
      </w:r>
    </w:p>
    <w:p>
      <w:pPr>
        <w:pStyle w:val="Normal"/>
      </w:pPr>
      <w:r>
        <w:t xml:space="preserve">Resuelva sin consultar las respuestas. Compruebe al final del capítulo por qué cada opción es correcta o incorrecta.</w:t>
      </w:r>
    </w:p>
    <w:p>
      <w:pPr>
        <w:pStyle w:val="Heading3"/>
      </w:pPr>
      <w:bookmarkStart w:name="b_pregunta_auto_3_4_1" w:id="2775"/>
      <w:r>
        <w:t xml:space="preserve">3.4-A1 · ¿Cuándo es defendible estimar la posición del corcho con velocidad constante?</w:t>
      </w:r>
      <w:bookmarkEnd w:id="2775"/>
    </w:p>
    <w:p>
      <w:pPr>
        <w:pStyle w:val="Normal"/>
      </w:pPr>
      <w:r>
        <w:t xml:space="preserve">a) Cuando el río ideal y el flujo satisfacen los supuestos, y se reconocen las interferencias excluidas</w:t>
      </w:r>
    </w:p>
    <w:p>
      <w:pPr>
        <w:pStyle w:val="Normal"/>
      </w:pPr>
      <w:r>
        <w:t xml:space="preserve">b) En cualquier río real sin revisar sus condiciones</w:t>
      </w:r>
    </w:p>
    <w:p>
      <w:pPr>
        <w:pStyle w:val="Normal"/>
      </w:pPr>
      <w:r>
        <w:t xml:space="preserve">c) Sólo porque el caudal y la velocidad son siempre idénticos</w:t>
      </w:r>
    </w:p>
    <w:p>
      <w:pPr>
        <w:pStyle w:val="Normal"/>
      </w:pPr>
      <w:r>
        <w:t xml:space="preserve">d) Cuando se ignoran deliberadamente cambios de viento y obstáculos aun si son relevantes</w:t>
      </w:r>
    </w:p>
    <w:p>
      <w:pPr>
        <w:pStyle w:val="Heading3"/>
      </w:pPr>
      <w:bookmarkStart w:name="b_pregunta_auto_3_4_2" w:id="2776"/>
      <w:r>
        <w:t xml:space="preserve">3.4-A2 · ¿Qué distingue a la causalidad circular de la causalidad lineal?</w:t>
      </w:r>
      <w:bookmarkEnd w:id="2776"/>
    </w:p>
    <w:p>
      <w:pPr>
        <w:pStyle w:val="Normal"/>
      </w:pPr>
      <w:r>
        <w:t xml:space="preserve">a) La circular usa flechas más gruesas en el diagrama</w:t>
      </w:r>
    </w:p>
    <w:p>
      <w:pPr>
        <w:pStyle w:val="Normal"/>
      </w:pPr>
      <w:r>
        <w:t xml:space="preserve">b) En la circular el efecto realimenta la causa, formando un bucle sin inicio ni fin claros</w:t>
      </w:r>
    </w:p>
    <w:p>
      <w:pPr>
        <w:pStyle w:val="Normal"/>
      </w:pPr>
      <w:r>
        <w:t xml:space="preserve">c) La circular solo aplica a sistemas físicos, no sociales</w:t>
      </w:r>
    </w:p>
    <w:p>
      <w:pPr>
        <w:pStyle w:val="Normal"/>
      </w:pPr>
      <w:r>
        <w:t xml:space="preserve">d) La lineal es siempre falsa y la circular siempre verdadera</w:t>
      </w:r>
    </w:p>
    <w:p>
      <w:pPr>
        <w:pStyle w:val="Heading3"/>
      </w:pPr>
      <w:bookmarkStart w:name="b_pregunta_auto_3_4_3" w:id="2777"/>
      <w:r>
        <w:t xml:space="preserve">3.4-A3 · Senge afirma que, en el pensamiento sistémico, es un axioma que toda influencia es a la vez causa y efecto. ¿Qué implica esto?</w:t>
      </w:r>
      <w:bookmarkEnd w:id="2777"/>
    </w:p>
    <w:p>
      <w:pPr>
        <w:pStyle w:val="Normal"/>
      </w:pPr>
      <w:r>
        <w:t xml:space="preserve">a) Que nada se ve influido en una sola dirección</w:t>
      </w:r>
    </w:p>
    <w:p>
      <w:pPr>
        <w:pStyle w:val="Normal"/>
      </w:pPr>
      <w:r>
        <w:t xml:space="preserve">b) Que las causas y los efectos ocurren siempre al mismo tiempo</w:t>
      </w:r>
    </w:p>
    <w:p>
      <w:pPr>
        <w:pStyle w:val="Normal"/>
      </w:pPr>
      <w:r>
        <w:t xml:space="preserve">c) Que no existen las relaciones de causa y efecto</w:t>
      </w:r>
    </w:p>
    <w:p>
      <w:pPr>
        <w:pStyle w:val="Normal"/>
      </w:pPr>
      <w:r>
        <w:t xml:space="preserve">d) Que solo importan las causas, no los efectos</w:t>
      </w:r>
    </w:p>
    <w:p>
      <w:pPr>
        <w:pStyle w:val="Heading3"/>
      </w:pPr>
      <w:bookmarkStart w:name="b_pregunta_auto_3_4_4" w:id="2778"/>
      <w:r>
        <w:t xml:space="preserve">3.4-A4 · Un termostato mide la temperatura, regula la calefacción y esta calienta la sala… que cambia la temperatura que el termostato vuelve a medir. Esto es un ejemplo de…</w:t>
      </w:r>
      <w:bookmarkEnd w:id="2778"/>
    </w:p>
    <w:p>
      <w:pPr>
        <w:pStyle w:val="Normal"/>
      </w:pPr>
      <w:r>
        <w:t xml:space="preserve">a) Una cadena lineal que termina en la calefacción</w:t>
      </w:r>
    </w:p>
    <w:p>
      <w:pPr>
        <w:pStyle w:val="Normal"/>
      </w:pPr>
      <w:r>
        <w:t xml:space="preserve">b) Un bucle de realimentación (causalidad circular)</w:t>
      </w:r>
    </w:p>
    <w:p>
      <w:pPr>
        <w:pStyle w:val="Normal"/>
      </w:pPr>
      <w:r>
        <w:t xml:space="preserve">c) Azar sin relación causal</w:t>
      </w:r>
    </w:p>
    <w:p>
      <w:pPr>
        <w:pStyle w:val="Normal"/>
      </w:pPr>
      <w:r>
        <w:t xml:space="preserve">d) Dos sistemas independientes</w:t>
      </w:r>
    </w:p>
    <w:p>
      <w:pPr>
        <w:pStyle w:val="Heading3"/>
      </w:pPr>
      <w:bookmarkStart w:name="b_pregunta_auto_3_4_5" w:id="2779"/>
      <w:r>
        <w:t xml:space="preserve">3.4-A5 · Ante un mal resultado, un pensador lineal suele preguntar «¿quién tuvo la culpa?». ¿Por qué un pensador sistémico desconfía de esa pregunta?</w:t>
      </w:r>
      <w:bookmarkEnd w:id="2779"/>
    </w:p>
    <w:p>
      <w:pPr>
        <w:pStyle w:val="Normal"/>
      </w:pPr>
      <w:r>
        <w:t xml:space="preserve">a) Porque la culpa nunca importa en ningún caso</w:t>
      </w:r>
    </w:p>
    <w:p>
      <w:pPr>
        <w:pStyle w:val="Normal"/>
      </w:pPr>
      <w:r>
        <w:t xml:space="preserve">b) Porque en un bucle no hay una única causa aislada: los elementos se co-determinan y la estructura genera el comportamiento</w:t>
      </w:r>
    </w:p>
    <w:p>
      <w:pPr>
        <w:pStyle w:val="Normal"/>
      </w:pPr>
      <w:r>
        <w:t xml:space="preserve">c) Porque siempre hay exactamente dos culpables</w:t>
      </w:r>
    </w:p>
    <w:p>
      <w:pPr>
        <w:pStyle w:val="Normal"/>
      </w:pPr>
      <w:r>
        <w:t xml:space="preserve">d) Porque prefiere no analizar los problemas</w:t>
      </w:r>
    </w:p>
    <w:p>
      <w:pPr>
        <w:pStyle w:val="Heading3"/>
      </w:pPr>
      <w:bookmarkStart w:name="b_pregunta_auto_3_4_6" w:id="2780"/>
      <w:r>
        <w:t xml:space="preserve">3.4-A6 · En una carrera armamentista, A se arma, B percibe amenaza y se arma, lo que aumenta la amenaza que percibe A… ¿qué muestra este caso?</w:t>
      </w:r>
      <w:bookmarkEnd w:id="2780"/>
    </w:p>
    <w:p>
      <w:pPr>
        <w:pStyle w:val="Normal"/>
      </w:pPr>
      <w:r>
        <w:t xml:space="preserve">a) Que un bando «empezó» y es el único responsable</w:t>
      </w:r>
    </w:p>
    <w:p>
      <w:pPr>
        <w:pStyle w:val="Normal"/>
      </w:pPr>
      <w:r>
        <w:t xml:space="preserve">b) Que cada bando es causa y efecto del otro: el bucle escala solo, sin un origen único</w:t>
      </w:r>
    </w:p>
    <w:p>
      <w:pPr>
        <w:pStyle w:val="Normal"/>
      </w:pPr>
      <w:r>
        <w:t xml:space="preserve">c) Que las decisiones no tienen consecuencias</w:t>
      </w:r>
    </w:p>
    <w:p>
      <w:pPr>
        <w:pStyle w:val="Normal"/>
      </w:pPr>
      <w:r>
        <w:t xml:space="preserve">d) Que la causalidad circular no existe en política</w:t>
      </w:r>
    </w:p>
    <w:p>
      <w:pPr>
        <w:pStyle w:val="Heading3"/>
      </w:pPr>
      <w:bookmarkStart w:name="b_pregunta_auto_3_4_7" w:id="2781"/>
      <w:r>
        <w:t xml:space="preserve">3.4-A7 · «Más clientes satisfechos generan más boca a boca, que atrae más clientes, que quedan satisfechos…» ¿Qué tipo de bucle describe esta bola de nieve?</w:t>
      </w:r>
      <w:bookmarkEnd w:id="2781"/>
    </w:p>
    <w:p>
      <w:pPr>
        <w:pStyle w:val="Normal"/>
      </w:pPr>
      <w:r>
        <w:t xml:space="preserve">a) Un bucle de compensación (estabiliza)</w:t>
      </w:r>
    </w:p>
    <w:p>
      <w:pPr>
        <w:pStyle w:val="Normal"/>
      </w:pPr>
      <w:r>
        <w:t xml:space="preserve">b) Un bucle de refuerzo (amplifica)</w:t>
      </w:r>
    </w:p>
    <w:p>
      <w:pPr>
        <w:pStyle w:val="Normal"/>
      </w:pPr>
      <w:r>
        <w:t xml:space="preserve">c) Una cadena lineal sin realimentación</w:t>
      </w:r>
    </w:p>
    <w:p>
      <w:pPr>
        <w:pStyle w:val="Normal"/>
      </w:pPr>
      <w:r>
        <w:t xml:space="preserve">d) Una relación sin causalidad</w:t>
      </w:r>
    </w:p>
    <w:p>
      <w:pPr>
        <w:pStyle w:val="Heading3"/>
      </w:pPr>
      <w:bookmarkStart w:name="b_pregunta_auto_3_4_8" w:id="2782"/>
      <w:r>
        <w:t xml:space="preserve">3.4-A8 · En un diagrama de causalidad circular, ¿por qué la interdependencia es la idea central?</w:t>
      </w:r>
      <w:bookmarkEnd w:id="2782"/>
    </w:p>
    <w:p>
      <w:pPr>
        <w:pStyle w:val="Normal"/>
      </w:pPr>
      <w:r>
        <w:t xml:space="preserve">a) Porque los elementos están conectados en ambos sentidos: influir en uno acaba afectando al que lo influyó</w:t>
      </w:r>
    </w:p>
    <w:p>
      <w:pPr>
        <w:pStyle w:val="Normal"/>
      </w:pPr>
      <w:r>
        <w:t xml:space="preserve">b) Porque los elementos no se afectan entre sí</w:t>
      </w:r>
    </w:p>
    <w:p>
      <w:pPr>
        <w:pStyle w:val="Normal"/>
      </w:pPr>
      <w:r>
        <w:t xml:space="preserve">c) Porque solo un elemento importa y los demás sobran</w:t>
      </w:r>
    </w:p>
    <w:p>
      <w:pPr>
        <w:pStyle w:val="Normal"/>
      </w:pPr>
      <w:r>
        <w:t xml:space="preserve">d) Porque el orden de las flechas no cambia nada</w:t>
      </w:r>
    </w:p>
    <w:p>
      <w:pPr>
        <w:pStyle w:val="Heading3"/>
      </w:pPr>
      <w:bookmarkStart w:name="b_pregunta_auto_3_4_9" w:id="2783"/>
      <w:r>
        <w:t xml:space="preserve">3.4-A9 · En la animación de BBC Mundo, ¿qué intercambian los hongos y los árboles a través de la red que crece en las raíces?</w:t>
      </w:r>
      <w:bookmarkEnd w:id="2783"/>
    </w:p>
    <w:p>
      <w:pPr>
        <w:pStyle w:val="Normal"/>
      </w:pPr>
      <w:r>
        <w:t xml:space="preserve">a) Agua por sombra</w:t>
      </w:r>
    </w:p>
    <w:p>
      <w:pPr>
        <w:pStyle w:val="Normal"/>
      </w:pPr>
      <w:r>
        <w:t xml:space="preserve">b) Nutrientes de los hongos por azúcares de los árboles</w:t>
      </w:r>
    </w:p>
    <w:p>
      <w:pPr>
        <w:pStyle w:val="Normal"/>
      </w:pPr>
      <w:r>
        <w:t xml:space="preserve">c) Semillas por polen</w:t>
      </w:r>
    </w:p>
    <w:p>
      <w:pPr>
        <w:pStyle w:val="Normal"/>
      </w:pPr>
      <w:r>
        <w:t xml:space="preserve">d) Nada: los hongos sólo compiten con los árboles</w:t>
      </w:r>
    </w:p>
    <w:p>
      <w:pPr>
        <w:pStyle w:val="Heading3"/>
      </w:pPr>
      <w:bookmarkStart w:name="b_pregunta_auto_3_4_10" w:id="2784"/>
      <w:r>
        <w:t xml:space="preserve">3.4-A10 · ¿Por qué el bosque del video es un buen ejemplo de interdependencia difícil de ver?</w:t>
      </w:r>
      <w:bookmarkEnd w:id="2784"/>
    </w:p>
    <w:p>
      <w:pPr>
        <w:pStyle w:val="Normal"/>
      </w:pPr>
      <w:r>
        <w:t xml:space="preserve">a) Porque los árboles no se relacionan de ninguna manera</w:t>
      </w:r>
    </w:p>
    <w:p>
      <w:pPr>
        <w:pStyle w:val="Normal"/>
      </w:pPr>
      <w:r>
        <w:t xml:space="preserve">b) Porque las relaciones existen en un nivel que no está a la vista: bajo tierra</w:t>
      </w:r>
    </w:p>
    <w:p>
      <w:pPr>
        <w:pStyle w:val="Normal"/>
      </w:pPr>
      <w:r>
        <w:t xml:space="preserve">c) Porque cada árbol es un sistema cerrado</w:t>
      </w:r>
    </w:p>
    <w:p>
      <w:pPr>
        <w:pStyle w:val="Normal"/>
      </w:pPr>
      <w:r>
        <w:t xml:space="preserve">d) Porque la red de hongos sólo existe en laboratorio</w:t>
      </w:r>
    </w:p>
    <w:p>
      <w:pPr>
        <w:pStyle w:val="Heading3"/>
      </w:pPr>
      <w:bookmarkStart w:name="b_pregunta_auto_3_4_11" w:id="2785"/>
      <w:r>
        <w:t xml:space="preserve">3.4-A11 · La red del video también tiene un «lado oscuro». ¿Cuál de estas relaciones lo ilustra?</w:t>
      </w:r>
      <w:bookmarkEnd w:id="2785"/>
    </w:p>
    <w:p>
      <w:pPr>
        <w:pStyle w:val="Normal"/>
      </w:pPr>
      <w:r>
        <w:t xml:space="preserve">a) El árbol madre que envía azúcares a un retoño en la sombra</w:t>
      </w:r>
    </w:p>
    <w:p>
      <w:pPr>
        <w:pStyle w:val="Normal"/>
      </w:pPr>
      <w:r>
        <w:t xml:space="preserve">b) El árbol moribundo que vierte sus recursos para sus vecinos</w:t>
      </w:r>
    </w:p>
    <w:p>
      <w:pPr>
        <w:pStyle w:val="Normal"/>
      </w:pPr>
      <w:r>
        <w:t xml:space="preserve">c) La orquídea que hackea la red para robar recursos de árboles aledaños</w:t>
      </w:r>
    </w:p>
    <w:p>
      <w:pPr>
        <w:pStyle w:val="Normal"/>
      </w:pPr>
      <w:r>
        <w:t xml:space="preserve">d) La señal química que advierte a las vecinas de un ataque</w:t>
      </w:r>
    </w:p>
    <w:p>
      <w:pPr>
        <w:pStyle w:val="Heading3"/>
      </w:pPr>
      <w:r>
        <w:t xml:space="preserve">Ejercicios de aplicación</w:t>
      </w:r>
    </w:p>
    <w:p>
      <w:pPr>
        <w:pStyle w:val="Heading3"/>
      </w:pPr>
      <w:bookmarkStart w:name="b_pregunta_ej_P06" w:id="2786"/>
      <w:r>
        <w:t xml:space="preserve">3.4-E1 · Cadena o ciclo</w:t>
      </w:r>
      <w:bookmarkEnd w:id="2786"/>
    </w:p>
    <w:p>
      <w:pPr>
        <w:pStyle w:val="Normal"/>
      </w:pPr>
      <w:r>
        <w:t xml:space="preserve">Compara clientes → ingresos con clientes → ingresos → publicidad → clientes. ¿Cuál demuestra realimentación? ¿Volver a clientes significa recuperar su valor inicial?</w:t>
      </w:r>
    </w:p>
    <w:p>
      <w:pPr>
        <w:pStyle w:val="Heading3"/>
      </w:pPr>
      <w:bookmarkStart w:name="b_pregunta_ej_P08" w:id="2787"/>
      <w:r>
        <w:t xml:space="preserve">3.4-E2 · El efecto que regresa</w:t>
      </w:r>
      <w:bookmarkEnd w:id="2787"/>
    </w:p>
    <w:p>
      <w:pPr>
        <w:pStyle w:val="Normal"/>
      </w:pPr>
      <w:r>
        <w:t xml:space="preserve">Más personas en fila aumentan espera; más espera aumenta abandonos; los abandonos reducen la fila. Cuenta signos y relata el efecto que regresa.</w:t>
      </w:r>
    </w:p>
    <w:p>
      <w:pPr>
        <w:pStyle w:val="Heading3"/>
      </w:pPr>
      <w:bookmarkStart w:name="b_solucionario_3_4" w:id="2788"/>
      <w:r>
        <w:t xml:space="preserve">Solucionario del capítulo</w:t>
      </w:r>
      <w:bookmarkEnd w:id="2788"/>
    </w:p>
    <w:p>
      <w:pPr>
        <w:pStyle w:val="Heading3"/>
      </w:pPr>
      <w:r>
        <w:t xml:space="preserve">3.4-A1</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a) Cuando el río ideal y el flujo satisfacen los supuestos, y se reconocen las interferencias excluidas</w:t>
            </w:r>
          </w:p>
        </w:tc>
      </w:tr>
    </w:tbl>
    <w:p>
      <w:pPr>
        <w:pStyle w:val="Normal"/>
      </w:pPr>
      <w:r>
        <w:t xml:space="preserve">Cuando el río ideal y el flujo satisfacen los supuestos, y se reconocen las interferencias excluidas</w:t>
      </w:r>
    </w:p>
    <w:p>
      <w:pPr>
        <w:pStyle w:val="Fuente"/>
      </w:pPr>
      <w:r>
        <w:t xml:space="preserve">Presentación de la unidad 3 (C-2), pág. 42 y 47 · Clase 13 · 00:55:50</w:t>
      </w:r>
    </w:p>
    <w:p>
      <w:pPr>
        <w:pStyle w:val="Heading3"/>
      </w:pPr>
      <w:r>
        <w:t xml:space="preserve">3.4-A2</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b) En la circular el efecto realimenta la causa, formando un bucle sin inicio ni fin claros</w:t>
            </w:r>
          </w:p>
        </w:tc>
      </w:tr>
    </w:tbl>
    <w:p>
      <w:pPr>
        <w:pStyle w:val="Normal"/>
      </w:pPr>
      <w:r>
        <w:t xml:space="preserve">En la causalidad lineal A causa B y ahí termina. En la circular, B realimenta a A: el efecto se vuelve causa del siguiente giro. Por eso el bucle no tiene un principio ni un final absolutos.</w:t>
      </w:r>
    </w:p>
    <w:p>
      <w:pPr>
        <w:pStyle w:val="Normal"/>
      </w:pPr>
      <w:r>
        <w:t xml:space="preserve">a) No es una cuestión de grosor: es la estructura de las relaciones.</w:t>
      </w:r>
    </w:p>
    <w:p>
      <w:pPr>
        <w:pStyle w:val="Normal"/>
      </w:pPr>
      <w:r>
        <w:t xml:space="preserve">b) Correcto: en un bucle, la salida vuelve a entrar; cada elemento es a la vez causa y efecto.</w:t>
      </w:r>
    </w:p>
    <w:p>
      <w:pPr>
        <w:pStyle w:val="Normal"/>
      </w:pPr>
      <w:r>
        <w:t xml:space="preserve">c) La causalidad circular aparece en sistemas físicos, biológicos y sociales por igual.</w:t>
      </w:r>
    </w:p>
    <w:p>
      <w:pPr>
        <w:pStyle w:val="Normal"/>
      </w:pPr>
      <w:r>
        <w:t xml:space="preserve">d) La lectura lineal no es «falsa»: es incompleta cuando hay realimentación.</w:t>
      </w:r>
    </w:p>
    <w:p>
      <w:pPr>
        <w:pStyle w:val="Fuente"/>
      </w:pPr>
      <w:r>
        <w:t xml:space="preserve">Senge · círculos de causalidad</w:t>
      </w:r>
    </w:p>
    <w:p>
      <w:pPr>
        <w:pStyle w:val="Heading3"/>
      </w:pPr>
      <w:r>
        <w:t xml:space="preserve">3.4-A3</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a) Que nada se ve influido en una sola dirección</w:t>
            </w:r>
          </w:p>
        </w:tc>
      </w:tr>
    </w:tbl>
    <w:p>
      <w:pPr>
        <w:pStyle w:val="Normal"/>
      </w:pPr>
      <w:r>
        <w:t xml:space="preserve">La realimentación es un flujo recíproco de influencia. Si todo es causa y efecto a la vez, nada se ve influido en una sola dirección: la flecha, tarde o temprano, regresa.</w:t>
      </w:r>
    </w:p>
    <w:p>
      <w:pPr>
        <w:pStyle w:val="Fuente"/>
      </w:pPr>
      <w:r>
        <w:t xml:space="preserve">Senge, La Quinta Disciplina</w:t>
      </w:r>
    </w:p>
    <w:p>
      <w:pPr>
        <w:pStyle w:val="Heading3"/>
      </w:pPr>
      <w:r>
        <w:t xml:space="preserve">3.4-A4</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b) Un bucle de realimentación (causalidad circular)</w:t>
            </w:r>
          </w:p>
        </w:tc>
      </w:tr>
    </w:tbl>
    <w:p>
      <w:pPr>
        <w:pStyle w:val="Normal"/>
      </w:pPr>
      <w:r>
        <w:t xml:space="preserve">La salida del sistema (temperatura de la sala) regresa como entrada (lectura del termostato). Es un bucle de realimentación que se autorregula persiguiendo la temperatura deseada.</w:t>
      </w:r>
    </w:p>
    <w:p>
      <w:pPr>
        <w:pStyle w:val="Fuente"/>
      </w:pPr>
      <w:r>
        <w:t xml:space="preserve">Meadows · realimentación</w:t>
      </w:r>
    </w:p>
    <w:p>
      <w:pPr>
        <w:pStyle w:val="Heading3"/>
      </w:pPr>
      <w:r>
        <w:t xml:space="preserve">3.4-A5</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b) Porque en un bucle no hay una única causa aislada: los elementos se co-determinan y la estructura genera el comportamiento</w:t>
            </w:r>
          </w:p>
        </w:tc>
      </w:tr>
    </w:tbl>
    <w:p>
      <w:pPr>
        <w:pStyle w:val="Normal"/>
      </w:pPr>
      <w:r>
        <w:t xml:space="preserve">Buscar un único culpable es propio del pensamiento lineal. En una estructura circular, cada parte es causa y efecto de las demás; a menudo el problema lo genera el bucle, no un actor. Cambiar la estructura rinde más que cambiar de culpable.</w:t>
      </w:r>
    </w:p>
    <w:p>
      <w:pPr>
        <w:pStyle w:val="Fuente"/>
      </w:pPr>
      <w:r>
        <w:t xml:space="preserve">Habito · causa y efecto circular</w:t>
      </w:r>
    </w:p>
    <w:p>
      <w:pPr>
        <w:pStyle w:val="Heading3"/>
      </w:pPr>
      <w:r>
        <w:t xml:space="preserve">3.4-A6</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b) Que cada bando es causa y efecto del otro: el bucle escala solo, sin un origen único</w:t>
            </w:r>
          </w:p>
        </w:tc>
      </w:tr>
    </w:tbl>
    <w:p>
      <w:pPr>
        <w:pStyle w:val="Normal"/>
      </w:pPr>
      <w:r>
        <w:t xml:space="preserve">Cada respuesta justifica e intensifica la del rival: es un bucle de refuerzo (escalada). Preguntar «quién empezó» es una trampa lineal; la interdependencia hace que la responsabilidad sea circular.</w:t>
      </w:r>
    </w:p>
    <w:p>
      <w:pPr>
        <w:pStyle w:val="Fuente"/>
      </w:pPr>
      <w:r>
        <w:t xml:space="preserve">Senge · arquetipo de escalada</w:t>
      </w:r>
    </w:p>
    <w:p>
      <w:pPr>
        <w:pStyle w:val="Heading3"/>
      </w:pPr>
      <w:r>
        <w:t xml:space="preserve">3.4-A7</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b) Un bucle de refuerzo (amplifica)</w:t>
            </w:r>
          </w:p>
        </w:tc>
      </w:tr>
    </w:tbl>
    <w:p>
      <w:pPr>
        <w:pStyle w:val="Normal"/>
      </w:pPr>
      <w:r>
        <w:t xml:space="preserve">Un bucle de refuerzo amplifica el cambio en cada vuelta, como una bola de nieve. El mismo bucle, invertido, rueda hacia abajo (círculo vicioso). El detalle de refuerzo y compensación es el tema de la lección 3.5.</w:t>
      </w:r>
    </w:p>
    <w:p>
      <w:pPr>
        <w:pStyle w:val="Normal"/>
      </w:pPr>
      <w:r>
        <w:t xml:space="preserve">a) La compensación busca una meta y estabiliza; aquí no hay meta, hay crecimiento.</w:t>
      </w:r>
    </w:p>
    <w:p>
      <w:pPr>
        <w:pStyle w:val="Normal"/>
      </w:pPr>
      <w:r>
        <w:t xml:space="preserve">b) Correcto: cada vuelta agranda a la anterior; es un círculo virtuoso que puede volverse vicioso.</w:t>
      </w:r>
    </w:p>
    <w:p>
      <w:pPr>
        <w:pStyle w:val="Normal"/>
      </w:pPr>
      <w:r>
        <w:t xml:space="preserve">c) Sí hay realimentación: el efecto (clientes) vuelve a ser causa.</w:t>
      </w:r>
    </w:p>
    <w:p>
      <w:pPr>
        <w:pStyle w:val="Normal"/>
      </w:pPr>
      <w:r>
        <w:t xml:space="preserve">d) Hay causalidad, y además circular.</w:t>
      </w:r>
    </w:p>
    <w:p>
      <w:pPr>
        <w:pStyle w:val="Fuente"/>
      </w:pPr>
      <w:r>
        <w:t xml:space="preserve">Meadows · bucles de refuerzo</w:t>
      </w:r>
    </w:p>
    <w:p>
      <w:pPr>
        <w:pStyle w:val="Heading3"/>
      </w:pPr>
      <w:r>
        <w:t xml:space="preserve">3.4-A8</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a) Porque los elementos están conectados en ambos sentidos: influir en uno acaba afectando al que lo influyó</w:t>
            </w:r>
          </w:p>
        </w:tc>
      </w:tr>
    </w:tbl>
    <w:p>
      <w:pPr>
        <w:pStyle w:val="Normal"/>
      </w:pPr>
      <w:r>
        <w:t xml:space="preserve">Interdependencia significa depender mutuamente. En un bucle, al actuar sobre un elemento el efecto recorre el ciclo y regresa. Por eso no se puede intervenir en una parte «sin tocar» el resto: comprender el bucle completo es la clave.</w:t>
      </w:r>
    </w:p>
    <w:p>
      <w:pPr>
        <w:pStyle w:val="Fuente"/>
      </w:pPr>
      <w:r>
        <w:t xml:space="preserve">O’Connor y McDermott</w:t>
      </w:r>
    </w:p>
    <w:p>
      <w:pPr>
        <w:pStyle w:val="Heading3"/>
      </w:pPr>
      <w:r>
        <w:t xml:space="preserve">3.4-A9</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b) Nutrientes de los hongos por azúcares de los árboles</w:t>
            </w:r>
          </w:p>
        </w:tc>
      </w:tr>
    </w:tbl>
    <w:p>
      <w:pPr>
        <w:pStyle w:val="Normal"/>
      </w:pPr>
      <w:r>
        <w:t xml:space="preserve">Los hongos suministran nutrientes a los árboles y, a cambio, reciben azúcares. Es una relación recíproca: cada parte actúa y recibe una reacción por la misma red.</w:t>
      </w:r>
    </w:p>
    <w:p>
      <w:pPr>
        <w:pStyle w:val="Fuente"/>
      </w:pPr>
      <w:r>
        <w:t xml:space="preserve">BBC Mundo · 00:21</w:t>
      </w:r>
    </w:p>
    <w:p>
      <w:pPr>
        <w:pStyle w:val="Heading3"/>
      </w:pPr>
      <w:r>
        <w:t xml:space="preserve">3.4-A10</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b) Porque las relaciones existen en un nivel que no está a la vista: bajo tierra</w:t>
            </w:r>
          </w:p>
        </w:tc>
      </w:tr>
    </w:tbl>
    <w:p>
      <w:pPr>
        <w:pStyle w:val="Normal"/>
      </w:pPr>
      <w:r>
        <w:t xml:space="preserve">Desde arriba se ven eventos —árboles solitarios—; la estructura que los explica está bajo tierra. Es el tercer nivel del iceberg: la red que conecta lo que parecía independiente.</w:t>
      </w:r>
    </w:p>
    <w:p>
      <w:pPr>
        <w:pStyle w:val="Fuente"/>
      </w:pPr>
      <w:r>
        <w:t xml:space="preserve">BBC Mundo · 00:03 y 01:27</w:t>
      </w:r>
    </w:p>
    <w:p>
      <w:pPr>
        <w:pStyle w:val="Heading3"/>
      </w:pPr>
      <w:r>
        <w:t xml:space="preserve">3.4-A11</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c) La orquídea que hackea la red para robar recursos de árboles aledaños</w:t>
            </w:r>
          </w:p>
        </w:tc>
      </w:tr>
    </w:tbl>
    <w:p>
      <w:pPr>
        <w:pStyle w:val="Normal"/>
      </w:pPr>
      <w:r>
        <w:t xml:space="preserve">Las orquídeas roban recursos y el nogal negro esparce químicos tóxicos contra sus rivales: la misma red sirve para cooperar, comunicarse y competir.</w:t>
      </w:r>
    </w:p>
    <w:p>
      <w:pPr>
        <w:pStyle w:val="Fuente"/>
      </w:pPr>
      <w:r>
        <w:t xml:space="preserve">BBC Mundo · 01:09</w:t>
      </w:r>
    </w:p>
    <w:p>
      <w:pPr>
        <w:pStyle w:val="Heading3"/>
      </w:pPr>
      <w:bookmarkStart w:name="b_solucion_ej_P06" w:id="2789"/>
      <w:r>
        <w:t xml:space="preserve">Solución 3.4-E1</w:t>
      </w:r>
      <w:bookmarkEnd w:id="2789"/>
    </w:p>
    <w:p>
      <w:pPr>
        <w:pStyle w:val="RecuadroTitulo"/>
      </w:pPr>
      <w:r>
        <w:t xml:space="preserve">Respuesta modelo</w:t>
      </w:r>
    </w:p>
    <w:p>
      <w:pPr>
        <w:pStyle w:val="Normal"/>
      </w:pPr>
      <w:r>
        <w:t xml:space="preserve">La primera es una cadena abierta. La segunda vuelve a influir sobre la variable inicial y forma un ciclo. Su valor puede aumentar o disminuir: cerrar el recorrido no restaura necesariamente el valor inicial.</w:t>
      </w:r>
    </w:p>
    <w:p>
      <w:pPr>
        <w:pStyle w:val="Fuente"/>
      </w:pPr>
      <w:r>
        <w:t xml:space="preserve">Repaso seleccionado · guía recibida, pp. 3–5; lecciones de unidades 1–3.</w:t>
      </w:r>
    </w:p>
    <w:p>
      <w:pPr>
        <w:pStyle w:val="Heading3"/>
      </w:pPr>
      <w:bookmarkStart w:name="b_solucion_ej_P08" w:id="2790"/>
      <w:r>
        <w:t xml:space="preserve">Solución 3.4-E2</w:t>
      </w:r>
      <w:bookmarkEnd w:id="2790"/>
    </w:p>
    <w:p>
      <w:pPr>
        <w:pStyle w:val="RecuadroTitulo"/>
      </w:pPr>
      <w:r>
        <w:t xml:space="preserve">Respuesta modelo</w:t>
      </w:r>
    </w:p>
    <w:p>
      <w:pPr>
        <w:pStyle w:val="Normal"/>
      </w:pPr>
      <w:r>
        <w:t xml:space="preserve">+, +, −: balance. Un aumento de fila desencadena una salida por abandono que contrarresta ese aumento. No demuestra atención satisfactoria ni que todas las personas sean atendidas.</w:t>
      </w:r>
    </w:p>
    <w:p>
      <w:pPr>
        <w:pStyle w:val="Fuente"/>
        <w:sectPr>
          <w:headerReference w:type="default" r:id="rId180"/>
          <w:headerReference w:type="first" r:id="rId181"/>
          <w:headerReference w:type="even" r:id="rId182"/>
          <w:footerReference w:type="default" r:id="rId183"/>
          <w:footerReference w:type="first" r:id="rId184"/>
          <w:footerReference w:type="even" r:id="rId185"/>
          <w:type w:val="nextPage"/>
          <w:pgSz w:w="12240" w:h="15840" w:orient="portrait"/>
          <w:pgMar w:top="1361" w:right="1134" w:bottom="1361" w:left="1474" w:header="650" w:footer="680" w:gutter="0"/>
          <w:pgNumType/>
          <w:titlePg/>
          <w:docGrid w:linePitch="360"/>
        </w:sectPr>
      </w:pPr>
      <w:r>
        <w:t xml:space="preserve">Repaso seleccionado · guía recibida, pp. 3–5; lecciones de unidades 1–3.</w:t>
      </w:r>
    </w:p>
    <w:p>
      <w:pPr>
        <w:pStyle w:val="Heading2"/>
      </w:pPr>
      <w:bookmarkStart w:name="b_3_5" w:id="2791"/>
      <w:r>
        <w:t xml:space="preserve">3.5 · Refuerzo y compensación</w:t>
      </w:r>
      <w:bookmarkEnd w:id="2791"/>
    </w:p>
    <w:p>
      <w:pPr>
        <w:pStyle w:val="Subtitulo"/>
      </w:pPr>
      <w:r>
        <w:t xml:space="preserve">Estructuras circulares de retroalimentación (compensación y refuerzo)</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En una línea</w:t>
            </w:r>
          </w:p>
          <w:p>
            <w:pPr>
              <w:pStyle w:val="Recuadro"/>
            </w:pPr>
            <w:r>
              <w:t xml:space="preserve">Número impar de relaciones negativas, ciclo de balance; número par o ninguna, ciclo de refuerzo.</w:t>
            </w:r>
          </w:p>
        </w:tc>
      </w:tr>
    </w:tbl>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Qué te preguntan</w:t>
            </w:r>
          </w:p>
          <w:p>
            <w:pPr>
              <w:pStyle w:val="Recuadro"/>
            </w:pPr>
            <w:r>
              <w:t xml:space="preserve">Clasificar un ciclo contando sus signos negativos y justificarlo leyendo la historia, que es la comprobación que el profesor exige después de aplicar la regla. Distinguir el ciclo de balance, que busca un objetivo y se queda ahí, del de refuerzo, que crece o cae sin límite, y separar el círculo virtuoso del vicioso: misma estructura, distinta valoración del resultado.</w:t>
            </w:r>
          </w:p>
        </w:tc>
      </w:tr>
    </w:tbl>
    <w:p>
      <w:pPr>
        <w:pStyle w:val="Normal"/>
      </w:pPr>
      <w:r>
        <w:t xml:space="preserve">Un ciclo causal vuelve al inicio: B se opone al cambio; R lo amplifica. Negativas impares dan B, pares o ninguna dan R. Los signos fijan polaridad; la curva requiere tasas, retardos y condiciones iniciales.</w:t>
      </w:r>
    </w:p>
    <w:p>
      <w:pPr>
        <w:pStyle w:val="Heading3"/>
      </w:pPr>
      <w:r>
        <w:t xml:space="preserve">Vocabulario clave</w:t>
      </w:r>
    </w:p>
    <w:p>
      <w:pPr>
        <w:pStyle w:val="Normal"/>
      </w:pPr>
      <w:r>
        <w:t xml:space="preserve">ciclo de retroalimentación (bucle de retroalimentación, retroalimentación de causalidad circular) · ciclo de compensación (de balance, de control, retroalimentación negativa, ciclo negativo) · ciclo de refuerzo (retroalimentación positiva, ciclo positivo) · arquetipos sistémicos básicos · objetivo (meta, valor explícito o implícito) y brecha percibida · estado estable (equilibrio) · polaridad del ciclo (B, C, «−» o balanza; R, «+» o bola de nieve) · regla del número par de relaciones negativas · círculo virtuoso y círculo vicioso · proalimentación de compensación y de refuerzo</w:t>
      </w:r>
    </w:p>
    <w:p>
      <w:pPr>
        <w:pStyle w:val="Fuente"/>
      </w:pPr>
      <w:r>
        <w:t xml:space="preserve">Recorrido: desarrollo conceptual → presentaciones → explicación en clase → errores y fuentes → práctica → solucionario.</w:t>
      </w:r>
    </w:p>
    <w:p>
      <w:pPr>
        <w:pStyle w:val="Heading3"/>
      </w:pPr>
      <w:bookmarkStart w:name="b_lectura_p5" w:id="2792"/>
      <w:r>
        <w:t xml:space="preserve">P5. Refuerzo y balance</w:t>
      </w:r>
      <w:bookmarkEnd w:id="2792"/>
    </w:p>
    <w:p>
      <w:pPr>
        <w:pStyle w:val="Normal"/>
        <w:numPr>
          <w:ilvl w:val="0"/>
          <w:numId w:val="2"/>
        </w:numPr>
      </w:pPr>
      <w:r>
        <w:rPr>
          <w:b/>
          <w:bCs/>
        </w:rPr>
        <w:t xml:space="preserve">Refuerzo (R):</w:t>
      </w:r>
      <w:r>
        <w:t xml:space="preserve"> el efecto que regresa amplifica la variación inicial. Puede amplificar un aumento o una disminución. En un recorrido cerrado tiene cero o un número par de relaciones negativas.</w:t>
      </w:r>
    </w:p>
    <w:p>
      <w:pPr>
        <w:pStyle w:val="Normal"/>
        <w:numPr>
          <w:ilvl w:val="0"/>
          <w:numId w:val="2"/>
        </w:numPr>
      </w:pPr>
      <w:r>
        <w:rPr>
          <w:b/>
          <w:bCs/>
        </w:rPr>
        <w:t xml:space="preserve">Balance o compensación (B):</w:t>
      </w:r>
      <w:r>
        <w:t xml:space="preserve"> el efecto que regresa contrarresta la variación inicial. Tiene un número impar de relaciones negativas.</w:t>
      </w:r>
    </w:p>
    <w:p>
      <w:pPr>
        <w:pStyle w:val="Normal"/>
      </w:pPr>
      <w:r>
        <w:t xml:space="preserve">Procedimiento: identificar el recorrido cerrado → asignar cada signo → contar relaciones negativas → comprobar el relato del cambio. No basta contar positivos ni valorar si el resultado es deseable.</w:t>
      </w:r>
    </w:p>
    <w:p>
      <w:pPr>
        <w:pStyle w:val="Normal"/>
      </w:pPr>
      <w:r>
        <w:rPr>
          <w:b/>
          <w:bCs/>
        </w:rPr>
        <w:t xml:space="preserve">Refuerzo trabajado:</w:t>
      </w:r>
      <w:r>
        <w:t xml:space="preserve"> más trabajo atrasado → menos capacitación → más errores → más trabajo atrasado. Las relaciones son −, −, +. Dos negativas: refuerzo. Si el atraso disminuye, esa misma estructura también puede reforzar una mejora.</w:t>
      </w:r>
    </w:p>
    <w:p>
      <w:pPr>
        <w:pStyle w:val="Normal"/>
      </w:pPr>
      <w:r>
        <w:rPr>
          <w:b/>
          <w:bCs/>
        </w:rPr>
        <w:t xml:space="preserve">Balance trabajado:</w:t>
      </w:r>
      <w:r>
        <w:t xml:space="preserve"> más personas en la fila → más espera → más abandonos → menos personas en la fila. Las relaciones son +, +, −. Una negativa: balance. Los abandonos afectan la cantidad en la fila; no deben confundirse con personas atendidas.</w:t>
      </w:r>
    </w:p>
    <w:p>
      <w:pPr>
        <w:pStyle w:val="Normal"/>
      </w:pPr>
      <w:r>
        <w:t xml:space="preserve">Un sistema puede contener varios ciclos que actúan a la vez. La clasificación de un recorrido no determina por sí sola todo el comportamiento del sistema.</w:t>
      </w:r>
    </w:p>
    <w:p>
      <w:pPr>
        <w:pStyle w:val="Heading3"/>
      </w:pPr>
      <w:bookmarkStart w:name="b_lectura_p6" w:id="2793"/>
      <w:r>
        <w:t xml:space="preserve">P6. Meta, faltante y corrección</w:t>
      </w:r>
      <w:bookmarkEnd w:id="2793"/>
    </w:p>
    <w:p>
      <w:pPr>
        <w:pStyle w:val="Normal"/>
      </w:pPr>
      <w:r>
        <w:t xml:space="preserve">En un ejemplo simple:</w:t>
      </w:r>
    </w:p>
    <w:p>
      <w:pPr>
        <w:pStyle w:val="Normal"/>
      </w:pPr>
      <w:r>
        <w:rPr>
          <w:rFonts w:ascii="Source Code Pro" w:cs="Source Code Pro" w:eastAsia="Source Code Pro" w:hAnsi="Source Code Pro"/>
          <w:sz w:val="18"/>
          <w:szCs w:val="18"/>
        </w:rPr>
        <w:t xml:space="preserve">Faltante = Meta − Cantidad disponible</w:t>
      </w:r>
    </w:p>
    <w:p>
      <w:pPr>
        <w:pStyle w:val="Normal"/>
      </w:pPr>
      <w:r>
        <w:t xml:space="preserve">Con meta 100 y 80 libros disponibles, el faltante es 20. Una compra recibida aumenta los disponibles y reduce el faltante; </w:t>
      </w:r>
      <w:r>
        <w:rPr>
          <w:b/>
          <w:bCs/>
        </w:rPr>
        <w:t xml:space="preserve">no reduce la meta</w:t>
      </w:r>
      <w:r>
        <w:t xml:space="preserve">. Cambiar una meta de 100 a 120 puede aumentar inmediatamente el faltante de 20 a 40 sin que se mueva ningún libro.</w:t>
      </w:r>
    </w:p>
    <w:p>
      <w:pPr>
        <w:pStyle w:val="Normal"/>
      </w:pPr>
      <w:r>
        <w:t xml:space="preserve">La meta es un valor deseado. La capacidad es un límite de lo que puede contener o atender un sistema; no necesariamente es una meta. El equilibrio es una condición de igualdad entre entradas y salidas; no necesariamente coincide con ninguno de los dos valores anteriores.</w:t>
      </w:r>
    </w:p>
    <w:p>
      <w:pPr>
        <w:pStyle w:val="Heading3"/>
      </w:pPr>
      <w:r>
        <w:t xml:space="preserve">Definiciones como las dio la clase</w:t>
      </w:r>
    </w:p>
    <w:p>
      <w:pPr>
        <w:pStyle w:val="Normal"/>
      </w:pPr>
      <w:r>
        <w:t xml:space="preserve">Las estructuras interdependientes son ciclos de retroalimentación: dan la complejidad; en ellas surgen los sistemas de control y los comportamientos crecientes.</w:t>
      </w:r>
    </w:p>
    <w:p>
      <w:pPr>
        <w:pStyle w:val="Normal"/>
      </w:pPr>
      <w:r>
        <w:t xml:space="preserve">Retroalimentación de causalidad circular es el nombre de estas estructuras, sistemas o subsistemas de retroalimentación. Hay bucle cuando la reacción vuelve a un elemento que inició la cadena, como información de retroalimentación.</w:t>
      </w:r>
    </w:p>
    <w:p>
      <w:pPr>
        <w:pStyle w:val="Normal"/>
      </w:pPr>
      <w:r>
        <w:t xml:space="preserve">Son dos tipos, refuerzo y compensación (retroalimentación o ciclos positivos y negativos): los «arquetipos sistémicos básicos», patrones presentes en las estructuras de cualquier sistema.</w:t>
      </w:r>
    </w:p>
    <w:p>
      <w:pPr>
        <w:pStyle w:val="Normal"/>
      </w:pPr>
      <w:r>
        <w:t xml:space="preserve">Compensación (balance, control): busca un objetivo, meta o valor explícito o implícito y, al lograrlo, queda «satisfecho» y lo mantiene. Algo inhibe la variable que crecía o aumenta la que decrecía: «un cambio de sentido de tendencia».</w:t>
      </w:r>
    </w:p>
    <w:p>
      <w:pPr>
        <w:pStyle w:val="Normal"/>
      </w:pPr>
      <w:r>
        <w:t xml:space="preserve">La tendencia se revierte, de golpe o gradualmente, hasta un estado estable, sostenible largo tiempo y «más o menos oscilatorio», que puede perderse y requerir control otra vez. En esos modelos sencillos la corrección reduce la brecha; el resultado puede cambiar con retardos y otros ciclos.</w:t>
      </w:r>
    </w:p>
    <w:p>
      <w:pPr>
        <w:pStyle w:val="Normal"/>
      </w:pPr>
      <w:r>
        <w:t xml:space="preserve">Refuerzo: amplifica la perturbación de vuelta al origen. Puede contener relaciones negativas en número par; no se define por ausencia de objetivo. El crecimiento o decrecimiento exponencial sin restricciones corresponde a modelos elementales con supuestos adicionales.</w:t>
      </w:r>
    </w:p>
    <w:p>
      <w:pPr>
        <w:pStyle w:val="Normal"/>
      </w:pPr>
      <w:r>
        <w:t xml:space="preserve">Los sistemas de control son subsistemas de sistemas mayores: cuerpo humano, empresas, especies. Si se rompe esa circularidad surgen los comportamientos complejos.</w:t>
      </w:r>
    </w:p>
    <w:p>
      <w:pPr>
        <w:pStyle w:val="Fuente"/>
      </w:pPr>
      <w:r>
        <w:t xml:space="preserve">Clase 10 · 00:15:49–00:16:27 · Clase 10 · 01:15:30–01:16:03 · Clase 13 · 00:31:17–00:31:52 · Clase 13 · 00:37:51–00:38:26 · Clase 13 · 01:12:56–01:14:09 · Clase 13 · 01:19:38–01:20:14 · Clase 13 · 01:29:49–01:30:22 · Clase 13 · 01:42:21–01:43:06 · Clase 14 · 00:08:02–00:09:04 · Clase 14 · 00:39:43–00:42:22 · Clase 15 · 00:10:16–00:11:18 · Clase 15 · 00:17:47–00:18:54 · Clase 15 · 00:23:38–00:26:06</w:t>
      </w:r>
    </w:p>
    <w:p>
      <w:pPr>
        <w:pStyle w:val="Heading3"/>
      </w:pPr>
      <w:r>
        <w:t xml:space="preserve">Cómo se reconoce, se clasifica y se marca</w:t>
      </w:r>
    </w:p>
    <w:p>
      <w:pPr>
        <w:pStyle w:val="Normal"/>
      </w:pPr>
      <w:r>
        <w:t xml:space="preserve">Es de compensación cuando el retorno se opone al cambio inicial: el recorrido completo contiene un número impar de negativas. La presencia de alguna negativa no basta; dos o cuatro negativas dan refuerzo.</w:t>
      </w:r>
    </w:p>
    <w:p>
      <w:pPr>
        <w:pStyle w:val="Normal"/>
      </w:pPr>
      <w:r>
        <w:t xml:space="preserve">Un recorrido de relaciones positivas es R. El crecimiento ilimitado de los ejemplos supone un modelo aislado con tasas apropiadas, sin restricciones ni otras influencias.</w:t>
      </w:r>
    </w:p>
    <w:p>
      <w:pPr>
        <w:pStyle w:val="Normal"/>
      </w:pPr>
      <w:r>
        <w:t xml:space="preserve">Regla: número par de negativas (2, 4, 6), refuerzo, porque la segunda anula la compensación de la primera («una relación positiva descompuesta en dos negativas»); número impar (1, 3, 5…), compensación. Un balance puede tener más de una negativa. Está en una de las lecturas y «esa se cumple».</w:t>
      </w:r>
    </w:p>
    <w:p>
      <w:pPr>
        <w:pStyle w:val="Normal"/>
      </w:pPr>
      <w:r>
        <w:t xml:space="preserve">Al modelar con más detalle pueden cambiar las relaciones causales, pero el efecto global del ciclo es el mismo.</w:t>
      </w:r>
    </w:p>
    <w:p>
      <w:pPr>
        <w:pStyle w:val="Normal"/>
      </w:pPr>
      <w:r>
        <w:t xml:space="preserve">Al centro del ciclo se escribe su polaridad: «−», B de balance, C de compensación o una balanza (pesa); «+», R o una bola de nieve para el refuerzo.</w:t>
      </w:r>
    </w:p>
    <w:p>
      <w:pPr>
        <w:pStyle w:val="Normal"/>
      </w:pPr>
      <w:r>
        <w:t xml:space="preserve">«Negativos» (compensación) y «positivos» (refuerzo) son tipos de retorno, no juicios de valor: negativos por la relación negativa presente al menos en los de control; positivos porque las variables tienden a un mismo movimiento, arriba o abajo.</w:t>
      </w:r>
    </w:p>
    <w:p>
      <w:pPr>
        <w:pStyle w:val="Normal"/>
      </w:pPr>
      <w:r>
        <w:t xml:space="preserve">En la telaraña, punteado rojo marcaba balance y azul refuerzo; el rojo para compensación no es convención estandarizada.</w:t>
      </w:r>
    </w:p>
    <w:p>
      <w:pPr>
        <w:pStyle w:val="Normal"/>
      </w:pPr>
      <w:r>
        <w:t xml:space="preserve">Patrón en modelos elementales: R aislado con tasa proporcional constante puede dar crecimiento exponencial; B con meta fija, corrección proporcional estable y sin retardo puede aproximarse exponencialmente a ella. La polaridad sola no fija curva, límites ni estabilidad; B con retardo puede oscilar y R+B puede ser logístico.</w:t>
      </w:r>
    </w:p>
    <w:p>
      <w:pPr>
        <w:pStyle w:val="Fuente"/>
      </w:pPr>
      <w:r>
        <w:t xml:space="preserve">Clase 13 · 01:25:28–01:26:22 · Clase 13 · 01:29:14–01:29:52 · Clase 13 · 01:43:21–01:44:18 · Clase 14 · 00:07:29–00:08:00 · Clase 14 · 00:10:54–00:11:06 · Clase 14 · 00:16:21–00:16:42 · Clase 14 · 00:27:59–00:28:41 · Clase 14 · 00:41:24–00:41:47 · Clase 14 · 00:51:44–00:53:05 · Clase 14 · 00:55:16–00:55:33 · Clase 14 · 01:06:06–01:06:19 · Clase 15 · 00:17:47–00:19:51 · Clase 15 · 01:10:31–01:16:21 · Clase 16 · 00:47:21–00:48:23 · Clase 16 · 01:24:25–01:24:37 · Clase 16 · 01:37:54–01:39:30</w:t>
      </w:r>
    </w:p>
    <w:p>
      <w:pPr>
        <w:pStyle w:val="Heading3"/>
      </w:pPr>
      <w:r>
        <w:t xml:space="preserve">Casos de compensación resueltos en clase</w:t>
      </w:r>
    </w:p>
    <w:p>
      <w:pPr>
        <w:pStyle w:val="Normal"/>
      </w:pPr>
      <w:r>
        <w:t xml:space="preserve">Vaso: posición del grifo → flujo de agua → nivel de agua en el vaso → brecha percibida con el nivel deseado (lleno, mitad, tres cuartos) → abrir o cerrar; en milisegundos, cerrando gradualmente al acercarse.</w:t>
      </w:r>
    </w:p>
    <w:p>
      <w:pPr>
        <w:pStyle w:val="Normal"/>
      </w:pPr>
      <w:r>
        <w:t xml:space="preserve">Hervir agua (B): más llave del fogón abierta → más flujo de fuego → más nivel actual de temperatura → brecha percibida menor con el objetivo agua hervida (humo, burbujas) → reducir la llave sin cortar el flujo, y cerrar al lograrlo; si no, el agua se evapora. Control temporal.</w:t>
      </w:r>
    </w:p>
    <w:p>
      <w:pPr>
        <w:pStyle w:val="Normal"/>
      </w:pPr>
      <w:r>
        <w:t xml:space="preserve">Sed: sed →+ tomar agua →+ contenido de agua en el cuerpo →− sed; «−» al centro. La sed crecería «a menos que algo la frene».</w:t>
      </w:r>
    </w:p>
    <w:p>
      <w:pPr>
        <w:pStyle w:val="Normal"/>
      </w:pPr>
      <w:r>
        <w:t xml:space="preserve">Tanque de inodoro: flujo de agua →+ nivel de agua →+ nivel de válvula de flote →− flujo de agua; el nivel sube cada vez menos.</w:t>
      </w:r>
    </w:p>
    <w:p>
      <w:pPr>
        <w:pStyle w:val="Normal"/>
      </w:pPr>
      <w:r>
        <w:t xml:space="preserve">Medicina: dolor →+ necesidad de tomar medicina; tomar medicina →− dolor, una «solución rápida».</w:t>
      </w:r>
    </w:p>
    <w:p>
      <w:pPr>
        <w:pStyle w:val="Normal"/>
      </w:pPr>
      <w:r>
        <w:t xml:space="preserve">Hambre: hambre →+ consumo de alimentos →− hambre; B o «−» al centro: «lo que está compensando es el hambre».</w:t>
      </w:r>
    </w:p>
    <w:p>
      <w:pPr>
        <w:pStyle w:val="Normal"/>
      </w:pPr>
      <w:r>
        <w:t xml:space="preserve">Caída libre: aceleración gravitacional →+ velocidad; velocidad →+ resistencia del aire →− velocidad; es de balance, con la aceleración como «variable de refuerzo».</w:t>
      </w:r>
    </w:p>
    <w:p>
      <w:pPr>
        <w:pStyle w:val="Fuente"/>
      </w:pPr>
      <w:r>
        <w:t xml:space="preserve">Clase 13 · 00:45:48–00:51:00 · Clase 13 · 00:52:56–00:53:26 · Clase 13 · 01:22:10–01:27:19 · Clase 13 · 01:30:18–01:31:25 · Clase 14 · 00:09:57–00:14:33 · Clase 14 · 00:17:15–00:27:26 · Clase 14 · 00:38:18–00:39:14 · Clase 15 · 00:22:31–00:23:42 · Clase 15 · 00:26:56–00:29:43</w:t>
      </w:r>
    </w:p>
    <w:p>
      <w:pPr>
        <w:pStyle w:val="Heading3"/>
      </w:pPr>
      <w:r>
        <w:t xml:space="preserve">Casos de refuerzo y de ciclos combinados</w:t>
      </w:r>
    </w:p>
    <w:p>
      <w:pPr>
        <w:pStyle w:val="Normal"/>
      </w:pPr>
      <w:r>
        <w:t xml:space="preserve">Micrófono y bocina: sonido en el micrófono →+ sonido en la bocina →+ sonido en el micrófono; la salida reentra al sistema y distorsiona hasta que se separan.</w:t>
      </w:r>
    </w:p>
    <w:p>
      <w:pPr>
        <w:pStyle w:val="Normal"/>
      </w:pPr>
      <w:r>
        <w:t xml:space="preserve">Ahorro: ahorros →+ intereses →+ ahorros, R al centro; crece sin fin si nada lo interrumpe y, con retiros frecuentes, sigue siendo refuerzo.</w:t>
      </w:r>
    </w:p>
    <w:p>
      <w:pPr>
        <w:pStyle w:val="Normal"/>
      </w:pPr>
      <w:r>
        <w:t xml:space="preserve">Población: fracción de tasa de nacimientos → nacimientos →+ población (R); tasa de muertes →− población (B). Con muertes por debajo de los nacimientos la población crece, a menor ritmo; si los superan, disminuye.</w:t>
      </w:r>
    </w:p>
    <w:p>
      <w:pPr>
        <w:pStyle w:val="Normal"/>
      </w:pPr>
      <w:r>
        <w:t xml:space="preserve">Ballenas: nacimientos (R, + y +), muertes (B, + y −) y pesca: más ballenas, más pesca (+); más pesca, menos ballenas (−), otro balance. Crecen sólo si muertes y pesca no superan los nacimientos; si no, cabe la extinción local.</w:t>
      </w:r>
    </w:p>
    <w:p>
      <w:pPr>
        <w:pStyle w:val="Normal"/>
      </w:pPr>
      <w:r>
        <w:t xml:space="preserve">Tilapias: bajan porque la demanda supera la oferta; ante más demanda se actúa sobre el ciclo de crecimiento.</w:t>
      </w:r>
    </w:p>
    <w:p>
      <w:pPr>
        <w:pStyle w:val="Normal"/>
      </w:pPr>
      <w:r>
        <w:t xml:space="preserve">Energía y pobreza, seis ciclos (tres R, tres B): desarrollo → demanda → oferta → desarrollo, todo «+», R; desarrollo → demanda → pobreza → oferta → desarrollo, dos «−», R; desarrollo →− pobreza →− oferta →+ desarrollo, R; desarrollo → demanda → oferta →− condiciones ambientales → desarrollo, una «−», B.</w:t>
      </w:r>
    </w:p>
    <w:p>
      <w:pPr>
        <w:pStyle w:val="Normal"/>
      </w:pPr>
      <w:r>
        <w:t xml:space="preserve">Banco: fallas →− confianza de inversionistas →− retiros →− solvencia →− fallas: cuatro negativas, refuerzo; equivale a fallas →+ retiros →+ fallas, pero sin el porqué.</w:t>
      </w:r>
    </w:p>
    <w:p>
      <w:pPr>
        <w:pStyle w:val="Normal"/>
      </w:pPr>
      <w:r>
        <w:t xml:space="preserve">Culpa, R1: errores →+ búsqueda de culpables →+ miedo →+ encubrimiento →− flujo de información →+ conocimiento de la realidad →+ habilidad de resolver problemas →− errores; R2: miedo →− toma de riesgos →+ habilidad para innovar →+ habilidad de resolver →− errores. Buscar culpables produce más errores.</w:t>
      </w:r>
    </w:p>
    <w:p>
      <w:pPr>
        <w:pStyle w:val="Normal"/>
      </w:pPr>
      <w:r>
        <w:t xml:space="preserve">Modelo 2: B1, problema →+ búsqueda de culpables →− problema («supuestamente»), con menos voluntad de compartir información; B2, solución real con demora.</w:t>
      </w:r>
    </w:p>
    <w:p>
      <w:pPr>
        <w:pStyle w:val="Normal"/>
      </w:pPr>
      <w:r>
        <w:t xml:space="preserve">Cuando refuerzo y compensación comparten una variable, el efecto sobre ella depende de cuál domina.</w:t>
      </w:r>
    </w:p>
    <w:p>
      <w:pPr>
        <w:pStyle w:val="Fuente"/>
      </w:pPr>
      <w:r>
        <w:t xml:space="preserve">Clase 14 · 00:42:20–00:51:48 · Clase 14 · 00:55:56–01:02:56 · Clase 14 · 01:04:21–01:08:00 · Clase 14 · 01:11:49–01:20:25 · Clase 15 · 00:11:56–00:15:58 · Clase 15 · 01:05:55–01:24:11 · Clase 16 · 00:31:00–00:37:08 · Clase 16 · 00:38:37–00:39:57 · Clase 16 · 00:43:30–00:47:57 · Clase 16 · 00:50:41–00:51:13</w:t>
      </w:r>
    </w:p>
    <w:p>
      <w:pPr>
        <w:pStyle w:val="Heading3"/>
      </w:pPr>
      <w:r>
        <w:t xml:space="preserve">Virtuoso, vicioso y proalimentación: las seis categorías</w:t>
      </w:r>
    </w:p>
    <w:p>
      <w:pPr>
        <w:pStyle w:val="Normal"/>
      </w:pPr>
      <w:r>
        <w:t xml:space="preserve">Seis categorías: refuerzo; compensación; vicioso y virtuoso (refuerzo en contra o a favor de lo que el sistema necesita); proalimentación de refuerzo y de compensación.</w:t>
      </w:r>
    </w:p>
    <w:p>
      <w:pPr>
        <w:pStyle w:val="Normal"/>
      </w:pPr>
      <w:r>
        <w:t xml:space="preserve">Virtuoso y vicioso son el mismo refuerzo, con las mismas variables, en momentos distintos: virtuoso en el sentido ideal para el sistema, vicioso en el contrario; difieren en la valoración, no en la estructura (definición avalada en clase); «le pusimos apellidos».</w:t>
      </w:r>
    </w:p>
    <w:p>
      <w:pPr>
        <w:pStyle w:val="Normal"/>
      </w:pPr>
      <w:r>
        <w:t xml:space="preserve">Depende del sistema: en fallos de software, virtuoso es que disminuyan. Ventas → satisfacción del cliente → comentarios → ventas: si son positivos, virtuoso; si son negativos, vicioso hasta la quiebra. Banco vicioso: menos solvencia, más fallas; virtuoso: pocas fallas, más confianza, menos retiros.</w:t>
      </w:r>
    </w:p>
    <w:p>
      <w:pPr>
        <w:pStyle w:val="Normal"/>
      </w:pPr>
      <w:r>
        <w:t xml:space="preserve">Proalimentación (Joseph O'Connor, «Introducción al pensamiento sistémico»): un efecto futuro anticipado, que aún no ha ocurrido, genera la causa del presente.</w:t>
      </w:r>
    </w:p>
    <w:p>
      <w:pPr>
        <w:pStyle w:val="Normal"/>
      </w:pPr>
      <w:r>
        <w:t xml:space="preserve">Proalimentación de compensación, la más común: la predicción de un cambio conduce al sistema al estado predicho. De refuerzo: lo aparta de ese estado, una profecía contraproducente.</w:t>
      </w:r>
    </w:p>
    <w:p>
      <w:pPr>
        <w:pStyle w:val="Normal"/>
      </w:pPr>
      <w:r>
        <w:t xml:space="preserve">Gasolina: rumor de escasez → compras de más de lo normal → escasez real → más expectativa de escasez. La clase describió el efecto a lo largo del tiempo como «un refuerzo» y lo nombró proalimentación de compensación, porque la anticipación provoca que suceda lo predicho. Atleta: visualiza la medalla y se esfuerza, compensación; le predicen derrota, lo toma como reto y gana, refuerzo.</w:t>
      </w:r>
    </w:p>
    <w:p>
      <w:pPr>
        <w:pStyle w:val="Fuente"/>
      </w:pPr>
      <w:r>
        <w:t xml:space="preserve">Clase 14 · 01:26:29–01:33:17 · Clase 14 · 01:36:24–01:37:01 · Clase 16 · 00:48:31–00:49:38 · Clase 16 · 00:51:11–00:57:10 · Clase 16 · 01:00:34–01:02:36</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Procedimiento</w:t>
            </w:r>
          </w:p>
          <w:p>
            <w:pPr>
              <w:pStyle w:val="Recuadro"/>
            </w:pPr>
            <w:r>
              <w:t xml:space="preserve">Cómo se clasifica y se lee un ciclo de retroalimentación</w:t>
            </w:r>
          </w:p>
          <w:p>
            <w:pPr>
              <w:pStyle w:val="Recuadro"/>
            </w:pPr>
            <w:r>
              <w:t xml:space="preserve">1. </w:t>
            </w:r>
            <w:r>
              <w:rPr>
                <w:b/>
                <w:bCs/>
              </w:rPr>
              <w:t xml:space="preserve">Hacer explícito el objetivo.</w:t>
            </w:r>
            <w:r>
              <w:t xml:space="preserve"> Si el ciclo controla algo, se hace explícita la variable objetivo, con la brecha percibida, para ver la circularidad: en el vaso, el nivel deseado. (Clase 13 · 00:52:43–00:53:05 · Clase 13 · 01:12:40–01:12:58)</w:t>
            </w:r>
          </w:p>
          <w:p>
            <w:pPr>
              <w:pStyle w:val="Recuadro"/>
            </w:pPr>
            <w:r>
              <w:t xml:space="preserve">2. </w:t>
            </w:r>
            <w:r>
              <w:rPr>
                <w:b/>
                <w:bCs/>
              </w:rPr>
              <w:t xml:space="preserve">Asignar la polaridad de cada flecha.</w:t>
            </w:r>
            <w:r>
              <w:t xml:space="preserve"> Se vuelve a la historia y se sigue la tendencia de la causa: mismo sentido, «+»; opuesto, «−». Se prueba el caso contrario: al vaciarse el tanque la válvula baja y el flujo aumenta; sigue siendo «−». (Clase 14 · 00:35:28–00:38:20 · Clase 15 · 00:18:54–00:19:30)</w:t>
            </w:r>
          </w:p>
          <w:p>
            <w:pPr>
              <w:pStyle w:val="Recuadro"/>
            </w:pPr>
            <w:r>
              <w:t xml:space="preserve">3. </w:t>
            </w:r>
            <w:r>
              <w:rPr>
                <w:b/>
                <w:bCs/>
              </w:rPr>
              <w:t xml:space="preserve">Contar las relaciones negativas.</w:t>
            </w:r>
            <w:r>
              <w:t xml:space="preserve"> Número impar de negativas, compensación; número par o ninguna, refuerzo. El banco, con cuatro negativas, es de refuerzo; el ciclo de condiciones ambientales de la energía, con una, de compensación. (Clase 15 · 01:10:31–01:16:21 · Clase 16 · 00:43:30–00:48:23)</w:t>
            </w:r>
          </w:p>
          <w:p>
            <w:pPr>
              <w:pStyle w:val="Recuadro"/>
            </w:pPr>
            <w:r>
              <w:t xml:space="preserve">4. </w:t>
            </w:r>
            <w:r>
              <w:rPr>
                <w:b/>
                <w:bCs/>
              </w:rPr>
              <w:t xml:space="preserve">Anotar la polaridad del ciclo al centro.</w:t>
            </w:r>
            <w:r>
              <w:t xml:space="preserve"> Al centro de un círculo: B, C, «−» o balanza; R, «+» o bola de nieve. Lo más explícito es ponerla siempre. (Clase 15 · 00:19:45–00:21:01 · Clase 16 · 01:16:24–01:16:59)</w:t>
            </w:r>
          </w:p>
          <w:p>
            <w:pPr>
              <w:pStyle w:val="Recuadro"/>
            </w:pPr>
            <w:r>
              <w:t xml:space="preserve">5. </w:t>
            </w:r>
            <w:r>
              <w:rPr>
                <w:b/>
                <w:bCs/>
              </w:rPr>
              <w:t xml:space="preserve">Leer la historia y el comportamiento.</w:t>
            </w:r>
            <w:r>
              <w:t xml:space="preserve"> Leído por las polaridades, debe contar la misma historia; si no se entiende, algo falla. Compensación: estado estable; refuerzo: crecimiento o decrecimiento sin límite, virtuoso o vicioso según su sentido. (Clase 15 · 00:23:38–00:26:06 · Clase 16 · 01:28:44–01:29:33)</w:t>
            </w:r>
          </w:p>
          <w:p>
            <w:pPr>
              <w:pStyle w:val="Recuadro"/>
            </w:pPr>
            <w:r>
              <w:t xml:space="preserve">Impar de negativas: B y búsqueda de un estado estable; par o ninguna: R y crecimiento o decrecimiento sin límite; la historia leída por los signos confirma la etiqueta.</w:t>
            </w:r>
          </w:p>
        </w:tc>
      </w:tr>
    </w:tbl>
    <w:p>
      <w:pPr>
        <w:pStyle w:val="Heading3"/>
      </w:pPr>
      <w:bookmarkStart w:name="b_tabla_3_5_g2_dos_ciclos" w:id="2794"/>
      <w:r>
        <w:t xml:space="preserve">Refuerzo y compensación, lado a lado</w:t>
      </w:r>
      <w:bookmarkEnd w:id="2794"/>
    </w:p>
    <w:tbl>
      <w:tblPr>
        <w:tblW w:type="dxa" w:w="9632"/>
        <w:tblBorders>
          <w:top w:val="single" w:color="C5D5DB" w:sz="4"/>
          <w:left w:val="single" w:color="C5D5DB" w:sz="4"/>
          <w:bottom w:val="single" w:color="C5D5DB" w:sz="4"/>
          <w:right w:val="single" w:color="C5D5DB" w:sz="4"/>
          <w:insideH w:val="single" w:color="E4E9EB" w:sz="3"/>
          <w:insideV w:val="single" w:color="E4E9EB" w:sz="3"/>
        </w:tblBorders>
        <w:tblLayout w:type="fixed"/>
      </w:tblPr>
      <w:tblGrid>
        <w:gridCol w:w="2408"/>
        <w:gridCol w:w="2408"/>
        <w:gridCol w:w="2408"/>
        <w:gridCol w:w="2408"/>
      </w:tblGrid>
      <w:tr>
        <w:trPr>
          <w:cantSplit/>
          <w:tblHeader/>
        </w:trPr>
        <w:tc>
          <w:tcPr>
            <w:tcW w:type="dxa" w:w="2408"/>
            <w:shd w:fill="DFEAF0" w:val="clear"/>
            <w:tcMar>
              <w:top w:type="dxa" w:w="80"/>
              <w:left w:type="dxa" w:w="100"/>
              <w:bottom w:type="dxa" w:w="80"/>
              <w:right w:type="dxa" w:w="100"/>
            </w:tcMar>
          </w:tcPr>
          <w:p>
            <w:pPr>
              <w:pStyle w:val="Tabla"/>
            </w:pPr>
            <w:r>
              <w:rPr>
                <w:b/>
                <w:bCs/>
              </w:rPr>
              <w:t xml:space="preserve">Aspecto</w:t>
            </w:r>
          </w:p>
        </w:tc>
        <w:tc>
          <w:tcPr>
            <w:tcW w:type="dxa" w:w="2408"/>
            <w:shd w:fill="DFEAF0" w:val="clear"/>
            <w:tcMar>
              <w:top w:type="dxa" w:w="80"/>
              <w:left w:type="dxa" w:w="100"/>
              <w:bottom w:type="dxa" w:w="80"/>
              <w:right w:type="dxa" w:w="100"/>
            </w:tcMar>
          </w:tcPr>
          <w:p>
            <w:pPr>
              <w:pStyle w:val="Tabla"/>
            </w:pPr>
            <w:r>
              <w:rPr>
                <w:b/>
                <w:bCs/>
              </w:rPr>
              <w:t xml:space="preserve">Refuerzo (R)</w:t>
            </w:r>
          </w:p>
        </w:tc>
        <w:tc>
          <w:tcPr>
            <w:tcW w:type="dxa" w:w="2408"/>
            <w:shd w:fill="DFEAF0" w:val="clear"/>
            <w:tcMar>
              <w:top w:type="dxa" w:w="80"/>
              <w:left w:type="dxa" w:w="100"/>
              <w:bottom w:type="dxa" w:w="80"/>
              <w:right w:type="dxa" w:w="100"/>
            </w:tcMar>
          </w:tcPr>
          <w:p>
            <w:pPr>
              <w:pStyle w:val="Tabla"/>
            </w:pPr>
            <w:r>
              <w:rPr>
                <w:b/>
                <w:bCs/>
              </w:rPr>
              <w:t xml:space="preserve">Compensación (B)</w:t>
            </w:r>
          </w:p>
        </w:tc>
        <w:tc>
          <w:tcPr>
            <w:tcW w:type="dxa" w:w="2408"/>
            <w:shd w:fill="DFEAF0" w:val="clear"/>
            <w:tcMar>
              <w:top w:type="dxa" w:w="80"/>
              <w:left w:type="dxa" w:w="100"/>
              <w:bottom w:type="dxa" w:w="80"/>
              <w:right w:type="dxa" w:w="100"/>
            </w:tcMar>
          </w:tcPr>
          <w:p>
            <w:pPr>
              <w:pStyle w:val="Tabla"/>
            </w:pPr>
            <w:r>
              <w:rPr>
                <w:b/>
                <w:bCs/>
              </w:rPr>
              <w:t xml:space="preserve">Dónde se dijo</w:t>
            </w:r>
          </w:p>
        </w:tc>
      </w:tr>
      <w:tr>
        <w:trPr>
          <w:cantSplit/>
          <w:tblHeader w:val="off"/>
        </w:trPr>
        <w:tc>
          <w:tcPr>
            <w:tcW w:type="dxa" w:w="2408"/>
            <w:tcMar>
              <w:top w:type="dxa" w:w="80"/>
              <w:left w:type="dxa" w:w="100"/>
              <w:bottom w:type="dxa" w:w="80"/>
              <w:right w:type="dxa" w:w="100"/>
            </w:tcMar>
          </w:tcPr>
          <w:p>
            <w:pPr>
              <w:pStyle w:val="Tabla"/>
            </w:pPr>
            <w:r>
              <w:t xml:space="preserve">Nombres</w:t>
            </w:r>
          </w:p>
        </w:tc>
        <w:tc>
          <w:tcPr>
            <w:tcW w:type="dxa" w:w="2408"/>
            <w:tcMar>
              <w:top w:type="dxa" w:w="80"/>
              <w:left w:type="dxa" w:w="100"/>
              <w:bottom w:type="dxa" w:w="80"/>
              <w:right w:type="dxa" w:w="100"/>
            </w:tcMar>
          </w:tcPr>
          <w:p>
            <w:pPr>
              <w:pStyle w:val="Tabla"/>
            </w:pPr>
            <w:r>
              <w:t xml:space="preserve">Ciclo de refuerzo; retroalimentación positiva.</w:t>
            </w:r>
          </w:p>
        </w:tc>
        <w:tc>
          <w:tcPr>
            <w:tcW w:type="dxa" w:w="2408"/>
            <w:tcMar>
              <w:top w:type="dxa" w:w="80"/>
              <w:left w:type="dxa" w:w="100"/>
              <w:bottom w:type="dxa" w:w="80"/>
              <w:right w:type="dxa" w:w="100"/>
            </w:tcMar>
          </w:tcPr>
          <w:p>
            <w:pPr>
              <w:pStyle w:val="Tabla"/>
            </w:pPr>
            <w:r>
              <w:t xml:space="preserve">Ciclo de compensación, de balance o de control; retroalimentación negativa.</w:t>
            </w:r>
          </w:p>
        </w:tc>
        <w:tc>
          <w:tcPr>
            <w:tcW w:type="dxa" w:w="2408"/>
            <w:tcMar>
              <w:top w:type="dxa" w:w="80"/>
              <w:left w:type="dxa" w:w="100"/>
              <w:bottom w:type="dxa" w:w="80"/>
              <w:right w:type="dxa" w:w="100"/>
            </w:tcMar>
          </w:tcPr>
          <w:p>
            <w:pPr>
              <w:pStyle w:val="Tabla"/>
            </w:pPr>
            <w:r>
              <w:t xml:space="preserve">Clase 15 · 00:10:16–00:11:18</w:t>
            </w:r>
          </w:p>
        </w:tc>
      </w:tr>
      <w:tr>
        <w:trPr>
          <w:cantSplit/>
          <w:tblHeader w:val="off"/>
        </w:trPr>
        <w:tc>
          <w:tcPr>
            <w:tcW w:type="dxa" w:w="2408"/>
            <w:tcMar>
              <w:top w:type="dxa" w:w="80"/>
              <w:left w:type="dxa" w:w="100"/>
              <w:bottom w:type="dxa" w:w="80"/>
              <w:right w:type="dxa" w:w="100"/>
            </w:tcMar>
          </w:tcPr>
          <w:p>
            <w:pPr>
              <w:pStyle w:val="Tabla"/>
            </w:pPr>
            <w:r>
              <w:t xml:space="preserve">Qué hace</w:t>
            </w:r>
          </w:p>
        </w:tc>
        <w:tc>
          <w:tcPr>
            <w:tcW w:type="dxa" w:w="2408"/>
            <w:tcMar>
              <w:top w:type="dxa" w:w="80"/>
              <w:left w:type="dxa" w:w="100"/>
              <w:bottom w:type="dxa" w:w="80"/>
              <w:right w:type="dxa" w:w="100"/>
            </w:tcMar>
          </w:tcPr>
          <w:p>
            <w:pPr>
              <w:pStyle w:val="Tabla"/>
            </w:pPr>
            <w:r>
              <w:t xml:space="preserve">Una tendencia de crecimiento o de decrecimiento, sin objetivo.</w:t>
            </w:r>
          </w:p>
        </w:tc>
        <w:tc>
          <w:tcPr>
            <w:tcW w:type="dxa" w:w="2408"/>
            <w:tcMar>
              <w:top w:type="dxa" w:w="80"/>
              <w:left w:type="dxa" w:w="100"/>
              <w:bottom w:type="dxa" w:w="80"/>
              <w:right w:type="dxa" w:w="100"/>
            </w:tcMar>
          </w:tcPr>
          <w:p>
            <w:pPr>
              <w:pStyle w:val="Tabla"/>
            </w:pPr>
            <w:r>
              <w:t xml:space="preserve">Busca un objetivo, una meta o un valor explícito o implícito: la tendencia de una variable se revierte hasta un estado estable.</w:t>
            </w:r>
          </w:p>
        </w:tc>
        <w:tc>
          <w:tcPr>
            <w:tcW w:type="dxa" w:w="2408"/>
            <w:tcMar>
              <w:top w:type="dxa" w:w="80"/>
              <w:left w:type="dxa" w:w="100"/>
              <w:bottom w:type="dxa" w:w="80"/>
              <w:right w:type="dxa" w:w="100"/>
            </w:tcMar>
          </w:tcPr>
          <w:p>
            <w:pPr>
              <w:pStyle w:val="Tabla"/>
            </w:pPr>
            <w:r>
              <w:t xml:space="preserve">Clase 15 · 00:10:16–00:11:18 · Clase 15 · 00:23:38–00:26:06</w:t>
            </w:r>
          </w:p>
        </w:tc>
      </w:tr>
      <w:tr>
        <w:trPr>
          <w:cantSplit/>
          <w:tblHeader w:val="off"/>
        </w:trPr>
        <w:tc>
          <w:tcPr>
            <w:tcW w:type="dxa" w:w="2408"/>
            <w:tcMar>
              <w:top w:type="dxa" w:w="80"/>
              <w:left w:type="dxa" w:w="100"/>
              <w:bottom w:type="dxa" w:w="80"/>
              <w:right w:type="dxa" w:w="100"/>
            </w:tcMar>
          </w:tcPr>
          <w:p>
            <w:pPr>
              <w:pStyle w:val="Tabla"/>
            </w:pPr>
            <w:r>
              <w:t xml:space="preserve">Marca al centro</w:t>
            </w:r>
          </w:p>
        </w:tc>
        <w:tc>
          <w:tcPr>
            <w:tcW w:type="dxa" w:w="2408"/>
            <w:tcMar>
              <w:top w:type="dxa" w:w="80"/>
              <w:left w:type="dxa" w:w="100"/>
              <w:bottom w:type="dxa" w:w="80"/>
              <w:right w:type="dxa" w:w="100"/>
            </w:tcMar>
          </w:tcPr>
          <w:p>
            <w:pPr>
              <w:pStyle w:val="Tabla"/>
            </w:pPr>
            <w:r>
              <w:t xml:space="preserve">Un «+» o la letra R; el dibujo de la bola de nieve.</w:t>
            </w:r>
          </w:p>
        </w:tc>
        <w:tc>
          <w:tcPr>
            <w:tcW w:type="dxa" w:w="2408"/>
            <w:tcMar>
              <w:top w:type="dxa" w:w="80"/>
              <w:left w:type="dxa" w:w="100"/>
              <w:bottom w:type="dxa" w:w="80"/>
              <w:right w:type="dxa" w:w="100"/>
            </w:tcMar>
          </w:tcPr>
          <w:p>
            <w:pPr>
              <w:pStyle w:val="Tabla"/>
            </w:pPr>
            <w:r>
              <w:t xml:space="preserve">Un «−» o la letra B; el dibujo de la balanza.</w:t>
            </w:r>
          </w:p>
        </w:tc>
        <w:tc>
          <w:tcPr>
            <w:tcW w:type="dxa" w:w="2408"/>
            <w:tcMar>
              <w:top w:type="dxa" w:w="80"/>
              <w:left w:type="dxa" w:w="100"/>
              <w:bottom w:type="dxa" w:w="80"/>
              <w:right w:type="dxa" w:w="100"/>
            </w:tcMar>
          </w:tcPr>
          <w:p>
            <w:pPr>
              <w:pStyle w:val="Tabla"/>
            </w:pPr>
            <w:r>
              <w:t xml:space="preserve">Clase 15 · 00:17:47–00:18:54</w:t>
            </w:r>
          </w:p>
        </w:tc>
      </w:tr>
      <w:tr>
        <w:trPr>
          <w:cantSplit/>
          <w:tblHeader w:val="off"/>
        </w:trPr>
        <w:tc>
          <w:tcPr>
            <w:tcW w:type="dxa" w:w="2408"/>
            <w:tcMar>
              <w:top w:type="dxa" w:w="80"/>
              <w:left w:type="dxa" w:w="100"/>
              <w:bottom w:type="dxa" w:w="80"/>
              <w:right w:type="dxa" w:w="100"/>
            </w:tcMar>
          </w:tcPr>
          <w:p>
            <w:pPr>
              <w:pStyle w:val="Tabla"/>
            </w:pPr>
            <w:r>
              <w:t xml:space="preserve">Regla de signos</w:t>
            </w:r>
          </w:p>
        </w:tc>
        <w:tc>
          <w:tcPr>
            <w:tcW w:type="dxa" w:w="2408"/>
            <w:tcMar>
              <w:top w:type="dxa" w:w="80"/>
              <w:left w:type="dxa" w:w="100"/>
              <w:bottom w:type="dxa" w:w="80"/>
              <w:right w:type="dxa" w:w="100"/>
            </w:tcMar>
          </w:tcPr>
          <w:p>
            <w:pPr>
              <w:pStyle w:val="Tabla"/>
            </w:pPr>
            <w:r>
              <w:t xml:space="preserve">Ninguna relación negativa, o un número par de ellas (2, 4, 6).</w:t>
            </w:r>
          </w:p>
        </w:tc>
        <w:tc>
          <w:tcPr>
            <w:tcW w:type="dxa" w:w="2408"/>
            <w:tcMar>
              <w:top w:type="dxa" w:w="80"/>
              <w:left w:type="dxa" w:w="100"/>
              <w:bottom w:type="dxa" w:w="80"/>
              <w:right w:type="dxa" w:w="100"/>
            </w:tcMar>
          </w:tcPr>
          <w:p>
            <w:pPr>
              <w:pStyle w:val="Tabla"/>
            </w:pPr>
            <w:r>
              <w:t xml:space="preserve">Un número impar de relaciones negativas (1, 3, 5).</w:t>
            </w:r>
          </w:p>
        </w:tc>
        <w:tc>
          <w:tcPr>
            <w:tcW w:type="dxa" w:w="2408"/>
            <w:tcMar>
              <w:top w:type="dxa" w:w="80"/>
              <w:left w:type="dxa" w:w="100"/>
              <w:bottom w:type="dxa" w:w="80"/>
              <w:right w:type="dxa" w:w="100"/>
            </w:tcMar>
          </w:tcPr>
          <w:p>
            <w:pPr>
              <w:pStyle w:val="Tabla"/>
            </w:pPr>
            <w:r>
              <w:t xml:space="preserve">Clase 15 · 01:10:31–01:16:21</w:t>
            </w:r>
          </w:p>
        </w:tc>
      </w:tr>
      <w:tr>
        <w:trPr>
          <w:cantSplit/>
          <w:tblHeader w:val="off"/>
        </w:trPr>
        <w:tc>
          <w:tcPr>
            <w:tcW w:type="dxa" w:w="2408"/>
            <w:tcMar>
              <w:top w:type="dxa" w:w="80"/>
              <w:left w:type="dxa" w:w="100"/>
              <w:bottom w:type="dxa" w:w="80"/>
              <w:right w:type="dxa" w:w="100"/>
            </w:tcMar>
          </w:tcPr>
          <w:p>
            <w:pPr>
              <w:pStyle w:val="Tabla"/>
            </w:pPr>
            <w:r>
              <w:t xml:space="preserve">Forma en el tiempo</w:t>
            </w:r>
          </w:p>
        </w:tc>
        <w:tc>
          <w:tcPr>
            <w:tcW w:type="dxa" w:w="2408"/>
            <w:tcMar>
              <w:top w:type="dxa" w:w="80"/>
              <w:left w:type="dxa" w:w="100"/>
              <w:bottom w:type="dxa" w:w="80"/>
              <w:right w:type="dxa" w:w="100"/>
            </w:tcMar>
          </w:tcPr>
          <w:p>
            <w:pPr>
              <w:pStyle w:val="Tabla"/>
            </w:pPr>
            <w:r>
              <w:t xml:space="preserve">Exponencial no acotado: crece o decrece sin freno, salvo que otro ciclo lo limite.</w:t>
            </w:r>
          </w:p>
        </w:tc>
        <w:tc>
          <w:tcPr>
            <w:tcW w:type="dxa" w:w="2408"/>
            <w:tcMar>
              <w:top w:type="dxa" w:w="80"/>
              <w:left w:type="dxa" w:w="100"/>
              <w:bottom w:type="dxa" w:w="80"/>
              <w:right w:type="dxa" w:w="100"/>
            </w:tcMar>
          </w:tcPr>
          <w:p>
            <w:pPr>
              <w:pStyle w:val="Tabla"/>
            </w:pPr>
            <w:r>
              <w:t xml:space="preserve">Exponencial acotado: crece o decrece hasta un límite y se mantiene, más o menos oscilatorio.</w:t>
            </w:r>
          </w:p>
        </w:tc>
        <w:tc>
          <w:tcPr>
            <w:tcW w:type="dxa" w:w="2408"/>
            <w:tcMar>
              <w:top w:type="dxa" w:w="80"/>
              <w:left w:type="dxa" w:w="100"/>
              <w:bottom w:type="dxa" w:w="80"/>
              <w:right w:type="dxa" w:w="100"/>
            </w:tcMar>
          </w:tcPr>
          <w:p>
            <w:pPr>
              <w:pStyle w:val="Tabla"/>
            </w:pPr>
            <w:r>
              <w:t xml:space="preserve">Clase 16 · 01:37:54–01:39:30 · Clase 15 · 00:23:38–00:26:06</w:t>
            </w:r>
          </w:p>
        </w:tc>
      </w:tr>
      <w:tr>
        <w:trPr>
          <w:cantSplit/>
          <w:tblHeader w:val="off"/>
        </w:trPr>
        <w:tc>
          <w:tcPr>
            <w:tcW w:type="dxa" w:w="2408"/>
            <w:tcMar>
              <w:top w:type="dxa" w:w="80"/>
              <w:left w:type="dxa" w:w="100"/>
              <w:bottom w:type="dxa" w:w="80"/>
              <w:right w:type="dxa" w:w="100"/>
            </w:tcMar>
          </w:tcPr>
          <w:p>
            <w:pPr>
              <w:pStyle w:val="Tabla"/>
            </w:pPr>
            <w:r>
              <w:t xml:space="preserve">Casos de clase</w:t>
            </w:r>
          </w:p>
        </w:tc>
        <w:tc>
          <w:tcPr>
            <w:tcW w:type="dxa" w:w="2408"/>
            <w:tcMar>
              <w:top w:type="dxa" w:w="80"/>
              <w:left w:type="dxa" w:w="100"/>
              <w:bottom w:type="dxa" w:w="80"/>
              <w:right w:type="dxa" w:w="100"/>
            </w:tcMar>
          </w:tcPr>
          <w:p>
            <w:pPr>
              <w:pStyle w:val="Tabla"/>
            </w:pPr>
            <w:r>
              <w:t xml:space="preserve">Ahorros →+ intereses →+ ahorros; el acople entre micrófono y bocina.</w:t>
            </w:r>
          </w:p>
        </w:tc>
        <w:tc>
          <w:tcPr>
            <w:tcW w:type="dxa" w:w="2408"/>
            <w:tcMar>
              <w:top w:type="dxa" w:w="80"/>
              <w:left w:type="dxa" w:w="100"/>
              <w:bottom w:type="dxa" w:w="80"/>
              <w:right w:type="dxa" w:w="100"/>
            </w:tcMar>
          </w:tcPr>
          <w:p>
            <w:pPr>
              <w:pStyle w:val="Tabla"/>
            </w:pPr>
            <w:r>
              <w:t xml:space="preserve">Hambre →+ consumo de alimentos →− hambre: «lo que está compensando es el hambre».</w:t>
            </w:r>
          </w:p>
        </w:tc>
        <w:tc>
          <w:tcPr>
            <w:tcW w:type="dxa" w:w="2408"/>
            <w:tcMar>
              <w:top w:type="dxa" w:w="80"/>
              <w:left w:type="dxa" w:w="100"/>
              <w:bottom w:type="dxa" w:w="80"/>
              <w:right w:type="dxa" w:w="100"/>
            </w:tcMar>
          </w:tcPr>
          <w:p>
            <w:pPr>
              <w:pStyle w:val="Tabla"/>
            </w:pPr>
            <w:r>
              <w:t xml:space="preserve">Clase 15 · 00:13:59–00:15:58 · Clase 15 · 00:22:31–00:23:42 · Clase 14 · 00:42:20–00:51:48</w:t>
            </w:r>
          </w:p>
        </w:tc>
      </w:tr>
      <w:tr>
        <w:trPr>
          <w:cantSplit/>
          <w:tblHeader w:val="off"/>
        </w:trPr>
        <w:tc>
          <w:tcPr>
            <w:tcW w:type="dxa" w:w="2408"/>
            <w:tcMar>
              <w:top w:type="dxa" w:w="80"/>
              <w:left w:type="dxa" w:w="100"/>
              <w:bottom w:type="dxa" w:w="80"/>
              <w:right w:type="dxa" w:w="100"/>
            </w:tcMar>
          </w:tcPr>
          <w:p>
            <w:pPr>
              <w:pStyle w:val="Tabla"/>
            </w:pPr>
            <w:r>
              <w:t xml:space="preserve">Virtuoso y vicioso</w:t>
            </w:r>
          </w:p>
        </w:tc>
        <w:tc>
          <w:tcPr>
            <w:tcW w:type="dxa" w:w="2408"/>
            <w:tcMar>
              <w:top w:type="dxa" w:w="80"/>
              <w:left w:type="dxa" w:w="100"/>
              <w:bottom w:type="dxa" w:w="80"/>
              <w:right w:type="dxa" w:w="100"/>
            </w:tcMar>
          </w:tcPr>
          <w:p>
            <w:pPr>
              <w:pStyle w:val="Tabla"/>
            </w:pPr>
            <w:r>
              <w:t xml:space="preserve">El mismo ciclo de refuerzo: virtuoso si amplifica lo favorable para el sistema, vicioso si amplifica lo desfavorable.</w:t>
            </w:r>
          </w:p>
        </w:tc>
        <w:tc>
          <w:tcPr>
            <w:tcW w:type="dxa" w:w="2408"/>
            <w:tcMar>
              <w:top w:type="dxa" w:w="80"/>
              <w:left w:type="dxa" w:w="100"/>
              <w:bottom w:type="dxa" w:w="80"/>
              <w:right w:type="dxa" w:w="100"/>
            </w:tcMar>
          </w:tcPr>
          <w:p>
            <w:pPr>
              <w:pStyle w:val="Tabla"/>
            </w:pPr>
            <w:r>
              <w:t xml:space="preserve">La distinción no se aplica: es de los ciclos de refuerzo.</w:t>
            </w:r>
          </w:p>
        </w:tc>
        <w:tc>
          <w:tcPr>
            <w:tcW w:type="dxa" w:w="2408"/>
            <w:tcMar>
              <w:top w:type="dxa" w:w="80"/>
              <w:left w:type="dxa" w:w="100"/>
              <w:bottom w:type="dxa" w:w="80"/>
              <w:right w:type="dxa" w:w="100"/>
            </w:tcMar>
          </w:tcPr>
          <w:p>
            <w:pPr>
              <w:pStyle w:val="Tabla"/>
            </w:pPr>
            <w:r>
              <w:t xml:space="preserve">Clase 14 · 01:26:29–01:31:28</w:t>
            </w:r>
          </w:p>
        </w:tc>
      </w:tr>
    </w:tbl>
    <w:p>
      <w:pPr>
        <w:pStyle w:val="Fuente"/>
      </w:pPr>
      <w:r>
        <w:t xml:space="preserve">Redactada por el portal desde las transcripciones de las clases 14 a 16; la última columna dice dónde comprobar cada fila.</w:t>
      </w:r>
    </w:p>
    <w:p>
      <w:pPr>
        <w:pStyle w:val="Heading3"/>
      </w:pPr>
      <w:bookmarkStart w:name="b_tabla_3_5_g2_lineamientos_kim" w:id="2795"/>
      <w:r>
        <w:t xml:space="preserve">Los diez lineamientos de Kim para diagramar ciclos</w:t>
      </w:r>
      <w:bookmarkEnd w:id="2795"/>
    </w:p>
    <w:tbl>
      <w:tblPr>
        <w:tblW w:type="dxa" w:w="9632"/>
        <w:tblBorders>
          <w:top w:val="single" w:color="C5D5DB" w:sz="4"/>
          <w:left w:val="single" w:color="C5D5DB" w:sz="4"/>
          <w:bottom w:val="single" w:color="C5D5DB" w:sz="4"/>
          <w:right w:val="single" w:color="C5D5DB" w:sz="4"/>
          <w:insideH w:val="single" w:color="E4E9EB" w:sz="3"/>
          <w:insideV w:val="single" w:color="E4E9EB" w:sz="3"/>
        </w:tblBorders>
        <w:tblLayout w:type="fixed"/>
      </w:tblPr>
      <w:tblGrid>
        <w:gridCol w:w="2408"/>
        <w:gridCol w:w="2408"/>
        <w:gridCol w:w="2408"/>
        <w:gridCol w:w="2408"/>
      </w:tblGrid>
      <w:tr>
        <w:trPr>
          <w:cantSplit/>
          <w:tblHeader/>
        </w:trPr>
        <w:tc>
          <w:tcPr>
            <w:tcW w:type="dxa" w:w="2408"/>
            <w:shd w:fill="DFEAF0" w:val="clear"/>
            <w:tcMar>
              <w:top w:type="dxa" w:w="80"/>
              <w:left w:type="dxa" w:w="100"/>
              <w:bottom w:type="dxa" w:w="80"/>
              <w:right w:type="dxa" w:w="100"/>
            </w:tcMar>
          </w:tcPr>
          <w:p>
            <w:pPr>
              <w:pStyle w:val="Tabla"/>
            </w:pPr>
            <w:r>
              <w:rPr>
                <w:b/>
                <w:bCs/>
              </w:rPr>
              <w:t xml:space="preserve">#</w:t>
            </w:r>
          </w:p>
        </w:tc>
        <w:tc>
          <w:tcPr>
            <w:tcW w:type="dxa" w:w="2408"/>
            <w:shd w:fill="DFEAF0" w:val="clear"/>
            <w:tcMar>
              <w:top w:type="dxa" w:w="80"/>
              <w:left w:type="dxa" w:w="100"/>
              <w:bottom w:type="dxa" w:w="80"/>
              <w:right w:type="dxa" w:w="100"/>
            </w:tcMar>
          </w:tcPr>
          <w:p>
            <w:pPr>
              <w:pStyle w:val="Tabla"/>
            </w:pPr>
            <w:r>
              <w:rPr>
                <w:b/>
                <w:bCs/>
              </w:rPr>
              <w:t xml:space="preserve">Lineamiento</w:t>
            </w:r>
          </w:p>
        </w:tc>
        <w:tc>
          <w:tcPr>
            <w:tcW w:type="dxa" w:w="2408"/>
            <w:shd w:fill="DFEAF0" w:val="clear"/>
            <w:tcMar>
              <w:top w:type="dxa" w:w="80"/>
              <w:left w:type="dxa" w:w="100"/>
              <w:bottom w:type="dxa" w:w="80"/>
              <w:right w:type="dxa" w:w="100"/>
            </w:tcMar>
          </w:tcPr>
          <w:p>
            <w:pPr>
              <w:pStyle w:val="Tabla"/>
            </w:pPr>
            <w:r>
              <w:rPr>
                <w:b/>
                <w:bCs/>
              </w:rPr>
              <w:t xml:space="preserve">Qué pide</w:t>
            </w:r>
          </w:p>
        </w:tc>
        <w:tc>
          <w:tcPr>
            <w:tcW w:type="dxa" w:w="2408"/>
            <w:shd w:fill="DFEAF0" w:val="clear"/>
            <w:tcMar>
              <w:top w:type="dxa" w:w="80"/>
              <w:left w:type="dxa" w:w="100"/>
              <w:bottom w:type="dxa" w:w="80"/>
              <w:right w:type="dxa" w:w="100"/>
            </w:tcMar>
          </w:tcPr>
          <w:p>
            <w:pPr>
              <w:pStyle w:val="Tabla"/>
            </w:pPr>
            <w:r>
              <w:rPr>
                <w:b/>
                <w:bCs/>
              </w:rPr>
              <w:t xml:space="preserve">¿Se proyectó en clase?</w:t>
            </w:r>
          </w:p>
        </w:tc>
      </w:tr>
      <w:tr>
        <w:trPr>
          <w:cantSplit/>
          <w:tblHeader w:val="off"/>
        </w:trPr>
        <w:tc>
          <w:tcPr>
            <w:tcW w:type="dxa" w:w="2408"/>
            <w:tcMar>
              <w:top w:type="dxa" w:w="80"/>
              <w:left w:type="dxa" w:w="100"/>
              <w:bottom w:type="dxa" w:w="80"/>
              <w:right w:type="dxa" w:w="100"/>
            </w:tcMar>
          </w:tcPr>
          <w:p>
            <w:pPr>
              <w:pStyle w:val="Tabla"/>
            </w:pPr>
            <w:r>
              <w:t xml:space="preserve">1</w:t>
            </w:r>
          </w:p>
        </w:tc>
        <w:tc>
          <w:tcPr>
            <w:tcW w:type="dxa" w:w="2408"/>
            <w:tcMar>
              <w:top w:type="dxa" w:w="80"/>
              <w:left w:type="dxa" w:w="100"/>
              <w:bottom w:type="dxa" w:w="80"/>
              <w:right w:type="dxa" w:w="100"/>
            </w:tcMar>
          </w:tcPr>
          <w:p>
            <w:pPr>
              <w:pStyle w:val="Tabla"/>
            </w:pPr>
            <w:r>
              <w:t xml:space="preserve">Sustantivos, no verbos</w:t>
            </w:r>
          </w:p>
        </w:tc>
        <w:tc>
          <w:tcPr>
            <w:tcW w:type="dxa" w:w="2408"/>
            <w:tcMar>
              <w:top w:type="dxa" w:w="80"/>
              <w:left w:type="dxa" w:w="100"/>
              <w:bottom w:type="dxa" w:w="80"/>
              <w:right w:type="dxa" w:w="100"/>
            </w:tcMar>
          </w:tcPr>
          <w:p>
            <w:pPr>
              <w:pStyle w:val="Tabla"/>
            </w:pPr>
            <w:r>
              <w:t xml:space="preserve">Use sustantivos al nombrar una variable y evite verbos y frases de acción: las acciones ya están implícitas en las flechas.</w:t>
            </w:r>
          </w:p>
        </w:tc>
        <w:tc>
          <w:tcPr>
            <w:tcW w:type="dxa" w:w="2408"/>
            <w:tcMar>
              <w:top w:type="dxa" w:w="80"/>
              <w:left w:type="dxa" w:w="100"/>
              <w:bottom w:type="dxa" w:w="80"/>
              <w:right w:type="dxa" w:w="100"/>
            </w:tcMar>
          </w:tcPr>
          <w:p>
            <w:pPr>
              <w:pStyle w:val="Tabla"/>
            </w:pPr>
            <w:r>
              <w:t xml:space="preserve">Sólo en la lectura</w:t>
            </w:r>
          </w:p>
        </w:tc>
      </w:tr>
      <w:tr>
        <w:trPr>
          <w:cantSplit/>
          <w:tblHeader w:val="off"/>
        </w:trPr>
        <w:tc>
          <w:tcPr>
            <w:tcW w:type="dxa" w:w="2408"/>
            <w:tcMar>
              <w:top w:type="dxa" w:w="80"/>
              <w:left w:type="dxa" w:w="100"/>
              <w:bottom w:type="dxa" w:w="80"/>
              <w:right w:type="dxa" w:w="100"/>
            </w:tcMar>
          </w:tcPr>
          <w:p>
            <w:pPr>
              <w:pStyle w:val="Tabla"/>
            </w:pPr>
            <w:r>
              <w:t xml:space="preserve">2</w:t>
            </w:r>
          </w:p>
        </w:tc>
        <w:tc>
          <w:tcPr>
            <w:tcW w:type="dxa" w:w="2408"/>
            <w:tcMar>
              <w:top w:type="dxa" w:w="80"/>
              <w:left w:type="dxa" w:w="100"/>
              <w:bottom w:type="dxa" w:w="80"/>
              <w:right w:type="dxa" w:w="100"/>
            </w:tcMar>
          </w:tcPr>
          <w:p>
            <w:pPr>
              <w:pStyle w:val="Tabla"/>
            </w:pPr>
            <w:r>
              <w:t xml:space="preserve">Cantidades que varían</w:t>
            </w:r>
          </w:p>
        </w:tc>
        <w:tc>
          <w:tcPr>
            <w:tcW w:type="dxa" w:w="2408"/>
            <w:tcMar>
              <w:top w:type="dxa" w:w="80"/>
              <w:left w:type="dxa" w:w="100"/>
              <w:bottom w:type="dxa" w:w="80"/>
              <w:right w:type="dxa" w:w="100"/>
            </w:tcMar>
          </w:tcPr>
          <w:p>
            <w:pPr>
              <w:pStyle w:val="Tabla"/>
            </w:pPr>
            <w:r>
              <w:t xml:space="preserve">Use variables que representen cantidades que puedan variar en el tiempo.</w:t>
            </w:r>
          </w:p>
        </w:tc>
        <w:tc>
          <w:tcPr>
            <w:tcW w:type="dxa" w:w="2408"/>
            <w:tcMar>
              <w:top w:type="dxa" w:w="80"/>
              <w:left w:type="dxa" w:w="100"/>
              <w:bottom w:type="dxa" w:w="80"/>
              <w:right w:type="dxa" w:w="100"/>
            </w:tcMar>
          </w:tcPr>
          <w:p>
            <w:pPr>
              <w:pStyle w:val="Tabla"/>
            </w:pPr>
            <w:r>
              <w:t xml:space="preserve">Sólo en la lectura</w:t>
            </w:r>
          </w:p>
        </w:tc>
      </w:tr>
      <w:tr>
        <w:trPr>
          <w:cantSplit/>
          <w:tblHeader w:val="off"/>
        </w:trPr>
        <w:tc>
          <w:tcPr>
            <w:tcW w:type="dxa" w:w="2408"/>
            <w:tcMar>
              <w:top w:type="dxa" w:w="80"/>
              <w:left w:type="dxa" w:w="100"/>
              <w:bottom w:type="dxa" w:w="80"/>
              <w:right w:type="dxa" w:w="100"/>
            </w:tcMar>
          </w:tcPr>
          <w:p>
            <w:pPr>
              <w:pStyle w:val="Tabla"/>
            </w:pPr>
            <w:r>
              <w:t xml:space="preserve">3</w:t>
            </w:r>
          </w:p>
        </w:tc>
        <w:tc>
          <w:tcPr>
            <w:tcW w:type="dxa" w:w="2408"/>
            <w:tcMar>
              <w:top w:type="dxa" w:w="80"/>
              <w:left w:type="dxa" w:w="100"/>
              <w:bottom w:type="dxa" w:w="80"/>
              <w:right w:type="dxa" w:w="100"/>
            </w:tcMar>
          </w:tcPr>
          <w:p>
            <w:pPr>
              <w:pStyle w:val="Tabla"/>
            </w:pPr>
            <w:r>
              <w:t xml:space="preserve">El sentido positivo</w:t>
            </w:r>
          </w:p>
        </w:tc>
        <w:tc>
          <w:tcPr>
            <w:tcW w:type="dxa" w:w="2408"/>
            <w:tcMar>
              <w:top w:type="dxa" w:w="80"/>
              <w:left w:type="dxa" w:w="100"/>
              <w:bottom w:type="dxa" w:w="80"/>
              <w:right w:type="dxa" w:w="100"/>
            </w:tcMar>
          </w:tcPr>
          <w:p>
            <w:pPr>
              <w:pStyle w:val="Tabla"/>
            </w:pPr>
            <w:r>
              <w:t xml:space="preserve">Si necesita incluir verbos, use el sentido positivo de la variable.</w:t>
            </w:r>
          </w:p>
        </w:tc>
        <w:tc>
          <w:tcPr>
            <w:tcW w:type="dxa" w:w="2408"/>
            <w:tcMar>
              <w:top w:type="dxa" w:w="80"/>
              <w:left w:type="dxa" w:w="100"/>
              <w:bottom w:type="dxa" w:w="80"/>
              <w:right w:type="dxa" w:w="100"/>
            </w:tcMar>
          </w:tcPr>
          <w:p>
            <w:pPr>
              <w:pStyle w:val="Tabla"/>
            </w:pPr>
            <w:r>
              <w:t xml:space="preserve">Sólo en la lectura</w:t>
            </w:r>
          </w:p>
        </w:tc>
      </w:tr>
      <w:tr>
        <w:trPr>
          <w:cantSplit/>
          <w:tblHeader w:val="off"/>
        </w:trPr>
        <w:tc>
          <w:tcPr>
            <w:tcW w:type="dxa" w:w="2408"/>
            <w:tcMar>
              <w:top w:type="dxa" w:w="80"/>
              <w:left w:type="dxa" w:w="100"/>
              <w:bottom w:type="dxa" w:w="80"/>
              <w:right w:type="dxa" w:w="100"/>
            </w:tcMar>
          </w:tcPr>
          <w:p>
            <w:pPr>
              <w:pStyle w:val="Tabla"/>
            </w:pPr>
            <w:r>
              <w:t xml:space="preserve">4</w:t>
            </w:r>
          </w:p>
        </w:tc>
        <w:tc>
          <w:tcPr>
            <w:tcW w:type="dxa" w:w="2408"/>
            <w:tcMar>
              <w:top w:type="dxa" w:w="80"/>
              <w:left w:type="dxa" w:w="100"/>
              <w:bottom w:type="dxa" w:w="80"/>
              <w:right w:type="dxa" w:w="100"/>
            </w:tcMar>
          </w:tcPr>
          <w:p>
            <w:pPr>
              <w:pStyle w:val="Tabla"/>
            </w:pPr>
            <w:r>
              <w:t xml:space="preserve">Consecuencias no intencionadas</w:t>
            </w:r>
          </w:p>
        </w:tc>
        <w:tc>
          <w:tcPr>
            <w:tcW w:type="dxa" w:w="2408"/>
            <w:tcMar>
              <w:top w:type="dxa" w:w="80"/>
              <w:left w:type="dxa" w:w="100"/>
              <w:bottom w:type="dxa" w:w="80"/>
              <w:right w:type="dxa" w:w="100"/>
            </w:tcMar>
          </w:tcPr>
          <w:p>
            <w:pPr>
              <w:pStyle w:val="Tabla"/>
            </w:pPr>
            <w:r>
              <w:t xml:space="preserve">Piense tanto en las consecuencias no intencionadas como en los resultados esperados de cada curso de acción que incluya.</w:t>
            </w:r>
          </w:p>
        </w:tc>
        <w:tc>
          <w:tcPr>
            <w:tcW w:type="dxa" w:w="2408"/>
            <w:tcMar>
              <w:top w:type="dxa" w:w="80"/>
              <w:left w:type="dxa" w:w="100"/>
              <w:bottom w:type="dxa" w:w="80"/>
              <w:right w:type="dxa" w:w="100"/>
            </w:tcMar>
          </w:tcPr>
          <w:p>
            <w:pPr>
              <w:pStyle w:val="Tabla"/>
            </w:pPr>
            <w:r>
              <w:t xml:space="preserve">Sólo en la lectura</w:t>
            </w:r>
          </w:p>
        </w:tc>
      </w:tr>
      <w:tr>
        <w:trPr>
          <w:cantSplit/>
          <w:tblHeader w:val="off"/>
        </w:trPr>
        <w:tc>
          <w:tcPr>
            <w:tcW w:type="dxa" w:w="2408"/>
            <w:tcMar>
              <w:top w:type="dxa" w:w="80"/>
              <w:left w:type="dxa" w:w="100"/>
              <w:bottom w:type="dxa" w:w="80"/>
              <w:right w:type="dxa" w:w="100"/>
            </w:tcMar>
          </w:tcPr>
          <w:p>
            <w:pPr>
              <w:pStyle w:val="Tabla"/>
            </w:pPr>
            <w:r>
              <w:t xml:space="preserve">5</w:t>
            </w:r>
          </w:p>
        </w:tc>
        <w:tc>
          <w:tcPr>
            <w:tcW w:type="dxa" w:w="2408"/>
            <w:tcMar>
              <w:top w:type="dxa" w:w="80"/>
              <w:left w:type="dxa" w:w="100"/>
              <w:bottom w:type="dxa" w:w="80"/>
              <w:right w:type="dxa" w:w="100"/>
            </w:tcMar>
          </w:tcPr>
          <w:p>
            <w:pPr>
              <w:pStyle w:val="Tabla"/>
            </w:pPr>
            <w:r>
              <w:t xml:space="preserve">El objetivo explícito</w:t>
            </w:r>
          </w:p>
        </w:tc>
        <w:tc>
          <w:tcPr>
            <w:tcW w:type="dxa" w:w="2408"/>
            <w:tcMar>
              <w:top w:type="dxa" w:w="80"/>
              <w:left w:type="dxa" w:w="100"/>
              <w:bottom w:type="dxa" w:w="80"/>
              <w:right w:type="dxa" w:w="100"/>
            </w:tcMar>
          </w:tcPr>
          <w:p>
            <w:pPr>
              <w:pStyle w:val="Tabla"/>
            </w:pPr>
            <w:r>
              <w:t xml:space="preserve">Todos los ciclos de balance son procesos que buscan un objetivo: haga explícitos los objetivos que controlan el ciclo.</w:t>
            </w:r>
          </w:p>
        </w:tc>
        <w:tc>
          <w:tcPr>
            <w:tcW w:type="dxa" w:w="2408"/>
            <w:tcMar>
              <w:top w:type="dxa" w:w="80"/>
              <w:left w:type="dxa" w:w="100"/>
              <w:bottom w:type="dxa" w:w="80"/>
              <w:right w:type="dxa" w:w="100"/>
            </w:tcMar>
          </w:tcPr>
          <w:p>
            <w:pPr>
              <w:pStyle w:val="Tabla"/>
            </w:pPr>
            <w:r>
              <w:t xml:space="preserve">Sólo en la lectura</w:t>
            </w:r>
          </w:p>
        </w:tc>
      </w:tr>
      <w:tr>
        <w:trPr>
          <w:cantSplit/>
          <w:tblHeader w:val="off"/>
        </w:trPr>
        <w:tc>
          <w:tcPr>
            <w:tcW w:type="dxa" w:w="2408"/>
            <w:tcMar>
              <w:top w:type="dxa" w:w="80"/>
              <w:left w:type="dxa" w:w="100"/>
              <w:bottom w:type="dxa" w:w="80"/>
              <w:right w:type="dxa" w:w="100"/>
            </w:tcMar>
          </w:tcPr>
          <w:p>
            <w:pPr>
              <w:pStyle w:val="Tabla"/>
            </w:pPr>
            <w:r>
              <w:t xml:space="preserve">6</w:t>
            </w:r>
          </w:p>
        </w:tc>
        <w:tc>
          <w:tcPr>
            <w:tcW w:type="dxa" w:w="2408"/>
            <w:tcMar>
              <w:top w:type="dxa" w:w="80"/>
              <w:left w:type="dxa" w:w="100"/>
              <w:bottom w:type="dxa" w:w="80"/>
              <w:right w:type="dxa" w:w="100"/>
            </w:tcMar>
          </w:tcPr>
          <w:p>
            <w:pPr>
              <w:pStyle w:val="Tabla"/>
            </w:pPr>
            <w:r>
              <w:t xml:space="preserve">Real y percibido</w:t>
            </w:r>
          </w:p>
        </w:tc>
        <w:tc>
          <w:tcPr>
            <w:tcW w:type="dxa" w:w="2408"/>
            <w:tcMar>
              <w:top w:type="dxa" w:w="80"/>
              <w:left w:type="dxa" w:w="100"/>
              <w:bottom w:type="dxa" w:w="80"/>
              <w:right w:type="dxa" w:w="100"/>
            </w:tcMar>
          </w:tcPr>
          <w:p>
            <w:pPr>
              <w:pStyle w:val="Tabla"/>
            </w:pPr>
            <w:r>
              <w:t xml:space="preserve">Distinga entre los estados reales y los percibidos: las percepciones cambian más lentamente que la realidad, y suponer que la percepción es…</w:t>
            </w:r>
          </w:p>
        </w:tc>
        <w:tc>
          <w:tcPr>
            <w:tcW w:type="dxa" w:w="2408"/>
            <w:tcMar>
              <w:top w:type="dxa" w:w="80"/>
              <w:left w:type="dxa" w:w="100"/>
              <w:bottom w:type="dxa" w:w="80"/>
              <w:right w:type="dxa" w:w="100"/>
            </w:tcMar>
          </w:tcPr>
          <w:p>
            <w:pPr>
              <w:pStyle w:val="Tabla"/>
            </w:pPr>
            <w:r>
              <w:t xml:space="preserve">Sólo en la lectura</w:t>
            </w:r>
          </w:p>
        </w:tc>
      </w:tr>
      <w:tr>
        <w:trPr>
          <w:cantSplit/>
          <w:tblHeader w:val="off"/>
        </w:trPr>
        <w:tc>
          <w:tcPr>
            <w:tcW w:type="dxa" w:w="2408"/>
            <w:tcMar>
              <w:top w:type="dxa" w:w="80"/>
              <w:left w:type="dxa" w:w="100"/>
              <w:bottom w:type="dxa" w:w="80"/>
              <w:right w:type="dxa" w:w="100"/>
            </w:tcMar>
          </w:tcPr>
          <w:p>
            <w:pPr>
              <w:pStyle w:val="Tabla"/>
            </w:pPr>
            <w:r>
              <w:t xml:space="preserve">7</w:t>
            </w:r>
          </w:p>
        </w:tc>
        <w:tc>
          <w:tcPr>
            <w:tcW w:type="dxa" w:w="2408"/>
            <w:tcMar>
              <w:top w:type="dxa" w:w="80"/>
              <w:left w:type="dxa" w:w="100"/>
              <w:bottom w:type="dxa" w:w="80"/>
              <w:right w:type="dxa" w:w="100"/>
            </w:tcMar>
          </w:tcPr>
          <w:p>
            <w:pPr>
              <w:pStyle w:val="Tabla"/>
            </w:pPr>
            <w:r>
              <w:t xml:space="preserve">Agregar mientras se termina</w:t>
            </w:r>
          </w:p>
        </w:tc>
        <w:tc>
          <w:tcPr>
            <w:tcW w:type="dxa" w:w="2408"/>
            <w:tcMar>
              <w:top w:type="dxa" w:w="80"/>
              <w:left w:type="dxa" w:w="100"/>
              <w:bottom w:type="dxa" w:w="80"/>
              <w:right w:type="dxa" w:w="100"/>
            </w:tcMar>
          </w:tcPr>
          <w:p>
            <w:pPr>
              <w:pStyle w:val="Tabla"/>
            </w:pPr>
            <w:r>
              <w:t xml:space="preserve">Si una variable tiene múltiples consecuencias, empiece por agregarlas en un solo término mientras termina el resto del ciclo.</w:t>
            </w:r>
          </w:p>
        </w:tc>
        <w:tc>
          <w:tcPr>
            <w:tcW w:type="dxa" w:w="2408"/>
            <w:tcMar>
              <w:top w:type="dxa" w:w="80"/>
              <w:left w:type="dxa" w:w="100"/>
              <w:bottom w:type="dxa" w:w="80"/>
              <w:right w:type="dxa" w:w="100"/>
            </w:tcMar>
          </w:tcPr>
          <w:p>
            <w:pPr>
              <w:pStyle w:val="Tabla"/>
            </w:pPr>
            <w:r>
              <w:t xml:space="preserve">Sólo en la lectura</w:t>
            </w:r>
          </w:p>
        </w:tc>
      </w:tr>
      <w:tr>
        <w:trPr>
          <w:cantSplit/>
          <w:tblHeader w:val="off"/>
        </w:trPr>
        <w:tc>
          <w:tcPr>
            <w:tcW w:type="dxa" w:w="2408"/>
            <w:tcMar>
              <w:top w:type="dxa" w:w="80"/>
              <w:left w:type="dxa" w:w="100"/>
              <w:bottom w:type="dxa" w:w="80"/>
              <w:right w:type="dxa" w:w="100"/>
            </w:tcMar>
          </w:tcPr>
          <w:p>
            <w:pPr>
              <w:pStyle w:val="Tabla"/>
            </w:pPr>
            <w:r>
              <w:t xml:space="preserve">8</w:t>
            </w:r>
          </w:p>
        </w:tc>
        <w:tc>
          <w:tcPr>
            <w:tcW w:type="dxa" w:w="2408"/>
            <w:tcMar>
              <w:top w:type="dxa" w:w="80"/>
              <w:left w:type="dxa" w:w="100"/>
              <w:bottom w:type="dxa" w:w="80"/>
              <w:right w:type="dxa" w:w="100"/>
            </w:tcMar>
          </w:tcPr>
          <w:p>
            <w:pPr>
              <w:pStyle w:val="Tabla"/>
            </w:pPr>
            <w:r>
              <w:t xml:space="preserve">Corto y largo plazo</w:t>
            </w:r>
          </w:p>
        </w:tc>
        <w:tc>
          <w:tcPr>
            <w:tcW w:type="dxa" w:w="2408"/>
            <w:tcMar>
              <w:top w:type="dxa" w:w="80"/>
              <w:left w:type="dxa" w:w="100"/>
              <w:bottom w:type="dxa" w:w="80"/>
              <w:right w:type="dxa" w:w="100"/>
            </w:tcMar>
          </w:tcPr>
          <w:p>
            <w:pPr>
              <w:pStyle w:val="Tabla"/>
            </w:pPr>
            <w:r>
              <w:t xml:space="preserve">Las acciones casi siempre tienen consecuencias de corto y de largo plazo: dibuje ciclos más grandes para los procesos más lentos.</w:t>
            </w:r>
          </w:p>
        </w:tc>
        <w:tc>
          <w:tcPr>
            <w:tcW w:type="dxa" w:w="2408"/>
            <w:tcMar>
              <w:top w:type="dxa" w:w="80"/>
              <w:left w:type="dxa" w:w="100"/>
              <w:bottom w:type="dxa" w:w="80"/>
              <w:right w:type="dxa" w:w="100"/>
            </w:tcMar>
          </w:tcPr>
          <w:p>
            <w:pPr>
              <w:pStyle w:val="Tabla"/>
            </w:pPr>
            <w:r>
              <w:t xml:space="preserve">Sólo en la lectura</w:t>
            </w:r>
          </w:p>
        </w:tc>
      </w:tr>
      <w:tr>
        <w:trPr>
          <w:cantSplit/>
          <w:tblHeader w:val="off"/>
        </w:trPr>
        <w:tc>
          <w:tcPr>
            <w:tcW w:type="dxa" w:w="2408"/>
            <w:tcMar>
              <w:top w:type="dxa" w:w="80"/>
              <w:left w:type="dxa" w:w="100"/>
              <w:bottom w:type="dxa" w:w="80"/>
              <w:right w:type="dxa" w:w="100"/>
            </w:tcMar>
          </w:tcPr>
          <w:p>
            <w:pPr>
              <w:pStyle w:val="Tabla"/>
            </w:pPr>
            <w:r>
              <w:t xml:space="preserve">9</w:t>
            </w:r>
          </w:p>
        </w:tc>
        <w:tc>
          <w:tcPr>
            <w:tcW w:type="dxa" w:w="2408"/>
            <w:tcMar>
              <w:top w:type="dxa" w:w="80"/>
              <w:left w:type="dxa" w:w="100"/>
              <w:bottom w:type="dxa" w:w="80"/>
              <w:right w:type="dxa" w:w="100"/>
            </w:tcMar>
          </w:tcPr>
          <w:p>
            <w:pPr>
              <w:pStyle w:val="Tabla"/>
            </w:pPr>
            <w:r>
              <w:t xml:space="preserve">Un término intermedio</w:t>
            </w:r>
          </w:p>
        </w:tc>
        <w:tc>
          <w:tcPr>
            <w:tcW w:type="dxa" w:w="2408"/>
            <w:tcMar>
              <w:top w:type="dxa" w:w="80"/>
              <w:left w:type="dxa" w:w="100"/>
              <w:bottom w:type="dxa" w:w="80"/>
              <w:right w:type="dxa" w:w="100"/>
            </w:tcMar>
          </w:tcPr>
          <w:p>
            <w:pPr>
              <w:pStyle w:val="Tabla"/>
            </w:pPr>
            <w:r>
              <w:t xml:space="preserve">Si una liga entre dos términos requiere muchas explicaciones para quedar clara, redefina las variables o inserte un término intermedio.</w:t>
            </w:r>
          </w:p>
        </w:tc>
        <w:tc>
          <w:tcPr>
            <w:tcW w:type="dxa" w:w="2408"/>
            <w:tcMar>
              <w:top w:type="dxa" w:w="80"/>
              <w:left w:type="dxa" w:w="100"/>
              <w:bottom w:type="dxa" w:w="80"/>
              <w:right w:type="dxa" w:w="100"/>
            </w:tcMar>
          </w:tcPr>
          <w:p>
            <w:pPr>
              <w:pStyle w:val="Tabla"/>
            </w:pPr>
            <w:r>
              <w:t xml:space="preserve">Sí, clase 16</w:t>
            </w:r>
          </w:p>
        </w:tc>
      </w:tr>
      <w:tr>
        <w:trPr>
          <w:cantSplit/>
          <w:tblHeader w:val="off"/>
        </w:trPr>
        <w:tc>
          <w:tcPr>
            <w:tcW w:type="dxa" w:w="2408"/>
            <w:tcMar>
              <w:top w:type="dxa" w:w="80"/>
              <w:left w:type="dxa" w:w="100"/>
              <w:bottom w:type="dxa" w:w="80"/>
              <w:right w:type="dxa" w:w="100"/>
            </w:tcMar>
          </w:tcPr>
          <w:p>
            <w:pPr>
              <w:pStyle w:val="Tabla"/>
            </w:pPr>
            <w:r>
              <w:t xml:space="preserve">10</w:t>
            </w:r>
          </w:p>
        </w:tc>
        <w:tc>
          <w:tcPr>
            <w:tcW w:type="dxa" w:w="2408"/>
            <w:tcMar>
              <w:top w:type="dxa" w:w="80"/>
              <w:left w:type="dxa" w:w="100"/>
              <w:bottom w:type="dxa" w:w="80"/>
              <w:right w:type="dxa" w:w="100"/>
            </w:tcMar>
          </w:tcPr>
          <w:p>
            <w:pPr>
              <w:pStyle w:val="Tabla"/>
            </w:pPr>
            <w:r>
              <w:t xml:space="preserve">Contar los negativos y releer</w:t>
            </w:r>
          </w:p>
        </w:tc>
        <w:tc>
          <w:tcPr>
            <w:tcW w:type="dxa" w:w="2408"/>
            <w:tcMar>
              <w:top w:type="dxa" w:w="80"/>
              <w:left w:type="dxa" w:w="100"/>
              <w:bottom w:type="dxa" w:w="80"/>
              <w:right w:type="dxa" w:w="100"/>
            </w:tcMar>
          </w:tcPr>
          <w:p>
            <w:pPr>
              <w:pStyle w:val="Tabla"/>
            </w:pPr>
            <w:r>
              <w:t xml:space="preserve">Para saber si un ciclo es de balance o de refuerzo cuente los signos negativos: un número impar indica balance; par o ninguno, refuerzo.…</w:t>
            </w:r>
          </w:p>
        </w:tc>
        <w:tc>
          <w:tcPr>
            <w:tcW w:type="dxa" w:w="2408"/>
            <w:tcMar>
              <w:top w:type="dxa" w:w="80"/>
              <w:left w:type="dxa" w:w="100"/>
              <w:bottom w:type="dxa" w:w="80"/>
              <w:right w:type="dxa" w:w="100"/>
            </w:tcMar>
          </w:tcPr>
          <w:p>
            <w:pPr>
              <w:pStyle w:val="Tabla"/>
            </w:pPr>
            <w:r>
              <w:t xml:space="preserve">Sí, clase 16</w:t>
            </w:r>
          </w:p>
        </w:tc>
      </w:tr>
    </w:tbl>
    <w:p>
      <w:pPr>
        <w:pStyle w:val="Fuente"/>
      </w:pPr>
      <w:r>
        <w:t xml:space="preserve">Lectura L-9 (Daniel H. Kim), compartida para el parcial. La clase 16 proyectó la lámina c16-06 con los lineamientos marcados en la columna de la derecha.</w:t>
      </w:r>
    </w:p>
    <w:p>
      <w:pPr>
        <w:pStyle w:val="Heading3"/>
      </w:pPr>
      <w:bookmarkStart w:name="b_tabla_3_5_g2_niveles_realimentacion" w:id="2796"/>
      <w:r>
        <w:t xml:space="preserve">De la variable al sistema de realimentación</w:t>
      </w:r>
      <w:bookmarkEnd w:id="2796"/>
    </w:p>
    <w:tbl>
      <w:tblPr>
        <w:tblW w:type="dxa" w:w="9632"/>
        <w:tblBorders>
          <w:top w:val="single" w:color="C5D5DB" w:sz="4"/>
          <w:left w:val="single" w:color="C5D5DB" w:sz="4"/>
          <w:bottom w:val="single" w:color="C5D5DB" w:sz="4"/>
          <w:right w:val="single" w:color="C5D5DB" w:sz="4"/>
          <w:insideH w:val="single" w:color="E4E9EB" w:sz="3"/>
          <w:insideV w:val="single" w:color="E4E9EB" w:sz="3"/>
        </w:tblBorders>
        <w:tblLayout w:type="fixed"/>
      </w:tblPr>
      <w:tblGrid>
        <w:gridCol w:w="2408"/>
        <w:gridCol w:w="2408"/>
        <w:gridCol w:w="2408"/>
        <w:gridCol w:w="2408"/>
      </w:tblGrid>
      <w:tr>
        <w:trPr>
          <w:cantSplit/>
          <w:tblHeader/>
        </w:trPr>
        <w:tc>
          <w:tcPr>
            <w:tcW w:type="dxa" w:w="2408"/>
            <w:shd w:fill="DFEAF0" w:val="clear"/>
            <w:tcMar>
              <w:top w:type="dxa" w:w="80"/>
              <w:left w:type="dxa" w:w="100"/>
              <w:bottom w:type="dxa" w:w="80"/>
              <w:right w:type="dxa" w:w="100"/>
            </w:tcMar>
          </w:tcPr>
          <w:p>
            <w:pPr>
              <w:pStyle w:val="Tabla"/>
            </w:pPr>
            <w:r>
              <w:rPr>
                <w:b/>
                <w:bCs/>
              </w:rPr>
              <w:t xml:space="preserve">#</w:t>
            </w:r>
          </w:p>
        </w:tc>
        <w:tc>
          <w:tcPr>
            <w:tcW w:type="dxa" w:w="2408"/>
            <w:shd w:fill="DFEAF0" w:val="clear"/>
            <w:tcMar>
              <w:top w:type="dxa" w:w="80"/>
              <w:left w:type="dxa" w:w="100"/>
              <w:bottom w:type="dxa" w:w="80"/>
              <w:right w:type="dxa" w:w="100"/>
            </w:tcMar>
          </w:tcPr>
          <w:p>
            <w:pPr>
              <w:pStyle w:val="Tabla"/>
            </w:pPr>
            <w:r>
              <w:rPr>
                <w:b/>
                <w:bCs/>
              </w:rPr>
              <w:t xml:space="preserve">Nivel</w:t>
            </w:r>
          </w:p>
        </w:tc>
        <w:tc>
          <w:tcPr>
            <w:tcW w:type="dxa" w:w="2408"/>
            <w:shd w:fill="DFEAF0" w:val="clear"/>
            <w:tcMar>
              <w:top w:type="dxa" w:w="80"/>
              <w:left w:type="dxa" w:w="100"/>
              <w:bottom w:type="dxa" w:w="80"/>
              <w:right w:type="dxa" w:w="100"/>
            </w:tcMar>
          </w:tcPr>
          <w:p>
            <w:pPr>
              <w:pStyle w:val="Tabla"/>
            </w:pPr>
            <w:r>
              <w:rPr>
                <w:b/>
                <w:bCs/>
              </w:rPr>
              <w:t xml:space="preserve">Qué es</w:t>
            </w:r>
          </w:p>
        </w:tc>
        <w:tc>
          <w:tcPr>
            <w:tcW w:type="dxa" w:w="2408"/>
            <w:shd w:fill="DFEAF0" w:val="clear"/>
            <w:tcMar>
              <w:top w:type="dxa" w:w="80"/>
              <w:left w:type="dxa" w:w="100"/>
              <w:bottom w:type="dxa" w:w="80"/>
              <w:right w:type="dxa" w:w="100"/>
            </w:tcMar>
          </w:tcPr>
          <w:p>
            <w:pPr>
              <w:pStyle w:val="Tabla"/>
            </w:pPr>
            <w:r>
              <w:rPr>
                <w:b/>
                <w:bCs/>
              </w:rPr>
              <w:t xml:space="preserve">Ejemplo de las autopistas</w:t>
            </w:r>
          </w:p>
        </w:tc>
      </w:tr>
      <w:tr>
        <w:trPr>
          <w:cantSplit/>
          <w:tblHeader w:val="off"/>
        </w:trPr>
        <w:tc>
          <w:tcPr>
            <w:tcW w:type="dxa" w:w="2408"/>
            <w:tcMar>
              <w:top w:type="dxa" w:w="80"/>
              <w:left w:type="dxa" w:w="100"/>
              <w:bottom w:type="dxa" w:w="80"/>
              <w:right w:type="dxa" w:w="100"/>
            </w:tcMar>
          </w:tcPr>
          <w:p>
            <w:pPr>
              <w:pStyle w:val="Tabla"/>
            </w:pPr>
            <w:r>
              <w:t xml:space="preserve">1</w:t>
            </w:r>
          </w:p>
        </w:tc>
        <w:tc>
          <w:tcPr>
            <w:tcW w:type="dxa" w:w="2408"/>
            <w:tcMar>
              <w:top w:type="dxa" w:w="80"/>
              <w:left w:type="dxa" w:w="100"/>
              <w:bottom w:type="dxa" w:w="80"/>
              <w:right w:type="dxa" w:w="100"/>
            </w:tcMar>
          </w:tcPr>
          <w:p>
            <w:pPr>
              <w:pStyle w:val="Tabla"/>
            </w:pPr>
            <w:r>
              <w:t xml:space="preserve">La variable</w:t>
            </w:r>
          </w:p>
        </w:tc>
        <w:tc>
          <w:tcPr>
            <w:tcW w:type="dxa" w:w="2408"/>
            <w:tcMar>
              <w:top w:type="dxa" w:w="80"/>
              <w:left w:type="dxa" w:w="100"/>
              <w:bottom w:type="dxa" w:w="80"/>
              <w:right w:type="dxa" w:w="100"/>
            </w:tcMar>
          </w:tcPr>
          <w:p>
            <w:pPr>
              <w:pStyle w:val="Tabla"/>
            </w:pPr>
            <w:r>
              <w:t xml:space="preserve">Una cantidad del sistema que puede subir o bajar.</w:t>
            </w:r>
          </w:p>
        </w:tc>
        <w:tc>
          <w:tcPr>
            <w:tcW w:type="dxa" w:w="2408"/>
            <w:tcMar>
              <w:top w:type="dxa" w:w="80"/>
              <w:left w:type="dxa" w:w="100"/>
              <w:bottom w:type="dxa" w:w="80"/>
              <w:right w:type="dxa" w:w="100"/>
            </w:tcMar>
          </w:tcPr>
          <w:p>
            <w:pPr>
              <w:pStyle w:val="Tabla"/>
            </w:pPr>
            <w:r>
              <w:t xml:space="preserve">Autopistas: los kilómetros de autopista en servicio.</w:t>
            </w:r>
          </w:p>
        </w:tc>
      </w:tr>
      <w:tr>
        <w:trPr>
          <w:cantSplit/>
          <w:tblHeader w:val="off"/>
        </w:trPr>
        <w:tc>
          <w:tcPr>
            <w:tcW w:type="dxa" w:w="2408"/>
            <w:tcMar>
              <w:top w:type="dxa" w:w="80"/>
              <w:left w:type="dxa" w:w="100"/>
              <w:bottom w:type="dxa" w:w="80"/>
              <w:right w:type="dxa" w:w="100"/>
            </w:tcMar>
          </w:tcPr>
          <w:p>
            <w:pPr>
              <w:pStyle w:val="Tabla"/>
            </w:pPr>
            <w:r>
              <w:t xml:space="preserve">2</w:t>
            </w:r>
          </w:p>
        </w:tc>
        <w:tc>
          <w:tcPr>
            <w:tcW w:type="dxa" w:w="2408"/>
            <w:tcMar>
              <w:top w:type="dxa" w:w="80"/>
              <w:left w:type="dxa" w:w="100"/>
              <w:bottom w:type="dxa" w:w="80"/>
              <w:right w:type="dxa" w:w="100"/>
            </w:tcMar>
          </w:tcPr>
          <w:p>
            <w:pPr>
              <w:pStyle w:val="Tabla"/>
            </w:pPr>
            <w:r>
              <w:t xml:space="preserve">La influencia</w:t>
            </w:r>
          </w:p>
        </w:tc>
        <w:tc>
          <w:tcPr>
            <w:tcW w:type="dxa" w:w="2408"/>
            <w:tcMar>
              <w:top w:type="dxa" w:w="80"/>
              <w:left w:type="dxa" w:w="100"/>
              <w:bottom w:type="dxa" w:w="80"/>
              <w:right w:type="dxa" w:w="100"/>
            </w:tcMar>
          </w:tcPr>
          <w:p>
            <w:pPr>
              <w:pStyle w:val="Tabla"/>
            </w:pPr>
            <w:r>
              <w:t xml:space="preserve">La relación entre dos variables.</w:t>
            </w:r>
          </w:p>
        </w:tc>
        <w:tc>
          <w:tcPr>
            <w:tcW w:type="dxa" w:w="2408"/>
            <w:tcMar>
              <w:top w:type="dxa" w:w="80"/>
              <w:left w:type="dxa" w:w="100"/>
              <w:bottom w:type="dxa" w:w="80"/>
              <w:right w:type="dxa" w:w="100"/>
            </w:tcMar>
          </w:tcPr>
          <w:p>
            <w:pPr>
              <w:pStyle w:val="Tabla"/>
            </w:pPr>
            <w:r>
              <w:t xml:space="preserve">A más autopistas, más ingresos de autopistas: influencia positiva.</w:t>
            </w:r>
          </w:p>
        </w:tc>
      </w:tr>
      <w:tr>
        <w:trPr>
          <w:cantSplit/>
          <w:tblHeader w:val="off"/>
        </w:trPr>
        <w:tc>
          <w:tcPr>
            <w:tcW w:type="dxa" w:w="2408"/>
            <w:tcMar>
              <w:top w:type="dxa" w:w="80"/>
              <w:left w:type="dxa" w:w="100"/>
              <w:bottom w:type="dxa" w:w="80"/>
              <w:right w:type="dxa" w:w="100"/>
            </w:tcMar>
          </w:tcPr>
          <w:p>
            <w:pPr>
              <w:pStyle w:val="Tabla"/>
            </w:pPr>
            <w:r>
              <w:t xml:space="preserve">3</w:t>
            </w:r>
          </w:p>
        </w:tc>
        <w:tc>
          <w:tcPr>
            <w:tcW w:type="dxa" w:w="2408"/>
            <w:tcMar>
              <w:top w:type="dxa" w:w="80"/>
              <w:left w:type="dxa" w:w="100"/>
              <w:bottom w:type="dxa" w:w="80"/>
              <w:right w:type="dxa" w:w="100"/>
            </w:tcMar>
          </w:tcPr>
          <w:p>
            <w:pPr>
              <w:pStyle w:val="Tabla"/>
            </w:pPr>
            <w:r>
              <w:t xml:space="preserve">El bucle de realimentación</w:t>
            </w:r>
          </w:p>
        </w:tc>
        <w:tc>
          <w:tcPr>
            <w:tcW w:type="dxa" w:w="2408"/>
            <w:tcMar>
              <w:top w:type="dxa" w:w="80"/>
              <w:left w:type="dxa" w:w="100"/>
              <w:bottom w:type="dxa" w:w="80"/>
              <w:right w:type="dxa" w:w="100"/>
            </w:tcMar>
          </w:tcPr>
          <w:p>
            <w:pPr>
              <w:pStyle w:val="Tabla"/>
            </w:pPr>
            <w:r>
              <w:t xml:space="preserve">Se forma cuando una variable influye sobre otra y ésta, a su vez, sobre la primera.</w:t>
            </w:r>
          </w:p>
        </w:tc>
        <w:tc>
          <w:tcPr>
            <w:tcW w:type="dxa" w:w="2408"/>
            <w:tcMar>
              <w:top w:type="dxa" w:w="80"/>
              <w:left w:type="dxa" w:w="100"/>
              <w:bottom w:type="dxa" w:w="80"/>
              <w:right w:type="dxa" w:w="100"/>
            </w:tcMar>
          </w:tcPr>
          <w:p>
            <w:pPr>
              <w:pStyle w:val="Tabla"/>
            </w:pPr>
            <w:r>
              <w:t xml:space="preserve">Autopistas → ingresos → construcción → autopistas: tres positivas, bucle positivo (R).</w:t>
            </w:r>
          </w:p>
        </w:tc>
      </w:tr>
      <w:tr>
        <w:trPr>
          <w:cantSplit/>
          <w:tblHeader w:val="off"/>
        </w:trPr>
        <w:tc>
          <w:tcPr>
            <w:tcW w:type="dxa" w:w="2408"/>
            <w:tcMar>
              <w:top w:type="dxa" w:w="80"/>
              <w:left w:type="dxa" w:w="100"/>
              <w:bottom w:type="dxa" w:w="80"/>
              <w:right w:type="dxa" w:w="100"/>
            </w:tcMar>
          </w:tcPr>
          <w:p>
            <w:pPr>
              <w:pStyle w:val="Tabla"/>
            </w:pPr>
            <w:r>
              <w:t xml:space="preserve">4</w:t>
            </w:r>
          </w:p>
        </w:tc>
        <w:tc>
          <w:tcPr>
            <w:tcW w:type="dxa" w:w="2408"/>
            <w:tcMar>
              <w:top w:type="dxa" w:w="80"/>
              <w:left w:type="dxa" w:w="100"/>
              <w:bottom w:type="dxa" w:w="80"/>
              <w:right w:type="dxa" w:w="100"/>
            </w:tcMar>
          </w:tcPr>
          <w:p>
            <w:pPr>
              <w:pStyle w:val="Tabla"/>
            </w:pPr>
            <w:r>
              <w:t xml:space="preserve">El sistema de realimentación</w:t>
            </w:r>
          </w:p>
        </w:tc>
        <w:tc>
          <w:tcPr>
            <w:tcW w:type="dxa" w:w="2408"/>
            <w:tcMar>
              <w:top w:type="dxa" w:w="80"/>
              <w:left w:type="dxa" w:w="100"/>
              <w:bottom w:type="dxa" w:w="80"/>
              <w:right w:type="dxa" w:w="100"/>
            </w:tcMar>
          </w:tcPr>
          <w:p>
            <w:pPr>
              <w:pStyle w:val="Tabla"/>
            </w:pPr>
            <w:r>
              <w:t xml:space="preserve">Un sistema dinámico de primer orden tiene un único nivel y bucles positivos o negativos.</w:t>
            </w:r>
          </w:p>
        </w:tc>
        <w:tc>
          <w:tcPr>
            <w:tcW w:type="dxa" w:w="2408"/>
            <w:tcMar>
              <w:top w:type="dxa" w:w="80"/>
              <w:left w:type="dxa" w:w="100"/>
              <w:bottom w:type="dxa" w:w="80"/>
              <w:right w:type="dxa" w:w="100"/>
            </w:tcMar>
          </w:tcPr>
          <w:p>
            <w:pPr>
              <w:pStyle w:val="Tabla"/>
            </w:pPr>
            <w:r>
              <w:t xml:space="preserve">El modelo de autopistas: los costes de construcción y el abandono frenan desde fuera, pero el bucle positivo sigue arrastrando el crecimiento.</w:t>
            </w:r>
          </w:p>
        </w:tc>
      </w:tr>
    </w:tbl>
    <w:p>
      <w:pPr>
        <w:pStyle w:val="Fuente"/>
      </w:pPr>
      <w:r>
        <w:t xml:space="preserve">Lectura L-10 (sesiones de aprendizaje 2 y 3), compartida para el parcial. No es dictado de clase: ordena el vocabulario que la clase sí usó.</w:t>
      </w:r>
    </w:p>
    <w:p>
      <w:pPr>
        <w:pStyle w:val="Heading3"/>
      </w:pPr>
      <w:bookmarkStart w:name="b_tabla_3_5_g2_tres_alimentaciones" w:id="2797"/>
      <w:r>
        <w:t xml:space="preserve">Retroalimentación, realimentación y proalimentación</w:t>
      </w:r>
      <w:bookmarkEnd w:id="2797"/>
    </w:p>
    <w:tbl>
      <w:tblPr>
        <w:tblW w:type="dxa" w:w="9632"/>
        <w:tblBorders>
          <w:top w:val="single" w:color="C5D5DB" w:sz="4"/>
          <w:left w:val="single" w:color="C5D5DB" w:sz="4"/>
          <w:bottom w:val="single" w:color="C5D5DB" w:sz="4"/>
          <w:right w:val="single" w:color="C5D5DB" w:sz="4"/>
          <w:insideH w:val="single" w:color="E4E9EB" w:sz="3"/>
          <w:insideV w:val="single" w:color="E4E9EB" w:sz="3"/>
        </w:tblBorders>
        <w:tblLayout w:type="fixed"/>
      </w:tblPr>
      <w:tblGrid>
        <w:gridCol w:w="2408"/>
        <w:gridCol w:w="2408"/>
        <w:gridCol w:w="2408"/>
        <w:gridCol w:w="2408"/>
      </w:tblGrid>
      <w:tr>
        <w:trPr>
          <w:cantSplit/>
          <w:tblHeader/>
        </w:trPr>
        <w:tc>
          <w:tcPr>
            <w:tcW w:type="dxa" w:w="2408"/>
            <w:shd w:fill="DFEAF0" w:val="clear"/>
            <w:tcMar>
              <w:top w:type="dxa" w:w="80"/>
              <w:left w:type="dxa" w:w="100"/>
              <w:bottom w:type="dxa" w:w="80"/>
              <w:right w:type="dxa" w:w="100"/>
            </w:tcMar>
          </w:tcPr>
          <w:p>
            <w:pPr>
              <w:pStyle w:val="Tabla"/>
            </w:pPr>
            <w:r>
              <w:rPr>
                <w:b/>
                <w:bCs/>
              </w:rPr>
              <w:t xml:space="preserve">Término</w:t>
            </w:r>
          </w:p>
        </w:tc>
        <w:tc>
          <w:tcPr>
            <w:tcW w:type="dxa" w:w="2408"/>
            <w:shd w:fill="DFEAF0" w:val="clear"/>
            <w:tcMar>
              <w:top w:type="dxa" w:w="80"/>
              <w:left w:type="dxa" w:w="100"/>
              <w:bottom w:type="dxa" w:w="80"/>
              <w:right w:type="dxa" w:w="100"/>
            </w:tcMar>
          </w:tcPr>
          <w:p>
            <w:pPr>
              <w:pStyle w:val="Tabla"/>
            </w:pPr>
            <w:r>
              <w:rPr>
                <w:b/>
                <w:bCs/>
              </w:rPr>
              <w:t xml:space="preserve">Enfoque</w:t>
            </w:r>
          </w:p>
        </w:tc>
        <w:tc>
          <w:tcPr>
            <w:tcW w:type="dxa" w:w="2408"/>
            <w:shd w:fill="DFEAF0" w:val="clear"/>
            <w:tcMar>
              <w:top w:type="dxa" w:w="80"/>
              <w:left w:type="dxa" w:w="100"/>
              <w:bottom w:type="dxa" w:w="80"/>
              <w:right w:type="dxa" w:w="100"/>
            </w:tcMar>
          </w:tcPr>
          <w:p>
            <w:pPr>
              <w:pStyle w:val="Tabla"/>
            </w:pPr>
            <w:r>
              <w:rPr>
                <w:b/>
                <w:bCs/>
              </w:rPr>
              <w:t xml:space="preserve">Qué es</w:t>
            </w:r>
          </w:p>
        </w:tc>
        <w:tc>
          <w:tcPr>
            <w:tcW w:type="dxa" w:w="2408"/>
            <w:shd w:fill="DFEAF0" w:val="clear"/>
            <w:tcMar>
              <w:top w:type="dxa" w:w="80"/>
              <w:left w:type="dxa" w:w="100"/>
              <w:bottom w:type="dxa" w:w="80"/>
              <w:right w:type="dxa" w:w="100"/>
            </w:tcMar>
          </w:tcPr>
          <w:p>
            <w:pPr>
              <w:pStyle w:val="Tabla"/>
            </w:pPr>
            <w:r>
              <w:rPr>
                <w:b/>
                <w:bCs/>
              </w:rPr>
              <w:t xml:space="preserve">Fuente</w:t>
            </w:r>
          </w:p>
        </w:tc>
      </w:tr>
      <w:tr>
        <w:trPr>
          <w:cantSplit/>
          <w:tblHeader w:val="off"/>
        </w:trPr>
        <w:tc>
          <w:tcPr>
            <w:tcW w:type="dxa" w:w="2408"/>
            <w:tcMar>
              <w:top w:type="dxa" w:w="80"/>
              <w:left w:type="dxa" w:w="100"/>
              <w:bottom w:type="dxa" w:w="80"/>
              <w:right w:type="dxa" w:w="100"/>
            </w:tcMar>
          </w:tcPr>
          <w:p>
            <w:pPr>
              <w:pStyle w:val="Tabla"/>
            </w:pPr>
            <w:r>
              <w:t xml:space="preserve">Retroalimentación</w:t>
            </w:r>
          </w:p>
        </w:tc>
        <w:tc>
          <w:tcPr>
            <w:tcW w:type="dxa" w:w="2408"/>
            <w:tcMar>
              <w:top w:type="dxa" w:w="80"/>
              <w:left w:type="dxa" w:w="100"/>
              <w:bottom w:type="dxa" w:w="80"/>
              <w:right w:type="dxa" w:w="100"/>
            </w:tcMar>
          </w:tcPr>
          <w:p>
            <w:pPr>
              <w:pStyle w:val="Tabla"/>
            </w:pPr>
            <w:r>
              <w:t xml:space="preserve">enfoque tradicional de sistemas</w:t>
            </w:r>
          </w:p>
        </w:tc>
        <w:tc>
          <w:tcPr>
            <w:tcW w:type="dxa" w:w="2408"/>
            <w:tcMar>
              <w:top w:type="dxa" w:w="80"/>
              <w:left w:type="dxa" w:w="100"/>
              <w:bottom w:type="dxa" w:w="80"/>
              <w:right w:type="dxa" w:w="100"/>
            </w:tcMar>
          </w:tcPr>
          <w:p>
            <w:pPr>
              <w:pStyle w:val="Tabla"/>
            </w:pPr>
            <w:r>
              <w:t xml:space="preserve">La información que vuelve al final del proceso —insumo, proceso, producto— para comparar el resultado con el deseado y corregir. Es una parte del sistema, demarcada por…</w:t>
            </w:r>
          </w:p>
        </w:tc>
        <w:tc>
          <w:tcPr>
            <w:tcW w:type="dxa" w:w="2408"/>
            <w:tcMar>
              <w:top w:type="dxa" w:w="80"/>
              <w:left w:type="dxa" w:w="100"/>
              <w:bottom w:type="dxa" w:w="80"/>
              <w:right w:type="dxa" w:w="100"/>
            </w:tcMar>
          </w:tcPr>
          <w:p>
            <w:pPr>
              <w:pStyle w:val="Tabla"/>
            </w:pPr>
            <w:r>
              <w:t xml:space="preserve">Echeverri y Franco, cap. VIII · lectura L-13</w:t>
            </w:r>
          </w:p>
        </w:tc>
      </w:tr>
      <w:tr>
        <w:trPr>
          <w:cantSplit/>
          <w:tblHeader w:val="off"/>
        </w:trPr>
        <w:tc>
          <w:tcPr>
            <w:tcW w:type="dxa" w:w="2408"/>
            <w:tcMar>
              <w:top w:type="dxa" w:w="80"/>
              <w:left w:type="dxa" w:w="100"/>
              <w:bottom w:type="dxa" w:w="80"/>
              <w:right w:type="dxa" w:w="100"/>
            </w:tcMar>
          </w:tcPr>
          <w:p>
            <w:pPr>
              <w:pStyle w:val="Tabla"/>
            </w:pPr>
            <w:r>
              <w:t xml:space="preserve">Realimentación</w:t>
            </w:r>
          </w:p>
        </w:tc>
        <w:tc>
          <w:tcPr>
            <w:tcW w:type="dxa" w:w="2408"/>
            <w:tcMar>
              <w:top w:type="dxa" w:w="80"/>
              <w:left w:type="dxa" w:w="100"/>
              <w:bottom w:type="dxa" w:w="80"/>
              <w:right w:type="dxa" w:w="100"/>
            </w:tcMar>
          </w:tcPr>
          <w:p>
            <w:pPr>
              <w:pStyle w:val="Tabla"/>
            </w:pPr>
            <w:r>
              <w:t xml:space="preserve">pensamiento sistémico</w:t>
            </w:r>
          </w:p>
        </w:tc>
        <w:tc>
          <w:tcPr>
            <w:tcW w:type="dxa" w:w="2408"/>
            <w:tcMar>
              <w:top w:type="dxa" w:w="80"/>
              <w:left w:type="dxa" w:w="100"/>
              <w:bottom w:type="dxa" w:w="80"/>
              <w:right w:type="dxa" w:w="100"/>
            </w:tcMar>
          </w:tcPr>
          <w:p>
            <w:pPr>
              <w:pStyle w:val="Tabla"/>
            </w:pPr>
            <w:r>
              <w:t xml:space="preserve">La influencia permanente de unas variables sobre otras dentro de un ciclo. No es una flecha sino todo el círculo: refuerza en los ciclos R y compensa en los B, sin…</w:t>
            </w:r>
          </w:p>
        </w:tc>
        <w:tc>
          <w:tcPr>
            <w:tcW w:type="dxa" w:w="2408"/>
            <w:tcMar>
              <w:top w:type="dxa" w:w="80"/>
              <w:left w:type="dxa" w:w="100"/>
              <w:bottom w:type="dxa" w:w="80"/>
              <w:right w:type="dxa" w:w="100"/>
            </w:tcMar>
          </w:tcPr>
          <w:p>
            <w:pPr>
              <w:pStyle w:val="Tabla"/>
            </w:pPr>
            <w:r>
              <w:t xml:space="preserve">Echeverri y Franco, cap. VIII · lectura L-13</w:t>
            </w:r>
          </w:p>
        </w:tc>
      </w:tr>
      <w:tr>
        <w:trPr>
          <w:cantSplit/>
          <w:tblHeader w:val="off"/>
        </w:trPr>
        <w:tc>
          <w:tcPr>
            <w:tcW w:type="dxa" w:w="2408"/>
            <w:tcMar>
              <w:top w:type="dxa" w:w="80"/>
              <w:left w:type="dxa" w:w="100"/>
              <w:bottom w:type="dxa" w:w="80"/>
              <w:right w:type="dxa" w:w="100"/>
            </w:tcMar>
          </w:tcPr>
          <w:p>
            <w:pPr>
              <w:pStyle w:val="Tabla"/>
            </w:pPr>
            <w:r>
              <w:t xml:space="preserve">Proalimentación</w:t>
            </w:r>
          </w:p>
        </w:tc>
        <w:tc>
          <w:tcPr>
            <w:tcW w:type="dxa" w:w="2408"/>
            <w:tcMar>
              <w:top w:type="dxa" w:w="80"/>
              <w:left w:type="dxa" w:w="100"/>
              <w:bottom w:type="dxa" w:w="80"/>
              <w:right w:type="dxa" w:w="100"/>
            </w:tcMar>
          </w:tcPr>
          <w:p>
            <w:pPr>
              <w:pStyle w:val="Tabla"/>
            </w:pPr>
            <w:r>
              <w:t xml:space="preserve">anticipación de un cambio</w:t>
            </w:r>
          </w:p>
        </w:tc>
        <w:tc>
          <w:tcPr>
            <w:tcW w:type="dxa" w:w="2408"/>
            <w:tcMar>
              <w:top w:type="dxa" w:w="80"/>
              <w:left w:type="dxa" w:w="100"/>
              <w:bottom w:type="dxa" w:w="80"/>
              <w:right w:type="dxa" w:w="100"/>
            </w:tcMar>
          </w:tcPr>
          <w:p>
            <w:pPr>
              <w:pStyle w:val="Tabla"/>
            </w:pPr>
            <w:r>
              <w:t xml:space="preserve">Una predicción o anticipación que modifica el futuro por el solo hecho de formularse. Es de compensación cuando conduce al sistema al estado predicho —la profecía que se…</w:t>
            </w:r>
          </w:p>
        </w:tc>
        <w:tc>
          <w:tcPr>
            <w:tcW w:type="dxa" w:w="2408"/>
            <w:tcMar>
              <w:top w:type="dxa" w:w="80"/>
              <w:left w:type="dxa" w:w="100"/>
              <w:bottom w:type="dxa" w:w="80"/>
              <w:right w:type="dxa" w:w="100"/>
            </w:tcMar>
          </w:tcPr>
          <w:p>
            <w:pPr>
              <w:pStyle w:val="Tabla"/>
            </w:pPr>
            <w:r>
              <w:t xml:space="preserve">O’Connor y McDermott, cap. 2 · lectura L-11</w:t>
            </w:r>
          </w:p>
        </w:tc>
      </w:tr>
    </w:tbl>
    <w:p>
      <w:pPr>
        <w:pStyle w:val="Fuente"/>
      </w:pPr>
      <w:r>
        <w:t xml:space="preserve">La proalimentación sí se dictó (clase 16, lámina c16-08); la distinción entre retroalimentación y realimentación viene de la lectura L-13.</w:t>
      </w:r>
    </w:p>
    <w:p>
      <w:pPr>
        <w:pStyle w:val="Heading3"/>
      </w:pPr>
      <w:bookmarkStart w:name="b_tabla_3_5_g2_retro_vs_reali" w:id="2798"/>
      <w:r>
        <w:t xml:space="preserve">Retroalimentación frente a realimentación</w:t>
      </w:r>
      <w:bookmarkEnd w:id="2798"/>
    </w:p>
    <w:tbl>
      <w:tblPr>
        <w:tblW w:type="dxa" w:w="9632"/>
        <w:tblBorders>
          <w:top w:val="single" w:color="C5D5DB" w:sz="4"/>
          <w:left w:val="single" w:color="C5D5DB" w:sz="4"/>
          <w:bottom w:val="single" w:color="C5D5DB" w:sz="4"/>
          <w:right w:val="single" w:color="C5D5DB" w:sz="4"/>
          <w:insideH w:val="single" w:color="E4E9EB" w:sz="3"/>
          <w:insideV w:val="single" w:color="E4E9EB" w:sz="3"/>
        </w:tblBorders>
        <w:tblLayout w:type="fixed"/>
      </w:tblPr>
      <w:tblGrid>
        <w:gridCol w:w="4816"/>
        <w:gridCol w:w="4816"/>
      </w:tblGrid>
      <w:tr>
        <w:trPr>
          <w:cantSplit/>
          <w:tblHeader/>
        </w:trPr>
        <w:tc>
          <w:tcPr>
            <w:tcW w:type="dxa" w:w="4816"/>
            <w:shd w:fill="DFEAF0" w:val="clear"/>
            <w:tcMar>
              <w:top w:type="dxa" w:w="80"/>
              <w:left w:type="dxa" w:w="100"/>
              <w:bottom w:type="dxa" w:w="80"/>
              <w:right w:type="dxa" w:w="100"/>
            </w:tcMar>
          </w:tcPr>
          <w:p>
            <w:pPr>
              <w:pStyle w:val="Tabla"/>
            </w:pPr>
            <w:r>
              <w:rPr>
                <w:b/>
                <w:bCs/>
              </w:rPr>
              <w:t xml:space="preserve">Retroalimentación</w:t>
            </w:r>
          </w:p>
        </w:tc>
        <w:tc>
          <w:tcPr>
            <w:tcW w:type="dxa" w:w="4816"/>
            <w:shd w:fill="DFEAF0" w:val="clear"/>
            <w:tcMar>
              <w:top w:type="dxa" w:w="80"/>
              <w:left w:type="dxa" w:w="100"/>
              <w:bottom w:type="dxa" w:w="80"/>
              <w:right w:type="dxa" w:w="100"/>
            </w:tcMar>
          </w:tcPr>
          <w:p>
            <w:pPr>
              <w:pStyle w:val="Tabla"/>
            </w:pPr>
            <w:r>
              <w:rPr>
                <w:b/>
                <w:bCs/>
              </w:rPr>
              <w:t xml:space="preserve">Realimentación</w:t>
            </w:r>
          </w:p>
        </w:tc>
      </w:tr>
      <w:tr>
        <w:trPr>
          <w:cantSplit/>
          <w:tblHeader w:val="off"/>
        </w:trPr>
        <w:tc>
          <w:tcPr>
            <w:tcW w:type="dxa" w:w="4816"/>
            <w:tcMar>
              <w:top w:type="dxa" w:w="80"/>
              <w:left w:type="dxa" w:w="100"/>
              <w:bottom w:type="dxa" w:w="80"/>
              <w:right w:type="dxa" w:w="100"/>
            </w:tcMar>
          </w:tcPr>
          <w:p>
            <w:pPr>
              <w:pStyle w:val="Tabla"/>
            </w:pPr>
            <w:r>
              <w:t xml:space="preserve">Enfoque tradicional de sistemas</w:t>
            </w:r>
          </w:p>
        </w:tc>
        <w:tc>
          <w:tcPr>
            <w:tcW w:type="dxa" w:w="4816"/>
            <w:tcMar>
              <w:top w:type="dxa" w:w="80"/>
              <w:left w:type="dxa" w:w="100"/>
              <w:bottom w:type="dxa" w:w="80"/>
              <w:right w:type="dxa" w:w="100"/>
            </w:tcMar>
          </w:tcPr>
          <w:p>
            <w:pPr>
              <w:pStyle w:val="Tabla"/>
            </w:pPr>
            <w:r>
              <w:t xml:space="preserve">Pensamiento sistémico</w:t>
            </w:r>
          </w:p>
        </w:tc>
      </w:tr>
      <w:tr>
        <w:trPr>
          <w:cantSplit/>
          <w:tblHeader w:val="off"/>
        </w:trPr>
        <w:tc>
          <w:tcPr>
            <w:tcW w:type="dxa" w:w="4816"/>
            <w:tcMar>
              <w:top w:type="dxa" w:w="80"/>
              <w:left w:type="dxa" w:w="100"/>
              <w:bottom w:type="dxa" w:w="80"/>
              <w:right w:type="dxa" w:w="100"/>
            </w:tcMar>
          </w:tcPr>
          <w:p>
            <w:pPr>
              <w:pStyle w:val="Tabla"/>
            </w:pPr>
            <w:r>
              <w:t xml:space="preserve">Secuencia y cronología</w:t>
            </w:r>
          </w:p>
        </w:tc>
        <w:tc>
          <w:tcPr>
            <w:tcW w:type="dxa" w:w="4816"/>
            <w:tcMar>
              <w:top w:type="dxa" w:w="80"/>
              <w:left w:type="dxa" w:w="100"/>
              <w:bottom w:type="dxa" w:w="80"/>
              <w:right w:type="dxa" w:w="100"/>
            </w:tcMar>
          </w:tcPr>
          <w:p>
            <w:pPr>
              <w:pStyle w:val="Tabla"/>
            </w:pPr>
            <w:r>
              <w:t xml:space="preserve">Influencia</w:t>
            </w:r>
          </w:p>
        </w:tc>
      </w:tr>
      <w:tr>
        <w:trPr>
          <w:cantSplit/>
          <w:tblHeader w:val="off"/>
        </w:trPr>
        <w:tc>
          <w:tcPr>
            <w:tcW w:type="dxa" w:w="4816"/>
            <w:tcMar>
              <w:top w:type="dxa" w:w="80"/>
              <w:left w:type="dxa" w:w="100"/>
              <w:bottom w:type="dxa" w:w="80"/>
              <w:right w:type="dxa" w:w="100"/>
            </w:tcMar>
          </w:tcPr>
          <w:p>
            <w:pPr>
              <w:pStyle w:val="Tabla"/>
            </w:pPr>
            <w:r>
              <w:t xml:space="preserve">Parte del sistema</w:t>
            </w:r>
          </w:p>
        </w:tc>
        <w:tc>
          <w:tcPr>
            <w:tcW w:type="dxa" w:w="4816"/>
            <w:tcMar>
              <w:top w:type="dxa" w:w="80"/>
              <w:left w:type="dxa" w:w="100"/>
              <w:bottom w:type="dxa" w:w="80"/>
              <w:right w:type="dxa" w:w="100"/>
            </w:tcMar>
          </w:tcPr>
          <w:p>
            <w:pPr>
              <w:pStyle w:val="Tabla"/>
            </w:pPr>
            <w:r>
              <w:t xml:space="preserve">Sistema como tal</w:t>
            </w:r>
          </w:p>
        </w:tc>
      </w:tr>
      <w:tr>
        <w:trPr>
          <w:cantSplit/>
          <w:tblHeader w:val="off"/>
        </w:trPr>
        <w:tc>
          <w:tcPr>
            <w:tcW w:type="dxa" w:w="4816"/>
            <w:tcMar>
              <w:top w:type="dxa" w:w="80"/>
              <w:left w:type="dxa" w:w="100"/>
              <w:bottom w:type="dxa" w:w="80"/>
              <w:right w:type="dxa" w:w="100"/>
            </w:tcMar>
          </w:tcPr>
          <w:p>
            <w:pPr>
              <w:pStyle w:val="Tabla"/>
            </w:pPr>
            <w:r>
              <w:t xml:space="preserve">Opinión, evaluación, corrección, mejoramiento</w:t>
            </w:r>
          </w:p>
        </w:tc>
        <w:tc>
          <w:tcPr>
            <w:tcW w:type="dxa" w:w="4816"/>
            <w:tcMar>
              <w:top w:type="dxa" w:w="80"/>
              <w:left w:type="dxa" w:w="100"/>
              <w:bottom w:type="dxa" w:w="80"/>
              <w:right w:type="dxa" w:w="100"/>
            </w:tcMar>
          </w:tcPr>
          <w:p>
            <w:pPr>
              <w:pStyle w:val="Tabla"/>
            </w:pPr>
            <w:r>
              <w:t xml:space="preserve">Pautas de conducta del sistema</w:t>
            </w:r>
          </w:p>
        </w:tc>
      </w:tr>
      <w:tr>
        <w:trPr>
          <w:cantSplit/>
          <w:tblHeader w:val="off"/>
        </w:trPr>
        <w:tc>
          <w:tcPr>
            <w:tcW w:type="dxa" w:w="4816"/>
            <w:tcMar>
              <w:top w:type="dxa" w:w="80"/>
              <w:left w:type="dxa" w:w="100"/>
              <w:bottom w:type="dxa" w:w="80"/>
              <w:right w:type="dxa" w:w="100"/>
            </w:tcMar>
          </w:tcPr>
          <w:p>
            <w:pPr>
              <w:pStyle w:val="Tabla"/>
            </w:pPr>
            <w:r>
              <w:t xml:space="preserve">Aparece al final del proceso</w:t>
            </w:r>
          </w:p>
        </w:tc>
        <w:tc>
          <w:tcPr>
            <w:tcW w:type="dxa" w:w="4816"/>
            <w:tcMar>
              <w:top w:type="dxa" w:w="80"/>
              <w:left w:type="dxa" w:w="100"/>
              <w:bottom w:type="dxa" w:w="80"/>
              <w:right w:type="dxa" w:w="100"/>
            </w:tcMar>
          </w:tcPr>
          <w:p>
            <w:pPr>
              <w:pStyle w:val="Tabla"/>
            </w:pPr>
            <w:r>
              <w:t xml:space="preserve">Es todo el sistema; no aparece en el proceso</w:t>
            </w:r>
          </w:p>
        </w:tc>
      </w:tr>
      <w:tr>
        <w:trPr>
          <w:cantSplit/>
          <w:tblHeader w:val="off"/>
        </w:trPr>
        <w:tc>
          <w:tcPr>
            <w:tcW w:type="dxa" w:w="4816"/>
            <w:tcMar>
              <w:top w:type="dxa" w:w="80"/>
              <w:left w:type="dxa" w:w="100"/>
              <w:bottom w:type="dxa" w:w="80"/>
              <w:right w:type="dxa" w:w="100"/>
            </w:tcMar>
          </w:tcPr>
          <w:p>
            <w:pPr>
              <w:pStyle w:val="Tabla"/>
            </w:pPr>
            <w:r>
              <w:t xml:space="preserve">Información de retorno</w:t>
            </w:r>
          </w:p>
        </w:tc>
        <w:tc>
          <w:tcPr>
            <w:tcW w:type="dxa" w:w="4816"/>
            <w:tcMar>
              <w:top w:type="dxa" w:w="80"/>
              <w:left w:type="dxa" w:w="100"/>
              <w:bottom w:type="dxa" w:w="80"/>
              <w:right w:type="dxa" w:w="100"/>
            </w:tcMar>
          </w:tcPr>
          <w:p>
            <w:pPr>
              <w:pStyle w:val="Tabla"/>
            </w:pPr>
            <w:r>
              <w:t xml:space="preserve">Dinámica del sistema</w:t>
            </w:r>
          </w:p>
        </w:tc>
      </w:tr>
      <w:tr>
        <w:trPr>
          <w:cantSplit/>
          <w:tblHeader w:val="off"/>
        </w:trPr>
        <w:tc>
          <w:tcPr>
            <w:tcW w:type="dxa" w:w="4816"/>
            <w:tcMar>
              <w:top w:type="dxa" w:w="80"/>
              <w:left w:type="dxa" w:w="100"/>
              <w:bottom w:type="dxa" w:w="80"/>
              <w:right w:type="dxa" w:w="100"/>
            </w:tcMar>
          </w:tcPr>
          <w:p>
            <w:pPr>
              <w:pStyle w:val="Tabla"/>
            </w:pPr>
            <w:r>
              <w:t xml:space="preserve">Sistemas y subsistemas</w:t>
            </w:r>
          </w:p>
        </w:tc>
        <w:tc>
          <w:tcPr>
            <w:tcW w:type="dxa" w:w="4816"/>
            <w:tcMar>
              <w:top w:type="dxa" w:w="80"/>
              <w:left w:type="dxa" w:w="100"/>
              <w:bottom w:type="dxa" w:w="80"/>
              <w:right w:type="dxa" w:w="100"/>
            </w:tcMar>
          </w:tcPr>
          <w:p>
            <w:pPr>
              <w:pStyle w:val="Tabla"/>
            </w:pPr>
            <w:r>
              <w:t xml:space="preserve">Sistemas simples y complejos</w:t>
            </w:r>
          </w:p>
        </w:tc>
      </w:tr>
    </w:tbl>
    <w:p>
      <w:pPr>
        <w:pStyle w:val="Fuente"/>
      </w:pPr>
      <w:r>
        <w:t xml:space="preserve">Figura 29 de Echeverri y Franco, lectura L-13. Tabla de lectura, no de clase.</w:t>
      </w:r>
    </w:p>
    <w:p>
      <w:pPr>
        <w:pStyle w:val="Heading3"/>
      </w:pPr>
      <w:r>
        <w:t xml:space="preserve">Lo que dicen las presentaciones</w:t>
      </w:r>
    </w:p>
    <w:p>
      <w:pPr>
        <w:pStyle w:val="Heading3"/>
      </w:pPr>
      <w:bookmarkStart w:name="b_pagina_3_5_C_2_p74" w:id="2799"/>
      <w:r>
        <w:t xml:space="preserve">C-2 · página 74 · Retroalimentación negativa o de compensación</w:t>
      </w:r>
      <w:bookmarkEnd w:id="2799"/>
    </w:p>
    <w:p>
      <w:pPr>
        <w:pStyle w:val="Normal"/>
      </w:pPr>
      <w:r>
        <w:t xml:space="preserve">El cambio retorna oponiéndose a su desviación y sostiene un estado; regulación y agua ilustran el mecanismo.</w:t>
      </w:r>
    </w:p>
    <w:p>
      <w:pPr>
        <w:pStyle w:val="Fuente"/>
      </w:pPr>
      <w:r>
        <w:t xml:space="preserve">Proyección o explicación: Clase 14 · 00:08:02 · captura c14-03.</w:t>
      </w:r>
    </w:p>
    <w:p>
      <w:pPr>
        <w:keepNext/>
        <w:spacing w:after="40" w:before="150"/>
        <w:jc w:val="center"/>
      </w:pPr>
      <w:bookmarkStart w:name="b_figura_original_pagina_C_2_74" w:id="2800"/>
      <w:bookmarkEnd w:id="2800"/>
      <w:r>
        <w:drawing>
          <wp:inline distT="0" distB="0" distL="0" distR="0">
            <wp:extent cx="5381625" cy="4162425"/>
            <wp:effectExtent t="0" r="0" b="0" l="0"/>
            <wp:docPr id="63" name="pagina-C-2-74" descr="Presentación C-2, pág. 74" title="Retroalimentación negativa o de compensació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48" cstate="none"/>
                    <a:srcRect/>
                    <a:stretch>
                      <a:fillRect/>
                    </a:stretch>
                  </pic:blipFill>
                  <pic:spPr bwMode="auto">
                    <a:xfrm>
                      <a:off x="0" y="0"/>
                      <a:ext cx="5381625" cy="4162425"/>
                    </a:xfrm>
                    <a:prstGeom prst="rect">
                      <a:avLst/>
                    </a:prstGeom>
                  </pic:spPr>
                </pic:pic>
              </a:graphicData>
            </a:graphic>
          </wp:inline>
        </w:drawing>
      </w:r>
    </w:p>
    <w:p>
      <w:pPr>
        <w:pStyle w:val="PieFigura"/>
        <w:keepNext/>
      </w:pPr>
      <w:bookmarkStart w:name="b_fig_3_5_1" w:id="2801"/>
      <w:r>
        <w:t xml:space="preserve">Figura 3.5.</w:t>
      </w:r>
      <w:fldSimple w:instr="SEQ Figura \r 1 \* ARABIC">
        <w:r>
          <w:t xml:space="preserve">1</w:t>
        </w:r>
      </w:fldSimple>
      <w:r>
        <w:t xml:space="preserve"> · Retroalimentación negativa o de compensación</w:t>
      </w:r>
      <w:bookmarkEnd w:id="2801"/>
    </w:p>
    <w:p>
      <w:pPr>
        <w:pStyle w:val="Fuente"/>
      </w:pPr>
      <w:r>
        <w:t xml:space="preserve">Presentación C-2, pág. 74</w:t>
      </w:r>
    </w:p>
    <w:p>
      <w:bookmarkStart w:name="b_punto_c2_p074_01" w:id="2802"/>
      <w:r>
        <w:t xml:space="preserve">El balance devuelve cambios que se oponen al original, amortiguan su efecto y aportan estabilidad y resistencia al cambio.</w:t>
      </w:r>
      <w:bookmarkEnd w:id="2802"/>
    </w:p>
    <w:p>
      <w:bookmarkStart w:name="b_punto_c2_p074_02" w:id="2803"/>
      <w:r>
        <w:t xml:space="preserve">Aire acondicionado compara temperatura y consigna y enciende/apaga para recuperar el valor programado.</w:t>
      </w:r>
      <w:bookmarkEnd w:id="2803"/>
    </w:p>
    <w:p>
      <w:bookmarkStart w:name="b_punto_c2_p074_03" w:id="2804"/>
      <w:r>
        <w:t xml:space="preserve">Sed y control del inventario son ciclos de compensación con meta.</w:t>
      </w:r>
      <w:bookmarkEnd w:id="2804"/>
    </w:p>
    <w:p>
      <w:bookmarkStart w:name="b_punto_c2_p074_04" w:id="2805"/>
      <w:r>
        <w:t xml:space="preserve">Conducir corrige rumbo/posición respecto de referencia; el piloto automático es control equivalente.</w:t>
      </w:r>
      <w:bookmarkEnd w:id="2805"/>
    </w:p>
    <w:p>
      <w:bookmarkStart w:name="b_punto_c2_p074_05" w:id="2806"/>
      <w:r>
        <w:t xml:space="preserve">El flujo reduce la diferencia de niveles que lo impulsa; al atenuarse ésta, el flujo se reduce. No hace falta añadir un controlador ausente de la figura.</w:t>
      </w:r>
      <w:bookmarkEnd w:id="2806"/>
    </w:p>
    <w:p>
      <w:pPr>
        <w:pStyle w:val="Heading3"/>
      </w:pPr>
      <w:bookmarkStart w:name="b_pagina_3_5_C_2_p75" w:id="2807"/>
      <w:r>
        <w:t xml:space="preserve">C-2 · página 75 · Tres ciclos de compensación</w:t>
      </w:r>
      <w:bookmarkEnd w:id="2807"/>
    </w:p>
    <w:p>
      <w:pPr>
        <w:pStyle w:val="Normal"/>
      </w:pPr>
      <w:r>
        <w:t xml:space="preserve">Flotador, sed y medicina muestran acciones que atenúan lo que las pone en marcha.</w:t>
      </w:r>
    </w:p>
    <w:p>
      <w:pPr>
        <w:pStyle w:val="Fuente"/>
      </w:pPr>
      <w:r>
        <w:t xml:space="preserve">Proyección o explicación: Clase 14 · 00:09:38 · captura c14-04.</w:t>
      </w:r>
    </w:p>
    <w:p>
      <w:bookmarkStart w:name="b_punto_c2_p075_01" w:id="2808"/>
      <w:r>
        <w:t xml:space="preserve">Flujo → nivel de agua → flotador → flujo: al subir el flotador se cierra entrada y al bajar se abre.</w:t>
      </w:r>
      <w:bookmarkEnd w:id="2808"/>
    </w:p>
    <w:p>
      <w:bookmarkStart w:name="b_punto_c2_p075_02" w:id="2809"/>
      <w:r>
        <w:t xml:space="preserve">Sed → tomar agua → contenido de agua → sed cierra un control que reduce la sed.</w:t>
      </w:r>
      <w:bookmarkEnd w:id="2809"/>
    </w:p>
    <w:p>
      <w:bookmarkStart w:name="b_punto_c2_p075_03" w:id="2810"/>
      <w:r>
        <w:t xml:space="preserve">Dolor → medicina → menor dolor es balance y solución rápida.</w:t>
      </w:r>
      <w:bookmarkEnd w:id="2810"/>
    </w:p>
    <w:p>
      <w:pPr>
        <w:pStyle w:val="Fuente"/>
      </w:pPr>
      <w:r>
        <w:t xml:space="preserve">Véase </w:t>
      </w:r>
      <w:hyperlink w:history="1" w:anchor="b_3_3">
        <w:r>
          <w:rPr>
            <w:color w:val="156B70"/>
            <w:u w:val="single"/>
          </w:rPr>
          <w:t xml:space="preserve">capítulo 3.3 · Diagramas de ciclos causales</w:t>
        </w:r>
      </w:hyperlink>
      <w:r>
        <w:t xml:space="preserve">, pág. </w:t>
      </w:r>
      <w:r>
        <w:fldChar w:fldCharType="begin"/>
        <w:instrText xml:space="preserve">PAGEREF b_3_3 \h</w:instrText>
        <w:fldChar w:fldCharType="separate"/>
        <w:t xml:space="preserve">443</w:t>
        <w:fldChar w:fldCharType="end"/>
      </w:r>
      <w:r>
        <w:t xml:space="preserve">.</w:t>
      </w:r>
    </w:p>
    <w:p>
      <w:pPr>
        <w:pStyle w:val="Heading3"/>
      </w:pPr>
      <w:bookmarkStart w:name="b_pagina_3_5_C_2_p76" w:id="2811"/>
      <w:r>
        <w:t xml:space="preserve">C-2 · página 76 · Retroalimentación positiva o de refuerzo</w:t>
      </w:r>
      <w:bookmarkEnd w:id="2811"/>
    </w:p>
    <w:p>
      <w:pPr>
        <w:pStyle w:val="Normal"/>
      </w:pPr>
      <w:r>
        <w:t xml:space="preserve">El cambio retorna amplificado; sin límites, crecimiento o caída se aceleran.</w:t>
      </w:r>
    </w:p>
    <w:p>
      <w:pPr>
        <w:pStyle w:val="Fuente"/>
      </w:pPr>
      <w:r>
        <w:t xml:space="preserve">Proyección o explicación: Clase 14 · 00:41:47 · captura c14-06.</w:t>
      </w:r>
    </w:p>
    <w:p>
      <w:bookmarkStart w:name="b_punto_c2_p076_01" w:id="2812"/>
      <w:r>
        <w:t xml:space="preserve">La variación retorna en el mismo sentido y amplifica el cambio original.</w:t>
      </w:r>
      <w:bookmarkEnd w:id="2812"/>
    </w:p>
    <w:p>
      <w:bookmarkStart w:name="b_punto_c2_p076_02" w:id="2813"/>
      <w:r>
        <w:t xml:space="preserve">Población y epidemias pueden multiplicarse por relaciones reforzadoras.</w:t>
      </w:r>
      <w:bookmarkEnd w:id="2813"/>
    </w:p>
    <w:p>
      <w:bookmarkStart w:name="b_punto_c2_p076_05" w:id="2814"/>
      <w:r>
        <w:t xml:space="preserve">Bola de nieve es una metáfora del refuerzo y no un juicio de que sea bueno.</w:t>
      </w:r>
      <w:bookmarkEnd w:id="2814"/>
    </w:p>
    <w:p>
      <w:bookmarkStart w:name="b_punto_c2_p076_06" w:id="2815"/>
      <w:r>
        <w:t xml:space="preserve">El micrófono recibe sonido de la bocina y lo amplifica de nuevo, produciendo acople.</w:t>
      </w:r>
      <w:bookmarkEnd w:id="2815"/>
    </w:p>
    <w:p>
      <w:pPr>
        <w:pStyle w:val="Fuente"/>
      </w:pPr>
      <w:r>
        <w:t xml:space="preserve">Véase </w:t>
      </w:r>
      <w:hyperlink w:history="1" w:anchor="b_3_4">
        <w:r>
          <w:rPr>
            <w:color w:val="156B70"/>
            <w:u w:val="single"/>
          </w:rPr>
          <w:t xml:space="preserve">capítulo 3.4 · Interdependencias sistémicas</w:t>
        </w:r>
      </w:hyperlink>
      <w:r>
        <w:t xml:space="preserve">, pág. </w:t>
      </w:r>
      <w:r>
        <w:fldChar w:fldCharType="begin"/>
        <w:instrText xml:space="preserve">PAGEREF b_3_4 \h</w:instrText>
        <w:fldChar w:fldCharType="separate"/>
        <w:t xml:space="preserve">476</w:t>
        <w:fldChar w:fldCharType="end"/>
      </w:r>
      <w:r>
        <w:t xml:space="preserve">.</w:t>
      </w:r>
    </w:p>
    <w:p>
      <w:pPr>
        <w:pStyle w:val="Fuente"/>
      </w:pPr>
      <w:r>
        <w:t xml:space="preserve">Véase </w:t>
      </w:r>
      <w:hyperlink w:history="1" w:anchor="b_3_6">
        <w:r>
          <w:rPr>
            <w:color w:val="156B70"/>
            <w:u w:val="single"/>
          </w:rPr>
          <w:t xml:space="preserve">capítulo 3.6 · Modelación dinámica</w:t>
        </w:r>
      </w:hyperlink>
      <w:r>
        <w:t xml:space="preserve">, pág. </w:t>
      </w:r>
      <w:r>
        <w:fldChar w:fldCharType="begin"/>
        <w:instrText xml:space="preserve">PAGEREF b_3_6 \h</w:instrText>
        <w:fldChar w:fldCharType="separate"/>
        <w:t xml:space="preserve">537</w:t>
        <w:fldChar w:fldCharType="end"/>
      </w:r>
      <w:r>
        <w:t xml:space="preserve">.</w:t>
      </w:r>
    </w:p>
    <w:p>
      <w:pPr>
        <w:pStyle w:val="Heading3"/>
      </w:pPr>
      <w:bookmarkStart w:name="b_pagina_3_5_C_2_p77" w:id="2816"/>
      <w:r>
        <w:t xml:space="preserve">C-2 · página 77 · Mapas DSRP y DCC</w:t>
      </w:r>
      <w:bookmarkEnd w:id="2816"/>
    </w:p>
    <w:p>
      <w:pPr>
        <w:pStyle w:val="Normal"/>
      </w:pPr>
      <w:r>
        <w:t xml:space="preserve">DSRP explicita contención y perspectivas; el DCC destaca variables, relaciones y polaridades.</w:t>
      </w:r>
    </w:p>
    <w:p>
      <w:pPr>
        <w:pStyle w:val="Fuente"/>
      </w:pPr>
      <w:r>
        <w:t xml:space="preserve">Proyección o explicación: Clase 14 · 00:53:30 · captura c14-09.</w:t>
      </w:r>
    </w:p>
    <w:p>
      <w:bookmarkStart w:name="b_punto_c2_p077_02" w:id="2817"/>
      <w:r>
        <w:t xml:space="preserve">El DCC de población tiene nacimientos R y muertes B, con parámetros externos de tasa de nacimientos y esperanza de vida.</w:t>
      </w:r>
      <w:bookmarkEnd w:id="2817"/>
    </w:p>
    <w:p>
      <w:pPr>
        <w:pStyle w:val="Fuente"/>
      </w:pPr>
      <w:r>
        <w:t xml:space="preserve">Véase </w:t>
      </w:r>
      <w:hyperlink w:history="1" w:anchor="b_3_1">
        <w:r>
          <w:rPr>
            <w:color w:val="156B70"/>
            <w:u w:val="single"/>
          </w:rPr>
          <w:t xml:space="preserve">capítulo 3.1 · Mapas sistémicos</w:t>
        </w:r>
      </w:hyperlink>
      <w:r>
        <w:t xml:space="preserve">, pág. </w:t>
      </w:r>
      <w:r>
        <w:fldChar w:fldCharType="begin"/>
        <w:instrText xml:space="preserve">PAGEREF b_3_1 \h</w:instrText>
        <w:fldChar w:fldCharType="separate"/>
        <w:t xml:space="preserve">379</w:t>
        <w:fldChar w:fldCharType="end"/>
      </w:r>
      <w:r>
        <w:t xml:space="preserve">.</w:t>
      </w:r>
    </w:p>
    <w:p>
      <w:pPr>
        <w:pStyle w:val="Fuente"/>
      </w:pPr>
      <w:r>
        <w:t xml:space="preserve">Véase </w:t>
      </w:r>
      <w:hyperlink w:history="1" w:anchor="b_3_3">
        <w:r>
          <w:rPr>
            <w:color w:val="156B70"/>
            <w:u w:val="single"/>
          </w:rPr>
          <w:t xml:space="preserve">capítulo 3.3 · Diagramas de ciclos causales</w:t>
        </w:r>
      </w:hyperlink>
      <w:r>
        <w:t xml:space="preserve">, pág. </w:t>
      </w:r>
      <w:r>
        <w:fldChar w:fldCharType="begin"/>
        <w:instrText xml:space="preserve">PAGEREF b_3_3 \h</w:instrText>
        <w:fldChar w:fldCharType="separate"/>
        <w:t xml:space="preserve">443</w:t>
        <w:fldChar w:fldCharType="end"/>
      </w:r>
      <w:r>
        <w:t xml:space="preserve">.</w:t>
      </w:r>
    </w:p>
    <w:p>
      <w:pPr>
        <w:pStyle w:val="Heading3"/>
      </w:pPr>
      <w:bookmarkStart w:name="b_pagina_3_5_C_2_p78" w:id="2818"/>
      <w:r>
        <w:t xml:space="preserve">C-2 · página 78 · Ejercicio de la población de ballenas</w:t>
      </w:r>
      <w:bookmarkEnd w:id="2818"/>
    </w:p>
    <w:p>
      <w:pPr>
        <w:pStyle w:val="Normal"/>
      </w:pPr>
      <w:r>
        <w:t xml:space="preserve">Asignar y justificar polaridades de tres lazos que comparten la población.</w:t>
      </w:r>
    </w:p>
    <w:p>
      <w:pPr>
        <w:pStyle w:val="Fuente"/>
      </w:pPr>
      <w:r>
        <w:t xml:space="preserve">Proyección o explicación: Clase 14 · 01:03:33 · captura c14-10.</w:t>
      </w:r>
    </w:p>
    <w:p>
      <w:bookmarkStart w:name="b_punto_c2_p078_01" w:id="2819"/>
      <w:r>
        <w:t xml:space="preserve">Población → nacimientos (+) → población (+) forma refuerzo.</w:t>
      </w:r>
      <w:bookmarkEnd w:id="2819"/>
    </w:p>
    <w:p>
      <w:bookmarkStart w:name="b_punto_c2_p078_02" w:id="2820"/>
      <w:r>
        <w:t xml:space="preserve">Población → muertes (+) → población (−) forma balance.</w:t>
      </w:r>
      <w:bookmarkEnd w:id="2820"/>
    </w:p>
    <w:p>
      <w:bookmarkStart w:name="b_punto_c2_p078_03" w:id="2821"/>
      <w:r>
        <w:t xml:space="preserve">Población → pesca (+) → población (−) forma otro balance.</w:t>
      </w:r>
      <w:bookmarkEnd w:id="2821"/>
    </w:p>
    <w:p>
      <w:bookmarkStart w:name="b_punto_c2_p078_04" w:id="2822"/>
      <w:r>
        <w:t xml:space="preserve">Los lazos comparten población; crece sólo si muertes+pesca no superan nacimientos y puede extinguirse localmente.</w:t>
      </w:r>
      <w:bookmarkEnd w:id="2822"/>
    </w:p>
    <w:p>
      <w:pPr>
        <w:pStyle w:val="Fuente"/>
      </w:pPr>
      <w:r>
        <w:t xml:space="preserve">Véase </w:t>
      </w:r>
      <w:hyperlink w:history="1" w:anchor="b_3_1">
        <w:r>
          <w:rPr>
            <w:color w:val="156B70"/>
            <w:u w:val="single"/>
          </w:rPr>
          <w:t xml:space="preserve">capítulo 3.1 · Mapas sistémicos</w:t>
        </w:r>
      </w:hyperlink>
      <w:r>
        <w:t xml:space="preserve">, pág. </w:t>
      </w:r>
      <w:r>
        <w:fldChar w:fldCharType="begin"/>
        <w:instrText xml:space="preserve">PAGEREF b_3_1 \h</w:instrText>
        <w:fldChar w:fldCharType="separate"/>
        <w:t xml:space="preserve">379</w:t>
        <w:fldChar w:fldCharType="end"/>
      </w:r>
      <w:r>
        <w:t xml:space="preserve">.</w:t>
      </w:r>
    </w:p>
    <w:p>
      <w:pPr>
        <w:pStyle w:val="Heading3"/>
      </w:pPr>
      <w:bookmarkStart w:name="b_pagina_3_5_C_2_p80" w:id="2823"/>
      <w:r>
        <w:t xml:space="preserve">C-2 · página 80 · Refuerzo y compensación, lado a lado</w:t>
      </w:r>
      <w:bookmarkEnd w:id="2823"/>
    </w:p>
    <w:p>
      <w:pPr>
        <w:pStyle w:val="Normal"/>
      </w:pPr>
      <w:r>
        <w:t xml:space="preserve">Amplificación, regulación y dos historias concretas muestran el retorno de los cambios.</w:t>
      </w:r>
    </w:p>
    <w:p>
      <w:pPr>
        <w:pStyle w:val="Fuente"/>
      </w:pPr>
      <w:r>
        <w:t xml:space="preserve">Proyección o explicación: Clase 14 · 01:18:40 · captura c14-13.</w:t>
      </w:r>
    </w:p>
    <w:p>
      <w:pPr>
        <w:keepNext/>
        <w:spacing w:after="40" w:before="150"/>
        <w:jc w:val="center"/>
      </w:pPr>
      <w:bookmarkStart w:name="b_figura_original_pagina_C_2_80" w:id="2824"/>
      <w:bookmarkEnd w:id="2824"/>
      <w:r>
        <w:drawing>
          <wp:inline distT="0" distB="0" distL="0" distR="0">
            <wp:extent cx="5381625" cy="4162425"/>
            <wp:effectExtent t="0" r="0" b="0" l="0"/>
            <wp:docPr id="64" name="pagina-C-2-80" descr="Presentación C-2, pág. 80" title="Refuerzo y compensación, lado a la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49" cstate="none"/>
                    <a:srcRect/>
                    <a:stretch>
                      <a:fillRect/>
                    </a:stretch>
                  </pic:blipFill>
                  <pic:spPr bwMode="auto">
                    <a:xfrm>
                      <a:off x="0" y="0"/>
                      <a:ext cx="5381625" cy="4162425"/>
                    </a:xfrm>
                    <a:prstGeom prst="rect">
                      <a:avLst/>
                    </a:prstGeom>
                  </pic:spPr>
                </pic:pic>
              </a:graphicData>
            </a:graphic>
          </wp:inline>
        </w:drawing>
      </w:r>
    </w:p>
    <w:p>
      <w:pPr>
        <w:pStyle w:val="PieFigura"/>
        <w:keepNext/>
      </w:pPr>
      <w:bookmarkStart w:name="b_fig_3_5_2" w:id="2825"/>
      <w:r>
        <w:t xml:space="preserve">Figura 3.5.</w:t>
      </w:r>
      <w:fldSimple w:instr="SEQ Figura \n \* ARABIC">
        <w:r>
          <w:t xml:space="preserve">2</w:t>
        </w:r>
      </w:fldSimple>
      <w:r>
        <w:t xml:space="preserve"> · Refuerzo y compensación, lado a lado</w:t>
      </w:r>
      <w:bookmarkEnd w:id="2825"/>
    </w:p>
    <w:p>
      <w:pPr>
        <w:pStyle w:val="Fuente"/>
      </w:pPr>
      <w:r>
        <w:t xml:space="preserve">Presentación C-2, pág. 80</w:t>
      </w:r>
    </w:p>
    <w:p>
      <w:bookmarkStart w:name="b_punto_c2_p080_01" w:id="2826"/>
      <w:r>
        <w:t xml:space="preserve">Refuerzo amplifica el cambio original y aleja al sistema de su posición inicial.</w:t>
      </w:r>
      <w:bookmarkEnd w:id="2826"/>
    </w:p>
    <w:p>
      <w:bookmarkStart w:name="b_punto_c2_p080_02" w:id="2827"/>
      <w:r>
        <w:t xml:space="preserve">Compensación se opone al cambio original y acerca al sistema a una meta.</w:t>
      </w:r>
      <w:bookmarkEnd w:id="2827"/>
    </w:p>
    <w:p>
      <w:bookmarkStart w:name="b_punto_c2_p080_04" w:id="2828"/>
      <w:r>
        <w:t xml:space="preserve">Porque las influencias del recorrido son positivas y el retorno amplifica la sobrecarga inicial</w:t>
      </w:r>
      <w:bookmarkEnd w:id="2828"/>
    </w:p>
    <w:p>
      <w:bookmarkStart w:name="b_punto_c2_p080_05" w:id="2829"/>
      <w:r>
        <w:t xml:space="preserve">Equilibrio de líquidos → sed → beber → equilibrio de líquidos regula la cantidad de agua.</w:t>
      </w:r>
      <w:bookmarkEnd w:id="2829"/>
    </w:p>
    <w:p>
      <w:pPr>
        <w:pStyle w:val="Fuente"/>
      </w:pPr>
      <w:r>
        <w:t xml:space="preserve">Véase </w:t>
      </w:r>
      <w:hyperlink w:history="1" w:anchor="b_3_4">
        <w:r>
          <w:rPr>
            <w:color w:val="156B70"/>
            <w:u w:val="single"/>
          </w:rPr>
          <w:t xml:space="preserve">capítulo 3.4 · Interdependencias sistémicas</w:t>
        </w:r>
      </w:hyperlink>
      <w:r>
        <w:t xml:space="preserve">, pág. </w:t>
      </w:r>
      <w:r>
        <w:fldChar w:fldCharType="begin"/>
        <w:instrText xml:space="preserve">PAGEREF b_3_4 \h</w:instrText>
        <w:fldChar w:fldCharType="separate"/>
        <w:t xml:space="preserve">476</w:t>
        <w:fldChar w:fldCharType="end"/>
      </w:r>
      <w:r>
        <w:t xml:space="preserve">.</w:t>
      </w:r>
    </w:p>
    <w:p>
      <w:pPr>
        <w:pStyle w:val="Heading3"/>
      </w:pPr>
      <w:bookmarkStart w:name="b_pagina_3_5_C_2_p81" w:id="2830"/>
      <w:r>
        <w:t xml:space="preserve">C-2 · página 81 · Círculos virtuosos y viciosos</w:t>
      </w:r>
      <w:bookmarkEnd w:id="2830"/>
    </w:p>
    <w:p>
      <w:pPr>
        <w:pStyle w:val="Normal"/>
      </w:pPr>
      <w:r>
        <w:t xml:space="preserve">Satisfacción, comentarios y ventas pueden realimentar resultados favorables o desfavorables con la misma estructura R.</w:t>
      </w:r>
    </w:p>
    <w:p>
      <w:pPr>
        <w:pStyle w:val="Fuente"/>
      </w:pPr>
      <w:r>
        <w:t xml:space="preserve">Proyección o explicación: Clase 14 · 01:26:29 · captura c14-14.</w:t>
      </w:r>
    </w:p>
    <w:p>
      <w:bookmarkStart w:name="b_punto_c2_p081_01" w:id="2831"/>
      <w:r>
        <w:t xml:space="preserve">Clientes satisfechos → comentarios positivos → ventas → clientes satisfechos narra un círculo virtuoso.</w:t>
      </w:r>
      <w:bookmarkEnd w:id="2831"/>
    </w:p>
    <w:p>
      <w:bookmarkStart w:name="b_punto_c2_p081_02" w:id="2832"/>
      <w:r>
        <w:t xml:space="preserve">Insatisfacción y comentarios negativos pueden reducir ventas y sostener un círculo vicioso.</w:t>
      </w:r>
      <w:bookmarkEnd w:id="2832"/>
    </w:p>
    <w:p>
      <w:bookmarkStart w:name="b_punto_c2_p081_03" w:id="2833"/>
      <w:r>
        <w:t xml:space="preserve">El esquema genérico clientes→comentarios→ventas→clientes conserva tres relaciones positivas y R en ambos sentidos.</w:t>
      </w:r>
      <w:bookmarkEnd w:id="2833"/>
    </w:p>
    <w:p>
      <w:bookmarkStart w:name="b_punto_c2_p081_04" w:id="2834"/>
      <w:r>
        <w:t xml:space="preserve">Virtuoso/vicioso valora el resultado; no cambia la estructura ni obliga a que virtuosidad sea crecimiento numérico.</w:t>
      </w:r>
      <w:bookmarkEnd w:id="2834"/>
    </w:p>
    <w:p>
      <w:pPr>
        <w:pStyle w:val="Heading3"/>
      </w:pPr>
      <w:bookmarkStart w:name="b_pagina_3_5_C_2_p84" w:id="2835"/>
      <w:r>
        <w:t xml:space="preserve">C-2 · página 84 · El refuerzo del ahorro</w:t>
      </w:r>
      <w:bookmarkEnd w:id="2835"/>
    </w:p>
    <w:p>
      <w:pPr>
        <w:pStyle w:val="Normal"/>
      </w:pPr>
      <w:r>
        <w:t xml:space="preserve">Los ahorros producen intereses, que se incorporan al saldo y generan más intereses.</w:t>
      </w:r>
    </w:p>
    <w:p>
      <w:bookmarkStart w:name="b_punto_c2_p084_01" w:id="2836"/>
      <w:r>
        <w:t xml:space="preserve">Ahorros → intereses → ahorros es un retorno positivo.</w:t>
      </w:r>
      <w:bookmarkEnd w:id="2836"/>
    </w:p>
    <w:p>
      <w:bookmarkStart w:name="b_punto_c2_p084_02" w:id="2837"/>
      <w:r>
        <w:t xml:space="preserve">Tasa positiva mantenida y reinversión de intereses sin factores compensadores producen crecimiento acumulativo.</w:t>
      </w:r>
      <w:bookmarkEnd w:id="2837"/>
    </w:p>
    <w:p>
      <w:bookmarkStart w:name="b_punto_c2_p084_03" w:id="2838"/>
      <w:r>
        <w:t xml:space="preserve">La figura ahorros-interés representa R aunque no imprima los signos de todas sus flechas.</w:t>
      </w:r>
      <w:bookmarkEnd w:id="2838"/>
    </w:p>
    <w:p>
      <w:pPr>
        <w:pStyle w:val="Heading3"/>
      </w:pPr>
      <w:bookmarkStart w:name="b_pagina_3_5_C_2_p85" w:id="2839"/>
      <w:r>
        <w:t xml:space="preserve">C-2 · página 85 · Diagramas de ciclos causales</w:t>
      </w:r>
      <w:bookmarkEnd w:id="2839"/>
    </w:p>
    <w:p>
      <w:pPr>
        <w:pStyle w:val="Normal"/>
      </w:pPr>
      <w:r>
        <w:t xml:space="preserve">Variables y vínculos encadenados permiten combinar ciclos y comunicar la estructura de una historia.</w:t>
      </w:r>
    </w:p>
    <w:p>
      <w:pPr>
        <w:pStyle w:val="Fuente"/>
      </w:pPr>
      <w:r>
        <w:t xml:space="preserve">Proyección o explicación: Clase 15 · 00:16:58 · captura c15-05.</w:t>
      </w:r>
    </w:p>
    <w:p>
      <w:bookmarkStart w:name="b_punto_c2_p085_05" w:id="2840"/>
      <w:r>
        <w:t xml:space="preserve">Balance busca objetivo y estabilidad; refuerzo amplifica crecimiento o colapso con cada vuelta.</w:t>
      </w:r>
      <w:bookmarkEnd w:id="2840"/>
    </w:p>
    <w:p>
      <w:pPr>
        <w:pStyle w:val="Fuente"/>
      </w:pPr>
      <w:r>
        <w:t xml:space="preserve">Véase </w:t>
      </w:r>
      <w:hyperlink w:history="1" w:anchor="b_3_3">
        <w:r>
          <w:rPr>
            <w:color w:val="156B70"/>
            <w:u w:val="single"/>
          </w:rPr>
          <w:t xml:space="preserve">capítulo 3.3 · Diagramas de ciclos causales</w:t>
        </w:r>
      </w:hyperlink>
      <w:r>
        <w:t xml:space="preserve">, pág. </w:t>
      </w:r>
      <w:r>
        <w:fldChar w:fldCharType="begin"/>
        <w:instrText xml:space="preserve">PAGEREF b_3_3 \h</w:instrText>
        <w:fldChar w:fldCharType="separate"/>
        <w:t xml:space="preserve">443</w:t>
        <w:fldChar w:fldCharType="end"/>
      </w:r>
      <w:r>
        <w:t xml:space="preserve">.</w:t>
      </w:r>
    </w:p>
    <w:p>
      <w:pPr>
        <w:pStyle w:val="Fuente"/>
      </w:pPr>
      <w:r>
        <w:t xml:space="preserve">Véase </w:t>
      </w:r>
      <w:hyperlink w:history="1" w:anchor="b_3_4">
        <w:r>
          <w:rPr>
            <w:color w:val="156B70"/>
            <w:u w:val="single"/>
          </w:rPr>
          <w:t xml:space="preserve">capítulo 3.4 · Interdependencias sistémicas</w:t>
        </w:r>
      </w:hyperlink>
      <w:r>
        <w:t xml:space="preserve">, pág. </w:t>
      </w:r>
      <w:r>
        <w:fldChar w:fldCharType="begin"/>
        <w:instrText xml:space="preserve">PAGEREF b_3_4 \h</w:instrText>
        <w:fldChar w:fldCharType="separate"/>
        <w:t xml:space="preserve">476</w:t>
        <w:fldChar w:fldCharType="end"/>
      </w:r>
      <w:r>
        <w:t xml:space="preserve">.</w:t>
      </w:r>
    </w:p>
    <w:p>
      <w:pPr>
        <w:pStyle w:val="Heading3"/>
      </w:pPr>
      <w:bookmarkStart w:name="b_pagina_3_5_C_2_p87" w:id="2841"/>
      <w:r>
        <w:t xml:space="preserve">C-2 · página 87 · ¿Qué tipo de retroalimentación presentan los diagramas?</w:t>
      </w:r>
      <w:bookmarkEnd w:id="2841"/>
    </w:p>
    <w:p>
      <w:pPr>
        <w:pStyle w:val="Normal"/>
      </w:pPr>
      <w:r>
        <w:t xml:space="preserve">Clasificar hambre y caída con resistencia del aire mediante el retorno que compensa el cambio.</w:t>
      </w:r>
    </w:p>
    <w:p>
      <w:pPr>
        <w:pStyle w:val="Fuente"/>
      </w:pPr>
      <w:r>
        <w:t xml:space="preserve">Proyección o explicación: Clase 15 · 00:20:58 · captura c15-07.</w:t>
      </w:r>
    </w:p>
    <w:p>
      <w:bookmarkStart w:name="b_punto_c2_p087_01" w:id="2842"/>
      <w:r>
        <w:t xml:space="preserve">Hambre → consumo de alimentos → hambre es un balance: comer reduce la condición que provoca la acción.</w:t>
      </w:r>
      <w:bookmarkEnd w:id="2842"/>
    </w:p>
    <w:p>
      <w:bookmarkStart w:name="b_punto_c2_p087_02" w:id="2843"/>
      <w:r>
        <w:t xml:space="preserve">Velocidad de caída → resistencia del aire → velocidad es un balance; la aceleración gravitacional entra desde fuera del lazo.</w:t>
      </w:r>
      <w:bookmarkEnd w:id="2843"/>
    </w:p>
    <w:p>
      <w:bookmarkStart w:name="b_punto_c2_p087_03" w:id="2844"/>
      <w:r>
        <w:t xml:space="preserve">La aceleración externa no convierte el lazo de resistencia en refuerzo ni se incluye como recorrido cerrado.</w:t>
      </w:r>
      <w:bookmarkEnd w:id="2844"/>
    </w:p>
    <w:p>
      <w:pPr>
        <w:pStyle w:val="Heading3"/>
      </w:pPr>
      <w:bookmarkStart w:name="b_pagina_3_5_C_2_p93" w:id="2845"/>
      <w:r>
        <w:t xml:space="preserve">C-2 · página 93 · Ejercicio de mapas DCC: energía y pobreza</w:t>
      </w:r>
      <w:bookmarkEnd w:id="2845"/>
    </w:p>
    <w:p>
      <w:pPr>
        <w:pStyle w:val="Normal"/>
      </w:pPr>
      <w:r>
        <w:t xml:space="preserve">Localizar y clasificar recorridos cerrados entre cinco variables de energía, desarrollo y ambiente.</w:t>
      </w:r>
    </w:p>
    <w:p>
      <w:pPr>
        <w:pStyle w:val="Fuente"/>
      </w:pPr>
      <w:r>
        <w:t xml:space="preserve">Proyección o explicación: Clase 15 · 01:01:42 · captura c15-14.</w:t>
      </w:r>
    </w:p>
    <w:p>
      <w:bookmarkStart w:name="b_punto_c2_p093_01" w:id="2846"/>
      <w:r>
        <w:t xml:space="preserve">Las cinco variables son desarrollo, demanda de energía, pobreza, oferta de energía y condiciones ambientales.</w:t>
      </w:r>
      <w:bookmarkEnd w:id="2846"/>
    </w:p>
    <w:p>
      <w:bookmarkStart w:name="b_punto_c2_p093_03" w:id="2847"/>
      <w:r>
        <w:t xml:space="preserve">Un recorrido que incluye oferta, condiciones ambientales, desarrollo y pobreza vuelve a oferta y tiene balance.</w:t>
      </w:r>
      <w:bookmarkEnd w:id="2847"/>
    </w:p>
    <w:p>
      <w:pPr>
        <w:pStyle w:val="Fuente"/>
      </w:pPr>
      <w:r>
        <w:t xml:space="preserve">Véase </w:t>
      </w:r>
      <w:hyperlink w:history="1" w:anchor="b_3_3">
        <w:r>
          <w:rPr>
            <w:color w:val="156B70"/>
            <w:u w:val="single"/>
          </w:rPr>
          <w:t xml:space="preserve">capítulo 3.3 · Diagramas de ciclos causales</w:t>
        </w:r>
      </w:hyperlink>
      <w:r>
        <w:t xml:space="preserve">, pág. </w:t>
      </w:r>
      <w:r>
        <w:fldChar w:fldCharType="begin"/>
        <w:instrText xml:space="preserve">PAGEREF b_3_3 \h</w:instrText>
        <w:fldChar w:fldCharType="separate"/>
        <w:t xml:space="preserve">443</w:t>
        <w:fldChar w:fldCharType="end"/>
      </w:r>
      <w:r>
        <w:t xml:space="preserve">.</w:t>
      </w:r>
    </w:p>
    <w:p>
      <w:pPr>
        <w:pStyle w:val="Heading3"/>
      </w:pPr>
      <w:bookmarkStart w:name="b_pagina_3_5_C_2_p94" w:id="2848"/>
      <w:r>
        <w:t xml:space="preserve">C-2 · página 94 · Los seis ciclos de energía y pobreza</w:t>
      </w:r>
      <w:bookmarkEnd w:id="2848"/>
    </w:p>
    <w:p>
      <w:pPr>
        <w:pStyle w:val="Normal"/>
      </w:pPr>
      <w:r>
        <w:t xml:space="preserve">Solución por recorridos: tres ciclos de refuerzo y tres de balance.</w:t>
      </w:r>
    </w:p>
    <w:p>
      <w:pPr>
        <w:pStyle w:val="Fuente"/>
      </w:pPr>
      <w:r>
        <w:t xml:space="preserve">Proyección o explicación: Clase 15 · 01:19:29 · captura c15-15.</w:t>
      </w:r>
    </w:p>
    <w:p>
      <w:bookmarkStart w:name="b_punto_c2_p094_01" w:id="2849"/>
      <w:r>
        <w:t xml:space="preserve">OE–CA–D–P–OE es balance por el número impar de negativas.</w:t>
      </w:r>
      <w:bookmarkEnd w:id="2849"/>
    </w:p>
    <w:p>
      <w:bookmarkStart w:name="b_punto_c2_p094_02" w:id="2850"/>
      <w:r>
        <w:t xml:space="preserve">OE–D–P–OE es refuerzo por dos negativas.</w:t>
      </w:r>
      <w:bookmarkEnd w:id="2850"/>
    </w:p>
    <w:p>
      <w:bookmarkStart w:name="b_punto_c2_p094_03" w:id="2851"/>
      <w:r>
        <w:t xml:space="preserve">OE–D–DE–OE es refuerzo, con todas sus relaciones positivas.</w:t>
      </w:r>
      <w:bookmarkEnd w:id="2851"/>
    </w:p>
    <w:p>
      <w:bookmarkStart w:name="b_punto_c2_p094_04" w:id="2852"/>
      <w:r>
        <w:t xml:space="preserve">OE–D–DE–P–OE es refuerzo por dos negativas.</w:t>
      </w:r>
      <w:bookmarkEnd w:id="2852"/>
    </w:p>
    <w:p>
      <w:bookmarkStart w:name="b_punto_c2_p094_05" w:id="2853"/>
      <w:r>
        <w:t xml:space="preserve">OE–CA–D–DE–OE es balance.</w:t>
      </w:r>
      <w:bookmarkEnd w:id="2853"/>
    </w:p>
    <w:p>
      <w:bookmarkStart w:name="b_punto_c2_p094_06" w:id="2854"/>
      <w:r>
        <w:t xml:space="preserve">OE–CA–D–DE–P–OE es balance: los seis recorridos se reparten en tres R y tres B.</w:t>
      </w:r>
      <w:bookmarkEnd w:id="2854"/>
    </w:p>
    <w:p>
      <w:pPr>
        <w:pStyle w:val="Heading3"/>
      </w:pPr>
      <w:bookmarkStart w:name="b_pagina_3_5_C_2_p100" w:id="2855"/>
      <w:r>
        <w:t xml:space="preserve">C-2 · página 100 · Las consecuencias de buscar culpables</w:t>
      </w:r>
      <w:bookmarkEnd w:id="2855"/>
    </w:p>
    <w:p>
      <w:pPr>
        <w:pStyle w:val="Normal"/>
      </w:pPr>
      <w:r>
        <w:t xml:space="preserve">Dos modelos explican refuerzo de errores y adicción a una solución sintomática que deteriora la capacidad de resolver.</w:t>
      </w:r>
    </w:p>
    <w:p>
      <w:pPr>
        <w:pStyle w:val="Fuente"/>
      </w:pPr>
      <w:r>
        <w:t xml:space="preserve">Proyección o explicación: Clase 16 · 00:29:48 · captura c16-04.</w:t>
      </w:r>
    </w:p>
    <w:p>
      <w:bookmarkStart w:name="b_punto_c2_p100_01" w:id="2856"/>
      <w:r>
        <w:t xml:space="preserve">Culpa→miedo→encubrimientos→menos información→menos conocimiento→menos habilidad de resolver→más errores forma un refuerzo.</w:t>
      </w:r>
      <w:bookmarkEnd w:id="2856"/>
    </w:p>
    <w:p>
      <w:bookmarkStart w:name="b_punto_c2_p100_02" w:id="2857"/>
      <w:r>
        <w:t xml:space="preserve">El miedo también reduce la toma de riesgos y con ello la innovación y la habilidad de resolver: segundo refuerzo.</w:t>
      </w:r>
      <w:bookmarkEnd w:id="2857"/>
    </w:p>
    <w:p>
      <w:bookmarkStart w:name="b_punto_c2_p100_03" w:id="2858"/>
      <w:r>
        <w:t xml:space="preserve">La adicción a la culpa incluye B1 de alivio sintomático, B2 de solución real demorada y R3 de deterioro de la comunicación y de la capacidad de responsabilizarse.</w:t>
      </w:r>
      <w:bookmarkEnd w:id="2858"/>
    </w:p>
    <w:p>
      <w:bookmarkStart w:name="b_punto_c2_p100_04" w:id="2859"/>
      <w:r>
        <w:t xml:space="preserve">Las marcas de demora no cambian la clasificación por paridad de los ciclos.</w:t>
      </w:r>
      <w:bookmarkEnd w:id="2859"/>
    </w:p>
    <w:p>
      <w:pPr>
        <w:pStyle w:val="Heading3"/>
      </w:pPr>
      <w:bookmarkStart w:name="b_pagina_3_5_C_2_p101" w:id="2860"/>
      <w:r>
        <w:t xml:space="preserve">C-2 · página 101 · Lineamientos para construir DCC</w:t>
      </w:r>
      <w:bookmarkEnd w:id="2860"/>
    </w:p>
    <w:p>
      <w:pPr>
        <w:pStyle w:val="Normal"/>
      </w:pPr>
      <w:r>
        <w:t xml:space="preserve">Insertar variables intermedias cuando hagan falta y clasificar por paridad, comprobando después la lectura.</w:t>
      </w:r>
    </w:p>
    <w:p>
      <w:pPr>
        <w:pStyle w:val="Fuente"/>
      </w:pPr>
      <w:r>
        <w:t xml:space="preserve">Proyección o explicación: Clase 16 · 00:41:57 · captura c16-06.</w:t>
      </w:r>
    </w:p>
    <w:p>
      <w:pPr>
        <w:pStyle w:val="Fuente"/>
      </w:pPr>
      <w:r>
        <w:t xml:space="preserve">Véase </w:t>
      </w:r>
      <w:hyperlink w:history="1" w:anchor="b_figura_original_pagina_C_2_101">
        <w:r>
          <w:rPr>
            <w:color w:val="156B70"/>
            <w:u w:val="single"/>
          </w:rPr>
          <w:t xml:space="preserve">imagen de C-2, página 101</w:t>
        </w:r>
      </w:hyperlink>
      <w:r>
        <w:t xml:space="preserve">, pág. </w:t>
      </w:r>
      <w:r>
        <w:fldChar w:fldCharType="begin"/>
        <w:instrText xml:space="preserve">PAGEREF b_figura_original_pagina_C_2_101 \h</w:instrText>
        <w:fldChar w:fldCharType="separate"/>
        <w:t xml:space="preserve">457</w:t>
        <w:fldChar w:fldCharType="end"/>
      </w:r>
      <w:r>
        <w:t xml:space="preserve">.</w:t>
      </w:r>
    </w:p>
    <w:p>
      <w:bookmarkStart w:name="b_punto_c2_p101_04" w:id="2861"/>
      <w:r>
        <w:t xml:space="preserve">El diagrama del banco de la presentación tiene cuatro negativas, por lo que es de refuerzo.</w:t>
      </w:r>
      <w:bookmarkEnd w:id="2861"/>
    </w:p>
    <w:p>
      <w:pPr>
        <w:pStyle w:val="Fuente"/>
      </w:pPr>
      <w:r>
        <w:t xml:space="preserve">Véase </w:t>
      </w:r>
      <w:hyperlink w:history="1" w:anchor="b_3_3">
        <w:r>
          <w:rPr>
            <w:color w:val="156B70"/>
            <w:u w:val="single"/>
          </w:rPr>
          <w:t xml:space="preserve">capítulo 3.3 · Diagramas de ciclos causales</w:t>
        </w:r>
      </w:hyperlink>
      <w:r>
        <w:t xml:space="preserve">, pág. </w:t>
      </w:r>
      <w:r>
        <w:fldChar w:fldCharType="begin"/>
        <w:instrText xml:space="preserve">PAGEREF b_3_3 \h</w:instrText>
        <w:fldChar w:fldCharType="separate"/>
        <w:t xml:space="preserve">443</w:t>
        <w:fldChar w:fldCharType="end"/>
      </w:r>
      <w:r>
        <w:t xml:space="preserve">.</w:t>
      </w:r>
    </w:p>
    <w:p>
      <w:pPr>
        <w:pStyle w:val="Heading3"/>
      </w:pPr>
      <w:bookmarkStart w:name="b_pagina_3_5_C_2_p102" w:id="2862"/>
      <w:r>
        <w:t xml:space="preserve">C-2 · página 102 · Proalimentación</w:t>
      </w:r>
      <w:bookmarkEnd w:id="2862"/>
    </w:p>
    <w:p>
      <w:pPr>
        <w:pStyle w:val="Normal"/>
      </w:pPr>
      <w:r>
        <w:t xml:space="preserve">La anticipación del futuro genera acciones presentes; distinguir profecías que se cumplen y contraproducentes según el vocabulario del curso.</w:t>
      </w:r>
    </w:p>
    <w:p>
      <w:pPr>
        <w:pStyle w:val="Fuente"/>
      </w:pPr>
      <w:r>
        <w:t xml:space="preserve">Proyección o explicación: Clase 16 · 00:49:47 · captura c16-08.</w:t>
      </w:r>
    </w:p>
    <w:p>
      <w:bookmarkStart w:name="b_punto_c2_p102_01" w:id="2863"/>
      <w:r>
        <w:t xml:space="preserve">Proalimentación es la acción presente provocada por anticipar un efecto futuro aún no ocurrido.</w:t>
      </w:r>
      <w:bookmarkEnd w:id="2863"/>
    </w:p>
    <w:p>
      <w:bookmarkStart w:name="b_punto_c2_p102_02" w:id="2864"/>
      <w:r>
        <w:t xml:space="preserve">Según el vocabulario del curso, de refuerzo aparta del estado predicho y produce una profecía contraproducente.</w:t>
      </w:r>
      <w:bookmarkEnd w:id="2864"/>
    </w:p>
    <w:p>
      <w:bookmarkStart w:name="b_punto_c2_p102_03" w:id="2865"/>
      <w:r>
        <w:t xml:space="preserve">De compensación conduce al estado predicho: la predicción se cumple.</w:t>
      </w:r>
      <w:bookmarkEnd w:id="2865"/>
    </w:p>
    <w:p>
      <w:bookmarkStart w:name="b_punto_c2_p102_04" w:id="2866"/>
      <w:r>
        <w:t xml:space="preserve">Expectativa de escasez→compra→escasez→expectativa ejemplifica la predicción que se cumple, aunque el ciclo causal sea de refuerzo.</w:t>
      </w:r>
      <w:bookmarkEnd w:id="2866"/>
    </w:p>
    <w:p>
      <w:bookmarkStart w:name="b_punto_c2_p102_05" w:id="2867"/>
      <w:r>
        <w:t xml:space="preserve">Un atleta al que predicen derrota puede esforzarse más y ganar: la anticipación impide lo anunciado.</w:t>
      </w:r>
      <w:bookmarkEnd w:id="2867"/>
    </w:p>
    <w:p>
      <w:pPr>
        <w:pStyle w:val="Heading3"/>
      </w:pPr>
      <w:bookmarkStart w:name="b_pagina_3_5_C_2_p103" w:id="2868"/>
      <w:r>
        <w:t xml:space="preserve">C-2 · página 103 · Modelo presa-depredador</w:t>
      </w:r>
      <w:bookmarkEnd w:id="2868"/>
    </w:p>
    <w:p>
      <w:pPr>
        <w:pStyle w:val="Normal"/>
      </w:pPr>
      <w:r>
        <w:t xml:space="preserve">Nacimientos y muertes de conejos y zorros se acoplan mediante alimento y depredación.</w:t>
      </w:r>
    </w:p>
    <w:p>
      <w:pPr>
        <w:pStyle w:val="Fuente"/>
      </w:pPr>
      <w:r>
        <w:t xml:space="preserve">Proyección o explicación: Clase 16 · 01:02:36 · captura c16-09.</w:t>
      </w:r>
    </w:p>
    <w:p>
      <w:bookmarkStart w:name="b_punto_c2_p103_02" w:id="2869"/>
      <w:r>
        <w:t xml:space="preserve">Más conejos permiten más nacimientos de zorros; más zorros aumentan las muertes de conejos, acoplando ambas poblaciones.</w:t>
      </w:r>
      <w:bookmarkEnd w:id="2869"/>
    </w:p>
    <w:p>
      <w:pPr>
        <w:pStyle w:val="Fuente"/>
      </w:pPr>
      <w:r>
        <w:t xml:space="preserve">Véase </w:t>
      </w:r>
      <w:hyperlink w:history="1" w:anchor="b_3_8">
        <w:r>
          <w:rPr>
            <w:color w:val="156B70"/>
            <w:u w:val="single"/>
          </w:rPr>
          <w:t xml:space="preserve">capítulo 3.8 · Patrones y tendencias</w:t>
        </w:r>
      </w:hyperlink>
      <w:r>
        <w:t xml:space="preserve">, pág. </w:t>
      </w:r>
      <w:r>
        <w:fldChar w:fldCharType="begin"/>
        <w:instrText xml:space="preserve">PAGEREF b_3_8 \h</w:instrText>
        <w:fldChar w:fldCharType="separate"/>
        <w:t xml:space="preserve">597</w:t>
        <w:fldChar w:fldCharType="end"/>
      </w:r>
      <w:r>
        <w:t xml:space="preserve">.</w:t>
      </w:r>
    </w:p>
    <w:p>
      <w:pPr>
        <w:pStyle w:val="Fuente"/>
      </w:pPr>
      <w:r>
        <w:t xml:space="preserve">Véase </w:t>
      </w:r>
      <w:hyperlink w:history="1" w:anchor="b_3_7">
        <w:r>
          <w:rPr>
            <w:color w:val="156B70"/>
            <w:u w:val="single"/>
          </w:rPr>
          <w:t xml:space="preserve">capítulo 3.7 · Demoras de tiempo</w:t>
        </w:r>
      </w:hyperlink>
      <w:r>
        <w:t xml:space="preserve">, pág. </w:t>
      </w:r>
      <w:r>
        <w:fldChar w:fldCharType="begin"/>
        <w:instrText xml:space="preserve">PAGEREF b_3_7 \h</w:instrText>
        <w:fldChar w:fldCharType="separate"/>
        <w:t xml:space="preserve">580</w:t>
        <w:fldChar w:fldCharType="end"/>
      </w:r>
      <w:r>
        <w:t xml:space="preserve">.</w:t>
      </w:r>
    </w:p>
    <w:p>
      <w:pPr>
        <w:pStyle w:val="Heading3"/>
      </w:pPr>
      <w:bookmarkStart w:name="b_pagina_3_5_C_2_p109" w:id="2870"/>
      <w:r>
        <w:t xml:space="preserve">C-2 · página 109 · Historia del nenúfar</w:t>
      </w:r>
      <w:bookmarkEnd w:id="2870"/>
    </w:p>
    <w:p>
      <w:pPr>
        <w:pStyle w:val="Normal"/>
      </w:pPr>
      <w:r>
        <w:t xml:space="preserve">Un crecimiento que duplica cada día pasa de medio estanque a cubrirlo completo en un día.</w:t>
      </w:r>
    </w:p>
    <w:p>
      <w:pPr>
        <w:pStyle w:val="Fuente"/>
      </w:pPr>
      <w:r>
        <w:t xml:space="preserve">Proyección o explicación: Clase 16 · 01:31:27 · captura c16-15.</w:t>
      </w:r>
    </w:p>
    <w:p>
      <w:bookmarkStart w:name="b_punto_c2_p109_01" w:id="2871"/>
      <w:r>
        <w:t xml:space="preserve">El nenúfar duplica su tamaño cada día y en el día 30 ocupa medio estanque.</w:t>
      </w:r>
      <w:bookmarkEnd w:id="2871"/>
    </w:p>
    <w:p>
      <w:bookmarkStart w:name="b_punto_c2_p109_02" w:id="2872"/>
      <w:r>
        <w:t xml:space="preserve">Al día siguiente, el 31, ocupa el estanque entero: queda un día para evitarlo, no otros treinta.</w:t>
      </w:r>
      <w:bookmarkEnd w:id="2872"/>
    </w:p>
    <w:p>
      <w:bookmarkStart w:name="b_punto_c2_p109_03" w:id="2873"/>
      <w:r>
        <w:t xml:space="preserve">El caso muestra crecimiento exponencial: un comienzo pequeño puede ocultar un cambio final muy rápido.</w:t>
      </w:r>
      <w:bookmarkEnd w:id="2873"/>
    </w:p>
    <w:p>
      <w:pPr>
        <w:pStyle w:val="Heading3"/>
      </w:pPr>
      <w:bookmarkStart w:name="b_pagina_3_5_C_2_p114" w:id="2874"/>
      <w:r>
        <w:t xml:space="preserve">C-2 · página 114 · Bucles de realimentación negativa</w:t>
      </w:r>
      <w:bookmarkEnd w:id="2874"/>
    </w:p>
    <w:p>
      <w:pPr>
        <w:pStyle w:val="Normal"/>
      </w:pPr>
      <w:r>
        <w:t xml:space="preserve">El cambio recorre el bucle y vuelve en sentido contrario; la figura ilustra aproximación a una meta.</w:t>
      </w:r>
    </w:p>
    <w:p>
      <w:pPr>
        <w:pStyle w:val="Fuente"/>
      </w:pPr>
      <w:r>
        <w:t xml:space="preserve">Proyección o explicación: Clase 16 · 01:37:54 · captura c16-20.</w:t>
      </w:r>
    </w:p>
    <w:p>
      <w:bookmarkStart w:name="b_punto_c2_p114_01" w:id="2875"/>
      <w:r>
        <w:t xml:space="preserve">En un bucle negativo, el efecto del cambio regresa en sentido contrario al cambio que lo inició.</w:t>
      </w:r>
      <w:bookmarkEnd w:id="2875"/>
    </w:p>
    <w:p>
      <w:bookmarkStart w:name="b_punto_c2_p114_02" w:id="2876"/>
      <w:r>
        <w:t xml:space="preserve">El ejemplo tiene A→B y B→C positivos, y C→A negativo.</w:t>
      </w:r>
      <w:bookmarkEnd w:id="2876"/>
    </w:p>
    <w:p>
      <w:bookmarkStart w:name="b_punto_c2_p114_03" w:id="2877"/>
      <w:r>
        <w:t xml:space="preserve">La gráfica ilustrada crece y se aplana hacia un límite, un caso de aproximación a una meta.</w:t>
      </w:r>
      <w:bookmarkEnd w:id="2877"/>
    </w:p>
    <w:p>
      <w:pPr>
        <w:pStyle w:val="Heading3"/>
      </w:pPr>
      <w:bookmarkStart w:name="b_pagina_3_5_C_2_p115" w:id="2878"/>
      <w:r>
        <w:t xml:space="preserve">C-2 · página 115 · Bucles negativos: recorrido A–B–C</w:t>
      </w:r>
      <w:bookmarkEnd w:id="2878"/>
    </w:p>
    <w:p>
      <w:pPr>
        <w:pStyle w:val="Normal"/>
      </w:pPr>
      <w:r>
        <w:t xml:space="preserve">Dos influencias positivas y una negativa contrarrestan la variación de partida.</w:t>
      </w:r>
    </w:p>
    <w:p>
      <w:bookmarkStart w:name="b_punto_c2_p115_01" w:id="2879"/>
      <w:r>
        <w:t xml:space="preserve">Un aumento de A aumenta B y luego C, cuyo efecto disminuye A y compensa el cambio inicial.</w:t>
      </w:r>
      <w:bookmarkEnd w:id="2879"/>
    </w:p>
    <w:p>
      <w:bookmarkStart w:name="b_punto_c2_p115_02" w:id="2880"/>
      <w:r>
        <w:t xml:space="preserve">La variación inicial tiende a contrarrestarse en este ejemplo de realimentación negativa.</w:t>
      </w:r>
      <w:bookmarkEnd w:id="2880"/>
    </w:p>
    <w:p>
      <w:bookmarkStart w:name="b_punto_c2_p115_03" w:id="2881"/>
      <w:r>
        <w:t xml:space="preserve">La curva mostrada es un crecimiento acotado hacia un nivel objetivo, no crecimiento sin freno.</w:t>
      </w:r>
      <w:bookmarkEnd w:id="2881"/>
    </w:p>
    <w:p>
      <w:pPr>
        <w:pStyle w:val="Heading3"/>
      </w:pPr>
      <w:bookmarkStart w:name="b_pagina_3_5_C_2_p116" w:id="2882"/>
      <w:r>
        <w:t xml:space="preserve">C-2 · página 116 · Bucles negativos: equilibrio y paridad</w:t>
      </w:r>
      <w:bookmarkEnd w:id="2882"/>
    </w:p>
    <w:p>
      <w:pPr>
        <w:pStyle w:val="Normal"/>
      </w:pPr>
      <w:r>
        <w:t xml:space="preserve">La compensación tiende a equilibrar y se identifica por un número impar de relaciones negativas.</w:t>
      </w:r>
    </w:p>
    <w:p>
      <w:bookmarkStart w:name="b_punto_c2_p116_01" w:id="2883"/>
      <w:r>
        <w:t xml:space="preserve">La realimentación negativa tiende a producir equilibrio o aproximación al objetivo.</w:t>
      </w:r>
      <w:bookmarkEnd w:id="2883"/>
    </w:p>
    <w:p>
      <w:bookmarkStart w:name="b_punto_c2_p116_02" w:id="2884"/>
      <w:r>
        <w:t xml:space="preserve">Un número impar de relaciones negativas identifica un ciclo de balance.</w:t>
      </w:r>
      <w:bookmarkEnd w:id="2884"/>
    </w:p>
    <w:p>
      <w:bookmarkStart w:name="b_punto_c2_p116_03" w:id="2885"/>
      <w:r>
        <w:t xml:space="preserve">La gráfica crece cada vez menos hasta el límite, consistente con la lectura de compensación del ejemplo.</w:t>
      </w:r>
      <w:bookmarkEnd w:id="2885"/>
    </w:p>
    <w:p>
      <w:pPr>
        <w:pStyle w:val="Heading3"/>
      </w:pPr>
      <w:bookmarkStart w:name="b_pagina_3_5_C_2_p117" w:id="2886"/>
      <w:r>
        <w:t xml:space="preserve">C-2 · página 117 · Bucles de realimentación positiva</w:t>
      </w:r>
      <w:bookmarkEnd w:id="2886"/>
    </w:p>
    <w:p>
      <w:pPr>
        <w:pStyle w:val="Normal"/>
      </w:pPr>
      <w:r>
        <w:t xml:space="preserve">El cambio vuelve amplificado a su punto de partida; la figura muestra crecimiento sin cota en ese modelo.</w:t>
      </w:r>
    </w:p>
    <w:p>
      <w:pPr>
        <w:pStyle w:val="Fuente"/>
      </w:pPr>
      <w:r>
        <w:t xml:space="preserve">Proyección o explicación: Clase 16 · 01:39:03 · captura c16-21.</w:t>
      </w:r>
    </w:p>
    <w:p>
      <w:bookmarkStart w:name="b_punto_c2_p117_01" w:id="2887"/>
      <w:r>
        <w:t xml:space="preserve">En un bucle positivo, la variación regresa reforzada al elemento inicial.</w:t>
      </w:r>
      <w:bookmarkEnd w:id="2887"/>
    </w:p>
    <w:p>
      <w:bookmarkStart w:name="b_punto_c2_p117_02" w:id="2888"/>
      <w:r>
        <w:t xml:space="preserve">El ejemplo A→B→C→A tiene tres relaciones positivas y cero negativas: es de refuerzo.</w:t>
      </w:r>
      <w:bookmarkEnd w:id="2888"/>
    </w:p>
    <w:p>
      <w:pPr>
        <w:pStyle w:val="Fuente"/>
      </w:pPr>
      <w:r>
        <w:t xml:space="preserve">Véase </w:t>
      </w:r>
      <w:hyperlink w:history="1" w:anchor="b_3_8">
        <w:r>
          <w:rPr>
            <w:color w:val="156B70"/>
            <w:u w:val="single"/>
          </w:rPr>
          <w:t xml:space="preserve">capítulo 3.8 · Patrones y tendencias</w:t>
        </w:r>
      </w:hyperlink>
      <w:r>
        <w:t xml:space="preserve">, pág. </w:t>
      </w:r>
      <w:r>
        <w:fldChar w:fldCharType="begin"/>
        <w:instrText xml:space="preserve">PAGEREF b_3_8 \h</w:instrText>
        <w:fldChar w:fldCharType="separate"/>
        <w:t xml:space="preserve">597</w:t>
        <w:fldChar w:fldCharType="end"/>
      </w:r>
      <w:r>
        <w:t xml:space="preserve">.</w:t>
      </w:r>
    </w:p>
    <w:p>
      <w:pPr>
        <w:pStyle w:val="Heading3"/>
      </w:pPr>
      <w:bookmarkStart w:name="b_pagina_3_5_C_2_p118" w:id="2889"/>
      <w:r>
        <w:t xml:space="preserve">C-2 · página 118 · Bucles positivos: recorrido A–B–C</w:t>
      </w:r>
      <w:bookmarkEnd w:id="2889"/>
    </w:p>
    <w:p>
      <w:pPr>
        <w:pStyle w:val="Normal"/>
      </w:pPr>
      <w:r>
        <w:t xml:space="preserve">Las tres relaciones positivas encadenan aumentos que regresan como nuevo aumento de A.</w:t>
      </w:r>
    </w:p>
    <w:p>
      <w:bookmarkStart w:name="b_punto_c2_p118_01" w:id="2890"/>
      <w:r>
        <w:t xml:space="preserve">En el ejemplo, un aumento de A aumenta B, después C y vuelve a aumentar A, reiniciando el proceso.</w:t>
      </w:r>
      <w:bookmarkEnd w:id="2890"/>
    </w:p>
    <w:p>
      <w:bookmarkStart w:name="b_punto_c2_p118_02" w:id="2891"/>
      <w:r>
        <w:t xml:space="preserve">Refuerzo describe amplificación del movimiento, también de una disminución, y no significa resultado deseable.</w:t>
      </w:r>
      <w:bookmarkEnd w:id="2891"/>
    </w:p>
    <w:p>
      <w:pPr>
        <w:pStyle w:val="Heading3"/>
      </w:pPr>
      <w:bookmarkStart w:name="b_pagina_3_5_C_2_p119" w:id="2892"/>
      <w:r>
        <w:t xml:space="preserve">C-2 · página 119 · Bucles positivos: regla de paridad</w:t>
      </w:r>
      <w:bookmarkEnd w:id="2892"/>
    </w:p>
    <w:p>
      <w:pPr>
        <w:pStyle w:val="Normal"/>
      </w:pPr>
      <w:r>
        <w:t xml:space="preserve">Un número par de relaciones negativas, incluido cero, da un ciclo de refuerzo.</w:t>
      </w:r>
    </w:p>
    <w:p>
      <w:bookmarkStart w:name="b_punto_c2_p119_01" w:id="2893"/>
      <w:r>
        <w:t xml:space="preserve">Un número par de negativas, incluido cero, corresponde a un ciclo positivo o de refuerzo.</w:t>
      </w:r>
      <w:bookmarkEnd w:id="2893"/>
    </w:p>
    <w:p>
      <w:bookmarkStart w:name="b_punto_c2_p119_02" w:id="2894"/>
      <w:r>
        <w:t xml:space="preserve">El dibujo A→B→C→A con tres positivas satisface esa regla y la curva representa el crecimiento amplificado del ejemplo.</w:t>
      </w:r>
      <w:bookmarkEnd w:id="2894"/>
    </w:p>
    <w:p>
      <w:pPr>
        <w:pStyle w:val="Heading3"/>
      </w:pPr>
      <w:bookmarkStart w:name="b_pagina_3_5_C_2_p126" w:id="2895"/>
      <w:r>
        <w:t xml:space="preserve">C-2 · página 126 · Ampliando la historia: punto de partida</w:t>
      </w:r>
      <w:bookmarkEnd w:id="2895"/>
    </w:p>
    <w:p>
      <w:pPr>
        <w:pStyle w:val="Normal"/>
      </w:pPr>
      <w:r>
        <w:t xml:space="preserve">Repite el B1 básico antes de incorporar otros mecanismos.</w:t>
      </w:r>
    </w:p>
    <w:p>
      <w:bookmarkStart w:name="b_punto_c2_p126_01" w:id="2896"/>
      <w:r>
        <w:t xml:space="preserve">El primer paso de la ampliación conserva B1 y el tiempo externo, antes de distinguir mecanismos que la historia simple excluía.</w:t>
      </w:r>
      <w:bookmarkEnd w:id="2896"/>
    </w:p>
    <w:p>
      <w:bookmarkStart w:name="b_punto_c2_p126_02" w:id="2897"/>
      <w:r>
        <w:t xml:space="preserve">La presión compensa mediante más trabajo extra y menor trabajo pendiente mientras no dominen otros ciclos.</w:t>
      </w:r>
      <w:bookmarkEnd w:id="2897"/>
    </w:p>
    <w:p>
      <w:pPr>
        <w:pStyle w:val="Heading3"/>
      </w:pPr>
      <w:bookmarkStart w:name="b_pagina_3_5_C_2_p127" w:id="2898"/>
      <w:r>
        <w:t xml:space="preserve">C-2 · página 127 · Ampliando la historia: fatiga y productividad</w:t>
      </w:r>
      <w:bookmarkEnd w:id="2898"/>
    </w:p>
    <w:p>
      <w:pPr>
        <w:pStyle w:val="Normal"/>
      </w:pPr>
      <w:r>
        <w:t xml:space="preserve">R1 contrapone al alivio inmediato el desgaste causado por el trabajo extra.</w:t>
      </w:r>
    </w:p>
    <w:p>
      <w:pPr>
        <w:keepNext/>
        <w:spacing w:after="40" w:before="150"/>
        <w:jc w:val="center"/>
      </w:pPr>
      <w:bookmarkStart w:name="b_figura_original_pagina_C_2_127" w:id="2899"/>
      <w:bookmarkEnd w:id="2899"/>
      <w:r>
        <w:drawing>
          <wp:inline distT="0" distB="0" distL="0" distR="0">
            <wp:extent cx="5381625" cy="4162425"/>
            <wp:effectExtent t="0" r="0" b="0" l="0"/>
            <wp:docPr id="65" name="pagina-C-2-127" descr="Presentación C-2, pág. 127" title="Ampliando la historia: fatiga y productivid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50" cstate="none"/>
                    <a:srcRect/>
                    <a:stretch>
                      <a:fillRect/>
                    </a:stretch>
                  </pic:blipFill>
                  <pic:spPr bwMode="auto">
                    <a:xfrm>
                      <a:off x="0" y="0"/>
                      <a:ext cx="5381625" cy="4162425"/>
                    </a:xfrm>
                    <a:prstGeom prst="rect">
                      <a:avLst/>
                    </a:prstGeom>
                  </pic:spPr>
                </pic:pic>
              </a:graphicData>
            </a:graphic>
          </wp:inline>
        </w:drawing>
      </w:r>
    </w:p>
    <w:p>
      <w:pPr>
        <w:pStyle w:val="PieFigura"/>
        <w:keepNext/>
      </w:pPr>
      <w:bookmarkStart w:name="b_fig_3_5_3" w:id="2900"/>
      <w:r>
        <w:t xml:space="preserve">Figura 3.5.</w:t>
      </w:r>
      <w:fldSimple w:instr="SEQ Figura \n \* ARABIC">
        <w:r>
          <w:t xml:space="preserve">3</w:t>
        </w:r>
      </w:fldSimple>
      <w:r>
        <w:t xml:space="preserve"> · Ampliando la historia: fatiga y productividad</w:t>
      </w:r>
      <w:bookmarkEnd w:id="2900"/>
    </w:p>
    <w:p>
      <w:pPr>
        <w:pStyle w:val="Fuente"/>
      </w:pPr>
      <w:r>
        <w:t xml:space="preserve">Presentación C-2, pág. 127</w:t>
      </w:r>
    </w:p>
    <w:p>
      <w:bookmarkStart w:name="b_punto_c2_p127_01" w:id="2901"/>
      <w:r>
        <w:t xml:space="preserve">Más trabajo extra aumenta la fatiga con demora; más fatiga reduce productividad y con ella la tasa de terminación.</w:t>
      </w:r>
      <w:bookmarkEnd w:id="2901"/>
    </w:p>
    <w:p>
      <w:bookmarkStart w:name="b_punto_c2_p127_02" w:id="2902"/>
      <w:r>
        <w:t xml:space="preserve">Menor terminación mantiene más trabajo pendiente y más presión, que estimula todavía más trabajo extra: R1, Explosión.</w:t>
      </w:r>
      <w:bookmarkEnd w:id="2902"/>
    </w:p>
    <w:p>
      <w:bookmarkStart w:name="b_punto_c2_p127_03" w:id="2903"/>
      <w:r>
        <w:t xml:space="preserve">La demora de este nuevo mecanismo está en trabajo extra→fatiga, como muestra el dibujo y la explicación del banco.</w:t>
      </w:r>
      <w:bookmarkEnd w:id="2903"/>
    </w:p>
    <w:p>
      <w:pPr>
        <w:pStyle w:val="Fuente"/>
      </w:pPr>
      <w:r>
        <w:t xml:space="preserve">Véase </w:t>
      </w:r>
      <w:hyperlink w:history="1" w:anchor="b_3_7">
        <w:r>
          <w:rPr>
            <w:color w:val="156B70"/>
            <w:u w:val="single"/>
          </w:rPr>
          <w:t xml:space="preserve">capítulo 3.7 · Demoras de tiempo</w:t>
        </w:r>
      </w:hyperlink>
      <w:r>
        <w:t xml:space="preserve">, pág. </w:t>
      </w:r>
      <w:r>
        <w:fldChar w:fldCharType="begin"/>
        <w:instrText xml:space="preserve">PAGEREF b_3_7 \h</w:instrText>
        <w:fldChar w:fldCharType="separate"/>
        <w:t xml:space="preserve">580</w:t>
        <w:fldChar w:fldCharType="end"/>
      </w:r>
      <w:r>
        <w:t xml:space="preserve">.</w:t>
      </w:r>
    </w:p>
    <w:p>
      <w:pPr>
        <w:pStyle w:val="Heading3"/>
      </w:pPr>
      <w:bookmarkStart w:name="b_pagina_3_5_C_2_p128" w:id="2904"/>
      <w:r>
        <w:t xml:space="preserve">C-2 · página 128 · Ampliando la historia: atajos</w:t>
      </w:r>
      <w:bookmarkEnd w:id="2904"/>
    </w:p>
    <w:p>
      <w:pPr>
        <w:pStyle w:val="Normal"/>
      </w:pPr>
      <w:r>
        <w:t xml:space="preserve">B2 acelera por menor tiempo dedicado a cada tarea y convive con la erosión por fatiga.</w:t>
      </w:r>
    </w:p>
    <w:p>
      <w:bookmarkStart w:name="b_punto_c2_p128_01" w:id="2905"/>
      <w:r>
        <w:t xml:space="preserve">Más presión reduce el tiempo dedicado a cada tarea; menos tiempo por tarea eleva productividad inmediata y terminación, aliviando presión: B2, Atajos.</w:t>
      </w:r>
      <w:bookmarkEnd w:id="2905"/>
    </w:p>
    <w:p>
      <w:bookmarkStart w:name="b_punto_c2_p128_02" w:id="2906"/>
      <w:r>
        <w:t xml:space="preserve">El modelo de esta etapa contiene B1, B2 y R1; no es el mismo alcance que la historia básica de un solo ciclo.</w:t>
      </w:r>
      <w:bookmarkEnd w:id="2906"/>
    </w:p>
    <w:p>
      <w:bookmarkStart w:name="b_punto_c2_p128_03" w:id="2907"/>
      <w:r>
        <w:t xml:space="preserve">Los ciclos comparten presión, productividad, terminación y pendientes, por lo que la solución inmediata puede competir con el desgaste.</w:t>
      </w:r>
      <w:bookmarkEnd w:id="2907"/>
    </w:p>
    <w:p>
      <w:pPr>
        <w:pStyle w:val="Heading3"/>
      </w:pPr>
      <w:bookmarkStart w:name="b_pagina_3_5_C_2_p129" w:id="2908"/>
      <w:r>
        <w:t xml:space="preserve">C-2 · página 129 · Ampliando la historia: errores y cuatro ciclos</w:t>
      </w:r>
      <w:bookmarkEnd w:id="2908"/>
    </w:p>
    <w:p>
      <w:pPr>
        <w:pStyle w:val="Normal"/>
      </w:pPr>
      <w:r>
        <w:t xml:space="preserve">R2 muestra el costo demorado de los atajos; el modelo completo tiene dos balances y dos refuerzos.</w:t>
      </w:r>
    </w:p>
    <w:p>
      <w:pPr>
        <w:pStyle w:val="Fuente"/>
      </w:pPr>
      <w:r>
        <w:t xml:space="preserve">Proyección o explicación: Clase 16 · 01:44:55 · captura c16-26.</w:t>
      </w:r>
    </w:p>
    <w:p>
      <w:pPr>
        <w:keepNext/>
        <w:spacing w:after="40" w:before="150"/>
        <w:jc w:val="center"/>
      </w:pPr>
      <w:bookmarkStart w:name="b_figura_original_pagina_C_2_129" w:id="2909"/>
      <w:bookmarkEnd w:id="2909"/>
      <w:r>
        <w:drawing>
          <wp:inline distT="0" distB="0" distL="0" distR="0">
            <wp:extent cx="5381625" cy="4162425"/>
            <wp:effectExtent t="0" r="0" b="0" l="0"/>
            <wp:docPr id="66" name="pagina-C-2-129" descr="Presentación C-2, pág. 129" title="Ampliando la historia: errores y cuatro cicl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51" cstate="none"/>
                    <a:srcRect/>
                    <a:stretch>
                      <a:fillRect/>
                    </a:stretch>
                  </pic:blipFill>
                  <pic:spPr bwMode="auto">
                    <a:xfrm>
                      <a:off x="0" y="0"/>
                      <a:ext cx="5381625" cy="4162425"/>
                    </a:xfrm>
                    <a:prstGeom prst="rect">
                      <a:avLst/>
                    </a:prstGeom>
                  </pic:spPr>
                </pic:pic>
              </a:graphicData>
            </a:graphic>
          </wp:inline>
        </w:drawing>
      </w:r>
    </w:p>
    <w:p>
      <w:pPr>
        <w:pStyle w:val="PieFigura"/>
        <w:keepNext/>
      </w:pPr>
      <w:bookmarkStart w:name="b_fig_3_5_4" w:id="2910"/>
      <w:r>
        <w:t xml:space="preserve">Figura 3.5.</w:t>
      </w:r>
      <w:fldSimple w:instr="SEQ Figura \n \* ARABIC">
        <w:r>
          <w:t xml:space="preserve">4</w:t>
        </w:r>
      </w:fldSimple>
      <w:r>
        <w:t xml:space="preserve"> · Ampliando la historia: errores y cuatro ciclos</w:t>
      </w:r>
      <w:bookmarkEnd w:id="2910"/>
    </w:p>
    <w:p>
      <w:pPr>
        <w:pStyle w:val="Fuente"/>
      </w:pPr>
      <w:r>
        <w:t xml:space="preserve">Presentación C-2, pág. 129</w:t>
      </w:r>
    </w:p>
    <w:p>
      <w:bookmarkStart w:name="b_punto_c2_p129_01" w:id="2911"/>
      <w:r>
        <w:t xml:space="preserve">Menos tiempo por tarea aumenta la tasa de error; los errores reducen productividad con demora y sostienen presión y atajos: R2.</w:t>
      </w:r>
      <w:bookmarkEnd w:id="2911"/>
    </w:p>
    <w:p>
      <w:bookmarkStart w:name="b_punto_c2_p129_02" w:id="2912"/>
      <w:r>
        <w:t xml:space="preserve">El modelo completo reúne B1 Midnight Oil, B2 Atajos, R1 Explosión y R2 De las carreras no queda sino el cansancio.</w:t>
      </w:r>
      <w:bookmarkEnd w:id="2912"/>
    </w:p>
    <w:p>
      <w:bookmarkStart w:name="b_punto_c2_p129_03" w:id="2913"/>
      <w:r>
        <w:t xml:space="preserve">La fatiga y los errores erosionan el resultado del trabajo extra cuando se excede la capacidad de sostenerlo; la ampliación se distingue del enunciado exigido.</w:t>
      </w:r>
      <w:bookmarkEnd w:id="2913"/>
    </w:p>
    <w:p>
      <w:pPr>
        <w:pStyle w:val="Fuente"/>
      </w:pPr>
      <w:r>
        <w:t xml:space="preserve">Véase </w:t>
      </w:r>
      <w:hyperlink w:history="1" w:anchor="b_3_7">
        <w:r>
          <w:rPr>
            <w:color w:val="156B70"/>
            <w:u w:val="single"/>
          </w:rPr>
          <w:t xml:space="preserve">capítulo 3.7 · Demoras de tiempo</w:t>
        </w:r>
      </w:hyperlink>
      <w:r>
        <w:t xml:space="preserve">, pág. </w:t>
      </w:r>
      <w:r>
        <w:fldChar w:fldCharType="begin"/>
        <w:instrText xml:space="preserve">PAGEREF b_3_7 \h</w:instrText>
        <w:fldChar w:fldCharType="separate"/>
        <w:t xml:space="preserve">580</w:t>
        <w:fldChar w:fldCharType="end"/>
      </w:r>
      <w:r>
        <w:t xml:space="preserve">.</w:t>
      </w:r>
    </w:p>
    <w:p>
      <w:pPr>
        <w:pStyle w:val="Heading3"/>
      </w:pPr>
      <w:r>
        <w:t xml:space="preserve">Lo que explicó el profesor en clase</w:t>
      </w:r>
    </w:p>
    <w:p>
      <w:pPr>
        <w:pStyle w:val="Heading3"/>
      </w:pPr>
      <w:bookmarkStart w:name="b_clase_3_5_c13_cap_05" w:id="2914"/>
      <w:r>
        <w:t xml:space="preserve">Clase 13 · 00:43:51–00:53:42 · El vaso de agua: objetivo y brecha percibida</w:t>
      </w:r>
      <w:bookmarkEnd w:id="2914"/>
    </w:p>
    <w:p>
      <w:bookmarkStart w:name="b_punto_c13_cap_05_p04" w:id="2915"/>
      <w:r>
        <w:t xml:space="preserve">La persona ajusta la apertura, reduce el flujo al acercarse y cierra para evitar derrame; percepción visual, sistema nervioso y acción muscular sostienen el control.</w:t>
      </w:r>
      <w:bookmarkEnd w:id="2915"/>
    </w:p>
    <w:p>
      <w:bookmarkStart w:name="b_punto_c13_cap_05_p05" w:id="2916"/>
      <w:r>
        <w:t xml:space="preserve">La secuencia incluye colocar el vaso antes de abrir; la misma acción está dentro de un sistema mayor de necesidades y decisiones de la persona.</w:t>
      </w:r>
      <w:bookmarkEnd w:id="2916"/>
    </w:p>
    <w:p>
      <w:pPr>
        <w:pStyle w:val="Fuente"/>
      </w:pPr>
      <w:r>
        <w:t xml:space="preserve">Véase </w:t>
      </w:r>
      <w:hyperlink w:history="1" w:anchor="b_3_3">
        <w:r>
          <w:rPr>
            <w:color w:val="156B70"/>
            <w:u w:val="single"/>
          </w:rPr>
          <w:t xml:space="preserve">capítulo 3.3 · Diagramas de ciclos causales</w:t>
        </w:r>
      </w:hyperlink>
      <w:r>
        <w:t xml:space="preserve">, pág. </w:t>
      </w:r>
      <w:r>
        <w:fldChar w:fldCharType="begin"/>
        <w:instrText xml:space="preserve">PAGEREF b_3_3 \h</w:instrText>
        <w:fldChar w:fldCharType="separate"/>
        <w:t xml:space="preserve">443</w:t>
        <w:fldChar w:fldCharType="end"/>
      </w:r>
      <w:r>
        <w:t xml:space="preserve">.</w:t>
      </w:r>
    </w:p>
    <w:p>
      <w:pPr>
        <w:pStyle w:val="Heading3"/>
      </w:pPr>
      <w:bookmarkStart w:name="b_clase_3_5_c13_cap_07" w:id="2917"/>
      <w:r>
        <w:t xml:space="preserve">Clase 13 · 00:58:54–01:14:06 · El futuro que retroalimenta al presente</w:t>
      </w:r>
      <w:bookmarkEnd w:id="2917"/>
    </w:p>
    <w:p>
      <w:bookmarkStart w:name="b_punto_c13_cap_07_p06" w:id="2918"/>
      <w:r>
        <w:t xml:space="preserve">El recorrido tiene cuatro influencias positivas, por lo que su retorno es de refuerzo. El objetivo invocado oralmente no cambia esa polaridad.</w:t>
      </w:r>
      <w:bookmarkEnd w:id="2918"/>
    </w:p>
    <w:p>
      <w:bookmarkStart w:name="b_punto_c13_cap_07_p09" w:id="2919"/>
      <w:r>
        <w:t xml:space="preserve">Los subsistemas de control aparecen en el cuerpo, empresas y especies; una ruptura o interacción externa puede alterar la regulación del sistema mayor.</w:t>
      </w:r>
      <w:bookmarkEnd w:id="2919"/>
    </w:p>
    <w:p>
      <w:pPr>
        <w:pStyle w:val="Fuente"/>
      </w:pPr>
      <w:r>
        <w:t xml:space="preserve">Véase </w:t>
      </w:r>
      <w:hyperlink w:history="1" w:anchor="b_senales_examen">
        <w:r>
          <w:rPr>
            <w:color w:val="156B70"/>
            <w:u w:val="single"/>
          </w:rPr>
          <w:t xml:space="preserve">1 indicación(es) de examen de este tramo, en el apéndice cronológico</w:t>
        </w:r>
      </w:hyperlink>
      <w:r>
        <w:t xml:space="preserve">, pág. </w:t>
      </w:r>
      <w:r>
        <w:fldChar w:fldCharType="begin"/>
        <w:instrText xml:space="preserve">PAGEREF b_senales_examen \h</w:instrText>
        <w:fldChar w:fldCharType="separate"/>
        <w:t xml:space="preserve">1663</w:t>
        <w:fldChar w:fldCharType="end"/>
      </w:r>
      <w:r>
        <w:t xml:space="preserve">.</w:t>
      </w:r>
    </w:p>
    <w:p>
      <w:pPr>
        <w:pStyle w:val="Fuente"/>
      </w:pPr>
      <w:r>
        <w:t xml:space="preserve">Véase </w:t>
      </w:r>
      <w:hyperlink w:history="1" w:anchor="b_3_4">
        <w:r>
          <w:rPr>
            <w:color w:val="156B70"/>
            <w:u w:val="single"/>
          </w:rPr>
          <w:t xml:space="preserve">capítulo 3.4 · Interdependencias sistémicas</w:t>
        </w:r>
      </w:hyperlink>
      <w:r>
        <w:t xml:space="preserve">, pág. </w:t>
      </w:r>
      <w:r>
        <w:fldChar w:fldCharType="begin"/>
        <w:instrText xml:space="preserve">PAGEREF b_3_4 \h</w:instrText>
        <w:fldChar w:fldCharType="separate"/>
        <w:t xml:space="preserve">476</w:t>
        <w:fldChar w:fldCharType="end"/>
      </w:r>
      <w:r>
        <w:t xml:space="preserve">.</w:t>
      </w:r>
    </w:p>
    <w:p>
      <w:pPr>
        <w:pStyle w:val="Heading3"/>
      </w:pPr>
      <w:bookmarkStart w:name="b_clase_3_5_c13_cap_08" w:id="2920"/>
      <w:r>
        <w:t xml:space="preserve">Clase 13 · 01:14:06–01:27:23 · El ejercicio de hervir agua</w:t>
      </w:r>
      <w:bookmarkEnd w:id="2920"/>
    </w:p>
    <w:p>
      <w:bookmarkStart w:name="b_punto_c13_cap_08_p04" w:id="2921"/>
      <w:r>
        <w:t xml:space="preserve">La persona vigila en una escala de minutos y reduce o apaga el calor al alcanzar la meta para evitar la evaporación completa; el vaso de agua se regula mucho más rápido.</w:t>
      </w:r>
      <w:bookmarkEnd w:id="2921"/>
    </w:p>
    <w:p>
      <w:pPr>
        <w:pStyle w:val="Fuente"/>
      </w:pPr>
      <w:r>
        <w:t xml:space="preserve">Véase </w:t>
      </w:r>
      <w:hyperlink w:history="1" w:anchor="b_senales_examen">
        <w:r>
          <w:rPr>
            <w:color w:val="156B70"/>
            <w:u w:val="single"/>
          </w:rPr>
          <w:t xml:space="preserve">1 indicación(es) de examen de este tramo, en el apéndice cronológico</w:t>
        </w:r>
      </w:hyperlink>
      <w:r>
        <w:t xml:space="preserve">, pág. </w:t>
      </w:r>
      <w:r>
        <w:fldChar w:fldCharType="begin"/>
        <w:instrText xml:space="preserve">PAGEREF b_senales_examen \h</w:instrText>
        <w:fldChar w:fldCharType="separate"/>
        <w:t xml:space="preserve">1663</w:t>
        <w:fldChar w:fldCharType="end"/>
      </w:r>
      <w:r>
        <w:t xml:space="preserve">.</w:t>
      </w:r>
    </w:p>
    <w:p>
      <w:pPr>
        <w:pStyle w:val="Fuente"/>
      </w:pPr>
      <w:r>
        <w:t xml:space="preserve">Véase </w:t>
      </w:r>
      <w:hyperlink w:history="1" w:anchor="b_3_3">
        <w:r>
          <w:rPr>
            <w:color w:val="156B70"/>
            <w:u w:val="single"/>
          </w:rPr>
          <w:t xml:space="preserve">capítulo 3.3 · Diagramas de ciclos causales</w:t>
        </w:r>
      </w:hyperlink>
      <w:r>
        <w:t xml:space="preserve">, pág. </w:t>
      </w:r>
      <w:r>
        <w:fldChar w:fldCharType="begin"/>
        <w:instrText xml:space="preserve">PAGEREF b_3_3 \h</w:instrText>
        <w:fldChar w:fldCharType="separate"/>
        <w:t xml:space="preserve">443</w:t>
        <w:fldChar w:fldCharType="end"/>
      </w:r>
      <w:r>
        <w:t xml:space="preserve">.</w:t>
      </w:r>
    </w:p>
    <w:p>
      <w:pPr>
        <w:pStyle w:val="Heading3"/>
      </w:pPr>
      <w:bookmarkStart w:name="b_clase_3_5_c13_cap_10" w:id="2922"/>
      <w:r>
        <w:t xml:space="preserve">Clase 13 · 01:38:26–01:47:02 · El mapa del jardín y los dos tipos de ciclo</w:t>
      </w:r>
      <w:bookmarkEnd w:id="2922"/>
    </w:p>
    <w:p>
      <w:bookmarkStart w:name="b_punto_c13_cap_10_p03" w:id="2923"/>
      <w:r>
        <w:t xml:space="preserve">En este ejemplo sólo dos ciclos son de balance, trazados con punteado rojo; los demás se presentan como refuerzo y se distinguen del control por su tendencia amplificadora.</w:t>
      </w:r>
      <w:bookmarkEnd w:id="2923"/>
    </w:p>
    <w:p>
      <w:bookmarkStart w:name="b_punto_c13_cap_10_p04" w:id="2924"/>
      <w:r>
        <w:t xml:space="preserve">Compensación/balance/control y refuerzo son los dos tipos básicos; negativo y positivo nombran el sentido causal del retorno, no un juicio aritmético o moral.</w:t>
      </w:r>
      <w:bookmarkEnd w:id="2924"/>
    </w:p>
    <w:p>
      <w:bookmarkStart w:name="b_punto_c13_cap_10_p05" w:id="2925"/>
      <w:r>
        <w:t xml:space="preserve">Se asigna investigar definiciones y dos o tres ejemplos de ambos tipos de ciclo en los materiales del curso para continuar la práctica.</w:t>
      </w:r>
      <w:bookmarkEnd w:id="2925"/>
    </w:p>
    <w:p>
      <w:pPr>
        <w:pStyle w:val="Fuente"/>
      </w:pPr>
      <w:r>
        <w:t xml:space="preserve">Véase </w:t>
      </w:r>
      <w:hyperlink w:history="1" w:anchor="b_senales_examen">
        <w:r>
          <w:rPr>
            <w:color w:val="156B70"/>
            <w:u w:val="single"/>
          </w:rPr>
          <w:t xml:space="preserve">2 indicación(es) de examen de este tramo, en el apéndice cronológico</w:t>
        </w:r>
      </w:hyperlink>
      <w:r>
        <w:t xml:space="preserve">, pág. </w:t>
      </w:r>
      <w:r>
        <w:fldChar w:fldCharType="begin"/>
        <w:instrText xml:space="preserve">PAGEREF b_senales_examen \h</w:instrText>
        <w:fldChar w:fldCharType="separate"/>
        <w:t xml:space="preserve">1663</w:t>
        <w:fldChar w:fldCharType="end"/>
      </w:r>
      <w:r>
        <w:t xml:space="preserve">.</w:t>
      </w:r>
    </w:p>
    <w:p>
      <w:pPr>
        <w:pStyle w:val="Fuente"/>
      </w:pPr>
      <w:r>
        <w:t xml:space="preserve">Véase </w:t>
      </w:r>
      <w:hyperlink w:history="1" w:anchor="b_3_4">
        <w:r>
          <w:rPr>
            <w:color w:val="156B70"/>
            <w:u w:val="single"/>
          </w:rPr>
          <w:t xml:space="preserve">capítulo 3.4 · Interdependencias sistémicas</w:t>
        </w:r>
      </w:hyperlink>
      <w:r>
        <w:t xml:space="preserve">, pág. </w:t>
      </w:r>
      <w:r>
        <w:fldChar w:fldCharType="begin"/>
        <w:instrText xml:space="preserve">PAGEREF b_3_4 \h</w:instrText>
        <w:fldChar w:fldCharType="separate"/>
        <w:t xml:space="preserve">476</w:t>
        <w:fldChar w:fldCharType="end"/>
      </w:r>
      <w:r>
        <w:t xml:space="preserve">.</w:t>
      </w:r>
    </w:p>
    <w:p>
      <w:pPr>
        <w:pStyle w:val="Heading3"/>
      </w:pPr>
      <w:bookmarkStart w:name="b_clase_3_5_c14_cap_02" w:id="2926"/>
      <w:r>
        <w:t xml:space="preserve">Clase 14 · 00:03:57–00:07:58 · La telaraña de ciclos y la convención de color</w:t>
      </w:r>
      <w:bookmarkEnd w:id="2926"/>
    </w:p>
    <w:p>
      <w:bookmarkStart w:name="b_punto_c14_cap_02_p03" w:id="2927"/>
      <w:r>
        <w:t xml:space="preserve">En esa figura el punteado rojo indica compensación y las líneas azules refuerzo; es una convención del ejemplo, no una regla universal de colores.</w:t>
      </w:r>
      <w:bookmarkEnd w:id="2927"/>
    </w:p>
    <w:p>
      <w:pPr>
        <w:pStyle w:val="Fuente"/>
      </w:pPr>
      <w:r>
        <w:t xml:space="preserve">Véase </w:t>
      </w:r>
      <w:hyperlink w:history="1" w:anchor="b_senales_examen">
        <w:r>
          <w:rPr>
            <w:color w:val="156B70"/>
            <w:u w:val="single"/>
          </w:rPr>
          <w:t xml:space="preserve">1 indicación(es) de examen de este tramo, en el apéndice cronológico</w:t>
        </w:r>
      </w:hyperlink>
      <w:r>
        <w:t xml:space="preserve">, pág. </w:t>
      </w:r>
      <w:r>
        <w:fldChar w:fldCharType="begin"/>
        <w:instrText xml:space="preserve">PAGEREF b_senales_examen \h</w:instrText>
        <w:fldChar w:fldCharType="separate"/>
        <w:t xml:space="preserve">1663</w:t>
        <w:fldChar w:fldCharType="end"/>
      </w:r>
      <w:r>
        <w:t xml:space="preserve">.</w:t>
      </w:r>
    </w:p>
    <w:p>
      <w:pPr>
        <w:pStyle w:val="Fuente"/>
      </w:pPr>
      <w:r>
        <w:t xml:space="preserve">Véase </w:t>
      </w:r>
      <w:hyperlink w:history="1" w:anchor="b_3_9">
        <w:r>
          <w:rPr>
            <w:color w:val="156B70"/>
            <w:u w:val="single"/>
          </w:rPr>
          <w:t xml:space="preserve">capítulo 3.9 · Hábitos (complejo)</w:t>
        </w:r>
      </w:hyperlink>
      <w:r>
        <w:t xml:space="preserve">, pág. </w:t>
      </w:r>
      <w:r>
        <w:fldChar w:fldCharType="begin"/>
        <w:instrText xml:space="preserve">PAGEREF b_3_9 \h</w:instrText>
        <w:fldChar w:fldCharType="separate"/>
        <w:t xml:space="preserve">622</w:t>
        <w:fldChar w:fldCharType="end"/>
      </w:r>
      <w:r>
        <w:t xml:space="preserve">.</w:t>
      </w:r>
    </w:p>
    <w:p>
      <w:pPr>
        <w:pStyle w:val="Fuente"/>
      </w:pPr>
      <w:r>
        <w:t xml:space="preserve">Véase </w:t>
      </w:r>
      <w:hyperlink w:history="1" w:anchor="b_3_4">
        <w:r>
          <w:rPr>
            <w:color w:val="156B70"/>
            <w:u w:val="single"/>
          </w:rPr>
          <w:t xml:space="preserve">capítulo 3.4 · Interdependencias sistémicas</w:t>
        </w:r>
      </w:hyperlink>
      <w:r>
        <w:t xml:space="preserve">, pág. </w:t>
      </w:r>
      <w:r>
        <w:fldChar w:fldCharType="begin"/>
        <w:instrText xml:space="preserve">PAGEREF b_3_4 \h</w:instrText>
        <w:fldChar w:fldCharType="separate"/>
        <w:t xml:space="preserve">476</w:t>
        <w:fldChar w:fldCharType="end"/>
      </w:r>
      <w:r>
        <w:t xml:space="preserve">.</w:t>
      </w:r>
    </w:p>
    <w:p>
      <w:pPr>
        <w:pStyle w:val="Heading3"/>
      </w:pPr>
      <w:bookmarkStart w:name="b_clase_3_5_c14_cap_03" w:id="2928"/>
      <w:r>
        <w:t xml:space="preserve">Clase 14 · 00:07:58–00:24:16 · Qué es un ciclo de compensación</w:t>
      </w:r>
      <w:bookmarkEnd w:id="2928"/>
    </w:p>
    <w:p>
      <w:bookmarkStart w:name="b_punto_c14_cap_03_p01" w:id="2929"/>
      <w:r>
        <w:t xml:space="preserve">En los ejemplos elementales, el balance contrarresta una tendencia: inhibe un crecimiento o aumenta una variable que iba disminuyendo.</w:t>
      </w:r>
      <w:bookmarkEnd w:id="2929"/>
    </w:p>
    <w:p>
      <w:bookmarkStart w:name="b_punto_c14_cap_03_p03" w:id="2930"/>
      <w:r>
        <w:t xml:space="preserve">La historia se describe por tendencias: la sed puede aumentar durante la actividad y la respuesta de beber reduce esa desviación hasta un nivel aceptable.</w:t>
      </w:r>
      <w:bookmarkEnd w:id="2930"/>
    </w:p>
    <w:p>
      <w:bookmarkStart w:name="b_punto_c14_cap_03_p06" w:id="2931"/>
      <w:r>
        <w:t xml:space="preserve">Dolor→necesidad de medicina→reducción del dolor es el ejemplo didáctico de una solución sintomática rápida que compensa la molestia.</w:t>
      </w:r>
      <w:bookmarkEnd w:id="2931"/>
    </w:p>
    <w:p>
      <w:bookmarkStart w:name="b_punto_c14_cap_03_p07" w:id="2932"/>
      <w:r>
        <w:t xml:space="preserve">Al disminuir el flujo el nivel del tanque puede seguir subiendo más lentamente; no equivale a que se vacíe o baje automáticamente.</w:t>
      </w:r>
      <w:bookmarkEnd w:id="2932"/>
    </w:p>
    <w:p>
      <w:pPr>
        <w:pStyle w:val="Fuente"/>
      </w:pPr>
      <w:r>
        <w:t xml:space="preserve">Véase </w:t>
      </w:r>
      <w:hyperlink w:history="1" w:anchor="b_3_3">
        <w:r>
          <w:rPr>
            <w:color w:val="156B70"/>
            <w:u w:val="single"/>
          </w:rPr>
          <w:t xml:space="preserve">capítulo 3.3 · Diagramas de ciclos causales</w:t>
        </w:r>
      </w:hyperlink>
      <w:r>
        <w:t xml:space="preserve">, pág. </w:t>
      </w:r>
      <w:r>
        <w:fldChar w:fldCharType="begin"/>
        <w:instrText xml:space="preserve">PAGEREF b_3_3 \h</w:instrText>
        <w:fldChar w:fldCharType="separate"/>
        <w:t xml:space="preserve">443</w:t>
        <w:fldChar w:fldCharType="end"/>
      </w:r>
      <w:r>
        <w:t xml:space="preserve">.</w:t>
      </w:r>
    </w:p>
    <w:p>
      <w:pPr>
        <w:pStyle w:val="Heading3"/>
      </w:pPr>
      <w:bookmarkStart w:name="b_clase_3_5_c14_cap_04" w:id="2933"/>
      <w:r>
        <w:t xml:space="preserve">Clase 14 · 00:24:16–00:34:25 · La polaridad: por qué existen los signos</w:t>
      </w:r>
      <w:bookmarkEnd w:id="2933"/>
    </w:p>
    <w:p>
      <w:bookmarkStart w:name="b_punto_c14_cap_04_p03" w:id="2934"/>
      <w:r>
        <w:t xml:space="preserve">La polaridad se determina por el recorrido completo: negativas impares dan B; pares o ninguna, R. Tener alguna negativa no basta para clasificar.</w:t>
      </w:r>
      <w:bookmarkEnd w:id="2934"/>
    </w:p>
    <w:p>
      <w:pPr>
        <w:pStyle w:val="Fuente"/>
      </w:pPr>
      <w:r>
        <w:t xml:space="preserve">Véase </w:t>
      </w:r>
      <w:hyperlink w:history="1" w:anchor="b_3_1">
        <w:r>
          <w:rPr>
            <w:color w:val="156B70"/>
            <w:u w:val="single"/>
          </w:rPr>
          <w:t xml:space="preserve">capítulo 3.1 · Mapas sistémicos</w:t>
        </w:r>
      </w:hyperlink>
      <w:r>
        <w:t xml:space="preserve">, pág. </w:t>
      </w:r>
      <w:r>
        <w:fldChar w:fldCharType="begin"/>
        <w:instrText xml:space="preserve">PAGEREF b_3_1 \h</w:instrText>
        <w:fldChar w:fldCharType="separate"/>
        <w:t xml:space="preserve">379</w:t>
        <w:fldChar w:fldCharType="end"/>
      </w:r>
      <w:r>
        <w:t xml:space="preserve">.</w:t>
      </w:r>
    </w:p>
    <w:p>
      <w:pPr>
        <w:pStyle w:val="Fuente"/>
      </w:pPr>
      <w:r>
        <w:t xml:space="preserve">Véase </w:t>
      </w:r>
      <w:hyperlink w:history="1" w:anchor="b_3_3">
        <w:r>
          <w:rPr>
            <w:color w:val="156B70"/>
            <w:u w:val="single"/>
          </w:rPr>
          <w:t xml:space="preserve">capítulo 3.3 · Diagramas de ciclos causales</w:t>
        </w:r>
      </w:hyperlink>
      <w:r>
        <w:t xml:space="preserve">, pág. </w:t>
      </w:r>
      <w:r>
        <w:fldChar w:fldCharType="begin"/>
        <w:instrText xml:space="preserve">PAGEREF b_3_3 \h</w:instrText>
        <w:fldChar w:fldCharType="separate"/>
        <w:t xml:space="preserve">443</w:t>
        <w:fldChar w:fldCharType="end"/>
      </w:r>
      <w:r>
        <w:t xml:space="preserve">.</w:t>
      </w:r>
    </w:p>
    <w:p>
      <w:pPr>
        <w:pStyle w:val="Heading3"/>
      </w:pPr>
      <w:bookmarkStart w:name="b_clase_3_5_c14_cap_06" w:id="2935"/>
      <w:r>
        <w:t xml:space="preserve">Clase 14 · 00:41:44–00:53:47 · Ciclos de refuerzo y el acople del micrófono</w:t>
      </w:r>
      <w:bookmarkEnd w:id="2935"/>
    </w:p>
    <w:p>
      <w:bookmarkStart w:name="b_punto_c14_cap_06_p04" w:id="2936"/>
      <w:r>
        <w:t xml:space="preserve">Con todas las relaciones positivas el retorno refuerza el cambio en este ejemplo; el sentido desfavorable no convierte al lazo en negativo.</w:t>
      </w:r>
      <w:bookmarkEnd w:id="2936"/>
    </w:p>
    <w:p>
      <w:pPr>
        <w:pStyle w:val="Fuente"/>
      </w:pPr>
      <w:r>
        <w:t xml:space="preserve">Véase </w:t>
      </w:r>
      <w:hyperlink w:history="1" w:anchor="b_3_3">
        <w:r>
          <w:rPr>
            <w:color w:val="156B70"/>
            <w:u w:val="single"/>
          </w:rPr>
          <w:t xml:space="preserve">capítulo 3.3 · Diagramas de ciclos causales</w:t>
        </w:r>
      </w:hyperlink>
      <w:r>
        <w:t xml:space="preserve">, pág. </w:t>
      </w:r>
      <w:r>
        <w:fldChar w:fldCharType="begin"/>
        <w:instrText xml:space="preserve">PAGEREF b_3_3 \h</w:instrText>
        <w:fldChar w:fldCharType="separate"/>
        <w:t xml:space="preserve">443</w:t>
        <w:fldChar w:fldCharType="end"/>
      </w:r>
      <w:r>
        <w:t xml:space="preserve">.</w:t>
      </w:r>
    </w:p>
    <w:p>
      <w:pPr>
        <w:pStyle w:val="Heading3"/>
      </w:pPr>
      <w:bookmarkStart w:name="b_clase_3_5_c14_cap_07" w:id="2937"/>
      <w:r>
        <w:t xml:space="preserve">Clase 14 · 00:53:47–01:03:33 · Diagrama causal frente a mapa DSRP</w:t>
      </w:r>
      <w:bookmarkEnd w:id="2937"/>
    </w:p>
    <w:p>
      <w:bookmarkStart w:name="b_punto_c14_cap_07_p05" w:id="2938"/>
      <w:r>
        <w:t xml:space="preserve">Aunque no invierta el crecimiento, la mortalidad puede reducir su ritmo; hay que considerar todos los ciclos que influyen en la variable y la frontera del modelo.</w:t>
      </w:r>
      <w:bookmarkEnd w:id="2938"/>
    </w:p>
    <w:p>
      <w:pPr>
        <w:pStyle w:val="Fuente"/>
      </w:pPr>
      <w:r>
        <w:t xml:space="preserve">Véase </w:t>
      </w:r>
      <w:hyperlink w:history="1" w:anchor="b_3_2">
        <w:r>
          <w:rPr>
            <w:color w:val="156B70"/>
            <w:u w:val="single"/>
          </w:rPr>
          <w:t xml:space="preserve">capítulo 3.2 · Mapas DSRP generales</w:t>
        </w:r>
      </w:hyperlink>
      <w:r>
        <w:t xml:space="preserve">, pág. </w:t>
      </w:r>
      <w:r>
        <w:fldChar w:fldCharType="begin"/>
        <w:instrText xml:space="preserve">PAGEREF b_3_2 \h</w:instrText>
        <w:fldChar w:fldCharType="separate"/>
        <w:t xml:space="preserve">404</w:t>
        <w:fldChar w:fldCharType="end"/>
      </w:r>
      <w:r>
        <w:t xml:space="preserve">.</w:t>
      </w:r>
    </w:p>
    <w:p>
      <w:pPr>
        <w:pStyle w:val="Fuente"/>
      </w:pPr>
      <w:r>
        <w:t xml:space="preserve">Véase </w:t>
      </w:r>
      <w:hyperlink w:history="1" w:anchor="b_3_8">
        <w:r>
          <w:rPr>
            <w:color w:val="156B70"/>
            <w:u w:val="single"/>
          </w:rPr>
          <w:t xml:space="preserve">capítulo 3.8 · Patrones y tendencias</w:t>
        </w:r>
      </w:hyperlink>
      <w:r>
        <w:t xml:space="preserve">, pág. </w:t>
      </w:r>
      <w:r>
        <w:fldChar w:fldCharType="begin"/>
        <w:instrText xml:space="preserve">PAGEREF b_3_8 \h</w:instrText>
        <w:fldChar w:fldCharType="separate"/>
        <w:t xml:space="preserve">597</w:t>
        <w:fldChar w:fldCharType="end"/>
      </w:r>
      <w:r>
        <w:t xml:space="preserve">.</w:t>
      </w:r>
    </w:p>
    <w:p>
      <w:pPr>
        <w:pStyle w:val="Heading3"/>
      </w:pPr>
      <w:bookmarkStart w:name="b_clase_3_5_c14_cap_08" w:id="2939"/>
      <w:r>
        <w:t xml:space="preserve">Clase 14 · 01:03:33–01:10:59 · El ejercicio de las ballenas</w:t>
      </w:r>
      <w:bookmarkEnd w:id="2939"/>
    </w:p>
    <w:p>
      <w:bookmarkStart w:name="b_punto_c14_cap_08_p03" w:id="2940"/>
      <w:r>
        <w:t xml:space="preserve">El crecimiento depende de que los nacimientos no sean superados por muertes naturales y pesca; el escenario puede llegar a la extinción local si se mantienen los efectos adversos.</w:t>
      </w:r>
      <w:bookmarkEnd w:id="2940"/>
    </w:p>
    <w:p>
      <w:pPr>
        <w:pStyle w:val="Fuente"/>
      </w:pPr>
      <w:r>
        <w:t xml:space="preserve">Véase </w:t>
      </w:r>
      <w:hyperlink w:history="1" w:anchor="b_senales_examen">
        <w:r>
          <w:rPr>
            <w:color w:val="156B70"/>
            <w:u w:val="single"/>
          </w:rPr>
          <w:t xml:space="preserve">1 indicación(es) de examen de este tramo, en el apéndice cronológico</w:t>
        </w:r>
      </w:hyperlink>
      <w:r>
        <w:t xml:space="preserve">, pág. </w:t>
      </w:r>
      <w:r>
        <w:fldChar w:fldCharType="begin"/>
        <w:instrText xml:space="preserve">PAGEREF b_senales_examen \h</w:instrText>
        <w:fldChar w:fldCharType="separate"/>
        <w:t xml:space="preserve">1663</w:t>
        <w:fldChar w:fldCharType="end"/>
      </w:r>
      <w:r>
        <w:t xml:space="preserve">.</w:t>
      </w:r>
    </w:p>
    <w:p>
      <w:pPr>
        <w:pStyle w:val="Fuente"/>
      </w:pPr>
      <w:r>
        <w:t xml:space="preserve">Véase </w:t>
      </w:r>
      <w:hyperlink w:history="1" w:anchor="b_3_1">
        <w:r>
          <w:rPr>
            <w:color w:val="156B70"/>
            <w:u w:val="single"/>
          </w:rPr>
          <w:t xml:space="preserve">capítulo 3.1 · Mapas sistémicos</w:t>
        </w:r>
      </w:hyperlink>
      <w:r>
        <w:t xml:space="preserve">, pág. </w:t>
      </w:r>
      <w:r>
        <w:fldChar w:fldCharType="begin"/>
        <w:instrText xml:space="preserve">PAGEREF b_3_1 \h</w:instrText>
        <w:fldChar w:fldCharType="separate"/>
        <w:t xml:space="preserve">379</w:t>
        <w:fldChar w:fldCharType="end"/>
      </w:r>
      <w:r>
        <w:t xml:space="preserve">.</w:t>
      </w:r>
    </w:p>
    <w:p>
      <w:pPr>
        <w:pStyle w:val="Fuente"/>
      </w:pPr>
      <w:r>
        <w:t xml:space="preserve">Véase </w:t>
      </w:r>
      <w:hyperlink w:history="1" w:anchor="b_3_8">
        <w:r>
          <w:rPr>
            <w:color w:val="156B70"/>
            <w:u w:val="single"/>
          </w:rPr>
          <w:t xml:space="preserve">capítulo 3.8 · Patrones y tendencias</w:t>
        </w:r>
      </w:hyperlink>
      <w:r>
        <w:t xml:space="preserve">, pág. </w:t>
      </w:r>
      <w:r>
        <w:fldChar w:fldCharType="begin"/>
        <w:instrText xml:space="preserve">PAGEREF b_3_8 \h</w:instrText>
        <w:fldChar w:fldCharType="separate"/>
        <w:t xml:space="preserve">597</w:t>
        <w:fldChar w:fldCharType="end"/>
      </w:r>
      <w:r>
        <w:t xml:space="preserve">.</w:t>
      </w:r>
    </w:p>
    <w:p>
      <w:pPr>
        <w:pStyle w:val="Heading3"/>
      </w:pPr>
      <w:bookmarkStart w:name="b_clase_3_5_c14_cap_09" w:id="2941"/>
      <w:r>
        <w:t xml:space="preserve">Clase 14 · 01:10:59–01:26:29 · Notación de vínculos y complejidad</w:t>
      </w:r>
      <w:bookmarkEnd w:id="2941"/>
    </w:p>
    <w:p>
      <w:bookmarkStart w:name="b_punto_c14_cap_09_p02" w:id="2942"/>
      <w:r>
        <w:t xml:space="preserve">En el criadero de tilapias una demanda mayor que la oferta puede reducir la población-producto aunque el esquema de nacimientos y muertes se parezca al de otras poblaciones.</w:t>
      </w:r>
      <w:bookmarkEnd w:id="2942"/>
    </w:p>
    <w:p>
      <w:bookmarkStart w:name="b_punto_c14_cap_09_p03" w:id="2943"/>
      <w:r>
        <w:t xml:space="preserve">Se pueden incorporar acciones que refuercen el crecimiento; la descripción debe condicionarse a las variables, tendencias y relaciones del sistema concreto.</w:t>
      </w:r>
      <w:bookmarkEnd w:id="2943"/>
    </w:p>
    <w:p>
      <w:bookmarkStart w:name="b_punto_c14_cap_09_p04" w:id="2944"/>
      <w:r>
        <w:t xml:space="preserve">Una proyección de mayor demanda mueve acciones presentes sobre el ciclo que genera población, conectando estructura y decisión anticipada.</w:t>
      </w:r>
      <w:bookmarkEnd w:id="2944"/>
    </w:p>
    <w:p>
      <w:pPr>
        <w:pStyle w:val="Fuente"/>
      </w:pPr>
      <w:r>
        <w:t xml:space="preserve">Véase </w:t>
      </w:r>
      <w:hyperlink w:history="1" w:anchor="b_senales_examen">
        <w:r>
          <w:rPr>
            <w:color w:val="156B70"/>
            <w:u w:val="single"/>
          </w:rPr>
          <w:t xml:space="preserve">1 indicación(es) de examen de este tramo, en el apéndice cronológico</w:t>
        </w:r>
      </w:hyperlink>
      <w:r>
        <w:t xml:space="preserve">, pág. </w:t>
      </w:r>
      <w:r>
        <w:fldChar w:fldCharType="begin"/>
        <w:instrText xml:space="preserve">PAGEREF b_senales_examen \h</w:instrText>
        <w:fldChar w:fldCharType="separate"/>
        <w:t xml:space="preserve">1663</w:t>
        <w:fldChar w:fldCharType="end"/>
      </w:r>
      <w:r>
        <w:t xml:space="preserve">.</w:t>
      </w:r>
    </w:p>
    <w:p>
      <w:pPr>
        <w:pStyle w:val="Fuente"/>
      </w:pPr>
      <w:r>
        <w:t xml:space="preserve">Véase </w:t>
      </w:r>
      <w:hyperlink w:history="1" w:anchor="b_3_1">
        <w:r>
          <w:rPr>
            <w:color w:val="156B70"/>
            <w:u w:val="single"/>
          </w:rPr>
          <w:t xml:space="preserve">capítulo 3.1 · Mapas sistémicos</w:t>
        </w:r>
      </w:hyperlink>
      <w:r>
        <w:t xml:space="preserve">, pág. </w:t>
      </w:r>
      <w:r>
        <w:fldChar w:fldCharType="begin"/>
        <w:instrText xml:space="preserve">PAGEREF b_3_1 \h</w:instrText>
        <w:fldChar w:fldCharType="separate"/>
        <w:t xml:space="preserve">379</w:t>
        <w:fldChar w:fldCharType="end"/>
      </w:r>
      <w:r>
        <w:t xml:space="preserve">.</w:t>
      </w:r>
    </w:p>
    <w:p>
      <w:pPr>
        <w:pStyle w:val="Fuente"/>
      </w:pPr>
      <w:r>
        <w:t xml:space="preserve">Véase </w:t>
      </w:r>
      <w:hyperlink w:history="1" w:anchor="b_3_9">
        <w:r>
          <w:rPr>
            <w:color w:val="156B70"/>
            <w:u w:val="single"/>
          </w:rPr>
          <w:t xml:space="preserve">capítulo 3.9 · Hábitos (complejo)</w:t>
        </w:r>
      </w:hyperlink>
      <w:r>
        <w:t xml:space="preserve">, pág. </w:t>
      </w:r>
      <w:r>
        <w:fldChar w:fldCharType="begin"/>
        <w:instrText xml:space="preserve">PAGEREF b_3_9 \h</w:instrText>
        <w:fldChar w:fldCharType="separate"/>
        <w:t xml:space="preserve">622</w:t>
        <w:fldChar w:fldCharType="end"/>
      </w:r>
      <w:r>
        <w:t xml:space="preserve">.</w:t>
      </w:r>
    </w:p>
    <w:p>
      <w:pPr>
        <w:pStyle w:val="Fuente"/>
      </w:pPr>
      <w:r>
        <w:t xml:space="preserve">Véase </w:t>
      </w:r>
      <w:hyperlink w:history="1" w:anchor="b_3_8">
        <w:r>
          <w:rPr>
            <w:color w:val="156B70"/>
            <w:u w:val="single"/>
          </w:rPr>
          <w:t xml:space="preserve">capítulo 3.8 · Patrones y tendencias</w:t>
        </w:r>
      </w:hyperlink>
      <w:r>
        <w:t xml:space="preserve">, pág. </w:t>
      </w:r>
      <w:r>
        <w:fldChar w:fldCharType="begin"/>
        <w:instrText xml:space="preserve">PAGEREF b_3_8 \h</w:instrText>
        <w:fldChar w:fldCharType="separate"/>
        <w:t xml:space="preserve">597</w:t>
        <w:fldChar w:fldCharType="end"/>
      </w:r>
      <w:r>
        <w:t xml:space="preserve">.</w:t>
      </w:r>
    </w:p>
    <w:p>
      <w:pPr>
        <w:pStyle w:val="Fuente"/>
      </w:pPr>
      <w:r>
        <w:t xml:space="preserve">Véase </w:t>
      </w:r>
      <w:hyperlink w:history="1" w:anchor="b_1_4">
        <w:r>
          <w:rPr>
            <w:color w:val="156B70"/>
            <w:u w:val="single"/>
          </w:rPr>
          <w:t xml:space="preserve">capítulo 1.4 · Sistémico vs no sistémico</w:t>
        </w:r>
      </w:hyperlink>
      <w:r>
        <w:t xml:space="preserve">, pág. </w:t>
      </w:r>
      <w:r>
        <w:fldChar w:fldCharType="begin"/>
        <w:instrText xml:space="preserve">PAGEREF b_1_4 \h</w:instrText>
        <w:fldChar w:fldCharType="separate"/>
        <w:t xml:space="preserve">104</w:t>
        <w:fldChar w:fldCharType="end"/>
      </w:r>
      <w:r>
        <w:t xml:space="preserve">.</w:t>
      </w:r>
    </w:p>
    <w:p>
      <w:pPr>
        <w:pStyle w:val="Heading3"/>
      </w:pPr>
      <w:bookmarkStart w:name="b_clase_3_5_c14_cap_10" w:id="2945"/>
      <w:r>
        <w:t xml:space="preserve">Clase 14 · 01:26:29–01:37:24 · Círculos virtuosos y viciosos, y la tarea</w:t>
      </w:r>
      <w:bookmarkEnd w:id="2945"/>
    </w:p>
    <w:p>
      <w:bookmarkStart w:name="b_punto_c14_cap_10_p01" w:id="2946"/>
      <w:r>
        <w:t xml:space="preserve">Ventas, clientes y comentarios forman un mismo refuerzo; satisfacción y comentarios favorables amplifican el crecimiento, y resultados adversos pueden invertir la tendencia de la historia.</w:t>
      </w:r>
      <w:bookmarkEnd w:id="2946"/>
    </w:p>
    <w:p>
      <w:bookmarkStart w:name="b_punto_c14_cap_10_p03" w:id="2947"/>
      <w:r>
        <w:t xml:space="preserve">En los fallos de software lo deseable puede ser disminuir las variables; virtuoso no significa siempre crecimiento numérico.</w:t>
      </w:r>
      <w:bookmarkEnd w:id="2947"/>
    </w:p>
    <w:p>
      <w:bookmarkStart w:name="b_punto_c14_cap_10_p04" w:id="2948"/>
      <w:r>
        <w:t xml:space="preserve">Los dos tipos de ciclo constituyen la base de estructuras más diversas y complejas; se recomienda reforzar la distinción con las lecturas.</w:t>
      </w:r>
      <w:bookmarkEnd w:id="2948"/>
    </w:p>
    <w:p>
      <w:pPr>
        <w:pStyle w:val="Fuente"/>
      </w:pPr>
      <w:r>
        <w:t xml:space="preserve">Véase </w:t>
      </w:r>
      <w:hyperlink w:history="1" w:anchor="b_senales_examen">
        <w:r>
          <w:rPr>
            <w:color w:val="156B70"/>
            <w:u w:val="single"/>
          </w:rPr>
          <w:t xml:space="preserve">1 indicación(es) de examen de este tramo, en el apéndice cronológico</w:t>
        </w:r>
      </w:hyperlink>
      <w:r>
        <w:t xml:space="preserve">, pág. </w:t>
      </w:r>
      <w:r>
        <w:fldChar w:fldCharType="begin"/>
        <w:instrText xml:space="preserve">PAGEREF b_senales_examen \h</w:instrText>
        <w:fldChar w:fldCharType="separate"/>
        <w:t xml:space="preserve">1663</w:t>
        <w:fldChar w:fldCharType="end"/>
      </w:r>
      <w:r>
        <w:t xml:space="preserve">.</w:t>
      </w:r>
    </w:p>
    <w:p>
      <w:pPr>
        <w:pStyle w:val="Fuente"/>
      </w:pPr>
      <w:r>
        <w:t xml:space="preserve">Véase </w:t>
      </w:r>
      <w:hyperlink w:history="1" w:anchor="b_3_4">
        <w:r>
          <w:rPr>
            <w:color w:val="156B70"/>
            <w:u w:val="single"/>
          </w:rPr>
          <w:t xml:space="preserve">capítulo 3.4 · Interdependencias sistémicas</w:t>
        </w:r>
      </w:hyperlink>
      <w:r>
        <w:t xml:space="preserve">, pág. </w:t>
      </w:r>
      <w:r>
        <w:fldChar w:fldCharType="begin"/>
        <w:instrText xml:space="preserve">PAGEREF b_3_4 \h</w:instrText>
        <w:fldChar w:fldCharType="separate"/>
        <w:t xml:space="preserve">476</w:t>
        <w:fldChar w:fldCharType="end"/>
      </w:r>
      <w:r>
        <w:t xml:space="preserve">.</w:t>
      </w:r>
    </w:p>
    <w:p>
      <w:pPr>
        <w:pStyle w:val="Fuente"/>
      </w:pPr>
      <w:r>
        <w:t xml:space="preserve">Véase </w:t>
      </w:r>
      <w:hyperlink w:history="1" w:anchor="b_3_7">
        <w:r>
          <w:rPr>
            <w:color w:val="156B70"/>
            <w:u w:val="single"/>
          </w:rPr>
          <w:t xml:space="preserve">capítulo 3.7 · Demoras de tiempo</w:t>
        </w:r>
      </w:hyperlink>
      <w:r>
        <w:t xml:space="preserve">, pág. </w:t>
      </w:r>
      <w:r>
        <w:fldChar w:fldCharType="begin"/>
        <w:instrText xml:space="preserve">PAGEREF b_3_7 \h</w:instrText>
        <w:fldChar w:fldCharType="separate"/>
        <w:t xml:space="preserve">580</w:t>
        <w:fldChar w:fldCharType="end"/>
      </w:r>
      <w:r>
        <w:t xml:space="preserve">.</w:t>
      </w:r>
    </w:p>
    <w:p>
      <w:pPr>
        <w:pStyle w:val="Heading3"/>
      </w:pPr>
      <w:bookmarkStart w:name="b_clase_3_5_c15_cap_02" w:id="2949"/>
      <w:r>
        <w:t xml:space="preserve">Clase 15 · 00:10:12–00:16:53 · Repaso de los dos patrones y la cuenta de ahorro</w:t>
      </w:r>
      <w:bookmarkEnd w:id="2949"/>
    </w:p>
    <w:p>
      <w:bookmarkStart w:name="b_punto_c15_cap_02_p01" w:id="2950"/>
      <w:r>
        <w:t xml:space="preserve">Los ciclos se clasifican como refuerzo y compensación, con positivo/negativo y balance/control como nombres usados en la exposición.</w:t>
      </w:r>
      <w:bookmarkEnd w:id="2950"/>
    </w:p>
    <w:p>
      <w:bookmarkStart w:name="b_punto_c15_cap_02_p02" w:id="2951"/>
      <w:r>
        <w:t xml:space="preserve">El interés se suma al ahorro y genera más interés en la siguiente vuelta: ambas influencias son positivas y el lazo es R.</w:t>
      </w:r>
      <w:bookmarkEnd w:id="2951"/>
    </w:p>
    <w:p>
      <w:bookmarkStart w:name="b_punto_c15_cap_02_p04" w:id="2952"/>
      <w:r>
        <w:t xml:space="preserve">El lazo del ahorro sigue siendo R aunque retiros u otros ciclos alteren la trayectoria de la variable compartida.</w:t>
      </w:r>
      <w:bookmarkEnd w:id="2952"/>
    </w:p>
    <w:p>
      <w:bookmarkStart w:name="b_punto_c15_cap_02_p05" w:id="2953"/>
      <w:r>
        <w:t xml:space="preserve">R puede contener negativas en cantidad par; no se decide por mayoría de positivos ni por que haya alguna negativa.</w:t>
      </w:r>
      <w:bookmarkEnd w:id="2953"/>
    </w:p>
    <w:p>
      <w:pPr>
        <w:pStyle w:val="Fuente"/>
      </w:pPr>
      <w:r>
        <w:t xml:space="preserve">Véase </w:t>
      </w:r>
      <w:hyperlink w:history="1" w:anchor="b_3_3">
        <w:r>
          <w:rPr>
            <w:color w:val="156B70"/>
            <w:u w:val="single"/>
          </w:rPr>
          <w:t xml:space="preserve">capítulo 3.3 · Diagramas de ciclos causales</w:t>
        </w:r>
      </w:hyperlink>
      <w:r>
        <w:t xml:space="preserve">, pág. </w:t>
      </w:r>
      <w:r>
        <w:fldChar w:fldCharType="begin"/>
        <w:instrText xml:space="preserve">PAGEREF b_3_3 \h</w:instrText>
        <w:fldChar w:fldCharType="separate"/>
        <w:t xml:space="preserve">443</w:t>
        <w:fldChar w:fldCharType="end"/>
      </w:r>
      <w:r>
        <w:t xml:space="preserve">.</w:t>
      </w:r>
    </w:p>
    <w:p>
      <w:pPr>
        <w:pStyle w:val="Heading3"/>
      </w:pPr>
      <w:bookmarkStart w:name="b_clase_3_5_c15_cap_04" w:id="2954"/>
      <w:r>
        <w:t xml:space="preserve">Clase 15 · 00:20:58–00:29:44 · Dos ejercicios: el hambre y la caída libre</w:t>
      </w:r>
      <w:bookmarkEnd w:id="2954"/>
    </w:p>
    <w:p>
      <w:bookmarkStart w:name="b_punto_c15_cap_04_p01" w:id="2955"/>
      <w:r>
        <w:t xml:space="preserve">Hambre→consumo es positivo y consumo→hambre es negativo: una negativa hace B al ciclo.</w:t>
      </w:r>
      <w:bookmarkEnd w:id="2955"/>
    </w:p>
    <w:p>
      <w:bookmarkStart w:name="b_punto_c15_cap_04_p02" w:id="2956"/>
      <w:r>
        <w:t xml:space="preserve">La alimentación atenúa el hambre hasta un rango sostenible; el control puede repetirse cuando vuelve la desviación, sin significar inmovilidad.</w:t>
      </w:r>
      <w:bookmarkEnd w:id="2956"/>
    </w:p>
    <w:p>
      <w:bookmarkStart w:name="b_punto_c15_cap_04_p03" w:id="2957"/>
      <w:r>
        <w:t xml:space="preserve">En caída con aire, más velocidad aumenta resistencia y más resistencia frena velocidad; el lazo velocidad/resistencia es B.</w:t>
      </w:r>
      <w:bookmarkEnd w:id="2957"/>
    </w:p>
    <w:p>
      <w:bookmarkStart w:name="b_punto_c15_cap_04_p04" w:id="2958"/>
      <w:r>
        <w:t xml:space="preserve">La gravedad influye positivamente sobre velocidad desde fuera del lazo y no entra en su paridad.</w:t>
      </w:r>
      <w:bookmarkEnd w:id="2958"/>
    </w:p>
    <w:p>
      <w:pPr>
        <w:pStyle w:val="Heading3"/>
      </w:pPr>
      <w:bookmarkStart w:name="b_clase_3_5_c15_cap_08" w:id="2959"/>
      <w:r>
        <w:t xml:space="preserve">Clase 15 · 00:58:20–01:05:12 · Contar ciclos: trazabilidad y el ejercicio de la energía</w:t>
      </w:r>
      <w:bookmarkEnd w:id="2959"/>
    </w:p>
    <w:p>
      <w:bookmarkStart w:name="b_punto_c15_cap_08_p03" w:id="2960"/>
      <w:r>
        <w:t xml:space="preserve">Un ciclo se recorre hasta volver a la variable inicial; puede comenzarse en cualquiera y anotarse cada ruta distinta.</w:t>
      </w:r>
      <w:bookmarkEnd w:id="2960"/>
    </w:p>
    <w:p>
      <w:pPr>
        <w:pStyle w:val="Fuente"/>
      </w:pPr>
      <w:r>
        <w:t xml:space="preserve">Véase </w:t>
      </w:r>
      <w:hyperlink w:history="1" w:anchor="b_3_6">
        <w:r>
          <w:rPr>
            <w:color w:val="156B70"/>
            <w:u w:val="single"/>
          </w:rPr>
          <w:t xml:space="preserve">capítulo 3.6 · Modelación dinámica</w:t>
        </w:r>
      </w:hyperlink>
      <w:r>
        <w:t xml:space="preserve">, pág. </w:t>
      </w:r>
      <w:r>
        <w:fldChar w:fldCharType="begin"/>
        <w:instrText xml:space="preserve">PAGEREF b_3_6 \h</w:instrText>
        <w:fldChar w:fldCharType="separate"/>
        <w:t xml:space="preserve">537</w:t>
        <w:fldChar w:fldCharType="end"/>
      </w:r>
      <w:r>
        <w:t xml:space="preserve">.</w:t>
      </w:r>
    </w:p>
    <w:p>
      <w:pPr>
        <w:pStyle w:val="Heading3"/>
      </w:pPr>
      <w:bookmarkStart w:name="b_clase_3_5_c15_cap_09" w:id="2961"/>
      <w:r>
        <w:t xml:space="preserve">Clase 15 · 01:05:12–01:25:51 · La regla del número de negativas</w:t>
      </w:r>
      <w:bookmarkEnd w:id="2961"/>
    </w:p>
    <w:p>
      <w:bookmarkStart w:name="b_punto_c15_cap_09_p01" w:id="2962"/>
      <w:r>
        <w:t xml:space="preserve">Desarrollo→demanda de energía→oferta→desarrollo es R con positivas; añadir pobreza crea otra ruta distinta.</w:t>
      </w:r>
      <w:bookmarkEnd w:id="2962"/>
    </w:p>
    <w:p>
      <w:bookmarkStart w:name="b_punto_c15_cap_09_p03" w:id="2963"/>
      <w:r>
        <w:t xml:space="preserve">Dos influencias negativas seguidas restauran el sentido; un número par de negativas en un recorrido cerrado da refuerzo.</w:t>
      </w:r>
      <w:bookmarkEnd w:id="2963"/>
    </w:p>
    <w:p>
      <w:bookmarkStart w:name="b_punto_c15_cap_09_p09" w:id="2964"/>
      <w:r>
        <w:t xml:space="preserve">Un ciclo R puede contener cero, dos, cuatro u otro número par de relaciones negativas. La clasificación depende de la paridad del recorrido completo, no de exigir ausencia de relaciones negativas.</w:t>
      </w:r>
      <w:bookmarkEnd w:id="2964"/>
    </w:p>
    <w:p>
      <w:pPr>
        <w:pStyle w:val="Fuente"/>
      </w:pPr>
      <w:r>
        <w:t xml:space="preserve">Véase </w:t>
      </w:r>
      <w:hyperlink w:history="1" w:anchor="b_senales_examen">
        <w:r>
          <w:rPr>
            <w:color w:val="156B70"/>
            <w:u w:val="single"/>
          </w:rPr>
          <w:t xml:space="preserve">1 indicación(es) de examen de este tramo, en el apéndice cronológico</w:t>
        </w:r>
      </w:hyperlink>
      <w:r>
        <w:t xml:space="preserve">, pág. </w:t>
      </w:r>
      <w:r>
        <w:fldChar w:fldCharType="begin"/>
        <w:instrText xml:space="preserve">PAGEREF b_senales_examen \h</w:instrText>
        <w:fldChar w:fldCharType="separate"/>
        <w:t xml:space="preserve">1663</w:t>
        <w:fldChar w:fldCharType="end"/>
      </w:r>
      <w:r>
        <w:t xml:space="preserve">.</w:t>
      </w:r>
    </w:p>
    <w:p>
      <w:pPr>
        <w:pStyle w:val="Fuente"/>
      </w:pPr>
      <w:r>
        <w:t xml:space="preserve">Véase </w:t>
      </w:r>
      <w:hyperlink w:history="1" w:anchor="b_3_4">
        <w:r>
          <w:rPr>
            <w:color w:val="156B70"/>
            <w:u w:val="single"/>
          </w:rPr>
          <w:t xml:space="preserve">capítulo 3.4 · Interdependencias sistémicas</w:t>
        </w:r>
      </w:hyperlink>
      <w:r>
        <w:t xml:space="preserve">, pág. </w:t>
      </w:r>
      <w:r>
        <w:fldChar w:fldCharType="begin"/>
        <w:instrText xml:space="preserve">PAGEREF b_3_4 \h</w:instrText>
        <w:fldChar w:fldCharType="separate"/>
        <w:t xml:space="preserve">476</w:t>
        <w:fldChar w:fldCharType="end"/>
      </w:r>
      <w:r>
        <w:t xml:space="preserve">.</w:t>
      </w:r>
    </w:p>
    <w:p>
      <w:pPr>
        <w:pStyle w:val="Fuente"/>
      </w:pPr>
      <w:r>
        <w:t xml:space="preserve">Véase </w:t>
      </w:r>
      <w:hyperlink w:history="1" w:anchor="b_3_6">
        <w:r>
          <w:rPr>
            <w:color w:val="156B70"/>
            <w:u w:val="single"/>
          </w:rPr>
          <w:t xml:space="preserve">capítulo 3.6 · Modelación dinámica</w:t>
        </w:r>
      </w:hyperlink>
      <w:r>
        <w:t xml:space="preserve">, pág. </w:t>
      </w:r>
      <w:r>
        <w:fldChar w:fldCharType="begin"/>
        <w:instrText xml:space="preserve">PAGEREF b_3_6 \h</w:instrText>
        <w:fldChar w:fldCharType="separate"/>
        <w:t xml:space="preserve">537</w:t>
        <w:fldChar w:fldCharType="end"/>
      </w:r>
      <w:r>
        <w:t xml:space="preserve">.</w:t>
      </w:r>
    </w:p>
    <w:p>
      <w:pPr>
        <w:pStyle w:val="Heading3"/>
      </w:pPr>
      <w:bookmarkStart w:name="b_clase_3_5_c16_cap_04" w:id="2965"/>
      <w:r>
        <w:t xml:space="preserve">Clase 16 · 00:41:57–00:49:47 · Lineamientos y la regla del número de negativas</w:t>
      </w:r>
      <w:bookmarkEnd w:id="2965"/>
    </w:p>
    <w:p>
      <w:bookmarkStart w:name="b_punto_c16_cap_04_p04" w:id="2966"/>
      <w:r>
        <w:t xml:space="preserve">El banco puede describirse como vicioso o virtuoso según empeore o mejore; estructura y tipo R permanecen.</w:t>
      </w:r>
      <w:bookmarkEnd w:id="2966"/>
    </w:p>
    <w:p>
      <w:pPr>
        <w:pStyle w:val="Fuente"/>
      </w:pPr>
      <w:r>
        <w:t xml:space="preserve">Véase </w:t>
      </w:r>
      <w:hyperlink w:history="1" w:anchor="b_senales_examen">
        <w:r>
          <w:rPr>
            <w:color w:val="156B70"/>
            <w:u w:val="single"/>
          </w:rPr>
          <w:t xml:space="preserve">1 indicación(es) de examen de este tramo, en el apéndice cronológico</w:t>
        </w:r>
      </w:hyperlink>
      <w:r>
        <w:t xml:space="preserve">, pág. </w:t>
      </w:r>
      <w:r>
        <w:fldChar w:fldCharType="begin"/>
        <w:instrText xml:space="preserve">PAGEREF b_senales_examen \h</w:instrText>
        <w:fldChar w:fldCharType="separate"/>
        <w:t xml:space="preserve">1663</w:t>
        <w:fldChar w:fldCharType="end"/>
      </w:r>
      <w:r>
        <w:t xml:space="preserve">.</w:t>
      </w:r>
    </w:p>
    <w:p>
      <w:pPr>
        <w:pStyle w:val="Fuente"/>
      </w:pPr>
      <w:r>
        <w:t xml:space="preserve">Véase </w:t>
      </w:r>
      <w:hyperlink w:history="1" w:anchor="b_3_3">
        <w:r>
          <w:rPr>
            <w:color w:val="156B70"/>
            <w:u w:val="single"/>
          </w:rPr>
          <w:t xml:space="preserve">capítulo 3.3 · Diagramas de ciclos causales</w:t>
        </w:r>
      </w:hyperlink>
      <w:r>
        <w:t xml:space="preserve">, pág. </w:t>
      </w:r>
      <w:r>
        <w:fldChar w:fldCharType="begin"/>
        <w:instrText xml:space="preserve">PAGEREF b_3_3 \h</w:instrText>
        <w:fldChar w:fldCharType="separate"/>
        <w:t xml:space="preserve">443</w:t>
        <w:fldChar w:fldCharType="end"/>
      </w:r>
      <w:r>
        <w:t xml:space="preserve">.</w:t>
      </w:r>
    </w:p>
    <w:p>
      <w:pPr>
        <w:pStyle w:val="Heading3"/>
      </w:pPr>
      <w:bookmarkStart w:name="b_clase_3_5_c16_cap_05" w:id="2967"/>
      <w:r>
        <w:t xml:space="preserve">Clase 16 · 00:49:47–01:02:36 · Proalimentación: cuando el futuro causa el presente</w:t>
      </w:r>
      <w:bookmarkEnd w:id="2967"/>
    </w:p>
    <w:p>
      <w:bookmarkStart w:name="b_punto_c16_cap_05_p02" w:id="2968"/>
      <w:r>
        <w:t xml:space="preserve">R y B acoplados pueden dominar de maneras diferentes sobre la variable compartida; coexistir no fija una trayectoria única.</w:t>
      </w:r>
      <w:bookmarkEnd w:id="2968"/>
    </w:p>
    <w:p>
      <w:bookmarkStart w:name="b_punto_c16_cap_05_p03" w:id="2969"/>
      <w:r>
        <w:t xml:space="preserve">La expectativa de un futuro no sucedido provoca acción presente y puede modificar ese futuro: proalimentación.</w:t>
      </w:r>
      <w:bookmarkEnd w:id="2969"/>
    </w:p>
    <w:p>
      <w:bookmarkStart w:name="b_punto_c16_cap_05_p04" w:id="2970"/>
      <w:r>
        <w:t xml:space="preserve">Rumor→compras mayores→desabastecimiento→mayor expectativa: el profesor lo llama R en el tiempo y proalimentación de compensación porque cumple la predicción.</w:t>
      </w:r>
      <w:bookmarkEnd w:id="2970"/>
    </w:p>
    <w:p>
      <w:bookmarkStart w:name="b_punto_c16_cap_05_p05" w:id="2971"/>
      <w:r>
        <w:t xml:space="preserve">El atleta imagina la medalla y entrena para lograrla: anticipación hacia el estado esperado, compensación según nomenclatura del curso.</w:t>
      </w:r>
      <w:bookmarkEnd w:id="2971"/>
    </w:p>
    <w:p>
      <w:bookmarkStart w:name="b_punto_c16_cap_05_p08" w:id="2972"/>
      <w:r>
        <w:t xml:space="preserve">En gasolina, la expectativa que provoca el estado predicho se denomina proalimentación de compensación en el curso y coexiste con retroalimentación R entre compras y escasez. Eso no la convierte en un lazo B.</w:t>
      </w:r>
      <w:bookmarkEnd w:id="2972"/>
    </w:p>
    <w:p>
      <w:pPr>
        <w:pStyle w:val="Fuente"/>
      </w:pPr>
      <w:r>
        <w:t xml:space="preserve">Véase </w:t>
      </w:r>
      <w:hyperlink w:history="1" w:anchor="b_3_3">
        <w:r>
          <w:rPr>
            <w:color w:val="156B70"/>
            <w:u w:val="single"/>
          </w:rPr>
          <w:t xml:space="preserve">capítulo 3.3 · Diagramas de ciclos causales</w:t>
        </w:r>
      </w:hyperlink>
      <w:r>
        <w:t xml:space="preserve">, pág. </w:t>
      </w:r>
      <w:r>
        <w:fldChar w:fldCharType="begin"/>
        <w:instrText xml:space="preserve">PAGEREF b_3_3 \h</w:instrText>
        <w:fldChar w:fldCharType="separate"/>
        <w:t xml:space="preserve">443</w:t>
        <w:fldChar w:fldCharType="end"/>
      </w:r>
      <w:r>
        <w:t xml:space="preserve">.</w:t>
      </w:r>
    </w:p>
    <w:p>
      <w:pPr>
        <w:pStyle w:val="Heading3"/>
      </w:pPr>
      <w:bookmarkStart w:name="b_cita_clase_13_ciclo_de_compen_f2a4f73b" w:id="2973"/>
      <w:r>
        <w:t xml:space="preserve">Palabras del profesor</w:t>
      </w:r>
      <w:bookmarkEnd w:id="2973"/>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El profesor lo dijo así</w:t>
            </w:r>
          </w:p>
          <w:p>
            <w:pPr>
              <w:pStyle w:val="Recuadro"/>
            </w:pPr>
            <w:r>
              <w:t xml:space="preserve">«Se va dando en un ciclo de retroalimentación, de compensación, de control o de balance, como se le llama, en donde hay un objetivo.»</w:t>
            </w:r>
          </w:p>
          <w:p>
            <w:pPr>
              <w:pStyle w:val="Recuadro"/>
            </w:pPr>
            <w:r>
              <w:t xml:space="preserve">Clase 13 · 01:19:19–01:19:52</w:t>
            </w:r>
          </w:p>
        </w:tc>
      </w:tr>
    </w:tbl>
    <w:p>
      <w:pPr>
        <w:pStyle w:val="Heading3"/>
      </w:pPr>
      <w:bookmarkStart w:name="b_cita_clase_13_negativos_y_pos_8fd31cdc" w:id="2974"/>
      <w:r>
        <w:t xml:space="preserve">Palabras del profesor</w:t>
      </w:r>
      <w:bookmarkEnd w:id="2974"/>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El profesor lo dijo así</w:t>
            </w:r>
          </w:p>
          <w:p>
            <w:pPr>
              <w:pStyle w:val="Recuadro"/>
            </w:pPr>
            <w:r>
              <w:t xml:space="preserve">«A veces se le llama ciclos negativos a los primeros y ciclos positivos a los segundos, en una notación que no tiene nada que ver con el uso de más y menos en la aritmética.»</w:t>
            </w:r>
          </w:p>
          <w:p>
            <w:pPr>
              <w:pStyle w:val="Recuadro"/>
            </w:pPr>
            <w:r>
              <w:t xml:space="preserve">Clase 13 · 01:43:21–01:43:44</w:t>
            </w:r>
          </w:p>
        </w:tc>
      </w:tr>
    </w:tbl>
    <w:p>
      <w:pPr>
        <w:pStyle w:val="Heading3"/>
      </w:pPr>
      <w:bookmarkStart w:name="b_cita_clase_14_ciclo_de_compen_6b4c7c7e" w:id="2975"/>
      <w:r>
        <w:t xml:space="preserve">Palabras del profesor</w:t>
      </w:r>
      <w:bookmarkEnd w:id="2975"/>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El profesor lo dijo así</w:t>
            </w:r>
          </w:p>
          <w:p>
            <w:pPr>
              <w:pStyle w:val="Recuadro"/>
            </w:pPr>
            <w:r>
              <w:t xml:space="preserve">«Cuando hablamos de ciclos de retroalimentación de balance o de compensación, que en la teoría de sistemas inicialmente se les llamaban ciclos de retroalimentación negativa.»</w:t>
            </w:r>
          </w:p>
          <w:p>
            <w:pPr>
              <w:pStyle w:val="Recuadro"/>
            </w:pPr>
            <w:r>
              <w:t xml:space="preserve">Clase 14 · 00:07:58–00:08:28</w:t>
            </w:r>
          </w:p>
        </w:tc>
      </w:tr>
    </w:tbl>
    <w:p>
      <w:pPr>
        <w:pStyle w:val="Heading3"/>
      </w:pPr>
      <w:bookmarkStart w:name="b_cita_clase_14_ciclos_de_refue_47cb6fef" w:id="2976"/>
      <w:r>
        <w:t xml:space="preserve">Palabras del profesor</w:t>
      </w:r>
      <w:bookmarkEnd w:id="2976"/>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El profesor lo dijo así</w:t>
            </w:r>
          </w:p>
          <w:p>
            <w:pPr>
              <w:pStyle w:val="Recuadro"/>
            </w:pPr>
            <w:r>
              <w:t xml:space="preserve">«En lugar de que exista alguna relación de compensación, no existe ninguna relación de compensación.»</w:t>
            </w:r>
          </w:p>
          <w:p>
            <w:pPr>
              <w:pStyle w:val="Recuadro"/>
            </w:pPr>
            <w:r>
              <w:t xml:space="preserve">Clase 14 · 00:41:44–00:42:13</w:t>
            </w:r>
          </w:p>
        </w:tc>
      </w:tr>
    </w:tbl>
    <w:p>
      <w:pPr>
        <w:pStyle w:val="Heading3"/>
      </w:pPr>
      <w:bookmarkStart w:name="b_cita_clase_14_mismo_refuerzo__610e0358" w:id="2977"/>
      <w:r>
        <w:t xml:space="preserve">Palabras del profesor</w:t>
      </w:r>
      <w:bookmarkEnd w:id="2977"/>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El profesor lo dijo así</w:t>
            </w:r>
          </w:p>
          <w:p>
            <w:pPr>
              <w:pStyle w:val="Recuadro"/>
            </w:pPr>
            <w:r>
              <w:t xml:space="preserve">«En sí mismos son ciclos de refuerzo, pero el mismo ciclo de refuerzo puede tener dos comportamientos diferentes en momentos diferentes del sistema.»</w:t>
            </w:r>
          </w:p>
          <w:p>
            <w:pPr>
              <w:pStyle w:val="Recuadro"/>
            </w:pPr>
            <w:r>
              <w:t xml:space="preserve">Clase 14 · 01:26:34–01:26:54</w:t>
            </w:r>
          </w:p>
        </w:tc>
      </w:tr>
    </w:tbl>
    <w:p>
      <w:pPr>
        <w:pStyle w:val="Heading3"/>
      </w:pPr>
      <w:bookmarkStart w:name="b_cita_clase_15_regla_del_numero_par" w:id="2978"/>
      <w:r>
        <w:t xml:space="preserve">Palabras del profesor</w:t>
      </w:r>
      <w:bookmarkEnd w:id="2978"/>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El profesor lo dijo así</w:t>
            </w:r>
          </w:p>
          <w:p>
            <w:pPr>
              <w:pStyle w:val="Recuadro"/>
            </w:pPr>
            <w:r>
              <w:t xml:space="preserve">«Un número par de signos negativos, de relaciones negativas, en una estructura circular provoca como efecto global una relación causal positiva o de refuerzo.»</w:t>
            </w:r>
          </w:p>
          <w:p>
            <w:pPr>
              <w:pStyle w:val="Recuadro"/>
            </w:pPr>
            <w:r>
              <w:t xml:space="preserve">Clase 15 · 01:10:43–01:11:16</w:t>
            </w:r>
          </w:p>
        </w:tc>
      </w:tr>
    </w:tbl>
    <w:p>
      <w:pPr>
        <w:pStyle w:val="Heading3"/>
      </w:pPr>
      <w:bookmarkStart w:name="b_cita_clase_15_numero_impar_ci_878ca9ff" w:id="2979"/>
      <w:r>
        <w:t xml:space="preserve">Palabras del profesor</w:t>
      </w:r>
      <w:bookmarkEnd w:id="2979"/>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El profesor lo dijo así</w:t>
            </w:r>
          </w:p>
          <w:p>
            <w:pPr>
              <w:pStyle w:val="Recuadro"/>
            </w:pPr>
            <w:r>
              <w:t xml:space="preserve">«Si tenemos un número impar de relaciones negativas, o una sola negativa, o varias pero es impar, entonces ahí sí tenemos un ciclo de compensación.»</w:t>
            </w:r>
          </w:p>
          <w:p>
            <w:pPr>
              <w:pStyle w:val="Recuadro"/>
            </w:pPr>
            <w:r>
              <w:t xml:space="preserve">Clase 15 · 01:15:42–01:16:01</w:t>
            </w:r>
          </w:p>
        </w:tc>
      </w:tr>
    </w:tbl>
    <w:p>
      <w:pPr>
        <w:pStyle w:val="Heading3"/>
      </w:pPr>
      <w:bookmarkStart w:name="b_cita_clase_16_proalimentacion_fdd3359f" w:id="2980"/>
      <w:r>
        <w:t xml:space="preserve">Palabras del profesor</w:t>
      </w:r>
      <w:bookmarkEnd w:id="2980"/>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El profesor lo dijo así</w:t>
            </w:r>
          </w:p>
          <w:p>
            <w:pPr>
              <w:pStyle w:val="Recuadro"/>
            </w:pPr>
            <w:r>
              <w:t xml:space="preserve">«Esa proalimentación es cuando se da una retroalimentación que busca describir un escenario futuro, un efecto anticipado del futuro que todavía no ha surgido, no ha tenido lugar, pero que genera la causa del presente.»</w:t>
            </w:r>
          </w:p>
          <w:p>
            <w:pPr>
              <w:pStyle w:val="Recuadro"/>
            </w:pPr>
            <w:r>
              <w:t xml:space="preserve">Clase 16 · 00:51:20–00:51:47</w:t>
            </w:r>
          </w:p>
        </w:tc>
      </w:tr>
    </w:tbl>
    <w:p>
      <w:pPr>
        <w:pStyle w:val="Heading3"/>
      </w:pPr>
      <w:r>
        <w:t xml:space="preserve">Errores frecuentes y trampa de examen</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9C620A" w:sz="20"/>
              <w:bottom w:val="nil"/>
              <w:right w:val="nil"/>
            </w:tcBorders>
            <w:shd w:fill="FBF3DF" w:val="clear"/>
            <w:tcMar>
              <w:top w:type="dxa" w:w="130"/>
              <w:left w:type="dxa" w:w="180"/>
              <w:bottom w:type="dxa" w:w="130"/>
              <w:right w:type="dxa" w:w="180"/>
            </w:tcMar>
          </w:tcPr>
          <w:p>
            <w:pPr>
              <w:pStyle w:val="RecuadroTitulo"/>
            </w:pPr>
            <w:r>
              <w:rPr>
                <w:b/>
                <w:bCs/>
                <w:color w:val="9C620A"/>
              </w:rPr>
              <w:t xml:space="preserve">Error → corrección</w:t>
            </w:r>
          </w:p>
          <w:p>
            <w:pPr>
              <w:pStyle w:val="Recuadro"/>
            </w:pPr>
            <w:r>
              <w:rPr>
                <w:b/>
                <w:bCs/>
              </w:rPr>
              <w:t xml:space="preserve">Error:</w:t>
            </w:r>
            <w:r>
              <w:t xml:space="preserve"> Describir hervir agua como secuencia lineal: «enciendo el fuego, hiervo el agua, apago el fuego».</w:t>
            </w:r>
          </w:p>
          <w:p>
            <w:pPr>
              <w:pStyle w:val="Recuadro"/>
            </w:pPr>
            <w:r>
              <w:rPr>
                <w:b/>
                <w:bCs/>
              </w:rPr>
              <w:t xml:space="preserve">Corrección:</w:t>
            </w:r>
            <w:r>
              <w:t xml:space="preserve"> Es parcial: detrás hay un ciclo de balance con objetivo y brecha percibida.</w:t>
            </w:r>
          </w:p>
          <w:p>
            <w:pPr>
              <w:pStyle w:val="Recuadro"/>
            </w:pPr>
            <w:r>
              <w:t xml:space="preserve">Clase 13 · 01:15:01–01:15:20 · Clase 13 · 01:24:32–01:26:22</w:t>
            </w:r>
          </w:p>
        </w:tc>
      </w:tr>
    </w:tbl>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9C620A" w:sz="20"/>
              <w:bottom w:val="nil"/>
              <w:right w:val="nil"/>
            </w:tcBorders>
            <w:shd w:fill="FBF3DF" w:val="clear"/>
            <w:tcMar>
              <w:top w:type="dxa" w:w="130"/>
              <w:left w:type="dxa" w:w="180"/>
              <w:bottom w:type="dxa" w:w="130"/>
              <w:right w:type="dxa" w:w="180"/>
            </w:tcMar>
          </w:tcPr>
          <w:p>
            <w:pPr>
              <w:pStyle w:val="RecuadroTitulo"/>
            </w:pPr>
            <w:r>
              <w:rPr>
                <w:b/>
                <w:bCs/>
                <w:color w:val="9C620A"/>
              </w:rPr>
              <w:t xml:space="preserve">Error → corrección</w:t>
            </w:r>
          </w:p>
          <w:p>
            <w:pPr>
              <w:pStyle w:val="Recuadro"/>
            </w:pPr>
            <w:r>
              <w:rPr>
                <w:b/>
                <w:bCs/>
              </w:rPr>
              <w:t xml:space="preserve">Error:</w:t>
            </w:r>
            <w:r>
              <w:t xml:space="preserve"> Proponer «más necesidad de calor» y omitir qué genera el calor.</w:t>
            </w:r>
          </w:p>
          <w:p>
            <w:pPr>
              <w:pStyle w:val="Recuadro"/>
            </w:pPr>
            <w:r>
              <w:rPr>
                <w:b/>
                <w:bCs/>
              </w:rPr>
              <w:t xml:space="preserve">Corrección:</w:t>
            </w:r>
            <w:r>
              <w:t xml:space="preserve"> La propuesta mezcla la variable con su comportamiento y le falta el fogón, que es lo que genera el calor.</w:t>
            </w:r>
          </w:p>
          <w:p>
            <w:pPr>
              <w:pStyle w:val="Recuadro"/>
            </w:pPr>
            <w:r>
              <w:t xml:space="preserve">Clase 13 · 01:18:45–01:19:41</w:t>
            </w:r>
          </w:p>
        </w:tc>
      </w:tr>
    </w:tbl>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9C620A" w:sz="20"/>
              <w:bottom w:val="nil"/>
              <w:right w:val="nil"/>
            </w:tcBorders>
            <w:shd w:fill="FBF3DF" w:val="clear"/>
            <w:tcMar>
              <w:top w:type="dxa" w:w="130"/>
              <w:left w:type="dxa" w:w="180"/>
              <w:bottom w:type="dxa" w:w="130"/>
              <w:right w:type="dxa" w:w="180"/>
            </w:tcMar>
          </w:tcPr>
          <w:p>
            <w:pPr>
              <w:pStyle w:val="RecuadroTitulo"/>
            </w:pPr>
            <w:r>
              <w:rPr>
                <w:b/>
                <w:bCs/>
                <w:color w:val="9C620A"/>
              </w:rPr>
              <w:t xml:space="preserve">Error → corrección</w:t>
            </w:r>
          </w:p>
          <w:p>
            <w:pPr>
              <w:pStyle w:val="Recuadro"/>
            </w:pPr>
            <w:r>
              <w:rPr>
                <w:b/>
                <w:bCs/>
              </w:rPr>
              <w:t xml:space="preserve">Error:</w:t>
            </w:r>
            <w:r>
              <w:t xml:space="preserve"> Asignar «+» a la relación válvula de flote → flujo de agua.</w:t>
            </w:r>
          </w:p>
          <w:p>
            <w:pPr>
              <w:pStyle w:val="Recuadro"/>
            </w:pPr>
            <w:r>
              <w:rPr>
                <w:b/>
                <w:bCs/>
              </w:rPr>
              <w:t xml:space="preserve">Corrección:</w:t>
            </w:r>
            <w:r>
              <w:t xml:space="preserve"> Es «−»: al subir la válvula el flujo se cierra. La variable debe llamarse «nivel de válvula de flote».</w:t>
            </w:r>
          </w:p>
          <w:p>
            <w:pPr>
              <w:pStyle w:val="Recuadro"/>
            </w:pPr>
            <w:r>
              <w:t xml:space="preserve">Clase 14 · 00:19:42–00:19:54 · Clase 14 · 00:35:04–00:38:20</w:t>
            </w:r>
          </w:p>
        </w:tc>
      </w:tr>
    </w:tbl>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9C620A" w:sz="20"/>
              <w:bottom w:val="nil"/>
              <w:right w:val="nil"/>
            </w:tcBorders>
            <w:shd w:fill="FBF3DF" w:val="clear"/>
            <w:tcMar>
              <w:top w:type="dxa" w:w="130"/>
              <w:left w:type="dxa" w:w="180"/>
              <w:bottom w:type="dxa" w:w="130"/>
              <w:right w:type="dxa" w:w="180"/>
            </w:tcMar>
          </w:tcPr>
          <w:p>
            <w:pPr>
              <w:pStyle w:val="RecuadroTitulo"/>
            </w:pPr>
            <w:r>
              <w:rPr>
                <w:b/>
                <w:bCs/>
                <w:color w:val="9C620A"/>
              </w:rPr>
              <w:t xml:space="preserve">Error → corrección</w:t>
            </w:r>
          </w:p>
          <w:p>
            <w:pPr>
              <w:pStyle w:val="Recuadro"/>
            </w:pPr>
            <w:r>
              <w:rPr>
                <w:b/>
                <w:bCs/>
              </w:rPr>
              <w:t xml:space="preserve">Error:</w:t>
            </w:r>
            <w:r>
              <w:t xml:space="preserve"> Entregar el diagrama sin la polaridad del ciclo porque parece obvia.</w:t>
            </w:r>
          </w:p>
          <w:p>
            <w:pPr>
              <w:pStyle w:val="Recuadro"/>
            </w:pPr>
            <w:r>
              <w:rPr>
                <w:b/>
                <w:bCs/>
              </w:rPr>
              <w:t xml:space="preserve">Corrección:</w:t>
            </w:r>
            <w:r>
              <w:t xml:space="preserve"> Fue el error más común: al centro va siempre, aunque sea obvia.</w:t>
            </w:r>
          </w:p>
          <w:p>
            <w:pPr>
              <w:pStyle w:val="Recuadro"/>
            </w:pPr>
            <w:r>
              <w:t xml:space="preserve">Clase 16 · 01:16:24–01:16:59 · Clase 16 · 01:24:25–01:24:37</w:t>
            </w:r>
          </w:p>
        </w:tc>
      </w:tr>
    </w:tbl>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9C620A" w:sz="20"/>
              <w:bottom w:val="nil"/>
              <w:right w:val="nil"/>
            </w:tcBorders>
            <w:shd w:fill="FBF3DF" w:val="clear"/>
            <w:tcMar>
              <w:top w:type="dxa" w:w="130"/>
              <w:left w:type="dxa" w:w="180"/>
              <w:bottom w:type="dxa" w:w="130"/>
              <w:right w:type="dxa" w:w="180"/>
            </w:tcMar>
          </w:tcPr>
          <w:p>
            <w:pPr>
              <w:pStyle w:val="RecuadroTitulo"/>
            </w:pPr>
            <w:r>
              <w:rPr>
                <w:b/>
                <w:bCs/>
                <w:color w:val="9C620A"/>
              </w:rPr>
              <w:t xml:space="preserve">Trampa de examen</w:t>
            </w:r>
          </w:p>
          <w:p>
            <w:pPr>
              <w:pStyle w:val="Recuadro"/>
            </w:pPr>
            <w:r>
              <w:t xml:space="preserve">Creer que muchos signos «−» hacen un ciclo de compensación o que un ciclo «negativo» es malo: el banco tiene cuatro negativas y es de refuerzo. Decide la paridad de las negativas (impar, compensación; par o ninguna, refuerzo), y «negativo» o «positivo» no es aritmética ni valoración.</w:t>
            </w:r>
          </w:p>
        </w:tc>
      </w:tr>
    </w:tbl>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Ampliación: lo no dictado en clase</w:t>
            </w:r>
          </w:p>
          <w:p>
            <w:pPr>
              <w:pStyle w:val="Recuadro"/>
            </w:pPr>
            <w:r>
              <w:t xml:space="preserve">La clase no desarrolló la proyección de demanda de las tilapias, difirió a la unidad 4 la simulación y el arquetipo del modelo de la culpa, y mostró sin leerla la lámina de notación de los signos. Las sesiones de aprendizaje de la lectura L-10 y la distinción entre retroalimentación y realimentación de la lectura L-13 no se desarrollaron en clase.</w:t>
            </w:r>
          </w:p>
        </w:tc>
      </w:tr>
    </w:tbl>
    <w:p>
      <w:pPr>
        <w:pStyle w:val="Heading3"/>
      </w:pPr>
      <w:r>
        <w:t xml:space="preserve">Lecturas y tareas del curso</w:t>
      </w:r>
    </w:p>
    <w:p>
      <w:pPr>
        <w:pStyle w:val="Normal"/>
      </w:pPr>
      <w:r>
        <w:t xml:space="preserve">L-10 · Sesión de aprendizaje 2 y 3 · Sistemas dinámicos de primer orden. Guía de sesión sobre sistemas de realimentación: influencias positivas y negativas entre variables («a más X, más Y»), bucles y la regla de los signos, la jerarquía variable → enlace → bucle → sistema, y los ejemplos de las autopistas (refuerzo) y del depósito de agua con nivel objetivo (balance), con su paso a diagramas de Forrester.</w:t>
      </w:r>
    </w:p>
    <w:p>
      <w:pPr>
        <w:pStyle w:val="Normal"/>
      </w:pPr>
      <w:r>
        <w:t xml:space="preserve">L-11 · Pensamiento en círculos — O’Connor y McDermott (capítulo 2). Capítulo 2 de Introducción al pensamiento sistémico: la realimentación como esencia de los sistemas, los bucles de refuerzo y de compensación, la proalimentación, las demoras (la ducha que oscila) y por qué a veces no aprendemos de la experiencia. Copia recomprimida del escaneo que compartió el profesor.</w:t>
      </w:r>
    </w:p>
    <w:p>
      <w:pPr>
        <w:pStyle w:val="Normal"/>
      </w:pPr>
      <w:r>
        <w:t xml:space="preserve">L-13 · Retroalimentación y realimentación · Diagramas lineales y sistémicos — Echeverri y Franco (capítulos III a VIII). Diagramas lineales frente a sistémicos con el caso de hervir el agua; el sistema para llenar un vaso con agua (nivel deseado, brecha percibida, grifo, flujo y nivel actual); procesos reforzadores y compensadores con demoras; diagramas de acopio y flujo; diagramas de procesos frente a diagramas sistémicos; y la diferencia entre la retroalimentación de la teoría tradicional de sistemas y la realimentación del pensamiento sistémico. Copia recomprimida del escaneo.</w:t>
      </w:r>
    </w:p>
    <w:p>
      <w:pPr>
        <w:pStyle w:val="Normal"/>
      </w:pPr>
      <w:r>
        <w:t xml:space="preserve">C-2 · Unidad 3 · Desarrollo del pensamiento sistémico complejo (presentación). La presentación completa de la Unidad 3 tal como la compartió el profesor: 129 páginas con las reglas simples del pensamiento sistémico, los mapas DSRP, los diagramas de ciclos causales, la polaridad y los tipos de ciclo, las demoras, los patrones de comportamiento y los ejercicios trabajados en clase. Complementa las 128 láminas capturadas durante las sesiones.</w:t>
      </w:r>
    </w:p>
    <w:p>
      <w:pPr>
        <w:pStyle w:val="Normal"/>
      </w:pPr>
      <w:r>
        <w:t xml:space="preserve">Tareas relacionadas: T-8. Consulte su procedencia en la bibliografía.</w:t>
      </w:r>
    </w:p>
    <w:p>
      <w:pPr>
        <w:pStyle w:val="Heading3"/>
      </w:pPr>
      <w:r>
        <w:t xml:space="preserve">Práctica de los laboratorios</w:t>
      </w:r>
    </w:p>
    <w:p>
      <w:pPr>
        <w:pStyle w:val="Normal"/>
      </w:pPr>
      <w:r>
        <w:t xml:space="preserve">Los procedimientos del capítulo permiten reconstruir en papel la práctica interactiva. Los laboratorios originales permanecen disponibles en la lección del portal.</w:t>
      </w:r>
    </w:p>
    <w:p>
      <w:pPr>
        <w:pStyle w:val="Normal"/>
        <w:numPr>
          <w:ilvl w:val="0"/>
          <w:numId w:val="2"/>
        </w:numPr>
      </w:pPr>
      <w:r>
        <w:t xml:space="preserve">Refuerzo y compensación en el tiempo</w:t>
      </w:r>
    </w:p>
    <w:p>
      <w:pPr>
        <w:pStyle w:val="Normal"/>
        <w:numPr>
          <w:ilvl w:val="0"/>
          <w:numId w:val="2"/>
        </w:numPr>
      </w:pPr>
      <w:r>
        <w:t xml:space="preserve">Contar negativas: la regla del número par</w:t>
      </w:r>
    </w:p>
    <w:p>
      <w:pPr>
        <w:pStyle w:val="Normal"/>
        <w:numPr>
          <w:ilvl w:val="0"/>
          <w:numId w:val="2"/>
        </w:numPr>
      </w:pPr>
      <w:r>
        <w:t xml:space="preserve">De la variable al sistema: los niveles de la realimentación</w:t>
      </w:r>
    </w:p>
    <w:p>
      <w:pPr>
        <w:pStyle w:val="Normal"/>
        <w:numPr>
          <w:ilvl w:val="0"/>
          <w:numId w:val="2"/>
        </w:numPr>
      </w:pPr>
      <w:r>
        <w:t xml:space="preserve">Retroalimentación, realimentación y proalimentación</w:t>
      </w:r>
    </w:p>
    <w:p>
      <w:pPr>
        <w:pStyle w:val="Normal"/>
        <w:numPr>
          <w:ilvl w:val="0"/>
          <w:numId w:val="2"/>
        </w:numPr>
      </w:pPr>
      <w:r>
        <w:t xml:space="preserve">Ciclos de clase: sed, válvula, acople, banco y gasolina</w:t>
      </w:r>
    </w:p>
    <w:p>
      <w:pPr>
        <w:pStyle w:val="Heading3"/>
      </w:pPr>
      <w:r>
        <w:t xml:space="preserve">Autoevaluación</w:t>
      </w:r>
    </w:p>
    <w:p>
      <w:pPr>
        <w:pStyle w:val="Normal"/>
      </w:pPr>
      <w:r>
        <w:t xml:space="preserve">Resuelva sin consultar las respuestas. Compruebe al final del capítulo por qué cada opción es correcta o incorrecta.</w:t>
      </w:r>
    </w:p>
    <w:p>
      <w:pPr>
        <w:pStyle w:val="Heading3"/>
      </w:pPr>
      <w:bookmarkStart w:name="b_pregunta_auto_3_5_1" w:id="2981"/>
      <w:r>
        <w:t xml:space="preserve">3.5-A1 · ¿Qué reduce el flujo entre reservorio y estanque comunicados al acercarse al equilibrio?</w:t>
      </w:r>
      <w:bookmarkEnd w:id="2981"/>
    </w:p>
    <w:p>
      <w:pPr>
        <w:pStyle w:val="Normal"/>
      </w:pPr>
      <w:r>
        <w:t xml:space="preserve">a) Un controlador con meta que la figura dibuja explícitamente</w:t>
      </w:r>
    </w:p>
    <w:p>
      <w:pPr>
        <w:pStyle w:val="Normal"/>
      </w:pPr>
      <w:r>
        <w:t xml:space="preserve">b) La disminución de la diferencia entre sus niveles</w:t>
      </w:r>
    </w:p>
    <w:p>
      <w:pPr>
        <w:pStyle w:val="Normal"/>
      </w:pPr>
      <w:r>
        <w:t xml:space="preserve">c) El aumento ilimitado de la diferencia de niveles</w:t>
      </w:r>
    </w:p>
    <w:p>
      <w:pPr>
        <w:pStyle w:val="Normal"/>
      </w:pPr>
      <w:r>
        <w:t xml:space="preserve">d) La ausencia de conexión entre ambos recipientes</w:t>
      </w:r>
    </w:p>
    <w:p>
      <w:pPr>
        <w:pStyle w:val="Heading3"/>
      </w:pPr>
      <w:bookmarkStart w:name="b_pregunta_auto_3_5_2" w:id="2982"/>
      <w:r>
        <w:t xml:space="preserve">3.5-A2 · ¿Por qué sobrecarga → falta de atención → trabajo sin hacer → problemas → sobrecarga es R?</w:t>
      </w:r>
      <w:bookmarkEnd w:id="2982"/>
    </w:p>
    <w:p>
      <w:pPr>
        <w:pStyle w:val="Normal"/>
      </w:pPr>
      <w:r>
        <w:t xml:space="preserve">a) Porque todo problema define automáticamente un B</w:t>
      </w:r>
    </w:p>
    <w:p>
      <w:pPr>
        <w:pStyle w:val="Normal"/>
      </w:pPr>
      <w:r>
        <w:t xml:space="preserve">b) Porque el recorrido nunca vuelve al inicio</w:t>
      </w:r>
    </w:p>
    <w:p>
      <w:pPr>
        <w:pStyle w:val="Normal"/>
      </w:pPr>
      <w:r>
        <w:t xml:space="preserve">c) Porque las influencias del recorrido son positivas y el retorno amplifica la sobrecarga inicial</w:t>
      </w:r>
    </w:p>
    <w:p>
      <w:pPr>
        <w:pStyle w:val="Normal"/>
      </w:pPr>
      <w:r>
        <w:t xml:space="preserve">d) Porque hay una sola relación negativa</w:t>
      </w:r>
    </w:p>
    <w:p>
      <w:pPr>
        <w:pStyle w:val="Heading3"/>
      </w:pPr>
      <w:bookmarkStart w:name="b_pregunta_auto_3_5_3" w:id="2983"/>
      <w:r>
        <w:t xml:space="preserve">3.5-A3 · Si el ciclo de confianza persigue un objetivo pero tiene cuatro influencias positivas, ¿qué tipo tiene?</w:t>
      </w:r>
      <w:bookmarkEnd w:id="2983"/>
    </w:p>
    <w:p>
      <w:pPr>
        <w:pStyle w:val="Normal"/>
      </w:pPr>
      <w:r>
        <w:t xml:space="preserve">a) Balance por el simple hecho de tener objetivo</w:t>
      </w:r>
    </w:p>
    <w:p>
      <w:pPr>
        <w:pStyle w:val="Normal"/>
      </w:pPr>
      <w:r>
        <w:t xml:space="preserve">b) Indeterminado porque cuatro positivas equivalen a una negativa</w:t>
      </w:r>
    </w:p>
    <w:p>
      <w:pPr>
        <w:pStyle w:val="Normal"/>
      </w:pPr>
      <w:r>
        <w:t xml:space="preserve">c) No es un ciclo aunque el recorrido cierre</w:t>
      </w:r>
    </w:p>
    <w:p>
      <w:pPr>
        <w:pStyle w:val="Normal"/>
      </w:pPr>
      <w:r>
        <w:t xml:space="preserve">d) Refuerzo: el objetivo no sustituye el conteo de signos</w:t>
      </w:r>
    </w:p>
    <w:p>
      <w:pPr>
        <w:pStyle w:val="Heading3"/>
      </w:pPr>
      <w:bookmarkStart w:name="b_pregunta_auto_3_5_4" w:id="2984"/>
      <w:r>
        <w:t xml:space="preserve">3.5-A4 · ¿Cómo coexisten anticipación y retroalimentación en el caso de la gasolina?</w:t>
      </w:r>
      <w:bookmarkEnd w:id="2984"/>
    </w:p>
    <w:p>
      <w:pPr>
        <w:pStyle w:val="Normal"/>
      </w:pPr>
      <w:r>
        <w:t xml:space="preserve">a) La expectativa provoca compras y escasez: proalimentación de compensación, con un lazo R que amplifica compras y expectativa</w:t>
      </w:r>
    </w:p>
    <w:p>
      <w:pPr>
        <w:pStyle w:val="Normal"/>
      </w:pPr>
      <w:r>
        <w:t xml:space="preserve">b) La anticipación elimina toda posibilidad de retroalimentación</w:t>
      </w:r>
    </w:p>
    <w:p>
      <w:pPr>
        <w:pStyle w:val="Normal"/>
      </w:pPr>
      <w:r>
        <w:t xml:space="preserve">c) La palabra compensación demuestra que el lazo de compras es B</w:t>
      </w:r>
    </w:p>
    <w:p>
      <w:pPr>
        <w:pStyle w:val="Normal"/>
      </w:pPr>
      <w:r>
        <w:t xml:space="preserve">d) El rumor no influye en la conducta de compra</w:t>
      </w:r>
    </w:p>
    <w:p>
      <w:pPr>
        <w:pStyle w:val="Heading3"/>
      </w:pPr>
      <w:bookmarkStart w:name="b_pregunta_auto_3_5_5" w:id="2985"/>
      <w:r>
        <w:t xml:space="preserve">3.5-A5 · Un bucle en el que «más produce más» —el cambio se alimenta a sí mismo y se multiplica— es un bucle de…</w:t>
      </w:r>
      <w:bookmarkEnd w:id="2985"/>
    </w:p>
    <w:p>
      <w:pPr>
        <w:pStyle w:val="Normal"/>
      </w:pPr>
      <w:r>
        <w:t xml:space="preserve">a) Refuerzo (R)</w:t>
      </w:r>
    </w:p>
    <w:p>
      <w:pPr>
        <w:pStyle w:val="Normal"/>
      </w:pPr>
      <w:r>
        <w:t xml:space="preserve">b) Compensación (B)</w:t>
      </w:r>
    </w:p>
    <w:p>
      <w:pPr>
        <w:pStyle w:val="Normal"/>
      </w:pPr>
      <w:r>
        <w:t xml:space="preserve">c) Demora</w:t>
      </w:r>
    </w:p>
    <w:p>
      <w:pPr>
        <w:pStyle w:val="Normal"/>
      </w:pPr>
      <w:r>
        <w:t xml:space="preserve">d) Equilibrio</w:t>
      </w:r>
    </w:p>
    <w:p>
      <w:pPr>
        <w:pStyle w:val="Heading3"/>
      </w:pPr>
      <w:bookmarkStart w:name="b_pregunta_auto_3_5_6" w:id="2986"/>
      <w:r>
        <w:t xml:space="preserve">3.5-A6 · Que un bucle sea de retroalimentación «positiva» significa que…</w:t>
      </w:r>
      <w:bookmarkEnd w:id="2986"/>
    </w:p>
    <w:p>
      <w:pPr>
        <w:pStyle w:val="Normal"/>
      </w:pPr>
      <w:r>
        <w:t xml:space="preserve">a) Es beneficioso para el sistema</w:t>
      </w:r>
    </w:p>
    <w:p>
      <w:pPr>
        <w:pStyle w:val="Normal"/>
      </w:pPr>
      <w:r>
        <w:t xml:space="preserve">b) Amplifica el cambio en la misma dirección (sea bueno o malo)</w:t>
      </w:r>
    </w:p>
    <w:p>
      <w:pPr>
        <w:pStyle w:val="Normal"/>
      </w:pPr>
      <w:r>
        <w:t xml:space="preserve">c) Siempre lleva al equilibrio</w:t>
      </w:r>
    </w:p>
    <w:p>
      <w:pPr>
        <w:pStyle w:val="Normal"/>
      </w:pPr>
      <w:r>
        <w:t xml:space="preserve">d) Corrige los errores del sistema</w:t>
      </w:r>
    </w:p>
    <w:p>
      <w:pPr>
        <w:pStyle w:val="Heading3"/>
      </w:pPr>
      <w:bookmarkStart w:name="b_pregunta_auto_3_5_7" w:id="2987"/>
      <w:r>
        <w:t xml:space="preserve">3.5-A7 · Un termostato que enciende y apaga la calefacción para mantener la sala a 21 °C es un ejemplo clásico de bucle de…</w:t>
      </w:r>
      <w:bookmarkEnd w:id="2987"/>
    </w:p>
    <w:p>
      <w:pPr>
        <w:pStyle w:val="Normal"/>
      </w:pPr>
      <w:r>
        <w:t xml:space="preserve">a) Refuerzo (R)</w:t>
      </w:r>
    </w:p>
    <w:p>
      <w:pPr>
        <w:pStyle w:val="Normal"/>
      </w:pPr>
      <w:r>
        <w:t xml:space="preserve">b) Compensación (B)</w:t>
      </w:r>
    </w:p>
    <w:p>
      <w:pPr>
        <w:pStyle w:val="Normal"/>
      </w:pPr>
      <w:r>
        <w:t xml:space="preserve">c) Refuerzo con demora</w:t>
      </w:r>
    </w:p>
    <w:p>
      <w:pPr>
        <w:pStyle w:val="Normal"/>
      </w:pPr>
      <w:r>
        <w:t xml:space="preserve">d) Causalidad lineal</w:t>
      </w:r>
    </w:p>
    <w:p>
      <w:pPr>
        <w:pStyle w:val="Heading3"/>
      </w:pPr>
      <w:bookmarkStart w:name="b_pregunta_auto_3_5_8" w:id="2988"/>
      <w:r>
        <w:t xml:space="preserve">3.5-A8 · En un diagrama de ciclos causales, ¿cómo se distingue de un vistazo un bucle R de uno B?</w:t>
      </w:r>
      <w:bookmarkEnd w:id="2988"/>
    </w:p>
    <w:p>
      <w:pPr>
        <w:pStyle w:val="Normal"/>
      </w:pPr>
      <w:r>
        <w:t xml:space="preserve">a) Contando los enlaces negativos «−»: par (o cero) es R; impar es B</w:t>
      </w:r>
    </w:p>
    <w:p>
      <w:pPr>
        <w:pStyle w:val="Normal"/>
      </w:pPr>
      <w:r>
        <w:t xml:space="preserve">b) Por el número de variables: más de tres siempre es R</w:t>
      </w:r>
    </w:p>
    <w:p>
      <w:pPr>
        <w:pStyle w:val="Normal"/>
      </w:pPr>
      <w:r>
        <w:t xml:space="preserve">c) El que tenga flechas más gruesas es el de refuerzo</w:t>
      </w:r>
    </w:p>
    <w:p>
      <w:pPr>
        <w:pStyle w:val="Normal"/>
      </w:pPr>
      <w:r>
        <w:t xml:space="preserve">d) Es imposible saberlo sin simularlo</w:t>
      </w:r>
    </w:p>
    <w:p>
      <w:pPr>
        <w:pStyle w:val="Heading3"/>
      </w:pPr>
      <w:bookmarkStart w:name="b_pregunta_auto_3_5_9" w:id="2989"/>
      <w:r>
        <w:t xml:space="preserve">3.5-A9 · Un bucle de compensación suele acercarse suavemente a su meta. ¿Qué lo hace, en cambio, oscilar (sobrepasarla una y otra vez)?</w:t>
      </w:r>
      <w:bookmarkEnd w:id="2989"/>
    </w:p>
    <w:p>
      <w:pPr>
        <w:pStyle w:val="Normal"/>
      </w:pPr>
      <w:r>
        <w:t xml:space="preserve">a) Una demora entre la acción y su efecto (o una corrección demasiado agresiva)</w:t>
      </w:r>
    </w:p>
    <w:p>
      <w:pPr>
        <w:pStyle w:val="Normal"/>
      </w:pPr>
      <w:r>
        <w:t xml:space="preserve">b) Que la meta sea muy alta</w:t>
      </w:r>
    </w:p>
    <w:p>
      <w:pPr>
        <w:pStyle w:val="Normal"/>
      </w:pPr>
      <w:r>
        <w:t xml:space="preserve">c) Convertirse en un bucle de refuerzo</w:t>
      </w:r>
    </w:p>
    <w:p>
      <w:pPr>
        <w:pStyle w:val="Normal"/>
      </w:pPr>
      <w:r>
        <w:t xml:space="preserve">d) Tener demasiadas variables</w:t>
      </w:r>
    </w:p>
    <w:p>
      <w:pPr>
        <w:pStyle w:val="Heading3"/>
      </w:pPr>
      <w:bookmarkStart w:name="b_pregunta_auto_3_5_10" w:id="2990"/>
      <w:r>
        <w:t xml:space="preserve">3.5-A10 · Meadows describe cierto tipo de bucle como «fuente de estabilidad y también de resistencia al cambio». ¿Cuál?</w:t>
      </w:r>
      <w:bookmarkEnd w:id="2990"/>
    </w:p>
    <w:p>
      <w:pPr>
        <w:pStyle w:val="Normal"/>
      </w:pPr>
      <w:r>
        <w:t xml:space="preserve">a) El de compensación (B)</w:t>
      </w:r>
    </w:p>
    <w:p>
      <w:pPr>
        <w:pStyle w:val="Normal"/>
      </w:pPr>
      <w:r>
        <w:t xml:space="preserve">b) El de refuerzo (R)</w:t>
      </w:r>
    </w:p>
    <w:p>
      <w:pPr>
        <w:pStyle w:val="Normal"/>
      </w:pPr>
      <w:r>
        <w:t xml:space="preserve">c) Todos los bucles por igual</w:t>
      </w:r>
    </w:p>
    <w:p>
      <w:pPr>
        <w:pStyle w:val="Normal"/>
      </w:pPr>
      <w:r>
        <w:t xml:space="preserve">d) Ninguno: los bucles no dan estabilidad</w:t>
      </w:r>
    </w:p>
    <w:p>
      <w:pPr>
        <w:pStyle w:val="Heading3"/>
      </w:pPr>
      <w:bookmarkStart w:name="b_pregunta_auto_3_5_11" w:id="2991"/>
      <w:r>
        <w:t xml:space="preserve">3.5-A11 · El interés compuesto de una cuenta de ahorro (más saldo → más intereses → más saldo) genera, con el tiempo, una curva de…</w:t>
      </w:r>
      <w:bookmarkEnd w:id="2991"/>
    </w:p>
    <w:p>
      <w:pPr>
        <w:pStyle w:val="Normal"/>
      </w:pPr>
      <w:r>
        <w:t xml:space="preserve">a) Crecimiento exponencial (forma de J)</w:t>
      </w:r>
    </w:p>
    <w:p>
      <w:pPr>
        <w:pStyle w:val="Normal"/>
      </w:pPr>
      <w:r>
        <w:t xml:space="preserve">b) Búsqueda de meta que se aplana</w:t>
      </w:r>
    </w:p>
    <w:p>
      <w:pPr>
        <w:pStyle w:val="Normal"/>
      </w:pPr>
      <w:r>
        <w:t xml:space="preserve">c) Oscilación amortiguada</w:t>
      </w:r>
    </w:p>
    <w:p>
      <w:pPr>
        <w:pStyle w:val="Normal"/>
      </w:pPr>
      <w:r>
        <w:t xml:space="preserve">d) Línea recta horizontal</w:t>
      </w:r>
    </w:p>
    <w:p>
      <w:pPr>
        <w:pStyle w:val="Heading3"/>
      </w:pPr>
      <w:bookmarkStart w:name="b_pregunta_auto_3_5_12" w:id="2992"/>
      <w:r>
        <w:t xml:space="preserve">3.5-A12 · Una población crece por nacimientos (bucle R) pero la limitan los recursos vía la mortalidad (bucle B). Cuando ambos actúan juntos, la conducta típica es…</w:t>
      </w:r>
      <w:bookmarkEnd w:id="2992"/>
    </w:p>
    <w:p>
      <w:pPr>
        <w:pStyle w:val="Normal"/>
      </w:pPr>
      <w:r>
        <w:t xml:space="preserve">a) Una curva en S: crece rápido y luego se estabiliza en un límite</w:t>
      </w:r>
    </w:p>
    <w:p>
      <w:pPr>
        <w:pStyle w:val="Normal"/>
      </w:pPr>
      <w:r>
        <w:t xml:space="preserve">b) Crecimiento exponencial sin fin</w:t>
      </w:r>
    </w:p>
    <w:p>
      <w:pPr>
        <w:pStyle w:val="Normal"/>
      </w:pPr>
      <w:r>
        <w:t xml:space="preserve">c) Colapso inmediato a cero</w:t>
      </w:r>
    </w:p>
    <w:p>
      <w:pPr>
        <w:pStyle w:val="Normal"/>
      </w:pPr>
      <w:r>
        <w:t xml:space="preserve">d) Una recta de pendiente constante</w:t>
      </w:r>
    </w:p>
    <w:p>
      <w:pPr>
        <w:pStyle w:val="Heading3"/>
      </w:pPr>
      <w:bookmarkStart w:name="b_pregunta_auto_3_5_13" w:id="2993"/>
      <w:r>
        <w:t xml:space="preserve">3.5-A13 · En el video de TED-Ed, los linces comen liebres (−) y las liebres alimentan a los linces (+). ¿Qué da el producto de los signos y qué bucle es?</w:t>
      </w:r>
      <w:bookmarkEnd w:id="2993"/>
    </w:p>
    <w:p>
      <w:pPr>
        <w:pStyle w:val="Normal"/>
      </w:pPr>
      <w:r>
        <w:t xml:space="preserve">a) +1: refuerzo, las dos poblaciones crecen sin límite</w:t>
      </w:r>
    </w:p>
    <w:p>
      <w:pPr>
        <w:pStyle w:val="Normal"/>
      </w:pPr>
      <w:r>
        <w:t xml:space="preserve">b) −1: compensación, las poblaciones oscilan alrededor de un equilibrio</w:t>
      </w:r>
    </w:p>
    <w:p>
      <w:pPr>
        <w:pStyle w:val="Normal"/>
      </w:pPr>
      <w:r>
        <w:t xml:space="preserve">c) 0: no hay retroalimentación</w:t>
      </w:r>
    </w:p>
    <w:p>
      <w:pPr>
        <w:pStyle w:val="Normal"/>
      </w:pPr>
      <w:r>
        <w:t xml:space="preserve">d) No se puede saber sin datos numéricos</w:t>
      </w:r>
    </w:p>
    <w:p>
      <w:pPr>
        <w:pStyle w:val="Heading3"/>
      </w:pPr>
      <w:bookmarkStart w:name="b_pregunta_auto_3_5_14" w:id="2994"/>
      <w:r>
        <w:t xml:space="preserve">3.5-A14 · Según el video, ¿por qué el bucle de las plantas y el humus se llama «retroalimentación positiva»?</w:t>
      </w:r>
      <w:bookmarkEnd w:id="2994"/>
    </w:p>
    <w:p>
      <w:pPr>
        <w:pStyle w:val="Normal"/>
      </w:pPr>
      <w:r>
        <w:t xml:space="preserve">a) Porque es beneficioso para el ecosistema</w:t>
      </w:r>
    </w:p>
    <w:p>
      <w:pPr>
        <w:pStyle w:val="Normal"/>
      </w:pPr>
      <w:r>
        <w:t xml:space="preserve">b) Porque amplifica un cambio respecto de las condiciones previas</w:t>
      </w:r>
    </w:p>
    <w:p>
      <w:pPr>
        <w:pStyle w:val="Normal"/>
      </w:pPr>
      <w:r>
        <w:t xml:space="preserve">c) Porque todas sus variables son positivas</w:t>
      </w:r>
    </w:p>
    <w:p>
      <w:pPr>
        <w:pStyle w:val="Normal"/>
      </w:pPr>
      <w:r>
        <w:t xml:space="preserve">d) Porque no tiene demoras</w:t>
      </w:r>
    </w:p>
    <w:p>
      <w:pPr>
        <w:pStyle w:val="Heading3"/>
      </w:pPr>
      <w:bookmarkStart w:name="b_pregunta_auto_3_5_15" w:id="2995"/>
      <w:r>
        <w:t xml:space="preserve">3.5-A15 · El video dice que cada retroalimentación es el producto de sus vínculos. ¿Qué pasa si un vínculo del bucle se pierde?</w:t>
      </w:r>
      <w:bookmarkEnd w:id="2995"/>
    </w:p>
    <w:p>
      <w:pPr>
        <w:pStyle w:val="Normal"/>
      </w:pPr>
      <w:r>
        <w:t xml:space="preserve">a) El bucle se vuelve de refuerzo</w:t>
      </w:r>
    </w:p>
    <w:p>
      <w:pPr>
        <w:pStyle w:val="Normal"/>
      </w:pPr>
      <w:r>
        <w:t xml:space="preserve">b) El bucle se vuelve de compensación</w:t>
      </w:r>
    </w:p>
    <w:p>
      <w:pPr>
        <w:pStyle w:val="Normal"/>
      </w:pPr>
      <w:r>
        <w:t xml:space="preserve">c) El bucle entero se rompe: +1 × −1 × 0 = 0, sin retroalimentación</w:t>
      </w:r>
    </w:p>
    <w:p>
      <w:pPr>
        <w:pStyle w:val="Normal"/>
      </w:pPr>
      <w:r>
        <w:t xml:space="preserve">d) Nada, los demás vínculos compensan</w:t>
      </w:r>
    </w:p>
    <w:p>
      <w:pPr>
        <w:pStyle w:val="Heading3"/>
      </w:pPr>
      <w:bookmarkStart w:name="b_pregunta_auto_3_5_16" w:id="2996"/>
      <w:r>
        <w:t xml:space="preserve">3.5-A16 · En la sesión de aprendizaje, las Autopistas crecen con la Construcción, la construcción crece con los Ingresos y los ingresos crecen con las Autopistas. ¿Qué bucle es y qué produce?</w:t>
      </w:r>
      <w:bookmarkEnd w:id="2996"/>
    </w:p>
    <w:p>
      <w:pPr>
        <w:pStyle w:val="Normal"/>
      </w:pPr>
      <w:r>
        <w:t xml:space="preserve">a) Un bucle negativo que busca un objetivo</w:t>
      </w:r>
    </w:p>
    <w:p>
      <w:pPr>
        <w:pStyle w:val="Normal"/>
      </w:pPr>
      <w:r>
        <w:t xml:space="preserve">b) Un bucle positivo: sólo influencias positivas, crecimiento que se arrastra a sí mismo, el efecto bola de nieve</w:t>
      </w:r>
    </w:p>
    <w:p>
      <w:pPr>
        <w:pStyle w:val="Normal"/>
      </w:pPr>
      <w:r>
        <w:t xml:space="preserve">c) No es bucle: falta una variable</w:t>
      </w:r>
    </w:p>
    <w:p>
      <w:pPr>
        <w:pStyle w:val="Normal"/>
      </w:pPr>
      <w:r>
        <w:t xml:space="preserve">d) Un bucle que oscila, como el de linces y liebres</w:t>
      </w:r>
    </w:p>
    <w:p>
      <w:pPr>
        <w:pStyle w:val="Heading3"/>
      </w:pPr>
      <w:bookmarkStart w:name="b_pregunta_auto_3_5_17" w:id="2997"/>
      <w:r>
        <w:t xml:space="preserve">3.5-A17 · En el depósito de agua de la sesión, ¿qué papel juega la altura deseada de 25 pies?</w:t>
      </w:r>
      <w:bookmarkEnd w:id="2997"/>
    </w:p>
    <w:p>
      <w:pPr>
        <w:pStyle w:val="Normal"/>
      </w:pPr>
      <w:r>
        <w:t xml:space="preserve">a) Es una variable del bucle, como la altura real</w:t>
      </w:r>
    </w:p>
    <w:p>
      <w:pPr>
        <w:pStyle w:val="Normal"/>
      </w:pPr>
      <w:r>
        <w:t xml:space="preserve">b) Es el objetivo del bucle negativo, fijado desde fuera: una variable exógena</w:t>
      </w:r>
    </w:p>
    <w:p>
      <w:pPr>
        <w:pStyle w:val="Normal"/>
      </w:pPr>
      <w:r>
        <w:t xml:space="preserve">c) Es el flujo de salida hacia la ciudad</w:t>
      </w:r>
    </w:p>
    <w:p>
      <w:pPr>
        <w:pStyle w:val="Normal"/>
      </w:pPr>
      <w:r>
        <w:t xml:space="preserve">d) Es la constante de tiempo del control</w:t>
      </w:r>
    </w:p>
    <w:p>
      <w:pPr>
        <w:pStyle w:val="Heading3"/>
      </w:pPr>
      <w:bookmarkStart w:name="b_pregunta_auto_3_5_18" w:id="2998"/>
      <w:r>
        <w:t xml:space="preserve">3.5-A18 · Según Echeverri y Franco, ¿en qué se diferencia la realimentación del pensamiento sistémico de la retroalimentación de la teoría tradicional de sistemas?</w:t>
      </w:r>
      <w:bookmarkEnd w:id="2998"/>
    </w:p>
    <w:p>
      <w:pPr>
        <w:pStyle w:val="Normal"/>
      </w:pPr>
      <w:r>
        <w:t xml:space="preserve">a) Son sinónimos: los dos términos describen la flecha que vuelve al inicio</w:t>
      </w:r>
    </w:p>
    <w:p>
      <w:pPr>
        <w:pStyle w:val="Normal"/>
      </w:pPr>
      <w:r>
        <w:t xml:space="preserve">b) La retroalimentación aparece al final del proceso como corrección; la realimentación es permanente y es todo el círculo, no una flecha</w:t>
      </w:r>
    </w:p>
    <w:p>
      <w:pPr>
        <w:pStyle w:val="Normal"/>
      </w:pPr>
      <w:r>
        <w:t xml:space="preserve">c) La realimentación sólo existe en los ciclos de refuerzo</w:t>
      </w:r>
    </w:p>
    <w:p>
      <w:pPr>
        <w:pStyle w:val="Normal"/>
      </w:pPr>
      <w:r>
        <w:t xml:space="preserve">d) La retroalimentación es la buena y la realimentación la mala</w:t>
      </w:r>
    </w:p>
    <w:p>
      <w:pPr>
        <w:pStyle w:val="Heading3"/>
      </w:pPr>
      <w:r>
        <w:t xml:space="preserve">Ejercicios de aplicación</w:t>
      </w:r>
    </w:p>
    <w:p>
      <w:pPr>
        <w:pStyle w:val="Heading3"/>
      </w:pPr>
      <w:bookmarkStart w:name="b_pregunta_ej_P07" w:id="2999"/>
      <w:r>
        <w:t xml:space="preserve">3.5-E1 · Paridad y realimentación</w:t>
      </w:r>
      <w:bookmarkEnd w:id="2999"/>
    </w:p>
    <w:p>
      <w:pPr>
        <w:pStyle w:val="Normal"/>
      </w:pPr>
      <w:r>
        <w:t xml:space="preserve">Atraso reduce capacitación; capacitación reduce errores; errores aumentan atraso. Dibuja signos y clasifica el ciclo. Repite comenzando con menos atraso.</w:t>
      </w:r>
    </w:p>
    <w:p>
      <w:pPr>
        <w:pStyle w:val="Heading3"/>
      </w:pPr>
      <w:bookmarkStart w:name="b_solucionario_3_5" w:id="3000"/>
      <w:r>
        <w:t xml:space="preserve">Solucionario del capítulo</w:t>
      </w:r>
      <w:bookmarkEnd w:id="3000"/>
    </w:p>
    <w:p>
      <w:pPr>
        <w:pStyle w:val="Heading3"/>
      </w:pPr>
      <w:r>
        <w:t xml:space="preserve">3.5-A1</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b) La disminución de la diferencia entre sus niveles</w:t>
            </w:r>
          </w:p>
        </w:tc>
      </w:tr>
    </w:tbl>
    <w:p>
      <w:pPr>
        <w:pStyle w:val="Normal"/>
      </w:pPr>
      <w:r>
        <w:t xml:space="preserve">El flujo reduce la diferencia de niveles que lo impulsa; al atenuarse ésta, el flujo se reduce. No hace falta añadir un controlador ausente de la figura.</w:t>
      </w:r>
    </w:p>
    <w:p>
      <w:pPr>
        <w:pStyle w:val="Fuente"/>
      </w:pPr>
      <w:r>
        <w:t xml:space="preserve">Presentación de la unidad 3 (C-2), pág. 74 y 80 · Clase 13 · 01:07:08 · Clase 16 · 00:53:20–01:01:30</w:t>
      </w:r>
    </w:p>
    <w:p>
      <w:pPr>
        <w:pStyle w:val="Heading3"/>
      </w:pPr>
      <w:r>
        <w:t xml:space="preserve">3.5-A2</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c) Porque las influencias del recorrido son positivas y el retorno amplifica la sobrecarga inicial</w:t>
            </w:r>
          </w:p>
        </w:tc>
      </w:tr>
    </w:tbl>
    <w:p>
      <w:pPr>
        <w:pStyle w:val="Normal"/>
      </w:pPr>
      <w:r>
        <w:t xml:space="preserve">Porque las influencias del recorrido son positivas y el retorno amplifica la sobrecarga inicial</w:t>
      </w:r>
    </w:p>
    <w:p>
      <w:pPr>
        <w:pStyle w:val="Fuente"/>
      </w:pPr>
      <w:r>
        <w:t xml:space="preserve">Presentación de la unidad 3 (C-2), pág. 74 y 80 · Clase 13 · 01:07:08 · Clase 16 · 00:53:20–01:01:30</w:t>
      </w:r>
    </w:p>
    <w:p>
      <w:pPr>
        <w:pStyle w:val="Heading3"/>
      </w:pPr>
      <w:r>
        <w:t xml:space="preserve">3.5-A3</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d) Refuerzo: el objetivo no sustituye el conteo de signos</w:t>
            </w:r>
          </w:p>
        </w:tc>
      </w:tr>
    </w:tbl>
    <w:p>
      <w:pPr>
        <w:pStyle w:val="Normal"/>
      </w:pPr>
      <w:r>
        <w:t xml:space="preserve">El recorrido tiene cuatro influencias positivas, por lo que su retorno es de refuerzo. El objetivo invocado oralmente no cambia esa polaridad.</w:t>
      </w:r>
    </w:p>
    <w:p>
      <w:pPr>
        <w:pStyle w:val="Fuente"/>
      </w:pPr>
      <w:r>
        <w:t xml:space="preserve">Presentación de la unidad 3 (C-2), pág. 74 y 80 · Clase 13 · 01:07:08 · Clase 16 · 00:53:20–01:01:30</w:t>
      </w:r>
    </w:p>
    <w:p>
      <w:pPr>
        <w:pStyle w:val="Heading3"/>
      </w:pPr>
      <w:r>
        <w:t xml:space="preserve">3.5-A4</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a) La expectativa provoca compras y escasez: proalimentación de compensación, con un lazo R que amplifica compras y expectativa</w:t>
            </w:r>
          </w:p>
        </w:tc>
      </w:tr>
    </w:tbl>
    <w:p>
      <w:pPr>
        <w:pStyle w:val="Normal"/>
      </w:pPr>
      <w:r>
        <w:t xml:space="preserve">En el vocabulario del curso la predicción que termina cumpliéndose es proalimentación de compensación. A la vez, expectativa → compras → escasez → expectativa refuerza el cambio: es R. Son dos descripciones compatibles, y la primera no cambia la polaridad del lazo.</w:t>
      </w:r>
    </w:p>
    <w:p>
      <w:pPr>
        <w:pStyle w:val="Fuente"/>
      </w:pPr>
      <w:r>
        <w:t xml:space="preserve">Clase 16 · 00:53:20–01:01:30</w:t>
      </w:r>
    </w:p>
    <w:p>
      <w:pPr>
        <w:pStyle w:val="Heading3"/>
      </w:pPr>
      <w:r>
        <w:t xml:space="preserve">3.5-A5</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a) Refuerzo (R)</w:t>
            </w:r>
          </w:p>
        </w:tc>
      </w:tr>
    </w:tbl>
    <w:p>
      <w:pPr>
        <w:pStyle w:val="Normal"/>
      </w:pPr>
      <w:r>
        <w:t xml:space="preserve">El bucle de refuerzo (positivo, amplificador o «bola de nieve») devuelve el cambio en la misma dirección, generando crecimiento o colapso exponencial.</w:t>
      </w:r>
    </w:p>
    <w:p>
      <w:pPr>
        <w:pStyle w:val="Normal"/>
      </w:pPr>
      <w:r>
        <w:t xml:space="preserve">a) Correcto: el refuerzo devuelve el cambio en la misma dirección y lo amplifica.</w:t>
      </w:r>
    </w:p>
    <w:p>
      <w:pPr>
        <w:pStyle w:val="Normal"/>
      </w:pPr>
      <w:r>
        <w:t xml:space="preserve">b) No: la compensación contrarresta el cambio y busca una meta.</w:t>
      </w:r>
    </w:p>
    <w:p>
      <w:pPr>
        <w:pStyle w:val="Normal"/>
      </w:pPr>
      <w:r>
        <w:t xml:space="preserve">c) La demora retrasa un efecto, no es un tipo de bucle.</w:t>
      </w:r>
    </w:p>
    <w:p>
      <w:pPr>
        <w:pStyle w:val="Normal"/>
      </w:pPr>
      <w:r>
        <w:t xml:space="preserve">d) El «equilibrio» es un resultado posible, no la estructura del bucle.</w:t>
      </w:r>
    </w:p>
    <w:p>
      <w:pPr>
        <w:pStyle w:val="Fuente"/>
      </w:pPr>
      <w:r>
        <w:t xml:space="preserve">Meadows, cap. 1</w:t>
      </w:r>
    </w:p>
    <w:p>
      <w:pPr>
        <w:pStyle w:val="Heading3"/>
      </w:pPr>
      <w:r>
        <w:t xml:space="preserve">3.5-A6</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b) Amplifica el cambio en la misma dirección (sea bueno o malo)</w:t>
            </w:r>
          </w:p>
        </w:tc>
      </w:tr>
    </w:tbl>
    <w:p>
      <w:pPr>
        <w:pStyle w:val="Normal"/>
      </w:pPr>
      <w:r>
        <w:t xml:space="preserve">Positivo/negativo se refiere a la dirección del efecto, no a si conviene. Una espiral de deuda es retroalimentación positiva (reforzadora) y es dañina: el mismo esqueleto puede ser círculo virtuoso o vicioso.</w:t>
      </w:r>
    </w:p>
    <w:p>
      <w:pPr>
        <w:pStyle w:val="Normal"/>
      </w:pPr>
      <w:r>
        <w:t xml:space="preserve">a) Trampa frecuente: «positivo» no quiere decir «bueno».</w:t>
      </w:r>
    </w:p>
    <w:p>
      <w:pPr>
        <w:pStyle w:val="Normal"/>
      </w:pPr>
      <w:r>
        <w:t xml:space="preserve">b) Correcto: «positivo» describe la dirección, no la deseabilidad.</w:t>
      </w:r>
    </w:p>
    <w:p>
      <w:pPr>
        <w:pStyle w:val="Normal"/>
      </w:pPr>
      <w:r>
        <w:t xml:space="preserve">c) Al equilibrio tiende la retroalimentación negativa (compensación).</w:t>
      </w:r>
    </w:p>
    <w:p>
      <w:pPr>
        <w:pStyle w:val="Normal"/>
      </w:pPr>
      <w:r>
        <w:t xml:space="preserve">d) Corregir errores es propio del bucle de compensación.</w:t>
      </w:r>
    </w:p>
    <w:p>
      <w:pPr>
        <w:pStyle w:val="Heading3"/>
      </w:pPr>
      <w:r>
        <w:t xml:space="preserve">3.5-A7</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b) Compensación (B)</w:t>
            </w:r>
          </w:p>
        </w:tc>
      </w:tr>
    </w:tbl>
    <w:p>
      <w:pPr>
        <w:pStyle w:val="Normal"/>
      </w:pPr>
      <w:r>
        <w:t xml:space="preserve">El termostato persigue una meta (el punto de ajuste) y corrige las desviaciones: es un bucle de compensación (retroalimentación negativa, buscador de meta).</w:t>
      </w:r>
    </w:p>
    <w:p>
      <w:pPr>
        <w:pStyle w:val="Heading3"/>
      </w:pPr>
      <w:r>
        <w:t xml:space="preserve">3.5-A8</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a) Contando los enlaces negativos «−»: par (o cero) es R; impar es B</w:t>
            </w:r>
          </w:p>
        </w:tc>
      </w:tr>
    </w:tbl>
    <w:p>
      <w:pPr>
        <w:pStyle w:val="Normal"/>
      </w:pPr>
      <w:r>
        <w:t xml:space="preserve">Cada enlace es «+» (mismo sentido) o «−» (sentido opuesto). Un número par de enlaces «−» (incluido cero) da un bucle de refuerzo; un número impar da uno de compensación.</w:t>
      </w:r>
    </w:p>
    <w:p>
      <w:pPr>
        <w:pStyle w:val="Normal"/>
      </w:pPr>
      <w:r>
        <w:t xml:space="preserve">a) Correcto: es la regla del signo del producto de los enlaces del bucle.</w:t>
      </w:r>
    </w:p>
    <w:p>
      <w:pPr>
        <w:pStyle w:val="Normal"/>
      </w:pPr>
      <w:r>
        <w:t xml:space="preserve">b) El número de variables no determina el tipo de bucle.</w:t>
      </w:r>
    </w:p>
    <w:p>
      <w:pPr>
        <w:pStyle w:val="Normal"/>
      </w:pPr>
      <w:r>
        <w:t xml:space="preserve">c) El grosor no codifica el tipo de bucle.</w:t>
      </w:r>
    </w:p>
    <w:p>
      <w:pPr>
        <w:pStyle w:val="Normal"/>
      </w:pPr>
      <w:r>
        <w:t xml:space="preserve">d) Sí se puede: basta contar los enlaces negativos.</w:t>
      </w:r>
    </w:p>
    <w:p>
      <w:pPr>
        <w:pStyle w:val="Fuente"/>
      </w:pPr>
      <w:r>
        <w:t xml:space="preserve">Convención CLD</w:t>
      </w:r>
    </w:p>
    <w:p>
      <w:pPr>
        <w:pStyle w:val="Heading3"/>
      </w:pPr>
      <w:r>
        <w:t xml:space="preserve">3.5-A9</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a) Una demora entre la acción y su efecto (o una corrección demasiado agresiva)</w:t>
            </w:r>
          </w:p>
        </w:tc>
      </w:tr>
    </w:tbl>
    <w:p>
      <w:pPr>
        <w:pStyle w:val="Normal"/>
      </w:pPr>
      <w:r>
        <w:t xml:space="preserve">Cuando la corrección se basa en información retrasada —o se sobre-reacciona (k &gt; 1)— el sistema se pasa de la meta y debe rectificar: aparece la oscilación (la ducha demasiado caliente y luego demasiado fría). Las demoras se estudian en 3.7.</w:t>
      </w:r>
    </w:p>
    <w:p>
      <w:pPr>
        <w:pStyle w:val="Fuente"/>
      </w:pPr>
      <w:r>
        <w:t xml:space="preserve">Senge, La quinta disciplina</w:t>
      </w:r>
    </w:p>
    <w:p>
      <w:pPr>
        <w:pStyle w:val="Heading3"/>
      </w:pPr>
      <w:r>
        <w:t xml:space="preserve">3.5-A10</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a) El de compensación (B)</w:t>
            </w:r>
          </w:p>
        </w:tc>
      </w:tr>
    </w:tbl>
    <w:p>
      <w:pPr>
        <w:pStyle w:val="Normal"/>
      </w:pPr>
      <w:r>
        <w:t xml:space="preserve">Los bucles de compensación estabilizan el sistema en torno a su meta; por eso mismo se resisten a los intentos de moverlo: son fuente de estabilidad y de resistencia al cambio.</w:t>
      </w:r>
    </w:p>
    <w:p>
      <w:pPr>
        <w:pStyle w:val="Fuente"/>
      </w:pPr>
      <w:r>
        <w:t xml:space="preserve">Meadows, cap. 1</w:t>
      </w:r>
    </w:p>
    <w:p>
      <w:pPr>
        <w:pStyle w:val="Heading3"/>
      </w:pPr>
      <w:r>
        <w:t xml:space="preserve">3.5-A11</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a) Crecimiento exponencial (forma de J)</w:t>
            </w:r>
          </w:p>
        </w:tc>
      </w:tr>
    </w:tbl>
    <w:p>
      <w:pPr>
        <w:pStyle w:val="Normal"/>
      </w:pPr>
      <w:r>
        <w:t xml:space="preserve">Es un bucle de refuerzo puro: el acervo se multiplica sobre sí mismo. Su curva de comportamiento es la J exponencial (lento al principio, disparado después).</w:t>
      </w:r>
    </w:p>
    <w:p>
      <w:pPr>
        <w:pStyle w:val="Heading3"/>
      </w:pPr>
      <w:r>
        <w:t xml:space="preserve">3.5-A12</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a) Una curva en S: crece rápido y luego se estabiliza en un límite</w:t>
            </w:r>
          </w:p>
        </w:tc>
      </w:tr>
    </w:tbl>
    <w:p>
      <w:pPr>
        <w:pStyle w:val="Normal"/>
      </w:pPr>
      <w:r>
        <w:t xml:space="preserve">Un bucle de refuerzo frenado por uno de compensación produce el crecimiento en S (logístico): primero domina el refuerzo, luego el límite. Combinar bucles así da lugar a los arquetipos de la Unidad 4.</w:t>
      </w:r>
    </w:p>
    <w:p>
      <w:pPr>
        <w:pStyle w:val="Fuente"/>
      </w:pPr>
      <w:r>
        <w:t xml:space="preserve">Límites del crecimiento</w:t>
      </w:r>
    </w:p>
    <w:p>
      <w:pPr>
        <w:pStyle w:val="Heading3"/>
      </w:pPr>
      <w:r>
        <w:t xml:space="preserve">3.5-A13</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b) −1: compensación, las poblaciones oscilan alrededor de un equilibrio</w:t>
            </w:r>
          </w:p>
        </w:tc>
      </w:tr>
    </w:tbl>
    <w:p>
      <w:pPr>
        <w:pStyle w:val="Normal"/>
      </w:pPr>
      <w:r>
        <w:t xml:space="preserve">(+1) × (−1) = −1: un número impar de negativos da compensación. El video lo llama retroalimentación negativa y muestra el patrón ondulatorio que mantiene el equilibrio a largo plazo.</w:t>
      </w:r>
    </w:p>
    <w:p>
      <w:pPr>
        <w:pStyle w:val="Fuente"/>
      </w:pPr>
      <w:r>
        <w:t xml:space="preserve">TED-Ed · 01:49</w:t>
      </w:r>
    </w:p>
    <w:p>
      <w:pPr>
        <w:pStyle w:val="Heading3"/>
      </w:pPr>
      <w:r>
        <w:t xml:space="preserve">3.5-A14</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b) Porque amplifica un cambio respecto de las condiciones previas</w:t>
            </w:r>
          </w:p>
        </w:tc>
      </w:tr>
    </w:tbl>
    <w:p>
      <w:pPr>
        <w:pStyle w:val="Normal"/>
      </w:pPr>
      <w:r>
        <w:t xml:space="preserve">Positiva no significa beneficiosa: significa que amplifica. El mismo tipo de bucle explica la erosión que se alimenta a sí misma al destruir un bosque.</w:t>
      </w:r>
    </w:p>
    <w:p>
      <w:pPr>
        <w:pStyle w:val="Fuente"/>
      </w:pPr>
      <w:r>
        <w:t xml:space="preserve">TED-Ed · 01:16</w:t>
      </w:r>
    </w:p>
    <w:p>
      <w:pPr>
        <w:pStyle w:val="Heading3"/>
      </w:pPr>
      <w:r>
        <w:t xml:space="preserve">3.5-A15</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c) El bucle entero se rompe: +1 × −1 × 0 = 0, sin retroalimentación</w:t>
            </w:r>
          </w:p>
        </w:tc>
      </w:tr>
    </w:tbl>
    <w:p>
      <w:pPr>
        <w:pStyle w:val="Normal"/>
      </w:pPr>
      <w:r>
        <w:t xml:space="preserve">Un factor 0 anula el producto. Añadir un negativo invierte el bucle y un vínculo débil reduce todo el efecto; perder uno lo rompe.</w:t>
      </w:r>
    </w:p>
    <w:p>
      <w:pPr>
        <w:pStyle w:val="Fuente"/>
      </w:pPr>
      <w:r>
        <w:t xml:space="preserve">TED-Ed · 02:47</w:t>
      </w:r>
    </w:p>
    <w:p>
      <w:pPr>
        <w:pStyle w:val="Heading3"/>
      </w:pPr>
      <w:r>
        <w:t xml:space="preserve">3.5-A16</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b) Un bucle positivo: sólo influencias positivas, crecimiento que se arrastra a sí mismo, el efecto bola de nieve</w:t>
            </w:r>
          </w:p>
        </w:tc>
      </w:tr>
    </w:tbl>
    <w:p>
      <w:pPr>
        <w:pStyle w:val="Normal"/>
      </w:pPr>
      <w:r>
        <w:t xml:space="preserve">Regla práctica de la sesión: sólo influencias positivas, o un número par de negativas, dan un bucle positivo. La variable se realimenta a sí misma para reforzar su propio crecimiento; costes y abandono frenan desde fuera sin cerrar otro bucle.</w:t>
      </w:r>
    </w:p>
    <w:p>
      <w:pPr>
        <w:pStyle w:val="Normal"/>
      </w:pPr>
      <w:r>
        <w:t xml:space="preserve">a) Los bucles negativos exigen un número impar de negativos y un objetivo externo.</w:t>
      </w:r>
    </w:p>
    <w:p>
      <w:pPr>
        <w:pStyle w:val="Normal"/>
      </w:pPr>
      <w:r>
        <w:t xml:space="preserve">b) Correcto: es la realimentación positiva de primer orden de la sesión.</w:t>
      </w:r>
    </w:p>
    <w:p>
      <w:pPr>
        <w:pStyle w:val="Normal"/>
      </w:pPr>
      <w:r>
        <w:t xml:space="preserve">c) Autopistas → ingresos → construcción → autopistas sí se cierra.</w:t>
      </w:r>
    </w:p>
    <w:p>
      <w:pPr>
        <w:pStyle w:val="Normal"/>
      </w:pPr>
      <w:r>
        <w:t xml:space="preserve">d) Un sistema de primer orden tiene un solo nivel y no oscila.</w:t>
      </w:r>
    </w:p>
    <w:p>
      <w:pPr>
        <w:pStyle w:val="Fuente"/>
      </w:pPr>
      <w:r>
        <w:t xml:space="preserve">Lectura L-10 · sesión 2, ejemplo 1</w:t>
      </w:r>
    </w:p>
    <w:p>
      <w:pPr>
        <w:pStyle w:val="Heading3"/>
      </w:pPr>
      <w:r>
        <w:t xml:space="preserve">3.5-A17</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b) Es el objetivo del bucle negativo, fijado desde fuera: una variable exógena</w:t>
            </w:r>
          </w:p>
        </w:tc>
      </w:tr>
    </w:tbl>
    <w:p>
      <w:pPr>
        <w:pStyle w:val="Normal"/>
      </w:pPr>
      <w:r>
        <w:t xml:space="preserve">La sesión define los sistemas de realimentación negativa como autorreguladores u homeostáticos: su comportamiento lo determina un objetivo exógeno. El nivel —la altura— es el objeto de control y sólo cambia por medio del flujo.</w:t>
      </w:r>
    </w:p>
    <w:p>
      <w:pPr>
        <w:pStyle w:val="Normal"/>
      </w:pPr>
      <w:r>
        <w:t xml:space="preserve">a) No está dentro del recorrido: entra al bucle pero no recibe influencia de él.</w:t>
      </w:r>
    </w:p>
    <w:p>
      <w:pPr>
        <w:pStyle w:val="Normal"/>
      </w:pPr>
      <w:r>
        <w:t xml:space="preserve">b) Correcto: los sistemas de realimentación negativa tienen implícito un objetivo que se determina externamente.</w:t>
      </w:r>
    </w:p>
    <w:p>
      <w:pPr>
        <w:pStyle w:val="Normal"/>
      </w:pPr>
      <w:r>
        <w:t xml:space="preserve">c) La salida es un flujo constante de 1000 pies cúbicos por minuto, otra cosa.</w:t>
      </w:r>
    </w:p>
    <w:p>
      <w:pPr>
        <w:pStyle w:val="Normal"/>
      </w:pPr>
      <w:r>
        <w:t xml:space="preserve">d) La constante de tiempo (10 minutos) modula la rapidez de la corrección.</w:t>
      </w:r>
    </w:p>
    <w:p>
      <w:pPr>
        <w:pStyle w:val="Fuente"/>
      </w:pPr>
      <w:r>
        <w:t xml:space="preserve">Lectura L-10 · sesión 2, caso 2</w:t>
      </w:r>
    </w:p>
    <w:p>
      <w:pPr>
        <w:pStyle w:val="Heading3"/>
      </w:pPr>
      <w:r>
        <w:t xml:space="preserve">3.5-A18</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b) La retroalimentación aparece al final del proceso como corrección; la realimentación es permanente y es todo el círculo, no una flecha</w:t>
            </w:r>
          </w:p>
        </w:tc>
      </w:tr>
    </w:tbl>
    <w:p>
      <w:pPr>
        <w:pStyle w:val="Normal"/>
      </w:pPr>
      <w:r>
        <w:t xml:space="preserve">Mientras la retroalimentación se da al final —insumo, proceso, producto— y se analiza como corrección para volver a empezar, la realimentación es un conjunto de influencias de unas variables sobre otras: no hay una línea que muestre dónde está, existe dentro de la unidad.</w:t>
      </w:r>
    </w:p>
    <w:p>
      <w:pPr>
        <w:pStyle w:val="Normal"/>
      </w:pPr>
      <w:r>
        <w:t xml:space="preserve">a) Los autores los diferencian a propósito, por razones metodológicas y epistemológicas.</w:t>
      </w:r>
    </w:p>
    <w:p>
      <w:pPr>
        <w:pStyle w:val="Normal"/>
      </w:pPr>
      <w:r>
        <w:t xml:space="preserve">b) Correcto: es la tabla del capítulo VIII, fila por fila.</w:t>
      </w:r>
    </w:p>
    <w:p>
      <w:pPr>
        <w:pStyle w:val="Normal"/>
      </w:pPr>
      <w:r>
        <w:t xml:space="preserve">c) Existe también en los ciclos compensadores, con la diferencia de que allí compensa.</w:t>
      </w:r>
    </w:p>
    <w:p>
      <w:pPr>
        <w:pStyle w:val="Normal"/>
      </w:pPr>
      <w:r>
        <w:t xml:space="preserve">d) Ninguna es buena o mala: son dos enfoques distintos.</w:t>
      </w:r>
    </w:p>
    <w:p>
      <w:pPr>
        <w:pStyle w:val="Fuente"/>
      </w:pPr>
      <w:r>
        <w:t xml:space="preserve">Lectura L-13 · Echeverri y Franco, cap. VIII</w:t>
      </w:r>
    </w:p>
    <w:p>
      <w:pPr>
        <w:pStyle w:val="Heading3"/>
      </w:pPr>
      <w:bookmarkStart w:name="b_solucion_ej_P07" w:id="3001"/>
      <w:r>
        <w:t xml:space="preserve">Solución 3.5-E1</w:t>
      </w:r>
      <w:bookmarkEnd w:id="3001"/>
    </w:p>
    <w:p>
      <w:pPr>
        <w:pStyle w:val="RecuadroTitulo"/>
      </w:pPr>
      <w:r>
        <w:t xml:space="preserve">Respuesta modelo</w:t>
      </w:r>
    </w:p>
    <w:p>
      <w:pPr>
        <w:pStyle w:val="Normal"/>
      </w:pPr>
      <w:r>
        <w:t xml:space="preserve">Los signos son −, −, +. Dos negativos producen R. Menos atraso permite más capacitación, menos errores y todavía menos atraso. El mismo refuerzo puede amplificar una mejora o un deterioro.</w:t>
      </w:r>
    </w:p>
    <w:p>
      <w:pPr>
        <w:pStyle w:val="Fuente"/>
        <w:sectPr>
          <w:headerReference w:type="default" r:id="rId186"/>
          <w:headerReference w:type="first" r:id="rId187"/>
          <w:headerReference w:type="even" r:id="rId188"/>
          <w:footerReference w:type="default" r:id="rId189"/>
          <w:footerReference w:type="first" r:id="rId190"/>
          <w:footerReference w:type="even" r:id="rId191"/>
          <w:type w:val="nextPage"/>
          <w:pgSz w:w="12240" w:h="15840" w:orient="portrait"/>
          <w:pgMar w:top="1361" w:right="1134" w:bottom="1361" w:left="1474" w:header="650" w:footer="680" w:gutter="0"/>
          <w:pgNumType/>
          <w:titlePg/>
          <w:docGrid w:linePitch="360"/>
        </w:sectPr>
      </w:pPr>
      <w:r>
        <w:t xml:space="preserve">Repaso seleccionado · guía recibida, pp. 3–5; lecciones de unidades 1–3.</w:t>
      </w:r>
    </w:p>
    <w:p>
      <w:pPr>
        <w:pStyle w:val="Heading2"/>
      </w:pPr>
      <w:bookmarkStart w:name="b_3_6" w:id="3002"/>
      <w:r>
        <w:t xml:space="preserve">3.6 · Modelación dinámica</w:t>
      </w:r>
      <w:bookmarkEnd w:id="3002"/>
    </w:p>
    <w:p>
      <w:pPr>
        <w:pStyle w:val="Subtitulo"/>
      </w:pPr>
      <w:r>
        <w:t xml:space="preserve">La modelación dinámica de los sistemas complejos</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En una línea</w:t>
            </w:r>
          </w:p>
          <w:p>
            <w:pPr>
              <w:pStyle w:val="Recuadro"/>
            </w:pPr>
            <w:r>
              <w:t xml:space="preserve">La estructura del sistema genera su comportamiento: los sistemas están perfectamente diseñados para producir los resultados que obtienen.</w:t>
            </w:r>
          </w:p>
        </w:tc>
      </w:tr>
    </w:tbl>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Qué te preguntan</w:t>
            </w:r>
          </w:p>
          <w:p>
            <w:pPr>
              <w:pStyle w:val="Recuadro"/>
            </w:pPr>
            <w:r>
              <w:t xml:space="preserve">Explicar por qué buscar culpables es una estrategia de pensamiento lineal y qué la sustituye: preguntar cómo se afectan las partes entre sí y cómo su organización crea el comportamiento. Contar ciclos en un modelo de varios lazos anidados y nombrarlos uno por uno por las variables que los forman.</w:t>
            </w:r>
          </w:p>
        </w:tc>
      </w:tr>
    </w:tbl>
    <w:p>
      <w:pPr>
        <w:pStyle w:val="Normal"/>
      </w:pPr>
      <w:r>
        <w:t xml:space="preserve">La estructura del sistema genera su comportamiento: éste emerge de todas las relaciones causales, variables y subsistemas, no de una parte culpable, y para cambiarlo hay que cambiar la estructura. Modelar un sistema complejo es recorrer sus cadenas causales desde cualquier variable hasta que regresen a ella, contar los ciclos y clasificar cada uno por sus relaciones negativas: número par, refuerzo; impar, compensación. La historia se lee con las polaridades, sin lectura lineal ni pretensión de modelo completo.</w:t>
      </w:r>
    </w:p>
    <w:p>
      <w:pPr>
        <w:pStyle w:val="Heading3"/>
      </w:pPr>
      <w:r>
        <w:t xml:space="preserve">Vocabulario clave</w:t>
      </w:r>
    </w:p>
    <w:p>
      <w:pPr>
        <w:pStyle w:val="Normal"/>
      </w:pPr>
      <w:r>
        <w:t xml:space="preserve">la estructura genera el comportamiento (los comportamientos dependen de las estructuras; los sistemas están perfectamente diseñados para producir los resultados que se obtienen) · emergencia del comportamiento (surge de todas las interacciones, no de una parte) · estructuras físicas, lógicas y sociales (tangibles o intangibles) · ciclo (recorrido causal que siempre regresa a la variable de partida) · ciclos anidados o solapados (por variables compartidas) · regla del número de negativas (par: refuerzo; impar: compensación) · búsqueda de culpables (estructura de culpabilidad, lectura lineal o reduccionista) · estructura de causalidad circular · iceberg (eventos, patrones, estructuras, modelos mentales) · puntos de apalancamiento</w:t>
      </w:r>
    </w:p>
    <w:p>
      <w:pPr>
        <w:pStyle w:val="Fuente"/>
      </w:pPr>
      <w:r>
        <w:t xml:space="preserve">Recorrido: desarrollo conceptual → presentaciones → explicación en clase → errores y fuentes → práctica → solucionario.</w:t>
      </w:r>
    </w:p>
    <w:p>
      <w:pPr>
        <w:pStyle w:val="Heading3"/>
      </w:pPr>
      <w:r>
        <w:t xml:space="preserve">La regla: la estructura genera el comportamiento</w:t>
      </w:r>
    </w:p>
    <w:p>
      <w:pPr>
        <w:pStyle w:val="Normal"/>
      </w:pPr>
      <w:r>
        <w:t xml:space="preserve">Hábito del pensador sistémico, ligado a la emergencia: la estructura del sistema genera su comportamiento. Otras formulaciones: «los comportamientos dependen de las estructuras» y «los sistemas están perfectamente diseñados para producir los resultados que se obtienen».</w:t>
      </w:r>
    </w:p>
    <w:p>
      <w:pPr>
        <w:pStyle w:val="Normal"/>
      </w:pPr>
      <w:r>
        <w:t xml:space="preserve">El comportamiento emerge de todas las relaciones causales, variables y subsistemas; no está en una sola de esas partes.</w:t>
      </w:r>
    </w:p>
    <w:p>
      <w:pPr>
        <w:pStyle w:val="Normal"/>
      </w:pPr>
      <w:r>
        <w:t xml:space="preserve">Las estructuras son físicas, lógicas (leyes, reglas, políticas) o sociales (tradiciones, rutinas), tangibles o intangibles.</w:t>
      </w:r>
    </w:p>
    <w:p>
      <w:pPr>
        <w:pStyle w:val="Normal"/>
      </w:pPr>
      <w:r>
        <w:t xml:space="preserve">Para cambiar el comportamiento hay que cambiar la estructura; por eso se diseña desde el comportamiento emergente deseado, los requisitos, hacia la estructura. Ante un objetivo no logrado se revisa la estructura.</w:t>
      </w:r>
    </w:p>
    <w:p>
      <w:pPr>
        <w:pStyle w:val="Normal"/>
      </w:pPr>
      <w:r>
        <w:t xml:space="preserve">Iceberg: eventos, patrones, estructuras y modelos mentales; los modelos mentales determinan las estructuras, y éstas, los patrones y los eventos.</w:t>
      </w:r>
    </w:p>
    <w:p>
      <w:pPr>
        <w:pStyle w:val="Fuente"/>
      </w:pPr>
      <w:r>
        <w:t xml:space="preserve">Clase 15 · 00:29:49–00:30:57 · Clase 15 · 00:33:50–00:34:16 · Clase 15 · 00:39:01–00:39:34 · Clase 15 · 00:48:38–00:51:06 · Clase 15 · 00:53:37–00:55:38 · Clase 15 · 00:57:41–00:57:56 · Clase 16 · 00:18:04–00:21:33</w:t>
      </w:r>
    </w:p>
    <w:p>
      <w:pPr>
        <w:pStyle w:val="Heading3"/>
      </w:pPr>
      <w:r>
        <w:t xml:space="preserve">Los casos que mostraron que la estructura manda</w:t>
      </w:r>
    </w:p>
    <w:p>
      <w:pPr>
        <w:pStyle w:val="Normal"/>
      </w:pPr>
      <w:r>
        <w:t xml:space="preserve">Cometa y molinete ante el mismo viento; cocina comercial frente a familiar; aula en filas, para la exposición, frente a aula circular, para la colaboración.</w:t>
      </w:r>
    </w:p>
    <w:p>
      <w:pPr>
        <w:pStyle w:val="Normal"/>
      </w:pPr>
      <w:r>
        <w:t xml:space="preserve">ACME: interdependencia de ventas, producción y atención al cliente; desde las tendencias se llegó a la estructura, y hallar la circularidad condujo al punto de apalancamiento.</w:t>
      </w:r>
    </w:p>
    <w:p>
      <w:pPr>
        <w:pStyle w:val="Fuente"/>
      </w:pPr>
      <w:r>
        <w:t xml:space="preserve">Clase 15 · 00:37:15–00:48:35 · Clase 15 · 00:56:29–00:57:32 · Clase 16 · 00:26:18–00:27:17</w:t>
      </w:r>
    </w:p>
    <w:p>
      <w:pPr>
        <w:pStyle w:val="Heading3"/>
      </w:pPr>
      <w:r>
        <w:t xml:space="preserve">Culpables frente a causalidad circular</w:t>
      </w:r>
    </w:p>
    <w:p>
      <w:pPr>
        <w:pStyle w:val="Normal"/>
      </w:pPr>
      <w:r>
        <w:t xml:space="preserve">El reduccionismo culpa a una causa lineal y la elimina; la culpabilidad no va en el mapa como estrategia de solución. Buscar la causa lineal sirve en sistemas de baja complejidad, no en los de alta, cuyas relaciones son circulares.</w:t>
      </w:r>
    </w:p>
    <w:p>
      <w:pPr>
        <w:pStyle w:val="Normal"/>
      </w:pPr>
      <w:r>
        <w:t xml:space="preserve">La circularidad produce interdependencias contraintuitivas: el culpable hallado puede no ser la causa. En sistemas humanos, buscar culpables inhibe la contribución y es «como una profecía que se busca cumplir».</w:t>
      </w:r>
    </w:p>
    <w:p>
      <w:pPr>
        <w:pStyle w:val="Normal"/>
      </w:pPr>
      <w:r>
        <w:t xml:space="preserve">R1: errores →+ búsqueda de culpables →+ miedo →+ encubrimiento →− flujo de información →+ conocimiento de la realidad →+ habilidad de resolver problemas →− errores. R2: miedo →− toma de riesgos →+ habilidad para innovar →+ habilidad de resolver problemas →− errores.</w:t>
      </w:r>
    </w:p>
    <w:p>
      <w:pPr>
        <w:pStyle w:val="Normal"/>
      </w:pPr>
      <w:r>
        <w:t xml:space="preserve">Conclusión contraintuitiva: buscar culpables para reducir errores provoca más errores; la alternativa es enfocarse en la estructura.</w:t>
      </w:r>
    </w:p>
    <w:p>
      <w:pPr>
        <w:pStyle w:val="Normal"/>
      </w:pPr>
      <w:r>
        <w:t xml:space="preserve">Modelo 2, análogo a un arquetipo: B1, problema →+ búsqueda de culpables →− problema («supuestamente»), con menos voluntad de compartir información como efecto colateral; B2, la solución real, con demora.</w:t>
      </w:r>
    </w:p>
    <w:p>
      <w:pPr>
        <w:pStyle w:val="Fuente"/>
      </w:pPr>
      <w:r>
        <w:t xml:space="preserve">Clase 15 · 00:31:40–00:34:46 · Clase 16 · 00:21:48–00:23:46 · Clase 16 · 00:28:48–00:29:39 · Clase 16 · 00:31:00–00:35:01 · Clase 16 · 00:35:14–00:37:08 · Clase 16 · 00:38:37–00:39:57</w:t>
      </w:r>
    </w:p>
    <w:p>
      <w:pPr>
        <w:pStyle w:val="Heading3"/>
      </w:pPr>
      <w:r>
        <w:t xml:space="preserve">Contar y clasificar los ciclos de un modelo complejo</w:t>
      </w:r>
    </w:p>
    <w:p>
      <w:pPr>
        <w:pStyle w:val="Normal"/>
      </w:pPr>
      <w:r>
        <w:t xml:space="preserve">Ciclo: partiendo de una variable y recorriendo relaciones causales, se regresa a ella («si es ciclo, siempre regresará»), se empiece donde se empiece; otra variable o una bifurcación en la ruta da otro ciclo.</w:t>
      </w:r>
    </w:p>
    <w:p>
      <w:pPr>
        <w:pStyle w:val="Normal"/>
      </w:pPr>
      <w:r>
        <w:t xml:space="preserve">Número par de negativas (2, 4, 6): refuerzo, porque la segunda anula la compensación de la primera («una relación positiva descompuesta en dos negativas»). Número impar (1, 3, 5…): compensación.</w:t>
      </w:r>
    </w:p>
    <w:p>
      <w:pPr>
        <w:pStyle w:val="Normal"/>
      </w:pPr>
      <w:r>
        <w:t xml:space="preserve">Productora de frutas: diez ciclos, fáciles de contar porque las polaridades estaban bien expuestas.</w:t>
      </w:r>
    </w:p>
    <w:p>
      <w:pPr>
        <w:pStyle w:val="Normal"/>
      </w:pPr>
      <w:r>
        <w:t xml:space="preserve">Energía y pobreza: desarrollo → demanda → oferta → desarrollo, todo positivo: R; desarrollo → demanda → pobreza → oferta → desarrollo, dos negativas: R; desarrollo →− pobreza →− oferta →+ desarrollo: R; desarrollo → demanda → oferta →− condiciones ambientales → desarrollo, una negativa: B. En total, seis ciclos: tres R y tres B.</w:t>
      </w:r>
    </w:p>
    <w:p>
      <w:pPr>
        <w:pStyle w:val="Normal"/>
      </w:pPr>
      <w:r>
        <w:t xml:space="preserve">Más variables, relaciones y caminos dan más ciclos (en los programas, las condicionales); un ciclo aislado se entiende fácil, pero dos o tres solapados por variables compartidas, no.</w:t>
      </w:r>
    </w:p>
    <w:p>
      <w:pPr>
        <w:pStyle w:val="Normal"/>
      </w:pPr>
      <w:r>
        <w:t xml:space="preserve">Las seis estructuras básicas (refuerzo, compensación, vicioso, virtuoso, proalimentación de refuerzo y de compensación) componen las complejas, que tienen múltiples ciclos anidados.</w:t>
      </w:r>
    </w:p>
    <w:p>
      <w:pPr>
        <w:pStyle w:val="Normal"/>
      </w:pPr>
      <w:r>
        <w:t xml:space="preserve">Presa-depredador: cuatro ciclos (nacimientos y muertes de conejos y de zorros); los zorros agotan los conejos y mueren de hambre, y los conejos se recuperan: oscilación y equilibrio.</w:t>
      </w:r>
    </w:p>
    <w:p>
      <w:pPr>
        <w:pStyle w:val="Fuente"/>
      </w:pPr>
      <w:r>
        <w:t xml:space="preserve">Clase 15 · 00:58:38–01:01:26 · Clase 15 · 01:01:51–01:24:31 · Clase 16 · 01:01:32–01:02:50 · Clase 16 · 01:03:03–01:06:00</w:t>
      </w:r>
    </w:p>
    <w:p>
      <w:pPr>
        <w:pStyle w:val="Heading3"/>
      </w:pPr>
      <w:r>
        <w:t xml:space="preserve">Límites al modelar sistemas complejos</w:t>
      </w:r>
    </w:p>
    <w:p>
      <w:pPr>
        <w:pStyle w:val="Normal"/>
      </w:pPr>
      <w:r>
        <w:t xml:space="preserve">Los sistemas complejos y dinámicos tienen estructuras relacionales poco obvias, a veces sólo distinguibles con microscopio o telescopio; el bosque, con hongos y azúcares bajo tierra, forma una estructura «que se asemeja al internet».</w:t>
      </w:r>
    </w:p>
    <w:p>
      <w:pPr>
        <w:pStyle w:val="Normal"/>
      </w:pPr>
      <w:r>
        <w:t xml:space="preserve">«La variable de tiempo es un determinante»: sin ver el sistema a lo largo de su evolución no se comprende su dinámica.</w:t>
      </w:r>
    </w:p>
    <w:p>
      <w:pPr>
        <w:pStyle w:val="Normal"/>
      </w:pPr>
      <w:r>
        <w:t xml:space="preserve">El gran reto es la regla de las perspectivas: sin verlas todas no se ven todos los escenarios ni el 100 % de la estructura.</w:t>
      </w:r>
    </w:p>
    <w:p>
      <w:pPr>
        <w:pStyle w:val="Normal"/>
      </w:pPr>
      <w:r>
        <w:t xml:space="preserve">Relaciones estocásticas: elegir un escenario descarta otros, como en el ajedrez; de ahí la multifinalidad o equifinalidad entre empresas del mismo giro. El pensador sistémico nunca cree tener toda la verdad; el no sistémico da soluciones parciales y temporales.</w:t>
      </w:r>
    </w:p>
    <w:p>
      <w:pPr>
        <w:pStyle w:val="Fuente"/>
      </w:pPr>
      <w:r>
        <w:t xml:space="preserve">Clase 12 · 01:14:53–01:16:35 · Clase 12 · 01:19:12–01:21:31 · Clase 12 · 01:22:16–01:22:35 · Clase 15 · 01:24:24–01:25:05 · Clase 15 · 01:27:04–01:29:41 · Clase 15 · 01:30:08–01:30:41 · Clase 15 · 01:31:08–01:32:57</w:t>
      </w:r>
    </w:p>
    <w:p>
      <w:pPr>
        <w:pStyle w:val="Heading3"/>
      </w:pPr>
      <w:r>
        <w:t xml:space="preserve">El caso de Ana (tarea 12)</w:t>
      </w:r>
    </w:p>
    <w:p>
      <w:pPr>
        <w:pStyle w:val="Normal"/>
      </w:pPr>
      <w:r>
        <w:t xml:space="preserve">Menos tiempo disponible, más presión; presión →+ trabajo extra →+ terminación →− trabajo pendiente →+ presión: balance. Según la perspectiva, un refuerzo también puede estar bien.</w:t>
      </w:r>
    </w:p>
    <w:p>
      <w:pPr>
        <w:pStyle w:val="Normal"/>
      </w:pPr>
      <w:r>
        <w:t xml:space="preserve">Modelo más real, no exigido: cuatro ciclos; el trabajo extra, con demora, reduce la productividad si se excede la capacidad.</w:t>
      </w:r>
    </w:p>
    <w:p>
      <w:pPr>
        <w:pStyle w:val="Fuente"/>
      </w:pPr>
      <w:r>
        <w:t xml:space="preserve">Clase 16 · 01:43:01–01:43:53 · Clase 16 · 01:44:51–01:45:40</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Procedimiento</w:t>
            </w:r>
          </w:p>
          <w:p>
            <w:pPr>
              <w:pStyle w:val="Recuadro"/>
            </w:pPr>
            <w:r>
              <w:t xml:space="preserve">Cómo se modela y se lee la estructura de un sistema complejo</w:t>
            </w:r>
          </w:p>
          <w:p>
            <w:pPr>
              <w:pStyle w:val="Recuadro"/>
            </w:pPr>
            <w:r>
              <w:t xml:space="preserve">1. </w:t>
            </w:r>
            <w:r>
              <w:rPr>
                <w:b/>
                <w:bCs/>
              </w:rPr>
              <w:t xml:space="preserve">Observar en el tiempo y modelar.</w:t>
            </w:r>
            <w:r>
              <w:t xml:space="preserve"> Tomarse el tiempo, observar los ciclos de las conexiones a lo largo del tiempo, plantear hipótesis de tipo científico, apoyarse en modelos de referencia y crear un modelo personal o grupal de la estructura. (Clase 12 · 01:21:42–01:23:55)</w:t>
            </w:r>
          </w:p>
          <w:p>
            <w:pPr>
              <w:pStyle w:val="Recuadro"/>
            </w:pPr>
            <w:r>
              <w:t xml:space="preserve">2. </w:t>
            </w:r>
            <w:r>
              <w:rPr>
                <w:b/>
                <w:bCs/>
              </w:rPr>
              <w:t xml:space="preserve">Situar el sistema y mapear su estructura.</w:t>
            </w:r>
            <w:r>
              <w:t xml:space="preserve"> Ubicar el sistema dentro de uno mayor o entrar en sus subsistemas, mapear la estructura en relaciones, ver cómo los subsistemas determinan el comportamiento y buscar ahí los puntos de apalancamiento. (Clase 15 · 00:35:17–00:36:32)</w:t>
            </w:r>
          </w:p>
          <w:p>
            <w:pPr>
              <w:pStyle w:val="Recuadro"/>
            </w:pPr>
            <w:r>
              <w:t xml:space="preserve">3. </w:t>
            </w:r>
            <w:r>
              <w:rPr>
                <w:b/>
                <w:bCs/>
              </w:rPr>
              <w:t xml:space="preserve">Recorrer y contar los ciclos.</w:t>
            </w:r>
            <w:r>
              <w:t xml:space="preserve"> Seguir las cadenas causales desde cualquier variable y recoger los ciclos por los distintos caminos; la historia de cada uno se lee con la polaridad de sus relaciones. (Clase 15 · 01:03:18–01:03:51 · Clase 15 · 01:07:02–01:07:21 · Clase 15 · 01:08:09–01:08:25)</w:t>
            </w:r>
          </w:p>
          <w:p>
            <w:pPr>
              <w:pStyle w:val="Recuadro"/>
            </w:pPr>
            <w:r>
              <w:t xml:space="preserve">4. </w:t>
            </w:r>
            <w:r>
              <w:rPr>
                <w:b/>
                <w:bCs/>
              </w:rPr>
              <w:t xml:space="preserve">Clasificar y rotular cada ciclo.</w:t>
            </w:r>
            <w:r>
              <w:t xml:space="preserve"> Contar las negativas de cada recorrido: par, R; impar, B. Si los ciclos se solapan, separarlos o alargar las relaciones para rotularlos sin ambigüedad. (Clase 15 · 01:10:31–01:16:21 · Clase 15 · 01:22:53–01:23:20)</w:t>
            </w:r>
          </w:p>
          <w:p>
            <w:pPr>
              <w:pStyle w:val="Recuadro"/>
            </w:pPr>
            <w:r>
              <w:t xml:space="preserve">5. </w:t>
            </w:r>
            <w:r>
              <w:rPr>
                <w:b/>
                <w:bCs/>
              </w:rPr>
              <w:t xml:space="preserve">Sustituir la culpa por la estructura.</w:t>
            </w:r>
            <w:r>
              <w:t xml:space="preserve"> Atender lo que se pasa por alto y no a los culpables; preguntar qué no se entiende, buscando lo que cierra la circularidad, y motivar a los involucrados a actuar en causalidad circular. (Clase 16 · 00:24:15–00:26:17)</w:t>
            </w:r>
          </w:p>
          <w:p>
            <w:pPr>
              <w:pStyle w:val="Recuadro"/>
            </w:pPr>
            <w:r>
              <w:t xml:space="preserve">Si el comportamiento no es el deseado, se cambia la estructura que lo genera, sin culpables y sin dar el modelo por completo.</w:t>
            </w:r>
          </w:p>
        </w:tc>
      </w:tr>
    </w:tbl>
    <w:p>
      <w:pPr>
        <w:pStyle w:val="Heading3"/>
      </w:pPr>
      <w:bookmarkStart w:name="b_tabla_3_6_g2_graficos_de_comp_48ed1a29" w:id="3003"/>
      <w:r>
        <w:t xml:space="preserve">Tendencias y gráficos de comportamiento</w:t>
      </w:r>
      <w:bookmarkEnd w:id="3003"/>
    </w:p>
    <w:tbl>
      <w:tblPr>
        <w:tblW w:type="dxa" w:w="9632"/>
        <w:tblBorders>
          <w:top w:val="single" w:color="C5D5DB" w:sz="4"/>
          <w:left w:val="single" w:color="C5D5DB" w:sz="4"/>
          <w:bottom w:val="single" w:color="C5D5DB" w:sz="4"/>
          <w:right w:val="single" w:color="C5D5DB" w:sz="4"/>
          <w:insideH w:val="single" w:color="E4E9EB" w:sz="3"/>
          <w:insideV w:val="single" w:color="E4E9EB" w:sz="3"/>
        </w:tblBorders>
        <w:tblLayout w:type="fixed"/>
      </w:tblPr>
      <w:tblGrid>
        <w:gridCol w:w="3212"/>
        <w:gridCol w:w="3210"/>
        <w:gridCol w:w="3210"/>
      </w:tblGrid>
      <w:tr>
        <w:trPr>
          <w:cantSplit/>
          <w:tblHeader/>
        </w:trPr>
        <w:tc>
          <w:tcPr>
            <w:tcW w:type="dxa" w:w="3212"/>
            <w:shd w:fill="DFEAF0" w:val="clear"/>
            <w:tcMar>
              <w:top w:type="dxa" w:w="80"/>
              <w:left w:type="dxa" w:w="100"/>
              <w:bottom w:type="dxa" w:w="80"/>
              <w:right w:type="dxa" w:w="100"/>
            </w:tcMar>
          </w:tcPr>
          <w:p>
            <w:pPr>
              <w:pStyle w:val="Tabla"/>
            </w:pPr>
            <w:r>
              <w:rPr>
                <w:b/>
                <w:bCs/>
              </w:rPr>
              <w:t xml:space="preserve">Concepto</w:t>
            </w:r>
          </w:p>
        </w:tc>
        <w:tc>
          <w:tcPr>
            <w:tcW w:type="dxa" w:w="3210"/>
            <w:shd w:fill="DFEAF0" w:val="clear"/>
            <w:tcMar>
              <w:top w:type="dxa" w:w="80"/>
              <w:left w:type="dxa" w:w="100"/>
              <w:bottom w:type="dxa" w:w="80"/>
              <w:right w:type="dxa" w:w="100"/>
            </w:tcMar>
          </w:tcPr>
          <w:p>
            <w:pPr>
              <w:pStyle w:val="Tabla"/>
            </w:pPr>
            <w:r>
              <w:rPr>
                <w:b/>
                <w:bCs/>
              </w:rPr>
              <w:t xml:space="preserve">Lo que dijo la clase</w:t>
            </w:r>
          </w:p>
        </w:tc>
        <w:tc>
          <w:tcPr>
            <w:tcW w:type="dxa" w:w="3210"/>
            <w:shd w:fill="DFEAF0" w:val="clear"/>
            <w:tcMar>
              <w:top w:type="dxa" w:w="80"/>
              <w:left w:type="dxa" w:w="100"/>
              <w:bottom w:type="dxa" w:w="80"/>
              <w:right w:type="dxa" w:w="100"/>
            </w:tcMar>
          </w:tcPr>
          <w:p>
            <w:pPr>
              <w:pStyle w:val="Tabla"/>
            </w:pPr>
            <w:r>
              <w:rPr>
                <w:b/>
                <w:bCs/>
              </w:rPr>
              <w:t xml:space="preserve">Dónde se dijo</w:t>
            </w:r>
          </w:p>
        </w:tc>
      </w:tr>
      <w:tr>
        <w:trPr>
          <w:cantSplit/>
          <w:tblHeader w:val="off"/>
        </w:trPr>
        <w:tc>
          <w:tcPr>
            <w:tcW w:type="dxa" w:w="3212"/>
            <w:tcMar>
              <w:top w:type="dxa" w:w="80"/>
              <w:left w:type="dxa" w:w="100"/>
              <w:bottom w:type="dxa" w:w="80"/>
              <w:right w:type="dxa" w:w="100"/>
            </w:tcMar>
          </w:tcPr>
          <w:p>
            <w:pPr>
              <w:pStyle w:val="Tabla"/>
            </w:pPr>
            <w:r>
              <w:t xml:space="preserve">Tendencia</w:t>
            </w:r>
          </w:p>
        </w:tc>
        <w:tc>
          <w:tcPr>
            <w:tcW w:type="dxa" w:w="3210"/>
            <w:tcMar>
              <w:top w:type="dxa" w:w="80"/>
              <w:left w:type="dxa" w:w="100"/>
              <w:bottom w:type="dxa" w:w="80"/>
              <w:right w:type="dxa" w:w="100"/>
            </w:tcMar>
          </w:tcPr>
          <w:p>
            <w:pPr>
              <w:pStyle w:val="Tabla"/>
            </w:pPr>
            <w:r>
              <w:t xml:space="preserve">Una propiedad emergente de la estructura a lo largo del tiempo, visible en cualquiera de sus variables.</w:t>
            </w:r>
          </w:p>
        </w:tc>
        <w:tc>
          <w:tcPr>
            <w:tcW w:type="dxa" w:w="3210"/>
            <w:tcMar>
              <w:top w:type="dxa" w:w="80"/>
              <w:left w:type="dxa" w:w="100"/>
              <w:bottom w:type="dxa" w:w="80"/>
              <w:right w:type="dxa" w:w="100"/>
            </w:tcMar>
          </w:tcPr>
          <w:p>
            <w:pPr>
              <w:pStyle w:val="Tabla"/>
            </w:pPr>
            <w:r>
              <w:t xml:space="preserve">Clase 16 · 01:30:10–01:30:39</w:t>
            </w:r>
          </w:p>
        </w:tc>
      </w:tr>
      <w:tr>
        <w:trPr>
          <w:cantSplit/>
          <w:tblHeader w:val="off"/>
        </w:trPr>
        <w:tc>
          <w:tcPr>
            <w:tcW w:type="dxa" w:w="3212"/>
            <w:tcMar>
              <w:top w:type="dxa" w:w="80"/>
              <w:left w:type="dxa" w:w="100"/>
              <w:bottom w:type="dxa" w:w="80"/>
              <w:right w:type="dxa" w:w="100"/>
            </w:tcMar>
          </w:tcPr>
          <w:p>
            <w:pPr>
              <w:pStyle w:val="Tabla"/>
            </w:pPr>
            <w:r>
              <w:t xml:space="preserve">Gráfico de comportamiento</w:t>
            </w:r>
          </w:p>
        </w:tc>
        <w:tc>
          <w:tcPr>
            <w:tcW w:type="dxa" w:w="3210"/>
            <w:tcMar>
              <w:top w:type="dxa" w:w="80"/>
              <w:left w:type="dxa" w:w="100"/>
              <w:bottom w:type="dxa" w:w="80"/>
              <w:right w:type="dxa" w:w="100"/>
            </w:tcMar>
          </w:tcPr>
          <w:p>
            <w:pPr>
              <w:pStyle w:val="Tabla"/>
            </w:pPr>
            <w:r>
              <w:t xml:space="preserve">El tiempo en el eje X y la variable en el eje Y. Las tendencias no se representan con diagramas de ciclos causales, sino con estos gráficos.</w:t>
            </w:r>
          </w:p>
        </w:tc>
        <w:tc>
          <w:tcPr>
            <w:tcW w:type="dxa" w:w="3210"/>
            <w:tcMar>
              <w:top w:type="dxa" w:w="80"/>
              <w:left w:type="dxa" w:w="100"/>
              <w:bottom w:type="dxa" w:w="80"/>
              <w:right w:type="dxa" w:w="100"/>
            </w:tcMar>
          </w:tcPr>
          <w:p>
            <w:pPr>
              <w:pStyle w:val="Tabla"/>
            </w:pPr>
            <w:r>
              <w:t xml:space="preserve">Clase 16 · 01:36:18–01:37:41</w:t>
            </w:r>
          </w:p>
        </w:tc>
      </w:tr>
      <w:tr>
        <w:trPr>
          <w:cantSplit/>
          <w:tblHeader w:val="off"/>
        </w:trPr>
        <w:tc>
          <w:tcPr>
            <w:tcW w:type="dxa" w:w="3212"/>
            <w:tcMar>
              <w:top w:type="dxa" w:w="80"/>
              <w:left w:type="dxa" w:w="100"/>
              <w:bottom w:type="dxa" w:w="80"/>
              <w:right w:type="dxa" w:w="100"/>
            </w:tcMar>
          </w:tcPr>
          <w:p>
            <w:pPr>
              <w:pStyle w:val="Tabla"/>
            </w:pPr>
            <w:r>
              <w:t xml:space="preserve">Patrones</w:t>
            </w:r>
          </w:p>
        </w:tc>
        <w:tc>
          <w:tcPr>
            <w:tcW w:type="dxa" w:w="3210"/>
            <w:tcMar>
              <w:top w:type="dxa" w:w="80"/>
              <w:left w:type="dxa" w:w="100"/>
              <w:bottom w:type="dxa" w:w="80"/>
              <w:right w:type="dxa" w:w="100"/>
            </w:tcMar>
          </w:tcPr>
          <w:p>
            <w:pPr>
              <w:pStyle w:val="Tabla"/>
            </w:pPr>
            <w:r>
              <w:t xml:space="preserve">Lineales de crecimiento o de decrecimiento, exponenciales acotados o no acotados, oscilatorios y de estado estable; la línea horizontal es el comportamiento de un parámetro.</w:t>
            </w:r>
          </w:p>
        </w:tc>
        <w:tc>
          <w:tcPr>
            <w:tcW w:type="dxa" w:w="3210"/>
            <w:tcMar>
              <w:top w:type="dxa" w:w="80"/>
              <w:left w:type="dxa" w:w="100"/>
              <w:bottom w:type="dxa" w:w="80"/>
              <w:right w:type="dxa" w:w="100"/>
            </w:tcMar>
          </w:tcPr>
          <w:p>
            <w:pPr>
              <w:pStyle w:val="Tabla"/>
            </w:pPr>
            <w:r>
              <w:t xml:space="preserve">Clase 16 · 01:36:18–01:37:41</w:t>
            </w:r>
          </w:p>
        </w:tc>
      </w:tr>
      <w:tr>
        <w:trPr>
          <w:cantSplit/>
          <w:tblHeader w:val="off"/>
        </w:trPr>
        <w:tc>
          <w:tcPr>
            <w:tcW w:type="dxa" w:w="3212"/>
            <w:tcMar>
              <w:top w:type="dxa" w:w="80"/>
              <w:left w:type="dxa" w:w="100"/>
              <w:bottom w:type="dxa" w:w="80"/>
              <w:right w:type="dxa" w:w="100"/>
            </w:tcMar>
          </w:tcPr>
          <w:p>
            <w:pPr>
              <w:pStyle w:val="Tabla"/>
            </w:pPr>
            <w:r>
              <w:t xml:space="preserve">Ciclo de compensación</w:t>
            </w:r>
          </w:p>
        </w:tc>
        <w:tc>
          <w:tcPr>
            <w:tcW w:type="dxa" w:w="3210"/>
            <w:tcMar>
              <w:top w:type="dxa" w:w="80"/>
              <w:left w:type="dxa" w:w="100"/>
              <w:bottom w:type="dxa" w:w="80"/>
              <w:right w:type="dxa" w:w="100"/>
            </w:tcMar>
          </w:tcPr>
          <w:p>
            <w:pPr>
              <w:pStyle w:val="Tabla"/>
            </w:pPr>
            <w:r>
              <w:t xml:space="preserve">Siempre un comportamiento exponencial acotado: la variable crece hasta cierto límite y no pasa de ahí.</w:t>
            </w:r>
          </w:p>
        </w:tc>
        <w:tc>
          <w:tcPr>
            <w:tcW w:type="dxa" w:w="3210"/>
            <w:tcMar>
              <w:top w:type="dxa" w:w="80"/>
              <w:left w:type="dxa" w:w="100"/>
              <w:bottom w:type="dxa" w:w="80"/>
              <w:right w:type="dxa" w:w="100"/>
            </w:tcMar>
          </w:tcPr>
          <w:p>
            <w:pPr>
              <w:pStyle w:val="Tabla"/>
            </w:pPr>
            <w:r>
              <w:t xml:space="preserve">Clase 16 · 01:37:54–01:39:30</w:t>
            </w:r>
          </w:p>
        </w:tc>
      </w:tr>
      <w:tr>
        <w:trPr>
          <w:cantSplit/>
          <w:tblHeader w:val="off"/>
        </w:trPr>
        <w:tc>
          <w:tcPr>
            <w:tcW w:type="dxa" w:w="3212"/>
            <w:tcMar>
              <w:top w:type="dxa" w:w="80"/>
              <w:left w:type="dxa" w:w="100"/>
              <w:bottom w:type="dxa" w:w="80"/>
              <w:right w:type="dxa" w:w="100"/>
            </w:tcMar>
          </w:tcPr>
          <w:p>
            <w:pPr>
              <w:pStyle w:val="Tabla"/>
            </w:pPr>
            <w:r>
              <w:t xml:space="preserve">Ciclo de refuerzo</w:t>
            </w:r>
          </w:p>
        </w:tc>
        <w:tc>
          <w:tcPr>
            <w:tcW w:type="dxa" w:w="3210"/>
            <w:tcMar>
              <w:top w:type="dxa" w:w="80"/>
              <w:left w:type="dxa" w:w="100"/>
              <w:bottom w:type="dxa" w:w="80"/>
              <w:right w:type="dxa" w:w="100"/>
            </w:tcMar>
          </w:tcPr>
          <w:p>
            <w:pPr>
              <w:pStyle w:val="Tabla"/>
            </w:pPr>
            <w:r>
              <w:t xml:space="preserve">Exponencial no acotado, de crecimiento o de decrecimiento, a menos que otro ciclo lo frene.</w:t>
            </w:r>
          </w:p>
        </w:tc>
        <w:tc>
          <w:tcPr>
            <w:tcW w:type="dxa" w:w="3210"/>
            <w:tcMar>
              <w:top w:type="dxa" w:w="80"/>
              <w:left w:type="dxa" w:w="100"/>
              <w:bottom w:type="dxa" w:w="80"/>
              <w:right w:type="dxa" w:w="100"/>
            </w:tcMar>
          </w:tcPr>
          <w:p>
            <w:pPr>
              <w:pStyle w:val="Tabla"/>
            </w:pPr>
            <w:r>
              <w:t xml:space="preserve">Clase 16 · 01:37:54–01:39:30</w:t>
            </w:r>
          </w:p>
        </w:tc>
      </w:tr>
      <w:tr>
        <w:trPr>
          <w:cantSplit/>
          <w:tblHeader w:val="off"/>
        </w:trPr>
        <w:tc>
          <w:tcPr>
            <w:tcW w:type="dxa" w:w="3212"/>
            <w:tcMar>
              <w:top w:type="dxa" w:w="80"/>
              <w:left w:type="dxa" w:w="100"/>
              <w:bottom w:type="dxa" w:w="80"/>
              <w:right w:type="dxa" w:w="100"/>
            </w:tcMar>
          </w:tcPr>
          <w:p>
            <w:pPr>
              <w:pStyle w:val="Tabla"/>
            </w:pPr>
            <w:r>
              <w:t xml:space="preserve">Ciclo de vida</w:t>
            </w:r>
          </w:p>
        </w:tc>
        <w:tc>
          <w:tcPr>
            <w:tcW w:type="dxa" w:w="3210"/>
            <w:tcMar>
              <w:top w:type="dxa" w:w="80"/>
              <w:left w:type="dxa" w:w="100"/>
              <w:bottom w:type="dxa" w:w="80"/>
              <w:right w:type="dxa" w:w="100"/>
            </w:tcMar>
          </w:tcPr>
          <w:p>
            <w:pPr>
              <w:pStyle w:val="Tabla"/>
            </w:pPr>
            <w:r>
              <w:t xml:space="preserve">La ventana de tiempo que abarca toda la vida de lo observado: una persona, un proyecto.</w:t>
            </w:r>
          </w:p>
        </w:tc>
        <w:tc>
          <w:tcPr>
            <w:tcW w:type="dxa" w:w="3210"/>
            <w:tcMar>
              <w:top w:type="dxa" w:w="80"/>
              <w:left w:type="dxa" w:w="100"/>
              <w:bottom w:type="dxa" w:w="80"/>
              <w:right w:type="dxa" w:w="100"/>
            </w:tcMar>
          </w:tcPr>
          <w:p>
            <w:pPr>
              <w:pStyle w:val="Tabla"/>
            </w:pPr>
            <w:r>
              <w:t xml:space="preserve">Clase 16 · 01:40:33–01:41:27</w:t>
            </w:r>
          </w:p>
        </w:tc>
      </w:tr>
    </w:tbl>
    <w:p>
      <w:pPr>
        <w:pStyle w:val="Fuente"/>
      </w:pPr>
      <w:r>
        <w:t xml:space="preserve">Redactada por el portal desde la transcripción de la clase 16 y las láminas c16-16 a c16-22. La clase anunció que la unidad 4 lo retomará con más detalle.</w:t>
      </w:r>
    </w:p>
    <w:p>
      <w:pPr>
        <w:pStyle w:val="Heading3"/>
      </w:pPr>
      <w:r>
        <w:t xml:space="preserve">Lo que dicen las presentaciones</w:t>
      </w:r>
    </w:p>
    <w:p>
      <w:pPr>
        <w:pStyle w:val="Heading3"/>
      </w:pPr>
      <w:bookmarkStart w:name="b_pagina_3_6_C_2_p55" w:id="3004"/>
      <w:r>
        <w:t xml:space="preserve">C-2 · página 55 · Una red con muchos ciclos</w:t>
      </w:r>
      <w:bookmarkEnd w:id="3004"/>
    </w:p>
    <w:p>
      <w:pPr>
        <w:pStyle w:val="Normal"/>
      </w:pPr>
      <w:r>
        <w:t xml:space="preserve">El mapa completo del comedero muestra beneficios iniciales y efectos laterales entrelazados.</w:t>
      </w:r>
    </w:p>
    <w:p>
      <w:pPr>
        <w:pStyle w:val="Fuente"/>
      </w:pPr>
      <w:r>
        <w:t xml:space="preserve">Proyección o explicación: Clase 13 · 01:38:26 · captura c13-12.</w:t>
      </w:r>
    </w:p>
    <w:p>
      <w:pPr>
        <w:pStyle w:val="Fuente"/>
      </w:pPr>
      <w:r>
        <w:t xml:space="preserve">Véase </w:t>
      </w:r>
      <w:hyperlink w:history="1" w:anchor="b_figura_original_pagina_C_2_55">
        <w:r>
          <w:rPr>
            <w:color w:val="156B70"/>
            <w:u w:val="single"/>
          </w:rPr>
          <w:t xml:space="preserve">imagen de C-2, página 55</w:t>
        </w:r>
      </w:hyperlink>
      <w:r>
        <w:t xml:space="preserve">, pág. </w:t>
      </w:r>
      <w:r>
        <w:fldChar w:fldCharType="begin"/>
        <w:instrText xml:space="preserve">PAGEREF b_figura_original_pagina_C_2_55 \h</w:instrText>
        <w:fldChar w:fldCharType="separate"/>
        <w:t xml:space="preserve">484</w:t>
        <w:fldChar w:fldCharType="end"/>
      </w:r>
      <w:r>
        <w:t xml:space="preserve">.</w:t>
      </w:r>
    </w:p>
    <w:p>
      <w:bookmarkStart w:name="b_punto_c2_p055_02" w:id="3005"/>
      <w:r>
        <w:t xml:space="preserve">La mañana agradable motiva el comedero, éste atrae pájaros y éstos mejoran la mañana. Volver a la variable inicial cierra el retorno de la intención.</w:t>
      </w:r>
      <w:bookmarkEnd w:id="3005"/>
    </w:p>
    <w:p>
      <w:bookmarkStart w:name="b_punto_c2_p055_03" w:id="3006"/>
      <w:r>
        <w:t xml:space="preserve">Los pájaros lo aumentan, éste atrae más pájaros y también mejora la mañana</w:t>
      </w:r>
      <w:bookmarkEnd w:id="3006"/>
    </w:p>
    <w:p>
      <w:bookmarkStart w:name="b_punto_c2_p055_04" w:id="3007"/>
      <w:r>
        <w:t xml:space="preserve">La mañana agradable motiva el comedero, éste atrae pájaros y éstos mejoran la mañana. Volver a la variable inicial cierra el retorno de la intención. Los pájaros lo aumentan, éste atrae más pájaros y también mejora la mañana Un refuerzo: más frustración reduce agrado, lo que deja menos ayuda para reducir frustración Más aves → más alimento por comprar → gasto imprevisto → frustración; importa estimar cantidad y costo Más aves producen derrame; reponer alimento aumenta compras y frustración, reduciendo el agrado de la mañana Consumen alimento y provocan derrame; además pueden desplazar aves, con valoración dependiente del observador Derrame → roedores; derrame → crecimiento antiestético; pájaros → desechos de aves</w:t>
      </w:r>
      <w:bookmarkEnd w:id="3007"/>
    </w:p>
    <w:p>
      <w:pPr>
        <w:pStyle w:val="Fuente"/>
      </w:pPr>
      <w:r>
        <w:t xml:space="preserve">Véase </w:t>
      </w:r>
      <w:hyperlink w:history="1" w:anchor="b_3_4">
        <w:r>
          <w:rPr>
            <w:color w:val="156B70"/>
            <w:u w:val="single"/>
          </w:rPr>
          <w:t xml:space="preserve">capítulo 3.4 · Interdependencias sistémicas</w:t>
        </w:r>
      </w:hyperlink>
      <w:r>
        <w:t xml:space="preserve">, pág. </w:t>
      </w:r>
      <w:r>
        <w:fldChar w:fldCharType="begin"/>
        <w:instrText xml:space="preserve">PAGEREF b_3_4 \h</w:instrText>
        <w:fldChar w:fldCharType="separate"/>
        <w:t xml:space="preserve">476</w:t>
        <w:fldChar w:fldCharType="end"/>
      </w:r>
      <w:r>
        <w:t xml:space="preserve">.</w:t>
      </w:r>
    </w:p>
    <w:p>
      <w:pPr>
        <w:pStyle w:val="Heading3"/>
      </w:pPr>
      <w:bookmarkStart w:name="b_pagina_3_6_C_2_p56" w:id="3008"/>
      <w:r>
        <w:t xml:space="preserve">C-2 · página 56 · Comedero: aves al desayunar</w:t>
      </w:r>
      <w:bookmarkEnd w:id="3008"/>
    </w:p>
    <w:p>
      <w:pPr>
        <w:pStyle w:val="Normal"/>
      </w:pPr>
      <w:r>
        <w:t xml:space="preserve">Observar aves se asocia con una mañana agradable.</w:t>
      </w:r>
    </w:p>
    <w:p>
      <w:pPr>
        <w:keepNext/>
        <w:spacing w:after="40" w:before="150"/>
        <w:jc w:val="center"/>
      </w:pPr>
      <w:bookmarkStart w:name="b_figura_original_pagina_C_2_56" w:id="3009"/>
      <w:bookmarkEnd w:id="3009"/>
      <w:r>
        <w:drawing>
          <wp:inline distT="0" distB="0" distL="0" distR="0">
            <wp:extent cx="5381625" cy="4162425"/>
            <wp:effectExtent t="0" r="0" b="0" l="0"/>
            <wp:docPr id="67" name="pagina-C-2-56" descr="Presentación C-2, pág. 56" title="Comedero: aves al desayun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52" cstate="none"/>
                    <a:srcRect/>
                    <a:stretch>
                      <a:fillRect/>
                    </a:stretch>
                  </pic:blipFill>
                  <pic:spPr bwMode="auto">
                    <a:xfrm>
                      <a:off x="0" y="0"/>
                      <a:ext cx="5381625" cy="4162425"/>
                    </a:xfrm>
                    <a:prstGeom prst="rect">
                      <a:avLst/>
                    </a:prstGeom>
                  </pic:spPr>
                </pic:pic>
              </a:graphicData>
            </a:graphic>
          </wp:inline>
        </w:drawing>
      </w:r>
    </w:p>
    <w:p>
      <w:pPr>
        <w:pStyle w:val="PieFigura"/>
        <w:keepNext/>
      </w:pPr>
      <w:bookmarkStart w:name="b_fig_3_6_1" w:id="3010"/>
      <w:r>
        <w:t xml:space="preserve">Figura 3.6.</w:t>
      </w:r>
      <w:fldSimple w:instr="SEQ Figura \r 1 \* ARABIC">
        <w:r>
          <w:t xml:space="preserve">1</w:t>
        </w:r>
      </w:fldSimple>
      <w:r>
        <w:t xml:space="preserve"> · Comedero: aves al desayunar</w:t>
      </w:r>
      <w:bookmarkEnd w:id="3010"/>
    </w:p>
    <w:p>
      <w:pPr>
        <w:pStyle w:val="Fuente"/>
      </w:pPr>
      <w:r>
        <w:t xml:space="preserve">Presentación C-2, pág. 56</w:t>
      </w:r>
    </w:p>
    <w:p>
      <w:bookmarkStart w:name="b_punto_c2_p056_01" w:id="3011"/>
      <w:r>
        <w:t xml:space="preserve">La mañana agradable motiva el comedero, éste atrae pájaros y éstos mejoran la mañana. Volver a la variable inicial cierra el retorno de la intención.</w:t>
      </w:r>
      <w:bookmarkEnd w:id="3011"/>
    </w:p>
    <w:p>
      <w:pPr>
        <w:pStyle w:val="Heading3"/>
      </w:pPr>
      <w:bookmarkStart w:name="b_pagina_3_6_C_2_p57" w:id="3012"/>
      <w:r>
        <w:t xml:space="preserve">C-2 · página 57 · Comedero: decidir poner un comedero</w:t>
      </w:r>
      <w:bookmarkEnd w:id="3012"/>
    </w:p>
    <w:p>
      <w:pPr>
        <w:pStyle w:val="Normal"/>
      </w:pPr>
      <w:r>
        <w:t xml:space="preserve">La mañana agradable motiva una intervención para atraer aves.</w:t>
      </w:r>
    </w:p>
    <w:p>
      <w:pPr>
        <w:keepNext/>
        <w:spacing w:after="40" w:before="150"/>
        <w:jc w:val="center"/>
      </w:pPr>
      <w:bookmarkStart w:name="b_figura_original_pagina_C_2_57" w:id="3013"/>
      <w:bookmarkEnd w:id="3013"/>
      <w:r>
        <w:drawing>
          <wp:inline distT="0" distB="0" distL="0" distR="0">
            <wp:extent cx="5381625" cy="4162425"/>
            <wp:effectExtent t="0" r="0" b="0" l="0"/>
            <wp:docPr id="68" name="pagina-C-2-57" descr="Presentación C-2, pág. 57" title="Comedero: decidir poner un comede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53" cstate="none"/>
                    <a:srcRect/>
                    <a:stretch>
                      <a:fillRect/>
                    </a:stretch>
                  </pic:blipFill>
                  <pic:spPr bwMode="auto">
                    <a:xfrm>
                      <a:off x="0" y="0"/>
                      <a:ext cx="5381625" cy="4162425"/>
                    </a:xfrm>
                    <a:prstGeom prst="rect">
                      <a:avLst/>
                    </a:prstGeom>
                  </pic:spPr>
                </pic:pic>
              </a:graphicData>
            </a:graphic>
          </wp:inline>
        </w:drawing>
      </w:r>
    </w:p>
    <w:p>
      <w:pPr>
        <w:pStyle w:val="PieFigura"/>
        <w:keepNext/>
      </w:pPr>
      <w:bookmarkStart w:name="b_fig_3_6_2" w:id="3014"/>
      <w:r>
        <w:t xml:space="preserve">Figura 3.6.</w:t>
      </w:r>
      <w:fldSimple w:instr="SEQ Figura \n \* ARABIC">
        <w:r>
          <w:t xml:space="preserve">2</w:t>
        </w:r>
      </w:fldSimple>
      <w:r>
        <w:t xml:space="preserve"> · Comedero: decidir poner un comedero</w:t>
      </w:r>
      <w:bookmarkEnd w:id="3014"/>
    </w:p>
    <w:p>
      <w:pPr>
        <w:pStyle w:val="Fuente"/>
      </w:pPr>
      <w:r>
        <w:t xml:space="preserve">Presentación C-2, pág. 57</w:t>
      </w:r>
    </w:p>
    <w:p>
      <w:bookmarkStart w:name="b_punto_c2_p057_01" w:id="3015"/>
      <w:r>
        <w:t xml:space="preserve">Mañana agradable → instalar un comedero.</w:t>
      </w:r>
      <w:bookmarkEnd w:id="3015"/>
    </w:p>
    <w:p>
      <w:pPr>
        <w:pStyle w:val="Heading3"/>
      </w:pPr>
      <w:bookmarkStart w:name="b_pagina_3_6_C_2_p58" w:id="3016"/>
      <w:r>
        <w:t xml:space="preserve">C-2 · página 58 · Comedero: el comedero atrae pájaros</w:t>
      </w:r>
      <w:bookmarkEnd w:id="3016"/>
    </w:p>
    <w:p>
      <w:pPr>
        <w:pStyle w:val="Normal"/>
      </w:pPr>
      <w:r>
        <w:t xml:space="preserve">La intervención atrae aves como se esperaba.</w:t>
      </w:r>
    </w:p>
    <w:p>
      <w:pPr>
        <w:keepNext/>
        <w:spacing w:after="40" w:before="150"/>
        <w:jc w:val="center"/>
      </w:pPr>
      <w:bookmarkStart w:name="b_figura_original_pagina_C_2_58" w:id="3017"/>
      <w:bookmarkEnd w:id="3017"/>
      <w:r>
        <w:drawing>
          <wp:inline distT="0" distB="0" distL="0" distR="0">
            <wp:extent cx="5381625" cy="4162425"/>
            <wp:effectExtent t="0" r="0" b="0" l="0"/>
            <wp:docPr id="69" name="pagina-C-2-58" descr="Presentación C-2, pág. 58" title="Comedero: el comedero atrae pájar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54" cstate="none"/>
                    <a:srcRect/>
                    <a:stretch>
                      <a:fillRect/>
                    </a:stretch>
                  </pic:blipFill>
                  <pic:spPr bwMode="auto">
                    <a:xfrm>
                      <a:off x="0" y="0"/>
                      <a:ext cx="5381625" cy="4162425"/>
                    </a:xfrm>
                    <a:prstGeom prst="rect">
                      <a:avLst/>
                    </a:prstGeom>
                  </pic:spPr>
                </pic:pic>
              </a:graphicData>
            </a:graphic>
          </wp:inline>
        </w:drawing>
      </w:r>
    </w:p>
    <w:p>
      <w:pPr>
        <w:pStyle w:val="PieFigura"/>
        <w:keepNext/>
      </w:pPr>
      <w:bookmarkStart w:name="b_fig_3_6_3" w:id="3018"/>
      <w:r>
        <w:t xml:space="preserve">Figura 3.6.</w:t>
      </w:r>
      <w:fldSimple w:instr="SEQ Figura \n \* ARABIC">
        <w:r>
          <w:t xml:space="preserve">3</w:t>
        </w:r>
      </w:fldSimple>
      <w:r>
        <w:t xml:space="preserve"> · Comedero: el comedero atrae pájaros</w:t>
      </w:r>
      <w:bookmarkEnd w:id="3018"/>
    </w:p>
    <w:p>
      <w:pPr>
        <w:pStyle w:val="Fuente"/>
      </w:pPr>
      <w:r>
        <w:t xml:space="preserve">Presentación C-2, pág. 58</w:t>
      </w:r>
    </w:p>
    <w:p>
      <w:bookmarkStart w:name="b_punto_c2_p058_01" w:id="3019"/>
      <w:r>
        <w:t xml:space="preserve">Comedero → más pájaros en comedero.</w:t>
      </w:r>
      <w:bookmarkEnd w:id="3019"/>
    </w:p>
    <w:p>
      <w:pPr>
        <w:pStyle w:val="Heading3"/>
      </w:pPr>
      <w:bookmarkStart w:name="b_pagina_3_6_C_2_p59" w:id="3020"/>
      <w:r>
        <w:t xml:space="preserve">C-2 · página 59 · Comedero: la intención inicial se cumple</w:t>
      </w:r>
      <w:bookmarkEnd w:id="3020"/>
    </w:p>
    <w:p>
      <w:pPr>
        <w:pStyle w:val="Normal"/>
      </w:pPr>
      <w:r>
        <w:t xml:space="preserve">Más aves mejoran la mañana, pero la historia no termina ahí.</w:t>
      </w:r>
    </w:p>
    <w:p>
      <w:pPr>
        <w:keepNext/>
        <w:spacing w:after="40" w:before="150"/>
        <w:jc w:val="center"/>
      </w:pPr>
      <w:bookmarkStart w:name="b_figura_original_pagina_C_2_59" w:id="3021"/>
      <w:bookmarkEnd w:id="3021"/>
      <w:r>
        <w:drawing>
          <wp:inline distT="0" distB="0" distL="0" distR="0">
            <wp:extent cx="5381625" cy="4162425"/>
            <wp:effectExtent t="0" r="0" b="0" l="0"/>
            <wp:docPr id="70" name="pagina-C-2-59" descr="Presentación C-2, pág. 59" title="Comedero: la intención inicial se cump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55" cstate="none"/>
                    <a:srcRect/>
                    <a:stretch>
                      <a:fillRect/>
                    </a:stretch>
                  </pic:blipFill>
                  <pic:spPr bwMode="auto">
                    <a:xfrm>
                      <a:off x="0" y="0"/>
                      <a:ext cx="5381625" cy="4162425"/>
                    </a:xfrm>
                    <a:prstGeom prst="rect">
                      <a:avLst/>
                    </a:prstGeom>
                  </pic:spPr>
                </pic:pic>
              </a:graphicData>
            </a:graphic>
          </wp:inline>
        </w:drawing>
      </w:r>
    </w:p>
    <w:p>
      <w:pPr>
        <w:pStyle w:val="PieFigura"/>
        <w:keepNext/>
      </w:pPr>
      <w:bookmarkStart w:name="b_fig_3_6_4" w:id="3022"/>
      <w:r>
        <w:t xml:space="preserve">Figura 3.6.</w:t>
      </w:r>
      <w:fldSimple w:instr="SEQ Figura \n \* ARABIC">
        <w:r>
          <w:t xml:space="preserve">4</w:t>
        </w:r>
      </w:fldSimple>
      <w:r>
        <w:t xml:space="preserve"> · Comedero: la intención inicial se cumple</w:t>
      </w:r>
      <w:bookmarkEnd w:id="3022"/>
    </w:p>
    <w:p>
      <w:pPr>
        <w:pStyle w:val="Fuente"/>
      </w:pPr>
      <w:r>
        <w:t xml:space="preserve">Presentación C-2, pág. 59</w:t>
      </w:r>
    </w:p>
    <w:p>
      <w:bookmarkStart w:name="b_punto_c2_p059_01" w:id="3023"/>
      <w:r>
        <w:t xml:space="preserve">Pájaros en comedero → mañana agradable.</w:t>
      </w:r>
      <w:bookmarkEnd w:id="3023"/>
    </w:p>
    <w:p>
      <w:bookmarkStart w:name="b_punto_c2_p059_02" w:id="3024"/>
      <w:r>
        <w:t xml:space="preserve">La mañana agradable motiva el comedero, éste atrae pájaros y éstos mejoran la mañana. Volver a la variable inicial cierra el retorno de la intención.</w:t>
      </w:r>
      <w:bookmarkEnd w:id="3024"/>
    </w:p>
    <w:p>
      <w:pPr>
        <w:pStyle w:val="Heading3"/>
      </w:pPr>
      <w:bookmarkStart w:name="b_pagina_3_6_C_2_p60" w:id="3025"/>
      <w:r>
        <w:t xml:space="preserve">C-2 · página 60 · Comedero: atractivo del jardín</w:t>
      </w:r>
      <w:bookmarkEnd w:id="3025"/>
    </w:p>
    <w:p>
      <w:pPr>
        <w:pStyle w:val="Normal"/>
      </w:pPr>
      <w:r>
        <w:t xml:space="preserve">Más aves aumentan el atractivo del jardín.</w:t>
      </w:r>
    </w:p>
    <w:p>
      <w:pPr>
        <w:keepNext/>
        <w:spacing w:after="40" w:before="150"/>
        <w:jc w:val="center"/>
      </w:pPr>
      <w:bookmarkStart w:name="b_figura_original_pagina_C_2_60" w:id="3026"/>
      <w:bookmarkEnd w:id="3026"/>
      <w:r>
        <w:drawing>
          <wp:inline distT="0" distB="0" distL="0" distR="0">
            <wp:extent cx="5381625" cy="4162425"/>
            <wp:effectExtent t="0" r="0" b="0" l="0"/>
            <wp:docPr id="71" name="pagina-C-2-60" descr="Presentación C-2, pág. 60" title="Comedero: atractivo del jardí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56" cstate="none"/>
                    <a:srcRect/>
                    <a:stretch>
                      <a:fillRect/>
                    </a:stretch>
                  </pic:blipFill>
                  <pic:spPr bwMode="auto">
                    <a:xfrm>
                      <a:off x="0" y="0"/>
                      <a:ext cx="5381625" cy="4162425"/>
                    </a:xfrm>
                    <a:prstGeom prst="rect">
                      <a:avLst/>
                    </a:prstGeom>
                  </pic:spPr>
                </pic:pic>
              </a:graphicData>
            </a:graphic>
          </wp:inline>
        </w:drawing>
      </w:r>
    </w:p>
    <w:p>
      <w:pPr>
        <w:pStyle w:val="PieFigura"/>
        <w:keepNext/>
      </w:pPr>
      <w:bookmarkStart w:name="b_fig_3_6_5" w:id="3027"/>
      <w:r>
        <w:t xml:space="preserve">Figura 3.6.</w:t>
      </w:r>
      <w:fldSimple w:instr="SEQ Figura \n \* ARABIC">
        <w:r>
          <w:t xml:space="preserve">5</w:t>
        </w:r>
      </w:fldSimple>
      <w:r>
        <w:t xml:space="preserve"> · Comedero: atractivo del jardín</w:t>
      </w:r>
      <w:bookmarkEnd w:id="3027"/>
    </w:p>
    <w:p>
      <w:pPr>
        <w:pStyle w:val="Fuente"/>
      </w:pPr>
      <w:r>
        <w:t xml:space="preserve">Presentación C-2, pág. 60</w:t>
      </w:r>
    </w:p>
    <w:p>
      <w:bookmarkStart w:name="b_punto_c2_p060_01" w:id="3028"/>
      <w:r>
        <w:t xml:space="preserve">Los pájaros lo aumentan, éste atrae más pájaros y también mejora la mañana</w:t>
      </w:r>
      <w:bookmarkEnd w:id="3028"/>
    </w:p>
    <w:p>
      <w:pPr>
        <w:pStyle w:val="Heading3"/>
      </w:pPr>
      <w:bookmarkStart w:name="b_pagina_3_6_C_2_p61" w:id="3029"/>
      <w:r>
        <w:t xml:space="preserve">C-2 · página 61 · Comedero: un beneficio adicional</w:t>
      </w:r>
      <w:bookmarkEnd w:id="3029"/>
    </w:p>
    <w:p>
      <w:pPr>
        <w:pStyle w:val="Normal"/>
      </w:pPr>
      <w:r>
        <w:t xml:space="preserve">El atractivo atrae aves y añade disfrute.</w:t>
      </w:r>
    </w:p>
    <w:p>
      <w:pPr>
        <w:keepNext/>
        <w:spacing w:after="40" w:before="150"/>
        <w:jc w:val="center"/>
      </w:pPr>
      <w:bookmarkStart w:name="b_figura_original_pagina_C_2_61" w:id="3030"/>
      <w:bookmarkEnd w:id="3030"/>
      <w:r>
        <w:drawing>
          <wp:inline distT="0" distB="0" distL="0" distR="0">
            <wp:extent cx="5381625" cy="4162425"/>
            <wp:effectExtent t="0" r="0" b="0" l="0"/>
            <wp:docPr id="72" name="pagina-C-2-61" descr="Presentación C-2, pág. 61" title="Comedero: un beneficio adicio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57" cstate="none"/>
                    <a:srcRect/>
                    <a:stretch>
                      <a:fillRect/>
                    </a:stretch>
                  </pic:blipFill>
                  <pic:spPr bwMode="auto">
                    <a:xfrm>
                      <a:off x="0" y="0"/>
                      <a:ext cx="5381625" cy="4162425"/>
                    </a:xfrm>
                    <a:prstGeom prst="rect">
                      <a:avLst/>
                    </a:prstGeom>
                  </pic:spPr>
                </pic:pic>
              </a:graphicData>
            </a:graphic>
          </wp:inline>
        </w:drawing>
      </w:r>
    </w:p>
    <w:p>
      <w:pPr>
        <w:pStyle w:val="PieFigura"/>
        <w:keepNext/>
      </w:pPr>
      <w:bookmarkStart w:name="b_fig_3_6_6" w:id="3031"/>
      <w:r>
        <w:t xml:space="preserve">Figura 3.6.</w:t>
      </w:r>
      <w:fldSimple w:instr="SEQ Figura \n \* ARABIC">
        <w:r>
          <w:t xml:space="preserve">6</w:t>
        </w:r>
      </w:fldSimple>
      <w:r>
        <w:t xml:space="preserve"> · Comedero: un beneficio adicional</w:t>
      </w:r>
      <w:bookmarkEnd w:id="3031"/>
    </w:p>
    <w:p>
      <w:pPr>
        <w:pStyle w:val="Fuente"/>
      </w:pPr>
      <w:r>
        <w:t xml:space="preserve">Presentación C-2, pág. 61</w:t>
      </w:r>
    </w:p>
    <w:p>
      <w:bookmarkStart w:name="b_punto_c2_p061_01" w:id="3032"/>
      <w:r>
        <w:t xml:space="preserve">Los pájaros lo aumentan, éste atrae más pájaros y también mejora la mañana</w:t>
      </w:r>
      <w:bookmarkEnd w:id="3032"/>
    </w:p>
    <w:p>
      <w:bookmarkStart w:name="b_punto_c2_p061_02" w:id="3033"/>
      <w:r>
        <w:t xml:space="preserve">Los pájaros lo aumentan, éste atrae más pájaros y también mejora la mañana</w:t>
      </w:r>
      <w:bookmarkEnd w:id="3033"/>
    </w:p>
    <w:p>
      <w:bookmarkStart w:name="b_punto_c2_p061_03" w:id="3034"/>
      <w:r>
        <w:t xml:space="preserve">Los pájaros lo aumentan, éste atrae más pájaros y también mejora la mañana</w:t>
      </w:r>
      <w:bookmarkEnd w:id="3034"/>
    </w:p>
    <w:p>
      <w:pPr>
        <w:pStyle w:val="Heading3"/>
      </w:pPr>
      <w:bookmarkStart w:name="b_pagina_3_6_C_2_p62" w:id="3035"/>
      <w:r>
        <w:t xml:space="preserve">C-2 · página 62 · Comedero: mañana agradable y frustración</w:t>
      </w:r>
      <w:bookmarkEnd w:id="3035"/>
    </w:p>
    <w:p>
      <w:pPr>
        <w:pStyle w:val="Normal"/>
      </w:pPr>
      <w:r>
        <w:t xml:space="preserve">El disfrute y la frustración se contrarrestan mutuamente.</w:t>
      </w:r>
    </w:p>
    <w:p>
      <w:pPr>
        <w:keepNext/>
        <w:spacing w:after="40" w:before="150"/>
        <w:jc w:val="center"/>
      </w:pPr>
      <w:bookmarkStart w:name="b_figura_original_pagina_C_2_62" w:id="3036"/>
      <w:bookmarkEnd w:id="3036"/>
      <w:r>
        <w:drawing>
          <wp:inline distT="0" distB="0" distL="0" distR="0">
            <wp:extent cx="5381625" cy="4162425"/>
            <wp:effectExtent t="0" r="0" b="0" l="0"/>
            <wp:docPr id="73" name="pagina-C-2-62" descr="Presentación C-2, pág. 62" title="Comedero: mañana agradable y frustració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58" cstate="none"/>
                    <a:srcRect/>
                    <a:stretch>
                      <a:fillRect/>
                    </a:stretch>
                  </pic:blipFill>
                  <pic:spPr bwMode="auto">
                    <a:xfrm>
                      <a:off x="0" y="0"/>
                      <a:ext cx="5381625" cy="4162425"/>
                    </a:xfrm>
                    <a:prstGeom prst="rect">
                      <a:avLst/>
                    </a:prstGeom>
                  </pic:spPr>
                </pic:pic>
              </a:graphicData>
            </a:graphic>
          </wp:inline>
        </w:drawing>
      </w:r>
    </w:p>
    <w:p>
      <w:pPr>
        <w:pStyle w:val="PieFigura"/>
        <w:keepNext/>
      </w:pPr>
      <w:bookmarkStart w:name="b_fig_3_6_7" w:id="3037"/>
      <w:r>
        <w:t xml:space="preserve">Figura 3.6.</w:t>
      </w:r>
      <w:fldSimple w:instr="SEQ Figura \n \* ARABIC">
        <w:r>
          <w:t xml:space="preserve">7</w:t>
        </w:r>
      </w:fldSimple>
      <w:r>
        <w:t xml:space="preserve"> · Comedero: mañana agradable y frustración</w:t>
      </w:r>
      <w:bookmarkEnd w:id="3037"/>
    </w:p>
    <w:p>
      <w:pPr>
        <w:pStyle w:val="Fuente"/>
      </w:pPr>
      <w:r>
        <w:t xml:space="preserve">Presentación C-2, pág. 62</w:t>
      </w:r>
    </w:p>
    <w:p>
      <w:bookmarkStart w:name="b_punto_c2_p062_01" w:id="3038"/>
      <w:r>
        <w:t xml:space="preserve">Un refuerzo: más frustración reduce agrado, lo que deja menos ayuda para reducir frustración</w:t>
      </w:r>
      <w:bookmarkEnd w:id="3038"/>
    </w:p>
    <w:p>
      <w:bookmarkStart w:name="b_punto_c2_p062_02" w:id="3039"/>
      <w:r>
        <w:t xml:space="preserve">Un refuerzo: más frustración reduce agrado, lo que deja menos ayuda para reducir frustración</w:t>
      </w:r>
      <w:bookmarkEnd w:id="3039"/>
    </w:p>
    <w:p>
      <w:pPr>
        <w:pStyle w:val="Heading3"/>
      </w:pPr>
      <w:bookmarkStart w:name="b_pagina_3_6_C_2_p63" w:id="3040"/>
      <w:r>
        <w:t xml:space="preserve">C-2 · página 63 · Comedero: comprar alimento</w:t>
      </w:r>
      <w:bookmarkEnd w:id="3040"/>
    </w:p>
    <w:p>
      <w:pPr>
        <w:pStyle w:val="Normal"/>
      </w:pPr>
      <w:r>
        <w:t xml:space="preserve">Más aves requieren prever alimento y costo.</w:t>
      </w:r>
    </w:p>
    <w:p>
      <w:pPr>
        <w:keepNext/>
        <w:spacing w:after="40" w:before="150"/>
        <w:jc w:val="center"/>
      </w:pPr>
      <w:bookmarkStart w:name="b_figura_original_pagina_C_2_63" w:id="3041"/>
      <w:bookmarkEnd w:id="3041"/>
      <w:r>
        <w:drawing>
          <wp:inline distT="0" distB="0" distL="0" distR="0">
            <wp:extent cx="5381625" cy="4162425"/>
            <wp:effectExtent t="0" r="0" b="0" l="0"/>
            <wp:docPr id="74" name="pagina-C-2-63" descr="Presentación C-2, pág. 63" title="Comedero: comprar alimen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59" cstate="none"/>
                    <a:srcRect/>
                    <a:stretch>
                      <a:fillRect/>
                    </a:stretch>
                  </pic:blipFill>
                  <pic:spPr bwMode="auto">
                    <a:xfrm>
                      <a:off x="0" y="0"/>
                      <a:ext cx="5381625" cy="4162425"/>
                    </a:xfrm>
                    <a:prstGeom prst="rect">
                      <a:avLst/>
                    </a:prstGeom>
                  </pic:spPr>
                </pic:pic>
              </a:graphicData>
            </a:graphic>
          </wp:inline>
        </w:drawing>
      </w:r>
    </w:p>
    <w:p>
      <w:pPr>
        <w:pStyle w:val="PieFigura"/>
        <w:keepNext/>
      </w:pPr>
      <w:bookmarkStart w:name="b_fig_3_6_8" w:id="3042"/>
      <w:r>
        <w:t xml:space="preserve">Figura 3.6.</w:t>
      </w:r>
      <w:fldSimple w:instr="SEQ Figura \n \* ARABIC">
        <w:r>
          <w:t xml:space="preserve">8</w:t>
        </w:r>
      </w:fldSimple>
      <w:r>
        <w:t xml:space="preserve"> · Comedero: comprar alimento</w:t>
      </w:r>
      <w:bookmarkEnd w:id="3042"/>
    </w:p>
    <w:p>
      <w:pPr>
        <w:pStyle w:val="Fuente"/>
      </w:pPr>
      <w:r>
        <w:t xml:space="preserve">Presentación C-2, pág. 63</w:t>
      </w:r>
    </w:p>
    <w:p>
      <w:bookmarkStart w:name="b_punto_c2_p063_01" w:id="3043"/>
      <w:r>
        <w:t xml:space="preserve">Más aves → más alimento por comprar → gasto imprevisto → frustración; importa estimar cantidad y costo</w:t>
      </w:r>
      <w:bookmarkEnd w:id="3043"/>
    </w:p>
    <w:p>
      <w:bookmarkStart w:name="b_punto_c2_p063_02" w:id="3044"/>
      <w:r>
        <w:t xml:space="preserve">Más aves → más alimento por comprar → gasto imprevisto → frustración; importa estimar cantidad y costo</w:t>
      </w:r>
      <w:bookmarkEnd w:id="3044"/>
    </w:p>
    <w:p>
      <w:pPr>
        <w:pStyle w:val="Heading3"/>
      </w:pPr>
      <w:bookmarkStart w:name="b_pagina_3_6_C_2_p64" w:id="3045"/>
      <w:r>
        <w:t xml:space="preserve">C-2 · página 64 · Comedero: gasto imprevisto</w:t>
      </w:r>
      <w:bookmarkEnd w:id="3045"/>
    </w:p>
    <w:p>
      <w:pPr>
        <w:pStyle w:val="Normal"/>
      </w:pPr>
      <w:r>
        <w:t xml:space="preserve">Las compras generan frustración por gasto no previsto.</w:t>
      </w:r>
    </w:p>
    <w:p>
      <w:pPr>
        <w:keepNext/>
        <w:spacing w:after="40" w:before="150"/>
        <w:jc w:val="center"/>
      </w:pPr>
      <w:bookmarkStart w:name="b_figura_original_pagina_C_2_64" w:id="3046"/>
      <w:bookmarkEnd w:id="3046"/>
      <w:r>
        <w:drawing>
          <wp:inline distT="0" distB="0" distL="0" distR="0">
            <wp:extent cx="5381625" cy="4162425"/>
            <wp:effectExtent t="0" r="0" b="0" l="0"/>
            <wp:docPr id="75" name="pagina-C-2-64" descr="Presentación C-2, pág. 64" title="Comedero: gasto imprevis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0" cstate="none"/>
                    <a:srcRect/>
                    <a:stretch>
                      <a:fillRect/>
                    </a:stretch>
                  </pic:blipFill>
                  <pic:spPr bwMode="auto">
                    <a:xfrm>
                      <a:off x="0" y="0"/>
                      <a:ext cx="5381625" cy="4162425"/>
                    </a:xfrm>
                    <a:prstGeom prst="rect">
                      <a:avLst/>
                    </a:prstGeom>
                  </pic:spPr>
                </pic:pic>
              </a:graphicData>
            </a:graphic>
          </wp:inline>
        </w:drawing>
      </w:r>
    </w:p>
    <w:p>
      <w:pPr>
        <w:pStyle w:val="PieFigura"/>
        <w:keepNext/>
      </w:pPr>
      <w:bookmarkStart w:name="b_fig_3_6_9" w:id="3047"/>
      <w:r>
        <w:t xml:space="preserve">Figura 3.6.</w:t>
      </w:r>
      <w:fldSimple w:instr="SEQ Figura \n \* ARABIC">
        <w:r>
          <w:t xml:space="preserve">9</w:t>
        </w:r>
      </w:fldSimple>
      <w:r>
        <w:t xml:space="preserve"> · Comedero: gasto imprevisto</w:t>
      </w:r>
      <w:bookmarkEnd w:id="3047"/>
    </w:p>
    <w:p>
      <w:pPr>
        <w:pStyle w:val="Fuente"/>
      </w:pPr>
      <w:r>
        <w:t xml:space="preserve">Presentación C-2, pág. 64</w:t>
      </w:r>
    </w:p>
    <w:p>
      <w:bookmarkStart w:name="b_punto_c2_p064_01" w:id="3048"/>
      <w:r>
        <w:t xml:space="preserve">Más aves → más alimento por comprar → gasto imprevisto → frustración; importa estimar cantidad y costo</w:t>
      </w:r>
      <w:bookmarkEnd w:id="3048"/>
    </w:p>
    <w:p>
      <w:bookmarkStart w:name="b_punto_c2_p064_02" w:id="3049"/>
      <w:r>
        <w:t xml:space="preserve">Más aves → más alimento por comprar → gasto imprevisto → frustración; importa estimar cantidad y costo</w:t>
      </w:r>
      <w:bookmarkEnd w:id="3049"/>
    </w:p>
    <w:p>
      <w:pPr>
        <w:pStyle w:val="Heading3"/>
      </w:pPr>
      <w:bookmarkStart w:name="b_pagina_3_6_C_2_p65" w:id="3050"/>
      <w:r>
        <w:t xml:space="preserve">C-2 · página 65 · Comedero: alimento derramado</w:t>
      </w:r>
      <w:bookmarkEnd w:id="3050"/>
    </w:p>
    <w:p>
      <w:pPr>
        <w:pStyle w:val="Normal"/>
      </w:pPr>
      <w:r>
        <w:t xml:space="preserve">El derrame exige reponer alimento y aumenta frustración.</w:t>
      </w:r>
    </w:p>
    <w:p>
      <w:pPr>
        <w:keepNext/>
        <w:spacing w:after="40" w:before="150"/>
        <w:jc w:val="center"/>
      </w:pPr>
      <w:bookmarkStart w:name="b_figura_original_pagina_C_2_65" w:id="3051"/>
      <w:bookmarkEnd w:id="3051"/>
      <w:r>
        <w:drawing>
          <wp:inline distT="0" distB="0" distL="0" distR="0">
            <wp:extent cx="5381625" cy="4162425"/>
            <wp:effectExtent t="0" r="0" b="0" l="0"/>
            <wp:docPr id="76" name="pagina-C-2-65" descr="Presentación C-2, pág. 65" title="Comedero: alimento derrama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1" cstate="none"/>
                    <a:srcRect/>
                    <a:stretch>
                      <a:fillRect/>
                    </a:stretch>
                  </pic:blipFill>
                  <pic:spPr bwMode="auto">
                    <a:xfrm>
                      <a:off x="0" y="0"/>
                      <a:ext cx="5381625" cy="4162425"/>
                    </a:xfrm>
                    <a:prstGeom prst="rect">
                      <a:avLst/>
                    </a:prstGeom>
                  </pic:spPr>
                </pic:pic>
              </a:graphicData>
            </a:graphic>
          </wp:inline>
        </w:drawing>
      </w:r>
    </w:p>
    <w:p>
      <w:pPr>
        <w:pStyle w:val="PieFigura"/>
        <w:keepNext/>
      </w:pPr>
      <w:bookmarkStart w:name="b_fig_3_6_10" w:id="3052"/>
      <w:r>
        <w:t xml:space="preserve">Figura 3.6.</w:t>
      </w:r>
      <w:fldSimple w:instr="SEQ Figura \n \* ARABIC">
        <w:r>
          <w:t xml:space="preserve">10</w:t>
        </w:r>
      </w:fldSimple>
      <w:r>
        <w:t xml:space="preserve"> · Comedero: alimento derramado</w:t>
      </w:r>
      <w:bookmarkEnd w:id="3052"/>
    </w:p>
    <w:p>
      <w:pPr>
        <w:pStyle w:val="Fuente"/>
      </w:pPr>
      <w:r>
        <w:t xml:space="preserve">Presentación C-2, pág. 65</w:t>
      </w:r>
    </w:p>
    <w:p>
      <w:bookmarkStart w:name="b_punto_c2_p065_01" w:id="3053"/>
      <w:r>
        <w:t xml:space="preserve">Más aves producen derrame; reponer alimento aumenta compras y frustración, reduciendo el agrado de la mañana</w:t>
      </w:r>
      <w:bookmarkEnd w:id="3053"/>
    </w:p>
    <w:p>
      <w:bookmarkStart w:name="b_punto_c2_p065_02" w:id="3054"/>
      <w:r>
        <w:t xml:space="preserve">Más aves producen derrame; reponer alimento aumenta compras y frustración, reduciendo el agrado de la mañana</w:t>
      </w:r>
      <w:bookmarkEnd w:id="3054"/>
    </w:p>
    <w:p>
      <w:pPr>
        <w:pStyle w:val="Heading3"/>
      </w:pPr>
      <w:bookmarkStart w:name="b_pagina_3_6_C_2_p66" w:id="3055"/>
      <w:r>
        <w:t xml:space="preserve">C-2 · página 66 · Comedero: el comedero atrae ardillas</w:t>
      </w:r>
      <w:bookmarkEnd w:id="3055"/>
    </w:p>
    <w:p>
      <w:pPr>
        <w:pStyle w:val="Normal"/>
      </w:pPr>
      <w:r>
        <w:t xml:space="preserve">La intervención atrae otros animales.</w:t>
      </w:r>
    </w:p>
    <w:p>
      <w:pPr>
        <w:keepNext/>
        <w:spacing w:after="40" w:before="150"/>
        <w:jc w:val="center"/>
      </w:pPr>
      <w:bookmarkStart w:name="b_figura_original_pagina_C_2_66" w:id="3056"/>
      <w:bookmarkEnd w:id="3056"/>
      <w:r>
        <w:drawing>
          <wp:inline distT="0" distB="0" distL="0" distR="0">
            <wp:extent cx="5381625" cy="4162425"/>
            <wp:effectExtent t="0" r="0" b="0" l="0"/>
            <wp:docPr id="77" name="pagina-C-2-66" descr="Presentación C-2, pág. 66" title="Comedero: el comedero atrae ardill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2" cstate="none"/>
                    <a:srcRect/>
                    <a:stretch>
                      <a:fillRect/>
                    </a:stretch>
                  </pic:blipFill>
                  <pic:spPr bwMode="auto">
                    <a:xfrm>
                      <a:off x="0" y="0"/>
                      <a:ext cx="5381625" cy="4162425"/>
                    </a:xfrm>
                    <a:prstGeom prst="rect">
                      <a:avLst/>
                    </a:prstGeom>
                  </pic:spPr>
                </pic:pic>
              </a:graphicData>
            </a:graphic>
          </wp:inline>
        </w:drawing>
      </w:r>
    </w:p>
    <w:p>
      <w:pPr>
        <w:pStyle w:val="PieFigura"/>
        <w:keepNext/>
      </w:pPr>
      <w:bookmarkStart w:name="b_fig_3_6_11" w:id="3057"/>
      <w:r>
        <w:t xml:space="preserve">Figura 3.6.</w:t>
      </w:r>
      <w:fldSimple w:instr="SEQ Figura \n \* ARABIC">
        <w:r>
          <w:t xml:space="preserve">11</w:t>
        </w:r>
      </w:fldSimple>
      <w:r>
        <w:t xml:space="preserve"> · Comedero: el comedero atrae ardillas</w:t>
      </w:r>
      <w:bookmarkEnd w:id="3057"/>
    </w:p>
    <w:p>
      <w:pPr>
        <w:pStyle w:val="Fuente"/>
      </w:pPr>
      <w:r>
        <w:t xml:space="preserve">Presentación C-2, pág. 66</w:t>
      </w:r>
    </w:p>
    <w:p>
      <w:bookmarkStart w:name="b_punto_c2_p066_01" w:id="3058"/>
      <w:r>
        <w:t xml:space="preserve">Comedero → ardillas atraídas por la comida.</w:t>
      </w:r>
      <w:bookmarkEnd w:id="3058"/>
    </w:p>
    <w:p>
      <w:pPr>
        <w:pStyle w:val="Heading3"/>
      </w:pPr>
      <w:bookmarkStart w:name="b_pagina_3_6_C_2_p67" w:id="3059"/>
      <w:r>
        <w:t xml:space="preserve">C-2 · página 67 · Comedero: ardillas y aves</w:t>
      </w:r>
      <w:bookmarkEnd w:id="3059"/>
    </w:p>
    <w:p>
      <w:pPr>
        <w:pStyle w:val="Normal"/>
      </w:pPr>
      <w:r>
        <w:t xml:space="preserve">Las ardillas espantan aves y afectan el disfrute.</w:t>
      </w:r>
    </w:p>
    <w:p>
      <w:pPr>
        <w:keepNext/>
        <w:spacing w:after="40" w:before="150"/>
        <w:jc w:val="center"/>
      </w:pPr>
      <w:bookmarkStart w:name="b_figura_original_pagina_C_2_67" w:id="3060"/>
      <w:bookmarkEnd w:id="3060"/>
      <w:r>
        <w:drawing>
          <wp:inline distT="0" distB="0" distL="0" distR="0">
            <wp:extent cx="5381625" cy="4162425"/>
            <wp:effectExtent t="0" r="0" b="0" l="0"/>
            <wp:docPr id="78" name="pagina-C-2-67" descr="Presentación C-2, pág. 67" title="Comedero: ardillas y av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3" cstate="none"/>
                    <a:srcRect/>
                    <a:stretch>
                      <a:fillRect/>
                    </a:stretch>
                  </pic:blipFill>
                  <pic:spPr bwMode="auto">
                    <a:xfrm>
                      <a:off x="0" y="0"/>
                      <a:ext cx="5381625" cy="4162425"/>
                    </a:xfrm>
                    <a:prstGeom prst="rect">
                      <a:avLst/>
                    </a:prstGeom>
                  </pic:spPr>
                </pic:pic>
              </a:graphicData>
            </a:graphic>
          </wp:inline>
        </w:drawing>
      </w:r>
    </w:p>
    <w:p>
      <w:pPr>
        <w:pStyle w:val="PieFigura"/>
        <w:keepNext/>
      </w:pPr>
      <w:bookmarkStart w:name="b_fig_3_6_12" w:id="3061"/>
      <w:r>
        <w:t xml:space="preserve">Figura 3.6.</w:t>
      </w:r>
      <w:fldSimple w:instr="SEQ Figura \n \* ARABIC">
        <w:r>
          <w:t xml:space="preserve">12</w:t>
        </w:r>
      </w:fldSimple>
      <w:r>
        <w:t xml:space="preserve"> · Comedero: ardillas y aves</w:t>
      </w:r>
      <w:bookmarkEnd w:id="3061"/>
    </w:p>
    <w:p>
      <w:pPr>
        <w:pStyle w:val="Fuente"/>
      </w:pPr>
      <w:r>
        <w:t xml:space="preserve">Presentación C-2, pág. 67</w:t>
      </w:r>
    </w:p>
    <w:p>
      <w:bookmarkStart w:name="b_punto_c2_p067_01" w:id="3062"/>
      <w:r>
        <w:t xml:space="preserve">Consumen alimento y provocan derrame; además pueden desplazar aves, con valoración dependiente del observador</w:t>
      </w:r>
      <w:bookmarkEnd w:id="3062"/>
    </w:p>
    <w:p>
      <w:bookmarkStart w:name="b_punto_c2_p067_02" w:id="3063"/>
      <w:r>
        <w:t xml:space="preserve">Consumen alimento y provocan derrame; además pueden desplazar aves, con valoración dependiente del observador</w:t>
      </w:r>
      <w:bookmarkEnd w:id="3063"/>
    </w:p>
    <w:p>
      <w:pPr>
        <w:pStyle w:val="Heading3"/>
      </w:pPr>
      <w:bookmarkStart w:name="b_pagina_3_6_C_2_p68" w:id="3064"/>
      <w:r>
        <w:t xml:space="preserve">C-2 · página 68 · Comedero: ardillas, consumo y desperdicio</w:t>
      </w:r>
      <w:bookmarkEnd w:id="3064"/>
    </w:p>
    <w:p>
      <w:pPr>
        <w:pStyle w:val="Normal"/>
      </w:pPr>
      <w:r>
        <w:t xml:space="preserve">Las ardillas comen y derraman alimento, incrementando reposición.</w:t>
      </w:r>
    </w:p>
    <w:p>
      <w:pPr>
        <w:keepNext/>
        <w:spacing w:after="40" w:before="150"/>
        <w:jc w:val="center"/>
      </w:pPr>
      <w:bookmarkStart w:name="b_figura_original_pagina_C_2_68" w:id="3065"/>
      <w:bookmarkEnd w:id="3065"/>
      <w:r>
        <w:drawing>
          <wp:inline distT="0" distB="0" distL="0" distR="0">
            <wp:extent cx="5381625" cy="4162425"/>
            <wp:effectExtent t="0" r="0" b="0" l="0"/>
            <wp:docPr id="79" name="pagina-C-2-68" descr="Presentación C-2, pág. 68" title="Comedero: ardillas, consumo y desperdic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4" cstate="none"/>
                    <a:srcRect/>
                    <a:stretch>
                      <a:fillRect/>
                    </a:stretch>
                  </pic:blipFill>
                  <pic:spPr bwMode="auto">
                    <a:xfrm>
                      <a:off x="0" y="0"/>
                      <a:ext cx="5381625" cy="4162425"/>
                    </a:xfrm>
                    <a:prstGeom prst="rect">
                      <a:avLst/>
                    </a:prstGeom>
                  </pic:spPr>
                </pic:pic>
              </a:graphicData>
            </a:graphic>
          </wp:inline>
        </w:drawing>
      </w:r>
    </w:p>
    <w:p>
      <w:pPr>
        <w:pStyle w:val="PieFigura"/>
        <w:keepNext/>
      </w:pPr>
      <w:bookmarkStart w:name="b_fig_3_6_13" w:id="3066"/>
      <w:r>
        <w:t xml:space="preserve">Figura 3.6.</w:t>
      </w:r>
      <w:fldSimple w:instr="SEQ Figura \n \* ARABIC">
        <w:r>
          <w:t xml:space="preserve">13</w:t>
        </w:r>
      </w:fldSimple>
      <w:r>
        <w:t xml:space="preserve"> · Comedero: ardillas, consumo y desperdicio</w:t>
      </w:r>
      <w:bookmarkEnd w:id="3066"/>
    </w:p>
    <w:p>
      <w:pPr>
        <w:pStyle w:val="Fuente"/>
      </w:pPr>
      <w:r>
        <w:t xml:space="preserve">Presentación C-2, pág. 68</w:t>
      </w:r>
    </w:p>
    <w:p>
      <w:bookmarkStart w:name="b_punto_c2_p068_01" w:id="3067"/>
      <w:r>
        <w:t xml:space="preserve">Consumen alimento y provocan derrame; además pueden desplazar aves, con valoración dependiente del observador</w:t>
      </w:r>
      <w:bookmarkEnd w:id="3067"/>
    </w:p>
    <w:p>
      <w:bookmarkStart w:name="b_punto_c2_p068_02" w:id="3068"/>
      <w:r>
        <w:t xml:space="preserve">Consumen alimento y provocan derrame; además pueden desplazar aves, con valoración dependiente del observador</w:t>
      </w:r>
      <w:bookmarkEnd w:id="3068"/>
    </w:p>
    <w:p>
      <w:pPr>
        <w:pStyle w:val="Heading3"/>
      </w:pPr>
      <w:bookmarkStart w:name="b_pagina_3_6_C_2_p69" w:id="3069"/>
      <w:r>
        <w:t xml:space="preserve">C-2 · página 69 · Comedero: roedores</w:t>
      </w:r>
      <w:bookmarkEnd w:id="3069"/>
    </w:p>
    <w:p>
      <w:pPr>
        <w:pStyle w:val="Normal"/>
      </w:pPr>
      <w:r>
        <w:t xml:space="preserve">El alimento derramado atrae roedores y frustración.</w:t>
      </w:r>
    </w:p>
    <w:p>
      <w:pPr>
        <w:keepNext/>
        <w:spacing w:after="40" w:before="150"/>
        <w:jc w:val="center"/>
      </w:pPr>
      <w:bookmarkStart w:name="b_figura_original_pagina_C_2_69" w:id="3070"/>
      <w:bookmarkEnd w:id="3070"/>
      <w:r>
        <w:drawing>
          <wp:inline distT="0" distB="0" distL="0" distR="0">
            <wp:extent cx="5381625" cy="4162425"/>
            <wp:effectExtent t="0" r="0" b="0" l="0"/>
            <wp:docPr id="80" name="pagina-C-2-69" descr="Presentación C-2, pág. 69" title="Comedero: roedo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5" cstate="none"/>
                    <a:srcRect/>
                    <a:stretch>
                      <a:fillRect/>
                    </a:stretch>
                  </pic:blipFill>
                  <pic:spPr bwMode="auto">
                    <a:xfrm>
                      <a:off x="0" y="0"/>
                      <a:ext cx="5381625" cy="4162425"/>
                    </a:xfrm>
                    <a:prstGeom prst="rect">
                      <a:avLst/>
                    </a:prstGeom>
                  </pic:spPr>
                </pic:pic>
              </a:graphicData>
            </a:graphic>
          </wp:inline>
        </w:drawing>
      </w:r>
    </w:p>
    <w:p>
      <w:pPr>
        <w:pStyle w:val="PieFigura"/>
        <w:keepNext/>
      </w:pPr>
      <w:bookmarkStart w:name="b_fig_3_6_14" w:id="3071"/>
      <w:r>
        <w:t xml:space="preserve">Figura 3.6.</w:t>
      </w:r>
      <w:fldSimple w:instr="SEQ Figura \n \* ARABIC">
        <w:r>
          <w:t xml:space="preserve">14</w:t>
        </w:r>
      </w:fldSimple>
      <w:r>
        <w:t xml:space="preserve"> · Comedero: roedores</w:t>
      </w:r>
      <w:bookmarkEnd w:id="3071"/>
    </w:p>
    <w:p>
      <w:pPr>
        <w:pStyle w:val="Fuente"/>
      </w:pPr>
      <w:r>
        <w:t xml:space="preserve">Presentación C-2, pág. 69</w:t>
      </w:r>
    </w:p>
    <w:p>
      <w:bookmarkStart w:name="b_punto_c2_p069_01" w:id="3072"/>
      <w:r>
        <w:t xml:space="preserve">Derrame → roedores; derrame → crecimiento antiestético; pájaros → desechos de aves</w:t>
      </w:r>
      <w:bookmarkEnd w:id="3072"/>
    </w:p>
    <w:p>
      <w:pPr>
        <w:pStyle w:val="Heading3"/>
      </w:pPr>
      <w:bookmarkStart w:name="b_pagina_3_6_C_2_p70" w:id="3073"/>
      <w:r>
        <w:t xml:space="preserve">C-2 · página 70 · Comedero: crecimiento antiestético</w:t>
      </w:r>
      <w:bookmarkEnd w:id="3073"/>
    </w:p>
    <w:p>
      <w:pPr>
        <w:pStyle w:val="Normal"/>
      </w:pPr>
      <w:r>
        <w:t xml:space="preserve">El derrame favorece crecimiento indeseado bajo el comedero.</w:t>
      </w:r>
    </w:p>
    <w:p>
      <w:pPr>
        <w:keepNext/>
        <w:spacing w:after="40" w:before="150"/>
        <w:jc w:val="center"/>
      </w:pPr>
      <w:bookmarkStart w:name="b_figura_original_pagina_C_2_70" w:id="3074"/>
      <w:bookmarkEnd w:id="3074"/>
      <w:r>
        <w:drawing>
          <wp:inline distT="0" distB="0" distL="0" distR="0">
            <wp:extent cx="5381625" cy="4162425"/>
            <wp:effectExtent t="0" r="0" b="0" l="0"/>
            <wp:docPr id="81" name="pagina-C-2-70" descr="Presentación C-2, pág. 70" title="Comedero: crecimiento antiestéti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6" cstate="none"/>
                    <a:srcRect/>
                    <a:stretch>
                      <a:fillRect/>
                    </a:stretch>
                  </pic:blipFill>
                  <pic:spPr bwMode="auto">
                    <a:xfrm>
                      <a:off x="0" y="0"/>
                      <a:ext cx="5381625" cy="4162425"/>
                    </a:xfrm>
                    <a:prstGeom prst="rect">
                      <a:avLst/>
                    </a:prstGeom>
                  </pic:spPr>
                </pic:pic>
              </a:graphicData>
            </a:graphic>
          </wp:inline>
        </w:drawing>
      </w:r>
    </w:p>
    <w:p>
      <w:pPr>
        <w:pStyle w:val="PieFigura"/>
        <w:keepNext/>
      </w:pPr>
      <w:bookmarkStart w:name="b_fig_3_6_15" w:id="3075"/>
      <w:r>
        <w:t xml:space="preserve">Figura 3.6.</w:t>
      </w:r>
      <w:fldSimple w:instr="SEQ Figura \n \* ARABIC">
        <w:r>
          <w:t xml:space="preserve">15</w:t>
        </w:r>
      </w:fldSimple>
      <w:r>
        <w:t xml:space="preserve"> · Comedero: crecimiento antiestético</w:t>
      </w:r>
      <w:bookmarkEnd w:id="3075"/>
    </w:p>
    <w:p>
      <w:pPr>
        <w:pStyle w:val="Fuente"/>
      </w:pPr>
      <w:r>
        <w:t xml:space="preserve">Presentación C-2, pág. 70</w:t>
      </w:r>
    </w:p>
    <w:p>
      <w:bookmarkStart w:name="b_punto_c2_p070_01" w:id="3076"/>
      <w:r>
        <w:t xml:space="preserve">Derrame → roedores; derrame → crecimiento antiestético; pájaros → desechos de aves</w:t>
      </w:r>
      <w:bookmarkEnd w:id="3076"/>
    </w:p>
    <w:p>
      <w:pPr>
        <w:pStyle w:val="Heading3"/>
      </w:pPr>
      <w:bookmarkStart w:name="b_pagina_3_6_C_2_p71" w:id="3077"/>
      <w:r>
        <w:t xml:space="preserve">C-2 · página 71 · Comedero: desechos de aves</w:t>
      </w:r>
      <w:bookmarkEnd w:id="3077"/>
    </w:p>
    <w:p>
      <w:pPr>
        <w:pStyle w:val="Normal"/>
      </w:pPr>
      <w:r>
        <w:t xml:space="preserve">Más aves generan limpieza adicional y frustración.</w:t>
      </w:r>
    </w:p>
    <w:p>
      <w:pPr>
        <w:keepNext/>
        <w:spacing w:after="40" w:before="150"/>
        <w:jc w:val="center"/>
      </w:pPr>
      <w:bookmarkStart w:name="b_figura_original_pagina_C_2_71" w:id="3078"/>
      <w:bookmarkEnd w:id="3078"/>
      <w:r>
        <w:drawing>
          <wp:inline distT="0" distB="0" distL="0" distR="0">
            <wp:extent cx="5381625" cy="4162425"/>
            <wp:effectExtent t="0" r="0" b="0" l="0"/>
            <wp:docPr id="82" name="pagina-C-2-71" descr="Presentación C-2, pág. 71" title="Comedero: desechos de av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7" cstate="none"/>
                    <a:srcRect/>
                    <a:stretch>
                      <a:fillRect/>
                    </a:stretch>
                  </pic:blipFill>
                  <pic:spPr bwMode="auto">
                    <a:xfrm>
                      <a:off x="0" y="0"/>
                      <a:ext cx="5381625" cy="4162425"/>
                    </a:xfrm>
                    <a:prstGeom prst="rect">
                      <a:avLst/>
                    </a:prstGeom>
                  </pic:spPr>
                </pic:pic>
              </a:graphicData>
            </a:graphic>
          </wp:inline>
        </w:drawing>
      </w:r>
    </w:p>
    <w:p>
      <w:pPr>
        <w:pStyle w:val="PieFigura"/>
        <w:keepNext/>
      </w:pPr>
      <w:bookmarkStart w:name="b_fig_3_6_16" w:id="3079"/>
      <w:r>
        <w:t xml:space="preserve">Figura 3.6.</w:t>
      </w:r>
      <w:fldSimple w:instr="SEQ Figura \n \* ARABIC">
        <w:r>
          <w:t xml:space="preserve">16</w:t>
        </w:r>
      </w:fldSimple>
      <w:r>
        <w:t xml:space="preserve"> · Comedero: desechos de aves</w:t>
      </w:r>
      <w:bookmarkEnd w:id="3079"/>
    </w:p>
    <w:p>
      <w:pPr>
        <w:pStyle w:val="Fuente"/>
      </w:pPr>
      <w:r>
        <w:t xml:space="preserve">Presentación C-2, pág. 71</w:t>
      </w:r>
    </w:p>
    <w:p>
      <w:bookmarkStart w:name="b_punto_c2_p071_01" w:id="3080"/>
      <w:r>
        <w:t xml:space="preserve">Derrame → roedores; derrame → crecimiento antiestético; pájaros → desechos de aves</w:t>
      </w:r>
      <w:bookmarkEnd w:id="3080"/>
    </w:p>
    <w:p>
      <w:pPr>
        <w:pStyle w:val="Heading3"/>
      </w:pPr>
      <w:bookmarkStart w:name="b_pagina_3_6_C_2_p73" w:id="3081"/>
      <w:r>
        <w:t xml:space="preserve">C-2 · página 73 · Una red con muchos ciclos</w:t>
      </w:r>
      <w:bookmarkEnd w:id="3081"/>
    </w:p>
    <w:p>
      <w:pPr>
        <w:pStyle w:val="Normal"/>
      </w:pPr>
      <w:r>
        <w:t xml:space="preserve">El mapa completo del comedero muestra beneficios iniciales y efectos laterales entrelazados.</w:t>
      </w:r>
    </w:p>
    <w:p>
      <w:pPr>
        <w:pStyle w:val="Fuente"/>
      </w:pPr>
      <w:r>
        <w:t xml:space="preserve">Proyección o explicación: Clase 14 · 00:05:39 · captura c14-02.</w:t>
      </w:r>
    </w:p>
    <w:p>
      <w:pPr>
        <w:pStyle w:val="Fuente"/>
      </w:pPr>
      <w:r>
        <w:t xml:space="preserve">Véase </w:t>
      </w:r>
      <w:hyperlink w:history="1" w:anchor="b_figura_original_pagina_C_2_73">
        <w:r>
          <w:rPr>
            <w:color w:val="156B70"/>
            <w:u w:val="single"/>
          </w:rPr>
          <w:t xml:space="preserve">imagen de C-2, página 73</w:t>
        </w:r>
      </w:hyperlink>
      <w:r>
        <w:t xml:space="preserve">, pág. </w:t>
      </w:r>
      <w:r>
        <w:fldChar w:fldCharType="begin"/>
        <w:instrText xml:space="preserve">PAGEREF b_figura_original_pagina_C_2_73 \h</w:instrText>
        <w:fldChar w:fldCharType="separate"/>
        <w:t xml:space="preserve">485</w:t>
        <w:fldChar w:fldCharType="end"/>
      </w:r>
      <w:r>
        <w:t xml:space="preserve">.</w:t>
      </w:r>
    </w:p>
    <w:p>
      <w:bookmarkStart w:name="b_punto_c2_p073_02" w:id="3082"/>
      <w:r>
        <w:t xml:space="preserve">La mañana agradable motiva el comedero, éste atrae pájaros y éstos mejoran la mañana. Volver a la variable inicial cierra el retorno de la intención.</w:t>
      </w:r>
      <w:bookmarkEnd w:id="3082"/>
    </w:p>
    <w:p>
      <w:bookmarkStart w:name="b_punto_c2_p073_03" w:id="3083"/>
      <w:r>
        <w:t xml:space="preserve">Los pájaros lo aumentan, éste atrae más pájaros y también mejora la mañana</w:t>
      </w:r>
      <w:bookmarkEnd w:id="3083"/>
    </w:p>
    <w:p>
      <w:bookmarkStart w:name="b_punto_c2_p073_04" w:id="3084"/>
      <w:r>
        <w:t xml:space="preserve">La mañana agradable motiva el comedero, éste atrae pájaros y éstos mejoran la mañana. Volver a la variable inicial cierra el retorno de la intención. Los pájaros lo aumentan, éste atrae más pájaros y también mejora la mañana Un refuerzo: más frustración reduce agrado, lo que deja menos ayuda para reducir frustración Más aves → más alimento por comprar → gasto imprevisto → frustración; importa estimar cantidad y costo Más aves producen derrame; reponer alimento aumenta compras y frustración, reduciendo el agrado de la mañana Consumen alimento y provocan derrame; además pueden desplazar aves, con valoración dependiente del observador Derrame → roedores; derrame → crecimiento antiestético; pájaros → desechos de aves</w:t>
      </w:r>
      <w:bookmarkEnd w:id="3084"/>
    </w:p>
    <w:p>
      <w:pPr>
        <w:pStyle w:val="Fuente"/>
      </w:pPr>
      <w:r>
        <w:t xml:space="preserve">Véase </w:t>
      </w:r>
      <w:hyperlink w:history="1" w:anchor="b_3_4">
        <w:r>
          <w:rPr>
            <w:color w:val="156B70"/>
            <w:u w:val="single"/>
          </w:rPr>
          <w:t xml:space="preserve">capítulo 3.4 · Interdependencias sistémicas</w:t>
        </w:r>
      </w:hyperlink>
      <w:r>
        <w:t xml:space="preserve">, pág. </w:t>
      </w:r>
      <w:r>
        <w:fldChar w:fldCharType="begin"/>
        <w:instrText xml:space="preserve">PAGEREF b_3_4 \h</w:instrText>
        <w:fldChar w:fldCharType="separate"/>
        <w:t xml:space="preserve">476</w:t>
        <w:fldChar w:fldCharType="end"/>
      </w:r>
      <w:r>
        <w:t xml:space="preserve">.</w:t>
      </w:r>
    </w:p>
    <w:p>
      <w:pPr>
        <w:pStyle w:val="Heading3"/>
      </w:pPr>
      <w:bookmarkStart w:name="b_pagina_3_6_C_2_p76" w:id="3085"/>
      <w:r>
        <w:t xml:space="preserve">C-2 · página 76 · Retroalimentación positiva o de refuerzo</w:t>
      </w:r>
      <w:bookmarkEnd w:id="3085"/>
    </w:p>
    <w:p>
      <w:pPr>
        <w:pStyle w:val="Normal"/>
      </w:pPr>
      <w:r>
        <w:t xml:space="preserve">El cambio retorna amplificado; sin límites, crecimiento o caída se aceleran.</w:t>
      </w:r>
    </w:p>
    <w:p>
      <w:pPr>
        <w:pStyle w:val="Fuente"/>
      </w:pPr>
      <w:r>
        <w:t xml:space="preserve">Proyección o explicación: Clase 14 · 00:41:47 · captura c14-06.</w:t>
      </w:r>
    </w:p>
    <w:p>
      <w:bookmarkStart w:name="b_punto_c2_p076_04" w:id="3086"/>
      <w:r>
        <w:t xml:space="preserve">Sobrecarga laboral puede producir condiciones que la aumentan otra vez.</w:t>
      </w:r>
      <w:bookmarkEnd w:id="3086"/>
    </w:p>
    <w:p>
      <w:pPr>
        <w:pStyle w:val="Fuente"/>
      </w:pPr>
      <w:r>
        <w:t xml:space="preserve">Véase </w:t>
      </w:r>
      <w:hyperlink w:history="1" w:anchor="b_3_5">
        <w:r>
          <w:rPr>
            <w:color w:val="156B70"/>
            <w:u w:val="single"/>
          </w:rPr>
          <w:t xml:space="preserve">capítulo 3.5 · Refuerzo y compensación</w:t>
        </w:r>
      </w:hyperlink>
      <w:r>
        <w:t xml:space="preserve">, pág. </w:t>
      </w:r>
      <w:r>
        <w:fldChar w:fldCharType="begin"/>
        <w:instrText xml:space="preserve">PAGEREF b_3_5 \h</w:instrText>
        <w:fldChar w:fldCharType="separate"/>
        <w:t xml:space="preserve">501</w:t>
        <w:fldChar w:fldCharType="end"/>
      </w:r>
      <w:r>
        <w:t xml:space="preserve">.</w:t>
      </w:r>
    </w:p>
    <w:p>
      <w:pPr>
        <w:pStyle w:val="Fuente"/>
      </w:pPr>
      <w:r>
        <w:t xml:space="preserve">Véase </w:t>
      </w:r>
      <w:hyperlink w:history="1" w:anchor="b_3_4">
        <w:r>
          <w:rPr>
            <w:color w:val="156B70"/>
            <w:u w:val="single"/>
          </w:rPr>
          <w:t xml:space="preserve">capítulo 3.4 · Interdependencias sistémicas</w:t>
        </w:r>
      </w:hyperlink>
      <w:r>
        <w:t xml:space="preserve">, pág. </w:t>
      </w:r>
      <w:r>
        <w:fldChar w:fldCharType="begin"/>
        <w:instrText xml:space="preserve">PAGEREF b_3_4 \h</w:instrText>
        <w:fldChar w:fldCharType="separate"/>
        <w:t xml:space="preserve">476</w:t>
        <w:fldChar w:fldCharType="end"/>
      </w:r>
      <w:r>
        <w:t xml:space="preserve">.</w:t>
      </w:r>
    </w:p>
    <w:p>
      <w:pPr>
        <w:pStyle w:val="Heading3"/>
      </w:pPr>
      <w:bookmarkStart w:name="b_pagina_3_6_C_2_p88" w:id="3087"/>
      <w:r>
        <w:t xml:space="preserve">C-2 · página 88 · La estructura genera el comportamiento</w:t>
      </w:r>
      <w:bookmarkEnd w:id="3087"/>
    </w:p>
    <w:p>
      <w:pPr>
        <w:pStyle w:val="Normal"/>
      </w:pPr>
      <w:r>
        <w:t xml:space="preserve">Hábito de atender a las relaciones internas del sistema y evitar la búsqueda de culpables.</w:t>
      </w:r>
    </w:p>
    <w:p>
      <w:pPr>
        <w:pStyle w:val="Fuente"/>
      </w:pPr>
      <w:r>
        <w:t xml:space="preserve">Proyección o explicación: Clase 15 · 00:29:44 · captura c15-09.</w:t>
      </w:r>
    </w:p>
    <w:p>
      <w:bookmarkStart w:name="b_punto_c2_p088_03" w:id="3088"/>
      <w:r>
        <w:t xml:space="preserve">Las preguntas del hábito indagan cómo se afectan las partes, cómo la organización produce el resultado y qué causas internas intervienen.</w:t>
      </w:r>
      <w:bookmarkEnd w:id="3088"/>
    </w:p>
    <w:p>
      <w:pPr>
        <w:pStyle w:val="Fuente"/>
      </w:pPr>
      <w:r>
        <w:t xml:space="preserve">Véase </w:t>
      </w:r>
      <w:hyperlink w:history="1" w:anchor="b_3_9">
        <w:r>
          <w:rPr>
            <w:color w:val="156B70"/>
            <w:u w:val="single"/>
          </w:rPr>
          <w:t xml:space="preserve">capítulo 3.9 · Hábitos (complejo)</w:t>
        </w:r>
      </w:hyperlink>
      <w:r>
        <w:t xml:space="preserve">, pág. </w:t>
      </w:r>
      <w:r>
        <w:fldChar w:fldCharType="begin"/>
        <w:instrText xml:space="preserve">PAGEREF b_3_9 \h</w:instrText>
        <w:fldChar w:fldCharType="separate"/>
        <w:t xml:space="preserve">622</w:t>
        <w:fldChar w:fldCharType="end"/>
      </w:r>
      <w:r>
        <w:t xml:space="preserve">.</w:t>
      </w:r>
    </w:p>
    <w:p>
      <w:pPr>
        <w:pStyle w:val="Heading3"/>
      </w:pPr>
      <w:bookmarkStart w:name="b_pagina_3_6_C_2_p89" w:id="3089"/>
      <w:r>
        <w:t xml:space="preserve">C-2 · página 89 · Explorando estructuras sistémicas tangibles</w:t>
      </w:r>
      <w:bookmarkEnd w:id="3089"/>
    </w:p>
    <w:p>
      <w:pPr>
        <w:pStyle w:val="Normal"/>
      </w:pPr>
      <w:r>
        <w:t xml:space="preserve">Cometa, molinete y espacios arquitectónicos muestran cómo la disposición física condiciona la conducta.</w:t>
      </w:r>
    </w:p>
    <w:p>
      <w:pPr>
        <w:pStyle w:val="Fuente"/>
      </w:pPr>
      <w:r>
        <w:t xml:space="preserve">Proyección o explicación: Clase 15 · 00:37:17 · captura c15-10.</w:t>
      </w:r>
    </w:p>
    <w:p>
      <w:pPr>
        <w:keepNext/>
        <w:spacing w:after="40" w:before="150"/>
        <w:jc w:val="center"/>
      </w:pPr>
      <w:bookmarkStart w:name="b_figura_original_pagina_C_2_89" w:id="3090"/>
      <w:bookmarkEnd w:id="3090"/>
      <w:r>
        <w:drawing>
          <wp:inline distT="0" distB="0" distL="0" distR="0">
            <wp:extent cx="5381625" cy="4162425"/>
            <wp:effectExtent t="0" r="0" b="0" l="0"/>
            <wp:docPr id="83" name="pagina-C-2-89" descr="Presentación C-2, pág. 89" title="Explorando estructuras sistémicas tangib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8" cstate="none"/>
                    <a:srcRect/>
                    <a:stretch>
                      <a:fillRect/>
                    </a:stretch>
                  </pic:blipFill>
                  <pic:spPr bwMode="auto">
                    <a:xfrm>
                      <a:off x="0" y="0"/>
                      <a:ext cx="5381625" cy="4162425"/>
                    </a:xfrm>
                    <a:prstGeom prst="rect">
                      <a:avLst/>
                    </a:prstGeom>
                  </pic:spPr>
                </pic:pic>
              </a:graphicData>
            </a:graphic>
          </wp:inline>
        </w:drawing>
      </w:r>
    </w:p>
    <w:p>
      <w:pPr>
        <w:pStyle w:val="PieFigura"/>
        <w:keepNext/>
      </w:pPr>
      <w:bookmarkStart w:name="b_fig_3_6_17" w:id="3091"/>
      <w:r>
        <w:t xml:space="preserve">Figura 3.6.</w:t>
      </w:r>
      <w:fldSimple w:instr="SEQ Figura \n \* ARABIC">
        <w:r>
          <w:t xml:space="preserve">17</w:t>
        </w:r>
      </w:fldSimple>
      <w:r>
        <w:t xml:space="preserve"> · Explorando estructuras sistémicas tangibles</w:t>
      </w:r>
      <w:bookmarkEnd w:id="3091"/>
    </w:p>
    <w:p>
      <w:pPr>
        <w:pStyle w:val="Fuente"/>
      </w:pPr>
      <w:r>
        <w:t xml:space="preserve">Presentación C-2, pág. 89</w:t>
      </w:r>
    </w:p>
    <w:p>
      <w:bookmarkStart w:name="b_punto_c2_p089_01" w:id="3092"/>
      <w:r>
        <w:t xml:space="preserve">Con el mismo viento, la cometa vuela y el molinete gira por sus distintas estructuras físicas.</w:t>
      </w:r>
      <w:bookmarkEnd w:id="3092"/>
    </w:p>
    <w:p>
      <w:bookmarkStart w:name="b_punto_c2_p089_02" w:id="3093"/>
      <w:r>
        <w:t xml:space="preserve">Marco, cuerda y cola de la cometa se contraponen al material plegado y fijado del molinete.</w:t>
      </w:r>
      <w:bookmarkEnd w:id="3093"/>
    </w:p>
    <w:p>
      <w:bookmarkStart w:name="b_punto_c2_p089_04" w:id="3094"/>
      <w:r>
        <w:t xml:space="preserve">Distribución, muebles, iluminación y acústica, relacionados con la conducta buscada</w:t>
      </w:r>
      <w:bookmarkEnd w:id="3094"/>
    </w:p>
    <w:p>
      <w:pPr>
        <w:pStyle w:val="Fuente"/>
      </w:pPr>
      <w:r>
        <w:t xml:space="preserve">Véase </w:t>
      </w:r>
      <w:hyperlink w:history="1" w:anchor="b_3_9">
        <w:r>
          <w:rPr>
            <w:color w:val="156B70"/>
            <w:u w:val="single"/>
          </w:rPr>
          <w:t xml:space="preserve">capítulo 3.9 · Hábitos (complejo)</w:t>
        </w:r>
      </w:hyperlink>
      <w:r>
        <w:t xml:space="preserve">, pág. </w:t>
      </w:r>
      <w:r>
        <w:fldChar w:fldCharType="begin"/>
        <w:instrText xml:space="preserve">PAGEREF b_3_9 \h</w:instrText>
        <w:fldChar w:fldCharType="separate"/>
        <w:t xml:space="preserve">622</w:t>
        <w:fldChar w:fldCharType="end"/>
      </w:r>
      <w:r>
        <w:t xml:space="preserve">.</w:t>
      </w:r>
    </w:p>
    <w:p>
      <w:pPr>
        <w:pStyle w:val="Heading3"/>
      </w:pPr>
      <w:bookmarkStart w:name="b_pagina_3_6_C_2_p90" w:id="3095"/>
      <w:r>
        <w:t xml:space="preserve">C-2 · página 90 · Estructuras como generadoras de comportamientos</w:t>
      </w:r>
      <w:bookmarkEnd w:id="3095"/>
    </w:p>
    <w:p>
      <w:pPr>
        <w:pStyle w:val="Normal"/>
      </w:pPr>
      <w:r>
        <w:t xml:space="preserve">Comparar aulas y diseñar la estructura desde el comportamiento deseado.</w:t>
      </w:r>
    </w:p>
    <w:p>
      <w:pPr>
        <w:pStyle w:val="Fuente"/>
      </w:pPr>
      <w:r>
        <w:t xml:space="preserve">Proyección o explicación: Clase 15 · 00:43:37 · captura c15-11.</w:t>
      </w:r>
    </w:p>
    <w:p>
      <w:bookmarkStart w:name="b_punto_c2_p090_01" w:id="3096"/>
      <w:r>
        <w:t xml:space="preserve">Filas orientadas al frente favorecen escuchar una exposición; mesas agrupadas y pizarras móviles favorecen colaboración.</w:t>
      </w:r>
      <w:bookmarkEnd w:id="3096"/>
    </w:p>
    <w:p>
      <w:bookmarkStart w:name="b_punto_c2_p090_02" w:id="3097"/>
      <w:r>
        <w:t xml:space="preserve">Para diseñar se parte del comportamiento deseado y se decide qué estructura puede producirlo.</w:t>
      </w:r>
      <w:bookmarkEnd w:id="3097"/>
    </w:p>
    <w:p>
      <w:bookmarkStart w:name="b_punto_c2_p090_03" w:id="3098"/>
      <w:r>
        <w:t xml:space="preserve">Cambiar el comportamiento exige revisar estructuras físicas, leyes y políticas o tradiciones y rutinas sociales.</w:t>
      </w:r>
      <w:bookmarkEnd w:id="3098"/>
    </w:p>
    <w:p>
      <w:pPr>
        <w:pStyle w:val="Heading3"/>
      </w:pPr>
      <w:bookmarkStart w:name="b_pagina_3_6_C_2_p91" w:id="3099"/>
      <w:r>
        <w:t xml:space="preserve">C-2 · página 91 · Estructuras y comportamientos sistémicos</w:t>
      </w:r>
      <w:bookmarkEnd w:id="3099"/>
    </w:p>
    <w:p>
      <w:pPr>
        <w:pStyle w:val="Normal"/>
      </w:pPr>
      <w:r>
        <w:t xml:space="preserve">Rutinas, estados personales y relaciones familiares afectan los resultados; cada contexto requiere adaptación.</w:t>
      </w:r>
    </w:p>
    <w:p>
      <w:pPr>
        <w:pStyle w:val="Fuente"/>
      </w:pPr>
      <w:r>
        <w:t xml:space="preserve">Proyección o explicación: Clase 15 · 00:48:40 · captura c15-12.</w:t>
      </w:r>
    </w:p>
    <w:p>
      <w:pPr>
        <w:keepNext/>
        <w:spacing w:after="40" w:before="150"/>
        <w:jc w:val="center"/>
      </w:pPr>
      <w:bookmarkStart w:name="b_figura_original_pagina_C_2_91" w:id="3100"/>
      <w:bookmarkEnd w:id="3100"/>
      <w:r>
        <w:drawing>
          <wp:inline distT="0" distB="0" distL="0" distR="0">
            <wp:extent cx="5381625" cy="4162425"/>
            <wp:effectExtent t="0" r="0" b="0" l="0"/>
            <wp:docPr id="84" name="pagina-C-2-91" descr="Presentación C-2, pág. 91" title="Estructuras y comportamientos sistémic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9" cstate="none"/>
                    <a:srcRect/>
                    <a:stretch>
                      <a:fillRect/>
                    </a:stretch>
                  </pic:blipFill>
                  <pic:spPr bwMode="auto">
                    <a:xfrm>
                      <a:off x="0" y="0"/>
                      <a:ext cx="5381625" cy="4162425"/>
                    </a:xfrm>
                    <a:prstGeom prst="rect">
                      <a:avLst/>
                    </a:prstGeom>
                  </pic:spPr>
                </pic:pic>
              </a:graphicData>
            </a:graphic>
          </wp:inline>
        </w:drawing>
      </w:r>
    </w:p>
    <w:p>
      <w:pPr>
        <w:pStyle w:val="PieFigura"/>
        <w:keepNext/>
      </w:pPr>
      <w:bookmarkStart w:name="b_fig_3_6_18" w:id="3101"/>
      <w:r>
        <w:t xml:space="preserve">Figura 3.6.</w:t>
      </w:r>
      <w:fldSimple w:instr="SEQ Figura \n \* ARABIC">
        <w:r>
          <w:t xml:space="preserve">18</w:t>
        </w:r>
      </w:fldSimple>
      <w:r>
        <w:t xml:space="preserve"> · Estructuras y comportamientos sistémicos</w:t>
      </w:r>
      <w:bookmarkEnd w:id="3101"/>
    </w:p>
    <w:p>
      <w:pPr>
        <w:pStyle w:val="Fuente"/>
      </w:pPr>
      <w:r>
        <w:t xml:space="preserve">Presentación C-2, pág. 91</w:t>
      </w:r>
    </w:p>
    <w:p>
      <w:bookmarkStart w:name="b_punto_c2_p091_01" w:id="3102"/>
      <w:r>
        <w:t xml:space="preserve">Dieta y ejercicio son estructuras visibles; rutinas, estado de ánimo y actitudes también afectan conductas y objetivos.</w:t>
      </w:r>
      <w:bookmarkEnd w:id="3102"/>
    </w:p>
    <w:p>
      <w:bookmarkStart w:name="b_punto_c2_p091_02" w:id="3103"/>
      <w:r>
        <w:t xml:space="preserve">La frase de que los sistemas producen los resultados para los que están diseñados invita a examinar las relaciones, no a valorar todo resultado como deseable.</w:t>
      </w:r>
      <w:bookmarkEnd w:id="3103"/>
    </w:p>
    <w:p>
      <w:bookmarkStart w:name="b_punto_c2_p091_03" w:id="3104"/>
      <w:r>
        <w:t xml:space="preserve">Un sistema familiar contiene personas, tradiciones, reglas, valores, expectativas y horarios, que cuentan como estructura.</w:t>
      </w:r>
      <w:bookmarkEnd w:id="3104"/>
    </w:p>
    <w:p>
      <w:bookmarkStart w:name="b_punto_c2_p091_04" w:id="3105"/>
      <w:r>
        <w:t xml:space="preserve">Su efecto depende de la interacción con personalidad y contexto; la previsibilidad puede apoyar o limitar según el caso</w:t>
      </w:r>
      <w:bookmarkEnd w:id="3105"/>
    </w:p>
    <w:p>
      <w:bookmarkStart w:name="b_punto_c2_p091_05" w:id="3106"/>
      <w:r>
        <w:t xml:space="preserve">Examinar cualidades, historia y capacidades del receptor y adaptar la estructura</w:t>
      </w:r>
      <w:bookmarkEnd w:id="3106"/>
    </w:p>
    <w:p>
      <w:pPr>
        <w:pStyle w:val="Heading3"/>
      </w:pPr>
      <w:bookmarkStart w:name="b_pagina_3_6_C_2_p92" w:id="3107"/>
      <w:r>
        <w:t xml:space="preserve">C-2 · página 92 · Trazabilidad de frutas: estructura completa</w:t>
      </w:r>
      <w:bookmarkEnd w:id="3107"/>
    </w:p>
    <w:p>
      <w:pPr>
        <w:pStyle w:val="Normal"/>
      </w:pPr>
      <w:r>
        <w:t xml:space="preserve">Modelo con diez identificadores de ciclos que acopla ventas, producción, trazabilidad, tecnología y aprendizaje.</w:t>
      </w:r>
    </w:p>
    <w:p>
      <w:pPr>
        <w:pStyle w:val="Fuente"/>
      </w:pPr>
      <w:r>
        <w:t xml:space="preserve">Proyección o explicación: Clase 15 · 00:58:27 · captura c15-13.</w:t>
      </w:r>
    </w:p>
    <w:p>
      <w:pPr>
        <w:pStyle w:val="Fuente"/>
      </w:pPr>
      <w:r>
        <w:t xml:space="preserve">Véase </w:t>
      </w:r>
      <w:hyperlink w:history="1" w:anchor="b_figura_original_pagina_C_2_92">
        <w:r>
          <w:rPr>
            <w:color w:val="156B70"/>
            <w:u w:val="single"/>
          </w:rPr>
          <w:t xml:space="preserve">imagen de C-2, página 92</w:t>
        </w:r>
      </w:hyperlink>
      <w:r>
        <w:t xml:space="preserve">, pág. </w:t>
      </w:r>
      <w:r>
        <w:fldChar w:fldCharType="begin"/>
        <w:instrText xml:space="preserve">PAGEREF b_figura_original_pagina_C_2_92 \h</w:instrText>
        <w:fldChar w:fldCharType="separate"/>
        <w:t xml:space="preserve">456</w:t>
        <w:fldChar w:fldCharType="end"/>
      </w:r>
      <w:r>
        <w:t xml:space="preserve">.</w:t>
      </w:r>
    </w:p>
    <w:p>
      <w:bookmarkStart w:name="b_punto_c2_p092_02" w:id="3108"/>
      <w:r>
        <w:t xml:space="preserve">Procesamiento → ventas → demanda → órdenes de producción → procesamiento, con influencias positivas</w:t>
      </w:r>
      <w:bookmarkEnd w:id="3108"/>
    </w:p>
    <w:p>
      <w:bookmarkStart w:name="b_punto_c2_p092_03" w:id="3109"/>
      <w:r>
        <w:t xml:space="preserve">Cada recorrido tiene una negativa: especificaciones → trazabilidad en B1 y especificaciones → proveedor en B4</w:t>
      </w:r>
      <w:bookmarkEnd w:id="3109"/>
    </w:p>
    <w:p>
      <w:bookmarkStart w:name="b_punto_c2_p092_04" w:id="3110"/>
      <w:r>
        <w:t xml:space="preserve">Capacidad productiva; se refuerza con productividad laboral en R3 y con infraestructura en R4</w:t>
      </w:r>
      <w:bookmarkEnd w:id="3110"/>
    </w:p>
    <w:p>
      <w:bookmarkStart w:name="b_punto_c2_p092_05" w:id="3111"/>
      <w:r>
        <w:t xml:space="preserve">B2 y B3 tienen una negativa y una relación demorada; R5 enlaza infraestructura e implementación con dos positivas</w:t>
      </w:r>
      <w:bookmarkEnd w:id="3111"/>
    </w:p>
    <w:p>
      <w:bookmarkStart w:name="b_punto_c2_p092_06" w:id="3112"/>
      <w:r>
        <w:t xml:space="preserve">Balance por sus tres negativas; la demora de productividad a aprendizaje retrasa el efecto sin cambiar la paridad</w:t>
      </w:r>
      <w:bookmarkEnd w:id="3112"/>
    </w:p>
    <w:p>
      <w:pPr>
        <w:pStyle w:val="Fuente"/>
      </w:pPr>
      <w:r>
        <w:t xml:space="preserve">Véase </w:t>
      </w:r>
      <w:hyperlink w:history="1" w:anchor="b_3_3">
        <w:r>
          <w:rPr>
            <w:color w:val="156B70"/>
            <w:u w:val="single"/>
          </w:rPr>
          <w:t xml:space="preserve">capítulo 3.3 · Diagramas de ciclos causales</w:t>
        </w:r>
      </w:hyperlink>
      <w:r>
        <w:t xml:space="preserve">, pág. </w:t>
      </w:r>
      <w:r>
        <w:fldChar w:fldCharType="begin"/>
        <w:instrText xml:space="preserve">PAGEREF b_3_3 \h</w:instrText>
        <w:fldChar w:fldCharType="separate"/>
        <w:t xml:space="preserve">443</w:t>
        <w:fldChar w:fldCharType="end"/>
      </w:r>
      <w:r>
        <w:t xml:space="preserve">.</w:t>
      </w:r>
    </w:p>
    <w:p>
      <w:pPr>
        <w:pStyle w:val="Heading3"/>
      </w:pPr>
      <w:bookmarkStart w:name="b_pagina_3_6_C_2_p99" w:id="3113"/>
      <w:r>
        <w:t xml:space="preserve">C-2 · página 99 · El hábito de explorar estructuras sistémicas</w:t>
      </w:r>
      <w:bookmarkEnd w:id="3113"/>
    </w:p>
    <w:p>
      <w:pPr>
        <w:pStyle w:val="Normal"/>
      </w:pPr>
      <w:r>
        <w:t xml:space="preserve">Indagación en grupo sin culpa, con tres niveles del iceberg y perspectivas de distintas áreas.</w:t>
      </w:r>
    </w:p>
    <w:p>
      <w:pPr>
        <w:pStyle w:val="Fuente"/>
      </w:pPr>
      <w:r>
        <w:t xml:space="preserve">Proyección o explicación: Clase 16 · 00:21:29 · captura c16-03.</w:t>
      </w:r>
    </w:p>
    <w:p>
      <w:pPr>
        <w:keepNext/>
        <w:spacing w:after="40" w:before="150"/>
        <w:jc w:val="center"/>
      </w:pPr>
      <w:bookmarkStart w:name="b_figura_original_pagina_C_2_99" w:id="3114"/>
      <w:bookmarkEnd w:id="3114"/>
      <w:r>
        <w:drawing>
          <wp:inline distT="0" distB="0" distL="0" distR="0">
            <wp:extent cx="5381625" cy="4162425"/>
            <wp:effectExtent t="0" r="0" b="0" l="0"/>
            <wp:docPr id="85" name="pagina-C-2-99" descr="Presentación C-2, pág. 99" title="El hábito de explorar estructuras sistémic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70" cstate="none"/>
                    <a:srcRect/>
                    <a:stretch>
                      <a:fillRect/>
                    </a:stretch>
                  </pic:blipFill>
                  <pic:spPr bwMode="auto">
                    <a:xfrm>
                      <a:off x="0" y="0"/>
                      <a:ext cx="5381625" cy="4162425"/>
                    </a:xfrm>
                    <a:prstGeom prst="rect">
                      <a:avLst/>
                    </a:prstGeom>
                  </pic:spPr>
                </pic:pic>
              </a:graphicData>
            </a:graphic>
          </wp:inline>
        </w:drawing>
      </w:r>
    </w:p>
    <w:p>
      <w:pPr>
        <w:pStyle w:val="PieFigura"/>
        <w:keepNext/>
      </w:pPr>
      <w:bookmarkStart w:name="b_fig_3_6_19" w:id="3115"/>
      <w:r>
        <w:t xml:space="preserve">Figura 3.6.</w:t>
      </w:r>
      <w:fldSimple w:instr="SEQ Figura \n \* ARABIC">
        <w:r>
          <w:t xml:space="preserve">19</w:t>
        </w:r>
      </w:fldSimple>
      <w:r>
        <w:t xml:space="preserve"> · El hábito de explorar estructuras sistémicas</w:t>
      </w:r>
      <w:bookmarkEnd w:id="3115"/>
    </w:p>
    <w:p>
      <w:pPr>
        <w:pStyle w:val="Fuente"/>
      </w:pPr>
      <w:r>
        <w:t xml:space="preserve">Presentación C-2, pág. 99</w:t>
      </w:r>
    </w:p>
    <w:p>
      <w:bookmarkStart w:name="b_punto_c2_p099_01" w:id="3116"/>
      <w:r>
        <w:t xml:space="preserve">Al comenzar un análisis se evita asignar culpas y se atiende a elementos que otros pasan por alto.</w:t>
      </w:r>
      <w:bookmarkEnd w:id="3116"/>
    </w:p>
    <w:p>
      <w:bookmarkStart w:name="b_punto_c2_p099_02" w:id="3117"/>
      <w:r>
        <w:t xml:space="preserve">Preguntar qué no se entiende del problema sostiene la curiosidad y orienta la conversación.</w:t>
      </w:r>
      <w:bookmarkEnd w:id="3117"/>
    </w:p>
    <w:p>
      <w:bookmarkStart w:name="b_punto_c2_p099_03" w:id="3118"/>
      <w:r>
        <w:t xml:space="preserve">La historia se describe desde eventos, patrones y estructuras del iceberg.</w:t>
      </w:r>
      <w:bookmarkEnd w:id="3118"/>
    </w:p>
    <w:p>
      <w:bookmarkStart w:name="b_punto_c2_p099_04" w:id="3119"/>
      <w:r>
        <w:t xml:space="preserve">Aportan restricciones y perspectivas útiles y su participación puede favorecer aceptación y adaptación</w:t>
      </w:r>
      <w:bookmarkEnd w:id="3119"/>
    </w:p>
    <w:p>
      <w:pPr>
        <w:pStyle w:val="Heading3"/>
      </w:pPr>
      <w:r>
        <w:t xml:space="preserve">Lo que explicó el profesor en clase</w:t>
      </w:r>
    </w:p>
    <w:p>
      <w:pPr>
        <w:pStyle w:val="Heading3"/>
      </w:pPr>
      <w:bookmarkStart w:name="b_clase_3_6_c15_cap_05" w:id="3120"/>
      <w:r>
        <w:t xml:space="preserve">Clase 15 · 00:29:44–00:37:15 · La estructura genera el comportamiento</w:t>
      </w:r>
      <w:bookmarkEnd w:id="3120"/>
    </w:p>
    <w:p>
      <w:bookmarkStart w:name="b_punto_c15_cap_05_p01" w:id="3121"/>
      <w:r>
        <w:t xml:space="preserve">La estructura genera comportamiento emergente: éste pertenece a las interacciones del conjunto y no a una parte aislada.</w:t>
      </w:r>
      <w:bookmarkEnd w:id="3121"/>
    </w:p>
    <w:p>
      <w:bookmarkStart w:name="b_punto_c15_cap_05_p02" w:id="3122"/>
      <w:r>
        <w:t xml:space="preserve">Sin conocer la estructura sólo se observan tendencias; investigar relaciones explica de dónde provienen.</w:t>
      </w:r>
      <w:bookmarkEnd w:id="3122"/>
    </w:p>
    <w:p>
      <w:bookmarkStart w:name="b_punto_c15_cap_05_p03" w:id="3123"/>
      <w:r>
        <w:t xml:space="preserve">Culpar a una última causa supone linealidad y puede servir en baja complejidad; eliminar una parte no explica por sí solo la circularidad del conjunto.</w:t>
      </w:r>
      <w:bookmarkEnd w:id="3123"/>
    </w:p>
    <w:p>
      <w:bookmarkStart w:name="b_punto_c15_cap_05_p05" w:id="3124"/>
      <w:r>
        <w:t xml:space="preserve">Comprender exige situar el sistema en uno mayor o entrar en subsistemas, mapear relaciones e identificar sus roles.</w:t>
      </w:r>
      <w:bookmarkEnd w:id="3124"/>
    </w:p>
    <w:p>
      <w:pPr>
        <w:pStyle w:val="Fuente"/>
      </w:pPr>
      <w:r>
        <w:t xml:space="preserve">Véase </w:t>
      </w:r>
      <w:hyperlink w:history="1" w:anchor="b_senales_examen">
        <w:r>
          <w:rPr>
            <w:color w:val="156B70"/>
            <w:u w:val="single"/>
          </w:rPr>
          <w:t xml:space="preserve">1 indicación(es) de examen de este tramo, en el apéndice cronológico</w:t>
        </w:r>
      </w:hyperlink>
      <w:r>
        <w:t xml:space="preserve">, pág. </w:t>
      </w:r>
      <w:r>
        <w:fldChar w:fldCharType="begin"/>
        <w:instrText xml:space="preserve">PAGEREF b_senales_examen \h</w:instrText>
        <w:fldChar w:fldCharType="separate"/>
        <w:t xml:space="preserve">1663</w:t>
        <w:fldChar w:fldCharType="end"/>
      </w:r>
      <w:r>
        <w:t xml:space="preserve">.</w:t>
      </w:r>
    </w:p>
    <w:p>
      <w:pPr>
        <w:pStyle w:val="Fuente"/>
      </w:pPr>
      <w:r>
        <w:t xml:space="preserve">Véase </w:t>
      </w:r>
      <w:hyperlink w:history="1" w:anchor="b_3_9">
        <w:r>
          <w:rPr>
            <w:color w:val="156B70"/>
            <w:u w:val="single"/>
          </w:rPr>
          <w:t xml:space="preserve">capítulo 3.9 · Hábitos (complejo)</w:t>
        </w:r>
      </w:hyperlink>
      <w:r>
        <w:t xml:space="preserve">, pág. </w:t>
      </w:r>
      <w:r>
        <w:fldChar w:fldCharType="begin"/>
        <w:instrText xml:space="preserve">PAGEREF b_3_9 \h</w:instrText>
        <w:fldChar w:fldCharType="separate"/>
        <w:t xml:space="preserve">622</w:t>
        <w:fldChar w:fldCharType="end"/>
      </w:r>
      <w:r>
        <w:t xml:space="preserve">.</w:t>
      </w:r>
    </w:p>
    <w:p>
      <w:pPr>
        <w:pStyle w:val="Heading3"/>
      </w:pPr>
      <w:bookmarkStart w:name="b_clase_3_6_c15_cap_06" w:id="3125"/>
      <w:r>
        <w:t xml:space="preserve">Clase 15 · 00:37:15–00:48:38 · Cometa, molinete, cocinas y aulas</w:t>
      </w:r>
      <w:bookmarkEnd w:id="3125"/>
    </w:p>
    <w:p>
      <w:bookmarkStart w:name="b_punto_c15_cap_06_p01" w:id="3126"/>
      <w:r>
        <w:t xml:space="preserve">Ante el mismo viento, cometa y molinete responden de forma distinta por sus estructuras; el entorno común no basta para explicarlos.</w:t>
      </w:r>
      <w:bookmarkEnd w:id="3126"/>
    </w:p>
    <w:p>
      <w:bookmarkStart w:name="b_punto_c15_cap_06_p02" w:id="3127"/>
      <w:r>
        <w:t xml:space="preserve">Las estructuras pueden ser tangibles o intangibles: el ahorro y sus relaciones no se perciben sólo como objetos físicos.</w:t>
      </w:r>
      <w:bookmarkEnd w:id="3127"/>
    </w:p>
    <w:p>
      <w:bookmarkStart w:name="b_punto_c15_cap_06_p04" w:id="3128"/>
      <w:r>
        <w:t xml:space="preserve">Porque volumen, rapidez y convivencia deseados exigen distintas relaciones entre puestos, personas y procesos</w:t>
      </w:r>
      <w:bookmarkEnd w:id="3128"/>
    </w:p>
    <w:p>
      <w:bookmarkStart w:name="b_punto_c15_cap_06_p06" w:id="3129"/>
      <w:r>
        <w:t xml:space="preserve">Las filas orientadas al frente favorecen exposición y comunicación con el expositor, sin producir por sí solas el intercambio entre miembros del equipo.</w:t>
      </w:r>
      <w:bookmarkEnd w:id="3129"/>
    </w:p>
    <w:p>
      <w:pPr>
        <w:pStyle w:val="Fuente"/>
      </w:pPr>
      <w:r>
        <w:t xml:space="preserve">Véase </w:t>
      </w:r>
      <w:hyperlink w:history="1" w:anchor="b_3_8">
        <w:r>
          <w:rPr>
            <w:color w:val="156B70"/>
            <w:u w:val="single"/>
          </w:rPr>
          <w:t xml:space="preserve">capítulo 3.8 · Patrones y tendencias</w:t>
        </w:r>
      </w:hyperlink>
      <w:r>
        <w:t xml:space="preserve">, pág. </w:t>
      </w:r>
      <w:r>
        <w:fldChar w:fldCharType="begin"/>
        <w:instrText xml:space="preserve">PAGEREF b_3_8 \h</w:instrText>
        <w:fldChar w:fldCharType="separate"/>
        <w:t xml:space="preserve">597</w:t>
        <w:fldChar w:fldCharType="end"/>
      </w:r>
      <w:r>
        <w:t xml:space="preserve">.</w:t>
      </w:r>
    </w:p>
    <w:p>
      <w:pPr>
        <w:pStyle w:val="Fuente"/>
      </w:pPr>
      <w:r>
        <w:t xml:space="preserve">Véase </w:t>
      </w:r>
      <w:hyperlink w:history="1" w:anchor="b_3_9">
        <w:r>
          <w:rPr>
            <w:color w:val="156B70"/>
            <w:u w:val="single"/>
          </w:rPr>
          <w:t xml:space="preserve">capítulo 3.9 · Hábitos (complejo)</w:t>
        </w:r>
      </w:hyperlink>
      <w:r>
        <w:t xml:space="preserve">, pág. </w:t>
      </w:r>
      <w:r>
        <w:fldChar w:fldCharType="begin"/>
        <w:instrText xml:space="preserve">PAGEREF b_3_9 \h</w:instrText>
        <w:fldChar w:fldCharType="separate"/>
        <w:t xml:space="preserve">622</w:t>
        <w:fldChar w:fldCharType="end"/>
      </w:r>
      <w:r>
        <w:t xml:space="preserve">.</w:t>
      </w:r>
    </w:p>
    <w:p>
      <w:pPr>
        <w:pStyle w:val="Heading3"/>
      </w:pPr>
      <w:bookmarkStart w:name="b_clase_3_6_c15_cap_07" w:id="3130"/>
      <w:r>
        <w:t xml:space="preserve">Clase 15 · 00:48:38–00:58:20 · Del comportamiento deseado a la estructura</w:t>
      </w:r>
      <w:bookmarkEnd w:id="3130"/>
    </w:p>
    <w:p>
      <w:bookmarkStart w:name="b_punto_c15_cap_07_p01" w:id="3131"/>
      <w:r>
        <w:t xml:space="preserve">Para cambiar un comportamiento se cambia la estructura; al diseñar se parte del comportamiento emergente que se desea lograr.</w:t>
      </w:r>
      <w:bookmarkEnd w:id="3131"/>
    </w:p>
    <w:p>
      <w:bookmarkStart w:name="b_punto_c15_cap_07_p02" w:id="3132"/>
      <w:r>
        <w:t xml:space="preserve">Los requisitos expresan el comportamiento esperado por usuarios, cuya perspectiva puede diferir de la del programador.</w:t>
      </w:r>
      <w:bookmarkEnd w:id="3132"/>
    </w:p>
    <w:p>
      <w:bookmarkStart w:name="b_punto_c15_cap_07_p03" w:id="3133"/>
      <w:r>
        <w:t xml:space="preserve">Si no se definen requisitos, el programador puede completarlos desde su perspectiva y producir un resultado diferente al esperado.</w:t>
      </w:r>
      <w:bookmarkEnd w:id="3133"/>
    </w:p>
    <w:p>
      <w:bookmarkStart w:name="b_punto_c15_cap_07_p06" w:id="3134"/>
      <w:r>
        <w:t xml:space="preserve">La caída de ventas de ACME se investiga por interdependencia de ventas, producción y atención, buscando cambio estructural.</w:t>
      </w:r>
      <w:bookmarkEnd w:id="3134"/>
    </w:p>
    <w:p>
      <w:bookmarkStart w:name="b_punto_c15_cap_07_p08" w:id="3135"/>
      <w:r>
        <w:t xml:space="preserve">Las clases 13–16 desarrollan estructura, comportamiento y ciclos anidados; la simulación cuantitativa se amplía en Unidad 4.</w:t>
      </w:r>
      <w:bookmarkEnd w:id="3135"/>
    </w:p>
    <w:p>
      <w:pPr>
        <w:pStyle w:val="Fuente"/>
      </w:pPr>
      <w:r>
        <w:t xml:space="preserve">Véase </w:t>
      </w:r>
      <w:hyperlink w:history="1" w:anchor="b_3_9">
        <w:r>
          <w:rPr>
            <w:color w:val="156B70"/>
            <w:u w:val="single"/>
          </w:rPr>
          <w:t xml:space="preserve">capítulo 3.9 · Hábitos (complejo)</w:t>
        </w:r>
      </w:hyperlink>
      <w:r>
        <w:t xml:space="preserve">, pág. </w:t>
      </w:r>
      <w:r>
        <w:fldChar w:fldCharType="begin"/>
        <w:instrText xml:space="preserve">PAGEREF b_3_9 \h</w:instrText>
        <w:fldChar w:fldCharType="separate"/>
        <w:t xml:space="preserve">622</w:t>
        <w:fldChar w:fldCharType="end"/>
      </w:r>
      <w:r>
        <w:t xml:space="preserve">.</w:t>
      </w:r>
    </w:p>
    <w:p>
      <w:pPr>
        <w:pStyle w:val="Heading3"/>
      </w:pPr>
      <w:bookmarkStart w:name="b_clase_3_6_c15_cap_08" w:id="3136"/>
      <w:r>
        <w:t xml:space="preserve">Clase 15 · 00:58:20–01:05:12 · Contar ciclos: trazabilidad y el ejercicio de la energía</w:t>
      </w:r>
      <w:bookmarkEnd w:id="3136"/>
    </w:p>
    <w:p>
      <w:bookmarkStart w:name="b_punto_c15_cap_08_p01" w:id="3137"/>
      <w:r>
        <w:t xml:space="preserve">La productora de frutas relaciona cultivos, ventas, automatización, materias primas, productividad y capacidad mediante diez ciclos visibles.</w:t>
      </w:r>
      <w:bookmarkEnd w:id="3137"/>
    </w:p>
    <w:p>
      <w:bookmarkStart w:name="b_punto_c15_cap_08_p02" w:id="3138"/>
      <w:r>
        <w:t xml:space="preserve">Los identificadores claros facilitan contar ciclos; una realidad o dibujo todavía sin rotular exige descubrir sus recorridos.</w:t>
      </w:r>
      <w:bookmarkEnd w:id="3138"/>
    </w:p>
    <w:p>
      <w:bookmarkStart w:name="b_punto_c15_cap_08_p04" w:id="3139"/>
      <w:r>
        <w:t xml:space="preserve">Una variable o bifurcación diferente distingue otra ruta; no se cuentan únicamente variables ni regiones del dibujo.</w:t>
      </w:r>
      <w:bookmarkEnd w:id="3139"/>
    </w:p>
    <w:p>
      <w:pPr>
        <w:pStyle w:val="Fuente"/>
      </w:pPr>
      <w:r>
        <w:t xml:space="preserve">Véase </w:t>
      </w:r>
      <w:hyperlink w:history="1" w:anchor="b_3_5">
        <w:r>
          <w:rPr>
            <w:color w:val="156B70"/>
            <w:u w:val="single"/>
          </w:rPr>
          <w:t xml:space="preserve">capítulo 3.5 · Refuerzo y compensación</w:t>
        </w:r>
      </w:hyperlink>
      <w:r>
        <w:t xml:space="preserve">, pág. </w:t>
      </w:r>
      <w:r>
        <w:fldChar w:fldCharType="begin"/>
        <w:instrText xml:space="preserve">PAGEREF b_3_5 \h</w:instrText>
        <w:fldChar w:fldCharType="separate"/>
        <w:t xml:space="preserve">501</w:t>
        <w:fldChar w:fldCharType="end"/>
      </w:r>
      <w:r>
        <w:t xml:space="preserve">.</w:t>
      </w:r>
    </w:p>
    <w:p>
      <w:pPr>
        <w:pStyle w:val="Heading3"/>
      </w:pPr>
      <w:bookmarkStart w:name="b_clase_3_6_c15_cap_09" w:id="3140"/>
      <w:r>
        <w:t xml:space="preserve">Clase 15 · 01:05:12–01:25:51 · La regla del número de negativas</w:t>
      </w:r>
      <w:bookmarkEnd w:id="3140"/>
    </w:p>
    <w:p>
      <w:bookmarkStart w:name="b_punto_c15_cap_09_p04" w:id="3141"/>
      <w:r>
        <w:t xml:space="preserve">La ruta por condiciones ambientales incorpora una inversión neta: más oferta deteriora ambiente y reduce desarrollo, formando balance.</w:t>
      </w:r>
      <w:bookmarkEnd w:id="3141"/>
    </w:p>
    <w:p>
      <w:bookmarkStart w:name="b_punto_c15_cap_09_p06" w:id="3142"/>
      <w:r>
        <w:t xml:space="preserve">Compartir variables hace interactuar ciclos y condiciona la trayectoria según sus efectos; comprender el conjunto es más complejo que un lazo aislado.</w:t>
      </w:r>
      <w:bookmarkEnd w:id="3142"/>
    </w:p>
    <w:p>
      <w:bookmarkStart w:name="b_punto_c15_cap_09_p07" w:id="3143"/>
      <w:r>
        <w:t xml:space="preserve">Programas y ajedrez ilustran alternativas y bifurcaciones; nuevas perspectivas revelan escenarios y relaciones omitidos.</w:t>
      </w:r>
      <w:bookmarkEnd w:id="3143"/>
    </w:p>
    <w:p>
      <w:bookmarkStart w:name="b_punto_c15_cap_09_p08" w:id="3144"/>
      <w:r>
        <w:t xml:space="preserve">Cambiar la variable inicial no crea un recorrido nuevo; para rotular caminos solapados conviene separarlos o alargar relaciones sin alterar su significado.</w:t>
      </w:r>
      <w:bookmarkEnd w:id="3144"/>
    </w:p>
    <w:p>
      <w:pPr>
        <w:pStyle w:val="Fuente"/>
      </w:pPr>
      <w:r>
        <w:t xml:space="preserve">Véase </w:t>
      </w:r>
      <w:hyperlink w:history="1" w:anchor="b_senales_examen">
        <w:r>
          <w:rPr>
            <w:color w:val="156B70"/>
            <w:u w:val="single"/>
          </w:rPr>
          <w:t xml:space="preserve">1 indicación(es) de examen de este tramo, en el apéndice cronológico</w:t>
        </w:r>
      </w:hyperlink>
      <w:r>
        <w:t xml:space="preserve">, pág. </w:t>
      </w:r>
      <w:r>
        <w:fldChar w:fldCharType="begin"/>
        <w:instrText xml:space="preserve">PAGEREF b_senales_examen \h</w:instrText>
        <w:fldChar w:fldCharType="separate"/>
        <w:t xml:space="preserve">1663</w:t>
        <w:fldChar w:fldCharType="end"/>
      </w:r>
      <w:r>
        <w:t xml:space="preserve">.</w:t>
      </w:r>
    </w:p>
    <w:p>
      <w:pPr>
        <w:pStyle w:val="Fuente"/>
      </w:pPr>
      <w:r>
        <w:t xml:space="preserve">Véase </w:t>
      </w:r>
      <w:hyperlink w:history="1" w:anchor="b_3_5">
        <w:r>
          <w:rPr>
            <w:color w:val="156B70"/>
            <w:u w:val="single"/>
          </w:rPr>
          <w:t xml:space="preserve">capítulo 3.5 · Refuerzo y compensación</w:t>
        </w:r>
      </w:hyperlink>
      <w:r>
        <w:t xml:space="preserve">, pág. </w:t>
      </w:r>
      <w:r>
        <w:fldChar w:fldCharType="begin"/>
        <w:instrText xml:space="preserve">PAGEREF b_3_5 \h</w:instrText>
        <w:fldChar w:fldCharType="separate"/>
        <w:t xml:space="preserve">501</w:t>
        <w:fldChar w:fldCharType="end"/>
      </w:r>
      <w:r>
        <w:t xml:space="preserve">.</w:t>
      </w:r>
    </w:p>
    <w:p>
      <w:pPr>
        <w:pStyle w:val="Fuente"/>
      </w:pPr>
      <w:r>
        <w:t xml:space="preserve">Véase </w:t>
      </w:r>
      <w:hyperlink w:history="1" w:anchor="b_3_4">
        <w:r>
          <w:rPr>
            <w:color w:val="156B70"/>
            <w:u w:val="single"/>
          </w:rPr>
          <w:t xml:space="preserve">capítulo 3.4 · Interdependencias sistémicas</w:t>
        </w:r>
      </w:hyperlink>
      <w:r>
        <w:t xml:space="preserve">, pág. </w:t>
      </w:r>
      <w:r>
        <w:fldChar w:fldCharType="begin"/>
        <w:instrText xml:space="preserve">PAGEREF b_3_4 \h</w:instrText>
        <w:fldChar w:fldCharType="separate"/>
        <w:t xml:space="preserve">476</w:t>
        <w:fldChar w:fldCharType="end"/>
      </w:r>
      <w:r>
        <w:t xml:space="preserve">.</w:t>
      </w:r>
    </w:p>
    <w:p>
      <w:pPr>
        <w:pStyle w:val="Heading3"/>
      </w:pPr>
      <w:bookmarkStart w:name="b_clase_3_6_c15_cap_10" w:id="3145"/>
      <w:r>
        <w:t xml:space="preserve">Clase 15 · 01:25:51–01:42:38 · Las demoras y su notación</w:t>
      </w:r>
      <w:bookmarkEnd w:id="3145"/>
    </w:p>
    <w:p>
      <w:bookmarkStart w:name="b_punto_c15_cap_10_p02" w:id="3146"/>
      <w:r>
        <w:t xml:space="preserve">No se presume observar el 100%: escenarios y decisiones distintas pueden producir resultados diferentes en organizaciones similares.</w:t>
      </w:r>
      <w:bookmarkEnd w:id="3146"/>
    </w:p>
    <w:p>
      <w:bookmarkStart w:name="b_punto_c15_cap_10_p03" w:id="3147"/>
      <w:r>
        <w:t xml:space="preserve">No siempre hay una referencia completa que diga cuántos ciclos faltan; el modelo debe permanecer revisable ante perspectivas nuevas.</w:t>
      </w:r>
      <w:bookmarkEnd w:id="3147"/>
    </w:p>
    <w:p>
      <w:pPr>
        <w:pStyle w:val="Fuente"/>
      </w:pPr>
      <w:r>
        <w:t xml:space="preserve">Véase </w:t>
      </w:r>
      <w:hyperlink w:history="1" w:anchor="b_3_7">
        <w:r>
          <w:rPr>
            <w:color w:val="156B70"/>
            <w:u w:val="single"/>
          </w:rPr>
          <w:t xml:space="preserve">capítulo 3.7 · Demoras de tiempo</w:t>
        </w:r>
      </w:hyperlink>
      <w:r>
        <w:t xml:space="preserve">, pág. </w:t>
      </w:r>
      <w:r>
        <w:fldChar w:fldCharType="begin"/>
        <w:instrText xml:space="preserve">PAGEREF b_3_7 \h</w:instrText>
        <w:fldChar w:fldCharType="separate"/>
        <w:t xml:space="preserve">580</w:t>
        <w:fldChar w:fldCharType="end"/>
      </w:r>
      <w:r>
        <w:t xml:space="preserve">.</w:t>
      </w:r>
    </w:p>
    <w:p>
      <w:pPr>
        <w:pStyle w:val="Fuente"/>
      </w:pPr>
      <w:r>
        <w:t xml:space="preserve">Véase </w:t>
      </w:r>
      <w:hyperlink w:history="1" w:anchor="b_3_2">
        <w:r>
          <w:rPr>
            <w:color w:val="156B70"/>
            <w:u w:val="single"/>
          </w:rPr>
          <w:t xml:space="preserve">capítulo 3.2 · Mapas DSRP generales</w:t>
        </w:r>
      </w:hyperlink>
      <w:r>
        <w:t xml:space="preserve">, pág. </w:t>
      </w:r>
      <w:r>
        <w:fldChar w:fldCharType="begin"/>
        <w:instrText xml:space="preserve">PAGEREF b_3_2 \h</w:instrText>
        <w:fldChar w:fldCharType="separate"/>
        <w:t xml:space="preserve">404</w:t>
        <w:fldChar w:fldCharType="end"/>
      </w:r>
      <w:r>
        <w:t xml:space="preserve">.</w:t>
      </w:r>
    </w:p>
    <w:p>
      <w:pPr>
        <w:pStyle w:val="Fuente"/>
      </w:pPr>
      <w:r>
        <w:t xml:space="preserve">Véase </w:t>
      </w:r>
      <w:hyperlink w:history="1" w:anchor="b_3_8">
        <w:r>
          <w:rPr>
            <w:color w:val="156B70"/>
            <w:u w:val="single"/>
          </w:rPr>
          <w:t xml:space="preserve">capítulo 3.8 · Patrones y tendencias</w:t>
        </w:r>
      </w:hyperlink>
      <w:r>
        <w:t xml:space="preserve">, pág. </w:t>
      </w:r>
      <w:r>
        <w:fldChar w:fldCharType="begin"/>
        <w:instrText xml:space="preserve">PAGEREF b_3_8 \h</w:instrText>
        <w:fldChar w:fldCharType="separate"/>
        <w:t xml:space="preserve">597</w:t>
        <w:fldChar w:fldCharType="end"/>
      </w:r>
      <w:r>
        <w:t xml:space="preserve">.</w:t>
      </w:r>
    </w:p>
    <w:p>
      <w:pPr>
        <w:pStyle w:val="Heading3"/>
      </w:pPr>
      <w:bookmarkStart w:name="b_clase_3_6_c16_cap_01" w:id="3148"/>
      <w:r>
        <w:t xml:space="preserve">Clase 16 · 00:10:13–00:17:41 · Apertura, entregas y repaso de los hábitos</w:t>
      </w:r>
      <w:bookmarkEnd w:id="3148"/>
    </w:p>
    <w:p>
      <w:bookmarkStart w:name="b_punto_c16_cap_01_p04" w:id="3149"/>
      <w:r>
        <w:t xml:space="preserve">Ciclos y variables compartidas hacen compleja la dinámica; de la estructura emergen patrones y eventos.</w:t>
      </w:r>
      <w:bookmarkEnd w:id="3149"/>
    </w:p>
    <w:p>
      <w:pPr>
        <w:pStyle w:val="Fuente"/>
      </w:pPr>
      <w:r>
        <w:t xml:space="preserve">Véase </w:t>
      </w:r>
      <w:hyperlink w:history="1" w:anchor="b_senales_examen">
        <w:r>
          <w:rPr>
            <w:color w:val="156B70"/>
            <w:u w:val="single"/>
          </w:rPr>
          <w:t xml:space="preserve">1 indicación(es) de examen de este tramo, en el apéndice cronológico</w:t>
        </w:r>
      </w:hyperlink>
      <w:r>
        <w:t xml:space="preserve">, pág. </w:t>
      </w:r>
      <w:r>
        <w:fldChar w:fldCharType="begin"/>
        <w:instrText xml:space="preserve">PAGEREF b_senales_examen \h</w:instrText>
        <w:fldChar w:fldCharType="separate"/>
        <w:t xml:space="preserve">1663</w:t>
        <w:fldChar w:fldCharType="end"/>
      </w:r>
      <w:r>
        <w:t xml:space="preserve">.</w:t>
      </w:r>
    </w:p>
    <w:p>
      <w:pPr>
        <w:pStyle w:val="Fuente"/>
      </w:pPr>
      <w:r>
        <w:t xml:space="preserve">Véase </w:t>
      </w:r>
      <w:hyperlink w:history="1" w:anchor="b_3_3">
        <w:r>
          <w:rPr>
            <w:color w:val="156B70"/>
            <w:u w:val="single"/>
          </w:rPr>
          <w:t xml:space="preserve">capítulo 3.3 · Diagramas de ciclos causales</w:t>
        </w:r>
      </w:hyperlink>
      <w:r>
        <w:t xml:space="preserve">, pág. </w:t>
      </w:r>
      <w:r>
        <w:fldChar w:fldCharType="begin"/>
        <w:instrText xml:space="preserve">PAGEREF b_3_3 \h</w:instrText>
        <w:fldChar w:fldCharType="separate"/>
        <w:t xml:space="preserve">443</w:t>
        <w:fldChar w:fldCharType="end"/>
      </w:r>
      <w:r>
        <w:t xml:space="preserve">.</w:t>
      </w:r>
    </w:p>
    <w:p>
      <w:pPr>
        <w:pStyle w:val="Fuente"/>
      </w:pPr>
      <w:r>
        <w:t xml:space="preserve">Véase </w:t>
      </w:r>
      <w:hyperlink w:history="1" w:anchor="b_3_9">
        <w:r>
          <w:rPr>
            <w:color w:val="156B70"/>
            <w:u w:val="single"/>
          </w:rPr>
          <w:t xml:space="preserve">capítulo 3.9 · Hábitos (complejo)</w:t>
        </w:r>
      </w:hyperlink>
      <w:r>
        <w:t xml:space="preserve">, pág. </w:t>
      </w:r>
      <w:r>
        <w:fldChar w:fldCharType="begin"/>
        <w:instrText xml:space="preserve">PAGEREF b_3_9 \h</w:instrText>
        <w:fldChar w:fldCharType="separate"/>
        <w:t xml:space="preserve">622</w:t>
        <w:fldChar w:fldCharType="end"/>
      </w:r>
      <w:r>
        <w:t xml:space="preserve">.</w:t>
      </w:r>
    </w:p>
    <w:p>
      <w:pPr>
        <w:pStyle w:val="Fuente"/>
      </w:pPr>
      <w:r>
        <w:t xml:space="preserve">Véase </w:t>
      </w:r>
      <w:hyperlink w:history="1" w:anchor="b_3_7">
        <w:r>
          <w:rPr>
            <w:color w:val="156B70"/>
            <w:u w:val="single"/>
          </w:rPr>
          <w:t xml:space="preserve">capítulo 3.7 · Demoras de tiempo</w:t>
        </w:r>
      </w:hyperlink>
      <w:r>
        <w:t xml:space="preserve">, pág. </w:t>
      </w:r>
      <w:r>
        <w:fldChar w:fldCharType="begin"/>
        <w:instrText xml:space="preserve">PAGEREF b_3_7 \h</w:instrText>
        <w:fldChar w:fldCharType="separate"/>
        <w:t xml:space="preserve">580</w:t>
        <w:fldChar w:fldCharType="end"/>
      </w:r>
      <w:r>
        <w:t xml:space="preserve">.</w:t>
      </w:r>
    </w:p>
    <w:p>
      <w:pPr>
        <w:pStyle w:val="Heading3"/>
      </w:pPr>
      <w:bookmarkStart w:name="b_clase_3_6_c16_cap_02" w:id="3150"/>
      <w:r>
        <w:t xml:space="preserve">Clase 16 · 00:17:41–00:21:29 · El iceberg y el anuncio de la simulación</w:t>
      </w:r>
      <w:bookmarkEnd w:id="3150"/>
    </w:p>
    <w:p>
      <w:bookmarkStart w:name="b_punto_c16_cap_02_p02" w:id="3151"/>
      <w:r>
        <w:t xml:space="preserve">Para esta unidad se mantienen los DCC; los modelos derivados para simular se reservan a U4.</w:t>
      </w:r>
      <w:bookmarkEnd w:id="3151"/>
    </w:p>
    <w:p>
      <w:bookmarkStart w:name="b_punto_c16_cap_02_p04" w:id="3152"/>
      <w:r>
        <w:t xml:space="preserve">En sistemas humanos, modelos mentales influyen en estructuras y éstas generan patrones/eventos: los cuatro niveles son interdependientes.</w:t>
      </w:r>
      <w:bookmarkEnd w:id="3152"/>
    </w:p>
    <w:p>
      <w:pPr>
        <w:pStyle w:val="Fuente"/>
      </w:pPr>
      <w:r>
        <w:t xml:space="preserve">Véase </w:t>
      </w:r>
      <w:hyperlink w:history="1" w:anchor="b_senales_examen">
        <w:r>
          <w:rPr>
            <w:color w:val="156B70"/>
            <w:u w:val="single"/>
          </w:rPr>
          <w:t xml:space="preserve">1 indicación(es) de examen de este tramo, en el apéndice cronológico</w:t>
        </w:r>
      </w:hyperlink>
      <w:r>
        <w:t xml:space="preserve">, pág. </w:t>
      </w:r>
      <w:r>
        <w:fldChar w:fldCharType="begin"/>
        <w:instrText xml:space="preserve">PAGEREF b_senales_examen \h</w:instrText>
        <w:fldChar w:fldCharType="separate"/>
        <w:t xml:space="preserve">1663</w:t>
        <w:fldChar w:fldCharType="end"/>
      </w:r>
      <w:r>
        <w:t xml:space="preserve">.</w:t>
      </w:r>
    </w:p>
    <w:p>
      <w:pPr>
        <w:pStyle w:val="Fuente"/>
      </w:pPr>
      <w:r>
        <w:t xml:space="preserve">Véase </w:t>
      </w:r>
      <w:hyperlink w:history="1" w:anchor="b_3_9">
        <w:r>
          <w:rPr>
            <w:color w:val="156B70"/>
            <w:u w:val="single"/>
          </w:rPr>
          <w:t xml:space="preserve">capítulo 3.9 · Hábitos (complejo)</w:t>
        </w:r>
      </w:hyperlink>
      <w:r>
        <w:t xml:space="preserve">, pág. </w:t>
      </w:r>
      <w:r>
        <w:fldChar w:fldCharType="begin"/>
        <w:instrText xml:space="preserve">PAGEREF b_3_9 \h</w:instrText>
        <w:fldChar w:fldCharType="separate"/>
        <w:t xml:space="preserve">622</w:t>
        <w:fldChar w:fldCharType="end"/>
      </w:r>
      <w:r>
        <w:t xml:space="preserve">.</w:t>
      </w:r>
    </w:p>
    <w:p>
      <w:pPr>
        <w:pStyle w:val="Fuente"/>
      </w:pPr>
      <w:r>
        <w:t xml:space="preserve">Véase </w:t>
      </w:r>
      <w:hyperlink w:history="1" w:anchor="b_3_8">
        <w:r>
          <w:rPr>
            <w:color w:val="156B70"/>
            <w:u w:val="single"/>
          </w:rPr>
          <w:t xml:space="preserve">capítulo 3.8 · Patrones y tendencias</w:t>
        </w:r>
      </w:hyperlink>
      <w:r>
        <w:t xml:space="preserve">, pág. </w:t>
      </w:r>
      <w:r>
        <w:fldChar w:fldCharType="begin"/>
        <w:instrText xml:space="preserve">PAGEREF b_3_8 \h</w:instrText>
        <w:fldChar w:fldCharType="separate"/>
        <w:t xml:space="preserve">597</w:t>
        <w:fldChar w:fldCharType="end"/>
      </w:r>
      <w:r>
        <w:t xml:space="preserve">.</w:t>
      </w:r>
    </w:p>
    <w:p>
      <w:pPr>
        <w:pStyle w:val="Heading3"/>
      </w:pPr>
      <w:bookmarkStart w:name="b_clase_3_6_c16_cap_03" w:id="3153"/>
      <w:r>
        <w:t xml:space="preserve">Clase 16 · 00:21:29–00:41:57 · No buscar culpables: el ciclo de la culpa</w:t>
      </w:r>
      <w:bookmarkEnd w:id="3153"/>
    </w:p>
    <w:p>
      <w:bookmarkStart w:name="b_punto_c16_cap_03_p01" w:id="3154"/>
      <w:r>
        <w:t xml:space="preserve">Sancionar una última causa presupone linealidad; quien culpa puede formar parte del mecanismo circular que causa el error.</w:t>
      </w:r>
      <w:bookmarkEnd w:id="3154"/>
    </w:p>
    <w:p>
      <w:bookmarkStart w:name="b_punto_c16_cap_03_p04" w:id="3155"/>
      <w:r>
        <w:t xml:space="preserve">ACME muestra el paso de tendencias a estructura; el tratamiento detallado de apalancamiento se difiere a U4.</w:t>
      </w:r>
      <w:bookmarkEnd w:id="3155"/>
    </w:p>
    <w:p>
      <w:bookmarkStart w:name="b_punto_c16_cap_03_p05" w:id="3156"/>
      <w:r>
        <w:t xml:space="preserve">En organizaciones, la culpa inhibe contribuir a comprender y puede convertirse en una profecía que se cumple.</w:t>
      </w:r>
      <w:bookmarkEnd w:id="3156"/>
    </w:p>
    <w:p>
      <w:bookmarkStart w:name="b_punto_c16_cap_03_p06" w:id="3157"/>
      <w:r>
        <w:t xml:space="preserve">R1: errores→culpables→miedo→encubrimiento→menor información→menor comprensión→menor capacidad de resolver→más errores; dos negativas hacen R.</w:t>
      </w:r>
      <w:bookmarkEnd w:id="3157"/>
    </w:p>
    <w:p>
      <w:bookmarkStart w:name="b_punto_c16_cap_03_p07" w:id="3158"/>
      <w:r>
        <w:t xml:space="preserve">R2 añade miedo→menor toma de riesgos→menor innovación→menor resolución→más errores; reducir culpa facilita información y comprensión.</w:t>
      </w:r>
      <w:bookmarkEnd w:id="3158"/>
    </w:p>
    <w:p>
      <w:bookmarkStart w:name="b_punto_c16_cap_03_p09" w:id="3159"/>
      <w:r>
        <w:t xml:space="preserve">El segundo modelo tieneB1 de alivio culpando, B2 de solución real demorada y un retorno que erosiona la voluntad de compartir y aleja esa solución.</w:t>
      </w:r>
      <w:bookmarkEnd w:id="3159"/>
    </w:p>
    <w:p>
      <w:pPr>
        <w:pStyle w:val="Fuente"/>
      </w:pPr>
      <w:r>
        <w:t xml:space="preserve">Véase </w:t>
      </w:r>
      <w:hyperlink w:history="1" w:anchor="b_3_9">
        <w:r>
          <w:rPr>
            <w:color w:val="156B70"/>
            <w:u w:val="single"/>
          </w:rPr>
          <w:t xml:space="preserve">capítulo 3.9 · Hábitos (complejo)</w:t>
        </w:r>
      </w:hyperlink>
      <w:r>
        <w:t xml:space="preserve">, pág. </w:t>
      </w:r>
      <w:r>
        <w:fldChar w:fldCharType="begin"/>
        <w:instrText xml:space="preserve">PAGEREF b_3_9 \h</w:instrText>
        <w:fldChar w:fldCharType="separate"/>
        <w:t xml:space="preserve">622</w:t>
        <w:fldChar w:fldCharType="end"/>
      </w:r>
      <w:r>
        <w:t xml:space="preserve">.</w:t>
      </w:r>
    </w:p>
    <w:p>
      <w:pPr>
        <w:pStyle w:val="Fuente"/>
      </w:pPr>
      <w:r>
        <w:t xml:space="preserve">Véase </w:t>
      </w:r>
      <w:hyperlink w:history="1" w:anchor="b_3_3">
        <w:r>
          <w:rPr>
            <w:color w:val="156B70"/>
            <w:u w:val="single"/>
          </w:rPr>
          <w:t xml:space="preserve">capítulo 3.3 · Diagramas de ciclos causales</w:t>
        </w:r>
      </w:hyperlink>
      <w:r>
        <w:t xml:space="preserve">, pág. </w:t>
      </w:r>
      <w:r>
        <w:fldChar w:fldCharType="begin"/>
        <w:instrText xml:space="preserve">PAGEREF b_3_3 \h</w:instrText>
        <w:fldChar w:fldCharType="separate"/>
        <w:t xml:space="preserve">443</w:t>
        <w:fldChar w:fldCharType="end"/>
      </w:r>
      <w:r>
        <w:t xml:space="preserve">.</w:t>
      </w:r>
    </w:p>
    <w:p>
      <w:pPr>
        <w:pStyle w:val="Heading3"/>
      </w:pPr>
      <w:bookmarkStart w:name="b_clase_3_6_c16_cap_06" w:id="3160"/>
      <w:r>
        <w:t xml:space="preserve">Clase 16 · 01:02:36–01:06:16 · El modelo presa-depredador</w:t>
      </w:r>
      <w:bookmarkEnd w:id="3160"/>
    </w:p>
    <w:p>
      <w:bookmarkStart w:name="b_punto_c16_cap_06_p01" w:id="3161"/>
      <w:r>
        <w:t xml:space="preserve">Conejos y zorros poseen cada uno nacimientos y muertes: el modelo combina cuatro ciclos locales.</w:t>
      </w:r>
      <w:bookmarkEnd w:id="3161"/>
    </w:p>
    <w:p>
      <w:bookmarkStart w:name="b_punto_c16_cap_06_p04" w:id="3162"/>
      <w:r>
        <w:t xml:space="preserve">Más elementos y relaciones relevantes dan mayor detalle y complejidad para comprender las interacciones.</w:t>
      </w:r>
      <w:bookmarkEnd w:id="3162"/>
    </w:p>
    <w:p>
      <w:pPr>
        <w:pStyle w:val="Fuente"/>
      </w:pPr>
      <w:r>
        <w:t xml:space="preserve">Véase </w:t>
      </w:r>
      <w:hyperlink w:history="1" w:anchor="b_3_8">
        <w:r>
          <w:rPr>
            <w:color w:val="156B70"/>
            <w:u w:val="single"/>
          </w:rPr>
          <w:t xml:space="preserve">capítulo 3.8 · Patrones y tendencias</w:t>
        </w:r>
      </w:hyperlink>
      <w:r>
        <w:t xml:space="preserve">, pág. </w:t>
      </w:r>
      <w:r>
        <w:fldChar w:fldCharType="begin"/>
        <w:instrText xml:space="preserve">PAGEREF b_3_8 \h</w:instrText>
        <w:fldChar w:fldCharType="separate"/>
        <w:t xml:space="preserve">597</w:t>
        <w:fldChar w:fldCharType="end"/>
      </w:r>
      <w:r>
        <w:t xml:space="preserve">.</w:t>
      </w:r>
    </w:p>
    <w:p>
      <w:pPr>
        <w:pStyle w:val="Fuente"/>
      </w:pPr>
      <w:r>
        <w:t xml:space="preserve">Véase </w:t>
      </w:r>
      <w:hyperlink w:history="1" w:anchor="b_3_7">
        <w:r>
          <w:rPr>
            <w:color w:val="156B70"/>
            <w:u w:val="single"/>
          </w:rPr>
          <w:t xml:space="preserve">capítulo 3.7 · Demoras de tiempo</w:t>
        </w:r>
      </w:hyperlink>
      <w:r>
        <w:t xml:space="preserve">, pág. </w:t>
      </w:r>
      <w:r>
        <w:fldChar w:fldCharType="begin"/>
        <w:instrText xml:space="preserve">PAGEREF b_3_7 \h</w:instrText>
        <w:fldChar w:fldCharType="separate"/>
        <w:t xml:space="preserve">580</w:t>
        <w:fldChar w:fldCharType="end"/>
      </w:r>
      <w:r>
        <w:t xml:space="preserve">.</w:t>
      </w:r>
    </w:p>
    <w:p>
      <w:pPr>
        <w:pStyle w:val="Heading3"/>
      </w:pPr>
      <w:bookmarkStart w:name="b_cita_clase_15_las_estructuras_c071a387" w:id="3163"/>
      <w:r>
        <w:t xml:space="preserve">Palabras del profesor</w:t>
      </w:r>
      <w:bookmarkEnd w:id="3163"/>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El profesor lo dijo así</w:t>
            </w:r>
          </w:p>
          <w:p>
            <w:pPr>
              <w:pStyle w:val="Recuadro"/>
            </w:pPr>
            <w:r>
              <w:t xml:space="preserve">«Los comportamientos dependen de las estructuras, y las estructuras sistémicas generan esos comportamientos emergentes.»</w:t>
            </w:r>
          </w:p>
          <w:p>
            <w:pPr>
              <w:pStyle w:val="Recuadro"/>
            </w:pPr>
            <w:r>
              <w:t xml:space="preserve">Clase 15 · 00:54:16–00:54:43</w:t>
            </w:r>
          </w:p>
        </w:tc>
      </w:tr>
    </w:tbl>
    <w:p>
      <w:pPr>
        <w:pStyle w:val="Heading3"/>
      </w:pPr>
      <w:bookmarkStart w:name="b_cita_clase_15_reduccionismo_b_58d40843" w:id="3164"/>
      <w:r>
        <w:t xml:space="preserve">Palabras del profesor</w:t>
      </w:r>
      <w:bookmarkEnd w:id="3164"/>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El profesor lo dijo así</w:t>
            </w:r>
          </w:p>
          <w:p>
            <w:pPr>
              <w:pStyle w:val="Recuadro"/>
            </w:pPr>
            <w:r>
              <w:t xml:space="preserve">«Lo que típicamente hace el pensamiento reduccionista, un pensamiento no sistémico, es que al encontrar algún comportamiento busque linealmente su causa.»</w:t>
            </w:r>
          </w:p>
          <w:p>
            <w:pPr>
              <w:pStyle w:val="Recuadro"/>
            </w:pPr>
            <w:r>
              <w:t xml:space="preserve">Clase 15 · 00:31:40–00:32:13</w:t>
            </w:r>
          </w:p>
        </w:tc>
      </w:tr>
    </w:tbl>
    <w:p>
      <w:pPr>
        <w:pStyle w:val="Heading3"/>
      </w:pPr>
      <w:bookmarkStart w:name="b_cita_clase_16_no_buscar_culpables" w:id="3165"/>
      <w:r>
        <w:t xml:space="preserve">Palabras del profesor</w:t>
      </w:r>
      <w:bookmarkEnd w:id="3165"/>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El profesor lo dijo así</w:t>
            </w:r>
          </w:p>
          <w:p>
            <w:pPr>
              <w:pStyle w:val="Recuadro"/>
            </w:pPr>
            <w:r>
              <w:t xml:space="preserve">«Un pensador sistémico, cuando comprende que la estructura sistémica genera el comportamiento de los sistemas, sabe distinguir que su objetivo no es buscar culpables.»</w:t>
            </w:r>
          </w:p>
          <w:p>
            <w:pPr>
              <w:pStyle w:val="Recuadro"/>
            </w:pPr>
            <w:r>
              <w:t xml:space="preserve">Clase 16 · 00:21:29–00:21:55</w:t>
            </w:r>
          </w:p>
        </w:tc>
      </w:tr>
    </w:tbl>
    <w:p>
      <w:pPr>
        <w:pStyle w:val="Fuente"/>
      </w:pPr>
      <w:r>
        <w:t xml:space="preserve">Véase </w:t>
      </w:r>
      <w:hyperlink w:history="1" w:anchor="b_cita_clase_16_multiples_ciclo_75fbeb17">
        <w:r>
          <w:rPr>
            <w:color w:val="156B70"/>
            <w:u w:val="single"/>
          </w:rPr>
          <w:t xml:space="preserve">cita de Clase 16 · 01:02:36</w:t>
        </w:r>
      </w:hyperlink>
      <w:r>
        <w:t xml:space="preserve">, pág. </w:t>
      </w:r>
      <w:r>
        <w:fldChar w:fldCharType="begin"/>
        <w:instrText xml:space="preserve">PAGEREF b_cita_clase_16_multiples_ciclo_75fbeb17 \h</w:instrText>
        <w:fldChar w:fldCharType="separate"/>
        <w:t xml:space="preserve">492</w:t>
        <w:fldChar w:fldCharType="end"/>
      </w:r>
      <w:r>
        <w:t xml:space="preserve">.</w:t>
      </w:r>
    </w:p>
    <w:p>
      <w:pPr>
        <w:pStyle w:val="Heading3"/>
      </w:pPr>
      <w:bookmarkStart w:name="b_cita_clase_15_ciclo_siempre_r_5ab9338b" w:id="3166"/>
      <w:r>
        <w:t xml:space="preserve">Palabras del profesor</w:t>
      </w:r>
      <w:bookmarkEnd w:id="3166"/>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El profesor lo dijo así</w:t>
            </w:r>
          </w:p>
          <w:p>
            <w:pPr>
              <w:pStyle w:val="Recuadro"/>
            </w:pPr>
            <w:r>
              <w:t xml:space="preserve">«Ciclo siempre será aquel que, partiendo de una variable y recorriendo relaciones causales hacia otras variables, en algún momento vuelva a regresar a esa variable. Si es ciclo, siempre regresará. No importa en qué variable empecemos.»</w:t>
            </w:r>
          </w:p>
          <w:p>
            <w:pPr>
              <w:pStyle w:val="Recuadro"/>
            </w:pPr>
            <w:r>
              <w:t xml:space="preserve">Clase 15 · 01:07:02–01:07:21</w:t>
            </w:r>
          </w:p>
        </w:tc>
      </w:tr>
    </w:tbl>
    <w:p>
      <w:pPr>
        <w:pStyle w:val="Heading3"/>
      </w:pPr>
      <w:bookmarkStart w:name="b_cita_clase_15_sin_modelo_de_r_ad81243a" w:id="3167"/>
      <w:r>
        <w:t xml:space="preserve">Palabras del profesor</w:t>
      </w:r>
      <w:bookmarkEnd w:id="3167"/>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El profesor lo dijo así</w:t>
            </w:r>
          </w:p>
          <w:p>
            <w:pPr>
              <w:pStyle w:val="Recuadro"/>
            </w:pPr>
            <w:r>
              <w:t xml:space="preserve">«Si yo lo estoy modelando y solo llevo cinco identificados, sé que me faltan cinco, pero ahí lo sé porque ya tengo una referencia. El problema de los sistemas reales complejos es que esa referencia no existe.»</w:t>
            </w:r>
          </w:p>
          <w:p>
            <w:pPr>
              <w:pStyle w:val="Recuadro"/>
            </w:pPr>
            <w:r>
              <w:t xml:space="preserve">Clase 15 · 01:31:28–01:31:47</w:t>
            </w:r>
          </w:p>
        </w:tc>
      </w:tr>
    </w:tbl>
    <w:p>
      <w:pPr>
        <w:pStyle w:val="Heading3"/>
      </w:pPr>
      <w:bookmarkStart w:name="b_cita_clase_16_zorros_y_conejo_d5368119" w:id="3168"/>
      <w:r>
        <w:t xml:space="preserve">Palabras del profesor</w:t>
      </w:r>
      <w:bookmarkEnd w:id="3168"/>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El profesor lo dijo así</w:t>
            </w:r>
          </w:p>
          <w:p>
            <w:pPr>
              <w:pStyle w:val="Recuadro"/>
            </w:pPr>
            <w:r>
              <w:t xml:space="preserve">«Nosotros pensaríamos que tantos zorros pueden comerse todos los conejos y los conejos se van a acabar y no van a existir, pero sería una perspectiva lineal, una perspectiva incompleta, reduccionista de la historia completa.»</w:t>
            </w:r>
          </w:p>
          <w:p>
            <w:pPr>
              <w:pStyle w:val="Recuadro"/>
            </w:pPr>
            <w:r>
              <w:t xml:space="preserve">Clase 16 · 01:04:18–01:04:40</w:t>
            </w:r>
          </w:p>
        </w:tc>
      </w:tr>
    </w:tbl>
    <w:p>
      <w:pPr>
        <w:pStyle w:val="Heading3"/>
      </w:pPr>
      <w:bookmarkStart w:name="b_cita_clase_12_variable_tiempo_622fccd7" w:id="3169"/>
      <w:r>
        <w:t xml:space="preserve">Palabras del profesor</w:t>
      </w:r>
      <w:bookmarkEnd w:id="3169"/>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El profesor lo dijo así</w:t>
            </w:r>
          </w:p>
          <w:p>
            <w:pPr>
              <w:pStyle w:val="Recuadro"/>
            </w:pPr>
            <w:r>
              <w:t xml:space="preserve">«En primer lugar, la variable de tiempo es un determinante. Si no podemos ver un sistema a lo largo de todo su tiempo de evolución o de desarrollo, difícilmente vamos a comprender toda su dinámica, toda su estructura.»</w:t>
            </w:r>
          </w:p>
          <w:p>
            <w:pPr>
              <w:pStyle w:val="Recuadro"/>
            </w:pPr>
            <w:r>
              <w:t xml:space="preserve">Clase 12 · 01:22:16–01:22:35</w:t>
            </w:r>
          </w:p>
        </w:tc>
      </w:tr>
    </w:tbl>
    <w:p>
      <w:pPr>
        <w:pStyle w:val="Heading3"/>
      </w:pPr>
      <w:r>
        <w:t xml:space="preserve">Errores frecuentes y trampa de examen</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9C620A" w:sz="20"/>
              <w:bottom w:val="nil"/>
              <w:right w:val="nil"/>
            </w:tcBorders>
            <w:shd w:fill="FBF3DF" w:val="clear"/>
            <w:tcMar>
              <w:top w:type="dxa" w:w="130"/>
              <w:left w:type="dxa" w:w="180"/>
              <w:bottom w:type="dxa" w:w="130"/>
              <w:right w:type="dxa" w:w="180"/>
            </w:tcMar>
          </w:tcPr>
          <w:p>
            <w:pPr>
              <w:pStyle w:val="RecuadroTitulo"/>
            </w:pPr>
            <w:r>
              <w:rPr>
                <w:b/>
                <w:bCs/>
                <w:color w:val="9C620A"/>
              </w:rPr>
              <w:t xml:space="preserve">Error → corrección</w:t>
            </w:r>
          </w:p>
          <w:p>
            <w:pPr>
              <w:pStyle w:val="Recuadro"/>
            </w:pPr>
            <w:r>
              <w:rPr>
                <w:b/>
                <w:bCs/>
              </w:rPr>
              <w:t xml:space="preserve">Error:</w:t>
            </w:r>
            <w:r>
              <w:t xml:space="preserve"> Buscar al culpable y eliminarlo para reducir los errores.</w:t>
            </w:r>
          </w:p>
          <w:p>
            <w:pPr>
              <w:pStyle w:val="Recuadro"/>
            </w:pPr>
            <w:r>
              <w:rPr>
                <w:b/>
                <w:bCs/>
              </w:rPr>
              <w:t xml:space="preserve">Corrección:</w:t>
            </w:r>
            <w:r>
              <w:t xml:space="preserve"> Supone una causa lineal; en el ciclo de la culpa produce más errores. Hay que enfocarse en la estructura.</w:t>
            </w:r>
          </w:p>
          <w:p>
            <w:pPr>
              <w:pStyle w:val="Recuadro"/>
            </w:pPr>
            <w:r>
              <w:t xml:space="preserve">Clase 15 · 00:31:40–00:34:46 · Clase 16 · 00:34:37–00:35:01 · Clase 16 · 00:36:49–00:37:08</w:t>
            </w:r>
          </w:p>
        </w:tc>
      </w:tr>
    </w:tbl>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9C620A" w:sz="20"/>
              <w:bottom w:val="nil"/>
              <w:right w:val="nil"/>
            </w:tcBorders>
            <w:shd w:fill="FBF3DF" w:val="clear"/>
            <w:tcMar>
              <w:top w:type="dxa" w:w="130"/>
              <w:left w:type="dxa" w:w="180"/>
              <w:bottom w:type="dxa" w:w="130"/>
              <w:right w:type="dxa" w:w="180"/>
            </w:tcMar>
          </w:tcPr>
          <w:p>
            <w:pPr>
              <w:pStyle w:val="RecuadroTitulo"/>
            </w:pPr>
            <w:r>
              <w:rPr>
                <w:b/>
                <w:bCs/>
                <w:color w:val="9C620A"/>
              </w:rPr>
              <w:t xml:space="preserve">Error → corrección</w:t>
            </w:r>
          </w:p>
          <w:p>
            <w:pPr>
              <w:pStyle w:val="Recuadro"/>
            </w:pPr>
            <w:r>
              <w:rPr>
                <w:b/>
                <w:bCs/>
              </w:rPr>
              <w:t xml:space="preserve">Error:</w:t>
            </w:r>
            <w:r>
              <w:t xml:space="preserve"> Diseñar primero la estructura, o desde la perspectiva del programador.</w:t>
            </w:r>
          </w:p>
          <w:p>
            <w:pPr>
              <w:pStyle w:val="Recuadro"/>
            </w:pPr>
            <w:r>
              <w:rPr>
                <w:b/>
                <w:bCs/>
              </w:rPr>
              <w:t xml:space="preserve">Corrección:</w:t>
            </w:r>
            <w:r>
              <w:t xml:space="preserve"> Se va del comportamiento emergente deseado, los requisitos, hacia la estructura; manda la perspectiva del usuario.</w:t>
            </w:r>
          </w:p>
          <w:p>
            <w:pPr>
              <w:pStyle w:val="Recuadro"/>
            </w:pPr>
            <w:r>
              <w:t xml:space="preserve">Clase 15 · 00:48:38–00:51:06</w:t>
            </w:r>
          </w:p>
        </w:tc>
      </w:tr>
    </w:tbl>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9C620A" w:sz="20"/>
              <w:bottom w:val="nil"/>
              <w:right w:val="nil"/>
            </w:tcBorders>
            <w:shd w:fill="FBF3DF" w:val="clear"/>
            <w:tcMar>
              <w:top w:type="dxa" w:w="130"/>
              <w:left w:type="dxa" w:w="180"/>
              <w:bottom w:type="dxa" w:w="130"/>
              <w:right w:type="dxa" w:w="180"/>
            </w:tcMar>
          </w:tcPr>
          <w:p>
            <w:pPr>
              <w:pStyle w:val="RecuadroTitulo"/>
            </w:pPr>
            <w:r>
              <w:rPr>
                <w:b/>
                <w:bCs/>
                <w:color w:val="9C620A"/>
              </w:rPr>
              <w:t xml:space="preserve">Error → corrección</w:t>
            </w:r>
          </w:p>
          <w:p>
            <w:pPr>
              <w:pStyle w:val="Recuadro"/>
            </w:pPr>
            <w:r>
              <w:rPr>
                <w:b/>
                <w:bCs/>
              </w:rPr>
              <w:t xml:space="preserve">Error:</w:t>
            </w:r>
            <w:r>
              <w:t xml:space="preserve"> Rotular ciclos solapados donde quepan.</w:t>
            </w:r>
          </w:p>
          <w:p>
            <w:pPr>
              <w:pStyle w:val="Recuadro"/>
            </w:pPr>
            <w:r>
              <w:rPr>
                <w:b/>
                <w:bCs/>
              </w:rPr>
              <w:t xml:space="preserve">Corrección:</w:t>
            </w:r>
            <w:r>
              <w:t xml:space="preserve"> Genera ambigüedad: los ciclos se separan o se alargan las relaciones.</w:t>
            </w:r>
          </w:p>
          <w:p>
            <w:pPr>
              <w:pStyle w:val="Recuadro"/>
            </w:pPr>
            <w:r>
              <w:t xml:space="preserve">Clase 15 · 01:14:14–01:24:11</w:t>
            </w:r>
          </w:p>
        </w:tc>
      </w:tr>
    </w:tbl>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9C620A" w:sz="20"/>
              <w:bottom w:val="nil"/>
              <w:right w:val="nil"/>
            </w:tcBorders>
            <w:shd w:fill="FBF3DF" w:val="clear"/>
            <w:tcMar>
              <w:top w:type="dxa" w:w="130"/>
              <w:left w:type="dxa" w:w="180"/>
              <w:bottom w:type="dxa" w:w="130"/>
              <w:right w:type="dxa" w:w="180"/>
            </w:tcMar>
          </w:tcPr>
          <w:p>
            <w:pPr>
              <w:pStyle w:val="RecuadroTitulo"/>
            </w:pPr>
            <w:r>
              <w:rPr>
                <w:b/>
                <w:bCs/>
                <w:color w:val="9C620A"/>
              </w:rPr>
              <w:t xml:space="preserve">Error → corrección</w:t>
            </w:r>
          </w:p>
          <w:p>
            <w:pPr>
              <w:pStyle w:val="Recuadro"/>
            </w:pPr>
            <w:r>
              <w:rPr>
                <w:b/>
                <w:bCs/>
              </w:rPr>
              <w:t xml:space="preserve">Error:</w:t>
            </w:r>
            <w:r>
              <w:t xml:space="preserve"> Dar por completo el modelo de un sistema real complejo.</w:t>
            </w:r>
          </w:p>
          <w:p>
            <w:pPr>
              <w:pStyle w:val="Recuadro"/>
            </w:pPr>
            <w:r>
              <w:rPr>
                <w:b/>
                <w:bCs/>
              </w:rPr>
              <w:t xml:space="preserve">Corrección:</w:t>
            </w:r>
            <w:r>
              <w:t xml:space="preserve"> Ningún modelo llega al 100 %: en los sistemas reales complejos no existe un modelo de referencia que diga cuántos ciclos faltan.</w:t>
            </w:r>
          </w:p>
          <w:p>
            <w:pPr>
              <w:pStyle w:val="Recuadro"/>
            </w:pPr>
            <w:r>
              <w:t xml:space="preserve">Clase 15 · 01:31:08–01:32:06 · Clase 15 · 01:32:36–01:32:57</w:t>
            </w:r>
          </w:p>
        </w:tc>
      </w:tr>
    </w:tbl>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9C620A" w:sz="20"/>
              <w:bottom w:val="nil"/>
              <w:right w:val="nil"/>
            </w:tcBorders>
            <w:shd w:fill="FBF3DF" w:val="clear"/>
            <w:tcMar>
              <w:top w:type="dxa" w:w="130"/>
              <w:left w:type="dxa" w:w="180"/>
              <w:bottom w:type="dxa" w:w="130"/>
              <w:right w:type="dxa" w:w="180"/>
            </w:tcMar>
          </w:tcPr>
          <w:p>
            <w:pPr>
              <w:pStyle w:val="RecuadroTitulo"/>
            </w:pPr>
            <w:r>
              <w:rPr>
                <w:b/>
                <w:bCs/>
                <w:color w:val="9C620A"/>
              </w:rPr>
              <w:t xml:space="preserve">Trampa de examen</w:t>
            </w:r>
          </w:p>
          <w:p>
            <w:pPr>
              <w:pStyle w:val="Recuadro"/>
            </w:pPr>
            <w:r>
              <w:t xml:space="preserve">Creer que un ciclo con relaciones negativas es de compensación: cada ciclo se clasifica por las negativas de su propio recorrido. El ciclo de la culpa R1 tiene dos negativas y es de refuerzo; por eso buscar culpables multiplica los errores en lugar de reducirlos.</w:t>
            </w:r>
          </w:p>
        </w:tc>
      </w:tr>
    </w:tbl>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Ampliación: lo no dictado en clase</w:t>
            </w:r>
          </w:p>
          <w:p>
            <w:pPr>
              <w:pStyle w:val="Recuadro"/>
            </w:pPr>
            <w:r>
              <w:t xml:space="preserve">La clase no desarrolló los diagramas de acopio y flujo que traen las lecturas (Echeverri y Franco, con Sterman y Senge) ni detalló los cuatro ciclos del caso de Ana ampliado más allá de la demora que reduce la productividad. Difirió a la unidad 4 la simulación del modelo presa-depredador, el arquetipo del modelo 2 y los puntos de apalancamiento. La historia progresiva completa del comedero y los recorridos por zonas de frutas son lecturas de C-2, págs. 55–73 y 92. Clase 14 anunció que no contaría toda la historia y clase 15 usó frutas para contar ciclos.</w:t>
            </w:r>
          </w:p>
        </w:tc>
      </w:tr>
    </w:tbl>
    <w:p>
      <w:pPr>
        <w:pStyle w:val="Heading3"/>
      </w:pPr>
      <w:r>
        <w:t xml:space="preserve">Lecturas y tareas del curso</w:t>
      </w:r>
    </w:p>
    <w:p>
      <w:pPr>
        <w:pStyle w:val="Normal"/>
      </w:pPr>
      <w:r>
        <w:t xml:space="preserve">L-14 · El modelado: tipos y clasificaciones — UNAD, Dinámica de sistemas (capítulo 2). Lecciones 6 a 10 del curso de Dinámica de sistemas de la UNAD: la idea de modelo, el modelo para representar o para ser representado, y la clasificación del modelado según su uso y según su proceso.</w:t>
      </w:r>
    </w:p>
    <w:p>
      <w:pPr>
        <w:pStyle w:val="Normal"/>
      </w:pPr>
      <w:r>
        <w:t xml:space="preserve">L-15 · Dinámica de sistemas — Javier Aracil (ISDEFE). Monografía de la serie de ingeniería de sistemas de ISDEFE: el diagrama de influencias, los bucles de realimentación negativa y positiva, los retrasos y las estructuras genéricas; cómo la estructura genera el comportamiento; y la construcción, análisis y explotación de modelos. Los capítulos 2 y 3 acompañan la Unidad 3; el 4 anticipa la Unidad 4.</w:t>
      </w:r>
    </w:p>
    <w:p>
      <w:pPr>
        <w:pStyle w:val="Normal"/>
      </w:pPr>
      <w:r>
        <w:t xml:space="preserve">C-2 · Unidad 3 · Desarrollo del pensamiento sistémico complejo (presentación). La presentación completa de la Unidad 3 tal como la compartió el profesor: 129 páginas con las reglas simples del pensamiento sistémico, los mapas DSRP, los diagramas de ciclos causales, la polaridad y los tipos de ciclo, las demoras, los patrones de comportamiento y los ejercicios trabajados en clase. Complementa las 128 láminas capturadas durante las sesiones.</w:t>
      </w:r>
    </w:p>
    <w:p>
      <w:pPr>
        <w:pStyle w:val="Normal"/>
      </w:pPr>
      <w:r>
        <w:t xml:space="preserve">Tareas relacionadas: T-12. Consulte su procedencia en la bibliografía.</w:t>
      </w:r>
    </w:p>
    <w:p>
      <w:pPr>
        <w:pStyle w:val="Heading3"/>
      </w:pPr>
      <w:r>
        <w:t xml:space="preserve">Práctica de los laboratorios</w:t>
      </w:r>
    </w:p>
    <w:p>
      <w:pPr>
        <w:pStyle w:val="Normal"/>
      </w:pPr>
      <w:r>
        <w:t xml:space="preserve">Los procedimientos del capítulo permiten reconstruir en papel la práctica interactiva. Los laboratorios originales permanecen disponibles en la lección del portal.</w:t>
      </w:r>
    </w:p>
    <w:p>
      <w:pPr>
        <w:pStyle w:val="Normal"/>
        <w:numPr>
          <w:ilvl w:val="0"/>
          <w:numId w:val="2"/>
        </w:numPr>
      </w:pPr>
      <w:r>
        <w:t xml:space="preserve">Cambiar la estructura y ver cambiar el comportamiento</w:t>
      </w:r>
    </w:p>
    <w:p>
      <w:pPr>
        <w:pStyle w:val="Normal"/>
        <w:numPr>
          <w:ilvl w:val="0"/>
          <w:numId w:val="2"/>
        </w:numPr>
      </w:pPr>
      <w:r>
        <w:t xml:space="preserve">Ciclos de clase: software, Ana y autopistas</w:t>
      </w:r>
    </w:p>
    <w:p>
      <w:pPr>
        <w:pStyle w:val="Heading3"/>
      </w:pPr>
      <w:r>
        <w:t xml:space="preserve">Autoevaluación</w:t>
      </w:r>
    </w:p>
    <w:p>
      <w:pPr>
        <w:pStyle w:val="Normal"/>
      </w:pPr>
      <w:r>
        <w:t xml:space="preserve">Resuelva sin consultar las respuestas. Compruebe al final del capítulo por qué cada opción es correcta o incorrecta.</w:t>
      </w:r>
    </w:p>
    <w:p>
      <w:pPr>
        <w:pStyle w:val="Heading3"/>
      </w:pPr>
      <w:bookmarkStart w:name="b_pregunta_auto_3_6_1" w:id="3170"/>
      <w:r>
        <w:t xml:space="preserve">3.6-A1 · ¿Qué recorrido cierra la intención inicial del comedero?</w:t>
      </w:r>
      <w:bookmarkEnd w:id="3170"/>
    </w:p>
    <w:p>
      <w:pPr>
        <w:pStyle w:val="Normal"/>
      </w:pPr>
      <w:r>
        <w:t xml:space="preserve">a) Mañana agradable → comedero → pájaros → mañana agradable</w:t>
      </w:r>
    </w:p>
    <w:p>
      <w:pPr>
        <w:pStyle w:val="Normal"/>
      </w:pPr>
      <w:r>
        <w:t xml:space="preserve">b) Comedero → pájaros sin ningún retorno</w:t>
      </w:r>
    </w:p>
    <w:p>
      <w:pPr>
        <w:pStyle w:val="Normal"/>
      </w:pPr>
      <w:r>
        <w:t xml:space="preserve">c) Compra → gasto → frustración, sin relación con la mañana</w:t>
      </w:r>
    </w:p>
    <w:p>
      <w:pPr>
        <w:pStyle w:val="Normal"/>
      </w:pPr>
      <w:r>
        <w:t xml:space="preserve">d) Roedores → luz → caudal → roedores</w:t>
      </w:r>
    </w:p>
    <w:p>
      <w:pPr>
        <w:pStyle w:val="Heading3"/>
      </w:pPr>
      <w:bookmarkStart w:name="b_pregunta_auto_3_6_2" w:id="3171"/>
      <w:r>
        <w:t xml:space="preserve">3.6-A2 · ¿Qué añade el atractivo del jardín a la historia del comedero?</w:t>
      </w:r>
      <w:bookmarkEnd w:id="3171"/>
    </w:p>
    <w:p>
      <w:pPr>
        <w:pStyle w:val="Normal"/>
      </w:pPr>
      <w:r>
        <w:t xml:space="preserve">a) Reduce necesariamente los pájaros y no afecta la mañana</w:t>
      </w:r>
    </w:p>
    <w:p>
      <w:pPr>
        <w:pStyle w:val="Normal"/>
      </w:pPr>
      <w:r>
        <w:t xml:space="preserve">b) Los pájaros lo aumentan, éste atrae más pájaros y también mejora la mañana</w:t>
      </w:r>
    </w:p>
    <w:p>
      <w:pPr>
        <w:pStyle w:val="Normal"/>
      </w:pPr>
      <w:r>
        <w:t xml:space="preserve">c) Es un nodo aislado sin influencias</w:t>
      </w:r>
    </w:p>
    <w:p>
      <w:pPr>
        <w:pStyle w:val="Normal"/>
      </w:pPr>
      <w:r>
        <w:t xml:space="preserve">d) Sustituye por completo a la necesidad de alimento</w:t>
      </w:r>
    </w:p>
    <w:p>
      <w:pPr>
        <w:pStyle w:val="Heading3"/>
      </w:pPr>
      <w:bookmarkStart w:name="b_pregunta_auto_3_6_3" w:id="3172"/>
      <w:r>
        <w:t xml:space="preserve">3.6-A3 · Si agrado y frustración se inhiben mutuamente, ¿qué expresa el recorrido de dos negativas?</w:t>
      </w:r>
      <w:bookmarkEnd w:id="3172"/>
    </w:p>
    <w:p>
      <w:pPr>
        <w:pStyle w:val="Normal"/>
      </w:pPr>
      <w:r>
        <w:t xml:space="preserve">a) Un balance sólo porque aparece una relación negativa</w:t>
      </w:r>
    </w:p>
    <w:p>
      <w:pPr>
        <w:pStyle w:val="Normal"/>
      </w:pPr>
      <w:r>
        <w:t xml:space="preserve">b) Una cadena abierta sin retorno</w:t>
      </w:r>
    </w:p>
    <w:p>
      <w:pPr>
        <w:pStyle w:val="Normal"/>
      </w:pPr>
      <w:r>
        <w:t xml:space="preserve">c) Un refuerzo: más frustración reduce agrado, lo que deja menos ayuda para reducir frustración</w:t>
      </w:r>
    </w:p>
    <w:p>
      <w:pPr>
        <w:pStyle w:val="Normal"/>
      </w:pPr>
      <w:r>
        <w:t xml:space="preserve">d) Dos variables que siempre aumentan juntas</w:t>
      </w:r>
    </w:p>
    <w:p>
      <w:pPr>
        <w:pStyle w:val="Heading3"/>
      </w:pPr>
      <w:bookmarkStart w:name="b_pregunta_auto_3_6_4" w:id="3173"/>
      <w:r>
        <w:t xml:space="preserve">3.6-A4 · ¿Qué ruta explica por qué atraer más aves puede aumentar la frustración?</w:t>
      </w:r>
      <w:bookmarkEnd w:id="3173"/>
    </w:p>
    <w:p>
      <w:pPr>
        <w:pStyle w:val="Normal"/>
      </w:pPr>
      <w:r>
        <w:t xml:space="preserve">a) Más aves elimina toda compra de alimento</w:t>
      </w:r>
    </w:p>
    <w:p>
      <w:pPr>
        <w:pStyle w:val="Normal"/>
      </w:pPr>
      <w:r>
        <w:t xml:space="preserve">b) La frustración sólo existe si desaparece el comedero</w:t>
      </w:r>
    </w:p>
    <w:p>
      <w:pPr>
        <w:pStyle w:val="Normal"/>
      </w:pPr>
      <w:r>
        <w:t xml:space="preserve">c) El gasto es ajeno a cualquier resultado de la intervención</w:t>
      </w:r>
    </w:p>
    <w:p>
      <w:pPr>
        <w:pStyle w:val="Normal"/>
      </w:pPr>
      <w:r>
        <w:t xml:space="preserve">d) Más aves → más alimento por comprar → gasto imprevisto → frustración; importa estimar cantidad y costo</w:t>
      </w:r>
    </w:p>
    <w:p>
      <w:pPr>
        <w:pStyle w:val="Heading3"/>
      </w:pPr>
      <w:bookmarkStart w:name="b_pregunta_auto_3_6_5" w:id="3174"/>
      <w:r>
        <w:t xml:space="preserve">3.6-A5 · ¿Cómo vuelve el derrame de alimento sobre el resultado buscado?</w:t>
      </w:r>
      <w:bookmarkEnd w:id="3174"/>
    </w:p>
    <w:p>
      <w:pPr>
        <w:pStyle w:val="Normal"/>
      </w:pPr>
      <w:r>
        <w:t xml:space="preserve">a) Más aves producen derrame; reponer alimento aumenta compras y frustración, reduciendo el agrado de la mañana</w:t>
      </w:r>
    </w:p>
    <w:p>
      <w:pPr>
        <w:pStyle w:val="Normal"/>
      </w:pPr>
      <w:r>
        <w:t xml:space="preserve">b) El derrame siempre reduce la compra y aumenta agrado</w:t>
      </w:r>
    </w:p>
    <w:p>
      <w:pPr>
        <w:pStyle w:val="Normal"/>
      </w:pPr>
      <w:r>
        <w:t xml:space="preserve">c) El derrame carece de conexión con las aves</w:t>
      </w:r>
    </w:p>
    <w:p>
      <w:pPr>
        <w:pStyle w:val="Normal"/>
      </w:pPr>
      <w:r>
        <w:t xml:space="preserve">d) El derrame mide una perspectiva de la OMS</w:t>
      </w:r>
    </w:p>
    <w:p>
      <w:pPr>
        <w:pStyle w:val="Heading3"/>
      </w:pPr>
      <w:bookmarkStart w:name="b_pregunta_auto_3_6_6" w:id="3175"/>
      <w:r>
        <w:t xml:space="preserve">3.6-A6 · ¿Qué dos mecanismos de las ardillas aumentan las compras de alimento?</w:t>
      </w:r>
      <w:bookmarkEnd w:id="3175"/>
    </w:p>
    <w:p>
      <w:pPr>
        <w:pStyle w:val="Normal"/>
      </w:pPr>
      <w:r>
        <w:t xml:space="preserve">a) Reducen a cero consumo y derrame</w:t>
      </w:r>
    </w:p>
    <w:p>
      <w:pPr>
        <w:pStyle w:val="Normal"/>
      </w:pPr>
      <w:r>
        <w:t xml:space="preserve">b) Consumen alimento y provocan derrame; además pueden desplazar aves, con valoración dependiente del observador</w:t>
      </w:r>
    </w:p>
    <w:p>
      <w:pPr>
        <w:pStyle w:val="Normal"/>
      </w:pPr>
      <w:r>
        <w:t xml:space="preserve">c) Sólo mejoran el agrado para todo observador sin excepción</w:t>
      </w:r>
    </w:p>
    <w:p>
      <w:pPr>
        <w:pStyle w:val="Normal"/>
      </w:pPr>
      <w:r>
        <w:t xml:space="preserve">d) Sólo cambian el color de los pájaros</w:t>
      </w:r>
    </w:p>
    <w:p>
      <w:pPr>
        <w:pStyle w:val="Heading3"/>
      </w:pPr>
      <w:bookmarkStart w:name="b_pregunta_auto_3_6_7" w:id="3176"/>
      <w:r>
        <w:t xml:space="preserve">3.6-A7 · ¿Qué cadenas secundarias elevan frustración en el mapa completo del comedero?</w:t>
      </w:r>
      <w:bookmarkEnd w:id="3176"/>
    </w:p>
    <w:p>
      <w:pPr>
        <w:pStyle w:val="Normal"/>
      </w:pPr>
      <w:r>
        <w:t xml:space="preserve">a) Derrame → menos roedores y ausencia de vegetación</w:t>
      </w:r>
    </w:p>
    <w:p>
      <w:pPr>
        <w:pStyle w:val="Normal"/>
      </w:pPr>
      <w:r>
        <w:t xml:space="preserve">b) Pájaros → desaparición de todo desecho</w:t>
      </w:r>
    </w:p>
    <w:p>
      <w:pPr>
        <w:pStyle w:val="Normal"/>
      </w:pPr>
      <w:r>
        <w:t xml:space="preserve">c) Derrame → roedores; derrame → crecimiento antiestético; pájaros → desechos de aves</w:t>
      </w:r>
    </w:p>
    <w:p>
      <w:pPr>
        <w:pStyle w:val="Normal"/>
      </w:pPr>
      <w:r>
        <w:t xml:space="preserve">d) Frustración → menor gasto sin mediaciones</w:t>
      </w:r>
    </w:p>
    <w:p>
      <w:pPr>
        <w:pStyle w:val="Heading3"/>
      </w:pPr>
      <w:bookmarkStart w:name="b_pregunta_auto_3_6_8" w:id="3177"/>
      <w:r>
        <w:t xml:space="preserve">3.6-A8 · ¿Por qué cocinas comercial y familiar pueden tener distinta disposición aunque ambas preparen alimentos?</w:t>
      </w:r>
      <w:bookmarkEnd w:id="3177"/>
    </w:p>
    <w:p>
      <w:pPr>
        <w:pStyle w:val="Normal"/>
      </w:pPr>
      <w:r>
        <w:t xml:space="preserve">a) Porque la estructura nunca influye en la preparación</w:t>
      </w:r>
    </w:p>
    <w:p>
      <w:pPr>
        <w:pStyle w:val="Normal"/>
      </w:pPr>
      <w:r>
        <w:t xml:space="preserve">b) Porque toda cocina familiar debe copiar una comercial</w:t>
      </w:r>
    </w:p>
    <w:p>
      <w:pPr>
        <w:pStyle w:val="Normal"/>
      </w:pPr>
      <w:r>
        <w:t xml:space="preserve">c) Porque sólo el nombre del edificio produce el comportamiento</w:t>
      </w:r>
    </w:p>
    <w:p>
      <w:pPr>
        <w:pStyle w:val="Normal"/>
      </w:pPr>
      <w:r>
        <w:t xml:space="preserve">d) Porque volumen, rapidez y convivencia deseados exigen distintas relaciones entre puestos, personas y procesos</w:t>
      </w:r>
    </w:p>
    <w:p>
      <w:pPr>
        <w:pStyle w:val="Heading3"/>
      </w:pPr>
      <w:bookmarkStart w:name="b_pregunta_auto_3_6_9" w:id="3178"/>
      <w:r>
        <w:t xml:space="preserve">3.6-A9 · ¿Qué inventario ayuda a analizar cómo un espacio facilita interacciones?</w:t>
      </w:r>
      <w:bookmarkEnd w:id="3178"/>
    </w:p>
    <w:p>
      <w:pPr>
        <w:pStyle w:val="Normal"/>
      </w:pPr>
      <w:r>
        <w:t xml:space="preserve">a) Distribución, muebles, iluminación y acústica, relacionados con la conducta buscada</w:t>
      </w:r>
    </w:p>
    <w:p>
      <w:pPr>
        <w:pStyle w:val="Normal"/>
      </w:pPr>
      <w:r>
        <w:t xml:space="preserve">b) Sólo contar cuántas personas caben sin estudiar sus interacciones</w:t>
      </w:r>
    </w:p>
    <w:p>
      <w:pPr>
        <w:pStyle w:val="Normal"/>
      </w:pPr>
      <w:r>
        <w:t xml:space="preserve">c) Mirar el edificio sin preguntar su propósito</w:t>
      </w:r>
    </w:p>
    <w:p>
      <w:pPr>
        <w:pStyle w:val="Normal"/>
      </w:pPr>
      <w:r>
        <w:t xml:space="preserve">d) Elegir exclusivamente el color más agradable</w:t>
      </w:r>
    </w:p>
    <w:p>
      <w:pPr>
        <w:pStyle w:val="Heading3"/>
      </w:pPr>
      <w:bookmarkStart w:name="b_pregunta_auto_3_6_10" w:id="3179"/>
      <w:r>
        <w:t xml:space="preserve">3.6-A10 · ¿Qué lectura corresponde al ejemplo de reglas familiares de C-2, página 91?</w:t>
      </w:r>
      <w:bookmarkEnd w:id="3179"/>
    </w:p>
    <w:p>
      <w:pPr>
        <w:pStyle w:val="Normal"/>
      </w:pPr>
      <w:r>
        <w:t xml:space="preserve">a) Las reglas rígidas benefician por igual a todo niño</w:t>
      </w:r>
    </w:p>
    <w:p>
      <w:pPr>
        <w:pStyle w:val="Normal"/>
      </w:pPr>
      <w:r>
        <w:t xml:space="preserve">b) Su efecto depende de la interacción con personalidad y contexto; la previsibilidad puede apoyar o limitar según el caso</w:t>
      </w:r>
    </w:p>
    <w:p>
      <w:pPr>
        <w:pStyle w:val="Normal"/>
      </w:pPr>
      <w:r>
        <w:t xml:space="preserve">c) Las reglas flexibles causan siempre el mismo resultado</w:t>
      </w:r>
    </w:p>
    <w:p>
      <w:pPr>
        <w:pStyle w:val="Normal"/>
      </w:pPr>
      <w:r>
        <w:t xml:space="preserve">d) La personalidad hace irrelevante toda estructura</w:t>
      </w:r>
    </w:p>
    <w:p>
      <w:pPr>
        <w:pStyle w:val="Heading3"/>
      </w:pPr>
      <w:bookmarkStart w:name="b_pregunta_auto_3_6_11" w:id="3180"/>
      <w:r>
        <w:t xml:space="preserve">3.6-A11 · ¿Qué exige replicar una mejora en otro sistema?</w:t>
      </w:r>
      <w:bookmarkEnd w:id="3180"/>
    </w:p>
    <w:p>
      <w:pPr>
        <w:pStyle w:val="Normal"/>
      </w:pPr>
      <w:r>
        <w:t xml:space="preserve">a) Copiar todos los detalles suponiendo el mismo comportamiento</w:t>
      </w:r>
    </w:p>
    <w:p>
      <w:pPr>
        <w:pStyle w:val="Normal"/>
      </w:pPr>
      <w:r>
        <w:t xml:space="preserve">b) Suprimir a quienes conocen las condiciones locales</w:t>
      </w:r>
    </w:p>
    <w:p>
      <w:pPr>
        <w:pStyle w:val="Normal"/>
      </w:pPr>
      <w:r>
        <w:t xml:space="preserve">c) Examinar cualidades, historia y capacidades del receptor y adaptar la estructura</w:t>
      </w:r>
    </w:p>
    <w:p>
      <w:pPr>
        <w:pStyle w:val="Normal"/>
      </w:pPr>
      <w:r>
        <w:t xml:space="preserve">d) Cambiar sólo el nombre del modelo</w:t>
      </w:r>
    </w:p>
    <w:p>
      <w:pPr>
        <w:pStyle w:val="Heading3"/>
      </w:pPr>
      <w:bookmarkStart w:name="b_pregunta_auto_3_6_12" w:id="3181"/>
      <w:r>
        <w:t xml:space="preserve">3.6-A12 · ¿Por qué incluir a quienes implementarán la solución al explorar estructuras?</w:t>
      </w:r>
      <w:bookmarkEnd w:id="3181"/>
    </w:p>
    <w:p>
      <w:pPr>
        <w:pStyle w:val="Normal"/>
      </w:pPr>
      <w:r>
        <w:t xml:space="preserve">a) Porque su participación garantiza resultados idénticos en cualquier contexto</w:t>
      </w:r>
    </w:p>
    <w:p>
      <w:pPr>
        <w:pStyle w:val="Normal"/>
      </w:pPr>
      <w:r>
        <w:t xml:space="preserve">b) Porque reemplaza la necesidad de comprender relaciones</w:t>
      </w:r>
    </w:p>
    <w:p>
      <w:pPr>
        <w:pStyle w:val="Normal"/>
      </w:pPr>
      <w:r>
        <w:t xml:space="preserve">c) Porque sólo deben opinar quienes diseñan desde fuera</w:t>
      </w:r>
    </w:p>
    <w:p>
      <w:pPr>
        <w:pStyle w:val="Normal"/>
      </w:pPr>
      <w:r>
        <w:t xml:space="preserve">d) Aportan restricciones y perspectivas útiles y su participación puede favorecer aceptación y adaptación</w:t>
      </w:r>
    </w:p>
    <w:p>
      <w:pPr>
        <w:pStyle w:val="Heading3"/>
      </w:pPr>
      <w:bookmarkStart w:name="b_pregunta_auto_3_6_13" w:id="3182"/>
      <w:r>
        <w:t xml:space="preserve">3.6-A13 · ¿Qué recorrido comercial forma R2 en la trazabilidad de frutas?</w:t>
      </w:r>
      <w:bookmarkEnd w:id="3182"/>
    </w:p>
    <w:p>
      <w:pPr>
        <w:pStyle w:val="Normal"/>
      </w:pPr>
      <w:r>
        <w:t xml:space="preserve">a) Procesamiento → ventas → demanda → órdenes de producción → procesamiento, con influencias positivas</w:t>
      </w:r>
    </w:p>
    <w:p>
      <w:pPr>
        <w:pStyle w:val="Normal"/>
      </w:pPr>
      <w:r>
        <w:t xml:space="preserve">b) Productividad → aprendizaje → conocimiento → productividad</w:t>
      </w:r>
    </w:p>
    <w:p>
      <w:pPr>
        <w:pStyle w:val="Normal"/>
      </w:pPr>
      <w:r>
        <w:t xml:space="preserve">c) Especificaciones → proveedor sin retorno</w:t>
      </w:r>
    </w:p>
    <w:p>
      <w:pPr>
        <w:pStyle w:val="Normal"/>
      </w:pPr>
      <w:r>
        <w:t xml:space="preserve">d) Una secuencia temporal sin ninguna relación de retorno</w:t>
      </w:r>
    </w:p>
    <w:p>
      <w:pPr>
        <w:pStyle w:val="Heading3"/>
      </w:pPr>
      <w:bookmarkStart w:name="b_pregunta_auto_3_6_14" w:id="3183"/>
      <w:r>
        <w:t xml:space="preserve">3.6-A14 · ¿Por qué B1 y B4 son de balance en la zona de especificaciones y riesgo de frutas?</w:t>
      </w:r>
      <w:bookmarkEnd w:id="3183"/>
    </w:p>
    <w:p>
      <w:pPr>
        <w:pStyle w:val="Normal"/>
      </w:pPr>
      <w:r>
        <w:t xml:space="preserve">a) Porque tiene cuatro negativas</w:t>
      </w:r>
    </w:p>
    <w:p>
      <w:pPr>
        <w:pStyle w:val="Normal"/>
      </w:pPr>
      <w:r>
        <w:t xml:space="preserve">b) Cada recorrido tiene una negativa: especificaciones → trazabilidad en B1 y especificaciones → proveedor en B4</w:t>
      </w:r>
    </w:p>
    <w:p>
      <w:pPr>
        <w:pStyle w:val="Normal"/>
      </w:pPr>
      <w:r>
        <w:t xml:space="preserve">c) Porque cualquier referencia a riesgo fija el tipo B</w:t>
      </w:r>
    </w:p>
    <w:p>
      <w:pPr>
        <w:pStyle w:val="Normal"/>
      </w:pPr>
      <w:r>
        <w:t xml:space="preserve">d) Porque especificaciones y materia prima no están relacionadas</w:t>
      </w:r>
    </w:p>
    <w:p>
      <w:pPr>
        <w:pStyle w:val="Heading3"/>
      </w:pPr>
      <w:bookmarkStart w:name="b_pregunta_auto_3_6_15" w:id="3184"/>
      <w:r>
        <w:t xml:space="preserve">3.6-A15 · ¿Qué comparten R3 y R4 en el modelo de frutas?</w:t>
      </w:r>
      <w:bookmarkEnd w:id="3184"/>
    </w:p>
    <w:p>
      <w:pPr>
        <w:pStyle w:val="Normal"/>
      </w:pPr>
      <w:r>
        <w:t xml:space="preserve">a) Sólo la palabra tecnología sin ninguna variable común</w:t>
      </w:r>
    </w:p>
    <w:p>
      <w:pPr>
        <w:pStyle w:val="Normal"/>
      </w:pPr>
      <w:r>
        <w:t xml:space="preserve">b) Un número impar de negativas en ambos recorridos</w:t>
      </w:r>
    </w:p>
    <w:p>
      <w:pPr>
        <w:pStyle w:val="Normal"/>
      </w:pPr>
      <w:r>
        <w:t xml:space="preserve">c) Capacidad productiva; se refuerza con productividad laboral en R3 y con infraestructura en R4</w:t>
      </w:r>
    </w:p>
    <w:p>
      <w:pPr>
        <w:pStyle w:val="Normal"/>
      </w:pPr>
      <w:r>
        <w:t xml:space="preserve">d) Una ausencia de retorno entre sus variables</w:t>
      </w:r>
    </w:p>
    <w:p>
      <w:pPr>
        <w:pStyle w:val="Heading3"/>
      </w:pPr>
      <w:bookmarkStart w:name="b_pregunta_auto_3_6_16" w:id="3185"/>
      <w:r>
        <w:t xml:space="preserve">3.6-A16 · ¿Qué distingue B2 y B3 de R5 en la zona tecnológica de frutas?</w:t>
      </w:r>
      <w:bookmarkEnd w:id="3185"/>
    </w:p>
    <w:p>
      <w:pPr>
        <w:pStyle w:val="Normal"/>
      </w:pPr>
      <w:r>
        <w:t xml:space="preserve">a) Los tres son R porque usan tecnología</w:t>
      </w:r>
    </w:p>
    <w:p>
      <w:pPr>
        <w:pStyle w:val="Normal"/>
      </w:pPr>
      <w:r>
        <w:t xml:space="preserve">b) Las demoras hacen imposible clasificar por paridad</w:t>
      </w:r>
    </w:p>
    <w:p>
      <w:pPr>
        <w:pStyle w:val="Normal"/>
      </w:pPr>
      <w:r>
        <w:t xml:space="preserve">c) B2 y B3 no regresan a ninguna variable inicial</w:t>
      </w:r>
    </w:p>
    <w:p>
      <w:pPr>
        <w:pStyle w:val="Normal"/>
      </w:pPr>
      <w:r>
        <w:t xml:space="preserve">d) B2 y B3 tienen una negativa y una relación demorada; R5 enlaza infraestructura e implementación con dos positivas</w:t>
      </w:r>
    </w:p>
    <w:p>
      <w:pPr>
        <w:pStyle w:val="Heading3"/>
      </w:pPr>
      <w:bookmarkStart w:name="b_pregunta_auto_3_6_17" w:id="3186"/>
      <w:r>
        <w:t xml:space="preserve">3.6-A17 · ¿Cómo se clasifica B5 de productividad, aprendizaje y conocimiento en la figura?</w:t>
      </w:r>
      <w:bookmarkEnd w:id="3186"/>
    </w:p>
    <w:p>
      <w:pPr>
        <w:pStyle w:val="Normal"/>
      </w:pPr>
      <w:r>
        <w:t xml:space="preserve">a) Balance por sus tres negativas; la demora de productividad a aprendizaje retrasa el efecto sin cambiar la paridad</w:t>
      </w:r>
    </w:p>
    <w:p>
      <w:pPr>
        <w:pStyle w:val="Normal"/>
      </w:pPr>
      <w:r>
        <w:t xml:space="preserve">b) Refuerzo porque conocimiento siempre es una palabra positiva</w:t>
      </w:r>
    </w:p>
    <w:p>
      <w:pPr>
        <w:pStyle w:val="Normal"/>
      </w:pPr>
      <w:r>
        <w:t xml:space="preserve">c) Balance porque toda demora añade un signo negativo</w:t>
      </w:r>
    </w:p>
    <w:p>
      <w:pPr>
        <w:pStyle w:val="Normal"/>
      </w:pPr>
      <w:r>
        <w:t xml:space="preserve">d) Refuerzo porque sólo se cuenta la primera flecha</w:t>
      </w:r>
    </w:p>
    <w:p>
      <w:pPr>
        <w:pStyle w:val="Heading3"/>
      </w:pPr>
      <w:bookmarkStart w:name="b_pregunta_auto_3_6_18" w:id="3187"/>
      <w:r>
        <w:t xml:space="preserve">3.6-A18 · El principio que sostiene toda la modelación dinámica —de Forrester, Meadows y Senge— afirma que…</w:t>
      </w:r>
      <w:bookmarkEnd w:id="3187"/>
    </w:p>
    <w:p>
      <w:pPr>
        <w:pStyle w:val="Normal"/>
      </w:pPr>
      <w:r>
        <w:t xml:space="preserve">a) los eventos aislados explican el comportamiento de un sistema</w:t>
      </w:r>
    </w:p>
    <w:p>
      <w:pPr>
        <w:pStyle w:val="Normal"/>
      </w:pPr>
      <w:r>
        <w:t xml:space="preserve">b) la estructura de un sistema genera su comportamiento en el tiempo</w:t>
      </w:r>
    </w:p>
    <w:p>
      <w:pPr>
        <w:pStyle w:val="Normal"/>
      </w:pPr>
      <w:r>
        <w:t xml:space="preserve">c) el comportamiento de un sistema es esencialmente aleatorio</w:t>
      </w:r>
    </w:p>
    <w:p>
      <w:pPr>
        <w:pStyle w:val="Normal"/>
      </w:pPr>
      <w:r>
        <w:t xml:space="preserve">d) para predecir un sistema basta con conocer a sus individuos</w:t>
      </w:r>
    </w:p>
    <w:p>
      <w:pPr>
        <w:pStyle w:val="Heading3"/>
      </w:pPr>
      <w:bookmarkStart w:name="b_pregunta_auto_3_6_19" w:id="3188"/>
      <w:r>
        <w:t xml:space="preserve">3.6-A19 · La modelación dinámica es el puente entre los mapas cualitativos y la simulación porque añade tres ingredientes que un diagrama de ciclos causales no cuantifica. ¿Cuáles?</w:t>
      </w:r>
      <w:bookmarkEnd w:id="3188"/>
    </w:p>
    <w:p>
      <w:pPr>
        <w:pStyle w:val="Normal"/>
      </w:pPr>
      <w:r>
        <w:t xml:space="preserve">a) Colores, íconos y leyendas</w:t>
      </w:r>
    </w:p>
    <w:p>
      <w:pPr>
        <w:pStyle w:val="Normal"/>
      </w:pPr>
      <w:r>
        <w:t xml:space="preserve">b) Nombres, fechas y autores</w:t>
      </w:r>
    </w:p>
    <w:p>
      <w:pPr>
        <w:pStyle w:val="Normal"/>
      </w:pPr>
      <w:r>
        <w:t xml:space="preserve">c) Acumulaciones (niveles), flujos (tasas) y el tiempo</w:t>
      </w:r>
    </w:p>
    <w:p>
      <w:pPr>
        <w:pStyle w:val="Normal"/>
      </w:pPr>
      <w:r>
        <w:t xml:space="preserve">d) Opiniones, votos y encuestas</w:t>
      </w:r>
    </w:p>
    <w:p>
      <w:pPr>
        <w:pStyle w:val="Heading3"/>
      </w:pPr>
      <w:bookmarkStart w:name="b_pregunta_auto_3_6_20" w:id="3189"/>
      <w:r>
        <w:t xml:space="preserve">3.6-A20 · Un nivel (stock) se distingue de un flujo porque el nivel…</w:t>
      </w:r>
      <w:bookmarkEnd w:id="3189"/>
    </w:p>
    <w:p>
      <w:pPr>
        <w:pStyle w:val="Normal"/>
      </w:pPr>
      <w:r>
        <w:t xml:space="preserve">a) cambia instantáneamente y no deja memoria</w:t>
      </w:r>
    </w:p>
    <w:p>
      <w:pPr>
        <w:pStyle w:val="Normal"/>
      </w:pPr>
      <w:r>
        <w:t xml:space="preserve">b) nunca puede cambiar de valor</w:t>
      </w:r>
    </w:p>
    <w:p>
      <w:pPr>
        <w:pStyle w:val="Normal"/>
      </w:pPr>
      <w:r>
        <w:t xml:space="preserve">c) es una acumulación: integra los flujos en el tiempo y da inercia al sistema</w:t>
      </w:r>
    </w:p>
    <w:p>
      <w:pPr>
        <w:pStyle w:val="Normal"/>
      </w:pPr>
      <w:r>
        <w:t xml:space="preserve">d) es siempre igual a la suma de las perspectivas</w:t>
      </w:r>
    </w:p>
    <w:p>
      <w:pPr>
        <w:pStyle w:val="Heading3"/>
      </w:pPr>
      <w:bookmarkStart w:name="b_pregunta_auto_3_6_21" w:id="3190"/>
      <w:r>
        <w:t xml:space="preserve">3.6-A21 · Una estructura con un único bucle de refuerzo (R) dominante produce, por sí sola, un patrón de…</w:t>
      </w:r>
      <w:bookmarkEnd w:id="3190"/>
    </w:p>
    <w:p>
      <w:pPr>
        <w:pStyle w:val="Normal"/>
      </w:pPr>
      <w:r>
        <w:t xml:space="preserve">a) crecimiento (o colapso) exponencial que se acelera</w:t>
      </w:r>
    </w:p>
    <w:p>
      <w:pPr>
        <w:pStyle w:val="Normal"/>
      </w:pPr>
      <w:r>
        <w:t xml:space="preserve">b) búsqueda de meta (se acerca y se aplana)</w:t>
      </w:r>
    </w:p>
    <w:p>
      <w:pPr>
        <w:pStyle w:val="Normal"/>
      </w:pPr>
      <w:r>
        <w:t xml:space="preserve">c) oscilación permanente</w:t>
      </w:r>
    </w:p>
    <w:p>
      <w:pPr>
        <w:pStyle w:val="Normal"/>
      </w:pPr>
      <w:r>
        <w:t xml:space="preserve">d) línea recta constante</w:t>
      </w:r>
    </w:p>
    <w:p>
      <w:pPr>
        <w:pStyle w:val="Heading3"/>
      </w:pPr>
      <w:bookmarkStart w:name="b_pregunta_auto_3_6_22" w:id="3191"/>
      <w:r>
        <w:t xml:space="preserve">3.6-A22 · En el laboratorio, la MISMA estructura de compensación pasa de una aproximación suave a una oscilación con sobrepaso cuando se aumenta…</w:t>
      </w:r>
      <w:bookmarkEnd w:id="3191"/>
    </w:p>
    <w:p>
      <w:pPr>
        <w:pStyle w:val="Normal"/>
      </w:pPr>
      <w:r>
        <w:t xml:space="preserve">a) la meta</w:t>
      </w:r>
    </w:p>
    <w:p>
      <w:pPr>
        <w:pStyle w:val="Normal"/>
      </w:pPr>
      <w:r>
        <w:t xml:space="preserve">b) el nivel inicial</w:t>
      </w:r>
    </w:p>
    <w:p>
      <w:pPr>
        <w:pStyle w:val="Normal"/>
      </w:pPr>
      <w:r>
        <w:t xml:space="preserve">c) la demora</w:t>
      </w:r>
    </w:p>
    <w:p>
      <w:pPr>
        <w:pStyle w:val="Normal"/>
      </w:pPr>
      <w:r>
        <w:t xml:space="preserve">d) el número de colores</w:t>
      </w:r>
    </w:p>
    <w:p>
      <w:pPr>
        <w:pStyle w:val="Heading3"/>
      </w:pPr>
      <w:bookmarkStart w:name="b_pregunta_auto_3_6_23" w:id="3192"/>
      <w:r>
        <w:t xml:space="preserve">3.6-A23 · El crecimiento en S (logístico) surge de la combinación de dos bucles. ¿Cómo se relevan en el tiempo?</w:t>
      </w:r>
      <w:bookmarkEnd w:id="3192"/>
    </w:p>
    <w:p>
      <w:pPr>
        <w:pStyle w:val="Normal"/>
      </w:pPr>
      <w:r>
        <w:t xml:space="preserve">a) El refuerzo domina al inicio y la compensación (el límite K) domina al acercarse a la capacidad</w:t>
      </w:r>
    </w:p>
    <w:p>
      <w:pPr>
        <w:pStyle w:val="Normal"/>
      </w:pPr>
      <w:r>
        <w:t xml:space="preserve">b) La compensación domina al inicio y el refuerzo al final</w:t>
      </w:r>
    </w:p>
    <w:p>
      <w:pPr>
        <w:pStyle w:val="Normal"/>
      </w:pPr>
      <w:r>
        <w:t xml:space="preserve">c) Ambos bucles se anulan y el nivel no cambia</w:t>
      </w:r>
    </w:p>
    <w:p>
      <w:pPr>
        <w:pStyle w:val="Normal"/>
      </w:pPr>
      <w:r>
        <w:t xml:space="preserve">d) Solo actúa el bucle de refuerzo durante toda la trayectoria</w:t>
      </w:r>
    </w:p>
    <w:p>
      <w:pPr>
        <w:pStyle w:val="Heading3"/>
      </w:pPr>
      <w:bookmarkStart w:name="b_pregunta_auto_3_6_24" w:id="3193"/>
      <w:r>
        <w:t xml:space="preserve">3.6-A24 · ¿Para qué sirve, sobre todo, correr un modelo dinámico (por ejemplo en VENSIM)?</w:t>
      </w:r>
      <w:bookmarkEnd w:id="3193"/>
    </w:p>
    <w:p>
      <w:pPr>
        <w:pStyle w:val="Normal"/>
      </w:pPr>
      <w:r>
        <w:t xml:space="preserve">a) Para demostrar que el modelo es la realidad exacta</w:t>
      </w:r>
    </w:p>
    <w:p>
      <w:pPr>
        <w:pStyle w:val="Normal"/>
      </w:pPr>
      <w:r>
        <w:t xml:space="preserve">b) Para reemplazar por completo el juicio humano</w:t>
      </w:r>
    </w:p>
    <w:p>
      <w:pPr>
        <w:pStyle w:val="Normal"/>
      </w:pPr>
      <w:r>
        <w:t xml:space="preserve">c) Para acumular datos sin ninguna hipótesis</w:t>
      </w:r>
    </w:p>
    <w:p>
      <w:pPr>
        <w:pStyle w:val="Normal"/>
      </w:pPr>
      <w:r>
        <w:t xml:space="preserve">d) Para ensayar políticas en un «laboratorio virtual» y anticipar comportamientos contraintuitivos antes de actuar sobre el sistema real</w:t>
      </w:r>
    </w:p>
    <w:p>
      <w:pPr>
        <w:pStyle w:val="Heading3"/>
      </w:pPr>
      <w:bookmarkStart w:name="b_solucionario_3_6" w:id="3194"/>
      <w:r>
        <w:t xml:space="preserve">Solucionario del capítulo</w:t>
      </w:r>
      <w:bookmarkEnd w:id="3194"/>
    </w:p>
    <w:p>
      <w:pPr>
        <w:pStyle w:val="Heading3"/>
      </w:pPr>
      <w:r>
        <w:t xml:space="preserve">3.6-A1</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a) Mañana agradable → comedero → pájaros → mañana agradable</w:t>
            </w:r>
          </w:p>
        </w:tc>
      </w:tr>
    </w:tbl>
    <w:p>
      <w:pPr>
        <w:pStyle w:val="Normal"/>
      </w:pPr>
      <w:r>
        <w:t xml:space="preserve">La mañana agradable motiva el comedero, éste atrae pájaros y éstos mejoran la mañana. Volver a la variable inicial cierra el retorno de la intención.</w:t>
      </w:r>
    </w:p>
    <w:p>
      <w:pPr>
        <w:pStyle w:val="Fuente"/>
      </w:pPr>
      <w:r>
        <w:t xml:space="preserve">Presentación de la unidad 3 (C-2), pág. 55–71 y 73 · Clase 14 · 00:07:06–00:07:31 (alcance oral)</w:t>
      </w:r>
    </w:p>
    <w:p>
      <w:pPr>
        <w:pStyle w:val="Heading3"/>
      </w:pPr>
      <w:r>
        <w:t xml:space="preserve">3.6-A2</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b) Los pájaros lo aumentan, éste atrae más pájaros y también mejora la mañana</w:t>
            </w:r>
          </w:p>
        </w:tc>
      </w:tr>
    </w:tbl>
    <w:p>
      <w:pPr>
        <w:pStyle w:val="Normal"/>
      </w:pPr>
      <w:r>
        <w:t xml:space="preserve">Los pájaros lo aumentan, éste atrae más pájaros y también mejora la mañana</w:t>
      </w:r>
    </w:p>
    <w:p>
      <w:pPr>
        <w:pStyle w:val="Fuente"/>
      </w:pPr>
      <w:r>
        <w:t xml:space="preserve">Presentación de la unidad 3 (C-2), pág. 55–71 y 73 · Clase 14 · 00:07:06–00:07:31 (alcance oral)</w:t>
      </w:r>
    </w:p>
    <w:p>
      <w:pPr>
        <w:pStyle w:val="Heading3"/>
      </w:pPr>
      <w:r>
        <w:t xml:space="preserve">3.6-A3</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c) Un refuerzo: más frustración reduce agrado, lo que deja menos ayuda para reducir frustración</w:t>
            </w:r>
          </w:p>
        </w:tc>
      </w:tr>
    </w:tbl>
    <w:p>
      <w:pPr>
        <w:pStyle w:val="Normal"/>
      </w:pPr>
      <w:r>
        <w:t xml:space="preserve">Un refuerzo: más frustración reduce agrado, lo que deja menos ayuda para reducir frustración</w:t>
      </w:r>
    </w:p>
    <w:p>
      <w:pPr>
        <w:pStyle w:val="Fuente"/>
      </w:pPr>
      <w:r>
        <w:t xml:space="preserve">Presentación de la unidad 3 (C-2), pág. 55–71 y 73 · Clase 14 · 00:07:06–00:07:31 (alcance oral)</w:t>
      </w:r>
    </w:p>
    <w:p>
      <w:pPr>
        <w:pStyle w:val="Heading3"/>
      </w:pPr>
      <w:r>
        <w:t xml:space="preserve">3.6-A4</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d) Más aves → más alimento por comprar → gasto imprevisto → frustración; importa estimar cantidad y costo</w:t>
            </w:r>
          </w:p>
        </w:tc>
      </w:tr>
    </w:tbl>
    <w:p>
      <w:pPr>
        <w:pStyle w:val="Normal"/>
      </w:pPr>
      <w:r>
        <w:t xml:space="preserve">Más aves → más alimento por comprar → gasto imprevisto → frustración; importa estimar cantidad y costo</w:t>
      </w:r>
    </w:p>
    <w:p>
      <w:pPr>
        <w:pStyle w:val="Fuente"/>
      </w:pPr>
      <w:r>
        <w:t xml:space="preserve">Presentación de la unidad 3 (C-2), pág. 55–71 y 73 · Clase 14 · 00:07:06–00:07:31 (alcance oral)</w:t>
      </w:r>
    </w:p>
    <w:p>
      <w:pPr>
        <w:pStyle w:val="Heading3"/>
      </w:pPr>
      <w:r>
        <w:t xml:space="preserve">3.6-A5</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a) Más aves producen derrame; reponer alimento aumenta compras y frustración, reduciendo el agrado de la mañana</w:t>
            </w:r>
          </w:p>
        </w:tc>
      </w:tr>
    </w:tbl>
    <w:p>
      <w:pPr>
        <w:pStyle w:val="Normal"/>
      </w:pPr>
      <w:r>
        <w:t xml:space="preserve">Más aves producen derrame; reponer alimento aumenta compras y frustración, reduciendo el agrado de la mañana</w:t>
      </w:r>
    </w:p>
    <w:p>
      <w:pPr>
        <w:pStyle w:val="Fuente"/>
      </w:pPr>
      <w:r>
        <w:t xml:space="preserve">Presentación de la unidad 3 (C-2), pág. 55–71 y 73 · Clase 14 · 00:07:06–00:07:31 (alcance oral)</w:t>
      </w:r>
    </w:p>
    <w:p>
      <w:pPr>
        <w:pStyle w:val="Heading3"/>
      </w:pPr>
      <w:r>
        <w:t xml:space="preserve">3.6-A6</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b) Consumen alimento y provocan derrame; además pueden desplazar aves, con valoración dependiente del observador</w:t>
            </w:r>
          </w:p>
        </w:tc>
      </w:tr>
    </w:tbl>
    <w:p>
      <w:pPr>
        <w:pStyle w:val="Normal"/>
      </w:pPr>
      <w:r>
        <w:t xml:space="preserve">Consumen alimento y provocan derrame; además pueden desplazar aves, con valoración dependiente del observador</w:t>
      </w:r>
    </w:p>
    <w:p>
      <w:pPr>
        <w:pStyle w:val="Fuente"/>
      </w:pPr>
      <w:r>
        <w:t xml:space="preserve">Presentación de la unidad 3 (C-2), pág. 55–71 y 73 · Clase 14 · 00:07:06–00:07:31 (alcance oral)</w:t>
      </w:r>
    </w:p>
    <w:p>
      <w:pPr>
        <w:pStyle w:val="Heading3"/>
      </w:pPr>
      <w:r>
        <w:t xml:space="preserve">3.6-A7</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c) Derrame → roedores; derrame → crecimiento antiestético; pájaros → desechos de aves</w:t>
            </w:r>
          </w:p>
        </w:tc>
      </w:tr>
    </w:tbl>
    <w:p>
      <w:pPr>
        <w:pStyle w:val="Normal"/>
      </w:pPr>
      <w:r>
        <w:t xml:space="preserve">Derrame → roedores; derrame → crecimiento antiestético; pájaros → desechos de aves</w:t>
      </w:r>
    </w:p>
    <w:p>
      <w:pPr>
        <w:pStyle w:val="Fuente"/>
      </w:pPr>
      <w:r>
        <w:t xml:space="preserve">Presentación de la unidad 3 (C-2), pág. 55–71 y 73 · Clase 14 · 00:07:06–00:07:31 (alcance oral)</w:t>
      </w:r>
    </w:p>
    <w:p>
      <w:pPr>
        <w:pStyle w:val="Heading3"/>
      </w:pPr>
      <w:r>
        <w:t xml:space="preserve">3.6-A8</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d) Porque volumen, rapidez y convivencia deseados exigen distintas relaciones entre puestos, personas y procesos</w:t>
            </w:r>
          </w:p>
        </w:tc>
      </w:tr>
    </w:tbl>
    <w:p>
      <w:pPr>
        <w:pStyle w:val="Normal"/>
      </w:pPr>
      <w:r>
        <w:t xml:space="preserve">Porque volumen, rapidez y convivencia deseados exigen distintas relaciones entre puestos, personas y procesos</w:t>
      </w:r>
    </w:p>
    <w:p>
      <w:pPr>
        <w:pStyle w:val="Fuente"/>
      </w:pPr>
      <w:r>
        <w:t xml:space="preserve">Presentación de la unidad 3 (C-2), pág. 89, 91 y 99 · Clase 15 · 00:41:06–00:42:21</w:t>
      </w:r>
    </w:p>
    <w:p>
      <w:pPr>
        <w:pStyle w:val="Heading3"/>
      </w:pPr>
      <w:r>
        <w:t xml:space="preserve">3.6-A9</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a) Distribución, muebles, iluminación y acústica, relacionados con la conducta buscada</w:t>
            </w:r>
          </w:p>
        </w:tc>
      </w:tr>
    </w:tbl>
    <w:p>
      <w:pPr>
        <w:pStyle w:val="Normal"/>
      </w:pPr>
      <w:r>
        <w:t xml:space="preserve">Distribución, muebles, iluminación y acústica, relacionados con la conducta buscada</w:t>
      </w:r>
    </w:p>
    <w:p>
      <w:pPr>
        <w:pStyle w:val="Fuente"/>
      </w:pPr>
      <w:r>
        <w:t xml:space="preserve">Presentación de la unidad 3 (C-2), pág. 89, 91 y 99 · Clase 15 · 00:41:06–00:42:21</w:t>
      </w:r>
    </w:p>
    <w:p>
      <w:pPr>
        <w:pStyle w:val="Heading3"/>
      </w:pPr>
      <w:r>
        <w:t xml:space="preserve">3.6-A10</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b) Su efecto depende de la interacción con personalidad y contexto; la previsibilidad puede apoyar o limitar según el caso</w:t>
            </w:r>
          </w:p>
        </w:tc>
      </w:tr>
    </w:tbl>
    <w:p>
      <w:pPr>
        <w:pStyle w:val="Normal"/>
      </w:pPr>
      <w:r>
        <w:t xml:space="preserve">Su efecto depende de la interacción con personalidad y contexto; la previsibilidad puede apoyar o limitar según el caso</w:t>
      </w:r>
    </w:p>
    <w:p>
      <w:pPr>
        <w:pStyle w:val="Fuente"/>
      </w:pPr>
      <w:r>
        <w:t xml:space="preserve">Presentación de la unidad 3 (C-2), pág. 89, 91 y 99 · Clase 15 · 00:41:06–00:42:21</w:t>
      </w:r>
    </w:p>
    <w:p>
      <w:pPr>
        <w:pStyle w:val="Heading3"/>
      </w:pPr>
      <w:r>
        <w:t xml:space="preserve">3.6-A11</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c) Examinar cualidades, historia y capacidades del receptor y adaptar la estructura</w:t>
            </w:r>
          </w:p>
        </w:tc>
      </w:tr>
    </w:tbl>
    <w:p>
      <w:pPr>
        <w:pStyle w:val="Normal"/>
      </w:pPr>
      <w:r>
        <w:t xml:space="preserve">Examinar cualidades, historia y capacidades del receptor y adaptar la estructura</w:t>
      </w:r>
    </w:p>
    <w:p>
      <w:pPr>
        <w:pStyle w:val="Fuente"/>
      </w:pPr>
      <w:r>
        <w:t xml:space="preserve">Presentación de la unidad 3 (C-2), pág. 89, 91 y 99 · Clase 15 · 00:41:06–00:42:21</w:t>
      </w:r>
    </w:p>
    <w:p>
      <w:pPr>
        <w:pStyle w:val="Heading3"/>
      </w:pPr>
      <w:r>
        <w:t xml:space="preserve">3.6-A12</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d) Aportan restricciones y perspectivas útiles y su participación puede favorecer aceptación y adaptación</w:t>
            </w:r>
          </w:p>
        </w:tc>
      </w:tr>
    </w:tbl>
    <w:p>
      <w:pPr>
        <w:pStyle w:val="Normal"/>
      </w:pPr>
      <w:r>
        <w:t xml:space="preserve">Aportan restricciones y perspectivas útiles y su participación puede favorecer aceptación y adaptación</w:t>
      </w:r>
    </w:p>
    <w:p>
      <w:pPr>
        <w:pStyle w:val="Fuente"/>
      </w:pPr>
      <w:r>
        <w:t xml:space="preserve">Presentación de la unidad 3 (C-2), pág. 89, 91 y 99 · Clase 15 · 00:41:06–00:42:21</w:t>
      </w:r>
    </w:p>
    <w:p>
      <w:pPr>
        <w:pStyle w:val="Heading3"/>
      </w:pPr>
      <w:r>
        <w:t xml:space="preserve">3.6-A13</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a) Procesamiento → ventas → demanda → órdenes de producción → procesamiento, con influencias positivas</w:t>
            </w:r>
          </w:p>
        </w:tc>
      </w:tr>
    </w:tbl>
    <w:p>
      <w:pPr>
        <w:pStyle w:val="Normal"/>
      </w:pPr>
      <w:r>
        <w:t xml:space="preserve">Procesamiento → ventas → demanda → órdenes de producción → procesamiento, con influencias positivas</w:t>
      </w:r>
    </w:p>
    <w:p>
      <w:pPr>
        <w:pStyle w:val="Fuente"/>
      </w:pPr>
      <w:r>
        <w:t xml:space="preserve">Presentación de la unidad 3 (C-2), pág. 92 · Clase 15 · 00:58:20–01:05:12 (conteo de ciclos)</w:t>
      </w:r>
    </w:p>
    <w:p>
      <w:pPr>
        <w:pStyle w:val="Heading3"/>
      </w:pPr>
      <w:r>
        <w:t xml:space="preserve">3.6-A14</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b) Cada recorrido tiene una negativa: especificaciones → trazabilidad en B1 y especificaciones → proveedor en B4</w:t>
            </w:r>
          </w:p>
        </w:tc>
      </w:tr>
    </w:tbl>
    <w:p>
      <w:pPr>
        <w:pStyle w:val="Normal"/>
      </w:pPr>
      <w:r>
        <w:t xml:space="preserve">Cada recorrido tiene una negativa: especificaciones → trazabilidad en B1 y especificaciones → proveedor en B4</w:t>
      </w:r>
    </w:p>
    <w:p>
      <w:pPr>
        <w:pStyle w:val="Fuente"/>
      </w:pPr>
      <w:r>
        <w:t xml:space="preserve">Presentación de la unidad 3 (C-2), pág. 92 · Clase 15 · 00:58:20–01:05:12 (conteo de ciclos)</w:t>
      </w:r>
    </w:p>
    <w:p>
      <w:pPr>
        <w:pStyle w:val="Heading3"/>
      </w:pPr>
      <w:r>
        <w:t xml:space="preserve">3.6-A15</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c) Capacidad productiva; se refuerza con productividad laboral en R3 y con infraestructura en R4</w:t>
            </w:r>
          </w:p>
        </w:tc>
      </w:tr>
    </w:tbl>
    <w:p>
      <w:pPr>
        <w:pStyle w:val="Normal"/>
      </w:pPr>
      <w:r>
        <w:t xml:space="preserve">Capacidad productiva; se refuerza con productividad laboral en R3 y con infraestructura en R4</w:t>
      </w:r>
    </w:p>
    <w:p>
      <w:pPr>
        <w:pStyle w:val="Fuente"/>
      </w:pPr>
      <w:r>
        <w:t xml:space="preserve">Presentación de la unidad 3 (C-2), pág. 92 · Clase 15 · 00:58:20–01:05:12 (conteo de ciclos)</w:t>
      </w:r>
    </w:p>
    <w:p>
      <w:pPr>
        <w:pStyle w:val="Heading3"/>
      </w:pPr>
      <w:r>
        <w:t xml:space="preserve">3.6-A16</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d) B2 y B3 tienen una negativa y una relación demorada; R5 enlaza infraestructura e implementación con dos positivas</w:t>
            </w:r>
          </w:p>
        </w:tc>
      </w:tr>
    </w:tbl>
    <w:p>
      <w:pPr>
        <w:pStyle w:val="Normal"/>
      </w:pPr>
      <w:r>
        <w:t xml:space="preserve">B2 y B3 tienen una negativa y una relación demorada; R5 enlaza infraestructura e implementación con dos positivas</w:t>
      </w:r>
    </w:p>
    <w:p>
      <w:pPr>
        <w:pStyle w:val="Fuente"/>
      </w:pPr>
      <w:r>
        <w:t xml:space="preserve">Presentación de la unidad 3 (C-2), pág. 92 · Clase 15 · 00:58:20–01:05:12 (conteo de ciclos)</w:t>
      </w:r>
    </w:p>
    <w:p>
      <w:pPr>
        <w:pStyle w:val="Heading3"/>
      </w:pPr>
      <w:r>
        <w:t xml:space="preserve">3.6-A17</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a) Balance por sus tres negativas; la demora de productividad a aprendizaje retrasa el efecto sin cambiar la paridad</w:t>
            </w:r>
          </w:p>
        </w:tc>
      </w:tr>
    </w:tbl>
    <w:p>
      <w:pPr>
        <w:pStyle w:val="Normal"/>
      </w:pPr>
      <w:r>
        <w:t xml:space="preserve">Balance por sus tres negativas; la demora de productividad a aprendizaje retrasa el efecto sin cambiar la paridad</w:t>
      </w:r>
    </w:p>
    <w:p>
      <w:pPr>
        <w:pStyle w:val="Fuente"/>
      </w:pPr>
      <w:r>
        <w:t xml:space="preserve">Presentación de la unidad 3 (C-2), pág. 92 · Clase 15 · 00:58:20–01:05:12 (conteo de ciclos)</w:t>
      </w:r>
    </w:p>
    <w:p>
      <w:pPr>
        <w:pStyle w:val="Heading3"/>
      </w:pPr>
      <w:r>
        <w:t xml:space="preserve">3.6-A18</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b) la estructura de un sistema genera su comportamiento en el tiempo</w:t>
            </w:r>
          </w:p>
        </w:tc>
      </w:tr>
    </w:tbl>
    <w:p>
      <w:pPr>
        <w:pStyle w:val="Normal"/>
      </w:pPr>
      <w:r>
        <w:t xml:space="preserve">«La estructura genera el comportamiento» es la tesis central de la dinámica de sistemas: dos sistemas con la misma estructura de retroalimentación producen el mismo patrón de conducta, sin importar de qué estén hechos.</w:t>
      </w:r>
    </w:p>
    <w:p>
      <w:pPr>
        <w:pStyle w:val="Normal"/>
      </w:pPr>
      <w:r>
        <w:t xml:space="preserve">a) Los eventos son la punta del iceberg; no explican la dinámica de fondo.</w:t>
      </w:r>
    </w:p>
    <w:p>
      <w:pPr>
        <w:pStyle w:val="Normal"/>
      </w:pPr>
      <w:r>
        <w:t xml:space="preserve">b) Correcto: la estructura (bucles, niveles, flujos, demoras) dicta la forma de la trayectoria.</w:t>
      </w:r>
    </w:p>
    <w:p>
      <w:pPr>
        <w:pStyle w:val="Normal"/>
      </w:pPr>
      <w:r>
        <w:t xml:space="preserve">c) La dinámica de sistemas es determinista: misma estructura y parámetros, mismo comportamiento.</w:t>
      </w:r>
    </w:p>
    <w:p>
      <w:pPr>
        <w:pStyle w:val="Normal"/>
      </w:pPr>
      <w:r>
        <w:t xml:space="preserve">d) Reducir el todo a sus individuos pierde justamente las interacciones que generan el comportamiento.</w:t>
      </w:r>
    </w:p>
    <w:p>
      <w:pPr>
        <w:pStyle w:val="Fuente"/>
      </w:pPr>
      <w:r>
        <w:t xml:space="preserve">Forrester · Meadows · Senge</w:t>
      </w:r>
    </w:p>
    <w:p>
      <w:pPr>
        <w:pStyle w:val="Heading3"/>
      </w:pPr>
      <w:r>
        <w:t xml:space="preserve">3.6-A19</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c) Acumulaciones (niveles), flujos (tasas) y el tiempo</w:t>
            </w:r>
          </w:p>
        </w:tc>
      </w:tr>
    </w:tbl>
    <w:p>
      <w:pPr>
        <w:pStyle w:val="Normal"/>
      </w:pPr>
      <w:r>
        <w:t xml:space="preserve">Un diagrama de ciclos causales muestra la estructura de bucles (qué es R y qué es B), pero no la magnitud ni el tiempo. La modelación dinámica agrega niveles (stocks que se acumulan), flujos (las tasas que los llenan y vacían) y la dimensión temporal, y con ello ya se puede simular.</w:t>
      </w:r>
    </w:p>
    <w:p>
      <w:pPr>
        <w:pStyle w:val="Fuente"/>
      </w:pPr>
      <w:r>
        <w:t xml:space="preserve">Unidad 3 → Unidad 4</w:t>
      </w:r>
    </w:p>
    <w:p>
      <w:pPr>
        <w:pStyle w:val="Heading3"/>
      </w:pPr>
      <w:r>
        <w:t xml:space="preserve">3.6-A20</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c) es una acumulación: integra los flujos en el tiempo y da inercia al sistema</w:t>
            </w:r>
          </w:p>
        </w:tc>
      </w:tr>
    </w:tbl>
    <w:p>
      <w:pPr>
        <w:pStyle w:val="Normal"/>
      </w:pPr>
      <w:r>
        <w:t xml:space="preserve">El nivel es la memoria del sistema: solo cambia por medio de sus flujos y por eso responde con demora, no de manera instantánea. Esa acumulación es la fuente de la inercia y de gran parte de la dinámica.</w:t>
      </w:r>
    </w:p>
    <w:p>
      <w:pPr>
        <w:pStyle w:val="Normal"/>
      </w:pPr>
      <w:r>
        <w:t xml:space="preserve">a) Eso describe a un flujo o a un evento, no a un nivel.</w:t>
      </w:r>
    </w:p>
    <w:p>
      <w:pPr>
        <w:pStyle w:val="Normal"/>
      </w:pPr>
      <w:r>
        <w:t xml:space="preserve">b) El nivel sí cambia, pero solo a través de sus flujos, nunca de golpe.</w:t>
      </w:r>
    </w:p>
    <w:p>
      <w:pPr>
        <w:pStyle w:val="Normal"/>
      </w:pPr>
      <w:r>
        <w:t xml:space="preserve">c) Correcto: el nivel acumula (integra) sus flujos de entrada y salida; guarda la historia del sistema.</w:t>
      </w:r>
    </w:p>
    <w:p>
      <w:pPr>
        <w:pStyle w:val="Normal"/>
      </w:pPr>
      <w:r>
        <w:t xml:space="preserve">d) Confunde el nivel con la operación de Perspectiva del DSRP.</w:t>
      </w:r>
    </w:p>
    <w:p>
      <w:pPr>
        <w:pStyle w:val="Heading3"/>
      </w:pPr>
      <w:r>
        <w:t xml:space="preserve">3.6-A21</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a) crecimiento (o colapso) exponencial que se acelera</w:t>
            </w:r>
          </w:p>
        </w:tc>
      </w:tr>
    </w:tbl>
    <w:p>
      <w:pPr>
        <w:pStyle w:val="Normal"/>
      </w:pPr>
      <w:r>
        <w:t xml:space="preserve">El bucle de refuerzo amplifica: cuanto más hay, más se añade. Aislado produce crecimiento exponencial (interés compuesto, contagio) o, con signo contrario, colapso.</w:t>
      </w:r>
    </w:p>
    <w:p>
      <w:pPr>
        <w:pStyle w:val="Normal"/>
      </w:pPr>
      <w:r>
        <w:t xml:space="preserve">a) Correcto: el refuerzo se alimenta de su propio resultado y acelera —crecimiento o colapso exponencial.</w:t>
      </w:r>
    </w:p>
    <w:p>
      <w:pPr>
        <w:pStyle w:val="Normal"/>
      </w:pPr>
      <w:r>
        <w:t xml:space="preserve">b) La búsqueda de meta es el patrón del bucle de compensación (B), no del de refuerzo.</w:t>
      </w:r>
    </w:p>
    <w:p>
      <w:pPr>
        <w:pStyle w:val="Normal"/>
      </w:pPr>
      <w:r>
        <w:t xml:space="preserve">c) La oscilación requiere un bucle de compensación con demora.</w:t>
      </w:r>
    </w:p>
    <w:p>
      <w:pPr>
        <w:pStyle w:val="Normal"/>
      </w:pPr>
      <w:r>
        <w:t xml:space="preserve">d) Una recta constante implicaría flujo neto nulo, no un bucle de refuerzo activo.</w:t>
      </w:r>
    </w:p>
    <w:p>
      <w:pPr>
        <w:pStyle w:val="Heading3"/>
      </w:pPr>
      <w:r>
        <w:t xml:space="preserve">3.6-A22</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c) la demora</w:t>
            </w:r>
          </w:p>
        </w:tc>
      </w:tr>
    </w:tbl>
    <w:p>
      <w:pPr>
        <w:pStyle w:val="Normal"/>
      </w:pPr>
      <w:r>
        <w:t xml:space="preserve">Un bucle de compensación sin demora busca la meta y se aplana sin pasarse. Al introducir una demora en la acción correctora, esta llega tarde: el sistema se pasa de la meta y debe corregir en sentido contrario, generando oscilación. Es el enlace directo con la lección 3.7 (Demoras de tiempo).</w:t>
      </w:r>
    </w:p>
    <w:p>
      <w:pPr>
        <w:pStyle w:val="Fuente"/>
      </w:pPr>
      <w:r>
        <w:t xml:space="preserve">Meadows · sobrepaso</w:t>
      </w:r>
    </w:p>
    <w:p>
      <w:pPr>
        <w:pStyle w:val="Heading3"/>
      </w:pPr>
      <w:r>
        <w:t xml:space="preserve">3.6-A23</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a) El refuerzo domina al inicio y la compensación (el límite K) domina al acercarse a la capacidad</w:t>
            </w:r>
          </w:p>
        </w:tc>
      </w:tr>
    </w:tbl>
    <w:p>
      <w:pPr>
        <w:pStyle w:val="Normal"/>
      </w:pPr>
      <w:r>
        <w:t xml:space="preserve">En el crecimiento en S el bucle de refuerzo enciende la aceleración temprana; a medida que el nivel se acerca a la capacidad de carga K, el bucle de compensación gana dominancia y frena el crecimiento. El punto de inflexión de la curva marca ese relevo entre bucles.</w:t>
      </w:r>
    </w:p>
    <w:p>
      <w:pPr>
        <w:pStyle w:val="Fuente"/>
      </w:pPr>
      <w:r>
        <w:t xml:space="preserve">Límite del crecimiento</w:t>
      </w:r>
    </w:p>
    <w:p>
      <w:pPr>
        <w:pStyle w:val="Heading3"/>
      </w:pPr>
      <w:r>
        <w:t xml:space="preserve">3.6-A24</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d) Para ensayar políticas en un «laboratorio virtual» y anticipar comportamientos contraintuitivos antes de actuar sobre el sistema real</w:t>
            </w:r>
          </w:p>
        </w:tc>
      </w:tr>
    </w:tbl>
    <w:p>
      <w:pPr>
        <w:pStyle w:val="Normal"/>
      </w:pPr>
      <w:r>
        <w:t xml:space="preserve">Simular convierte la estructura en un laboratorio virtual: se prueban políticas, se ven las consecuencias en el tiempo (incluidas las demoras y los efectos contraintuitivos) y se buscan puntos de apalancamiento, todo sin tocar el sistema real. Es la antesala de los arquetipos y de la simulación de la Unidad 4.</w:t>
      </w:r>
    </w:p>
    <w:p>
      <w:pPr>
        <w:pStyle w:val="Normal"/>
      </w:pPr>
      <w:r>
        <w:t xml:space="preserve">a) El mapa no es el territorio: un modelo es una simplificación útil, no la realidad.</w:t>
      </w:r>
    </w:p>
    <w:p>
      <w:pPr>
        <w:pStyle w:val="Normal"/>
      </w:pPr>
      <w:r>
        <w:t xml:space="preserve">b) El modelo apoya el juicio; no lo sustituye.</w:t>
      </w:r>
    </w:p>
    <w:p>
      <w:pPr>
        <w:pStyle w:val="Normal"/>
      </w:pPr>
      <w:r>
        <w:t xml:space="preserve">c) Un modelo se construye a partir de una hipótesis dinámica, no de datos sin propósito.</w:t>
      </w:r>
    </w:p>
    <w:p>
      <w:pPr>
        <w:pStyle w:val="Normal"/>
      </w:pPr>
      <w:r>
        <w:t xml:space="preserve">d) Correcto: simular deja probar intervenciones y descubrir efectos tardíos o contraintuitivos sin riesgo.</w:t>
      </w:r>
    </w:p>
    <w:p>
      <w:pPr>
        <w:pStyle w:val="Fuente"/>
        <w:sectPr>
          <w:headerReference w:type="default" r:id="rId192"/>
          <w:headerReference w:type="first" r:id="rId193"/>
          <w:headerReference w:type="even" r:id="rId194"/>
          <w:footerReference w:type="default" r:id="rId195"/>
          <w:footerReference w:type="first" r:id="rId196"/>
          <w:footerReference w:type="even" r:id="rId197"/>
          <w:type w:val="nextPage"/>
          <w:pgSz w:w="12240" w:h="15840" w:orient="portrait"/>
          <w:pgMar w:top="1361" w:right="1134" w:bottom="1361" w:left="1474" w:header="650" w:footer="680" w:gutter="0"/>
          <w:pgNumType/>
          <w:titlePg/>
          <w:docGrid w:linePitch="360"/>
        </w:sectPr>
      </w:pPr>
      <w:r>
        <w:t xml:space="preserve">Sterman · Business Dynamics</w:t>
      </w:r>
    </w:p>
    <w:p>
      <w:pPr>
        <w:pStyle w:val="Heading2"/>
      </w:pPr>
      <w:bookmarkStart w:name="b_3_7" w:id="3195"/>
      <w:r>
        <w:t xml:space="preserve">3.7 · Demoras de tiempo</w:t>
      </w:r>
      <w:bookmarkEnd w:id="3195"/>
    </w:p>
    <w:p>
      <w:pPr>
        <w:pStyle w:val="Subtitulo"/>
      </w:pPr>
      <w:r>
        <w:t xml:space="preserve">Las demoras de tiempo en las relaciones causales</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En una línea</w:t>
            </w:r>
          </w:p>
          <w:p>
            <w:pPr>
              <w:pStyle w:val="Recuadro"/>
            </w:pPr>
            <w:r>
              <w:t xml:space="preserve">Dos rayas sobre la flecha avisan de que causa y efecto no están cerca en el tiempo, y por eso la relación se vuelve invisible.</w:t>
            </w:r>
          </w:p>
        </w:tc>
      </w:tr>
    </w:tbl>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Qué te preguntan</w:t>
            </w:r>
          </w:p>
          <w:p>
            <w:pPr>
              <w:pStyle w:val="Recuadro"/>
            </w:pPr>
            <w:r>
              <w:t xml:space="preserve">Marcar la demora donde corresponde y explicar qué provoca: que el modelador no vea la relación causal durante un periodo y desista antes de tiempo. Los casos del curso son el refresco y la caries, el ejercicio y la condición física, y la fusión de dos aerolíneas con su caída del rendimiento.</w:t>
            </w:r>
          </w:p>
        </w:tc>
      </w:tr>
    </w:tbl>
    <w:p>
      <w:pPr>
        <w:pStyle w:val="Normal"/>
      </w:pPr>
      <w:r>
        <w:t xml:space="preserve">Una demora es el impacto del tiempo en una relación causal: el efecto tarda y quien observa el sistema o lee el modelo puede no verlo durante un periodo. Se marca con dos líneas atravesadas sobre la flecha que tarda, con la palabra «demora» opcional, o con un relojito de arena o de agujas. Al interpretar un modelo, la demora no niega la relación: quien no la entiende supone que no hay causa y desiste antes de tiempo, mientras el pensador sistémico monitorea los resultados y sus pequeños cambios.</w:t>
      </w:r>
    </w:p>
    <w:p>
      <w:pPr>
        <w:pStyle w:val="Heading3"/>
      </w:pPr>
      <w:r>
        <w:t xml:space="preserve">Vocabulario clave</w:t>
      </w:r>
    </w:p>
    <w:p>
      <w:pPr>
        <w:pStyle w:val="Normal"/>
      </w:pPr>
      <w:r>
        <w:t xml:space="preserve">demora (retraso, retardo) · dos líneas atravesadas sobre la flecha · relojito de arena o de agujas · escala de tiempo o ventana de observación · ciclo presente pero imperceptible · desistir antes de tiempo · monitoreo de los resultados y sus pequeños cambios</w:t>
      </w:r>
    </w:p>
    <w:p>
      <w:pPr>
        <w:pStyle w:val="Fuente"/>
      </w:pPr>
      <w:r>
        <w:t xml:space="preserve">Recorrido: desarrollo conceptual → presentaciones → explicación en clase → errores y fuentes → práctica → solucionario.</w:t>
      </w:r>
    </w:p>
    <w:p>
      <w:pPr>
        <w:pStyle w:val="Heading3"/>
      </w:pPr>
      <w:bookmarkStart w:name="b_lectura_p7" w:id="3196"/>
      <w:r>
        <w:t xml:space="preserve">P7. Demoras y sobrecorrección</w:t>
      </w:r>
      <w:bookmarkEnd w:id="3196"/>
    </w:p>
    <w:p>
      <w:pPr>
        <w:pStyle w:val="Normal"/>
      </w:pPr>
      <w:r>
        <w:t xml:space="preserve">Una demora es un intervalo entre una acción o cambio y la manifestación de un efecto. Puede ocurrir en entregas, formación de capacidades, percepción de información o respuestas físicas.</w:t>
      </w:r>
    </w:p>
    <w:p>
      <w:pPr>
        <w:pStyle w:val="Normal"/>
      </w:pPr>
      <w:r>
        <w:t xml:space="preserve">Ejemplo trabajado: hay 80 libros y se piden 20 para llegar a 100. Si otro encargado ignora ese pedido en tránsito y pide otros 20, al llegar ambos habrá 120. La información sobre pedidos pendientes ayuda a evitar la sobrecorrección.</w:t>
      </w:r>
    </w:p>
    <w:p>
      <w:pPr>
        <w:pStyle w:val="Normal"/>
      </w:pPr>
      <w:r>
        <w:t xml:space="preserve">En la calefacción, aumentar repetidamente la potencia sin dar tiempo a observar su efecto puede sobrepasar la temperatura deseada. La demora </w:t>
      </w:r>
      <w:r>
        <w:rPr>
          <w:b/>
          <w:bCs/>
        </w:rPr>
        <w:t xml:space="preserve">no cambia automáticamente los signos del ciclo ni lo convierte en refuerzo</w:t>
      </w:r>
      <w:r>
        <w:t xml:space="preserve">. Un balance con demora puede sobrepasar una meta u oscilar.</w:t>
      </w:r>
    </w:p>
    <w:p>
      <w:pPr>
        <w:pStyle w:val="Normal"/>
      </w:pPr>
      <w:r>
        <w:t xml:space="preserve">Esperar tiene sentido cuando se vincula al tiempo de respuesta del proceso y a indicadores de seguimiento; no consiste en esperar cualquier plazo por costumbre. Tampoco hay que suponer que toda intervención funcionará si se espera suficiente.</w:t>
      </w:r>
    </w:p>
    <w:p>
      <w:pPr>
        <w:pStyle w:val="Heading3"/>
      </w:pPr>
      <w:r>
        <w:t xml:space="preserve">Definición y notación como las dio la clase</w:t>
      </w:r>
    </w:p>
    <w:p>
      <w:pPr>
        <w:pStyle w:val="Normal"/>
      </w:pPr>
      <w:r>
        <w:t xml:space="preserve">Demora: el impacto del tiempo en una relación causal; la relación tarda, y quien lee el modelo puede no verla durante un periodo.</w:t>
      </w:r>
    </w:p>
    <w:p>
      <w:pPr>
        <w:pStyle w:val="Normal"/>
      </w:pPr>
      <w:r>
        <w:t xml:space="preserve">Si la escala de tiempo de la relación excede lo que se percibe, se pierde la dinámica del sistema; las demoras son muy comunes en los sistemas complejos.</w:t>
      </w:r>
    </w:p>
    <w:p>
      <w:pPr>
        <w:pStyle w:val="Normal"/>
      </w:pPr>
      <w:r>
        <w:t xml:space="preserve">Notación: dos líneas sobre la flecha, con la palabra «demora» o sin ella; otros autores dibujan en su lugar un relojito de arena o de agujas.</w:t>
      </w:r>
    </w:p>
    <w:p>
      <w:pPr>
        <w:pStyle w:val="Normal"/>
      </w:pPr>
      <w:r>
        <w:t xml:space="preserve">La marca dice que la relación se va a producir, pero que se percibirá después de algún tiempo: «el ciclo está presente, pero yo no lo percibo».</w:t>
      </w:r>
    </w:p>
    <w:p>
      <w:pPr>
        <w:pStyle w:val="Normal"/>
      </w:pPr>
      <w:r>
        <w:t xml:space="preserve">En la revisión de diagramas se aceptó cualquier figura para las variables (círculo, rectángulo o ninguna), pero la demora debía marcarse con la palabra «demora» o con dos líneas atravesadas.</w:t>
      </w:r>
    </w:p>
    <w:p>
      <w:pPr>
        <w:pStyle w:val="Normal"/>
      </w:pPr>
      <w:r>
        <w:t xml:space="preserve">En la clase 12 apareció como «retraso», sin notación: entre semillas y raíces pasan horas, días o, en algunas plantas, semanas, según factores del medio no descritos en el modelo.</w:t>
      </w:r>
    </w:p>
    <w:p>
      <w:pPr>
        <w:pStyle w:val="Fuente"/>
      </w:pPr>
      <w:r>
        <w:t xml:space="preserve">Clase 12 · 00:57:24–00:57:55 · Clase 15 · 01:25:55–01:26:18 · Clase 15 · 01:32:55–01:33:55 · Clase 15 · 01:36:37–01:37:01 · Clase 16 · 00:16:29–00:17:19 · Clase 16 · 01:06:16–01:06:35 · Clase 16 · 01:11:07–01:11:25 · Clase 16 · 01:18:28–01:19:02</w:t>
      </w:r>
    </w:p>
    <w:p>
      <w:pPr>
        <w:pStyle w:val="Heading3"/>
      </w:pPr>
      <w:r>
        <w:t xml:space="preserve">Casos resueltos en clase</w:t>
      </w:r>
    </w:p>
    <w:p>
      <w:pPr>
        <w:pStyle w:val="Normal"/>
      </w:pPr>
      <w:r>
        <w:t xml:space="preserve">Ejercicio: a más ejercicio, mejor condición física, con muchas demoras (las pesas de hoy no dan músculos mañana); condición física → satisfacción personal → motivación → ejercicio, en semanas o meses.</w:t>
      </w:r>
    </w:p>
    <w:p>
      <w:pPr>
        <w:pStyle w:val="Normal"/>
      </w:pPr>
      <w:r>
        <w:t xml:space="preserve">Ese ciclo, «la mayoría de veces de refuerzo», es imperceptible y lleva a dudar y desistir; sin resultados visibles hace falta otro motivador, alguna proalimentación.</w:t>
      </w:r>
    </w:p>
    <w:p>
      <w:pPr>
        <w:pStyle w:val="Normal"/>
      </w:pPr>
      <w:r>
        <w:t xml:space="preserve">Caries por bebidas carbonatadas: no aparecen de inmediato y por eso se cree que el consumo no tiene consecuencia.</w:t>
      </w:r>
    </w:p>
    <w:p>
      <w:pPr>
        <w:pStyle w:val="Normal"/>
      </w:pPr>
      <w:r>
        <w:t xml:space="preserve">Diagrama de caries valorado como buen modelo: consumo →+ exposición al azúcar →+ (demora) caries →+ (demora) dolor →+ visitas al dentista →+ conciencia de las consecuencias →− consumo; balance marcado; no distinguió la pasta dental.</w:t>
      </w:r>
    </w:p>
    <w:p>
      <w:pPr>
        <w:pStyle w:val="Normal"/>
      </w:pPr>
      <w:r>
        <w:t xml:space="preserve">Otro diagrama de caries: refrescos azucarados →+ caries →+ dolor de muelas →+ visitas al dentista →− refrescos; un solo negativo, compensación; faltó anotar la polaridad del ciclo.</w:t>
      </w:r>
    </w:p>
    <w:p>
      <w:pPr>
        <w:pStyle w:val="Normal"/>
      </w:pPr>
      <w:r>
        <w:t xml:space="preserve">Fusión de dos aerolíneas: las ganancias llegan en meses o años; cancelarla a los dos o tres meses sólo acierta temporalmente. «No es que no funcionara esa estructura, sino que sólo requería más tiempo».</w:t>
      </w:r>
    </w:p>
    <w:p>
      <w:pPr>
        <w:pStyle w:val="Normal"/>
      </w:pPr>
      <w:r>
        <w:t xml:space="preserve">Culpa, modelo 2: la solución real forma el balance B2, con demora. En el caso de Ana, un modelo más real, no exigido, tiene cuatro ciclos: el trabajo extra, con demora, baja la productividad si se excede la capacidad.</w:t>
      </w:r>
    </w:p>
    <w:p>
      <w:pPr>
        <w:pStyle w:val="Fuente"/>
      </w:pPr>
      <w:r>
        <w:t xml:space="preserve">Clase 15 · 01:33:58–01:38:33 · Clase 16 · 00:38:37–00:39:57 · Clase 16 · 01:06:28–01:07:15 · Clase 16 · 01:08:43–01:13:40 · Clase 16 · 01:16:24–01:20:09 · Clase 16 · 01:44:51–01:45:40</w:t>
      </w:r>
    </w:p>
    <w:p>
      <w:pPr>
        <w:pStyle w:val="Heading3"/>
      </w:pPr>
      <w:r>
        <w:t xml:space="preserve">Lo que advirtió</w:t>
      </w:r>
    </w:p>
    <w:p>
      <w:pPr>
        <w:pStyle w:val="Normal"/>
      </w:pPr>
      <w:r>
        <w:t xml:space="preserve">Quien no entiende la demora supone que no hay relación causal y desiste antes de tiempo.</w:t>
      </w:r>
    </w:p>
    <w:p>
      <w:pPr>
        <w:pStyle w:val="Normal"/>
      </w:pPr>
      <w:r>
        <w:t xml:space="preserve">El pensador sistémico monitorea los resultados y sus pequeños cambios.</w:t>
      </w:r>
    </w:p>
    <w:p>
      <w:pPr>
        <w:pStyle w:val="Normal"/>
      </w:pPr>
      <w:r>
        <w:t xml:space="preserve">Si la ventana de tiempo es muy extensa, hay que apoyarse en modelos de otros autores y en evidencias, y probarlos.</w:t>
      </w:r>
    </w:p>
    <w:p>
      <w:pPr>
        <w:pStyle w:val="Normal"/>
      </w:pPr>
      <w:r>
        <w:t xml:space="preserve">Presa-depredador: creer que los zorros acabarán con los conejos es una perspectiva lineal y reduccionista; hay demoras no dibujadas.</w:t>
      </w:r>
    </w:p>
    <w:p>
      <w:pPr>
        <w:pStyle w:val="Fuente"/>
      </w:pPr>
      <w:r>
        <w:t xml:space="preserve">Clase 15 · 01:36:54–01:37:51 · Clase 16 · 01:04:18–01:04:49 · Clase 16 · 01:07:05–01:08:16 · Clase 16 · 01:11:16–01:11:53</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Procedimiento</w:t>
            </w:r>
          </w:p>
          <w:p>
            <w:pPr>
              <w:pStyle w:val="Recuadro"/>
            </w:pPr>
            <w:r>
              <w:t xml:space="preserve">Cómo se trata una demora al diagramar y al interpretar</w:t>
            </w:r>
          </w:p>
          <w:p>
            <w:pPr>
              <w:pStyle w:val="Recuadro"/>
            </w:pPr>
            <w:r>
              <w:t xml:space="preserve">1. </w:t>
            </w:r>
            <w:r>
              <w:rPr>
                <w:b/>
                <w:bCs/>
              </w:rPr>
              <w:t xml:space="preserve">Localizar la relación que tarda.</w:t>
            </w:r>
            <w:r>
              <w:t xml:space="preserve"> Se busca la flecha cuyo efecto no aparece de inmediato: ejercicio → condición física; exposición al azúcar → caries y caries → dolor. (Clase 15 · 01:33:58–01:38:03 · Clase 16 · 01:18:41–01:20:09)</w:t>
            </w:r>
          </w:p>
          <w:p>
            <w:pPr>
              <w:pStyle w:val="Recuadro"/>
            </w:pPr>
            <w:r>
              <w:t xml:space="preserve">2. </w:t>
            </w:r>
            <w:r>
              <w:rPr>
                <w:b/>
                <w:bCs/>
              </w:rPr>
              <w:t xml:space="preserve">Marcar la flecha.</w:t>
            </w:r>
            <w:r>
              <w:t xml:space="preserve"> Se dibujan dos líneas atravesadas sobre esa flecha, con la palabra «demora» opcional o un relojito; en el diagrama de caries bien valorado, las flechas con demora conservaron su polaridad y el ciclo su clasificación. (Clase 15 · 01:32:55–01:33:30 · Clase 16 · 01:18:28–01:20:09)</w:t>
            </w:r>
          </w:p>
          <w:p>
            <w:pPr>
              <w:pStyle w:val="Recuadro"/>
            </w:pPr>
            <w:r>
              <w:t xml:space="preserve">3. </w:t>
            </w:r>
            <w:r>
              <w:rPr>
                <w:b/>
                <w:bCs/>
              </w:rPr>
              <w:t xml:space="preserve">Estimar la ventana de tiempo.</w:t>
            </w:r>
            <w:r>
              <w:t xml:space="preserve"> Se juzga si la escala de tiempo excede lo que se percibe (horas, días, semanas, meses o años); si la ventana es muy extensa, se recurre a modelos de otros autores y evidencias. (Clase 12 · 00:57:24–00:57:55 · Clase 15 · 01:36:54–01:37:51 · Clase 16 · 00:16:29–00:17:19 · Clase 16 · 01:08:43–01:10:35)</w:t>
            </w:r>
          </w:p>
          <w:p>
            <w:pPr>
              <w:pStyle w:val="Recuadro"/>
            </w:pPr>
            <w:r>
              <w:t xml:space="preserve">4. </w:t>
            </w:r>
            <w:r>
              <w:rPr>
                <w:b/>
                <w:bCs/>
              </w:rPr>
              <w:t xml:space="preserve">Interpretar sin desistir.</w:t>
            </w:r>
            <w:r>
              <w:t xml:space="preserve"> Ausencia de resultados visibles no significa ausencia de relación: se monitorean resultados y pequeños cambios antes de cancelar, como en la fusión de las aerolíneas. (Clase 16 · 01:07:05–01:13:40)</w:t>
            </w:r>
          </w:p>
          <w:p>
            <w:pPr>
              <w:pStyle w:val="Recuadro"/>
            </w:pPr>
            <w:r>
              <w:t xml:space="preserve">La demora no niega la relación causal: sólo pide más tiempo para ver su efecto.</w:t>
            </w:r>
          </w:p>
        </w:tc>
      </w:tr>
    </w:tbl>
    <w:p>
      <w:pPr>
        <w:pStyle w:val="Heading3"/>
      </w:pPr>
      <w:bookmarkStart w:name="b_tabla_3_7_g2_habitos_complejo" w:id="3197"/>
      <w:r>
        <w:t xml:space="preserve">Los cinco hábitos del pensador sistémico complejo</w:t>
      </w:r>
      <w:bookmarkEnd w:id="3197"/>
    </w:p>
    <w:tbl>
      <w:tblPr>
        <w:tblW w:type="dxa" w:w="9632"/>
        <w:tblBorders>
          <w:top w:val="single" w:color="C5D5DB" w:sz="4"/>
          <w:left w:val="single" w:color="C5D5DB" w:sz="4"/>
          <w:bottom w:val="single" w:color="C5D5DB" w:sz="4"/>
          <w:right w:val="single" w:color="C5D5DB" w:sz="4"/>
          <w:insideH w:val="single" w:color="E4E9EB" w:sz="3"/>
          <w:insideV w:val="single" w:color="E4E9EB" w:sz="3"/>
        </w:tblBorders>
        <w:tblLayout w:type="fixed"/>
      </w:tblPr>
      <w:tblGrid>
        <w:gridCol w:w="3212"/>
        <w:gridCol w:w="3210"/>
        <w:gridCol w:w="3210"/>
      </w:tblGrid>
      <w:tr>
        <w:trPr>
          <w:cantSplit/>
          <w:tblHeader/>
        </w:trPr>
        <w:tc>
          <w:tcPr>
            <w:tcW w:type="dxa" w:w="3212"/>
            <w:shd w:fill="DFEAF0" w:val="clear"/>
            <w:tcMar>
              <w:top w:type="dxa" w:w="80"/>
              <w:left w:type="dxa" w:w="100"/>
              <w:bottom w:type="dxa" w:w="80"/>
              <w:right w:type="dxa" w:w="100"/>
            </w:tcMar>
          </w:tcPr>
          <w:p>
            <w:pPr>
              <w:pStyle w:val="Tabla"/>
            </w:pPr>
            <w:r>
              <w:rPr>
                <w:b/>
                <w:bCs/>
              </w:rPr>
              <w:t xml:space="preserve">Hábito</w:t>
            </w:r>
          </w:p>
        </w:tc>
        <w:tc>
          <w:tcPr>
            <w:tcW w:type="dxa" w:w="3210"/>
            <w:shd w:fill="DFEAF0" w:val="clear"/>
            <w:tcMar>
              <w:top w:type="dxa" w:w="80"/>
              <w:left w:type="dxa" w:w="100"/>
              <w:bottom w:type="dxa" w:w="80"/>
              <w:right w:type="dxa" w:w="100"/>
            </w:tcMar>
          </w:tcPr>
          <w:p>
            <w:pPr>
              <w:pStyle w:val="Tabla"/>
            </w:pPr>
            <w:r>
              <w:rPr>
                <w:b/>
                <w:bCs/>
              </w:rPr>
              <w:t xml:space="preserve">Qué pide</w:t>
            </w:r>
          </w:p>
        </w:tc>
        <w:tc>
          <w:tcPr>
            <w:tcW w:type="dxa" w:w="3210"/>
            <w:shd w:fill="DFEAF0" w:val="clear"/>
            <w:tcMar>
              <w:top w:type="dxa" w:w="80"/>
              <w:left w:type="dxa" w:w="100"/>
              <w:bottom w:type="dxa" w:w="80"/>
              <w:right w:type="dxa" w:w="100"/>
            </w:tcMar>
          </w:tcPr>
          <w:p>
            <w:pPr>
              <w:pStyle w:val="Tabla"/>
            </w:pPr>
            <w:r>
              <w:rPr>
                <w:b/>
                <w:bCs/>
              </w:rPr>
              <w:t xml:space="preserve">Lección donde se practica</w:t>
            </w:r>
          </w:p>
        </w:tc>
      </w:tr>
      <w:tr>
        <w:trPr>
          <w:cantSplit/>
          <w:tblHeader w:val="off"/>
        </w:trPr>
        <w:tc>
          <w:tcPr>
            <w:tcW w:type="dxa" w:w="3212"/>
            <w:tcMar>
              <w:top w:type="dxa" w:w="80"/>
              <w:left w:type="dxa" w:w="100"/>
              <w:bottom w:type="dxa" w:w="80"/>
              <w:right w:type="dxa" w:w="100"/>
            </w:tcMar>
          </w:tcPr>
          <w:p>
            <w:pPr>
              <w:pStyle w:val="Tabla"/>
            </w:pPr>
            <w:r>
              <w:t xml:space="preserve">Observa patrones en el tiempo</w:t>
            </w:r>
          </w:p>
        </w:tc>
        <w:tc>
          <w:tcPr>
            <w:tcW w:type="dxa" w:w="3210"/>
            <w:tcMar>
              <w:top w:type="dxa" w:w="80"/>
              <w:left w:type="dxa" w:w="100"/>
              <w:bottom w:type="dxa" w:w="80"/>
              <w:right w:type="dxa" w:w="100"/>
            </w:tcMar>
          </w:tcPr>
          <w:p>
            <w:pPr>
              <w:pStyle w:val="Tabla"/>
            </w:pPr>
            <w:r>
              <w:t xml:space="preserve">Mirar tendencias, no solo eventos aislados.</w:t>
            </w:r>
          </w:p>
        </w:tc>
        <w:tc>
          <w:tcPr>
            <w:tcW w:type="dxa" w:w="3210"/>
            <w:tcMar>
              <w:top w:type="dxa" w:w="80"/>
              <w:left w:type="dxa" w:w="100"/>
              <w:bottom w:type="dxa" w:w="80"/>
              <w:right w:type="dxa" w:w="100"/>
            </w:tcMar>
          </w:tcPr>
          <w:p>
            <w:pPr>
              <w:pStyle w:val="Tabla"/>
            </w:pPr>
            <w:r>
              <w:t xml:space="preserve">Patrones y tendencias</w:t>
            </w:r>
          </w:p>
        </w:tc>
      </w:tr>
      <w:tr>
        <w:trPr>
          <w:cantSplit/>
          <w:tblHeader w:val="off"/>
        </w:trPr>
        <w:tc>
          <w:tcPr>
            <w:tcW w:type="dxa" w:w="3212"/>
            <w:tcMar>
              <w:top w:type="dxa" w:w="80"/>
              <w:left w:type="dxa" w:w="100"/>
              <w:bottom w:type="dxa" w:w="80"/>
              <w:right w:type="dxa" w:w="100"/>
            </w:tcMar>
          </w:tcPr>
          <w:p>
            <w:pPr>
              <w:pStyle w:val="Tabla"/>
            </w:pPr>
            <w:r>
              <w:t xml:space="preserve">Hace conexiones significativas</w:t>
            </w:r>
          </w:p>
        </w:tc>
        <w:tc>
          <w:tcPr>
            <w:tcW w:type="dxa" w:w="3210"/>
            <w:tcMar>
              <w:top w:type="dxa" w:w="80"/>
              <w:left w:type="dxa" w:w="100"/>
              <w:bottom w:type="dxa" w:w="80"/>
              <w:right w:type="dxa" w:w="100"/>
            </w:tcMar>
          </w:tcPr>
          <w:p>
            <w:pPr>
              <w:pStyle w:val="Tabla"/>
            </w:pPr>
            <w:r>
              <w:t xml:space="preserve">Ver cómo se relacionan las partes, y unos sistemas con otros.</w:t>
            </w:r>
          </w:p>
        </w:tc>
        <w:tc>
          <w:tcPr>
            <w:tcW w:type="dxa" w:w="3210"/>
            <w:tcMar>
              <w:top w:type="dxa" w:w="80"/>
              <w:left w:type="dxa" w:w="100"/>
              <w:bottom w:type="dxa" w:w="80"/>
              <w:right w:type="dxa" w:w="100"/>
            </w:tcMar>
          </w:tcPr>
          <w:p>
            <w:pPr>
              <w:pStyle w:val="Tabla"/>
            </w:pPr>
            <w:r>
              <w:t xml:space="preserve">Interdependencias</w:t>
            </w:r>
          </w:p>
        </w:tc>
      </w:tr>
      <w:tr>
        <w:trPr>
          <w:cantSplit/>
          <w:tblHeader w:val="off"/>
        </w:trPr>
        <w:tc>
          <w:tcPr>
            <w:tcW w:type="dxa" w:w="3212"/>
            <w:tcMar>
              <w:top w:type="dxa" w:w="80"/>
              <w:left w:type="dxa" w:w="100"/>
              <w:bottom w:type="dxa" w:w="80"/>
              <w:right w:type="dxa" w:w="100"/>
            </w:tcMar>
          </w:tcPr>
          <w:p>
            <w:pPr>
              <w:pStyle w:val="Tabla"/>
            </w:pPr>
            <w:r>
              <w:t xml:space="preserve">Causa y efecto circular</w:t>
            </w:r>
          </w:p>
        </w:tc>
        <w:tc>
          <w:tcPr>
            <w:tcW w:type="dxa" w:w="3210"/>
            <w:tcMar>
              <w:top w:type="dxa" w:w="80"/>
              <w:left w:type="dxa" w:w="100"/>
              <w:bottom w:type="dxa" w:w="80"/>
              <w:right w:type="dxa" w:w="100"/>
            </w:tcMar>
          </w:tcPr>
          <w:p>
            <w:pPr>
              <w:pStyle w:val="Tabla"/>
            </w:pPr>
            <w:r>
              <w:t xml:space="preserve">La causa y el efecto forman bucles, no líneas.</w:t>
            </w:r>
          </w:p>
        </w:tc>
        <w:tc>
          <w:tcPr>
            <w:tcW w:type="dxa" w:w="3210"/>
            <w:tcMar>
              <w:top w:type="dxa" w:w="80"/>
              <w:left w:type="dxa" w:w="100"/>
              <w:bottom w:type="dxa" w:w="80"/>
              <w:right w:type="dxa" w:w="100"/>
            </w:tcMar>
          </w:tcPr>
          <w:p>
            <w:pPr>
              <w:pStyle w:val="Tabla"/>
            </w:pPr>
            <w:r>
              <w:t xml:space="preserve">Hábito 08 · Causalidad circular</w:t>
            </w:r>
          </w:p>
        </w:tc>
      </w:tr>
      <w:tr>
        <w:trPr>
          <w:cantSplit/>
          <w:tblHeader w:val="off"/>
        </w:trPr>
        <w:tc>
          <w:tcPr>
            <w:tcW w:type="dxa" w:w="3212"/>
            <w:tcMar>
              <w:top w:type="dxa" w:w="80"/>
              <w:left w:type="dxa" w:w="100"/>
              <w:bottom w:type="dxa" w:w="80"/>
              <w:right w:type="dxa" w:w="100"/>
            </w:tcMar>
          </w:tcPr>
          <w:p>
            <w:pPr>
              <w:pStyle w:val="Tabla"/>
            </w:pPr>
            <w:r>
              <w:t xml:space="preserve">La estructura genera el comportamiento</w:t>
            </w:r>
          </w:p>
        </w:tc>
        <w:tc>
          <w:tcPr>
            <w:tcW w:type="dxa" w:w="3210"/>
            <w:tcMar>
              <w:top w:type="dxa" w:w="80"/>
              <w:left w:type="dxa" w:w="100"/>
              <w:bottom w:type="dxa" w:w="80"/>
              <w:right w:type="dxa" w:w="100"/>
            </w:tcMar>
          </w:tcPr>
          <w:p>
            <w:pPr>
              <w:pStyle w:val="Tabla"/>
            </w:pPr>
            <w:r>
              <w:t xml:space="preserve">El comportamiento nace del diseño del sistema.</w:t>
            </w:r>
          </w:p>
        </w:tc>
        <w:tc>
          <w:tcPr>
            <w:tcW w:type="dxa" w:w="3210"/>
            <w:tcMar>
              <w:top w:type="dxa" w:w="80"/>
              <w:left w:type="dxa" w:w="100"/>
              <w:bottom w:type="dxa" w:w="80"/>
              <w:right w:type="dxa" w:w="100"/>
            </w:tcMar>
          </w:tcPr>
          <w:p>
            <w:pPr>
              <w:pStyle w:val="Tabla"/>
            </w:pPr>
            <w:r>
              <w:t xml:space="preserve">Hábito 07 · Estructura</w:t>
            </w:r>
          </w:p>
        </w:tc>
      </w:tr>
      <w:tr>
        <w:trPr>
          <w:cantSplit/>
          <w:tblHeader w:val="off"/>
        </w:trPr>
        <w:tc>
          <w:tcPr>
            <w:tcW w:type="dxa" w:w="3212"/>
            <w:tcMar>
              <w:top w:type="dxa" w:w="80"/>
              <w:left w:type="dxa" w:w="100"/>
              <w:bottom w:type="dxa" w:w="80"/>
              <w:right w:type="dxa" w:w="100"/>
            </w:tcMar>
          </w:tcPr>
          <w:p>
            <w:pPr>
              <w:pStyle w:val="Tabla"/>
            </w:pPr>
            <w:r>
              <w:t xml:space="preserve">Reconoce las demoras</w:t>
            </w:r>
          </w:p>
        </w:tc>
        <w:tc>
          <w:tcPr>
            <w:tcW w:type="dxa" w:w="3210"/>
            <w:tcMar>
              <w:top w:type="dxa" w:w="80"/>
              <w:left w:type="dxa" w:w="100"/>
              <w:bottom w:type="dxa" w:w="80"/>
              <w:right w:type="dxa" w:w="100"/>
            </w:tcMar>
          </w:tcPr>
          <w:p>
            <w:pPr>
              <w:pStyle w:val="Tabla"/>
            </w:pPr>
            <w:r>
              <w:t xml:space="preserve">El efecto llega tarde: cuidado con sobre-reaccionar.</w:t>
            </w:r>
          </w:p>
        </w:tc>
        <w:tc>
          <w:tcPr>
            <w:tcW w:type="dxa" w:w="3210"/>
            <w:tcMar>
              <w:top w:type="dxa" w:w="80"/>
              <w:left w:type="dxa" w:w="100"/>
              <w:bottom w:type="dxa" w:w="80"/>
              <w:right w:type="dxa" w:w="100"/>
            </w:tcMar>
          </w:tcPr>
          <w:p>
            <w:pPr>
              <w:pStyle w:val="Tabla"/>
            </w:pPr>
            <w:r>
              <w:t xml:space="preserve">Demoras</w:t>
            </w:r>
          </w:p>
        </w:tc>
      </w:tr>
    </w:tbl>
    <w:p>
      <w:pPr>
        <w:pStyle w:val="Fuente"/>
      </w:pPr>
      <w:r>
        <w:t xml:space="preserve">Láminas c15-01 y c16-01: la banda de cinco tarjetas de estructuras sistémicas del Waters Center que las clases 15 y 16 recorrieron.</w:t>
      </w:r>
    </w:p>
    <w:p>
      <w:pPr>
        <w:pStyle w:val="Heading3"/>
      </w:pPr>
      <w:r>
        <w:t xml:space="preserve">Lo que dicen las presentaciones</w:t>
      </w:r>
    </w:p>
    <w:p>
      <w:pPr>
        <w:pStyle w:val="Heading3"/>
      </w:pPr>
      <w:bookmarkStart w:name="b_pagina_3_7_C_5_p22" w:id="3198"/>
      <w:r>
        <w:t xml:space="preserve">C-5 · página 22 · Los catorce hábitos del pensador de sistemas</w:t>
      </w:r>
      <w:bookmarkEnd w:id="3198"/>
    </w:p>
    <w:p>
      <w:pPr>
        <w:pStyle w:val="Normal"/>
      </w:pPr>
      <w:r>
        <w:t xml:space="preserve">Póster general de catorce hábitos; el catálogo del portal utiliza otra numeración.</w:t>
      </w:r>
    </w:p>
    <w:p>
      <w:pPr>
        <w:pStyle w:val="Fuente"/>
      </w:pPr>
      <w:r>
        <w:t xml:space="preserve">Proyección o explicación: Clase 3 · 01:02:03 · captura c3-03.</w:t>
      </w:r>
    </w:p>
    <w:p>
      <w:pPr>
        <w:pStyle w:val="Fuente"/>
      </w:pPr>
      <w:r>
        <w:t xml:space="preserve">Véase </w:t>
      </w:r>
      <w:hyperlink w:history="1" w:anchor="b_figura_original_pagina_C_5_22">
        <w:r>
          <w:rPr>
            <w:color w:val="156B70"/>
            <w:u w:val="single"/>
          </w:rPr>
          <w:t xml:space="preserve">imagen de C-5, página 22</w:t>
        </w:r>
      </w:hyperlink>
      <w:r>
        <w:t xml:space="preserve">, pág. </w:t>
      </w:r>
      <w:r>
        <w:fldChar w:fldCharType="begin"/>
        <w:instrText xml:space="preserve">PAGEREF b_figura_original_pagina_C_5_22 \h</w:instrText>
        <w:fldChar w:fldCharType="separate"/>
        <w:t xml:space="preserve">199</w:t>
        <w:fldChar w:fldCharType="end"/>
      </w:r>
      <w:r>
        <w:t xml:space="preserve">.</w:t>
      </w:r>
    </w:p>
    <w:p>
      <w:bookmarkStart w:name="b_punto_c5_p022_13" w:id="3199"/>
      <w:r>
        <w:t xml:space="preserve">Demoras: reconocer su efecto al explorar causalidad.</w:t>
      </w:r>
      <w:bookmarkEnd w:id="3199"/>
    </w:p>
    <w:p>
      <w:pPr>
        <w:pStyle w:val="Fuente"/>
      </w:pPr>
      <w:r>
        <w:t xml:space="preserve">Véase </w:t>
      </w:r>
      <w:hyperlink w:history="1" w:anchor="b_1_8">
        <w:r>
          <w:rPr>
            <w:color w:val="156B70"/>
            <w:u w:val="single"/>
          </w:rPr>
          <w:t xml:space="preserve">capítulo 1.8 · Hábitos del pensador</w:t>
        </w:r>
      </w:hyperlink>
      <w:r>
        <w:t xml:space="preserve">, pág. </w:t>
      </w:r>
      <w:r>
        <w:fldChar w:fldCharType="begin"/>
        <w:instrText xml:space="preserve">PAGEREF b_1_8 \h</w:instrText>
        <w:fldChar w:fldCharType="separate"/>
        <w:t xml:space="preserve">194</w:t>
        <w:fldChar w:fldCharType="end"/>
      </w:r>
      <w:r>
        <w:t xml:space="preserve">.</w:t>
      </w:r>
    </w:p>
    <w:p>
      <w:pPr>
        <w:pStyle w:val="Fuente"/>
      </w:pPr>
      <w:r>
        <w:t xml:space="preserve">Véase </w:t>
      </w:r>
      <w:hyperlink w:history="1" w:anchor="b_4_6">
        <w:r>
          <w:rPr>
            <w:color w:val="156B70"/>
            <w:u w:val="single"/>
          </w:rPr>
          <w:t xml:space="preserve">capítulo 4.6 · Toma de decisiones</w:t>
        </w:r>
      </w:hyperlink>
      <w:r>
        <w:t xml:space="preserve">, pág. </w:t>
      </w:r>
      <w:r>
        <w:fldChar w:fldCharType="begin"/>
        <w:instrText xml:space="preserve">PAGEREF b_4_6 \h</w:instrText>
        <w:fldChar w:fldCharType="separate"/>
        <w:t xml:space="preserve">884</w:t>
        <w:fldChar w:fldCharType="end"/>
      </w:r>
      <w:r>
        <w:t xml:space="preserve">.</w:t>
      </w:r>
    </w:p>
    <w:p>
      <w:pPr>
        <w:pStyle w:val="Fuente"/>
      </w:pPr>
      <w:r>
        <w:t xml:space="preserve">Véase </w:t>
      </w:r>
      <w:hyperlink w:history="1" w:anchor="b_4_2">
        <w:r>
          <w:rPr>
            <w:color w:val="156B70"/>
            <w:u w:val="single"/>
          </w:rPr>
          <w:t xml:space="preserve">capítulo 4.2 · Flujos y niveles</w:t>
        </w:r>
      </w:hyperlink>
      <w:r>
        <w:t xml:space="preserve">, pág. </w:t>
      </w:r>
      <w:r>
        <w:fldChar w:fldCharType="begin"/>
        <w:instrText xml:space="preserve">PAGEREF b_4_2 \h</w:instrText>
        <w:fldChar w:fldCharType="separate"/>
        <w:t xml:space="preserve">709</w:t>
        <w:fldChar w:fldCharType="end"/>
      </w:r>
      <w:r>
        <w:t xml:space="preserve">.</w:t>
      </w:r>
    </w:p>
    <w:p>
      <w:pPr>
        <w:pStyle w:val="Heading3"/>
      </w:pPr>
      <w:bookmarkStart w:name="b_pagina_3_7_C_2_p83" w:id="3200"/>
      <w:r>
        <w:t xml:space="preserve">C-2 · página 83 · Demoras a lo largo del tiempo</w:t>
      </w:r>
      <w:bookmarkEnd w:id="3200"/>
    </w:p>
    <w:p>
      <w:pPr>
        <w:pStyle w:val="Normal"/>
      </w:pPr>
      <w:r>
        <w:t xml:space="preserve">La separación temporal o espacial puede ocultar la conexión entre una conducta y sus consecuencias.</w:t>
      </w:r>
    </w:p>
    <w:p>
      <w:pPr>
        <w:pStyle w:val="Fuente"/>
      </w:pPr>
      <w:r>
        <w:t xml:space="preserve">Proyección o explicación: Clase 14 · 01:34:39 · captura c14-15.</w:t>
      </w:r>
    </w:p>
    <w:p>
      <w:bookmarkStart w:name="b_punto_c2_p083_01" w:id="3201"/>
      <w:r>
        <w:t xml:space="preserve">Causa y efecto pueden separarse por tiempo/espacio; no ver el efecto inmediato no elimina la relación.</w:t>
      </w:r>
      <w:bookmarkEnd w:id="3201"/>
    </w:p>
    <w:p>
      <w:bookmarkStart w:name="b_punto_c2_p083_02" w:id="3202"/>
      <w:r>
        <w:t xml:space="preserve">Consumo habitual de refrescos azucarados sin cepillado adecuado puede contribuir a caries tras una demora.</w:t>
      </w:r>
      <w:bookmarkEnd w:id="3202"/>
    </w:p>
    <w:p>
      <w:bookmarkStart w:name="b_punto_c2_p083_03" w:id="3203"/>
      <w:r>
        <w:t xml:space="preserve">Dolor y visita al dentista llegan después, dificultando asociarlos con consumo previo.</w:t>
      </w:r>
      <w:bookmarkEnd w:id="3203"/>
    </w:p>
    <w:p>
      <w:bookmarkStart w:name="b_punto_c2_p083_04" w:id="3204"/>
      <w:r>
        <w:t xml:space="preserve">Visitas al dentista pueden aumentar conciencia de consecuencias y reducir consumo; la demora retrasa ese control.</w:t>
      </w:r>
      <w:bookmarkEnd w:id="3204"/>
    </w:p>
    <w:p>
      <w:pPr>
        <w:pStyle w:val="Heading3"/>
      </w:pPr>
      <w:bookmarkStart w:name="b_pagina_3_7_C_2_p95" w:id="3205"/>
      <w:r>
        <w:t xml:space="preserve">C-2 · página 95 · Reconoce el impacto de las demoras</w:t>
      </w:r>
      <w:bookmarkEnd w:id="3205"/>
    </w:p>
    <w:p>
      <w:pPr>
        <w:pStyle w:val="Normal"/>
      </w:pPr>
      <w:r>
        <w:t xml:space="preserve">Preguntar por el tiempo de respuesta y por el papel de los retardos antes de evaluar una intervención.</w:t>
      </w:r>
    </w:p>
    <w:p>
      <w:pPr>
        <w:pStyle w:val="Fuente"/>
      </w:pPr>
      <w:r>
        <w:t xml:space="preserve">Proyección o explicación: Clase 15 · 01:25:45 · captura c15-17.</w:t>
      </w:r>
    </w:p>
    <w:p>
      <w:pPr>
        <w:keepNext/>
        <w:spacing w:after="40" w:before="150"/>
        <w:jc w:val="center"/>
      </w:pPr>
      <w:bookmarkStart w:name="b_figura_original_pagina_C_2_95" w:id="3206"/>
      <w:bookmarkEnd w:id="3206"/>
      <w:r>
        <w:drawing>
          <wp:inline distT="0" distB="0" distL="0" distR="0">
            <wp:extent cx="5381625" cy="4162425"/>
            <wp:effectExtent t="0" r="0" b="0" l="0"/>
            <wp:docPr id="86" name="pagina-C-2-95" descr="Presentación C-2, pág. 95" title="Reconoce el impacto de las demor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71" cstate="none"/>
                    <a:srcRect/>
                    <a:stretch>
                      <a:fillRect/>
                    </a:stretch>
                  </pic:blipFill>
                  <pic:spPr bwMode="auto">
                    <a:xfrm>
                      <a:off x="0" y="0"/>
                      <a:ext cx="5381625" cy="4162425"/>
                    </a:xfrm>
                    <a:prstGeom prst="rect">
                      <a:avLst/>
                    </a:prstGeom>
                  </pic:spPr>
                </pic:pic>
              </a:graphicData>
            </a:graphic>
          </wp:inline>
        </w:drawing>
      </w:r>
    </w:p>
    <w:p>
      <w:pPr>
        <w:pStyle w:val="PieFigura"/>
        <w:keepNext/>
      </w:pPr>
      <w:bookmarkStart w:name="b_fig_3_7_1" w:id="3207"/>
      <w:r>
        <w:t xml:space="preserve">Figura 3.7.</w:t>
      </w:r>
      <w:fldSimple w:instr="SEQ Figura \r 1 \* ARABIC">
        <w:r>
          <w:t xml:space="preserve">1</w:t>
        </w:r>
      </w:fldSimple>
      <w:r>
        <w:t xml:space="preserve"> · Reconoce el impacto de las demoras</w:t>
      </w:r>
      <w:bookmarkEnd w:id="3207"/>
    </w:p>
    <w:p>
      <w:pPr>
        <w:pStyle w:val="Fuente"/>
      </w:pPr>
      <w:r>
        <w:t xml:space="preserve">Presentación C-2, pág. 95</w:t>
      </w:r>
    </w:p>
    <w:p>
      <w:bookmarkStart w:name="b_punto_c2_p095_01" w:id="3208"/>
      <w:r>
        <w:t xml:space="preserve">Causa y efecto pueden quedar separados en el tiempo; una ventana breve puede ocultar una relación que sí existe.</w:t>
      </w:r>
      <w:bookmarkEnd w:id="3208"/>
    </w:p>
    <w:p>
      <w:bookmarkStart w:name="b_punto_c2_p095_02" w:id="3209"/>
      <w:r>
        <w:t xml:space="preserve">Antes de cambiar el sistema se pregunta cuánto tardarán los resultados y si deben esperarse efectos demorados.</w:t>
      </w:r>
      <w:bookmarkEnd w:id="3209"/>
    </w:p>
    <w:p>
      <w:bookmarkStart w:name="b_punto_c2_p095_03" w:id="3210"/>
      <w:r>
        <w:t xml:space="preserve">Identificar el papel de la demora significa localizar la flecha que tarda y ajustar la ventana de observación.</w:t>
      </w:r>
      <w:bookmarkEnd w:id="3210"/>
    </w:p>
    <w:p>
      <w:bookmarkStart w:name="b_punto_c2_p095_04" w:id="3211"/>
      <w:r>
        <w:t xml:space="preserve">Cuánto esperar, dónde interviene la demora y si el resultado será inmediato o tardío</w:t>
      </w:r>
      <w:bookmarkEnd w:id="3211"/>
    </w:p>
    <w:p>
      <w:bookmarkStart w:name="b_punto_c2_p095_05" w:id="3212"/>
      <w:r>
        <w:t xml:space="preserve">Las clases 15–16 desarrollan demoras, notación y evaluación de resultados; cuantificación y simulación se amplían en Unidad 4.</w:t>
      </w:r>
      <w:bookmarkEnd w:id="3212"/>
    </w:p>
    <w:p>
      <w:pPr>
        <w:pStyle w:val="Heading3"/>
      </w:pPr>
      <w:bookmarkStart w:name="b_pagina_3_7_C_2_p96" w:id="3213"/>
      <w:r>
        <w:t xml:space="preserve">C-2 · página 96 · Las demoras en los diagramas causales</w:t>
      </w:r>
      <w:bookmarkEnd w:id="3213"/>
    </w:p>
    <w:p>
      <w:pPr>
        <w:pStyle w:val="Normal"/>
      </w:pPr>
      <w:r>
        <w:t xml:space="preserve">El ejercicio, la condición física y la satisfacción forman un refuerzo cuyo efecto tarda en aparecer.</w:t>
      </w:r>
    </w:p>
    <w:p>
      <w:pPr>
        <w:pStyle w:val="Fuente"/>
      </w:pPr>
      <w:r>
        <w:t xml:space="preserve">Proyección o explicación: Clase 15 · 01:33:00 · captura c15-18.</w:t>
      </w:r>
    </w:p>
    <w:p>
      <w:bookmarkStart w:name="b_punto_c2_p096_01" w:id="3214"/>
      <w:r>
        <w:t xml:space="preserve">La relación ejercicio→condición física no produce un resultado notable de inmediato.</w:t>
      </w:r>
      <w:bookmarkEnd w:id="3214"/>
    </w:p>
    <w:p>
      <w:bookmarkStart w:name="b_punto_c2_p096_02" w:id="3215"/>
      <w:r>
        <w:t xml:space="preserve">Dos segmentos que cruzan una flecha indican demora y no sustituyen el signo de esa relación.</w:t>
      </w:r>
      <w:bookmarkEnd w:id="3215"/>
    </w:p>
    <w:p>
      <w:bookmarkStart w:name="b_punto_c2_p096_03" w:id="3216"/>
      <w:r>
        <w:t xml:space="preserve">Ejercicio→condición física→satisfacción personal→ejercicio es un refuerzo, con demora en el primer vínculo.</w:t>
      </w:r>
      <w:bookmarkEnd w:id="3216"/>
    </w:p>
    <w:p>
      <w:bookmarkStart w:name="b_punto_c2_p096_04" w:id="3217"/>
      <w:r>
        <w:t xml:space="preserve">Conservar la motivación exige reconocer el retardo en lugar de negar la relación por no ver resultados inmediatos.</w:t>
      </w:r>
      <w:bookmarkEnd w:id="3217"/>
    </w:p>
    <w:p>
      <w:pPr>
        <w:pStyle w:val="Heading3"/>
      </w:pPr>
      <w:bookmarkStart w:name="b_pagina_3_7_C_2_p97" w:id="3218"/>
      <w:r>
        <w:t xml:space="preserve">C-2 · página 97 · Los cinco hábitos del pensador sistémico complejo</w:t>
      </w:r>
      <w:bookmarkEnd w:id="3218"/>
    </w:p>
    <w:p>
      <w:pPr>
        <w:pStyle w:val="Normal"/>
      </w:pPr>
      <w:r>
        <w:t xml:space="preserve">Repite la banda de patrones, conexiones, circularidad, estructura y demoras.</w:t>
      </w:r>
    </w:p>
    <w:p>
      <w:pPr>
        <w:pStyle w:val="Fuente"/>
      </w:pPr>
      <w:r>
        <w:t xml:space="preserve">Proyección o explicación: Clase 16 · 00:12:41 · captura c16-01.</w:t>
      </w:r>
    </w:p>
    <w:p>
      <w:pPr>
        <w:pStyle w:val="Fuente"/>
      </w:pPr>
      <w:r>
        <w:t xml:space="preserve">Véase </w:t>
      </w:r>
      <w:hyperlink w:history="1" w:anchor="b_figura_original_pagina_C_2_97">
        <w:r>
          <w:rPr>
            <w:color w:val="156B70"/>
            <w:u w:val="single"/>
          </w:rPr>
          <w:t xml:space="preserve">imagen de C-2, página 97</w:t>
        </w:r>
      </w:hyperlink>
      <w:r>
        <w:t xml:space="preserve">, pág. </w:t>
      </w:r>
      <w:r>
        <w:fldChar w:fldCharType="begin"/>
        <w:instrText xml:space="preserve">PAGEREF b_figura_original_pagina_C_2_97 \h</w:instrText>
        <w:fldChar w:fldCharType="separate"/>
        <w:t xml:space="preserve">603</w:t>
        <w:fldChar w:fldCharType="end"/>
      </w:r>
      <w:r>
        <w:t xml:space="preserve">.</w:t>
      </w:r>
    </w:p>
    <w:p>
      <w:bookmarkStart w:name="b_punto_c2_p097_05" w:id="3219"/>
      <w:r>
        <w:t xml:space="preserve">Reconocer el impacto de las demoras completa la banda de cinco hábitos.</w:t>
      </w:r>
      <w:bookmarkEnd w:id="3219"/>
    </w:p>
    <w:p>
      <w:pPr>
        <w:pStyle w:val="Fuente"/>
      </w:pPr>
      <w:r>
        <w:t xml:space="preserve">Véase </w:t>
      </w:r>
      <w:hyperlink w:history="1" w:anchor="b_3_8">
        <w:r>
          <w:rPr>
            <w:color w:val="156B70"/>
            <w:u w:val="single"/>
          </w:rPr>
          <w:t xml:space="preserve">capítulo 3.8 · Patrones y tendencias</w:t>
        </w:r>
      </w:hyperlink>
      <w:r>
        <w:t xml:space="preserve">, pág. </w:t>
      </w:r>
      <w:r>
        <w:fldChar w:fldCharType="begin"/>
        <w:instrText xml:space="preserve">PAGEREF b_3_8 \h</w:instrText>
        <w:fldChar w:fldCharType="separate"/>
        <w:t xml:space="preserve">597</w:t>
        <w:fldChar w:fldCharType="end"/>
      </w:r>
      <w:r>
        <w:t xml:space="preserve">.</w:t>
      </w:r>
    </w:p>
    <w:p>
      <w:pPr>
        <w:pStyle w:val="Fuente"/>
      </w:pPr>
      <w:r>
        <w:t xml:space="preserve">Véase </w:t>
      </w:r>
      <w:hyperlink w:history="1" w:anchor="b_3_9">
        <w:r>
          <w:rPr>
            <w:color w:val="156B70"/>
            <w:u w:val="single"/>
          </w:rPr>
          <w:t xml:space="preserve">capítulo 3.9 · Hábitos (complejo)</w:t>
        </w:r>
      </w:hyperlink>
      <w:r>
        <w:t xml:space="preserve">, pág. </w:t>
      </w:r>
      <w:r>
        <w:fldChar w:fldCharType="begin"/>
        <w:instrText xml:space="preserve">PAGEREF b_3_9 \h</w:instrText>
        <w:fldChar w:fldCharType="separate"/>
        <w:t xml:space="preserve">622</w:t>
        <w:fldChar w:fldCharType="end"/>
      </w:r>
      <w:r>
        <w:t xml:space="preserve">.</w:t>
      </w:r>
    </w:p>
    <w:p>
      <w:pPr>
        <w:pStyle w:val="Heading3"/>
      </w:pPr>
      <w:bookmarkStart w:name="b_pagina_3_7_C_2_p103" w:id="3220"/>
      <w:r>
        <w:t xml:space="preserve">C-2 · página 103 · Modelo presa-depredador</w:t>
      </w:r>
      <w:bookmarkEnd w:id="3220"/>
    </w:p>
    <w:p>
      <w:pPr>
        <w:pStyle w:val="Normal"/>
      </w:pPr>
      <w:r>
        <w:t xml:space="preserve">Nacimientos y muertes de conejos y zorros se acoplan mediante alimento y depredación.</w:t>
      </w:r>
    </w:p>
    <w:p>
      <w:pPr>
        <w:pStyle w:val="Fuente"/>
      </w:pPr>
      <w:r>
        <w:t xml:space="preserve">Proyección o explicación: Clase 16 · 01:02:36 · captura c16-09.</w:t>
      </w:r>
    </w:p>
    <w:p>
      <w:bookmarkStart w:name="b_punto_c2_p103_04" w:id="3221"/>
      <w:r>
        <w:t xml:space="preserve">La interpretación conjunta requiere reconocer demoras no dibujadas y no deducir que los zorros necesariamente extinguen a los conejos.</w:t>
      </w:r>
      <w:bookmarkEnd w:id="3221"/>
    </w:p>
    <w:p>
      <w:pPr>
        <w:pStyle w:val="Fuente"/>
      </w:pPr>
      <w:r>
        <w:t xml:space="preserve">Véase </w:t>
      </w:r>
      <w:hyperlink w:history="1" w:anchor="b_3_8">
        <w:r>
          <w:rPr>
            <w:color w:val="156B70"/>
            <w:u w:val="single"/>
          </w:rPr>
          <w:t xml:space="preserve">capítulo 3.8 · Patrones y tendencias</w:t>
        </w:r>
      </w:hyperlink>
      <w:r>
        <w:t xml:space="preserve">, pág. </w:t>
      </w:r>
      <w:r>
        <w:fldChar w:fldCharType="begin"/>
        <w:instrText xml:space="preserve">PAGEREF b_3_8 \h</w:instrText>
        <w:fldChar w:fldCharType="separate"/>
        <w:t xml:space="preserve">597</w:t>
        <w:fldChar w:fldCharType="end"/>
      </w:r>
      <w:r>
        <w:t xml:space="preserve">.</w:t>
      </w:r>
    </w:p>
    <w:p>
      <w:pPr>
        <w:pStyle w:val="Fuente"/>
      </w:pPr>
      <w:r>
        <w:t xml:space="preserve">Véase </w:t>
      </w:r>
      <w:hyperlink w:history="1" w:anchor="b_3_5">
        <w:r>
          <w:rPr>
            <w:color w:val="156B70"/>
            <w:u w:val="single"/>
          </w:rPr>
          <w:t xml:space="preserve">capítulo 3.5 · Refuerzo y compensación</w:t>
        </w:r>
      </w:hyperlink>
      <w:r>
        <w:t xml:space="preserve">, pág. </w:t>
      </w:r>
      <w:r>
        <w:fldChar w:fldCharType="begin"/>
        <w:instrText xml:space="preserve">PAGEREF b_3_5 \h</w:instrText>
        <w:fldChar w:fldCharType="separate"/>
        <w:t xml:space="preserve">501</w:t>
        <w:fldChar w:fldCharType="end"/>
      </w:r>
      <w:r>
        <w:t xml:space="preserve">.</w:t>
      </w:r>
    </w:p>
    <w:p>
      <w:pPr>
        <w:pStyle w:val="Heading3"/>
      </w:pPr>
      <w:bookmarkStart w:name="b_pagina_3_7_C_2_p104" w:id="3222"/>
      <w:r>
        <w:t xml:space="preserve">C-2 · página 104 · Los cinco hábitos del pensador sistémico complejo</w:t>
      </w:r>
      <w:bookmarkEnd w:id="3222"/>
    </w:p>
    <w:p>
      <w:pPr>
        <w:pStyle w:val="Normal"/>
      </w:pPr>
      <w:r>
        <w:t xml:space="preserve">Repite el repertorio de cinco hábitos que permite leer estructura, tiempo e interdependencias.</w:t>
      </w:r>
    </w:p>
    <w:p>
      <w:pPr>
        <w:pStyle w:val="Fuente"/>
      </w:pPr>
      <w:r>
        <w:t xml:space="preserve">Proyección o explicación: Clase 16 · 01:06:16 · captura c16-10.</w:t>
      </w:r>
    </w:p>
    <w:p>
      <w:bookmarkStart w:name="b_punto_c2_p104_05" w:id="3223"/>
      <w:r>
        <w:t xml:space="preserve">Reconocer el impacto de las demoras completa la banda de cinco hábitos.</w:t>
      </w:r>
      <w:bookmarkEnd w:id="3223"/>
    </w:p>
    <w:p>
      <w:pPr>
        <w:pStyle w:val="Fuente"/>
      </w:pPr>
      <w:r>
        <w:t xml:space="preserve">Véase </w:t>
      </w:r>
      <w:hyperlink w:history="1" w:anchor="b_3_8">
        <w:r>
          <w:rPr>
            <w:color w:val="156B70"/>
            <w:u w:val="single"/>
          </w:rPr>
          <w:t xml:space="preserve">capítulo 3.8 · Patrones y tendencias</w:t>
        </w:r>
      </w:hyperlink>
      <w:r>
        <w:t xml:space="preserve">, pág. </w:t>
      </w:r>
      <w:r>
        <w:fldChar w:fldCharType="begin"/>
        <w:instrText xml:space="preserve">PAGEREF b_3_8 \h</w:instrText>
        <w:fldChar w:fldCharType="separate"/>
        <w:t xml:space="preserve">597</w:t>
        <w:fldChar w:fldCharType="end"/>
      </w:r>
      <w:r>
        <w:t xml:space="preserve">.</w:t>
      </w:r>
    </w:p>
    <w:p>
      <w:pPr>
        <w:pStyle w:val="Fuente"/>
      </w:pPr>
      <w:r>
        <w:t xml:space="preserve">Véase </w:t>
      </w:r>
      <w:hyperlink w:history="1" w:anchor="b_3_9">
        <w:r>
          <w:rPr>
            <w:color w:val="156B70"/>
            <w:u w:val="single"/>
          </w:rPr>
          <w:t xml:space="preserve">capítulo 3.9 · Hábitos (complejo)</w:t>
        </w:r>
      </w:hyperlink>
      <w:r>
        <w:t xml:space="preserve">, pág. </w:t>
      </w:r>
      <w:r>
        <w:fldChar w:fldCharType="begin"/>
        <w:instrText xml:space="preserve">PAGEREF b_3_9 \h</w:instrText>
        <w:fldChar w:fldCharType="separate"/>
        <w:t xml:space="preserve">622</w:t>
        <w:fldChar w:fldCharType="end"/>
      </w:r>
      <w:r>
        <w:t xml:space="preserve">.</w:t>
      </w:r>
    </w:p>
    <w:p>
      <w:pPr>
        <w:pStyle w:val="Heading3"/>
      </w:pPr>
      <w:bookmarkStart w:name="b_pagina_3_7_C_2_p105" w:id="3224"/>
      <w:r>
        <w:t xml:space="preserve">C-2 · página 105 · Disminuir la velocidad y retroceder para avanzar</w:t>
      </w:r>
      <w:bookmarkEnd w:id="3224"/>
    </w:p>
    <w:p>
      <w:pPr>
        <w:pStyle w:val="Normal"/>
      </w:pPr>
      <w:r>
        <w:t xml:space="preserve">Caída inicial del rendimiento y fusión de aerolíneas: observar, esperar las demoras y ajustar.</w:t>
      </w:r>
    </w:p>
    <w:p>
      <w:pPr>
        <w:pStyle w:val="Fuente"/>
      </w:pPr>
      <w:r>
        <w:t xml:space="preserve">Proyección o explicación: Clase 16 · 01:08:49 · captura c16-11.</w:t>
      </w:r>
    </w:p>
    <w:p>
      <w:bookmarkStart w:name="b_punto_c2_p105_01" w:id="3225"/>
      <w:r>
        <w:t xml:space="preserve">Un cambio importante puede producir una caída inicial del rendimiento mientras se aprende a operar de otro modo.</w:t>
      </w:r>
      <w:bookmarkEnd w:id="3225"/>
    </w:p>
    <w:p>
      <w:bookmarkStart w:name="b_punto_c2_p105_02" w:id="3226"/>
      <w:r>
        <w:t xml:space="preserve">La fusión de aerolíneas exige integrar personal, recompensas y rutas; costos iniciales pueden retrasar la rentabilidad buscada.</w:t>
      </w:r>
      <w:bookmarkEnd w:id="3226"/>
    </w:p>
    <w:p>
      <w:bookmarkStart w:name="b_punto_c2_p105_03" w:id="3227"/>
      <w:r>
        <w:t xml:space="preserve">No se descarta una buena idea sólo por el bache inicial: se monitorean tendencias y se hacen ajustes pequeños.</w:t>
      </w:r>
      <w:bookmarkEnd w:id="3227"/>
    </w:p>
    <w:p>
      <w:bookmarkStart w:name="b_punto_c2_p105_04" w:id="3228"/>
      <w:r>
        <w:t xml:space="preserve">Reconocer una demora no justifica esperar indefinidamente sin medir resultados.</w:t>
      </w:r>
      <w:bookmarkEnd w:id="3228"/>
    </w:p>
    <w:p>
      <w:pPr>
        <w:pStyle w:val="Heading3"/>
      </w:pPr>
      <w:bookmarkStart w:name="b_pagina_3_7_C_2_p106" w:id="3229"/>
      <w:r>
        <w:t xml:space="preserve">C-2 · página 106 · Demoras a lo largo del tiempo</w:t>
      </w:r>
      <w:bookmarkEnd w:id="3229"/>
    </w:p>
    <w:p>
      <w:pPr>
        <w:pStyle w:val="Normal"/>
      </w:pPr>
      <w:r>
        <w:t xml:space="preserve">El ejemplo de refrescos y caries ilustra una relación causal cuyo resultado no se ve inmediatamente.</w:t>
      </w:r>
    </w:p>
    <w:p>
      <w:pPr>
        <w:pStyle w:val="Fuente"/>
      </w:pPr>
      <w:r>
        <w:t xml:space="preserve">Proyección o explicación: Clase 16 · 01:13:41 · captura c16-12.</w:t>
      </w:r>
    </w:p>
    <w:p>
      <w:bookmarkStart w:name="b_punto_c2_p106_01" w:id="3230"/>
      <w:r>
        <w:t xml:space="preserve">Causa y efecto pueden estar separados por tiempo e incluso espacio, dificultando reconocer la conexión.</w:t>
      </w:r>
      <w:bookmarkEnd w:id="3230"/>
    </w:p>
    <w:p>
      <w:bookmarkStart w:name="b_punto_c2_p106_02" w:id="3231"/>
      <w:r>
        <w:t xml:space="preserve">Refrescos azucarados, exposición al azúcar, caries, dolor y visita al dentista se conectan con demoras.</w:t>
      </w:r>
      <w:bookmarkEnd w:id="3231"/>
    </w:p>
    <w:p>
      <w:bookmarkStart w:name="b_punto_c2_p106_04" w:id="3232"/>
      <w:r>
        <w:t xml:space="preserve">Una demora larga puede ocultar el vínculo entre la decisión de consumo y su consecuencia, sin negar que exista.</w:t>
      </w:r>
      <w:bookmarkEnd w:id="3232"/>
    </w:p>
    <w:p>
      <w:pPr>
        <w:pStyle w:val="Fuente"/>
      </w:pPr>
      <w:r>
        <w:t xml:space="preserve">Véase </w:t>
      </w:r>
      <w:hyperlink w:history="1" w:anchor="b_3_3">
        <w:r>
          <w:rPr>
            <w:color w:val="156B70"/>
            <w:u w:val="single"/>
          </w:rPr>
          <w:t xml:space="preserve">capítulo 3.3 · Diagramas de ciclos causales</w:t>
        </w:r>
      </w:hyperlink>
      <w:r>
        <w:t xml:space="preserve">, pág. </w:t>
      </w:r>
      <w:r>
        <w:fldChar w:fldCharType="begin"/>
        <w:instrText xml:space="preserve">PAGEREF b_3_3 \h</w:instrText>
        <w:fldChar w:fldCharType="separate"/>
        <w:t xml:space="preserve">443</w:t>
        <w:fldChar w:fldCharType="end"/>
      </w:r>
      <w:r>
        <w:t xml:space="preserve">.</w:t>
      </w:r>
    </w:p>
    <w:p>
      <w:pPr>
        <w:pStyle w:val="Heading3"/>
      </w:pPr>
      <w:bookmarkStart w:name="b_pagina_3_7_C_2_p123" w:id="3233"/>
      <w:r>
        <w:t xml:space="preserve">C-2 · página 123 · Los cinco hábitos del pensador sistémico complejo</w:t>
      </w:r>
      <w:bookmarkEnd w:id="3233"/>
    </w:p>
    <w:p>
      <w:pPr>
        <w:pStyle w:val="Normal"/>
      </w:pPr>
      <w:r>
        <w:t xml:space="preserve">Cierre del repertorio de patrones, conexiones, circularidad, estructura y demoras.</w:t>
      </w:r>
    </w:p>
    <w:p>
      <w:bookmarkStart w:name="b_punto_c2_p123_05" w:id="3234"/>
      <w:r>
        <w:t xml:space="preserve">Reconocer el impacto de las demoras completa la banda de cinco hábitos.</w:t>
      </w:r>
      <w:bookmarkEnd w:id="3234"/>
    </w:p>
    <w:p>
      <w:pPr>
        <w:pStyle w:val="Fuente"/>
      </w:pPr>
      <w:r>
        <w:t xml:space="preserve">Véase </w:t>
      </w:r>
      <w:hyperlink w:history="1" w:anchor="b_3_8">
        <w:r>
          <w:rPr>
            <w:color w:val="156B70"/>
            <w:u w:val="single"/>
          </w:rPr>
          <w:t xml:space="preserve">capítulo 3.8 · Patrones y tendencias</w:t>
        </w:r>
      </w:hyperlink>
      <w:r>
        <w:t xml:space="preserve">, pág. </w:t>
      </w:r>
      <w:r>
        <w:fldChar w:fldCharType="begin"/>
        <w:instrText xml:space="preserve">PAGEREF b_3_8 \h</w:instrText>
        <w:fldChar w:fldCharType="separate"/>
        <w:t xml:space="preserve">597</w:t>
        <w:fldChar w:fldCharType="end"/>
      </w:r>
      <w:r>
        <w:t xml:space="preserve">.</w:t>
      </w:r>
    </w:p>
    <w:p>
      <w:pPr>
        <w:pStyle w:val="Fuente"/>
      </w:pPr>
      <w:r>
        <w:t xml:space="preserve">Véase </w:t>
      </w:r>
      <w:hyperlink w:history="1" w:anchor="b_3_9">
        <w:r>
          <w:rPr>
            <w:color w:val="156B70"/>
            <w:u w:val="single"/>
          </w:rPr>
          <w:t xml:space="preserve">capítulo 3.9 · Hábitos (complejo)</w:t>
        </w:r>
      </w:hyperlink>
      <w:r>
        <w:t xml:space="preserve">, pág. </w:t>
      </w:r>
      <w:r>
        <w:fldChar w:fldCharType="begin"/>
        <w:instrText xml:space="preserve">PAGEREF b_3_9 \h</w:instrText>
        <w:fldChar w:fldCharType="separate"/>
        <w:t xml:space="preserve">622</w:t>
        <w:fldChar w:fldCharType="end"/>
      </w:r>
      <w:r>
        <w:t xml:space="preserve">.</w:t>
      </w:r>
    </w:p>
    <w:p>
      <w:pPr>
        <w:pStyle w:val="Heading3"/>
      </w:pPr>
      <w:bookmarkStart w:name="b_pagina_3_7_C_2_p127" w:id="3235"/>
      <w:r>
        <w:t xml:space="preserve">C-2 · página 127 · Ampliando la historia: fatiga y productividad</w:t>
      </w:r>
      <w:bookmarkEnd w:id="3235"/>
    </w:p>
    <w:p>
      <w:pPr>
        <w:pStyle w:val="Normal"/>
      </w:pPr>
      <w:r>
        <w:t xml:space="preserve">R1 contrapone al alivio inmediato el desgaste causado por el trabajo extra.</w:t>
      </w:r>
    </w:p>
    <w:p>
      <w:pPr>
        <w:pStyle w:val="Fuente"/>
      </w:pPr>
      <w:r>
        <w:t xml:space="preserve">Véase </w:t>
      </w:r>
      <w:hyperlink w:history="1" w:anchor="b_figura_original_pagina_C_2_127">
        <w:r>
          <w:rPr>
            <w:color w:val="156B70"/>
            <w:u w:val="single"/>
          </w:rPr>
          <w:t xml:space="preserve">imagen de C-2, página 127</w:t>
        </w:r>
      </w:hyperlink>
      <w:r>
        <w:t xml:space="preserve">, pág. </w:t>
      </w:r>
      <w:r>
        <w:fldChar w:fldCharType="begin"/>
        <w:instrText xml:space="preserve">PAGEREF b_figura_original_pagina_C_2_127 \h</w:instrText>
        <w:fldChar w:fldCharType="separate"/>
        <w:t xml:space="preserve">517</w:t>
        <w:fldChar w:fldCharType="end"/>
      </w:r>
      <w:r>
        <w:t xml:space="preserve">.</w:t>
      </w:r>
    </w:p>
    <w:p>
      <w:bookmarkStart w:name="b_punto_c2_p127_04" w:id="3236"/>
      <w:r>
        <w:t xml:space="preserve">Las dos marcas están en Trabajo extra → Fatiga y Tasa de error → Productividad. La primera no se encuentra en Fatiga → Productividad.</w:t>
      </w:r>
      <w:bookmarkEnd w:id="3236"/>
    </w:p>
    <w:p>
      <w:pPr>
        <w:pStyle w:val="Fuente"/>
      </w:pPr>
      <w:r>
        <w:t xml:space="preserve">Véase </w:t>
      </w:r>
      <w:hyperlink w:history="1" w:anchor="b_3_5">
        <w:r>
          <w:rPr>
            <w:color w:val="156B70"/>
            <w:u w:val="single"/>
          </w:rPr>
          <w:t xml:space="preserve">capítulo 3.5 · Refuerzo y compensación</w:t>
        </w:r>
      </w:hyperlink>
      <w:r>
        <w:t xml:space="preserve">, pág. </w:t>
      </w:r>
      <w:r>
        <w:fldChar w:fldCharType="begin"/>
        <w:instrText xml:space="preserve">PAGEREF b_3_5 \h</w:instrText>
        <w:fldChar w:fldCharType="separate"/>
        <w:t xml:space="preserve">501</w:t>
        <w:fldChar w:fldCharType="end"/>
      </w:r>
      <w:r>
        <w:t xml:space="preserve">.</w:t>
      </w:r>
    </w:p>
    <w:p>
      <w:pPr>
        <w:pStyle w:val="Heading3"/>
      </w:pPr>
      <w:bookmarkStart w:name="b_pagina_3_7_C_2_p129" w:id="3237"/>
      <w:r>
        <w:t xml:space="preserve">C-2 · página 129 · Ampliando la historia: errores y cuatro ciclos</w:t>
      </w:r>
      <w:bookmarkEnd w:id="3237"/>
    </w:p>
    <w:p>
      <w:pPr>
        <w:pStyle w:val="Normal"/>
      </w:pPr>
      <w:r>
        <w:t xml:space="preserve">R2 muestra el costo demorado de los atajos; el modelo completo tiene dos balances y dos refuerzos.</w:t>
      </w:r>
    </w:p>
    <w:p>
      <w:pPr>
        <w:pStyle w:val="Fuente"/>
      </w:pPr>
      <w:r>
        <w:t xml:space="preserve">Proyección o explicación: Clase 16 · 01:44:55 · captura c16-26.</w:t>
      </w:r>
    </w:p>
    <w:p>
      <w:pPr>
        <w:pStyle w:val="Fuente"/>
      </w:pPr>
      <w:r>
        <w:t xml:space="preserve">Véase </w:t>
      </w:r>
      <w:hyperlink w:history="1" w:anchor="b_figura_original_pagina_C_2_129">
        <w:r>
          <w:rPr>
            <w:color w:val="156B70"/>
            <w:u w:val="single"/>
          </w:rPr>
          <w:t xml:space="preserve">imagen de C-2, página 129</w:t>
        </w:r>
      </w:hyperlink>
      <w:r>
        <w:t xml:space="preserve">, pág. </w:t>
      </w:r>
      <w:r>
        <w:fldChar w:fldCharType="begin"/>
        <w:instrText xml:space="preserve">PAGEREF b_figura_original_pagina_C_2_129 \h</w:instrText>
        <w:fldChar w:fldCharType="separate"/>
        <w:t xml:space="preserve">519</w:t>
        <w:fldChar w:fldCharType="end"/>
      </w:r>
      <w:r>
        <w:t xml:space="preserve">.</w:t>
      </w:r>
    </w:p>
    <w:p>
      <w:bookmarkStart w:name="b_punto_c2_p129_04" w:id="3238"/>
      <w:r>
        <w:t xml:space="preserve">Las dos marcas están en Trabajo extra → Fatiga y Tasa de error → Productividad. La primera no se encuentra en Fatiga → Productividad.</w:t>
      </w:r>
      <w:bookmarkEnd w:id="3238"/>
    </w:p>
    <w:p>
      <w:pPr>
        <w:pStyle w:val="Fuente"/>
      </w:pPr>
      <w:r>
        <w:t xml:space="preserve">Véase </w:t>
      </w:r>
      <w:hyperlink w:history="1" w:anchor="b_3_5">
        <w:r>
          <w:rPr>
            <w:color w:val="156B70"/>
            <w:u w:val="single"/>
          </w:rPr>
          <w:t xml:space="preserve">capítulo 3.5 · Refuerzo y compensación</w:t>
        </w:r>
      </w:hyperlink>
      <w:r>
        <w:t xml:space="preserve">, pág. </w:t>
      </w:r>
      <w:r>
        <w:fldChar w:fldCharType="begin"/>
        <w:instrText xml:space="preserve">PAGEREF b_3_5 \h</w:instrText>
        <w:fldChar w:fldCharType="separate"/>
        <w:t xml:space="preserve">501</w:t>
        <w:fldChar w:fldCharType="end"/>
      </w:r>
      <w:r>
        <w:t xml:space="preserve">.</w:t>
      </w:r>
    </w:p>
    <w:p>
      <w:pPr>
        <w:pStyle w:val="Heading3"/>
      </w:pPr>
      <w:r>
        <w:t xml:space="preserve">Lo que explicó el profesor en clase</w:t>
      </w:r>
    </w:p>
    <w:p>
      <w:pPr>
        <w:pStyle w:val="Heading3"/>
      </w:pPr>
      <w:bookmarkStart w:name="b_clase_3_7_c12_cap_06" w:id="3239"/>
      <w:r>
        <w:t xml:space="preserve">Clase 12 · 00:53:36–01:03:35 · El ejercicio de la planta</w:t>
      </w:r>
      <w:bookmarkEnd w:id="3239"/>
    </w:p>
    <w:p>
      <w:bookmarkStart w:name="b_punto_c12_cap_06_p03" w:id="3240"/>
      <w:r>
        <w:t xml:space="preserve">El retraso hasta las raíces puede durar horas, días o semanas según planta y factores externos no incluidos.</w:t>
      </w:r>
      <w:bookmarkEnd w:id="3240"/>
    </w:p>
    <w:p>
      <w:pPr>
        <w:pStyle w:val="Fuente"/>
      </w:pPr>
      <w:r>
        <w:t xml:space="preserve">Véase </w:t>
      </w:r>
      <w:hyperlink w:history="1" w:anchor="b_3_3">
        <w:r>
          <w:rPr>
            <w:color w:val="156B70"/>
            <w:u w:val="single"/>
          </w:rPr>
          <w:t xml:space="preserve">capítulo 3.3 · Diagramas de ciclos causales</w:t>
        </w:r>
      </w:hyperlink>
      <w:r>
        <w:t xml:space="preserve">, pág. </w:t>
      </w:r>
      <w:r>
        <w:fldChar w:fldCharType="begin"/>
        <w:instrText xml:space="preserve">PAGEREF b_3_3 \h</w:instrText>
        <w:fldChar w:fldCharType="separate"/>
        <w:t xml:space="preserve">443</w:t>
        <w:fldChar w:fldCharType="end"/>
      </w:r>
      <w:r>
        <w:t xml:space="preserve">.</w:t>
      </w:r>
    </w:p>
    <w:p>
      <w:pPr>
        <w:pStyle w:val="Fuente"/>
      </w:pPr>
      <w:r>
        <w:t xml:space="preserve">Véase </w:t>
      </w:r>
      <w:hyperlink w:history="1" w:anchor="b_3_4">
        <w:r>
          <w:rPr>
            <w:color w:val="156B70"/>
            <w:u w:val="single"/>
          </w:rPr>
          <w:t xml:space="preserve">capítulo 3.4 · Interdependencias sistémicas</w:t>
        </w:r>
      </w:hyperlink>
      <w:r>
        <w:t xml:space="preserve">, pág. </w:t>
      </w:r>
      <w:r>
        <w:fldChar w:fldCharType="begin"/>
        <w:instrText xml:space="preserve">PAGEREF b_3_4 \h</w:instrText>
        <w:fldChar w:fldCharType="separate"/>
        <w:t xml:space="preserve">476</w:t>
        <w:fldChar w:fldCharType="end"/>
      </w:r>
      <w:r>
        <w:t xml:space="preserve">.</w:t>
      </w:r>
    </w:p>
    <w:p>
      <w:pPr>
        <w:pStyle w:val="Heading3"/>
      </w:pPr>
      <w:bookmarkStart w:name="b_clase_3_7_c12_cap_09" w:id="3241"/>
      <w:r>
        <w:t xml:space="preserve">Clase 12 · 01:19:07–01:36:55 · Transferencia y mentalidad de crecimiento</w:t>
      </w:r>
      <w:bookmarkEnd w:id="3241"/>
    </w:p>
    <w:p>
      <w:bookmarkStart w:name="b_punto_c12_cap_09_p03" w:id="3242"/>
      <w:r>
        <w:t xml:space="preserve">El tiempo determina lo percibido; modelos y experiencias previas de otros permiten contrastar momentos sin observar todo el ciclo.</w:t>
      </w:r>
      <w:bookmarkEnd w:id="3242"/>
    </w:p>
    <w:p>
      <w:pPr>
        <w:pStyle w:val="Fuente"/>
      </w:pPr>
      <w:r>
        <w:t xml:space="preserve">Véase </w:t>
      </w:r>
      <w:hyperlink w:history="1" w:anchor="b_3_4">
        <w:r>
          <w:rPr>
            <w:color w:val="156B70"/>
            <w:u w:val="single"/>
          </w:rPr>
          <w:t xml:space="preserve">capítulo 3.4 · Interdependencias sistémicas</w:t>
        </w:r>
      </w:hyperlink>
      <w:r>
        <w:t xml:space="preserve">, pág. </w:t>
      </w:r>
      <w:r>
        <w:fldChar w:fldCharType="begin"/>
        <w:instrText xml:space="preserve">PAGEREF b_3_4 \h</w:instrText>
        <w:fldChar w:fldCharType="separate"/>
        <w:t xml:space="preserve">476</w:t>
        <w:fldChar w:fldCharType="end"/>
      </w:r>
      <w:r>
        <w:t xml:space="preserve">.</w:t>
      </w:r>
    </w:p>
    <w:p>
      <w:pPr>
        <w:pStyle w:val="Fuente"/>
      </w:pPr>
      <w:r>
        <w:t xml:space="preserve">Véase </w:t>
      </w:r>
      <w:hyperlink w:history="1" w:anchor="b_3_1">
        <w:r>
          <w:rPr>
            <w:color w:val="156B70"/>
            <w:u w:val="single"/>
          </w:rPr>
          <w:t xml:space="preserve">capítulo 3.1 · Mapas sistémicos</w:t>
        </w:r>
      </w:hyperlink>
      <w:r>
        <w:t xml:space="preserve">, pág. </w:t>
      </w:r>
      <w:r>
        <w:fldChar w:fldCharType="begin"/>
        <w:instrText xml:space="preserve">PAGEREF b_3_1 \h</w:instrText>
        <w:fldChar w:fldCharType="separate"/>
        <w:t xml:space="preserve">379</w:t>
        <w:fldChar w:fldCharType="end"/>
      </w:r>
      <w:r>
        <w:t xml:space="preserve">.</w:t>
      </w:r>
    </w:p>
    <w:p>
      <w:pPr>
        <w:pStyle w:val="Fuente"/>
      </w:pPr>
      <w:r>
        <w:t xml:space="preserve">Véase </w:t>
      </w:r>
      <w:hyperlink w:history="1" w:anchor="b_3_9">
        <w:r>
          <w:rPr>
            <w:color w:val="156B70"/>
            <w:u w:val="single"/>
          </w:rPr>
          <w:t xml:space="preserve">capítulo 3.9 · Hábitos (complejo)</w:t>
        </w:r>
      </w:hyperlink>
      <w:r>
        <w:t xml:space="preserve">, pág. </w:t>
      </w:r>
      <w:r>
        <w:fldChar w:fldCharType="begin"/>
        <w:instrText xml:space="preserve">PAGEREF b_3_9 \h</w:instrText>
        <w:fldChar w:fldCharType="separate"/>
        <w:t xml:space="preserve">622</w:t>
        <w:fldChar w:fldCharType="end"/>
      </w:r>
      <w:r>
        <w:t xml:space="preserve">.</w:t>
      </w:r>
    </w:p>
    <w:p>
      <w:pPr>
        <w:pStyle w:val="Heading3"/>
      </w:pPr>
      <w:bookmarkStart w:name="b_clase_3_7_c14_cap_10" w:id="3243"/>
      <w:r>
        <w:t xml:space="preserve">Clase 14 · 01:26:29–01:37:24 · Círculos virtuosos y viciosos, y la tarea</w:t>
      </w:r>
      <w:bookmarkEnd w:id="3243"/>
    </w:p>
    <w:p>
      <w:bookmarkStart w:name="b_punto_c14_cap_10_p05" w:id="3244"/>
      <w:r>
        <w:t xml:space="preserve">Se asigna diagramar la historia de refrescos azucarados y caries; el profesor anuncia que la demora se explicará en la sesión siguiente.</w:t>
      </w:r>
      <w:bookmarkEnd w:id="3244"/>
    </w:p>
    <w:p>
      <w:pPr>
        <w:pStyle w:val="Fuente"/>
      </w:pPr>
      <w:r>
        <w:t xml:space="preserve">Véase </w:t>
      </w:r>
      <w:hyperlink w:history="1" w:anchor="b_senales_examen">
        <w:r>
          <w:rPr>
            <w:color w:val="156B70"/>
            <w:u w:val="single"/>
          </w:rPr>
          <w:t xml:space="preserve">1 indicación(es) de examen de este tramo, en el apéndice cronológico</w:t>
        </w:r>
      </w:hyperlink>
      <w:r>
        <w:t xml:space="preserve">, pág. </w:t>
      </w:r>
      <w:r>
        <w:fldChar w:fldCharType="begin"/>
        <w:instrText xml:space="preserve">PAGEREF b_senales_examen \h</w:instrText>
        <w:fldChar w:fldCharType="separate"/>
        <w:t xml:space="preserve">1663</w:t>
        <w:fldChar w:fldCharType="end"/>
      </w:r>
      <w:r>
        <w:t xml:space="preserve">.</w:t>
      </w:r>
    </w:p>
    <w:p>
      <w:pPr>
        <w:pStyle w:val="Fuente"/>
      </w:pPr>
      <w:r>
        <w:t xml:space="preserve">Véase </w:t>
      </w:r>
      <w:hyperlink w:history="1" w:anchor="b_3_5">
        <w:r>
          <w:rPr>
            <w:color w:val="156B70"/>
            <w:u w:val="single"/>
          </w:rPr>
          <w:t xml:space="preserve">capítulo 3.5 · Refuerzo y compensación</w:t>
        </w:r>
      </w:hyperlink>
      <w:r>
        <w:t xml:space="preserve">, pág. </w:t>
      </w:r>
      <w:r>
        <w:fldChar w:fldCharType="begin"/>
        <w:instrText xml:space="preserve">PAGEREF b_3_5 \h</w:instrText>
        <w:fldChar w:fldCharType="separate"/>
        <w:t xml:space="preserve">501</w:t>
        <w:fldChar w:fldCharType="end"/>
      </w:r>
      <w:r>
        <w:t xml:space="preserve">.</w:t>
      </w:r>
    </w:p>
    <w:p>
      <w:pPr>
        <w:pStyle w:val="Fuente"/>
      </w:pPr>
      <w:r>
        <w:t xml:space="preserve">Véase </w:t>
      </w:r>
      <w:hyperlink w:history="1" w:anchor="b_3_4">
        <w:r>
          <w:rPr>
            <w:color w:val="156B70"/>
            <w:u w:val="single"/>
          </w:rPr>
          <w:t xml:space="preserve">capítulo 3.4 · Interdependencias sistémicas</w:t>
        </w:r>
      </w:hyperlink>
      <w:r>
        <w:t xml:space="preserve">, pág. </w:t>
      </w:r>
      <w:r>
        <w:fldChar w:fldCharType="begin"/>
        <w:instrText xml:space="preserve">PAGEREF b_3_4 \h</w:instrText>
        <w:fldChar w:fldCharType="separate"/>
        <w:t xml:space="preserve">476</w:t>
        <w:fldChar w:fldCharType="end"/>
      </w:r>
      <w:r>
        <w:t xml:space="preserve">.</w:t>
      </w:r>
    </w:p>
    <w:p>
      <w:pPr>
        <w:pStyle w:val="Heading3"/>
      </w:pPr>
      <w:bookmarkStart w:name="b_clase_3_7_c15_cap_10" w:id="3245"/>
      <w:r>
        <w:t xml:space="preserve">Clase 15 · 01:25:51–01:42:38 · Las demoras y su notación</w:t>
      </w:r>
      <w:bookmarkEnd w:id="3245"/>
    </w:p>
    <w:p>
      <w:bookmarkStart w:name="b_punto_c15_cap_10_p01" w:id="3246"/>
      <w:r>
        <w:t xml:space="preserve">La ventana temporal puede ocultar relaciones que sólo se perciben después; otra perspectiva puede mostrar variables omitidas.</w:t>
      </w:r>
      <w:bookmarkEnd w:id="3246"/>
    </w:p>
    <w:p>
      <w:bookmarkStart w:name="b_punto_c15_cap_10_p04" w:id="3247"/>
      <w:r>
        <w:t xml:space="preserve">Dos rayas, palabra demora opcional o reloj señalan que el efecto no se percibirá de inmediato.</w:t>
      </w:r>
      <w:bookmarkEnd w:id="3247"/>
    </w:p>
    <w:p>
      <w:bookmarkStart w:name="b_punto_c15_cap_10_p06" w:id="3248"/>
      <w:r>
        <w:t xml:space="preserve">Caries y otros efectos se hacen perceptibles después: no observarlos todavía no demuestra ausencia de relación.</w:t>
      </w:r>
      <w:bookmarkEnd w:id="3248"/>
    </w:p>
    <w:p>
      <w:bookmarkStart w:name="b_punto_c15_cap_10_p07" w:id="3249"/>
      <w:r>
        <w:t xml:space="preserve">En ventanas extensas se consultan modelos y evidencias de otros autores y se prueban sin desistir sólo por la demora.</w:t>
      </w:r>
      <w:bookmarkEnd w:id="3249"/>
    </w:p>
    <w:p>
      <w:pPr>
        <w:pStyle w:val="Fuente"/>
      </w:pPr>
      <w:r>
        <w:t xml:space="preserve">Véase </w:t>
      </w:r>
      <w:hyperlink w:history="1" w:anchor="b_3_6">
        <w:r>
          <w:rPr>
            <w:color w:val="156B70"/>
            <w:u w:val="single"/>
          </w:rPr>
          <w:t xml:space="preserve">capítulo 3.6 · Modelación dinámica</w:t>
        </w:r>
      </w:hyperlink>
      <w:r>
        <w:t xml:space="preserve">, pág. </w:t>
      </w:r>
      <w:r>
        <w:fldChar w:fldCharType="begin"/>
        <w:instrText xml:space="preserve">PAGEREF b_3_6 \h</w:instrText>
        <w:fldChar w:fldCharType="separate"/>
        <w:t xml:space="preserve">537</w:t>
        <w:fldChar w:fldCharType="end"/>
      </w:r>
      <w:r>
        <w:t xml:space="preserve">.</w:t>
      </w:r>
    </w:p>
    <w:p>
      <w:pPr>
        <w:pStyle w:val="Fuente"/>
      </w:pPr>
      <w:r>
        <w:t xml:space="preserve">Véase </w:t>
      </w:r>
      <w:hyperlink w:history="1" w:anchor="b_3_2">
        <w:r>
          <w:rPr>
            <w:color w:val="156B70"/>
            <w:u w:val="single"/>
          </w:rPr>
          <w:t xml:space="preserve">capítulo 3.2 · Mapas DSRP generales</w:t>
        </w:r>
      </w:hyperlink>
      <w:r>
        <w:t xml:space="preserve">, pág. </w:t>
      </w:r>
      <w:r>
        <w:fldChar w:fldCharType="begin"/>
        <w:instrText xml:space="preserve">PAGEREF b_3_2 \h</w:instrText>
        <w:fldChar w:fldCharType="separate"/>
        <w:t xml:space="preserve">404</w:t>
        <w:fldChar w:fldCharType="end"/>
      </w:r>
      <w:r>
        <w:t xml:space="preserve">.</w:t>
      </w:r>
    </w:p>
    <w:p>
      <w:pPr>
        <w:pStyle w:val="Fuente"/>
      </w:pPr>
      <w:r>
        <w:t xml:space="preserve">Véase </w:t>
      </w:r>
      <w:hyperlink w:history="1" w:anchor="b_3_8">
        <w:r>
          <w:rPr>
            <w:color w:val="156B70"/>
            <w:u w:val="single"/>
          </w:rPr>
          <w:t xml:space="preserve">capítulo 3.8 · Patrones y tendencias</w:t>
        </w:r>
      </w:hyperlink>
      <w:r>
        <w:t xml:space="preserve">, pág. </w:t>
      </w:r>
      <w:r>
        <w:fldChar w:fldCharType="begin"/>
        <w:instrText xml:space="preserve">PAGEREF b_3_8 \h</w:instrText>
        <w:fldChar w:fldCharType="separate"/>
        <w:t xml:space="preserve">597</w:t>
        <w:fldChar w:fldCharType="end"/>
      </w:r>
      <w:r>
        <w:t xml:space="preserve">.</w:t>
      </w:r>
    </w:p>
    <w:p>
      <w:pPr>
        <w:pStyle w:val="Heading3"/>
      </w:pPr>
      <w:bookmarkStart w:name="b_clase_3_7_c16_cap_01" w:id="3250"/>
      <w:r>
        <w:t xml:space="preserve">Clase 16 · 00:10:13–00:17:41 · Apertura, entregas y repaso de los hábitos</w:t>
      </w:r>
      <w:bookmarkEnd w:id="3250"/>
    </w:p>
    <w:p>
      <w:bookmarkStart w:name="b_punto_c16_cap_01_p05" w:id="3251"/>
      <w:r>
        <w:t xml:space="preserve">Demoras y escalas extensas dificultan percibir qué relaciones producen el resultado.</w:t>
      </w:r>
      <w:bookmarkEnd w:id="3251"/>
    </w:p>
    <w:p>
      <w:pPr>
        <w:pStyle w:val="Fuente"/>
      </w:pPr>
      <w:r>
        <w:t xml:space="preserve">Véase </w:t>
      </w:r>
      <w:hyperlink w:history="1" w:anchor="b_senales_examen">
        <w:r>
          <w:rPr>
            <w:color w:val="156B70"/>
            <w:u w:val="single"/>
          </w:rPr>
          <w:t xml:space="preserve">1 indicación(es) de examen de este tramo, en el apéndice cronológico</w:t>
        </w:r>
      </w:hyperlink>
      <w:r>
        <w:t xml:space="preserve">, pág. </w:t>
      </w:r>
      <w:r>
        <w:fldChar w:fldCharType="begin"/>
        <w:instrText xml:space="preserve">PAGEREF b_senales_examen \h</w:instrText>
        <w:fldChar w:fldCharType="separate"/>
        <w:t xml:space="preserve">1663</w:t>
        <w:fldChar w:fldCharType="end"/>
      </w:r>
      <w:r>
        <w:t xml:space="preserve">.</w:t>
      </w:r>
    </w:p>
    <w:p>
      <w:pPr>
        <w:pStyle w:val="Fuente"/>
      </w:pPr>
      <w:r>
        <w:t xml:space="preserve">Véase </w:t>
      </w:r>
      <w:hyperlink w:history="1" w:anchor="b_3_3">
        <w:r>
          <w:rPr>
            <w:color w:val="156B70"/>
            <w:u w:val="single"/>
          </w:rPr>
          <w:t xml:space="preserve">capítulo 3.3 · Diagramas de ciclos causales</w:t>
        </w:r>
      </w:hyperlink>
      <w:r>
        <w:t xml:space="preserve">, pág. </w:t>
      </w:r>
      <w:r>
        <w:fldChar w:fldCharType="begin"/>
        <w:instrText xml:space="preserve">PAGEREF b_3_3 \h</w:instrText>
        <w:fldChar w:fldCharType="separate"/>
        <w:t xml:space="preserve">443</w:t>
        <w:fldChar w:fldCharType="end"/>
      </w:r>
      <w:r>
        <w:t xml:space="preserve">.</w:t>
      </w:r>
    </w:p>
    <w:p>
      <w:pPr>
        <w:pStyle w:val="Fuente"/>
      </w:pPr>
      <w:r>
        <w:t xml:space="preserve">Véase </w:t>
      </w:r>
      <w:hyperlink w:history="1" w:anchor="b_3_9">
        <w:r>
          <w:rPr>
            <w:color w:val="156B70"/>
            <w:u w:val="single"/>
          </w:rPr>
          <w:t xml:space="preserve">capítulo 3.9 · Hábitos (complejo)</w:t>
        </w:r>
      </w:hyperlink>
      <w:r>
        <w:t xml:space="preserve">, pág. </w:t>
      </w:r>
      <w:r>
        <w:fldChar w:fldCharType="begin"/>
        <w:instrText xml:space="preserve">PAGEREF b_3_9 \h</w:instrText>
        <w:fldChar w:fldCharType="separate"/>
        <w:t xml:space="preserve">622</w:t>
        <w:fldChar w:fldCharType="end"/>
      </w:r>
      <w:r>
        <w:t xml:space="preserve">.</w:t>
      </w:r>
    </w:p>
    <w:p>
      <w:pPr>
        <w:pStyle w:val="Fuente"/>
      </w:pPr>
      <w:r>
        <w:t xml:space="preserve">Véase </w:t>
      </w:r>
      <w:hyperlink w:history="1" w:anchor="b_3_6">
        <w:r>
          <w:rPr>
            <w:color w:val="156B70"/>
            <w:u w:val="single"/>
          </w:rPr>
          <w:t xml:space="preserve">capítulo 3.6 · Modelación dinámica</w:t>
        </w:r>
      </w:hyperlink>
      <w:r>
        <w:t xml:space="preserve">, pág. </w:t>
      </w:r>
      <w:r>
        <w:fldChar w:fldCharType="begin"/>
        <w:instrText xml:space="preserve">PAGEREF b_3_6 \h</w:instrText>
        <w:fldChar w:fldCharType="separate"/>
        <w:t xml:space="preserve">537</w:t>
        <w:fldChar w:fldCharType="end"/>
      </w:r>
      <w:r>
        <w:t xml:space="preserve">.</w:t>
      </w:r>
    </w:p>
    <w:p>
      <w:pPr>
        <w:pStyle w:val="Heading3"/>
      </w:pPr>
      <w:bookmarkStart w:name="b_clase_3_7_c16_cap_06" w:id="3252"/>
      <w:r>
        <w:t xml:space="preserve">Clase 16 · 01:02:36–01:06:16 · El modelo presa-depredador</w:t>
      </w:r>
      <w:bookmarkEnd w:id="3252"/>
    </w:p>
    <w:p>
      <w:bookmarkStart w:name="b_punto_c16_cap_06_p03" w:id="3253"/>
      <w:r>
        <w:t xml:space="preserve">En el escenario ideal descrito, menos conejos dejan menos alimento, bajan zorros y conejos se recuperan con demoras no dibujadas y oscilación.</w:t>
      </w:r>
      <w:bookmarkEnd w:id="3253"/>
    </w:p>
    <w:p>
      <w:pPr>
        <w:pStyle w:val="Fuente"/>
      </w:pPr>
      <w:r>
        <w:t xml:space="preserve">Véase </w:t>
      </w:r>
      <w:hyperlink w:history="1" w:anchor="b_3_6">
        <w:r>
          <w:rPr>
            <w:color w:val="156B70"/>
            <w:u w:val="single"/>
          </w:rPr>
          <w:t xml:space="preserve">capítulo 3.6 · Modelación dinámica</w:t>
        </w:r>
      </w:hyperlink>
      <w:r>
        <w:t xml:space="preserve">, pág. </w:t>
      </w:r>
      <w:r>
        <w:fldChar w:fldCharType="begin"/>
        <w:instrText xml:space="preserve">PAGEREF b_3_6 \h</w:instrText>
        <w:fldChar w:fldCharType="separate"/>
        <w:t xml:space="preserve">537</w:t>
        <w:fldChar w:fldCharType="end"/>
      </w:r>
      <w:r>
        <w:t xml:space="preserve">.</w:t>
      </w:r>
    </w:p>
    <w:p>
      <w:pPr>
        <w:pStyle w:val="Fuente"/>
      </w:pPr>
      <w:r>
        <w:t xml:space="preserve">Véase </w:t>
      </w:r>
      <w:hyperlink w:history="1" w:anchor="b_3_8">
        <w:r>
          <w:rPr>
            <w:color w:val="156B70"/>
            <w:u w:val="single"/>
          </w:rPr>
          <w:t xml:space="preserve">capítulo 3.8 · Patrones y tendencias</w:t>
        </w:r>
      </w:hyperlink>
      <w:r>
        <w:t xml:space="preserve">, pág. </w:t>
      </w:r>
      <w:r>
        <w:fldChar w:fldCharType="begin"/>
        <w:instrText xml:space="preserve">PAGEREF b_3_8 \h</w:instrText>
        <w:fldChar w:fldCharType="separate"/>
        <w:t xml:space="preserve">597</w:t>
        <w:fldChar w:fldCharType="end"/>
      </w:r>
      <w:r>
        <w:t xml:space="preserve">.</w:t>
      </w:r>
    </w:p>
    <w:p>
      <w:pPr>
        <w:pStyle w:val="Heading3"/>
      </w:pPr>
      <w:bookmarkStart w:name="b_clase_3_7_c16_cap_07" w:id="3254"/>
      <w:r>
        <w:t xml:space="preserve">Clase 16 · 01:06:16–01:13:36 · Demoras: la caída del rendimiento</w:t>
      </w:r>
      <w:bookmarkEnd w:id="3254"/>
    </w:p>
    <w:p>
      <w:bookmarkStart w:name="b_punto_c16_cap_07_p01" w:id="3255"/>
      <w:r>
        <w:t xml:space="preserve">Una demora puede ocultar consecuencias y llevar a creer que no existe relación causal.</w:t>
      </w:r>
      <w:bookmarkEnd w:id="3255"/>
    </w:p>
    <w:p>
      <w:bookmarkStart w:name="b_punto_c16_cap_07_p02" w:id="3256"/>
      <w:r>
        <w:t xml:space="preserve">Abandonar antes de tiempo por falta de resultado inmediato no demuestra que la idea o intervención haya fallado.</w:t>
      </w:r>
      <w:bookmarkEnd w:id="3256"/>
    </w:p>
    <w:p>
      <w:bookmarkStart w:name="b_punto_c16_cap_07_p03" w:id="3257"/>
      <w:r>
        <w:t xml:space="preserve">Fusionar dos aerolíneas del caso requiere integrar personas y procesos durante meses o años; cancelar en dos o tres meses puede adelantarse al efecto.</w:t>
      </w:r>
      <w:bookmarkEnd w:id="3257"/>
    </w:p>
    <w:p>
      <w:bookmarkStart w:name="b_punto_c16_cap_07_p04" w:id="3258"/>
      <w:r>
        <w:t xml:space="preserve">Se monitorean resultados y pequeños cambios como evidencia de progreso durante la demora.</w:t>
      </w:r>
      <w:bookmarkEnd w:id="3258"/>
    </w:p>
    <w:p>
      <w:bookmarkStart w:name="b_punto_c16_cap_07_p05" w:id="3259"/>
      <w:r>
        <w:t xml:space="preserve">Un motivador anticipado puede sostener la práctica de ejercicio antes de percibir cambios: anticipación y realimentación pueden combinarse.</w:t>
      </w:r>
      <w:bookmarkEnd w:id="3259"/>
    </w:p>
    <w:p>
      <w:bookmarkStart w:name="b_punto_c16_cap_07_p06" w:id="3260"/>
      <w:r>
        <w:t xml:space="preserve">Las clases 15–16 desarrollan demoras y notación; se distingue ese alcance de los valores ilustrativos y ampliaciones del laboratorio.</w:t>
      </w:r>
      <w:bookmarkEnd w:id="3260"/>
    </w:p>
    <w:p>
      <w:pPr>
        <w:pStyle w:val="Heading3"/>
      </w:pPr>
      <w:bookmarkStart w:name="b_clase_3_7_c16_cap_08" w:id="3261"/>
      <w:r>
        <w:t xml:space="preserve">Clase 16 · 01:13:36–01:29:27 · Retroalimentación pública de los diagramas entregados</w:t>
      </w:r>
      <w:bookmarkEnd w:id="3261"/>
    </w:p>
    <w:p>
      <w:bookmarkStart w:name="b_punto_c16_cap_08_p04" w:id="3262"/>
      <w:r>
        <w:t xml:space="preserve">Otro modelo añade exposición, conciencia y demoras hacia caries/dolor conservando balance; círculos o rectángulos son indiferentes.</w:t>
      </w:r>
      <w:bookmarkEnd w:id="3262"/>
    </w:p>
    <w:p>
      <w:pPr>
        <w:pStyle w:val="Fuente"/>
      </w:pPr>
      <w:r>
        <w:t xml:space="preserve">Véase </w:t>
      </w:r>
      <w:hyperlink w:history="1" w:anchor="b_senales_examen">
        <w:r>
          <w:rPr>
            <w:color w:val="156B70"/>
            <w:u w:val="single"/>
          </w:rPr>
          <w:t xml:space="preserve">2 indicación(es) de examen de este tramo, en el apéndice cronológico</w:t>
        </w:r>
      </w:hyperlink>
      <w:r>
        <w:t xml:space="preserve">, pág. </w:t>
      </w:r>
      <w:r>
        <w:fldChar w:fldCharType="begin"/>
        <w:instrText xml:space="preserve">PAGEREF b_senales_examen \h</w:instrText>
        <w:fldChar w:fldCharType="separate"/>
        <w:t xml:space="preserve">1663</w:t>
        <w:fldChar w:fldCharType="end"/>
      </w:r>
      <w:r>
        <w:t xml:space="preserve">.</w:t>
      </w:r>
    </w:p>
    <w:p>
      <w:pPr>
        <w:pStyle w:val="Fuente"/>
      </w:pPr>
      <w:r>
        <w:t xml:space="preserve">Véase </w:t>
      </w:r>
      <w:hyperlink w:history="1" w:anchor="b_3_3">
        <w:r>
          <w:rPr>
            <w:color w:val="156B70"/>
            <w:u w:val="single"/>
          </w:rPr>
          <w:t xml:space="preserve">capítulo 3.3 · Diagramas de ciclos causales</w:t>
        </w:r>
      </w:hyperlink>
      <w:r>
        <w:t xml:space="preserve">, pág. </w:t>
      </w:r>
      <w:r>
        <w:fldChar w:fldCharType="begin"/>
        <w:instrText xml:space="preserve">PAGEREF b_3_3 \h</w:instrText>
        <w:fldChar w:fldCharType="separate"/>
        <w:t xml:space="preserve">443</w:t>
        <w:fldChar w:fldCharType="end"/>
      </w:r>
      <w:r>
        <w:t xml:space="preserve">.</w:t>
      </w:r>
    </w:p>
    <w:p>
      <w:pPr>
        <w:pStyle w:val="Heading3"/>
      </w:pPr>
      <w:bookmarkStart w:name="b_clase_3_7_c16_cap_11" w:id="3263"/>
      <w:r>
        <w:t xml:space="preserve">Clase 16 · 01:42:10–01:47:55 · El segundo parcial y la solución del caso de Ana</w:t>
      </w:r>
      <w:bookmarkEnd w:id="3263"/>
    </w:p>
    <w:p>
      <w:bookmarkStart w:name="b_punto_c16_cap_11_p05" w:id="3264"/>
      <w:r>
        <w:t xml:space="preserve">Las dos marcas están en Trabajo extra → Fatiga y Tasa de error → Productividad. La primera no se encuentra en Fatiga → Productividad.</w:t>
      </w:r>
      <w:bookmarkEnd w:id="3264"/>
    </w:p>
    <w:p>
      <w:pPr>
        <w:pStyle w:val="Fuente"/>
      </w:pPr>
      <w:r>
        <w:t xml:space="preserve">Véase </w:t>
      </w:r>
      <w:hyperlink w:history="1" w:anchor="b_senales_examen">
        <w:r>
          <w:rPr>
            <w:color w:val="156B70"/>
            <w:u w:val="single"/>
          </w:rPr>
          <w:t xml:space="preserve">3 indicación(es) de examen de este tramo, en el apéndice cronológico</w:t>
        </w:r>
      </w:hyperlink>
      <w:r>
        <w:t xml:space="preserve">, pág. </w:t>
      </w:r>
      <w:r>
        <w:fldChar w:fldCharType="begin"/>
        <w:instrText xml:space="preserve">PAGEREF b_senales_examen \h</w:instrText>
        <w:fldChar w:fldCharType="separate"/>
        <w:t xml:space="preserve">1663</w:t>
        <w:fldChar w:fldCharType="end"/>
      </w:r>
      <w:r>
        <w:t xml:space="preserve">.</w:t>
      </w:r>
    </w:p>
    <w:p>
      <w:pPr>
        <w:pStyle w:val="Fuente"/>
      </w:pPr>
      <w:r>
        <w:t xml:space="preserve">Véase </w:t>
      </w:r>
      <w:hyperlink w:history="1" w:anchor="b_3_3">
        <w:r>
          <w:rPr>
            <w:color w:val="156B70"/>
            <w:u w:val="single"/>
          </w:rPr>
          <w:t xml:space="preserve">capítulo 3.3 · Diagramas de ciclos causales</w:t>
        </w:r>
      </w:hyperlink>
      <w:r>
        <w:t xml:space="preserve">, pág. </w:t>
      </w:r>
      <w:r>
        <w:fldChar w:fldCharType="begin"/>
        <w:instrText xml:space="preserve">PAGEREF b_3_3 \h</w:instrText>
        <w:fldChar w:fldCharType="separate"/>
        <w:t xml:space="preserve">443</w:t>
        <w:fldChar w:fldCharType="end"/>
      </w:r>
      <w:r>
        <w:t xml:space="preserve">.</w:t>
      </w:r>
    </w:p>
    <w:p>
      <w:pPr>
        <w:pStyle w:val="Heading3"/>
      </w:pPr>
      <w:bookmarkStart w:name="b_cita_clase_12_retraso_entre_s_1fe222c3" w:id="3265"/>
      <w:r>
        <w:t xml:space="preserve">Palabras del profesor</w:t>
      </w:r>
      <w:bookmarkEnd w:id="3265"/>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El profesor lo dijo así</w:t>
            </w:r>
          </w:p>
          <w:p>
            <w:pPr>
              <w:pStyle w:val="Recuadro"/>
            </w:pPr>
            <w:r>
              <w:t xml:space="preserve">«No es inmediato, pasa posiblemente algún tiempo, hay ahí algún retraso, de algunas horas o de algunos días, en algunas plantas de algunas semanas, porque depende de otros factores que no estamos describiendo en este sistema.»</w:t>
            </w:r>
          </w:p>
          <w:p>
            <w:pPr>
              <w:pStyle w:val="Recuadro"/>
            </w:pPr>
            <w:r>
              <w:t xml:space="preserve">Clase 12 · 00:57:24–00:57:51</w:t>
            </w:r>
          </w:p>
        </w:tc>
      </w:tr>
    </w:tbl>
    <w:p>
      <w:pPr>
        <w:pStyle w:val="Heading3"/>
      </w:pPr>
      <w:bookmarkStart w:name="b_cita_clase_15_notacion_de_la_demora" w:id="3266"/>
      <w:r>
        <w:t xml:space="preserve">Palabras del profesor</w:t>
      </w:r>
      <w:bookmarkEnd w:id="3266"/>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El profesor lo dijo así</w:t>
            </w:r>
          </w:p>
          <w:p>
            <w:pPr>
              <w:pStyle w:val="Recuadro"/>
            </w:pPr>
            <w:r>
              <w:t xml:space="preserve">«Las graficamos con dos líneas sobre la flecha, y pueden poner la palabra demora o pueden no ponerla.»</w:t>
            </w:r>
          </w:p>
          <w:p>
            <w:pPr>
              <w:pStyle w:val="Recuadro"/>
            </w:pPr>
            <w:r>
              <w:t xml:space="preserve">Clase 15 · 01:33:01–01:33:30</w:t>
            </w:r>
          </w:p>
        </w:tc>
      </w:tr>
    </w:tbl>
    <w:p>
      <w:pPr>
        <w:pStyle w:val="Heading3"/>
      </w:pPr>
      <w:bookmarkStart w:name="b_cita_clase_15_demora_se_perci_3eaeac10" w:id="3267"/>
      <w:r>
        <w:t xml:space="preserve">Palabras del profesor</w:t>
      </w:r>
      <w:bookmarkEnd w:id="3267"/>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El profesor lo dijo así</w:t>
            </w:r>
          </w:p>
          <w:p>
            <w:pPr>
              <w:pStyle w:val="Recuadro"/>
            </w:pPr>
            <w:r>
              <w:t xml:space="preserve">«El ciclo está presente, pero yo no lo percibo. Por eso las líneas atravesadas por el relojito que podíamos poner nos dicen: esto se va a producir, pero la relación se va a percibir después de algún tiempo.»</w:t>
            </w:r>
          </w:p>
          <w:p>
            <w:pPr>
              <w:pStyle w:val="Recuadro"/>
            </w:pPr>
            <w:r>
              <w:t xml:space="preserve">Clase 15 · 01:36:37–01:37:01</w:t>
            </w:r>
          </w:p>
        </w:tc>
      </w:tr>
    </w:tbl>
    <w:p>
      <w:pPr>
        <w:pStyle w:val="Heading3"/>
      </w:pPr>
      <w:bookmarkStart w:name="b_cita_clase_16_solo_requeria_mas_tiempo" w:id="3268"/>
      <w:r>
        <w:t xml:space="preserve">Palabras del profesor</w:t>
      </w:r>
      <w:bookmarkEnd w:id="3268"/>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El profesor lo dijo así</w:t>
            </w:r>
          </w:p>
          <w:p>
            <w:pPr>
              <w:pStyle w:val="Recuadro"/>
            </w:pPr>
            <w:r>
              <w:t xml:space="preserve">«No es que no funcionara esa estructura sistémica que estábamos buscando, sino que solo requería más tiempo, que es lo que nos dice la demora.»</w:t>
            </w:r>
          </w:p>
          <w:p>
            <w:pPr>
              <w:pStyle w:val="Recuadro"/>
            </w:pPr>
            <w:r>
              <w:t xml:space="preserve">Clase 16 · 01:13:27–01:13:40</w:t>
            </w:r>
          </w:p>
        </w:tc>
      </w:tr>
    </w:tbl>
    <w:p>
      <w:pPr>
        <w:pStyle w:val="Heading3"/>
      </w:pPr>
      <w:r>
        <w:t xml:space="preserve">Errores frecuentes y trampa de examen</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9C620A" w:sz="20"/>
              <w:bottom w:val="nil"/>
              <w:right w:val="nil"/>
            </w:tcBorders>
            <w:shd w:fill="FBF3DF" w:val="clear"/>
            <w:tcMar>
              <w:top w:type="dxa" w:w="130"/>
              <w:left w:type="dxa" w:w="180"/>
              <w:bottom w:type="dxa" w:w="130"/>
              <w:right w:type="dxa" w:w="180"/>
            </w:tcMar>
          </w:tcPr>
          <w:p>
            <w:pPr>
              <w:pStyle w:val="RecuadroTitulo"/>
            </w:pPr>
            <w:r>
              <w:rPr>
                <w:b/>
                <w:bCs/>
                <w:color w:val="9C620A"/>
              </w:rPr>
              <w:t xml:space="preserve">Error → corrección</w:t>
            </w:r>
          </w:p>
          <w:p>
            <w:pPr>
              <w:pStyle w:val="Recuadro"/>
            </w:pPr>
            <w:r>
              <w:rPr>
                <w:b/>
                <w:bCs/>
              </w:rPr>
              <w:t xml:space="preserve">Error:</w:t>
            </w:r>
            <w:r>
              <w:t xml:space="preserve"> Concluir que no hay relación causal porque el efecto no se ve, y abandonar.</w:t>
            </w:r>
          </w:p>
          <w:p>
            <w:pPr>
              <w:pStyle w:val="Recuadro"/>
            </w:pPr>
            <w:r>
              <w:rPr>
                <w:b/>
                <w:bCs/>
              </w:rPr>
              <w:t xml:space="preserve">Corrección:</w:t>
            </w:r>
            <w:r>
              <w:t xml:space="preserve"> La relación existe con demora; se monitorean los resultados y sus pequeños cambios antes de descartarla.</w:t>
            </w:r>
          </w:p>
          <w:p>
            <w:pPr>
              <w:pStyle w:val="Recuadro"/>
            </w:pPr>
            <w:r>
              <w:t xml:space="preserve">Clase 16 · 01:07:05–01:08:16 · Clase 16 · 01:11:16–01:11:53</w:t>
            </w:r>
          </w:p>
        </w:tc>
      </w:tr>
    </w:tbl>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9C620A" w:sz="20"/>
              <w:bottom w:val="nil"/>
              <w:right w:val="nil"/>
            </w:tcBorders>
            <w:shd w:fill="FBF3DF" w:val="clear"/>
            <w:tcMar>
              <w:top w:type="dxa" w:w="130"/>
              <w:left w:type="dxa" w:w="180"/>
              <w:bottom w:type="dxa" w:w="130"/>
              <w:right w:type="dxa" w:w="180"/>
            </w:tcMar>
          </w:tcPr>
          <w:p>
            <w:pPr>
              <w:pStyle w:val="RecuadroTitulo"/>
            </w:pPr>
            <w:r>
              <w:rPr>
                <w:b/>
                <w:bCs/>
                <w:color w:val="9C620A"/>
              </w:rPr>
              <w:t xml:space="preserve">Error → corrección</w:t>
            </w:r>
          </w:p>
          <w:p>
            <w:pPr>
              <w:pStyle w:val="Recuadro"/>
            </w:pPr>
            <w:r>
              <w:rPr>
                <w:b/>
                <w:bCs/>
              </w:rPr>
              <w:t xml:space="preserve">Error:</w:t>
            </w:r>
            <w:r>
              <w:t xml:space="preserve"> Cancelar la fusión de las aerolíneas a los dos o tres meses porque las ganancias no llegan.</w:t>
            </w:r>
          </w:p>
          <w:p>
            <w:pPr>
              <w:pStyle w:val="Recuadro"/>
            </w:pPr>
            <w:r>
              <w:rPr>
                <w:b/>
                <w:bCs/>
              </w:rPr>
              <w:t xml:space="preserve">Corrección:</w:t>
            </w:r>
            <w:r>
              <w:t xml:space="preserve"> Sólo acierta temporalmente: la estructura funcionaba, «sólo requería más tiempo».</w:t>
            </w:r>
          </w:p>
          <w:p>
            <w:pPr>
              <w:pStyle w:val="Recuadro"/>
            </w:pPr>
            <w:r>
              <w:t xml:space="preserve">Clase 16 · 01:08:43–01:10:35 · Clase 16 · 01:13:27–01:13:40</w:t>
            </w:r>
          </w:p>
        </w:tc>
      </w:tr>
    </w:tbl>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9C620A" w:sz="20"/>
              <w:bottom w:val="nil"/>
              <w:right w:val="nil"/>
            </w:tcBorders>
            <w:shd w:fill="FBF3DF" w:val="clear"/>
            <w:tcMar>
              <w:top w:type="dxa" w:w="130"/>
              <w:left w:type="dxa" w:w="180"/>
              <w:bottom w:type="dxa" w:w="130"/>
              <w:right w:type="dxa" w:w="180"/>
            </w:tcMar>
          </w:tcPr>
          <w:p>
            <w:pPr>
              <w:pStyle w:val="RecuadroTitulo"/>
            </w:pPr>
            <w:r>
              <w:rPr>
                <w:b/>
                <w:bCs/>
                <w:color w:val="9C620A"/>
              </w:rPr>
              <w:t xml:space="preserve">Error → corrección</w:t>
            </w:r>
          </w:p>
          <w:p>
            <w:pPr>
              <w:pStyle w:val="Recuadro"/>
            </w:pPr>
            <w:r>
              <w:rPr>
                <w:b/>
                <w:bCs/>
              </w:rPr>
              <w:t xml:space="preserve">Error:</w:t>
            </w:r>
            <w:r>
              <w:t xml:space="preserve"> Predecir que los zorros acabarán con todos los conejos.</w:t>
            </w:r>
          </w:p>
          <w:p>
            <w:pPr>
              <w:pStyle w:val="Recuadro"/>
            </w:pPr>
            <w:r>
              <w:rPr>
                <w:b/>
                <w:bCs/>
              </w:rPr>
              <w:t xml:space="preserve">Corrección:</w:t>
            </w:r>
            <w:r>
              <w:t xml:space="preserve"> Es una lectura lineal y reduccionista: hay demoras no dibujadas, y tras agotar los conejos los zorros mueren de hambre y los conejos se recuperan: oscilación y equilibrio.</w:t>
            </w:r>
          </w:p>
          <w:p>
            <w:pPr>
              <w:pStyle w:val="Recuadro"/>
            </w:pPr>
            <w:r>
              <w:t xml:space="preserve">Clase 16 · 01:03:03–01:06:00</w:t>
            </w:r>
          </w:p>
        </w:tc>
      </w:tr>
    </w:tbl>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9C620A" w:sz="20"/>
              <w:bottom w:val="nil"/>
              <w:right w:val="nil"/>
            </w:tcBorders>
            <w:shd w:fill="FBF3DF" w:val="clear"/>
            <w:tcMar>
              <w:top w:type="dxa" w:w="130"/>
              <w:left w:type="dxa" w:w="180"/>
              <w:bottom w:type="dxa" w:w="130"/>
              <w:right w:type="dxa" w:w="180"/>
            </w:tcMar>
          </w:tcPr>
          <w:p>
            <w:pPr>
              <w:pStyle w:val="RecuadroTitulo"/>
            </w:pPr>
            <w:r>
              <w:rPr>
                <w:b/>
                <w:bCs/>
                <w:color w:val="9C620A"/>
              </w:rPr>
              <w:t xml:space="preserve">Trampa de examen</w:t>
            </w:r>
          </w:p>
          <w:p>
            <w:pPr>
              <w:pStyle w:val="Recuadro"/>
            </w:pPr>
            <w:r>
              <w:t xml:space="preserve">Confundir demora con ausencia de relación: que el efecto tarde no significa que la causa no actúe. La demora se señala con dos líneas atravesadas sobre la flecha concreta que tarda, como ejercicio → condición física.</w:t>
            </w:r>
          </w:p>
        </w:tc>
      </w:tr>
    </w:tbl>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Ampliación: lo no dictado en clase</w:t>
            </w:r>
          </w:p>
          <w:p>
            <w:pPr>
              <w:pStyle w:val="Recuadro"/>
            </w:pPr>
            <w:r>
              <w:t xml:space="preserve">Las demoras se nombraron desde la clase 10 y se difirieron varias veces hasta la clase 15; la clase no dictó cómo cuantificar su duración. El desarrollo del monitoreo de resultados y los diagramas de tiempo quedaron para la unidad 4, y los ejemplos de la lectura L-11 sobre desfases y la «memoria» del sistema no se desarrollaron en clase.</w:t>
            </w:r>
          </w:p>
        </w:tc>
      </w:tr>
    </w:tbl>
    <w:p>
      <w:pPr>
        <w:pStyle w:val="Heading3"/>
      </w:pPr>
      <w:r>
        <w:t xml:space="preserve">Lecturas y tareas del curso</w:t>
      </w:r>
    </w:p>
    <w:p>
      <w:pPr>
        <w:pStyle w:val="Normal"/>
      </w:pPr>
      <w:r>
        <w:t xml:space="preserve">L-11 · Pensamiento en círculos — O’Connor y McDermott (capítulo 2). Capítulo 2 de Introducción al pensamiento sistémico: la realimentación como esencia de los sistemas, los bucles de refuerzo y de compensación, la proalimentación, las demoras (la ducha que oscila) y por qué a veces no aprendemos de la experiencia. Copia recomprimida del escaneo que compartió el profesor.</w:t>
      </w:r>
    </w:p>
    <w:p>
      <w:pPr>
        <w:pStyle w:val="Normal"/>
      </w:pPr>
      <w:r>
        <w:t xml:space="preserve">L-15 · Dinámica de sistemas — Javier Aracil (ISDEFE). Monografía de la serie de ingeniería de sistemas de ISDEFE: el diagrama de influencias, los bucles de realimentación negativa y positiva, los retrasos y las estructuras genéricas; cómo la estructura genera el comportamiento; y la construcción, análisis y explotación de modelos. Los capítulos 2 y 3 acompañan la Unidad 3; el 4 anticipa la Unidad 4.</w:t>
      </w:r>
    </w:p>
    <w:p>
      <w:pPr>
        <w:pStyle w:val="Normal"/>
      </w:pPr>
      <w:r>
        <w:t xml:space="preserve">C-2 · Unidad 3 · Desarrollo del pensamiento sistémico complejo (presentación). La presentación completa de la Unidad 3 tal como la compartió el profesor: 129 páginas con las reglas simples del pensamiento sistémico, los mapas DSRP, los diagramas de ciclos causales, la polaridad y los tipos de ciclo, las demoras, los patrones de comportamiento y los ejercicios trabajados en clase. Complementa las 128 láminas capturadas durante las sesiones.</w:t>
      </w:r>
    </w:p>
    <w:p>
      <w:pPr>
        <w:pStyle w:val="Normal"/>
      </w:pPr>
      <w:r>
        <w:t xml:space="preserve">Tareas relacionadas: T-11. Consulte su procedencia en la bibliografía.</w:t>
      </w:r>
    </w:p>
    <w:p>
      <w:pPr>
        <w:pStyle w:val="Heading3"/>
      </w:pPr>
      <w:r>
        <w:t xml:space="preserve">Práctica de los laboratorios</w:t>
      </w:r>
    </w:p>
    <w:p>
      <w:pPr>
        <w:pStyle w:val="Normal"/>
      </w:pPr>
      <w:r>
        <w:t xml:space="preserve">Los procedimientos del capítulo permiten reconstruir en papel la práctica interactiva. Los laboratorios originales permanecen disponibles en la lección del portal.</w:t>
      </w:r>
    </w:p>
    <w:p>
      <w:pPr>
        <w:pStyle w:val="Normal"/>
        <w:numPr>
          <w:ilvl w:val="0"/>
          <w:numId w:val="2"/>
        </w:numPr>
      </w:pPr>
      <w:r>
        <w:t xml:space="preserve">Qué le hace una demora a un ciclo</w:t>
      </w:r>
    </w:p>
    <w:p>
      <w:pPr>
        <w:pStyle w:val="Normal"/>
        <w:numPr>
          <w:ilvl w:val="0"/>
          <w:numId w:val="2"/>
        </w:numPr>
      </w:pPr>
      <w:r>
        <w:t xml:space="preserve">Ciclos de clase: caries y ejercicio</w:t>
      </w:r>
    </w:p>
    <w:p>
      <w:pPr>
        <w:pStyle w:val="Heading3"/>
      </w:pPr>
      <w:r>
        <w:t xml:space="preserve">Autoevaluación</w:t>
      </w:r>
    </w:p>
    <w:p>
      <w:pPr>
        <w:pStyle w:val="Normal"/>
      </w:pPr>
      <w:r>
        <w:t xml:space="preserve">Resuelva sin consultar las respuestas. Compruebe al final del capítulo por qué cada opción es correcta o incorrecta.</w:t>
      </w:r>
    </w:p>
    <w:p>
      <w:pPr>
        <w:pStyle w:val="Heading3"/>
      </w:pPr>
      <w:bookmarkStart w:name="b_pregunta_auto_3_7_1" w:id="3269"/>
      <w:r>
        <w:t xml:space="preserve">3.7-A1 · ¿Dónde están las dos demoras dibujadas en la ampliación de Ana?</w:t>
      </w:r>
      <w:bookmarkEnd w:id="3269"/>
    </w:p>
    <w:p>
      <w:pPr>
        <w:pStyle w:val="Normal"/>
      </w:pPr>
      <w:r>
        <w:t xml:space="preserve">a) Fatiga → Productividad y Tasa de error → Productividad</w:t>
      </w:r>
    </w:p>
    <w:p>
      <w:pPr>
        <w:pStyle w:val="Normal"/>
      </w:pPr>
      <w:r>
        <w:t xml:space="preserve">b) Trabajo extra → Fatiga y Tasa de error → Productividad</w:t>
      </w:r>
    </w:p>
    <w:p>
      <w:pPr>
        <w:pStyle w:val="Normal"/>
      </w:pPr>
      <w:r>
        <w:t xml:space="preserve">c) Trabajo pendiente → Presión y Presión → Trabajo extra</w:t>
      </w:r>
    </w:p>
    <w:p>
      <w:pPr>
        <w:pStyle w:val="Normal"/>
      </w:pPr>
      <w:r>
        <w:t xml:space="preserve">d) En todas las flechas positivas sin excepción</w:t>
      </w:r>
    </w:p>
    <w:p>
      <w:pPr>
        <w:pStyle w:val="Heading3"/>
      </w:pPr>
      <w:bookmarkStart w:name="b_pregunta_auto_3_7_2" w:id="3270"/>
      <w:r>
        <w:t xml:space="preserve">3.7-A2 · ¿Qué conjunto recoge las tres preguntas de la tarjeta de demoras?</w:t>
      </w:r>
      <w:bookmarkEnd w:id="3270"/>
    </w:p>
    <w:p>
      <w:pPr>
        <w:pStyle w:val="Normal"/>
      </w:pPr>
      <w:r>
        <w:t xml:space="preserve">a) Sólo quién es culpable y quién debe reemplazarlo</w:t>
      </w:r>
    </w:p>
    <w:p>
      <w:pPr>
        <w:pStyle w:val="Normal"/>
      </w:pPr>
      <w:r>
        <w:t xml:space="preserve">b) Únicamente cuánto cuesta actuar</w:t>
      </w:r>
    </w:p>
    <w:p>
      <w:pPr>
        <w:pStyle w:val="Normal"/>
      </w:pPr>
      <w:r>
        <w:t xml:space="preserve">c) Cuánto esperar, dónde interviene la demora y si el resultado será inmediato o tardío</w:t>
      </w:r>
    </w:p>
    <w:p>
      <w:pPr>
        <w:pStyle w:val="Normal"/>
      </w:pPr>
      <w:r>
        <w:t xml:space="preserve">d) Qué color tiene la curva, qué nombre tiene la persona y cuántos muebles hay</w:t>
      </w:r>
    </w:p>
    <w:p>
      <w:pPr>
        <w:pStyle w:val="Heading3"/>
      </w:pPr>
      <w:bookmarkStart w:name="b_pregunta_auto_3_7_3" w:id="3271"/>
      <w:r>
        <w:t xml:space="preserve">3.7-A3 · En un diagrama causal, una «demora» (delay) es…</w:t>
      </w:r>
      <w:bookmarkEnd w:id="3271"/>
    </w:p>
    <w:p>
      <w:pPr>
        <w:pStyle w:val="Normal"/>
      </w:pPr>
      <w:r>
        <w:t xml:space="preserve">a) un error de medición del sistema</w:t>
      </w:r>
    </w:p>
    <w:p>
      <w:pPr>
        <w:pStyle w:val="Normal"/>
      </w:pPr>
      <w:r>
        <w:t xml:space="preserve">b) el tiempo que transcurre entre una acción y el momento en que se percibe su efecto</w:t>
      </w:r>
    </w:p>
    <w:p>
      <w:pPr>
        <w:pStyle w:val="Normal"/>
      </w:pPr>
      <w:r>
        <w:t xml:space="preserve">c) una flecha causal que en realidad no existe</w:t>
      </w:r>
    </w:p>
    <w:p>
      <w:pPr>
        <w:pStyle w:val="Normal"/>
      </w:pPr>
      <w:r>
        <w:t xml:space="preserve">d) un elemento que rompe el lazo de retroalimentación</w:t>
      </w:r>
    </w:p>
    <w:p>
      <w:pPr>
        <w:pStyle w:val="Heading3"/>
      </w:pPr>
      <w:bookmarkStart w:name="b_pregunta_auto_3_7_4" w:id="3272"/>
      <w:r>
        <w:t xml:space="preserve">3.7-A4 · ¿Qué combinación tiende a producir oscilación en un sistema?</w:t>
      </w:r>
      <w:bookmarkEnd w:id="3272"/>
    </w:p>
    <w:p>
      <w:pPr>
        <w:pStyle w:val="Normal"/>
      </w:pPr>
      <w:r>
        <w:t xml:space="preserve">a) Una demora dentro de un lazo de refuerzo (positivo)</w:t>
      </w:r>
    </w:p>
    <w:p>
      <w:pPr>
        <w:pStyle w:val="Normal"/>
      </w:pPr>
      <w:r>
        <w:t xml:space="preserve">b) Una demora dentro de un lazo de balance (negativo)</w:t>
      </w:r>
    </w:p>
    <w:p>
      <w:pPr>
        <w:pStyle w:val="Normal"/>
      </w:pPr>
      <w:r>
        <w:t xml:space="preserve">c) Un lazo de balance sin ninguna demora</w:t>
      </w:r>
    </w:p>
    <w:p>
      <w:pPr>
        <w:pStyle w:val="Normal"/>
      </w:pPr>
      <w:r>
        <w:t xml:space="preserve">d) Una acción aislada, sin ningún lazo de retroalimentación</w:t>
      </w:r>
    </w:p>
    <w:p>
      <w:pPr>
        <w:pStyle w:val="Heading3"/>
      </w:pPr>
      <w:bookmarkStart w:name="b_pregunta_auto_3_7_5" w:id="3273"/>
      <w:r>
        <w:t xml:space="preserve">3.7-A5 · En el ejemplo de la ducha, ¿por qué te escaldas justo después de abrir el agua caliente?</w:t>
      </w:r>
      <w:bookmarkEnd w:id="3273"/>
    </w:p>
    <w:p>
      <w:pPr>
        <w:pStyle w:val="Normal"/>
      </w:pPr>
      <w:r>
        <w:t xml:space="preserve">a) Porque el termostato está descompuesto</w:t>
      </w:r>
    </w:p>
    <w:p>
      <w:pPr>
        <w:pStyle w:val="Normal"/>
      </w:pPr>
      <w:r>
        <w:t xml:space="preserve">b) Porque sigues abriendo el grifo mientras el agua caliente aún viene por la tubería, y cuando por fin llega ya abriste de más</w:t>
      </w:r>
    </w:p>
    <w:p>
      <w:pPr>
        <w:pStyle w:val="Normal"/>
      </w:pPr>
      <w:r>
        <w:t xml:space="preserve">c) Porque el agua caliente enfría la tubería</w:t>
      </w:r>
    </w:p>
    <w:p>
      <w:pPr>
        <w:pStyle w:val="Normal"/>
      </w:pPr>
      <w:r>
        <w:t xml:space="preserve">d) Porque reaccionaste demasiado despacio</w:t>
      </w:r>
    </w:p>
    <w:p>
      <w:pPr>
        <w:pStyle w:val="Heading3"/>
      </w:pPr>
      <w:bookmarkStart w:name="b_pregunta_auto_3_7_6" w:id="3274"/>
      <w:r>
        <w:t xml:space="preserve">3.7-A6 · Meadows advierte que, frente a una demora, reaccionar con más fuerza y más rápido tiende a…</w:t>
      </w:r>
      <w:bookmarkEnd w:id="3274"/>
    </w:p>
    <w:p>
      <w:pPr>
        <w:pStyle w:val="Normal"/>
      </w:pPr>
      <w:r>
        <w:t xml:space="preserve">a) eliminar la oscilación</w:t>
      </w:r>
    </w:p>
    <w:p>
      <w:pPr>
        <w:pStyle w:val="Normal"/>
      </w:pPr>
      <w:r>
        <w:t xml:space="preserve">b) empeorar la oscilación: sobreajustas todavía más</w:t>
      </w:r>
    </w:p>
    <w:p>
      <w:pPr>
        <w:pStyle w:val="Normal"/>
      </w:pPr>
      <w:r>
        <w:t xml:space="preserve">c) no tener ningún efecto sobre la conducta</w:t>
      </w:r>
    </w:p>
    <w:p>
      <w:pPr>
        <w:pStyle w:val="Normal"/>
      </w:pPr>
      <w:r>
        <w:t xml:space="preserve">d) acortar la demora del sistema</w:t>
      </w:r>
    </w:p>
    <w:p>
      <w:pPr>
        <w:pStyle w:val="Heading3"/>
      </w:pPr>
      <w:bookmarkStart w:name="b_pregunta_auto_3_7_7" w:id="3275"/>
      <w:r>
        <w:t xml:space="preserve">3.7-A7 · Si dejas fija la reacción y sólo alargas la demora, la respuesta del sistema…</w:t>
      </w:r>
      <w:bookmarkEnd w:id="3275"/>
    </w:p>
    <w:p>
      <w:pPr>
        <w:pStyle w:val="Normal"/>
      </w:pPr>
      <w:r>
        <w:t xml:space="preserve">a) se vuelve más estable</w:t>
      </w:r>
    </w:p>
    <w:p>
      <w:pPr>
        <w:pStyle w:val="Normal"/>
      </w:pPr>
      <w:r>
        <w:t xml:space="preserve">b) pasa de amortiguada a sostenida y luego a creciente (cada vez más inestable)</w:t>
      </w:r>
    </w:p>
    <w:p>
      <w:pPr>
        <w:pStyle w:val="Normal"/>
      </w:pPr>
      <w:r>
        <w:t xml:space="preserve">c) no cambia en absoluto</w:t>
      </w:r>
    </w:p>
    <w:p>
      <w:pPr>
        <w:pStyle w:val="Normal"/>
      </w:pPr>
      <w:r>
        <w:t xml:space="preserve">d) converge más rápido al objetivo</w:t>
      </w:r>
    </w:p>
    <w:p>
      <w:pPr>
        <w:pStyle w:val="Heading3"/>
      </w:pPr>
      <w:bookmarkStart w:name="b_pregunta_auto_3_7_8" w:id="3276"/>
      <w:r>
        <w:t xml:space="preserve">3.7-A8 · La ducha y la reposición de inventario oscilan por la misma razón. Esto ilustra que…</w:t>
      </w:r>
      <w:bookmarkEnd w:id="3276"/>
    </w:p>
    <w:p>
      <w:pPr>
        <w:pStyle w:val="Normal"/>
      </w:pPr>
      <w:r>
        <w:t xml:space="preserve">a) los sistemas físicos y los económicos no tienen nada en común</w:t>
      </w:r>
    </w:p>
    <w:p>
      <w:pPr>
        <w:pStyle w:val="Normal"/>
      </w:pPr>
      <w:r>
        <w:t xml:space="preserve">b) una misma estructura —un lazo de balance con demora— genera el mismo patrón de conducta en dominios muy distintos</w:t>
      </w:r>
    </w:p>
    <w:p>
      <w:pPr>
        <w:pStyle w:val="Normal"/>
      </w:pPr>
      <w:r>
        <w:t xml:space="preserve">c) el inventario siempre es estable</w:t>
      </w:r>
    </w:p>
    <w:p>
      <w:pPr>
        <w:pStyle w:val="Normal"/>
      </w:pPr>
      <w:r>
        <w:t xml:space="preserve">d) la oscilación depende del material del sistema, no de su estructura</w:t>
      </w:r>
    </w:p>
    <w:p>
      <w:pPr>
        <w:pStyle w:val="Heading3"/>
      </w:pPr>
      <w:bookmarkStart w:name="b_pregunta_auto_3_7_9" w:id="3277"/>
      <w:r>
        <w:t xml:space="preserve">3.7-A9 · Senge resume una de sus leyes así: «la causa y el efecto no están próximos en el tiempo y el espacio». ¿Qué palanca sugiere esto frente a un sistema que oscila por demoras?</w:t>
      </w:r>
      <w:bookmarkEnd w:id="3277"/>
    </w:p>
    <w:p>
      <w:pPr>
        <w:pStyle w:val="Normal"/>
      </w:pPr>
      <w:r>
        <w:t xml:space="preserve">a) Reaccionar más fuerte y más rápido a cada señal</w:t>
      </w:r>
    </w:p>
    <w:p>
      <w:pPr>
        <w:pStyle w:val="Normal"/>
      </w:pPr>
      <w:r>
        <w:t xml:space="preserve">b) Acortar la demora o moderar la reacción, y tener paciencia con los efectos que aún vienen en camino</w:t>
      </w:r>
    </w:p>
    <w:p>
      <w:pPr>
        <w:pStyle w:val="Normal"/>
      </w:pPr>
      <w:r>
        <w:t xml:space="preserve">c) Ignorar la retroalimentación del sistema</w:t>
      </w:r>
    </w:p>
    <w:p>
      <w:pPr>
        <w:pStyle w:val="Normal"/>
      </w:pPr>
      <w:r>
        <w:t xml:space="preserve">d) Añadir más demoras para amortiguar</w:t>
      </w:r>
    </w:p>
    <w:p>
      <w:pPr>
        <w:pStyle w:val="Heading3"/>
      </w:pPr>
      <w:bookmarkStart w:name="b_pregunta_auto_3_7_10" w:id="3278"/>
      <w:r>
        <w:t xml:space="preserve">3.7-A10 · En el laboratorio, al poner la demora en 0 la curva deja de oscilar y sólo se desliza hacia el objetivo. ¿Qué demuestra?</w:t>
      </w:r>
      <w:bookmarkEnd w:id="3278"/>
    </w:p>
    <w:p>
      <w:pPr>
        <w:pStyle w:val="Normal"/>
      </w:pPr>
      <w:r>
        <w:t xml:space="preserve">a) Que la reacción era el único problema</w:t>
      </w:r>
    </w:p>
    <w:p>
      <w:pPr>
        <w:pStyle w:val="Normal"/>
      </w:pPr>
      <w:r>
        <w:t xml:space="preserve">b) Que sin desfase entre actuar y percibir el efecto, el lazo de balance converge sin sobreajuste</w:t>
      </w:r>
    </w:p>
    <w:p>
      <w:pPr>
        <w:pStyle w:val="Normal"/>
      </w:pPr>
      <w:r>
        <w:t xml:space="preserve">c) Que el objetivo estaba mal fijado</w:t>
      </w:r>
    </w:p>
    <w:p>
      <w:pPr>
        <w:pStyle w:val="Normal"/>
      </w:pPr>
      <w:r>
        <w:t xml:space="preserve">d) Que las demoras no influyen en la conducta</w:t>
      </w:r>
    </w:p>
    <w:p>
      <w:pPr>
        <w:pStyle w:val="Heading3"/>
      </w:pPr>
      <w:r>
        <w:t xml:space="preserve">Ejercicios de aplicación</w:t>
      </w:r>
    </w:p>
    <w:p>
      <w:pPr>
        <w:pStyle w:val="Heading3"/>
      </w:pPr>
      <w:bookmarkStart w:name="b_pregunta_ej_P09" w:id="3279"/>
      <w:r>
        <w:t xml:space="preserve">3.7-E1 · Corregir sin esperar</w:t>
      </w:r>
      <w:bookmarkEnd w:id="3279"/>
    </w:p>
    <w:p>
      <w:pPr>
        <w:pStyle w:val="Normal"/>
      </w:pPr>
      <w:r>
        <w:t xml:space="preserve">Hay 80 libros, una meta de 100 y dos pedidos de 20 hechos antes de que llegue ninguno. Calcula el resultado e indica una regla que evite repetir la corrección.</w:t>
      </w:r>
    </w:p>
    <w:p>
      <w:pPr>
        <w:pStyle w:val="Heading3"/>
      </w:pPr>
      <w:bookmarkStart w:name="b_pregunta_ej_P10" w:id="3280"/>
      <w:r>
        <w:t xml:space="preserve">3.7-E2 · Tiempo y demora</w:t>
      </w:r>
      <w:bookmarkEnd w:id="3280"/>
    </w:p>
    <w:p>
      <w:pPr>
        <w:pStyle w:val="Normal"/>
      </w:pPr>
      <w:r>
        <w:t xml:space="preserve">Distingue: litros/minuto; TIME STEP de 0.25 minutos; entrega después de tres días; promedio de demanda ajustado lentamente.</w:t>
      </w:r>
    </w:p>
    <w:p>
      <w:pPr>
        <w:pStyle w:val="Heading3"/>
      </w:pPr>
      <w:bookmarkStart w:name="b_solucionario_3_7" w:id="3281"/>
      <w:r>
        <w:t xml:space="preserve">Solucionario del capítulo</w:t>
      </w:r>
      <w:bookmarkEnd w:id="3281"/>
    </w:p>
    <w:p>
      <w:pPr>
        <w:pStyle w:val="Heading3"/>
      </w:pPr>
      <w:r>
        <w:t xml:space="preserve">3.7-A1</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b) Trabajo extra → Fatiga y Tasa de error → Productividad</w:t>
            </w:r>
          </w:p>
        </w:tc>
      </w:tr>
    </w:tbl>
    <w:p>
      <w:pPr>
        <w:pStyle w:val="Normal"/>
      </w:pPr>
      <w:r>
        <w:t xml:space="preserve">Las dos marcas están en Trabajo extra → Fatiga y Tasa de error → Productividad. La primera no se encuentra en Fatiga → Productividad.</w:t>
      </w:r>
    </w:p>
    <w:p>
      <w:pPr>
        <w:pStyle w:val="Fuente"/>
      </w:pPr>
      <w:r>
        <w:t xml:space="preserve">Presentación de la unidad 3 (C-2), pág. 95, 127 y 129 · Clase 15 · 01:33:01–01:38:30 · Clase 16 · 01:08:49–01:13:55</w:t>
      </w:r>
    </w:p>
    <w:p>
      <w:pPr>
        <w:pStyle w:val="Heading3"/>
      </w:pPr>
      <w:r>
        <w:t xml:space="preserve">3.7-A2</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c) Cuánto esperar, dónde interviene la demora y si el resultado será inmediato o tardío</w:t>
            </w:r>
          </w:p>
        </w:tc>
      </w:tr>
    </w:tbl>
    <w:p>
      <w:pPr>
        <w:pStyle w:val="Normal"/>
      </w:pPr>
      <w:r>
        <w:t xml:space="preserve">Cuánto esperar, dónde interviene la demora y si el resultado será inmediato o tardío</w:t>
      </w:r>
    </w:p>
    <w:p>
      <w:pPr>
        <w:pStyle w:val="Fuente"/>
      </w:pPr>
      <w:r>
        <w:t xml:space="preserve">Presentación de la unidad 3 (C-2), pág. 95, 127 y 129 · Clase 15 · 01:33:01–01:38:30 · Clase 16 · 01:08:49–01:13:55</w:t>
      </w:r>
    </w:p>
    <w:p>
      <w:pPr>
        <w:pStyle w:val="Heading3"/>
      </w:pPr>
      <w:r>
        <w:t xml:space="preserve">3.7-A3</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b) el tiempo que transcurre entre una acción y el momento en que se percibe su efecto</w:t>
            </w:r>
          </w:p>
        </w:tc>
      </w:tr>
    </w:tbl>
    <w:p>
      <w:pPr>
        <w:pStyle w:val="Normal"/>
      </w:pPr>
      <w:r>
        <w:t xml:space="preserve">Una demora es el retardo entre actuar y percibir la consecuencia. Puede ser de información (tardas en enterarte), de decisión (tardas en decidir) o material/física (el efecto tarda en producirse).</w:t>
      </w:r>
    </w:p>
    <w:p>
      <w:pPr>
        <w:pStyle w:val="Normal"/>
      </w:pPr>
      <w:r>
        <w:t xml:space="preserve">a) No: una demora no es un fallo, es una propiedad estructural del sistema.</w:t>
      </w:r>
    </w:p>
    <w:p>
      <w:pPr>
        <w:pStyle w:val="Normal"/>
      </w:pPr>
      <w:r>
        <w:t xml:space="preserve">b) Correcto: es el desfase entre causa y efecto percibido.</w:t>
      </w:r>
    </w:p>
    <w:p>
      <w:pPr>
        <w:pStyle w:val="Normal"/>
      </w:pPr>
      <w:r>
        <w:t xml:space="preserve">c) No: la relación causal existe; sólo tarda en manifestarse.</w:t>
      </w:r>
    </w:p>
    <w:p>
      <w:pPr>
        <w:pStyle w:val="Normal"/>
      </w:pPr>
      <w:r>
        <w:t xml:space="preserve">d) Al contrario: la demora vive dentro del lazo, no lo rompe.</w:t>
      </w:r>
    </w:p>
    <w:p>
      <w:pPr>
        <w:pStyle w:val="Fuente"/>
      </w:pPr>
      <w:r>
        <w:t xml:space="preserve">Meadows, Thinking in Systems</w:t>
      </w:r>
    </w:p>
    <w:p>
      <w:pPr>
        <w:pStyle w:val="Heading3"/>
      </w:pPr>
      <w:r>
        <w:t xml:space="preserve">3.7-A4</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b) Una demora dentro de un lazo de balance (negativo)</w:t>
            </w:r>
          </w:p>
        </w:tc>
      </w:tr>
    </w:tbl>
    <w:p>
      <w:pPr>
        <w:pStyle w:val="Normal"/>
      </w:pPr>
      <w:r>
        <w:t xml:space="preserve">La oscilación nace cuando un lazo de balance —que corrige hacia un objetivo— actúa sobre información retrasada: quien corrige sigue reaccionando a un estado que ya cambió. La demora sola no basta; hace falta el lazo de balance.</w:t>
      </w:r>
    </w:p>
    <w:p>
      <w:pPr>
        <w:pStyle w:val="Normal"/>
      </w:pPr>
      <w:r>
        <w:t xml:space="preserve">a) Un lazo de refuerzo con demora crece a tirones, pero no oscila alrededor de un objetivo.</w:t>
      </w:r>
    </w:p>
    <w:p>
      <w:pPr>
        <w:pStyle w:val="Normal"/>
      </w:pPr>
      <w:r>
        <w:t xml:space="preserve">b) Correcto: un lazo que persigue un objetivo + información retrasada = sobreajuste y vaivén.</w:t>
      </w:r>
    </w:p>
    <w:p>
      <w:pPr>
        <w:pStyle w:val="Normal"/>
      </w:pPr>
      <w:r>
        <w:t xml:space="preserve">c) Sin demora, el lazo de balance converge suavemente al objetivo.</w:t>
      </w:r>
    </w:p>
    <w:p>
      <w:pPr>
        <w:pStyle w:val="Normal"/>
      </w:pPr>
      <w:r>
        <w:t xml:space="preserve">d) Sin lazo no hay corrección repetida y, por tanto, no hay oscilación.</w:t>
      </w:r>
    </w:p>
    <w:p>
      <w:pPr>
        <w:pStyle w:val="Heading3"/>
      </w:pPr>
      <w:r>
        <w:t xml:space="preserve">3.7-A5</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b) Porque sigues abriendo el grifo mientras el agua caliente aún viene por la tubería, y cuando por fin llega ya abriste de más</w:t>
            </w:r>
          </w:p>
        </w:tc>
      </w:tr>
    </w:tbl>
    <w:p>
      <w:pPr>
        <w:pStyle w:val="Normal"/>
      </w:pPr>
      <w:r>
        <w:t xml:space="preserve">La demora de la tubería hace que no sientas el efecto de girar el grifo. Al no ver respuesta, giras más; cuando el agua caliente llega toda junta, el ajuste ya es excesivo. Es sobreajuste puro por reaccionar a información retrasada.</w:t>
      </w:r>
    </w:p>
    <w:p>
      <w:pPr>
        <w:pStyle w:val="Fuente"/>
      </w:pPr>
      <w:r>
        <w:t xml:space="preserve">Meadows, Thinking in Systems</w:t>
      </w:r>
    </w:p>
    <w:p>
      <w:pPr>
        <w:pStyle w:val="Heading3"/>
      </w:pPr>
      <w:r>
        <w:t xml:space="preserve">3.7-A6</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b) empeorar la oscilación: sobreajustas todavía más</w:t>
            </w:r>
          </w:p>
        </w:tc>
      </w:tr>
    </w:tbl>
    <w:p>
      <w:pPr>
        <w:pStyle w:val="Normal"/>
      </w:pPr>
      <w:r>
        <w:t xml:space="preserve">Cuanto más agresiva es la corrección ante una señal retrasada, mayor el sobreimpulso. La respuesta prudente ante una demora es moderar y espaciar la reacción, no intensificarla. En el laboratorio: sube «Reacción» y verás crecer la oscilación.</w:t>
      </w:r>
    </w:p>
    <w:p>
      <w:pPr>
        <w:pStyle w:val="Heading3"/>
      </w:pPr>
      <w:r>
        <w:t xml:space="preserve">3.7-A7</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b) pasa de amortiguada a sostenida y luego a creciente (cada vez más inestable)</w:t>
            </w:r>
          </w:p>
        </w:tc>
      </w:tr>
    </w:tbl>
    <w:p>
      <w:pPr>
        <w:pStyle w:val="Normal"/>
      </w:pPr>
      <w:r>
        <w:t xml:space="preserve">Cuanto más larga la demora, más desfasada está la información sobre la que actúas y más fácil es desestabilizar el lazo. La misma reacción que amortiguaba con demora corta puede volverse explosiva con demora larga.</w:t>
      </w:r>
    </w:p>
    <w:p>
      <w:pPr>
        <w:pStyle w:val="Heading3"/>
      </w:pPr>
      <w:r>
        <w:t xml:space="preserve">3.7-A8</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b) una misma estructura —un lazo de balance con demora— genera el mismo patrón de conducta en dominios muy distintos</w:t>
            </w:r>
          </w:p>
        </w:tc>
      </w:tr>
    </w:tbl>
    <w:p>
      <w:pPr>
        <w:pStyle w:val="Normal"/>
      </w:pPr>
      <w:r>
        <w:t xml:space="preserve">Es la idea central del pensamiento sistémico: la estructura genera la conducta. El «juego de la cerveza» de Senge y los modelos de inventario de Sterman muestran pedidos que oscilan más que las ventas reales (efecto látigo) por la misma demora que escalda al de la ducha.</w:t>
      </w:r>
    </w:p>
    <w:p>
      <w:pPr>
        <w:pStyle w:val="Fuente"/>
      </w:pPr>
      <w:r>
        <w:t xml:space="preserve">Sterman, Business Dynamics · Senge, La quinta disciplina</w:t>
      </w:r>
    </w:p>
    <w:p>
      <w:pPr>
        <w:pStyle w:val="Heading3"/>
      </w:pPr>
      <w:r>
        <w:t xml:space="preserve">3.7-A9</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b) Acortar la demora o moderar la reacción, y tener paciencia con los efectos que aún vienen en camino</w:t>
            </w:r>
          </w:p>
        </w:tc>
      </w:tr>
    </w:tbl>
    <w:p>
      <w:pPr>
        <w:pStyle w:val="Normal"/>
      </w:pPr>
      <w:r>
        <w:t xml:space="preserve">Si el efecto llega tarde, conviene o bien acortar la demora (mejor información, entregas más rápidas) o bien reaccionar con más calma contando con lo que ya está en camino. La paciencia informada es aquí la verdadera palanca.</w:t>
      </w:r>
    </w:p>
    <w:p>
      <w:pPr>
        <w:pStyle w:val="Normal"/>
      </w:pPr>
      <w:r>
        <w:t xml:space="preserve">a) Es justo lo que amplifica la oscilación.</w:t>
      </w:r>
    </w:p>
    <w:p>
      <w:pPr>
        <w:pStyle w:val="Normal"/>
      </w:pPr>
      <w:r>
        <w:t xml:space="preserve">b) Correcto: reducir el desfase o suavizar la respuesta, y contar con los efectos en tránsito.</w:t>
      </w:r>
    </w:p>
    <w:p>
      <w:pPr>
        <w:pStyle w:val="Normal"/>
      </w:pPr>
      <w:r>
        <w:t xml:space="preserve">c) Ignorar la información no corrige nada; empeora la ceguera al desfase.</w:t>
      </w:r>
    </w:p>
    <w:p>
      <w:pPr>
        <w:pStyle w:val="Normal"/>
      </w:pPr>
      <w:r>
        <w:t xml:space="preserve">d) Más demoras alargan aún más el desfase entre causa y efecto.</w:t>
      </w:r>
    </w:p>
    <w:p>
      <w:pPr>
        <w:pStyle w:val="Fuente"/>
      </w:pPr>
      <w:r>
        <w:t xml:space="preserve">Senge, La quinta disciplina</w:t>
      </w:r>
    </w:p>
    <w:p>
      <w:pPr>
        <w:pStyle w:val="Heading3"/>
      </w:pPr>
      <w:r>
        <w:t xml:space="preserve">3.7-A10</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b) Que sin desfase entre actuar y percibir el efecto, el lazo de balance converge sin sobreajuste</w:t>
            </w:r>
          </w:p>
        </w:tc>
      </w:tr>
    </w:tbl>
    <w:p>
      <w:pPr>
        <w:pStyle w:val="Normal"/>
      </w:pPr>
      <w:r>
        <w:t xml:space="preserve">Quitar la demora elimina la fuente de la oscilación: cada corrección se ve de inmediato, así que nunca te pasas. Confirma que la demora —y no la reacción ni el objetivo— es lo que introduce el vaivén.</w:t>
      </w:r>
    </w:p>
    <w:p>
      <w:pPr>
        <w:pStyle w:val="Heading3"/>
      </w:pPr>
      <w:bookmarkStart w:name="b_solucion_ej_P09" w:id="3282"/>
      <w:r>
        <w:t xml:space="preserve">Solución 3.7-E1</w:t>
      </w:r>
      <w:bookmarkEnd w:id="3282"/>
    </w:p>
    <w:p>
      <w:pPr>
        <w:pStyle w:val="RecuadroTitulo"/>
      </w:pPr>
      <w:r>
        <w:t xml:space="preserve">Respuesta modelo</w:t>
      </w:r>
    </w:p>
    <w:p>
      <w:pPr>
        <w:pStyle w:val="Normal"/>
      </w:pPr>
      <w:r>
        <w:t xml:space="preserve">Se reciben 40 y se llega a 120. Considerar existencias y pedidos pendientes evita volver a pedir la misma brecha. La demora no modifica por sí sola los signos del balance.</w:t>
      </w:r>
    </w:p>
    <w:p>
      <w:pPr>
        <w:pStyle w:val="Fuente"/>
      </w:pPr>
      <w:r>
        <w:t xml:space="preserve">Repaso seleccionado · guía recibida, pp. 3–5; lecciones de unidades 1–3.</w:t>
      </w:r>
    </w:p>
    <w:p>
      <w:pPr>
        <w:pStyle w:val="Heading3"/>
      </w:pPr>
      <w:bookmarkStart w:name="b_solucion_ej_P10" w:id="3283"/>
      <w:r>
        <w:t xml:space="preserve">Solución 3.7-E2</w:t>
      </w:r>
      <w:bookmarkEnd w:id="3283"/>
    </w:p>
    <w:p>
      <w:pPr>
        <w:pStyle w:val="RecuadroTitulo"/>
      </w:pPr>
      <w:r>
        <w:t xml:space="preserve">Respuesta modelo</w:t>
      </w:r>
    </w:p>
    <w:p>
      <w:pPr>
        <w:pStyle w:val="Normal"/>
      </w:pPr>
      <w:r>
        <w:t xml:space="preserve">Litros/minuto es unidad de tasa; TIME STEP es intervalo numérico; entrega es demora material; percepción ajustada es demora de información. Reducir el paso de cálculo no acelera al proveedor.</w:t>
      </w:r>
    </w:p>
    <w:p>
      <w:pPr>
        <w:pStyle w:val="Fuente"/>
        <w:sectPr>
          <w:headerReference w:type="default" r:id="rId198"/>
          <w:headerReference w:type="first" r:id="rId199"/>
          <w:headerReference w:type="even" r:id="rId200"/>
          <w:footerReference w:type="default" r:id="rId201"/>
          <w:footerReference w:type="first" r:id="rId202"/>
          <w:footerReference w:type="even" r:id="rId203"/>
          <w:type w:val="nextPage"/>
          <w:pgSz w:w="12240" w:h="15840" w:orient="portrait"/>
          <w:pgMar w:top="1361" w:right="1134" w:bottom="1361" w:left="1474" w:header="650" w:footer="680" w:gutter="0"/>
          <w:pgNumType/>
          <w:titlePg/>
          <w:docGrid w:linePitch="360"/>
        </w:sectPr>
      </w:pPr>
      <w:r>
        <w:t xml:space="preserve">Repaso seleccionado · guía recibida, pp. 3–5; lecciones de unidades 1–3.</w:t>
      </w:r>
    </w:p>
    <w:p>
      <w:pPr>
        <w:pStyle w:val="Heading2"/>
      </w:pPr>
      <w:bookmarkStart w:name="b_3_8" w:id="3284"/>
      <w:r>
        <w:t xml:space="preserve">3.8 · Patrones y tendencias</w:t>
      </w:r>
      <w:bookmarkEnd w:id="3284"/>
    </w:p>
    <w:p>
      <w:pPr>
        <w:pStyle w:val="Subtitulo"/>
      </w:pPr>
      <w:r>
        <w:t xml:space="preserve">Los patrones y tendencias de los sistemas</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En una línea</w:t>
            </w:r>
          </w:p>
          <w:p>
            <w:pPr>
              <w:pStyle w:val="Recuadro"/>
            </w:pPr>
            <w:r>
              <w:t xml:space="preserve">El tiempo en el eje X, la variable en el eje Y: el ciclo de balance dibuja un crecimiento acotado y el de refuerzo, uno sin techo.</w:t>
            </w:r>
          </w:p>
        </w:tc>
      </w:tr>
    </w:tbl>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Qué te preguntan</w:t>
            </w:r>
          </w:p>
          <w:p>
            <w:pPr>
              <w:pStyle w:val="Recuadro"/>
            </w:pPr>
            <w:r>
              <w:t xml:space="preserve">Emparejar una estructura con la curva que produce y reconocer los patrones genéricos de la lámina: crecimiento lineal, declive lineal, exponencial, en S, oscilación, estado estable, búsqueda de objetivo y crecimiento decreciente. Un parámetro es la línea horizontal: la variable que no cambia.</w:t>
            </w:r>
          </w:p>
        </w:tc>
      </w:tr>
    </w:tbl>
    <w:p>
      <w:pPr>
        <w:pStyle w:val="Normal"/>
      </w:pPr>
      <w:r>
        <w:t xml:space="preserve">Una tendencia es una propiedad emergente de la estructura a lo largo del tiempo: el patrón se ve en el nivel del iceberg inmediatamente superior al de las estructuras, que lo causan, y sin llegar a las relaciones causales no se explica. No se dibuja con ciclos causales sino con un gráfico de comportamiento, con el tiempo en el eje X y la variable en el eje Y. Para pasar de R/B a una curva hacen falta supuestos sobre ecuaciones, tasas, demoras y condiciones iniciales; las letras no fijan una trayectoria única.</w:t>
      </w:r>
    </w:p>
    <w:p>
      <w:pPr>
        <w:pStyle w:val="Heading3"/>
      </w:pPr>
      <w:r>
        <w:t xml:space="preserve">Vocabulario clave</w:t>
      </w:r>
    </w:p>
    <w:p>
      <w:pPr>
        <w:pStyle w:val="Normal"/>
      </w:pPr>
      <w:r>
        <w:t xml:space="preserve">tendencia (patrón de comportamiento, propiedad emergente de la estructura en el tiempo) · nivel de patrones del iceberg (nivel 2, sobre las estructuras del nivel 3) · gráfico de comportamiento (diagrama de tiempo, diagrama de tendencias, BOTG, behavior over time graph) · exponencial no acotado (refuerzo) · exponencial acotado (compensación) · patrón oscilatorio · patrón estable (parámetros) · patrón lineal · ciclo de vida · quinto hábito: observar cómo cambian los elementos a lo largo del tiempo</w:t>
      </w:r>
    </w:p>
    <w:p>
      <w:pPr>
        <w:pStyle w:val="Fuente"/>
      </w:pPr>
      <w:r>
        <w:t xml:space="preserve">Recorrido: desarrollo conceptual → presentaciones → explicación en clase → errores y fuentes → práctica → solucionario.</w:t>
      </w:r>
    </w:p>
    <w:p>
      <w:pPr>
        <w:pStyle w:val="Heading3"/>
      </w:pPr>
      <w:bookmarkStart w:name="b_lectura_p8" w:id="3285"/>
      <w:r>
        <w:t xml:space="preserve">P8. Comportamiento en el tiempo y lectura de gráficas</w:t>
      </w:r>
      <w:bookmarkEnd w:id="3285"/>
    </w:p>
    <w:p>
      <w:pPr>
        <w:pStyle w:val="Normal"/>
      </w:pPr>
      <w:r>
        <w:t xml:space="preserve">Una gráfica de comportamiento compara una variable a través del tiempo. Debe permitir identificar ejes, unidades, escala, horizonte y condiciones del escenario. Un único dato final no muestra la trayectoria completa.</w:t>
      </w:r>
    </w:p>
    <w:p>
      <w:pPr>
        <w:pStyle w:val="Normal"/>
      </w:pPr>
      <w:r>
        <w:t xml:space="preserve">La altura de una curva de nivel representa la cantidad acumulada; su pendiente se relaciona con el flujo neto. Si una entrada se reduce pero todavía supera a la salida, el nivel continúa aumentando, aunque más lentamente. Una curva horizontal de nivel puede coexistir con entradas y salidas iguales y no nulas.</w:t>
      </w:r>
    </w:p>
    <w:p>
      <w:pPr>
        <w:pStyle w:val="Normal"/>
      </w:pPr>
      <w:r>
        <w:t xml:space="preserve">La lectura de patrones conecta la estructura con los modelos del tercer parcial.</w:t>
      </w:r>
    </w:p>
    <w:p>
      <w:pPr>
        <w:pStyle w:val="Heading3"/>
      </w:pPr>
      <w:r>
        <w:t xml:space="preserve">Definiciones como las dio la clase</w:t>
      </w:r>
    </w:p>
    <w:p>
      <w:pPr>
        <w:pStyle w:val="Normal"/>
      </w:pPr>
      <w:r>
        <w:t xml:space="preserve">Tendencia: propiedad emergente de la estructura a lo largo del tiempo, observable en cualquiera de sus variables; toda estructura tiene una o más tendencias.</w:t>
      </w:r>
    </w:p>
    <w:p>
      <w:pPr>
        <w:pStyle w:val="Normal"/>
      </w:pPr>
      <w:r>
        <w:t xml:space="preserve">Quinto hábito del pensador sistémico: reconocer y observar cómo cambian los elementos a lo largo del tiempo, es decir, los patrones y las tendencias.</w:t>
      </w:r>
    </w:p>
    <w:p>
      <w:pPr>
        <w:pStyle w:val="Normal"/>
      </w:pPr>
      <w:r>
        <w:t xml:space="preserve">Iceberg: eventos, patrones, estructuras y modelos mentales; los modelos mentales determinan las estructuras, y éstas, los patrones y los eventos. El nivel 2, de las tendencias de comportamiento, usa diagramas de patrones, que muestran las variaciones de las variables a lo largo del tiempo y se asocian a las estructuras del nivel 3.</w:t>
      </w:r>
    </w:p>
    <w:p>
      <w:pPr>
        <w:pStyle w:val="Normal"/>
      </w:pPr>
      <w:r>
        <w:t xml:space="preserve">Los autores del diagrama causal vieron útil distinguir los comportamientos de las relaciones «para empezar a describir tendencias»; de ahí la relación entre estructura y patrones del iceberg. Los comportamientos crecientes de los ciclos son tendencias del nivel 2.</w:t>
      </w:r>
    </w:p>
    <w:p>
      <w:pPr>
        <w:pStyle w:val="Normal"/>
      </w:pPr>
      <w:r>
        <w:t xml:space="preserve">Ciclo de vida: ventana de observación que abarca toda la vida del sistema, como la de una persona o la de un proyecto.</w:t>
      </w:r>
    </w:p>
    <w:p>
      <w:pPr>
        <w:pStyle w:val="Fuente"/>
      </w:pPr>
      <w:r>
        <w:t xml:space="preserve">Clase 10 · 00:14:05–00:15:04 · Clase 10 · 01:15:50–01:16:14 · Clase 12 · 01:13:54–01:14:44 · Clase 16 · 00:18:04–00:21:33 · Clase 16 · 01:29:55–01:30:39 · Clase 16 · 01:39:28–01:39:45 · Clase 16 · 01:40:33–01:41:16</w:t>
      </w:r>
    </w:p>
    <w:p>
      <w:pPr>
        <w:pStyle w:val="Heading3"/>
      </w:pPr>
      <w:r>
        <w:t xml:space="preserve">La estructura explica la tendencia</w:t>
      </w:r>
    </w:p>
    <w:p>
      <w:pPr>
        <w:pStyle w:val="Normal"/>
      </w:pPr>
      <w:r>
        <w:t xml:space="preserve">Las estructuras subyacentes causan las tendencias del nivel de comportamientos o propiedades emergentes: si sólo se ve la característica emergente, se describe como tendencia, pero no se explica qué la provoca sin llegar a las relaciones causales.</w:t>
      </w:r>
    </w:p>
    <w:p>
      <w:pPr>
        <w:pStyle w:val="Normal"/>
      </w:pPr>
      <w:r>
        <w:t xml:space="preserve">Dinámica contraintuitiva: el sistema se comporta distinto de lo que se cree porque su estructura no es la que se piensa.</w:t>
      </w:r>
    </w:p>
    <w:p>
      <w:pPr>
        <w:pStyle w:val="Normal"/>
      </w:pPr>
      <w:r>
        <w:t xml:space="preserve">Falla de software hipotética que aparece cada viernes por la mañana, por una promoción no validada al facturar y ciclos no modelados: «no es más que una tendencia que se ha repetido derivada de una estructura que está incompleta».</w:t>
      </w:r>
    </w:p>
    <w:p>
      <w:pPr>
        <w:pStyle w:val="Normal"/>
      </w:pPr>
      <w:r>
        <w:t xml:space="preserve">Un indicador medido es una característica del sistema, no su estructura; en ACME se llegó a la estructura desde las tendencias.</w:t>
      </w:r>
    </w:p>
    <w:p>
      <w:pPr>
        <w:pStyle w:val="Normal"/>
      </w:pPr>
      <w:r>
        <w:t xml:space="preserve">Sistemas de contenido distinto con estructuras parecidas tienen dinámicas muy similares.</w:t>
      </w:r>
    </w:p>
    <w:p>
      <w:pPr>
        <w:pStyle w:val="Fuente"/>
      </w:pPr>
      <w:r>
        <w:t xml:space="preserve">Clase 12 · 00:41:28–00:41:54 · Clase 14 · 01:09:42–01:10:57 · Clase 14 · 01:21:08–01:26:31 · Clase 15 · 00:40:02–00:40:36 · Clase 15 · 00:42:54–00:43:22</w:t>
      </w:r>
    </w:p>
    <w:p>
      <w:pPr>
        <w:pStyle w:val="Heading3"/>
      </w:pPr>
      <w:r>
        <w:t xml:space="preserve">De la estructura a la curva</w:t>
      </w:r>
    </w:p>
    <w:p>
      <w:pPr>
        <w:pStyle w:val="Normal"/>
      </w:pPr>
      <w:r>
        <w:t xml:space="preserve">Refuerzo: amplifica el cambio que retorna. Un R aislado con crecimiento proporcional constante y sin restricciones puede producir una exponencial; otros mecanismos requieren su propio modelo.</w:t>
      </w:r>
    </w:p>
    <w:p>
      <w:pPr>
        <w:pStyle w:val="Normal"/>
      </w:pPr>
      <w:r>
        <w:t xml:space="preserve">Compensación: se opone al cambio inicial. Con meta fija, corrección proporcional estable y sin retardo puede aproximarse exponencialmente a la meta. Con demoras puede oscilar; B no garantiza una trayectoria monótona, acotada o estable.</w:t>
      </w:r>
    </w:p>
    <w:p>
      <w:pPr>
        <w:pStyle w:val="Normal"/>
      </w:pPr>
      <w:r>
        <w:t xml:space="preserve">Refuerzo y compensación combinados dan múltiples patrones: el efecto sobre la variable compartida depende de cuál domina. Ballenas: crecen sólo si las muertes y la pesca no superan los nacimientos; si los superan, posible extinción local.</w:t>
      </w:r>
    </w:p>
    <w:p>
      <w:pPr>
        <w:pStyle w:val="Normal"/>
      </w:pPr>
      <w:r>
        <w:t xml:space="preserve">Presa-depredador: cuatro ciclos (nacimientos y muertes de conejos y de zorros); los zorros agotan los conejos y mueren de hambre, y los conejos se recuperan: oscilación y equilibrio. Pensar que los zorros acabarán con los conejos es una perspectiva lineal, incompleta y reduccionista.</w:t>
      </w:r>
    </w:p>
    <w:p>
      <w:pPr>
        <w:pStyle w:val="Fuente"/>
      </w:pPr>
      <w:r>
        <w:t xml:space="preserve">Clase 14 · 01:04:21–01:08:00 · Clase 15 · 00:23:38–00:26:06 · Clase 15 · 01:39:08–01:39:48 · Clase 16 · 00:50:41–00:51:13 · Clase 16 · 01:03:03–01:06:00 · Clase 16 · 01:37:54–01:39:30</w:t>
      </w:r>
    </w:p>
    <w:p>
      <w:pPr>
        <w:pStyle w:val="Heading3"/>
      </w:pPr>
      <w:r>
        <w:t xml:space="preserve">El gráfico de comportamiento</w:t>
      </w:r>
    </w:p>
    <w:p>
      <w:pPr>
        <w:pStyle w:val="Normal"/>
      </w:pPr>
      <w:r>
        <w:t xml:space="preserve">Las tendencias no se representan con diagramas de ciclos causales sino con gráficos de comportamiento, también llamados diagramas de tiempo, diagramas de tendencias o BOTG (behavior over time graph): el tiempo en el eje X y la variable en el eje Y.</w:t>
      </w:r>
    </w:p>
    <w:p>
      <w:pPr>
        <w:pStyle w:val="Normal"/>
      </w:pPr>
      <w:r>
        <w:t xml:space="preserve">Patrones que se reconocen: lineal, exponencial acotado o no acotado, oscilatorio y estable (parámetros).</w:t>
      </w:r>
    </w:p>
    <w:p>
      <w:pPr>
        <w:pStyle w:val="Normal"/>
      </w:pPr>
      <w:r>
        <w:t xml:space="preserve">Ejemplos: la altura de una persona; el nenúfar que se duplica y a los 30 días cubre medio estanque, de modo que lo cubre entero el día 31 (en clase se oyó «39 días», que no cuadra con el enunciado); la luna, con patrón oscilatorio.</w:t>
      </w:r>
    </w:p>
    <w:p>
      <w:pPr>
        <w:pStyle w:val="Fuente"/>
      </w:pPr>
      <w:r>
        <w:t xml:space="preserve">Clase 16 · 01:30:32–01:32:19 · Clase 16 · 01:36:13–01:37:41 · Clase 16 · 01:41:08–01:41:49</w:t>
      </w:r>
    </w:p>
    <w:p>
      <w:pPr>
        <w:pStyle w:val="Heading3"/>
      </w:pPr>
      <w:r>
        <w:t xml:space="preserve">Lo que proyectaron las láminas del quinto hábito</w:t>
      </w:r>
    </w:p>
    <w:p>
      <w:pPr>
        <w:pStyle w:val="Normal"/>
      </w:pPr>
      <w:r>
        <w:t xml:space="preserve">Patrones genéricos: crecimiento lineal, declive lineal, crecimiento exponencial, crecimiento en S, oscilación, estado estable, búsqueda de objetivo y crecimiento decreciente. Importa la forma de la línea, no los puntos concretos.</w:t>
      </w:r>
    </w:p>
    <w:p>
      <w:pPr>
        <w:pStyle w:val="Normal"/>
      </w:pPr>
      <w:r>
        <w:t xml:space="preserve">Gráfico de comportamiento a lo largo del tiempo: una herramienta simple que ilustra patrones y tendencias, con el tiempo siempre en el eje horizontal y el elemento que cambia en el vertical. Puede mostrar también el cambio previsto después de la línea del presente.</w:t>
      </w:r>
    </w:p>
    <w:p>
      <w:pPr>
        <w:pStyle w:val="Normal"/>
      </w:pPr>
      <w:r>
        <w:t xml:space="preserve">El cambio se mide de forma concreta, como la altura de un niño, o se documenta desde un punto de vista: el padre ve rebeldía donde la hija ve independencia.</w:t>
      </w:r>
    </w:p>
    <w:p>
      <w:pPr>
        <w:pStyle w:val="Normal"/>
      </w:pPr>
      <w:r>
        <w:t xml:space="preserve">Ciclos de vida: las etapas por las que pasa un elemento en el tiempo, como un producto, un proyecto, la metamorfosis de la mariposa, las fases de la luna o el ciclo del agua.</w:t>
      </w:r>
    </w:p>
    <w:p>
      <w:pPr>
        <w:pStyle w:val="Normal"/>
      </w:pPr>
      <w:r>
        <w:t xml:space="preserve">Presa-depredador: los nacimientos de conejos y de zorros como ciclos de refuerzo, sus muertes como ciclos de balance, y el acoplamiento cruzado entre las dos poblaciones.</w:t>
      </w:r>
    </w:p>
    <w:p>
      <w:pPr>
        <w:pStyle w:val="Fuente"/>
      </w:pPr>
      <w:r>
        <w:t xml:space="preserve">lámina c16-16 · lámina c16-17 · lámina c16-18 · lámina c16-19 · lámina c16-22 · lámina c16-23 · lámina c16-09</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Procedimiento</w:t>
            </w:r>
          </w:p>
          <w:p>
            <w:pPr>
              <w:pStyle w:val="Recuadro"/>
            </w:pPr>
            <w:r>
              <w:t xml:space="preserve">Cómo se pasa de la tendencia a la estructura y de la estructura a la curva</w:t>
            </w:r>
          </w:p>
          <w:p>
            <w:pPr>
              <w:pStyle w:val="Recuadro"/>
            </w:pPr>
            <w:r>
              <w:t xml:space="preserve">1. </w:t>
            </w:r>
            <w:r>
              <w:rPr>
                <w:b/>
                <w:bCs/>
              </w:rPr>
              <w:t xml:space="preserve">Bajar de la tendencia a la estructura.</w:t>
            </w:r>
            <w:r>
              <w:t xml:space="preserve"> Ante una tendencia observada, como la falla que se repite cada viernes, no basta describirla: se buscan las relaciones causales que la provocan, y el indicador medido se trata como característica, no como estructura. (Clase 14 · 01:09:42–01:10:57 · Clase 14 · 01:21:08–01:25:36 · Clase 15 · 00:42:54–00:43:22)</w:t>
            </w:r>
          </w:p>
          <w:p>
            <w:pPr>
              <w:pStyle w:val="Recuadro"/>
            </w:pPr>
            <w:r>
              <w:t xml:space="preserve">2. </w:t>
            </w:r>
            <w:r>
              <w:rPr>
                <w:b/>
                <w:bCs/>
              </w:rPr>
              <w:t xml:space="preserve">Asociar a cada ciclo su tendencia.</w:t>
            </w:r>
            <w:r>
              <w:t xml:space="preserve"> Se clasifica cada ciclo y se le asocia su tendencia: al refuerzo, crecimiento o decrecimiento; a la compensación, crecimiento o decrecimiento acotado a un valor objetivo. (Clase 15 · 01:39:08–01:39:48)</w:t>
            </w:r>
          </w:p>
          <w:p>
            <w:pPr>
              <w:pStyle w:val="Recuadro"/>
            </w:pPr>
            <w:r>
              <w:t xml:space="preserve">3. </w:t>
            </w:r>
            <w:r>
              <w:rPr>
                <w:b/>
                <w:bCs/>
              </w:rPr>
              <w:t xml:space="preserve">Leer los ciclos acoplados en conjunto.</w:t>
            </w:r>
            <w:r>
              <w:t xml:space="preserve"> Si refuerzo y compensación comparten una variable, el efecto depende de cuál domina; en presa-depredador el modelo didáctico presentado ilustra oscilación; la permanencia de poblaciones depende de tasas y condiciones. (Clase 16 · 00:50:41–00:51:13 · Clase 16 · 01:03:03–01:06:00)</w:t>
            </w:r>
          </w:p>
          <w:p>
            <w:pPr>
              <w:pStyle w:val="Recuadro"/>
            </w:pPr>
            <w:r>
              <w:t xml:space="preserve">4. </w:t>
            </w:r>
            <w:r>
              <w:rPr>
                <w:b/>
                <w:bCs/>
              </w:rPr>
              <w:t xml:space="preserve">Trazar el gráfico de comportamiento.</w:t>
            </w:r>
            <w:r>
              <w:t xml:space="preserve"> Se toma cualquier variable de la estructura y se dibuja su gráfico de comportamiento: el tiempo en el eje X y la variable en el eje Y. (Clase 16 · 01:30:10–01:30:39 · Clase 16 · 01:36:13–01:36:35)</w:t>
            </w:r>
          </w:p>
          <w:p>
            <w:pPr>
              <w:pStyle w:val="Recuadro"/>
            </w:pPr>
            <w:r>
              <w:t xml:space="preserve">5. </w:t>
            </w:r>
            <w:r>
              <w:rPr>
                <w:b/>
                <w:bCs/>
              </w:rPr>
              <w:t xml:space="preserve">Nombrar el patrón.</w:t>
            </w:r>
            <w:r>
              <w:t xml:space="preserve"> Se nombra la forma observada: exponencial, búsqueda de objetivo, lineal, oscilatoria o estable. Para asociarla con una estructura se explicitan mecanismos, tasas y retardos. (Clase 16 · 01:37:54–01:39:30 · Clase 16 · 01:41:08–01:41:27)</w:t>
            </w:r>
          </w:p>
          <w:p>
            <w:pPr>
              <w:pStyle w:val="Recuadro"/>
            </w:pPr>
            <w:r>
              <w:t xml:space="preserve">La tendencia se dibuja en un gráfico de comportamiento y se explica con el diagrama causal: la curva sale de la estructura.</w:t>
            </w:r>
          </w:p>
        </w:tc>
      </w:tr>
    </w:tbl>
    <w:p>
      <w:pPr>
        <w:pStyle w:val="Heading3"/>
      </w:pPr>
      <w:bookmarkStart w:name="b_tabla_3_8_g2_dos_ciclos" w:id="3286"/>
      <w:r>
        <w:t xml:space="preserve">Refuerzo y compensación, lado a lado</w:t>
      </w:r>
      <w:bookmarkEnd w:id="3286"/>
    </w:p>
    <w:tbl>
      <w:tblPr>
        <w:tblW w:type="dxa" w:w="9632"/>
        <w:tblBorders>
          <w:top w:val="single" w:color="C5D5DB" w:sz="4"/>
          <w:left w:val="single" w:color="C5D5DB" w:sz="4"/>
          <w:bottom w:val="single" w:color="C5D5DB" w:sz="4"/>
          <w:right w:val="single" w:color="C5D5DB" w:sz="4"/>
          <w:insideH w:val="single" w:color="E4E9EB" w:sz="3"/>
          <w:insideV w:val="single" w:color="E4E9EB" w:sz="3"/>
        </w:tblBorders>
        <w:tblLayout w:type="fixed"/>
      </w:tblPr>
      <w:tblGrid>
        <w:gridCol w:w="2408"/>
        <w:gridCol w:w="2408"/>
        <w:gridCol w:w="2408"/>
        <w:gridCol w:w="2408"/>
      </w:tblGrid>
      <w:tr>
        <w:trPr>
          <w:cantSplit/>
          <w:tblHeader/>
        </w:trPr>
        <w:tc>
          <w:tcPr>
            <w:tcW w:type="dxa" w:w="2408"/>
            <w:shd w:fill="DFEAF0" w:val="clear"/>
            <w:tcMar>
              <w:top w:type="dxa" w:w="80"/>
              <w:left w:type="dxa" w:w="100"/>
              <w:bottom w:type="dxa" w:w="80"/>
              <w:right w:type="dxa" w:w="100"/>
            </w:tcMar>
          </w:tcPr>
          <w:p>
            <w:pPr>
              <w:pStyle w:val="Tabla"/>
            </w:pPr>
            <w:r>
              <w:rPr>
                <w:b/>
                <w:bCs/>
              </w:rPr>
              <w:t xml:space="preserve">Aspecto</w:t>
            </w:r>
          </w:p>
        </w:tc>
        <w:tc>
          <w:tcPr>
            <w:tcW w:type="dxa" w:w="2408"/>
            <w:shd w:fill="DFEAF0" w:val="clear"/>
            <w:tcMar>
              <w:top w:type="dxa" w:w="80"/>
              <w:left w:type="dxa" w:w="100"/>
              <w:bottom w:type="dxa" w:w="80"/>
              <w:right w:type="dxa" w:w="100"/>
            </w:tcMar>
          </w:tcPr>
          <w:p>
            <w:pPr>
              <w:pStyle w:val="Tabla"/>
            </w:pPr>
            <w:r>
              <w:rPr>
                <w:b/>
                <w:bCs/>
              </w:rPr>
              <w:t xml:space="preserve">Refuerzo (R)</w:t>
            </w:r>
          </w:p>
        </w:tc>
        <w:tc>
          <w:tcPr>
            <w:tcW w:type="dxa" w:w="2408"/>
            <w:shd w:fill="DFEAF0" w:val="clear"/>
            <w:tcMar>
              <w:top w:type="dxa" w:w="80"/>
              <w:left w:type="dxa" w:w="100"/>
              <w:bottom w:type="dxa" w:w="80"/>
              <w:right w:type="dxa" w:w="100"/>
            </w:tcMar>
          </w:tcPr>
          <w:p>
            <w:pPr>
              <w:pStyle w:val="Tabla"/>
            </w:pPr>
            <w:r>
              <w:rPr>
                <w:b/>
                <w:bCs/>
              </w:rPr>
              <w:t xml:space="preserve">Compensación (B)</w:t>
            </w:r>
          </w:p>
        </w:tc>
        <w:tc>
          <w:tcPr>
            <w:tcW w:type="dxa" w:w="2408"/>
            <w:shd w:fill="DFEAF0" w:val="clear"/>
            <w:tcMar>
              <w:top w:type="dxa" w:w="80"/>
              <w:left w:type="dxa" w:w="100"/>
              <w:bottom w:type="dxa" w:w="80"/>
              <w:right w:type="dxa" w:w="100"/>
            </w:tcMar>
          </w:tcPr>
          <w:p>
            <w:pPr>
              <w:pStyle w:val="Tabla"/>
            </w:pPr>
            <w:r>
              <w:rPr>
                <w:b/>
                <w:bCs/>
              </w:rPr>
              <w:t xml:space="preserve">Dónde se dijo</w:t>
            </w:r>
          </w:p>
        </w:tc>
      </w:tr>
      <w:tr>
        <w:trPr>
          <w:cantSplit/>
          <w:tblHeader w:val="off"/>
        </w:trPr>
        <w:tc>
          <w:tcPr>
            <w:tcW w:type="dxa" w:w="2408"/>
            <w:tcMar>
              <w:top w:type="dxa" w:w="80"/>
              <w:left w:type="dxa" w:w="100"/>
              <w:bottom w:type="dxa" w:w="80"/>
              <w:right w:type="dxa" w:w="100"/>
            </w:tcMar>
          </w:tcPr>
          <w:p>
            <w:pPr>
              <w:pStyle w:val="Tabla"/>
            </w:pPr>
            <w:r>
              <w:t xml:space="preserve">Nombres</w:t>
            </w:r>
          </w:p>
        </w:tc>
        <w:tc>
          <w:tcPr>
            <w:tcW w:type="dxa" w:w="2408"/>
            <w:tcMar>
              <w:top w:type="dxa" w:w="80"/>
              <w:left w:type="dxa" w:w="100"/>
              <w:bottom w:type="dxa" w:w="80"/>
              <w:right w:type="dxa" w:w="100"/>
            </w:tcMar>
          </w:tcPr>
          <w:p>
            <w:pPr>
              <w:pStyle w:val="Tabla"/>
            </w:pPr>
            <w:r>
              <w:t xml:space="preserve">Ciclo de refuerzo; retroalimentación positiva.</w:t>
            </w:r>
          </w:p>
        </w:tc>
        <w:tc>
          <w:tcPr>
            <w:tcW w:type="dxa" w:w="2408"/>
            <w:tcMar>
              <w:top w:type="dxa" w:w="80"/>
              <w:left w:type="dxa" w:w="100"/>
              <w:bottom w:type="dxa" w:w="80"/>
              <w:right w:type="dxa" w:w="100"/>
            </w:tcMar>
          </w:tcPr>
          <w:p>
            <w:pPr>
              <w:pStyle w:val="Tabla"/>
            </w:pPr>
            <w:r>
              <w:t xml:space="preserve">Ciclo de compensación, de balance o de control; retroalimentación negativa.</w:t>
            </w:r>
          </w:p>
        </w:tc>
        <w:tc>
          <w:tcPr>
            <w:tcW w:type="dxa" w:w="2408"/>
            <w:tcMar>
              <w:top w:type="dxa" w:w="80"/>
              <w:left w:type="dxa" w:w="100"/>
              <w:bottom w:type="dxa" w:w="80"/>
              <w:right w:type="dxa" w:w="100"/>
            </w:tcMar>
          </w:tcPr>
          <w:p>
            <w:pPr>
              <w:pStyle w:val="Tabla"/>
            </w:pPr>
            <w:r>
              <w:t xml:space="preserve">Clase 15 · 00:10:16–00:11:18</w:t>
            </w:r>
          </w:p>
        </w:tc>
      </w:tr>
      <w:tr>
        <w:trPr>
          <w:cantSplit/>
          <w:tblHeader w:val="off"/>
        </w:trPr>
        <w:tc>
          <w:tcPr>
            <w:tcW w:type="dxa" w:w="2408"/>
            <w:tcMar>
              <w:top w:type="dxa" w:w="80"/>
              <w:left w:type="dxa" w:w="100"/>
              <w:bottom w:type="dxa" w:w="80"/>
              <w:right w:type="dxa" w:w="100"/>
            </w:tcMar>
          </w:tcPr>
          <w:p>
            <w:pPr>
              <w:pStyle w:val="Tabla"/>
            </w:pPr>
            <w:r>
              <w:t xml:space="preserve">Qué hace</w:t>
            </w:r>
          </w:p>
        </w:tc>
        <w:tc>
          <w:tcPr>
            <w:tcW w:type="dxa" w:w="2408"/>
            <w:tcMar>
              <w:top w:type="dxa" w:w="80"/>
              <w:left w:type="dxa" w:w="100"/>
              <w:bottom w:type="dxa" w:w="80"/>
              <w:right w:type="dxa" w:w="100"/>
            </w:tcMar>
          </w:tcPr>
          <w:p>
            <w:pPr>
              <w:pStyle w:val="Tabla"/>
            </w:pPr>
            <w:r>
              <w:t xml:space="preserve">Una tendencia de crecimiento o de decrecimiento, sin objetivo.</w:t>
            </w:r>
          </w:p>
        </w:tc>
        <w:tc>
          <w:tcPr>
            <w:tcW w:type="dxa" w:w="2408"/>
            <w:tcMar>
              <w:top w:type="dxa" w:w="80"/>
              <w:left w:type="dxa" w:w="100"/>
              <w:bottom w:type="dxa" w:w="80"/>
              <w:right w:type="dxa" w:w="100"/>
            </w:tcMar>
          </w:tcPr>
          <w:p>
            <w:pPr>
              <w:pStyle w:val="Tabla"/>
            </w:pPr>
            <w:r>
              <w:t xml:space="preserve">Busca un objetivo, una meta o un valor explícito o implícito: la tendencia de una variable se revierte hasta un estado estable.</w:t>
            </w:r>
          </w:p>
        </w:tc>
        <w:tc>
          <w:tcPr>
            <w:tcW w:type="dxa" w:w="2408"/>
            <w:tcMar>
              <w:top w:type="dxa" w:w="80"/>
              <w:left w:type="dxa" w:w="100"/>
              <w:bottom w:type="dxa" w:w="80"/>
              <w:right w:type="dxa" w:w="100"/>
            </w:tcMar>
          </w:tcPr>
          <w:p>
            <w:pPr>
              <w:pStyle w:val="Tabla"/>
            </w:pPr>
            <w:r>
              <w:t xml:space="preserve">Clase 15 · 00:10:16–00:11:18 · Clase 15 · 00:23:38–00:26:06</w:t>
            </w:r>
          </w:p>
        </w:tc>
      </w:tr>
      <w:tr>
        <w:trPr>
          <w:cantSplit/>
          <w:tblHeader w:val="off"/>
        </w:trPr>
        <w:tc>
          <w:tcPr>
            <w:tcW w:type="dxa" w:w="2408"/>
            <w:tcMar>
              <w:top w:type="dxa" w:w="80"/>
              <w:left w:type="dxa" w:w="100"/>
              <w:bottom w:type="dxa" w:w="80"/>
              <w:right w:type="dxa" w:w="100"/>
            </w:tcMar>
          </w:tcPr>
          <w:p>
            <w:pPr>
              <w:pStyle w:val="Tabla"/>
            </w:pPr>
            <w:r>
              <w:t xml:space="preserve">Marca al centro</w:t>
            </w:r>
          </w:p>
        </w:tc>
        <w:tc>
          <w:tcPr>
            <w:tcW w:type="dxa" w:w="2408"/>
            <w:tcMar>
              <w:top w:type="dxa" w:w="80"/>
              <w:left w:type="dxa" w:w="100"/>
              <w:bottom w:type="dxa" w:w="80"/>
              <w:right w:type="dxa" w:w="100"/>
            </w:tcMar>
          </w:tcPr>
          <w:p>
            <w:pPr>
              <w:pStyle w:val="Tabla"/>
            </w:pPr>
            <w:r>
              <w:t xml:space="preserve">Un «+» o la letra R; el dibujo de la bola de nieve.</w:t>
            </w:r>
          </w:p>
        </w:tc>
        <w:tc>
          <w:tcPr>
            <w:tcW w:type="dxa" w:w="2408"/>
            <w:tcMar>
              <w:top w:type="dxa" w:w="80"/>
              <w:left w:type="dxa" w:w="100"/>
              <w:bottom w:type="dxa" w:w="80"/>
              <w:right w:type="dxa" w:w="100"/>
            </w:tcMar>
          </w:tcPr>
          <w:p>
            <w:pPr>
              <w:pStyle w:val="Tabla"/>
            </w:pPr>
            <w:r>
              <w:t xml:space="preserve">Un «−» o la letra B; el dibujo de la balanza.</w:t>
            </w:r>
          </w:p>
        </w:tc>
        <w:tc>
          <w:tcPr>
            <w:tcW w:type="dxa" w:w="2408"/>
            <w:tcMar>
              <w:top w:type="dxa" w:w="80"/>
              <w:left w:type="dxa" w:w="100"/>
              <w:bottom w:type="dxa" w:w="80"/>
              <w:right w:type="dxa" w:w="100"/>
            </w:tcMar>
          </w:tcPr>
          <w:p>
            <w:pPr>
              <w:pStyle w:val="Tabla"/>
            </w:pPr>
            <w:r>
              <w:t xml:space="preserve">Clase 15 · 00:17:47–00:18:54</w:t>
            </w:r>
          </w:p>
        </w:tc>
      </w:tr>
      <w:tr>
        <w:trPr>
          <w:cantSplit/>
          <w:tblHeader w:val="off"/>
        </w:trPr>
        <w:tc>
          <w:tcPr>
            <w:tcW w:type="dxa" w:w="2408"/>
            <w:tcMar>
              <w:top w:type="dxa" w:w="80"/>
              <w:left w:type="dxa" w:w="100"/>
              <w:bottom w:type="dxa" w:w="80"/>
              <w:right w:type="dxa" w:w="100"/>
            </w:tcMar>
          </w:tcPr>
          <w:p>
            <w:pPr>
              <w:pStyle w:val="Tabla"/>
            </w:pPr>
            <w:r>
              <w:t xml:space="preserve">Regla de signos</w:t>
            </w:r>
          </w:p>
        </w:tc>
        <w:tc>
          <w:tcPr>
            <w:tcW w:type="dxa" w:w="2408"/>
            <w:tcMar>
              <w:top w:type="dxa" w:w="80"/>
              <w:left w:type="dxa" w:w="100"/>
              <w:bottom w:type="dxa" w:w="80"/>
              <w:right w:type="dxa" w:w="100"/>
            </w:tcMar>
          </w:tcPr>
          <w:p>
            <w:pPr>
              <w:pStyle w:val="Tabla"/>
            </w:pPr>
            <w:r>
              <w:t xml:space="preserve">Ninguna relación negativa, o un número par de ellas (2, 4, 6).</w:t>
            </w:r>
          </w:p>
        </w:tc>
        <w:tc>
          <w:tcPr>
            <w:tcW w:type="dxa" w:w="2408"/>
            <w:tcMar>
              <w:top w:type="dxa" w:w="80"/>
              <w:left w:type="dxa" w:w="100"/>
              <w:bottom w:type="dxa" w:w="80"/>
              <w:right w:type="dxa" w:w="100"/>
            </w:tcMar>
          </w:tcPr>
          <w:p>
            <w:pPr>
              <w:pStyle w:val="Tabla"/>
            </w:pPr>
            <w:r>
              <w:t xml:space="preserve">Un número impar de relaciones negativas (1, 3, 5).</w:t>
            </w:r>
          </w:p>
        </w:tc>
        <w:tc>
          <w:tcPr>
            <w:tcW w:type="dxa" w:w="2408"/>
            <w:tcMar>
              <w:top w:type="dxa" w:w="80"/>
              <w:left w:type="dxa" w:w="100"/>
              <w:bottom w:type="dxa" w:w="80"/>
              <w:right w:type="dxa" w:w="100"/>
            </w:tcMar>
          </w:tcPr>
          <w:p>
            <w:pPr>
              <w:pStyle w:val="Tabla"/>
            </w:pPr>
            <w:r>
              <w:t xml:space="preserve">Clase 15 · 01:10:31–01:16:21</w:t>
            </w:r>
          </w:p>
        </w:tc>
      </w:tr>
      <w:tr>
        <w:trPr>
          <w:cantSplit/>
          <w:tblHeader w:val="off"/>
        </w:trPr>
        <w:tc>
          <w:tcPr>
            <w:tcW w:type="dxa" w:w="2408"/>
            <w:tcMar>
              <w:top w:type="dxa" w:w="80"/>
              <w:left w:type="dxa" w:w="100"/>
              <w:bottom w:type="dxa" w:w="80"/>
              <w:right w:type="dxa" w:w="100"/>
            </w:tcMar>
          </w:tcPr>
          <w:p>
            <w:pPr>
              <w:pStyle w:val="Tabla"/>
            </w:pPr>
            <w:r>
              <w:t xml:space="preserve">Forma en el tiempo</w:t>
            </w:r>
          </w:p>
        </w:tc>
        <w:tc>
          <w:tcPr>
            <w:tcW w:type="dxa" w:w="2408"/>
            <w:tcMar>
              <w:top w:type="dxa" w:w="80"/>
              <w:left w:type="dxa" w:w="100"/>
              <w:bottom w:type="dxa" w:w="80"/>
              <w:right w:type="dxa" w:w="100"/>
            </w:tcMar>
          </w:tcPr>
          <w:p>
            <w:pPr>
              <w:pStyle w:val="Tabla"/>
            </w:pPr>
            <w:r>
              <w:t xml:space="preserve">Exponencial no acotado: crece o decrece sin freno, salvo que otro ciclo lo limite.</w:t>
            </w:r>
          </w:p>
        </w:tc>
        <w:tc>
          <w:tcPr>
            <w:tcW w:type="dxa" w:w="2408"/>
            <w:tcMar>
              <w:top w:type="dxa" w:w="80"/>
              <w:left w:type="dxa" w:w="100"/>
              <w:bottom w:type="dxa" w:w="80"/>
              <w:right w:type="dxa" w:w="100"/>
            </w:tcMar>
          </w:tcPr>
          <w:p>
            <w:pPr>
              <w:pStyle w:val="Tabla"/>
            </w:pPr>
            <w:r>
              <w:t xml:space="preserve">Exponencial acotado: crece o decrece hasta un límite y se mantiene, más o menos oscilatorio.</w:t>
            </w:r>
          </w:p>
        </w:tc>
        <w:tc>
          <w:tcPr>
            <w:tcW w:type="dxa" w:w="2408"/>
            <w:tcMar>
              <w:top w:type="dxa" w:w="80"/>
              <w:left w:type="dxa" w:w="100"/>
              <w:bottom w:type="dxa" w:w="80"/>
              <w:right w:type="dxa" w:w="100"/>
            </w:tcMar>
          </w:tcPr>
          <w:p>
            <w:pPr>
              <w:pStyle w:val="Tabla"/>
            </w:pPr>
            <w:r>
              <w:t xml:space="preserve">Clase 16 · 01:37:54–01:39:30 · Clase 15 · 00:23:38–00:26:06</w:t>
            </w:r>
          </w:p>
        </w:tc>
      </w:tr>
      <w:tr>
        <w:trPr>
          <w:cantSplit/>
          <w:tblHeader w:val="off"/>
        </w:trPr>
        <w:tc>
          <w:tcPr>
            <w:tcW w:type="dxa" w:w="2408"/>
            <w:tcMar>
              <w:top w:type="dxa" w:w="80"/>
              <w:left w:type="dxa" w:w="100"/>
              <w:bottom w:type="dxa" w:w="80"/>
              <w:right w:type="dxa" w:w="100"/>
            </w:tcMar>
          </w:tcPr>
          <w:p>
            <w:pPr>
              <w:pStyle w:val="Tabla"/>
            </w:pPr>
            <w:r>
              <w:t xml:space="preserve">Casos de clase</w:t>
            </w:r>
          </w:p>
        </w:tc>
        <w:tc>
          <w:tcPr>
            <w:tcW w:type="dxa" w:w="2408"/>
            <w:tcMar>
              <w:top w:type="dxa" w:w="80"/>
              <w:left w:type="dxa" w:w="100"/>
              <w:bottom w:type="dxa" w:w="80"/>
              <w:right w:type="dxa" w:w="100"/>
            </w:tcMar>
          </w:tcPr>
          <w:p>
            <w:pPr>
              <w:pStyle w:val="Tabla"/>
            </w:pPr>
            <w:r>
              <w:t xml:space="preserve">Ahorros →+ intereses →+ ahorros; el acople entre micrófono y bocina.</w:t>
            </w:r>
          </w:p>
        </w:tc>
        <w:tc>
          <w:tcPr>
            <w:tcW w:type="dxa" w:w="2408"/>
            <w:tcMar>
              <w:top w:type="dxa" w:w="80"/>
              <w:left w:type="dxa" w:w="100"/>
              <w:bottom w:type="dxa" w:w="80"/>
              <w:right w:type="dxa" w:w="100"/>
            </w:tcMar>
          </w:tcPr>
          <w:p>
            <w:pPr>
              <w:pStyle w:val="Tabla"/>
            </w:pPr>
            <w:r>
              <w:t xml:space="preserve">Hambre →+ consumo de alimentos →− hambre: «lo que está compensando es el hambre».</w:t>
            </w:r>
          </w:p>
        </w:tc>
        <w:tc>
          <w:tcPr>
            <w:tcW w:type="dxa" w:w="2408"/>
            <w:tcMar>
              <w:top w:type="dxa" w:w="80"/>
              <w:left w:type="dxa" w:w="100"/>
              <w:bottom w:type="dxa" w:w="80"/>
              <w:right w:type="dxa" w:w="100"/>
            </w:tcMar>
          </w:tcPr>
          <w:p>
            <w:pPr>
              <w:pStyle w:val="Tabla"/>
            </w:pPr>
            <w:r>
              <w:t xml:space="preserve">Clase 15 · 00:13:59–00:15:58 · Clase 15 · 00:22:31–00:23:42 · Clase 14 · 00:42:20–00:51:48</w:t>
            </w:r>
          </w:p>
        </w:tc>
      </w:tr>
      <w:tr>
        <w:trPr>
          <w:cantSplit/>
          <w:tblHeader w:val="off"/>
        </w:trPr>
        <w:tc>
          <w:tcPr>
            <w:tcW w:type="dxa" w:w="2408"/>
            <w:tcMar>
              <w:top w:type="dxa" w:w="80"/>
              <w:left w:type="dxa" w:w="100"/>
              <w:bottom w:type="dxa" w:w="80"/>
              <w:right w:type="dxa" w:w="100"/>
            </w:tcMar>
          </w:tcPr>
          <w:p>
            <w:pPr>
              <w:pStyle w:val="Tabla"/>
            </w:pPr>
            <w:r>
              <w:t xml:space="preserve">Virtuoso y vicioso</w:t>
            </w:r>
          </w:p>
        </w:tc>
        <w:tc>
          <w:tcPr>
            <w:tcW w:type="dxa" w:w="2408"/>
            <w:tcMar>
              <w:top w:type="dxa" w:w="80"/>
              <w:left w:type="dxa" w:w="100"/>
              <w:bottom w:type="dxa" w:w="80"/>
              <w:right w:type="dxa" w:w="100"/>
            </w:tcMar>
          </w:tcPr>
          <w:p>
            <w:pPr>
              <w:pStyle w:val="Tabla"/>
            </w:pPr>
            <w:r>
              <w:t xml:space="preserve">El mismo ciclo de refuerzo: virtuoso si amplifica lo favorable para el sistema, vicioso si amplifica lo desfavorable.</w:t>
            </w:r>
          </w:p>
        </w:tc>
        <w:tc>
          <w:tcPr>
            <w:tcW w:type="dxa" w:w="2408"/>
            <w:tcMar>
              <w:top w:type="dxa" w:w="80"/>
              <w:left w:type="dxa" w:w="100"/>
              <w:bottom w:type="dxa" w:w="80"/>
              <w:right w:type="dxa" w:w="100"/>
            </w:tcMar>
          </w:tcPr>
          <w:p>
            <w:pPr>
              <w:pStyle w:val="Tabla"/>
            </w:pPr>
            <w:r>
              <w:t xml:space="preserve">La distinción no se aplica: es de los ciclos de refuerzo.</w:t>
            </w:r>
          </w:p>
        </w:tc>
        <w:tc>
          <w:tcPr>
            <w:tcW w:type="dxa" w:w="2408"/>
            <w:tcMar>
              <w:top w:type="dxa" w:w="80"/>
              <w:left w:type="dxa" w:w="100"/>
              <w:bottom w:type="dxa" w:w="80"/>
              <w:right w:type="dxa" w:w="100"/>
            </w:tcMar>
          </w:tcPr>
          <w:p>
            <w:pPr>
              <w:pStyle w:val="Tabla"/>
            </w:pPr>
            <w:r>
              <w:t xml:space="preserve">Clase 14 · 01:26:29–01:31:28</w:t>
            </w:r>
          </w:p>
        </w:tc>
      </w:tr>
    </w:tbl>
    <w:p>
      <w:pPr>
        <w:pStyle w:val="Fuente"/>
      </w:pPr>
      <w:r>
        <w:t xml:space="preserve">Redactada por el portal desde las transcripciones de las clases 14 a 16; la última columna dice dónde comprobar cada fila.</w:t>
      </w:r>
    </w:p>
    <w:p>
      <w:pPr>
        <w:pStyle w:val="Heading3"/>
      </w:pPr>
      <w:bookmarkStart w:name="b_tabla_3_8_g2_graficos_de_comp_5d4f8bbc" w:id="3287"/>
      <w:r>
        <w:t xml:space="preserve">Tendencias y gráficos de comportamiento</w:t>
      </w:r>
      <w:bookmarkEnd w:id="3287"/>
    </w:p>
    <w:tbl>
      <w:tblPr>
        <w:tblW w:type="dxa" w:w="9632"/>
        <w:tblBorders>
          <w:top w:val="single" w:color="C5D5DB" w:sz="4"/>
          <w:left w:val="single" w:color="C5D5DB" w:sz="4"/>
          <w:bottom w:val="single" w:color="C5D5DB" w:sz="4"/>
          <w:right w:val="single" w:color="C5D5DB" w:sz="4"/>
          <w:insideH w:val="single" w:color="E4E9EB" w:sz="3"/>
          <w:insideV w:val="single" w:color="E4E9EB" w:sz="3"/>
        </w:tblBorders>
        <w:tblLayout w:type="fixed"/>
      </w:tblPr>
      <w:tblGrid>
        <w:gridCol w:w="3212"/>
        <w:gridCol w:w="3210"/>
        <w:gridCol w:w="3210"/>
      </w:tblGrid>
      <w:tr>
        <w:trPr>
          <w:cantSplit/>
          <w:tblHeader/>
        </w:trPr>
        <w:tc>
          <w:tcPr>
            <w:tcW w:type="dxa" w:w="3212"/>
            <w:shd w:fill="DFEAF0" w:val="clear"/>
            <w:tcMar>
              <w:top w:type="dxa" w:w="80"/>
              <w:left w:type="dxa" w:w="100"/>
              <w:bottom w:type="dxa" w:w="80"/>
              <w:right w:type="dxa" w:w="100"/>
            </w:tcMar>
          </w:tcPr>
          <w:p>
            <w:pPr>
              <w:pStyle w:val="Tabla"/>
            </w:pPr>
            <w:r>
              <w:rPr>
                <w:b/>
                <w:bCs/>
              </w:rPr>
              <w:t xml:space="preserve">Concepto</w:t>
            </w:r>
          </w:p>
        </w:tc>
        <w:tc>
          <w:tcPr>
            <w:tcW w:type="dxa" w:w="3210"/>
            <w:shd w:fill="DFEAF0" w:val="clear"/>
            <w:tcMar>
              <w:top w:type="dxa" w:w="80"/>
              <w:left w:type="dxa" w:w="100"/>
              <w:bottom w:type="dxa" w:w="80"/>
              <w:right w:type="dxa" w:w="100"/>
            </w:tcMar>
          </w:tcPr>
          <w:p>
            <w:pPr>
              <w:pStyle w:val="Tabla"/>
            </w:pPr>
            <w:r>
              <w:rPr>
                <w:b/>
                <w:bCs/>
              </w:rPr>
              <w:t xml:space="preserve">Lo que dijo la clase</w:t>
            </w:r>
          </w:p>
        </w:tc>
        <w:tc>
          <w:tcPr>
            <w:tcW w:type="dxa" w:w="3210"/>
            <w:shd w:fill="DFEAF0" w:val="clear"/>
            <w:tcMar>
              <w:top w:type="dxa" w:w="80"/>
              <w:left w:type="dxa" w:w="100"/>
              <w:bottom w:type="dxa" w:w="80"/>
              <w:right w:type="dxa" w:w="100"/>
            </w:tcMar>
          </w:tcPr>
          <w:p>
            <w:pPr>
              <w:pStyle w:val="Tabla"/>
            </w:pPr>
            <w:r>
              <w:rPr>
                <w:b/>
                <w:bCs/>
              </w:rPr>
              <w:t xml:space="preserve">Dónde se dijo</w:t>
            </w:r>
          </w:p>
        </w:tc>
      </w:tr>
      <w:tr>
        <w:trPr>
          <w:cantSplit/>
          <w:tblHeader w:val="off"/>
        </w:trPr>
        <w:tc>
          <w:tcPr>
            <w:tcW w:type="dxa" w:w="3212"/>
            <w:tcMar>
              <w:top w:type="dxa" w:w="80"/>
              <w:left w:type="dxa" w:w="100"/>
              <w:bottom w:type="dxa" w:w="80"/>
              <w:right w:type="dxa" w:w="100"/>
            </w:tcMar>
          </w:tcPr>
          <w:p>
            <w:pPr>
              <w:pStyle w:val="Tabla"/>
            </w:pPr>
            <w:r>
              <w:t xml:space="preserve">Tendencia</w:t>
            </w:r>
          </w:p>
        </w:tc>
        <w:tc>
          <w:tcPr>
            <w:tcW w:type="dxa" w:w="3210"/>
            <w:tcMar>
              <w:top w:type="dxa" w:w="80"/>
              <w:left w:type="dxa" w:w="100"/>
              <w:bottom w:type="dxa" w:w="80"/>
              <w:right w:type="dxa" w:w="100"/>
            </w:tcMar>
          </w:tcPr>
          <w:p>
            <w:pPr>
              <w:pStyle w:val="Tabla"/>
            </w:pPr>
            <w:r>
              <w:t xml:space="preserve">Una propiedad emergente de la estructura a lo largo del tiempo, visible en cualquiera de sus variables.</w:t>
            </w:r>
          </w:p>
        </w:tc>
        <w:tc>
          <w:tcPr>
            <w:tcW w:type="dxa" w:w="3210"/>
            <w:tcMar>
              <w:top w:type="dxa" w:w="80"/>
              <w:left w:type="dxa" w:w="100"/>
              <w:bottom w:type="dxa" w:w="80"/>
              <w:right w:type="dxa" w:w="100"/>
            </w:tcMar>
          </w:tcPr>
          <w:p>
            <w:pPr>
              <w:pStyle w:val="Tabla"/>
            </w:pPr>
            <w:r>
              <w:t xml:space="preserve">Clase 16 · 01:30:10–01:30:39</w:t>
            </w:r>
          </w:p>
        </w:tc>
      </w:tr>
      <w:tr>
        <w:trPr>
          <w:cantSplit/>
          <w:tblHeader w:val="off"/>
        </w:trPr>
        <w:tc>
          <w:tcPr>
            <w:tcW w:type="dxa" w:w="3212"/>
            <w:tcMar>
              <w:top w:type="dxa" w:w="80"/>
              <w:left w:type="dxa" w:w="100"/>
              <w:bottom w:type="dxa" w:w="80"/>
              <w:right w:type="dxa" w:w="100"/>
            </w:tcMar>
          </w:tcPr>
          <w:p>
            <w:pPr>
              <w:pStyle w:val="Tabla"/>
            </w:pPr>
            <w:r>
              <w:t xml:space="preserve">Gráfico de comportamiento</w:t>
            </w:r>
          </w:p>
        </w:tc>
        <w:tc>
          <w:tcPr>
            <w:tcW w:type="dxa" w:w="3210"/>
            <w:tcMar>
              <w:top w:type="dxa" w:w="80"/>
              <w:left w:type="dxa" w:w="100"/>
              <w:bottom w:type="dxa" w:w="80"/>
              <w:right w:type="dxa" w:w="100"/>
            </w:tcMar>
          </w:tcPr>
          <w:p>
            <w:pPr>
              <w:pStyle w:val="Tabla"/>
            </w:pPr>
            <w:r>
              <w:t xml:space="preserve">El tiempo en el eje X y la variable en el eje Y. Las tendencias no se representan con diagramas de ciclos causales, sino con estos gráficos.</w:t>
            </w:r>
          </w:p>
        </w:tc>
        <w:tc>
          <w:tcPr>
            <w:tcW w:type="dxa" w:w="3210"/>
            <w:tcMar>
              <w:top w:type="dxa" w:w="80"/>
              <w:left w:type="dxa" w:w="100"/>
              <w:bottom w:type="dxa" w:w="80"/>
              <w:right w:type="dxa" w:w="100"/>
            </w:tcMar>
          </w:tcPr>
          <w:p>
            <w:pPr>
              <w:pStyle w:val="Tabla"/>
            </w:pPr>
            <w:r>
              <w:t xml:space="preserve">Clase 16 · 01:36:18–01:37:41</w:t>
            </w:r>
          </w:p>
        </w:tc>
      </w:tr>
      <w:tr>
        <w:trPr>
          <w:cantSplit/>
          <w:tblHeader w:val="off"/>
        </w:trPr>
        <w:tc>
          <w:tcPr>
            <w:tcW w:type="dxa" w:w="3212"/>
            <w:tcMar>
              <w:top w:type="dxa" w:w="80"/>
              <w:left w:type="dxa" w:w="100"/>
              <w:bottom w:type="dxa" w:w="80"/>
              <w:right w:type="dxa" w:w="100"/>
            </w:tcMar>
          </w:tcPr>
          <w:p>
            <w:pPr>
              <w:pStyle w:val="Tabla"/>
            </w:pPr>
            <w:r>
              <w:t xml:space="preserve">Patrones</w:t>
            </w:r>
          </w:p>
        </w:tc>
        <w:tc>
          <w:tcPr>
            <w:tcW w:type="dxa" w:w="3210"/>
            <w:tcMar>
              <w:top w:type="dxa" w:w="80"/>
              <w:left w:type="dxa" w:w="100"/>
              <w:bottom w:type="dxa" w:w="80"/>
              <w:right w:type="dxa" w:w="100"/>
            </w:tcMar>
          </w:tcPr>
          <w:p>
            <w:pPr>
              <w:pStyle w:val="Tabla"/>
            </w:pPr>
            <w:r>
              <w:t xml:space="preserve">Lineales de crecimiento o de decrecimiento, exponenciales acotados o no acotados, oscilatorios y de estado estable; la línea horizontal es el comportamiento de un parámetro.</w:t>
            </w:r>
          </w:p>
        </w:tc>
        <w:tc>
          <w:tcPr>
            <w:tcW w:type="dxa" w:w="3210"/>
            <w:tcMar>
              <w:top w:type="dxa" w:w="80"/>
              <w:left w:type="dxa" w:w="100"/>
              <w:bottom w:type="dxa" w:w="80"/>
              <w:right w:type="dxa" w:w="100"/>
            </w:tcMar>
          </w:tcPr>
          <w:p>
            <w:pPr>
              <w:pStyle w:val="Tabla"/>
            </w:pPr>
            <w:r>
              <w:t xml:space="preserve">Clase 16 · 01:36:18–01:37:41</w:t>
            </w:r>
          </w:p>
        </w:tc>
      </w:tr>
      <w:tr>
        <w:trPr>
          <w:cantSplit/>
          <w:tblHeader w:val="off"/>
        </w:trPr>
        <w:tc>
          <w:tcPr>
            <w:tcW w:type="dxa" w:w="3212"/>
            <w:tcMar>
              <w:top w:type="dxa" w:w="80"/>
              <w:left w:type="dxa" w:w="100"/>
              <w:bottom w:type="dxa" w:w="80"/>
              <w:right w:type="dxa" w:w="100"/>
            </w:tcMar>
          </w:tcPr>
          <w:p>
            <w:pPr>
              <w:pStyle w:val="Tabla"/>
            </w:pPr>
            <w:r>
              <w:t xml:space="preserve">Ciclo de compensación</w:t>
            </w:r>
          </w:p>
        </w:tc>
        <w:tc>
          <w:tcPr>
            <w:tcW w:type="dxa" w:w="3210"/>
            <w:tcMar>
              <w:top w:type="dxa" w:w="80"/>
              <w:left w:type="dxa" w:w="100"/>
              <w:bottom w:type="dxa" w:w="80"/>
              <w:right w:type="dxa" w:w="100"/>
            </w:tcMar>
          </w:tcPr>
          <w:p>
            <w:pPr>
              <w:pStyle w:val="Tabla"/>
            </w:pPr>
            <w:r>
              <w:t xml:space="preserve">Siempre un comportamiento exponencial acotado: la variable crece hasta cierto límite y no pasa de ahí.</w:t>
            </w:r>
          </w:p>
        </w:tc>
        <w:tc>
          <w:tcPr>
            <w:tcW w:type="dxa" w:w="3210"/>
            <w:tcMar>
              <w:top w:type="dxa" w:w="80"/>
              <w:left w:type="dxa" w:w="100"/>
              <w:bottom w:type="dxa" w:w="80"/>
              <w:right w:type="dxa" w:w="100"/>
            </w:tcMar>
          </w:tcPr>
          <w:p>
            <w:pPr>
              <w:pStyle w:val="Tabla"/>
            </w:pPr>
            <w:r>
              <w:t xml:space="preserve">Clase 16 · 01:37:54–01:39:30</w:t>
            </w:r>
          </w:p>
        </w:tc>
      </w:tr>
      <w:tr>
        <w:trPr>
          <w:cantSplit/>
          <w:tblHeader w:val="off"/>
        </w:trPr>
        <w:tc>
          <w:tcPr>
            <w:tcW w:type="dxa" w:w="3212"/>
            <w:tcMar>
              <w:top w:type="dxa" w:w="80"/>
              <w:left w:type="dxa" w:w="100"/>
              <w:bottom w:type="dxa" w:w="80"/>
              <w:right w:type="dxa" w:w="100"/>
            </w:tcMar>
          </w:tcPr>
          <w:p>
            <w:pPr>
              <w:pStyle w:val="Tabla"/>
            </w:pPr>
            <w:r>
              <w:t xml:space="preserve">Ciclo de refuerzo</w:t>
            </w:r>
          </w:p>
        </w:tc>
        <w:tc>
          <w:tcPr>
            <w:tcW w:type="dxa" w:w="3210"/>
            <w:tcMar>
              <w:top w:type="dxa" w:w="80"/>
              <w:left w:type="dxa" w:w="100"/>
              <w:bottom w:type="dxa" w:w="80"/>
              <w:right w:type="dxa" w:w="100"/>
            </w:tcMar>
          </w:tcPr>
          <w:p>
            <w:pPr>
              <w:pStyle w:val="Tabla"/>
            </w:pPr>
            <w:r>
              <w:t xml:space="preserve">Exponencial no acotado, de crecimiento o de decrecimiento, a menos que otro ciclo lo frene.</w:t>
            </w:r>
          </w:p>
        </w:tc>
        <w:tc>
          <w:tcPr>
            <w:tcW w:type="dxa" w:w="3210"/>
            <w:tcMar>
              <w:top w:type="dxa" w:w="80"/>
              <w:left w:type="dxa" w:w="100"/>
              <w:bottom w:type="dxa" w:w="80"/>
              <w:right w:type="dxa" w:w="100"/>
            </w:tcMar>
          </w:tcPr>
          <w:p>
            <w:pPr>
              <w:pStyle w:val="Tabla"/>
            </w:pPr>
            <w:r>
              <w:t xml:space="preserve">Clase 16 · 01:37:54–01:39:30</w:t>
            </w:r>
          </w:p>
        </w:tc>
      </w:tr>
      <w:tr>
        <w:trPr>
          <w:cantSplit/>
          <w:tblHeader w:val="off"/>
        </w:trPr>
        <w:tc>
          <w:tcPr>
            <w:tcW w:type="dxa" w:w="3212"/>
            <w:tcMar>
              <w:top w:type="dxa" w:w="80"/>
              <w:left w:type="dxa" w:w="100"/>
              <w:bottom w:type="dxa" w:w="80"/>
              <w:right w:type="dxa" w:w="100"/>
            </w:tcMar>
          </w:tcPr>
          <w:p>
            <w:pPr>
              <w:pStyle w:val="Tabla"/>
            </w:pPr>
            <w:r>
              <w:t xml:space="preserve">Ciclo de vida</w:t>
            </w:r>
          </w:p>
        </w:tc>
        <w:tc>
          <w:tcPr>
            <w:tcW w:type="dxa" w:w="3210"/>
            <w:tcMar>
              <w:top w:type="dxa" w:w="80"/>
              <w:left w:type="dxa" w:w="100"/>
              <w:bottom w:type="dxa" w:w="80"/>
              <w:right w:type="dxa" w:w="100"/>
            </w:tcMar>
          </w:tcPr>
          <w:p>
            <w:pPr>
              <w:pStyle w:val="Tabla"/>
            </w:pPr>
            <w:r>
              <w:t xml:space="preserve">La ventana de tiempo que abarca toda la vida de lo observado: una persona, un proyecto.</w:t>
            </w:r>
          </w:p>
        </w:tc>
        <w:tc>
          <w:tcPr>
            <w:tcW w:type="dxa" w:w="3210"/>
            <w:tcMar>
              <w:top w:type="dxa" w:w="80"/>
              <w:left w:type="dxa" w:w="100"/>
              <w:bottom w:type="dxa" w:w="80"/>
              <w:right w:type="dxa" w:w="100"/>
            </w:tcMar>
          </w:tcPr>
          <w:p>
            <w:pPr>
              <w:pStyle w:val="Tabla"/>
            </w:pPr>
            <w:r>
              <w:t xml:space="preserve">Clase 16 · 01:40:33–01:41:27</w:t>
            </w:r>
          </w:p>
        </w:tc>
      </w:tr>
    </w:tbl>
    <w:p>
      <w:pPr>
        <w:pStyle w:val="Fuente"/>
      </w:pPr>
      <w:r>
        <w:t xml:space="preserve">Redactada por el portal desde la transcripción de la clase 16 y las láminas c16-16 a c16-22. La clase anunció que la unidad 4 lo retomará con más detalle.</w:t>
      </w:r>
    </w:p>
    <w:p>
      <w:pPr>
        <w:pStyle w:val="Heading3"/>
      </w:pPr>
      <w:bookmarkStart w:name="b_tabla_3_8_g2_habitos_complejo" w:id="3288"/>
      <w:r>
        <w:t xml:space="preserve">Los cinco hábitos del pensador sistémico complejo</w:t>
      </w:r>
      <w:bookmarkEnd w:id="3288"/>
    </w:p>
    <w:tbl>
      <w:tblPr>
        <w:tblW w:type="dxa" w:w="9632"/>
        <w:tblBorders>
          <w:top w:val="single" w:color="C5D5DB" w:sz="4"/>
          <w:left w:val="single" w:color="C5D5DB" w:sz="4"/>
          <w:bottom w:val="single" w:color="C5D5DB" w:sz="4"/>
          <w:right w:val="single" w:color="C5D5DB" w:sz="4"/>
          <w:insideH w:val="single" w:color="E4E9EB" w:sz="3"/>
          <w:insideV w:val="single" w:color="E4E9EB" w:sz="3"/>
        </w:tblBorders>
        <w:tblLayout w:type="fixed"/>
      </w:tblPr>
      <w:tblGrid>
        <w:gridCol w:w="3212"/>
        <w:gridCol w:w="3210"/>
        <w:gridCol w:w="3210"/>
      </w:tblGrid>
      <w:tr>
        <w:trPr>
          <w:cantSplit/>
          <w:tblHeader/>
        </w:trPr>
        <w:tc>
          <w:tcPr>
            <w:tcW w:type="dxa" w:w="3212"/>
            <w:shd w:fill="DFEAF0" w:val="clear"/>
            <w:tcMar>
              <w:top w:type="dxa" w:w="80"/>
              <w:left w:type="dxa" w:w="100"/>
              <w:bottom w:type="dxa" w:w="80"/>
              <w:right w:type="dxa" w:w="100"/>
            </w:tcMar>
          </w:tcPr>
          <w:p>
            <w:pPr>
              <w:pStyle w:val="Tabla"/>
            </w:pPr>
            <w:r>
              <w:rPr>
                <w:b/>
                <w:bCs/>
              </w:rPr>
              <w:t xml:space="preserve">Hábito</w:t>
            </w:r>
          </w:p>
        </w:tc>
        <w:tc>
          <w:tcPr>
            <w:tcW w:type="dxa" w:w="3210"/>
            <w:shd w:fill="DFEAF0" w:val="clear"/>
            <w:tcMar>
              <w:top w:type="dxa" w:w="80"/>
              <w:left w:type="dxa" w:w="100"/>
              <w:bottom w:type="dxa" w:w="80"/>
              <w:right w:type="dxa" w:w="100"/>
            </w:tcMar>
          </w:tcPr>
          <w:p>
            <w:pPr>
              <w:pStyle w:val="Tabla"/>
            </w:pPr>
            <w:r>
              <w:rPr>
                <w:b/>
                <w:bCs/>
              </w:rPr>
              <w:t xml:space="preserve">Qué pide</w:t>
            </w:r>
          </w:p>
        </w:tc>
        <w:tc>
          <w:tcPr>
            <w:tcW w:type="dxa" w:w="3210"/>
            <w:shd w:fill="DFEAF0" w:val="clear"/>
            <w:tcMar>
              <w:top w:type="dxa" w:w="80"/>
              <w:left w:type="dxa" w:w="100"/>
              <w:bottom w:type="dxa" w:w="80"/>
              <w:right w:type="dxa" w:w="100"/>
            </w:tcMar>
          </w:tcPr>
          <w:p>
            <w:pPr>
              <w:pStyle w:val="Tabla"/>
            </w:pPr>
            <w:r>
              <w:rPr>
                <w:b/>
                <w:bCs/>
              </w:rPr>
              <w:t xml:space="preserve">Lección donde se practica</w:t>
            </w:r>
          </w:p>
        </w:tc>
      </w:tr>
      <w:tr>
        <w:trPr>
          <w:cantSplit/>
          <w:tblHeader w:val="off"/>
        </w:trPr>
        <w:tc>
          <w:tcPr>
            <w:tcW w:type="dxa" w:w="3212"/>
            <w:tcMar>
              <w:top w:type="dxa" w:w="80"/>
              <w:left w:type="dxa" w:w="100"/>
              <w:bottom w:type="dxa" w:w="80"/>
              <w:right w:type="dxa" w:w="100"/>
            </w:tcMar>
          </w:tcPr>
          <w:p>
            <w:pPr>
              <w:pStyle w:val="Tabla"/>
            </w:pPr>
            <w:r>
              <w:t xml:space="preserve">Observa patrones en el tiempo</w:t>
            </w:r>
          </w:p>
        </w:tc>
        <w:tc>
          <w:tcPr>
            <w:tcW w:type="dxa" w:w="3210"/>
            <w:tcMar>
              <w:top w:type="dxa" w:w="80"/>
              <w:left w:type="dxa" w:w="100"/>
              <w:bottom w:type="dxa" w:w="80"/>
              <w:right w:type="dxa" w:w="100"/>
            </w:tcMar>
          </w:tcPr>
          <w:p>
            <w:pPr>
              <w:pStyle w:val="Tabla"/>
            </w:pPr>
            <w:r>
              <w:t xml:space="preserve">Mirar tendencias, no solo eventos aislados.</w:t>
            </w:r>
          </w:p>
        </w:tc>
        <w:tc>
          <w:tcPr>
            <w:tcW w:type="dxa" w:w="3210"/>
            <w:tcMar>
              <w:top w:type="dxa" w:w="80"/>
              <w:left w:type="dxa" w:w="100"/>
              <w:bottom w:type="dxa" w:w="80"/>
              <w:right w:type="dxa" w:w="100"/>
            </w:tcMar>
          </w:tcPr>
          <w:p>
            <w:pPr>
              <w:pStyle w:val="Tabla"/>
            </w:pPr>
            <w:r>
              <w:t xml:space="preserve">Patrones y tendencias</w:t>
            </w:r>
          </w:p>
        </w:tc>
      </w:tr>
      <w:tr>
        <w:trPr>
          <w:cantSplit/>
          <w:tblHeader w:val="off"/>
        </w:trPr>
        <w:tc>
          <w:tcPr>
            <w:tcW w:type="dxa" w:w="3212"/>
            <w:tcMar>
              <w:top w:type="dxa" w:w="80"/>
              <w:left w:type="dxa" w:w="100"/>
              <w:bottom w:type="dxa" w:w="80"/>
              <w:right w:type="dxa" w:w="100"/>
            </w:tcMar>
          </w:tcPr>
          <w:p>
            <w:pPr>
              <w:pStyle w:val="Tabla"/>
            </w:pPr>
            <w:r>
              <w:t xml:space="preserve">Hace conexiones significativas</w:t>
            </w:r>
          </w:p>
        </w:tc>
        <w:tc>
          <w:tcPr>
            <w:tcW w:type="dxa" w:w="3210"/>
            <w:tcMar>
              <w:top w:type="dxa" w:w="80"/>
              <w:left w:type="dxa" w:w="100"/>
              <w:bottom w:type="dxa" w:w="80"/>
              <w:right w:type="dxa" w:w="100"/>
            </w:tcMar>
          </w:tcPr>
          <w:p>
            <w:pPr>
              <w:pStyle w:val="Tabla"/>
            </w:pPr>
            <w:r>
              <w:t xml:space="preserve">Ver cómo se relacionan las partes, y unos sistemas con otros.</w:t>
            </w:r>
          </w:p>
        </w:tc>
        <w:tc>
          <w:tcPr>
            <w:tcW w:type="dxa" w:w="3210"/>
            <w:tcMar>
              <w:top w:type="dxa" w:w="80"/>
              <w:left w:type="dxa" w:w="100"/>
              <w:bottom w:type="dxa" w:w="80"/>
              <w:right w:type="dxa" w:w="100"/>
            </w:tcMar>
          </w:tcPr>
          <w:p>
            <w:pPr>
              <w:pStyle w:val="Tabla"/>
            </w:pPr>
            <w:r>
              <w:t xml:space="preserve">Interdependencias</w:t>
            </w:r>
          </w:p>
        </w:tc>
      </w:tr>
      <w:tr>
        <w:trPr>
          <w:cantSplit/>
          <w:tblHeader w:val="off"/>
        </w:trPr>
        <w:tc>
          <w:tcPr>
            <w:tcW w:type="dxa" w:w="3212"/>
            <w:tcMar>
              <w:top w:type="dxa" w:w="80"/>
              <w:left w:type="dxa" w:w="100"/>
              <w:bottom w:type="dxa" w:w="80"/>
              <w:right w:type="dxa" w:w="100"/>
            </w:tcMar>
          </w:tcPr>
          <w:p>
            <w:pPr>
              <w:pStyle w:val="Tabla"/>
            </w:pPr>
            <w:r>
              <w:t xml:space="preserve">Causa y efecto circular</w:t>
            </w:r>
          </w:p>
        </w:tc>
        <w:tc>
          <w:tcPr>
            <w:tcW w:type="dxa" w:w="3210"/>
            <w:tcMar>
              <w:top w:type="dxa" w:w="80"/>
              <w:left w:type="dxa" w:w="100"/>
              <w:bottom w:type="dxa" w:w="80"/>
              <w:right w:type="dxa" w:w="100"/>
            </w:tcMar>
          </w:tcPr>
          <w:p>
            <w:pPr>
              <w:pStyle w:val="Tabla"/>
            </w:pPr>
            <w:r>
              <w:t xml:space="preserve">La causa y el efecto forman bucles, no líneas.</w:t>
            </w:r>
          </w:p>
        </w:tc>
        <w:tc>
          <w:tcPr>
            <w:tcW w:type="dxa" w:w="3210"/>
            <w:tcMar>
              <w:top w:type="dxa" w:w="80"/>
              <w:left w:type="dxa" w:w="100"/>
              <w:bottom w:type="dxa" w:w="80"/>
              <w:right w:type="dxa" w:w="100"/>
            </w:tcMar>
          </w:tcPr>
          <w:p>
            <w:pPr>
              <w:pStyle w:val="Tabla"/>
            </w:pPr>
            <w:r>
              <w:t xml:space="preserve">Hábito 08 · Causalidad circular</w:t>
            </w:r>
          </w:p>
        </w:tc>
      </w:tr>
      <w:tr>
        <w:trPr>
          <w:cantSplit/>
          <w:tblHeader w:val="off"/>
        </w:trPr>
        <w:tc>
          <w:tcPr>
            <w:tcW w:type="dxa" w:w="3212"/>
            <w:tcMar>
              <w:top w:type="dxa" w:w="80"/>
              <w:left w:type="dxa" w:w="100"/>
              <w:bottom w:type="dxa" w:w="80"/>
              <w:right w:type="dxa" w:w="100"/>
            </w:tcMar>
          </w:tcPr>
          <w:p>
            <w:pPr>
              <w:pStyle w:val="Tabla"/>
            </w:pPr>
            <w:r>
              <w:t xml:space="preserve">La estructura genera el comportamiento</w:t>
            </w:r>
          </w:p>
        </w:tc>
        <w:tc>
          <w:tcPr>
            <w:tcW w:type="dxa" w:w="3210"/>
            <w:tcMar>
              <w:top w:type="dxa" w:w="80"/>
              <w:left w:type="dxa" w:w="100"/>
              <w:bottom w:type="dxa" w:w="80"/>
              <w:right w:type="dxa" w:w="100"/>
            </w:tcMar>
          </w:tcPr>
          <w:p>
            <w:pPr>
              <w:pStyle w:val="Tabla"/>
            </w:pPr>
            <w:r>
              <w:t xml:space="preserve">El comportamiento nace del diseño del sistema.</w:t>
            </w:r>
          </w:p>
        </w:tc>
        <w:tc>
          <w:tcPr>
            <w:tcW w:type="dxa" w:w="3210"/>
            <w:tcMar>
              <w:top w:type="dxa" w:w="80"/>
              <w:left w:type="dxa" w:w="100"/>
              <w:bottom w:type="dxa" w:w="80"/>
              <w:right w:type="dxa" w:w="100"/>
            </w:tcMar>
          </w:tcPr>
          <w:p>
            <w:pPr>
              <w:pStyle w:val="Tabla"/>
            </w:pPr>
            <w:r>
              <w:t xml:space="preserve">Hábito 07 · Estructura</w:t>
            </w:r>
          </w:p>
        </w:tc>
      </w:tr>
      <w:tr>
        <w:trPr>
          <w:cantSplit/>
          <w:tblHeader w:val="off"/>
        </w:trPr>
        <w:tc>
          <w:tcPr>
            <w:tcW w:type="dxa" w:w="3212"/>
            <w:tcMar>
              <w:top w:type="dxa" w:w="80"/>
              <w:left w:type="dxa" w:w="100"/>
              <w:bottom w:type="dxa" w:w="80"/>
              <w:right w:type="dxa" w:w="100"/>
            </w:tcMar>
          </w:tcPr>
          <w:p>
            <w:pPr>
              <w:pStyle w:val="Tabla"/>
            </w:pPr>
            <w:r>
              <w:t xml:space="preserve">Reconoce las demoras</w:t>
            </w:r>
          </w:p>
        </w:tc>
        <w:tc>
          <w:tcPr>
            <w:tcW w:type="dxa" w:w="3210"/>
            <w:tcMar>
              <w:top w:type="dxa" w:w="80"/>
              <w:left w:type="dxa" w:w="100"/>
              <w:bottom w:type="dxa" w:w="80"/>
              <w:right w:type="dxa" w:w="100"/>
            </w:tcMar>
          </w:tcPr>
          <w:p>
            <w:pPr>
              <w:pStyle w:val="Tabla"/>
            </w:pPr>
            <w:r>
              <w:t xml:space="preserve">El efecto llega tarde: cuidado con sobre-reaccionar.</w:t>
            </w:r>
          </w:p>
        </w:tc>
        <w:tc>
          <w:tcPr>
            <w:tcW w:type="dxa" w:w="3210"/>
            <w:tcMar>
              <w:top w:type="dxa" w:w="80"/>
              <w:left w:type="dxa" w:w="100"/>
              <w:bottom w:type="dxa" w:w="80"/>
              <w:right w:type="dxa" w:w="100"/>
            </w:tcMar>
          </w:tcPr>
          <w:p>
            <w:pPr>
              <w:pStyle w:val="Tabla"/>
            </w:pPr>
            <w:r>
              <w:t xml:space="preserve">Demoras</w:t>
            </w:r>
          </w:p>
        </w:tc>
      </w:tr>
    </w:tbl>
    <w:p>
      <w:pPr>
        <w:pStyle w:val="Fuente"/>
      </w:pPr>
      <w:r>
        <w:t xml:space="preserve">Láminas c15-01 y c16-01: la banda de cinco tarjetas de estructuras sistémicas del Waters Center que las clases 15 y 16 recorrieron.</w:t>
      </w:r>
    </w:p>
    <w:p>
      <w:pPr>
        <w:pStyle w:val="Heading3"/>
      </w:pPr>
      <w:r>
        <w:t xml:space="preserve">Lo que dicen las presentaciones</w:t>
      </w:r>
    </w:p>
    <w:p>
      <w:pPr>
        <w:pStyle w:val="Heading3"/>
      </w:pPr>
      <w:bookmarkStart w:name="b_pagina_3_8_C_2_p97" w:id="3289"/>
      <w:r>
        <w:t xml:space="preserve">C-2 · página 97 · Los cinco hábitos del pensador sistémico complejo</w:t>
      </w:r>
      <w:bookmarkEnd w:id="3289"/>
    </w:p>
    <w:p>
      <w:pPr>
        <w:pStyle w:val="Normal"/>
      </w:pPr>
      <w:r>
        <w:t xml:space="preserve">Repite la banda de patrones, conexiones, circularidad, estructura y demoras.</w:t>
      </w:r>
    </w:p>
    <w:p>
      <w:pPr>
        <w:pStyle w:val="Fuente"/>
      </w:pPr>
      <w:r>
        <w:t xml:space="preserve">Proyección o explicación: Clase 16 · 00:12:41 · captura c16-01.</w:t>
      </w:r>
    </w:p>
    <w:p>
      <w:pPr>
        <w:keepNext/>
        <w:spacing w:after="40" w:before="150"/>
        <w:jc w:val="center"/>
      </w:pPr>
      <w:bookmarkStart w:name="b_figura_original_pagina_C_2_97" w:id="3290"/>
      <w:bookmarkEnd w:id="3290"/>
      <w:r>
        <w:drawing>
          <wp:inline distT="0" distB="0" distL="0" distR="0">
            <wp:extent cx="5381625" cy="4162425"/>
            <wp:effectExtent t="0" r="0" b="0" l="0"/>
            <wp:docPr id="87" name="pagina-C-2-97" descr="Presentación C-2, pág. 97" title="Los cinco hábitos del pensador sistémico complej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72" cstate="none"/>
                    <a:srcRect/>
                    <a:stretch>
                      <a:fillRect/>
                    </a:stretch>
                  </pic:blipFill>
                  <pic:spPr bwMode="auto">
                    <a:xfrm>
                      <a:off x="0" y="0"/>
                      <a:ext cx="5381625" cy="4162425"/>
                    </a:xfrm>
                    <a:prstGeom prst="rect">
                      <a:avLst/>
                    </a:prstGeom>
                  </pic:spPr>
                </pic:pic>
              </a:graphicData>
            </a:graphic>
          </wp:inline>
        </w:drawing>
      </w:r>
    </w:p>
    <w:p>
      <w:pPr>
        <w:pStyle w:val="PieFigura"/>
        <w:keepNext/>
      </w:pPr>
      <w:bookmarkStart w:name="b_fig_3_8_1" w:id="3291"/>
      <w:r>
        <w:t xml:space="preserve">Figura 3.8.</w:t>
      </w:r>
      <w:fldSimple w:instr="SEQ Figura \r 1 \* ARABIC">
        <w:r>
          <w:t xml:space="preserve">1</w:t>
        </w:r>
      </w:fldSimple>
      <w:r>
        <w:t xml:space="preserve"> · Los cinco hábitos del pensador sistémico complejo</w:t>
      </w:r>
      <w:bookmarkEnd w:id="3291"/>
    </w:p>
    <w:p>
      <w:pPr>
        <w:pStyle w:val="Fuente"/>
      </w:pPr>
      <w:r>
        <w:t xml:space="preserve">Presentación C-2, pág. 97</w:t>
      </w:r>
    </w:p>
    <w:p>
      <w:bookmarkStart w:name="b_punto_c2_p097_01" w:id="3292"/>
      <w:r>
        <w:t xml:space="preserve">Observar cambios, patrones y tendencias es uno de los cinco hábitos de la banda de estructuras.</w:t>
      </w:r>
      <w:bookmarkEnd w:id="3292"/>
    </w:p>
    <w:p>
      <w:pPr>
        <w:pStyle w:val="Fuente"/>
      </w:pPr>
      <w:r>
        <w:t xml:space="preserve">Véase </w:t>
      </w:r>
      <w:hyperlink w:history="1" w:anchor="b_3_9">
        <w:r>
          <w:rPr>
            <w:color w:val="156B70"/>
            <w:u w:val="single"/>
          </w:rPr>
          <w:t xml:space="preserve">capítulo 3.9 · Hábitos (complejo)</w:t>
        </w:r>
      </w:hyperlink>
      <w:r>
        <w:t xml:space="preserve">, pág. </w:t>
      </w:r>
      <w:r>
        <w:fldChar w:fldCharType="begin"/>
        <w:instrText xml:space="preserve">PAGEREF b_3_9 \h</w:instrText>
        <w:fldChar w:fldCharType="separate"/>
        <w:t xml:space="preserve">622</w:t>
        <w:fldChar w:fldCharType="end"/>
      </w:r>
      <w:r>
        <w:t xml:space="preserve">.</w:t>
      </w:r>
    </w:p>
    <w:p>
      <w:pPr>
        <w:pStyle w:val="Fuente"/>
      </w:pPr>
      <w:r>
        <w:t xml:space="preserve">Véase </w:t>
      </w:r>
      <w:hyperlink w:history="1" w:anchor="b_3_7">
        <w:r>
          <w:rPr>
            <w:color w:val="156B70"/>
            <w:u w:val="single"/>
          </w:rPr>
          <w:t xml:space="preserve">capítulo 3.7 · Demoras de tiempo</w:t>
        </w:r>
      </w:hyperlink>
      <w:r>
        <w:t xml:space="preserve">, pág. </w:t>
      </w:r>
      <w:r>
        <w:fldChar w:fldCharType="begin"/>
        <w:instrText xml:space="preserve">PAGEREF b_3_7 \h</w:instrText>
        <w:fldChar w:fldCharType="separate"/>
        <w:t xml:space="preserve">580</w:t>
        <w:fldChar w:fldCharType="end"/>
      </w:r>
      <w:r>
        <w:t xml:space="preserve">.</w:t>
      </w:r>
    </w:p>
    <w:p>
      <w:pPr>
        <w:pStyle w:val="Heading3"/>
      </w:pPr>
      <w:bookmarkStart w:name="b_pagina_3_8_C_2_p98" w:id="3293"/>
      <w:r>
        <w:t xml:space="preserve">C-2 · página 98 · Iceberg de cuatro niveles</w:t>
      </w:r>
      <w:bookmarkEnd w:id="3293"/>
    </w:p>
    <w:p>
      <w:pPr>
        <w:pStyle w:val="Normal"/>
      </w:pPr>
      <w:r>
        <w:t xml:space="preserve">Eventos, patrones, estructuras y modelos mentales; aprendizaje y apalancamiento aumentan al profundizar.</w:t>
      </w:r>
    </w:p>
    <w:p>
      <w:pPr>
        <w:pStyle w:val="Fuente"/>
      </w:pPr>
      <w:r>
        <w:t xml:space="preserve">Proyección o explicación: Clase 16 · 00:17:44 · captura c16-02.</w:t>
      </w:r>
    </w:p>
    <w:p>
      <w:bookmarkStart w:name="b_punto_c2_p098_02" w:id="3294"/>
      <w:r>
        <w:t xml:space="preserve">Los patrones remiten a relaciones estructurales y éstas a supuestos, creencias y valores que orientan acciones.</w:t>
      </w:r>
      <w:bookmarkEnd w:id="3294"/>
    </w:p>
    <w:p>
      <w:pPr>
        <w:pStyle w:val="Fuente"/>
      </w:pPr>
      <w:r>
        <w:t xml:space="preserve">Véase </w:t>
      </w:r>
      <w:hyperlink w:history="1" w:anchor="b_1_7">
        <w:r>
          <w:rPr>
            <w:color w:val="156B70"/>
            <w:u w:val="single"/>
          </w:rPr>
          <w:t xml:space="preserve">capítulo 1.7 · Niveles — modelo del iceberg</w:t>
        </w:r>
      </w:hyperlink>
      <w:r>
        <w:t xml:space="preserve">, pág. </w:t>
      </w:r>
      <w:r>
        <w:fldChar w:fldCharType="begin"/>
        <w:instrText xml:space="preserve">PAGEREF b_1_7 \h</w:instrText>
        <w:fldChar w:fldCharType="separate"/>
        <w:t xml:space="preserve">175</w:t>
        <w:fldChar w:fldCharType="end"/>
      </w:r>
      <w:r>
        <w:t xml:space="preserve">.</w:t>
      </w:r>
    </w:p>
    <w:p>
      <w:pPr>
        <w:pStyle w:val="Heading3"/>
      </w:pPr>
      <w:bookmarkStart w:name="b_pagina_3_8_C_2_p103" w:id="3295"/>
      <w:r>
        <w:t xml:space="preserve">C-2 · página 103 · Modelo presa-depredador</w:t>
      </w:r>
      <w:bookmarkEnd w:id="3295"/>
    </w:p>
    <w:p>
      <w:pPr>
        <w:pStyle w:val="Normal"/>
      </w:pPr>
      <w:r>
        <w:t xml:space="preserve">Nacimientos y muertes de conejos y zorros se acoplan mediante alimento y depredación.</w:t>
      </w:r>
    </w:p>
    <w:p>
      <w:pPr>
        <w:pStyle w:val="Fuente"/>
      </w:pPr>
      <w:r>
        <w:t xml:space="preserve">Proyección o explicación: Clase 16 · 01:02:36 · captura c16-09.</w:t>
      </w:r>
    </w:p>
    <w:p>
      <w:bookmarkStart w:name="b_punto_c2_p103_01" w:id="3296"/>
      <w:r>
        <w:t xml:space="preserve">Nacimientos de conejos y nacimientos de zorros forman dos ciclos de refuerzo; las muertes de cada población forman dos balances.</w:t>
      </w:r>
      <w:bookmarkEnd w:id="3296"/>
    </w:p>
    <w:p>
      <w:bookmarkStart w:name="b_punto_c2_p103_03" w:id="3297"/>
      <w:r>
        <w:t xml:space="preserve">Las tasas de nacimiento y la vida media de las poblaciones aparecen como influencias externas en este dibujo.</w:t>
      </w:r>
      <w:bookmarkEnd w:id="3297"/>
    </w:p>
    <w:p>
      <w:pPr>
        <w:pStyle w:val="Fuente"/>
      </w:pPr>
      <w:r>
        <w:t xml:space="preserve">Véase </w:t>
      </w:r>
      <w:hyperlink w:history="1" w:anchor="b_3_5">
        <w:r>
          <w:rPr>
            <w:color w:val="156B70"/>
            <w:u w:val="single"/>
          </w:rPr>
          <w:t xml:space="preserve">capítulo 3.5 · Refuerzo y compensación</w:t>
        </w:r>
      </w:hyperlink>
      <w:r>
        <w:t xml:space="preserve">, pág. </w:t>
      </w:r>
      <w:r>
        <w:fldChar w:fldCharType="begin"/>
        <w:instrText xml:space="preserve">PAGEREF b_3_5 \h</w:instrText>
        <w:fldChar w:fldCharType="separate"/>
        <w:t xml:space="preserve">501</w:t>
        <w:fldChar w:fldCharType="end"/>
      </w:r>
      <w:r>
        <w:t xml:space="preserve">.</w:t>
      </w:r>
    </w:p>
    <w:p>
      <w:pPr>
        <w:pStyle w:val="Fuente"/>
      </w:pPr>
      <w:r>
        <w:t xml:space="preserve">Véase </w:t>
      </w:r>
      <w:hyperlink w:history="1" w:anchor="b_3_7">
        <w:r>
          <w:rPr>
            <w:color w:val="156B70"/>
            <w:u w:val="single"/>
          </w:rPr>
          <w:t xml:space="preserve">capítulo 3.7 · Demoras de tiempo</w:t>
        </w:r>
      </w:hyperlink>
      <w:r>
        <w:t xml:space="preserve">, pág. </w:t>
      </w:r>
      <w:r>
        <w:fldChar w:fldCharType="begin"/>
        <w:instrText xml:space="preserve">PAGEREF b_3_7 \h</w:instrText>
        <w:fldChar w:fldCharType="separate"/>
        <w:t xml:space="preserve">580</w:t>
        <w:fldChar w:fldCharType="end"/>
      </w:r>
      <w:r>
        <w:t xml:space="preserve">.</w:t>
      </w:r>
    </w:p>
    <w:p>
      <w:pPr>
        <w:pStyle w:val="Heading3"/>
      </w:pPr>
      <w:bookmarkStart w:name="b_pagina_3_8_C_2_p104" w:id="3298"/>
      <w:r>
        <w:t xml:space="preserve">C-2 · página 104 · Los cinco hábitos del pensador sistémico complejo</w:t>
      </w:r>
      <w:bookmarkEnd w:id="3298"/>
    </w:p>
    <w:p>
      <w:pPr>
        <w:pStyle w:val="Normal"/>
      </w:pPr>
      <w:r>
        <w:t xml:space="preserve">Repite el repertorio de cinco hábitos que permite leer estructura, tiempo e interdependencias.</w:t>
      </w:r>
    </w:p>
    <w:p>
      <w:pPr>
        <w:pStyle w:val="Fuente"/>
      </w:pPr>
      <w:r>
        <w:t xml:space="preserve">Proyección o explicación: Clase 16 · 01:06:16 · captura c16-10.</w:t>
      </w:r>
    </w:p>
    <w:p>
      <w:bookmarkStart w:name="b_punto_c2_p104_01" w:id="3299"/>
      <w:r>
        <w:t xml:space="preserve">Observar cambios, patrones y tendencias es uno de los cinco hábitos de la banda de estructuras.</w:t>
      </w:r>
      <w:bookmarkEnd w:id="3299"/>
    </w:p>
    <w:p>
      <w:pPr>
        <w:pStyle w:val="Fuente"/>
      </w:pPr>
      <w:r>
        <w:t xml:space="preserve">Véase </w:t>
      </w:r>
      <w:hyperlink w:history="1" w:anchor="b_3_9">
        <w:r>
          <w:rPr>
            <w:color w:val="156B70"/>
            <w:u w:val="single"/>
          </w:rPr>
          <w:t xml:space="preserve">capítulo 3.9 · Hábitos (complejo)</w:t>
        </w:r>
      </w:hyperlink>
      <w:r>
        <w:t xml:space="preserve">, pág. </w:t>
      </w:r>
      <w:r>
        <w:fldChar w:fldCharType="begin"/>
        <w:instrText xml:space="preserve">PAGEREF b_3_9 \h</w:instrText>
        <w:fldChar w:fldCharType="separate"/>
        <w:t xml:space="preserve">622</w:t>
        <w:fldChar w:fldCharType="end"/>
      </w:r>
      <w:r>
        <w:t xml:space="preserve">.</w:t>
      </w:r>
    </w:p>
    <w:p>
      <w:pPr>
        <w:pStyle w:val="Fuente"/>
      </w:pPr>
      <w:r>
        <w:t xml:space="preserve">Véase </w:t>
      </w:r>
      <w:hyperlink w:history="1" w:anchor="b_3_7">
        <w:r>
          <w:rPr>
            <w:color w:val="156B70"/>
            <w:u w:val="single"/>
          </w:rPr>
          <w:t xml:space="preserve">capítulo 3.7 · Demoras de tiempo</w:t>
        </w:r>
      </w:hyperlink>
      <w:r>
        <w:t xml:space="preserve">, pág. </w:t>
      </w:r>
      <w:r>
        <w:fldChar w:fldCharType="begin"/>
        <w:instrText xml:space="preserve">PAGEREF b_3_7 \h</w:instrText>
        <w:fldChar w:fldCharType="separate"/>
        <w:t xml:space="preserve">580</w:t>
        <w:fldChar w:fldCharType="end"/>
      </w:r>
      <w:r>
        <w:t xml:space="preserve">.</w:t>
      </w:r>
    </w:p>
    <w:p>
      <w:pPr>
        <w:pStyle w:val="Heading3"/>
      </w:pPr>
      <w:bookmarkStart w:name="b_pagina_3_8_C_2_p107" w:id="3300"/>
      <w:r>
        <w:t xml:space="preserve">C-2 · página 107 · Observar cambios, patrones y tendencias</w:t>
      </w:r>
      <w:bookmarkEnd w:id="3300"/>
    </w:p>
    <w:p>
      <w:pPr>
        <w:pStyle w:val="Normal"/>
      </w:pPr>
      <w:r>
        <w:t xml:space="preserve">Reconocer variables que cambian y preguntar por velocidad, dirección y forma del cambio.</w:t>
      </w:r>
    </w:p>
    <w:p>
      <w:pPr>
        <w:pStyle w:val="Fuente"/>
      </w:pPr>
      <w:r>
        <w:t xml:space="preserve">Proyección o explicación: Clase 16 · 01:29:40 · captura c16-13.</w:t>
      </w:r>
    </w:p>
    <w:p>
      <w:pPr>
        <w:keepNext/>
        <w:spacing w:after="40" w:before="150"/>
        <w:jc w:val="center"/>
      </w:pPr>
      <w:bookmarkStart w:name="b_figura_original_pagina_C_2_107" w:id="3301"/>
      <w:bookmarkEnd w:id="3301"/>
      <w:r>
        <w:drawing>
          <wp:inline distT="0" distB="0" distL="0" distR="0">
            <wp:extent cx="5381625" cy="4162425"/>
            <wp:effectExtent t="0" r="0" b="0" l="0"/>
            <wp:docPr id="88" name="pagina-C-2-107" descr="Presentación C-2, pág. 107" title="Observar cambios, patrones y tendenci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73" cstate="none"/>
                    <a:srcRect/>
                    <a:stretch>
                      <a:fillRect/>
                    </a:stretch>
                  </pic:blipFill>
                  <pic:spPr bwMode="auto">
                    <a:xfrm>
                      <a:off x="0" y="0"/>
                      <a:ext cx="5381625" cy="4162425"/>
                    </a:xfrm>
                    <a:prstGeom prst="rect">
                      <a:avLst/>
                    </a:prstGeom>
                  </pic:spPr>
                </pic:pic>
              </a:graphicData>
            </a:graphic>
          </wp:inline>
        </w:drawing>
      </w:r>
    </w:p>
    <w:p>
      <w:pPr>
        <w:pStyle w:val="PieFigura"/>
        <w:keepNext/>
      </w:pPr>
      <w:bookmarkStart w:name="b_fig_3_8_2" w:id="3302"/>
      <w:r>
        <w:t xml:space="preserve">Figura 3.8.</w:t>
      </w:r>
      <w:fldSimple w:instr="SEQ Figura \n \* ARABIC">
        <w:r>
          <w:t xml:space="preserve">2</w:t>
        </w:r>
      </w:fldSimple>
      <w:r>
        <w:t xml:space="preserve"> · Observar cambios, patrones y tendencias</w:t>
      </w:r>
      <w:bookmarkEnd w:id="3302"/>
    </w:p>
    <w:p>
      <w:pPr>
        <w:pStyle w:val="Fuente"/>
      </w:pPr>
      <w:r>
        <w:t xml:space="preserve">Presentación C-2, pág. 107</w:t>
      </w:r>
    </w:p>
    <w:p>
      <w:bookmarkStart w:name="b_punto_c2_p107_01" w:id="3303"/>
      <w:r>
        <w:t xml:space="preserve">El hábito reconoce cambios de elementos a lo largo del tiempo como dinámica del sistema.</w:t>
      </w:r>
      <w:bookmarkEnd w:id="3303"/>
    </w:p>
    <w:p>
      <w:bookmarkStart w:name="b_punto_c2_p107_02" w:id="3304"/>
      <w:r>
        <w:t xml:space="preserve">Las preguntas piden identificar elementos que cambiaron, cómo cambiaron, velocidad de aumento o descenso y patrones aparecidos.</w:t>
      </w:r>
      <w:bookmarkEnd w:id="3304"/>
    </w:p>
    <w:p>
      <w:bookmarkStart w:name="b_punto_c2_p107_03" w:id="3305"/>
      <w:r>
        <w:t xml:space="preserve">La talla frente a la edad es ejemplo de variable observada a través del tiempo.</w:t>
      </w:r>
      <w:bookmarkEnd w:id="3305"/>
    </w:p>
    <w:p>
      <w:bookmarkStart w:name="b_punto_c2_p107_04" w:id="3306"/>
      <w:r>
        <w:t xml:space="preserve">Las clases 15–16 desarrollan patrones y gráficos de comportamiento; las referencias bibliográficas y los modelos del laboratorio se identifican como ampliaciones.</w:t>
      </w:r>
      <w:bookmarkEnd w:id="3306"/>
    </w:p>
    <w:p>
      <w:pPr>
        <w:pStyle w:val="Heading3"/>
      </w:pPr>
      <w:bookmarkStart w:name="b_pagina_3_8_C_2_p108" w:id="3307"/>
      <w:r>
        <w:t xml:space="preserve">C-2 · página 108 · Iceberg de cuatro niveles</w:t>
      </w:r>
      <w:bookmarkEnd w:id="3307"/>
    </w:p>
    <w:p>
      <w:pPr>
        <w:pStyle w:val="Normal"/>
      </w:pPr>
      <w:r>
        <w:t xml:space="preserve">Repetición del marco que relaciona la estructura profunda con los patrones y eventos observables.</w:t>
      </w:r>
    </w:p>
    <w:p>
      <w:pPr>
        <w:pStyle w:val="Fuente"/>
      </w:pPr>
      <w:r>
        <w:t xml:space="preserve">Proyección o explicación: Clase 16 · 01:31:05 · captura c16-14.</w:t>
      </w:r>
    </w:p>
    <w:p>
      <w:bookmarkStart w:name="b_punto_c2_p108_02" w:id="3308"/>
      <w:r>
        <w:t xml:space="preserve">Los patrones remiten a relaciones estructurales y éstas a supuestos, creencias y valores que orientan acciones.</w:t>
      </w:r>
      <w:bookmarkEnd w:id="3308"/>
    </w:p>
    <w:p>
      <w:pPr>
        <w:pStyle w:val="Fuente"/>
      </w:pPr>
      <w:r>
        <w:t xml:space="preserve">Véase </w:t>
      </w:r>
      <w:hyperlink w:history="1" w:anchor="b_1_7">
        <w:r>
          <w:rPr>
            <w:color w:val="156B70"/>
            <w:u w:val="single"/>
          </w:rPr>
          <w:t xml:space="preserve">capítulo 1.7 · Niveles — modelo del iceberg</w:t>
        </w:r>
      </w:hyperlink>
      <w:r>
        <w:t xml:space="preserve">, pág. </w:t>
      </w:r>
      <w:r>
        <w:fldChar w:fldCharType="begin"/>
        <w:instrText xml:space="preserve">PAGEREF b_1_7 \h</w:instrText>
        <w:fldChar w:fldCharType="separate"/>
        <w:t xml:space="preserve">175</w:t>
        <w:fldChar w:fldCharType="end"/>
      </w:r>
      <w:r>
        <w:t xml:space="preserve">.</w:t>
      </w:r>
    </w:p>
    <w:p>
      <w:pPr>
        <w:pStyle w:val="Heading3"/>
      </w:pPr>
      <w:bookmarkStart w:name="b_pagina_3_8_C_2_p110" w:id="3309"/>
      <w:r>
        <w:t xml:space="preserve">C-2 · página 110 · La medida del cambio</w:t>
      </w:r>
      <w:bookmarkEnd w:id="3309"/>
    </w:p>
    <w:p>
      <w:pPr>
        <w:pStyle w:val="Normal"/>
      </w:pPr>
      <w:r>
        <w:t xml:space="preserve">Un BOTG admite mediciones concretas o percepciones coherentes, que pueden variar entre observadores.</w:t>
      </w:r>
    </w:p>
    <w:p>
      <w:pPr>
        <w:pStyle w:val="Fuente"/>
      </w:pPr>
      <w:r>
        <w:t xml:space="preserve">Proyección o explicación: Clase 16 · 01:32:36 · captura c16-16.</w:t>
      </w:r>
    </w:p>
    <w:p>
      <w:bookmarkStart w:name="b_punto_c2_p110_01" w:id="3310"/>
      <w:r>
        <w:t xml:space="preserve">El cambio puede documentarse con cantidades observables, como altura o peso, o mediante percepciones coherentes.</w:t>
      </w:r>
      <w:bookmarkEnd w:id="3310"/>
    </w:p>
    <w:p>
      <w:bookmarkStart w:name="b_punto_c2_p110_02" w:id="3311"/>
      <w:r>
        <w:t xml:space="preserve">Padre e hija pueden describir el mismo proceso de independencia como rebeldía o madurez desde distintas perspectivas.</w:t>
      </w:r>
      <w:bookmarkEnd w:id="3311"/>
    </w:p>
    <w:p>
      <w:bookmarkStart w:name="b_punto_c2_p110_03" w:id="3312"/>
      <w:r>
        <w:t xml:space="preserve">Una gráfica de cambio mantiene tiempo en X y el elemento que cambia en Y, incluso si Y representa una percepción.</w:t>
      </w:r>
      <w:bookmarkEnd w:id="3312"/>
    </w:p>
    <w:p>
      <w:pPr>
        <w:pStyle w:val="Heading3"/>
      </w:pPr>
      <w:bookmarkStart w:name="b_pagina_3_8_C_2_p111" w:id="3313"/>
      <w:r>
        <w:t xml:space="preserve">C-2 · página 111 · Gráficos de comportamiento</w:t>
      </w:r>
      <w:bookmarkEnd w:id="3313"/>
    </w:p>
    <w:p>
      <w:pPr>
        <w:pStyle w:val="Normal"/>
      </w:pPr>
      <w:r>
        <w:t xml:space="preserve">Ejes, variable y tiempo para dibujar cómo cambia un elemento a lo largo de una ventana de observación.</w:t>
      </w:r>
    </w:p>
    <w:p>
      <w:pPr>
        <w:pStyle w:val="Fuente"/>
      </w:pPr>
      <w:r>
        <w:t xml:space="preserve">Proyección o explicación: Clase 16 · 01:36:18 · captura c16-17.</w:t>
      </w:r>
    </w:p>
    <w:p>
      <w:bookmarkStart w:name="b_punto_c2_p111_01" w:id="3314"/>
      <w:r>
        <w:t xml:space="preserve">Un BOTG ilustra patrones y tendencias de cómo cambia algo en el tiempo.</w:t>
      </w:r>
      <w:bookmarkEnd w:id="3314"/>
    </w:p>
    <w:p>
      <w:bookmarkStart w:name="b_punto_c2_p111_02" w:id="3315"/>
      <w:r>
        <w:t xml:space="preserve">El tiempo se ubica en el eje X horizontal y la variable en Y vertical.</w:t>
      </w:r>
      <w:bookmarkEnd w:id="3315"/>
    </w:p>
    <w:p>
      <w:bookmarkStart w:name="b_punto_c2_p111_03" w:id="3316"/>
      <w:r>
        <w:t xml:space="preserve">Un indicador medido, como azúcar en sangre, puede registrarse en distintos momentos y representarse como una trayectoria.</w:t>
      </w:r>
      <w:bookmarkEnd w:id="3316"/>
    </w:p>
    <w:p>
      <w:pPr>
        <w:pStyle w:val="Heading3"/>
      </w:pPr>
      <w:bookmarkStart w:name="b_pagina_3_8_C_2_p112" w:id="3317"/>
      <w:r>
        <w:t xml:space="preserve">C-2 · página 112 · Tendencias del pasado y del futuro</w:t>
      </w:r>
      <w:bookmarkEnd w:id="3317"/>
    </w:p>
    <w:p>
      <w:pPr>
        <w:pStyle w:val="Normal"/>
      </w:pPr>
      <w:r>
        <w:t xml:space="preserve">Separar la historia observada de esperanzas y temores futuros para explicitar supuestos del grupo.</w:t>
      </w:r>
    </w:p>
    <w:p>
      <w:pPr>
        <w:pStyle w:val="Fuente"/>
      </w:pPr>
      <w:r>
        <w:t xml:space="preserve">Proyección o explicación: Clase 16 · 01:37:00 · captura c16-18.</w:t>
      </w:r>
    </w:p>
    <w:p>
      <w:bookmarkStart w:name="b_punto_c2_p112_01" w:id="3318"/>
      <w:r>
        <w:t xml:space="preserve">Un BOTG puede mostrar pasado observado y cambio futuro previsto, separados por la línea del presente.</w:t>
      </w:r>
      <w:bookmarkEnd w:id="3318"/>
    </w:p>
    <w:p>
      <w:bookmarkStart w:name="b_punto_c2_p112_02" w:id="3319"/>
      <w:r>
        <w:t xml:space="preserve">Las dos curvas de clientes después de hoy representan esperanza y miedo del grupo, no dos mediciones ni un intervalo estadístico.</w:t>
      </w:r>
      <w:bookmarkEnd w:id="3319"/>
    </w:p>
    <w:p>
      <w:bookmarkStart w:name="b_punto_c2_p112_03" w:id="3320"/>
      <w:r>
        <w:t xml:space="preserve">Dibujar y explicar esas proyecciones en grupo explicita modelos mentales y supuestos sobre crecimiento o descenso.</w:t>
      </w:r>
      <w:bookmarkEnd w:id="3320"/>
    </w:p>
    <w:p>
      <w:bookmarkStart w:name="b_punto_c2_p112_04" w:id="3321"/>
      <w:r>
        <w:t xml:space="preserve">El futuro dibujado es una hipótesis que se contrasta, no un hecho ya ocurrido ni una profecía.</w:t>
      </w:r>
      <w:bookmarkEnd w:id="3321"/>
    </w:p>
    <w:p>
      <w:pPr>
        <w:pStyle w:val="Heading3"/>
      </w:pPr>
      <w:bookmarkStart w:name="b_pagina_3_8_C_2_p113" w:id="3322"/>
      <w:r>
        <w:t xml:space="preserve">C-2 · página 113 · Desarrollar la habilidad de encontrar patrones</w:t>
      </w:r>
      <w:bookmarkEnd w:id="3322"/>
    </w:p>
    <w:p>
      <w:pPr>
        <w:pStyle w:val="Normal"/>
      </w:pPr>
      <w:r>
        <w:t xml:space="preserve">Ocho formas genéricas y ejemplos de indicadores o percepciones; importa la trayectoria completa.</w:t>
      </w:r>
    </w:p>
    <w:p>
      <w:pPr>
        <w:pStyle w:val="Fuente"/>
      </w:pPr>
      <w:r>
        <w:t xml:space="preserve">Proyección o explicación: Clase 16 · 01:37:00 · captura c16-19.</w:t>
      </w:r>
    </w:p>
    <w:p>
      <w:bookmarkStart w:name="b_punto_c2_p113_01" w:id="3323"/>
      <w:r>
        <w:t xml:space="preserve">Las tendencias permiten seguir indicadores de trabajo, aprendizaje, asistencia, satisfacción o avance hacia una meta.</w:t>
      </w:r>
      <w:bookmarkEnd w:id="3323"/>
    </w:p>
    <w:p>
      <w:bookmarkStart w:name="b_punto_c2_p113_02" w:id="3324"/>
      <w:r>
        <w:t xml:space="preserve">Los gráficos también hacen explícitas percepciones; para reconocer un patrón importa la forma global más que cada punto aislado.</w:t>
      </w:r>
      <w:bookmarkEnd w:id="3324"/>
    </w:p>
    <w:p>
      <w:bookmarkStart w:name="b_punto_c2_p113_03" w:id="3325"/>
      <w:r>
        <w:t xml:space="preserve">Las ocho formas son crecimiento lineal, declive lineal, exponencial, crecimiento en S, oscilación, estado estable, búsqueda de objetivo y crecimiento decreciente.</w:t>
      </w:r>
      <w:bookmarkEnd w:id="3325"/>
    </w:p>
    <w:p>
      <w:bookmarkStart w:name="b_punto_c2_p113_04" w:id="3326"/>
      <w:r>
        <w:t xml:space="preserve">Línea horizontal corresponde a estado estable, curva que se aproxima a una meta a búsqueda de objetivo y onda repetida a oscilación.</w:t>
      </w:r>
      <w:bookmarkEnd w:id="3326"/>
    </w:p>
    <w:p>
      <w:pPr>
        <w:pStyle w:val="Heading3"/>
      </w:pPr>
      <w:bookmarkStart w:name="b_pagina_3_8_C_2_p117" w:id="3327"/>
      <w:r>
        <w:t xml:space="preserve">C-2 · página 117 · Bucles de realimentación positiva</w:t>
      </w:r>
      <w:bookmarkEnd w:id="3327"/>
    </w:p>
    <w:p>
      <w:pPr>
        <w:pStyle w:val="Normal"/>
      </w:pPr>
      <w:r>
        <w:t xml:space="preserve">El cambio vuelve amplificado a su punto de partida; la figura muestra crecimiento sin cota en ese modelo.</w:t>
      </w:r>
    </w:p>
    <w:p>
      <w:pPr>
        <w:pStyle w:val="Fuente"/>
      </w:pPr>
      <w:r>
        <w:t xml:space="preserve">Proyección o explicación: Clase 16 · 01:39:03 · captura c16-21.</w:t>
      </w:r>
    </w:p>
    <w:p>
      <w:bookmarkStart w:name="b_punto_c2_p117_03" w:id="3328"/>
      <w:r>
        <w:t xml:space="preserve">La curva ilustrada crece exponencialmente sin cota mientras otro mecanismo no limite ese modelo.</w:t>
      </w:r>
      <w:bookmarkEnd w:id="3328"/>
    </w:p>
    <w:p>
      <w:pPr>
        <w:pStyle w:val="Fuente"/>
      </w:pPr>
      <w:r>
        <w:t xml:space="preserve">Véase </w:t>
      </w:r>
      <w:hyperlink w:history="1" w:anchor="b_3_5">
        <w:r>
          <w:rPr>
            <w:color w:val="156B70"/>
            <w:u w:val="single"/>
          </w:rPr>
          <w:t xml:space="preserve">capítulo 3.5 · Refuerzo y compensación</w:t>
        </w:r>
      </w:hyperlink>
      <w:r>
        <w:t xml:space="preserve">, pág. </w:t>
      </w:r>
      <w:r>
        <w:fldChar w:fldCharType="begin"/>
        <w:instrText xml:space="preserve">PAGEREF b_3_5 \h</w:instrText>
        <w:fldChar w:fldCharType="separate"/>
        <w:t xml:space="preserve">501</w:t>
        <w:fldChar w:fldCharType="end"/>
      </w:r>
      <w:r>
        <w:t xml:space="preserve">.</w:t>
      </w:r>
    </w:p>
    <w:p>
      <w:pPr>
        <w:pStyle w:val="Heading3"/>
      </w:pPr>
      <w:bookmarkStart w:name="b_pagina_3_8_C_2_p120" w:id="3329"/>
      <w:r>
        <w:t xml:space="preserve">C-2 · página 120 · Ciclos de vida de productos y proyectos</w:t>
      </w:r>
      <w:bookmarkEnd w:id="3329"/>
    </w:p>
    <w:p>
      <w:pPr>
        <w:pStyle w:val="Normal"/>
      </w:pPr>
      <w:r>
        <w:t xml:space="preserve">Fases, consumo de recursos y costos de cambio son representaciones distintas de la evolución temporal.</w:t>
      </w:r>
    </w:p>
    <w:p>
      <w:pPr>
        <w:pStyle w:val="Fuente"/>
      </w:pPr>
      <w:r>
        <w:t xml:space="preserve">Proyección o explicación: Clase 16 · 01:40:29 · captura c16-22.</w:t>
      </w:r>
    </w:p>
    <w:p>
      <w:pPr>
        <w:keepNext/>
        <w:spacing w:after="40" w:before="150"/>
        <w:jc w:val="center"/>
      </w:pPr>
      <w:bookmarkStart w:name="b_figura_original_pagina_C_2_120" w:id="3330"/>
      <w:bookmarkEnd w:id="3330"/>
      <w:r>
        <w:drawing>
          <wp:inline distT="0" distB="0" distL="0" distR="0">
            <wp:extent cx="5381625" cy="4162425"/>
            <wp:effectExtent t="0" r="0" b="0" l="0"/>
            <wp:docPr id="89" name="pagina-C-2-120" descr="Presentación C-2, pág. 120" title="Ciclos de vida de productos y proyect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74" cstate="none"/>
                    <a:srcRect/>
                    <a:stretch>
                      <a:fillRect/>
                    </a:stretch>
                  </pic:blipFill>
                  <pic:spPr bwMode="auto">
                    <a:xfrm>
                      <a:off x="0" y="0"/>
                      <a:ext cx="5381625" cy="4162425"/>
                    </a:xfrm>
                    <a:prstGeom prst="rect">
                      <a:avLst/>
                    </a:prstGeom>
                  </pic:spPr>
                </pic:pic>
              </a:graphicData>
            </a:graphic>
          </wp:inline>
        </w:drawing>
      </w:r>
    </w:p>
    <w:p>
      <w:pPr>
        <w:pStyle w:val="PieFigura"/>
        <w:keepNext/>
      </w:pPr>
      <w:bookmarkStart w:name="b_fig_3_8_3" w:id="3331"/>
      <w:r>
        <w:t xml:space="preserve">Figura 3.8.</w:t>
      </w:r>
      <w:fldSimple w:instr="SEQ Figura \n \* ARABIC">
        <w:r>
          <w:t xml:space="preserve">3</w:t>
        </w:r>
      </w:fldSimple>
      <w:r>
        <w:t xml:space="preserve"> · Ciclos de vida de productos y proyectos</w:t>
      </w:r>
      <w:bookmarkEnd w:id="3331"/>
    </w:p>
    <w:p>
      <w:pPr>
        <w:pStyle w:val="Fuente"/>
      </w:pPr>
      <w:r>
        <w:t xml:space="preserve">Presentación C-2, pág. 120</w:t>
      </w:r>
    </w:p>
    <w:p>
      <w:bookmarkStart w:name="b_punto_c2_p120_01" w:id="3332"/>
      <w:r>
        <w:t xml:space="preserve">El ciclo de vida describe cómo se comporta un sistema a lo largo de una ventana suficientemente amplia y da nombre a sus etapas.</w:t>
      </w:r>
      <w:bookmarkEnd w:id="3332"/>
    </w:p>
    <w:p>
      <w:bookmarkStart w:name="b_punto_c2_p120_02" w:id="3333"/>
      <w:r>
        <w:t xml:space="preserve">El producto pasa por concepción, crecimiento, maduración, declinación y retiro.</w:t>
      </w:r>
      <w:bookmarkEnd w:id="3333"/>
    </w:p>
    <w:p>
      <w:bookmarkStart w:name="b_punto_c2_p120_03" w:id="3334"/>
      <w:r>
        <w:t xml:space="preserve">Concepción–evaluación de inversión; crecimiento–expansión; maduración–diversificación; declinación–reestructuración; retiro–desinversión</w:t>
      </w:r>
      <w:bookmarkEnd w:id="3334"/>
    </w:p>
    <w:p>
      <w:bookmarkStart w:name="b_punto_c2_p120_04" w:id="3335"/>
      <w:r>
        <w:t xml:space="preserve">Las fases organizan inicio, preparación, ejecución y cierre; la curva muestra intensidad de recursos y se acompaña de salidas documentales</w:t>
      </w:r>
      <w:bookmarkEnd w:id="3335"/>
    </w:p>
    <w:p>
      <w:bookmarkStart w:name="b_punto_c2_p120_05" w:id="3336"/>
      <w:r>
        <w:t xml:space="preserve">Análisis, diseño, codificación, pruebas, instalación, conversión y operación</w:t>
      </w:r>
      <w:bookmarkEnd w:id="3336"/>
    </w:p>
    <w:p>
      <w:bookmarkStart w:name="b_punto_c2_p120_06" w:id="3337"/>
      <w:r>
        <w:t xml:space="preserve">Riesgo, incertidumbre e influencia de interesados disminuyen mientras el costo de cambiar aumenta</w:t>
      </w:r>
      <w:bookmarkEnd w:id="3337"/>
    </w:p>
    <w:p>
      <w:pPr>
        <w:pStyle w:val="Heading3"/>
      </w:pPr>
      <w:bookmarkStart w:name="b_pagina_3_8_C_2_p121" w:id="3338"/>
      <w:r>
        <w:t xml:space="preserve">C-2 · página 121 · Otras representaciones de ciclos de vida</w:t>
      </w:r>
      <w:bookmarkEnd w:id="3338"/>
    </w:p>
    <w:p>
      <w:pPr>
        <w:pStyle w:val="Normal"/>
      </w:pPr>
      <w:r>
        <w:t xml:space="preserve">Mariposa, fases lunares y ciclo del agua muestran procesos por etapas con retornos.</w:t>
      </w:r>
    </w:p>
    <w:p>
      <w:pPr>
        <w:pStyle w:val="Fuente"/>
      </w:pPr>
      <w:r>
        <w:t xml:space="preserve">Proyección o explicación: Clase 16 · 01:41:35 · captura c16-23.</w:t>
      </w:r>
    </w:p>
    <w:p>
      <w:pPr>
        <w:keepNext/>
        <w:spacing w:after="40" w:before="150"/>
        <w:jc w:val="center"/>
      </w:pPr>
      <w:bookmarkStart w:name="b_figura_original_pagina_C_2_121" w:id="3339"/>
      <w:bookmarkEnd w:id="3339"/>
      <w:r>
        <w:drawing>
          <wp:inline distT="0" distB="0" distL="0" distR="0">
            <wp:extent cx="5381625" cy="4162425"/>
            <wp:effectExtent t="0" r="0" b="0" l="0"/>
            <wp:docPr id="90" name="pagina-C-2-121" descr="Presentación C-2, pág. 121" title="Otras representaciones de ciclos de vi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75" cstate="none"/>
                    <a:srcRect/>
                    <a:stretch>
                      <a:fillRect/>
                    </a:stretch>
                  </pic:blipFill>
                  <pic:spPr bwMode="auto">
                    <a:xfrm>
                      <a:off x="0" y="0"/>
                      <a:ext cx="5381625" cy="4162425"/>
                    </a:xfrm>
                    <a:prstGeom prst="rect">
                      <a:avLst/>
                    </a:prstGeom>
                  </pic:spPr>
                </pic:pic>
              </a:graphicData>
            </a:graphic>
          </wp:inline>
        </w:drawing>
      </w:r>
    </w:p>
    <w:p>
      <w:pPr>
        <w:pStyle w:val="PieFigura"/>
        <w:keepNext/>
      </w:pPr>
      <w:bookmarkStart w:name="b_fig_3_8_4" w:id="3340"/>
      <w:r>
        <w:t xml:space="preserve">Figura 3.8.</w:t>
      </w:r>
      <w:fldSimple w:instr="SEQ Figura \n \* ARABIC">
        <w:r>
          <w:t xml:space="preserve">4</w:t>
        </w:r>
      </w:fldSimple>
      <w:r>
        <w:t xml:space="preserve"> · Otras representaciones de ciclos de vida</w:t>
      </w:r>
      <w:bookmarkEnd w:id="3340"/>
    </w:p>
    <w:p>
      <w:pPr>
        <w:pStyle w:val="Fuente"/>
      </w:pPr>
      <w:r>
        <w:t xml:space="preserve">Presentación C-2, pág. 121</w:t>
      </w:r>
    </w:p>
    <w:p>
      <w:bookmarkStart w:name="b_punto_c2_p121_01" w:id="3341"/>
      <w:r>
        <w:t xml:space="preserve">Un ciclo de vida también puede representarse por etapas conectadas en un esquema, sin una gráfica numérica.</w:t>
      </w:r>
      <w:bookmarkEnd w:id="3341"/>
    </w:p>
    <w:p>
      <w:bookmarkStart w:name="b_punto_c2_p121_02" w:id="3342"/>
      <w:r>
        <w:t xml:space="preserve">Huevo → oruga → crisálida → adulto, que mediante reproducción da lugar a nuevos huevos</w:t>
      </w:r>
      <w:bookmarkEnd w:id="3342"/>
    </w:p>
    <w:p>
      <w:bookmarkStart w:name="b_punto_c2_p121_03" w:id="3343"/>
      <w:r>
        <w:t xml:space="preserve">Las fases lunares se repiten y la parte visible de la Luna puede representarse con una tendencia oscilatoria.</w:t>
      </w:r>
      <w:bookmarkEnd w:id="3343"/>
    </w:p>
    <w:p>
      <w:bookmarkStart w:name="b_punto_c2_p121_04" w:id="3344"/>
      <w:r>
        <w:t xml:space="preserve">Evaporación/transpiración → condensación → precipitación → retornos por escorrentía o agua subterránea</w:t>
      </w:r>
      <w:bookmarkEnd w:id="3344"/>
    </w:p>
    <w:p>
      <w:pPr>
        <w:pStyle w:val="Heading3"/>
      </w:pPr>
      <w:bookmarkStart w:name="b_pagina_3_8_C_2_p123" w:id="3345"/>
      <w:r>
        <w:t xml:space="preserve">C-2 · página 123 · Los cinco hábitos del pensador sistémico complejo</w:t>
      </w:r>
      <w:bookmarkEnd w:id="3345"/>
    </w:p>
    <w:p>
      <w:pPr>
        <w:pStyle w:val="Normal"/>
      </w:pPr>
      <w:r>
        <w:t xml:space="preserve">Cierre del repertorio de patrones, conexiones, circularidad, estructura y demoras.</w:t>
      </w:r>
    </w:p>
    <w:p>
      <w:bookmarkStart w:name="b_punto_c2_p123_01" w:id="3346"/>
      <w:r>
        <w:t xml:space="preserve">Observar cambios, patrones y tendencias es uno de los cinco hábitos de la banda de estructuras.</w:t>
      </w:r>
      <w:bookmarkEnd w:id="3346"/>
    </w:p>
    <w:p>
      <w:pPr>
        <w:pStyle w:val="Fuente"/>
      </w:pPr>
      <w:r>
        <w:t xml:space="preserve">Véase </w:t>
      </w:r>
      <w:hyperlink w:history="1" w:anchor="b_3_9">
        <w:r>
          <w:rPr>
            <w:color w:val="156B70"/>
            <w:u w:val="single"/>
          </w:rPr>
          <w:t xml:space="preserve">capítulo 3.9 · Hábitos (complejo)</w:t>
        </w:r>
      </w:hyperlink>
      <w:r>
        <w:t xml:space="preserve">, pág. </w:t>
      </w:r>
      <w:r>
        <w:fldChar w:fldCharType="begin"/>
        <w:instrText xml:space="preserve">PAGEREF b_3_9 \h</w:instrText>
        <w:fldChar w:fldCharType="separate"/>
        <w:t xml:space="preserve">622</w:t>
        <w:fldChar w:fldCharType="end"/>
      </w:r>
      <w:r>
        <w:t xml:space="preserve">.</w:t>
      </w:r>
    </w:p>
    <w:p>
      <w:pPr>
        <w:pStyle w:val="Fuente"/>
      </w:pPr>
      <w:r>
        <w:t xml:space="preserve">Véase </w:t>
      </w:r>
      <w:hyperlink w:history="1" w:anchor="b_3_7">
        <w:r>
          <w:rPr>
            <w:color w:val="156B70"/>
            <w:u w:val="single"/>
          </w:rPr>
          <w:t xml:space="preserve">capítulo 3.7 · Demoras de tiempo</w:t>
        </w:r>
      </w:hyperlink>
      <w:r>
        <w:t xml:space="preserve">, pág. </w:t>
      </w:r>
      <w:r>
        <w:fldChar w:fldCharType="begin"/>
        <w:instrText xml:space="preserve">PAGEREF b_3_7 \h</w:instrText>
        <w:fldChar w:fldCharType="separate"/>
        <w:t xml:space="preserve">580</w:t>
        <w:fldChar w:fldCharType="end"/>
      </w:r>
      <w:r>
        <w:t xml:space="preserve">.</w:t>
      </w:r>
    </w:p>
    <w:p>
      <w:pPr>
        <w:pStyle w:val="Heading3"/>
      </w:pPr>
      <w:r>
        <w:t xml:space="preserve">Lo que explicó el profesor en clase</w:t>
      </w:r>
    </w:p>
    <w:p>
      <w:pPr>
        <w:pStyle w:val="Heading3"/>
      </w:pPr>
      <w:bookmarkStart w:name="b_clase_3_8_c14_cap_05" w:id="3347"/>
      <w:r>
        <w:t xml:space="preserve">Clase 14 · 00:34:25–00:41:44 · Ejercicios de polaridad con la clase</w:t>
      </w:r>
      <w:bookmarkEnd w:id="3347"/>
    </w:p>
    <w:p>
      <w:bookmarkStart w:name="b_punto_c14_cap_05_p04" w:id="3348"/>
      <w:r>
        <w:t xml:space="preserve">Ninguna curva única: hacen falta supuestos adicionales del modelo</w:t>
      </w:r>
      <w:bookmarkEnd w:id="3348"/>
    </w:p>
    <w:p>
      <w:pPr>
        <w:pStyle w:val="Fuente"/>
      </w:pPr>
      <w:r>
        <w:t xml:space="preserve">Véase </w:t>
      </w:r>
      <w:hyperlink w:history="1" w:anchor="b_senales_examen">
        <w:r>
          <w:rPr>
            <w:color w:val="156B70"/>
            <w:u w:val="single"/>
          </w:rPr>
          <w:t xml:space="preserve">1 indicación(es) de examen de este tramo, en el apéndice cronológico</w:t>
        </w:r>
      </w:hyperlink>
      <w:r>
        <w:t xml:space="preserve">, pág. </w:t>
      </w:r>
      <w:r>
        <w:fldChar w:fldCharType="begin"/>
        <w:instrText xml:space="preserve">PAGEREF b_senales_examen \h</w:instrText>
        <w:fldChar w:fldCharType="separate"/>
        <w:t xml:space="preserve">1663</w:t>
        <w:fldChar w:fldCharType="end"/>
      </w:r>
      <w:r>
        <w:t xml:space="preserve">.</w:t>
      </w:r>
    </w:p>
    <w:p>
      <w:pPr>
        <w:pStyle w:val="Fuente"/>
      </w:pPr>
      <w:r>
        <w:t xml:space="preserve">Véase </w:t>
      </w:r>
      <w:hyperlink w:history="1" w:anchor="b_3_3">
        <w:r>
          <w:rPr>
            <w:color w:val="156B70"/>
            <w:u w:val="single"/>
          </w:rPr>
          <w:t xml:space="preserve">capítulo 3.3 · Diagramas de ciclos causales</w:t>
        </w:r>
      </w:hyperlink>
      <w:r>
        <w:t xml:space="preserve">, pág. </w:t>
      </w:r>
      <w:r>
        <w:fldChar w:fldCharType="begin"/>
        <w:instrText xml:space="preserve">PAGEREF b_3_3 \h</w:instrText>
        <w:fldChar w:fldCharType="separate"/>
        <w:t xml:space="preserve">443</w:t>
        <w:fldChar w:fldCharType="end"/>
      </w:r>
      <w:r>
        <w:t xml:space="preserve">.</w:t>
      </w:r>
    </w:p>
    <w:p>
      <w:pPr>
        <w:pStyle w:val="Heading3"/>
      </w:pPr>
      <w:bookmarkStart w:name="b_clase_3_8_c14_cap_07" w:id="3349"/>
      <w:r>
        <w:t xml:space="preserve">Clase 14 · 00:53:47–01:03:33 · Diagrama causal frente a mapa DSRP</w:t>
      </w:r>
      <w:bookmarkEnd w:id="3349"/>
    </w:p>
    <w:p>
      <w:bookmarkStart w:name="b_punto_c14_cap_07_p06" w:id="3350"/>
      <w:r>
        <w:t xml:space="preserve">Ninguna curva única: hacen falta supuestos adicionales del modelo</w:t>
      </w:r>
      <w:bookmarkEnd w:id="3350"/>
    </w:p>
    <w:p>
      <w:pPr>
        <w:pStyle w:val="Fuente"/>
      </w:pPr>
      <w:r>
        <w:t xml:space="preserve">Véase </w:t>
      </w:r>
      <w:hyperlink w:history="1" w:anchor="b_3_2">
        <w:r>
          <w:rPr>
            <w:color w:val="156B70"/>
            <w:u w:val="single"/>
          </w:rPr>
          <w:t xml:space="preserve">capítulo 3.2 · Mapas DSRP generales</w:t>
        </w:r>
      </w:hyperlink>
      <w:r>
        <w:t xml:space="preserve">, pág. </w:t>
      </w:r>
      <w:r>
        <w:fldChar w:fldCharType="begin"/>
        <w:instrText xml:space="preserve">PAGEREF b_3_2 \h</w:instrText>
        <w:fldChar w:fldCharType="separate"/>
        <w:t xml:space="preserve">404</w:t>
        <w:fldChar w:fldCharType="end"/>
      </w:r>
      <w:r>
        <w:t xml:space="preserve">.</w:t>
      </w:r>
    </w:p>
    <w:p>
      <w:pPr>
        <w:pStyle w:val="Fuente"/>
      </w:pPr>
      <w:r>
        <w:t xml:space="preserve">Véase </w:t>
      </w:r>
      <w:hyperlink w:history="1" w:anchor="b_3_5">
        <w:r>
          <w:rPr>
            <w:color w:val="156B70"/>
            <w:u w:val="single"/>
          </w:rPr>
          <w:t xml:space="preserve">capítulo 3.5 · Refuerzo y compensación</w:t>
        </w:r>
      </w:hyperlink>
      <w:r>
        <w:t xml:space="preserve">, pág. </w:t>
      </w:r>
      <w:r>
        <w:fldChar w:fldCharType="begin"/>
        <w:instrText xml:space="preserve">PAGEREF b_3_5 \h</w:instrText>
        <w:fldChar w:fldCharType="separate"/>
        <w:t xml:space="preserve">501</w:t>
        <w:fldChar w:fldCharType="end"/>
      </w:r>
      <w:r>
        <w:t xml:space="preserve">.</w:t>
      </w:r>
    </w:p>
    <w:p>
      <w:pPr>
        <w:pStyle w:val="Heading3"/>
      </w:pPr>
      <w:bookmarkStart w:name="b_clase_3_8_c14_cap_08" w:id="3351"/>
      <w:r>
        <w:t xml:space="preserve">Clase 14 · 01:03:33–01:10:59 · El ejercicio de las ballenas</w:t>
      </w:r>
      <w:bookmarkEnd w:id="3351"/>
    </w:p>
    <w:p>
      <w:bookmarkStart w:name="b_punto_c14_cap_08_p04" w:id="3352"/>
      <w:r>
        <w:t xml:space="preserve">Cambiar la frontera o considerar influencias externas aumenta la complejidad; las estructuras y sus relaciones causan las tendencias que el iceberg sitúa por encima de ellas.</w:t>
      </w:r>
      <w:bookmarkEnd w:id="3352"/>
    </w:p>
    <w:p>
      <w:pPr>
        <w:pStyle w:val="Fuente"/>
      </w:pPr>
      <w:r>
        <w:t xml:space="preserve">Véase </w:t>
      </w:r>
      <w:hyperlink w:history="1" w:anchor="b_senales_examen">
        <w:r>
          <w:rPr>
            <w:color w:val="156B70"/>
            <w:u w:val="single"/>
          </w:rPr>
          <w:t xml:space="preserve">1 indicación(es) de examen de este tramo, en el apéndice cronológico</w:t>
        </w:r>
      </w:hyperlink>
      <w:r>
        <w:t xml:space="preserve">, pág. </w:t>
      </w:r>
      <w:r>
        <w:fldChar w:fldCharType="begin"/>
        <w:instrText xml:space="preserve">PAGEREF b_senales_examen \h</w:instrText>
        <w:fldChar w:fldCharType="separate"/>
        <w:t xml:space="preserve">1663</w:t>
        <w:fldChar w:fldCharType="end"/>
      </w:r>
      <w:r>
        <w:t xml:space="preserve">.</w:t>
      </w:r>
    </w:p>
    <w:p>
      <w:pPr>
        <w:pStyle w:val="Fuente"/>
      </w:pPr>
      <w:r>
        <w:t xml:space="preserve">Véase </w:t>
      </w:r>
      <w:hyperlink w:history="1" w:anchor="b_3_1">
        <w:r>
          <w:rPr>
            <w:color w:val="156B70"/>
            <w:u w:val="single"/>
          </w:rPr>
          <w:t xml:space="preserve">capítulo 3.1 · Mapas sistémicos</w:t>
        </w:r>
      </w:hyperlink>
      <w:r>
        <w:t xml:space="preserve">, pág. </w:t>
      </w:r>
      <w:r>
        <w:fldChar w:fldCharType="begin"/>
        <w:instrText xml:space="preserve">PAGEREF b_3_1 \h</w:instrText>
        <w:fldChar w:fldCharType="separate"/>
        <w:t xml:space="preserve">379</w:t>
        <w:fldChar w:fldCharType="end"/>
      </w:r>
      <w:r>
        <w:t xml:space="preserve">.</w:t>
      </w:r>
    </w:p>
    <w:p>
      <w:pPr>
        <w:pStyle w:val="Fuente"/>
      </w:pPr>
      <w:r>
        <w:t xml:space="preserve">Véase </w:t>
      </w:r>
      <w:hyperlink w:history="1" w:anchor="b_3_5">
        <w:r>
          <w:rPr>
            <w:color w:val="156B70"/>
            <w:u w:val="single"/>
          </w:rPr>
          <w:t xml:space="preserve">capítulo 3.5 · Refuerzo y compensación</w:t>
        </w:r>
      </w:hyperlink>
      <w:r>
        <w:t xml:space="preserve">, pág. </w:t>
      </w:r>
      <w:r>
        <w:fldChar w:fldCharType="begin"/>
        <w:instrText xml:space="preserve">PAGEREF b_3_5 \h</w:instrText>
        <w:fldChar w:fldCharType="separate"/>
        <w:t xml:space="preserve">501</w:t>
        <w:fldChar w:fldCharType="end"/>
      </w:r>
      <w:r>
        <w:t xml:space="preserve">.</w:t>
      </w:r>
    </w:p>
    <w:p>
      <w:pPr>
        <w:pStyle w:val="Heading3"/>
      </w:pPr>
      <w:bookmarkStart w:name="b_clase_3_8_c14_cap_09" w:id="3353"/>
      <w:r>
        <w:t xml:space="preserve">Clase 14 · 01:10:59–01:26:29 · Notación de vínculos y complejidad</w:t>
      </w:r>
      <w:bookmarkEnd w:id="3353"/>
    </w:p>
    <w:p>
      <w:bookmarkStart w:name="b_punto_c14_cap_09_p06" w:id="3354"/>
      <w:r>
        <w:t xml:space="preserve">El error de facturación que aparece los viernes por la mañana revela una tendencia; una promoción no validada constituye una condición estructural omitida en el modelo del programa.</w:t>
      </w:r>
      <w:bookmarkEnd w:id="3354"/>
    </w:p>
    <w:p>
      <w:bookmarkStart w:name="b_punto_c14_cap_09_p08" w:id="3355"/>
      <w:r>
        <w:t xml:space="preserve">Contraintuitivo nombra una conducta distinta de la esperada por los modelos mentales; para explicarla hay que reconocer la estructura efectiva del sistema.</w:t>
      </w:r>
      <w:bookmarkEnd w:id="3355"/>
    </w:p>
    <w:p>
      <w:pPr>
        <w:pStyle w:val="Fuente"/>
      </w:pPr>
      <w:r>
        <w:t xml:space="preserve">Véase </w:t>
      </w:r>
      <w:hyperlink w:history="1" w:anchor="b_senales_examen">
        <w:r>
          <w:rPr>
            <w:color w:val="156B70"/>
            <w:u w:val="single"/>
          </w:rPr>
          <w:t xml:space="preserve">1 indicación(es) de examen de este tramo, en el apéndice cronológico</w:t>
        </w:r>
      </w:hyperlink>
      <w:r>
        <w:t xml:space="preserve">, pág. </w:t>
      </w:r>
      <w:r>
        <w:fldChar w:fldCharType="begin"/>
        <w:instrText xml:space="preserve">PAGEREF b_senales_examen \h</w:instrText>
        <w:fldChar w:fldCharType="separate"/>
        <w:t xml:space="preserve">1663</w:t>
        <w:fldChar w:fldCharType="end"/>
      </w:r>
      <w:r>
        <w:t xml:space="preserve">.</w:t>
      </w:r>
    </w:p>
    <w:p>
      <w:pPr>
        <w:pStyle w:val="Fuente"/>
      </w:pPr>
      <w:r>
        <w:t xml:space="preserve">Véase </w:t>
      </w:r>
      <w:hyperlink w:history="1" w:anchor="b_3_1">
        <w:r>
          <w:rPr>
            <w:color w:val="156B70"/>
            <w:u w:val="single"/>
          </w:rPr>
          <w:t xml:space="preserve">capítulo 3.1 · Mapas sistémicos</w:t>
        </w:r>
      </w:hyperlink>
      <w:r>
        <w:t xml:space="preserve">, pág. </w:t>
      </w:r>
      <w:r>
        <w:fldChar w:fldCharType="begin"/>
        <w:instrText xml:space="preserve">PAGEREF b_3_1 \h</w:instrText>
        <w:fldChar w:fldCharType="separate"/>
        <w:t xml:space="preserve">379</w:t>
        <w:fldChar w:fldCharType="end"/>
      </w:r>
      <w:r>
        <w:t xml:space="preserve">.</w:t>
      </w:r>
    </w:p>
    <w:p>
      <w:pPr>
        <w:pStyle w:val="Fuente"/>
      </w:pPr>
      <w:r>
        <w:t xml:space="preserve">Véase </w:t>
      </w:r>
      <w:hyperlink w:history="1" w:anchor="b_3_5">
        <w:r>
          <w:rPr>
            <w:color w:val="156B70"/>
            <w:u w:val="single"/>
          </w:rPr>
          <w:t xml:space="preserve">capítulo 3.5 · Refuerzo y compensación</w:t>
        </w:r>
      </w:hyperlink>
      <w:r>
        <w:t xml:space="preserve">, pág. </w:t>
      </w:r>
      <w:r>
        <w:fldChar w:fldCharType="begin"/>
        <w:instrText xml:space="preserve">PAGEREF b_3_5 \h</w:instrText>
        <w:fldChar w:fldCharType="separate"/>
        <w:t xml:space="preserve">501</w:t>
        <w:fldChar w:fldCharType="end"/>
      </w:r>
      <w:r>
        <w:t xml:space="preserve">.</w:t>
      </w:r>
    </w:p>
    <w:p>
      <w:pPr>
        <w:pStyle w:val="Fuente"/>
      </w:pPr>
      <w:r>
        <w:t xml:space="preserve">Véase </w:t>
      </w:r>
      <w:hyperlink w:history="1" w:anchor="b_3_9">
        <w:r>
          <w:rPr>
            <w:color w:val="156B70"/>
            <w:u w:val="single"/>
          </w:rPr>
          <w:t xml:space="preserve">capítulo 3.9 · Hábitos (complejo)</w:t>
        </w:r>
      </w:hyperlink>
      <w:r>
        <w:t xml:space="preserve">, pág. </w:t>
      </w:r>
      <w:r>
        <w:fldChar w:fldCharType="begin"/>
        <w:instrText xml:space="preserve">PAGEREF b_3_9 \h</w:instrText>
        <w:fldChar w:fldCharType="separate"/>
        <w:t xml:space="preserve">622</w:t>
        <w:fldChar w:fldCharType="end"/>
      </w:r>
      <w:r>
        <w:t xml:space="preserve">.</w:t>
      </w:r>
    </w:p>
    <w:p>
      <w:pPr>
        <w:pStyle w:val="Fuente"/>
      </w:pPr>
      <w:r>
        <w:t xml:space="preserve">Véase </w:t>
      </w:r>
      <w:hyperlink w:history="1" w:anchor="b_1_4">
        <w:r>
          <w:rPr>
            <w:color w:val="156B70"/>
            <w:u w:val="single"/>
          </w:rPr>
          <w:t xml:space="preserve">capítulo 1.4 · Sistémico vs no sistémico</w:t>
        </w:r>
      </w:hyperlink>
      <w:r>
        <w:t xml:space="preserve">, pág. </w:t>
      </w:r>
      <w:r>
        <w:fldChar w:fldCharType="begin"/>
        <w:instrText xml:space="preserve">PAGEREF b_1_4 \h</w:instrText>
        <w:fldChar w:fldCharType="separate"/>
        <w:t xml:space="preserve">104</w:t>
        <w:fldChar w:fldCharType="end"/>
      </w:r>
      <w:r>
        <w:t xml:space="preserve">.</w:t>
      </w:r>
    </w:p>
    <w:p>
      <w:pPr>
        <w:pStyle w:val="Heading3"/>
      </w:pPr>
      <w:bookmarkStart w:name="b_clase_3_8_c15_cap_06" w:id="3356"/>
      <w:r>
        <w:t xml:space="preserve">Clase 15 · 00:37:15–00:48:38 · Cometa, molinete, cocinas y aulas</w:t>
      </w:r>
      <w:bookmarkEnd w:id="3356"/>
    </w:p>
    <w:p>
      <w:bookmarkStart w:name="b_punto_c15_cap_06_p03" w:id="3357"/>
      <w:r>
        <w:t xml:space="preserve">En ACME las tendencias permiten inferir interdependencias; un indicador medido es característica del sistema y no su estructura.</w:t>
      </w:r>
      <w:bookmarkEnd w:id="3357"/>
    </w:p>
    <w:p>
      <w:bookmarkStart w:name="b_punto_c15_cap_06_p05" w:id="3358"/>
      <w:r>
        <w:t xml:space="preserve">Medir valores de variables describe resultados; no sustituye explicar las relaciones causales que los generan.</w:t>
      </w:r>
      <w:bookmarkEnd w:id="3358"/>
    </w:p>
    <w:p>
      <w:pPr>
        <w:pStyle w:val="Fuente"/>
      </w:pPr>
      <w:r>
        <w:t xml:space="preserve">Véase </w:t>
      </w:r>
      <w:hyperlink w:history="1" w:anchor="b_3_6">
        <w:r>
          <w:rPr>
            <w:color w:val="156B70"/>
            <w:u w:val="single"/>
          </w:rPr>
          <w:t xml:space="preserve">capítulo 3.6 · Modelación dinámica</w:t>
        </w:r>
      </w:hyperlink>
      <w:r>
        <w:t xml:space="preserve">, pág. </w:t>
      </w:r>
      <w:r>
        <w:fldChar w:fldCharType="begin"/>
        <w:instrText xml:space="preserve">PAGEREF b_3_6 \h</w:instrText>
        <w:fldChar w:fldCharType="separate"/>
        <w:t xml:space="preserve">537</w:t>
        <w:fldChar w:fldCharType="end"/>
      </w:r>
      <w:r>
        <w:t xml:space="preserve">.</w:t>
      </w:r>
    </w:p>
    <w:p>
      <w:pPr>
        <w:pStyle w:val="Fuente"/>
      </w:pPr>
      <w:r>
        <w:t xml:space="preserve">Véase </w:t>
      </w:r>
      <w:hyperlink w:history="1" w:anchor="b_3_9">
        <w:r>
          <w:rPr>
            <w:color w:val="156B70"/>
            <w:u w:val="single"/>
          </w:rPr>
          <w:t xml:space="preserve">capítulo 3.9 · Hábitos (complejo)</w:t>
        </w:r>
      </w:hyperlink>
      <w:r>
        <w:t xml:space="preserve">, pág. </w:t>
      </w:r>
      <w:r>
        <w:fldChar w:fldCharType="begin"/>
        <w:instrText xml:space="preserve">PAGEREF b_3_9 \h</w:instrText>
        <w:fldChar w:fldCharType="separate"/>
        <w:t xml:space="preserve">622</w:t>
        <w:fldChar w:fldCharType="end"/>
      </w:r>
      <w:r>
        <w:t xml:space="preserve">.</w:t>
      </w:r>
    </w:p>
    <w:p>
      <w:pPr>
        <w:pStyle w:val="Heading3"/>
      </w:pPr>
      <w:bookmarkStart w:name="b_clase_3_8_c15_cap_10" w:id="3359"/>
      <w:r>
        <w:t xml:space="preserve">Clase 15 · 01:25:51–01:42:38 · Las demoras y su notación</w:t>
      </w:r>
      <w:bookmarkEnd w:id="3359"/>
    </w:p>
    <w:p>
      <w:bookmarkStart w:name="b_punto_c15_cap_10_p08" w:id="3360"/>
      <w:r>
        <w:t xml:space="preserve">Ninguna curva única: hacen falta supuestos adicionales del modelo</w:t>
      </w:r>
      <w:bookmarkEnd w:id="3360"/>
    </w:p>
    <w:p>
      <w:pPr>
        <w:pStyle w:val="Fuente"/>
      </w:pPr>
      <w:r>
        <w:t xml:space="preserve">Véase </w:t>
      </w:r>
      <w:hyperlink w:history="1" w:anchor="b_3_7">
        <w:r>
          <w:rPr>
            <w:color w:val="156B70"/>
            <w:u w:val="single"/>
          </w:rPr>
          <w:t xml:space="preserve">capítulo 3.7 · Demoras de tiempo</w:t>
        </w:r>
      </w:hyperlink>
      <w:r>
        <w:t xml:space="preserve">, pág. </w:t>
      </w:r>
      <w:r>
        <w:fldChar w:fldCharType="begin"/>
        <w:instrText xml:space="preserve">PAGEREF b_3_7 \h</w:instrText>
        <w:fldChar w:fldCharType="separate"/>
        <w:t xml:space="preserve">580</w:t>
        <w:fldChar w:fldCharType="end"/>
      </w:r>
      <w:r>
        <w:t xml:space="preserve">.</w:t>
      </w:r>
    </w:p>
    <w:p>
      <w:pPr>
        <w:pStyle w:val="Fuente"/>
      </w:pPr>
      <w:r>
        <w:t xml:space="preserve">Véase </w:t>
      </w:r>
      <w:hyperlink w:history="1" w:anchor="b_3_6">
        <w:r>
          <w:rPr>
            <w:color w:val="156B70"/>
            <w:u w:val="single"/>
          </w:rPr>
          <w:t xml:space="preserve">capítulo 3.6 · Modelación dinámica</w:t>
        </w:r>
      </w:hyperlink>
      <w:r>
        <w:t xml:space="preserve">, pág. </w:t>
      </w:r>
      <w:r>
        <w:fldChar w:fldCharType="begin"/>
        <w:instrText xml:space="preserve">PAGEREF b_3_6 \h</w:instrText>
        <w:fldChar w:fldCharType="separate"/>
        <w:t xml:space="preserve">537</w:t>
        <w:fldChar w:fldCharType="end"/>
      </w:r>
      <w:r>
        <w:t xml:space="preserve">.</w:t>
      </w:r>
    </w:p>
    <w:p>
      <w:pPr>
        <w:pStyle w:val="Fuente"/>
      </w:pPr>
      <w:r>
        <w:t xml:space="preserve">Véase </w:t>
      </w:r>
      <w:hyperlink w:history="1" w:anchor="b_3_2">
        <w:r>
          <w:rPr>
            <w:color w:val="156B70"/>
            <w:u w:val="single"/>
          </w:rPr>
          <w:t xml:space="preserve">capítulo 3.2 · Mapas DSRP generales</w:t>
        </w:r>
      </w:hyperlink>
      <w:r>
        <w:t xml:space="preserve">, pág. </w:t>
      </w:r>
      <w:r>
        <w:fldChar w:fldCharType="begin"/>
        <w:instrText xml:space="preserve">PAGEREF b_3_2 \h</w:instrText>
        <w:fldChar w:fldCharType="separate"/>
        <w:t xml:space="preserve">404</w:t>
        <w:fldChar w:fldCharType="end"/>
      </w:r>
      <w:r>
        <w:t xml:space="preserve">.</w:t>
      </w:r>
    </w:p>
    <w:p>
      <w:pPr>
        <w:pStyle w:val="Heading3"/>
      </w:pPr>
      <w:bookmarkStart w:name="b_clase_3_8_c16_cap_02" w:id="3361"/>
      <w:r>
        <w:t xml:space="preserve">Clase 16 · 00:17:41–00:21:29 · El iceberg y el anuncio de la simulación</w:t>
      </w:r>
      <w:bookmarkEnd w:id="3361"/>
    </w:p>
    <w:p>
      <w:bookmarkStart w:name="b_punto_c16_cap_02_p03" w:id="3362"/>
      <w:r>
        <w:t xml:space="preserve">Eventos y patrones son manifestaciones emergentes; describir tendencias orienta a buscar relaciones causales.</w:t>
      </w:r>
      <w:bookmarkEnd w:id="3362"/>
    </w:p>
    <w:p>
      <w:pPr>
        <w:pStyle w:val="Fuente"/>
      </w:pPr>
      <w:r>
        <w:t xml:space="preserve">Véase </w:t>
      </w:r>
      <w:hyperlink w:history="1" w:anchor="b_senales_examen">
        <w:r>
          <w:rPr>
            <w:color w:val="156B70"/>
            <w:u w:val="single"/>
          </w:rPr>
          <w:t xml:space="preserve">1 indicación(es) de examen de este tramo, en el apéndice cronológico</w:t>
        </w:r>
      </w:hyperlink>
      <w:r>
        <w:t xml:space="preserve">, pág. </w:t>
      </w:r>
      <w:r>
        <w:fldChar w:fldCharType="begin"/>
        <w:instrText xml:space="preserve">PAGEREF b_senales_examen \h</w:instrText>
        <w:fldChar w:fldCharType="separate"/>
        <w:t xml:space="preserve">1663</w:t>
        <w:fldChar w:fldCharType="end"/>
      </w:r>
      <w:r>
        <w:t xml:space="preserve">.</w:t>
      </w:r>
    </w:p>
    <w:p>
      <w:pPr>
        <w:pStyle w:val="Fuente"/>
      </w:pPr>
      <w:r>
        <w:t xml:space="preserve">Véase </w:t>
      </w:r>
      <w:hyperlink w:history="1" w:anchor="b_3_9">
        <w:r>
          <w:rPr>
            <w:color w:val="156B70"/>
            <w:u w:val="single"/>
          </w:rPr>
          <w:t xml:space="preserve">capítulo 3.9 · Hábitos (complejo)</w:t>
        </w:r>
      </w:hyperlink>
      <w:r>
        <w:t xml:space="preserve">, pág. </w:t>
      </w:r>
      <w:r>
        <w:fldChar w:fldCharType="begin"/>
        <w:instrText xml:space="preserve">PAGEREF b_3_9 \h</w:instrText>
        <w:fldChar w:fldCharType="separate"/>
        <w:t xml:space="preserve">622</w:t>
        <w:fldChar w:fldCharType="end"/>
      </w:r>
      <w:r>
        <w:t xml:space="preserve">.</w:t>
      </w:r>
    </w:p>
    <w:p>
      <w:pPr>
        <w:pStyle w:val="Fuente"/>
      </w:pPr>
      <w:r>
        <w:t xml:space="preserve">Véase </w:t>
      </w:r>
      <w:hyperlink w:history="1" w:anchor="b_3_6">
        <w:r>
          <w:rPr>
            <w:color w:val="156B70"/>
            <w:u w:val="single"/>
          </w:rPr>
          <w:t xml:space="preserve">capítulo 3.6 · Modelación dinámica</w:t>
        </w:r>
      </w:hyperlink>
      <w:r>
        <w:t xml:space="preserve">, pág. </w:t>
      </w:r>
      <w:r>
        <w:fldChar w:fldCharType="begin"/>
        <w:instrText xml:space="preserve">PAGEREF b_3_6 \h</w:instrText>
        <w:fldChar w:fldCharType="separate"/>
        <w:t xml:space="preserve">537</w:t>
        <w:fldChar w:fldCharType="end"/>
      </w:r>
      <w:r>
        <w:t xml:space="preserve">.</w:t>
      </w:r>
    </w:p>
    <w:p>
      <w:pPr>
        <w:pStyle w:val="Heading3"/>
      </w:pPr>
      <w:bookmarkStart w:name="b_clase_3_8_c16_cap_06" w:id="3363"/>
      <w:r>
        <w:t xml:space="preserve">Clase 16 · 01:02:36–01:06:16 · El modelo presa-depredador</w:t>
      </w:r>
      <w:bookmarkEnd w:id="3363"/>
    </w:p>
    <w:p>
      <w:bookmarkStart w:name="b_punto_c16_cap_06_p02" w:id="3364"/>
      <w:r>
        <w:t xml:space="preserve">La depredación acopla poblaciones: alimentar a zorros reduce conejos y afecta supervivencia y reproducción de cada especie.</w:t>
      </w:r>
      <w:bookmarkEnd w:id="3364"/>
    </w:p>
    <w:p>
      <w:pPr>
        <w:pStyle w:val="Fuente"/>
      </w:pPr>
      <w:r>
        <w:t xml:space="preserve">Véase </w:t>
      </w:r>
      <w:hyperlink w:history="1" w:anchor="b_3_6">
        <w:r>
          <w:rPr>
            <w:color w:val="156B70"/>
            <w:u w:val="single"/>
          </w:rPr>
          <w:t xml:space="preserve">capítulo 3.6 · Modelación dinámica</w:t>
        </w:r>
      </w:hyperlink>
      <w:r>
        <w:t xml:space="preserve">, pág. </w:t>
      </w:r>
      <w:r>
        <w:fldChar w:fldCharType="begin"/>
        <w:instrText xml:space="preserve">PAGEREF b_3_6 \h</w:instrText>
        <w:fldChar w:fldCharType="separate"/>
        <w:t xml:space="preserve">537</w:t>
        <w:fldChar w:fldCharType="end"/>
      </w:r>
      <w:r>
        <w:t xml:space="preserve">.</w:t>
      </w:r>
    </w:p>
    <w:p>
      <w:pPr>
        <w:pStyle w:val="Fuente"/>
      </w:pPr>
      <w:r>
        <w:t xml:space="preserve">Véase </w:t>
      </w:r>
      <w:hyperlink w:history="1" w:anchor="b_3_7">
        <w:r>
          <w:rPr>
            <w:color w:val="156B70"/>
            <w:u w:val="single"/>
          </w:rPr>
          <w:t xml:space="preserve">capítulo 3.7 · Demoras de tiempo</w:t>
        </w:r>
      </w:hyperlink>
      <w:r>
        <w:t xml:space="preserve">, pág. </w:t>
      </w:r>
      <w:r>
        <w:fldChar w:fldCharType="begin"/>
        <w:instrText xml:space="preserve">PAGEREF b_3_7 \h</w:instrText>
        <w:fldChar w:fldCharType="separate"/>
        <w:t xml:space="preserve">580</w:t>
        <w:fldChar w:fldCharType="end"/>
      </w:r>
      <w:r>
        <w:t xml:space="preserve">.</w:t>
      </w:r>
    </w:p>
    <w:p>
      <w:pPr>
        <w:pStyle w:val="Heading3"/>
      </w:pPr>
      <w:bookmarkStart w:name="b_clase_3_8_c16_cap_09" w:id="3365"/>
      <w:r>
        <w:t xml:space="preserve">Clase 16 · 01:29:27–01:37:54 · Patrones y tendencias: los gráficos de comportamiento</w:t>
      </w:r>
      <w:bookmarkEnd w:id="3365"/>
    </w:p>
    <w:p>
      <w:bookmarkStart w:name="b_punto_c16_cap_09_p01" w:id="3366"/>
      <w:r>
        <w:t xml:space="preserve">El quinto hábito oral observa cambios en el tiempo: patrones de variables que emergen de la estructura.</w:t>
      </w:r>
      <w:bookmarkEnd w:id="3366"/>
    </w:p>
    <w:p>
      <w:bookmarkStart w:name="b_punto_c16_cap_09_p03" w:id="3367"/>
      <w:r>
        <w:t xml:space="preserve">Crecimiento, decrecimiento u oscilación orientan la investigación de la estructura detrás de una tendencia.</w:t>
      </w:r>
      <w:bookmarkEnd w:id="3367"/>
    </w:p>
    <w:p>
      <w:bookmarkStart w:name="b_punto_c16_cap_09_p06" w:id="3368"/>
      <w:r>
        <w:t xml:space="preserve">El BOTG sitúa tiempo enX y variable enY; puntos históricos o escenarios forman una curva y no un mapa de causalidad.</w:t>
      </w:r>
      <w:bookmarkEnd w:id="3368"/>
    </w:p>
    <w:p>
      <w:bookmarkStart w:name="b_punto_c16_cap_09_p07" w:id="3369"/>
      <w:r>
        <w:t xml:space="preserve">Se reconocen patrones lineales, exponenciales, acotados/no acotados, oscilatorios y estables; una constante ilustra la línea horizontal.</w:t>
      </w:r>
      <w:bookmarkEnd w:id="3369"/>
    </w:p>
    <w:p>
      <w:bookmarkStart w:name="b_punto_c16_cap_09_p08" w:id="3370"/>
      <w:r>
        <w:t xml:space="preserve">Las clases 15–16 desarrollan patrones y ejes de gráficos de comportamiento; las ampliaciones bibliográficas se atribuyen aparte.</w:t>
      </w:r>
      <w:bookmarkEnd w:id="3370"/>
    </w:p>
    <w:p>
      <w:pPr>
        <w:pStyle w:val="Fuente"/>
      </w:pPr>
      <w:r>
        <w:t xml:space="preserve">Véase </w:t>
      </w:r>
      <w:hyperlink w:history="1" w:anchor="b_senales_examen">
        <w:r>
          <w:rPr>
            <w:color w:val="156B70"/>
            <w:u w:val="single"/>
          </w:rPr>
          <w:t xml:space="preserve">2 indicación(es) de examen de este tramo, en el apéndice cronológico</w:t>
        </w:r>
      </w:hyperlink>
      <w:r>
        <w:t xml:space="preserve">, pág. </w:t>
      </w:r>
      <w:r>
        <w:fldChar w:fldCharType="begin"/>
        <w:instrText xml:space="preserve">PAGEREF b_senales_examen \h</w:instrText>
        <w:fldChar w:fldCharType="separate"/>
        <w:t xml:space="preserve">1663</w:t>
        <w:fldChar w:fldCharType="end"/>
      </w:r>
      <w:r>
        <w:t xml:space="preserve">.</w:t>
      </w:r>
    </w:p>
    <w:p>
      <w:pPr>
        <w:pStyle w:val="Fuente"/>
      </w:pPr>
      <w:r>
        <w:t xml:space="preserve">Véase </w:t>
      </w:r>
      <w:hyperlink w:history="1" w:anchor="b_3_1">
        <w:r>
          <w:rPr>
            <w:color w:val="156B70"/>
            <w:u w:val="single"/>
          </w:rPr>
          <w:t xml:space="preserve">capítulo 3.1 · Mapas sistémicos</w:t>
        </w:r>
      </w:hyperlink>
      <w:r>
        <w:t xml:space="preserve">, pág. </w:t>
      </w:r>
      <w:r>
        <w:fldChar w:fldCharType="begin"/>
        <w:instrText xml:space="preserve">PAGEREF b_3_1 \h</w:instrText>
        <w:fldChar w:fldCharType="separate"/>
        <w:t xml:space="preserve">379</w:t>
        <w:fldChar w:fldCharType="end"/>
      </w:r>
      <w:r>
        <w:t xml:space="preserve">.</w:t>
      </w:r>
    </w:p>
    <w:p>
      <w:pPr>
        <w:pStyle w:val="Fuente"/>
      </w:pPr>
      <w:r>
        <w:t xml:space="preserve">Véase </w:t>
      </w:r>
      <w:hyperlink w:history="1" w:anchor="b_3_3">
        <w:r>
          <w:rPr>
            <w:color w:val="156B70"/>
            <w:u w:val="single"/>
          </w:rPr>
          <w:t xml:space="preserve">capítulo 3.3 · Diagramas de ciclos causales</w:t>
        </w:r>
      </w:hyperlink>
      <w:r>
        <w:t xml:space="preserve">, pág. </w:t>
      </w:r>
      <w:r>
        <w:fldChar w:fldCharType="begin"/>
        <w:instrText xml:space="preserve">PAGEREF b_3_3 \h</w:instrText>
        <w:fldChar w:fldCharType="separate"/>
        <w:t xml:space="preserve">443</w:t>
        <w:fldChar w:fldCharType="end"/>
      </w:r>
      <w:r>
        <w:t xml:space="preserve">.</w:t>
      </w:r>
    </w:p>
    <w:p>
      <w:pPr>
        <w:pStyle w:val="Heading3"/>
      </w:pPr>
      <w:bookmarkStart w:name="b_clase_3_8_c16_cap_10" w:id="3371"/>
      <w:r>
        <w:t xml:space="preserve">Clase 16 · 01:37:54–01:42:10 · De la estructura a la curva, y los ciclos de vida</w:t>
      </w:r>
      <w:bookmarkEnd w:id="3371"/>
    </w:p>
    <w:p>
      <w:bookmarkStart w:name="b_punto_c16_cap_10_p01" w:id="3372"/>
      <w:r>
        <w:t xml:space="preserve">Ninguna curva única: hacen falta supuestos adicionales del modelo</w:t>
      </w:r>
      <w:bookmarkEnd w:id="3372"/>
    </w:p>
    <w:p>
      <w:bookmarkStart w:name="b_punto_c16_cap_10_p02" w:id="3373"/>
      <w:r>
        <w:t xml:space="preserve">Cada variable del ciclo puede tener trayectoria temporal; las curvas se construyen observando valores a través del tiempo.</w:t>
      </w:r>
      <w:bookmarkEnd w:id="3373"/>
    </w:p>
    <w:p>
      <w:bookmarkStart w:name="b_punto_c16_cap_10_p03" w:id="3374"/>
      <w:r>
        <w:t xml:space="preserve">Un ciclo de vida abarca la existencia del sistema; proyectos y productos se describen por fases y curvas de recursos/costo.</w:t>
      </w:r>
      <w:bookmarkEnd w:id="3374"/>
    </w:p>
    <w:p>
      <w:bookmarkStart w:name="b_punto_c16_cap_10_p04" w:id="3375"/>
      <w:r>
        <w:t xml:space="preserve">La fracción iluminada de la Luna ilustra una tendencia oscilatoria al observar sus fases.</w:t>
      </w:r>
      <w:bookmarkEnd w:id="3375"/>
    </w:p>
    <w:p>
      <w:pPr>
        <w:pStyle w:val="Fuente"/>
      </w:pPr>
      <w:r>
        <w:t xml:space="preserve">Véase </w:t>
      </w:r>
      <w:hyperlink w:history="1" w:anchor="b_3_3">
        <w:r>
          <w:rPr>
            <w:color w:val="156B70"/>
            <w:u w:val="single"/>
          </w:rPr>
          <w:t xml:space="preserve">capítulo 3.3 · Diagramas de ciclos causales</w:t>
        </w:r>
      </w:hyperlink>
      <w:r>
        <w:t xml:space="preserve">, pág. </w:t>
      </w:r>
      <w:r>
        <w:fldChar w:fldCharType="begin"/>
        <w:instrText xml:space="preserve">PAGEREF b_3_3 \h</w:instrText>
        <w:fldChar w:fldCharType="separate"/>
        <w:t xml:space="preserve">443</w:t>
        <w:fldChar w:fldCharType="end"/>
      </w:r>
      <w:r>
        <w:t xml:space="preserve">.</w:t>
      </w:r>
    </w:p>
    <w:p>
      <w:pPr>
        <w:pStyle w:val="Heading3"/>
      </w:pPr>
      <w:bookmarkStart w:name="b_cita_clase_16_quinto_habito_patrones" w:id="3376"/>
      <w:r>
        <w:t xml:space="preserve">Palabras del profesor</w:t>
      </w:r>
      <w:bookmarkEnd w:id="3376"/>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El profesor lo dijo así</w:t>
            </w:r>
          </w:p>
          <w:p>
            <w:pPr>
              <w:pStyle w:val="Recuadro"/>
            </w:pPr>
            <w:r>
              <w:t xml:space="preserve">«Hay un quinto hábito del pensador sistémico que tiene que ver con que sabe reconocer, observar cómo los elementos cambian.»</w:t>
            </w:r>
          </w:p>
          <w:p>
            <w:pPr>
              <w:pStyle w:val="Recuadro"/>
            </w:pPr>
            <w:r>
              <w:t xml:space="preserve">Clase 16 · 01:29:27–01:30:08</w:t>
            </w:r>
          </w:p>
        </w:tc>
      </w:tr>
    </w:tbl>
    <w:p>
      <w:pPr>
        <w:pStyle w:val="Heading3"/>
      </w:pPr>
      <w:bookmarkStart w:name="b_cita_clase_16_patron_del_cicl_9406f5d5" w:id="3377"/>
      <w:r>
        <w:t xml:space="preserve">Palabras del profesor</w:t>
      </w:r>
      <w:bookmarkEnd w:id="3377"/>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El profesor lo dijo así</w:t>
            </w:r>
          </w:p>
          <w:p>
            <w:pPr>
              <w:pStyle w:val="Recuadro"/>
            </w:pPr>
            <w:r>
              <w:t xml:space="preserve">«En los ciclos de retroalimentación negativa, los de compensación, el patrón de comportamiento asociado es siempre un comportamiento exponencial acotado.»</w:t>
            </w:r>
          </w:p>
          <w:p>
            <w:pPr>
              <w:pStyle w:val="Recuadro"/>
            </w:pPr>
            <w:r>
              <w:t xml:space="preserve">Clase 16 · 01:37:54–01:38:20</w:t>
            </w:r>
          </w:p>
        </w:tc>
      </w:tr>
    </w:tbl>
    <w:p>
      <w:pPr>
        <w:pStyle w:val="Heading3"/>
      </w:pPr>
      <w:bookmarkStart w:name="b_cita_clase_16_tendencias_en_g_73f6cec2" w:id="3378"/>
      <w:r>
        <w:t xml:space="preserve">Palabras del profesor</w:t>
      </w:r>
      <w:bookmarkEnd w:id="3378"/>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El profesor lo dijo así</w:t>
            </w:r>
          </w:p>
          <w:p>
            <w:pPr>
              <w:pStyle w:val="Recuadro"/>
            </w:pPr>
            <w:r>
              <w:t xml:space="preserve">«Esto de las tendencias no se representa con los diagramas de ciclos causales, sino con los diagramas de gráficos de comportamiento, que son muy comunes. En el eje X el tiempo, el eje Y la variable.»</w:t>
            </w:r>
          </w:p>
          <w:p>
            <w:pPr>
              <w:pStyle w:val="Recuadro"/>
            </w:pPr>
            <w:r>
              <w:t xml:space="preserve">Clase 16 · 01:36:18–01:36:35</w:t>
            </w:r>
          </w:p>
        </w:tc>
      </w:tr>
    </w:tbl>
    <w:p>
      <w:pPr>
        <w:pStyle w:val="Heading3"/>
      </w:pPr>
      <w:bookmarkStart w:name="b_cita_clase_16_refuerzo_expone_0fd024a0" w:id="3379"/>
      <w:r>
        <w:t xml:space="preserve">Palabras del profesor</w:t>
      </w:r>
      <w:bookmarkEnd w:id="3379"/>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El profesor lo dijo así</w:t>
            </w:r>
          </w:p>
          <w:p>
            <w:pPr>
              <w:pStyle w:val="Recuadro"/>
            </w:pPr>
            <w:r>
              <w:t xml:space="preserve">«Para los ciclos de refuerzo el comportamiento será exponencial, no acotado. Empieza en un valor y crece, crece, y nada lo detiene si no hubiera otro ciclo que afecte la variable.»</w:t>
            </w:r>
          </w:p>
          <w:p>
            <w:pPr>
              <w:pStyle w:val="Recuadro"/>
            </w:pPr>
            <w:r>
              <w:t xml:space="preserve">Clase 16 · 01:38:59–01:39:17</w:t>
            </w:r>
          </w:p>
        </w:tc>
      </w:tr>
    </w:tbl>
    <w:p>
      <w:pPr>
        <w:pStyle w:val="Heading3"/>
      </w:pPr>
      <w:bookmarkStart w:name="b_cita_clase_15_tendencias_deri_13aadc27" w:id="3380"/>
      <w:r>
        <w:t xml:space="preserve">Palabras del profesor</w:t>
      </w:r>
      <w:bookmarkEnd w:id="3380"/>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El profesor lo dijo así</w:t>
            </w:r>
          </w:p>
          <w:p>
            <w:pPr>
              <w:pStyle w:val="Recuadro"/>
            </w:pPr>
            <w:r>
              <w:t xml:space="preserve">«El comportamiento de tendencias va a derivarse de las estructuras: a una estructura circular de refuerzo, un crecimiento o decrecimiento; a una estructura de compensación, un crecimiento acotado a un valor específico o un decrecimiento acotado.»</w:t>
            </w:r>
          </w:p>
          <w:p>
            <w:pPr>
              <w:pStyle w:val="Recuadro"/>
            </w:pPr>
            <w:r>
              <w:t xml:space="preserve">Clase 15 · 01:39:14–01:39:39</w:t>
            </w:r>
          </w:p>
        </w:tc>
      </w:tr>
    </w:tbl>
    <w:p>
      <w:pPr>
        <w:pStyle w:val="Heading3"/>
      </w:pPr>
      <w:bookmarkStart w:name="b_cita_clase_14_tendencia_sin_r_956fad12" w:id="3381"/>
      <w:r>
        <w:t xml:space="preserve">Palabras del profesor</w:t>
      </w:r>
      <w:bookmarkEnd w:id="3381"/>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El profesor lo dijo así</w:t>
            </w:r>
          </w:p>
          <w:p>
            <w:pPr>
              <w:pStyle w:val="Recuadro"/>
            </w:pPr>
            <w:r>
              <w:t xml:space="preserve">«Cuando solo vemos la característica emergente del sistema, la describimos como una tendencia, pero esa tendencia no podemos explicar qué la provoca si no llegamos a un nivel de identificar las relaciones causales.»</w:t>
            </w:r>
          </w:p>
          <w:p>
            <w:pPr>
              <w:pStyle w:val="Recuadro"/>
            </w:pPr>
            <w:r>
              <w:t xml:space="preserve">Clase 14 · 01:10:24–01:10:44</w:t>
            </w:r>
          </w:p>
        </w:tc>
      </w:tr>
    </w:tbl>
    <w:p>
      <w:pPr>
        <w:pStyle w:val="Heading3"/>
      </w:pPr>
      <w:bookmarkStart w:name="b_cita_clase_10_diagramas_de_pa_9e15ed77" w:id="3382"/>
      <w:r>
        <w:t xml:space="preserve">Palabras del profesor</w:t>
      </w:r>
      <w:bookmarkEnd w:id="3382"/>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El profesor lo dijo así</w:t>
            </w:r>
          </w:p>
          <w:p>
            <w:pPr>
              <w:pStyle w:val="Recuadro"/>
            </w:pPr>
            <w:r>
              <w:t xml:space="preserve">«En el nivel dos, en lo que son las tendencias de comportamiento, también utilizamos algunos diagramas, pero más que todo enfocados a esos patrones, a esas variaciones de las variables a lo largo del tiempo.»</w:t>
            </w:r>
          </w:p>
          <w:p>
            <w:pPr>
              <w:pStyle w:val="Recuadro"/>
            </w:pPr>
            <w:r>
              <w:t xml:space="preserve">Clase 10 · 00:14:05–00:14:29</w:t>
            </w:r>
          </w:p>
        </w:tc>
      </w:tr>
    </w:tbl>
    <w:p>
      <w:pPr>
        <w:pStyle w:val="Heading3"/>
      </w:pPr>
      <w:bookmarkStart w:name="b_cita_clase_12_distinguir_comp_39876d78" w:id="3383"/>
      <w:r>
        <w:t xml:space="preserve">Palabras del profesor</w:t>
      </w:r>
      <w:bookmarkEnd w:id="3383"/>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El profesor lo dijo así</w:t>
            </w:r>
          </w:p>
          <w:p>
            <w:pPr>
              <w:pStyle w:val="Recuadro"/>
            </w:pPr>
            <w:r>
              <w:t xml:space="preserve">«Serviría de mucha utilidad distinguir los comportamientos de esas relaciones para empezar a describir tendencias de estos sistemas a lo largo del tiempo.»</w:t>
            </w:r>
          </w:p>
          <w:p>
            <w:pPr>
              <w:pStyle w:val="Recuadro"/>
            </w:pPr>
            <w:r>
              <w:t xml:space="preserve">Clase 12 · 01:14:03–01:14:26</w:t>
            </w:r>
          </w:p>
        </w:tc>
      </w:tr>
    </w:tbl>
    <w:p>
      <w:pPr>
        <w:pStyle w:val="Heading3"/>
      </w:pPr>
      <w:r>
        <w:t xml:space="preserve">Errores frecuentes y trampa de examen</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9C620A" w:sz="20"/>
              <w:bottom w:val="nil"/>
              <w:right w:val="nil"/>
            </w:tcBorders>
            <w:shd w:fill="FBF3DF" w:val="clear"/>
            <w:tcMar>
              <w:top w:type="dxa" w:w="130"/>
              <w:left w:type="dxa" w:w="180"/>
              <w:bottom w:type="dxa" w:w="130"/>
              <w:right w:type="dxa" w:w="180"/>
            </w:tcMar>
          </w:tcPr>
          <w:p>
            <w:pPr>
              <w:pStyle w:val="RecuadroTitulo"/>
            </w:pPr>
            <w:r>
              <w:rPr>
                <w:b/>
                <w:bCs/>
                <w:color w:val="9C620A"/>
              </w:rPr>
              <w:t xml:space="preserve">Error → corrección</w:t>
            </w:r>
          </w:p>
          <w:p>
            <w:pPr>
              <w:pStyle w:val="Recuadro"/>
            </w:pPr>
            <w:r>
              <w:rPr>
                <w:b/>
                <w:bCs/>
              </w:rPr>
              <w:t xml:space="preserve">Error:</w:t>
            </w:r>
            <w:r>
              <w:t xml:space="preserve"> Representar la tendencia con un diagrama de ciclos causales.</w:t>
            </w:r>
          </w:p>
          <w:p>
            <w:pPr>
              <w:pStyle w:val="Recuadro"/>
            </w:pPr>
            <w:r>
              <w:rPr>
                <w:b/>
                <w:bCs/>
              </w:rPr>
              <w:t xml:space="preserve">Corrección:</w:t>
            </w:r>
            <w:r>
              <w:t xml:space="preserve"> Las tendencias se representan con gráficos de comportamiento: tiempo en el eje X, variable en el eje Y.</w:t>
            </w:r>
          </w:p>
          <w:p>
            <w:pPr>
              <w:pStyle w:val="Recuadro"/>
            </w:pPr>
            <w:r>
              <w:t xml:space="preserve">Clase 16 · 01:36:13–01:36:35</w:t>
            </w:r>
          </w:p>
        </w:tc>
      </w:tr>
    </w:tbl>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9C620A" w:sz="20"/>
              <w:bottom w:val="nil"/>
              <w:right w:val="nil"/>
            </w:tcBorders>
            <w:shd w:fill="FBF3DF" w:val="clear"/>
            <w:tcMar>
              <w:top w:type="dxa" w:w="130"/>
              <w:left w:type="dxa" w:w="180"/>
              <w:bottom w:type="dxa" w:w="130"/>
              <w:right w:type="dxa" w:w="180"/>
            </w:tcMar>
          </w:tcPr>
          <w:p>
            <w:pPr>
              <w:pStyle w:val="RecuadroTitulo"/>
            </w:pPr>
            <w:r>
              <w:rPr>
                <w:b/>
                <w:bCs/>
                <w:color w:val="9C620A"/>
              </w:rPr>
              <w:t xml:space="preserve">Error → corrección</w:t>
            </w:r>
          </w:p>
          <w:p>
            <w:pPr>
              <w:pStyle w:val="Recuadro"/>
            </w:pPr>
            <w:r>
              <w:rPr>
                <w:b/>
                <w:bCs/>
              </w:rPr>
              <w:t xml:space="preserve">Error:</w:t>
            </w:r>
            <w:r>
              <w:t xml:space="preserve"> Tomar el indicador medido, o la tendencia descrita, por la estructura.</w:t>
            </w:r>
          </w:p>
          <w:p>
            <w:pPr>
              <w:pStyle w:val="Recuadro"/>
            </w:pPr>
            <w:r>
              <w:rPr>
                <w:b/>
                <w:bCs/>
              </w:rPr>
              <w:t xml:space="preserve">Corrección:</w:t>
            </w:r>
            <w:r>
              <w:t xml:space="preserve"> El indicador es una característica; la tendencia sólo se explica al llegar a las relaciones causales que la provocan.</w:t>
            </w:r>
          </w:p>
          <w:p>
            <w:pPr>
              <w:pStyle w:val="Recuadro"/>
            </w:pPr>
            <w:r>
              <w:t xml:space="preserve">Clase 14 · 01:10:24–01:10:44 · Clase 15 · 00:42:54–00:43:22</w:t>
            </w:r>
          </w:p>
        </w:tc>
      </w:tr>
    </w:tbl>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9C620A" w:sz="20"/>
              <w:bottom w:val="nil"/>
              <w:right w:val="nil"/>
            </w:tcBorders>
            <w:shd w:fill="FBF3DF" w:val="clear"/>
            <w:tcMar>
              <w:top w:type="dxa" w:w="130"/>
              <w:left w:type="dxa" w:w="180"/>
              <w:bottom w:type="dxa" w:w="130"/>
              <w:right w:type="dxa" w:w="180"/>
            </w:tcMar>
          </w:tcPr>
          <w:p>
            <w:pPr>
              <w:pStyle w:val="RecuadroTitulo"/>
            </w:pPr>
            <w:r>
              <w:rPr>
                <w:b/>
                <w:bCs/>
                <w:color w:val="9C620A"/>
              </w:rPr>
              <w:t xml:space="preserve">Error → corrección</w:t>
            </w:r>
          </w:p>
          <w:p>
            <w:pPr>
              <w:pStyle w:val="Recuadro"/>
            </w:pPr>
            <w:r>
              <w:rPr>
                <w:b/>
                <w:bCs/>
              </w:rPr>
              <w:t xml:space="preserve">Error:</w:t>
            </w:r>
            <w:r>
              <w:t xml:space="preserve"> Concluir que los zorros acabarán con todos los conejos.</w:t>
            </w:r>
          </w:p>
          <w:p>
            <w:pPr>
              <w:pStyle w:val="Recuadro"/>
            </w:pPr>
            <w:r>
              <w:rPr>
                <w:b/>
                <w:bCs/>
              </w:rPr>
              <w:t xml:space="preserve">Corrección:</w:t>
            </w:r>
            <w:r>
              <w:t xml:space="preserve"> Es una perspectiva lineal, incompleta y reduccionista: el ejemplo de clase usa un modelo que oscila; cuatro ciclos, sin parámetros ni condiciones, no garantizan ese resultado.</w:t>
            </w:r>
          </w:p>
          <w:p>
            <w:pPr>
              <w:pStyle w:val="Recuadro"/>
            </w:pPr>
            <w:r>
              <w:t xml:space="preserve">Clase 16 · 01:04:18–01:04:49</w:t>
            </w:r>
          </w:p>
        </w:tc>
      </w:tr>
    </w:tbl>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9C620A" w:sz="20"/>
              <w:bottom w:val="nil"/>
              <w:right w:val="nil"/>
            </w:tcBorders>
            <w:shd w:fill="FBF3DF" w:val="clear"/>
            <w:tcMar>
              <w:top w:type="dxa" w:w="130"/>
              <w:left w:type="dxa" w:w="180"/>
              <w:bottom w:type="dxa" w:w="130"/>
              <w:right w:type="dxa" w:w="180"/>
            </w:tcMar>
          </w:tcPr>
          <w:p>
            <w:pPr>
              <w:pStyle w:val="RecuadroTitulo"/>
            </w:pPr>
            <w:r>
              <w:rPr>
                <w:b/>
                <w:bCs/>
                <w:color w:val="9C620A"/>
              </w:rPr>
              <w:t xml:space="preserve">Error → corrección</w:t>
            </w:r>
          </w:p>
          <w:p>
            <w:pPr>
              <w:pStyle w:val="Recuadro"/>
            </w:pPr>
            <w:r>
              <w:rPr>
                <w:b/>
                <w:bCs/>
              </w:rPr>
              <w:t xml:space="preserve">Error:</w:t>
            </w:r>
            <w:r>
              <w:t xml:space="preserve"> Quedarse en describir la falla que se repite cada viernes.</w:t>
            </w:r>
          </w:p>
          <w:p>
            <w:pPr>
              <w:pStyle w:val="Recuadro"/>
            </w:pPr>
            <w:r>
              <w:rPr>
                <w:b/>
                <w:bCs/>
              </w:rPr>
              <w:t xml:space="preserve">Corrección:</w:t>
            </w:r>
            <w:r>
              <w:t xml:space="preserve"> Es una tendencia repetida que deriva de una estructura incompleta: una promoción no validada al facturar y ciclos no modelados.</w:t>
            </w:r>
          </w:p>
          <w:p>
            <w:pPr>
              <w:pStyle w:val="Recuadro"/>
            </w:pPr>
            <w:r>
              <w:t xml:space="preserve">Clase 14 · 01:21:08–01:25:36</w:t>
            </w:r>
          </w:p>
        </w:tc>
      </w:tr>
    </w:tbl>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9C620A" w:sz="20"/>
              <w:bottom w:val="nil"/>
              <w:right w:val="nil"/>
            </w:tcBorders>
            <w:shd w:fill="FBF3DF" w:val="clear"/>
            <w:tcMar>
              <w:top w:type="dxa" w:w="130"/>
              <w:left w:type="dxa" w:w="180"/>
              <w:bottom w:type="dxa" w:w="130"/>
              <w:right w:type="dxa" w:w="180"/>
            </w:tcMar>
          </w:tcPr>
          <w:p>
            <w:pPr>
              <w:pStyle w:val="RecuadroTitulo"/>
            </w:pPr>
            <w:r>
              <w:rPr>
                <w:b/>
                <w:bCs/>
                <w:color w:val="9C620A"/>
              </w:rPr>
              <w:t xml:space="preserve">Trampa de examen</w:t>
            </w:r>
          </w:p>
          <w:p>
            <w:pPr>
              <w:pStyle w:val="Recuadro"/>
            </w:pPr>
            <w:r>
              <w:t xml:space="preserve">Creer que R/B determina una curva sin más datos: B con retardo puede oscilar y R+B puede producir crecimiento logístico. Las curvas elementales requieren condiciones explícitas.</w:t>
            </w:r>
          </w:p>
        </w:tc>
      </w:tr>
    </w:tbl>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Ampliación: lo no dictado en clase</w:t>
            </w:r>
          </w:p>
          <w:p>
            <w:pPr>
              <w:pStyle w:val="Recuadro"/>
            </w:pPr>
            <w:r>
              <w:t xml:space="preserve">La clase proyectó las láminas de patrones sin detenerse en ellas —el racimo de láminas las resume— y difirió a la unidad 4 el trabajo con diagramas de tiempo. Los ejemplos detallados de fases de inversión, construcción, sistemas informáticos y recorridos de mariposa/agua se leen desde C-2, págs. 120–121.</w:t>
            </w:r>
          </w:p>
        </w:tc>
      </w:tr>
    </w:tbl>
    <w:p>
      <w:pPr>
        <w:pStyle w:val="Heading3"/>
      </w:pPr>
      <w:r>
        <w:t xml:space="preserve">Lecturas y tareas del curso</w:t>
      </w:r>
    </w:p>
    <w:p>
      <w:pPr>
        <w:pStyle w:val="Normal"/>
      </w:pPr>
      <w:r>
        <w:t xml:space="preserve">L-15 · Dinámica de sistemas — Javier Aracil (ISDEFE). Monografía de la serie de ingeniería de sistemas de ISDEFE: el diagrama de influencias, los bucles de realimentación negativa y positiva, los retrasos y las estructuras genéricas; cómo la estructura genera el comportamiento; y la construcción, análisis y explotación de modelos. Los capítulos 2 y 3 acompañan la Unidad 3; el 4 anticipa la Unidad 4.</w:t>
      </w:r>
    </w:p>
    <w:p>
      <w:pPr>
        <w:pStyle w:val="Normal"/>
      </w:pPr>
      <w:r>
        <w:t xml:space="preserve">C-2 · Unidad 3 · Desarrollo del pensamiento sistémico complejo (presentación). La presentación completa de la Unidad 3 tal como la compartió el profesor: 129 páginas con las reglas simples del pensamiento sistémico, los mapas DSRP, los diagramas de ciclos causales, la polaridad y los tipos de ciclo, las demoras, los patrones de comportamiento y los ejercicios trabajados en clase. Complementa las 128 láminas capturadas durante las sesiones.</w:t>
      </w:r>
    </w:p>
    <w:p>
      <w:pPr>
        <w:pStyle w:val="Heading3"/>
      </w:pPr>
      <w:r>
        <w:t xml:space="preserve">Práctica de los laboratorios</w:t>
      </w:r>
    </w:p>
    <w:p>
      <w:pPr>
        <w:pStyle w:val="Normal"/>
      </w:pPr>
      <w:r>
        <w:t xml:space="preserve">Los procedimientos del capítulo permiten reconstruir en papel la práctica interactiva. Los laboratorios originales permanecen disponibles en la lección del portal.</w:t>
      </w:r>
    </w:p>
    <w:p>
      <w:pPr>
        <w:pStyle w:val="Normal"/>
        <w:numPr>
          <w:ilvl w:val="0"/>
          <w:numId w:val="2"/>
        </w:numPr>
      </w:pPr>
      <w:r>
        <w:t xml:space="preserve">Gráficas de comportamiento en el tiempo</w:t>
      </w:r>
    </w:p>
    <w:p>
      <w:pPr>
        <w:pStyle w:val="Normal"/>
        <w:numPr>
          <w:ilvl w:val="0"/>
          <w:numId w:val="2"/>
        </w:numPr>
      </w:pPr>
      <w:r>
        <w:t xml:space="preserve">Ciclos de clase: población y confianza</w:t>
      </w:r>
    </w:p>
    <w:p>
      <w:pPr>
        <w:pStyle w:val="Heading3"/>
      </w:pPr>
      <w:r>
        <w:t xml:space="preserve">Autoevaluación</w:t>
      </w:r>
    </w:p>
    <w:p>
      <w:pPr>
        <w:pStyle w:val="Normal"/>
      </w:pPr>
      <w:r>
        <w:t xml:space="preserve">Resuelva sin consultar las respuestas. Compruebe al final del capítulo por qué cada opción es correcta o incorrecta.</w:t>
      </w:r>
    </w:p>
    <w:p>
      <w:pPr>
        <w:pStyle w:val="Heading3"/>
      </w:pPr>
      <w:bookmarkStart w:name="b_pregunta_auto_3_8_1" w:id="3384"/>
      <w:r>
        <w:t xml:space="preserve">3.8-A1 · Sin ecuaciones, tasas ni demoras, ¿qué curva garantiza la sola etiqueta R o B?</w:t>
      </w:r>
      <w:bookmarkEnd w:id="3384"/>
    </w:p>
    <w:p>
      <w:pPr>
        <w:pStyle w:val="Normal"/>
      </w:pPr>
      <w:r>
        <w:t xml:space="preserve">a) B siempre exponencial y R+B siempre oscilatorio</w:t>
      </w:r>
    </w:p>
    <w:p>
      <w:pPr>
        <w:pStyle w:val="Normal"/>
      </w:pPr>
      <w:r>
        <w:t xml:space="preserve">b) Todo R es lineal y todo B es logístico</w:t>
      </w:r>
    </w:p>
    <w:p>
      <w:pPr>
        <w:pStyle w:val="Normal"/>
      </w:pPr>
      <w:r>
        <w:t xml:space="preserve">c) Una única trayectoria independiente del estado inicial</w:t>
      </w:r>
    </w:p>
    <w:p>
      <w:pPr>
        <w:pStyle w:val="Normal"/>
      </w:pPr>
      <w:r>
        <w:t xml:space="preserve">d) Ninguna curva única: hacen falta supuestos adicionales del modelo</w:t>
      </w:r>
    </w:p>
    <w:p>
      <w:pPr>
        <w:pStyle w:val="Heading3"/>
      </w:pPr>
      <w:bookmarkStart w:name="b_pregunta_auto_3_8_2" w:id="3385"/>
      <w:r>
        <w:t xml:space="preserve">3.8-A2 · ¿Cómo se emparejan decisiones y etapas del producto en C-2, página 120?</w:t>
      </w:r>
      <w:bookmarkEnd w:id="3385"/>
    </w:p>
    <w:p>
      <w:pPr>
        <w:pStyle w:val="Normal"/>
      </w:pPr>
      <w:r>
        <w:t xml:space="preserve">a) Concepción–evaluación de inversión; crecimiento–expansión; maduración–diversificación; declinación–reestructuración; retiro–desinversión</w:t>
      </w:r>
    </w:p>
    <w:p>
      <w:pPr>
        <w:pStyle w:val="Normal"/>
      </w:pPr>
      <w:r>
        <w:t xml:space="preserve">b) Concepción–retiro; crecimiento–desinversión; maduración–inicio</w:t>
      </w:r>
    </w:p>
    <w:p>
      <w:pPr>
        <w:pStyle w:val="Normal"/>
      </w:pPr>
      <w:r>
        <w:t xml:space="preserve">c) Todas las decisiones aparecen exclusivamente después del retiro</w:t>
      </w:r>
    </w:p>
    <w:p>
      <w:pPr>
        <w:pStyle w:val="Normal"/>
      </w:pPr>
      <w:r>
        <w:t xml:space="preserve">d) La curva fija el precio de venta exacto de cualquier producto</w:t>
      </w:r>
    </w:p>
    <w:p>
      <w:pPr>
        <w:pStyle w:val="Heading3"/>
      </w:pPr>
      <w:bookmarkStart w:name="b_pregunta_auto_3_8_3" w:id="3386"/>
      <w:r>
        <w:t xml:space="preserve">3.8-A3 · ¿Qué distingue las cuatro fases del proyecto de su curva de costo/personal?</w:t>
      </w:r>
      <w:bookmarkEnd w:id="3386"/>
    </w:p>
    <w:p>
      <w:pPr>
        <w:pStyle w:val="Normal"/>
      </w:pPr>
      <w:r>
        <w:t xml:space="preserve">a) Las fases son signos negativos y la curva es un ojo</w:t>
      </w:r>
    </w:p>
    <w:p>
      <w:pPr>
        <w:pStyle w:val="Normal"/>
      </w:pPr>
      <w:r>
        <w:t xml:space="preserve">b) Las fases organizan inicio, preparación, ejecución y cierre; la curva muestra intensidad de recursos y se acompaña de salidas documentales</w:t>
      </w:r>
    </w:p>
    <w:p>
      <w:pPr>
        <w:pStyle w:val="Normal"/>
      </w:pPr>
      <w:r>
        <w:t xml:space="preserve">c) La curva enumera todas las tareas sin dimensión temporal</w:t>
      </w:r>
    </w:p>
    <w:p>
      <w:pPr>
        <w:pStyle w:val="Normal"/>
      </w:pPr>
      <w:r>
        <w:t xml:space="preserve">d) El proyecto sólo tiene las mismas etapas que una mariposa</w:t>
      </w:r>
    </w:p>
    <w:p>
      <w:pPr>
        <w:pStyle w:val="Heading3"/>
      </w:pPr>
      <w:bookmarkStart w:name="b_pregunta_auto_3_8_4" w:id="3387"/>
      <w:r>
        <w:t xml:space="preserve">3.8-A4 · ¿Cuál secuencia corresponde al ejemplo de sistemas informáticos de C-2, página 120?</w:t>
      </w:r>
      <w:bookmarkEnd w:id="3387"/>
    </w:p>
    <w:p>
      <w:pPr>
        <w:pStyle w:val="Normal"/>
      </w:pPr>
      <w:r>
        <w:t xml:space="preserve">a) Huevo, oruga, crisálida y adulto</w:t>
      </w:r>
    </w:p>
    <w:p>
      <w:pPr>
        <w:pStyle w:val="Normal"/>
      </w:pPr>
      <w:r>
        <w:t xml:space="preserve">b) Idea, perfil, prefactibilidad, factibilidad, inversión y operación</w:t>
      </w:r>
    </w:p>
    <w:p>
      <w:pPr>
        <w:pStyle w:val="Normal"/>
      </w:pPr>
      <w:r>
        <w:t xml:space="preserve">c) Análisis, diseño, codificación, pruebas, instalación, conversión y operación</w:t>
      </w:r>
    </w:p>
    <w:p>
      <w:pPr>
        <w:pStyle w:val="Normal"/>
      </w:pPr>
      <w:r>
        <w:t xml:space="preserve">d) Factibilidad, planificación, diseño, producción y lanzamiento</w:t>
      </w:r>
    </w:p>
    <w:p>
      <w:pPr>
        <w:pStyle w:val="Heading3"/>
      </w:pPr>
      <w:bookmarkStart w:name="b_pregunta_auto_3_8_5" w:id="3388"/>
      <w:r>
        <w:t xml:space="preserve">3.8-A5 · ¿Qué comparación propone el gráfico final de proyectos de C-2, página 120?</w:t>
      </w:r>
      <w:bookmarkEnd w:id="3388"/>
    </w:p>
    <w:p>
      <w:pPr>
        <w:pStyle w:val="Normal"/>
      </w:pPr>
      <w:r>
        <w:t xml:space="preserve">a) El costo de cambiar cae a cero al cierre en todos los proyectos</w:t>
      </w:r>
    </w:p>
    <w:p>
      <w:pPr>
        <w:pStyle w:val="Normal"/>
      </w:pPr>
      <w:r>
        <w:t xml:space="preserve">b) Riesgo e incertidumbre crecen idénticamente al costo en cualquier proyecto</w:t>
      </w:r>
    </w:p>
    <w:p>
      <w:pPr>
        <w:pStyle w:val="Normal"/>
      </w:pPr>
      <w:r>
        <w:t xml:space="preserve">c) Las dos líneas prueban un ciclo R sin otras variables</w:t>
      </w:r>
    </w:p>
    <w:p>
      <w:pPr>
        <w:pStyle w:val="Normal"/>
      </w:pPr>
      <w:r>
        <w:t xml:space="preserve">d) Riesgo, incertidumbre e influencia de interesados disminuyen mientras el costo de cambiar aumenta</w:t>
      </w:r>
    </w:p>
    <w:p>
      <w:pPr>
        <w:pStyle w:val="Heading3"/>
      </w:pPr>
      <w:bookmarkStart w:name="b_pregunta_auto_3_8_6" w:id="3389"/>
      <w:r>
        <w:t xml:space="preserve">3.8-A6 · ¿Cómo vuelve el ciclo de vida de la mariposa a su inicio?</w:t>
      </w:r>
      <w:bookmarkEnd w:id="3389"/>
    </w:p>
    <w:p>
      <w:pPr>
        <w:pStyle w:val="Normal"/>
      </w:pPr>
      <w:r>
        <w:t xml:space="preserve">a) Huevo → oruga → crisálida → adulto, que mediante reproducción da lugar a nuevos huevos</w:t>
      </w:r>
    </w:p>
    <w:p>
      <w:pPr>
        <w:pStyle w:val="Normal"/>
      </w:pPr>
      <w:r>
        <w:t xml:space="preserve">b) Adulto → adulto sin reproducción ni etapas</w:t>
      </w:r>
    </w:p>
    <w:p>
      <w:pPr>
        <w:pStyle w:val="Normal"/>
      </w:pPr>
      <w:r>
        <w:t xml:space="preserve">c) Crisálida → agua subterránea → huevo</w:t>
      </w:r>
    </w:p>
    <w:p>
      <w:pPr>
        <w:pStyle w:val="Normal"/>
      </w:pPr>
      <w:r>
        <w:t xml:space="preserve">d) Sólo por una influencia causal negativa entre huevo y adulto</w:t>
      </w:r>
    </w:p>
    <w:p>
      <w:pPr>
        <w:pStyle w:val="Heading3"/>
      </w:pPr>
      <w:bookmarkStart w:name="b_pregunta_auto_3_8_7" w:id="3390"/>
      <w:r>
        <w:t xml:space="preserve">3.8-A7 · ¿Qué recorrido interpreta las flechas del ciclo del agua de C-2, página 121?</w:t>
      </w:r>
      <w:bookmarkEnd w:id="3390"/>
    </w:p>
    <w:p>
      <w:pPr>
        <w:pStyle w:val="Normal"/>
      </w:pPr>
      <w:r>
        <w:t xml:space="preserve">a) Condensación → ventas → demanda → órdenes de producción</w:t>
      </w:r>
    </w:p>
    <w:p>
      <w:pPr>
        <w:pStyle w:val="Normal"/>
      </w:pPr>
      <w:r>
        <w:t xml:space="preserve">b) Evaporación/transpiración → condensación → precipitación → retornos por escorrentía o agua subterránea</w:t>
      </w:r>
    </w:p>
    <w:p>
      <w:pPr>
        <w:pStyle w:val="Normal"/>
      </w:pPr>
      <w:r>
        <w:t xml:space="preserve">c) Un DCC donde cada flecha debe ser positiva porque el agua es útil</w:t>
      </w:r>
    </w:p>
    <w:p>
      <w:pPr>
        <w:pStyle w:val="Normal"/>
      </w:pPr>
      <w:r>
        <w:t xml:space="preserve">d) Una secuencia sin depósitos ni retornos</w:t>
      </w:r>
    </w:p>
    <w:p>
      <w:pPr>
        <w:pStyle w:val="Heading3"/>
      </w:pPr>
      <w:bookmarkStart w:name="b_pregunta_auto_3_8_8" w:id="3391"/>
      <w:r>
        <w:t xml:space="preserve">3.8-A8 · Una gráfica de comportamiento en el tiempo (BOT graph) representa…</w:t>
      </w:r>
      <w:bookmarkEnd w:id="3391"/>
    </w:p>
    <w:p>
      <w:pPr>
        <w:pStyle w:val="Normal"/>
      </w:pPr>
      <w:r>
        <w:t xml:space="preserve">a) Las partes de un sistema conectadas con flechas</w:t>
      </w:r>
    </w:p>
    <w:p>
      <w:pPr>
        <w:pStyle w:val="Normal"/>
      </w:pPr>
      <w:r>
        <w:t xml:space="preserve">b) Una variable en el eje vertical y el tiempo en el horizontal</w:t>
      </w:r>
    </w:p>
    <w:p>
      <w:pPr>
        <w:pStyle w:val="Normal"/>
      </w:pPr>
      <w:r>
        <w:t xml:space="preserve">c) La jerarquía de sub y suprasistemas</w:t>
      </w:r>
    </w:p>
    <w:p>
      <w:pPr>
        <w:pStyle w:val="Normal"/>
      </w:pPr>
      <w:r>
        <w:t xml:space="preserve">d) La lista de eventos ordenados por importancia</w:t>
      </w:r>
    </w:p>
    <w:p>
      <w:pPr>
        <w:pStyle w:val="Heading3"/>
      </w:pPr>
      <w:bookmarkStart w:name="b_pregunta_auto_3_8_9" w:id="3392"/>
      <w:r>
        <w:t xml:space="preserve">3.8-A9 · «Reprobé el corto de hoy» frente a «llevo tres cortos seguidos bajando». La segunda frase corresponde al nivel de…</w:t>
      </w:r>
      <w:bookmarkEnd w:id="3392"/>
    </w:p>
    <w:p>
      <w:pPr>
        <w:pStyle w:val="Normal"/>
      </w:pPr>
      <w:r>
        <w:t xml:space="preserve">a) Eventos</w:t>
      </w:r>
    </w:p>
    <w:p>
      <w:pPr>
        <w:pStyle w:val="Normal"/>
      </w:pPr>
      <w:r>
        <w:t xml:space="preserve">b) Patrones o tendencias</w:t>
      </w:r>
    </w:p>
    <w:p>
      <w:pPr>
        <w:pStyle w:val="Normal"/>
      </w:pPr>
      <w:r>
        <w:t xml:space="preserve">c) Estructuras</w:t>
      </w:r>
    </w:p>
    <w:p>
      <w:pPr>
        <w:pStyle w:val="Normal"/>
      </w:pPr>
      <w:r>
        <w:t xml:space="preserve">d) Modelos mentales</w:t>
      </w:r>
    </w:p>
    <w:p>
      <w:pPr>
        <w:pStyle w:val="Heading3"/>
      </w:pPr>
      <w:bookmarkStart w:name="b_pregunta_auto_3_8_10" w:id="3393"/>
      <w:r>
        <w:t xml:space="preserve">3.8-A10 · El crecimiento exponencial (curva en J: lento y luego se dispara) lo genera…</w:t>
      </w:r>
      <w:bookmarkEnd w:id="3393"/>
    </w:p>
    <w:p>
      <w:pPr>
        <w:pStyle w:val="Normal"/>
      </w:pPr>
      <w:r>
        <w:t xml:space="preserve">a) Un bucle de compensación (B)</w:t>
      </w:r>
    </w:p>
    <w:p>
      <w:pPr>
        <w:pStyle w:val="Normal"/>
      </w:pPr>
      <w:r>
        <w:t xml:space="preserve">b) Un bucle de refuerzo (R) sin límite</w:t>
      </w:r>
    </w:p>
    <w:p>
      <w:pPr>
        <w:pStyle w:val="Normal"/>
      </w:pPr>
      <w:r>
        <w:t xml:space="preserve">c) Una demora en el flujo</w:t>
      </w:r>
    </w:p>
    <w:p>
      <w:pPr>
        <w:pStyle w:val="Normal"/>
      </w:pPr>
      <w:r>
        <w:t xml:space="preserve">d) La ausencia de retroalimentación</w:t>
      </w:r>
    </w:p>
    <w:p>
      <w:pPr>
        <w:pStyle w:val="Heading3"/>
      </w:pPr>
      <w:bookmarkStart w:name="b_pregunta_auto_3_8_11" w:id="3394"/>
      <w:r>
        <w:t xml:space="preserve">3.8-A11 · Una curva que sube y baja repetidamente alrededor de una meta (oscilación) suele venir de…</w:t>
      </w:r>
      <w:bookmarkEnd w:id="3394"/>
    </w:p>
    <w:p>
      <w:pPr>
        <w:pStyle w:val="Normal"/>
      </w:pPr>
      <w:r>
        <w:t xml:space="preserve">a) Un bucle de refuerzo puro</w:t>
      </w:r>
    </w:p>
    <w:p>
      <w:pPr>
        <w:pStyle w:val="Normal"/>
      </w:pPr>
      <w:r>
        <w:t xml:space="preserve">b) Un bucle de compensación con demora</w:t>
      </w:r>
    </w:p>
    <w:p>
      <w:pPr>
        <w:pStyle w:val="Normal"/>
      </w:pPr>
      <w:r>
        <w:t xml:space="preserve">c) Dos bucles de refuerzo enfrentados</w:t>
      </w:r>
    </w:p>
    <w:p>
      <w:pPr>
        <w:pStyle w:val="Normal"/>
      </w:pPr>
      <w:r>
        <w:t xml:space="preserve">d) Una estructura sin metas ni objetivos</w:t>
      </w:r>
    </w:p>
    <w:p>
      <w:pPr>
        <w:pStyle w:val="Heading3"/>
      </w:pPr>
      <w:bookmarkStart w:name="b_pregunta_auto_3_8_12" w:id="3395"/>
      <w:r>
        <w:t xml:space="preserve">3.8-A12 · En una curva sigmoide (S), ¿por qué el crecimiento acaba aplanándose en un techo?</w:t>
      </w:r>
      <w:bookmarkEnd w:id="3395"/>
    </w:p>
    <w:p>
      <w:pPr>
        <w:pStyle w:val="Normal"/>
      </w:pPr>
      <w:r>
        <w:t xml:space="preserve">a) Porque el tiempo se detiene</w:t>
      </w:r>
    </w:p>
    <w:p>
      <w:pPr>
        <w:pStyle w:val="Normal"/>
      </w:pPr>
      <w:r>
        <w:t xml:space="preserve">b) Porque un bucle de refuerzo se invierte al azar</w:t>
      </w:r>
    </w:p>
    <w:p>
      <w:pPr>
        <w:pStyle w:val="Normal"/>
      </w:pPr>
      <w:r>
        <w:t xml:space="preserve">c) Porque, al acercarse a un límite, un bucle de balance frena al de refuerzo</w:t>
      </w:r>
    </w:p>
    <w:p>
      <w:pPr>
        <w:pStyle w:val="Normal"/>
      </w:pPr>
      <w:r>
        <w:t xml:space="preserve">d) Porque los eventos dejan de ocurrir</w:t>
      </w:r>
    </w:p>
    <w:p>
      <w:pPr>
        <w:pStyle w:val="Heading3"/>
      </w:pPr>
      <w:bookmarkStart w:name="b_pregunta_auto_3_8_13" w:id="3396"/>
      <w:r>
        <w:t xml:space="preserve">3.8-A13 · Un estudiante insiste en corregir cada mala nota apenas ocurre, sin mirar la tendencia. Desde el pensamiento sistémico, ese enfoque…</w:t>
      </w:r>
      <w:bookmarkEnd w:id="3396"/>
    </w:p>
    <w:p>
      <w:pPr>
        <w:pStyle w:val="Normal"/>
      </w:pPr>
      <w:r>
        <w:t xml:space="preserve">a) Es el de mayor apalancamiento posible</w:t>
      </w:r>
    </w:p>
    <w:p>
      <w:pPr>
        <w:pStyle w:val="Normal"/>
      </w:pPr>
      <w:r>
        <w:t xml:space="preserve">b) Es de bajo apalancamiento: reacciona a eventos sin cambiar lo que los produce</w:t>
      </w:r>
    </w:p>
    <w:p>
      <w:pPr>
        <w:pStyle w:val="Normal"/>
      </w:pPr>
      <w:r>
        <w:t xml:space="preserve">c) Garantiza que el patrón desaparezca</w:t>
      </w:r>
    </w:p>
    <w:p>
      <w:pPr>
        <w:pStyle w:val="Normal"/>
      </w:pPr>
      <w:r>
        <w:t xml:space="preserve">d) Es imposible de sostener en el tiempo</w:t>
      </w:r>
    </w:p>
    <w:p>
      <w:pPr>
        <w:pStyle w:val="Heading3"/>
      </w:pPr>
      <w:bookmarkStart w:name="b_pregunta_auto_3_8_14" w:id="3397"/>
      <w:r>
        <w:t xml:space="preserve">3.8-A14 · Una variable cae con rapidez al inicio y luego cada vez más despacio, acercándose a un piso sin llegar a tocarlo. El patrón es…</w:t>
      </w:r>
      <w:bookmarkEnd w:id="3397"/>
    </w:p>
    <w:p>
      <w:pPr>
        <w:pStyle w:val="Normal"/>
      </w:pPr>
      <w:r>
        <w:t xml:space="preserve">a) Crecimiento exponencial</w:t>
      </w:r>
    </w:p>
    <w:p>
      <w:pPr>
        <w:pStyle w:val="Normal"/>
      </w:pPr>
      <w:r>
        <w:t xml:space="preserve">b) Oscilación</w:t>
      </w:r>
    </w:p>
    <w:p>
      <w:pPr>
        <w:pStyle w:val="Normal"/>
      </w:pPr>
      <w:r>
        <w:t xml:space="preserve">c) Declive o decaimiento</w:t>
      </w:r>
    </w:p>
    <w:p>
      <w:pPr>
        <w:pStyle w:val="Normal"/>
      </w:pPr>
      <w:r>
        <w:t xml:space="preserve">d) Sigmoide</w:t>
      </w:r>
    </w:p>
    <w:p>
      <w:pPr>
        <w:pStyle w:val="Heading3"/>
      </w:pPr>
      <w:r>
        <w:t xml:space="preserve">Ejercicios de aplicación</w:t>
      </w:r>
    </w:p>
    <w:p>
      <w:pPr>
        <w:pStyle w:val="Heading3"/>
      </w:pPr>
      <w:bookmarkStart w:name="b_pregunta_ej_P11" w:id="3398"/>
      <w:r>
        <w:t xml:space="preserve">3.8-E1 · Leer nivel y pendiente</w:t>
      </w:r>
      <w:bookmarkEnd w:id="3398"/>
    </w:p>
    <w:p>
      <w:pPr>
        <w:pStyle w:val="Normal"/>
      </w:pPr>
      <w:r>
        <w:t xml:space="preserve">Un nivel sin salidas vale 0, 10, 17, 22 y 25 en días consecutivos. Describe su gráfica y calcula los cuatro flujos medios.</w:t>
      </w:r>
    </w:p>
    <w:p>
      <w:pPr>
        <w:pStyle w:val="Heading3"/>
      </w:pPr>
      <w:bookmarkStart w:name="b_solucionario_3_8" w:id="3399"/>
      <w:r>
        <w:t xml:space="preserve">Solucionario del capítulo</w:t>
      </w:r>
      <w:bookmarkEnd w:id="3399"/>
    </w:p>
    <w:p>
      <w:pPr>
        <w:pStyle w:val="Heading3"/>
      </w:pPr>
      <w:r>
        <w:t xml:space="preserve">3.8-A1</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d) Ninguna curva única: hacen falta supuestos adicionales del modelo</w:t>
            </w:r>
          </w:p>
        </w:tc>
      </w:tr>
    </w:tbl>
    <w:p>
      <w:pPr>
        <w:pStyle w:val="Normal"/>
      </w:pPr>
      <w:r>
        <w:t xml:space="preserve">Ninguna curva única: hacen falta supuestos adicionales del modelo</w:t>
      </w:r>
    </w:p>
    <w:p>
      <w:pPr>
        <w:pStyle w:val="Fuente"/>
      </w:pPr>
      <w:r>
        <w:t xml:space="preserve">Presentación de la unidad 3 (C-2), pág. 107, 120 y 121 · Clase 16 · 01:36:18–01:40:29</w:t>
      </w:r>
    </w:p>
    <w:p>
      <w:pPr>
        <w:pStyle w:val="Heading3"/>
      </w:pPr>
      <w:r>
        <w:t xml:space="preserve">3.8-A2</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a) Concepción–evaluación de inversión; crecimiento–expansión; maduración–diversificación; declinación–reestructuración; retiro–desinversión</w:t>
            </w:r>
          </w:p>
        </w:tc>
      </w:tr>
    </w:tbl>
    <w:p>
      <w:pPr>
        <w:pStyle w:val="Normal"/>
      </w:pPr>
      <w:r>
        <w:t xml:space="preserve">Concepción–evaluación de inversión; crecimiento–expansión; maduración–diversificación; declinación–reestructuración; retiro–desinversión</w:t>
      </w:r>
    </w:p>
    <w:p>
      <w:pPr>
        <w:pStyle w:val="Fuente"/>
      </w:pPr>
      <w:r>
        <w:t xml:space="preserve">Presentación de la unidad 3 (C-2), pág. 107, 120 y 121 · Clase 16 · 01:36:18–01:40:29</w:t>
      </w:r>
    </w:p>
    <w:p>
      <w:pPr>
        <w:pStyle w:val="Heading3"/>
      </w:pPr>
      <w:r>
        <w:t xml:space="preserve">3.8-A3</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b) Las fases organizan inicio, preparación, ejecución y cierre; la curva muestra intensidad de recursos y se acompaña de salidas documentales</w:t>
            </w:r>
          </w:p>
        </w:tc>
      </w:tr>
    </w:tbl>
    <w:p>
      <w:pPr>
        <w:pStyle w:val="Normal"/>
      </w:pPr>
      <w:r>
        <w:t xml:space="preserve">Las fases organizan inicio, preparación, ejecución y cierre; la curva muestra intensidad de recursos y se acompaña de salidas documentales</w:t>
      </w:r>
    </w:p>
    <w:p>
      <w:pPr>
        <w:pStyle w:val="Fuente"/>
      </w:pPr>
      <w:r>
        <w:t xml:space="preserve">Presentación de la unidad 3 (C-2), pág. 107, 120 y 121 · Clase 16 · 01:36:18–01:40:29</w:t>
      </w:r>
    </w:p>
    <w:p>
      <w:pPr>
        <w:pStyle w:val="Heading3"/>
      </w:pPr>
      <w:r>
        <w:t xml:space="preserve">3.8-A4</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c) Análisis, diseño, codificación, pruebas, instalación, conversión y operación</w:t>
            </w:r>
          </w:p>
        </w:tc>
      </w:tr>
    </w:tbl>
    <w:p>
      <w:pPr>
        <w:pStyle w:val="Normal"/>
      </w:pPr>
      <w:r>
        <w:t xml:space="preserve">Análisis, diseño, codificación, pruebas, instalación, conversión y operación</w:t>
      </w:r>
    </w:p>
    <w:p>
      <w:pPr>
        <w:pStyle w:val="Fuente"/>
      </w:pPr>
      <w:r>
        <w:t xml:space="preserve">Presentación de la unidad 3 (C-2), pág. 107, 120 y 121 · Clase 16 · 01:36:18–01:40:29</w:t>
      </w:r>
    </w:p>
    <w:p>
      <w:pPr>
        <w:pStyle w:val="Heading3"/>
      </w:pPr>
      <w:r>
        <w:t xml:space="preserve">3.8-A5</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d) Riesgo, incertidumbre e influencia de interesados disminuyen mientras el costo de cambiar aumenta</w:t>
            </w:r>
          </w:p>
        </w:tc>
      </w:tr>
    </w:tbl>
    <w:p>
      <w:pPr>
        <w:pStyle w:val="Normal"/>
      </w:pPr>
      <w:r>
        <w:t xml:space="preserve">Riesgo, incertidumbre e influencia de interesados disminuyen mientras el costo de cambiar aumenta</w:t>
      </w:r>
    </w:p>
    <w:p>
      <w:pPr>
        <w:pStyle w:val="Fuente"/>
      </w:pPr>
      <w:r>
        <w:t xml:space="preserve">Presentación de la unidad 3 (C-2), pág. 107, 120 y 121 · Clase 16 · 01:36:18–01:40:29</w:t>
      </w:r>
    </w:p>
    <w:p>
      <w:pPr>
        <w:pStyle w:val="Heading3"/>
      </w:pPr>
      <w:r>
        <w:t xml:space="preserve">3.8-A6</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a) Huevo → oruga → crisálida → adulto, que mediante reproducción da lugar a nuevos huevos</w:t>
            </w:r>
          </w:p>
        </w:tc>
      </w:tr>
    </w:tbl>
    <w:p>
      <w:pPr>
        <w:pStyle w:val="Normal"/>
      </w:pPr>
      <w:r>
        <w:t xml:space="preserve">Huevo → oruga → crisálida → adulto, que mediante reproducción da lugar a nuevos huevos</w:t>
      </w:r>
    </w:p>
    <w:p>
      <w:pPr>
        <w:pStyle w:val="Fuente"/>
      </w:pPr>
      <w:r>
        <w:t xml:space="preserve">Presentación de la unidad 3 (C-2), pág. 107, 120 y 121 · Clase 16 · 01:36:18–01:40:29</w:t>
      </w:r>
    </w:p>
    <w:p>
      <w:pPr>
        <w:pStyle w:val="Heading3"/>
      </w:pPr>
      <w:r>
        <w:t xml:space="preserve">3.8-A7</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b) Evaporación/transpiración → condensación → precipitación → retornos por escorrentía o agua subterránea</w:t>
            </w:r>
          </w:p>
        </w:tc>
      </w:tr>
    </w:tbl>
    <w:p>
      <w:pPr>
        <w:pStyle w:val="Normal"/>
      </w:pPr>
      <w:r>
        <w:t xml:space="preserve">Evaporación/transpiración → condensación → precipitación → retornos por escorrentía o agua subterránea</w:t>
      </w:r>
    </w:p>
    <w:p>
      <w:pPr>
        <w:pStyle w:val="Fuente"/>
      </w:pPr>
      <w:r>
        <w:t xml:space="preserve">Presentación de la unidad 3 (C-2), pág. 107, 120 y 121 · Clase 16 · 01:36:18–01:40:29</w:t>
      </w:r>
    </w:p>
    <w:p>
      <w:pPr>
        <w:pStyle w:val="Heading3"/>
      </w:pPr>
      <w:r>
        <w:t xml:space="preserve">3.8-A8</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b) Una variable en el eje vertical y el tiempo en el horizontal</w:t>
            </w:r>
          </w:p>
        </w:tc>
      </w:tr>
    </w:tbl>
    <w:p>
      <w:pPr>
        <w:pStyle w:val="Normal"/>
      </w:pPr>
      <w:r>
        <w:t xml:space="preserve">La gráfica de comportamiento en el tiempo pone una variable en el eje vertical y el tiempo en el horizontal. Su valor está en mostrar la forma del cambio, no un dato aislado.</w:t>
      </w:r>
    </w:p>
    <w:p>
      <w:pPr>
        <w:pStyle w:val="Normal"/>
      </w:pPr>
      <w:r>
        <w:t xml:space="preserve">a) Eso describe un mapa o diagrama causal, no una gráfica en el tiempo.</w:t>
      </w:r>
    </w:p>
    <w:p>
      <w:pPr>
        <w:pStyle w:val="Normal"/>
      </w:pPr>
      <w:r>
        <w:t xml:space="preserve">b) Correcto: una sola variable trazada contra el tiempo revela su tendencia.</w:t>
      </w:r>
    </w:p>
    <w:p>
      <w:pPr>
        <w:pStyle w:val="Normal"/>
      </w:pPr>
      <w:r>
        <w:t xml:space="preserve">c) Eso es el modelo de niveles (sub/suprasistemas), otro tema.</w:t>
      </w:r>
    </w:p>
    <w:p>
      <w:pPr>
        <w:pStyle w:val="Normal"/>
      </w:pPr>
      <w:r>
        <w:t xml:space="preserve">d) Una BOT graph muestra la evolución de una variable, no un ranking.</w:t>
      </w:r>
    </w:p>
    <w:p>
      <w:pPr>
        <w:pStyle w:val="Heading3"/>
      </w:pPr>
      <w:r>
        <w:t xml:space="preserve">3.8-A9</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b) Patrones o tendencias</w:t>
            </w:r>
          </w:p>
        </w:tc>
      </w:tr>
    </w:tbl>
    <w:p>
      <w:pPr>
        <w:pStyle w:val="Normal"/>
      </w:pPr>
      <w:r>
        <w:t xml:space="preserve">En el modelo del iceberg, el patrón es el segundo nivel: la tendencia que se ve al juntar muchos eventos en el tiempo. Ver el patrón permite anticipar, no solo reaccionar.</w:t>
      </w:r>
    </w:p>
    <w:p>
      <w:pPr>
        <w:pStyle w:val="Normal"/>
      </w:pPr>
      <w:r>
        <w:t xml:space="preserve">a) Un evento es el hecho puntual («el corto de hoy»); es la primera frase.</w:t>
      </w:r>
    </w:p>
    <w:p>
      <w:pPr>
        <w:pStyle w:val="Normal"/>
      </w:pPr>
      <w:r>
        <w:t xml:space="preserve">b) Correcto: varios eventos en el tiempo dibujan una tendencia (el patrón).</w:t>
      </w:r>
    </w:p>
    <w:p>
      <w:pPr>
        <w:pStyle w:val="Normal"/>
      </w:pPr>
      <w:r>
        <w:t xml:space="preserve">c) La estructura sería lo que causa el patrón (horario, hábitos de estudio).</w:t>
      </w:r>
    </w:p>
    <w:p>
      <w:pPr>
        <w:pStyle w:val="Normal"/>
      </w:pPr>
      <w:r>
        <w:t xml:space="preserve">d) El modelo mental sería la creencia que sostiene la estructura.</w:t>
      </w:r>
    </w:p>
    <w:p>
      <w:pPr>
        <w:pStyle w:val="Fuente"/>
      </w:pPr>
      <w:r>
        <w:t xml:space="preserve">Modelo del iceberg (1.7)</w:t>
      </w:r>
    </w:p>
    <w:p>
      <w:pPr>
        <w:pStyle w:val="Heading3"/>
      </w:pPr>
      <w:r>
        <w:t xml:space="preserve">3.8-A10</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b) Un bucle de refuerzo (R) sin límite</w:t>
            </w:r>
          </w:p>
        </w:tc>
      </w:tr>
    </w:tbl>
    <w:p>
      <w:pPr>
        <w:pStyle w:val="Normal"/>
      </w:pPr>
      <w:r>
        <w:t xml:space="preserve">Un bucle de refuerzo (R) hace que más produzca más: el crecimiento se acelera y dibuja la J. Nada crece exponencialmente para siempre; tarde o temprano un límite lo alcanza.</w:t>
      </w:r>
    </w:p>
    <w:p>
      <w:pPr>
        <w:pStyle w:val="Normal"/>
      </w:pPr>
      <w:r>
        <w:t xml:space="preserve">a) La compensación busca una meta; produce búsqueda de meta u oscilación, no una J.</w:t>
      </w:r>
    </w:p>
    <w:p>
      <w:pPr>
        <w:pStyle w:val="Normal"/>
      </w:pPr>
      <w:r>
        <w:t xml:space="preserve">b) Correcto: el refuerzo multiplica el acervo sobre sí mismo, acelerando el cambio.</w:t>
      </w:r>
    </w:p>
    <w:p>
      <w:pPr>
        <w:pStyle w:val="Normal"/>
      </w:pPr>
      <w:r>
        <w:t xml:space="preserve">c) La demora modula la conducta, pero por sí sola no crea la J.</w:t>
      </w:r>
    </w:p>
    <w:p>
      <w:pPr>
        <w:pStyle w:val="Normal"/>
      </w:pPr>
      <w:r>
        <w:t xml:space="preserve">d) Sin retroalimentación no hay motor que acelere el crecimiento.</w:t>
      </w:r>
    </w:p>
    <w:p>
      <w:pPr>
        <w:pStyle w:val="Fuente"/>
      </w:pPr>
      <w:r>
        <w:t xml:space="preserve">Meadows, «Thinking in Systems»</w:t>
      </w:r>
    </w:p>
    <w:p>
      <w:pPr>
        <w:pStyle w:val="Heading3"/>
      </w:pPr>
      <w:r>
        <w:t xml:space="preserve">3.8-A11</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b) Un bucle de compensación con demora</w:t>
            </w:r>
          </w:p>
        </w:tc>
      </w:tr>
    </w:tbl>
    <w:p>
      <w:pPr>
        <w:pStyle w:val="Normal"/>
      </w:pPr>
      <w:r>
        <w:t xml:space="preserve">La oscilación aparece cuando un bucle de balance corrige con información retrasada: se pasa de la meta, rectifica, se vuelve a pasar. Es lo que produce la demora (lección 3.7): la ducha de tubería larga o los inventarios de la cadena de suministro.</w:t>
      </w:r>
    </w:p>
    <w:p>
      <w:pPr>
        <w:pStyle w:val="Fuente"/>
      </w:pPr>
      <w:r>
        <w:t xml:space="preserve">Demoras de tiempo (3.7)</w:t>
      </w:r>
    </w:p>
    <w:p>
      <w:pPr>
        <w:pStyle w:val="Heading3"/>
      </w:pPr>
      <w:r>
        <w:t xml:space="preserve">3.8-A12</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c) Porque, al acercarse a un límite, un bucle de balance frena al de refuerzo</w:t>
            </w:r>
          </w:p>
        </w:tc>
      </w:tr>
    </w:tbl>
    <w:p>
      <w:pPr>
        <w:pStyle w:val="Normal"/>
      </w:pPr>
      <w:r>
        <w:t xml:space="preserve">La S combina dos estructuras: al principio manda el refuerzo (crecimiento acelerado) y, al acercarse a la capacidad de carga, un bucle de balance toma el control y aplana la curva. Es el patrón de la adopción de un producto o de una epidemia que satura.</w:t>
      </w:r>
    </w:p>
    <w:p>
      <w:pPr>
        <w:pStyle w:val="Heading3"/>
      </w:pPr>
      <w:r>
        <w:t xml:space="preserve">3.8-A13</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b) Es de bajo apalancamiento: reacciona a eventos sin cambiar lo que los produce</w:t>
            </w:r>
          </w:p>
        </w:tc>
      </w:tr>
    </w:tbl>
    <w:p>
      <w:pPr>
        <w:pStyle w:val="Normal"/>
      </w:pPr>
      <w:r>
        <w:t xml:space="preserve">Reaccionar evento por evento se siente productivo pero es de baja palanca: mientras la estructura que genera el patrón siga intacta, la tendencia vuelve. Leer el patrón permite anticipar y buscar dónde intervenir.</w:t>
      </w:r>
    </w:p>
    <w:p>
      <w:pPr>
        <w:pStyle w:val="Fuente"/>
      </w:pPr>
      <w:r>
        <w:t xml:space="preserve">Hábito: observa patrones en el tiempo</w:t>
      </w:r>
    </w:p>
    <w:p>
      <w:pPr>
        <w:pStyle w:val="Heading3"/>
      </w:pPr>
      <w:r>
        <w:t xml:space="preserve">3.8-A14</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c) Declive o decaimiento</w:t>
            </w:r>
          </w:p>
        </w:tc>
      </w:tr>
    </w:tbl>
    <w:p>
      <w:pPr>
        <w:pStyle w:val="Normal"/>
      </w:pPr>
      <w:r>
        <w:t xml:space="preserve">El declive o decaimiento desciende desacelerando hacia un piso: es el crecimiento exponencial visto al revés. Aparece cuando algo se disipa hacia un valor mínimo, como una taza de café que se enfría o la curva del olvido.</w:t>
      </w:r>
    </w:p>
    <w:p>
      <w:pPr>
        <w:pStyle w:val="Normal"/>
      </w:pPr>
      <w:r>
        <w:t xml:space="preserve">a) El crecimiento exponencial sube acelerando, no baja.</w:t>
      </w:r>
    </w:p>
    <w:p>
      <w:pPr>
        <w:pStyle w:val="Normal"/>
      </w:pPr>
      <w:r>
        <w:t xml:space="preserve">b) La oscilación vaivenea alrededor de una meta; aquí no hay vaivén.</w:t>
      </w:r>
    </w:p>
    <w:p>
      <w:pPr>
        <w:pStyle w:val="Normal"/>
      </w:pPr>
      <w:r>
        <w:t xml:space="preserve">c) Correcto: es el decaimiento, el exponencial en reversa (café que se enfría, saldo que se agota).</w:t>
      </w:r>
    </w:p>
    <w:p>
      <w:pPr>
        <w:pStyle w:val="Normal"/>
      </w:pPr>
      <w:r>
        <w:t xml:space="preserve">d) La sigmoide crece y se aplana arriba; no describe una caída.</w:t>
      </w:r>
    </w:p>
    <w:p>
      <w:pPr>
        <w:pStyle w:val="Heading3"/>
      </w:pPr>
      <w:bookmarkStart w:name="b_solucion_ej_P11" w:id="3400"/>
      <w:r>
        <w:t xml:space="preserve">Solución 3.8-E1</w:t>
      </w:r>
      <w:bookmarkEnd w:id="3400"/>
    </w:p>
    <w:p>
      <w:pPr>
        <w:pStyle w:val="RecuadroTitulo"/>
      </w:pPr>
      <w:r>
        <w:t xml:space="preserve">Respuesta modelo</w:t>
      </w:r>
    </w:p>
    <w:p>
      <w:pPr>
        <w:pStyle w:val="Normal"/>
      </w:pPr>
      <w:r>
        <w:t xml:space="preserve">El nivel crece con pendiente decreciente. Flujos medios 10, 7, 5 y 3 unidades/día; no son los valores acumulados. Una entrada positiva decreciente todavía aumenta el nivel.</w:t>
      </w:r>
    </w:p>
    <w:p>
      <w:pPr>
        <w:pStyle w:val="Fuente"/>
        <w:sectPr>
          <w:headerReference w:type="default" r:id="rId204"/>
          <w:headerReference w:type="first" r:id="rId205"/>
          <w:headerReference w:type="even" r:id="rId206"/>
          <w:footerReference w:type="default" r:id="rId207"/>
          <w:footerReference w:type="first" r:id="rId208"/>
          <w:footerReference w:type="even" r:id="rId209"/>
          <w:type w:val="nextPage"/>
          <w:pgSz w:w="12240" w:h="15840" w:orient="portrait"/>
          <w:pgMar w:top="1361" w:right="1134" w:bottom="1361" w:left="1474" w:header="650" w:footer="680" w:gutter="0"/>
          <w:pgNumType/>
          <w:titlePg/>
          <w:docGrid w:linePitch="360"/>
        </w:sectPr>
      </w:pPr>
      <w:r>
        <w:t xml:space="preserve">Repaso seleccionado · guía recibida, pp. 3–5; lecciones de unidades 1–3.</w:t>
      </w:r>
    </w:p>
    <w:p>
      <w:pPr>
        <w:pStyle w:val="Heading2"/>
      </w:pPr>
      <w:bookmarkStart w:name="b_3_9" w:id="3401"/>
      <w:r>
        <w:t xml:space="preserve">3.9 · Hábitos (complejo)</w:t>
      </w:r>
      <w:bookmarkEnd w:id="3401"/>
    </w:p>
    <w:p>
      <w:pPr>
        <w:pStyle w:val="Subtitulo"/>
      </w:pPr>
      <w:r>
        <w:t xml:space="preserve">Hábitos relacionados con el pensamiento sistémico complejo</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En una línea</w:t>
            </w:r>
          </w:p>
          <w:p>
            <w:pPr>
              <w:pStyle w:val="Recuadro"/>
            </w:pPr>
            <w:r>
              <w:t xml:space="preserve">Cinco hábitos que profundizan en la estructura: patrones, conexiones, causalidad circular, estructura y demoras.</w:t>
            </w:r>
          </w:p>
        </w:tc>
      </w:tr>
    </w:tbl>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Qué te preguntan</w:t>
            </w:r>
          </w:p>
          <w:p>
            <w:pPr>
              <w:pStyle w:val="Recuadro"/>
            </w:pPr>
            <w:r>
              <w:t xml:space="preserve">Reconocer a qué hábito pertenece cada pregunta guía de las tarjetas que el curso proyectó, y aplicarlo a un caso: qué se hace distinto cuando se busca la estructura en vez de un culpable, o cuando se consideran las demoras antes de descartar una idea.</w:t>
            </w:r>
          </w:p>
        </w:tc>
      </w:tr>
    </w:tbl>
    <w:p>
      <w:pPr>
        <w:pStyle w:val="Normal"/>
      </w:pPr>
      <w:r>
        <w:t xml:space="preserve">A los cuatro hábitos ya vistos se suman cinco del pensador sistémico complejo (Waters Foundation): conexiones significativas dentro del sistema y con su medio; naturaleza circular de las relaciones de causa y efecto; la estructura genera el comportamiento; y, el quinto, observar cambios en el tiempo (patrones y tendencias); en el mismo repaso se trataron las demoras. La regla operativa: no buscar culpables ni causas lineales, sino modelar la estructura filtrando lo significativo; para cambiar el comportamiento se cambia la estructura.</w:t>
      </w:r>
    </w:p>
    <w:p>
      <w:pPr>
        <w:pStyle w:val="Heading3"/>
      </w:pPr>
      <w:r>
        <w:t xml:space="preserve">Vocabulario clave</w:t>
      </w:r>
    </w:p>
    <w:p>
      <w:pPr>
        <w:pStyle w:val="Normal"/>
      </w:pPr>
      <w:r>
        <w:t xml:space="preserve">hábitos (competencias, prácticas, habilidades o destrezas) · conexiones significativas (hacia dentro del sistema y hacia sistemas del medio) · filtro de lo significativo · transferencia (comprensión por analogía entre sistemas de igual estructura) · mentalidad de crecimiento · naturaleza circular de las relaciones complejas · la estructura genera el comportamiento (los sistemas están perfectamente diseñados para producir los resultados que se obtienen) · observar cambios en el tiempo (patrones y tendencias) · estructura de culpabilidad frente a estructura de causalidad circular · prospección de escenarios futuros</w:t>
      </w:r>
    </w:p>
    <w:p>
      <w:pPr>
        <w:pStyle w:val="Fuente"/>
      </w:pPr>
      <w:r>
        <w:t xml:space="preserve">Recorrido: desarrollo conceptual → presentaciones → explicación en clase → errores y fuentes → práctica → solucionario.</w:t>
      </w:r>
    </w:p>
    <w:p>
      <w:pPr>
        <w:pStyle w:val="Heading3"/>
      </w:pPr>
      <w:bookmarkStart w:name="b_lectura_p9" w:id="3402"/>
      <w:r>
        <w:t xml:space="preserve">P9. Hábitos anteriores que reaparecen en la Unidad 4</w:t>
      </w:r>
      <w:bookmarkEnd w:id="3402"/>
    </w:p>
    <w:p>
      <w:pPr>
        <w:pStyle w:val="Normal"/>
      </w:pPr>
      <w:r>
        <w:t xml:space="preserve">El material emplea la numeración del </w:t>
      </w:r>
      <w:r>
        <w:rPr>
          <w:b/>
          <w:bCs/>
        </w:rPr>
        <w:t xml:space="preserve">póster</w:t>
      </w:r>
      <w:r>
        <w:t xml:space="preserve">, que no coincide con el orden de las rutas del portal:</w:t>
      </w:r>
    </w:p>
    <w:tbl>
      <w:tblPr>
        <w:tblW w:type="dxa" w:w="9632"/>
        <w:tblBorders>
          <w:top w:val="single" w:color="C5D5DB" w:sz="4"/>
          <w:left w:val="single" w:color="C5D5DB" w:sz="4"/>
          <w:bottom w:val="single" w:color="C5D5DB" w:sz="4"/>
          <w:right w:val="single" w:color="C5D5DB" w:sz="4"/>
          <w:insideH w:val="single" w:color="E4E9EB" w:sz="3"/>
          <w:insideV w:val="single" w:color="E4E9EB" w:sz="3"/>
        </w:tblBorders>
        <w:tblLayout w:type="fixed"/>
      </w:tblPr>
      <w:tblGrid>
        <w:gridCol w:w="4816"/>
        <w:gridCol w:w="4816"/>
      </w:tblGrid>
      <w:tr>
        <w:trPr>
          <w:cantSplit/>
          <w:tblHeader/>
        </w:trPr>
        <w:tc>
          <w:tcPr>
            <w:tcW w:type="dxa" w:w="4816"/>
            <w:shd w:fill="DFEAF0" w:val="clear"/>
            <w:tcMar>
              <w:top w:type="dxa" w:w="80"/>
              <w:left w:type="dxa" w:w="100"/>
              <w:bottom w:type="dxa" w:w="80"/>
              <w:right w:type="dxa" w:w="100"/>
            </w:tcMar>
          </w:tcPr>
          <w:p>
            <w:pPr>
              <w:pStyle w:val="Tabla"/>
            </w:pPr>
            <w:r>
              <w:rPr>
                <w:b/>
                <w:bCs/>
              </w:rPr>
              <w:t xml:space="preserve">Grupo del curso</w:t>
            </w:r>
          </w:p>
        </w:tc>
        <w:tc>
          <w:tcPr>
            <w:tcW w:type="dxa" w:w="4816"/>
            <w:shd w:fill="DFEAF0" w:val="clear"/>
            <w:tcMar>
              <w:top w:type="dxa" w:w="80"/>
              <w:left w:type="dxa" w:w="100"/>
              <w:bottom w:type="dxa" w:w="80"/>
              <w:right w:type="dxa" w:w="100"/>
            </w:tcMar>
          </w:tcPr>
          <w:p>
            <w:pPr>
              <w:pStyle w:val="Tabla"/>
            </w:pPr>
            <w:r>
              <w:rPr>
                <w:b/>
                <w:bCs/>
              </w:rPr>
              <w:t xml:space="preserve">Hábitos necesarios para conectar el repaso</w:t>
            </w:r>
          </w:p>
        </w:tc>
      </w:tr>
      <w:tr>
        <w:trPr>
          <w:cantSplit/>
          <w:tblHeader w:val="off"/>
        </w:trPr>
        <w:tc>
          <w:tcPr>
            <w:tcW w:type="dxa" w:w="4816"/>
            <w:tcMar>
              <w:top w:type="dxa" w:w="80"/>
              <w:left w:type="dxa" w:w="100"/>
              <w:bottom w:type="dxa" w:w="80"/>
              <w:right w:type="dxa" w:w="100"/>
            </w:tcMar>
          </w:tcPr>
          <w:p>
            <w:pPr>
              <w:pStyle w:val="Tabla"/>
            </w:pPr>
            <w:r>
              <w:t xml:space="preserve">Básicos</w:t>
            </w:r>
          </w:p>
        </w:tc>
        <w:tc>
          <w:tcPr>
            <w:tcW w:type="dxa" w:w="4816"/>
            <w:tcMar>
              <w:top w:type="dxa" w:w="80"/>
              <w:left w:type="dxa" w:w="100"/>
              <w:bottom w:type="dxa" w:w="80"/>
              <w:right w:type="dxa" w:w="100"/>
            </w:tcMar>
          </w:tcPr>
          <w:p>
            <w:pPr>
              <w:pStyle w:val="Tabla"/>
            </w:pPr>
            <w:r>
              <w:t xml:space="preserve">1: película completa; 6: perspectivas; 7: probar suposiciones; 9: modelos mentales.</w:t>
            </w:r>
          </w:p>
        </w:tc>
      </w:tr>
      <w:tr>
        <w:trPr>
          <w:cantSplit/>
          <w:tblHeader w:val="off"/>
        </w:trPr>
        <w:tc>
          <w:tcPr>
            <w:tcW w:type="dxa" w:w="4816"/>
            <w:tcMar>
              <w:top w:type="dxa" w:w="80"/>
              <w:left w:type="dxa" w:w="100"/>
              <w:bottom w:type="dxa" w:w="80"/>
              <w:right w:type="dxa" w:w="100"/>
            </w:tcMar>
          </w:tcPr>
          <w:p>
            <w:pPr>
              <w:pStyle w:val="Tabla"/>
            </w:pPr>
            <w:r>
              <w:t xml:space="preserve">Profundización en estructuras</w:t>
            </w:r>
          </w:p>
        </w:tc>
        <w:tc>
          <w:tcPr>
            <w:tcW w:type="dxa" w:w="4816"/>
            <w:tcMar>
              <w:top w:type="dxa" w:w="80"/>
              <w:left w:type="dxa" w:w="100"/>
              <w:bottom w:type="dxa" w:w="80"/>
              <w:right w:type="dxa" w:w="100"/>
            </w:tcMar>
          </w:tcPr>
          <w:p>
            <w:pPr>
              <w:pStyle w:val="Tabla"/>
            </w:pPr>
            <w:r>
              <w:t xml:space="preserve">2: patrones; 3: estructura genera comportamiento; 4: circularidad; 5: conexiones; 13: demoras.</w:t>
            </w:r>
          </w:p>
        </w:tc>
      </w:tr>
      <w:tr>
        <w:trPr>
          <w:cantSplit/>
          <w:tblHeader w:val="off"/>
        </w:trPr>
        <w:tc>
          <w:tcPr>
            <w:tcW w:type="dxa" w:w="4816"/>
            <w:tcMar>
              <w:top w:type="dxa" w:w="80"/>
              <w:left w:type="dxa" w:w="100"/>
              <w:bottom w:type="dxa" w:w="80"/>
              <w:right w:type="dxa" w:w="100"/>
            </w:tcMar>
          </w:tcPr>
          <w:p>
            <w:pPr>
              <w:pStyle w:val="Tabla"/>
            </w:pPr>
            <w:r>
              <w:t xml:space="preserve">Desarrollados en Unidad 4</w:t>
            </w:r>
          </w:p>
        </w:tc>
        <w:tc>
          <w:tcPr>
            <w:tcW w:type="dxa" w:w="4816"/>
            <w:tcMar>
              <w:top w:type="dxa" w:w="80"/>
              <w:left w:type="dxa" w:w="100"/>
              <w:bottom w:type="dxa" w:w="80"/>
              <w:right w:type="dxa" w:w="100"/>
            </w:tcMar>
          </w:tcPr>
          <w:p>
            <w:pPr>
              <w:pStyle w:val="Tabla"/>
            </w:pPr>
            <w:r>
              <w:t xml:space="preserve">8: considerar a fondo; 10: apalancamiento; 11: consecuencias; 12: acumulaciones y tasas; 14: revisar resultados.</w:t>
            </w:r>
          </w:p>
        </w:tc>
      </w:tr>
    </w:tbl>
    <w:p>
      <w:pPr>
        <w:pStyle w:val="Heading3"/>
      </w:pPr>
      <w:r>
        <w:t xml:space="preserve">Qué hábitos y en qué orden</w:t>
      </w:r>
    </w:p>
    <w:p>
      <w:pPr>
        <w:pStyle w:val="Normal"/>
      </w:pPr>
      <w:r>
        <w:t xml:space="preserve">A los cuatro hábitos ya vistos (modelos mentales, paradigmas) se suman cinco, propios del pensador que va modelando; se llaman también competencias, prácticas, habilidades o destrezas y vienen del libro de Waters Foundation.</w:t>
      </w:r>
    </w:p>
    <w:p>
      <w:pPr>
        <w:pStyle w:val="Normal"/>
      </w:pPr>
      <w:r>
        <w:t xml:space="preserve">La regla de perspectivas exige el hábito de cambiar de perspectiva: ser consciente de la propia y de que existen otras.</w:t>
      </w:r>
    </w:p>
    <w:p>
      <w:pPr>
        <w:pStyle w:val="Normal"/>
      </w:pPr>
      <w:r>
        <w:t xml:space="preserve">Repaso de la clase 16: conexiones significativas; estructuras circulares; la estructura genera el comportamiento; quinto, observar cambios en el tiempo. En ese repaso, la demora: la relación causal tarda y, si su escala de tiempo excede lo que se percibe, se pierde la dinámica.</w:t>
      </w:r>
    </w:p>
    <w:p>
      <w:pPr>
        <w:pStyle w:val="Normal"/>
      </w:pPr>
      <w:r>
        <w:t xml:space="preserve">El hábito de las tendencias se pospuso hasta entender la estructura, porque hay relación entre la estructura y sus tendencias.</w:t>
      </w:r>
    </w:p>
    <w:p>
      <w:pPr>
        <w:pStyle w:val="Normal"/>
      </w:pPr>
      <w:r>
        <w:t xml:space="preserve">Iceberg: eventos, patrones, estructuras y modelos mentales; los modelos mentales determinan las estructuras, y éstas los patrones y los eventos.</w:t>
      </w:r>
    </w:p>
    <w:p>
      <w:pPr>
        <w:pStyle w:val="Fuente"/>
      </w:pPr>
      <w:r>
        <w:t xml:space="preserve">Clase 10 · 00:18:41–00:19:16 · Clase 10 · 01:23:28–01:24:12 · Clase 11 · 00:52:11–00:52:58 · lámina c11-19 · Clase 11 · 00:54:33–00:54:50 · Clase 11 · 00:54:57–00:55:29 · Clase 12 · 00:41:56–00:42:41 · Clase 13 · 01:45:00–01:45:28 · Clase 16 · 00:12:41–00:17:19 · lámina c16-01 · Clase 16 · 00:18:04–00:21:33 · Clase 16 · 01:29:55–01:30:16</w:t>
      </w:r>
    </w:p>
    <w:p>
      <w:pPr>
        <w:pStyle w:val="Heading3"/>
      </w:pPr>
      <w:r>
        <w:t xml:space="preserve">Conexiones significativas y transferencia</w:t>
      </w:r>
    </w:p>
    <w:p>
      <w:pPr>
        <w:pStyle w:val="Normal"/>
      </w:pPr>
      <w:r>
        <w:t xml:space="preserve">Primer hábito: modelar las partes y sus conexiones significativas (hacia dentro) o los sistemas del medio con sus entradas y salidas (hacia fuera), según el nivel de detalle; identificar qué se enlaza y dibujarlo con flechas. Ejemplo: aspirantes de diversificado entran a la universidad y años después salen profesionales graduados.</w:t>
      </w:r>
    </w:p>
    <w:p>
      <w:pPr>
        <w:pStyle w:val="Normal"/>
      </w:pPr>
      <w:r>
        <w:t xml:space="preserve">Relaciones humanas (de comunicación, familiares, laborales, emocionales, de enseñanza-aprendizaje) y naturales (el animal que come una planta: alimento para él, daño para ella).</w:t>
      </w:r>
    </w:p>
    <w:p>
      <w:pPr>
        <w:pStyle w:val="Normal"/>
      </w:pPr>
      <w:r>
        <w:t xml:space="preserve">El pensador busca la lógica de operación del sistema para optimizar, resolver problemas o comprender; hacer conexiones significativas desarrolla el aprendizaje, y, según la lámina, conectar y transferir conocimiento entre sistemas mejora comprensión, aprendizaje y trabajo.</w:t>
      </w:r>
    </w:p>
    <w:p>
      <w:pPr>
        <w:pStyle w:val="Normal"/>
      </w:pPr>
      <w:r>
        <w:t xml:space="preserve">Transferencia: estructuras relacionales genéricas describen varios sistemas y por analogía se comprenden. Tomate, mandarina o melocotón cambian el fruto, no la dinámica; empresas de compraventa cambian producto y moneda, no la estructura.</w:t>
      </w:r>
    </w:p>
    <w:p>
      <w:pPr>
        <w:pStyle w:val="Normal"/>
      </w:pPr>
      <w:r>
        <w:t xml:space="preserve">La teoría de sistemas estudia estructuras generales, no el contenido concreto. Mentalidad de crecimiento (lámina): creer que la inteligencia no es puramente innata y puede desarrollarse con esfuerzo; el hábito no se logra «de la noche a la mañana».</w:t>
      </w:r>
    </w:p>
    <w:p>
      <w:pPr>
        <w:pStyle w:val="Fuente"/>
      </w:pPr>
      <w:r>
        <w:t xml:space="preserve">Clase 11 · 00:55:27–00:58:44 · Clase 12 · 00:43:10–00:43:45 · Clase 12 · 00:47:10–00:49:09 · Clase 12 · 01:23:55–01:24:42 · Clase 12 · 01:25:33–01:26:05 · Clase 12 · 01:30:05–01:33:28 · Clase 12 · 01:36:28–01:36:53 · Clase 13 · 00:15:51–00:16:45 · Clase 13 · 00:17:30–00:19:08 · Clase 13 · 00:22:22–00:24:43</w:t>
      </w:r>
    </w:p>
    <w:p>
      <w:pPr>
        <w:pStyle w:val="Heading3"/>
      </w:pPr>
      <w:r>
        <w:t xml:space="preserve">Naturaleza circular</w:t>
      </w:r>
    </w:p>
    <w:p>
      <w:pPr>
        <w:pStyle w:val="Normal"/>
      </w:pPr>
      <w:r>
        <w:t xml:space="preserve">Segundo hábito: de las relaciones que identifica, el pensador va reconociendo su naturaleza circular; «sabe identificar la naturaleza circular de las relaciones complejas», que son de causa y efecto.</w:t>
      </w:r>
    </w:p>
    <w:p>
      <w:pPr>
        <w:pStyle w:val="Normal"/>
      </w:pPr>
      <w:r>
        <w:t xml:space="preserve">Sin ese hábito sólo se ve una visión parcial; el pensador se toma el tiempo porque lo complejo no se modela rápido. La prospección de escenarios futuros anticipa estructuras circulares.</w:t>
      </w:r>
    </w:p>
    <w:p>
      <w:pPr>
        <w:pStyle w:val="Fuente"/>
      </w:pPr>
      <w:r>
        <w:t xml:space="preserve">Clase 13 · 00:25:27–00:25:55 · lámina c13-03 · Clase 13 · 00:41:45–00:43:16 · Clase 13 · 01:10:35–01:11:05 · Clase 14 · 00:04:52–00:05:20</w:t>
      </w:r>
    </w:p>
    <w:p>
      <w:pPr>
        <w:pStyle w:val="Heading3"/>
      </w:pPr>
      <w:r>
        <w:t xml:space="preserve">La estructura genera el comportamiento</w:t>
      </w:r>
    </w:p>
    <w:p>
      <w:pPr>
        <w:pStyle w:val="Normal"/>
      </w:pPr>
      <w:r>
        <w:t xml:space="preserve">Tercer hábito: la estructura del sistema genera su comportamiento, principio ligado a la emergencia; variantes: «los comportamientos dependen de las estructuras» y «los sistemas están perfectamente diseñados para producir los resultados que se obtienen».</w:t>
      </w:r>
    </w:p>
    <w:p>
      <w:pPr>
        <w:pStyle w:val="Normal"/>
      </w:pPr>
      <w:r>
        <w:t xml:space="preserve">Estructuras físicas, lógicas (leyes, reglas, políticas) o sociales (tradiciones, rutinas), tangibles o intangibles. Casos: cometa y molinete ante el mismo viento; cocina comercial y familiar; aula en filas (exposición) frente a circular (colaboración).</w:t>
      </w:r>
    </w:p>
    <w:p>
      <w:pPr>
        <w:pStyle w:val="Normal"/>
      </w:pPr>
      <w:r>
        <w:t xml:space="preserve">Para cambiar el comportamiento se cambia la estructura; se diseña del comportamiento emergente (requisitos) a la estructura. Si no se logra un objetivo, se revisa la estructura (en lo personal: física, emocional, modelos mentales).</w:t>
      </w:r>
    </w:p>
    <w:p>
      <w:pPr>
        <w:pStyle w:val="Normal"/>
      </w:pPr>
      <w:r>
        <w:t xml:space="preserve">El reduccionismo culpa a una causa lineal y la elimina de inmediato; buscar culpables supone linealidad y, en sistemas humanos, inhibe la contribución, «como una profecía que se busca cumplir».</w:t>
      </w:r>
    </w:p>
    <w:p>
      <w:pPr>
        <w:pStyle w:val="Normal"/>
      </w:pPr>
      <w:r>
        <w:t xml:space="preserve">ACME: hallar la circularidad de la interdependencia entre ventas, producción y atención al cliente lleva a los puntos de apalancamiento.</w:t>
      </w:r>
    </w:p>
    <w:p>
      <w:pPr>
        <w:pStyle w:val="Fuente"/>
      </w:pPr>
      <w:r>
        <w:t xml:space="preserve">Clase 15 · 00:30:16–00:30:57 · Clase 15 · 00:31:40–00:34:46 · Clase 15 · 00:37:15–00:51:06 · Clase 15 · 00:53:37–00:55:38 · Clase 15 · 00:56:29–00:57:32 · Clase 15 · 00:57:41–00:57:56 · Clase 16 · 00:21:48–00:22:47 · Clase 16 · 00:26:18–00:27:17 · Clase 16 · 00:28:48–00:29:39</w:t>
      </w:r>
    </w:p>
    <w:p>
      <w:pPr>
        <w:pStyle w:val="Heading3"/>
      </w:pPr>
      <w:r>
        <w:t xml:space="preserve">Lo que proyectaron las láminas</w:t>
      </w:r>
    </w:p>
    <w:p>
      <w:pPr>
        <w:pStyle w:val="Normal"/>
      </w:pPr>
      <w:r>
        <w:t xml:space="preserve">El póster de los nueve hábitos tiene dos bandas: cuatro hábitos básicos, ligados a los modelos mentales, y cinco que profundizan en las estructuras sistémicas, que son los de esta unidad.</w:t>
      </w:r>
    </w:p>
    <w:p>
      <w:pPr>
        <w:pStyle w:val="Normal"/>
      </w:pPr>
      <w:r>
        <w:t xml:space="preserve">Los cinco de la unidad, en las tarjetas proyectadas en las clases 15 y 16: patrones y tendencias, conexiones significativas, causalidad circular, la estructura que genera el comportamiento y el impacto de las demoras.</w:t>
      </w:r>
    </w:p>
    <w:p>
      <w:pPr>
        <w:pStyle w:val="Normal"/>
      </w:pPr>
      <w:r>
        <w:t xml:space="preserve">Conexiones significativas: el pensador sistémico ve cómo se enlazan conceptos, hechos e ideas, como las piezas de un rompecabezas.</w:t>
      </w:r>
    </w:p>
    <w:p>
      <w:pPr>
        <w:pStyle w:val="Normal"/>
      </w:pPr>
      <w:r>
        <w:t xml:space="preserve">Naturaleza circular: ve las interdependencias y descubre las conexiones causales circulares, como la abeja y la flor unidas por flechas circulares.</w:t>
      </w:r>
    </w:p>
    <w:p>
      <w:pPr>
        <w:pStyle w:val="Fuente"/>
      </w:pPr>
      <w:r>
        <w:t xml:space="preserve">lámina c11-19 · lámina c15-01 · lámina c16-01 · lámina c11-20 · lámina c13-03</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Procedimiento</w:t>
            </w:r>
          </w:p>
          <w:p>
            <w:pPr>
              <w:pStyle w:val="Recuadro"/>
            </w:pPr>
            <w:r>
              <w:t xml:space="preserve">Cómo aborda un problema el pensador sistémico complejo</w:t>
            </w:r>
          </w:p>
          <w:p>
            <w:pPr>
              <w:pStyle w:val="Recuadro"/>
            </w:pPr>
            <w:r>
              <w:t xml:space="preserve">1. </w:t>
            </w:r>
            <w:r>
              <w:rPr>
                <w:b/>
                <w:bCs/>
              </w:rPr>
              <w:t xml:space="preserve">Conectar y filtrar.</w:t>
            </w:r>
            <w:r>
              <w:t xml:space="preserve"> Se identifican las relaciones significativas (docente–estudiante, universidad–secundaria, universidad–sistema laboral), se añaden otras con más información y lo menos importante queda fuera. (Clase 11 · 01:35:56–01:37:22)</w:t>
            </w:r>
          </w:p>
          <w:p>
            <w:pPr>
              <w:pStyle w:val="Recuadro"/>
            </w:pPr>
            <w:r>
              <w:t xml:space="preserve">2. </w:t>
            </w:r>
            <w:r>
              <w:rPr>
                <w:b/>
                <w:bCs/>
              </w:rPr>
              <w:t xml:space="preserve">Transferir.</w:t>
            </w:r>
            <w:r>
              <w:t xml:space="preserve"> Conocida la dinámica de un sistema, se reconocen por analogía otros con igual estructura causal: se usa el modelo general, se cambian las variables genéricas por los nombres de las partes y se lee la historia. (Clase 12 · 01:25:00–01:25:39 · Clase 12 · 01:34:59–01:35:42)</w:t>
            </w:r>
          </w:p>
          <w:p>
            <w:pPr>
              <w:pStyle w:val="Recuadro"/>
            </w:pPr>
            <w:r>
              <w:t xml:space="preserve">3. </w:t>
            </w:r>
            <w:r>
              <w:rPr>
                <w:b/>
                <w:bCs/>
              </w:rPr>
              <w:t xml:space="preserve">Ubicar la estructura.</w:t>
            </w:r>
            <w:r>
              <w:t xml:space="preserve"> Se ve cómo el sistema forma parte de uno mayor o se entra en sus subsistemas y se mapea su estructura en relaciones; se identifica el rol de cada subsistema y ahí se buscan puntos de apalancamiento. (Clase 15 · 00:35:17–00:36:32)</w:t>
            </w:r>
          </w:p>
          <w:p>
            <w:pPr>
              <w:pStyle w:val="Recuadro"/>
            </w:pPr>
            <w:r>
              <w:t xml:space="preserve">4. </w:t>
            </w:r>
            <w:r>
              <w:rPr>
                <w:b/>
                <w:bCs/>
              </w:rPr>
              <w:t xml:space="preserve">Mirar lo que se pasa por alto.</w:t>
            </w:r>
            <w:r>
              <w:t xml:space="preserve"> Se atiende a lo que se pasa por alto y no a culpables, tomándose el tiempo, con curiosidad y otras perspectivas; se pregunta qué no se entiende, buscando lo que cierra la circularidad. (Clase 16 · 00:24:15–00:25:34)</w:t>
            </w:r>
          </w:p>
          <w:p>
            <w:pPr>
              <w:pStyle w:val="Recuadro"/>
            </w:pPr>
            <w:r>
              <w:t xml:space="preserve">5. </w:t>
            </w:r>
            <w:r>
              <w:rPr>
                <w:b/>
                <w:bCs/>
              </w:rPr>
              <w:t xml:space="preserve">Actuar en causalidad circular.</w:t>
            </w:r>
            <w:r>
              <w:t xml:space="preserve"> Se motiva a los involucrados a actuar en una estructura de causalidad circular, aportando distinciones y relaciones, y no en una de culpabilidad. (Clase 16 · 00:25:28–00:26:17)</w:t>
            </w:r>
          </w:p>
          <w:p>
            <w:pPr>
              <w:pStyle w:val="Recuadro"/>
            </w:pPr>
            <w:r>
              <w:t xml:space="preserve">Si se quiere cambiar el comportamiento, hay que cambiar la estructura.</w:t>
            </w:r>
          </w:p>
        </w:tc>
      </w:tr>
    </w:tbl>
    <w:p>
      <w:pPr>
        <w:pStyle w:val="Heading3"/>
      </w:pPr>
      <w:bookmarkStart w:name="b_tabla_3_9_g2_habitos_complejo" w:id="3403"/>
      <w:r>
        <w:t xml:space="preserve">Los cinco hábitos del pensador sistémico complejo</w:t>
      </w:r>
      <w:bookmarkEnd w:id="3403"/>
    </w:p>
    <w:tbl>
      <w:tblPr>
        <w:tblW w:type="dxa" w:w="9632"/>
        <w:tblBorders>
          <w:top w:val="single" w:color="C5D5DB" w:sz="4"/>
          <w:left w:val="single" w:color="C5D5DB" w:sz="4"/>
          <w:bottom w:val="single" w:color="C5D5DB" w:sz="4"/>
          <w:right w:val="single" w:color="C5D5DB" w:sz="4"/>
          <w:insideH w:val="single" w:color="E4E9EB" w:sz="3"/>
          <w:insideV w:val="single" w:color="E4E9EB" w:sz="3"/>
        </w:tblBorders>
        <w:tblLayout w:type="fixed"/>
      </w:tblPr>
      <w:tblGrid>
        <w:gridCol w:w="3212"/>
        <w:gridCol w:w="3210"/>
        <w:gridCol w:w="3210"/>
      </w:tblGrid>
      <w:tr>
        <w:trPr>
          <w:cantSplit/>
          <w:tblHeader/>
        </w:trPr>
        <w:tc>
          <w:tcPr>
            <w:tcW w:type="dxa" w:w="3212"/>
            <w:shd w:fill="DFEAF0" w:val="clear"/>
            <w:tcMar>
              <w:top w:type="dxa" w:w="80"/>
              <w:left w:type="dxa" w:w="100"/>
              <w:bottom w:type="dxa" w:w="80"/>
              <w:right w:type="dxa" w:w="100"/>
            </w:tcMar>
          </w:tcPr>
          <w:p>
            <w:pPr>
              <w:pStyle w:val="Tabla"/>
            </w:pPr>
            <w:r>
              <w:rPr>
                <w:b/>
                <w:bCs/>
              </w:rPr>
              <w:t xml:space="preserve">Hábito</w:t>
            </w:r>
          </w:p>
        </w:tc>
        <w:tc>
          <w:tcPr>
            <w:tcW w:type="dxa" w:w="3210"/>
            <w:shd w:fill="DFEAF0" w:val="clear"/>
            <w:tcMar>
              <w:top w:type="dxa" w:w="80"/>
              <w:left w:type="dxa" w:w="100"/>
              <w:bottom w:type="dxa" w:w="80"/>
              <w:right w:type="dxa" w:w="100"/>
            </w:tcMar>
          </w:tcPr>
          <w:p>
            <w:pPr>
              <w:pStyle w:val="Tabla"/>
            </w:pPr>
            <w:r>
              <w:rPr>
                <w:b/>
                <w:bCs/>
              </w:rPr>
              <w:t xml:space="preserve">Qué pide</w:t>
            </w:r>
          </w:p>
        </w:tc>
        <w:tc>
          <w:tcPr>
            <w:tcW w:type="dxa" w:w="3210"/>
            <w:shd w:fill="DFEAF0" w:val="clear"/>
            <w:tcMar>
              <w:top w:type="dxa" w:w="80"/>
              <w:left w:type="dxa" w:w="100"/>
              <w:bottom w:type="dxa" w:w="80"/>
              <w:right w:type="dxa" w:w="100"/>
            </w:tcMar>
          </w:tcPr>
          <w:p>
            <w:pPr>
              <w:pStyle w:val="Tabla"/>
            </w:pPr>
            <w:r>
              <w:rPr>
                <w:b/>
                <w:bCs/>
              </w:rPr>
              <w:t xml:space="preserve">Lección donde se practica</w:t>
            </w:r>
          </w:p>
        </w:tc>
      </w:tr>
      <w:tr>
        <w:trPr>
          <w:cantSplit/>
          <w:tblHeader w:val="off"/>
        </w:trPr>
        <w:tc>
          <w:tcPr>
            <w:tcW w:type="dxa" w:w="3212"/>
            <w:tcMar>
              <w:top w:type="dxa" w:w="80"/>
              <w:left w:type="dxa" w:w="100"/>
              <w:bottom w:type="dxa" w:w="80"/>
              <w:right w:type="dxa" w:w="100"/>
            </w:tcMar>
          </w:tcPr>
          <w:p>
            <w:pPr>
              <w:pStyle w:val="Tabla"/>
            </w:pPr>
            <w:r>
              <w:t xml:space="preserve">Observa patrones en el tiempo</w:t>
            </w:r>
          </w:p>
        </w:tc>
        <w:tc>
          <w:tcPr>
            <w:tcW w:type="dxa" w:w="3210"/>
            <w:tcMar>
              <w:top w:type="dxa" w:w="80"/>
              <w:left w:type="dxa" w:w="100"/>
              <w:bottom w:type="dxa" w:w="80"/>
              <w:right w:type="dxa" w:w="100"/>
            </w:tcMar>
          </w:tcPr>
          <w:p>
            <w:pPr>
              <w:pStyle w:val="Tabla"/>
            </w:pPr>
            <w:r>
              <w:t xml:space="preserve">Mirar tendencias, no solo eventos aislados.</w:t>
            </w:r>
          </w:p>
        </w:tc>
        <w:tc>
          <w:tcPr>
            <w:tcW w:type="dxa" w:w="3210"/>
            <w:tcMar>
              <w:top w:type="dxa" w:w="80"/>
              <w:left w:type="dxa" w:w="100"/>
              <w:bottom w:type="dxa" w:w="80"/>
              <w:right w:type="dxa" w:w="100"/>
            </w:tcMar>
          </w:tcPr>
          <w:p>
            <w:pPr>
              <w:pStyle w:val="Tabla"/>
            </w:pPr>
            <w:r>
              <w:t xml:space="preserve">Patrones y tendencias</w:t>
            </w:r>
          </w:p>
        </w:tc>
      </w:tr>
      <w:tr>
        <w:trPr>
          <w:cantSplit/>
          <w:tblHeader w:val="off"/>
        </w:trPr>
        <w:tc>
          <w:tcPr>
            <w:tcW w:type="dxa" w:w="3212"/>
            <w:tcMar>
              <w:top w:type="dxa" w:w="80"/>
              <w:left w:type="dxa" w:w="100"/>
              <w:bottom w:type="dxa" w:w="80"/>
              <w:right w:type="dxa" w:w="100"/>
            </w:tcMar>
          </w:tcPr>
          <w:p>
            <w:pPr>
              <w:pStyle w:val="Tabla"/>
            </w:pPr>
            <w:r>
              <w:t xml:space="preserve">Hace conexiones significativas</w:t>
            </w:r>
          </w:p>
        </w:tc>
        <w:tc>
          <w:tcPr>
            <w:tcW w:type="dxa" w:w="3210"/>
            <w:tcMar>
              <w:top w:type="dxa" w:w="80"/>
              <w:left w:type="dxa" w:w="100"/>
              <w:bottom w:type="dxa" w:w="80"/>
              <w:right w:type="dxa" w:w="100"/>
            </w:tcMar>
          </w:tcPr>
          <w:p>
            <w:pPr>
              <w:pStyle w:val="Tabla"/>
            </w:pPr>
            <w:r>
              <w:t xml:space="preserve">Ver cómo se relacionan las partes, y unos sistemas con otros.</w:t>
            </w:r>
          </w:p>
        </w:tc>
        <w:tc>
          <w:tcPr>
            <w:tcW w:type="dxa" w:w="3210"/>
            <w:tcMar>
              <w:top w:type="dxa" w:w="80"/>
              <w:left w:type="dxa" w:w="100"/>
              <w:bottom w:type="dxa" w:w="80"/>
              <w:right w:type="dxa" w:w="100"/>
            </w:tcMar>
          </w:tcPr>
          <w:p>
            <w:pPr>
              <w:pStyle w:val="Tabla"/>
            </w:pPr>
            <w:r>
              <w:t xml:space="preserve">Interdependencias</w:t>
            </w:r>
          </w:p>
        </w:tc>
      </w:tr>
      <w:tr>
        <w:trPr>
          <w:cantSplit/>
          <w:tblHeader w:val="off"/>
        </w:trPr>
        <w:tc>
          <w:tcPr>
            <w:tcW w:type="dxa" w:w="3212"/>
            <w:tcMar>
              <w:top w:type="dxa" w:w="80"/>
              <w:left w:type="dxa" w:w="100"/>
              <w:bottom w:type="dxa" w:w="80"/>
              <w:right w:type="dxa" w:w="100"/>
            </w:tcMar>
          </w:tcPr>
          <w:p>
            <w:pPr>
              <w:pStyle w:val="Tabla"/>
            </w:pPr>
            <w:r>
              <w:t xml:space="preserve">Causa y efecto circular</w:t>
            </w:r>
          </w:p>
        </w:tc>
        <w:tc>
          <w:tcPr>
            <w:tcW w:type="dxa" w:w="3210"/>
            <w:tcMar>
              <w:top w:type="dxa" w:w="80"/>
              <w:left w:type="dxa" w:w="100"/>
              <w:bottom w:type="dxa" w:w="80"/>
              <w:right w:type="dxa" w:w="100"/>
            </w:tcMar>
          </w:tcPr>
          <w:p>
            <w:pPr>
              <w:pStyle w:val="Tabla"/>
            </w:pPr>
            <w:r>
              <w:t xml:space="preserve">La causa y el efecto forman bucles, no líneas.</w:t>
            </w:r>
          </w:p>
        </w:tc>
        <w:tc>
          <w:tcPr>
            <w:tcW w:type="dxa" w:w="3210"/>
            <w:tcMar>
              <w:top w:type="dxa" w:w="80"/>
              <w:left w:type="dxa" w:w="100"/>
              <w:bottom w:type="dxa" w:w="80"/>
              <w:right w:type="dxa" w:w="100"/>
            </w:tcMar>
          </w:tcPr>
          <w:p>
            <w:pPr>
              <w:pStyle w:val="Tabla"/>
            </w:pPr>
            <w:r>
              <w:t xml:space="preserve">Hábito 08 · Causalidad circular</w:t>
            </w:r>
          </w:p>
        </w:tc>
      </w:tr>
      <w:tr>
        <w:trPr>
          <w:cantSplit/>
          <w:tblHeader w:val="off"/>
        </w:trPr>
        <w:tc>
          <w:tcPr>
            <w:tcW w:type="dxa" w:w="3212"/>
            <w:tcMar>
              <w:top w:type="dxa" w:w="80"/>
              <w:left w:type="dxa" w:w="100"/>
              <w:bottom w:type="dxa" w:w="80"/>
              <w:right w:type="dxa" w:w="100"/>
            </w:tcMar>
          </w:tcPr>
          <w:p>
            <w:pPr>
              <w:pStyle w:val="Tabla"/>
            </w:pPr>
            <w:r>
              <w:t xml:space="preserve">La estructura genera el comportamiento</w:t>
            </w:r>
          </w:p>
        </w:tc>
        <w:tc>
          <w:tcPr>
            <w:tcW w:type="dxa" w:w="3210"/>
            <w:tcMar>
              <w:top w:type="dxa" w:w="80"/>
              <w:left w:type="dxa" w:w="100"/>
              <w:bottom w:type="dxa" w:w="80"/>
              <w:right w:type="dxa" w:w="100"/>
            </w:tcMar>
          </w:tcPr>
          <w:p>
            <w:pPr>
              <w:pStyle w:val="Tabla"/>
            </w:pPr>
            <w:r>
              <w:t xml:space="preserve">El comportamiento nace del diseño del sistema.</w:t>
            </w:r>
          </w:p>
        </w:tc>
        <w:tc>
          <w:tcPr>
            <w:tcW w:type="dxa" w:w="3210"/>
            <w:tcMar>
              <w:top w:type="dxa" w:w="80"/>
              <w:left w:type="dxa" w:w="100"/>
              <w:bottom w:type="dxa" w:w="80"/>
              <w:right w:type="dxa" w:w="100"/>
            </w:tcMar>
          </w:tcPr>
          <w:p>
            <w:pPr>
              <w:pStyle w:val="Tabla"/>
            </w:pPr>
            <w:r>
              <w:t xml:space="preserve">Hábito 07 · Estructura</w:t>
            </w:r>
          </w:p>
        </w:tc>
      </w:tr>
      <w:tr>
        <w:trPr>
          <w:cantSplit/>
          <w:tblHeader w:val="off"/>
        </w:trPr>
        <w:tc>
          <w:tcPr>
            <w:tcW w:type="dxa" w:w="3212"/>
            <w:tcMar>
              <w:top w:type="dxa" w:w="80"/>
              <w:left w:type="dxa" w:w="100"/>
              <w:bottom w:type="dxa" w:w="80"/>
              <w:right w:type="dxa" w:w="100"/>
            </w:tcMar>
          </w:tcPr>
          <w:p>
            <w:pPr>
              <w:pStyle w:val="Tabla"/>
            </w:pPr>
            <w:r>
              <w:t xml:space="preserve">Reconoce las demoras</w:t>
            </w:r>
          </w:p>
        </w:tc>
        <w:tc>
          <w:tcPr>
            <w:tcW w:type="dxa" w:w="3210"/>
            <w:tcMar>
              <w:top w:type="dxa" w:w="80"/>
              <w:left w:type="dxa" w:w="100"/>
              <w:bottom w:type="dxa" w:w="80"/>
              <w:right w:type="dxa" w:w="100"/>
            </w:tcMar>
          </w:tcPr>
          <w:p>
            <w:pPr>
              <w:pStyle w:val="Tabla"/>
            </w:pPr>
            <w:r>
              <w:t xml:space="preserve">El efecto llega tarde: cuidado con sobre-reaccionar.</w:t>
            </w:r>
          </w:p>
        </w:tc>
        <w:tc>
          <w:tcPr>
            <w:tcW w:type="dxa" w:w="3210"/>
            <w:tcMar>
              <w:top w:type="dxa" w:w="80"/>
              <w:left w:type="dxa" w:w="100"/>
              <w:bottom w:type="dxa" w:w="80"/>
              <w:right w:type="dxa" w:w="100"/>
            </w:tcMar>
          </w:tcPr>
          <w:p>
            <w:pPr>
              <w:pStyle w:val="Tabla"/>
            </w:pPr>
            <w:r>
              <w:t xml:space="preserve">Demoras</w:t>
            </w:r>
          </w:p>
        </w:tc>
      </w:tr>
    </w:tbl>
    <w:p>
      <w:pPr>
        <w:pStyle w:val="Fuente"/>
      </w:pPr>
      <w:r>
        <w:t xml:space="preserve">Láminas c15-01 y c16-01: la banda de cinco tarjetas de estructuras sistémicas del Waters Center que las clases 15 y 16 recorrieron.</w:t>
      </w:r>
    </w:p>
    <w:p>
      <w:pPr>
        <w:pStyle w:val="Heading3"/>
      </w:pPr>
      <w:r>
        <w:t xml:space="preserve">Lo que dicen las presentaciones</w:t>
      </w:r>
    </w:p>
    <w:p>
      <w:pPr>
        <w:pStyle w:val="Heading3"/>
      </w:pPr>
      <w:bookmarkStart w:name="b_pagina_3_9_C_2_p33" w:id="3404"/>
      <w:r>
        <w:t xml:space="preserve">C-2 · página 33 · Cuatro hábitos básicos y cinco de estructuras sistémicas</w:t>
      </w:r>
      <w:bookmarkEnd w:id="3404"/>
    </w:p>
    <w:p>
      <w:pPr>
        <w:pStyle w:val="Normal"/>
      </w:pPr>
      <w:r>
        <w:t xml:space="preserve">El póster distingue los cuatro hábitos de modelos mentales de los cinco que profundizan en las estructuras sistémicas.</w:t>
      </w:r>
    </w:p>
    <w:p>
      <w:pPr>
        <w:pStyle w:val="Fuente"/>
      </w:pPr>
      <w:r>
        <w:t xml:space="preserve">Proyección o explicación: Clase 11 · 00:51:24 · captura c11-19.</w:t>
      </w:r>
    </w:p>
    <w:p>
      <w:pPr>
        <w:pStyle w:val="Fuente"/>
      </w:pPr>
      <w:r>
        <w:t xml:space="preserve">Véase </w:t>
      </w:r>
      <w:hyperlink w:history="1" w:anchor="b_figura_original_pagina_C_2_33">
        <w:r>
          <w:rPr>
            <w:color w:val="156B70"/>
            <w:u w:val="single"/>
          </w:rPr>
          <w:t xml:space="preserve">imagen de C-2, página 33</w:t>
        </w:r>
      </w:hyperlink>
      <w:r>
        <w:t xml:space="preserve">, pág. </w:t>
      </w:r>
      <w:r>
        <w:fldChar w:fldCharType="begin"/>
        <w:instrText xml:space="preserve">PAGEREF b_figura_original_pagina_C_2_33 \h</w:instrText>
        <w:fldChar w:fldCharType="separate"/>
        <w:t xml:space="preserve">208</w:t>
        <w:fldChar w:fldCharType="end"/>
      </w:r>
      <w:r>
        <w:t xml:space="preserve">.</w:t>
      </w:r>
    </w:p>
    <w:p>
      <w:bookmarkStart w:name="b_punto_c2_p033_02" w:id="3405"/>
      <w:r>
        <w:t xml:space="preserve">Los cinco de la Unidad3 son observar patrones y tendencias,hacer conexiones significativas,reconocer circularidad,ver que estructura genera comportamiento y reconocer demoras.</w:t>
      </w:r>
      <w:bookmarkEnd w:id="3405"/>
    </w:p>
    <w:p>
      <w:bookmarkStart w:name="b_punto_c2_p033_03" w:id="3406"/>
      <w:r>
        <w:t xml:space="preserve">Los hábitos de esta unidad profundizan sobre la estructura y su dinámica,en continuidad con los cuatro básicos.</w:t>
      </w:r>
      <w:bookmarkEnd w:id="3406"/>
    </w:p>
    <w:p>
      <w:bookmarkStart w:name="b_punto_c2_p033_04" w:id="3407"/>
      <w:r>
        <w:t xml:space="preserve">Patrones, conexiones, causalidad circular, estructura que genera comportamiento y demoras</w:t>
      </w:r>
      <w:bookmarkEnd w:id="3407"/>
    </w:p>
    <w:p>
      <w:bookmarkStart w:name="b_punto_c2_p033_05" w:id="3408"/>
      <w:r>
        <w:t xml:space="preserve">Las clases 11–16 y C-2 desarrollan los cinco hábitos seleccionados; las referencias bibliográficas se identifican como ampliaciones.</w:t>
      </w:r>
      <w:bookmarkEnd w:id="3408"/>
    </w:p>
    <w:p>
      <w:pPr>
        <w:pStyle w:val="Fuente"/>
      </w:pPr>
      <w:r>
        <w:t xml:space="preserve">Véase </w:t>
      </w:r>
      <w:hyperlink w:history="1" w:anchor="b_1_8">
        <w:r>
          <w:rPr>
            <w:color w:val="156B70"/>
            <w:u w:val="single"/>
          </w:rPr>
          <w:t xml:space="preserve">capítulo 1.8 · Hábitos del pensador</w:t>
        </w:r>
      </w:hyperlink>
      <w:r>
        <w:t xml:space="preserve">, pág. </w:t>
      </w:r>
      <w:r>
        <w:fldChar w:fldCharType="begin"/>
        <w:instrText xml:space="preserve">PAGEREF b_1_8 \h</w:instrText>
        <w:fldChar w:fldCharType="separate"/>
        <w:t xml:space="preserve">194</w:t>
        <w:fldChar w:fldCharType="end"/>
      </w:r>
      <w:r>
        <w:t xml:space="preserve">.</w:t>
      </w:r>
    </w:p>
    <w:p>
      <w:pPr>
        <w:pStyle w:val="Heading3"/>
      </w:pPr>
      <w:bookmarkStart w:name="b_pagina_3_9_C_2_p34" w:id="3409"/>
      <w:r>
        <w:t xml:space="preserve">C-2 · página 34 · Hábito de conexiones significativas</w:t>
      </w:r>
      <w:bookmarkEnd w:id="3409"/>
    </w:p>
    <w:p>
      <w:pPr>
        <w:pStyle w:val="Normal"/>
      </w:pPr>
      <w:r>
        <w:t xml:space="preserve">El hábito enlaza conceptos,hechos e ideas para aprender,descubrir e innovar; tres preguntas guían su práctica.</w:t>
      </w:r>
    </w:p>
    <w:p>
      <w:pPr>
        <w:pStyle w:val="Fuente"/>
      </w:pPr>
      <w:r>
        <w:t xml:space="preserve">Proyección o explicación: Clase 11 · 00:55:27 · captura c11-20.</w:t>
      </w:r>
    </w:p>
    <w:p>
      <w:bookmarkStart w:name="b_punto_c2_p034_01" w:id="3410"/>
      <w:r>
        <w:t xml:space="preserve">El pensador sistémico conecta conceptos,hechos e ideas dentro de un sistema y entre sistemas para producir comprensión y nuevos aprendizajes.</w:t>
      </w:r>
      <w:bookmarkEnd w:id="3410"/>
    </w:p>
    <w:p>
      <w:bookmarkStart w:name="b_punto_c2_p034_02" w:id="3411"/>
      <w:r>
        <w:t xml:space="preserve">Primera pregunta: qué relaciones unen las piezas y cómo afectan la comprensión del conjunto.</w:t>
      </w:r>
      <w:bookmarkEnd w:id="3411"/>
    </w:p>
    <w:p>
      <w:bookmarkStart w:name="b_punto_c2_p034_03" w:id="3412"/>
      <w:r>
        <w:t xml:space="preserve">Segunda pregunta: cómo combinar perspectivas diferentes para beneficiar al sistema completo.</w:t>
      </w:r>
      <w:bookmarkEnd w:id="3412"/>
    </w:p>
    <w:p>
      <w:bookmarkStart w:name="b_punto_c2_p034_04" w:id="3413"/>
      <w:r>
        <w:t xml:space="preserve">Tercera pregunta: cómo transferir comprensión de un sistema a otro.</w:t>
      </w:r>
      <w:bookmarkEnd w:id="3413"/>
    </w:p>
    <w:p>
      <w:pPr>
        <w:pStyle w:val="Heading3"/>
      </w:pPr>
      <w:bookmarkStart w:name="b_pagina_3_9_C_2_p35" w:id="3414"/>
      <w:r>
        <w:t xml:space="preserve">C-2 · página 35 · Hacer conexiones significativas en contextos distintos</w:t>
      </w:r>
      <w:bookmarkEnd w:id="3414"/>
    </w:p>
    <w:p>
      <w:pPr>
        <w:pStyle w:val="Normal"/>
      </w:pPr>
      <w:r>
        <w:t xml:space="preserve">Naturaleza,aprendizaje y relaciones humanas exigen distinguir conexiones útiles; la planta sirve de ejemplo de dependencias.</w:t>
      </w:r>
    </w:p>
    <w:p>
      <w:pPr>
        <w:pStyle w:val="Fuente"/>
      </w:pPr>
      <w:r>
        <w:t xml:space="preserve">Proyección o explicación: Clase 12 · 00:45:39 · captura c12-03.</w:t>
      </w:r>
    </w:p>
    <w:p>
      <w:bookmarkStart w:name="b_punto_c2_p035_01" w:id="3415"/>
      <w:r>
        <w:t xml:space="preserve">Las conexiones se presentan en naturaleza,aprendizaje y relaciones humanas; el hábito requiere enlazarlas conscientemente.</w:t>
      </w:r>
      <w:bookmarkEnd w:id="3415"/>
    </w:p>
    <w:p>
      <w:bookmarkStart w:name="b_punto_c2_p035_05" w:id="3416"/>
      <w:r>
        <w:t xml:space="preserve">La figura de persona,familia,escuela,trabajo,hogar y creencias ilustra que un individuo participa en varios sistemas conectados.</w:t>
      </w:r>
      <w:bookmarkEnd w:id="3416"/>
    </w:p>
    <w:p>
      <w:pPr>
        <w:pStyle w:val="Fuente"/>
      </w:pPr>
      <w:r>
        <w:t xml:space="preserve">Véase </w:t>
      </w:r>
      <w:hyperlink w:history="1" w:anchor="b_3_4">
        <w:r>
          <w:rPr>
            <w:color w:val="156B70"/>
            <w:u w:val="single"/>
          </w:rPr>
          <w:t xml:space="preserve">capítulo 3.4 · Interdependencias sistémicas</w:t>
        </w:r>
      </w:hyperlink>
      <w:r>
        <w:t xml:space="preserve">, pág. </w:t>
      </w:r>
      <w:r>
        <w:fldChar w:fldCharType="begin"/>
        <w:instrText xml:space="preserve">PAGEREF b_3_4 \h</w:instrText>
        <w:fldChar w:fldCharType="separate"/>
        <w:t xml:space="preserve">476</w:t>
        <w:fldChar w:fldCharType="end"/>
      </w:r>
      <w:r>
        <w:t xml:space="preserve">.</w:t>
      </w:r>
    </w:p>
    <w:p>
      <w:pPr>
        <w:pStyle w:val="Heading3"/>
      </w:pPr>
      <w:bookmarkStart w:name="b_pagina_3_9_C_2_p39" w:id="3417"/>
      <w:r>
        <w:t xml:space="preserve">C-2 · página 39 · Conexiones,aprendizaje y mentalidad de crecimiento</w:t>
      </w:r>
      <w:bookmarkEnd w:id="3417"/>
    </w:p>
    <w:p>
      <w:pPr>
        <w:pStyle w:val="Normal"/>
      </w:pPr>
      <w:r>
        <w:t xml:space="preserve">Transferir comprensión entre sistemas exige reconocer relaciones; la analogía de cultivo explica cómo se desarrolla el conocimiento.</w:t>
      </w:r>
    </w:p>
    <w:p>
      <w:pPr>
        <w:pStyle w:val="Fuente"/>
      </w:pPr>
      <w:r>
        <w:t xml:space="preserve">Proyección o explicación: Clase 12 · 01:23:55 · captura c12-07.</w:t>
      </w:r>
    </w:p>
    <w:p>
      <w:bookmarkStart w:name="b_punto_c2_p039_01" w:id="3418"/>
      <w:r>
        <w:t xml:space="preserve">Conectar hechos y conceptos permite aprender con mayor comprensión,en lugar de acumular datos separados.</w:t>
      </w:r>
      <w:bookmarkEnd w:id="3418"/>
    </w:p>
    <w:p>
      <w:bookmarkStart w:name="b_punto_c2_p039_02" w:id="3419"/>
      <w:r>
        <w:t xml:space="preserve">La transferencia lleva la comprensión de un sistema a otro,de contenido distinto pero comportamiento o estructura similar.</w:t>
      </w:r>
      <w:bookmarkEnd w:id="3419"/>
    </w:p>
    <w:p>
      <w:bookmarkStart w:name="b_punto_c2_p039_03" w:id="3420"/>
      <w:r>
        <w:t xml:space="preserve">La mentalidad de crecimiento entiende que la inteligencia puede desarrollarse mediante esfuerzo y no es únicamente innata.</w:t>
      </w:r>
      <w:bookmarkEnd w:id="3420"/>
    </w:p>
    <w:p>
      <w:bookmarkStart w:name="b_punto_c2_p039_04" w:id="3421"/>
      <w:r>
        <w:t xml:space="preserve">En la analogía de cultivo,la curiosidad,el maestro y el libro hacen el papel del sol,agua y suelo que permiten cultivar nuevos conocimientos.</w:t>
      </w:r>
      <w:bookmarkEnd w:id="3421"/>
    </w:p>
    <w:p>
      <w:bookmarkStart w:name="b_punto_c2_p039_05" w:id="3422"/>
      <w:r>
        <w:t xml:space="preserve">Aplicar lo aprendido en nuevas situaciones es una comprobación central de que se ha cultivado conocimiento.</w:t>
      </w:r>
      <w:bookmarkEnd w:id="3422"/>
    </w:p>
    <w:p>
      <w:pPr>
        <w:pStyle w:val="Heading3"/>
      </w:pPr>
      <w:bookmarkStart w:name="b_pagina_3_9_C_2_p40" w:id="3423"/>
      <w:r>
        <w:t xml:space="preserve">C-2 · página 40 · Conexiones que producen transferencias</w:t>
      </w:r>
      <w:bookmarkEnd w:id="3423"/>
    </w:p>
    <w:p>
      <w:pPr>
        <w:pStyle w:val="Normal"/>
      </w:pPr>
      <w:r>
        <w:t xml:space="preserve">Ejemplos del piano,patrones entre sistemas y la capacitación de Kim; la gráfica económica requiere una lectura crítica.</w:t>
      </w:r>
    </w:p>
    <w:p>
      <w:pPr>
        <w:pStyle w:val="Fuente"/>
      </w:pPr>
      <w:r>
        <w:t xml:space="preserve">Proyección o explicación: Clase 12 · 01:33:20 · captura c12-08.</w:t>
      </w:r>
    </w:p>
    <w:p>
      <w:pPr>
        <w:pStyle w:val="Fuente"/>
      </w:pPr>
      <w:r>
        <w:t xml:space="preserve">Véase </w:t>
      </w:r>
      <w:hyperlink w:history="1" w:anchor="b_figura_original_pagina_C_2_40">
        <w:r>
          <w:rPr>
            <w:color w:val="156B70"/>
            <w:u w:val="single"/>
          </w:rPr>
          <w:t xml:space="preserve">imagen de C-2, página 40</w:t>
        </w:r>
      </w:hyperlink>
      <w:r>
        <w:t xml:space="preserve">, pág. </w:t>
      </w:r>
      <w:r>
        <w:fldChar w:fldCharType="begin"/>
        <w:instrText xml:space="preserve">PAGEREF b_figura_original_pagina_C_2_40 \h</w:instrText>
        <w:fldChar w:fldCharType="separate"/>
        <w:t xml:space="preserve">387</w:t>
        <w:fldChar w:fldCharType="end"/>
      </w:r>
      <w:r>
        <w:t xml:space="preserve">.</w:t>
      </w:r>
    </w:p>
    <w:p>
      <w:bookmarkStart w:name="b_punto_c2_p040_02" w:id="3424"/>
      <w:r>
        <w:t xml:space="preserve">Un sistema de naturaleza distinta puede comprenderse mediante un modelo general compartido; se deben comprobar las semejanzas estructurales relevantes.</w:t>
      </w:r>
      <w:bookmarkEnd w:id="3424"/>
    </w:p>
    <w:p>
      <w:bookmarkStart w:name="b_punto_c2_p040_04" w:id="3425"/>
      <w:r>
        <w:t xml:space="preserve">La habilidad de filtrar y conectar información abundante genera comprensión del sistema de interés.</w:t>
      </w:r>
      <w:bookmarkEnd w:id="3425"/>
    </w:p>
    <w:p>
      <w:pPr>
        <w:pStyle w:val="Fuente"/>
      </w:pPr>
      <w:r>
        <w:t xml:space="preserve">Véase </w:t>
      </w:r>
      <w:hyperlink w:history="1" w:anchor="b_3_1">
        <w:r>
          <w:rPr>
            <w:color w:val="156B70"/>
            <w:u w:val="single"/>
          </w:rPr>
          <w:t xml:space="preserve">capítulo 3.1 · Mapas sistémicos</w:t>
        </w:r>
      </w:hyperlink>
      <w:r>
        <w:t xml:space="preserve">, pág. </w:t>
      </w:r>
      <w:r>
        <w:fldChar w:fldCharType="begin"/>
        <w:instrText xml:space="preserve">PAGEREF b_3_1 \h</w:instrText>
        <w:fldChar w:fldCharType="separate"/>
        <w:t xml:space="preserve">379</w:t>
        <w:fldChar w:fldCharType="end"/>
      </w:r>
      <w:r>
        <w:t xml:space="preserve">.</w:t>
      </w:r>
    </w:p>
    <w:p>
      <w:pPr>
        <w:pStyle w:val="Heading3"/>
      </w:pPr>
      <w:bookmarkStart w:name="b_pagina_3_9_C_2_p41" w:id="3426"/>
      <w:r>
        <w:t xml:space="preserve">C-2 · página 41 · Cuatro hábitos básicos y cinco de estructuras sistémicas</w:t>
      </w:r>
      <w:bookmarkEnd w:id="3426"/>
    </w:p>
    <w:p>
      <w:pPr>
        <w:pStyle w:val="Normal"/>
      </w:pPr>
      <w:r>
        <w:t xml:space="preserve">El póster distingue los cuatro hábitos de modelos mentales de los cinco que profundizan en las estructuras sistémicas.</w:t>
      </w:r>
    </w:p>
    <w:p>
      <w:pPr>
        <w:pStyle w:val="Fuente"/>
      </w:pPr>
      <w:r>
        <w:t xml:space="preserve">Proyección o explicación: Clase 13 · 00:15:51 · captura c13-01.</w:t>
      </w:r>
    </w:p>
    <w:p>
      <w:pPr>
        <w:pStyle w:val="Fuente"/>
      </w:pPr>
      <w:r>
        <w:t xml:space="preserve">Véase </w:t>
      </w:r>
      <w:hyperlink w:history="1" w:anchor="b_figura_original_pagina_C_2_41">
        <w:r>
          <w:rPr>
            <w:color w:val="156B70"/>
            <w:u w:val="single"/>
          </w:rPr>
          <w:t xml:space="preserve">imagen de C-2, página 41</w:t>
        </w:r>
      </w:hyperlink>
      <w:r>
        <w:t xml:space="preserve">, pág. </w:t>
      </w:r>
      <w:r>
        <w:fldChar w:fldCharType="begin"/>
        <w:instrText xml:space="preserve">PAGEREF b_figura_original_pagina_C_2_41 \h</w:instrText>
        <w:fldChar w:fldCharType="separate"/>
        <w:t xml:space="preserve">209</w:t>
        <w:fldChar w:fldCharType="end"/>
      </w:r>
      <w:r>
        <w:t xml:space="preserve">.</w:t>
      </w:r>
    </w:p>
    <w:p>
      <w:bookmarkStart w:name="b_punto_c2_p041_02" w:id="3427"/>
      <w:r>
        <w:t xml:space="preserve">Los cinco de la Unidad3 son observar patrones y tendencias,hacer conexiones significativas,reconocer circularidad,ver que estructura genera comportamiento y reconocer demoras.</w:t>
      </w:r>
      <w:bookmarkEnd w:id="3427"/>
    </w:p>
    <w:p>
      <w:bookmarkStart w:name="b_punto_c2_p041_03" w:id="3428"/>
      <w:r>
        <w:t xml:space="preserve">Los hábitos de esta unidad profundizan sobre la estructura y su dinámica,en continuidad con los cuatro básicos.</w:t>
      </w:r>
      <w:bookmarkEnd w:id="3428"/>
    </w:p>
    <w:p>
      <w:bookmarkStart w:name="b_punto_c2_p041_04" w:id="3429"/>
      <w:r>
        <w:t xml:space="preserve">Patrones, conexiones, causalidad circular, estructura que genera comportamiento y demoras</w:t>
      </w:r>
      <w:bookmarkEnd w:id="3429"/>
    </w:p>
    <w:p>
      <w:bookmarkStart w:name="b_punto_c2_p041_05" w:id="3430"/>
      <w:r>
        <w:t xml:space="preserve">Las clases 11–16 y C-2 desarrollan los cinco hábitos seleccionados; las referencias bibliográficas se identifican como ampliaciones.</w:t>
      </w:r>
      <w:bookmarkEnd w:id="3430"/>
    </w:p>
    <w:p>
      <w:pPr>
        <w:pStyle w:val="Fuente"/>
      </w:pPr>
      <w:r>
        <w:t xml:space="preserve">Véase </w:t>
      </w:r>
      <w:hyperlink w:history="1" w:anchor="b_1_8">
        <w:r>
          <w:rPr>
            <w:color w:val="156B70"/>
            <w:u w:val="single"/>
          </w:rPr>
          <w:t xml:space="preserve">capítulo 1.8 · Hábitos del pensador</w:t>
        </w:r>
      </w:hyperlink>
      <w:r>
        <w:t xml:space="preserve">, pág. </w:t>
      </w:r>
      <w:r>
        <w:fldChar w:fldCharType="begin"/>
        <w:instrText xml:space="preserve">PAGEREF b_1_8 \h</w:instrText>
        <w:fldChar w:fldCharType="separate"/>
        <w:t xml:space="preserve">194</w:t>
        <w:fldChar w:fldCharType="end"/>
      </w:r>
      <w:r>
        <w:t xml:space="preserve">.</w:t>
      </w:r>
    </w:p>
    <w:p>
      <w:pPr>
        <w:pStyle w:val="Heading3"/>
      </w:pPr>
      <w:bookmarkStart w:name="b_pagina_3_9_C_2_p42" w:id="3431"/>
      <w:r>
        <w:t xml:space="preserve">C-2 · página 42 · Conexiones en sistemas humanos</w:t>
      </w:r>
      <w:bookmarkEnd w:id="3431"/>
    </w:p>
    <w:p>
      <w:pPr>
        <w:pStyle w:val="Normal"/>
      </w:pPr>
      <w:r>
        <w:t xml:space="preserve">La interacción entre personas puede formar un ciclo de refuerzo y el mismo individuo participa en redes humanas distintas.</w:t>
      </w:r>
    </w:p>
    <w:p>
      <w:pPr>
        <w:pStyle w:val="Fuente"/>
      </w:pPr>
      <w:r>
        <w:t xml:space="preserve">Proyección o explicación: Clase 13 · 00:17:30 · captura c13-02.</w:t>
      </w:r>
    </w:p>
    <w:p>
      <w:pPr>
        <w:keepNext/>
        <w:spacing w:after="40" w:before="150"/>
        <w:jc w:val="center"/>
      </w:pPr>
      <w:bookmarkStart w:name="b_figura_original_pagina_C_2_42" w:id="3432"/>
      <w:bookmarkEnd w:id="3432"/>
      <w:r>
        <w:drawing>
          <wp:inline distT="0" distB="0" distL="0" distR="0">
            <wp:extent cx="5381625" cy="4162425"/>
            <wp:effectExtent t="0" r="0" b="0" l="0"/>
            <wp:docPr id="91" name="pagina-C-2-42" descr="Presentación C-2, pág. 42" title="Conexiones en sistemas human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76" cstate="none"/>
                    <a:srcRect/>
                    <a:stretch>
                      <a:fillRect/>
                    </a:stretch>
                  </pic:blipFill>
                  <pic:spPr bwMode="auto">
                    <a:xfrm>
                      <a:off x="0" y="0"/>
                      <a:ext cx="5381625" cy="4162425"/>
                    </a:xfrm>
                    <a:prstGeom prst="rect">
                      <a:avLst/>
                    </a:prstGeom>
                  </pic:spPr>
                </pic:pic>
              </a:graphicData>
            </a:graphic>
          </wp:inline>
        </w:drawing>
      </w:r>
    </w:p>
    <w:p>
      <w:pPr>
        <w:pStyle w:val="PieFigura"/>
        <w:keepNext/>
      </w:pPr>
      <w:bookmarkStart w:name="b_fig_3_9_1" w:id="3433"/>
      <w:r>
        <w:t xml:space="preserve">Figura 3.9.</w:t>
      </w:r>
      <w:fldSimple w:instr="SEQ Figura \r 1 \* ARABIC">
        <w:r>
          <w:t xml:space="preserve">1</w:t>
        </w:r>
      </w:fldSimple>
      <w:r>
        <w:t xml:space="preserve"> · Conexiones en sistemas humanos</w:t>
      </w:r>
      <w:bookmarkEnd w:id="3433"/>
    </w:p>
    <w:p>
      <w:pPr>
        <w:pStyle w:val="Fuente"/>
      </w:pPr>
      <w:r>
        <w:t xml:space="preserve">Presentación C-2, pág. 42</w:t>
      </w:r>
    </w:p>
    <w:p>
      <w:bookmarkStart w:name="b_punto_c2_p042_01" w:id="3434"/>
      <w:r>
        <w:t xml:space="preserve">Las conexiones humanas incluyen relaciones familiares,de comunicación,laborales,emocionales y de aprendizaje.</w:t>
      </w:r>
      <w:bookmarkEnd w:id="3434"/>
    </w:p>
    <w:p>
      <w:bookmarkStart w:name="b_punto_c2_p042_02" w:id="3435"/>
      <w:r>
        <w:t xml:space="preserve">El párrafo de compañía,felicidad,mejores relaciones y más tiempo acompañado describe un ciclo de refuerzo en la fuente.</w:t>
      </w:r>
      <w:bookmarkEnd w:id="3435"/>
    </w:p>
    <w:p>
      <w:bookmarkStart w:name="b_punto_c2_p042_05" w:id="3436"/>
      <w:r>
        <w:t xml:space="preserve">Conectar y transferir conocimientos entre sistemas puede mejorar comprensión,aprendizaje y la capacidad de actuar en su contexto.</w:t>
      </w:r>
      <w:bookmarkEnd w:id="3436"/>
    </w:p>
    <w:p>
      <w:pPr>
        <w:pStyle w:val="Fuente"/>
      </w:pPr>
      <w:r>
        <w:t xml:space="preserve">Véase </w:t>
      </w:r>
      <w:hyperlink w:history="1" w:anchor="b_3_4">
        <w:r>
          <w:rPr>
            <w:color w:val="156B70"/>
            <w:u w:val="single"/>
          </w:rPr>
          <w:t xml:space="preserve">capítulo 3.4 · Interdependencias sistémicas</w:t>
        </w:r>
      </w:hyperlink>
      <w:r>
        <w:t xml:space="preserve">, pág. </w:t>
      </w:r>
      <w:r>
        <w:fldChar w:fldCharType="begin"/>
        <w:instrText xml:space="preserve">PAGEREF b_3_4 \h</w:instrText>
        <w:fldChar w:fldCharType="separate"/>
        <w:t xml:space="preserve">476</w:t>
        <w:fldChar w:fldCharType="end"/>
      </w:r>
      <w:r>
        <w:t xml:space="preserve">.</w:t>
      </w:r>
    </w:p>
    <w:p>
      <w:pPr>
        <w:pStyle w:val="Heading3"/>
      </w:pPr>
      <w:bookmarkStart w:name="b_pagina_3_9_C_2_p43" w:id="3437"/>
      <w:r>
        <w:t xml:space="preserve">C-2 · página 43 · Hábito de reconocer causalidad circular</w:t>
      </w:r>
      <w:bookmarkEnd w:id="3437"/>
    </w:p>
    <w:p>
      <w:pPr>
        <w:pStyle w:val="Normal"/>
      </w:pPr>
      <w:r>
        <w:t xml:space="preserve">Las interdependencias se buscan como recorridos donde el efecto vuelve a afectar a su causa; tres preguntas guían su exploración.</w:t>
      </w:r>
    </w:p>
    <w:p>
      <w:pPr>
        <w:pStyle w:val="Fuente"/>
      </w:pPr>
      <w:r>
        <w:t xml:space="preserve">Proyección o explicación: Clase 13 · 00:25:23 · captura c13-03.</w:t>
      </w:r>
    </w:p>
    <w:p>
      <w:bookmarkStart w:name="b_punto_c2_p043_01" w:id="3438"/>
      <w:r>
        <w:t xml:space="preserve">El pensador reconoce las interdependencias y busca conexiones causales circulares,en vez de cadenas abiertas.</w:t>
      </w:r>
      <w:bookmarkEnd w:id="3438"/>
    </w:p>
    <w:p>
      <w:pPr>
        <w:pStyle w:val="Fuente"/>
      </w:pPr>
      <w:r>
        <w:t xml:space="preserve">Véase </w:t>
      </w:r>
      <w:hyperlink w:history="1" w:anchor="b_3_4">
        <w:r>
          <w:rPr>
            <w:color w:val="156B70"/>
            <w:u w:val="single"/>
          </w:rPr>
          <w:t xml:space="preserve">capítulo 3.4 · Interdependencias sistémicas</w:t>
        </w:r>
      </w:hyperlink>
      <w:r>
        <w:t xml:space="preserve">, pág. </w:t>
      </w:r>
      <w:r>
        <w:fldChar w:fldCharType="begin"/>
        <w:instrText xml:space="preserve">PAGEREF b_3_4 \h</w:instrText>
        <w:fldChar w:fldCharType="separate"/>
        <w:t xml:space="preserve">476</w:t>
        <w:fldChar w:fldCharType="end"/>
      </w:r>
      <w:r>
        <w:t xml:space="preserve">.</w:t>
      </w:r>
    </w:p>
    <w:p>
      <w:pPr>
        <w:pStyle w:val="Heading3"/>
      </w:pPr>
      <w:bookmarkStart w:name="b_pagina_3_9_C_2_p72" w:id="3439"/>
      <w:r>
        <w:t xml:space="preserve">C-2 · página 72 · Nueve hábitos en dos grupos</w:t>
      </w:r>
      <w:bookmarkEnd w:id="3439"/>
    </w:p>
    <w:p>
      <w:pPr>
        <w:pStyle w:val="Normal"/>
      </w:pPr>
      <w:r>
        <w:t xml:space="preserve">Cuatro hábitos básicos se continúan con cinco de estructuras sistémicas.</w:t>
      </w:r>
    </w:p>
    <w:p>
      <w:pPr>
        <w:pStyle w:val="Fuente"/>
      </w:pPr>
      <w:r>
        <w:t xml:space="preserve">Proyección o explicación: Clase 14 · 00:03:57 · captura c14-01.</w:t>
      </w:r>
    </w:p>
    <w:p>
      <w:pPr>
        <w:keepNext/>
        <w:spacing w:after="40" w:before="150"/>
        <w:jc w:val="center"/>
      </w:pPr>
      <w:bookmarkStart w:name="b_figura_original_pagina_C_2_72" w:id="3440"/>
      <w:bookmarkEnd w:id="3440"/>
      <w:r>
        <w:drawing>
          <wp:inline distT="0" distB="0" distL="0" distR="0">
            <wp:extent cx="5381625" cy="4162425"/>
            <wp:effectExtent t="0" r="0" b="0" l="0"/>
            <wp:docPr id="92" name="pagina-C-2-72" descr="Presentación C-2, pág. 72" title="Nueve hábitos en dos grup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19" cstate="none"/>
                    <a:srcRect/>
                    <a:stretch>
                      <a:fillRect/>
                    </a:stretch>
                  </pic:blipFill>
                  <pic:spPr bwMode="auto">
                    <a:xfrm>
                      <a:off x="0" y="0"/>
                      <a:ext cx="5381625" cy="4162425"/>
                    </a:xfrm>
                    <a:prstGeom prst="rect">
                      <a:avLst/>
                    </a:prstGeom>
                  </pic:spPr>
                </pic:pic>
              </a:graphicData>
            </a:graphic>
          </wp:inline>
        </w:drawing>
      </w:r>
    </w:p>
    <w:p>
      <w:pPr>
        <w:pStyle w:val="PieFigura"/>
        <w:keepNext/>
      </w:pPr>
      <w:bookmarkStart w:name="b_fig_3_9_2" w:id="3441"/>
      <w:r>
        <w:t xml:space="preserve">Figura 3.9.</w:t>
      </w:r>
      <w:fldSimple w:instr="SEQ Figura \n \* ARABIC">
        <w:r>
          <w:t xml:space="preserve">2</w:t>
        </w:r>
      </w:fldSimple>
      <w:r>
        <w:t xml:space="preserve"> · Nueve hábitos en dos grupos</w:t>
      </w:r>
      <w:bookmarkEnd w:id="3441"/>
    </w:p>
    <w:p>
      <w:pPr>
        <w:pStyle w:val="Fuente"/>
      </w:pPr>
      <w:r>
        <w:t xml:space="preserve">Presentación C-2, pág. 72</w:t>
      </w:r>
    </w:p>
    <w:p>
      <w:bookmarkStart w:name="b_punto_c2_p072_01" w:id="3442"/>
      <w:r>
        <w:t xml:space="preserve">Los cuatro básicos son modelos mentales, probar suposiciones, cambiar perspectivas y película completa.</w:t>
      </w:r>
      <w:bookmarkEnd w:id="3442"/>
    </w:p>
    <w:p>
      <w:bookmarkStart w:name="b_punto_c2_p072_02" w:id="3443"/>
      <w:r>
        <w:t xml:space="preserve">Observar cambios, patrones y tendencias en el tiempo.</w:t>
      </w:r>
      <w:bookmarkEnd w:id="3443"/>
    </w:p>
    <w:p>
      <w:bookmarkStart w:name="b_punto_c2_p072_03" w:id="3444"/>
      <w:r>
        <w:t xml:space="preserve">Hacer conexiones significativas dentro y entre sistemas.</w:t>
      </w:r>
      <w:bookmarkEnd w:id="3444"/>
    </w:p>
    <w:p>
      <w:bookmarkStart w:name="b_punto_c2_p072_04" w:id="3445"/>
      <w:r>
        <w:t xml:space="preserve">Identificar naturaleza circular de relaciones complejas.</w:t>
      </w:r>
      <w:bookmarkEnd w:id="3445"/>
    </w:p>
    <w:p>
      <w:bookmarkStart w:name="b_punto_c2_p072_05" w:id="3446"/>
      <w:r>
        <w:t xml:space="preserve">Reconocer que la estructura genera comportamiento.</w:t>
      </w:r>
      <w:bookmarkEnd w:id="3446"/>
    </w:p>
    <w:p>
      <w:bookmarkStart w:name="b_punto_c2_p072_06" w:id="3447"/>
      <w:r>
        <w:t xml:space="preserve">Reconocer impacto de demoras entre causa y efecto.</w:t>
      </w:r>
      <w:bookmarkEnd w:id="3447"/>
    </w:p>
    <w:p>
      <w:bookmarkStart w:name="b_punto_c2_p072_07" w:id="3448"/>
      <w:r>
        <w:t xml:space="preserve">Patrones, conexiones, causalidad circular, estructura que genera comportamiento y demoras</w:t>
      </w:r>
      <w:bookmarkEnd w:id="3448"/>
    </w:p>
    <w:p>
      <w:pPr>
        <w:pStyle w:val="Heading3"/>
      </w:pPr>
      <w:bookmarkStart w:name="b_pagina_3_9_C_2_p82" w:id="3449"/>
      <w:r>
        <w:t xml:space="preserve">C-2 · página 82 · Cinco hábitos del pensamiento complejo</w:t>
      </w:r>
      <w:bookmarkEnd w:id="3449"/>
    </w:p>
    <w:p>
      <w:pPr>
        <w:pStyle w:val="Normal"/>
      </w:pPr>
      <w:r>
        <w:t xml:space="preserve">Patrones, conexiones, circularidad, estructura y demoras integran el grupo complejo del profesor.</w:t>
      </w:r>
    </w:p>
    <w:p>
      <w:pPr>
        <w:pStyle w:val="Fuente"/>
      </w:pPr>
      <w:r>
        <w:t xml:space="preserve">Proyección o explicación: Clase 15 · 00:07:41 · captura c15-01.</w:t>
      </w:r>
    </w:p>
    <w:p>
      <w:pPr>
        <w:keepNext/>
        <w:spacing w:after="40" w:before="150"/>
        <w:jc w:val="center"/>
      </w:pPr>
      <w:bookmarkStart w:name="b_figura_original_pagina_C_2_82" w:id="3450"/>
      <w:bookmarkEnd w:id="3450"/>
      <w:r>
        <w:drawing>
          <wp:inline distT="0" distB="0" distL="0" distR="0">
            <wp:extent cx="5381625" cy="4162425"/>
            <wp:effectExtent t="0" r="0" b="0" l="0"/>
            <wp:docPr id="93" name="pagina-C-2-82" descr="Presentación C-2, pág. 82" title="Cinco hábitos del pensamiento complej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72" cstate="none"/>
                    <a:srcRect/>
                    <a:stretch>
                      <a:fillRect/>
                    </a:stretch>
                  </pic:blipFill>
                  <pic:spPr bwMode="auto">
                    <a:xfrm>
                      <a:off x="0" y="0"/>
                      <a:ext cx="5381625" cy="4162425"/>
                    </a:xfrm>
                    <a:prstGeom prst="rect">
                      <a:avLst/>
                    </a:prstGeom>
                  </pic:spPr>
                </pic:pic>
              </a:graphicData>
            </a:graphic>
          </wp:inline>
        </w:drawing>
      </w:r>
    </w:p>
    <w:p>
      <w:pPr>
        <w:pStyle w:val="PieFigura"/>
        <w:keepNext/>
      </w:pPr>
      <w:bookmarkStart w:name="b_fig_3_9_3" w:id="3451"/>
      <w:r>
        <w:t xml:space="preserve">Figura 3.9.</w:t>
      </w:r>
      <w:fldSimple w:instr="SEQ Figura \n \* ARABIC">
        <w:r>
          <w:t xml:space="preserve">3</w:t>
        </w:r>
      </w:fldSimple>
      <w:r>
        <w:t xml:space="preserve"> · Cinco hábitos del pensamiento complejo</w:t>
      </w:r>
      <w:bookmarkEnd w:id="3451"/>
    </w:p>
    <w:p>
      <w:pPr>
        <w:pStyle w:val="Fuente"/>
      </w:pPr>
      <w:r>
        <w:t xml:space="preserve">Presentación C-2, pág. 82</w:t>
      </w:r>
    </w:p>
    <w:p>
      <w:bookmarkStart w:name="b_punto_c2_p082_01" w:id="3452"/>
      <w:r>
        <w:t xml:space="preserve">Observar patrones de cambio en el tiempo.</w:t>
      </w:r>
      <w:bookmarkEnd w:id="3452"/>
    </w:p>
    <w:p>
      <w:bookmarkStart w:name="b_punto_c2_p082_02" w:id="3453"/>
      <w:r>
        <w:t xml:space="preserve">Hacer conexiones dentro y entre sistemas.</w:t>
      </w:r>
      <w:bookmarkEnd w:id="3453"/>
    </w:p>
    <w:p>
      <w:bookmarkStart w:name="b_punto_c2_p082_03" w:id="3454"/>
      <w:r>
        <w:t xml:space="preserve">Reconocer naturaleza circular de causalidad.</w:t>
      </w:r>
      <w:bookmarkEnd w:id="3454"/>
    </w:p>
    <w:p>
      <w:bookmarkStart w:name="b_punto_c2_p082_04" w:id="3455"/>
      <w:r>
        <w:t xml:space="preserve">Reconocer estructura como fuente de comportamiento.</w:t>
      </w:r>
      <w:bookmarkEnd w:id="3455"/>
    </w:p>
    <w:p>
      <w:bookmarkStart w:name="b_punto_c2_p082_05" w:id="3456"/>
      <w:r>
        <w:t xml:space="preserve">Reconocer efectos de demoras al interpretar causas.</w:t>
      </w:r>
      <w:bookmarkEnd w:id="3456"/>
    </w:p>
    <w:p>
      <w:bookmarkStart w:name="b_punto_c2_p082_06" w:id="3457"/>
      <w:r>
        <w:t xml:space="preserve">Patrones, conexiones, causalidad circular, estructura que genera comportamiento y demoras</w:t>
      </w:r>
      <w:bookmarkEnd w:id="3457"/>
    </w:p>
    <w:p>
      <w:pPr>
        <w:pStyle w:val="Heading3"/>
      </w:pPr>
      <w:bookmarkStart w:name="b_pagina_3_9_C_2_p88" w:id="3458"/>
      <w:r>
        <w:t xml:space="preserve">C-2 · página 88 · La estructura genera el comportamiento</w:t>
      </w:r>
      <w:bookmarkEnd w:id="3458"/>
    </w:p>
    <w:p>
      <w:pPr>
        <w:pStyle w:val="Normal"/>
      </w:pPr>
      <w:r>
        <w:t xml:space="preserve">Hábito de atender a las relaciones internas del sistema y evitar la búsqueda de culpables.</w:t>
      </w:r>
    </w:p>
    <w:p>
      <w:pPr>
        <w:pStyle w:val="Fuente"/>
      </w:pPr>
      <w:r>
        <w:t xml:space="preserve">Proyección o explicación: Clase 15 · 00:29:44 · captura c15-09.</w:t>
      </w:r>
    </w:p>
    <w:p>
      <w:bookmarkStart w:name="b_punto_c2_p088_01" w:id="3459"/>
      <w:r>
        <w:t xml:space="preserve">La organización y las interacciones de las partes generan el comportamiento del sistema.</w:t>
      </w:r>
      <w:bookmarkEnd w:id="3459"/>
    </w:p>
    <w:p>
      <w:bookmarkStart w:name="b_punto_c2_p088_02" w:id="3460"/>
      <w:r>
        <w:t xml:space="preserve">El análisis se concentra en causas estructurales internas y evita sustituirlas por culpables externos.</w:t>
      </w:r>
      <w:bookmarkEnd w:id="3460"/>
    </w:p>
    <w:p>
      <w:pPr>
        <w:pStyle w:val="Fuente"/>
      </w:pPr>
      <w:r>
        <w:t xml:space="preserve">Véase </w:t>
      </w:r>
      <w:hyperlink w:history="1" w:anchor="b_3_6">
        <w:r>
          <w:rPr>
            <w:color w:val="156B70"/>
            <w:u w:val="single"/>
          </w:rPr>
          <w:t xml:space="preserve">capítulo 3.6 · Modelación dinámica</w:t>
        </w:r>
      </w:hyperlink>
      <w:r>
        <w:t xml:space="preserve">, pág. </w:t>
      </w:r>
      <w:r>
        <w:fldChar w:fldCharType="begin"/>
        <w:instrText xml:space="preserve">PAGEREF b_3_6 \h</w:instrText>
        <w:fldChar w:fldCharType="separate"/>
        <w:t xml:space="preserve">537</w:t>
        <w:fldChar w:fldCharType="end"/>
      </w:r>
      <w:r>
        <w:t xml:space="preserve">.</w:t>
      </w:r>
    </w:p>
    <w:p>
      <w:pPr>
        <w:pStyle w:val="Heading3"/>
      </w:pPr>
      <w:bookmarkStart w:name="b_pagina_3_9_C_2_p89" w:id="3461"/>
      <w:r>
        <w:t xml:space="preserve">C-2 · página 89 · Explorando estructuras sistémicas tangibles</w:t>
      </w:r>
      <w:bookmarkEnd w:id="3461"/>
    </w:p>
    <w:p>
      <w:pPr>
        <w:pStyle w:val="Normal"/>
      </w:pPr>
      <w:r>
        <w:t xml:space="preserve">Cometa, molinete y espacios arquitectónicos muestran cómo la disposición física condiciona la conducta.</w:t>
      </w:r>
    </w:p>
    <w:p>
      <w:pPr>
        <w:pStyle w:val="Fuente"/>
      </w:pPr>
      <w:r>
        <w:t xml:space="preserve">Proyección o explicación: Clase 15 · 00:37:17 · captura c15-10.</w:t>
      </w:r>
    </w:p>
    <w:p>
      <w:pPr>
        <w:pStyle w:val="Fuente"/>
      </w:pPr>
      <w:r>
        <w:t xml:space="preserve">Véase </w:t>
      </w:r>
      <w:hyperlink w:history="1" w:anchor="b_figura_original_pagina_C_2_89">
        <w:r>
          <w:rPr>
            <w:color w:val="156B70"/>
            <w:u w:val="single"/>
          </w:rPr>
          <w:t xml:space="preserve">imagen de C-2, página 89</w:t>
        </w:r>
      </w:hyperlink>
      <w:r>
        <w:t xml:space="preserve">, pág. </w:t>
      </w:r>
      <w:r>
        <w:fldChar w:fldCharType="begin"/>
        <w:instrText xml:space="preserve">PAGEREF b_figura_original_pagina_C_2_89 \h</w:instrText>
        <w:fldChar w:fldCharType="separate"/>
        <w:t xml:space="preserve">559</w:t>
        <w:fldChar w:fldCharType="end"/>
      </w:r>
      <w:r>
        <w:t xml:space="preserve">.</w:t>
      </w:r>
    </w:p>
    <w:p>
      <w:bookmarkStart w:name="b_punto_c2_p089_03" w:id="3462"/>
      <w:r>
        <w:t xml:space="preserve">Las estructuras físicas pueden diseñarse según su función; una cocina comercial y una familiar comparten rasgos pero persiguen usos distintos.</w:t>
      </w:r>
      <w:bookmarkEnd w:id="3462"/>
    </w:p>
    <w:p>
      <w:pPr>
        <w:pStyle w:val="Fuente"/>
      </w:pPr>
      <w:r>
        <w:t xml:space="preserve">Véase </w:t>
      </w:r>
      <w:hyperlink w:history="1" w:anchor="b_3_6">
        <w:r>
          <w:rPr>
            <w:color w:val="156B70"/>
            <w:u w:val="single"/>
          </w:rPr>
          <w:t xml:space="preserve">capítulo 3.6 · Modelación dinámica</w:t>
        </w:r>
      </w:hyperlink>
      <w:r>
        <w:t xml:space="preserve">, pág. </w:t>
      </w:r>
      <w:r>
        <w:fldChar w:fldCharType="begin"/>
        <w:instrText xml:space="preserve">PAGEREF b_3_6 \h</w:instrText>
        <w:fldChar w:fldCharType="separate"/>
        <w:t xml:space="preserve">537</w:t>
        <w:fldChar w:fldCharType="end"/>
      </w:r>
      <w:r>
        <w:t xml:space="preserve">.</w:t>
      </w:r>
    </w:p>
    <w:p>
      <w:pPr>
        <w:pStyle w:val="Heading3"/>
      </w:pPr>
      <w:bookmarkStart w:name="b_pagina_3_9_C_2_p97" w:id="3463"/>
      <w:r>
        <w:t xml:space="preserve">C-2 · página 97 · Los cinco hábitos del pensador sistémico complejo</w:t>
      </w:r>
      <w:bookmarkEnd w:id="3463"/>
    </w:p>
    <w:p>
      <w:pPr>
        <w:pStyle w:val="Normal"/>
      </w:pPr>
      <w:r>
        <w:t xml:space="preserve">Repite la banda de patrones, conexiones, circularidad, estructura y demoras.</w:t>
      </w:r>
    </w:p>
    <w:p>
      <w:pPr>
        <w:pStyle w:val="Fuente"/>
      </w:pPr>
      <w:r>
        <w:t xml:space="preserve">Proyección o explicación: Clase 16 · 00:12:41 · captura c16-01.</w:t>
      </w:r>
    </w:p>
    <w:p>
      <w:pPr>
        <w:pStyle w:val="Fuente"/>
      </w:pPr>
      <w:r>
        <w:t xml:space="preserve">Véase </w:t>
      </w:r>
      <w:hyperlink w:history="1" w:anchor="b_figura_original_pagina_C_2_97">
        <w:r>
          <w:rPr>
            <w:color w:val="156B70"/>
            <w:u w:val="single"/>
          </w:rPr>
          <w:t xml:space="preserve">imagen de C-2, página 97</w:t>
        </w:r>
      </w:hyperlink>
      <w:r>
        <w:t xml:space="preserve">, pág. </w:t>
      </w:r>
      <w:r>
        <w:fldChar w:fldCharType="begin"/>
        <w:instrText xml:space="preserve">PAGEREF b_figura_original_pagina_C_2_97 \h</w:instrText>
        <w:fldChar w:fldCharType="separate"/>
        <w:t xml:space="preserve">603</w:t>
        <w:fldChar w:fldCharType="end"/>
      </w:r>
      <w:r>
        <w:t xml:space="preserve">.</w:t>
      </w:r>
    </w:p>
    <w:p>
      <w:bookmarkStart w:name="b_punto_c2_p097_02" w:id="3464"/>
      <w:r>
        <w:t xml:space="preserve">Hacer conexiones significativas dentro y entre sistemas es otro de los cinco.</w:t>
      </w:r>
      <w:bookmarkEnd w:id="3464"/>
    </w:p>
    <w:p>
      <w:bookmarkStart w:name="b_punto_c2_p097_03" w:id="3465"/>
      <w:r>
        <w:t xml:space="preserve">Identificar la naturaleza circular de las relaciones complejas integra ese repertorio.</w:t>
      </w:r>
      <w:bookmarkEnd w:id="3465"/>
    </w:p>
    <w:p>
      <w:bookmarkStart w:name="b_punto_c2_p097_04" w:id="3466"/>
      <w:r>
        <w:t xml:space="preserve">Reconocer que la estructura genera el comportamiento dirige la búsqueda de explicaciones.</w:t>
      </w:r>
      <w:bookmarkEnd w:id="3466"/>
    </w:p>
    <w:p>
      <w:bookmarkStart w:name="b_punto_c2_p097_06" w:id="3467"/>
      <w:r>
        <w:t xml:space="preserve">Conexiones significativas pertenece a los cinco hábitos complejos; no se le asigna un ordinal sin definir el orden de exposición.</w:t>
      </w:r>
      <w:bookmarkEnd w:id="3467"/>
    </w:p>
    <w:p>
      <w:pPr>
        <w:pStyle w:val="Fuente"/>
      </w:pPr>
      <w:r>
        <w:t xml:space="preserve">Véase </w:t>
      </w:r>
      <w:hyperlink w:history="1" w:anchor="b_3_8">
        <w:r>
          <w:rPr>
            <w:color w:val="156B70"/>
            <w:u w:val="single"/>
          </w:rPr>
          <w:t xml:space="preserve">capítulo 3.8 · Patrones y tendencias</w:t>
        </w:r>
      </w:hyperlink>
      <w:r>
        <w:t xml:space="preserve">, pág. </w:t>
      </w:r>
      <w:r>
        <w:fldChar w:fldCharType="begin"/>
        <w:instrText xml:space="preserve">PAGEREF b_3_8 \h</w:instrText>
        <w:fldChar w:fldCharType="separate"/>
        <w:t xml:space="preserve">597</w:t>
        <w:fldChar w:fldCharType="end"/>
      </w:r>
      <w:r>
        <w:t xml:space="preserve">.</w:t>
      </w:r>
    </w:p>
    <w:p>
      <w:pPr>
        <w:pStyle w:val="Fuente"/>
      </w:pPr>
      <w:r>
        <w:t xml:space="preserve">Véase </w:t>
      </w:r>
      <w:hyperlink w:history="1" w:anchor="b_3_7">
        <w:r>
          <w:rPr>
            <w:color w:val="156B70"/>
            <w:u w:val="single"/>
          </w:rPr>
          <w:t xml:space="preserve">capítulo 3.7 · Demoras de tiempo</w:t>
        </w:r>
      </w:hyperlink>
      <w:r>
        <w:t xml:space="preserve">, pág. </w:t>
      </w:r>
      <w:r>
        <w:fldChar w:fldCharType="begin"/>
        <w:instrText xml:space="preserve">PAGEREF b_3_7 \h</w:instrText>
        <w:fldChar w:fldCharType="separate"/>
        <w:t xml:space="preserve">580</w:t>
        <w:fldChar w:fldCharType="end"/>
      </w:r>
      <w:r>
        <w:t xml:space="preserve">.</w:t>
      </w:r>
    </w:p>
    <w:p>
      <w:pPr>
        <w:pStyle w:val="Heading3"/>
      </w:pPr>
      <w:bookmarkStart w:name="b_pagina_3_9_C_2_p104" w:id="3468"/>
      <w:r>
        <w:t xml:space="preserve">C-2 · página 104 · Los cinco hábitos del pensador sistémico complejo</w:t>
      </w:r>
      <w:bookmarkEnd w:id="3468"/>
    </w:p>
    <w:p>
      <w:pPr>
        <w:pStyle w:val="Normal"/>
      </w:pPr>
      <w:r>
        <w:t xml:space="preserve">Repite el repertorio de cinco hábitos que permite leer estructura, tiempo e interdependencias.</w:t>
      </w:r>
    </w:p>
    <w:p>
      <w:pPr>
        <w:pStyle w:val="Fuente"/>
      </w:pPr>
      <w:r>
        <w:t xml:space="preserve">Proyección o explicación: Clase 16 · 01:06:16 · captura c16-10.</w:t>
      </w:r>
    </w:p>
    <w:p>
      <w:bookmarkStart w:name="b_punto_c2_p104_02" w:id="3469"/>
      <w:r>
        <w:t xml:space="preserve">Hacer conexiones significativas dentro y entre sistemas es otro de los cinco.</w:t>
      </w:r>
      <w:bookmarkEnd w:id="3469"/>
    </w:p>
    <w:p>
      <w:bookmarkStart w:name="b_punto_c2_p104_03" w:id="3470"/>
      <w:r>
        <w:t xml:space="preserve">Identificar la naturaleza circular de las relaciones complejas integra ese repertorio.</w:t>
      </w:r>
      <w:bookmarkEnd w:id="3470"/>
    </w:p>
    <w:p>
      <w:bookmarkStart w:name="b_punto_c2_p104_04" w:id="3471"/>
      <w:r>
        <w:t xml:space="preserve">Reconocer que la estructura genera el comportamiento dirige la búsqueda de explicaciones.</w:t>
      </w:r>
      <w:bookmarkEnd w:id="3471"/>
    </w:p>
    <w:p>
      <w:pPr>
        <w:pStyle w:val="Fuente"/>
      </w:pPr>
      <w:r>
        <w:t xml:space="preserve">Véase </w:t>
      </w:r>
      <w:hyperlink w:history="1" w:anchor="b_3_8">
        <w:r>
          <w:rPr>
            <w:color w:val="156B70"/>
            <w:u w:val="single"/>
          </w:rPr>
          <w:t xml:space="preserve">capítulo 3.8 · Patrones y tendencias</w:t>
        </w:r>
      </w:hyperlink>
      <w:r>
        <w:t xml:space="preserve">, pág. </w:t>
      </w:r>
      <w:r>
        <w:fldChar w:fldCharType="begin"/>
        <w:instrText xml:space="preserve">PAGEREF b_3_8 \h</w:instrText>
        <w:fldChar w:fldCharType="separate"/>
        <w:t xml:space="preserve">597</w:t>
        <w:fldChar w:fldCharType="end"/>
      </w:r>
      <w:r>
        <w:t xml:space="preserve">.</w:t>
      </w:r>
    </w:p>
    <w:p>
      <w:pPr>
        <w:pStyle w:val="Fuente"/>
      </w:pPr>
      <w:r>
        <w:t xml:space="preserve">Véase </w:t>
      </w:r>
      <w:hyperlink w:history="1" w:anchor="b_3_7">
        <w:r>
          <w:rPr>
            <w:color w:val="156B70"/>
            <w:u w:val="single"/>
          </w:rPr>
          <w:t xml:space="preserve">capítulo 3.7 · Demoras de tiempo</w:t>
        </w:r>
      </w:hyperlink>
      <w:r>
        <w:t xml:space="preserve">, pág. </w:t>
      </w:r>
      <w:r>
        <w:fldChar w:fldCharType="begin"/>
        <w:instrText xml:space="preserve">PAGEREF b_3_7 \h</w:instrText>
        <w:fldChar w:fldCharType="separate"/>
        <w:t xml:space="preserve">580</w:t>
        <w:fldChar w:fldCharType="end"/>
      </w:r>
      <w:r>
        <w:t xml:space="preserve">.</w:t>
      </w:r>
    </w:p>
    <w:p>
      <w:pPr>
        <w:pStyle w:val="Heading3"/>
      </w:pPr>
      <w:bookmarkStart w:name="b_pagina_3_9_C_2_p123" w:id="3472"/>
      <w:r>
        <w:t xml:space="preserve">C-2 · página 123 · Los cinco hábitos del pensador sistémico complejo</w:t>
      </w:r>
      <w:bookmarkEnd w:id="3472"/>
    </w:p>
    <w:p>
      <w:pPr>
        <w:pStyle w:val="Normal"/>
      </w:pPr>
      <w:r>
        <w:t xml:space="preserve">Cierre del repertorio de patrones, conexiones, circularidad, estructura y demoras.</w:t>
      </w:r>
    </w:p>
    <w:p>
      <w:bookmarkStart w:name="b_punto_c2_p123_02" w:id="3473"/>
      <w:r>
        <w:t xml:space="preserve">Hacer conexiones significativas dentro y entre sistemas es otro de los cinco.</w:t>
      </w:r>
      <w:bookmarkEnd w:id="3473"/>
    </w:p>
    <w:p>
      <w:bookmarkStart w:name="b_punto_c2_p123_03" w:id="3474"/>
      <w:r>
        <w:t xml:space="preserve">Identificar la naturaleza circular de las relaciones complejas integra ese repertorio.</w:t>
      </w:r>
      <w:bookmarkEnd w:id="3474"/>
    </w:p>
    <w:p>
      <w:bookmarkStart w:name="b_punto_c2_p123_04" w:id="3475"/>
      <w:r>
        <w:t xml:space="preserve">Reconocer que la estructura genera el comportamiento dirige la búsqueda de explicaciones.</w:t>
      </w:r>
      <w:bookmarkEnd w:id="3475"/>
    </w:p>
    <w:p>
      <w:pPr>
        <w:pStyle w:val="Fuente"/>
      </w:pPr>
      <w:r>
        <w:t xml:space="preserve">Véase </w:t>
      </w:r>
      <w:hyperlink w:history="1" w:anchor="b_3_8">
        <w:r>
          <w:rPr>
            <w:color w:val="156B70"/>
            <w:u w:val="single"/>
          </w:rPr>
          <w:t xml:space="preserve">capítulo 3.8 · Patrones y tendencias</w:t>
        </w:r>
      </w:hyperlink>
      <w:r>
        <w:t xml:space="preserve">, pág. </w:t>
      </w:r>
      <w:r>
        <w:fldChar w:fldCharType="begin"/>
        <w:instrText xml:space="preserve">PAGEREF b_3_8 \h</w:instrText>
        <w:fldChar w:fldCharType="separate"/>
        <w:t xml:space="preserve">597</w:t>
        <w:fldChar w:fldCharType="end"/>
      </w:r>
      <w:r>
        <w:t xml:space="preserve">.</w:t>
      </w:r>
    </w:p>
    <w:p>
      <w:pPr>
        <w:pStyle w:val="Fuente"/>
      </w:pPr>
      <w:r>
        <w:t xml:space="preserve">Véase </w:t>
      </w:r>
      <w:hyperlink w:history="1" w:anchor="b_3_7">
        <w:r>
          <w:rPr>
            <w:color w:val="156B70"/>
            <w:u w:val="single"/>
          </w:rPr>
          <w:t xml:space="preserve">capítulo 3.7 · Demoras de tiempo</w:t>
        </w:r>
      </w:hyperlink>
      <w:r>
        <w:t xml:space="preserve">, pág. </w:t>
      </w:r>
      <w:r>
        <w:fldChar w:fldCharType="begin"/>
        <w:instrText xml:space="preserve">PAGEREF b_3_7 \h</w:instrText>
        <w:fldChar w:fldCharType="separate"/>
        <w:t xml:space="preserve">580</w:t>
        <w:fldChar w:fldCharType="end"/>
      </w:r>
      <w:r>
        <w:t xml:space="preserve">.</w:t>
      </w:r>
    </w:p>
    <w:p>
      <w:pPr>
        <w:pStyle w:val="Heading3"/>
      </w:pPr>
      <w:r>
        <w:t xml:space="preserve">Lo que explicó el profesor en clase</w:t>
      </w:r>
    </w:p>
    <w:p>
      <w:pPr>
        <w:pStyle w:val="Heading3"/>
      </w:pPr>
      <w:bookmarkStart w:name="b_clase_3_9_c10_cap_09" w:id="3476"/>
      <w:r>
        <w:t xml:space="preserve">Clase 10 · 01:12:13–01:24:00 · Barras y la regla de perspectivas</w:t>
      </w:r>
      <w:bookmarkEnd w:id="3476"/>
    </w:p>
    <w:p>
      <w:bookmarkStart w:name="b_punto_c10_cap_09_p09" w:id="3477"/>
      <w:r>
        <w:t xml:space="preserve">Cambiar perspectiva requiere reconocer la propia y descubrir otras para poder distinguirlas.</w:t>
      </w:r>
      <w:bookmarkEnd w:id="3477"/>
    </w:p>
    <w:p>
      <w:pPr>
        <w:pStyle w:val="Fuente"/>
      </w:pPr>
      <w:r>
        <w:t xml:space="preserve">Véase </w:t>
      </w:r>
      <w:hyperlink w:history="1" w:anchor="b_3_2">
        <w:r>
          <w:rPr>
            <w:color w:val="156B70"/>
            <w:u w:val="single"/>
          </w:rPr>
          <w:t xml:space="preserve">capítulo 3.2 · Mapas DSRP generales</w:t>
        </w:r>
      </w:hyperlink>
      <w:r>
        <w:t xml:space="preserve">, pág. </w:t>
      </w:r>
      <w:r>
        <w:fldChar w:fldCharType="begin"/>
        <w:instrText xml:space="preserve">PAGEREF b_3_2 \h</w:instrText>
        <w:fldChar w:fldCharType="separate"/>
        <w:t xml:space="preserve">404</w:t>
        <w:fldChar w:fldCharType="end"/>
      </w:r>
      <w:r>
        <w:t xml:space="preserve">.</w:t>
      </w:r>
    </w:p>
    <w:p>
      <w:pPr>
        <w:pStyle w:val="Fuente"/>
      </w:pPr>
      <w:r>
        <w:t xml:space="preserve">Véase </w:t>
      </w:r>
      <w:hyperlink w:history="1" w:anchor="b_3_4">
        <w:r>
          <w:rPr>
            <w:color w:val="156B70"/>
            <w:u w:val="single"/>
          </w:rPr>
          <w:t xml:space="preserve">capítulo 3.4 · Interdependencias sistémicas</w:t>
        </w:r>
      </w:hyperlink>
      <w:r>
        <w:t xml:space="preserve">, pág. </w:t>
      </w:r>
      <w:r>
        <w:fldChar w:fldCharType="begin"/>
        <w:instrText xml:space="preserve">PAGEREF b_3_4 \h</w:instrText>
        <w:fldChar w:fldCharType="separate"/>
        <w:t xml:space="preserve">476</w:t>
        <w:fldChar w:fldCharType="end"/>
      </w:r>
      <w:r>
        <w:t xml:space="preserve">.</w:t>
      </w:r>
    </w:p>
    <w:p>
      <w:pPr>
        <w:pStyle w:val="Heading3"/>
      </w:pPr>
      <w:bookmarkStart w:name="b_clase_3_9_c11_cap_07" w:id="3478"/>
      <w:r>
        <w:t xml:space="preserve">Clase 11 · 00:51:35–00:58:49 · Los hábitos y las conexiones significativas</w:t>
      </w:r>
      <w:bookmarkEnd w:id="3478"/>
    </w:p>
    <w:p>
      <w:bookmarkStart w:name="b_punto_c11_cap_07_p01" w:id="3479"/>
      <w:r>
        <w:t xml:space="preserve">A los cuatro hábitos de modelos mentales se añaden cinco de estructuras: el póster tiene dos bandas.</w:t>
      </w:r>
      <w:bookmarkEnd w:id="3479"/>
    </w:p>
    <w:p>
      <w:bookmarkStart w:name="b_punto_c11_cap_07_p02" w:id="3480"/>
      <w:r>
        <w:t xml:space="preserve">Patrones, conexiones, causalidad circular, estructura que genera comportamiento y demoras</w:t>
      </w:r>
      <w:bookmarkEnd w:id="3480"/>
    </w:p>
    <w:p>
      <w:bookmarkStart w:name="b_punto_c11_cap_07_p03" w:id="3481"/>
      <w:r>
        <w:t xml:space="preserve">El iceberg lleva de eventos a patrones y estructuras para comprender las relaciones que generan emergencias.</w:t>
      </w:r>
      <w:bookmarkEnd w:id="3481"/>
    </w:p>
    <w:p>
      <w:bookmarkStart w:name="b_punto_c11_cap_07_p04" w:id="3482"/>
      <w:r>
        <w:t xml:space="preserve">El hábito de patrones temporales se pospone hasta comprender su relación con la estructura.</w:t>
      </w:r>
      <w:bookmarkEnd w:id="3482"/>
    </w:p>
    <w:p>
      <w:bookmarkStart w:name="b_punto_c11_cap_07_p05" w:id="3483"/>
      <w:r>
        <w:t xml:space="preserve">Conexiones significativas abarca interior y medio: secundaria aporta aspirantes y años después universidad produce profesionales.</w:t>
      </w:r>
      <w:bookmarkEnd w:id="3483"/>
    </w:p>
    <w:p>
      <w:bookmarkStart w:name="b_punto_c11_cap_07_p06" w:id="3484"/>
      <w:r>
        <w:t xml:space="preserve">Las flechas modelan enlaces causales y las preguntas del hábito estimulan buscar conexiones significativas.</w:t>
      </w:r>
      <w:bookmarkEnd w:id="3484"/>
    </w:p>
    <w:p>
      <w:pPr>
        <w:pStyle w:val="Heading3"/>
      </w:pPr>
      <w:bookmarkStart w:name="b_clase_3_9_c11_cap_10" w:id="3485"/>
      <w:r>
        <w:t xml:space="preserve">Clase 11 · 01:34:07–01:42:02 · Cierre: relaciones significativas y anuncios</w:t>
      </w:r>
      <w:bookmarkEnd w:id="3485"/>
    </w:p>
    <w:p>
      <w:bookmarkStart w:name="b_punto_c11_cap_10_p03" w:id="3486"/>
      <w:r>
        <w:t xml:space="preserve">Se añaden relaciones al adquirir conocimiento, filtrando las significativas para el propósito y dejando fuera lo menos pertinente.</w:t>
      </w:r>
      <w:bookmarkEnd w:id="3486"/>
    </w:p>
    <w:p>
      <w:pPr>
        <w:pStyle w:val="Fuente"/>
      </w:pPr>
      <w:r>
        <w:t xml:space="preserve">Véase </w:t>
      </w:r>
      <w:hyperlink w:history="1" w:anchor="b_3_2">
        <w:r>
          <w:rPr>
            <w:color w:val="156B70"/>
            <w:u w:val="single"/>
          </w:rPr>
          <w:t xml:space="preserve">capítulo 3.2 · Mapas DSRP generales</w:t>
        </w:r>
      </w:hyperlink>
      <w:r>
        <w:t xml:space="preserve">, pág. </w:t>
      </w:r>
      <w:r>
        <w:fldChar w:fldCharType="begin"/>
        <w:instrText xml:space="preserve">PAGEREF b_3_2 \h</w:instrText>
        <w:fldChar w:fldCharType="separate"/>
        <w:t xml:space="preserve">404</w:t>
        <w:fldChar w:fldCharType="end"/>
      </w:r>
      <w:r>
        <w:t xml:space="preserve">.</w:t>
      </w:r>
    </w:p>
    <w:p>
      <w:pPr>
        <w:pStyle w:val="Fuente"/>
      </w:pPr>
      <w:r>
        <w:t xml:space="preserve">Véase </w:t>
      </w:r>
      <w:hyperlink w:history="1" w:anchor="b_3_1">
        <w:r>
          <w:rPr>
            <w:color w:val="156B70"/>
            <w:u w:val="single"/>
          </w:rPr>
          <w:t xml:space="preserve">capítulo 3.1 · Mapas sistémicos</w:t>
        </w:r>
      </w:hyperlink>
      <w:r>
        <w:t xml:space="preserve">, pág. </w:t>
      </w:r>
      <w:r>
        <w:fldChar w:fldCharType="begin"/>
        <w:instrText xml:space="preserve">PAGEREF b_3_1 \h</w:instrText>
        <w:fldChar w:fldCharType="separate"/>
        <w:t xml:space="preserve">379</w:t>
        <w:fldChar w:fldCharType="end"/>
      </w:r>
      <w:r>
        <w:t xml:space="preserve">.</w:t>
      </w:r>
    </w:p>
    <w:p>
      <w:pPr>
        <w:pStyle w:val="Fuente"/>
      </w:pPr>
      <w:r>
        <w:t xml:space="preserve">Véase </w:t>
      </w:r>
      <w:hyperlink w:history="1" w:anchor="b_3_4">
        <w:r>
          <w:rPr>
            <w:color w:val="156B70"/>
            <w:u w:val="single"/>
          </w:rPr>
          <w:t xml:space="preserve">capítulo 3.4 · Interdependencias sistémicas</w:t>
        </w:r>
      </w:hyperlink>
      <w:r>
        <w:t xml:space="preserve">, pág. </w:t>
      </w:r>
      <w:r>
        <w:fldChar w:fldCharType="begin"/>
        <w:instrText xml:space="preserve">PAGEREF b_3_4 \h</w:instrText>
        <w:fldChar w:fldCharType="separate"/>
        <w:t xml:space="preserve">476</w:t>
        <w:fldChar w:fldCharType="end"/>
      </w:r>
      <w:r>
        <w:t xml:space="preserve">.</w:t>
      </w:r>
    </w:p>
    <w:p>
      <w:pPr>
        <w:pStyle w:val="Heading3"/>
      </w:pPr>
      <w:bookmarkStart w:name="b_clase_3_9_c12_cap_04" w:id="3487"/>
      <w:r>
        <w:t xml:space="preserve">Clase 12 · 00:34:17–00:41:52 · Segunda tarea y abstracción de variables</w:t>
      </w:r>
      <w:bookmarkEnd w:id="3487"/>
    </w:p>
    <w:p>
      <w:bookmarkStart w:name="b_punto_c12_cap_04_p05" w:id="3488"/>
      <w:r>
        <w:t xml:space="preserve">Generalizar permite concentrarse en estructura y reconocer dinámicas similares con contenido diferente.</w:t>
      </w:r>
      <w:bookmarkEnd w:id="3488"/>
    </w:p>
    <w:p>
      <w:pPr>
        <w:pStyle w:val="Fuente"/>
      </w:pPr>
      <w:r>
        <w:t xml:space="preserve">Véase </w:t>
      </w:r>
      <w:hyperlink w:history="1" w:anchor="b_3_1">
        <w:r>
          <w:rPr>
            <w:color w:val="156B70"/>
            <w:u w:val="single"/>
          </w:rPr>
          <w:t xml:space="preserve">capítulo 3.1 · Mapas sistémicos</w:t>
        </w:r>
      </w:hyperlink>
      <w:r>
        <w:t xml:space="preserve">, pág. </w:t>
      </w:r>
      <w:r>
        <w:fldChar w:fldCharType="begin"/>
        <w:instrText xml:space="preserve">PAGEREF b_3_1 \h</w:instrText>
        <w:fldChar w:fldCharType="separate"/>
        <w:t xml:space="preserve">379</w:t>
        <w:fldChar w:fldCharType="end"/>
      </w:r>
      <w:r>
        <w:t xml:space="preserve">.</w:t>
      </w:r>
    </w:p>
    <w:p>
      <w:pPr>
        <w:pStyle w:val="Heading3"/>
      </w:pPr>
      <w:bookmarkStart w:name="b_clase_3_9_c12_cap_05" w:id="3489"/>
      <w:r>
        <w:t xml:space="preserve">Clase 12 · 00:41:52–00:53:36 · Los cinco hábitos y las conexiones significativas</w:t>
      </w:r>
      <w:bookmarkEnd w:id="3489"/>
    </w:p>
    <w:p>
      <w:bookmarkStart w:name="b_punto_c12_cap_05_p01" w:id="3490"/>
      <w:r>
        <w:t xml:space="preserve">Las cinco prácticas de estructuras vuelven conscientes las conexiones dentro del sistema y con su medio.</w:t>
      </w:r>
      <w:bookmarkEnd w:id="3490"/>
    </w:p>
    <w:p>
      <w:bookmarkStart w:name="b_punto_c12_cap_05_p04" w:id="3491"/>
      <w:r>
        <w:t xml:space="preserve">Hay relaciones comunicativas, laborales, familiares y emocionales; comer una planta alimenta al animal y daña la planta.</w:t>
      </w:r>
      <w:bookmarkEnd w:id="3491"/>
    </w:p>
    <w:p>
      <w:pPr>
        <w:pStyle w:val="Fuente"/>
      </w:pPr>
      <w:r>
        <w:t xml:space="preserve">Véase </w:t>
      </w:r>
      <w:hyperlink w:history="1" w:anchor="b_3_4">
        <w:r>
          <w:rPr>
            <w:color w:val="156B70"/>
            <w:u w:val="single"/>
          </w:rPr>
          <w:t xml:space="preserve">capítulo 3.4 · Interdependencias sistémicas</w:t>
        </w:r>
      </w:hyperlink>
      <w:r>
        <w:t xml:space="preserve">, pág. </w:t>
      </w:r>
      <w:r>
        <w:fldChar w:fldCharType="begin"/>
        <w:instrText xml:space="preserve">PAGEREF b_3_4 \h</w:instrText>
        <w:fldChar w:fldCharType="separate"/>
        <w:t xml:space="preserve">476</w:t>
        <w:fldChar w:fldCharType="end"/>
      </w:r>
      <w:r>
        <w:t xml:space="preserve">.</w:t>
      </w:r>
    </w:p>
    <w:p>
      <w:pPr>
        <w:pStyle w:val="Heading3"/>
      </w:pPr>
      <w:bookmarkStart w:name="b_clase_3_9_c12_cap_09" w:id="3492"/>
      <w:r>
        <w:t xml:space="preserve">Clase 12 · 01:19:07–01:36:55 · Transferencia y mentalidad de crecimiento</w:t>
      </w:r>
      <w:bookmarkEnd w:id="3492"/>
    </w:p>
    <w:p>
      <w:bookmarkStart w:name="b_punto_c12_cap_09_p04" w:id="3493"/>
      <w:r>
        <w:t xml:space="preserve">Transferencia es aplicar comprensión por analogía a otro sistema de estructura similar.</w:t>
      </w:r>
      <w:bookmarkEnd w:id="3493"/>
    </w:p>
    <w:p>
      <w:bookmarkStart w:name="b_punto_c12_cap_09_p05" w:id="3494"/>
      <w:r>
        <w:t xml:space="preserve">La mentalidad de crecimiento se compara con cultivo: conocimientos producen aprendizajes, nuevos modelos y conceptos.</w:t>
      </w:r>
      <w:bookmarkEnd w:id="3494"/>
    </w:p>
    <w:p>
      <w:bookmarkStart w:name="b_punto_c12_cap_09_p07" w:id="3495"/>
      <w:r>
        <w:t xml:space="preserve">Tomate, mandarina y melocotón cambian en contenido, pero el ciclo genérico ayuda a reconocer similitudes y variantes.</w:t>
      </w:r>
      <w:bookmarkEnd w:id="3495"/>
    </w:p>
    <w:p>
      <w:bookmarkStart w:name="b_punto_c12_cap_09_p08" w:id="3496"/>
      <w:r>
        <w:t xml:space="preserve">Empresas de compraventa comparten proveedor, compra, preparación, publicidad, mercado y venta; cambian producto, lugar, personas o moneda.</w:t>
      </w:r>
      <w:bookmarkEnd w:id="3496"/>
    </w:p>
    <w:p>
      <w:bookmarkStart w:name="b_punto_c12_cap_09_p09" w:id="3497"/>
      <w:r>
        <w:t xml:space="preserve">Saber piano facilita otro instrumento; se sustituye lo genérico por conceptos de otro sistema comparable.</w:t>
      </w:r>
      <w:bookmarkEnd w:id="3497"/>
    </w:p>
    <w:p>
      <w:bookmarkStart w:name="b_punto_c12_cap_09_p10" w:id="3498"/>
      <w:r>
        <w:t xml:space="preserve">Kim aprende un modelo contable general en capacitación y lo aplica en su empresa, como otros participantes en empresas diferentes.</w:t>
      </w:r>
      <w:bookmarkEnd w:id="3498"/>
    </w:p>
    <w:p>
      <w:pPr>
        <w:pStyle w:val="Fuente"/>
      </w:pPr>
      <w:r>
        <w:t xml:space="preserve">Véase </w:t>
      </w:r>
      <w:hyperlink w:history="1" w:anchor="b_3_4">
        <w:r>
          <w:rPr>
            <w:color w:val="156B70"/>
            <w:u w:val="single"/>
          </w:rPr>
          <w:t xml:space="preserve">capítulo 3.4 · Interdependencias sistémicas</w:t>
        </w:r>
      </w:hyperlink>
      <w:r>
        <w:t xml:space="preserve">, pág. </w:t>
      </w:r>
      <w:r>
        <w:fldChar w:fldCharType="begin"/>
        <w:instrText xml:space="preserve">PAGEREF b_3_4 \h</w:instrText>
        <w:fldChar w:fldCharType="separate"/>
        <w:t xml:space="preserve">476</w:t>
        <w:fldChar w:fldCharType="end"/>
      </w:r>
      <w:r>
        <w:t xml:space="preserve">.</w:t>
      </w:r>
    </w:p>
    <w:p>
      <w:pPr>
        <w:pStyle w:val="Fuente"/>
      </w:pPr>
      <w:r>
        <w:t xml:space="preserve">Véase </w:t>
      </w:r>
      <w:hyperlink w:history="1" w:anchor="b_3_1">
        <w:r>
          <w:rPr>
            <w:color w:val="156B70"/>
            <w:u w:val="single"/>
          </w:rPr>
          <w:t xml:space="preserve">capítulo 3.1 · Mapas sistémicos</w:t>
        </w:r>
      </w:hyperlink>
      <w:r>
        <w:t xml:space="preserve">, pág. </w:t>
      </w:r>
      <w:r>
        <w:fldChar w:fldCharType="begin"/>
        <w:instrText xml:space="preserve">PAGEREF b_3_1 \h</w:instrText>
        <w:fldChar w:fldCharType="separate"/>
        <w:t xml:space="preserve">379</w:t>
        <w:fldChar w:fldCharType="end"/>
      </w:r>
      <w:r>
        <w:t xml:space="preserve">.</w:t>
      </w:r>
    </w:p>
    <w:p>
      <w:pPr>
        <w:pStyle w:val="Fuente"/>
      </w:pPr>
      <w:r>
        <w:t xml:space="preserve">Véase </w:t>
      </w:r>
      <w:hyperlink w:history="1" w:anchor="b_3_7">
        <w:r>
          <w:rPr>
            <w:color w:val="156B70"/>
            <w:u w:val="single"/>
          </w:rPr>
          <w:t xml:space="preserve">capítulo 3.7 · Demoras de tiempo</w:t>
        </w:r>
      </w:hyperlink>
      <w:r>
        <w:t xml:space="preserve">, pág. </w:t>
      </w:r>
      <w:r>
        <w:fldChar w:fldCharType="begin"/>
        <w:instrText xml:space="preserve">PAGEREF b_3_7 \h</w:instrText>
        <w:fldChar w:fldCharType="separate"/>
        <w:t xml:space="preserve">580</w:t>
        <w:fldChar w:fldCharType="end"/>
      </w:r>
      <w:r>
        <w:t xml:space="preserve">.</w:t>
      </w:r>
    </w:p>
    <w:p>
      <w:pPr>
        <w:pStyle w:val="Heading3"/>
      </w:pPr>
      <w:bookmarkStart w:name="b_clase_3_9_c12_cap_10" w:id="3499"/>
      <w:r>
        <w:t xml:space="preserve">Clase 12 · 01:36:55–01:41:12 · Cierre y recordatorio de las dos tareas</w:t>
      </w:r>
      <w:bookmarkEnd w:id="3499"/>
    </w:p>
    <w:p>
      <w:bookmarkStart w:name="b_punto_c12_cap_10_p01" w:id="3500"/>
      <w:r>
        <w:t xml:space="preserve">Conexiones significativas es el primero de los cinco hábitos de estructuras por desarrollar con sistemas de naturaleza distinta.</w:t>
      </w:r>
      <w:bookmarkEnd w:id="3500"/>
    </w:p>
    <w:p>
      <w:pPr>
        <w:pStyle w:val="Fuente"/>
      </w:pPr>
      <w:r>
        <w:t xml:space="preserve">Véase </w:t>
      </w:r>
      <w:hyperlink w:history="1" w:anchor="b_3_4">
        <w:r>
          <w:rPr>
            <w:color w:val="156B70"/>
            <w:u w:val="single"/>
          </w:rPr>
          <w:t xml:space="preserve">capítulo 3.4 · Interdependencias sistémicas</w:t>
        </w:r>
      </w:hyperlink>
      <w:r>
        <w:t xml:space="preserve">, pág. </w:t>
      </w:r>
      <w:r>
        <w:fldChar w:fldCharType="begin"/>
        <w:instrText xml:space="preserve">PAGEREF b_3_4 \h</w:instrText>
        <w:fldChar w:fldCharType="separate"/>
        <w:t xml:space="preserve">476</w:t>
        <w:fldChar w:fldCharType="end"/>
      </w:r>
      <w:r>
        <w:t xml:space="preserve">.</w:t>
      </w:r>
    </w:p>
    <w:p>
      <w:pPr>
        <w:pStyle w:val="Heading3"/>
      </w:pPr>
      <w:bookmarkStart w:name="b_clase_3_9_c13_cap_02" w:id="3501"/>
      <w:r>
        <w:t xml:space="preserve">Clase 13 · 00:15:51–00:25:14 · Conectividad y algoritmos como cadenas causales</w:t>
      </w:r>
      <w:bookmarkEnd w:id="3501"/>
    </w:p>
    <w:p>
      <w:bookmarkStart w:name="b_punto_c13_cap_02_p01" w:id="3502"/>
      <w:r>
        <w:t xml:space="preserve">Conexiones significativas se buscan hacia dentro entre partes o hacia fuera con sistemas del medio; el nivel de detalle depende del interés del modelador.</w:t>
      </w:r>
      <w:bookmarkEnd w:id="3502"/>
    </w:p>
    <w:p>
      <w:bookmarkStart w:name="b_punto_c13_cap_02_p04" w:id="3503"/>
      <w:r>
        <w:t xml:space="preserve">En sistemas humanos las relaciones pueden ser de comunicación, emocionales, laborales o de enseñanza-aprendizaje; la información se organiza en conceptos y relaciones.</w:t>
      </w:r>
      <w:bookmarkEnd w:id="3503"/>
    </w:p>
    <w:p>
      <w:bookmarkStart w:name="b_punto_c13_cap_02_p06" w:id="3504"/>
      <w:r>
        <w:t xml:space="preserve">Los ejemplos de conectividad incluyen personas, animales y plantas, y redes de computadoras alámbricas o inalámbricas.</w:t>
      </w:r>
      <w:bookmarkEnd w:id="3504"/>
    </w:p>
    <w:p>
      <w:bookmarkStart w:name="b_punto_c13_cap_02_p07" w:id="3505"/>
      <w:r>
        <w:t xml:space="preserve">Comprender la lógica de operación sirve para optimizar resultados, resolver dificultades o simplemente describir el funcionamiento de un sistema.</w:t>
      </w:r>
      <w:bookmarkEnd w:id="3505"/>
    </w:p>
    <w:p>
      <w:bookmarkStart w:name="b_punto_c13_cap_02_p08" w:id="3506"/>
      <w:r>
        <w:t xml:space="preserve">Transferir entre sistemas con una estructura de interacciones pertinente ayuda a comprender, aprender y trabajar; las conexiones humanas se presentan como un aporte al bienestar.</w:t>
      </w:r>
      <w:bookmarkEnd w:id="3506"/>
    </w:p>
    <w:p>
      <w:pPr>
        <w:pStyle w:val="Fuente"/>
      </w:pPr>
      <w:r>
        <w:t xml:space="preserve">Véase </w:t>
      </w:r>
      <w:hyperlink w:history="1" w:anchor="b_3_1">
        <w:r>
          <w:rPr>
            <w:color w:val="156B70"/>
            <w:u w:val="single"/>
          </w:rPr>
          <w:t xml:space="preserve">capítulo 3.1 · Mapas sistémicos</w:t>
        </w:r>
      </w:hyperlink>
      <w:r>
        <w:t xml:space="preserve">, pág. </w:t>
      </w:r>
      <w:r>
        <w:fldChar w:fldCharType="begin"/>
        <w:instrText xml:space="preserve">PAGEREF b_3_1 \h</w:instrText>
        <w:fldChar w:fldCharType="separate"/>
        <w:t xml:space="preserve">379</w:t>
        <w:fldChar w:fldCharType="end"/>
      </w:r>
      <w:r>
        <w:t xml:space="preserve">.</w:t>
      </w:r>
    </w:p>
    <w:p>
      <w:pPr>
        <w:pStyle w:val="Fuente"/>
      </w:pPr>
      <w:r>
        <w:t xml:space="preserve">Véase </w:t>
      </w:r>
      <w:hyperlink w:history="1" w:anchor="b_3_4">
        <w:r>
          <w:rPr>
            <w:color w:val="156B70"/>
            <w:u w:val="single"/>
          </w:rPr>
          <w:t xml:space="preserve">capítulo 3.4 · Interdependencias sistémicas</w:t>
        </w:r>
      </w:hyperlink>
      <w:r>
        <w:t xml:space="preserve">, pág. </w:t>
      </w:r>
      <w:r>
        <w:fldChar w:fldCharType="begin"/>
        <w:instrText xml:space="preserve">PAGEREF b_3_4 \h</w:instrText>
        <w:fldChar w:fldCharType="separate"/>
        <w:t xml:space="preserve">476</w:t>
        <w:fldChar w:fldCharType="end"/>
      </w:r>
      <w:r>
        <w:t xml:space="preserve">.</w:t>
      </w:r>
    </w:p>
    <w:p>
      <w:pPr>
        <w:pStyle w:val="Heading3"/>
      </w:pPr>
      <w:bookmarkStart w:name="b_clase_3_9_c13_cap_04" w:id="3507"/>
      <w:r>
        <w:t xml:space="preserve">Clase 13 · 00:31:59–00:43:51 · Variables, ciclos y escalas de tiempo</w:t>
      </w:r>
      <w:bookmarkEnd w:id="3507"/>
    </w:p>
    <w:p>
      <w:bookmarkStart w:name="b_punto_c13_cap_04_p02" w:id="3508"/>
      <w:r>
        <w:t xml:space="preserve">Al cambiar de sistema cambian los conceptos y manifestaciones, mientras una estructura relacional general puede conservarse para comparar los casos.</w:t>
      </w:r>
      <w:bookmarkEnd w:id="3508"/>
    </w:p>
    <w:p>
      <w:pPr>
        <w:pStyle w:val="Fuente"/>
      </w:pPr>
      <w:r>
        <w:t xml:space="preserve">Véase </w:t>
      </w:r>
      <w:hyperlink w:history="1" w:anchor="b_senales_examen">
        <w:r>
          <w:rPr>
            <w:color w:val="156B70"/>
            <w:u w:val="single"/>
          </w:rPr>
          <w:t xml:space="preserve">1 indicación(es) de examen de este tramo, en el apéndice cronológico</w:t>
        </w:r>
      </w:hyperlink>
      <w:r>
        <w:t xml:space="preserve">, pág. </w:t>
      </w:r>
      <w:r>
        <w:fldChar w:fldCharType="begin"/>
        <w:instrText xml:space="preserve">PAGEREF b_senales_examen \h</w:instrText>
        <w:fldChar w:fldCharType="separate"/>
        <w:t xml:space="preserve">1663</w:t>
        <w:fldChar w:fldCharType="end"/>
      </w:r>
      <w:r>
        <w:t xml:space="preserve">.</w:t>
      </w:r>
    </w:p>
    <w:p>
      <w:pPr>
        <w:pStyle w:val="Fuente"/>
      </w:pPr>
      <w:r>
        <w:t xml:space="preserve">Véase </w:t>
      </w:r>
      <w:hyperlink w:history="1" w:anchor="b_3_4">
        <w:r>
          <w:rPr>
            <w:color w:val="156B70"/>
            <w:u w:val="single"/>
          </w:rPr>
          <w:t xml:space="preserve">capítulo 3.4 · Interdependencias sistémicas</w:t>
        </w:r>
      </w:hyperlink>
      <w:r>
        <w:t xml:space="preserve">, pág. </w:t>
      </w:r>
      <w:r>
        <w:fldChar w:fldCharType="begin"/>
        <w:instrText xml:space="preserve">PAGEREF b_3_4 \h</w:instrText>
        <w:fldChar w:fldCharType="separate"/>
        <w:t xml:space="preserve">476</w:t>
        <w:fldChar w:fldCharType="end"/>
      </w:r>
      <w:r>
        <w:t xml:space="preserve">.</w:t>
      </w:r>
    </w:p>
    <w:p>
      <w:pPr>
        <w:pStyle w:val="Fuente"/>
      </w:pPr>
      <w:r>
        <w:t xml:space="preserve">Véase </w:t>
      </w:r>
      <w:hyperlink w:history="1" w:anchor="b_3_3">
        <w:r>
          <w:rPr>
            <w:color w:val="156B70"/>
            <w:u w:val="single"/>
          </w:rPr>
          <w:t xml:space="preserve">capítulo 3.3 · Diagramas de ciclos causales</w:t>
        </w:r>
      </w:hyperlink>
      <w:r>
        <w:t xml:space="preserve">, pág. </w:t>
      </w:r>
      <w:r>
        <w:fldChar w:fldCharType="begin"/>
        <w:instrText xml:space="preserve">PAGEREF b_3_3 \h</w:instrText>
        <w:fldChar w:fldCharType="separate"/>
        <w:t xml:space="preserve">443</w:t>
        <w:fldChar w:fldCharType="end"/>
      </w:r>
      <w:r>
        <w:t xml:space="preserve">.</w:t>
      </w:r>
    </w:p>
    <w:p>
      <w:pPr>
        <w:pStyle w:val="Heading3"/>
      </w:pPr>
      <w:bookmarkStart w:name="b_clase_3_9_c14_cap_02" w:id="3509"/>
      <w:r>
        <w:t xml:space="preserve">Clase 14 · 00:03:57–00:07:58 · La telaraña de ciclos y la convención de color</w:t>
      </w:r>
      <w:bookmarkEnd w:id="3509"/>
    </w:p>
    <w:p>
      <w:bookmarkStart w:name="b_punto_c14_cap_02_p01" w:id="3510"/>
      <w:r>
        <w:t xml:space="preserve">El pensamiento sistémico complejo identifica la naturaleza circular de relaciones causa/efecto y exige distinguir las características de los ciclos.</w:t>
      </w:r>
      <w:bookmarkEnd w:id="3510"/>
    </w:p>
    <w:p>
      <w:pPr>
        <w:pStyle w:val="Fuente"/>
      </w:pPr>
      <w:r>
        <w:t xml:space="preserve">Véase </w:t>
      </w:r>
      <w:hyperlink w:history="1" w:anchor="b_senales_examen">
        <w:r>
          <w:rPr>
            <w:color w:val="156B70"/>
            <w:u w:val="single"/>
          </w:rPr>
          <w:t xml:space="preserve">1 indicación(es) de examen de este tramo, en el apéndice cronológico</w:t>
        </w:r>
      </w:hyperlink>
      <w:r>
        <w:t xml:space="preserve">, pág. </w:t>
      </w:r>
      <w:r>
        <w:fldChar w:fldCharType="begin"/>
        <w:instrText xml:space="preserve">PAGEREF b_senales_examen \h</w:instrText>
        <w:fldChar w:fldCharType="separate"/>
        <w:t xml:space="preserve">1663</w:t>
        <w:fldChar w:fldCharType="end"/>
      </w:r>
      <w:r>
        <w:t xml:space="preserve">.</w:t>
      </w:r>
    </w:p>
    <w:p>
      <w:pPr>
        <w:pStyle w:val="Fuente"/>
      </w:pPr>
      <w:r>
        <w:t xml:space="preserve">Véase </w:t>
      </w:r>
      <w:hyperlink w:history="1" w:anchor="b_3_4">
        <w:r>
          <w:rPr>
            <w:color w:val="156B70"/>
            <w:u w:val="single"/>
          </w:rPr>
          <w:t xml:space="preserve">capítulo 3.4 · Interdependencias sistémicas</w:t>
        </w:r>
      </w:hyperlink>
      <w:r>
        <w:t xml:space="preserve">, pág. </w:t>
      </w:r>
      <w:r>
        <w:fldChar w:fldCharType="begin"/>
        <w:instrText xml:space="preserve">PAGEREF b_3_4 \h</w:instrText>
        <w:fldChar w:fldCharType="separate"/>
        <w:t xml:space="preserve">476</w:t>
        <w:fldChar w:fldCharType="end"/>
      </w:r>
      <w:r>
        <w:t xml:space="preserve">.</w:t>
      </w:r>
    </w:p>
    <w:p>
      <w:pPr>
        <w:pStyle w:val="Fuente"/>
      </w:pPr>
      <w:r>
        <w:t xml:space="preserve">Véase </w:t>
      </w:r>
      <w:hyperlink w:history="1" w:anchor="b_3_5">
        <w:r>
          <w:rPr>
            <w:color w:val="156B70"/>
            <w:u w:val="single"/>
          </w:rPr>
          <w:t xml:space="preserve">capítulo 3.5 · Refuerzo y compensación</w:t>
        </w:r>
      </w:hyperlink>
      <w:r>
        <w:t xml:space="preserve">, pág. </w:t>
      </w:r>
      <w:r>
        <w:fldChar w:fldCharType="begin"/>
        <w:instrText xml:space="preserve">PAGEREF b_3_5 \h</w:instrText>
        <w:fldChar w:fldCharType="separate"/>
        <w:t xml:space="preserve">501</w:t>
        <w:fldChar w:fldCharType="end"/>
      </w:r>
      <w:r>
        <w:t xml:space="preserve">.</w:t>
      </w:r>
    </w:p>
    <w:p>
      <w:pPr>
        <w:pStyle w:val="Heading3"/>
      </w:pPr>
      <w:bookmarkStart w:name="b_clase_3_9_c14_cap_09" w:id="3511"/>
      <w:r>
        <w:t xml:space="preserve">Clase 14 · 01:10:59–01:26:29 · Notación de vínculos y complejidad</w:t>
      </w:r>
      <w:bookmarkEnd w:id="3511"/>
    </w:p>
    <w:p>
      <w:bookmarkStart w:name="b_punto_c14_cap_09_p05" w:id="3512"/>
      <w:r>
        <w:t xml:space="preserve">El curso usa tilapias, personas y ballenas para comprender estructuras sistémicas, no para dictar reglas técnicas de cada dominio particular.</w:t>
      </w:r>
      <w:bookmarkEnd w:id="3512"/>
    </w:p>
    <w:p>
      <w:pPr>
        <w:pStyle w:val="Fuente"/>
      </w:pPr>
      <w:r>
        <w:t xml:space="preserve">Véase </w:t>
      </w:r>
      <w:hyperlink w:history="1" w:anchor="b_senales_examen">
        <w:r>
          <w:rPr>
            <w:color w:val="156B70"/>
            <w:u w:val="single"/>
          </w:rPr>
          <w:t xml:space="preserve">1 indicación(es) de examen de este tramo, en el apéndice cronológico</w:t>
        </w:r>
      </w:hyperlink>
      <w:r>
        <w:t xml:space="preserve">, pág. </w:t>
      </w:r>
      <w:r>
        <w:fldChar w:fldCharType="begin"/>
        <w:instrText xml:space="preserve">PAGEREF b_senales_examen \h</w:instrText>
        <w:fldChar w:fldCharType="separate"/>
        <w:t xml:space="preserve">1663</w:t>
        <w:fldChar w:fldCharType="end"/>
      </w:r>
      <w:r>
        <w:t xml:space="preserve">.</w:t>
      </w:r>
    </w:p>
    <w:p>
      <w:pPr>
        <w:pStyle w:val="Fuente"/>
      </w:pPr>
      <w:r>
        <w:t xml:space="preserve">Véase </w:t>
      </w:r>
      <w:hyperlink w:history="1" w:anchor="b_3_1">
        <w:r>
          <w:rPr>
            <w:color w:val="156B70"/>
            <w:u w:val="single"/>
          </w:rPr>
          <w:t xml:space="preserve">capítulo 3.1 · Mapas sistémicos</w:t>
        </w:r>
      </w:hyperlink>
      <w:r>
        <w:t xml:space="preserve">, pág. </w:t>
      </w:r>
      <w:r>
        <w:fldChar w:fldCharType="begin"/>
        <w:instrText xml:space="preserve">PAGEREF b_3_1 \h</w:instrText>
        <w:fldChar w:fldCharType="separate"/>
        <w:t xml:space="preserve">379</w:t>
        <w:fldChar w:fldCharType="end"/>
      </w:r>
      <w:r>
        <w:t xml:space="preserve">.</w:t>
      </w:r>
    </w:p>
    <w:p>
      <w:pPr>
        <w:pStyle w:val="Fuente"/>
      </w:pPr>
      <w:r>
        <w:t xml:space="preserve">Véase </w:t>
      </w:r>
      <w:hyperlink w:history="1" w:anchor="b_3_5">
        <w:r>
          <w:rPr>
            <w:color w:val="156B70"/>
            <w:u w:val="single"/>
          </w:rPr>
          <w:t xml:space="preserve">capítulo 3.5 · Refuerzo y compensación</w:t>
        </w:r>
      </w:hyperlink>
      <w:r>
        <w:t xml:space="preserve">, pág. </w:t>
      </w:r>
      <w:r>
        <w:fldChar w:fldCharType="begin"/>
        <w:instrText xml:space="preserve">PAGEREF b_3_5 \h</w:instrText>
        <w:fldChar w:fldCharType="separate"/>
        <w:t xml:space="preserve">501</w:t>
        <w:fldChar w:fldCharType="end"/>
      </w:r>
      <w:r>
        <w:t xml:space="preserve">.</w:t>
      </w:r>
    </w:p>
    <w:p>
      <w:pPr>
        <w:pStyle w:val="Fuente"/>
      </w:pPr>
      <w:r>
        <w:t xml:space="preserve">Véase </w:t>
      </w:r>
      <w:hyperlink w:history="1" w:anchor="b_3_8">
        <w:r>
          <w:rPr>
            <w:color w:val="156B70"/>
            <w:u w:val="single"/>
          </w:rPr>
          <w:t xml:space="preserve">capítulo 3.8 · Patrones y tendencias</w:t>
        </w:r>
      </w:hyperlink>
      <w:r>
        <w:t xml:space="preserve">, pág. </w:t>
      </w:r>
      <w:r>
        <w:fldChar w:fldCharType="begin"/>
        <w:instrText xml:space="preserve">PAGEREF b_3_8 \h</w:instrText>
        <w:fldChar w:fldCharType="separate"/>
        <w:t xml:space="preserve">597</w:t>
        <w:fldChar w:fldCharType="end"/>
      </w:r>
      <w:r>
        <w:t xml:space="preserve">.</w:t>
      </w:r>
    </w:p>
    <w:p>
      <w:pPr>
        <w:pStyle w:val="Fuente"/>
      </w:pPr>
      <w:r>
        <w:t xml:space="preserve">Véase </w:t>
      </w:r>
      <w:hyperlink w:history="1" w:anchor="b_1_4">
        <w:r>
          <w:rPr>
            <w:color w:val="156B70"/>
            <w:u w:val="single"/>
          </w:rPr>
          <w:t xml:space="preserve">capítulo 1.4 · Sistémico vs no sistémico</w:t>
        </w:r>
      </w:hyperlink>
      <w:r>
        <w:t xml:space="preserve">, pág. </w:t>
      </w:r>
      <w:r>
        <w:fldChar w:fldCharType="begin"/>
        <w:instrText xml:space="preserve">PAGEREF b_1_4 \h</w:instrText>
        <w:fldChar w:fldCharType="separate"/>
        <w:t xml:space="preserve">104</w:t>
        <w:fldChar w:fldCharType="end"/>
      </w:r>
      <w:r>
        <w:t xml:space="preserve">.</w:t>
      </w:r>
    </w:p>
    <w:p>
      <w:pPr>
        <w:pStyle w:val="Heading3"/>
      </w:pPr>
      <w:bookmarkStart w:name="b_clase_3_9_c15_cap_01" w:id="3513"/>
      <w:r>
        <w:t xml:space="preserve">Clase 15 · 00:07:41–00:10:12 · Apertura y agenda de la última semana</w:t>
      </w:r>
      <w:bookmarkEnd w:id="3513"/>
    </w:p>
    <w:p>
      <w:bookmarkStart w:name="b_punto_c15_cap_01_p02" w:id="3514"/>
      <w:r>
        <w:t xml:space="preserve">U3 comprende cinco hábitos; circularidad fundamenta estructura y demoras, y patrones queda pendiente para la próxima sesión.</w:t>
      </w:r>
      <w:bookmarkEnd w:id="3514"/>
    </w:p>
    <w:p>
      <w:bookmarkStart w:name="b_punto_c15_cap_01_p03" w:id="3515"/>
      <w:r>
        <w:t xml:space="preserve">c15-cap-01 es mixto: su recorte académico sobre los cinco hábitos se acredita a 3.9 y los avisos de fechas/entregas quedan como logística.</w:t>
      </w:r>
      <w:bookmarkEnd w:id="3515"/>
    </w:p>
    <w:p>
      <w:pPr>
        <w:pStyle w:val="Heading3"/>
      </w:pPr>
      <w:bookmarkStart w:name="b_clase_3_9_c15_cap_05" w:id="3516"/>
      <w:r>
        <w:t xml:space="preserve">Clase 15 · 00:29:44–00:37:15 · La estructura genera el comportamiento</w:t>
      </w:r>
      <w:bookmarkEnd w:id="3516"/>
    </w:p>
    <w:p>
      <w:bookmarkStart w:name="b_punto_c15_cap_05_p04" w:id="3517"/>
      <w:r>
        <w:t xml:space="preserve">Se pregunta cómo se afectan, organizan e interactúan las partes para producir el resultado, en vez de quién tuvo la culpa.</w:t>
      </w:r>
      <w:bookmarkEnd w:id="3517"/>
    </w:p>
    <w:p>
      <w:bookmarkStart w:name="b_punto_c15_cap_05_p06" w:id="3518"/>
      <w:r>
        <w:t xml:space="preserve">Comprender la estructura orienta a buscar apalancamiento, cuyo desarrollo se difiere a Unidad 4.</w:t>
      </w:r>
      <w:bookmarkEnd w:id="3518"/>
    </w:p>
    <w:p>
      <w:pPr>
        <w:pStyle w:val="Fuente"/>
      </w:pPr>
      <w:r>
        <w:t xml:space="preserve">Véase </w:t>
      </w:r>
      <w:hyperlink w:history="1" w:anchor="b_senales_examen">
        <w:r>
          <w:rPr>
            <w:color w:val="156B70"/>
            <w:u w:val="single"/>
          </w:rPr>
          <w:t xml:space="preserve">1 indicación(es) de examen de este tramo, en el apéndice cronológico</w:t>
        </w:r>
      </w:hyperlink>
      <w:r>
        <w:t xml:space="preserve">, pág. </w:t>
      </w:r>
      <w:r>
        <w:fldChar w:fldCharType="begin"/>
        <w:instrText xml:space="preserve">PAGEREF b_senales_examen \h</w:instrText>
        <w:fldChar w:fldCharType="separate"/>
        <w:t xml:space="preserve">1663</w:t>
        <w:fldChar w:fldCharType="end"/>
      </w:r>
      <w:r>
        <w:t xml:space="preserve">.</w:t>
      </w:r>
    </w:p>
    <w:p>
      <w:pPr>
        <w:pStyle w:val="Fuente"/>
      </w:pPr>
      <w:r>
        <w:t xml:space="preserve">Véase </w:t>
      </w:r>
      <w:hyperlink w:history="1" w:anchor="b_3_6">
        <w:r>
          <w:rPr>
            <w:color w:val="156B70"/>
            <w:u w:val="single"/>
          </w:rPr>
          <w:t xml:space="preserve">capítulo 3.6 · Modelación dinámica</w:t>
        </w:r>
      </w:hyperlink>
      <w:r>
        <w:t xml:space="preserve">, pág. </w:t>
      </w:r>
      <w:r>
        <w:fldChar w:fldCharType="begin"/>
        <w:instrText xml:space="preserve">PAGEREF b_3_6 \h</w:instrText>
        <w:fldChar w:fldCharType="separate"/>
        <w:t xml:space="preserve">537</w:t>
        <w:fldChar w:fldCharType="end"/>
      </w:r>
      <w:r>
        <w:t xml:space="preserve">.</w:t>
      </w:r>
    </w:p>
    <w:p>
      <w:pPr>
        <w:pStyle w:val="Heading3"/>
      </w:pPr>
      <w:bookmarkStart w:name="b_clase_3_9_c15_cap_06" w:id="3519"/>
      <w:r>
        <w:t xml:space="preserve">Clase 15 · 00:37:15–00:48:38 · Cometa, molinete, cocinas y aulas</w:t>
      </w:r>
      <w:bookmarkEnd w:id="3519"/>
    </w:p>
    <w:p>
      <w:bookmarkStart w:name="b_punto_c15_cap_06_p07" w:id="3520"/>
      <w:r>
        <w:t xml:space="preserve">Agrupar escritorios y acercar participantes favorece colaboración con el docente como facilitador: cambiar el resultado deseado exige reorganizar relaciones.</w:t>
      </w:r>
      <w:bookmarkEnd w:id="3520"/>
    </w:p>
    <w:p>
      <w:pPr>
        <w:pStyle w:val="Fuente"/>
      </w:pPr>
      <w:r>
        <w:t xml:space="preserve">Véase </w:t>
      </w:r>
      <w:hyperlink w:history="1" w:anchor="b_3_6">
        <w:r>
          <w:rPr>
            <w:color w:val="156B70"/>
            <w:u w:val="single"/>
          </w:rPr>
          <w:t xml:space="preserve">capítulo 3.6 · Modelación dinámica</w:t>
        </w:r>
      </w:hyperlink>
      <w:r>
        <w:t xml:space="preserve">, pág. </w:t>
      </w:r>
      <w:r>
        <w:fldChar w:fldCharType="begin"/>
        <w:instrText xml:space="preserve">PAGEREF b_3_6 \h</w:instrText>
        <w:fldChar w:fldCharType="separate"/>
        <w:t xml:space="preserve">537</w:t>
        <w:fldChar w:fldCharType="end"/>
      </w:r>
      <w:r>
        <w:t xml:space="preserve">.</w:t>
      </w:r>
    </w:p>
    <w:p>
      <w:pPr>
        <w:pStyle w:val="Fuente"/>
      </w:pPr>
      <w:r>
        <w:t xml:space="preserve">Véase </w:t>
      </w:r>
      <w:hyperlink w:history="1" w:anchor="b_3_8">
        <w:r>
          <w:rPr>
            <w:color w:val="156B70"/>
            <w:u w:val="single"/>
          </w:rPr>
          <w:t xml:space="preserve">capítulo 3.8 · Patrones y tendencias</w:t>
        </w:r>
      </w:hyperlink>
      <w:r>
        <w:t xml:space="preserve">, pág. </w:t>
      </w:r>
      <w:r>
        <w:fldChar w:fldCharType="begin"/>
        <w:instrText xml:space="preserve">PAGEREF b_3_8 \h</w:instrText>
        <w:fldChar w:fldCharType="separate"/>
        <w:t xml:space="preserve">597</w:t>
        <w:fldChar w:fldCharType="end"/>
      </w:r>
      <w:r>
        <w:t xml:space="preserve">.</w:t>
      </w:r>
    </w:p>
    <w:p>
      <w:pPr>
        <w:pStyle w:val="Heading3"/>
      </w:pPr>
      <w:bookmarkStart w:name="b_clase_3_9_c15_cap_07" w:id="3521"/>
      <w:r>
        <w:t xml:space="preserve">Clase 15 · 00:48:38–00:58:20 · Del comportamiento deseado a la estructura</w:t>
      </w:r>
      <w:bookmarkEnd w:id="3521"/>
    </w:p>
    <w:p>
      <w:bookmarkStart w:name="b_punto_c15_cap_07_p04" w:id="3522"/>
      <w:r>
        <w:t xml:space="preserve">Leyes, políticas, tradiciones y rutinas también estructuran las interacciones de los sistemas.</w:t>
      </w:r>
      <w:bookmarkEnd w:id="3522"/>
    </w:p>
    <w:p>
      <w:bookmarkStart w:name="b_punto_c15_cap_07_p05" w:id="3523"/>
      <w:r>
        <w:t xml:space="preserve">Ante un objetivo no logrado se revisan estructura e interacciones; se aplica a modelos mentales, reacciones personales y procesos empresariales.</w:t>
      </w:r>
      <w:bookmarkEnd w:id="3523"/>
    </w:p>
    <w:p>
      <w:bookmarkStart w:name="b_punto_c15_cap_07_p07" w:id="3524"/>
      <w:r>
        <w:t xml:space="preserve">Los sistemas están perfectamente diseñados para producir los resultados que obtienen es una constatación causal y no un elogio ni condena de personas.</w:t>
      </w:r>
      <w:bookmarkEnd w:id="3524"/>
    </w:p>
    <w:p>
      <w:pPr>
        <w:pStyle w:val="Fuente"/>
      </w:pPr>
      <w:r>
        <w:t xml:space="preserve">Véase </w:t>
      </w:r>
      <w:hyperlink w:history="1" w:anchor="b_3_6">
        <w:r>
          <w:rPr>
            <w:color w:val="156B70"/>
            <w:u w:val="single"/>
          </w:rPr>
          <w:t xml:space="preserve">capítulo 3.6 · Modelación dinámica</w:t>
        </w:r>
      </w:hyperlink>
      <w:r>
        <w:t xml:space="preserve">, pág. </w:t>
      </w:r>
      <w:r>
        <w:fldChar w:fldCharType="begin"/>
        <w:instrText xml:space="preserve">PAGEREF b_3_6 \h</w:instrText>
        <w:fldChar w:fldCharType="separate"/>
        <w:t xml:space="preserve">537</w:t>
        <w:fldChar w:fldCharType="end"/>
      </w:r>
      <w:r>
        <w:t xml:space="preserve">.</w:t>
      </w:r>
    </w:p>
    <w:p>
      <w:pPr>
        <w:pStyle w:val="Heading3"/>
      </w:pPr>
      <w:bookmarkStart w:name="b_clase_3_9_c16_cap_01" w:id="3525"/>
      <w:r>
        <w:t xml:space="preserve">Clase 16 · 00:10:13–00:17:41 · Apertura, entregas y repaso de los hábitos</w:t>
      </w:r>
      <w:bookmarkEnd w:id="3525"/>
    </w:p>
    <w:p>
      <w:bookmarkStart w:name="b_punto_c16_cap_01_p03" w:id="3526"/>
      <w:r>
        <w:t xml:space="preserve">Recapitula conexiones y circularidad como primeros hábitos del orden oral; el DCC enfatiza variables y relaciones.</w:t>
      </w:r>
      <w:bookmarkEnd w:id="3526"/>
    </w:p>
    <w:p>
      <w:bookmarkStart w:name="b_punto_c16_cap_01_p06" w:id="3527"/>
      <w:r>
        <w:t xml:space="preserve">Patrones, conexiones, causalidad circular, estructura que genera comportamiento y demoras</w:t>
      </w:r>
      <w:bookmarkEnd w:id="3527"/>
    </w:p>
    <w:p>
      <w:pPr>
        <w:pStyle w:val="Fuente"/>
      </w:pPr>
      <w:r>
        <w:t xml:space="preserve">Véase </w:t>
      </w:r>
      <w:hyperlink w:history="1" w:anchor="b_senales_examen">
        <w:r>
          <w:rPr>
            <w:color w:val="156B70"/>
            <w:u w:val="single"/>
          </w:rPr>
          <w:t xml:space="preserve">1 indicación(es) de examen de este tramo, en el apéndice cronológico</w:t>
        </w:r>
      </w:hyperlink>
      <w:r>
        <w:t xml:space="preserve">, pág. </w:t>
      </w:r>
      <w:r>
        <w:fldChar w:fldCharType="begin"/>
        <w:instrText xml:space="preserve">PAGEREF b_senales_examen \h</w:instrText>
        <w:fldChar w:fldCharType="separate"/>
        <w:t xml:space="preserve">1663</w:t>
        <w:fldChar w:fldCharType="end"/>
      </w:r>
      <w:r>
        <w:t xml:space="preserve">.</w:t>
      </w:r>
    </w:p>
    <w:p>
      <w:pPr>
        <w:pStyle w:val="Fuente"/>
      </w:pPr>
      <w:r>
        <w:t xml:space="preserve">Véase </w:t>
      </w:r>
      <w:hyperlink w:history="1" w:anchor="b_3_3">
        <w:r>
          <w:rPr>
            <w:color w:val="156B70"/>
            <w:u w:val="single"/>
          </w:rPr>
          <w:t xml:space="preserve">capítulo 3.3 · Diagramas de ciclos causales</w:t>
        </w:r>
      </w:hyperlink>
      <w:r>
        <w:t xml:space="preserve">, pág. </w:t>
      </w:r>
      <w:r>
        <w:fldChar w:fldCharType="begin"/>
        <w:instrText xml:space="preserve">PAGEREF b_3_3 \h</w:instrText>
        <w:fldChar w:fldCharType="separate"/>
        <w:t xml:space="preserve">443</w:t>
        <w:fldChar w:fldCharType="end"/>
      </w:r>
      <w:r>
        <w:t xml:space="preserve">.</w:t>
      </w:r>
    </w:p>
    <w:p>
      <w:pPr>
        <w:pStyle w:val="Fuente"/>
      </w:pPr>
      <w:r>
        <w:t xml:space="preserve">Véase </w:t>
      </w:r>
      <w:hyperlink w:history="1" w:anchor="b_3_6">
        <w:r>
          <w:rPr>
            <w:color w:val="156B70"/>
            <w:u w:val="single"/>
          </w:rPr>
          <w:t xml:space="preserve">capítulo 3.6 · Modelación dinámica</w:t>
        </w:r>
      </w:hyperlink>
      <w:r>
        <w:t xml:space="preserve">, pág. </w:t>
      </w:r>
      <w:r>
        <w:fldChar w:fldCharType="begin"/>
        <w:instrText xml:space="preserve">PAGEREF b_3_6 \h</w:instrText>
        <w:fldChar w:fldCharType="separate"/>
        <w:t xml:space="preserve">537</w:t>
        <w:fldChar w:fldCharType="end"/>
      </w:r>
      <w:r>
        <w:t xml:space="preserve">.</w:t>
      </w:r>
    </w:p>
    <w:p>
      <w:pPr>
        <w:pStyle w:val="Fuente"/>
      </w:pPr>
      <w:r>
        <w:t xml:space="preserve">Véase </w:t>
      </w:r>
      <w:hyperlink w:history="1" w:anchor="b_3_7">
        <w:r>
          <w:rPr>
            <w:color w:val="156B70"/>
            <w:u w:val="single"/>
          </w:rPr>
          <w:t xml:space="preserve">capítulo 3.7 · Demoras de tiempo</w:t>
        </w:r>
      </w:hyperlink>
      <w:r>
        <w:t xml:space="preserve">, pág. </w:t>
      </w:r>
      <w:r>
        <w:fldChar w:fldCharType="begin"/>
        <w:instrText xml:space="preserve">PAGEREF b_3_7 \h</w:instrText>
        <w:fldChar w:fldCharType="separate"/>
        <w:t xml:space="preserve">580</w:t>
        <w:fldChar w:fldCharType="end"/>
      </w:r>
      <w:r>
        <w:t xml:space="preserve">.</w:t>
      </w:r>
    </w:p>
    <w:p>
      <w:pPr>
        <w:pStyle w:val="Heading3"/>
      </w:pPr>
      <w:bookmarkStart w:name="b_clase_3_9_c16_cap_02" w:id="3528"/>
      <w:r>
        <w:t xml:space="preserve">Clase 16 · 00:17:41–00:21:29 · El iceberg y el anuncio de la simulación</w:t>
      </w:r>
      <w:bookmarkEnd w:id="3528"/>
    </w:p>
    <w:p>
      <w:bookmarkStart w:name="b_punto_c16_cap_02_p01" w:id="3529"/>
      <w:r>
        <w:t xml:space="preserve">Los cuatro hábitos ya vistos se concentran en estructuras; el quinto pendiente observa patrones y tendencias.</w:t>
      </w:r>
      <w:bookmarkEnd w:id="3529"/>
    </w:p>
    <w:p>
      <w:pPr>
        <w:pStyle w:val="Fuente"/>
      </w:pPr>
      <w:r>
        <w:t xml:space="preserve">Véase </w:t>
      </w:r>
      <w:hyperlink w:history="1" w:anchor="b_senales_examen">
        <w:r>
          <w:rPr>
            <w:color w:val="156B70"/>
            <w:u w:val="single"/>
          </w:rPr>
          <w:t xml:space="preserve">1 indicación(es) de examen de este tramo, en el apéndice cronológico</w:t>
        </w:r>
      </w:hyperlink>
      <w:r>
        <w:t xml:space="preserve">, pág. </w:t>
      </w:r>
      <w:r>
        <w:fldChar w:fldCharType="begin"/>
        <w:instrText xml:space="preserve">PAGEREF b_senales_examen \h</w:instrText>
        <w:fldChar w:fldCharType="separate"/>
        <w:t xml:space="preserve">1663</w:t>
        <w:fldChar w:fldCharType="end"/>
      </w:r>
      <w:r>
        <w:t xml:space="preserve">.</w:t>
      </w:r>
    </w:p>
    <w:p>
      <w:pPr>
        <w:pStyle w:val="Fuente"/>
      </w:pPr>
      <w:r>
        <w:t xml:space="preserve">Véase </w:t>
      </w:r>
      <w:hyperlink w:history="1" w:anchor="b_3_6">
        <w:r>
          <w:rPr>
            <w:color w:val="156B70"/>
            <w:u w:val="single"/>
          </w:rPr>
          <w:t xml:space="preserve">capítulo 3.6 · Modelación dinámica</w:t>
        </w:r>
      </w:hyperlink>
      <w:r>
        <w:t xml:space="preserve">, pág. </w:t>
      </w:r>
      <w:r>
        <w:fldChar w:fldCharType="begin"/>
        <w:instrText xml:space="preserve">PAGEREF b_3_6 \h</w:instrText>
        <w:fldChar w:fldCharType="separate"/>
        <w:t xml:space="preserve">537</w:t>
        <w:fldChar w:fldCharType="end"/>
      </w:r>
      <w:r>
        <w:t xml:space="preserve">.</w:t>
      </w:r>
    </w:p>
    <w:p>
      <w:pPr>
        <w:pStyle w:val="Fuente"/>
      </w:pPr>
      <w:r>
        <w:t xml:space="preserve">Véase </w:t>
      </w:r>
      <w:hyperlink w:history="1" w:anchor="b_3_8">
        <w:r>
          <w:rPr>
            <w:color w:val="156B70"/>
            <w:u w:val="single"/>
          </w:rPr>
          <w:t xml:space="preserve">capítulo 3.8 · Patrones y tendencias</w:t>
        </w:r>
      </w:hyperlink>
      <w:r>
        <w:t xml:space="preserve">, pág. </w:t>
      </w:r>
      <w:r>
        <w:fldChar w:fldCharType="begin"/>
        <w:instrText xml:space="preserve">PAGEREF b_3_8 \h</w:instrText>
        <w:fldChar w:fldCharType="separate"/>
        <w:t xml:space="preserve">597</w:t>
        <w:fldChar w:fldCharType="end"/>
      </w:r>
      <w:r>
        <w:t xml:space="preserve">.</w:t>
      </w:r>
    </w:p>
    <w:p>
      <w:pPr>
        <w:pStyle w:val="Heading3"/>
      </w:pPr>
      <w:bookmarkStart w:name="b_clase_3_9_c16_cap_03" w:id="3530"/>
      <w:r>
        <w:t xml:space="preserve">Clase 16 · 00:21:29–00:41:57 · No buscar culpables: el ciclo de la culpa</w:t>
      </w:r>
      <w:bookmarkEnd w:id="3530"/>
    </w:p>
    <w:p>
      <w:bookmarkStart w:name="b_punto_c16_cap_03_p02" w:id="3531"/>
      <w:r>
        <w:t xml:space="preserve">Se pausa, explora lo pasado por alto y pregunta qué no se entiende para completar la circularidad.</w:t>
      </w:r>
      <w:bookmarkEnd w:id="3531"/>
    </w:p>
    <w:p>
      <w:bookmarkStart w:name="b_punto_c16_cap_03_p03" w:id="3532"/>
      <w:r>
        <w:t xml:space="preserve">Los involucrados aportan información, distinciones y perspectivas para actuar en causalidad circular en vez de culpabilidad.</w:t>
      </w:r>
      <w:bookmarkEnd w:id="3532"/>
    </w:p>
    <w:p>
      <w:bookmarkStart w:name="b_punto_c16_cap_03_p10" w:id="3533"/>
      <w:r>
        <w:t xml:space="preserve">Tiempo y perspectivas suficientes ayudan a comprender la realidad compleja y actuar coherentemente con su estructura.</w:t>
      </w:r>
      <w:bookmarkEnd w:id="3533"/>
    </w:p>
    <w:p>
      <w:pPr>
        <w:pStyle w:val="Fuente"/>
      </w:pPr>
      <w:r>
        <w:t xml:space="preserve">Véase </w:t>
      </w:r>
      <w:hyperlink w:history="1" w:anchor="b_3_6">
        <w:r>
          <w:rPr>
            <w:color w:val="156B70"/>
            <w:u w:val="single"/>
          </w:rPr>
          <w:t xml:space="preserve">capítulo 3.6 · Modelación dinámica</w:t>
        </w:r>
      </w:hyperlink>
      <w:r>
        <w:t xml:space="preserve">, pág. </w:t>
      </w:r>
      <w:r>
        <w:fldChar w:fldCharType="begin"/>
        <w:instrText xml:space="preserve">PAGEREF b_3_6 \h</w:instrText>
        <w:fldChar w:fldCharType="separate"/>
        <w:t xml:space="preserve">537</w:t>
        <w:fldChar w:fldCharType="end"/>
      </w:r>
      <w:r>
        <w:t xml:space="preserve">.</w:t>
      </w:r>
    </w:p>
    <w:p>
      <w:pPr>
        <w:pStyle w:val="Fuente"/>
      </w:pPr>
      <w:r>
        <w:t xml:space="preserve">Véase </w:t>
      </w:r>
      <w:hyperlink w:history="1" w:anchor="b_3_3">
        <w:r>
          <w:rPr>
            <w:color w:val="156B70"/>
            <w:u w:val="single"/>
          </w:rPr>
          <w:t xml:space="preserve">capítulo 3.3 · Diagramas de ciclos causales</w:t>
        </w:r>
      </w:hyperlink>
      <w:r>
        <w:t xml:space="preserve">, pág. </w:t>
      </w:r>
      <w:r>
        <w:fldChar w:fldCharType="begin"/>
        <w:instrText xml:space="preserve">PAGEREF b_3_3 \h</w:instrText>
        <w:fldChar w:fldCharType="separate"/>
        <w:t xml:space="preserve">443</w:t>
        <w:fldChar w:fldCharType="end"/>
      </w:r>
      <w:r>
        <w:t xml:space="preserve">.</w:t>
      </w:r>
    </w:p>
    <w:p>
      <w:pPr>
        <w:pStyle w:val="Heading3"/>
      </w:pPr>
      <w:bookmarkStart w:name="b_cita_clase_11_primer_habito_c_4c235a38" w:id="3534"/>
      <w:r>
        <w:t xml:space="preserve">Palabras del profesor</w:t>
      </w:r>
      <w:bookmarkEnd w:id="3534"/>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El profesor lo dijo así</w:t>
            </w:r>
          </w:p>
          <w:p>
            <w:pPr>
              <w:pStyle w:val="Recuadro"/>
            </w:pPr>
            <w:r>
              <w:t xml:space="preserve">«Vamos a hablar como primer hábito el hecho que, cuando el pensador sistémico empieza a modelar, regularmente tiende a modelar las partes y las conexiones significativas entre esas partes, o bien los sistemas.»</w:t>
            </w:r>
          </w:p>
          <w:p>
            <w:pPr>
              <w:pStyle w:val="Recuadro"/>
            </w:pPr>
            <w:r>
              <w:t xml:space="preserve">Clase 11 · 00:55:27–00:55:48</w:t>
            </w:r>
          </w:p>
        </w:tc>
      </w:tr>
    </w:tbl>
    <w:p>
      <w:pPr>
        <w:pStyle w:val="Heading3"/>
      </w:pPr>
      <w:bookmarkStart w:name="b_cita_clase_11_filtro_de_lo_si_68ca582c" w:id="3535"/>
      <w:r>
        <w:t xml:space="preserve">Palabras del profesor</w:t>
      </w:r>
      <w:bookmarkEnd w:id="3535"/>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El profesor lo dijo así</w:t>
            </w:r>
          </w:p>
          <w:p>
            <w:pPr>
              <w:pStyle w:val="Recuadro"/>
            </w:pPr>
            <w:r>
              <w:t xml:space="preserve">«Hacemos un filtrado y una identificación solo de aquellas relaciones significativas, de aquellas distinciones significativas que nos permitan darnos la idea de lo que nos interesa comprender del sistema, y lo que consideramos menos importante lo dejamos por fuera.»</w:t>
            </w:r>
          </w:p>
          <w:p>
            <w:pPr>
              <w:pStyle w:val="Recuadro"/>
            </w:pPr>
            <w:r>
              <w:t xml:space="preserve">Clase 11 · 01:36:41–01:37:09</w:t>
            </w:r>
          </w:p>
        </w:tc>
      </w:tr>
    </w:tbl>
    <w:p>
      <w:pPr>
        <w:pStyle w:val="Heading3"/>
      </w:pPr>
      <w:bookmarkStart w:name="b_cita_clase_12_transferir_la_c_8e5c45a6" w:id="3536"/>
      <w:r>
        <w:t xml:space="preserve">Palabras del profesor</w:t>
      </w:r>
      <w:bookmarkEnd w:id="3536"/>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El profesor lo dijo así</w:t>
            </w:r>
          </w:p>
          <w:p>
            <w:pPr>
              <w:pStyle w:val="Recuadro"/>
            </w:pPr>
            <w:r>
              <w:t xml:space="preserve">«Los pensadores en sistemas desarrollan la capacidad de transferir la comprensión de un sistema.»</w:t>
            </w:r>
          </w:p>
          <w:p>
            <w:pPr>
              <w:pStyle w:val="Recuadro"/>
            </w:pPr>
            <w:r>
              <w:t xml:space="preserve">Clase 12 · 01:24:28–01:24:58</w:t>
            </w:r>
          </w:p>
        </w:tc>
      </w:tr>
    </w:tbl>
    <w:p>
      <w:pPr>
        <w:pStyle w:val="Heading3"/>
      </w:pPr>
      <w:bookmarkStart w:name="b_cita_clase_14_pensador_sistem_972920be" w:id="3537"/>
      <w:r>
        <w:t xml:space="preserve">Palabras del profesor</w:t>
      </w:r>
      <w:bookmarkEnd w:id="3537"/>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El profesor lo dijo así</w:t>
            </w:r>
          </w:p>
          <w:p>
            <w:pPr>
              <w:pStyle w:val="Recuadro"/>
            </w:pPr>
            <w:r>
              <w:t xml:space="preserve">«Un pensador sistémico, en el hábito que estamos trabajando en este momento, sabe identificar la naturaleza circular de las relaciones complejas, que son relaciones entre causa y efecto.»</w:t>
            </w:r>
          </w:p>
          <w:p>
            <w:pPr>
              <w:pStyle w:val="Recuadro"/>
            </w:pPr>
            <w:r>
              <w:t xml:space="preserve">Clase 14 · 00:04:52–00:05:20</w:t>
            </w:r>
          </w:p>
        </w:tc>
      </w:tr>
    </w:tbl>
    <w:p>
      <w:pPr>
        <w:pStyle w:val="Heading3"/>
      </w:pPr>
      <w:bookmarkStart w:name="b_cita_clase_15_cambiar_estruct_2b9a0b24" w:id="3538"/>
      <w:r>
        <w:t xml:space="preserve">Palabras del profesor</w:t>
      </w:r>
      <w:bookmarkEnd w:id="3538"/>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El profesor lo dijo así</w:t>
            </w:r>
          </w:p>
          <w:p>
            <w:pPr>
              <w:pStyle w:val="Recuadro"/>
            </w:pPr>
            <w:r>
              <w:t xml:space="preserve">«Los pensadores sistémicos reconocen que la estructura del sistema genera el comportamiento del sistema y entonces saben que si quieren cambiar el comportamiento tienen que cambiar la estructura.»</w:t>
            </w:r>
          </w:p>
          <w:p>
            <w:pPr>
              <w:pStyle w:val="Recuadro"/>
            </w:pPr>
            <w:r>
              <w:t xml:space="preserve">Clase 15 · 00:48:38–00:48:52</w:t>
            </w:r>
          </w:p>
        </w:tc>
      </w:tr>
    </w:tbl>
    <w:p>
      <w:pPr>
        <w:pStyle w:val="Heading3"/>
      </w:pPr>
      <w:bookmarkStart w:name="b_cita_clase_15_perfectamente_d_c2a8b8e4" w:id="3539"/>
      <w:r>
        <w:t xml:space="preserve">Palabras del profesor</w:t>
      </w:r>
      <w:bookmarkEnd w:id="3539"/>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El profesor lo dijo así</w:t>
            </w:r>
          </w:p>
          <w:p>
            <w:pPr>
              <w:pStyle w:val="Recuadro"/>
            </w:pPr>
            <w:r>
              <w:t xml:space="preserve">«Los sistemas están perfectamente diseñados para producir los resultados que se obtienen. Esa es, podríamos decir, una forma de escribir la regla.»</w:t>
            </w:r>
          </w:p>
          <w:p>
            <w:pPr>
              <w:pStyle w:val="Recuadro"/>
            </w:pPr>
            <w:r>
              <w:t xml:space="preserve">Clase 15 · 00:57:41–00:57:56</w:t>
            </w:r>
          </w:p>
        </w:tc>
      </w:tr>
    </w:tbl>
    <w:p>
      <w:pPr>
        <w:pStyle w:val="Fuente"/>
      </w:pPr>
      <w:r>
        <w:t xml:space="preserve">Véase </w:t>
      </w:r>
      <w:hyperlink w:history="1" w:anchor="b_cita_clase_16_no_buscar_culpables">
        <w:r>
          <w:rPr>
            <w:color w:val="156B70"/>
            <w:u w:val="single"/>
          </w:rPr>
          <w:t xml:space="preserve">cita de Clase 16 · 00:21:29</w:t>
        </w:r>
      </w:hyperlink>
      <w:r>
        <w:t xml:space="preserve">, pág. </w:t>
      </w:r>
      <w:r>
        <w:fldChar w:fldCharType="begin"/>
        <w:instrText xml:space="preserve">PAGEREF b_cita_clase_16_no_buscar_culpables \h</w:instrText>
        <w:fldChar w:fldCharType="separate"/>
        <w:t xml:space="preserve">566</w:t>
        <w:fldChar w:fldCharType="end"/>
      </w:r>
      <w:r>
        <w:t xml:space="preserve">.</w:t>
      </w:r>
    </w:p>
    <w:p>
      <w:pPr>
        <w:pStyle w:val="Fuente"/>
      </w:pPr>
      <w:r>
        <w:t xml:space="preserve">Véase </w:t>
      </w:r>
      <w:hyperlink w:history="1" w:anchor="b_cita_clase_16_quinto_habito_patrones">
        <w:r>
          <w:rPr>
            <w:color w:val="156B70"/>
            <w:u w:val="single"/>
          </w:rPr>
          <w:t xml:space="preserve">cita de Clase 16 · 01:29:27</w:t>
        </w:r>
      </w:hyperlink>
      <w:r>
        <w:t xml:space="preserve">, pág. </w:t>
      </w:r>
      <w:r>
        <w:fldChar w:fldCharType="begin"/>
        <w:instrText xml:space="preserve">PAGEREF b_cita_clase_16_quinto_habito_patrones \h</w:instrText>
        <w:fldChar w:fldCharType="separate"/>
        <w:t xml:space="preserve">612</w:t>
        <w:fldChar w:fldCharType="end"/>
      </w:r>
      <w:r>
        <w:t xml:space="preserve">.</w:t>
      </w:r>
    </w:p>
    <w:p>
      <w:pPr>
        <w:pStyle w:val="Heading3"/>
      </w:pPr>
      <w:r>
        <w:t xml:space="preserve">Errores frecuentes y trampa de examen</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9C620A" w:sz="20"/>
              <w:bottom w:val="nil"/>
              <w:right w:val="nil"/>
            </w:tcBorders>
            <w:shd w:fill="FBF3DF" w:val="clear"/>
            <w:tcMar>
              <w:top w:type="dxa" w:w="130"/>
              <w:left w:type="dxa" w:w="180"/>
              <w:bottom w:type="dxa" w:w="130"/>
              <w:right w:type="dxa" w:w="180"/>
            </w:tcMar>
          </w:tcPr>
          <w:p>
            <w:pPr>
              <w:pStyle w:val="RecuadroTitulo"/>
            </w:pPr>
            <w:r>
              <w:rPr>
                <w:b/>
                <w:bCs/>
                <w:color w:val="9C620A"/>
              </w:rPr>
              <w:t xml:space="preserve">Error → corrección</w:t>
            </w:r>
          </w:p>
          <w:p>
            <w:pPr>
              <w:pStyle w:val="Recuadro"/>
            </w:pPr>
            <w:r>
              <w:rPr>
                <w:b/>
                <w:bCs/>
              </w:rPr>
              <w:t xml:space="preserve">Error:</w:t>
            </w:r>
            <w:r>
              <w:t xml:space="preserve"> Buscar al culpable y eliminarlo para resolver el problema.</w:t>
            </w:r>
          </w:p>
          <w:p>
            <w:pPr>
              <w:pStyle w:val="Recuadro"/>
            </w:pPr>
            <w:r>
              <w:rPr>
                <w:b/>
                <w:bCs/>
              </w:rPr>
              <w:t xml:space="preserve">Corrección:</w:t>
            </w:r>
            <w:r>
              <w:t xml:space="preserve"> Supone una causa lineal; la culpabilidad no debe estar en el mapa como estrategia de solución: se estudia la estructura.</w:t>
            </w:r>
          </w:p>
          <w:p>
            <w:pPr>
              <w:pStyle w:val="Recuadro"/>
            </w:pPr>
            <w:r>
              <w:t xml:space="preserve">Clase 15 · 00:31:40–00:34:46 · Clase 16 · 00:21:48–00:22:47</w:t>
            </w:r>
          </w:p>
        </w:tc>
      </w:tr>
    </w:tbl>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9C620A" w:sz="20"/>
              <w:bottom w:val="nil"/>
              <w:right w:val="nil"/>
            </w:tcBorders>
            <w:shd w:fill="FBF3DF" w:val="clear"/>
            <w:tcMar>
              <w:top w:type="dxa" w:w="130"/>
              <w:left w:type="dxa" w:w="180"/>
              <w:bottom w:type="dxa" w:w="130"/>
              <w:right w:type="dxa" w:w="180"/>
            </w:tcMar>
          </w:tcPr>
          <w:p>
            <w:pPr>
              <w:pStyle w:val="RecuadroTitulo"/>
            </w:pPr>
            <w:r>
              <w:rPr>
                <w:b/>
                <w:bCs/>
                <w:color w:val="9C620A"/>
              </w:rPr>
              <w:t xml:space="preserve">Error → corrección</w:t>
            </w:r>
          </w:p>
          <w:p>
            <w:pPr>
              <w:pStyle w:val="Recuadro"/>
            </w:pPr>
            <w:r>
              <w:rPr>
                <w:b/>
                <w:bCs/>
              </w:rPr>
              <w:t xml:space="preserve">Error:</w:t>
            </w:r>
            <w:r>
              <w:t xml:space="preserve"> Diseñar la estructura y esperar el comportamiento que resulte.</w:t>
            </w:r>
          </w:p>
          <w:p>
            <w:pPr>
              <w:pStyle w:val="Recuadro"/>
            </w:pPr>
            <w:r>
              <w:rPr>
                <w:b/>
                <w:bCs/>
              </w:rPr>
              <w:t xml:space="preserve">Corrección:</w:t>
            </w:r>
            <w:r>
              <w:t xml:space="preserve"> Se diseña desde el comportamiento emergente deseado hacia la estructura.</w:t>
            </w:r>
          </w:p>
          <w:p>
            <w:pPr>
              <w:pStyle w:val="Recuadro"/>
            </w:pPr>
            <w:r>
              <w:t xml:space="preserve">Clase 15 · 00:48:38–00:51:06</w:t>
            </w:r>
          </w:p>
        </w:tc>
      </w:tr>
    </w:tbl>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9C620A" w:sz="20"/>
              <w:bottom w:val="nil"/>
              <w:right w:val="nil"/>
            </w:tcBorders>
            <w:shd w:fill="FBF3DF" w:val="clear"/>
            <w:tcMar>
              <w:top w:type="dxa" w:w="130"/>
              <w:left w:type="dxa" w:w="180"/>
              <w:bottom w:type="dxa" w:w="130"/>
              <w:right w:type="dxa" w:w="180"/>
            </w:tcMar>
          </w:tcPr>
          <w:p>
            <w:pPr>
              <w:pStyle w:val="RecuadroTitulo"/>
            </w:pPr>
            <w:r>
              <w:rPr>
                <w:b/>
                <w:bCs/>
                <w:color w:val="9C620A"/>
              </w:rPr>
              <w:t xml:space="preserve">Error → corrección</w:t>
            </w:r>
          </w:p>
          <w:p>
            <w:pPr>
              <w:pStyle w:val="Recuadro"/>
            </w:pPr>
            <w:r>
              <w:rPr>
                <w:b/>
                <w:bCs/>
              </w:rPr>
              <w:t xml:space="preserve">Error:</w:t>
            </w:r>
            <w:r>
              <w:t xml:space="preserve"> Abandonar una acción porque no muestra resultados de inmediato.</w:t>
            </w:r>
          </w:p>
          <w:p>
            <w:pPr>
              <w:pStyle w:val="Recuadro"/>
            </w:pPr>
            <w:r>
              <w:rPr>
                <w:b/>
                <w:bCs/>
              </w:rPr>
              <w:t xml:space="preserve">Corrección:</w:t>
            </w:r>
            <w:r>
              <w:t xml:space="preserve"> Puede haber demora: quien no la entiende supone que no hay relación causal y desiste antes de tiempo; el pensador monitorea los resultados y sus pequeños cambios.</w:t>
            </w:r>
          </w:p>
          <w:p>
            <w:pPr>
              <w:pStyle w:val="Recuadro"/>
            </w:pPr>
            <w:r>
              <w:t xml:space="preserve">Clase 16 · 01:07:05–01:08:16 · lámina c16-10 · Clase 16 · 01:11:16–01:11:53</w:t>
            </w:r>
          </w:p>
        </w:tc>
      </w:tr>
    </w:tbl>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9C620A" w:sz="20"/>
              <w:bottom w:val="nil"/>
              <w:right w:val="nil"/>
            </w:tcBorders>
            <w:shd w:fill="FBF3DF" w:val="clear"/>
            <w:tcMar>
              <w:top w:type="dxa" w:w="130"/>
              <w:left w:type="dxa" w:w="180"/>
              <w:bottom w:type="dxa" w:w="130"/>
              <w:right w:type="dxa" w:w="180"/>
            </w:tcMar>
          </w:tcPr>
          <w:p>
            <w:pPr>
              <w:pStyle w:val="RecuadroTitulo"/>
            </w:pPr>
            <w:r>
              <w:rPr>
                <w:b/>
                <w:bCs/>
                <w:color w:val="9C620A"/>
              </w:rPr>
              <w:t xml:space="preserve">Trampa de examen</w:t>
            </w:r>
          </w:p>
          <w:p>
            <w:pPr>
              <w:pStyle w:val="Recuadro"/>
            </w:pPr>
            <w:r>
              <w:t xml:space="preserve">Creer que el comportamiento está en una parte culpable. Que la estructura genere el comportamiento significa que éste emerge de todas las relaciones, variables y subsistemas; por eso no se elimina a un responsable: se cambia la estructura.</w:t>
            </w:r>
          </w:p>
        </w:tc>
      </w:tr>
    </w:tbl>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Ampliación: lo no dictado en clase</w:t>
            </w:r>
          </w:p>
          <w:p>
            <w:pPr>
              <w:pStyle w:val="Recuadro"/>
            </w:pPr>
            <w:r>
              <w:t xml:space="preserve">No se leyeron las preguntas guía de la lámina del hábito de conexiones significativas, y los puntos de apalancamiento quedaron para la unidad 4.</w:t>
            </w:r>
          </w:p>
        </w:tc>
      </w:tr>
    </w:tbl>
    <w:p>
      <w:pPr>
        <w:pStyle w:val="Heading3"/>
      </w:pPr>
      <w:r>
        <w:t xml:space="preserve">Lecturas y tareas del curso</w:t>
      </w:r>
    </w:p>
    <w:p>
      <w:pPr>
        <w:pStyle w:val="Normal"/>
      </w:pPr>
      <w:r>
        <w:t xml:space="preserve">L-11 · Pensamiento en círculos — O’Connor y McDermott (capítulo 2). Capítulo 2 de Introducción al pensamiento sistémico: la realimentación como esencia de los sistemas, los bucles de refuerzo y de compensación, la proalimentación, las demoras (la ducha que oscila) y por qué a veces no aprendemos de la experiencia. Copia recomprimida del escaneo que compartió el profesor.</w:t>
      </w:r>
    </w:p>
    <w:p>
      <w:pPr>
        <w:pStyle w:val="Normal"/>
      </w:pPr>
      <w:r>
        <w:t xml:space="preserve">C-2 · Unidad 3 · Desarrollo del pensamiento sistémico complejo (presentación). La presentación completa de la Unidad 3 tal como la compartió el profesor: 129 páginas con las reglas simples del pensamiento sistémico, los mapas DSRP, los diagramas de ciclos causales, la polaridad y los tipos de ciclo, las demoras, los patrones de comportamiento y los ejercicios trabajados en clase. Complementa las 128 láminas capturadas durante las sesiones.</w:t>
      </w:r>
    </w:p>
    <w:p>
      <w:pPr>
        <w:pStyle w:val="Heading3"/>
      </w:pPr>
      <w:r>
        <w:t xml:space="preserve">Práctica de los laboratorios</w:t>
      </w:r>
    </w:p>
    <w:p>
      <w:pPr>
        <w:pStyle w:val="Normal"/>
      </w:pPr>
      <w:r>
        <w:t xml:space="preserve">Los procedimientos del capítulo permiten reconstruir en papel la práctica interactiva. Los laboratorios originales permanecen disponibles en la lección del portal.</w:t>
      </w:r>
    </w:p>
    <w:p>
      <w:pPr>
        <w:pStyle w:val="Normal"/>
        <w:numPr>
          <w:ilvl w:val="0"/>
          <w:numId w:val="2"/>
        </w:numPr>
      </w:pPr>
      <w:r>
        <w:t xml:space="preserve">Los hábitos del pensador sistémico complejo</w:t>
      </w:r>
    </w:p>
    <w:p>
      <w:pPr>
        <w:pStyle w:val="Heading3"/>
      </w:pPr>
      <w:r>
        <w:t xml:space="preserve">Autoevaluación</w:t>
      </w:r>
    </w:p>
    <w:p>
      <w:pPr>
        <w:pStyle w:val="Normal"/>
      </w:pPr>
      <w:r>
        <w:t xml:space="preserve">Resuelva sin consultar las respuestas. Compruebe al final del capítulo por qué cada opción es correcta o incorrecta.</w:t>
      </w:r>
    </w:p>
    <w:p>
      <w:pPr>
        <w:pStyle w:val="Heading3"/>
      </w:pPr>
      <w:bookmarkStart w:name="b_pregunta_auto_3_9_1" w:id="3540"/>
      <w:r>
        <w:t xml:space="preserve">3.9-A1 · ¿Qué lista corresponde a los cinco hábitos seleccionados para Unidad 3?</w:t>
      </w:r>
      <w:bookmarkEnd w:id="3540"/>
    </w:p>
    <w:p>
      <w:pPr>
        <w:pStyle w:val="Normal"/>
      </w:pPr>
      <w:r>
        <w:t xml:space="preserve">a) Sólo estructura, circularidad y demoras</w:t>
      </w:r>
    </w:p>
    <w:p>
      <w:pPr>
        <w:pStyle w:val="Normal"/>
      </w:pPr>
      <w:r>
        <w:t xml:space="preserve">b) Los catorce hábitos más una introducción contada como hábito adicional</w:t>
      </w:r>
    </w:p>
    <w:p>
      <w:pPr>
        <w:pStyle w:val="Normal"/>
      </w:pPr>
      <w:r>
        <w:t xml:space="preserve">c) Patrones, conexiones, causalidad circular, estructura que genera comportamiento y demoras</w:t>
      </w:r>
    </w:p>
    <w:p>
      <w:pPr>
        <w:pStyle w:val="Normal"/>
      </w:pPr>
      <w:r>
        <w:t xml:space="preserve">d) Consecuencias, simulación, codificación, pruebas e instalación</w:t>
      </w:r>
    </w:p>
    <w:p>
      <w:pPr>
        <w:pStyle w:val="Heading3"/>
      </w:pPr>
      <w:bookmarkStart w:name="b_pregunta_auto_3_9_2" w:id="3541"/>
      <w:r>
        <w:t xml:space="preserve">3.9-A2 · El hábito «la estructura de un sistema genera su comportamiento» afirma, sobre todo, que…</w:t>
      </w:r>
      <w:bookmarkEnd w:id="3541"/>
    </w:p>
    <w:p>
      <w:pPr>
        <w:pStyle w:val="Normal"/>
      </w:pPr>
      <w:r>
        <w:t xml:space="preserve">a) el comportamiento depende de la buena o mala voluntad de las personas</w:t>
      </w:r>
    </w:p>
    <w:p>
      <w:pPr>
        <w:pStyle w:val="Normal"/>
      </w:pPr>
      <w:r>
        <w:t xml:space="preserve">b) todo sistema tiende al desorden con el tiempo</w:t>
      </w:r>
    </w:p>
    <w:p>
      <w:pPr>
        <w:pStyle w:val="Normal"/>
      </w:pPr>
      <w:r>
        <w:t xml:space="preserve">c) los acumuladores, flujos y bucles de un sistema producen los patrones que observamos</w:t>
      </w:r>
    </w:p>
    <w:p>
      <w:pPr>
        <w:pStyle w:val="Normal"/>
      </w:pPr>
      <w:r>
        <w:t xml:space="preserve">d) la estructura física (edificios, máquinas) determina los resultados</w:t>
      </w:r>
    </w:p>
    <w:p>
      <w:pPr>
        <w:pStyle w:val="Heading3"/>
      </w:pPr>
      <w:bookmarkStart w:name="b_pregunta_auto_3_9_3" w:id="3542"/>
      <w:r>
        <w:t xml:space="preserve">3.9-A3 · Ver que «la causa y el efecto no forman una línea recta, sino un círculo donde el efecto vuelve a influir en la causa» es el hábito de…</w:t>
      </w:r>
      <w:bookmarkEnd w:id="3542"/>
    </w:p>
    <w:p>
      <w:pPr>
        <w:pStyle w:val="Normal"/>
      </w:pPr>
      <w:r>
        <w:t xml:space="preserve">a) identificar la causalidad circular (realimentación)</w:t>
      </w:r>
    </w:p>
    <w:p>
      <w:pPr>
        <w:pStyle w:val="Normal"/>
      </w:pPr>
      <w:r>
        <w:t xml:space="preserve">b) reconocer las demoras</w:t>
      </w:r>
    </w:p>
    <w:p>
      <w:pPr>
        <w:pStyle w:val="Normal"/>
      </w:pPr>
      <w:r>
        <w:t xml:space="preserve">c) buscar el panorama general</w:t>
      </w:r>
    </w:p>
    <w:p>
      <w:pPr>
        <w:pStyle w:val="Normal"/>
      </w:pPr>
      <w:r>
        <w:t xml:space="preserve">d) considerar los modelos mentales</w:t>
      </w:r>
    </w:p>
    <w:p>
      <w:pPr>
        <w:pStyle w:val="Heading3"/>
      </w:pPr>
      <w:bookmarkStart w:name="b_pregunta_auto_3_9_4" w:id="3543"/>
      <w:r>
        <w:t xml:space="preserve">3.9-A4 · Una demora larga entre una acción y su efecto tiende a producir, con más frecuencia…</w:t>
      </w:r>
      <w:bookmarkEnd w:id="3543"/>
    </w:p>
    <w:p>
      <w:pPr>
        <w:pStyle w:val="Normal"/>
      </w:pPr>
      <w:r>
        <w:t xml:space="preserve">a) una respuesta instantánea y estable del sistema</w:t>
      </w:r>
    </w:p>
    <w:p>
      <w:pPr>
        <w:pStyle w:val="Normal"/>
      </w:pPr>
      <w:r>
        <w:t xml:space="preserve">b) oscilaciones y sobre-reacción, porque seguimos actuando antes de ver el resultado</w:t>
      </w:r>
    </w:p>
    <w:p>
      <w:pPr>
        <w:pStyle w:val="Normal"/>
      </w:pPr>
      <w:r>
        <w:t xml:space="preserve">c) la desaparición del efecto</w:t>
      </w:r>
    </w:p>
    <w:p>
      <w:pPr>
        <w:pStyle w:val="Normal"/>
      </w:pPr>
      <w:r>
        <w:t xml:space="preserve">d) que la causa y el efecto ocurran siempre en el mismo lugar</w:t>
      </w:r>
    </w:p>
    <w:p>
      <w:pPr>
        <w:pStyle w:val="Heading3"/>
      </w:pPr>
      <w:bookmarkStart w:name="b_pregunta_auto_3_9_5" w:id="3544"/>
      <w:r>
        <w:t xml:space="preserve">3.9-A5 · ¿Qué selección de hábitos desarrolla el curso en Unidad 3?</w:t>
      </w:r>
      <w:bookmarkEnd w:id="3544"/>
    </w:p>
    <w:p>
      <w:pPr>
        <w:pStyle w:val="Normal"/>
      </w:pPr>
      <w:r>
        <w:t xml:space="preserve">a) Hacer conexiones, cambiar de perspectiva y probar supuestos</w:t>
      </w:r>
    </w:p>
    <w:p>
      <w:pPr>
        <w:pStyle w:val="Normal"/>
      </w:pPr>
      <w:r>
        <w:t xml:space="preserve">b) Patrones en el tiempo, acumulaciones y modelos mentales</w:t>
      </w:r>
    </w:p>
    <w:p>
      <w:pPr>
        <w:pStyle w:val="Normal"/>
      </w:pPr>
      <w:r>
        <w:t xml:space="preserve">c) Panorama general, aproximación sucesiva y apalancamiento</w:t>
      </w:r>
    </w:p>
    <w:p>
      <w:pPr>
        <w:pStyle w:val="Normal"/>
      </w:pPr>
      <w:r>
        <w:t xml:space="preserve">d) Patrones, conexiones, causalidad circular, estructura → comportamiento y demoras</w:t>
      </w:r>
    </w:p>
    <w:p>
      <w:pPr>
        <w:pStyle w:val="Heading3"/>
      </w:pPr>
      <w:bookmarkStart w:name="b_pregunta_auto_3_9_6" w:id="3545"/>
      <w:r>
        <w:t xml:space="preserve">3.9-A6 · En el modelo del iceberg, ¿en qué nivel conviene intervenir para lograr un cambio duradero, coherente con «la estructura genera el comportamiento»?</w:t>
      </w:r>
      <w:bookmarkEnd w:id="3545"/>
    </w:p>
    <w:p>
      <w:pPr>
        <w:pStyle w:val="Normal"/>
      </w:pPr>
      <w:r>
        <w:t xml:space="preserve">a) En los eventos (lo que pasó hoy)</w:t>
      </w:r>
    </w:p>
    <w:p>
      <w:pPr>
        <w:pStyle w:val="Normal"/>
      </w:pPr>
      <w:r>
        <w:t xml:space="preserve">b) En los patrones (las tendencias)</w:t>
      </w:r>
    </w:p>
    <w:p>
      <w:pPr>
        <w:pStyle w:val="Normal"/>
      </w:pPr>
      <w:r>
        <w:t xml:space="preserve">c) En la estructura sistémica (reglas, flujos, bucles y demoras)</w:t>
      </w:r>
    </w:p>
    <w:p>
      <w:pPr>
        <w:pStyle w:val="Normal"/>
      </w:pPr>
      <w:r>
        <w:t xml:space="preserve">d) En dar una respuesta más rápida a cada evento</w:t>
      </w:r>
    </w:p>
    <w:p>
      <w:pPr>
        <w:pStyle w:val="Heading3"/>
      </w:pPr>
      <w:bookmarkStart w:name="b_pregunta_auto_3_9_7" w:id="3546"/>
      <w:r>
        <w:t xml:space="preserve">3.9-A7 · Un bucle donde «más A produce más B, y más B produce todavía más A» (una espiral que se amplifica) es un bucle de…</w:t>
      </w:r>
      <w:bookmarkEnd w:id="3546"/>
    </w:p>
    <w:p>
      <w:pPr>
        <w:pStyle w:val="Normal"/>
      </w:pPr>
      <w:r>
        <w:t xml:space="preserve">a) refuerzo (R)</w:t>
      </w:r>
    </w:p>
    <w:p>
      <w:pPr>
        <w:pStyle w:val="Normal"/>
      </w:pPr>
      <w:r>
        <w:t xml:space="preserve">b) balance o compensación (B)</w:t>
      </w:r>
    </w:p>
    <w:p>
      <w:pPr>
        <w:pStyle w:val="Normal"/>
      </w:pPr>
      <w:r>
        <w:t xml:space="preserve">c) demora pura</w:t>
      </w:r>
    </w:p>
    <w:p>
      <w:pPr>
        <w:pStyle w:val="Normal"/>
      </w:pPr>
      <w:r>
        <w:t xml:space="preserve">d) causalidad lineal</w:t>
      </w:r>
    </w:p>
    <w:p>
      <w:pPr>
        <w:pStyle w:val="Heading3"/>
      </w:pPr>
      <w:bookmarkStart w:name="b_pregunta_auto_3_9_8" w:id="3547"/>
      <w:r>
        <w:t xml:space="preserve">3.9-A8 · El dicho «la cura puede ser peor que la enfermedad» —la solución rápida de hoy es el problema de mañana— apela sobre todo al hábito de…</w:t>
      </w:r>
      <w:bookmarkEnd w:id="3547"/>
    </w:p>
    <w:p>
      <w:pPr>
        <w:pStyle w:val="Normal"/>
      </w:pPr>
      <w:r>
        <w:t xml:space="preserve">a) observar patrones en el tiempo</w:t>
      </w:r>
    </w:p>
    <w:p>
      <w:pPr>
        <w:pStyle w:val="Normal"/>
      </w:pPr>
      <w:r>
        <w:t xml:space="preserve">b) considerar las consecuencias de corto, largo plazo e imprevistas de las acciones</w:t>
      </w:r>
    </w:p>
    <w:p>
      <w:pPr>
        <w:pStyle w:val="Normal"/>
      </w:pPr>
      <w:r>
        <w:t xml:space="preserve">c) hacer conexiones significativas</w:t>
      </w:r>
    </w:p>
    <w:p>
      <w:pPr>
        <w:pStyle w:val="Normal"/>
      </w:pPr>
      <w:r>
        <w:t xml:space="preserve">d) buscar el panorama general</w:t>
      </w:r>
    </w:p>
    <w:p>
      <w:pPr>
        <w:pStyle w:val="Heading3"/>
      </w:pPr>
      <w:r>
        <w:t xml:space="preserve">Ejercicios de aplicación</w:t>
      </w:r>
    </w:p>
    <w:p>
      <w:pPr>
        <w:pStyle w:val="Heading3"/>
      </w:pPr>
      <w:bookmarkStart w:name="b_pregunta_ej_P12" w:id="3548"/>
      <w:r>
        <w:t xml:space="preserve">3.9-E1 · Hábitos que conectan las unidades</w:t>
      </w:r>
      <w:bookmarkEnd w:id="3548"/>
    </w:p>
    <w:p>
      <w:pPr>
        <w:pStyle w:val="Normal"/>
      </w:pPr>
      <w:r>
        <w:t xml:space="preserve">Relaciona la película completa, patrones, estructura, circularidad, conexiones, perspectivas, supuestos, modelos mentales y demoras con los números del póster. Explica tres con un caso.</w:t>
      </w:r>
    </w:p>
    <w:p>
      <w:pPr>
        <w:pStyle w:val="Heading3"/>
      </w:pPr>
      <w:bookmarkStart w:name="b_solucionario_3_9" w:id="3549"/>
      <w:r>
        <w:t xml:space="preserve">Solucionario del capítulo</w:t>
      </w:r>
      <w:bookmarkEnd w:id="3549"/>
    </w:p>
    <w:p>
      <w:pPr>
        <w:pStyle w:val="Heading3"/>
      </w:pPr>
      <w:r>
        <w:t xml:space="preserve">3.9-A1</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c) Patrones, conexiones, causalidad circular, estructura que genera comportamiento y demoras</w:t>
            </w:r>
          </w:p>
        </w:tc>
      </w:tr>
    </w:tbl>
    <w:p>
      <w:pPr>
        <w:pStyle w:val="Normal"/>
      </w:pPr>
      <w:r>
        <w:t xml:space="preserve">Patrones, conexiones, causalidad circular, estructura que genera comportamiento y demoras</w:t>
      </w:r>
    </w:p>
    <w:p>
      <w:pPr>
        <w:pStyle w:val="Fuente"/>
      </w:pPr>
      <w:r>
        <w:t xml:space="preserve">Presentación de la unidad 3 (C-2), pág. 33, 41, 72, 82 y 97 · Clase 15 · 00:08:30–00:09:06 · Clase 16 · 00:12:41–00:17:41</w:t>
      </w:r>
    </w:p>
    <w:p>
      <w:pPr>
        <w:pStyle w:val="Heading3"/>
      </w:pPr>
      <w:r>
        <w:t xml:space="preserve">3.9-A2</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c) los acumuladores, flujos y bucles de un sistema producen los patrones que observamos</w:t>
            </w:r>
          </w:p>
        </w:tc>
      </w:tr>
    </w:tbl>
    <w:p>
      <w:pPr>
        <w:pStyle w:val="Normal"/>
      </w:pPr>
      <w:r>
        <w:t xml:space="preserve">Para Meadows y la dinámica de sistemas, la estructura —cómo se conectan acumuladores, flujos y bucles de realimentación— es la que genera el comportamiento. Por eso, para cambiar un patrón persistente, hay que cambiar la estructura, no buscar culpables.</w:t>
      </w:r>
    </w:p>
    <w:p>
      <w:pPr>
        <w:pStyle w:val="Normal"/>
      </w:pPr>
      <w:r>
        <w:t xml:space="preserve">a) Justo lo contrario: si un patrón se repite pese a cambiar de personas, la causa es estructural, no de carácter.</w:t>
      </w:r>
    </w:p>
    <w:p>
      <w:pPr>
        <w:pStyle w:val="Normal"/>
      </w:pPr>
      <w:r>
        <w:t xml:space="preserve">b) Eso describiría la entropía; aquí «estructura» se refiere a la organización de causas y efectos, no a la termodinámica.</w:t>
      </w:r>
    </w:p>
    <w:p>
      <w:pPr>
        <w:pStyle w:val="Normal"/>
      </w:pPr>
      <w:r>
        <w:t xml:space="preserve">c) Correcto: la estructura interna —stocks, flujos y realimentaciones— es la fuente del comportamiento.</w:t>
      </w:r>
    </w:p>
    <w:p>
      <w:pPr>
        <w:pStyle w:val="Normal"/>
      </w:pPr>
      <w:r>
        <w:t xml:space="preserve">d) «Estructura» aquí no es lo material, sino la red de relaciones causales y de realimentación.</w:t>
      </w:r>
    </w:p>
    <w:p>
      <w:pPr>
        <w:pStyle w:val="Fuente"/>
      </w:pPr>
      <w:r>
        <w:t xml:space="preserve">Meadows · Waters Center (hábito 07)</w:t>
      </w:r>
    </w:p>
    <w:p>
      <w:pPr>
        <w:pStyle w:val="Heading3"/>
      </w:pPr>
      <w:r>
        <w:t xml:space="preserve">3.9-A3</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a) identificar la causalidad circular (realimentación)</w:t>
            </w:r>
          </w:p>
        </w:tc>
      </w:tr>
    </w:tbl>
    <w:p>
      <w:pPr>
        <w:pStyle w:val="Normal"/>
      </w:pPr>
      <w:r>
        <w:t xml:space="preserve">La causalidad circular reconoce el papel de la realimentación: A afecta a B y B regresa sobre A, formando un bucle. Senge lo resume en que «la realidad está hecha de círculos, pero solemos ver líneas rectas».</w:t>
      </w:r>
    </w:p>
    <w:p>
      <w:pPr>
        <w:pStyle w:val="Fuente"/>
      </w:pPr>
      <w:r>
        <w:t xml:space="preserve">Senge · Waters Center (hábito 08)</w:t>
      </w:r>
    </w:p>
    <w:p>
      <w:pPr>
        <w:pStyle w:val="Heading3"/>
      </w:pPr>
      <w:r>
        <w:t xml:space="preserve">3.9-A4</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b) oscilaciones y sobre-reacción, porque seguimos actuando antes de ver el resultado</w:t>
            </w:r>
          </w:p>
        </w:tc>
      </w:tr>
    </w:tbl>
    <w:p>
      <w:pPr>
        <w:pStyle w:val="Normal"/>
      </w:pPr>
      <w:r>
        <w:t xml:space="preserve">Meadows advierte que las demoras en los bucles de realimentación son causas habituales de oscilación. El «juego de la cerveza» de Senge lo ilustra: pedir de más porque el pedido tarda en llegar amplifica las fluctuaciones.</w:t>
      </w:r>
    </w:p>
    <w:p>
      <w:pPr>
        <w:pStyle w:val="Normal"/>
      </w:pPr>
      <w:r>
        <w:t xml:space="preserve">a) Si hubiera respuesta instantánea no habría demora; precisamente el retraso rompe esa estabilidad.</w:t>
      </w:r>
    </w:p>
    <w:p>
      <w:pPr>
        <w:pStyle w:val="Normal"/>
      </w:pPr>
      <w:r>
        <w:t xml:space="preserve">b) Correcto: al no ver aún el efecto, insistimos en la acción y el sistema oscila o se pasa de largo.</w:t>
      </w:r>
    </w:p>
    <w:p>
      <w:pPr>
        <w:pStyle w:val="Normal"/>
      </w:pPr>
      <w:r>
        <w:t xml:space="preserve">c) La demora retrasa el efecto, no lo elimina.</w:t>
      </w:r>
    </w:p>
    <w:p>
      <w:pPr>
        <w:pStyle w:val="Normal"/>
      </w:pPr>
      <w:r>
        <w:t xml:space="preserve">d) Al revés: la demora suele separar causa y efecto en el tiempo (y a menudo en el espacio).</w:t>
      </w:r>
    </w:p>
    <w:p>
      <w:pPr>
        <w:pStyle w:val="Fuente"/>
      </w:pPr>
      <w:r>
        <w:t xml:space="preserve">Meadows · Senge (hábito 09)</w:t>
      </w:r>
    </w:p>
    <w:p>
      <w:pPr>
        <w:pStyle w:val="Heading3"/>
      </w:pPr>
      <w:r>
        <w:t xml:space="preserve">3.9-A5</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d) Patrones, conexiones, causalidad circular, estructura → comportamiento y demoras</w:t>
            </w:r>
          </w:p>
        </w:tc>
      </w:tr>
    </w:tbl>
    <w:p>
      <w:pPr>
        <w:pStyle w:val="Normal"/>
      </w:pPr>
      <w:r>
        <w:t xml:space="preserve">C-2 selecciona cinco: patrones (05), conexiones (01), causalidad circular (08), estructura que genera comportamiento (07) y demoras (09). Consecuencias (10) se identifica como ampliación hacia Unidad 4.</w:t>
      </w:r>
    </w:p>
    <w:p>
      <w:pPr>
        <w:pStyle w:val="Fuente"/>
      </w:pPr>
      <w:r>
        <w:t xml:space="preserve">Presentación de la unidad 3 (C-2), pág. 97</w:t>
      </w:r>
    </w:p>
    <w:p>
      <w:pPr>
        <w:pStyle w:val="Heading3"/>
      </w:pPr>
      <w:r>
        <w:t xml:space="preserve">3.9-A6</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c) En la estructura sistémica (reglas, flujos, bucles y demoras)</w:t>
            </w:r>
          </w:p>
        </w:tc>
      </w:tr>
    </w:tbl>
    <w:p>
      <w:pPr>
        <w:pStyle w:val="Normal"/>
      </w:pPr>
      <w:r>
        <w:t xml:space="preserve">El iceberg ordena eventos → patrones → estructura → modelos mentales. Reaccionar a eventos apaga incendios; cambiar la estructura (y los modelos mentales que la sostienen) transforma el comportamiento de raíz.</w:t>
      </w:r>
    </w:p>
    <w:p>
      <w:pPr>
        <w:pStyle w:val="Fuente"/>
      </w:pPr>
      <w:r>
        <w:t xml:space="preserve">Modelo del iceberg</w:t>
      </w:r>
    </w:p>
    <w:p>
      <w:pPr>
        <w:pStyle w:val="Heading3"/>
      </w:pPr>
      <w:r>
        <w:t xml:space="preserve">3.9-A7</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a) refuerzo (R)</w:t>
            </w:r>
          </w:p>
        </w:tc>
      </w:tr>
    </w:tbl>
    <w:p>
      <w:pPr>
        <w:pStyle w:val="Normal"/>
      </w:pPr>
      <w:r>
        <w:t xml:space="preserve">Los bucles de refuerzo (R) amplifican el cambio (crecimiento o colapso); los de balance (B) buscan un objetivo y estabilizan. Distinguirlos es el corazón de leer un diagrama de ciclos causales.</w:t>
      </w:r>
    </w:p>
    <w:p>
      <w:pPr>
        <w:pStyle w:val="Normal"/>
      </w:pPr>
      <w:r>
        <w:t xml:space="preserve">a) Correcto: el refuerzo (R) amplifica el cambio en una dirección, como un círculo virtuoso o vicioso.</w:t>
      </w:r>
    </w:p>
    <w:p>
      <w:pPr>
        <w:pStyle w:val="Normal"/>
      </w:pPr>
      <w:r>
        <w:t xml:space="preserve">b) El balance (B) estabiliza hacia una meta; frenaría la espiral, no la amplificaría.</w:t>
      </w:r>
    </w:p>
    <w:p>
      <w:pPr>
        <w:pStyle w:val="Normal"/>
      </w:pPr>
      <w:r>
        <w:t xml:space="preserve">c) Una demora retrasa, pero por sí sola no describe el signo del bucle.</w:t>
      </w:r>
    </w:p>
    <w:p>
      <w:pPr>
        <w:pStyle w:val="Normal"/>
      </w:pPr>
      <w:r>
        <w:t xml:space="preserve">d) La descripción es explícitamente circular, no lineal.</w:t>
      </w:r>
    </w:p>
    <w:p>
      <w:pPr>
        <w:pStyle w:val="Fuente"/>
      </w:pPr>
      <w:r>
        <w:t xml:space="preserve">Dinámica de sistemas</w:t>
      </w:r>
    </w:p>
    <w:p>
      <w:pPr>
        <w:pStyle w:val="Heading3"/>
      </w:pPr>
      <w:r>
        <w:t xml:space="preserve">3.9-A8</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b) considerar las consecuencias de corto, largo plazo e imprevistas de las acciones</w:t>
            </w:r>
          </w:p>
        </w:tc>
      </w:tr>
    </w:tbl>
    <w:p>
      <w:pPr>
        <w:pStyle w:val="Normal"/>
      </w:pPr>
      <w:r>
        <w:t xml:space="preserve">Considerar las consecuencias pide anticipar los efectos a distintos plazos —incluidos los imprevistos— antes de actuar por la recompensa inmediata. Es la «resistencia de las políticas» que describen Meadows y Senge: intervenciones que empeoran lo que pretendían arreglar.</w:t>
      </w:r>
    </w:p>
    <w:p>
      <w:pPr>
        <w:pStyle w:val="Fuente"/>
      </w:pPr>
      <w:r>
        <w:t xml:space="preserve">Meadows · Senge (hábito 10)</w:t>
      </w:r>
    </w:p>
    <w:p>
      <w:pPr>
        <w:pStyle w:val="Heading3"/>
      </w:pPr>
      <w:bookmarkStart w:name="b_solucion_ej_P12" w:id="3550"/>
      <w:r>
        <w:t xml:space="preserve">Solución 3.9-E1</w:t>
      </w:r>
      <w:bookmarkEnd w:id="3550"/>
    </w:p>
    <w:p>
      <w:pPr>
        <w:pStyle w:val="RecuadroTitulo"/>
      </w:pPr>
      <w:r>
        <w:t xml:space="preserve">Respuesta modelo</w:t>
      </w:r>
    </w:p>
    <w:p>
      <w:pPr>
        <w:pStyle w:val="Normal"/>
      </w:pPr>
      <w:r>
        <w:t xml:space="preserve">Corresponden a 1, 2, 3, 4, 5, 6, 7, 9 y 13. Ver la espera completa es 1; comparar meses es 2; revisar una demora de entrega es 13. La numeración de las rutas del portal difiere de la del póster.</w:t>
      </w:r>
    </w:p>
    <w:p>
      <w:pPr>
        <w:pStyle w:val="Fuente"/>
        <w:sectPr>
          <w:headerReference w:type="default" r:id="rId210"/>
          <w:headerReference w:type="first" r:id="rId211"/>
          <w:headerReference w:type="even" r:id="rId212"/>
          <w:footerReference w:type="default" r:id="rId213"/>
          <w:footerReference w:type="first" r:id="rId214"/>
          <w:footerReference w:type="even" r:id="rId215"/>
          <w:type w:val="nextPage"/>
          <w:pgSz w:w="12240" w:h="15840" w:orient="portrait"/>
          <w:pgMar w:top="1361" w:right="1134" w:bottom="1361" w:left="1474" w:header="650" w:footer="680" w:gutter="0"/>
          <w:pgNumType/>
          <w:titlePg/>
          <w:docGrid w:linePitch="360"/>
        </w:sectPr>
      </w:pPr>
      <w:r>
        <w:t xml:space="preserve">Repaso seleccionado · guía recibida, pp. 3–5; lecciones de unidades 1–3.</w:t>
      </w:r>
    </w:p>
    <w:p>
      <w:pPr>
        <w:pStyle w:val="Heading1"/>
      </w:pPr>
      <w:bookmarkStart w:name="b_unidad_4" w:id="3551"/>
      <w:r>
        <w:t xml:space="preserve">Parte IV · Simulación dinámica y decisiones sistémicas</w:t>
      </w:r>
      <w:bookmarkEnd w:id="3551"/>
    </w:p>
    <w:p>
      <w:pPr>
        <w:pStyle w:val="Normal"/>
      </w:pPr>
      <w:r>
        <w:t xml:space="preserve">Objetivo: comprender, explicar y aplicar los conceptos de la Unidad 4, conectando las presentaciones y los ejemplos de clase.</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El profesor lo dijo así</w:t>
            </w:r>
          </w:p>
          <w:p>
            <w:pPr>
              <w:pStyle w:val="Recuadro"/>
            </w:pPr>
            <w:r>
              <w:t xml:space="preserve">«y lo mejor es llegar a la solución de capacitar a los usuarios para que puedan aprender a usar todas las opciones del sistema, que es la solución fundamental que vemos en B2.»</w:t>
            </w:r>
          </w:p>
          <w:p>
            <w:pPr>
              <w:pStyle w:val="Recuadro"/>
            </w:pPr>
            <w:r>
              <w:t xml:space="preserve">Clase 22 · 01:22:53</w:t>
            </w:r>
          </w:p>
        </w:tc>
      </w:tr>
    </w:tbl>
    <w:tbl>
      <w:tblPr>
        <w:tblW w:type="dxa" w:w="9632"/>
        <w:tblBorders>
          <w:top w:val="single" w:color="C5D5DB" w:sz="4"/>
          <w:left w:val="single" w:color="C5D5DB" w:sz="4"/>
          <w:bottom w:val="single" w:color="C5D5DB" w:sz="4"/>
          <w:right w:val="single" w:color="C5D5DB" w:sz="4"/>
          <w:insideH w:val="single" w:color="E4E9EB" w:sz="3"/>
          <w:insideV w:val="single" w:color="E4E9EB" w:sz="3"/>
        </w:tblBorders>
        <w:tblLayout w:type="fixed"/>
      </w:tblPr>
      <w:tblGrid>
        <w:gridCol w:w="4816"/>
        <w:gridCol w:w="4816"/>
      </w:tblGrid>
      <w:tr>
        <w:trPr>
          <w:cantSplit/>
          <w:tblHeader/>
        </w:trPr>
        <w:tc>
          <w:tcPr>
            <w:tcW w:type="dxa" w:w="4816"/>
            <w:shd w:fill="DFEAF0" w:val="clear"/>
            <w:tcMar>
              <w:top w:type="dxa" w:w="80"/>
              <w:left w:type="dxa" w:w="100"/>
              <w:bottom w:type="dxa" w:w="80"/>
              <w:right w:type="dxa" w:w="100"/>
            </w:tcMar>
          </w:tcPr>
          <w:p>
            <w:pPr>
              <w:pStyle w:val="Tabla"/>
            </w:pPr>
            <w:r>
              <w:rPr>
                <w:b/>
                <w:bCs/>
              </w:rPr>
              <w:t xml:space="preserve">Capítulo</w:t>
            </w:r>
          </w:p>
        </w:tc>
        <w:tc>
          <w:tcPr>
            <w:tcW w:type="dxa" w:w="4816"/>
            <w:shd w:fill="DFEAF0" w:val="clear"/>
            <w:tcMar>
              <w:top w:type="dxa" w:w="80"/>
              <w:left w:type="dxa" w:w="100"/>
              <w:bottom w:type="dxa" w:w="80"/>
              <w:right w:type="dxa" w:w="100"/>
            </w:tcMar>
          </w:tcPr>
          <w:p>
            <w:pPr>
              <w:pStyle w:val="Tabla"/>
            </w:pPr>
            <w:r>
              <w:rPr>
                <w:b/>
                <w:bCs/>
              </w:rPr>
              <w:t xml:space="preserve">Pregunta de aprendizaje</w:t>
            </w:r>
          </w:p>
        </w:tc>
      </w:tr>
      <w:tr>
        <w:trPr>
          <w:cantSplit/>
          <w:tblHeader w:val="off"/>
        </w:trPr>
        <w:tc>
          <w:tcPr>
            <w:tcW w:type="dxa" w:w="4816"/>
            <w:tcMar>
              <w:top w:type="dxa" w:w="80"/>
              <w:left w:type="dxa" w:w="100"/>
              <w:bottom w:type="dxa" w:w="80"/>
              <w:right w:type="dxa" w:w="100"/>
            </w:tcMar>
          </w:tcPr>
          <w:p>
            <w:pPr>
              <w:pStyle w:val="Tabla"/>
            </w:pPr>
            <w:r>
              <w:t xml:space="preserve">4.1 · Arquetipos sistémicos</w:t>
            </w:r>
          </w:p>
        </w:tc>
        <w:tc>
          <w:tcPr>
            <w:tcW w:type="dxa" w:w="4816"/>
            <w:tcMar>
              <w:top w:type="dxa" w:w="80"/>
              <w:left w:type="dxa" w:w="100"/>
              <w:bottom w:type="dxa" w:w="80"/>
              <w:right w:type="dxa" w:w="100"/>
            </w:tcMar>
          </w:tcPr>
          <w:p>
            <w:pPr>
              <w:pStyle w:val="Tabla"/>
            </w:pPr>
            <w:r>
              <w:t xml:space="preserve">Reconocer los arquetipos por su historia y sus ciclos, asignar signos y proponer una intervención.</w:t>
            </w:r>
          </w:p>
        </w:tc>
      </w:tr>
      <w:tr>
        <w:trPr>
          <w:cantSplit/>
          <w:tblHeader w:val="off"/>
        </w:trPr>
        <w:tc>
          <w:tcPr>
            <w:tcW w:type="dxa" w:w="4816"/>
            <w:tcMar>
              <w:top w:type="dxa" w:w="80"/>
              <w:left w:type="dxa" w:w="100"/>
              <w:bottom w:type="dxa" w:w="80"/>
              <w:right w:type="dxa" w:w="100"/>
            </w:tcMar>
          </w:tcPr>
          <w:p>
            <w:pPr>
              <w:pStyle w:val="Tabla"/>
            </w:pPr>
            <w:r>
              <w:t xml:space="preserve">4.2 · Flujos y niveles</w:t>
            </w:r>
          </w:p>
        </w:tc>
        <w:tc>
          <w:tcPr>
            <w:tcW w:type="dxa" w:w="4816"/>
            <w:tcMar>
              <w:top w:type="dxa" w:w="80"/>
              <w:left w:type="dxa" w:w="100"/>
              <w:bottom w:type="dxa" w:w="80"/>
              <w:right w:type="dxa" w:w="100"/>
            </w:tcMar>
          </w:tcPr>
          <w:p>
            <w:pPr>
              <w:pStyle w:val="Tabla"/>
            </w:pPr>
            <w:r>
              <w:t xml:space="preserve">Distinguir niveles, flujos, auxiliares, constantes y nubes; calcular el balance de una acumulación con sus unidades.</w:t>
            </w:r>
          </w:p>
        </w:tc>
      </w:tr>
      <w:tr>
        <w:trPr>
          <w:cantSplit/>
          <w:tblHeader w:val="off"/>
        </w:trPr>
        <w:tc>
          <w:tcPr>
            <w:tcW w:type="dxa" w:w="4816"/>
            <w:tcMar>
              <w:top w:type="dxa" w:w="80"/>
              <w:left w:type="dxa" w:w="100"/>
              <w:bottom w:type="dxa" w:w="80"/>
              <w:right w:type="dxa" w:w="100"/>
            </w:tcMar>
          </w:tcPr>
          <w:p>
            <w:pPr>
              <w:pStyle w:val="Tabla"/>
            </w:pPr>
            <w:r>
              <w:t xml:space="preserve">4.3 · De ciclos causales a flujos</w:t>
            </w:r>
          </w:p>
        </w:tc>
        <w:tc>
          <w:tcPr>
            <w:tcW w:type="dxa" w:w="4816"/>
            <w:tcMar>
              <w:top w:type="dxa" w:w="80"/>
              <w:left w:type="dxa" w:w="100"/>
              <w:bottom w:type="dxa" w:w="80"/>
              <w:right w:type="dxa" w:w="100"/>
            </w:tcMar>
          </w:tcPr>
          <w:p>
            <w:pPr>
              <w:pStyle w:val="Tabla"/>
            </w:pPr>
            <w:r>
              <w:t xml:space="preserve">Pasar de un diagrama causal a uno de Forrester, justificar los elementos y escribir sus ecuaciones.</w:t>
            </w:r>
          </w:p>
        </w:tc>
      </w:tr>
      <w:tr>
        <w:trPr>
          <w:cantSplit/>
          <w:tblHeader w:val="off"/>
        </w:trPr>
        <w:tc>
          <w:tcPr>
            <w:tcW w:type="dxa" w:w="4816"/>
            <w:tcMar>
              <w:top w:type="dxa" w:w="80"/>
              <w:left w:type="dxa" w:w="100"/>
              <w:bottom w:type="dxa" w:w="80"/>
              <w:right w:type="dxa" w:w="100"/>
            </w:tcMar>
          </w:tcPr>
          <w:p>
            <w:pPr>
              <w:pStyle w:val="Tabla"/>
            </w:pPr>
            <w:r>
              <w:t xml:space="preserve">4.4 · Simulación con VENSIM</w:t>
            </w:r>
          </w:p>
        </w:tc>
        <w:tc>
          <w:tcPr>
            <w:tcW w:type="dxa" w:w="4816"/>
            <w:tcMar>
              <w:top w:type="dxa" w:w="80"/>
              <w:left w:type="dxa" w:w="100"/>
              <w:bottom w:type="dxa" w:w="80"/>
              <w:right w:type="dxa" w:w="100"/>
            </w:tcMar>
          </w:tcPr>
          <w:p>
            <w:pPr>
              <w:pStyle w:val="Tabla"/>
            </w:pPr>
            <w:r>
              <w:t xml:space="preserve">Repasar las fases del modelado, configurar el tiempo, validar el modelo y comparar corridas en Vensim.</w:t>
            </w:r>
          </w:p>
        </w:tc>
      </w:tr>
      <w:tr>
        <w:trPr>
          <w:cantSplit/>
          <w:tblHeader w:val="off"/>
        </w:trPr>
        <w:tc>
          <w:tcPr>
            <w:tcW w:type="dxa" w:w="4816"/>
            <w:tcMar>
              <w:top w:type="dxa" w:w="80"/>
              <w:left w:type="dxa" w:w="100"/>
              <w:bottom w:type="dxa" w:w="80"/>
              <w:right w:type="dxa" w:w="100"/>
            </w:tcMar>
          </w:tcPr>
          <w:p>
            <w:pPr>
              <w:pStyle w:val="Tabla"/>
            </w:pPr>
            <w:r>
              <w:t xml:space="preserve">4.5 · Ejemplos en VENSIM</w:t>
            </w:r>
          </w:p>
        </w:tc>
        <w:tc>
          <w:tcPr>
            <w:tcW w:type="dxa" w:w="4816"/>
            <w:tcMar>
              <w:top w:type="dxa" w:w="80"/>
              <w:left w:type="dxa" w:w="100"/>
              <w:bottom w:type="dxa" w:w="80"/>
              <w:right w:type="dxa" w:w="100"/>
            </w:tcMar>
          </w:tcPr>
          <w:p>
            <w:pPr>
              <w:pStyle w:val="Tabla"/>
            </w:pPr>
            <w:r>
              <w:t xml:space="preserve">Practicar los casos de epidemia, libros pendientes de Francisco, préstamos bancarios e instalación de teléfonos.</w:t>
            </w:r>
          </w:p>
        </w:tc>
      </w:tr>
      <w:tr>
        <w:trPr>
          <w:cantSplit/>
          <w:tblHeader w:val="off"/>
        </w:trPr>
        <w:tc>
          <w:tcPr>
            <w:tcW w:type="dxa" w:w="4816"/>
            <w:tcMar>
              <w:top w:type="dxa" w:w="80"/>
              <w:left w:type="dxa" w:w="100"/>
              <w:bottom w:type="dxa" w:w="80"/>
              <w:right w:type="dxa" w:w="100"/>
            </w:tcMar>
          </w:tcPr>
          <w:p>
            <w:pPr>
              <w:pStyle w:val="Tabla"/>
            </w:pPr>
            <w:r>
              <w:t xml:space="preserve">4.6 · Toma de decisiones</w:t>
            </w:r>
          </w:p>
        </w:tc>
        <w:tc>
          <w:tcPr>
            <w:tcW w:type="dxa" w:w="4816"/>
            <w:tcMar>
              <w:top w:type="dxa" w:w="80"/>
              <w:left w:type="dxa" w:w="100"/>
              <w:bottom w:type="dxa" w:w="80"/>
              <w:right w:type="dxa" w:w="100"/>
            </w:tcMar>
          </w:tcPr>
          <w:p>
            <w:pPr>
              <w:pStyle w:val="Tabla"/>
            </w:pPr>
            <w:r>
              <w:t xml:space="preserve">Evaluar alternativas, consecuencias y puntos de apalancamiento; aplicar la aproximación sucesiva.</w:t>
            </w:r>
          </w:p>
        </w:tc>
      </w:tr>
      <w:tr>
        <w:trPr>
          <w:cantSplit/>
          <w:tblHeader w:val="off"/>
        </w:trPr>
        <w:tc>
          <w:tcPr>
            <w:tcW w:type="dxa" w:w="4816"/>
            <w:tcMar>
              <w:top w:type="dxa" w:w="80"/>
              <w:left w:type="dxa" w:w="100"/>
              <w:bottom w:type="dxa" w:w="80"/>
              <w:right w:type="dxa" w:w="100"/>
            </w:tcMar>
          </w:tcPr>
          <w:p>
            <w:pPr>
              <w:pStyle w:val="Tabla"/>
            </w:pPr>
            <w:r>
              <w:t xml:space="preserve">4.7 · Hábitos (simulación)</w:t>
            </w:r>
          </w:p>
        </w:tc>
        <w:tc>
          <w:tcPr>
            <w:tcW w:type="dxa" w:w="4816"/>
            <w:tcMar>
              <w:top w:type="dxa" w:w="80"/>
              <w:left w:type="dxa" w:w="100"/>
              <w:bottom w:type="dxa" w:w="80"/>
              <w:right w:type="dxa" w:w="100"/>
            </w:tcMar>
          </w:tcPr>
          <w:p>
            <w:pPr>
              <w:pStyle w:val="Tabla"/>
            </w:pPr>
            <w:r>
              <w:t xml:space="preserve">Relacionar los hábitos con las etapas de resolución de problemas, la simulación y la resiliencia.</w:t>
            </w:r>
          </w:p>
        </w:tc>
      </w:tr>
    </w:tbl>
    <w:p>
      <w:pPr>
        <w:pStyle w:val="Fuente"/>
      </w:pPr>
      <w:r>
        <w:t xml:space="preserve">Fuentes: C-3/C-4 (abril), C-7/C-8 (octubre) · clases 18–24.</w:t>
      </w:r>
    </w:p>
    <w:p>
      <w:pPr>
        <w:pStyle w:val="Normal"/>
      </w:pPr>
      <w:r>
        <w:t xml:space="preserve">Las portadas, el calendario y los avisos de las sesiones de esta unidad (6 registros verificados) no son materia de examen. Se conservan con su motivo en el apéndice G, para que la cobertura del libro sea completa sin interrumpir el estudio.</w:t>
      </w:r>
    </w:p>
    <w:p>
      <w:pPr>
        <w:pStyle w:val="Fuente"/>
        <w:sectPr>
          <w:headerReference w:type="default" r:id="rId216"/>
          <w:headerReference w:type="first" r:id="rId217"/>
          <w:headerReference w:type="even" r:id="rId218"/>
          <w:footerReference w:type="default" r:id="rId219"/>
          <w:footerReference w:type="first" r:id="rId220"/>
          <w:footerReference w:type="even" r:id="rId221"/>
          <w:type w:val="nextPage"/>
          <w:pgSz w:w="12240" w:h="15840" w:orient="portrait"/>
          <w:pgMar w:top="1361" w:right="1134" w:bottom="1361" w:left="1474" w:header="650" w:footer="680" w:gutter="0"/>
          <w:pgNumType/>
          <w:titlePg/>
          <w:docGrid w:linePitch="360"/>
        </w:sectPr>
      </w:pPr>
      <w:r>
        <w:t xml:space="preserve">Véase </w:t>
      </w:r>
      <w:hyperlink w:history="1" w:anchor="b_avisos_unidad_4">
        <w:r>
          <w:rPr>
            <w:color w:val="156B70"/>
            <w:u w:val="single"/>
          </w:rPr>
          <w:t xml:space="preserve">apéndice G · Unidad 4</w:t>
        </w:r>
      </w:hyperlink>
      <w:r>
        <w:t xml:space="preserve">, pág. </w:t>
      </w:r>
      <w:r>
        <w:fldChar w:fldCharType="begin"/>
        <w:instrText xml:space="preserve">PAGEREF b_avisos_unidad_4 \h</w:instrText>
        <w:fldChar w:fldCharType="separate"/>
        <w:t xml:space="preserve">1753</w:t>
        <w:fldChar w:fldCharType="end"/>
      </w:r>
      <w:r>
        <w:t xml:space="preserve">.</w:t>
      </w:r>
    </w:p>
    <w:p>
      <w:pPr>
        <w:pStyle w:val="Heading2"/>
      </w:pPr>
      <w:bookmarkStart w:name="b_4_1" w:id="3552"/>
      <w:r>
        <w:t xml:space="preserve">4.1 · Arquetipos sistémicos</w:t>
      </w:r>
      <w:bookmarkEnd w:id="3552"/>
    </w:p>
    <w:p>
      <w:pPr>
        <w:pStyle w:val="Subtitulo"/>
      </w:pPr>
      <w:r>
        <w:t xml:space="preserve">Arquetipos sistémicos más comunes</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En una línea</w:t>
            </w:r>
          </w:p>
          <w:p>
            <w:pPr>
              <w:pStyle w:val="Recuadro"/>
            </w:pPr>
            <w:r>
              <w:t xml:space="preserve">Reconocer los arquetipos por su historia y sus ciclos, asignar signos y proponer una intervención.</w:t>
            </w:r>
          </w:p>
        </w:tc>
      </w:tr>
    </w:tbl>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Qué te preguntan</w:t>
            </w:r>
          </w:p>
          <w:p>
            <w:pPr>
              <w:pStyle w:val="Recuadro"/>
            </w:pPr>
            <w:r>
              <w:t xml:space="preserve">Reconocer los arquetipos por su historia y sus ciclos, asignar signos y proponer una intervención.</w:t>
            </w:r>
          </w:p>
        </w:tc>
      </w:tr>
    </w:tbl>
    <w:p>
      <w:pPr>
        <w:pStyle w:val="Normal"/>
      </w:pPr>
      <w:r>
        <w:t xml:space="preserve">Un arquetipo es una estructura recurrente de realimentación que permite explicar problemas en sistemas distintos. Se reconoce por los ciclos, las demoras y la historia del caso; el nombre por sí solo no demuestra que el diagnóstico sea correcto.</w:t>
      </w:r>
    </w:p>
    <w:p>
      <w:pPr>
        <w:pStyle w:val="Heading3"/>
      </w:pPr>
      <w:r>
        <w:t xml:space="preserve">Vocabulario clave</w:t>
      </w:r>
    </w:p>
    <w:p>
      <w:pPr>
        <w:pStyle w:val="Normal"/>
      </w:pPr>
      <w:r>
        <w:t xml:space="preserve">arquetipo · refuerzo R · balance B · demora · síntoma · solución fundamental</w:t>
      </w:r>
    </w:p>
    <w:p>
      <w:pPr>
        <w:pStyle w:val="Fuente"/>
      </w:pPr>
      <w:r>
        <w:t xml:space="preserve">Recorrido: desarrollo conceptual → presentaciones → explicación en clase → errores y fuentes → práctica → solucionario.</w:t>
      </w:r>
    </w:p>
    <w:p>
      <w:pPr>
        <w:pStyle w:val="Heading3"/>
      </w:pPr>
      <w:bookmarkStart w:name="b_lectura_a1" w:id="3553"/>
      <w:r>
        <w:t xml:space="preserve">Qué es un arquetipo y cómo reconocerlo</w:t>
      </w:r>
      <w:bookmarkEnd w:id="3553"/>
    </w:p>
    <w:p>
      <w:pPr>
        <w:pStyle w:val="Normal"/>
      </w:pPr>
      <w:r>
        <w:t xml:space="preserve">Un arquetipo sistémico es una estructura recurrente de relaciones causales y retroalimentación que ayuda a explicar problemas de contextos diferentes. Cambian los nombres de los elementos, pero se conserva un mecanismo: por ejemplo, resolver algo por una persona puede aliviar su dificultad y, simultáneamente, impedir que aprenda a resolverla. El arquetipo sirve para formular y comprobar una explicación, anticipar consecuencias y encontrar intervenciones. La semejanza de una historia no basta: hay que verificar sus relaciones, ciclos y demoras.</w:t>
      </w:r>
    </w:p>
    <w:p>
      <w:pPr>
        <w:pStyle w:val="Normal"/>
      </w:pPr>
      <w:r>
        <w:t xml:space="preserve">La lectura de Valentini explica que </w:t>
      </w:r>
      <w:r>
        <w:rPr>
          <w:i/>
          <w:iCs/>
        </w:rPr>
        <w:t xml:space="preserve">archetypos</w:t>
      </w:r>
      <w:r>
        <w:t xml:space="preserve"> significa modelo primitivo u original. Sitúa la elaboración de estas estructuras en Innovation Associates a mediados de los años ochenta: Charles Kiefer propuso comunicar más sencillamente los conceptos; Jennifer Kemeny, Michael Goodman y Peter Senge desarrollaron diagramas apoyándose parcialmente en notas de John Sterman. Algunas estructuras proceden de trabajos anteriores de Forrester y otros investigadores. Esta es la atribución de la lectura; la explicación oral de clase 22 menciona más ampliamente el trabajo del grupo del MIT.</w:t>
      </w:r>
    </w:p>
    <w:p>
      <w:pPr>
        <w:pStyle w:val="Normal"/>
      </w:pPr>
      <w:r>
        <w:rPr>
          <w:b/>
          <w:bCs/>
        </w:rPr>
        <w:t xml:space="preserve">Alcance de las fuentes:</w:t>
      </w:r>
      <w:r>
        <w:t xml:space="preserve"> Pegasus y Kim presentan ocho arquetipos; Valentini presenta esos ocho y dos variantes adicionales. La presentación 4b, página 20, reúne los diez. En clase 22 el profesor desarrolla principalmente </w:t>
      </w:r>
      <w:r>
        <w:rPr>
          <w:b/>
          <w:bCs/>
        </w:rPr>
        <w:t xml:space="preserve">soluciones rápidas que fallan</w:t>
      </w:r>
      <w:r>
        <w:t xml:space="preserve"> y </w:t>
      </w:r>
      <w:r>
        <w:rPr>
          <w:b/>
          <w:bCs/>
        </w:rPr>
        <w:t xml:space="preserve">desplazamiento de la carga</w:t>
      </w:r>
      <w:r>
        <w:t xml:space="preserve">, y pide complementar los restantes con lecturas y videos. Por tanto, estudiar solo esos dos ejemplos orales deja contenido pendiente.</w:t>
      </w:r>
    </w:p>
    <w:p>
      <w:pPr>
        <w:pStyle w:val="Normal"/>
      </w:pPr>
      <w:r>
        <w:t xml:space="preserve">Para resolver una pregunta abierta:</w:t>
      </w:r>
    </w:p>
    <w:p>
      <w:pPr>
        <w:pStyle w:val="Normal"/>
      </w:pPr>
      <w:r>
        <w:t xml:space="preserve">1. Identificar el síntoma y su evolución, no únicamente el último evento.</w:t>
      </w:r>
    </w:p>
    <w:p>
      <w:pPr>
        <w:pStyle w:val="Normal"/>
      </w:pPr>
      <w:r>
        <w:t xml:space="preserve">2. Nombrar variables que puedan aumentar o disminuir.</w:t>
      </w:r>
    </w:p>
    <w:p>
      <w:pPr>
        <w:pStyle w:val="Normal"/>
      </w:pPr>
      <w:r>
        <w:t xml:space="preserve">3. Asignar signos según el sentido de cada influencia, manteniendo las demás condiciones constantes.</w:t>
      </w:r>
    </w:p>
    <w:p>
      <w:pPr>
        <w:pStyle w:val="Normal"/>
      </w:pPr>
      <w:r>
        <w:t xml:space="preserve">4. Recorrer caminos cerrados y comprobar el efecto que vuelve a la variable inicial.</w:t>
      </w:r>
    </w:p>
    <w:p>
      <w:pPr>
        <w:pStyle w:val="Normal"/>
      </w:pPr>
      <w:r>
        <w:t xml:space="preserve">5. Marcar demoras y distinguir consecuencias inmediatas de posteriores.</w:t>
      </w:r>
    </w:p>
    <w:p>
      <w:pPr>
        <w:pStyle w:val="Normal"/>
      </w:pPr>
      <w:r>
        <w:t xml:space="preserve">6. Proponer una intervención sobre la relación, capacidad, regla o meta que genera el patrón.</w:t>
      </w:r>
    </w:p>
    <w:p>
      <w:pPr>
        <w:pStyle w:val="Normal"/>
      </w:pPr>
      <w:r>
        <w:rPr>
          <w:b/>
          <w:bCs/>
        </w:rPr>
        <w:t xml:space="preserve">Recordatorio personalizado:</w:t>
      </w:r>
      <w:r>
        <w:t xml:space="preserve"> dos variables que disminuyen juntas tienen relación positiva. Un ciclo de refuerzo puede amplificar una disminución. Tanto refuerzo como balance regresan a la misma variable; no necesariamente al mismo valor. Cero o número par de relaciones negativas corresponde a R; número impar, a B. R no significa bueno ni B significa malo.</w:t>
      </w:r>
    </w:p>
    <w:p>
      <w:pPr>
        <w:pStyle w:val="Heading3"/>
      </w:pPr>
      <w:bookmarkStart w:name="b_lectura_a2" w:id="3554"/>
      <w:r>
        <w:t xml:space="preserve">Tabla de reconocimiento y notación</w:t>
      </w:r>
      <w:bookmarkEnd w:id="3554"/>
    </w:p>
    <w:p>
      <w:pPr>
        <w:pStyle w:val="Normal"/>
      </w:pPr>
      <w:r>
        <w:t xml:space="preserve">Los recuentos siguientes describen las estructuras básicas de las lecturas, no cualquier ampliación posible de un caso real.</w:t>
      </w:r>
    </w:p>
    <w:tbl>
      <w:tblPr>
        <w:tblW w:type="dxa" w:w="9632"/>
        <w:tblBorders>
          <w:top w:val="single" w:color="C5D5DB" w:sz="4"/>
          <w:left w:val="single" w:color="C5D5DB" w:sz="4"/>
          <w:bottom w:val="single" w:color="C5D5DB" w:sz="4"/>
          <w:right w:val="single" w:color="C5D5DB" w:sz="4"/>
          <w:insideH w:val="single" w:color="E4E9EB" w:sz="3"/>
          <w:insideV w:val="single" w:color="E4E9EB" w:sz="3"/>
        </w:tblBorders>
        <w:tblLayout w:type="fixed"/>
      </w:tblPr>
      <w:tblGrid>
        <w:gridCol w:w="3212"/>
        <w:gridCol w:w="3210"/>
        <w:gridCol w:w="3210"/>
      </w:tblGrid>
      <w:tr>
        <w:trPr>
          <w:cantSplit/>
          <w:tblHeader/>
        </w:trPr>
        <w:tc>
          <w:tcPr>
            <w:tcW w:type="dxa" w:w="3212"/>
            <w:shd w:fill="DFEAF0" w:val="clear"/>
            <w:tcMar>
              <w:top w:type="dxa" w:w="80"/>
              <w:left w:type="dxa" w:w="100"/>
              <w:bottom w:type="dxa" w:w="80"/>
              <w:right w:type="dxa" w:w="100"/>
            </w:tcMar>
          </w:tcPr>
          <w:p>
            <w:pPr>
              <w:pStyle w:val="Tabla"/>
            </w:pPr>
            <w:r>
              <w:rPr>
                <w:b/>
                <w:bCs/>
              </w:rPr>
              <w:t xml:space="preserve">Arquetipo</w:t>
            </w:r>
          </w:p>
        </w:tc>
        <w:tc>
          <w:tcPr>
            <w:tcW w:type="dxa" w:w="3210"/>
            <w:shd w:fill="DFEAF0" w:val="clear"/>
            <w:tcMar>
              <w:top w:type="dxa" w:w="80"/>
              <w:left w:type="dxa" w:w="100"/>
              <w:bottom w:type="dxa" w:w="80"/>
              <w:right w:type="dxa" w:w="100"/>
            </w:tcMar>
          </w:tcPr>
          <w:p>
            <w:pPr>
              <w:pStyle w:val="Tabla"/>
            </w:pPr>
            <w:r>
              <w:rPr>
                <w:b/>
                <w:bCs/>
              </w:rPr>
              <w:t xml:space="preserve">Mecanismo para reconocerlo</w:t>
            </w:r>
          </w:p>
        </w:tc>
        <w:tc>
          <w:tcPr>
            <w:tcW w:type="dxa" w:w="3210"/>
            <w:shd w:fill="DFEAF0" w:val="clear"/>
            <w:tcMar>
              <w:top w:type="dxa" w:w="80"/>
              <w:left w:type="dxa" w:w="100"/>
              <w:bottom w:type="dxa" w:w="80"/>
              <w:right w:type="dxa" w:w="100"/>
            </w:tcMar>
          </w:tcPr>
          <w:p>
            <w:pPr>
              <w:pStyle w:val="Tabla"/>
            </w:pPr>
            <w:r>
              <w:rPr>
                <w:b/>
                <w:bCs/>
              </w:rPr>
              <w:t xml:space="preserve">Estructura básica</w:t>
            </w:r>
          </w:p>
        </w:tc>
      </w:tr>
      <w:tr>
        <w:trPr>
          <w:cantSplit/>
          <w:tblHeader w:val="off"/>
        </w:trPr>
        <w:tc>
          <w:tcPr>
            <w:tcW w:type="dxa" w:w="3212"/>
            <w:tcMar>
              <w:top w:type="dxa" w:w="80"/>
              <w:left w:type="dxa" w:w="100"/>
              <w:bottom w:type="dxa" w:w="80"/>
              <w:right w:type="dxa" w:w="100"/>
            </w:tcMar>
          </w:tcPr>
          <w:p>
            <w:pPr>
              <w:pStyle w:val="Tabla"/>
            </w:pPr>
            <w:r>
              <w:t xml:space="preserve">Límites del crecimiento</w:t>
            </w:r>
          </w:p>
        </w:tc>
        <w:tc>
          <w:tcPr>
            <w:tcW w:type="dxa" w:w="3210"/>
            <w:tcMar>
              <w:top w:type="dxa" w:w="80"/>
              <w:left w:type="dxa" w:w="100"/>
              <w:bottom w:type="dxa" w:w="80"/>
              <w:right w:type="dxa" w:w="100"/>
            </w:tcMar>
          </w:tcPr>
          <w:p>
            <w:pPr>
              <w:pStyle w:val="Tabla"/>
            </w:pPr>
            <w:r>
              <w:t xml:space="preserve">El crecimiento activa una restricción</w:t>
            </w:r>
          </w:p>
        </w:tc>
        <w:tc>
          <w:tcPr>
            <w:tcW w:type="dxa" w:w="3210"/>
            <w:tcMar>
              <w:top w:type="dxa" w:w="80"/>
              <w:left w:type="dxa" w:w="100"/>
              <w:bottom w:type="dxa" w:w="80"/>
              <w:right w:type="dxa" w:w="100"/>
            </w:tcMar>
          </w:tcPr>
          <w:p>
            <w:pPr>
              <w:pStyle w:val="Tabla"/>
            </w:pPr>
            <w:r>
              <w:t xml:space="preserve">1 R + 1 B</w:t>
            </w:r>
          </w:p>
        </w:tc>
      </w:tr>
      <w:tr>
        <w:trPr>
          <w:cantSplit/>
          <w:tblHeader w:val="off"/>
        </w:trPr>
        <w:tc>
          <w:tcPr>
            <w:tcW w:type="dxa" w:w="3212"/>
            <w:tcMar>
              <w:top w:type="dxa" w:w="80"/>
              <w:left w:type="dxa" w:w="100"/>
              <w:bottom w:type="dxa" w:w="80"/>
              <w:right w:type="dxa" w:w="100"/>
            </w:tcMar>
          </w:tcPr>
          <w:p>
            <w:pPr>
              <w:pStyle w:val="Tabla"/>
            </w:pPr>
            <w:r>
              <w:t xml:space="preserve">Crecimiento y subinversión</w:t>
            </w:r>
          </w:p>
        </w:tc>
        <w:tc>
          <w:tcPr>
            <w:tcW w:type="dxa" w:w="3210"/>
            <w:tcMar>
              <w:top w:type="dxa" w:w="80"/>
              <w:left w:type="dxa" w:w="100"/>
              <w:bottom w:type="dxa" w:w="80"/>
              <w:right w:type="dxa" w:w="100"/>
            </w:tcMar>
          </w:tcPr>
          <w:p>
            <w:pPr>
              <w:pStyle w:val="Tabla"/>
            </w:pPr>
            <w:r>
              <w:t xml:space="preserve">La capacidad insuficiente frena la demanda y se usa esa caída para justificar no invertir</w:t>
            </w:r>
          </w:p>
        </w:tc>
        <w:tc>
          <w:tcPr>
            <w:tcW w:type="dxa" w:w="3210"/>
            <w:tcMar>
              <w:top w:type="dxa" w:w="80"/>
              <w:left w:type="dxa" w:w="100"/>
              <w:bottom w:type="dxa" w:w="80"/>
              <w:right w:type="dxa" w:w="100"/>
            </w:tcMar>
          </w:tcPr>
          <w:p>
            <w:pPr>
              <w:pStyle w:val="Tabla"/>
            </w:pPr>
            <w:r>
              <w:t xml:space="preserve">1 R + 2 B en L-17</w:t>
            </w:r>
          </w:p>
        </w:tc>
      </w:tr>
      <w:tr>
        <w:trPr>
          <w:cantSplit/>
          <w:tblHeader w:val="off"/>
        </w:trPr>
        <w:tc>
          <w:tcPr>
            <w:tcW w:type="dxa" w:w="3212"/>
            <w:tcMar>
              <w:top w:type="dxa" w:w="80"/>
              <w:left w:type="dxa" w:w="100"/>
              <w:bottom w:type="dxa" w:w="80"/>
              <w:right w:type="dxa" w:w="100"/>
            </w:tcMar>
          </w:tcPr>
          <w:p>
            <w:pPr>
              <w:pStyle w:val="Tabla"/>
            </w:pPr>
            <w:r>
              <w:t xml:space="preserve">Soluciones rápidas que fallan</w:t>
            </w:r>
          </w:p>
        </w:tc>
        <w:tc>
          <w:tcPr>
            <w:tcW w:type="dxa" w:w="3210"/>
            <w:tcMar>
              <w:top w:type="dxa" w:w="80"/>
              <w:left w:type="dxa" w:w="100"/>
              <w:bottom w:type="dxa" w:w="80"/>
              <w:right w:type="dxa" w:w="100"/>
            </w:tcMar>
          </w:tcPr>
          <w:p>
            <w:pPr>
              <w:pStyle w:val="Tabla"/>
            </w:pPr>
            <w:r>
              <w:t xml:space="preserve">El alivio inicial produce consecuencias que agravan el problema después</w:t>
            </w:r>
          </w:p>
        </w:tc>
        <w:tc>
          <w:tcPr>
            <w:tcW w:type="dxa" w:w="3210"/>
            <w:tcMar>
              <w:top w:type="dxa" w:w="80"/>
              <w:left w:type="dxa" w:w="100"/>
              <w:bottom w:type="dxa" w:w="80"/>
              <w:right w:type="dxa" w:w="100"/>
            </w:tcMar>
          </w:tcPr>
          <w:p>
            <w:pPr>
              <w:pStyle w:val="Tabla"/>
            </w:pPr>
            <w:r>
              <w:t xml:space="preserve">1 B + 1 R</w:t>
            </w:r>
          </w:p>
        </w:tc>
      </w:tr>
      <w:tr>
        <w:trPr>
          <w:cantSplit/>
          <w:tblHeader w:val="off"/>
        </w:trPr>
        <w:tc>
          <w:tcPr>
            <w:tcW w:type="dxa" w:w="3212"/>
            <w:tcMar>
              <w:top w:type="dxa" w:w="80"/>
              <w:left w:type="dxa" w:w="100"/>
              <w:bottom w:type="dxa" w:w="80"/>
              <w:right w:type="dxa" w:w="100"/>
            </w:tcMar>
          </w:tcPr>
          <w:p>
            <w:pPr>
              <w:pStyle w:val="Tabla"/>
            </w:pPr>
            <w:r>
              <w:t xml:space="preserve">Desplazamiento de la carga</w:t>
            </w:r>
          </w:p>
        </w:tc>
        <w:tc>
          <w:tcPr>
            <w:tcW w:type="dxa" w:w="3210"/>
            <w:tcMar>
              <w:top w:type="dxa" w:w="80"/>
              <w:left w:type="dxa" w:w="100"/>
              <w:bottom w:type="dxa" w:w="80"/>
              <w:right w:type="dxa" w:w="100"/>
            </w:tcMar>
          </w:tcPr>
          <w:p>
            <w:pPr>
              <w:pStyle w:val="Tabla"/>
            </w:pPr>
            <w:r>
              <w:t xml:space="preserve">El alivio sintomático debilita la solución fundamental</w:t>
            </w:r>
          </w:p>
        </w:tc>
        <w:tc>
          <w:tcPr>
            <w:tcW w:type="dxa" w:w="3210"/>
            <w:tcMar>
              <w:top w:type="dxa" w:w="80"/>
              <w:left w:type="dxa" w:w="100"/>
              <w:bottom w:type="dxa" w:w="80"/>
              <w:right w:type="dxa" w:w="100"/>
            </w:tcMar>
          </w:tcPr>
          <w:p>
            <w:pPr>
              <w:pStyle w:val="Tabla"/>
            </w:pPr>
            <w:r>
              <w:t xml:space="preserve">2 B + 1 R</w:t>
            </w:r>
          </w:p>
        </w:tc>
      </w:tr>
      <w:tr>
        <w:trPr>
          <w:cantSplit/>
          <w:tblHeader w:val="off"/>
        </w:trPr>
        <w:tc>
          <w:tcPr>
            <w:tcW w:type="dxa" w:w="3212"/>
            <w:tcMar>
              <w:top w:type="dxa" w:w="80"/>
              <w:left w:type="dxa" w:w="100"/>
              <w:bottom w:type="dxa" w:w="80"/>
              <w:right w:type="dxa" w:w="100"/>
            </w:tcMar>
          </w:tcPr>
          <w:p>
            <w:pPr>
              <w:pStyle w:val="Tabla"/>
            </w:pPr>
            <w:r>
              <w:t xml:space="preserve">Erosión de metas</w:t>
            </w:r>
          </w:p>
        </w:tc>
        <w:tc>
          <w:tcPr>
            <w:tcW w:type="dxa" w:w="3210"/>
            <w:tcMar>
              <w:top w:type="dxa" w:w="80"/>
              <w:left w:type="dxa" w:w="100"/>
              <w:bottom w:type="dxa" w:w="80"/>
              <w:right w:type="dxa" w:w="100"/>
            </w:tcMar>
          </w:tcPr>
          <w:p>
            <w:pPr>
              <w:pStyle w:val="Tabla"/>
            </w:pPr>
            <w:r>
              <w:t xml:space="preserve">Se cierra la brecha rebajando la exigencia</w:t>
            </w:r>
          </w:p>
        </w:tc>
        <w:tc>
          <w:tcPr>
            <w:tcW w:type="dxa" w:w="3210"/>
            <w:tcMar>
              <w:top w:type="dxa" w:w="80"/>
              <w:left w:type="dxa" w:w="100"/>
              <w:bottom w:type="dxa" w:w="80"/>
              <w:right w:type="dxa" w:w="100"/>
            </w:tcMar>
          </w:tcPr>
          <w:p>
            <w:pPr>
              <w:pStyle w:val="Tabla"/>
            </w:pPr>
            <w:r>
              <w:t xml:space="preserve">2 B</w:t>
            </w:r>
          </w:p>
        </w:tc>
      </w:tr>
      <w:tr>
        <w:trPr>
          <w:cantSplit/>
          <w:tblHeader w:val="off"/>
        </w:trPr>
        <w:tc>
          <w:tcPr>
            <w:tcW w:type="dxa" w:w="3212"/>
            <w:tcMar>
              <w:top w:type="dxa" w:w="80"/>
              <w:left w:type="dxa" w:w="100"/>
              <w:bottom w:type="dxa" w:w="80"/>
              <w:right w:type="dxa" w:w="100"/>
            </w:tcMar>
          </w:tcPr>
          <w:p>
            <w:pPr>
              <w:pStyle w:val="Tabla"/>
            </w:pPr>
            <w:r>
              <w:t xml:space="preserve">Escalada</w:t>
            </w:r>
          </w:p>
        </w:tc>
        <w:tc>
          <w:tcPr>
            <w:tcW w:type="dxa" w:w="3210"/>
            <w:tcMar>
              <w:top w:type="dxa" w:w="80"/>
              <w:left w:type="dxa" w:w="100"/>
              <w:bottom w:type="dxa" w:w="80"/>
              <w:right w:type="dxa" w:w="100"/>
            </w:tcMar>
          </w:tcPr>
          <w:p>
            <w:pPr>
              <w:pStyle w:val="Tabla"/>
            </w:pPr>
            <w:r>
              <w:t xml:space="preserve">Cada participante responde a la amenaza del otro y la competencia se intensifica</w:t>
            </w:r>
          </w:p>
        </w:tc>
        <w:tc>
          <w:tcPr>
            <w:tcW w:type="dxa" w:w="3210"/>
            <w:tcMar>
              <w:top w:type="dxa" w:w="80"/>
              <w:left w:type="dxa" w:w="100"/>
              <w:bottom w:type="dxa" w:w="80"/>
              <w:right w:type="dxa" w:w="100"/>
            </w:tcMar>
          </w:tcPr>
          <w:p>
            <w:pPr>
              <w:pStyle w:val="Tabla"/>
            </w:pPr>
            <w:r>
              <w:t xml:space="preserve">2 B conectados; recorrido compuesto reforzador</w:t>
            </w:r>
          </w:p>
        </w:tc>
      </w:tr>
      <w:tr>
        <w:trPr>
          <w:cantSplit/>
          <w:tblHeader w:val="off"/>
        </w:trPr>
        <w:tc>
          <w:tcPr>
            <w:tcW w:type="dxa" w:w="3212"/>
            <w:tcMar>
              <w:top w:type="dxa" w:w="80"/>
              <w:left w:type="dxa" w:w="100"/>
              <w:bottom w:type="dxa" w:w="80"/>
              <w:right w:type="dxa" w:w="100"/>
            </w:tcMar>
          </w:tcPr>
          <w:p>
            <w:pPr>
              <w:pStyle w:val="Tabla"/>
            </w:pPr>
            <w:r>
              <w:t xml:space="preserve">Éxito para quien tiene éxito</w:t>
            </w:r>
          </w:p>
        </w:tc>
        <w:tc>
          <w:tcPr>
            <w:tcW w:type="dxa" w:w="3210"/>
            <w:tcMar>
              <w:top w:type="dxa" w:w="80"/>
              <w:left w:type="dxa" w:w="100"/>
              <w:bottom w:type="dxa" w:w="80"/>
              <w:right w:type="dxa" w:w="100"/>
            </w:tcMar>
          </w:tcPr>
          <w:p>
            <w:pPr>
              <w:pStyle w:val="Tabla"/>
            </w:pPr>
            <w:r>
              <w:t xml:space="preserve">Los resultados justifican una asignación desigual que refuerza la ventaja inicial</w:t>
            </w:r>
          </w:p>
        </w:tc>
        <w:tc>
          <w:tcPr>
            <w:tcW w:type="dxa" w:w="3210"/>
            <w:tcMar>
              <w:top w:type="dxa" w:w="80"/>
              <w:left w:type="dxa" w:w="100"/>
              <w:bottom w:type="dxa" w:w="80"/>
              <w:right w:type="dxa" w:w="100"/>
            </w:tcMar>
          </w:tcPr>
          <w:p>
            <w:pPr>
              <w:pStyle w:val="Tabla"/>
            </w:pPr>
            <w:r>
              <w:t xml:space="preserve">2 R</w:t>
            </w:r>
          </w:p>
        </w:tc>
      </w:tr>
      <w:tr>
        <w:trPr>
          <w:cantSplit/>
          <w:tblHeader w:val="off"/>
        </w:trPr>
        <w:tc>
          <w:tcPr>
            <w:tcW w:type="dxa" w:w="3212"/>
            <w:tcMar>
              <w:top w:type="dxa" w:w="80"/>
              <w:left w:type="dxa" w:w="100"/>
              <w:bottom w:type="dxa" w:w="80"/>
              <w:right w:type="dxa" w:w="100"/>
            </w:tcMar>
          </w:tcPr>
          <w:p>
            <w:pPr>
              <w:pStyle w:val="Tabla"/>
            </w:pPr>
            <w:r>
              <w:t xml:space="preserve">Tragedia de los comunes</w:t>
            </w:r>
          </w:p>
        </w:tc>
        <w:tc>
          <w:tcPr>
            <w:tcW w:type="dxa" w:w="3210"/>
            <w:tcMar>
              <w:top w:type="dxa" w:w="80"/>
              <w:left w:type="dxa" w:w="100"/>
              <w:bottom w:type="dxa" w:w="80"/>
              <w:right w:type="dxa" w:w="100"/>
            </w:tcMar>
          </w:tcPr>
          <w:p>
            <w:pPr>
              <w:pStyle w:val="Tabla"/>
            </w:pPr>
            <w:r>
              <w:t xml:space="preserve">Beneficios individuales deterioran un recurso compartido limitado</w:t>
            </w:r>
          </w:p>
        </w:tc>
        <w:tc>
          <w:tcPr>
            <w:tcW w:type="dxa" w:w="3210"/>
            <w:tcMar>
              <w:top w:type="dxa" w:w="80"/>
              <w:left w:type="dxa" w:w="100"/>
              <w:bottom w:type="dxa" w:w="80"/>
              <w:right w:type="dxa" w:w="100"/>
            </w:tcMar>
          </w:tcPr>
          <w:p>
            <w:pPr>
              <w:pStyle w:val="Tabla"/>
            </w:pPr>
            <w:r>
              <w:t xml:space="preserve">2 R + 2 B, para dos participantes</w:t>
            </w:r>
          </w:p>
        </w:tc>
      </w:tr>
      <w:tr>
        <w:trPr>
          <w:cantSplit/>
          <w:tblHeader w:val="off"/>
        </w:trPr>
        <w:tc>
          <w:tcPr>
            <w:tcW w:type="dxa" w:w="3212"/>
            <w:tcMar>
              <w:top w:type="dxa" w:w="80"/>
              <w:left w:type="dxa" w:w="100"/>
              <w:bottom w:type="dxa" w:w="80"/>
              <w:right w:type="dxa" w:w="100"/>
            </w:tcMar>
          </w:tcPr>
          <w:p>
            <w:pPr>
              <w:pStyle w:val="Tabla"/>
            </w:pPr>
            <w:r>
              <w:t xml:space="preserve">Compensación entre proceso y demora</w:t>
            </w:r>
          </w:p>
        </w:tc>
        <w:tc>
          <w:tcPr>
            <w:tcW w:type="dxa" w:w="3210"/>
            <w:tcMar>
              <w:top w:type="dxa" w:w="80"/>
              <w:left w:type="dxa" w:w="100"/>
              <w:bottom w:type="dxa" w:w="80"/>
              <w:right w:type="dxa" w:w="100"/>
            </w:tcMar>
          </w:tcPr>
          <w:p>
            <w:pPr>
              <w:pStyle w:val="Tabla"/>
            </w:pPr>
            <w:r>
              <w:t xml:space="preserve">Se sobrecorrige porque los efectos llegan tarde</w:t>
            </w:r>
          </w:p>
        </w:tc>
        <w:tc>
          <w:tcPr>
            <w:tcW w:type="dxa" w:w="3210"/>
            <w:tcMar>
              <w:top w:type="dxa" w:w="80"/>
              <w:left w:type="dxa" w:w="100"/>
              <w:bottom w:type="dxa" w:w="80"/>
              <w:right w:type="dxa" w:w="100"/>
            </w:tcMar>
          </w:tcPr>
          <w:p>
            <w:pPr>
              <w:pStyle w:val="Tabla"/>
            </w:pPr>
            <w:r>
              <w:t xml:space="preserve">1 B con demora</w:t>
            </w:r>
          </w:p>
        </w:tc>
      </w:tr>
      <w:tr>
        <w:trPr>
          <w:cantSplit/>
          <w:tblHeader w:val="off"/>
        </w:trPr>
        <w:tc>
          <w:tcPr>
            <w:tcW w:type="dxa" w:w="3212"/>
            <w:tcMar>
              <w:top w:type="dxa" w:w="80"/>
              <w:left w:type="dxa" w:w="100"/>
              <w:bottom w:type="dxa" w:w="80"/>
              <w:right w:type="dxa" w:w="100"/>
            </w:tcMar>
          </w:tcPr>
          <w:p>
            <w:pPr>
              <w:pStyle w:val="Tabla"/>
            </w:pPr>
            <w:r>
              <w:t xml:space="preserve">Desplazamiento hacia la intervención</w:t>
            </w:r>
          </w:p>
        </w:tc>
        <w:tc>
          <w:tcPr>
            <w:tcW w:type="dxa" w:w="3210"/>
            <w:tcMar>
              <w:top w:type="dxa" w:w="80"/>
              <w:left w:type="dxa" w:w="100"/>
              <w:bottom w:type="dxa" w:w="80"/>
              <w:right w:type="dxa" w:w="100"/>
            </w:tcMar>
          </w:tcPr>
          <w:p>
            <w:pPr>
              <w:pStyle w:val="Tabla"/>
            </w:pPr>
            <w:r>
              <w:t xml:space="preserve">La ayuda externa sustituye la capacidad de los actores internos</w:t>
            </w:r>
          </w:p>
        </w:tc>
        <w:tc>
          <w:tcPr>
            <w:tcW w:type="dxa" w:w="3210"/>
            <w:tcMar>
              <w:top w:type="dxa" w:w="80"/>
              <w:left w:type="dxa" w:w="100"/>
              <w:bottom w:type="dxa" w:w="80"/>
              <w:right w:type="dxa" w:w="100"/>
            </w:tcMar>
          </w:tcPr>
          <w:p>
            <w:pPr>
              <w:pStyle w:val="Tabla"/>
            </w:pPr>
            <w:r>
              <w:t xml:space="preserve">2 B + 1 R</w:t>
            </w:r>
          </w:p>
        </w:tc>
      </w:tr>
    </w:tbl>
    <w:p>
      <w:pPr>
        <w:pStyle w:val="Normal"/>
      </w:pPr>
      <w:r>
        <w:t xml:space="preserve">En Pegasus y Kim las flechas llevan signos y los ciclos letras. Valentini usa los íconos de Senge: </w:t>
      </w:r>
      <w:r>
        <w:rPr>
          <w:b/>
          <w:bCs/>
        </w:rPr>
        <w:t xml:space="preserve">balanza = balance; bola de nieve = refuerzo</w:t>
      </w:r>
      <w:r>
        <w:t xml:space="preserve">. No todas sus flechas tienen signos impresos. Los recorridos con signos que siguen son traducciones didácticas explícitas; en las dos variantes de Valentini los signos se deducen del significado de las variables y de los íconos. Una marca </w:t>
      </w:r>
      <w:r>
        <w:rPr>
          <w:rFonts w:ascii="Source Code Pro" w:cs="Source Code Pro" w:eastAsia="Source Code Pro" w:hAnsi="Source Code Pro"/>
          <w:sz w:val="18"/>
          <w:szCs w:val="18"/>
        </w:rPr>
        <w:t xml:space="preserve">demora</w:t>
      </w:r>
      <w:r>
        <w:t xml:space="preserve"> indica tiempo entre la acción y el efecto, no cambia por sí sola la polaridad.</w:t>
      </w:r>
    </w:p>
    <w:p>
      <w:pPr>
        <w:pStyle w:val="Heading3"/>
      </w:pPr>
      <w:bookmarkStart w:name="b_lectura_a3" w:id="3555"/>
      <w:r>
        <w:t xml:space="preserve">Límites del crecimiento</w:t>
      </w:r>
      <w:bookmarkEnd w:id="3555"/>
    </w:p>
    <w:p>
      <w:pPr>
        <w:pStyle w:val="Normal"/>
      </w:pPr>
      <w:r>
        <w:rPr>
          <w:b/>
          <w:bCs/>
        </w:rPr>
        <w:t xml:space="preserve">Historia:</w:t>
      </w:r>
      <w:r>
        <w:t xml:space="preserve"> una actividad se alimenta de sus resultados y crece. Ese mismo crecimiento aumenta una presión que activa una limitación. El desempeño deja de crecer, se estabiliza o puede caer. La restricción puede ser física, humana, informativa, administrativa o una reacción de otros actores; no siempre es un recurso material.</w:t>
      </w:r>
    </w:p>
    <w:p>
      <w:pPr>
        <w:pStyle w:val="Normal"/>
      </w:pPr>
      <w:r>
        <w:rPr>
          <w:b/>
          <w:bCs/>
        </w:rPr>
        <w:t xml:space="preserve">Diagrama básico para reconstruir en papel:</w:t>
      </w:r>
    </w:p>
    <w:p>
      <w:pPr>
        <w:pStyle w:val="Normal"/>
        <w:numPr>
          <w:ilvl w:val="0"/>
          <w:numId w:val="2"/>
        </w:numPr>
      </w:pPr>
      <w:r>
        <w:t xml:space="preserve">R1: </w:t>
      </w:r>
      <w:r>
        <w:rPr>
          <w:rFonts w:ascii="Source Code Pro" w:cs="Source Code Pro" w:eastAsia="Source Code Pro" w:hAnsi="Source Code Pro"/>
          <w:sz w:val="18"/>
          <w:szCs w:val="18"/>
        </w:rPr>
        <w:t xml:space="preserve">Esfuerzos →(+) Desempeño →(+) Esfuerzos</w:t>
      </w:r>
      <w:r>
        <w:t xml:space="preserve">.</w:t>
      </w:r>
    </w:p>
    <w:p>
      <w:pPr>
        <w:pStyle w:val="Normal"/>
        <w:numPr>
          <w:ilvl w:val="0"/>
          <w:numId w:val="2"/>
        </w:numPr>
      </w:pPr>
      <w:r>
        <w:t xml:space="preserve">B2: </w:t>
      </w:r>
      <w:r>
        <w:rPr>
          <w:rFonts w:ascii="Source Code Pro" w:cs="Source Code Pro" w:eastAsia="Source Code Pro" w:hAnsi="Source Code Pro"/>
          <w:sz w:val="18"/>
          <w:szCs w:val="18"/>
        </w:rPr>
        <w:t xml:space="preserve">Desempeño →(+) Acción limitadora →(−) Desempeño</w:t>
      </w:r>
      <w:r>
        <w:t xml:space="preserve">.</w:t>
      </w:r>
    </w:p>
    <w:p>
      <w:pPr>
        <w:pStyle w:val="Normal"/>
        <w:numPr>
          <w:ilvl w:val="0"/>
          <w:numId w:val="2"/>
        </w:numPr>
      </w:pPr>
      <w:r>
        <w:t xml:space="preserve">Una </w:t>
      </w:r>
      <w:r>
        <w:rPr>
          <w:rFonts w:ascii="Source Code Pro" w:cs="Source Code Pro" w:eastAsia="Source Code Pro" w:hAnsi="Source Code Pro"/>
          <w:sz w:val="18"/>
          <w:szCs w:val="18"/>
        </w:rPr>
        <w:t xml:space="preserve">Restricción</w:t>
      </w:r>
      <w:r>
        <w:t xml:space="preserve"> influye en la acción limitadora. La flecha de L-17 no trae signo; no atribuirle uno como si estuviera impreso.</w:t>
      </w:r>
    </w:p>
    <w:p>
      <w:pPr>
        <w:pStyle w:val="Normal"/>
      </w:pPr>
      <w:r>
        <w:rPr>
          <w:b/>
          <w:bCs/>
        </w:rPr>
        <w:t xml:space="preserve">Ejemplo trabajado:</w:t>
      </w:r>
      <w:r>
        <w:t xml:space="preserve"> más usuarios satisfechos recomiendan la biblioteca y atraen más usuarios. Al mantenerse las mesas y el personal, aumenta la saturación, crecen las esperas, cae la satisfacción y se debilitan las recomendaciones. El ciclo de crecimiento se cierra mediante recomendaciones; no necesita esperar a que aparezca el límite para convertirse en ciclo.</w:t>
      </w:r>
    </w:p>
    <w:p>
      <w:pPr>
        <w:pStyle w:val="Normal"/>
      </w:pPr>
      <w:r>
        <w:rPr>
          <w:b/>
          <w:bCs/>
        </w:rPr>
        <w:t xml:space="preserve">Señal de advertencia:</w:t>
      </w:r>
      <w:r>
        <w:t xml:space="preserve"> primero se piensa que no hay razón para preocuparse porque todo crece; luego se insiste en hacer más de lo que funcionó al inicio, aunque los resultados ya no mejoren.</w:t>
      </w:r>
    </w:p>
    <w:p>
      <w:pPr>
        <w:pStyle w:val="Normal"/>
      </w:pPr>
      <w:r>
        <w:rPr>
          <w:b/>
          <w:bCs/>
        </w:rPr>
        <w:t xml:space="preserve">Intervención:</w:t>
      </w:r>
      <w:r>
        <w:t xml:space="preserve"> identificar y aliviar la restricción. Más publicidad puede agravar la saturación si no cambia la capacidad. Estudiar las presiones antes de alcanzar el límite y coordinar el ritmo de crecimiento con el tiempo necesario para ampliar capacidad.</w:t>
      </w:r>
    </w:p>
    <w:p>
      <w:pPr>
        <w:pStyle w:val="Normal"/>
      </w:pPr>
      <w:r>
        <w:rPr>
          <w:b/>
          <w:bCs/>
        </w:rPr>
        <w:t xml:space="preserve">Kim, aplicación: planeación. Siete pasos, parafraseados:</w:t>
      </w:r>
    </w:p>
    <w:p>
      <w:pPr>
        <w:pStyle w:val="Normal"/>
      </w:pPr>
      <w:r>
        <w:t xml:space="preserve">1. Identificar qué factores generan el crecimiento.</w:t>
      </w:r>
    </w:p>
    <w:p>
      <w:pPr>
        <w:pStyle w:val="Normal"/>
      </w:pPr>
      <w:r>
        <w:t xml:space="preserve">2. Determinar el tiempo en que esos procesos se duplican.</w:t>
      </w:r>
    </w:p>
    <w:p>
      <w:pPr>
        <w:pStyle w:val="Normal"/>
      </w:pPr>
      <w:r>
        <w:t xml:space="preserve">3. Buscar límites potenciales y sus ciclos de balance: espacio, información, personal, experiencia o modelos mentales.</w:t>
      </w:r>
    </w:p>
    <w:p>
      <w:pPr>
        <w:pStyle w:val="Normal"/>
      </w:pPr>
      <w:r>
        <w:t xml:space="preserve">4. Precisar los cambios necesarios para afrontar los límites.</w:t>
      </w:r>
    </w:p>
    <w:p>
      <w:pPr>
        <w:pStyle w:val="Normal"/>
      </w:pPr>
      <w:r>
        <w:t xml:space="preserve">5. Comparar el tiempo de esos cambios con el tiempo de duplicación.</w:t>
      </w:r>
    </w:p>
    <w:p>
      <w:pPr>
        <w:pStyle w:val="Normal"/>
      </w:pPr>
      <w:r>
        <w:t xml:space="preserve">6. Equilibrar la estrategia de crecimiento con el horizonte de las inversiones necesarias.</w:t>
      </w:r>
    </w:p>
    <w:p>
      <w:pPr>
        <w:pStyle w:val="Normal"/>
      </w:pPr>
      <w:r>
        <w:t xml:space="preserve">7. Revisar la estrategia y sus supuestos considerando la organización completa.</w:t>
      </w:r>
    </w:p>
    <w:p>
      <w:pPr>
        <w:pStyle w:val="Normal"/>
      </w:pPr>
      <w:r>
        <w:rPr>
          <w:b/>
          <w:bCs/>
        </w:rPr>
        <w:t xml:space="preserve">Ejemplo de la lectura:</w:t>
      </w:r>
      <w:r>
        <w:t xml:space="preserve"> la mercadotecnia incrementa ventas y clientes instalados; estos necesitan soporte. Una capacidad de soporte insuficiente deteriora su calidad y, con demora, perjudica las ventas. La capacidad disponible determina el límite.</w:t>
      </w:r>
    </w:p>
    <w:p>
      <w:pPr>
        <w:pStyle w:val="Heading3"/>
      </w:pPr>
      <w:bookmarkStart w:name="b_lectura_a4" w:id="3556"/>
      <w:r>
        <w:t xml:space="preserve">Crecimiento y subinversión</w:t>
      </w:r>
      <w:bookmarkEnd w:id="3556"/>
    </w:p>
    <w:p>
      <w:pPr>
        <w:pStyle w:val="Normal"/>
      </w:pPr>
      <w:r>
        <w:rPr>
          <w:b/>
          <w:bCs/>
        </w:rPr>
        <w:t xml:space="preserve">Historia:</w:t>
      </w:r>
      <w:r>
        <w:t xml:space="preserve"> el crecimiento requiere capacidad adicional. La inversión llega tarde o es insuficiente, el servicio empeora y la demanda disminuye. La dirección interpreta esa demanda reducida como prueba de que la inversión no hacía falta. Puede rebajar además sus estándares de desempeño y convencerse de que la situación es aceptable. Se forma una profecía que se cumple por las propias decisiones.</w:t>
      </w:r>
    </w:p>
    <w:p>
      <w:pPr>
        <w:pStyle w:val="Normal"/>
      </w:pPr>
      <w:r>
        <w:rPr>
          <w:b/>
          <w:bCs/>
        </w:rPr>
        <w:t xml:space="preserve">Diagrama básico de L-17:</w:t>
      </w:r>
    </w:p>
    <w:p>
      <w:pPr>
        <w:pStyle w:val="Normal"/>
        <w:numPr>
          <w:ilvl w:val="0"/>
          <w:numId w:val="2"/>
        </w:numPr>
      </w:pPr>
      <w:r>
        <w:t xml:space="preserve">R1: </w:t>
      </w:r>
      <w:r>
        <w:rPr>
          <w:rFonts w:ascii="Source Code Pro" w:cs="Source Code Pro" w:eastAsia="Source Code Pro" w:hAnsi="Source Code Pro"/>
          <w:sz w:val="18"/>
          <w:szCs w:val="18"/>
        </w:rPr>
        <w:t xml:space="preserve">Acción creciente →(+) Demanda →(+) Acción creciente</w:t>
      </w:r>
      <w:r>
        <w:t xml:space="preserve">.</w:t>
      </w:r>
    </w:p>
    <w:p>
      <w:pPr>
        <w:pStyle w:val="Normal"/>
        <w:numPr>
          <w:ilvl w:val="0"/>
          <w:numId w:val="2"/>
        </w:numPr>
      </w:pPr>
      <w:r>
        <w:t xml:space="preserve">B2: </w:t>
      </w:r>
      <w:r>
        <w:rPr>
          <w:rFonts w:ascii="Source Code Pro" w:cs="Source Code Pro" w:eastAsia="Source Code Pro" w:hAnsi="Source Code Pro"/>
          <w:sz w:val="18"/>
          <w:szCs w:val="18"/>
        </w:rPr>
        <w:t xml:space="preserve">Demanda →(−) Desempeño →(+) Demanda</w:t>
      </w:r>
      <w:r>
        <w:t xml:space="preserve">, cuando más demanda sobrecarga la capacidad existente.</w:t>
      </w:r>
    </w:p>
    <w:p>
      <w:pPr>
        <w:pStyle w:val="Normal"/>
        <w:numPr>
          <w:ilvl w:val="0"/>
          <w:numId w:val="2"/>
        </w:numPr>
      </w:pPr>
      <w:r>
        <w:t xml:space="preserve">B3: </w:t>
      </w:r>
      <w:r>
        <w:rPr>
          <w:rFonts w:ascii="Source Code Pro" w:cs="Source Code Pro" w:eastAsia="Source Code Pro" w:hAnsi="Source Code Pro"/>
          <w:sz w:val="18"/>
          <w:szCs w:val="18"/>
        </w:rPr>
        <w:t xml:space="preserve">Desempeño →(−) Necesidad percibida de inversión →(+) Inversión en capacidad →(+, demora) Capacidad →(+) Desempeño</w:t>
      </w:r>
      <w:r>
        <w:t xml:space="preserve">.</w:t>
      </w:r>
    </w:p>
    <w:p>
      <w:pPr>
        <w:pStyle w:val="Normal"/>
        <w:numPr>
          <w:ilvl w:val="0"/>
          <w:numId w:val="2"/>
        </w:numPr>
      </w:pPr>
      <w:r>
        <w:rPr>
          <w:rFonts w:ascii="Source Code Pro" w:cs="Source Code Pro" w:eastAsia="Source Code Pro" w:hAnsi="Source Code Pro"/>
          <w:sz w:val="18"/>
          <w:szCs w:val="18"/>
        </w:rPr>
        <w:t xml:space="preserve">Estándar de desempeño →(+) Necesidad percibida de inversión</w:t>
      </w:r>
      <w:r>
        <w:t xml:space="preserve">.</w:t>
      </w:r>
    </w:p>
    <w:p>
      <w:pPr>
        <w:pStyle w:val="Normal"/>
      </w:pPr>
      <w:r>
        <w:t xml:space="preserve">Aquí desempeño significa calidad o capacidad de atender bien: cuanto mejor es, menor es la necesidad percibida de invertir, para un estándar fijo. </w:t>
      </w:r>
      <w:r>
        <w:rPr>
          <w:b/>
          <w:bCs/>
        </w:rPr>
        <w:t xml:space="preserve">La figura ampliada de Kim añade R4</w:t>
      </w:r>
      <w:r>
        <w:t xml:space="preserve">, haciendo que el estándar aceptable también se ajuste al desempeño observado. No memorizar que cualquier dibujo de este arquetipo tiene exactamente tres ciclos: comprobar la figura concreta.</w:t>
      </w:r>
    </w:p>
    <w:p>
      <w:pPr>
        <w:pStyle w:val="Normal"/>
      </w:pPr>
      <w:r>
        <w:t xml:space="preserve">El recorrido ampliado R4 es </w:t>
      </w:r>
      <w:r>
        <w:rPr>
          <w:rFonts w:ascii="Source Code Pro" w:cs="Source Code Pro" w:eastAsia="Source Code Pro" w:hAnsi="Source Code Pro"/>
          <w:sz w:val="18"/>
          <w:szCs w:val="18"/>
        </w:rPr>
        <w:t xml:space="preserve">Calidad del servicio →(+) Calidad aceptable →(+) Necesidad percibida de invertir →(+) Inversión en capacidad →(+, demora) Calidad del servicio</w:t>
      </w:r>
      <w:r>
        <w:t xml:space="preserve">. Si cae la calidad real y se rebaja la calidad aceptada, baja la necesidad percibida de invertir y se perpetúa el deterioro. Los signos siguen siendo positivos aunque se recorra la historia con disminuciones.</w:t>
      </w:r>
    </w:p>
    <w:p>
      <w:pPr>
        <w:pStyle w:val="Normal"/>
      </w:pPr>
      <w:r>
        <w:rPr>
          <w:b/>
          <w:bCs/>
        </w:rPr>
        <w:t xml:space="preserve">Ejemplo trabajado:</w:t>
      </w:r>
      <w:r>
        <w:t xml:space="preserve"> la biblioteca pospone la ampliación, pierde usuarios por mala atención y afirma que la reducción de usuarios demuestra que no necesita más capacidad. La demanda atendida puede ocultar demanda rechazada, abandono y reputación deteriorada. Medir únicamente a quienes permanecen en la biblioteca puede llevar a una conclusión equivocada.</w:t>
      </w:r>
    </w:p>
    <w:p>
      <w:pPr>
        <w:pStyle w:val="Normal"/>
      </w:pPr>
      <w:r>
        <w:rPr>
          <w:b/>
          <w:bCs/>
        </w:rPr>
        <w:t xml:space="preserve">Señal:</w:t>
      </w:r>
      <w:r>
        <w:t xml:space="preserve"> se reconoce que antes se ofrecía un mejor servicio, pero se insiste en conservar recursos y evitar inversión. </w:t>
      </w:r>
      <w:r>
        <w:rPr>
          <w:b/>
          <w:bCs/>
        </w:rPr>
        <w:t xml:space="preserve">Principio:</w:t>
      </w:r>
      <w:r>
        <w:t xml:space="preserve"> si existe demanda potencial sustentada, preparar capacidad con anticipación, mantener estándares y evaluar señales externas. No equivale a invertir ilimitadamente ni a asumir que todo crecimiento justifica cualquier expansión.</w:t>
      </w:r>
    </w:p>
    <w:p>
      <w:pPr>
        <w:pStyle w:val="Normal"/>
      </w:pPr>
      <w:r>
        <w:rPr>
          <w:b/>
          <w:bCs/>
        </w:rPr>
        <w:t xml:space="preserve">Kim, aplicación: planeación de capital. Siete pasos:</w:t>
      </w:r>
    </w:p>
    <w:p>
      <w:pPr>
        <w:pStyle w:val="Normal"/>
      </w:pPr>
      <w:r>
        <w:t xml:space="preserve">1. Relacionar las trayectorias de inversión, capacidad y desempeño.</w:t>
      </w:r>
    </w:p>
    <w:p>
      <w:pPr>
        <w:pStyle w:val="Normal"/>
      </w:pPr>
      <w:r>
        <w:t xml:space="preserve">2. Identificar demoras entre deterioro, reconocimiento de la necesidad y disponibilidad de capacidad nueva.</w:t>
      </w:r>
    </w:p>
    <w:p>
      <w:pPr>
        <w:pStyle w:val="Normal"/>
      </w:pPr>
      <w:r>
        <w:t xml:space="preserve">3. Cuantificar y reducir las demoras de adquisición pertinentes.</w:t>
      </w:r>
    </w:p>
    <w:p>
      <w:pPr>
        <w:pStyle w:val="Normal"/>
      </w:pPr>
      <w:r>
        <w:t xml:space="preserve">4. Buscar otros déficits o cuellos de botella que impedirían aprovechar la capacidad añadida.</w:t>
      </w:r>
    </w:p>
    <w:p>
      <w:pPr>
        <w:pStyle w:val="Normal"/>
      </w:pPr>
      <w:r>
        <w:t xml:space="preserve">5. Fundamentar la inversión en señales externas, no únicamente en estándares derivados del desempeño pasado.</w:t>
      </w:r>
    </w:p>
    <w:p>
      <w:pPr>
        <w:pStyle w:val="Normal"/>
      </w:pPr>
      <w:r>
        <w:t xml:space="preserve">6. Cuestionar supuestos que convierten la falta de inversión en una profecía autocumplida.</w:t>
      </w:r>
    </w:p>
    <w:p>
      <w:pPr>
        <w:pStyle w:val="Normal"/>
      </w:pPr>
      <w:r>
        <w:t xml:space="preserve">7. Explorar perspectivas diversas sobre inversiones, productos, servicios y necesidades del cliente.</w:t>
      </w:r>
    </w:p>
    <w:p>
      <w:pPr>
        <w:pStyle w:val="Normal"/>
      </w:pPr>
      <w:r>
        <w:rPr>
          <w:b/>
          <w:bCs/>
        </w:rPr>
        <w:t xml:space="preserve">Lectura:</w:t>
      </w:r>
      <w:r>
        <w:t xml:space="preserve"> People Express creció sin desarrollar suficiente capacidad de servicio; empeoró la atención y perdió pasajeros. Pineda lo presenta como límites del crecimiento; Valentini como crecimiento y subinversión. Son perspectivas compatibles cuando se explicita el papel de la inversión.</w:t>
      </w:r>
    </w:p>
    <w:p>
      <w:pPr>
        <w:pStyle w:val="Heading3"/>
      </w:pPr>
      <w:bookmarkStart w:name="b_lectura_a5" w:id="3557"/>
      <w:r>
        <w:t xml:space="preserve">Soluciones rápidas que fallan</w:t>
      </w:r>
      <w:bookmarkEnd w:id="3557"/>
    </w:p>
    <w:p>
      <w:pPr>
        <w:pStyle w:val="Normal"/>
      </w:pPr>
      <w:r>
        <w:t xml:space="preserve">También aparece como </w:t>
      </w:r>
      <w:r>
        <w:rPr>
          <w:b/>
          <w:bCs/>
        </w:rPr>
        <w:t xml:space="preserve">soluciones que fallan</w:t>
      </w:r>
      <w:r>
        <w:t xml:space="preserve">, </w:t>
      </w:r>
      <w:r>
        <w:rPr>
          <w:b/>
          <w:bCs/>
        </w:rPr>
        <w:t xml:space="preserve">soluciones contraproducentes</w:t>
      </w:r>
      <w:r>
        <w:t xml:space="preserve"> y </w:t>
      </w:r>
      <w:r>
        <w:rPr>
          <w:b/>
          <w:bCs/>
        </w:rPr>
        <w:t xml:space="preserve">“Apaguen ese incendio”</w:t>
      </w:r>
      <w:r>
        <w:t xml:space="preserve">.</w:t>
      </w:r>
    </w:p>
    <w:p>
      <w:pPr>
        <w:pStyle w:val="Normal"/>
      </w:pPr>
      <w:r>
        <w:rPr>
          <w:b/>
          <w:bCs/>
        </w:rPr>
        <w:t xml:space="preserve">Historia:</w:t>
      </w:r>
      <w:r>
        <w:t xml:space="preserve"> un síntoma provoca una acción que lo reduce rápidamente. Esa misma acción ocasiona efectos posteriores que vuelven a aumentar el síntoma, por lo que se aplica otra vez la solución. La demora hace que la acción parezca eficaz durante un tiempo.</w:t>
      </w:r>
    </w:p>
    <w:p>
      <w:pPr>
        <w:pStyle w:val="Normal"/>
        <w:numPr>
          <w:ilvl w:val="0"/>
          <w:numId w:val="2"/>
        </w:numPr>
      </w:pPr>
      <w:r>
        <w:t xml:space="preserve">B1: </w:t>
      </w:r>
      <w:r>
        <w:rPr>
          <w:rFonts w:ascii="Source Code Pro" w:cs="Source Code Pro" w:eastAsia="Source Code Pro" w:hAnsi="Source Code Pro"/>
          <w:sz w:val="18"/>
          <w:szCs w:val="18"/>
        </w:rPr>
        <w:t xml:space="preserve">Síntoma →(+) Solución rápida →(−) Síntoma</w:t>
      </w:r>
      <w:r>
        <w:t xml:space="preserve">.</w:t>
      </w:r>
    </w:p>
    <w:p>
      <w:pPr>
        <w:pStyle w:val="Normal"/>
        <w:numPr>
          <w:ilvl w:val="0"/>
          <w:numId w:val="2"/>
        </w:numPr>
      </w:pPr>
      <w:r>
        <w:t xml:space="preserve">R2: </w:t>
      </w:r>
      <w:r>
        <w:rPr>
          <w:rFonts w:ascii="Source Code Pro" w:cs="Source Code Pro" w:eastAsia="Source Code Pro" w:hAnsi="Source Code Pro"/>
          <w:sz w:val="18"/>
          <w:szCs w:val="18"/>
        </w:rPr>
        <w:t xml:space="preserve">Síntoma →(+) Solución rápida →(+, demora) Consecuencias no intencionadas →(+) Síntoma</w:t>
      </w:r>
      <w:r>
        <w:t xml:space="preserve">.</w:t>
      </w:r>
    </w:p>
    <w:p>
      <w:pPr>
        <w:pStyle w:val="Normal"/>
      </w:pPr>
      <w:r>
        <w:t xml:space="preserve">L-17 no dibuja la demora en su esquema mínimo; el ejemplo de L-18 y la explicación de clase 22 la hacen explícita. Se debe ubicar donde corresponde al caso, sin inventar una duración.</w:t>
      </w:r>
    </w:p>
    <w:p>
      <w:pPr>
        <w:pStyle w:val="Normal"/>
      </w:pPr>
      <w:r>
        <w:rPr>
          <w:b/>
          <w:bCs/>
        </w:rPr>
        <w:t xml:space="preserve">Ejemplo trabajado:</w:t>
      </w:r>
      <w:r>
        <w:t xml:space="preserve"> más trabajo atrasado conduce a más horas extra, que reducen el atraso a corto plazo. Con el tiempo aumentan cansancio, errores y trabajo que debe rehacerse; el atraso vuelve a crecer. Ambas rutas regresan a la variable atraso, pero una contrarresta y la otra amplifica el cambio inicial.</w:t>
      </w:r>
    </w:p>
    <w:p>
      <w:pPr>
        <w:pStyle w:val="Normal"/>
      </w:pPr>
      <w:r>
        <w:rPr>
          <w:b/>
          <w:bCs/>
        </w:rPr>
        <w:t xml:space="preserve">Otros ejemplos del material:</w:t>
      </w:r>
      <w:r>
        <w:t xml:space="preserve"> reducir mantenimiento para ahorrar y terminar con fallos más costosos; promociones repetidas que elevan ventas inmediatas pero erosionan el atractivo del producto sin descuento; lamer labios secos y empeorar después su irritación. El ejemplo de labios se usa como historia del material, no como recomendación sanitaria.</w:t>
      </w:r>
    </w:p>
    <w:p>
      <w:pPr>
        <w:pStyle w:val="Normal"/>
      </w:pPr>
      <w:r>
        <w:rPr>
          <w:b/>
          <w:bCs/>
        </w:rPr>
        <w:t xml:space="preserve">Señal:</w:t>
      </w:r>
      <w:r>
        <w:t xml:space="preserve"> la solución funcionó antes y se repite sin explicar por qué ahora deja de hacerlo. </w:t>
      </w:r>
      <w:r>
        <w:rPr>
          <w:b/>
          <w:bCs/>
        </w:rPr>
        <w:t xml:space="preserve">Intervención:</w:t>
      </w:r>
      <w:r>
        <w:t xml:space="preserve"> reconocer el alivio temporal y trabajar en la causa fundamental. Puede ser necesario aliviar un síntoma urgente mientras se prepara una solución duradera; el problema es convertir ese alivio en la única estrategia.</w:t>
      </w:r>
    </w:p>
    <w:p>
      <w:pPr>
        <w:pStyle w:val="Normal"/>
      </w:pPr>
      <w:r>
        <w:rPr>
          <w:b/>
          <w:bCs/>
        </w:rPr>
        <w:t xml:space="preserve">Kim, aplicación: solución de problemas. Siete pasos:</w:t>
      </w:r>
    </w:p>
    <w:p>
      <w:pPr>
        <w:pStyle w:val="Normal"/>
      </w:pPr>
      <w:r>
        <w:t xml:space="preserve">1. Precisar el síntoma.</w:t>
      </w:r>
    </w:p>
    <w:p>
      <w:pPr>
        <w:pStyle w:val="Normal"/>
      </w:pPr>
      <w:r>
        <w:t xml:space="preserve">2. Revisar las intervenciones actuales y el efecto correctivo que se esperaba.</w:t>
      </w:r>
    </w:p>
    <w:p>
      <w:pPr>
        <w:pStyle w:val="Normal"/>
      </w:pPr>
      <w:r>
        <w:t xml:space="preserve">3. Buscar sus consecuencias no intencionadas.</w:t>
      </w:r>
    </w:p>
    <w:p>
      <w:pPr>
        <w:pStyle w:val="Normal"/>
      </w:pPr>
      <w:r>
        <w:t xml:space="preserve">4. Identificar causas fundamentales del síntoma.</w:t>
      </w:r>
    </w:p>
    <w:p>
      <w:pPr>
        <w:pStyle w:val="Normal"/>
      </w:pPr>
      <w:r>
        <w:t xml:space="preserve">5. Relacionar los ciclos de las soluciones con los de las causas.</w:t>
      </w:r>
    </w:p>
    <w:p>
      <w:pPr>
        <w:pStyle w:val="Normal"/>
      </w:pPr>
      <w:r>
        <w:t xml:space="preserve">6. Encontrar intervenciones de alto apalancamiento, modificando relaciones de la estructura.</w:t>
      </w:r>
    </w:p>
    <w:p>
      <w:pPr>
        <w:pStyle w:val="Normal"/>
      </w:pPr>
      <w:r>
        <w:t xml:space="preserve">7. Anticipar y atender posibles efectos laterales de cada intervención propuesta.</w:t>
      </w:r>
    </w:p>
    <w:p>
      <w:pPr>
        <w:pStyle w:val="Normal"/>
      </w:pPr>
      <w:r>
        <w:rPr>
          <w:b/>
          <w:bCs/>
        </w:rPr>
        <w:t xml:space="preserve">Diagrama de promociones, L-18 y clase 22:</w:t>
      </w:r>
      <w:r>
        <w:t xml:space="preserve"> menos ventas aumenta el problema de caída de ventas; este aumenta presión sobre ingresos y promociones. Las promociones aumentan atractivo de comprar ahora y ventas: B1. Pero reducen atractivo sin promoción; esa pérdida erosiona la imagen con demora y reduce ventas: R2.</w:t>
      </w:r>
    </w:p>
    <w:p>
      <w:pPr>
        <w:pStyle w:val="Heading3"/>
      </w:pPr>
      <w:bookmarkStart w:name="b_lectura_a6" w:id="3558"/>
      <w:r>
        <w:t xml:space="preserve">Desplazamiento de la carga</w:t>
      </w:r>
      <w:bookmarkEnd w:id="3558"/>
    </w:p>
    <w:p>
      <w:pPr>
        <w:pStyle w:val="Normal"/>
      </w:pPr>
      <w:r>
        <w:t xml:space="preserve">También aparece como </w:t>
      </w:r>
      <w:r>
        <w:rPr>
          <w:b/>
          <w:bCs/>
        </w:rPr>
        <w:t xml:space="preserve">desplazamiento de la carga/adicción</w:t>
      </w:r>
      <w:r>
        <w:t xml:space="preserve"> y, en el video de Pineda, </w:t>
      </w:r>
      <w:r>
        <w:rPr>
          <w:b/>
          <w:bCs/>
        </w:rPr>
        <w:t xml:space="preserve">pasando la bola</w:t>
      </w:r>
      <w:r>
        <w:t xml:space="preserve">.</w:t>
      </w:r>
    </w:p>
    <w:p>
      <w:pPr>
        <w:pStyle w:val="Normal"/>
      </w:pPr>
      <w:r>
        <w:rPr>
          <w:b/>
          <w:bCs/>
        </w:rPr>
        <w:t xml:space="preserve">Historia:</w:t>
      </w:r>
      <w:r>
        <w:t xml:space="preserve"> hay una solución sintomática y otra fundamental. La primera alivia pronto; la segunda tarda. La dependencia de la primera genera un efecto lateral que debilita la capacidad o posibilidad de aplicar la segunda. El sistema vuelve a depender cada vez más del remedio inmediato.</w:t>
      </w:r>
    </w:p>
    <w:p>
      <w:pPr>
        <w:pStyle w:val="Normal"/>
        <w:numPr>
          <w:ilvl w:val="0"/>
          <w:numId w:val="2"/>
        </w:numPr>
      </w:pPr>
      <w:r>
        <w:t xml:space="preserve">B1: </w:t>
      </w:r>
      <w:r>
        <w:rPr>
          <w:rFonts w:ascii="Source Code Pro" w:cs="Source Code Pro" w:eastAsia="Source Code Pro" w:hAnsi="Source Code Pro"/>
          <w:sz w:val="18"/>
          <w:szCs w:val="18"/>
        </w:rPr>
        <w:t xml:space="preserve">Síntoma →(+) Solución sintomática →(−) Síntoma</w:t>
      </w:r>
      <w:r>
        <w:t xml:space="preserve">.</w:t>
      </w:r>
    </w:p>
    <w:p>
      <w:pPr>
        <w:pStyle w:val="Normal"/>
        <w:numPr>
          <w:ilvl w:val="0"/>
          <w:numId w:val="2"/>
        </w:numPr>
      </w:pPr>
      <w:r>
        <w:t xml:space="preserve">B2: </w:t>
      </w:r>
      <w:r>
        <w:rPr>
          <w:rFonts w:ascii="Source Code Pro" w:cs="Source Code Pro" w:eastAsia="Source Code Pro" w:hAnsi="Source Code Pro"/>
          <w:sz w:val="18"/>
          <w:szCs w:val="18"/>
        </w:rPr>
        <w:t xml:space="preserve">Síntoma →(+) Solución fundamental →(−, demora) Síntoma</w:t>
      </w:r>
      <w:r>
        <w:t xml:space="preserve">.</w:t>
      </w:r>
    </w:p>
    <w:p>
      <w:pPr>
        <w:pStyle w:val="Normal"/>
        <w:numPr>
          <w:ilvl w:val="0"/>
          <w:numId w:val="2"/>
        </w:numPr>
      </w:pPr>
      <w:r>
        <w:t xml:space="preserve">R: </w:t>
      </w:r>
      <w:r>
        <w:rPr>
          <w:rFonts w:ascii="Source Code Pro" w:cs="Source Code Pro" w:eastAsia="Source Code Pro" w:hAnsi="Source Code Pro"/>
          <w:sz w:val="18"/>
          <w:szCs w:val="18"/>
        </w:rPr>
        <w:t xml:space="preserve">Síntoma →(+) Solución sintomática →(+) Efecto lateral →(−) Solución fundamental →(−, demora) Síntoma</w:t>
      </w:r>
      <w:r>
        <w:t xml:space="preserve">.</w:t>
      </w:r>
    </w:p>
    <w:p>
      <w:pPr>
        <w:pStyle w:val="Normal"/>
      </w:pPr>
      <w:r>
        <w:t xml:space="preserve">El recorrido R contiene </w:t>
      </w:r>
      <w:r>
        <w:rPr>
          <w:b/>
          <w:bCs/>
        </w:rPr>
        <w:t xml:space="preserve">dos negativos</w:t>
      </w:r>
      <w:r>
        <w:t xml:space="preserve">. En L-17 se rotula R1; otras figuras pueden usar otra numeración. Importa su recorrido y polaridad, no su número de etiqueta.</w:t>
      </w:r>
    </w:p>
    <w:p>
      <w:pPr>
        <w:pStyle w:val="Normal"/>
      </w:pPr>
      <w:r>
        <w:rPr>
          <w:b/>
          <w:bCs/>
        </w:rPr>
        <w:t xml:space="preserve">Ejemplo trabajado y de la presentación:</w:t>
      </w:r>
      <w:r>
        <w:t xml:space="preserve"> soporte realiza cada operación difícil por el usuario. La dificultad inmediata desaparece, pero el usuario no aprende. Con más dependencia y soporte saturado, resolver incidentes se vuelve más difícil. Capacitar y acompañar la práctica recupera la solución fundamental.</w:t>
      </w:r>
    </w:p>
    <w:p>
      <w:pPr>
        <w:pStyle w:val="Normal"/>
      </w:pPr>
      <w:r>
        <w:rPr>
          <w:b/>
          <w:bCs/>
        </w:rPr>
        <w:t xml:space="preserve">Distinción crítica personal:</w:t>
      </w:r>
      <w:r>
        <w:t xml:space="preserve"> la solución sintomática es una </w:t>
      </w:r>
      <w:r>
        <w:rPr>
          <w:b/>
          <w:bCs/>
        </w:rPr>
        <w:t xml:space="preserve">acción</w:t>
      </w:r>
      <w:r>
        <w:t xml:space="preserve"> —el experto corrige cada registro—; la fundamental es otra acción —enseña y acompaña al equipo—; la dependencia es una </w:t>
      </w:r>
      <w:r>
        <w:rPr>
          <w:b/>
          <w:bCs/>
        </w:rPr>
        <w:t xml:space="preserve">consecuencia</w:t>
      </w:r>
      <w:r>
        <w:t xml:space="preserve">, no el nombre de ninguna de esas dos soluciones. El usuario corrigió esta confusión y luego identificó A, B y C correctamente.</w:t>
      </w:r>
    </w:p>
    <w:p>
      <w:pPr>
        <w:pStyle w:val="Normal"/>
      </w:pPr>
      <w:r>
        <w:rPr>
          <w:b/>
          <w:bCs/>
        </w:rPr>
        <w:t xml:space="preserve">Señal:</w:t>
      </w:r>
      <w:r>
        <w:t xml:space="preserve"> defender la solución inmediata porque ha funcionado hasta ahora y desestimar el debilitamiento de la capacidad propia. </w:t>
      </w:r>
      <w:r>
        <w:rPr>
          <w:b/>
          <w:bCs/>
        </w:rPr>
        <w:t xml:space="preserve">Intervención:</w:t>
      </w:r>
      <w:r>
        <w:t xml:space="preserve"> mantener alivio indispensable, pero reservar recursos, tiempo y responsabilidad para fortalecer la solución fundamental. La clasificación depende del problema y la perspectiva: una acción no es siempre sintomática o siempre fundamental por su nombre.</w:t>
      </w:r>
    </w:p>
    <w:p>
      <w:pPr>
        <w:pStyle w:val="Normal"/>
      </w:pPr>
      <w:r>
        <w:rPr>
          <w:b/>
          <w:bCs/>
        </w:rPr>
        <w:t xml:space="preserve">Kim, aplicación: romper diferencias organizacionales. Siete pasos:</w:t>
      </w:r>
    </w:p>
    <w:p>
      <w:pPr>
        <w:pStyle w:val="Normal"/>
      </w:pPr>
      <w:r>
        <w:t xml:space="preserve">1. Identificar los síntomas originales.</w:t>
      </w:r>
    </w:p>
    <w:p>
      <w:pPr>
        <w:pStyle w:val="Normal"/>
      </w:pPr>
      <w:r>
        <w:t xml:space="preserve">2. Identificar las soluciones rápidas que parecen controlarlos.</w:t>
      </w:r>
    </w:p>
    <w:p>
      <w:pPr>
        <w:pStyle w:val="Normal"/>
      </w:pPr>
      <w:r>
        <w:t xml:space="preserve">3. Examinar sus efectos en otras personas, áreas o departamentos.</w:t>
      </w:r>
    </w:p>
    <w:p>
      <w:pPr>
        <w:pStyle w:val="Normal"/>
      </w:pPr>
      <w:r>
        <w:t xml:space="preserve">4. Buscar soluciones fundamentales considerando ambas perspectivas.</w:t>
      </w:r>
    </w:p>
    <w:p>
      <w:pPr>
        <w:pStyle w:val="Normal"/>
      </w:pPr>
      <w:r>
        <w:t xml:space="preserve">5. Detectar efectos laterales que deterioran esas soluciones.</w:t>
      </w:r>
    </w:p>
    <w:p>
      <w:pPr>
        <w:pStyle w:val="Normal"/>
      </w:pPr>
      <w:r>
        <w:t xml:space="preserve">6. Conectar esos efectos de interacción con los ciclos fundamentales.</w:t>
      </w:r>
    </w:p>
    <w:p>
      <w:pPr>
        <w:pStyle w:val="Normal"/>
      </w:pPr>
      <w:r>
        <w:t xml:space="preserve">7. Formular acciones de alto apalancamiento desde ambas perspectivas.</w:t>
      </w:r>
    </w:p>
    <w:p>
      <w:pPr>
        <w:pStyle w:val="Normal"/>
      </w:pPr>
      <w:r>
        <w:rPr>
          <w:b/>
          <w:bCs/>
        </w:rPr>
        <w:t xml:space="preserve">Caso de vehículos, L-18:</w:t>
      </w:r>
      <w:r>
        <w:t xml:space="preserve"> dos áreas solucionan problemas de ruido/vibración/aspereza y de chasis con cambios locales que producen nuevas dificultades para la otra. La coordinación entre áreas constituye parte de la solución fundamental. El diagrama ampliado contiene B1, B2, R3, B4 y B5: no es idéntico al esquema mínimo. En clase 22 el profesor explora posibles interpretaciones mecánicas y se corrige; no convertir esa discusión en instrucciones técnicas de reparación.</w:t>
      </w:r>
    </w:p>
    <w:p>
      <w:pPr>
        <w:pStyle w:val="Normal"/>
      </w:pPr>
      <w:r>
        <w:t xml:space="preserve">Para reconstruir la figura sin abrir la lectura, </w:t>
      </w:r>
      <w:r>
        <w:rPr>
          <w:b/>
          <w:bCs/>
        </w:rPr>
        <w:t xml:space="preserve">RVA</w:t>
      </w:r>
      <w:r>
        <w:t xml:space="preserve"> significa ruido, vibración y aspereza; «refuerzo» en este caso significa reforzar físicamente el vehículo, no la clasificación R de un ciclo:</w:t>
      </w:r>
    </w:p>
    <w:p>
      <w:pPr>
        <w:pStyle w:val="Normal"/>
        <w:numPr>
          <w:ilvl w:val="0"/>
          <w:numId w:val="2"/>
        </w:numPr>
      </w:pPr>
      <w:r>
        <w:t xml:space="preserve">B1: </w:t>
      </w:r>
      <w:r>
        <w:rPr>
          <w:rFonts w:ascii="Source Code Pro" w:cs="Source Code Pro" w:eastAsia="Source Code Pro" w:hAnsi="Source Code Pro"/>
          <w:sz w:val="18"/>
          <w:szCs w:val="18"/>
        </w:rPr>
        <w:t xml:space="preserve">Problema RVA →(+) Refuerzo físico →(−) Problema RVA</w:t>
      </w:r>
      <w:r>
        <w:t xml:space="preserve">.</w:t>
      </w:r>
    </w:p>
    <w:p>
      <w:pPr>
        <w:pStyle w:val="Normal"/>
        <w:numPr>
          <w:ilvl w:val="0"/>
          <w:numId w:val="2"/>
        </w:numPr>
      </w:pPr>
      <w:r>
        <w:t xml:space="preserve">B2: </w:t>
      </w:r>
      <w:r>
        <w:rPr>
          <w:rFonts w:ascii="Source Code Pro" w:cs="Source Code Pro" w:eastAsia="Source Code Pro" w:hAnsi="Source Code Pro"/>
          <w:sz w:val="18"/>
          <w:szCs w:val="18"/>
        </w:rPr>
        <w:t xml:space="preserve">Problema de chasis →(+) Ajuste de presión de llantas →(−) Problema de chasis</w:t>
      </w:r>
      <w:r>
        <w:t xml:space="preserve">.</w:t>
      </w:r>
    </w:p>
    <w:p>
      <w:pPr>
        <w:pStyle w:val="Normal"/>
        <w:numPr>
          <w:ilvl w:val="0"/>
          <w:numId w:val="2"/>
        </w:numPr>
      </w:pPr>
      <w:r>
        <w:t xml:space="preserve">R3: </w:t>
      </w:r>
      <w:r>
        <w:rPr>
          <w:rFonts w:ascii="Source Code Pro" w:cs="Source Code Pro" w:eastAsia="Source Code Pro" w:hAnsi="Source Code Pro"/>
          <w:sz w:val="18"/>
          <w:szCs w:val="18"/>
        </w:rPr>
        <w:t xml:space="preserve">Problema RVA →(+) Refuerzo físico →(+) Peso →(+) Problema de chasis →(+) Ajuste de presión →(+) Aspereza →(+) Problema RVA</w:t>
      </w:r>
      <w:r>
        <w:t xml:space="preserve">.</w:t>
      </w:r>
    </w:p>
    <w:p>
      <w:pPr>
        <w:pStyle w:val="Normal"/>
        <w:numPr>
          <w:ilvl w:val="0"/>
          <w:numId w:val="2"/>
        </w:numPr>
      </w:pPr>
      <w:r>
        <w:t xml:space="preserve">B4: </w:t>
      </w:r>
      <w:r>
        <w:rPr>
          <w:rFonts w:ascii="Source Code Pro" w:cs="Source Code Pro" w:eastAsia="Source Code Pro" w:hAnsi="Source Code Pro"/>
          <w:sz w:val="18"/>
          <w:szCs w:val="18"/>
        </w:rPr>
        <w:t xml:space="preserve">Problema RVA →(+) Comunicación con chasis →(−) Problema RVA</w:t>
      </w:r>
      <w:r>
        <w:t xml:space="preserve">.</w:t>
      </w:r>
    </w:p>
    <w:p>
      <w:pPr>
        <w:pStyle w:val="Normal"/>
        <w:numPr>
          <w:ilvl w:val="0"/>
          <w:numId w:val="2"/>
        </w:numPr>
      </w:pPr>
      <w:r>
        <w:t xml:space="preserve">B5: </w:t>
      </w:r>
      <w:r>
        <w:rPr>
          <w:rFonts w:ascii="Source Code Pro" w:cs="Source Code Pro" w:eastAsia="Source Code Pro" w:hAnsi="Source Code Pro"/>
          <w:sz w:val="18"/>
          <w:szCs w:val="18"/>
        </w:rPr>
        <w:t xml:space="preserve">Problema de chasis →(+) Comunicación con RVA →(−) Problema de chasis</w:t>
      </w:r>
      <w:r>
        <w:t xml:space="preserve">.</w:t>
      </w:r>
    </w:p>
    <w:p>
      <w:pPr>
        <w:pStyle w:val="Normal"/>
      </w:pPr>
      <w:r>
        <w:t xml:space="preserve">Los balances locales B1/B2 alivian síntomas; la interacción R3 produce dificultades cruzadas. B4/B5 representan la coordinación que permite abordar el problema conjunto. Se conserva la interpretación del esquema de la lectura, no una afirmación universal sobre la mecánica de los vehículos.</w:t>
      </w:r>
    </w:p>
    <w:p>
      <w:pPr>
        <w:pStyle w:val="Heading3"/>
      </w:pPr>
      <w:bookmarkStart w:name="b_lectura_a7" w:id="3559"/>
      <w:r>
        <w:t xml:space="preserve">Erosión de metas</w:t>
      </w:r>
      <w:bookmarkEnd w:id="3559"/>
    </w:p>
    <w:p>
      <w:pPr>
        <w:pStyle w:val="Normal"/>
      </w:pPr>
      <w:r>
        <w:t xml:space="preserve">También se denomina </w:t>
      </w:r>
      <w:r>
        <w:rPr>
          <w:b/>
          <w:bCs/>
        </w:rPr>
        <w:t xml:space="preserve">deterioro de metas</w:t>
      </w:r>
      <w:r>
        <w:t xml:space="preserve">. Valentini la describe como una forma de desplazamiento donde el alivio consiste en deteriorar el objetivo de largo plazo; su diagrama básico tiene </w:t>
      </w:r>
      <w:r>
        <w:rPr>
          <w:b/>
          <w:bCs/>
        </w:rPr>
        <w:t xml:space="preserve">dos balances</w:t>
      </w:r>
      <w:r>
        <w:t xml:space="preserve">, sin el ciclo lateral R del desplazamiento completo.</w:t>
      </w:r>
    </w:p>
    <w:p>
      <w:pPr>
        <w:pStyle w:val="Normal"/>
      </w:pPr>
      <w:r>
        <w:t xml:space="preserve">Para una variable donde más desempeño es mejor:</w:t>
      </w:r>
    </w:p>
    <w:p>
      <w:pPr>
        <w:pStyle w:val="Normal"/>
        <w:numPr>
          <w:ilvl w:val="0"/>
          <w:numId w:val="2"/>
        </w:numPr>
      </w:pPr>
      <w:r>
        <w:t xml:space="preserve">B1: </w:t>
      </w:r>
      <w:r>
        <w:rPr>
          <w:rFonts w:ascii="Source Code Pro" w:cs="Source Code Pro" w:eastAsia="Source Code Pro" w:hAnsi="Source Code Pro"/>
          <w:sz w:val="18"/>
          <w:szCs w:val="18"/>
        </w:rPr>
        <w:t xml:space="preserve">Brecha →(+) Acción correctiva →(+, demora) Desempeño real →(−) Brecha</w:t>
      </w:r>
      <w:r>
        <w:t xml:space="preserve">.</w:t>
      </w:r>
    </w:p>
    <w:p>
      <w:pPr>
        <w:pStyle w:val="Normal"/>
        <w:numPr>
          <w:ilvl w:val="0"/>
          <w:numId w:val="2"/>
        </w:numPr>
      </w:pPr>
      <w:r>
        <w:t xml:space="preserve">B2: </w:t>
      </w:r>
      <w:r>
        <w:rPr>
          <w:rFonts w:ascii="Source Code Pro" w:cs="Source Code Pro" w:eastAsia="Source Code Pro" w:hAnsi="Source Code Pro"/>
          <w:sz w:val="18"/>
          <w:szCs w:val="18"/>
        </w:rPr>
        <w:t xml:space="preserve">Meta →(+) Brecha →(+) Presión para reducir la meta →(−) Meta</w:t>
      </w:r>
      <w:r>
        <w:t xml:space="preserve">.</w:t>
      </w:r>
    </w:p>
    <w:p>
      <w:pPr>
        <w:pStyle w:val="Normal"/>
      </w:pPr>
      <w:r>
        <w:rPr>
          <w:b/>
          <w:bCs/>
        </w:rPr>
        <w:t xml:space="preserve">Ejemplo trabajado:</w:t>
      </w:r>
      <w:r>
        <w:t xml:space="preserve"> la atención tarda 15 minutos y se pretendían 5. Cambiar el máximo aceptable a 15 reduce la exigencia, aunque el número de la meta suba. El desempeño real no mejora por ese cambio. El signo y la interpretación deben seguir el significado de la variable, no la palabra aumentar aislada.</w:t>
      </w:r>
    </w:p>
    <w:p>
      <w:pPr>
        <w:pStyle w:val="Normal"/>
      </w:pPr>
      <w:r>
        <w:rPr>
          <w:b/>
          <w:bCs/>
        </w:rPr>
        <w:t xml:space="preserve">Señal:</w:t>
      </w:r>
      <w:r>
        <w:t xml:space="preserve"> se permite que el estándar se deteriore “solo durante la crisis”, pero cada dificultad conduce a una nueva rebaja. </w:t>
      </w:r>
      <w:r>
        <w:rPr>
          <w:b/>
          <w:bCs/>
        </w:rPr>
        <w:t xml:space="preserve">Principio:</w:t>
      </w:r>
      <w:r>
        <w:t xml:space="preserve"> sostener la visión y mejorar las condiciones reales. Las metas vinculadas a referencias externas son menos fáciles de acomodar a la conveniencia interna. Esto no prohíbe revisar razonadamente una meta; identifica el patrón de alterarla para aparentar cumplimiento y abandonar la mejora.</w:t>
      </w:r>
    </w:p>
    <w:p>
      <w:pPr>
        <w:pStyle w:val="Normal"/>
      </w:pPr>
      <w:r>
        <w:rPr>
          <w:b/>
          <w:bCs/>
        </w:rPr>
        <w:t xml:space="preserve">Kim, aplicación: mantener enfocada la visión. Siete pasos:</w:t>
      </w:r>
    </w:p>
    <w:p>
      <w:pPr>
        <w:pStyle w:val="Normal"/>
      </w:pPr>
      <w:r>
        <w:t xml:space="preserve">1. Identificar la medida de desempeño que se deteriora.</w:t>
      </w:r>
    </w:p>
    <w:p>
      <w:pPr>
        <w:pStyle w:val="Normal"/>
      </w:pPr>
      <w:r>
        <w:t xml:space="preserve">2. Buscar otras metas que compitan con la establecida.</w:t>
      </w:r>
    </w:p>
    <w:p>
      <w:pPr>
        <w:pStyle w:val="Normal"/>
      </w:pPr>
      <w:r>
        <w:t xml:space="preserve">3. Revisar los procedimientos para cerrar la brecha y si ayudan a deslizar el objetivo.</w:t>
      </w:r>
    </w:p>
    <w:p>
      <w:pPr>
        <w:pStyle w:val="Normal"/>
      </w:pPr>
      <w:r>
        <w:t xml:space="preserve">4. Examinar la historia de las metas y sus reducciones.</w:t>
      </w:r>
    </w:p>
    <w:p>
      <w:pPr>
        <w:pStyle w:val="Normal"/>
      </w:pPr>
      <w:r>
        <w:t xml:space="preserve">5. Anclar la meta en una referencia externa.</w:t>
      </w:r>
    </w:p>
    <w:p>
      <w:pPr>
        <w:pStyle w:val="Normal"/>
      </w:pPr>
      <w:r>
        <w:t xml:space="preserve">6. Aclarar una visión compartida que oriente a los participantes.</w:t>
      </w:r>
    </w:p>
    <w:p>
      <w:pPr>
        <w:pStyle w:val="Normal"/>
      </w:pPr>
      <w:r>
        <w:t xml:space="preserve">7. Preparar una transición con acciones y plazos realistas para alcanzarla.</w:t>
      </w:r>
    </w:p>
    <w:p>
      <w:pPr>
        <w:pStyle w:val="Normal"/>
      </w:pPr>
      <w:r>
        <w:rPr>
          <w:b/>
          <w:bCs/>
        </w:rPr>
        <w:t xml:space="preserve">Lectura:</w:t>
      </w:r>
      <w:r>
        <w:t xml:space="preserve"> una fábrica declara cumplir el 90% de los plazos de entrega, pero consigue esa cifra prometiendo plazos cada vez mayores.</w:t>
      </w:r>
    </w:p>
    <w:p>
      <w:pPr>
        <w:pStyle w:val="Heading3"/>
      </w:pPr>
      <w:bookmarkStart w:name="b_lectura_a8" w:id="3560"/>
      <w:r>
        <w:t xml:space="preserve">Escalada</w:t>
      </w:r>
      <w:bookmarkEnd w:id="3560"/>
    </w:p>
    <w:p>
      <w:pPr>
        <w:pStyle w:val="Normal"/>
      </w:pPr>
      <w:r>
        <w:rPr>
          <w:b/>
          <w:bCs/>
        </w:rPr>
        <w:t xml:space="preserve">Historia:</w:t>
      </w:r>
      <w:r>
        <w:t xml:space="preserve"> dos participantes valoran su posición relativa. Cada uno se siente amenazado por el avance del otro y aumenta su actividad para recuperar ventaja. Su respuesta genera una amenaza adicional al rival. Ambos pueden verse como defensivos mientras intensifican una dinámica perjudicial.</w:t>
      </w:r>
    </w:p>
    <w:p>
      <w:pPr>
        <w:pStyle w:val="Normal"/>
      </w:pPr>
      <w:r>
        <w:t xml:space="preserve">En la figura de Pegasus, </w:t>
      </w:r>
      <w:r>
        <w:rPr>
          <w:rFonts w:ascii="Source Code Pro" w:cs="Source Code Pro" w:eastAsia="Source Code Pro" w:hAnsi="Source Code Pro"/>
          <w:sz w:val="18"/>
          <w:szCs w:val="18"/>
        </w:rPr>
        <w:t xml:space="preserve">Resultado relativo de A</w:t>
      </w:r>
      <w:r>
        <w:t xml:space="preserve"> significa resultado de A comparado con B:</w:t>
      </w:r>
    </w:p>
    <w:p>
      <w:pPr>
        <w:pStyle w:val="Normal"/>
        <w:numPr>
          <w:ilvl w:val="0"/>
          <w:numId w:val="2"/>
        </w:numPr>
      </w:pPr>
      <w:r>
        <w:t xml:space="preserve">B1: </w:t>
      </w:r>
      <w:r>
        <w:rPr>
          <w:rFonts w:ascii="Source Code Pro" w:cs="Source Code Pro" w:eastAsia="Source Code Pro" w:hAnsi="Source Code Pro"/>
          <w:sz w:val="18"/>
          <w:szCs w:val="18"/>
        </w:rPr>
        <w:t xml:space="preserve">Actividad A →(+) Resultado A →(+) Resultado relativo A →(−) Amenaza para A →(+) Actividad A</w:t>
      </w:r>
      <w:r>
        <w:t xml:space="preserve">.</w:t>
      </w:r>
    </w:p>
    <w:p>
      <w:pPr>
        <w:pStyle w:val="Normal"/>
        <w:numPr>
          <w:ilvl w:val="0"/>
          <w:numId w:val="2"/>
        </w:numPr>
      </w:pPr>
      <w:r>
        <w:t xml:space="preserve">B2: </w:t>
      </w:r>
      <w:r>
        <w:rPr>
          <w:rFonts w:ascii="Source Code Pro" w:cs="Source Code Pro" w:eastAsia="Source Code Pro" w:hAnsi="Source Code Pro"/>
          <w:sz w:val="18"/>
          <w:szCs w:val="18"/>
        </w:rPr>
        <w:t xml:space="preserve">Actividad B →(+) Resultado B →(−) Resultado relativo A →(+) Amenaza para B →(+) Actividad B</w:t>
      </w:r>
      <w:r>
        <w:t xml:space="preserve">.</w:t>
      </w:r>
    </w:p>
    <w:p>
      <w:pPr>
        <w:pStyle w:val="Normal"/>
      </w:pPr>
      <w:r>
        <w:t xml:space="preserve">Cada recorrido tiene un negativo. Al recorrer ambos conectados como un </w:t>
      </w:r>
      <w:r>
        <w:rPr>
          <w:b/>
          <w:bCs/>
        </w:rPr>
        <w:t xml:space="preserve">ocho</w:t>
      </w:r>
      <w:r>
        <w:t xml:space="preserve">, la respuesta mutua refuerza la escalada. Esa lectura compuesta no obliga a dibujar un tercer ciclo independiente añadido al esquema.</w:t>
      </w:r>
    </w:p>
    <w:p>
      <w:pPr>
        <w:pStyle w:val="Normal"/>
      </w:pPr>
      <w:r>
        <w:rPr>
          <w:b/>
          <w:bCs/>
        </w:rPr>
        <w:t xml:space="preserve">Ejemplo trabajado:</w:t>
      </w:r>
      <w:r>
        <w:t xml:space="preserve"> A aumenta publicidad; B reacciona aumentando la suya; A vuelve a incrementar su gasto. Gastar mucho más para vencer a B mantiene el mecanismo si la decisión sigue gobernada por la comparación. Otros casos: carrera armamentista, guerras de precios y promociones de viajeros frecuentes.</w:t>
      </w:r>
    </w:p>
    <w:p>
      <w:pPr>
        <w:pStyle w:val="Normal"/>
      </w:pPr>
      <w:r>
        <w:rPr>
          <w:b/>
          <w:bCs/>
        </w:rPr>
        <w:t xml:space="preserve">Señal:</w:t>
      </w:r>
      <w:r>
        <w:t xml:space="preserve"> cada parte afirma que dejaría de luchar si la otra se tranquilizara. </w:t>
      </w:r>
      <w:r>
        <w:rPr>
          <w:b/>
          <w:bCs/>
        </w:rPr>
        <w:t xml:space="preserve">Intervención:</w:t>
      </w:r>
      <w:r>
        <w:t xml:space="preserve"> examinar la medición competitiva, distinguir amenaza real de interpretada, buscar objetivos superiores compatibles y reducir señales de amenaza. No afirmar que cualquier competencia sea una escalada ni que toda cooperación garantice resolverla.</w:t>
      </w:r>
    </w:p>
    <w:p>
      <w:pPr>
        <w:pStyle w:val="Normal"/>
      </w:pPr>
      <w:r>
        <w:rPr>
          <w:b/>
          <w:bCs/>
        </w:rPr>
        <w:t xml:space="preserve">Kim, aplicación: competencia. Siete pasos:</w:t>
      </w:r>
    </w:p>
    <w:p>
      <w:pPr>
        <w:pStyle w:val="Normal"/>
      </w:pPr>
      <w:r>
        <w:t xml:space="preserve">1. Identificar la variable sobre la que se compite.</w:t>
      </w:r>
    </w:p>
    <w:p>
      <w:pPr>
        <w:pStyle w:val="Normal"/>
      </w:pPr>
      <w:r>
        <w:t xml:space="preserve">2. Nombrar los actores atrapados en la dinámica.</w:t>
      </w:r>
    </w:p>
    <w:p>
      <w:pPr>
        <w:pStyle w:val="Normal"/>
      </w:pPr>
      <w:r>
        <w:t xml:space="preserve">3. Investigar qué se percibe amenazado y qué supuestos sostienen esa percepción.</w:t>
      </w:r>
    </w:p>
    <w:p>
      <w:pPr>
        <w:pStyle w:val="Normal"/>
      </w:pPr>
      <w:r>
        <w:t xml:space="preserve">4. Revisar si puede cambiarse la medida competitiva —por ejemplo, precio frente a calidad—.</w:t>
      </w:r>
    </w:p>
    <w:p>
      <w:pPr>
        <w:pStyle w:val="Normal"/>
      </w:pPr>
      <w:r>
        <w:t xml:space="preserve">5. Cuantificar demoras que distorsionan la amenaza.</w:t>
      </w:r>
    </w:p>
    <w:p>
      <w:pPr>
        <w:pStyle w:val="Normal"/>
      </w:pPr>
      <w:r>
        <w:t xml:space="preserve">6. Encontrar una meta superior que incluya objetivos de ambas partes.</w:t>
      </w:r>
    </w:p>
    <w:p>
      <w:pPr>
        <w:pStyle w:val="Normal"/>
      </w:pPr>
      <w:r>
        <w:t xml:space="preserve">7. Diseñar una forma de competencia con colaboración que evite nuevas escaladas.</w:t>
      </w:r>
    </w:p>
    <w:p>
      <w:pPr>
        <w:pStyle w:val="Heading3"/>
      </w:pPr>
      <w:bookmarkStart w:name="b_lectura_a9" w:id="3561"/>
      <w:r>
        <w:t xml:space="preserve">Éxito para quien tiene éxito</w:t>
      </w:r>
      <w:bookmarkEnd w:id="3561"/>
    </w:p>
    <w:p>
      <w:pPr>
        <w:pStyle w:val="Normal"/>
      </w:pPr>
      <w:r>
        <w:t xml:space="preserve">También aparece como </w:t>
      </w:r>
      <w:r>
        <w:rPr>
          <w:b/>
          <w:bCs/>
        </w:rPr>
        <w:t xml:space="preserve">el éxito llama al éxito</w:t>
      </w:r>
      <w:r>
        <w:t xml:space="preserve">. Dos alternativas compiten por recursos. Una ventaja inicial produce mejores resultados; estos justifican asignar todavía más recursos a la alternativa favorecida. La otra queda con menos medios, presenta menores resultados y pierde más apoyo. No prueba superioridad intrínseca de la primera.</w:t>
      </w:r>
    </w:p>
    <w:p>
      <w:pPr>
        <w:pStyle w:val="Normal"/>
      </w:pPr>
      <w:r>
        <w:t xml:space="preserve">Si la variable central es </w:t>
      </w:r>
      <w:r>
        <w:rPr>
          <w:rFonts w:ascii="Source Code Pro" w:cs="Source Code Pro" w:eastAsia="Source Code Pro" w:hAnsi="Source Code Pro"/>
          <w:sz w:val="18"/>
          <w:szCs w:val="18"/>
        </w:rPr>
        <w:t xml:space="preserve">Asignación para A y no para B</w:t>
      </w:r>
      <w:r>
        <w:t xml:space="preserve">:</w:t>
      </w:r>
    </w:p>
    <w:p>
      <w:pPr>
        <w:pStyle w:val="Normal"/>
        <w:numPr>
          <w:ilvl w:val="0"/>
          <w:numId w:val="2"/>
        </w:numPr>
      </w:pPr>
      <w:r>
        <w:t xml:space="preserve">R1: </w:t>
      </w:r>
      <w:r>
        <w:rPr>
          <w:rFonts w:ascii="Source Code Pro" w:cs="Source Code Pro" w:eastAsia="Source Code Pro" w:hAnsi="Source Code Pro"/>
          <w:sz w:val="18"/>
          <w:szCs w:val="18"/>
        </w:rPr>
        <w:t xml:space="preserve">Asignación para A →(+) Recursos A →(+) Éxito A →(+) Asignación para A</w:t>
      </w:r>
      <w:r>
        <w:t xml:space="preserve">.</w:t>
      </w:r>
    </w:p>
    <w:p>
      <w:pPr>
        <w:pStyle w:val="Normal"/>
        <w:numPr>
          <w:ilvl w:val="0"/>
          <w:numId w:val="2"/>
        </w:numPr>
      </w:pPr>
      <w:r>
        <w:t xml:space="preserve">R2: </w:t>
      </w:r>
      <w:r>
        <w:rPr>
          <w:rFonts w:ascii="Source Code Pro" w:cs="Source Code Pro" w:eastAsia="Source Code Pro" w:hAnsi="Source Code Pro"/>
          <w:sz w:val="18"/>
          <w:szCs w:val="18"/>
        </w:rPr>
        <w:t xml:space="preserve">Asignación para A →(−) Recursos B →(+) Éxito B →(−) Asignación para A</w:t>
      </w:r>
      <w:r>
        <w:t xml:space="preserve">.</w:t>
      </w:r>
    </w:p>
    <w:p>
      <w:pPr>
        <w:pStyle w:val="Normal"/>
      </w:pPr>
      <w:r>
        <w:t xml:space="preserve">R2 tiene dos negativos </w:t>
      </w:r>
      <w:r>
        <w:rPr>
          <w:b/>
          <w:bCs/>
        </w:rPr>
        <w:t xml:space="preserve">por cómo se definió la variable central</w:t>
      </w:r>
      <w:r>
        <w:t xml:space="preserve">. Si se dibuja únicamente </w:t>
      </w:r>
      <w:r>
        <w:rPr>
          <w:rFonts w:ascii="Source Code Pro" w:cs="Source Code Pro" w:eastAsia="Source Code Pro" w:hAnsi="Source Code Pro"/>
          <w:sz w:val="18"/>
          <w:szCs w:val="18"/>
        </w:rPr>
        <w:t xml:space="preserve">Recursos B → Resultados B → Asignación para B → Recursos B</w:t>
      </w:r>
      <w:r>
        <w:t xml:space="preserve">, las relaciones son positivas. Menos recursos, menos resultados y menos asignación describe un refuerzo descendente; las palabras “menos” no convierten sus flechas en negativas.</w:t>
      </w:r>
    </w:p>
    <w:p>
      <w:pPr>
        <w:pStyle w:val="Normal"/>
      </w:pPr>
      <w:r>
        <w:rPr>
          <w:b/>
          <w:bCs/>
        </w:rPr>
        <w:t xml:space="preserve">Señal:</w:t>
      </w:r>
      <w:r>
        <w:t xml:space="preserve"> un grupo prospera mientras otro con capacidad comparable apenas subsiste. </w:t>
      </w:r>
      <w:r>
        <w:rPr>
          <w:b/>
          <w:bCs/>
        </w:rPr>
        <w:t xml:space="preserve">Intervención:</w:t>
      </w:r>
      <w:r>
        <w:t xml:space="preserve"> revisar condiciones iniciales y criterios de medición, buscar éxito del sistema completo y reducir la competencia destructiva por un recurso único. Una mayor producción observada con recursos desiguales no basta para afirmar mayor capacidad del personal.</w:t>
      </w:r>
    </w:p>
    <w:p>
      <w:pPr>
        <w:pStyle w:val="Normal"/>
      </w:pPr>
      <w:r>
        <w:rPr>
          <w:b/>
          <w:bCs/>
        </w:rPr>
        <w:t xml:space="preserve">Kim, aplicación: evitar trampas de competencia. Siete pasos:</w:t>
      </w:r>
    </w:p>
    <w:p>
      <w:pPr>
        <w:pStyle w:val="Normal"/>
      </w:pPr>
      <w:r>
        <w:t xml:space="preserve">1. Investigar el origen histórico de la competencia.</w:t>
      </w:r>
    </w:p>
    <w:p>
      <w:pPr>
        <w:pStyle w:val="Normal"/>
      </w:pPr>
      <w:r>
        <w:t xml:space="preserve">2. Identificar posibles trampas que refuerzan la ventaja existente.</w:t>
      </w:r>
    </w:p>
    <w:p>
      <w:pPr>
        <w:pStyle w:val="Normal"/>
      </w:pPr>
      <w:r>
        <w:t xml:space="preserve">3. Examinar si las mediciones favorecen las alternativas ya establecidas.</w:t>
      </w:r>
    </w:p>
    <w:p>
      <w:pPr>
        <w:pStyle w:val="Normal"/>
      </w:pPr>
      <w:r>
        <w:t xml:space="preserve">4. Hacer explícitos los supuestos internos sobre el éxito.</w:t>
      </w:r>
    </w:p>
    <w:p>
      <w:pPr>
        <w:pStyle w:val="Normal"/>
      </w:pPr>
      <w:r>
        <w:t xml:space="preserve">5. Obtener perspectivas externas y otras estrategias.</w:t>
      </w:r>
    </w:p>
    <w:p>
      <w:pPr>
        <w:pStyle w:val="Normal"/>
      </w:pPr>
      <w:r>
        <w:t xml:space="preserve">6. Evaluar si el sistema limita la experimentación y la innovación.</w:t>
      </w:r>
    </w:p>
    <w:p>
      <w:pPr>
        <w:pStyle w:val="Normal"/>
      </w:pPr>
      <w:r>
        <w:t xml:space="preserve">7. Revisar continuamente brechas y oportunidades de mejora.</w:t>
      </w:r>
    </w:p>
    <w:p>
      <w:pPr>
        <w:pStyle w:val="Normal"/>
      </w:pPr>
      <w:r>
        <w:rPr>
          <w:b/>
          <w:bCs/>
        </w:rPr>
        <w:t xml:space="preserve">Ejemplos del material:</w:t>
      </w:r>
      <w:r>
        <w:t xml:space="preserve"> QWERTY frente a DVORAK como modelo de habilidad, preferencia y esfuerzo de aprendizaje; dos protegidos de un gerente; productos que compiten por presupuesto; tiempo dedicado al trabajo frente a la familia. El ejemplo de teclados ilustra dependencia de la trayectoria; no demuestra por sí solo una comparación técnica definitiva de sus diseños.</w:t>
      </w:r>
    </w:p>
    <w:p>
      <w:pPr>
        <w:pStyle w:val="Heading3"/>
      </w:pPr>
      <w:bookmarkStart w:name="b_lectura_a10" w:id="3562"/>
      <w:r>
        <w:t xml:space="preserve">Tragedia de los comunes</w:t>
      </w:r>
      <w:bookmarkEnd w:id="3562"/>
    </w:p>
    <w:p>
      <w:pPr>
        <w:pStyle w:val="Normal"/>
      </w:pPr>
      <w:r>
        <w:t xml:space="preserve">También aparece como </w:t>
      </w:r>
      <w:r>
        <w:rPr>
          <w:b/>
          <w:bCs/>
        </w:rPr>
        <w:t xml:space="preserve">tragedia del terreno común</w:t>
      </w:r>
      <w:r>
        <w:t xml:space="preserve">. Cada participante obtiene un beneficio individual de usar un recurso compartido y limitado. La suma de actividades supera lo que ese recurso puede soportar; su deterioro reduce los beneficios de todos. El costo colectivo puede manifestarse con demora y estar disperso entre participantes.</w:t>
      </w:r>
    </w:p>
    <w:p>
      <w:pPr>
        <w:pStyle w:val="Normal"/>
      </w:pPr>
      <w:r>
        <w:t xml:space="preserve">Para dos actores:</w:t>
      </w:r>
    </w:p>
    <w:p>
      <w:pPr>
        <w:pStyle w:val="Normal"/>
        <w:numPr>
          <w:ilvl w:val="0"/>
          <w:numId w:val="2"/>
        </w:numPr>
      </w:pPr>
      <w:r>
        <w:t xml:space="preserve">R1: </w:t>
      </w:r>
      <w:r>
        <w:rPr>
          <w:rFonts w:ascii="Source Code Pro" w:cs="Source Code Pro" w:eastAsia="Source Code Pro" w:hAnsi="Source Code Pro"/>
          <w:sz w:val="18"/>
          <w:szCs w:val="18"/>
        </w:rPr>
        <w:t xml:space="preserve">Actividad A →(+) Ganancia A →(+) Actividad A</w:t>
      </w:r>
      <w:r>
        <w:t xml:space="preserve">.</w:t>
      </w:r>
    </w:p>
    <w:p>
      <w:pPr>
        <w:pStyle w:val="Normal"/>
        <w:numPr>
          <w:ilvl w:val="0"/>
          <w:numId w:val="2"/>
        </w:numPr>
      </w:pPr>
      <w:r>
        <w:t xml:space="preserve">R2: </w:t>
      </w:r>
      <w:r>
        <w:rPr>
          <w:rFonts w:ascii="Source Code Pro" w:cs="Source Code Pro" w:eastAsia="Source Code Pro" w:hAnsi="Source Code Pro"/>
          <w:sz w:val="18"/>
          <w:szCs w:val="18"/>
        </w:rPr>
        <w:t xml:space="preserve">Actividad B →(+) Ganancia B →(+) Actividad B</w:t>
      </w:r>
      <w:r>
        <w:t xml:space="preserve">.</w:t>
      </w:r>
    </w:p>
    <w:p>
      <w:pPr>
        <w:pStyle w:val="Normal"/>
        <w:numPr>
          <w:ilvl w:val="0"/>
          <w:numId w:val="2"/>
        </w:numPr>
      </w:pPr>
      <w:r>
        <w:t xml:space="preserve">B3: </w:t>
      </w:r>
      <w:r>
        <w:rPr>
          <w:rFonts w:ascii="Source Code Pro" w:cs="Source Code Pro" w:eastAsia="Source Code Pro" w:hAnsi="Source Code Pro"/>
          <w:sz w:val="18"/>
          <w:szCs w:val="18"/>
        </w:rPr>
        <w:t xml:space="preserve">Actividad A →(+) Actividad total →(−, demora) Ganancia por actividad individual →(+) Ganancia A →(+) Actividad A</w:t>
      </w:r>
      <w:r>
        <w:t xml:space="preserve">.</w:t>
      </w:r>
    </w:p>
    <w:p>
      <w:pPr>
        <w:pStyle w:val="Normal"/>
        <w:numPr>
          <w:ilvl w:val="0"/>
          <w:numId w:val="2"/>
        </w:numPr>
      </w:pPr>
      <w:r>
        <w:t xml:space="preserve">B4: recorrido equivalente de B por la actividad total y el rendimiento compartido.</w:t>
      </w:r>
    </w:p>
    <w:p>
      <w:pPr>
        <w:pStyle w:val="Normal"/>
        <w:numPr>
          <w:ilvl w:val="0"/>
          <w:numId w:val="2"/>
        </w:numPr>
      </w:pPr>
      <w:r>
        <w:rPr>
          <w:rFonts w:ascii="Source Code Pro" w:cs="Source Code Pro" w:eastAsia="Source Code Pro" w:hAnsi="Source Code Pro"/>
          <w:sz w:val="18"/>
          <w:szCs w:val="18"/>
        </w:rPr>
        <w:t xml:space="preserve">Recurso límite →(+) Ganancia por actividad individual</w:t>
      </w:r>
      <w:r>
        <w:t xml:space="preserve"> en el dibujo de L-17.</w:t>
      </w:r>
    </w:p>
    <w:p>
      <w:pPr>
        <w:pStyle w:val="Normal"/>
      </w:pPr>
      <w:r>
        <w:rPr>
          <w:b/>
          <w:bCs/>
        </w:rPr>
        <w:t xml:space="preserve">Ejemplo trabajado:</w:t>
      </w:r>
      <w:r>
        <w:t xml:space="preserve"> dos agricultores extraen del mismo acuífero. La extracción les beneficia individualmente, pero el nivel cae si el total supera la recarga. Repartir cantidades iguales no basta: si se recargan 100 unidades y cada uno extrae 60, el total de 120 sigue agotándolo. Deben coordinarse el uso total, el seguimiento del nivel y las posibilidades reales de recuperación.</w:t>
      </w:r>
    </w:p>
    <w:p>
      <w:pPr>
        <w:pStyle w:val="Normal"/>
      </w:pPr>
      <w:r>
        <w:rPr>
          <w:b/>
          <w:bCs/>
        </w:rPr>
        <w:t xml:space="preserve">Señal:</w:t>
      </w:r>
      <w:r>
        <w:t xml:space="preserve"> antes alcanzaba para todos; ahora cada uno cree que debe esforzarse o extraer más para obtener su parte. </w:t>
      </w:r>
      <w:r>
        <w:rPr>
          <w:b/>
          <w:bCs/>
        </w:rPr>
        <w:t xml:space="preserve">Intervención:</w:t>
      </w:r>
      <w:r>
        <w:t xml:space="preserve"> hacer visibles las consecuencias conjuntas y acordar reglas, límites, autorregulación o administración común. Un recurso compartido no tiene que ser agua o terreno: también pueden ser tiempo de soporte, reputación, clima laboral o capacidad eléctrica.</w:t>
      </w:r>
    </w:p>
    <w:p>
      <w:pPr>
        <w:pStyle w:val="Normal"/>
      </w:pPr>
      <w:r>
        <w:rPr>
          <w:b/>
          <w:bCs/>
        </w:rPr>
        <w:t xml:space="preserve">Kim, aplicación: asignación de recursos. Siete pasos:</w:t>
      </w:r>
    </w:p>
    <w:p>
      <w:pPr>
        <w:pStyle w:val="Normal"/>
      </w:pPr>
      <w:r>
        <w:t xml:space="preserve">1. Identificar el recurso compartido.</w:t>
      </w:r>
    </w:p>
    <w:p>
      <w:pPr>
        <w:pStyle w:val="Normal"/>
      </w:pPr>
      <w:r>
        <w:t xml:space="preserve">2. Reconocer los incentivos y refuerzos que promueven su uso.</w:t>
      </w:r>
    </w:p>
    <w:p>
      <w:pPr>
        <w:pStyle w:val="Normal"/>
      </w:pPr>
      <w:r>
        <w:t xml:space="preserve">3. Determinar cuándo aparecen los beneficios individuales.</w:t>
      </w:r>
    </w:p>
    <w:p>
      <w:pPr>
        <w:pStyle w:val="Normal"/>
      </w:pPr>
      <w:r>
        <w:t xml:space="preserve">4. Determinar cuándo se manifiestan los efectos acumulados del uso colectivo.</w:t>
      </w:r>
    </w:p>
    <w:p>
      <w:pPr>
        <w:pStyle w:val="Normal"/>
      </w:pPr>
      <w:r>
        <w:t xml:space="preserve">5. Hacer visible hoy la degradación de largo plazo para cada usuario.</w:t>
      </w:r>
    </w:p>
    <w:p>
      <w:pPr>
        <w:pStyle w:val="Normal"/>
      </w:pPr>
      <w:r>
        <w:t xml:space="preserve">6. Investigar recursos alternativos o cambios que alivien la restricción.</w:t>
      </w:r>
    </w:p>
    <w:p>
      <w:pPr>
        <w:pStyle w:val="Normal"/>
      </w:pPr>
      <w:r>
        <w:t xml:space="preserve">7. Establecer acceso y asignación mediante una referencia común, mediciones o autoridad que considere al sistema completo.</w:t>
      </w:r>
    </w:p>
    <w:p>
      <w:pPr>
        <w:pStyle w:val="Normal"/>
      </w:pPr>
      <w:r>
        <w:rPr>
          <w:b/>
          <w:bCs/>
        </w:rPr>
        <w:t xml:space="preserve">Lecturas y video:</w:t>
      </w:r>
      <w:r>
        <w:t xml:space="preserve"> el alternador alimenta componentes que aumentan individualmente su demanda eléctrica hasta sobrecargarlo; varias divisiones saturan una fuerza de ventas compartida. TED-Ed plantea cuatro pescadores y 12 peces: si cada persona toma uno, quedan ocho y nacen cuatro esa noche, bajo los supuestos simplificados del video. La recuperación repone los 12. Extraer más reduce los pares reproductores; la pérdida futura se reparte entre todos.</w:t>
      </w:r>
    </w:p>
    <w:p>
      <w:pPr>
        <w:pStyle w:val="Heading3"/>
      </w:pPr>
      <w:bookmarkStart w:name="b_lectura_a11" w:id="3563"/>
      <w:r>
        <w:t xml:space="preserve">Variante: compensación entre proceso y demora</w:t>
      </w:r>
      <w:bookmarkEnd w:id="3563"/>
    </w:p>
    <w:p>
      <w:pPr>
        <w:pStyle w:val="Normal"/>
      </w:pPr>
      <w:r>
        <w:rPr>
          <w:b/>
          <w:bCs/>
        </w:rPr>
        <w:t xml:space="preserve">Historia:</w:t>
      </w:r>
      <w:r>
        <w:t xml:space="preserve"> existe una meta y se aplica una acción correctiva, pero sus efectos tardan en observarse. Si se repite o aumenta la acción antes de que surtan efecto los ajustes anteriores, puede haber sobrepaso y nuevas correcciones en sentido contrario. También se puede abandonar prematuramente una medida eficaz por creer que no funciona.</w:t>
      </w:r>
    </w:p>
    <w:p>
      <w:pPr>
        <w:pStyle w:val="Normal"/>
      </w:pPr>
      <w:r>
        <w:t xml:space="preserve">Una representación mínima es </w:t>
      </w:r>
      <w:r>
        <w:rPr>
          <w:rFonts w:ascii="Source Code Pro" w:cs="Source Code Pro" w:eastAsia="Source Code Pro" w:hAnsi="Source Code Pro"/>
          <w:sz w:val="18"/>
          <w:szCs w:val="18"/>
        </w:rPr>
        <w:t xml:space="preserve">Condiciones reales →(−) Acción correctiva →(+, demora) Condiciones reales</w:t>
      </w:r>
      <w:r>
        <w:t xml:space="preserve">, tomando “condiciones” como el grado favorable que se desea elevar. Es un </w:t>
      </w:r>
      <w:r>
        <w:rPr>
          <w:b/>
          <w:bCs/>
        </w:rPr>
        <w:t xml:space="preserve">B con demora</w:t>
      </w:r>
      <w:r>
        <w:t xml:space="preserve">. Si se nombra como problema o como faltante, hay que ajustar los signos al nuevo significado.</w:t>
      </w:r>
    </w:p>
    <w:p>
      <w:pPr>
        <w:pStyle w:val="Normal"/>
      </w:pPr>
      <w:r>
        <w:rPr>
          <w:b/>
          <w:bCs/>
        </w:rPr>
        <w:t xml:space="preserve">Ejemplo ya trabajado:</w:t>
      </w:r>
      <w:r>
        <w:t xml:space="preserve"> meta de 100 libros, 80 disponibles, dos pedidos de 20 realizados antes de que lleguen entregas pendientes: finalmente hay 120. También la calefacción que tarda en elevar la temperatura y recibe ajustes acumulados. La demora no transforma B en R.</w:t>
      </w:r>
    </w:p>
    <w:p>
      <w:pPr>
        <w:pStyle w:val="Normal"/>
      </w:pPr>
      <w:r>
        <w:rPr>
          <w:b/>
          <w:bCs/>
        </w:rPr>
        <w:t xml:space="preserve">Señal:</w:t>
      </w:r>
      <w:r>
        <w:t xml:space="preserve"> después de corregir se descubre que se actuó en exceso. </w:t>
      </w:r>
      <w:r>
        <w:rPr>
          <w:b/>
          <w:bCs/>
        </w:rPr>
        <w:t xml:space="preserve">Principio de la lectura:</w:t>
      </w:r>
      <w:r>
        <w:t xml:space="preserve"> en un sistema lento, una corrección demasiado agresiva puede desestabilizar; considerar su tiempo de respuesta y, cuando sea posible, mejorarlo. Esperar requiere observar la demora pertinente, no elegir arbitrariamente unos minutos. L-19 no ofrece siete pasos de Kim para esta variante: no inventarlos.</w:t>
      </w:r>
    </w:p>
    <w:p>
      <w:pPr>
        <w:pStyle w:val="Heading3"/>
      </w:pPr>
      <w:bookmarkStart w:name="b_lectura_a12" w:id="3564"/>
      <w:r>
        <w:t xml:space="preserve">Variante: desplazamiento de la carga hacia la intervención</w:t>
      </w:r>
      <w:bookmarkEnd w:id="3564"/>
    </w:p>
    <w:p>
      <w:pPr>
        <w:pStyle w:val="Normal"/>
      </w:pPr>
      <w:r>
        <w:rPr>
          <w:b/>
          <w:bCs/>
        </w:rPr>
        <w:t xml:space="preserve">Historia:</w:t>
      </w:r>
      <w:r>
        <w:t xml:space="preserve"> un actor externo resuelve un problema tan repetidamente que los internos no desarrollan, o van perdiendo, su capacidad para resolverlo. Es un caso particular del desplazamiento de la carga, por lo que ambos nombres pueden describir la misma situación si se justifica la intervención externa.</w:t>
      </w:r>
    </w:p>
    <w:p>
      <w:pPr>
        <w:pStyle w:val="Normal"/>
        <w:numPr>
          <w:ilvl w:val="0"/>
          <w:numId w:val="2"/>
        </w:numPr>
      </w:pPr>
      <w:r>
        <w:t xml:space="preserve">B1: </w:t>
      </w:r>
      <w:r>
        <w:rPr>
          <w:rFonts w:ascii="Source Code Pro" w:cs="Source Code Pro" w:eastAsia="Source Code Pro" w:hAnsi="Source Code Pro"/>
          <w:sz w:val="18"/>
          <w:szCs w:val="18"/>
        </w:rPr>
        <w:t xml:space="preserve">Síntoma →(+) Intervención externa →(−) Síntoma</w:t>
      </w:r>
      <w:r>
        <w:t xml:space="preserve">.</w:t>
      </w:r>
    </w:p>
    <w:p>
      <w:pPr>
        <w:pStyle w:val="Normal"/>
        <w:numPr>
          <w:ilvl w:val="0"/>
          <w:numId w:val="2"/>
        </w:numPr>
      </w:pPr>
      <w:r>
        <w:t xml:space="preserve">B2: </w:t>
      </w:r>
      <w:r>
        <w:rPr>
          <w:rFonts w:ascii="Source Code Pro" w:cs="Source Code Pro" w:eastAsia="Source Code Pro" w:hAnsi="Source Code Pro"/>
          <w:sz w:val="18"/>
          <w:szCs w:val="18"/>
        </w:rPr>
        <w:t xml:space="preserve">Síntoma →(+) Solución interna →(−) Síntoma</w:t>
      </w:r>
      <w:r>
        <w:t xml:space="preserve">.</w:t>
      </w:r>
    </w:p>
    <w:p>
      <w:pPr>
        <w:pStyle w:val="Normal"/>
        <w:numPr>
          <w:ilvl w:val="0"/>
          <w:numId w:val="2"/>
        </w:numPr>
      </w:pPr>
      <w:r>
        <w:t xml:space="preserve">R: </w:t>
      </w:r>
      <w:r>
        <w:rPr>
          <w:rFonts w:ascii="Source Code Pro" w:cs="Source Code Pro" w:eastAsia="Source Code Pro" w:hAnsi="Source Code Pro"/>
          <w:sz w:val="18"/>
          <w:szCs w:val="18"/>
        </w:rPr>
        <w:t xml:space="preserve">Síntoma →(+) Intervención externa →(−) Aptitudes internas →(+, demora) Solución interna →(−) Síntoma</w:t>
      </w:r>
      <w:r>
        <w:t xml:space="preserve">.</w:t>
      </w:r>
    </w:p>
    <w:p>
      <w:pPr>
        <w:pStyle w:val="Normal"/>
      </w:pPr>
      <w:r>
        <w:rPr>
          <w:b/>
          <w:bCs/>
        </w:rPr>
        <w:t xml:space="preserve">Principio:</w:t>
      </w:r>
      <w:r>
        <w:t xml:space="preserve"> usar la ayuda para desarrollar capacidad, recursos e infraestructura propios. La lectura propone delimitar la intervención o acompañarla de transferencia de capacidades. No significa que toda ayuda externa sea dañina: el mecanismo aparece cuando sustituye el aprendizaje y refuerza dependencia.</w:t>
      </w:r>
    </w:p>
    <w:p>
      <w:pPr>
        <w:pStyle w:val="Normal"/>
      </w:pPr>
      <w:r>
        <w:rPr>
          <w:b/>
          <w:bCs/>
        </w:rPr>
        <w:t xml:space="preserve">Ejemplo de L-19:</w:t>
      </w:r>
      <w:r>
        <w:t xml:space="preserve"> filiales de una aseguradora recurren al equipo central durante una crisis. Repetir esa práctica hasta no disponer de personal local capaz de ajustar sus estructuras de tasación crea dependencia. Pineda usa un consultor de ventas frente a formar capacidad interna de diagnóstico. La lectura no da un “síntoma de advertencia” separado ni siete pasos de Kim para esta variante; conviene reconocer esa ausencia.</w:t>
      </w:r>
    </w:p>
    <w:p>
      <w:pPr>
        <w:pStyle w:val="Heading3"/>
      </w:pPr>
      <w:bookmarkStart w:name="b_lectura_a13" w:id="3565"/>
      <w:r>
        <w:t xml:space="preserve">Recursos de memoria, comparación y transferencia</w:t>
      </w:r>
      <w:bookmarkEnd w:id="3565"/>
    </w:p>
    <w:p>
      <w:pPr>
        <w:pStyle w:val="Normal"/>
      </w:pPr>
      <w:r>
        <w:rPr>
          <w:b/>
          <w:bCs/>
        </w:rPr>
        <w:t xml:space="preserve">Asociaciones para recordar:</w:t>
      </w:r>
      <w:r>
        <w:t xml:space="preserve"> “rápida ahora, falla después” para soluciones rápidas; “paso la carga al soporte y dejo de aprender” para desplazamiento; “crezco y encuentro un límite” frente a “no invierto, empeoro y uso la caída para no invertir”; “rebajo la exigencia” para erosión. Recupera los nombres por parejas y luego mezcla casos.</w:t>
      </w:r>
    </w:p>
    <w:tbl>
      <w:tblPr>
        <w:tblW w:type="dxa" w:w="9632"/>
        <w:tblBorders>
          <w:top w:val="single" w:color="C5D5DB" w:sz="4"/>
          <w:left w:val="single" w:color="C5D5DB" w:sz="4"/>
          <w:bottom w:val="single" w:color="C5D5DB" w:sz="4"/>
          <w:right w:val="single" w:color="C5D5DB" w:sz="4"/>
          <w:insideH w:val="single" w:color="E4E9EB" w:sz="3"/>
          <w:insideV w:val="single" w:color="E4E9EB" w:sz="3"/>
        </w:tblBorders>
        <w:tblLayout w:type="fixed"/>
      </w:tblPr>
      <w:tblGrid>
        <w:gridCol w:w="4816"/>
        <w:gridCol w:w="4816"/>
      </w:tblGrid>
      <w:tr>
        <w:trPr>
          <w:cantSplit/>
          <w:tblHeader/>
        </w:trPr>
        <w:tc>
          <w:tcPr>
            <w:tcW w:type="dxa" w:w="4816"/>
            <w:shd w:fill="DFEAF0" w:val="clear"/>
            <w:tcMar>
              <w:top w:type="dxa" w:w="80"/>
              <w:left w:type="dxa" w:w="100"/>
              <w:bottom w:type="dxa" w:w="80"/>
              <w:right w:type="dxa" w:w="100"/>
            </w:tcMar>
          </w:tcPr>
          <w:p>
            <w:pPr>
              <w:pStyle w:val="Tabla"/>
            </w:pPr>
            <w:r>
              <w:rPr>
                <w:b/>
                <w:bCs/>
              </w:rPr>
              <w:t xml:space="preserve">Pregunta para distinguir</w:t>
            </w:r>
          </w:p>
        </w:tc>
        <w:tc>
          <w:tcPr>
            <w:tcW w:type="dxa" w:w="4816"/>
            <w:shd w:fill="DFEAF0" w:val="clear"/>
            <w:tcMar>
              <w:top w:type="dxa" w:w="80"/>
              <w:left w:type="dxa" w:w="100"/>
              <w:bottom w:type="dxa" w:w="80"/>
              <w:right w:type="dxa" w:w="100"/>
            </w:tcMar>
          </w:tcPr>
          <w:p>
            <w:pPr>
              <w:pStyle w:val="Tabla"/>
            </w:pPr>
            <w:r>
              <w:rPr>
                <w:b/>
                <w:bCs/>
              </w:rPr>
              <w:t xml:space="preserve">Mecanismo decisivo</w:t>
            </w:r>
          </w:p>
        </w:tc>
      </w:tr>
      <w:tr>
        <w:trPr>
          <w:cantSplit/>
          <w:tblHeader w:val="off"/>
        </w:trPr>
        <w:tc>
          <w:tcPr>
            <w:tcW w:type="dxa" w:w="4816"/>
            <w:tcMar>
              <w:top w:type="dxa" w:w="80"/>
              <w:left w:type="dxa" w:w="100"/>
              <w:bottom w:type="dxa" w:w="80"/>
              <w:right w:type="dxa" w:w="100"/>
            </w:tcMar>
          </w:tcPr>
          <w:p>
            <w:pPr>
              <w:pStyle w:val="Tabla"/>
            </w:pPr>
            <w:r>
              <w:t xml:space="preserve">¿La consecuencia vuelve a agravar el síntoma?</w:t>
            </w:r>
          </w:p>
        </w:tc>
        <w:tc>
          <w:tcPr>
            <w:tcW w:type="dxa" w:w="4816"/>
            <w:tcMar>
              <w:top w:type="dxa" w:w="80"/>
              <w:left w:type="dxa" w:w="100"/>
              <w:bottom w:type="dxa" w:w="80"/>
              <w:right w:type="dxa" w:w="100"/>
            </w:tcMar>
          </w:tcPr>
          <w:p>
            <w:pPr>
              <w:pStyle w:val="Tabla"/>
            </w:pPr>
            <w:r>
              <w:t xml:space="preserve">Soluciones rápidas que fallan</w:t>
            </w:r>
          </w:p>
        </w:tc>
      </w:tr>
      <w:tr>
        <w:trPr>
          <w:cantSplit/>
          <w:tblHeader w:val="off"/>
        </w:trPr>
        <w:tc>
          <w:tcPr>
            <w:tcW w:type="dxa" w:w="4816"/>
            <w:tcMar>
              <w:top w:type="dxa" w:w="80"/>
              <w:left w:type="dxa" w:w="100"/>
              <w:bottom w:type="dxa" w:w="80"/>
              <w:right w:type="dxa" w:w="100"/>
            </w:tcMar>
          </w:tcPr>
          <w:p>
            <w:pPr>
              <w:pStyle w:val="Tabla"/>
            </w:pPr>
            <w:r>
              <w:t xml:space="preserve">¿Además debilita la solución fundamental y genera dependencia?</w:t>
            </w:r>
          </w:p>
        </w:tc>
        <w:tc>
          <w:tcPr>
            <w:tcW w:type="dxa" w:w="4816"/>
            <w:tcMar>
              <w:top w:type="dxa" w:w="80"/>
              <w:left w:type="dxa" w:w="100"/>
              <w:bottom w:type="dxa" w:w="80"/>
              <w:right w:type="dxa" w:w="100"/>
            </w:tcMar>
          </w:tcPr>
          <w:p>
            <w:pPr>
              <w:pStyle w:val="Tabla"/>
            </w:pPr>
            <w:r>
              <w:t xml:space="preserve">Desplazamiento de la carga</w:t>
            </w:r>
          </w:p>
        </w:tc>
      </w:tr>
      <w:tr>
        <w:trPr>
          <w:cantSplit/>
          <w:tblHeader w:val="off"/>
        </w:trPr>
        <w:tc>
          <w:tcPr>
            <w:tcW w:type="dxa" w:w="4816"/>
            <w:tcMar>
              <w:top w:type="dxa" w:w="80"/>
              <w:left w:type="dxa" w:w="100"/>
              <w:bottom w:type="dxa" w:w="80"/>
              <w:right w:type="dxa" w:w="100"/>
            </w:tcMar>
          </w:tcPr>
          <w:p>
            <w:pPr>
              <w:pStyle w:val="Tabla"/>
            </w:pPr>
            <w:r>
              <w:t xml:space="preserve">¿Se relaja el estándar para declarar cumplimiento?</w:t>
            </w:r>
          </w:p>
        </w:tc>
        <w:tc>
          <w:tcPr>
            <w:tcW w:type="dxa" w:w="4816"/>
            <w:tcMar>
              <w:top w:type="dxa" w:w="80"/>
              <w:left w:type="dxa" w:w="100"/>
              <w:bottom w:type="dxa" w:w="80"/>
              <w:right w:type="dxa" w:w="100"/>
            </w:tcMar>
          </w:tcPr>
          <w:p>
            <w:pPr>
              <w:pStyle w:val="Tabla"/>
            </w:pPr>
            <w:r>
              <w:t xml:space="preserve">Erosión de metas</w:t>
            </w:r>
          </w:p>
        </w:tc>
      </w:tr>
      <w:tr>
        <w:trPr>
          <w:cantSplit/>
          <w:tblHeader w:val="off"/>
        </w:trPr>
        <w:tc>
          <w:tcPr>
            <w:tcW w:type="dxa" w:w="4816"/>
            <w:tcMar>
              <w:top w:type="dxa" w:w="80"/>
              <w:left w:type="dxa" w:w="100"/>
              <w:bottom w:type="dxa" w:w="80"/>
              <w:right w:type="dxa" w:w="100"/>
            </w:tcMar>
          </w:tcPr>
          <w:p>
            <w:pPr>
              <w:pStyle w:val="Tabla"/>
            </w:pPr>
            <w:r>
              <w:t xml:space="preserve">¿La inversión insuficiente produce la caída usada para justificar no invertir?</w:t>
            </w:r>
          </w:p>
        </w:tc>
        <w:tc>
          <w:tcPr>
            <w:tcW w:type="dxa" w:w="4816"/>
            <w:tcMar>
              <w:top w:type="dxa" w:w="80"/>
              <w:left w:type="dxa" w:w="100"/>
              <w:bottom w:type="dxa" w:w="80"/>
              <w:right w:type="dxa" w:w="100"/>
            </w:tcMar>
          </w:tcPr>
          <w:p>
            <w:pPr>
              <w:pStyle w:val="Tabla"/>
            </w:pPr>
            <w:r>
              <w:t xml:space="preserve">Crecimiento y subinversión</w:t>
            </w:r>
          </w:p>
        </w:tc>
      </w:tr>
      <w:tr>
        <w:trPr>
          <w:cantSplit/>
          <w:tblHeader w:val="off"/>
        </w:trPr>
        <w:tc>
          <w:tcPr>
            <w:tcW w:type="dxa" w:w="4816"/>
            <w:tcMar>
              <w:top w:type="dxa" w:w="80"/>
              <w:left w:type="dxa" w:w="100"/>
              <w:bottom w:type="dxa" w:w="80"/>
              <w:right w:type="dxa" w:w="100"/>
            </w:tcMar>
          </w:tcPr>
          <w:p>
            <w:pPr>
              <w:pStyle w:val="Tabla"/>
            </w:pPr>
            <w:r>
              <w:t xml:space="preserve">¿Cada respuesta pretende superar al rival?</w:t>
            </w:r>
          </w:p>
        </w:tc>
        <w:tc>
          <w:tcPr>
            <w:tcW w:type="dxa" w:w="4816"/>
            <w:tcMar>
              <w:top w:type="dxa" w:w="80"/>
              <w:left w:type="dxa" w:w="100"/>
              <w:bottom w:type="dxa" w:w="80"/>
              <w:right w:type="dxa" w:w="100"/>
            </w:tcMar>
          </w:tcPr>
          <w:p>
            <w:pPr>
              <w:pStyle w:val="Tabla"/>
            </w:pPr>
            <w:r>
              <w:t xml:space="preserve">Escalada</w:t>
            </w:r>
          </w:p>
        </w:tc>
      </w:tr>
      <w:tr>
        <w:trPr>
          <w:cantSplit/>
          <w:tblHeader w:val="off"/>
        </w:trPr>
        <w:tc>
          <w:tcPr>
            <w:tcW w:type="dxa" w:w="4816"/>
            <w:tcMar>
              <w:top w:type="dxa" w:w="80"/>
              <w:left w:type="dxa" w:w="100"/>
              <w:bottom w:type="dxa" w:w="80"/>
              <w:right w:type="dxa" w:w="100"/>
            </w:tcMar>
          </w:tcPr>
          <w:p>
            <w:pPr>
              <w:pStyle w:val="Tabla"/>
            </w:pPr>
            <w:r>
              <w:t xml:space="preserve">¿Los resultados deciden quién recibe los recursos que permiten nuevos resultados?</w:t>
            </w:r>
          </w:p>
        </w:tc>
        <w:tc>
          <w:tcPr>
            <w:tcW w:type="dxa" w:w="4816"/>
            <w:tcMar>
              <w:top w:type="dxa" w:w="80"/>
              <w:left w:type="dxa" w:w="100"/>
              <w:bottom w:type="dxa" w:w="80"/>
              <w:right w:type="dxa" w:w="100"/>
            </w:tcMar>
          </w:tcPr>
          <w:p>
            <w:pPr>
              <w:pStyle w:val="Tabla"/>
            </w:pPr>
            <w:r>
              <w:t xml:space="preserve">Éxito para quien tiene éxito</w:t>
            </w:r>
          </w:p>
        </w:tc>
      </w:tr>
      <w:tr>
        <w:trPr>
          <w:cantSplit/>
          <w:tblHeader w:val="off"/>
        </w:trPr>
        <w:tc>
          <w:tcPr>
            <w:tcW w:type="dxa" w:w="4816"/>
            <w:tcMar>
              <w:top w:type="dxa" w:w="80"/>
              <w:left w:type="dxa" w:w="100"/>
              <w:bottom w:type="dxa" w:w="80"/>
              <w:right w:type="dxa" w:w="100"/>
            </w:tcMar>
          </w:tcPr>
          <w:p>
            <w:pPr>
              <w:pStyle w:val="Tabla"/>
            </w:pPr>
            <w:r>
              <w:t xml:space="preserve">¿Los usuarios deterioran una capacidad compartida limitada?</w:t>
            </w:r>
          </w:p>
        </w:tc>
        <w:tc>
          <w:tcPr>
            <w:tcW w:type="dxa" w:w="4816"/>
            <w:tcMar>
              <w:top w:type="dxa" w:w="80"/>
              <w:left w:type="dxa" w:w="100"/>
              <w:bottom w:type="dxa" w:w="80"/>
              <w:right w:type="dxa" w:w="100"/>
            </w:tcMar>
          </w:tcPr>
          <w:p>
            <w:pPr>
              <w:pStyle w:val="Tabla"/>
            </w:pPr>
            <w:r>
              <w:t xml:space="preserve">Tragedia de los comunes</w:t>
            </w:r>
          </w:p>
        </w:tc>
      </w:tr>
    </w:tbl>
    <w:p>
      <w:pPr>
        <w:pStyle w:val="Normal"/>
      </w:pPr>
      <w:r>
        <w:rPr>
          <w:b/>
          <w:bCs/>
        </w:rPr>
        <w:t xml:space="preserve">Refranes y ejemplos de la Cápsula 5 de Líderes Educativos</w:t>
      </w:r>
      <w:r>
        <w:t xml:space="preserve">, no dichos del profesor: “lo barato cuesta caro”, “salió el tiro por la culata” y “el remedio fue peor que la enfermedad” ilustran soluciones contraproducentes; estirar demasiado el elástico ilustra límites; hacer las tareas al hijo ilustra desplazamiento; “el dinero llama al dinero”, éxito para quien tiene éxito. La cápsula también habla del deterioro del clima escolar y del bienestar docente como bienes comunes, y de rebajar expectativas por atender lo urgente como erosión. El refrán es una pista de memoria; en examen debe acompañarse de la estructura.</w:t>
      </w:r>
    </w:p>
    <w:p>
      <w:pPr>
        <w:pStyle w:val="Normal"/>
      </w:pPr>
      <w:r>
        <w:t xml:space="preserve">Los videos de Pineda añaden las historias de la faja de una máquina, alquilar un terreno mientras se construye parqueo, una máquina alquilada mientras se repara la propia, el consultor y la meta de ventas rebajada. Esas clasificaciones dependen de los supuestos de cada historia: no convertir una solución propuesta en regla universal. Por ejemplo, construir parqueos puede aliviar una restricción en ese caso, pero un análisis más amplio podría identificar otras intervenciones.</w:t>
      </w:r>
    </w:p>
    <w:p>
      <w:pPr>
        <w:pStyle w:val="Normal"/>
      </w:pPr>
      <w:r>
        <w:rPr>
          <w:b/>
          <w:bCs/>
        </w:rPr>
        <w:t xml:space="preserve">Para considerar este bloque consolidado en el aprendizaje:</w:t>
      </w:r>
      <w:r>
        <w:t xml:space="preserve"> identificar el arquetipo sin recibir el nombre; justificar signos y ciclos en un dibujo; ubicar demora; distinguir síntoma, acción y consecuencia; proponer una intervención con posibles efectos laterales; recuperar los nombres sin leer.</w:t>
      </w:r>
    </w:p>
    <w:p>
      <w:pPr>
        <w:pStyle w:val="Heading3"/>
      </w:pPr>
      <w:r>
        <w:t xml:space="preserve">Errata B2/R1 en desplazamiento</w:t>
      </w:r>
    </w:p>
    <w:p>
      <w:pPr>
        <w:pStyle w:val="Normal"/>
      </w:pPr>
      <w:r>
        <w:t xml:space="preserve">La descripción impresa llama R1 a la solución fundamental por error: su ciclo es B2, con demora. B1 es el alivio sintomático y R1 la dependencia mediante el efecto lateral. La figura y las claves conservan dos balances y un refuerzo.</w:t>
      </w:r>
    </w:p>
    <w:p>
      <w:pPr>
        <w:pStyle w:val="Fuente"/>
      </w:pPr>
      <w:r>
        <w:t xml:space="preserve">Presentación 4b de octubre (C-8), láminas 14 y 18 · Presentación 4b (C-4), láminas 15 y 18 · Clase 22 · 01:09:26</w:t>
      </w:r>
    </w:p>
    <w:p>
      <w:pPr>
        <w:pStyle w:val="Heading3"/>
      </w:pPr>
      <w:r>
        <w:t xml:space="preserve">Reconocer la estructura</w:t>
      </w:r>
    </w:p>
    <w:p>
      <w:pPr>
        <w:pStyle w:val="Normal"/>
      </w:pPr>
      <w:r>
        <w:t xml:space="preserve">Una cadena causal sólo es un ciclo si regresa a la variable inicial. Un número par de relaciones negativas, incluido cero, produce refuerzo; un número impar produce balance.</w:t>
      </w:r>
    </w:p>
    <w:p>
      <w:pPr>
        <w:pStyle w:val="Normal"/>
      </w:pPr>
      <w:r>
        <w:t xml:space="preserve">Refuerzo no significa beneficio ni balance significa perjuicio. La polaridad describe la estructura; la conveniencia del resultado depende del problema.</w:t>
      </w:r>
    </w:p>
    <w:p>
      <w:pPr>
        <w:pStyle w:val="Normal"/>
      </w:pPr>
      <w:r>
        <w:t xml:space="preserve">Compara la historia, el patrón en el tiempo, las relaciones y las demoras con el arquetipo. Explica qué variables de tu caso ocupan cada papel.</w:t>
      </w:r>
    </w:p>
    <w:p>
      <w:pPr>
        <w:pStyle w:val="Fuente"/>
      </w:pPr>
      <w:r>
        <w:t xml:space="preserve">Guía de estudio · edición 20/10/2026 · pp. 6–10</w:t>
      </w:r>
    </w:p>
    <w:p>
      <w:pPr>
        <w:pStyle w:val="Heading3"/>
      </w:pPr>
      <w:r>
        <w:t xml:space="preserve">Los ocho de Pegasus y Kim</w:t>
      </w:r>
    </w:p>
    <w:p>
      <w:pPr>
        <w:pStyle w:val="Normal"/>
      </w:pPr>
      <w:r>
        <w:t xml:space="preserve">Límites del crecimiento: un refuerzo encuentra una restricción. Crecimiento y subinversión: además, la inversión en capacidad llega tarde o resulta insuficiente.</w:t>
      </w:r>
    </w:p>
    <w:p>
      <w:pPr>
        <w:pStyle w:val="Normal"/>
      </w:pPr>
      <w:r>
        <w:t xml:space="preserve">Soluciones rápidas que fallan: el alivio inmediato genera consecuencias que reactivan el problema. Desplazamiento de la carga: depender del alivio sintomático debilita la solución fundamental.</w:t>
      </w:r>
    </w:p>
    <w:p>
      <w:pPr>
        <w:pStyle w:val="Normal"/>
      </w:pPr>
      <w:r>
        <w:t xml:space="preserve">Erosión de metas: se reduce el objetivo para cerrar la brecha. Escalada: las acciones de cada parte se convierten en amenazas para la otra.</w:t>
      </w:r>
    </w:p>
    <w:p>
      <w:pPr>
        <w:pStyle w:val="Normal"/>
      </w:pPr>
      <w:r>
        <w:t xml:space="preserve">Éxito para quien tiene éxito: la asignación de recursos refuerza una ventaja inicial. Tragedia de los comunes: el beneficio individual presiona un recurso compartido limitado.</w:t>
      </w:r>
    </w:p>
    <w:p>
      <w:pPr>
        <w:pStyle w:val="Fuente"/>
      </w:pPr>
      <w:r>
        <w:t xml:space="preserve">Lecturas L-17 y L-18 · guía pp. 6–10</w:t>
      </w:r>
    </w:p>
    <w:p>
      <w:pPr>
        <w:pStyle w:val="Heading3"/>
      </w:pPr>
      <w:r>
        <w:t xml:space="preserve">Intervenir y justificar</w:t>
      </w:r>
    </w:p>
    <w:p>
      <w:pPr>
        <w:pStyle w:val="Normal"/>
      </w:pPr>
      <w:r>
        <w:t xml:space="preserve">En límites del crecimiento, actúa sobre la restricción; aumentar solamente el esfuerzo de crecimiento fortalece el límite.</w:t>
      </w:r>
    </w:p>
    <w:p>
      <w:pPr>
        <w:pStyle w:val="Normal"/>
      </w:pPr>
      <w:r>
        <w:t xml:space="preserve">En desplazamiento de la carga, combina el alivio necesario con la recuperación de capacidad para la solución fundamental.</w:t>
      </w:r>
    </w:p>
    <w:p>
      <w:pPr>
        <w:pStyle w:val="Normal"/>
      </w:pPr>
      <w:r>
        <w:t xml:space="preserve">En tragedia de los comunes, considera reglas y coordinación sobre el recurso. En todos los casos, explica las consecuencias demoradas de la medida.</w:t>
      </w:r>
    </w:p>
    <w:p>
      <w:pPr>
        <w:pStyle w:val="Fuente"/>
      </w:pPr>
      <w:r>
        <w:t xml:space="preserve">Guía de estudio · edición 20/10/2026 · pp. 6–10</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Procedimiento</w:t>
            </w:r>
          </w:p>
          <w:p>
            <w:pPr>
              <w:pStyle w:val="Recuadro"/>
            </w:pPr>
            <w:r>
              <w:t xml:space="preserve">Diagnosticar un arquetipo a partir de una historia</w:t>
            </w:r>
          </w:p>
          <w:p>
            <w:pPr>
              <w:pStyle w:val="Recuadro"/>
            </w:pPr>
            <w:r>
              <w:t xml:space="preserve">1. </w:t>
            </w:r>
            <w:r>
              <w:rPr>
                <w:b/>
                <w:bCs/>
              </w:rPr>
              <w:t xml:space="preserve">Observar.</w:t>
            </w:r>
            <w:r>
              <w:t xml:space="preserve"> Identifica el problema y cómo cambia en el tiempo. Separa la intervención inicial de sus consecuencias posteriores. (Guía de estudio · edición 20/10/2026 · pp. 6–10)</w:t>
            </w:r>
          </w:p>
          <w:p>
            <w:pPr>
              <w:pStyle w:val="Recuadro"/>
            </w:pPr>
            <w:r>
              <w:t xml:space="preserve">2. </w:t>
            </w:r>
            <w:r>
              <w:rPr>
                <w:b/>
                <w:bCs/>
              </w:rPr>
              <w:t xml:space="preserve">Diagramar.</w:t>
            </w:r>
            <w:r>
              <w:t xml:space="preserve"> Nombra variables que puedan aumentar o disminuir y asigna el signo de cada relación manteniendo lo demás constante. (Guía de estudio · edición 20/10/2026 · pp. 6–10)</w:t>
            </w:r>
          </w:p>
          <w:p>
            <w:pPr>
              <w:pStyle w:val="Recuadro"/>
            </w:pPr>
            <w:r>
              <w:t xml:space="preserve">3. </w:t>
            </w:r>
            <w:r>
              <w:rPr>
                <w:b/>
                <w:bCs/>
              </w:rPr>
              <w:t xml:space="preserve">Contar ciclos.</w:t>
            </w:r>
            <w:r>
              <w:t xml:space="preserve"> Recorre cada camino cerrado, cuenta sus relaciones negativas y marca sus demoras. Compara la estructura con los arquetipos. (Guía de estudio · edición 20/10/2026 · pp. 6–10)</w:t>
            </w:r>
          </w:p>
          <w:p>
            <w:pPr>
              <w:pStyle w:val="Recuadro"/>
            </w:pPr>
            <w:r>
              <w:t xml:space="preserve">4. </w:t>
            </w:r>
            <w:r>
              <w:rPr>
                <w:b/>
                <w:bCs/>
              </w:rPr>
              <w:t xml:space="preserve">Proponer una medida.</w:t>
            </w:r>
            <w:r>
              <w:t xml:space="preserve"> Indica qué relación, restricción o regla modificarías, y por qué debería cambiar el patrón a largo plazo. (Guía de estudio · edición 20/10/2026 · pp. 6–10)</w:t>
            </w:r>
          </w:p>
          <w:p>
            <w:pPr>
              <w:pStyle w:val="Recuadro"/>
            </w:pPr>
            <w:r>
              <w:t xml:space="preserve">Diagnóstico defendible = historia + estructura + patrón + intervención.</w:t>
            </w:r>
          </w:p>
        </w:tc>
      </w:tr>
    </w:tbl>
    <w:p>
      <w:pPr>
        <w:pStyle w:val="Heading3"/>
      </w:pPr>
      <w:bookmarkStart w:name="b_tabla_4_1_g3_g3_arquetipos" w:id="3566"/>
      <w:r>
        <w:t xml:space="preserve">Los ocho arquetipos</w:t>
      </w:r>
      <w:bookmarkEnd w:id="3566"/>
    </w:p>
    <w:tbl>
      <w:tblPr>
        <w:tblW w:type="dxa" w:w="9632"/>
        <w:tblBorders>
          <w:top w:val="single" w:color="C5D5DB" w:sz="4"/>
          <w:left w:val="single" w:color="C5D5DB" w:sz="4"/>
          <w:bottom w:val="single" w:color="C5D5DB" w:sz="4"/>
          <w:right w:val="single" w:color="C5D5DB" w:sz="4"/>
          <w:insideH w:val="single" w:color="E4E9EB" w:sz="3"/>
          <w:insideV w:val="single" w:color="E4E9EB" w:sz="3"/>
        </w:tblBorders>
        <w:tblLayout w:type="fixed"/>
      </w:tblPr>
      <w:tblGrid>
        <w:gridCol w:w="4816"/>
        <w:gridCol w:w="4816"/>
      </w:tblGrid>
      <w:tr>
        <w:trPr>
          <w:cantSplit/>
          <w:tblHeader/>
        </w:trPr>
        <w:tc>
          <w:tcPr>
            <w:tcW w:type="dxa" w:w="4816"/>
            <w:shd w:fill="DFEAF0" w:val="clear"/>
            <w:tcMar>
              <w:top w:type="dxa" w:w="80"/>
              <w:left w:type="dxa" w:w="100"/>
              <w:bottom w:type="dxa" w:w="80"/>
              <w:right w:type="dxa" w:w="100"/>
            </w:tcMar>
          </w:tcPr>
          <w:p>
            <w:pPr>
              <w:pStyle w:val="Tabla"/>
            </w:pPr>
            <w:r>
              <w:rPr>
                <w:b/>
                <w:bCs/>
              </w:rPr>
              <w:t xml:space="preserve">Arquetipo</w:t>
            </w:r>
          </w:p>
        </w:tc>
        <w:tc>
          <w:tcPr>
            <w:tcW w:type="dxa" w:w="4816"/>
            <w:shd w:fill="DFEAF0" w:val="clear"/>
            <w:tcMar>
              <w:top w:type="dxa" w:w="80"/>
              <w:left w:type="dxa" w:w="100"/>
              <w:bottom w:type="dxa" w:w="80"/>
              <w:right w:type="dxa" w:w="100"/>
            </w:tcMar>
          </w:tcPr>
          <w:p>
            <w:pPr>
              <w:pStyle w:val="Tabla"/>
            </w:pPr>
            <w:r>
              <w:rPr>
                <w:b/>
                <w:bCs/>
              </w:rPr>
              <w:t xml:space="preserve">Patrón para reconocerlo</w:t>
            </w:r>
          </w:p>
        </w:tc>
      </w:tr>
      <w:tr>
        <w:trPr>
          <w:cantSplit/>
          <w:tblHeader w:val="off"/>
        </w:trPr>
        <w:tc>
          <w:tcPr>
            <w:tcW w:type="dxa" w:w="4816"/>
            <w:tcMar>
              <w:top w:type="dxa" w:w="80"/>
              <w:left w:type="dxa" w:w="100"/>
              <w:bottom w:type="dxa" w:w="80"/>
              <w:right w:type="dxa" w:w="100"/>
            </w:tcMar>
          </w:tcPr>
          <w:p>
            <w:pPr>
              <w:pStyle w:val="Tabla"/>
            </w:pPr>
            <w:r>
              <w:t xml:space="preserve">Límites del crecimiento</w:t>
            </w:r>
          </w:p>
        </w:tc>
        <w:tc>
          <w:tcPr>
            <w:tcW w:type="dxa" w:w="4816"/>
            <w:tcMar>
              <w:top w:type="dxa" w:w="80"/>
              <w:left w:type="dxa" w:w="100"/>
              <w:bottom w:type="dxa" w:w="80"/>
              <w:right w:type="dxa" w:w="100"/>
            </w:tcMar>
          </w:tcPr>
          <w:p>
            <w:pPr>
              <w:pStyle w:val="Tabla"/>
            </w:pPr>
            <w:r>
              <w:t xml:space="preserve">Crecimiento acelerado que se vuelve lento, se detiene y puede revertirse en un colapso acelerado.</w:t>
            </w:r>
          </w:p>
        </w:tc>
      </w:tr>
      <w:tr>
        <w:trPr>
          <w:cantSplit/>
          <w:tblHeader w:val="off"/>
        </w:trPr>
        <w:tc>
          <w:tcPr>
            <w:tcW w:type="dxa" w:w="4816"/>
            <w:tcMar>
              <w:top w:type="dxa" w:w="80"/>
              <w:left w:type="dxa" w:w="100"/>
              <w:bottom w:type="dxa" w:w="80"/>
              <w:right w:type="dxa" w:w="100"/>
            </w:tcMar>
          </w:tcPr>
          <w:p>
            <w:pPr>
              <w:pStyle w:val="Tabla"/>
            </w:pPr>
            <w:r>
              <w:t xml:space="preserve">Desplazamiento de la carga</w:t>
            </w:r>
          </w:p>
        </w:tc>
        <w:tc>
          <w:tcPr>
            <w:tcW w:type="dxa" w:w="4816"/>
            <w:tcMar>
              <w:top w:type="dxa" w:w="80"/>
              <w:left w:type="dxa" w:w="100"/>
              <w:bottom w:type="dxa" w:w="80"/>
              <w:right w:type="dxa" w:w="100"/>
            </w:tcMar>
          </w:tcPr>
          <w:p>
            <w:pPr>
              <w:pStyle w:val="Tabla"/>
            </w:pPr>
            <w:r>
              <w:t xml:space="preserve">Alivio inmediato y recaídas: el síntoma vuelve, el parche se usa cada vez más y la capacidad de resolver de fondo se atrofia.</w:t>
            </w:r>
          </w:p>
        </w:tc>
      </w:tr>
      <w:tr>
        <w:trPr>
          <w:cantSplit/>
          <w:tblHeader w:val="off"/>
        </w:trPr>
        <w:tc>
          <w:tcPr>
            <w:tcW w:type="dxa" w:w="4816"/>
            <w:tcMar>
              <w:top w:type="dxa" w:w="80"/>
              <w:left w:type="dxa" w:w="100"/>
              <w:bottom w:type="dxa" w:w="80"/>
              <w:right w:type="dxa" w:w="100"/>
            </w:tcMar>
          </w:tcPr>
          <w:p>
            <w:pPr>
              <w:pStyle w:val="Tabla"/>
            </w:pPr>
            <w:r>
              <w:t xml:space="preserve">Erosión de metas</w:t>
            </w:r>
          </w:p>
        </w:tc>
        <w:tc>
          <w:tcPr>
            <w:tcW w:type="dxa" w:w="4816"/>
            <w:tcMar>
              <w:top w:type="dxa" w:w="80"/>
              <w:left w:type="dxa" w:w="100"/>
              <w:bottom w:type="dxa" w:w="80"/>
              <w:right w:type="dxa" w:w="100"/>
            </w:tcMar>
          </w:tcPr>
          <w:p>
            <w:pPr>
              <w:pStyle w:val="Tabla"/>
            </w:pPr>
            <w:r>
              <w:t xml:space="preserve">La meta baja escalón por escalón y el desempeño la sigue: los indicadores caen sin que nadie lo decida.</w:t>
            </w:r>
          </w:p>
        </w:tc>
      </w:tr>
      <w:tr>
        <w:trPr>
          <w:cantSplit/>
          <w:tblHeader w:val="off"/>
        </w:trPr>
        <w:tc>
          <w:tcPr>
            <w:tcW w:type="dxa" w:w="4816"/>
            <w:tcMar>
              <w:top w:type="dxa" w:w="80"/>
              <w:left w:type="dxa" w:w="100"/>
              <w:bottom w:type="dxa" w:w="80"/>
              <w:right w:type="dxa" w:w="100"/>
            </w:tcMar>
          </w:tcPr>
          <w:p>
            <w:pPr>
              <w:pStyle w:val="Tabla"/>
            </w:pPr>
            <w:r>
              <w:t xml:space="preserve">Escalada</w:t>
            </w:r>
          </w:p>
        </w:tc>
        <w:tc>
          <w:tcPr>
            <w:tcW w:type="dxa" w:w="4816"/>
            <w:tcMar>
              <w:top w:type="dxa" w:w="80"/>
              <w:left w:type="dxa" w:w="100"/>
              <w:bottom w:type="dxa" w:w="80"/>
              <w:right w:type="dxa" w:w="100"/>
            </w:tcMar>
          </w:tcPr>
          <w:p>
            <w:pPr>
              <w:pStyle w:val="Tabla"/>
            </w:pPr>
            <w:r>
              <w:t xml:space="preserve">Una espiral que crece en ambas partes a la vez: cada respuesta «defensiva» provoca la siguiente.</w:t>
            </w:r>
          </w:p>
        </w:tc>
      </w:tr>
      <w:tr>
        <w:trPr>
          <w:cantSplit/>
          <w:tblHeader w:val="off"/>
        </w:trPr>
        <w:tc>
          <w:tcPr>
            <w:tcW w:type="dxa" w:w="4816"/>
            <w:tcMar>
              <w:top w:type="dxa" w:w="80"/>
              <w:left w:type="dxa" w:w="100"/>
              <w:bottom w:type="dxa" w:w="80"/>
              <w:right w:type="dxa" w:w="100"/>
            </w:tcMar>
          </w:tcPr>
          <w:p>
            <w:pPr>
              <w:pStyle w:val="Tabla"/>
            </w:pPr>
            <w:r>
              <w:t xml:space="preserve">Éxito para quien tiene éxito</w:t>
            </w:r>
          </w:p>
        </w:tc>
        <w:tc>
          <w:tcPr>
            <w:tcW w:type="dxa" w:w="4816"/>
            <w:tcMar>
              <w:top w:type="dxa" w:w="80"/>
              <w:left w:type="dxa" w:w="100"/>
              <w:bottom w:type="dxa" w:w="80"/>
              <w:right w:type="dxa" w:w="100"/>
            </w:tcMar>
          </w:tcPr>
          <w:p>
            <w:pPr>
              <w:pStyle w:val="Tabla"/>
            </w:pPr>
            <w:r>
              <w:t xml:space="preserve">Divergencia: una pequeña ventaja inicial se convierte en éxito creciente para uno y abandono para el otro.</w:t>
            </w:r>
          </w:p>
        </w:tc>
      </w:tr>
      <w:tr>
        <w:trPr>
          <w:cantSplit/>
          <w:tblHeader w:val="off"/>
        </w:trPr>
        <w:tc>
          <w:tcPr>
            <w:tcW w:type="dxa" w:w="4816"/>
            <w:tcMar>
              <w:top w:type="dxa" w:w="80"/>
              <w:left w:type="dxa" w:w="100"/>
              <w:bottom w:type="dxa" w:w="80"/>
              <w:right w:type="dxa" w:w="100"/>
            </w:tcMar>
          </w:tcPr>
          <w:p>
            <w:pPr>
              <w:pStyle w:val="Tabla"/>
            </w:pPr>
            <w:r>
              <w:t xml:space="preserve">Tragedia de los comunes</w:t>
            </w:r>
          </w:p>
        </w:tc>
        <w:tc>
          <w:tcPr>
            <w:tcW w:type="dxa" w:w="4816"/>
            <w:tcMar>
              <w:top w:type="dxa" w:w="80"/>
              <w:left w:type="dxa" w:w="100"/>
              <w:bottom w:type="dxa" w:w="80"/>
              <w:right w:type="dxa" w:w="100"/>
            </w:tcMar>
          </w:tcPr>
          <w:p>
            <w:pPr>
              <w:pStyle w:val="Tabla"/>
            </w:pPr>
            <w:r>
              <w:t xml:space="preserve">Ganancias que crecen para todos y luego caen para todos cuando el recurso compartido se agota.</w:t>
            </w:r>
          </w:p>
        </w:tc>
      </w:tr>
      <w:tr>
        <w:trPr>
          <w:cantSplit/>
          <w:tblHeader w:val="off"/>
        </w:trPr>
        <w:tc>
          <w:tcPr>
            <w:tcW w:type="dxa" w:w="4816"/>
            <w:tcMar>
              <w:top w:type="dxa" w:w="80"/>
              <w:left w:type="dxa" w:w="100"/>
              <w:bottom w:type="dxa" w:w="80"/>
              <w:right w:type="dxa" w:w="100"/>
            </w:tcMar>
          </w:tcPr>
          <w:p>
            <w:pPr>
              <w:pStyle w:val="Tabla"/>
            </w:pPr>
            <w:r>
              <w:t xml:space="preserve">Soluciones rápidas que fallan</w:t>
            </w:r>
          </w:p>
        </w:tc>
        <w:tc>
          <w:tcPr>
            <w:tcW w:type="dxa" w:w="4816"/>
            <w:tcMar>
              <w:top w:type="dxa" w:w="80"/>
              <w:left w:type="dxa" w:w="100"/>
              <w:bottom w:type="dxa" w:w="80"/>
              <w:right w:type="dxa" w:w="100"/>
            </w:tcMar>
          </w:tcPr>
          <w:p>
            <w:pPr>
              <w:pStyle w:val="Tabla"/>
            </w:pPr>
            <w:r>
              <w:t xml:space="preserve">Alivio rápido y recaída cada vez más fuerte: hay que aplicar la misma solución con más frecuencia.</w:t>
            </w:r>
          </w:p>
        </w:tc>
      </w:tr>
      <w:tr>
        <w:trPr>
          <w:cantSplit/>
          <w:tblHeader w:val="off"/>
        </w:trPr>
        <w:tc>
          <w:tcPr>
            <w:tcW w:type="dxa" w:w="4816"/>
            <w:tcMar>
              <w:top w:type="dxa" w:w="80"/>
              <w:left w:type="dxa" w:w="100"/>
              <w:bottom w:type="dxa" w:w="80"/>
              <w:right w:type="dxa" w:w="100"/>
            </w:tcMar>
          </w:tcPr>
          <w:p>
            <w:pPr>
              <w:pStyle w:val="Tabla"/>
            </w:pPr>
            <w:r>
              <w:t xml:space="preserve">Crecimiento y subinversión</w:t>
            </w:r>
          </w:p>
        </w:tc>
        <w:tc>
          <w:tcPr>
            <w:tcW w:type="dxa" w:w="4816"/>
            <w:tcMar>
              <w:top w:type="dxa" w:w="80"/>
              <w:left w:type="dxa" w:w="100"/>
              <w:bottom w:type="dxa" w:w="80"/>
              <w:right w:type="dxa" w:w="100"/>
            </w:tcMar>
          </w:tcPr>
          <w:p>
            <w:pPr>
              <w:pStyle w:val="Tabla"/>
            </w:pPr>
            <w:r>
              <w:t xml:space="preserve">El crecimiento se estanca mientras las metas bajan: una profecía que se cumple a sí misma.</w:t>
            </w:r>
          </w:p>
        </w:tc>
      </w:tr>
    </w:tbl>
    <w:p>
      <w:pPr>
        <w:pStyle w:val="Fuente"/>
      </w:pPr>
      <w:r>
        <w:t xml:space="preserve">Lecturas L-17 y L-18; los patrones son las explicaciones editoriales de la lección. Comprueba ciclos y demoras antes de asignar un nombre.</w:t>
      </w:r>
    </w:p>
    <w:p>
      <w:pPr>
        <w:pStyle w:val="Heading3"/>
      </w:pPr>
      <w:r>
        <w:t xml:space="preserve">Compensación entre proceso y demora</w:t>
      </w:r>
    </w:p>
    <w:p>
      <w:pPr>
        <w:pStyle w:val="Normal"/>
      </w:pPr>
      <w:r>
        <w:t xml:space="preserve">Una persona, un grupo o una organización, actuando con miras a una meta, adaptan su conducta en respuesta a la realimentación demorada. Si no son conscientes de la demora, realizan más acciones correctivas de las necesarias o a veces desisten por que no ven ningún progreso.</w:t>
      </w:r>
    </w:p>
    <w:p>
      <w:pPr>
        <w:keepNext/>
        <w:spacing w:after="40" w:before="150"/>
        <w:jc w:val="center"/>
      </w:pPr>
      <w:bookmarkStart w:name="b_figura_original_arquetipo_com_680663e1" w:id="3567"/>
      <w:bookmarkEnd w:id="3567"/>
      <w:r>
        <w:drawing>
          <wp:inline distT="0" distB="0" distL="0" distR="0">
            <wp:extent cx="5381625" cy="3733800"/>
            <wp:effectExtent t="0" r="0" b="0" l="0"/>
            <wp:docPr id="94" name="arquetipo-compensacion-proceso-demora" descr="lectura L-19 · pág. 1. Signos inferidos por el portal para reproducir los ciclos de la lectura." title="Compensación entre proceso y demo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77" cstate="none"/>
                    <a:srcRect/>
                    <a:stretch>
                      <a:fillRect/>
                    </a:stretch>
                  </pic:blipFill>
                  <pic:spPr bwMode="auto">
                    <a:xfrm>
                      <a:off x="0" y="0"/>
                      <a:ext cx="5381625" cy="3733800"/>
                    </a:xfrm>
                    <a:prstGeom prst="rect">
                      <a:avLst/>
                    </a:prstGeom>
                  </pic:spPr>
                </pic:pic>
              </a:graphicData>
            </a:graphic>
          </wp:inline>
        </w:drawing>
      </w:r>
    </w:p>
    <w:p>
      <w:pPr>
        <w:pStyle w:val="PieFigura"/>
        <w:keepNext/>
      </w:pPr>
      <w:bookmarkStart w:name="b_fig_4_1_1" w:id="3568"/>
      <w:r>
        <w:t xml:space="preserve">Figura 4.1.</w:t>
      </w:r>
      <w:fldSimple w:instr="SEQ Figura \r 1 \* ARABIC">
        <w:r>
          <w:t xml:space="preserve">1</w:t>
        </w:r>
      </w:fldSimple>
      <w:r>
        <w:t xml:space="preserve"> · Compensación entre proceso y demora</w:t>
      </w:r>
      <w:bookmarkEnd w:id="3568"/>
    </w:p>
    <w:p>
      <w:pPr>
        <w:pStyle w:val="LecturaFigura"/>
        <w:keepNext/>
      </w:pPr>
      <w:r>
        <w:rPr>
          <w:b/>
          <w:bCs/>
        </w:rPr>
        <w:t xml:space="preserve">Lectura del diagrama: </w:t>
      </w:r>
      <w:r>
        <w:t xml:space="preserve">0 ciclos de refuerzo y 1 de balance. Un solo ciclo de balance: la acción correctiva mejora las condiciones, pero con demora, y quien no la ve sigue corrigiendo de más.</w:t>
      </w:r>
    </w:p>
    <w:p>
      <w:pPr>
        <w:pStyle w:val="Fuente"/>
      </w:pPr>
      <w:r>
        <w:t xml:space="preserve">lectura L-19 · pág. 1. Signos inferidos por el portal para reproducir los ciclos de la lectura.</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Lectura de la estructura</w:t>
            </w:r>
          </w:p>
          <w:p>
            <w:pPr>
              <w:pStyle w:val="Recuadro"/>
            </w:pPr>
            <w:r>
              <w:t xml:space="preserve">Oscilación: se corrige de más, se pasa de la meta, se corrige en sentido contrario y vuelve a pasarse.</w:t>
            </w:r>
          </w:p>
          <w:p>
            <w:pPr>
              <w:pStyle w:val="Recuadro"/>
            </w:pPr>
            <w:r>
              <w:t xml:space="preserve">En un sistema lento, la agresividad produce inestabilidad. Debes ser paciente o lograr que el sistema reaccione mejor.</w:t>
            </w:r>
          </w:p>
        </w:tc>
      </w:tr>
    </w:tbl>
    <w:p>
      <w:pPr>
        <w:pStyle w:val="Normal"/>
      </w:pPr>
      <w:r>
        <w:t xml:space="preserve">Los agentes de bienes raíces siguen construyendo mientras el mercado pide viviendas; cuando las obras terminan, hay más propiedades de las que el mercado necesita.</w:t>
      </w:r>
    </w:p>
    <w:p>
      <w:pPr>
        <w:pStyle w:val="Fuente"/>
      </w:pPr>
      <w:r>
        <w:t xml:space="preserve">lectura L-19 · pág. 1</w:t>
      </w:r>
    </w:p>
    <w:p>
      <w:pPr>
        <w:pStyle w:val="Heading3"/>
      </w:pPr>
      <w:r>
        <w:t xml:space="preserve">Límites del crecimiento</w:t>
      </w:r>
    </w:p>
    <w:p>
      <w:pPr>
        <w:pStyle w:val="Normal"/>
      </w:pPr>
      <w:r>
        <w:t xml:space="preserve">En un escenario de «Límites del Crecimiento», inicialmente los esfuerzos continuados llevan a un desempeño mejorado (R1). Sin embargo, con el tiempo el sistema encuentra un límite que causa que el desempeño baje e incluso decline (B2), aún cuando el esfuerzo continúe aumentando (Toolbox, Diciembre 1990/Enero 1991).</w:t>
      </w:r>
    </w:p>
    <w:p>
      <w:pPr>
        <w:keepNext/>
        <w:spacing w:after="40" w:before="150"/>
        <w:jc w:val="center"/>
      </w:pPr>
      <w:bookmarkStart w:name="b_figura_original_arquetipo_lim_ff30db5a" w:id="3569"/>
      <w:bookmarkEnd w:id="3569"/>
      <w:r>
        <w:drawing>
          <wp:inline distT="0" distB="0" distL="0" distR="0">
            <wp:extent cx="5381625" cy="2905125"/>
            <wp:effectExtent t="0" r="0" b="0" l="0"/>
            <wp:docPr id="95" name="arquetipo-limites-crecimiento" descr="lectura L-17. Estructura de la lectura, disposición editorial." title="Límites del crecimien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78" cstate="none"/>
                    <a:srcRect/>
                    <a:stretch>
                      <a:fillRect/>
                    </a:stretch>
                  </pic:blipFill>
                  <pic:spPr bwMode="auto">
                    <a:xfrm>
                      <a:off x="0" y="0"/>
                      <a:ext cx="5381625" cy="2905125"/>
                    </a:xfrm>
                    <a:prstGeom prst="rect">
                      <a:avLst/>
                    </a:prstGeom>
                  </pic:spPr>
                </pic:pic>
              </a:graphicData>
            </a:graphic>
          </wp:inline>
        </w:drawing>
      </w:r>
    </w:p>
    <w:p>
      <w:pPr>
        <w:pStyle w:val="PieFigura"/>
        <w:keepNext/>
      </w:pPr>
      <w:bookmarkStart w:name="b_fig_4_1_2" w:id="3570"/>
      <w:r>
        <w:t xml:space="preserve">Figura 4.1.</w:t>
      </w:r>
      <w:fldSimple w:instr="SEQ Figura \n \* ARABIC">
        <w:r>
          <w:t xml:space="preserve">2</w:t>
        </w:r>
      </w:fldSimple>
      <w:r>
        <w:t xml:space="preserve"> · Límites del crecimiento</w:t>
      </w:r>
      <w:bookmarkEnd w:id="3570"/>
    </w:p>
    <w:p>
      <w:pPr>
        <w:pStyle w:val="LecturaFigura"/>
        <w:keepNext/>
      </w:pPr>
      <w:r>
        <w:rPr>
          <w:b/>
          <w:bCs/>
        </w:rPr>
        <w:t xml:space="preserve">Lectura del diagrama: </w:t>
      </w:r>
      <w:r>
        <w:t xml:space="preserve">1 ciclo de refuerzo y 1 de balance. Los esfuerzos mejoran el desempeño y el desempeño anima más esfuerzos (R1); el mismo desempeño activa una acción limitadora, alimentada por una restricción, que lo frena (B2).</w:t>
      </w:r>
    </w:p>
    <w:p>
      <w:pPr>
        <w:pStyle w:val="Fuente"/>
      </w:pPr>
      <w:r>
        <w:t xml:space="preserve">lectura L-17. Estructura de la lectura, disposición editorial.</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Lectura de la estructura</w:t>
            </w:r>
          </w:p>
          <w:p>
            <w:pPr>
              <w:pStyle w:val="Recuadro"/>
            </w:pPr>
            <w:r>
              <w:t xml:space="preserve">Crecimiento acelerado que se vuelve lento, se detiene y puede revertirse en un colapso acelerado.</w:t>
            </w:r>
          </w:p>
          <w:p>
            <w:pPr>
              <w:pStyle w:val="Recuadro"/>
            </w:pPr>
            <w:r>
              <w:t xml:space="preserve">No presiones el proceso reforzador (de crecimiento); elimina (o debilita) el factor limitativo.</w:t>
            </w:r>
          </w:p>
        </w:tc>
      </w:tr>
    </w:tbl>
    <w:p>
      <w:pPr>
        <w:pStyle w:val="Normal"/>
      </w:pPr>
      <w:r>
        <w:t xml:space="preserve">Un programa de acción afirmativa crece mientras se incorporan empleados calificados a los equipos, hasta que surge una resistencia: cuanto más se presiona a los equipos para aceptar nuevos miembros, más se resisten.</w:t>
      </w:r>
    </w:p>
    <w:p>
      <w:pPr>
        <w:pStyle w:val="Normal"/>
        <w:numPr>
          <w:ilvl w:val="0"/>
          <w:numId w:val="2"/>
        </w:numPr>
      </w:pPr>
      <w:r>
        <w:t xml:space="preserve">El arquetipo es más útil cuando se usa para anticiparse a muchos problemas, para ver cómo los efectos acumulados del éxito continuado pueden causar problemas futuros.</w:t>
      </w:r>
    </w:p>
    <w:p>
      <w:pPr>
        <w:pStyle w:val="Normal"/>
        <w:numPr>
          <w:ilvl w:val="0"/>
          <w:numId w:val="2"/>
        </w:numPr>
      </w:pPr>
      <w:r>
        <w:t xml:space="preserve">Use el arquetipo para explorar preguntas como: «¿Qué tipo de presiones se están generando en la organización como resultado del crecimiento?»</w:t>
      </w:r>
    </w:p>
    <w:p>
      <w:pPr>
        <w:pStyle w:val="Normal"/>
        <w:numPr>
          <w:ilvl w:val="0"/>
          <w:numId w:val="2"/>
        </w:numPr>
      </w:pPr>
      <w:r>
        <w:t xml:space="preserve">Busque maneras de liberar la presión o eliminar los límites antes de que explote la unión en la organización.</w:t>
      </w:r>
    </w:p>
    <w:p>
      <w:pPr>
        <w:pStyle w:val="Heading3"/>
      </w:pPr>
      <w:r>
        <w:t xml:space="preserve">Aplicación del procedimiento</w:t>
      </w:r>
    </w:p>
    <w:p>
      <w:pPr>
        <w:pStyle w:val="Normal"/>
        <w:numPr>
          <w:ilvl w:val="0"/>
          <w:numId w:val="2"/>
        </w:numPr>
      </w:pPr>
      <w:r>
        <w:t xml:space="preserve">Identifique los factores de crecimiento.</w:t>
      </w:r>
    </w:p>
    <w:p>
      <w:pPr>
        <w:pStyle w:val="Normal"/>
        <w:numPr>
          <w:ilvl w:val="0"/>
          <w:numId w:val="2"/>
        </w:numPr>
      </w:pPr>
      <w:r>
        <w:t xml:space="preserve">Determine el tiempo de duplicación de esos procesos.</w:t>
      </w:r>
    </w:p>
    <w:p>
      <w:pPr>
        <w:pStyle w:val="Normal"/>
        <w:numPr>
          <w:ilvl w:val="0"/>
          <w:numId w:val="2"/>
        </w:numPr>
      </w:pPr>
      <w:r>
        <w:t xml:space="preserve">Identifique límites potenciales y ciclo(s) de balance: capacidad física, sistemas de información, personal, experiencia administrativa, actitudes/modelos mentales.</w:t>
      </w:r>
    </w:p>
    <w:p>
      <w:pPr>
        <w:pStyle w:val="Normal"/>
        <w:numPr>
          <w:ilvl w:val="0"/>
          <w:numId w:val="2"/>
        </w:numPr>
      </w:pPr>
      <w:r>
        <w:t xml:space="preserve">Determine el cambio necesario para enfrentar efectivamente el (los) límite(s) identificado(s).</w:t>
      </w:r>
    </w:p>
    <w:p>
      <w:pPr>
        <w:pStyle w:val="Normal"/>
        <w:numPr>
          <w:ilvl w:val="0"/>
          <w:numId w:val="2"/>
        </w:numPr>
      </w:pPr>
      <w:r>
        <w:t xml:space="preserve">Establezca el tiempo necesario para el cambio. ¿Existe discrepancia entre el tiempo de duplicación y el tiempo necesario para hacer los cambios que soporten el crecimiento?</w:t>
      </w:r>
    </w:p>
    <w:p>
      <w:pPr>
        <w:pStyle w:val="Normal"/>
        <w:numPr>
          <w:ilvl w:val="0"/>
          <w:numId w:val="2"/>
        </w:numPr>
      </w:pPr>
      <w:r>
        <w:t xml:space="preserve">Balancee el crecimiento. ¿Qué estrategias se pueden usar para balancear el factor de crecimiento con el horizonte de tiempo de las inversiones que deben hacerse para sostenerlo?</w:t>
      </w:r>
    </w:p>
    <w:p>
      <w:pPr>
        <w:pStyle w:val="Normal"/>
        <w:numPr>
          <w:ilvl w:val="0"/>
          <w:numId w:val="2"/>
        </w:numPr>
      </w:pPr>
      <w:r>
        <w:t xml:space="preserve">Evalúe nuevamente la estrategia de crecimiento. Desafíe continuamente los supuestos en el contexto de toda la compañía.</w:t>
      </w:r>
    </w:p>
    <w:p>
      <w:pPr>
        <w:pStyle w:val="Fuente"/>
      </w:pPr>
      <w:r>
        <w:t xml:space="preserve">lectura L-17</w:t>
      </w:r>
    </w:p>
    <w:p>
      <w:pPr>
        <w:pStyle w:val="Heading3"/>
      </w:pPr>
      <w:r>
        <w:t xml:space="preserve">Desplazamiento de la carga</w:t>
      </w:r>
    </w:p>
    <w:p>
      <w:pPr>
        <w:pStyle w:val="Normal"/>
      </w:pPr>
      <w:r>
        <w:t xml:space="preserve">En un «Desplazamiento de la Carga», un problema se «resuelve» aplicando una solución sintomática (B1), que desvía la atención de las soluciones más fundamentales (B2; el texto de la fuente imprime R1 por error) (Toolbox, Septiembre 1990). En una estructura de «Adicción», el «Desplazamiento de la Carga» se degrada hacia un patrón adictivo en el que el efecto lateral se vuelve tan arraigado que sobrecarga al problema sintomático original (Toolbox, Abril 1992).</w:t>
      </w:r>
    </w:p>
    <w:p>
      <w:pPr>
        <w:keepNext/>
        <w:spacing w:after="40" w:before="150"/>
        <w:jc w:val="center"/>
      </w:pPr>
      <w:bookmarkStart w:name="b_figura_original_arquetipo_des_c5e74efe" w:id="3571"/>
      <w:bookmarkEnd w:id="3571"/>
      <w:r>
        <w:drawing>
          <wp:inline distT="0" distB="0" distL="0" distR="0">
            <wp:extent cx="5381625" cy="4410075"/>
            <wp:effectExtent t="0" r="0" b="0" l="0"/>
            <wp:docPr id="96" name="arquetipo-desplazamiento-carga" descr="lectura L-17. Estructura de la lectura, disposición editorial." title="Desplazamiento de la carg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79" cstate="none"/>
                    <a:srcRect/>
                    <a:stretch>
                      <a:fillRect/>
                    </a:stretch>
                  </pic:blipFill>
                  <pic:spPr bwMode="auto">
                    <a:xfrm>
                      <a:off x="0" y="0"/>
                      <a:ext cx="5381625" cy="4410075"/>
                    </a:xfrm>
                    <a:prstGeom prst="rect">
                      <a:avLst/>
                    </a:prstGeom>
                  </pic:spPr>
                </pic:pic>
              </a:graphicData>
            </a:graphic>
          </wp:inline>
        </w:drawing>
      </w:r>
    </w:p>
    <w:p>
      <w:pPr>
        <w:pStyle w:val="PieFigura"/>
        <w:keepNext/>
      </w:pPr>
      <w:bookmarkStart w:name="b_fig_4_1_3" w:id="3572"/>
      <w:r>
        <w:t xml:space="preserve">Figura 4.1.</w:t>
      </w:r>
      <w:fldSimple w:instr="SEQ Figura \n \* ARABIC">
        <w:r>
          <w:t xml:space="preserve">3</w:t>
        </w:r>
      </w:fldSimple>
      <w:r>
        <w:t xml:space="preserve"> · Desplazamiento de la carga</w:t>
      </w:r>
      <w:bookmarkEnd w:id="3572"/>
    </w:p>
    <w:p>
      <w:pPr>
        <w:pStyle w:val="LecturaFigura"/>
        <w:keepNext/>
      </w:pPr>
      <w:r>
        <w:rPr>
          <w:b/>
          <w:bCs/>
        </w:rPr>
        <w:t xml:space="preserve">Lectura del diagrama: </w:t>
      </w:r>
      <w:r>
        <w:t xml:space="preserve">1 ciclo de refuerzo y 2 de balance. La solución del síntoma lo alivia rápido (B1); la fundamental también, pero con demora (B2). El efecto lateral de la primera debilita la segunda, y por eso cada vez se depende más del parche (R1).</w:t>
      </w:r>
    </w:p>
    <w:p>
      <w:pPr>
        <w:pStyle w:val="Fuente"/>
      </w:pPr>
      <w:r>
        <w:t xml:space="preserve">lectura L-17. Estructura de la lectura, disposición editorial.</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Lectura de la estructura</w:t>
            </w:r>
          </w:p>
          <w:p>
            <w:pPr>
              <w:pStyle w:val="Recuadro"/>
            </w:pPr>
            <w:r>
              <w:t xml:space="preserve">Alivio inmediato y recaídas: el síntoma vuelve, el parche se usa cada vez más y la capacidad de resolver de fondo se atrofia.</w:t>
            </w:r>
          </w:p>
          <w:p>
            <w:pPr>
              <w:pStyle w:val="Recuadro"/>
            </w:pPr>
            <w:r>
              <w:t xml:space="preserve">Concéntrate en la solución fundamental. Si la solución sintomática es imperativa (a causa de las demoras de la solución fundamental), úsala para ganar tiempo mientras trabajas en la solución fundamental.</w:t>
            </w:r>
          </w:p>
        </w:tc>
      </w:tr>
    </w:tbl>
    <w:p>
      <w:pPr>
        <w:pStyle w:val="Normal"/>
      </w:pPr>
      <w:r>
        <w:t xml:space="preserve">Un tablero de circuitos innovador se vende a «clientes generales» que lo usan como simple sustituto, porque hay más y la venta es más rápida, en vez de a clientes especiales que diseñarían productos para aprovecharlo; con el tiempo la tecnología no gana una clientela leal.</w:t>
      </w:r>
    </w:p>
    <w:p>
      <w:pPr>
        <w:pStyle w:val="Normal"/>
        <w:numPr>
          <w:ilvl w:val="0"/>
          <w:numId w:val="2"/>
        </w:numPr>
      </w:pPr>
      <w:r>
        <w:t xml:space="preserve">Los síntomas de los problemas son generalmente más fáciles de reconocer que los otros elementos de la estructura.</w:t>
      </w:r>
    </w:p>
    <w:p>
      <w:pPr>
        <w:pStyle w:val="Normal"/>
        <w:numPr>
          <w:ilvl w:val="0"/>
          <w:numId w:val="2"/>
        </w:numPr>
      </w:pPr>
      <w:r>
        <w:t xml:space="preserve">Si el efecto lateral se ha convertido en el problema, puede que esté enfrentando una estructura de «Adicción».</w:t>
      </w:r>
    </w:p>
    <w:p>
      <w:pPr>
        <w:pStyle w:val="Normal"/>
        <w:numPr>
          <w:ilvl w:val="0"/>
          <w:numId w:val="2"/>
        </w:numPr>
      </w:pPr>
      <w:r>
        <w:t xml:space="preserve">El que la solución sea «sintomática» o «fundamental» a menudo depende de la propia perspectiva. Explore el problema desde diferentes perspectivas para llegar a un entendimiento más completo de lo que puede ser la solución fundamental.</w:t>
      </w:r>
    </w:p>
    <w:p>
      <w:pPr>
        <w:pStyle w:val="Heading3"/>
      </w:pPr>
      <w:r>
        <w:t xml:space="preserve">Aplicación del procedimiento</w:t>
      </w:r>
    </w:p>
    <w:p>
      <w:pPr>
        <w:pStyle w:val="Normal"/>
        <w:numPr>
          <w:ilvl w:val="0"/>
          <w:numId w:val="2"/>
        </w:numPr>
      </w:pPr>
      <w:r>
        <w:t xml:space="preserve">Identifique el (los) síntoma(s) original(es) del problema.</w:t>
      </w:r>
    </w:p>
    <w:p>
      <w:pPr>
        <w:pStyle w:val="Normal"/>
        <w:numPr>
          <w:ilvl w:val="0"/>
          <w:numId w:val="2"/>
        </w:numPr>
      </w:pPr>
      <w:r>
        <w:t xml:space="preserve">Busque todas las «soluciones rápidas» que aparentemente mantienen los problemas bajo control.</w:t>
      </w:r>
    </w:p>
    <w:p>
      <w:pPr>
        <w:pStyle w:val="Normal"/>
        <w:numPr>
          <w:ilvl w:val="0"/>
          <w:numId w:val="2"/>
        </w:numPr>
      </w:pPr>
      <w:r>
        <w:t xml:space="preserve">Identifique el impacto en otros. ¿Cuál es el impacto de esas «soluciones» en otros jugadores dentro de la compañía?</w:t>
      </w:r>
    </w:p>
    <w:p>
      <w:pPr>
        <w:pStyle w:val="Normal"/>
        <w:numPr>
          <w:ilvl w:val="0"/>
          <w:numId w:val="2"/>
        </w:numPr>
      </w:pPr>
      <w:r>
        <w:t xml:space="preserve">Identifique las soluciones fundamentales. Observe desde ambas perspectivas para encontrar una solución sistémica.</w:t>
      </w:r>
    </w:p>
    <w:p>
      <w:pPr>
        <w:pStyle w:val="Normal"/>
        <w:numPr>
          <w:ilvl w:val="0"/>
          <w:numId w:val="2"/>
        </w:numPr>
      </w:pPr>
      <w:r>
        <w:t xml:space="preserve">Busque efectos laterales de las soluciones rápidas que pueden estar erosionando la utilidad de la solución fundamental.</w:t>
      </w:r>
    </w:p>
    <w:p>
      <w:pPr>
        <w:pStyle w:val="Normal"/>
        <w:numPr>
          <w:ilvl w:val="0"/>
          <w:numId w:val="2"/>
        </w:numPr>
      </w:pPr>
      <w:r>
        <w:t xml:space="preserve">Encuentre relaciones con los ciclos fundamentales. Encuentre las ligas entre los efectos de interacción y la solución fundamental que pueden estar creando las diferencias.</w:t>
      </w:r>
    </w:p>
    <w:p>
      <w:pPr>
        <w:pStyle w:val="Normal"/>
        <w:numPr>
          <w:ilvl w:val="0"/>
          <w:numId w:val="2"/>
        </w:numPr>
      </w:pPr>
      <w:r>
        <w:t xml:space="preserve">Identifique acciones de alto apalancamiento desde ambas perspectivas.</w:t>
      </w:r>
    </w:p>
    <w:p>
      <w:pPr>
        <w:pStyle w:val="Fuente"/>
      </w:pPr>
      <w:r>
        <w:t xml:space="preserve">lectura L-17</w:t>
      </w:r>
    </w:p>
    <w:p>
      <w:pPr>
        <w:pStyle w:val="Heading3"/>
      </w:pPr>
      <w:r>
        <w:t xml:space="preserve">Desplazamiento de la carga hacia la intervención</w:t>
      </w:r>
    </w:p>
    <w:p>
      <w:pPr>
        <w:pStyle w:val="Normal"/>
      </w:pPr>
      <w:r>
        <w:t xml:space="preserve">Las estructuras de desplazamiento de la carga son tan comunes y perniciosas en caso de intervención externa que merecen una atención especial. La intervención procura aliviar síntomas de problemas obvios, y lo hace tan bien que los integrantes del sistema jamás aprenden a afrontar los problemas.</w:t>
      </w:r>
    </w:p>
    <w:p>
      <w:pPr>
        <w:keepNext/>
        <w:spacing w:after="40" w:before="150"/>
        <w:jc w:val="center"/>
      </w:pPr>
      <w:bookmarkStart w:name="b_figura_original_arquetipo_des_c87a86e0" w:id="3573"/>
      <w:bookmarkEnd w:id="3573"/>
      <w:r>
        <w:drawing>
          <wp:inline distT="0" distB="0" distL="0" distR="0">
            <wp:extent cx="5381625" cy="4067175"/>
            <wp:effectExtent t="0" r="0" b="0" l="0"/>
            <wp:docPr id="97" name="arquetipo-desplazamiento-intervencion" descr="lectura L-19 · pág. 3. Signos inferidos por el portal para reproducir los ciclos de la lectura." title="Desplazamiento de la carga hacia la intervenció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80" cstate="none"/>
                    <a:srcRect/>
                    <a:stretch>
                      <a:fillRect/>
                    </a:stretch>
                  </pic:blipFill>
                  <pic:spPr bwMode="auto">
                    <a:xfrm>
                      <a:off x="0" y="0"/>
                      <a:ext cx="5381625" cy="4067175"/>
                    </a:xfrm>
                    <a:prstGeom prst="rect">
                      <a:avLst/>
                    </a:prstGeom>
                  </pic:spPr>
                </pic:pic>
              </a:graphicData>
            </a:graphic>
          </wp:inline>
        </w:drawing>
      </w:r>
    </w:p>
    <w:p>
      <w:pPr>
        <w:pStyle w:val="PieFigura"/>
        <w:keepNext/>
      </w:pPr>
      <w:bookmarkStart w:name="b_fig_4_1_4" w:id="3574"/>
      <w:r>
        <w:t xml:space="preserve">Figura 4.1.</w:t>
      </w:r>
      <w:fldSimple w:instr="SEQ Figura \n \* ARABIC">
        <w:r>
          <w:t xml:space="preserve">4</w:t>
        </w:r>
      </w:fldSimple>
      <w:r>
        <w:t xml:space="preserve"> · Desplazamiento de la carga hacia la intervención</w:t>
      </w:r>
      <w:bookmarkEnd w:id="3574"/>
    </w:p>
    <w:p>
      <w:pPr>
        <w:pStyle w:val="LecturaFigura"/>
        <w:keepNext/>
      </w:pPr>
      <w:r>
        <w:rPr>
          <w:b/>
          <w:bCs/>
        </w:rPr>
        <w:t xml:space="preserve">Lectura del diagrama: </w:t>
      </w:r>
      <w:r>
        <w:t xml:space="preserve">1 ciclo de refuerzo y 2 de balance. La intervención externa alivia el síntoma (B1) y lo hace tan bien que las aptitudes de los actores internos se pierden; sin ellas, la solución interna (B2) deja de funcionar y se depende más de la intervención (R1).</w:t>
      </w:r>
    </w:p>
    <w:p>
      <w:pPr>
        <w:pStyle w:val="Fuente"/>
      </w:pPr>
      <w:r>
        <w:t xml:space="preserve">lectura L-19 · pág. 3. Signos inferidos por el portal para reproducir los ciclos de la lectura.</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Lectura de la estructura</w:t>
            </w:r>
          </w:p>
          <w:p>
            <w:pPr>
              <w:pStyle w:val="Recuadro"/>
            </w:pPr>
            <w:r>
              <w:t xml:space="preserve">Cada crisis se resuelve desde afuera y cada vez más rápido, mientras la capacidad propia para resolverla desaparece.</w:t>
            </w:r>
          </w:p>
          <w:p>
            <w:pPr>
              <w:pStyle w:val="Recuadro"/>
            </w:pPr>
            <w:r>
              <w:t xml:space="preserve">«Enseña a la gente a pescar, en vez de darle pescado». Concéntrate en afinar las aptitudes del «organismo huésped» para resolver sus propios problemas. Si se necesita ayuda externa, se debe limitar estrictamente a una intervención única (y todos deben saberlo de antemano) o ayudar a la gente a desarrollar su propia capacidad, recursos e infraestructura para que sea más capaz en el futuro.</w:t>
            </w:r>
          </w:p>
        </w:tc>
      </w:tr>
    </w:tbl>
    <w:p>
      <w:pPr>
        <w:pStyle w:val="Normal"/>
      </w:pPr>
      <w:r>
        <w:t xml:space="preserve">Una aseguradora con filiales locales independientes pidió a los gerentes centrales que reorganizaran sus tasaciones durante una crisis; la siguiente vez las oficinas locales volvieron a llamarlos «para mayor seguridad», y años después ya nadie en ellas sabía hacerlo.</w:t>
      </w:r>
    </w:p>
    <w:p>
      <w:pPr>
        <w:pStyle w:val="Fuente"/>
      </w:pPr>
      <w:r>
        <w:t xml:space="preserve">lectura L-19 · pág. 3</w:t>
      </w:r>
    </w:p>
    <w:p>
      <w:pPr>
        <w:pStyle w:val="Heading3"/>
      </w:pPr>
      <w:r>
        <w:t xml:space="preserve">Erosión de metas</w:t>
      </w:r>
    </w:p>
    <w:p>
      <w:pPr>
        <w:pStyle w:val="Normal"/>
      </w:pPr>
      <w:r>
        <w:t xml:space="preserve">En un arquetipo de «Erosión de Metas», la diferencia entre la meta y la realidad actual puede resolverse tomando acciones correctivas (B1) o bajando la meta (B2). La diferencia crítica es que bajar la meta cierra de forma instantánea la diferencia, mientras que usualmente las acciones correctivas toman tiempo (Toolbox, Octubre 1990).</w:t>
      </w:r>
    </w:p>
    <w:p>
      <w:pPr>
        <w:keepNext/>
        <w:spacing w:after="40" w:before="150"/>
        <w:jc w:val="center"/>
      </w:pPr>
      <w:bookmarkStart w:name="b_figura_original_arquetipo_ero_74ebfbc7" w:id="3575"/>
      <w:bookmarkEnd w:id="3575"/>
      <w:r>
        <w:drawing>
          <wp:inline distT="0" distB="0" distL="0" distR="0">
            <wp:extent cx="5381625" cy="3933825"/>
            <wp:effectExtent t="0" r="0" b="0" l="0"/>
            <wp:docPr id="98" name="arquetipo-erosion-metas" descr="lectura L-17. Estructura de la lectura, disposición editorial." title="Erosión de met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81" cstate="none"/>
                    <a:srcRect/>
                    <a:stretch>
                      <a:fillRect/>
                    </a:stretch>
                  </pic:blipFill>
                  <pic:spPr bwMode="auto">
                    <a:xfrm>
                      <a:off x="0" y="0"/>
                      <a:ext cx="5381625" cy="3933825"/>
                    </a:xfrm>
                    <a:prstGeom prst="rect">
                      <a:avLst/>
                    </a:prstGeom>
                  </pic:spPr>
                </pic:pic>
              </a:graphicData>
            </a:graphic>
          </wp:inline>
        </w:drawing>
      </w:r>
    </w:p>
    <w:p>
      <w:pPr>
        <w:pStyle w:val="PieFigura"/>
        <w:keepNext/>
      </w:pPr>
      <w:bookmarkStart w:name="b_fig_4_1_5" w:id="3576"/>
      <w:r>
        <w:t xml:space="preserve">Figura 4.1.</w:t>
      </w:r>
      <w:fldSimple w:instr="SEQ Figura \n \* ARABIC">
        <w:r>
          <w:t xml:space="preserve">5</w:t>
        </w:r>
      </w:fldSimple>
      <w:r>
        <w:t xml:space="preserve"> · Erosión de metas</w:t>
      </w:r>
      <w:bookmarkEnd w:id="3576"/>
    </w:p>
    <w:p>
      <w:pPr>
        <w:pStyle w:val="LecturaFigura"/>
        <w:keepNext/>
      </w:pPr>
      <w:r>
        <w:rPr>
          <w:b/>
          <w:bCs/>
        </w:rPr>
        <w:t xml:space="preserve">Lectura del diagrama: </w:t>
      </w:r>
      <w:r>
        <w:t xml:space="preserve">0 ciclos de refuerzo y 2 de balance. La diferencia entre la meta y lo actual se cierra de dos maneras: con acción correctiva, que tarda (B1), o bajando la meta, que es inmediato (B2).</w:t>
      </w:r>
    </w:p>
    <w:p>
      <w:pPr>
        <w:pStyle w:val="Fuente"/>
      </w:pPr>
      <w:r>
        <w:t xml:space="preserve">lectura L-17. Estructura de la lectura, disposición editorial.</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Lectura de la estructura</w:t>
            </w:r>
          </w:p>
          <w:p>
            <w:pPr>
              <w:pStyle w:val="Recuadro"/>
            </w:pPr>
            <w:r>
              <w:t xml:space="preserve">La meta baja escalón por escalón y el desempeño la sigue: los indicadores caen sin que nadie lo decida.</w:t>
            </w:r>
          </w:p>
          <w:p>
            <w:pPr>
              <w:pStyle w:val="Recuadro"/>
            </w:pPr>
            <w:r>
              <w:t xml:space="preserve">Sostén la visión.</w:t>
            </w:r>
          </w:p>
        </w:tc>
      </w:tr>
    </w:tbl>
    <w:p>
      <w:pPr>
        <w:pStyle w:val="Normal"/>
      </w:pPr>
      <w:r>
        <w:t xml:space="preserve">Una fábrica de alta tecnología presumía cumplir el 90 % de los tiempos de entrega prometidos, pero cada vez que se atrasaba alargaba el tiempo prometido, y los clientes se iban a la competencia.</w:t>
      </w:r>
    </w:p>
    <w:p>
      <w:pPr>
        <w:pStyle w:val="Normal"/>
        <w:numPr>
          <w:ilvl w:val="0"/>
          <w:numId w:val="2"/>
        </w:numPr>
      </w:pPr>
      <w:r>
        <w:t xml:space="preserve">La caída de indicadores de desempeño es un indicio de que está actuando un arquetipo de «Erosión de Metas» y de que no se están tomando acciones correctivas reales.</w:t>
      </w:r>
    </w:p>
    <w:p>
      <w:pPr>
        <w:pStyle w:val="Normal"/>
        <w:numPr>
          <w:ilvl w:val="0"/>
          <w:numId w:val="2"/>
        </w:numPr>
      </w:pPr>
      <w:r>
        <w:t xml:space="preserve">Un aspecto crítico para evitar un escenario potencial de «Erosión de Metas» es determinar cómo se fijan las metas.</w:t>
      </w:r>
    </w:p>
    <w:p>
      <w:pPr>
        <w:pStyle w:val="Normal"/>
        <w:numPr>
          <w:ilvl w:val="0"/>
          <w:numId w:val="2"/>
        </w:numPr>
      </w:pPr>
      <w:r>
        <w:t xml:space="preserve">Las metas fijadas fuera del sistema serán menos susceptibles a presiones de erosión de metas.</w:t>
      </w:r>
    </w:p>
    <w:p>
      <w:pPr>
        <w:pStyle w:val="Heading3"/>
      </w:pPr>
      <w:r>
        <w:t xml:space="preserve">Aplicación del procedimiento</w:t>
      </w:r>
    </w:p>
    <w:p>
      <w:pPr>
        <w:pStyle w:val="Normal"/>
        <w:numPr>
          <w:ilvl w:val="0"/>
          <w:numId w:val="2"/>
        </w:numPr>
      </w:pPr>
      <w:r>
        <w:t xml:space="preserve">Identifique la medición del desempeño que se erosiona.</w:t>
      </w:r>
    </w:p>
    <w:p>
      <w:pPr>
        <w:pStyle w:val="Normal"/>
        <w:numPr>
          <w:ilvl w:val="0"/>
          <w:numId w:val="2"/>
        </w:numPr>
      </w:pPr>
      <w:r>
        <w:t xml:space="preserve">Busque otras metas que generen conflicto con la meta establecida.</w:t>
      </w:r>
    </w:p>
    <w:p>
      <w:pPr>
        <w:pStyle w:val="Normal"/>
        <w:numPr>
          <w:ilvl w:val="0"/>
          <w:numId w:val="2"/>
        </w:numPr>
      </w:pPr>
      <w:r>
        <w:t xml:space="preserve">Identifique los procedimientos normales para cerrar la diferencia. ¿Están contribuyendo inadvertidamente al desliz de la meta?</w:t>
      </w:r>
    </w:p>
    <w:p>
      <w:pPr>
        <w:pStyle w:val="Normal"/>
        <w:numPr>
          <w:ilvl w:val="0"/>
          <w:numId w:val="2"/>
        </w:numPr>
      </w:pPr>
      <w:r>
        <w:t xml:space="preserve">Examine la historia de la meta. ¿Se han reducido las metas a través del tiempo?</w:t>
      </w:r>
    </w:p>
    <w:p>
      <w:pPr>
        <w:pStyle w:val="Normal"/>
        <w:numPr>
          <w:ilvl w:val="0"/>
          <w:numId w:val="2"/>
        </w:numPr>
      </w:pPr>
      <w:r>
        <w:t xml:space="preserve">Ancle la meta con una referencia externa.</w:t>
      </w:r>
    </w:p>
    <w:p>
      <w:pPr>
        <w:pStyle w:val="Normal"/>
        <w:numPr>
          <w:ilvl w:val="0"/>
          <w:numId w:val="2"/>
        </w:numPr>
      </w:pPr>
      <w:r>
        <w:t xml:space="preserve">Aclare una visión impulsora que involucre a todos.</w:t>
      </w:r>
    </w:p>
    <w:p>
      <w:pPr>
        <w:pStyle w:val="Normal"/>
        <w:numPr>
          <w:ilvl w:val="0"/>
          <w:numId w:val="2"/>
        </w:numPr>
      </w:pPr>
      <w:r>
        <w:t xml:space="preserve">Haga un plan de transición claro. Explore lo que implica alcanzar la visión y establezca un tiempo realista.</w:t>
      </w:r>
    </w:p>
    <w:p>
      <w:pPr>
        <w:pStyle w:val="Fuente"/>
      </w:pPr>
      <w:r>
        <w:t xml:space="preserve">lectura L-17</w:t>
      </w:r>
    </w:p>
    <w:p>
      <w:pPr>
        <w:pStyle w:val="Heading3"/>
      </w:pPr>
      <w:r>
        <w:t xml:space="preserve">Escalada</w:t>
      </w:r>
    </w:p>
    <w:p>
      <w:pPr>
        <w:pStyle w:val="Normal"/>
      </w:pPr>
      <w:r>
        <w:t xml:space="preserve">En el arquetipo de «Escalada», una parte (A) realiza acciones que la otra percibe como amenaza. La otra parte (B), responde de una manera similar, incrementando la amenaza sobre A y generando aún más acciones de amenaza por parte de A. El ciclo de refuerzo se puede advertir siguiendo la figura de 8 producida por los dos ciclos de balance (Toolbox, Noviembre 1991).</w:t>
      </w:r>
    </w:p>
    <w:p>
      <w:pPr>
        <w:keepNext/>
        <w:spacing w:after="40" w:before="150"/>
        <w:jc w:val="center"/>
      </w:pPr>
      <w:bookmarkStart w:name="b_figura_original_arquetipo_escalada" w:id="3577"/>
      <w:bookmarkEnd w:id="3577"/>
      <w:r>
        <w:drawing>
          <wp:inline distT="0" distB="0" distL="0" distR="0">
            <wp:extent cx="5381625" cy="3276600"/>
            <wp:effectExtent t="0" r="0" b="0" l="0"/>
            <wp:docPr id="99" name="arquetipo-escalada" descr="lectura L-17. Estructura de la lectura, disposición editorial." title="Escala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82" cstate="none"/>
                    <a:srcRect/>
                    <a:stretch>
                      <a:fillRect/>
                    </a:stretch>
                  </pic:blipFill>
                  <pic:spPr bwMode="auto">
                    <a:xfrm>
                      <a:off x="0" y="0"/>
                      <a:ext cx="5381625" cy="3276600"/>
                    </a:xfrm>
                    <a:prstGeom prst="rect">
                      <a:avLst/>
                    </a:prstGeom>
                  </pic:spPr>
                </pic:pic>
              </a:graphicData>
            </a:graphic>
          </wp:inline>
        </w:drawing>
      </w:r>
    </w:p>
    <w:p>
      <w:pPr>
        <w:pStyle w:val="PieFigura"/>
        <w:keepNext/>
      </w:pPr>
      <w:bookmarkStart w:name="b_fig_4_1_6" w:id="3578"/>
      <w:r>
        <w:t xml:space="preserve">Figura 4.1.</w:t>
      </w:r>
      <w:fldSimple w:instr="SEQ Figura \n \* ARABIC">
        <w:r>
          <w:t xml:space="preserve">6</w:t>
        </w:r>
      </w:fldSimple>
      <w:r>
        <w:t xml:space="preserve"> · Escalada</w:t>
      </w:r>
      <w:bookmarkEnd w:id="3578"/>
    </w:p>
    <w:p>
      <w:pPr>
        <w:pStyle w:val="LecturaFigura"/>
        <w:keepNext/>
      </w:pPr>
      <w:r>
        <w:rPr>
          <w:b/>
          <w:bCs/>
        </w:rPr>
        <w:t xml:space="preserve">Lectura del diagrama: </w:t>
      </w:r>
      <w:r>
        <w:t xml:space="preserve">0 ciclos de refuerzo y 2 de balance. Cada parte, sola, busca equilibrio: si se siente amenazada, actúa para recuperar su ventaja (B1 y B2). Encadenadas por el resultado relativo, recorren juntas una figura de 8 que se refuerza.</w:t>
      </w:r>
    </w:p>
    <w:p>
      <w:pPr>
        <w:pStyle w:val="Fuente"/>
      </w:pPr>
      <w:r>
        <w:t xml:space="preserve">lectura L-17. Estructura de la lectura, disposición editorial.</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Lectura de la estructura</w:t>
            </w:r>
          </w:p>
          <w:p>
            <w:pPr>
              <w:pStyle w:val="Recuadro"/>
            </w:pPr>
            <w:r>
              <w:t xml:space="preserve">Una espiral que crece en ambas partes a la vez: cada respuesta «defensiva» provoca la siguiente.</w:t>
            </w:r>
          </w:p>
          <w:p>
            <w:pPr>
              <w:pStyle w:val="Recuadro"/>
            </w:pPr>
            <w:r>
              <w:t xml:space="preserve">Busca el modo de que ambas partes «ganen» o alcancen sus objetivos. En muchos casos, una parte puede revertir unilateralmente la espiral viciosa al realizar «agresivos» actos pacíficos que hagan sentir al otro menos amenazado.</w:t>
            </w:r>
          </w:p>
        </w:tc>
      </w:tr>
    </w:tbl>
    <w:p>
      <w:pPr>
        <w:pStyle w:val="Normal"/>
      </w:pPr>
      <w:r>
        <w:t xml:space="preserve">Dos fabricantes de un cochecito para tres bebés: uno rebaja el precio un 20 % para recuperar mercado, el otro lo imita, y años después ninguno de los dos logra mantenerse a flote.</w:t>
      </w:r>
    </w:p>
    <w:p>
      <w:pPr>
        <w:pStyle w:val="Normal"/>
        <w:numPr>
          <w:ilvl w:val="0"/>
          <w:numId w:val="2"/>
        </w:numPr>
      </w:pPr>
      <w:r>
        <w:t xml:space="preserve">Para romper una estructura de «Escalada», formule las siguientes preguntas:</w:t>
      </w:r>
    </w:p>
    <w:p>
      <w:pPr>
        <w:pStyle w:val="Normal"/>
        <w:numPr>
          <w:ilvl w:val="0"/>
          <w:numId w:val="2"/>
        </w:numPr>
      </w:pPr>
      <w:r>
        <w:t xml:space="preserve">¿Cuál es la medición relativa que pone a una parte en contra de la otra? y, ¿puede cambiarse?</w:t>
      </w:r>
    </w:p>
    <w:p>
      <w:pPr>
        <w:pStyle w:val="Normal"/>
        <w:numPr>
          <w:ilvl w:val="0"/>
          <w:numId w:val="2"/>
        </w:numPr>
      </w:pPr>
      <w:r>
        <w:t xml:space="preserve">¿Cuáles son las principales demoras en el sistema que pueden distorsionar la verdadera naturaleza de la amenaza?</w:t>
      </w:r>
    </w:p>
    <w:p>
      <w:pPr>
        <w:pStyle w:val="Normal"/>
        <w:numPr>
          <w:ilvl w:val="0"/>
          <w:numId w:val="2"/>
        </w:numPr>
      </w:pPr>
      <w:r>
        <w:t xml:space="preserve">¿Cuáles son los supuestos profundamente arraigados detrás de las acciones de respuesta a la amenaza?</w:t>
      </w:r>
    </w:p>
    <w:p>
      <w:pPr>
        <w:pStyle w:val="Heading3"/>
      </w:pPr>
      <w:r>
        <w:t xml:space="preserve">Aplicación del procedimiento</w:t>
      </w:r>
    </w:p>
    <w:p>
      <w:pPr>
        <w:pStyle w:val="Normal"/>
        <w:numPr>
          <w:ilvl w:val="0"/>
          <w:numId w:val="2"/>
        </w:numPr>
      </w:pPr>
      <w:r>
        <w:t xml:space="preserve">Identifique la variable competitiva. ¿La causa de las diferencias entre los competidores es una sola variable?</w:t>
      </w:r>
    </w:p>
    <w:p>
      <w:pPr>
        <w:pStyle w:val="Normal"/>
        <w:numPr>
          <w:ilvl w:val="0"/>
          <w:numId w:val="2"/>
        </w:numPr>
      </w:pPr>
      <w:r>
        <w:t xml:space="preserve">Nombre a los actores claves atrapados en la dinámica.</w:t>
      </w:r>
    </w:p>
    <w:p>
      <w:pPr>
        <w:pStyle w:val="Normal"/>
        <w:numPr>
          <w:ilvl w:val="0"/>
          <w:numId w:val="2"/>
        </w:numPr>
      </w:pPr>
      <w:r>
        <w:t xml:space="preserve">Busque lo que está siendo amenazado. Las acciones de su compañía ¿están atacando una amenaza real o sólo preservando valores centrales que pueden no ser relevantes?</w:t>
      </w:r>
    </w:p>
    <w:p>
      <w:pPr>
        <w:pStyle w:val="Normal"/>
        <w:numPr>
          <w:ilvl w:val="0"/>
          <w:numId w:val="2"/>
        </w:numPr>
      </w:pPr>
      <w:r>
        <w:t xml:space="preserve">Evalúe nuevamente su medición competitiva. ¿Puede cambiarse la variable que es el fundamento del juego (precio, calidad)?</w:t>
      </w:r>
    </w:p>
    <w:p>
      <w:pPr>
        <w:pStyle w:val="Normal"/>
        <w:numPr>
          <w:ilvl w:val="0"/>
          <w:numId w:val="2"/>
        </w:numPr>
      </w:pPr>
      <w:r>
        <w:t xml:space="preserve">Cuantifique demoras significativas que puedan estar distorsionando la naturaleza de la amenaza.</w:t>
      </w:r>
    </w:p>
    <w:p>
      <w:pPr>
        <w:pStyle w:val="Normal"/>
        <w:numPr>
          <w:ilvl w:val="0"/>
          <w:numId w:val="2"/>
        </w:numPr>
      </w:pPr>
      <w:r>
        <w:t xml:space="preserve">Identifique una meta mayor que englobe las metas de ambas partes.</w:t>
      </w:r>
    </w:p>
    <w:p>
      <w:pPr>
        <w:pStyle w:val="Normal"/>
        <w:numPr>
          <w:ilvl w:val="0"/>
          <w:numId w:val="2"/>
        </w:numPr>
      </w:pPr>
      <w:r>
        <w:t xml:space="preserve">Evite futuras trampas de Escalada creando un sistema de competencia en colaboración.</w:t>
      </w:r>
    </w:p>
    <w:p>
      <w:pPr>
        <w:pStyle w:val="Fuente"/>
      </w:pPr>
      <w:r>
        <w:t xml:space="preserve">lectura L-17</w:t>
      </w:r>
    </w:p>
    <w:p>
      <w:pPr>
        <w:pStyle w:val="Heading3"/>
      </w:pPr>
      <w:r>
        <w:t xml:space="preserve">Éxito para quien tiene éxito</w:t>
      </w:r>
    </w:p>
    <w:p>
      <w:pPr>
        <w:pStyle w:val="Normal"/>
      </w:pPr>
      <w:r>
        <w:t xml:space="preserve">En un arquetipo de «Éxito Para Quien Tiene Éxito», si una persona o grupo (A) está recibiendo más recursos, es muy probable que tenga más éxito que B (asumiendo que son igualmente capaces). El éxito inicial justifica asignar más recursos a A que a B (R1). Como B recibe menos recursos, su éxito disminuye, justificando la asignación de más recursos para A (R2) (Toolbox, Marzo 1992).</w:t>
      </w:r>
    </w:p>
    <w:p>
      <w:pPr>
        <w:keepNext/>
        <w:spacing w:after="40" w:before="150"/>
        <w:jc w:val="center"/>
      </w:pPr>
      <w:bookmarkStart w:name="b_figura_original_arquetipo_exi_35a27d29" w:id="3579"/>
      <w:bookmarkEnd w:id="3579"/>
      <w:r>
        <w:drawing>
          <wp:inline distT="0" distB="0" distL="0" distR="0">
            <wp:extent cx="5381625" cy="3276600"/>
            <wp:effectExtent t="0" r="0" b="0" l="0"/>
            <wp:docPr id="100" name="arquetipo-exito-exitoso" descr="lectura L-17. Estructura de la lectura, disposición editorial." title="Éxito para quien tiene éxi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83" cstate="none"/>
                    <a:srcRect/>
                    <a:stretch>
                      <a:fillRect/>
                    </a:stretch>
                  </pic:blipFill>
                  <pic:spPr bwMode="auto">
                    <a:xfrm>
                      <a:off x="0" y="0"/>
                      <a:ext cx="5381625" cy="3276600"/>
                    </a:xfrm>
                    <a:prstGeom prst="rect">
                      <a:avLst/>
                    </a:prstGeom>
                  </pic:spPr>
                </pic:pic>
              </a:graphicData>
            </a:graphic>
          </wp:inline>
        </w:drawing>
      </w:r>
    </w:p>
    <w:p>
      <w:pPr>
        <w:pStyle w:val="PieFigura"/>
        <w:keepNext/>
      </w:pPr>
      <w:bookmarkStart w:name="b_fig_4_1_7" w:id="3580"/>
      <w:r>
        <w:t xml:space="preserve">Figura 4.1.</w:t>
      </w:r>
      <w:fldSimple w:instr="SEQ Figura \n \* ARABIC">
        <w:r>
          <w:t xml:space="preserve">7</w:t>
        </w:r>
      </w:fldSimple>
      <w:r>
        <w:t xml:space="preserve"> · Éxito para quien tiene éxito</w:t>
      </w:r>
      <w:bookmarkEnd w:id="3580"/>
    </w:p>
    <w:p>
      <w:pPr>
        <w:pStyle w:val="LecturaFigura"/>
        <w:keepNext/>
      </w:pPr>
      <w:r>
        <w:rPr>
          <w:b/>
          <w:bCs/>
        </w:rPr>
        <w:t xml:space="preserve">Lectura del diagrama: </w:t>
      </w:r>
      <w:r>
        <w:t xml:space="preserve">2 ciclos de refuerzo y 0 de balance. Dos ciclos de refuerzo que comparten la asignación: lo que A gana en recursos y éxito (R1) es lo que B pierde (R2), aunque los dos fueran igual de capaces.</w:t>
      </w:r>
    </w:p>
    <w:p>
      <w:pPr>
        <w:pStyle w:val="Fuente"/>
      </w:pPr>
      <w:r>
        <w:t xml:space="preserve">lectura L-17. Estructura de la lectura, disposición editorial.</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Lectura de la estructura</w:t>
            </w:r>
          </w:p>
          <w:p>
            <w:pPr>
              <w:pStyle w:val="Recuadro"/>
            </w:pPr>
            <w:r>
              <w:t xml:space="preserve">Divergencia: una pequeña ventaja inicial se convierte en éxito creciente para uno y abandono para el otro.</w:t>
            </w:r>
          </w:p>
          <w:p>
            <w:pPr>
              <w:pStyle w:val="Recuadro"/>
            </w:pPr>
            <w:r>
              <w:t xml:space="preserve">Busca la meta abarcadora de logro equilibrado de ambas opciones. En algunos casos, rompe o debilita el eslabonamiento entre ambas, para que no compitan por el mismo recurso limitado (esto es deseable en casos donde ese eslabonamiento pasa inadvertido y crea una insalubre competencia por los recursos).</w:t>
            </w:r>
          </w:p>
        </w:tc>
      </w:tr>
    </w:tbl>
    <w:p>
      <w:pPr>
        <w:pStyle w:val="Normal"/>
      </w:pPr>
      <w:r>
        <w:t xml:space="preserve">Un gerente con dos protegidos igual de capaces empieza a favorecer a uno mientras el otro falta una semana por enfermedad; el favorecido prospera, el otro, inseguro, rinde menos y termina yéndose.</w:t>
      </w:r>
    </w:p>
    <w:p>
      <w:pPr>
        <w:pStyle w:val="Normal"/>
        <w:numPr>
          <w:ilvl w:val="0"/>
          <w:numId w:val="2"/>
        </w:numPr>
      </w:pPr>
      <w:r>
        <w:t xml:space="preserve">Busque razones por las que el sistema fue diseñado para crear sólo un «ganador».</w:t>
      </w:r>
    </w:p>
    <w:p>
      <w:pPr>
        <w:pStyle w:val="Normal"/>
        <w:numPr>
          <w:ilvl w:val="0"/>
          <w:numId w:val="2"/>
        </w:numPr>
      </w:pPr>
      <w:r>
        <w:t xml:space="preserve">Corte el arquetipo a la mitad, enfocando los esfuerzos en un grupo, en lugar de crear una competencia en la que «el ganador toma todo».</w:t>
      </w:r>
    </w:p>
    <w:p>
      <w:pPr>
        <w:pStyle w:val="Normal"/>
        <w:numPr>
          <w:ilvl w:val="0"/>
          <w:numId w:val="2"/>
        </w:numPr>
      </w:pPr>
      <w:r>
        <w:t xml:space="preserve">Encuentre maneras de hacer que los equipos sean colaboradores, más que competidores.</w:t>
      </w:r>
    </w:p>
    <w:p>
      <w:pPr>
        <w:pStyle w:val="Normal"/>
        <w:numPr>
          <w:ilvl w:val="0"/>
          <w:numId w:val="2"/>
        </w:numPr>
      </w:pPr>
      <w:r>
        <w:t xml:space="preserve">Identifique metas y objetivos que definan el éxito a un nivel superior que el individual de los jugadores A y B.</w:t>
      </w:r>
    </w:p>
    <w:p>
      <w:pPr>
        <w:pStyle w:val="Heading3"/>
      </w:pPr>
      <w:r>
        <w:t xml:space="preserve">Aplicación del procedimiento</w:t>
      </w:r>
    </w:p>
    <w:p>
      <w:pPr>
        <w:pStyle w:val="Normal"/>
        <w:numPr>
          <w:ilvl w:val="0"/>
          <w:numId w:val="2"/>
        </w:numPr>
      </w:pPr>
      <w:r>
        <w:t xml:space="preserve">Investigue los orígenes históricos de las competencias.</w:t>
      </w:r>
    </w:p>
    <w:p>
      <w:pPr>
        <w:pStyle w:val="Normal"/>
        <w:numPr>
          <w:ilvl w:val="0"/>
          <w:numId w:val="2"/>
        </w:numPr>
      </w:pPr>
      <w:r>
        <w:t xml:space="preserve">Identifique trampas de competencia potenciales.</w:t>
      </w:r>
    </w:p>
    <w:p>
      <w:pPr>
        <w:pStyle w:val="Normal"/>
        <w:numPr>
          <w:ilvl w:val="0"/>
          <w:numId w:val="2"/>
        </w:numPr>
      </w:pPr>
      <w:r>
        <w:t xml:space="preserve">Evalúe los sistemas de medición actuales: ¿están diseñados para favorecer a los sistemas actuales en lugar de otras alternativas?</w:t>
      </w:r>
    </w:p>
    <w:p>
      <w:pPr>
        <w:pStyle w:val="Normal"/>
        <w:numPr>
          <w:ilvl w:val="0"/>
          <w:numId w:val="2"/>
        </w:numPr>
      </w:pPr>
      <w:r>
        <w:t xml:space="preserve">Verifique la percepción interna del éxito en el mercado. ¿Cuáles son los supuestos que operan respecto al éxito en el mercado?</w:t>
      </w:r>
    </w:p>
    <w:p>
      <w:pPr>
        <w:pStyle w:val="Normal"/>
        <w:numPr>
          <w:ilvl w:val="0"/>
          <w:numId w:val="2"/>
        </w:numPr>
      </w:pPr>
      <w:r>
        <w:t xml:space="preserve">Obtenga percepciones externas acerca del éxito en el mercado. Pregunte a los de afuera estrategias alternativas.</w:t>
      </w:r>
    </w:p>
    <w:p>
      <w:pPr>
        <w:pStyle w:val="Normal"/>
        <w:numPr>
          <w:ilvl w:val="0"/>
          <w:numId w:val="2"/>
        </w:numPr>
      </w:pPr>
      <w:r>
        <w:t xml:space="preserve">Establezca los efectos sobre el espíritu innovador. ¿El sistema actual está excluyendo el espíritu de experimentación que lo puede llevar a nuevas alternativas?</w:t>
      </w:r>
    </w:p>
    <w:p>
      <w:pPr>
        <w:pStyle w:val="Normal"/>
        <w:numPr>
          <w:ilvl w:val="0"/>
          <w:numId w:val="2"/>
        </w:numPr>
      </w:pPr>
      <w:r>
        <w:t xml:space="preserve">Revise continuamente las lagunas y áreas de mejora.</w:t>
      </w:r>
    </w:p>
    <w:p>
      <w:pPr>
        <w:pStyle w:val="Fuente"/>
      </w:pPr>
      <w:r>
        <w:t xml:space="preserve">lectura L-17</w:t>
      </w:r>
    </w:p>
    <w:p>
      <w:pPr>
        <w:pStyle w:val="Heading3"/>
      </w:pPr>
      <w:r>
        <w:t xml:space="preserve">Tragedia de los comunes</w:t>
      </w:r>
    </w:p>
    <w:p>
      <w:pPr>
        <w:pStyle w:val="Normal"/>
      </w:pPr>
      <w:r>
        <w:t xml:space="preserve">En una estructura de «Tragedia de los Comunes», cada persona busca acciones que son benéficas individualmente (R1 y R2). Sin embargo, si la cantidad de actividad crece más allá de lo que el sistema soporta, los «comunes» se sobrecargan y todos experimentan beneficios decrecientes (B3 y B4) (Toolbox, Agosto 1991).</w:t>
      </w:r>
    </w:p>
    <w:p>
      <w:pPr>
        <w:keepNext/>
        <w:spacing w:after="40" w:before="150"/>
        <w:jc w:val="center"/>
      </w:pPr>
      <w:bookmarkStart w:name="b_figura_original_arquetipo_tra_5fbfe470" w:id="3581"/>
      <w:bookmarkEnd w:id="3581"/>
      <w:r>
        <w:drawing>
          <wp:inline distT="0" distB="0" distL="0" distR="0">
            <wp:extent cx="5381625" cy="3962400"/>
            <wp:effectExtent t="0" r="0" b="0" l="0"/>
            <wp:docPr id="101" name="arquetipo-tragedia-comunes" descr="lectura L-17. Estructura de la lectura, disposición editorial." title="Tragedia de los comu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84" cstate="none"/>
                    <a:srcRect/>
                    <a:stretch>
                      <a:fillRect/>
                    </a:stretch>
                  </pic:blipFill>
                  <pic:spPr bwMode="auto">
                    <a:xfrm>
                      <a:off x="0" y="0"/>
                      <a:ext cx="5381625" cy="3962400"/>
                    </a:xfrm>
                    <a:prstGeom prst="rect">
                      <a:avLst/>
                    </a:prstGeom>
                  </pic:spPr>
                </pic:pic>
              </a:graphicData>
            </a:graphic>
          </wp:inline>
        </w:drawing>
      </w:r>
    </w:p>
    <w:p>
      <w:pPr>
        <w:pStyle w:val="PieFigura"/>
        <w:keepNext/>
      </w:pPr>
      <w:bookmarkStart w:name="b_fig_4_1_8" w:id="3582"/>
      <w:r>
        <w:t xml:space="preserve">Figura 4.1.</w:t>
      </w:r>
      <w:fldSimple w:instr="SEQ Figura \n \* ARABIC">
        <w:r>
          <w:t xml:space="preserve">8</w:t>
        </w:r>
      </w:fldSimple>
      <w:r>
        <w:t xml:space="preserve"> · Tragedia de los comunes</w:t>
      </w:r>
      <w:bookmarkEnd w:id="3582"/>
    </w:p>
    <w:p>
      <w:pPr>
        <w:pStyle w:val="LecturaFigura"/>
        <w:keepNext/>
      </w:pPr>
      <w:r>
        <w:rPr>
          <w:b/>
          <w:bCs/>
        </w:rPr>
        <w:t xml:space="preserve">Lectura del diagrama: </w:t>
      </w:r>
      <w:r>
        <w:t xml:space="preserve">2 ciclos de refuerzo y 2 de balance. Cada actor gana más cuanto más actúa (R1 y R2). La actividad total, con demora, reduce la ganancia por actividad individual que permite el recurso límite, y así la ganancia de todos cae (B3 y B4).</w:t>
      </w:r>
    </w:p>
    <w:p>
      <w:pPr>
        <w:pStyle w:val="Fuente"/>
      </w:pPr>
      <w:r>
        <w:t xml:space="preserve">lectura L-17. Estructura de la lectura, disposición editorial.</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Lectura de la estructura</w:t>
            </w:r>
          </w:p>
          <w:p>
            <w:pPr>
              <w:pStyle w:val="Recuadro"/>
            </w:pPr>
            <w:r>
              <w:t xml:space="preserve">Ganancias que crecen para todos y luego caen para todos cuando el recurso compartido se agota.</w:t>
            </w:r>
          </w:p>
          <w:p>
            <w:pPr>
              <w:pStyle w:val="Recuadro"/>
            </w:pPr>
            <w:r>
              <w:t xml:space="preserve">Administra el «terreno común» educando a todos y creando formas de autorregulación y presiones de pares, o mediante un mecanismo de regulación oficial, idealmente diseñado por los participantes.</w:t>
            </w:r>
          </w:p>
        </w:tc>
      </w:tr>
    </w:tbl>
    <w:p>
      <w:pPr>
        <w:pStyle w:val="Normal"/>
      </w:pPr>
      <w:r>
        <w:t xml:space="preserve">Varias divisiones comparten una fuerza de ventas; cada una exige objetivos más altos de lo necesario para no quedar desatendida, la fuerza compartida se sobrecarga, rinde menos y cada división termina volviendo a tener la suya.</w:t>
      </w:r>
    </w:p>
    <w:p>
      <w:pPr>
        <w:pStyle w:val="Normal"/>
        <w:numPr>
          <w:ilvl w:val="0"/>
          <w:numId w:val="2"/>
        </w:numPr>
      </w:pPr>
      <w:r>
        <w:t xml:space="preserve">Las soluciones efectivas para un escenario de «Tragedia de los Comunes» nunca se encuentran en el nivel individual.</w:t>
      </w:r>
    </w:p>
    <w:p>
      <w:pPr>
        <w:pStyle w:val="Normal"/>
        <w:numPr>
          <w:ilvl w:val="0"/>
          <w:numId w:val="2"/>
        </w:numPr>
      </w:pPr>
      <w:r>
        <w:t xml:space="preserve">Haga preguntas como: «¿Cuáles son los incentivos que hacen que los individuos persistan con sus acciones?» «¿Puede hacerse más real e inmediata la pérdida colectiva para los actores individuales?»</w:t>
      </w:r>
    </w:p>
    <w:p>
      <w:pPr>
        <w:pStyle w:val="Normal"/>
        <w:numPr>
          <w:ilvl w:val="0"/>
          <w:numId w:val="2"/>
        </w:numPr>
      </w:pPr>
      <w:r>
        <w:t xml:space="preserve">Busque maneras de reconciliar las recompensas individuales de corto plazo con las consecuencias acumuladas de largo plazo. Puede ayudar una entidad gobernante que pueda ser guiada cuidando el recurso límite.</w:t>
      </w:r>
    </w:p>
    <w:p>
      <w:pPr>
        <w:pStyle w:val="Heading3"/>
      </w:pPr>
      <w:r>
        <w:t xml:space="preserve">Aplicación del procedimiento</w:t>
      </w:r>
    </w:p>
    <w:p>
      <w:pPr>
        <w:pStyle w:val="Normal"/>
        <w:numPr>
          <w:ilvl w:val="0"/>
          <w:numId w:val="2"/>
        </w:numPr>
      </w:pPr>
      <w:r>
        <w:t xml:space="preserve">Identifique a los comunes. ¿Cuál es el recurso común que se está compartiendo?</w:t>
      </w:r>
    </w:p>
    <w:p>
      <w:pPr>
        <w:pStyle w:val="Normal"/>
        <w:numPr>
          <w:ilvl w:val="0"/>
          <w:numId w:val="2"/>
        </w:numPr>
      </w:pPr>
      <w:r>
        <w:t xml:space="preserve">Determine incentivos. ¿Cuáles son los procesos de refuerzo que motivan el uso del recurso?</w:t>
      </w:r>
    </w:p>
    <w:p>
      <w:pPr>
        <w:pStyle w:val="Normal"/>
        <w:numPr>
          <w:ilvl w:val="0"/>
          <w:numId w:val="2"/>
        </w:numPr>
      </w:pPr>
      <w:r>
        <w:t xml:space="preserve">Determine el horizonte de tiempo para cosechar los beneficios.</w:t>
      </w:r>
    </w:p>
    <w:p>
      <w:pPr>
        <w:pStyle w:val="Normal"/>
        <w:numPr>
          <w:ilvl w:val="0"/>
          <w:numId w:val="2"/>
        </w:numPr>
      </w:pPr>
      <w:r>
        <w:t xml:space="preserve">Determine el horizonte de tiempo para experimentar los efectos acumulativos de la acción colectiva.</w:t>
      </w:r>
    </w:p>
    <w:p>
      <w:pPr>
        <w:pStyle w:val="Normal"/>
        <w:numPr>
          <w:ilvl w:val="0"/>
          <w:numId w:val="2"/>
        </w:numPr>
      </w:pPr>
      <w:r>
        <w:t xml:space="preserve">Haga patentes los efectos de largo plazo. ¿Cómo puede ser más real la degradación de los comunes en el largo plazo y estar presente para los usuarios individuales?</w:t>
      </w:r>
    </w:p>
    <w:p>
      <w:pPr>
        <w:pStyle w:val="Normal"/>
        <w:numPr>
          <w:ilvl w:val="0"/>
          <w:numId w:val="2"/>
        </w:numPr>
      </w:pPr>
      <w:r>
        <w:t xml:space="preserve">Evalúe nuevamente la naturaleza de los comunes. ¿Hay otros recursos o alternativas que puedan ser usados para eliminar la restricción sobre los comunes?</w:t>
      </w:r>
    </w:p>
    <w:p>
      <w:pPr>
        <w:pStyle w:val="Normal"/>
        <w:numPr>
          <w:ilvl w:val="0"/>
          <w:numId w:val="2"/>
        </w:numPr>
      </w:pPr>
      <w:r>
        <w:t xml:space="preserve">Limite el acceso a los recursos. Determine un punto focal central —una visión compartida, sistema de medición del desempeño o árbitro final— que asigne los recursos basado en las necesidades del sistema como un todo.</w:t>
      </w:r>
    </w:p>
    <w:p>
      <w:pPr>
        <w:pStyle w:val="Fuente"/>
      </w:pPr>
      <w:r>
        <w:t xml:space="preserve">lectura L-17</w:t>
      </w:r>
    </w:p>
    <w:p>
      <w:pPr>
        <w:pStyle w:val="Heading3"/>
      </w:pPr>
      <w:r>
        <w:t xml:space="preserve">Soluciones rápidas que fallan</w:t>
      </w:r>
    </w:p>
    <w:p>
      <w:pPr>
        <w:pStyle w:val="Normal"/>
      </w:pPr>
      <w:r>
        <w:t xml:space="preserve">En una situación de «Soluciones Rápidas que Fallan», un síntoma de problemas exige solución. Se implanta una solución rápida que alivia el síntoma (B1), pero las consecuencias no intencionadas de la «solución» agudizan el problema (R2). A través del tiempo, el síntoma regresa a su nivel anterior o se manifiesta aún peor (Toolbox, Noviembre 1990).</w:t>
      </w:r>
    </w:p>
    <w:p>
      <w:pPr>
        <w:keepNext/>
        <w:spacing w:after="40" w:before="150"/>
        <w:jc w:val="center"/>
      </w:pPr>
      <w:bookmarkStart w:name="b_figura_original_arquetipo_sol_d4c9aa55" w:id="3583"/>
      <w:bookmarkEnd w:id="3583"/>
      <w:r>
        <w:drawing>
          <wp:inline distT="0" distB="0" distL="0" distR="0">
            <wp:extent cx="5381625" cy="4019550"/>
            <wp:effectExtent t="0" r="0" b="0" l="0"/>
            <wp:docPr id="102" name="arquetipo-soluciones-rapidas" descr="lectura L-17. Estructura de la lectura, disposición editorial." title="Soluciones rápidas que fall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85" cstate="none"/>
                    <a:srcRect/>
                    <a:stretch>
                      <a:fillRect/>
                    </a:stretch>
                  </pic:blipFill>
                  <pic:spPr bwMode="auto">
                    <a:xfrm>
                      <a:off x="0" y="0"/>
                      <a:ext cx="5381625" cy="4019550"/>
                    </a:xfrm>
                    <a:prstGeom prst="rect">
                      <a:avLst/>
                    </a:prstGeom>
                  </pic:spPr>
                </pic:pic>
              </a:graphicData>
            </a:graphic>
          </wp:inline>
        </w:drawing>
      </w:r>
    </w:p>
    <w:p>
      <w:pPr>
        <w:pStyle w:val="PieFigura"/>
        <w:keepNext/>
      </w:pPr>
      <w:bookmarkStart w:name="b_fig_4_1_9" w:id="3584"/>
      <w:r>
        <w:t xml:space="preserve">Figura 4.1.</w:t>
      </w:r>
      <w:fldSimple w:instr="SEQ Figura \n \* ARABIC">
        <w:r>
          <w:t xml:space="preserve">9</w:t>
        </w:r>
      </w:fldSimple>
      <w:r>
        <w:t xml:space="preserve"> · Soluciones rápidas que fallan</w:t>
      </w:r>
      <w:bookmarkEnd w:id="3584"/>
    </w:p>
    <w:p>
      <w:pPr>
        <w:pStyle w:val="LecturaFigura"/>
        <w:keepNext/>
      </w:pPr>
      <w:r>
        <w:rPr>
          <w:b/>
          <w:bCs/>
        </w:rPr>
        <w:t xml:space="preserve">Lectura del diagrama: </w:t>
      </w:r>
      <w:r>
        <w:t xml:space="preserve">1 ciclo de refuerzo y 1 de balance. La solución alivia el síntoma (B1), pero sus consecuencias no intencionadas lo agudizan (R2): con el tiempo el síntoma vuelve, o vuelve peor.</w:t>
      </w:r>
    </w:p>
    <w:p>
      <w:pPr>
        <w:pStyle w:val="Fuente"/>
      </w:pPr>
      <w:r>
        <w:t xml:space="preserve">lectura L-17. Estructura de la lectura, disposición editorial.</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Lectura de la estructura</w:t>
            </w:r>
          </w:p>
          <w:p>
            <w:pPr>
              <w:pStyle w:val="Recuadro"/>
            </w:pPr>
            <w:r>
              <w:t xml:space="preserve">Alivio rápido y recaída cada vez más fuerte: hay que aplicar la misma solución con más frecuencia.</w:t>
            </w:r>
          </w:p>
          <w:p>
            <w:pPr>
              <w:pStyle w:val="Recuadro"/>
            </w:pPr>
            <w:r>
              <w:t xml:space="preserve">No descuides el largo plazo. De ser posible no recurras a las soluciones de corto plazo, o úsalas sólo para ganar tiempo mientras trabajas en un remedio duradero.</w:t>
            </w:r>
          </w:p>
        </w:tc>
      </w:tr>
    </w:tbl>
    <w:p>
      <w:pPr>
        <w:pStyle w:val="Normal"/>
      </w:pPr>
      <w:r>
        <w:t xml:space="preserve">Un fabricante de componentes de alto desempeño postergó la compra de máquinas para reducir gastos; la calidad cayó, la demanda se desplomó al año siguiente y con menos ganancias hubo todavía menos ganas de invertir.</w:t>
      </w:r>
    </w:p>
    <w:p>
      <w:pPr>
        <w:pStyle w:val="Normal"/>
        <w:numPr>
          <w:ilvl w:val="0"/>
          <w:numId w:val="2"/>
        </w:numPr>
      </w:pPr>
      <w:r>
        <w:t xml:space="preserve">Romper un ciclo de «Soluciones Rápidas que Fallan» requiere usualmente dos acciones: reconocer que la solución solamente está aliviando el síntoma y comprometerse a resolver de inmediato el problema real.</w:t>
      </w:r>
    </w:p>
    <w:p>
      <w:pPr>
        <w:pStyle w:val="Normal"/>
        <w:numPr>
          <w:ilvl w:val="0"/>
          <w:numId w:val="2"/>
        </w:numPr>
      </w:pPr>
      <w:r>
        <w:t xml:space="preserve">Un ataque a dos fuegos de solución del síntoma y planeación sobre el problema fundamental ayuda a evitar caer en un ciclo perpetuo de solución de las «soluciones» de ayer.</w:t>
      </w:r>
    </w:p>
    <w:p>
      <w:pPr>
        <w:pStyle w:val="Heading3"/>
      </w:pPr>
      <w:r>
        <w:t xml:space="preserve">Aplicación del procedimiento</w:t>
      </w:r>
    </w:p>
    <w:p>
      <w:pPr>
        <w:pStyle w:val="Normal"/>
        <w:numPr>
          <w:ilvl w:val="0"/>
          <w:numId w:val="2"/>
        </w:numPr>
      </w:pPr>
      <w:r>
        <w:t xml:space="preserve">Identifique el síntoma del problema.</w:t>
      </w:r>
    </w:p>
    <w:p>
      <w:pPr>
        <w:pStyle w:val="Normal"/>
        <w:numPr>
          <w:ilvl w:val="0"/>
          <w:numId w:val="2"/>
        </w:numPr>
      </w:pPr>
      <w:r>
        <w:t xml:space="preserve">Verifique las intervenciones actuales y cómo se esperaba que rectificaran el problema.</w:t>
      </w:r>
    </w:p>
    <w:p>
      <w:pPr>
        <w:pStyle w:val="Normal"/>
        <w:numPr>
          <w:ilvl w:val="0"/>
          <w:numId w:val="2"/>
        </w:numPr>
      </w:pPr>
      <w:r>
        <w:t xml:space="preserve">Verifique consecuencias no intencionadas de las intervenciones.</w:t>
      </w:r>
    </w:p>
    <w:p>
      <w:pPr>
        <w:pStyle w:val="Normal"/>
        <w:numPr>
          <w:ilvl w:val="0"/>
          <w:numId w:val="2"/>
        </w:numPr>
      </w:pPr>
      <w:r>
        <w:t xml:space="preserve">Identifique causas fundamentales de los síntomas del problema.</w:t>
      </w:r>
    </w:p>
    <w:p>
      <w:pPr>
        <w:pStyle w:val="Normal"/>
        <w:numPr>
          <w:ilvl w:val="0"/>
          <w:numId w:val="2"/>
        </w:numPr>
      </w:pPr>
      <w:r>
        <w:t xml:space="preserve">Encuentre relaciones entre ambos conjuntos de ciclos. ¿Están ligadas las soluciones y las causas fundamentales?</w:t>
      </w:r>
    </w:p>
    <w:p>
      <w:pPr>
        <w:pStyle w:val="Normal"/>
        <w:numPr>
          <w:ilvl w:val="0"/>
          <w:numId w:val="2"/>
        </w:numPr>
      </w:pPr>
      <w:r>
        <w:t xml:space="preserve">Identifique intervenciones de alto apalancamiento. Añada o rompa ligas en el diagrama para crear intervenciones estructurales.</w:t>
      </w:r>
    </w:p>
    <w:p>
      <w:pPr>
        <w:pStyle w:val="Normal"/>
        <w:numPr>
          <w:ilvl w:val="0"/>
          <w:numId w:val="2"/>
        </w:numPr>
      </w:pPr>
      <w:r>
        <w:t xml:space="preserve">Identifique efectos laterales potenciales para cada intervención y esté preparado contra ellos (o para eliminarlos del todo).</w:t>
      </w:r>
    </w:p>
    <w:p>
      <w:pPr>
        <w:pStyle w:val="Fuente"/>
      </w:pPr>
      <w:r>
        <w:t xml:space="preserve">lectura L-17</w:t>
      </w:r>
    </w:p>
    <w:p>
      <w:pPr>
        <w:pStyle w:val="Heading3"/>
      </w:pPr>
      <w:r>
        <w:t xml:space="preserve">Crecimiento y subinversión</w:t>
      </w:r>
    </w:p>
    <w:p>
      <w:pPr>
        <w:pStyle w:val="Normal"/>
      </w:pPr>
      <w:r>
        <w:t xml:space="preserve">En un arquetipo de «Crecimiento y Subinversión», el crecimiento se acerca a un límite que puede ser eliminado o postergado si se hacen inversiones en capacidad. En su defecto, se disminuyen los estándares de desempeño para justificar la ausencia de inversión, creando menor desempeño, lo que justifica aún más la falta de inversión (Toolbox, Junio/Julio 1992).</w:t>
      </w:r>
    </w:p>
    <w:p>
      <w:pPr>
        <w:keepNext/>
        <w:spacing w:after="40" w:before="150"/>
        <w:jc w:val="center"/>
      </w:pPr>
      <w:bookmarkStart w:name="b_figura_original_arquetipo_cre_d7bc32a2" w:id="3585"/>
      <w:bookmarkEnd w:id="3585"/>
      <w:r>
        <w:drawing>
          <wp:inline distT="0" distB="0" distL="0" distR="0">
            <wp:extent cx="5381625" cy="3771900"/>
            <wp:effectExtent t="0" r="0" b="0" l="0"/>
            <wp:docPr id="103" name="arquetipo-crecimiento-subinversion" descr="lectura L-17. Estructura de la lectura, disposición editorial." title="Crecimiento y subinversió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86" cstate="none"/>
                    <a:srcRect/>
                    <a:stretch>
                      <a:fillRect/>
                    </a:stretch>
                  </pic:blipFill>
                  <pic:spPr bwMode="auto">
                    <a:xfrm>
                      <a:off x="0" y="0"/>
                      <a:ext cx="5381625" cy="3771900"/>
                    </a:xfrm>
                    <a:prstGeom prst="rect">
                      <a:avLst/>
                    </a:prstGeom>
                  </pic:spPr>
                </pic:pic>
              </a:graphicData>
            </a:graphic>
          </wp:inline>
        </w:drawing>
      </w:r>
    </w:p>
    <w:p>
      <w:pPr>
        <w:pStyle w:val="PieFigura"/>
        <w:keepNext/>
      </w:pPr>
      <w:bookmarkStart w:name="b_fig_4_1_10" w:id="3586"/>
      <w:r>
        <w:t xml:space="preserve">Figura 4.1.</w:t>
      </w:r>
      <w:fldSimple w:instr="SEQ Figura \n \* ARABIC">
        <w:r>
          <w:t xml:space="preserve">10</w:t>
        </w:r>
      </w:fldSimple>
      <w:r>
        <w:t xml:space="preserve"> · Crecimiento y subinversión</w:t>
      </w:r>
      <w:bookmarkEnd w:id="3586"/>
    </w:p>
    <w:p>
      <w:pPr>
        <w:pStyle w:val="LecturaFigura"/>
        <w:keepNext/>
      </w:pPr>
      <w:r>
        <w:rPr>
          <w:b/>
          <w:bCs/>
        </w:rPr>
        <w:t xml:space="preserve">Lectura del diagrama: </w:t>
      </w:r>
      <w:r>
        <w:t xml:space="preserve">1 ciclo de refuerzo y 2 de balance. La acción creciente y la demanda se refuerzan (R1); más demanda baja el desempeño, que frena la demanda (B2). Si el desempeño cae por debajo del estándar se percibe la necesidad de invertir y la capacidad, con demora, lo restablece (B3); bajar el estándar apaga ese ciclo.</w:t>
      </w:r>
    </w:p>
    <w:p>
      <w:pPr>
        <w:pStyle w:val="Fuente"/>
      </w:pPr>
      <w:r>
        <w:t xml:space="preserve">lectura L-17. Estructura de la lectura, disposición editorial.</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Lectura de la estructura</w:t>
            </w:r>
          </w:p>
          <w:p>
            <w:pPr>
              <w:pStyle w:val="Recuadro"/>
            </w:pPr>
            <w:r>
              <w:t xml:space="preserve">El crecimiento se estanca mientras las metas bajan: una profecía que se cumple a sí misma.</w:t>
            </w:r>
          </w:p>
          <w:p>
            <w:pPr>
              <w:pStyle w:val="Recuadro"/>
            </w:pPr>
            <w:r>
              <w:t xml:space="preserve">Si hay un potencial genuino para el crecimiento, construye capacidad anticipándote a la demanda, como estrategia para generar demanda. Sostén la visión, especialmente en lo concerniente a la evaluación de las pautas de desempeño y la capacidad para satisfacer la demanda potencial.</w:t>
            </w:r>
          </w:p>
        </w:tc>
      </w:tr>
    </w:tbl>
    <w:p>
      <w:pPr>
        <w:pStyle w:val="Normal"/>
      </w:pPr>
      <w:r>
        <w:t xml:space="preserve">People Express Airlines no construyó capacidad de servicio al ritmo de su demanda explosiva: el servicio se deterioró, la moral cayó y los clientes dejaron de volar con ella.</w:t>
      </w:r>
    </w:p>
    <w:p>
      <w:pPr>
        <w:pStyle w:val="Normal"/>
        <w:numPr>
          <w:ilvl w:val="0"/>
          <w:numId w:val="2"/>
        </w:numPr>
      </w:pPr>
      <w:r>
        <w:t xml:space="preserve">Busque los supuestos que condicionan las decisiones de inversión en capacidad. Si domina el desempeño histórico como un indicador, trate de balancear esta perspectiva con una mirada fresca a la demanda y los factores que contribuyen a su crecimiento.</w:t>
      </w:r>
    </w:p>
    <w:p>
      <w:pPr>
        <w:pStyle w:val="Normal"/>
        <w:numPr>
          <w:ilvl w:val="0"/>
          <w:numId w:val="2"/>
        </w:numPr>
      </w:pPr>
      <w:r>
        <w:t xml:space="preserve">Si hay potencial para crecimiento, construya capacidad anticipada para la demanda futura.</w:t>
      </w:r>
    </w:p>
    <w:p>
      <w:pPr>
        <w:pStyle w:val="Heading3"/>
      </w:pPr>
      <w:r>
        <w:t xml:space="preserve">Aplicación del procedimiento</w:t>
      </w:r>
    </w:p>
    <w:p>
      <w:pPr>
        <w:pStyle w:val="Normal"/>
        <w:numPr>
          <w:ilvl w:val="0"/>
          <w:numId w:val="2"/>
        </w:numPr>
      </w:pPr>
      <w:r>
        <w:t xml:space="preserve">Identifique patrones de comportamiento entrelazados entre las mediciones de inversión en capacidad y de desempeño.</w:t>
      </w:r>
    </w:p>
    <w:p>
      <w:pPr>
        <w:pStyle w:val="Normal"/>
        <w:numPr>
          <w:ilvl w:val="0"/>
          <w:numId w:val="2"/>
        </w:numPr>
      </w:pPr>
      <w:r>
        <w:t xml:space="preserve">Identifique demoras entre las caídas del desempeño y cuando la capacidad adicional está lista, particularmente demoras percibidas relativas a la necesidad de invertir.</w:t>
      </w:r>
    </w:p>
    <w:p>
      <w:pPr>
        <w:pStyle w:val="Normal"/>
        <w:numPr>
          <w:ilvl w:val="0"/>
          <w:numId w:val="2"/>
        </w:numPr>
      </w:pPr>
      <w:r>
        <w:t xml:space="preserve">Cuantifique y minimice las demoras en adquisición.</w:t>
      </w:r>
    </w:p>
    <w:p>
      <w:pPr>
        <w:pStyle w:val="Normal"/>
        <w:numPr>
          <w:ilvl w:val="0"/>
          <w:numId w:val="2"/>
        </w:numPr>
      </w:pPr>
      <w:r>
        <w:t xml:space="preserve">Identifique los déficits de capacidad relacionados. ¿Hay otras partes del sistema más lentas como para beneficiarse de la capacidad adicional?</w:t>
      </w:r>
    </w:p>
    <w:p>
      <w:pPr>
        <w:pStyle w:val="Normal"/>
        <w:numPr>
          <w:ilvl w:val="0"/>
          <w:numId w:val="2"/>
        </w:numPr>
      </w:pPr>
      <w:r>
        <w:t xml:space="preserve">Tome decisiones de inversión con base en señales externas, no en estándares derivados del desempeño en el pasado.</w:t>
      </w:r>
    </w:p>
    <w:p>
      <w:pPr>
        <w:pStyle w:val="Normal"/>
        <w:numPr>
          <w:ilvl w:val="0"/>
          <w:numId w:val="2"/>
        </w:numPr>
      </w:pPr>
      <w:r>
        <w:t xml:space="preserve">Evite las profecías que se cumplen a sí mismas. Desafíe los supuestos que controlan las decisiones de inversión en capacidad.</w:t>
      </w:r>
    </w:p>
    <w:p>
      <w:pPr>
        <w:pStyle w:val="Normal"/>
        <w:numPr>
          <w:ilvl w:val="0"/>
          <w:numId w:val="2"/>
        </w:numPr>
      </w:pPr>
      <w:r>
        <w:t xml:space="preserve">Busque diversidad en las inversiones. Busque nuevas perspectivas de productos, servicios y requerimientos del cliente.</w:t>
      </w:r>
    </w:p>
    <w:p>
      <w:pPr>
        <w:pStyle w:val="Fuente"/>
      </w:pPr>
      <w:r>
        <w:t xml:space="preserve">lectura L-17</w:t>
      </w:r>
    </w:p>
    <w:p>
      <w:pPr>
        <w:pStyle w:val="Heading3"/>
      </w:pPr>
      <w:r>
        <w:t xml:space="preserve">Lo que dicen las presentaciones</w:t>
      </w:r>
    </w:p>
    <w:p>
      <w:pPr>
        <w:pStyle w:val="Heading3"/>
      </w:pPr>
      <w:bookmarkStart w:name="b_pagina_4_1_C_7_p2" w:id="3587"/>
      <w:r>
        <w:t xml:space="preserve">C-7 · página 2 · Programa y calendario de Unidad 4</w:t>
      </w:r>
      <w:bookmarkEnd w:id="3587"/>
    </w:p>
    <w:p>
      <w:pPr>
        <w:pStyle w:val="Normal"/>
      </w:pPr>
      <w:r>
        <w:t xml:space="preserve">Siete temas y calendario de septiembre a noviembre de 2026; el final depende de la Facultad.</w:t>
      </w:r>
    </w:p>
    <w:p>
      <w:bookmarkStart w:name="b_punto_c7_p002_01" w:id="3588"/>
      <w:r>
        <w:t xml:space="preserve">Enumera arquetipos, acumulaciones, conversión, Vensim, ejemplos, decisiones y hábitos.</w:t>
      </w:r>
      <w:bookmarkEnd w:id="3588"/>
    </w:p>
    <w:p>
      <w:pPr>
        <w:pStyle w:val="Heading3"/>
      </w:pPr>
      <w:bookmarkStart w:name="b_pagina_4_1_C_8_p5" w:id="3589"/>
      <w:r>
        <w:t xml:space="preserve">C-8 · página 5 · Soluciones rápidas que fallan</w:t>
      </w:r>
      <w:bookmarkEnd w:id="3589"/>
    </w:p>
    <w:p>
      <w:pPr>
        <w:pStyle w:val="Normal"/>
      </w:pPr>
      <w:r>
        <w:t xml:space="preserve">Balance de alivio y refuerzo de consecuencias que reactivan el síntoma.</w:t>
      </w:r>
    </w:p>
    <w:p>
      <w:pPr>
        <w:pStyle w:val="Fuente"/>
      </w:pPr>
      <w:r>
        <w:t xml:space="preserve">Proyección o explicación: Clase 22 · 00:19:47 · captura c22-04.</w:t>
      </w:r>
    </w:p>
    <w:p>
      <w:bookmarkStart w:name="b_punto_c8_p005_01" w:id="3590"/>
      <w:r>
        <w:t xml:space="preserve">B1: síntoma→solución→reducción del síntoma; R2: solución→consecuencias→agravación del síntoma.</w:t>
      </w:r>
      <w:bookmarkEnd w:id="3590"/>
    </w:p>
    <w:p>
      <w:bookmarkStart w:name="b_punto_c8_p005_02" w:id="3591"/>
      <w:r>
        <w:t xml:space="preserve">Reconocer alivio temporal y trabajar en la causa fundamental permite romper el patrón.</w:t>
      </w:r>
      <w:bookmarkEnd w:id="3591"/>
    </w:p>
    <w:p>
      <w:bookmarkStart w:name="b_punto_c8_p005_03" w:id="3592"/>
      <w:r>
        <w:t xml:space="preserve">Los siete pasos específicos identifican síntoma, intervenciones, consecuencias, causas, enlaces entre ciclos, palancas y efectos laterales.</w:t>
      </w:r>
      <w:bookmarkEnd w:id="3592"/>
    </w:p>
    <w:p>
      <w:bookmarkStart w:name="b_punto_c8_p005_04" w:id="3593"/>
      <w:r>
        <w:t xml:space="preserve">Promociones aumentan compras actuales, pero erosionan atractivo sin descuento e imagen con demora.</w:t>
      </w:r>
      <w:bookmarkEnd w:id="3593"/>
    </w:p>
    <w:p>
      <w:pPr>
        <w:pStyle w:val="Heading3"/>
      </w:pPr>
      <w:bookmarkStart w:name="b_pagina_4_1_C_8_p6" w:id="3594"/>
      <w:r>
        <w:t xml:space="preserve">C-8 · página 6 · Labios secos y consecuencias</w:t>
      </w:r>
      <w:bookmarkEnd w:id="3594"/>
    </w:p>
    <w:p>
      <w:pPr>
        <w:pStyle w:val="Normal"/>
      </w:pPr>
      <w:r>
        <w:t xml:space="preserve">Aliviar sequedad hoy puede agravarla después en el ejemplo del material.</w:t>
      </w:r>
    </w:p>
    <w:p>
      <w:bookmarkStart w:name="b_punto_c8_p006_01" w:id="3595"/>
      <w:r>
        <w:t xml:space="preserve">En la historia, lamer alivia sequedad inmediata.</w:t>
      </w:r>
      <w:bookmarkEnd w:id="3595"/>
    </w:p>
    <w:p>
      <w:bookmarkStart w:name="b_punto_c8_p006_02" w:id="3596"/>
      <w:r>
        <w:t xml:space="preserve">La repetición agrava grietas y reactiva el problema original, cerrando refuerzo.</w:t>
      </w:r>
      <w:bookmarkEnd w:id="3596"/>
    </w:p>
    <w:p>
      <w:bookmarkStart w:name="b_punto_c8_p006_03" w:id="3597"/>
      <w:r>
        <w:t xml:space="preserve">Se distinguenB inmediato y R posterior; es historia del material, no recomendación sanitaria.</w:t>
      </w:r>
      <w:bookmarkEnd w:id="3597"/>
    </w:p>
    <w:p>
      <w:pPr>
        <w:pStyle w:val="Heading3"/>
      </w:pPr>
      <w:bookmarkStart w:name="b_pagina_4_1_C_8_p7" w:id="3598"/>
      <w:r>
        <w:t xml:space="preserve">C-8 · página 7 · Consecuencias no deseadas</w:t>
      </w:r>
      <w:bookmarkEnd w:id="3598"/>
    </w:p>
    <w:p>
      <w:pPr>
        <w:pStyle w:val="Normal"/>
      </w:pPr>
      <w:r>
        <w:t xml:space="preserve">Reflexionar sobre afectados, resultados y otras perspectivas antes de decidir.</w:t>
      </w:r>
    </w:p>
    <w:p>
      <w:pPr>
        <w:pStyle w:val="Fuente"/>
      </w:pPr>
      <w:r>
        <w:t xml:space="preserve">Proyección o explicación: Clase 22 · 00:11:05 · captura c22-06.</w:t>
      </w:r>
    </w:p>
    <w:p>
      <w:bookmarkStart w:name="b_punto_c8_p007_04" w:id="3599"/>
      <w:r>
        <w:t xml:space="preserve">El esquema de síntoma, solución y consecuencias representaB 1yR2.</w:t>
      </w:r>
      <w:bookmarkEnd w:id="3599"/>
    </w:p>
    <w:p>
      <w:pPr>
        <w:pStyle w:val="Fuente"/>
      </w:pPr>
      <w:r>
        <w:t xml:space="preserve">Véase </w:t>
      </w:r>
      <w:hyperlink w:history="1" w:anchor="b_4_6">
        <w:r>
          <w:rPr>
            <w:color w:val="156B70"/>
            <w:u w:val="single"/>
          </w:rPr>
          <w:t xml:space="preserve">capítulo 4.6 · Toma de decisiones</w:t>
        </w:r>
      </w:hyperlink>
      <w:r>
        <w:t xml:space="preserve">, pág. </w:t>
      </w:r>
      <w:r>
        <w:fldChar w:fldCharType="begin"/>
        <w:instrText xml:space="preserve">PAGEREF b_4_6 \h</w:instrText>
        <w:fldChar w:fldCharType="separate"/>
        <w:t xml:space="preserve">884</w:t>
        <w:fldChar w:fldCharType="end"/>
      </w:r>
      <w:r>
        <w:t xml:space="preserve">.</w:t>
      </w:r>
    </w:p>
    <w:p>
      <w:pPr>
        <w:pStyle w:val="Heading3"/>
      </w:pPr>
      <w:bookmarkStart w:name="b_pagina_4_1_C_8_p14" w:id="3600"/>
      <w:r>
        <w:t xml:space="preserve">C-8 · página 14 · Desplazamiento de la carga</w:t>
      </w:r>
      <w:bookmarkEnd w:id="3600"/>
    </w:p>
    <w:p>
      <w:pPr>
        <w:pStyle w:val="Normal"/>
      </w:pPr>
      <w:r>
        <w:t xml:space="preserve">El alivio sintomático puede debilitar la solución fundamental y producir dependencia.</w:t>
      </w:r>
    </w:p>
    <w:p>
      <w:pPr>
        <w:pStyle w:val="Fuente"/>
      </w:pPr>
      <w:r>
        <w:t xml:space="preserve">Proyección o explicación: Clase 22 · 01:08:00 · captura c22-13.</w:t>
      </w:r>
    </w:p>
    <w:p>
      <w:pPr>
        <w:keepNext/>
        <w:spacing w:after="40" w:before="150"/>
        <w:jc w:val="center"/>
      </w:pPr>
      <w:bookmarkStart w:name="b_figura_original_pagina_C_8_14" w:id="3601"/>
      <w:bookmarkEnd w:id="3601"/>
      <w:r>
        <w:drawing>
          <wp:inline distT="0" distB="0" distL="0" distR="0">
            <wp:extent cx="5381625" cy="3028950"/>
            <wp:effectExtent t="0" r="0" b="0" l="0"/>
            <wp:docPr id="104" name="pagina-C-8-14" descr="Presentación C-8, pág. 14. Precisión: La descripción impresa llama R1 a la solución fundamental: es una errata. La figura y la paridad de signos muestran B1 para la solución sintomática, B2 para la fundamental (con demora) y R1 para la dependencia por el efecto lateral. No se cambian esos ciclos." title="Desplazamiento de la carg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87" cstate="none"/>
                    <a:srcRect/>
                    <a:stretch>
                      <a:fillRect/>
                    </a:stretch>
                  </pic:blipFill>
                  <pic:spPr bwMode="auto">
                    <a:xfrm>
                      <a:off x="0" y="0"/>
                      <a:ext cx="5381625" cy="3028950"/>
                    </a:xfrm>
                    <a:prstGeom prst="rect">
                      <a:avLst/>
                    </a:prstGeom>
                  </pic:spPr>
                </pic:pic>
              </a:graphicData>
            </a:graphic>
          </wp:inline>
        </w:drawing>
      </w:r>
    </w:p>
    <w:p>
      <w:pPr>
        <w:pStyle w:val="PieFigura"/>
        <w:keepNext/>
      </w:pPr>
      <w:bookmarkStart w:name="b_fig_4_1_11" w:id="3602"/>
      <w:r>
        <w:t xml:space="preserve">Figura 4.1.</w:t>
      </w:r>
      <w:fldSimple w:instr="SEQ Figura \n \* ARABIC">
        <w:r>
          <w:t xml:space="preserve">11</w:t>
        </w:r>
      </w:fldSimple>
      <w:r>
        <w:t xml:space="preserve"> · Desplazamiento de la carga</w:t>
      </w:r>
      <w:bookmarkEnd w:id="3602"/>
    </w:p>
    <w:p>
      <w:pPr>
        <w:pStyle w:val="Fuente"/>
      </w:pPr>
      <w:r>
        <w:t xml:space="preserve">Presentación C-8, pág. 14. Precisión: La descripción impresa llama R1 a la solución fundamental: es una errata. La figura y la paridad de signos muestran B1 para la solución sintomática, B2 para la fundamental (con demora) y R1 para la dependencia por el efecto lateral. No se cambian esos ciclos.</w:t>
      </w:r>
    </w:p>
    <w:p>
      <w:bookmarkStart w:name="b_punto_c8_p014_01" w:id="3603"/>
      <w:r>
        <w:t xml:space="preserve">Soluciones sintomática y fundamental forman dos balances; la erosión de la fundamental cierra un refuerzo.</w:t>
      </w:r>
      <w:bookmarkEnd w:id="3603"/>
    </w:p>
    <w:p>
      <w:bookmarkStart w:name="b_punto_c8_p014_02" w:id="3604"/>
      <w:r>
        <w:t xml:space="preserve">Cuando el efecto lateral domina puede hablarse de adicción; la perspectiva influye en qué se considera fundamental.</w:t>
      </w:r>
      <w:bookmarkEnd w:id="3604"/>
    </w:p>
    <w:p>
      <w:bookmarkStart w:name="b_punto_c8_p014_03" w:id="3605"/>
      <w:r>
        <w:t xml:space="preserve">Los siete pasos de Kim contrastan síntomas, alivios, efectos sobre otros, soluciones fundamentales, erosión, ciclos e intervenciones compartidas.</w:t>
      </w:r>
      <w:bookmarkEnd w:id="3605"/>
    </w:p>
    <w:p>
      <w:bookmarkStart w:name="b_punto_c8_p014_04" w:id="3606"/>
      <w:r>
        <w:t xml:space="preserve">El caso de vehículos enlaza intervenciones de ruido/vibración/aspereza y chasis; requiere coordinar ambas perspectivas.</w:t>
      </w:r>
      <w:bookmarkEnd w:id="3606"/>
    </w:p>
    <w:p>
      <w:bookmarkStart w:name="b_punto_c8_p014_05" w:id="3607"/>
      <w:r>
        <w:t xml:space="preserve">En desplazamiento de la carga, B1 representa alivio sintomático, B2 la solución fundamental con demora y R1 la dependencia mediante el efecto lateral.</w:t>
      </w:r>
      <w:bookmarkEnd w:id="3607"/>
    </w:p>
    <w:p>
      <w:pPr>
        <w:pStyle w:val="Heading3"/>
      </w:pPr>
      <w:bookmarkStart w:name="b_pagina_4_1_C_8_p15" w:id="3608"/>
      <w:r>
        <w:t xml:space="preserve">C-8 · página 15 · Soporte y aprendizaje del usuario</w:t>
      </w:r>
      <w:bookmarkEnd w:id="3608"/>
    </w:p>
    <w:p>
      <w:pPr>
        <w:pStyle w:val="Normal"/>
      </w:pPr>
      <w:r>
        <w:t xml:space="preserve">La dependencia del experto evita aprender y termina saturando el soporte.</w:t>
      </w:r>
    </w:p>
    <w:p>
      <w:pPr>
        <w:pStyle w:val="Fuente"/>
      </w:pPr>
      <w:r>
        <w:t xml:space="preserve">Proyección o explicación: Clase 22 · 01:22:28 · captura c22-13.</w:t>
      </w:r>
    </w:p>
    <w:p>
      <w:bookmarkStart w:name="b_punto_c8_p015_01" w:id="3609"/>
      <w:r>
        <w:t xml:space="preserve">Soporte corrige la aplicación y alivia la dificultad inmediata.</w:t>
      </w:r>
      <w:bookmarkEnd w:id="3609"/>
    </w:p>
    <w:p>
      <w:bookmarkStart w:name="b_punto_c8_p015_02" w:id="3610"/>
      <w:r>
        <w:t xml:space="preserve">El usuario deja de aprender, pierde capacidad propia y aumenta dependencia.</w:t>
      </w:r>
      <w:bookmarkEnd w:id="3610"/>
    </w:p>
    <w:p>
      <w:bookmarkStart w:name="b_punto_c8_p015_03" w:id="3611"/>
      <w:r>
        <w:t xml:space="preserve">La demanda agregada satura soporte y eleva tiempos de respuesta.</w:t>
      </w:r>
      <w:bookmarkEnd w:id="3611"/>
    </w:p>
    <w:p>
      <w:bookmarkStart w:name="b_punto_c8_p015_04" w:id="3612"/>
      <w:r>
        <w:t xml:space="preserve">Aprender y practicar son solución fundamental demorada, que exige disciplina del usuario y del soporte.</w:t>
      </w:r>
      <w:bookmarkEnd w:id="3612"/>
    </w:p>
    <w:p>
      <w:pPr>
        <w:pStyle w:val="Heading3"/>
      </w:pPr>
      <w:bookmarkStart w:name="b_pagina_4_1_C_8_p16" w:id="3613"/>
      <w:r>
        <w:t xml:space="preserve">C-8 · página 16 · Arquetipos sistémicos del curso</w:t>
      </w:r>
      <w:bookmarkEnd w:id="3613"/>
    </w:p>
    <w:p>
      <w:pPr>
        <w:pStyle w:val="Normal"/>
      </w:pPr>
      <w:r>
        <w:t xml:space="preserve">La collage reúne diez; la hojaPegasus desarrolla ocho con descripción y lineamientos.</w:t>
      </w:r>
    </w:p>
    <w:p>
      <w:pPr>
        <w:pStyle w:val="Fuente"/>
      </w:pPr>
      <w:r>
        <w:t xml:space="preserve">Proyección o explicación: Clase 22 · 01:25:45 · captura c22-14.</w:t>
      </w:r>
    </w:p>
    <w:p>
      <w:bookmarkStart w:name="b_punto_c8_p016_01" w:id="3614"/>
      <w:r>
        <w:t xml:space="preserve">Compensación entre proceso y demora: el esquema marcaB.</w:t>
      </w:r>
      <w:bookmarkEnd w:id="3614"/>
    </w:p>
    <w:p>
      <w:bookmarkStart w:name="b_punto_c8_p016_02" w:id="3615"/>
      <w:r>
        <w:t xml:space="preserve">Compensación entre proceso y demora: reconocer su mecanismo y aplicar sus lineamientos específicos.</w:t>
      </w:r>
      <w:bookmarkEnd w:id="3615"/>
    </w:p>
    <w:p>
      <w:bookmarkStart w:name="b_punto_c8_p016_03" w:id="3616"/>
      <w:r>
        <w:t xml:space="preserve">Límites del crecimiento: el esquema marcaR 1, B2.</w:t>
      </w:r>
      <w:bookmarkEnd w:id="3616"/>
    </w:p>
    <w:p>
      <w:bookmarkStart w:name="b_punto_c8_p016_04" w:id="3617"/>
      <w:r>
        <w:t xml:space="preserve">Límites del crecimiento: reconocer su mecanismo y aplicar sus lineamientos específicos.</w:t>
      </w:r>
      <w:bookmarkEnd w:id="3617"/>
    </w:p>
    <w:p>
      <w:bookmarkStart w:name="b_punto_c8_p016_05" w:id="3618"/>
      <w:r>
        <w:t xml:space="preserve">Desplazamiento de la carga: el esquema marcaB 1, B2, R1.</w:t>
      </w:r>
      <w:bookmarkEnd w:id="3618"/>
    </w:p>
    <w:p>
      <w:bookmarkStart w:name="b_punto_c8_p016_06" w:id="3619"/>
      <w:r>
        <w:t xml:space="preserve">Desplazamiento de la carga: reconocer su mecanismo y aplicar sus lineamientos específicos.</w:t>
      </w:r>
      <w:bookmarkEnd w:id="3619"/>
    </w:p>
    <w:p>
      <w:bookmarkStart w:name="b_punto_c8_p016_07" w:id="3620"/>
      <w:r>
        <w:t xml:space="preserve">Desplazamiento de la carga hacia la intervención: el esquema marcaB 1, B2, R1.</w:t>
      </w:r>
      <w:bookmarkEnd w:id="3620"/>
    </w:p>
    <w:p>
      <w:bookmarkStart w:name="b_punto_c8_p016_08" w:id="3621"/>
      <w:r>
        <w:t xml:space="preserve">Desplazamiento de la carga hacia la intervención: reconocer su mecanismo y aplicar sus lineamientos específicos.</w:t>
      </w:r>
      <w:bookmarkEnd w:id="3621"/>
    </w:p>
    <w:p>
      <w:bookmarkStart w:name="b_punto_c8_p016_09" w:id="3622"/>
      <w:r>
        <w:t xml:space="preserve">Erosión de metas: el esquema marcaB 2, B1.</w:t>
      </w:r>
      <w:bookmarkEnd w:id="3622"/>
    </w:p>
    <w:p>
      <w:bookmarkStart w:name="b_punto_c8_p016_10" w:id="3623"/>
      <w:r>
        <w:t xml:space="preserve">Erosión de metas: reconocer su mecanismo y aplicar sus lineamientos específicos.</w:t>
      </w:r>
      <w:bookmarkEnd w:id="3623"/>
    </w:p>
    <w:p>
      <w:bookmarkStart w:name="b_punto_c8_p016_11" w:id="3624"/>
      <w:r>
        <w:t xml:space="preserve">Escalada: el esquema marcaB 1, B2.</w:t>
      </w:r>
      <w:bookmarkEnd w:id="3624"/>
    </w:p>
    <w:p>
      <w:bookmarkStart w:name="b_punto_c8_p016_12" w:id="3625"/>
      <w:r>
        <w:t xml:space="preserve">Escalada: reconocer su mecanismo y aplicar sus lineamientos específicos.</w:t>
      </w:r>
      <w:bookmarkEnd w:id="3625"/>
    </w:p>
    <w:p>
      <w:bookmarkStart w:name="b_punto_c8_p016_13" w:id="3626"/>
      <w:r>
        <w:t xml:space="preserve">Éxito para quien tiene éxito: el esquema marcaR 1, R2.</w:t>
      </w:r>
      <w:bookmarkEnd w:id="3626"/>
    </w:p>
    <w:p>
      <w:bookmarkStart w:name="b_punto_c8_p016_14" w:id="3627"/>
      <w:r>
        <w:t xml:space="preserve">Éxito para quien tiene éxito: reconocer su mecanismo y aplicar sus lineamientos específicos.</w:t>
      </w:r>
      <w:bookmarkEnd w:id="3627"/>
    </w:p>
    <w:p>
      <w:bookmarkStart w:name="b_punto_c8_p016_15" w:id="3628"/>
      <w:r>
        <w:t xml:space="preserve">Tragedia de los comunes: el esquema marcaR 1, B3, B4, R2.</w:t>
      </w:r>
      <w:bookmarkEnd w:id="3628"/>
    </w:p>
    <w:p>
      <w:bookmarkStart w:name="b_punto_c8_p016_16" w:id="3629"/>
      <w:r>
        <w:t xml:space="preserve">Tragedia de los comunes: reconocer su mecanismo y aplicar sus lineamientos específicos.</w:t>
      </w:r>
      <w:bookmarkEnd w:id="3629"/>
    </w:p>
    <w:p>
      <w:bookmarkStart w:name="b_punto_c8_p016_17" w:id="3630"/>
      <w:r>
        <w:t xml:space="preserve">Soluciones rápidas que fallan: el esquema marcaB 1, R2.</w:t>
      </w:r>
      <w:bookmarkEnd w:id="3630"/>
    </w:p>
    <w:p>
      <w:bookmarkStart w:name="b_punto_c8_p016_18" w:id="3631"/>
      <w:r>
        <w:t xml:space="preserve">Soluciones rápidas que fallan: reconocer su mecanismo y aplicar sus lineamientos específicos.</w:t>
      </w:r>
      <w:bookmarkEnd w:id="3631"/>
    </w:p>
    <w:p>
      <w:bookmarkStart w:name="b_punto_c8_p016_19" w:id="3632"/>
      <w:r>
        <w:t xml:space="preserve">Crecimiento y subinversión: el esquema marcaR 1, B2, B3.</w:t>
      </w:r>
      <w:bookmarkEnd w:id="3632"/>
    </w:p>
    <w:p>
      <w:bookmarkStart w:name="b_punto_c8_p016_20" w:id="3633"/>
      <w:r>
        <w:t xml:space="preserve">Crecimiento y subinversión: reconocer su mecanismo y aplicar sus lineamientos específicos.</w:t>
      </w:r>
      <w:bookmarkEnd w:id="3633"/>
    </w:p>
    <w:p>
      <w:pPr>
        <w:pStyle w:val="Heading3"/>
      </w:pPr>
      <w:bookmarkStart w:name="b_pagina_4_1_C_8_p17" w:id="3634"/>
      <w:r>
        <w:t xml:space="preserve">C-8 · página 17 · Arquetipos sistémicos del curso</w:t>
      </w:r>
      <w:bookmarkEnd w:id="3634"/>
    </w:p>
    <w:p>
      <w:pPr>
        <w:pStyle w:val="Normal"/>
      </w:pPr>
      <w:r>
        <w:t xml:space="preserve">La collage reúne diez; la hojaPegasus desarrolla ocho con descripción y lineamientos.</w:t>
      </w:r>
    </w:p>
    <w:p>
      <w:pPr>
        <w:pStyle w:val="Fuente"/>
      </w:pPr>
      <w:r>
        <w:t xml:space="preserve">Proyección o explicación: Clase 22 · 01:25:45 · captura c22-15.</w:t>
      </w:r>
    </w:p>
    <w:p>
      <w:bookmarkStart w:name="b_punto_c8_p017_01" w:id="3635"/>
      <w:r>
        <w:t xml:space="preserve">Límites del crecimiento: el esquema marcaR 1, B2.</w:t>
      </w:r>
      <w:bookmarkEnd w:id="3635"/>
    </w:p>
    <w:p>
      <w:bookmarkStart w:name="b_punto_c8_p017_02" w:id="3636"/>
      <w:r>
        <w:t xml:space="preserve">Límites del crecimiento: reconocer su mecanismo y aplicar sus lineamientos específicos.</w:t>
      </w:r>
      <w:bookmarkEnd w:id="3636"/>
    </w:p>
    <w:p>
      <w:bookmarkStart w:name="b_punto_c8_p017_03" w:id="3637"/>
      <w:r>
        <w:t xml:space="preserve">Desplazamiento de la carga: el esquema marcaB 1, B2, R1.</w:t>
      </w:r>
      <w:bookmarkEnd w:id="3637"/>
    </w:p>
    <w:p>
      <w:bookmarkStart w:name="b_punto_c8_p017_04" w:id="3638"/>
      <w:r>
        <w:t xml:space="preserve">Desplazamiento de la carga: reconocer su mecanismo y aplicar sus lineamientos específicos.</w:t>
      </w:r>
      <w:bookmarkEnd w:id="3638"/>
    </w:p>
    <w:p>
      <w:bookmarkStart w:name="b_punto_c8_p017_05" w:id="3639"/>
      <w:r>
        <w:t xml:space="preserve">Erosión de metas: el esquema marcaB 2, B1.</w:t>
      </w:r>
      <w:bookmarkEnd w:id="3639"/>
    </w:p>
    <w:p>
      <w:bookmarkStart w:name="b_punto_c8_p017_06" w:id="3640"/>
      <w:r>
        <w:t xml:space="preserve">Erosión de metas: reconocer su mecanismo y aplicar sus lineamientos específicos.</w:t>
      </w:r>
      <w:bookmarkEnd w:id="3640"/>
    </w:p>
    <w:p>
      <w:bookmarkStart w:name="b_punto_c8_p017_07" w:id="3641"/>
      <w:r>
        <w:t xml:space="preserve">Escalada: el esquema marcaB 1, B2.</w:t>
      </w:r>
      <w:bookmarkEnd w:id="3641"/>
    </w:p>
    <w:p>
      <w:bookmarkStart w:name="b_punto_c8_p017_08" w:id="3642"/>
      <w:r>
        <w:t xml:space="preserve">Escalada: reconocer su mecanismo y aplicar sus lineamientos específicos.</w:t>
      </w:r>
      <w:bookmarkEnd w:id="3642"/>
    </w:p>
    <w:p>
      <w:bookmarkStart w:name="b_punto_c8_p017_09" w:id="3643"/>
      <w:r>
        <w:t xml:space="preserve">Éxito para quien tiene éxito: el esquema marcaR 1, R2.</w:t>
      </w:r>
      <w:bookmarkEnd w:id="3643"/>
    </w:p>
    <w:p>
      <w:bookmarkStart w:name="b_punto_c8_p017_10" w:id="3644"/>
      <w:r>
        <w:t xml:space="preserve">Éxito para quien tiene éxito: reconocer su mecanismo y aplicar sus lineamientos específicos.</w:t>
      </w:r>
      <w:bookmarkEnd w:id="3644"/>
    </w:p>
    <w:p>
      <w:bookmarkStart w:name="b_punto_c8_p017_11" w:id="3645"/>
      <w:r>
        <w:t xml:space="preserve">Tragedia de los comunes: el esquema marcaR 1, B3, B4, R2.</w:t>
      </w:r>
      <w:bookmarkEnd w:id="3645"/>
    </w:p>
    <w:p>
      <w:bookmarkStart w:name="b_punto_c8_p017_12" w:id="3646"/>
      <w:r>
        <w:t xml:space="preserve">Tragedia de los comunes: reconocer su mecanismo y aplicar sus lineamientos específicos.</w:t>
      </w:r>
      <w:bookmarkEnd w:id="3646"/>
    </w:p>
    <w:p>
      <w:bookmarkStart w:name="b_punto_c8_p017_13" w:id="3647"/>
      <w:r>
        <w:t xml:space="preserve">Soluciones rápidas que fallan: el esquema marcaB 1, R2.</w:t>
      </w:r>
      <w:bookmarkEnd w:id="3647"/>
    </w:p>
    <w:p>
      <w:bookmarkStart w:name="b_punto_c8_p017_14" w:id="3648"/>
      <w:r>
        <w:t xml:space="preserve">Soluciones rápidas que fallan: reconocer su mecanismo y aplicar sus lineamientos específicos.</w:t>
      </w:r>
      <w:bookmarkEnd w:id="3648"/>
    </w:p>
    <w:p>
      <w:bookmarkStart w:name="b_punto_c8_p017_15" w:id="3649"/>
      <w:r>
        <w:t xml:space="preserve">Crecimiento y subinversión: el esquema marcaR 1, B2, B3.</w:t>
      </w:r>
      <w:bookmarkEnd w:id="3649"/>
    </w:p>
    <w:p>
      <w:bookmarkStart w:name="b_punto_c8_p017_16" w:id="3650"/>
      <w:r>
        <w:t xml:space="preserve">Crecimiento y subinversión: reconocer su mecanismo y aplicar sus lineamientos específicos.</w:t>
      </w:r>
      <w:bookmarkEnd w:id="3650"/>
    </w:p>
    <w:p>
      <w:pPr>
        <w:pStyle w:val="Heading3"/>
      </w:pPr>
      <w:bookmarkStart w:name="b_pagina_4_1_C_8_p18" w:id="3651"/>
      <w:r>
        <w:t xml:space="preserve">C-8 · página 18 · Desplazamiento de la carga</w:t>
      </w:r>
      <w:bookmarkEnd w:id="3651"/>
    </w:p>
    <w:p>
      <w:pPr>
        <w:pStyle w:val="Normal"/>
      </w:pPr>
      <w:r>
        <w:t xml:space="preserve">El alivio sintomático puede debilitar la solución fundamental y producir dependencia.</w:t>
      </w:r>
    </w:p>
    <w:p>
      <w:pPr>
        <w:pStyle w:val="Fuente"/>
      </w:pPr>
      <w:r>
        <w:t xml:space="preserve">Proyección o explicación: Clase 22 · 01:08:00 · captura c22-13.</w:t>
      </w:r>
    </w:p>
    <w:p>
      <w:pPr>
        <w:keepNext/>
        <w:spacing w:after="40" w:before="150"/>
        <w:jc w:val="center"/>
      </w:pPr>
      <w:bookmarkStart w:name="b_figura_original_pagina_C_8_18" w:id="3652"/>
      <w:bookmarkEnd w:id="3652"/>
      <w:r>
        <w:drawing>
          <wp:inline distT="0" distB="0" distL="0" distR="0">
            <wp:extent cx="5381625" cy="3028950"/>
            <wp:effectExtent t="0" r="0" b="0" l="0"/>
            <wp:docPr id="105" name="pagina-C-8-18" descr="Presentación C-8, pág. 18. Precisión: La descripción impresa llama R1 a la solución fundamental: es una errata. La figura y la paridad de signos muestran B1 para la solución sintomática, B2 para la fundamental (con demora) y R1 para la dependencia por el efecto lateral. No se cambian esos ciclos." title="Desplazamiento de la carg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87" cstate="none"/>
                    <a:srcRect/>
                    <a:stretch>
                      <a:fillRect/>
                    </a:stretch>
                  </pic:blipFill>
                  <pic:spPr bwMode="auto">
                    <a:xfrm>
                      <a:off x="0" y="0"/>
                      <a:ext cx="5381625" cy="3028950"/>
                    </a:xfrm>
                    <a:prstGeom prst="rect">
                      <a:avLst/>
                    </a:prstGeom>
                  </pic:spPr>
                </pic:pic>
              </a:graphicData>
            </a:graphic>
          </wp:inline>
        </w:drawing>
      </w:r>
    </w:p>
    <w:p>
      <w:pPr>
        <w:pStyle w:val="PieFigura"/>
        <w:keepNext/>
      </w:pPr>
      <w:bookmarkStart w:name="b_fig_4_1_12" w:id="3653"/>
      <w:r>
        <w:t xml:space="preserve">Figura 4.1.</w:t>
      </w:r>
      <w:fldSimple w:instr="SEQ Figura \n \* ARABIC">
        <w:r>
          <w:t xml:space="preserve">12</w:t>
        </w:r>
      </w:fldSimple>
      <w:r>
        <w:t xml:space="preserve"> · Desplazamiento de la carga</w:t>
      </w:r>
      <w:bookmarkEnd w:id="3653"/>
    </w:p>
    <w:p>
      <w:pPr>
        <w:pStyle w:val="Fuente"/>
      </w:pPr>
      <w:r>
        <w:t xml:space="preserve">Presentación C-8, pág. 18. Precisión: La descripción impresa llama R1 a la solución fundamental: es una errata. La figura y la paridad de signos muestran B1 para la solución sintomática, B2 para la fundamental (con demora) y R1 para la dependencia por el efecto lateral. No se cambian esos ciclos.</w:t>
      </w:r>
    </w:p>
    <w:p>
      <w:bookmarkStart w:name="b_punto_c8_p018_01" w:id="3654"/>
      <w:r>
        <w:t xml:space="preserve">Soluciones sintomática y fundamental forman dos balances; la erosión de la fundamental cierra un refuerzo.</w:t>
      </w:r>
      <w:bookmarkEnd w:id="3654"/>
    </w:p>
    <w:p>
      <w:bookmarkStart w:name="b_punto_c8_p018_02" w:id="3655"/>
      <w:r>
        <w:t xml:space="preserve">Cuando el efecto lateral domina puede hablarse de adicción; la perspectiva influye en qué se considera fundamental.</w:t>
      </w:r>
      <w:bookmarkEnd w:id="3655"/>
    </w:p>
    <w:p>
      <w:bookmarkStart w:name="b_punto_c8_p018_03" w:id="3656"/>
      <w:r>
        <w:t xml:space="preserve">Los siete pasos de Kim contrastan síntomas, alivios, efectos sobre otros, soluciones fundamentales, erosión, ciclos e intervenciones compartidas.</w:t>
      </w:r>
      <w:bookmarkEnd w:id="3656"/>
    </w:p>
    <w:p>
      <w:bookmarkStart w:name="b_punto_c8_p018_04" w:id="3657"/>
      <w:r>
        <w:t xml:space="preserve">El caso de vehículos enlaza intervenciones de ruido/vibración/aspereza y chasis; requiere coordinar ambas perspectivas.</w:t>
      </w:r>
      <w:bookmarkEnd w:id="3657"/>
    </w:p>
    <w:p>
      <w:bookmarkStart w:name="b_punto_c8_p018_05" w:id="3658"/>
      <w:r>
        <w:t xml:space="preserve">En desplazamiento de la carga, B1 representa alivio sintomático, B2 la solución fundamental con demora y R1 la dependencia mediante el efecto lateral.</w:t>
      </w:r>
      <w:bookmarkEnd w:id="3658"/>
    </w:p>
    <w:p>
      <w:pPr>
        <w:pStyle w:val="Heading3"/>
      </w:pPr>
      <w:bookmarkStart w:name="b_pagina_4_1_C_8_p19" w:id="3659"/>
      <w:r>
        <w:t xml:space="preserve">C-8 · página 19 · Soporte y aprendizaje del usuario</w:t>
      </w:r>
      <w:bookmarkEnd w:id="3659"/>
    </w:p>
    <w:p>
      <w:pPr>
        <w:pStyle w:val="Normal"/>
      </w:pPr>
      <w:r>
        <w:t xml:space="preserve">La dependencia del experto evita aprender y termina saturando el soporte.</w:t>
      </w:r>
    </w:p>
    <w:p>
      <w:pPr>
        <w:pStyle w:val="Fuente"/>
      </w:pPr>
      <w:r>
        <w:t xml:space="preserve">Proyección o explicación: Clase 22 · 01:22:28 · captura c22-13.</w:t>
      </w:r>
    </w:p>
    <w:p>
      <w:bookmarkStart w:name="b_punto_c8_p019_01" w:id="3660"/>
      <w:r>
        <w:t xml:space="preserve">Soporte corrige la aplicación y alivia la dificultad inmediata.</w:t>
      </w:r>
      <w:bookmarkEnd w:id="3660"/>
    </w:p>
    <w:p>
      <w:bookmarkStart w:name="b_punto_c8_p019_02" w:id="3661"/>
      <w:r>
        <w:t xml:space="preserve">El usuario deja de aprender, pierde capacidad propia y aumenta dependencia.</w:t>
      </w:r>
      <w:bookmarkEnd w:id="3661"/>
    </w:p>
    <w:p>
      <w:bookmarkStart w:name="b_punto_c8_p019_03" w:id="3662"/>
      <w:r>
        <w:t xml:space="preserve">La demanda agregada satura soporte y eleva tiempos de respuesta.</w:t>
      </w:r>
      <w:bookmarkEnd w:id="3662"/>
    </w:p>
    <w:p>
      <w:bookmarkStart w:name="b_punto_c8_p019_04" w:id="3663"/>
      <w:r>
        <w:t xml:space="preserve">Aprender y practicar son solución fundamental demorada, que exige disciplina del usuario y del soporte.</w:t>
      </w:r>
      <w:bookmarkEnd w:id="3663"/>
    </w:p>
    <w:p>
      <w:pPr>
        <w:pStyle w:val="Heading3"/>
      </w:pPr>
      <w:bookmarkStart w:name="b_pagina_4_1_C_8_p20" w:id="3664"/>
      <w:r>
        <w:t xml:space="preserve">C-8 · página 20 · Hábitos y arquetipos para decidir</w:t>
      </w:r>
      <w:bookmarkEnd w:id="3664"/>
    </w:p>
    <w:p>
      <w:pPr>
        <w:pStyle w:val="Normal"/>
      </w:pPr>
      <w:r>
        <w:t xml:space="preserve">Síntesis de consecuencias y comprensión completa para aprender patrones y actuar.</w:t>
      </w:r>
    </w:p>
    <w:p>
      <w:pPr>
        <w:pStyle w:val="Fuente"/>
      </w:pPr>
      <w:r>
        <w:t xml:space="preserve">Proyección o explicación: Clase 23 · 00:04:44 · captura c23-01.</w:t>
      </w:r>
    </w:p>
    <w:p>
      <w:bookmarkStart w:name="b_punto_c8_p020_03" w:id="3665"/>
      <w:r>
        <w:t xml:space="preserve">Los arquetipos son estructuras recurrentes que ayudan a transferir comprensión entre casos.</w:t>
      </w:r>
      <w:bookmarkEnd w:id="3665"/>
    </w:p>
    <w:p>
      <w:pPr>
        <w:pStyle w:val="Fuente"/>
      </w:pPr>
      <w:r>
        <w:t xml:space="preserve">Véase </w:t>
      </w:r>
      <w:hyperlink w:history="1" w:anchor="b_4_7">
        <w:r>
          <w:rPr>
            <w:color w:val="156B70"/>
            <w:u w:val="single"/>
          </w:rPr>
          <w:t xml:space="preserve">capítulo 4.7 · Hábitos (simulación)</w:t>
        </w:r>
      </w:hyperlink>
      <w:r>
        <w:t xml:space="preserve">, pág. </w:t>
      </w:r>
      <w:r>
        <w:fldChar w:fldCharType="begin"/>
        <w:instrText xml:space="preserve">PAGEREF b_4_7 \h</w:instrText>
        <w:fldChar w:fldCharType="separate"/>
        <w:t xml:space="preserve">932</w:t>
        <w:fldChar w:fldCharType="end"/>
      </w:r>
      <w:r>
        <w:t xml:space="preserve">.</w:t>
      </w:r>
    </w:p>
    <w:p>
      <w:pPr>
        <w:pStyle w:val="Heading3"/>
      </w:pPr>
      <w:bookmarkStart w:name="b_pagina_4_1_C_8_p41" w:id="3666"/>
      <w:r>
        <w:t xml:space="preserve">C-8 · página 41 · Programa y calendario de Unidad 4</w:t>
      </w:r>
      <w:bookmarkEnd w:id="3666"/>
    </w:p>
    <w:p>
      <w:pPr>
        <w:pStyle w:val="Normal"/>
      </w:pPr>
      <w:r>
        <w:t xml:space="preserve">El calendario de octubre y noviembre se intercala en el repaso de los hábitos.</w:t>
      </w:r>
    </w:p>
    <w:p>
      <w:bookmarkStart w:name="b_punto_c8_p041_01" w:id="3667"/>
      <w:r>
        <w:t xml:space="preserve">Se reiteran los siete temas oficiales de la Unidad 4.</w:t>
      </w:r>
      <w:bookmarkEnd w:id="3667"/>
    </w:p>
    <w:p>
      <w:pPr>
        <w:pStyle w:val="Heading3"/>
      </w:pPr>
      <w:bookmarkStart w:name="b_pagina_4_1_C_3_p2" w:id="3668"/>
      <w:r>
        <w:t xml:space="preserve">C-3 · página 2 · Programa y calendario de abril</w:t>
      </w:r>
      <w:bookmarkEnd w:id="3668"/>
    </w:p>
    <w:p>
      <w:pPr>
        <w:pStyle w:val="Normal"/>
      </w:pPr>
      <w:r>
        <w:t xml:space="preserve">El temario se conserva, pero el calendario corresponde a una edición anterior.</w:t>
      </w:r>
    </w:p>
    <w:p>
      <w:bookmarkStart w:name="b_punto_c3_p002_01" w:id="3669"/>
      <w:r>
        <w:t xml:space="preserve">La lista académica contiene los siete temas de Unidad 4.</w:t>
      </w:r>
      <w:bookmarkEnd w:id="3669"/>
    </w:p>
    <w:p>
      <w:pPr>
        <w:pStyle w:val="Heading3"/>
      </w:pPr>
      <w:bookmarkStart w:name="b_pagina_4_1_C_3_p15" w:id="3670"/>
      <w:r>
        <w:t xml:space="preserve">C-3 · página 15 · Programa y calendario de abril</w:t>
      </w:r>
      <w:bookmarkEnd w:id="3670"/>
    </w:p>
    <w:p>
      <w:pPr>
        <w:pStyle w:val="Normal"/>
      </w:pPr>
      <w:r>
        <w:t xml:space="preserve">El temario se conserva, pero el calendario corresponde a una edición anterior.</w:t>
      </w:r>
    </w:p>
    <w:p>
      <w:bookmarkStart w:name="b_punto_c3_p015_01" w:id="3671"/>
      <w:r>
        <w:t xml:space="preserve">La lista académica contiene los siete temas de Unidad 4.</w:t>
      </w:r>
      <w:bookmarkEnd w:id="3671"/>
    </w:p>
    <w:p>
      <w:pPr>
        <w:pStyle w:val="Heading3"/>
      </w:pPr>
      <w:bookmarkStart w:name="b_pagina_4_1_C_4_p17" w:id="3672"/>
      <w:r>
        <w:t xml:space="preserve">C-4 · página 17 · Hábitos y arquetipos</w:t>
      </w:r>
      <w:bookmarkEnd w:id="3672"/>
    </w:p>
    <w:p>
      <w:pPr>
        <w:pStyle w:val="Normal"/>
      </w:pPr>
      <w:r>
        <w:t xml:space="preserve">Síntesis de consecuencias y comprensión completa; octubre añade la referencia a decidir con inteligencia sistémica.</w:t>
      </w:r>
    </w:p>
    <w:p>
      <w:pPr>
        <w:pStyle w:val="Fuente"/>
      </w:pPr>
      <w:r>
        <w:t xml:space="preserve">Proyección o explicación: Clase 23 · 00:04:44 · captura c23-01.</w:t>
      </w:r>
    </w:p>
    <w:p>
      <w:bookmarkStart w:name="b_punto_c4_p017_03" w:id="3673"/>
      <w:r>
        <w:t xml:space="preserve">Los arquetipos son estructuras recurrentes que ayudan a transferir comprensión entre casos.</w:t>
      </w:r>
      <w:bookmarkEnd w:id="3673"/>
    </w:p>
    <w:p>
      <w:pPr>
        <w:pStyle w:val="Fuente"/>
      </w:pPr>
      <w:r>
        <w:t xml:space="preserve">Véase </w:t>
      </w:r>
      <w:hyperlink w:history="1" w:anchor="b_4_7">
        <w:r>
          <w:rPr>
            <w:color w:val="156B70"/>
            <w:u w:val="single"/>
          </w:rPr>
          <w:t xml:space="preserve">capítulo 4.7 · Hábitos (simulación)</w:t>
        </w:r>
      </w:hyperlink>
      <w:r>
        <w:t xml:space="preserve">, pág. </w:t>
      </w:r>
      <w:r>
        <w:fldChar w:fldCharType="begin"/>
        <w:instrText xml:space="preserve">PAGEREF b_4_7 \h</w:instrText>
        <w:fldChar w:fldCharType="separate"/>
        <w:t xml:space="preserve">932</w:t>
        <w:fldChar w:fldCharType="end"/>
      </w:r>
      <w:r>
        <w:t xml:space="preserve">.</w:t>
      </w:r>
    </w:p>
    <w:p>
      <w:pPr>
        <w:pStyle w:val="Heading3"/>
      </w:pPr>
      <w:r>
        <w:t xml:space="preserve">Láminas de apoyo y versiones anteriores</w:t>
      </w:r>
    </w:p>
    <w:p>
      <w:pPr>
        <w:keepNext/>
        <w:spacing w:after="40" w:before="150"/>
        <w:jc w:val="center"/>
      </w:pPr>
      <w:bookmarkStart w:name="b_figura_original_pagina_C_4_5" w:id="3674"/>
      <w:bookmarkEnd w:id="3674"/>
      <w:r>
        <w:drawing>
          <wp:inline distT="0" distB="0" distL="0" distR="0">
            <wp:extent cx="5381625" cy="3028950"/>
            <wp:effectExtent t="0" r="0" b="0" l="0"/>
            <wp:docPr id="106" name="pagina-C-4-5" descr="Presentación C-4, pág. 5" title="Arquetipo sistémico: soluciones rápidas que fall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88" cstate="none"/>
                    <a:srcRect/>
                    <a:stretch>
                      <a:fillRect/>
                    </a:stretch>
                  </pic:blipFill>
                  <pic:spPr bwMode="auto">
                    <a:xfrm>
                      <a:off x="0" y="0"/>
                      <a:ext cx="5381625" cy="3028950"/>
                    </a:xfrm>
                    <a:prstGeom prst="rect">
                      <a:avLst/>
                    </a:prstGeom>
                  </pic:spPr>
                </pic:pic>
              </a:graphicData>
            </a:graphic>
          </wp:inline>
        </w:drawing>
      </w:r>
    </w:p>
    <w:p>
      <w:pPr>
        <w:pStyle w:val="PieFigura"/>
        <w:keepNext/>
      </w:pPr>
      <w:bookmarkStart w:name="b_fig_4_1_13" w:id="3675"/>
      <w:r>
        <w:t xml:space="preserve">Figura 4.1.</w:t>
      </w:r>
      <w:fldSimple w:instr="SEQ Figura \n \* ARABIC">
        <w:r>
          <w:t xml:space="preserve">13</w:t>
        </w:r>
      </w:fldSimple>
      <w:r>
        <w:t xml:space="preserve"> · Arquetipo sistémico: soluciones rápidas que fallan</w:t>
      </w:r>
      <w:bookmarkEnd w:id="3675"/>
    </w:p>
    <w:p>
      <w:pPr>
        <w:pStyle w:val="Fuente"/>
      </w:pPr>
      <w:r>
        <w:t xml:space="preserve">Presentación C-4, pág. 5</w:t>
      </w:r>
    </w:p>
    <w:p>
      <w:pPr>
        <w:keepNext/>
        <w:spacing w:after="40" w:before="150"/>
        <w:jc w:val="center"/>
      </w:pPr>
      <w:bookmarkStart w:name="b_figura_original_pagina_C_4_6" w:id="3676"/>
      <w:bookmarkEnd w:id="3676"/>
      <w:r>
        <w:drawing>
          <wp:inline distT="0" distB="0" distL="0" distR="0">
            <wp:extent cx="5381625" cy="3028950"/>
            <wp:effectExtent t="0" r="0" b="0" l="0"/>
            <wp:docPr id="107" name="pagina-C-4-6" descr="Presentación C-4, pág. 6" title="Un ejemplo de soluciones rápidas que fallan para model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89" cstate="none"/>
                    <a:srcRect/>
                    <a:stretch>
                      <a:fillRect/>
                    </a:stretch>
                  </pic:blipFill>
                  <pic:spPr bwMode="auto">
                    <a:xfrm>
                      <a:off x="0" y="0"/>
                      <a:ext cx="5381625" cy="3028950"/>
                    </a:xfrm>
                    <a:prstGeom prst="rect">
                      <a:avLst/>
                    </a:prstGeom>
                  </pic:spPr>
                </pic:pic>
              </a:graphicData>
            </a:graphic>
          </wp:inline>
        </w:drawing>
      </w:r>
    </w:p>
    <w:p>
      <w:pPr>
        <w:pStyle w:val="PieFigura"/>
        <w:keepNext/>
      </w:pPr>
      <w:bookmarkStart w:name="b_fig_4_1_14" w:id="3677"/>
      <w:r>
        <w:t xml:space="preserve">Figura 4.1.</w:t>
      </w:r>
      <w:fldSimple w:instr="SEQ Figura \n \* ARABIC">
        <w:r>
          <w:t xml:space="preserve">14</w:t>
        </w:r>
      </w:fldSimple>
      <w:r>
        <w:t xml:space="preserve"> · Un ejemplo de soluciones rápidas que fallan para modelar</w:t>
      </w:r>
      <w:bookmarkEnd w:id="3677"/>
    </w:p>
    <w:p>
      <w:pPr>
        <w:pStyle w:val="Fuente"/>
      </w:pPr>
      <w:r>
        <w:t xml:space="preserve">Presentación C-4, pág. 6</w:t>
      </w:r>
    </w:p>
    <w:p>
      <w:pPr>
        <w:keepNext/>
        <w:spacing w:after="40" w:before="150"/>
        <w:jc w:val="center"/>
      </w:pPr>
      <w:bookmarkStart w:name="b_figura_original_pagina_C_4_7" w:id="3678"/>
      <w:bookmarkEnd w:id="3678"/>
      <w:r>
        <w:drawing>
          <wp:inline distT="0" distB="0" distL="0" distR="0">
            <wp:extent cx="5381625" cy="3028950"/>
            <wp:effectExtent t="0" r="0" b="0" l="0"/>
            <wp:docPr id="108" name="pagina-C-4-7" descr="Presentación C-4, pág. 7" title="Consecuencias no desead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90" cstate="none"/>
                    <a:srcRect/>
                    <a:stretch>
                      <a:fillRect/>
                    </a:stretch>
                  </pic:blipFill>
                  <pic:spPr bwMode="auto">
                    <a:xfrm>
                      <a:off x="0" y="0"/>
                      <a:ext cx="5381625" cy="3028950"/>
                    </a:xfrm>
                    <a:prstGeom prst="rect">
                      <a:avLst/>
                    </a:prstGeom>
                  </pic:spPr>
                </pic:pic>
              </a:graphicData>
            </a:graphic>
          </wp:inline>
        </w:drawing>
      </w:r>
    </w:p>
    <w:p>
      <w:pPr>
        <w:pStyle w:val="PieFigura"/>
        <w:keepNext/>
      </w:pPr>
      <w:bookmarkStart w:name="b_fig_4_1_15" w:id="3679"/>
      <w:r>
        <w:t xml:space="preserve">Figura 4.1.</w:t>
      </w:r>
      <w:fldSimple w:instr="SEQ Figura \n \* ARABIC">
        <w:r>
          <w:t xml:space="preserve">15</w:t>
        </w:r>
      </w:fldSimple>
      <w:r>
        <w:t xml:space="preserve"> · Consecuencias no deseadas</w:t>
      </w:r>
      <w:bookmarkEnd w:id="3679"/>
    </w:p>
    <w:p>
      <w:pPr>
        <w:pStyle w:val="Fuente"/>
      </w:pPr>
      <w:r>
        <w:t xml:space="preserve">Presentación C-4, pág. 7</w:t>
      </w:r>
    </w:p>
    <w:p>
      <w:pPr>
        <w:keepNext/>
        <w:spacing w:after="40" w:before="150"/>
        <w:jc w:val="center"/>
      </w:pPr>
      <w:bookmarkStart w:name="b_figura_original_pagina_C_4_15" w:id="3680"/>
      <w:bookmarkEnd w:id="3680"/>
      <w:r>
        <w:drawing>
          <wp:inline distT="0" distB="0" distL="0" distR="0">
            <wp:extent cx="5381625" cy="3028950"/>
            <wp:effectExtent t="0" r="0" b="0" l="0"/>
            <wp:docPr id="109" name="pagina-C-4-15" descr="Presentación C-4, pág. 15. Precisión: La descripción impresa llama R1 a la solución fundamental: es una errata. La figura y la paridad de signos muestran B1 para la solución sintomática, B2 para la fundamental (con demora) y R1 para la dependencia por el efecto lateral. No se cambian esos ciclos." title="Arquetipo sistémico: desplazamiento de la carg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87" cstate="none"/>
                    <a:srcRect/>
                    <a:stretch>
                      <a:fillRect/>
                    </a:stretch>
                  </pic:blipFill>
                  <pic:spPr bwMode="auto">
                    <a:xfrm>
                      <a:off x="0" y="0"/>
                      <a:ext cx="5381625" cy="3028950"/>
                    </a:xfrm>
                    <a:prstGeom prst="rect">
                      <a:avLst/>
                    </a:prstGeom>
                  </pic:spPr>
                </pic:pic>
              </a:graphicData>
            </a:graphic>
          </wp:inline>
        </w:drawing>
      </w:r>
    </w:p>
    <w:p>
      <w:pPr>
        <w:pStyle w:val="PieFigura"/>
        <w:keepNext/>
      </w:pPr>
      <w:bookmarkStart w:name="b_fig_4_1_16" w:id="3681"/>
      <w:r>
        <w:t xml:space="preserve">Figura 4.1.</w:t>
      </w:r>
      <w:fldSimple w:instr="SEQ Figura \n \* ARABIC">
        <w:r>
          <w:t xml:space="preserve">16</w:t>
        </w:r>
      </w:fldSimple>
      <w:r>
        <w:t xml:space="preserve"> · Arquetipo sistémico: desplazamiento de la carga</w:t>
      </w:r>
      <w:bookmarkEnd w:id="3681"/>
    </w:p>
    <w:p>
      <w:pPr>
        <w:pStyle w:val="Fuente"/>
      </w:pPr>
      <w:r>
        <w:t xml:space="preserve">Presentación C-4, pág. 15. Precisión: La descripción impresa llama R1 a la solución fundamental: es una errata. La figura y la paridad de signos muestran B1 para la solución sintomática, B2 para la fundamental (con demora) y R1 para la dependencia por el efecto lateral. No se cambian esos ciclos.</w:t>
      </w:r>
    </w:p>
    <w:p>
      <w:pPr>
        <w:keepNext/>
        <w:spacing w:after="40" w:before="150"/>
        <w:jc w:val="center"/>
      </w:pPr>
      <w:bookmarkStart w:name="b_figura_original_pagina_C_4_16" w:id="3682"/>
      <w:bookmarkEnd w:id="3682"/>
      <w:r>
        <w:drawing>
          <wp:inline distT="0" distB="0" distL="0" distR="0">
            <wp:extent cx="5381625" cy="3028950"/>
            <wp:effectExtent t="0" r="0" b="0" l="0"/>
            <wp:docPr id="110" name="pagina-C-4-16" descr="Presentación C-4, pág. 16" title="Una historia del desplazamiento de la carg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91" cstate="none"/>
                    <a:srcRect/>
                    <a:stretch>
                      <a:fillRect/>
                    </a:stretch>
                  </pic:blipFill>
                  <pic:spPr bwMode="auto">
                    <a:xfrm>
                      <a:off x="0" y="0"/>
                      <a:ext cx="5381625" cy="3028950"/>
                    </a:xfrm>
                    <a:prstGeom prst="rect">
                      <a:avLst/>
                    </a:prstGeom>
                  </pic:spPr>
                </pic:pic>
              </a:graphicData>
            </a:graphic>
          </wp:inline>
        </w:drawing>
      </w:r>
    </w:p>
    <w:p>
      <w:pPr>
        <w:pStyle w:val="PieFigura"/>
        <w:keepNext/>
      </w:pPr>
      <w:bookmarkStart w:name="b_fig_4_1_17" w:id="3683"/>
      <w:r>
        <w:t xml:space="preserve">Figura 4.1.</w:t>
      </w:r>
      <w:fldSimple w:instr="SEQ Figura \n \* ARABIC">
        <w:r>
          <w:t xml:space="preserve">17</w:t>
        </w:r>
      </w:fldSimple>
      <w:r>
        <w:t xml:space="preserve"> · Una historia del desplazamiento de la carga</w:t>
      </w:r>
      <w:bookmarkEnd w:id="3683"/>
    </w:p>
    <w:p>
      <w:pPr>
        <w:pStyle w:val="Fuente"/>
      </w:pPr>
      <w:r>
        <w:t xml:space="preserve">Presentación C-4, pág. 16</w:t>
      </w:r>
    </w:p>
    <w:p>
      <w:pPr>
        <w:keepNext/>
        <w:spacing w:after="40" w:before="150"/>
        <w:jc w:val="center"/>
      </w:pPr>
      <w:bookmarkStart w:name="b_figura_original_pagina_C_4_20" w:id="3684"/>
      <w:bookmarkEnd w:id="3684"/>
      <w:r>
        <w:drawing>
          <wp:inline distT="0" distB="0" distL="0" distR="0">
            <wp:extent cx="5381625" cy="3028950"/>
            <wp:effectExtent t="0" r="0" b="0" l="0"/>
            <wp:docPr id="111" name="pagina-C-4-20" descr="Presentación C-4, pág. 20" title="Arquetipos sistémicos más comu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92" cstate="none"/>
                    <a:srcRect/>
                    <a:stretch>
                      <a:fillRect/>
                    </a:stretch>
                  </pic:blipFill>
                  <pic:spPr bwMode="auto">
                    <a:xfrm>
                      <a:off x="0" y="0"/>
                      <a:ext cx="5381625" cy="3028950"/>
                    </a:xfrm>
                    <a:prstGeom prst="rect">
                      <a:avLst/>
                    </a:prstGeom>
                  </pic:spPr>
                </pic:pic>
              </a:graphicData>
            </a:graphic>
          </wp:inline>
        </w:drawing>
      </w:r>
    </w:p>
    <w:p>
      <w:pPr>
        <w:pStyle w:val="PieFigura"/>
        <w:keepNext/>
      </w:pPr>
      <w:bookmarkStart w:name="b_fig_4_1_18" w:id="3685"/>
      <w:r>
        <w:t xml:space="preserve">Figura 4.1.</w:t>
      </w:r>
      <w:fldSimple w:instr="SEQ Figura \n \* ARABIC">
        <w:r>
          <w:t xml:space="preserve">18</w:t>
        </w:r>
      </w:fldSimple>
      <w:r>
        <w:t xml:space="preserve"> · Arquetipos sistémicos más comunes</w:t>
      </w:r>
      <w:bookmarkEnd w:id="3685"/>
    </w:p>
    <w:p>
      <w:pPr>
        <w:pStyle w:val="Fuente"/>
      </w:pPr>
      <w:r>
        <w:t xml:space="preserve">Presentación C-4, pág. 20</w:t>
      </w:r>
    </w:p>
    <w:p>
      <w:pPr>
        <w:keepNext/>
        <w:spacing w:after="40" w:before="150"/>
        <w:jc w:val="center"/>
      </w:pPr>
      <w:bookmarkStart w:name="b_figura_original_pagina_C_4_21" w:id="3686"/>
      <w:bookmarkEnd w:id="3686"/>
      <w:r>
        <w:drawing>
          <wp:inline distT="0" distB="0" distL="0" distR="0">
            <wp:extent cx="5381625" cy="3028950"/>
            <wp:effectExtent t="0" r="0" b="0" l="0"/>
            <wp:docPr id="112" name="pagina-C-4-21" descr="Presentación C-4, pág. 21" title="Arquetipos sistémicos base para comprender las dinámicas de los siste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93" cstate="none"/>
                    <a:srcRect/>
                    <a:stretch>
                      <a:fillRect/>
                    </a:stretch>
                  </pic:blipFill>
                  <pic:spPr bwMode="auto">
                    <a:xfrm>
                      <a:off x="0" y="0"/>
                      <a:ext cx="5381625" cy="3028950"/>
                    </a:xfrm>
                    <a:prstGeom prst="rect">
                      <a:avLst/>
                    </a:prstGeom>
                  </pic:spPr>
                </pic:pic>
              </a:graphicData>
            </a:graphic>
          </wp:inline>
        </w:drawing>
      </w:r>
    </w:p>
    <w:p>
      <w:pPr>
        <w:pStyle w:val="PieFigura"/>
        <w:keepNext/>
      </w:pPr>
      <w:bookmarkStart w:name="b_fig_4_1_19" w:id="3687"/>
      <w:r>
        <w:t xml:space="preserve">Figura 4.1.</w:t>
      </w:r>
      <w:fldSimple w:instr="SEQ Figura \n \* ARABIC">
        <w:r>
          <w:t xml:space="preserve">19</w:t>
        </w:r>
      </w:fldSimple>
      <w:r>
        <w:t xml:space="preserve"> · Arquetipos sistémicos base para comprender las dinámicas de los sistemas</w:t>
      </w:r>
      <w:bookmarkEnd w:id="3687"/>
    </w:p>
    <w:p>
      <w:pPr>
        <w:pStyle w:val="Fuente"/>
      </w:pPr>
      <w:r>
        <w:t xml:space="preserve">Presentación C-4, pág. 21</w:t>
      </w:r>
    </w:p>
    <w:p>
      <w:pPr>
        <w:keepNext/>
        <w:spacing w:after="40" w:before="150"/>
        <w:jc w:val="center"/>
      </w:pPr>
      <w:bookmarkStart w:name="b_figura_original_pagina_C_4_18" w:id="3688"/>
      <w:bookmarkEnd w:id="3688"/>
      <w:r>
        <w:drawing>
          <wp:inline distT="0" distB="0" distL="0" distR="0">
            <wp:extent cx="5381625" cy="3028950"/>
            <wp:effectExtent t="0" r="0" b="0" l="0"/>
            <wp:docPr id="113" name="pagina-C-4-18" descr="Presentación C-4, pág. 18. Precisión: La descripción impresa llama R1 a la solución fundamental: es una errata. La figura y la paridad de signos muestran B1 para la solución sintomática, B2 para la fundamental (con demora) y R1 para la dependencia por el efecto lateral. No se cambian esos ciclos." title="Arquetipo sistémico: desplazamiento de la carg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87" cstate="none"/>
                    <a:srcRect/>
                    <a:stretch>
                      <a:fillRect/>
                    </a:stretch>
                  </pic:blipFill>
                  <pic:spPr bwMode="auto">
                    <a:xfrm>
                      <a:off x="0" y="0"/>
                      <a:ext cx="5381625" cy="3028950"/>
                    </a:xfrm>
                    <a:prstGeom prst="rect">
                      <a:avLst/>
                    </a:prstGeom>
                  </pic:spPr>
                </pic:pic>
              </a:graphicData>
            </a:graphic>
          </wp:inline>
        </w:drawing>
      </w:r>
    </w:p>
    <w:p>
      <w:pPr>
        <w:pStyle w:val="PieFigura"/>
        <w:keepNext/>
      </w:pPr>
      <w:bookmarkStart w:name="b_fig_4_1_20" w:id="3689"/>
      <w:r>
        <w:t xml:space="preserve">Figura 4.1.</w:t>
      </w:r>
      <w:fldSimple w:instr="SEQ Figura \n \* ARABIC">
        <w:r>
          <w:t xml:space="preserve">20</w:t>
        </w:r>
      </w:fldSimple>
      <w:r>
        <w:t xml:space="preserve"> · Arquetipo sistémico: desplazamiento de la carga</w:t>
      </w:r>
      <w:bookmarkEnd w:id="3689"/>
    </w:p>
    <w:p>
      <w:pPr>
        <w:pStyle w:val="Fuente"/>
      </w:pPr>
      <w:r>
        <w:t xml:space="preserve">Presentación C-4, pág. 18. Precisión: La descripción impresa llama R1 a la solución fundamental: es una errata. La figura y la paridad de signos muestran B1 para la solución sintomática, B2 para la fundamental (con demora) y R1 para la dependencia por el efecto lateral. No se cambian esos ciclos.</w:t>
      </w:r>
    </w:p>
    <w:p>
      <w:pPr>
        <w:pStyle w:val="Heading3"/>
      </w:pPr>
      <w:r>
        <w:t xml:space="preserve">Lo que explicó el profesor en clase</w:t>
      </w:r>
    </w:p>
    <w:p>
      <w:pPr>
        <w:pStyle w:val="Heading3"/>
      </w:pPr>
      <w:bookmarkStart w:name="b_clase_4_1_c18_cap_05" w:id="3690"/>
      <w:r>
        <w:t xml:space="preserve">Clase 18 · 00:55:51–01:08:02 · La unidad IV: estructura y simulación</w:t>
      </w:r>
      <w:bookmarkEnd w:id="3690"/>
    </w:p>
    <w:p>
      <w:bookmarkStart w:name="b_punto_c18_cap_05_p01" w:id="3691"/>
      <w:r>
        <w:t xml:space="preserve">Los arquetipos son estructuras recurrentes que ayudan a reconocer patrones en sistemas de naturaleza distinta.</w:t>
      </w:r>
      <w:bookmarkEnd w:id="3691"/>
    </w:p>
    <w:p>
      <w:bookmarkStart w:name="b_punto_c18_cap_05_p02" w:id="3692"/>
      <w:r>
        <w:t xml:space="preserve">Los ciclos básicos de refuerzo y balance pueden combinarse; varios arquetipos interactúan en la estructura del sistema.</w:t>
      </w:r>
      <w:bookmarkEnd w:id="3692"/>
    </w:p>
    <w:p>
      <w:bookmarkStart w:name="b_punto_c18_cap_05_p03" w:id="3693"/>
      <w:r>
        <w:t xml:space="preserve">La lista es una referencia, no un catálogo exhaustivo; en clase se usarán algunos arquetipos.</w:t>
      </w:r>
      <w:bookmarkEnd w:id="3693"/>
    </w:p>
    <w:p>
      <w:pPr>
        <w:pStyle w:val="Fuente"/>
      </w:pPr>
      <w:r>
        <w:t xml:space="preserve">Véase </w:t>
      </w:r>
      <w:hyperlink w:history="1" w:anchor="b_4_4">
        <w:r>
          <w:rPr>
            <w:color w:val="156B70"/>
            <w:u w:val="single"/>
          </w:rPr>
          <w:t xml:space="preserve">capítulo 4.4 · Simulación con VENSIM</w:t>
        </w:r>
      </w:hyperlink>
      <w:r>
        <w:t xml:space="preserve">, pág. </w:t>
      </w:r>
      <w:r>
        <w:fldChar w:fldCharType="begin"/>
        <w:instrText xml:space="preserve">PAGEREF b_4_4 \h</w:instrText>
        <w:fldChar w:fldCharType="separate"/>
        <w:t xml:space="preserve">776</w:t>
        <w:fldChar w:fldCharType="end"/>
      </w:r>
      <w:r>
        <w:t xml:space="preserve">.</w:t>
      </w:r>
    </w:p>
    <w:p>
      <w:pPr>
        <w:pStyle w:val="Fuente"/>
      </w:pPr>
      <w:r>
        <w:t xml:space="preserve">Véase </w:t>
      </w:r>
      <w:hyperlink w:history="1" w:anchor="b_4_7">
        <w:r>
          <w:rPr>
            <w:color w:val="156B70"/>
            <w:u w:val="single"/>
          </w:rPr>
          <w:t xml:space="preserve">capítulo 4.7 · Hábitos (simulación)</w:t>
        </w:r>
      </w:hyperlink>
      <w:r>
        <w:t xml:space="preserve">, pág. </w:t>
      </w:r>
      <w:r>
        <w:fldChar w:fldCharType="begin"/>
        <w:instrText xml:space="preserve">PAGEREF b_4_7 \h</w:instrText>
        <w:fldChar w:fldCharType="separate"/>
        <w:t xml:space="preserve">932</w:t>
        <w:fldChar w:fldCharType="end"/>
      </w:r>
      <w:r>
        <w:t xml:space="preserve">.</w:t>
      </w:r>
    </w:p>
    <w:p>
      <w:pPr>
        <w:pStyle w:val="Heading3"/>
      </w:pPr>
      <w:bookmarkStart w:name="b_clase_4_1_c22_cap_03" w:id="3694"/>
      <w:r>
        <w:t xml:space="preserve">Clase 22 · 00:10:32–00:18:11 · Soluciones rápidas que fallan</w:t>
      </w:r>
      <w:bookmarkEnd w:id="3694"/>
    </w:p>
    <w:p>
      <w:bookmarkStart w:name="b_punto_c22_cap_03_p02" w:id="3695"/>
      <w:r>
        <w:t xml:space="preserve">Soluciones rápidas que fallan combina un balance que alivia un síntoma con consecuencias no intencionadas que pueden manifestarse con demora.</w:t>
      </w:r>
      <w:bookmarkEnd w:id="3695"/>
    </w:p>
    <w:p>
      <w:bookmarkStart w:name="b_punto_c22_cap_03_p03" w:id="3696"/>
      <w:r>
        <w:t xml:space="preserve">B1 intenta reducir el síntoma; resolver el síntoma no equivale a resolver la causa fundamental del problema.</w:t>
      </w:r>
      <w:bookmarkEnd w:id="3696"/>
    </w:p>
    <w:p>
      <w:bookmarkStart w:name="b_punto_c22_cap_03_p04" w:id="3697"/>
      <w:r>
        <w:t xml:space="preserve">R2 puede devolver e intensificar el síntoma después de la mejoría inicial; el retardo dificulta reconocer la consecuencia de la acción.</w:t>
      </w:r>
      <w:bookmarkEnd w:id="3697"/>
    </w:p>
    <w:p>
      <w:bookmarkStart w:name="b_punto_c22_cap_03_p05" w:id="3698"/>
      <w:r>
        <w:t xml:space="preserve">El esquema es genérico y debe interpretarse como una estructura aplicable a diferentes historias, no como el nombre automático de cualquier problema recurrente.</w:t>
      </w:r>
      <w:bookmarkEnd w:id="3698"/>
    </w:p>
    <w:p>
      <w:pPr>
        <w:pStyle w:val="Fuente"/>
      </w:pPr>
      <w:r>
        <w:t xml:space="preserve">Véase </w:t>
      </w:r>
      <w:hyperlink w:history="1" w:anchor="b_4_6">
        <w:r>
          <w:rPr>
            <w:color w:val="156B70"/>
            <w:u w:val="single"/>
          </w:rPr>
          <w:t xml:space="preserve">capítulo 4.6 · Toma de decisiones</w:t>
        </w:r>
      </w:hyperlink>
      <w:r>
        <w:t xml:space="preserve">, pág. </w:t>
      </w:r>
      <w:r>
        <w:fldChar w:fldCharType="begin"/>
        <w:instrText xml:space="preserve">PAGEREF b_4_6 \h</w:instrText>
        <w:fldChar w:fldCharType="separate"/>
        <w:t xml:space="preserve">884</w:t>
        <w:fldChar w:fldCharType="end"/>
      </w:r>
      <w:r>
        <w:t xml:space="preserve">.</w:t>
      </w:r>
    </w:p>
    <w:p>
      <w:pPr>
        <w:pStyle w:val="Heading3"/>
      </w:pPr>
      <w:bookmarkStart w:name="b_clase_4_1_c22_cap_04" w:id="3699"/>
      <w:r>
        <w:t xml:space="preserve">Clase 22 · 00:18:11–00:35:26 · Promociones y erosión de la imagen</w:t>
      </w:r>
      <w:bookmarkEnd w:id="3699"/>
    </w:p>
    <w:p>
      <w:bookmarkStart w:name="b_punto_c22_cap_04_p01" w:id="3700"/>
      <w:r>
        <w:t xml:space="preserve">En promociones, menores ventas aumentan la presión sobre ingresos, la presión induce promociones, éstas atraen compras y elevan ventas a corto plazo.</w:t>
      </w:r>
      <w:bookmarkEnd w:id="3700"/>
    </w:p>
    <w:p>
      <w:bookmarkStart w:name="b_punto_c22_cap_04_p02" w:id="3701"/>
      <w:r>
        <w:t xml:space="preserve">La repetición de descuentos puede desplazar la compra por utilidad o calidad hacia compra sólo por precio, erosionando la atractividad normal y reduciendo ventas.</w:t>
      </w:r>
      <w:bookmarkEnd w:id="3701"/>
    </w:p>
    <w:p>
      <w:bookmarkStart w:name="b_punto_c22_cap_04_p05" w:id="3702"/>
      <w:r>
        <w:t xml:space="preserve">El mismo patrón de reaparición puede ocurrir en días, meses o años; demoras largas pueden ocultar la relación entre remedio y regreso del problema.</w:t>
      </w:r>
      <w:bookmarkEnd w:id="3702"/>
    </w:p>
    <w:p>
      <w:bookmarkStart w:name="b_punto_c22_cap_04_p06" w:id="3703"/>
      <w:r>
        <w:t xml:space="preserve">Las sugerencias del arquetipo orientan a investigar causas y consecuencias de cada alternativa en vez de repetir soluciones al síntoma.</w:t>
      </w:r>
      <w:bookmarkEnd w:id="3703"/>
    </w:p>
    <w:p>
      <w:bookmarkStart w:name="b_punto_c22_cap_04_p07" w:id="3704"/>
      <w:r>
        <w:t xml:space="preserve">El modelo de promociones personaliza las variables genéricas sin cambiar la lógica B/R que ilustra consecuencias de corto, largo plazo y no intencionadas.</w:t>
      </w:r>
      <w:bookmarkEnd w:id="3704"/>
    </w:p>
    <w:p>
      <w:bookmarkStart w:name="b_punto_c22_cap_04_p09" w:id="3705"/>
      <w:r>
        <w:t xml:space="preserve">El uso continuado del remedio puede acabar impidiendo que las promociones mantengan ventas; debe observarse demanda sin descuentos.</w:t>
      </w:r>
      <w:bookmarkEnd w:id="3705"/>
    </w:p>
    <w:p>
      <w:pPr>
        <w:pStyle w:val="Fuente"/>
      </w:pPr>
      <w:r>
        <w:t xml:space="preserve">Véase </w:t>
      </w:r>
      <w:hyperlink w:history="1" w:anchor="b_4_6">
        <w:r>
          <w:rPr>
            <w:color w:val="156B70"/>
            <w:u w:val="single"/>
          </w:rPr>
          <w:t xml:space="preserve">capítulo 4.6 · Toma de decisiones</w:t>
        </w:r>
      </w:hyperlink>
      <w:r>
        <w:t xml:space="preserve">, pág. </w:t>
      </w:r>
      <w:r>
        <w:fldChar w:fldCharType="begin"/>
        <w:instrText xml:space="preserve">PAGEREF b_4_6 \h</w:instrText>
        <w:fldChar w:fldCharType="separate"/>
        <w:t xml:space="preserve">884</w:t>
        <w:fldChar w:fldCharType="end"/>
      </w:r>
      <w:r>
        <w:t xml:space="preserve">.</w:t>
      </w:r>
    </w:p>
    <w:p>
      <w:pPr>
        <w:pStyle w:val="Heading3"/>
      </w:pPr>
      <w:bookmarkStart w:name="b_clase_4_1_c22_cap_05" w:id="3706"/>
      <w:r>
        <w:t xml:space="preserve">Clase 22 · 00:35:26–00:47:24 · Judy y María: evaluar alternativas</w:t>
      </w:r>
      <w:bookmarkEnd w:id="3706"/>
    </w:p>
    <w:p>
      <w:bookmarkStart w:name="b_punto_c22_cap_05_p09" w:id="3707"/>
      <w:r>
        <w:t xml:space="preserve">Reconocer un arquetipo aprovecha conocimiento de su dinámica y orientaciones de actuación para interpretar una situación concreta con mayor rapidez.</w:t>
      </w:r>
      <w:bookmarkEnd w:id="3707"/>
    </w:p>
    <w:p>
      <w:pPr>
        <w:pStyle w:val="Fuente"/>
      </w:pPr>
      <w:r>
        <w:t xml:space="preserve">Véase </w:t>
      </w:r>
      <w:hyperlink w:history="1" w:anchor="b_senales_examen">
        <w:r>
          <w:rPr>
            <w:color w:val="156B70"/>
            <w:u w:val="single"/>
          </w:rPr>
          <w:t xml:space="preserve">1 indicación(es) de examen de este tramo, en el apéndice cronológico</w:t>
        </w:r>
      </w:hyperlink>
      <w:r>
        <w:t xml:space="preserve">, pág. </w:t>
      </w:r>
      <w:r>
        <w:fldChar w:fldCharType="begin"/>
        <w:instrText xml:space="preserve">PAGEREF b_senales_examen \h</w:instrText>
        <w:fldChar w:fldCharType="separate"/>
        <w:t xml:space="preserve">1663</w:t>
        <w:fldChar w:fldCharType="end"/>
      </w:r>
      <w:r>
        <w:t xml:space="preserve">.</w:t>
      </w:r>
    </w:p>
    <w:p>
      <w:pPr>
        <w:pStyle w:val="Fuente"/>
      </w:pPr>
      <w:r>
        <w:t xml:space="preserve">Véase </w:t>
      </w:r>
      <w:hyperlink w:history="1" w:anchor="b_4_6">
        <w:r>
          <w:rPr>
            <w:color w:val="156B70"/>
            <w:u w:val="single"/>
          </w:rPr>
          <w:t xml:space="preserve">capítulo 4.6 · Toma de decisiones</w:t>
        </w:r>
      </w:hyperlink>
      <w:r>
        <w:t xml:space="preserve">, pág. </w:t>
      </w:r>
      <w:r>
        <w:fldChar w:fldCharType="begin"/>
        <w:instrText xml:space="preserve">PAGEREF b_4_6 \h</w:instrText>
        <w:fldChar w:fldCharType="separate"/>
        <w:t xml:space="preserve">884</w:t>
        <w:fldChar w:fldCharType="end"/>
      </w:r>
      <w:r>
        <w:t xml:space="preserve">.</w:t>
      </w:r>
    </w:p>
    <w:p>
      <w:pPr>
        <w:pStyle w:val="Heading3"/>
      </w:pPr>
      <w:bookmarkStart w:name="b_clase_4_1_c22_cap_08" w:id="3708"/>
      <w:r>
        <w:t xml:space="preserve">Clase 22 · 01:07:22–01:21:08 · Desplazamiento de la carga</w:t>
      </w:r>
      <w:bookmarkEnd w:id="3708"/>
    </w:p>
    <w:p>
      <w:bookmarkStart w:name="b_punto_c22_cap_08_p01" w:id="3709"/>
      <w:r>
        <w:t xml:space="preserve">Desplazamiento de la carga contiene dos soluciones de balance y un refuerzo lateral; la rápida puede deteriorar la capacidad de aplicar la fundamental.</w:t>
      </w:r>
      <w:bookmarkEnd w:id="3709"/>
    </w:p>
    <w:p>
      <w:bookmarkStart w:name="b_punto_c22_cap_08_p02" w:id="3710"/>
      <w:r>
        <w:t xml:space="preserve">En desplazamiento de la carga, B1 representa alivio sintomático, B2 la solución fundamental con demora y R1 la dependencia mediante el efecto lateral.</w:t>
      </w:r>
      <w:bookmarkEnd w:id="3710"/>
    </w:p>
    <w:p>
      <w:bookmarkStart w:name="b_punto_c22_cap_08_p03" w:id="3711"/>
      <w:r>
        <w:t xml:space="preserve">En promociones, la solución fundamental es sostener utilidad e imagen del producto; acostumbrar al precio rebajado puede erosionar esa capacidad.</w:t>
      </w:r>
      <w:bookmarkEnd w:id="3711"/>
    </w:p>
    <w:p>
      <w:bookmarkStart w:name="b_punto_c22_cap_08_p04" w:id="3712"/>
      <w:r>
        <w:t xml:space="preserve">Trabajar horas extra puede aliviar un atraso al principio; mantener sobrecarga puede erosionar rendimiento y capacidad de sostener la solución.</w:t>
      </w:r>
      <w:bookmarkEnd w:id="3712"/>
    </w:p>
    <w:p>
      <w:bookmarkStart w:name="b_punto_c22_cap_08_p05" w:id="3713"/>
      <w:r>
        <w:t xml:space="preserve">La estructura mínima se puede ampliar: el caso de vehículos contiene dos balances locales, un refuerzo de interacción y dos balances de coordinación.</w:t>
      </w:r>
      <w:bookmarkEnd w:id="3713"/>
    </w:p>
    <w:p>
      <w:bookmarkStart w:name="b_punto_c22_cap_08_p06" w:id="3714"/>
      <w:r>
        <w:t xml:space="preserve">El ejemplo mecánico explora ruido, vibración y aspereza, refuerzos físicos y efectos sobre peso/chasis; «refuerzo» físico no equivale al signo R de un ciclo.</w:t>
      </w:r>
      <w:bookmarkEnd w:id="3714"/>
    </w:p>
    <w:p>
      <w:bookmarkStart w:name="b_punto_c22_cap_08_p07" w:id="3715"/>
      <w:r>
        <w:t xml:space="preserve">El profesor revisa su interpretación y no establece una reparación técnica definitiva; el punto académico es observar efectos cruzados y coordinación entre perspectivas.</w:t>
      </w:r>
      <w:bookmarkEnd w:id="3715"/>
    </w:p>
    <w:p>
      <w:bookmarkStart w:name="b_punto_c22_cap_08_p08" w:id="3716"/>
      <w:r>
        <w:t xml:space="preserve">Se propone hacer más explícito el deterioro de la coordinación con chasis mediante una relación adicional; queda como exploración de cómo detallar la figura.</w:t>
      </w:r>
      <w:bookmarkEnd w:id="3716"/>
    </w:p>
    <w:p>
      <w:pPr>
        <w:pStyle w:val="Heading3"/>
      </w:pPr>
      <w:bookmarkStart w:name="b_clase_4_1_c22_cap_09" w:id="3717"/>
      <w:r>
        <w:t xml:space="preserve">Clase 22 · 01:21:08–01:25:45 · Soporte técnico y aprendizaje del usuario</w:t>
      </w:r>
      <w:bookmarkEnd w:id="3717"/>
    </w:p>
    <w:p>
      <w:bookmarkStart w:name="b_punto_c22_cap_09_p01" w:id="3718"/>
      <w:r>
        <w:t xml:space="preserve">Resolver cada incidente por el usuario alivia el síntoma; capacitarlo para usar las opciones del software corresponde a la solución fundamental B2.</w:t>
      </w:r>
      <w:bookmarkEnd w:id="3718"/>
    </w:p>
    <w:p>
      <w:bookmarkStart w:name="b_punto_c22_cap_09_p02" w:id="3719"/>
      <w:r>
        <w:t xml:space="preserve">La asistencia inmediata puede acompañar el aprendizaje sin sustituirlo; se debe reconocer si el remedio es temporal o fundamental.</w:t>
      </w:r>
      <w:bookmarkEnd w:id="3719"/>
    </w:p>
    <w:p>
      <w:pPr>
        <w:pStyle w:val="Fuente"/>
      </w:pPr>
      <w:r>
        <w:t xml:space="preserve">Véase </w:t>
      </w:r>
      <w:hyperlink w:history="1" w:anchor="b_senales_examen">
        <w:r>
          <w:rPr>
            <w:color w:val="156B70"/>
            <w:u w:val="single"/>
          </w:rPr>
          <w:t xml:space="preserve">1 indicación(es) de examen de este tramo, en el apéndice cronológico</w:t>
        </w:r>
      </w:hyperlink>
      <w:r>
        <w:t xml:space="preserve">, pág. </w:t>
      </w:r>
      <w:r>
        <w:fldChar w:fldCharType="begin"/>
        <w:instrText xml:space="preserve">PAGEREF b_senales_examen \h</w:instrText>
        <w:fldChar w:fldCharType="separate"/>
        <w:t xml:space="preserve">1663</w:t>
        <w:fldChar w:fldCharType="end"/>
      </w:r>
      <w:r>
        <w:t xml:space="preserve">.</w:t>
      </w:r>
    </w:p>
    <w:p>
      <w:pPr>
        <w:pStyle w:val="Fuente"/>
      </w:pPr>
      <w:r>
        <w:t xml:space="preserve">Véase </w:t>
      </w:r>
      <w:hyperlink w:history="1" w:anchor="b_4_6">
        <w:r>
          <w:rPr>
            <w:color w:val="156B70"/>
            <w:u w:val="single"/>
          </w:rPr>
          <w:t xml:space="preserve">capítulo 4.6 · Toma de decisiones</w:t>
        </w:r>
      </w:hyperlink>
      <w:r>
        <w:t xml:space="preserve">, pág. </w:t>
      </w:r>
      <w:r>
        <w:fldChar w:fldCharType="begin"/>
        <w:instrText xml:space="preserve">PAGEREF b_4_6 \h</w:instrText>
        <w:fldChar w:fldCharType="separate"/>
        <w:t xml:space="preserve">884</w:t>
        <w:fldChar w:fldCharType="end"/>
      </w:r>
      <w:r>
        <w:t xml:space="preserve">.</w:t>
      </w:r>
    </w:p>
    <w:p>
      <w:pPr>
        <w:pStyle w:val="Heading3"/>
      </w:pPr>
      <w:bookmarkStart w:name="b_clase_4_1_c22_cap_10" w:id="3720"/>
      <w:r>
        <w:t xml:space="preserve">Clase 22 · 01:25:45–01:34:49 · Arquetipos como aprendizaje transferible</w:t>
      </w:r>
      <w:bookmarkEnd w:id="3720"/>
    </w:p>
    <w:p>
      <w:bookmarkStart w:name="b_punto_c22_cap_10_p01" w:id="3721"/>
      <w:r>
        <w:t xml:space="preserve">Los patrones básicos de balance y refuerzo también son estructuras recurrentes; los arquetipos compuestos facilitan reconocer historias conocidas.</w:t>
      </w:r>
      <w:bookmarkEnd w:id="3721"/>
    </w:p>
    <w:p>
      <w:bookmarkStart w:name="b_punto_c22_cap_10_p02" w:id="3722"/>
      <w:r>
        <w:t xml:space="preserve">El ejemplo de adicción describe una solución al estrés que puede crear efectos laterales y erosionar la capacidad de manejarlo de otro modo.</w:t>
      </w:r>
      <w:bookmarkEnd w:id="3722"/>
    </w:p>
    <w:p>
      <w:bookmarkStart w:name="b_punto_c22_cap_10_p03" w:id="3723"/>
      <w:r>
        <w:t xml:space="preserve">La exposición atribuye a Senge y estudios sistémicos la identificación de estructuras comunes en contextos diferentes; se personalizan nombres y variables, no se deduce identidad por el tema.</w:t>
      </w:r>
      <w:bookmarkEnd w:id="3723"/>
    </w:p>
    <w:p>
      <w:bookmarkStart w:name="b_punto_c22_cap_10_p04" w:id="3724"/>
      <w:r>
        <w:t xml:space="preserve">La transferencia permite ahorrar tiempo de análisis cuando se comprueba que la estructura del caso encaja con una conocida.</w:t>
      </w:r>
      <w:bookmarkEnd w:id="3724"/>
    </w:p>
    <w:p>
      <w:bookmarkStart w:name="b_punto_c22_cap_10_p05" w:id="3725"/>
      <w:r>
        <w:t xml:space="preserve">Se asigna estudiar los ocho arquetipos de la lectura y el video de tragedia de los comunes; sólo se explicaron en detalle dos durante la sesión.</w:t>
      </w:r>
      <w:bookmarkEnd w:id="3725"/>
    </w:p>
    <w:p>
      <w:bookmarkStart w:name="b_punto_c22_cap_10_p06" w:id="3726"/>
      <w:r>
        <w:t xml:space="preserve">El comentario oral suma ocho arquetipos de la hoja y los ciclos R/B básicos; el catálogo del portal distingue ocho de Pegasus y dos ampliaciones de Valentini.</w:t>
      </w:r>
      <w:bookmarkEnd w:id="3726"/>
    </w:p>
    <w:p>
      <w:pPr>
        <w:pStyle w:val="Fuente"/>
      </w:pPr>
      <w:r>
        <w:t xml:space="preserve">Véase </w:t>
      </w:r>
      <w:hyperlink w:history="1" w:anchor="b_senales_examen">
        <w:r>
          <w:rPr>
            <w:color w:val="156B70"/>
            <w:u w:val="single"/>
          </w:rPr>
          <w:t xml:space="preserve">2 indicación(es) de examen de este tramo, en el apéndice cronológico</w:t>
        </w:r>
      </w:hyperlink>
      <w:r>
        <w:t xml:space="preserve">, pág. </w:t>
      </w:r>
      <w:r>
        <w:fldChar w:fldCharType="begin"/>
        <w:instrText xml:space="preserve">PAGEREF b_senales_examen \h</w:instrText>
        <w:fldChar w:fldCharType="separate"/>
        <w:t xml:space="preserve">1663</w:t>
        <w:fldChar w:fldCharType="end"/>
      </w:r>
      <w:r>
        <w:t xml:space="preserve">.</w:t>
      </w:r>
    </w:p>
    <w:p>
      <w:pPr>
        <w:pStyle w:val="Fuente"/>
      </w:pPr>
      <w:r>
        <w:t xml:space="preserve">Véase </w:t>
      </w:r>
      <w:hyperlink w:history="1" w:anchor="b_4_7">
        <w:r>
          <w:rPr>
            <w:color w:val="156B70"/>
            <w:u w:val="single"/>
          </w:rPr>
          <w:t xml:space="preserve">capítulo 4.7 · Hábitos (simulación)</w:t>
        </w:r>
      </w:hyperlink>
      <w:r>
        <w:t xml:space="preserve">, pág. </w:t>
      </w:r>
      <w:r>
        <w:fldChar w:fldCharType="begin"/>
        <w:instrText xml:space="preserve">PAGEREF b_4_7 \h</w:instrText>
        <w:fldChar w:fldCharType="separate"/>
        <w:t xml:space="preserve">932</w:t>
        <w:fldChar w:fldCharType="end"/>
      </w:r>
      <w:r>
        <w:t xml:space="preserve">.</w:t>
      </w:r>
    </w:p>
    <w:p>
      <w:pPr>
        <w:pStyle w:val="Heading3"/>
      </w:pPr>
      <w:bookmarkStart w:name="b_clase_4_1_c24_cap_01" w:id="3727"/>
      <w:r>
        <w:t xml:space="preserve">Clase 24 · 00:09:33–00:13:22 · Cierre de unidad y parcial en dos partes</w:t>
      </w:r>
      <w:bookmarkEnd w:id="3727"/>
    </w:p>
    <w:p>
      <w:pPr>
        <w:pStyle w:val="Fuente"/>
      </w:pPr>
      <w:r>
        <w:t xml:space="preserve">Véase </w:t>
      </w:r>
      <w:hyperlink w:history="1" w:anchor="b_senales_examen">
        <w:r>
          <w:rPr>
            <w:color w:val="156B70"/>
            <w:u w:val="single"/>
          </w:rPr>
          <w:t xml:space="preserve">1 indicación(es) de examen de este tramo, en el apéndice cronológico</w:t>
        </w:r>
      </w:hyperlink>
      <w:r>
        <w:t xml:space="preserve">, pág. </w:t>
      </w:r>
      <w:r>
        <w:fldChar w:fldCharType="begin"/>
        <w:instrText xml:space="preserve">PAGEREF b_senales_examen \h</w:instrText>
        <w:fldChar w:fldCharType="separate"/>
        <w:t xml:space="preserve">1663</w:t>
        <w:fldChar w:fldCharType="end"/>
      </w:r>
      <w:r>
        <w:t xml:space="preserve">.</w:t>
      </w:r>
    </w:p>
    <w:p>
      <w:pPr>
        <w:pStyle w:val="Fuente"/>
      </w:pPr>
      <w:r>
        <w:t xml:space="preserve">Véase </w:t>
      </w:r>
      <w:hyperlink w:history="1" w:anchor="b_4_3">
        <w:r>
          <w:rPr>
            <w:color w:val="156B70"/>
            <w:u w:val="single"/>
          </w:rPr>
          <w:t xml:space="preserve">capítulo 4.3 · De ciclos causales a flujos</w:t>
        </w:r>
      </w:hyperlink>
      <w:r>
        <w:t xml:space="preserve">, pág. </w:t>
      </w:r>
      <w:r>
        <w:fldChar w:fldCharType="begin"/>
        <w:instrText xml:space="preserve">PAGEREF b_4_3 \h</w:instrText>
        <w:fldChar w:fldCharType="separate"/>
        <w:t xml:space="preserve">737</w:t>
        <w:fldChar w:fldCharType="end"/>
      </w:r>
      <w:r>
        <w:t xml:space="preserve">.</w:t>
      </w:r>
    </w:p>
    <w:p>
      <w:pPr>
        <w:pStyle w:val="Heading3"/>
      </w:pPr>
      <w:bookmarkStart w:name="b_cita_clase_22_idea_3" w:id="3728"/>
      <w:r>
        <w:t xml:space="preserve">Palabras del profesor</w:t>
      </w:r>
      <w:bookmarkEnd w:id="3728"/>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El profesor lo dijo así</w:t>
            </w:r>
          </w:p>
          <w:p>
            <w:pPr>
              <w:pStyle w:val="Recuadro"/>
            </w:pPr>
            <w:r>
              <w:t xml:space="preserve">«y lo mejor es llegar a la solución de capacitar a los usuarios para que puedan aprender a usar todas las opciones del sistema, que es la solución fundamental que vemos en B2.»</w:t>
            </w:r>
          </w:p>
          <w:p>
            <w:pPr>
              <w:pStyle w:val="Recuadro"/>
            </w:pPr>
            <w:r>
              <w:t xml:space="preserve">Clase 22 · 01:22:53–01:23:05</w:t>
            </w:r>
          </w:p>
        </w:tc>
      </w:tr>
    </w:tbl>
    <w:p>
      <w:pPr>
        <w:pStyle w:val="Heading3"/>
      </w:pPr>
      <w:r>
        <w:t xml:space="preserve">Errores frecuentes y trampa de examen</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9C620A" w:sz="20"/>
              <w:bottom w:val="nil"/>
              <w:right w:val="nil"/>
            </w:tcBorders>
            <w:shd w:fill="FBF3DF" w:val="clear"/>
            <w:tcMar>
              <w:top w:type="dxa" w:w="130"/>
              <w:left w:type="dxa" w:w="180"/>
              <w:bottom w:type="dxa" w:w="130"/>
              <w:right w:type="dxa" w:w="180"/>
            </w:tcMar>
          </w:tcPr>
          <w:p>
            <w:pPr>
              <w:pStyle w:val="RecuadroTitulo"/>
            </w:pPr>
            <w:r>
              <w:rPr>
                <w:b/>
                <w:bCs/>
                <w:color w:val="9C620A"/>
              </w:rPr>
              <w:t xml:space="preserve">Error → corrección</w:t>
            </w:r>
          </w:p>
          <w:p>
            <w:pPr>
              <w:pStyle w:val="Recuadro"/>
            </w:pPr>
            <w:r>
              <w:rPr>
                <w:b/>
                <w:bCs/>
              </w:rPr>
              <w:t xml:space="preserve">Error:</w:t>
            </w:r>
            <w:r>
              <w:t xml:space="preserve"> Elegir por una palabra del enunciado.</w:t>
            </w:r>
          </w:p>
          <w:p>
            <w:pPr>
              <w:pStyle w:val="Recuadro"/>
            </w:pPr>
            <w:r>
              <w:rPr>
                <w:b/>
                <w:bCs/>
              </w:rPr>
              <w:t xml:space="preserve">Corrección:</w:t>
            </w:r>
            <w:r>
              <w:t xml:space="preserve"> Justifica la combinación de ciclos y la demora; casos con vocabulario parecido pueden tener estructuras distintas.</w:t>
            </w:r>
          </w:p>
          <w:p>
            <w:pPr>
              <w:pStyle w:val="Recuadro"/>
            </w:pPr>
            <w:r>
              <w:t xml:space="preserve">Guía de estudio · edición 20/10/2026 · pp. 6–10</w:t>
            </w:r>
          </w:p>
        </w:tc>
      </w:tr>
    </w:tbl>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9C620A" w:sz="20"/>
              <w:bottom w:val="nil"/>
              <w:right w:val="nil"/>
            </w:tcBorders>
            <w:shd w:fill="FBF3DF" w:val="clear"/>
            <w:tcMar>
              <w:top w:type="dxa" w:w="130"/>
              <w:left w:type="dxa" w:w="180"/>
              <w:bottom w:type="dxa" w:w="130"/>
              <w:right w:type="dxa" w:w="180"/>
            </w:tcMar>
          </w:tcPr>
          <w:p>
            <w:pPr>
              <w:pStyle w:val="RecuadroTitulo"/>
            </w:pPr>
            <w:r>
              <w:rPr>
                <w:b/>
                <w:bCs/>
                <w:color w:val="9C620A"/>
              </w:rPr>
              <w:t xml:space="preserve">Error → corrección</w:t>
            </w:r>
          </w:p>
          <w:p>
            <w:pPr>
              <w:pStyle w:val="Recuadro"/>
            </w:pPr>
            <w:r>
              <w:rPr>
                <w:b/>
                <w:bCs/>
              </w:rPr>
              <w:t xml:space="preserve">Error:</w:t>
            </w:r>
            <w:r>
              <w:t xml:space="preserve"> Llamar refuerzo a cualquier situación que empeora.</w:t>
            </w:r>
          </w:p>
          <w:p>
            <w:pPr>
              <w:pStyle w:val="Recuadro"/>
            </w:pPr>
            <w:r>
              <w:rPr>
                <w:b/>
                <w:bCs/>
              </w:rPr>
              <w:t xml:space="preserve">Corrección:</w:t>
            </w:r>
            <w:r>
              <w:t xml:space="preserve"> La erosión de metas puede empeorar mediante dos balances. Clasifica por signos, no por la valoración del resultado.</w:t>
            </w:r>
          </w:p>
          <w:p>
            <w:pPr>
              <w:pStyle w:val="Recuadro"/>
            </w:pPr>
            <w:r>
              <w:t xml:space="preserve">Guía de estudio · edición 20/10/2026 · pp. 6–10</w:t>
            </w:r>
          </w:p>
        </w:tc>
      </w:tr>
    </w:tbl>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9C620A" w:sz="20"/>
              <w:bottom w:val="nil"/>
              <w:right w:val="nil"/>
            </w:tcBorders>
            <w:shd w:fill="FBF3DF" w:val="clear"/>
            <w:tcMar>
              <w:top w:type="dxa" w:w="130"/>
              <w:left w:type="dxa" w:w="180"/>
              <w:bottom w:type="dxa" w:w="130"/>
              <w:right w:type="dxa" w:w="180"/>
            </w:tcMar>
          </w:tcPr>
          <w:p>
            <w:pPr>
              <w:pStyle w:val="RecuadroTitulo"/>
            </w:pPr>
            <w:r>
              <w:rPr>
                <w:b/>
                <w:bCs/>
                <w:color w:val="9C620A"/>
              </w:rPr>
              <w:t xml:space="preserve">Trampa de examen</w:t>
            </w:r>
          </w:p>
          <w:p>
            <w:pPr>
              <w:pStyle w:val="Recuadro"/>
            </w:pPr>
            <w:r>
              <w:t xml:space="preserve">Una solución rápida que falla no implica necesariamente pérdida de capacidad para resolver la causa; esa dependencia es central en desplazamiento de la carga.</w:t>
            </w:r>
          </w:p>
        </w:tc>
      </w:tr>
    </w:tbl>
    <w:p>
      <w:pPr>
        <w:pStyle w:val="Heading3"/>
      </w:pPr>
      <w:r>
        <w:t xml:space="preserve">Lecturas y tareas del curso</w:t>
      </w:r>
    </w:p>
    <w:p>
      <w:pPr>
        <w:pStyle w:val="Normal"/>
      </w:pPr>
      <w:r>
        <w:t xml:space="preserve">L-17 · Arquetipos sistémicos de un vistazo — Pegasus Communications. Una hoja con ocho arquetipos tomados de La quinta disciplina de Senge y reimpresos de The Systems Thinker: para cada uno, su diagrama de ciclos causales con los signos de cada relación, las letras R y B de sus ciclos y las demoras, una descripción y los lineamientos para reconocerlo y actuar.</w:t>
      </w:r>
    </w:p>
    <w:p>
      <w:pPr>
        <w:pStyle w:val="Normal"/>
      </w:pPr>
      <w:r>
        <w:t xml:space="preserve">L-18 · Guía práctica para el uso de los arquetipos — Daniel H. Kim y Colleen Lannon-Kim. Una hoja con los mismos ocho arquetipos vistos como herramientas: para qué sirve cada uno (planear, resolver problemas, competir, asignar recursos), siete pasos para aplicarlo y un ejemplo resuelto con su diagrama, como la escalada de los programas de viajero frecuente o el éxito del teclado QWERTY.</w:t>
      </w:r>
    </w:p>
    <w:p>
      <w:pPr>
        <w:pStyle w:val="Normal"/>
      </w:pPr>
      <w:r>
        <w:t xml:space="preserve">L-19 · Arquetipos sistémicos: detalles y ejemplos — Rodolfo Valentini. Siete páginas con el origen de los arquetipos y diez de ellos en la notación de Senge: estructura, descripción, síntoma de advertencia, principio administrativo y ejemplos. Añade a los ocho de las hojas de Pegasus la compensación entre proceso y demora y el desplazamiento de la carga hacia la intervención.</w:t>
      </w:r>
    </w:p>
    <w:p>
      <w:pPr>
        <w:pStyle w:val="Normal"/>
      </w:pPr>
      <w:r>
        <w:t xml:space="preserve">C-4 · Unidad 4b · Hábitos de un pensador sistémico: toma de decisiones sistémicas (versión de abril). Versión de abril de la presentación de decisiones (C-8 contiene la versión de octubre): 48 páginas con los hábitos de las consecuencias, de considerar un tema a fondo, del apalancamiento y de la aproximación sucesiva; los arquetipos «soluciones rápidas que fallan» y «desplazamiento de la carga» con sus historias; los doce puntos de apalancamiento de Meadows; el ciclo de mejora continua; la resiliencia y la resolución de problemas con los hábitos en cuatro etapas. Copia sin la impresión automática al abrirse.</w:t>
      </w:r>
    </w:p>
    <w:p>
      <w:pPr>
        <w:pStyle w:val="Normal"/>
      </w:pPr>
      <w:r>
        <w:t xml:space="preserve">C-8 · Unidad 4b · Toma de decisiones (versión de octubre). 57 páginas de octubre: decisiones, arquetipos, doce puntos de Meadows explicados, resiliencia, usos del modelado y ejercicios de teléfonos. Se conserva también la versión de abril C-4, cuya numeración mantienen las citas anteriores.</w:t>
      </w:r>
    </w:p>
    <w:p>
      <w:pPr>
        <w:pStyle w:val="Heading3"/>
      </w:pPr>
      <w:r>
        <w:t xml:space="preserve">Práctica de los laboratorios</w:t>
      </w:r>
    </w:p>
    <w:p>
      <w:pPr>
        <w:pStyle w:val="Normal"/>
      </w:pPr>
      <w:r>
        <w:t xml:space="preserve">Los procedimientos del capítulo permiten reconstruir en papel la práctica interactiva. Los laboratorios originales permanecen disponibles en la lección del portal.</w:t>
      </w:r>
    </w:p>
    <w:p>
      <w:pPr>
        <w:pStyle w:val="Normal"/>
        <w:numPr>
          <w:ilvl w:val="0"/>
          <w:numId w:val="2"/>
        </w:numPr>
      </w:pPr>
      <w:r>
        <w:t xml:space="preserve">Explorar estructuras y ciclos de los arquetipos</w:t>
      </w:r>
    </w:p>
    <w:p>
      <w:pPr>
        <w:pStyle w:val="Normal"/>
        <w:numPr>
          <w:ilvl w:val="0"/>
          <w:numId w:val="2"/>
        </w:numPr>
      </w:pPr>
      <w:r>
        <w:t xml:space="preserve">Diagnosticar un arquetipo a partir de un caso</w:t>
      </w:r>
    </w:p>
    <w:p>
      <w:pPr>
        <w:pStyle w:val="Normal"/>
        <w:numPr>
          <w:ilvl w:val="0"/>
          <w:numId w:val="2"/>
        </w:numPr>
      </w:pPr>
      <w:r>
        <w:t xml:space="preserve">Decidir sobre un recurso compartido</w:t>
      </w:r>
    </w:p>
    <w:p>
      <w:pPr>
        <w:pStyle w:val="Heading3"/>
      </w:pPr>
      <w:r>
        <w:t xml:space="preserve">Autoevaluación</w:t>
      </w:r>
    </w:p>
    <w:p>
      <w:pPr>
        <w:pStyle w:val="Normal"/>
      </w:pPr>
      <w:r>
        <w:t xml:space="preserve">Resuelva sin consultar las respuestas. Compruebe al final del capítulo por qué cada opción es correcta o incorrecta.</w:t>
      </w:r>
    </w:p>
    <w:p>
      <w:pPr>
        <w:pStyle w:val="Heading3"/>
      </w:pPr>
      <w:bookmarkStart w:name="b_pregunta_auto_4_1_1" w:id="3729"/>
      <w:r>
        <w:t xml:space="preserve">4.1-A1 · Según la lectura de Valentini, ¿qué significa la palabra «arquetipo»?</w:t>
      </w:r>
      <w:bookmarkEnd w:id="3729"/>
    </w:p>
    <w:p>
      <w:pPr>
        <w:pStyle w:val="Normal"/>
      </w:pPr>
      <w:r>
        <w:t xml:space="preserve">a) Un tipo de gráfica de comportamiento en el tiempo</w:t>
      </w:r>
    </w:p>
    <w:p>
      <w:pPr>
        <w:pStyle w:val="Normal"/>
      </w:pPr>
      <w:r>
        <w:t xml:space="preserve">b) Modelo primitivo u original</w:t>
      </w:r>
    </w:p>
    <w:p>
      <w:pPr>
        <w:pStyle w:val="Normal"/>
      </w:pPr>
      <w:r>
        <w:t xml:space="preserve">c) Una solución que falla</w:t>
      </w:r>
    </w:p>
    <w:p>
      <w:pPr>
        <w:pStyle w:val="Normal"/>
      </w:pPr>
      <w:r>
        <w:t xml:space="preserve">d) Un ciclo de refuerzo con demora</w:t>
      </w:r>
    </w:p>
    <w:p>
      <w:pPr>
        <w:pStyle w:val="Heading3"/>
      </w:pPr>
      <w:bookmarkStart w:name="b_pregunta_auto_4_1_2" w:id="3730"/>
      <w:r>
        <w:t xml:space="preserve">4.1-A2 · En el arquetipo «Soluciones rápidas que fallan» de la hoja de Pegasus, ¿qué tipo de ciclos tiene?</w:t>
      </w:r>
      <w:bookmarkEnd w:id="3730"/>
    </w:p>
    <w:p>
      <w:pPr>
        <w:pStyle w:val="Normal"/>
      </w:pPr>
      <w:r>
        <w:t xml:space="preserve">a) Dos ciclos de balance</w:t>
      </w:r>
    </w:p>
    <w:p>
      <w:pPr>
        <w:pStyle w:val="Normal"/>
      </w:pPr>
      <w:r>
        <w:t xml:space="preserve">b) Un ciclo de balance (B1) y uno de refuerzo (R2)</w:t>
      </w:r>
    </w:p>
    <w:p>
      <w:pPr>
        <w:pStyle w:val="Normal"/>
      </w:pPr>
      <w:r>
        <w:t xml:space="preserve">c) Dos ciclos de refuerzo</w:t>
      </w:r>
    </w:p>
    <w:p>
      <w:pPr>
        <w:pStyle w:val="Normal"/>
      </w:pPr>
      <w:r>
        <w:t xml:space="preserve">d) Un solo ciclo de refuerzo</w:t>
      </w:r>
    </w:p>
    <w:p>
      <w:pPr>
        <w:pStyle w:val="Heading3"/>
      </w:pPr>
      <w:bookmarkStart w:name="b_pregunta_auto_4_1_3" w:id="3731"/>
      <w:r>
        <w:t xml:space="preserve">4.1-A3 · Un niño se lame los labios secos para aliviarlos y con el tiempo se le agrietan y se sienten más secos. ¿Qué arquetipo es?</w:t>
      </w:r>
      <w:bookmarkEnd w:id="3731"/>
    </w:p>
    <w:p>
      <w:pPr>
        <w:pStyle w:val="Normal"/>
      </w:pPr>
      <w:r>
        <w:t xml:space="preserve">a) Erosión de metas</w:t>
      </w:r>
    </w:p>
    <w:p>
      <w:pPr>
        <w:pStyle w:val="Normal"/>
      </w:pPr>
      <w:r>
        <w:t xml:space="preserve">b) Límites del crecimiento</w:t>
      </w:r>
    </w:p>
    <w:p>
      <w:pPr>
        <w:pStyle w:val="Normal"/>
      </w:pPr>
      <w:r>
        <w:t xml:space="preserve">c) Soluciones rápidas que fallan</w:t>
      </w:r>
    </w:p>
    <w:p>
      <w:pPr>
        <w:pStyle w:val="Normal"/>
      </w:pPr>
      <w:r>
        <w:t xml:space="preserve">d) Éxito para quien tiene éxito</w:t>
      </w:r>
    </w:p>
    <w:p>
      <w:pPr>
        <w:pStyle w:val="Heading3"/>
      </w:pPr>
      <w:bookmarkStart w:name="b_pregunta_auto_4_1_4" w:id="3732"/>
      <w:r>
        <w:t xml:space="preserve">4.1-A4 · En el «Desplazamiento de la carga», ¿por qué se prefiere la solución sintomática?</w:t>
      </w:r>
      <w:bookmarkEnd w:id="3732"/>
    </w:p>
    <w:p>
      <w:pPr>
        <w:pStyle w:val="Normal"/>
      </w:pPr>
      <w:r>
        <w:t xml:space="preserve">a) Porque resuelve la causa de fondo</w:t>
      </w:r>
    </w:p>
    <w:p>
      <w:pPr>
        <w:pStyle w:val="Normal"/>
      </w:pPr>
      <w:r>
        <w:t xml:space="preserve">b) Porque alivia el síntoma rápido, mientras la solución fundamental actúa con demora</w:t>
      </w:r>
    </w:p>
    <w:p>
      <w:pPr>
        <w:pStyle w:val="Normal"/>
      </w:pPr>
      <w:r>
        <w:t xml:space="preserve">c) Porque no tiene efectos laterales</w:t>
      </w:r>
    </w:p>
    <w:p>
      <w:pPr>
        <w:pStyle w:val="Normal"/>
      </w:pPr>
      <w:r>
        <w:t xml:space="preserve">d) Porque la solución fundamental empeora el síntoma</w:t>
      </w:r>
    </w:p>
    <w:p>
      <w:pPr>
        <w:pStyle w:val="Heading3"/>
      </w:pPr>
      <w:bookmarkStart w:name="b_pregunta_auto_4_1_5" w:id="3733"/>
      <w:r>
        <w:t xml:space="preserve">4.1-A5 · Según Pegasus, ¿cuál es la diferencia crítica en la «Erosión de metas»?</w:t>
      </w:r>
      <w:bookmarkEnd w:id="3733"/>
    </w:p>
    <w:p>
      <w:pPr>
        <w:pStyle w:val="Normal"/>
      </w:pPr>
      <w:r>
        <w:t xml:space="preserve">a) Que bajar la meta cierra la diferencia de inmediato, mientras las acciones correctivas toman tiempo</w:t>
      </w:r>
    </w:p>
    <w:p>
      <w:pPr>
        <w:pStyle w:val="Normal"/>
      </w:pPr>
      <w:r>
        <w:t xml:space="preserve">b) Que la meta siempre se fija desde fuera del sistema</w:t>
      </w:r>
    </w:p>
    <w:p>
      <w:pPr>
        <w:pStyle w:val="Normal"/>
      </w:pPr>
      <w:r>
        <w:t xml:space="preserve">c) Que no existe ninguna demora</w:t>
      </w:r>
    </w:p>
    <w:p>
      <w:pPr>
        <w:pStyle w:val="Normal"/>
      </w:pPr>
      <w:r>
        <w:t xml:space="preserve">d) Que la acción correctiva aumenta la meta</w:t>
      </w:r>
    </w:p>
    <w:p>
      <w:pPr>
        <w:pStyle w:val="Heading3"/>
      </w:pPr>
      <w:bookmarkStart w:name="b_pregunta_auto_4_1_6" w:id="3734"/>
      <w:r>
        <w:t xml:space="preserve">4.1-A6 · ¿Qué principio administrativo propone Valentini para los «Límites del crecimiento»?</w:t>
      </w:r>
      <w:bookmarkEnd w:id="3734"/>
    </w:p>
    <w:p>
      <w:pPr>
        <w:pStyle w:val="Normal"/>
      </w:pPr>
      <w:r>
        <w:t xml:space="preserve">a) Presiona más el proceso de crecimiento</w:t>
      </w:r>
    </w:p>
    <w:p>
      <w:pPr>
        <w:pStyle w:val="Normal"/>
      </w:pPr>
      <w:r>
        <w:t xml:space="preserve">b) No presiones el proceso reforzador; elimina o debilita el factor limitativo</w:t>
      </w:r>
    </w:p>
    <w:p>
      <w:pPr>
        <w:pStyle w:val="Normal"/>
      </w:pPr>
      <w:r>
        <w:t xml:space="preserve">c) Busca un culpable del estancamiento</w:t>
      </w:r>
    </w:p>
    <w:p>
      <w:pPr>
        <w:pStyle w:val="Normal"/>
      </w:pPr>
      <w:r>
        <w:t xml:space="preserve">d) Baja la meta de crecimiento</w:t>
      </w:r>
    </w:p>
    <w:p>
      <w:pPr>
        <w:pStyle w:val="Heading3"/>
      </w:pPr>
      <w:bookmarkStart w:name="b_pregunta_auto_4_1_7" w:id="3735"/>
      <w:r>
        <w:t xml:space="preserve">4.1-A7 · En la «Escalada», la hoja de Pegasus marca B1 y B2. ¿Dónde está el refuerzo que hace escalar a las dos partes?</w:t>
      </w:r>
      <w:bookmarkEnd w:id="3735"/>
    </w:p>
    <w:p>
      <w:pPr>
        <w:pStyle w:val="Normal"/>
      </w:pPr>
      <w:r>
        <w:t xml:space="preserve">a) En un tercer ciclo R3 dibujado aparte</w:t>
      </w:r>
    </w:p>
    <w:p>
      <w:pPr>
        <w:pStyle w:val="Normal"/>
      </w:pPr>
      <w:r>
        <w:t xml:space="preserve">b) En la figura de 8 que forman los dos ciclos de balance</w:t>
      </w:r>
    </w:p>
    <w:p>
      <w:pPr>
        <w:pStyle w:val="Normal"/>
      </w:pPr>
      <w:r>
        <w:t xml:space="preserve">c) En la demora entre la amenaza y la actividad</w:t>
      </w:r>
    </w:p>
    <w:p>
      <w:pPr>
        <w:pStyle w:val="Normal"/>
      </w:pPr>
      <w:r>
        <w:t xml:space="preserve">d) No hay refuerzo: la escalada se estabiliza</w:t>
      </w:r>
    </w:p>
    <w:p>
      <w:pPr>
        <w:pStyle w:val="Heading3"/>
      </w:pPr>
      <w:bookmarkStart w:name="b_pregunta_auto_4_1_8" w:id="3736"/>
      <w:r>
        <w:t xml:space="preserve">4.1-A8 · En «Éxito para quien tiene éxito», ¿qué tipo de ciclos forman R1 y R2?</w:t>
      </w:r>
      <w:bookmarkEnd w:id="3736"/>
    </w:p>
    <w:p>
      <w:pPr>
        <w:pStyle w:val="Normal"/>
      </w:pPr>
      <w:r>
        <w:t xml:space="preserve">a) Uno de refuerzo y uno de balance</w:t>
      </w:r>
    </w:p>
    <w:p>
      <w:pPr>
        <w:pStyle w:val="Normal"/>
      </w:pPr>
      <w:r>
        <w:t xml:space="preserve">b) Dos de refuerzo que comparten la asignación de recursos</w:t>
      </w:r>
    </w:p>
    <w:p>
      <w:pPr>
        <w:pStyle w:val="Normal"/>
      </w:pPr>
      <w:r>
        <w:t xml:space="preserve">c) Dos de balance</w:t>
      </w:r>
    </w:p>
    <w:p>
      <w:pPr>
        <w:pStyle w:val="Normal"/>
      </w:pPr>
      <w:r>
        <w:t xml:space="preserve">d) Un solo ciclo de refuerzo</w:t>
      </w:r>
    </w:p>
    <w:p>
      <w:pPr>
        <w:pStyle w:val="Heading3"/>
      </w:pPr>
      <w:bookmarkStart w:name="b_pregunta_auto_4_1_9" w:id="3737"/>
      <w:r>
        <w:t xml:space="preserve">4.1-A9 · Según Pegasus, ¿dónde se encuentran las soluciones efectivas para una «Tragedia de los comunes»?</w:t>
      </w:r>
      <w:bookmarkEnd w:id="3737"/>
    </w:p>
    <w:p>
      <w:pPr>
        <w:pStyle w:val="Normal"/>
      </w:pPr>
      <w:r>
        <w:t xml:space="preserve">a) En el nivel individual de cada actor</w:t>
      </w:r>
    </w:p>
    <w:p>
      <w:pPr>
        <w:pStyle w:val="Normal"/>
      </w:pPr>
      <w:r>
        <w:t xml:space="preserve">b) Nunca en el nivel individual: hace falta mirar el recurso común como un todo</w:t>
      </w:r>
    </w:p>
    <w:p>
      <w:pPr>
        <w:pStyle w:val="Normal"/>
      </w:pPr>
      <w:r>
        <w:t xml:space="preserve">c) En aumentar la actividad de cada actor</w:t>
      </w:r>
    </w:p>
    <w:p>
      <w:pPr>
        <w:pStyle w:val="Normal"/>
      </w:pPr>
      <w:r>
        <w:t xml:space="preserve">d) En eliminar el recurso límite</w:t>
      </w:r>
    </w:p>
    <w:p>
      <w:pPr>
        <w:pStyle w:val="Heading3"/>
      </w:pPr>
      <w:bookmarkStart w:name="b_pregunta_auto_4_1_10" w:id="3738"/>
      <w:r>
        <w:t xml:space="preserve">4.1-A10 · ¿Qué dos arquetipos añade la lectura de Valentini a los ocho de la hoja de Pegasus?</w:t>
      </w:r>
      <w:bookmarkEnd w:id="3738"/>
    </w:p>
    <w:p>
      <w:pPr>
        <w:pStyle w:val="Normal"/>
      </w:pPr>
      <w:r>
        <w:t xml:space="preserve">a) Escalada y erosión de metas</w:t>
      </w:r>
    </w:p>
    <w:p>
      <w:pPr>
        <w:pStyle w:val="Normal"/>
      </w:pPr>
      <w:r>
        <w:t xml:space="preserve">b) Compensación entre proceso y demora, y desplazamiento de la carga hacia la intervención</w:t>
      </w:r>
    </w:p>
    <w:p>
      <w:pPr>
        <w:pStyle w:val="Normal"/>
      </w:pPr>
      <w:r>
        <w:t xml:space="preserve">c) Tragedia de los comunes y crecimiento y subinversión</w:t>
      </w:r>
    </w:p>
    <w:p>
      <w:pPr>
        <w:pStyle w:val="Normal"/>
      </w:pPr>
      <w:r>
        <w:t xml:space="preserve">d) Soluciones que fallan y apaguen ese incendio</w:t>
      </w:r>
    </w:p>
    <w:p>
      <w:pPr>
        <w:pStyle w:val="Heading3"/>
      </w:pPr>
      <w:bookmarkStart w:name="b_pregunta_auto_4_1_11" w:id="3739"/>
      <w:r>
        <w:t xml:space="preserve">4.1-A11 · «En un sistema lento, la agresividad produce inestabilidad.» ¿De qué arquetipo es este principio?</w:t>
      </w:r>
      <w:bookmarkEnd w:id="3739"/>
    </w:p>
    <w:p>
      <w:pPr>
        <w:pStyle w:val="Normal"/>
      </w:pPr>
      <w:r>
        <w:t xml:space="preserve">a) Compensación entre proceso y demora</w:t>
      </w:r>
    </w:p>
    <w:p>
      <w:pPr>
        <w:pStyle w:val="Normal"/>
      </w:pPr>
      <w:r>
        <w:t xml:space="preserve">b) Escalada</w:t>
      </w:r>
    </w:p>
    <w:p>
      <w:pPr>
        <w:pStyle w:val="Normal"/>
      </w:pPr>
      <w:r>
        <w:t xml:space="preserve">c) Crecimiento y subinversión</w:t>
      </w:r>
    </w:p>
    <w:p>
      <w:pPr>
        <w:pStyle w:val="Normal"/>
      </w:pPr>
      <w:r>
        <w:t xml:space="preserve">d) Desplazamiento de la carga</w:t>
      </w:r>
    </w:p>
    <w:p>
      <w:pPr>
        <w:pStyle w:val="Heading3"/>
      </w:pPr>
      <w:bookmarkStart w:name="b_pregunta_auto_4_1_12" w:id="3740"/>
      <w:r>
        <w:t xml:space="preserve">4.1-A12 · En la guía de Kim, ¿para qué se aplica el arquetipo «Crecimiento y subinversión»?</w:t>
      </w:r>
      <w:bookmarkEnd w:id="3740"/>
    </w:p>
    <w:p>
      <w:pPr>
        <w:pStyle w:val="Normal"/>
      </w:pPr>
      <w:r>
        <w:t xml:space="preserve">a) Para la planeación de capital</w:t>
      </w:r>
    </w:p>
    <w:p>
      <w:pPr>
        <w:pStyle w:val="Normal"/>
      </w:pPr>
      <w:r>
        <w:t xml:space="preserve">b) Para la competencia</w:t>
      </w:r>
    </w:p>
    <w:p>
      <w:pPr>
        <w:pStyle w:val="Normal"/>
      </w:pPr>
      <w:r>
        <w:t xml:space="preserve">c) Para mantener enfocada la visión</w:t>
      </w:r>
    </w:p>
    <w:p>
      <w:pPr>
        <w:pStyle w:val="Normal"/>
      </w:pPr>
      <w:r>
        <w:t xml:space="preserve">d) Para romper las diferencias organizacionales</w:t>
      </w:r>
    </w:p>
    <w:p>
      <w:pPr>
        <w:pStyle w:val="Heading3"/>
      </w:pPr>
      <w:bookmarkStart w:name="b_pregunta_auto_4_1_13" w:id="3741"/>
      <w:r>
        <w:t xml:space="preserve">4.1-A13 · «El remedio fue peor que la enfermedad» y «salió el tiro por la culata»: ¿qué arquetipo describen estos refranes, según la Cápsula 5?</w:t>
      </w:r>
      <w:bookmarkEnd w:id="3741"/>
    </w:p>
    <w:p>
      <w:pPr>
        <w:pStyle w:val="Normal"/>
      </w:pPr>
      <w:r>
        <w:t xml:space="preserve">a) Soluciones rápidas que fallan</w:t>
      </w:r>
    </w:p>
    <w:p>
      <w:pPr>
        <w:pStyle w:val="Normal"/>
      </w:pPr>
      <w:r>
        <w:t xml:space="preserve">b) Límites del crecimiento</w:t>
      </w:r>
    </w:p>
    <w:p>
      <w:pPr>
        <w:pStyle w:val="Normal"/>
      </w:pPr>
      <w:r>
        <w:t xml:space="preserve">c) Éxito para quien tiene éxito</w:t>
      </w:r>
    </w:p>
    <w:p>
      <w:pPr>
        <w:pStyle w:val="Normal"/>
      </w:pPr>
      <w:r>
        <w:t xml:space="preserve">d) Tragedia de los comunes</w:t>
      </w:r>
    </w:p>
    <w:p>
      <w:pPr>
        <w:pStyle w:val="Heading3"/>
      </w:pPr>
      <w:bookmarkStart w:name="b_pregunta_auto_4_1_14" w:id="3742"/>
      <w:r>
        <w:t xml:space="preserve">4.1-A14 · En el desplazamiento de la carga, ¿qué recomienda hacer Pineda con la solución sintomática?</w:t>
      </w:r>
      <w:bookmarkEnd w:id="3742"/>
    </w:p>
    <w:p>
      <w:pPr>
        <w:pStyle w:val="Normal"/>
      </w:pPr>
      <w:r>
        <w:t xml:space="preserve">a) Usarla sólo de manera temporal, mientras se trabaja en la solución fundamental</w:t>
      </w:r>
    </w:p>
    <w:p>
      <w:pPr>
        <w:pStyle w:val="Normal"/>
      </w:pPr>
      <w:r>
        <w:t xml:space="preserve">b) Usarla siempre, porque alivia de inmediato</w:t>
      </w:r>
    </w:p>
    <w:p>
      <w:pPr>
        <w:pStyle w:val="Normal"/>
      </w:pPr>
      <w:r>
        <w:t xml:space="preserve">c) Descartarla por completo, aunque la fundamental tarde</w:t>
      </w:r>
    </w:p>
    <w:p>
      <w:pPr>
        <w:pStyle w:val="Normal"/>
      </w:pPr>
      <w:r>
        <w:t xml:space="preserve">d) Reemplazar con ella la solución fundamental</w:t>
      </w:r>
    </w:p>
    <w:p>
      <w:pPr>
        <w:pStyle w:val="Heading3"/>
      </w:pPr>
      <w:bookmarkStart w:name="b_pregunta_auto_4_1_15" w:id="3743"/>
      <w:r>
        <w:t xml:space="preserve">4.1-A15 · Cuatro aldeanos comparten un estanque de doce peces; cada noche nace un pez por cada par. ¿Cuántos peces debe pescar cada uno al día para que todos coman siempre?</w:t>
      </w:r>
      <w:bookmarkEnd w:id="3743"/>
    </w:p>
    <w:p>
      <w:pPr>
        <w:pStyle w:val="Normal"/>
      </w:pPr>
      <w:r>
        <w:t xml:space="preserve">a) Uno</w:t>
      </w:r>
    </w:p>
    <w:p>
      <w:pPr>
        <w:pStyle w:val="Normal"/>
      </w:pPr>
      <w:r>
        <w:t xml:space="preserve">b) Dos</w:t>
      </w:r>
    </w:p>
    <w:p>
      <w:pPr>
        <w:pStyle w:val="Normal"/>
      </w:pPr>
      <w:r>
        <w:t xml:space="preserve">c) Tres</w:t>
      </w:r>
    </w:p>
    <w:p>
      <w:pPr>
        <w:pStyle w:val="Normal"/>
      </w:pPr>
      <w:r>
        <w:t xml:space="preserve">d) Ninguno</w:t>
      </w:r>
    </w:p>
    <w:p>
      <w:pPr>
        <w:pStyle w:val="Heading3"/>
      </w:pPr>
      <w:bookmarkStart w:name="b_pregunta_auto_4_1_16" w:id="3744"/>
      <w:r>
        <w:t xml:space="preserve">4.1-A16 · En el ejemplo de promociones, ¿qué puede deteriorarse con el uso reiterado?</w:t>
      </w:r>
      <w:bookmarkEnd w:id="3744"/>
    </w:p>
    <w:p>
      <w:pPr>
        <w:pStyle w:val="Normal"/>
      </w:pPr>
      <w:r>
        <w:t xml:space="preserve">a) Nunca cambian las ventas</w:t>
      </w:r>
    </w:p>
    <w:p>
      <w:pPr>
        <w:pStyle w:val="Normal"/>
      </w:pPr>
      <w:r>
        <w:t xml:space="preserve">b) La atractividad del producto sin promoción</w:t>
      </w:r>
    </w:p>
    <w:p>
      <w:pPr>
        <w:pStyle w:val="Normal"/>
      </w:pPr>
      <w:r>
        <w:t xml:space="preserve">c) La necesidad de conocer al cliente desaparece</w:t>
      </w:r>
    </w:p>
    <w:p>
      <w:pPr>
        <w:pStyle w:val="Normal"/>
      </w:pPr>
      <w:r>
        <w:t xml:space="preserve">d) Siempre mejora la imagen del producto</w:t>
      </w:r>
    </w:p>
    <w:p>
      <w:pPr>
        <w:pStyle w:val="Heading3"/>
      </w:pPr>
      <w:bookmarkStart w:name="b_pregunta_auto_4_1_17" w:id="3745"/>
      <w:r>
        <w:t xml:space="preserve">4.1-A17 · En el caso del soporte técnico, ¿cuál es la solución fundamental?</w:t>
      </w:r>
      <w:bookmarkEnd w:id="3745"/>
    </w:p>
    <w:p>
      <w:pPr>
        <w:pStyle w:val="Normal"/>
      </w:pPr>
      <w:r>
        <w:t xml:space="preserve">a) Llamar siempre para que alguien pulse las teclas</w:t>
      </w:r>
    </w:p>
    <w:p>
      <w:pPr>
        <w:pStyle w:val="Normal"/>
      </w:pPr>
      <w:r>
        <w:t xml:space="preserve">b) Repetir el mismo incidente sin investigar</w:t>
      </w:r>
    </w:p>
    <w:p>
      <w:pPr>
        <w:pStyle w:val="Normal"/>
      </w:pPr>
      <w:r>
        <w:t xml:space="preserve">c) Ocultar la dependencia del soporte</w:t>
      </w:r>
    </w:p>
    <w:p>
      <w:pPr>
        <w:pStyle w:val="Normal"/>
      </w:pPr>
      <w:r>
        <w:t xml:space="preserve">d) Aprender a usar las opciones del sistema</w:t>
      </w:r>
    </w:p>
    <w:p>
      <w:pPr>
        <w:pStyle w:val="Heading3"/>
      </w:pPr>
      <w:r>
        <w:t xml:space="preserve">Ejercicios de aplicación</w:t>
      </w:r>
    </w:p>
    <w:p>
      <w:pPr>
        <w:pStyle w:val="Heading3"/>
      </w:pPr>
      <w:bookmarkStart w:name="b_pregunta_ej_A01" w:id="3746"/>
      <w:r>
        <w:t xml:space="preserve">4.1-E1 · Caso A01</w:t>
      </w:r>
      <w:bookmarkEnd w:id="3746"/>
    </w:p>
    <w:p>
      <w:pPr>
        <w:pStyle w:val="Normal"/>
      </w:pPr>
      <w:r>
        <w:t xml:space="preserve">Una oficina acumula expedientes. Para reducir el atraso, omite la revisión de documentos. Al principio entrega más rápido. Semanas después debe corregir expedientes rechazados, lo que vuelve a aumentar el atraso.  1. Identifica el arquetipo y distingue el alivio inmediato de la consecuencia posterior. 2. Usa estas variables para cerrar dos recorridos: </w:t>
      </w:r>
      <w:r>
        <w:rPr>
          <w:b/>
          <w:bCs/>
        </w:rPr>
        <w:t xml:space="preserve">A</w:t>
      </w:r>
      <w:r>
        <w:t xml:space="preserve">, atraso; </w:t>
      </w:r>
      <w:r>
        <w:rPr>
          <w:b/>
          <w:bCs/>
        </w:rPr>
        <w:t xml:space="preserve">B</w:t>
      </w:r>
      <w:r>
        <w:t xml:space="preserve">, omisión de revisiones; </w:t>
      </w:r>
      <w:r>
        <w:rPr>
          <w:b/>
          <w:bCs/>
        </w:rPr>
        <w:t xml:space="preserve">C</w:t>
      </w:r>
      <w:r>
        <w:t xml:space="preserve">, expedientes rechazados que requieren corrección. Asigna signos a cada flecha y clasifica los ciclos. 3. Ubica la demora y propone una intervención que no dependa de omitir todavía más revisiones.</w:t>
      </w:r>
    </w:p>
    <w:p>
      <w:pPr>
        <w:pStyle w:val="Heading3"/>
      </w:pPr>
      <w:bookmarkStart w:name="b_pregunta_ej_A02" w:id="3747"/>
      <w:r>
        <w:t xml:space="preserve">4.1-E2 · Caso A02</w:t>
      </w:r>
      <w:bookmarkEnd w:id="3747"/>
    </w:p>
    <w:p>
      <w:pPr>
        <w:pStyle w:val="Normal"/>
      </w:pPr>
      <w:r>
        <w:t xml:space="preserve">Un taller recibe recomendaciones por su buen servicio. Llegan nuevos clientes, pero tiene la misma cantidad de mecánicos. Al saturarse, crecen las esperas y disminuyen las recomendaciones. La dirección propone duplicar la publicidad.  1. Identifica el arquetipo y explica cómo se cierra el crecimiento inicial antes de aparecer la saturación. 2. ¿Qué limita el crecimiento y cómo podría influir la propuesta de publicidad? 3. Propón una intervención y explica por qué importa comparar el ritmo de crecimiento con el tiempo que requiere ampliar capacidad.</w:t>
      </w:r>
    </w:p>
    <w:p>
      <w:pPr>
        <w:pStyle w:val="Heading3"/>
      </w:pPr>
      <w:bookmarkStart w:name="b_pregunta_ej_A03" w:id="3748"/>
      <w:r>
        <w:t xml:space="preserve">4.1-E3 · Caso A03</w:t>
      </w:r>
      <w:bookmarkEnd w:id="3748"/>
    </w:p>
    <w:p>
      <w:pPr>
        <w:pStyle w:val="Normal"/>
      </w:pPr>
      <w:r>
        <w:t xml:space="preserve">Dos equipos comienzan con capacidad semejante. Por una asignación inicial, A recibe más personal. Procesa más solicitudes y la dirección usa ese resultado para darle aún más personal. B procesa menos y pierde recursos.  1. Nombra el arquetipo. ¿El número de solicitudes procesadas demuestra que el personal de A es mejor? 2. Asigna signos al recorrido </w:t>
      </w:r>
      <w:r>
        <w:rPr>
          <w:rFonts w:ascii="Source Code Pro" w:cs="Source Code Pro" w:eastAsia="Source Code Pro" w:hAnsi="Source Code Pro"/>
          <w:sz w:val="18"/>
          <w:szCs w:val="18"/>
        </w:rPr>
        <w:t xml:space="preserve">Recursos de B → Resultados de B → Asignación futura para B → Recursos de B</w:t>
      </w:r>
      <w:r>
        <w:t xml:space="preserve">. Recorre la historia empezando con una disminución de recursos. 3. Propón una forma de evaluar o asignar recursos que cuestione el mecanismo identificado.</w:t>
      </w:r>
    </w:p>
    <w:p>
      <w:pPr>
        <w:pStyle w:val="Heading3"/>
      </w:pPr>
      <w:bookmarkStart w:name="b_pregunta_ej_A04" w:id="3749"/>
      <w:r>
        <w:t xml:space="preserve">4.1-E4 · Caso A04</w:t>
      </w:r>
      <w:bookmarkEnd w:id="3749"/>
    </w:p>
    <w:p>
      <w:pPr>
        <w:pStyle w:val="Normal"/>
      </w:pPr>
      <w:r>
        <w:t xml:space="preserve">Un servicio se compromete a responder en cinco minutos. En realidad tarda quince. Para poder declarar que cumple, cambia el máximo permitido a quince. Cuando el tiempo real aumenta a veinte, vuelve a ajustar el compromiso.  1. Identifica el arquetipo y explica qué cambió: desempeño, meta o ambos. 2. ¿Por qué aumentar el número de minutos permitidos reduce la exigencia? 3. Distingue las dos maneras de cerrar la brecha y plantea una medida que preserve una referencia de desempeño útil.</w:t>
      </w:r>
    </w:p>
    <w:p>
      <w:pPr>
        <w:pStyle w:val="Heading3"/>
      </w:pPr>
      <w:bookmarkStart w:name="b_pregunta_ej_A05" w:id="3750"/>
      <w:r>
        <w:t xml:space="preserve">4.1-E5 · Caso A05</w:t>
      </w:r>
      <w:bookmarkEnd w:id="3750"/>
    </w:p>
    <w:p>
      <w:pPr>
        <w:pStyle w:val="Normal"/>
      </w:pPr>
      <w:r>
        <w:t xml:space="preserve">Dos departamentos usan el mismo equipo de soporte. Cada uno mejora su atención al enviarle más solicitudes. Cuando la suma supera la capacidad de soporte, aumentan las esperas para ambos. Cada departamento insiste en enviar más solicitudes prioritarias para proteger su propio resultado.  1. Identifica el arquetipo y el recurso compartido. Explica por qué puede ocurrir aunque cada departamento persiga una mejora individual. 2. Si soporte puede resolver 100 solicitudes por día y cada departamento envía 60, ¿un reparto igual garantiza sostenibilidad? Justifica con cantidades. 3. Propón una regla que considere el uso conjunto y una medición que permita ajustarla.</w:t>
      </w:r>
    </w:p>
    <w:p>
      <w:pPr>
        <w:pStyle w:val="Heading3"/>
      </w:pPr>
      <w:bookmarkStart w:name="b_pregunta_ej_A06" w:id="3751"/>
      <w:r>
        <w:t xml:space="preserve">4.1-E6 · Caso A06</w:t>
      </w:r>
      <w:bookmarkEnd w:id="3751"/>
    </w:p>
    <w:p>
      <w:pPr>
        <w:pStyle w:val="Normal"/>
      </w:pPr>
      <w:r>
        <w:t xml:space="preserve">Dos academias comparan su presencia publicitaria. Cada vez que A aumenta su gasto, B se siente amenazada y gasta más. A interpreta la reacción como otra amenaza y aumenta de nuevo. Ninguna ha definido un límite ni una medida de éxito distinta de superar a la otra.  1. Identifica el arquetipo y recorre la respuesta de A hasta que vuelve a influir en A. 2. ¿Gastar muchísimo más rompe necesariamente el mecanismo? Explica. 3. La figura básica tiene dos ciclos de balance conectados. ¿Cómo puede su interacción intensificar la competencia? Propón un cambio en la medida competitiva o en los objetivos.</w:t>
      </w:r>
    </w:p>
    <w:p>
      <w:pPr>
        <w:pStyle w:val="Heading3"/>
      </w:pPr>
      <w:bookmarkStart w:name="b_pregunta_ej_A07" w:id="3752"/>
      <w:r>
        <w:t xml:space="preserve">4.1-E7 · Caso A07</w:t>
      </w:r>
      <w:bookmarkEnd w:id="3752"/>
    </w:p>
    <w:p>
      <w:pPr>
        <w:pStyle w:val="Normal"/>
      </w:pPr>
      <w:r>
        <w:t xml:space="preserve">Una empresa aumenta sus ventas, pero pospone contratar y capacitar al personal necesario. Las entregas se atrasan y algunos clientes se marchan. La dirección observa que ahora recibe menos pedidos y concluye que contratar habría sido un gasto inútil.  1. Identifica el arquetipo y explica por qué observar menos pedidos no demuestra por sí solo que la ampliación era innecesaria. 2. Distingue demanda atendida, demanda que abandona y capacidad. Ubica dos posibles demoras relevantes. 3. Indica qué información adicional revisaría la dirección antes de decidir la inversión.</w:t>
      </w:r>
    </w:p>
    <w:p>
      <w:pPr>
        <w:pStyle w:val="Heading3"/>
      </w:pPr>
      <w:bookmarkStart w:name="b_pregunta_ej_A08" w:id="3753"/>
      <w:r>
        <w:t xml:space="preserve">4.1-E8 · Caso A08</w:t>
      </w:r>
      <w:bookmarkEnd w:id="3753"/>
    </w:p>
    <w:p>
      <w:pPr>
        <w:pStyle w:val="Normal"/>
      </w:pPr>
      <w:r>
        <w:t xml:space="preserve">Un equipo comete errores al registrar pedidos. Una persona experta los corrige en lugar del equipo, lo que resuelve el problema inmediato. Como siempre tiene esa ayuda, el equipo abandona las prácticas de aprendizaje y necesita cada vez más correcciones. También sería posible enseñar el procedimiento y acompañar su práctica.  1. Identifica el arquetipo y clasifica: </w:t>
      </w:r>
      <w:r>
        <w:rPr>
          <w:b/>
          <w:bCs/>
        </w:rPr>
        <w:t xml:space="preserve">A</w:t>
      </w:r>
      <w:r>
        <w:t xml:space="preserve">, la experta corrige; </w:t>
      </w:r>
      <w:r>
        <w:rPr>
          <w:b/>
          <w:bCs/>
        </w:rPr>
        <w:t xml:space="preserve">B</w:t>
      </w:r>
      <w:r>
        <w:t xml:space="preserve">, el equipo aprende y practica; </w:t>
      </w:r>
      <w:r>
        <w:rPr>
          <w:b/>
          <w:bCs/>
        </w:rPr>
        <w:t xml:space="preserve">C</w:t>
      </w:r>
      <w:r>
        <w:t xml:space="preserve">, aumenta la dependencia. 2. Explica por qué C no es el nombre de una solución. Reconstruye el recorrido que debilita B. 3. Propón cómo resolver una urgencia y, al mismo tiempo, fortalecer la capacidad futura.</w:t>
      </w:r>
    </w:p>
    <w:p>
      <w:pPr>
        <w:pStyle w:val="Heading3"/>
      </w:pPr>
      <w:bookmarkStart w:name="b_pregunta_ej_A09" w:id="3754"/>
      <w:r>
        <w:t xml:space="preserve">4.1-E9 · Caso A09</w:t>
      </w:r>
      <w:bookmarkEnd w:id="3754"/>
    </w:p>
    <w:p>
      <w:pPr>
        <w:pStyle w:val="Normal"/>
      </w:pPr>
      <w:r>
        <w:t xml:space="preserve">Una bodega desea mantener 100 unidades. Tiene 80 y solicita 20. Como el pedido tarda y todavía no aparece en las existencias, otra persona solicita otras 20. No hay ventas ni otros movimientos antes de que lleguen ambos pedidos.  1. Identifica la estructura o variante pertinente y calcula las existencias al recibir ambos pedidos. 2. Explica si la demora cambia la polaridad del ciclo y distingue existencias de información sobre pedidos pendientes. 3. Propón una regla que evite acumular correcciones sin observar los efectos anteriores.</w:t>
      </w:r>
    </w:p>
    <w:p>
      <w:pPr>
        <w:pStyle w:val="Heading3"/>
      </w:pPr>
      <w:bookmarkStart w:name="b_pregunta_ej_A10" w:id="3755"/>
      <w:r>
        <w:t xml:space="preserve">4.1-E10 · Caso A10</w:t>
      </w:r>
      <w:bookmarkEnd w:id="3755"/>
    </w:p>
    <w:p>
      <w:pPr>
        <w:pStyle w:val="Normal"/>
      </w:pPr>
      <w:r>
        <w:t xml:space="preserve">Durante una crisis, una sucursal recibe ayuda de un equipo de la sede central. Como la sede resuelve los ajustes necesarios, la sucursal deja de formar a su propio personal. Años después necesita ayuda externa incluso para problemas habituales.  1. Identifica el arquetipo general y la variante más específica que describe quién interviene. 2. Explica qué capacidad interna se debilita y cómo eso hace más probable pedir otra intervención. 3. Diseña una intervención externa que atienda la necesidad actual y deje más capacidad en la sucursal.</w:t>
      </w:r>
    </w:p>
    <w:p>
      <w:pPr>
        <w:pStyle w:val="Heading3"/>
      </w:pPr>
      <w:bookmarkStart w:name="b_pregunta_ej_A11" w:id="3756"/>
      <w:r>
        <w:t xml:space="preserve">4.1-E11 · Recuperar nombres y estructuras</w:t>
      </w:r>
      <w:bookmarkEnd w:id="3756"/>
    </w:p>
    <w:p>
      <w:pPr>
        <w:pStyle w:val="Normal"/>
      </w:pPr>
      <w:r>
        <w:t xml:space="preserve">Sin mirar la lista, escribe los ocho arquetipos de Pegasus/Kim y las dos variantes adicionales de Valentini. Elige dos con síntomas parecidos, explica la estructura que los distingue y una intervención específica para cada uno.</w:t>
      </w:r>
    </w:p>
    <w:p>
      <w:pPr>
        <w:pStyle w:val="Heading3"/>
      </w:pPr>
      <w:bookmarkStart w:name="b_pregunta_ej_A12" w:id="3757"/>
      <w:r>
        <w:t xml:space="preserve">4.1-E12 · Los siete pasos de cada arquetipo</w:t>
      </w:r>
      <w:bookmarkEnd w:id="3757"/>
    </w:p>
    <w:p>
      <w:pPr>
        <w:pStyle w:val="Normal"/>
      </w:pPr>
      <w:r>
        <w:t xml:space="preserve">Elige un caso de cada uno de los ocho arquetipos de Kim. Reconstruye sus siete pasos específicos y explica qué evidencia buscarías en cada paso. Comprueba las ocho secuencias; no uses una receta universal ni los diez lineamientos de dibujo de DCC.</w:t>
      </w:r>
    </w:p>
    <w:p>
      <w:pPr>
        <w:pStyle w:val="Heading3"/>
      </w:pPr>
      <w:bookmarkStart w:name="b_solucionario_4_1" w:id="3758"/>
      <w:r>
        <w:t xml:space="preserve">Solucionario del capítulo</w:t>
      </w:r>
      <w:bookmarkEnd w:id="3758"/>
    </w:p>
    <w:p>
      <w:pPr>
        <w:pStyle w:val="Heading3"/>
      </w:pPr>
      <w:r>
        <w:t xml:space="preserve">4.1-A1</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b) Modelo primitivo u original</w:t>
            </w:r>
          </w:p>
        </w:tc>
      </w:tr>
    </w:tbl>
    <w:p>
      <w:pPr>
        <w:pStyle w:val="Normal"/>
      </w:pPr>
      <w:r>
        <w:t xml:space="preserve">La lectura abre con la etimología: un arquetipo es un modelo original que se repite. En sistemas, una estructura de ciclos causales que reaparece en situaciones muy distintas.</w:t>
      </w:r>
    </w:p>
    <w:p>
      <w:pPr>
        <w:pStyle w:val="Normal"/>
      </w:pPr>
      <w:r>
        <w:t xml:space="preserve">a) No: el arquetipo es una estructura de ciclos, no la gráfica que produce.</w:t>
      </w:r>
    </w:p>
    <w:p>
      <w:pPr>
        <w:pStyle w:val="Normal"/>
      </w:pPr>
      <w:r>
        <w:t xml:space="preserve">b) Correcto: viene del griego Archetypos, «modelo primitivo u original».</w:t>
      </w:r>
    </w:p>
    <w:p>
      <w:pPr>
        <w:pStyle w:val="Normal"/>
      </w:pPr>
      <w:r>
        <w:t xml:space="preserve">c) No: «soluciones rápidas que fallan» es sólo uno de los arquetipos.</w:t>
      </w:r>
    </w:p>
    <w:p>
      <w:pPr>
        <w:pStyle w:val="Normal"/>
      </w:pPr>
      <w:r>
        <w:t xml:space="preserve">d) No: hay arquetipos con varios ciclos de los dos tipos.</w:t>
      </w:r>
    </w:p>
    <w:p>
      <w:pPr>
        <w:pStyle w:val="Fuente"/>
      </w:pPr>
      <w:r>
        <w:t xml:space="preserve">lectura L-19 · pág. 1</w:t>
      </w:r>
    </w:p>
    <w:p>
      <w:pPr>
        <w:pStyle w:val="Heading3"/>
      </w:pPr>
      <w:r>
        <w:t xml:space="preserve">4.1-A2</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b) Un ciclo de balance (B1) y uno de refuerzo (R2)</w:t>
            </w:r>
          </w:p>
        </w:tc>
      </w:tr>
    </w:tbl>
    <w:p>
      <w:pPr>
        <w:pStyle w:val="Normal"/>
      </w:pPr>
      <w:r>
        <w:t xml:space="preserve">Síntoma → solución (+) → síntoma (−) tiene una negativa: balance. Síntoma → solución (+) → consecuencias no intencionadas (+) → síntoma (+) no tiene negativas: refuerzo.</w:t>
      </w:r>
    </w:p>
    <w:p>
      <w:pPr>
        <w:pStyle w:val="Normal"/>
      </w:pPr>
      <w:r>
        <w:t xml:space="preserve">a) No: las consecuencias no intencionadas cierran un ciclo sin negativas.</w:t>
      </w:r>
    </w:p>
    <w:p>
      <w:pPr>
        <w:pStyle w:val="Normal"/>
      </w:pPr>
      <w:r>
        <w:t xml:space="preserve">b) Correcto: la solución alivia el síntoma (B1) y sus consecuencias lo agudizan (R2).</w:t>
      </w:r>
    </w:p>
    <w:p>
      <w:pPr>
        <w:pStyle w:val="Normal"/>
      </w:pPr>
      <w:r>
        <w:t xml:space="preserve">c) No: síntoma → solución → síntoma tiene una relación negativa: es balance.</w:t>
      </w:r>
    </w:p>
    <w:p>
      <w:pPr>
        <w:pStyle w:val="Normal"/>
      </w:pPr>
      <w:r>
        <w:t xml:space="preserve">d) No: también está el ciclo de balance de la solución que alivia.</w:t>
      </w:r>
    </w:p>
    <w:p>
      <w:pPr>
        <w:pStyle w:val="Fuente"/>
      </w:pPr>
      <w:r>
        <w:t xml:space="preserve">lectura L-17</w:t>
      </w:r>
    </w:p>
    <w:p>
      <w:pPr>
        <w:pStyle w:val="Heading3"/>
      </w:pPr>
      <w:r>
        <w:t xml:space="preserve">4.1-A3</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c) Soluciones rápidas que fallan</w:t>
            </w:r>
          </w:p>
        </w:tc>
      </w:tr>
    </w:tbl>
    <w:p>
      <w:pPr>
        <w:pStyle w:val="Normal"/>
      </w:pPr>
      <w:r>
        <w:t xml:space="preserve">Lamer los labios es la solución rápida que alivia el síntoma (B1); los labios agrietados son la consecuencia no deseada que lo empeora (R2).</w:t>
      </w:r>
    </w:p>
    <w:p>
      <w:pPr>
        <w:pStyle w:val="Normal"/>
      </w:pPr>
      <w:r>
        <w:t xml:space="preserve">a) No: aquí no se rebaja ninguna meta.</w:t>
      </w:r>
    </w:p>
    <w:p>
      <w:pPr>
        <w:pStyle w:val="Normal"/>
      </w:pPr>
      <w:r>
        <w:t xml:space="preserve">b) No: no hay un crecimiento que choque con un límite.</w:t>
      </w:r>
    </w:p>
    <w:p>
      <w:pPr>
        <w:pStyle w:val="Normal"/>
      </w:pPr>
      <w:r>
        <w:t xml:space="preserve">c) Correcto: es el ejemplo que la presentación 4b propone para modelar este arquetipo.</w:t>
      </w:r>
    </w:p>
    <w:p>
      <w:pPr>
        <w:pStyle w:val="Normal"/>
      </w:pPr>
      <w:r>
        <w:t xml:space="preserve">d) No: no hay dos actividades compitiendo por recursos.</w:t>
      </w:r>
    </w:p>
    <w:p>
      <w:pPr>
        <w:pStyle w:val="Fuente"/>
      </w:pPr>
      <w:r>
        <w:t xml:space="preserve">presentación 4b · pág. 6</w:t>
      </w:r>
    </w:p>
    <w:p>
      <w:pPr>
        <w:pStyle w:val="Heading3"/>
      </w:pPr>
      <w:r>
        <w:t xml:space="preserve">4.1-A4</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b) Porque alivia el síntoma rápido, mientras la solución fundamental actúa con demora</w:t>
            </w:r>
          </w:p>
        </w:tc>
      </w:tr>
    </w:tbl>
    <w:p>
      <w:pPr>
        <w:pStyle w:val="Normal"/>
      </w:pPr>
      <w:r>
        <w:t xml:space="preserve">B1 es la solución del síntoma, rápida; B2 la fundamental, con demora. El efecto lateral de la primera debilita la segunda y crea el ciclo de refuerzo R1 de la dependencia.</w:t>
      </w:r>
    </w:p>
    <w:p>
      <w:pPr>
        <w:pStyle w:val="Normal"/>
      </w:pPr>
      <w:r>
        <w:t xml:space="preserve">a) No: lo que resuelve la causa es la solución fundamental.</w:t>
      </w:r>
    </w:p>
    <w:p>
      <w:pPr>
        <w:pStyle w:val="Normal"/>
      </w:pPr>
      <w:r>
        <w:t xml:space="preserve">b) Correcto: la hoja marca «Demora» en la solución fundamental; la sintomática da alivio inmediato.</w:t>
      </w:r>
    </w:p>
    <w:p>
      <w:pPr>
        <w:pStyle w:val="Normal"/>
      </w:pPr>
      <w:r>
        <w:t xml:space="preserve">c) No: su efecto lateral es justamente lo que debilita la solución fundamental mediante el refuerzo R1 de dependencia; la solución fundamental cierra B2.</w:t>
      </w:r>
    </w:p>
    <w:p>
      <w:pPr>
        <w:pStyle w:val="Normal"/>
      </w:pPr>
      <w:r>
        <w:t xml:space="preserve">d) No: la solución fundamental también reduce el síntoma, sólo que tarde.</w:t>
      </w:r>
    </w:p>
    <w:p>
      <w:pPr>
        <w:pStyle w:val="Fuente"/>
      </w:pPr>
      <w:r>
        <w:t xml:space="preserve">lectura L-17</w:t>
      </w:r>
    </w:p>
    <w:p>
      <w:pPr>
        <w:pStyle w:val="Heading3"/>
      </w:pPr>
      <w:r>
        <w:t xml:space="preserve">4.1-A5</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a) Que bajar la meta cierra la diferencia de inmediato, mientras las acciones correctivas toman tiempo</w:t>
            </w:r>
          </w:p>
        </w:tc>
      </w:tr>
    </w:tbl>
    <w:p>
      <w:pPr>
        <w:pStyle w:val="Normal"/>
      </w:pPr>
      <w:r>
        <w:t xml:space="preserve">«La diferencia crítica es que bajar la meta cierra de forma instantánea la diferencia, mientras que usualmente las acciones correctivas toman tiempo». El principio de Valentini es «Sostén la visión».</w:t>
      </w:r>
    </w:p>
    <w:p>
      <w:pPr>
        <w:pStyle w:val="Normal"/>
      </w:pPr>
      <w:r>
        <w:t xml:space="preserve">a) Correcto: por eso la presión para reducir la meta (B2) gana a la acción correctiva (B1).</w:t>
      </w:r>
    </w:p>
    <w:p>
      <w:pPr>
        <w:pStyle w:val="Normal"/>
      </w:pPr>
      <w:r>
        <w:t xml:space="preserve">b) No: al contrario, la hoja recomienda fijar metas fuera del sistema para resistir la erosión.</w:t>
      </w:r>
    </w:p>
    <w:p>
      <w:pPr>
        <w:pStyle w:val="Normal"/>
      </w:pPr>
      <w:r>
        <w:t xml:space="preserve">c) No: la demora está en la acción correctiva.</w:t>
      </w:r>
    </w:p>
    <w:p>
      <w:pPr>
        <w:pStyle w:val="Normal"/>
      </w:pPr>
      <w:r>
        <w:t xml:space="preserve">d) No: la acción correctiva mejora la situación actual, no la meta.</w:t>
      </w:r>
    </w:p>
    <w:p>
      <w:pPr>
        <w:pStyle w:val="Fuente"/>
      </w:pPr>
      <w:r>
        <w:t xml:space="preserve">lectura L-17</w:t>
      </w:r>
    </w:p>
    <w:p>
      <w:pPr>
        <w:pStyle w:val="Heading3"/>
      </w:pPr>
      <w:r>
        <w:t xml:space="preserve">4.1-A6</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b) No presiones el proceso reforzador; elimina o debilita el factor limitativo</w:t>
            </w:r>
          </w:p>
        </w:tc>
      </w:tr>
    </w:tbl>
    <w:p>
      <w:pPr>
        <w:pStyle w:val="Normal"/>
      </w:pPr>
      <w:r>
        <w:t xml:space="preserve">El crecimiento se frena por un proceso de balance que se activa al llegar al límite; empujar el refuerzo sólo choca más fuerte contra él.</w:t>
      </w:r>
    </w:p>
    <w:p>
      <w:pPr>
        <w:pStyle w:val="Normal"/>
      </w:pPr>
      <w:r>
        <w:t xml:space="preserve">a) No: es la reacción intuitiva que el arquetipo advierte.</w:t>
      </w:r>
    </w:p>
    <w:p>
      <w:pPr>
        <w:pStyle w:val="Normal"/>
      </w:pPr>
      <w:r>
        <w:t xml:space="preserve">b) Correcto: es el principio literal de la lectura.</w:t>
      </w:r>
    </w:p>
    <w:p>
      <w:pPr>
        <w:pStyle w:val="Normal"/>
      </w:pPr>
      <w:r>
        <w:t xml:space="preserve">c) No: el límite está en la estructura, no en una persona.</w:t>
      </w:r>
    </w:p>
    <w:p>
      <w:pPr>
        <w:pStyle w:val="Normal"/>
      </w:pPr>
      <w:r>
        <w:t xml:space="preserve">d) No: eso es erosión de metas.</w:t>
      </w:r>
    </w:p>
    <w:p>
      <w:pPr>
        <w:pStyle w:val="Fuente"/>
      </w:pPr>
      <w:r>
        <w:t xml:space="preserve">lectura L-19 · pág. 2</w:t>
      </w:r>
    </w:p>
    <w:p>
      <w:pPr>
        <w:pStyle w:val="Heading3"/>
      </w:pPr>
      <w:r>
        <w:t xml:space="preserve">4.1-A7</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b) En la figura de 8 que forman los dos ciclos de balance</w:t>
            </w:r>
          </w:p>
        </w:tc>
      </w:tr>
    </w:tbl>
    <w:p>
      <w:pPr>
        <w:pStyle w:val="Normal"/>
      </w:pPr>
      <w:r>
        <w:t xml:space="preserve">Cada ciclo, solo, busca equilibrio; encadenados por el resultado relativo, la respuesta de una parte es la amenaza de la otra. Ese 8 no es un ciclo elemental, por eso no se cuenta aparte.</w:t>
      </w:r>
    </w:p>
    <w:p>
      <w:pPr>
        <w:pStyle w:val="Normal"/>
      </w:pPr>
      <w:r>
        <w:t xml:space="preserve">a) No: la hoja sólo dibuja dos ciclos.</w:t>
      </w:r>
    </w:p>
    <w:p>
      <w:pPr>
        <w:pStyle w:val="Normal"/>
      </w:pPr>
      <w:r>
        <w:t xml:space="preserve">b) Correcto: «el ciclo de refuerzo se puede advertir siguiendo la figura de 8 producida por los dos ciclos de balance».</w:t>
      </w:r>
    </w:p>
    <w:p>
      <w:pPr>
        <w:pStyle w:val="Normal"/>
      </w:pPr>
      <w:r>
        <w:t xml:space="preserve">c) No: la hoja no marca demoras en la escalada.</w:t>
      </w:r>
    </w:p>
    <w:p>
      <w:pPr>
        <w:pStyle w:val="Normal"/>
      </w:pPr>
      <w:r>
        <w:t xml:space="preserve">d) No: la escalada crece en las dos partes.</w:t>
      </w:r>
    </w:p>
    <w:p>
      <w:pPr>
        <w:pStyle w:val="Fuente"/>
      </w:pPr>
      <w:r>
        <w:t xml:space="preserve">lectura L-17</w:t>
      </w:r>
    </w:p>
    <w:p>
      <w:pPr>
        <w:pStyle w:val="Heading3"/>
      </w:pPr>
      <w:r>
        <w:t xml:space="preserve">4.1-A8</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b) Dos de refuerzo que comparten la asignación de recursos</w:t>
            </w:r>
          </w:p>
        </w:tc>
      </w:tr>
    </w:tbl>
    <w:p>
      <w:pPr>
        <w:pStyle w:val="Normal"/>
      </w:pPr>
      <w:r>
        <w:t xml:space="preserve">Asignación → recursos para B es negativa y éxito de B → asignación también: dos negativas hacen de R2 un ciclo de refuerzo, igual que R1.</w:t>
      </w:r>
    </w:p>
    <w:p>
      <w:pPr>
        <w:pStyle w:val="Normal"/>
      </w:pPr>
      <w:r>
        <w:t xml:space="preserve">a) No: el ciclo de B tiene dos negativas, que se anulan.</w:t>
      </w:r>
    </w:p>
    <w:p>
      <w:pPr>
        <w:pStyle w:val="Normal"/>
      </w:pPr>
      <w:r>
        <w:t xml:space="preserve">b) Correcto: A gana más (R1) y B pierde más (R2) por la misma asignación.</w:t>
      </w:r>
    </w:p>
    <w:p>
      <w:pPr>
        <w:pStyle w:val="Normal"/>
      </w:pPr>
      <w:r>
        <w:t xml:space="preserve">c) No: ninguno de los dos busca equilibrio.</w:t>
      </w:r>
    </w:p>
    <w:p>
      <w:pPr>
        <w:pStyle w:val="Normal"/>
      </w:pPr>
      <w:r>
        <w:t xml:space="preserve">d) No: hay un ciclo por cada actividad.</w:t>
      </w:r>
    </w:p>
    <w:p>
      <w:pPr>
        <w:pStyle w:val="Fuente"/>
      </w:pPr>
      <w:r>
        <w:t xml:space="preserve">lectura L-17</w:t>
      </w:r>
    </w:p>
    <w:p>
      <w:pPr>
        <w:pStyle w:val="Heading3"/>
      </w:pPr>
      <w:r>
        <w:t xml:space="preserve">4.1-A9</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b) Nunca en el nivel individual: hace falta mirar el recurso común como un todo</w:t>
            </w:r>
          </w:p>
        </w:tc>
      </w:tr>
    </w:tbl>
    <w:p>
      <w:pPr>
        <w:pStyle w:val="Normal"/>
      </w:pPr>
      <w:r>
        <w:t xml:space="preserve">Cada actor gana más actuando más (R1 y R2), pero la actividad total, con demora, reduce la ganancia de todos (B3 y B4). Ayuda una entidad que cuide el recurso o hacer real e inmediata la pérdida colectiva.</w:t>
      </w:r>
    </w:p>
    <w:p>
      <w:pPr>
        <w:pStyle w:val="Normal"/>
      </w:pPr>
      <w:r>
        <w:t xml:space="preserve">a) No: es justamente lo que la hoja descarta.</w:t>
      </w:r>
    </w:p>
    <w:p>
      <w:pPr>
        <w:pStyle w:val="Normal"/>
      </w:pPr>
      <w:r>
        <w:t xml:space="preserve">b) Correcto: «las soluciones efectivas… nunca se encuentran en el nivel individual».</w:t>
      </w:r>
    </w:p>
    <w:p>
      <w:pPr>
        <w:pStyle w:val="Normal"/>
      </w:pPr>
      <w:r>
        <w:t xml:space="preserve">c) No: más actividad sobrecarga más el común.</w:t>
      </w:r>
    </w:p>
    <w:p>
      <w:pPr>
        <w:pStyle w:val="Normal"/>
      </w:pPr>
      <w:r>
        <w:t xml:space="preserve">d) No: el recurso límite no se elimina; se administra.</w:t>
      </w:r>
    </w:p>
    <w:p>
      <w:pPr>
        <w:pStyle w:val="Fuente"/>
      </w:pPr>
      <w:r>
        <w:t xml:space="preserve">lectura L-17</w:t>
      </w:r>
    </w:p>
    <w:p>
      <w:pPr>
        <w:pStyle w:val="Heading3"/>
      </w:pPr>
      <w:r>
        <w:t xml:space="preserve">4.1-A10</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b) Compensación entre proceso y demora, y desplazamiento de la carga hacia la intervención</w:t>
            </w:r>
          </w:p>
        </w:tc>
      </w:tr>
    </w:tbl>
    <w:p>
      <w:pPr>
        <w:pStyle w:val="Normal"/>
      </w:pPr>
      <w:r>
        <w:t xml:space="preserve">La página 20 de la presentación 4b reúne los ocho de Pegasus y estos dos de Valentini: diez arquetipos más comunes.</w:t>
      </w:r>
    </w:p>
    <w:p>
      <w:pPr>
        <w:pStyle w:val="Normal"/>
      </w:pPr>
      <w:r>
        <w:t xml:space="preserve">a) No: los dos están en la hoja de Pegasus.</w:t>
      </w:r>
    </w:p>
    <w:p>
      <w:pPr>
        <w:pStyle w:val="Normal"/>
      </w:pPr>
      <w:r>
        <w:t xml:space="preserve">b) Correcto: son el 1 y el 4 de su lista, y la presentación 4b los incluye entre los diez.</w:t>
      </w:r>
    </w:p>
    <w:p>
      <w:pPr>
        <w:pStyle w:val="Normal"/>
      </w:pPr>
      <w:r>
        <w:t xml:space="preserve">c) No: los dos están en la hoja de Pegasus.</w:t>
      </w:r>
    </w:p>
    <w:p>
      <w:pPr>
        <w:pStyle w:val="Normal"/>
      </w:pPr>
      <w:r>
        <w:t xml:space="preserve">d) No: son dos nombres del mismo arquetipo.</w:t>
      </w:r>
    </w:p>
    <w:p>
      <w:pPr>
        <w:pStyle w:val="Fuente"/>
      </w:pPr>
      <w:r>
        <w:t xml:space="preserve">lectura L-19 · pág. 1 · presentación 4b · pág. 20</w:t>
      </w:r>
    </w:p>
    <w:p>
      <w:pPr>
        <w:pStyle w:val="Heading3"/>
      </w:pPr>
      <w:r>
        <w:t xml:space="preserve">4.1-A11</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a) Compensación entre proceso y demora</w:t>
            </w:r>
          </w:p>
        </w:tc>
      </w:tr>
    </w:tbl>
    <w:p>
      <w:pPr>
        <w:pStyle w:val="Normal"/>
      </w:pPr>
      <w:r>
        <w:t xml:space="preserve">Un solo ciclo de balance con demora: al actuar sobre una realimentación demorada se toman más acciones correctivas de las necesarias. Ejemplos: la ducha lenta, el juego de la cerveza.</w:t>
      </w:r>
    </w:p>
    <w:p>
      <w:pPr>
        <w:pStyle w:val="Normal"/>
      </w:pPr>
      <w:r>
        <w:t xml:space="preserve">a) Correcto: quien no ve la demora corrige de más o desiste.</w:t>
      </w:r>
    </w:p>
    <w:p>
      <w:pPr>
        <w:pStyle w:val="Normal"/>
      </w:pPr>
      <w:r>
        <w:t xml:space="preserve">b) No: el principio de la escalada busca que ambas partes ganen.</w:t>
      </w:r>
    </w:p>
    <w:p>
      <w:pPr>
        <w:pStyle w:val="Normal"/>
      </w:pPr>
      <w:r>
        <w:t xml:space="preserve">c) No: su principio es construir capacidad anticipándose a la demanda.</w:t>
      </w:r>
    </w:p>
    <w:p>
      <w:pPr>
        <w:pStyle w:val="Normal"/>
      </w:pPr>
      <w:r>
        <w:t xml:space="preserve">d) No: su principio es concentrarse en la solución fundamental.</w:t>
      </w:r>
    </w:p>
    <w:p>
      <w:pPr>
        <w:pStyle w:val="Fuente"/>
      </w:pPr>
      <w:r>
        <w:t xml:space="preserve">lectura L-19 · pág. 1</w:t>
      </w:r>
    </w:p>
    <w:p>
      <w:pPr>
        <w:pStyle w:val="Heading3"/>
      </w:pPr>
      <w:r>
        <w:t xml:space="preserve">4.1-A12</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a) Para la planeación de capital</w:t>
            </w:r>
          </w:p>
        </w:tc>
      </w:tr>
    </w:tbl>
    <w:p>
      <w:pPr>
        <w:pStyle w:val="Normal"/>
      </w:pPr>
      <w:r>
        <w:t xml:space="preserve">Si la demanda sobrepasa la capacidad, el desempeño cae y frena la demanda; si no se ve esa dinámica, la caída se usa como razón para no invertir. Paso 5: decidir con base en señales externas.</w:t>
      </w:r>
    </w:p>
    <w:p>
      <w:pPr>
        <w:pStyle w:val="Normal"/>
      </w:pPr>
      <w:r>
        <w:t xml:space="preserve">a) Correcto: ayuda a decidir inversiones con señales externas y no con el desempeño pasado.</w:t>
      </w:r>
    </w:p>
    <w:p>
      <w:pPr>
        <w:pStyle w:val="Normal"/>
      </w:pPr>
      <w:r>
        <w:t xml:space="preserve">b) No: esa es la aplicación de la escalada.</w:t>
      </w:r>
    </w:p>
    <w:p>
      <w:pPr>
        <w:pStyle w:val="Normal"/>
      </w:pPr>
      <w:r>
        <w:t xml:space="preserve">c) No: esa es la de la erosión de metas.</w:t>
      </w:r>
    </w:p>
    <w:p>
      <w:pPr>
        <w:pStyle w:val="Normal"/>
      </w:pPr>
      <w:r>
        <w:t xml:space="preserve">d) No: esa es la del desplazamiento de la carga.</w:t>
      </w:r>
    </w:p>
    <w:p>
      <w:pPr>
        <w:pStyle w:val="Fuente"/>
      </w:pPr>
      <w:r>
        <w:t xml:space="preserve">lectura L-18</w:t>
      </w:r>
    </w:p>
    <w:p>
      <w:pPr>
        <w:pStyle w:val="Heading3"/>
      </w:pPr>
      <w:r>
        <w:t xml:space="preserve">4.1-A13</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a) Soluciones rápidas que fallan</w:t>
            </w:r>
          </w:p>
        </w:tc>
      </w:tr>
    </w:tbl>
    <w:p>
      <w:pPr>
        <w:pStyle w:val="Normal"/>
      </w:pPr>
      <w:r>
        <w:t xml:space="preserve">Una solución que alivia el síntoma y, con sus consecuencias, lo empeora: el ciclo de balance de la solución y el de refuerzo de sus efectos.</w:t>
      </w:r>
    </w:p>
    <w:p>
      <w:pPr>
        <w:pStyle w:val="Normal"/>
      </w:pPr>
      <w:r>
        <w:t xml:space="preserve">a) Correcto: la cápsula los llama «soluciones contraproducentes»: superficiales y cortoplacistas, con resultados indeseados.</w:t>
      </w:r>
    </w:p>
    <w:p>
      <w:pPr>
        <w:pStyle w:val="Normal"/>
      </w:pPr>
      <w:r>
        <w:t xml:space="preserve">b) No: para los límites la cápsula usa «si estiras mucho el elástico, al final se rompe».</w:t>
      </w:r>
    </w:p>
    <w:p>
      <w:pPr>
        <w:pStyle w:val="Normal"/>
      </w:pPr>
      <w:r>
        <w:t xml:space="preserve">c) No: para el éxito usa «el dinero llama al dinero».</w:t>
      </w:r>
    </w:p>
    <w:p>
      <w:pPr>
        <w:pStyle w:val="Normal"/>
      </w:pPr>
      <w:r>
        <w:t xml:space="preserve">d) No: la tragedia habla de bienes comunes que nadie cuida.</w:t>
      </w:r>
    </w:p>
    <w:p>
      <w:pPr>
        <w:pStyle w:val="Fuente"/>
      </w:pPr>
      <w:r>
        <w:t xml:space="preserve">video · Cápsula 5, Líderes Educativos · 00:37</w:t>
      </w:r>
    </w:p>
    <w:p>
      <w:pPr>
        <w:pStyle w:val="Heading3"/>
      </w:pPr>
      <w:r>
        <w:t xml:space="preserve">4.1-A14</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a) Usarla sólo de manera temporal, mientras se trabaja en la solución fundamental</w:t>
            </w:r>
          </w:p>
        </w:tc>
      </w:tr>
    </w:tbl>
    <w:p>
      <w:pPr>
        <w:pStyle w:val="Normal"/>
      </w:pPr>
      <w:r>
        <w:t xml:space="preserve">Es el principio de Valentini: concentrarse en la solución fundamental y usar la sintomática, si es imperativa, para ganar tiempo.</w:t>
      </w:r>
    </w:p>
    <w:p>
      <w:pPr>
        <w:pStyle w:val="Normal"/>
      </w:pPr>
      <w:r>
        <w:t xml:space="preserve">a) Correcto: el parqueo alquilado mientras se construye el edificio, el consultor mientras se forma el gerente.</w:t>
      </w:r>
    </w:p>
    <w:p>
      <w:pPr>
        <w:pStyle w:val="Normal"/>
      </w:pPr>
      <w:r>
        <w:t xml:space="preserve">b) No: su efecto lateral termina dañando a la organización.</w:t>
      </w:r>
    </w:p>
    <w:p>
      <w:pPr>
        <w:pStyle w:val="Normal"/>
      </w:pPr>
      <w:r>
        <w:t xml:space="preserve">c) No: mientras la fundamental tarda, la sintomática gana tiempo.</w:t>
      </w:r>
    </w:p>
    <w:p>
      <w:pPr>
        <w:pStyle w:val="Normal"/>
      </w:pPr>
      <w:r>
        <w:t xml:space="preserve">d) No: eso es justamente desplazar la carga.</w:t>
      </w:r>
    </w:p>
    <w:p>
      <w:pPr>
        <w:pStyle w:val="Fuente"/>
      </w:pPr>
      <w:r>
        <w:t xml:space="preserve">video · Arquetipos (2), Gustavo Pineda Ríos · 07:52</w:t>
      </w:r>
    </w:p>
    <w:p>
      <w:pPr>
        <w:pStyle w:val="Heading3"/>
      </w:pPr>
      <w:r>
        <w:t xml:space="preserve">4.1-A15</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a) Uno</w:t>
            </w:r>
          </w:p>
        </w:tc>
      </w:tr>
    </w:tbl>
    <w:p>
      <w:pPr>
        <w:pStyle w:val="Normal"/>
      </w:pPr>
      <w:r>
        <w:t xml:space="preserve">Es la tragedia de los comunes: pescar de más beneficia hoy al que lo hace y reparte la pérdida entre todos mañana.</w:t>
      </w:r>
    </w:p>
    <w:p>
      <w:pPr>
        <w:pStyle w:val="Normal"/>
      </w:pPr>
      <w:r>
        <w:t xml:space="preserve">a) Correcto: quedan ocho, cuatro pares dan cuatro crías y el estanque vuelve a doce.</w:t>
      </w:r>
    </w:p>
    <w:p>
      <w:pPr>
        <w:pStyle w:val="Normal"/>
      </w:pPr>
      <w:r>
        <w:t xml:space="preserve">b) No: quedarían cuatro, nacerían dos y el estanque se vaciaría en pocos días.</w:t>
      </w:r>
    </w:p>
    <w:p>
      <w:pPr>
        <w:pStyle w:val="Normal"/>
      </w:pPr>
      <w:r>
        <w:t xml:space="preserve">c) No: con tres por cabeza el estanque se vacía el primer día.</w:t>
      </w:r>
    </w:p>
    <w:p>
      <w:pPr>
        <w:pStyle w:val="Normal"/>
      </w:pPr>
      <w:r>
        <w:t xml:space="preserve">d) No: el estanque ya está lleno; sin pescar nadie come y no crece más.</w:t>
      </w:r>
    </w:p>
    <w:p>
      <w:pPr>
        <w:pStyle w:val="Fuente"/>
      </w:pPr>
      <w:r>
        <w:t xml:space="preserve">video · TED-Ed, la tragedia de los comunes · 00:36</w:t>
      </w:r>
    </w:p>
    <w:p>
      <w:pPr>
        <w:pStyle w:val="Heading3"/>
      </w:pPr>
      <w:r>
        <w:t xml:space="preserve">4.1-A16</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b) La atractividad del producto sin promoción</w:t>
            </w:r>
          </w:p>
        </w:tc>
      </w:tr>
    </w:tbl>
    <w:p>
      <w:pPr>
        <w:pStyle w:val="Normal"/>
      </w:pPr>
      <w:r>
        <w:t xml:space="preserve">El cliente puede acostumbrarse a comprar solo con descuentos, erosionando la demanda a precio normal.</w:t>
      </w:r>
    </w:p>
    <w:p>
      <w:pPr>
        <w:pStyle w:val="Fuente"/>
      </w:pPr>
      <w:r>
        <w:t xml:space="preserve">Clase 22 · capítulo 04 · /clase-22#cap-04</w:t>
      </w:r>
    </w:p>
    <w:p>
      <w:pPr>
        <w:pStyle w:val="Heading3"/>
      </w:pPr>
      <w:r>
        <w:t xml:space="preserve">4.1-A17</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d) Aprender a usar las opciones del sistema</w:t>
            </w:r>
          </w:p>
        </w:tc>
      </w:tr>
    </w:tbl>
    <w:p>
      <w:pPr>
        <w:pStyle w:val="Normal"/>
      </w:pPr>
      <w:r>
        <w:t xml:space="preserve">Capacitar al usuario aumenta su autonomía; la asistencia inmediata puede acompañarlo sin reemplazar ese aprendizaje.</w:t>
      </w:r>
    </w:p>
    <w:p>
      <w:pPr>
        <w:pStyle w:val="Fuente"/>
      </w:pPr>
      <w:r>
        <w:t xml:space="preserve">Clase 22 · capítulo 09 · /clase-22#cap-09</w:t>
      </w:r>
    </w:p>
    <w:p>
      <w:pPr>
        <w:pStyle w:val="Heading3"/>
      </w:pPr>
      <w:bookmarkStart w:name="b_solucion_ej_A01" w:id="3759"/>
      <w:r>
        <w:t xml:space="preserve">Solución 4.1-E1</w:t>
      </w:r>
      <w:bookmarkEnd w:id="3759"/>
    </w:p>
    <w:p>
      <w:pPr>
        <w:pStyle w:val="RecuadroTitulo"/>
      </w:pPr>
      <w:r>
        <w:t xml:space="preserve">Respuesta modelo</w:t>
      </w:r>
    </w:p>
    <w:p>
      <w:pPr>
        <w:pStyle w:val="Normal"/>
      </w:pPr>
      <w:r>
        <w:t xml:space="preserve">B: </w:t>
      </w:r>
      <w:r>
        <w:rPr>
          <w:rFonts w:ascii="Source Code Pro" w:cs="Source Code Pro" w:eastAsia="Source Code Pro" w:hAnsi="Source Code Pro"/>
          <w:sz w:val="18"/>
          <w:szCs w:val="18"/>
        </w:rPr>
        <w:t xml:space="preserve">Atraso →(+) Omisión →(−) Atraso</w:t>
      </w:r>
      <w:r>
        <w:t xml:space="preserve">; R: </w:t>
      </w:r>
      <w:r>
        <w:rPr>
          <w:rFonts w:ascii="Source Code Pro" w:cs="Source Code Pro" w:eastAsia="Source Code Pro" w:hAnsi="Source Code Pro"/>
          <w:sz w:val="18"/>
          <w:szCs w:val="18"/>
        </w:rPr>
        <w:t xml:space="preserve">Atraso →(+) Omisión →(+) Rechazos/correcciones →(+) Atraso</w:t>
      </w:r>
      <w:r>
        <w:t xml:space="preserve">. La demora se sitúa entre omitir la revisión y sufrir los rechazos posteriores. Una medida posible es mejorar la revisión y la calidad del registro inicial, y resolver temporalmente el atraso con capacidad adicional si es pertinente. Debe evaluarse su efecto lateral. No basta identificar «mala decisión»: el mecanismo es alivio inmediato que genera agravamiento posterior.</w:t>
      </w:r>
    </w:p>
    <w:p>
      <w:pPr>
        <w:pStyle w:val="Fuente"/>
      </w:pPr>
      <w:r>
        <w:t xml:space="preserve">Compendio académico del portal; ejercicio editorial.</w:t>
      </w:r>
    </w:p>
    <w:p>
      <w:pPr>
        <w:pStyle w:val="Heading3"/>
      </w:pPr>
      <w:bookmarkStart w:name="b_solucion_ej_A02" w:id="3760"/>
      <w:r>
        <w:t xml:space="preserve">Solución 4.1-E2</w:t>
      </w:r>
      <w:bookmarkEnd w:id="3760"/>
    </w:p>
    <w:p>
      <w:pPr>
        <w:pStyle w:val="RecuadroTitulo"/>
      </w:pPr>
      <w:r>
        <w:t xml:space="preserve">Respuesta modelo</w:t>
      </w:r>
    </w:p>
    <w:p>
      <w:pPr>
        <w:pStyle w:val="Normal"/>
      </w:pPr>
      <w:r>
        <w:t xml:space="preserve">R: clientes satisfechos producen recomendaciones, estas atraen clientes y el buen servicio produce nuevas satisfacciones. B: más demanda con capacidad fija aumenta saturación y espera, deteriora la satisfacción y frena las recomendaciones. El límite es la capacidad efectiva del taller. Más publicidad puede intensificar la presión. La intervención requiere identificar el cuello de botella concreto; contratar, organizar mejor el trabajo o ajustar la captación son alternativas a evaluar. El tiempo necesario para ampliar puede ser mayor que el tiempo en que crece la demanda.</w:t>
      </w:r>
    </w:p>
    <w:p>
      <w:pPr>
        <w:pStyle w:val="Fuente"/>
      </w:pPr>
      <w:r>
        <w:t xml:space="preserve">Compendio académico del portal; ejercicio editorial.</w:t>
      </w:r>
    </w:p>
    <w:p>
      <w:pPr>
        <w:pStyle w:val="Heading3"/>
      </w:pPr>
      <w:bookmarkStart w:name="b_solucion_ej_A03" w:id="3761"/>
      <w:r>
        <w:t xml:space="preserve">Solución 4.1-E3</w:t>
      </w:r>
      <w:bookmarkEnd w:id="3761"/>
    </w:p>
    <w:p>
      <w:pPr>
        <w:pStyle w:val="RecuadroTitulo"/>
      </w:pPr>
      <w:r>
        <w:t xml:space="preserve">Respuesta modelo</w:t>
      </w:r>
    </w:p>
    <w:p>
      <w:pPr>
        <w:pStyle w:val="Normal"/>
      </w:pPr>
      <w:r>
        <w:t xml:space="preserve">Los resultados observados están influidos por la asignación anterior; no aíslan la capacidad del personal. En el recorrido formulado solo con variables de B, todas las relaciones son positivas y el ciclo es R. Una disminución se refuerza mediante menos recursos, menos resultados y menor asignación. Comparar resultados considerando recursos, complejidad y condiciones iniciales, reservar oportunidades de prueba y revisar la asignación ayuda a cuestionar el patrón. Que una variable disminuya no determina signo negativo.</w:t>
      </w:r>
    </w:p>
    <w:p>
      <w:pPr>
        <w:pStyle w:val="Fuente"/>
      </w:pPr>
      <w:r>
        <w:t xml:space="preserve">Compendio académico del portal; ejercicio editorial.</w:t>
      </w:r>
    </w:p>
    <w:p>
      <w:pPr>
        <w:pStyle w:val="Heading3"/>
      </w:pPr>
      <w:bookmarkStart w:name="b_solucion_ej_A04" w:id="3762"/>
      <w:r>
        <w:t xml:space="preserve">Solución 4.1-E4</w:t>
      </w:r>
      <w:bookmarkEnd w:id="3762"/>
    </w:p>
    <w:p>
      <w:pPr>
        <w:pStyle w:val="RecuadroTitulo"/>
      </w:pPr>
      <w:r>
        <w:t xml:space="preserve">Respuesta modelo</w:t>
      </w:r>
    </w:p>
    <w:p>
      <w:pPr>
        <w:pStyle w:val="Normal"/>
      </w:pPr>
      <w:r>
        <w:t xml:space="preserve">Cambia el estándar aceptable; no mejora automáticamente el tiempo real de respuesta. Se exige menos al permitir más espera. Una ruta reduce la brecha mejorando el desempeño; la otra la reduce relajando la meta. Ambas rutas básicas son de balance, aunque la segunda pueda producir deterioro sostenido. Una referencia externa, una visión compartida y acciones concretas para mejorar el servicio evitan declarar éxito solo por cambiar la regla. Revisar una meta con evidencia no es por sí mismo erosión: importa el mecanismo descrito.</w:t>
      </w:r>
    </w:p>
    <w:p>
      <w:pPr>
        <w:pStyle w:val="Fuente"/>
      </w:pPr>
      <w:r>
        <w:t xml:space="preserve">Compendio académico del portal; ejercicio editorial.</w:t>
      </w:r>
    </w:p>
    <w:p>
      <w:pPr>
        <w:pStyle w:val="Heading3"/>
      </w:pPr>
      <w:bookmarkStart w:name="b_solucion_ej_A05" w:id="3763"/>
      <w:r>
        <w:t xml:space="preserve">Solución 4.1-E5</w:t>
      </w:r>
      <w:bookmarkEnd w:id="3763"/>
    </w:p>
    <w:p>
      <w:pPr>
        <w:pStyle w:val="RecuadroTitulo"/>
      </w:pPr>
      <w:r>
        <w:t xml:space="preserve">Respuesta modelo</w:t>
      </w:r>
    </w:p>
    <w:p>
      <w:pPr>
        <w:pStyle w:val="Normal"/>
      </w:pPr>
      <w:r>
        <w:t xml:space="preserve">El recurso compartido es la capacidad del equipo de soporte. Cada departamento obtiene beneficios al usarlo, pero el total puede degradar el servicio. Entran 120 solicitudes y se resuelven 100: el atraso aumenta en 20 solicitudes por día bajo esos ritmos. La igualdad de 60 y 60 no evita el exceso. Se necesita considerar capacidad total, prioridades compartidas y efectos del uso; medir entrada, resolución, atraso y tiempo de espera permite revisar los acuerdos. No debe aceptarse como solución suficiente pedir moderación solo a uno sin examinar el total.</w:t>
      </w:r>
    </w:p>
    <w:p>
      <w:pPr>
        <w:pStyle w:val="Fuente"/>
      </w:pPr>
      <w:r>
        <w:t xml:space="preserve">Compendio académico del portal; ejercicio editorial.</w:t>
      </w:r>
    </w:p>
    <w:p>
      <w:pPr>
        <w:pStyle w:val="Heading3"/>
      </w:pPr>
      <w:bookmarkStart w:name="b_solucion_ej_A06" w:id="3764"/>
      <w:r>
        <w:t xml:space="preserve">Solución 4.1-E6</w:t>
      </w:r>
      <w:bookmarkEnd w:id="3764"/>
    </w:p>
    <w:p>
      <w:pPr>
        <w:pStyle w:val="RecuadroTitulo"/>
      </w:pPr>
      <w:r>
        <w:t xml:space="preserve">Respuesta modelo</w:t>
      </w:r>
    </w:p>
    <w:p>
      <w:pPr>
        <w:pStyle w:val="Normal"/>
      </w:pPr>
      <w:r>
        <w:t xml:space="preserve">El aumento de A provoca una respuesta de B que aumenta la amenaza percibida por A y estimula otro incremento. Una acción individual intenta restablecer una posición relativa, pero genera una amenaza adicional al rival: al recorrer los dos balances conectados se obtiene una interacción reforzadora. Gastar más mantiene esa dependencia si el criterio sigue siendo superar al otro. Se puede cambiar la comparación hacia valor para el cliente, calidad u objetivos superiores compatibles; hay que explicar cómo cambia la relación que alimenta la reacción, no limitarse a decir «colaborar».</w:t>
      </w:r>
    </w:p>
    <w:p>
      <w:pPr>
        <w:pStyle w:val="Fuente"/>
      </w:pPr>
      <w:r>
        <w:t xml:space="preserve">Compendio académico del portal; ejercicio editorial.</w:t>
      </w:r>
    </w:p>
    <w:p>
      <w:pPr>
        <w:pStyle w:val="Heading3"/>
      </w:pPr>
      <w:bookmarkStart w:name="b_solucion_ej_A07" w:id="3765"/>
      <w:r>
        <w:t xml:space="preserve">Solución 4.1-E7</w:t>
      </w:r>
      <w:bookmarkEnd w:id="3765"/>
    </w:p>
    <w:p>
      <w:pPr>
        <w:pStyle w:val="RecuadroTitulo"/>
      </w:pPr>
      <w:r>
        <w:t xml:space="preserve">Respuesta modelo</w:t>
      </w:r>
    </w:p>
    <w:p>
      <w:pPr>
        <w:pStyle w:val="Normal"/>
      </w:pPr>
      <w:r>
        <w:t xml:space="preserve">La caída de pedidos puede ser causada por la falta de capacidad y el deterioro del servicio. No permite inferir que la capacidad adicional no tenía utilidad. Son relevantes la demora de contratar/capacitar y la demora entre mala atención, reputación y abandono. Conviene observar pedidos rechazados, clientes que abandonan, demanda potencial, calidad, tiempos de entrega, estándares de servicio y costos/tiempos de expansión. La conclusión tampoco obliga a invertir sin límites: requiere contrastar demanda y capacidad con evidencia.</w:t>
      </w:r>
    </w:p>
    <w:p>
      <w:pPr>
        <w:pStyle w:val="Fuente"/>
      </w:pPr>
      <w:r>
        <w:t xml:space="preserve">Compendio académico del portal; ejercicio editorial.</w:t>
      </w:r>
    </w:p>
    <w:p>
      <w:pPr>
        <w:pStyle w:val="Heading3"/>
      </w:pPr>
      <w:bookmarkStart w:name="b_solucion_ej_A08" w:id="3766"/>
      <w:r>
        <w:t xml:space="preserve">Solución 4.1-E8</w:t>
      </w:r>
      <w:bookmarkEnd w:id="3766"/>
    </w:p>
    <w:p>
      <w:pPr>
        <w:pStyle w:val="RecuadroTitulo"/>
      </w:pPr>
      <w:r>
        <w:t xml:space="preserve">Respuesta modelo</w:t>
      </w:r>
    </w:p>
    <w:p>
      <w:pPr>
        <w:pStyle w:val="Normal"/>
      </w:pPr>
      <w:r>
        <w:t xml:space="preserve">A es solución sintomática; B es solución fundamental; C es efecto lateral o dependencia. La experta resuelve pronto, lo que reduce la práctica; menos práctica debilita la capacidad propia, aumenta la dificultad futura y refuerza el recurso a la experta. La dependencia describe un resultado del uso reiterado de la solución, no una acción para solucionar. Una intervención posible combina atención urgente con enseñanza, práctica acompañada, verificación por el propio equipo y seguimiento de la autonomía.</w:t>
      </w:r>
    </w:p>
    <w:p>
      <w:pPr>
        <w:pStyle w:val="Fuente"/>
      </w:pPr>
      <w:r>
        <w:t xml:space="preserve">Compendio académico del portal; ejercicio editorial.</w:t>
      </w:r>
    </w:p>
    <w:p>
      <w:pPr>
        <w:pStyle w:val="Heading3"/>
      </w:pPr>
      <w:bookmarkStart w:name="b_solucion_ej_A09" w:id="3767"/>
      <w:r>
        <w:t xml:space="preserve">Solución 4.1-E9</w:t>
      </w:r>
      <w:bookmarkEnd w:id="3767"/>
    </w:p>
    <w:p>
      <w:pPr>
        <w:pStyle w:val="RecuadroTitulo"/>
      </w:pPr>
      <w:r>
        <w:t xml:space="preserve">Respuesta modelo</w:t>
      </w:r>
    </w:p>
    <w:p>
      <w:pPr>
        <w:pStyle w:val="Normal"/>
      </w:pPr>
      <w:r>
        <w:t xml:space="preserve">Llegan 40 unidades y quedan 120. El ciclo orientado a cerrar el faltante sigue siendo B; la demora no altera sus signos. El error es volver a corregir sin considerar entregas pendientes y tiempo de respuesta. Registrar y consultar lo ya pedido, asignar responsabilidad de compra y usar una regla que considere existencias más pedidos pendientes puede evitar duplicaciones. El pedido aporta información y un compromiso futuro: todavía no aumenta las existencias físicas.</w:t>
      </w:r>
    </w:p>
    <w:p>
      <w:pPr>
        <w:pStyle w:val="Fuente"/>
      </w:pPr>
      <w:r>
        <w:t xml:space="preserve">Compendio académico del portal; ejercicio editorial.</w:t>
      </w:r>
    </w:p>
    <w:p>
      <w:pPr>
        <w:pStyle w:val="Heading3"/>
      </w:pPr>
      <w:bookmarkStart w:name="b_solucion_ej_A10" w:id="3768"/>
      <w:r>
        <w:t xml:space="preserve">Solución 4.1-E10</w:t>
      </w:r>
      <w:bookmarkEnd w:id="3768"/>
    </w:p>
    <w:p>
      <w:pPr>
        <w:pStyle w:val="RecuadroTitulo"/>
      </w:pPr>
      <w:r>
        <w:t xml:space="preserve">Respuesta modelo</w:t>
      </w:r>
    </w:p>
    <w:p>
      <w:pPr>
        <w:pStyle w:val="Normal"/>
      </w:pPr>
      <w:r>
        <w:t xml:space="preserve">También es válido nombrar desplazamiento de la carga si se explica la variante. La ayuda externa reemplaza el desarrollo de capacidad interna, por lo que nuevos problemas generan nuevas solicitudes de ayuda. Debe fortalecer diagnóstico, formación, recursos y procedimientos de la sucursal, con transferencia y criterios de autonomía. La conclusión no es que toda ayuda sea perjudicial; importa si sustituye o desarrolla la capacidad interna.</w:t>
      </w:r>
    </w:p>
    <w:p>
      <w:pPr>
        <w:pStyle w:val="Fuente"/>
      </w:pPr>
      <w:r>
        <w:t xml:space="preserve">Compendio académico del portal; ejercicio editorial.</w:t>
      </w:r>
    </w:p>
    <w:p>
      <w:pPr>
        <w:pStyle w:val="Heading3"/>
      </w:pPr>
      <w:bookmarkStart w:name="b_solucion_ej_A11" w:id="3769"/>
      <w:r>
        <w:t xml:space="preserve">Solución 4.1-E11</w:t>
      </w:r>
      <w:bookmarkEnd w:id="3769"/>
    </w:p>
    <w:p>
      <w:pPr>
        <w:pStyle w:val="RecuadroTitulo"/>
      </w:pPr>
      <w:r>
        <w:t xml:space="preserve">Respuesta modelo</w:t>
      </w:r>
    </w:p>
    <w:p>
      <w:pPr>
        <w:pStyle w:val="Normal"/>
      </w:pPr>
      <w:r>
        <w:t xml:space="preserve">Los ocho son límites del crecimiento, crecimiento y subinversión, soluciones rápidas que fallan, desplazamiento de la carga, erosión de metas, escalada, éxito para quien tiene éxito y tragedia de los comunes. Las variantes son proceso con demora e intervención externa. Un arquetipo es una estructura recurrente de realimentación. Fallas del parche no implican necesariamente dependencia: en desplazamiento de la carga se debilita la solución fundamental. Debilitar la restricción y recuperar capacidad propia son intervenciones distintas.</w:t>
      </w:r>
    </w:p>
    <w:p>
      <w:pPr>
        <w:pStyle w:val="Fuente"/>
      </w:pPr>
      <w:r>
        <w:t xml:space="preserve">L-17, L-18 y L-19.</w:t>
      </w:r>
    </w:p>
    <w:p>
      <w:pPr>
        <w:pStyle w:val="Heading3"/>
      </w:pPr>
      <w:bookmarkStart w:name="b_solucion_ej_A12" w:id="3770"/>
      <w:r>
        <w:t xml:space="preserve">Solución 4.1-E12</w:t>
      </w:r>
      <w:bookmarkEnd w:id="3770"/>
    </w:p>
    <w:p>
      <w:pPr>
        <w:pStyle w:val="RecuadroTitulo"/>
      </w:pPr>
      <w:r>
        <w:t xml:space="preserve">Respuesta modelo</w:t>
      </w:r>
    </w:p>
    <w:p>
      <w:pPr>
        <w:pStyle w:val="Normal"/>
      </w:pPr>
      <w:r>
        <w:rPr>
          <w:b/>
          <w:bCs/>
        </w:rPr>
        <w:t xml:space="preserve">Límites del crecimiento</w:t>
      </w:r>
    </w:p>
    <w:p>
      <w:pPr>
        <w:pStyle w:val="Normal"/>
      </w:pPr>
      <w:r>
        <w:t xml:space="preserve">1. Identifique los factores de crecimiento.</w:t>
      </w:r>
    </w:p>
    <w:p>
      <w:pPr>
        <w:pStyle w:val="Normal"/>
      </w:pPr>
      <w:r>
        <w:t xml:space="preserve">2. Determine el tiempo de duplicación de esos procesos.</w:t>
      </w:r>
    </w:p>
    <w:p>
      <w:pPr>
        <w:pStyle w:val="Normal"/>
      </w:pPr>
      <w:r>
        <w:t xml:space="preserve">3. Identifique límites potenciales y ciclo(s) de balance: capacidad física, sistemas de información, personal, experiencia administrativa, actitudes/modelos mentales.</w:t>
      </w:r>
    </w:p>
    <w:p>
      <w:pPr>
        <w:pStyle w:val="Normal"/>
      </w:pPr>
      <w:r>
        <w:t xml:space="preserve">4. Determine el cambio necesario para enfrentar efectivamente el (los) límite(s) identificado(s).</w:t>
      </w:r>
    </w:p>
    <w:p>
      <w:pPr>
        <w:pStyle w:val="Normal"/>
      </w:pPr>
      <w:r>
        <w:t xml:space="preserve">5. Establezca el tiempo necesario para el cambio. ¿Existe discrepancia entre el tiempo de duplicación y el tiempo necesario para hacer los cambios que soporten el crecimiento?</w:t>
      </w:r>
    </w:p>
    <w:p>
      <w:pPr>
        <w:pStyle w:val="Normal"/>
      </w:pPr>
      <w:r>
        <w:t xml:space="preserve">6. Balancee el crecimiento. ¿Qué estrategias se pueden usar para balancear el factor de crecimiento con el horizonte de tiempo de las inversiones que deben hacerse para sostenerlo?</w:t>
      </w:r>
    </w:p>
    <w:p>
      <w:pPr>
        <w:pStyle w:val="Normal"/>
      </w:pPr>
      <w:r>
        <w:t xml:space="preserve">7. Evalúe nuevamente la estrategia de crecimiento. Desafíe continuamente los supuestos en el contexto de toda la compañía.</w:t>
      </w:r>
    </w:p>
    <w:p>
      <w:pPr>
        <w:pStyle w:val="Normal"/>
      </w:pPr>
      <w:r>
        <w:rPr>
          <w:b/>
          <w:bCs/>
        </w:rPr>
        <w:t xml:space="preserve">Desplazamiento de la carga</w:t>
      </w:r>
    </w:p>
    <w:p>
      <w:pPr>
        <w:pStyle w:val="Normal"/>
      </w:pPr>
      <w:r>
        <w:t xml:space="preserve">1. Identifique el (los) síntoma(s) original(es) del problema.</w:t>
      </w:r>
    </w:p>
    <w:p>
      <w:pPr>
        <w:pStyle w:val="Normal"/>
      </w:pPr>
      <w:r>
        <w:t xml:space="preserve">2. Busque todas las «soluciones rápidas» que aparentemente mantienen los problemas bajo control.</w:t>
      </w:r>
    </w:p>
    <w:p>
      <w:pPr>
        <w:pStyle w:val="Normal"/>
      </w:pPr>
      <w:r>
        <w:t xml:space="preserve">3. Identifique el impacto en otros. ¿Cuál es el impacto de esas «soluciones» en otros jugadores dentro de la compañía?</w:t>
      </w:r>
    </w:p>
    <w:p>
      <w:pPr>
        <w:pStyle w:val="Normal"/>
      </w:pPr>
      <w:r>
        <w:t xml:space="preserve">4. Identifique las soluciones fundamentales. Observe desde ambas perspectivas para encontrar una solución sistémica.</w:t>
      </w:r>
    </w:p>
    <w:p>
      <w:pPr>
        <w:pStyle w:val="Normal"/>
      </w:pPr>
      <w:r>
        <w:t xml:space="preserve">5. Busque efectos laterales de las soluciones rápidas que pueden estar erosionando la utilidad de la solución fundamental.</w:t>
      </w:r>
    </w:p>
    <w:p>
      <w:pPr>
        <w:pStyle w:val="Normal"/>
      </w:pPr>
      <w:r>
        <w:t xml:space="preserve">6. Encuentre relaciones con los ciclos fundamentales. Encuentre las ligas entre los efectos de interacción y la solución fundamental que pueden estar creando las diferencias.</w:t>
      </w:r>
    </w:p>
    <w:p>
      <w:pPr>
        <w:pStyle w:val="Normal"/>
      </w:pPr>
      <w:r>
        <w:t xml:space="preserve">7. Identifique acciones de alto apalancamiento desde ambas perspectivas.</w:t>
      </w:r>
    </w:p>
    <w:p>
      <w:pPr>
        <w:pStyle w:val="Normal"/>
      </w:pPr>
      <w:r>
        <w:rPr>
          <w:b/>
          <w:bCs/>
        </w:rPr>
        <w:t xml:space="preserve">Erosión de metas</w:t>
      </w:r>
    </w:p>
    <w:p>
      <w:pPr>
        <w:pStyle w:val="Normal"/>
      </w:pPr>
      <w:r>
        <w:t xml:space="preserve">1. Identifique la medición del desempeño que se erosiona.</w:t>
      </w:r>
    </w:p>
    <w:p>
      <w:pPr>
        <w:pStyle w:val="Normal"/>
      </w:pPr>
      <w:r>
        <w:t xml:space="preserve">2. Busque otras metas que generen conflicto con la meta establecida.</w:t>
      </w:r>
    </w:p>
    <w:p>
      <w:pPr>
        <w:pStyle w:val="Normal"/>
      </w:pPr>
      <w:r>
        <w:t xml:space="preserve">3. Identifique los procedimientos normales para cerrar la diferencia. ¿Están contribuyendo inadvertidamente al desliz de la meta?</w:t>
      </w:r>
    </w:p>
    <w:p>
      <w:pPr>
        <w:pStyle w:val="Normal"/>
      </w:pPr>
      <w:r>
        <w:t xml:space="preserve">4. Examine la historia de la meta. ¿Se han reducido las metas a través del tiempo?</w:t>
      </w:r>
    </w:p>
    <w:p>
      <w:pPr>
        <w:pStyle w:val="Normal"/>
      </w:pPr>
      <w:r>
        <w:t xml:space="preserve">5. Ancle la meta con una referencia externa.</w:t>
      </w:r>
    </w:p>
    <w:p>
      <w:pPr>
        <w:pStyle w:val="Normal"/>
      </w:pPr>
      <w:r>
        <w:t xml:space="preserve">6. Aclare una visión impulsora que involucre a todos.</w:t>
      </w:r>
    </w:p>
    <w:p>
      <w:pPr>
        <w:pStyle w:val="Normal"/>
      </w:pPr>
      <w:r>
        <w:t xml:space="preserve">7. Haga un plan de transición claro. Explore lo que implica alcanzar la visión y establezca un tiempo realista.</w:t>
      </w:r>
    </w:p>
    <w:p>
      <w:pPr>
        <w:pStyle w:val="Normal"/>
      </w:pPr>
      <w:r>
        <w:rPr>
          <w:b/>
          <w:bCs/>
        </w:rPr>
        <w:t xml:space="preserve">Escalada</w:t>
      </w:r>
    </w:p>
    <w:p>
      <w:pPr>
        <w:pStyle w:val="Normal"/>
      </w:pPr>
      <w:r>
        <w:t xml:space="preserve">1. Identifique la variable competitiva. ¿La causa de las diferencias entre los competidores es una sola variable?</w:t>
      </w:r>
    </w:p>
    <w:p>
      <w:pPr>
        <w:pStyle w:val="Normal"/>
      </w:pPr>
      <w:r>
        <w:t xml:space="preserve">2. Nombre a los actores claves atrapados en la dinámica.</w:t>
      </w:r>
    </w:p>
    <w:p>
      <w:pPr>
        <w:pStyle w:val="Normal"/>
      </w:pPr>
      <w:r>
        <w:t xml:space="preserve">3. Busque lo que está siendo amenazado. Las acciones de su compañía ¿están atacando una amenaza real o sólo preservando valores centrales que pueden no ser relevantes?</w:t>
      </w:r>
    </w:p>
    <w:p>
      <w:pPr>
        <w:pStyle w:val="Normal"/>
      </w:pPr>
      <w:r>
        <w:t xml:space="preserve">4. Evalúe nuevamente su medición competitiva. ¿Puede cambiarse la variable que es el fundamento del juego (precio, calidad)?</w:t>
      </w:r>
    </w:p>
    <w:p>
      <w:pPr>
        <w:pStyle w:val="Normal"/>
      </w:pPr>
      <w:r>
        <w:t xml:space="preserve">5. Cuantifique demoras significativas que puedan estar distorsionando la naturaleza de la amenaza.</w:t>
      </w:r>
    </w:p>
    <w:p>
      <w:pPr>
        <w:pStyle w:val="Normal"/>
      </w:pPr>
      <w:r>
        <w:t xml:space="preserve">6. Identifique una meta mayor que englobe las metas de ambas partes.</w:t>
      </w:r>
    </w:p>
    <w:p>
      <w:pPr>
        <w:pStyle w:val="Normal"/>
      </w:pPr>
      <w:r>
        <w:t xml:space="preserve">7. Evite futuras trampas de Escalada creando un sistema de competencia en colaboración.</w:t>
      </w:r>
    </w:p>
    <w:p>
      <w:pPr>
        <w:pStyle w:val="Normal"/>
      </w:pPr>
      <w:r>
        <w:rPr>
          <w:b/>
          <w:bCs/>
        </w:rPr>
        <w:t xml:space="preserve">Éxito para quien tiene éxito</w:t>
      </w:r>
    </w:p>
    <w:p>
      <w:pPr>
        <w:pStyle w:val="Normal"/>
      </w:pPr>
      <w:r>
        <w:t xml:space="preserve">1. Investigue los orígenes históricos de las competencias.</w:t>
      </w:r>
    </w:p>
    <w:p>
      <w:pPr>
        <w:pStyle w:val="Normal"/>
      </w:pPr>
      <w:r>
        <w:t xml:space="preserve">2. Identifique trampas de competencia potenciales.</w:t>
      </w:r>
    </w:p>
    <w:p>
      <w:pPr>
        <w:pStyle w:val="Normal"/>
      </w:pPr>
      <w:r>
        <w:t xml:space="preserve">3. Evalúe los sistemas de medición actuales: ¿están diseñados para favorecer a los sistemas actuales en lugar de otras alternativas?</w:t>
      </w:r>
    </w:p>
    <w:p>
      <w:pPr>
        <w:pStyle w:val="Normal"/>
      </w:pPr>
      <w:r>
        <w:t xml:space="preserve">4. Verifique la percepción interna del éxito en el mercado. ¿Cuáles son los supuestos que operan respecto al éxito en el mercado?</w:t>
      </w:r>
    </w:p>
    <w:p>
      <w:pPr>
        <w:pStyle w:val="Normal"/>
      </w:pPr>
      <w:r>
        <w:t xml:space="preserve">5. Obtenga percepciones externas acerca del éxito en el mercado. Pregunte a los de afuera estrategias alternativas.</w:t>
      </w:r>
    </w:p>
    <w:p>
      <w:pPr>
        <w:pStyle w:val="Normal"/>
      </w:pPr>
      <w:r>
        <w:t xml:space="preserve">6. Establezca los efectos sobre el espíritu innovador. ¿El sistema actual está excluyendo el espíritu de experimentación que lo puede llevar a nuevas alternativas?</w:t>
      </w:r>
    </w:p>
    <w:p>
      <w:pPr>
        <w:pStyle w:val="Normal"/>
      </w:pPr>
      <w:r>
        <w:t xml:space="preserve">7. Revise continuamente las lagunas y áreas de mejora.</w:t>
      </w:r>
    </w:p>
    <w:p>
      <w:pPr>
        <w:pStyle w:val="Normal"/>
      </w:pPr>
      <w:r>
        <w:rPr>
          <w:b/>
          <w:bCs/>
        </w:rPr>
        <w:t xml:space="preserve">Tragedia de los comunes</w:t>
      </w:r>
    </w:p>
    <w:p>
      <w:pPr>
        <w:pStyle w:val="Normal"/>
      </w:pPr>
      <w:r>
        <w:t xml:space="preserve">1. Identifique a los comunes. ¿Cuál es el recurso común que se está compartiendo?</w:t>
      </w:r>
    </w:p>
    <w:p>
      <w:pPr>
        <w:pStyle w:val="Normal"/>
      </w:pPr>
      <w:r>
        <w:t xml:space="preserve">2. Determine incentivos. ¿Cuáles son los procesos de refuerzo que motivan el uso del recurso?</w:t>
      </w:r>
    </w:p>
    <w:p>
      <w:pPr>
        <w:pStyle w:val="Normal"/>
      </w:pPr>
      <w:r>
        <w:t xml:space="preserve">3. Determine el horizonte de tiempo para cosechar los beneficios.</w:t>
      </w:r>
    </w:p>
    <w:p>
      <w:pPr>
        <w:pStyle w:val="Normal"/>
      </w:pPr>
      <w:r>
        <w:t xml:space="preserve">4. Determine el horizonte de tiempo para experimentar los efectos acumulativos de la acción colectiva.</w:t>
      </w:r>
    </w:p>
    <w:p>
      <w:pPr>
        <w:pStyle w:val="Normal"/>
      </w:pPr>
      <w:r>
        <w:t xml:space="preserve">5. Haga patentes los efectos de largo plazo. ¿Cómo puede ser más real la degradación de los comunes en el largo plazo y estar presente para los usuarios individuales?</w:t>
      </w:r>
    </w:p>
    <w:p>
      <w:pPr>
        <w:pStyle w:val="Normal"/>
      </w:pPr>
      <w:r>
        <w:t xml:space="preserve">6. Evalúe nuevamente la naturaleza de los comunes. ¿Hay otros recursos o alternativas que puedan ser usados para eliminar la restricción sobre los comunes?</w:t>
      </w:r>
    </w:p>
    <w:p>
      <w:pPr>
        <w:pStyle w:val="Normal"/>
      </w:pPr>
      <w:r>
        <w:t xml:space="preserve">7. Limite el acceso a los recursos. Determine un punto focal central —una visión compartida, sistema de medición del desempeño o árbitro final— que asigne los recursos basado en las necesidades del sistema como un todo.</w:t>
      </w:r>
    </w:p>
    <w:p>
      <w:pPr>
        <w:pStyle w:val="Normal"/>
      </w:pPr>
      <w:r>
        <w:rPr>
          <w:b/>
          <w:bCs/>
        </w:rPr>
        <w:t xml:space="preserve">Soluciones rápidas que fallan</w:t>
      </w:r>
    </w:p>
    <w:p>
      <w:pPr>
        <w:pStyle w:val="Normal"/>
      </w:pPr>
      <w:r>
        <w:t xml:space="preserve">1. Identifique el síntoma del problema.</w:t>
      </w:r>
    </w:p>
    <w:p>
      <w:pPr>
        <w:pStyle w:val="Normal"/>
      </w:pPr>
      <w:r>
        <w:t xml:space="preserve">2. Verifique las intervenciones actuales y cómo se esperaba que rectificaran el problema.</w:t>
      </w:r>
    </w:p>
    <w:p>
      <w:pPr>
        <w:pStyle w:val="Normal"/>
      </w:pPr>
      <w:r>
        <w:t xml:space="preserve">3. Verifique consecuencias no intencionadas de las intervenciones.</w:t>
      </w:r>
    </w:p>
    <w:p>
      <w:pPr>
        <w:pStyle w:val="Normal"/>
      </w:pPr>
      <w:r>
        <w:t xml:space="preserve">4. Identifique causas fundamentales de los síntomas del problema.</w:t>
      </w:r>
    </w:p>
    <w:p>
      <w:pPr>
        <w:pStyle w:val="Normal"/>
      </w:pPr>
      <w:r>
        <w:t xml:space="preserve">5. Encuentre relaciones entre ambos conjuntos de ciclos. ¿Están ligadas las soluciones y las causas fundamentales?</w:t>
      </w:r>
    </w:p>
    <w:p>
      <w:pPr>
        <w:pStyle w:val="Normal"/>
      </w:pPr>
      <w:r>
        <w:t xml:space="preserve">6. Identifique intervenciones de alto apalancamiento. Añada o rompa ligas en el diagrama para crear intervenciones estructurales.</w:t>
      </w:r>
    </w:p>
    <w:p>
      <w:pPr>
        <w:pStyle w:val="Normal"/>
      </w:pPr>
      <w:r>
        <w:t xml:space="preserve">7. Identifique efectos laterales potenciales para cada intervención y esté preparado contra ellos (o para eliminarlos del todo).</w:t>
      </w:r>
    </w:p>
    <w:p>
      <w:pPr>
        <w:pStyle w:val="Normal"/>
      </w:pPr>
      <w:r>
        <w:rPr>
          <w:b/>
          <w:bCs/>
        </w:rPr>
        <w:t xml:space="preserve">Crecimiento y subinversión</w:t>
      </w:r>
    </w:p>
    <w:p>
      <w:pPr>
        <w:pStyle w:val="Normal"/>
      </w:pPr>
      <w:r>
        <w:t xml:space="preserve">1. Identifique patrones de comportamiento entrelazados entre las mediciones de inversión en capacidad y de desempeño.</w:t>
      </w:r>
    </w:p>
    <w:p>
      <w:pPr>
        <w:pStyle w:val="Normal"/>
      </w:pPr>
      <w:r>
        <w:t xml:space="preserve">2. Identifique demoras entre las caídas del desempeño y cuando la capacidad adicional está lista, particularmente demoras percibidas relativas a la necesidad de invertir.</w:t>
      </w:r>
    </w:p>
    <w:p>
      <w:pPr>
        <w:pStyle w:val="Normal"/>
      </w:pPr>
      <w:r>
        <w:t xml:space="preserve">3. Cuantifique y minimice las demoras en adquisición.</w:t>
      </w:r>
    </w:p>
    <w:p>
      <w:pPr>
        <w:pStyle w:val="Normal"/>
      </w:pPr>
      <w:r>
        <w:t xml:space="preserve">4. Identifique los déficits de capacidad relacionados. ¿Hay otras partes del sistema más lentas como para beneficiarse de la capacidad adicional?</w:t>
      </w:r>
    </w:p>
    <w:p>
      <w:pPr>
        <w:pStyle w:val="Normal"/>
      </w:pPr>
      <w:r>
        <w:t xml:space="preserve">5. Tome decisiones de inversión con base en señales externas, no en estándares derivados del desempeño en el pasado.</w:t>
      </w:r>
    </w:p>
    <w:p>
      <w:pPr>
        <w:pStyle w:val="Normal"/>
      </w:pPr>
      <w:r>
        <w:t xml:space="preserve">6. Evite las profecías que se cumplen a sí mismas. Desafíe los supuestos que controlan las decisiones de inversión en capacidad.</w:t>
      </w:r>
    </w:p>
    <w:p>
      <w:pPr>
        <w:pStyle w:val="Normal"/>
      </w:pPr>
      <w:r>
        <w:t xml:space="preserve">7. Busque diversidad en las inversiones. Busque nuevas perspectivas de productos, servicios y requerimientos del cliente.</w:t>
      </w:r>
    </w:p>
    <w:p>
      <w:pPr>
        <w:pStyle w:val="Fuente"/>
        <w:sectPr>
          <w:headerReference w:type="default" r:id="rId222"/>
          <w:headerReference w:type="first" r:id="rId223"/>
          <w:headerReference w:type="even" r:id="rId224"/>
          <w:footerReference w:type="default" r:id="rId225"/>
          <w:footerReference w:type="first" r:id="rId226"/>
          <w:footerReference w:type="even" r:id="rId227"/>
          <w:type w:val="nextPage"/>
          <w:pgSz w:w="12240" w:h="15840" w:orient="portrait"/>
          <w:pgMar w:top="1361" w:right="1134" w:bottom="1361" w:left="1474" w:header="650" w:footer="680" w:gutter="0"/>
          <w:pgNumType/>
          <w:titlePg/>
          <w:docGrid w:linePitch="360"/>
        </w:sectPr>
      </w:pPr>
      <w:r>
        <w:t xml:space="preserve">L-18 · procedimientos específicos de Kim y Lannon-Kim.</w:t>
      </w:r>
    </w:p>
    <w:p>
      <w:pPr>
        <w:pStyle w:val="Heading2"/>
      </w:pPr>
      <w:bookmarkStart w:name="b_4_2" w:id="3771"/>
      <w:r>
        <w:t xml:space="preserve">4.2 · Flujos y niveles</w:t>
      </w:r>
      <w:bookmarkEnd w:id="3771"/>
    </w:p>
    <w:p>
      <w:pPr>
        <w:pStyle w:val="Subtitulo"/>
      </w:pPr>
      <w:r>
        <w:t xml:space="preserve">Las acumulaciones y las tasas de cambio (flujos y niveles)</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En una línea</w:t>
            </w:r>
          </w:p>
          <w:p>
            <w:pPr>
              <w:pStyle w:val="Recuadro"/>
            </w:pPr>
            <w:r>
              <w:t xml:space="preserve">Distinguir niveles, flujos, auxiliares, constantes y nubes; calcular el balance de una acumulación con sus unidades.</w:t>
            </w:r>
          </w:p>
        </w:tc>
      </w:tr>
    </w:tbl>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Qué te preguntan</w:t>
            </w:r>
          </w:p>
          <w:p>
            <w:pPr>
              <w:pStyle w:val="Recuadro"/>
            </w:pPr>
            <w:r>
              <w:t xml:space="preserve">Distinguir niveles, flujos, auxiliares, constantes y nubes; calcular el balance de una acumulación con sus unidades.</w:t>
            </w:r>
          </w:p>
        </w:tc>
      </w:tr>
    </w:tbl>
    <w:p>
      <w:pPr>
        <w:pStyle w:val="Normal"/>
      </w:pPr>
      <w:r>
        <w:t xml:space="preserve">Un nivel es una cantidad acumulada en un instante; un flujo es la tasa que la modifica. El nivel cambia por la diferencia entre entradas y salidas, no por el tamaño de una sola de ellas.</w:t>
      </w:r>
    </w:p>
    <w:p>
      <w:pPr>
        <w:pStyle w:val="Heading3"/>
      </w:pPr>
      <w:r>
        <w:t xml:space="preserve">Vocabulario clave</w:t>
      </w:r>
    </w:p>
    <w:p>
      <w:pPr>
        <w:pStyle w:val="Normal"/>
      </w:pPr>
      <w:r>
        <w:t xml:space="preserve">nivel · flujo neto · unidades · INTEG · Euler · equilibrio dinámico</w:t>
      </w:r>
    </w:p>
    <w:p>
      <w:pPr>
        <w:pStyle w:val="Fuente"/>
      </w:pPr>
      <w:r>
        <w:t xml:space="preserve">Recorrido: desarrollo conceptual → presentaciones → explicación en clase → errores y fuentes → práctica → solucionario.</w:t>
      </w:r>
    </w:p>
    <w:p>
      <w:pPr>
        <w:pStyle w:val="Heading3"/>
      </w:pPr>
      <w:bookmarkStart w:name="b_lectura_n1" w:id="3772"/>
      <w:r>
        <w:t xml:space="preserve">4.2.1 Los elementos y sus diferencias</w:t>
      </w:r>
      <w:bookmarkEnd w:id="3772"/>
    </w:p>
    <w:tbl>
      <w:tblPr>
        <w:tblW w:type="dxa" w:w="9632"/>
        <w:tblBorders>
          <w:top w:val="single" w:color="C5D5DB" w:sz="4"/>
          <w:left w:val="single" w:color="C5D5DB" w:sz="4"/>
          <w:bottom w:val="single" w:color="C5D5DB" w:sz="4"/>
          <w:right w:val="single" w:color="C5D5DB" w:sz="4"/>
          <w:insideH w:val="single" w:color="E4E9EB" w:sz="3"/>
          <w:insideV w:val="single" w:color="E4E9EB" w:sz="3"/>
        </w:tblBorders>
        <w:tblLayout w:type="fixed"/>
      </w:tblPr>
      <w:tblGrid>
        <w:gridCol w:w="2408"/>
        <w:gridCol w:w="2408"/>
        <w:gridCol w:w="2408"/>
        <w:gridCol w:w="2408"/>
      </w:tblGrid>
      <w:tr>
        <w:trPr>
          <w:cantSplit/>
          <w:tblHeader/>
        </w:trPr>
        <w:tc>
          <w:tcPr>
            <w:tcW w:type="dxa" w:w="2408"/>
            <w:shd w:fill="DFEAF0" w:val="clear"/>
            <w:tcMar>
              <w:top w:type="dxa" w:w="80"/>
              <w:left w:type="dxa" w:w="100"/>
              <w:bottom w:type="dxa" w:w="80"/>
              <w:right w:type="dxa" w:w="100"/>
            </w:tcMar>
          </w:tcPr>
          <w:p>
            <w:pPr>
              <w:pStyle w:val="Tabla"/>
            </w:pPr>
            <w:r>
              <w:rPr>
                <w:b/>
                <w:bCs/>
              </w:rPr>
              <w:t xml:space="preserve">Elemento</w:t>
            </w:r>
          </w:p>
        </w:tc>
        <w:tc>
          <w:tcPr>
            <w:tcW w:type="dxa" w:w="2408"/>
            <w:shd w:fill="DFEAF0" w:val="clear"/>
            <w:tcMar>
              <w:top w:type="dxa" w:w="80"/>
              <w:left w:type="dxa" w:w="100"/>
              <w:bottom w:type="dxa" w:w="80"/>
              <w:right w:type="dxa" w:w="100"/>
            </w:tcMar>
          </w:tcPr>
          <w:p>
            <w:pPr>
              <w:pStyle w:val="Tabla"/>
            </w:pPr>
            <w:r>
              <w:rPr>
                <w:b/>
                <w:bCs/>
              </w:rPr>
              <w:t xml:space="preserve">Qué representa</w:t>
            </w:r>
          </w:p>
        </w:tc>
        <w:tc>
          <w:tcPr>
            <w:tcW w:type="dxa" w:w="2408"/>
            <w:shd w:fill="DFEAF0" w:val="clear"/>
            <w:tcMar>
              <w:top w:type="dxa" w:w="80"/>
              <w:left w:type="dxa" w:w="100"/>
              <w:bottom w:type="dxa" w:w="80"/>
              <w:right w:type="dxa" w:w="100"/>
            </w:tcMar>
          </w:tcPr>
          <w:p>
            <w:pPr>
              <w:pStyle w:val="Tabla"/>
            </w:pPr>
            <w:r>
              <w:rPr>
                <w:b/>
                <w:bCs/>
              </w:rPr>
              <w:t xml:space="preserve">Ejemplo</w:t>
            </w:r>
          </w:p>
        </w:tc>
        <w:tc>
          <w:tcPr>
            <w:tcW w:type="dxa" w:w="2408"/>
            <w:shd w:fill="DFEAF0" w:val="clear"/>
            <w:tcMar>
              <w:top w:type="dxa" w:w="80"/>
              <w:left w:type="dxa" w:w="100"/>
              <w:bottom w:type="dxa" w:w="80"/>
              <w:right w:type="dxa" w:w="100"/>
            </w:tcMar>
          </w:tcPr>
          <w:p>
            <w:pPr>
              <w:pStyle w:val="Tabla"/>
            </w:pPr>
            <w:r>
              <w:rPr>
                <w:b/>
                <w:bCs/>
              </w:rPr>
              <w:t xml:space="preserve">Unidad típica</w:t>
            </w:r>
          </w:p>
        </w:tc>
      </w:tr>
      <w:tr>
        <w:trPr>
          <w:cantSplit/>
          <w:tblHeader w:val="off"/>
        </w:trPr>
        <w:tc>
          <w:tcPr>
            <w:tcW w:type="dxa" w:w="2408"/>
            <w:tcMar>
              <w:top w:type="dxa" w:w="80"/>
              <w:left w:type="dxa" w:w="100"/>
              <w:bottom w:type="dxa" w:w="80"/>
              <w:right w:type="dxa" w:w="100"/>
            </w:tcMar>
          </w:tcPr>
          <w:p>
            <w:pPr>
              <w:pStyle w:val="Tabla"/>
            </w:pPr>
            <w:r>
              <w:t xml:space="preserve">Nivel, stock, acumulación o variable de estado</w:t>
            </w:r>
          </w:p>
        </w:tc>
        <w:tc>
          <w:tcPr>
            <w:tcW w:type="dxa" w:w="2408"/>
            <w:tcMar>
              <w:top w:type="dxa" w:w="80"/>
              <w:left w:type="dxa" w:w="100"/>
              <w:bottom w:type="dxa" w:w="80"/>
              <w:right w:type="dxa" w:w="100"/>
            </w:tcMar>
          </w:tcPr>
          <w:p>
            <w:pPr>
              <w:pStyle w:val="Tabla"/>
            </w:pPr>
            <w:r>
              <w:t xml:space="preserve">Cantidad existente en un instante, resultado de acumulaciones anteriores</w:t>
            </w:r>
          </w:p>
        </w:tc>
        <w:tc>
          <w:tcPr>
            <w:tcW w:type="dxa" w:w="2408"/>
            <w:tcMar>
              <w:top w:type="dxa" w:w="80"/>
              <w:left w:type="dxa" w:w="100"/>
              <w:bottom w:type="dxa" w:w="80"/>
              <w:right w:type="dxa" w:w="100"/>
            </w:tcMar>
          </w:tcPr>
          <w:p>
            <w:pPr>
              <w:pStyle w:val="Tabla"/>
            </w:pPr>
            <w:r>
              <w:t xml:space="preserve">Agua almacenada: 120 litros</w:t>
            </w:r>
          </w:p>
        </w:tc>
        <w:tc>
          <w:tcPr>
            <w:tcW w:type="dxa" w:w="2408"/>
            <w:tcMar>
              <w:top w:type="dxa" w:w="80"/>
              <w:left w:type="dxa" w:w="100"/>
              <w:bottom w:type="dxa" w:w="80"/>
              <w:right w:type="dxa" w:w="100"/>
            </w:tcMar>
          </w:tcPr>
          <w:p>
            <w:pPr>
              <w:pStyle w:val="Tabla"/>
            </w:pPr>
            <w:r>
              <w:t xml:space="preserve">Litros</w:t>
            </w:r>
          </w:p>
        </w:tc>
      </w:tr>
      <w:tr>
        <w:trPr>
          <w:cantSplit/>
          <w:tblHeader w:val="off"/>
        </w:trPr>
        <w:tc>
          <w:tcPr>
            <w:tcW w:type="dxa" w:w="2408"/>
            <w:tcMar>
              <w:top w:type="dxa" w:w="80"/>
              <w:left w:type="dxa" w:w="100"/>
              <w:bottom w:type="dxa" w:w="80"/>
              <w:right w:type="dxa" w:w="100"/>
            </w:tcMar>
          </w:tcPr>
          <w:p>
            <w:pPr>
              <w:pStyle w:val="Tabla"/>
            </w:pPr>
            <w:r>
              <w:t xml:space="preserve">Flujo de entrada</w:t>
            </w:r>
          </w:p>
        </w:tc>
        <w:tc>
          <w:tcPr>
            <w:tcW w:type="dxa" w:w="2408"/>
            <w:tcMar>
              <w:top w:type="dxa" w:w="80"/>
              <w:left w:type="dxa" w:w="100"/>
              <w:bottom w:type="dxa" w:w="80"/>
              <w:right w:type="dxa" w:w="100"/>
            </w:tcMar>
          </w:tcPr>
          <w:p>
            <w:pPr>
              <w:pStyle w:val="Tabla"/>
            </w:pPr>
            <w:r>
              <w:t xml:space="preserve">Ritmo que añade contenido al nivel</w:t>
            </w:r>
          </w:p>
        </w:tc>
        <w:tc>
          <w:tcPr>
            <w:tcW w:type="dxa" w:w="2408"/>
            <w:tcMar>
              <w:top w:type="dxa" w:w="80"/>
              <w:left w:type="dxa" w:w="100"/>
              <w:bottom w:type="dxa" w:w="80"/>
              <w:right w:type="dxa" w:w="100"/>
            </w:tcMar>
          </w:tcPr>
          <w:p>
            <w:pPr>
              <w:pStyle w:val="Tabla"/>
            </w:pPr>
            <w:r>
              <w:t xml:space="preserve">Bombeo: 10 litros por minuto</w:t>
            </w:r>
          </w:p>
        </w:tc>
        <w:tc>
          <w:tcPr>
            <w:tcW w:type="dxa" w:w="2408"/>
            <w:tcMar>
              <w:top w:type="dxa" w:w="80"/>
              <w:left w:type="dxa" w:w="100"/>
              <w:bottom w:type="dxa" w:w="80"/>
              <w:right w:type="dxa" w:w="100"/>
            </w:tcMar>
          </w:tcPr>
          <w:p>
            <w:pPr>
              <w:pStyle w:val="Tabla"/>
            </w:pPr>
            <w:r>
              <w:t xml:space="preserve">Litros/minuto</w:t>
            </w:r>
          </w:p>
        </w:tc>
      </w:tr>
      <w:tr>
        <w:trPr>
          <w:cantSplit/>
          <w:tblHeader w:val="off"/>
        </w:trPr>
        <w:tc>
          <w:tcPr>
            <w:tcW w:type="dxa" w:w="2408"/>
            <w:tcMar>
              <w:top w:type="dxa" w:w="80"/>
              <w:left w:type="dxa" w:w="100"/>
              <w:bottom w:type="dxa" w:w="80"/>
              <w:right w:type="dxa" w:w="100"/>
            </w:tcMar>
          </w:tcPr>
          <w:p>
            <w:pPr>
              <w:pStyle w:val="Tabla"/>
            </w:pPr>
            <w:r>
              <w:t xml:space="preserve">Flujo de salida</w:t>
            </w:r>
          </w:p>
        </w:tc>
        <w:tc>
          <w:tcPr>
            <w:tcW w:type="dxa" w:w="2408"/>
            <w:tcMar>
              <w:top w:type="dxa" w:w="80"/>
              <w:left w:type="dxa" w:w="100"/>
              <w:bottom w:type="dxa" w:w="80"/>
              <w:right w:type="dxa" w:w="100"/>
            </w:tcMar>
          </w:tcPr>
          <w:p>
            <w:pPr>
              <w:pStyle w:val="Tabla"/>
            </w:pPr>
            <w:r>
              <w:t xml:space="preserve">Ritmo que retira contenido del nivel</w:t>
            </w:r>
          </w:p>
        </w:tc>
        <w:tc>
          <w:tcPr>
            <w:tcW w:type="dxa" w:w="2408"/>
            <w:tcMar>
              <w:top w:type="dxa" w:w="80"/>
              <w:left w:type="dxa" w:w="100"/>
              <w:bottom w:type="dxa" w:w="80"/>
              <w:right w:type="dxa" w:w="100"/>
            </w:tcMar>
          </w:tcPr>
          <w:p>
            <w:pPr>
              <w:pStyle w:val="Tabla"/>
            </w:pPr>
            <w:r>
              <w:t xml:space="preserve">Riego: 6 litros por minuto</w:t>
            </w:r>
          </w:p>
        </w:tc>
        <w:tc>
          <w:tcPr>
            <w:tcW w:type="dxa" w:w="2408"/>
            <w:tcMar>
              <w:top w:type="dxa" w:w="80"/>
              <w:left w:type="dxa" w:w="100"/>
              <w:bottom w:type="dxa" w:w="80"/>
              <w:right w:type="dxa" w:w="100"/>
            </w:tcMar>
          </w:tcPr>
          <w:p>
            <w:pPr>
              <w:pStyle w:val="Tabla"/>
            </w:pPr>
            <w:r>
              <w:t xml:space="preserve">Litros/minuto</w:t>
            </w:r>
          </w:p>
        </w:tc>
      </w:tr>
      <w:tr>
        <w:trPr>
          <w:cantSplit/>
          <w:tblHeader w:val="off"/>
        </w:trPr>
        <w:tc>
          <w:tcPr>
            <w:tcW w:type="dxa" w:w="2408"/>
            <w:tcMar>
              <w:top w:type="dxa" w:w="80"/>
              <w:left w:type="dxa" w:w="100"/>
              <w:bottom w:type="dxa" w:w="80"/>
              <w:right w:type="dxa" w:w="100"/>
            </w:tcMar>
          </w:tcPr>
          <w:p>
            <w:pPr>
              <w:pStyle w:val="Tabla"/>
            </w:pPr>
            <w:r>
              <w:t xml:space="preserve">Flujo neto</w:t>
            </w:r>
          </w:p>
        </w:tc>
        <w:tc>
          <w:tcPr>
            <w:tcW w:type="dxa" w:w="2408"/>
            <w:tcMar>
              <w:top w:type="dxa" w:w="80"/>
              <w:left w:type="dxa" w:w="100"/>
              <w:bottom w:type="dxa" w:w="80"/>
              <w:right w:type="dxa" w:w="100"/>
            </w:tcMar>
          </w:tcPr>
          <w:p>
            <w:pPr>
              <w:pStyle w:val="Tabla"/>
            </w:pPr>
            <w:r>
              <w:t xml:space="preserve">Suma de entradas menos suma de salidas</w:t>
            </w:r>
          </w:p>
        </w:tc>
        <w:tc>
          <w:tcPr>
            <w:tcW w:type="dxa" w:w="2408"/>
            <w:tcMar>
              <w:top w:type="dxa" w:w="80"/>
              <w:left w:type="dxa" w:w="100"/>
              <w:bottom w:type="dxa" w:w="80"/>
              <w:right w:type="dxa" w:w="100"/>
            </w:tcMar>
          </w:tcPr>
          <w:p>
            <w:pPr>
              <w:pStyle w:val="Tabla"/>
            </w:pPr>
            <w:r>
              <w:t xml:space="preserve">10 − 6 = 4 litros por minuto</w:t>
            </w:r>
          </w:p>
        </w:tc>
        <w:tc>
          <w:tcPr>
            <w:tcW w:type="dxa" w:w="2408"/>
            <w:tcMar>
              <w:top w:type="dxa" w:w="80"/>
              <w:left w:type="dxa" w:w="100"/>
              <w:bottom w:type="dxa" w:w="80"/>
              <w:right w:type="dxa" w:w="100"/>
            </w:tcMar>
          </w:tcPr>
          <w:p>
            <w:pPr>
              <w:pStyle w:val="Tabla"/>
            </w:pPr>
            <w:r>
              <w:t xml:space="preserve">Litros/minuto</w:t>
            </w:r>
          </w:p>
        </w:tc>
      </w:tr>
      <w:tr>
        <w:trPr>
          <w:cantSplit/>
          <w:tblHeader w:val="off"/>
        </w:trPr>
        <w:tc>
          <w:tcPr>
            <w:tcW w:type="dxa" w:w="2408"/>
            <w:tcMar>
              <w:top w:type="dxa" w:w="80"/>
              <w:left w:type="dxa" w:w="100"/>
              <w:bottom w:type="dxa" w:w="80"/>
              <w:right w:type="dxa" w:w="100"/>
            </w:tcMar>
          </w:tcPr>
          <w:p>
            <w:pPr>
              <w:pStyle w:val="Tabla"/>
            </w:pPr>
            <w:r>
              <w:t xml:space="preserve">Auxiliar</w:t>
            </w:r>
          </w:p>
        </w:tc>
        <w:tc>
          <w:tcPr>
            <w:tcW w:type="dxa" w:w="2408"/>
            <w:tcMar>
              <w:top w:type="dxa" w:w="80"/>
              <w:left w:type="dxa" w:w="100"/>
              <w:bottom w:type="dxa" w:w="80"/>
              <w:right w:type="dxa" w:w="100"/>
            </w:tcMar>
          </w:tcPr>
          <w:p>
            <w:pPr>
              <w:pStyle w:val="Tabla"/>
            </w:pPr>
            <w:r>
              <w:t xml:space="preserve">Cálculo intermedio, sin acumulación propia</w:t>
            </w:r>
          </w:p>
        </w:tc>
        <w:tc>
          <w:tcPr>
            <w:tcW w:type="dxa" w:w="2408"/>
            <w:tcMar>
              <w:top w:type="dxa" w:w="80"/>
              <w:left w:type="dxa" w:w="100"/>
              <w:bottom w:type="dxa" w:w="80"/>
              <w:right w:type="dxa" w:w="100"/>
            </w:tcMar>
          </w:tcPr>
          <w:p>
            <w:pPr>
              <w:pStyle w:val="Tabla"/>
            </w:pPr>
            <w:r>
              <w:t xml:space="preserve">Espacio libre = capacidad − agua</w:t>
            </w:r>
          </w:p>
        </w:tc>
        <w:tc>
          <w:tcPr>
            <w:tcW w:type="dxa" w:w="2408"/>
            <w:tcMar>
              <w:top w:type="dxa" w:w="80"/>
              <w:left w:type="dxa" w:w="100"/>
              <w:bottom w:type="dxa" w:w="80"/>
              <w:right w:type="dxa" w:w="100"/>
            </w:tcMar>
          </w:tcPr>
          <w:p>
            <w:pPr>
              <w:pStyle w:val="Tabla"/>
            </w:pPr>
            <w:r>
              <w:t xml:space="preserve">Litros, en este ejemplo</w:t>
            </w:r>
          </w:p>
        </w:tc>
      </w:tr>
      <w:tr>
        <w:trPr>
          <w:cantSplit/>
          <w:tblHeader w:val="off"/>
        </w:trPr>
        <w:tc>
          <w:tcPr>
            <w:tcW w:type="dxa" w:w="2408"/>
            <w:tcMar>
              <w:top w:type="dxa" w:w="80"/>
              <w:left w:type="dxa" w:w="100"/>
              <w:bottom w:type="dxa" w:w="80"/>
              <w:right w:type="dxa" w:w="100"/>
            </w:tcMar>
          </w:tcPr>
          <w:p>
            <w:pPr>
              <w:pStyle w:val="Tabla"/>
            </w:pPr>
            <w:r>
              <w:t xml:space="preserve">Parámetro o constante</w:t>
            </w:r>
          </w:p>
        </w:tc>
        <w:tc>
          <w:tcPr>
            <w:tcW w:type="dxa" w:w="2408"/>
            <w:tcMar>
              <w:top w:type="dxa" w:w="80"/>
              <w:left w:type="dxa" w:w="100"/>
              <w:bottom w:type="dxa" w:w="80"/>
              <w:right w:type="dxa" w:w="100"/>
            </w:tcMar>
          </w:tcPr>
          <w:p>
            <w:pPr>
              <w:pStyle w:val="Tabla"/>
            </w:pPr>
            <w:r>
              <w:t xml:space="preserve">Valor que se mantiene fijo durante el escenario</w:t>
            </w:r>
          </w:p>
        </w:tc>
        <w:tc>
          <w:tcPr>
            <w:tcW w:type="dxa" w:w="2408"/>
            <w:tcMar>
              <w:top w:type="dxa" w:w="80"/>
              <w:left w:type="dxa" w:w="100"/>
              <w:bottom w:type="dxa" w:w="80"/>
              <w:right w:type="dxa" w:w="100"/>
            </w:tcMar>
          </w:tcPr>
          <w:p>
            <w:pPr>
              <w:pStyle w:val="Tabla"/>
            </w:pPr>
            <w:r>
              <w:t xml:space="preserve">Capacidad = 200 litros</w:t>
            </w:r>
          </w:p>
        </w:tc>
        <w:tc>
          <w:tcPr>
            <w:tcW w:type="dxa" w:w="2408"/>
            <w:tcMar>
              <w:top w:type="dxa" w:w="80"/>
              <w:left w:type="dxa" w:w="100"/>
              <w:bottom w:type="dxa" w:w="80"/>
              <w:right w:type="dxa" w:w="100"/>
            </w:tcMar>
          </w:tcPr>
          <w:p>
            <w:pPr>
              <w:pStyle w:val="Tabla"/>
            </w:pPr>
            <w:r>
              <w:t xml:space="preserve">Depende del parámetro</w:t>
            </w:r>
          </w:p>
        </w:tc>
      </w:tr>
      <w:tr>
        <w:trPr>
          <w:cantSplit/>
          <w:tblHeader w:val="off"/>
        </w:trPr>
        <w:tc>
          <w:tcPr>
            <w:tcW w:type="dxa" w:w="2408"/>
            <w:tcMar>
              <w:top w:type="dxa" w:w="80"/>
              <w:left w:type="dxa" w:w="100"/>
              <w:bottom w:type="dxa" w:w="80"/>
              <w:right w:type="dxa" w:w="100"/>
            </w:tcMar>
          </w:tcPr>
          <w:p>
            <w:pPr>
              <w:pStyle w:val="Tabla"/>
            </w:pPr>
            <w:r>
              <w:t xml:space="preserve">Variable exógena</w:t>
            </w:r>
          </w:p>
        </w:tc>
        <w:tc>
          <w:tcPr>
            <w:tcW w:type="dxa" w:w="2408"/>
            <w:tcMar>
              <w:top w:type="dxa" w:w="80"/>
              <w:left w:type="dxa" w:w="100"/>
              <w:bottom w:type="dxa" w:w="80"/>
              <w:right w:type="dxa" w:w="100"/>
            </w:tcMar>
          </w:tcPr>
          <w:p>
            <w:pPr>
              <w:pStyle w:val="Tabla"/>
            </w:pPr>
            <w:r>
              <w:t xml:space="preserve">Dato que afecta al sistema y cuyo origen no explica el modelo</w:t>
            </w:r>
          </w:p>
        </w:tc>
        <w:tc>
          <w:tcPr>
            <w:tcW w:type="dxa" w:w="2408"/>
            <w:tcMar>
              <w:top w:type="dxa" w:w="80"/>
              <w:left w:type="dxa" w:w="100"/>
              <w:bottom w:type="dxa" w:w="80"/>
              <w:right w:type="dxa" w:w="100"/>
            </w:tcMar>
          </w:tcPr>
          <w:p>
            <w:pPr>
              <w:pStyle w:val="Tabla"/>
            </w:pPr>
            <w:r>
              <w:t xml:space="preserve">Lluvia recibida desde el exterior</w:t>
            </w:r>
          </w:p>
        </w:tc>
        <w:tc>
          <w:tcPr>
            <w:tcW w:type="dxa" w:w="2408"/>
            <w:tcMar>
              <w:top w:type="dxa" w:w="80"/>
              <w:left w:type="dxa" w:w="100"/>
              <w:bottom w:type="dxa" w:w="80"/>
              <w:right w:type="dxa" w:w="100"/>
            </w:tcMar>
          </w:tcPr>
          <w:p>
            <w:pPr>
              <w:pStyle w:val="Tabla"/>
            </w:pPr>
            <w:r>
              <w:t xml:space="preserve">Depende del dato</w:t>
            </w:r>
          </w:p>
        </w:tc>
      </w:tr>
      <w:tr>
        <w:trPr>
          <w:cantSplit/>
          <w:tblHeader w:val="off"/>
        </w:trPr>
        <w:tc>
          <w:tcPr>
            <w:tcW w:type="dxa" w:w="2408"/>
            <w:tcMar>
              <w:top w:type="dxa" w:w="80"/>
              <w:left w:type="dxa" w:w="100"/>
              <w:bottom w:type="dxa" w:w="80"/>
              <w:right w:type="dxa" w:w="100"/>
            </w:tcMar>
          </w:tcPr>
          <w:p>
            <w:pPr>
              <w:pStyle w:val="Tabla"/>
            </w:pPr>
            <w:r>
              <w:t xml:space="preserve">Fuente o sumidero</w:t>
            </w:r>
          </w:p>
        </w:tc>
        <w:tc>
          <w:tcPr>
            <w:tcW w:type="dxa" w:w="2408"/>
            <w:tcMar>
              <w:top w:type="dxa" w:w="80"/>
              <w:left w:type="dxa" w:w="100"/>
              <w:bottom w:type="dxa" w:w="80"/>
              <w:right w:type="dxa" w:w="100"/>
            </w:tcMar>
          </w:tcPr>
          <w:p>
            <w:pPr>
              <w:pStyle w:val="Tabla"/>
            </w:pPr>
            <w:r>
              <w:t xml:space="preserve">Exterior de la frontera del modelo del que procede o al que va el contenido</w:t>
            </w:r>
          </w:p>
        </w:tc>
        <w:tc>
          <w:tcPr>
            <w:tcW w:type="dxa" w:w="2408"/>
            <w:tcMar>
              <w:top w:type="dxa" w:w="80"/>
              <w:left w:type="dxa" w:w="100"/>
              <w:bottom w:type="dxa" w:w="80"/>
              <w:right w:type="dxa" w:w="100"/>
            </w:tcMar>
          </w:tcPr>
          <w:p>
            <w:pPr>
              <w:pStyle w:val="Tabla"/>
            </w:pPr>
            <w:r>
              <w:t xml:space="preserve">Pozo y cultivo</w:t>
            </w:r>
          </w:p>
        </w:tc>
        <w:tc>
          <w:tcPr>
            <w:tcW w:type="dxa" w:w="2408"/>
            <w:tcMar>
              <w:top w:type="dxa" w:w="80"/>
              <w:left w:type="dxa" w:w="100"/>
              <w:bottom w:type="dxa" w:w="80"/>
              <w:right w:type="dxa" w:w="100"/>
            </w:tcMar>
          </w:tcPr>
          <w:p>
            <w:pPr>
              <w:pStyle w:val="Tabla"/>
            </w:pPr>
            <w:r>
              <w:t xml:space="preserve">No es una variable por sí mismo</w:t>
            </w:r>
          </w:p>
        </w:tc>
      </w:tr>
      <w:tr>
        <w:trPr>
          <w:cantSplit/>
          <w:tblHeader w:val="off"/>
        </w:trPr>
        <w:tc>
          <w:tcPr>
            <w:tcW w:type="dxa" w:w="2408"/>
            <w:tcMar>
              <w:top w:type="dxa" w:w="80"/>
              <w:left w:type="dxa" w:w="100"/>
              <w:bottom w:type="dxa" w:w="80"/>
              <w:right w:type="dxa" w:w="100"/>
            </w:tcMar>
          </w:tcPr>
          <w:p>
            <w:pPr>
              <w:pStyle w:val="Tabla"/>
            </w:pPr>
            <w:r>
              <w:t xml:space="preserve">Canal de información</w:t>
            </w:r>
          </w:p>
        </w:tc>
        <w:tc>
          <w:tcPr>
            <w:tcW w:type="dxa" w:w="2408"/>
            <w:tcMar>
              <w:top w:type="dxa" w:w="80"/>
              <w:left w:type="dxa" w:w="100"/>
              <w:bottom w:type="dxa" w:w="80"/>
              <w:right w:type="dxa" w:w="100"/>
            </w:tcMar>
          </w:tcPr>
          <w:p>
            <w:pPr>
              <w:pStyle w:val="Tabla"/>
            </w:pPr>
            <w:r>
              <w:t xml:space="preserve">Dependencia usada para calcular otra variable</w:t>
            </w:r>
          </w:p>
        </w:tc>
        <w:tc>
          <w:tcPr>
            <w:tcW w:type="dxa" w:w="2408"/>
            <w:tcMar>
              <w:top w:type="dxa" w:w="80"/>
              <w:left w:type="dxa" w:w="100"/>
              <w:bottom w:type="dxa" w:w="80"/>
              <w:right w:type="dxa" w:w="100"/>
            </w:tcMar>
          </w:tcPr>
          <w:p>
            <w:pPr>
              <w:pStyle w:val="Tabla"/>
            </w:pPr>
            <w:r>
              <w:t xml:space="preserve">Agua almacenada informa el cálculo del riego</w:t>
            </w:r>
          </w:p>
        </w:tc>
        <w:tc>
          <w:tcPr>
            <w:tcW w:type="dxa" w:w="2408"/>
            <w:tcMar>
              <w:top w:type="dxa" w:w="80"/>
              <w:left w:type="dxa" w:w="100"/>
              <w:bottom w:type="dxa" w:w="80"/>
              <w:right w:type="dxa" w:w="100"/>
            </w:tcMar>
          </w:tcPr>
          <w:p>
            <w:pPr>
              <w:pStyle w:val="Tabla"/>
            </w:pPr>
            <w:r>
              <w:t xml:space="preserve">No transporta agua</w:t>
            </w:r>
          </w:p>
        </w:tc>
      </w:tr>
    </w:tbl>
    <w:p>
      <w:pPr>
        <w:pStyle w:val="Normal"/>
      </w:pPr>
      <w:r>
        <w:t xml:space="preserve">La clasificación depende de la función de la variable en </w:t>
      </w:r>
      <w:r>
        <w:rPr>
          <w:b/>
          <w:bCs/>
        </w:rPr>
        <w:t xml:space="preserve">ese modelo</w:t>
      </w:r>
      <w:r>
        <w:t xml:space="preserve">. La capacidad de un tanque puede ser un parámetro fijo; la capacidad de una planta que se amplía mediante inversiones puede ser un nivel. Una variable exógena puede ser constante o cambiar según una serie externa: «exógena» no significa necesariamente «constante». Tampoco toda cantidad expresada en libros o personas es un nivel: el faltante y la población vulnerable pueden calcularse como auxiliares sin memoria propia. [A4:p19–20,28; L15:p36–43,84–85; L16:p6–15]</w:t>
      </w:r>
    </w:p>
    <w:p>
      <w:pPr>
        <w:pStyle w:val="Normal"/>
      </w:pPr>
      <w:r>
        <w:t xml:space="preserve">Un parámetro puede cambiar entre escenarios. Si se modifica la meta de 100 a 120 libros mientras siguen disponibles 80, el faltante cambia de 20 a 40; los libros disponibles siguen siendo 80. Una nueva meta proporciona información: no crea libros. Si después llegan diez libros, cambia el nivel a 90 y, con la meta de 120, el faltante pasa a 30. </w:t>
      </w:r>
      <w:r>
        <w:rPr>
          <w:b/>
          <w:bCs/>
        </w:rPr>
        <w:t xml:space="preserve">Meta, capacidad máxima y equilibrio no son sinónimos.</w:t>
      </w:r>
    </w:p>
    <w:p>
      <w:pPr>
        <w:pStyle w:val="Normal"/>
      </w:pPr>
      <w:r>
        <w:t xml:space="preserve">El nivel es la </w:t>
      </w:r>
      <w:r>
        <w:rPr>
          <w:b/>
          <w:bCs/>
        </w:rPr>
        <w:t xml:space="preserve">cantidad de agua almacenada</w:t>
      </w:r>
      <w:r>
        <w:t xml:space="preserve">, no simplemente «litros»: litros es la unidad. El nivel inicial de 120 litros tampoco es un flujo de entrada; es el estado desde el cual comienza la simulación. Del mismo modo, «devuelven 12 libros durante el día» es una cantidad transferida; «12 libros por día» es un ritmo. Coinciden numéricamente cuando el intervalo dura un día, pero representan conceptos diferentes.</w:t>
      </w:r>
    </w:p>
    <w:p>
      <w:pPr>
        <w:pStyle w:val="Normal"/>
      </w:pPr>
      <w:r>
        <w:rPr>
          <w:b/>
          <w:bCs/>
        </w:rPr>
        <w:t xml:space="preserve">Acumulaciones menos tangibles.</w:t>
      </w:r>
      <w:r>
        <w:t xml:space="preserve"> A4:p7–8 menciona miedo, confianza, respeto y amabilidad. En un modelo de confianza, las experiencias que la construyen actúan como entradas y las que la deterioran como salidas. Para cuantificarlo hay que definir una escala y tasas compatibles —por ejemplo, puntos de un índice de confianza y puntos por mes— y justificar cómo se observan. No son litros ni existe una escala universal dada por la palabra «confianza». Puede tratarse cualitativamente cuando no se dispone de medición adecuada. Que sea difícil de medir no elimina su posible influencia; tampoco obliga a representarla como nivel en cualquier modelo.</w:t>
      </w:r>
    </w:p>
    <w:p>
      <w:pPr>
        <w:pStyle w:val="Heading3"/>
      </w:pPr>
      <w:bookmarkStart w:name="b_lectura_n2" w:id="3773"/>
      <w:r>
        <w:t xml:space="preserve">4.2.2 Cómo se calcula el nivel</w:t>
      </w:r>
      <w:bookmarkEnd w:id="3773"/>
    </w:p>
    <w:p>
      <w:pPr>
        <w:pStyle w:val="Normal"/>
      </w:pPr>
      <w:r>
        <w:t xml:space="preserve">Con un nivel N, entradas E y salidas S:</w:t>
      </w:r>
    </w:p>
    <w:p>
      <w:pPr>
        <w:pStyle w:val="Codigo"/>
      </w:pPr>
      <w:r>
        <w:t xml:space="preserve">Flujo neto = E − S</w:t>
      </w:r>
    </w:p>
    <w:p>
      <w:pPr>
        <w:pStyle w:val="Codigo"/>
      </w:pPr>
      <w:r>
        <w:t xml:space="preserve">Cambio durante el intervalo = flujo neto × duración</w:t>
      </w:r>
    </w:p>
    <w:p>
      <w:pPr>
        <w:pStyle w:val="Codigo"/>
      </w:pPr>
      <w:r>
        <w:t xml:space="preserve">Nivel final = nivel inicial + cambio</w:t>
      </w:r>
    </w:p>
    <w:p>
      <w:pPr>
        <w:pStyle w:val="Codigo"/>
      </w:pPr>
      <w:r>
        <w:t xml:space="preserve"/>
      </w:r>
    </w:p>
    <w:p>
      <w:pPr>
        <w:pStyle w:val="Codigo"/>
      </w:pPr>
      <w:r>
        <w:t xml:space="preserve">N(t + Δt) ≈ N(t) + [E(t) − S(t)] × Δt</w:t>
      </w:r>
    </w:p>
    <w:p>
      <w:pPr>
        <w:pStyle w:val="Codigo"/>
      </w:pPr>
      <w:r>
        <w:t xml:space="preserve">N = INTEG(E − S, N_inicial)</w:t>
      </w:r>
    </w:p>
    <w:p>
      <w:pPr>
        <w:pStyle w:val="Normal"/>
      </w:pPr>
      <w:r>
        <w:t xml:space="preserve">Si hay varias entradas o salidas, se suman todas las entradas y se restan todas las salidas. La expresión con Δt corresponde a Euler: se calculan los flujos al comienzo del paso y se los mantiene durante ese paso. Es exacta para flujos constantes en el intervalo; es una aproximación si los flujos varían continuamente. La expresión continua es:</w:t>
      </w:r>
    </w:p>
    <w:p>
      <w:pPr>
        <w:pStyle w:val="Codigo"/>
      </w:pPr>
      <w:r>
        <w:t xml:space="preserve">dN/dt = E − S</w:t>
      </w:r>
    </w:p>
    <w:p>
      <w:pPr>
        <w:pStyle w:val="Codigo"/>
      </w:pPr>
      <w:r>
        <w:t xml:space="preserve">N(t) = N(t</w:t>
      </w:r>
      <w:r>
        <w:rPr>
          <w:vertAlign w:val="subscript"/>
        </w:rPr>
        <w:t xml:space="preserve">0</w:t>
      </w:r>
      <w:r>
        <w:t xml:space="preserve">) + integral desde t</w:t>
      </w:r>
      <w:r>
        <w:rPr>
          <w:vertAlign w:val="subscript"/>
        </w:rPr>
        <w:t xml:space="preserve">0</w:t>
      </w:r>
      <w:r>
        <w:t xml:space="preserve"> hasta t de [E(u) − S(u)] du</w:t>
      </w:r>
    </w:p>
    <w:p>
      <w:pPr>
        <w:pStyle w:val="Normal"/>
      </w:pPr>
      <w:r>
        <w:t xml:space="preserve">En </w:t>
      </w:r>
      <w:r>
        <w:rPr>
          <w:rFonts w:ascii="Source Code Pro" w:cs="Source Code Pro" w:eastAsia="Source Code Pro" w:hAnsi="Source Code Pro"/>
          <w:sz w:val="18"/>
          <w:szCs w:val="18"/>
        </w:rPr>
        <w:t xml:space="preserve">INTEG</w:t>
      </w:r>
      <w:r>
        <w:t xml:space="preserve">, el primer argumento es el </w:t>
      </w:r>
      <w:r>
        <w:rPr>
          <w:b/>
          <w:bCs/>
        </w:rPr>
        <w:t xml:space="preserve">flujo neto</w:t>
      </w:r>
      <w:r>
        <w:t xml:space="preserve">, medido en unidades/tiempo; el segundo es el </w:t>
      </w:r>
      <w:r>
        <w:rPr>
          <w:b/>
          <w:bCs/>
        </w:rPr>
        <w:t xml:space="preserve">nivel inicial</w:t>
      </w:r>
      <w:r>
        <w:t xml:space="preserve">, medido en unidades. La integral acumula cambios. No se coloca la población total como flujo de entrada ni se resta el propio nivel como si automáticamente fuera una salida. [A4:p13,26; L15:p40–43; L16:p9–11; C19:00:12:36–00:35:55]</w:t>
      </w:r>
    </w:p>
    <w:p>
      <w:pPr>
        <w:pStyle w:val="Normal"/>
      </w:pPr>
      <w:r>
        <w:t xml:space="preserve">Ejemplo del repaso: 86 libros iniciales; lunes y martes, devoluciones de 9 libros/día y préstamos de 12 libros/día. El flujo neto es −3 libros/día: lunes termina en 83; martes termina en 80. El miércoles empieza en 80, recibe 14 libros/día y presta 8 libros/día: termina en 86. El nivel final de un período es el nivel inicial del siguiente; no se vuelve al valor del lunes.</w:t>
      </w:r>
    </w:p>
    <w:p>
      <w:pPr>
        <w:pStyle w:val="Normal"/>
      </w:pPr>
      <w:r>
        <w:t xml:space="preserve">Si entran y salen diez libros por día, el flujo neto es cero. El nivel final puede ser el mismo que el inicial aunque hayan ocurrido movimientos. Si entrada y salida son iguales en todo instante, el nivel permanece constante; si sólo sus totales diarios coinciden, el nivel puede fluctuar dentro del día y regresar al mismo valor al final.</w:t>
      </w:r>
    </w:p>
    <w:p>
      <w:pPr>
        <w:pStyle w:val="Heading3"/>
      </w:pPr>
      <w:bookmarkStart w:name="b_lectura_n3" w:id="3774"/>
      <w:r>
        <w:t xml:space="preserve">4.2.3 Tasas porcentuales, tiempo y equilibrio</w:t>
      </w:r>
      <w:bookmarkEnd w:id="3774"/>
    </w:p>
    <w:p>
      <w:pPr>
        <w:pStyle w:val="Normal"/>
      </w:pPr>
      <w:r>
        <w:t xml:space="preserve">Un coeficiente del 10 % </w:t>
      </w:r>
      <w:r>
        <w:rPr>
          <w:b/>
          <w:bCs/>
        </w:rPr>
        <w:t xml:space="preserve">por minuto</w:t>
      </w:r>
      <w:r>
        <w:t xml:space="preserve"> equivale a </w:t>
      </w:r>
      <w:r>
        <w:rPr>
          <w:rFonts w:ascii="Source Code Pro" w:cs="Source Code Pro" w:eastAsia="Source Code Pro" w:hAnsi="Source Code Pro"/>
          <w:sz w:val="18"/>
          <w:szCs w:val="18"/>
        </w:rPr>
        <w:t xml:space="preserve">0.10/minuto</w:t>
      </w:r>
      <w:r>
        <w:t xml:space="preserve">. Multiplicado por 120 litros produce 12 litros/minuto. El 10 % no es por sí solo el flujo: falta multiplicarlo por la cantidad sobre la que se aplica.</w:t>
      </w:r>
    </w:p>
    <w:p>
      <w:pPr>
        <w:pStyle w:val="Normal"/>
      </w:pPr>
      <w:r>
        <w:t xml:space="preserve">En el tanque con bombeo de 10 litros/minuto y riego de </w:t>
      </w:r>
      <w:r>
        <w:rPr>
          <w:rFonts w:ascii="Source Code Pro" w:cs="Source Code Pro" w:eastAsia="Source Code Pro" w:hAnsi="Source Code Pro"/>
          <w:sz w:val="18"/>
          <w:szCs w:val="18"/>
        </w:rPr>
        <w:t xml:space="preserve">0.10 × agua almacenada</w:t>
      </w:r>
      <w:r>
        <w:t xml:space="preserve">:</w:t>
      </w:r>
    </w:p>
    <w:tbl>
      <w:tblPr>
        <w:tblW w:type="dxa" w:w="9632"/>
        <w:tblBorders>
          <w:top w:val="single" w:color="C5D5DB" w:sz="4"/>
          <w:left w:val="single" w:color="C5D5DB" w:sz="4"/>
          <w:bottom w:val="single" w:color="C5D5DB" w:sz="4"/>
          <w:right w:val="single" w:color="C5D5DB" w:sz="4"/>
          <w:insideH w:val="single" w:color="E4E9EB" w:sz="3"/>
          <w:insideV w:val="single" w:color="E4E9EB" w:sz="3"/>
        </w:tblBorders>
        <w:tblLayout w:type="fixed"/>
      </w:tblPr>
      <w:tblGrid>
        <w:gridCol w:w="1928"/>
        <w:gridCol w:w="1926"/>
        <w:gridCol w:w="1926"/>
        <w:gridCol w:w="1926"/>
        <w:gridCol w:w="1926"/>
      </w:tblGrid>
      <w:tr>
        <w:trPr>
          <w:cantSplit/>
          <w:tblHeader/>
        </w:trPr>
        <w:tc>
          <w:tcPr>
            <w:tcW w:type="dxa" w:w="1928"/>
            <w:shd w:fill="DFEAF0" w:val="clear"/>
            <w:tcMar>
              <w:top w:type="dxa" w:w="80"/>
              <w:left w:type="dxa" w:w="100"/>
              <w:bottom w:type="dxa" w:w="80"/>
              <w:right w:type="dxa" w:w="100"/>
            </w:tcMar>
          </w:tcPr>
          <w:p>
            <w:pPr>
              <w:pStyle w:val="Tabla"/>
            </w:pPr>
            <w:r>
              <w:rPr>
                <w:b/>
                <w:bCs/>
              </w:rPr>
              <w:t xml:space="preserve">Comienzo del paso</w:t>
            </w:r>
          </w:p>
        </w:tc>
        <w:tc>
          <w:tcPr>
            <w:tcW w:type="dxa" w:w="1926"/>
            <w:shd w:fill="DFEAF0" w:val="clear"/>
            <w:tcMar>
              <w:top w:type="dxa" w:w="80"/>
              <w:left w:type="dxa" w:w="100"/>
              <w:bottom w:type="dxa" w:w="80"/>
              <w:right w:type="dxa" w:w="100"/>
            </w:tcMar>
          </w:tcPr>
          <w:p>
            <w:pPr>
              <w:pStyle w:val="Tabla"/>
            </w:pPr>
            <w:r>
              <w:rPr>
                <w:b/>
                <w:bCs/>
              </w:rPr>
              <w:t xml:space="preserve">Bombeo</w:t>
            </w:r>
          </w:p>
        </w:tc>
        <w:tc>
          <w:tcPr>
            <w:tcW w:type="dxa" w:w="1926"/>
            <w:shd w:fill="DFEAF0" w:val="clear"/>
            <w:tcMar>
              <w:top w:type="dxa" w:w="80"/>
              <w:left w:type="dxa" w:w="100"/>
              <w:bottom w:type="dxa" w:w="80"/>
              <w:right w:type="dxa" w:w="100"/>
            </w:tcMar>
          </w:tcPr>
          <w:p>
            <w:pPr>
              <w:pStyle w:val="Tabla"/>
            </w:pPr>
            <w:r>
              <w:rPr>
                <w:b/>
                <w:bCs/>
              </w:rPr>
              <w:t xml:space="preserve">Riego calculado al comienzo</w:t>
            </w:r>
          </w:p>
        </w:tc>
        <w:tc>
          <w:tcPr>
            <w:tcW w:type="dxa" w:w="1926"/>
            <w:shd w:fill="DFEAF0" w:val="clear"/>
            <w:tcMar>
              <w:top w:type="dxa" w:w="80"/>
              <w:left w:type="dxa" w:w="100"/>
              <w:bottom w:type="dxa" w:w="80"/>
              <w:right w:type="dxa" w:w="100"/>
            </w:tcMar>
          </w:tcPr>
          <w:p>
            <w:pPr>
              <w:pStyle w:val="Tabla"/>
            </w:pPr>
            <w:r>
              <w:rPr>
                <w:b/>
                <w:bCs/>
              </w:rPr>
              <w:t xml:space="preserve">Cambio durante 1 minuto</w:t>
            </w:r>
          </w:p>
        </w:tc>
        <w:tc>
          <w:tcPr>
            <w:tcW w:type="dxa" w:w="1926"/>
            <w:shd w:fill="DFEAF0" w:val="clear"/>
            <w:tcMar>
              <w:top w:type="dxa" w:w="80"/>
              <w:left w:type="dxa" w:w="100"/>
              <w:bottom w:type="dxa" w:w="80"/>
              <w:right w:type="dxa" w:w="100"/>
            </w:tcMar>
          </w:tcPr>
          <w:p>
            <w:pPr>
              <w:pStyle w:val="Tabla"/>
            </w:pPr>
            <w:r>
              <w:rPr>
                <w:b/>
                <w:bCs/>
              </w:rPr>
              <w:t xml:space="preserve">Agua al final</w:t>
            </w:r>
          </w:p>
        </w:tc>
      </w:tr>
      <w:tr>
        <w:trPr>
          <w:cantSplit/>
          <w:tblHeader w:val="off"/>
        </w:trPr>
        <w:tc>
          <w:tcPr>
            <w:tcW w:type="dxa" w:w="1928"/>
            <w:tcMar>
              <w:top w:type="dxa" w:w="80"/>
              <w:left w:type="dxa" w:w="100"/>
              <w:bottom w:type="dxa" w:w="80"/>
              <w:right w:type="dxa" w:w="100"/>
            </w:tcMar>
          </w:tcPr>
          <w:p>
            <w:pPr>
              <w:pStyle w:val="Tabla"/>
            </w:pPr>
            <w:r>
              <w:t xml:space="preserve">120 litros</w:t>
            </w:r>
          </w:p>
        </w:tc>
        <w:tc>
          <w:tcPr>
            <w:tcW w:type="dxa" w:w="1926"/>
            <w:tcMar>
              <w:top w:type="dxa" w:w="80"/>
              <w:left w:type="dxa" w:w="100"/>
              <w:bottom w:type="dxa" w:w="80"/>
              <w:right w:type="dxa" w:w="100"/>
            </w:tcMar>
          </w:tcPr>
          <w:p>
            <w:pPr>
              <w:pStyle w:val="Tabla"/>
            </w:pPr>
            <w:r>
              <w:t xml:space="preserve">10 L/min</w:t>
            </w:r>
          </w:p>
        </w:tc>
        <w:tc>
          <w:tcPr>
            <w:tcW w:type="dxa" w:w="1926"/>
            <w:tcMar>
              <w:top w:type="dxa" w:w="80"/>
              <w:left w:type="dxa" w:w="100"/>
              <w:bottom w:type="dxa" w:w="80"/>
              <w:right w:type="dxa" w:w="100"/>
            </w:tcMar>
          </w:tcPr>
          <w:p>
            <w:pPr>
              <w:pStyle w:val="Tabla"/>
            </w:pPr>
            <w:r>
              <w:t xml:space="preserve">12 L/min</w:t>
            </w:r>
          </w:p>
        </w:tc>
        <w:tc>
          <w:tcPr>
            <w:tcW w:type="dxa" w:w="1926"/>
            <w:tcMar>
              <w:top w:type="dxa" w:w="80"/>
              <w:left w:type="dxa" w:w="100"/>
              <w:bottom w:type="dxa" w:w="80"/>
              <w:right w:type="dxa" w:w="100"/>
            </w:tcMar>
          </w:tcPr>
          <w:p>
            <w:pPr>
              <w:pStyle w:val="Tabla"/>
            </w:pPr>
            <w:r>
              <w:t xml:space="preserve">−2 litros</w:t>
            </w:r>
          </w:p>
        </w:tc>
        <w:tc>
          <w:tcPr>
            <w:tcW w:type="dxa" w:w="1926"/>
            <w:tcMar>
              <w:top w:type="dxa" w:w="80"/>
              <w:left w:type="dxa" w:w="100"/>
              <w:bottom w:type="dxa" w:w="80"/>
              <w:right w:type="dxa" w:w="100"/>
            </w:tcMar>
          </w:tcPr>
          <w:p>
            <w:pPr>
              <w:pStyle w:val="Tabla"/>
            </w:pPr>
            <w:r>
              <w:t xml:space="preserve">118 litros</w:t>
            </w:r>
          </w:p>
        </w:tc>
      </w:tr>
      <w:tr>
        <w:trPr>
          <w:cantSplit/>
          <w:tblHeader w:val="off"/>
        </w:trPr>
        <w:tc>
          <w:tcPr>
            <w:tcW w:type="dxa" w:w="1928"/>
            <w:tcMar>
              <w:top w:type="dxa" w:w="80"/>
              <w:left w:type="dxa" w:w="100"/>
              <w:bottom w:type="dxa" w:w="80"/>
              <w:right w:type="dxa" w:w="100"/>
            </w:tcMar>
          </w:tcPr>
          <w:p>
            <w:pPr>
              <w:pStyle w:val="Tabla"/>
            </w:pPr>
            <w:r>
              <w:t xml:space="preserve">118 litros</w:t>
            </w:r>
          </w:p>
        </w:tc>
        <w:tc>
          <w:tcPr>
            <w:tcW w:type="dxa" w:w="1926"/>
            <w:tcMar>
              <w:top w:type="dxa" w:w="80"/>
              <w:left w:type="dxa" w:w="100"/>
              <w:bottom w:type="dxa" w:w="80"/>
              <w:right w:type="dxa" w:w="100"/>
            </w:tcMar>
          </w:tcPr>
          <w:p>
            <w:pPr>
              <w:pStyle w:val="Tabla"/>
            </w:pPr>
            <w:r>
              <w:t xml:space="preserve">10 L/min</w:t>
            </w:r>
          </w:p>
        </w:tc>
        <w:tc>
          <w:tcPr>
            <w:tcW w:type="dxa" w:w="1926"/>
            <w:tcMar>
              <w:top w:type="dxa" w:w="80"/>
              <w:left w:type="dxa" w:w="100"/>
              <w:bottom w:type="dxa" w:w="80"/>
              <w:right w:type="dxa" w:w="100"/>
            </w:tcMar>
          </w:tcPr>
          <w:p>
            <w:pPr>
              <w:pStyle w:val="Tabla"/>
            </w:pPr>
            <w:r>
              <w:t xml:space="preserve">11.8 L/min</w:t>
            </w:r>
          </w:p>
        </w:tc>
        <w:tc>
          <w:tcPr>
            <w:tcW w:type="dxa" w:w="1926"/>
            <w:tcMar>
              <w:top w:type="dxa" w:w="80"/>
              <w:left w:type="dxa" w:w="100"/>
              <w:bottom w:type="dxa" w:w="80"/>
              <w:right w:type="dxa" w:w="100"/>
            </w:tcMar>
          </w:tcPr>
          <w:p>
            <w:pPr>
              <w:pStyle w:val="Tabla"/>
            </w:pPr>
            <w:r>
              <w:t xml:space="preserve">−1.8 litros</w:t>
            </w:r>
          </w:p>
        </w:tc>
        <w:tc>
          <w:tcPr>
            <w:tcW w:type="dxa" w:w="1926"/>
            <w:tcMar>
              <w:top w:type="dxa" w:w="80"/>
              <w:left w:type="dxa" w:w="100"/>
              <w:bottom w:type="dxa" w:w="80"/>
              <w:right w:type="dxa" w:w="100"/>
            </w:tcMar>
          </w:tcPr>
          <w:p>
            <w:pPr>
              <w:pStyle w:val="Tabla"/>
            </w:pPr>
            <w:r>
              <w:t xml:space="preserve">116.2 litros</w:t>
            </w:r>
          </w:p>
        </w:tc>
      </w:tr>
    </w:tbl>
    <w:p>
      <w:pPr>
        <w:pStyle w:val="Normal"/>
      </w:pPr>
      <w:r>
        <w:t xml:space="preserve">El segundo minuto no termina en 116: el riego se recalcula usando 118. Escribir permanentemente −2 confundiría un flujo dependiente del nivel con un flujo constante.</w:t>
      </w:r>
    </w:p>
    <w:p>
      <w:pPr>
        <w:pStyle w:val="Normal"/>
      </w:pPr>
      <w:r>
        <w:t xml:space="preserve">Para localizar un equilibrio de este nivel no hace falta adivinar cuántas iteraciones se necesitan. Se igualan entradas y salidas:</w:t>
      </w:r>
    </w:p>
    <w:p>
      <w:pPr>
        <w:pStyle w:val="Codigo"/>
      </w:pPr>
      <w:r>
        <w:t xml:space="preserve">10 = 0.10 × N_equilibrio</w:t>
      </w:r>
    </w:p>
    <w:p>
      <w:pPr>
        <w:pStyle w:val="Codigo"/>
      </w:pPr>
      <w:r>
        <w:t xml:space="preserve">N_equilibrio = 100 litros</w:t>
      </w:r>
    </w:p>
    <w:p>
      <w:pPr>
        <w:pStyle w:val="Normal"/>
      </w:pPr>
      <w:r>
        <w:t xml:space="preserve">Con entrada de 8 litros/minuto y salida del 20 % por minuto, el equilibrio es </w:t>
      </w:r>
      <w:r>
        <w:rPr>
          <w:rFonts w:ascii="Source Code Pro" w:cs="Source Code Pro" w:eastAsia="Source Code Pro" w:hAnsi="Source Code Pro"/>
          <w:sz w:val="18"/>
          <w:szCs w:val="18"/>
        </w:rPr>
        <w:t xml:space="preserve">8 / 0.20 = 40 litros</w:t>
      </w:r>
      <w:r>
        <w:t xml:space="preserve">. Allí entran y salen 8 litros/minuto. Por encima de 40 sale más de lo que entra; por debajo, entra más de lo que sale. Esta interpretación comprueba la estabilidad del equilibrio bajo las reglas planteadas.</w:t>
      </w:r>
    </w:p>
    <w:p>
      <w:pPr>
        <w:pStyle w:val="Normal"/>
      </w:pPr>
      <w:r>
        <w:t xml:space="preserve">Que una unidad diga «por minuto» identifica la base temporal de un ritmo. No implica una demora. Una demora existe cuando un cambio tarda en producir o comunicar su efecto: por ejemplo, un pedido hecho hoy que llega tres días después. </w:t>
      </w:r>
      <w:r>
        <w:rPr>
          <w:rFonts w:ascii="Source Code Pro" w:cs="Source Code Pro" w:eastAsia="Source Code Pro" w:hAnsi="Source Code Pro"/>
          <w:sz w:val="18"/>
          <w:szCs w:val="18"/>
        </w:rPr>
        <w:t xml:space="preserve">TIME STEP</w:t>
      </w:r>
      <w:r>
        <w:t xml:space="preserve"> es el intervalo del cálculo, otra idea diferente.</w:t>
      </w:r>
    </w:p>
    <w:p>
      <w:pPr>
        <w:pStyle w:val="Heading3"/>
      </w:pPr>
      <w:bookmarkStart w:name="b_lectura_n4" w:id="3775"/>
      <w:r>
        <w:t xml:space="preserve">4.2.4 Auxiliares, multiplicadores y tablas</w:t>
      </w:r>
      <w:bookmarkEnd w:id="3775"/>
    </w:p>
    <w:p>
      <w:pPr>
        <w:pStyle w:val="Normal"/>
      </w:pPr>
      <w:r>
        <w:t xml:space="preserve">Una auxiliar permite expresar de forma clara una operación que podría estar dentro de otra ecuación: faltante, espacio libre, disponibilidad de comida o encuentros probables. La función </w:t>
      </w:r>
      <w:r>
        <w:rPr>
          <w:rFonts w:ascii="Source Code Pro" w:cs="Source Code Pro" w:eastAsia="Source Code Pro" w:hAnsi="Source Code Pro"/>
          <w:sz w:val="18"/>
          <w:szCs w:val="18"/>
        </w:rPr>
        <w:t xml:space="preserve">IF THEN ELSE(condición, valor_si_se_cumple, valor_si_no)</w:t>
      </w:r>
      <w:r>
        <w:t xml:space="preserve"> representa una regla de decisión; sus dos posibles resultados deben tener unidades compatibles. </w:t>
      </w:r>
      <w:r>
        <w:rPr>
          <w:rFonts w:ascii="Source Code Pro" w:cs="Source Code Pro" w:eastAsia="Source Code Pro" w:hAnsi="Source Code Pro"/>
          <w:sz w:val="18"/>
          <w:szCs w:val="18"/>
        </w:rPr>
        <w:t xml:space="preserve">MAX(0, expresión)</w:t>
      </w:r>
      <w:r>
        <w:t xml:space="preserve"> sirve para impedir un valor negativo cuando la interpretación del modelo lo exige. </w:t>
      </w:r>
      <w:r>
        <w:rPr>
          <w:b/>
          <w:bCs/>
        </w:rPr>
        <w:t xml:space="preserve">MAX no impone un límite superior</w:t>
      </w:r>
      <w:r>
        <w:t xml:space="preserve">; para eso se necesita una cota superior, normalmente con </w:t>
      </w:r>
      <w:r>
        <w:rPr>
          <w:rFonts w:ascii="Source Code Pro" w:cs="Source Code Pro" w:eastAsia="Source Code Pro" w:hAnsi="Source Code Pro"/>
          <w:sz w:val="18"/>
          <w:szCs w:val="18"/>
        </w:rPr>
        <w:t xml:space="preserve">MIN</w:t>
      </w:r>
      <w:r>
        <w:t xml:space="preserve">, además de considerar la duración del paso. [L16:p13–15; video UVa zorros:03:06–04:54]</w:t>
      </w:r>
    </w:p>
    <w:p>
      <w:pPr>
        <w:pStyle w:val="Normal"/>
      </w:pPr>
      <w:r>
        <w:t xml:space="preserve">Una tabla o </w:t>
      </w:r>
      <w:r>
        <w:rPr>
          <w:i/>
          <w:iCs/>
        </w:rPr>
        <w:t xml:space="preserve">lookup</w:t>
      </w:r>
      <w:r>
        <w:t xml:space="preserve"> representa una relación mediante pares de valores, por ejemplo saturación del hambre frente a comida consumida o efecto de superpoblación sobre mortalidad. Puede interpolar entre datos conocidos. Una relación no lineal no mantiene una respuesta proporcional constante en todo su dominio; también puede expresarse mediante una fórmula, sin tabla.</w:t>
      </w:r>
    </w:p>
    <w:p>
      <w:pPr>
        <w:pStyle w:val="Normal"/>
      </w:pPr>
      <w:r>
        <w:t xml:space="preserve">Un multiplicador modifica el valor normal de un flujo: </w:t>
      </w:r>
      <w:r>
        <w:rPr>
          <w:rFonts w:ascii="Source Code Pro" w:cs="Source Code Pro" w:eastAsia="Source Code Pro" w:hAnsi="Source Code Pro"/>
          <w:sz w:val="18"/>
          <w:szCs w:val="18"/>
        </w:rPr>
        <w:t xml:space="preserve">flujo = tasa normal × multiplicador × nivel</w:t>
      </w:r>
      <w:r>
        <w:t xml:space="preserve">. Si pretende conservar las unidades del flujo, el multiplicador es adimensional. Por ejemplo, un factor de disponibilidad 0.6 reduce el flujo al 60 % de su valor normal. No debe memorizarse que «multiplicar siempre aumenta»: un factor entre cero y uno disminuye el resultado. [L15:p44–45; L16:p14–15]</w:t>
      </w:r>
    </w:p>
    <w:p>
      <w:pPr>
        <w:pStyle w:val="Heading3"/>
      </w:pPr>
      <w:bookmarkStart w:name="b_lectura_n5" w:id="3776"/>
      <w:r>
        <w:t xml:space="preserve">4.2.5 Demoras de material e información</w:t>
      </w:r>
      <w:bookmarkEnd w:id="3776"/>
    </w:p>
    <w:p>
      <w:pPr>
        <w:pStyle w:val="Normal"/>
      </w:pPr>
      <w:r>
        <w:t xml:space="preserve">En una demora de </w:t>
      </w:r>
      <w:r>
        <w:rPr>
          <w:b/>
          <w:bCs/>
        </w:rPr>
        <w:t xml:space="preserve">material</w:t>
      </w:r>
      <w:r>
        <w:t xml:space="preserve">, algo permanece en tránsito o almacenado antes de salir: cartas en distribución, mercancías pendientes de entrega o animales que deben madurar. Debe llevarse cuenta de dónde está ese contenido. En una demora de </w:t>
      </w:r>
      <w:r>
        <w:rPr>
          <w:b/>
          <w:bCs/>
        </w:rPr>
        <w:t xml:space="preserve">información</w:t>
      </w:r>
      <w:r>
        <w:t xml:space="preserve">, una percepción, expectativa o promedio se ajusta gradualmente: la dirección tarda en advertir un cambio de demanda. Compartir información no vacía al emisor como transferir agua vacía un tanque. [L16:p16–20]</w:t>
      </w:r>
    </w:p>
    <w:p>
      <w:pPr>
        <w:pStyle w:val="Normal"/>
      </w:pPr>
      <w:r>
        <w:t xml:space="preserve">Una representación de primer orden de una demora material usa un nivel de contenido en tránsito y un tiempo medio TA:</w:t>
      </w:r>
    </w:p>
    <w:p>
      <w:pPr>
        <w:pStyle w:val="Codigo"/>
      </w:pPr>
      <w:r>
        <w:t xml:space="preserve">Salida = Contenido_en_tránsito / TA</w:t>
      </w:r>
    </w:p>
    <w:p>
      <w:pPr>
        <w:pStyle w:val="Codigo"/>
      </w:pPr>
      <w:r>
        <w:t xml:space="preserve">Cambio_del_contenido = Entrada − Salida</w:t>
      </w:r>
    </w:p>
    <w:p>
      <w:pPr>
        <w:pStyle w:val="Normal"/>
      </w:pPr>
      <w:r>
        <w:t xml:space="preserve">Para una percepción que se ajusta gradualmente:</w:t>
      </w:r>
    </w:p>
    <w:p>
      <w:pPr>
        <w:pStyle w:val="Codigo"/>
      </w:pPr>
      <w:r>
        <w:t xml:space="preserve">Cambio_de_percepción = (Valor_observado − Percepción) / TA</w:t>
      </w:r>
    </w:p>
    <w:p>
      <w:pPr>
        <w:pStyle w:val="Normal"/>
      </w:pPr>
      <w:r>
        <w:t xml:space="preserve">Si TA aumenta, la respuesta es más lenta. El </w:t>
      </w:r>
      <w:r>
        <w:rPr>
          <w:b/>
          <w:bCs/>
        </w:rPr>
        <w:t xml:space="preserve">orden</w:t>
      </w:r>
      <w:r>
        <w:t xml:space="preserve"> indica cuántas etapas o niveles internos componen la representación del retardo; TA tiene unidades de tiempo. No se debe comparar universalmente «TA ≥ orden»: es una afirmación de la lectura que mezcla tiempo con un conteo sin unidad; cualquier restricción de un programa debe interpretarse dentro de sus condiciones numéricas. Una demora distribuida de primer orden tampoco significa que todos los elementos salgan exactamente al cumplir TA.</w:t>
      </w:r>
    </w:p>
    <w:p>
      <w:pPr>
        <w:pStyle w:val="Normal"/>
      </w:pPr>
      <w:r>
        <w:t xml:space="preserve">Una demora puede provocar sobrecorrección u oscilaciones en un ciclo de balance sin convertirlo en refuerzo. Es necesario revisar los efectos todavía pendientes antes de volver a ajustar. Reducir el paso de cálculo no elimina la demora real del proceso.</w:t>
      </w:r>
    </w:p>
    <w:p>
      <w:pPr>
        <w:pStyle w:val="Heading3"/>
      </w:pPr>
      <w:r>
        <w:t xml:space="preserve">Representación actual de niveles y flujos</w:t>
      </w:r>
    </w:p>
    <w:p>
      <w:pPr>
        <w:pStyle w:val="Normal"/>
      </w:pPr>
      <w:r>
        <w:t xml:space="preserve">Una cantidad acumulada y su tasa de cambio son magnitudes distintas: nivel en unidades de cantidad y flujo en cantidad por tiempo. La edición de octubre conserva la notación de Forrester desarrollada en la lección.</w:t>
      </w:r>
    </w:p>
    <w:p>
      <w:pPr>
        <w:pStyle w:val="Fuente"/>
      </w:pPr>
      <w:r>
        <w:t xml:space="preserve">Presentación 4a de octubre (C-7), láminas 5 y 9</w:t>
      </w:r>
    </w:p>
    <w:p>
      <w:pPr>
        <w:pStyle w:val="Heading3"/>
      </w:pPr>
      <w:r>
        <w:t xml:space="preserve">Notación y unidades</w:t>
      </w:r>
    </w:p>
    <w:p>
      <w:pPr>
        <w:pStyle w:val="Normal"/>
      </w:pPr>
      <w:r>
        <w:t xml:space="preserve">Nivel: rectángulo, medido en litros, personas, libros o dinero. Flujo: tubería con válvula, medido en esas unidades por unidad de tiempo.</w:t>
      </w:r>
    </w:p>
    <w:p>
      <w:pPr>
        <w:pStyle w:val="Normal"/>
      </w:pPr>
      <w:r>
        <w:t xml:space="preserve">Auxiliar: cálculo usado por otras variables. Parámetro: valor fijado para la corrida. Nube: fuente o sumidero fuera de la frontera modelada.</w:t>
      </w:r>
    </w:p>
    <w:p>
      <w:pPr>
        <w:pStyle w:val="Normal"/>
      </w:pPr>
      <w:r>
        <w:t xml:space="preserve">Una flecha de información lleva una dependencia para calcular; no transporta por sí misma aquello que se acumula.</w:t>
      </w:r>
    </w:p>
    <w:p>
      <w:pPr>
        <w:pStyle w:val="Fuente"/>
      </w:pPr>
      <w:r>
        <w:t xml:space="preserve">Guía de estudio · edición 20/10/2026 · pp. 11–12</w:t>
      </w:r>
    </w:p>
    <w:p>
      <w:pPr>
        <w:pStyle w:val="Heading3"/>
      </w:pPr>
      <w:r>
        <w:t xml:space="preserve">Balance y ecuaciones</w:t>
      </w:r>
    </w:p>
    <w:p>
      <w:pPr>
        <w:pStyle w:val="Normal"/>
      </w:pPr>
      <w:r>
        <w:t xml:space="preserve">dN/dt = entradas − salidas. Con Euler: N(t + Δt) = N(t) + (entradas(t) − salidas(t)) · Δt.</w:t>
      </w:r>
    </w:p>
    <w:p>
      <w:pPr>
        <w:pStyle w:val="Normal"/>
      </w:pPr>
      <w:r>
        <w:t xml:space="preserve">En Vensim: Nivel = INTEG(Entradas − Salidas, Valor inicial). Si N se mide en litros y el tiempo en minutos, los flujos deben estar en litros/minuto.</w:t>
      </w:r>
    </w:p>
    <w:p>
      <w:pPr>
        <w:pStyle w:val="Normal"/>
      </w:pPr>
      <w:r>
        <w:t xml:space="preserve">Con 100 litros, entrada 12 y salida 15 litros/min constantes, a los cuatro minutos quedan 88 litros. El flujo neto constante produce una recta.</w:t>
      </w:r>
    </w:p>
    <w:p>
      <w:pPr>
        <w:pStyle w:val="Fuente"/>
      </w:pPr>
      <w:r>
        <w:t xml:space="preserve">Guía de estudio · edición 20/10/2026 · pp. 11–12</w:t>
      </w:r>
    </w:p>
    <w:p>
      <w:pPr>
        <w:pStyle w:val="Heading3"/>
      </w:pPr>
      <w:r>
        <w:t xml:space="preserve">Leer la evolución</w:t>
      </w:r>
    </w:p>
    <w:p>
      <w:pPr>
        <w:pStyle w:val="Normal"/>
      </w:pPr>
      <w:r>
        <w:t xml:space="preserve">Entradas mayores que salidas: el nivel crece. Menores: disminuye. Iguales: se mantiene, aunque ambos flujos sean distintos de cero.</w:t>
      </w:r>
    </w:p>
    <w:p>
      <w:pPr>
        <w:pStyle w:val="Normal"/>
      </w:pPr>
      <w:r>
        <w:t xml:space="preserve">Cerrar una entrada no vacía un nivel si no hay salida. Para explicar la matrícula de una escuela hay que mirar inscripciones y retiros.</w:t>
      </w:r>
    </w:p>
    <w:p>
      <w:pPr>
        <w:pStyle w:val="Normal"/>
      </w:pPr>
      <w:r>
        <w:t xml:space="preserve">Un flujo proporcional al nivel no es constante: hay que recalcularlo en cada paso de la simulación.</w:t>
      </w:r>
    </w:p>
    <w:p>
      <w:pPr>
        <w:pStyle w:val="Fuente"/>
      </w:pPr>
      <w:r>
        <w:t xml:space="preserve">Guía de estudio · edición 20/10/2026 · pp. 11–12</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Procedimiento</w:t>
            </w:r>
          </w:p>
          <w:p>
            <w:pPr>
              <w:pStyle w:val="Recuadro"/>
            </w:pPr>
            <w:r>
              <w:t xml:space="preserve">Calcular un balance sin confundir cantidad y velocidad</w:t>
            </w:r>
          </w:p>
          <w:p>
            <w:pPr>
              <w:pStyle w:val="Recuadro"/>
            </w:pPr>
            <w:r>
              <w:t xml:space="preserve">1. </w:t>
            </w:r>
            <w:r>
              <w:rPr>
                <w:b/>
                <w:bCs/>
              </w:rPr>
              <w:t xml:space="preserve">Identificar.</w:t>
            </w:r>
            <w:r>
              <w:t xml:space="preserve"> Escribe qué se acumula, su unidad y su valor inicial. (Guía de estudio · edición 20/10/2026 · pp. 11–12)</w:t>
            </w:r>
          </w:p>
          <w:p>
            <w:pPr>
              <w:pStyle w:val="Recuadro"/>
            </w:pPr>
            <w:r>
              <w:t xml:space="preserve">2. </w:t>
            </w:r>
            <w:r>
              <w:rPr>
                <w:b/>
                <w:bCs/>
              </w:rPr>
              <w:t xml:space="preserve">Separar.</w:t>
            </w:r>
            <w:r>
              <w:t xml:space="preserve"> Lista las entradas y salidas con sus unidades por tiempo. (Guía de estudio · edición 20/10/2026 · pp. 11–12)</w:t>
            </w:r>
          </w:p>
          <w:p>
            <w:pPr>
              <w:pStyle w:val="Recuadro"/>
            </w:pPr>
            <w:r>
              <w:t xml:space="preserve">3. </w:t>
            </w:r>
            <w:r>
              <w:rPr>
                <w:b/>
                <w:bCs/>
              </w:rPr>
              <w:t xml:space="preserve">Actualizar.</w:t>
            </w:r>
            <w:r>
              <w:t xml:space="preserve"> Calcula el flujo neto y multiplícalo por Δt antes de sumarlo al nivel. Si el flujo depende del nivel, recalcula en cada paso. (Guía de estudio · edición 20/10/2026 · pp. 11–12)</w:t>
            </w:r>
          </w:p>
          <w:p>
            <w:pPr>
              <w:pStyle w:val="Recuadro"/>
            </w:pPr>
            <w:r>
              <w:t xml:space="preserve">4. </w:t>
            </w:r>
            <w:r>
              <w:rPr>
                <w:b/>
                <w:bCs/>
              </w:rPr>
              <w:t xml:space="preserve">Comprobar.</w:t>
            </w:r>
            <w:r>
              <w:t xml:space="preserve"> Explica si el nivel sube, baja o se mantiene y revisa límites físicos, como un depósito vacío. (Guía de estudio · edición 20/10/2026 · pp. 11–12)</w:t>
            </w:r>
          </w:p>
          <w:p>
            <w:pPr>
              <w:pStyle w:val="Recuadro"/>
            </w:pPr>
            <w:r>
              <w:t xml:space="preserve">Cantidad nueva = cantidad anterior + tasa neta × tiempo.</w:t>
            </w:r>
          </w:p>
        </w:tc>
      </w:tr>
    </w:tbl>
    <w:p>
      <w:pPr>
        <w:pStyle w:val="Heading3"/>
      </w:pPr>
      <w:bookmarkStart w:name="b_tabla_4_2_g3_g3_balance" w:id="3777"/>
      <w:r>
        <w:t xml:space="preserve">Nivel, flujo y ecuación</w:t>
      </w:r>
      <w:bookmarkEnd w:id="3777"/>
    </w:p>
    <w:tbl>
      <w:tblPr>
        <w:tblW w:type="dxa" w:w="9632"/>
        <w:tblBorders>
          <w:top w:val="single" w:color="C5D5DB" w:sz="4"/>
          <w:left w:val="single" w:color="C5D5DB" w:sz="4"/>
          <w:bottom w:val="single" w:color="C5D5DB" w:sz="4"/>
          <w:right w:val="single" w:color="C5D5DB" w:sz="4"/>
          <w:insideH w:val="single" w:color="E4E9EB" w:sz="3"/>
          <w:insideV w:val="single" w:color="E4E9EB" w:sz="3"/>
        </w:tblBorders>
        <w:tblLayout w:type="fixed"/>
      </w:tblPr>
      <w:tblGrid>
        <w:gridCol w:w="3212"/>
        <w:gridCol w:w="3210"/>
        <w:gridCol w:w="3210"/>
      </w:tblGrid>
      <w:tr>
        <w:trPr>
          <w:cantSplit/>
          <w:tblHeader/>
        </w:trPr>
        <w:tc>
          <w:tcPr>
            <w:tcW w:type="dxa" w:w="3212"/>
            <w:shd w:fill="DFEAF0" w:val="clear"/>
            <w:tcMar>
              <w:top w:type="dxa" w:w="80"/>
              <w:left w:type="dxa" w:w="100"/>
              <w:bottom w:type="dxa" w:w="80"/>
              <w:right w:type="dxa" w:w="100"/>
            </w:tcMar>
          </w:tcPr>
          <w:p>
            <w:pPr>
              <w:pStyle w:val="Tabla"/>
            </w:pPr>
            <w:r>
              <w:rPr>
                <w:b/>
                <w:bCs/>
              </w:rPr>
              <w:t xml:space="preserve">Elemento</w:t>
            </w:r>
          </w:p>
        </w:tc>
        <w:tc>
          <w:tcPr>
            <w:tcW w:type="dxa" w:w="3210"/>
            <w:shd w:fill="DFEAF0" w:val="clear"/>
            <w:tcMar>
              <w:top w:type="dxa" w:w="80"/>
              <w:left w:type="dxa" w:w="100"/>
              <w:bottom w:type="dxa" w:w="80"/>
              <w:right w:type="dxa" w:w="100"/>
            </w:tcMar>
          </w:tcPr>
          <w:p>
            <w:pPr>
              <w:pStyle w:val="Tabla"/>
            </w:pPr>
            <w:r>
              <w:rPr>
                <w:b/>
                <w:bCs/>
              </w:rPr>
              <w:t xml:space="preserve">Cómo reconocerlo</w:t>
            </w:r>
          </w:p>
        </w:tc>
        <w:tc>
          <w:tcPr>
            <w:tcW w:type="dxa" w:w="3210"/>
            <w:shd w:fill="DFEAF0" w:val="clear"/>
            <w:tcMar>
              <w:top w:type="dxa" w:w="80"/>
              <w:left w:type="dxa" w:w="100"/>
              <w:bottom w:type="dxa" w:w="80"/>
              <w:right w:type="dxa" w:w="100"/>
            </w:tcMar>
          </w:tcPr>
          <w:p>
            <w:pPr>
              <w:pStyle w:val="Tabla"/>
            </w:pPr>
            <w:r>
              <w:rPr>
                <w:b/>
                <w:bCs/>
              </w:rPr>
              <w:t xml:space="preserve">Ejemplo</w:t>
            </w:r>
          </w:p>
        </w:tc>
      </w:tr>
      <w:tr>
        <w:trPr>
          <w:cantSplit/>
          <w:tblHeader w:val="off"/>
        </w:trPr>
        <w:tc>
          <w:tcPr>
            <w:tcW w:type="dxa" w:w="3212"/>
            <w:tcMar>
              <w:top w:type="dxa" w:w="80"/>
              <w:left w:type="dxa" w:w="100"/>
              <w:bottom w:type="dxa" w:w="80"/>
              <w:right w:type="dxa" w:w="100"/>
            </w:tcMar>
          </w:tcPr>
          <w:p>
            <w:pPr>
              <w:pStyle w:val="Tabla"/>
            </w:pPr>
            <w:r>
              <w:t xml:space="preserve">Nivel</w:t>
            </w:r>
          </w:p>
        </w:tc>
        <w:tc>
          <w:tcPr>
            <w:tcW w:type="dxa" w:w="3210"/>
            <w:tcMar>
              <w:top w:type="dxa" w:w="80"/>
              <w:left w:type="dxa" w:w="100"/>
              <w:bottom w:type="dxa" w:w="80"/>
              <w:right w:type="dxa" w:w="100"/>
            </w:tcMar>
          </w:tcPr>
          <w:p>
            <w:pPr>
              <w:pStyle w:val="Tabla"/>
            </w:pPr>
            <w:r>
              <w:t xml:space="preserve">Cantidad que existe en un instante</w:t>
            </w:r>
          </w:p>
        </w:tc>
        <w:tc>
          <w:tcPr>
            <w:tcW w:type="dxa" w:w="3210"/>
            <w:tcMar>
              <w:top w:type="dxa" w:w="80"/>
              <w:left w:type="dxa" w:w="100"/>
              <w:bottom w:type="dxa" w:w="80"/>
              <w:right w:type="dxa" w:w="100"/>
            </w:tcMar>
          </w:tcPr>
          <w:p>
            <w:pPr>
              <w:pStyle w:val="Tabla"/>
            </w:pPr>
            <w:r>
              <w:t xml:space="preserve">Agua [litros]</w:t>
            </w:r>
          </w:p>
        </w:tc>
      </w:tr>
      <w:tr>
        <w:trPr>
          <w:cantSplit/>
          <w:tblHeader w:val="off"/>
        </w:trPr>
        <w:tc>
          <w:tcPr>
            <w:tcW w:type="dxa" w:w="3212"/>
            <w:tcMar>
              <w:top w:type="dxa" w:w="80"/>
              <w:left w:type="dxa" w:w="100"/>
              <w:bottom w:type="dxa" w:w="80"/>
              <w:right w:type="dxa" w:w="100"/>
            </w:tcMar>
          </w:tcPr>
          <w:p>
            <w:pPr>
              <w:pStyle w:val="Tabla"/>
            </w:pPr>
            <w:r>
              <w:t xml:space="preserve">Flujo</w:t>
            </w:r>
          </w:p>
        </w:tc>
        <w:tc>
          <w:tcPr>
            <w:tcW w:type="dxa" w:w="3210"/>
            <w:tcMar>
              <w:top w:type="dxa" w:w="80"/>
              <w:left w:type="dxa" w:w="100"/>
              <w:bottom w:type="dxa" w:w="80"/>
              <w:right w:type="dxa" w:w="100"/>
            </w:tcMar>
          </w:tcPr>
          <w:p>
            <w:pPr>
              <w:pStyle w:val="Tabla"/>
            </w:pPr>
            <w:r>
              <w:t xml:space="preserve">Cantidad por unidad de tiempo</w:t>
            </w:r>
          </w:p>
        </w:tc>
        <w:tc>
          <w:tcPr>
            <w:tcW w:type="dxa" w:w="3210"/>
            <w:tcMar>
              <w:top w:type="dxa" w:w="80"/>
              <w:left w:type="dxa" w:w="100"/>
              <w:bottom w:type="dxa" w:w="80"/>
              <w:right w:type="dxa" w:w="100"/>
            </w:tcMar>
          </w:tcPr>
          <w:p>
            <w:pPr>
              <w:pStyle w:val="Tabla"/>
            </w:pPr>
            <w:r>
              <w:t xml:space="preserve">Entrada [litros/minuto]</w:t>
            </w:r>
          </w:p>
        </w:tc>
      </w:tr>
      <w:tr>
        <w:trPr>
          <w:cantSplit/>
          <w:tblHeader w:val="off"/>
        </w:trPr>
        <w:tc>
          <w:tcPr>
            <w:tcW w:type="dxa" w:w="3212"/>
            <w:tcMar>
              <w:top w:type="dxa" w:w="80"/>
              <w:left w:type="dxa" w:w="100"/>
              <w:bottom w:type="dxa" w:w="80"/>
              <w:right w:type="dxa" w:w="100"/>
            </w:tcMar>
          </w:tcPr>
          <w:p>
            <w:pPr>
              <w:pStyle w:val="Tabla"/>
            </w:pPr>
            <w:r>
              <w:t xml:space="preserve">Auxiliar</w:t>
            </w:r>
          </w:p>
        </w:tc>
        <w:tc>
          <w:tcPr>
            <w:tcW w:type="dxa" w:w="3210"/>
            <w:tcMar>
              <w:top w:type="dxa" w:w="80"/>
              <w:left w:type="dxa" w:w="100"/>
              <w:bottom w:type="dxa" w:w="80"/>
              <w:right w:type="dxa" w:w="100"/>
            </w:tcMar>
          </w:tcPr>
          <w:p>
            <w:pPr>
              <w:pStyle w:val="Tabla"/>
            </w:pPr>
            <w:r>
              <w:t xml:space="preserve">Cálculo que usa el modelo</w:t>
            </w:r>
          </w:p>
        </w:tc>
        <w:tc>
          <w:tcPr>
            <w:tcW w:type="dxa" w:w="3210"/>
            <w:tcMar>
              <w:top w:type="dxa" w:w="80"/>
              <w:left w:type="dxa" w:w="100"/>
              <w:bottom w:type="dxa" w:w="80"/>
              <w:right w:type="dxa" w:w="100"/>
            </w:tcMar>
          </w:tcPr>
          <w:p>
            <w:pPr>
              <w:pStyle w:val="Tabla"/>
            </w:pPr>
            <w:r>
              <w:t xml:space="preserve">Brecha = objetivo − nivel</w:t>
            </w:r>
          </w:p>
        </w:tc>
      </w:tr>
      <w:tr>
        <w:trPr>
          <w:cantSplit/>
          <w:tblHeader w:val="off"/>
        </w:trPr>
        <w:tc>
          <w:tcPr>
            <w:tcW w:type="dxa" w:w="3212"/>
            <w:tcMar>
              <w:top w:type="dxa" w:w="80"/>
              <w:left w:type="dxa" w:w="100"/>
              <w:bottom w:type="dxa" w:w="80"/>
              <w:right w:type="dxa" w:w="100"/>
            </w:tcMar>
          </w:tcPr>
          <w:p>
            <w:pPr>
              <w:pStyle w:val="Tabla"/>
            </w:pPr>
            <w:r>
              <w:t xml:space="preserve">Parámetro</w:t>
            </w:r>
          </w:p>
        </w:tc>
        <w:tc>
          <w:tcPr>
            <w:tcW w:type="dxa" w:w="3210"/>
            <w:tcMar>
              <w:top w:type="dxa" w:w="80"/>
              <w:left w:type="dxa" w:w="100"/>
              <w:bottom w:type="dxa" w:w="80"/>
              <w:right w:type="dxa" w:w="100"/>
            </w:tcMar>
          </w:tcPr>
          <w:p>
            <w:pPr>
              <w:pStyle w:val="Tabla"/>
            </w:pPr>
            <w:r>
              <w:t xml:space="preserve">Valor fijado para la corrida</w:t>
            </w:r>
          </w:p>
        </w:tc>
        <w:tc>
          <w:tcPr>
            <w:tcW w:type="dxa" w:w="3210"/>
            <w:tcMar>
              <w:top w:type="dxa" w:w="80"/>
              <w:left w:type="dxa" w:w="100"/>
              <w:bottom w:type="dxa" w:w="80"/>
              <w:right w:type="dxa" w:w="100"/>
            </w:tcMar>
          </w:tcPr>
          <w:p>
            <w:pPr>
              <w:pStyle w:val="Tabla"/>
            </w:pPr>
            <w:r>
              <w:t xml:space="preserve">Tasa [1/mes]</w:t>
            </w:r>
          </w:p>
        </w:tc>
      </w:tr>
      <w:tr>
        <w:trPr>
          <w:cantSplit/>
          <w:tblHeader w:val="off"/>
        </w:trPr>
        <w:tc>
          <w:tcPr>
            <w:tcW w:type="dxa" w:w="3212"/>
            <w:tcMar>
              <w:top w:type="dxa" w:w="80"/>
              <w:left w:type="dxa" w:w="100"/>
              <w:bottom w:type="dxa" w:w="80"/>
              <w:right w:type="dxa" w:w="100"/>
            </w:tcMar>
          </w:tcPr>
          <w:p>
            <w:pPr>
              <w:pStyle w:val="Tabla"/>
            </w:pPr>
            <w:r>
              <w:t xml:space="preserve">Balance</w:t>
            </w:r>
          </w:p>
        </w:tc>
        <w:tc>
          <w:tcPr>
            <w:tcW w:type="dxa" w:w="3210"/>
            <w:tcMar>
              <w:top w:type="dxa" w:w="80"/>
              <w:left w:type="dxa" w:w="100"/>
              <w:bottom w:type="dxa" w:w="80"/>
              <w:right w:type="dxa" w:w="100"/>
            </w:tcMar>
          </w:tcPr>
          <w:p>
            <w:pPr>
              <w:pStyle w:val="Tabla"/>
            </w:pPr>
            <w:r>
              <w:t xml:space="preserve">La diferencia entre entradas y salidas</w:t>
            </w:r>
          </w:p>
        </w:tc>
        <w:tc>
          <w:tcPr>
            <w:tcW w:type="dxa" w:w="3210"/>
            <w:tcMar>
              <w:top w:type="dxa" w:w="80"/>
              <w:left w:type="dxa" w:w="100"/>
              <w:bottom w:type="dxa" w:w="80"/>
              <w:right w:type="dxa" w:w="100"/>
            </w:tcMar>
          </w:tcPr>
          <w:p>
            <w:pPr>
              <w:pStyle w:val="Tabla"/>
            </w:pPr>
            <w:r>
              <w:t xml:space="preserve">dN/dt = E − S</w:t>
            </w:r>
          </w:p>
        </w:tc>
      </w:tr>
      <w:tr>
        <w:trPr>
          <w:cantSplit/>
          <w:tblHeader w:val="off"/>
        </w:trPr>
        <w:tc>
          <w:tcPr>
            <w:tcW w:type="dxa" w:w="3212"/>
            <w:tcMar>
              <w:top w:type="dxa" w:w="80"/>
              <w:left w:type="dxa" w:w="100"/>
              <w:bottom w:type="dxa" w:w="80"/>
              <w:right w:type="dxa" w:w="100"/>
            </w:tcMar>
          </w:tcPr>
          <w:p>
            <w:pPr>
              <w:pStyle w:val="Tabla"/>
            </w:pPr>
            <w:r>
              <w:t xml:space="preserve">Euler</w:t>
            </w:r>
          </w:p>
        </w:tc>
        <w:tc>
          <w:tcPr>
            <w:tcW w:type="dxa" w:w="3210"/>
            <w:tcMar>
              <w:top w:type="dxa" w:w="80"/>
              <w:left w:type="dxa" w:w="100"/>
              <w:bottom w:type="dxa" w:w="80"/>
              <w:right w:type="dxa" w:w="100"/>
            </w:tcMar>
          </w:tcPr>
          <w:p>
            <w:pPr>
              <w:pStyle w:val="Tabla"/>
            </w:pPr>
            <w:r>
              <w:t xml:space="preserve">El flujo neto se multiplica por el paso</w:t>
            </w:r>
          </w:p>
        </w:tc>
        <w:tc>
          <w:tcPr>
            <w:tcW w:type="dxa" w:w="3210"/>
            <w:tcMar>
              <w:top w:type="dxa" w:w="80"/>
              <w:left w:type="dxa" w:w="100"/>
              <w:bottom w:type="dxa" w:w="80"/>
              <w:right w:type="dxa" w:w="100"/>
            </w:tcMar>
          </w:tcPr>
          <w:p>
            <w:pPr>
              <w:pStyle w:val="Tabla"/>
            </w:pPr>
            <w:r>
              <w:t xml:space="preserve">N(t + Δt) = N(t) + (E(t) − S(t)) · Δt</w:t>
            </w:r>
          </w:p>
        </w:tc>
      </w:tr>
      <w:tr>
        <w:trPr>
          <w:cantSplit/>
          <w:tblHeader w:val="off"/>
        </w:trPr>
        <w:tc>
          <w:tcPr>
            <w:tcW w:type="dxa" w:w="3212"/>
            <w:tcMar>
              <w:top w:type="dxa" w:w="80"/>
              <w:left w:type="dxa" w:w="100"/>
              <w:bottom w:type="dxa" w:w="80"/>
              <w:right w:type="dxa" w:w="100"/>
            </w:tcMar>
          </w:tcPr>
          <w:p>
            <w:pPr>
              <w:pStyle w:val="Tabla"/>
            </w:pPr>
            <w:r>
              <w:t xml:space="preserve">Vensim</w:t>
            </w:r>
          </w:p>
        </w:tc>
        <w:tc>
          <w:tcPr>
            <w:tcW w:type="dxa" w:w="3210"/>
            <w:tcMar>
              <w:top w:type="dxa" w:w="80"/>
              <w:left w:type="dxa" w:w="100"/>
              <w:bottom w:type="dxa" w:w="80"/>
              <w:right w:type="dxa" w:w="100"/>
            </w:tcMar>
          </w:tcPr>
          <w:p>
            <w:pPr>
              <w:pStyle w:val="Tabla"/>
            </w:pPr>
            <w:r>
              <w:t xml:space="preserve">Integra el flujo neto desde el valor inicial</w:t>
            </w:r>
          </w:p>
        </w:tc>
        <w:tc>
          <w:tcPr>
            <w:tcW w:type="dxa" w:w="3210"/>
            <w:tcMar>
              <w:top w:type="dxa" w:w="80"/>
              <w:left w:type="dxa" w:w="100"/>
              <w:bottom w:type="dxa" w:w="80"/>
              <w:right w:type="dxa" w:w="100"/>
            </w:tcMar>
          </w:tcPr>
          <w:p>
            <w:pPr>
              <w:pStyle w:val="Tabla"/>
            </w:pPr>
            <w:r>
              <w:t xml:space="preserve">N = INTEG(E − S, N inicial)</w:t>
            </w:r>
          </w:p>
        </w:tc>
      </w:tr>
    </w:tbl>
    <w:p>
      <w:pPr>
        <w:pStyle w:val="Fuente"/>
      </w:pPr>
      <w:r>
        <w:t xml:space="preserve">Síntesis editorial de la guía, pp. 11–16. Una flecha de información no es una tubería.</w:t>
      </w:r>
    </w:p>
    <w:p>
      <w:pPr>
        <w:pStyle w:val="Heading3"/>
      </w:pPr>
      <w:bookmarkStart w:name="b_tabla_4_2_g3_g3_habitos" w:id="3778"/>
      <w:r>
        <w:t xml:space="preserve">Hábitos de la Unidad 4</w:t>
      </w:r>
      <w:bookmarkEnd w:id="3778"/>
    </w:p>
    <w:tbl>
      <w:tblPr>
        <w:tblW w:type="dxa" w:w="9632"/>
        <w:tblBorders>
          <w:top w:val="single" w:color="C5D5DB" w:sz="4"/>
          <w:left w:val="single" w:color="C5D5DB" w:sz="4"/>
          <w:bottom w:val="single" w:color="C5D5DB" w:sz="4"/>
          <w:right w:val="single" w:color="C5D5DB" w:sz="4"/>
          <w:insideH w:val="single" w:color="E4E9EB" w:sz="3"/>
          <w:insideV w:val="single" w:color="E4E9EB" w:sz="3"/>
        </w:tblBorders>
        <w:tblLayout w:type="fixed"/>
      </w:tblPr>
      <w:tblGrid>
        <w:gridCol w:w="4816"/>
        <w:gridCol w:w="4816"/>
      </w:tblGrid>
      <w:tr>
        <w:trPr>
          <w:cantSplit/>
          <w:tblHeader/>
        </w:trPr>
        <w:tc>
          <w:tcPr>
            <w:tcW w:type="dxa" w:w="4816"/>
            <w:shd w:fill="DFEAF0" w:val="clear"/>
            <w:tcMar>
              <w:top w:type="dxa" w:w="80"/>
              <w:left w:type="dxa" w:w="100"/>
              <w:bottom w:type="dxa" w:w="80"/>
              <w:right w:type="dxa" w:w="100"/>
            </w:tcMar>
          </w:tcPr>
          <w:p>
            <w:pPr>
              <w:pStyle w:val="Tabla"/>
            </w:pPr>
            <w:r>
              <w:rPr>
                <w:b/>
                <w:bCs/>
              </w:rPr>
              <w:t xml:space="preserve">N.º del póster</w:t>
            </w:r>
          </w:p>
        </w:tc>
        <w:tc>
          <w:tcPr>
            <w:tcW w:type="dxa" w:w="4816"/>
            <w:shd w:fill="DFEAF0" w:val="clear"/>
            <w:tcMar>
              <w:top w:type="dxa" w:w="80"/>
              <w:left w:type="dxa" w:w="100"/>
              <w:bottom w:type="dxa" w:w="80"/>
              <w:right w:type="dxa" w:w="100"/>
            </w:tcMar>
          </w:tcPr>
          <w:p>
            <w:pPr>
              <w:pStyle w:val="Tabla"/>
            </w:pPr>
            <w:r>
              <w:rPr>
                <w:b/>
                <w:bCs/>
              </w:rPr>
              <w:t xml:space="preserve">Hábito</w:t>
            </w:r>
          </w:p>
        </w:tc>
      </w:tr>
      <w:tr>
        <w:trPr>
          <w:cantSplit/>
          <w:tblHeader w:val="off"/>
        </w:trPr>
        <w:tc>
          <w:tcPr>
            <w:tcW w:type="dxa" w:w="4816"/>
            <w:tcMar>
              <w:top w:type="dxa" w:w="80"/>
              <w:left w:type="dxa" w:w="100"/>
              <w:bottom w:type="dxa" w:w="80"/>
              <w:right w:type="dxa" w:w="100"/>
            </w:tcMar>
          </w:tcPr>
          <w:p>
            <w:pPr>
              <w:pStyle w:val="Tabla"/>
            </w:pPr>
            <w:r>
              <w:t xml:space="preserve">8</w:t>
            </w:r>
          </w:p>
        </w:tc>
        <w:tc>
          <w:tcPr>
            <w:tcW w:type="dxa" w:w="4816"/>
            <w:tcMar>
              <w:top w:type="dxa" w:w="80"/>
              <w:left w:type="dxa" w:w="100"/>
              <w:bottom w:type="dxa" w:w="80"/>
              <w:right w:type="dxa" w:w="100"/>
            </w:tcMar>
          </w:tcPr>
          <w:p>
            <w:pPr>
              <w:pStyle w:val="Tabla"/>
            </w:pPr>
            <w:r>
              <w:t xml:space="preserve">Considera un tema completamente y resiste al impulso de llegar a una conclusión rápida</w:t>
            </w:r>
          </w:p>
        </w:tc>
      </w:tr>
      <w:tr>
        <w:trPr>
          <w:cantSplit/>
          <w:tblHeader w:val="off"/>
        </w:trPr>
        <w:tc>
          <w:tcPr>
            <w:tcW w:type="dxa" w:w="4816"/>
            <w:tcMar>
              <w:top w:type="dxa" w:w="80"/>
              <w:left w:type="dxa" w:w="100"/>
              <w:bottom w:type="dxa" w:w="80"/>
              <w:right w:type="dxa" w:w="100"/>
            </w:tcMar>
          </w:tcPr>
          <w:p>
            <w:pPr>
              <w:pStyle w:val="Tabla"/>
            </w:pPr>
            <w:r>
              <w:t xml:space="preserve">10</w:t>
            </w:r>
          </w:p>
        </w:tc>
        <w:tc>
          <w:tcPr>
            <w:tcW w:type="dxa" w:w="4816"/>
            <w:tcMar>
              <w:top w:type="dxa" w:w="80"/>
              <w:left w:type="dxa" w:w="100"/>
              <w:bottom w:type="dxa" w:w="80"/>
              <w:right w:type="dxa" w:w="100"/>
            </w:tcMar>
          </w:tcPr>
          <w:p>
            <w:pPr>
              <w:pStyle w:val="Tabla"/>
            </w:pPr>
            <w:r>
              <w:t xml:space="preserve">Usa la comprensión de la estructura de un sistema para identificar posibles acciones de efecto apalancamiento</w:t>
            </w:r>
          </w:p>
        </w:tc>
      </w:tr>
      <w:tr>
        <w:trPr>
          <w:cantSplit/>
          <w:tblHeader w:val="off"/>
        </w:trPr>
        <w:tc>
          <w:tcPr>
            <w:tcW w:type="dxa" w:w="4816"/>
            <w:tcMar>
              <w:top w:type="dxa" w:w="80"/>
              <w:left w:type="dxa" w:w="100"/>
              <w:bottom w:type="dxa" w:w="80"/>
              <w:right w:type="dxa" w:w="100"/>
            </w:tcMar>
          </w:tcPr>
          <w:p>
            <w:pPr>
              <w:pStyle w:val="Tabla"/>
            </w:pPr>
            <w:r>
              <w:t xml:space="preserve">11</w:t>
            </w:r>
          </w:p>
        </w:tc>
        <w:tc>
          <w:tcPr>
            <w:tcW w:type="dxa" w:w="4816"/>
            <w:tcMar>
              <w:top w:type="dxa" w:w="80"/>
              <w:left w:type="dxa" w:w="100"/>
              <w:bottom w:type="dxa" w:w="80"/>
              <w:right w:type="dxa" w:w="100"/>
            </w:tcMar>
          </w:tcPr>
          <w:p>
            <w:pPr>
              <w:pStyle w:val="Tabla"/>
            </w:pPr>
            <w:r>
              <w:t xml:space="preserve">Considera las consecuencias a corto plazo, a largo plazo, e inesperadas de las acciones</w:t>
            </w:r>
          </w:p>
        </w:tc>
      </w:tr>
      <w:tr>
        <w:trPr>
          <w:cantSplit/>
          <w:tblHeader w:val="off"/>
        </w:trPr>
        <w:tc>
          <w:tcPr>
            <w:tcW w:type="dxa" w:w="4816"/>
            <w:tcMar>
              <w:top w:type="dxa" w:w="80"/>
              <w:left w:type="dxa" w:w="100"/>
              <w:bottom w:type="dxa" w:w="80"/>
              <w:right w:type="dxa" w:w="100"/>
            </w:tcMar>
          </w:tcPr>
          <w:p>
            <w:pPr>
              <w:pStyle w:val="Tabla"/>
            </w:pPr>
            <w:r>
              <w:t xml:space="preserve">12</w:t>
            </w:r>
          </w:p>
        </w:tc>
        <w:tc>
          <w:tcPr>
            <w:tcW w:type="dxa" w:w="4816"/>
            <w:tcMar>
              <w:top w:type="dxa" w:w="80"/>
              <w:left w:type="dxa" w:w="100"/>
              <w:bottom w:type="dxa" w:w="80"/>
              <w:right w:type="dxa" w:w="100"/>
            </w:tcMar>
          </w:tcPr>
          <w:p>
            <w:pPr>
              <w:pStyle w:val="Tabla"/>
            </w:pPr>
            <w:r>
              <w:t xml:space="preserve">Presta atención a las acumulaciones y sus tasas de cambio</w:t>
            </w:r>
          </w:p>
        </w:tc>
      </w:tr>
      <w:tr>
        <w:trPr>
          <w:cantSplit/>
          <w:tblHeader w:val="off"/>
        </w:trPr>
        <w:tc>
          <w:tcPr>
            <w:tcW w:type="dxa" w:w="4816"/>
            <w:tcMar>
              <w:top w:type="dxa" w:w="80"/>
              <w:left w:type="dxa" w:w="100"/>
              <w:bottom w:type="dxa" w:w="80"/>
              <w:right w:type="dxa" w:w="100"/>
            </w:tcMar>
          </w:tcPr>
          <w:p>
            <w:pPr>
              <w:pStyle w:val="Tabla"/>
            </w:pPr>
            <w:r>
              <w:t xml:space="preserve">14</w:t>
            </w:r>
          </w:p>
        </w:tc>
        <w:tc>
          <w:tcPr>
            <w:tcW w:type="dxa" w:w="4816"/>
            <w:tcMar>
              <w:top w:type="dxa" w:w="80"/>
              <w:left w:type="dxa" w:w="100"/>
              <w:bottom w:type="dxa" w:w="80"/>
              <w:right w:type="dxa" w:w="100"/>
            </w:tcMar>
          </w:tcPr>
          <w:p>
            <w:pPr>
              <w:pStyle w:val="Tabla"/>
            </w:pPr>
            <w:r>
              <w:t xml:space="preserve">Examina los resultados y cambia las acciones si es necesario: «aproximación sucesiva»</w:t>
            </w:r>
          </w:p>
        </w:tc>
      </w:tr>
    </w:tbl>
    <w:p>
      <w:pPr>
        <w:pStyle w:val="Fuente"/>
      </w:pPr>
      <w:r>
        <w:t xml:space="preserve">Presentaciones 4a y 4b. Usa la numeración del póster, que difiere de la numeración de los cursos del portal.</w:t>
      </w:r>
    </w:p>
    <w:p>
      <w:pPr>
        <w:pStyle w:val="Heading3"/>
      </w:pPr>
      <w:r>
        <w:t xml:space="preserve">Lo que dicen las presentaciones</w:t>
      </w:r>
    </w:p>
    <w:p>
      <w:pPr>
        <w:pStyle w:val="Heading3"/>
      </w:pPr>
      <w:bookmarkStart w:name="b_pagina_4_2_C_5_p22" w:id="3779"/>
      <w:r>
        <w:t xml:space="preserve">C-5 · página 22 · Los catorce hábitos del pensador de sistemas</w:t>
      </w:r>
      <w:bookmarkEnd w:id="3779"/>
    </w:p>
    <w:p>
      <w:pPr>
        <w:pStyle w:val="Normal"/>
      </w:pPr>
      <w:r>
        <w:t xml:space="preserve">Póster general de catorce hábitos; el catálogo del portal utiliza otra numeración.</w:t>
      </w:r>
    </w:p>
    <w:p>
      <w:pPr>
        <w:pStyle w:val="Fuente"/>
      </w:pPr>
      <w:r>
        <w:t xml:space="preserve">Proyección o explicación: Clase 3 · 01:02:03 · captura c3-03.</w:t>
      </w:r>
    </w:p>
    <w:p>
      <w:pPr>
        <w:pStyle w:val="Fuente"/>
      </w:pPr>
      <w:r>
        <w:t xml:space="preserve">Véase </w:t>
      </w:r>
      <w:hyperlink w:history="1" w:anchor="b_figura_original_pagina_C_5_22">
        <w:r>
          <w:rPr>
            <w:color w:val="156B70"/>
            <w:u w:val="single"/>
          </w:rPr>
          <w:t xml:space="preserve">imagen de C-5, página 22</w:t>
        </w:r>
      </w:hyperlink>
      <w:r>
        <w:t xml:space="preserve">, pág. </w:t>
      </w:r>
      <w:r>
        <w:fldChar w:fldCharType="begin"/>
        <w:instrText xml:space="preserve">PAGEREF b_figura_original_pagina_C_5_22 \h</w:instrText>
        <w:fldChar w:fldCharType="separate"/>
        <w:t xml:space="preserve">199</w:t>
        <w:fldChar w:fldCharType="end"/>
      </w:r>
      <w:r>
        <w:t xml:space="preserve">.</w:t>
      </w:r>
    </w:p>
    <w:p>
      <w:bookmarkStart w:name="b_punto_c5_p022_12" w:id="3780"/>
      <w:r>
        <w:t xml:space="preserve">Acumulaciones: atender a las existencias y sus tasas de cambio.</w:t>
      </w:r>
      <w:bookmarkEnd w:id="3780"/>
    </w:p>
    <w:p>
      <w:pPr>
        <w:pStyle w:val="Fuente"/>
      </w:pPr>
      <w:r>
        <w:t xml:space="preserve">Véase </w:t>
      </w:r>
      <w:hyperlink w:history="1" w:anchor="b_1_8">
        <w:r>
          <w:rPr>
            <w:color w:val="156B70"/>
            <w:u w:val="single"/>
          </w:rPr>
          <w:t xml:space="preserve">capítulo 1.8 · Hábitos del pensador</w:t>
        </w:r>
      </w:hyperlink>
      <w:r>
        <w:t xml:space="preserve">, pág. </w:t>
      </w:r>
      <w:r>
        <w:fldChar w:fldCharType="begin"/>
        <w:instrText xml:space="preserve">PAGEREF b_1_8 \h</w:instrText>
        <w:fldChar w:fldCharType="separate"/>
        <w:t xml:space="preserve">194</w:t>
        <w:fldChar w:fldCharType="end"/>
      </w:r>
      <w:r>
        <w:t xml:space="preserve">.</w:t>
      </w:r>
    </w:p>
    <w:p>
      <w:pPr>
        <w:pStyle w:val="Fuente"/>
      </w:pPr>
      <w:r>
        <w:t xml:space="preserve">Véase </w:t>
      </w:r>
      <w:hyperlink w:history="1" w:anchor="b_4_6">
        <w:r>
          <w:rPr>
            <w:color w:val="156B70"/>
            <w:u w:val="single"/>
          </w:rPr>
          <w:t xml:space="preserve">capítulo 4.6 · Toma de decisiones</w:t>
        </w:r>
      </w:hyperlink>
      <w:r>
        <w:t xml:space="preserve">, pág. </w:t>
      </w:r>
      <w:r>
        <w:fldChar w:fldCharType="begin"/>
        <w:instrText xml:space="preserve">PAGEREF b_4_6 \h</w:instrText>
        <w:fldChar w:fldCharType="separate"/>
        <w:t xml:space="preserve">884</w:t>
        <w:fldChar w:fldCharType="end"/>
      </w:r>
      <w:r>
        <w:t xml:space="preserve">.</w:t>
      </w:r>
    </w:p>
    <w:p>
      <w:pPr>
        <w:pStyle w:val="Fuente"/>
      </w:pPr>
      <w:r>
        <w:t xml:space="preserve">Véase </w:t>
      </w:r>
      <w:hyperlink w:history="1" w:anchor="b_3_7">
        <w:r>
          <w:rPr>
            <w:color w:val="156B70"/>
            <w:u w:val="single"/>
          </w:rPr>
          <w:t xml:space="preserve">capítulo 3.7 · Demoras de tiempo</w:t>
        </w:r>
      </w:hyperlink>
      <w:r>
        <w:t xml:space="preserve">, pág. </w:t>
      </w:r>
      <w:r>
        <w:fldChar w:fldCharType="begin"/>
        <w:instrText xml:space="preserve">PAGEREF b_3_7 \h</w:instrText>
        <w:fldChar w:fldCharType="separate"/>
        <w:t xml:space="preserve">580</w:t>
        <w:fldChar w:fldCharType="end"/>
      </w:r>
      <w:r>
        <w:t xml:space="preserve">.</w:t>
      </w:r>
    </w:p>
    <w:p>
      <w:pPr>
        <w:pStyle w:val="Heading3"/>
      </w:pPr>
      <w:bookmarkStart w:name="b_pagina_4_2_C_2_p79" w:id="3781"/>
      <w:r>
        <w:t xml:space="preserve">C-2 · página 79 · Notación de los vínculos causales</w:t>
      </w:r>
      <w:bookmarkEnd w:id="3781"/>
    </w:p>
    <w:p>
      <w:pPr>
        <w:pStyle w:val="Normal"/>
      </w:pPr>
      <w:r>
        <w:t xml:space="preserve">Polaridad respecto de un escenario alternativo, sensibilidad matemática y efecto sobre acumulaciones.</w:t>
      </w:r>
    </w:p>
    <w:p>
      <w:pPr>
        <w:pStyle w:val="Fuente"/>
      </w:pPr>
      <w:r>
        <w:t xml:space="preserve">Proyección o explicación: Clase 14 · 01:11:03 · captura c14-12.</w:t>
      </w:r>
    </w:p>
    <w:p>
      <w:pPr>
        <w:pStyle w:val="Fuente"/>
      </w:pPr>
      <w:r>
        <w:t xml:space="preserve">Véase </w:t>
      </w:r>
      <w:hyperlink w:history="1" w:anchor="b_figura_original_pagina_C_2_79">
        <w:r>
          <w:rPr>
            <w:color w:val="156B70"/>
            <w:u w:val="single"/>
          </w:rPr>
          <w:t xml:space="preserve">imagen de C-2, página 79</w:t>
        </w:r>
      </w:hyperlink>
      <w:r>
        <w:t xml:space="preserve">, pág. </w:t>
      </w:r>
      <w:r>
        <w:fldChar w:fldCharType="begin"/>
        <w:instrText xml:space="preserve">PAGEREF b_figura_original_pagina_C_2_79 \h</w:instrText>
        <w:fldChar w:fldCharType="separate"/>
        <w:t xml:space="preserve">454</w:t>
        <w:fldChar w:fldCharType="end"/>
      </w:r>
      <w:r>
        <w:t xml:space="preserve">.</w:t>
      </w:r>
    </w:p>
    <w:p>
      <w:bookmarkStart w:name="b_punto_c2_p079_04" w:id="3782"/>
      <w:r>
        <w:t xml:space="preserve">En acumulaciones X suma/resta a Y; integrar ese flujo y añadir el nivel inicial conserva la memoria.</w:t>
      </w:r>
      <w:bookmarkEnd w:id="3782"/>
    </w:p>
    <w:p>
      <w:pPr>
        <w:pStyle w:val="Fuente"/>
      </w:pPr>
      <w:r>
        <w:t xml:space="preserve">Véase </w:t>
      </w:r>
      <w:hyperlink w:history="1" w:anchor="b_3_3">
        <w:r>
          <w:rPr>
            <w:color w:val="156B70"/>
            <w:u w:val="single"/>
          </w:rPr>
          <w:t xml:space="preserve">capítulo 3.3 · Diagramas de ciclos causales</w:t>
        </w:r>
      </w:hyperlink>
      <w:r>
        <w:t xml:space="preserve">, pág. </w:t>
      </w:r>
      <w:r>
        <w:fldChar w:fldCharType="begin"/>
        <w:instrText xml:space="preserve">PAGEREF b_3_3 \h</w:instrText>
        <w:fldChar w:fldCharType="separate"/>
        <w:t xml:space="preserve">443</w:t>
        <w:fldChar w:fldCharType="end"/>
      </w:r>
      <w:r>
        <w:t xml:space="preserve">.</w:t>
      </w:r>
    </w:p>
    <w:p>
      <w:pPr>
        <w:pStyle w:val="Fuente"/>
      </w:pPr>
      <w:r>
        <w:t xml:space="preserve">Véase </w:t>
      </w:r>
      <w:hyperlink w:history="1" w:anchor="b_3_4">
        <w:r>
          <w:rPr>
            <w:color w:val="156B70"/>
            <w:u w:val="single"/>
          </w:rPr>
          <w:t xml:space="preserve">capítulo 3.4 · Interdependencias sistémicas</w:t>
        </w:r>
      </w:hyperlink>
      <w:r>
        <w:t xml:space="preserve">, pág. </w:t>
      </w:r>
      <w:r>
        <w:fldChar w:fldCharType="begin"/>
        <w:instrText xml:space="preserve">PAGEREF b_3_4 \h</w:instrText>
        <w:fldChar w:fldCharType="separate"/>
        <w:t xml:space="preserve">476</w:t>
        <w:fldChar w:fldCharType="end"/>
      </w:r>
      <w:r>
        <w:t xml:space="preserve">.</w:t>
      </w:r>
    </w:p>
    <w:p>
      <w:pPr>
        <w:pStyle w:val="Heading3"/>
      </w:pPr>
      <w:bookmarkStart w:name="b_pagina_4_2_C_7_p5" w:id="3783"/>
      <w:r>
        <w:t xml:space="preserve">C-7 · página 5 · Acumulaciones y tasas de cambio</w:t>
      </w:r>
      <w:bookmarkEnd w:id="3783"/>
    </w:p>
    <w:p>
      <w:pPr>
        <w:pStyle w:val="Normal"/>
      </w:pPr>
      <w:r>
        <w:t xml:space="preserve">La tarjeta del hábito 12 invita a reconocer cantidades acumuladas y cómo varían.</w:t>
      </w:r>
    </w:p>
    <w:p>
      <w:pPr>
        <w:pStyle w:val="Fuente"/>
      </w:pPr>
      <w:r>
        <w:t xml:space="preserve">Proyección o explicación: Clase 18 · 01:12:41 · captura c18-05.</w:t>
      </w:r>
    </w:p>
    <w:p>
      <w:pPr>
        <w:keepNext/>
        <w:spacing w:after="40" w:before="150"/>
        <w:jc w:val="center"/>
      </w:pPr>
      <w:bookmarkStart w:name="b_figura_original_pagina_C_7_5" w:id="3784"/>
      <w:bookmarkEnd w:id="3784"/>
      <w:r>
        <w:drawing>
          <wp:inline distT="0" distB="0" distL="0" distR="0">
            <wp:extent cx="5381625" cy="3028950"/>
            <wp:effectExtent t="0" r="0" b="0" l="0"/>
            <wp:docPr id="114" name="pagina-C-7-5" descr="Presentación C-7, pág. 5" title="Acumulaciones y tasas de camb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94" cstate="none"/>
                    <a:srcRect/>
                    <a:stretch>
                      <a:fillRect/>
                    </a:stretch>
                  </pic:blipFill>
                  <pic:spPr bwMode="auto">
                    <a:xfrm>
                      <a:off x="0" y="0"/>
                      <a:ext cx="5381625" cy="3028950"/>
                    </a:xfrm>
                    <a:prstGeom prst="rect">
                      <a:avLst/>
                    </a:prstGeom>
                  </pic:spPr>
                </pic:pic>
              </a:graphicData>
            </a:graphic>
          </wp:inline>
        </w:drawing>
      </w:r>
    </w:p>
    <w:p>
      <w:pPr>
        <w:pStyle w:val="PieFigura"/>
        <w:keepNext/>
      </w:pPr>
      <w:bookmarkStart w:name="b_fig_4_2_1" w:id="3785"/>
      <w:r>
        <w:t xml:space="preserve">Figura 4.2.</w:t>
      </w:r>
      <w:fldSimple w:instr="SEQ Figura \r 1 \* ARABIC">
        <w:r>
          <w:t xml:space="preserve">1</w:t>
        </w:r>
      </w:fldSimple>
      <w:r>
        <w:t xml:space="preserve"> · Acumulaciones y tasas de cambio</w:t>
      </w:r>
      <w:bookmarkEnd w:id="3785"/>
    </w:p>
    <w:p>
      <w:pPr>
        <w:pStyle w:val="Fuente"/>
      </w:pPr>
      <w:r>
        <w:t xml:space="preserve">Presentación C-7, pág. 5</w:t>
      </w:r>
    </w:p>
    <w:p>
      <w:bookmarkStart w:name="b_punto_c7_p005_01" w:id="3786"/>
      <w:r>
        <w:t xml:space="preserve">Un pensador reconoce materia o información acumulada o disminuida a través del tiempo.</w:t>
      </w:r>
      <w:bookmarkEnd w:id="3786"/>
    </w:p>
    <w:p>
      <w:bookmarkStart w:name="b_punto_c7_p005_02" w:id="3787"/>
      <w:r>
        <w:t xml:space="preserve">Pregunta qué se puede observar, sentir, contar o medir como cantidad cambiante.</w:t>
      </w:r>
      <w:bookmarkEnd w:id="3787"/>
    </w:p>
    <w:p>
      <w:bookmarkStart w:name="b_punto_c7_p005_03" w:id="3788"/>
      <w:r>
        <w:t xml:space="preserve">Pregunta qué tan rápido aumentan o disminuyen las acumulaciones.</w:t>
      </w:r>
      <w:bookmarkEnd w:id="3788"/>
    </w:p>
    <w:p>
      <w:bookmarkStart w:name="b_punto_c7_p005_04" w:id="3789"/>
      <w:r>
        <w:t xml:space="preserve">Pregunta cómo afecta una acumulación a otros elementos y qué ocurriría en un punto de inflexión.</w:t>
      </w:r>
      <w:bookmarkEnd w:id="3789"/>
    </w:p>
    <w:p>
      <w:pPr>
        <w:pStyle w:val="Heading3"/>
      </w:pPr>
      <w:bookmarkStart w:name="b_pagina_4_2_C_7_p6" w:id="3790"/>
      <w:r>
        <w:t xml:space="preserve">C-7 · página 6 · Reservas y flujos</w:t>
      </w:r>
      <w:bookmarkEnd w:id="3790"/>
    </w:p>
    <w:p>
      <w:pPr>
        <w:pStyle w:val="Normal"/>
      </w:pPr>
      <w:r>
        <w:t xml:space="preserve">Las reservas físicas o abstractas cambian mediante tasas de entrada y salida.</w:t>
      </w:r>
    </w:p>
    <w:p>
      <w:pPr>
        <w:pStyle w:val="Fuente"/>
      </w:pPr>
      <w:r>
        <w:t xml:space="preserve">Proyección o explicación: Clase 18 · 01:12:41 · captura c18-06.</w:t>
      </w:r>
    </w:p>
    <w:p>
      <w:bookmarkStart w:name="b_punto_c7_p006_01" w:id="3791"/>
      <w:r>
        <w:t xml:space="preserve">Agua, dinero, libros, clientes y platos ilustran reservas acumuladas.</w:t>
      </w:r>
      <w:bookmarkEnd w:id="3791"/>
    </w:p>
    <w:p>
      <w:bookmarkStart w:name="b_punto_c7_p006_02" w:id="3792"/>
      <w:r>
        <w:t xml:space="preserve">Se buscan aumentos de reservas deseables y reducciones de malezas o conflictos.</w:t>
      </w:r>
      <w:bookmarkEnd w:id="3792"/>
    </w:p>
    <w:p>
      <w:bookmarkStart w:name="b_punto_c7_p006_03" w:id="3793"/>
      <w:r>
        <w:t xml:space="preserve">Las tasas de cambio que alteran una reserva son flujos.</w:t>
      </w:r>
      <w:bookmarkEnd w:id="3793"/>
    </w:p>
    <w:p>
      <w:bookmarkStart w:name="b_punto_c7_p006_04" w:id="3794"/>
      <w:r>
        <w:t xml:space="preserve">El grifo aumenta y el drenaje disminuye el agua de una bañera.</w:t>
      </w:r>
      <w:bookmarkEnd w:id="3794"/>
    </w:p>
    <w:p>
      <w:bookmarkStart w:name="b_punto_c7_p006_05" w:id="3795"/>
      <w:r>
        <w:t xml:space="preserve">La información puede regular una válvula, pero no constituye el material transportado.</w:t>
      </w:r>
      <w:bookmarkEnd w:id="3795"/>
    </w:p>
    <w:p>
      <w:pPr>
        <w:pStyle w:val="Heading3"/>
      </w:pPr>
      <w:bookmarkStart w:name="b_pagina_4_2_C_7_p7" w:id="3796"/>
      <w:r>
        <w:t xml:space="preserve">C-7 · página 7 · Agua para las aves</w:t>
      </w:r>
      <w:bookmarkEnd w:id="3796"/>
    </w:p>
    <w:p>
      <w:pPr>
        <w:pStyle w:val="Normal"/>
      </w:pPr>
      <w:r>
        <w:t xml:space="preserve">Llenado, evaporación, salpicaduras y consumo afectan el nivel del bebedero.</w:t>
      </w:r>
    </w:p>
    <w:p>
      <w:pPr>
        <w:pStyle w:val="Fuente"/>
      </w:pPr>
      <w:r>
        <w:t xml:space="preserve">Proyección o explicación: Clase 18 · 01:30:14 · captura c18-07.</w:t>
      </w:r>
    </w:p>
    <w:p>
      <w:bookmarkStart w:name="b_punto_c7_p007_01" w:id="3797"/>
      <w:r>
        <w:t xml:space="preserve">La manguera aporta agua; sol, salpicaduras y aves la retiran por diferentes salidas.</w:t>
      </w:r>
      <w:bookmarkEnd w:id="3797"/>
    </w:p>
    <w:p>
      <w:bookmarkStart w:name="b_punto_c7_p007_02" w:id="3798"/>
      <w:r>
        <w:t xml:space="preserve">Las acumulaciones son cantidades cambiantes nombradas como sustantivos del sistema.</w:t>
      </w:r>
      <w:bookmarkEnd w:id="3798"/>
    </w:p>
    <w:p>
      <w:bookmarkStart w:name="b_punto_c7_p007_03" w:id="3799"/>
      <w:r>
        <w:t xml:space="preserve">Animales, matrícula escolar y gasolina son reservas concretas; miedo, estrés y esfuerzo son abstractas.</w:t>
      </w:r>
      <w:bookmarkEnd w:id="3799"/>
    </w:p>
    <w:p>
      <w:bookmarkStart w:name="b_punto_c7_p007_04" w:id="3800"/>
      <w:r>
        <w:t xml:space="preserve">Una reserva abstracta puede percibirse aunque resulte difícil cuantificarla.</w:t>
      </w:r>
      <w:bookmarkEnd w:id="3800"/>
    </w:p>
    <w:p>
      <w:pPr>
        <w:pStyle w:val="Heading3"/>
      </w:pPr>
      <w:bookmarkStart w:name="b_pagina_4_2_C_7_p8" w:id="3801"/>
      <w:r>
        <w:t xml:space="preserve">C-7 · página 8 · Matrícula escolar y confianza</w:t>
      </w:r>
      <w:bookmarkEnd w:id="3801"/>
    </w:p>
    <w:p>
      <w:pPr>
        <w:pStyle w:val="Normal"/>
      </w:pPr>
      <w:r>
        <w:t xml:space="preserve">Atender sólo captación descuida los retiros; la confianza también funciona como reserva.</w:t>
      </w:r>
    </w:p>
    <w:p>
      <w:bookmarkStart w:name="b_punto_c7_p008_01" w:id="3802"/>
      <w:r>
        <w:t xml:space="preserve">La matrícula baja cuando los retiros superan la captación, aunque el director promueva nuevas inscripciones.</w:t>
      </w:r>
      <w:bookmarkEnd w:id="3802"/>
    </w:p>
    <w:p>
      <w:bookmarkStart w:name="b_punto_c7_p008_02" w:id="3803"/>
      <w:r>
        <w:t xml:space="preserve">Mudanzas y una escuela competidora con clases pequeñas explican retiros del caso.</w:t>
      </w:r>
      <w:bookmarkEnd w:id="3803"/>
    </w:p>
    <w:p>
      <w:bookmarkStart w:name="b_punto_c7_p008_03" w:id="3804"/>
      <w:r>
        <w:t xml:space="preserve">Confianza, amabilidad y respeto son reservas menos tangibles.</w:t>
      </w:r>
      <w:bookmarkEnd w:id="3804"/>
    </w:p>
    <w:p>
      <w:bookmarkStart w:name="b_punto_c7_p008_04" w:id="3805"/>
      <w:r>
        <w:t xml:space="preserve">La confianza crece si sus factores de aumento dominan a los de pérdida y decrece si ocurre lo contrario.</w:t>
      </w:r>
      <w:bookmarkEnd w:id="3805"/>
    </w:p>
    <w:p>
      <w:pPr>
        <w:pStyle w:val="Heading3"/>
      </w:pPr>
      <w:bookmarkStart w:name="b_pagina_4_2_C_7_p9" w:id="3806"/>
      <w:r>
        <w:t xml:space="preserve">C-7 · página 9 · Notación de Forrester</w:t>
      </w:r>
      <w:bookmarkEnd w:id="3806"/>
    </w:p>
    <w:p>
      <w:pPr>
        <w:pStyle w:val="Normal"/>
      </w:pPr>
      <w:r>
        <w:t xml:space="preserve">Rectángulos, válvulas, auxiliares y nubes convierten influencias en niveles y flujos.</w:t>
      </w:r>
    </w:p>
    <w:p>
      <w:pPr>
        <w:keepNext/>
        <w:spacing w:after="40" w:before="150"/>
        <w:jc w:val="center"/>
      </w:pPr>
      <w:bookmarkStart w:name="b_figura_original_pagina_C_7_9" w:id="3807"/>
      <w:bookmarkEnd w:id="3807"/>
      <w:r>
        <w:drawing>
          <wp:inline distT="0" distB="0" distL="0" distR="0">
            <wp:extent cx="5381625" cy="3028950"/>
            <wp:effectExtent t="0" r="0" b="0" l="0"/>
            <wp:docPr id="115" name="pagina-C-7-9" descr="Presentación C-7, pág. 9" title="Notación de Forres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95" cstate="none"/>
                    <a:srcRect/>
                    <a:stretch>
                      <a:fillRect/>
                    </a:stretch>
                  </pic:blipFill>
                  <pic:spPr bwMode="auto">
                    <a:xfrm>
                      <a:off x="0" y="0"/>
                      <a:ext cx="5381625" cy="3028950"/>
                    </a:xfrm>
                    <a:prstGeom prst="rect">
                      <a:avLst/>
                    </a:prstGeom>
                  </pic:spPr>
                </pic:pic>
              </a:graphicData>
            </a:graphic>
          </wp:inline>
        </w:drawing>
      </w:r>
    </w:p>
    <w:p>
      <w:pPr>
        <w:pStyle w:val="PieFigura"/>
        <w:keepNext/>
      </w:pPr>
      <w:bookmarkStart w:name="b_fig_4_2_2" w:id="3808"/>
      <w:r>
        <w:t xml:space="preserve">Figura 4.2.</w:t>
      </w:r>
      <w:fldSimple w:instr="SEQ Figura \n \* ARABIC">
        <w:r>
          <w:t xml:space="preserve">2</w:t>
        </w:r>
      </w:fldSimple>
      <w:r>
        <w:t xml:space="preserve"> · Notación de Forrester</w:t>
      </w:r>
      <w:bookmarkEnd w:id="3808"/>
    </w:p>
    <w:p>
      <w:pPr>
        <w:pStyle w:val="Fuente"/>
      </w:pPr>
      <w:r>
        <w:t xml:space="preserve">Presentación C-7, pág. 9</w:t>
      </w:r>
    </w:p>
    <w:p>
      <w:bookmarkStart w:name="b_punto_c7_p009_01" w:id="3809"/>
      <w:r>
        <w:t xml:space="preserve">Nivel=rectángulo y flujo=válvula sobre tubería; dos dibujos de válvula conservan el mismo significado.</w:t>
      </w:r>
      <w:bookmarkEnd w:id="3809"/>
    </w:p>
    <w:p>
      <w:bookmarkStart w:name="b_punto_c7_p009_02" w:id="3810"/>
      <w:r>
        <w:t xml:space="preserve">Las auxiliares se representan mediante círculos y las fuentes/sumideros mediante nubes.</w:t>
      </w:r>
      <w:bookmarkEnd w:id="3810"/>
    </w:p>
    <w:p>
      <w:pPr>
        <w:pStyle w:val="Fuente"/>
      </w:pPr>
      <w:r>
        <w:t xml:space="preserve">Véase </w:t>
      </w:r>
      <w:hyperlink w:history="1" w:anchor="b_4_3">
        <w:r>
          <w:rPr>
            <w:color w:val="156B70"/>
            <w:u w:val="single"/>
          </w:rPr>
          <w:t xml:space="preserve">capítulo 4.3 · De ciclos causales a flujos</w:t>
        </w:r>
      </w:hyperlink>
      <w:r>
        <w:t xml:space="preserve">, pág. </w:t>
      </w:r>
      <w:r>
        <w:fldChar w:fldCharType="begin"/>
        <w:instrText xml:space="preserve">PAGEREF b_4_3 \h</w:instrText>
        <w:fldChar w:fldCharType="separate"/>
        <w:t xml:space="preserve">737</w:t>
        <w:fldChar w:fldCharType="end"/>
      </w:r>
      <w:r>
        <w:t xml:space="preserve">.</w:t>
      </w:r>
    </w:p>
    <w:p>
      <w:pPr>
        <w:pStyle w:val="Heading3"/>
      </w:pPr>
      <w:bookmarkStart w:name="b_pagina_4_2_C_7_p11" w:id="3811"/>
      <w:r>
        <w:t xml:space="preserve">C-7 · página 11 · Acumulaciones y tasas de cambio</w:t>
      </w:r>
      <w:bookmarkEnd w:id="3811"/>
    </w:p>
    <w:p>
      <w:pPr>
        <w:pStyle w:val="Normal"/>
      </w:pPr>
      <w:r>
        <w:t xml:space="preserve">La tarjeta del hábito 12 invita a reconocer cantidades acumuladas y cómo varían.</w:t>
      </w:r>
    </w:p>
    <w:p>
      <w:pPr>
        <w:pStyle w:val="Fuente"/>
      </w:pPr>
      <w:r>
        <w:t xml:space="preserve">Proyección o explicación: Clase 18 · 01:12:41 · captura c18-05.</w:t>
      </w:r>
    </w:p>
    <w:p>
      <w:bookmarkStart w:name="b_punto_c7_p011_01" w:id="3812"/>
      <w:r>
        <w:t xml:space="preserve">Un pensador reconoce materia o información acumulada o disminuida a través del tiempo.</w:t>
      </w:r>
      <w:bookmarkEnd w:id="3812"/>
    </w:p>
    <w:p>
      <w:bookmarkStart w:name="b_punto_c7_p011_02" w:id="3813"/>
      <w:r>
        <w:t xml:space="preserve">Pregunta qué se puede observar, sentir, contar o medir como cantidad cambiante.</w:t>
      </w:r>
      <w:bookmarkEnd w:id="3813"/>
    </w:p>
    <w:p>
      <w:bookmarkStart w:name="b_punto_c7_p011_03" w:id="3814"/>
      <w:r>
        <w:t xml:space="preserve">Pregunta qué tan rápido aumentan o disminuyen las acumulaciones.</w:t>
      </w:r>
      <w:bookmarkEnd w:id="3814"/>
    </w:p>
    <w:p>
      <w:bookmarkStart w:name="b_punto_c7_p011_04" w:id="3815"/>
      <w:r>
        <w:t xml:space="preserve">Pregunta cómo afecta una acumulación a otros elementos y qué ocurriría en un punto de inflexión.</w:t>
      </w:r>
      <w:bookmarkEnd w:id="3815"/>
    </w:p>
    <w:p>
      <w:pPr>
        <w:pStyle w:val="Heading3"/>
      </w:pPr>
      <w:bookmarkStart w:name="b_pagina_4_2_C_3_p26" w:id="3816"/>
      <w:r>
        <w:t xml:space="preserve">C-3 · página 26 · Capital: derivada eintegral</w:t>
      </w:r>
      <w:bookmarkEnd w:id="3816"/>
    </w:p>
    <w:p>
      <w:pPr>
        <w:pStyle w:val="Normal"/>
      </w:pPr>
      <w:r>
        <w:t xml:space="preserve">Depósitos menos retiros determinan la variación del nivel y su integral desde un inicial.</w:t>
      </w:r>
    </w:p>
    <w:p>
      <w:pPr>
        <w:keepNext/>
        <w:spacing w:after="40" w:before="150"/>
        <w:jc w:val="center"/>
      </w:pPr>
      <w:bookmarkStart w:name="b_figura_original_pagina_C_3_26" w:id="3817"/>
      <w:bookmarkEnd w:id="3817"/>
      <w:r>
        <w:drawing>
          <wp:inline distT="0" distB="0" distL="0" distR="0">
            <wp:extent cx="5381625" cy="3028950"/>
            <wp:effectExtent t="0" r="0" b="0" l="0"/>
            <wp:docPr id="116" name="pagina-C-3-26" descr="Presentación C-3, pág. 26" title="Capital: derivada eintegr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96" cstate="none"/>
                    <a:srcRect/>
                    <a:stretch>
                      <a:fillRect/>
                    </a:stretch>
                  </pic:blipFill>
                  <pic:spPr bwMode="auto">
                    <a:xfrm>
                      <a:off x="0" y="0"/>
                      <a:ext cx="5381625" cy="3028950"/>
                    </a:xfrm>
                    <a:prstGeom prst="rect">
                      <a:avLst/>
                    </a:prstGeom>
                  </pic:spPr>
                </pic:pic>
              </a:graphicData>
            </a:graphic>
          </wp:inline>
        </w:drawing>
      </w:r>
    </w:p>
    <w:p>
      <w:pPr>
        <w:pStyle w:val="PieFigura"/>
        <w:keepNext/>
      </w:pPr>
      <w:bookmarkStart w:name="b_fig_4_2_3" w:id="3818"/>
      <w:r>
        <w:t xml:space="preserve">Figura 4.2.</w:t>
      </w:r>
      <w:fldSimple w:instr="SEQ Figura \n \* ARABIC">
        <w:r>
          <w:t xml:space="preserve">3</w:t>
        </w:r>
      </w:fldSimple>
      <w:r>
        <w:t xml:space="preserve"> · Capital: derivada eintegral</w:t>
      </w:r>
      <w:bookmarkEnd w:id="3818"/>
    </w:p>
    <w:p>
      <w:pPr>
        <w:pStyle w:val="Fuente"/>
      </w:pPr>
      <w:r>
        <w:t xml:space="preserve">Presentación C-3, pág. 26</w:t>
      </w:r>
    </w:p>
    <w:p>
      <w:bookmarkStart w:name="b_punto_c3_p026_01" w:id="3819"/>
      <w:r>
        <w:t xml:space="preserve">dCapital/dt=depósitos−retiros.</w:t>
      </w:r>
      <w:bookmarkEnd w:id="3819"/>
    </w:p>
    <w:p>
      <w:bookmarkStart w:name="b_punto_c3_p026_03" w:id="3820"/>
      <w:r>
        <w:t xml:space="preserve">El capital es integral del flujo neto más el valor inicialC.</w:t>
      </w:r>
      <w:bookmarkEnd w:id="3820"/>
    </w:p>
    <w:p>
      <w:pPr>
        <w:pStyle w:val="Fuente"/>
      </w:pPr>
      <w:r>
        <w:t xml:space="preserve">Véase </w:t>
      </w:r>
      <w:hyperlink w:history="1" w:anchor="b_4_3">
        <w:r>
          <w:rPr>
            <w:color w:val="156B70"/>
            <w:u w:val="single"/>
          </w:rPr>
          <w:t xml:space="preserve">capítulo 4.3 · De ciclos causales a flujos</w:t>
        </w:r>
      </w:hyperlink>
      <w:r>
        <w:t xml:space="preserve">, pág. </w:t>
      </w:r>
      <w:r>
        <w:fldChar w:fldCharType="begin"/>
        <w:instrText xml:space="preserve">PAGEREF b_4_3 \h</w:instrText>
        <w:fldChar w:fldCharType="separate"/>
        <w:t xml:space="preserve">737</w:t>
        <w:fldChar w:fldCharType="end"/>
      </w:r>
      <w:r>
        <w:t xml:space="preserve">.</w:t>
      </w:r>
    </w:p>
    <w:p>
      <w:pPr>
        <w:pStyle w:val="Heading3"/>
      </w:pPr>
      <w:r>
        <w:t xml:space="preserve">Láminas de apoyo y versiones anteriores</w:t>
      </w:r>
    </w:p>
    <w:p>
      <w:pPr>
        <w:keepNext/>
        <w:spacing w:after="40" w:before="150"/>
        <w:jc w:val="center"/>
      </w:pPr>
      <w:bookmarkStart w:name="b_figura_original_pagina_C_3_5" w:id="3821"/>
      <w:bookmarkEnd w:id="3821"/>
      <w:r>
        <w:drawing>
          <wp:inline distT="0" distB="0" distL="0" distR="0">
            <wp:extent cx="5381625" cy="3028950"/>
            <wp:effectExtent t="0" r="0" b="0" l="0"/>
            <wp:docPr id="117" name="pagina-C-3-5" descr="Presentación C-3, pág. 5" title="Presta atención a las acumulaciones y sus tasas de camb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94" cstate="none"/>
                    <a:srcRect/>
                    <a:stretch>
                      <a:fillRect/>
                    </a:stretch>
                  </pic:blipFill>
                  <pic:spPr bwMode="auto">
                    <a:xfrm>
                      <a:off x="0" y="0"/>
                      <a:ext cx="5381625" cy="3028950"/>
                    </a:xfrm>
                    <a:prstGeom prst="rect">
                      <a:avLst/>
                    </a:prstGeom>
                  </pic:spPr>
                </pic:pic>
              </a:graphicData>
            </a:graphic>
          </wp:inline>
        </w:drawing>
      </w:r>
    </w:p>
    <w:p>
      <w:pPr>
        <w:pStyle w:val="PieFigura"/>
        <w:keepNext/>
      </w:pPr>
      <w:bookmarkStart w:name="b_fig_4_2_4" w:id="3822"/>
      <w:r>
        <w:t xml:space="preserve">Figura 4.2.</w:t>
      </w:r>
      <w:fldSimple w:instr="SEQ Figura \n \* ARABIC">
        <w:r>
          <w:t xml:space="preserve">4</w:t>
        </w:r>
      </w:fldSimple>
      <w:r>
        <w:t xml:space="preserve"> · Presta atención a las acumulaciones y sus tasas de cambio</w:t>
      </w:r>
      <w:bookmarkEnd w:id="3822"/>
    </w:p>
    <w:p>
      <w:pPr>
        <w:pStyle w:val="Fuente"/>
      </w:pPr>
      <w:r>
        <w:t xml:space="preserve">Presentación C-3, pág. 5</w:t>
      </w:r>
    </w:p>
    <w:p>
      <w:pPr>
        <w:keepNext/>
        <w:spacing w:after="40" w:before="150"/>
        <w:jc w:val="center"/>
      </w:pPr>
      <w:bookmarkStart w:name="b_figura_original_pagina_C_3_6" w:id="3823"/>
      <w:bookmarkEnd w:id="3823"/>
      <w:r>
        <w:drawing>
          <wp:inline distT="0" distB="0" distL="0" distR="0">
            <wp:extent cx="5381625" cy="3028950"/>
            <wp:effectExtent t="0" r="0" b="0" l="0"/>
            <wp:docPr id="118" name="pagina-C-3-6" descr="Presentación C-3, pág. 6" title="Acumulaciones (niveles) y tasas de cambio (fluj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97" cstate="none"/>
                    <a:srcRect/>
                    <a:stretch>
                      <a:fillRect/>
                    </a:stretch>
                  </pic:blipFill>
                  <pic:spPr bwMode="auto">
                    <a:xfrm>
                      <a:off x="0" y="0"/>
                      <a:ext cx="5381625" cy="3028950"/>
                    </a:xfrm>
                    <a:prstGeom prst="rect">
                      <a:avLst/>
                    </a:prstGeom>
                  </pic:spPr>
                </pic:pic>
              </a:graphicData>
            </a:graphic>
          </wp:inline>
        </w:drawing>
      </w:r>
    </w:p>
    <w:p>
      <w:pPr>
        <w:pStyle w:val="PieFigura"/>
        <w:keepNext/>
      </w:pPr>
      <w:bookmarkStart w:name="b_fig_4_2_5" w:id="3824"/>
      <w:r>
        <w:t xml:space="preserve">Figura 4.2.</w:t>
      </w:r>
      <w:fldSimple w:instr="SEQ Figura \n \* ARABIC">
        <w:r>
          <w:t xml:space="preserve">5</w:t>
        </w:r>
      </w:fldSimple>
      <w:r>
        <w:t xml:space="preserve"> · Acumulaciones (niveles) y tasas de cambio (flujos)</w:t>
      </w:r>
      <w:bookmarkEnd w:id="3824"/>
    </w:p>
    <w:p>
      <w:pPr>
        <w:pStyle w:val="Fuente"/>
      </w:pPr>
      <w:r>
        <w:t xml:space="preserve">Presentación C-3, pág. 6</w:t>
      </w:r>
    </w:p>
    <w:p>
      <w:pPr>
        <w:keepNext/>
        <w:spacing w:after="40" w:before="150"/>
        <w:jc w:val="center"/>
      </w:pPr>
      <w:bookmarkStart w:name="b_figura_original_pagina_C_3_7" w:id="3825"/>
      <w:bookmarkEnd w:id="3825"/>
      <w:r>
        <w:drawing>
          <wp:inline distT="0" distB="0" distL="0" distR="0">
            <wp:extent cx="5381625" cy="3028950"/>
            <wp:effectExtent t="0" r="0" b="0" l="0"/>
            <wp:docPr id="119" name="pagina-C-3-7" descr="Presentación C-3, pág. 7" title="Explorando acumulacio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98" cstate="none"/>
                    <a:srcRect/>
                    <a:stretch>
                      <a:fillRect/>
                    </a:stretch>
                  </pic:blipFill>
                  <pic:spPr bwMode="auto">
                    <a:xfrm>
                      <a:off x="0" y="0"/>
                      <a:ext cx="5381625" cy="3028950"/>
                    </a:xfrm>
                    <a:prstGeom prst="rect">
                      <a:avLst/>
                    </a:prstGeom>
                  </pic:spPr>
                </pic:pic>
              </a:graphicData>
            </a:graphic>
          </wp:inline>
        </w:drawing>
      </w:r>
    </w:p>
    <w:p>
      <w:pPr>
        <w:pStyle w:val="PieFigura"/>
        <w:keepNext/>
      </w:pPr>
      <w:bookmarkStart w:name="b_fig_4_2_6" w:id="3826"/>
      <w:r>
        <w:t xml:space="preserve">Figura 4.2.</w:t>
      </w:r>
      <w:fldSimple w:instr="SEQ Figura \n \* ARABIC">
        <w:r>
          <w:t xml:space="preserve">6</w:t>
        </w:r>
      </w:fldSimple>
      <w:r>
        <w:t xml:space="preserve"> · Explorando acumulaciones</w:t>
      </w:r>
      <w:bookmarkEnd w:id="3826"/>
    </w:p>
    <w:p>
      <w:pPr>
        <w:pStyle w:val="Fuente"/>
      </w:pPr>
      <w:r>
        <w:t xml:space="preserve">Presentación C-3, pág. 7</w:t>
      </w:r>
    </w:p>
    <w:p>
      <w:pPr>
        <w:keepNext/>
        <w:spacing w:after="40" w:before="150"/>
        <w:jc w:val="center"/>
      </w:pPr>
      <w:bookmarkStart w:name="b_figura_original_pagina_C_3_8" w:id="3827"/>
      <w:bookmarkEnd w:id="3827"/>
      <w:r>
        <w:drawing>
          <wp:inline distT="0" distB="0" distL="0" distR="0">
            <wp:extent cx="5381625" cy="3028950"/>
            <wp:effectExtent t="0" r="0" b="0" l="0"/>
            <wp:docPr id="120" name="pagina-C-3-8" descr="Presentación C-3, pág. 8" title="Otros ejemplos de acumulaciones y tasas de camb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99" cstate="none"/>
                    <a:srcRect/>
                    <a:stretch>
                      <a:fillRect/>
                    </a:stretch>
                  </pic:blipFill>
                  <pic:spPr bwMode="auto">
                    <a:xfrm>
                      <a:off x="0" y="0"/>
                      <a:ext cx="5381625" cy="3028950"/>
                    </a:xfrm>
                    <a:prstGeom prst="rect">
                      <a:avLst/>
                    </a:prstGeom>
                  </pic:spPr>
                </pic:pic>
              </a:graphicData>
            </a:graphic>
          </wp:inline>
        </w:drawing>
      </w:r>
    </w:p>
    <w:p>
      <w:pPr>
        <w:pStyle w:val="PieFigura"/>
        <w:keepNext/>
      </w:pPr>
      <w:bookmarkStart w:name="b_fig_4_2_7" w:id="3828"/>
      <w:r>
        <w:t xml:space="preserve">Figura 4.2.</w:t>
      </w:r>
      <w:fldSimple w:instr="SEQ Figura \n \* ARABIC">
        <w:r>
          <w:t xml:space="preserve">7</w:t>
        </w:r>
      </w:fldSimple>
      <w:r>
        <w:t xml:space="preserve"> · Otros ejemplos de acumulaciones y tasas de cambio</w:t>
      </w:r>
      <w:bookmarkEnd w:id="3828"/>
    </w:p>
    <w:p>
      <w:pPr>
        <w:pStyle w:val="Fuente"/>
      </w:pPr>
      <w:r>
        <w:t xml:space="preserve">Presentación C-3, pág. 8</w:t>
      </w:r>
    </w:p>
    <w:p>
      <w:pPr>
        <w:keepNext/>
        <w:spacing w:after="40" w:before="150"/>
        <w:jc w:val="center"/>
      </w:pPr>
      <w:bookmarkStart w:name="b_figura_original_pagina_C_3_9" w:id="3829"/>
      <w:bookmarkEnd w:id="3829"/>
      <w:r>
        <w:drawing>
          <wp:inline distT="0" distB="0" distL="0" distR="0">
            <wp:extent cx="5381625" cy="3028950"/>
            <wp:effectExtent t="0" r="0" b="0" l="0"/>
            <wp:docPr id="121" name="pagina-C-3-9" descr="Presentación C-3, pág. 9" title="Representación gráfica de variables de flujo y de nivel: diagrama de Forres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95" cstate="none"/>
                    <a:srcRect/>
                    <a:stretch>
                      <a:fillRect/>
                    </a:stretch>
                  </pic:blipFill>
                  <pic:spPr bwMode="auto">
                    <a:xfrm>
                      <a:off x="0" y="0"/>
                      <a:ext cx="5381625" cy="3028950"/>
                    </a:xfrm>
                    <a:prstGeom prst="rect">
                      <a:avLst/>
                    </a:prstGeom>
                  </pic:spPr>
                </pic:pic>
              </a:graphicData>
            </a:graphic>
          </wp:inline>
        </w:drawing>
      </w:r>
    </w:p>
    <w:p>
      <w:pPr>
        <w:pStyle w:val="PieFigura"/>
        <w:keepNext/>
      </w:pPr>
      <w:bookmarkStart w:name="b_fig_4_2_8" w:id="3830"/>
      <w:r>
        <w:t xml:space="preserve">Figura 4.2.</w:t>
      </w:r>
      <w:fldSimple w:instr="SEQ Figura \n \* ARABIC">
        <w:r>
          <w:t xml:space="preserve">8</w:t>
        </w:r>
      </w:fldSimple>
      <w:r>
        <w:t xml:space="preserve"> · Representación gráfica de variables de flujo y de nivel: diagrama de Forrester</w:t>
      </w:r>
      <w:bookmarkEnd w:id="3830"/>
    </w:p>
    <w:p>
      <w:pPr>
        <w:pStyle w:val="Fuente"/>
      </w:pPr>
      <w:r>
        <w:t xml:space="preserve">Presentación C-3, pág. 9</w:t>
      </w:r>
    </w:p>
    <w:p>
      <w:pPr>
        <w:pStyle w:val="Heading3"/>
      </w:pPr>
      <w:r>
        <w:t xml:space="preserve">Lo que explicó el profesor en clase</w:t>
      </w:r>
    </w:p>
    <w:p>
      <w:pPr>
        <w:pStyle w:val="Heading3"/>
      </w:pPr>
      <w:bookmarkStart w:name="b_clase_4_2_c18_cap_07" w:id="3831"/>
      <w:r>
        <w:t xml:space="preserve">Clase 18 · 01:12:57–01:18:54 · Niveles y flujos</w:t>
      </w:r>
      <w:bookmarkEnd w:id="3831"/>
    </w:p>
    <w:p>
      <w:bookmarkStart w:name="b_punto_c18_cap_07_p02" w:id="3832"/>
      <w:r>
        <w:t xml:space="preserve">Un nivel almacena material o información y los flujos son las tasas que incrementan o reducen esa acumulación.</w:t>
      </w:r>
      <w:bookmarkEnd w:id="3832"/>
    </w:p>
    <w:p>
      <w:bookmarkStart w:name="b_punto_c18_cap_07_p03" w:id="3833"/>
      <w:r>
        <w:t xml:space="preserve">Las instantáneas de tres tanques muestran el estado; una segunda foto puede revelar niveles diferentes.</w:t>
      </w:r>
      <w:bookmarkEnd w:id="3833"/>
    </w:p>
    <w:p>
      <w:bookmarkStart w:name="b_punto_c18_cap_07_p04" w:id="3834"/>
      <w:r>
        <w:t xml:space="preserve">La acumulación puede ser temporal aunque dure mucho y no se limita a líquidos.</w:t>
      </w:r>
      <w:bookmarkEnd w:id="3834"/>
    </w:p>
    <w:p>
      <w:pPr>
        <w:pStyle w:val="Fuente"/>
      </w:pPr>
      <w:r>
        <w:t xml:space="preserve">Véase </w:t>
      </w:r>
      <w:hyperlink w:history="1" w:anchor="b_senales_examen">
        <w:r>
          <w:rPr>
            <w:color w:val="156B70"/>
            <w:u w:val="single"/>
          </w:rPr>
          <w:t xml:space="preserve">1 indicación(es) de examen de este tramo, en el apéndice cronológico</w:t>
        </w:r>
      </w:hyperlink>
      <w:r>
        <w:t xml:space="preserve">, pág. </w:t>
      </w:r>
      <w:r>
        <w:fldChar w:fldCharType="begin"/>
        <w:instrText xml:space="preserve">PAGEREF b_senales_examen \h</w:instrText>
        <w:fldChar w:fldCharType="separate"/>
        <w:t xml:space="preserve">1663</w:t>
        <w:fldChar w:fldCharType="end"/>
      </w:r>
      <w:r>
        <w:t xml:space="preserve">.</w:t>
      </w:r>
    </w:p>
    <w:p>
      <w:pPr>
        <w:pStyle w:val="Fuente"/>
      </w:pPr>
      <w:r>
        <w:t xml:space="preserve">Véase </w:t>
      </w:r>
      <w:hyperlink w:history="1" w:anchor="b_4_4">
        <w:r>
          <w:rPr>
            <w:color w:val="156B70"/>
            <w:u w:val="single"/>
          </w:rPr>
          <w:t xml:space="preserve">capítulo 4.4 · Simulación con VENSIM</w:t>
        </w:r>
      </w:hyperlink>
      <w:r>
        <w:t xml:space="preserve">, pág. </w:t>
      </w:r>
      <w:r>
        <w:fldChar w:fldCharType="begin"/>
        <w:instrText xml:space="preserve">PAGEREF b_4_4 \h</w:instrText>
        <w:fldChar w:fldCharType="separate"/>
        <w:t xml:space="preserve">776</w:t>
        <w:fldChar w:fldCharType="end"/>
      </w:r>
      <w:r>
        <w:t xml:space="preserve">.</w:t>
      </w:r>
    </w:p>
    <w:p>
      <w:pPr>
        <w:pStyle w:val="Heading3"/>
      </w:pPr>
      <w:bookmarkStart w:name="b_clase_4_2_c18_cap_08" w:id="3835"/>
      <w:r>
        <w:t xml:space="preserve">Clase 18 · 01:18:54–01:28:31 · Dinero, inventarios y reservas</w:t>
      </w:r>
      <w:bookmarkEnd w:id="3835"/>
    </w:p>
    <w:p>
      <w:bookmarkStart w:name="b_punto_c18_cap_08_p02" w:id="3836"/>
      <w:r>
        <w:t xml:space="preserve">Una tienda y una biblioteca contienen existencias de productos o libros que cambian por entradas y salidas.</w:t>
      </w:r>
      <w:bookmarkEnd w:id="3836"/>
    </w:p>
    <w:p>
      <w:bookmarkStart w:name="b_punto_c18_cap_08_p03" w:id="3837"/>
      <w:r>
        <w:t xml:space="preserve">También pueden representarse acumulaciones abstractas como prestigio, felicidad o enojo, declarando qué se observa.</w:t>
      </w:r>
      <w:bookmarkEnd w:id="3837"/>
    </w:p>
    <w:p>
      <w:bookmarkStart w:name="b_punto_c18_cap_08_p04" w:id="3838"/>
      <w:r>
        <w:t xml:space="preserve">Forrester distingue niveles, flujos y otras influencias; una variable de estado expresa lo contenido en un instante.</w:t>
      </w:r>
      <w:bookmarkEnd w:id="3838"/>
    </w:p>
    <w:p>
      <w:bookmarkStart w:name="b_punto_c18_cap_08_p05" w:id="3839"/>
      <w:r>
        <w:t xml:space="preserve">El tamaño del nivel y su tasa son magnitudes diferentes: un saldo alto puede crecer, decrecer o permanecer.</w:t>
      </w:r>
      <w:bookmarkEnd w:id="3839"/>
    </w:p>
    <w:p>
      <w:pPr>
        <w:pStyle w:val="Fuente"/>
      </w:pPr>
      <w:r>
        <w:t xml:space="preserve">Véase </w:t>
      </w:r>
      <w:hyperlink w:history="1" w:anchor="b_senales_examen">
        <w:r>
          <w:rPr>
            <w:color w:val="156B70"/>
            <w:u w:val="single"/>
          </w:rPr>
          <w:t xml:space="preserve">1 indicación(es) de examen de este tramo, en el apéndice cronológico</w:t>
        </w:r>
      </w:hyperlink>
      <w:r>
        <w:t xml:space="preserve">, pág. </w:t>
      </w:r>
      <w:r>
        <w:fldChar w:fldCharType="begin"/>
        <w:instrText xml:space="preserve">PAGEREF b_senales_examen \h</w:instrText>
        <w:fldChar w:fldCharType="separate"/>
        <w:t xml:space="preserve">1663</w:t>
        <w:fldChar w:fldCharType="end"/>
      </w:r>
      <w:r>
        <w:t xml:space="preserve">.</w:t>
      </w:r>
    </w:p>
    <w:p>
      <w:pPr>
        <w:pStyle w:val="Fuente"/>
      </w:pPr>
      <w:r>
        <w:t xml:space="preserve">Véase </w:t>
      </w:r>
      <w:hyperlink w:history="1" w:anchor="b_4_3">
        <w:r>
          <w:rPr>
            <w:color w:val="156B70"/>
            <w:u w:val="single"/>
          </w:rPr>
          <w:t xml:space="preserve">capítulo 4.3 · De ciclos causales a flujos</w:t>
        </w:r>
      </w:hyperlink>
      <w:r>
        <w:t xml:space="preserve">, pág. </w:t>
      </w:r>
      <w:r>
        <w:fldChar w:fldCharType="begin"/>
        <w:instrText xml:space="preserve">PAGEREF b_4_3 \h</w:instrText>
        <w:fldChar w:fldCharType="separate"/>
        <w:t xml:space="preserve">737</w:t>
        <w:fldChar w:fldCharType="end"/>
      </w:r>
      <w:r>
        <w:t xml:space="preserve">.</w:t>
      </w:r>
    </w:p>
    <w:p>
      <w:pPr>
        <w:pStyle w:val="Heading3"/>
      </w:pPr>
      <w:bookmarkStart w:name="b_clase_4_2_c18_cap_09" w:id="3840"/>
      <w:r>
        <w:t xml:space="preserve">Clase 18 · 01:28:31–01:33:27 · El recipiente para aves</w:t>
      </w:r>
      <w:bookmarkEnd w:id="3840"/>
    </w:p>
    <w:p>
      <w:bookmarkStart w:name="b_punto_c18_cap_09_p01" w:id="3841"/>
      <w:r>
        <w:t xml:space="preserve">La pileta para aves es el acumulador; capacidad y contenido permiten describir su estado.</w:t>
      </w:r>
      <w:bookmarkEnd w:id="3841"/>
    </w:p>
    <w:p>
      <w:bookmarkStart w:name="b_punto_c18_cap_09_p02" w:id="3842"/>
      <w:r>
        <w:t xml:space="preserve">Evaporación, aves que beben y salpicaduras sacan agua; la manguera es entrada.</w:t>
      </w:r>
      <w:bookmarkEnd w:id="3842"/>
    </w:p>
    <w:p>
      <w:bookmarkStart w:name="b_punto_c18_cap_09_p04" w:id="3843"/>
      <w:r>
        <w:t xml:space="preserve">Población de animales, matrícula de estudiantes y gasolina en un tanque son ejemplos de cantidades almacenadas.</w:t>
      </w:r>
      <w:bookmarkEnd w:id="3843"/>
    </w:p>
    <w:p>
      <w:pPr>
        <w:pStyle w:val="Fuente"/>
      </w:pPr>
      <w:r>
        <w:t xml:space="preserve">Véase </w:t>
      </w:r>
      <w:hyperlink w:history="1" w:anchor="b_4_3">
        <w:r>
          <w:rPr>
            <w:color w:val="156B70"/>
            <w:u w:val="single"/>
          </w:rPr>
          <w:t xml:space="preserve">capítulo 4.3 · De ciclos causales a flujos</w:t>
        </w:r>
      </w:hyperlink>
      <w:r>
        <w:t xml:space="preserve">, pág. </w:t>
      </w:r>
      <w:r>
        <w:fldChar w:fldCharType="begin"/>
        <w:instrText xml:space="preserve">PAGEREF b_4_3 \h</w:instrText>
        <w:fldChar w:fldCharType="separate"/>
        <w:t xml:space="preserve">737</w:t>
        <w:fldChar w:fldCharType="end"/>
      </w:r>
      <w:r>
        <w:t xml:space="preserve">.</w:t>
      </w:r>
    </w:p>
    <w:p>
      <w:pPr>
        <w:pStyle w:val="Heading3"/>
      </w:pPr>
      <w:bookmarkStart w:name="b_clase_4_2_c18_cap_10" w:id="3844"/>
      <w:r>
        <w:t xml:space="preserve">Clase 18 · 01:33:27–01:42:06 · Matrícula escolar y cierre académico</w:t>
      </w:r>
      <w:bookmarkEnd w:id="3844"/>
    </w:p>
    <w:p>
      <w:bookmarkStart w:name="b_punto_c18_cap_10_p01" w:id="3845"/>
      <w:r>
        <w:t xml:space="preserve">La matrícula es nivel y las inscripciones incorporan estudiantes; visitar la escuela es un antecedente del ingreso.</w:t>
      </w:r>
      <w:bookmarkEnd w:id="3845"/>
    </w:p>
    <w:p>
      <w:bookmarkStart w:name="b_punto_c18_cap_10_p02" w:id="3846"/>
      <w:r>
        <w:t xml:space="preserve">Migración o insatisfacción pueden producir retiros y reducir matrícula aunque haya nuevas inscripciones.</w:t>
      </w:r>
      <w:bookmarkEnd w:id="3846"/>
    </w:p>
    <w:p>
      <w:bookmarkStart w:name="b_punto_c18_cap_10_p03" w:id="3847"/>
      <w:r>
        <w:t xml:space="preserve">Los flujos suman o restan contenido al nivel; no se clasifican por ser deseables o indeseables.</w:t>
      </w:r>
      <w:bookmarkEnd w:id="3847"/>
    </w:p>
    <w:p>
      <w:pPr>
        <w:pStyle w:val="Heading3"/>
      </w:pPr>
      <w:bookmarkStart w:name="b_clase_4_2_c19_cap_02" w:id="3848"/>
      <w:r>
        <w:t xml:space="preserve">Clase 19 · 00:12:36–00:19:44 · La epidemia como estructura causal</w:t>
      </w:r>
      <w:bookmarkEnd w:id="3848"/>
    </w:p>
    <w:p>
      <w:bookmarkStart w:name="b_punto_c19_cap_02_p01" w:id="3849"/>
      <w:r>
        <w:t xml:space="preserve">Rectángulo para nivel y válvula para flujo distinguen reserva y tasas que la alimentan o vacían.</w:t>
      </w:r>
      <w:bookmarkEnd w:id="3849"/>
    </w:p>
    <w:p>
      <w:pPr>
        <w:pStyle w:val="Fuente"/>
      </w:pPr>
      <w:r>
        <w:t xml:space="preserve">Véase </w:t>
      </w:r>
      <w:hyperlink w:history="1" w:anchor="b_4_3">
        <w:r>
          <w:rPr>
            <w:color w:val="156B70"/>
            <w:u w:val="single"/>
          </w:rPr>
          <w:t xml:space="preserve">capítulo 4.3 · De ciclos causales a flujos</w:t>
        </w:r>
      </w:hyperlink>
      <w:r>
        <w:t xml:space="preserve">, pág. </w:t>
      </w:r>
      <w:r>
        <w:fldChar w:fldCharType="begin"/>
        <w:instrText xml:space="preserve">PAGEREF b_4_3 \h</w:instrText>
        <w:fldChar w:fldCharType="separate"/>
        <w:t xml:space="preserve">737</w:t>
        <w:fldChar w:fldCharType="end"/>
      </w:r>
      <w:r>
        <w:t xml:space="preserve">.</w:t>
      </w:r>
    </w:p>
    <w:p>
      <w:pPr>
        <w:pStyle w:val="Heading3"/>
      </w:pPr>
      <w:bookmarkStart w:name="b_clase_4_2_c20_cap_07" w:id="3850"/>
      <w:r>
        <w:t xml:space="preserve">Clase 20 · 01:11:20–01:21:12 · Extensión de entrega y elección del modelo</w:t>
      </w:r>
      <w:bookmarkEnd w:id="3850"/>
    </w:p>
    <w:p>
      <w:pPr>
        <w:pStyle w:val="Fuente"/>
      </w:pPr>
      <w:r>
        <w:t xml:space="preserve">Véase </w:t>
      </w:r>
      <w:hyperlink w:history="1" w:anchor="b_senales_examen">
        <w:r>
          <w:rPr>
            <w:color w:val="156B70"/>
            <w:u w:val="single"/>
          </w:rPr>
          <w:t xml:space="preserve">1 indicación(es) de examen de este tramo, en el apéndice cronológico</w:t>
        </w:r>
      </w:hyperlink>
      <w:r>
        <w:t xml:space="preserve">, pág. </w:t>
      </w:r>
      <w:r>
        <w:fldChar w:fldCharType="begin"/>
        <w:instrText xml:space="preserve">PAGEREF b_senales_examen \h</w:instrText>
        <w:fldChar w:fldCharType="separate"/>
        <w:t xml:space="preserve">1663</w:t>
        <w:fldChar w:fldCharType="end"/>
      </w:r>
      <w:r>
        <w:t xml:space="preserve">.</w:t>
      </w:r>
    </w:p>
    <w:p>
      <w:pPr>
        <w:pStyle w:val="Fuente"/>
      </w:pPr>
      <w:r>
        <w:t xml:space="preserve">Véase </w:t>
      </w:r>
      <w:hyperlink w:history="1" w:anchor="b_4_3">
        <w:r>
          <w:rPr>
            <w:color w:val="156B70"/>
            <w:u w:val="single"/>
          </w:rPr>
          <w:t xml:space="preserve">capítulo 4.3 · De ciclos causales a flujos</w:t>
        </w:r>
      </w:hyperlink>
      <w:r>
        <w:t xml:space="preserve">, pág. </w:t>
      </w:r>
      <w:r>
        <w:fldChar w:fldCharType="begin"/>
        <w:instrText xml:space="preserve">PAGEREF b_4_3 \h</w:instrText>
        <w:fldChar w:fldCharType="separate"/>
        <w:t xml:space="preserve">737</w:t>
        <w:fldChar w:fldCharType="end"/>
      </w:r>
      <w:r>
        <w:t xml:space="preserve">.</w:t>
      </w:r>
    </w:p>
    <w:p>
      <w:pPr>
        <w:pStyle w:val="Fuente"/>
      </w:pPr>
      <w:r>
        <w:t xml:space="preserve">Véase </w:t>
      </w:r>
      <w:hyperlink w:history="1" w:anchor="b_4_4">
        <w:r>
          <w:rPr>
            <w:color w:val="156B70"/>
            <w:u w:val="single"/>
          </w:rPr>
          <w:t xml:space="preserve">capítulo 4.4 · Simulación con VENSIM</w:t>
        </w:r>
      </w:hyperlink>
      <w:r>
        <w:t xml:space="preserve">, pág. </w:t>
      </w:r>
      <w:r>
        <w:fldChar w:fldCharType="begin"/>
        <w:instrText xml:space="preserve">PAGEREF b_4_4 \h</w:instrText>
        <w:fldChar w:fldCharType="separate"/>
        <w:t xml:space="preserve">776</w:t>
        <w:fldChar w:fldCharType="end"/>
      </w:r>
      <w:r>
        <w:t xml:space="preserve">.</w:t>
      </w:r>
    </w:p>
    <w:p>
      <w:pPr>
        <w:pStyle w:val="Heading3"/>
      </w:pPr>
      <w:bookmarkStart w:name="b_clase_4_2_c20_cap_08" w:id="3851"/>
      <w:r>
        <w:t xml:space="preserve">Clase 20 · 01:21:12–01:30:14 · De la historia al modelo de flujos</w:t>
      </w:r>
      <w:bookmarkEnd w:id="3851"/>
    </w:p>
    <w:p>
      <w:bookmarkStart w:name="b_punto_c20_cap_08_p04" w:id="3852"/>
      <w:r>
        <w:t xml:space="preserve">En la práctica, las respuestas numéricas se obtienen ejecutando la simulación; una comprobación manual no sustituye la entrega.</w:t>
      </w:r>
      <w:bookmarkEnd w:id="3852"/>
    </w:p>
    <w:p>
      <w:pPr>
        <w:pStyle w:val="Fuente"/>
      </w:pPr>
      <w:r>
        <w:t xml:space="preserve">Véase </w:t>
      </w:r>
      <w:hyperlink w:history="1" w:anchor="b_senales_examen">
        <w:r>
          <w:rPr>
            <w:color w:val="156B70"/>
            <w:u w:val="single"/>
          </w:rPr>
          <w:t xml:space="preserve">1 indicación(es) de examen de este tramo, en el apéndice cronológico</w:t>
        </w:r>
      </w:hyperlink>
      <w:r>
        <w:t xml:space="preserve">, pág. </w:t>
      </w:r>
      <w:r>
        <w:fldChar w:fldCharType="begin"/>
        <w:instrText xml:space="preserve">PAGEREF b_senales_examen \h</w:instrText>
        <w:fldChar w:fldCharType="separate"/>
        <w:t xml:space="preserve">1663</w:t>
        <w:fldChar w:fldCharType="end"/>
      </w:r>
      <w:r>
        <w:t xml:space="preserve">.</w:t>
      </w:r>
    </w:p>
    <w:p>
      <w:pPr>
        <w:pStyle w:val="Fuente"/>
      </w:pPr>
      <w:r>
        <w:t xml:space="preserve">Véase </w:t>
      </w:r>
      <w:hyperlink w:history="1" w:anchor="b_4_3">
        <w:r>
          <w:rPr>
            <w:color w:val="156B70"/>
            <w:u w:val="single"/>
          </w:rPr>
          <w:t xml:space="preserve">capítulo 4.3 · De ciclos causales a flujos</w:t>
        </w:r>
      </w:hyperlink>
      <w:r>
        <w:t xml:space="preserve">, pág. </w:t>
      </w:r>
      <w:r>
        <w:fldChar w:fldCharType="begin"/>
        <w:instrText xml:space="preserve">PAGEREF b_4_3 \h</w:instrText>
        <w:fldChar w:fldCharType="separate"/>
        <w:t xml:space="preserve">737</w:t>
        <w:fldChar w:fldCharType="end"/>
      </w:r>
      <w:r>
        <w:t xml:space="preserve">.</w:t>
      </w:r>
    </w:p>
    <w:p>
      <w:pPr>
        <w:pStyle w:val="Fuente"/>
      </w:pPr>
      <w:r>
        <w:t xml:space="preserve">Véase </w:t>
      </w:r>
      <w:hyperlink w:history="1" w:anchor="b_4_5">
        <w:r>
          <w:rPr>
            <w:color w:val="156B70"/>
            <w:u w:val="single"/>
          </w:rPr>
          <w:t xml:space="preserve">capítulo 4.5 · Ejemplos en VENSIM</w:t>
        </w:r>
      </w:hyperlink>
      <w:r>
        <w:t xml:space="preserve">, pág. </w:t>
      </w:r>
      <w:r>
        <w:fldChar w:fldCharType="begin"/>
        <w:instrText xml:space="preserve">PAGEREF b_4_5 \h</w:instrText>
        <w:fldChar w:fldCharType="separate"/>
        <w:t xml:space="preserve">830</w:t>
        <w:fldChar w:fldCharType="end"/>
      </w:r>
      <w:r>
        <w:t xml:space="preserve">.</w:t>
      </w:r>
    </w:p>
    <w:p>
      <w:pPr>
        <w:pStyle w:val="Heading3"/>
      </w:pPr>
      <w:bookmarkStart w:name="b_clase_4_2_c21_cap_03" w:id="3853"/>
      <w:r>
        <w:t xml:space="preserve">Clase 21 · 00:22:42–00:42:40 · Conversión y patrones de comportamiento</w:t>
      </w:r>
      <w:bookmarkEnd w:id="3853"/>
    </w:p>
    <w:p>
      <w:bookmarkStart w:name="b_punto_c21_cap_03_p03" w:id="3854"/>
      <w:r>
        <w:t xml:space="preserve">Población, inventario de computadoras, biblioteca y medidas operativas de estados emocionales son ejemplos de cantidades que pueden modelarse como acumulaciones.</w:t>
      </w:r>
      <w:bookmarkEnd w:id="3854"/>
    </w:p>
    <w:p>
      <w:bookmarkStart w:name="b_punto_c21_cap_03_p10" w:id="3855"/>
      <w:r>
        <w:t xml:space="preserve">Con quinientas unidades iniciales y entradas y salidas de cien, el inventario se mantiene en quinientas aunque ambos flujos sigan activos.</w:t>
      </w:r>
      <w:bookmarkEnd w:id="3855"/>
    </w:p>
    <w:p>
      <w:bookmarkStart w:name="b_punto_c21_cap_03_p11" w:id="3856"/>
      <w:r>
        <w:t xml:space="preserve">El nivel constante puede ser distinto del valor numérico de sus flujos: el stock puede permanecer en quinientos mientras cada tasa vale cien.</w:t>
      </w:r>
      <w:bookmarkEnd w:id="3856"/>
    </w:p>
    <w:p>
      <w:pPr>
        <w:pStyle w:val="Fuente"/>
      </w:pPr>
      <w:r>
        <w:t xml:space="preserve">Véase </w:t>
      </w:r>
      <w:hyperlink w:history="1" w:anchor="b_senales_examen">
        <w:r>
          <w:rPr>
            <w:color w:val="156B70"/>
            <w:u w:val="single"/>
          </w:rPr>
          <w:t xml:space="preserve">1 indicación(es) de examen de este tramo, en el apéndice cronológico</w:t>
        </w:r>
      </w:hyperlink>
      <w:r>
        <w:t xml:space="preserve">, pág. </w:t>
      </w:r>
      <w:r>
        <w:fldChar w:fldCharType="begin"/>
        <w:instrText xml:space="preserve">PAGEREF b_senales_examen \h</w:instrText>
        <w:fldChar w:fldCharType="separate"/>
        <w:t xml:space="preserve">1663</w:t>
        <w:fldChar w:fldCharType="end"/>
      </w:r>
      <w:r>
        <w:t xml:space="preserve">.</w:t>
      </w:r>
    </w:p>
    <w:p>
      <w:pPr>
        <w:pStyle w:val="Fuente"/>
      </w:pPr>
      <w:r>
        <w:t xml:space="preserve">Véase </w:t>
      </w:r>
      <w:hyperlink w:history="1" w:anchor="b_4_3">
        <w:r>
          <w:rPr>
            <w:color w:val="156B70"/>
            <w:u w:val="single"/>
          </w:rPr>
          <w:t xml:space="preserve">capítulo 4.3 · De ciclos causales a flujos</w:t>
        </w:r>
      </w:hyperlink>
      <w:r>
        <w:t xml:space="preserve">, pág. </w:t>
      </w:r>
      <w:r>
        <w:fldChar w:fldCharType="begin"/>
        <w:instrText xml:space="preserve">PAGEREF b_4_3 \h</w:instrText>
        <w:fldChar w:fldCharType="separate"/>
        <w:t xml:space="preserve">737</w:t>
        <w:fldChar w:fldCharType="end"/>
      </w:r>
      <w:r>
        <w:t xml:space="preserve">.</w:t>
      </w:r>
    </w:p>
    <w:p>
      <w:pPr>
        <w:pStyle w:val="Fuente"/>
      </w:pPr>
      <w:r>
        <w:t xml:space="preserve">Véase </w:t>
      </w:r>
      <w:hyperlink w:history="1" w:anchor="b_4_5">
        <w:r>
          <w:rPr>
            <w:color w:val="156B70"/>
            <w:u w:val="single"/>
          </w:rPr>
          <w:t xml:space="preserve">capítulo 4.5 · Ejemplos en VENSIM</w:t>
        </w:r>
      </w:hyperlink>
      <w:r>
        <w:t xml:space="preserve">, pág. </w:t>
      </w:r>
      <w:r>
        <w:fldChar w:fldCharType="begin"/>
        <w:instrText xml:space="preserve">PAGEREF b_4_5 \h</w:instrText>
        <w:fldChar w:fldCharType="separate"/>
        <w:t xml:space="preserve">830</w:t>
        <w:fldChar w:fldCharType="end"/>
      </w:r>
      <w:r>
        <w:t xml:space="preserve">.</w:t>
      </w:r>
    </w:p>
    <w:p>
      <w:pPr>
        <w:pStyle w:val="Fuente"/>
      </w:pPr>
      <w:r>
        <w:t xml:space="preserve">Véase </w:t>
      </w:r>
      <w:hyperlink w:history="1" w:anchor="b_4_4">
        <w:r>
          <w:rPr>
            <w:color w:val="156B70"/>
            <w:u w:val="single"/>
          </w:rPr>
          <w:t xml:space="preserve">capítulo 4.4 · Simulación con VENSIM</w:t>
        </w:r>
      </w:hyperlink>
      <w:r>
        <w:t xml:space="preserve">, pág. </w:t>
      </w:r>
      <w:r>
        <w:fldChar w:fldCharType="begin"/>
        <w:instrText xml:space="preserve">PAGEREF b_4_4 \h</w:instrText>
        <w:fldChar w:fldCharType="separate"/>
        <w:t xml:space="preserve">776</w:t>
        <w:fldChar w:fldCharType="end"/>
      </w:r>
      <w:r>
        <w:t xml:space="preserve">.</w:t>
      </w:r>
    </w:p>
    <w:p>
      <w:pPr>
        <w:pStyle w:val="Heading3"/>
      </w:pPr>
      <w:bookmarkStart w:name="b_cita_clase_18_idea_1" w:id="3857"/>
      <w:r>
        <w:t xml:space="preserve">Palabras del profesor</w:t>
      </w:r>
      <w:bookmarkEnd w:id="3857"/>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El profesor lo dijo así</w:t>
            </w:r>
          </w:p>
          <w:p>
            <w:pPr>
              <w:pStyle w:val="Recuadro"/>
            </w:pPr>
            <w:r>
              <w:t xml:space="preserve">«Entonces, para llegar a simular, tenemos que clasificar las variables de un de un diagrama o un mapa de ciclos causales en acumulaciones o acumuladores y en tasas de cambio, que son básicamente ciertas cantidades de material o de información que se acumula en alguna parte del sistema eh a través de ciertos flujos.»</w:t>
            </w:r>
          </w:p>
          <w:p>
            <w:pPr>
              <w:pStyle w:val="Recuadro"/>
            </w:pPr>
            <w:r>
              <w:t xml:space="preserve">Clase 18 · 01:14:06–01:14:39</w:t>
            </w:r>
          </w:p>
        </w:tc>
      </w:tr>
    </w:tbl>
    <w:p>
      <w:pPr>
        <w:pStyle w:val="Heading3"/>
      </w:pPr>
      <w:bookmarkStart w:name="b_cita_clase_18_idea_2" w:id="3858"/>
      <w:r>
        <w:t xml:space="preserve">Palabras del profesor</w:t>
      </w:r>
      <w:bookmarkEnd w:id="3858"/>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El profesor lo dijo así</w:t>
            </w:r>
          </w:p>
          <w:p>
            <w:pPr>
              <w:pStyle w:val="Recuadro"/>
            </w:pPr>
            <w:r>
              <w:t xml:space="preserve">«trabajando, moderando el sistema, vamos a identificar que el estado del sistema en cada instante de tiempo va a estar determinado por la cantidad de material información o en este caso agua o líquido tengan esas estructuras que le acumulan. Mientras que otras estructuras»</w:t>
            </w:r>
          </w:p>
          <w:p>
            <w:pPr>
              <w:pStyle w:val="Recuadro"/>
            </w:pPr>
            <w:r>
              <w:t xml:space="preserve">Clase 18 · 01:16:40–01:17:02</w:t>
            </w:r>
          </w:p>
        </w:tc>
      </w:tr>
    </w:tbl>
    <w:p>
      <w:pPr>
        <w:pStyle w:val="Heading3"/>
      </w:pPr>
      <w:bookmarkStart w:name="b_cita_clase_18_idea_3" w:id="3859"/>
      <w:r>
        <w:t xml:space="preserve">Palabras del profesor</w:t>
      </w:r>
      <w:bookmarkEnd w:id="3859"/>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El profesor lo dijo así</w:t>
            </w:r>
          </w:p>
          <w:p>
            <w:pPr>
              <w:pStyle w:val="Recuadro"/>
            </w:pPr>
            <w:r>
              <w:t xml:space="preserve">«salida, es decir, el flujo reduzca el acumulador. Normalmente se habla de flujos de entrada y flujos de salida porque unos hacen que crezca la variable, que aumente lo que contiene el acumulador y otros hacen que los segundos, los de salida, hacen que se disminuya la cantidad de lo que contiene. En este caso estudiantes, menos estudiantes y»</w:t>
            </w:r>
          </w:p>
          <w:p>
            <w:pPr>
              <w:pStyle w:val="Recuadro"/>
            </w:pPr>
            <w:r>
              <w:t xml:space="preserve">Clase 18 · 01:34:42–01:35:07</w:t>
            </w:r>
          </w:p>
        </w:tc>
      </w:tr>
    </w:tbl>
    <w:p>
      <w:pPr>
        <w:pStyle w:val="Heading3"/>
      </w:pPr>
      <w:r>
        <w:t xml:space="preserve">Errores frecuentes y trampa de examen</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9C620A" w:sz="20"/>
              <w:bottom w:val="nil"/>
              <w:right w:val="nil"/>
            </w:tcBorders>
            <w:shd w:fill="FBF3DF" w:val="clear"/>
            <w:tcMar>
              <w:top w:type="dxa" w:w="130"/>
              <w:left w:type="dxa" w:w="180"/>
              <w:bottom w:type="dxa" w:w="130"/>
              <w:right w:type="dxa" w:w="180"/>
            </w:tcMar>
          </w:tcPr>
          <w:p>
            <w:pPr>
              <w:pStyle w:val="RecuadroTitulo"/>
            </w:pPr>
            <w:r>
              <w:rPr>
                <w:b/>
                <w:bCs/>
                <w:color w:val="9C620A"/>
              </w:rPr>
              <w:t xml:space="preserve">Error → corrección</w:t>
            </w:r>
          </w:p>
          <w:p>
            <w:pPr>
              <w:pStyle w:val="Recuadro"/>
            </w:pPr>
            <w:r>
              <w:rPr>
                <w:b/>
                <w:bCs/>
              </w:rPr>
              <w:t xml:space="preserve">Error:</w:t>
            </w:r>
            <w:r>
              <w:t xml:space="preserve"> Sumar directamente litros y litros/minuto.</w:t>
            </w:r>
          </w:p>
          <w:p>
            <w:pPr>
              <w:pStyle w:val="Recuadro"/>
            </w:pPr>
            <w:r>
              <w:rPr>
                <w:b/>
                <w:bCs/>
              </w:rPr>
              <w:t xml:space="preserve">Corrección:</w:t>
            </w:r>
            <w:r>
              <w:t xml:space="preserve"> Multiplica el flujo por el intervalo de tiempo para obtener una cantidad compatible con el nivel.</w:t>
            </w:r>
          </w:p>
          <w:p>
            <w:pPr>
              <w:pStyle w:val="Recuadro"/>
            </w:pPr>
            <w:r>
              <w:t xml:space="preserve">Guía de estudio · edición 20/10/2026 · pp. 11–12</w:t>
            </w:r>
          </w:p>
        </w:tc>
      </w:tr>
    </w:tbl>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9C620A" w:sz="20"/>
              <w:bottom w:val="nil"/>
              <w:right w:val="nil"/>
            </w:tcBorders>
            <w:shd w:fill="FBF3DF" w:val="clear"/>
            <w:tcMar>
              <w:top w:type="dxa" w:w="130"/>
              <w:left w:type="dxa" w:w="180"/>
              <w:bottom w:type="dxa" w:w="130"/>
              <w:right w:type="dxa" w:w="180"/>
            </w:tcMar>
          </w:tcPr>
          <w:p>
            <w:pPr>
              <w:pStyle w:val="RecuadroTitulo"/>
            </w:pPr>
            <w:r>
              <w:rPr>
                <w:b/>
                <w:bCs/>
                <w:color w:val="9C620A"/>
              </w:rPr>
              <w:t xml:space="preserve">Error → corrección</w:t>
            </w:r>
          </w:p>
          <w:p>
            <w:pPr>
              <w:pStyle w:val="Recuadro"/>
            </w:pPr>
            <w:r>
              <w:rPr>
                <w:b/>
                <w:bCs/>
              </w:rPr>
              <w:t xml:space="preserve">Error:</w:t>
            </w:r>
            <w:r>
              <w:t xml:space="preserve"> Confundir equilibrio con ausencia de actividad.</w:t>
            </w:r>
          </w:p>
          <w:p>
            <w:pPr>
              <w:pStyle w:val="Recuadro"/>
            </w:pPr>
            <w:r>
              <w:rPr>
                <w:b/>
                <w:bCs/>
              </w:rPr>
              <w:t xml:space="preserve">Corrección:</w:t>
            </w:r>
            <w:r>
              <w:t xml:space="preserve"> Un nivel constante puede tener entradas y salidas iguales y no nulas.</w:t>
            </w:r>
          </w:p>
          <w:p>
            <w:pPr>
              <w:pStyle w:val="Recuadro"/>
            </w:pPr>
            <w:r>
              <w:t xml:space="preserve">Guía de estudio · edición 20/10/2026 · pp. 12</w:t>
            </w:r>
          </w:p>
        </w:tc>
      </w:tr>
    </w:tbl>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9C620A" w:sz="20"/>
              <w:bottom w:val="nil"/>
              <w:right w:val="nil"/>
            </w:tcBorders>
            <w:shd w:fill="FBF3DF" w:val="clear"/>
            <w:tcMar>
              <w:top w:type="dxa" w:w="130"/>
              <w:left w:type="dxa" w:w="180"/>
              <w:bottom w:type="dxa" w:w="130"/>
              <w:right w:type="dxa" w:w="180"/>
            </w:tcMar>
          </w:tcPr>
          <w:p>
            <w:pPr>
              <w:pStyle w:val="RecuadroTitulo"/>
            </w:pPr>
            <w:r>
              <w:rPr>
                <w:b/>
                <w:bCs/>
                <w:color w:val="9C620A"/>
              </w:rPr>
              <w:t xml:space="preserve">Trampa de examen</w:t>
            </w:r>
          </w:p>
          <w:p>
            <w:pPr>
              <w:pStyle w:val="Recuadro"/>
            </w:pPr>
            <w:r>
              <w:t xml:space="preserve">Que disminuya la entrada sólo significa que el nivel crece más lentamente si todavía entra más de lo que sale.</w:t>
            </w:r>
          </w:p>
        </w:tc>
      </w:tr>
    </w:tbl>
    <w:p>
      <w:pPr>
        <w:pStyle w:val="Heading3"/>
      </w:pPr>
      <w:r>
        <w:t xml:space="preserve">Lecturas y tareas del curso</w:t>
      </w:r>
    </w:p>
    <w:p>
      <w:pPr>
        <w:pStyle w:val="Normal"/>
      </w:pPr>
      <w:r>
        <w:t xml:space="preserve">C-3 · Unidad 4a · Desarrollo de la simulación dinámica de sistemas (versión de abril). Versión de abril de la presentación de simulación (C-7 contiene la versión de octubre): 60 páginas con el hábito de las acumulaciones, los niveles y los flujos, el diagrama de Forrester y el modelo de la epidemia, las reglas para pasar de un diagrama de ciclos causales a uno de flujos y niveles con sus ejercicios, el préstamo bancario para modelar en Vensim, las fases y los componentes de un modelo, los comportamientos dinámicos habituales y los ejemplos de población, presas y depredadores. Copia sin la impresión automática al abrirse.</w:t>
      </w:r>
    </w:p>
    <w:p>
      <w:pPr>
        <w:pStyle w:val="Normal"/>
      </w:pPr>
      <w:r>
        <w:t xml:space="preserve">L-16 · Diagramas de Forrester y simulación — UNAD, Dinámica de sistemas (unidad 2). Los elementos del diagrama de Forrester (niveles, flujos, variables auxiliares y retardos), cómo elaborarlo a partir del diagrama de influencias y cómo simular: escenarios, sensibilidad, validación y experimentación. Material de la Unidad 4 del curso, para después del segundo parcial.</w:t>
      </w:r>
    </w:p>
    <w:p>
      <w:pPr>
        <w:pStyle w:val="Normal"/>
      </w:pPr>
      <w:r>
        <w:t xml:space="preserve">C-7 · Unidad 4a · Simulación dinámica (versión de octubre). 40 páginas de octubre: acumulaciones, flujos y niveles, parámetros para escenarios, epidemia, Francisco y teléfonos en Vensim. Se conserva también la versión de abril C-3, cuya numeración mantienen las citas anteriores.</w:t>
      </w:r>
    </w:p>
    <w:p>
      <w:pPr>
        <w:pStyle w:val="Heading3"/>
      </w:pPr>
      <w:r>
        <w:t xml:space="preserve">Práctica de los laboratorios</w:t>
      </w:r>
    </w:p>
    <w:p>
      <w:pPr>
        <w:pStyle w:val="Normal"/>
      </w:pPr>
      <w:r>
        <w:t xml:space="preserve">Los procedimientos del capítulo permiten reconstruir en papel la práctica interactiva. Los laboratorios originales permanecen disponibles en la lección del portal.</w:t>
      </w:r>
    </w:p>
    <w:p>
      <w:pPr>
        <w:pStyle w:val="Normal"/>
        <w:numPr>
          <w:ilvl w:val="0"/>
          <w:numId w:val="2"/>
        </w:numPr>
      </w:pPr>
      <w:r>
        <w:t xml:space="preserve">Clasificar niveles y tasas de cambio</w:t>
      </w:r>
    </w:p>
    <w:p>
      <w:pPr>
        <w:pStyle w:val="Normal"/>
        <w:numPr>
          <w:ilvl w:val="0"/>
          <w:numId w:val="2"/>
        </w:numPr>
      </w:pPr>
      <w:r>
        <w:t xml:space="preserve">Modificar entradas y salidas de un depósito</w:t>
      </w:r>
    </w:p>
    <w:p>
      <w:pPr>
        <w:pStyle w:val="Heading3"/>
      </w:pPr>
      <w:r>
        <w:t xml:space="preserve">Autoevaluación</w:t>
      </w:r>
    </w:p>
    <w:p>
      <w:pPr>
        <w:pStyle w:val="Normal"/>
      </w:pPr>
      <w:r>
        <w:t xml:space="preserve">Resuelva sin consultar las respuestas. Compruebe al final del capítulo por qué cada opción es correcta o incorrecta.</w:t>
      </w:r>
    </w:p>
    <w:p>
      <w:pPr>
        <w:pStyle w:val="Heading3"/>
      </w:pPr>
      <w:bookmarkStart w:name="b_pregunta_auto_4_2_1" w:id="3860"/>
      <w:r>
        <w:t xml:space="preserve">4.2-A1 · ¿Cuál de estas variables es un NIVEL (acumulación / stock) y no un flujo?</w:t>
      </w:r>
      <w:bookmarkEnd w:id="3860"/>
    </w:p>
    <w:p>
      <w:pPr>
        <w:pStyle w:val="Normal"/>
      </w:pPr>
      <w:r>
        <w:t xml:space="preserve">a) Los nacimientos por año</w:t>
      </w:r>
    </w:p>
    <w:p>
      <w:pPr>
        <w:pStyle w:val="Normal"/>
      </w:pPr>
      <w:r>
        <w:t xml:space="preserve">b) El agua que entra por el grifo, en litros por minuto</w:t>
      </w:r>
    </w:p>
    <w:p>
      <w:pPr>
        <w:pStyle w:val="Normal"/>
      </w:pPr>
      <w:r>
        <w:t xml:space="preserve">c) La población total del país en este momento</w:t>
      </w:r>
    </w:p>
    <w:p>
      <w:pPr>
        <w:pStyle w:val="Normal"/>
      </w:pPr>
      <w:r>
        <w:t xml:space="preserve">d) Los litros que salen por el desagüe cada minuto</w:t>
      </w:r>
    </w:p>
    <w:p>
      <w:pPr>
        <w:pStyle w:val="Heading3"/>
      </w:pPr>
      <w:bookmarkStart w:name="b_pregunta_auto_4_2_2" w:id="3861"/>
      <w:r>
        <w:t xml:space="preserve">4.2-A2 · Una variable medida en «unidades por unidad de tiempo» (litros/minuto, nacimientos/año) es necesariamente…</w:t>
      </w:r>
      <w:bookmarkEnd w:id="3861"/>
    </w:p>
    <w:p>
      <w:pPr>
        <w:pStyle w:val="Normal"/>
      </w:pPr>
      <w:r>
        <w:t xml:space="preserve">a) un nivel</w:t>
      </w:r>
    </w:p>
    <w:p>
      <w:pPr>
        <w:pStyle w:val="Normal"/>
      </w:pPr>
      <w:r>
        <w:t xml:space="preserve">b) un flujo (tasa de cambio)</w:t>
      </w:r>
    </w:p>
    <w:p>
      <w:pPr>
        <w:pStyle w:val="Normal"/>
      </w:pPr>
      <w:r>
        <w:t xml:space="preserve">c) una acumulación</w:t>
      </w:r>
    </w:p>
    <w:p>
      <w:pPr>
        <w:pStyle w:val="Normal"/>
      </w:pPr>
      <w:r>
        <w:t xml:space="preserve">d) un stock</w:t>
      </w:r>
    </w:p>
    <w:p>
      <w:pPr>
        <w:pStyle w:val="Heading3"/>
      </w:pPr>
      <w:bookmarkStart w:name="b_pregunta_auto_4_2_3" w:id="3862"/>
      <w:r>
        <w:t xml:space="preserve">4.2-A3 · En la bañera, el nivel del agua se mantiene constante cuando…</w:t>
      </w:r>
      <w:bookmarkEnd w:id="3862"/>
    </w:p>
    <w:p>
      <w:pPr>
        <w:pStyle w:val="Normal"/>
      </w:pPr>
      <w:r>
        <w:t xml:space="preserve">a) el grifo y el desagüe están ambos cerrados</w:t>
      </w:r>
    </w:p>
    <w:p>
      <w:pPr>
        <w:pStyle w:val="Normal"/>
      </w:pPr>
      <w:r>
        <w:t xml:space="preserve">b) la entrada es mayor que la salida</w:t>
      </w:r>
    </w:p>
    <w:p>
      <w:pPr>
        <w:pStyle w:val="Normal"/>
      </w:pPr>
      <w:r>
        <w:t xml:space="preserve">c) la entrada iguala a la salida, aunque ambos flujos sean grandes</w:t>
      </w:r>
    </w:p>
    <w:p>
      <w:pPr>
        <w:pStyle w:val="Normal"/>
      </w:pPr>
      <w:r>
        <w:t xml:space="preserve">d) la bañera está llena hasta el borde</w:t>
      </w:r>
    </w:p>
    <w:p>
      <w:pPr>
        <w:pStyle w:val="Heading3"/>
      </w:pPr>
      <w:bookmarkStart w:name="b_pregunta_auto_4_2_4" w:id="3863"/>
      <w:r>
        <w:t xml:space="preserve">4.2-A4 · Una bañera se está llenando. ¿Cuál es la ÚNICA manera de hacer que el nivel del agua baje?</w:t>
      </w:r>
      <w:bookmarkEnd w:id="3863"/>
    </w:p>
    <w:p>
      <w:pPr>
        <w:pStyle w:val="Normal"/>
      </w:pPr>
      <w:r>
        <w:t xml:space="preserve">a) Esperar: con el tiempo el nivel bajará solo</w:t>
      </w:r>
    </w:p>
    <w:p>
      <w:pPr>
        <w:pStyle w:val="Normal"/>
      </w:pPr>
      <w:r>
        <w:t xml:space="preserve">b) Actuar sobre un flujo: cerrar el grifo por debajo del desagüe o abrir más el desagüe</w:t>
      </w:r>
    </w:p>
    <w:p>
      <w:pPr>
        <w:pStyle w:val="Normal"/>
      </w:pPr>
      <w:r>
        <w:t xml:space="preserve">c) Fijar directamente el nivel a un valor menor</w:t>
      </w:r>
    </w:p>
    <w:p>
      <w:pPr>
        <w:pStyle w:val="Normal"/>
      </w:pPr>
      <w:r>
        <w:t xml:space="preserve">d) Aumentar la capacidad de la bañera</w:t>
      </w:r>
    </w:p>
    <w:p>
      <w:pPr>
        <w:pStyle w:val="Heading3"/>
      </w:pPr>
      <w:bookmarkStart w:name="b_pregunta_auto_4_2_5" w:id="3864"/>
      <w:r>
        <w:t xml:space="preserve">4.2-A5 · Un gobierno reduce su déficit anual (sigue gastando más de lo que recauda, pero un poco menos que antes). ¿Qué le pasa a la DEUDA total?</w:t>
      </w:r>
      <w:bookmarkEnd w:id="3864"/>
    </w:p>
    <w:p>
      <w:pPr>
        <w:pStyle w:val="Normal"/>
      </w:pPr>
      <w:r>
        <w:t xml:space="preserve">a) Baja, porque el déficit bajó</w:t>
      </w:r>
    </w:p>
    <w:p>
      <w:pPr>
        <w:pStyle w:val="Normal"/>
      </w:pPr>
      <w:r>
        <w:t xml:space="preserve">b) Sigue creciendo, porque el flujo de entrada (nuevo endeudamiento) todavía supera al de pago</w:t>
      </w:r>
    </w:p>
    <w:p>
      <w:pPr>
        <w:pStyle w:val="Normal"/>
      </w:pPr>
      <w:r>
        <w:t xml:space="preserve">c) Se mantiene exactamente igual</w:t>
      </w:r>
    </w:p>
    <w:p>
      <w:pPr>
        <w:pStyle w:val="Normal"/>
      </w:pPr>
      <w:r>
        <w:t xml:space="preserve">d) No hay forma de saberlo</w:t>
      </w:r>
    </w:p>
    <w:p>
      <w:pPr>
        <w:pStyle w:val="Heading3"/>
      </w:pPr>
      <w:bookmarkStart w:name="b_pregunta_auto_4_2_6" w:id="3865"/>
      <w:r>
        <w:t xml:space="preserve">4.2-A6 · Aunque abras el grifo de golpe hasta el máximo, el agua acumulada en la bañera…</w:t>
      </w:r>
      <w:bookmarkEnd w:id="3865"/>
    </w:p>
    <w:p>
      <w:pPr>
        <w:pStyle w:val="Normal"/>
      </w:pPr>
      <w:r>
        <w:t xml:space="preserve">a) salta de inmediato al nuevo nivel</w:t>
      </w:r>
    </w:p>
    <w:p>
      <w:pPr>
        <w:pStyle w:val="Normal"/>
      </w:pPr>
      <w:r>
        <w:t xml:space="preserve">b) sube gradualmente, paso a paso; el nivel no puede dar saltos</w:t>
      </w:r>
    </w:p>
    <w:p>
      <w:pPr>
        <w:pStyle w:val="Normal"/>
      </w:pPr>
      <w:r>
        <w:t xml:space="preserve">c) no cambia en absoluto</w:t>
      </w:r>
    </w:p>
    <w:p>
      <w:pPr>
        <w:pStyle w:val="Normal"/>
      </w:pPr>
      <w:r>
        <w:t xml:space="preserve">d) se vacía de golpe</w:t>
      </w:r>
    </w:p>
    <w:p>
      <w:pPr>
        <w:pStyle w:val="Heading3"/>
      </w:pPr>
      <w:bookmarkStart w:name="b_pregunta_auto_4_2_7" w:id="3866"/>
      <w:r>
        <w:t xml:space="preserve">4.2-A7 · Si detienes el tiempo y tomas una fotografía instantánea del sistema, ¿qué puedes seguir midiendo?</w:t>
      </w:r>
      <w:bookmarkEnd w:id="3866"/>
    </w:p>
    <w:p>
      <w:pPr>
        <w:pStyle w:val="Normal"/>
      </w:pPr>
      <w:r>
        <w:t xml:space="preserve">a) Los flujos, porque son actividades</w:t>
      </w:r>
    </w:p>
    <w:p>
      <w:pPr>
        <w:pStyle w:val="Normal"/>
      </w:pPr>
      <w:r>
        <w:t xml:space="preserve">b) Los niveles, porque son cantidades acumuladas que existen en el instante</w:t>
      </w:r>
    </w:p>
    <w:p>
      <w:pPr>
        <w:pStyle w:val="Normal"/>
      </w:pPr>
      <w:r>
        <w:t xml:space="preserve">c) Ni niveles ni flujos</w:t>
      </w:r>
    </w:p>
    <w:p>
      <w:pPr>
        <w:pStyle w:val="Normal"/>
      </w:pPr>
      <w:r>
        <w:t xml:space="preserve">d) Solamente las tasas de cambio</w:t>
      </w:r>
    </w:p>
    <w:p>
      <w:pPr>
        <w:pStyle w:val="Heading3"/>
      </w:pPr>
      <w:bookmarkStart w:name="b_pregunta_auto_4_2_8" w:id="3867"/>
      <w:r>
        <w:t xml:space="preserve">4.2-A8 · La relación matemática entre un nivel y sus flujos es que el nivel…</w:t>
      </w:r>
      <w:bookmarkEnd w:id="3867"/>
    </w:p>
    <w:p>
      <w:pPr>
        <w:pStyle w:val="Normal"/>
      </w:pPr>
      <w:r>
        <w:t xml:space="preserve">a) es la derivada (la tasa de cambio) de los flujos</w:t>
      </w:r>
    </w:p>
    <w:p>
      <w:pPr>
        <w:pStyle w:val="Normal"/>
      </w:pPr>
      <w:r>
        <w:t xml:space="preserve">b) acumula (integra) el flujo neto en el tiempo: N</w:t>
      </w:r>
      <w:r>
        <w:rPr>
          <w:vertAlign w:val="subscript"/>
        </w:rPr>
        <w:t xml:space="preserve">t</w:t>
      </w:r>
      <w:r>
        <w:t xml:space="preserve"> = N</w:t>
      </w:r>
      <w:r>
        <w:rPr>
          <w:vertAlign w:val="subscript"/>
        </w:rPr>
        <w:t xml:space="preserve">t−1</w:t>
      </w:r>
      <w:r>
        <w:t xml:space="preserve"> + (entrada − salida) · dt</w:t>
      </w:r>
    </w:p>
    <w:p>
      <w:pPr>
        <w:pStyle w:val="Normal"/>
      </w:pPr>
      <w:r>
        <w:t xml:space="preserve">c) siempre es igual al flujo de entrada</w:t>
      </w:r>
    </w:p>
    <w:p>
      <w:pPr>
        <w:pStyle w:val="Normal"/>
      </w:pPr>
      <w:r>
        <w:t xml:space="preserve">d) no depende de los flujos</w:t>
      </w:r>
    </w:p>
    <w:p>
      <w:pPr>
        <w:pStyle w:val="Heading3"/>
      </w:pPr>
      <w:bookmarkStart w:name="b_pregunta_auto_4_2_9" w:id="3868"/>
      <w:r>
        <w:t xml:space="preserve">4.2-A9 · Según la tarjeta del hábito 12, ¿qué ve un pensador sistémico?</w:t>
      </w:r>
      <w:bookmarkEnd w:id="3868"/>
    </w:p>
    <w:p>
      <w:pPr>
        <w:pStyle w:val="Normal"/>
      </w:pPr>
      <w:r>
        <w:t xml:space="preserve">a) Las causas inmediatas de cada evento</w:t>
      </w:r>
    </w:p>
    <w:p>
      <w:pPr>
        <w:pStyle w:val="Normal"/>
      </w:pPr>
      <w:r>
        <w:t xml:space="preserve">b) Cantidades de material o información que se han acumulado o disminuido a través del tiempo</w:t>
      </w:r>
    </w:p>
    <w:p>
      <w:pPr>
        <w:pStyle w:val="Normal"/>
      </w:pPr>
      <w:r>
        <w:t xml:space="preserve">c) Las perspectivas de los demás sobre un problema</w:t>
      </w:r>
    </w:p>
    <w:p>
      <w:pPr>
        <w:pStyle w:val="Normal"/>
      </w:pPr>
      <w:r>
        <w:t xml:space="preserve">d) Los puntos de apalancamiento de un sistema</w:t>
      </w:r>
    </w:p>
    <w:p>
      <w:pPr>
        <w:pStyle w:val="Heading3"/>
      </w:pPr>
      <w:bookmarkStart w:name="b_pregunta_auto_4_2_10" w:id="3869"/>
      <w:r>
        <w:t xml:space="preserve">4.2-A10 · En el lenguaje de sistemas de la presentación, ¿cómo se llama la tasa de cambio que influye en el nivel de una acumulación?</w:t>
      </w:r>
      <w:bookmarkEnd w:id="3869"/>
    </w:p>
    <w:p>
      <w:pPr>
        <w:pStyle w:val="Normal"/>
      </w:pPr>
      <w:r>
        <w:t xml:space="preserve">a) Flujo</w:t>
      </w:r>
    </w:p>
    <w:p>
      <w:pPr>
        <w:pStyle w:val="Normal"/>
      </w:pPr>
      <w:r>
        <w:t xml:space="preserve">b) Auxiliar</w:t>
      </w:r>
    </w:p>
    <w:p>
      <w:pPr>
        <w:pStyle w:val="Normal"/>
      </w:pPr>
      <w:r>
        <w:t xml:space="preserve">c) Constante</w:t>
      </w:r>
    </w:p>
    <w:p>
      <w:pPr>
        <w:pStyle w:val="Normal"/>
      </w:pPr>
      <w:r>
        <w:t xml:space="preserve">d) Ciclo</w:t>
      </w:r>
    </w:p>
    <w:p>
      <w:pPr>
        <w:pStyle w:val="Heading3"/>
      </w:pPr>
      <w:bookmarkStart w:name="b_pregunta_auto_4_2_11" w:id="3870"/>
      <w:r>
        <w:t xml:space="preserve">4.2-A11 · Una escuela atrae cada vez más visitas e inscripciones, pero su matrícula sigue bajando. Según la presentación, ¿qué está pasando?</w:t>
      </w:r>
      <w:bookmarkEnd w:id="3870"/>
    </w:p>
    <w:p>
      <w:pPr>
        <w:pStyle w:val="Normal"/>
      </w:pPr>
      <w:r>
        <w:t xml:space="preserve">a) La escuela está atendiendo el flujo de entrada y no el de salida</w:t>
      </w:r>
    </w:p>
    <w:p>
      <w:pPr>
        <w:pStyle w:val="Normal"/>
      </w:pPr>
      <w:r>
        <w:t xml:space="preserve">b) El nivel no depende de los flujos</w:t>
      </w:r>
    </w:p>
    <w:p>
      <w:pPr>
        <w:pStyle w:val="Normal"/>
      </w:pPr>
      <w:r>
        <w:t xml:space="preserve">c) La matrícula es un flujo y las inscripciones un nivel</w:t>
      </w:r>
    </w:p>
    <w:p>
      <w:pPr>
        <w:pStyle w:val="Normal"/>
      </w:pPr>
      <w:r>
        <w:t xml:space="preserve">d) Falta una variable auxiliar</w:t>
      </w:r>
    </w:p>
    <w:p>
      <w:pPr>
        <w:pStyle w:val="Heading3"/>
      </w:pPr>
      <w:bookmarkStart w:name="b_pregunta_auto_4_2_12" w:id="3871"/>
      <w:r>
        <w:t xml:space="preserve">4.2-A12 · En un diagrama de Forrester, ¿con qué figura se representa una variable de nivel?</w:t>
      </w:r>
      <w:bookmarkEnd w:id="3871"/>
    </w:p>
    <w:p>
      <w:pPr>
        <w:pStyle w:val="Normal"/>
      </w:pPr>
      <w:r>
        <w:t xml:space="preserve">a) Con un rectángulo</w:t>
      </w:r>
    </w:p>
    <w:p>
      <w:pPr>
        <w:pStyle w:val="Normal"/>
      </w:pPr>
      <w:r>
        <w:t xml:space="preserve">b) Con una válvula</w:t>
      </w:r>
    </w:p>
    <w:p>
      <w:pPr>
        <w:pStyle w:val="Normal"/>
      </w:pPr>
      <w:r>
        <w:t xml:space="preserve">c) Con un círculo</w:t>
      </w:r>
    </w:p>
    <w:p>
      <w:pPr>
        <w:pStyle w:val="Normal"/>
      </w:pPr>
      <w:r>
        <w:t xml:space="preserve">d) Con una nube</w:t>
      </w:r>
    </w:p>
    <w:p>
      <w:pPr>
        <w:pStyle w:val="Heading3"/>
      </w:pPr>
      <w:bookmarkStart w:name="b_pregunta_auto_4_2_13" w:id="3872"/>
      <w:r>
        <w:t xml:space="preserve">4.2-A13 · Si un nivel tiene un flujo de entrada de depósitos y uno de salida de retiros, ¿qué expresa dCAPITAL/dt?</w:t>
      </w:r>
      <w:bookmarkEnd w:id="3872"/>
    </w:p>
    <w:p>
      <w:pPr>
        <w:pStyle w:val="Normal"/>
      </w:pPr>
      <w:r>
        <w:t xml:space="preserve">a) depósitos − retiros</w:t>
      </w:r>
    </w:p>
    <w:p>
      <w:pPr>
        <w:pStyle w:val="Normal"/>
      </w:pPr>
      <w:r>
        <w:t xml:space="preserve">b) depósitos + retiros</w:t>
      </w:r>
    </w:p>
    <w:p>
      <w:pPr>
        <w:pStyle w:val="Normal"/>
      </w:pPr>
      <w:r>
        <w:t xml:space="preserve">c) CAPITAL · depósitos</w:t>
      </w:r>
    </w:p>
    <w:p>
      <w:pPr>
        <w:pStyle w:val="Normal"/>
      </w:pPr>
      <w:r>
        <w:t xml:space="preserve">d) retiros − depósitos</w:t>
      </w:r>
    </w:p>
    <w:p>
      <w:pPr>
        <w:pStyle w:val="Heading3"/>
      </w:pPr>
      <w:bookmarkStart w:name="b_pregunta_auto_4_2_14" w:id="3873"/>
      <w:r>
        <w:t xml:space="preserve">4.2-A14 · En el caso de teléfonos, ¿qué representa el flujo de instalaciones?</w:t>
      </w:r>
      <w:bookmarkEnd w:id="3873"/>
    </w:p>
    <w:p>
      <w:pPr>
        <w:pStyle w:val="Normal"/>
      </w:pPr>
      <w:r>
        <w:t xml:space="preserve">a) Casas construidas</w:t>
      </w:r>
    </w:p>
    <w:p>
      <w:pPr>
        <w:pStyle w:val="Normal"/>
      </w:pPr>
      <w:r>
        <w:t xml:space="preserve">b) Un porcentaje sin unidad temporal</w:t>
      </w:r>
    </w:p>
    <w:p>
      <w:pPr>
        <w:pStyle w:val="Normal"/>
      </w:pPr>
      <w:r>
        <w:t xml:space="preserve">c) Casas que adquieren teléfono por mes</w:t>
      </w:r>
    </w:p>
    <w:p>
      <w:pPr>
        <w:pStyle w:val="Normal"/>
      </w:pPr>
      <w:r>
        <w:t xml:space="preserve">d) El total acumulado de casas con teléfono</w:t>
      </w:r>
    </w:p>
    <w:p>
      <w:pPr>
        <w:pStyle w:val="Heading3"/>
      </w:pPr>
      <w:bookmarkStart w:name="b_pregunta_auto_4_2_15" w:id="3874"/>
      <w:r>
        <w:t xml:space="preserve">4.2-A15 · Una escuela tiene 300 estudiantes, entran 20 y se retiran 12 en un año. Sin otros cambios, termina con…</w:t>
      </w:r>
      <w:bookmarkEnd w:id="3874"/>
    </w:p>
    <w:p>
      <w:pPr>
        <w:pStyle w:val="Normal"/>
      </w:pPr>
      <w:r>
        <w:t xml:space="preserve">a) 292 estudiantes</w:t>
      </w:r>
    </w:p>
    <w:p>
      <w:pPr>
        <w:pStyle w:val="Normal"/>
      </w:pPr>
      <w:r>
        <w:t xml:space="preserve">b) 8 estudiantes</w:t>
      </w:r>
    </w:p>
    <w:p>
      <w:pPr>
        <w:pStyle w:val="Normal"/>
      </w:pPr>
      <w:r>
        <w:t xml:space="preserve">c) 308 estudiantes</w:t>
      </w:r>
    </w:p>
    <w:p>
      <w:pPr>
        <w:pStyle w:val="Normal"/>
      </w:pPr>
      <w:r>
        <w:t xml:space="preserve">d) 332 estudiantes</w:t>
      </w:r>
    </w:p>
    <w:p>
      <w:pPr>
        <w:pStyle w:val="Heading3"/>
      </w:pPr>
      <w:bookmarkStart w:name="b_pregunta_auto_4_2_16" w:id="3875"/>
      <w:r>
        <w:t xml:space="preserve">4.2-A16 · ¿Por qué PV puede ser auxiliar en este modelo?</w:t>
      </w:r>
      <w:bookmarkEnd w:id="3875"/>
    </w:p>
    <w:p>
      <w:pPr>
        <w:pStyle w:val="Normal"/>
      </w:pPr>
      <w:r>
        <w:t xml:space="preserve">a) Porque se calcula como PT − PI</w:t>
      </w:r>
    </w:p>
    <w:p>
      <w:pPr>
        <w:pStyle w:val="Normal"/>
      </w:pPr>
      <w:r>
        <w:t xml:space="preserve">b) Porque nunca cambia</w:t>
      </w:r>
    </w:p>
    <w:p>
      <w:pPr>
        <w:pStyle w:val="Normal"/>
      </w:pPr>
      <w:r>
        <w:t xml:space="preserve">c) Porque toda cantidad de personas es una tasa</w:t>
      </w:r>
    </w:p>
    <w:p>
      <w:pPr>
        <w:pStyle w:val="Normal"/>
      </w:pPr>
      <w:r>
        <w:t xml:space="preserve">d) Porque Vensim no permite más de un nivel</w:t>
      </w:r>
    </w:p>
    <w:p>
      <w:pPr>
        <w:pStyle w:val="Heading3"/>
      </w:pPr>
      <w:r>
        <w:t xml:space="preserve">Ejercicios de aplicación</w:t>
      </w:r>
    </w:p>
    <w:p>
      <w:pPr>
        <w:pStyle w:val="Heading3"/>
      </w:pPr>
      <w:bookmarkStart w:name="b_pregunta_ej_MF01" w:id="3876"/>
      <w:r>
        <w:t xml:space="preserve">4.2-E1 · Identificación por letras</w:t>
      </w:r>
      <w:bookmarkEnd w:id="3876"/>
    </w:p>
    <w:p>
      <w:pPr>
        <w:pStyle w:val="Normal"/>
      </w:pPr>
      <w:r>
        <w:t xml:space="preserve">Un depósito tiene A = agua almacenada, 120 litros; B = bombeo, 10 litros/minuto; C = riego, 6 litros/minuto; D = capacidad, 200 litros; E = espacio libre, calculado a partir de A y D. Identifica nivel, flujos, parámetro y auxiliar, con su unidad. Explica por qué el valor inicial no es un flujo.</w:t>
      </w:r>
    </w:p>
    <w:p>
      <w:pPr>
        <w:pStyle w:val="Heading3"/>
      </w:pPr>
      <w:bookmarkStart w:name="b_pregunta_ej_MF02" w:id="3877"/>
      <w:r>
        <w:t xml:space="preserve">4.2-E2 · Información y movimiento</w:t>
      </w:r>
      <w:bookmarkEnd w:id="3877"/>
    </w:p>
    <w:p>
      <w:pPr>
        <w:pStyle w:val="Normal"/>
      </w:pPr>
      <w:r>
        <w:t xml:space="preserve">La dirección eleva de 100 a 120 su meta de libros disponibles. Hay 80; no ocurre ningún movimiento. Después ordena 40 al proveedor, que todavía no entrega. ¿Qué cantidades cambian en cada momento y cuál permanece igual? Dibuja las conexiones de información y el flujo que ocurrirá cuando lleguen los libros.</w:t>
      </w:r>
    </w:p>
    <w:p>
      <w:pPr>
        <w:pStyle w:val="Heading3"/>
      </w:pPr>
      <w:bookmarkStart w:name="b_pregunta_ej_MF03" w:id="3878"/>
      <w:r>
        <w:t xml:space="preserve">4.2-E3 · Flujos constantes por períodos</w:t>
      </w:r>
      <w:bookmarkEnd w:id="3878"/>
    </w:p>
    <w:p>
      <w:pPr>
        <w:pStyle w:val="Normal"/>
      </w:pPr>
      <w:r>
        <w:t xml:space="preserve">Una biblioteca empieza el lunes con 86 libros. Lunes y martes devuelve a disponibilidad 9 libros/día y presta 12 libros/día; miércoles recibe 14 y presta 8 por día. Calcula flujos netos y niveles al terminar cada día. Incluye unidades y explica cómo enlazas períodos.</w:t>
      </w:r>
    </w:p>
    <w:p>
      <w:pPr>
        <w:pStyle w:val="Heading3"/>
      </w:pPr>
      <w:bookmarkStart w:name="b_pregunta_ej_MF04" w:id="3879"/>
      <w:r>
        <w:t xml:space="preserve">4.2-E4 · Porcentaje que depende del nivel</w:t>
      </w:r>
      <w:bookmarkEnd w:id="3879"/>
    </w:p>
    <w:p>
      <w:pPr>
        <w:pStyle w:val="Normal"/>
      </w:pPr>
      <w:r>
        <w:t xml:space="preserve">Un tanque tiene 120 litros; bombea 10 litros/minuto y riega el 10 % de lo almacenado al comienzo de cada minuto. Calcula dos pasos de un minuto. ¿Por qué no se conserva el mismo flujo neto en los dos pasos? Encuentra el equilibrio sin iterar.</w:t>
      </w:r>
    </w:p>
    <w:p>
      <w:pPr>
        <w:pStyle w:val="Heading3"/>
      </w:pPr>
      <w:bookmarkStart w:name="b_pregunta_ej_MF21" w:id="3880"/>
      <w:r>
        <w:t xml:space="preserve">4.2-E5 · Retardo, intervalo y ajuste</w:t>
      </w:r>
      <w:bookmarkEnd w:id="3880"/>
    </w:p>
    <w:p>
      <w:pPr>
        <w:pStyle w:val="Normal"/>
      </w:pPr>
      <w:r>
        <w:t xml:space="preserve">Clasifica: (a) calcular cada 0.25 meses; (b) un proveedor entrega después de dos semanas; (c) la dirección forma su expectativa de demanda a partir de observaciones recientes y pasadas; (d) guardar resultados cada mes. Explica la diferencia entre demora material e informativa. ¿Una demora cambia automáticamente la polaridad de un ciclo?</w:t>
      </w:r>
    </w:p>
    <w:p>
      <w:pPr>
        <w:pStyle w:val="Heading3"/>
      </w:pPr>
      <w:bookmarkStart w:name="b_pregunta_ej_MF34" w:id="3881"/>
      <w:r>
        <w:t xml:space="preserve">4.2-E6 · Meta, capacidad y equilibrio</w:t>
      </w:r>
      <w:bookmarkEnd w:id="3881"/>
    </w:p>
    <w:p>
      <w:pPr>
        <w:pStyle w:val="Normal"/>
      </w:pPr>
      <w:r>
        <w:t xml:space="preserve">Un tanque admite hasta 200 litros, se desea mantener 150, entran 10 L/min y sale el 10 % por minuto del nivel. Identifica capacidad, meta y equilibrio. ¿Basta cambiar la meta a 180 para cambiar la trayectoria de este modelo?</w:t>
      </w:r>
    </w:p>
    <w:p>
      <w:pPr>
        <w:pStyle w:val="Heading3"/>
      </w:pPr>
      <w:bookmarkStart w:name="b_pregunta_ej_MF24" w:id="3882"/>
      <w:r>
        <w:t xml:space="preserve">4.2-E7 · Auxiliares, tablas y límites</w:t>
      </w:r>
      <w:bookmarkEnd w:id="3882"/>
    </w:p>
    <w:p>
      <w:pPr>
        <w:pStyle w:val="Normal"/>
      </w:pPr>
      <w:r>
        <w:t xml:space="preserve">Un flujo normal es 0.2/mes × 100 unidades. Aplica un multiplicador 0.6. Explica qué unidades debe tener, qué representa una tabla lookup y por qué MAX(0, flujo) no impide vaciar más de lo disponible durante un mes. Escribe una cota superior válida para una única salida.</w:t>
      </w:r>
    </w:p>
    <w:p>
      <w:pPr>
        <w:pStyle w:val="Heading3"/>
      </w:pPr>
      <w:bookmarkStart w:name="b_pregunta_ej_MF25" w:id="3883"/>
      <w:r>
        <w:t xml:space="preserve">4.2-E8 · Demora de primer orden</w:t>
      </w:r>
      <w:bookmarkEnd w:id="3883"/>
    </w:p>
    <w:p>
      <w:pPr>
        <w:pStyle w:val="Normal"/>
      </w:pPr>
      <w:r>
        <w:t xml:space="preserve">Hay 60 paquetes en tránsito y tiempo medio TA = 3 días, con entrada 30 paquetes/día. Calcula salida y cambio inicial. Compara con una percepción de demanda de 20 que observa 50 y se ajusta con TA = 3 días. ¿Significa TA que cada paquete permanece exactamente tres días?</w:t>
      </w:r>
    </w:p>
    <w:p>
      <w:pPr>
        <w:pStyle w:val="Heading3"/>
      </w:pPr>
      <w:bookmarkStart w:name="b_pregunta_g3d_balance_agua" w:id="3884"/>
      <w:r>
        <w:t xml:space="preserve">4.2-E9 · 4.2 · Balance de una acumulación</w:t>
      </w:r>
      <w:bookmarkEnd w:id="3884"/>
    </w:p>
    <w:p>
      <w:pPr>
        <w:pStyle w:val="Normal"/>
      </w:pPr>
      <w:r>
        <w:t xml:space="preserve">Un depósito empieza con 100 litros. Entran 12 litros/minuto y salen 15 litros/minuto, ambos constantes. ¿Cuántos litros quedan tras 4 minutos? Escribe sólo la cifra y explica debajo el balance y sus unidades.</w:t>
      </w:r>
    </w:p>
    <w:p>
      <w:pPr>
        <w:pStyle w:val="Fuente"/>
      </w:pPr>
      <w:r>
        <w:t xml:space="preserve">Ordinal de la fuente: 14 · complemento editorial.</w:t>
      </w:r>
    </w:p>
    <w:p>
      <w:pPr>
        <w:pStyle w:val="Heading3"/>
      </w:pPr>
      <w:bookmarkStart w:name="b_solucionario_4_2" w:id="3885"/>
      <w:r>
        <w:t xml:space="preserve">Solucionario del capítulo</w:t>
      </w:r>
      <w:bookmarkEnd w:id="3885"/>
    </w:p>
    <w:p>
      <w:pPr>
        <w:pStyle w:val="Heading3"/>
      </w:pPr>
      <w:r>
        <w:t xml:space="preserve">4.2-A1</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c) La población total del país en este momento</w:t>
            </w:r>
          </w:p>
        </w:tc>
      </w:tr>
    </w:tbl>
    <w:p>
      <w:pPr>
        <w:pStyle w:val="Normal"/>
      </w:pPr>
      <w:r>
        <w:t xml:space="preserve">Un nivel es una acumulación que existe en un instante dado (población total, litros de agua, saldo). Los flujos son las tasas —medidas por unidad de tiempo— que lo llenan o lo vacían.</w:t>
      </w:r>
    </w:p>
    <w:p>
      <w:pPr>
        <w:pStyle w:val="Normal"/>
      </w:pPr>
      <w:r>
        <w:t xml:space="preserve">a) Es un flujo: una tasa por unidad de tiempo (personas/año) que llena el nivel «población».</w:t>
      </w:r>
    </w:p>
    <w:p>
      <w:pPr>
        <w:pStyle w:val="Normal"/>
      </w:pPr>
      <w:r>
        <w:t xml:space="preserve">b) Es un flujo de entrada: se mide en litros por minuto.</w:t>
      </w:r>
    </w:p>
    <w:p>
      <w:pPr>
        <w:pStyle w:val="Normal"/>
      </w:pPr>
      <w:r>
        <w:t xml:space="preserve">c) Correcto: es una cantidad acumulada que existe en un instante; se mide en personas, no en personas por año.</w:t>
      </w:r>
    </w:p>
    <w:p>
      <w:pPr>
        <w:pStyle w:val="Normal"/>
      </w:pPr>
      <w:r>
        <w:t xml:space="preserve">d) Es un flujo de salida: una tasa (litros/minuto).</w:t>
      </w:r>
    </w:p>
    <w:p>
      <w:pPr>
        <w:pStyle w:val="Fuente"/>
      </w:pPr>
      <w:r>
        <w:t xml:space="preserve">Meadows, cap. 2</w:t>
      </w:r>
    </w:p>
    <w:p>
      <w:pPr>
        <w:pStyle w:val="Heading3"/>
      </w:pPr>
      <w:r>
        <w:t xml:space="preserve">4.2-A2</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b) un flujo (tasa de cambio)</w:t>
            </w:r>
          </w:p>
        </w:tc>
      </w:tr>
    </w:tbl>
    <w:p>
      <w:pPr>
        <w:pStyle w:val="Normal"/>
      </w:pPr>
      <w:r>
        <w:t xml:space="preserve">La prueba de las unidades: si aparece un «por unidad de tiempo» (por minuto, por año), es un flujo. Los niveles se miden en unidades a secas (litros, personas), sin el «por tiempo».</w:t>
      </w:r>
    </w:p>
    <w:p>
      <w:pPr>
        <w:pStyle w:val="Heading3"/>
      </w:pPr>
      <w:r>
        <w:t xml:space="preserve">4.2-A3</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c) la entrada iguala a la salida, aunque ambos flujos sean grandes</w:t>
            </w:r>
          </w:p>
        </w:tc>
      </w:tr>
    </w:tbl>
    <w:p>
      <w:pPr>
        <w:pStyle w:val="Normal"/>
      </w:pPr>
      <w:r>
        <w:t xml:space="preserve">El equilibrio dinámico ocurre cuando entrada = salida. El agua puede seguir corriendo con fuerza, pero mientras los flujos se compensen, el nivel no cambia.</w:t>
      </w:r>
    </w:p>
    <w:p>
      <w:pPr>
        <w:pStyle w:val="Normal"/>
      </w:pPr>
      <w:r>
        <w:t xml:space="preserve">a) Ese es solo un caso particular. El nivel también se mantiene con los flujos abiertos, mientras se igualen.</w:t>
      </w:r>
    </w:p>
    <w:p>
      <w:pPr>
        <w:pStyle w:val="Normal"/>
      </w:pPr>
      <w:r>
        <w:t xml:space="preserve">b) Si entra más de lo que sale, el nivel sube: no se mantiene.</w:t>
      </w:r>
    </w:p>
    <w:p>
      <w:pPr>
        <w:pStyle w:val="Normal"/>
      </w:pPr>
      <w:r>
        <w:t xml:space="preserve">c) Correcto: el equilibrio dinámico es un balance de flujos, no ausencia de flujo.</w:t>
      </w:r>
    </w:p>
    <w:p>
      <w:pPr>
        <w:pStyle w:val="Normal"/>
      </w:pPr>
      <w:r>
        <w:t xml:space="preserve">d) Estar lleno no impide que el nivel cambie; depende del balance entrada/salida.</w:t>
      </w:r>
    </w:p>
    <w:p>
      <w:pPr>
        <w:pStyle w:val="Heading3"/>
      </w:pPr>
      <w:r>
        <w:t xml:space="preserve">4.2-A4</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b) Actuar sobre un flujo: cerrar el grifo por debajo del desagüe o abrir más el desagüe</w:t>
            </w:r>
          </w:p>
        </w:tc>
      </w:tr>
    </w:tbl>
    <w:p>
      <w:pPr>
        <w:pStyle w:val="Normal"/>
      </w:pPr>
      <w:r>
        <w:t xml:space="preserve">Un nivel solo cambia a través de sus flujos: no se puede fijar directamente. Para que baje, la salida debe superar a la entrada. En esto reside el apalancamiento: se actúa sobre los flujos, nunca sobre el stock a mano.</w:t>
      </w:r>
    </w:p>
    <w:p>
      <w:pPr>
        <w:pStyle w:val="Heading3"/>
      </w:pPr>
      <w:r>
        <w:t xml:space="preserve">4.2-A5</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b) Sigue creciendo, porque el flujo de entrada (nuevo endeudamiento) todavía supera al de pago</w:t>
            </w:r>
          </w:p>
        </w:tc>
      </w:tr>
    </w:tbl>
    <w:p>
      <w:pPr>
        <w:pStyle w:val="Normal"/>
      </w:pPr>
      <w:r>
        <w:t xml:space="preserve">La deuda es un nivel (stock); el déficit es su flujo de entrada. Mientras el déficit sea positivo, entra más de lo que se paga y el nivel sigue subiendo —aunque el flujo se haya reducido. Confundir el flujo con el nivel es el error más común con las acumulaciones.</w:t>
      </w:r>
    </w:p>
    <w:p>
      <w:pPr>
        <w:pStyle w:val="Fuente"/>
      </w:pPr>
      <w:r>
        <w:t xml:space="preserve">Meadows, cap. 2</w:t>
      </w:r>
    </w:p>
    <w:p>
      <w:pPr>
        <w:pStyle w:val="Heading3"/>
      </w:pPr>
      <w:r>
        <w:t xml:space="preserve">4.2-A6</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b) sube gradualmente, paso a paso; el nivel no puede dar saltos</w:t>
            </w:r>
          </w:p>
        </w:tc>
      </w:tr>
    </w:tbl>
    <w:p>
      <w:pPr>
        <w:pStyle w:val="Normal"/>
      </w:pPr>
      <w:r>
        <w:t xml:space="preserve">Los niveles integran (acumulan) los flujos, así que cambian de forma gradual aunque los flujos cambien de golpe. Por eso los stocks dan inercia y memoria al sistema y actúan como amortiguadores que desacoplan la entrada de la salida.</w:t>
      </w:r>
    </w:p>
    <w:p>
      <w:pPr>
        <w:pStyle w:val="Heading3"/>
      </w:pPr>
      <w:r>
        <w:t xml:space="preserve">4.2-A7</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b) Los niveles, porque son cantidades acumuladas que existen en el instante</w:t>
            </w:r>
          </w:p>
        </w:tc>
      </w:tr>
    </w:tbl>
    <w:p>
      <w:pPr>
        <w:pStyle w:val="Normal"/>
      </w:pPr>
      <w:r>
        <w:t xml:space="preserve">La prueba de la instantánea: un nivel existe en un instante (se puede medir en una foto). Un flujo es una actividad que ocurre a lo largo de un intervalo: para verlo necesitas una película, no una foto.</w:t>
      </w:r>
    </w:p>
    <w:p>
      <w:pPr>
        <w:pStyle w:val="Fuente"/>
      </w:pPr>
      <w:r>
        <w:t xml:space="preserve">Meadows, cap. 2</w:t>
      </w:r>
    </w:p>
    <w:p>
      <w:pPr>
        <w:pStyle w:val="Heading3"/>
      </w:pPr>
      <w:r>
        <w:t xml:space="preserve">4.2-A8</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b) acumula (integra) el flujo neto en el tiempo: N</w:t>
            </w:r>
            <w:r>
              <w:rPr>
                <w:vertAlign w:val="subscript"/>
              </w:rPr>
              <w:t xml:space="preserve">t</w:t>
            </w:r>
            <w:r>
              <w:t xml:space="preserve"> = N</w:t>
            </w:r>
            <w:r>
              <w:rPr>
                <w:vertAlign w:val="subscript"/>
              </w:rPr>
              <w:t xml:space="preserve">t−1</w:t>
            </w:r>
            <w:r>
              <w:t xml:space="preserve"> + (entrada − salida) · dt</w:t>
            </w:r>
          </w:p>
        </w:tc>
      </w:tr>
    </w:tbl>
    <w:p>
      <w:pPr>
        <w:pStyle w:val="Normal"/>
      </w:pPr>
      <w:r>
        <w:t xml:space="preserve">El nivel es la integral del flujo neto en el tiempo; a la inversa, el flujo neto es la derivada del nivel. Un simulador integra esa relación paso a paso (método de Euler) para dibujar la trayectoria del stock.</w:t>
      </w:r>
    </w:p>
    <w:p>
      <w:pPr>
        <w:pStyle w:val="Fuente"/>
      </w:pPr>
      <w:r>
        <w:t xml:space="preserve">Forrester; Meadows</w:t>
      </w:r>
    </w:p>
    <w:p>
      <w:pPr>
        <w:pStyle w:val="Heading3"/>
      </w:pPr>
      <w:r>
        <w:t xml:space="preserve">4.2-A9</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b) Cantidades de material o información que se han acumulado o disminuido a través del tiempo</w:t>
            </w:r>
          </w:p>
        </w:tc>
      </w:tr>
    </w:tbl>
    <w:p>
      <w:pPr>
        <w:pStyle w:val="Normal"/>
      </w:pPr>
      <w:r>
        <w:t xml:space="preserve">La tarjeta pregunta qué se puede contar o medir como cantidad que cambia, qué tan rápido aumenta o disminuye, cómo impacta a otros elementos y qué pasaría si alcanza un punto de inflexión.</w:t>
      </w:r>
    </w:p>
    <w:p>
      <w:pPr>
        <w:pStyle w:val="Normal"/>
      </w:pPr>
      <w:r>
        <w:t xml:space="preserve">a) No: el hábito mira lo que se acumula, no la causa de un evento.</w:t>
      </w:r>
    </w:p>
    <w:p>
      <w:pPr>
        <w:pStyle w:val="Normal"/>
      </w:pPr>
      <w:r>
        <w:t xml:space="preserve">b) Correcto: es la definición de la tarjeta «Presta atención a las acumulaciones y sus tasas de cambio».</w:t>
      </w:r>
    </w:p>
    <w:p>
      <w:pPr>
        <w:pStyle w:val="Normal"/>
      </w:pPr>
      <w:r>
        <w:t xml:space="preserve">c) No: ese es el hábito de cambiar perspectivas.</w:t>
      </w:r>
    </w:p>
    <w:p>
      <w:pPr>
        <w:pStyle w:val="Normal"/>
      </w:pPr>
      <w:r>
        <w:t xml:space="preserve">d) No: ese es el hábito del apalancamiento.</w:t>
      </w:r>
    </w:p>
    <w:p>
      <w:pPr>
        <w:pStyle w:val="Fuente"/>
      </w:pPr>
      <w:r>
        <w:t xml:space="preserve">presentación 4a · pág. 5</w:t>
      </w:r>
    </w:p>
    <w:p>
      <w:pPr>
        <w:pStyle w:val="Heading3"/>
      </w:pPr>
      <w:r>
        <w:t xml:space="preserve">4.2-A10</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a) Flujo</w:t>
            </w:r>
          </w:p>
        </w:tc>
      </w:tr>
    </w:tbl>
    <w:p>
      <w:pPr>
        <w:pStyle w:val="Normal"/>
      </w:pPr>
      <w:r>
        <w:t xml:space="preserve">La entrada o el grifo de la bañera aumentan el nivel; el flujo de salida o drenaje lo disminuye.</w:t>
      </w:r>
    </w:p>
    <w:p>
      <w:pPr>
        <w:pStyle w:val="Normal"/>
      </w:pPr>
      <w:r>
        <w:t xml:space="preserve">a) Correcto: «la tasa de cambio que influye en el nivel de la acumulación se denomina en lenguaje de sistemas como los flujos».</w:t>
      </w:r>
    </w:p>
    <w:p>
      <w:pPr>
        <w:pStyle w:val="Normal"/>
      </w:pPr>
      <w:r>
        <w:t xml:space="preserve">b) No: una auxiliar es un paso intermedio de cálculo.</w:t>
      </w:r>
    </w:p>
    <w:p>
      <w:pPr>
        <w:pStyle w:val="Normal"/>
      </w:pPr>
      <w:r>
        <w:t xml:space="preserve">c) No: una constante no cambia.</w:t>
      </w:r>
    </w:p>
    <w:p>
      <w:pPr>
        <w:pStyle w:val="Normal"/>
      </w:pPr>
      <w:r>
        <w:t xml:space="preserve">d) No: un ciclo es un recorrido de relaciones causales.</w:t>
      </w:r>
    </w:p>
    <w:p>
      <w:pPr>
        <w:pStyle w:val="Fuente"/>
      </w:pPr>
      <w:r>
        <w:t xml:space="preserve">presentación 4a · pág. 6</w:t>
      </w:r>
    </w:p>
    <w:p>
      <w:pPr>
        <w:pStyle w:val="Heading3"/>
      </w:pPr>
      <w:r>
        <w:t xml:space="preserve">4.2-A11</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a) La escuela está atendiendo el flujo de entrada y no el de salida</w:t>
            </w:r>
          </w:p>
        </w:tc>
      </w:tr>
    </w:tbl>
    <w:p>
      <w:pPr>
        <w:pStyle w:val="Normal"/>
      </w:pPr>
      <w:r>
        <w:t xml:space="preserve">«Se presta demasiada atención al flujo de entrada… sin que se preste la misma atención al flujo de salida», y el resultado es un nivel decreciente.</w:t>
      </w:r>
    </w:p>
    <w:p>
      <w:pPr>
        <w:pStyle w:val="Normal"/>
      </w:pPr>
      <w:r>
        <w:t xml:space="preserve">a) Correcto: muchos estudiantes se van; si salen más de los que entran, el nivel baja.</w:t>
      </w:r>
    </w:p>
    <w:p>
      <w:pPr>
        <w:pStyle w:val="Normal"/>
      </w:pPr>
      <w:r>
        <w:t xml:space="preserve">b) No: el nivel cambia sólo por sus flujos.</w:t>
      </w:r>
    </w:p>
    <w:p>
      <w:pPr>
        <w:pStyle w:val="Normal"/>
      </w:pPr>
      <w:r>
        <w:t xml:space="preserve">c) No: la matrícula es el nivel; las inscripciones, su flujo de entrada.</w:t>
      </w:r>
    </w:p>
    <w:p>
      <w:pPr>
        <w:pStyle w:val="Normal"/>
      </w:pPr>
      <w:r>
        <w:t xml:space="preserve">d) No: el problema está en un flujo que nadie mira.</w:t>
      </w:r>
    </w:p>
    <w:p>
      <w:pPr>
        <w:pStyle w:val="Fuente"/>
      </w:pPr>
      <w:r>
        <w:t xml:space="preserve">presentación 4a · pág. 8</w:t>
      </w:r>
    </w:p>
    <w:p>
      <w:pPr>
        <w:pStyle w:val="Heading3"/>
      </w:pPr>
      <w:r>
        <w:t xml:space="preserve">4.2-A12</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a) Con un rectángulo</w:t>
            </w:r>
          </w:p>
        </w:tc>
      </w:tr>
    </w:tbl>
    <w:p>
      <w:pPr>
        <w:pStyle w:val="Normal"/>
      </w:pPr>
      <w:r>
        <w:t xml:space="preserve">Rectángulo para el nivel, válvula para el flujo —en dos formas de dibujo— y círculo para las auxiliares: así se arma el diagrama de Forrester o de flujos y niveles.</w:t>
      </w:r>
    </w:p>
    <w:p>
      <w:pPr>
        <w:pStyle w:val="Normal"/>
      </w:pPr>
      <w:r>
        <w:t xml:space="preserve">a) Correcto: al nivel se le asocia un rectángulo.</w:t>
      </w:r>
    </w:p>
    <w:p>
      <w:pPr>
        <w:pStyle w:val="Normal"/>
      </w:pPr>
      <w:r>
        <w:t xml:space="preserve">b) No: la válvula es el flujo.</w:t>
      </w:r>
    </w:p>
    <w:p>
      <w:pPr>
        <w:pStyle w:val="Normal"/>
      </w:pPr>
      <w:r>
        <w:t xml:space="preserve">c) No: el círculo es la variable auxiliar.</w:t>
      </w:r>
    </w:p>
    <w:p>
      <w:pPr>
        <w:pStyle w:val="Normal"/>
      </w:pPr>
      <w:r>
        <w:t xml:space="preserve">d) No: la nube es una fuente o un sumidero fuera del sistema.</w:t>
      </w:r>
    </w:p>
    <w:p>
      <w:pPr>
        <w:pStyle w:val="Fuente"/>
      </w:pPr>
      <w:r>
        <w:t xml:space="preserve">presentación 4a · pág. 9</w:t>
      </w:r>
    </w:p>
    <w:p>
      <w:pPr>
        <w:pStyle w:val="Heading3"/>
      </w:pPr>
      <w:r>
        <w:t xml:space="preserve">4.2-A13</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a) depósitos − retiros</w:t>
            </w:r>
          </w:p>
        </w:tc>
      </w:tr>
    </w:tbl>
    <w:p>
      <w:pPr>
        <w:pStyle w:val="Normal"/>
      </w:pPr>
      <w:r>
        <w:t xml:space="preserve">dCAPITAL(t)/dt = depósitos(t) − retiros(t); integrando, CAPITAL(t) = ∫</w:t>
      </w:r>
      <w:r>
        <w:rPr>
          <w:vertAlign w:val="subscript"/>
        </w:rPr>
        <w:t xml:space="preserve">0</w:t>
      </w:r>
      <w:r>
        <w:rPr>
          <w:vertAlign w:val="superscript"/>
        </w:rPr>
        <w:t xml:space="preserve">t</w:t>
      </w:r>
      <w:r>
        <w:t xml:space="preserve"> (depósitos − retiros) dτ + C.</w:t>
      </w:r>
    </w:p>
    <w:p>
      <w:pPr>
        <w:pStyle w:val="Normal"/>
      </w:pPr>
      <w:r>
        <w:t xml:space="preserve">a) Correcto: la variación del nivel es la diferencia entre lo que entra y lo que sale.</w:t>
      </w:r>
    </w:p>
    <w:p>
      <w:pPr>
        <w:pStyle w:val="Normal"/>
      </w:pPr>
      <w:r>
        <w:t xml:space="preserve">b) No: los retiros vacían el nivel.</w:t>
      </w:r>
    </w:p>
    <w:p>
      <w:pPr>
        <w:pStyle w:val="Normal"/>
      </w:pPr>
      <w:r>
        <w:t xml:space="preserve">c) No: el nivel no se multiplica por sus flujos.</w:t>
      </w:r>
    </w:p>
    <w:p>
      <w:pPr>
        <w:pStyle w:val="Normal"/>
      </w:pPr>
      <w:r>
        <w:t xml:space="preserve">d) No: el signo está invertido.</w:t>
      </w:r>
    </w:p>
    <w:p>
      <w:pPr>
        <w:pStyle w:val="Fuente"/>
      </w:pPr>
      <w:r>
        <w:t xml:space="preserve">presentación 4a · pág. 26</w:t>
      </w:r>
    </w:p>
    <w:p>
      <w:pPr>
        <w:pStyle w:val="Heading3"/>
      </w:pPr>
      <w:r>
        <w:t xml:space="preserve">4.2-A14</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c) Casas que adquieren teléfono por mes</w:t>
            </w:r>
          </w:p>
        </w:tc>
      </w:tr>
    </w:tbl>
    <w:p>
      <w:pPr>
        <w:pStyle w:val="Normal"/>
      </w:pPr>
      <w:r>
        <w:t xml:space="preserve">El flujo cambia el nivel por unidad de tiempo. La tasa mensual aplicada a las casas pendientes produce instalaciones por mes.</w:t>
      </w:r>
    </w:p>
    <w:p>
      <w:pPr>
        <w:pStyle w:val="Fuente"/>
      </w:pPr>
      <w:r>
        <w:t xml:space="preserve">Clase 24 · capítulo 10 · /clase-24#cap-10 · pregunta original del portal</w:t>
      </w:r>
    </w:p>
    <w:p>
      <w:pPr>
        <w:pStyle w:val="Heading3"/>
      </w:pPr>
      <w:r>
        <w:t xml:space="preserve">4.2-A15</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c) 308 estudiantes</w:t>
            </w:r>
          </w:p>
        </w:tc>
      </w:tr>
    </w:tbl>
    <w:p>
      <w:pPr>
        <w:pStyle w:val="Normal"/>
      </w:pPr>
      <w:r>
        <w:t xml:space="preserve">Ejercicio editorial sobre el ejemplo escolar: 300 + 20 − 12 = 308. Ocho es el cambio neto, no el nuevo nivel.</w:t>
      </w:r>
    </w:p>
    <w:p>
      <w:pPr>
        <w:pStyle w:val="Fuente"/>
      </w:pPr>
      <w:r>
        <w:t xml:space="preserve">Clase 18 · capítulo 10 · /clase-18#cap-10 · pregunta editorial basada en la sesión</w:t>
      </w:r>
    </w:p>
    <w:p>
      <w:pPr>
        <w:pStyle w:val="Heading3"/>
      </w:pPr>
      <w:r>
        <w:t xml:space="preserve">4.2-A16</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a) Porque se calcula como PT − PI</w:t>
            </w:r>
          </w:p>
        </w:tc>
      </w:tr>
    </w:tbl>
    <w:p>
      <w:pPr>
        <w:pStyle w:val="Normal"/>
      </w:pPr>
      <w:r>
        <w:t xml:space="preserve">La frontera y las ecuaciones determinan la representación. Aquí PT es constante y PV se calcula a partir de PI.</w:t>
      </w:r>
    </w:p>
    <w:p>
      <w:pPr>
        <w:pStyle w:val="Fuente"/>
      </w:pPr>
      <w:r>
        <w:t xml:space="preserve">Clase 19 · capítulo 03 · /clase-19#cap-03</w:t>
      </w:r>
    </w:p>
    <w:p>
      <w:pPr>
        <w:pStyle w:val="Heading3"/>
      </w:pPr>
      <w:bookmarkStart w:name="b_solucion_ej_MF01" w:id="3886"/>
      <w:r>
        <w:t xml:space="preserve">Solución 4.2-E1</w:t>
      </w:r>
      <w:bookmarkEnd w:id="3886"/>
    </w:p>
    <w:p>
      <w:pPr>
        <w:pStyle w:val="RecuadroTitulo"/>
      </w:pPr>
      <w:r>
        <w:t xml:space="preserve">Respuesta modelo</w:t>
      </w:r>
    </w:p>
    <w:p>
      <w:pPr>
        <w:pStyle w:val="Normal"/>
      </w:pPr>
      <w:r>
        <w:t xml:space="preserve">A es nivel, 120 litros. B entrada, 10 L/min; C salida, 6 L/min. D parámetro, 200 litros. E auxiliar, 80 litros. El inicial describe lo que ya existe; no lo que está entrando por unidad de tiempo. El pozo es fuente y el cultivo sumidero respecto de esta frontera.</w:t>
      </w:r>
    </w:p>
    <w:p>
      <w:pPr>
        <w:pStyle w:val="Fuente"/>
      </w:pPr>
      <w:r>
        <w:t xml:space="preserve">Compendio académico del portal; ejercicio editorial.</w:t>
      </w:r>
    </w:p>
    <w:p>
      <w:pPr>
        <w:pStyle w:val="Heading3"/>
      </w:pPr>
      <w:bookmarkStart w:name="b_solucion_ej_MF02" w:id="3887"/>
      <w:r>
        <w:t xml:space="preserve">Solución 4.2-E2</w:t>
      </w:r>
      <w:bookmarkEnd w:id="3887"/>
    </w:p>
    <w:p>
      <w:pPr>
        <w:pStyle w:val="RecuadroTitulo"/>
      </w:pPr>
      <w:r>
        <w:t xml:space="preserve">Respuesta modelo</w:t>
      </w:r>
    </w:p>
    <w:p>
      <w:pPr>
        <w:pStyle w:val="Normal"/>
      </w:pPr>
      <w:r>
        <w:t xml:space="preserve">Cambia la meta y con ella el faltante, de 20 a 40. El pedido puede registrarse como decisión o cantidad pendiente, según el alcance del modelo, pero los disponibles siguen en 80. Al llegar los 40, el flujo de recepción aumenta el nivel a 120. Conexiones: meta y disponibles informan faltante; faltante informa decisión/pedido; recepción es el cambio material del nivel.</w:t>
      </w:r>
    </w:p>
    <w:p>
      <w:pPr>
        <w:pStyle w:val="Fuente"/>
      </w:pPr>
      <w:r>
        <w:t xml:space="preserve">Compendio académico del portal; ejercicio editorial.</w:t>
      </w:r>
    </w:p>
    <w:p>
      <w:pPr>
        <w:pStyle w:val="Heading3"/>
      </w:pPr>
      <w:bookmarkStart w:name="b_solucion_ej_MF03" w:id="3888"/>
      <w:r>
        <w:t xml:space="preserve">Solución 4.2-E3</w:t>
      </w:r>
      <w:bookmarkEnd w:id="3888"/>
    </w:p>
    <w:p>
      <w:pPr>
        <w:pStyle w:val="RecuadroTitulo"/>
      </w:pPr>
      <w:r>
        <w:t xml:space="preserve">Respuesta modelo</w:t>
      </w:r>
    </w:p>
    <w:p>
      <w:pPr>
        <w:pStyle w:val="Normal"/>
      </w:pPr>
      <w:r>
        <w:t xml:space="preserve">Lunes y martes: −3 libros/día, finales 83 y 80 libros. Miércoles: +6 libros/día, final 86. Miércoles empieza en 80. La coincidencia entre 86 inicial y final no elimina los movimientos intermedios.</w:t>
      </w:r>
    </w:p>
    <w:p>
      <w:pPr>
        <w:pStyle w:val="Fuente"/>
      </w:pPr>
      <w:r>
        <w:t xml:space="preserve">Compendio académico del portal; ejercicio editorial.</w:t>
      </w:r>
    </w:p>
    <w:p>
      <w:pPr>
        <w:pStyle w:val="Heading3"/>
      </w:pPr>
      <w:bookmarkStart w:name="b_solucion_ej_MF04" w:id="3889"/>
      <w:r>
        <w:t xml:space="preserve">Solución 4.2-E4</w:t>
      </w:r>
      <w:bookmarkEnd w:id="3889"/>
    </w:p>
    <w:p>
      <w:pPr>
        <w:pStyle w:val="RecuadroTitulo"/>
      </w:pPr>
      <w:r>
        <w:t xml:space="preserve">Respuesta modelo</w:t>
      </w:r>
    </w:p>
    <w:p>
      <w:pPr>
        <w:pStyle w:val="Normal"/>
      </w:pPr>
      <w:r>
        <w:t xml:space="preserve">Primer riego 12 L/min; cambio −2 L; final 118 L. Segundo riego 11.8 L/min; cambio −1.8 L; final 116.2 L. Equilibrio </w:t>
      </w:r>
      <w:r>
        <w:rPr>
          <w:rFonts w:ascii="Source Code Pro" w:cs="Source Code Pro" w:eastAsia="Source Code Pro" w:hAnsi="Source Code Pro"/>
          <w:sz w:val="18"/>
          <w:szCs w:val="18"/>
        </w:rPr>
        <w:t xml:space="preserve">10 = 0.10N</w:t>
      </w:r>
      <w:r>
        <w:t xml:space="preserve">, por tanto 100 L. Cambia el riego porque cambia su base; el coeficiente porcentual permanece fijo.</w:t>
      </w:r>
    </w:p>
    <w:p>
      <w:pPr>
        <w:pStyle w:val="Fuente"/>
      </w:pPr>
      <w:r>
        <w:t xml:space="preserve">Compendio académico del portal; ejercicio editorial.</w:t>
      </w:r>
    </w:p>
    <w:p>
      <w:pPr>
        <w:pStyle w:val="Heading3"/>
      </w:pPr>
      <w:bookmarkStart w:name="b_solucion_ej_MF21" w:id="3890"/>
      <w:r>
        <w:t xml:space="preserve">Solución 4.2-E5</w:t>
      </w:r>
      <w:bookmarkEnd w:id="3890"/>
    </w:p>
    <w:p>
      <w:pPr>
        <w:pStyle w:val="RecuadroTitulo"/>
      </w:pPr>
      <w:r>
        <w:t xml:space="preserve">Respuesta modelo</w:t>
      </w:r>
    </w:p>
    <w:p>
      <w:pPr>
        <w:pStyle w:val="Normal"/>
      </w:pPr>
      <w:r>
        <w:t xml:space="preserve">(a)paso de cálculo; (b)demora material; (c)demora informativa/suavizado; (d)intervalo de guardado. Material permanece en tránsito y debe contabilizarse; información se ajusta sin transferencia conservativa del contenido físico. La demora modifica cuándo se manifiesta el efecto y puede cambiar el comportamiento, pero no cambia por sí sola los signos del ciclo.</w:t>
      </w:r>
    </w:p>
    <w:p>
      <w:pPr>
        <w:pStyle w:val="Fuente"/>
      </w:pPr>
      <w:r>
        <w:t xml:space="preserve">Compendio académico del portal; ejercicio editorial.</w:t>
      </w:r>
    </w:p>
    <w:p>
      <w:pPr>
        <w:pStyle w:val="Heading3"/>
      </w:pPr>
      <w:bookmarkStart w:name="b_solucion_ej_MF34" w:id="3891"/>
      <w:r>
        <w:t xml:space="preserve">Solución 4.2-E6</w:t>
      </w:r>
      <w:bookmarkEnd w:id="3891"/>
    </w:p>
    <w:p>
      <w:pPr>
        <w:pStyle w:val="RecuadroTitulo"/>
      </w:pPr>
      <w:r>
        <w:t xml:space="preserve">Respuesta modelo</w:t>
      </w:r>
    </w:p>
    <w:p>
      <w:pPr>
        <w:pStyle w:val="Normal"/>
      </w:pPr>
      <w:r>
        <w:t xml:space="preserve">Capacidad 200 L; meta deseada 150 L; equilibrio 10/0.10=100 L. Cambiar la meta no modifica esta trayectoria porque la meta no participa en ninguna ecuación de flujo. Se necesita una política que use la brecha para cambiar una tasa. La capacidad también debe aparecer en una restricción si se pretende impedir sobrellenados en otros escenarios.</w:t>
      </w:r>
    </w:p>
    <w:p>
      <w:pPr>
        <w:pStyle w:val="Fuente"/>
      </w:pPr>
      <w:r>
        <w:t xml:space="preserve">Niveles y flujos, Unidad 4; variante editorial con reglas explícitas.</w:t>
      </w:r>
    </w:p>
    <w:p>
      <w:pPr>
        <w:pStyle w:val="Heading3"/>
      </w:pPr>
      <w:bookmarkStart w:name="b_solucion_ej_MF24" w:id="3892"/>
      <w:r>
        <w:t xml:space="preserve">Solución 4.2-E7</w:t>
      </w:r>
      <w:bookmarkEnd w:id="3892"/>
    </w:p>
    <w:p>
      <w:pPr>
        <w:pStyle w:val="RecuadroTitulo"/>
      </w:pPr>
      <w:r>
        <w:t xml:space="preserve">Respuesta modelo</w:t>
      </w:r>
    </w:p>
    <w:p>
      <w:pPr>
        <w:pStyle w:val="Normal"/>
      </w:pPr>
      <w:r>
        <w:t xml:space="preserve">El flujo normal es 20 unidades/mes y el modificado 12. El multiplicador es adimensional. Una tabla define pares e interpolación, por ejemplo efecto de saturación. MAX impide un flujo negativo pero no limita su máximo. Con una única salida y sin entrada simultánea: MIN(MAX(0, flujo_deseado), nivel/Δt). Con varias salidas hay que repartir la disponibilidad total; limitar cada una por separado no basta.</w:t>
      </w:r>
    </w:p>
    <w:p>
      <w:pPr>
        <w:pStyle w:val="Fuente"/>
      </w:pPr>
      <w:r>
        <w:t xml:space="preserve">L-15, pp. 44–45; L-16, pp. 13–20; video UVa de zorros.</w:t>
      </w:r>
    </w:p>
    <w:p>
      <w:pPr>
        <w:pStyle w:val="Heading3"/>
      </w:pPr>
      <w:bookmarkStart w:name="b_solucion_ej_MF25" w:id="3893"/>
      <w:r>
        <w:t xml:space="preserve">Solución 4.2-E8</w:t>
      </w:r>
      <w:bookmarkEnd w:id="3893"/>
    </w:p>
    <w:p>
      <w:pPr>
        <w:pStyle w:val="RecuadroTitulo"/>
      </w:pPr>
      <w:r>
        <w:t xml:space="preserve">Respuesta modelo</w:t>
      </w:r>
    </w:p>
    <w:p>
      <w:pPr>
        <w:pStyle w:val="Normal"/>
      </w:pPr>
      <w:r>
        <w:t xml:space="preserve">Salida material 60/3 = 20 paquetes/día; cambio 30 − 20 = 10 paquetes/día. Ajuste informativo (50 − 20)/3 = 10 unidades de percepción/día. No es una demora fija: la salida depende del contenido. El orden cuenta etapas internas; TA mide tiempo y no se compara dimensionalmente con un número de etapas.</w:t>
      </w:r>
    </w:p>
    <w:p>
      <w:pPr>
        <w:pStyle w:val="Fuente"/>
      </w:pPr>
      <w:r>
        <w:t xml:space="preserve">L-16, pp. 16–20.</w:t>
      </w:r>
    </w:p>
    <w:p>
      <w:pPr>
        <w:pStyle w:val="Heading3"/>
      </w:pPr>
      <w:bookmarkStart w:name="b_solucion_g3d_balance_agua" w:id="3894"/>
      <w:r>
        <w:t xml:space="preserve">Solución 4.2-E9</w:t>
      </w:r>
      <w:bookmarkEnd w:id="3894"/>
    </w:p>
    <w:p>
      <w:pPr>
        <w:pStyle w:val="RecuadroTitulo"/>
      </w:pPr>
      <w:r>
        <w:t xml:space="preserve">Respuesta modelo</w:t>
      </w:r>
    </w:p>
    <w:p>
      <w:pPr>
        <w:pStyle w:val="Normal"/>
      </w:pPr>
      <w:r>
        <w:t xml:space="preserve">El flujo neto es 12 − 15 = −3 litros/minuto. En cuatro minutos cambia −12 litros.</w:t>
      </w:r>
    </w:p>
    <w:p>
      <w:pPr>
        <w:pStyle w:val="Normal"/>
      </w:pPr>
      <w:r>
        <w:t xml:space="preserve">Nivel final = 100 + (12 − 15) × 4 = 88 litros. El nivel disminuye linealmente porque el flujo neto es constante.</w:t>
      </w:r>
    </w:p>
    <w:p>
      <w:pPr>
        <w:pStyle w:val="Fuente"/>
      </w:pPr>
      <w:r>
        <w:t xml:space="preserve">Control numérico: 88.</w:t>
      </w:r>
    </w:p>
    <w:p>
      <w:pPr>
        <w:pStyle w:val="Normal"/>
      </w:pPr>
      <w:r>
        <w:t xml:space="preserve">Comprobación: Calcula entradas menos salidas y multiplica por los cuatro minutos antes de sumarlo al nivel inicial.</w:t>
      </w:r>
    </w:p>
    <w:p>
      <w:pPr>
        <w:pStyle w:val="Heading3"/>
      </w:pPr>
      <w:r>
        <w:t xml:space="preserve">Criterios para una respuesta completa</w:t>
      </w:r>
    </w:p>
    <w:p>
      <w:pPr>
        <w:pStyle w:val="Normal"/>
        <w:numPr>
          <w:ilvl w:val="0"/>
          <w:numId w:val="2"/>
        </w:numPr>
      </w:pPr>
      <w:r>
        <w:t xml:space="preserve">Distingue el nivel en litros de los flujos en litros/minuto.</w:t>
      </w:r>
    </w:p>
    <w:p>
      <w:pPr>
        <w:pStyle w:val="Normal"/>
        <w:numPr>
          <w:ilvl w:val="0"/>
          <w:numId w:val="2"/>
        </w:numPr>
      </w:pPr>
      <w:r>
        <w:t xml:space="preserve">Resta salidas a entradas y multiplica por el tiempo.</w:t>
      </w:r>
    </w:p>
    <w:p>
      <w:pPr>
        <w:pStyle w:val="Normal"/>
        <w:numPr>
          <w:ilvl w:val="0"/>
          <w:numId w:val="2"/>
        </w:numPr>
      </w:pPr>
      <w:r>
        <w:t xml:space="preserve">Obtiene 88 litros e interpreta la disminución lineal.</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9C620A" w:sz="20"/>
              <w:bottom w:val="nil"/>
              <w:right w:val="nil"/>
            </w:tcBorders>
            <w:shd w:fill="FBF3DF" w:val="clear"/>
            <w:tcMar>
              <w:top w:type="dxa" w:w="130"/>
              <w:left w:type="dxa" w:w="180"/>
              <w:bottom w:type="dxa" w:w="130"/>
              <w:right w:type="dxa" w:w="180"/>
            </w:tcMar>
          </w:tcPr>
          <w:p>
            <w:pPr>
              <w:pStyle w:val="RecuadroTitulo"/>
            </w:pPr>
            <w:r>
              <w:rPr>
                <w:b/>
                <w:bCs/>
                <w:color w:val="9C620A"/>
              </w:rPr>
              <w:t xml:space="preserve">Advertencia y límites</w:t>
            </w:r>
          </w:p>
          <w:p>
            <w:pPr>
              <w:pStyle w:val="Recuadro"/>
            </w:pPr>
            <w:r>
              <w:t xml:space="preserve">Restar 3 litros una sola vez o sumar una tasa directamente al nivel.</w:t>
            </w:r>
          </w:p>
        </w:tc>
      </w:tr>
    </w:tbl>
    <w:p>
      <w:pPr>
        <w:pStyle w:val="Fuente"/>
        <w:sectPr>
          <w:headerReference w:type="default" r:id="rId228"/>
          <w:headerReference w:type="first" r:id="rId229"/>
          <w:headerReference w:type="even" r:id="rId230"/>
          <w:footerReference w:type="default" r:id="rId231"/>
          <w:footerReference w:type="first" r:id="rId232"/>
          <w:footerReference w:type="even" r:id="rId233"/>
          <w:type w:val="nextPage"/>
          <w:pgSz w:w="12240" w:h="15840" w:orient="portrait"/>
          <w:pgMar w:top="1361" w:right="1134" w:bottom="1361" w:left="1474" w:header="650" w:footer="680" w:gutter="0"/>
          <w:pgNumType/>
          <w:titlePg/>
          <w:docGrid w:linePitch="360"/>
        </w:sectPr>
      </w:pPr>
      <w:r>
        <w:t xml:space="preserve">Guía de estudio, p. 12; presentación 4a, pp. 18 y 26. Adaptación del ejemplo resuelto.</w:t>
      </w:r>
    </w:p>
    <w:p>
      <w:pPr>
        <w:pStyle w:val="Heading2"/>
      </w:pPr>
      <w:bookmarkStart w:name="b_4_3" w:id="3895"/>
      <w:r>
        <w:t xml:space="preserve">4.3 · De ciclos causales a flujos</w:t>
      </w:r>
      <w:bookmarkEnd w:id="3895"/>
    </w:p>
    <w:p>
      <w:pPr>
        <w:pStyle w:val="Subtitulo"/>
      </w:pPr>
      <w:r>
        <w:t xml:space="preserve">De los diagramas de ciclos causales a los diagramas de flujos y niveles</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En una línea</w:t>
            </w:r>
          </w:p>
          <w:p>
            <w:pPr>
              <w:pStyle w:val="Recuadro"/>
            </w:pPr>
            <w:r>
              <w:t xml:space="preserve">Pasar de un diagrama causal a uno de Forrester, justificar los elementos y escribir sus ecuaciones.</w:t>
            </w:r>
          </w:p>
        </w:tc>
      </w:tr>
    </w:tbl>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Qué te preguntan</w:t>
            </w:r>
          </w:p>
          <w:p>
            <w:pPr>
              <w:pStyle w:val="Recuadro"/>
            </w:pPr>
            <w:r>
              <w:t xml:space="preserve">Pasar de un diagrama causal a uno de Forrester, justificar los elementos y escribir sus ecuaciones.</w:t>
            </w:r>
          </w:p>
        </w:tc>
      </w:tr>
    </w:tbl>
    <w:p>
      <w:pPr>
        <w:pStyle w:val="Normal"/>
      </w:pPr>
      <w:r>
        <w:t xml:space="preserve">El diagrama causal muestra influencias y ciclos. El de flujos y niveles distingue qué se acumula, qué lo modifica y cómo se calcula. Convertir exige clasificar variables y formular ecuaciones, no copiar cada flecha como una tubería.</w:t>
      </w:r>
    </w:p>
    <w:p>
      <w:pPr>
        <w:pStyle w:val="Heading3"/>
      </w:pPr>
      <w:r>
        <w:t xml:space="preserve">Vocabulario clave</w:t>
      </w:r>
    </w:p>
    <w:p>
      <w:pPr>
        <w:pStyle w:val="Normal"/>
      </w:pPr>
      <w:r>
        <w:t xml:space="preserve">frontera · Forrester · acumulación · tubería · información · condición inicial</w:t>
      </w:r>
    </w:p>
    <w:p>
      <w:pPr>
        <w:pStyle w:val="Fuente"/>
      </w:pPr>
      <w:r>
        <w:t xml:space="preserve">Recorrido: desarrollo conceptual → presentaciones → explicación en clase → errores y fuentes → práctica → solucionario.</w:t>
      </w:r>
    </w:p>
    <w:p>
      <w:pPr>
        <w:pStyle w:val="Heading3"/>
      </w:pPr>
      <w:bookmarkStart w:name="b_lectura_f1" w:id="3896"/>
      <w:r>
        <w:t xml:space="preserve">4.3.1 Qué aporta cada representación</w:t>
      </w:r>
      <w:bookmarkEnd w:id="3896"/>
    </w:p>
    <w:p>
      <w:pPr>
        <w:pStyle w:val="Normal"/>
      </w:pPr>
      <w:r>
        <w:t xml:space="preserve">El diagrama causal muestra variables, influencias, polaridades y ciclos. El diagrama de Forrester distingue explícitamente </w:t>
      </w:r>
      <w:r>
        <w:rPr>
          <w:b/>
          <w:bCs/>
        </w:rPr>
        <w:t xml:space="preserve">qué se acumula, qué lo modifica y qué información determina esos cambios</w:t>
      </w:r>
      <w:r>
        <w:t xml:space="preserve">. Con ecuaciones, parámetros, valores iniciales y tiempo de simulación permite generar trayectorias. Un diagrama causal por sí solo no determina cantidades exactas ni una curva única. [A4:p9–18; L15:p35–46; L16:p22–26]</w:t>
      </w:r>
    </w:p>
    <w:p>
      <w:pPr>
        <w:pStyle w:val="Normal"/>
      </w:pPr>
      <w:r>
        <w:t xml:space="preserve">Símbolos convencionales:</w:t>
      </w:r>
    </w:p>
    <w:p>
      <w:pPr>
        <w:pStyle w:val="Codigo"/>
      </w:pPr>
      <w:r>
        <w:t xml:space="preserve">(nube fuente) ==[válvula: Entrada]==&gt; [ NIVEL ] ==[válvula: Salida]==&gt; (nube sumidero)</w:t>
      </w:r>
    </w:p>
    <w:p>
      <w:pPr>
        <w:pStyle w:val="Codigo"/>
      </w:pPr>
      <w:r>
        <w:t xml:space="preserve">                                            :</w:t>
      </w:r>
    </w:p>
    <w:p>
      <w:pPr>
        <w:pStyle w:val="Codigo"/>
      </w:pPr>
      <w:r>
        <w:t xml:space="preserve">                                            : información</w:t>
      </w:r>
    </w:p>
    <w:p>
      <w:pPr>
        <w:pStyle w:val="Codigo"/>
      </w:pPr>
      <w:r>
        <w:t xml:space="preserve">                                            v</w:t>
      </w:r>
    </w:p>
    <w:p>
      <w:pPr>
        <w:pStyle w:val="Codigo"/>
      </w:pPr>
      <w:r>
        <w:t xml:space="preserve">                                      (Auxiliar)</w:t>
      </w:r>
    </w:p>
    <w:p>
      <w:pPr>
        <w:pStyle w:val="Codigo"/>
      </w:pPr>
      <w:r>
        <w:t xml:space="preserve">                                            :</w:t>
      </w:r>
    </w:p>
    <w:p>
      <w:pPr>
        <w:pStyle w:val="Codigo"/>
      </w:pPr>
      <w:r>
        <w:t xml:space="preserve">                                            v</w:t>
      </w:r>
    </w:p>
    <w:p>
      <w:pPr>
        <w:pStyle w:val="Codigo"/>
      </w:pPr>
      <w:r>
        <w:t xml:space="preserve">                                      cálculo de un flujo</w:t>
      </w:r>
    </w:p>
    <w:p>
      <w:pPr>
        <w:pStyle w:val="Normal"/>
      </w:pPr>
      <w:r>
        <w:t xml:space="preserve">Los corchetes del centro representan el rectángulo del nivel. Las tuberías dobles y sus válvulas representan transporte o modificación de la cantidad acumulada. Las conexiones punteadas representan información. Los círculos para auxiliares son convencionales: en Vensim varias variables pueden aparecer sólo como nombres; una válvula puede tener una etiqueta circular. </w:t>
      </w:r>
      <w:r>
        <w:rPr>
          <w:b/>
          <w:bCs/>
        </w:rPr>
        <w:t xml:space="preserve">No basta reconocer un círculo para concluir que es auxiliar.</w:t>
      </w:r>
    </w:p>
    <w:p>
      <w:pPr>
        <w:pStyle w:val="Normal"/>
      </w:pPr>
      <w:r>
        <w:t xml:space="preserve">Ejemplo completo del depósito trabajado:</w:t>
      </w:r>
    </w:p>
    <w:p>
      <w:pPr>
        <w:pStyle w:val="Codigo"/>
      </w:pPr>
      <w:r>
        <w:t xml:space="preserve">Pozo == Bombeo ==&gt; [ AGUA ALMACENADA ] == Riego ==&gt; Cultivo</w:t>
      </w:r>
    </w:p>
    <w:p>
      <w:pPr>
        <w:pStyle w:val="Codigo"/>
      </w:pPr>
      <w:r>
        <w:t xml:space="preserve">                         :</w:t>
      </w:r>
    </w:p>
    <w:p>
      <w:pPr>
        <w:pStyle w:val="Codigo"/>
      </w:pPr>
      <w:r>
        <w:t xml:space="preserve">                         v</w:t>
      </w:r>
    </w:p>
    <w:p>
      <w:pPr>
        <w:pStyle w:val="Codigo"/>
      </w:pPr>
      <w:r>
        <w:t xml:space="preserve">Capacidad .........&gt; Espacio libre</w:t>
      </w:r>
    </w:p>
    <w:p>
      <w:pPr>
        <w:pStyle w:val="Normal"/>
      </w:pPr>
      <w:r>
        <w:t xml:space="preserve">El texto equivalente es: el bombeo añade agua al depósito y el riego la retira. La capacidad y el agua almacenada permiten calcular el espacio libre. En el ejercicio original, bombeo = 10 y riego = 6 litros/minuto son constantes: el espacio libre no regula esos flujos. </w:t>
      </w:r>
      <w:r>
        <w:rPr>
          <w:b/>
          <w:bCs/>
        </w:rPr>
        <w:t xml:space="preserve">En una variante distinta</w:t>
      </w:r>
      <w:r>
        <w:t xml:space="preserve"> podría conectarse espacio libre con una decisión de bombeo, pero habría que declarar esa regla; no se añade silenciosamente al caso original. Si se detienen todos los flujos, la información puede cambiar, pero el agua no aparece ni desaparece.</w:t>
      </w:r>
    </w:p>
    <w:p>
      <w:pPr>
        <w:pStyle w:val="Heading3"/>
      </w:pPr>
      <w:bookmarkStart w:name="b_lectura_f2" w:id="3897"/>
      <w:r>
        <w:t xml:space="preserve">4.3.2 Procedimiento de conversión</w:t>
      </w:r>
      <w:bookmarkEnd w:id="3897"/>
    </w:p>
    <w:p>
      <w:pPr>
        <w:pStyle w:val="Normal"/>
      </w:pPr>
      <w:r>
        <w:t xml:space="preserve">Antes de convertir, conviene revisar el DCC con los diez lineamientos de Kim, como repaso necesario del segundo parcial: (1) nombres de variables expresados como sustantivos; (2) cantidades o atributos cuyo aumento y disminución tengan sentido; (3) formulación positiva y clara de los nombres; (4) consecuencias previstas y no intencionadas; (5) objetivo explícito en los balances cuando corresponde; (6) estado real separado del percibido; (7) agrupar provisionalmente efectos semejantes para no perder el ciclo principal; (8) distinguir consecuencias de corto y largo plazo; (9) introducir términos intermedios si una conexión necesita demasiada explicación; y (10) contar negativos y verificar el resultado recorriendo la historia. Esos nombres no deben incorporar el cambio que después se quiere analizar: «costos» resulta más claro que «incremento de costos». La regla de paridad sólo se aplica a un recorrido cerrado, no a toda la red mezclada. [L9:p1]</w:t>
      </w:r>
    </w:p>
    <w:p>
      <w:pPr>
        <w:pStyle w:val="Normal"/>
      </w:pPr>
      <w:r>
        <w:t xml:space="preserve">1. Delimitar el propósito y qué parte del sistema se representará.</w:t>
      </w:r>
    </w:p>
    <w:p>
      <w:pPr>
        <w:pStyle w:val="Normal"/>
      </w:pPr>
      <w:r>
        <w:t xml:space="preserve">2. Identificar cantidades que acumulan historia y asignarles nombre, unidad y valor inicial.</w:t>
      </w:r>
    </w:p>
    <w:p>
      <w:pPr>
        <w:pStyle w:val="Normal"/>
      </w:pPr>
      <w:r>
        <w:t xml:space="preserve">3. Identificar procesos que realmente añaden o retiran contenido, con unidades del nivel divididas entre tiempo.</w:t>
      </w:r>
    </w:p>
    <w:p>
      <w:pPr>
        <w:pStyle w:val="Normal"/>
      </w:pPr>
      <w:r>
        <w:t xml:space="preserve">4. Dibujar sus orígenes y destinos. Un mismo traslado entre dos niveles debe salir de uno y entrar en el otro.</w:t>
      </w:r>
    </w:p>
    <w:p>
      <w:pPr>
        <w:pStyle w:val="Normal"/>
      </w:pPr>
      <w:r>
        <w:t xml:space="preserve">5. Clasificar cálculos intermedios, parámetros y entradas exógenas.</w:t>
      </w:r>
    </w:p>
    <w:p>
      <w:pPr>
        <w:pStyle w:val="Normal"/>
      </w:pPr>
      <w:r>
        <w:t xml:space="preserve">6. Añadir canales de información para todas las dependencias de las ecuaciones.</w:t>
      </w:r>
    </w:p>
    <w:p>
      <w:pPr>
        <w:pStyle w:val="Normal"/>
      </w:pPr>
      <w:r>
        <w:t xml:space="preserve">7. Escribir las ecuaciones y verificar unidades, signos, conservación y comportamiento esperado.</w:t>
      </w:r>
    </w:p>
    <w:p>
      <w:pPr>
        <w:pStyle w:val="Normal"/>
      </w:pPr>
      <w:r>
        <w:t xml:space="preserve">La regla de A4:p18 dice que las influencias que llegan al nivel corresponden a flujos y que su polaridad determina entrada o salida. Debe aplicarse a los </w:t>
      </w:r>
      <w:r>
        <w:rPr>
          <w:b/>
          <w:bCs/>
        </w:rPr>
        <w:t xml:space="preserve">cambios de acumulación ya identificados</w:t>
      </w:r>
      <w:r>
        <w:t xml:space="preserve">. Una flecha causal genérica como «publicidad → clientes» puede necesitar explicitar el flujo «captación de clientes»; no convierte automáticamente al presupuesto de publicidad en personas/mes. Una flecha que sale del nivel hacia el cálculo de un flujo proporciona información: no es por ello una salida de material. [A4:p18–22,32; video Puente:01:22–09:41]</w:t>
      </w:r>
    </w:p>
    <w:p>
      <w:pPr>
        <w:pStyle w:val="Heading3"/>
      </w:pPr>
      <w:bookmarkStart w:name="b_lectura_f3" w:id="3898"/>
      <w:r>
        <w:t xml:space="preserve">4.3.3 Los casos de conversión del material</w:t>
      </w:r>
      <w:bookmarkEnd w:id="3898"/>
    </w:p>
    <w:p>
      <w:pPr>
        <w:pStyle w:val="Normal"/>
      </w:pPr>
      <w:r>
        <w:rPr>
          <w:b/>
          <w:bCs/>
        </w:rPr>
        <w:t xml:space="preserve">X, Y, Z.</w:t>
      </w:r>
      <w:r>
        <w:t xml:space="preserve"> Si el contexto especifica que Y es un nivel y X/Z son sus tasas de aumento/disminución, el diagrama es </w:t>
      </w:r>
      <w:r>
        <w:rPr>
          <w:rFonts w:ascii="Source Code Pro" w:cs="Source Code Pro" w:eastAsia="Source Code Pro" w:hAnsi="Source Code Pro"/>
          <w:sz w:val="18"/>
          <w:szCs w:val="18"/>
        </w:rPr>
        <w:t xml:space="preserve">nube → X → [Y] → Z → nube</w:t>
      </w:r>
      <w:r>
        <w:t xml:space="preserve">; </w:t>
      </w:r>
      <w:r>
        <w:rPr>
          <w:rFonts w:ascii="Source Code Pro" w:cs="Source Code Pro" w:eastAsia="Source Code Pro" w:hAnsi="Source Code Pro"/>
          <w:sz w:val="18"/>
          <w:szCs w:val="18"/>
        </w:rPr>
        <w:t xml:space="preserve">dY/dt = X − Z</w:t>
      </w:r>
      <w:r>
        <w:t xml:space="preserve">. Si Y se mide en litros, X/Z se miden en litros/tiempo. La regla es relativa: si la cantidad acumulada tuviera unidades kg/s, su tasa de cambio tendría kg/s². No se clasifica sólo por ver una barra de división en la unidad. [A4:p18]</w:t>
      </w:r>
    </w:p>
    <w:p>
      <w:pPr>
        <w:pStyle w:val="Normal"/>
      </w:pPr>
      <w:r>
        <w:rPr>
          <w:b/>
          <w:bCs/>
        </w:rPr>
        <w:t xml:space="preserve">Clientes potenciales y actuales.</w:t>
      </w:r>
      <w:r>
        <w:t xml:space="preserve"> </w:t>
      </w:r>
      <w:r>
        <w:rPr>
          <w:rFonts w:ascii="Source Code Pro" w:cs="Source Code Pro" w:eastAsia="Source Code Pro" w:hAnsi="Source Code Pro"/>
          <w:sz w:val="18"/>
          <w:szCs w:val="18"/>
        </w:rPr>
        <w:t xml:space="preserve">[Potenciales] → Ventas → [Actuales]</w:t>
      </w:r>
      <w:r>
        <w:t xml:space="preserve">. Aquí «ventas» significa clientes convertidos por unidad de tiempo, no dinero. Las ventas disminuyen potenciales y aumentan actuales. Si no hay otras entradas/salidas, la suma de ambos niveles se conserva. La información de potenciales determina ventas; su agotamiento forma un balance. Las ecuaciones de nivel son </w:t>
      </w:r>
      <w:r>
        <w:rPr>
          <w:rFonts w:ascii="Source Code Pro" w:cs="Source Code Pro" w:eastAsia="Source Code Pro" w:hAnsi="Source Code Pro"/>
          <w:sz w:val="18"/>
          <w:szCs w:val="18"/>
        </w:rPr>
        <w:t xml:space="preserve">dPotenciales/dt = −Ventas</w:t>
      </w:r>
      <w:r>
        <w:t xml:space="preserve"> y </w:t>
      </w:r>
      <w:r>
        <w:rPr>
          <w:rFonts w:ascii="Source Code Pro" w:cs="Source Code Pro" w:eastAsia="Source Code Pro" w:hAnsi="Source Code Pro"/>
          <w:sz w:val="18"/>
          <w:szCs w:val="18"/>
        </w:rPr>
        <w:t xml:space="preserve">dActuales/dt = Ventas</w:t>
      </w:r>
      <w:r>
        <w:t xml:space="preserve">. La diapositiva no proporciona una fórmula numérica para ventas. [A4:p18]</w:t>
      </w:r>
    </w:p>
    <w:p>
      <w:pPr>
        <w:pStyle w:val="Normal"/>
      </w:pPr>
      <w:r>
        <w:rPr>
          <w:b/>
          <w:bCs/>
        </w:rPr>
        <w:t xml:space="preserve">Capacidad de planta.</w:t>
      </w:r>
      <w:r>
        <w:t xml:space="preserve"> El nivel es capacidad; el flujo de entrada es ajustes de capacidad; el faltante es una auxiliar determinada por demanda y capacidad. La demanda es exógena y puede suponerse constante en un escenario. </w:t>
      </w:r>
      <w:r>
        <w:rPr>
          <w:rFonts w:ascii="Source Code Pro" w:cs="Source Code Pro" w:eastAsia="Source Code Pro" w:hAnsi="Source Code Pro"/>
          <w:sz w:val="18"/>
          <w:szCs w:val="18"/>
        </w:rPr>
        <w:t xml:space="preserve">Capacidad →(−) Faltante →(+) Ajustes →(+) Capacidad</w:t>
      </w:r>
      <w:r>
        <w:t xml:space="preserve"> es balance. Si se midiera capacidad en productos/día, los ajustes tendrían unidades de productos/día por mes cuando el tiempo de ajuste se mide en meses. No existe contradicción: se está acumulando capacidad productiva. [A4:p19–20]</w:t>
      </w:r>
    </w:p>
    <w:p>
      <w:pPr>
        <w:pStyle w:val="Normal"/>
      </w:pPr>
      <w:r>
        <w:rPr>
          <w:b/>
          <w:bCs/>
        </w:rPr>
        <w:t xml:space="preserve">Capital e intereses.</w:t>
      </w:r>
      <w:r>
        <w:t xml:space="preserve"> El capital es nivel, el interés generado es flujo de entrada y la tasa porcentual es parámetro. El capital informa el cálculo del interés; el interés incrementa el capital. Hay refuerzo: dos relaciones positivas. La nube es el exterior del balance contable representado, no una afirmación de que el dinero se produce sin origen económico. [A4:p21]</w:t>
      </w:r>
    </w:p>
    <w:p>
      <w:pPr>
        <w:pStyle w:val="Normal"/>
      </w:pPr>
      <w:r>
        <w:rPr>
          <w:b/>
          <w:bCs/>
        </w:rPr>
        <w:t xml:space="preserve">Huevos y gallinas.</w:t>
      </w:r>
      <w:r>
        <w:t xml:space="preserve"> </w:t>
      </w:r>
      <w:r>
        <w:rPr>
          <w:rFonts w:ascii="Source Code Pro" w:cs="Source Code Pro" w:eastAsia="Source Code Pro" w:hAnsi="Source Code Pro"/>
          <w:sz w:val="18"/>
          <w:szCs w:val="18"/>
        </w:rPr>
        <w:t xml:space="preserve">nube → Puesta → [Huevos] → Eclosión → [Gallinas] → Muertes → nube</w:t>
      </w:r>
      <w:r>
        <w:t xml:space="preserve">. Puesta, eclosión y muertes son flujos. Cruces de carretera es auxiliar que afecta a muertes y depende de gallinas. El ciclo gallinas–puesta–huevos–eclosión–gallinas es de refuerzo; huevos–eclosión–huevos es balance; gallinas–cruces–muertes–gallinas es balance. La eclosión es una sola transición compartida, salida de huevos y entrada de aves. Se supone una correspondencia de un huevo a un ave; si se necesitan unidades distintas debe explicitarse esa conversión. Las ecuaciones de nivel son </w:t>
      </w:r>
      <w:r>
        <w:rPr>
          <w:rFonts w:ascii="Source Code Pro" w:cs="Source Code Pro" w:eastAsia="Source Code Pro" w:hAnsi="Source Code Pro"/>
          <w:sz w:val="18"/>
          <w:szCs w:val="18"/>
        </w:rPr>
        <w:t xml:space="preserve">dHuevos/dt = Puesta − Eclosión</w:t>
      </w:r>
      <w:r>
        <w:t xml:space="preserve"> y </w:t>
      </w:r>
      <w:r>
        <w:rPr>
          <w:rFonts w:ascii="Source Code Pro" w:cs="Source Code Pro" w:eastAsia="Source Code Pro" w:hAnsi="Source Code Pro"/>
          <w:sz w:val="18"/>
          <w:szCs w:val="18"/>
        </w:rPr>
        <w:t xml:space="preserve">dGallinas/dt = Eclosión − Muertes</w:t>
      </w:r>
      <w:r>
        <w:t xml:space="preserve">; las láminas no fijan tasas numéricas. [A4:p22,31–32; video Puente:17:19–23:02]</w:t>
      </w:r>
    </w:p>
    <w:p>
      <w:pPr>
        <w:pStyle w:val="Normal"/>
      </w:pPr>
      <w:r>
        <w:rPr>
          <w:b/>
          <w:bCs/>
        </w:rPr>
        <w:t xml:space="preserve">Epidemia.</w:t>
      </w:r>
      <w:r>
        <w:t xml:space="preserve"> En la versión específica del curso, población infectada es el único nivel; contagios es flujo de entrada; población vulnerable es auxiliar, calculada como total menos infectados. No hay recuperación ni mortalidad en ese modelo. La explicación detallada y sus curvas aparecen en 4.5.1. [A4:p10–13]</w:t>
      </w:r>
    </w:p>
    <w:p>
      <w:pPr>
        <w:pStyle w:val="Heading3"/>
      </w:pPr>
      <w:bookmarkStart w:name="b_lectura_f4" w:id="3899"/>
      <w:r>
        <w:t xml:space="preserve">4.3.4 Comprobaciones que se pueden pedir por escrito</w:t>
      </w:r>
      <w:bookmarkEnd w:id="3899"/>
    </w:p>
    <w:p>
      <w:pPr>
        <w:pStyle w:val="Normal"/>
      </w:pPr>
      <w:r>
        <w:t xml:space="preserve">Explicar por qué un elemento es nivel vale más que decir sólo su letra: «es nivel porque acumula las entradas y salidas y necesita un valor inicial». Para un flujo: «es personas/día y modifica directamente la población». Para una auxiliar: «se calcula en cada instante a partir de otras variables y no tiene integral propia».</w:t>
      </w:r>
    </w:p>
    <w:p>
      <w:pPr>
        <w:pStyle w:val="Normal"/>
      </w:pPr>
      <w:r>
        <w:t xml:space="preserve">Una dependencia que aparece en la ecuación debe tener su conexión de información. En la clase 19 se corrige la falta de conexión desde población infectada hacia tasa de contagio; sin ella, el dibujo no representa todas las dependencias usadas en la ecuación. [C19:00:55:43–00:57:31]</w:t>
      </w:r>
    </w:p>
    <w:p>
      <w:pPr>
        <w:pStyle w:val="Normal"/>
      </w:pPr>
      <w:r>
        <w:t xml:space="preserve">El nivel también puede recibir una referencia para su </w:t>
      </w:r>
      <w:r>
        <w:rPr>
          <w:b/>
          <w:bCs/>
        </w:rPr>
        <w:t xml:space="preserve">valor inicial</w:t>
      </w:r>
      <w:r>
        <w:t xml:space="preserve">. Esa conexión de inicialización no es un flujo recurrente. Una acumulación que durante un escenario no cambia sigue siendo conceptualmente nivel si representa memoria; no se reclasifica automáticamente como parámetro sólo porque sus entradas y salidas estén equilibradas.</w:t>
      </w:r>
    </w:p>
    <w:p>
      <w:pPr>
        <w:pStyle w:val="Normal"/>
      </w:pPr>
      <w:r>
        <w:rPr>
          <w:b/>
          <w:bCs/>
        </w:rPr>
        <w:t xml:space="preserve">Antes de convertir: diez lineamientos de Kim para dibujar DCC (L-9).</w:t>
      </w:r>
      <w:r>
        <w:t xml:space="preserve"> Son distintos de los siete pasos específicos de cada arquetipo.</w:t>
      </w:r>
    </w:p>
    <w:p>
      <w:pPr>
        <w:pStyle w:val="Normal"/>
      </w:pPr>
      <w:r>
        <w:t xml:space="preserve">1. </w:t>
      </w:r>
      <w:r>
        <w:rPr>
          <w:b/>
          <w:bCs/>
        </w:rPr>
        <w:t xml:space="preserve">Sustantivos, no verbos.</w:t>
      </w:r>
      <w:r>
        <w:t xml:space="preserve"> Use sustantivos al nombrar una variable y evite verbos y frases de acción: las acciones ya están implícitas en las flechas. «Costos» es mejor que «Incremento en costos»; un decremento en «Incremento en costos» resulta confuso.</w:t>
      </w:r>
    </w:p>
    <w:p>
      <w:pPr>
        <w:pStyle w:val="Normal"/>
      </w:pPr>
      <w:r>
        <w:t xml:space="preserve">2. </w:t>
      </w:r>
      <w:r>
        <w:rPr>
          <w:b/>
          <w:bCs/>
        </w:rPr>
        <w:t xml:space="preserve">Cantidades que varían.</w:t>
      </w:r>
      <w:r>
        <w:t xml:space="preserve"> Use variables que representen cantidades que puedan variar en el tiempo. No tiene sentido decir que el «Estado de ánimo» se incrementa o decrece; «Felicidad» sí puede variar.</w:t>
      </w:r>
    </w:p>
    <w:p>
      <w:pPr>
        <w:pStyle w:val="Normal"/>
      </w:pPr>
      <w:r>
        <w:t xml:space="preserve">3. </w:t>
      </w:r>
      <w:r>
        <w:rPr>
          <w:b/>
          <w:bCs/>
        </w:rPr>
        <w:t xml:space="preserve">El sentido positivo.</w:t>
      </w:r>
      <w:r>
        <w:t xml:space="preserve"> Si necesita incluir verbos, use el sentido positivo de la variable. «Crecimiento» que sube o baja es más claro que un incremento o una disminución en «Contracción».</w:t>
      </w:r>
    </w:p>
    <w:p>
      <w:pPr>
        <w:pStyle w:val="Normal"/>
      </w:pPr>
      <w:r>
        <w:t xml:space="preserve">4. </w:t>
      </w:r>
      <w:r>
        <w:rPr>
          <w:b/>
          <w:bCs/>
        </w:rPr>
        <w:t xml:space="preserve">Consecuencias no intencionadas.</w:t>
      </w:r>
      <w:r>
        <w:t xml:space="preserve"> Piense tanto en las consecuencias no intencionadas como en los resultados esperados de cada curso de acción que incluya. Más «Presión para producir» puede subir la «Producción», pero también subir el «Estrés» y bajar la «Calidad».</w:t>
      </w:r>
    </w:p>
    <w:p>
      <w:pPr>
        <w:pStyle w:val="Normal"/>
      </w:pPr>
      <w:r>
        <w:t xml:space="preserve">5. </w:t>
      </w:r>
      <w:r>
        <w:rPr>
          <w:b/>
          <w:bCs/>
        </w:rPr>
        <w:t xml:space="preserve">El objetivo explícito.</w:t>
      </w:r>
      <w:r>
        <w:t xml:space="preserve"> Todos los ciclos de balance son procesos que buscan un objetivo: haga explícitos los objetivos que controlan el ciclo. Con «Calidad deseada» en el diagrama se ve que la «Diferencia en calidad» es la que controla las acciones de mejora.</w:t>
      </w:r>
    </w:p>
    <w:p>
      <w:pPr>
        <w:pStyle w:val="Normal"/>
      </w:pPr>
      <w:r>
        <w:t xml:space="preserve">6. </w:t>
      </w:r>
      <w:r>
        <w:rPr>
          <w:b/>
          <w:bCs/>
        </w:rPr>
        <w:t xml:space="preserve">Real y percibido.</w:t>
      </w:r>
      <w:r>
        <w:t xml:space="preserve"> Distinga entre los estados reales y los percibidos: las percepciones cambian más lentamente que la realidad, y suponer que la percepción es la realidad puede llevar a resultados no deseados. «Calidad» y «Calidad percibida» son dos variables, con una demora entre ellas.</w:t>
      </w:r>
    </w:p>
    <w:p>
      <w:pPr>
        <w:pStyle w:val="Normal"/>
      </w:pPr>
      <w:r>
        <w:t xml:space="preserve">7. </w:t>
      </w:r>
      <w:r>
        <w:rPr>
          <w:b/>
          <w:bCs/>
        </w:rPr>
        <w:t xml:space="preserve">Agregar mientras se termina.</w:t>
      </w:r>
      <w:r>
        <w:t xml:space="preserve"> Si una variable tiene múltiples consecuencias, empiece por agregarlas en un solo término mientras termina el resto del ciclo. «Estrategias relajantes» resume ejercicio, meditación o alcohol como respuestas al «Estrés».</w:t>
      </w:r>
    </w:p>
    <w:p>
      <w:pPr>
        <w:pStyle w:val="Normal"/>
      </w:pPr>
      <w:r>
        <w:t xml:space="preserve">8. </w:t>
      </w:r>
      <w:r>
        <w:rPr>
          <w:b/>
          <w:bCs/>
        </w:rPr>
        <w:t xml:space="preserve">Corto y largo plazo.</w:t>
      </w:r>
      <w:r>
        <w:t xml:space="preserve"> Las acciones casi siempre tienen consecuencias de corto y de largo plazo: dibuje ciclos más grandes para los procesos más lentos. El ciclo B1 «Estrés → Alcohol» alivia a corto plazo; el ciclo R2, más grande, muestra que a largo plazo el alcohol incrementa el estrés.</w:t>
      </w:r>
    </w:p>
    <w:p>
      <w:pPr>
        <w:pStyle w:val="Normal"/>
      </w:pPr>
      <w:r>
        <w:t xml:space="preserve">9. </w:t>
      </w:r>
      <w:r>
        <w:rPr>
          <w:b/>
          <w:bCs/>
        </w:rPr>
        <w:t xml:space="preserve">Un término intermedio.</w:t>
      </w:r>
      <w:r>
        <w:t xml:space="preserve"> Si una liga entre dos términos requiere muchas explicaciones para quedar clara, redefina las variables o inserte un término intermedio. La relación entre «Demanda» y «Calidad» es más obvia con «Presión para producir» entre ellas.</w:t>
      </w:r>
    </w:p>
    <w:p>
      <w:pPr>
        <w:pStyle w:val="Normal"/>
      </w:pPr>
      <w:r>
        <w:t xml:space="preserve">10. </w:t>
      </w:r>
      <w:r>
        <w:rPr>
          <w:b/>
          <w:bCs/>
        </w:rPr>
        <w:t xml:space="preserve">Contar los negativos y releer.</w:t>
      </w:r>
      <w:r>
        <w:t xml:space="preserve"> Para saber si un ciclo es de balance o de refuerzo cuente los signos negativos: un número impar indica balance; par o ninguno, refuerzo. Después de asignar la letra, relea el ciclo varias veces. El banco canónico de clase tiene cuatro negativas: fallas → confianza → retiros → solvencia → fallas, y es R. La variante editorial de tres variables del laboratorio tiene dos negativas y también es R.</w:t>
      </w:r>
    </w:p>
    <w:p>
      <w:pPr>
        <w:pStyle w:val="Heading3"/>
      </w:pPr>
      <w:r>
        <w:t xml:space="preserve">Proyecto: alivio aparente</w:t>
      </w:r>
    </w:p>
    <w:p>
      <w:pPr>
        <w:pStyle w:val="Normal"/>
      </w:pPr>
      <w:r>
        <w:t xml:space="preserve">Dificultades → tareas menos importantes → progreso en tareas → percepción de progreso → dificultades tiene signos +,+,+,−: es balance. El alivio es aparente: la historia repite la evasión cada día y llega al plazo con trabajo crítico pendiente. Un diagrama distinto es admisible si sus nombres y signos conservan ambos comportamientos: alivio aparente y agravamiento real.</w:t>
      </w:r>
    </w:p>
    <w:p>
      <w:pPr>
        <w:pStyle w:val="Fuente"/>
      </w:pPr>
      <w:r>
        <w:t xml:space="preserve">Clase 20 · 00:17:05 · 00:21:46 · 00:24:08 · 00:26:43 · láminas c20-02 y c20-03</w:t>
      </w:r>
    </w:p>
    <w:p>
      <w:pPr>
        <w:pStyle w:val="Heading3"/>
      </w:pPr>
      <w:r>
        <w:t xml:space="preserve">Proyecto: pendientes difíciles</w:t>
      </w:r>
    </w:p>
    <w:p>
      <w:pPr>
        <w:pStyle w:val="Normal"/>
      </w:pPr>
      <w:r>
        <w:t xml:space="preserve">R2 conserva el trabajo difícil sin completar: al desviar esfuerzo hacia tareas menores crecen los pendientes difíciles; éstos agravan las dificultades y alientan más evasión. Las tres relaciones positivas cierran un refuerzo del atraso. Fatiga y horas extra corresponden a otra historia.</w:t>
      </w:r>
    </w:p>
    <w:p>
      <w:pPr>
        <w:pStyle w:val="Fuente"/>
      </w:pPr>
      <w:r>
        <w:t xml:space="preserve">Clase 20 · 00:30:04 · lámina c20-03</w:t>
      </w:r>
    </w:p>
    <w:p>
      <w:pPr>
        <w:pStyle w:val="Heading3"/>
      </w:pPr>
      <w:r>
        <w:t xml:space="preserve">Proyecto: tiempo disponible</w:t>
      </w:r>
    </w:p>
    <w:p>
      <w:pPr>
        <w:pStyle w:val="Normal"/>
      </w:pPr>
      <w:r>
        <w:t xml:space="preserve">Más tareas menores consumen tiempo; menos tiempo disponible eleva las dificultades, que impulsan más tareas menores. Dos relaciones negativas producen paridad positiva: refuerzo, aunque su efecto sea perjudicial. El signo no expresa conveniencia.</w:t>
      </w:r>
    </w:p>
    <w:p>
      <w:pPr>
        <w:pStyle w:val="Fuente"/>
      </w:pPr>
      <w:r>
        <w:t xml:space="preserve">Clase 20 · 00:31:53 · lámina c20-03</w:t>
      </w:r>
    </w:p>
    <w:p>
      <w:pPr>
        <w:pStyle w:val="Heading3"/>
      </w:pPr>
      <w:r>
        <w:t xml:space="preserve">Proyecto: información y recursos</w:t>
      </w:r>
    </w:p>
    <w:p>
      <w:pPr>
        <w:pStyle w:val="Normal"/>
      </w:pPr>
      <w:r>
        <w:t xml:space="preserve">Dificultades → tareas menores (+) → información y recursos (−) → dificultades (−) es R4. Las dos negativas forman refuerzo. La revisión causal precede a elegir niveles, flujos y ecuaciones; sin cantidades, tasas y condiciones iniciales no se calcula ni se atribuye una simulación al profesor.</w:t>
      </w:r>
    </w:p>
    <w:p>
      <w:pPr>
        <w:pStyle w:val="Fuente"/>
      </w:pPr>
      <w:r>
        <w:t xml:space="preserve">Clase 20 · 00:31:53 · lámina c20-03</w:t>
      </w:r>
    </w:p>
    <w:p>
      <w:pPr>
        <w:pStyle w:val="Heading3"/>
      </w:pPr>
      <w:r>
        <w:t xml:space="preserve">Clasificar antes de dibujar</w:t>
      </w:r>
    </w:p>
    <w:p>
      <w:pPr>
        <w:pStyle w:val="Normal"/>
      </w:pPr>
      <w:r>
        <w:t xml:space="preserve">Si detuvieras el tiempo, el nivel seguiría existiendo: infectados, libros pendientes, saldo o casas con teléfono.</w:t>
      </w:r>
    </w:p>
    <w:p>
      <w:pPr>
        <w:pStyle w:val="Normal"/>
      </w:pPr>
      <w:r>
        <w:t xml:space="preserve">Los flujos cambian esos niveles por unidad de tiempo: contagios, compras, lectura, intereses e instalaciones.</w:t>
      </w:r>
    </w:p>
    <w:p>
      <w:pPr>
        <w:pStyle w:val="Normal"/>
      </w:pPr>
      <w:r>
        <w:t xml:space="preserve">La brecha, los vulnerables y las casas sin teléfono pueden ser auxiliares dentro de la frontera elegida; su clasificación depende del modelo.</w:t>
      </w:r>
    </w:p>
    <w:p>
      <w:pPr>
        <w:pStyle w:val="Fuente"/>
      </w:pPr>
      <w:r>
        <w:t xml:space="preserve">Guía de estudio · edición 20/10/2026 · pp. 12–14</w:t>
      </w:r>
    </w:p>
    <w:p>
      <w:pPr>
        <w:pStyle w:val="Heading3"/>
      </w:pPr>
      <w:r>
        <w:t xml:space="preserve">Conservar las dependencias</w:t>
      </w:r>
    </w:p>
    <w:p>
      <w:pPr>
        <w:pStyle w:val="Normal"/>
      </w:pPr>
      <w:r>
        <w:t xml:space="preserve">Dibuja tuberías sólo para los flujos de la magnitud que se acumula. La influencia de una variable sobre una ecuación se representa con información.</w:t>
      </w:r>
    </w:p>
    <w:p>
      <w:pPr>
        <w:pStyle w:val="Normal"/>
      </w:pPr>
      <w:r>
        <w:t xml:space="preserve">Cada variable usada para calcular un flujo o un auxiliar debe estar disponible y conectada. La ecuación y el diagrama deben describir las mismas dependencias.</w:t>
      </w:r>
    </w:p>
    <w:p>
      <w:pPr>
        <w:pStyle w:val="Normal"/>
      </w:pPr>
      <w:r>
        <w:t xml:space="preserve">Declara nubes, parámetros, condiciones iniciales y unidades. No conectes mediante una misma tubería acumulaciones de unidades incompatibles.</w:t>
      </w:r>
    </w:p>
    <w:p>
      <w:pPr>
        <w:pStyle w:val="Fuente"/>
      </w:pPr>
      <w:r>
        <w:t xml:space="preserve">Guía de estudio · edición 20/10/2026 · pp. 12–14</w:t>
      </w:r>
    </w:p>
    <w:p>
      <w:pPr>
        <w:pStyle w:val="Heading3"/>
      </w:pPr>
      <w:r>
        <w:t xml:space="preserve">Ejemplo: teléfonos</w:t>
      </w:r>
    </w:p>
    <w:p>
      <w:pPr>
        <w:pStyle w:val="Normal"/>
      </w:pPr>
      <w:r>
        <w:t xml:space="preserve">Nivel: casas con teléfono. Auxiliar: casas sin teléfono = total − casas con teléfono. Flujo de entrada: instalaciones = tasa × casas sin teléfono.</w:t>
      </w:r>
    </w:p>
    <w:p>
      <w:pPr>
        <w:pStyle w:val="Normal"/>
      </w:pPr>
      <w:r>
        <w:t xml:space="preserve">El nivel empieza en cero; la tasa se mide en 1/mes y el flujo en casas/mes. Más casas instaladas dejan menos por instalar, lo que reduce el flujo: balance.</w:t>
      </w:r>
    </w:p>
    <w:p>
      <w:pPr>
        <w:pStyle w:val="Normal"/>
      </w:pPr>
      <w:r>
        <w:t xml:space="preserve">Una alternativa con influencia vecinal necesita sus propias ecuaciones; no basta añadir flechas y conservar sin explicación la tasa fija del enunciado.</w:t>
      </w:r>
    </w:p>
    <w:p>
      <w:pPr>
        <w:pStyle w:val="Fuente"/>
      </w:pPr>
      <w:r>
        <w:t xml:space="preserve">Guía de estudio · edición 20/10/2026 · pp. 12–14, 21–22</w:t>
      </w:r>
    </w:p>
    <w:p>
      <w:pPr>
        <w:pStyle w:val="Heading3"/>
      </w:pPr>
      <w:r>
        <w:t xml:space="preserve">El proyecto: evasión de tareas críticas y progreso aparente</w:t>
      </w:r>
    </w:p>
    <w:p>
      <w:pPr>
        <w:pStyle w:val="Normal"/>
      </w:pPr>
      <w:r>
        <w:t xml:space="preserve">El trabajador evita tareas difíciles haciendo otras menos importantes y percibe progreso, mientras el proyecto sigue pendiente. La repetición diaria oculta la pérdida de tiempo, información y recursos. El DCC debe representar el alivio aparente y el agravamiento real.</w:t>
      </w:r>
    </w:p>
    <w:p>
      <w:pPr>
        <w:pStyle w:val="Fuente"/>
      </w:pPr>
      <w:r>
        <w:t xml:space="preserve">Clase 20 · 00:17:05–00:25:48</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Procedimiento</w:t>
            </w:r>
          </w:p>
          <w:p>
            <w:pPr>
              <w:pStyle w:val="Recuadro"/>
            </w:pPr>
            <w:r>
              <w:t xml:space="preserve">Convertir una historia o un diagrama causal</w:t>
            </w:r>
          </w:p>
          <w:p>
            <w:pPr>
              <w:pStyle w:val="Recuadro"/>
            </w:pPr>
            <w:r>
              <w:t xml:space="preserve">1. </w:t>
            </w:r>
            <w:r>
              <w:rPr>
                <w:b/>
                <w:bCs/>
              </w:rPr>
              <w:t xml:space="preserve">Delimitar.</w:t>
            </w:r>
            <w:r>
              <w:t xml:space="preserve"> Define la pregunta del modelo, la frontera, el horizonte y la unidad de tiempo. (Guía de estudio · edición 20/10/2026 · pp. 12–14)</w:t>
            </w:r>
          </w:p>
          <w:p>
            <w:pPr>
              <w:pStyle w:val="Recuadro"/>
            </w:pPr>
            <w:r>
              <w:t xml:space="preserve">2. </w:t>
            </w:r>
            <w:r>
              <w:rPr>
                <w:b/>
                <w:bCs/>
              </w:rPr>
              <w:t xml:space="preserve">Clasificar.</w:t>
            </w:r>
            <w:r>
              <w:t xml:space="preserve"> Marca niveles y flujos; después auxiliares y constantes. Comprueba las unidades. (Guía de estudio · edición 20/10/2026 · pp. 12–14)</w:t>
            </w:r>
          </w:p>
          <w:p>
            <w:pPr>
              <w:pStyle w:val="Recuadro"/>
            </w:pPr>
            <w:r>
              <w:t xml:space="preserve">3. </w:t>
            </w:r>
            <w:r>
              <w:rPr>
                <w:b/>
                <w:bCs/>
              </w:rPr>
              <w:t xml:space="preserve">Conectar y formular.</w:t>
            </w:r>
            <w:r>
              <w:t xml:space="preserve"> Dibuja tuberías e información y escribe INTEG para los niveles y las ecuaciones de las demás variables. (Guía de estudio · edición 20/10/2026 · pp. 12–14)</w:t>
            </w:r>
          </w:p>
          <w:p>
            <w:pPr>
              <w:pStyle w:val="Recuadro"/>
            </w:pPr>
            <w:r>
              <w:t xml:space="preserve">4. </w:t>
            </w:r>
            <w:r>
              <w:rPr>
                <w:b/>
                <w:bCs/>
              </w:rPr>
              <w:t xml:space="preserve">Validar.</w:t>
            </w:r>
            <w:r>
              <w:t xml:space="preserve"> Comprueba que conservaste los ciclos y que puedes explicar el primer paso y los casos extremos. (Guía de estudio · edición 20/10/2026 · pp. 12–14)</w:t>
            </w:r>
          </w:p>
          <w:p>
            <w:pPr>
              <w:pStyle w:val="Recuadro"/>
            </w:pPr>
            <w:r>
              <w:t xml:space="preserve">El diagrama, las unidades y las ecuaciones tienen que contar la misma historia.</w:t>
            </w:r>
          </w:p>
        </w:tc>
      </w:tr>
    </w:tbl>
    <w:p>
      <w:pPr>
        <w:pStyle w:val="Heading3"/>
      </w:pPr>
      <w:bookmarkStart w:name="b_tabla_4_3_g3_g3_balance" w:id="3900"/>
      <w:r>
        <w:t xml:space="preserve">Nivel, flujo y ecuación</w:t>
      </w:r>
      <w:bookmarkEnd w:id="3900"/>
    </w:p>
    <w:tbl>
      <w:tblPr>
        <w:tblW w:type="dxa" w:w="9632"/>
        <w:tblBorders>
          <w:top w:val="single" w:color="C5D5DB" w:sz="4"/>
          <w:left w:val="single" w:color="C5D5DB" w:sz="4"/>
          <w:bottom w:val="single" w:color="C5D5DB" w:sz="4"/>
          <w:right w:val="single" w:color="C5D5DB" w:sz="4"/>
          <w:insideH w:val="single" w:color="E4E9EB" w:sz="3"/>
          <w:insideV w:val="single" w:color="E4E9EB" w:sz="3"/>
        </w:tblBorders>
        <w:tblLayout w:type="fixed"/>
      </w:tblPr>
      <w:tblGrid>
        <w:gridCol w:w="3212"/>
        <w:gridCol w:w="3210"/>
        <w:gridCol w:w="3210"/>
      </w:tblGrid>
      <w:tr>
        <w:trPr>
          <w:cantSplit/>
          <w:tblHeader/>
        </w:trPr>
        <w:tc>
          <w:tcPr>
            <w:tcW w:type="dxa" w:w="3212"/>
            <w:shd w:fill="DFEAF0" w:val="clear"/>
            <w:tcMar>
              <w:top w:type="dxa" w:w="80"/>
              <w:left w:type="dxa" w:w="100"/>
              <w:bottom w:type="dxa" w:w="80"/>
              <w:right w:type="dxa" w:w="100"/>
            </w:tcMar>
          </w:tcPr>
          <w:p>
            <w:pPr>
              <w:pStyle w:val="Tabla"/>
            </w:pPr>
            <w:r>
              <w:rPr>
                <w:b/>
                <w:bCs/>
              </w:rPr>
              <w:t xml:space="preserve">Elemento</w:t>
            </w:r>
          </w:p>
        </w:tc>
        <w:tc>
          <w:tcPr>
            <w:tcW w:type="dxa" w:w="3210"/>
            <w:shd w:fill="DFEAF0" w:val="clear"/>
            <w:tcMar>
              <w:top w:type="dxa" w:w="80"/>
              <w:left w:type="dxa" w:w="100"/>
              <w:bottom w:type="dxa" w:w="80"/>
              <w:right w:type="dxa" w:w="100"/>
            </w:tcMar>
          </w:tcPr>
          <w:p>
            <w:pPr>
              <w:pStyle w:val="Tabla"/>
            </w:pPr>
            <w:r>
              <w:rPr>
                <w:b/>
                <w:bCs/>
              </w:rPr>
              <w:t xml:space="preserve">Cómo reconocerlo</w:t>
            </w:r>
          </w:p>
        </w:tc>
        <w:tc>
          <w:tcPr>
            <w:tcW w:type="dxa" w:w="3210"/>
            <w:shd w:fill="DFEAF0" w:val="clear"/>
            <w:tcMar>
              <w:top w:type="dxa" w:w="80"/>
              <w:left w:type="dxa" w:w="100"/>
              <w:bottom w:type="dxa" w:w="80"/>
              <w:right w:type="dxa" w:w="100"/>
            </w:tcMar>
          </w:tcPr>
          <w:p>
            <w:pPr>
              <w:pStyle w:val="Tabla"/>
            </w:pPr>
            <w:r>
              <w:rPr>
                <w:b/>
                <w:bCs/>
              </w:rPr>
              <w:t xml:space="preserve">Ejemplo</w:t>
            </w:r>
          </w:p>
        </w:tc>
      </w:tr>
      <w:tr>
        <w:trPr>
          <w:cantSplit/>
          <w:tblHeader w:val="off"/>
        </w:trPr>
        <w:tc>
          <w:tcPr>
            <w:tcW w:type="dxa" w:w="3212"/>
            <w:tcMar>
              <w:top w:type="dxa" w:w="80"/>
              <w:left w:type="dxa" w:w="100"/>
              <w:bottom w:type="dxa" w:w="80"/>
              <w:right w:type="dxa" w:w="100"/>
            </w:tcMar>
          </w:tcPr>
          <w:p>
            <w:pPr>
              <w:pStyle w:val="Tabla"/>
            </w:pPr>
            <w:r>
              <w:t xml:space="preserve">Nivel</w:t>
            </w:r>
          </w:p>
        </w:tc>
        <w:tc>
          <w:tcPr>
            <w:tcW w:type="dxa" w:w="3210"/>
            <w:tcMar>
              <w:top w:type="dxa" w:w="80"/>
              <w:left w:type="dxa" w:w="100"/>
              <w:bottom w:type="dxa" w:w="80"/>
              <w:right w:type="dxa" w:w="100"/>
            </w:tcMar>
          </w:tcPr>
          <w:p>
            <w:pPr>
              <w:pStyle w:val="Tabla"/>
            </w:pPr>
            <w:r>
              <w:t xml:space="preserve">Cantidad que existe en un instante</w:t>
            </w:r>
          </w:p>
        </w:tc>
        <w:tc>
          <w:tcPr>
            <w:tcW w:type="dxa" w:w="3210"/>
            <w:tcMar>
              <w:top w:type="dxa" w:w="80"/>
              <w:left w:type="dxa" w:w="100"/>
              <w:bottom w:type="dxa" w:w="80"/>
              <w:right w:type="dxa" w:w="100"/>
            </w:tcMar>
          </w:tcPr>
          <w:p>
            <w:pPr>
              <w:pStyle w:val="Tabla"/>
            </w:pPr>
            <w:r>
              <w:t xml:space="preserve">Agua [litros]</w:t>
            </w:r>
          </w:p>
        </w:tc>
      </w:tr>
      <w:tr>
        <w:trPr>
          <w:cantSplit/>
          <w:tblHeader w:val="off"/>
        </w:trPr>
        <w:tc>
          <w:tcPr>
            <w:tcW w:type="dxa" w:w="3212"/>
            <w:tcMar>
              <w:top w:type="dxa" w:w="80"/>
              <w:left w:type="dxa" w:w="100"/>
              <w:bottom w:type="dxa" w:w="80"/>
              <w:right w:type="dxa" w:w="100"/>
            </w:tcMar>
          </w:tcPr>
          <w:p>
            <w:pPr>
              <w:pStyle w:val="Tabla"/>
            </w:pPr>
            <w:r>
              <w:t xml:space="preserve">Flujo</w:t>
            </w:r>
          </w:p>
        </w:tc>
        <w:tc>
          <w:tcPr>
            <w:tcW w:type="dxa" w:w="3210"/>
            <w:tcMar>
              <w:top w:type="dxa" w:w="80"/>
              <w:left w:type="dxa" w:w="100"/>
              <w:bottom w:type="dxa" w:w="80"/>
              <w:right w:type="dxa" w:w="100"/>
            </w:tcMar>
          </w:tcPr>
          <w:p>
            <w:pPr>
              <w:pStyle w:val="Tabla"/>
            </w:pPr>
            <w:r>
              <w:t xml:space="preserve">Cantidad por unidad de tiempo</w:t>
            </w:r>
          </w:p>
        </w:tc>
        <w:tc>
          <w:tcPr>
            <w:tcW w:type="dxa" w:w="3210"/>
            <w:tcMar>
              <w:top w:type="dxa" w:w="80"/>
              <w:left w:type="dxa" w:w="100"/>
              <w:bottom w:type="dxa" w:w="80"/>
              <w:right w:type="dxa" w:w="100"/>
            </w:tcMar>
          </w:tcPr>
          <w:p>
            <w:pPr>
              <w:pStyle w:val="Tabla"/>
            </w:pPr>
            <w:r>
              <w:t xml:space="preserve">Entrada [litros/minuto]</w:t>
            </w:r>
          </w:p>
        </w:tc>
      </w:tr>
      <w:tr>
        <w:trPr>
          <w:cantSplit/>
          <w:tblHeader w:val="off"/>
        </w:trPr>
        <w:tc>
          <w:tcPr>
            <w:tcW w:type="dxa" w:w="3212"/>
            <w:tcMar>
              <w:top w:type="dxa" w:w="80"/>
              <w:left w:type="dxa" w:w="100"/>
              <w:bottom w:type="dxa" w:w="80"/>
              <w:right w:type="dxa" w:w="100"/>
            </w:tcMar>
          </w:tcPr>
          <w:p>
            <w:pPr>
              <w:pStyle w:val="Tabla"/>
            </w:pPr>
            <w:r>
              <w:t xml:space="preserve">Auxiliar</w:t>
            </w:r>
          </w:p>
        </w:tc>
        <w:tc>
          <w:tcPr>
            <w:tcW w:type="dxa" w:w="3210"/>
            <w:tcMar>
              <w:top w:type="dxa" w:w="80"/>
              <w:left w:type="dxa" w:w="100"/>
              <w:bottom w:type="dxa" w:w="80"/>
              <w:right w:type="dxa" w:w="100"/>
            </w:tcMar>
          </w:tcPr>
          <w:p>
            <w:pPr>
              <w:pStyle w:val="Tabla"/>
            </w:pPr>
            <w:r>
              <w:t xml:space="preserve">Cálculo que usa el modelo</w:t>
            </w:r>
          </w:p>
        </w:tc>
        <w:tc>
          <w:tcPr>
            <w:tcW w:type="dxa" w:w="3210"/>
            <w:tcMar>
              <w:top w:type="dxa" w:w="80"/>
              <w:left w:type="dxa" w:w="100"/>
              <w:bottom w:type="dxa" w:w="80"/>
              <w:right w:type="dxa" w:w="100"/>
            </w:tcMar>
          </w:tcPr>
          <w:p>
            <w:pPr>
              <w:pStyle w:val="Tabla"/>
            </w:pPr>
            <w:r>
              <w:t xml:space="preserve">Brecha = objetivo − nivel</w:t>
            </w:r>
          </w:p>
        </w:tc>
      </w:tr>
      <w:tr>
        <w:trPr>
          <w:cantSplit/>
          <w:tblHeader w:val="off"/>
        </w:trPr>
        <w:tc>
          <w:tcPr>
            <w:tcW w:type="dxa" w:w="3212"/>
            <w:tcMar>
              <w:top w:type="dxa" w:w="80"/>
              <w:left w:type="dxa" w:w="100"/>
              <w:bottom w:type="dxa" w:w="80"/>
              <w:right w:type="dxa" w:w="100"/>
            </w:tcMar>
          </w:tcPr>
          <w:p>
            <w:pPr>
              <w:pStyle w:val="Tabla"/>
            </w:pPr>
            <w:r>
              <w:t xml:space="preserve">Parámetro</w:t>
            </w:r>
          </w:p>
        </w:tc>
        <w:tc>
          <w:tcPr>
            <w:tcW w:type="dxa" w:w="3210"/>
            <w:tcMar>
              <w:top w:type="dxa" w:w="80"/>
              <w:left w:type="dxa" w:w="100"/>
              <w:bottom w:type="dxa" w:w="80"/>
              <w:right w:type="dxa" w:w="100"/>
            </w:tcMar>
          </w:tcPr>
          <w:p>
            <w:pPr>
              <w:pStyle w:val="Tabla"/>
            </w:pPr>
            <w:r>
              <w:t xml:space="preserve">Valor fijado para la corrida</w:t>
            </w:r>
          </w:p>
        </w:tc>
        <w:tc>
          <w:tcPr>
            <w:tcW w:type="dxa" w:w="3210"/>
            <w:tcMar>
              <w:top w:type="dxa" w:w="80"/>
              <w:left w:type="dxa" w:w="100"/>
              <w:bottom w:type="dxa" w:w="80"/>
              <w:right w:type="dxa" w:w="100"/>
            </w:tcMar>
          </w:tcPr>
          <w:p>
            <w:pPr>
              <w:pStyle w:val="Tabla"/>
            </w:pPr>
            <w:r>
              <w:t xml:space="preserve">Tasa [1/mes]</w:t>
            </w:r>
          </w:p>
        </w:tc>
      </w:tr>
      <w:tr>
        <w:trPr>
          <w:cantSplit/>
          <w:tblHeader w:val="off"/>
        </w:trPr>
        <w:tc>
          <w:tcPr>
            <w:tcW w:type="dxa" w:w="3212"/>
            <w:tcMar>
              <w:top w:type="dxa" w:w="80"/>
              <w:left w:type="dxa" w:w="100"/>
              <w:bottom w:type="dxa" w:w="80"/>
              <w:right w:type="dxa" w:w="100"/>
            </w:tcMar>
          </w:tcPr>
          <w:p>
            <w:pPr>
              <w:pStyle w:val="Tabla"/>
            </w:pPr>
            <w:r>
              <w:t xml:space="preserve">Balance</w:t>
            </w:r>
          </w:p>
        </w:tc>
        <w:tc>
          <w:tcPr>
            <w:tcW w:type="dxa" w:w="3210"/>
            <w:tcMar>
              <w:top w:type="dxa" w:w="80"/>
              <w:left w:type="dxa" w:w="100"/>
              <w:bottom w:type="dxa" w:w="80"/>
              <w:right w:type="dxa" w:w="100"/>
            </w:tcMar>
          </w:tcPr>
          <w:p>
            <w:pPr>
              <w:pStyle w:val="Tabla"/>
            </w:pPr>
            <w:r>
              <w:t xml:space="preserve">La diferencia entre entradas y salidas</w:t>
            </w:r>
          </w:p>
        </w:tc>
        <w:tc>
          <w:tcPr>
            <w:tcW w:type="dxa" w:w="3210"/>
            <w:tcMar>
              <w:top w:type="dxa" w:w="80"/>
              <w:left w:type="dxa" w:w="100"/>
              <w:bottom w:type="dxa" w:w="80"/>
              <w:right w:type="dxa" w:w="100"/>
            </w:tcMar>
          </w:tcPr>
          <w:p>
            <w:pPr>
              <w:pStyle w:val="Tabla"/>
            </w:pPr>
            <w:r>
              <w:t xml:space="preserve">dN/dt = E − S</w:t>
            </w:r>
          </w:p>
        </w:tc>
      </w:tr>
      <w:tr>
        <w:trPr>
          <w:cantSplit/>
          <w:tblHeader w:val="off"/>
        </w:trPr>
        <w:tc>
          <w:tcPr>
            <w:tcW w:type="dxa" w:w="3212"/>
            <w:tcMar>
              <w:top w:type="dxa" w:w="80"/>
              <w:left w:type="dxa" w:w="100"/>
              <w:bottom w:type="dxa" w:w="80"/>
              <w:right w:type="dxa" w:w="100"/>
            </w:tcMar>
          </w:tcPr>
          <w:p>
            <w:pPr>
              <w:pStyle w:val="Tabla"/>
            </w:pPr>
            <w:r>
              <w:t xml:space="preserve">Euler</w:t>
            </w:r>
          </w:p>
        </w:tc>
        <w:tc>
          <w:tcPr>
            <w:tcW w:type="dxa" w:w="3210"/>
            <w:tcMar>
              <w:top w:type="dxa" w:w="80"/>
              <w:left w:type="dxa" w:w="100"/>
              <w:bottom w:type="dxa" w:w="80"/>
              <w:right w:type="dxa" w:w="100"/>
            </w:tcMar>
          </w:tcPr>
          <w:p>
            <w:pPr>
              <w:pStyle w:val="Tabla"/>
            </w:pPr>
            <w:r>
              <w:t xml:space="preserve">El flujo neto se multiplica por el paso</w:t>
            </w:r>
          </w:p>
        </w:tc>
        <w:tc>
          <w:tcPr>
            <w:tcW w:type="dxa" w:w="3210"/>
            <w:tcMar>
              <w:top w:type="dxa" w:w="80"/>
              <w:left w:type="dxa" w:w="100"/>
              <w:bottom w:type="dxa" w:w="80"/>
              <w:right w:type="dxa" w:w="100"/>
            </w:tcMar>
          </w:tcPr>
          <w:p>
            <w:pPr>
              <w:pStyle w:val="Tabla"/>
            </w:pPr>
            <w:r>
              <w:t xml:space="preserve">N(t + Δt) = N(t) + (E(t) − S(t)) · Δt</w:t>
            </w:r>
          </w:p>
        </w:tc>
      </w:tr>
      <w:tr>
        <w:trPr>
          <w:cantSplit/>
          <w:tblHeader w:val="off"/>
        </w:trPr>
        <w:tc>
          <w:tcPr>
            <w:tcW w:type="dxa" w:w="3212"/>
            <w:tcMar>
              <w:top w:type="dxa" w:w="80"/>
              <w:left w:type="dxa" w:w="100"/>
              <w:bottom w:type="dxa" w:w="80"/>
              <w:right w:type="dxa" w:w="100"/>
            </w:tcMar>
          </w:tcPr>
          <w:p>
            <w:pPr>
              <w:pStyle w:val="Tabla"/>
            </w:pPr>
            <w:r>
              <w:t xml:space="preserve">Vensim</w:t>
            </w:r>
          </w:p>
        </w:tc>
        <w:tc>
          <w:tcPr>
            <w:tcW w:type="dxa" w:w="3210"/>
            <w:tcMar>
              <w:top w:type="dxa" w:w="80"/>
              <w:left w:type="dxa" w:w="100"/>
              <w:bottom w:type="dxa" w:w="80"/>
              <w:right w:type="dxa" w:w="100"/>
            </w:tcMar>
          </w:tcPr>
          <w:p>
            <w:pPr>
              <w:pStyle w:val="Tabla"/>
            </w:pPr>
            <w:r>
              <w:t xml:space="preserve">Integra el flujo neto desde el valor inicial</w:t>
            </w:r>
          </w:p>
        </w:tc>
        <w:tc>
          <w:tcPr>
            <w:tcW w:type="dxa" w:w="3210"/>
            <w:tcMar>
              <w:top w:type="dxa" w:w="80"/>
              <w:left w:type="dxa" w:w="100"/>
              <w:bottom w:type="dxa" w:w="80"/>
              <w:right w:type="dxa" w:w="100"/>
            </w:tcMar>
          </w:tcPr>
          <w:p>
            <w:pPr>
              <w:pStyle w:val="Tabla"/>
            </w:pPr>
            <w:r>
              <w:t xml:space="preserve">N = INTEG(E − S, N inicial)</w:t>
            </w:r>
          </w:p>
        </w:tc>
      </w:tr>
    </w:tbl>
    <w:p>
      <w:pPr>
        <w:pStyle w:val="Fuente"/>
      </w:pPr>
      <w:r>
        <w:t xml:space="preserve">Síntesis editorial de la guía, pp. 11–16. Una flecha de información no es una tubería.</w:t>
      </w:r>
    </w:p>
    <w:p>
      <w:pPr>
        <w:pStyle w:val="Heading3"/>
      </w:pPr>
      <w:r>
        <w:t xml:space="preserve">Lo que dicen las presentaciones</w:t>
      </w:r>
    </w:p>
    <w:p>
      <w:pPr>
        <w:pStyle w:val="Heading3"/>
      </w:pPr>
      <w:bookmarkStart w:name="b_pagina_4_3_C_7_p9" w:id="3901"/>
      <w:r>
        <w:t xml:space="preserve">C-7 · página 9 · Notación de Forrester</w:t>
      </w:r>
      <w:bookmarkEnd w:id="3901"/>
    </w:p>
    <w:p>
      <w:pPr>
        <w:pStyle w:val="Normal"/>
      </w:pPr>
      <w:r>
        <w:t xml:space="preserve">Rectángulos, válvulas, auxiliares y nubes convierten influencias en niveles y flujos.</w:t>
      </w:r>
    </w:p>
    <w:p>
      <w:pPr>
        <w:pStyle w:val="Fuente"/>
      </w:pPr>
      <w:r>
        <w:t xml:space="preserve">Véase </w:t>
      </w:r>
      <w:hyperlink w:history="1" w:anchor="b_figura_original_pagina_C_7_9">
        <w:r>
          <w:rPr>
            <w:color w:val="156B70"/>
            <w:u w:val="single"/>
          </w:rPr>
          <w:t xml:space="preserve">imagen de C-7, página 9</w:t>
        </w:r>
      </w:hyperlink>
      <w:r>
        <w:t xml:space="preserve">, pág. </w:t>
      </w:r>
      <w:r>
        <w:fldChar w:fldCharType="begin"/>
        <w:instrText xml:space="preserve">PAGEREF b_figura_original_pagina_C_7_9 \h</w:instrText>
        <w:fldChar w:fldCharType="separate"/>
        <w:t xml:space="preserve">717</w:t>
        <w:fldChar w:fldCharType="end"/>
      </w:r>
      <w:r>
        <w:t xml:space="preserve">.</w:t>
      </w:r>
    </w:p>
    <w:p>
      <w:bookmarkStart w:name="b_punto_c7_p009_03" w:id="3902"/>
      <w:r>
        <w:t xml:space="preserve">La clasificación de nodos en nivel, flujo o auxiliar permite construir el Forrester desde influencias.</w:t>
      </w:r>
      <w:bookmarkEnd w:id="3902"/>
    </w:p>
    <w:p>
      <w:pPr>
        <w:pStyle w:val="Fuente"/>
      </w:pPr>
      <w:r>
        <w:t xml:space="preserve">Véase </w:t>
      </w:r>
      <w:hyperlink w:history="1" w:anchor="b_4_2">
        <w:r>
          <w:rPr>
            <w:color w:val="156B70"/>
            <w:u w:val="single"/>
          </w:rPr>
          <w:t xml:space="preserve">capítulo 4.2 · Flujos y niveles</w:t>
        </w:r>
      </w:hyperlink>
      <w:r>
        <w:t xml:space="preserve">, pág. </w:t>
      </w:r>
      <w:r>
        <w:fldChar w:fldCharType="begin"/>
        <w:instrText xml:space="preserve">PAGEREF b_4_2 \h</w:instrText>
        <w:fldChar w:fldCharType="separate"/>
        <w:t xml:space="preserve">709</w:t>
        <w:fldChar w:fldCharType="end"/>
      </w:r>
      <w:r>
        <w:t xml:space="preserve">.</w:t>
      </w:r>
    </w:p>
    <w:p>
      <w:pPr>
        <w:pStyle w:val="Heading3"/>
      </w:pPr>
      <w:bookmarkStart w:name="b_pagina_4_3_C_7_p12" w:id="3903"/>
      <w:r>
        <w:t xml:space="preserve">C-7 · página 12 · Epidemia: diagrama causal</w:t>
      </w:r>
      <w:bookmarkEnd w:id="3903"/>
    </w:p>
    <w:p>
      <w:pPr>
        <w:pStyle w:val="Normal"/>
      </w:pPr>
      <w:r>
        <w:t xml:space="preserve">El contagio se refuerza con infectados y se frena al agotarse la población vulnerable.</w:t>
      </w:r>
    </w:p>
    <w:p>
      <w:pPr>
        <w:pStyle w:val="Fuente"/>
      </w:pPr>
      <w:r>
        <w:t xml:space="preserve">Proyección o explicación: Clase 19 · 00:16:01 · captura c19-03.</w:t>
      </w:r>
    </w:p>
    <w:p>
      <w:pPr>
        <w:keepNext/>
        <w:spacing w:after="40" w:before="150"/>
        <w:jc w:val="center"/>
      </w:pPr>
      <w:bookmarkStart w:name="b_figura_original_pagina_C_7_12" w:id="3904"/>
      <w:bookmarkEnd w:id="3904"/>
      <w:r>
        <w:drawing>
          <wp:inline distT="0" distB="0" distL="0" distR="0">
            <wp:extent cx="5381625" cy="3028950"/>
            <wp:effectExtent t="0" r="0" b="0" l="0"/>
            <wp:docPr id="122" name="pagina-C-7-12" descr="Presentación C-7, pág. 12. Precisión: R1–R4 identifican relaciones, no cuatro ciclos. El DCC contiene un refuerzo de contagio y un balance por agotamiento de vulnerables." title="Epidemia: diagrama caus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00" cstate="none"/>
                    <a:srcRect/>
                    <a:stretch>
                      <a:fillRect/>
                    </a:stretch>
                  </pic:blipFill>
                  <pic:spPr bwMode="auto">
                    <a:xfrm>
                      <a:off x="0" y="0"/>
                      <a:ext cx="5381625" cy="3028950"/>
                    </a:xfrm>
                    <a:prstGeom prst="rect">
                      <a:avLst/>
                    </a:prstGeom>
                  </pic:spPr>
                </pic:pic>
              </a:graphicData>
            </a:graphic>
          </wp:inline>
        </w:drawing>
      </w:r>
    </w:p>
    <w:p>
      <w:pPr>
        <w:pStyle w:val="PieFigura"/>
        <w:keepNext/>
      </w:pPr>
      <w:bookmarkStart w:name="b_fig_4_3_1" w:id="3905"/>
      <w:r>
        <w:t xml:space="preserve">Figura 4.3.</w:t>
      </w:r>
      <w:fldSimple w:instr="SEQ Figura \r 1 \* ARABIC">
        <w:r>
          <w:t xml:space="preserve">1</w:t>
        </w:r>
      </w:fldSimple>
      <w:r>
        <w:t xml:space="preserve"> · Epidemia: diagrama causal</w:t>
      </w:r>
      <w:bookmarkEnd w:id="3905"/>
    </w:p>
    <w:p>
      <w:pPr>
        <w:pStyle w:val="Fuente"/>
      </w:pPr>
      <w:r>
        <w:t xml:space="preserve">Presentación C-7, pág. 12. Precisión: R1–R4 identifican relaciones, no cuatro ciclos. El DCC contiene un refuerzo de contagio y un balance por agotamiento de vulnerables.</w:t>
      </w:r>
    </w:p>
    <w:p>
      <w:bookmarkStart w:name="b_punto_c7_p012_01" w:id="3906"/>
      <w:r>
        <w:t xml:space="preserve">TC aumenta PI, PI aumenta TC, PI reduce PV y PV aumenta TC; PT aumenta PV.</w:t>
      </w:r>
      <w:bookmarkEnd w:id="3906"/>
    </w:p>
    <w:p>
      <w:bookmarkStart w:name="b_punto_c7_p012_02" w:id="3907"/>
      <w:r>
        <w:t xml:space="preserve">R1–R4 son relaciones de la descripción, no cuatro ciclos de refuerzo.</w:t>
      </w:r>
      <w:bookmarkEnd w:id="3907"/>
    </w:p>
    <w:p>
      <w:bookmarkStart w:name="b_punto_c7_p012_03" w:id="3908"/>
      <w:r>
        <w:t xml:space="preserve">La estructura contiene un refuerzo y un balance.</w:t>
      </w:r>
      <w:bookmarkEnd w:id="3908"/>
    </w:p>
    <w:p>
      <w:pPr>
        <w:pStyle w:val="Heading3"/>
      </w:pPr>
      <w:bookmarkStart w:name="b_pagina_4_3_C_7_p13" w:id="3909"/>
      <w:r>
        <w:t xml:space="preserve">C-7 · página 13 · Clasificación para convertir la epidemia</w:t>
      </w:r>
      <w:bookmarkEnd w:id="3909"/>
    </w:p>
    <w:p>
      <w:pPr>
        <w:pStyle w:val="Normal"/>
      </w:pPr>
      <w:r>
        <w:t xml:space="preserve">PI es nivel y TC flujo porque representa la variación de infectados por tiempo.</w:t>
      </w:r>
    </w:p>
    <w:p>
      <w:pPr>
        <w:pStyle w:val="Fuente"/>
      </w:pPr>
      <w:r>
        <w:t xml:space="preserve">Proyección o explicación: Clase 19 · 00:20:55 · captura c19-04.</w:t>
      </w:r>
    </w:p>
    <w:p>
      <w:bookmarkStart w:name="b_punto_c7_p013_01" w:id="3910"/>
      <w:r>
        <w:t xml:space="preserve">Las clases son nivel, flujos de entrada/salida y auxiliares.</w:t>
      </w:r>
      <w:bookmarkEnd w:id="3910"/>
    </w:p>
    <w:p>
      <w:bookmarkStart w:name="b_punto_c7_p013_02" w:id="3911"/>
      <w:r>
        <w:t xml:space="preserve">PI es acumulación y TC su cambio por tiempo: dX/dt→X.</w:t>
      </w:r>
      <w:bookmarkEnd w:id="3911"/>
    </w:p>
    <w:p>
      <w:bookmarkStart w:name="b_punto_c7_p013_03" w:id="3912"/>
      <w:r>
        <w:t xml:space="preserve">El análisis dimensional distingue unidadesu frente au/tiempo.</w:t>
      </w:r>
      <w:bookmarkEnd w:id="3912"/>
    </w:p>
    <w:p>
      <w:pPr>
        <w:pStyle w:val="Heading3"/>
      </w:pPr>
      <w:bookmarkStart w:name="b_pagina_4_3_C_7_p14" w:id="3913"/>
      <w:r>
        <w:t xml:space="preserve">C-7 · página 14 · Forrester de la epidemia</w:t>
      </w:r>
      <w:bookmarkEnd w:id="3913"/>
    </w:p>
    <w:p>
      <w:pPr>
        <w:pStyle w:val="Normal"/>
      </w:pPr>
      <w:r>
        <w:t xml:space="preserve">PI acumula contagios; PV es auxiliar y las constantes completan el cálculo.</w:t>
      </w:r>
    </w:p>
    <w:p>
      <w:pPr>
        <w:pStyle w:val="Fuente"/>
      </w:pPr>
      <w:r>
        <w:t xml:space="preserve">Proyección o explicación: Clase 19 · 00:39:04 · captura c19-05.</w:t>
      </w:r>
    </w:p>
    <w:p>
      <w:bookmarkStart w:name="b_punto_c7_p014_01" w:id="3914"/>
      <w:r>
        <w:t xml:space="preserve">PI es nivel, TC flujo y PV auxiliar intermedia para determinarTC.</w:t>
      </w:r>
      <w:bookmarkEnd w:id="3914"/>
    </w:p>
    <w:p>
      <w:bookmarkStart w:name="b_punto_c7_p014_02" w:id="3915"/>
      <w:r>
        <w:t xml:space="preserve">IPC, TNCyPT son constantes; PT representa población total externa.</w:t>
      </w:r>
      <w:bookmarkEnd w:id="3915"/>
    </w:p>
    <w:p>
      <w:bookmarkStart w:name="b_punto_c7_p014_03" w:id="3916"/>
      <w:r>
        <w:t xml:space="preserve">La nube representa fuente o sumidero fuera de la frontera relevante.</w:t>
      </w:r>
      <w:bookmarkEnd w:id="3916"/>
    </w:p>
    <w:p>
      <w:bookmarkStart w:name="b_punto_c7_p014_04" w:id="3917"/>
      <w:r>
        <w:t xml:space="preserve">El modelo clasifica las mismas relaciones y conserva realimentación.</w:t>
      </w:r>
      <w:bookmarkEnd w:id="3917"/>
    </w:p>
    <w:p>
      <w:pPr>
        <w:pStyle w:val="Heading3"/>
      </w:pPr>
      <w:bookmarkStart w:name="b_pagina_4_3_C_7_p15" w:id="3918"/>
      <w:r>
        <w:t xml:space="preserve">C-7 · página 15 · Parámetros para escenarios</w:t>
      </w:r>
      <w:bookmarkEnd w:id="3918"/>
    </w:p>
    <w:p>
      <w:pPr>
        <w:pStyle w:val="Normal"/>
      </w:pPr>
      <w:r>
        <w:t xml:space="preserve">IPC y TNC requieren valores concretos: especialistas o ajuste con datos históricos.</w:t>
      </w:r>
    </w:p>
    <w:p>
      <w:pPr>
        <w:keepNext/>
        <w:spacing w:after="40" w:before="150"/>
        <w:jc w:val="center"/>
      </w:pPr>
      <w:bookmarkStart w:name="b_figura_original_pagina_C_7_15" w:id="3919"/>
      <w:bookmarkEnd w:id="3919"/>
      <w:r>
        <w:drawing>
          <wp:inline distT="0" distB="0" distL="0" distR="0">
            <wp:extent cx="5381625" cy="3028950"/>
            <wp:effectExtent t="0" r="0" b="0" l="0"/>
            <wp:docPr id="123" name="pagina-C-7-15" descr="Presentación C-7, pág. 15. Precisión: El párrafo invierte PT y PV. Según PV = PT − PI, PV es auxiliar y PT es la población total constante/exógena en este modelo." title="Parámetros para escenari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01" cstate="none"/>
                    <a:srcRect/>
                    <a:stretch>
                      <a:fillRect/>
                    </a:stretch>
                  </pic:blipFill>
                  <pic:spPr bwMode="auto">
                    <a:xfrm>
                      <a:off x="0" y="0"/>
                      <a:ext cx="5381625" cy="3028950"/>
                    </a:xfrm>
                    <a:prstGeom prst="rect">
                      <a:avLst/>
                    </a:prstGeom>
                  </pic:spPr>
                </pic:pic>
              </a:graphicData>
            </a:graphic>
          </wp:inline>
        </w:drawing>
      </w:r>
    </w:p>
    <w:p>
      <w:pPr>
        <w:pStyle w:val="PieFigura"/>
        <w:keepNext/>
      </w:pPr>
      <w:bookmarkStart w:name="b_fig_4_3_2" w:id="3920"/>
      <w:r>
        <w:t xml:space="preserve">Figura 4.3.</w:t>
      </w:r>
      <w:fldSimple w:instr="SEQ Figura \n \* ARABIC">
        <w:r>
          <w:t xml:space="preserve">2</w:t>
        </w:r>
      </w:fldSimple>
      <w:r>
        <w:t xml:space="preserve"> · Parámetros para escenarios</w:t>
      </w:r>
      <w:bookmarkEnd w:id="3920"/>
    </w:p>
    <w:p>
      <w:pPr>
        <w:pStyle w:val="Fuente"/>
      </w:pPr>
      <w:r>
        <w:t xml:space="preserve">Presentación C-7, pág. 15. Precisión: El párrafo invierte PT y PV. Según PV = PT − PI, PV es auxiliar y PT es la población total constante/exógena en este modelo.</w:t>
      </w:r>
    </w:p>
    <w:p>
      <w:bookmarkStart w:name="b_punto_c7_p015_01" w:id="3921"/>
      <w:r>
        <w:t xml:space="preserve">PI(t+Δt)=PI(t)+Δt·TC; TC=IPC·TNC·PI·PV; PV=PT−PI.</w:t>
      </w:r>
      <w:bookmarkEnd w:id="3921"/>
    </w:p>
    <w:p>
      <w:bookmarkStart w:name="b_punto_c7_p015_05" w:id="3922"/>
      <w:r>
        <w:t xml:space="preserve">El texto intercambiaPT y PV: PV debe ser auxiliar y PT constante/exógena.</w:t>
      </w:r>
      <w:bookmarkEnd w:id="3922"/>
    </w:p>
    <w:p>
      <w:pPr>
        <w:pStyle w:val="Fuente"/>
      </w:pPr>
      <w:r>
        <w:t xml:space="preserve">Véase </w:t>
      </w:r>
      <w:hyperlink w:history="1" w:anchor="b_4_4">
        <w:r>
          <w:rPr>
            <w:color w:val="156B70"/>
            <w:u w:val="single"/>
          </w:rPr>
          <w:t xml:space="preserve">capítulo 4.4 · Simulación con VENSIM</w:t>
        </w:r>
      </w:hyperlink>
      <w:r>
        <w:t xml:space="preserve">, pág. </w:t>
      </w:r>
      <w:r>
        <w:fldChar w:fldCharType="begin"/>
        <w:instrText xml:space="preserve">PAGEREF b_4_4 \h</w:instrText>
        <w:fldChar w:fldCharType="separate"/>
        <w:t xml:space="preserve">776</w:t>
        <w:fldChar w:fldCharType="end"/>
      </w:r>
      <w:r>
        <w:t xml:space="preserve">.</w:t>
      </w:r>
    </w:p>
    <w:p>
      <w:pPr>
        <w:pStyle w:val="Heading3"/>
      </w:pPr>
      <w:bookmarkStart w:name="b_pagina_4_3_C_7_p16" w:id="3923"/>
      <w:r>
        <w:t xml:space="preserve">C-7 · página 16 · DYNAMO y curva de la epidemia</w:t>
      </w:r>
      <w:bookmarkEnd w:id="3923"/>
    </w:p>
    <w:p>
      <w:pPr>
        <w:pStyle w:val="Normal"/>
      </w:pPr>
      <w:r>
        <w:t xml:space="preserve">El listado y su gráfica conservan las constantes y dos erratas de rotulación.</w:t>
      </w:r>
    </w:p>
    <w:p>
      <w:pPr>
        <w:pStyle w:val="Fuente"/>
      </w:pPr>
      <w:r>
        <w:t xml:space="preserve">Véase </w:t>
      </w:r>
      <w:hyperlink w:history="1" w:anchor="b_figura_original_pagina_C_7_16">
        <w:r>
          <w:rPr>
            <w:color w:val="156B70"/>
            <w:u w:val="single"/>
          </w:rPr>
          <w:t xml:space="preserve">imagen de C-7, página 16</w:t>
        </w:r>
      </w:hyperlink>
      <w:r>
        <w:t xml:space="preserve">, pág. </w:t>
      </w:r>
      <w:r>
        <w:fldChar w:fldCharType="begin"/>
        <w:instrText xml:space="preserve">PAGEREF b_figura_original_pagina_C_7_16 \h</w:instrText>
        <w:fldChar w:fldCharType="separate"/>
        <w:t xml:space="preserve">784</w:t>
        <w:fldChar w:fldCharType="end"/>
      </w:r>
      <w:r>
        <w:t xml:space="preserve">.</w:t>
      </w:r>
    </w:p>
    <w:p>
      <w:bookmarkStart w:name="b_punto_c7_p016_03" w:id="3924"/>
      <w:r>
        <w:t xml:space="preserve">Los infectados crecen enS, los vulnerables caen y TC sube a un máximo y retorna hacia cero.</w:t>
      </w:r>
      <w:bookmarkEnd w:id="3924"/>
    </w:p>
    <w:p>
      <w:bookmarkStart w:name="b_punto_c7_p016_04" w:id="3925"/>
      <w:r>
        <w:t xml:space="preserve">tcn/tnc y PS/PA frente aPI/PV son erratas conservadas de abril.</w:t>
      </w:r>
      <w:bookmarkEnd w:id="3925"/>
    </w:p>
    <w:p>
      <w:pPr>
        <w:pStyle w:val="Fuente"/>
      </w:pPr>
      <w:r>
        <w:t xml:space="preserve">Véase </w:t>
      </w:r>
      <w:hyperlink w:history="1" w:anchor="b_4_4">
        <w:r>
          <w:rPr>
            <w:color w:val="156B70"/>
            <w:u w:val="single"/>
          </w:rPr>
          <w:t xml:space="preserve">capítulo 4.4 · Simulación con VENSIM</w:t>
        </w:r>
      </w:hyperlink>
      <w:r>
        <w:t xml:space="preserve">, pág. </w:t>
      </w:r>
      <w:r>
        <w:fldChar w:fldCharType="begin"/>
        <w:instrText xml:space="preserve">PAGEREF b_4_4 \h</w:instrText>
        <w:fldChar w:fldCharType="separate"/>
        <w:t xml:space="preserve">776</w:t>
        <w:fldChar w:fldCharType="end"/>
      </w:r>
      <w:r>
        <w:t xml:space="preserve">.</w:t>
      </w:r>
    </w:p>
    <w:p>
      <w:pPr>
        <w:pStyle w:val="Fuente"/>
      </w:pPr>
      <w:r>
        <w:t xml:space="preserve">Véase </w:t>
      </w:r>
      <w:hyperlink w:history="1" w:anchor="b_4_5">
        <w:r>
          <w:rPr>
            <w:color w:val="156B70"/>
            <w:u w:val="single"/>
          </w:rPr>
          <w:t xml:space="preserve">capítulo 4.5 · Ejemplos en VENSIM</w:t>
        </w:r>
      </w:hyperlink>
      <w:r>
        <w:t xml:space="preserve">, pág. </w:t>
      </w:r>
      <w:r>
        <w:fldChar w:fldCharType="begin"/>
        <w:instrText xml:space="preserve">PAGEREF b_4_5 \h</w:instrText>
        <w:fldChar w:fldCharType="separate"/>
        <w:t xml:space="preserve">830</w:t>
        <w:fldChar w:fldCharType="end"/>
      </w:r>
      <w:r>
        <w:t xml:space="preserve">.</w:t>
      </w:r>
    </w:p>
    <w:p>
      <w:pPr>
        <w:pStyle w:val="Heading3"/>
      </w:pPr>
      <w:bookmarkStart w:name="b_pagina_4_3_C_7_p18" w:id="3926"/>
      <w:r>
        <w:t xml:space="preserve">C-7 · página 18 · Forrester de la epidemia</w:t>
      </w:r>
      <w:bookmarkEnd w:id="3926"/>
    </w:p>
    <w:p>
      <w:pPr>
        <w:pStyle w:val="Normal"/>
      </w:pPr>
      <w:r>
        <w:t xml:space="preserve">PI acumula contagios; PV es auxiliar y las constantes completan el cálculo.</w:t>
      </w:r>
    </w:p>
    <w:p>
      <w:pPr>
        <w:pStyle w:val="Fuente"/>
      </w:pPr>
      <w:r>
        <w:t xml:space="preserve">Proyección o explicación: Clase 19 · 00:39:04 · captura c19-05.</w:t>
      </w:r>
    </w:p>
    <w:p>
      <w:bookmarkStart w:name="b_punto_c7_p018_01" w:id="3927"/>
      <w:r>
        <w:t xml:space="preserve">PI es nivel, TC flujo y PV auxiliar intermedia para determinarTC.</w:t>
      </w:r>
      <w:bookmarkEnd w:id="3927"/>
    </w:p>
    <w:p>
      <w:bookmarkStart w:name="b_punto_c7_p018_02" w:id="3928"/>
      <w:r>
        <w:t xml:space="preserve">IPC, TNCyPT son constantes; PT representa población total externa.</w:t>
      </w:r>
      <w:bookmarkEnd w:id="3928"/>
    </w:p>
    <w:p>
      <w:bookmarkStart w:name="b_punto_c7_p018_03" w:id="3929"/>
      <w:r>
        <w:t xml:space="preserve">La nube representa fuente o sumidero fuera de la frontera relevante.</w:t>
      </w:r>
      <w:bookmarkEnd w:id="3929"/>
    </w:p>
    <w:p>
      <w:bookmarkStart w:name="b_punto_c7_p018_04" w:id="3930"/>
      <w:r>
        <w:t xml:space="preserve">El modelo clasifica las mismas relaciones y conserva realimentación.</w:t>
      </w:r>
      <w:bookmarkEnd w:id="3930"/>
    </w:p>
    <w:p>
      <w:pPr>
        <w:pStyle w:val="Heading3"/>
      </w:pPr>
      <w:bookmarkStart w:name="b_pagina_4_3_C_7_p19" w:id="3931"/>
      <w:r>
        <w:t xml:space="preserve">C-7 · página 19 · DYNAMO y curva de la epidemia</w:t>
      </w:r>
      <w:bookmarkEnd w:id="3931"/>
    </w:p>
    <w:p>
      <w:pPr>
        <w:pStyle w:val="Normal"/>
      </w:pPr>
      <w:r>
        <w:t xml:space="preserve">El listado y su gráfica conservan las constantes y dos erratas de rotulación.</w:t>
      </w:r>
    </w:p>
    <w:p>
      <w:pPr>
        <w:pStyle w:val="Fuente"/>
      </w:pPr>
      <w:r>
        <w:t xml:space="preserve">Véase </w:t>
      </w:r>
      <w:hyperlink w:history="1" w:anchor="b_figura_original_pagina_C_7_19">
        <w:r>
          <w:rPr>
            <w:color w:val="156B70"/>
            <w:u w:val="single"/>
          </w:rPr>
          <w:t xml:space="preserve">imagen de C-7, página 19</w:t>
        </w:r>
      </w:hyperlink>
      <w:r>
        <w:t xml:space="preserve">, pág. </w:t>
      </w:r>
      <w:r>
        <w:fldChar w:fldCharType="begin"/>
        <w:instrText xml:space="preserve">PAGEREF b_figura_original_pagina_C_7_19 \h</w:instrText>
        <w:fldChar w:fldCharType="separate"/>
        <w:t xml:space="preserve">785</w:t>
        <w:fldChar w:fldCharType="end"/>
      </w:r>
      <w:r>
        <w:t xml:space="preserve">.</w:t>
      </w:r>
    </w:p>
    <w:p>
      <w:bookmarkStart w:name="b_punto_c7_p019_03" w:id="3932"/>
      <w:r>
        <w:t xml:space="preserve">Los infectados crecen enS, los vulnerables caen y TC sube a un máximo y retorna hacia cero.</w:t>
      </w:r>
      <w:bookmarkEnd w:id="3932"/>
    </w:p>
    <w:p>
      <w:bookmarkStart w:name="b_punto_c7_p019_04" w:id="3933"/>
      <w:r>
        <w:t xml:space="preserve">tcn/tnc y PS/PA frente aPI/PV son erratas conservadas de abril.</w:t>
      </w:r>
      <w:bookmarkEnd w:id="3933"/>
    </w:p>
    <w:p>
      <w:pPr>
        <w:pStyle w:val="Fuente"/>
      </w:pPr>
      <w:r>
        <w:t xml:space="preserve">Véase </w:t>
      </w:r>
      <w:hyperlink w:history="1" w:anchor="b_4_4">
        <w:r>
          <w:rPr>
            <w:color w:val="156B70"/>
            <w:u w:val="single"/>
          </w:rPr>
          <w:t xml:space="preserve">capítulo 4.4 · Simulación con VENSIM</w:t>
        </w:r>
      </w:hyperlink>
      <w:r>
        <w:t xml:space="preserve">, pág. </w:t>
      </w:r>
      <w:r>
        <w:fldChar w:fldCharType="begin"/>
        <w:instrText xml:space="preserve">PAGEREF b_4_4 \h</w:instrText>
        <w:fldChar w:fldCharType="separate"/>
        <w:t xml:space="preserve">776</w:t>
        <w:fldChar w:fldCharType="end"/>
      </w:r>
      <w:r>
        <w:t xml:space="preserve">.</w:t>
      </w:r>
    </w:p>
    <w:p>
      <w:pPr>
        <w:pStyle w:val="Fuente"/>
      </w:pPr>
      <w:r>
        <w:t xml:space="preserve">Véase </w:t>
      </w:r>
      <w:hyperlink w:history="1" w:anchor="b_4_5">
        <w:r>
          <w:rPr>
            <w:color w:val="156B70"/>
            <w:u w:val="single"/>
          </w:rPr>
          <w:t xml:space="preserve">capítulo 4.5 · Ejemplos en VENSIM</w:t>
        </w:r>
      </w:hyperlink>
      <w:r>
        <w:t xml:space="preserve">, pág. </w:t>
      </w:r>
      <w:r>
        <w:fldChar w:fldCharType="begin"/>
        <w:instrText xml:space="preserve">PAGEREF b_4_5 \h</w:instrText>
        <w:fldChar w:fldCharType="separate"/>
        <w:t xml:space="preserve">830</w:t>
        <w:fldChar w:fldCharType="end"/>
      </w:r>
      <w:r>
        <w:t xml:space="preserve">.</w:t>
      </w:r>
    </w:p>
    <w:p>
      <w:pPr>
        <w:pStyle w:val="Heading3"/>
      </w:pPr>
      <w:bookmarkStart w:name="b_pagina_4_3_C_7_p24" w:id="3934"/>
      <w:r>
        <w:t xml:space="preserve">C-7 · página 24 · Clientes y conversión X-Y-Z</w:t>
      </w:r>
      <w:bookmarkEnd w:id="3934"/>
    </w:p>
    <w:p>
      <w:pPr>
        <w:pStyle w:val="Normal"/>
      </w:pPr>
      <w:r>
        <w:t xml:space="preserve">Ventas convierte potenciales en actuales y el flujo neto del nivelY es X−Z.</w:t>
      </w:r>
    </w:p>
    <w:p>
      <w:bookmarkStart w:name="b_punto_c7_p024_01" w:id="3935"/>
      <w:r>
        <w:t xml:space="preserve">Potenciales y actuales son niveles por representar poblaciones contables en un instante.</w:t>
      </w:r>
      <w:bookmarkEnd w:id="3935"/>
    </w:p>
    <w:p>
      <w:bookmarkStart w:name="b_punto_c7_p024_02" w:id="3936"/>
      <w:r>
        <w:t xml:space="preserve">Ventas transfiere clientes: sale de potenciales y entra a actuales.</w:t>
      </w:r>
      <w:bookmarkEnd w:id="3936"/>
    </w:p>
    <w:p>
      <w:bookmarkStart w:name="b_punto_c7_p024_03" w:id="3937"/>
      <w:r>
        <w:t xml:space="preserve">SiY es nivel, X con signo positivo lo llena y Z con signo negativo lo vacía: dY/dt=X−Z.</w:t>
      </w:r>
      <w:bookmarkEnd w:id="3937"/>
    </w:p>
    <w:p>
      <w:bookmarkStart w:name="b_punto_c7_p024_04" w:id="3938"/>
      <w:r>
        <w:t xml:space="preserve">Nivel enu implica flujos enu/tiempo; un nivel enkg/s tiene flujos enkg/s².</w:t>
      </w:r>
      <w:bookmarkEnd w:id="3938"/>
    </w:p>
    <w:p>
      <w:bookmarkStart w:name="b_punto_c7_p024_05" w:id="3939"/>
      <w:r>
        <w:t xml:space="preserve">La afirmación sobre toda flecha hacia un stock requiere contexto: una influencia genérica o inicialización no es una tubería.</w:t>
      </w:r>
      <w:bookmarkEnd w:id="3939"/>
    </w:p>
    <w:p>
      <w:pPr>
        <w:pStyle w:val="Heading3"/>
      </w:pPr>
      <w:bookmarkStart w:name="b_pagina_4_3_C_3_p13" w:id="3940"/>
      <w:r>
        <w:t xml:space="preserve">C-3 · página 13 · Ecuaciones, DYNAMO y curva de epidemia</w:t>
      </w:r>
      <w:bookmarkEnd w:id="3940"/>
    </w:p>
    <w:p>
      <w:pPr>
        <w:pStyle w:val="Normal"/>
      </w:pPr>
      <w:r>
        <w:t xml:space="preserve">Tabla de ecuaciones, listado y sus constantes, curvas y errores de rotulación.</w:t>
      </w:r>
    </w:p>
    <w:p>
      <w:pPr>
        <w:pStyle w:val="Fuente"/>
      </w:pPr>
      <w:r>
        <w:t xml:space="preserve">Véase </w:t>
      </w:r>
      <w:hyperlink w:history="1" w:anchor="b_figura_original_pagina_C_3_13">
        <w:r>
          <w:rPr>
            <w:color w:val="156B70"/>
            <w:u w:val="single"/>
          </w:rPr>
          <w:t xml:space="preserve">imagen de C-3, página 13</w:t>
        </w:r>
      </w:hyperlink>
      <w:r>
        <w:t xml:space="preserve">, pág. </w:t>
      </w:r>
      <w:r>
        <w:fldChar w:fldCharType="begin"/>
        <w:instrText xml:space="preserve">PAGEREF b_figura_original_pagina_C_3_13 \h</w:instrText>
        <w:fldChar w:fldCharType="separate"/>
        <w:t xml:space="preserve">789</w:t>
        <w:fldChar w:fldCharType="end"/>
      </w:r>
      <w:r>
        <w:t xml:space="preserve">.</w:t>
      </w:r>
    </w:p>
    <w:p>
      <w:bookmarkStart w:name="b_punto_c3_p013_03" w:id="3941"/>
      <w:r>
        <w:t xml:space="preserve">Los infectados crecen enS, los vulnerables caen y TC sube a un máximo y retorna hacia cero.</w:t>
      </w:r>
      <w:bookmarkEnd w:id="3941"/>
    </w:p>
    <w:p>
      <w:bookmarkStart w:name="b_punto_c3_p013_04" w:id="3942"/>
      <w:r>
        <w:t xml:space="preserve">tcn/tnc y PS/PA frente aPI/PV son erratas conservadas de abril.</w:t>
      </w:r>
      <w:bookmarkEnd w:id="3942"/>
    </w:p>
    <w:p>
      <w:bookmarkStart w:name="b_punto_c3_p013_05" w:id="3943"/>
      <w:r>
        <w:t xml:space="preserve">La tabla relaciona PI(t+Δt), TC=IPC·TNC·PI·PV y PV=PT−PI.</w:t>
      </w:r>
      <w:bookmarkEnd w:id="3943"/>
    </w:p>
    <w:p>
      <w:pPr>
        <w:pStyle w:val="Fuente"/>
      </w:pPr>
      <w:r>
        <w:t xml:space="preserve">Véase </w:t>
      </w:r>
      <w:hyperlink w:history="1" w:anchor="b_4_4">
        <w:r>
          <w:rPr>
            <w:color w:val="156B70"/>
            <w:u w:val="single"/>
          </w:rPr>
          <w:t xml:space="preserve">capítulo 4.4 · Simulación con VENSIM</w:t>
        </w:r>
      </w:hyperlink>
      <w:r>
        <w:t xml:space="preserve">, pág. </w:t>
      </w:r>
      <w:r>
        <w:fldChar w:fldCharType="begin"/>
        <w:instrText xml:space="preserve">PAGEREF b_4_4 \h</w:instrText>
        <w:fldChar w:fldCharType="separate"/>
        <w:t xml:space="preserve">776</w:t>
        <w:fldChar w:fldCharType="end"/>
      </w:r>
      <w:r>
        <w:t xml:space="preserve">.</w:t>
      </w:r>
    </w:p>
    <w:p>
      <w:pPr>
        <w:pStyle w:val="Fuente"/>
      </w:pPr>
      <w:r>
        <w:t xml:space="preserve">Véase </w:t>
      </w:r>
      <w:hyperlink w:history="1" w:anchor="b_4_5">
        <w:r>
          <w:rPr>
            <w:color w:val="156B70"/>
            <w:u w:val="single"/>
          </w:rPr>
          <w:t xml:space="preserve">capítulo 4.5 · Ejemplos en VENSIM</w:t>
        </w:r>
      </w:hyperlink>
      <w:r>
        <w:t xml:space="preserve">, pág. </w:t>
      </w:r>
      <w:r>
        <w:fldChar w:fldCharType="begin"/>
        <w:instrText xml:space="preserve">PAGEREF b_4_5 \h</w:instrText>
        <w:fldChar w:fldCharType="separate"/>
        <w:t xml:space="preserve">830</w:t>
        <w:fldChar w:fldCharType="end"/>
      </w:r>
      <w:r>
        <w:t xml:space="preserve">.</w:t>
      </w:r>
    </w:p>
    <w:p>
      <w:pPr>
        <w:pStyle w:val="Heading3"/>
      </w:pPr>
      <w:bookmarkStart w:name="b_pagina_4_3_C_3_p19" w:id="3944"/>
      <w:r>
        <w:t xml:space="preserve">C-3 · página 19 · Capacidad de planta: conversión</w:t>
      </w:r>
      <w:bookmarkEnd w:id="3944"/>
    </w:p>
    <w:p>
      <w:pPr>
        <w:pStyle w:val="Normal"/>
      </w:pPr>
      <w:r>
        <w:t xml:space="preserve">El faltante respecto de la demanda provoca ajustes que aumentan la capacidad.</w:t>
      </w:r>
    </w:p>
    <w:p>
      <w:pPr>
        <w:keepNext/>
        <w:spacing w:after="40" w:before="150"/>
        <w:jc w:val="center"/>
      </w:pPr>
      <w:bookmarkStart w:name="b_figura_original_pagina_C_3_19" w:id="3945"/>
      <w:bookmarkEnd w:id="3945"/>
      <w:r>
        <w:drawing>
          <wp:inline distT="0" distB="0" distL="0" distR="0">
            <wp:extent cx="5381625" cy="3028950"/>
            <wp:effectExtent t="0" r="0" b="0" l="0"/>
            <wp:docPr id="124" name="pagina-C-3-19" descr="Presentación C-3, pág. 19" title="Capacidad de planta: conversió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02" cstate="none"/>
                    <a:srcRect/>
                    <a:stretch>
                      <a:fillRect/>
                    </a:stretch>
                  </pic:blipFill>
                  <pic:spPr bwMode="auto">
                    <a:xfrm>
                      <a:off x="0" y="0"/>
                      <a:ext cx="5381625" cy="3028950"/>
                    </a:xfrm>
                    <a:prstGeom prst="rect">
                      <a:avLst/>
                    </a:prstGeom>
                  </pic:spPr>
                </pic:pic>
              </a:graphicData>
            </a:graphic>
          </wp:inline>
        </w:drawing>
      </w:r>
    </w:p>
    <w:p>
      <w:pPr>
        <w:pStyle w:val="PieFigura"/>
        <w:keepNext/>
      </w:pPr>
      <w:bookmarkStart w:name="b_fig_4_3_3" w:id="3946"/>
      <w:r>
        <w:t xml:space="preserve">Figura 4.3.</w:t>
      </w:r>
      <w:fldSimple w:instr="SEQ Figura \n \* ARABIC">
        <w:r>
          <w:t xml:space="preserve">3</w:t>
        </w:r>
      </w:fldSimple>
      <w:r>
        <w:t xml:space="preserve"> · Capacidad de planta: conversión</w:t>
      </w:r>
      <w:bookmarkEnd w:id="3946"/>
    </w:p>
    <w:p>
      <w:pPr>
        <w:pStyle w:val="Fuente"/>
      </w:pPr>
      <w:r>
        <w:t xml:space="preserve">Presentación C-3, pág. 19</w:t>
      </w:r>
    </w:p>
    <w:p>
      <w:bookmarkStart w:name="b_punto_c3_p019_01" w:id="3947"/>
      <w:r>
        <w:t xml:space="preserve">Capacidad es nivel; ajustes es flujo; faltante es auxiliar; demanda es externa.</w:t>
      </w:r>
      <w:bookmarkEnd w:id="3947"/>
    </w:p>
    <w:p>
      <w:bookmarkStart w:name="b_punto_c3_p019_02" w:id="3948"/>
      <w:r>
        <w:t xml:space="preserve">Capacidad→faltante tiene signo−; demanda→faltante+, faltante→ajustes+, ajustes→capacidad+.</w:t>
      </w:r>
      <w:bookmarkEnd w:id="3948"/>
    </w:p>
    <w:p>
      <w:bookmarkStart w:name="b_punto_c3_p019_03" w:id="3949"/>
      <w:r>
        <w:t xml:space="preserve">El recorrido de ajustes es balance y el Forrester tiene entradaAjustes hacia el nivelCapacidad.</w:t>
      </w:r>
      <w:bookmarkEnd w:id="3949"/>
    </w:p>
    <w:p>
      <w:bookmarkStart w:name="b_punto_c3_p019_04" w:id="3950"/>
      <w:r>
        <w:t xml:space="preserve">El caso no da tasa numérica: se expresan dependencias sin inventar una función de ajuste.</w:t>
      </w:r>
      <w:bookmarkEnd w:id="3950"/>
    </w:p>
    <w:p>
      <w:pPr>
        <w:pStyle w:val="Heading3"/>
      </w:pPr>
      <w:bookmarkStart w:name="b_pagina_4_3_C_3_p20" w:id="3951"/>
      <w:r>
        <w:t xml:space="preserve">C-3 · página 20 · Capacidad de planta: conversión</w:t>
      </w:r>
      <w:bookmarkEnd w:id="3951"/>
    </w:p>
    <w:p>
      <w:pPr>
        <w:pStyle w:val="Normal"/>
      </w:pPr>
      <w:r>
        <w:t xml:space="preserve">El faltante respecto de la demanda provoca ajustes que aumentan la capacidad.</w:t>
      </w:r>
    </w:p>
    <w:p>
      <w:pPr>
        <w:keepNext/>
        <w:spacing w:after="40" w:before="150"/>
        <w:jc w:val="center"/>
      </w:pPr>
      <w:bookmarkStart w:name="b_figura_original_pagina_C_3_20" w:id="3952"/>
      <w:bookmarkEnd w:id="3952"/>
      <w:r>
        <w:drawing>
          <wp:inline distT="0" distB="0" distL="0" distR="0">
            <wp:extent cx="5381625" cy="3028950"/>
            <wp:effectExtent t="0" r="0" b="0" l="0"/>
            <wp:docPr id="125" name="pagina-C-3-20" descr="Presentación C-3, pág. 20" title="Capacidad de planta: conversió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03" cstate="none"/>
                    <a:srcRect/>
                    <a:stretch>
                      <a:fillRect/>
                    </a:stretch>
                  </pic:blipFill>
                  <pic:spPr bwMode="auto">
                    <a:xfrm>
                      <a:off x="0" y="0"/>
                      <a:ext cx="5381625" cy="3028950"/>
                    </a:xfrm>
                    <a:prstGeom prst="rect">
                      <a:avLst/>
                    </a:prstGeom>
                  </pic:spPr>
                </pic:pic>
              </a:graphicData>
            </a:graphic>
          </wp:inline>
        </w:drawing>
      </w:r>
    </w:p>
    <w:p>
      <w:pPr>
        <w:pStyle w:val="PieFigura"/>
        <w:keepNext/>
      </w:pPr>
      <w:bookmarkStart w:name="b_fig_4_3_4" w:id="3953"/>
      <w:r>
        <w:t xml:space="preserve">Figura 4.3.</w:t>
      </w:r>
      <w:fldSimple w:instr="SEQ Figura \n \* ARABIC">
        <w:r>
          <w:t xml:space="preserve">4</w:t>
        </w:r>
      </w:fldSimple>
      <w:r>
        <w:t xml:space="preserve"> · Capacidad de planta: conversión</w:t>
      </w:r>
      <w:bookmarkEnd w:id="3953"/>
    </w:p>
    <w:p>
      <w:pPr>
        <w:pStyle w:val="Fuente"/>
      </w:pPr>
      <w:r>
        <w:t xml:space="preserve">Presentación C-3, pág. 20</w:t>
      </w:r>
    </w:p>
    <w:p>
      <w:bookmarkStart w:name="b_punto_c3_p020_01" w:id="3954"/>
      <w:r>
        <w:t xml:space="preserve">Capacidad es nivel; ajustes es flujo; faltante es auxiliar; demanda es externa.</w:t>
      </w:r>
      <w:bookmarkEnd w:id="3954"/>
    </w:p>
    <w:p>
      <w:bookmarkStart w:name="b_punto_c3_p020_02" w:id="3955"/>
      <w:r>
        <w:t xml:space="preserve">Capacidad→faltante tiene signo−; demanda→faltante+, faltante→ajustes+, ajustes→capacidad+.</w:t>
      </w:r>
      <w:bookmarkEnd w:id="3955"/>
    </w:p>
    <w:p>
      <w:bookmarkStart w:name="b_punto_c3_p020_03" w:id="3956"/>
      <w:r>
        <w:t xml:space="preserve">El recorrido de ajustes es balance y el Forrester tiene entradaAjustes hacia el nivelCapacidad.</w:t>
      </w:r>
      <w:bookmarkEnd w:id="3956"/>
    </w:p>
    <w:p>
      <w:bookmarkStart w:name="b_punto_c3_p020_04" w:id="3957"/>
      <w:r>
        <w:t xml:space="preserve">El caso no da tasa numérica: se expresan dependencias sin inventar una función de ajuste.</w:t>
      </w:r>
      <w:bookmarkEnd w:id="3957"/>
    </w:p>
    <w:p>
      <w:pPr>
        <w:pStyle w:val="Heading3"/>
      </w:pPr>
      <w:bookmarkStart w:name="b_pagina_4_3_C_3_p21" w:id="3958"/>
      <w:r>
        <w:t xml:space="preserve">C-3 · página 21 · Capital einterés</w:t>
      </w:r>
      <w:bookmarkEnd w:id="3958"/>
    </w:p>
    <w:p>
      <w:pPr>
        <w:pStyle w:val="Normal"/>
      </w:pPr>
      <w:r>
        <w:t xml:space="preserve">El interés es flujo de entrada al capital y ambos crecen en un refuerzo.</w:t>
      </w:r>
    </w:p>
    <w:p>
      <w:pPr>
        <w:pStyle w:val="Fuente"/>
      </w:pPr>
      <w:r>
        <w:t xml:space="preserve">Proyección o explicación: Clase 19 · 01:29:51 · captura c19-12.</w:t>
      </w:r>
    </w:p>
    <w:p>
      <w:pPr>
        <w:keepNext/>
        <w:spacing w:after="40" w:before="150"/>
        <w:jc w:val="center"/>
      </w:pPr>
      <w:bookmarkStart w:name="b_figura_original_pagina_C_3_21" w:id="3959"/>
      <w:bookmarkEnd w:id="3959"/>
      <w:r>
        <w:drawing>
          <wp:inline distT="0" distB="0" distL="0" distR="0">
            <wp:extent cx="5381625" cy="3028950"/>
            <wp:effectExtent t="0" r="0" b="0" l="0"/>
            <wp:docPr id="126" name="pagina-C-3-21" descr="Presentación C-3, pág. 21" title="Capital einteré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04" cstate="none"/>
                    <a:srcRect/>
                    <a:stretch>
                      <a:fillRect/>
                    </a:stretch>
                  </pic:blipFill>
                  <pic:spPr bwMode="auto">
                    <a:xfrm>
                      <a:off x="0" y="0"/>
                      <a:ext cx="5381625" cy="3028950"/>
                    </a:xfrm>
                    <a:prstGeom prst="rect">
                      <a:avLst/>
                    </a:prstGeom>
                  </pic:spPr>
                </pic:pic>
              </a:graphicData>
            </a:graphic>
          </wp:inline>
        </w:drawing>
      </w:r>
    </w:p>
    <w:p>
      <w:pPr>
        <w:pStyle w:val="PieFigura"/>
        <w:keepNext/>
      </w:pPr>
      <w:bookmarkStart w:name="b_fig_4_3_5" w:id="3960"/>
      <w:r>
        <w:t xml:space="preserve">Figura 4.3.</w:t>
      </w:r>
      <w:fldSimple w:instr="SEQ Figura \n \* ARABIC">
        <w:r>
          <w:t xml:space="preserve">5</w:t>
        </w:r>
      </w:fldSimple>
      <w:r>
        <w:t xml:space="preserve"> · Capital einterés</w:t>
      </w:r>
      <w:bookmarkEnd w:id="3960"/>
    </w:p>
    <w:p>
      <w:pPr>
        <w:pStyle w:val="Fuente"/>
      </w:pPr>
      <w:r>
        <w:t xml:space="preserve">Presentación C-3, pág. 21</w:t>
      </w:r>
    </w:p>
    <w:p>
      <w:bookmarkStart w:name="b_punto_c3_p021_01" w:id="3961"/>
      <w:r>
        <w:t xml:space="preserve">Capital es nivel; interés es flujo; la tasa determina interés junto con capital.</w:t>
      </w:r>
      <w:bookmarkEnd w:id="3961"/>
    </w:p>
    <w:p>
      <w:bookmarkStart w:name="b_punto_c3_p021_02" w:id="3962"/>
      <w:r>
        <w:t xml:space="preserve">Capital→interés→capital tiene polaridades positivas y formaR.</w:t>
      </w:r>
      <w:bookmarkEnd w:id="3962"/>
    </w:p>
    <w:p>
      <w:bookmarkStart w:name="b_punto_c3_p021_03" w:id="3963"/>
      <w:r>
        <w:t xml:space="preserve">Capital einterés aumentan; la estructura permite un patrón exponencial según la ecuación del flujo.</w:t>
      </w:r>
      <w:bookmarkEnd w:id="3963"/>
    </w:p>
    <w:p>
      <w:pPr>
        <w:pStyle w:val="Heading3"/>
      </w:pPr>
      <w:bookmarkStart w:name="b_pagina_4_3_C_3_p22" w:id="3964"/>
      <w:r>
        <w:t xml:space="preserve">C-3 · página 22 · Huevos y gallinas: convertir elDCC</w:t>
      </w:r>
      <w:bookmarkEnd w:id="3964"/>
    </w:p>
    <w:p>
      <w:pPr>
        <w:pStyle w:val="Normal"/>
      </w:pPr>
      <w:r>
        <w:t xml:space="preserve">Puesta, eclosión y muertes modifican dos niveles y conservan los bucles de la historia.</w:t>
      </w:r>
    </w:p>
    <w:p>
      <w:pPr>
        <w:keepNext/>
        <w:spacing w:after="40" w:before="150"/>
        <w:jc w:val="center"/>
      </w:pPr>
      <w:bookmarkStart w:name="b_figura_original_pagina_C_3_22" w:id="3965"/>
      <w:bookmarkEnd w:id="3965"/>
      <w:r>
        <w:drawing>
          <wp:inline distT="0" distB="0" distL="0" distR="0">
            <wp:extent cx="5381625" cy="3028950"/>
            <wp:effectExtent t="0" r="0" b="0" l="0"/>
            <wp:docPr id="127" name="pagina-C-3-22" descr="Presentación C-3, pág. 22. Precisión: La presentación usa el nombre «Ejercicio 2» también para el modelo de los teléfonos de la página 37; son ejercicios distintos." title="Huevos y gallinas: convertir elDC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05" cstate="none"/>
                    <a:srcRect/>
                    <a:stretch>
                      <a:fillRect/>
                    </a:stretch>
                  </pic:blipFill>
                  <pic:spPr bwMode="auto">
                    <a:xfrm>
                      <a:off x="0" y="0"/>
                      <a:ext cx="5381625" cy="3028950"/>
                    </a:xfrm>
                    <a:prstGeom prst="rect">
                      <a:avLst/>
                    </a:prstGeom>
                  </pic:spPr>
                </pic:pic>
              </a:graphicData>
            </a:graphic>
          </wp:inline>
        </w:drawing>
      </w:r>
    </w:p>
    <w:p>
      <w:pPr>
        <w:pStyle w:val="PieFigura"/>
        <w:keepNext/>
      </w:pPr>
      <w:bookmarkStart w:name="b_fig_4_3_6" w:id="3966"/>
      <w:r>
        <w:t xml:space="preserve">Figura 4.3.</w:t>
      </w:r>
      <w:fldSimple w:instr="SEQ Figura \n \* ARABIC">
        <w:r>
          <w:t xml:space="preserve">6</w:t>
        </w:r>
      </w:fldSimple>
      <w:r>
        <w:t xml:space="preserve"> · Huevos y gallinas: convertir elDCC</w:t>
      </w:r>
      <w:bookmarkEnd w:id="3966"/>
    </w:p>
    <w:p>
      <w:pPr>
        <w:pStyle w:val="Fuente"/>
      </w:pPr>
      <w:r>
        <w:t xml:space="preserve">Presentación C-3, pág. 22. Precisión: La presentación usa el nombre «Ejercicio 2» también para el modelo de los teléfonos de la página 37; son ejercicios distintos.</w:t>
      </w:r>
    </w:p>
    <w:p>
      <w:bookmarkStart w:name="b_punto_c3_p022_01" w:id="3967"/>
      <w:r>
        <w:t xml:space="preserve">Huevos y gallinas son niveles; puesta llena huevos, eclosión transfiere a gallinas y muertes vacía gallinas.</w:t>
      </w:r>
      <w:bookmarkEnd w:id="3967"/>
    </w:p>
    <w:p>
      <w:bookmarkStart w:name="b_punto_c3_p022_02" w:id="3968"/>
      <w:r>
        <w:t xml:space="preserve">Gallinas→puesta→huevos→eclosión→gallinas forma refuerzo.</w:t>
      </w:r>
      <w:bookmarkEnd w:id="3968"/>
    </w:p>
    <w:p>
      <w:bookmarkStart w:name="b_punto_c3_p022_03" w:id="3969"/>
      <w:r>
        <w:t xml:space="preserve">Eclosión reduce huevos; cruces de carretera aumentan muertes y éstas reducen gallinas: balances.</w:t>
      </w:r>
      <w:bookmarkEnd w:id="3969"/>
    </w:p>
    <w:p>
      <w:bookmarkStart w:name="b_punto_c3_p022_04" w:id="3970"/>
      <w:r>
        <w:t xml:space="preserve">El Forrester conserva transferencias einformación; los balances no autorizan a convertir cada influencia en tubería.</w:t>
      </w:r>
      <w:bookmarkEnd w:id="3970"/>
    </w:p>
    <w:p>
      <w:pPr>
        <w:pStyle w:val="Heading3"/>
      </w:pPr>
      <w:bookmarkStart w:name="b_pagina_4_3_C_3_p26" w:id="3971"/>
      <w:r>
        <w:t xml:space="preserve">C-3 · página 26 · Capital: derivada eintegral</w:t>
      </w:r>
      <w:bookmarkEnd w:id="3971"/>
    </w:p>
    <w:p>
      <w:pPr>
        <w:pStyle w:val="Normal"/>
      </w:pPr>
      <w:r>
        <w:t xml:space="preserve">Depósitos menos retiros determinan la variación del nivel y su integral desde un inicial.</w:t>
      </w:r>
    </w:p>
    <w:p>
      <w:pPr>
        <w:pStyle w:val="Fuente"/>
      </w:pPr>
      <w:r>
        <w:t xml:space="preserve">Véase </w:t>
      </w:r>
      <w:hyperlink w:history="1" w:anchor="b_figura_original_pagina_C_3_26">
        <w:r>
          <w:rPr>
            <w:color w:val="156B70"/>
            <w:u w:val="single"/>
          </w:rPr>
          <w:t xml:space="preserve">imagen de C-3, página 26</w:t>
        </w:r>
      </w:hyperlink>
      <w:r>
        <w:t xml:space="preserve">, pág. </w:t>
      </w:r>
      <w:r>
        <w:fldChar w:fldCharType="begin"/>
        <w:instrText xml:space="preserve">PAGEREF b_figura_original_pagina_C_3_26 \h</w:instrText>
        <w:fldChar w:fldCharType="separate"/>
        <w:t xml:space="preserve">718</w:t>
        <w:fldChar w:fldCharType="end"/>
      </w:r>
      <w:r>
        <w:t xml:space="preserve">.</w:t>
      </w:r>
    </w:p>
    <w:p>
      <w:bookmarkStart w:name="b_punto_c3_p026_02" w:id="3972"/>
      <w:r>
        <w:t xml:space="preserve">El cambio en un intervalo es flujo neto por duración del intervalo.</w:t>
      </w:r>
      <w:bookmarkEnd w:id="3972"/>
    </w:p>
    <w:p>
      <w:pPr>
        <w:pStyle w:val="Fuente"/>
      </w:pPr>
      <w:r>
        <w:t xml:space="preserve">Véase </w:t>
      </w:r>
      <w:hyperlink w:history="1" w:anchor="b_4_2">
        <w:r>
          <w:rPr>
            <w:color w:val="156B70"/>
            <w:u w:val="single"/>
          </w:rPr>
          <w:t xml:space="preserve">capítulo 4.2 · Flujos y niveles</w:t>
        </w:r>
      </w:hyperlink>
      <w:r>
        <w:t xml:space="preserve">, pág. </w:t>
      </w:r>
      <w:r>
        <w:fldChar w:fldCharType="begin"/>
        <w:instrText xml:space="preserve">PAGEREF b_4_2 \h</w:instrText>
        <w:fldChar w:fldCharType="separate"/>
        <w:t xml:space="preserve">709</w:t>
        <w:fldChar w:fldCharType="end"/>
      </w:r>
      <w:r>
        <w:t xml:space="preserve">.</w:t>
      </w:r>
    </w:p>
    <w:p>
      <w:pPr>
        <w:pStyle w:val="Heading3"/>
      </w:pPr>
      <w:bookmarkStart w:name="b_pagina_4_3_C_3_p31" w:id="3973"/>
      <w:r>
        <w:t xml:space="preserve">C-3 · página 31 · Huevos y gallinas: convertir elDCC</w:t>
      </w:r>
      <w:bookmarkEnd w:id="3973"/>
    </w:p>
    <w:p>
      <w:pPr>
        <w:pStyle w:val="Normal"/>
      </w:pPr>
      <w:r>
        <w:t xml:space="preserve">Puesta, eclosión y muertes modifican dos niveles y conservan los bucles de la historia.</w:t>
      </w:r>
    </w:p>
    <w:p>
      <w:bookmarkStart w:name="b_punto_c3_p031_01" w:id="3974"/>
      <w:r>
        <w:t xml:space="preserve">Huevos y gallinas son niveles; puesta llena huevos, eclosión transfiere a gallinas y muertes vacía gallinas.</w:t>
      </w:r>
      <w:bookmarkEnd w:id="3974"/>
    </w:p>
    <w:p>
      <w:bookmarkStart w:name="b_punto_c3_p031_02" w:id="3975"/>
      <w:r>
        <w:t xml:space="preserve">Gallinas→puesta→huevos→eclosión→gallinas forma refuerzo.</w:t>
      </w:r>
      <w:bookmarkEnd w:id="3975"/>
    </w:p>
    <w:p>
      <w:bookmarkStart w:name="b_punto_c3_p031_03" w:id="3976"/>
      <w:r>
        <w:t xml:space="preserve">Eclosión reduce huevos; cruces de carretera aumentan muertes y éstas reducen gallinas: balances.</w:t>
      </w:r>
      <w:bookmarkEnd w:id="3976"/>
    </w:p>
    <w:p>
      <w:bookmarkStart w:name="b_punto_c3_p031_04" w:id="3977"/>
      <w:r>
        <w:t xml:space="preserve">El Forrester conserva transferencias einformación; los balances no autorizan a convertir cada influencia en tubería.</w:t>
      </w:r>
      <w:bookmarkEnd w:id="3977"/>
    </w:p>
    <w:p>
      <w:pPr>
        <w:pStyle w:val="Heading3"/>
      </w:pPr>
      <w:bookmarkStart w:name="b_pagina_4_3_C_3_p32" w:id="3978"/>
      <w:r>
        <w:t xml:space="preserve">C-3 · página 32 · Huevos y gallinas: convertir elDCC</w:t>
      </w:r>
      <w:bookmarkEnd w:id="3978"/>
    </w:p>
    <w:p>
      <w:pPr>
        <w:pStyle w:val="Normal"/>
      </w:pPr>
      <w:r>
        <w:t xml:space="preserve">Puesta, eclosión y muertes modifican dos niveles y conservan los bucles de la historia.</w:t>
      </w:r>
    </w:p>
    <w:p>
      <w:pPr>
        <w:keepNext/>
        <w:spacing w:after="40" w:before="150"/>
        <w:jc w:val="center"/>
      </w:pPr>
      <w:bookmarkStart w:name="b_figura_original_pagina_C_3_32" w:id="3979"/>
      <w:bookmarkEnd w:id="3979"/>
      <w:r>
        <w:drawing>
          <wp:inline distT="0" distB="0" distL="0" distR="0">
            <wp:extent cx="5381625" cy="3028950"/>
            <wp:effectExtent t="0" r="0" b="0" l="0"/>
            <wp:docPr id="128" name="pagina-C-3-32" descr="Presentación C-3, pág. 32" title="Huevos y gallinas: convertir elDC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06" cstate="none"/>
                    <a:srcRect/>
                    <a:stretch>
                      <a:fillRect/>
                    </a:stretch>
                  </pic:blipFill>
                  <pic:spPr bwMode="auto">
                    <a:xfrm>
                      <a:off x="0" y="0"/>
                      <a:ext cx="5381625" cy="3028950"/>
                    </a:xfrm>
                    <a:prstGeom prst="rect">
                      <a:avLst/>
                    </a:prstGeom>
                  </pic:spPr>
                </pic:pic>
              </a:graphicData>
            </a:graphic>
          </wp:inline>
        </w:drawing>
      </w:r>
    </w:p>
    <w:p>
      <w:pPr>
        <w:pStyle w:val="PieFigura"/>
        <w:keepNext/>
      </w:pPr>
      <w:bookmarkStart w:name="b_fig_4_3_7" w:id="3980"/>
      <w:r>
        <w:t xml:space="preserve">Figura 4.3.</w:t>
      </w:r>
      <w:fldSimple w:instr="SEQ Figura \n \* ARABIC">
        <w:r>
          <w:t xml:space="preserve">7</w:t>
        </w:r>
      </w:fldSimple>
      <w:r>
        <w:t xml:space="preserve"> · Huevos y gallinas: convertir elDCC</w:t>
      </w:r>
      <w:bookmarkEnd w:id="3980"/>
    </w:p>
    <w:p>
      <w:pPr>
        <w:pStyle w:val="Fuente"/>
      </w:pPr>
      <w:r>
        <w:t xml:space="preserve">Presentación C-3, pág. 32</w:t>
      </w:r>
    </w:p>
    <w:p>
      <w:bookmarkStart w:name="b_punto_c3_p032_01" w:id="3981"/>
      <w:r>
        <w:t xml:space="preserve">Huevos y gallinas son niveles; puesta llena huevos, eclosión transfiere a gallinas y muertes vacía gallinas.</w:t>
      </w:r>
      <w:bookmarkEnd w:id="3981"/>
    </w:p>
    <w:p>
      <w:bookmarkStart w:name="b_punto_c3_p032_02" w:id="3982"/>
      <w:r>
        <w:t xml:space="preserve">Gallinas→puesta→huevos→eclosión→gallinas forma refuerzo.</w:t>
      </w:r>
      <w:bookmarkEnd w:id="3982"/>
    </w:p>
    <w:p>
      <w:bookmarkStart w:name="b_punto_c3_p032_03" w:id="3983"/>
      <w:r>
        <w:t xml:space="preserve">Eclosión reduce huevos; cruces de carretera aumentan muertes y éstas reducen gallinas: balances.</w:t>
      </w:r>
      <w:bookmarkEnd w:id="3983"/>
    </w:p>
    <w:p>
      <w:bookmarkStart w:name="b_punto_c3_p032_04" w:id="3984"/>
      <w:r>
        <w:t xml:space="preserve">El Forrester conserva transferencias einformación; los balances no autorizan a convertir cada influencia en tubería.</w:t>
      </w:r>
      <w:bookmarkEnd w:id="3984"/>
    </w:p>
    <w:p>
      <w:pPr>
        <w:pStyle w:val="Heading3"/>
      </w:pPr>
      <w:r>
        <w:t xml:space="preserve">Láminas de apoyo y versiones anteriores</w:t>
      </w:r>
    </w:p>
    <w:p>
      <w:pPr>
        <w:keepNext/>
        <w:spacing w:after="40" w:before="150"/>
        <w:jc w:val="center"/>
      </w:pPr>
      <w:bookmarkStart w:name="b_figura_original_pagina_C_3_10" w:id="3985"/>
      <w:bookmarkEnd w:id="3985"/>
      <w:r>
        <w:drawing>
          <wp:inline distT="0" distB="0" distL="0" distR="0">
            <wp:extent cx="5381625" cy="3028950"/>
            <wp:effectExtent t="0" r="0" b="0" l="0"/>
            <wp:docPr id="129" name="pagina-C-3-10" descr="Presentación C-3, pág. 10. Precisión: R1 a R4 nombran aquí las cuatro relaciones (influencias), no ciclos. El diagrama tiene un ciclo de refuerzo (contagio e infectados) y uno de balance (infectados, vulnerables y contagio)." title="Hasta ahora hemos modelado diagramas de causa y efecto o diagramas de influencias: proceso de propagación de una epidem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00" cstate="none"/>
                    <a:srcRect/>
                    <a:stretch>
                      <a:fillRect/>
                    </a:stretch>
                  </pic:blipFill>
                  <pic:spPr bwMode="auto">
                    <a:xfrm>
                      <a:off x="0" y="0"/>
                      <a:ext cx="5381625" cy="3028950"/>
                    </a:xfrm>
                    <a:prstGeom prst="rect">
                      <a:avLst/>
                    </a:prstGeom>
                  </pic:spPr>
                </pic:pic>
              </a:graphicData>
            </a:graphic>
          </wp:inline>
        </w:drawing>
      </w:r>
    </w:p>
    <w:p>
      <w:pPr>
        <w:pStyle w:val="PieFigura"/>
        <w:keepNext/>
      </w:pPr>
      <w:bookmarkStart w:name="b_fig_4_3_8" w:id="3986"/>
      <w:r>
        <w:t xml:space="preserve">Figura 4.3.</w:t>
      </w:r>
      <w:fldSimple w:instr="SEQ Figura \n \* ARABIC">
        <w:r>
          <w:t xml:space="preserve">8</w:t>
        </w:r>
      </w:fldSimple>
      <w:r>
        <w:t xml:space="preserve"> · Hasta ahora hemos modelado diagramas de causa y efecto o diagramas de influencias: proceso de propagación de una epidemia</w:t>
      </w:r>
      <w:bookmarkEnd w:id="3986"/>
    </w:p>
    <w:p>
      <w:pPr>
        <w:pStyle w:val="Fuente"/>
      </w:pPr>
      <w:r>
        <w:t xml:space="preserve">Presentación C-3, pág. 10. Precisión: R1 a R4 nombran aquí las cuatro relaciones (influencias), no ciclos. El diagrama tiene un ciclo de refuerzo (contagio e infectados) y uno de balance (infectados, vulnerables y contagio).</w:t>
      </w:r>
    </w:p>
    <w:p>
      <w:pPr>
        <w:keepNext/>
        <w:spacing w:after="40" w:before="150"/>
        <w:jc w:val="center"/>
      </w:pPr>
      <w:bookmarkStart w:name="b_figura_original_pagina_C_3_11" w:id="3987"/>
      <w:bookmarkEnd w:id="3987"/>
      <w:r>
        <w:drawing>
          <wp:inline distT="0" distB="0" distL="0" distR="0">
            <wp:extent cx="5381625" cy="3028950"/>
            <wp:effectExtent t="0" r="0" b="0" l="0"/>
            <wp:docPr id="130" name="pagina-C-3-11" descr="Presentación C-3, pág. 11" title="Convirtiendo el diagrama de causa y efecto en un diagrama de flujos y nive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07" cstate="none"/>
                    <a:srcRect/>
                    <a:stretch>
                      <a:fillRect/>
                    </a:stretch>
                  </pic:blipFill>
                  <pic:spPr bwMode="auto">
                    <a:xfrm>
                      <a:off x="0" y="0"/>
                      <a:ext cx="5381625" cy="3028950"/>
                    </a:xfrm>
                    <a:prstGeom prst="rect">
                      <a:avLst/>
                    </a:prstGeom>
                  </pic:spPr>
                </pic:pic>
              </a:graphicData>
            </a:graphic>
          </wp:inline>
        </w:drawing>
      </w:r>
    </w:p>
    <w:p>
      <w:pPr>
        <w:pStyle w:val="PieFigura"/>
        <w:keepNext/>
      </w:pPr>
      <w:bookmarkStart w:name="b_fig_4_3_9" w:id="3988"/>
      <w:r>
        <w:t xml:space="preserve">Figura 4.3.</w:t>
      </w:r>
      <w:fldSimple w:instr="SEQ Figura \n \* ARABIC">
        <w:r>
          <w:t xml:space="preserve">9</w:t>
        </w:r>
      </w:fldSimple>
      <w:r>
        <w:t xml:space="preserve"> · Convirtiendo el diagrama de causa y efecto en un diagrama de flujos y niveles</w:t>
      </w:r>
      <w:bookmarkEnd w:id="3988"/>
    </w:p>
    <w:p>
      <w:pPr>
        <w:pStyle w:val="Fuente"/>
      </w:pPr>
      <w:r>
        <w:t xml:space="preserve">Presentación C-3, pág. 11</w:t>
      </w:r>
    </w:p>
    <w:p>
      <w:pPr>
        <w:keepNext/>
        <w:spacing w:after="40" w:before="150"/>
        <w:jc w:val="center"/>
      </w:pPr>
      <w:bookmarkStart w:name="b_figura_original_pagina_C_3_12" w:id="3989"/>
      <w:bookmarkEnd w:id="3989"/>
      <w:r>
        <w:drawing>
          <wp:inline distT="0" distB="0" distL="0" distR="0">
            <wp:extent cx="5381625" cy="3028950"/>
            <wp:effectExtent t="0" r="0" b="0" l="0"/>
            <wp:docPr id="131" name="pagina-C-3-12" descr="Presentación C-3, pág. 12" title="Diagrama de flujo y nivel para la propagación de una epidem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08" cstate="none"/>
                    <a:srcRect/>
                    <a:stretch>
                      <a:fillRect/>
                    </a:stretch>
                  </pic:blipFill>
                  <pic:spPr bwMode="auto">
                    <a:xfrm>
                      <a:off x="0" y="0"/>
                      <a:ext cx="5381625" cy="3028950"/>
                    </a:xfrm>
                    <a:prstGeom prst="rect">
                      <a:avLst/>
                    </a:prstGeom>
                  </pic:spPr>
                </pic:pic>
              </a:graphicData>
            </a:graphic>
          </wp:inline>
        </w:drawing>
      </w:r>
    </w:p>
    <w:p>
      <w:pPr>
        <w:pStyle w:val="PieFigura"/>
        <w:keepNext/>
      </w:pPr>
      <w:bookmarkStart w:name="b_fig_4_3_10" w:id="3990"/>
      <w:r>
        <w:t xml:space="preserve">Figura 4.3.</w:t>
      </w:r>
      <w:fldSimple w:instr="SEQ Figura \n \* ARABIC">
        <w:r>
          <w:t xml:space="preserve">10</w:t>
        </w:r>
      </w:fldSimple>
      <w:r>
        <w:t xml:space="preserve"> · Diagrama de flujo y nivel para la propagación de una epidemia</w:t>
      </w:r>
      <w:bookmarkEnd w:id="3990"/>
    </w:p>
    <w:p>
      <w:pPr>
        <w:pStyle w:val="Fuente"/>
      </w:pPr>
      <w:r>
        <w:t xml:space="preserve">Presentación C-3, pág. 12</w:t>
      </w:r>
    </w:p>
    <w:p>
      <w:pPr>
        <w:keepNext/>
        <w:spacing w:after="40" w:before="150"/>
        <w:jc w:val="center"/>
      </w:pPr>
      <w:bookmarkStart w:name="b_figura_original_pagina_C_3_18" w:id="3991"/>
      <w:bookmarkEnd w:id="3991"/>
      <w:r>
        <w:drawing>
          <wp:inline distT="0" distB="0" distL="0" distR="0">
            <wp:extent cx="5381625" cy="3028950"/>
            <wp:effectExtent t="0" r="0" b="0" l="0"/>
            <wp:docPr id="132" name="pagina-C-3-18" descr="Presentación C-3, pág. 18" title="Conversión de DCC a diagramas de flujo y nive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09" cstate="none"/>
                    <a:srcRect/>
                    <a:stretch>
                      <a:fillRect/>
                    </a:stretch>
                  </pic:blipFill>
                  <pic:spPr bwMode="auto">
                    <a:xfrm>
                      <a:off x="0" y="0"/>
                      <a:ext cx="5381625" cy="3028950"/>
                    </a:xfrm>
                    <a:prstGeom prst="rect">
                      <a:avLst/>
                    </a:prstGeom>
                  </pic:spPr>
                </pic:pic>
              </a:graphicData>
            </a:graphic>
          </wp:inline>
        </w:drawing>
      </w:r>
    </w:p>
    <w:p>
      <w:pPr>
        <w:pStyle w:val="PieFigura"/>
        <w:keepNext/>
      </w:pPr>
      <w:bookmarkStart w:name="b_fig_4_3_11" w:id="3992"/>
      <w:r>
        <w:t xml:space="preserve">Figura 4.3.</w:t>
      </w:r>
      <w:fldSimple w:instr="SEQ Figura \n \* ARABIC">
        <w:r>
          <w:t xml:space="preserve">11</w:t>
        </w:r>
      </w:fldSimple>
      <w:r>
        <w:t xml:space="preserve"> · Conversión de DCC a diagramas de flujo y niveles</w:t>
      </w:r>
      <w:bookmarkEnd w:id="3992"/>
    </w:p>
    <w:p>
      <w:pPr>
        <w:pStyle w:val="Fuente"/>
      </w:pPr>
      <w:r>
        <w:t xml:space="preserve">Presentación C-3, pág. 18</w:t>
      </w:r>
    </w:p>
    <w:p>
      <w:pPr>
        <w:pStyle w:val="Heading3"/>
      </w:pPr>
      <w:r>
        <w:t xml:space="preserve">Lo que explicó el profesor en clase</w:t>
      </w:r>
    </w:p>
    <w:p>
      <w:pPr>
        <w:pStyle w:val="Heading3"/>
      </w:pPr>
      <w:bookmarkStart w:name="b_clase_4_3_c18_cap_06" w:id="3993"/>
      <w:r>
        <w:t xml:space="preserve">Clase 18 · 01:08:02–01:12:57 · Calendario y transición a las acumulaciones</w:t>
      </w:r>
      <w:bookmarkEnd w:id="3993"/>
    </w:p>
    <w:p>
      <w:bookmarkStart w:name="b_punto_c18_cap_06_p04" w:id="3994"/>
      <w:r>
        <w:t xml:space="preserve">Pasar del DCC a acumulaciones y tasas añade detalle cuando se necesita comprender o simular el sistema.</w:t>
      </w:r>
      <w:bookmarkEnd w:id="3994"/>
    </w:p>
    <w:p>
      <w:pPr>
        <w:pStyle w:val="Fuente"/>
      </w:pPr>
      <w:r>
        <w:t xml:space="preserve">Véase </w:t>
      </w:r>
      <w:hyperlink w:history="1" w:anchor="b_4_2">
        <w:r>
          <w:rPr>
            <w:color w:val="156B70"/>
            <w:u w:val="single"/>
          </w:rPr>
          <w:t xml:space="preserve">capítulo 4.2 · Flujos y niveles</w:t>
        </w:r>
      </w:hyperlink>
      <w:r>
        <w:t xml:space="preserve">, pág. </w:t>
      </w:r>
      <w:r>
        <w:fldChar w:fldCharType="begin"/>
        <w:instrText xml:space="preserve">PAGEREF b_4_2 \h</w:instrText>
        <w:fldChar w:fldCharType="separate"/>
        <w:t xml:space="preserve">709</w:t>
        <w:fldChar w:fldCharType="end"/>
      </w:r>
      <w:r>
        <w:t xml:space="preserve">.</w:t>
      </w:r>
    </w:p>
    <w:p>
      <w:pPr>
        <w:pStyle w:val="Fuente"/>
      </w:pPr>
      <w:r>
        <w:t xml:space="preserve">Véase </w:t>
      </w:r>
      <w:hyperlink w:history="1" w:anchor="b_4_7">
        <w:r>
          <w:rPr>
            <w:color w:val="156B70"/>
            <w:u w:val="single"/>
          </w:rPr>
          <w:t xml:space="preserve">capítulo 4.7 · Hábitos (simulación)</w:t>
        </w:r>
      </w:hyperlink>
      <w:r>
        <w:t xml:space="preserve">, pág. </w:t>
      </w:r>
      <w:r>
        <w:fldChar w:fldCharType="begin"/>
        <w:instrText xml:space="preserve">PAGEREF b_4_7 \h</w:instrText>
        <w:fldChar w:fldCharType="separate"/>
        <w:t xml:space="preserve">932</w:t>
        <w:fldChar w:fldCharType="end"/>
      </w:r>
      <w:r>
        <w:t xml:space="preserve">.</w:t>
      </w:r>
    </w:p>
    <w:p>
      <w:pPr>
        <w:pStyle w:val="Heading3"/>
      </w:pPr>
      <w:bookmarkStart w:name="b_clase_4_3_c18_cap_08" w:id="3995"/>
      <w:r>
        <w:t xml:space="preserve">Clase 18 · 01:18:54–01:28:31 · Dinero, inventarios y reservas</w:t>
      </w:r>
      <w:bookmarkEnd w:id="3995"/>
    </w:p>
    <w:p>
      <w:bookmarkStart w:name="b_punto_c18_cap_08_p01" w:id="3996"/>
      <w:r>
        <w:t xml:space="preserve">El saldo acumula depósitos e intereses; comparar instantáneas permite observar cambios del dinero contenido.</w:t>
      </w:r>
      <w:bookmarkEnd w:id="3996"/>
    </w:p>
    <w:p>
      <w:bookmarkStart w:name="b_punto_c18_cap_08_p06" w:id="3997"/>
      <w:r>
        <w:t xml:space="preserve">El modelo de flujos y niveles añade detalle identificando los acumuladores que interesa estudiar.</w:t>
      </w:r>
      <w:bookmarkEnd w:id="3997"/>
    </w:p>
    <w:p>
      <w:pPr>
        <w:pStyle w:val="Fuente"/>
      </w:pPr>
      <w:r>
        <w:t xml:space="preserve">Véase </w:t>
      </w:r>
      <w:hyperlink w:history="1" w:anchor="b_senales_examen">
        <w:r>
          <w:rPr>
            <w:color w:val="156B70"/>
            <w:u w:val="single"/>
          </w:rPr>
          <w:t xml:space="preserve">1 indicación(es) de examen de este tramo, en el apéndice cronológico</w:t>
        </w:r>
      </w:hyperlink>
      <w:r>
        <w:t xml:space="preserve">, pág. </w:t>
      </w:r>
      <w:r>
        <w:fldChar w:fldCharType="begin"/>
        <w:instrText xml:space="preserve">PAGEREF b_senales_examen \h</w:instrText>
        <w:fldChar w:fldCharType="separate"/>
        <w:t xml:space="preserve">1663</w:t>
        <w:fldChar w:fldCharType="end"/>
      </w:r>
      <w:r>
        <w:t xml:space="preserve">.</w:t>
      </w:r>
    </w:p>
    <w:p>
      <w:pPr>
        <w:pStyle w:val="Fuente"/>
      </w:pPr>
      <w:r>
        <w:t xml:space="preserve">Véase </w:t>
      </w:r>
      <w:hyperlink w:history="1" w:anchor="b_4_2">
        <w:r>
          <w:rPr>
            <w:color w:val="156B70"/>
            <w:u w:val="single"/>
          </w:rPr>
          <w:t xml:space="preserve">capítulo 4.2 · Flujos y niveles</w:t>
        </w:r>
      </w:hyperlink>
      <w:r>
        <w:t xml:space="preserve">, pág. </w:t>
      </w:r>
      <w:r>
        <w:fldChar w:fldCharType="begin"/>
        <w:instrText xml:space="preserve">PAGEREF b_4_2 \h</w:instrText>
        <w:fldChar w:fldCharType="separate"/>
        <w:t xml:space="preserve">709</w:t>
        <w:fldChar w:fldCharType="end"/>
      </w:r>
      <w:r>
        <w:t xml:space="preserve">.</w:t>
      </w:r>
    </w:p>
    <w:p>
      <w:pPr>
        <w:pStyle w:val="Heading3"/>
      </w:pPr>
      <w:bookmarkStart w:name="b_clase_4_3_c18_cap_09" w:id="3998"/>
      <w:r>
        <w:t xml:space="preserve">Clase 18 · 01:28:31–01:33:27 · El recipiente para aves</w:t>
      </w:r>
      <w:bookmarkEnd w:id="3998"/>
    </w:p>
    <w:p>
      <w:bookmarkStart w:name="b_punto_c18_cap_09_p03" w:id="3999"/>
      <w:r>
        <w:t xml:space="preserve">Los cambios efectivos del material se representan como flujos; una influencia informativa no transporta por sí misma ese material.</w:t>
      </w:r>
      <w:bookmarkEnd w:id="3999"/>
    </w:p>
    <w:p>
      <w:pPr>
        <w:pStyle w:val="Fuente"/>
      </w:pPr>
      <w:r>
        <w:t xml:space="preserve">Véase </w:t>
      </w:r>
      <w:hyperlink w:history="1" w:anchor="b_4_2">
        <w:r>
          <w:rPr>
            <w:color w:val="156B70"/>
            <w:u w:val="single"/>
          </w:rPr>
          <w:t xml:space="preserve">capítulo 4.2 · Flujos y niveles</w:t>
        </w:r>
      </w:hyperlink>
      <w:r>
        <w:t xml:space="preserve">, pág. </w:t>
      </w:r>
      <w:r>
        <w:fldChar w:fldCharType="begin"/>
        <w:instrText xml:space="preserve">PAGEREF b_4_2 \h</w:instrText>
        <w:fldChar w:fldCharType="separate"/>
        <w:t xml:space="preserve">709</w:t>
        <w:fldChar w:fldCharType="end"/>
      </w:r>
      <w:r>
        <w:t xml:space="preserve">.</w:t>
      </w:r>
    </w:p>
    <w:p>
      <w:pPr>
        <w:pStyle w:val="Heading3"/>
      </w:pPr>
      <w:bookmarkStart w:name="b_clase_4_3_c19_cap_02" w:id="4000"/>
      <w:r>
        <w:t xml:space="preserve">Clase 19 · 00:12:36–00:19:44 · La epidemia como estructura causal</w:t>
      </w:r>
      <w:bookmarkEnd w:id="4000"/>
    </w:p>
    <w:p>
      <w:bookmarkStart w:name="b_punto_c19_cap_02_p02" w:id="4001"/>
      <w:r>
        <w:t xml:space="preserve">El DCC de epidemia tiene refuerzo por contagio y balance por reducción de vulnerables; PT influye desde fuera de esos lazos.</w:t>
      </w:r>
      <w:bookmarkEnd w:id="4001"/>
    </w:p>
    <w:p>
      <w:bookmarkStart w:name="b_punto_c19_cap_02_p03" w:id="4002"/>
      <w:r>
        <w:t xml:space="preserve">Más infectados dejan menos vulnerables; más población total deja más vulnerables, manteniendo las demás condiciones.</w:t>
      </w:r>
      <w:bookmarkEnd w:id="4002"/>
    </w:p>
    <w:p>
      <w:bookmarkStart w:name="b_punto_c19_cap_02_p04" w:id="4003"/>
      <w:r>
        <w:t xml:space="preserve">Se anticipa crecimiento de infectados y agotamiento de vulnerables y después se contrasta la intuición con la trayectoria calculada.</w:t>
      </w:r>
      <w:bookmarkEnd w:id="4003"/>
    </w:p>
    <w:p>
      <w:pPr>
        <w:pStyle w:val="Fuente"/>
      </w:pPr>
      <w:r>
        <w:t xml:space="preserve">Véase </w:t>
      </w:r>
      <w:hyperlink w:history="1" w:anchor="b_4_2">
        <w:r>
          <w:rPr>
            <w:color w:val="156B70"/>
            <w:u w:val="single"/>
          </w:rPr>
          <w:t xml:space="preserve">capítulo 4.2 · Flujos y niveles</w:t>
        </w:r>
      </w:hyperlink>
      <w:r>
        <w:t xml:space="preserve">, pág. </w:t>
      </w:r>
      <w:r>
        <w:fldChar w:fldCharType="begin"/>
        <w:instrText xml:space="preserve">PAGEREF b_4_2 \h</w:instrText>
        <w:fldChar w:fldCharType="separate"/>
        <w:t xml:space="preserve">709</w:t>
        <w:fldChar w:fldCharType="end"/>
      </w:r>
      <w:r>
        <w:t xml:space="preserve">.</w:t>
      </w:r>
    </w:p>
    <w:p>
      <w:pPr>
        <w:pStyle w:val="Heading3"/>
      </w:pPr>
      <w:bookmarkStart w:name="b_clase_4_3_c19_cap_03" w:id="4004"/>
      <w:r>
        <w:t xml:space="preserve">Clase 19 · 00:19:44–00:32:08 · Clasificar variables según el modelo</w:t>
      </w:r>
      <w:bookmarkEnd w:id="4004"/>
    </w:p>
    <w:p>
      <w:bookmarkStart w:name="b_punto_c19_cap_03_p01" w:id="4005"/>
      <w:r>
        <w:t xml:space="preserve">Se distinguen niveles, flujos, auxiliares y parámetros y se formalizan las relaciones mediante ecuaciones.</w:t>
      </w:r>
      <w:bookmarkEnd w:id="4005"/>
    </w:p>
    <w:p>
      <w:bookmarkStart w:name="b_punto_c19_cap_03_p02" w:id="4006"/>
      <w:r>
        <w:t xml:space="preserve">La clasificación depende de propósito y frontera: PI es nivel, PV auxiliar y PT parámetro en esta representación.</w:t>
      </w:r>
      <w:bookmarkEnd w:id="4006"/>
    </w:p>
    <w:p>
      <w:bookmarkStart w:name="b_punto_c19_cap_03_p04" w:id="4007"/>
      <w:r>
        <w:t xml:space="preserve">PV se obtiene por diferencia entre población total e infectada: PV = PT − PI.</w:t>
      </w:r>
      <w:bookmarkEnd w:id="4007"/>
    </w:p>
    <w:p>
      <w:bookmarkStart w:name="b_punto_c19_cap_03_p06" w:id="4008"/>
      <w:r>
        <w:t xml:space="preserve">TC depende de PI, PV y parámetros; otro modelo podría representar PV como segundo nivel sin volverlo obligatorio en éste.</w:t>
      </w:r>
      <w:bookmarkEnd w:id="4008"/>
    </w:p>
    <w:p>
      <w:pPr>
        <w:pStyle w:val="Fuente"/>
      </w:pPr>
      <w:r>
        <w:t xml:space="preserve">Véase </w:t>
      </w:r>
      <w:hyperlink w:history="1" w:anchor="b_4_4">
        <w:r>
          <w:rPr>
            <w:color w:val="156B70"/>
            <w:u w:val="single"/>
          </w:rPr>
          <w:t xml:space="preserve">capítulo 4.4 · Simulación con VENSIM</w:t>
        </w:r>
      </w:hyperlink>
      <w:r>
        <w:t xml:space="preserve">, pág. </w:t>
      </w:r>
      <w:r>
        <w:fldChar w:fldCharType="begin"/>
        <w:instrText xml:space="preserve">PAGEREF b_4_4 \h</w:instrText>
        <w:fldChar w:fldCharType="separate"/>
        <w:t xml:space="preserve">776</w:t>
        <w:fldChar w:fldCharType="end"/>
      </w:r>
      <w:r>
        <w:t xml:space="preserve">.</w:t>
      </w:r>
    </w:p>
    <w:p>
      <w:pPr>
        <w:pStyle w:val="Heading3"/>
      </w:pPr>
      <w:bookmarkStart w:name="b_clase_4_3_c19_cap_04" w:id="4009"/>
      <w:r>
        <w:t xml:space="preserve">Clase 19 · 00:32:08–00:36:25 · De relaciones a ecuaciones</w:t>
      </w:r>
      <w:bookmarkEnd w:id="4009"/>
    </w:p>
    <w:p>
      <w:bookmarkStart w:name="b_punto_c19_cap_04_p01" w:id="4010"/>
      <w:r>
        <w:t xml:space="preserve">La actualización conserva el nivel previo y añade el flujo neto por el paso temporal; esta epidemia no incluye recuperación.</w:t>
      </w:r>
      <w:bookmarkEnd w:id="4010"/>
    </w:p>
    <w:p>
      <w:bookmarkStart w:name="b_punto_c19_cap_04_p03" w:id="4011"/>
      <w:r>
        <w:t xml:space="preserve">La gráfica PS/PA no parece corresponder a PI/PV; el profesor decide reproducir el caso y no aceptar las etiquetas sin revisión.</w:t>
      </w:r>
      <w:bookmarkEnd w:id="4011"/>
    </w:p>
    <w:p>
      <w:pPr>
        <w:pStyle w:val="Fuente"/>
      </w:pPr>
      <w:r>
        <w:t xml:space="preserve">Véase </w:t>
      </w:r>
      <w:hyperlink w:history="1" w:anchor="b_4_4">
        <w:r>
          <w:rPr>
            <w:color w:val="156B70"/>
            <w:u w:val="single"/>
          </w:rPr>
          <w:t xml:space="preserve">capítulo 4.4 · Simulación con VENSIM</w:t>
        </w:r>
      </w:hyperlink>
      <w:r>
        <w:t xml:space="preserve">, pág. </w:t>
      </w:r>
      <w:r>
        <w:fldChar w:fldCharType="begin"/>
        <w:instrText xml:space="preserve">PAGEREF b_4_4 \h</w:instrText>
        <w:fldChar w:fldCharType="separate"/>
        <w:t xml:space="preserve">776</w:t>
        <w:fldChar w:fldCharType="end"/>
      </w:r>
      <w:r>
        <w:t xml:space="preserve">.</w:t>
      </w:r>
    </w:p>
    <w:p>
      <w:pPr>
        <w:pStyle w:val="Heading3"/>
      </w:pPr>
      <w:bookmarkStart w:name="b_clase_4_3_c19_cap_05" w:id="4012"/>
      <w:r>
        <w:t xml:space="preserve">Clase 19 · 00:36:25–00:51:48 · Construcción en Vensim</w:t>
      </w:r>
      <w:bookmarkEnd w:id="4012"/>
    </w:p>
    <w:p>
      <w:bookmarkStart w:name="b_punto_c19_cap_05_p02" w:id="4013"/>
      <w:r>
        <w:t xml:space="preserve">El círculo de una auxiliar es apariencia opcional, no lo que determina si la variable es flujo.</w:t>
      </w:r>
      <w:bookmarkEnd w:id="4013"/>
    </w:p>
    <w:p>
      <w:bookmarkStart w:name="b_punto_c19_cap_05_p04" w:id="4014"/>
      <w:r>
        <w:t xml:space="preserve">Se añaden IPC y TNC y se conecta cada dependencia, separando apariencia y función.</w:t>
      </w:r>
      <w:bookmarkEnd w:id="4014"/>
    </w:p>
    <w:p>
      <w:pPr>
        <w:pStyle w:val="Fuente"/>
      </w:pPr>
      <w:r>
        <w:t xml:space="preserve">Véase </w:t>
      </w:r>
      <w:hyperlink w:history="1" w:anchor="b_4_4">
        <w:r>
          <w:rPr>
            <w:color w:val="156B70"/>
            <w:u w:val="single"/>
          </w:rPr>
          <w:t xml:space="preserve">capítulo 4.4 · Simulación con VENSIM</w:t>
        </w:r>
      </w:hyperlink>
      <w:r>
        <w:t xml:space="preserve">, pág. </w:t>
      </w:r>
      <w:r>
        <w:fldChar w:fldCharType="begin"/>
        <w:instrText xml:space="preserve">PAGEREF b_4_4 \h</w:instrText>
        <w:fldChar w:fldCharType="separate"/>
        <w:t xml:space="preserve">776</w:t>
        <w:fldChar w:fldCharType="end"/>
      </w:r>
      <w:r>
        <w:t xml:space="preserve">.</w:t>
      </w:r>
    </w:p>
    <w:p>
      <w:pPr>
        <w:pStyle w:val="Heading3"/>
      </w:pPr>
      <w:bookmarkStart w:name="b_clase_4_3_c19_cap_06" w:id="4015"/>
      <w:r>
        <w:t xml:space="preserve">Clase 19 · 00:51:48–01:03:48 · Una dependencia que faltaba</w:t>
      </w:r>
      <w:bookmarkEnd w:id="4015"/>
    </w:p>
    <w:p>
      <w:bookmarkStart w:name="b_punto_c19_cap_06_p01" w:id="4016"/>
      <w:r>
        <w:t xml:space="preserve">PT recibe un valor constante y PV la resta PT − PI; la corrida registra valores por instante para tablas y curvas.</w:t>
      </w:r>
      <w:bookmarkEnd w:id="4016"/>
    </w:p>
    <w:p>
      <w:bookmarkStart w:name="b_punto_c19_cap_06_p02" w:id="4017"/>
      <w:r>
        <w:t xml:space="preserve">Se había omitido PI→TC: añadir la flecha permite usar todas las causas de la fórmula y cerrar el refuerzo.</w:t>
      </w:r>
      <w:bookmarkEnd w:id="4017"/>
    </w:p>
    <w:p>
      <w:pPr>
        <w:pStyle w:val="Fuente"/>
      </w:pPr>
      <w:r>
        <w:t xml:space="preserve">Véase </w:t>
      </w:r>
      <w:hyperlink w:history="1" w:anchor="b_4_4">
        <w:r>
          <w:rPr>
            <w:color w:val="156B70"/>
            <w:u w:val="single"/>
          </w:rPr>
          <w:t xml:space="preserve">capítulo 4.4 · Simulación con VENSIM</w:t>
        </w:r>
      </w:hyperlink>
      <w:r>
        <w:t xml:space="preserve">, pág. </w:t>
      </w:r>
      <w:r>
        <w:fldChar w:fldCharType="begin"/>
        <w:instrText xml:space="preserve">PAGEREF b_4_4 \h</w:instrText>
        <w:fldChar w:fldCharType="separate"/>
        <w:t xml:space="preserve">776</w:t>
        <w:fldChar w:fldCharType="end"/>
      </w:r>
      <w:r>
        <w:t xml:space="preserve">.</w:t>
      </w:r>
    </w:p>
    <w:p>
      <w:pPr>
        <w:pStyle w:val="Heading3"/>
      </w:pPr>
      <w:bookmarkStart w:name="b_clase_4_3_c19_cap_07" w:id="4018"/>
      <w:r>
        <w:t xml:space="preserve">Clase 19 · 01:03:48–01:18:19 · Configuración y archivos de simulación</w:t>
      </w:r>
      <w:bookmarkEnd w:id="4018"/>
    </w:p>
    <w:p>
      <w:bookmarkStart w:name="b_punto_c19_cap_07_p01" w:id="4019"/>
      <w:r>
        <w:t xml:space="preserve">PV sigue siendo auxiliar con o sin círculo; lo importante es distinguir acumulación y tasa.</w:t>
      </w:r>
      <w:bookmarkEnd w:id="4019"/>
    </w:p>
    <w:p>
      <w:bookmarkStart w:name="b_punto_c19_cap_07_p02" w:id="4020"/>
      <w:r>
        <w:t xml:space="preserve">La ecuación determina el comportamiento numérico; el Forrester conserva las dependencias aunque no repita todos los rótulos de polaridad.</w:t>
      </w:r>
      <w:bookmarkEnd w:id="4020"/>
    </w:p>
    <w:p>
      <w:pPr>
        <w:pStyle w:val="Fuente"/>
      </w:pPr>
      <w:r>
        <w:t xml:space="preserve">Véase </w:t>
      </w:r>
      <w:hyperlink w:history="1" w:anchor="b_senales_examen">
        <w:r>
          <w:rPr>
            <w:color w:val="156B70"/>
            <w:u w:val="single"/>
          </w:rPr>
          <w:t xml:space="preserve">2 indicación(es) de examen de este tramo, en el apéndice cronológico</w:t>
        </w:r>
      </w:hyperlink>
      <w:r>
        <w:t xml:space="preserve">, pág. </w:t>
      </w:r>
      <w:r>
        <w:fldChar w:fldCharType="begin"/>
        <w:instrText xml:space="preserve">PAGEREF b_senales_examen \h</w:instrText>
        <w:fldChar w:fldCharType="separate"/>
        <w:t xml:space="preserve">1663</w:t>
        <w:fldChar w:fldCharType="end"/>
      </w:r>
      <w:r>
        <w:t xml:space="preserve">.</w:t>
      </w:r>
    </w:p>
    <w:p>
      <w:pPr>
        <w:pStyle w:val="Fuente"/>
      </w:pPr>
      <w:r>
        <w:t xml:space="preserve">Véase </w:t>
      </w:r>
      <w:hyperlink w:history="1" w:anchor="b_4_4">
        <w:r>
          <w:rPr>
            <w:color w:val="156B70"/>
            <w:u w:val="single"/>
          </w:rPr>
          <w:t xml:space="preserve">capítulo 4.4 · Simulación con VENSIM</w:t>
        </w:r>
      </w:hyperlink>
      <w:r>
        <w:t xml:space="preserve">, pág. </w:t>
      </w:r>
      <w:r>
        <w:fldChar w:fldCharType="begin"/>
        <w:instrText xml:space="preserve">PAGEREF b_4_4 \h</w:instrText>
        <w:fldChar w:fldCharType="separate"/>
        <w:t xml:space="preserve">776</w:t>
        <w:fldChar w:fldCharType="end"/>
      </w:r>
      <w:r>
        <w:t xml:space="preserve">.</w:t>
      </w:r>
    </w:p>
    <w:p>
      <w:pPr>
        <w:pStyle w:val="Heading3"/>
      </w:pPr>
      <w:bookmarkStart w:name="b_clase_4_3_c19_cap_09" w:id="4021"/>
      <w:r>
        <w:t xml:space="preserve">Clase 19 · 01:28:40–01:41:48 · Capital e interés compuesto</w:t>
      </w:r>
      <w:bookmarkEnd w:id="4021"/>
    </w:p>
    <w:p>
      <w:bookmarkStart w:name="b_punto_c19_cap_09_p01" w:id="4022"/>
      <w:r>
        <w:t xml:space="preserve">Capital es nivel, interés es flujo y la tasa un parámetro; interés = capital × tasa.</w:t>
      </w:r>
      <w:bookmarkEnd w:id="4022"/>
    </w:p>
    <w:p>
      <w:bookmarkStart w:name="b_punto_c19_cap_09_p03" w:id="4023"/>
      <w:r>
        <w:t xml:space="preserve">Extender el horizonte a cien meses permite distinguir la tendencia exponencial, sin confundir horizonte y tasa.</w:t>
      </w:r>
      <w:bookmarkEnd w:id="4023"/>
    </w:p>
    <w:p>
      <w:pPr>
        <w:pStyle w:val="Fuente"/>
      </w:pPr>
      <w:r>
        <w:t xml:space="preserve">Véase </w:t>
      </w:r>
      <w:hyperlink w:history="1" w:anchor="b_4_4">
        <w:r>
          <w:rPr>
            <w:color w:val="156B70"/>
            <w:u w:val="single"/>
          </w:rPr>
          <w:t xml:space="preserve">capítulo 4.4 · Simulación con VENSIM</w:t>
        </w:r>
      </w:hyperlink>
      <w:r>
        <w:t xml:space="preserve">, pág. </w:t>
      </w:r>
      <w:r>
        <w:fldChar w:fldCharType="begin"/>
        <w:instrText xml:space="preserve">PAGEREF b_4_4 \h</w:instrText>
        <w:fldChar w:fldCharType="separate"/>
        <w:t xml:space="preserve">776</w:t>
        <w:fldChar w:fldCharType="end"/>
      </w:r>
      <w:r>
        <w:t xml:space="preserve">.</w:t>
      </w:r>
    </w:p>
    <w:p>
      <w:pPr>
        <w:pStyle w:val="Heading3"/>
      </w:pPr>
      <w:bookmarkStart w:name="b_clase_4_3_c20_cap_01" w:id="4024"/>
      <w:r>
        <w:t xml:space="preserve">Clase 20 · 00:12:09–00:17:05 · Notas y recuperación del segundo parcial</w:t>
      </w:r>
      <w:bookmarkEnd w:id="4024"/>
    </w:p>
    <w:p>
      <w:bookmarkStart w:name="b_punto_c20_cap_01_p02" w:id="4025"/>
      <w:r>
        <w:t xml:space="preserve">La secuencia propuesta es DCC→flujos/niveles→ecuaciones→simulación para profundizar los casos.</w:t>
      </w:r>
      <w:bookmarkEnd w:id="4025"/>
    </w:p>
    <w:p>
      <w:pPr>
        <w:pStyle w:val="Heading3"/>
      </w:pPr>
      <w:bookmarkStart w:name="b_clase_4_3_c20_cap_02" w:id="4026"/>
      <w:r>
        <w:t xml:space="preserve">Clase 20 · 00:17:05–00:25:48 · El proyecto: tareas, presión y rendimiento</w:t>
      </w:r>
      <w:bookmarkEnd w:id="4026"/>
    </w:p>
    <w:p>
      <w:bookmarkStart w:name="b_punto_c20_cap_02_p01" w:id="4027"/>
      <w:r>
        <w:t xml:space="preserve">El trabajador evita tareas críticas haciendo otras menores: aumenta su percepción de progreso mientras queda trabajo difícil. B1 (+,+,+,−) explica el alivio aparente, sin garantizar avance real.</w:t>
      </w:r>
      <w:bookmarkEnd w:id="4027"/>
    </w:p>
    <w:p>
      <w:bookmarkStart w:name="b_punto_c20_cap_02_p02" w:id="4028"/>
      <w:r>
        <w:t xml:space="preserve">El trabajador evita tareas críticas haciendo otras menores: aumenta su percepción de progreso mientras queda trabajo difícil. B1 (+,+,+,−) explica el alivio aparente, sin garantizar avance real.</w:t>
      </w:r>
      <w:bookmarkEnd w:id="4028"/>
    </w:p>
    <w:p>
      <w:bookmarkStart w:name="b_punto_c20_cap_02_p03" w:id="4029"/>
      <w:r>
        <w:t xml:space="preserve">El trabajador evita tareas críticas haciendo otras menores: aumenta su percepción de progreso mientras queda trabajo difícil. B1 (+,+,+,−) explica el alivio aparente, sin garantizar avance real.</w:t>
      </w:r>
      <w:bookmarkEnd w:id="4029"/>
    </w:p>
    <w:p>
      <w:bookmarkStart w:name="b_punto_c20_cap_02_p04" w:id="4030"/>
      <w:r>
        <w:t xml:space="preserve">El capítulo del trabajador describe evasión de tareas críticas, progreso aparente y pérdida de tiempo, información y recursos.</w:t>
      </w:r>
      <w:bookmarkEnd w:id="4030"/>
    </w:p>
    <w:p>
      <w:pPr>
        <w:pStyle w:val="Heading3"/>
      </w:pPr>
      <w:bookmarkStart w:name="b_clase_4_3_c20_cap_03" w:id="4031"/>
      <w:r>
        <w:t xml:space="preserve">Clase 20 · 00:25:48–00:35:17 · Polaridad y criterios de corrección</w:t>
      </w:r>
      <w:bookmarkEnd w:id="4031"/>
    </w:p>
    <w:p>
      <w:bookmarkStart w:name="b_punto_c20_cap_03_p01" w:id="4032"/>
      <w:r>
        <w:t xml:space="preserve">Al calificar se relee la historia siguiendo variables y signos; nombres poco explícitos o relaciones incoherentes dificultan evaluar.</w:t>
      </w:r>
      <w:bookmarkEnd w:id="4032"/>
    </w:p>
    <w:p>
      <w:bookmarkStart w:name="b_punto_c20_cap_03_p02" w:id="4033"/>
      <w:r>
        <w:t xml:space="preserve">El trabajador evita tareas críticas haciendo otras menores: aumenta su percepción de progreso mientras queda trabajo difícil. B1 (+,+,+,−) explica el alivio aparente, sin garantizar avance real.</w:t>
      </w:r>
      <w:bookmarkEnd w:id="4033"/>
    </w:p>
    <w:p>
      <w:bookmarkStart w:name="b_punto_c20_cap_03_p03" w:id="4034"/>
      <w:r>
        <w:t xml:space="preserve">R2 conecta dificultades → tareas menos importantes → tareas difíciles sin completar → dificultades con tres relaciones positivas, reforzando el atraso real.</w:t>
      </w:r>
      <w:bookmarkEnd w:id="4034"/>
    </w:p>
    <w:p>
      <w:bookmarkStart w:name="b_punto_c20_cap_03_p04" w:id="4035"/>
      <w:r>
        <w:t xml:space="preserve">R3 conecta dificultades (+) tareas menores (−) tiempo disponible (−) dificultades: dos relaciones negativas forman refuerzo.</w:t>
      </w:r>
      <w:bookmarkEnd w:id="4035"/>
    </w:p>
    <w:p>
      <w:bookmarkStart w:name="b_punto_c20_cap_03_p05" w:id="4036"/>
      <w:r>
        <w:t xml:space="preserve">R4 pasa por información y recursos: las tareas menores reducen su disponibilidad y esa reducción aumenta dificultades. Las dos negativas forman refuerzo.</w:t>
      </w:r>
      <w:bookmarkEnd w:id="4036"/>
    </w:p>
    <w:p>
      <w:bookmarkStart w:name="b_punto_c20_cap_03_p06" w:id="4037"/>
      <w:r>
        <w:t xml:space="preserve">La solución dibujada tiene un balance y tres refuerzos; la mención oral a cuatro refuerzos se corrige en el mismo tramo.</w:t>
      </w:r>
      <w:bookmarkEnd w:id="4037"/>
    </w:p>
    <w:p>
      <w:bookmarkStart w:name="b_punto_c20_cap_03_p07" w:id="4038"/>
      <w:r>
        <w:t xml:space="preserve">Un solo ciclo puede ser correcto pero incompleto si omite uno de los comportamientos centrales de la historia.</w:t>
      </w:r>
      <w:bookmarkEnd w:id="4038"/>
    </w:p>
    <w:p>
      <w:pPr>
        <w:pStyle w:val="Fuente"/>
      </w:pPr>
      <w:r>
        <w:t xml:space="preserve">Véase </w:t>
      </w:r>
      <w:hyperlink w:history="1" w:anchor="b_senales_examen">
        <w:r>
          <w:rPr>
            <w:color w:val="156B70"/>
            <w:u w:val="single"/>
          </w:rPr>
          <w:t xml:space="preserve">1 indicación(es) de examen de este tramo, en el apéndice cronológico</w:t>
        </w:r>
      </w:hyperlink>
      <w:r>
        <w:t xml:space="preserve">, pág. </w:t>
      </w:r>
      <w:r>
        <w:fldChar w:fldCharType="begin"/>
        <w:instrText xml:space="preserve">PAGEREF b_senales_examen \h</w:instrText>
        <w:fldChar w:fldCharType="separate"/>
        <w:t xml:space="preserve">1663</w:t>
        <w:fldChar w:fldCharType="end"/>
      </w:r>
      <w:r>
        <w:t xml:space="preserve">.</w:t>
      </w:r>
    </w:p>
    <w:p>
      <w:pPr>
        <w:pStyle w:val="Heading3"/>
      </w:pPr>
      <w:bookmarkStart w:name="b_clase_4_3_c20_cap_06" w:id="4039"/>
      <w:r>
        <w:t xml:space="preserve">Clase 20 · 01:00:34–01:11:20 · Diagrama causal y brecha</w:t>
      </w:r>
      <w:bookmarkEnd w:id="4039"/>
    </w:p>
    <w:p>
      <w:bookmarkStart w:name="b_punto_c20_cap_06_p01" w:id="4040"/>
      <w:r>
        <w:t xml:space="preserve">La lectura aumenta con pendientes y los reduce: es un balance.</w:t>
      </w:r>
      <w:bookmarkEnd w:id="4040"/>
    </w:p>
    <w:p>
      <w:bookmarkStart w:name="b_punto_c20_cap_06_p02" w:id="4041"/>
      <w:r>
        <w:t xml:space="preserve">Brecha = referencia − pendientes; mayor brecha aumenta compras y más pendientes reducen la brecha: compras también es balance.</w:t>
      </w:r>
      <w:bookmarkEnd w:id="4041"/>
    </w:p>
    <w:p>
      <w:bookmarkStart w:name="b_punto_c20_cap_06_p03" w:id="4042"/>
      <w:r>
        <w:t xml:space="preserve">El DCC puede expresar relaciones sin detallar fracciones; la simulación incorpora parámetros para calcular tasas.</w:t>
      </w:r>
      <w:bookmarkEnd w:id="4042"/>
    </w:p>
    <w:p>
      <w:bookmarkStart w:name="b_punto_c20_cap_06_p04" w:id="4043"/>
      <w:r>
        <w:t xml:space="preserve">Se relee el relato para detectar repeticiones y circularidad; sólo relaciones lineales pueden dejar incompleto el comportamiento.</w:t>
      </w:r>
      <w:bookmarkEnd w:id="4043"/>
    </w:p>
    <w:p>
      <w:pPr>
        <w:pStyle w:val="Fuente"/>
      </w:pPr>
      <w:r>
        <w:t xml:space="preserve">Véase </w:t>
      </w:r>
      <w:hyperlink w:history="1" w:anchor="b_senales_examen">
        <w:r>
          <w:rPr>
            <w:color w:val="156B70"/>
            <w:u w:val="single"/>
          </w:rPr>
          <w:t xml:space="preserve">1 indicación(es) de examen de este tramo, en el apéndice cronológico</w:t>
        </w:r>
      </w:hyperlink>
      <w:r>
        <w:t xml:space="preserve">, pág. </w:t>
      </w:r>
      <w:r>
        <w:fldChar w:fldCharType="begin"/>
        <w:instrText xml:space="preserve">PAGEREF b_senales_examen \h</w:instrText>
        <w:fldChar w:fldCharType="separate"/>
        <w:t xml:space="preserve">1663</w:t>
        <w:fldChar w:fldCharType="end"/>
      </w:r>
      <w:r>
        <w:t xml:space="preserve">.</w:t>
      </w:r>
    </w:p>
    <w:p>
      <w:pPr>
        <w:pStyle w:val="Fuente"/>
      </w:pPr>
      <w:r>
        <w:t xml:space="preserve">Véase </w:t>
      </w:r>
      <w:hyperlink w:history="1" w:anchor="b_4_5">
        <w:r>
          <w:rPr>
            <w:color w:val="156B70"/>
            <w:u w:val="single"/>
          </w:rPr>
          <w:t xml:space="preserve">capítulo 4.5 · Ejemplos en VENSIM</w:t>
        </w:r>
      </w:hyperlink>
      <w:r>
        <w:t xml:space="preserve">, pág. </w:t>
      </w:r>
      <w:r>
        <w:fldChar w:fldCharType="begin"/>
        <w:instrText xml:space="preserve">PAGEREF b_4_5 \h</w:instrText>
        <w:fldChar w:fldCharType="separate"/>
        <w:t xml:space="preserve">830</w:t>
        <w:fldChar w:fldCharType="end"/>
      </w:r>
      <w:r>
        <w:t xml:space="preserve">.</w:t>
      </w:r>
    </w:p>
    <w:p>
      <w:pPr>
        <w:pStyle w:val="Heading3"/>
      </w:pPr>
      <w:bookmarkStart w:name="b_clase_4_3_c20_cap_07" w:id="4044"/>
      <w:r>
        <w:t xml:space="preserve">Clase 20 · 01:11:20–01:21:12 · Extensión de entrega y elección del modelo</w:t>
      </w:r>
      <w:bookmarkEnd w:id="4044"/>
    </w:p>
    <w:p>
      <w:bookmarkStart w:name="b_punto_c20_cap_07_p02" w:id="4045"/>
      <w:r>
        <w:t xml:space="preserve">Convertir exige reconocer niveles y flujos y añadir auxiliares o parámetros no explícitos en el DCC.</w:t>
      </w:r>
      <w:bookmarkEnd w:id="4045"/>
    </w:p>
    <w:p>
      <w:bookmarkStart w:name="b_punto_c20_cap_07_p03" w:id="4046"/>
      <w:r>
        <w:t xml:space="preserve">No toda cantidad acumulable se representa como nivel independiente: depende de la frontera y objetivo, como PI frente a PV/PT.</w:t>
      </w:r>
      <w:bookmarkEnd w:id="4046"/>
    </w:p>
    <w:p>
      <w:bookmarkStart w:name="b_punto_c20_cap_07_p04" w:id="4047"/>
      <w:r>
        <w:t xml:space="preserve">Las preguntas centran el estudio en pendientes; compras incrementan ese nivel y lectura lo reduce.</w:t>
      </w:r>
      <w:bookmarkEnd w:id="4047"/>
    </w:p>
    <w:p>
      <w:pPr>
        <w:pStyle w:val="Fuente"/>
      </w:pPr>
      <w:r>
        <w:t xml:space="preserve">Véase </w:t>
      </w:r>
      <w:hyperlink w:history="1" w:anchor="b_senales_examen">
        <w:r>
          <w:rPr>
            <w:color w:val="156B70"/>
            <w:u w:val="single"/>
          </w:rPr>
          <w:t xml:space="preserve">1 indicación(es) de examen de este tramo, en el apéndice cronológico</w:t>
        </w:r>
      </w:hyperlink>
      <w:r>
        <w:t xml:space="preserve">, pág. </w:t>
      </w:r>
      <w:r>
        <w:fldChar w:fldCharType="begin"/>
        <w:instrText xml:space="preserve">PAGEREF b_senales_examen \h</w:instrText>
        <w:fldChar w:fldCharType="separate"/>
        <w:t xml:space="preserve">1663</w:t>
        <w:fldChar w:fldCharType="end"/>
      </w:r>
      <w:r>
        <w:t xml:space="preserve">.</w:t>
      </w:r>
    </w:p>
    <w:p>
      <w:pPr>
        <w:pStyle w:val="Fuente"/>
      </w:pPr>
      <w:r>
        <w:t xml:space="preserve">Véase </w:t>
      </w:r>
      <w:hyperlink w:history="1" w:anchor="b_4_2">
        <w:r>
          <w:rPr>
            <w:color w:val="156B70"/>
            <w:u w:val="single"/>
          </w:rPr>
          <w:t xml:space="preserve">capítulo 4.2 · Flujos y niveles</w:t>
        </w:r>
      </w:hyperlink>
      <w:r>
        <w:t xml:space="preserve">, pág. </w:t>
      </w:r>
      <w:r>
        <w:fldChar w:fldCharType="begin"/>
        <w:instrText xml:space="preserve">PAGEREF b_4_2 \h</w:instrText>
        <w:fldChar w:fldCharType="separate"/>
        <w:t xml:space="preserve">709</w:t>
        <w:fldChar w:fldCharType="end"/>
      </w:r>
      <w:r>
        <w:t xml:space="preserve">.</w:t>
      </w:r>
    </w:p>
    <w:p>
      <w:pPr>
        <w:pStyle w:val="Fuente"/>
      </w:pPr>
      <w:r>
        <w:t xml:space="preserve">Véase </w:t>
      </w:r>
      <w:hyperlink w:history="1" w:anchor="b_4_4">
        <w:r>
          <w:rPr>
            <w:color w:val="156B70"/>
            <w:u w:val="single"/>
          </w:rPr>
          <w:t xml:space="preserve">capítulo 4.4 · Simulación con VENSIM</w:t>
        </w:r>
      </w:hyperlink>
      <w:r>
        <w:t xml:space="preserve">, pág. </w:t>
      </w:r>
      <w:r>
        <w:fldChar w:fldCharType="begin"/>
        <w:instrText xml:space="preserve">PAGEREF b_4_4 \h</w:instrText>
        <w:fldChar w:fldCharType="separate"/>
        <w:t xml:space="preserve">776</w:t>
        <w:fldChar w:fldCharType="end"/>
      </w:r>
      <w:r>
        <w:t xml:space="preserve">.</w:t>
      </w:r>
    </w:p>
    <w:p>
      <w:pPr>
        <w:pStyle w:val="Heading3"/>
      </w:pPr>
      <w:bookmarkStart w:name="b_clase_4_3_c20_cap_08" w:id="4048"/>
      <w:r>
        <w:t xml:space="preserve">Clase 20 · 01:21:12–01:30:14 · De la historia al modelo de flujos</w:t>
      </w:r>
      <w:bookmarkEnd w:id="4048"/>
    </w:p>
    <w:p>
      <w:bookmarkStart w:name="b_punto_c20_cap_08_p01" w:id="4049"/>
      <w:r>
        <w:t xml:space="preserve">Libros no leídos se dibuja como nivel; entradas y salidas efectivas son compras y lectura.</w:t>
      </w:r>
      <w:bookmarkEnd w:id="4049"/>
    </w:p>
    <w:p>
      <w:bookmarkStart w:name="b_punto_c20_cap_08_p02" w:id="4050"/>
      <w:r>
        <w:t xml:space="preserve">Se trazan tuberías y dependencias de brecha, objetivo y fracciones, sin confundir información con transporte de libros.</w:t>
      </w:r>
      <w:bookmarkEnd w:id="4050"/>
    </w:p>
    <w:p>
      <w:pPr>
        <w:pStyle w:val="Fuente"/>
      </w:pPr>
      <w:r>
        <w:t xml:space="preserve">Véase </w:t>
      </w:r>
      <w:hyperlink w:history="1" w:anchor="b_senales_examen">
        <w:r>
          <w:rPr>
            <w:color w:val="156B70"/>
            <w:u w:val="single"/>
          </w:rPr>
          <w:t xml:space="preserve">1 indicación(es) de examen de este tramo, en el apéndice cronológico</w:t>
        </w:r>
      </w:hyperlink>
      <w:r>
        <w:t xml:space="preserve">, pág. </w:t>
      </w:r>
      <w:r>
        <w:fldChar w:fldCharType="begin"/>
        <w:instrText xml:space="preserve">PAGEREF b_senales_examen \h</w:instrText>
        <w:fldChar w:fldCharType="separate"/>
        <w:t xml:space="preserve">1663</w:t>
        <w:fldChar w:fldCharType="end"/>
      </w:r>
      <w:r>
        <w:t xml:space="preserve">.</w:t>
      </w:r>
    </w:p>
    <w:p>
      <w:pPr>
        <w:pStyle w:val="Fuente"/>
      </w:pPr>
      <w:r>
        <w:t xml:space="preserve">Véase </w:t>
      </w:r>
      <w:hyperlink w:history="1" w:anchor="b_4_5">
        <w:r>
          <w:rPr>
            <w:color w:val="156B70"/>
            <w:u w:val="single"/>
          </w:rPr>
          <w:t xml:space="preserve">capítulo 4.5 · Ejemplos en VENSIM</w:t>
        </w:r>
      </w:hyperlink>
      <w:r>
        <w:t xml:space="preserve">, pág. </w:t>
      </w:r>
      <w:r>
        <w:fldChar w:fldCharType="begin"/>
        <w:instrText xml:space="preserve">PAGEREF b_4_5 \h</w:instrText>
        <w:fldChar w:fldCharType="separate"/>
        <w:t xml:space="preserve">830</w:t>
        <w:fldChar w:fldCharType="end"/>
      </w:r>
      <w:r>
        <w:t xml:space="preserve">.</w:t>
      </w:r>
    </w:p>
    <w:p>
      <w:pPr>
        <w:pStyle w:val="Fuente"/>
      </w:pPr>
      <w:r>
        <w:t xml:space="preserve">Véase </w:t>
      </w:r>
      <w:hyperlink w:history="1" w:anchor="b_4_2">
        <w:r>
          <w:rPr>
            <w:color w:val="156B70"/>
            <w:u w:val="single"/>
          </w:rPr>
          <w:t xml:space="preserve">capítulo 4.2 · Flujos y niveles</w:t>
        </w:r>
      </w:hyperlink>
      <w:r>
        <w:t xml:space="preserve">, pág. </w:t>
      </w:r>
      <w:r>
        <w:fldChar w:fldCharType="begin"/>
        <w:instrText xml:space="preserve">PAGEREF b_4_2 \h</w:instrText>
        <w:fldChar w:fldCharType="separate"/>
        <w:t xml:space="preserve">709</w:t>
        <w:fldChar w:fldCharType="end"/>
      </w:r>
      <w:r>
        <w:t xml:space="preserve">.</w:t>
      </w:r>
    </w:p>
    <w:p>
      <w:pPr>
        <w:pStyle w:val="Heading3"/>
      </w:pPr>
      <w:bookmarkStart w:name="b_clase_4_3_c20_cap_09" w:id="4051"/>
      <w:r>
        <w:t xml:space="preserve">Clase 20 · 01:30:14–01:36:53 · Ecuaciones y límite físico</w:t>
      </w:r>
      <w:bookmarkEnd w:id="4051"/>
    </w:p>
    <w:p>
      <w:bookmarkStart w:name="b_punto_c20_cap_09_p01" w:id="4052"/>
      <w:r>
        <w:t xml:space="preserve">Pendientes = INTEG(compras − lecturas,20): el nivel acumula el flujo neto desde su condición inicial.</w:t>
      </w:r>
      <w:bookmarkEnd w:id="4052"/>
    </w:p>
    <w:p>
      <w:bookmarkStart w:name="b_punto_c20_cap_09_p03" w:id="4053"/>
      <w:r>
        <w:t xml:space="preserve">La referencia vale quince y la brecha es deseados menos pendientes; se corrige la resta al escribirla.</w:t>
      </w:r>
      <w:bookmarkEnd w:id="4053"/>
    </w:p>
    <w:p>
      <w:pPr>
        <w:pStyle w:val="Fuente"/>
      </w:pPr>
      <w:r>
        <w:t xml:space="preserve">Véase </w:t>
      </w:r>
      <w:hyperlink w:history="1" w:anchor="b_4_5">
        <w:r>
          <w:rPr>
            <w:color w:val="156B70"/>
            <w:u w:val="single"/>
          </w:rPr>
          <w:t xml:space="preserve">capítulo 4.5 · Ejemplos en VENSIM</w:t>
        </w:r>
      </w:hyperlink>
      <w:r>
        <w:t xml:space="preserve">, pág. </w:t>
      </w:r>
      <w:r>
        <w:fldChar w:fldCharType="begin"/>
        <w:instrText xml:space="preserve">PAGEREF b_4_5 \h</w:instrText>
        <w:fldChar w:fldCharType="separate"/>
        <w:t xml:space="preserve">830</w:t>
        <w:fldChar w:fldCharType="end"/>
      </w:r>
      <w:r>
        <w:t xml:space="preserve">.</w:t>
      </w:r>
    </w:p>
    <w:p>
      <w:pPr>
        <w:pStyle w:val="Heading3"/>
      </w:pPr>
      <w:bookmarkStart w:name="b_clase_4_3_c20_cap_10" w:id="4054"/>
      <w:r>
        <w:t xml:space="preserve">Clase 20 · 01:36:53–01:47:34 · Resultados y validación</w:t>
      </w:r>
      <w:bookmarkEnd w:id="4054"/>
    </w:p>
    <w:p>
      <w:bookmarkStart w:name="b_punto_c20_cap_10_p05" w:id="4055"/>
      <w:r>
        <w:t xml:space="preserve">La conversión conserva estructura y añade tipos, ecuaciones, iniciales y parámetros; una influencia genérica no se vuelve necesariamente tubería.</w:t>
      </w:r>
      <w:bookmarkEnd w:id="4055"/>
    </w:p>
    <w:p>
      <w:pPr>
        <w:pStyle w:val="Fuente"/>
      </w:pPr>
      <w:r>
        <w:t xml:space="preserve">Véase </w:t>
      </w:r>
      <w:hyperlink w:history="1" w:anchor="b_4_5">
        <w:r>
          <w:rPr>
            <w:color w:val="156B70"/>
            <w:u w:val="single"/>
          </w:rPr>
          <w:t xml:space="preserve">capítulo 4.5 · Ejemplos en VENSIM</w:t>
        </w:r>
      </w:hyperlink>
      <w:r>
        <w:t xml:space="preserve">, pág. </w:t>
      </w:r>
      <w:r>
        <w:fldChar w:fldCharType="begin"/>
        <w:instrText xml:space="preserve">PAGEREF b_4_5 \h</w:instrText>
        <w:fldChar w:fldCharType="separate"/>
        <w:t xml:space="preserve">830</w:t>
        <w:fldChar w:fldCharType="end"/>
      </w:r>
      <w:r>
        <w:t xml:space="preserve">.</w:t>
      </w:r>
    </w:p>
    <w:p>
      <w:pPr>
        <w:pStyle w:val="Fuente"/>
      </w:pPr>
      <w:r>
        <w:t xml:space="preserve">Véase </w:t>
      </w:r>
      <w:hyperlink w:history="1" w:anchor="b_4_4">
        <w:r>
          <w:rPr>
            <w:color w:val="156B70"/>
            <w:u w:val="single"/>
          </w:rPr>
          <w:t xml:space="preserve">capítulo 4.4 · Simulación con VENSIM</w:t>
        </w:r>
      </w:hyperlink>
      <w:r>
        <w:t xml:space="preserve">, pág. </w:t>
      </w:r>
      <w:r>
        <w:fldChar w:fldCharType="begin"/>
        <w:instrText xml:space="preserve">PAGEREF b_4_4 \h</w:instrText>
        <w:fldChar w:fldCharType="separate"/>
        <w:t xml:space="preserve">776</w:t>
        <w:fldChar w:fldCharType="end"/>
      </w:r>
      <w:r>
        <w:t xml:space="preserve">.</w:t>
      </w:r>
    </w:p>
    <w:p>
      <w:pPr>
        <w:pStyle w:val="Fuente"/>
      </w:pPr>
      <w:r>
        <w:t xml:space="preserve">Véase </w:t>
      </w:r>
      <w:hyperlink w:history="1" w:anchor="b_4_7">
        <w:r>
          <w:rPr>
            <w:color w:val="156B70"/>
            <w:u w:val="single"/>
          </w:rPr>
          <w:t xml:space="preserve">capítulo 4.7 · Hábitos (simulación)</w:t>
        </w:r>
      </w:hyperlink>
      <w:r>
        <w:t xml:space="preserve">, pág. </w:t>
      </w:r>
      <w:r>
        <w:fldChar w:fldCharType="begin"/>
        <w:instrText xml:space="preserve">PAGEREF b_4_7 \h</w:instrText>
        <w:fldChar w:fldCharType="separate"/>
        <w:t xml:space="preserve">932</w:t>
        <w:fldChar w:fldCharType="end"/>
      </w:r>
      <w:r>
        <w:t xml:space="preserve">.</w:t>
      </w:r>
    </w:p>
    <w:p>
      <w:pPr>
        <w:pStyle w:val="Heading3"/>
      </w:pPr>
      <w:bookmarkStart w:name="b_clase_4_3_c21_cap_02" w:id="4056"/>
      <w:r>
        <w:t xml:space="preserve">Clase 21 · 00:13:00–00:22:42 · Notas y componentes de un modelo</w:t>
      </w:r>
      <w:bookmarkEnd w:id="4056"/>
    </w:p>
    <w:p>
      <w:bookmarkStart w:name="b_punto_c21_cap_02_p05" w:id="4057"/>
      <w:r>
        <w:t xml:space="preserve">Las ecuaciones formalizan las relaciones; el nivel se obtiene integrando las entradas menos las salidas.</w:t>
      </w:r>
      <w:bookmarkEnd w:id="4057"/>
    </w:p>
    <w:p>
      <w:bookmarkStart w:name="b_punto_c21_cap_02_p06" w:id="4058"/>
      <w:r>
        <w:t xml:space="preserve">DCC y flujos/niveles son perspectivas de un mismo sistema: uno destaca la estructura circular y el otro permite calcular tendencias numéricas.</w:t>
      </w:r>
      <w:bookmarkEnd w:id="4058"/>
    </w:p>
    <w:p>
      <w:pPr>
        <w:pStyle w:val="Fuente"/>
      </w:pPr>
      <w:r>
        <w:t xml:space="preserve">Véase </w:t>
      </w:r>
      <w:hyperlink w:history="1" w:anchor="b_4_2">
        <w:r>
          <w:rPr>
            <w:color w:val="156B70"/>
            <w:u w:val="single"/>
          </w:rPr>
          <w:t xml:space="preserve">capítulo 4.2 · Flujos y niveles</w:t>
        </w:r>
      </w:hyperlink>
      <w:r>
        <w:t xml:space="preserve">, pág. </w:t>
      </w:r>
      <w:r>
        <w:fldChar w:fldCharType="begin"/>
        <w:instrText xml:space="preserve">PAGEREF b_4_2 \h</w:instrText>
        <w:fldChar w:fldCharType="separate"/>
        <w:t xml:space="preserve">709</w:t>
        <w:fldChar w:fldCharType="end"/>
      </w:r>
      <w:r>
        <w:t xml:space="preserve">.</w:t>
      </w:r>
    </w:p>
    <w:p>
      <w:pPr>
        <w:pStyle w:val="Fuente"/>
      </w:pPr>
      <w:r>
        <w:t xml:space="preserve">Véase </w:t>
      </w:r>
      <w:hyperlink w:history="1" w:anchor="b_4_4">
        <w:r>
          <w:rPr>
            <w:color w:val="156B70"/>
            <w:u w:val="single"/>
          </w:rPr>
          <w:t xml:space="preserve">capítulo 4.4 · Simulación con VENSIM</w:t>
        </w:r>
      </w:hyperlink>
      <w:r>
        <w:t xml:space="preserve">, pág. </w:t>
      </w:r>
      <w:r>
        <w:fldChar w:fldCharType="begin"/>
        <w:instrText xml:space="preserve">PAGEREF b_4_4 \h</w:instrText>
        <w:fldChar w:fldCharType="separate"/>
        <w:t xml:space="preserve">776</w:t>
        <w:fldChar w:fldCharType="end"/>
      </w:r>
      <w:r>
        <w:t xml:space="preserve">.</w:t>
      </w:r>
    </w:p>
    <w:p>
      <w:pPr>
        <w:pStyle w:val="Fuente"/>
      </w:pPr>
      <w:r>
        <w:t xml:space="preserve">Véase </w:t>
      </w:r>
      <w:hyperlink w:history="1" w:anchor="b_4_5">
        <w:r>
          <w:rPr>
            <w:color w:val="156B70"/>
            <w:u w:val="single"/>
          </w:rPr>
          <w:t xml:space="preserve">capítulo 4.5 · Ejemplos en VENSIM</w:t>
        </w:r>
      </w:hyperlink>
      <w:r>
        <w:t xml:space="preserve">, pág. </w:t>
      </w:r>
      <w:r>
        <w:fldChar w:fldCharType="begin"/>
        <w:instrText xml:space="preserve">PAGEREF b_4_5 \h</w:instrText>
        <w:fldChar w:fldCharType="separate"/>
        <w:t xml:space="preserve">830</w:t>
        <w:fldChar w:fldCharType="end"/>
      </w:r>
      <w:r>
        <w:t xml:space="preserve">.</w:t>
      </w:r>
    </w:p>
    <w:p>
      <w:pPr>
        <w:pStyle w:val="Heading3"/>
      </w:pPr>
      <w:bookmarkStart w:name="b_clase_4_3_c21_cap_03" w:id="4059"/>
      <w:r>
        <w:t xml:space="preserve">Clase 21 · 00:22:42–00:42:40 · Conversión y patrones de comportamiento</w:t>
      </w:r>
      <w:bookmarkEnd w:id="4059"/>
    </w:p>
    <w:p>
      <w:bookmarkStart w:name="b_punto_c21_cap_03_p01" w:id="4060"/>
      <w:r>
        <w:t xml:space="preserve">Partir de un DCC permite conservar la estructura y distinguir después cuáles variables son niveles y flujos al convertir a Forrester.</w:t>
      </w:r>
      <w:bookmarkEnd w:id="4060"/>
    </w:p>
    <w:p>
      <w:bookmarkStart w:name="b_punto_c21_cap_03_p02" w:id="4061"/>
      <w:r>
        <w:t xml:space="preserve">Una relación que representa la variación directa de una acumulación se convierte en entrada si suma y en salida si resta.</w:t>
      </w:r>
      <w:bookmarkEnd w:id="4061"/>
    </w:p>
    <w:p>
      <w:bookmarkStart w:name="b_punto_c21_cap_03_p04" w:id="4062"/>
      <w:r>
        <w:t xml:space="preserve">En el DCC la influencia de la salida apunta negativamente al nivel; la tubería de Forrester se dibuja saliendo del nivel.</w:t>
      </w:r>
      <w:bookmarkEnd w:id="4062"/>
    </w:p>
    <w:p>
      <w:bookmarkStart w:name="b_punto_c21_cap_03_p05" w:id="4063"/>
      <w:r>
        <w:t xml:space="preserve">Para no confundir estado y tasa, un nivel se expresa en unidades acumuladas y sus flujos en unidades por tiempo; la derivada es entrada menos salida.</w:t>
      </w:r>
      <w:bookmarkEnd w:id="4063"/>
    </w:p>
    <w:p>
      <w:pPr>
        <w:pStyle w:val="Fuente"/>
      </w:pPr>
      <w:r>
        <w:t xml:space="preserve">Véase </w:t>
      </w:r>
      <w:hyperlink w:history="1" w:anchor="b_senales_examen">
        <w:r>
          <w:rPr>
            <w:color w:val="156B70"/>
            <w:u w:val="single"/>
          </w:rPr>
          <w:t xml:space="preserve">1 indicación(es) de examen de este tramo, en el apéndice cronológico</w:t>
        </w:r>
      </w:hyperlink>
      <w:r>
        <w:t xml:space="preserve">, pág. </w:t>
      </w:r>
      <w:r>
        <w:fldChar w:fldCharType="begin"/>
        <w:instrText xml:space="preserve">PAGEREF b_senales_examen \h</w:instrText>
        <w:fldChar w:fldCharType="separate"/>
        <w:t xml:space="preserve">1663</w:t>
        <w:fldChar w:fldCharType="end"/>
      </w:r>
      <w:r>
        <w:t xml:space="preserve">.</w:t>
      </w:r>
    </w:p>
    <w:p>
      <w:pPr>
        <w:pStyle w:val="Fuente"/>
      </w:pPr>
      <w:r>
        <w:t xml:space="preserve">Véase </w:t>
      </w:r>
      <w:hyperlink w:history="1" w:anchor="b_4_2">
        <w:r>
          <w:rPr>
            <w:color w:val="156B70"/>
            <w:u w:val="single"/>
          </w:rPr>
          <w:t xml:space="preserve">capítulo 4.2 · Flujos y niveles</w:t>
        </w:r>
      </w:hyperlink>
      <w:r>
        <w:t xml:space="preserve">, pág. </w:t>
      </w:r>
      <w:r>
        <w:fldChar w:fldCharType="begin"/>
        <w:instrText xml:space="preserve">PAGEREF b_4_2 \h</w:instrText>
        <w:fldChar w:fldCharType="separate"/>
        <w:t xml:space="preserve">709</w:t>
        <w:fldChar w:fldCharType="end"/>
      </w:r>
      <w:r>
        <w:t xml:space="preserve">.</w:t>
      </w:r>
    </w:p>
    <w:p>
      <w:pPr>
        <w:pStyle w:val="Fuente"/>
      </w:pPr>
      <w:r>
        <w:t xml:space="preserve">Véase </w:t>
      </w:r>
      <w:hyperlink w:history="1" w:anchor="b_4_5">
        <w:r>
          <w:rPr>
            <w:color w:val="156B70"/>
            <w:u w:val="single"/>
          </w:rPr>
          <w:t xml:space="preserve">capítulo 4.5 · Ejemplos en VENSIM</w:t>
        </w:r>
      </w:hyperlink>
      <w:r>
        <w:t xml:space="preserve">, pág. </w:t>
      </w:r>
      <w:r>
        <w:fldChar w:fldCharType="begin"/>
        <w:instrText xml:space="preserve">PAGEREF b_4_5 \h</w:instrText>
        <w:fldChar w:fldCharType="separate"/>
        <w:t xml:space="preserve">830</w:t>
        <w:fldChar w:fldCharType="end"/>
      </w:r>
      <w:r>
        <w:t xml:space="preserve">.</w:t>
      </w:r>
    </w:p>
    <w:p>
      <w:pPr>
        <w:pStyle w:val="Fuente"/>
      </w:pPr>
      <w:r>
        <w:t xml:space="preserve">Véase </w:t>
      </w:r>
      <w:hyperlink w:history="1" w:anchor="b_4_4">
        <w:r>
          <w:rPr>
            <w:color w:val="156B70"/>
            <w:u w:val="single"/>
          </w:rPr>
          <w:t xml:space="preserve">capítulo 4.4 · Simulación con VENSIM</w:t>
        </w:r>
      </w:hyperlink>
      <w:r>
        <w:t xml:space="preserve">, pág. </w:t>
      </w:r>
      <w:r>
        <w:fldChar w:fldCharType="begin"/>
        <w:instrText xml:space="preserve">PAGEREF b_4_4 \h</w:instrText>
        <w:fldChar w:fldCharType="separate"/>
        <w:t xml:space="preserve">776</w:t>
        <w:fldChar w:fldCharType="end"/>
      </w:r>
      <w:r>
        <w:t xml:space="preserve">.</w:t>
      </w:r>
    </w:p>
    <w:p>
      <w:pPr>
        <w:pStyle w:val="Heading3"/>
      </w:pPr>
      <w:bookmarkStart w:name="b_clase_4_3_c21_cap_05" w:id="4064"/>
      <w:r>
        <w:t xml:space="preserve">Clase 21 · 00:52:54–01:04:10 · El préstamo y las alternativas</w:t>
      </w:r>
      <w:bookmarkEnd w:id="4064"/>
    </w:p>
    <w:p>
      <w:bookmarkStart w:name="b_punto_c21_cap_05_p07" w:id="4065"/>
      <w:r>
        <w:t xml:space="preserve">Se identifican variables y ciclos significativos antes de formalizar la historia.</w:t>
      </w:r>
      <w:bookmarkEnd w:id="4065"/>
    </w:p>
    <w:p>
      <w:pPr>
        <w:pStyle w:val="Fuente"/>
      </w:pPr>
      <w:r>
        <w:t xml:space="preserve">Véase </w:t>
      </w:r>
      <w:hyperlink w:history="1" w:anchor="b_4_4">
        <w:r>
          <w:rPr>
            <w:color w:val="156B70"/>
            <w:u w:val="single"/>
          </w:rPr>
          <w:t xml:space="preserve">capítulo 4.4 · Simulación con VENSIM</w:t>
        </w:r>
      </w:hyperlink>
      <w:r>
        <w:t xml:space="preserve">, pág. </w:t>
      </w:r>
      <w:r>
        <w:fldChar w:fldCharType="begin"/>
        <w:instrText xml:space="preserve">PAGEREF b_4_4 \h</w:instrText>
        <w:fldChar w:fldCharType="separate"/>
        <w:t xml:space="preserve">776</w:t>
        <w:fldChar w:fldCharType="end"/>
      </w:r>
      <w:r>
        <w:t xml:space="preserve">.</w:t>
      </w:r>
    </w:p>
    <w:p>
      <w:pPr>
        <w:pStyle w:val="Fuente"/>
      </w:pPr>
      <w:r>
        <w:t xml:space="preserve">Véase </w:t>
      </w:r>
      <w:hyperlink w:history="1" w:anchor="b_4_6">
        <w:r>
          <w:rPr>
            <w:color w:val="156B70"/>
            <w:u w:val="single"/>
          </w:rPr>
          <w:t xml:space="preserve">capítulo 4.6 · Toma de decisiones</w:t>
        </w:r>
      </w:hyperlink>
      <w:r>
        <w:t xml:space="preserve">, pág. </w:t>
      </w:r>
      <w:r>
        <w:fldChar w:fldCharType="begin"/>
        <w:instrText xml:space="preserve">PAGEREF b_4_6 \h</w:instrText>
        <w:fldChar w:fldCharType="separate"/>
        <w:t xml:space="preserve">884</w:t>
        <w:fldChar w:fldCharType="end"/>
      </w:r>
      <w:r>
        <w:t xml:space="preserve">.</w:t>
      </w:r>
    </w:p>
    <w:p>
      <w:pPr>
        <w:pStyle w:val="Heading3"/>
      </w:pPr>
      <w:bookmarkStart w:name="b_clase_4_3_c21_cap_06" w:id="4066"/>
      <w:r>
        <w:t xml:space="preserve">Clase 21 · 01:04:10–01:20:57 · Dos perspectivas del préstamo</w:t>
      </w:r>
      <w:bookmarkEnd w:id="4066"/>
    </w:p>
    <w:p>
      <w:bookmarkStart w:name="b_punto_c21_cap_06_p09" w:id="4067"/>
      <w:r>
        <w:t xml:space="preserve">Se puede construir directamente el Forrester en Vensim; pasar antes por DCC ayuda a pensar la estructura y no es un paso obligatorio.</w:t>
      </w:r>
      <w:bookmarkEnd w:id="4067"/>
    </w:p>
    <w:p>
      <w:pPr>
        <w:pStyle w:val="Fuente"/>
      </w:pPr>
      <w:r>
        <w:t xml:space="preserve">Véase </w:t>
      </w:r>
      <w:hyperlink w:history="1" w:anchor="b_4_4">
        <w:r>
          <w:rPr>
            <w:color w:val="156B70"/>
            <w:u w:val="single"/>
          </w:rPr>
          <w:t xml:space="preserve">capítulo 4.4 · Simulación con VENSIM</w:t>
        </w:r>
      </w:hyperlink>
      <w:r>
        <w:t xml:space="preserve">, pág. </w:t>
      </w:r>
      <w:r>
        <w:fldChar w:fldCharType="begin"/>
        <w:instrText xml:space="preserve">PAGEREF b_4_4 \h</w:instrText>
        <w:fldChar w:fldCharType="separate"/>
        <w:t xml:space="preserve">776</w:t>
        <w:fldChar w:fldCharType="end"/>
      </w:r>
      <w:r>
        <w:t xml:space="preserve">.</w:t>
      </w:r>
    </w:p>
    <w:p>
      <w:pPr>
        <w:pStyle w:val="Heading3"/>
      </w:pPr>
      <w:bookmarkStart w:name="b_clase_4_3_c24_cap_01" w:id="4068"/>
      <w:r>
        <w:t xml:space="preserve">Clase 24 · 00:09:33–00:13:22 · Cierre de unidad y parcial en dos partes</w:t>
      </w:r>
      <w:bookmarkEnd w:id="4068"/>
    </w:p>
    <w:p>
      <w:bookmarkStart w:name="b_punto_c24_cap_01_p01" w:id="4069"/>
      <w:r>
        <w:t xml:space="preserve">Arquetipos son estructuras recurrentes observables en DCC y flujos/niveles; estos últimos permiten modelos de simulación y se complementan con hábitos de decisión.</w:t>
      </w:r>
      <w:bookmarkEnd w:id="4069"/>
    </w:p>
    <w:p>
      <w:pPr>
        <w:pStyle w:val="Fuente"/>
      </w:pPr>
      <w:r>
        <w:t xml:space="preserve">Véase </w:t>
      </w:r>
      <w:hyperlink w:history="1" w:anchor="b_senales_examen">
        <w:r>
          <w:rPr>
            <w:color w:val="156B70"/>
            <w:u w:val="single"/>
          </w:rPr>
          <w:t xml:space="preserve">1 indicación(es) de examen de este tramo, en el apéndice cronológico</w:t>
        </w:r>
      </w:hyperlink>
      <w:r>
        <w:t xml:space="preserve">, pág. </w:t>
      </w:r>
      <w:r>
        <w:fldChar w:fldCharType="begin"/>
        <w:instrText xml:space="preserve">PAGEREF b_senales_examen \h</w:instrText>
        <w:fldChar w:fldCharType="separate"/>
        <w:t xml:space="preserve">1663</w:t>
        <w:fldChar w:fldCharType="end"/>
      </w:r>
      <w:r>
        <w:t xml:space="preserve">.</w:t>
      </w:r>
    </w:p>
    <w:p>
      <w:pPr>
        <w:pStyle w:val="Fuente"/>
      </w:pPr>
      <w:r>
        <w:t xml:space="preserve">Véase </w:t>
      </w:r>
      <w:hyperlink w:history="1" w:anchor="b_4_1">
        <w:r>
          <w:rPr>
            <w:color w:val="156B70"/>
            <w:u w:val="single"/>
          </w:rPr>
          <w:t xml:space="preserve">capítulo 4.1 · Arquetipos sistémicos</w:t>
        </w:r>
      </w:hyperlink>
      <w:r>
        <w:t xml:space="preserve">, pág. </w:t>
      </w:r>
      <w:r>
        <w:fldChar w:fldCharType="begin"/>
        <w:instrText xml:space="preserve">PAGEREF b_4_1 \h</w:instrText>
        <w:fldChar w:fldCharType="separate"/>
        <w:t xml:space="preserve">646</w:t>
        <w:fldChar w:fldCharType="end"/>
      </w:r>
      <w:r>
        <w:t xml:space="preserve">.</w:t>
      </w:r>
    </w:p>
    <w:p>
      <w:pPr>
        <w:pStyle w:val="Heading3"/>
      </w:pPr>
      <w:bookmarkStart w:name="b_clase_4_3_c24_cap_09" w:id="4070"/>
      <w:r>
        <w:t xml:space="preserve">Clase 24 · 01:01:19–01:09:50 · El caso 3: teléfonos del residencial</w:t>
      </w:r>
      <w:bookmarkEnd w:id="4070"/>
    </w:p>
    <w:p>
      <w:bookmarkStart w:name="b_punto_c24_cap_09_p01" w:id="4071"/>
      <w:r>
        <w:t xml:space="preserve">La lámina conserva un encabezado de DCC, pero la tarea real era de flujos/niveles y simulación en Vensim.</w:t>
      </w:r>
      <w:bookmarkEnd w:id="4071"/>
    </w:p>
    <w:p>
      <w:pPr>
        <w:pStyle w:val="Fuente"/>
      </w:pPr>
      <w:r>
        <w:t xml:space="preserve">Véase </w:t>
      </w:r>
      <w:hyperlink w:history="1" w:anchor="b_4_5">
        <w:r>
          <w:rPr>
            <w:color w:val="156B70"/>
            <w:u w:val="single"/>
          </w:rPr>
          <w:t xml:space="preserve">capítulo 4.5 · Ejemplos en VENSIM</w:t>
        </w:r>
      </w:hyperlink>
      <w:r>
        <w:t xml:space="preserve">, pág. </w:t>
      </w:r>
      <w:r>
        <w:fldChar w:fldCharType="begin"/>
        <w:instrText xml:space="preserve">PAGEREF b_4_5 \h</w:instrText>
        <w:fldChar w:fldCharType="separate"/>
        <w:t xml:space="preserve">830</w:t>
        <w:fldChar w:fldCharType="end"/>
      </w:r>
      <w:r>
        <w:t xml:space="preserve">.</w:t>
      </w:r>
    </w:p>
    <w:p>
      <w:pPr>
        <w:pStyle w:val="Heading3"/>
      </w:pPr>
      <w:bookmarkStart w:name="b_cita_clase_20_idea_1" w:id="4072"/>
      <w:r>
        <w:t xml:space="preserve">Palabras del profesor</w:t>
      </w:r>
      <w:bookmarkEnd w:id="4072"/>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El profesor lo dijo así</w:t>
            </w:r>
          </w:p>
          <w:p>
            <w:pPr>
              <w:pStyle w:val="Recuadro"/>
            </w:pPr>
            <w:r>
              <w:t xml:space="preserve">«comprar Francisco. La verdad es que aquí los valores negativos no son significativos. Aquí tendríamos que usar una función que elimine los valores negativos, pero por fin es de rapidez que no me queda mucho tiempo, no lo voy a hacer. El próximo día se lo enseño. Y el»</w:t>
            </w:r>
          </w:p>
          <w:p>
            <w:pPr>
              <w:pStyle w:val="Recuadro"/>
            </w:pPr>
            <w:r>
              <w:t xml:space="preserve">Clase 20 · 01:35:14–01:35:38</w:t>
            </w:r>
          </w:p>
        </w:tc>
      </w:tr>
    </w:tbl>
    <w:p>
      <w:pPr>
        <w:pStyle w:val="Heading3"/>
      </w:pPr>
      <w:bookmarkStart w:name="b_cita_clase_20_idea_2" w:id="4073"/>
      <w:r>
        <w:t xml:space="preserve">Palabras del profesor</w:t>
      </w:r>
      <w:bookmarkEnd w:id="4073"/>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El profesor lo dijo así</w:t>
            </w:r>
          </w:p>
          <w:p>
            <w:pPr>
              <w:pStyle w:val="Recuadro"/>
            </w:pPr>
            <w:r>
              <w:t xml:space="preserve">«flujo de entrada, nuevos libros. Es fácil determinar que sería doble clic aquí, clic aquí. Eh, la diferencia que serían los libros que va a ir a buscar Francisco, eh, perdón, el tío para comprar por el porcentaje de libros que dice el caso que el tío logra comprar. O sea, si»</w:t>
            </w:r>
          </w:p>
          <w:p>
            <w:pPr>
              <w:pStyle w:val="Recuadro"/>
            </w:pPr>
            <w:r>
              <w:t xml:space="preserve">Clase 20 · 01:35:33–01:36:02</w:t>
            </w:r>
          </w:p>
        </w:tc>
      </w:tr>
    </w:tbl>
    <w:p>
      <w:pPr>
        <w:pStyle w:val="Heading3"/>
      </w:pPr>
      <w:bookmarkStart w:name="b_cita_clase_21_idea_1" w:id="4074"/>
      <w:r>
        <w:t xml:space="preserve">Palabras del profesor</w:t>
      </w:r>
      <w:bookmarkEnd w:id="4074"/>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El profesor lo dijo así</w:t>
            </w:r>
          </w:p>
          <w:p>
            <w:pPr>
              <w:pStyle w:val="Recuadro"/>
            </w:pPr>
            <w:r>
              <w:t xml:space="preserve">«la historia. La historia no nos dice si nos dice que mensualmente nos va a cobrar un interés, pero no nos dice si el interés es sobre saldos o si el interés es sobre el monto total del préstamo, que son variantes que tienen»</w:t>
            </w:r>
          </w:p>
          <w:p>
            <w:pPr>
              <w:pStyle w:val="Recuadro"/>
            </w:pPr>
            <w:r>
              <w:t xml:space="preserve">Clase 21 · 01:13:14–01:13:29</w:t>
            </w:r>
          </w:p>
        </w:tc>
      </w:tr>
    </w:tbl>
    <w:p>
      <w:pPr>
        <w:pStyle w:val="Heading3"/>
      </w:pPr>
      <w:bookmarkStart w:name="b_cita_clase_21_idea_2" w:id="4075"/>
      <w:r>
        <w:t xml:space="preserve">Palabras del profesor</w:t>
      </w:r>
      <w:bookmarkEnd w:id="4075"/>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El profesor lo dijo así</w:t>
            </w:r>
          </w:p>
          <w:p>
            <w:pPr>
              <w:pStyle w:val="Recuadro"/>
            </w:pPr>
            <w:r>
              <w:t xml:space="preserve">«que hay otro escenario en donde un banco podría decir, yo le doy el préstamo, eh le cobro mensualmente un interés y ese interés no va a ser sobre el saldo original, sino que va a ir siendo sobre lo que le voy eh le va restando de pagar mensualmente, lo cual es los denominados interéses sobresaldos, o sea, que es un poco más justo, podemos decir que no me esté cobrando intereses. es por todo lo que me prestó, sino solo por lo que no le he pagado durante los meses que van»</w:t>
            </w:r>
          </w:p>
          <w:p>
            <w:pPr>
              <w:pStyle w:val="Recuadro"/>
            </w:pPr>
            <w:r>
              <w:t xml:space="preserve">Clase 21 · 01:13:51–01:14:29</w:t>
            </w:r>
          </w:p>
        </w:tc>
      </w:tr>
    </w:tbl>
    <w:p>
      <w:pPr>
        <w:pStyle w:val="Heading3"/>
      </w:pPr>
      <w:bookmarkStart w:name="b_cita_clase_24_idea_3" w:id="4076"/>
      <w:r>
        <w:t xml:space="preserve">Palabras del profesor</w:t>
      </w:r>
      <w:bookmarkEnd w:id="4076"/>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El profesor lo dijo así</w:t>
            </w:r>
          </w:p>
          <w:p>
            <w:pPr>
              <w:pStyle w:val="Recuadro"/>
            </w:pPr>
            <w:r>
              <w:t xml:space="preserve">«Lo importante es que representen la estructura del sistema lo más cercana a la a la realidad de la historia que está siendo contada en el caso planteado, de tal forma que ustedes puedan hacer una simulación lo más precisa relacionada con la situación descrita.»</w:t>
            </w:r>
          </w:p>
          <w:p>
            <w:pPr>
              <w:pStyle w:val="Recuadro"/>
            </w:pPr>
            <w:r>
              <w:t xml:space="preserve">Clase 24 · 01:06:05–01:06:31</w:t>
            </w:r>
          </w:p>
        </w:tc>
      </w:tr>
    </w:tbl>
    <w:p>
      <w:pPr>
        <w:pStyle w:val="Heading3"/>
      </w:pPr>
      <w:r>
        <w:t xml:space="preserve">Errores frecuentes y trampa de examen</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9C620A" w:sz="20"/>
              <w:bottom w:val="nil"/>
              <w:right w:val="nil"/>
            </w:tcBorders>
            <w:shd w:fill="FBF3DF" w:val="clear"/>
            <w:tcMar>
              <w:top w:type="dxa" w:w="130"/>
              <w:left w:type="dxa" w:w="180"/>
              <w:bottom w:type="dxa" w:w="130"/>
              <w:right w:type="dxa" w:w="180"/>
            </w:tcMar>
          </w:tcPr>
          <w:p>
            <w:pPr>
              <w:pStyle w:val="RecuadroTitulo"/>
            </w:pPr>
            <w:r>
              <w:rPr>
                <w:b/>
                <w:bCs/>
                <w:color w:val="9C620A"/>
              </w:rPr>
              <w:t xml:space="preserve">Error → corrección</w:t>
            </w:r>
          </w:p>
          <w:p>
            <w:pPr>
              <w:pStyle w:val="Recuadro"/>
            </w:pPr>
            <w:r>
              <w:rPr>
                <w:b/>
                <w:bCs/>
              </w:rPr>
              <w:t xml:space="preserve">Error:</w:t>
            </w:r>
            <w:r>
              <w:t xml:space="preserve"> Convertir todas las flechas causales en flujos.</w:t>
            </w:r>
          </w:p>
          <w:p>
            <w:pPr>
              <w:pStyle w:val="Recuadro"/>
            </w:pPr>
            <w:r>
              <w:rPr>
                <w:b/>
                <w:bCs/>
              </w:rPr>
              <w:t xml:space="preserve">Corrección:</w:t>
            </w:r>
            <w:r>
              <w:t xml:space="preserve"> Una dependencia informativa no es necesariamente un transporte de material ni una tasa que modifica un nivel.</w:t>
            </w:r>
          </w:p>
          <w:p>
            <w:pPr>
              <w:pStyle w:val="Recuadro"/>
            </w:pPr>
            <w:r>
              <w:t xml:space="preserve">Guía de estudio · edición 20/10/2026 · pp. 12–14</w:t>
            </w:r>
          </w:p>
        </w:tc>
      </w:tr>
    </w:tbl>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9C620A" w:sz="20"/>
              <w:bottom w:val="nil"/>
              <w:right w:val="nil"/>
            </w:tcBorders>
            <w:shd w:fill="FBF3DF" w:val="clear"/>
            <w:tcMar>
              <w:top w:type="dxa" w:w="130"/>
              <w:left w:type="dxa" w:w="180"/>
              <w:bottom w:type="dxa" w:w="130"/>
              <w:right w:type="dxa" w:w="180"/>
            </w:tcMar>
          </w:tcPr>
          <w:p>
            <w:pPr>
              <w:pStyle w:val="RecuadroTitulo"/>
            </w:pPr>
            <w:r>
              <w:rPr>
                <w:b/>
                <w:bCs/>
                <w:color w:val="9C620A"/>
              </w:rPr>
              <w:t xml:space="preserve">Error → corrección</w:t>
            </w:r>
          </w:p>
          <w:p>
            <w:pPr>
              <w:pStyle w:val="Recuadro"/>
            </w:pPr>
            <w:r>
              <w:rPr>
                <w:b/>
                <w:bCs/>
              </w:rPr>
              <w:t xml:space="preserve">Error:</w:t>
            </w:r>
            <w:r>
              <w:t xml:space="preserve"> Usar una variable en una fórmula sin su dependencia en el diagrama.</w:t>
            </w:r>
          </w:p>
          <w:p>
            <w:pPr>
              <w:pStyle w:val="Recuadro"/>
            </w:pPr>
            <w:r>
              <w:rPr>
                <w:b/>
                <w:bCs/>
              </w:rPr>
              <w:t xml:space="preserve">Corrección:</w:t>
            </w:r>
            <w:r>
              <w:t xml:space="preserve"> Revisa cada ecuación término por término y añade la conexión informativa que falta.</w:t>
            </w:r>
          </w:p>
          <w:p>
            <w:pPr>
              <w:pStyle w:val="Recuadro"/>
            </w:pPr>
            <w:r>
              <w:t xml:space="preserve">Guía de estudio · edición 20/10/2026 · pp. 12–14</w:t>
            </w:r>
          </w:p>
        </w:tc>
      </w:tr>
    </w:tbl>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9C620A" w:sz="20"/>
              <w:bottom w:val="nil"/>
              <w:right w:val="nil"/>
            </w:tcBorders>
            <w:shd w:fill="FBF3DF" w:val="clear"/>
            <w:tcMar>
              <w:top w:type="dxa" w:w="130"/>
              <w:left w:type="dxa" w:w="180"/>
              <w:bottom w:type="dxa" w:w="130"/>
              <w:right w:type="dxa" w:w="180"/>
            </w:tcMar>
          </w:tcPr>
          <w:p>
            <w:pPr>
              <w:pStyle w:val="RecuadroTitulo"/>
            </w:pPr>
            <w:r>
              <w:rPr>
                <w:b/>
                <w:bCs/>
                <w:color w:val="9C620A"/>
              </w:rPr>
              <w:t xml:space="preserve">Trampa de examen</w:t>
            </w:r>
          </w:p>
          <w:p>
            <w:pPr>
              <w:pStyle w:val="Recuadro"/>
            </w:pPr>
            <w:r>
              <w:t xml:space="preserve">Una relación positiva no basta para identificar un flujo: primero debes establecer qué variable acumula y cuál mide su tasa de cambio.</w:t>
            </w:r>
          </w:p>
        </w:tc>
      </w:tr>
    </w:tbl>
    <w:p>
      <w:pPr>
        <w:pStyle w:val="Heading3"/>
      </w:pPr>
      <w:r>
        <w:t xml:space="preserve">Lecturas y tareas del curso</w:t>
      </w:r>
    </w:p>
    <w:p>
      <w:pPr>
        <w:pStyle w:val="Normal"/>
      </w:pPr>
      <w:r>
        <w:t xml:space="preserve">C-3 · Unidad 4a · Desarrollo de la simulación dinámica de sistemas (versión de abril). Versión de abril de la presentación de simulación (C-7 contiene la versión de octubre): 60 páginas con el hábito de las acumulaciones, los niveles y los flujos, el diagrama de Forrester y el modelo de la epidemia, las reglas para pasar de un diagrama de ciclos causales a uno de flujos y niveles con sus ejercicios, el préstamo bancario para modelar en Vensim, las fases y los componentes de un modelo, los comportamientos dinámicos habituales y los ejemplos de población, presas y depredadores. Copia sin la impresión automática al abrirse.</w:t>
      </w:r>
    </w:p>
    <w:p>
      <w:pPr>
        <w:pStyle w:val="Normal"/>
      </w:pPr>
      <w:r>
        <w:t xml:space="preserve">L-9 · Lineamientos para dibujar diagramas de ciclos causales — Daniel H. Kim. Una página con los diez lineamientos de Kim para dibujar diagramas de ciclos causales: variables nombradas con sustantivos que puedan subir y bajar, el objetivo explícito en los ciclos de balance, los términos intermedios, las consecuencias no buscadas y la regla de contar los negativos y releer el ciclo. El profesor mostró dos de ellos en la clase 16.</w:t>
      </w:r>
    </w:p>
    <w:p>
      <w:pPr>
        <w:pStyle w:val="Normal"/>
      </w:pPr>
      <w:r>
        <w:t xml:space="preserve">L-16 · Diagramas de Forrester y simulación — UNAD, Dinámica de sistemas (unidad 2). Los elementos del diagrama de Forrester (niveles, flujos, variables auxiliares y retardos), cómo elaborarlo a partir del diagrama de influencias y cómo simular: escenarios, sensibilidad, validación y experimentación. Material de la Unidad 4 del curso, para después del segundo parcial.</w:t>
      </w:r>
    </w:p>
    <w:p>
      <w:pPr>
        <w:pStyle w:val="Normal"/>
      </w:pPr>
      <w:r>
        <w:t xml:space="preserve">C-7 · Unidad 4a · Simulación dinámica (versión de octubre). 40 páginas de octubre: acumulaciones, flujos y niveles, parámetros para escenarios, epidemia, Francisco y teléfonos en Vensim. Se conserva también la versión de abril C-3, cuya numeración mantienen las citas anteriores.</w:t>
      </w:r>
    </w:p>
    <w:p>
      <w:pPr>
        <w:pStyle w:val="Heading3"/>
      </w:pPr>
      <w:r>
        <w:t xml:space="preserve">Práctica de los laboratorios</w:t>
      </w:r>
    </w:p>
    <w:p>
      <w:pPr>
        <w:pStyle w:val="Normal"/>
      </w:pPr>
      <w:r>
        <w:t xml:space="preserve">Los procedimientos del capítulo permiten reconstruir en papel la práctica interactiva. Los laboratorios originales permanecen disponibles en la lección del portal.</w:t>
      </w:r>
    </w:p>
    <w:p>
      <w:pPr>
        <w:pStyle w:val="Normal"/>
        <w:numPr>
          <w:ilvl w:val="0"/>
          <w:numId w:val="2"/>
        </w:numPr>
      </w:pPr>
      <w:r>
        <w:t xml:space="preserve">Convertir un diagrama causal a Forrester</w:t>
      </w:r>
    </w:p>
    <w:p>
      <w:pPr>
        <w:pStyle w:val="Normal"/>
        <w:numPr>
          <w:ilvl w:val="0"/>
          <w:numId w:val="2"/>
        </w:numPr>
      </w:pPr>
      <w:r>
        <w:t xml:space="preserve">Distinguir flujos y flechas de información</w:t>
      </w:r>
    </w:p>
    <w:p>
      <w:pPr>
        <w:pStyle w:val="Heading3"/>
      </w:pPr>
      <w:r>
        <w:t xml:space="preserve">Autoevaluación</w:t>
      </w:r>
    </w:p>
    <w:p>
      <w:pPr>
        <w:pStyle w:val="Normal"/>
      </w:pPr>
      <w:r>
        <w:t xml:space="preserve">Resuelva sin consultar las respuestas. Compruebe al final del capítulo por qué cada opción es correcta o incorrecta.</w:t>
      </w:r>
    </w:p>
    <w:p>
      <w:pPr>
        <w:pStyle w:val="Heading3"/>
      </w:pPr>
      <w:bookmarkStart w:name="b_pregunta_auto_4_3_1" w:id="4077"/>
      <w:r>
        <w:t xml:space="preserve">4.3-A1 · En el caso del trabajador de la clase 20, ¿qué explica B1 y por qué no demuestra avance real del proyecto?</w:t>
      </w:r>
      <w:bookmarkEnd w:id="4077"/>
    </w:p>
    <w:p>
      <w:pPr>
        <w:pStyle w:val="Normal"/>
      </w:pPr>
      <w:r>
        <w:t xml:space="preserve">a) Hacer tareas menores aumenta la percepción de progreso y reduce las dificultades percibidas, aunque queden tareas críticas.</w:t>
      </w:r>
    </w:p>
    <w:p>
      <w:pPr>
        <w:pStyle w:val="Normal"/>
      </w:pPr>
      <w:r>
        <w:t xml:space="preserve">b) El cansancio por horas extra reduce el rendimiento de Ana.</w:t>
      </w:r>
    </w:p>
    <w:p>
      <w:pPr>
        <w:pStyle w:val="Normal"/>
      </w:pPr>
      <w:r>
        <w:t xml:space="preserve">c) Completar tareas menores elimina necesariamente los pendientes difíciles.</w:t>
      </w:r>
    </w:p>
    <w:p>
      <w:pPr>
        <w:pStyle w:val="Normal"/>
      </w:pPr>
      <w:r>
        <w:t xml:space="preserve">d) B1 sólo es una secuencia sin retorno a dificultades.</w:t>
      </w:r>
    </w:p>
    <w:p>
      <w:pPr>
        <w:pStyle w:val="Heading3"/>
      </w:pPr>
      <w:bookmarkStart w:name="b_pregunta_auto_4_3_2" w:id="4078"/>
      <w:r>
        <w:t xml:space="preserve">4.3-A2 · ¿Cómo se cierra R2 en el proyecto del trabajador que evita las tareas difíciles?</w:t>
      </w:r>
      <w:bookmarkEnd w:id="4078"/>
    </w:p>
    <w:p>
      <w:pPr>
        <w:pStyle w:val="Normal"/>
      </w:pPr>
      <w:r>
        <w:t xml:space="preserve">a) Dificultades → horas extra → fatiga → dificultades.</w:t>
      </w:r>
    </w:p>
    <w:p>
      <w:pPr>
        <w:pStyle w:val="Normal"/>
      </w:pPr>
      <w:r>
        <w:t xml:space="preserve">b) Dificultades → tareas menos importantes → tareas difíciles sin completar → dificultades, con tres relaciones positivas.</w:t>
      </w:r>
    </w:p>
    <w:p>
      <w:pPr>
        <w:pStyle w:val="Normal"/>
      </w:pPr>
      <w:r>
        <w:t xml:space="preserve">c) Tareas menores → percepción de progreso → dificultades, sin volver a tareas menores.</w:t>
      </w:r>
    </w:p>
    <w:p>
      <w:pPr>
        <w:pStyle w:val="Normal"/>
      </w:pPr>
      <w:r>
        <w:t xml:space="preserve">d) Pendientes difíciles → dificultades con signo negativo, porque los pendientes ayudan.</w:t>
      </w:r>
    </w:p>
    <w:p>
      <w:pPr>
        <w:pStyle w:val="Heading3"/>
      </w:pPr>
      <w:bookmarkStart w:name="b_pregunta_auto_4_3_3" w:id="4079"/>
      <w:r>
        <w:t xml:space="preserve">4.3-A3 · En R3 del proyecto, tareas menores → tiempo disponible (−) → dificultades (−) → tareas menores (+). ¿Qué ciclo resulta?</w:t>
      </w:r>
      <w:bookmarkEnd w:id="4079"/>
    </w:p>
    <w:p>
      <w:pPr>
        <w:pStyle w:val="Normal"/>
      </w:pPr>
      <w:r>
        <w:t xml:space="preserve">a) Balance, porque hay relaciones negativas.</w:t>
      </w:r>
    </w:p>
    <w:p>
      <w:pPr>
        <w:pStyle w:val="Normal"/>
      </w:pPr>
      <w:r>
        <w:t xml:space="preserve">b) No hay ciclo, porque el tiempo no puede ser variable.</w:t>
      </w:r>
    </w:p>
    <w:p>
      <w:pPr>
        <w:pStyle w:val="Normal"/>
      </w:pPr>
      <w:r>
        <w:t xml:space="preserve">c) Refuerzo: dos negativas se compensan y la evasión agrava las dificultades.</w:t>
      </w:r>
    </w:p>
    <w:p>
      <w:pPr>
        <w:pStyle w:val="Normal"/>
      </w:pPr>
      <w:r>
        <w:t xml:space="preserve">d) Balance, porque todo empeoramiento es compensación.</w:t>
      </w:r>
    </w:p>
    <w:p>
      <w:pPr>
        <w:pStyle w:val="Heading3"/>
      </w:pPr>
      <w:bookmarkStart w:name="b_pregunta_auto_4_3_4" w:id="4080"/>
      <w:r>
        <w:t xml:space="preserve">4.3-A4 · ¿Qué lectura de R4 y qué límite para convertir el proyecto en una simulación son correctos?</w:t>
      </w:r>
      <w:bookmarkEnd w:id="4080"/>
    </w:p>
    <w:p>
      <w:pPr>
        <w:pStyle w:val="Normal"/>
      </w:pPr>
      <w:r>
        <w:t xml:space="preserve">a) La información causa fatiga; basta dibujar flechas para obtener una corrida.</w:t>
      </w:r>
    </w:p>
    <w:p>
      <w:pPr>
        <w:pStyle w:val="Normal"/>
      </w:pPr>
      <w:r>
        <w:t xml:space="preserve">b) Dos negativas siempre forman balance y fijan un plazo numérico.</w:t>
      </w:r>
    </w:p>
    <w:p>
      <w:pPr>
        <w:pStyle w:val="Normal"/>
      </w:pPr>
      <w:r>
        <w:t xml:space="preserve">c) Toda información es necesariamente un nivel; sus parámetros pueden suponerse oficiales.</w:t>
      </w:r>
    </w:p>
    <w:p>
      <w:pPr>
        <w:pStyle w:val="Normal"/>
      </w:pPr>
      <w:r>
        <w:t xml:space="preserve">d) Las tareas menores reducen información/recursos disponibles; su reducción agrava dificultades: es refuerzo y faltan datos para una corrida.</w:t>
      </w:r>
    </w:p>
    <w:p>
      <w:pPr>
        <w:pStyle w:val="Heading3"/>
      </w:pPr>
      <w:bookmarkStart w:name="b_pregunta_auto_4_3_5" w:id="4081"/>
      <w:r>
        <w:t xml:space="preserve">4.3-A5 · ¿Qué añade un diagrama de flujos y niveles que un diagrama de ciclos causales (CLD) no distingue?</w:t>
      </w:r>
      <w:bookmarkEnd w:id="4081"/>
    </w:p>
    <w:p>
      <w:pPr>
        <w:pStyle w:val="Normal"/>
      </w:pPr>
      <w:r>
        <w:t xml:space="preserve">a) La distinción entre lo que se acumula (niveles) y los ritmos que lo cambian (flujos)</w:t>
      </w:r>
    </w:p>
    <w:p>
      <w:pPr>
        <w:pStyle w:val="Normal"/>
      </w:pPr>
      <w:r>
        <w:t xml:space="preserve">b) La polaridad + / − de las flechas</w:t>
      </w:r>
    </w:p>
    <w:p>
      <w:pPr>
        <w:pStyle w:val="Normal"/>
      </w:pPr>
      <w:r>
        <w:t xml:space="preserve">c) Si un bucle es de refuerzo o de balance</w:t>
      </w:r>
    </w:p>
    <w:p>
      <w:pPr>
        <w:pStyle w:val="Normal"/>
      </w:pPr>
      <w:r>
        <w:t xml:space="preserve">d) El nombre de las variables</w:t>
      </w:r>
    </w:p>
    <w:p>
      <w:pPr>
        <w:pStyle w:val="Heading3"/>
      </w:pPr>
      <w:bookmarkStart w:name="b_pregunta_auto_4_3_6" w:id="4082"/>
      <w:r>
        <w:t xml:space="preserve">4.3-A6 · Prueba de la instantánea: si pudieras «congelar el tiempo», ¿cuál de estas variables seguiría teniendo un valor medible?</w:t>
      </w:r>
      <w:bookmarkEnd w:id="4082"/>
    </w:p>
    <w:p>
      <w:pPr>
        <w:pStyle w:val="Normal"/>
      </w:pPr>
      <w:r>
        <w:t xml:space="preserve">a) La población (número de personas)</w:t>
      </w:r>
    </w:p>
    <w:p>
      <w:pPr>
        <w:pStyle w:val="Normal"/>
      </w:pPr>
      <w:r>
        <w:t xml:space="preserve">b) Los nacimientos por año</w:t>
      </w:r>
    </w:p>
    <w:p>
      <w:pPr>
        <w:pStyle w:val="Normal"/>
      </w:pPr>
      <w:r>
        <w:t xml:space="preserve">c) Las muertes por año</w:t>
      </w:r>
    </w:p>
    <w:p>
      <w:pPr>
        <w:pStyle w:val="Normal"/>
      </w:pPr>
      <w:r>
        <w:t xml:space="preserve">d) El caudal del grifo (litros por minuto)</w:t>
      </w:r>
    </w:p>
    <w:p>
      <w:pPr>
        <w:pStyle w:val="Heading3"/>
      </w:pPr>
      <w:bookmarkStart w:name="b_pregunta_auto_4_3_7" w:id="4083"/>
      <w:r>
        <w:t xml:space="preserve">4.3-A7 · Prueba de las unidades: ¿cuál de estas variables es con certeza un FLUJO?</w:t>
      </w:r>
      <w:bookmarkEnd w:id="4083"/>
    </w:p>
    <w:p>
      <w:pPr>
        <w:pStyle w:val="Normal"/>
      </w:pPr>
      <w:r>
        <w:t xml:space="preserve">a) Inventario (unidades)</w:t>
      </w:r>
    </w:p>
    <w:p>
      <w:pPr>
        <w:pStyle w:val="Normal"/>
      </w:pPr>
      <w:r>
        <w:t xml:space="preserve">b) Saldo (quetzales)</w:t>
      </w:r>
    </w:p>
    <w:p>
      <w:pPr>
        <w:pStyle w:val="Normal"/>
      </w:pPr>
      <w:r>
        <w:t xml:space="preserve">c) Ventas (unidades / día)</w:t>
      </w:r>
    </w:p>
    <w:p>
      <w:pPr>
        <w:pStyle w:val="Normal"/>
      </w:pPr>
      <w:r>
        <w:t xml:space="preserve">d) Temperatura del cuarto (°C)</w:t>
      </w:r>
    </w:p>
    <w:p>
      <w:pPr>
        <w:pStyle w:val="Heading3"/>
      </w:pPr>
      <w:bookmarkStart w:name="b_pregunta_auto_4_3_8" w:id="4084"/>
      <w:r>
        <w:t xml:space="preserve">4.3-A8 · En el CLD de una población (Población → Nacimientos → Población, y Población → Muertes → Población), al traducir a flujos y niveles, ¿qué papel toma «Población»?</w:t>
      </w:r>
      <w:bookmarkEnd w:id="4084"/>
    </w:p>
    <w:p>
      <w:pPr>
        <w:pStyle w:val="Normal"/>
      </w:pPr>
      <w:r>
        <w:t xml:space="preserve">a) El nivel (stock): el acumulador que llenan los nacimientos y vacían las muertes</w:t>
      </w:r>
    </w:p>
    <w:p>
      <w:pPr>
        <w:pStyle w:val="Normal"/>
      </w:pPr>
      <w:r>
        <w:t xml:space="preserve">b) Un flujo de entrada</w:t>
      </w:r>
    </w:p>
    <w:p>
      <w:pPr>
        <w:pStyle w:val="Normal"/>
      </w:pPr>
      <w:r>
        <w:t xml:space="preserve">c) Un flujo de salida</w:t>
      </w:r>
    </w:p>
    <w:p>
      <w:pPr>
        <w:pStyle w:val="Normal"/>
      </w:pPr>
      <w:r>
        <w:t xml:space="preserve">d) Un auxiliar (constante)</w:t>
      </w:r>
    </w:p>
    <w:p>
      <w:pPr>
        <w:pStyle w:val="Heading3"/>
      </w:pPr>
      <w:bookmarkStart w:name="b_pregunta_auto_4_3_9" w:id="4085"/>
      <w:r>
        <w:t xml:space="preserve">4.3-A9 · Tras traducir un CLD a flujos y niveles, ¿qué debe conservarse sí o sí?</w:t>
      </w:r>
      <w:bookmarkEnd w:id="4085"/>
    </w:p>
    <w:p>
      <w:pPr>
        <w:pStyle w:val="Normal"/>
      </w:pPr>
      <w:r>
        <w:t xml:space="preserve">a) Los bucles de realimentación (R y B) con la misma polaridad</w:t>
      </w:r>
    </w:p>
    <w:p>
      <w:pPr>
        <w:pStyle w:val="Normal"/>
      </w:pPr>
      <w:r>
        <w:t xml:space="preserve">b) El número exacto de flechas del dibujo</w:t>
      </w:r>
    </w:p>
    <w:p>
      <w:pPr>
        <w:pStyle w:val="Normal"/>
      </w:pPr>
      <w:r>
        <w:t xml:space="preserve">c) La posición de cada variable en la hoja</w:t>
      </w:r>
    </w:p>
    <w:p>
      <w:pPr>
        <w:pStyle w:val="Normal"/>
      </w:pPr>
      <w:r>
        <w:t xml:space="preserve">d) Nada: es un diagrama totalmente nuevo</w:t>
      </w:r>
    </w:p>
    <w:p>
      <w:pPr>
        <w:pStyle w:val="Heading3"/>
      </w:pPr>
      <w:bookmarkStart w:name="b_pregunta_auto_4_3_10" w:id="4086"/>
      <w:r>
        <w:t xml:space="preserve">4.3-A10 · En un diagrama de flujos y niveles, ¿qué representan las «nubes» en los extremos de los flujos?</w:t>
      </w:r>
      <w:bookmarkEnd w:id="4086"/>
    </w:p>
    <w:p>
      <w:pPr>
        <w:pStyle w:val="Normal"/>
      </w:pPr>
      <w:r>
        <w:t xml:space="preserve">a) La frontera del sistema: fuentes y sumideros fuera de nuestro interés</w:t>
      </w:r>
    </w:p>
    <w:p>
      <w:pPr>
        <w:pStyle w:val="Normal"/>
      </w:pPr>
      <w:r>
        <w:t xml:space="preserve">b) Variables que aún no sabemos clasificar</w:t>
      </w:r>
    </w:p>
    <w:p>
      <w:pPr>
        <w:pStyle w:val="Normal"/>
      </w:pPr>
      <w:r>
        <w:t xml:space="preserve">c) Niveles muy grandes</w:t>
      </w:r>
    </w:p>
    <w:p>
      <w:pPr>
        <w:pStyle w:val="Normal"/>
      </w:pPr>
      <w:r>
        <w:t xml:space="preserve">d) Un error del diagrama</w:t>
      </w:r>
    </w:p>
    <w:p>
      <w:pPr>
        <w:pStyle w:val="Heading3"/>
      </w:pPr>
      <w:bookmarkStart w:name="b_pregunta_auto_4_3_11" w:id="4087"/>
      <w:r>
        <w:t xml:space="preserve">4.3-A11 · ¿Cuál de estas afirmaciones es un MITO al pasar de un CLD a flujos y niveles?</w:t>
      </w:r>
      <w:bookmarkEnd w:id="4087"/>
    </w:p>
    <w:p>
      <w:pPr>
        <w:pStyle w:val="Normal"/>
      </w:pPr>
      <w:r>
        <w:t xml:space="preserve">a) Cada variable del CLD se convierte automáticamente en un nivel</w:t>
      </w:r>
    </w:p>
    <w:p>
      <w:pPr>
        <w:pStyle w:val="Normal"/>
      </w:pPr>
      <w:r>
        <w:t xml:space="preserve">b) Hay que decidir, variable por variable, si es nivel, flujo o auxiliar</w:t>
      </w:r>
    </w:p>
    <w:p>
      <w:pPr>
        <w:pStyle w:val="Normal"/>
      </w:pPr>
      <w:r>
        <w:t xml:space="preserve">c) Un flujo solo puede cambiar el nivel al que está conectado</w:t>
      </w:r>
    </w:p>
    <w:p>
      <w:pPr>
        <w:pStyle w:val="Normal"/>
      </w:pPr>
      <w:r>
        <w:t xml:space="preserve">d) Las tasas suelen ser auxiliares que modulan un flujo</w:t>
      </w:r>
    </w:p>
    <w:p>
      <w:pPr>
        <w:pStyle w:val="Heading3"/>
      </w:pPr>
      <w:bookmarkStart w:name="b_pregunta_auto_4_3_12" w:id="4088"/>
      <w:r>
        <w:t xml:space="preserve">4.3-A12 · En el modelo de la epidemia de la presentación, ¿qué variable es el nivel?</w:t>
      </w:r>
      <w:bookmarkEnd w:id="4088"/>
    </w:p>
    <w:p>
      <w:pPr>
        <w:pStyle w:val="Normal"/>
      </w:pPr>
      <w:r>
        <w:t xml:space="preserve">a) La población infectada (PI)</w:t>
      </w:r>
    </w:p>
    <w:p>
      <w:pPr>
        <w:pStyle w:val="Normal"/>
      </w:pPr>
      <w:r>
        <w:t xml:space="preserve">b) La tasa de contagio (TC)</w:t>
      </w:r>
    </w:p>
    <w:p>
      <w:pPr>
        <w:pStyle w:val="Normal"/>
      </w:pPr>
      <w:r>
        <w:t xml:space="preserve">c) La población vulnerable (PV)</w:t>
      </w:r>
    </w:p>
    <w:p>
      <w:pPr>
        <w:pStyle w:val="Normal"/>
      </w:pPr>
      <w:r>
        <w:t xml:space="preserve">d) La población total (PT)</w:t>
      </w:r>
    </w:p>
    <w:p>
      <w:pPr>
        <w:pStyle w:val="Heading3"/>
      </w:pPr>
      <w:bookmarkStart w:name="b_pregunta_auto_4_3_13" w:id="4089"/>
      <w:r>
        <w:t xml:space="preserve">4.3-A13 · En la página 10 de la presentación, R1, R2, R3 y R4 son…</w:t>
      </w:r>
      <w:bookmarkEnd w:id="4089"/>
    </w:p>
    <w:p>
      <w:pPr>
        <w:pStyle w:val="Normal"/>
      </w:pPr>
      <w:r>
        <w:t xml:space="preserve">a) Las cuatro relaciones de la descripción verbal de la epidemia</w:t>
      </w:r>
    </w:p>
    <w:p>
      <w:pPr>
        <w:pStyle w:val="Normal"/>
      </w:pPr>
      <w:r>
        <w:t xml:space="preserve">b) Cuatro ciclos de refuerzo</w:t>
      </w:r>
    </w:p>
    <w:p>
      <w:pPr>
        <w:pStyle w:val="Normal"/>
      </w:pPr>
      <w:r>
        <w:t xml:space="preserve">c) Dos ciclos de refuerzo y dos de balance</w:t>
      </w:r>
    </w:p>
    <w:p>
      <w:pPr>
        <w:pStyle w:val="Normal"/>
      </w:pPr>
      <w:r>
        <w:t xml:space="preserve">d) Las cuatro variables del modelo</w:t>
      </w:r>
    </w:p>
    <w:p>
      <w:pPr>
        <w:pStyle w:val="Heading3"/>
      </w:pPr>
      <w:bookmarkStart w:name="b_pregunta_auto_4_3_14" w:id="4090"/>
      <w:r>
        <w:t xml:space="preserve">4.3-A14 · Según las reglas de conversión, las flechas que ENTRAN a un nivel tienen que ser…</w:t>
      </w:r>
      <w:bookmarkEnd w:id="4090"/>
    </w:p>
    <w:p>
      <w:pPr>
        <w:pStyle w:val="Normal"/>
      </w:pPr>
      <w:r>
        <w:t xml:space="preserve">a) Flujos</w:t>
      </w:r>
    </w:p>
    <w:p>
      <w:pPr>
        <w:pStyle w:val="Normal"/>
      </w:pPr>
      <w:r>
        <w:t xml:space="preserve">b) Auxiliares</w:t>
      </w:r>
    </w:p>
    <w:p>
      <w:pPr>
        <w:pStyle w:val="Normal"/>
      </w:pPr>
      <w:r>
        <w:t xml:space="preserve">c) Constantes</w:t>
      </w:r>
    </w:p>
    <w:p>
      <w:pPr>
        <w:pStyle w:val="Normal"/>
      </w:pPr>
      <w:r>
        <w:t xml:space="preserve">d) Otros niveles</w:t>
      </w:r>
    </w:p>
    <w:p>
      <w:pPr>
        <w:pStyle w:val="Heading3"/>
      </w:pPr>
      <w:bookmarkStart w:name="b_pregunta_auto_4_3_15" w:id="4091"/>
      <w:r>
        <w:t xml:space="preserve">4.3-A15 · Si la flecha de un flujo hacia un nivel tiene polaridad NEGATIVA, ese flujo es…</w:t>
      </w:r>
      <w:bookmarkEnd w:id="4091"/>
    </w:p>
    <w:p>
      <w:pPr>
        <w:pStyle w:val="Normal"/>
      </w:pPr>
      <w:r>
        <w:t xml:space="preserve">a) De salida</w:t>
      </w:r>
    </w:p>
    <w:p>
      <w:pPr>
        <w:pStyle w:val="Normal"/>
      </w:pPr>
      <w:r>
        <w:t xml:space="preserve">b) De entrada</w:t>
      </w:r>
    </w:p>
    <w:p>
      <w:pPr>
        <w:pStyle w:val="Normal"/>
      </w:pPr>
      <w:r>
        <w:t xml:space="preserve">c) Una auxiliar</w:t>
      </w:r>
    </w:p>
    <w:p>
      <w:pPr>
        <w:pStyle w:val="Normal"/>
      </w:pPr>
      <w:r>
        <w:t xml:space="preserve">d) Un error del diagrama</w:t>
      </w:r>
    </w:p>
    <w:p>
      <w:pPr>
        <w:pStyle w:val="Heading3"/>
      </w:pPr>
      <w:bookmarkStart w:name="b_pregunta_auto_4_3_16" w:id="4092"/>
      <w:r>
        <w:t xml:space="preserve">4.3-A16 · Si un nivel Y se mide en litros, ¿en qué se miden sus flujos?</w:t>
      </w:r>
      <w:bookmarkEnd w:id="4092"/>
    </w:p>
    <w:p>
      <w:pPr>
        <w:pStyle w:val="Normal"/>
      </w:pPr>
      <w:r>
        <w:t xml:space="preserve">a) En litros/min</w:t>
      </w:r>
    </w:p>
    <w:p>
      <w:pPr>
        <w:pStyle w:val="Normal"/>
      </w:pPr>
      <w:r>
        <w:t xml:space="preserve">b) En litros</w:t>
      </w:r>
    </w:p>
    <w:p>
      <w:pPr>
        <w:pStyle w:val="Normal"/>
      </w:pPr>
      <w:r>
        <w:t xml:space="preserve">c) En litros²</w:t>
      </w:r>
    </w:p>
    <w:p>
      <w:pPr>
        <w:pStyle w:val="Normal"/>
      </w:pPr>
      <w:r>
        <w:t xml:space="preserve">d) No tienen unidades</w:t>
      </w:r>
    </w:p>
    <w:p>
      <w:pPr>
        <w:pStyle w:val="Heading3"/>
      </w:pPr>
      <w:bookmarkStart w:name="b_pregunta_auto_4_3_17" w:id="4093"/>
      <w:r>
        <w:t xml:space="preserve">4.3-A17 · En la solución del ejercicio 1, ¿qué tipo de variable es la falta de capacidad (FALTANTE)?</w:t>
      </w:r>
      <w:bookmarkEnd w:id="4093"/>
    </w:p>
    <w:p>
      <w:pPr>
        <w:pStyle w:val="Normal"/>
      </w:pPr>
      <w:r>
        <w:t xml:space="preserve">a) Auxiliar</w:t>
      </w:r>
    </w:p>
    <w:p>
      <w:pPr>
        <w:pStyle w:val="Normal"/>
      </w:pPr>
      <w:r>
        <w:t xml:space="preserve">b) Nivel</w:t>
      </w:r>
    </w:p>
    <w:p>
      <w:pPr>
        <w:pStyle w:val="Normal"/>
      </w:pPr>
      <w:r>
        <w:t xml:space="preserve">c) Flujo</w:t>
      </w:r>
    </w:p>
    <w:p>
      <w:pPr>
        <w:pStyle w:val="Normal"/>
      </w:pPr>
      <w:r>
        <w:t xml:space="preserve">d) Fuente</w:t>
      </w:r>
    </w:p>
    <w:p>
      <w:pPr>
        <w:pStyle w:val="Heading3"/>
      </w:pPr>
      <w:bookmarkStart w:name="b_pregunta_auto_4_3_18" w:id="4094"/>
      <w:r>
        <w:t xml:space="preserve">4.3-A18 · Al convertir un diagrama causal, ¿qué es una flecha que SALE de una variable de nivel?</w:t>
      </w:r>
      <w:bookmarkEnd w:id="4094"/>
    </w:p>
    <w:p>
      <w:pPr>
        <w:pStyle w:val="Normal"/>
      </w:pPr>
      <w:r>
        <w:t xml:space="preserve">a) Información: dice que otra variable depende del valor del nivel</w:t>
      </w:r>
    </w:p>
    <w:p>
      <w:pPr>
        <w:pStyle w:val="Normal"/>
      </w:pPr>
      <w:r>
        <w:t xml:space="preserve">b) Un flujo de salida del nivel</w:t>
      </w:r>
    </w:p>
    <w:p>
      <w:pPr>
        <w:pStyle w:val="Normal"/>
      </w:pPr>
      <w:r>
        <w:t xml:space="preserve">c) Un flujo de entrada a la otra variable</w:t>
      </w:r>
    </w:p>
    <w:p>
      <w:pPr>
        <w:pStyle w:val="Normal"/>
      </w:pPr>
      <w:r>
        <w:t xml:space="preserve">d) Una demora</w:t>
      </w:r>
    </w:p>
    <w:p>
      <w:pPr>
        <w:pStyle w:val="Heading3"/>
      </w:pPr>
      <w:bookmarkStart w:name="b_pregunta_auto_4_3_19" w:id="4095"/>
      <w:r>
        <w:t xml:space="preserve">4.3-A19 · En el caso de los huevos y las gallinas, ¿por qué los cruces de carretera son una variable auxiliar y no exógena?</w:t>
      </w:r>
      <w:bookmarkEnd w:id="4095"/>
    </w:p>
    <w:p>
      <w:pPr>
        <w:pStyle w:val="Normal"/>
      </w:pPr>
      <w:r>
        <w:t xml:space="preserve">a) Porque dependen de algo del modelo: del número de gallinas</w:t>
      </w:r>
    </w:p>
    <w:p>
      <w:pPr>
        <w:pStyle w:val="Normal"/>
      </w:pPr>
      <w:r>
        <w:t xml:space="preserve">b) Porque son un flujo de salida de las gallinas</w:t>
      </w:r>
    </w:p>
    <w:p>
      <w:pPr>
        <w:pStyle w:val="Normal"/>
      </w:pPr>
      <w:r>
        <w:t xml:space="preserve">c) Porque ninguna flecha llega a ellos</w:t>
      </w:r>
    </w:p>
    <w:p>
      <w:pPr>
        <w:pStyle w:val="Normal"/>
      </w:pPr>
      <w:r>
        <w:t xml:space="preserve">d) Porque son un nivel que se acumula</w:t>
      </w:r>
    </w:p>
    <w:p>
      <w:pPr>
        <w:pStyle w:val="Heading3"/>
      </w:pPr>
      <w:bookmarkStart w:name="b_pregunta_auto_4_3_20" w:id="4096"/>
      <w:r>
        <w:t xml:space="preserve">4.3-A20 · En el caso de teléfonos, ¿qué representa el flujo de instalaciones?</w:t>
      </w:r>
      <w:bookmarkEnd w:id="4096"/>
    </w:p>
    <w:p>
      <w:pPr>
        <w:pStyle w:val="Normal"/>
      </w:pPr>
      <w:r>
        <w:t xml:space="preserve">a) Casas construidas</w:t>
      </w:r>
    </w:p>
    <w:p>
      <w:pPr>
        <w:pStyle w:val="Normal"/>
      </w:pPr>
      <w:r>
        <w:t xml:space="preserve">b) Un porcentaje sin unidad temporal</w:t>
      </w:r>
    </w:p>
    <w:p>
      <w:pPr>
        <w:pStyle w:val="Normal"/>
      </w:pPr>
      <w:r>
        <w:t xml:space="preserve">c) Casas que adquieren teléfono por mes</w:t>
      </w:r>
    </w:p>
    <w:p>
      <w:pPr>
        <w:pStyle w:val="Normal"/>
      </w:pPr>
      <w:r>
        <w:t xml:space="preserve">d) El total acumulado de casas con teléfono</w:t>
      </w:r>
    </w:p>
    <w:p>
      <w:pPr>
        <w:pStyle w:val="Heading3"/>
      </w:pPr>
      <w:bookmarkStart w:name="b_pregunta_auto_4_3_21" w:id="4097"/>
      <w:r>
        <w:t xml:space="preserve">4.3-A21 · Con 300 casas y tasa mensual del 9 %, ¿cuántas instalaciones produce el primer paso?</w:t>
      </w:r>
      <w:bookmarkEnd w:id="4097"/>
    </w:p>
    <w:p>
      <w:pPr>
        <w:pStyle w:val="Normal"/>
      </w:pPr>
      <w:r>
        <w:t xml:space="preserve">a) 300</w:t>
      </w:r>
    </w:p>
    <w:p>
      <w:pPr>
        <w:pStyle w:val="Normal"/>
      </w:pPr>
      <w:r>
        <w:t xml:space="preserve">b) 9</w:t>
      </w:r>
    </w:p>
    <w:p>
      <w:pPr>
        <w:pStyle w:val="Normal"/>
      </w:pPr>
      <w:r>
        <w:t xml:space="preserve">c) 0</w:t>
      </w:r>
    </w:p>
    <w:p>
      <w:pPr>
        <w:pStyle w:val="Normal"/>
      </w:pPr>
      <w:r>
        <w:t xml:space="preserve">d) 27</w:t>
      </w:r>
    </w:p>
    <w:p>
      <w:pPr>
        <w:pStyle w:val="Heading3"/>
      </w:pPr>
      <w:bookmarkStart w:name="b_pregunta_auto_4_3_22" w:id="4098"/>
      <w:r>
        <w:t xml:space="preserve">4.3-A22 · Si una ecuación de TC usa PI pero falta su flecha informativa, ¿qué debe hacerse?</w:t>
      </w:r>
      <w:bookmarkEnd w:id="4098"/>
    </w:p>
    <w:p>
      <w:pPr>
        <w:pStyle w:val="Normal"/>
      </w:pPr>
      <w:r>
        <w:t xml:space="preserve">a) Ocultar la advertencia sin revisar</w:t>
      </w:r>
    </w:p>
    <w:p>
      <w:pPr>
        <w:pStyle w:val="Normal"/>
      </w:pPr>
      <w:r>
        <w:t xml:space="preserve">b) Representar la dependencia PI → TC</w:t>
      </w:r>
    </w:p>
    <w:p>
      <w:pPr>
        <w:pStyle w:val="Normal"/>
      </w:pPr>
      <w:r>
        <w:t xml:space="preserve">c) Eliminar PI de todo el modelo</w:t>
      </w:r>
    </w:p>
    <w:p>
      <w:pPr>
        <w:pStyle w:val="Normal"/>
      </w:pPr>
      <w:r>
        <w:t xml:space="preserve">d) Convertir todas las variables en flujos</w:t>
      </w:r>
    </w:p>
    <w:p>
      <w:pPr>
        <w:pStyle w:val="Heading3"/>
      </w:pPr>
      <w:bookmarkStart w:name="b_pregunta_auto_4_3_23" w:id="4099"/>
      <w:r>
        <w:t xml:space="preserve">4.3-A23 · ¿Qué polaridad tiene el ciclo de adquisición según las ecuaciones?</w:t>
      </w:r>
      <w:bookmarkEnd w:id="4099"/>
    </w:p>
    <w:p>
      <w:pPr>
        <w:pStyle w:val="Normal"/>
      </w:pPr>
      <w:r>
        <w:t xml:space="preserve">a) No tiene relación con la brecha</w:t>
      </w:r>
    </w:p>
    <w:p>
      <w:pPr>
        <w:pStyle w:val="Normal"/>
      </w:pPr>
      <w:r>
        <w:t xml:space="preserve">b) Balance</w:t>
      </w:r>
    </w:p>
    <w:p>
      <w:pPr>
        <w:pStyle w:val="Normal"/>
      </w:pPr>
      <w:r>
        <w:t xml:space="preserve">c) Refuerzo por tener compras</w:t>
      </w:r>
    </w:p>
    <w:p>
      <w:pPr>
        <w:pStyle w:val="Normal"/>
      </w:pPr>
      <w:r>
        <w:t xml:space="preserve">d) Siempre positivo por dibujarse a la izquierda</w:t>
      </w:r>
    </w:p>
    <w:p>
      <w:pPr>
        <w:pStyle w:val="Heading3"/>
      </w:pPr>
      <w:r>
        <w:t xml:space="preserve">Ejercicios de aplicación</w:t>
      </w:r>
    </w:p>
    <w:p>
      <w:pPr>
        <w:pStyle w:val="Heading3"/>
      </w:pPr>
      <w:bookmarkStart w:name="b_pregunta_ej_MF06" w:id="4100"/>
      <w:r>
        <w:t xml:space="preserve">4.3-E1 · Convertir un diagrama</w:t>
      </w:r>
      <w:bookmarkEnd w:id="4100"/>
    </w:p>
    <w:p>
      <w:pPr>
        <w:pStyle w:val="Normal"/>
      </w:pPr>
      <w:r>
        <w:t xml:space="preserve">«Más capacidad instalada reduce el faltante; más faltante aumenta los ajustes; más ajustes aumentan la capacidad. Una mayor demanda aumenta el faltante». Dibuja un DCC con signos y luego un Forrester. Identifica el tipo de ciclo, los elementos y la ecuación del nivel. No inventes una tasa numérica.</w:t>
      </w:r>
    </w:p>
    <w:p>
      <w:pPr>
        <w:pStyle w:val="Heading3"/>
      </w:pPr>
      <w:bookmarkStart w:name="b_pregunta_ej_MF07" w:id="4101"/>
      <w:r>
        <w:t xml:space="preserve">4.3-E2 · Transferencia entre niveles</w:t>
      </w:r>
      <w:bookmarkEnd w:id="4101"/>
    </w:p>
    <w:p>
      <w:pPr>
        <w:pStyle w:val="Normal"/>
      </w:pPr>
      <w:r>
        <w:t xml:space="preserve">Hay clientes potenciales y clientes actuales. Las ventas convierten potenciales en actuales. Dibuja ambos niveles y el flujo compartido; escribe sus dos ecuaciones. ¿Qué total se conserva si no hay otros cambios? ¿Qué significan las unidades de «ventas» en este caso?</w:t>
      </w:r>
    </w:p>
    <w:p>
      <w:pPr>
        <w:pStyle w:val="Heading3"/>
      </w:pPr>
      <w:bookmarkStart w:name="b_pregunta_ej_MF08" w:id="4102"/>
      <w:r>
        <w:t xml:space="preserve">4.3-E3 · Error en un diagrama</w:t>
      </w:r>
      <w:bookmarkEnd w:id="4102"/>
    </w:p>
    <w:p>
      <w:pPr>
        <w:pStyle w:val="Normal"/>
      </w:pPr>
      <w:r>
        <w:t xml:space="preserve">Un estudiante representa «meta de inventario» como un flujo que entra directamente al nivel «libros disponibles», y representa «faltante» como otro nivel sin entradas ni salidas. Señala dos problemas y propón una representación coherente.</w:t>
      </w:r>
    </w:p>
    <w:p>
      <w:pPr>
        <w:pStyle w:val="Heading3"/>
      </w:pPr>
      <w:bookmarkStart w:name="b_pregunta_ej_MF09" w:id="4103"/>
      <w:r>
        <w:t xml:space="preserve">4.3-E4 · Huevos y aves</w:t>
      </w:r>
      <w:bookmarkEnd w:id="4103"/>
    </w:p>
    <w:p>
      <w:pPr>
        <w:pStyle w:val="Normal"/>
      </w:pPr>
      <w:r>
        <w:t xml:space="preserve">Asigna categorías a huevos, gallinas, puesta, eclosión, muertes y cruces de carretera. Escribe las dos ecuaciones de nivel y explica por qué eclosión aparece como una sola transición. Identifica al menos un balance y un refuerzo recorriéndolos.</w:t>
      </w:r>
    </w:p>
    <w:p>
      <w:pPr>
        <w:pStyle w:val="Heading3"/>
      </w:pPr>
      <w:bookmarkStart w:name="b_pregunta_ej_MF26" w:id="4104"/>
      <w:r>
        <w:t xml:space="preserve">4.3-E5 · Leer ecuaciones DYNAMO</w:t>
      </w:r>
      <w:bookmarkEnd w:id="4104"/>
    </w:p>
    <w:p>
      <w:pPr>
        <w:pStyle w:val="Normal"/>
      </w:pPr>
      <w:r>
        <w:t xml:space="preserve">En el listado de la epidemia distingue las líneas L, R, A, C y N. Relaciónalas con PI, TC, PV, PT y el valor inicial, y escribe sus equivalentes conceptuales en Vensim.</w:t>
      </w:r>
    </w:p>
    <w:p>
      <w:pPr>
        <w:pStyle w:val="Heading3"/>
      </w:pPr>
      <w:bookmarkStart w:name="b_pregunta_ej_MF30" w:id="4105"/>
      <w:r>
        <w:t xml:space="preserve">4.3-E6 · Lineamientos de Kim antes de convertir</w:t>
      </w:r>
      <w:bookmarkEnd w:id="4105"/>
    </w:p>
    <w:p>
      <w:pPr>
        <w:pStyle w:val="Normal"/>
      </w:pPr>
      <w:r>
        <w:t xml:space="preserve">Antes de convertir un DCC a Forrester, revisa los diez lineamientos de Kim sobre un caso de demanda, calidad y capacidad. Escribe variables, objetivo y brecha, términos intermedios, efectos no intencionados, demoras, polaridades e historias de cada ciclo. Explica por qué estos lineamientos no son los siete pasos de un arquetipo.</w:t>
      </w:r>
    </w:p>
    <w:p>
      <w:pPr>
        <w:pStyle w:val="Heading3"/>
      </w:pPr>
      <w:bookmarkStart w:name="b_solucionario_4_3" w:id="4106"/>
      <w:r>
        <w:t xml:space="preserve">Solucionario del capítulo</w:t>
      </w:r>
      <w:bookmarkEnd w:id="4106"/>
    </w:p>
    <w:p>
      <w:pPr>
        <w:pStyle w:val="Heading3"/>
      </w:pPr>
      <w:r>
        <w:t xml:space="preserve">4.3-A1</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a) Hacer tareas menores aumenta la percepción de progreso y reduce las dificultades percibidas, aunque queden tareas críticas.</w:t>
            </w:r>
          </w:p>
        </w:tc>
      </w:tr>
    </w:tbl>
    <w:p>
      <w:pPr>
        <w:pStyle w:val="Normal"/>
      </w:pPr>
      <w:r>
        <w:t xml:space="preserve">Dificultades → tareas menos importantes → progreso en tareas → percepción de progreso → dificultades tiene signos +,+,+,−: es balance. El alivio es aparente: la historia repite la evasión cada día y llega al plazo con trabajo crítico pendiente. Un diagrama distinto es admisible si sus nombres y signos conservan ambos comportamientos: alivio aparente y agravamiento real.</w:t>
      </w:r>
    </w:p>
    <w:p>
      <w:pPr>
        <w:pStyle w:val="Fuente"/>
      </w:pPr>
      <w:r>
        <w:t xml:space="preserve">Clase 20 · 00:17:05 · 00:21:46 · 00:24:08 · 00:26:43 · láminas c20-02 y c20-03</w:t>
      </w:r>
    </w:p>
    <w:p>
      <w:pPr>
        <w:pStyle w:val="Heading3"/>
      </w:pPr>
      <w:r>
        <w:t xml:space="preserve">4.3-A2</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b) Dificultades → tareas menos importantes → tareas difíciles sin completar → dificultades, con tres relaciones positivas.</w:t>
            </w:r>
          </w:p>
        </w:tc>
      </w:tr>
    </w:tbl>
    <w:p>
      <w:pPr>
        <w:pStyle w:val="Normal"/>
      </w:pPr>
      <w:r>
        <w:t xml:space="preserve">R2 conserva el trabajo difícil sin completar: al desviar esfuerzo hacia tareas menores crecen los pendientes difíciles; éstos agravan las dificultades y alientan más evasión. Las tres relaciones positivas cierran un refuerzo del atraso. Fatiga y horas extra corresponden a otra historia.</w:t>
      </w:r>
    </w:p>
    <w:p>
      <w:pPr>
        <w:pStyle w:val="Fuente"/>
      </w:pPr>
      <w:r>
        <w:t xml:space="preserve">Clase 20 · 00:30:04 · lámina c20-03</w:t>
      </w:r>
    </w:p>
    <w:p>
      <w:pPr>
        <w:pStyle w:val="Heading3"/>
      </w:pPr>
      <w:r>
        <w:t xml:space="preserve">4.3-A3</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c) Refuerzo: dos negativas se compensan y la evasión agrava las dificultades.</w:t>
            </w:r>
          </w:p>
        </w:tc>
      </w:tr>
    </w:tbl>
    <w:p>
      <w:pPr>
        <w:pStyle w:val="Normal"/>
      </w:pPr>
      <w:r>
        <w:t xml:space="preserve">Más tareas menores consumen tiempo; menos tiempo disponible eleva las dificultades, que impulsan más tareas menores. Dos relaciones negativas producen paridad positiva: refuerzo, aunque su efecto sea perjudicial. El signo no expresa conveniencia.</w:t>
      </w:r>
    </w:p>
    <w:p>
      <w:pPr>
        <w:pStyle w:val="Fuente"/>
      </w:pPr>
      <w:r>
        <w:t xml:space="preserve">Clase 20 · 00:31:53 · lámina c20-03</w:t>
      </w:r>
    </w:p>
    <w:p>
      <w:pPr>
        <w:pStyle w:val="Heading3"/>
      </w:pPr>
      <w:r>
        <w:t xml:space="preserve">4.3-A4</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d) Las tareas menores reducen información/recursos disponibles; su reducción agrava dificultades: es refuerzo y faltan datos para una corrida.</w:t>
            </w:r>
          </w:p>
        </w:tc>
      </w:tr>
    </w:tbl>
    <w:p>
      <w:pPr>
        <w:pStyle w:val="Normal"/>
      </w:pPr>
      <w:r>
        <w:t xml:space="preserve">Dificultades → tareas menores (+) → información y recursos (−) → dificultades (−) es R4. Las dos negativas forman refuerzo. La revisión causal precede a elegir niveles, flujos y ecuaciones; sin cantidades, tasas y condiciones iniciales no se calcula ni se atribuye una simulación al profesor.</w:t>
      </w:r>
    </w:p>
    <w:p>
      <w:pPr>
        <w:pStyle w:val="Fuente"/>
      </w:pPr>
      <w:r>
        <w:t xml:space="preserve">Clase 20 · 00:31:53 · lámina c20-03</w:t>
      </w:r>
    </w:p>
    <w:p>
      <w:pPr>
        <w:pStyle w:val="Heading3"/>
      </w:pPr>
      <w:r>
        <w:t xml:space="preserve">4.3-A5</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a) La distinción entre lo que se acumula (niveles) y los ritmos que lo cambian (flujos)</w:t>
            </w:r>
          </w:p>
        </w:tc>
      </w:tr>
    </w:tbl>
    <w:p>
      <w:pPr>
        <w:pStyle w:val="Normal"/>
      </w:pPr>
      <w:r>
        <w:t xml:space="preserve">En un CLD toda variable «se ve igual». El diagrama de flujos y niveles obliga a decidir el TIPO de cada una —nivel (acumula) o flujo (ritmo)— que es justo lo que hace falta para simular la dinámica de la acumulación.</w:t>
      </w:r>
    </w:p>
    <w:p>
      <w:pPr>
        <w:pStyle w:val="Normal"/>
      </w:pPr>
      <w:r>
        <w:t xml:space="preserve">a) Correcto: el CLD trata todas las variables por igual; el stock-and-flow separa niveles de flujos y permite cuantificar la acumulación.</w:t>
      </w:r>
    </w:p>
    <w:p>
      <w:pPr>
        <w:pStyle w:val="Normal"/>
      </w:pPr>
      <w:r>
        <w:t xml:space="preserve">b) La polaridad ya está en el CLD.</w:t>
      </w:r>
    </w:p>
    <w:p>
      <w:pPr>
        <w:pStyle w:val="Normal"/>
      </w:pPr>
      <w:r>
        <w:t xml:space="preserve">c) El tipo de bucle (R/B) también se lee en el CLD.</w:t>
      </w:r>
    </w:p>
    <w:p>
      <w:pPr>
        <w:pStyle w:val="Normal"/>
      </w:pPr>
      <w:r>
        <w:t xml:space="preserve">d) Los nombres están en ambos diagramas.</w:t>
      </w:r>
    </w:p>
    <w:p>
      <w:pPr>
        <w:pStyle w:val="Fuente"/>
      </w:pPr>
      <w:r>
        <w:t xml:space="preserve">Sterman, Business Dynamics</w:t>
      </w:r>
    </w:p>
    <w:p>
      <w:pPr>
        <w:pStyle w:val="Heading3"/>
      </w:pPr>
      <w:r>
        <w:t xml:space="preserve">4.3-A6</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a) La población (número de personas)</w:t>
            </w:r>
          </w:p>
        </w:tc>
      </w:tr>
    </w:tbl>
    <w:p>
      <w:pPr>
        <w:pStyle w:val="Normal"/>
      </w:pPr>
      <w:r>
        <w:t xml:space="preserve">La prueba de la instantánea distingue niveles de flujos: si congelas el tiempo, el NIVEL sigue teniendo un valor (100 personas, 3 litros en el balde), pero un FLUJO —que se mide «por unidad de tiempo»— se vuelve inmedible. La población es un nivel; los demás son flujos.</w:t>
      </w:r>
    </w:p>
    <w:p>
      <w:pPr>
        <w:pStyle w:val="Normal"/>
      </w:pPr>
      <w:r>
        <w:t xml:space="preserve">a) Correcto: un nivel se puede medir en un instante congelado; se ha acumulado.</w:t>
      </w:r>
    </w:p>
    <w:p>
      <w:pPr>
        <w:pStyle w:val="Normal"/>
      </w:pPr>
      <w:r>
        <w:t xml:space="preserve">b) Un ritmo por año no existe en un instante congelado: es un flujo.</w:t>
      </w:r>
    </w:p>
    <w:p>
      <w:pPr>
        <w:pStyle w:val="Normal"/>
      </w:pPr>
      <w:r>
        <w:t xml:space="preserve">c) Igual: «por año» es un ritmo, un flujo.</w:t>
      </w:r>
    </w:p>
    <w:p>
      <w:pPr>
        <w:pStyle w:val="Normal"/>
      </w:pPr>
      <w:r>
        <w:t xml:space="preserve">d) «Por minuto» delata un ritmo: es un flujo, no un nivel.</w:t>
      </w:r>
    </w:p>
    <w:p>
      <w:pPr>
        <w:pStyle w:val="Fuente"/>
      </w:pPr>
      <w:r>
        <w:t xml:space="preserve">Meadows, Thinking in Systems</w:t>
      </w:r>
    </w:p>
    <w:p>
      <w:pPr>
        <w:pStyle w:val="Heading3"/>
      </w:pPr>
      <w:r>
        <w:t xml:space="preserve">4.3-A7</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c) Ventas (unidades / día)</w:t>
            </w:r>
          </w:p>
        </w:tc>
      </w:tr>
    </w:tbl>
    <w:p>
      <w:pPr>
        <w:pStyle w:val="Normal"/>
      </w:pPr>
      <w:r>
        <w:t xml:space="preserve">Las unidades de un flujo siempre llevan «por unidad de tiempo». «Unidades / día» delata un ritmo → flujo. Inventario, saldo y temperatura no llevan «/ tiempo»: son niveles (o auxiliares), no flujos.</w:t>
      </w:r>
    </w:p>
    <w:p>
      <w:pPr>
        <w:pStyle w:val="Heading3"/>
      </w:pPr>
      <w:r>
        <w:t xml:space="preserve">4.3-A8</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a) El nivel (stock): el acumulador que llenan los nacimientos y vacían las muertes</w:t>
            </w:r>
          </w:p>
        </w:tc>
      </w:tr>
    </w:tbl>
    <w:p>
      <w:pPr>
        <w:pStyle w:val="Normal"/>
      </w:pPr>
      <w:r>
        <w:t xml:space="preserve">La población se acumula: entra por nacimientos y sale por muertes. Es el nivel. Nacimientos y muertes son los flujos (entrada y salida), y las tasas serían auxiliares.</w:t>
      </w:r>
    </w:p>
    <w:p>
      <w:pPr>
        <w:pStyle w:val="Heading3"/>
      </w:pPr>
      <w:r>
        <w:t xml:space="preserve">4.3-A9</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a) Los bucles de realimentación (R y B) con la misma polaridad</w:t>
            </w:r>
          </w:p>
        </w:tc>
      </w:tr>
    </w:tbl>
    <w:p>
      <w:pPr>
        <w:pStyle w:val="Normal"/>
      </w:pPr>
      <w:r>
        <w:t xml:space="preserve">La traducción no inventa un sistema nuevo: los mismos bucles de refuerzo y balance del CLD siguen ahí. Lo que se añade es la distinción nivel/flujo y las «tuberías» que la hacen simulable.</w:t>
      </w:r>
    </w:p>
    <w:p>
      <w:pPr>
        <w:pStyle w:val="Normal"/>
      </w:pPr>
      <w:r>
        <w:t xml:space="preserve">a) Correcto: la estructura de realimentación es la misma; solo cambia el idioma del diagrama.</w:t>
      </w:r>
    </w:p>
    <w:p>
      <w:pPr>
        <w:pStyle w:val="Normal"/>
      </w:pPr>
      <w:r>
        <w:t xml:space="preserve">b) El número de flechas cambia: aparecen tuberías, válvulas y flechas de información.</w:t>
      </w:r>
    </w:p>
    <w:p>
      <w:pPr>
        <w:pStyle w:val="Normal"/>
      </w:pPr>
      <w:r>
        <w:t xml:space="preserve">c) La disposición es libre; no es lo que se conserva.</w:t>
      </w:r>
    </w:p>
    <w:p>
      <w:pPr>
        <w:pStyle w:val="Normal"/>
      </w:pPr>
      <w:r>
        <w:t xml:space="preserve">d) Sí se conserva la estructura causal: no partimos de cero.</w:t>
      </w:r>
    </w:p>
    <w:p>
      <w:pPr>
        <w:pStyle w:val="Fuente"/>
      </w:pPr>
      <w:r>
        <w:t xml:space="preserve">Senge, La quinta disciplina</w:t>
      </w:r>
    </w:p>
    <w:p>
      <w:pPr>
        <w:pStyle w:val="Heading3"/>
      </w:pPr>
      <w:r>
        <w:t xml:space="preserve">4.3-A10</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a) La frontera del sistema: fuentes y sumideros fuera de nuestro interés</w:t>
            </w:r>
          </w:p>
        </w:tc>
      </w:tr>
    </w:tbl>
    <w:p>
      <w:pPr>
        <w:pStyle w:val="Normal"/>
      </w:pPr>
      <w:r>
        <w:t xml:space="preserve">Las nubes marcan la frontera del modelo: una fuente (de dónde viene el flujo) o un sumidero (a dónde va) que decidimos NO modelar en detalle. Son niveles «infinitos» fuera del límite del sistema.</w:t>
      </w:r>
    </w:p>
    <w:p>
      <w:pPr>
        <w:pStyle w:val="Fuente"/>
      </w:pPr>
      <w:r>
        <w:t xml:space="preserve">Sterman, Business Dynamics</w:t>
      </w:r>
    </w:p>
    <w:p>
      <w:pPr>
        <w:pStyle w:val="Heading3"/>
      </w:pPr>
      <w:r>
        <w:t xml:space="preserve">4.3-A11</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a) Cada variable del CLD se convierte automáticamente en un nivel</w:t>
            </w:r>
          </w:p>
        </w:tc>
      </w:tr>
    </w:tbl>
    <w:p>
      <w:pPr>
        <w:pStyle w:val="Normal"/>
      </w:pPr>
      <w:r>
        <w:t xml:space="preserve">El error clásico es creer que toda variable es un nivel. En realidad, en un modelo típico hay pocos niveles (los acumuladores) y muchos flujos y auxiliares. Confundir un ritmo con un acumulador rompe la dinámica del modelo.</w:t>
      </w:r>
    </w:p>
    <w:p>
      <w:pPr>
        <w:pStyle w:val="Normal"/>
      </w:pPr>
      <w:r>
        <w:t xml:space="preserve">a) Correcto: es falso. La mayoría de las variables serán flujos o auxiliares; solo las que se acumulan son niveles.</w:t>
      </w:r>
    </w:p>
    <w:p>
      <w:pPr>
        <w:pStyle w:val="Normal"/>
      </w:pPr>
      <w:r>
        <w:t xml:space="preserve">b) Verdadero: esa clasificación es el corazón de la traducción.</w:t>
      </w:r>
    </w:p>
    <w:p>
      <w:pPr>
        <w:pStyle w:val="Normal"/>
      </w:pPr>
      <w:r>
        <w:t xml:space="preserve">c) Verdadero: un flujo solo llena o vacía su propio nivel.</w:t>
      </w:r>
    </w:p>
    <w:p>
      <w:pPr>
        <w:pStyle w:val="Normal"/>
      </w:pPr>
      <w:r>
        <w:t xml:space="preserve">d) Verdadero: las tasas (natalidad, interés) modulan un flujo, no se acumulan.</w:t>
      </w:r>
    </w:p>
    <w:p>
      <w:pPr>
        <w:pStyle w:val="Fuente"/>
      </w:pPr>
      <w:r>
        <w:t xml:space="preserve">Sterman, Business Dynamics</w:t>
      </w:r>
    </w:p>
    <w:p>
      <w:pPr>
        <w:pStyle w:val="Heading3"/>
      </w:pPr>
      <w:r>
        <w:t xml:space="preserve">4.3-A12</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a) La población infectada (PI)</w:t>
            </w:r>
          </w:p>
        </w:tc>
      </w:tr>
    </w:tbl>
    <w:p>
      <w:pPr>
        <w:pStyle w:val="Normal"/>
      </w:pPr>
      <w:r>
        <w:t xml:space="preserve">La tasa de contagio es la variación de la población infectada respecto del tiempo; por eso es el flujo y PI el nivel.</w:t>
      </w:r>
    </w:p>
    <w:p>
      <w:pPr>
        <w:pStyle w:val="Normal"/>
      </w:pPr>
      <w:r>
        <w:t xml:space="preserve">a) Correcto: es la única variable de nivel.</w:t>
      </w:r>
    </w:p>
    <w:p>
      <w:pPr>
        <w:pStyle w:val="Normal"/>
      </w:pPr>
      <w:r>
        <w:t xml:space="preserve">b) No: la tasa de contagio es su flujo, dPI/dt.</w:t>
      </w:r>
    </w:p>
    <w:p>
      <w:pPr>
        <w:pStyle w:val="Normal"/>
      </w:pPr>
      <w:r>
        <w:t xml:space="preserve">c) No: la población vulnerable es una auxiliar, PV = PT − PI.</w:t>
      </w:r>
    </w:p>
    <w:p>
      <w:pPr>
        <w:pStyle w:val="Normal"/>
      </w:pPr>
      <w:r>
        <w:t xml:space="preserve">d) No: la población total es una constante.</w:t>
      </w:r>
    </w:p>
    <w:p>
      <w:pPr>
        <w:pStyle w:val="Fuente"/>
      </w:pPr>
      <w:r>
        <w:t xml:space="preserve">presentación 4a · pág. 11</w:t>
      </w:r>
    </w:p>
    <w:p>
      <w:pPr>
        <w:pStyle w:val="Heading3"/>
      </w:pPr>
      <w:r>
        <w:t xml:space="preserve">4.3-A13</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a) Las cuatro relaciones de la descripción verbal de la epidemia</w:t>
            </w:r>
          </w:p>
        </w:tc>
      </w:tr>
    </w:tbl>
    <w:p>
      <w:pPr>
        <w:pStyle w:val="Normal"/>
      </w:pPr>
      <w:r>
        <w:t xml:space="preserve">R1: TC → PI (+); R2: PI → TC (+); R3: PI → PV (−); R4: PV → TC (+). Los ciclos son PI </w:t>
      </w:r>
      <w:r>
        <w:rPr>
          <w:rFonts w:ascii="DejaVu Serif" w:cs="DejaVu Serif" w:eastAsia="DejaVu Serif" w:hAnsi="DejaVu Serif"/>
        </w:rPr>
        <w:t xml:space="preserve">↔</w:t>
      </w:r>
      <w:r>
        <w:t xml:space="preserve"> TC (refuerzo) y PI → PV → TC → PI (balance).</w:t>
      </w:r>
    </w:p>
    <w:p>
      <w:pPr>
        <w:pStyle w:val="Normal"/>
      </w:pPr>
      <w:r>
        <w:t xml:space="preserve">a) Correcto: cada R es una influencia, como «TC → PI con signo +».</w:t>
      </w:r>
    </w:p>
    <w:p>
      <w:pPr>
        <w:pStyle w:val="Normal"/>
      </w:pPr>
      <w:r>
        <w:t xml:space="preserve">b) No: el diagrama tiene sólo dos ciclos.</w:t>
      </w:r>
    </w:p>
    <w:p>
      <w:pPr>
        <w:pStyle w:val="Normal"/>
      </w:pPr>
      <w:r>
        <w:t xml:space="preserve">c) No: tiene un ciclo de refuerzo y uno de balance.</w:t>
      </w:r>
    </w:p>
    <w:p>
      <w:pPr>
        <w:pStyle w:val="Normal"/>
      </w:pPr>
      <w:r>
        <w:t xml:space="preserve">d) No: las variables son PI, TC, PV y PT.</w:t>
      </w:r>
    </w:p>
    <w:p>
      <w:pPr>
        <w:pStyle w:val="Fuente"/>
      </w:pPr>
      <w:r>
        <w:t xml:space="preserve">presentación 4a · pág. 10</w:t>
      </w:r>
    </w:p>
    <w:p>
      <w:pPr>
        <w:pStyle w:val="Heading3"/>
      </w:pPr>
      <w:r>
        <w:t xml:space="preserve">4.3-A14</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a) Flujos</w:t>
            </w:r>
          </w:p>
        </w:tc>
      </w:tr>
    </w:tbl>
    <w:p>
      <w:pPr>
        <w:pStyle w:val="Normal"/>
      </w:pPr>
      <w:r>
        <w:t xml:space="preserve">Por eso en el caso X, Y, Z, si Y es un nivel, X y Z tienen que ser flujos.</w:t>
      </w:r>
    </w:p>
    <w:p>
      <w:pPr>
        <w:pStyle w:val="Normal"/>
      </w:pPr>
      <w:r>
        <w:t xml:space="preserve">a) Correcto: «las flechas que ENTRAN a cualquier stock tienen que ser FLUJOS».</w:t>
      </w:r>
    </w:p>
    <w:p>
      <w:pPr>
        <w:pStyle w:val="Normal"/>
      </w:pPr>
      <w:r>
        <w:t xml:space="preserve">b) No: una auxiliar puede influir en un flujo, no en el nivel directamente.</w:t>
      </w:r>
    </w:p>
    <w:p>
      <w:pPr>
        <w:pStyle w:val="Normal"/>
      </w:pPr>
      <w:r>
        <w:t xml:space="preserve">c) No: una constante tampoco cambia un nivel directamente.</w:t>
      </w:r>
    </w:p>
    <w:p>
      <w:pPr>
        <w:pStyle w:val="Normal"/>
      </w:pPr>
      <w:r>
        <w:t xml:space="preserve">d) No: un nivel sólo cambia por sus flujos.</w:t>
      </w:r>
    </w:p>
    <w:p>
      <w:pPr>
        <w:pStyle w:val="Fuente"/>
      </w:pPr>
      <w:r>
        <w:t xml:space="preserve">presentación 4a · pág. 18</w:t>
      </w:r>
    </w:p>
    <w:p>
      <w:pPr>
        <w:pStyle w:val="Heading3"/>
      </w:pPr>
      <w:r>
        <w:t xml:space="preserve">4.3-A15</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a) De salida</w:t>
            </w:r>
          </w:p>
        </w:tc>
      </w:tr>
    </w:tbl>
    <w:p>
      <w:pPr>
        <w:pStyle w:val="Normal"/>
      </w:pPr>
      <w:r>
        <w:t xml:space="preserve">En el caso X, Y, Z: X llega con + (entrada), Z con − (salida), y dY/dt = X − Z.</w:t>
      </w:r>
    </w:p>
    <w:p>
      <w:pPr>
        <w:pStyle w:val="Normal"/>
      </w:pPr>
      <w:r>
        <w:t xml:space="preserve">a) Correcto: positiva es entrada; negativa, salida.</w:t>
      </w:r>
    </w:p>
    <w:p>
      <w:pPr>
        <w:pStyle w:val="Normal"/>
      </w:pPr>
      <w:r>
        <w:t xml:space="preserve">b) No: eso corresponde a la polaridad positiva.</w:t>
      </w:r>
    </w:p>
    <w:p>
      <w:pPr>
        <w:pStyle w:val="Normal"/>
      </w:pPr>
      <w:r>
        <w:t xml:space="preserve">c) No: las flechas que entran a un nivel son flujos.</w:t>
      </w:r>
    </w:p>
    <w:p>
      <w:pPr>
        <w:pStyle w:val="Normal"/>
      </w:pPr>
      <w:r>
        <w:t xml:space="preserve">d) No: es la forma normal de dibujar un flujo de salida.</w:t>
      </w:r>
    </w:p>
    <w:p>
      <w:pPr>
        <w:pStyle w:val="Fuente"/>
      </w:pPr>
      <w:r>
        <w:t xml:space="preserve">presentación 4a · pág. 18</w:t>
      </w:r>
    </w:p>
    <w:p>
      <w:pPr>
        <w:pStyle w:val="Heading3"/>
      </w:pPr>
      <w:r>
        <w:t xml:space="preserve">4.3-A16</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a) En litros/min</w:t>
            </w:r>
          </w:p>
        </w:tc>
      </w:tr>
    </w:tbl>
    <w:p>
      <w:pPr>
        <w:pStyle w:val="Normal"/>
      </w:pPr>
      <w:r>
        <w:t xml:space="preserve">Si Y se mide en u, X y Z se miden en u/tiempo: kg y kg/s, litros y litros/min.</w:t>
      </w:r>
    </w:p>
    <w:p>
      <w:pPr>
        <w:pStyle w:val="Normal"/>
      </w:pPr>
      <w:r>
        <w:t xml:space="preserve">a) Correcto: un flujo se mide en las unidades del nivel por unidad de tiempo.</w:t>
      </w:r>
    </w:p>
    <w:p>
      <w:pPr>
        <w:pStyle w:val="Normal"/>
      </w:pPr>
      <w:r>
        <w:t xml:space="preserve">b) No: eso es lo que mide el nivel.</w:t>
      </w:r>
    </w:p>
    <w:p>
      <w:pPr>
        <w:pStyle w:val="Normal"/>
      </w:pPr>
      <w:r>
        <w:t xml:space="preserve">c) No: no se multiplican las unidades.</w:t>
      </w:r>
    </w:p>
    <w:p>
      <w:pPr>
        <w:pStyle w:val="Normal"/>
      </w:pPr>
      <w:r>
        <w:t xml:space="preserve">d) No: el análisis de unidades sirve justamente para distinguir niveles de flujos.</w:t>
      </w:r>
    </w:p>
    <w:p>
      <w:pPr>
        <w:pStyle w:val="Fuente"/>
      </w:pPr>
      <w:r>
        <w:t xml:space="preserve">presentación 4a · pág. 18</w:t>
      </w:r>
    </w:p>
    <w:p>
      <w:pPr>
        <w:pStyle w:val="Heading3"/>
      </w:pPr>
      <w:r>
        <w:t xml:space="preserve">4.3-A17</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a) Auxiliar</w:t>
            </w:r>
          </w:p>
        </w:tc>
      </w:tr>
    </w:tbl>
    <w:p>
      <w:pPr>
        <w:pStyle w:val="Normal"/>
      </w:pPr>
      <w:r>
        <w:t xml:space="preserve">La capacidad es el nivel, los ajustes su flujo de entrada y el faltante, que depende de la capacidad (−) y la demanda (+), la auxiliar que regula los ajustes.</w:t>
      </w:r>
    </w:p>
    <w:p>
      <w:pPr>
        <w:pStyle w:val="Normal"/>
      </w:pPr>
      <w:r>
        <w:t xml:space="preserve">a) Correcto: se calcula desde la capacidad y la demanda y alimenta los ajustes.</w:t>
      </w:r>
    </w:p>
    <w:p>
      <w:pPr>
        <w:pStyle w:val="Normal"/>
      </w:pPr>
      <w:r>
        <w:t xml:space="preserve">b) No: el nivel es la capacidad.</w:t>
      </w:r>
    </w:p>
    <w:p>
      <w:pPr>
        <w:pStyle w:val="Normal"/>
      </w:pPr>
      <w:r>
        <w:t xml:space="preserve">c) No: el flujo son los ajustes.</w:t>
      </w:r>
    </w:p>
    <w:p>
      <w:pPr>
        <w:pStyle w:val="Normal"/>
      </w:pPr>
      <w:r>
        <w:t xml:space="preserve">d) No: la fuente es la nube.</w:t>
      </w:r>
    </w:p>
    <w:p>
      <w:pPr>
        <w:pStyle w:val="Fuente"/>
      </w:pPr>
      <w:r>
        <w:t xml:space="preserve">presentación 4a · pág. 20</w:t>
      </w:r>
    </w:p>
    <w:p>
      <w:pPr>
        <w:pStyle w:val="Heading3"/>
      </w:pPr>
      <w:r>
        <w:t xml:space="preserve">4.3-A18</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a) Información: dice que otra variable depende del valor del nivel</w:t>
            </w:r>
          </w:p>
        </w:tc>
      </w:tr>
    </w:tbl>
    <w:p>
      <w:pPr>
        <w:pStyle w:val="Normal"/>
      </w:pPr>
      <w:r>
        <w:t xml:space="preserve">Los flujos son las variables que inciden sobre el nivel. La flecha de Clientes potenciales a Ventas sólo dice que las ventas dependen de cuántos clientes potenciales hay.</w:t>
      </w:r>
    </w:p>
    <w:p>
      <w:pPr>
        <w:pStyle w:val="Normal"/>
      </w:pPr>
      <w:r>
        <w:t xml:space="preserve">a) Correcto: las flechas que salen de un nivel no constituyen un flujo.</w:t>
      </w:r>
    </w:p>
    <w:p>
      <w:pPr>
        <w:pStyle w:val="Normal"/>
      </w:pPr>
      <w:r>
        <w:t xml:space="preserve">b) No: los flujos de un nivel son las flechas que llegan a él; la salida es la que llega con signo −.</w:t>
      </w:r>
    </w:p>
    <w:p>
      <w:pPr>
        <w:pStyle w:val="Normal"/>
      </w:pPr>
      <w:r>
        <w:t xml:space="preserve">c) No: sólo las flechas que llegan a un nivel son flujos.</w:t>
      </w:r>
    </w:p>
    <w:p>
      <w:pPr>
        <w:pStyle w:val="Normal"/>
      </w:pPr>
      <w:r>
        <w:t xml:space="preserve">d) No: una demora se marca sobre una flecha, no la define.</w:t>
      </w:r>
    </w:p>
    <w:p>
      <w:pPr>
        <w:pStyle w:val="Fuente"/>
      </w:pPr>
      <w:r>
        <w:t xml:space="preserve">video · Eleazar Puente · 05:00</w:t>
      </w:r>
    </w:p>
    <w:p>
      <w:pPr>
        <w:pStyle w:val="Heading3"/>
      </w:pPr>
      <w:r>
        <w:t xml:space="preserve">4.3-A19</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a) Porque dependen de algo del modelo: del número de gallinas</w:t>
            </w:r>
          </w:p>
        </w:tc>
      </w:tr>
    </w:tbl>
    <w:p>
      <w:pPr>
        <w:pStyle w:val="Normal"/>
      </w:pPr>
      <w:r>
        <w:t xml:space="preserve">Lo que no es nivel ni flujo es auxiliar si depende de lo que ocurre dentro del modelo, y exógeno si viene de fuera.</w:t>
      </w:r>
    </w:p>
    <w:p>
      <w:pPr>
        <w:pStyle w:val="Normal"/>
      </w:pPr>
      <w:r>
        <w:t xml:space="preserve">a) Correcto: una exógena no la afecta nada; a los cruces les llega una flecha desde las gallinas.</w:t>
      </w:r>
    </w:p>
    <w:p>
      <w:pPr>
        <w:pStyle w:val="Normal"/>
      </w:pPr>
      <w:r>
        <w:t xml:space="preserve">b) No: el flujo de salida es Muertes; los cruces lo modulan.</w:t>
      </w:r>
    </w:p>
    <w:p>
      <w:pPr>
        <w:pStyle w:val="Normal"/>
      </w:pPr>
      <w:r>
        <w:t xml:space="preserve">c) No: eso describiría a una exógena, como la demanda o la tasa de interés.</w:t>
      </w:r>
    </w:p>
    <w:p>
      <w:pPr>
        <w:pStyle w:val="Normal"/>
      </w:pPr>
      <w:r>
        <w:t xml:space="preserve">d) No: los niveles son los huevos y las gallinas.</w:t>
      </w:r>
    </w:p>
    <w:p>
      <w:pPr>
        <w:pStyle w:val="Fuente"/>
      </w:pPr>
      <w:r>
        <w:t xml:space="preserve">video · Eleazar Puente · 20:15</w:t>
      </w:r>
    </w:p>
    <w:p>
      <w:pPr>
        <w:pStyle w:val="Heading3"/>
      </w:pPr>
      <w:r>
        <w:t xml:space="preserve">4.3-A20</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c) Casas que adquieren teléfono por mes</w:t>
            </w:r>
          </w:p>
        </w:tc>
      </w:tr>
    </w:tbl>
    <w:p>
      <w:pPr>
        <w:pStyle w:val="Normal"/>
      </w:pPr>
      <w:r>
        <w:t xml:space="preserve">El flujo cambia el nivel por unidad de tiempo. La tasa mensual aplicada a las casas pendientes produce instalaciones por mes.</w:t>
      </w:r>
    </w:p>
    <w:p>
      <w:pPr>
        <w:pStyle w:val="Fuente"/>
      </w:pPr>
      <w:r>
        <w:t xml:space="preserve">Clase 24 · capítulo 10 · /clase-24#cap-10 · pregunta original del portal</w:t>
      </w:r>
    </w:p>
    <w:p>
      <w:pPr>
        <w:pStyle w:val="Heading3"/>
      </w:pPr>
      <w:r>
        <w:t xml:space="preserve">4.3-A21</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d) 27</w:t>
            </w:r>
          </w:p>
        </w:tc>
      </w:tr>
    </w:tbl>
    <w:p>
      <w:pPr>
        <w:pStyle w:val="Normal"/>
      </w:pPr>
      <w:r>
        <w:t xml:space="preserve">El nivel inicial es cero. El motor compartido calcula 0.09 × (300 − 0) = 27 instalaciones en el primer paso mensual; es un cálculo editorial del modelo proporcional.</w:t>
      </w:r>
    </w:p>
    <w:p>
      <w:pPr>
        <w:pStyle w:val="Fuente"/>
      </w:pPr>
      <w:r>
        <w:t xml:space="preserve">Clase 24 · capítulo 10 · /clase-24#cap-10 · pregunta original del portal</w:t>
      </w:r>
    </w:p>
    <w:p>
      <w:pPr>
        <w:pStyle w:val="Heading3"/>
      </w:pPr>
      <w:r>
        <w:t xml:space="preserve">4.3-A22</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b) Representar la dependencia PI → TC</w:t>
            </w:r>
          </w:p>
        </w:tc>
      </w:tr>
    </w:tbl>
    <w:p>
      <w:pPr>
        <w:pStyle w:val="Normal"/>
      </w:pPr>
      <w:r>
        <w:t xml:space="preserve">La demostración detecta esa conexión omitida; el diagrama y las ecuaciones deben expresar las mismas dependencias.</w:t>
      </w:r>
    </w:p>
    <w:p>
      <w:pPr>
        <w:pStyle w:val="Fuente"/>
      </w:pPr>
      <w:r>
        <w:t xml:space="preserve">Clase 19 · capítulo 06 · /clase-19#cap-06</w:t>
      </w:r>
    </w:p>
    <w:p>
      <w:pPr>
        <w:pStyle w:val="Heading3"/>
      </w:pPr>
      <w:r>
        <w:t xml:space="preserve">4.3-A23</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b) Balance</w:t>
            </w:r>
          </w:p>
        </w:tc>
      </w:tr>
    </w:tbl>
    <w:p>
      <w:pPr>
        <w:pStyle w:val="Normal"/>
      </w:pPr>
      <w:r>
        <w:t xml:space="preserve">Más pendientes reduce la brecha, eso reduce compras y frena el aumento. La etiqueta de refuerzo de una captura no concuerda con esta estructura.</w:t>
      </w:r>
    </w:p>
    <w:p>
      <w:pPr>
        <w:pStyle w:val="Fuente"/>
      </w:pPr>
      <w:r>
        <w:t xml:space="preserve">Clase 20 · capítulo 06 · /clase-20#cap-06 · pregunta editorial basada en la sesión</w:t>
      </w:r>
    </w:p>
    <w:p>
      <w:pPr>
        <w:pStyle w:val="Heading3"/>
      </w:pPr>
      <w:bookmarkStart w:name="b_solucion_ej_MF06" w:id="4107"/>
      <w:r>
        <w:t xml:space="preserve">Solución 4.3-E1</w:t>
      </w:r>
      <w:bookmarkEnd w:id="4107"/>
    </w:p>
    <w:p>
      <w:pPr>
        <w:pStyle w:val="RecuadroTitulo"/>
      </w:pPr>
      <w:r>
        <w:t xml:space="preserve">Respuesta modelo</w:t>
      </w:r>
    </w:p>
    <w:p>
      <w:pPr>
        <w:pStyle w:val="Normal"/>
      </w:pPr>
      <w:r>
        <w:t xml:space="preserve">Capacidad es nivel; ajustes, flujo de entrada; faltante, auxiliar; demanda, exógena. Ciclo −,+,+: balance. </w:t>
      </w:r>
      <w:r>
        <w:rPr>
          <w:rFonts w:ascii="Source Code Pro" w:cs="Source Code Pro" w:eastAsia="Source Code Pro" w:hAnsi="Source Code Pro"/>
          <w:sz w:val="18"/>
          <w:szCs w:val="18"/>
        </w:rPr>
        <w:t xml:space="preserve">Capacidad = INTEG(Ajustes, Capacidad_inicial)</w:t>
      </w:r>
      <w:r>
        <w:t xml:space="preserve">. La ecuación exacta de ajustes no está dada; debe describirse la dependencia o especificar un supuesto adicional.</w:t>
      </w:r>
    </w:p>
    <w:p>
      <w:pPr>
        <w:pStyle w:val="Fuente"/>
      </w:pPr>
      <w:r>
        <w:t xml:space="preserve">Compendio académico del portal; ejercicio editorial.</w:t>
      </w:r>
    </w:p>
    <w:p>
      <w:pPr>
        <w:pStyle w:val="Heading3"/>
      </w:pPr>
      <w:bookmarkStart w:name="b_solucion_ej_MF07" w:id="4108"/>
      <w:r>
        <w:t xml:space="preserve">Solución 4.3-E2</w:t>
      </w:r>
      <w:bookmarkEnd w:id="4108"/>
    </w:p>
    <w:p>
      <w:pPr>
        <w:pStyle w:val="RecuadroTitulo"/>
      </w:pPr>
      <w:r>
        <w:t xml:space="preserve">Respuesta modelo</w:t>
      </w:r>
    </w:p>
    <w:p>
      <w:pPr>
        <w:pStyle w:val="Normal"/>
      </w:pPr>
      <w:r>
        <w:rPr>
          <w:rFonts w:ascii="Source Code Pro" w:cs="Source Code Pro" w:eastAsia="Source Code Pro" w:hAnsi="Source Code Pro"/>
          <w:sz w:val="18"/>
          <w:szCs w:val="18"/>
        </w:rPr>
        <w:t xml:space="preserve">[Potenciales] → Ventas → [Actuales]</w:t>
      </w:r>
      <w:r>
        <w:t xml:space="preserve">. Derivadas −Ventas y +Ventas respectivamente. Potenciales + actuales se conserva. Ventas mide clientes/tiempo en este modelo, aunque en otro problema la misma palabra pudiera medir dinero/tiempo.</w:t>
      </w:r>
    </w:p>
    <w:p>
      <w:pPr>
        <w:pStyle w:val="Fuente"/>
      </w:pPr>
      <w:r>
        <w:t xml:space="preserve">Compendio académico del portal; ejercicio editorial.</w:t>
      </w:r>
    </w:p>
    <w:p>
      <w:pPr>
        <w:pStyle w:val="Heading3"/>
      </w:pPr>
      <w:bookmarkStart w:name="b_solucion_ej_MF08" w:id="4109"/>
      <w:r>
        <w:t xml:space="preserve">Solución 4.3-E3</w:t>
      </w:r>
      <w:bookmarkEnd w:id="4109"/>
    </w:p>
    <w:p>
      <w:pPr>
        <w:pStyle w:val="RecuadroTitulo"/>
      </w:pPr>
      <w:r>
        <w:t xml:space="preserve">Respuesta modelo</w:t>
      </w:r>
    </w:p>
    <w:p>
      <w:pPr>
        <w:pStyle w:val="Normal"/>
      </w:pPr>
      <w:r>
        <w:t xml:space="preserve">La meta aporta información, no unidades de libros por tiempo; debe intervenir en una auxiliar como faltante y en la política que determina una recepción. El faltante normalmente es </w:t>
      </w:r>
      <w:r>
        <w:rPr>
          <w:rFonts w:ascii="Source Code Pro" w:cs="Source Code Pro" w:eastAsia="Source Code Pro" w:hAnsi="Source Code Pro"/>
          <w:sz w:val="18"/>
          <w:szCs w:val="18"/>
        </w:rPr>
        <w:t xml:space="preserve">meta − disponibles</w:t>
      </w:r>
      <w:r>
        <w:t xml:space="preserve">, auxiliar sin integral propia. No se debe clasificar por el nombre o por compartir unidades con el nivel.</w:t>
      </w:r>
    </w:p>
    <w:p>
      <w:pPr>
        <w:pStyle w:val="Fuente"/>
      </w:pPr>
      <w:r>
        <w:t xml:space="preserve">Compendio académico del portal; ejercicio editorial.</w:t>
      </w:r>
    </w:p>
    <w:p>
      <w:pPr>
        <w:pStyle w:val="Heading3"/>
      </w:pPr>
      <w:bookmarkStart w:name="b_solucion_ej_MF09" w:id="4110"/>
      <w:r>
        <w:t xml:space="preserve">Solución 4.3-E4</w:t>
      </w:r>
      <w:bookmarkEnd w:id="4110"/>
    </w:p>
    <w:p>
      <w:pPr>
        <w:pStyle w:val="RecuadroTitulo"/>
      </w:pPr>
      <w:r>
        <w:t xml:space="preserve">Respuesta modelo</w:t>
      </w:r>
    </w:p>
    <w:p>
      <w:pPr>
        <w:pStyle w:val="Normal"/>
      </w:pPr>
      <w:r>
        <w:t xml:space="preserve">Niveles: huevos y gallinas. Flujos: puesta, eclosión, muertes. Auxiliar: cruces. </w:t>
      </w:r>
      <w:r>
        <w:rPr>
          <w:rFonts w:ascii="Source Code Pro" w:cs="Source Code Pro" w:eastAsia="Source Code Pro" w:hAnsi="Source Code Pro"/>
          <w:sz w:val="18"/>
          <w:szCs w:val="18"/>
        </w:rPr>
        <w:t xml:space="preserve">dHuevos/dt = Puesta − Eclosión</w:t>
      </w:r>
      <w:r>
        <w:t xml:space="preserve">; </w:t>
      </w:r>
      <w:r>
        <w:rPr>
          <w:rFonts w:ascii="Source Code Pro" w:cs="Source Code Pro" w:eastAsia="Source Code Pro" w:hAnsi="Source Code Pro"/>
          <w:sz w:val="18"/>
          <w:szCs w:val="18"/>
        </w:rPr>
        <w:t xml:space="preserve">dGallinas/dt = Eclosión − Muertes</w:t>
      </w:r>
      <w:r>
        <w:t xml:space="preserve">. La eclosión transforma un elemento del primer conjunto en otro del segundo. R: gallinas–puesta–huevos–eclosión–gallinas. B: huevos–eclosión–huevos; también gallinas–cruces–muertes–gallinas.</w:t>
      </w:r>
    </w:p>
    <w:p>
      <w:pPr>
        <w:pStyle w:val="Fuente"/>
      </w:pPr>
      <w:r>
        <w:t xml:space="preserve">Compendio académico del portal; ejercicio editorial.</w:t>
      </w:r>
    </w:p>
    <w:p>
      <w:pPr>
        <w:pStyle w:val="Heading3"/>
      </w:pPr>
      <w:bookmarkStart w:name="b_solucion_ej_MF26" w:id="4111"/>
      <w:r>
        <w:t xml:space="preserve">Solución 4.3-E5</w:t>
      </w:r>
      <w:bookmarkEnd w:id="4111"/>
    </w:p>
    <w:p>
      <w:pPr>
        <w:pStyle w:val="RecuadroTitulo"/>
      </w:pPr>
      <w:r>
        <w:t xml:space="preserve">Respuesta modelo</w:t>
      </w:r>
    </w:p>
    <w:p>
      <w:pPr>
        <w:pStyle w:val="Normal"/>
      </w:pPr>
      <w:r>
        <w:t xml:space="preserve">L: nivel PI, integral de TC; R: tasa TC = IPC × TNC × PI × PV; A: auxiliar PV = PT − PI; C: constantes como PT; N: valor inicial PI = 10. En Vensim PI = INTEG(TC,10). No confundir un nivel con su tasa ni PV con una salida.</w:t>
      </w:r>
    </w:p>
    <w:p>
      <w:pPr>
        <w:pStyle w:val="Fuente"/>
      </w:pPr>
      <w:r>
        <w:t xml:space="preserve">L-15, p. 47; presentación 4a, p. 13.</w:t>
      </w:r>
    </w:p>
    <w:p>
      <w:pPr>
        <w:pStyle w:val="Heading3"/>
      </w:pPr>
      <w:bookmarkStart w:name="b_solucion_ej_MF30" w:id="4112"/>
      <w:r>
        <w:t xml:space="preserve">Solución 4.3-E6</w:t>
      </w:r>
      <w:bookmarkEnd w:id="4112"/>
    </w:p>
    <w:p>
      <w:pPr>
        <w:pStyle w:val="RecuadroTitulo"/>
      </w:pPr>
      <w:r>
        <w:t xml:space="preserve">Respuesta modelo</w:t>
      </w:r>
    </w:p>
    <w:p>
      <w:pPr>
        <w:pStyle w:val="Normal"/>
      </w:pPr>
      <w:r>
        <w:t xml:space="preserve">Los diez lineamientos de L-9 ayudan a representar DCC; los siete pasos de L-18 son procedimientos distintos para diagnosticar y actuar en cada arquetipo. Comprueba cada uno:</w:t>
      </w:r>
    </w:p>
    <w:p>
      <w:pPr>
        <w:pStyle w:val="Normal"/>
      </w:pPr>
      <w:r>
        <w:t xml:space="preserve">1. </w:t>
      </w:r>
      <w:r>
        <w:rPr>
          <w:b/>
          <w:bCs/>
        </w:rPr>
        <w:t xml:space="preserve">Sustantivos, no verbos.</w:t>
      </w:r>
      <w:r>
        <w:t xml:space="preserve"> Use sustantivos al nombrar una variable y evite verbos y frases de acción: las acciones ya están implícitas en las flechas. «Costos» es mejor que «Incremento en costos»; un decremento en «Incremento en costos» resulta confuso.</w:t>
      </w:r>
    </w:p>
    <w:p>
      <w:pPr>
        <w:pStyle w:val="Normal"/>
      </w:pPr>
      <w:r>
        <w:t xml:space="preserve">2. </w:t>
      </w:r>
      <w:r>
        <w:rPr>
          <w:b/>
          <w:bCs/>
        </w:rPr>
        <w:t xml:space="preserve">Cantidades que varían.</w:t>
      </w:r>
      <w:r>
        <w:t xml:space="preserve"> Use variables que representen cantidades que puedan variar en el tiempo. No tiene sentido decir que el «Estado de ánimo» se incrementa o decrece; «Felicidad» sí puede variar.</w:t>
      </w:r>
    </w:p>
    <w:p>
      <w:pPr>
        <w:pStyle w:val="Normal"/>
      </w:pPr>
      <w:r>
        <w:t xml:space="preserve">3. </w:t>
      </w:r>
      <w:r>
        <w:rPr>
          <w:b/>
          <w:bCs/>
        </w:rPr>
        <w:t xml:space="preserve">El sentido positivo.</w:t>
      </w:r>
      <w:r>
        <w:t xml:space="preserve"> Si necesita incluir verbos, use el sentido positivo de la variable. «Crecimiento» que sube o baja es más claro que un incremento o una disminución en «Contracción».</w:t>
      </w:r>
    </w:p>
    <w:p>
      <w:pPr>
        <w:pStyle w:val="Normal"/>
      </w:pPr>
      <w:r>
        <w:t xml:space="preserve">4. </w:t>
      </w:r>
      <w:r>
        <w:rPr>
          <w:b/>
          <w:bCs/>
        </w:rPr>
        <w:t xml:space="preserve">Consecuencias no intencionadas.</w:t>
      </w:r>
      <w:r>
        <w:t xml:space="preserve"> Piense tanto en las consecuencias no intencionadas como en los resultados esperados de cada curso de acción que incluya. Más «Presión para producir» puede subir la «Producción», pero también subir el «Estrés» y bajar la «Calidad».</w:t>
      </w:r>
    </w:p>
    <w:p>
      <w:pPr>
        <w:pStyle w:val="Normal"/>
      </w:pPr>
      <w:r>
        <w:t xml:space="preserve">5. </w:t>
      </w:r>
      <w:r>
        <w:rPr>
          <w:b/>
          <w:bCs/>
        </w:rPr>
        <w:t xml:space="preserve">El objetivo explícito.</w:t>
      </w:r>
      <w:r>
        <w:t xml:space="preserve"> Todos los ciclos de balance son procesos que buscan un objetivo: haga explícitos los objetivos que controlan el ciclo. Con «Calidad deseada» en el diagrama se ve que la «Diferencia en calidad» es la que controla las acciones de mejora.</w:t>
      </w:r>
    </w:p>
    <w:p>
      <w:pPr>
        <w:pStyle w:val="Normal"/>
      </w:pPr>
      <w:r>
        <w:t xml:space="preserve">6. </w:t>
      </w:r>
      <w:r>
        <w:rPr>
          <w:b/>
          <w:bCs/>
        </w:rPr>
        <w:t xml:space="preserve">Real y percibido.</w:t>
      </w:r>
      <w:r>
        <w:t xml:space="preserve"> Distinga entre los estados reales y los percibidos: las percepciones cambian más lentamente que la realidad, y suponer que la percepción es la realidad puede llevar a resultados no deseados. «Calidad» y «Calidad percibida» son dos variables, con una demora entre ellas.</w:t>
      </w:r>
    </w:p>
    <w:p>
      <w:pPr>
        <w:pStyle w:val="Normal"/>
      </w:pPr>
      <w:r>
        <w:t xml:space="preserve">7. </w:t>
      </w:r>
      <w:r>
        <w:rPr>
          <w:b/>
          <w:bCs/>
        </w:rPr>
        <w:t xml:space="preserve">Agregar mientras se termina.</w:t>
      </w:r>
      <w:r>
        <w:t xml:space="preserve"> Si una variable tiene múltiples consecuencias, empiece por agregarlas en un solo término mientras termina el resto del ciclo. «Estrategias relajantes» resume ejercicio, meditación o alcohol como respuestas al «Estrés».</w:t>
      </w:r>
    </w:p>
    <w:p>
      <w:pPr>
        <w:pStyle w:val="Normal"/>
      </w:pPr>
      <w:r>
        <w:t xml:space="preserve">8. </w:t>
      </w:r>
      <w:r>
        <w:rPr>
          <w:b/>
          <w:bCs/>
        </w:rPr>
        <w:t xml:space="preserve">Corto y largo plazo.</w:t>
      </w:r>
      <w:r>
        <w:t xml:space="preserve"> Las acciones casi siempre tienen consecuencias de corto y de largo plazo: dibuje ciclos más grandes para los procesos más lentos. El ciclo B1 «Estrés → Alcohol» alivia a corto plazo; el ciclo R2, más grande, muestra que a largo plazo el alcohol incrementa el estrés.</w:t>
      </w:r>
    </w:p>
    <w:p>
      <w:pPr>
        <w:pStyle w:val="Normal"/>
      </w:pPr>
      <w:r>
        <w:t xml:space="preserve">9. </w:t>
      </w:r>
      <w:r>
        <w:rPr>
          <w:b/>
          <w:bCs/>
        </w:rPr>
        <w:t xml:space="preserve">Un término intermedio.</w:t>
      </w:r>
      <w:r>
        <w:t xml:space="preserve"> Si una liga entre dos términos requiere muchas explicaciones para quedar clara, redefina las variables o inserte un término intermedio. La relación entre «Demanda» y «Calidad» es más obvia con «Presión para producir» entre ellas.</w:t>
      </w:r>
    </w:p>
    <w:p>
      <w:pPr>
        <w:pStyle w:val="Normal"/>
      </w:pPr>
      <w:r>
        <w:t xml:space="preserve">10. </w:t>
      </w:r>
      <w:r>
        <w:rPr>
          <w:b/>
          <w:bCs/>
        </w:rPr>
        <w:t xml:space="preserve">Contar los negativos y releer.</w:t>
      </w:r>
      <w:r>
        <w:t xml:space="preserve"> Para saber si un ciclo es de balance o de refuerzo cuente los signos negativos: un número impar indica balance; par o ninguno, refuerzo. Después de asignar la letra, relea el ciclo varias veces. El banco canónico de clase tiene cuatro negativas: fallas → confianza → retiros → solvencia → fallas, y es R. La variante editorial de tres variables del laboratorio tiene dos negativas y también es R.</w:t>
      </w:r>
    </w:p>
    <w:p>
      <w:pPr>
        <w:pStyle w:val="Fuente"/>
        <w:sectPr>
          <w:headerReference w:type="default" r:id="rId234"/>
          <w:headerReference w:type="first" r:id="rId235"/>
          <w:headerReference w:type="even" r:id="rId236"/>
          <w:footerReference w:type="default" r:id="rId237"/>
          <w:footerReference w:type="first" r:id="rId238"/>
          <w:footerReference w:type="even" r:id="rId239"/>
          <w:type w:val="nextPage"/>
          <w:pgSz w:w="12240" w:h="15840" w:orient="portrait"/>
          <w:pgMar w:top="1361" w:right="1134" w:bottom="1361" w:left="1474" w:header="650" w:footer="680" w:gutter="0"/>
          <w:pgNumType/>
          <w:titlePg/>
          <w:docGrid w:linePitch="360"/>
        </w:sectPr>
      </w:pPr>
      <w:r>
        <w:t xml:space="preserve">L-9 · Lineamientos de Kim; clase 16, lámina c16-06.</w:t>
      </w:r>
    </w:p>
    <w:p>
      <w:pPr>
        <w:pStyle w:val="Heading2"/>
      </w:pPr>
      <w:bookmarkStart w:name="b_4_4" w:id="4113"/>
      <w:r>
        <w:t xml:space="preserve">4.4 · Simulación con VENSIM</w:t>
      </w:r>
      <w:bookmarkEnd w:id="4113"/>
    </w:p>
    <w:p>
      <w:pPr>
        <w:pStyle w:val="Subtitulo"/>
      </w:pPr>
      <w:r>
        <w:t xml:space="preserve">La simulación dinámica de sistemas complejos – usando VENSIM</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En una línea</w:t>
            </w:r>
          </w:p>
          <w:p>
            <w:pPr>
              <w:pStyle w:val="Recuadro"/>
            </w:pPr>
            <w:r>
              <w:t xml:space="preserve">Repasar las fases del modelado, configurar el tiempo, validar el modelo y comparar corridas en Vensim.</w:t>
            </w:r>
          </w:p>
        </w:tc>
      </w:tr>
    </w:tbl>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Qué te preguntan</w:t>
            </w:r>
          </w:p>
          <w:p>
            <w:pPr>
              <w:pStyle w:val="Recuadro"/>
            </w:pPr>
            <w:r>
              <w:t xml:space="preserve">Repasar las fases del modelado, configurar el tiempo, validar el modelo y comparar corridas en Vensim.</w:t>
            </w:r>
          </w:p>
        </w:tc>
      </w:tr>
    </w:tbl>
    <w:p>
      <w:pPr>
        <w:pStyle w:val="Normal"/>
      </w:pPr>
      <w:r>
        <w:t xml:space="preserve">Simular consiste en ejecutar un modelo formal a lo largo del tiempo. Para que sus resultados sean útiles hay que declarar el propósito, validar las ecuaciones y unidades, elegir la configuración temporal y comparar escenarios.</w:t>
      </w:r>
    </w:p>
    <w:p>
      <w:pPr>
        <w:pStyle w:val="Heading3"/>
      </w:pPr>
      <w:r>
        <w:t xml:space="preserve">Vocabulario clave</w:t>
      </w:r>
    </w:p>
    <w:p>
      <w:pPr>
        <w:pStyle w:val="Normal"/>
      </w:pPr>
      <w:r>
        <w:t xml:space="preserve">formalización · comportamiento · evaluación · explotación · TIME STEP · validación</w:t>
      </w:r>
    </w:p>
    <w:p>
      <w:pPr>
        <w:pStyle w:val="Fuente"/>
      </w:pPr>
      <w:r>
        <w:t xml:space="preserve">Recorrido: desarrollo conceptual → presentaciones → explicación en clase → errores y fuentes → práctica → solucionario.</w:t>
      </w:r>
    </w:p>
    <w:p>
      <w:pPr>
        <w:pStyle w:val="Heading3"/>
      </w:pPr>
      <w:bookmarkStart w:name="b_lectura_m1" w:id="4114"/>
      <w:r>
        <w:t xml:space="preserve">4.4.1 Modelo, estructura y comportamiento</w:t>
      </w:r>
      <w:bookmarkEnd w:id="4114"/>
    </w:p>
    <w:p>
      <w:pPr>
        <w:pStyle w:val="Normal"/>
      </w:pPr>
      <w:r>
        <w:t xml:space="preserve">Un modelo representa aspectos de una realidad para un propósito. No reproduce todo el mundo. La estructura es la organización de variables, dependencias y reglas; el comportamiento es la evolución temporal que esa estructura genera bajo condiciones determinadas. Ajustar una curva sin representar adecuadamente sus causas no basta para explicar un sistema. [A4:p17,24–25; L14:p1,5–7; L15:p57–63]</w:t>
      </w:r>
    </w:p>
    <w:p>
      <w:pPr>
        <w:pStyle w:val="Normal"/>
      </w:pPr>
      <w:r>
        <w:t xml:space="preserve">El modelador parte de percepciones y modelos mentales. L14 distingue el objeto o fenómeno, su concepto y el nombre con que se lo identifica: el triángulo de significación. En un examen aplicado, esto exige que «calidad», «disponibilidad» o «confianza» tengan un significado definido y una forma de interpretación. El mismo nombre no garantiza la misma variable; la misma idea puede tener nombres diferentes. La expresión de L14 sobre pasar del «ser» al «existir» describe el reconocimiento del fenómeno por un observador, no que las cosas aparezcan físicamente al nombrarlas. [L14:p2–7]</w:t>
      </w:r>
    </w:p>
    <w:p>
      <w:pPr>
        <w:pStyle w:val="Normal"/>
      </w:pPr>
      <w:r>
        <w:t xml:space="preserve">Un modelo mental es informal; uno formal expresa las reglas mediante un lenguaje explícito; uno matemático usa ecuaciones; uno informático permite ejecutarlas. La simulación experimenta con el modelo para generar estados y trayectorias posibles. Las conclusiones dependen del propósito, los supuestos y la calidad del modelo.</w:t>
      </w:r>
    </w:p>
    <w:p>
      <w:pPr>
        <w:pStyle w:val="Heading3"/>
      </w:pPr>
      <w:bookmarkStart w:name="b_lectura_m2" w:id="4115"/>
      <w:r>
        <w:t xml:space="preserve">4.4.2 Las seis fases de modelado</w:t>
      </w:r>
      <w:bookmarkEnd w:id="4115"/>
    </w:p>
    <w:tbl>
      <w:tblPr>
        <w:tblW w:type="dxa" w:w="9632"/>
        <w:tblBorders>
          <w:top w:val="single" w:color="C5D5DB" w:sz="4"/>
          <w:left w:val="single" w:color="C5D5DB" w:sz="4"/>
          <w:bottom w:val="single" w:color="C5D5DB" w:sz="4"/>
          <w:right w:val="single" w:color="C5D5DB" w:sz="4"/>
          <w:insideH w:val="single" w:color="E4E9EB" w:sz="3"/>
          <w:insideV w:val="single" w:color="E4E9EB" w:sz="3"/>
        </w:tblBorders>
        <w:tblLayout w:type="fixed"/>
      </w:tblPr>
      <w:tblGrid>
        <w:gridCol w:w="3212"/>
        <w:gridCol w:w="3210"/>
        <w:gridCol w:w="3210"/>
      </w:tblGrid>
      <w:tr>
        <w:trPr>
          <w:cantSplit/>
          <w:tblHeader/>
        </w:trPr>
        <w:tc>
          <w:tcPr>
            <w:tcW w:type="dxa" w:w="3212"/>
            <w:shd w:fill="DFEAF0" w:val="clear"/>
            <w:tcMar>
              <w:top w:type="dxa" w:w="80"/>
              <w:left w:type="dxa" w:w="100"/>
              <w:bottom w:type="dxa" w:w="80"/>
              <w:right w:type="dxa" w:w="100"/>
            </w:tcMar>
          </w:tcPr>
          <w:p>
            <w:pPr>
              <w:pStyle w:val="Tabla"/>
            </w:pPr>
            <w:r>
              <w:rPr>
                <w:b/>
                <w:bCs/>
              </w:rPr>
              <w:t xml:space="preserve">Fase</w:t>
            </w:r>
          </w:p>
        </w:tc>
        <w:tc>
          <w:tcPr>
            <w:tcW w:type="dxa" w:w="3210"/>
            <w:shd w:fill="DFEAF0" w:val="clear"/>
            <w:tcMar>
              <w:top w:type="dxa" w:w="80"/>
              <w:left w:type="dxa" w:w="100"/>
              <w:bottom w:type="dxa" w:w="80"/>
              <w:right w:type="dxa" w:w="100"/>
            </w:tcMar>
          </w:tcPr>
          <w:p>
            <w:pPr>
              <w:pStyle w:val="Tabla"/>
            </w:pPr>
            <w:r>
              <w:rPr>
                <w:b/>
                <w:bCs/>
              </w:rPr>
              <w:t xml:space="preserve">Trabajo característico</w:t>
            </w:r>
          </w:p>
        </w:tc>
        <w:tc>
          <w:tcPr>
            <w:tcW w:type="dxa" w:w="3210"/>
            <w:shd w:fill="DFEAF0" w:val="clear"/>
            <w:tcMar>
              <w:top w:type="dxa" w:w="80"/>
              <w:left w:type="dxa" w:w="100"/>
              <w:bottom w:type="dxa" w:w="80"/>
              <w:right w:type="dxa" w:w="100"/>
            </w:tcMar>
          </w:tcPr>
          <w:p>
            <w:pPr>
              <w:pStyle w:val="Tabla"/>
            </w:pPr>
            <w:r>
              <w:rPr>
                <w:b/>
                <w:bCs/>
              </w:rPr>
              <w:t xml:space="preserve">Ejemplo para reconocerla</w:t>
            </w:r>
          </w:p>
        </w:tc>
      </w:tr>
      <w:tr>
        <w:trPr>
          <w:cantSplit/>
          <w:tblHeader w:val="off"/>
        </w:trPr>
        <w:tc>
          <w:tcPr>
            <w:tcW w:type="dxa" w:w="3212"/>
            <w:tcMar>
              <w:top w:type="dxa" w:w="80"/>
              <w:left w:type="dxa" w:w="100"/>
              <w:bottom w:type="dxa" w:w="80"/>
              <w:right w:type="dxa" w:w="100"/>
            </w:tcMar>
          </w:tcPr>
          <w:p>
            <w:pPr>
              <w:pStyle w:val="Tabla"/>
            </w:pPr>
            <w:r>
              <w:t xml:space="preserve">Definición del problema</w:t>
            </w:r>
          </w:p>
        </w:tc>
        <w:tc>
          <w:tcPr>
            <w:tcW w:type="dxa" w:w="3210"/>
            <w:tcMar>
              <w:top w:type="dxa" w:w="80"/>
              <w:left w:type="dxa" w:w="100"/>
              <w:bottom w:type="dxa" w:w="80"/>
              <w:right w:type="dxa" w:w="100"/>
            </w:tcMar>
          </w:tcPr>
          <w:p>
            <w:pPr>
              <w:pStyle w:val="Tabla"/>
            </w:pPr>
            <w:r>
              <w:t xml:space="preserve">Precisar problema, propósito, límites y horizonte</w:t>
            </w:r>
          </w:p>
        </w:tc>
        <w:tc>
          <w:tcPr>
            <w:tcW w:type="dxa" w:w="3210"/>
            <w:tcMar>
              <w:top w:type="dxa" w:w="80"/>
              <w:left w:type="dxa" w:w="100"/>
              <w:bottom w:type="dxa" w:w="80"/>
              <w:right w:type="dxa" w:w="100"/>
            </w:tcMar>
          </w:tcPr>
          <w:p>
            <w:pPr>
              <w:pStyle w:val="Tabla"/>
            </w:pPr>
            <w:r>
              <w:t xml:space="preserve">Investigar por qué se acumulan pedidos atrasados durante un semestre</w:t>
            </w:r>
          </w:p>
        </w:tc>
      </w:tr>
      <w:tr>
        <w:trPr>
          <w:cantSplit/>
          <w:tblHeader w:val="off"/>
        </w:trPr>
        <w:tc>
          <w:tcPr>
            <w:tcW w:type="dxa" w:w="3212"/>
            <w:tcMar>
              <w:top w:type="dxa" w:w="80"/>
              <w:left w:type="dxa" w:w="100"/>
              <w:bottom w:type="dxa" w:w="80"/>
              <w:right w:type="dxa" w:w="100"/>
            </w:tcMar>
          </w:tcPr>
          <w:p>
            <w:pPr>
              <w:pStyle w:val="Tabla"/>
            </w:pPr>
            <w:r>
              <w:t xml:space="preserve">Conceptualización</w:t>
            </w:r>
          </w:p>
        </w:tc>
        <w:tc>
          <w:tcPr>
            <w:tcW w:type="dxa" w:w="3210"/>
            <w:tcMar>
              <w:top w:type="dxa" w:w="80"/>
              <w:left w:type="dxa" w:w="100"/>
              <w:bottom w:type="dxa" w:w="80"/>
              <w:right w:type="dxa" w:w="100"/>
            </w:tcMar>
          </w:tcPr>
          <w:p>
            <w:pPr>
              <w:pStyle w:val="Tabla"/>
            </w:pPr>
            <w:r>
              <w:t xml:space="preserve">Elegir variables e influencias; formular la hipótesis dinámica</w:t>
            </w:r>
          </w:p>
        </w:tc>
        <w:tc>
          <w:tcPr>
            <w:tcW w:type="dxa" w:w="3210"/>
            <w:tcMar>
              <w:top w:type="dxa" w:w="80"/>
              <w:left w:type="dxa" w:w="100"/>
              <w:bottom w:type="dxa" w:w="80"/>
              <w:right w:type="dxa" w:w="100"/>
            </w:tcMar>
          </w:tcPr>
          <w:p>
            <w:pPr>
              <w:pStyle w:val="Tabla"/>
            </w:pPr>
            <w:r>
              <w:t xml:space="preserve">Dibujar cómo errores y capacitación afectan al atraso</w:t>
            </w:r>
          </w:p>
        </w:tc>
      </w:tr>
      <w:tr>
        <w:trPr>
          <w:cantSplit/>
          <w:tblHeader w:val="off"/>
        </w:trPr>
        <w:tc>
          <w:tcPr>
            <w:tcW w:type="dxa" w:w="3212"/>
            <w:tcMar>
              <w:top w:type="dxa" w:w="80"/>
              <w:left w:type="dxa" w:w="100"/>
              <w:bottom w:type="dxa" w:w="80"/>
              <w:right w:type="dxa" w:w="100"/>
            </w:tcMar>
          </w:tcPr>
          <w:p>
            <w:pPr>
              <w:pStyle w:val="Tabla"/>
            </w:pPr>
            <w:r>
              <w:t xml:space="preserve">Formalización</w:t>
            </w:r>
          </w:p>
        </w:tc>
        <w:tc>
          <w:tcPr>
            <w:tcW w:type="dxa" w:w="3210"/>
            <w:tcMar>
              <w:top w:type="dxa" w:w="80"/>
              <w:left w:type="dxa" w:w="100"/>
              <w:bottom w:type="dxa" w:w="80"/>
              <w:right w:type="dxa" w:w="100"/>
            </w:tcMar>
          </w:tcPr>
          <w:p>
            <w:pPr>
              <w:pStyle w:val="Tabla"/>
            </w:pPr>
            <w:r>
              <w:t xml:space="preserve">Convertir a Forrester, establecer ecuaciones, unidades, parámetros y condiciones iniciales</w:t>
            </w:r>
          </w:p>
        </w:tc>
        <w:tc>
          <w:tcPr>
            <w:tcW w:type="dxa" w:w="3210"/>
            <w:tcMar>
              <w:top w:type="dxa" w:w="80"/>
              <w:left w:type="dxa" w:w="100"/>
              <w:bottom w:type="dxa" w:w="80"/>
              <w:right w:type="dxa" w:w="100"/>
            </w:tcMar>
          </w:tcPr>
          <w:p>
            <w:pPr>
              <w:pStyle w:val="Tabla"/>
            </w:pPr>
            <w:r>
              <w:t xml:space="preserve">Escribir </w:t>
            </w:r>
            <w:r>
              <w:rPr>
                <w:rFonts w:ascii="Source Code Pro" w:cs="Source Code Pro" w:eastAsia="Source Code Pro" w:hAnsi="Source Code Pro"/>
                <w:sz w:val="18"/>
                <w:szCs w:val="18"/>
              </w:rPr>
              <w:t xml:space="preserve">INTEG(Entradas − Salidas, 80)</w:t>
            </w:r>
          </w:p>
        </w:tc>
      </w:tr>
      <w:tr>
        <w:trPr>
          <w:cantSplit/>
          <w:tblHeader w:val="off"/>
        </w:trPr>
        <w:tc>
          <w:tcPr>
            <w:tcW w:type="dxa" w:w="3212"/>
            <w:tcMar>
              <w:top w:type="dxa" w:w="80"/>
              <w:left w:type="dxa" w:w="100"/>
              <w:bottom w:type="dxa" w:w="80"/>
              <w:right w:type="dxa" w:w="100"/>
            </w:tcMar>
          </w:tcPr>
          <w:p>
            <w:pPr>
              <w:pStyle w:val="Tabla"/>
            </w:pPr>
            <w:r>
              <w:t xml:space="preserve">Comportamiento</w:t>
            </w:r>
          </w:p>
        </w:tc>
        <w:tc>
          <w:tcPr>
            <w:tcW w:type="dxa" w:w="3210"/>
            <w:tcMar>
              <w:top w:type="dxa" w:w="80"/>
              <w:left w:type="dxa" w:w="100"/>
              <w:bottom w:type="dxa" w:w="80"/>
              <w:right w:type="dxa" w:w="100"/>
            </w:tcMar>
          </w:tcPr>
          <w:p>
            <w:pPr>
              <w:pStyle w:val="Tabla"/>
            </w:pPr>
            <w:r>
              <w:t xml:space="preserve">Simular y observar las trayectorias generadas</w:t>
            </w:r>
          </w:p>
        </w:tc>
        <w:tc>
          <w:tcPr>
            <w:tcW w:type="dxa" w:w="3210"/>
            <w:tcMar>
              <w:top w:type="dxa" w:w="80"/>
              <w:left w:type="dxa" w:w="100"/>
              <w:bottom w:type="dxa" w:w="80"/>
              <w:right w:type="dxa" w:w="100"/>
            </w:tcMar>
          </w:tcPr>
          <w:p>
            <w:pPr>
              <w:pStyle w:val="Tabla"/>
            </w:pPr>
            <w:r>
              <w:t xml:space="preserve">Ejecutar el escenario y leer la curva del inventario</w:t>
            </w:r>
          </w:p>
        </w:tc>
      </w:tr>
      <w:tr>
        <w:trPr>
          <w:cantSplit/>
          <w:tblHeader w:val="off"/>
        </w:trPr>
        <w:tc>
          <w:tcPr>
            <w:tcW w:type="dxa" w:w="3212"/>
            <w:tcMar>
              <w:top w:type="dxa" w:w="80"/>
              <w:left w:type="dxa" w:w="100"/>
              <w:bottom w:type="dxa" w:w="80"/>
              <w:right w:type="dxa" w:w="100"/>
            </w:tcMar>
          </w:tcPr>
          <w:p>
            <w:pPr>
              <w:pStyle w:val="Tabla"/>
            </w:pPr>
            <w:r>
              <w:t xml:space="preserve">Evaluación</w:t>
            </w:r>
          </w:p>
        </w:tc>
        <w:tc>
          <w:tcPr>
            <w:tcW w:type="dxa" w:w="3210"/>
            <w:tcMar>
              <w:top w:type="dxa" w:w="80"/>
              <w:left w:type="dxa" w:w="100"/>
              <w:bottom w:type="dxa" w:w="80"/>
              <w:right w:type="dxa" w:w="100"/>
            </w:tcMar>
          </w:tcPr>
          <w:p>
            <w:pPr>
              <w:pStyle w:val="Tabla"/>
            </w:pPr>
            <w:r>
              <w:t xml:space="preserve">Revisar coherencia, estructura, datos, condiciones extremas y sensibilidad</w:t>
            </w:r>
          </w:p>
        </w:tc>
        <w:tc>
          <w:tcPr>
            <w:tcW w:type="dxa" w:w="3210"/>
            <w:tcMar>
              <w:top w:type="dxa" w:w="80"/>
              <w:left w:type="dxa" w:w="100"/>
              <w:bottom w:type="dxa" w:w="80"/>
              <w:right w:type="dxa" w:w="100"/>
            </w:tcMar>
          </w:tcPr>
          <w:p>
            <w:pPr>
              <w:pStyle w:val="Tabla"/>
            </w:pPr>
            <w:r>
              <w:t xml:space="preserve">Comparar simulación con registros y comprobar unidades</w:t>
            </w:r>
          </w:p>
        </w:tc>
      </w:tr>
      <w:tr>
        <w:trPr>
          <w:cantSplit/>
          <w:tblHeader w:val="off"/>
        </w:trPr>
        <w:tc>
          <w:tcPr>
            <w:tcW w:type="dxa" w:w="3212"/>
            <w:tcMar>
              <w:top w:type="dxa" w:w="80"/>
              <w:left w:type="dxa" w:w="100"/>
              <w:bottom w:type="dxa" w:w="80"/>
              <w:right w:type="dxa" w:w="100"/>
            </w:tcMar>
          </w:tcPr>
          <w:p>
            <w:pPr>
              <w:pStyle w:val="Tabla"/>
            </w:pPr>
            <w:r>
              <w:t xml:space="preserve">Explotación</w:t>
            </w:r>
          </w:p>
        </w:tc>
        <w:tc>
          <w:tcPr>
            <w:tcW w:type="dxa" w:w="3210"/>
            <w:tcMar>
              <w:top w:type="dxa" w:w="80"/>
              <w:left w:type="dxa" w:w="100"/>
              <w:bottom w:type="dxa" w:w="80"/>
              <w:right w:type="dxa" w:w="100"/>
            </w:tcMar>
          </w:tcPr>
          <w:p>
            <w:pPr>
              <w:pStyle w:val="Tabla"/>
            </w:pPr>
            <w:r>
              <w:t xml:space="preserve">Usar el modelo para aprender y comparar políticas</w:t>
            </w:r>
          </w:p>
        </w:tc>
        <w:tc>
          <w:tcPr>
            <w:tcW w:type="dxa" w:w="3210"/>
            <w:tcMar>
              <w:top w:type="dxa" w:w="80"/>
              <w:left w:type="dxa" w:w="100"/>
              <w:bottom w:type="dxa" w:w="80"/>
              <w:right w:type="dxa" w:w="100"/>
            </w:tcMar>
          </w:tcPr>
          <w:p>
            <w:pPr>
              <w:pStyle w:val="Tabla"/>
            </w:pPr>
            <w:r>
              <w:t xml:space="preserve">Evaluar ampliar capacidad frente a mejorar el proceso</w:t>
            </w:r>
          </w:p>
        </w:tc>
      </w:tr>
    </w:tbl>
    <w:p>
      <w:pPr>
        <w:pStyle w:val="Normal"/>
      </w:pPr>
      <w:r>
        <w:t xml:space="preserve">No son seis casillas que se completan una vez. Si la evaluación revela una variable omitida, puede ser necesario volver a conceptualización o formalización. El esquema de cinco etapas de Sterman en L16 agrupa actividades de forma distinta; no invalida las seis fases de A4. [A4:p27; L15:p59–63; L16:p47–50]</w:t>
      </w:r>
    </w:p>
    <w:p>
      <w:pPr>
        <w:pStyle w:val="Heading3"/>
      </w:pPr>
      <w:bookmarkStart w:name="b_lectura_m3" w:id="4116"/>
      <w:r>
        <w:t xml:space="preserve">4.4.3 Clasificación del modelado: dos ejes diferentes</w:t>
      </w:r>
      <w:bookmarkEnd w:id="4116"/>
    </w:p>
    <w:p>
      <w:pPr>
        <w:pStyle w:val="Normal"/>
      </w:pPr>
      <w:r>
        <w:rPr>
          <w:b/>
          <w:bCs/>
        </w:rPr>
        <w:t xml:space="preserve">Según el uso:</w:t>
      </w:r>
    </w:p>
    <w:p>
      <w:pPr>
        <w:pStyle w:val="Normal"/>
        <w:numPr>
          <w:ilvl w:val="0"/>
          <w:numId w:val="2"/>
        </w:numPr>
      </w:pPr>
      <w:r>
        <w:rPr>
          <w:b/>
          <w:bCs/>
        </w:rPr>
        <w:t xml:space="preserve">Aprendizaje:</w:t>
      </w:r>
      <w:r>
        <w:t xml:space="preserve"> construir y experimentar para comprender y revisar el propio modelo mental. La percepción alimenta el modelo mental; la formalización y simulación permiten contrastarlo.</w:t>
      </w:r>
    </w:p>
    <w:p>
      <w:pPr>
        <w:pStyle w:val="Normal"/>
        <w:numPr>
          <w:ilvl w:val="0"/>
          <w:numId w:val="2"/>
        </w:numPr>
      </w:pPr>
      <w:r>
        <w:rPr>
          <w:b/>
          <w:bCs/>
        </w:rPr>
        <w:t xml:space="preserve">Explicación:</w:t>
      </w:r>
      <w:r>
        <w:t xml:space="preserve"> además de aprender, comunicar a otras personas cómo se entiende el fenómeno. El receptor puede aprender, discutir o reconstruir esa explicación.</w:t>
      </w:r>
    </w:p>
    <w:p>
      <w:pPr>
        <w:pStyle w:val="Normal"/>
        <w:numPr>
          <w:ilvl w:val="0"/>
          <w:numId w:val="2"/>
        </w:numPr>
      </w:pPr>
      <w:r>
        <w:rPr>
          <w:b/>
          <w:bCs/>
        </w:rPr>
        <w:t xml:space="preserve">Intervención:</w:t>
      </w:r>
      <w:r>
        <w:t xml:space="preserve"> utilizar esa comprensión y explicación para decidir acciones sobre el sistema real. Requiere evaluar alternativas y consecuencias.</w:t>
      </w:r>
    </w:p>
    <w:p>
      <w:pPr>
        <w:pStyle w:val="Normal"/>
      </w:pPr>
      <w:r>
        <w:t xml:space="preserve">No son tres categorías necesariamente excluyentes: explicación incluye aprendizaje e intervención puede incluir ambos. [A4:p38–40; L14:p8–11]</w:t>
      </w:r>
    </w:p>
    <w:p>
      <w:pPr>
        <w:pStyle w:val="Normal"/>
      </w:pPr>
      <w:r>
        <w:rPr>
          <w:b/>
          <w:bCs/>
        </w:rPr>
        <w:t xml:space="preserve">Según el proceso:</w:t>
      </w:r>
    </w:p>
    <w:p>
      <w:pPr>
        <w:pStyle w:val="Normal"/>
        <w:numPr>
          <w:ilvl w:val="0"/>
          <w:numId w:val="2"/>
        </w:numPr>
      </w:pPr>
      <w:r>
        <w:rPr>
          <w:b/>
          <w:bCs/>
        </w:rPr>
        <w:t xml:space="preserve">Réplica:</w:t>
      </w:r>
      <w:r>
        <w:t xml:space="preserve"> traducir una teoría o explicación previamente ofrecida a un modelo, procurando reproducirla. Predomina la teoría de referencia.</w:t>
      </w:r>
    </w:p>
    <w:p>
      <w:pPr>
        <w:pStyle w:val="Normal"/>
        <w:numPr>
          <w:ilvl w:val="0"/>
          <w:numId w:val="2"/>
        </w:numPr>
      </w:pPr>
      <w:r>
        <w:rPr>
          <w:b/>
          <w:bCs/>
        </w:rPr>
        <w:t xml:space="preserve">Reconstrucción:</w:t>
      </w:r>
      <w:r>
        <w:t xml:space="preserve"> utilizar la teoría como guía, pero reconstruir la explicación desde la comprensión y perspectiva del modelador; la validación y experiencia alimentan su aprendizaje.</w:t>
      </w:r>
    </w:p>
    <w:p>
      <w:pPr>
        <w:pStyle w:val="Normal"/>
        <w:numPr>
          <w:ilvl w:val="0"/>
          <w:numId w:val="2"/>
        </w:numPr>
      </w:pPr>
      <w:r>
        <w:rPr>
          <w:b/>
          <w:bCs/>
        </w:rPr>
        <w:t xml:space="preserve">Construcción:</w:t>
      </w:r>
      <w:r>
        <w:t xml:space="preserve"> elaborar una explicación del fenómeno a partir de la investigación y percepción de la realidad; la teoría sigue ayudando, pero se pueden proponer nuevas explicaciones y reconocer perspectivas distintas.</w:t>
      </w:r>
    </w:p>
    <w:p>
      <w:pPr>
        <w:pStyle w:val="Normal"/>
      </w:pPr>
      <w:r>
        <w:t xml:space="preserve">Un modelo puede ser, por ejemplo, de reconstrucción </w:t>
      </w:r>
      <w:r>
        <w:rPr>
          <w:b/>
          <w:bCs/>
        </w:rPr>
        <w:t xml:space="preserve">según el proceso</w:t>
      </w:r>
      <w:r>
        <w:t xml:space="preserve"> y de aprendizaje </w:t>
      </w:r>
      <w:r>
        <w:rPr>
          <w:b/>
          <w:bCs/>
        </w:rPr>
        <w:t xml:space="preserve">según el uso</w:t>
      </w:r>
      <w:r>
        <w:t xml:space="preserve">. No se debe responder «aprendizaje, reconstrucción e intervención» como si pertenecieran a una misma lista. [A4:p57–59; L14:p12–16]</w:t>
      </w:r>
    </w:p>
    <w:p>
      <w:pPr>
        <w:pStyle w:val="Heading3"/>
      </w:pPr>
      <w:bookmarkStart w:name="b_lectura_m4" w:id="4117"/>
      <w:r>
        <w:t xml:space="preserve">4.4.4 Configuración temporal y funciones que hay que interpretar</w:t>
      </w:r>
      <w:bookmarkEnd w:id="4117"/>
    </w:p>
    <w:p>
      <w:pPr>
        <w:pStyle w:val="Normal"/>
      </w:pPr>
      <w:r>
        <w:t xml:space="preserve">La parte escrita incluye comprender qué significan las configuraciones y ecuaciones; no exige aquí instalar Vensim ni entregar archivos de una práctica.</w:t>
      </w:r>
    </w:p>
    <w:tbl>
      <w:tblPr>
        <w:tblW w:type="dxa" w:w="9632"/>
        <w:tblBorders>
          <w:top w:val="single" w:color="C5D5DB" w:sz="4"/>
          <w:left w:val="single" w:color="C5D5DB" w:sz="4"/>
          <w:bottom w:val="single" w:color="C5D5DB" w:sz="4"/>
          <w:right w:val="single" w:color="C5D5DB" w:sz="4"/>
          <w:insideH w:val="single" w:color="E4E9EB" w:sz="3"/>
          <w:insideV w:val="single" w:color="E4E9EB" w:sz="3"/>
        </w:tblBorders>
        <w:tblLayout w:type="fixed"/>
      </w:tblPr>
      <w:tblGrid>
        <w:gridCol w:w="4816"/>
        <w:gridCol w:w="4816"/>
      </w:tblGrid>
      <w:tr>
        <w:trPr>
          <w:cantSplit/>
          <w:tblHeader/>
        </w:trPr>
        <w:tc>
          <w:tcPr>
            <w:tcW w:type="dxa" w:w="4816"/>
            <w:shd w:fill="DFEAF0" w:val="clear"/>
            <w:tcMar>
              <w:top w:type="dxa" w:w="80"/>
              <w:left w:type="dxa" w:w="100"/>
              <w:bottom w:type="dxa" w:w="80"/>
              <w:right w:type="dxa" w:w="100"/>
            </w:tcMar>
          </w:tcPr>
          <w:p>
            <w:pPr>
              <w:pStyle w:val="Tabla"/>
            </w:pPr>
            <w:r>
              <w:rPr>
                <w:b/>
                <w:bCs/>
              </w:rPr>
              <w:t xml:space="preserve">Elemento</w:t>
            </w:r>
          </w:p>
        </w:tc>
        <w:tc>
          <w:tcPr>
            <w:tcW w:type="dxa" w:w="4816"/>
            <w:shd w:fill="DFEAF0" w:val="clear"/>
            <w:tcMar>
              <w:top w:type="dxa" w:w="80"/>
              <w:left w:type="dxa" w:w="100"/>
              <w:bottom w:type="dxa" w:w="80"/>
              <w:right w:type="dxa" w:w="100"/>
            </w:tcMar>
          </w:tcPr>
          <w:p>
            <w:pPr>
              <w:pStyle w:val="Tabla"/>
            </w:pPr>
            <w:r>
              <w:rPr>
                <w:b/>
                <w:bCs/>
              </w:rPr>
              <w:t xml:space="preserve">Significado conceptual</w:t>
            </w:r>
          </w:p>
        </w:tc>
      </w:tr>
      <w:tr>
        <w:trPr>
          <w:cantSplit/>
          <w:tblHeader w:val="off"/>
        </w:trPr>
        <w:tc>
          <w:tcPr>
            <w:tcW w:type="dxa" w:w="4816"/>
            <w:tcMar>
              <w:top w:type="dxa" w:w="80"/>
              <w:left w:type="dxa" w:w="100"/>
              <w:bottom w:type="dxa" w:w="80"/>
              <w:right w:type="dxa" w:w="100"/>
            </w:tcMar>
          </w:tcPr>
          <w:p>
            <w:pPr>
              <w:pStyle w:val="Tabla"/>
            </w:pPr>
            <w:r>
              <w:rPr>
                <w:rFonts w:ascii="Source Code Pro" w:cs="Source Code Pro" w:eastAsia="Source Code Pro" w:hAnsi="Source Code Pro"/>
                <w:sz w:val="18"/>
                <w:szCs w:val="18"/>
              </w:rPr>
              <w:t xml:space="preserve">INITIAL TIME</w:t>
            </w:r>
          </w:p>
        </w:tc>
        <w:tc>
          <w:tcPr>
            <w:tcW w:type="dxa" w:w="4816"/>
            <w:tcMar>
              <w:top w:type="dxa" w:w="80"/>
              <w:left w:type="dxa" w:w="100"/>
              <w:bottom w:type="dxa" w:w="80"/>
              <w:right w:type="dxa" w:w="100"/>
            </w:tcMar>
          </w:tcPr>
          <w:p>
            <w:pPr>
              <w:pStyle w:val="Tabla"/>
            </w:pPr>
            <w:r>
              <w:t xml:space="preserve">Instante en que comienza la simulación</w:t>
            </w:r>
          </w:p>
        </w:tc>
      </w:tr>
      <w:tr>
        <w:trPr>
          <w:cantSplit/>
          <w:tblHeader w:val="off"/>
        </w:trPr>
        <w:tc>
          <w:tcPr>
            <w:tcW w:type="dxa" w:w="4816"/>
            <w:tcMar>
              <w:top w:type="dxa" w:w="80"/>
              <w:left w:type="dxa" w:w="100"/>
              <w:bottom w:type="dxa" w:w="80"/>
              <w:right w:type="dxa" w:w="100"/>
            </w:tcMar>
          </w:tcPr>
          <w:p>
            <w:pPr>
              <w:pStyle w:val="Tabla"/>
            </w:pPr>
            <w:r>
              <w:rPr>
                <w:rFonts w:ascii="Source Code Pro" w:cs="Source Code Pro" w:eastAsia="Source Code Pro" w:hAnsi="Source Code Pro"/>
                <w:sz w:val="18"/>
                <w:szCs w:val="18"/>
              </w:rPr>
              <w:t xml:space="preserve">FINAL TIME</w:t>
            </w:r>
          </w:p>
        </w:tc>
        <w:tc>
          <w:tcPr>
            <w:tcW w:type="dxa" w:w="4816"/>
            <w:tcMar>
              <w:top w:type="dxa" w:w="80"/>
              <w:left w:type="dxa" w:w="100"/>
              <w:bottom w:type="dxa" w:w="80"/>
              <w:right w:type="dxa" w:w="100"/>
            </w:tcMar>
          </w:tcPr>
          <w:p>
            <w:pPr>
              <w:pStyle w:val="Tabla"/>
            </w:pPr>
            <w:r>
              <w:t xml:space="preserve">Instante en que termina; junto al inicial define el horizonte</w:t>
            </w:r>
          </w:p>
        </w:tc>
      </w:tr>
      <w:tr>
        <w:trPr>
          <w:cantSplit/>
          <w:tblHeader w:val="off"/>
        </w:trPr>
        <w:tc>
          <w:tcPr>
            <w:tcW w:type="dxa" w:w="4816"/>
            <w:tcMar>
              <w:top w:type="dxa" w:w="80"/>
              <w:left w:type="dxa" w:w="100"/>
              <w:bottom w:type="dxa" w:w="80"/>
              <w:right w:type="dxa" w:w="100"/>
            </w:tcMar>
          </w:tcPr>
          <w:p>
            <w:pPr>
              <w:pStyle w:val="Tabla"/>
            </w:pPr>
            <w:r>
              <w:rPr>
                <w:rFonts w:ascii="Source Code Pro" w:cs="Source Code Pro" w:eastAsia="Source Code Pro" w:hAnsi="Source Code Pro"/>
                <w:sz w:val="18"/>
                <w:szCs w:val="18"/>
              </w:rPr>
              <w:t xml:space="preserve">TIME STEP</w:t>
            </w:r>
          </w:p>
        </w:tc>
        <w:tc>
          <w:tcPr>
            <w:tcW w:type="dxa" w:w="4816"/>
            <w:tcMar>
              <w:top w:type="dxa" w:w="80"/>
              <w:left w:type="dxa" w:w="100"/>
              <w:bottom w:type="dxa" w:w="80"/>
              <w:right w:type="dxa" w:w="100"/>
            </w:tcMar>
          </w:tcPr>
          <w:p>
            <w:pPr>
              <w:pStyle w:val="Tabla"/>
            </w:pPr>
            <w:r>
              <w:t xml:space="preserve">Paso Δt con que se actualiza numéricamente el modelo</w:t>
            </w:r>
          </w:p>
        </w:tc>
      </w:tr>
      <w:tr>
        <w:trPr>
          <w:cantSplit/>
          <w:tblHeader w:val="off"/>
        </w:trPr>
        <w:tc>
          <w:tcPr>
            <w:tcW w:type="dxa" w:w="4816"/>
            <w:tcMar>
              <w:top w:type="dxa" w:w="80"/>
              <w:left w:type="dxa" w:w="100"/>
              <w:bottom w:type="dxa" w:w="80"/>
              <w:right w:type="dxa" w:w="100"/>
            </w:tcMar>
          </w:tcPr>
          <w:p>
            <w:pPr>
              <w:pStyle w:val="Tabla"/>
            </w:pPr>
            <w:r>
              <w:rPr>
                <w:rFonts w:ascii="Source Code Pro" w:cs="Source Code Pro" w:eastAsia="Source Code Pro" w:hAnsi="Source Code Pro"/>
                <w:sz w:val="18"/>
                <w:szCs w:val="18"/>
              </w:rPr>
              <w:t xml:space="preserve">SAVEPER</w:t>
            </w:r>
          </w:p>
        </w:tc>
        <w:tc>
          <w:tcPr>
            <w:tcW w:type="dxa" w:w="4816"/>
            <w:tcMar>
              <w:top w:type="dxa" w:w="80"/>
              <w:left w:type="dxa" w:w="100"/>
              <w:bottom w:type="dxa" w:w="80"/>
              <w:right w:type="dxa" w:w="100"/>
            </w:tcMar>
          </w:tcPr>
          <w:p>
            <w:pPr>
              <w:pStyle w:val="Tabla"/>
            </w:pPr>
            <w:r>
              <w:t xml:space="preserve">Intervalo con que se guardan o muestran resultados; no es una demora</w:t>
            </w:r>
          </w:p>
        </w:tc>
      </w:tr>
      <w:tr>
        <w:trPr>
          <w:cantSplit/>
          <w:tblHeader w:val="off"/>
        </w:trPr>
        <w:tc>
          <w:tcPr>
            <w:tcW w:type="dxa" w:w="4816"/>
            <w:tcMar>
              <w:top w:type="dxa" w:w="80"/>
              <w:left w:type="dxa" w:w="100"/>
              <w:bottom w:type="dxa" w:w="80"/>
              <w:right w:type="dxa" w:w="100"/>
            </w:tcMar>
          </w:tcPr>
          <w:p>
            <w:pPr>
              <w:pStyle w:val="Tabla"/>
            </w:pPr>
            <w:r>
              <w:t xml:space="preserve">Unidad de tiempo</w:t>
            </w:r>
          </w:p>
        </w:tc>
        <w:tc>
          <w:tcPr>
            <w:tcW w:type="dxa" w:w="4816"/>
            <w:tcMar>
              <w:top w:type="dxa" w:w="80"/>
              <w:left w:type="dxa" w:w="100"/>
              <w:bottom w:type="dxa" w:w="80"/>
              <w:right w:type="dxa" w:w="100"/>
            </w:tcMar>
          </w:tcPr>
          <w:p>
            <w:pPr>
              <w:pStyle w:val="Tabla"/>
            </w:pPr>
            <w:r>
              <w:t xml:space="preserve">Mes, día, minuto u otra unidad coherente con las tasas</w:t>
            </w:r>
          </w:p>
        </w:tc>
      </w:tr>
      <w:tr>
        <w:trPr>
          <w:cantSplit/>
          <w:tblHeader w:val="off"/>
        </w:trPr>
        <w:tc>
          <w:tcPr>
            <w:tcW w:type="dxa" w:w="4816"/>
            <w:tcMar>
              <w:top w:type="dxa" w:w="80"/>
              <w:left w:type="dxa" w:w="100"/>
              <w:bottom w:type="dxa" w:w="80"/>
              <w:right w:type="dxa" w:w="100"/>
            </w:tcMar>
          </w:tcPr>
          <w:p>
            <w:pPr>
              <w:pStyle w:val="Tabla"/>
            </w:pPr>
            <w:r>
              <w:rPr>
                <w:rFonts w:ascii="Source Code Pro" w:cs="Source Code Pro" w:eastAsia="Source Code Pro" w:hAnsi="Source Code Pro"/>
                <w:sz w:val="18"/>
                <w:szCs w:val="18"/>
              </w:rPr>
              <w:t xml:space="preserve">INTEG(flujo neto, inicial)</w:t>
            </w:r>
          </w:p>
        </w:tc>
        <w:tc>
          <w:tcPr>
            <w:tcW w:type="dxa" w:w="4816"/>
            <w:tcMar>
              <w:top w:type="dxa" w:w="80"/>
              <w:left w:type="dxa" w:w="100"/>
              <w:bottom w:type="dxa" w:w="80"/>
              <w:right w:type="dxa" w:w="100"/>
            </w:tcMar>
          </w:tcPr>
          <w:p>
            <w:pPr>
              <w:pStyle w:val="Tabla"/>
            </w:pPr>
            <w:r>
              <w:t xml:space="preserve">Acumulación de los flujos desde un valor inicial</w:t>
            </w:r>
          </w:p>
        </w:tc>
      </w:tr>
      <w:tr>
        <w:trPr>
          <w:cantSplit/>
          <w:tblHeader w:val="off"/>
        </w:trPr>
        <w:tc>
          <w:tcPr>
            <w:tcW w:type="dxa" w:w="4816"/>
            <w:tcMar>
              <w:top w:type="dxa" w:w="80"/>
              <w:left w:type="dxa" w:w="100"/>
              <w:bottom w:type="dxa" w:w="80"/>
              <w:right w:type="dxa" w:w="100"/>
            </w:tcMar>
          </w:tcPr>
          <w:p>
            <w:pPr>
              <w:pStyle w:val="Tabla"/>
            </w:pPr>
            <w:r>
              <w:rPr>
                <w:rFonts w:ascii="Source Code Pro" w:cs="Source Code Pro" w:eastAsia="Source Code Pro" w:hAnsi="Source Code Pro"/>
                <w:sz w:val="18"/>
                <w:szCs w:val="18"/>
              </w:rPr>
              <w:t xml:space="preserve">IF THEN ELSE</w:t>
            </w:r>
          </w:p>
        </w:tc>
        <w:tc>
          <w:tcPr>
            <w:tcW w:type="dxa" w:w="4816"/>
            <w:tcMar>
              <w:top w:type="dxa" w:w="80"/>
              <w:left w:type="dxa" w:w="100"/>
              <w:bottom w:type="dxa" w:w="80"/>
              <w:right w:type="dxa" w:w="100"/>
            </w:tcMar>
          </w:tcPr>
          <w:p>
            <w:pPr>
              <w:pStyle w:val="Tabla"/>
            </w:pPr>
            <w:r>
              <w:t xml:space="preserve">Selección entre dos resultados según una condición</w:t>
            </w:r>
          </w:p>
        </w:tc>
      </w:tr>
      <w:tr>
        <w:trPr>
          <w:cantSplit/>
          <w:tblHeader w:val="off"/>
        </w:trPr>
        <w:tc>
          <w:tcPr>
            <w:tcW w:type="dxa" w:w="4816"/>
            <w:tcMar>
              <w:top w:type="dxa" w:w="80"/>
              <w:left w:type="dxa" w:w="100"/>
              <w:bottom w:type="dxa" w:w="80"/>
              <w:right w:type="dxa" w:w="100"/>
            </w:tcMar>
          </w:tcPr>
          <w:p>
            <w:pPr>
              <w:pStyle w:val="Tabla"/>
            </w:pPr>
            <w:r>
              <w:rPr>
                <w:rFonts w:ascii="Source Code Pro" w:cs="Source Code Pro" w:eastAsia="Source Code Pro" w:hAnsi="Source Code Pro"/>
                <w:sz w:val="18"/>
                <w:szCs w:val="18"/>
              </w:rPr>
              <w:t xml:space="preserve">MAX</w:t>
            </w:r>
            <w:r>
              <w:t xml:space="preserve"> / </w:t>
            </w:r>
            <w:r>
              <w:rPr>
                <w:rFonts w:ascii="Source Code Pro" w:cs="Source Code Pro" w:eastAsia="Source Code Pro" w:hAnsi="Source Code Pro"/>
                <w:sz w:val="18"/>
                <w:szCs w:val="18"/>
              </w:rPr>
              <w:t xml:space="preserve">MIN</w:t>
            </w:r>
          </w:p>
        </w:tc>
        <w:tc>
          <w:tcPr>
            <w:tcW w:type="dxa" w:w="4816"/>
            <w:tcMar>
              <w:top w:type="dxa" w:w="80"/>
              <w:left w:type="dxa" w:w="100"/>
              <w:bottom w:type="dxa" w:w="80"/>
              <w:right w:type="dxa" w:w="100"/>
            </w:tcMar>
          </w:tcPr>
          <w:p>
            <w:pPr>
              <w:pStyle w:val="Tabla"/>
            </w:pPr>
            <w:r>
              <w:t xml:space="preserve">Selección del mayor/menor valor; límites inferiores/superiores cuando corresponde</w:t>
            </w:r>
          </w:p>
        </w:tc>
      </w:tr>
      <w:tr>
        <w:trPr>
          <w:cantSplit/>
          <w:tblHeader w:val="off"/>
        </w:trPr>
        <w:tc>
          <w:tcPr>
            <w:tcW w:type="dxa" w:w="4816"/>
            <w:tcMar>
              <w:top w:type="dxa" w:w="80"/>
              <w:left w:type="dxa" w:w="100"/>
              <w:bottom w:type="dxa" w:w="80"/>
              <w:right w:type="dxa" w:w="100"/>
            </w:tcMar>
          </w:tcPr>
          <w:p>
            <w:pPr>
              <w:pStyle w:val="Tabla"/>
            </w:pPr>
            <w:r>
              <w:rPr>
                <w:rFonts w:ascii="Source Code Pro" w:cs="Source Code Pro" w:eastAsia="Source Code Pro" w:hAnsi="Source Code Pro"/>
                <w:sz w:val="18"/>
                <w:szCs w:val="18"/>
              </w:rPr>
              <w:t xml:space="preserve">RANDOM UNIFORM(mínimo, máximo, semilla)</w:t>
            </w:r>
          </w:p>
        </w:tc>
        <w:tc>
          <w:tcPr>
            <w:tcW w:type="dxa" w:w="4816"/>
            <w:tcMar>
              <w:top w:type="dxa" w:w="80"/>
              <w:left w:type="dxa" w:w="100"/>
              <w:bottom w:type="dxa" w:w="80"/>
              <w:right w:type="dxa" w:w="100"/>
            </w:tcMar>
          </w:tcPr>
          <w:p>
            <w:pPr>
              <w:pStyle w:val="Tabla"/>
            </w:pPr>
            <w:r>
              <w:t xml:space="preserve">Valores seudoaleatorios en un intervalo, según el generador y la semilla</w:t>
            </w:r>
          </w:p>
        </w:tc>
      </w:tr>
      <w:tr>
        <w:trPr>
          <w:cantSplit/>
          <w:tblHeader w:val="off"/>
        </w:trPr>
        <w:tc>
          <w:tcPr>
            <w:tcW w:type="dxa" w:w="4816"/>
            <w:tcMar>
              <w:top w:type="dxa" w:w="80"/>
              <w:left w:type="dxa" w:w="100"/>
              <w:bottom w:type="dxa" w:w="80"/>
              <w:right w:type="dxa" w:w="100"/>
            </w:tcMar>
          </w:tcPr>
          <w:p>
            <w:pPr>
              <w:pStyle w:val="Tabla"/>
            </w:pPr>
            <w:r>
              <w:t xml:space="preserve">Tabla o </w:t>
            </w:r>
            <w:r>
              <w:rPr>
                <w:i/>
                <w:iCs/>
              </w:rPr>
              <w:t xml:space="preserve">lookup</w:t>
            </w:r>
          </w:p>
        </w:tc>
        <w:tc>
          <w:tcPr>
            <w:tcW w:type="dxa" w:w="4816"/>
            <w:tcMar>
              <w:top w:type="dxa" w:w="80"/>
              <w:left w:type="dxa" w:w="100"/>
              <w:bottom w:type="dxa" w:w="80"/>
              <w:right w:type="dxa" w:w="100"/>
            </w:tcMar>
          </w:tcPr>
          <w:p>
            <w:pPr>
              <w:pStyle w:val="Tabla"/>
            </w:pPr>
            <w:r>
              <w:t xml:space="preserve">Dependencia definida mediante puntos o una curva</w:t>
            </w:r>
          </w:p>
        </w:tc>
      </w:tr>
    </w:tbl>
    <w:p>
      <w:pPr>
        <w:pStyle w:val="Normal"/>
      </w:pPr>
      <w:r>
        <w:t xml:space="preserve">El tutorial del almacén usa inicio 0, final 240, paso 1, guardado 1 y meses. El intervalo de guardado no debe ser menor que los pasos para los que se calculan resultados en esa configuración. Guardar cada cuatro meses no equivale a calcular cada cuatro meses. Una simulación de epidemia en la lámina usa paso 0.25 y guardado 1: hace cálculos intermedios aunque la tabla guardada sea más espaciada. [A4:p13,30,53; video Vensim3:04:45–06:34]</w:t>
      </w:r>
    </w:p>
    <w:p>
      <w:pPr>
        <w:pStyle w:val="Normal"/>
      </w:pPr>
      <w:r>
        <w:t xml:space="preserve">Una tasa de 5 % mensual aplicada a una deuda de 2,000 produce un flujo de 100 dólares/mes. En un paso de 0.25 meses se añaden </w:t>
      </w:r>
      <w:r>
        <w:rPr>
          <w:rFonts w:ascii="Source Code Pro" w:cs="Source Code Pro" w:eastAsia="Source Code Pro" w:hAnsi="Source Code Pro"/>
          <w:sz w:val="18"/>
          <w:szCs w:val="18"/>
        </w:rPr>
        <w:t xml:space="preserve">100 × 0.25 = 25 dólares</w:t>
      </w:r>
      <w:r>
        <w:t xml:space="preserve">, terminando en 2,025. En una corrida independiente cuyo primer paso dura 0.5 meses, se añaden 50 y termina en 2,050. Es correcto que 0.25 meses sea una cuarta parte de mes; sólo hay que mantener separadas tasa, duración e incremento. No hace falta convertirlo a una semana exacta.</w:t>
      </w:r>
    </w:p>
    <w:p>
      <w:pPr>
        <w:pStyle w:val="Normal"/>
      </w:pPr>
      <w:r>
        <w:t xml:space="preserve">Reducir Δt suele permitir aproximar mejor una ecuación continua, pero requiere más cálculo. Un paso demasiado grande puede producir negativos, sobrepasos o inestabilidad artificial. Se puede comparar una corrida con Δt y otra con Δt/2 para verificar si las conclusiones cambian sustancialmente. Un modelo de interés capitalizado mensualmente es una regla discreta específica; cambiar su frecuencia de capitalización no es lo mismo que mejorar una aproximación numérica de un modelo continuo.</w:t>
      </w:r>
    </w:p>
    <w:p>
      <w:pPr>
        <w:pStyle w:val="Normal"/>
      </w:pPr>
      <w:r>
        <w:t xml:space="preserve">En el ejemplo histórico DYNAMO, </w:t>
      </w:r>
      <w:r>
        <w:rPr>
          <w:rFonts w:ascii="Source Code Pro" w:cs="Source Code Pro" w:eastAsia="Source Code Pro" w:hAnsi="Source Code Pro"/>
          <w:sz w:val="18"/>
          <w:szCs w:val="18"/>
        </w:rPr>
        <w:t xml:space="preserve">l</w:t>
      </w:r>
      <w:r>
        <w:t xml:space="preserve"> identifica ecuación de nivel; </w:t>
      </w:r>
      <w:r>
        <w:rPr>
          <w:rFonts w:ascii="Source Code Pro" w:cs="Source Code Pro" w:eastAsia="Source Code Pro" w:hAnsi="Source Code Pro"/>
          <w:sz w:val="18"/>
          <w:szCs w:val="18"/>
        </w:rPr>
        <w:t xml:space="preserve">n</w:t>
      </w:r>
      <w:r>
        <w:t xml:space="preserve">, condición inicial; </w:t>
      </w:r>
      <w:r>
        <w:rPr>
          <w:rFonts w:ascii="Source Code Pro" w:cs="Source Code Pro" w:eastAsia="Source Code Pro" w:hAnsi="Source Code Pro"/>
          <w:sz w:val="18"/>
          <w:szCs w:val="18"/>
        </w:rPr>
        <w:t xml:space="preserve">r</w:t>
      </w:r>
      <w:r>
        <w:t xml:space="preserve">, flujo; </w:t>
      </w:r>
      <w:r>
        <w:rPr>
          <w:rFonts w:ascii="Source Code Pro" w:cs="Source Code Pro" w:eastAsia="Source Code Pro" w:hAnsi="Source Code Pro"/>
          <w:sz w:val="18"/>
          <w:szCs w:val="18"/>
        </w:rPr>
        <w:t xml:space="preserve">a</w:t>
      </w:r>
      <w:r>
        <w:t xml:space="preserve">, auxiliar; </w:t>
      </w:r>
      <w:r>
        <w:rPr>
          <w:rFonts w:ascii="Source Code Pro" w:cs="Source Code Pro" w:eastAsia="Source Code Pro" w:hAnsi="Source Code Pro"/>
          <w:sz w:val="18"/>
          <w:szCs w:val="18"/>
        </w:rPr>
        <w:t xml:space="preserve">c</w:t>
      </w:r>
      <w:r>
        <w:t xml:space="preserve">, constante. Los sufijos temporales distinguen instantes o intervalos. No es necesario ejecutar ese lenguaje para reconocer la lógica de A4:p13. La lista histórica de herramientas incluye DYNAMO, STELLA/i-think, PowerSim, Vensim y Mosaikk-SimTek; no es una comparación de sus versiones actuales. [L15:p46–47,64–65]</w:t>
      </w:r>
    </w:p>
    <w:p>
      <w:pPr>
        <w:pStyle w:val="Heading3"/>
      </w:pPr>
      <w:bookmarkStart w:name="b_lectura_m5" w:id="4118"/>
      <w:r>
        <w:t xml:space="preserve">4.4.5 Escenarios, sensibilidad y validación</w:t>
      </w:r>
      <w:bookmarkEnd w:id="4118"/>
    </w:p>
    <w:p>
      <w:pPr>
        <w:pStyle w:val="Normal"/>
      </w:pPr>
      <w:r>
        <w:t xml:space="preserve">Un escenario fija condiciones iniciales, parámetros, reglas o relaciones funcionales y horizonte. Para comparar dos políticas hay que precisar </w:t>
      </w:r>
      <w:r>
        <w:rPr>
          <w:b/>
          <w:bCs/>
        </w:rPr>
        <w:t xml:space="preserve">qué criterio se optimiza y en qué momento</w:t>
      </w:r>
      <w:r>
        <w:t xml:space="preserve">: menor deuda a 12 meses no garantiza menor deuda a 24 meses. Cambiar un parámetro y observar una curva no prueba que la intervención funcionará igual en la realidad. [L16:p38–42]</w:t>
      </w:r>
    </w:p>
    <w:p>
      <w:pPr>
        <w:pStyle w:val="Normal"/>
      </w:pPr>
      <w:r>
        <w:t xml:space="preserve">La elaboración de escenarios puede organizarse así: definir el problema y objetivos; reunir personas y fuentes pertinentes; examinar el entorno; identificar variables e incertidumbres; reunir datos; construir futuros coherentes; simular alternativas; evaluar sus implicaciones; elegir acciones e indicadores para seguirlas. El esquema de Schwartz selecciona dos incertidumbres importantes, construye un mapa de futuros, describe historias plausibles, considera acciones y establece seguimiento. Un escenario expresa qué podría ocurrir bajo ciertas condiciones; un pronóstico intenta anticipar qué ocurrirá. No deben confundirse plausibilidad, probabilidad y preferencia.</w:t>
      </w:r>
    </w:p>
    <w:p>
      <w:pPr>
        <w:pStyle w:val="Normal"/>
      </w:pPr>
      <w:r>
        <w:t xml:space="preserve">El </w:t>
      </w:r>
      <w:r>
        <w:rPr>
          <w:b/>
          <w:bCs/>
        </w:rPr>
        <w:t xml:space="preserve">análisis de sensibilidad</w:t>
      </w:r>
      <w:r>
        <w:t xml:space="preserve"> pregunta cuánto cambian resultados y conclusiones al modificar parámetros, condiciones o relaciones. Puede variar un parámetro por vez para entender su efecto; también considerar cambios conjuntos. Montecarlo repite corridas con parámetros muestreados según distribuciones supuestas y estudia la dispersión resultante. Una conclusión robusta se sostiene frente a variaciones razonables; una conclusión sensible requiere mejor información o una decisión que resista esa incertidumbre. El punto de mayor sensibilidad matemática no siempre es una intervención factible: hay que poder actuar sobre él. [L15:p65–67; L16:p43–46]</w:t>
      </w:r>
    </w:p>
    <w:p>
      <w:pPr>
        <w:pStyle w:val="Normal"/>
      </w:pPr>
      <w:r>
        <w:rPr>
          <w:b/>
          <w:bCs/>
        </w:rPr>
        <w:t xml:space="preserve">Validación</w:t>
      </w:r>
      <w:r>
        <w:t xml:space="preserve"> es construir confianza en que el modelo sirve para el propósito, identificando sus limitaciones. Incluye:</w:t>
      </w:r>
    </w:p>
    <w:p>
      <w:pPr>
        <w:pStyle w:val="Normal"/>
        <w:numPr>
          <w:ilvl w:val="0"/>
          <w:numId w:val="2"/>
        </w:numPr>
      </w:pPr>
      <w:r>
        <w:rPr>
          <w:b/>
          <w:bCs/>
        </w:rPr>
        <w:t xml:space="preserve">Límites:</w:t>
      </w:r>
      <w:r>
        <w:t xml:space="preserve"> variables y horizonte pertinentes; revisar qué se trató como externo y si debería ser parte del sistema.</w:t>
      </w:r>
    </w:p>
    <w:p>
      <w:pPr>
        <w:pStyle w:val="Normal"/>
        <w:numPr>
          <w:ilvl w:val="0"/>
          <w:numId w:val="2"/>
        </w:numPr>
      </w:pPr>
      <w:r>
        <w:rPr>
          <w:b/>
          <w:bCs/>
        </w:rPr>
        <w:t xml:space="preserve">Estructura directa:</w:t>
      </w:r>
      <w:r>
        <w:t xml:space="preserve"> contrastar relaciones y reglas con el conocimiento del fenómeno, sin limitarse a mirar curvas.</w:t>
      </w:r>
    </w:p>
    <w:p>
      <w:pPr>
        <w:pStyle w:val="Normal"/>
        <w:numPr>
          <w:ilvl w:val="0"/>
          <w:numId w:val="2"/>
        </w:numPr>
      </w:pPr>
      <w:r>
        <w:rPr>
          <w:b/>
          <w:bCs/>
        </w:rPr>
        <w:t xml:space="preserve">Parámetros:</w:t>
      </w:r>
      <w:r>
        <w:t xml:space="preserve"> significado, valores y respaldo en datos o conocimiento de especialistas.</w:t>
      </w:r>
    </w:p>
    <w:p>
      <w:pPr>
        <w:pStyle w:val="Normal"/>
        <w:numPr>
          <w:ilvl w:val="0"/>
          <w:numId w:val="2"/>
        </w:numPr>
      </w:pPr>
      <w:r>
        <w:rPr>
          <w:b/>
          <w:bCs/>
        </w:rPr>
        <w:t xml:space="preserve">Unidades:</w:t>
      </w:r>
      <w:r>
        <w:t xml:space="preserve"> cada suma y resta debe ser compatible; un flujo debe tener unidades del nivel/tiempo.</w:t>
      </w:r>
    </w:p>
    <w:p>
      <w:pPr>
        <w:pStyle w:val="Normal"/>
        <w:numPr>
          <w:ilvl w:val="0"/>
          <w:numId w:val="2"/>
        </w:numPr>
      </w:pPr>
      <w:r>
        <w:rPr>
          <w:b/>
          <w:bCs/>
        </w:rPr>
        <w:t xml:space="preserve">Condiciones extremas:</w:t>
      </w:r>
      <w:r>
        <w:t xml:space="preserve"> qué sucede con población inicial cero, sin recursos, sin demanda o con una tasa nula.</w:t>
      </w:r>
    </w:p>
    <w:p>
      <w:pPr>
        <w:pStyle w:val="Normal"/>
        <w:numPr>
          <w:ilvl w:val="0"/>
          <w:numId w:val="2"/>
        </w:numPr>
      </w:pPr>
      <w:r>
        <w:rPr>
          <w:b/>
          <w:bCs/>
        </w:rPr>
        <w:t xml:space="preserve">Comportamiento:</w:t>
      </w:r>
      <w:r>
        <w:t xml:space="preserve"> comparar patrones y, cuando proceda, registros cuantitativos; detectar sesgo, tendencia, amplitud y desfase.</w:t>
      </w:r>
    </w:p>
    <w:p>
      <w:pPr>
        <w:pStyle w:val="Normal"/>
        <w:numPr>
          <w:ilvl w:val="0"/>
          <w:numId w:val="2"/>
        </w:numPr>
      </w:pPr>
      <w:r>
        <w:rPr>
          <w:b/>
          <w:bCs/>
        </w:rPr>
        <w:t xml:space="preserve">Sensibilidad y prueba numérica:</w:t>
      </w:r>
      <w:r>
        <w:t xml:space="preserve"> comprobar si pequeñas variaciones razonables o un paso menor alteran indebidamente la conclusión.</w:t>
      </w:r>
    </w:p>
    <w:p>
      <w:pPr>
        <w:pStyle w:val="Normal"/>
      </w:pPr>
      <w:r>
        <w:t xml:space="preserve">L16 menciona R², MAE, MAPE, MSE/RMSE y descomposición de Theil como instrumentos de comparación. Hay que reconocer para qué sirven: cuantifican diferencias, no sustituyen la validez causal. MAE promedia magnitudes de error; MSE/RMSE penalizan especialmente errores grandes; MAPE expresa errores relativos y requiere cuidado con observaciones nulas; Theil separa componentes asociados a sesgo, variación y covariación. No hay base para afirmar que el examen exige calcular todos estos estadísticos. [L16:p47–52]</w:t>
      </w:r>
    </w:p>
    <w:p>
      <w:pPr>
        <w:pStyle w:val="Normal"/>
      </w:pPr>
      <w:r>
        <w:rPr>
          <w:rFonts w:ascii="Source Code Pro" w:cs="Source Code Pro" w:eastAsia="Source Code Pro" w:hAnsi="Source Code Pro"/>
          <w:sz w:val="18"/>
          <w:szCs w:val="18"/>
        </w:rPr>
        <w:t xml:space="preserve">Check Model</w:t>
      </w:r>
      <w:r>
        <w:t xml:space="preserve"> comprueba aspectos de formulación y consistencia del programa; </w:t>
      </w:r>
      <w:r>
        <w:rPr>
          <w:rFonts w:ascii="Source Code Pro" w:cs="Source Code Pro" w:eastAsia="Source Code Pro" w:hAnsi="Source Code Pro"/>
          <w:sz w:val="18"/>
          <w:szCs w:val="18"/>
        </w:rPr>
        <w:t xml:space="preserve">Units Check</w:t>
      </w:r>
      <w:r>
        <w:t xml:space="preserve"> revisa coherencia dimensional. Que ambos pasen no demuestra que las ecuaciones describan bien la realidad. Una tabla de resultados tampoco valida por sí sola el modelo. El principio es obtener un comportamiento razonable </w:t>
      </w:r>
      <w:r>
        <w:rPr>
          <w:b/>
          <w:bCs/>
        </w:rPr>
        <w:t xml:space="preserve">por relaciones razonables</w:t>
      </w:r>
      <w:r>
        <w:t xml:space="preserve">, no sólo una curva parecida.</w:t>
      </w:r>
    </w:p>
    <w:p>
      <w:pPr>
        <w:pStyle w:val="Normal"/>
      </w:pPr>
      <w:r>
        <w:t xml:space="preserve">Vensim permite leer gráficas, tablas, árboles de causas, ciclos y documentación. Un árbol de causas responde «¿de qué depende esta variable?»; repetir una variable a lo largo de una rama puede revelar un ciclo. Comparar corridas requiere comprobar cuáles parámetros cambiaron realmente. [video Vensim4:06:55–12:35]</w:t>
      </w:r>
    </w:p>
    <w:p>
      <w:pPr>
        <w:pStyle w:val="Heading3"/>
      </w:pPr>
      <w:bookmarkStart w:name="b_lectura_m6" w:id="4119"/>
      <w:r>
        <w:t xml:space="preserve">4.4.6 Ventajas, límites y aprendizaje con simulación</w:t>
      </w:r>
      <w:bookmarkEnd w:id="4119"/>
    </w:p>
    <w:p>
      <w:pPr>
        <w:pStyle w:val="Normal"/>
      </w:pPr>
      <w:r>
        <w:t xml:space="preserve">La simulación permite explorar sistemas antes de construirlos, comprimir tiempos, probar escenarios difíciles o imposibles de experimentar directamente y estudiar efectos que serían costosos o inaceptables en el mundo real. Sirve cuando una solución analítica no es disponible o manejable. La expresión de A4 sobre simular «sin formulación matemática» no significa que un simulador dinámico funcione sin reglas: se necesita formalizar suficientes relaciones para ejecutar el modelo. [A4:p29]</w:t>
      </w:r>
    </w:p>
    <w:p>
      <w:pPr>
        <w:pStyle w:val="Normal"/>
      </w:pPr>
      <w:r>
        <w:t xml:space="preserve">Sus límites incluyen costo y tiempo de construcción, simplificación, parámetros inciertos y variables omitidas. Agregar complejidad no garantiza mayor validez. Una variable suave —confianza, expectativas o calidad percibida— puede ser difícil de medir y aun así ser decisiva; omitirla equivale a suponer que no influye.</w:t>
      </w:r>
    </w:p>
    <w:p>
      <w:pPr>
        <w:pStyle w:val="Normal"/>
      </w:pPr>
      <w:r>
        <w:t xml:space="preserve">Un micromundo o laboratorio administrativo permite tomar decisiones sobre una representación, recibir retroalimentación, revisar modelos mentales y repetir la experiencia. El aprendizaje organizacional natural puede ser lento, costoso y difícil de interpretar por demoras y efectos mezclados. El laboratorio acelera la exploración, pero sigue dependiendo de la calidad de su representación. Su finalidad puede ser aprender patrones o comparar políticas, sin prometer predicciones numéricas exactas. [L15:p68–69; L16:p53–55]</w:t>
      </w:r>
    </w:p>
    <w:p>
      <w:pPr>
        <w:pStyle w:val="Normal"/>
      </w:pPr>
      <w:r>
        <w:rPr>
          <w:b/>
          <w:bCs/>
        </w:rPr>
        <w:t xml:space="preserve">Entornos citados por las fuentes (A4:p53; L15:p64–65).</w:t>
      </w:r>
      <w:r>
        <w:t xml:space="preserve"> DYNAMO expresa el modelo mediante un lenguaje; STELLA e i-think construyen diagramas y generan ecuaciones, con orientación académica y profesional respectivamente en la comparación histórica de la lectura. PowerSim y Mosaikk-SimTek son otros entornos citados; Vensim permite documentar ecuaciones y explorar árboles de causas. Esta lista describe el material del curso, no una comparación de versiones actuales. El editor no sustituye la validación de relaciones, unidades ni supuestos.</w:t>
      </w:r>
    </w:p>
    <w:p>
      <w:pPr>
        <w:pStyle w:val="Heading3"/>
      </w:pPr>
      <w:r>
        <w:t xml:space="preserve">Parámetros: significado y especialistas</w:t>
      </w:r>
    </w:p>
    <w:p>
      <w:pPr>
        <w:pStyle w:val="Normal"/>
      </w:pPr>
      <w:r>
        <w:t xml:space="preserve">La primera vía usa el significado del parámetro y conocimiento cuantitativo suficiente, aportado por especialistas cuando corresponde. En este modelo IPC expresa infecciones por contagio y TNC la tasa normal de contagio. PV = PT − PI hace de PV una auxiliar; PT es constante/exógena en este modelo: el párrafo impreso invierte esos dos rótulos.</w:t>
      </w:r>
    </w:p>
    <w:p>
      <w:pPr>
        <w:pStyle w:val="Fuente"/>
      </w:pPr>
      <w:r>
        <w:t xml:space="preserve">Presentación 4a de octubre (C-7), lámina 15</w:t>
      </w:r>
    </w:p>
    <w:p>
      <w:pPr>
        <w:pStyle w:val="Heading3"/>
      </w:pPr>
      <w:r>
        <w:t xml:space="preserve">Ajuste con registros históricos</w:t>
      </w:r>
    </w:p>
    <w:p>
      <w:pPr>
        <w:pStyle w:val="Normal"/>
      </w:pPr>
      <w:r>
        <w:t xml:space="preserve">La segunda vía compara una serie histórica con la serie simulada y reduce un índice de discrepancia, por ejemplo suma de errores cuadrados en instantes comparables. Deben declararse variable observada, unidad, iniciales, período y criterio de ajuste. El curso no aporta aquí una serie histórica para ejecutar esa estimación; ajustar no sustituye validar estructura ni explorar sensibilidad.</w:t>
      </w:r>
    </w:p>
    <w:p>
      <w:pPr>
        <w:pStyle w:val="Fuente"/>
      </w:pPr>
      <w:r>
        <w:t xml:space="preserve">Presentación 4a de octubre (C-7), lámina 15</w:t>
      </w:r>
    </w:p>
    <w:p>
      <w:pPr>
        <w:pStyle w:val="Heading3"/>
      </w:pPr>
      <w:r>
        <w:t xml:space="preserve">Cinco ambientes en la lámina histórica</w:t>
      </w:r>
    </w:p>
    <w:p>
      <w:pPr>
        <w:pStyle w:val="Normal"/>
      </w:pPr>
      <w:r>
        <w:t xml:space="preserve">Es una comparación histórica atribuida a la lámina: DYNAMO sin modelado por iconos; STELLA de orientación académica e i-think profesional; Mosaikk conectado a SimTek; PowerSim con varios modelos interconectables; Vensim con organización de datos, optimización, documentación, árboles causales y análisis estadístico. No evalúa versiones actuales.</w:t>
      </w:r>
    </w:p>
    <w:p>
      <w:pPr>
        <w:pStyle w:val="Fuente"/>
      </w:pPr>
      <w:r>
        <w:t xml:space="preserve">Presentación 4a (C-3), lámina 53</w:t>
      </w:r>
    </w:p>
    <w:p>
      <w:pPr>
        <w:pStyle w:val="Heading3"/>
      </w:pPr>
      <w:r>
        <w:t xml:space="preserve">Alcance de la consistencia dimensional</w:t>
      </w:r>
    </w:p>
    <w:p>
      <w:pPr>
        <w:pStyle w:val="Normal"/>
      </w:pPr>
      <w:r>
        <w:t xml:space="preserve">Dos flujos causalmente distintos pueden tener las mismas unidades. Units Check ayuda a detectar incompatibilidades dimensionales; no prueba la dirección causal, los signos, las variables omitidas ni la validez de las políticas. Hay que contrastar estructura, extremos, datos y sensibilidad por separado.</w:t>
      </w:r>
    </w:p>
    <w:p>
      <w:pPr>
        <w:pStyle w:val="Fuente"/>
      </w:pPr>
      <w:r>
        <w:t xml:space="preserve">Clase 20 · 01:46:06 · Presentación 4a (C-3), lámina 27</w:t>
      </w:r>
    </w:p>
    <w:p>
      <w:pPr>
        <w:pStyle w:val="Heading3"/>
      </w:pPr>
      <w:r>
        <w:t xml:space="preserve">Fases y usos</w:t>
      </w:r>
    </w:p>
    <w:p>
      <w:pPr>
        <w:pStyle w:val="Normal"/>
      </w:pPr>
      <w:r>
        <w:t xml:space="preserve">Fases: definición del problema, conceptualización, formalización, comportamiento, evaluación y explotación. Se puede volver a una fase anterior para revisar supuestos.</w:t>
      </w:r>
    </w:p>
    <w:p>
      <w:pPr>
        <w:pStyle w:val="Normal"/>
      </w:pPr>
      <w:r>
        <w:t xml:space="preserve">Comportamiento obtiene trayectorias; explotación compara escenarios y políticas. Que una simulación ejecute no significa que haya quedado validada.</w:t>
      </w:r>
    </w:p>
    <w:p>
      <w:pPr>
        <w:pStyle w:val="Normal"/>
      </w:pPr>
      <w:r>
        <w:t xml:space="preserve">Se modela para aprender, explicar o intervenir. Réplica, reconstrucción y construcción distinguen formas de elaborar modelos según la referencia disponible.</w:t>
      </w:r>
    </w:p>
    <w:p>
      <w:pPr>
        <w:pStyle w:val="Fuente"/>
      </w:pPr>
      <w:r>
        <w:t xml:space="preserve">Guía de estudio · edición 20/10/2026 · pp. 14–16</w:t>
      </w:r>
    </w:p>
    <w:p>
      <w:pPr>
        <w:pStyle w:val="Heading3"/>
      </w:pPr>
      <w:r>
        <w:t xml:space="preserve">Preparar la corrida</w:t>
      </w:r>
    </w:p>
    <w:p>
      <w:pPr>
        <w:pStyle w:val="Normal"/>
      </w:pPr>
      <w:r>
        <w:t xml:space="preserve">Configura INITIAL TIME, FINAL TIME, TIME STEP y la unidad temporal. Registra las condiciones iniciales y parámetros de cada escenario.</w:t>
      </w:r>
    </w:p>
    <w:p>
      <w:pPr>
        <w:pStyle w:val="Normal"/>
      </w:pPr>
      <w:r>
        <w:t xml:space="preserve">Un nivel necesita una ecuación INTEG; cada flujo, auxiliar y parámetro requiere una definición y unidades coherentes.</w:t>
      </w:r>
    </w:p>
    <w:p>
      <w:pPr>
        <w:pStyle w:val="Normal"/>
      </w:pPr>
      <w:r>
        <w:t xml:space="preserve">La integración por pasos depende de Δt. Una actualización mensual no se debe confundir con una solución continua de crecimiento exponencial.</w:t>
      </w:r>
    </w:p>
    <w:p>
      <w:pPr>
        <w:pStyle w:val="Fuente"/>
      </w:pPr>
      <w:r>
        <w:t xml:space="preserve">Guía de estudio · edición 20/10/2026 · pp. 14–16</w:t>
      </w:r>
    </w:p>
    <w:p>
      <w:pPr>
        <w:pStyle w:val="Heading3"/>
      </w:pPr>
      <w:r>
        <w:t xml:space="preserve">Validar y documentar</w:t>
      </w:r>
    </w:p>
    <w:p>
      <w:pPr>
        <w:pStyle w:val="Normal"/>
      </w:pPr>
      <w:r>
        <w:t xml:space="preserve">Revisa dimensiones, signos, valores iniciales, casos extremos y sensibilidad. Contrasta el patrón con la estructura y los datos disponibles.</w:t>
      </w:r>
    </w:p>
    <w:p>
      <w:pPr>
        <w:pStyle w:val="Normal"/>
      </w:pPr>
      <w:r>
        <w:t xml:space="preserve">Compara corridas cambiando una condición identificable; conserva una referencia para poder atribuir el cambio observado.</w:t>
      </w:r>
    </w:p>
    <w:p>
      <w:pPr>
        <w:pStyle w:val="Normal"/>
      </w:pPr>
      <w:r>
        <w:t xml:space="preserve">Para la práctica de Vensim, documenta procedimiento, ecuaciones, configuración, capturas, gráficas o tablas e interpretación.</w:t>
      </w:r>
    </w:p>
    <w:p>
      <w:pPr>
        <w:pStyle w:val="Fuente"/>
      </w:pPr>
      <w:r>
        <w:t xml:space="preserve">Guía de estudio · edición 20/10/2026 · pp. 14–16</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Procedimiento</w:t>
            </w:r>
          </w:p>
          <w:p>
            <w:pPr>
              <w:pStyle w:val="Recuadro"/>
            </w:pPr>
            <w:r>
              <w:t xml:space="preserve">Preparar una simulación que puedas defender</w:t>
            </w:r>
          </w:p>
          <w:p>
            <w:pPr>
              <w:pStyle w:val="Recuadro"/>
            </w:pPr>
            <w:r>
              <w:t xml:space="preserve">1. </w:t>
            </w:r>
            <w:r>
              <w:rPr>
                <w:b/>
                <w:bCs/>
              </w:rPr>
              <w:t xml:space="preserve">Formalizar.</w:t>
            </w:r>
            <w:r>
              <w:t xml:space="preserve"> Pasa del problema al diagrama de Forrester y escribe las ecuaciones con sus unidades. (Guía de estudio · edición 20/10/2026 · pp. 14–16)</w:t>
            </w:r>
          </w:p>
          <w:p>
            <w:pPr>
              <w:pStyle w:val="Recuadro"/>
            </w:pPr>
            <w:r>
              <w:t xml:space="preserve">2. </w:t>
            </w:r>
            <w:r>
              <w:rPr>
                <w:b/>
                <w:bCs/>
              </w:rPr>
              <w:t xml:space="preserve">Configurar.</w:t>
            </w:r>
            <w:r>
              <w:t xml:space="preserve"> Define horizonte, unidad de tiempo y paso de integración; anota los valores iniciales y parámetros. (Guía de estudio · edición 20/10/2026 · pp. 14–16)</w:t>
            </w:r>
          </w:p>
          <w:p>
            <w:pPr>
              <w:pStyle w:val="Recuadro"/>
            </w:pPr>
            <w:r>
              <w:t xml:space="preserve">3. </w:t>
            </w:r>
            <w:r>
              <w:rPr>
                <w:b/>
                <w:bCs/>
              </w:rPr>
              <w:t xml:space="preserve">Validar.</w:t>
            </w:r>
            <w:r>
              <w:t xml:space="preserve"> Comprueba a mano un paso, los casos límite y el sentido de las curvas. Reduce el paso si investigas un posible efecto numérico. (Guía de estudio · edición 20/10/2026 · pp. 14–16)</w:t>
            </w:r>
          </w:p>
          <w:p>
            <w:pPr>
              <w:pStyle w:val="Recuadro"/>
            </w:pPr>
            <w:r>
              <w:t xml:space="preserve">4. </w:t>
            </w:r>
            <w:r>
              <w:rPr>
                <w:b/>
                <w:bCs/>
              </w:rPr>
              <w:t xml:space="preserve">Comparar y explicar.</w:t>
            </w:r>
            <w:r>
              <w:t xml:space="preserve"> Guarda la corrida de referencia, cambia un supuesto y explica la diferencia. Prepara las evidencias para el informe. (Guía de estudio · edición 20/10/2026 · pp. 14–16)</w:t>
            </w:r>
          </w:p>
          <w:p>
            <w:pPr>
              <w:pStyle w:val="Recuadro"/>
            </w:pPr>
            <w:r>
              <w:t xml:space="preserve">Una gráfica responde al problema sólo cuando conoces los supuestos que la produjeron.</w:t>
            </w:r>
          </w:p>
        </w:tc>
      </w:tr>
    </w:tbl>
    <w:p>
      <w:pPr>
        <w:pStyle w:val="Heading3"/>
      </w:pPr>
      <w:bookmarkStart w:name="b_tabla_4_4_g3_g3_balance" w:id="4120"/>
      <w:r>
        <w:t xml:space="preserve">Nivel, flujo y ecuación</w:t>
      </w:r>
      <w:bookmarkEnd w:id="4120"/>
    </w:p>
    <w:tbl>
      <w:tblPr>
        <w:tblW w:type="dxa" w:w="9632"/>
        <w:tblBorders>
          <w:top w:val="single" w:color="C5D5DB" w:sz="4"/>
          <w:left w:val="single" w:color="C5D5DB" w:sz="4"/>
          <w:bottom w:val="single" w:color="C5D5DB" w:sz="4"/>
          <w:right w:val="single" w:color="C5D5DB" w:sz="4"/>
          <w:insideH w:val="single" w:color="E4E9EB" w:sz="3"/>
          <w:insideV w:val="single" w:color="E4E9EB" w:sz="3"/>
        </w:tblBorders>
        <w:tblLayout w:type="fixed"/>
      </w:tblPr>
      <w:tblGrid>
        <w:gridCol w:w="3212"/>
        <w:gridCol w:w="3210"/>
        <w:gridCol w:w="3210"/>
      </w:tblGrid>
      <w:tr>
        <w:trPr>
          <w:cantSplit/>
          <w:tblHeader/>
        </w:trPr>
        <w:tc>
          <w:tcPr>
            <w:tcW w:type="dxa" w:w="3212"/>
            <w:shd w:fill="DFEAF0" w:val="clear"/>
            <w:tcMar>
              <w:top w:type="dxa" w:w="80"/>
              <w:left w:type="dxa" w:w="100"/>
              <w:bottom w:type="dxa" w:w="80"/>
              <w:right w:type="dxa" w:w="100"/>
            </w:tcMar>
          </w:tcPr>
          <w:p>
            <w:pPr>
              <w:pStyle w:val="Tabla"/>
            </w:pPr>
            <w:r>
              <w:rPr>
                <w:b/>
                <w:bCs/>
              </w:rPr>
              <w:t xml:space="preserve">Elemento</w:t>
            </w:r>
          </w:p>
        </w:tc>
        <w:tc>
          <w:tcPr>
            <w:tcW w:type="dxa" w:w="3210"/>
            <w:shd w:fill="DFEAF0" w:val="clear"/>
            <w:tcMar>
              <w:top w:type="dxa" w:w="80"/>
              <w:left w:type="dxa" w:w="100"/>
              <w:bottom w:type="dxa" w:w="80"/>
              <w:right w:type="dxa" w:w="100"/>
            </w:tcMar>
          </w:tcPr>
          <w:p>
            <w:pPr>
              <w:pStyle w:val="Tabla"/>
            </w:pPr>
            <w:r>
              <w:rPr>
                <w:b/>
                <w:bCs/>
              </w:rPr>
              <w:t xml:space="preserve">Cómo reconocerlo</w:t>
            </w:r>
          </w:p>
        </w:tc>
        <w:tc>
          <w:tcPr>
            <w:tcW w:type="dxa" w:w="3210"/>
            <w:shd w:fill="DFEAF0" w:val="clear"/>
            <w:tcMar>
              <w:top w:type="dxa" w:w="80"/>
              <w:left w:type="dxa" w:w="100"/>
              <w:bottom w:type="dxa" w:w="80"/>
              <w:right w:type="dxa" w:w="100"/>
            </w:tcMar>
          </w:tcPr>
          <w:p>
            <w:pPr>
              <w:pStyle w:val="Tabla"/>
            </w:pPr>
            <w:r>
              <w:rPr>
                <w:b/>
                <w:bCs/>
              </w:rPr>
              <w:t xml:space="preserve">Ejemplo</w:t>
            </w:r>
          </w:p>
        </w:tc>
      </w:tr>
      <w:tr>
        <w:trPr>
          <w:cantSplit/>
          <w:tblHeader w:val="off"/>
        </w:trPr>
        <w:tc>
          <w:tcPr>
            <w:tcW w:type="dxa" w:w="3212"/>
            <w:tcMar>
              <w:top w:type="dxa" w:w="80"/>
              <w:left w:type="dxa" w:w="100"/>
              <w:bottom w:type="dxa" w:w="80"/>
              <w:right w:type="dxa" w:w="100"/>
            </w:tcMar>
          </w:tcPr>
          <w:p>
            <w:pPr>
              <w:pStyle w:val="Tabla"/>
            </w:pPr>
            <w:r>
              <w:t xml:space="preserve">Nivel</w:t>
            </w:r>
          </w:p>
        </w:tc>
        <w:tc>
          <w:tcPr>
            <w:tcW w:type="dxa" w:w="3210"/>
            <w:tcMar>
              <w:top w:type="dxa" w:w="80"/>
              <w:left w:type="dxa" w:w="100"/>
              <w:bottom w:type="dxa" w:w="80"/>
              <w:right w:type="dxa" w:w="100"/>
            </w:tcMar>
          </w:tcPr>
          <w:p>
            <w:pPr>
              <w:pStyle w:val="Tabla"/>
            </w:pPr>
            <w:r>
              <w:t xml:space="preserve">Cantidad que existe en un instante</w:t>
            </w:r>
          </w:p>
        </w:tc>
        <w:tc>
          <w:tcPr>
            <w:tcW w:type="dxa" w:w="3210"/>
            <w:tcMar>
              <w:top w:type="dxa" w:w="80"/>
              <w:left w:type="dxa" w:w="100"/>
              <w:bottom w:type="dxa" w:w="80"/>
              <w:right w:type="dxa" w:w="100"/>
            </w:tcMar>
          </w:tcPr>
          <w:p>
            <w:pPr>
              <w:pStyle w:val="Tabla"/>
            </w:pPr>
            <w:r>
              <w:t xml:space="preserve">Agua [litros]</w:t>
            </w:r>
          </w:p>
        </w:tc>
      </w:tr>
      <w:tr>
        <w:trPr>
          <w:cantSplit/>
          <w:tblHeader w:val="off"/>
        </w:trPr>
        <w:tc>
          <w:tcPr>
            <w:tcW w:type="dxa" w:w="3212"/>
            <w:tcMar>
              <w:top w:type="dxa" w:w="80"/>
              <w:left w:type="dxa" w:w="100"/>
              <w:bottom w:type="dxa" w:w="80"/>
              <w:right w:type="dxa" w:w="100"/>
            </w:tcMar>
          </w:tcPr>
          <w:p>
            <w:pPr>
              <w:pStyle w:val="Tabla"/>
            </w:pPr>
            <w:r>
              <w:t xml:space="preserve">Flujo</w:t>
            </w:r>
          </w:p>
        </w:tc>
        <w:tc>
          <w:tcPr>
            <w:tcW w:type="dxa" w:w="3210"/>
            <w:tcMar>
              <w:top w:type="dxa" w:w="80"/>
              <w:left w:type="dxa" w:w="100"/>
              <w:bottom w:type="dxa" w:w="80"/>
              <w:right w:type="dxa" w:w="100"/>
            </w:tcMar>
          </w:tcPr>
          <w:p>
            <w:pPr>
              <w:pStyle w:val="Tabla"/>
            </w:pPr>
            <w:r>
              <w:t xml:space="preserve">Cantidad por unidad de tiempo</w:t>
            </w:r>
          </w:p>
        </w:tc>
        <w:tc>
          <w:tcPr>
            <w:tcW w:type="dxa" w:w="3210"/>
            <w:tcMar>
              <w:top w:type="dxa" w:w="80"/>
              <w:left w:type="dxa" w:w="100"/>
              <w:bottom w:type="dxa" w:w="80"/>
              <w:right w:type="dxa" w:w="100"/>
            </w:tcMar>
          </w:tcPr>
          <w:p>
            <w:pPr>
              <w:pStyle w:val="Tabla"/>
            </w:pPr>
            <w:r>
              <w:t xml:space="preserve">Entrada [litros/minuto]</w:t>
            </w:r>
          </w:p>
        </w:tc>
      </w:tr>
      <w:tr>
        <w:trPr>
          <w:cantSplit/>
          <w:tblHeader w:val="off"/>
        </w:trPr>
        <w:tc>
          <w:tcPr>
            <w:tcW w:type="dxa" w:w="3212"/>
            <w:tcMar>
              <w:top w:type="dxa" w:w="80"/>
              <w:left w:type="dxa" w:w="100"/>
              <w:bottom w:type="dxa" w:w="80"/>
              <w:right w:type="dxa" w:w="100"/>
            </w:tcMar>
          </w:tcPr>
          <w:p>
            <w:pPr>
              <w:pStyle w:val="Tabla"/>
            </w:pPr>
            <w:r>
              <w:t xml:space="preserve">Auxiliar</w:t>
            </w:r>
          </w:p>
        </w:tc>
        <w:tc>
          <w:tcPr>
            <w:tcW w:type="dxa" w:w="3210"/>
            <w:tcMar>
              <w:top w:type="dxa" w:w="80"/>
              <w:left w:type="dxa" w:w="100"/>
              <w:bottom w:type="dxa" w:w="80"/>
              <w:right w:type="dxa" w:w="100"/>
            </w:tcMar>
          </w:tcPr>
          <w:p>
            <w:pPr>
              <w:pStyle w:val="Tabla"/>
            </w:pPr>
            <w:r>
              <w:t xml:space="preserve">Cálculo que usa el modelo</w:t>
            </w:r>
          </w:p>
        </w:tc>
        <w:tc>
          <w:tcPr>
            <w:tcW w:type="dxa" w:w="3210"/>
            <w:tcMar>
              <w:top w:type="dxa" w:w="80"/>
              <w:left w:type="dxa" w:w="100"/>
              <w:bottom w:type="dxa" w:w="80"/>
              <w:right w:type="dxa" w:w="100"/>
            </w:tcMar>
          </w:tcPr>
          <w:p>
            <w:pPr>
              <w:pStyle w:val="Tabla"/>
            </w:pPr>
            <w:r>
              <w:t xml:space="preserve">Brecha = objetivo − nivel</w:t>
            </w:r>
          </w:p>
        </w:tc>
      </w:tr>
      <w:tr>
        <w:trPr>
          <w:cantSplit/>
          <w:tblHeader w:val="off"/>
        </w:trPr>
        <w:tc>
          <w:tcPr>
            <w:tcW w:type="dxa" w:w="3212"/>
            <w:tcMar>
              <w:top w:type="dxa" w:w="80"/>
              <w:left w:type="dxa" w:w="100"/>
              <w:bottom w:type="dxa" w:w="80"/>
              <w:right w:type="dxa" w:w="100"/>
            </w:tcMar>
          </w:tcPr>
          <w:p>
            <w:pPr>
              <w:pStyle w:val="Tabla"/>
            </w:pPr>
            <w:r>
              <w:t xml:space="preserve">Parámetro</w:t>
            </w:r>
          </w:p>
        </w:tc>
        <w:tc>
          <w:tcPr>
            <w:tcW w:type="dxa" w:w="3210"/>
            <w:tcMar>
              <w:top w:type="dxa" w:w="80"/>
              <w:left w:type="dxa" w:w="100"/>
              <w:bottom w:type="dxa" w:w="80"/>
              <w:right w:type="dxa" w:w="100"/>
            </w:tcMar>
          </w:tcPr>
          <w:p>
            <w:pPr>
              <w:pStyle w:val="Tabla"/>
            </w:pPr>
            <w:r>
              <w:t xml:space="preserve">Valor fijado para la corrida</w:t>
            </w:r>
          </w:p>
        </w:tc>
        <w:tc>
          <w:tcPr>
            <w:tcW w:type="dxa" w:w="3210"/>
            <w:tcMar>
              <w:top w:type="dxa" w:w="80"/>
              <w:left w:type="dxa" w:w="100"/>
              <w:bottom w:type="dxa" w:w="80"/>
              <w:right w:type="dxa" w:w="100"/>
            </w:tcMar>
          </w:tcPr>
          <w:p>
            <w:pPr>
              <w:pStyle w:val="Tabla"/>
            </w:pPr>
            <w:r>
              <w:t xml:space="preserve">Tasa [1/mes]</w:t>
            </w:r>
          </w:p>
        </w:tc>
      </w:tr>
      <w:tr>
        <w:trPr>
          <w:cantSplit/>
          <w:tblHeader w:val="off"/>
        </w:trPr>
        <w:tc>
          <w:tcPr>
            <w:tcW w:type="dxa" w:w="3212"/>
            <w:tcMar>
              <w:top w:type="dxa" w:w="80"/>
              <w:left w:type="dxa" w:w="100"/>
              <w:bottom w:type="dxa" w:w="80"/>
              <w:right w:type="dxa" w:w="100"/>
            </w:tcMar>
          </w:tcPr>
          <w:p>
            <w:pPr>
              <w:pStyle w:val="Tabla"/>
            </w:pPr>
            <w:r>
              <w:t xml:space="preserve">Balance</w:t>
            </w:r>
          </w:p>
        </w:tc>
        <w:tc>
          <w:tcPr>
            <w:tcW w:type="dxa" w:w="3210"/>
            <w:tcMar>
              <w:top w:type="dxa" w:w="80"/>
              <w:left w:type="dxa" w:w="100"/>
              <w:bottom w:type="dxa" w:w="80"/>
              <w:right w:type="dxa" w:w="100"/>
            </w:tcMar>
          </w:tcPr>
          <w:p>
            <w:pPr>
              <w:pStyle w:val="Tabla"/>
            </w:pPr>
            <w:r>
              <w:t xml:space="preserve">La diferencia entre entradas y salidas</w:t>
            </w:r>
          </w:p>
        </w:tc>
        <w:tc>
          <w:tcPr>
            <w:tcW w:type="dxa" w:w="3210"/>
            <w:tcMar>
              <w:top w:type="dxa" w:w="80"/>
              <w:left w:type="dxa" w:w="100"/>
              <w:bottom w:type="dxa" w:w="80"/>
              <w:right w:type="dxa" w:w="100"/>
            </w:tcMar>
          </w:tcPr>
          <w:p>
            <w:pPr>
              <w:pStyle w:val="Tabla"/>
            </w:pPr>
            <w:r>
              <w:t xml:space="preserve">dN/dt = E − S</w:t>
            </w:r>
          </w:p>
        </w:tc>
      </w:tr>
      <w:tr>
        <w:trPr>
          <w:cantSplit/>
          <w:tblHeader w:val="off"/>
        </w:trPr>
        <w:tc>
          <w:tcPr>
            <w:tcW w:type="dxa" w:w="3212"/>
            <w:tcMar>
              <w:top w:type="dxa" w:w="80"/>
              <w:left w:type="dxa" w:w="100"/>
              <w:bottom w:type="dxa" w:w="80"/>
              <w:right w:type="dxa" w:w="100"/>
            </w:tcMar>
          </w:tcPr>
          <w:p>
            <w:pPr>
              <w:pStyle w:val="Tabla"/>
            </w:pPr>
            <w:r>
              <w:t xml:space="preserve">Euler</w:t>
            </w:r>
          </w:p>
        </w:tc>
        <w:tc>
          <w:tcPr>
            <w:tcW w:type="dxa" w:w="3210"/>
            <w:tcMar>
              <w:top w:type="dxa" w:w="80"/>
              <w:left w:type="dxa" w:w="100"/>
              <w:bottom w:type="dxa" w:w="80"/>
              <w:right w:type="dxa" w:w="100"/>
            </w:tcMar>
          </w:tcPr>
          <w:p>
            <w:pPr>
              <w:pStyle w:val="Tabla"/>
            </w:pPr>
            <w:r>
              <w:t xml:space="preserve">El flujo neto se multiplica por el paso</w:t>
            </w:r>
          </w:p>
        </w:tc>
        <w:tc>
          <w:tcPr>
            <w:tcW w:type="dxa" w:w="3210"/>
            <w:tcMar>
              <w:top w:type="dxa" w:w="80"/>
              <w:left w:type="dxa" w:w="100"/>
              <w:bottom w:type="dxa" w:w="80"/>
              <w:right w:type="dxa" w:w="100"/>
            </w:tcMar>
          </w:tcPr>
          <w:p>
            <w:pPr>
              <w:pStyle w:val="Tabla"/>
            </w:pPr>
            <w:r>
              <w:t xml:space="preserve">N(t + Δt) = N(t) + (E(t) − S(t)) · Δt</w:t>
            </w:r>
          </w:p>
        </w:tc>
      </w:tr>
      <w:tr>
        <w:trPr>
          <w:cantSplit/>
          <w:tblHeader w:val="off"/>
        </w:trPr>
        <w:tc>
          <w:tcPr>
            <w:tcW w:type="dxa" w:w="3212"/>
            <w:tcMar>
              <w:top w:type="dxa" w:w="80"/>
              <w:left w:type="dxa" w:w="100"/>
              <w:bottom w:type="dxa" w:w="80"/>
              <w:right w:type="dxa" w:w="100"/>
            </w:tcMar>
          </w:tcPr>
          <w:p>
            <w:pPr>
              <w:pStyle w:val="Tabla"/>
            </w:pPr>
            <w:r>
              <w:t xml:space="preserve">Vensim</w:t>
            </w:r>
          </w:p>
        </w:tc>
        <w:tc>
          <w:tcPr>
            <w:tcW w:type="dxa" w:w="3210"/>
            <w:tcMar>
              <w:top w:type="dxa" w:w="80"/>
              <w:left w:type="dxa" w:w="100"/>
              <w:bottom w:type="dxa" w:w="80"/>
              <w:right w:type="dxa" w:w="100"/>
            </w:tcMar>
          </w:tcPr>
          <w:p>
            <w:pPr>
              <w:pStyle w:val="Tabla"/>
            </w:pPr>
            <w:r>
              <w:t xml:space="preserve">Integra el flujo neto desde el valor inicial</w:t>
            </w:r>
          </w:p>
        </w:tc>
        <w:tc>
          <w:tcPr>
            <w:tcW w:type="dxa" w:w="3210"/>
            <w:tcMar>
              <w:top w:type="dxa" w:w="80"/>
              <w:left w:type="dxa" w:w="100"/>
              <w:bottom w:type="dxa" w:w="80"/>
              <w:right w:type="dxa" w:w="100"/>
            </w:tcMar>
          </w:tcPr>
          <w:p>
            <w:pPr>
              <w:pStyle w:val="Tabla"/>
            </w:pPr>
            <w:r>
              <w:t xml:space="preserve">N = INTEG(E − S, N inicial)</w:t>
            </w:r>
          </w:p>
        </w:tc>
      </w:tr>
    </w:tbl>
    <w:p>
      <w:pPr>
        <w:pStyle w:val="Fuente"/>
      </w:pPr>
      <w:r>
        <w:t xml:space="preserve">Síntesis editorial de la guía, pp. 11–16. Una flecha de información no es una tubería.</w:t>
      </w:r>
    </w:p>
    <w:p>
      <w:pPr>
        <w:pStyle w:val="Heading3"/>
      </w:pPr>
      <w:r>
        <w:t xml:space="preserve">Lo que dicen las presentaciones</w:t>
      </w:r>
    </w:p>
    <w:p>
      <w:pPr>
        <w:pStyle w:val="Heading3"/>
      </w:pPr>
      <w:bookmarkStart w:name="b_pagina_4_4_C_7_p1" w:id="4121"/>
      <w:r>
        <w:t xml:space="preserve">C-7 · página 1 · Simulación dinámica de sistemas</w:t>
      </w:r>
      <w:bookmarkEnd w:id="4121"/>
    </w:p>
    <w:p>
      <w:pPr>
        <w:pStyle w:val="Normal"/>
      </w:pPr>
      <w:r>
        <w:t xml:space="preserve">Portada del pensamiento dinámico y de la simulación de la Unidad 4.</w:t>
      </w:r>
    </w:p>
    <w:p>
      <w:pPr>
        <w:pStyle w:val="Heading3"/>
      </w:pPr>
      <w:bookmarkStart w:name="b_pagina_4_4_C_7_p15" w:id="4122"/>
      <w:r>
        <w:t xml:space="preserve">C-7 · página 15 · Parámetros para escenarios</w:t>
      </w:r>
      <w:bookmarkEnd w:id="4122"/>
    </w:p>
    <w:p>
      <w:pPr>
        <w:pStyle w:val="Normal"/>
      </w:pPr>
      <w:r>
        <w:t xml:space="preserve">IPC y TNC requieren valores concretos: especialistas o ajuste con datos históricos.</w:t>
      </w:r>
    </w:p>
    <w:p>
      <w:pPr>
        <w:pStyle w:val="Fuente"/>
      </w:pPr>
      <w:r>
        <w:t xml:space="preserve">Véase </w:t>
      </w:r>
      <w:hyperlink w:history="1" w:anchor="b_figura_original_pagina_C_7_15">
        <w:r>
          <w:rPr>
            <w:color w:val="156B70"/>
            <w:u w:val="single"/>
          </w:rPr>
          <w:t xml:space="preserve">imagen de C-7, página 15</w:t>
        </w:r>
      </w:hyperlink>
      <w:r>
        <w:t xml:space="preserve">, pág. </w:t>
      </w:r>
      <w:r>
        <w:fldChar w:fldCharType="begin"/>
        <w:instrText xml:space="preserve">PAGEREF b_figura_original_pagina_C_7_15 \h</w:instrText>
        <w:fldChar w:fldCharType="separate"/>
        <w:t xml:space="preserve">745</w:t>
        <w:fldChar w:fldCharType="end"/>
      </w:r>
      <w:r>
        <w:t xml:space="preserve">.</w:t>
      </w:r>
    </w:p>
    <w:p>
      <w:bookmarkStart w:name="b_punto_c7_p015_02" w:id="4123"/>
      <w:r>
        <w:t xml:space="preserve">Los parámetros necesitan valores numéricos para representar una situación concreta.</w:t>
      </w:r>
      <w:bookmarkEnd w:id="4123"/>
    </w:p>
    <w:p>
      <w:bookmarkStart w:name="b_punto_c7_p015_03" w:id="4124"/>
      <w:r>
        <w:t xml:space="preserve">Los parámetros pueden estimarse según su significado y evidencia cuantitativa pertinente, incluidos especialistas; IPC representa infecciones por contagio y TNC la tasa normal de contagio.</w:t>
      </w:r>
      <w:bookmarkEnd w:id="4124"/>
    </w:p>
    <w:p>
      <w:bookmarkStart w:name="b_punto_c7_p015_04" w:id="4125"/>
      <w:r>
        <w:t xml:space="preserve">Con registros históricos, la calibración busca parámetros que minimicen una medida de discrepancia entre evolución observada y simulada.</w:t>
      </w:r>
      <w:bookmarkEnd w:id="4125"/>
    </w:p>
    <w:p>
      <w:pPr>
        <w:pStyle w:val="Fuente"/>
      </w:pPr>
      <w:r>
        <w:t xml:space="preserve">Véase </w:t>
      </w:r>
      <w:hyperlink w:history="1" w:anchor="b_4_3">
        <w:r>
          <w:rPr>
            <w:color w:val="156B70"/>
            <w:u w:val="single"/>
          </w:rPr>
          <w:t xml:space="preserve">capítulo 4.3 · De ciclos causales a flujos</w:t>
        </w:r>
      </w:hyperlink>
      <w:r>
        <w:t xml:space="preserve">, pág. </w:t>
      </w:r>
      <w:r>
        <w:fldChar w:fldCharType="begin"/>
        <w:instrText xml:space="preserve">PAGEREF b_4_3 \h</w:instrText>
        <w:fldChar w:fldCharType="separate"/>
        <w:t xml:space="preserve">737</w:t>
        <w:fldChar w:fldCharType="end"/>
      </w:r>
      <w:r>
        <w:t xml:space="preserve">.</w:t>
      </w:r>
    </w:p>
    <w:p>
      <w:pPr>
        <w:pStyle w:val="Heading3"/>
      </w:pPr>
      <w:bookmarkStart w:name="b_pagina_4_4_C_7_p16" w:id="4126"/>
      <w:r>
        <w:t xml:space="preserve">C-7 · página 16 · DYNAMO y curva de la epidemia</w:t>
      </w:r>
      <w:bookmarkEnd w:id="4126"/>
    </w:p>
    <w:p>
      <w:pPr>
        <w:pStyle w:val="Normal"/>
      </w:pPr>
      <w:r>
        <w:t xml:space="preserve">El listado y su gráfica conservan las constantes y dos erratas de rotulación.</w:t>
      </w:r>
    </w:p>
    <w:p>
      <w:pPr>
        <w:keepNext/>
        <w:spacing w:after="40" w:before="150"/>
        <w:jc w:val="center"/>
      </w:pPr>
      <w:bookmarkStart w:name="b_figura_original_pagina_C_7_16" w:id="4127"/>
      <w:bookmarkEnd w:id="4127"/>
      <w:r>
        <w:drawing>
          <wp:inline distT="0" distB="0" distL="0" distR="0">
            <wp:extent cx="5381625" cy="3028950"/>
            <wp:effectExtent t="0" r="0" b="0" l="0"/>
            <wp:docPr id="133" name="pagina-C-7-16" descr="Presentación C-7, pág. 16. Precisión: El listado escribe tcn donde la tabla usa TNC; la leyenda de la gráfica dice PS/PA donde las variables son PI/PV. Son erratas de rotulación del mismo modelo." title="DYNAMO y curva de la epidem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10" cstate="none"/>
                    <a:srcRect/>
                    <a:stretch>
                      <a:fillRect/>
                    </a:stretch>
                  </pic:blipFill>
                  <pic:spPr bwMode="auto">
                    <a:xfrm>
                      <a:off x="0" y="0"/>
                      <a:ext cx="5381625" cy="3028950"/>
                    </a:xfrm>
                    <a:prstGeom prst="rect">
                      <a:avLst/>
                    </a:prstGeom>
                  </pic:spPr>
                </pic:pic>
              </a:graphicData>
            </a:graphic>
          </wp:inline>
        </w:drawing>
      </w:r>
    </w:p>
    <w:p>
      <w:pPr>
        <w:pStyle w:val="PieFigura"/>
        <w:keepNext/>
      </w:pPr>
      <w:bookmarkStart w:name="b_fig_4_4_1" w:id="4128"/>
      <w:r>
        <w:t xml:space="preserve">Figura 4.4.</w:t>
      </w:r>
      <w:fldSimple w:instr="SEQ Figura \r 1 \* ARABIC">
        <w:r>
          <w:t xml:space="preserve">1</w:t>
        </w:r>
      </w:fldSimple>
      <w:r>
        <w:t xml:space="preserve"> · DYNAMO y curva de la epidemia</w:t>
      </w:r>
      <w:bookmarkEnd w:id="4128"/>
    </w:p>
    <w:p>
      <w:pPr>
        <w:pStyle w:val="Fuente"/>
      </w:pPr>
      <w:r>
        <w:t xml:space="preserve">Presentación C-7, pág. 16. Precisión: El listado escribe tcn donde la tabla usa TNC; la leyenda de la gráfica dice PS/PA donde las variables son PI/PV. Son erratas de rotulación del mismo modelo.</w:t>
      </w:r>
    </w:p>
    <w:p>
      <w:bookmarkStart w:name="b_punto_c7_p016_01" w:id="4129"/>
      <w:r>
        <w:t xml:space="preserve">l, n, r, a, c distinguen nivel, inicialización, flujo, auxiliar y constante en DYNAMO.</w:t>
      </w:r>
      <w:bookmarkEnd w:id="4129"/>
    </w:p>
    <w:p>
      <w:pPr>
        <w:pStyle w:val="Fuente"/>
      </w:pPr>
      <w:r>
        <w:t xml:space="preserve">Véase </w:t>
      </w:r>
      <w:hyperlink w:history="1" w:anchor="b_4_5">
        <w:r>
          <w:rPr>
            <w:color w:val="156B70"/>
            <w:u w:val="single"/>
          </w:rPr>
          <w:t xml:space="preserve">capítulo 4.5 · Ejemplos en VENSIM</w:t>
        </w:r>
      </w:hyperlink>
      <w:r>
        <w:t xml:space="preserve">, pág. </w:t>
      </w:r>
      <w:r>
        <w:fldChar w:fldCharType="begin"/>
        <w:instrText xml:space="preserve">PAGEREF b_4_5 \h</w:instrText>
        <w:fldChar w:fldCharType="separate"/>
        <w:t xml:space="preserve">830</w:t>
        <w:fldChar w:fldCharType="end"/>
      </w:r>
      <w:r>
        <w:t xml:space="preserve">.</w:t>
      </w:r>
    </w:p>
    <w:p>
      <w:pPr>
        <w:pStyle w:val="Fuente"/>
      </w:pPr>
      <w:r>
        <w:t xml:space="preserve">Véase </w:t>
      </w:r>
      <w:hyperlink w:history="1" w:anchor="b_4_3">
        <w:r>
          <w:rPr>
            <w:color w:val="156B70"/>
            <w:u w:val="single"/>
          </w:rPr>
          <w:t xml:space="preserve">capítulo 4.3 · De ciclos causales a flujos</w:t>
        </w:r>
      </w:hyperlink>
      <w:r>
        <w:t xml:space="preserve">, pág. </w:t>
      </w:r>
      <w:r>
        <w:fldChar w:fldCharType="begin"/>
        <w:instrText xml:space="preserve">PAGEREF b_4_3 \h</w:instrText>
        <w:fldChar w:fldCharType="separate"/>
        <w:t xml:space="preserve">737</w:t>
        <w:fldChar w:fldCharType="end"/>
      </w:r>
      <w:r>
        <w:t xml:space="preserve">.</w:t>
      </w:r>
    </w:p>
    <w:p>
      <w:pPr>
        <w:pStyle w:val="Heading3"/>
      </w:pPr>
      <w:bookmarkStart w:name="b_pagina_4_4_C_7_p17" w:id="4130"/>
      <w:r>
        <w:t xml:space="preserve">C-7 · página 17 · Ciclo de modelado y comprensión</w:t>
      </w:r>
      <w:bookmarkEnd w:id="4130"/>
    </w:p>
    <w:p>
      <w:pPr>
        <w:pStyle w:val="Normal"/>
      </w:pPr>
      <w:r>
        <w:t xml:space="preserve">Problema, abstracción, simulación, conclusiones y políticas se contrastan con la realidad.</w:t>
      </w:r>
    </w:p>
    <w:p>
      <w:pPr>
        <w:pStyle w:val="Fuente"/>
      </w:pPr>
      <w:r>
        <w:t xml:space="preserve">Proyección o explicación: Clase 19 · 01:41:59 · captura c19-13.</w:t>
      </w:r>
    </w:p>
    <w:p>
      <w:bookmarkStart w:name="b_punto_c7_p017_01" w:id="4131"/>
      <w:r>
        <w:t xml:space="preserve">Comprender el sistema conecta definir problema, conceptualizar, formular modelo, simular y analizar políticas.</w:t>
      </w:r>
      <w:bookmarkEnd w:id="4131"/>
    </w:p>
    <w:p>
      <w:bookmarkStart w:name="b_punto_c7_p017_02" w:id="4132"/>
      <w:r>
        <w:t xml:space="preserve">Las flechas de regreso permiten corregir fases anteriores.</w:t>
      </w:r>
      <w:bookmarkEnd w:id="4132"/>
    </w:p>
    <w:p>
      <w:bookmarkStart w:name="b_punto_c7_p017_03" w:id="4133"/>
      <w:r>
        <w:t xml:space="preserve">Realidad→abstracción→modelo→predicciones→contraste vuelve a modificar la comprensión.</w:t>
      </w:r>
      <w:bookmarkEnd w:id="4133"/>
    </w:p>
    <w:p>
      <w:pPr>
        <w:pStyle w:val="Heading3"/>
      </w:pPr>
      <w:bookmarkStart w:name="b_pagina_4_4_C_7_p19" w:id="4134"/>
      <w:r>
        <w:t xml:space="preserve">C-7 · página 19 · DYNAMO y curva de la epidemia</w:t>
      </w:r>
      <w:bookmarkEnd w:id="4134"/>
    </w:p>
    <w:p>
      <w:pPr>
        <w:pStyle w:val="Normal"/>
      </w:pPr>
      <w:r>
        <w:t xml:space="preserve">El listado y su gráfica conservan las constantes y dos erratas de rotulación.</w:t>
      </w:r>
    </w:p>
    <w:p>
      <w:pPr>
        <w:keepNext/>
        <w:spacing w:after="40" w:before="150"/>
        <w:jc w:val="center"/>
      </w:pPr>
      <w:bookmarkStart w:name="b_figura_original_pagina_C_7_19" w:id="4135"/>
      <w:bookmarkEnd w:id="4135"/>
      <w:r>
        <w:drawing>
          <wp:inline distT="0" distB="0" distL="0" distR="0">
            <wp:extent cx="5381625" cy="3028950"/>
            <wp:effectExtent t="0" r="0" b="0" l="0"/>
            <wp:docPr id="134" name="pagina-C-7-19" descr="Presentación C-7, pág. 19. Precisión: Repite las erratas de la lámina 16: tcn/TNC y leyenda PS/PA por PI/PV." title="DYNAMO y curva de la epidem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10" cstate="none"/>
                    <a:srcRect/>
                    <a:stretch>
                      <a:fillRect/>
                    </a:stretch>
                  </pic:blipFill>
                  <pic:spPr bwMode="auto">
                    <a:xfrm>
                      <a:off x="0" y="0"/>
                      <a:ext cx="5381625" cy="3028950"/>
                    </a:xfrm>
                    <a:prstGeom prst="rect">
                      <a:avLst/>
                    </a:prstGeom>
                  </pic:spPr>
                </pic:pic>
              </a:graphicData>
            </a:graphic>
          </wp:inline>
        </w:drawing>
      </w:r>
    </w:p>
    <w:p>
      <w:pPr>
        <w:pStyle w:val="PieFigura"/>
        <w:keepNext/>
      </w:pPr>
      <w:bookmarkStart w:name="b_fig_4_4_2" w:id="4136"/>
      <w:r>
        <w:t xml:space="preserve">Figura 4.4.</w:t>
      </w:r>
      <w:fldSimple w:instr="SEQ Figura \n \* ARABIC">
        <w:r>
          <w:t xml:space="preserve">2</w:t>
        </w:r>
      </w:fldSimple>
      <w:r>
        <w:t xml:space="preserve"> · DYNAMO y curva de la epidemia</w:t>
      </w:r>
      <w:bookmarkEnd w:id="4136"/>
    </w:p>
    <w:p>
      <w:pPr>
        <w:pStyle w:val="Fuente"/>
      </w:pPr>
      <w:r>
        <w:t xml:space="preserve">Presentación C-7, pág. 19. Precisión: Repite las erratas de la lámina 16: tcn/TNC y leyenda PS/PA por PI/PV.</w:t>
      </w:r>
    </w:p>
    <w:p>
      <w:bookmarkStart w:name="b_punto_c7_p019_01" w:id="4137"/>
      <w:r>
        <w:t xml:space="preserve">l, n, r, a, c distinguen nivel, inicialización, flujo, auxiliar y constante en DYNAMO.</w:t>
      </w:r>
      <w:bookmarkEnd w:id="4137"/>
    </w:p>
    <w:p>
      <w:pPr>
        <w:pStyle w:val="Fuente"/>
      </w:pPr>
      <w:r>
        <w:t xml:space="preserve">Véase </w:t>
      </w:r>
      <w:hyperlink w:history="1" w:anchor="b_4_5">
        <w:r>
          <w:rPr>
            <w:color w:val="156B70"/>
            <w:u w:val="single"/>
          </w:rPr>
          <w:t xml:space="preserve">capítulo 4.5 · Ejemplos en VENSIM</w:t>
        </w:r>
      </w:hyperlink>
      <w:r>
        <w:t xml:space="preserve">, pág. </w:t>
      </w:r>
      <w:r>
        <w:fldChar w:fldCharType="begin"/>
        <w:instrText xml:space="preserve">PAGEREF b_4_5 \h</w:instrText>
        <w:fldChar w:fldCharType="separate"/>
        <w:t xml:space="preserve">830</w:t>
        <w:fldChar w:fldCharType="end"/>
      </w:r>
      <w:r>
        <w:t xml:space="preserve">.</w:t>
      </w:r>
    </w:p>
    <w:p>
      <w:pPr>
        <w:pStyle w:val="Fuente"/>
      </w:pPr>
      <w:r>
        <w:t xml:space="preserve">Véase </w:t>
      </w:r>
      <w:hyperlink w:history="1" w:anchor="b_4_3">
        <w:r>
          <w:rPr>
            <w:color w:val="156B70"/>
            <w:u w:val="single"/>
          </w:rPr>
          <w:t xml:space="preserve">capítulo 4.3 · De ciclos causales a flujos</w:t>
        </w:r>
      </w:hyperlink>
      <w:r>
        <w:t xml:space="preserve">, pág. </w:t>
      </w:r>
      <w:r>
        <w:fldChar w:fldCharType="begin"/>
        <w:instrText xml:space="preserve">PAGEREF b_4_3 \h</w:instrText>
        <w:fldChar w:fldCharType="separate"/>
        <w:t xml:space="preserve">737</w:t>
        <w:fldChar w:fldCharType="end"/>
      </w:r>
      <w:r>
        <w:t xml:space="preserve">.</w:t>
      </w:r>
    </w:p>
    <w:p>
      <w:pPr>
        <w:pStyle w:val="Heading3"/>
      </w:pPr>
      <w:bookmarkStart w:name="b_pagina_4_4_C_7_p22" w:id="4138"/>
      <w:r>
        <w:t xml:space="preserve">C-7 · página 22 · Simular escenarios en Vensim</w:t>
      </w:r>
      <w:bookmarkEnd w:id="4138"/>
    </w:p>
    <w:p>
      <w:pPr>
        <w:pStyle w:val="Normal"/>
      </w:pPr>
      <w:r>
        <w:t xml:space="preserve">Una población cambia por nacimientos y defunciones regulados por parámetros.</w:t>
      </w:r>
    </w:p>
    <w:p>
      <w:bookmarkStart w:name="b_punto_c7_p022_01" w:id="4139"/>
      <w:r>
        <w:t xml:space="preserve">Población acumula nacimientos y resta defunciones.</w:t>
      </w:r>
      <w:bookmarkEnd w:id="4139"/>
    </w:p>
    <w:p>
      <w:bookmarkStart w:name="b_punto_c7_p022_02" w:id="4140"/>
      <w:r>
        <w:t xml:space="preserve">La población influye sobre ambos flujos; natalidad y esperanza de vida determinan sus ritmos.</w:t>
      </w:r>
      <w:bookmarkEnd w:id="4140"/>
    </w:p>
    <w:p>
      <w:bookmarkStart w:name="b_punto_c7_p022_03" w:id="4141"/>
      <w:r>
        <w:t xml:space="preserve">Comparar valores de los parámetros permite explorar escenarios hipotéticos.</w:t>
      </w:r>
      <w:bookmarkEnd w:id="4141"/>
    </w:p>
    <w:p>
      <w:pPr>
        <w:pStyle w:val="Heading3"/>
      </w:pPr>
      <w:bookmarkStart w:name="b_pagina_4_4_C_7_p23" w:id="4142"/>
      <w:r>
        <w:t xml:space="preserve">C-7 · página 23 · Componentes y escenario de población</w:t>
      </w:r>
      <w:bookmarkEnd w:id="4142"/>
    </w:p>
    <w:p>
      <w:pPr>
        <w:pStyle w:val="Normal"/>
      </w:pPr>
      <w:r>
        <w:t xml:space="preserve">Fuentes, flujos, estado, auxiliares, información, parámetros y variable exógena.</w:t>
      </w:r>
    </w:p>
    <w:p>
      <w:pPr>
        <w:pStyle w:val="Fuente"/>
      </w:pPr>
      <w:r>
        <w:t xml:space="preserve">Proyección o explicación: Clase 21 · 00:20:41 · captura c21-01.</w:t>
      </w:r>
    </w:p>
    <w:p>
      <w:pPr>
        <w:keepNext/>
        <w:spacing w:after="40" w:before="150"/>
        <w:jc w:val="center"/>
      </w:pPr>
      <w:bookmarkStart w:name="b_figura_original_pagina_C_7_23" w:id="4143"/>
      <w:bookmarkEnd w:id="4143"/>
      <w:r>
        <w:drawing>
          <wp:inline distT="0" distB="0" distL="0" distR="0">
            <wp:extent cx="5381625" cy="3028950"/>
            <wp:effectExtent t="0" r="0" b="0" l="0"/>
            <wp:docPr id="135" name="pagina-C-7-23" descr="Presentación C-7, pág. 23. Precisión: Nacimientos y muertes son flujos, aunque dos llamadas los rotulen auxiliares. La fórmula impresa de población expresa una tasa de cambio y omite la acumulación: Población = INTEG((Nacimientos − Muertes) × Coef. Carga, 60). Coef. Carga es auxiliar y K es exógena." title="Componentes y escenario de població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11" cstate="none"/>
                    <a:srcRect/>
                    <a:stretch>
                      <a:fillRect/>
                    </a:stretch>
                  </pic:blipFill>
                  <pic:spPr bwMode="auto">
                    <a:xfrm>
                      <a:off x="0" y="0"/>
                      <a:ext cx="5381625" cy="3028950"/>
                    </a:xfrm>
                    <a:prstGeom prst="rect">
                      <a:avLst/>
                    </a:prstGeom>
                  </pic:spPr>
                </pic:pic>
              </a:graphicData>
            </a:graphic>
          </wp:inline>
        </w:drawing>
      </w:r>
    </w:p>
    <w:p>
      <w:pPr>
        <w:pStyle w:val="PieFigura"/>
        <w:keepNext/>
      </w:pPr>
      <w:bookmarkStart w:name="b_fig_4_4_3" w:id="4144"/>
      <w:r>
        <w:t xml:space="preserve">Figura 4.4.</w:t>
      </w:r>
      <w:fldSimple w:instr="SEQ Figura \n \* ARABIC">
        <w:r>
          <w:t xml:space="preserve">3</w:t>
        </w:r>
      </w:fldSimple>
      <w:r>
        <w:t xml:space="preserve"> · Componentes y escenario de población</w:t>
      </w:r>
      <w:bookmarkEnd w:id="4144"/>
    </w:p>
    <w:p>
      <w:pPr>
        <w:pStyle w:val="Fuente"/>
      </w:pPr>
      <w:r>
        <w:t xml:space="preserve">Presentación C-7, pág. 23. Precisión: Nacimientos y muertes son flujos, aunque dos llamadas los rotulen auxiliares. La fórmula impresa de población expresa una tasa de cambio y omite la acumulación: Población = INTEG((Nacimientos − Muertes) × Coef. Carga, 60). Coef. Carga es auxiliar y K es exógena.</w:t>
      </w:r>
    </w:p>
    <w:p>
      <w:bookmarkStart w:name="b_punto_c7_p023_01" w:id="4145"/>
      <w:r>
        <w:t xml:space="preserve">La figura distingue fuente, entrada, estado, salida, sumidero, auxiliares, canales de información, parámetros y variable exógena.</w:t>
      </w:r>
      <w:bookmarkEnd w:id="4145"/>
    </w:p>
    <w:p>
      <w:bookmarkStart w:name="b_punto_c7_p023_02" w:id="4146"/>
      <w:r>
        <w:t xml:space="preserve">Nacimientos y Muertes son flujos, aunque parte del recuadro los señale como auxiliares.</w:t>
      </w:r>
      <w:bookmarkEnd w:id="4146"/>
    </w:p>
    <w:p>
      <w:bookmarkStart w:name="b_punto_c7_p023_03" w:id="4147"/>
      <w:r>
        <w:t xml:space="preserve">Nacimientos y Muertes son proporcionales a población; Coef.Carga=(K−Población)/K.</w:t>
      </w:r>
      <w:bookmarkEnd w:id="4147"/>
    </w:p>
    <w:p>
      <w:bookmarkStart w:name="b_punto_c7_p023_04" w:id="4148"/>
      <w:r>
        <w:t xml:space="preserve">La expresión impresa como Población es flujo neto: el nivel requiere INTEG desde el inicial 60.</w:t>
      </w:r>
      <w:bookmarkEnd w:id="4148"/>
    </w:p>
    <w:p>
      <w:bookmarkStart w:name="b_punto_c7_p023_05" w:id="4149"/>
      <w:r>
        <w:t xml:space="preserve">El escenario usa inicial 60, natalidad 0.085, mortalidad 0.035 y capacidad 6000.</w:t>
      </w:r>
      <w:bookmarkEnd w:id="4149"/>
    </w:p>
    <w:p>
      <w:pPr>
        <w:pStyle w:val="Heading3"/>
      </w:pPr>
      <w:bookmarkStart w:name="b_pagina_4_4_C_7_p37" w:id="4150"/>
      <w:r>
        <w:t xml:space="preserve">C-7 · página 37 · Préstamo entre dos bancos</w:t>
      </w:r>
      <w:bookmarkEnd w:id="4150"/>
    </w:p>
    <w:p>
      <w:pPr>
        <w:pStyle w:val="Normal"/>
      </w:pPr>
      <w:r>
        <w:t xml:space="preserve">Principal, tasa, horizonte y supuesto de pagos condicionan la comparación.</w:t>
      </w:r>
    </w:p>
    <w:p>
      <w:pPr>
        <w:pStyle w:val="Fuente"/>
      </w:pPr>
      <w:r>
        <w:t xml:space="preserve">Proyección o explicación: Clase 21 · 00:54:41 · captura c21-09.</w:t>
      </w:r>
    </w:p>
    <w:p>
      <w:bookmarkStart w:name="b_punto_c7_p037_01" w:id="4151"/>
      <w:r>
        <w:t xml:space="preserve">Banco 1 presta 2000 a5%mensual; banco 2 perdona 1000 pero cobra 10%mensual.</w:t>
      </w:r>
      <w:bookmarkEnd w:id="4151"/>
    </w:p>
    <w:p>
      <w:bookmarkStart w:name="b_punto_c7_p037_02" w:id="4152"/>
      <w:r>
        <w:t xml:space="preserve">Se pregunta qué banco conviene a12 y 24 meses y qué saldo hay a14 meses.</w:t>
      </w:r>
      <w:bookmarkEnd w:id="4152"/>
    </w:p>
    <w:p>
      <w:bookmarkStart w:name="b_punto_c7_p037_03" w:id="4153"/>
      <w:r>
        <w:t xml:space="preserve">La negociación propone tasas 2% y 4% a24 meses; se conserva separado el supuesto sin pagos y el de amortización.</w:t>
      </w:r>
      <w:bookmarkEnd w:id="4153"/>
    </w:p>
    <w:p>
      <w:pPr>
        <w:pStyle w:val="Heading3"/>
      </w:pPr>
      <w:bookmarkStart w:name="b_pagina_4_4_C_7_p38" w:id="4154"/>
      <w:r>
        <w:t xml:space="preserve">C-7 · página 38 · Préstamo sin pagos</w:t>
      </w:r>
      <w:bookmarkEnd w:id="4154"/>
    </w:p>
    <w:p>
      <w:pPr>
        <w:pStyle w:val="Normal"/>
      </w:pPr>
      <w:r>
        <w:t xml:space="preserve">El interés aumenta el saldo y éste aumenta el interés: un refuerzo.</w:t>
      </w:r>
    </w:p>
    <w:p>
      <w:pPr>
        <w:pStyle w:val="Fuente"/>
      </w:pPr>
      <w:r>
        <w:t xml:space="preserve">Proyección o explicación: Clase 21 · 01:04:31 · captura c21-10.</w:t>
      </w:r>
    </w:p>
    <w:p>
      <w:bookmarkStart w:name="b_punto_c7_p038_01" w:id="4155"/>
      <w:r>
        <w:t xml:space="preserve">Interés=tasa×saldo; sin pagos, el interés entra al saldo.</w:t>
      </w:r>
      <w:bookmarkEnd w:id="4155"/>
    </w:p>
    <w:p>
      <w:bookmarkStart w:name="b_punto_c7_p038_02" w:id="4156"/>
      <w:r>
        <w:t xml:space="preserve">Saldo→interés→saldo es refuerzo; la tasa es un parámetro externo.</w:t>
      </w:r>
      <w:bookmarkEnd w:id="4156"/>
    </w:p>
    <w:p>
      <w:pPr>
        <w:pStyle w:val="Heading3"/>
      </w:pPr>
      <w:bookmarkStart w:name="b_pagina_4_4_C_7_p39" w:id="4157"/>
      <w:r>
        <w:t xml:space="preserve">C-7 · página 39 · Préstamo con pago mensual</w:t>
      </w:r>
      <w:bookmarkEnd w:id="4157"/>
    </w:p>
    <w:p>
      <w:pPr>
        <w:pStyle w:val="Normal"/>
      </w:pPr>
      <w:r>
        <w:t xml:space="preserve">Intereses, monto y plazo determinan pagos que reducen saldo y acumulan el total pagado.</w:t>
      </w:r>
    </w:p>
    <w:p>
      <w:pPr>
        <w:pStyle w:val="Fuente"/>
      </w:pPr>
      <w:r>
        <w:t xml:space="preserve">Proyección o explicación: Clase 21 · 01:09:52 · captura c21-11.</w:t>
      </w:r>
    </w:p>
    <w:p>
      <w:bookmarkStart w:name="b_punto_c7_p039_01" w:id="4158"/>
      <w:r>
        <w:t xml:space="preserve">Intereses entra y pago mensual sale del saldo; pago total acumula los pagos.</w:t>
      </w:r>
      <w:bookmarkEnd w:id="4158"/>
    </w:p>
    <w:p>
      <w:bookmarkStart w:name="b_punto_c7_p039_02" w:id="4159"/>
      <w:r>
        <w:t xml:space="preserve">Monto y duración influyen en el pago mensual además de los intereses.</w:t>
      </w:r>
      <w:bookmarkEnd w:id="4159"/>
    </w:p>
    <w:p>
      <w:bookmarkStart w:name="b_punto_c7_p039_03" w:id="4160"/>
      <w:r>
        <w:t xml:space="preserve">Más plazo reduce el pago para un monto fijo: la flecha positiva duración→pago es errata.</w:t>
      </w:r>
      <w:bookmarkEnd w:id="4160"/>
    </w:p>
    <w:p>
      <w:bookmarkStart w:name="b_punto_c7_p039_04" w:id="4161"/>
      <w:r>
        <w:t xml:space="preserve">Existe un balance saldo→interés→pago→saldo no marcado en la figura.</w:t>
      </w:r>
      <w:bookmarkEnd w:id="4161"/>
    </w:p>
    <w:p>
      <w:pPr>
        <w:pStyle w:val="Heading3"/>
      </w:pPr>
      <w:bookmarkStart w:name="b_pagina_4_4_C_8_p24" w:id="4162"/>
      <w:r>
        <w:t xml:space="preserve">C-8 · página 24 · Estructura y acciones de apalancamiento</w:t>
      </w:r>
      <w:bookmarkEnd w:id="4162"/>
    </w:p>
    <w:p>
      <w:pPr>
        <w:pStyle w:val="Normal"/>
      </w:pPr>
      <w:r>
        <w:t xml:space="preserve">El pescador ilustra la ventaja de conocer dónde actuar; un modelo visual ayuda a encontrarla.</w:t>
      </w:r>
    </w:p>
    <w:p>
      <w:pPr>
        <w:pStyle w:val="Fuente"/>
      </w:pPr>
      <w:r>
        <w:t xml:space="preserve">Proyección o explicación: Clase 23 · 00:14:35 · captura c23-05.</w:t>
      </w:r>
    </w:p>
    <w:p>
      <w:bookmarkStart w:name="b_punto_c8_p024_04" w:id="4163"/>
      <w:r>
        <w:t xml:space="preserve">Comprensión insuficiente y opciones de intervención limitadas dificultan encontrar una palanca útil.</w:t>
      </w:r>
      <w:bookmarkEnd w:id="4163"/>
    </w:p>
    <w:p>
      <w:pPr>
        <w:pStyle w:val="Fuente"/>
      </w:pPr>
      <w:r>
        <w:t xml:space="preserve">Véase </w:t>
      </w:r>
      <w:hyperlink w:history="1" w:anchor="b_4_6">
        <w:r>
          <w:rPr>
            <w:color w:val="156B70"/>
            <w:u w:val="single"/>
          </w:rPr>
          <w:t xml:space="preserve">capítulo 4.6 · Toma de decisiones</w:t>
        </w:r>
      </w:hyperlink>
      <w:r>
        <w:t xml:space="preserve">, pág. </w:t>
      </w:r>
      <w:r>
        <w:fldChar w:fldCharType="begin"/>
        <w:instrText xml:space="preserve">PAGEREF b_4_6 \h</w:instrText>
        <w:fldChar w:fldCharType="separate"/>
        <w:t xml:space="preserve">884</w:t>
        <w:fldChar w:fldCharType="end"/>
      </w:r>
      <w:r>
        <w:t xml:space="preserve">.</w:t>
      </w:r>
    </w:p>
    <w:p>
      <w:pPr>
        <w:pStyle w:val="Heading3"/>
      </w:pPr>
      <w:bookmarkStart w:name="b_pagina_4_4_C_8_p49" w:id="4164"/>
      <w:r>
        <w:t xml:space="preserve">C-8 · página 49 · Modelar para aprender</w:t>
      </w:r>
      <w:bookmarkEnd w:id="4164"/>
    </w:p>
    <w:p>
      <w:pPr>
        <w:pStyle w:val="Normal"/>
      </w:pPr>
      <w:r>
        <w:t xml:space="preserve">El esquema distingue propósito del modelado, validación y aprendizaje.</w:t>
      </w:r>
    </w:p>
    <w:p>
      <w:pPr>
        <w:pStyle w:val="Fuente"/>
      </w:pPr>
      <w:r>
        <w:t xml:space="preserve">Proyección o explicación: Clase 24 · 00:35:38 · captura c24-13.</w:t>
      </w:r>
    </w:p>
    <w:p>
      <w:bookmarkStart w:name="b_punto_c8_p049_01" w:id="4165"/>
      <w:r>
        <w:t xml:space="preserve">Lo real se percibe mediante observación y teorías.</w:t>
      </w:r>
      <w:bookmarkEnd w:id="4165"/>
    </w:p>
    <w:p>
      <w:bookmarkStart w:name="b_punto_c8_p049_02" w:id="4166"/>
      <w:r>
        <w:t xml:space="preserve">La percepción forma un modelo mental y alimenta aprendizaje informal.</w:t>
      </w:r>
      <w:bookmarkEnd w:id="4166"/>
    </w:p>
    <w:p>
      <w:bookmarkStart w:name="b_punto_c8_p049_03" w:id="4167"/>
      <w:r>
        <w:t xml:space="preserve">Formalizar y simular permite reformular el modelo mental mediante aprendizaje formal.</w:t>
      </w:r>
      <w:bookmarkEnd w:id="4167"/>
    </w:p>
    <w:p>
      <w:bookmarkStart w:name="b_punto_c8_p049_04" w:id="4168"/>
      <w:r>
        <w:t xml:space="preserve">Aprendizaje, explicación eintervención clasifican por uso; réplica, reconstrucción y construcción por proceso, no son una única lista.</w:t>
      </w:r>
      <w:bookmarkEnd w:id="4168"/>
    </w:p>
    <w:p>
      <w:pPr>
        <w:pStyle w:val="Heading3"/>
      </w:pPr>
      <w:bookmarkStart w:name="b_pagina_4_4_C_8_p50" w:id="4169"/>
      <w:r>
        <w:t xml:space="preserve">C-8 · página 50 · Modelar para explicar</w:t>
      </w:r>
      <w:bookmarkEnd w:id="4169"/>
    </w:p>
    <w:p>
      <w:pPr>
        <w:pStyle w:val="Normal"/>
      </w:pPr>
      <w:r>
        <w:t xml:space="preserve">El esquema distingue propósito del modelado, validación y aprendizaje.</w:t>
      </w:r>
    </w:p>
    <w:p>
      <w:pPr>
        <w:pStyle w:val="Fuente"/>
      </w:pPr>
      <w:r>
        <w:t xml:space="preserve">Proyección o explicación: Clase 24 · 00:38:38 · captura c24-14.</w:t>
      </w:r>
    </w:p>
    <w:p>
      <w:bookmarkStart w:name="b_punto_c8_p050_01" w:id="4170"/>
      <w:r>
        <w:t xml:space="preserve">Además del aprendizaje, el modelador comunica su comprensión a otros.</w:t>
      </w:r>
      <w:bookmarkEnd w:id="4170"/>
    </w:p>
    <w:p>
      <w:bookmarkStart w:name="b_punto_c8_p050_02" w:id="4171"/>
      <w:r>
        <w:t xml:space="preserve">La explicación puede apoyarse en modelo mental y formal.</w:t>
      </w:r>
      <w:bookmarkEnd w:id="4171"/>
    </w:p>
    <w:p>
      <w:bookmarkStart w:name="b_punto_c8_p050_03" w:id="4172"/>
      <w:r>
        <w:t xml:space="preserve">Las observaciones de otras personas amplían comprensión y pueden volver al modelo.</w:t>
      </w:r>
      <w:bookmarkEnd w:id="4172"/>
    </w:p>
    <w:p>
      <w:bookmarkStart w:name="b_punto_c8_p050_04" w:id="4173"/>
      <w:r>
        <w:t xml:space="preserve">Aprendizaje, explicación eintervención clasifican por uso; réplica, reconstrucción y construcción por proceso, no son una única lista.</w:t>
      </w:r>
      <w:bookmarkEnd w:id="4173"/>
    </w:p>
    <w:p>
      <w:pPr>
        <w:pStyle w:val="Heading3"/>
      </w:pPr>
      <w:bookmarkStart w:name="b_pagina_4_4_C_8_p51" w:id="4174"/>
      <w:r>
        <w:t xml:space="preserve">C-8 · página 51 · Modelar para intervenir</w:t>
      </w:r>
      <w:bookmarkEnd w:id="4174"/>
    </w:p>
    <w:p>
      <w:pPr>
        <w:pStyle w:val="Normal"/>
      </w:pPr>
      <w:r>
        <w:t xml:space="preserve">El esquema distingue propósito del modelado, validación y aprendizaje.</w:t>
      </w:r>
    </w:p>
    <w:p>
      <w:pPr>
        <w:pStyle w:val="Fuente"/>
      </w:pPr>
      <w:r>
        <w:t xml:space="preserve">Proyección o explicación: Clase 24 · 00:40:42.</w:t>
      </w:r>
    </w:p>
    <w:p>
      <w:bookmarkStart w:name="b_punto_c8_p051_01" w:id="4175"/>
      <w:r>
        <w:t xml:space="preserve">El modelo sirve como referencia para actuar sobre la realidad.</w:t>
      </w:r>
      <w:bookmarkEnd w:id="4175"/>
    </w:p>
    <w:p>
      <w:bookmarkStart w:name="b_punto_c8_p051_02" w:id="4176"/>
      <w:r>
        <w:t xml:space="preserve">La intervención utiliza escenarios y consecuencias para elegir acciones.</w:t>
      </w:r>
      <w:bookmarkEnd w:id="4176"/>
    </w:p>
    <w:p>
      <w:bookmarkStart w:name="b_punto_c8_p051_03" w:id="4177"/>
      <w:r>
        <w:t xml:space="preserve">Observar resultados vuelve a alimentar el análisis; no basta explicar para haber intervenido.</w:t>
      </w:r>
      <w:bookmarkEnd w:id="4177"/>
    </w:p>
    <w:p>
      <w:bookmarkStart w:name="b_punto_c8_p051_04" w:id="4178"/>
      <w:r>
        <w:t xml:space="preserve">Aprendizaje, explicación eintervención clasifican por uso; réplica, reconstrucción y construcción por proceso, no son una única lista.</w:t>
      </w:r>
      <w:bookmarkEnd w:id="4178"/>
    </w:p>
    <w:p>
      <w:pPr>
        <w:pStyle w:val="Heading3"/>
      </w:pPr>
      <w:bookmarkStart w:name="b_pagina_4_4_C_8_p52" w:id="4179"/>
      <w:r>
        <w:t xml:space="preserve">C-8 · página 52 · Modelado de réplica</w:t>
      </w:r>
      <w:bookmarkEnd w:id="4179"/>
    </w:p>
    <w:p>
      <w:pPr>
        <w:pStyle w:val="Normal"/>
      </w:pPr>
      <w:r>
        <w:t xml:space="preserve">El esquema distingue propósito del modelado, validación y aprendizaje.</w:t>
      </w:r>
    </w:p>
    <w:p>
      <w:pPr>
        <w:pStyle w:val="Fuente"/>
      </w:pPr>
      <w:r>
        <w:t xml:space="preserve">Proyección o explicación: Clase 24 · 00:51:03 · captura c24-15.</w:t>
      </w:r>
    </w:p>
    <w:p>
      <w:bookmarkStart w:name="b_punto_c8_p052_01" w:id="4180"/>
      <w:r>
        <w:t xml:space="preserve">Teoría y matemática aportan al proceso de modelado.</w:t>
      </w:r>
      <w:bookmarkEnd w:id="4180"/>
    </w:p>
    <w:p>
      <w:bookmarkStart w:name="b_punto_c8_p052_02" w:id="4181"/>
      <w:r>
        <w:t xml:space="preserve">La toma de datos vincula el modelo con la realidad que inspira el análisis.</w:t>
      </w:r>
      <w:bookmarkEnd w:id="4181"/>
    </w:p>
    <w:p>
      <w:bookmarkStart w:name="b_punto_c8_p052_03" w:id="4182"/>
      <w:r>
        <w:t xml:space="preserve">La confrontación permite validar antes de actuar sobre la realidad intervenida.</w:t>
      </w:r>
      <w:bookmarkEnd w:id="4182"/>
    </w:p>
    <w:p>
      <w:bookmarkStart w:name="b_punto_c8_p052_04" w:id="4183"/>
      <w:r>
        <w:t xml:space="preserve">Aprendizaje, explicación eintervención clasifican por uso; réplica, reconstrucción y construcción por proceso, no son una única lista.</w:t>
      </w:r>
      <w:bookmarkEnd w:id="4183"/>
    </w:p>
    <w:p>
      <w:pPr>
        <w:pStyle w:val="Heading3"/>
      </w:pPr>
      <w:bookmarkStart w:name="b_pagina_4_4_C_8_p53" w:id="4184"/>
      <w:r>
        <w:t xml:space="preserve">C-8 · página 53 · Modelado de reconstrucción</w:t>
      </w:r>
      <w:bookmarkEnd w:id="4184"/>
    </w:p>
    <w:p>
      <w:pPr>
        <w:pStyle w:val="Normal"/>
      </w:pPr>
      <w:r>
        <w:t xml:space="preserve">El esquema distingue propósito del modelado, validación y aprendizaje.</w:t>
      </w:r>
    </w:p>
    <w:p>
      <w:pPr>
        <w:pStyle w:val="Fuente"/>
      </w:pPr>
      <w:r>
        <w:t xml:space="preserve">Proyección o explicación: Clase 24 · 00:51:07.</w:t>
      </w:r>
    </w:p>
    <w:p>
      <w:bookmarkStart w:name="b_punto_c8_p053_01" w:id="4185"/>
      <w:r>
        <w:t xml:space="preserve">Se conserva la base de teoría, matemática, datos y validación de la réplica.</w:t>
      </w:r>
      <w:bookmarkEnd w:id="4185"/>
    </w:p>
    <w:p>
      <w:bookmarkStart w:name="b_punto_c8_p053_02" w:id="4186"/>
      <w:r>
        <w:t xml:space="preserve">Validación y acción se incorporan a un ciclo de aprendizaje sobre la realidad.</w:t>
      </w:r>
      <w:bookmarkEnd w:id="4186"/>
    </w:p>
    <w:p>
      <w:bookmarkStart w:name="b_punto_c8_p053_03" w:id="4187"/>
      <w:r>
        <w:t xml:space="preserve">El aprendizaje permite revisar modelo eintervención, en vez de repetirlos sin cambios.</w:t>
      </w:r>
      <w:bookmarkEnd w:id="4187"/>
    </w:p>
    <w:p>
      <w:bookmarkStart w:name="b_punto_c8_p053_04" w:id="4188"/>
      <w:r>
        <w:t xml:space="preserve">Aprendizaje, explicación eintervención clasifican por uso; réplica, reconstrucción y construcción por proceso, no son una única lista.</w:t>
      </w:r>
      <w:bookmarkEnd w:id="4188"/>
    </w:p>
    <w:p>
      <w:pPr>
        <w:pStyle w:val="Heading3"/>
      </w:pPr>
      <w:bookmarkStart w:name="b_pagina_4_4_C_8_p54" w:id="4189"/>
      <w:r>
        <w:t xml:space="preserve">C-8 · página 54 · Modelado de construcción</w:t>
      </w:r>
      <w:bookmarkEnd w:id="4189"/>
    </w:p>
    <w:p>
      <w:pPr>
        <w:pStyle w:val="Normal"/>
      </w:pPr>
      <w:r>
        <w:t xml:space="preserve">El esquema distingue propósito del modelado, validación y aprendizaje.</w:t>
      </w:r>
    </w:p>
    <w:p>
      <w:pPr>
        <w:pStyle w:val="Fuente"/>
      </w:pPr>
      <w:r>
        <w:t xml:space="preserve">Proyección o explicación: Clase 24 · 00:51:07 · captura c24-16.</w:t>
      </w:r>
    </w:p>
    <w:p>
      <w:bookmarkStart w:name="b_punto_c8_p054_01" w:id="4190"/>
      <w:r>
        <w:t xml:space="preserve">Se añade investigación para elaborar orevisar teoría desde la realidad.</w:t>
      </w:r>
      <w:bookmarkEnd w:id="4190"/>
    </w:p>
    <w:p>
      <w:bookmarkStart w:name="b_punto_c8_p054_02" w:id="4191"/>
      <w:r>
        <w:t xml:space="preserve">Toma de datos, modelado, confrontación, validación y acción forman un ciclo de aprendizaje.</w:t>
      </w:r>
      <w:bookmarkEnd w:id="4191"/>
    </w:p>
    <w:p>
      <w:bookmarkStart w:name="b_punto_c8_p054_03" w:id="4192"/>
      <w:r>
        <w:t xml:space="preserve">La realidad inspiradora y la intervenida aparecen unificadas como una perspectiva de la realidad.</w:t>
      </w:r>
      <w:bookmarkEnd w:id="4192"/>
    </w:p>
    <w:p>
      <w:bookmarkStart w:name="b_punto_c8_p054_04" w:id="4193"/>
      <w:r>
        <w:t xml:space="preserve">Aprendizaje, explicación eintervención clasifican por uso; réplica, reconstrucción y construcción por proceso, no son una única lista.</w:t>
      </w:r>
      <w:bookmarkEnd w:id="4193"/>
    </w:p>
    <w:p>
      <w:pPr>
        <w:pStyle w:val="Heading3"/>
      </w:pPr>
      <w:bookmarkStart w:name="b_pagina_4_4_C_3_p13" w:id="4194"/>
      <w:r>
        <w:t xml:space="preserve">C-3 · página 13 · Ecuaciones, DYNAMO y curva de epidemia</w:t>
      </w:r>
      <w:bookmarkEnd w:id="4194"/>
    </w:p>
    <w:p>
      <w:pPr>
        <w:pStyle w:val="Normal"/>
      </w:pPr>
      <w:r>
        <w:t xml:space="preserve">Tabla de ecuaciones, listado y sus constantes, curvas y errores de rotulación.</w:t>
      </w:r>
    </w:p>
    <w:p>
      <w:pPr>
        <w:keepNext/>
        <w:spacing w:after="40" w:before="150"/>
        <w:jc w:val="center"/>
      </w:pPr>
      <w:bookmarkStart w:name="b_figura_original_pagina_C_3_13" w:id="4195"/>
      <w:bookmarkEnd w:id="4195"/>
      <w:r>
        <w:drawing>
          <wp:inline distT="0" distB="0" distL="0" distR="0">
            <wp:extent cx="5381625" cy="3028950"/>
            <wp:effectExtent t="0" r="0" b="0" l="0"/>
            <wp:docPr id="136" name="pagina-C-3-13" descr="Presentación C-3, pág. 13. Precisión: El listado llama tcn a la constante que la tabla llama TNC, y la leyenda de la gráfica dice PS y PA donde el modelo usa PI y PV. Es el mismo modelo: el portal lo simula con los valores del listado." title="Ecuaciones, DYNAMO y curva de epidem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12" cstate="none"/>
                    <a:srcRect/>
                    <a:stretch>
                      <a:fillRect/>
                    </a:stretch>
                  </pic:blipFill>
                  <pic:spPr bwMode="auto">
                    <a:xfrm>
                      <a:off x="0" y="0"/>
                      <a:ext cx="5381625" cy="3028950"/>
                    </a:xfrm>
                    <a:prstGeom prst="rect">
                      <a:avLst/>
                    </a:prstGeom>
                  </pic:spPr>
                </pic:pic>
              </a:graphicData>
            </a:graphic>
          </wp:inline>
        </w:drawing>
      </w:r>
    </w:p>
    <w:p>
      <w:pPr>
        <w:pStyle w:val="PieFigura"/>
        <w:keepNext/>
      </w:pPr>
      <w:bookmarkStart w:name="b_fig_4_4_4" w:id="4196"/>
      <w:r>
        <w:t xml:space="preserve">Figura 4.4.</w:t>
      </w:r>
      <w:fldSimple w:instr="SEQ Figura \n \* ARABIC">
        <w:r>
          <w:t xml:space="preserve">4</w:t>
        </w:r>
      </w:fldSimple>
      <w:r>
        <w:t xml:space="preserve"> · Ecuaciones, DYNAMO y curva de epidemia</w:t>
      </w:r>
      <w:bookmarkEnd w:id="4196"/>
    </w:p>
    <w:p>
      <w:pPr>
        <w:pStyle w:val="Fuente"/>
      </w:pPr>
      <w:r>
        <w:t xml:space="preserve">Presentación C-3, pág. 13. Precisión: El listado llama tcn a la constante que la tabla llama TNC, y la leyenda de la gráfica dice PS y PA donde el modelo usa PI y PV. Es el mismo modelo: el portal lo simula con los valores del listado.</w:t>
      </w:r>
    </w:p>
    <w:p>
      <w:bookmarkStart w:name="b_punto_c3_p013_01" w:id="4197"/>
      <w:r>
        <w:t xml:space="preserve">l, n, r, a, c distinguen nivel, inicialización, flujo, auxiliar y constante en DYNAMO.</w:t>
      </w:r>
      <w:bookmarkEnd w:id="4197"/>
    </w:p>
    <w:p>
      <w:pPr>
        <w:pStyle w:val="Fuente"/>
      </w:pPr>
      <w:r>
        <w:t xml:space="preserve">Véase </w:t>
      </w:r>
      <w:hyperlink w:history="1" w:anchor="b_4_5">
        <w:r>
          <w:rPr>
            <w:color w:val="156B70"/>
            <w:u w:val="single"/>
          </w:rPr>
          <w:t xml:space="preserve">capítulo 4.5 · Ejemplos en VENSIM</w:t>
        </w:r>
      </w:hyperlink>
      <w:r>
        <w:t xml:space="preserve">, pág. </w:t>
      </w:r>
      <w:r>
        <w:fldChar w:fldCharType="begin"/>
        <w:instrText xml:space="preserve">PAGEREF b_4_5 \h</w:instrText>
        <w:fldChar w:fldCharType="separate"/>
        <w:t xml:space="preserve">830</w:t>
        <w:fldChar w:fldCharType="end"/>
      </w:r>
      <w:r>
        <w:t xml:space="preserve">.</w:t>
      </w:r>
    </w:p>
    <w:p>
      <w:pPr>
        <w:pStyle w:val="Fuente"/>
      </w:pPr>
      <w:r>
        <w:t xml:space="preserve">Véase </w:t>
      </w:r>
      <w:hyperlink w:history="1" w:anchor="b_4_3">
        <w:r>
          <w:rPr>
            <w:color w:val="156B70"/>
            <w:u w:val="single"/>
          </w:rPr>
          <w:t xml:space="preserve">capítulo 4.3 · De ciclos causales a flujos</w:t>
        </w:r>
      </w:hyperlink>
      <w:r>
        <w:t xml:space="preserve">, pág. </w:t>
      </w:r>
      <w:r>
        <w:fldChar w:fldCharType="begin"/>
        <w:instrText xml:space="preserve">PAGEREF b_4_3 \h</w:instrText>
        <w:fldChar w:fldCharType="separate"/>
        <w:t xml:space="preserve">737</w:t>
        <w:fldChar w:fldCharType="end"/>
      </w:r>
      <w:r>
        <w:t xml:space="preserve">.</w:t>
      </w:r>
    </w:p>
    <w:p>
      <w:pPr>
        <w:pStyle w:val="Heading3"/>
      </w:pPr>
      <w:bookmarkStart w:name="b_pagina_4_4_C_3_p14" w:id="4198"/>
      <w:r>
        <w:t xml:space="preserve">C-3 · página 14 · Herramienta gráfica de simulación</w:t>
      </w:r>
      <w:bookmarkEnd w:id="4198"/>
    </w:p>
    <w:p>
      <w:pPr>
        <w:pStyle w:val="Normal"/>
      </w:pPr>
      <w:r>
        <w:t xml:space="preserve">Lámina de transición hacia una demostración de modelado.</w:t>
      </w:r>
    </w:p>
    <w:p>
      <w:pPr>
        <w:pStyle w:val="Heading3"/>
      </w:pPr>
      <w:bookmarkStart w:name="b_pagina_4_4_C_3_p24" w:id="4199"/>
      <w:r>
        <w:t xml:space="preserve">C-3 · página 24 · Del patrón a la estructura</w:t>
      </w:r>
      <w:bookmarkEnd w:id="4199"/>
    </w:p>
    <w:p>
      <w:pPr>
        <w:pStyle w:val="Normal"/>
      </w:pPr>
      <w:r>
        <w:t xml:space="preserve">Para explicar un comportamiento se formula una estructura capaz de generarlo.</w:t>
      </w:r>
    </w:p>
    <w:p>
      <w:bookmarkStart w:name="b_punto_c3_p024_01" w:id="4200"/>
      <w:r>
        <w:t xml:space="preserve">La gráfica problemática sirve como referencia para buscar una estructura que produzca el patrón.</w:t>
      </w:r>
      <w:bookmarkEnd w:id="4200"/>
    </w:p>
    <w:p>
      <w:bookmarkStart w:name="b_punto_c3_p024_02" w:id="4201"/>
      <w:r>
        <w:t xml:space="preserve">Una curva observada no identifica por sí sola una única estructura válida.</w:t>
      </w:r>
      <w:bookmarkEnd w:id="4201"/>
    </w:p>
    <w:p>
      <w:pPr>
        <w:pStyle w:val="Heading3"/>
      </w:pPr>
      <w:bookmarkStart w:name="b_pagina_4_4_C_3_p25" w:id="4202"/>
      <w:r>
        <w:t xml:space="preserve">C-3 · página 25 · De la estructura al patrón</w:t>
      </w:r>
      <w:bookmarkEnd w:id="4202"/>
    </w:p>
    <w:p>
      <w:pPr>
        <w:pStyle w:val="Normal"/>
      </w:pPr>
      <w:r>
        <w:t xml:space="preserve">Una vez formulado el modelo, se simulan las trayectorias que genera.</w:t>
      </w:r>
    </w:p>
    <w:p>
      <w:bookmarkStart w:name="b_punto_c3_p025_01" w:id="4203"/>
      <w:r>
        <w:t xml:space="preserve">Simular permite estudiar los comportamientos generados por la estructura construida.</w:t>
      </w:r>
      <w:bookmarkEnd w:id="4203"/>
    </w:p>
    <w:p>
      <w:bookmarkStart w:name="b_punto_c3_p025_02" w:id="4204"/>
      <w:r>
        <w:t xml:space="preserve">Los resultados deben contrastarse con el comportamiento real y las relaciones del sistema.</w:t>
      </w:r>
      <w:bookmarkEnd w:id="4204"/>
    </w:p>
    <w:p>
      <w:pPr>
        <w:pStyle w:val="Heading3"/>
      </w:pPr>
      <w:bookmarkStart w:name="b_pagina_4_4_C_3_p27" w:id="4205"/>
      <w:r>
        <w:t xml:space="preserve">C-3 · página 27 · Seis fases de construir el modelo</w:t>
      </w:r>
      <w:bookmarkEnd w:id="4205"/>
    </w:p>
    <w:p>
      <w:pPr>
        <w:pStyle w:val="Normal"/>
      </w:pPr>
      <w:r>
        <w:t xml:space="preserve">Definir, conceptualizar, formalizar, observar comportamiento, evaluar y explotar con retornos iterativos.</w:t>
      </w:r>
    </w:p>
    <w:p>
      <w:pPr>
        <w:keepNext/>
        <w:spacing w:after="40" w:before="150"/>
        <w:jc w:val="center"/>
      </w:pPr>
      <w:bookmarkStart w:name="b_figura_original_pagina_C_3_27" w:id="4206"/>
      <w:bookmarkEnd w:id="4206"/>
      <w:r>
        <w:drawing>
          <wp:inline distT="0" distB="0" distL="0" distR="0">
            <wp:extent cx="5381625" cy="3028950"/>
            <wp:effectExtent t="0" r="0" b="0" l="0"/>
            <wp:docPr id="137" name="pagina-C-3-27" descr="Presentación C-3, pág. 27" title="Seis fases de construir el model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13" cstate="none"/>
                    <a:srcRect/>
                    <a:stretch>
                      <a:fillRect/>
                    </a:stretch>
                  </pic:blipFill>
                  <pic:spPr bwMode="auto">
                    <a:xfrm>
                      <a:off x="0" y="0"/>
                      <a:ext cx="5381625" cy="3028950"/>
                    </a:xfrm>
                    <a:prstGeom prst="rect">
                      <a:avLst/>
                    </a:prstGeom>
                  </pic:spPr>
                </pic:pic>
              </a:graphicData>
            </a:graphic>
          </wp:inline>
        </w:drawing>
      </w:r>
    </w:p>
    <w:p>
      <w:pPr>
        <w:pStyle w:val="PieFigura"/>
        <w:keepNext/>
      </w:pPr>
      <w:bookmarkStart w:name="b_fig_4_4_5" w:id="4207"/>
      <w:r>
        <w:t xml:space="preserve">Figura 4.4.</w:t>
      </w:r>
      <w:fldSimple w:instr="SEQ Figura \n \* ARABIC">
        <w:r>
          <w:t xml:space="preserve">5</w:t>
        </w:r>
      </w:fldSimple>
      <w:r>
        <w:t xml:space="preserve"> · Seis fases de construir el modelo</w:t>
      </w:r>
      <w:bookmarkEnd w:id="4207"/>
    </w:p>
    <w:p>
      <w:pPr>
        <w:pStyle w:val="Fuente"/>
      </w:pPr>
      <w:r>
        <w:t xml:space="preserve">Presentación C-3, pág. 27</w:t>
      </w:r>
    </w:p>
    <w:p>
      <w:bookmarkStart w:name="b_punto_c3_p027_01" w:id="4208"/>
      <w:r>
        <w:t xml:space="preserve">Las seis fases son definición, conceptualización, formalización, comportamiento, evaluación y explotación.</w:t>
      </w:r>
      <w:bookmarkEnd w:id="4208"/>
    </w:p>
    <w:p>
      <w:bookmarkStart w:name="b_punto_c3_p027_02" w:id="4209"/>
      <w:r>
        <w:t xml:space="preserve">Los retornos permiten revisar etapas anteriores cuando el modelo no corresponde con el problema.</w:t>
      </w:r>
      <w:bookmarkEnd w:id="4209"/>
    </w:p>
    <w:p>
      <w:bookmarkStart w:name="b_punto_c3_p027_03" w:id="4210"/>
      <w:r>
        <w:t xml:space="preserve">Comprender el sistema relaciona problema, formulación, simulación, análisis y puesta en práctica de políticas.</w:t>
      </w:r>
      <w:bookmarkEnd w:id="4210"/>
    </w:p>
    <w:p>
      <w:pPr>
        <w:pStyle w:val="Heading3"/>
      </w:pPr>
      <w:bookmarkStart w:name="b_pagina_4_4_C_3_p29" w:id="4211"/>
      <w:r>
        <w:t xml:space="preserve">C-3 · página 29 · Ventajas einconvenientes</w:t>
      </w:r>
      <w:bookmarkEnd w:id="4211"/>
    </w:p>
    <w:p>
      <w:pPr>
        <w:pStyle w:val="Normal"/>
      </w:pPr>
      <w:r>
        <w:t xml:space="preserve">Cuándo simular y qué limitaciones debe conservar quien interpreta resultados.</w:t>
      </w:r>
    </w:p>
    <w:p>
      <w:pPr>
        <w:keepNext/>
        <w:spacing w:after="40" w:before="150"/>
        <w:jc w:val="center"/>
      </w:pPr>
      <w:bookmarkStart w:name="b_figura_original_pagina_C_3_29" w:id="4212"/>
      <w:bookmarkEnd w:id="4212"/>
      <w:r>
        <w:drawing>
          <wp:inline distT="0" distB="0" distL="0" distR="0">
            <wp:extent cx="5381625" cy="3028950"/>
            <wp:effectExtent t="0" r="0" b="0" l="0"/>
            <wp:docPr id="138" name="pagina-C-3-29" descr="Presentación C-3, pág. 29" title="Ventajas einconvenien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14" cstate="none"/>
                    <a:srcRect/>
                    <a:stretch>
                      <a:fillRect/>
                    </a:stretch>
                  </pic:blipFill>
                  <pic:spPr bwMode="auto">
                    <a:xfrm>
                      <a:off x="0" y="0"/>
                      <a:ext cx="5381625" cy="3028950"/>
                    </a:xfrm>
                    <a:prstGeom prst="rect">
                      <a:avLst/>
                    </a:prstGeom>
                  </pic:spPr>
                </pic:pic>
              </a:graphicData>
            </a:graphic>
          </wp:inline>
        </w:drawing>
      </w:r>
    </w:p>
    <w:p>
      <w:pPr>
        <w:pStyle w:val="PieFigura"/>
        <w:keepNext/>
      </w:pPr>
      <w:bookmarkStart w:name="b_fig_4_4_6" w:id="4213"/>
      <w:r>
        <w:t xml:space="preserve">Figura 4.4.</w:t>
      </w:r>
      <w:fldSimple w:instr="SEQ Figura \n \* ARABIC">
        <w:r>
          <w:t xml:space="preserve">6</w:t>
        </w:r>
      </w:fldSimple>
      <w:r>
        <w:t xml:space="preserve"> · Ventajas einconvenientes</w:t>
      </w:r>
      <w:bookmarkEnd w:id="4213"/>
    </w:p>
    <w:p>
      <w:pPr>
        <w:pStyle w:val="Fuente"/>
      </w:pPr>
      <w:r>
        <w:t xml:space="preserve">Presentación C-3, pág. 29</w:t>
      </w:r>
    </w:p>
    <w:p>
      <w:bookmarkStart w:name="b_punto_c3_p029_01" w:id="4214"/>
      <w:r>
        <w:t xml:space="preserve">Puede no existir formulación matemática disponible o una solución analítica apropiada.</w:t>
      </w:r>
      <w:bookmarkEnd w:id="4214"/>
    </w:p>
    <w:p>
      <w:bookmarkStart w:name="b_punto_c3_p029_02" w:id="4215"/>
      <w:r>
        <w:t xml:space="preserve">Un modelo disponible puede requerir un procedimiento analítico demasiado complejo.</w:t>
      </w:r>
      <w:bookmarkEnd w:id="4215"/>
    </w:p>
    <w:p>
      <w:bookmarkStart w:name="b_punto_c3_p029_03" w:id="4216"/>
      <w:r>
        <w:t xml:space="preserve">Se puede experimentar antes de construir el sistema real.</w:t>
      </w:r>
      <w:bookmarkEnd w:id="4216"/>
    </w:p>
    <w:p>
      <w:bookmarkStart w:name="b_punto_c3_p029_04" w:id="4217"/>
      <w:r>
        <w:t xml:space="preserve">Puede ser imposible experimentar sobre el sistema real.</w:t>
      </w:r>
      <w:bookmarkEnd w:id="4217"/>
    </w:p>
    <w:p>
      <w:bookmarkStart w:name="b_punto_c3_p029_05" w:id="4218"/>
      <w:r>
        <w:t xml:space="preserve">Una intervención real puede ser demasiado riesgosa o éticamente inadmisible.</w:t>
      </w:r>
      <w:bookmarkEnd w:id="4218"/>
    </w:p>
    <w:p>
      <w:bookmarkStart w:name="b_punto_c3_p029_06" w:id="4219"/>
      <w:r>
        <w:t xml:space="preserve">La simulación permite comprimir el estudio de sistemas cuya evolución es muy lenta.</w:t>
      </w:r>
      <w:bookmarkEnd w:id="4219"/>
    </w:p>
    <w:p>
      <w:bookmarkStart w:name="b_punto_c3_p029_07" w:id="4220"/>
      <w:r>
        <w:t xml:space="preserve">Se pueden estudiar sistemas dinámicos en tiempo real.</w:t>
      </w:r>
      <w:bookmarkEnd w:id="4220"/>
    </w:p>
    <w:p>
      <w:bookmarkStart w:name="b_punto_c3_p029_08" w:id="4221"/>
      <w:r>
        <w:t xml:space="preserve">Construir un modelo complejo cuesta tiempo y dinero.</w:t>
      </w:r>
      <w:bookmarkEnd w:id="4221"/>
    </w:p>
    <w:p>
      <w:bookmarkStart w:name="b_punto_c3_p029_09" w:id="4222"/>
      <w:r>
        <w:t xml:space="preserve">Omitir una variable aparentemente secundaria puede invalidar resultados.</w:t>
      </w:r>
      <w:bookmarkEnd w:id="4222"/>
    </w:p>
    <w:p>
      <w:bookmarkStart w:name="b_punto_c3_p029_10" w:id="4223"/>
      <w:r>
        <w:t xml:space="preserve">Puede ser difícil conocer la imprecisión de los resultados.</w:t>
      </w:r>
      <w:bookmarkEnd w:id="4223"/>
    </w:p>
    <w:p>
      <w:pPr>
        <w:pStyle w:val="Heading3"/>
      </w:pPr>
      <w:bookmarkStart w:name="b_pagina_4_4_C_3_p30" w:id="4224"/>
      <w:r>
        <w:t xml:space="preserve">C-3 · página 30 · Interfaz de VensimPLE</w:t>
      </w:r>
      <w:bookmarkEnd w:id="4224"/>
    </w:p>
    <w:p>
      <w:pPr>
        <w:pStyle w:val="Normal"/>
      </w:pPr>
      <w:r>
        <w:t xml:space="preserve">La captura identifica gestión de archivos, dibujo, ecuaciones, simulación y análisis de resultados.</w:t>
      </w:r>
    </w:p>
    <w:p>
      <w:pPr>
        <w:keepNext/>
        <w:spacing w:after="40" w:before="150"/>
        <w:jc w:val="center"/>
      </w:pPr>
      <w:bookmarkStart w:name="b_figura_original_pagina_C_3_30" w:id="4225"/>
      <w:bookmarkEnd w:id="4225"/>
      <w:r>
        <w:drawing>
          <wp:inline distT="0" distB="0" distL="0" distR="0">
            <wp:extent cx="5381625" cy="3028950"/>
            <wp:effectExtent t="0" r="0" b="0" l="0"/>
            <wp:docPr id="139" name="pagina-C-3-30" descr="Presentación C-3, pág. 30" title="Interfaz de VensimP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15" cstate="none"/>
                    <a:srcRect/>
                    <a:stretch>
                      <a:fillRect/>
                    </a:stretch>
                  </pic:blipFill>
                  <pic:spPr bwMode="auto">
                    <a:xfrm>
                      <a:off x="0" y="0"/>
                      <a:ext cx="5381625" cy="3028950"/>
                    </a:xfrm>
                    <a:prstGeom prst="rect">
                      <a:avLst/>
                    </a:prstGeom>
                  </pic:spPr>
                </pic:pic>
              </a:graphicData>
            </a:graphic>
          </wp:inline>
        </w:drawing>
      </w:r>
    </w:p>
    <w:p>
      <w:pPr>
        <w:pStyle w:val="PieFigura"/>
        <w:keepNext/>
      </w:pPr>
      <w:bookmarkStart w:name="b_fig_4_4_7" w:id="4226"/>
      <w:r>
        <w:t xml:space="preserve">Figura 4.4.</w:t>
      </w:r>
      <w:fldSimple w:instr="SEQ Figura \n \* ARABIC">
        <w:r>
          <w:t xml:space="preserve">7</w:t>
        </w:r>
      </w:fldSimple>
      <w:r>
        <w:t xml:space="preserve"> · Interfaz de VensimPLE</w:t>
      </w:r>
      <w:bookmarkEnd w:id="4226"/>
    </w:p>
    <w:p>
      <w:pPr>
        <w:pStyle w:val="Fuente"/>
      </w:pPr>
      <w:r>
        <w:t xml:space="preserve">Presentación C-3, pág. 30</w:t>
      </w:r>
    </w:p>
    <w:p>
      <w:bookmarkStart w:name="b_punto_c3_p030_01" w:id="4227"/>
      <w:r>
        <w:t xml:space="preserve">El programa organiza archivos y variables del modelo.</w:t>
      </w:r>
      <w:bookmarkEnd w:id="4227"/>
    </w:p>
    <w:p>
      <w:bookmarkStart w:name="b_punto_c3_p030_02" w:id="4228"/>
      <w:r>
        <w:t xml:space="preserve">El bosquejo permite dibujar el diagrama y editar ecuaciones.</w:t>
      </w:r>
      <w:bookmarkEnd w:id="4228"/>
    </w:p>
    <w:p>
      <w:bookmarkStart w:name="b_punto_c3_p030_03" w:id="4229"/>
      <w:r>
        <w:t xml:space="preserve">Los iconos de ejecución producen simulaciones.</w:t>
      </w:r>
      <w:bookmarkEnd w:id="4229"/>
    </w:p>
    <w:p>
      <w:bookmarkStart w:name="b_punto_c3_p030_04" w:id="4230"/>
      <w:r>
        <w:t xml:space="preserve">Las herramientas permiten gestionar gráficas y corridas, explorar bucles, listar ecuaciones y ver resultados numéricos.</w:t>
      </w:r>
      <w:bookmarkEnd w:id="4230"/>
    </w:p>
    <w:p>
      <w:pPr>
        <w:pStyle w:val="Heading3"/>
      </w:pPr>
      <w:bookmarkStart w:name="b_pagina_4_4_C_3_p38" w:id="4231"/>
      <w:r>
        <w:t xml:space="preserve">C-3 · página 38 · Modelar para aprender</w:t>
      </w:r>
      <w:bookmarkEnd w:id="4231"/>
    </w:p>
    <w:p>
      <w:pPr>
        <w:pStyle w:val="Normal"/>
      </w:pPr>
      <w:r>
        <w:t xml:space="preserve">Este desarrollo de abril se conserva en la lección y se trasladó al deck 4b de octubre.</w:t>
      </w:r>
    </w:p>
    <w:p>
      <w:pPr>
        <w:pStyle w:val="Fuente"/>
      </w:pPr>
      <w:r>
        <w:t xml:space="preserve">Proyección o explicación: Clase 24 · 00:35:38 · captura c24-13.</w:t>
      </w:r>
    </w:p>
    <w:p>
      <w:pPr>
        <w:keepNext/>
        <w:spacing w:after="40" w:before="150"/>
        <w:jc w:val="center"/>
      </w:pPr>
      <w:bookmarkStart w:name="b_figura_original_pagina_C_3_38" w:id="4232"/>
      <w:bookmarkEnd w:id="4232"/>
      <w:r>
        <w:drawing>
          <wp:inline distT="0" distB="0" distL="0" distR="0">
            <wp:extent cx="5381625" cy="3028950"/>
            <wp:effectExtent t="0" r="0" b="0" l="0"/>
            <wp:docPr id="140" name="pagina-C-3-38" descr="Presentación C-3, pág. 38" title="Modelar para apren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16" cstate="none"/>
                    <a:srcRect/>
                    <a:stretch>
                      <a:fillRect/>
                    </a:stretch>
                  </pic:blipFill>
                  <pic:spPr bwMode="auto">
                    <a:xfrm>
                      <a:off x="0" y="0"/>
                      <a:ext cx="5381625" cy="3028950"/>
                    </a:xfrm>
                    <a:prstGeom prst="rect">
                      <a:avLst/>
                    </a:prstGeom>
                  </pic:spPr>
                </pic:pic>
              </a:graphicData>
            </a:graphic>
          </wp:inline>
        </w:drawing>
      </w:r>
    </w:p>
    <w:p>
      <w:pPr>
        <w:pStyle w:val="PieFigura"/>
        <w:keepNext/>
      </w:pPr>
      <w:bookmarkStart w:name="b_fig_4_4_8" w:id="4233"/>
      <w:r>
        <w:t xml:space="preserve">Figura 4.4.</w:t>
      </w:r>
      <w:fldSimple w:instr="SEQ Figura \n \* ARABIC">
        <w:r>
          <w:t xml:space="preserve">8</w:t>
        </w:r>
      </w:fldSimple>
      <w:r>
        <w:t xml:space="preserve"> · Modelar para aprender</w:t>
      </w:r>
      <w:bookmarkEnd w:id="4233"/>
    </w:p>
    <w:p>
      <w:pPr>
        <w:pStyle w:val="Fuente"/>
      </w:pPr>
      <w:r>
        <w:t xml:space="preserve">Presentación C-3, pág. 38</w:t>
      </w:r>
    </w:p>
    <w:p>
      <w:bookmarkStart w:name="b_punto_c3_p038_01" w:id="4234"/>
      <w:r>
        <w:t xml:space="preserve">Lo real se percibe mediante observación y teorías.</w:t>
      </w:r>
      <w:bookmarkEnd w:id="4234"/>
    </w:p>
    <w:p>
      <w:bookmarkStart w:name="b_punto_c3_p038_02" w:id="4235"/>
      <w:r>
        <w:t xml:space="preserve">La percepción forma un modelo mental y alimenta aprendizaje informal.</w:t>
      </w:r>
      <w:bookmarkEnd w:id="4235"/>
    </w:p>
    <w:p>
      <w:bookmarkStart w:name="b_punto_c3_p038_03" w:id="4236"/>
      <w:r>
        <w:t xml:space="preserve">Formalizar y simular permite reformular el modelo mental mediante aprendizaje formal.</w:t>
      </w:r>
      <w:bookmarkEnd w:id="4236"/>
    </w:p>
    <w:p>
      <w:bookmarkStart w:name="b_punto_c3_p038_04" w:id="4237"/>
      <w:r>
        <w:t xml:space="preserve">Aprendizaje, explicación eintervención clasifican por uso; réplica, reconstrucción y construcción por proceso, no son una única lista.</w:t>
      </w:r>
      <w:bookmarkEnd w:id="4237"/>
    </w:p>
    <w:p>
      <w:pPr>
        <w:pStyle w:val="Heading3"/>
      </w:pPr>
      <w:bookmarkStart w:name="b_pagina_4_4_C_3_p39" w:id="4238"/>
      <w:r>
        <w:t xml:space="preserve">C-3 · página 39 · Modelar para explicar</w:t>
      </w:r>
      <w:bookmarkEnd w:id="4238"/>
    </w:p>
    <w:p>
      <w:pPr>
        <w:pStyle w:val="Normal"/>
      </w:pPr>
      <w:r>
        <w:t xml:space="preserve">Este desarrollo de abril se conserva en la lección y se trasladó al deck 4b de octubre.</w:t>
      </w:r>
    </w:p>
    <w:p>
      <w:pPr>
        <w:pStyle w:val="Fuente"/>
      </w:pPr>
      <w:r>
        <w:t xml:space="preserve">Proyección o explicación: Clase 24 · 00:38:38 · captura c24-14.</w:t>
      </w:r>
    </w:p>
    <w:p>
      <w:pPr>
        <w:keepNext/>
        <w:spacing w:after="40" w:before="150"/>
        <w:jc w:val="center"/>
      </w:pPr>
      <w:bookmarkStart w:name="b_figura_original_pagina_C_3_39" w:id="4239"/>
      <w:bookmarkEnd w:id="4239"/>
      <w:r>
        <w:drawing>
          <wp:inline distT="0" distB="0" distL="0" distR="0">
            <wp:extent cx="5381625" cy="3028950"/>
            <wp:effectExtent t="0" r="0" b="0" l="0"/>
            <wp:docPr id="141" name="pagina-C-3-39" descr="Presentación C-3, pág. 39" title="Modelar para explic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17" cstate="none"/>
                    <a:srcRect/>
                    <a:stretch>
                      <a:fillRect/>
                    </a:stretch>
                  </pic:blipFill>
                  <pic:spPr bwMode="auto">
                    <a:xfrm>
                      <a:off x="0" y="0"/>
                      <a:ext cx="5381625" cy="3028950"/>
                    </a:xfrm>
                    <a:prstGeom prst="rect">
                      <a:avLst/>
                    </a:prstGeom>
                  </pic:spPr>
                </pic:pic>
              </a:graphicData>
            </a:graphic>
          </wp:inline>
        </w:drawing>
      </w:r>
    </w:p>
    <w:p>
      <w:pPr>
        <w:pStyle w:val="PieFigura"/>
        <w:keepNext/>
      </w:pPr>
      <w:bookmarkStart w:name="b_fig_4_4_9" w:id="4240"/>
      <w:r>
        <w:t xml:space="preserve">Figura 4.4.</w:t>
      </w:r>
      <w:fldSimple w:instr="SEQ Figura \n \* ARABIC">
        <w:r>
          <w:t xml:space="preserve">9</w:t>
        </w:r>
      </w:fldSimple>
      <w:r>
        <w:t xml:space="preserve"> · Modelar para explicar</w:t>
      </w:r>
      <w:bookmarkEnd w:id="4240"/>
    </w:p>
    <w:p>
      <w:pPr>
        <w:pStyle w:val="Fuente"/>
      </w:pPr>
      <w:r>
        <w:t xml:space="preserve">Presentación C-3, pág. 39</w:t>
      </w:r>
    </w:p>
    <w:p>
      <w:bookmarkStart w:name="b_punto_c3_p039_01" w:id="4241"/>
      <w:r>
        <w:t xml:space="preserve">Además del aprendizaje, el modelador comunica su comprensión a otros.</w:t>
      </w:r>
      <w:bookmarkEnd w:id="4241"/>
    </w:p>
    <w:p>
      <w:bookmarkStart w:name="b_punto_c3_p039_02" w:id="4242"/>
      <w:r>
        <w:t xml:space="preserve">La explicación puede apoyarse en modelo mental y formal.</w:t>
      </w:r>
      <w:bookmarkEnd w:id="4242"/>
    </w:p>
    <w:p>
      <w:bookmarkStart w:name="b_punto_c3_p039_03" w:id="4243"/>
      <w:r>
        <w:t xml:space="preserve">Las observaciones de otras personas amplían comprensión y pueden volver al modelo.</w:t>
      </w:r>
      <w:bookmarkEnd w:id="4243"/>
    </w:p>
    <w:p>
      <w:bookmarkStart w:name="b_punto_c3_p039_04" w:id="4244"/>
      <w:r>
        <w:t xml:space="preserve">Aprendizaje, explicación eintervención clasifican por uso; réplica, reconstrucción y construcción por proceso, no son una única lista.</w:t>
      </w:r>
      <w:bookmarkEnd w:id="4244"/>
    </w:p>
    <w:p>
      <w:pPr>
        <w:pStyle w:val="Heading3"/>
      </w:pPr>
      <w:bookmarkStart w:name="b_pagina_4_4_C_3_p40" w:id="4245"/>
      <w:r>
        <w:t xml:space="preserve">C-3 · página 40 · Modelar para intervenir</w:t>
      </w:r>
      <w:bookmarkEnd w:id="4245"/>
    </w:p>
    <w:p>
      <w:pPr>
        <w:pStyle w:val="Normal"/>
      </w:pPr>
      <w:r>
        <w:t xml:space="preserve">Este desarrollo de abril se conserva en la lección y se trasladó al deck 4b de octubre.</w:t>
      </w:r>
    </w:p>
    <w:p>
      <w:pPr>
        <w:pStyle w:val="Fuente"/>
      </w:pPr>
      <w:r>
        <w:t xml:space="preserve">Proyección o explicación: Clase 24 · 00:40:42.</w:t>
      </w:r>
    </w:p>
    <w:p>
      <w:pPr>
        <w:keepNext/>
        <w:spacing w:after="40" w:before="150"/>
        <w:jc w:val="center"/>
      </w:pPr>
      <w:bookmarkStart w:name="b_figura_original_pagina_C_3_40" w:id="4246"/>
      <w:bookmarkEnd w:id="4246"/>
      <w:r>
        <w:drawing>
          <wp:inline distT="0" distB="0" distL="0" distR="0">
            <wp:extent cx="5381625" cy="3028950"/>
            <wp:effectExtent t="0" r="0" b="0" l="0"/>
            <wp:docPr id="142" name="pagina-C-3-40" descr="Presentación C-3, pág. 40" title="Modelar para interven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18" cstate="none"/>
                    <a:srcRect/>
                    <a:stretch>
                      <a:fillRect/>
                    </a:stretch>
                  </pic:blipFill>
                  <pic:spPr bwMode="auto">
                    <a:xfrm>
                      <a:off x="0" y="0"/>
                      <a:ext cx="5381625" cy="3028950"/>
                    </a:xfrm>
                    <a:prstGeom prst="rect">
                      <a:avLst/>
                    </a:prstGeom>
                  </pic:spPr>
                </pic:pic>
              </a:graphicData>
            </a:graphic>
          </wp:inline>
        </w:drawing>
      </w:r>
    </w:p>
    <w:p>
      <w:pPr>
        <w:pStyle w:val="PieFigura"/>
        <w:keepNext/>
      </w:pPr>
      <w:bookmarkStart w:name="b_fig_4_4_10" w:id="4247"/>
      <w:r>
        <w:t xml:space="preserve">Figura 4.4.</w:t>
      </w:r>
      <w:fldSimple w:instr="SEQ Figura \n \* ARABIC">
        <w:r>
          <w:t xml:space="preserve">10</w:t>
        </w:r>
      </w:fldSimple>
      <w:r>
        <w:t xml:space="preserve"> · Modelar para intervenir</w:t>
      </w:r>
      <w:bookmarkEnd w:id="4247"/>
    </w:p>
    <w:p>
      <w:pPr>
        <w:pStyle w:val="Fuente"/>
      </w:pPr>
      <w:r>
        <w:t xml:space="preserve">Presentación C-3, pág. 40</w:t>
      </w:r>
    </w:p>
    <w:p>
      <w:bookmarkStart w:name="b_punto_c3_p040_01" w:id="4248"/>
      <w:r>
        <w:t xml:space="preserve">El modelo sirve como referencia para actuar sobre la realidad.</w:t>
      </w:r>
      <w:bookmarkEnd w:id="4248"/>
    </w:p>
    <w:p>
      <w:bookmarkStart w:name="b_punto_c3_p040_02" w:id="4249"/>
      <w:r>
        <w:t xml:space="preserve">La intervención utiliza escenarios y consecuencias para elegir acciones.</w:t>
      </w:r>
      <w:bookmarkEnd w:id="4249"/>
    </w:p>
    <w:p>
      <w:bookmarkStart w:name="b_punto_c3_p040_03" w:id="4250"/>
      <w:r>
        <w:t xml:space="preserve">Observar resultados vuelve a alimentar el análisis; no basta explicar para haber intervenido.</w:t>
      </w:r>
      <w:bookmarkEnd w:id="4250"/>
    </w:p>
    <w:p>
      <w:bookmarkStart w:name="b_punto_c3_p040_04" w:id="4251"/>
      <w:r>
        <w:t xml:space="preserve">Aprendizaje, explicación eintervención clasifican por uso; réplica, reconstrucción y construcción por proceso, no son una única lista.</w:t>
      </w:r>
      <w:bookmarkEnd w:id="4251"/>
    </w:p>
    <w:p>
      <w:pPr>
        <w:pStyle w:val="Heading3"/>
      </w:pPr>
      <w:bookmarkStart w:name="b_pagina_4_4_C_3_p53" w:id="4252"/>
      <w:r>
        <w:t xml:space="preserve">C-3 · página 53 · Ambientes de desarrollo</w:t>
      </w:r>
      <w:bookmarkEnd w:id="4252"/>
    </w:p>
    <w:p>
      <w:pPr>
        <w:pStyle w:val="Normal"/>
      </w:pPr>
      <w:r>
        <w:t xml:space="preserve">Comparación histórica de cinco herramientas de simulación del material de abril.</w:t>
      </w:r>
    </w:p>
    <w:p>
      <w:pPr>
        <w:keepNext/>
        <w:spacing w:after="40" w:before="150"/>
        <w:jc w:val="center"/>
      </w:pPr>
      <w:bookmarkStart w:name="b_figura_original_pagina_C_3_53" w:id="4253"/>
      <w:bookmarkEnd w:id="4253"/>
      <w:r>
        <w:drawing>
          <wp:inline distT="0" distB="0" distL="0" distR="0">
            <wp:extent cx="5381625" cy="3028950"/>
            <wp:effectExtent t="0" r="0" b="0" l="0"/>
            <wp:docPr id="143" name="pagina-C-3-53" descr="Presentación C-3, pág. 53" title="Ambientes de desarroll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19" cstate="none"/>
                    <a:srcRect/>
                    <a:stretch>
                      <a:fillRect/>
                    </a:stretch>
                  </pic:blipFill>
                  <pic:spPr bwMode="auto">
                    <a:xfrm>
                      <a:off x="0" y="0"/>
                      <a:ext cx="5381625" cy="3028950"/>
                    </a:xfrm>
                    <a:prstGeom prst="rect">
                      <a:avLst/>
                    </a:prstGeom>
                  </pic:spPr>
                </pic:pic>
              </a:graphicData>
            </a:graphic>
          </wp:inline>
        </w:drawing>
      </w:r>
    </w:p>
    <w:p>
      <w:pPr>
        <w:pStyle w:val="PieFigura"/>
        <w:keepNext/>
      </w:pPr>
      <w:bookmarkStart w:name="b_fig_4_4_11" w:id="4254"/>
      <w:r>
        <w:t xml:space="preserve">Figura 4.4.</w:t>
      </w:r>
      <w:fldSimple w:instr="SEQ Figura \n \* ARABIC">
        <w:r>
          <w:t xml:space="preserve">11</w:t>
        </w:r>
      </w:fldSimple>
      <w:r>
        <w:t xml:space="preserve"> · Ambientes de desarrollo</w:t>
      </w:r>
      <w:bookmarkEnd w:id="4254"/>
    </w:p>
    <w:p>
      <w:pPr>
        <w:pStyle w:val="Fuente"/>
      </w:pPr>
      <w:r>
        <w:t xml:space="preserve">Presentación C-3, pág. 53</w:t>
      </w:r>
    </w:p>
    <w:p>
      <w:bookmarkStart w:name="b_punto_c3_p053_01" w:id="4255"/>
      <w:r>
        <w:t xml:space="preserve">La lámina histórica C-3/53 distingue DYNAMO por ecuaciones, STELLA/i-think por interacción gráfica y orientación académica/profesional, Mosaikk–SimTek por conectar interfaz y lenguaje, PowerSim por interconectar modelos y Vensim por datos, optimización, documentación, árboles causales y análisis.</w:t>
      </w:r>
      <w:bookmarkEnd w:id="4255"/>
    </w:p>
    <w:p>
      <w:bookmarkStart w:name="b_punto_c3_p053_02" w:id="4256"/>
      <w:r>
        <w:t xml:space="preserve">La lámina histórica C-3/53 distingue DYNAMO por ecuaciones, STELLA/i-think por interacción gráfica y orientación académica/profesional, Mosaikk–SimTek por conectar interfaz y lenguaje, PowerSim por interconectar modelos y Vensim por datos, optimización, documentación, árboles causales y análisis.</w:t>
      </w:r>
      <w:bookmarkEnd w:id="4256"/>
    </w:p>
    <w:p>
      <w:bookmarkStart w:name="b_punto_c3_p053_03" w:id="4257"/>
      <w:r>
        <w:t xml:space="preserve">La lámina histórica C-3/53 distingue DYNAMO por ecuaciones, STELLA/i-think por interacción gráfica y orientación académica/profesional, Mosaikk–SimTek por conectar interfaz y lenguaje, PowerSim por interconectar modelos y Vensim por datos, optimización, documentación, árboles causales y análisis.</w:t>
      </w:r>
      <w:bookmarkEnd w:id="4257"/>
    </w:p>
    <w:p>
      <w:bookmarkStart w:name="b_punto_c3_p053_04" w:id="4258"/>
      <w:r>
        <w:t xml:space="preserve">La lámina histórica C-3/53 distingue DYNAMO por ecuaciones, STELLA/i-think por interacción gráfica y orientación académica/profesional, Mosaikk–SimTek por conectar interfaz y lenguaje, PowerSim por interconectar modelos y Vensim por datos, optimización, documentación, árboles causales y análisis.</w:t>
      </w:r>
      <w:bookmarkEnd w:id="4258"/>
    </w:p>
    <w:p>
      <w:bookmarkStart w:name="b_punto_c3_p053_05" w:id="4259"/>
      <w:r>
        <w:t xml:space="preserve">La lámina histórica C-3/53 distingue DYNAMO por ecuaciones, STELLA/i-think por interacción gráfica y orientación académica/profesional, Mosaikk–SimTek por conectar interfaz y lenguaje, PowerSim por interconectar modelos y Vensim por datos, optimización, documentación, árboles causales y análisis.</w:t>
      </w:r>
      <w:bookmarkEnd w:id="4259"/>
    </w:p>
    <w:p>
      <w:pPr>
        <w:pStyle w:val="Heading3"/>
      </w:pPr>
      <w:bookmarkStart w:name="b_pagina_4_4_C_3_p56" w:id="4260"/>
      <w:r>
        <w:t xml:space="preserve">C-3 · página 56 · El almacén: entrada y dos salidas</w:t>
      </w:r>
      <w:bookmarkEnd w:id="4260"/>
    </w:p>
    <w:p>
      <w:pPr>
        <w:pStyle w:val="Normal"/>
      </w:pPr>
      <w:r>
        <w:t xml:space="preserve">Mercancías acumula entradas menos ventas/salidas y deterioro.</w:t>
      </w:r>
    </w:p>
    <w:p>
      <w:pPr>
        <w:keepNext/>
        <w:spacing w:after="40" w:before="150"/>
        <w:jc w:val="center"/>
      </w:pPr>
      <w:bookmarkStart w:name="b_figura_original_pagina_C_3_56" w:id="4261"/>
      <w:bookmarkEnd w:id="4261"/>
      <w:r>
        <w:drawing>
          <wp:inline distT="0" distB="0" distL="0" distR="0">
            <wp:extent cx="5381625" cy="3028950"/>
            <wp:effectExtent t="0" r="0" b="0" l="0"/>
            <wp:docPr id="144" name="pagina-C-3-56" descr="Presentación C-3, pág. 56" title="El almacén: entrada y dos salid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20" cstate="none"/>
                    <a:srcRect/>
                    <a:stretch>
                      <a:fillRect/>
                    </a:stretch>
                  </pic:blipFill>
                  <pic:spPr bwMode="auto">
                    <a:xfrm>
                      <a:off x="0" y="0"/>
                      <a:ext cx="5381625" cy="3028950"/>
                    </a:xfrm>
                    <a:prstGeom prst="rect">
                      <a:avLst/>
                    </a:prstGeom>
                  </pic:spPr>
                </pic:pic>
              </a:graphicData>
            </a:graphic>
          </wp:inline>
        </w:drawing>
      </w:r>
    </w:p>
    <w:p>
      <w:pPr>
        <w:pStyle w:val="PieFigura"/>
        <w:keepNext/>
      </w:pPr>
      <w:bookmarkStart w:name="b_fig_4_4_12" w:id="4262"/>
      <w:r>
        <w:t xml:space="preserve">Figura 4.4.</w:t>
      </w:r>
      <w:fldSimple w:instr="SEQ Figura \n \* ARABIC">
        <w:r>
          <w:t xml:space="preserve">12</w:t>
        </w:r>
      </w:fldSimple>
      <w:r>
        <w:t xml:space="preserve"> · El almacén: entrada y dos salidas</w:t>
      </w:r>
      <w:bookmarkEnd w:id="4262"/>
    </w:p>
    <w:p>
      <w:pPr>
        <w:pStyle w:val="Fuente"/>
      </w:pPr>
      <w:r>
        <w:t xml:space="preserve">Presentación C-3, pág. 56</w:t>
      </w:r>
    </w:p>
    <w:p>
      <w:bookmarkStart w:name="b_punto_c3_p056_01" w:id="4263"/>
      <w:r>
        <w:t xml:space="preserve">Mercancías es el nivel; entrada llena y salidas/deterioro lo vacían.</w:t>
      </w:r>
      <w:bookmarkEnd w:id="4263"/>
    </w:p>
    <w:p>
      <w:bookmarkStart w:name="b_punto_c3_p056_02" w:id="4264"/>
      <w:r>
        <w:t xml:space="preserve">El mismo nivel puede tener más de un flujo de salida; se integra el total neto.</w:t>
      </w:r>
      <w:bookmarkEnd w:id="4264"/>
    </w:p>
    <w:p>
      <w:pPr>
        <w:pStyle w:val="Heading3"/>
      </w:pPr>
      <w:bookmarkStart w:name="b_pagina_4_4_C_3_p57" w:id="4265"/>
      <w:r>
        <w:t xml:space="preserve">C-3 · página 57 · Modelado de réplica</w:t>
      </w:r>
      <w:bookmarkEnd w:id="4265"/>
    </w:p>
    <w:p>
      <w:pPr>
        <w:pStyle w:val="Normal"/>
      </w:pPr>
      <w:r>
        <w:t xml:space="preserve">Este desarrollo de abril se conserva en la lección y se trasladó al deck 4b de octubre.</w:t>
      </w:r>
    </w:p>
    <w:p>
      <w:pPr>
        <w:pStyle w:val="Fuente"/>
      </w:pPr>
      <w:r>
        <w:t xml:space="preserve">Proyección o explicación: Clase 24 · 00:51:03 · captura c24-15.</w:t>
      </w:r>
    </w:p>
    <w:p>
      <w:pPr>
        <w:keepNext/>
        <w:spacing w:after="40" w:before="150"/>
        <w:jc w:val="center"/>
      </w:pPr>
      <w:bookmarkStart w:name="b_figura_original_pagina_C_3_57" w:id="4266"/>
      <w:bookmarkEnd w:id="4266"/>
      <w:r>
        <w:drawing>
          <wp:inline distT="0" distB="0" distL="0" distR="0">
            <wp:extent cx="5381625" cy="3028950"/>
            <wp:effectExtent t="0" r="0" b="0" l="0"/>
            <wp:docPr id="145" name="pagina-C-3-57" descr="Presentación C-3, pág. 57" title="Modelado de répl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21" cstate="none"/>
                    <a:srcRect/>
                    <a:stretch>
                      <a:fillRect/>
                    </a:stretch>
                  </pic:blipFill>
                  <pic:spPr bwMode="auto">
                    <a:xfrm>
                      <a:off x="0" y="0"/>
                      <a:ext cx="5381625" cy="3028950"/>
                    </a:xfrm>
                    <a:prstGeom prst="rect">
                      <a:avLst/>
                    </a:prstGeom>
                  </pic:spPr>
                </pic:pic>
              </a:graphicData>
            </a:graphic>
          </wp:inline>
        </w:drawing>
      </w:r>
    </w:p>
    <w:p>
      <w:pPr>
        <w:pStyle w:val="PieFigura"/>
        <w:keepNext/>
      </w:pPr>
      <w:bookmarkStart w:name="b_fig_4_4_13" w:id="4267"/>
      <w:r>
        <w:t xml:space="preserve">Figura 4.4.</w:t>
      </w:r>
      <w:fldSimple w:instr="SEQ Figura \n \* ARABIC">
        <w:r>
          <w:t xml:space="preserve">13</w:t>
        </w:r>
      </w:fldSimple>
      <w:r>
        <w:t xml:space="preserve"> · Modelado de réplica</w:t>
      </w:r>
      <w:bookmarkEnd w:id="4267"/>
    </w:p>
    <w:p>
      <w:pPr>
        <w:pStyle w:val="Fuente"/>
      </w:pPr>
      <w:r>
        <w:t xml:space="preserve">Presentación C-3, pág. 57</w:t>
      </w:r>
    </w:p>
    <w:p>
      <w:bookmarkStart w:name="b_punto_c3_p057_01" w:id="4268"/>
      <w:r>
        <w:t xml:space="preserve">Teoría y matemática aportan al proceso de modelado.</w:t>
      </w:r>
      <w:bookmarkEnd w:id="4268"/>
    </w:p>
    <w:p>
      <w:bookmarkStart w:name="b_punto_c3_p057_02" w:id="4269"/>
      <w:r>
        <w:t xml:space="preserve">La toma de datos vincula el modelo con la realidad que inspira el análisis.</w:t>
      </w:r>
      <w:bookmarkEnd w:id="4269"/>
    </w:p>
    <w:p>
      <w:bookmarkStart w:name="b_punto_c3_p057_03" w:id="4270"/>
      <w:r>
        <w:t xml:space="preserve">La confrontación permite validar antes de actuar sobre la realidad intervenida.</w:t>
      </w:r>
      <w:bookmarkEnd w:id="4270"/>
    </w:p>
    <w:p>
      <w:bookmarkStart w:name="b_punto_c3_p057_04" w:id="4271"/>
      <w:r>
        <w:t xml:space="preserve">Aprendizaje, explicación eintervención clasifican por uso; réplica, reconstrucción y construcción por proceso, no son una única lista.</w:t>
      </w:r>
      <w:bookmarkEnd w:id="4271"/>
    </w:p>
    <w:p>
      <w:pPr>
        <w:pStyle w:val="Heading3"/>
      </w:pPr>
      <w:bookmarkStart w:name="b_pagina_4_4_C_3_p58" w:id="4272"/>
      <w:r>
        <w:t xml:space="preserve">C-3 · página 58 · Modelado de reconstrucción</w:t>
      </w:r>
      <w:bookmarkEnd w:id="4272"/>
    </w:p>
    <w:p>
      <w:pPr>
        <w:pStyle w:val="Normal"/>
      </w:pPr>
      <w:r>
        <w:t xml:space="preserve">Este desarrollo de abril se conserva en la lección y se trasladó al deck 4b de octubre.</w:t>
      </w:r>
    </w:p>
    <w:p>
      <w:pPr>
        <w:pStyle w:val="Fuente"/>
      </w:pPr>
      <w:r>
        <w:t xml:space="preserve">Proyección o explicación: Clase 24 · 00:51:07.</w:t>
      </w:r>
    </w:p>
    <w:p>
      <w:pPr>
        <w:keepNext/>
        <w:spacing w:after="40" w:before="150"/>
        <w:jc w:val="center"/>
      </w:pPr>
      <w:bookmarkStart w:name="b_figura_original_pagina_C_3_58" w:id="4273"/>
      <w:bookmarkEnd w:id="4273"/>
      <w:r>
        <w:drawing>
          <wp:inline distT="0" distB="0" distL="0" distR="0">
            <wp:extent cx="5381625" cy="3028950"/>
            <wp:effectExtent t="0" r="0" b="0" l="0"/>
            <wp:docPr id="146" name="pagina-C-3-58" descr="Presentación C-3, pág. 58" title="Modelado de reconstrucció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22" cstate="none"/>
                    <a:srcRect/>
                    <a:stretch>
                      <a:fillRect/>
                    </a:stretch>
                  </pic:blipFill>
                  <pic:spPr bwMode="auto">
                    <a:xfrm>
                      <a:off x="0" y="0"/>
                      <a:ext cx="5381625" cy="3028950"/>
                    </a:xfrm>
                    <a:prstGeom prst="rect">
                      <a:avLst/>
                    </a:prstGeom>
                  </pic:spPr>
                </pic:pic>
              </a:graphicData>
            </a:graphic>
          </wp:inline>
        </w:drawing>
      </w:r>
    </w:p>
    <w:p>
      <w:pPr>
        <w:pStyle w:val="PieFigura"/>
        <w:keepNext/>
      </w:pPr>
      <w:bookmarkStart w:name="b_fig_4_4_14" w:id="4274"/>
      <w:r>
        <w:t xml:space="preserve">Figura 4.4.</w:t>
      </w:r>
      <w:fldSimple w:instr="SEQ Figura \n \* ARABIC">
        <w:r>
          <w:t xml:space="preserve">14</w:t>
        </w:r>
      </w:fldSimple>
      <w:r>
        <w:t xml:space="preserve"> · Modelado de reconstrucción</w:t>
      </w:r>
      <w:bookmarkEnd w:id="4274"/>
    </w:p>
    <w:p>
      <w:pPr>
        <w:pStyle w:val="Fuente"/>
      </w:pPr>
      <w:r>
        <w:t xml:space="preserve">Presentación C-3, pág. 58</w:t>
      </w:r>
    </w:p>
    <w:p>
      <w:bookmarkStart w:name="b_punto_c3_p058_01" w:id="4275"/>
      <w:r>
        <w:t xml:space="preserve">Se conserva la base de teoría, matemática, datos y validación de la réplica.</w:t>
      </w:r>
      <w:bookmarkEnd w:id="4275"/>
    </w:p>
    <w:p>
      <w:bookmarkStart w:name="b_punto_c3_p058_02" w:id="4276"/>
      <w:r>
        <w:t xml:space="preserve">Validación y acción se incorporan a un ciclo de aprendizaje sobre la realidad.</w:t>
      </w:r>
      <w:bookmarkEnd w:id="4276"/>
    </w:p>
    <w:p>
      <w:bookmarkStart w:name="b_punto_c3_p058_03" w:id="4277"/>
      <w:r>
        <w:t xml:space="preserve">El aprendizaje permite revisar modelo eintervención, en vez de repetirlos sin cambios.</w:t>
      </w:r>
      <w:bookmarkEnd w:id="4277"/>
    </w:p>
    <w:p>
      <w:bookmarkStart w:name="b_punto_c3_p058_04" w:id="4278"/>
      <w:r>
        <w:t xml:space="preserve">Aprendizaje, explicación eintervención clasifican por uso; réplica, reconstrucción y construcción por proceso, no son una única lista.</w:t>
      </w:r>
      <w:bookmarkEnd w:id="4278"/>
    </w:p>
    <w:p>
      <w:pPr>
        <w:pStyle w:val="Heading3"/>
      </w:pPr>
      <w:bookmarkStart w:name="b_pagina_4_4_C_3_p59" w:id="4279"/>
      <w:r>
        <w:t xml:space="preserve">C-3 · página 59 · Modelado de construcción</w:t>
      </w:r>
      <w:bookmarkEnd w:id="4279"/>
    </w:p>
    <w:p>
      <w:pPr>
        <w:pStyle w:val="Normal"/>
      </w:pPr>
      <w:r>
        <w:t xml:space="preserve">Este desarrollo de abril se conserva en la lección y se trasladó al deck 4b de octubre.</w:t>
      </w:r>
    </w:p>
    <w:p>
      <w:pPr>
        <w:pStyle w:val="Fuente"/>
      </w:pPr>
      <w:r>
        <w:t xml:space="preserve">Proyección o explicación: Clase 24 · 00:51:07 · captura c24-16.</w:t>
      </w:r>
    </w:p>
    <w:p>
      <w:pPr>
        <w:keepNext/>
        <w:spacing w:after="40" w:before="150"/>
        <w:jc w:val="center"/>
      </w:pPr>
      <w:bookmarkStart w:name="b_figura_original_pagina_C_3_59" w:id="4280"/>
      <w:bookmarkEnd w:id="4280"/>
      <w:r>
        <w:drawing>
          <wp:inline distT="0" distB="0" distL="0" distR="0">
            <wp:extent cx="5381625" cy="3028950"/>
            <wp:effectExtent t="0" r="0" b="0" l="0"/>
            <wp:docPr id="147" name="pagina-C-3-59" descr="Presentación C-3, pág. 59" title="Modelado de construcció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23" cstate="none"/>
                    <a:srcRect/>
                    <a:stretch>
                      <a:fillRect/>
                    </a:stretch>
                  </pic:blipFill>
                  <pic:spPr bwMode="auto">
                    <a:xfrm>
                      <a:off x="0" y="0"/>
                      <a:ext cx="5381625" cy="3028950"/>
                    </a:xfrm>
                    <a:prstGeom prst="rect">
                      <a:avLst/>
                    </a:prstGeom>
                  </pic:spPr>
                </pic:pic>
              </a:graphicData>
            </a:graphic>
          </wp:inline>
        </w:drawing>
      </w:r>
    </w:p>
    <w:p>
      <w:pPr>
        <w:pStyle w:val="PieFigura"/>
        <w:keepNext/>
      </w:pPr>
      <w:bookmarkStart w:name="b_fig_4_4_15" w:id="4281"/>
      <w:r>
        <w:t xml:space="preserve">Figura 4.4.</w:t>
      </w:r>
      <w:fldSimple w:instr="SEQ Figura \n \* ARABIC">
        <w:r>
          <w:t xml:space="preserve">15</w:t>
        </w:r>
      </w:fldSimple>
      <w:r>
        <w:t xml:space="preserve"> · Modelado de construcción</w:t>
      </w:r>
      <w:bookmarkEnd w:id="4281"/>
    </w:p>
    <w:p>
      <w:pPr>
        <w:pStyle w:val="Fuente"/>
      </w:pPr>
      <w:r>
        <w:t xml:space="preserve">Presentación C-3, pág. 59</w:t>
      </w:r>
    </w:p>
    <w:p>
      <w:bookmarkStart w:name="b_punto_c3_p059_01" w:id="4282"/>
      <w:r>
        <w:t xml:space="preserve">Se añade investigación para elaborar orevisar teoría desde la realidad.</w:t>
      </w:r>
      <w:bookmarkEnd w:id="4282"/>
    </w:p>
    <w:p>
      <w:bookmarkStart w:name="b_punto_c3_p059_02" w:id="4283"/>
      <w:r>
        <w:t xml:space="preserve">Toma de datos, modelado, confrontación, validación y acción forman un ciclo de aprendizaje.</w:t>
      </w:r>
      <w:bookmarkEnd w:id="4283"/>
    </w:p>
    <w:p>
      <w:bookmarkStart w:name="b_punto_c3_p059_03" w:id="4284"/>
      <w:r>
        <w:t xml:space="preserve">La realidad inspiradora y la intervenida aparecen unificadas como una perspectiva de la realidad.</w:t>
      </w:r>
      <w:bookmarkEnd w:id="4284"/>
    </w:p>
    <w:p>
      <w:bookmarkStart w:name="b_punto_c3_p059_04" w:id="4285"/>
      <w:r>
        <w:t xml:space="preserve">Aprendizaje, explicación eintervención clasifican por uso; réplica, reconstrucción y construcción por proceso, no son una única lista.</w:t>
      </w:r>
      <w:bookmarkEnd w:id="4285"/>
    </w:p>
    <w:p>
      <w:pPr>
        <w:pStyle w:val="Heading3"/>
      </w:pPr>
      <w:r>
        <w:t xml:space="preserve">Láminas de apoyo y versiones anteriores</w:t>
      </w:r>
    </w:p>
    <w:p>
      <w:pPr>
        <w:keepNext/>
        <w:spacing w:after="40" w:before="150"/>
        <w:jc w:val="center"/>
      </w:pPr>
      <w:bookmarkStart w:name="b_figura_original_pagina_C_3_17" w:id="4286"/>
      <w:bookmarkEnd w:id="4286"/>
      <w:r>
        <w:drawing>
          <wp:inline distT="0" distB="0" distL="0" distR="0">
            <wp:extent cx="5381625" cy="3028950"/>
            <wp:effectExtent t="0" r="0" b="0" l="0"/>
            <wp:docPr id="148" name="pagina-C-3-17" descr="Presentación C-3, pág. 17" title="Diagramas de flujos y niveles como base para la simulación del comportamiento de un siste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24" cstate="none"/>
                    <a:srcRect/>
                    <a:stretch>
                      <a:fillRect/>
                    </a:stretch>
                  </pic:blipFill>
                  <pic:spPr bwMode="auto">
                    <a:xfrm>
                      <a:off x="0" y="0"/>
                      <a:ext cx="5381625" cy="3028950"/>
                    </a:xfrm>
                    <a:prstGeom prst="rect">
                      <a:avLst/>
                    </a:prstGeom>
                  </pic:spPr>
                </pic:pic>
              </a:graphicData>
            </a:graphic>
          </wp:inline>
        </w:drawing>
      </w:r>
    </w:p>
    <w:p>
      <w:pPr>
        <w:pStyle w:val="PieFigura"/>
        <w:keepNext/>
      </w:pPr>
      <w:bookmarkStart w:name="b_fig_4_4_16" w:id="4287"/>
      <w:r>
        <w:t xml:space="preserve">Figura 4.4.</w:t>
      </w:r>
      <w:fldSimple w:instr="SEQ Figura \n \* ARABIC">
        <w:r>
          <w:t xml:space="preserve">16</w:t>
        </w:r>
      </w:fldSimple>
      <w:r>
        <w:t xml:space="preserve"> · Diagramas de flujos y niveles como base para la simulación del comportamiento de un sistema</w:t>
      </w:r>
      <w:bookmarkEnd w:id="4287"/>
    </w:p>
    <w:p>
      <w:pPr>
        <w:pStyle w:val="Fuente"/>
      </w:pPr>
      <w:r>
        <w:t xml:space="preserve">Presentación C-3, pág. 17</w:t>
      </w:r>
    </w:p>
    <w:p>
      <w:pPr>
        <w:keepNext/>
        <w:spacing w:after="40" w:before="150"/>
        <w:jc w:val="center"/>
      </w:pPr>
      <w:bookmarkStart w:name="b_figura_original_pagina_C_3_23" w:id="4288"/>
      <w:bookmarkEnd w:id="4288"/>
      <w:r>
        <w:drawing>
          <wp:inline distT="0" distB="0" distL="0" distR="0">
            <wp:extent cx="5381625" cy="3028950"/>
            <wp:effectExtent t="0" r="0" b="0" l="0"/>
            <wp:docPr id="149" name="pagina-C-3-23" descr="Presentación C-3, pág. 23" title="Ejercicio de modelación de simulación dinám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25" cstate="none"/>
                    <a:srcRect/>
                    <a:stretch>
                      <a:fillRect/>
                    </a:stretch>
                  </pic:blipFill>
                  <pic:spPr bwMode="auto">
                    <a:xfrm>
                      <a:off x="0" y="0"/>
                      <a:ext cx="5381625" cy="3028950"/>
                    </a:xfrm>
                    <a:prstGeom prst="rect">
                      <a:avLst/>
                    </a:prstGeom>
                  </pic:spPr>
                </pic:pic>
              </a:graphicData>
            </a:graphic>
          </wp:inline>
        </w:drawing>
      </w:r>
    </w:p>
    <w:p>
      <w:pPr>
        <w:pStyle w:val="PieFigura"/>
        <w:keepNext/>
      </w:pPr>
      <w:bookmarkStart w:name="b_fig_4_4_17" w:id="4289"/>
      <w:r>
        <w:t xml:space="preserve">Figura 4.4.</w:t>
      </w:r>
      <w:fldSimple w:instr="SEQ Figura \n \* ARABIC">
        <w:r>
          <w:t xml:space="preserve">17</w:t>
        </w:r>
      </w:fldSimple>
      <w:r>
        <w:t xml:space="preserve"> · Ejercicio de modelación de simulación dinámica</w:t>
      </w:r>
      <w:bookmarkEnd w:id="4289"/>
    </w:p>
    <w:p>
      <w:pPr>
        <w:pStyle w:val="Fuente"/>
      </w:pPr>
      <w:r>
        <w:t xml:space="preserve">Presentación C-3, pág. 23</w:t>
      </w:r>
    </w:p>
    <w:p>
      <w:pPr>
        <w:keepNext/>
        <w:spacing w:after="40" w:before="150"/>
        <w:jc w:val="center"/>
      </w:pPr>
      <w:bookmarkStart w:name="b_figura_original_pagina_C_3_28" w:id="4290"/>
      <w:bookmarkEnd w:id="4290"/>
      <w:r>
        <w:drawing>
          <wp:inline distT="0" distB="0" distL="0" distR="0">
            <wp:extent cx="5381625" cy="3028950"/>
            <wp:effectExtent t="0" r="0" b="0" l="0"/>
            <wp:docPr id="150" name="pagina-C-3-28" descr="Presentación C-3, pág. 28. Precisión: Nacimientos y muertes son flujos, aunque dos llamadas los rotulen auxiliares. La fórmula impresa de población expresa una tasa de cambio y omite la acumulación: Población = INTEG((Nacimientos − Muertes) × Coef. Carga, 60). Coef. Carga es auxiliar y K es exógena." title="Componentes de un modelo de simulación dinámica de un siste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11" cstate="none"/>
                    <a:srcRect/>
                    <a:stretch>
                      <a:fillRect/>
                    </a:stretch>
                  </pic:blipFill>
                  <pic:spPr bwMode="auto">
                    <a:xfrm>
                      <a:off x="0" y="0"/>
                      <a:ext cx="5381625" cy="3028950"/>
                    </a:xfrm>
                    <a:prstGeom prst="rect">
                      <a:avLst/>
                    </a:prstGeom>
                  </pic:spPr>
                </pic:pic>
              </a:graphicData>
            </a:graphic>
          </wp:inline>
        </w:drawing>
      </w:r>
    </w:p>
    <w:p>
      <w:pPr>
        <w:pStyle w:val="PieFigura"/>
        <w:keepNext/>
      </w:pPr>
      <w:bookmarkStart w:name="b_fig_4_4_18" w:id="4291"/>
      <w:r>
        <w:t xml:space="preserve">Figura 4.4.</w:t>
      </w:r>
      <w:fldSimple w:instr="SEQ Figura \n \* ARABIC">
        <w:r>
          <w:t xml:space="preserve">18</w:t>
        </w:r>
      </w:fldSimple>
      <w:r>
        <w:t xml:space="preserve"> · Componentes de un modelo de simulación dinámica de un sistema</w:t>
      </w:r>
      <w:bookmarkEnd w:id="4291"/>
    </w:p>
    <w:p>
      <w:pPr>
        <w:pStyle w:val="Fuente"/>
      </w:pPr>
      <w:r>
        <w:t xml:space="preserve">Presentación C-3, pág. 28. Precisión: Nacimientos y muertes son flujos, aunque dos llamadas los rotulen auxiliares. La fórmula impresa de población expresa una tasa de cambio y omite la acumulación: Población = INTEG((Nacimientos − Muertes) × Coef. Carga, 60). Coef. Carga es auxiliar y K es exógena.</w:t>
      </w:r>
    </w:p>
    <w:p>
      <w:pPr>
        <w:keepNext/>
        <w:spacing w:after="40" w:before="150"/>
        <w:jc w:val="center"/>
      </w:pPr>
      <w:bookmarkStart w:name="b_figura_original_pagina_C_3_34" w:id="4292"/>
      <w:bookmarkEnd w:id="4292"/>
      <w:r>
        <w:drawing>
          <wp:inline distT="0" distB="0" distL="0" distR="0">
            <wp:extent cx="5381625" cy="3028950"/>
            <wp:effectExtent t="0" r="0" b="0" l="0"/>
            <wp:docPr id="151" name="pagina-C-3-34" descr="Presentación C-3, pág. 34" title="Solución a caso de préstamo bancario: perspectiva 1, suponiendo que no se paga el préstamo y el saldo bancario se acumu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26" cstate="none"/>
                    <a:srcRect/>
                    <a:stretch>
                      <a:fillRect/>
                    </a:stretch>
                  </pic:blipFill>
                  <pic:spPr bwMode="auto">
                    <a:xfrm>
                      <a:off x="0" y="0"/>
                      <a:ext cx="5381625" cy="3028950"/>
                    </a:xfrm>
                    <a:prstGeom prst="rect">
                      <a:avLst/>
                    </a:prstGeom>
                  </pic:spPr>
                </pic:pic>
              </a:graphicData>
            </a:graphic>
          </wp:inline>
        </w:drawing>
      </w:r>
    </w:p>
    <w:p>
      <w:pPr>
        <w:pStyle w:val="PieFigura"/>
        <w:keepNext/>
      </w:pPr>
      <w:bookmarkStart w:name="b_fig_4_4_19" w:id="4293"/>
      <w:r>
        <w:t xml:space="preserve">Figura 4.4.</w:t>
      </w:r>
      <w:fldSimple w:instr="SEQ Figura \n \* ARABIC">
        <w:r>
          <w:t xml:space="preserve">19</w:t>
        </w:r>
      </w:fldSimple>
      <w:r>
        <w:t xml:space="preserve"> · Solución a caso de préstamo bancario: perspectiva 1, suponiendo que no se paga el préstamo y el saldo bancario se acumula</w:t>
      </w:r>
      <w:bookmarkEnd w:id="4293"/>
    </w:p>
    <w:p>
      <w:pPr>
        <w:pStyle w:val="Fuente"/>
      </w:pPr>
      <w:r>
        <w:t xml:space="preserve">Presentación C-3, pág. 34</w:t>
      </w:r>
    </w:p>
    <w:p>
      <w:pPr>
        <w:keepNext/>
        <w:spacing w:after="40" w:before="150"/>
        <w:jc w:val="center"/>
      </w:pPr>
      <w:bookmarkStart w:name="b_figura_original_pagina_C_3_35" w:id="4294"/>
      <w:bookmarkEnd w:id="4294"/>
      <w:r>
        <w:drawing>
          <wp:inline distT="0" distB="0" distL="0" distR="0">
            <wp:extent cx="5381625" cy="3028950"/>
            <wp:effectExtent t="0" r="0" b="0" l="0"/>
            <wp:docPr id="152" name="pagina-C-3-35" descr="Presentación C-3, pág. 35. Precisión: La flecha de la duración del préstamo al pago mensual lleva signo +, pero un plazo más largo reparte el monto en más meses y baja el pago: el signo debería ser −. Además, el ciclo saldo → intereses → pago → saldo, de balance, no está marcado." title="Solución a caso de préstamo bancario: perspectiva 2, suponiendo que se paga el préstamo mensual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27" cstate="none"/>
                    <a:srcRect/>
                    <a:stretch>
                      <a:fillRect/>
                    </a:stretch>
                  </pic:blipFill>
                  <pic:spPr bwMode="auto">
                    <a:xfrm>
                      <a:off x="0" y="0"/>
                      <a:ext cx="5381625" cy="3028950"/>
                    </a:xfrm>
                    <a:prstGeom prst="rect">
                      <a:avLst/>
                    </a:prstGeom>
                  </pic:spPr>
                </pic:pic>
              </a:graphicData>
            </a:graphic>
          </wp:inline>
        </w:drawing>
      </w:r>
    </w:p>
    <w:p>
      <w:pPr>
        <w:pStyle w:val="PieFigura"/>
        <w:keepNext/>
      </w:pPr>
      <w:bookmarkStart w:name="b_fig_4_4_20" w:id="4295"/>
      <w:r>
        <w:t xml:space="preserve">Figura 4.4.</w:t>
      </w:r>
      <w:fldSimple w:instr="SEQ Figura \n \* ARABIC">
        <w:r>
          <w:t xml:space="preserve">20</w:t>
        </w:r>
      </w:fldSimple>
      <w:r>
        <w:t xml:space="preserve"> · Solución a caso de préstamo bancario: perspectiva 2, suponiendo que se paga el préstamo mensualmente</w:t>
      </w:r>
      <w:bookmarkEnd w:id="4295"/>
    </w:p>
    <w:p>
      <w:pPr>
        <w:pStyle w:val="Fuente"/>
      </w:pPr>
      <w:r>
        <w:t xml:space="preserve">Presentación C-3, pág. 35. Precisión: La flecha de la duración del préstamo al pago mensual lleva signo +, pero un plazo más largo reparte el monto en más meses y baja el pago: el signo debería ser −. Además, el ciclo saldo → intereses → pago → saldo, de balance, no está marcado.</w:t>
      </w:r>
    </w:p>
    <w:p>
      <w:pPr>
        <w:keepNext/>
        <w:spacing w:after="40" w:before="150"/>
        <w:jc w:val="center"/>
      </w:pPr>
      <w:bookmarkStart w:name="b_figura_original_pagina_C_3_36" w:id="4296"/>
      <w:bookmarkEnd w:id="4296"/>
      <w:r>
        <w:drawing>
          <wp:inline distT="0" distB="0" distL="0" distR="0">
            <wp:extent cx="5381625" cy="3028950"/>
            <wp:effectExtent t="0" r="0" b="0" l="0"/>
            <wp:docPr id="153" name="pagina-C-3-36" descr="Presentación C-3, pág. 36" title="Modelos de dinámica de sistemas para simular sistemas y evaluar escenarios «qué pasaría s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28" cstate="none"/>
                    <a:srcRect/>
                    <a:stretch>
                      <a:fillRect/>
                    </a:stretch>
                  </pic:blipFill>
                  <pic:spPr bwMode="auto">
                    <a:xfrm>
                      <a:off x="0" y="0"/>
                      <a:ext cx="5381625" cy="3028950"/>
                    </a:xfrm>
                    <a:prstGeom prst="rect">
                      <a:avLst/>
                    </a:prstGeom>
                  </pic:spPr>
                </pic:pic>
              </a:graphicData>
            </a:graphic>
          </wp:inline>
        </w:drawing>
      </w:r>
    </w:p>
    <w:p>
      <w:pPr>
        <w:pStyle w:val="PieFigura"/>
        <w:keepNext/>
      </w:pPr>
      <w:bookmarkStart w:name="b_fig_4_4_21" w:id="4297"/>
      <w:r>
        <w:t xml:space="preserve">Figura 4.4.</w:t>
      </w:r>
      <w:fldSimple w:instr="SEQ Figura \n \* ARABIC">
        <w:r>
          <w:t xml:space="preserve">21</w:t>
        </w:r>
      </w:fldSimple>
      <w:r>
        <w:t xml:space="preserve"> · Modelos de dinámica de sistemas para simular sistemas y evaluar escenarios «qué pasaría si…»</w:t>
      </w:r>
      <w:bookmarkEnd w:id="4297"/>
    </w:p>
    <w:p>
      <w:pPr>
        <w:pStyle w:val="Fuente"/>
      </w:pPr>
      <w:r>
        <w:t xml:space="preserve">Presentación C-3, pág. 36</w:t>
      </w:r>
    </w:p>
    <w:p>
      <w:pPr>
        <w:keepNext/>
        <w:spacing w:after="40" w:before="150"/>
        <w:jc w:val="center"/>
      </w:pPr>
      <w:bookmarkStart w:name="b_figura_original_pagina_C_3_41" w:id="4298"/>
      <w:bookmarkEnd w:id="4298"/>
      <w:r>
        <w:drawing>
          <wp:inline distT="0" distB="0" distL="0" distR="0">
            <wp:extent cx="5381625" cy="3028950"/>
            <wp:effectExtent t="0" r="0" b="0" l="0"/>
            <wp:docPr id="154" name="pagina-C-3-41" descr="Presentación C-3, pág. 41" title="Elementos básicos de model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29" cstate="none"/>
                    <a:srcRect/>
                    <a:stretch>
                      <a:fillRect/>
                    </a:stretch>
                  </pic:blipFill>
                  <pic:spPr bwMode="auto">
                    <a:xfrm>
                      <a:off x="0" y="0"/>
                      <a:ext cx="5381625" cy="3028950"/>
                    </a:xfrm>
                    <a:prstGeom prst="rect">
                      <a:avLst/>
                    </a:prstGeom>
                  </pic:spPr>
                </pic:pic>
              </a:graphicData>
            </a:graphic>
          </wp:inline>
        </w:drawing>
      </w:r>
    </w:p>
    <w:p>
      <w:pPr>
        <w:pStyle w:val="PieFigura"/>
        <w:keepNext/>
      </w:pPr>
      <w:bookmarkStart w:name="b_fig_4_4_22" w:id="4299"/>
      <w:r>
        <w:t xml:space="preserve">Figura 4.4.</w:t>
      </w:r>
      <w:fldSimple w:instr="SEQ Figura \n \* ARABIC">
        <w:r>
          <w:t xml:space="preserve">22</w:t>
        </w:r>
      </w:fldSimple>
      <w:r>
        <w:t xml:space="preserve"> · Elementos básicos de modelo</w:t>
      </w:r>
      <w:bookmarkEnd w:id="4299"/>
    </w:p>
    <w:p>
      <w:pPr>
        <w:pStyle w:val="Fuente"/>
      </w:pPr>
      <w:r>
        <w:t xml:space="preserve">Presentación C-3, pág. 41</w:t>
      </w:r>
    </w:p>
    <w:p>
      <w:pPr>
        <w:pStyle w:val="Heading3"/>
      </w:pPr>
      <w:r>
        <w:t xml:space="preserve">Lo que explicó el profesor en clase</w:t>
      </w:r>
    </w:p>
    <w:p>
      <w:pPr>
        <w:pStyle w:val="Heading3"/>
      </w:pPr>
      <w:bookmarkStart w:name="b_clase_4_4_c1_cap_03" w:id="4300"/>
      <w:r>
        <w:t xml:space="preserve">Clase 1 · 00:14:03–00:25:56 · Las cuatro unidades y el hilo del curso</w:t>
      </w:r>
      <w:bookmarkEnd w:id="4300"/>
    </w:p>
    <w:p>
      <w:bookmarkStart w:name="b_punto_c1_cap_03_p08" w:id="4301"/>
      <w:r>
        <w:t xml:space="preserve">La simulación dinámica en Vensim expresa comportamiento a lo largo del tiempo con herramientas matemáticas sencillas; es una introducción didáctica.</w:t>
      </w:r>
      <w:bookmarkEnd w:id="4301"/>
    </w:p>
    <w:p>
      <w:pPr>
        <w:pStyle w:val="Fuente"/>
      </w:pPr>
      <w:r>
        <w:t xml:space="preserve">Véase </w:t>
      </w:r>
      <w:hyperlink w:history="1" w:anchor="b_1_1">
        <w:r>
          <w:rPr>
            <w:color w:val="156B70"/>
            <w:u w:val="single"/>
          </w:rPr>
          <w:t xml:space="preserve">capítulo 1.1 · Paradigmas y modelos mentales</w:t>
        </w:r>
      </w:hyperlink>
      <w:r>
        <w:t xml:space="preserve">, pág. </w:t>
      </w:r>
      <w:r>
        <w:fldChar w:fldCharType="begin"/>
        <w:instrText xml:space="preserve">PAGEREF b_1_1 \h</w:instrText>
        <w:fldChar w:fldCharType="separate"/>
        <w:t xml:space="preserve">19</w:t>
        <w:fldChar w:fldCharType="end"/>
      </w:r>
      <w:r>
        <w:t xml:space="preserve">.</w:t>
      </w:r>
    </w:p>
    <w:p>
      <w:pPr>
        <w:pStyle w:val="Fuente"/>
      </w:pPr>
      <w:r>
        <w:t xml:space="preserve">Véase </w:t>
      </w:r>
      <w:hyperlink w:history="1" w:anchor="b_1_3">
        <w:r>
          <w:rPr>
            <w:color w:val="156B70"/>
            <w:u w:val="single"/>
          </w:rPr>
          <w:t xml:space="preserve">capítulo 1.3 · El paradigma de sistemas</w:t>
        </w:r>
      </w:hyperlink>
      <w:r>
        <w:t xml:space="preserve">, pág. </w:t>
      </w:r>
      <w:r>
        <w:fldChar w:fldCharType="begin"/>
        <w:instrText xml:space="preserve">PAGEREF b_1_3 \h</w:instrText>
        <w:fldChar w:fldCharType="separate"/>
        <w:t xml:space="preserve">83</w:t>
        <w:fldChar w:fldCharType="end"/>
      </w:r>
      <w:r>
        <w:t xml:space="preserve">.</w:t>
      </w:r>
    </w:p>
    <w:p>
      <w:pPr>
        <w:pStyle w:val="Fuente"/>
      </w:pPr>
      <w:r>
        <w:t xml:space="preserve">Véase </w:t>
      </w:r>
      <w:hyperlink w:history="1" w:anchor="b_1_4">
        <w:r>
          <w:rPr>
            <w:color w:val="156B70"/>
            <w:u w:val="single"/>
          </w:rPr>
          <w:t xml:space="preserve">capítulo 1.4 · Sistémico vs no sistémico</w:t>
        </w:r>
      </w:hyperlink>
      <w:r>
        <w:t xml:space="preserve">, pág. </w:t>
      </w:r>
      <w:r>
        <w:fldChar w:fldCharType="begin"/>
        <w:instrText xml:space="preserve">PAGEREF b_1_4 \h</w:instrText>
        <w:fldChar w:fldCharType="separate"/>
        <w:t xml:space="preserve">104</w:t>
        <w:fldChar w:fldCharType="end"/>
      </w:r>
      <w:r>
        <w:t xml:space="preserve">.</w:t>
      </w:r>
    </w:p>
    <w:p>
      <w:pPr>
        <w:pStyle w:val="Fuente"/>
      </w:pPr>
      <w:r>
        <w:t xml:space="preserve">Véase </w:t>
      </w:r>
      <w:hyperlink w:history="1" w:anchor="b_3_1">
        <w:r>
          <w:rPr>
            <w:color w:val="156B70"/>
            <w:u w:val="single"/>
          </w:rPr>
          <w:t xml:space="preserve">capítulo 3.1 · Mapas sistémicos</w:t>
        </w:r>
      </w:hyperlink>
      <w:r>
        <w:t xml:space="preserve">, pág. </w:t>
      </w:r>
      <w:r>
        <w:fldChar w:fldCharType="begin"/>
        <w:instrText xml:space="preserve">PAGEREF b_3_1 \h</w:instrText>
        <w:fldChar w:fldCharType="separate"/>
        <w:t xml:space="preserve">379</w:t>
        <w:fldChar w:fldCharType="end"/>
      </w:r>
      <w:r>
        <w:t xml:space="preserve">.</w:t>
      </w:r>
    </w:p>
    <w:p>
      <w:pPr>
        <w:pStyle w:val="Heading3"/>
      </w:pPr>
      <w:bookmarkStart w:name="b_clase_4_4_c18_cap_04" w:id="4302"/>
      <w:r>
        <w:t xml:space="preserve">Clase 18 · 00:45:11–00:55:51 · Reposiciones y límites de nuestros modelos</w:t>
      </w:r>
      <w:bookmarkEnd w:id="4302"/>
    </w:p>
    <w:p>
      <w:bookmarkStart w:name="b_punto_c18_cap_04_p02" w:id="4303"/>
      <w:r>
        <w:t xml:space="preserve">El riesgo del modelizador es no alcanzar una representación completa y no saber con certeza si logró ese cien por ciento.</w:t>
      </w:r>
      <w:bookmarkEnd w:id="4303"/>
    </w:p>
    <w:p>
      <w:bookmarkStart w:name="b_punto_c18_cap_04_p03" w:id="4304"/>
      <w:r>
        <w:t xml:space="preserve">Dar por terminado el modelo por creerlo idéntico a la realidad puede ocultar perspectivas o información posterior.</w:t>
      </w:r>
      <w:bookmarkEnd w:id="4304"/>
    </w:p>
    <w:p>
      <w:bookmarkStart w:name="b_punto_c18_cap_04_p04" w:id="4305"/>
      <w:r>
        <w:t xml:space="preserve">Se afronta la limitación con apertura a perspectivas, humildad sobre supuestos y revisión de evidencia.</w:t>
      </w:r>
      <w:bookmarkEnd w:id="4305"/>
    </w:p>
    <w:p>
      <w:pPr>
        <w:pStyle w:val="Fuente"/>
      </w:pPr>
      <w:r>
        <w:t xml:space="preserve">Véase </w:t>
      </w:r>
      <w:hyperlink w:history="1" w:anchor="b_senales_examen">
        <w:r>
          <w:rPr>
            <w:color w:val="156B70"/>
            <w:u w:val="single"/>
          </w:rPr>
          <w:t xml:space="preserve">1 indicación(es) de examen de este tramo, en el apéndice cronológico</w:t>
        </w:r>
      </w:hyperlink>
      <w:r>
        <w:t xml:space="preserve">, pág. </w:t>
      </w:r>
      <w:r>
        <w:fldChar w:fldCharType="begin"/>
        <w:instrText xml:space="preserve">PAGEREF b_senales_examen \h</w:instrText>
        <w:fldChar w:fldCharType="separate"/>
        <w:t xml:space="preserve">1663</w:t>
        <w:fldChar w:fldCharType="end"/>
      </w:r>
      <w:r>
        <w:t xml:space="preserve">.</w:t>
      </w:r>
    </w:p>
    <w:p>
      <w:pPr>
        <w:pStyle w:val="Heading3"/>
      </w:pPr>
      <w:bookmarkStart w:name="b_clase_4_4_c18_cap_05" w:id="4306"/>
      <w:r>
        <w:t xml:space="preserve">Clase 18 · 00:55:51–01:08:02 · La unidad IV: estructura y simulación</w:t>
      </w:r>
      <w:bookmarkEnd w:id="4306"/>
    </w:p>
    <w:p>
      <w:bookmarkStart w:name="b_punto_c18_cap_05_p04" w:id="4307"/>
      <w:r>
        <w:t xml:space="preserve">La simulación formaliza estructura con flujos, niveles y ecuaciones para visualizar comportamiento con ayuda computacional.</w:t>
      </w:r>
      <w:bookmarkEnd w:id="4307"/>
    </w:p>
    <w:p>
      <w:bookmarkStart w:name="b_punto_c18_cap_05_p05" w:id="4308"/>
      <w:r>
        <w:t xml:space="preserve">Simular obtiene trayectorias bajo las reglas del modelo y contrasta las tendencias que se anticipaban mentalmente.</w:t>
      </w:r>
      <w:bookmarkEnd w:id="4308"/>
    </w:p>
    <w:p>
      <w:bookmarkStart w:name="b_punto_c18_cap_05_p06" w:id="4309"/>
      <w:r>
        <w:t xml:space="preserve">Vensim combina dibujo del mapa y ecuaciones; el curso lo usa como introducción, no como programación general.</w:t>
      </w:r>
      <w:bookmarkEnd w:id="4309"/>
    </w:p>
    <w:p>
      <w:bookmarkStart w:name="b_punto_c18_cap_05_p07" w:id="4310"/>
      <w:r>
        <w:t xml:space="preserve">La simulación permite explorar efectos de años o décadas en una corrida breve, sin convertirla en observación real.</w:t>
      </w:r>
      <w:bookmarkEnd w:id="4310"/>
    </w:p>
    <w:p>
      <w:pPr>
        <w:pStyle w:val="Fuente"/>
      </w:pPr>
      <w:r>
        <w:t xml:space="preserve">Véase </w:t>
      </w:r>
      <w:hyperlink w:history="1" w:anchor="b_4_1">
        <w:r>
          <w:rPr>
            <w:color w:val="156B70"/>
            <w:u w:val="single"/>
          </w:rPr>
          <w:t xml:space="preserve">capítulo 4.1 · Arquetipos sistémicos</w:t>
        </w:r>
      </w:hyperlink>
      <w:r>
        <w:t xml:space="preserve">, pág. </w:t>
      </w:r>
      <w:r>
        <w:fldChar w:fldCharType="begin"/>
        <w:instrText xml:space="preserve">PAGEREF b_4_1 \h</w:instrText>
        <w:fldChar w:fldCharType="separate"/>
        <w:t xml:space="preserve">646</w:t>
        <w:fldChar w:fldCharType="end"/>
      </w:r>
      <w:r>
        <w:t xml:space="preserve">.</w:t>
      </w:r>
    </w:p>
    <w:p>
      <w:pPr>
        <w:pStyle w:val="Fuente"/>
      </w:pPr>
      <w:r>
        <w:t xml:space="preserve">Véase </w:t>
      </w:r>
      <w:hyperlink w:history="1" w:anchor="b_4_7">
        <w:r>
          <w:rPr>
            <w:color w:val="156B70"/>
            <w:u w:val="single"/>
          </w:rPr>
          <w:t xml:space="preserve">capítulo 4.7 · Hábitos (simulación)</w:t>
        </w:r>
      </w:hyperlink>
      <w:r>
        <w:t xml:space="preserve">, pág. </w:t>
      </w:r>
      <w:r>
        <w:fldChar w:fldCharType="begin"/>
        <w:instrText xml:space="preserve">PAGEREF b_4_7 \h</w:instrText>
        <w:fldChar w:fldCharType="separate"/>
        <w:t xml:space="preserve">932</w:t>
        <w:fldChar w:fldCharType="end"/>
      </w:r>
      <w:r>
        <w:t xml:space="preserve">.</w:t>
      </w:r>
    </w:p>
    <w:p>
      <w:pPr>
        <w:pStyle w:val="Heading3"/>
      </w:pPr>
      <w:bookmarkStart w:name="b_clase_4_4_c18_cap_07" w:id="4311"/>
      <w:r>
        <w:t xml:space="preserve">Clase 18 · 01:12:57–01:18:54 · Niveles y flujos</w:t>
      </w:r>
      <w:bookmarkEnd w:id="4311"/>
    </w:p>
    <w:p>
      <w:bookmarkStart w:name="b_punto_c18_cap_07_p01" w:id="4312"/>
      <w:r>
        <w:t xml:space="preserve">Simular no es obligatorio en todo análisis: se valoran propósito, tiempo y herramientas; las demoras pueden hacerlo especialmente útil.</w:t>
      </w:r>
      <w:bookmarkEnd w:id="4312"/>
    </w:p>
    <w:p>
      <w:pPr>
        <w:pStyle w:val="Fuente"/>
      </w:pPr>
      <w:r>
        <w:t xml:space="preserve">Véase </w:t>
      </w:r>
      <w:hyperlink w:history="1" w:anchor="b_senales_examen">
        <w:r>
          <w:rPr>
            <w:color w:val="156B70"/>
            <w:u w:val="single"/>
          </w:rPr>
          <w:t xml:space="preserve">1 indicación(es) de examen de este tramo, en el apéndice cronológico</w:t>
        </w:r>
      </w:hyperlink>
      <w:r>
        <w:t xml:space="preserve">, pág. </w:t>
      </w:r>
      <w:r>
        <w:fldChar w:fldCharType="begin"/>
        <w:instrText xml:space="preserve">PAGEREF b_senales_examen \h</w:instrText>
        <w:fldChar w:fldCharType="separate"/>
        <w:t xml:space="preserve">1663</w:t>
        <w:fldChar w:fldCharType="end"/>
      </w:r>
      <w:r>
        <w:t xml:space="preserve">.</w:t>
      </w:r>
    </w:p>
    <w:p>
      <w:pPr>
        <w:pStyle w:val="Fuente"/>
      </w:pPr>
      <w:r>
        <w:t xml:space="preserve">Véase </w:t>
      </w:r>
      <w:hyperlink w:history="1" w:anchor="b_4_2">
        <w:r>
          <w:rPr>
            <w:color w:val="156B70"/>
            <w:u w:val="single"/>
          </w:rPr>
          <w:t xml:space="preserve">capítulo 4.2 · Flujos y niveles</w:t>
        </w:r>
      </w:hyperlink>
      <w:r>
        <w:t xml:space="preserve">, pág. </w:t>
      </w:r>
      <w:r>
        <w:fldChar w:fldCharType="begin"/>
        <w:instrText xml:space="preserve">PAGEREF b_4_2 \h</w:instrText>
        <w:fldChar w:fldCharType="separate"/>
        <w:t xml:space="preserve">709</w:t>
        <w:fldChar w:fldCharType="end"/>
      </w:r>
      <w:r>
        <w:t xml:space="preserve">.</w:t>
      </w:r>
    </w:p>
    <w:p>
      <w:pPr>
        <w:pStyle w:val="Heading3"/>
      </w:pPr>
      <w:bookmarkStart w:name="b_clase_4_4_c19_cap_01" w:id="4313"/>
      <w:r>
        <w:t xml:space="preserve">Clase 19 · 00:06:14–00:12:36 · Notas y solicitudes de reposición</w:t>
      </w:r>
      <w:bookmarkEnd w:id="4313"/>
    </w:p>
    <w:p>
      <w:bookmarkStart w:name="b_punto_c19_cap_01_p01" w:id="4314"/>
      <w:r>
        <w:t xml:space="preserve">El objetivo de la sesión es llevar acumulaciones y tasas a estructuras simulables que generen tendencias.</w:t>
      </w:r>
      <w:bookmarkEnd w:id="4314"/>
    </w:p>
    <w:p>
      <w:pPr>
        <w:pStyle w:val="Fuente"/>
      </w:pPr>
      <w:r>
        <w:t xml:space="preserve">Véase </w:t>
      </w:r>
      <w:hyperlink w:history="1" w:anchor="b_4_2">
        <w:r>
          <w:rPr>
            <w:color w:val="156B70"/>
            <w:u w:val="single"/>
          </w:rPr>
          <w:t xml:space="preserve">capítulo 4.2 · Flujos y niveles</w:t>
        </w:r>
      </w:hyperlink>
      <w:r>
        <w:t xml:space="preserve">, pág. </w:t>
      </w:r>
      <w:r>
        <w:fldChar w:fldCharType="begin"/>
        <w:instrText xml:space="preserve">PAGEREF b_4_2 \h</w:instrText>
        <w:fldChar w:fldCharType="separate"/>
        <w:t xml:space="preserve">709</w:t>
        <w:fldChar w:fldCharType="end"/>
      </w:r>
      <w:r>
        <w:t xml:space="preserve">.</w:t>
      </w:r>
    </w:p>
    <w:p>
      <w:pPr>
        <w:pStyle w:val="Heading3"/>
      </w:pPr>
      <w:bookmarkStart w:name="b_clase_4_4_c19_cap_03" w:id="4315"/>
      <w:r>
        <w:t xml:space="preserve">Clase 19 · 00:19:44–00:32:08 · Clasificar variables según el modelo</w:t>
      </w:r>
      <w:bookmarkEnd w:id="4315"/>
    </w:p>
    <w:p>
      <w:bookmarkStart w:name="b_punto_c19_cap_03_p03" w:id="4316"/>
      <w:r>
        <w:t xml:space="preserve">PT puede ser cien mil o un millón en escenarios distintos, pero se mantiene constante durante cada corrida bajo ese supuesto.</w:t>
      </w:r>
      <w:bookmarkEnd w:id="4316"/>
    </w:p>
    <w:p>
      <w:bookmarkStart w:name="b_punto_c19_cap_03_p05" w:id="4317"/>
      <w:r>
        <w:t xml:space="preserve">IPC y TNC son parámetros de contagio cuya interpretación requiere información; el ensayo de porcentajes de clase 19 se corrige después.</w:t>
      </w:r>
      <w:bookmarkEnd w:id="4317"/>
    </w:p>
    <w:p>
      <w:pPr>
        <w:pStyle w:val="Fuente"/>
      </w:pPr>
      <w:r>
        <w:t xml:space="preserve">Véase </w:t>
      </w:r>
      <w:hyperlink w:history="1" w:anchor="b_4_3">
        <w:r>
          <w:rPr>
            <w:color w:val="156B70"/>
            <w:u w:val="single"/>
          </w:rPr>
          <w:t xml:space="preserve">capítulo 4.3 · De ciclos causales a flujos</w:t>
        </w:r>
      </w:hyperlink>
      <w:r>
        <w:t xml:space="preserve">, pág. </w:t>
      </w:r>
      <w:r>
        <w:fldChar w:fldCharType="begin"/>
        <w:instrText xml:space="preserve">PAGEREF b_4_3 \h</w:instrText>
        <w:fldChar w:fldCharType="separate"/>
        <w:t xml:space="preserve">737</w:t>
        <w:fldChar w:fldCharType="end"/>
      </w:r>
      <w:r>
        <w:t xml:space="preserve">.</w:t>
      </w:r>
    </w:p>
    <w:p>
      <w:pPr>
        <w:pStyle w:val="Heading3"/>
      </w:pPr>
      <w:bookmarkStart w:name="b_clase_4_4_c19_cap_04" w:id="4318"/>
      <w:r>
        <w:t xml:space="preserve">Clase 19 · 00:32:08–00:36:25 · De relaciones a ecuaciones</w:t>
      </w:r>
      <w:bookmarkEnd w:id="4318"/>
    </w:p>
    <w:p>
      <w:bookmarkStart w:name="b_punto_c19_cap_04_p02" w:id="4319"/>
      <w:r>
        <w:t xml:space="preserve">Las auxiliares usan ecuaciones aritméticas y los parámetros valores numéricos bajo los supuestos del escenario.</w:t>
      </w:r>
      <w:bookmarkEnd w:id="4319"/>
    </w:p>
    <w:p>
      <w:pPr>
        <w:pStyle w:val="Fuente"/>
      </w:pPr>
      <w:r>
        <w:t xml:space="preserve">Véase </w:t>
      </w:r>
      <w:hyperlink w:history="1" w:anchor="b_4_3">
        <w:r>
          <w:rPr>
            <w:color w:val="156B70"/>
            <w:u w:val="single"/>
          </w:rPr>
          <w:t xml:space="preserve">capítulo 4.3 · De ciclos causales a flujos</w:t>
        </w:r>
      </w:hyperlink>
      <w:r>
        <w:t xml:space="preserve">, pág. </w:t>
      </w:r>
      <w:r>
        <w:fldChar w:fldCharType="begin"/>
        <w:instrText xml:space="preserve">PAGEREF b_4_3 \h</w:instrText>
        <w:fldChar w:fldCharType="separate"/>
        <w:t xml:space="preserve">737</w:t>
        <w:fldChar w:fldCharType="end"/>
      </w:r>
      <w:r>
        <w:t xml:space="preserve">.</w:t>
      </w:r>
    </w:p>
    <w:p>
      <w:pPr>
        <w:pStyle w:val="Heading3"/>
      </w:pPr>
      <w:bookmarkStart w:name="b_clase_4_4_c19_cap_05" w:id="4320"/>
      <w:r>
        <w:t xml:space="preserve">Clase 19 · 00:36:25–00:51:48 · Construcción en Vensim</w:t>
      </w:r>
      <w:bookmarkEnd w:id="4320"/>
    </w:p>
    <w:p>
      <w:bookmarkStart w:name="b_punto_c19_cap_05_p01" w:id="4321"/>
      <w:r>
        <w:t xml:space="preserve">Se crea PI con la herramienta de nivel, se nombra y Vensim coloca el rectángulo acumulador.</w:t>
      </w:r>
      <w:bookmarkEnd w:id="4321"/>
    </w:p>
    <w:p>
      <w:bookmarkStart w:name="b_punto_c19_cap_05_p03" w:id="4322"/>
      <w:r>
        <w:t xml:space="preserve">Rate crea el flujo desde fuente hasta PI; los conectores expresan las dependencias restantes.</w:t>
      </w:r>
      <w:bookmarkEnd w:id="4322"/>
    </w:p>
    <w:p>
      <w:bookmarkStart w:name="b_punto_c19_cap_05_p05" w:id="4323"/>
      <w:r>
        <w:t xml:space="preserve">La herramienta de ecuaciones resalta variables sin definición; INTEG expresa acumulación y condición inicial.</w:t>
      </w:r>
      <w:bookmarkEnd w:id="4323"/>
    </w:p>
    <w:p>
      <w:bookmarkStart w:name="b_punto_c19_cap_05_p06" w:id="4324"/>
      <w:r>
        <w:t xml:space="preserve">El modelador declara paso, unidad temporal y valor inicial; el ejemplo parte de diez infectados.</w:t>
      </w:r>
      <w:bookmarkEnd w:id="4324"/>
    </w:p>
    <w:p>
      <w:bookmarkStart w:name="b_punto_c19_cap_05_p07" w:id="4325"/>
      <w:r>
        <w:t xml:space="preserve">PI se mide en personas; definir unidades ayuda a interpretar resultados y revisar consistencia dimensional.</w:t>
      </w:r>
      <w:bookmarkEnd w:id="4325"/>
    </w:p>
    <w:p>
      <w:pPr>
        <w:pStyle w:val="Fuente"/>
      </w:pPr>
      <w:r>
        <w:t xml:space="preserve">Véase </w:t>
      </w:r>
      <w:hyperlink w:history="1" w:anchor="b_4_3">
        <w:r>
          <w:rPr>
            <w:color w:val="156B70"/>
            <w:u w:val="single"/>
          </w:rPr>
          <w:t xml:space="preserve">capítulo 4.3 · De ciclos causales a flujos</w:t>
        </w:r>
      </w:hyperlink>
      <w:r>
        <w:t xml:space="preserve">, pág. </w:t>
      </w:r>
      <w:r>
        <w:fldChar w:fldCharType="begin"/>
        <w:instrText xml:space="preserve">PAGEREF b_4_3 \h</w:instrText>
        <w:fldChar w:fldCharType="separate"/>
        <w:t xml:space="preserve">737</w:t>
        <w:fldChar w:fldCharType="end"/>
      </w:r>
      <w:r>
        <w:t xml:space="preserve">.</w:t>
      </w:r>
    </w:p>
    <w:p>
      <w:pPr>
        <w:pStyle w:val="Heading3"/>
      </w:pPr>
      <w:bookmarkStart w:name="b_clase_4_4_c19_cap_06" w:id="4326"/>
      <w:r>
        <w:t xml:space="preserve">Clase 19 · 00:51:48–01:03:48 · Una dependencia que faltaba</w:t>
      </w:r>
      <w:bookmarkEnd w:id="4326"/>
    </w:p>
    <w:p>
      <w:bookmarkStart w:name="b_punto_c19_cap_06_p03" w:id="4327"/>
      <w:r>
        <w:t xml:space="preserve">La ecuación debe corresponder al significado de las variables, no sólo multiplicar valores; los porcentajes se introducen como decimales.</w:t>
      </w:r>
      <w:bookmarkEnd w:id="4327"/>
    </w:p>
    <w:p>
      <w:bookmarkStart w:name="b_punto_c19_cap_06_p04" w:id="4328"/>
      <w:r>
        <w:t xml:space="preserve">TC se interpreta como personas por unidad temporal; parámetros sin significado adecuado vuelven incongruentes los resultados.</w:t>
      </w:r>
      <w:bookmarkEnd w:id="4328"/>
    </w:p>
    <w:p>
      <w:pPr>
        <w:pStyle w:val="Fuente"/>
      </w:pPr>
      <w:r>
        <w:t xml:space="preserve">Véase </w:t>
      </w:r>
      <w:hyperlink w:history="1" w:anchor="b_4_3">
        <w:r>
          <w:rPr>
            <w:color w:val="156B70"/>
            <w:u w:val="single"/>
          </w:rPr>
          <w:t xml:space="preserve">capítulo 4.3 · De ciclos causales a flujos</w:t>
        </w:r>
      </w:hyperlink>
      <w:r>
        <w:t xml:space="preserve">, pág. </w:t>
      </w:r>
      <w:r>
        <w:fldChar w:fldCharType="begin"/>
        <w:instrText xml:space="preserve">PAGEREF b_4_3 \h</w:instrText>
        <w:fldChar w:fldCharType="separate"/>
        <w:t xml:space="preserve">737</w:t>
        <w:fldChar w:fldCharType="end"/>
      </w:r>
      <w:r>
        <w:t xml:space="preserve">.</w:t>
      </w:r>
    </w:p>
    <w:p>
      <w:pPr>
        <w:pStyle w:val="Heading3"/>
      </w:pPr>
      <w:bookmarkStart w:name="b_clase_4_4_c19_cap_07" w:id="4329"/>
      <w:r>
        <w:t xml:space="preserve">Clase 19 · 01:03:48–01:18:19 · Configuración y archivos de simulación</w:t>
      </w:r>
      <w:bookmarkEnd w:id="4329"/>
    </w:p>
    <w:p>
      <w:bookmarkStart w:name="b_punto_c19_cap_07_p03" w:id="4330"/>
      <w:r>
        <w:t xml:space="preserve">El archivo .mdl guarda estructura y ecuaciones del modelo, no demuestra que éste sea válido.</w:t>
      </w:r>
      <w:bookmarkEnd w:id="4330"/>
    </w:p>
    <w:p>
      <w:bookmarkStart w:name="b_punto_c19_cap_07_p04" w:id="4331"/>
      <w:r>
        <w:t xml:space="preserve">Se configuran inicio, final, unidad y TIME STEP; pasos de media semana o una semana son configuraciones distintas.</w:t>
      </w:r>
      <w:bookmarkEnd w:id="4331"/>
    </w:p>
    <w:p>
      <w:bookmarkStart w:name="b_punto_c19_cap_07_p05" w:id="4332"/>
      <w:r>
        <w:t xml:space="preserve">Cada corrida conserva resultados; cambiar parámetros o iniciales define otro escenario y exige identificarlo al comparar.</w:t>
      </w:r>
      <w:bookmarkEnd w:id="4332"/>
    </w:p>
    <w:p>
      <w:pPr>
        <w:pStyle w:val="Fuente"/>
      </w:pPr>
      <w:r>
        <w:t xml:space="preserve">Véase </w:t>
      </w:r>
      <w:hyperlink w:history="1" w:anchor="b_senales_examen">
        <w:r>
          <w:rPr>
            <w:color w:val="156B70"/>
            <w:u w:val="single"/>
          </w:rPr>
          <w:t xml:space="preserve">2 indicación(es) de examen de este tramo, en el apéndice cronológico</w:t>
        </w:r>
      </w:hyperlink>
      <w:r>
        <w:t xml:space="preserve">, pág. </w:t>
      </w:r>
      <w:r>
        <w:fldChar w:fldCharType="begin"/>
        <w:instrText xml:space="preserve">PAGEREF b_senales_examen \h</w:instrText>
        <w:fldChar w:fldCharType="separate"/>
        <w:t xml:space="preserve">1663</w:t>
        <w:fldChar w:fldCharType="end"/>
      </w:r>
      <w:r>
        <w:t xml:space="preserve">.</w:t>
      </w:r>
    </w:p>
    <w:p>
      <w:pPr>
        <w:pStyle w:val="Fuente"/>
      </w:pPr>
      <w:r>
        <w:t xml:space="preserve">Véase </w:t>
      </w:r>
      <w:hyperlink w:history="1" w:anchor="b_4_3">
        <w:r>
          <w:rPr>
            <w:color w:val="156B70"/>
            <w:u w:val="single"/>
          </w:rPr>
          <w:t xml:space="preserve">capítulo 4.3 · De ciclos causales a flujos</w:t>
        </w:r>
      </w:hyperlink>
      <w:r>
        <w:t xml:space="preserve">, pág. </w:t>
      </w:r>
      <w:r>
        <w:fldChar w:fldCharType="begin"/>
        <w:instrText xml:space="preserve">PAGEREF b_4_3 \h</w:instrText>
        <w:fldChar w:fldCharType="separate"/>
        <w:t xml:space="preserve">737</w:t>
        <w:fldChar w:fldCharType="end"/>
      </w:r>
      <w:r>
        <w:t xml:space="preserve">.</w:t>
      </w:r>
    </w:p>
    <w:p>
      <w:pPr>
        <w:pStyle w:val="Heading3"/>
      </w:pPr>
      <w:bookmarkStart w:name="b_clase_4_4_c19_cap_08" w:id="4333"/>
      <w:r>
        <w:t xml:space="preserve">Clase 19 · 01:18:19–01:28:40 · Una corrida que no converge</w:t>
      </w:r>
      <w:bookmarkEnd w:id="4333"/>
    </w:p>
    <w:p>
      <w:bookmarkStart w:name="b_punto_c19_cap_08_p01" w:id="4334"/>
      <w:r>
        <w:t xml:space="preserve">La primera corrida se desborda y arroja valores demasiado grandes; se debe revisar configuración y significado.</w:t>
      </w:r>
      <w:bookmarkEnd w:id="4334"/>
    </w:p>
    <w:p>
      <w:bookmarkStart w:name="b_punto_c19_cap_08_p02" w:id="4335"/>
      <w:r>
        <w:t xml:space="preserve">Quitar IPC no resuelve el exceso: población infectada superior a PT contradice la frontera del modelo.</w:t>
      </w:r>
      <w:bookmarkEnd w:id="4335"/>
    </w:p>
    <w:p>
      <w:bookmarkStart w:name="b_punto_c19_cap_08_p03" w:id="4336"/>
      <w:r>
        <w:t xml:space="preserve">Aumentar PT crea otro escenario, pero no garantiza corregir ecuaciones ni estabilidad numérica.</w:t>
      </w:r>
      <w:bookmarkEnd w:id="4336"/>
    </w:p>
    <w:p>
      <w:bookmarkStart w:name="b_punto_c19_cap_08_p04" w:id="4337"/>
      <w:r>
        <w:t xml:space="preserve">Tablas y gráficas permiten detectar población negativa o fuera de rango; la corrida queda pendiente de corrección.</w:t>
      </w:r>
      <w:bookmarkEnd w:id="4337"/>
    </w:p>
    <w:p>
      <w:pPr>
        <w:pStyle w:val="Fuente"/>
      </w:pPr>
      <w:r>
        <w:t xml:space="preserve">Véase </w:t>
      </w:r>
      <w:hyperlink w:history="1" w:anchor="b_senales_examen">
        <w:r>
          <w:rPr>
            <w:color w:val="156B70"/>
            <w:u w:val="single"/>
          </w:rPr>
          <w:t xml:space="preserve">1 indicación(es) de examen de este tramo, en el apéndice cronológico</w:t>
        </w:r>
      </w:hyperlink>
      <w:r>
        <w:t xml:space="preserve">, pág. </w:t>
      </w:r>
      <w:r>
        <w:fldChar w:fldCharType="begin"/>
        <w:instrText xml:space="preserve">PAGEREF b_senales_examen \h</w:instrText>
        <w:fldChar w:fldCharType="separate"/>
        <w:t xml:space="preserve">1663</w:t>
        <w:fldChar w:fldCharType="end"/>
      </w:r>
      <w:r>
        <w:t xml:space="preserve">.</w:t>
      </w:r>
    </w:p>
    <w:p>
      <w:pPr>
        <w:pStyle w:val="Heading3"/>
      </w:pPr>
      <w:bookmarkStart w:name="b_clase_4_4_c19_cap_09" w:id="4338"/>
      <w:r>
        <w:t xml:space="preserve">Clase 19 · 01:28:40–01:41:48 · Capital e interés compuesto</w:t>
      </w:r>
      <w:bookmarkEnd w:id="4338"/>
    </w:p>
    <w:p>
      <w:bookmarkStart w:name="b_punto_c19_cap_09_p02" w:id="4339"/>
      <w:r>
        <w:t xml:space="preserve">Con mil iniciales y cinco por ciento mensual se observa el crecimiento durante doce meses.</w:t>
      </w:r>
      <w:bookmarkEnd w:id="4339"/>
    </w:p>
    <w:p>
      <w:bookmarkStart w:name="b_punto_c19_cap_09_p04" w:id="4340"/>
      <w:r>
        <w:t xml:space="preserve">Comparar cinco y diez por ciento con el mismo horizonte muestra escenarios; una escala compartida puede ocultar la curva pequeña.</w:t>
      </w:r>
      <w:bookmarkEnd w:id="4340"/>
    </w:p>
    <w:p>
      <w:bookmarkStart w:name="b_punto_c19_cap_09_p05" w:id="4341"/>
      <w:r>
        <w:t xml:space="preserve">Los resultados se comparan con el sistema; el curso sólo introduce simulación y no agota herramientas o métodos matemáticos.</w:t>
      </w:r>
      <w:bookmarkEnd w:id="4341"/>
    </w:p>
    <w:p>
      <w:pPr>
        <w:pStyle w:val="Fuente"/>
      </w:pPr>
      <w:r>
        <w:t xml:space="preserve">Véase </w:t>
      </w:r>
      <w:hyperlink w:history="1" w:anchor="b_4_3">
        <w:r>
          <w:rPr>
            <w:color w:val="156B70"/>
            <w:u w:val="single"/>
          </w:rPr>
          <w:t xml:space="preserve">capítulo 4.3 · De ciclos causales a flujos</w:t>
        </w:r>
      </w:hyperlink>
      <w:r>
        <w:t xml:space="preserve">, pág. </w:t>
      </w:r>
      <w:r>
        <w:fldChar w:fldCharType="begin"/>
        <w:instrText xml:space="preserve">PAGEREF b_4_3 \h</w:instrText>
        <w:fldChar w:fldCharType="separate"/>
        <w:t xml:space="preserve">737</w:t>
        <w:fldChar w:fldCharType="end"/>
      </w:r>
      <w:r>
        <w:t xml:space="preserve">.</w:t>
      </w:r>
    </w:p>
    <w:p>
      <w:pPr>
        <w:pStyle w:val="Heading3"/>
      </w:pPr>
      <w:bookmarkStart w:name="b_clase_4_4_c19_cap_10" w:id="4342"/>
      <w:r>
        <w:t xml:space="preserve">Clase 19 · 01:41:48–01:43:55 · Preparar el caso de Francisco</w:t>
      </w:r>
      <w:bookmarkEnd w:id="4342"/>
    </w:p>
    <w:p>
      <w:bookmarkStart w:name="b_punto_c19_cap_10_p01" w:id="4343"/>
      <w:r>
        <w:t xml:space="preserve">El encargo de Francisco empieza por construir el Forrester en Vensim y guardarlo como .mdl.</w:t>
      </w:r>
      <w:bookmarkEnd w:id="4343"/>
    </w:p>
    <w:p>
      <w:pPr>
        <w:pStyle w:val="Fuente"/>
      </w:pPr>
      <w:r>
        <w:t xml:space="preserve">Véase </w:t>
      </w:r>
      <w:hyperlink w:history="1" w:anchor="b_4_5">
        <w:r>
          <w:rPr>
            <w:color w:val="156B70"/>
            <w:u w:val="single"/>
          </w:rPr>
          <w:t xml:space="preserve">capítulo 4.5 · Ejemplos en VENSIM</w:t>
        </w:r>
      </w:hyperlink>
      <w:r>
        <w:t xml:space="preserve">, pág. </w:t>
      </w:r>
      <w:r>
        <w:fldChar w:fldCharType="begin"/>
        <w:instrText xml:space="preserve">PAGEREF b_4_5 \h</w:instrText>
        <w:fldChar w:fldCharType="separate"/>
        <w:t xml:space="preserve">830</w:t>
        <w:fldChar w:fldCharType="end"/>
      </w:r>
      <w:r>
        <w:t xml:space="preserve">.</w:t>
      </w:r>
    </w:p>
    <w:p>
      <w:pPr>
        <w:pStyle w:val="Heading3"/>
      </w:pPr>
      <w:bookmarkStart w:name="b_clase_4_4_c20_cap_04" w:id="4344"/>
      <w:r>
        <w:t xml:space="preserve">Clase 20 · 00:35:17–00:51:13 · Corrección de la epidemia</w:t>
      </w:r>
      <w:bookmarkEnd w:id="4344"/>
    </w:p>
    <w:p>
      <w:bookmarkStart w:name="b_punto_c20_cap_04_p02" w:id="4345"/>
      <w:r>
        <w:t xml:space="preserve">El profesor reconoce parámetros demasiado altos en epidemia y recupera los valores de la lectura en vez de improvisarlos.</w:t>
      </w:r>
      <w:bookmarkEnd w:id="4345"/>
    </w:p>
    <w:p>
      <w:bookmarkStart w:name="b_punto_c20_cap_04_p03" w:id="4346"/>
      <w:r>
        <w:t xml:space="preserve">La corrida corregida usa PI inicial 10, PT = 100, IPC = 0.15, TNC = 0.025 y horizonte 25; se distingue de la configuración de la presentación.</w:t>
      </w:r>
      <w:bookmarkEnd w:id="4346"/>
    </w:p>
    <w:p>
      <w:bookmarkStart w:name="b_punto_c20_cap_04_p04" w:id="4347"/>
      <w:r>
        <w:t xml:space="preserve">La tabla corregida se aproxima a cien y exige interpretar sus escalas y unidades como modelo didáctico.</w:t>
      </w:r>
      <w:bookmarkEnd w:id="4347"/>
    </w:p>
    <w:p>
      <w:bookmarkStart w:name="b_punto_c20_cap_04_p06" w:id="4348"/>
      <w:r>
        <w:t xml:space="preserve">Sin datos suficientes hay que observar y medir; se ejemplifica contar vehículos que pasan o esperan para dar significado a las variables.</w:t>
      </w:r>
      <w:bookmarkEnd w:id="4348"/>
    </w:p>
    <w:p>
      <w:pPr>
        <w:pStyle w:val="Fuente"/>
      </w:pPr>
      <w:r>
        <w:t xml:space="preserve">Véase </w:t>
      </w:r>
      <w:hyperlink w:history="1" w:anchor="b_4_5">
        <w:r>
          <w:rPr>
            <w:color w:val="156B70"/>
            <w:u w:val="single"/>
          </w:rPr>
          <w:t xml:space="preserve">capítulo 4.5 · Ejemplos en VENSIM</w:t>
        </w:r>
      </w:hyperlink>
      <w:r>
        <w:t xml:space="preserve">, pág. </w:t>
      </w:r>
      <w:r>
        <w:fldChar w:fldCharType="begin"/>
        <w:instrText xml:space="preserve">PAGEREF b_4_5 \h</w:instrText>
        <w:fldChar w:fldCharType="separate"/>
        <w:t xml:space="preserve">830</w:t>
        <w:fldChar w:fldCharType="end"/>
      </w:r>
      <w:r>
        <w:t xml:space="preserve">.</w:t>
      </w:r>
    </w:p>
    <w:p>
      <w:pPr>
        <w:pStyle w:val="Heading3"/>
      </w:pPr>
      <w:bookmarkStart w:name="b_clase_4_4_c20_cap_07" w:id="4349"/>
      <w:r>
        <w:t xml:space="preserve">Clase 20 · 01:11:20–01:21:12 · Extensión de entrega y elección del modelo</w:t>
      </w:r>
      <w:bookmarkEnd w:id="4349"/>
    </w:p>
    <w:p>
      <w:bookmarkStart w:name="b_punto_c20_cap_07_p05" w:id="4350"/>
      <w:r>
        <w:t xml:space="preserve">Antes de dibujar en Vensim se identifica el acumulador principal y los dos flujos; luego puede ampliarse la representación.</w:t>
      </w:r>
      <w:bookmarkEnd w:id="4350"/>
    </w:p>
    <w:p>
      <w:pPr>
        <w:pStyle w:val="Fuente"/>
      </w:pPr>
      <w:r>
        <w:t xml:space="preserve">Véase </w:t>
      </w:r>
      <w:hyperlink w:history="1" w:anchor="b_senales_examen">
        <w:r>
          <w:rPr>
            <w:color w:val="156B70"/>
            <w:u w:val="single"/>
          </w:rPr>
          <w:t xml:space="preserve">1 indicación(es) de examen de este tramo, en el apéndice cronológico</w:t>
        </w:r>
      </w:hyperlink>
      <w:r>
        <w:t xml:space="preserve">, pág. </w:t>
      </w:r>
      <w:r>
        <w:fldChar w:fldCharType="begin"/>
        <w:instrText xml:space="preserve">PAGEREF b_senales_examen \h</w:instrText>
        <w:fldChar w:fldCharType="separate"/>
        <w:t xml:space="preserve">1663</w:t>
        <w:fldChar w:fldCharType="end"/>
      </w:r>
      <w:r>
        <w:t xml:space="preserve">.</w:t>
      </w:r>
    </w:p>
    <w:p>
      <w:pPr>
        <w:pStyle w:val="Fuente"/>
      </w:pPr>
      <w:r>
        <w:t xml:space="preserve">Véase </w:t>
      </w:r>
      <w:hyperlink w:history="1" w:anchor="b_4_2">
        <w:r>
          <w:rPr>
            <w:color w:val="156B70"/>
            <w:u w:val="single"/>
          </w:rPr>
          <w:t xml:space="preserve">capítulo 4.2 · Flujos y niveles</w:t>
        </w:r>
      </w:hyperlink>
      <w:r>
        <w:t xml:space="preserve">, pág. </w:t>
      </w:r>
      <w:r>
        <w:fldChar w:fldCharType="begin"/>
        <w:instrText xml:space="preserve">PAGEREF b_4_2 \h</w:instrText>
        <w:fldChar w:fldCharType="separate"/>
        <w:t xml:space="preserve">709</w:t>
        <w:fldChar w:fldCharType="end"/>
      </w:r>
      <w:r>
        <w:t xml:space="preserve">.</w:t>
      </w:r>
    </w:p>
    <w:p>
      <w:pPr>
        <w:pStyle w:val="Fuente"/>
      </w:pPr>
      <w:r>
        <w:t xml:space="preserve">Véase </w:t>
      </w:r>
      <w:hyperlink w:history="1" w:anchor="b_4_3">
        <w:r>
          <w:rPr>
            <w:color w:val="156B70"/>
            <w:u w:val="single"/>
          </w:rPr>
          <w:t xml:space="preserve">capítulo 4.3 · De ciclos causales a flujos</w:t>
        </w:r>
      </w:hyperlink>
      <w:r>
        <w:t xml:space="preserve">, pág. </w:t>
      </w:r>
      <w:r>
        <w:fldChar w:fldCharType="begin"/>
        <w:instrText xml:space="preserve">PAGEREF b_4_3 \h</w:instrText>
        <w:fldChar w:fldCharType="separate"/>
        <w:t xml:space="preserve">737</w:t>
        <w:fldChar w:fldCharType="end"/>
      </w:r>
      <w:r>
        <w:t xml:space="preserve">.</w:t>
      </w:r>
    </w:p>
    <w:p>
      <w:pPr>
        <w:pStyle w:val="Heading3"/>
      </w:pPr>
      <w:bookmarkStart w:name="b_clase_4_4_c20_cap_10" w:id="4351"/>
      <w:r>
        <w:t xml:space="preserve">Clase 20 · 01:36:53–01:47:34 · Resultados y validación</w:t>
      </w:r>
      <w:bookmarkEnd w:id="4351"/>
    </w:p>
    <w:p>
      <w:bookmarkStart w:name="b_punto_c20_cap_10_p06" w:id="4352"/>
      <w:r>
        <w:t xml:space="preserve">Validar exige contrastar observaciones y simulación y revisar las ecuaciones, no sólo ejecutar sin errores.</w:t>
      </w:r>
      <w:bookmarkEnd w:id="4352"/>
    </w:p>
    <w:p>
      <w:bookmarkStart w:name="b_punto_c20_cap_10_p07" w:id="4353"/>
      <w:r>
        <w:t xml:space="preserve">La consistencia dimensional es necesaria pero insuficiente para validar estructura causal, supuestos y comportamiento.</w:t>
      </w:r>
      <w:bookmarkEnd w:id="4353"/>
    </w:p>
    <w:p>
      <w:pPr>
        <w:pStyle w:val="Fuente"/>
      </w:pPr>
      <w:r>
        <w:t xml:space="preserve">Véase </w:t>
      </w:r>
      <w:hyperlink w:history="1" w:anchor="b_4_5">
        <w:r>
          <w:rPr>
            <w:color w:val="156B70"/>
            <w:u w:val="single"/>
          </w:rPr>
          <w:t xml:space="preserve">capítulo 4.5 · Ejemplos en VENSIM</w:t>
        </w:r>
      </w:hyperlink>
      <w:r>
        <w:t xml:space="preserve">, pág. </w:t>
      </w:r>
      <w:r>
        <w:fldChar w:fldCharType="begin"/>
        <w:instrText xml:space="preserve">PAGEREF b_4_5 \h</w:instrText>
        <w:fldChar w:fldCharType="separate"/>
        <w:t xml:space="preserve">830</w:t>
        <w:fldChar w:fldCharType="end"/>
      </w:r>
      <w:r>
        <w:t xml:space="preserve">.</w:t>
      </w:r>
    </w:p>
    <w:p>
      <w:pPr>
        <w:pStyle w:val="Fuente"/>
      </w:pPr>
      <w:r>
        <w:t xml:space="preserve">Véase </w:t>
      </w:r>
      <w:hyperlink w:history="1" w:anchor="b_4_3">
        <w:r>
          <w:rPr>
            <w:color w:val="156B70"/>
            <w:u w:val="single"/>
          </w:rPr>
          <w:t xml:space="preserve">capítulo 4.3 · De ciclos causales a flujos</w:t>
        </w:r>
      </w:hyperlink>
      <w:r>
        <w:t xml:space="preserve">, pág. </w:t>
      </w:r>
      <w:r>
        <w:fldChar w:fldCharType="begin"/>
        <w:instrText xml:space="preserve">PAGEREF b_4_3 \h</w:instrText>
        <w:fldChar w:fldCharType="separate"/>
        <w:t xml:space="preserve">737</w:t>
        <w:fldChar w:fldCharType="end"/>
      </w:r>
      <w:r>
        <w:t xml:space="preserve">.</w:t>
      </w:r>
    </w:p>
    <w:p>
      <w:pPr>
        <w:pStyle w:val="Fuente"/>
      </w:pPr>
      <w:r>
        <w:t xml:space="preserve">Véase </w:t>
      </w:r>
      <w:hyperlink w:history="1" w:anchor="b_4_7">
        <w:r>
          <w:rPr>
            <w:color w:val="156B70"/>
            <w:u w:val="single"/>
          </w:rPr>
          <w:t xml:space="preserve">capítulo 4.7 · Hábitos (simulación)</w:t>
        </w:r>
      </w:hyperlink>
      <w:r>
        <w:t xml:space="preserve">, pág. </w:t>
      </w:r>
      <w:r>
        <w:fldChar w:fldCharType="begin"/>
        <w:instrText xml:space="preserve">PAGEREF b_4_7 \h</w:instrText>
        <w:fldChar w:fldCharType="separate"/>
        <w:t xml:space="preserve">932</w:t>
        <w:fldChar w:fldCharType="end"/>
      </w:r>
      <w:r>
        <w:t xml:space="preserve">.</w:t>
      </w:r>
    </w:p>
    <w:p>
      <w:pPr>
        <w:pStyle w:val="Heading3"/>
      </w:pPr>
      <w:bookmarkStart w:name="b_clase_4_4_c20_cap_11" w:id="4354"/>
      <w:r>
        <w:t xml:space="preserve">Clase 20 · 01:47:34–01:52:33 · Práctica para el 8 de octubre</w:t>
      </w:r>
      <w:bookmarkEnd w:id="4354"/>
    </w:p>
    <w:p>
      <w:bookmarkStart w:name="b_punto_c20_cap_11_p01" w:id="4355"/>
      <w:r>
        <w:t xml:space="preserve">La práctica encadena historia, DCC, Forrester, ecuaciones, iniciales y corrida para responder preguntas.</w:t>
      </w:r>
      <w:bookmarkEnd w:id="4355"/>
    </w:p>
    <w:p>
      <w:bookmarkStart w:name="b_punto_c20_cap_11_p02" w:id="4356"/>
      <w:r>
        <w:t xml:space="preserve">El PDF cuenta cómo se construyó y ejecutó el modelo y justifica respuestas con gráficas o tablas.</w:t>
      </w:r>
      <w:bookmarkEnd w:id="4356"/>
    </w:p>
    <w:p>
      <w:pPr>
        <w:pStyle w:val="Fuente"/>
      </w:pPr>
      <w:r>
        <w:t xml:space="preserve">Véase </w:t>
      </w:r>
      <w:hyperlink w:history="1" w:anchor="b_senales_examen">
        <w:r>
          <w:rPr>
            <w:color w:val="156B70"/>
            <w:u w:val="single"/>
          </w:rPr>
          <w:t xml:space="preserve">1 indicación(es) de examen de este tramo, en el apéndice cronológico</w:t>
        </w:r>
      </w:hyperlink>
      <w:r>
        <w:t xml:space="preserve">, pág. </w:t>
      </w:r>
      <w:r>
        <w:fldChar w:fldCharType="begin"/>
        <w:instrText xml:space="preserve">PAGEREF b_senales_examen \h</w:instrText>
        <w:fldChar w:fldCharType="separate"/>
        <w:t xml:space="preserve">1663</w:t>
        <w:fldChar w:fldCharType="end"/>
      </w:r>
      <w:r>
        <w:t xml:space="preserve">.</w:t>
      </w:r>
    </w:p>
    <w:p>
      <w:pPr>
        <w:pStyle w:val="Heading3"/>
      </w:pPr>
      <w:bookmarkStart w:name="b_clase_4_4_c21_cap_02" w:id="4357"/>
      <w:r>
        <w:t xml:space="preserve">Clase 21 · 00:13:00–00:22:42 · Notas y componentes de un modelo</w:t>
      </w:r>
      <w:bookmarkEnd w:id="4357"/>
    </w:p>
    <w:p>
      <w:bookmarkStart w:name="b_punto_c21_cap_02_p02" w:id="4358"/>
      <w:r>
        <w:t xml:space="preserve">Los niveles son variables de estado; los flujos pueden ser de entrada o salida y conectan con fuentes, sumideros u otros niveles.</w:t>
      </w:r>
      <w:bookmarkEnd w:id="4358"/>
    </w:p>
    <w:p>
      <w:bookmarkStart w:name="b_punto_c21_cap_02_p03" w:id="4359"/>
      <w:r>
        <w:t xml:space="preserve">Auxiliares y exógenas completan el modelo; las flechas ordinarias comunican relaciones causales o de información entre variables.</w:t>
      </w:r>
      <w:bookmarkEnd w:id="4359"/>
    </w:p>
    <w:p>
      <w:bookmarkStart w:name="b_punto_c21_cap_02_p04" w:id="4360"/>
      <w:r>
        <w:t xml:space="preserve">Los parámetros mantienen valores constantes durante una corrida y representan tasas, proporciones u otros supuestos utilizados por las ecuaciones.</w:t>
      </w:r>
      <w:bookmarkEnd w:id="4360"/>
    </w:p>
    <w:p>
      <w:bookmarkStart w:name="b_punto_c21_cap_02_p07" w:id="4361"/>
      <w:r>
        <w:t xml:space="preserve">Un escenario concreta valores iniciales, tasas, parámetros y escala/horizonte temporal; el modelo de población ilustra esas condiciones.</w:t>
      </w:r>
      <w:bookmarkEnd w:id="4361"/>
    </w:p>
    <w:p>
      <w:pPr>
        <w:pStyle w:val="Fuente"/>
      </w:pPr>
      <w:r>
        <w:t xml:space="preserve">Véase </w:t>
      </w:r>
      <w:hyperlink w:history="1" w:anchor="b_4_2">
        <w:r>
          <w:rPr>
            <w:color w:val="156B70"/>
            <w:u w:val="single"/>
          </w:rPr>
          <w:t xml:space="preserve">capítulo 4.2 · Flujos y niveles</w:t>
        </w:r>
      </w:hyperlink>
      <w:r>
        <w:t xml:space="preserve">, pág. </w:t>
      </w:r>
      <w:r>
        <w:fldChar w:fldCharType="begin"/>
        <w:instrText xml:space="preserve">PAGEREF b_4_2 \h</w:instrText>
        <w:fldChar w:fldCharType="separate"/>
        <w:t xml:space="preserve">709</w:t>
        <w:fldChar w:fldCharType="end"/>
      </w:r>
      <w:r>
        <w:t xml:space="preserve">.</w:t>
      </w:r>
    </w:p>
    <w:p>
      <w:pPr>
        <w:pStyle w:val="Fuente"/>
      </w:pPr>
      <w:r>
        <w:t xml:space="preserve">Véase </w:t>
      </w:r>
      <w:hyperlink w:history="1" w:anchor="b_4_3">
        <w:r>
          <w:rPr>
            <w:color w:val="156B70"/>
            <w:u w:val="single"/>
          </w:rPr>
          <w:t xml:space="preserve">capítulo 4.3 · De ciclos causales a flujos</w:t>
        </w:r>
      </w:hyperlink>
      <w:r>
        <w:t xml:space="preserve">, pág. </w:t>
      </w:r>
      <w:r>
        <w:fldChar w:fldCharType="begin"/>
        <w:instrText xml:space="preserve">PAGEREF b_4_3 \h</w:instrText>
        <w:fldChar w:fldCharType="separate"/>
        <w:t xml:space="preserve">737</w:t>
        <w:fldChar w:fldCharType="end"/>
      </w:r>
      <w:r>
        <w:t xml:space="preserve">.</w:t>
      </w:r>
    </w:p>
    <w:p>
      <w:pPr>
        <w:pStyle w:val="Fuente"/>
      </w:pPr>
      <w:r>
        <w:t xml:space="preserve">Véase </w:t>
      </w:r>
      <w:hyperlink w:history="1" w:anchor="b_4_5">
        <w:r>
          <w:rPr>
            <w:color w:val="156B70"/>
            <w:u w:val="single"/>
          </w:rPr>
          <w:t xml:space="preserve">capítulo 4.5 · Ejemplos en VENSIM</w:t>
        </w:r>
      </w:hyperlink>
      <w:r>
        <w:t xml:space="preserve">, pág. </w:t>
      </w:r>
      <w:r>
        <w:fldChar w:fldCharType="begin"/>
        <w:instrText xml:space="preserve">PAGEREF b_4_5 \h</w:instrText>
        <w:fldChar w:fldCharType="separate"/>
        <w:t xml:space="preserve">830</w:t>
        <w:fldChar w:fldCharType="end"/>
      </w:r>
      <w:r>
        <w:t xml:space="preserve">.</w:t>
      </w:r>
    </w:p>
    <w:p>
      <w:pPr>
        <w:pStyle w:val="Heading3"/>
      </w:pPr>
      <w:bookmarkStart w:name="b_clase_4_4_c21_cap_03" w:id="4362"/>
      <w:r>
        <w:t xml:space="preserve">Clase 21 · 00:22:42–00:42:40 · Conversión y patrones de comportamiento</w:t>
      </w:r>
      <w:bookmarkEnd w:id="4362"/>
    </w:p>
    <w:p>
      <w:bookmarkStart w:name="b_punto_c21_cap_03_p13" w:id="4363"/>
      <w:r>
        <w:t xml:space="preserve">El profesor menciona distribuciones probabilísticas para representar variación en horizontes largos, sin desarrollarlas; para una decisión inmediata puede bastar un horizonte restringido.</w:t>
      </w:r>
      <w:bookmarkEnd w:id="4363"/>
    </w:p>
    <w:p>
      <w:pPr>
        <w:pStyle w:val="Fuente"/>
      </w:pPr>
      <w:r>
        <w:t xml:space="preserve">Véase </w:t>
      </w:r>
      <w:hyperlink w:history="1" w:anchor="b_senales_examen">
        <w:r>
          <w:rPr>
            <w:color w:val="156B70"/>
            <w:u w:val="single"/>
          </w:rPr>
          <w:t xml:space="preserve">1 indicación(es) de examen de este tramo, en el apéndice cronológico</w:t>
        </w:r>
      </w:hyperlink>
      <w:r>
        <w:t xml:space="preserve">, pág. </w:t>
      </w:r>
      <w:r>
        <w:fldChar w:fldCharType="begin"/>
        <w:instrText xml:space="preserve">PAGEREF b_senales_examen \h</w:instrText>
        <w:fldChar w:fldCharType="separate"/>
        <w:t xml:space="preserve">1663</w:t>
        <w:fldChar w:fldCharType="end"/>
      </w:r>
      <w:r>
        <w:t xml:space="preserve">.</w:t>
      </w:r>
    </w:p>
    <w:p>
      <w:pPr>
        <w:pStyle w:val="Fuente"/>
      </w:pPr>
      <w:r>
        <w:t xml:space="preserve">Véase </w:t>
      </w:r>
      <w:hyperlink w:history="1" w:anchor="b_4_3">
        <w:r>
          <w:rPr>
            <w:color w:val="156B70"/>
            <w:u w:val="single"/>
          </w:rPr>
          <w:t xml:space="preserve">capítulo 4.3 · De ciclos causales a flujos</w:t>
        </w:r>
      </w:hyperlink>
      <w:r>
        <w:t xml:space="preserve">, pág. </w:t>
      </w:r>
      <w:r>
        <w:fldChar w:fldCharType="begin"/>
        <w:instrText xml:space="preserve">PAGEREF b_4_3 \h</w:instrText>
        <w:fldChar w:fldCharType="separate"/>
        <w:t xml:space="preserve">737</w:t>
        <w:fldChar w:fldCharType="end"/>
      </w:r>
      <w:r>
        <w:t xml:space="preserve">.</w:t>
      </w:r>
    </w:p>
    <w:p>
      <w:pPr>
        <w:pStyle w:val="Fuente"/>
      </w:pPr>
      <w:r>
        <w:t xml:space="preserve">Véase </w:t>
      </w:r>
      <w:hyperlink w:history="1" w:anchor="b_4_2">
        <w:r>
          <w:rPr>
            <w:color w:val="156B70"/>
            <w:u w:val="single"/>
          </w:rPr>
          <w:t xml:space="preserve">capítulo 4.2 · Flujos y niveles</w:t>
        </w:r>
      </w:hyperlink>
      <w:r>
        <w:t xml:space="preserve">, pág. </w:t>
      </w:r>
      <w:r>
        <w:fldChar w:fldCharType="begin"/>
        <w:instrText xml:space="preserve">PAGEREF b_4_2 \h</w:instrText>
        <w:fldChar w:fldCharType="separate"/>
        <w:t xml:space="preserve">709</w:t>
        <w:fldChar w:fldCharType="end"/>
      </w:r>
      <w:r>
        <w:t xml:space="preserve">.</w:t>
      </w:r>
    </w:p>
    <w:p>
      <w:pPr>
        <w:pStyle w:val="Fuente"/>
      </w:pPr>
      <w:r>
        <w:t xml:space="preserve">Véase </w:t>
      </w:r>
      <w:hyperlink w:history="1" w:anchor="b_4_5">
        <w:r>
          <w:rPr>
            <w:color w:val="156B70"/>
            <w:u w:val="single"/>
          </w:rPr>
          <w:t xml:space="preserve">capítulo 4.5 · Ejemplos en VENSIM</w:t>
        </w:r>
      </w:hyperlink>
      <w:r>
        <w:t xml:space="preserve">, pág. </w:t>
      </w:r>
      <w:r>
        <w:fldChar w:fldCharType="begin"/>
        <w:instrText xml:space="preserve">PAGEREF b_4_5 \h</w:instrText>
        <w:fldChar w:fldCharType="separate"/>
        <w:t xml:space="preserve">830</w:t>
        <w:fldChar w:fldCharType="end"/>
      </w:r>
      <w:r>
        <w:t xml:space="preserve">.</w:t>
      </w:r>
    </w:p>
    <w:p>
      <w:pPr>
        <w:pStyle w:val="Heading3"/>
      </w:pPr>
      <w:bookmarkStart w:name="b_clase_4_4_c21_cap_05" w:id="4364"/>
      <w:r>
        <w:t xml:space="preserve">Clase 21 · 00:52:54–01:04:10 · El préstamo y las alternativas</w:t>
      </w:r>
      <w:bookmarkEnd w:id="4364"/>
    </w:p>
    <w:p>
      <w:bookmarkStart w:name="b_punto_c21_cap_05_p01" w:id="4365"/>
      <w:r>
        <w:t xml:space="preserve">Se difiere la explicación de usos del modelado a una sesión siguiente y se retoma la tarea del préstamo.</w:t>
      </w:r>
      <w:bookmarkEnd w:id="4365"/>
    </w:p>
    <w:p>
      <w:bookmarkStart w:name="b_punto_c21_cap_05_p03" w:id="4366"/>
      <w:r>
        <w:t xml:space="preserve">El sistema se delimita como dos bancos en competencia y un cliente que necesita dos mil dólares para comprar una computadora.</w:t>
      </w:r>
      <w:bookmarkEnd w:id="4366"/>
    </w:p>
    <w:p>
      <w:bookmarkStart w:name="b_punto_c21_cap_05_p04" w:id="4367"/>
      <w:r>
        <w:t xml:space="preserve">Banco 1 presta dos mil al cinco por ciento mensual; banco 2 perdona mil y cobra diez por ciento sobre mil.</w:t>
      </w:r>
      <w:bookmarkEnd w:id="4367"/>
    </w:p>
    <w:p>
      <w:bookmarkStart w:name="b_punto_c21_cap_05_p05" w:id="4368"/>
      <w:r>
        <w:t xml:space="preserve">La hoja de cálculo puede obtener cifras por ecuaciones; el modelo causal hace visible la estructura circular que queda implícita en esas cuentas.</w:t>
      </w:r>
      <w:bookmarkEnd w:id="4368"/>
    </w:p>
    <w:p>
      <w:bookmarkStart w:name="b_punto_c21_cap_05_p06" w:id="4369"/>
      <w:r>
        <w:t xml:space="preserve">La conveniencia se define por el monto resultante a un horizonte: no basta comparar tasas aisladas ni el regalo inicial.</w:t>
      </w:r>
      <w:bookmarkEnd w:id="4369"/>
    </w:p>
    <w:p>
      <w:pPr>
        <w:pStyle w:val="Fuente"/>
      </w:pPr>
      <w:r>
        <w:t xml:space="preserve">Véase </w:t>
      </w:r>
      <w:hyperlink w:history="1" w:anchor="b_4_6">
        <w:r>
          <w:rPr>
            <w:color w:val="156B70"/>
            <w:u w:val="single"/>
          </w:rPr>
          <w:t xml:space="preserve">capítulo 4.6 · Toma de decisiones</w:t>
        </w:r>
      </w:hyperlink>
      <w:r>
        <w:t xml:space="preserve">, pág. </w:t>
      </w:r>
      <w:r>
        <w:fldChar w:fldCharType="begin"/>
        <w:instrText xml:space="preserve">PAGEREF b_4_6 \h</w:instrText>
        <w:fldChar w:fldCharType="separate"/>
        <w:t xml:space="preserve">884</w:t>
        <w:fldChar w:fldCharType="end"/>
      </w:r>
      <w:r>
        <w:t xml:space="preserve">.</w:t>
      </w:r>
    </w:p>
    <w:p>
      <w:pPr>
        <w:pStyle w:val="Fuente"/>
      </w:pPr>
      <w:r>
        <w:t xml:space="preserve">Véase </w:t>
      </w:r>
      <w:hyperlink w:history="1" w:anchor="b_4_3">
        <w:r>
          <w:rPr>
            <w:color w:val="156B70"/>
            <w:u w:val="single"/>
          </w:rPr>
          <w:t xml:space="preserve">capítulo 4.3 · De ciclos causales a flujos</w:t>
        </w:r>
      </w:hyperlink>
      <w:r>
        <w:t xml:space="preserve">, pág. </w:t>
      </w:r>
      <w:r>
        <w:fldChar w:fldCharType="begin"/>
        <w:instrText xml:space="preserve">PAGEREF b_4_3 \h</w:instrText>
        <w:fldChar w:fldCharType="separate"/>
        <w:t xml:space="preserve">737</w:t>
        <w:fldChar w:fldCharType="end"/>
      </w:r>
      <w:r>
        <w:t xml:space="preserve">.</w:t>
      </w:r>
    </w:p>
    <w:p>
      <w:pPr>
        <w:pStyle w:val="Heading3"/>
      </w:pPr>
      <w:bookmarkStart w:name="b_clase_4_4_c21_cap_06" w:id="4370"/>
      <w:r>
        <w:t xml:space="preserve">Clase 21 · 01:04:10–01:20:57 · Dos perspectivas del préstamo</w:t>
      </w:r>
      <w:bookmarkEnd w:id="4370"/>
    </w:p>
    <w:p>
      <w:bookmarkStart w:name="b_punto_c21_cap_06_p01" w:id="4371"/>
      <w:r>
        <w:t xml:space="preserve">La perspectiva simplificada conserva un saldo que acumula intereses: más saldo genera más interés y más interés aumenta el saldo, un refuerzo.</w:t>
      </w:r>
      <w:bookmarkEnd w:id="4371"/>
    </w:p>
    <w:p>
      <w:bookmarkStart w:name="b_punto_c21_cap_06_p02" w:id="4372"/>
      <w:r>
        <w:t xml:space="preserve">La misma estructura sirve para los dos bancos; cambian condiciones iniciales y tasas. El signo contable del saldo depende de la perspectiva, no de otra estructura causal.</w:t>
      </w:r>
      <w:bookmarkEnd w:id="4372"/>
    </w:p>
    <w:p>
      <w:bookmarkStart w:name="b_punto_c21_cap_06_p03" w:id="4373"/>
      <w:r>
        <w:t xml:space="preserve">La perspectiva sin pagos omite la actividad del cliente. Una segunda incorpora pagos mensuales y mide el total pagado, distinto del saldo.</w:t>
      </w:r>
      <w:bookmarkEnd w:id="4373"/>
    </w:p>
    <w:p>
      <w:bookmarkStart w:name="b_punto_c21_cap_06_p04" w:id="4374"/>
      <w:r>
        <w:t xml:space="preserve">En la segunda perspectiva, el pago mensual depende de intereses y de la parte del principal que se amortiza según la duración.</w:t>
      </w:r>
      <w:bookmarkEnd w:id="4374"/>
    </w:p>
    <w:p>
      <w:bookmarkStart w:name="b_punto_c21_cap_06_p05" w:id="4375"/>
      <w:r>
        <w:t xml:space="preserve">El enunciado no fija si los intereses se cobran sobre principal original o sobre saldo restante; quitar o conservar la relación de pago a deuda cambia el supuesto.</w:t>
      </w:r>
      <w:bookmarkEnd w:id="4375"/>
    </w:p>
    <w:p>
      <w:bookmarkStart w:name="b_punto_c21_cap_06_p06" w:id="4376"/>
      <w:r>
        <w:t xml:space="preserve">Pago total acumula pagos mensuales y debe distinguirse como variable objetivo; comparar ese total con el saldo pendiente de otra alternativa mezcla magnitudes.</w:t>
      </w:r>
      <w:bookmarkEnd w:id="4376"/>
    </w:p>
    <w:p>
      <w:bookmarkStart w:name="b_punto_c21_cap_06_p07" w:id="4377"/>
      <w:r>
        <w:t xml:space="preserve">Una variante explícita usa capital/duración más los intereses mensuales; el portal declara la cuota de capital constante en vez de atribuirla como contrato completo dado.</w:t>
      </w:r>
      <w:bookmarkEnd w:id="4377"/>
    </w:p>
    <w:p>
      <w:bookmarkStart w:name="b_punto_c21_cap_06_p08" w:id="4378"/>
      <w:r>
        <w:t xml:space="preserve">En el modelo sin pagos, saldo integra sólo intereses; en el de pagos puede tener salida y el total pagado constituye otro acumulador.</w:t>
      </w:r>
      <w:bookmarkEnd w:id="4378"/>
    </w:p>
    <w:p>
      <w:pPr>
        <w:pStyle w:val="Fuente"/>
      </w:pPr>
      <w:r>
        <w:t xml:space="preserve">Véase </w:t>
      </w:r>
      <w:hyperlink w:history="1" w:anchor="b_4_3">
        <w:r>
          <w:rPr>
            <w:color w:val="156B70"/>
            <w:u w:val="single"/>
          </w:rPr>
          <w:t xml:space="preserve">capítulo 4.3 · De ciclos causales a flujos</w:t>
        </w:r>
      </w:hyperlink>
      <w:r>
        <w:t xml:space="preserve">, pág. </w:t>
      </w:r>
      <w:r>
        <w:fldChar w:fldCharType="begin"/>
        <w:instrText xml:space="preserve">PAGEREF b_4_3 \h</w:instrText>
        <w:fldChar w:fldCharType="separate"/>
        <w:t xml:space="preserve">737</w:t>
        <w:fldChar w:fldCharType="end"/>
      </w:r>
      <w:r>
        <w:t xml:space="preserve">.</w:t>
      </w:r>
    </w:p>
    <w:p>
      <w:pPr>
        <w:pStyle w:val="Heading3"/>
      </w:pPr>
      <w:bookmarkStart w:name="b_clase_4_4_c21_cap_07" w:id="4379"/>
      <w:r>
        <w:t xml:space="preserve">Clase 21 · 01:20:57–01:28:37 · Simulación a doce meses</w:t>
      </w:r>
      <w:bookmarkEnd w:id="4379"/>
    </w:p>
    <w:p>
      <w:bookmarkStart w:name="b_punto_c21_cap_07_p01" w:id="4380"/>
      <w:r>
        <w:t xml:space="preserve">En Vensim el modelo sencillo se arma con nivel Capital o Saldo, flujo Intereses=tasa×capital e INTEG con deuda inicial.</w:t>
      </w:r>
      <w:bookmarkEnd w:id="4380"/>
    </w:p>
    <w:p>
      <w:bookmarkStart w:name="b_punto_c21_cap_07_p02" w:id="4381"/>
      <w:r>
        <w:t xml:space="preserve">Un mismo modelo se ejecuta por escenarios; hay que ajustar el horizonte a doce meses y repetir la corrida antes de comparar.</w:t>
      </w:r>
      <w:bookmarkEnd w:id="4381"/>
    </w:p>
    <w:p>
      <w:bookmarkStart w:name="b_punto_c21_cap_07_p03" w:id="4382"/>
      <w:r>
        <w:t xml:space="preserve">Para el segundo banco se cambian conjuntamente tasa a 0.10 y saldo inicial a mil, conservando horizonte y reglas de cálculo.</w:t>
      </w:r>
      <w:bookmarkEnd w:id="4382"/>
    </w:p>
    <w:p>
      <w:bookmarkStart w:name="b_punto_c21_cap_07_p04" w:id="4383"/>
      <w:r>
        <w:t xml:space="preserve">A doce meses los saldos son aproximadamente 3591.71 y 3138.43; bajo menor deuda y sin pagos conviene banco 2.</w:t>
      </w:r>
      <w:bookmarkEnd w:id="4383"/>
    </w:p>
    <w:p>
      <w:bookmarkStart w:name="b_punto_c21_cap_07_p05" w:id="4384"/>
      <w:r>
        <w:t xml:space="preserve">La simulación simplificada tiene limitaciones de precisión contractual; el profesor advierte que el modo de cobrar intereses puede cambiar valores.</w:t>
      </w:r>
      <w:bookmarkEnd w:id="4384"/>
    </w:p>
    <w:p>
      <w:bookmarkStart w:name="b_punto_c21_cap_07_p06" w:id="4385"/>
      <w:r>
        <w:t xml:space="preserve">El informe debe incluir gráficas o tablas, localizar el mes de interés e interpretar la comparación para responder la pregunta.</w:t>
      </w:r>
      <w:bookmarkEnd w:id="4385"/>
    </w:p>
    <w:p>
      <w:pPr>
        <w:pStyle w:val="Fuente"/>
      </w:pPr>
      <w:r>
        <w:t xml:space="preserve">Véase </w:t>
      </w:r>
      <w:hyperlink w:history="1" w:anchor="b_senales_examen">
        <w:r>
          <w:rPr>
            <w:color w:val="156B70"/>
            <w:u w:val="single"/>
          </w:rPr>
          <w:t xml:space="preserve">1 indicación(es) de examen de este tramo, en el apéndice cronológico</w:t>
        </w:r>
      </w:hyperlink>
      <w:r>
        <w:t xml:space="preserve">, pág. </w:t>
      </w:r>
      <w:r>
        <w:fldChar w:fldCharType="begin"/>
        <w:instrText xml:space="preserve">PAGEREF b_senales_examen \h</w:instrText>
        <w:fldChar w:fldCharType="separate"/>
        <w:t xml:space="preserve">1663</w:t>
        <w:fldChar w:fldCharType="end"/>
      </w:r>
      <w:r>
        <w:t xml:space="preserve">.</w:t>
      </w:r>
    </w:p>
    <w:p>
      <w:pPr>
        <w:pStyle w:val="Heading3"/>
      </w:pPr>
      <w:bookmarkStart w:name="b_clase_4_4_c21_cap_08" w:id="4386"/>
      <w:r>
        <w:t xml:space="preserve">Clase 21 · 01:28:37–01:33:50 · Ampliar el horizonte a veinticuatro meses</w:t>
      </w:r>
      <w:bookmarkEnd w:id="4386"/>
    </w:p>
    <w:p>
      <w:bookmarkStart w:name="b_punto_c21_cap_08_p01" w:id="4387"/>
      <w:r>
        <w:t xml:space="preserve">El inciso de dos años conserva los bancos originales y amplía el horizonte a veinticuatro meses, exigiendo repetir ambos escenarios.</w:t>
      </w:r>
      <w:bookmarkEnd w:id="4387"/>
    </w:p>
    <w:p>
      <w:bookmarkStart w:name="b_punto_c21_cap_08_p02" w:id="4388"/>
      <w:r>
        <w:t xml:space="preserve">La ventaja cambia entre los meses catorce y quince; a veinticuatro meses los saldos son aproximadamente 6450.20 y 9849.73, por lo que conviene banco 1.</w:t>
      </w:r>
      <w:bookmarkEnd w:id="4388"/>
    </w:p>
    <w:p>
      <w:pPr>
        <w:pStyle w:val="Fuente"/>
      </w:pPr>
      <w:r>
        <w:t xml:space="preserve">Véase </w:t>
      </w:r>
      <w:hyperlink w:history="1" w:anchor="b_4_6">
        <w:r>
          <w:rPr>
            <w:color w:val="156B70"/>
            <w:u w:val="single"/>
          </w:rPr>
          <w:t xml:space="preserve">capítulo 4.6 · Toma de decisiones</w:t>
        </w:r>
      </w:hyperlink>
      <w:r>
        <w:t xml:space="preserve">, pág. </w:t>
      </w:r>
      <w:r>
        <w:fldChar w:fldCharType="begin"/>
        <w:instrText xml:space="preserve">PAGEREF b_4_6 \h</w:instrText>
        <w:fldChar w:fldCharType="separate"/>
        <w:t xml:space="preserve">884</w:t>
        <w:fldChar w:fldCharType="end"/>
      </w:r>
      <w:r>
        <w:t xml:space="preserve">.</w:t>
      </w:r>
    </w:p>
    <w:p>
      <w:pPr>
        <w:pStyle w:val="Heading3"/>
      </w:pPr>
      <w:bookmarkStart w:name="b_clase_4_4_c21_cap_09" w:id="4389"/>
      <w:r>
        <w:t xml:space="preserve">Clase 21 · 01:33:50–01:38:06 · Negociar las tasas y verificar la conclusión</w:t>
      </w:r>
      <w:bookmarkEnd w:id="4389"/>
    </w:p>
    <w:p>
      <w:bookmarkStart w:name="b_punto_c21_cap_09_p02" w:id="4390"/>
      <w:r>
        <w:t xml:space="preserve">El inciso C dirige la mirada al mes catorce, cerca del cambio de conveniencia, para verificar la simulación.</w:t>
      </w:r>
      <w:bookmarkEnd w:id="4390"/>
    </w:p>
    <w:p>
      <w:bookmarkStart w:name="b_punto_c21_cap_09_p03" w:id="4391"/>
      <w:r>
        <w:t xml:space="preserve">El escenario negociado conserva montos iniciales y horizonte de veinticuatro meses, pero sustituye tasas por dos y cuatro por ciento.</w:t>
      </w:r>
      <w:bookmarkEnd w:id="4391"/>
    </w:p>
    <w:p>
      <w:bookmarkStart w:name="b_punto_c21_cap_09_p04" w:id="4392"/>
      <w:r>
        <w:t xml:space="preserve">La conclusión oral favorable a banco 1 contradice los saldos correctos 3216.87 y 2563.30, que favorecen banco 2; el portal ya lo aclara y calcula correctamente.</w:t>
      </w:r>
      <w:bookmarkEnd w:id="4392"/>
    </w:p>
    <w:p>
      <w:pPr>
        <w:pStyle w:val="Fuente"/>
      </w:pPr>
      <w:r>
        <w:t xml:space="preserve">Véase </w:t>
      </w:r>
      <w:hyperlink w:history="1" w:anchor="b_senales_examen">
        <w:r>
          <w:rPr>
            <w:color w:val="156B70"/>
            <w:u w:val="single"/>
          </w:rPr>
          <w:t xml:space="preserve">1 indicación(es) de examen de este tramo, en el apéndice cronológico</w:t>
        </w:r>
      </w:hyperlink>
      <w:r>
        <w:t xml:space="preserve">, pág. </w:t>
      </w:r>
      <w:r>
        <w:fldChar w:fldCharType="begin"/>
        <w:instrText xml:space="preserve">PAGEREF b_senales_examen \h</w:instrText>
        <w:fldChar w:fldCharType="separate"/>
        <w:t xml:space="preserve">1663</w:t>
        <w:fldChar w:fldCharType="end"/>
      </w:r>
      <w:r>
        <w:t xml:space="preserve">.</w:t>
      </w:r>
    </w:p>
    <w:p>
      <w:pPr>
        <w:pStyle w:val="Heading3"/>
      </w:pPr>
      <w:bookmarkStart w:name="b_clase_4_4_c24_cap_04" w:id="4393"/>
      <w:r>
        <w:t xml:space="preserve">Clase 24 · 00:31:30–00:37:46 · Modelar para aprender</w:t>
      </w:r>
      <w:bookmarkEnd w:id="4393"/>
    </w:p>
    <w:p>
      <w:bookmarkStart w:name="b_punto_c24_cap_04_p01" w:id="4394"/>
      <w:r>
        <w:t xml:space="preserve">El modelo mental puede formalizarse en DSRP, relaciones o ciclos causales y flujos/niveles; expresar el modelo permite discutirlo fuera de la abstracción personal.</w:t>
      </w:r>
      <w:bookmarkEnd w:id="4394"/>
    </w:p>
    <w:p>
      <w:bookmarkStart w:name="b_punto_c24_cap_04_p02" w:id="4395"/>
      <w:r>
        <w:t xml:space="preserve">Percibir la realidad forma un modelo mental; formalizar, interpretar relaciones, polaridades e interdependencias permite reformular la comprensión y aprender.</w:t>
      </w:r>
      <w:bookmarkEnd w:id="4395"/>
    </w:p>
    <w:p>
      <w:bookmarkStart w:name="b_punto_c24_cap_04_p03" w:id="4396"/>
      <w:r>
        <w:t xml:space="preserve">La modelación puede servir para aprender mediante interpretación y discusión antes de ejecutar una simulación.</w:t>
      </w:r>
      <w:bookmarkEnd w:id="4396"/>
    </w:p>
    <w:p>
      <w:pPr>
        <w:pStyle w:val="Heading3"/>
      </w:pPr>
      <w:bookmarkStart w:name="b_clase_4_4_c24_cap_05" w:id="4397"/>
      <w:r>
        <w:t xml:space="preserve">Clase 24 · 00:37:46–00:43:41 · Modelar para explicar e intervenir</w:t>
      </w:r>
      <w:bookmarkEnd w:id="4397"/>
    </w:p>
    <w:p>
      <w:bookmarkStart w:name="b_punto_c24_cap_05_p01" w:id="4398"/>
      <w:r>
        <w:t xml:space="preserve">Modelar para explicar comunica una comprensión formal a otros, recibe críticas y observaciones y amplía la comprensión compartida.</w:t>
      </w:r>
      <w:bookmarkEnd w:id="4398"/>
    </w:p>
    <w:p>
      <w:bookmarkStart w:name="b_punto_c24_cap_05_p02" w:id="4399"/>
      <w:r>
        <w:t xml:space="preserve">Modelar para intervenir usa la comprensión formal y escenarios de consecuencias para elegir acciones que se aplican en la realidad.</w:t>
      </w:r>
      <w:bookmarkEnd w:id="4399"/>
    </w:p>
    <w:p>
      <w:bookmarkStart w:name="b_punto_c24_cap_05_p03" w:id="4400"/>
      <w:r>
        <w:t xml:space="preserve">El préstamo ejemplifica el recorrido completo: el profesor favorece el banco 2 según los escenarios examinados y decide negociar a partir de esa comparación.</w:t>
      </w:r>
      <w:bookmarkEnd w:id="4400"/>
    </w:p>
    <w:p>
      <w:bookmarkStart w:name="b_punto_c24_cap_05_p04" w:id="4401"/>
      <w:r>
        <w:t xml:space="preserve">Los esquemas se pueden leer desde la actividad del modelador o desde la perspectiva del modelo.</w:t>
      </w:r>
      <w:bookmarkEnd w:id="4401"/>
    </w:p>
    <w:p>
      <w:pPr>
        <w:pStyle w:val="Heading3"/>
      </w:pPr>
      <w:bookmarkStart w:name="b_clase_4_4_c24_cap_06" w:id="4402"/>
      <w:r>
        <w:t xml:space="preserve">Clase 24 · 00:43:41–00:50:56 · Teoría, datos y validación</w:t>
      </w:r>
      <w:bookmarkEnd w:id="4402"/>
    </w:p>
    <w:p>
      <w:bookmarkStart w:name="b_punto_c24_cap_06_p01" w:id="4403"/>
      <w:r>
        <w:t xml:space="preserve">La realidad inspira teoría; modelos mentales, matemática y toma de datos aportan a la construcción del modelo.</w:t>
      </w:r>
      <w:bookmarkEnd w:id="4403"/>
    </w:p>
    <w:p>
      <w:bookmarkStart w:name="b_punto_c24_cap_06_p02" w:id="4404"/>
      <w:r>
        <w:t xml:space="preserve">Las tasas constantes usadas en clase son simplificaciones; ciertas variaciones pueden modelarse con distribuciones y funciones de probabilidad de Vensim.</w:t>
      </w:r>
      <w:bookmarkEnd w:id="4404"/>
    </w:p>
    <w:p>
      <w:bookmarkStart w:name="b_punto_c24_cap_06_p03" w:id="4405"/>
      <w:r>
        <w:t xml:space="preserve">Variables estocásticas, tablas de observaciones y semillas de generadores se mencionan como otras formas de producir datos; no se desarrolla una distribución ni implementación específica.</w:t>
      </w:r>
      <w:bookmarkEnd w:id="4405"/>
    </w:p>
    <w:p>
      <w:bookmarkStart w:name="b_punto_c24_cap_06_p04" w:id="4406"/>
      <w:r>
        <w:t xml:space="preserve">Validar requiere contrastar teoría, estructura y datos: una simulación que ejecuta o que se parece en curva puede inducir una intervención equivocada si representa mal el sistema.</w:t>
      </w:r>
      <w:bookmarkEnd w:id="4406"/>
    </w:p>
    <w:p>
      <w:bookmarkStart w:name="b_punto_c24_cap_06_p05" w:id="4407"/>
      <w:r>
        <w:t xml:space="preserve">La réplica se apoya en teoría y conocimientos de ciencias del sistema; las teorías provienen de sistemas de creencias que deben contrastarse.</w:t>
      </w:r>
      <w:bookmarkEnd w:id="4407"/>
    </w:p>
    <w:p>
      <w:pPr>
        <w:pStyle w:val="Heading3"/>
      </w:pPr>
      <w:bookmarkStart w:name="b_clase_4_4_c24_cap_07" w:id="4408"/>
      <w:r>
        <w:t xml:space="preserve">Clase 24 · 00:50:56–00:54:02 · Réplica, reconstrucción y construcción</w:t>
      </w:r>
      <w:bookmarkEnd w:id="4408"/>
    </w:p>
    <w:p>
      <w:bookmarkStart w:name="b_punto_c24_cap_07_p01" w:id="4409"/>
      <w:r>
        <w:t xml:space="preserve">La reconstrucción añade un ciclo de aprendizaje desde validación, acción y resultados para perfeccionar modelo e intervención.</w:t>
      </w:r>
      <w:bookmarkEnd w:id="4409"/>
    </w:p>
    <w:p>
      <w:bookmarkStart w:name="b_punto_c24_cap_07_p02" w:id="4410"/>
      <w:r>
        <w:t xml:space="preserve">Construir incluye investigación y confrontación de teorías; el aprendizaje revisa la primera versión y profundiza la percepción de la realidad.</w:t>
      </w:r>
      <w:bookmarkEnd w:id="4410"/>
    </w:p>
    <w:p>
      <w:bookmarkStart w:name="b_punto_c24_cap_07_p03" w:id="4411"/>
      <w:r>
        <w:t xml:space="preserve">Aproximar la realidad exige tiempo, esfuerzo, simulación y análisis; puede no lograrse totalmente y queda como profundización futura.</w:t>
      </w:r>
      <w:bookmarkEnd w:id="4411"/>
    </w:p>
    <w:p>
      <w:pPr>
        <w:pStyle w:val="Heading3"/>
      </w:pPr>
      <w:bookmarkStart w:name="b_clase_4_4_c24_cap_11" w:id="4412"/>
      <w:r>
        <w:t xml:space="preserve">Clase 24 · 01:14:49–01:16:01 · Evidencia de la práctica en un informe PDF</w:t>
      </w:r>
      <w:bookmarkEnd w:id="4412"/>
    </w:p>
    <w:p>
      <w:bookmarkStart w:name="b_punto_c24_cap_11_p01" w:id="4413"/>
      <w:r>
        <w:t xml:space="preserve">El informe PDF debe dejar evidencia del experimento mediante procedimiento, pantallas, gráficas o tablas.</w:t>
      </w:r>
      <w:bookmarkEnd w:id="4413"/>
    </w:p>
    <w:p>
      <w:bookmarkStart w:name="b_punto_c24_cap_11_p02" w:id="4414"/>
      <w:r>
        <w:t xml:space="preserve">Se evalúan construcción, corrida, generación de datos e interpretación; la sola respuesta final puede perder ponderación.</w:t>
      </w:r>
      <w:bookmarkEnd w:id="4414"/>
    </w:p>
    <w:p>
      <w:pPr>
        <w:pStyle w:val="Fuente"/>
      </w:pPr>
      <w:r>
        <w:t xml:space="preserve">Véase </w:t>
      </w:r>
      <w:hyperlink w:history="1" w:anchor="b_senales_examen">
        <w:r>
          <w:rPr>
            <w:color w:val="156B70"/>
            <w:u w:val="single"/>
          </w:rPr>
          <w:t xml:space="preserve">1 indicación(es) de examen de este tramo, en el apéndice cronológico</w:t>
        </w:r>
      </w:hyperlink>
      <w:r>
        <w:t xml:space="preserve">, pág. </w:t>
      </w:r>
      <w:r>
        <w:fldChar w:fldCharType="begin"/>
        <w:instrText xml:space="preserve">PAGEREF b_senales_examen \h</w:instrText>
        <w:fldChar w:fldCharType="separate"/>
        <w:t xml:space="preserve">1663</w:t>
        <w:fldChar w:fldCharType="end"/>
      </w:r>
      <w:r>
        <w:t xml:space="preserve">.</w:t>
      </w:r>
    </w:p>
    <w:p>
      <w:pPr>
        <w:pStyle w:val="Heading3"/>
      </w:pPr>
      <w:bookmarkStart w:name="b_clase_4_4_c24_cap_12" w:id="4415"/>
      <w:r>
        <w:t xml:space="preserve">Clase 24 · 01:16:01–01:33:26 · Examen corto, resultados y cierre del curso</w:t>
      </w:r>
      <w:bookmarkEnd w:id="4415"/>
    </w:p>
    <w:p>
      <w:bookmarkStart w:name="b_punto_c24_cap_12_p02" w:id="4416"/>
      <w:r>
        <w:t xml:space="preserve">Dejar capturas de pantalla de datos y patrones generados en Vensim como evidencia de la simulación.</w:t>
      </w:r>
      <w:bookmarkEnd w:id="4416"/>
    </w:p>
    <w:p>
      <w:bookmarkStart w:name="b_punto_c24_cap_12_p03" w:id="4417"/>
      <w:r>
        <w:t xml:space="preserve">Consultar los resultados y retroalimentación del corto para preparar el tercer parcial; la selección fue aleatoria y no representa un banco completo.</w:t>
      </w:r>
      <w:bookmarkEnd w:id="4417"/>
    </w:p>
    <w:p>
      <w:pPr>
        <w:pStyle w:val="Fuente"/>
      </w:pPr>
      <w:r>
        <w:t xml:space="preserve">Véase </w:t>
      </w:r>
      <w:hyperlink w:history="1" w:anchor="b_senales_examen">
        <w:r>
          <w:rPr>
            <w:color w:val="156B70"/>
            <w:u w:val="single"/>
          </w:rPr>
          <w:t xml:space="preserve">4 indicación(es) de examen de este tramo, en el apéndice cronológico</w:t>
        </w:r>
      </w:hyperlink>
      <w:r>
        <w:t xml:space="preserve">, pág. </w:t>
      </w:r>
      <w:r>
        <w:fldChar w:fldCharType="begin"/>
        <w:instrText xml:space="preserve">PAGEREF b_senales_examen \h</w:instrText>
        <w:fldChar w:fldCharType="separate"/>
        <w:t xml:space="preserve">1663</w:t>
        <w:fldChar w:fldCharType="end"/>
      </w:r>
      <w:r>
        <w:t xml:space="preserve">.</w:t>
      </w:r>
    </w:p>
    <w:p>
      <w:pPr>
        <w:pStyle w:val="Fuente"/>
      </w:pPr>
      <w:r>
        <w:t xml:space="preserve">Véase </w:t>
      </w:r>
      <w:hyperlink w:history="1" w:anchor="b_cita_clase_18_idea_1">
        <w:r>
          <w:rPr>
            <w:color w:val="156B70"/>
            <w:u w:val="single"/>
          </w:rPr>
          <w:t xml:space="preserve">cita de Clase 18 · 01:14:06</w:t>
        </w:r>
      </w:hyperlink>
      <w:r>
        <w:t xml:space="preserve">, pág. </w:t>
      </w:r>
      <w:r>
        <w:fldChar w:fldCharType="begin"/>
        <w:instrText xml:space="preserve">PAGEREF b_cita_clase_18_idea_1 \h</w:instrText>
        <w:fldChar w:fldCharType="separate"/>
        <w:t xml:space="preserve">723</w:t>
        <w:fldChar w:fldCharType="end"/>
      </w:r>
      <w:r>
        <w:t xml:space="preserve">.</w:t>
      </w:r>
    </w:p>
    <w:p>
      <w:pPr>
        <w:pStyle w:val="Fuente"/>
      </w:pPr>
      <w:r>
        <w:t xml:space="preserve">Véase </w:t>
      </w:r>
      <w:hyperlink w:history="1" w:anchor="b_cita_clase_18_idea_2">
        <w:r>
          <w:rPr>
            <w:color w:val="156B70"/>
            <w:u w:val="single"/>
          </w:rPr>
          <w:t xml:space="preserve">cita de Clase 18 · 01:16:40</w:t>
        </w:r>
      </w:hyperlink>
      <w:r>
        <w:t xml:space="preserve">, pág. </w:t>
      </w:r>
      <w:r>
        <w:fldChar w:fldCharType="begin"/>
        <w:instrText xml:space="preserve">PAGEREF b_cita_clase_18_idea_2 \h</w:instrText>
        <w:fldChar w:fldCharType="separate"/>
        <w:t xml:space="preserve">723</w:t>
        <w:fldChar w:fldCharType="end"/>
      </w:r>
      <w:r>
        <w:t xml:space="preserve">.</w:t>
      </w:r>
    </w:p>
    <w:p>
      <w:pPr>
        <w:pStyle w:val="Heading3"/>
      </w:pPr>
      <w:bookmarkStart w:name="b_cita_clase_19_idea_1" w:id="4418"/>
      <w:r>
        <w:t xml:space="preserve">Palabras del profesor</w:t>
      </w:r>
      <w:bookmarkEnd w:id="4418"/>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El profesor lo dijo así</w:t>
            </w:r>
          </w:p>
          <w:p>
            <w:pPr>
              <w:pStyle w:val="Recuadro"/>
            </w:pPr>
            <w:r>
              <w:t xml:space="preserve">«El próximo día vamos a a analizar eh además de corregir el el sistema que no nos funcionó, vamos a analizar algunos otros modelos en simulación para que vean cómo entonces es muy útil la simulación cuando estamos interpretando los conocimientos, los los patrones de comportamiento de los sistemas a lo largo del tiempo, porque para eso es la simulación.»</w:t>
            </w:r>
          </w:p>
          <w:p>
            <w:pPr>
              <w:pStyle w:val="Recuadro"/>
            </w:pPr>
            <w:r>
              <w:t xml:space="preserve">Clase 19 · 01:39:03–01:39:31</w:t>
            </w:r>
          </w:p>
        </w:tc>
      </w:tr>
    </w:tbl>
    <w:p>
      <w:pPr>
        <w:pStyle w:val="Heading3"/>
      </w:pPr>
      <w:bookmarkStart w:name="b_cita_clase_19_idea_2" w:id="4419"/>
      <w:r>
        <w:t xml:space="preserve">Palabras del profesor</w:t>
      </w:r>
      <w:bookmarkEnd w:id="4419"/>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El profesor lo dijo así</w:t>
            </w:r>
          </w:p>
          <w:p>
            <w:pPr>
              <w:pStyle w:val="Recuadro"/>
            </w:pPr>
            <w:r>
              <w:t xml:space="preserve">«hacemos un experimento de simulación a partir del diagrama de flujos y niveles que nos permite comparar si lo que en el modelo se genera de valores es idéntico, similar o no a la realidad que estamos viviendo en la comparativa real contra la el modelo de esa realidad. Bueno, vamos a hacer otros ejercicios»</w:t>
            </w:r>
          </w:p>
          <w:p>
            <w:pPr>
              <w:pStyle w:val="Recuadro"/>
            </w:pPr>
            <w:r>
              <w:t xml:space="preserve">Clase 19 · 01:40:27–01:40:53</w:t>
            </w:r>
          </w:p>
        </w:tc>
      </w:tr>
    </w:tbl>
    <w:p>
      <w:pPr>
        <w:pStyle w:val="Heading3"/>
      </w:pPr>
      <w:bookmarkStart w:name="b_cita_clase_19_idea_3" w:id="4420"/>
      <w:r>
        <w:t xml:space="preserve">Palabras del profesor</w:t>
      </w:r>
      <w:bookmarkEnd w:id="4420"/>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El profesor lo dijo así</w:t>
            </w:r>
          </w:p>
          <w:p>
            <w:pPr>
              <w:pStyle w:val="Recuadro"/>
            </w:pPr>
            <w:r>
              <w:t xml:space="preserve">«una introducción de la simulación. Este no es un curso de simulación tampoco, solo es una introducción para que ustedes empiecen a comprender qué es la simulación que hacemos de las estructuras sistémicas, la utilidad que nos da para comprender las tendencias de comportamiento, o las emergencias de los sistemas. y que ustedes lo pueden generar a través de un modelo, como en»</w:t>
            </w:r>
          </w:p>
          <w:p>
            <w:pPr>
              <w:pStyle w:val="Recuadro"/>
            </w:pPr>
            <w:r>
              <w:t xml:space="preserve">Clase 19 · 01:41:01–01:41:23</w:t>
            </w:r>
          </w:p>
        </w:tc>
      </w:tr>
    </w:tbl>
    <w:p>
      <w:pPr>
        <w:pStyle w:val="Fuente"/>
      </w:pPr>
      <w:r>
        <w:t xml:space="preserve">Véase </w:t>
      </w:r>
      <w:hyperlink w:history="1" w:anchor="b_cita_clase_20_idea_1">
        <w:r>
          <w:rPr>
            <w:color w:val="156B70"/>
            <w:u w:val="single"/>
          </w:rPr>
          <w:t xml:space="preserve">cita de Clase 20 · 01:35:14</w:t>
        </w:r>
      </w:hyperlink>
      <w:r>
        <w:t xml:space="preserve">, pág. </w:t>
      </w:r>
      <w:r>
        <w:fldChar w:fldCharType="begin"/>
        <w:instrText xml:space="preserve">PAGEREF b_cita_clase_20_idea_1 \h</w:instrText>
        <w:fldChar w:fldCharType="separate"/>
        <w:t xml:space="preserve">759</w:t>
        <w:fldChar w:fldCharType="end"/>
      </w:r>
      <w:r>
        <w:t xml:space="preserve">.</w:t>
      </w:r>
    </w:p>
    <w:p>
      <w:pPr>
        <w:pStyle w:val="Fuente"/>
      </w:pPr>
      <w:r>
        <w:t xml:space="preserve">Véase </w:t>
      </w:r>
      <w:hyperlink w:history="1" w:anchor="b_cita_clase_20_idea_2">
        <w:r>
          <w:rPr>
            <w:color w:val="156B70"/>
            <w:u w:val="single"/>
          </w:rPr>
          <w:t xml:space="preserve">cita de Clase 20 · 01:35:33</w:t>
        </w:r>
      </w:hyperlink>
      <w:r>
        <w:t xml:space="preserve">, pág. </w:t>
      </w:r>
      <w:r>
        <w:fldChar w:fldCharType="begin"/>
        <w:instrText xml:space="preserve">PAGEREF b_cita_clase_20_idea_2 \h</w:instrText>
        <w:fldChar w:fldCharType="separate"/>
        <w:t xml:space="preserve">759</w:t>
        <w:fldChar w:fldCharType="end"/>
      </w:r>
      <w:r>
        <w:t xml:space="preserve">.</w:t>
      </w:r>
    </w:p>
    <w:p>
      <w:pPr>
        <w:pStyle w:val="Heading3"/>
      </w:pPr>
      <w:bookmarkStart w:name="b_cita_clase_20_idea_3" w:id="4421"/>
      <w:r>
        <w:t xml:space="preserve">Palabras del profesor</w:t>
      </w:r>
      <w:bookmarkEnd w:id="4421"/>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El profesor lo dijo así</w:t>
            </w:r>
          </w:p>
          <w:p>
            <w:pPr>
              <w:pStyle w:val="Recuadro"/>
            </w:pPr>
            <w:r>
              <w:t xml:space="preserve">«Revisen, por favor, este contenido de la simulación. El próximo día que nos veamos después de la semana del congreso, eh resuelvo dudas sobre este tema de simulación. eh para que practiquen igual eh no para esta semana que viene, sino que para el próximo día que nos veamos la clase de la semana del»</w:t>
            </w:r>
          </w:p>
          <w:p>
            <w:pPr>
              <w:pStyle w:val="Recuadro"/>
            </w:pPr>
            <w:r>
              <w:t xml:space="preserve">Clase 20 · 01:47:34–01:47:59</w:t>
            </w:r>
          </w:p>
        </w:tc>
      </w:tr>
    </w:tbl>
    <w:p>
      <w:pPr>
        <w:pStyle w:val="Fuente"/>
      </w:pPr>
      <w:r>
        <w:t xml:space="preserve">Véase </w:t>
      </w:r>
      <w:hyperlink w:history="1" w:anchor="b_cita_clase_21_idea_1">
        <w:r>
          <w:rPr>
            <w:color w:val="156B70"/>
            <w:u w:val="single"/>
          </w:rPr>
          <w:t xml:space="preserve">cita de Clase 21 · 01:13:14</w:t>
        </w:r>
      </w:hyperlink>
      <w:r>
        <w:t xml:space="preserve">, pág. </w:t>
      </w:r>
      <w:r>
        <w:fldChar w:fldCharType="begin"/>
        <w:instrText xml:space="preserve">PAGEREF b_cita_clase_21_idea_1 \h</w:instrText>
        <w:fldChar w:fldCharType="separate"/>
        <w:t xml:space="preserve">759</w:t>
        <w:fldChar w:fldCharType="end"/>
      </w:r>
      <w:r>
        <w:t xml:space="preserve">.</w:t>
      </w:r>
    </w:p>
    <w:p>
      <w:pPr>
        <w:pStyle w:val="Fuente"/>
      </w:pPr>
      <w:r>
        <w:t xml:space="preserve">Véase </w:t>
      </w:r>
      <w:hyperlink w:history="1" w:anchor="b_cita_clase_21_idea_2">
        <w:r>
          <w:rPr>
            <w:color w:val="156B70"/>
            <w:u w:val="single"/>
          </w:rPr>
          <w:t xml:space="preserve">cita de Clase 21 · 01:13:51</w:t>
        </w:r>
      </w:hyperlink>
      <w:r>
        <w:t xml:space="preserve">, pág. </w:t>
      </w:r>
      <w:r>
        <w:fldChar w:fldCharType="begin"/>
        <w:instrText xml:space="preserve">PAGEREF b_cita_clase_21_idea_2 \h</w:instrText>
        <w:fldChar w:fldCharType="separate"/>
        <w:t xml:space="preserve">759</w:t>
        <w:fldChar w:fldCharType="end"/>
      </w:r>
      <w:r>
        <w:t xml:space="preserve">.</w:t>
      </w:r>
    </w:p>
    <w:p>
      <w:pPr>
        <w:pStyle w:val="Heading3"/>
      </w:pPr>
      <w:bookmarkStart w:name="b_cita_clase_24_idea_2" w:id="4422"/>
      <w:r>
        <w:t xml:space="preserve">Palabras del profesor</w:t>
      </w:r>
      <w:bookmarkEnd w:id="4422"/>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El profesor lo dijo así</w:t>
            </w:r>
          </w:p>
          <w:p>
            <w:pPr>
              <w:pStyle w:val="Recuadro"/>
            </w:pPr>
            <w:r>
              <w:t xml:space="preserve">«Ese proceso modelado entonces e requiere validación. Este, eh confrontamos la teoría con el modelo. Obviamente la teoría viene deduciéndose del estudio, estudios previos que pueden haber sido o del estudio que está inmerso en en ese mismo modelo o que hayan hecho otros autores para poder contrastar el modelo hecho contra lo que podría debería haber sido eh para validar el modelo y eh que luego pues efectivamente la la validación nos determine la utilidad de la intervención porque hay»</w:t>
            </w:r>
          </w:p>
          <w:p>
            <w:pPr>
              <w:pStyle w:val="Recuadro"/>
            </w:pPr>
            <w:r>
              <w:t xml:space="preserve">Clase 24 · 00:48:25–00:49:10</w:t>
            </w:r>
          </w:p>
        </w:tc>
      </w:tr>
    </w:tbl>
    <w:p>
      <w:pPr>
        <w:pStyle w:val="Heading3"/>
      </w:pPr>
      <w:bookmarkStart w:name="b_cita_clase_24_idea_4" w:id="4423"/>
      <w:r>
        <w:t xml:space="preserve">Palabras del profesor</w:t>
      </w:r>
      <w:bookmarkEnd w:id="4423"/>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El profesor lo dijo así</w:t>
            </w:r>
          </w:p>
          <w:p>
            <w:pPr>
              <w:pStyle w:val="Recuadro"/>
            </w:pPr>
            <w:r>
              <w:t xml:space="preserve">«Recuerden muy bien que dado que yo no puedo verlos a todos haciendo la experimentación de simulación, cuando les toque hacer eso en la práctica del próximo sábado, ustedes van a tener que hacerla y hacer un replote en un PDF sobre lo que hicieron, mostrando pantallas, mostrando las gráficas o las tablas de valores generadas por la simulación para dejar evidencia que hicieron el experimento de simulación. De tal manera de que yo califico no solo el resultado al final y la respuesta a la pregunta, sino el procedimiento seguido para llegar a esa respuesta, que es en sí haber hecho el modelo de simulación, haber hecho experimento de simulación, que es básicamente la corrida de la simulación y la generación de los datos y interpretar esos datos para sacar la respuesta a las preguntas. Eso lo tienen que dejar en sus informes, de lo contrario no tendrán toda la nota de de ponderación de ese tema.»</w:t>
            </w:r>
          </w:p>
          <w:p>
            <w:pPr>
              <w:pStyle w:val="Recuadro"/>
            </w:pPr>
            <w:r>
              <w:t xml:space="preserve">Clase 24 · 01:14:49–01:15:55</w:t>
            </w:r>
          </w:p>
        </w:tc>
      </w:tr>
    </w:tbl>
    <w:p>
      <w:pPr>
        <w:pStyle w:val="Heading3"/>
      </w:pPr>
      <w:r>
        <w:t xml:space="preserve">Errores frecuentes y trampa de examen</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9C620A" w:sz="20"/>
              <w:bottom w:val="nil"/>
              <w:right w:val="nil"/>
            </w:tcBorders>
            <w:shd w:fill="FBF3DF" w:val="clear"/>
            <w:tcMar>
              <w:top w:type="dxa" w:w="130"/>
              <w:left w:type="dxa" w:w="180"/>
              <w:bottom w:type="dxa" w:w="130"/>
              <w:right w:type="dxa" w:w="180"/>
            </w:tcMar>
          </w:tcPr>
          <w:p>
            <w:pPr>
              <w:pStyle w:val="RecuadroTitulo"/>
            </w:pPr>
            <w:r>
              <w:rPr>
                <w:b/>
                <w:bCs/>
                <w:color w:val="9C620A"/>
              </w:rPr>
              <w:t xml:space="preserve">Error → corrección</w:t>
            </w:r>
          </w:p>
          <w:p>
            <w:pPr>
              <w:pStyle w:val="Recuadro"/>
            </w:pPr>
            <w:r>
              <w:rPr>
                <w:b/>
                <w:bCs/>
              </w:rPr>
              <w:t xml:space="preserve">Error:</w:t>
            </w:r>
            <w:r>
              <w:t xml:space="preserve"> Aceptar la gráfica porque el programa no mostró errores.</w:t>
            </w:r>
          </w:p>
          <w:p>
            <w:pPr>
              <w:pStyle w:val="Recuadro"/>
            </w:pPr>
            <w:r>
              <w:rPr>
                <w:b/>
                <w:bCs/>
              </w:rPr>
              <w:t xml:space="preserve">Corrección:</w:t>
            </w:r>
            <w:r>
              <w:t xml:space="preserve"> La ejecución comprueba que el modelo puede calcularse; la validez exige contrastarlo con el problema.</w:t>
            </w:r>
          </w:p>
          <w:p>
            <w:pPr>
              <w:pStyle w:val="Recuadro"/>
            </w:pPr>
            <w:r>
              <w:t xml:space="preserve">Guía de estudio · edición 20/10/2026 · pp. 14–16</w:t>
            </w:r>
          </w:p>
        </w:tc>
      </w:tr>
    </w:tbl>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9C620A" w:sz="20"/>
              <w:bottom w:val="nil"/>
              <w:right w:val="nil"/>
            </w:tcBorders>
            <w:shd w:fill="FBF3DF" w:val="clear"/>
            <w:tcMar>
              <w:top w:type="dxa" w:w="130"/>
              <w:left w:type="dxa" w:w="180"/>
              <w:bottom w:type="dxa" w:w="130"/>
              <w:right w:type="dxa" w:w="180"/>
            </w:tcMar>
          </w:tcPr>
          <w:p>
            <w:pPr>
              <w:pStyle w:val="RecuadroTitulo"/>
            </w:pPr>
            <w:r>
              <w:rPr>
                <w:b/>
                <w:bCs/>
                <w:color w:val="9C620A"/>
              </w:rPr>
              <w:t xml:space="preserve">Error → corrección</w:t>
            </w:r>
          </w:p>
          <w:p>
            <w:pPr>
              <w:pStyle w:val="Recuadro"/>
            </w:pPr>
            <w:r>
              <w:rPr>
                <w:b/>
                <w:bCs/>
              </w:rPr>
              <w:t xml:space="preserve">Error:</w:t>
            </w:r>
            <w:r>
              <w:t xml:space="preserve"> Comparar resultados sin declarar el paso temporal.</w:t>
            </w:r>
          </w:p>
          <w:p>
            <w:pPr>
              <w:pStyle w:val="Recuadro"/>
            </w:pPr>
            <w:r>
              <w:rPr>
                <w:b/>
                <w:bCs/>
              </w:rPr>
              <w:t xml:space="preserve">Corrección:</w:t>
            </w:r>
            <w:r>
              <w:t xml:space="preserve"> El método continuo y Euler mensual pueden producir cifras distintas; mantén explícita la configuración.</w:t>
            </w:r>
          </w:p>
          <w:p>
            <w:pPr>
              <w:pStyle w:val="Recuadro"/>
            </w:pPr>
            <w:r>
              <w:t xml:space="preserve">Guía de estudio · edición 20/10/2026 · pp. 14–16, 27–28</w:t>
            </w:r>
          </w:p>
        </w:tc>
      </w:tr>
    </w:tbl>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9C620A" w:sz="20"/>
              <w:bottom w:val="nil"/>
              <w:right w:val="nil"/>
            </w:tcBorders>
            <w:shd w:fill="FBF3DF" w:val="clear"/>
            <w:tcMar>
              <w:top w:type="dxa" w:w="130"/>
              <w:left w:type="dxa" w:w="180"/>
              <w:bottom w:type="dxa" w:w="130"/>
              <w:right w:type="dxa" w:w="180"/>
            </w:tcMar>
          </w:tcPr>
          <w:p>
            <w:pPr>
              <w:pStyle w:val="RecuadroTitulo"/>
            </w:pPr>
            <w:r>
              <w:rPr>
                <w:b/>
                <w:bCs/>
                <w:color w:val="9C620A"/>
              </w:rPr>
              <w:t xml:space="preserve">Trampa de examen</w:t>
            </w:r>
          </w:p>
          <w:p>
            <w:pPr>
              <w:pStyle w:val="Recuadro"/>
            </w:pPr>
            <w:r>
              <w:t xml:space="preserve">El laboratorio del portal ayuda a practicar; la ejecución y las capturas solicitadas para la práctica del curso se realizan en Vensim.</w:t>
            </w:r>
          </w:p>
        </w:tc>
      </w:tr>
    </w:tbl>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Ampliación: lo no dictado en clase</w:t>
            </w:r>
          </w:p>
          <w:p>
            <w:pPr>
              <w:pStyle w:val="Recuadro"/>
            </w:pPr>
            <w:r>
              <w:t xml:space="preserve">Las dos vías de estimación, la minimización de discrepancia histórica (C-7/15) y la comparación histórica detallada de ambientes (C-3/53) proceden del deck. La clase usa valores de parámetros y habla de herramientas; no se le atribuye una calibración histórica ejecutada ni esa comparación completa.</w:t>
            </w:r>
          </w:p>
        </w:tc>
      </w:tr>
    </w:tbl>
    <w:p>
      <w:pPr>
        <w:pStyle w:val="Heading3"/>
      </w:pPr>
      <w:r>
        <w:t xml:space="preserve">Lecturas y tareas del curso</w:t>
      </w:r>
    </w:p>
    <w:p>
      <w:pPr>
        <w:pStyle w:val="Normal"/>
      </w:pPr>
      <w:r>
        <w:t xml:space="preserve">C-3 · Unidad 4a · Desarrollo de la simulación dinámica de sistemas (versión de abril). Versión de abril de la presentación de simulación (C-7 contiene la versión de octubre): 60 páginas con el hábito de las acumulaciones, los niveles y los flujos, el diagrama de Forrester y el modelo de la epidemia, las reglas para pasar de un diagrama de ciclos causales a uno de flujos y niveles con sus ejercicios, el préstamo bancario para modelar en Vensim, las fases y los componentes de un modelo, los comportamientos dinámicos habituales y los ejemplos de población, presas y depredadores. Copia sin la impresión automática al abrirse.</w:t>
      </w:r>
    </w:p>
    <w:p>
      <w:pPr>
        <w:pStyle w:val="Normal"/>
      </w:pPr>
      <w:r>
        <w:t xml:space="preserve">L-14 · El modelado: tipos y clasificaciones — UNAD, Dinámica de sistemas (capítulo 2). Lecciones 6 a 10 del curso de Dinámica de sistemas de la UNAD: la idea de modelo, el modelo para representar o para ser representado, y la clasificación del modelado según su uso y según su proceso.</w:t>
      </w:r>
    </w:p>
    <w:p>
      <w:pPr>
        <w:pStyle w:val="Normal"/>
      </w:pPr>
      <w:r>
        <w:t xml:space="preserve">L-15 · Dinámica de sistemas — Javier Aracil (ISDEFE). Monografía de la serie de ingeniería de sistemas de ISDEFE: el diagrama de influencias, los bucles de realimentación negativa y positiva, los retrasos y las estructuras genéricas; cómo la estructura genera el comportamiento; y la construcción, análisis y explotación de modelos. Los capítulos 2 y 3 acompañan la Unidad 3; el 4 anticipa la Unidad 4.</w:t>
      </w:r>
    </w:p>
    <w:p>
      <w:pPr>
        <w:pStyle w:val="Normal"/>
      </w:pPr>
      <w:r>
        <w:t xml:space="preserve">C-7 · Unidad 4a · Simulación dinámica (versión de octubre). 40 páginas de octubre: acumulaciones, flujos y niveles, parámetros para escenarios, epidemia, Francisco y teléfonos en Vensim. Se conserva también la versión de abril C-3, cuya numeración mantienen las citas anteriores.</w:t>
      </w:r>
    </w:p>
    <w:p>
      <w:pPr>
        <w:pStyle w:val="Heading3"/>
      </w:pPr>
      <w:r>
        <w:t xml:space="preserve">Práctica de los laboratorios</w:t>
      </w:r>
    </w:p>
    <w:p>
      <w:pPr>
        <w:pStyle w:val="Normal"/>
      </w:pPr>
      <w:r>
        <w:t xml:space="preserve">Los procedimientos del capítulo permiten reconstruir en papel la práctica interactiva. Los laboratorios originales permanecen disponibles en la lección del portal.</w:t>
      </w:r>
    </w:p>
    <w:p>
      <w:pPr>
        <w:pStyle w:val="Normal"/>
        <w:numPr>
          <w:ilvl w:val="0"/>
          <w:numId w:val="2"/>
        </w:numPr>
      </w:pPr>
      <w:r>
        <w:t xml:space="preserve">Recorrer los pasos de construcción en Vensim</w:t>
      </w:r>
    </w:p>
    <w:p>
      <w:pPr>
        <w:pStyle w:val="Normal"/>
        <w:numPr>
          <w:ilvl w:val="0"/>
          <w:numId w:val="2"/>
        </w:numPr>
      </w:pPr>
      <w:r>
        <w:t xml:space="preserve">Reconocer los componentes de un modelo</w:t>
      </w:r>
    </w:p>
    <w:p>
      <w:pPr>
        <w:pStyle w:val="Normal"/>
        <w:numPr>
          <w:ilvl w:val="0"/>
          <w:numId w:val="2"/>
        </w:numPr>
      </w:pPr>
      <w:r>
        <w:t xml:space="preserve">Modelar para aprender, explicar e intervenir</w:t>
      </w:r>
    </w:p>
    <w:p>
      <w:pPr>
        <w:pStyle w:val="Heading3"/>
      </w:pPr>
      <w:r>
        <w:t xml:space="preserve">Autoevaluación</w:t>
      </w:r>
    </w:p>
    <w:p>
      <w:pPr>
        <w:pStyle w:val="Normal"/>
      </w:pPr>
      <w:r>
        <w:t xml:space="preserve">Resuelva sin consultar las respuestas. Compruebe al final del capítulo por qué cada opción es correcta o incorrecta.</w:t>
      </w:r>
    </w:p>
    <w:p>
      <w:pPr>
        <w:pStyle w:val="Heading3"/>
      </w:pPr>
      <w:bookmarkStart w:name="b_pregunta_auto_4_4_1" w:id="4424"/>
      <w:r>
        <w:t xml:space="preserve">4.4-A1 · ¿Cuál es la vía de la lámina 15 para asignar IPC y TNC cuando se dispone de información sobre su significado concreto?</w:t>
      </w:r>
      <w:bookmarkEnd w:id="4424"/>
    </w:p>
    <w:p>
      <w:pPr>
        <w:pStyle w:val="Normal"/>
      </w:pPr>
      <w:r>
        <w:t xml:space="preserve">a) Consultar conocimiento y mediciones pertinentes, incluidos especialistas, para estimar infecciones por contagio y tasa normal de contagio.</w:t>
      </w:r>
    </w:p>
    <w:p>
      <w:pPr>
        <w:pStyle w:val="Normal"/>
      </w:pPr>
      <w:r>
        <w:t xml:space="preserve">b) Mover deslizadores hasta obtener una curva atractiva, sin declarar la fuente.</w:t>
      </w:r>
    </w:p>
    <w:p>
      <w:pPr>
        <w:pStyle w:val="Normal"/>
      </w:pPr>
      <w:r>
        <w:t xml:space="preserve">c) Afirmar que validar unidades proporciona automáticamente sus valores.</w:t>
      </w:r>
    </w:p>
    <w:p>
      <w:pPr>
        <w:pStyle w:val="Normal"/>
      </w:pPr>
      <w:r>
        <w:t xml:space="preserve">d) Intercambiar PT y PV para que ambos sean parámetros libres.</w:t>
      </w:r>
    </w:p>
    <w:p>
      <w:pPr>
        <w:pStyle w:val="Heading3"/>
      </w:pPr>
      <w:bookmarkStart w:name="b_pregunta_auto_4_4_2" w:id="4425"/>
      <w:r>
        <w:t xml:space="preserve">4.4-A2 · Si hay registros de la evolución del sistema, ¿qué distingue calibrar parámetros de explorar sensibilidad?</w:t>
      </w:r>
      <w:bookmarkEnd w:id="4425"/>
    </w:p>
    <w:p>
      <w:pPr>
        <w:pStyle w:val="Normal"/>
      </w:pPr>
      <w:r>
        <w:t xml:space="preserve">a) Calibrar consiste en variar valores sin comparar con observaciones.</w:t>
      </w:r>
    </w:p>
    <w:p>
      <w:pPr>
        <w:pStyle w:val="Normal"/>
      </w:pPr>
      <w:r>
        <w:t xml:space="preserve">b) Calibrar busca valores que minimicen una discrepancia observada/simulada; sensibilidad estudia cómo cambian resultados al variar valores.</w:t>
      </w:r>
    </w:p>
    <w:p>
      <w:pPr>
        <w:pStyle w:val="Normal"/>
      </w:pPr>
      <w:r>
        <w:t xml:space="preserve">c) Una curva ajustada demuestra que la estructura causal es verdadera.</w:t>
      </w:r>
    </w:p>
    <w:p>
      <w:pPr>
        <w:pStyle w:val="Normal"/>
      </w:pPr>
      <w:r>
        <w:t xml:space="preserve">d) Calibrar elimina la necesidad de declarar valores iniciales y unidades.</w:t>
      </w:r>
    </w:p>
    <w:p>
      <w:pPr>
        <w:pStyle w:val="Heading3"/>
      </w:pPr>
      <w:bookmarkStart w:name="b_pregunta_auto_4_4_3" w:id="4426"/>
      <w:r>
        <w:t xml:space="preserve">4.4-A3 · Según la síntesis histórica de C-3, lámina 53, ¿qué correspondencia entre ambientes y características es correcta?</w:t>
      </w:r>
      <w:bookmarkEnd w:id="4426"/>
    </w:p>
    <w:p>
      <w:pPr>
        <w:pStyle w:val="Normal"/>
      </w:pPr>
      <w:r>
        <w:t xml:space="preserve">a) DYNAMO: iconos; STELLA: sólo texto; Mosaikk: sin conexión a SimTek; PowerSim: un modelo único; Vensim: sin documentación.</w:t>
      </w:r>
    </w:p>
    <w:p>
      <w:pPr>
        <w:pStyle w:val="Normal"/>
      </w:pPr>
      <w:r>
        <w:t xml:space="preserve">b) Todos se describen únicamente como programas para dibujar flechas, sin más diferencias.</w:t>
      </w:r>
    </w:p>
    <w:p>
      <w:pPr>
        <w:pStyle w:val="Normal"/>
      </w:pPr>
      <w:r>
        <w:t xml:space="preserve">c) DYNAMO: ecuaciones; STELLA/i-think: interacción gráfica y ecuaciones desde diagramas; Mosaikk–SimTek: interfaz y lenguaje tipo DYNAMO; PowerSim: modelos conectables; Vensim: datos, optimización, documentación y análisis.</w:t>
      </w:r>
    </w:p>
    <w:p>
      <w:pPr>
        <w:pStyle w:val="Normal"/>
      </w:pPr>
      <w:r>
        <w:t xml:space="preserve">d) La lámina demuestra qué producto y versión conviene comprar hoy.</w:t>
      </w:r>
    </w:p>
    <w:p>
      <w:pPr>
        <w:pStyle w:val="Heading3"/>
      </w:pPr>
      <w:bookmarkStart w:name="b_pregunta_auto_4_4_4" w:id="4427"/>
      <w:r>
        <w:t xml:space="preserve">4.4-A4 · Si Units Check acepta las ecuaciones, ¿qué puede concluirse sobre la estructura causal?</w:t>
      </w:r>
      <w:bookmarkEnd w:id="4427"/>
    </w:p>
    <w:p>
      <w:pPr>
        <w:pStyle w:val="Normal"/>
      </w:pPr>
      <w:r>
        <w:t xml:space="preserve">a) La estructura queda demostrada para cualquier política.</w:t>
      </w:r>
    </w:p>
    <w:p>
      <w:pPr>
        <w:pStyle w:val="Normal"/>
      </w:pPr>
      <w:r>
        <w:t xml:space="preserve">b) Toda variable relevante está incluida.</w:t>
      </w:r>
    </w:p>
    <w:p>
      <w:pPr>
        <w:pStyle w:val="Normal"/>
      </w:pPr>
      <w:r>
        <w:t xml:space="preserve">c) La calibración histórica ya terminó.</w:t>
      </w:r>
    </w:p>
    <w:p>
      <w:pPr>
        <w:pStyle w:val="Normal"/>
      </w:pPr>
      <w:r>
        <w:t xml:space="preserve">d) La consistencia dimensional es necesaria, pero aún deben contrastarse estructura, supuestos y comportamiento.</w:t>
      </w:r>
    </w:p>
    <w:p>
      <w:pPr>
        <w:pStyle w:val="Heading3"/>
      </w:pPr>
      <w:bookmarkStart w:name="b_pregunta_auto_4_4_5" w:id="4428"/>
      <w:r>
        <w:t xml:space="preserve">4.4-A5 · ¿Qué es Vensim?</w:t>
      </w:r>
      <w:bookmarkEnd w:id="4428"/>
    </w:p>
    <w:p>
      <w:pPr>
        <w:pStyle w:val="Normal"/>
      </w:pPr>
      <w:r>
        <w:t xml:space="preserve">a) Un lenguaje de programación de propósito general</w:t>
      </w:r>
    </w:p>
    <w:p>
      <w:pPr>
        <w:pStyle w:val="Normal"/>
      </w:pPr>
      <w:r>
        <w:t xml:space="preserve">b) Un software de modelación y simulación de dinámica de sistemas (Ventana Systems)</w:t>
      </w:r>
    </w:p>
    <w:p>
      <w:pPr>
        <w:pStyle w:val="Normal"/>
      </w:pPr>
      <w:r>
        <w:t xml:space="preserve">c) Una hoja de cálculo para estadística</w:t>
      </w:r>
    </w:p>
    <w:p>
      <w:pPr>
        <w:pStyle w:val="Normal"/>
      </w:pPr>
      <w:r>
        <w:t xml:space="preserve">d) Un editor de diagramas de flujo de programas</w:t>
      </w:r>
    </w:p>
    <w:p>
      <w:pPr>
        <w:pStyle w:val="Heading3"/>
      </w:pPr>
      <w:bookmarkStart w:name="b_pregunta_auto_4_4_6" w:id="4429"/>
      <w:r>
        <w:t xml:space="preserve">4.4-A6 · En el bosquejo de Vensim, ¿qué herramienta se usa para dibujar un NIVEL (stock)?</w:t>
      </w:r>
      <w:bookmarkEnd w:id="4429"/>
    </w:p>
    <w:p>
      <w:pPr>
        <w:pStyle w:val="Normal"/>
      </w:pPr>
      <w:r>
        <w:t xml:space="preserve">a) Rate (tasa)</w:t>
      </w:r>
    </w:p>
    <w:p>
      <w:pPr>
        <w:pStyle w:val="Normal"/>
      </w:pPr>
      <w:r>
        <w:t xml:space="preserve">b) Arrow (flecha)</w:t>
      </w:r>
    </w:p>
    <w:p>
      <w:pPr>
        <w:pStyle w:val="Normal"/>
      </w:pPr>
      <w:r>
        <w:t xml:space="preserve">c) Box Variable — Level (caja)</w:t>
      </w:r>
    </w:p>
    <w:p>
      <w:pPr>
        <w:pStyle w:val="Normal"/>
      </w:pPr>
      <w:r>
        <w:t xml:space="preserve">d) Variable (auxiliar)</w:t>
      </w:r>
    </w:p>
    <w:p>
      <w:pPr>
        <w:pStyle w:val="Heading3"/>
      </w:pPr>
      <w:bookmarkStart w:name="b_pregunta_auto_4_4_7" w:id="4430"/>
      <w:r>
        <w:t xml:space="preserve">4.4-A7 · Un NIVEL (stock) se define en Vensim con la función…</w:t>
      </w:r>
      <w:bookmarkEnd w:id="4430"/>
    </w:p>
    <w:p>
      <w:pPr>
        <w:pStyle w:val="Normal"/>
      </w:pPr>
      <w:r>
        <w:t xml:space="preserve">a) INTEG(flujo neto, valor inicial)</w:t>
      </w:r>
    </w:p>
    <w:p>
      <w:pPr>
        <w:pStyle w:val="Normal"/>
      </w:pPr>
      <w:r>
        <w:t xml:space="preserve">b) SUM(...)</w:t>
      </w:r>
    </w:p>
    <w:p>
      <w:pPr>
        <w:pStyle w:val="Normal"/>
      </w:pPr>
      <w:r>
        <w:t xml:space="preserve">c) DELAY(...)</w:t>
      </w:r>
    </w:p>
    <w:p>
      <w:pPr>
        <w:pStyle w:val="Normal"/>
      </w:pPr>
      <w:r>
        <w:t xml:space="preserve">d) LOOKUP(...)</w:t>
      </w:r>
    </w:p>
    <w:p>
      <w:pPr>
        <w:pStyle w:val="Heading3"/>
      </w:pPr>
      <w:bookmarkStart w:name="b_pregunta_auto_4_4_8" w:id="4431"/>
      <w:r>
        <w:t xml:space="preserve">4.4-A8 · Al usar la herramienta Rate (tasa) y hacer clic primero en una zona vacía, Vensim dibuja una NUBE. ¿Qué representa esa nube?</w:t>
      </w:r>
      <w:bookmarkEnd w:id="4431"/>
    </w:p>
    <w:p>
      <w:pPr>
        <w:pStyle w:val="Normal"/>
      </w:pPr>
      <w:r>
        <w:t xml:space="preserve">a) Un error en el modelo</w:t>
      </w:r>
    </w:p>
    <w:p>
      <w:pPr>
        <w:pStyle w:val="Normal"/>
      </w:pPr>
      <w:r>
        <w:t xml:space="preserve">b) Una fuente o sumidero fuera de la frontera del modelo, que se supone inagotable</w:t>
      </w:r>
    </w:p>
    <w:p>
      <w:pPr>
        <w:pStyle w:val="Normal"/>
      </w:pPr>
      <w:r>
        <w:t xml:space="preserve">c) Una variable auxiliar sin nombre</w:t>
      </w:r>
    </w:p>
    <w:p>
      <w:pPr>
        <w:pStyle w:val="Normal"/>
      </w:pPr>
      <w:r>
        <w:t xml:space="preserve">d) El valor inicial del nivel</w:t>
      </w:r>
    </w:p>
    <w:p>
      <w:pPr>
        <w:pStyle w:val="Heading3"/>
      </w:pPr>
      <w:bookmarkStart w:name="b_pregunta_auto_4_4_9" w:id="4432"/>
      <w:r>
        <w:t xml:space="preserve">4.4-A9 · En el modelo de población, ¿cuál es la ecuación correcta del flujo «Nacimientos»?</w:t>
      </w:r>
      <w:bookmarkEnd w:id="4432"/>
    </w:p>
    <w:p>
      <w:pPr>
        <w:pStyle w:val="Normal"/>
      </w:pPr>
      <w:r>
        <w:t xml:space="preserve">a) Nacimientos = INTEG(Población, 0)</w:t>
      </w:r>
    </w:p>
    <w:p>
      <w:pPr>
        <w:pStyle w:val="Normal"/>
      </w:pPr>
      <w:r>
        <w:t xml:space="preserve">b) Nacimientos = Población + tasa de natalidad</w:t>
      </w:r>
    </w:p>
    <w:p>
      <w:pPr>
        <w:pStyle w:val="Normal"/>
      </w:pPr>
      <w:r>
        <w:t xml:space="preserve">c) Nacimientos = Población × tasa de natalidad</w:t>
      </w:r>
    </w:p>
    <w:p>
      <w:pPr>
        <w:pStyle w:val="Normal"/>
      </w:pPr>
      <w:r>
        <w:t xml:space="preserve">d) Nacimientos = tasa de natalidad / Población</w:t>
      </w:r>
    </w:p>
    <w:p>
      <w:pPr>
        <w:pStyle w:val="Heading3"/>
      </w:pPr>
      <w:bookmarkStart w:name="b_pregunta_auto_4_4_10" w:id="4433"/>
      <w:r>
        <w:t xml:space="preserve">4.4-A10 · En el diálogo Time Bounds, ¿qué controla el campo TIME STEP (Δt)?</w:t>
      </w:r>
      <w:bookmarkEnd w:id="4433"/>
    </w:p>
    <w:p>
      <w:pPr>
        <w:pStyle w:val="Normal"/>
      </w:pPr>
      <w:r>
        <w:t xml:space="preserve">a) El año en que termina la simulación</w:t>
      </w:r>
    </w:p>
    <w:p>
      <w:pPr>
        <w:pStyle w:val="Normal"/>
      </w:pPr>
      <w:r>
        <w:t xml:space="preserve">b) El salto de tiempo con que Vensim integra numéricamente el modelo</w:t>
      </w:r>
    </w:p>
    <w:p>
      <w:pPr>
        <w:pStyle w:val="Normal"/>
      </w:pPr>
      <w:r>
        <w:t xml:space="preserve">c) La unidad de tiempo del reloj (año, mes…)</w:t>
      </w:r>
    </w:p>
    <w:p>
      <w:pPr>
        <w:pStyle w:val="Normal"/>
      </w:pPr>
      <w:r>
        <w:t xml:space="preserve">d) La velocidad de la animación en pantalla</w:t>
      </w:r>
    </w:p>
    <w:p>
      <w:pPr>
        <w:pStyle w:val="Heading3"/>
      </w:pPr>
      <w:bookmarkStart w:name="b_pregunta_auto_4_4_11" w:id="4434"/>
      <w:r>
        <w:t xml:space="preserve">4.4-A11 · La diferencia esencial entre un NIVEL y un FLUJO es que…</w:t>
      </w:r>
      <w:bookmarkEnd w:id="4434"/>
    </w:p>
    <w:p>
      <w:pPr>
        <w:pStyle w:val="Normal"/>
      </w:pPr>
      <w:r>
        <w:t xml:space="preserve">a) El nivel acumula (tiene memoria) y el flujo es la tasa a la que ese nivel cambia</w:t>
      </w:r>
    </w:p>
    <w:p>
      <w:pPr>
        <w:pStyle w:val="Normal"/>
      </w:pPr>
      <w:r>
        <w:t xml:space="preserve">b) Son sinónimos: dan lo mismo en el modelo</w:t>
      </w:r>
    </w:p>
    <w:p>
      <w:pPr>
        <w:pStyle w:val="Normal"/>
      </w:pPr>
      <w:r>
        <w:t xml:space="preserve">c) El flujo acumula y el nivel es una constante</w:t>
      </w:r>
    </w:p>
    <w:p>
      <w:pPr>
        <w:pStyle w:val="Normal"/>
      </w:pPr>
      <w:r>
        <w:t xml:space="preserve">d) El nivel solo puede aumentar y el flujo solo disminuir</w:t>
      </w:r>
    </w:p>
    <w:p>
      <w:pPr>
        <w:pStyle w:val="Heading3"/>
      </w:pPr>
      <w:bookmarkStart w:name="b_pregunta_auto_4_4_12" w:id="4435"/>
      <w:r>
        <w:t xml:space="preserve">4.4-A12 · Con la simulación corriendo, si la tasa de natalidad supera a la de mortalidad, la curva de «Población» en el tiempo muestra…</w:t>
      </w:r>
      <w:bookmarkEnd w:id="4435"/>
    </w:p>
    <w:p>
      <w:pPr>
        <w:pStyle w:val="Normal"/>
      </w:pPr>
      <w:r>
        <w:t xml:space="preserve">a) Una línea horizontal (equilibrio)</w:t>
      </w:r>
    </w:p>
    <w:p>
      <w:pPr>
        <w:pStyle w:val="Normal"/>
      </w:pPr>
      <w:r>
        <w:t xml:space="preserve">b) Un crecimiento exponencial (curva en J)</w:t>
      </w:r>
    </w:p>
    <w:p>
      <w:pPr>
        <w:pStyle w:val="Normal"/>
      </w:pPr>
      <w:r>
        <w:t xml:space="preserve">c) Un declive hacia cero</w:t>
      </w:r>
    </w:p>
    <w:p>
      <w:pPr>
        <w:pStyle w:val="Normal"/>
      </w:pPr>
      <w:r>
        <w:t xml:space="preserve">d) Una oscilación permanente</w:t>
      </w:r>
    </w:p>
    <w:p>
      <w:pPr>
        <w:pStyle w:val="Heading3"/>
      </w:pPr>
      <w:bookmarkStart w:name="b_pregunta_auto_4_4_13" w:id="4436"/>
      <w:r>
        <w:t xml:space="preserve">4.4-A13 · En el modelo de población de la presentación, ¿qué componente es «Población»?</w:t>
      </w:r>
      <w:bookmarkEnd w:id="4436"/>
    </w:p>
    <w:p>
      <w:pPr>
        <w:pStyle w:val="Normal"/>
      </w:pPr>
      <w:r>
        <w:t xml:space="preserve">a) Variable de estado</w:t>
      </w:r>
    </w:p>
    <w:p>
      <w:pPr>
        <w:pStyle w:val="Normal"/>
      </w:pPr>
      <w:r>
        <w:t xml:space="preserve">b) Flujo de entrada</w:t>
      </w:r>
    </w:p>
    <w:p>
      <w:pPr>
        <w:pStyle w:val="Normal"/>
      </w:pPr>
      <w:r>
        <w:t xml:space="preserve">c) Parámetro</w:t>
      </w:r>
    </w:p>
    <w:p>
      <w:pPr>
        <w:pStyle w:val="Normal"/>
      </w:pPr>
      <w:r>
        <w:t xml:space="preserve">d) Variable exógena</w:t>
      </w:r>
    </w:p>
    <w:p>
      <w:pPr>
        <w:pStyle w:val="Heading3"/>
      </w:pPr>
      <w:bookmarkStart w:name="b_pregunta_auto_4_4_14" w:id="4437"/>
      <w:r>
        <w:t xml:space="preserve">4.4-A14 · En el mismo modelo, ¿qué componente es K, la capacidad del medio?</w:t>
      </w:r>
      <w:bookmarkEnd w:id="4437"/>
    </w:p>
    <w:p>
      <w:pPr>
        <w:pStyle w:val="Normal"/>
      </w:pPr>
      <w:r>
        <w:t xml:space="preserve">a) Variable exógena</w:t>
      </w:r>
    </w:p>
    <w:p>
      <w:pPr>
        <w:pStyle w:val="Normal"/>
      </w:pPr>
      <w:r>
        <w:t xml:space="preserve">b) Variable auxiliar</w:t>
      </w:r>
    </w:p>
    <w:p>
      <w:pPr>
        <w:pStyle w:val="Normal"/>
      </w:pPr>
      <w:r>
        <w:t xml:space="preserve">c) Sumidero</w:t>
      </w:r>
    </w:p>
    <w:p>
      <w:pPr>
        <w:pStyle w:val="Normal"/>
      </w:pPr>
      <w:r>
        <w:t xml:space="preserve">d) Flujo de salida</w:t>
      </w:r>
    </w:p>
    <w:p>
      <w:pPr>
        <w:pStyle w:val="Heading3"/>
      </w:pPr>
      <w:bookmarkStart w:name="b_pregunta_auto_4_4_15" w:id="4438"/>
      <w:r>
        <w:t xml:space="preserve">4.4-A15 · ¿Cuál de estas es una ventaja de la simulación dinámica según la presentación?</w:t>
      </w:r>
      <w:bookmarkEnd w:id="4438"/>
    </w:p>
    <w:p>
      <w:pPr>
        <w:pStyle w:val="Normal"/>
      </w:pPr>
      <w:r>
        <w:t xml:space="preserve">a) Permite experimentar cuando hacerlo en el sistema real no sería ético</w:t>
      </w:r>
    </w:p>
    <w:p>
      <w:pPr>
        <w:pStyle w:val="Normal"/>
      </w:pPr>
      <w:r>
        <w:t xml:space="preserve">b) Garantiza que el modelo incluye todas las variables</w:t>
      </w:r>
    </w:p>
    <w:p>
      <w:pPr>
        <w:pStyle w:val="Normal"/>
      </w:pPr>
      <w:r>
        <w:t xml:space="preserve">c) Permite conocer exactamente la imprecisión de los resultados</w:t>
      </w:r>
    </w:p>
    <w:p>
      <w:pPr>
        <w:pStyle w:val="Normal"/>
      </w:pPr>
      <w:r>
        <w:t xml:space="preserve">d) No requiere tiempo ni inversión</w:t>
      </w:r>
    </w:p>
    <w:p>
      <w:pPr>
        <w:pStyle w:val="Heading3"/>
      </w:pPr>
      <w:bookmarkStart w:name="b_pregunta_auto_4_4_16" w:id="4439"/>
      <w:r>
        <w:t xml:space="preserve">4.4-A16 · ¿En qué orden van las fases de construcción de un modelo de simulación dinámica?</w:t>
      </w:r>
      <w:bookmarkEnd w:id="4439"/>
    </w:p>
    <w:p>
      <w:pPr>
        <w:pStyle w:val="Normal"/>
      </w:pPr>
      <w:r>
        <w:t xml:space="preserve">a) Definición del problema, conceptualización, formalización, comportamiento, evaluación, explotación</w:t>
      </w:r>
    </w:p>
    <w:p>
      <w:pPr>
        <w:pStyle w:val="Normal"/>
      </w:pPr>
      <w:r>
        <w:t xml:space="preserve">b) Formalización, definición del problema, explotación, evaluación</w:t>
      </w:r>
    </w:p>
    <w:p>
      <w:pPr>
        <w:pStyle w:val="Normal"/>
      </w:pPr>
      <w:r>
        <w:t xml:space="preserve">c) Explotación, evaluación, comportamiento, formalización</w:t>
      </w:r>
    </w:p>
    <w:p>
      <w:pPr>
        <w:pStyle w:val="Normal"/>
      </w:pPr>
      <w:r>
        <w:t xml:space="preserve">d) Conceptualización, explotación, definición del problema, formalización</w:t>
      </w:r>
    </w:p>
    <w:p>
      <w:pPr>
        <w:pStyle w:val="Heading3"/>
      </w:pPr>
      <w:bookmarkStart w:name="b_pregunta_auto_4_4_17" w:id="4440"/>
      <w:r>
        <w:t xml:space="preserve">4.4-A17 · En el ejercicio del préstamo sin pagos, ¿cuál es el saldo del banco 1 a los 12 meses?</w:t>
      </w:r>
      <w:bookmarkEnd w:id="4440"/>
    </w:p>
    <w:p>
      <w:pPr>
        <w:pStyle w:val="Normal"/>
      </w:pPr>
      <w:r>
        <w:t xml:space="preserve">a) $3,591.71</w:t>
      </w:r>
    </w:p>
    <w:p>
      <w:pPr>
        <w:pStyle w:val="Normal"/>
      </w:pPr>
      <w:r>
        <w:t xml:space="preserve">b) $3,138.43</w:t>
      </w:r>
    </w:p>
    <w:p>
      <w:pPr>
        <w:pStyle w:val="Normal"/>
      </w:pPr>
      <w:r>
        <w:t xml:space="preserve">c) $2,600.00</w:t>
      </w:r>
    </w:p>
    <w:p>
      <w:pPr>
        <w:pStyle w:val="Normal"/>
      </w:pPr>
      <w:r>
        <w:t xml:space="preserve">d) $2,000.00</w:t>
      </w:r>
    </w:p>
    <w:p>
      <w:pPr>
        <w:pStyle w:val="Heading3"/>
      </w:pPr>
      <w:bookmarkStart w:name="b_pregunta_auto_4_4_18" w:id="4441"/>
      <w:r>
        <w:t xml:space="preserve">4.4-A18 · ¿Para qué sirve el «modelado para la intervención»?</w:t>
      </w:r>
      <w:bookmarkEnd w:id="4441"/>
    </w:p>
    <w:p>
      <w:pPr>
        <w:pStyle w:val="Normal"/>
      </w:pPr>
      <w:r>
        <w:t xml:space="preserve">a) Para tener una referencia con la cual actuar sobre la realidad</w:t>
      </w:r>
    </w:p>
    <w:p>
      <w:pPr>
        <w:pStyle w:val="Normal"/>
      </w:pPr>
      <w:r>
        <w:t xml:space="preserve">b) Sólo para aprender, sin aplicarlo</w:t>
      </w:r>
    </w:p>
    <w:p>
      <w:pPr>
        <w:pStyle w:val="Normal"/>
      </w:pPr>
      <w:r>
        <w:t xml:space="preserve">c) Para explicar el sistema a otros, sin actuar</w:t>
      </w:r>
    </w:p>
    <w:p>
      <w:pPr>
        <w:pStyle w:val="Normal"/>
      </w:pPr>
      <w:r>
        <w:t xml:space="preserve">d) Para reemplazar la toma de datos</w:t>
      </w:r>
    </w:p>
    <w:p>
      <w:pPr>
        <w:pStyle w:val="Heading3"/>
      </w:pPr>
      <w:bookmarkStart w:name="b_pregunta_auto_4_4_19" w:id="4442"/>
      <w:r>
        <w:t xml:space="preserve">4.4-A19 · En Model › Settings, con TIME STEP = 1 mes, ¿qué valor no puede tener SAVEPER, el intervalo para guardar resultados?</w:t>
      </w:r>
      <w:bookmarkEnd w:id="4442"/>
    </w:p>
    <w:p>
      <w:pPr>
        <w:pStyle w:val="Normal"/>
      </w:pPr>
      <w:r>
        <w:t xml:space="preserve">a) 0.5 meses</w:t>
      </w:r>
    </w:p>
    <w:p>
      <w:pPr>
        <w:pStyle w:val="Normal"/>
      </w:pPr>
      <w:r>
        <w:t xml:space="preserve">b) 1 mes</w:t>
      </w:r>
    </w:p>
    <w:p>
      <w:pPr>
        <w:pStyle w:val="Normal"/>
      </w:pPr>
      <w:r>
        <w:t xml:space="preserve">c) 2 meses</w:t>
      </w:r>
    </w:p>
    <w:p>
      <w:pPr>
        <w:pStyle w:val="Normal"/>
      </w:pPr>
      <w:r>
        <w:t xml:space="preserve">d) Cualquiera de los tres sirve</w:t>
      </w:r>
    </w:p>
    <w:p>
      <w:pPr>
        <w:pStyle w:val="Heading3"/>
      </w:pPr>
      <w:bookmarkStart w:name="b_pregunta_auto_4_4_20" w:id="4443"/>
      <w:r>
        <w:t xml:space="preserve">4.4-A20 · En el almacén del tutorial, ¿qué hace Salidas mercancías = IF THEN ELSE(Mercancías almacén &gt; 150, Salidas deseadas mercancías, 60)?</w:t>
      </w:r>
      <w:bookmarkEnd w:id="4443"/>
    </w:p>
    <w:p>
      <w:pPr>
        <w:pStyle w:val="Normal"/>
      </w:pPr>
      <w:r>
        <w:t xml:space="preserve">a) Si hay más de 150 unidades salen las deseadas; si no, sólo 60</w:t>
      </w:r>
    </w:p>
    <w:p>
      <w:pPr>
        <w:pStyle w:val="Normal"/>
      </w:pPr>
      <w:r>
        <w:t xml:space="preserve">b) Si hay más de 150 unidades salen 60; si no, las deseadas</w:t>
      </w:r>
    </w:p>
    <w:p>
      <w:pPr>
        <w:pStyle w:val="Normal"/>
      </w:pPr>
      <w:r>
        <w:t xml:space="preserve">c) Siempre salen las deseadas, salvo en el mes 150</w:t>
      </w:r>
    </w:p>
    <w:p>
      <w:pPr>
        <w:pStyle w:val="Normal"/>
      </w:pPr>
      <w:r>
        <w:t xml:space="preserve">d) Salen 150 unidades si las deseadas pasan de 60</w:t>
      </w:r>
    </w:p>
    <w:p>
      <w:pPr>
        <w:pStyle w:val="Heading3"/>
      </w:pPr>
      <w:bookmarkStart w:name="b_pregunta_auto_4_4_21" w:id="4444"/>
      <w:r>
        <w:t xml:space="preserve">4.4-A21 · En Vensim PLE, ¿hasta qué profundidad muestra el árbol de causas de una variable?</w:t>
      </w:r>
      <w:bookmarkEnd w:id="4444"/>
    </w:p>
    <w:p>
      <w:pPr>
        <w:pStyle w:val="Normal"/>
      </w:pPr>
      <w:r>
        <w:t xml:space="preserve">a) Hasta 3 niveles</w:t>
      </w:r>
    </w:p>
    <w:p>
      <w:pPr>
        <w:pStyle w:val="Normal"/>
      </w:pPr>
      <w:r>
        <w:t xml:space="preserve">b) Hasta 1 nivel</w:t>
      </w:r>
    </w:p>
    <w:p>
      <w:pPr>
        <w:pStyle w:val="Normal"/>
      </w:pPr>
      <w:r>
        <w:t xml:space="preserve">c) Sin límite</w:t>
      </w:r>
    </w:p>
    <w:p>
      <w:pPr>
        <w:pStyle w:val="Normal"/>
      </w:pPr>
      <w:r>
        <w:t xml:space="preserve">d) Hasta 10 niveles</w:t>
      </w:r>
    </w:p>
    <w:p>
      <w:pPr>
        <w:pStyle w:val="Heading3"/>
      </w:pPr>
      <w:bookmarkStart w:name="b_pregunta_auto_4_4_22" w:id="4445"/>
      <w:r>
        <w:t xml:space="preserve">4.4-A22 · ¿Qué distingue el modelado para la explicación?</w:t>
      </w:r>
      <w:bookmarkEnd w:id="4445"/>
    </w:p>
    <w:p>
      <w:pPr>
        <w:pStyle w:val="Normal"/>
      </w:pPr>
      <w:r>
        <w:t xml:space="preserve">a) Que no usa modelos mentales</w:t>
      </w:r>
    </w:p>
    <w:p>
      <w:pPr>
        <w:pStyle w:val="Normal"/>
      </w:pPr>
      <w:r>
        <w:t xml:space="preserve">b) Que solo entrega un número</w:t>
      </w:r>
    </w:p>
    <w:p>
      <w:pPr>
        <w:pStyle w:val="Normal"/>
      </w:pPr>
      <w:r>
        <w:t xml:space="preserve">c) Que siempre produce una intervención inmediata</w:t>
      </w:r>
    </w:p>
    <w:p>
      <w:pPr>
        <w:pStyle w:val="Normal"/>
      </w:pPr>
      <w:r>
        <w:t xml:space="preserve">d) Que comunica el modelo a otros y permite enriquecer su comprensión</w:t>
      </w:r>
    </w:p>
    <w:p>
      <w:pPr>
        <w:pStyle w:val="Heading3"/>
      </w:pPr>
      <w:bookmarkStart w:name="b_pregunta_auto_4_4_23" w:id="4446"/>
      <w:r>
        <w:t xml:space="preserve">4.4-A23 · Una simulación se ejecuta sin errores. ¿Qué falta antes de usarla para intervenir?</w:t>
      </w:r>
      <w:bookmarkEnd w:id="4446"/>
    </w:p>
    <w:p>
      <w:pPr>
        <w:pStyle w:val="Normal"/>
      </w:pPr>
      <w:r>
        <w:t xml:space="preserve">a) Contrastar estructura, supuestos y resultados con teoría y datos de la realidad</w:t>
      </w:r>
    </w:p>
    <w:p>
      <w:pPr>
        <w:pStyle w:val="Normal"/>
      </w:pPr>
      <w:r>
        <w:t xml:space="preserve">b) Elegir automáticamente el resultado mayor</w:t>
      </w:r>
    </w:p>
    <w:p>
      <w:pPr>
        <w:pStyle w:val="Normal"/>
      </w:pPr>
      <w:r>
        <w:t xml:space="preserve">c) Eliminar las variables difíciles de medir sin justificarlo</w:t>
      </w:r>
    </w:p>
    <w:p>
      <w:pPr>
        <w:pStyle w:val="Normal"/>
      </w:pPr>
      <w:r>
        <w:t xml:space="preserve">d) Cambiar de nombre los niveles</w:t>
      </w:r>
    </w:p>
    <w:p>
      <w:pPr>
        <w:pStyle w:val="Heading3"/>
      </w:pPr>
      <w:bookmarkStart w:name="b_pregunta_auto_4_4_24" w:id="4447"/>
      <w:r>
        <w:t xml:space="preserve">4.4-A24 · ¿Qué añade el modelado de reconstrucción al esquema de réplica?</w:t>
      </w:r>
      <w:bookmarkEnd w:id="4447"/>
    </w:p>
    <w:p>
      <w:pPr>
        <w:pStyle w:val="Normal"/>
      </w:pPr>
      <w:r>
        <w:t xml:space="preserve">a) Una promesa de exactitud total</w:t>
      </w:r>
    </w:p>
    <w:p>
      <w:pPr>
        <w:pStyle w:val="Normal"/>
      </w:pPr>
      <w:r>
        <w:t xml:space="preserve">b) Un ciclo de aprendizaje que permite perfeccionar modelo e intervención</w:t>
      </w:r>
    </w:p>
    <w:p>
      <w:pPr>
        <w:pStyle w:val="Normal"/>
      </w:pPr>
      <w:r>
        <w:t xml:space="preserve">c) La prohibición de recopilar datos</w:t>
      </w:r>
    </w:p>
    <w:p>
      <w:pPr>
        <w:pStyle w:val="Normal"/>
      </w:pPr>
      <w:r>
        <w:t xml:space="preserve">d) Una tasa universal para cualquier sistema</w:t>
      </w:r>
    </w:p>
    <w:p>
      <w:pPr>
        <w:pStyle w:val="Heading3"/>
      </w:pPr>
      <w:bookmarkStart w:name="b_pregunta_auto_4_4_25" w:id="4448"/>
      <w:r>
        <w:t xml:space="preserve">4.4-A25 · ¿Cómo terminó el intento de simular la epidemia en la clase 19?</w:t>
      </w:r>
      <w:bookmarkEnd w:id="4448"/>
    </w:p>
    <w:p>
      <w:pPr>
        <w:pStyle w:val="Normal"/>
      </w:pPr>
      <w:r>
        <w:t xml:space="preserve">a) Con una predicción validada de una epidemia real</w:t>
      </w:r>
    </w:p>
    <w:p>
      <w:pPr>
        <w:pStyle w:val="Normal"/>
      </w:pPr>
      <w:r>
        <w:t xml:space="preserve">b) Con exactamente cien infectados y ningún error</w:t>
      </w:r>
    </w:p>
    <w:p>
      <w:pPr>
        <w:pStyle w:val="Normal"/>
      </w:pPr>
      <w:r>
        <w:t xml:space="preserve">c) Con una demostración completa del equilibrio</w:t>
      </w:r>
    </w:p>
    <w:p>
      <w:pPr>
        <w:pStyle w:val="Normal"/>
      </w:pPr>
      <w:r>
        <w:t xml:space="preserve">d) Con un desbordamiento que se retomó en la clase 20</w:t>
      </w:r>
    </w:p>
    <w:p>
      <w:pPr>
        <w:pStyle w:val="Heading3"/>
      </w:pPr>
      <w:bookmarkStart w:name="b_pregunta_auto_4_4_26" w:id="4449"/>
      <w:r>
        <w:t xml:space="preserve">4.4-A26 · ¿Qué cambia al comparar la presentación de epidemia con la corrida corregida de clase?</w:t>
      </w:r>
      <w:bookmarkEnd w:id="4449"/>
    </w:p>
    <w:p>
      <w:pPr>
        <w:pStyle w:val="Normal"/>
      </w:pPr>
      <w:r>
        <w:t xml:space="preserve">a) El paso de integración y el horizonte deben identificarse por separado</w:t>
      </w:r>
    </w:p>
    <w:p>
      <w:pPr>
        <w:pStyle w:val="Normal"/>
      </w:pPr>
      <w:r>
        <w:t xml:space="preserve">b) Se pueden mezclar valores sin indicarlo</w:t>
      </w:r>
    </w:p>
    <w:p>
      <w:pPr>
        <w:pStyle w:val="Normal"/>
      </w:pPr>
      <w:r>
        <w:t xml:space="preserve">c) Los valores iniciales no importan</w:t>
      </w:r>
    </w:p>
    <w:p>
      <w:pPr>
        <w:pStyle w:val="Normal"/>
      </w:pPr>
      <w:r>
        <w:t xml:space="preserve">d) Todo resultado numérico será idéntico</w:t>
      </w:r>
    </w:p>
    <w:p>
      <w:pPr>
        <w:pStyle w:val="Heading3"/>
      </w:pPr>
      <w:r>
        <w:t xml:space="preserve">Ejercicios de aplicación</w:t>
      </w:r>
    </w:p>
    <w:p>
      <w:pPr>
        <w:pStyle w:val="Heading3"/>
      </w:pPr>
      <w:bookmarkStart w:name="b_pregunta_ej_MF05" w:id="4450"/>
      <w:r>
        <w:t xml:space="preserve">4.4-E1 · Duración de un paso</w:t>
      </w:r>
      <w:bookmarkEnd w:id="4450"/>
    </w:p>
    <w:p>
      <w:pPr>
        <w:pStyle w:val="Normal"/>
      </w:pPr>
      <w:r>
        <w:t xml:space="preserve">Una deuda inicial de 2,000 genera 5 % de interés mensual, sin pagos. Calcula flujo inicial, incremento y saldo al terminar un primer paso de 0.25 meses. Repite para una corrida independiente con primer paso de 0.5 meses. Explica qué magnitud se expresa en dólares/mes y cuál en dólares.</w:t>
      </w:r>
    </w:p>
    <w:p>
      <w:pPr>
        <w:pStyle w:val="Heading3"/>
      </w:pPr>
      <w:bookmarkStart w:name="b_pregunta_ej_MF18" w:id="4451"/>
      <w:r>
        <w:t xml:space="preserve">4.4-E2 · Fases y clasificaciones</w:t>
      </w:r>
      <w:bookmarkEnd w:id="4451"/>
    </w:p>
    <w:p>
      <w:pPr>
        <w:pStyle w:val="Normal"/>
      </w:pPr>
      <w:r>
        <w:t xml:space="preserve">Identifica la fase: (a) establezco límites y propósito; (b) convierto el DCC a ecuaciones; (c) ejecuto y observo curvas; (d) comparo con datos y reviso unidades; (e) comparo políticas. Luego distingue «aprendizaje, explicación, intervención» de «réplica, reconstrucción, construcción». Da un ejemplo de un modelo que tenga una clasificación de cada lista.</w:t>
      </w:r>
    </w:p>
    <w:p>
      <w:pPr>
        <w:pStyle w:val="Heading3"/>
      </w:pPr>
      <w:bookmarkStart w:name="b_pregunta_ej_MF19" w:id="4452"/>
      <w:r>
        <w:t xml:space="preserve">4.4-E3 · Validación y sensibilidad</w:t>
      </w:r>
      <w:bookmarkEnd w:id="4452"/>
    </w:p>
    <w:p>
      <w:pPr>
        <w:pStyle w:val="Normal"/>
      </w:pPr>
      <w:r>
        <w:t xml:space="preserve">Un modelo obtiene «Model is OK», pero produce −8 libros disponibles y su tasa de pérdida se declaró sin unidad temporal. Propón tres revisiones. Luego explica la diferencia entre variar un parámetro para ver sus efectos y comparar las salidas del modelo con registros reales. ¿Una curva muy parecida a los datos garantiza estructura correcta?</w:t>
      </w:r>
    </w:p>
    <w:p>
      <w:pPr>
        <w:pStyle w:val="Heading3"/>
      </w:pPr>
      <w:bookmarkStart w:name="b_pregunta_ej_MF27" w:id="4453"/>
      <w:r>
        <w:t xml:space="preserve">4.4-E4 · Entornos y límites del modelo</w:t>
      </w:r>
      <w:bookmarkEnd w:id="4453"/>
    </w:p>
    <w:p>
      <w:pPr>
        <w:pStyle w:val="Normal"/>
      </w:pPr>
      <w:r>
        <w:t xml:space="preserve">Compara DYNAMO con STELLA/i-think y Vensim. Explica qué aporta un editor gráfico y por qué usarlo no verifica los supuestos ni garantiza que una política funcione.</w:t>
      </w:r>
    </w:p>
    <w:p>
      <w:pPr>
        <w:pStyle w:val="Heading3"/>
      </w:pPr>
      <w:bookmarkStart w:name="b_solucionario_4_4" w:id="4454"/>
      <w:r>
        <w:t xml:space="preserve">Solucionario del capítulo</w:t>
      </w:r>
      <w:bookmarkEnd w:id="4454"/>
    </w:p>
    <w:p>
      <w:pPr>
        <w:pStyle w:val="Heading3"/>
      </w:pPr>
      <w:r>
        <w:t xml:space="preserve">4.4-A1</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a) Consultar conocimiento y mediciones pertinentes, incluidos especialistas, para estimar infecciones por contagio y tasa normal de contagio.</w:t>
            </w:r>
          </w:p>
        </w:tc>
      </w:tr>
    </w:tbl>
    <w:p>
      <w:pPr>
        <w:pStyle w:val="Normal"/>
      </w:pPr>
      <w:r>
        <w:t xml:space="preserve">La primera vía usa el significado del parámetro y conocimiento cuantitativo suficiente, aportado por especialistas cuando corresponde. En este modelo IPC expresa infecciones por contagio y TNC la tasa normal de contagio. PV = PT − PI hace de PV una auxiliar; PT es constante/exógena en este modelo: el párrafo impreso invierte esos dos rótulos.</w:t>
      </w:r>
    </w:p>
    <w:p>
      <w:pPr>
        <w:pStyle w:val="Fuente"/>
      </w:pPr>
      <w:r>
        <w:t xml:space="preserve">Presentación 4a de octubre (C-7), lámina 15</w:t>
      </w:r>
    </w:p>
    <w:p>
      <w:pPr>
        <w:pStyle w:val="Heading3"/>
      </w:pPr>
      <w:r>
        <w:t xml:space="preserve">4.4-A2</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b) Calibrar busca valores que minimicen una discrepancia observada/simulada; sensibilidad estudia cómo cambian resultados al variar valores.</w:t>
            </w:r>
          </w:p>
        </w:tc>
      </w:tr>
    </w:tbl>
    <w:p>
      <w:pPr>
        <w:pStyle w:val="Normal"/>
      </w:pPr>
      <w:r>
        <w:t xml:space="preserve">La segunda vía compara una serie histórica con la serie simulada y reduce un índice de discrepancia, por ejemplo suma de errores cuadrados en instantes comparables. Deben declararse variable observada, unidad, iniciales, período y criterio de ajuste. El curso no aporta aquí una serie histórica para ejecutar esa estimación; ajustar no sustituye validar estructura ni explorar sensibilidad.</w:t>
      </w:r>
    </w:p>
    <w:p>
      <w:pPr>
        <w:pStyle w:val="Fuente"/>
      </w:pPr>
      <w:r>
        <w:t xml:space="preserve">Presentación 4a de octubre (C-7), lámina 15</w:t>
      </w:r>
    </w:p>
    <w:p>
      <w:pPr>
        <w:pStyle w:val="Heading3"/>
      </w:pPr>
      <w:r>
        <w:t xml:space="preserve">4.4-A3</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c) DYNAMO: ecuaciones; STELLA/i-think: interacción gráfica y ecuaciones desde diagramas; Mosaikk–SimTek: interfaz y lenguaje tipo DYNAMO; PowerSim: modelos conectables; Vensim: datos, optimización, documentación y análisis.</w:t>
            </w:r>
          </w:p>
        </w:tc>
      </w:tr>
    </w:tbl>
    <w:p>
      <w:pPr>
        <w:pStyle w:val="Normal"/>
      </w:pPr>
      <w:r>
        <w:t xml:space="preserve">Es una comparación histórica atribuida a la lámina: DYNAMO sin modelado por iconos; STELLA de orientación académica e i-think profesional; Mosaikk conectado a SimTek; PowerSim con varios modelos interconectables; Vensim con organización de datos, optimización, documentación, árboles causales y análisis estadístico. No evalúa versiones actuales.</w:t>
      </w:r>
    </w:p>
    <w:p>
      <w:pPr>
        <w:pStyle w:val="Fuente"/>
      </w:pPr>
      <w:r>
        <w:t xml:space="preserve">Presentación 4a (C-3), lámina 53</w:t>
      </w:r>
    </w:p>
    <w:p>
      <w:pPr>
        <w:pStyle w:val="Heading3"/>
      </w:pPr>
      <w:r>
        <w:t xml:space="preserve">4.4-A4</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d) La consistencia dimensional es necesaria, pero aún deben contrastarse estructura, supuestos y comportamiento.</w:t>
            </w:r>
          </w:p>
        </w:tc>
      </w:tr>
    </w:tbl>
    <w:p>
      <w:pPr>
        <w:pStyle w:val="Normal"/>
      </w:pPr>
      <w:r>
        <w:t xml:space="preserve">Dos flujos causalmente distintos pueden tener las mismas unidades. Units Check ayuda a detectar incompatibilidades dimensionales; no prueba la dirección causal, los signos, las variables omitidas ni la validez de las políticas. Hay que contrastar estructura, extremos, datos y sensibilidad por separado.</w:t>
      </w:r>
    </w:p>
    <w:p>
      <w:pPr>
        <w:pStyle w:val="Fuente"/>
      </w:pPr>
      <w:r>
        <w:t xml:space="preserve">Clase 20 · 01:46:06 · Presentación 4a (C-3), lámina 27</w:t>
      </w:r>
    </w:p>
    <w:p>
      <w:pPr>
        <w:pStyle w:val="Heading3"/>
      </w:pPr>
      <w:r>
        <w:t xml:space="preserve">4.4-A5</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b) Un software de modelación y simulación de dinámica de sistemas (Ventana Systems)</w:t>
            </w:r>
          </w:p>
        </w:tc>
      </w:tr>
    </w:tbl>
    <w:p>
      <w:pPr>
        <w:pStyle w:val="Normal"/>
      </w:pPr>
      <w:r>
        <w:t xml:space="preserve">Vensim es un programa de Ventana Systems para construir y simular modelos de dinámica de sistemas (el método de Jay Forrester). Se dibuja un diagrama de niveles y flujos y el programa integra las ecuaciones en el tiempo.</w:t>
      </w:r>
    </w:p>
    <w:p>
      <w:pPr>
        <w:pStyle w:val="Normal"/>
      </w:pPr>
      <w:r>
        <w:t xml:space="preserve">a) No: no se programa por texto; se dibuja el modelo.</w:t>
      </w:r>
    </w:p>
    <w:p>
      <w:pPr>
        <w:pStyle w:val="Normal"/>
      </w:pPr>
      <w:r>
        <w:t xml:space="preserve">b) Correcto: Vensim, de Ventana Systems, simula modelos de niveles y flujos.</w:t>
      </w:r>
    </w:p>
    <w:p>
      <w:pPr>
        <w:pStyle w:val="Normal"/>
      </w:pPr>
      <w:r>
        <w:t xml:space="preserve">c) No: no es una hoja de cálculo, aunque exporta datos.</w:t>
      </w:r>
    </w:p>
    <w:p>
      <w:pPr>
        <w:pStyle w:val="Normal"/>
      </w:pPr>
      <w:r>
        <w:t xml:space="preserve">d) No: no modela algoritmos, sino sistemas dinámicos.</w:t>
      </w:r>
    </w:p>
    <w:p>
      <w:pPr>
        <w:pStyle w:val="Fuente"/>
      </w:pPr>
      <w:r>
        <w:t xml:space="preserve">Guía Vensim</w:t>
      </w:r>
    </w:p>
    <w:p>
      <w:pPr>
        <w:pStyle w:val="Heading3"/>
      </w:pPr>
      <w:r>
        <w:t xml:space="preserve">4.4-A6</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c) Box Variable — Level (caja)</w:t>
            </w:r>
          </w:p>
        </w:tc>
      </w:tr>
    </w:tbl>
    <w:p>
      <w:pPr>
        <w:pStyle w:val="Normal"/>
      </w:pPr>
      <w:r>
        <w:t xml:space="preserve">El nivel es un rectángulo que se dibuja con la herramienta Box Variable (Level). Representa lo que se acumula: la única variable con «memoria» del sistema.</w:t>
      </w:r>
    </w:p>
    <w:p>
      <w:pPr>
        <w:pStyle w:val="Normal"/>
      </w:pPr>
      <w:r>
        <w:t xml:space="preserve">a) No: la herramienta Rate dibuja flujos, no niveles.</w:t>
      </w:r>
    </w:p>
    <w:p>
      <w:pPr>
        <w:pStyle w:val="Normal"/>
      </w:pPr>
      <w:r>
        <w:t xml:space="preserve">b) No: la flecha traza conectores de información.</w:t>
      </w:r>
    </w:p>
    <w:p>
      <w:pPr>
        <w:pStyle w:val="Normal"/>
      </w:pPr>
      <w:r>
        <w:t xml:space="preserve">c) Correcto: la caja (Box Variable) crea el rectángulo que acumula.</w:t>
      </w:r>
    </w:p>
    <w:p>
      <w:pPr>
        <w:pStyle w:val="Normal"/>
      </w:pPr>
      <w:r>
        <w:t xml:space="preserve">d) No: la herramienta Variable crea auxiliares y constantes.</w:t>
      </w:r>
    </w:p>
    <w:p>
      <w:pPr>
        <w:pStyle w:val="Heading3"/>
      </w:pPr>
      <w:r>
        <w:t xml:space="preserve">4.4-A7</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a) INTEG(flujo neto, valor inicial)</w:t>
            </w:r>
          </w:p>
        </w:tc>
      </w:tr>
    </w:tbl>
    <w:p>
      <w:pPr>
        <w:pStyle w:val="Normal"/>
      </w:pPr>
      <w:r>
        <w:t xml:space="preserve">En Vensim todo nivel se escribe como INTEG(entradas − salidas, valor inicial): es la integral del flujo neto en el tiempo. Por eso el nivel acumula la historia de sus flujos.</w:t>
      </w:r>
    </w:p>
    <w:p>
      <w:pPr>
        <w:pStyle w:val="Fuente"/>
      </w:pPr>
      <w:r>
        <w:t xml:space="preserve">Vensim Reference</w:t>
      </w:r>
    </w:p>
    <w:p>
      <w:pPr>
        <w:pStyle w:val="Heading3"/>
      </w:pPr>
      <w:r>
        <w:t xml:space="preserve">4.4-A8</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b) Una fuente o sumidero fuera de la frontera del modelo, que se supone inagotable</w:t>
            </w:r>
          </w:p>
        </w:tc>
      </w:tr>
    </w:tbl>
    <w:p>
      <w:pPr>
        <w:pStyle w:val="Normal"/>
      </w:pPr>
      <w:r>
        <w:t xml:space="preserve">La nube marca una fuente (de donde sale material) o un sumidero (a donde va) situado fuera de la frontera del modelo. Se considera de capacidad infinita: al modelador no le interesa lo que ocurre más allá.</w:t>
      </w:r>
    </w:p>
    <w:p>
      <w:pPr>
        <w:pStyle w:val="Heading3"/>
      </w:pPr>
      <w:r>
        <w:t xml:space="preserve">4.4-A9</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c) Nacimientos = Población × tasa de natalidad</w:t>
            </w:r>
          </w:p>
        </w:tc>
      </w:tr>
    </w:tbl>
    <w:p>
      <w:pPr>
        <w:pStyle w:val="Normal"/>
      </w:pPr>
      <w:r>
        <w:t xml:space="preserve">Un flujo es una tasa que se calcula en cada instante. Nacimientos = Población × tasa de natalidad: cuantas más personas hay, más nacimientos por año. Esa dependencia del nivel es la que cierra el bucle de refuerzo.</w:t>
      </w:r>
    </w:p>
    <w:p>
      <w:pPr>
        <w:pStyle w:val="Normal"/>
      </w:pPr>
      <w:r>
        <w:t xml:space="preserve">a) No: INTEG es para niveles, no para flujos.</w:t>
      </w:r>
    </w:p>
    <w:p>
      <w:pPr>
        <w:pStyle w:val="Normal"/>
      </w:pPr>
      <w:r>
        <w:t xml:space="preserve">b) No: no se suma una población con una tasa; las unidades no cuadran.</w:t>
      </w:r>
    </w:p>
    <w:p>
      <w:pPr>
        <w:pStyle w:val="Normal"/>
      </w:pPr>
      <w:r>
        <w:t xml:space="preserve">c) Correcto: el flujo es proporcional a la población y a su tasa.</w:t>
      </w:r>
    </w:p>
    <w:p>
      <w:pPr>
        <w:pStyle w:val="Normal"/>
      </w:pPr>
      <w:r>
        <w:t xml:space="preserve">d) No: dividir invierte la relación y rompe las unidades.</w:t>
      </w:r>
    </w:p>
    <w:p>
      <w:pPr>
        <w:pStyle w:val="Heading3"/>
      </w:pPr>
      <w:r>
        <w:t xml:space="preserve">4.4-A10</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b) El salto de tiempo con que Vensim integra numéricamente el modelo</w:t>
            </w:r>
          </w:p>
        </w:tc>
      </w:tr>
    </w:tbl>
    <w:p>
      <w:pPr>
        <w:pStyle w:val="Normal"/>
      </w:pPr>
      <w:r>
        <w:t xml:space="preserve">TIME STEP es el Δt de la integración numérica (Euler por defecto). Un Δt más pequeño da un resultado más fiel pero tarda más; la regla práctica es Δt ≤ ¼ de la demora más corta del modelo. No debe confundirse con FINAL TIME (cuándo termina) ni con Units for Time (la unidad del reloj).</w:t>
      </w:r>
    </w:p>
    <w:p>
      <w:pPr>
        <w:pStyle w:val="Fuente"/>
      </w:pPr>
      <w:r>
        <w:t xml:space="preserve">Guía Vensim</w:t>
      </w:r>
    </w:p>
    <w:p>
      <w:pPr>
        <w:pStyle w:val="Heading3"/>
      </w:pPr>
      <w:r>
        <w:t xml:space="preserve">4.4-A11</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a) El nivel acumula (tiene memoria) y el flujo es la tasa a la que ese nivel cambia</w:t>
            </w:r>
          </w:p>
        </w:tc>
      </w:tr>
    </w:tbl>
    <w:p>
      <w:pPr>
        <w:pStyle w:val="Normal"/>
      </w:pPr>
      <w:r>
        <w:t xml:space="preserve">El nivel (stock) es la bañera: acumula el resultado de sus flujos y persiste aunque los flujos se detengan. El flujo (rate) es la válvula: la cantidad que entra o sale por unidad de tiempo. Solo los niveles se definen con INTEG.</w:t>
      </w:r>
    </w:p>
    <w:p>
      <w:pPr>
        <w:pStyle w:val="Heading3"/>
      </w:pPr>
      <w:r>
        <w:t xml:space="preserve">4.4-A12</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b) Un crecimiento exponencial (curva en J)</w:t>
            </w:r>
          </w:p>
        </w:tc>
      </w:tr>
    </w:tbl>
    <w:p>
      <w:pPr>
        <w:pStyle w:val="Normal"/>
      </w:pPr>
      <w:r>
        <w:t xml:space="preserve">Con natalidad neta positiva domina el bucle de refuerzo: cuanta más población, más nacimientos, y más población todavía. El resultado es el crecimiento exponencial en J. Si se igualan las tasas hay equilibrio; si la mortalidad gana, declive. La estructura genera el comportamiento.</w:t>
      </w:r>
    </w:p>
    <w:p>
      <w:pPr>
        <w:pStyle w:val="Fuente"/>
      </w:pPr>
      <w:r>
        <w:t xml:space="preserve">Meadows, Thinking in Systems</w:t>
      </w:r>
    </w:p>
    <w:p>
      <w:pPr>
        <w:pStyle w:val="Heading3"/>
      </w:pPr>
      <w:r>
        <w:t xml:space="preserve">4.4-A13</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a) Variable de estado</w:t>
            </w:r>
          </w:p>
        </w:tc>
      </w:tr>
    </w:tbl>
    <w:p>
      <w:pPr>
        <w:pStyle w:val="Normal"/>
      </w:pPr>
      <w:r>
        <w:t xml:space="preserve">La página 28 rotula cada pieza: fuente, flujos de entrada y salida, variable de estado, sumidero, auxiliares, canales de información, parámetros y variable exógena.</w:t>
      </w:r>
    </w:p>
    <w:p>
      <w:pPr>
        <w:pStyle w:val="Normal"/>
      </w:pPr>
      <w:r>
        <w:t xml:space="preserve">a) Correcto: es el nivel, lo que se acumula.</w:t>
      </w:r>
    </w:p>
    <w:p>
      <w:pPr>
        <w:pStyle w:val="Normal"/>
      </w:pPr>
      <w:r>
        <w:t xml:space="preserve">b) No: el flujo de entrada son los nacimientos.</w:t>
      </w:r>
    </w:p>
    <w:p>
      <w:pPr>
        <w:pStyle w:val="Normal"/>
      </w:pPr>
      <w:r>
        <w:t xml:space="preserve">c) No: los parámetros son las tasas de natalidad y mortalidad.</w:t>
      </w:r>
    </w:p>
    <w:p>
      <w:pPr>
        <w:pStyle w:val="Normal"/>
      </w:pPr>
      <w:r>
        <w:t xml:space="preserve">d) No: la variable exógena es K.</w:t>
      </w:r>
    </w:p>
    <w:p>
      <w:pPr>
        <w:pStyle w:val="Fuente"/>
      </w:pPr>
      <w:r>
        <w:t xml:space="preserve">presentación 4a · pág. 28</w:t>
      </w:r>
    </w:p>
    <w:p>
      <w:pPr>
        <w:pStyle w:val="Heading3"/>
      </w:pPr>
      <w:r>
        <w:t xml:space="preserve">4.4-A14</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a) Variable exógena</w:t>
            </w:r>
          </w:p>
        </w:tc>
      </w:tr>
    </w:tbl>
    <w:p>
      <w:pPr>
        <w:pStyle w:val="Normal"/>
      </w:pPr>
      <w:r>
        <w:t xml:space="preserve">K entra a la auxiliar Coef. Carga, que frena el crecimiento a medida que la población se acerca a la capacidad.</w:t>
      </w:r>
    </w:p>
    <w:p>
      <w:pPr>
        <w:pStyle w:val="Normal"/>
      </w:pPr>
      <w:r>
        <w:t xml:space="preserve">a) Correcto: viene de fuera del modelo.</w:t>
      </w:r>
    </w:p>
    <w:p>
      <w:pPr>
        <w:pStyle w:val="Normal"/>
      </w:pPr>
      <w:r>
        <w:t xml:space="preserve">b) No: la auxiliar es el coeficiente de carga, (K − Población) / K.</w:t>
      </w:r>
    </w:p>
    <w:p>
      <w:pPr>
        <w:pStyle w:val="Normal"/>
      </w:pPr>
      <w:r>
        <w:t xml:space="preserve">c) No: el sumidero es la nube adonde van las muertes.</w:t>
      </w:r>
    </w:p>
    <w:p>
      <w:pPr>
        <w:pStyle w:val="Normal"/>
      </w:pPr>
      <w:r>
        <w:t xml:space="preserve">d) No: el flujo de salida son las muertes.</w:t>
      </w:r>
    </w:p>
    <w:p>
      <w:pPr>
        <w:pStyle w:val="Fuente"/>
      </w:pPr>
      <w:r>
        <w:t xml:space="preserve">presentación 4a · pág. 28</w:t>
      </w:r>
    </w:p>
    <w:p>
      <w:pPr>
        <w:pStyle w:val="Heading3"/>
      </w:pPr>
      <w:r>
        <w:t xml:space="preserve">4.4-A15</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a) Permite experimentar cuando hacerlo en el sistema real no sería ético</w:t>
            </w:r>
          </w:p>
        </w:tc>
      </w:tr>
    </w:tbl>
    <w:p>
      <w:pPr>
        <w:pStyle w:val="Normal"/>
      </w:pPr>
      <w:r>
        <w:t xml:space="preserve">Ventajas: no hay formulación matemática, el procedimiento es muy complejo, se quiere experimentar antes de construir, el experimento es imposible o no ético, el sistema es muy lento, o se estudia en tiempo real.</w:t>
      </w:r>
    </w:p>
    <w:p>
      <w:pPr>
        <w:pStyle w:val="Normal"/>
      </w:pPr>
      <w:r>
        <w:t xml:space="preserve">a) Correcto: es una de las siete situaciones en que conviene simular.</w:t>
      </w:r>
    </w:p>
    <w:p>
      <w:pPr>
        <w:pStyle w:val="Normal"/>
      </w:pPr>
      <w:r>
        <w:t xml:space="preserve">b) No: el riesgo de omitir una variable importante es un inconveniente.</w:t>
      </w:r>
    </w:p>
    <w:p>
      <w:pPr>
        <w:pStyle w:val="Normal"/>
      </w:pPr>
      <w:r>
        <w:t xml:space="preserve">c) No: la dificultad de conocer la imprecisión es otro inconveniente.</w:t>
      </w:r>
    </w:p>
    <w:p>
      <w:pPr>
        <w:pStyle w:val="Normal"/>
      </w:pPr>
      <w:r>
        <w:t xml:space="preserve">d) No: el costo y el tiempo son el primer inconveniente.</w:t>
      </w:r>
    </w:p>
    <w:p>
      <w:pPr>
        <w:pStyle w:val="Fuente"/>
      </w:pPr>
      <w:r>
        <w:t xml:space="preserve">presentación 4a · pág. 29</w:t>
      </w:r>
    </w:p>
    <w:p>
      <w:pPr>
        <w:pStyle w:val="Heading3"/>
      </w:pPr>
      <w:r>
        <w:t xml:space="preserve">4.4-A16</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a) Definición del problema, conceptualización, formalización, comportamiento, evaluación, explotación</w:t>
            </w:r>
          </w:p>
        </w:tc>
      </w:tr>
    </w:tbl>
    <w:p>
      <w:pPr>
        <w:pStyle w:val="Normal"/>
      </w:pPr>
      <w:r>
        <w:t xml:space="preserve">La página 27 las dibuja en ese orden, con flechas de regreso: modelar es iterativo.</w:t>
      </w:r>
    </w:p>
    <w:p>
      <w:pPr>
        <w:pStyle w:val="Normal"/>
      </w:pPr>
      <w:r>
        <w:t xml:space="preserve">a) Correcto, con regresos a las fases anteriores cuando hace falta.</w:t>
      </w:r>
    </w:p>
    <w:p>
      <w:pPr>
        <w:pStyle w:val="Normal"/>
      </w:pPr>
      <w:r>
        <w:t xml:space="preserve">b) No: el problema se define primero.</w:t>
      </w:r>
    </w:p>
    <w:p>
      <w:pPr>
        <w:pStyle w:val="Normal"/>
      </w:pPr>
      <w:r>
        <w:t xml:space="preserve">c) No: ese es el orden inverso.</w:t>
      </w:r>
    </w:p>
    <w:p>
      <w:pPr>
        <w:pStyle w:val="Normal"/>
      </w:pPr>
      <w:r>
        <w:t xml:space="preserve">d) No: la explotación es la última fase.</w:t>
      </w:r>
    </w:p>
    <w:p>
      <w:pPr>
        <w:pStyle w:val="Fuente"/>
      </w:pPr>
      <w:r>
        <w:t xml:space="preserve">presentación 4a · pág. 27</w:t>
      </w:r>
    </w:p>
    <w:p>
      <w:pPr>
        <w:pStyle w:val="Heading3"/>
      </w:pPr>
      <w:r>
        <w:t xml:space="preserve">4.4-A17</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a) $3,591.71</w:t>
            </w:r>
          </w:p>
        </w:tc>
      </w:tr>
    </w:tbl>
    <w:p>
      <w:pPr>
        <w:pStyle w:val="Normal"/>
      </w:pPr>
      <w:r>
        <w:t xml:space="preserve">El saldo y los intereses forman un ciclo de refuerzo: cada mes se cobra el 5 % del saldo vigente. Por eso a los 12 meses conviene el banco 2 ($3,138.43).</w:t>
      </w:r>
    </w:p>
    <w:p>
      <w:pPr>
        <w:pStyle w:val="Normal"/>
      </w:pPr>
      <w:r>
        <w:t xml:space="preserve">a) Correcto: 2000 · 1.05¹², con un paso de un mes.</w:t>
      </w:r>
    </w:p>
    <w:p>
      <w:pPr>
        <w:pStyle w:val="Normal"/>
      </w:pPr>
      <w:r>
        <w:t xml:space="preserve">b) No: ese es el saldo del banco 2.</w:t>
      </w:r>
    </w:p>
    <w:p>
      <w:pPr>
        <w:pStyle w:val="Normal"/>
      </w:pPr>
      <w:r>
        <w:t xml:space="preserve">c) No: eso sería interés simple, sin el ciclo de refuerzo.</w:t>
      </w:r>
    </w:p>
    <w:p>
      <w:pPr>
        <w:pStyle w:val="Normal"/>
      </w:pPr>
      <w:r>
        <w:t xml:space="preserve">d) No: el saldo crece cada mes con su interés.</w:t>
      </w:r>
    </w:p>
    <w:p>
      <w:pPr>
        <w:pStyle w:val="Fuente"/>
      </w:pPr>
      <w:r>
        <w:t xml:space="preserve">presentación 4a · pág. 23 · cálculo del portal</w:t>
      </w:r>
    </w:p>
    <w:p>
      <w:pPr>
        <w:pStyle w:val="Heading3"/>
      </w:pPr>
      <w:r>
        <w:t xml:space="preserve">4.4-A18</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a) Para tener una referencia con la cual actuar sobre la realidad</w:t>
            </w:r>
          </w:p>
        </w:tc>
      </w:tr>
    </w:tbl>
    <w:p>
      <w:pPr>
        <w:pStyle w:val="Normal"/>
      </w:pPr>
      <w:r>
        <w:t xml:space="preserve">La presentación distingue tres usos —aprendizaje, explicación e intervención— y tres tipos de modelado —réplica, reconstrucción y construcción—.</w:t>
      </w:r>
    </w:p>
    <w:p>
      <w:pPr>
        <w:pStyle w:val="Normal"/>
      </w:pPr>
      <w:r>
        <w:t xml:space="preserve">a) Correcto: es el tercer uso del modelado.</w:t>
      </w:r>
    </w:p>
    <w:p>
      <w:pPr>
        <w:pStyle w:val="Normal"/>
      </w:pPr>
      <w:r>
        <w:t xml:space="preserve">b) No: ese es el modelado para el aprendizaje.</w:t>
      </w:r>
    </w:p>
    <w:p>
      <w:pPr>
        <w:pStyle w:val="Normal"/>
      </w:pPr>
      <w:r>
        <w:t xml:space="preserve">c) No: ese es el modelado para la explicación.</w:t>
      </w:r>
    </w:p>
    <w:p>
      <w:pPr>
        <w:pStyle w:val="Normal"/>
      </w:pPr>
      <w:r>
        <w:t xml:space="preserve">d) No: los datos siguen siendo necesarios para validar.</w:t>
      </w:r>
    </w:p>
    <w:p>
      <w:pPr>
        <w:pStyle w:val="Fuente"/>
      </w:pPr>
      <w:r>
        <w:t xml:space="preserve">presentación 4a · pág. 40</w:t>
      </w:r>
    </w:p>
    <w:p>
      <w:pPr>
        <w:pStyle w:val="Heading3"/>
      </w:pPr>
      <w:r>
        <w:t xml:space="preserve">4.4-A19</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a) 0.5 meses</w:t>
            </w:r>
          </w:p>
        </w:tc>
      </w:tr>
    </w:tbl>
    <w:p>
      <w:pPr>
        <w:pStyle w:val="Normal"/>
      </w:pPr>
      <w:r>
        <w:t xml:space="preserve">El tutorial lo explica al configurar el almacén: SAVEPER «puede ser superior pero no puede ser inferior» al TIME STEP.</w:t>
      </w:r>
    </w:p>
    <w:p>
      <w:pPr>
        <w:pStyle w:val="Normal"/>
      </w:pPr>
      <w:r>
        <w:t xml:space="preserve">a) Correcto: con pasos de un mes no hay resultados a medio mes que guardar.</w:t>
      </w:r>
    </w:p>
    <w:p>
      <w:pPr>
        <w:pStyle w:val="Normal"/>
      </w:pPr>
      <w:r>
        <w:t xml:space="preserve">b) No: igual al TIME STEP es lo que deja el tutorial.</w:t>
      </w:r>
    </w:p>
    <w:p>
      <w:pPr>
        <w:pStyle w:val="Normal"/>
      </w:pPr>
      <w:r>
        <w:t xml:space="preserve">c) No: puede ser mayor que el paso; entonces guarda uno de cada dos resultados.</w:t>
      </w:r>
    </w:p>
    <w:p>
      <w:pPr>
        <w:pStyle w:val="Normal"/>
      </w:pPr>
      <w:r>
        <w:t xml:space="preserve">d) No: SAVEPER no puede ser menor que el TIME STEP.</w:t>
      </w:r>
    </w:p>
    <w:p>
      <w:pPr>
        <w:pStyle w:val="Fuente"/>
      </w:pPr>
      <w:r>
        <w:t xml:space="preserve">video · Silvio Martinez Vicente, lección 3 · 05:34</w:t>
      </w:r>
    </w:p>
    <w:p>
      <w:pPr>
        <w:pStyle w:val="Heading3"/>
      </w:pPr>
      <w:r>
        <w:t xml:space="preserve">4.4-A20</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a) Si hay más de 150 unidades salen las deseadas; si no, sólo 60</w:t>
            </w:r>
          </w:p>
        </w:tc>
      </w:tr>
    </w:tbl>
    <w:p>
      <w:pPr>
        <w:pStyle w:val="Normal"/>
      </w:pPr>
      <w:r>
        <w:t xml:space="preserve">IF THEN ELSE(condición, valor si se cumple, valor si no). Así el modelo impide sacar lo deseado cuando el almacén tiene poco.</w:t>
      </w:r>
    </w:p>
    <w:p>
      <w:pPr>
        <w:pStyle w:val="Normal"/>
      </w:pPr>
      <w:r>
        <w:t xml:space="preserve">a) Correcto: la condición va primero, después el valor si se cumple y al final el valor si no.</w:t>
      </w:r>
    </w:p>
    <w:p>
      <w:pPr>
        <w:pStyle w:val="Normal"/>
      </w:pPr>
      <w:r>
        <w:t xml:space="preserve">b) No: invierte los dos valores.</w:t>
      </w:r>
    </w:p>
    <w:p>
      <w:pPr>
        <w:pStyle w:val="Normal"/>
      </w:pPr>
      <w:r>
        <w:t xml:space="preserve">c) No: la condición es sobre el nivel, no sobre el tiempo.</w:t>
      </w:r>
    </w:p>
    <w:p>
      <w:pPr>
        <w:pStyle w:val="Normal"/>
      </w:pPr>
      <w:r>
        <w:t xml:space="preserve">d) No: 150 es el umbral del nivel, no una cantidad que sale.</w:t>
      </w:r>
    </w:p>
    <w:p>
      <w:pPr>
        <w:pStyle w:val="Fuente"/>
      </w:pPr>
      <w:r>
        <w:t xml:space="preserve">video · Silvio Martinez Vicente, lección 3 · 18:58</w:t>
      </w:r>
    </w:p>
    <w:p>
      <w:pPr>
        <w:pStyle w:val="Heading3"/>
      </w:pPr>
      <w:r>
        <w:t xml:space="preserve">4.4-A21</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a) Hasta 3 niveles</w:t>
            </w:r>
          </w:p>
        </w:tc>
      </w:tr>
    </w:tbl>
    <w:p>
      <w:pPr>
        <w:pStyle w:val="Normal"/>
      </w:pPr>
      <w:r>
        <w:t xml:space="preserve">El árbol de causas del almacén muestra el nivel, sus tres flujos y lo que mueve a cada flujo; donde una rama vuelve al nivel se cierra un bucle.</w:t>
      </w:r>
    </w:p>
    <w:p>
      <w:pPr>
        <w:pStyle w:val="Normal"/>
      </w:pPr>
      <w:r>
        <w:t xml:space="preserve">a) Correcto: en la versión de aprendizaje llega a 3, que normalmente basta.</w:t>
      </w:r>
    </w:p>
    <w:p>
      <w:pPr>
        <w:pStyle w:val="Normal"/>
      </w:pPr>
      <w:r>
        <w:t xml:space="preserve">b) No: muestra también las causas de las causas.</w:t>
      </w:r>
    </w:p>
    <w:p>
      <w:pPr>
        <w:pStyle w:val="Normal"/>
      </w:pPr>
      <w:r>
        <w:t xml:space="preserve">c) No: elegir la profundidad es de la versión profesional.</w:t>
      </w:r>
    </w:p>
    <w:p>
      <w:pPr>
        <w:pStyle w:val="Normal"/>
      </w:pPr>
      <w:r>
        <w:t xml:space="preserve">d) No: la versión PLE se queda en 3.</w:t>
      </w:r>
    </w:p>
    <w:p>
      <w:pPr>
        <w:pStyle w:val="Fuente"/>
      </w:pPr>
      <w:r>
        <w:t xml:space="preserve">video · Silvio Martinez Vicente, lección 4 · 06:55</w:t>
      </w:r>
    </w:p>
    <w:p>
      <w:pPr>
        <w:pStyle w:val="Heading3"/>
      </w:pPr>
      <w:r>
        <w:t xml:space="preserve">4.4-A22</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d) Que comunica el modelo a otros y permite enriquecer su comprensión</w:t>
            </w:r>
          </w:p>
        </w:tc>
      </w:tr>
    </w:tbl>
    <w:p>
      <w:pPr>
        <w:pStyle w:val="Normal"/>
      </w:pPr>
      <w:r>
        <w:t xml:space="preserve">Explicar hace visible una comprensión formal del sistema. Las observaciones de otros pueden ampliar o cuestionar el modelo; explicar no equivale por sí solo a intervenir.</w:t>
      </w:r>
    </w:p>
    <w:p>
      <w:pPr>
        <w:pStyle w:val="Fuente"/>
      </w:pPr>
      <w:r>
        <w:t xml:space="preserve">Clase 24 · capítulo 05 · /clase-24#cap-05 · pregunta original del portal</w:t>
      </w:r>
    </w:p>
    <w:p>
      <w:pPr>
        <w:pStyle w:val="Heading3"/>
      </w:pPr>
      <w:r>
        <w:t xml:space="preserve">4.4-A23</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a) Contrastar estructura, supuestos y resultados con teoría y datos de la realidad</w:t>
            </w:r>
          </w:p>
        </w:tc>
      </w:tr>
    </w:tbl>
    <w:p>
      <w:pPr>
        <w:pStyle w:val="Normal"/>
      </w:pPr>
      <w:r>
        <w:t xml:space="preserve">La ejecución técnica no valida el modelo. Si sus relaciones o datos no representan suficientemente la realidad, la intervención puede producir resultados distintos de los esperados.</w:t>
      </w:r>
    </w:p>
    <w:p>
      <w:pPr>
        <w:pStyle w:val="Fuente"/>
      </w:pPr>
      <w:r>
        <w:t xml:space="preserve">Clase 24 · capítulo 06 · /clase-24#cap-06 · pregunta original del portal</w:t>
      </w:r>
    </w:p>
    <w:p>
      <w:pPr>
        <w:pStyle w:val="Heading3"/>
      </w:pPr>
      <w:r>
        <w:t xml:space="preserve">4.4-A24</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b) Un ciclo de aprendizaje que permite perfeccionar modelo e intervención</w:t>
            </w:r>
          </w:p>
        </w:tc>
      </w:tr>
    </w:tbl>
    <w:p>
      <w:pPr>
        <w:pStyle w:val="Normal"/>
      </w:pPr>
      <w:r>
        <w:t xml:space="preserve">El profesor describe el retorno de lo aprendido durante la validación y la intervención. Esa retroalimentación permite revisar el modelo, sin garantizar una representación perfecta.</w:t>
      </w:r>
    </w:p>
    <w:p>
      <w:pPr>
        <w:pStyle w:val="Fuente"/>
      </w:pPr>
      <w:r>
        <w:t xml:space="preserve">Clase 24 · capítulo 07 · /clase-24#cap-07 · pregunta original del portal</w:t>
      </w:r>
    </w:p>
    <w:p>
      <w:pPr>
        <w:pStyle w:val="Heading3"/>
      </w:pPr>
      <w:r>
        <w:t xml:space="preserve">4.4-A25</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d) Con un desbordamiento que se retomó en la clase 20</w:t>
            </w:r>
          </w:p>
        </w:tc>
      </w:tr>
    </w:tbl>
    <w:p>
      <w:pPr>
        <w:pStyle w:val="Normal"/>
      </w:pPr>
      <w:r>
        <w:t xml:space="preserve">Se ensayaron valores tentativos y la corrida falló. La corrección se documenta en la sesión siguiente.</w:t>
      </w:r>
    </w:p>
    <w:p>
      <w:pPr>
        <w:pStyle w:val="Fuente"/>
      </w:pPr>
      <w:r>
        <w:t xml:space="preserve">Clase 19 · capítulo 08 · /clase-19#cap-08</w:t>
      </w:r>
    </w:p>
    <w:p>
      <w:pPr>
        <w:pStyle w:val="Heading3"/>
      </w:pPr>
      <w:r>
        <w:t xml:space="preserve">4.4-A26</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a) El paso de integración y el horizonte deben identificarse por separado</w:t>
            </w:r>
          </w:p>
        </w:tc>
      </w:tr>
    </w:tbl>
    <w:p>
      <w:pPr>
        <w:pStyle w:val="Normal"/>
      </w:pPr>
      <w:r>
        <w:t xml:space="preserve">La presentación usa paso 0.25 y horizonte 40; la demostración usa paso 1 y horizonte 25. Las cifras dependen de esa configuración.</w:t>
      </w:r>
    </w:p>
    <w:p>
      <w:pPr>
        <w:pStyle w:val="Fuente"/>
      </w:pPr>
      <w:r>
        <w:t xml:space="preserve">Clase 20 · capítulo 04 · /clase-20#cap-04 · pregunta editorial basada en la sesión</w:t>
      </w:r>
    </w:p>
    <w:p>
      <w:pPr>
        <w:pStyle w:val="Heading3"/>
      </w:pPr>
      <w:bookmarkStart w:name="b_solucion_ej_MF05" w:id="4455"/>
      <w:r>
        <w:t xml:space="preserve">Solución 4.4-E1</w:t>
      </w:r>
      <w:bookmarkEnd w:id="4455"/>
    </w:p>
    <w:p>
      <w:pPr>
        <w:pStyle w:val="RecuadroTitulo"/>
      </w:pPr>
      <w:r>
        <w:t xml:space="preserve">Respuesta modelo</w:t>
      </w:r>
    </w:p>
    <w:p>
      <w:pPr>
        <w:pStyle w:val="Normal"/>
      </w:pPr>
      <w:r>
        <w:t xml:space="preserve">Flujo inicial 100 dólares/mes. Con 0.25 meses, incremento 25 y saldo 2,025; con 0.5, incremento 50 y saldo 2,050. El flujo se multiplica por duración para obtener dólares. No sumar dólares/mes directamente a dólares.</w:t>
      </w:r>
    </w:p>
    <w:p>
      <w:pPr>
        <w:pStyle w:val="Fuente"/>
      </w:pPr>
      <w:r>
        <w:t xml:space="preserve">Compendio académico del portal; ejercicio editorial.</w:t>
      </w:r>
    </w:p>
    <w:p>
      <w:pPr>
        <w:pStyle w:val="Heading3"/>
      </w:pPr>
      <w:bookmarkStart w:name="b_solucion_ej_MF18" w:id="4456"/>
      <w:r>
        <w:t xml:space="preserve">Solución 4.4-E2</w:t>
      </w:r>
      <w:bookmarkEnd w:id="4456"/>
    </w:p>
    <w:p>
      <w:pPr>
        <w:pStyle w:val="RecuadroTitulo"/>
      </w:pPr>
      <w:r>
        <w:t xml:space="preserve">Respuesta modelo</w:t>
      </w:r>
    </w:p>
    <w:p>
      <w:pPr>
        <w:pStyle w:val="Normal"/>
      </w:pPr>
      <w:r>
        <w:t xml:space="preserve">(a)definición; (b)formalización; (c)comportamiento; (d)evaluación; (e)explotación. Primera lista: uso; segunda: proceso. Ejemplo: reconstruyo una teoría de inventarios desde mi comprensión para aprender de varias políticas. No exigir repetir palabras idénticas si la explicación conceptual es correcta.</w:t>
      </w:r>
    </w:p>
    <w:p>
      <w:pPr>
        <w:pStyle w:val="Fuente"/>
      </w:pPr>
      <w:r>
        <w:t xml:space="preserve">Compendio académico del portal; ejercicio editorial.</w:t>
      </w:r>
    </w:p>
    <w:p>
      <w:pPr>
        <w:pStyle w:val="Heading3"/>
      </w:pPr>
      <w:bookmarkStart w:name="b_solucion_ej_MF19" w:id="4457"/>
      <w:r>
        <w:t xml:space="preserve">Solución 4.4-E3</w:t>
      </w:r>
      <w:bookmarkEnd w:id="4457"/>
    </w:p>
    <w:p>
      <w:pPr>
        <w:pStyle w:val="RecuadroTitulo"/>
      </w:pPr>
      <w:r>
        <w:t xml:space="preserve">Respuesta modelo</w:t>
      </w:r>
    </w:p>
    <w:p>
      <w:pPr>
        <w:pStyle w:val="Normal"/>
      </w:pPr>
      <w:r>
        <w:t xml:space="preserve">Revisar restricciones de disponibilidad y salidas, unidades de la tasa y tamaño del paso; también supuestos y valores iniciales. Sensibilidad explora cambios en entradas del modelo; comparación con registros aporta evidencia de comportamiento/validación. Una buena curva puede surgir de relaciones incorrectas; evaluar estructura es necesario. </w:t>
      </w:r>
      <w:r>
        <w:rPr>
          <w:rFonts w:ascii="Source Code Pro" w:cs="Source Code Pro" w:eastAsia="Source Code Pro" w:hAnsi="Source Code Pro"/>
          <w:sz w:val="18"/>
          <w:szCs w:val="18"/>
        </w:rPr>
        <w:t xml:space="preserve">Model is OK</w:t>
      </w:r>
      <w:r>
        <w:t xml:space="preserve"> no verifica realidad ni garantiza por sí solo unidades coherentes.</w:t>
      </w:r>
    </w:p>
    <w:p>
      <w:pPr>
        <w:pStyle w:val="Fuente"/>
      </w:pPr>
      <w:r>
        <w:t xml:space="preserve">Compendio académico del portal; ejercicio editorial.</w:t>
      </w:r>
    </w:p>
    <w:p>
      <w:pPr>
        <w:pStyle w:val="Heading3"/>
      </w:pPr>
      <w:bookmarkStart w:name="b_solucion_ej_MF27" w:id="4458"/>
      <w:r>
        <w:t xml:space="preserve">Solución 4.4-E4</w:t>
      </w:r>
      <w:bookmarkEnd w:id="4458"/>
    </w:p>
    <w:p>
      <w:pPr>
        <w:pStyle w:val="RecuadroTitulo"/>
      </w:pPr>
      <w:r>
        <w:t xml:space="preserve">Respuesta modelo</w:t>
      </w:r>
    </w:p>
    <w:p>
      <w:pPr>
        <w:pStyle w:val="Normal"/>
      </w:pPr>
      <w:r>
        <w:t xml:space="preserve">DYNAMO expresa ecuaciones mediante un lenguaje; STELLA/i-think y Vensim ofrecen construcción gráfica de modelos. Las herramientas facilitan formalización, simulación y análisis de dependencias. La validez exige propósito, unidades, estructura, datos, extremos y sensibilidad: una simulación puede estar correctamente ejecutada y representar mal el problema.</w:t>
      </w:r>
    </w:p>
    <w:p>
      <w:pPr>
        <w:pStyle w:val="Fuente"/>
        <w:sectPr>
          <w:headerReference w:type="default" r:id="rId240"/>
          <w:headerReference w:type="first" r:id="rId241"/>
          <w:headerReference w:type="even" r:id="rId242"/>
          <w:footerReference w:type="default" r:id="rId243"/>
          <w:footerReference w:type="first" r:id="rId244"/>
          <w:footerReference w:type="even" r:id="rId245"/>
          <w:type w:val="nextPage"/>
          <w:pgSz w:w="12240" w:h="15840" w:orient="portrait"/>
          <w:pgMar w:top="1361" w:right="1134" w:bottom="1361" w:left="1474" w:header="650" w:footer="680" w:gutter="0"/>
          <w:pgNumType/>
          <w:titlePg/>
          <w:docGrid w:linePitch="360"/>
        </w:sectPr>
      </w:pPr>
      <w:r>
        <w:t xml:space="preserve">L-15, pp. 64–65; presentación 4a, p. 53.</w:t>
      </w:r>
    </w:p>
    <w:p>
      <w:pPr>
        <w:pStyle w:val="Heading2"/>
      </w:pPr>
      <w:bookmarkStart w:name="b_4_5" w:id="4459"/>
      <w:r>
        <w:t xml:space="preserve">4.5 · Ejemplos en VENSIM</w:t>
      </w:r>
      <w:bookmarkEnd w:id="4459"/>
    </w:p>
    <w:p>
      <w:pPr>
        <w:pStyle w:val="Subtitulo"/>
      </w:pPr>
      <w:r>
        <w:t xml:space="preserve">Ejemplos de simulaciones de sistemas en VENSIM</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En una línea</w:t>
            </w:r>
          </w:p>
          <w:p>
            <w:pPr>
              <w:pStyle w:val="Recuadro"/>
            </w:pPr>
            <w:r>
              <w:t xml:space="preserve">Practicar los casos de epidemia, libros pendientes de Francisco, préstamos bancarios e instalación de teléfonos.</w:t>
            </w:r>
          </w:p>
        </w:tc>
      </w:tr>
    </w:tbl>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Qué te preguntan</w:t>
            </w:r>
          </w:p>
          <w:p>
            <w:pPr>
              <w:pStyle w:val="Recuadro"/>
            </w:pPr>
            <w:r>
              <w:t xml:space="preserve">Practicar los casos de epidemia, libros pendientes de Francisco, préstamos bancarios e instalación de teléfonos.</w:t>
            </w:r>
          </w:p>
        </w:tc>
      </w:tr>
    </w:tbl>
    <w:p>
      <w:pPr>
        <w:pStyle w:val="Normal"/>
      </w:pPr>
      <w:r>
        <w:t xml:space="preserve">Los casos del curso conectan historias, ecuaciones y gráficas. Antes de calcular, identifica el nivel y el flujo neto; después comprueba el primer paso, el equilibrio o la tendencia y el criterio con que interpretarás el resultado.</w:t>
      </w:r>
    </w:p>
    <w:p>
      <w:pPr>
        <w:pStyle w:val="Heading3"/>
      </w:pPr>
      <w:r>
        <w:t xml:space="preserve">Vocabulario clave</w:t>
      </w:r>
    </w:p>
    <w:p>
      <w:pPr>
        <w:pStyle w:val="Normal"/>
      </w:pPr>
      <w:r>
        <w:t xml:space="preserve">epidemia · Francisco · préstamos · teléfonos · equilibrio · escenario</w:t>
      </w:r>
    </w:p>
    <w:p>
      <w:pPr>
        <w:pStyle w:val="Fuente"/>
      </w:pPr>
      <w:r>
        <w:t xml:space="preserve">Recorrido: desarrollo conceptual → presentaciones → explicación en clase → errores y fuentes → práctica → solucionario.</w:t>
      </w:r>
    </w:p>
    <w:p>
      <w:pPr>
        <w:pStyle w:val="Heading3"/>
      </w:pPr>
      <w:bookmarkStart w:name="b_lectura_c1" w:id="4460"/>
      <w:r>
        <w:t xml:space="preserve">4.5.1 Epidemia: acumulación y cambio de predominio entre ciclos</w:t>
      </w:r>
      <w:bookmarkEnd w:id="4460"/>
    </w:p>
    <w:p>
      <w:pPr>
        <w:pStyle w:val="Normal"/>
      </w:pPr>
      <w:r>
        <w:t xml:space="preserve">El modelo de A4:p10–13 representa difusión sin recuperación, fallecimientos, nacimientos ni movimientos de población. Sus variables son:</w:t>
      </w:r>
    </w:p>
    <w:p>
      <w:pPr>
        <w:pStyle w:val="Codigo"/>
      </w:pPr>
      <w:r>
        <w:t xml:space="preserve">PI = población infectada [personas], inicialmente 10</w:t>
      </w:r>
    </w:p>
    <w:p>
      <w:pPr>
        <w:pStyle w:val="Codigo"/>
      </w:pPr>
      <w:r>
        <w:t xml:space="preserve">PT = población total [personas], constante 100</w:t>
      </w:r>
    </w:p>
    <w:p>
      <w:pPr>
        <w:pStyle w:val="Codigo"/>
      </w:pPr>
      <w:r>
        <w:t xml:space="preserve">PV = PT − PI [personas], auxiliar</w:t>
      </w:r>
    </w:p>
    <w:p>
      <w:pPr>
        <w:pStyle w:val="Codigo"/>
      </w:pPr>
      <w:r>
        <w:t xml:space="preserve">IPC = 0.15 [adimensional]</w:t>
      </w:r>
    </w:p>
    <w:p>
      <w:pPr>
        <w:pStyle w:val="Codigo"/>
      </w:pPr>
      <w:r>
        <w:t xml:space="preserve">TNC = 0.025 [1/(persona × unidad de tiempo)]</w:t>
      </w:r>
    </w:p>
    <w:p>
      <w:pPr>
        <w:pStyle w:val="Codigo"/>
      </w:pPr>
      <w:r>
        <w:t xml:space="preserve">TC = IPC × TNC × PI × PV [personas/unidad de tiempo]</w:t>
      </w:r>
    </w:p>
    <w:p>
      <w:pPr>
        <w:pStyle w:val="Codigo"/>
      </w:pPr>
      <w:r>
        <w:t xml:space="preserve">PI = INTEG(TC, 10)</w:t>
      </w:r>
    </w:p>
    <w:p>
      <w:pPr>
        <w:pStyle w:val="Normal"/>
      </w:pPr>
      <w:r>
        <w:t xml:space="preserve">La configuración expuesta en C20 conserva semanas como unidad de tiempo (00:42:25), aunque la explicación oral alterna días y semanas. En esa corrida TC se mide en personas/semana y TNC en 1/(persona·semana). Un ejercicio oral que use días es otra elección explícita de unidad; no se cambia la etiqueta sin revisar los coeficientes. El producto de dos poblaciones explica por qué TNC no puede declararse simplemente porcentaje/día sin cambiar la ecuación. El significado biológico de cada coeficiente debe especificarse en un modelo real; aquí se conserva la formulación didáctica. [A4:p13; L15:p40–47]</w:t>
      </w:r>
    </w:p>
    <w:p>
      <w:pPr>
        <w:pStyle w:val="Normal"/>
      </w:pPr>
      <w:r>
        <w:t xml:space="preserve">Al inicio, </w:t>
      </w:r>
      <w:r>
        <w:rPr>
          <w:rFonts w:ascii="Source Code Pro" w:cs="Source Code Pro" w:eastAsia="Source Code Pro" w:hAnsi="Source Code Pro"/>
          <w:sz w:val="18"/>
          <w:szCs w:val="18"/>
        </w:rPr>
        <w:t xml:space="preserve">PV = 90</w:t>
      </w:r>
      <w:r>
        <w:t xml:space="preserve"> y </w:t>
      </w:r>
      <w:r>
        <w:rPr>
          <w:rFonts w:ascii="Source Code Pro" w:cs="Source Code Pro" w:eastAsia="Source Code Pro" w:hAnsi="Source Code Pro"/>
          <w:sz w:val="18"/>
          <w:szCs w:val="18"/>
        </w:rPr>
        <w:t xml:space="preserve">TC = 0.15 × 0.025 × 10 × 90 = 3.375</w:t>
      </w:r>
      <w:r>
        <w:t xml:space="preserve">. Con Euler y paso 0.25, el primer incremento es 0.84375 y PI pasa a 10.84375; con paso 1, el primer incremento es 3.375 y PI pasa a 13.375. Son configuraciones distintas: A4 usa Δt = 0.25 y horizonte 40; la demostración de clase emplea también una corrida con Δt = 1 y horizonte 25. No deben mezclarse sus tablas. El ejercicio oral «10 infectados y tres contagios durante un día» era una simplificación para identificar la acumulación, no el resultado literal del primer paso de esta ecuación.</w:t>
      </w:r>
    </w:p>
    <w:p>
      <w:pPr>
        <w:pStyle w:val="Normal"/>
      </w:pPr>
      <w:r>
        <w:t xml:space="preserve">El ciclo PI → TC → PI tiene dos positivos: refuerzo. El ciclo PI → PV → TC → PI tiene un negativo: balance. Al comienzo abundan susceptibles y el aumento de infectados favorece los contagios. Después quedan pocos vulnerables y el flujo de contagios disminuye. La curva de PI crece en S hacia 100; PV disminuye hacia cero; TC sube y luego baja. El máximo de TC se produce en PI = PV = 50, con 9.375 personas/unidad de tiempo. </w:t>
      </w:r>
      <w:r>
        <w:rPr>
          <w:b/>
          <w:bCs/>
        </w:rPr>
        <w:t xml:space="preserve">Que disminuyan los contagios nuevos no significa que disminuyan los infectados acumulados.</w:t>
      </w:r>
    </w:p>
    <w:p>
      <w:pPr>
        <w:pStyle w:val="Normal"/>
      </w:pPr>
      <w:r>
        <w:t xml:space="preserve">PV es auxiliar en esta representación porque se calcula con </w:t>
      </w:r>
      <w:r>
        <w:rPr>
          <w:rFonts w:ascii="Source Code Pro" w:cs="Source Code Pro" w:eastAsia="Source Code Pro" w:hAnsi="Source Code Pro"/>
          <w:sz w:val="18"/>
          <w:szCs w:val="18"/>
        </w:rPr>
        <w:t xml:space="preserve">PT − PI</w:t>
      </w:r>
      <w:r>
        <w:t xml:space="preserve">; podría ser un segundo nivel en otra representación que transfiriera personas de susceptibles a infectados. No se debe añadir una salida de PI sólo porque exista PV. Tampoco debe confundirse «población infectada» con «nuevos contagios». En este modelo, PI permanece infectada porque no se incluyó recuperación: es un supuesto, no una conclusión general sobre enfermedades.</w:t>
      </w:r>
    </w:p>
    <w:p>
      <w:pPr>
        <w:pStyle w:val="Normal"/>
      </w:pPr>
      <w:r>
        <w:t xml:space="preserve">Las personas fraccionarias son una aproximación agregada del modelo continuo. Redondear el nivel después de cada paso cambia las ecuaciones ejecutadas. Puede redondearse para comunicar un resultado, explicando esa presentación, sin realimentar el redondeo como si fuera parte del modelo. En C19 una elección inicial inadecuada de parámetros produce valores desbordados; ejecutar no valida, y los negativos o valores mayores que la población total exigen revisar reglas, unidades, valores y paso temporal.</w:t>
      </w:r>
    </w:p>
    <w:p>
      <w:pPr>
        <w:pStyle w:val="Normal"/>
      </w:pPr>
      <w:r>
        <w:rPr>
          <w:b/>
          <w:bCs/>
        </w:rPr>
        <w:t xml:space="preserve">Erratas de L15:</w:t>
      </w:r>
      <w:r>
        <w:t xml:space="preserve"> en la página PDF 43 el texto intercambia PT y PV al clasificar auxiliar/exógena. Las ecuaciones y los diagramas establecen inequívocamente PV como auxiliar y PT como población total constante. En PDF 49, lo que disminuye durante la difusión es la población vulnerable, no la población total.</w:t>
      </w:r>
    </w:p>
    <w:p>
      <w:pPr>
        <w:pStyle w:val="Heading3"/>
      </w:pPr>
      <w:bookmarkStart w:name="b_lectura_c2" w:id="4461"/>
      <w:r>
        <w:t xml:space="preserve">4.5.2 Francisco y sus libros: objetivo no equivale a equilibrio</w:t>
      </w:r>
      <w:bookmarkEnd w:id="4461"/>
    </w:p>
    <w:p>
      <w:pPr>
        <w:pStyle w:val="Normal"/>
      </w:pPr>
      <w:r>
        <w:t xml:space="preserve">Caso original de C20: Francisco empieza con 20 libros sin leer; su tío desea que tenga 15; cada mes compra el 75 % de la diferencia entre lo deseado y lo disponible; Francisco lee el 50 % de sus libros pendientes por mes. [C20:00:49:00–01:42:00; modelo del portal </w:t>
      </w:r>
      <w:r>
        <w:rPr>
          <w:rFonts w:ascii="Source Code Pro" w:cs="Source Code Pro" w:eastAsia="Source Code Pro" w:hAnsi="Source Code Pro"/>
          <w:sz w:val="18"/>
          <w:szCs w:val="18"/>
        </w:rPr>
        <w:t xml:space="preserve">francisco.ts</w:t>
      </w:r>
      <w:r>
        <w:t xml:space="preserve">]</w:t>
      </w:r>
    </w:p>
    <w:p>
      <w:pPr>
        <w:pStyle w:val="Codigo"/>
      </w:pPr>
      <w:r>
        <w:t xml:space="preserve">N = libros sin leer [libros]</w:t>
      </w:r>
    </w:p>
    <w:p>
      <w:pPr>
        <w:pStyle w:val="Codigo"/>
      </w:pPr>
      <w:r>
        <w:t xml:space="preserve">Deseados = 15 [libros]</w:t>
      </w:r>
    </w:p>
    <w:p>
      <w:pPr>
        <w:pStyle w:val="Codigo"/>
      </w:pPr>
      <w:r>
        <w:t xml:space="preserve">Brecha = Deseados − N [libros]</w:t>
      </w:r>
    </w:p>
    <w:p>
      <w:pPr>
        <w:pStyle w:val="Codigo"/>
      </w:pPr>
      <w:r>
        <w:t xml:space="preserve">Compras = 0.75/mes × Brecha [libros/mes]</w:t>
      </w:r>
    </w:p>
    <w:p>
      <w:pPr>
        <w:pStyle w:val="Codigo"/>
      </w:pPr>
      <w:r>
        <w:t xml:space="preserve">Lecturas = 0.50/mes × N [libros/mes]</w:t>
      </w:r>
    </w:p>
    <w:p>
      <w:pPr>
        <w:pStyle w:val="Codigo"/>
      </w:pPr>
      <w:r>
        <w:t xml:space="preserve">N = INTEG(Compras − Lecturas, 20)</w:t>
      </w:r>
    </w:p>
    <w:p>
      <w:pPr>
        <w:pStyle w:val="Normal"/>
      </w:pPr>
      <w:r>
        <w:t xml:space="preserve">En la formulación original, con N = 20, las compras son −3.75 libros/mes y las lecturas 10 libros/mes. El primer resultado de Euler mensual es </w:t>
      </w:r>
      <w:r>
        <w:rPr>
          <w:rFonts w:ascii="Source Code Pro" w:cs="Source Code Pro" w:eastAsia="Source Code Pro" w:hAnsi="Source Code Pro"/>
          <w:sz w:val="18"/>
          <w:szCs w:val="18"/>
        </w:rPr>
        <w:t xml:space="preserve">20 + (−3.75 − 10) × 1 = 6.25</w:t>
      </w:r>
      <w:r>
        <w:t xml:space="preserve">. Luego sigue 9.6875, 8.828125, 9.04296875… La aritmética de la ecuación es correcta, pero </w:t>
      </w:r>
      <w:r>
        <w:rPr>
          <w:b/>
          <w:bCs/>
        </w:rPr>
        <w:t xml:space="preserve">comprar una cantidad negativa no representa adquirir libros</w:t>
      </w:r>
      <w:r>
        <w:t xml:space="preserve">. Puede reinterpretarse como una retirada, o modificar la regla; no hay que ocultar el problema del supuesto.</w:t>
      </w:r>
    </w:p>
    <w:p>
      <w:pPr>
        <w:pStyle w:val="Normal"/>
      </w:pPr>
      <w:r>
        <w:t xml:space="preserve">La variante del portal restringe compras:</w:t>
      </w:r>
    </w:p>
    <w:p>
      <w:pPr>
        <w:pStyle w:val="Codigo"/>
      </w:pPr>
      <w:r>
        <w:t xml:space="preserve">Compras = 0.75/mes × MAX(0, 15 − N)</w:t>
      </w:r>
    </w:p>
    <w:p>
      <w:pPr>
        <w:pStyle w:val="Normal"/>
      </w:pPr>
      <w:r>
        <w:t xml:space="preserve">Así, en N = 20, compra cero, lee diez y termina con diez. Después aparecen 8.75, 9.0625… Es una </w:t>
      </w:r>
      <w:r>
        <w:rPr>
          <w:b/>
          <w:bCs/>
        </w:rPr>
        <w:t xml:space="preserve">corrección editorial identificada</w:t>
      </w:r>
      <w:r>
        <w:t xml:space="preserve">, no la ecuación implementada originalmente en clase; el profesor menciona la necesidad de una restricción sin desarrollarla allí. [C20:01:35:14–01:35:26]</w:t>
      </w:r>
    </w:p>
    <w:p>
      <w:pPr>
        <w:pStyle w:val="Normal"/>
      </w:pPr>
      <w:r>
        <w:t xml:space="preserve">En N = 15, compras = 0 y lecturas = 7.5 libros/mes: el nivel disminuiría. Por tanto, 15 es la referencia de la política de compra, no el equilibrio. Para encontrarlo:</w:t>
      </w:r>
    </w:p>
    <w:p>
      <w:pPr>
        <w:pStyle w:val="Codigo"/>
      </w:pPr>
      <w:r>
        <w:t xml:space="preserve">0.75 × (15 − N*) = 0.50 × N*</w:t>
      </w:r>
    </w:p>
    <w:p>
      <w:pPr>
        <w:pStyle w:val="Codigo"/>
      </w:pPr>
      <w:r>
        <w:t xml:space="preserve">11.25 = 1.25 × N*</w:t>
      </w:r>
    </w:p>
    <w:p>
      <w:pPr>
        <w:pStyle w:val="Codigo"/>
      </w:pPr>
      <w:r>
        <w:t xml:space="preserve">N* = 9 libros</w:t>
      </w:r>
    </w:p>
    <w:p>
      <w:pPr>
        <w:pStyle w:val="Normal"/>
      </w:pPr>
      <w:r>
        <w:t xml:space="preserve">Allí se compran y leen 4.5 libros/mes. La variante con compras no negativas tiene el mismo equilibrio en este caso, porque 9 está por debajo de 15 y la restricción no se activa. En general, con adquisición a, lectura b y referencia M, </w:t>
      </w:r>
      <w:r>
        <w:rPr>
          <w:rFonts w:ascii="Source Code Pro" w:cs="Source Code Pro" w:eastAsia="Source Code Pro" w:hAnsi="Source Code Pro"/>
          <w:sz w:val="18"/>
          <w:szCs w:val="18"/>
        </w:rPr>
        <w:t xml:space="preserve">N* = aM/(a+b)</w:t>
      </w:r>
      <w:r>
        <w:t xml:space="preserve"> bajo estas reglas. Para sostener 15 con a = 0.75 y b = 0.5, la referencia debería ser 25, o debería modificarse la política para reemplazar explícitamente las lecturas. No basta declarar la meta sin comprobar los flujos.</w:t>
      </w:r>
    </w:p>
    <w:p>
      <w:pPr>
        <w:pStyle w:val="Normal"/>
      </w:pPr>
      <w:r>
        <w:t xml:space="preserve">Hay dos balances: N reduce brecha, brecha aumenta compras y compras aumenta N; N aumenta lecturas y lecturas reduce N. El signo positivo impreso en una captura para el lazo de compra es un error. Un resultado que oscila no transforma estos lazos en refuerzo.</w:t>
      </w:r>
    </w:p>
    <w:p>
      <w:pPr>
        <w:pStyle w:val="Normal"/>
      </w:pPr>
      <w:r>
        <w:t xml:space="preserve">Además, las oscilaciones de Euler mensual requieren interpretación: para la ecuación sin restricción, </w:t>
      </w:r>
      <w:r>
        <w:rPr>
          <w:rFonts w:ascii="Source Code Pro" w:cs="Source Code Pro" w:eastAsia="Source Code Pro" w:hAnsi="Source Code Pro"/>
          <w:sz w:val="18"/>
          <w:szCs w:val="18"/>
        </w:rPr>
        <w:t xml:space="preserve">N_siguiente − 9 = −0.25 × (N_actual − 9)</w:t>
      </w:r>
      <w:r>
        <w:t xml:space="preserve">. El error cambia de lado y se reduce. La solución continua es </w:t>
      </w:r>
      <w:r>
        <w:rPr>
          <w:rFonts w:ascii="Source Code Pro" w:cs="Source Code Pro" w:eastAsia="Source Code Pro" w:hAnsi="Source Code Pro"/>
          <w:sz w:val="18"/>
          <w:szCs w:val="18"/>
        </w:rPr>
        <w:t xml:space="preserve">N(t) = 9 + 11e^(−1.25t)</w:t>
      </w:r>
      <w:r>
        <w:t xml:space="preserve">, que baja sin oscilar. Por eso no debe atribuirse toda oscilación a una demora física: puede proceder del paso de cálculo o de una regla de ajuste discreta. «Lecturas» es aquí flujo de libros/mes, no un nivel de todos los libros leídos históricamente; para eso haría falta otro acumulador.</w:t>
      </w:r>
    </w:p>
    <w:p>
      <w:pPr>
        <w:pStyle w:val="Heading3"/>
      </w:pPr>
      <w:bookmarkStart w:name="b_lectura_c3" w:id="4462"/>
      <w:r>
        <w:t xml:space="preserve">4.5.3 Préstamo bancario: saldo, tasa y horizonte</w:t>
      </w:r>
      <w:bookmarkEnd w:id="4462"/>
    </w:p>
    <w:p>
      <w:pPr>
        <w:pStyle w:val="Normal"/>
      </w:pPr>
      <w:r>
        <w:t xml:space="preserve">La perspectiva 1 de las diapositivas supone que </w:t>
      </w:r>
      <w:r>
        <w:rPr>
          <w:b/>
          <w:bCs/>
        </w:rPr>
        <w:t xml:space="preserve">no se paga el préstamo</w:t>
      </w:r>
      <w:r>
        <w:t xml:space="preserve"> y los intereses se acumulan. Es un modelo didáctico de deuda, no una tabla completa de amortización. [A4:p23,33–35; C21]</w:t>
      </w:r>
    </w:p>
    <w:p>
      <w:pPr>
        <w:pStyle w:val="Codigo"/>
      </w:pPr>
      <w:r>
        <w:t xml:space="preserve">Deuda = INTEG(Intereses, Deuda_inicial)</w:t>
      </w:r>
    </w:p>
    <w:p>
      <w:pPr>
        <w:pStyle w:val="Codigo"/>
      </w:pPr>
      <w:r>
        <w:t xml:space="preserve">Intereses = tasa mensual × Deuda</w:t>
      </w:r>
    </w:p>
    <w:p>
      <w:pPr>
        <w:pStyle w:val="Normal"/>
      </w:pPr>
      <w:r>
        <w:t xml:space="preserve">Banco A: 2,000 dólares, 5 % mensual. Banco B: 1,000 dólares, 10 % mensual. Ambos generan inicialmente 100 dólares/mes, pero B crece proporcionalmente más rápido. Con pasos de un mes, </w:t>
      </w:r>
      <w:r>
        <w:rPr>
          <w:rFonts w:ascii="Source Code Pro" w:cs="Source Code Pro" w:eastAsia="Source Code Pro" w:hAnsi="Source Code Pro"/>
          <w:sz w:val="18"/>
          <w:szCs w:val="18"/>
        </w:rPr>
        <w:t xml:space="preserve">Deuda_n = Deuda_inicial × (1 + tasa)^n</w:t>
      </w:r>
      <w:r>
        <w:t xml:space="preserve">:</w:t>
      </w:r>
    </w:p>
    <w:tbl>
      <w:tblPr>
        <w:tblW w:type="dxa" w:w="9632"/>
        <w:tblBorders>
          <w:top w:val="single" w:color="C5D5DB" w:sz="4"/>
          <w:left w:val="single" w:color="C5D5DB" w:sz="4"/>
          <w:bottom w:val="single" w:color="C5D5DB" w:sz="4"/>
          <w:right w:val="single" w:color="C5D5DB" w:sz="4"/>
          <w:insideH w:val="single" w:color="E4E9EB" w:sz="3"/>
          <w:insideV w:val="single" w:color="E4E9EB" w:sz="3"/>
        </w:tblBorders>
        <w:tblLayout w:type="fixed"/>
      </w:tblPr>
      <w:tblGrid>
        <w:gridCol w:w="2408"/>
        <w:gridCol w:w="2408"/>
        <w:gridCol w:w="2408"/>
        <w:gridCol w:w="2408"/>
      </w:tblGrid>
      <w:tr>
        <w:trPr>
          <w:cantSplit/>
          <w:tblHeader/>
        </w:trPr>
        <w:tc>
          <w:tcPr>
            <w:tcW w:type="dxa" w:w="2408"/>
            <w:shd w:fill="DFEAF0" w:val="clear"/>
            <w:tcMar>
              <w:top w:type="dxa" w:w="80"/>
              <w:left w:type="dxa" w:w="100"/>
              <w:bottom w:type="dxa" w:w="80"/>
              <w:right w:type="dxa" w:w="100"/>
            </w:tcMar>
          </w:tcPr>
          <w:p>
            <w:pPr>
              <w:pStyle w:val="Tabla"/>
            </w:pPr>
            <w:r>
              <w:rPr>
                <w:b/>
                <w:bCs/>
              </w:rPr>
              <w:t xml:space="preserve">Horizonte</w:t>
            </w:r>
          </w:p>
        </w:tc>
        <w:tc>
          <w:tcPr>
            <w:tcW w:type="dxa" w:w="2408"/>
            <w:shd w:fill="DFEAF0" w:val="clear"/>
            <w:tcMar>
              <w:top w:type="dxa" w:w="80"/>
              <w:left w:type="dxa" w:w="100"/>
              <w:bottom w:type="dxa" w:w="80"/>
              <w:right w:type="dxa" w:w="100"/>
            </w:tcMar>
          </w:tcPr>
          <w:p>
            <w:pPr>
              <w:pStyle w:val="Tabla"/>
            </w:pPr>
            <w:r>
              <w:rPr>
                <w:b/>
                <w:bCs/>
              </w:rPr>
              <w:t xml:space="preserve">Banco A, 5 %</w:t>
            </w:r>
          </w:p>
        </w:tc>
        <w:tc>
          <w:tcPr>
            <w:tcW w:type="dxa" w:w="2408"/>
            <w:shd w:fill="DFEAF0" w:val="clear"/>
            <w:tcMar>
              <w:top w:type="dxa" w:w="80"/>
              <w:left w:type="dxa" w:w="100"/>
              <w:bottom w:type="dxa" w:w="80"/>
              <w:right w:type="dxa" w:w="100"/>
            </w:tcMar>
          </w:tcPr>
          <w:p>
            <w:pPr>
              <w:pStyle w:val="Tabla"/>
            </w:pPr>
            <w:r>
              <w:rPr>
                <w:b/>
                <w:bCs/>
              </w:rPr>
              <w:t xml:space="preserve">Banco B, 10 %</w:t>
            </w:r>
          </w:p>
        </w:tc>
        <w:tc>
          <w:tcPr>
            <w:tcW w:type="dxa" w:w="2408"/>
            <w:shd w:fill="DFEAF0" w:val="clear"/>
            <w:tcMar>
              <w:top w:type="dxa" w:w="80"/>
              <w:left w:type="dxa" w:w="100"/>
              <w:bottom w:type="dxa" w:w="80"/>
              <w:right w:type="dxa" w:w="100"/>
            </w:tcMar>
          </w:tcPr>
          <w:p>
            <w:pPr>
              <w:pStyle w:val="Tabla"/>
            </w:pPr>
            <w:r>
              <w:rPr>
                <w:b/>
                <w:bCs/>
              </w:rPr>
              <w:t xml:space="preserve">Menor deuda acumulada</w:t>
            </w:r>
          </w:p>
        </w:tc>
      </w:tr>
      <w:tr>
        <w:trPr>
          <w:cantSplit/>
          <w:tblHeader w:val="off"/>
        </w:trPr>
        <w:tc>
          <w:tcPr>
            <w:tcW w:type="dxa" w:w="2408"/>
            <w:tcMar>
              <w:top w:type="dxa" w:w="80"/>
              <w:left w:type="dxa" w:w="100"/>
              <w:bottom w:type="dxa" w:w="80"/>
              <w:right w:type="dxa" w:w="100"/>
            </w:tcMar>
          </w:tcPr>
          <w:p>
            <w:pPr>
              <w:pStyle w:val="Tabla"/>
            </w:pPr>
            <w:r>
              <w:t xml:space="preserve">12 meses</w:t>
            </w:r>
          </w:p>
        </w:tc>
        <w:tc>
          <w:tcPr>
            <w:tcW w:type="dxa" w:w="2408"/>
            <w:tcMar>
              <w:top w:type="dxa" w:w="80"/>
              <w:left w:type="dxa" w:w="100"/>
              <w:bottom w:type="dxa" w:w="80"/>
              <w:right w:type="dxa" w:w="100"/>
            </w:tcMar>
          </w:tcPr>
          <w:p>
            <w:pPr>
              <w:pStyle w:val="Tabla"/>
            </w:pPr>
            <w:r>
              <w:t xml:space="preserve">3,591.71</w:t>
            </w:r>
          </w:p>
        </w:tc>
        <w:tc>
          <w:tcPr>
            <w:tcW w:type="dxa" w:w="2408"/>
            <w:tcMar>
              <w:top w:type="dxa" w:w="80"/>
              <w:left w:type="dxa" w:w="100"/>
              <w:bottom w:type="dxa" w:w="80"/>
              <w:right w:type="dxa" w:w="100"/>
            </w:tcMar>
          </w:tcPr>
          <w:p>
            <w:pPr>
              <w:pStyle w:val="Tabla"/>
            </w:pPr>
            <w:r>
              <w:t xml:space="preserve">3,138.43</w:t>
            </w:r>
          </w:p>
        </w:tc>
        <w:tc>
          <w:tcPr>
            <w:tcW w:type="dxa" w:w="2408"/>
            <w:tcMar>
              <w:top w:type="dxa" w:w="80"/>
              <w:left w:type="dxa" w:w="100"/>
              <w:bottom w:type="dxa" w:w="80"/>
              <w:right w:type="dxa" w:w="100"/>
            </w:tcMar>
          </w:tcPr>
          <w:p>
            <w:pPr>
              <w:pStyle w:val="Tabla"/>
            </w:pPr>
            <w:r>
              <w:t xml:space="preserve">B</w:t>
            </w:r>
          </w:p>
        </w:tc>
      </w:tr>
      <w:tr>
        <w:trPr>
          <w:cantSplit/>
          <w:tblHeader w:val="off"/>
        </w:trPr>
        <w:tc>
          <w:tcPr>
            <w:tcW w:type="dxa" w:w="2408"/>
            <w:tcMar>
              <w:top w:type="dxa" w:w="80"/>
              <w:left w:type="dxa" w:w="100"/>
              <w:bottom w:type="dxa" w:w="80"/>
              <w:right w:type="dxa" w:w="100"/>
            </w:tcMar>
          </w:tcPr>
          <w:p>
            <w:pPr>
              <w:pStyle w:val="Tabla"/>
            </w:pPr>
            <w:r>
              <w:t xml:space="preserve">14 meses</w:t>
            </w:r>
          </w:p>
        </w:tc>
        <w:tc>
          <w:tcPr>
            <w:tcW w:type="dxa" w:w="2408"/>
            <w:tcMar>
              <w:top w:type="dxa" w:w="80"/>
              <w:left w:type="dxa" w:w="100"/>
              <w:bottom w:type="dxa" w:w="80"/>
              <w:right w:type="dxa" w:w="100"/>
            </w:tcMar>
          </w:tcPr>
          <w:p>
            <w:pPr>
              <w:pStyle w:val="Tabla"/>
            </w:pPr>
            <w:r>
              <w:t xml:space="preserve">3,959.86</w:t>
            </w:r>
          </w:p>
        </w:tc>
        <w:tc>
          <w:tcPr>
            <w:tcW w:type="dxa" w:w="2408"/>
            <w:tcMar>
              <w:top w:type="dxa" w:w="80"/>
              <w:left w:type="dxa" w:w="100"/>
              <w:bottom w:type="dxa" w:w="80"/>
              <w:right w:type="dxa" w:w="100"/>
            </w:tcMar>
          </w:tcPr>
          <w:p>
            <w:pPr>
              <w:pStyle w:val="Tabla"/>
            </w:pPr>
            <w:r>
              <w:t xml:space="preserve">3,797.50</w:t>
            </w:r>
          </w:p>
        </w:tc>
        <w:tc>
          <w:tcPr>
            <w:tcW w:type="dxa" w:w="2408"/>
            <w:tcMar>
              <w:top w:type="dxa" w:w="80"/>
              <w:left w:type="dxa" w:w="100"/>
              <w:bottom w:type="dxa" w:w="80"/>
              <w:right w:type="dxa" w:w="100"/>
            </w:tcMar>
          </w:tcPr>
          <w:p>
            <w:pPr>
              <w:pStyle w:val="Tabla"/>
            </w:pPr>
            <w:r>
              <w:t xml:space="preserve">B</w:t>
            </w:r>
          </w:p>
        </w:tc>
      </w:tr>
      <w:tr>
        <w:trPr>
          <w:cantSplit/>
          <w:tblHeader w:val="off"/>
        </w:trPr>
        <w:tc>
          <w:tcPr>
            <w:tcW w:type="dxa" w:w="2408"/>
            <w:tcMar>
              <w:top w:type="dxa" w:w="80"/>
              <w:left w:type="dxa" w:w="100"/>
              <w:bottom w:type="dxa" w:w="80"/>
              <w:right w:type="dxa" w:w="100"/>
            </w:tcMar>
          </w:tcPr>
          <w:p>
            <w:pPr>
              <w:pStyle w:val="Tabla"/>
            </w:pPr>
            <w:r>
              <w:t xml:space="preserve">15 meses</w:t>
            </w:r>
          </w:p>
        </w:tc>
        <w:tc>
          <w:tcPr>
            <w:tcW w:type="dxa" w:w="2408"/>
            <w:tcMar>
              <w:top w:type="dxa" w:w="80"/>
              <w:left w:type="dxa" w:w="100"/>
              <w:bottom w:type="dxa" w:w="80"/>
              <w:right w:type="dxa" w:w="100"/>
            </w:tcMar>
          </w:tcPr>
          <w:p>
            <w:pPr>
              <w:pStyle w:val="Tabla"/>
            </w:pPr>
            <w:r>
              <w:t xml:space="preserve">4,157.86</w:t>
            </w:r>
          </w:p>
        </w:tc>
        <w:tc>
          <w:tcPr>
            <w:tcW w:type="dxa" w:w="2408"/>
            <w:tcMar>
              <w:top w:type="dxa" w:w="80"/>
              <w:left w:type="dxa" w:w="100"/>
              <w:bottom w:type="dxa" w:w="80"/>
              <w:right w:type="dxa" w:w="100"/>
            </w:tcMar>
          </w:tcPr>
          <w:p>
            <w:pPr>
              <w:pStyle w:val="Tabla"/>
            </w:pPr>
            <w:r>
              <w:t xml:space="preserve">4,177.25</w:t>
            </w:r>
          </w:p>
        </w:tc>
        <w:tc>
          <w:tcPr>
            <w:tcW w:type="dxa" w:w="2408"/>
            <w:tcMar>
              <w:top w:type="dxa" w:w="80"/>
              <w:left w:type="dxa" w:w="100"/>
              <w:bottom w:type="dxa" w:w="80"/>
              <w:right w:type="dxa" w:w="100"/>
            </w:tcMar>
          </w:tcPr>
          <w:p>
            <w:pPr>
              <w:pStyle w:val="Tabla"/>
            </w:pPr>
            <w:r>
              <w:t xml:space="preserve">A</w:t>
            </w:r>
          </w:p>
        </w:tc>
      </w:tr>
      <w:tr>
        <w:trPr>
          <w:cantSplit/>
          <w:tblHeader w:val="off"/>
        </w:trPr>
        <w:tc>
          <w:tcPr>
            <w:tcW w:type="dxa" w:w="2408"/>
            <w:tcMar>
              <w:top w:type="dxa" w:w="80"/>
              <w:left w:type="dxa" w:w="100"/>
              <w:bottom w:type="dxa" w:w="80"/>
              <w:right w:type="dxa" w:w="100"/>
            </w:tcMar>
          </w:tcPr>
          <w:p>
            <w:pPr>
              <w:pStyle w:val="Tabla"/>
            </w:pPr>
            <w:r>
              <w:t xml:space="preserve">24 meses</w:t>
            </w:r>
          </w:p>
        </w:tc>
        <w:tc>
          <w:tcPr>
            <w:tcW w:type="dxa" w:w="2408"/>
            <w:tcMar>
              <w:top w:type="dxa" w:w="80"/>
              <w:left w:type="dxa" w:w="100"/>
              <w:bottom w:type="dxa" w:w="80"/>
              <w:right w:type="dxa" w:w="100"/>
            </w:tcMar>
          </w:tcPr>
          <w:p>
            <w:pPr>
              <w:pStyle w:val="Tabla"/>
            </w:pPr>
            <w:r>
              <w:t xml:space="preserve">6,450.20</w:t>
            </w:r>
          </w:p>
        </w:tc>
        <w:tc>
          <w:tcPr>
            <w:tcW w:type="dxa" w:w="2408"/>
            <w:tcMar>
              <w:top w:type="dxa" w:w="80"/>
              <w:left w:type="dxa" w:w="100"/>
              <w:bottom w:type="dxa" w:w="80"/>
              <w:right w:type="dxa" w:w="100"/>
            </w:tcMar>
          </w:tcPr>
          <w:p>
            <w:pPr>
              <w:pStyle w:val="Tabla"/>
            </w:pPr>
            <w:r>
              <w:t xml:space="preserve">9,849.73</w:t>
            </w:r>
          </w:p>
        </w:tc>
        <w:tc>
          <w:tcPr>
            <w:tcW w:type="dxa" w:w="2408"/>
            <w:tcMar>
              <w:top w:type="dxa" w:w="80"/>
              <w:left w:type="dxa" w:w="100"/>
              <w:bottom w:type="dxa" w:w="80"/>
              <w:right w:type="dxa" w:w="100"/>
            </w:tcMar>
          </w:tcPr>
          <w:p>
            <w:pPr>
              <w:pStyle w:val="Tabla"/>
            </w:pPr>
            <w:r>
              <w:t xml:space="preserve">A</w:t>
            </w:r>
          </w:p>
        </w:tc>
      </w:tr>
    </w:tbl>
    <w:p>
      <w:pPr>
        <w:pStyle w:val="Normal"/>
      </w:pPr>
      <w:r>
        <w:t xml:space="preserve">La comparación cambia entre los meses 14 y 15. Ni «la tasa más baja siempre gana» ni «el principal menor siempre gana» responden a todos los horizontes. Se deben comparar las deudas en el mismo momento con las condiciones correctas.</w:t>
      </w:r>
    </w:p>
    <w:p>
      <w:pPr>
        <w:pStyle w:val="Normal"/>
      </w:pPr>
      <w:r>
        <w:t xml:space="preserve">Con tasas negociadas de A = 2 % y B = 4 %, manteniendo 2,000 y 1,000 iniciales y 24 meses, resultan A = 3,216.87 y B = 2,563.30: conviene B según el criterio de menor deuda acumulada. Una conclusión oral de C21 que favorece A en este escenario contradice el cálculo; la tabla y ecuaciones permiten resolverlo. Estos valores son cálculos derivados con paso mensual, no cifras impresas en el enunciado.</w:t>
      </w:r>
    </w:p>
    <w:p>
      <w:pPr>
        <w:pStyle w:val="Normal"/>
      </w:pPr>
      <w:r>
        <w:t xml:space="preserve">La perspectiva 2 incorpora pagos: </w:t>
      </w:r>
      <w:r>
        <w:rPr>
          <w:rFonts w:ascii="Source Code Pro" w:cs="Source Code Pro" w:eastAsia="Source Code Pro" w:hAnsi="Source Code Pro"/>
          <w:sz w:val="18"/>
          <w:szCs w:val="18"/>
        </w:rPr>
        <w:t xml:space="preserve">Deuda = INTEG(Intereses − Pagos, Deuda_inicial)</w:t>
      </w:r>
      <w:r>
        <w:t xml:space="preserve">. El pago total acumulado es un concepto diferente del saldo pendiente y requeriría otro nivel si interesa medirlo. Debe aclararse si los intereses se calculan sobre principal original o saldo restante, cómo se determina la cuota y cuándo se paga. No se pueden introducir esas reglas de forma silenciosa en la perspectiva 1. En A4:p35, a principal fijo, ampliar el plazo reduce la componente mensual de amortización; la relación positiva dibujada entre duración y pago mensual necesita corregirse según esa interpretación.</w:t>
      </w:r>
    </w:p>
    <w:p>
      <w:pPr>
        <w:pStyle w:val="Normal"/>
      </w:pPr>
      <w:r>
        <w:rPr>
          <w:b/>
          <w:bCs/>
        </w:rPr>
        <w:t xml:space="preserve">Cruce y modelo temporal.</w:t>
      </w:r>
      <w:r>
        <w:t xml:space="preserve"> En la actualización mensual, igualar 2000(1.05)^n = 1000(1.10)^n da n = ln(2)/ln(1.10/1.05), aproximadamente 14.9 meses. En la formulación continua, igualar 2000e^(0.05t) = 1000e^(0.10t) da t = ln(2)/0.05, aproximadamente 13.86 meses. Son modelos temporales diferentes: no mezclar esa solución continua con una tabla de capitalización mensual.</w:t>
      </w:r>
    </w:p>
    <w:p>
      <w:pPr>
        <w:pStyle w:val="Heading3"/>
      </w:pPr>
      <w:bookmarkStart w:name="b_lectura_c4" w:id="4463"/>
      <w:r>
        <w:t xml:space="preserve">4.5.4 Instalación de teléfonos: acumulado creciente y ritmo decreciente</w:t>
      </w:r>
      <w:bookmarkEnd w:id="4463"/>
    </w:p>
    <w:p>
      <w:pPr>
        <w:pStyle w:val="Normal"/>
      </w:pPr>
      <w:r>
        <w:t xml:space="preserve">El enunciado de A4:p37 tiene 300 casas, cero teléfonos al inicio y una adquisición mensual del 9 % de las familias todavía sin servicio. También propone 4 % con 300 casas y 9 % con 500. La interpretación proporcional del portal es:</w:t>
      </w:r>
    </w:p>
    <w:p>
      <w:pPr>
        <w:pStyle w:val="Codigo"/>
      </w:pPr>
      <w:r>
        <w:t xml:space="preserve">Instalados = INTEG(Instalaciones, 0) [teléfonos]</w:t>
      </w:r>
    </w:p>
    <w:p>
      <w:pPr>
        <w:pStyle w:val="Codigo"/>
      </w:pPr>
      <w:r>
        <w:t xml:space="preserve">Faltantes = Casas − Instalados [teléfonos]</w:t>
      </w:r>
    </w:p>
    <w:p>
      <w:pPr>
        <w:pStyle w:val="Codigo"/>
      </w:pPr>
      <w:r>
        <w:t xml:space="preserve">Instalaciones = tasa × Faltantes [teléfonos/mes]</w:t>
      </w:r>
    </w:p>
    <w:p>
      <w:pPr>
        <w:pStyle w:val="Normal"/>
      </w:pPr>
      <w:r>
        <w:t xml:space="preserve">Primero se instalan </w:t>
      </w:r>
      <w:r>
        <w:rPr>
          <w:rFonts w:ascii="Source Code Pro" w:cs="Source Code Pro" w:eastAsia="Source Code Pro" w:hAnsi="Source Code Pro"/>
          <w:sz w:val="18"/>
          <w:szCs w:val="18"/>
        </w:rPr>
        <w:t xml:space="preserve">0.09 × 300 = 27</w:t>
      </w:r>
      <w:r>
        <w:t xml:space="preserve">; quedan 273. El segundo mes se instalan </w:t>
      </w:r>
      <w:r>
        <w:rPr>
          <w:rFonts w:ascii="Source Code Pro" w:cs="Source Code Pro" w:eastAsia="Source Code Pro" w:hAnsi="Source Code Pro"/>
          <w:sz w:val="18"/>
          <w:szCs w:val="18"/>
        </w:rPr>
        <w:t xml:space="preserve">0.09 × 273 = 24.57</w:t>
      </w:r>
      <w:r>
        <w:t xml:space="preserve">, acumulando 51.57. Si faltan 200, el 9 % son 18; no hay que hallar un 100 % desconocido cuando ya se conoce la base.</w:t>
      </w:r>
    </w:p>
    <w:p>
      <w:pPr>
        <w:pStyle w:val="Normal"/>
      </w:pPr>
      <w:r>
        <w:t xml:space="preserve">El coeficiente 9 % permanece fijo; el flujo absoluto baja porque disminuye su base. Instalados continúa aumentando, pero cada vez más lentamente. La meta de 300 tampoco disminuye: disminuye el faltante. El ciclo instalados → faltantes → instalaciones → instalados tiene signos −, +, + y es balance.</w:t>
      </w:r>
    </w:p>
    <w:p>
      <w:pPr>
        <w:pStyle w:val="Normal"/>
      </w:pPr>
      <w:r>
        <w:t xml:space="preserve">Con pasos mensuales, </w:t>
      </w:r>
      <w:r>
        <w:rPr>
          <w:rFonts w:ascii="Source Code Pro" w:cs="Source Code Pro" w:eastAsia="Source Code Pro" w:hAnsi="Source Code Pro"/>
          <w:sz w:val="18"/>
          <w:szCs w:val="18"/>
        </w:rPr>
        <w:t xml:space="preserve">Instalados_n = H[1 − (1 − r)^n]</w:t>
      </w:r>
      <w:r>
        <w:t xml:space="preserve">. Al mes 12, en el escenario 300/9 %, hay aproximadamente 203.26 instalaciones acumuladas. Con esta regla proporcional continua/agregada nunca se llega exactamente a faltante cero en un número finito de pasos. Para preguntar «¿cuándo están todas?» hay que fijar un criterio operativo:</w:t>
      </w:r>
    </w:p>
    <w:tbl>
      <w:tblPr>
        <w:tblW w:type="dxa" w:w="9632"/>
        <w:tblBorders>
          <w:top w:val="single" w:color="C5D5DB" w:sz="4"/>
          <w:left w:val="single" w:color="C5D5DB" w:sz="4"/>
          <w:bottom w:val="single" w:color="C5D5DB" w:sz="4"/>
          <w:right w:val="single" w:color="C5D5DB" w:sz="4"/>
          <w:insideH w:val="single" w:color="E4E9EB" w:sz="3"/>
          <w:insideV w:val="single" w:color="E4E9EB" w:sz="3"/>
        </w:tblBorders>
        <w:tblLayout w:type="fixed"/>
      </w:tblPr>
      <w:tblGrid>
        <w:gridCol w:w="3212"/>
        <w:gridCol w:w="3210"/>
        <w:gridCol w:w="3210"/>
      </w:tblGrid>
      <w:tr>
        <w:trPr>
          <w:cantSplit/>
          <w:tblHeader/>
        </w:trPr>
        <w:tc>
          <w:tcPr>
            <w:tcW w:type="dxa" w:w="3212"/>
            <w:shd w:fill="DFEAF0" w:val="clear"/>
            <w:tcMar>
              <w:top w:type="dxa" w:w="80"/>
              <w:left w:type="dxa" w:w="100"/>
              <w:bottom w:type="dxa" w:w="80"/>
              <w:right w:type="dxa" w:w="100"/>
            </w:tcMar>
          </w:tcPr>
          <w:p>
            <w:pPr>
              <w:pStyle w:val="Tabla"/>
            </w:pPr>
            <w:r>
              <w:rPr>
                <w:b/>
                <w:bCs/>
              </w:rPr>
              <w:t xml:space="preserve">Escenario</w:t>
            </w:r>
          </w:p>
        </w:tc>
        <w:tc>
          <w:tcPr>
            <w:tcW w:type="dxa" w:w="3210"/>
            <w:shd w:fill="DFEAF0" w:val="clear"/>
            <w:tcMar>
              <w:top w:type="dxa" w:w="80"/>
              <w:left w:type="dxa" w:w="100"/>
              <w:bottom w:type="dxa" w:w="80"/>
              <w:right w:type="dxa" w:w="100"/>
            </w:tcMar>
          </w:tcPr>
          <w:p>
            <w:pPr>
              <w:pStyle w:val="Tabla"/>
            </w:pPr>
            <w:r>
              <w:rPr>
                <w:b/>
                <w:bCs/>
              </w:rPr>
              <w:t xml:space="preserve">Primer mes con menos de una casa pendiente</w:t>
            </w:r>
          </w:p>
        </w:tc>
        <w:tc>
          <w:tcPr>
            <w:tcW w:type="dxa" w:w="3210"/>
            <w:shd w:fill="DFEAF0" w:val="clear"/>
            <w:tcMar>
              <w:top w:type="dxa" w:w="80"/>
              <w:left w:type="dxa" w:w="100"/>
              <w:bottom w:type="dxa" w:w="80"/>
              <w:right w:type="dxa" w:w="100"/>
            </w:tcMar>
          </w:tcPr>
          <w:p>
            <w:pPr>
              <w:pStyle w:val="Tabla"/>
            </w:pPr>
            <w:r>
              <w:rPr>
                <w:b/>
                <w:bCs/>
              </w:rPr>
              <w:t xml:space="preserve">Primer mes con al menos 95 % cubierto</w:t>
            </w:r>
          </w:p>
        </w:tc>
      </w:tr>
      <w:tr>
        <w:trPr>
          <w:cantSplit/>
          <w:tblHeader w:val="off"/>
        </w:trPr>
        <w:tc>
          <w:tcPr>
            <w:tcW w:type="dxa" w:w="3212"/>
            <w:tcMar>
              <w:top w:type="dxa" w:w="80"/>
              <w:left w:type="dxa" w:w="100"/>
              <w:bottom w:type="dxa" w:w="80"/>
              <w:right w:type="dxa" w:w="100"/>
            </w:tcMar>
          </w:tcPr>
          <w:p>
            <w:pPr>
              <w:pStyle w:val="Tabla"/>
            </w:pPr>
            <w:r>
              <w:t xml:space="preserve">300 casas, 9 % mensual</w:t>
            </w:r>
          </w:p>
        </w:tc>
        <w:tc>
          <w:tcPr>
            <w:tcW w:type="dxa" w:w="3210"/>
            <w:tcMar>
              <w:top w:type="dxa" w:w="80"/>
              <w:left w:type="dxa" w:w="100"/>
              <w:bottom w:type="dxa" w:w="80"/>
              <w:right w:type="dxa" w:w="100"/>
            </w:tcMar>
          </w:tcPr>
          <w:p>
            <w:pPr>
              <w:pStyle w:val="Tabla"/>
            </w:pPr>
            <w:r>
              <w:t xml:space="preserve">61</w:t>
            </w:r>
          </w:p>
        </w:tc>
        <w:tc>
          <w:tcPr>
            <w:tcW w:type="dxa" w:w="3210"/>
            <w:tcMar>
              <w:top w:type="dxa" w:w="80"/>
              <w:left w:type="dxa" w:w="100"/>
              <w:bottom w:type="dxa" w:w="80"/>
              <w:right w:type="dxa" w:w="100"/>
            </w:tcMar>
          </w:tcPr>
          <w:p>
            <w:pPr>
              <w:pStyle w:val="Tabla"/>
            </w:pPr>
            <w:r>
              <w:t xml:space="preserve">32</w:t>
            </w:r>
          </w:p>
        </w:tc>
      </w:tr>
      <w:tr>
        <w:trPr>
          <w:cantSplit/>
          <w:tblHeader w:val="off"/>
        </w:trPr>
        <w:tc>
          <w:tcPr>
            <w:tcW w:type="dxa" w:w="3212"/>
            <w:tcMar>
              <w:top w:type="dxa" w:w="80"/>
              <w:left w:type="dxa" w:w="100"/>
              <w:bottom w:type="dxa" w:w="80"/>
              <w:right w:type="dxa" w:w="100"/>
            </w:tcMar>
          </w:tcPr>
          <w:p>
            <w:pPr>
              <w:pStyle w:val="Tabla"/>
            </w:pPr>
            <w:r>
              <w:t xml:space="preserve">300 casas, 4 % mensual</w:t>
            </w:r>
          </w:p>
        </w:tc>
        <w:tc>
          <w:tcPr>
            <w:tcW w:type="dxa" w:w="3210"/>
            <w:tcMar>
              <w:top w:type="dxa" w:w="80"/>
              <w:left w:type="dxa" w:w="100"/>
              <w:bottom w:type="dxa" w:w="80"/>
              <w:right w:type="dxa" w:w="100"/>
            </w:tcMar>
          </w:tcPr>
          <w:p>
            <w:pPr>
              <w:pStyle w:val="Tabla"/>
            </w:pPr>
            <w:r>
              <w:t xml:space="preserve">140</w:t>
            </w:r>
          </w:p>
        </w:tc>
        <w:tc>
          <w:tcPr>
            <w:tcW w:type="dxa" w:w="3210"/>
            <w:tcMar>
              <w:top w:type="dxa" w:w="80"/>
              <w:left w:type="dxa" w:w="100"/>
              <w:bottom w:type="dxa" w:w="80"/>
              <w:right w:type="dxa" w:w="100"/>
            </w:tcMar>
          </w:tcPr>
          <w:p>
            <w:pPr>
              <w:pStyle w:val="Tabla"/>
            </w:pPr>
            <w:r>
              <w:t xml:space="preserve">74</w:t>
            </w:r>
          </w:p>
        </w:tc>
      </w:tr>
      <w:tr>
        <w:trPr>
          <w:cantSplit/>
          <w:tblHeader w:val="off"/>
        </w:trPr>
        <w:tc>
          <w:tcPr>
            <w:tcW w:type="dxa" w:w="3212"/>
            <w:tcMar>
              <w:top w:type="dxa" w:w="80"/>
              <w:left w:type="dxa" w:w="100"/>
              <w:bottom w:type="dxa" w:w="80"/>
              <w:right w:type="dxa" w:w="100"/>
            </w:tcMar>
          </w:tcPr>
          <w:p>
            <w:pPr>
              <w:pStyle w:val="Tabla"/>
            </w:pPr>
            <w:r>
              <w:t xml:space="preserve">500 casas, 9 % mensual</w:t>
            </w:r>
          </w:p>
        </w:tc>
        <w:tc>
          <w:tcPr>
            <w:tcW w:type="dxa" w:w="3210"/>
            <w:tcMar>
              <w:top w:type="dxa" w:w="80"/>
              <w:left w:type="dxa" w:w="100"/>
              <w:bottom w:type="dxa" w:w="80"/>
              <w:right w:type="dxa" w:w="100"/>
            </w:tcMar>
          </w:tcPr>
          <w:p>
            <w:pPr>
              <w:pStyle w:val="Tabla"/>
            </w:pPr>
            <w:r>
              <w:t xml:space="preserve">66</w:t>
            </w:r>
          </w:p>
        </w:tc>
        <w:tc>
          <w:tcPr>
            <w:tcW w:type="dxa" w:w="3210"/>
            <w:tcMar>
              <w:top w:type="dxa" w:w="80"/>
              <w:left w:type="dxa" w:w="100"/>
              <w:bottom w:type="dxa" w:w="80"/>
              <w:right w:type="dxa" w:w="100"/>
            </w:tcMar>
          </w:tcPr>
          <w:p>
            <w:pPr>
              <w:pStyle w:val="Tabla"/>
            </w:pPr>
            <w:r>
              <w:t xml:space="preserve">32</w:t>
            </w:r>
          </w:p>
        </w:tc>
      </w:tr>
    </w:tbl>
    <w:p>
      <w:pPr>
        <w:pStyle w:val="Normal"/>
      </w:pPr>
      <w:r>
        <w:t xml:space="preserve">Los resultados dependen del criterio. Un mecanismo de instalación de unidades enteras sería otra regla y debería definirse. No se redondea cada paso sin decirlo.</w:t>
      </w:r>
    </w:p>
    <w:p>
      <w:pPr>
        <w:pStyle w:val="Normal"/>
      </w:pPr>
      <w:r>
        <w:rPr>
          <w:b/>
          <w:bCs/>
        </w:rPr>
        <w:t xml:space="preserve">Modelo proporcional frente al detallado del profesor.</w:t>
      </w:r>
      <w:r>
        <w:t xml:space="preserve"> El enunciado también menciona influencia de vecinos. Con tasa fija, esa influencia no aumenta al crecer los instalados: la versión proporcional no incorpora un refuerzo explícito de contagio social. En C24 el profesor prefiere un diagrama más completo en el que las familias influyen en la tasa de uso. Señala un comportamiento parecido, pero no presenta una corrida ni ecuaciones completas para ese diagrama. Sus etiquetas </w:t>
      </w:r>
      <w:r>
        <w:rPr>
          <w:b/>
          <w:bCs/>
        </w:rPr>
        <w:t xml:space="preserve">B1 y B2 son parámetros</w:t>
      </w:r>
      <w:r>
        <w:t xml:space="preserve">, no nombres de ciclos de balance. No hay que inventar sus valores, unidades ni fórmula a partir de las letras. [C24:01:09:50–01:14:49; correcciones de clase24]</w:t>
      </w:r>
    </w:p>
    <w:p>
      <w:pPr>
        <w:pStyle w:val="Heading3"/>
      </w:pPr>
      <w:bookmarkStart w:name="b_lectura_c5" w:id="4464"/>
      <w:r>
        <w:t xml:space="preserve">4.5.5 Población con capacidad de carga K = 6,000</w:t>
      </w:r>
      <w:bookmarkEnd w:id="4464"/>
    </w:p>
    <w:p>
      <w:pPr>
        <w:pStyle w:val="Normal"/>
      </w:pPr>
      <w:r>
        <w:t xml:space="preserve">A4:p28 y p60 presentan población inicial 60, natalidad 0.085 por unidad de tiempo, mortalidad 0.035 y K = 6,000 individuos. El coeficiente de carga es </w:t>
      </w:r>
      <w:r>
        <w:rPr>
          <w:rFonts w:ascii="Source Code Pro" w:cs="Source Code Pro" w:eastAsia="Source Code Pro" w:hAnsi="Source Code Pro"/>
          <w:sz w:val="18"/>
          <w:szCs w:val="18"/>
        </w:rPr>
        <w:t xml:space="preserve">(K − P)/K</w:t>
      </w:r>
      <w:r>
        <w:t xml:space="preserve">, adimensional. La fórmula que rotula «Población» en la lámina describe en realidad su </w:t>
      </w:r>
      <w:r>
        <w:rPr>
          <w:b/>
          <w:bCs/>
        </w:rPr>
        <w:t xml:space="preserve">variación</w:t>
      </w:r>
      <w:r>
        <w:t xml:space="preserve">, porque sus unidades son individuos/tiempo:</w:t>
      </w:r>
    </w:p>
    <w:p>
      <w:pPr>
        <w:pStyle w:val="Codigo"/>
      </w:pPr>
      <w:r>
        <w:t xml:space="preserve">dP/dt = (0.085P − 0.035P) × (K − P)/K</w:t>
      </w:r>
    </w:p>
    <w:p>
      <w:pPr>
        <w:pStyle w:val="Codigo"/>
      </w:pPr>
      <w:r>
        <w:t xml:space="preserve">      = 0.05P × (1 − P/K)</w:t>
      </w:r>
    </w:p>
    <w:p>
      <w:pPr>
        <w:pStyle w:val="Codigo"/>
      </w:pPr>
      <w:r>
        <w:t xml:space="preserve">P = INTEG(0.05P × (1 − P/K), 60)</w:t>
      </w:r>
    </w:p>
    <w:p>
      <w:pPr>
        <w:pStyle w:val="Normal"/>
      </w:pPr>
      <w:r>
        <w:t xml:space="preserve">El coeficiente multiplica al </w:t>
      </w:r>
      <w:r>
        <w:rPr>
          <w:b/>
          <w:bCs/>
        </w:rPr>
        <w:t xml:space="preserve">crecimiento neto</w:t>
      </w:r>
      <w:r>
        <w:t xml:space="preserve">. Puede distribuirse entre ambos términos: nacimientos efectivos </w:t>
      </w:r>
      <w:r>
        <w:rPr>
          <w:rFonts w:ascii="Source Code Pro" w:cs="Source Code Pro" w:eastAsia="Source Code Pro" w:hAnsi="Source Code Pro"/>
          <w:sz w:val="18"/>
          <w:szCs w:val="18"/>
        </w:rPr>
        <w:t xml:space="preserve">0.085P × coeficiente</w:t>
      </w:r>
      <w:r>
        <w:t xml:space="preserve"> y muertes efectivas </w:t>
      </w:r>
      <w:r>
        <w:rPr>
          <w:rFonts w:ascii="Source Code Pro" w:cs="Source Code Pro" w:eastAsia="Source Code Pro" w:hAnsi="Source Code Pro"/>
          <w:sz w:val="18"/>
          <w:szCs w:val="18"/>
        </w:rPr>
        <w:t xml:space="preserve">0.035P × coeficiente</w:t>
      </w:r>
      <w:r>
        <w:t xml:space="preserve">. Multiplicar sólo nacimientos y dejar muertes sin modificar produciría otra ecuación y otro equilibrio, aproximadamente 3,529.41; no reproduce el modelo de estas diapositivas.</w:t>
      </w:r>
    </w:p>
    <w:p>
      <w:pPr>
        <w:pStyle w:val="Normal"/>
      </w:pPr>
      <w:r>
        <w:t xml:space="preserve">Con 0 &lt; P &lt; K, el crecimiento es positivo. Al inicio el factor de carga se aproxima a uno; cerca de K se aproxima a cero. La trayectoria es logística y el crecimiento neto alcanza su máximo en K/2 = 3,000. Su solución continua es </w:t>
      </w:r>
      <w:r>
        <w:rPr>
          <w:rFonts w:ascii="Source Code Pro" w:cs="Source Code Pro" w:eastAsia="Source Code Pro" w:hAnsi="Source Code Pro"/>
          <w:sz w:val="18"/>
          <w:szCs w:val="18"/>
        </w:rPr>
        <w:t xml:space="preserve">P(t) = 6000 / [1 + 99e^(−0.05t)]</w:t>
      </w:r>
      <w:r>
        <w:t xml:space="preserve">: llega a 3,000 aproximadamente en t = 91.9, y en t = 100 tiene unos 3,599 individuos. El material no especifica aquí si la unidad de tiempo son años o meses; debe conservarse «unidad de tiempo» salvo que el ejercicio la indique.</w:t>
      </w:r>
    </w:p>
    <w:p>
      <w:pPr>
        <w:pStyle w:val="Normal"/>
      </w:pPr>
      <w:r>
        <w:t xml:space="preserve">K aparece rotulado como exógena porque se toma como capacidad impuesta desde fuera del modelo; al mantenerlo fijo en una corrida actúa también como parámetro. La ecuación supone el dominio ecológico interpretado y es una simplificación. No se debe concluir que cualquier población o cualquier simulador del portal usa estos valores.</w:t>
      </w:r>
    </w:p>
    <w:p>
      <w:pPr>
        <w:pStyle w:val="Heading3"/>
      </w:pPr>
      <w:bookmarkStart w:name="b_lectura_c6" w:id="4465"/>
      <w:r>
        <w:t xml:space="preserve">4.5.6 Patrones y fórmulas: leer la trayectoria sin confundirla con la estructura</w:t>
      </w:r>
      <w:bookmarkEnd w:id="4465"/>
    </w:p>
    <w:p>
      <w:pPr>
        <w:pStyle w:val="Normal"/>
      </w:pPr>
      <w:r>
        <w:t xml:space="preserve">Los siete patrones generales de A4:p42 son: crecimiento exponencial, decrecimiento exponencial, convergencia a un valor, curva S, oscilación, sobrepaso y colapso, y crecimiento con sobrepaso. Además, las láminas desarrollan crecimiento simple lineal y cuadrático como comparaciones. Un </w:t>
      </w:r>
      <w:r>
        <w:rPr>
          <w:b/>
          <w:bCs/>
        </w:rPr>
        <w:t xml:space="preserve">patrón de comportamiento</w:t>
      </w:r>
      <w:r>
        <w:t xml:space="preserve"> describe la forma de una curva; un </w:t>
      </w:r>
      <w:r>
        <w:rPr>
          <w:b/>
          <w:bCs/>
        </w:rPr>
        <w:t xml:space="preserve">arquetipo sistémico</w:t>
      </w:r>
      <w:r>
        <w:t xml:space="preserve"> describe una estructura recurrente. No son listas intercambiables.</w:t>
      </w:r>
    </w:p>
    <w:tbl>
      <w:tblPr>
        <w:tblW w:type="dxa" w:w="9632"/>
        <w:tblBorders>
          <w:top w:val="single" w:color="C5D5DB" w:sz="4"/>
          <w:left w:val="single" w:color="C5D5DB" w:sz="4"/>
          <w:bottom w:val="single" w:color="C5D5DB" w:sz="4"/>
          <w:right w:val="single" w:color="C5D5DB" w:sz="4"/>
          <w:insideH w:val="single" w:color="E4E9EB" w:sz="3"/>
          <w:insideV w:val="single" w:color="E4E9EB" w:sz="3"/>
        </w:tblBorders>
        <w:tblLayout w:type="fixed"/>
      </w:tblPr>
      <w:tblGrid>
        <w:gridCol w:w="4816"/>
        <w:gridCol w:w="4816"/>
      </w:tblGrid>
      <w:tr>
        <w:trPr>
          <w:cantSplit/>
          <w:tblHeader/>
        </w:trPr>
        <w:tc>
          <w:tcPr>
            <w:tcW w:type="dxa" w:w="4816"/>
            <w:shd w:fill="DFEAF0" w:val="clear"/>
            <w:tcMar>
              <w:top w:type="dxa" w:w="80"/>
              <w:left w:type="dxa" w:w="100"/>
              <w:bottom w:type="dxa" w:w="80"/>
              <w:right w:type="dxa" w:w="100"/>
            </w:tcMar>
          </w:tcPr>
          <w:p>
            <w:pPr>
              <w:pStyle w:val="Tabla"/>
            </w:pPr>
            <w:r>
              <w:rPr>
                <w:b/>
                <w:bCs/>
              </w:rPr>
              <w:t xml:space="preserve">Patrón</w:t>
            </w:r>
          </w:p>
        </w:tc>
        <w:tc>
          <w:tcPr>
            <w:tcW w:type="dxa" w:w="4816"/>
            <w:shd w:fill="DFEAF0" w:val="clear"/>
            <w:tcMar>
              <w:top w:type="dxa" w:w="80"/>
              <w:left w:type="dxa" w:w="100"/>
              <w:bottom w:type="dxa" w:w="80"/>
              <w:right w:type="dxa" w:w="100"/>
            </w:tcMar>
          </w:tcPr>
          <w:p>
            <w:pPr>
              <w:pStyle w:val="Tabla"/>
            </w:pPr>
            <w:r>
              <w:rPr>
                <w:b/>
                <w:bCs/>
              </w:rPr>
              <w:t xml:space="preserve">Cómo reconocerlo y explicarlo</w:t>
            </w:r>
          </w:p>
        </w:tc>
      </w:tr>
      <w:tr>
        <w:trPr>
          <w:cantSplit/>
          <w:tblHeader w:val="off"/>
        </w:trPr>
        <w:tc>
          <w:tcPr>
            <w:tcW w:type="dxa" w:w="4816"/>
            <w:tcMar>
              <w:top w:type="dxa" w:w="80"/>
              <w:left w:type="dxa" w:w="100"/>
              <w:bottom w:type="dxa" w:w="80"/>
              <w:right w:type="dxa" w:w="100"/>
            </w:tcMar>
          </w:tcPr>
          <w:p>
            <w:pPr>
              <w:pStyle w:val="Tabla"/>
            </w:pPr>
            <w:r>
              <w:t xml:space="preserve">Lineal</w:t>
            </w:r>
          </w:p>
        </w:tc>
        <w:tc>
          <w:tcPr>
            <w:tcW w:type="dxa" w:w="4816"/>
            <w:tcMar>
              <w:top w:type="dxa" w:w="80"/>
              <w:left w:type="dxa" w:w="100"/>
              <w:bottom w:type="dxa" w:w="80"/>
              <w:right w:type="dxa" w:w="100"/>
            </w:tcMar>
          </w:tcPr>
          <w:p>
            <w:pPr>
              <w:pStyle w:val="Tabla"/>
            </w:pPr>
            <w:r>
              <w:t xml:space="preserve">Aumenta la misma cantidad en intervalos iguales; flujo neto constante</w:t>
            </w:r>
          </w:p>
        </w:tc>
      </w:tr>
      <w:tr>
        <w:trPr>
          <w:cantSplit/>
          <w:tblHeader w:val="off"/>
        </w:trPr>
        <w:tc>
          <w:tcPr>
            <w:tcW w:type="dxa" w:w="4816"/>
            <w:tcMar>
              <w:top w:type="dxa" w:w="80"/>
              <w:left w:type="dxa" w:w="100"/>
              <w:bottom w:type="dxa" w:w="80"/>
              <w:right w:type="dxa" w:w="100"/>
            </w:tcMar>
          </w:tcPr>
          <w:p>
            <w:pPr>
              <w:pStyle w:val="Tabla"/>
            </w:pPr>
            <w:r>
              <w:t xml:space="preserve">Cuadrático</w:t>
            </w:r>
          </w:p>
        </w:tc>
        <w:tc>
          <w:tcPr>
            <w:tcW w:type="dxa" w:w="4816"/>
            <w:tcMar>
              <w:top w:type="dxa" w:w="80"/>
              <w:left w:type="dxa" w:w="100"/>
              <w:bottom w:type="dxa" w:w="80"/>
              <w:right w:type="dxa" w:w="100"/>
            </w:tcMar>
          </w:tcPr>
          <w:p>
            <w:pPr>
              <w:pStyle w:val="Tabla"/>
            </w:pPr>
            <w:r>
              <w:t xml:space="preserve">La pendiente aumenta linealmente con el tiempo; no implica por sí solo realimentación</w:t>
            </w:r>
          </w:p>
        </w:tc>
      </w:tr>
      <w:tr>
        <w:trPr>
          <w:cantSplit/>
          <w:tblHeader w:val="off"/>
        </w:trPr>
        <w:tc>
          <w:tcPr>
            <w:tcW w:type="dxa" w:w="4816"/>
            <w:tcMar>
              <w:top w:type="dxa" w:w="80"/>
              <w:left w:type="dxa" w:w="100"/>
              <w:bottom w:type="dxa" w:w="80"/>
              <w:right w:type="dxa" w:w="100"/>
            </w:tcMar>
          </w:tcPr>
          <w:p>
            <w:pPr>
              <w:pStyle w:val="Tabla"/>
            </w:pPr>
            <w:r>
              <w:t xml:space="preserve">Exponencial creciente</w:t>
            </w:r>
          </w:p>
        </w:tc>
        <w:tc>
          <w:tcPr>
            <w:tcW w:type="dxa" w:w="4816"/>
            <w:tcMar>
              <w:top w:type="dxa" w:w="80"/>
              <w:left w:type="dxa" w:w="100"/>
              <w:bottom w:type="dxa" w:w="80"/>
              <w:right w:type="dxa" w:w="100"/>
            </w:tcMar>
          </w:tcPr>
          <w:p>
            <w:pPr>
              <w:pStyle w:val="Tabla"/>
            </w:pPr>
            <w:r>
              <w:t xml:space="preserve">El incremento es proporcional al tamaño; iguales intervalos multiplican por un factor constante</w:t>
            </w:r>
          </w:p>
        </w:tc>
      </w:tr>
      <w:tr>
        <w:trPr>
          <w:cantSplit/>
          <w:tblHeader w:val="off"/>
        </w:trPr>
        <w:tc>
          <w:tcPr>
            <w:tcW w:type="dxa" w:w="4816"/>
            <w:tcMar>
              <w:top w:type="dxa" w:w="80"/>
              <w:left w:type="dxa" w:w="100"/>
              <w:bottom w:type="dxa" w:w="80"/>
              <w:right w:type="dxa" w:w="100"/>
            </w:tcMar>
          </w:tcPr>
          <w:p>
            <w:pPr>
              <w:pStyle w:val="Tabla"/>
            </w:pPr>
            <w:r>
              <w:t xml:space="preserve">Exponencial decreciente</w:t>
            </w:r>
          </w:p>
        </w:tc>
        <w:tc>
          <w:tcPr>
            <w:tcW w:type="dxa" w:w="4816"/>
            <w:tcMar>
              <w:top w:type="dxa" w:w="80"/>
              <w:left w:type="dxa" w:w="100"/>
              <w:bottom w:type="dxa" w:w="80"/>
              <w:right w:type="dxa" w:w="100"/>
            </w:tcMar>
          </w:tcPr>
          <w:p>
            <w:pPr>
              <w:pStyle w:val="Tabla"/>
            </w:pPr>
            <w:r>
              <w:t xml:space="preserve">Se pierde una fracción del tamaño, con caída absoluta cada vez menor</w:t>
            </w:r>
          </w:p>
        </w:tc>
      </w:tr>
      <w:tr>
        <w:trPr>
          <w:cantSplit/>
          <w:tblHeader w:val="off"/>
        </w:trPr>
        <w:tc>
          <w:tcPr>
            <w:tcW w:type="dxa" w:w="4816"/>
            <w:tcMar>
              <w:top w:type="dxa" w:w="80"/>
              <w:left w:type="dxa" w:w="100"/>
              <w:bottom w:type="dxa" w:w="80"/>
              <w:right w:type="dxa" w:w="100"/>
            </w:tcMar>
          </w:tcPr>
          <w:p>
            <w:pPr>
              <w:pStyle w:val="Tabla"/>
            </w:pPr>
            <w:r>
              <w:t xml:space="preserve">Convergencia</w:t>
            </w:r>
          </w:p>
        </w:tc>
        <w:tc>
          <w:tcPr>
            <w:tcW w:type="dxa" w:w="4816"/>
            <w:tcMar>
              <w:top w:type="dxa" w:w="80"/>
              <w:left w:type="dxa" w:w="100"/>
              <w:bottom w:type="dxa" w:w="80"/>
              <w:right w:type="dxa" w:w="100"/>
            </w:tcMar>
          </w:tcPr>
          <w:p>
            <w:pPr>
              <w:pStyle w:val="Tabla"/>
            </w:pPr>
            <w:r>
              <w:t xml:space="preserve">La distancia a una referencia o equilibrio se reduce progresivamente, desde arriba o desde abajo</w:t>
            </w:r>
          </w:p>
        </w:tc>
      </w:tr>
      <w:tr>
        <w:trPr>
          <w:cantSplit/>
          <w:tblHeader w:val="off"/>
        </w:trPr>
        <w:tc>
          <w:tcPr>
            <w:tcW w:type="dxa" w:w="4816"/>
            <w:tcMar>
              <w:top w:type="dxa" w:w="80"/>
              <w:left w:type="dxa" w:w="100"/>
              <w:bottom w:type="dxa" w:w="80"/>
              <w:right w:type="dxa" w:w="100"/>
            </w:tcMar>
          </w:tcPr>
          <w:p>
            <w:pPr>
              <w:pStyle w:val="Tabla"/>
            </w:pPr>
            <w:r>
              <w:t xml:space="preserve">Curva S</w:t>
            </w:r>
          </w:p>
        </w:tc>
        <w:tc>
          <w:tcPr>
            <w:tcW w:type="dxa" w:w="4816"/>
            <w:tcMar>
              <w:top w:type="dxa" w:w="80"/>
              <w:left w:type="dxa" w:w="100"/>
              <w:bottom w:type="dxa" w:w="80"/>
              <w:right w:type="dxa" w:w="100"/>
            </w:tcMar>
          </w:tcPr>
          <w:p>
            <w:pPr>
              <w:pStyle w:val="Tabla"/>
            </w:pPr>
            <w:r>
              <w:t xml:space="preserve">Primero acelera y después desacelera por limitación; existe un cambio de concavidad</w:t>
            </w:r>
          </w:p>
        </w:tc>
      </w:tr>
      <w:tr>
        <w:trPr>
          <w:cantSplit/>
          <w:tblHeader w:val="off"/>
        </w:trPr>
        <w:tc>
          <w:tcPr>
            <w:tcW w:type="dxa" w:w="4816"/>
            <w:tcMar>
              <w:top w:type="dxa" w:w="80"/>
              <w:left w:type="dxa" w:w="100"/>
              <w:bottom w:type="dxa" w:w="80"/>
              <w:right w:type="dxa" w:w="100"/>
            </w:tcMar>
          </w:tcPr>
          <w:p>
            <w:pPr>
              <w:pStyle w:val="Tabla"/>
            </w:pPr>
            <w:r>
              <w:t xml:space="preserve">Oscilación</w:t>
            </w:r>
          </w:p>
        </w:tc>
        <w:tc>
          <w:tcPr>
            <w:tcW w:type="dxa" w:w="4816"/>
            <w:tcMar>
              <w:top w:type="dxa" w:w="80"/>
              <w:left w:type="dxa" w:w="100"/>
              <w:bottom w:type="dxa" w:w="80"/>
              <w:right w:type="dxa" w:w="100"/>
            </w:tcMar>
          </w:tcPr>
          <w:p>
            <w:pPr>
              <w:pStyle w:val="Tabla"/>
            </w:pPr>
            <w:r>
              <w:t xml:space="preserve">Alterna aumentos y disminuciones; puede amortiguarse, mantenerse o amplificarse</w:t>
            </w:r>
          </w:p>
        </w:tc>
      </w:tr>
      <w:tr>
        <w:trPr>
          <w:cantSplit/>
          <w:tblHeader w:val="off"/>
        </w:trPr>
        <w:tc>
          <w:tcPr>
            <w:tcW w:type="dxa" w:w="4816"/>
            <w:tcMar>
              <w:top w:type="dxa" w:w="80"/>
              <w:left w:type="dxa" w:w="100"/>
              <w:bottom w:type="dxa" w:w="80"/>
              <w:right w:type="dxa" w:w="100"/>
            </w:tcMar>
          </w:tcPr>
          <w:p>
            <w:pPr>
              <w:pStyle w:val="Tabla"/>
            </w:pPr>
            <w:r>
              <w:t xml:space="preserve">Crecimiento con sobrepaso</w:t>
            </w:r>
          </w:p>
        </w:tc>
        <w:tc>
          <w:tcPr>
            <w:tcW w:type="dxa" w:w="4816"/>
            <w:tcMar>
              <w:top w:type="dxa" w:w="80"/>
              <w:left w:type="dxa" w:w="100"/>
              <w:bottom w:type="dxa" w:w="80"/>
              <w:right w:type="dxa" w:w="100"/>
            </w:tcMar>
          </w:tcPr>
          <w:p>
            <w:pPr>
              <w:pStyle w:val="Tabla"/>
            </w:pPr>
            <w:r>
              <w:t xml:space="preserve">Supera una referencia y luego se ajusta o fluctúa alrededor de ella</w:t>
            </w:r>
          </w:p>
        </w:tc>
      </w:tr>
      <w:tr>
        <w:trPr>
          <w:cantSplit/>
          <w:tblHeader w:val="off"/>
        </w:trPr>
        <w:tc>
          <w:tcPr>
            <w:tcW w:type="dxa" w:w="4816"/>
            <w:tcMar>
              <w:top w:type="dxa" w:w="80"/>
              <w:left w:type="dxa" w:w="100"/>
              <w:bottom w:type="dxa" w:w="80"/>
              <w:right w:type="dxa" w:w="100"/>
            </w:tcMar>
          </w:tcPr>
          <w:p>
            <w:pPr>
              <w:pStyle w:val="Tabla"/>
            </w:pPr>
            <w:r>
              <w:t xml:space="preserve">Sobrepaso y colapso</w:t>
            </w:r>
          </w:p>
        </w:tc>
        <w:tc>
          <w:tcPr>
            <w:tcW w:type="dxa" w:w="4816"/>
            <w:tcMar>
              <w:top w:type="dxa" w:w="80"/>
              <w:left w:type="dxa" w:w="100"/>
              <w:bottom w:type="dxa" w:w="80"/>
              <w:right w:type="dxa" w:w="100"/>
            </w:tcMar>
          </w:tcPr>
          <w:p>
            <w:pPr>
              <w:pStyle w:val="Tabla"/>
            </w:pPr>
            <w:r>
              <w:t xml:space="preserve">El crecimiento rebasa condiciones sostenibles y después se desploma; debe explicarse qué se deteriora o agota</w:t>
            </w:r>
          </w:p>
        </w:tc>
      </w:tr>
    </w:tbl>
    <w:p>
      <w:pPr>
        <w:pStyle w:val="Normal"/>
      </w:pPr>
      <w:r>
        <w:t xml:space="preserve">Una exponencial pura no tiene un punto de inflexión sólo porque visualmente se vuelva empinada. Una curva S sí cambia de concavidad. Una línea casi recta en un período corto puede mostrar crecimiento exponencial al ampliar el horizonte; siempre hay que revisar escalas y unidades. El ejemplo de bacterias que duplican su cantidad cada minuto ilustra que, si el recipiente se llena a las 12:00, estaba a la mitad a las 11:59, no media hora antes. [video UVa elementos:06:04–07:25]</w:t>
      </w:r>
    </w:p>
    <w:p>
      <w:pPr>
        <w:pStyle w:val="Normal"/>
      </w:pPr>
      <w:r>
        <w:t xml:space="preserve">Esquemas cualitativos para reconocer la forma; todos muestran un </w:t>
      </w:r>
      <w:r>
        <w:rPr>
          <w:b/>
          <w:bCs/>
        </w:rPr>
        <w:t xml:space="preserve">nivel</w:t>
      </w:r>
      <w:r>
        <w:t xml:space="preserve"> en el eje vertical y tiempo en el horizontal. No comparten escala numérica y no sustituyen la ecuación del caso:</w:t>
      </w:r>
    </w:p>
    <w:p>
      <w:pPr>
        <w:pStyle w:val="Codigo"/>
      </w:pPr>
      <w:r>
        <w:t xml:space="preserve">Lineal creciente       Exponencial creciente   Aproximación a una meta</w:t>
      </w:r>
    </w:p>
    <w:p>
      <w:pPr>
        <w:pStyle w:val="Codigo"/>
      </w:pPr>
      <w:r>
        <w:t xml:space="preserve">Nivel                   Nivel                   Nivel</w:t>
      </w:r>
    </w:p>
    <w:p>
      <w:pPr>
        <w:pStyle w:val="Codigo"/>
      </w:pPr>
      <w:r>
        <w:t xml:space="preserve">  |           /           |             /         | - - - - - - meta</w:t>
      </w:r>
    </w:p>
    <w:p>
      <w:pPr>
        <w:pStyle w:val="Codigo"/>
      </w:pPr>
      <w:r>
        <w:t xml:space="preserve">  |        /              |            /          |        ______</w:t>
      </w:r>
    </w:p>
    <w:p>
      <w:pPr>
        <w:pStyle w:val="Codigo"/>
      </w:pPr>
      <w:r>
        <w:t xml:space="preserve">  |     /                 |          _/           |     __/</w:t>
      </w:r>
    </w:p>
    <w:p>
      <w:pPr>
        <w:pStyle w:val="Codigo"/>
      </w:pPr>
      <w:r>
        <w:t xml:space="preserve">  |  /                    |      ___/             |   _/</w:t>
      </w:r>
    </w:p>
    <w:p>
      <w:pPr>
        <w:pStyle w:val="Codigo"/>
      </w:pPr>
      <w:r>
        <w:t xml:space="preserve">  +------------&gt; t        +------------&gt; t        +------------&gt; t</w:t>
      </w:r>
    </w:p>
    <w:p>
      <w:pPr>
        <w:pStyle w:val="Codigo"/>
      </w:pPr>
      <w:r>
        <w:t xml:space="preserve"/>
      </w:r>
    </w:p>
    <w:p>
      <w:pPr>
        <w:pStyle w:val="Codigo"/>
      </w:pPr>
      <w:r>
        <w:t xml:space="preserve">Curva S                 Oscilación              Sobrepaso y colapso</w:t>
      </w:r>
    </w:p>
    <w:p>
      <w:pPr>
        <w:pStyle w:val="Codigo"/>
      </w:pPr>
      <w:r>
        <w:t xml:space="preserve">Nivel                   Nivel                   Nivel</w:t>
      </w:r>
    </w:p>
    <w:p>
      <w:pPr>
        <w:pStyle w:val="Codigo"/>
      </w:pPr>
      <w:r>
        <w:t xml:space="preserve">  |        ______         |   /\    /\            |       /\</w:t>
      </w:r>
    </w:p>
    <w:p>
      <w:pPr>
        <w:pStyle w:val="Codigo"/>
      </w:pPr>
      <w:r>
        <w:t xml:space="preserve">  |       /               |  /  \  /  \           |      /  \</w:t>
      </w:r>
    </w:p>
    <w:p>
      <w:pPr>
        <w:pStyle w:val="Codigo"/>
      </w:pPr>
      <w:r>
        <w:t xml:space="preserve">  |     _/                | /    </w:t>
      </w:r>
      <w:r>
        <w:t xml:space="preserve">/</w:t>
      </w:r>
      <w:r>
        <w:t xml:space="preserve">    \          |    </w:t>
      </w:r>
      <w:r>
        <w:rPr>
          <w:i/>
          <w:iCs/>
        </w:rPr>
        <w:t xml:space="preserve">/    </w:t>
      </w:r>
      <w:r>
        <w:rPr>
          <w:i/>
          <w:iCs/>
        </w:rPr>
        <w:t xml:space="preserve">_</w:t>
      </w:r>
    </w:p>
    <w:p>
      <w:pPr>
        <w:pStyle w:val="Codigo"/>
      </w:pPr>
      <w:r>
        <w:t xml:space="preserve">  |_</w:t>
      </w:r>
      <w:r>
        <w:rPr>
          <w:b/>
          <w:bCs/>
          <w:i/>
          <w:iCs/>
        </w:rPr>
        <w:t xml:space="preserve">/                  |                        |</w:t>
      </w:r>
      <w:r>
        <w:t xml:space="preserve">/</w:t>
      </w:r>
    </w:p>
    <w:p>
      <w:pPr>
        <w:pStyle w:val="Codigo"/>
      </w:pPr>
      <w:r>
        <w:t xml:space="preserve">  +------------&gt; t        +------------&gt; t        +------------&gt; t</w:t>
      </w:r>
    </w:p>
    <w:p>
      <w:pPr>
        <w:pStyle w:val="Normal"/>
      </w:pPr>
      <w:r>
        <w:t xml:space="preserve">Para explicar una gráfica, indicar primero qué mide el eje vertical, después cuándo sube o baja, si su pendiente aumenta o disminuye, y qué flujo neto sería compatible. Una línea horizontal de nivel expresa flujo neto cero, no necesariamente ausencia de entradas y salidas. El máximo de un flujo no tiene por qué coincidir con el máximo del nivel que acumula.</w:t>
      </w:r>
    </w:p>
    <w:p>
      <w:pPr>
        <w:pStyle w:val="Normal"/>
      </w:pPr>
      <w:r>
        <w:t xml:space="preserve">Para los ejemplos matemáticos de las diapositivas, con S(0) = 1,000 y una misma unidad de tiempo:</w:t>
      </w:r>
    </w:p>
    <w:tbl>
      <w:tblPr>
        <w:tblW w:type="dxa" w:w="9632"/>
        <w:tblBorders>
          <w:top w:val="single" w:color="C5D5DB" w:sz="4"/>
          <w:left w:val="single" w:color="C5D5DB" w:sz="4"/>
          <w:bottom w:val="single" w:color="C5D5DB" w:sz="4"/>
          <w:right w:val="single" w:color="C5D5DB" w:sz="4"/>
          <w:insideH w:val="single" w:color="E4E9EB" w:sz="3"/>
          <w:insideV w:val="single" w:color="E4E9EB" w:sz="3"/>
        </w:tblBorders>
        <w:tblLayout w:type="fixed"/>
      </w:tblPr>
      <w:tblGrid>
        <w:gridCol w:w="3212"/>
        <w:gridCol w:w="3210"/>
        <w:gridCol w:w="3210"/>
      </w:tblGrid>
      <w:tr>
        <w:trPr>
          <w:cantSplit/>
          <w:tblHeader/>
        </w:trPr>
        <w:tc>
          <w:tcPr>
            <w:tcW w:type="dxa" w:w="3212"/>
            <w:shd w:fill="DFEAF0" w:val="clear"/>
            <w:tcMar>
              <w:top w:type="dxa" w:w="80"/>
              <w:left w:type="dxa" w:w="100"/>
              <w:bottom w:type="dxa" w:w="80"/>
              <w:right w:type="dxa" w:w="100"/>
            </w:tcMar>
          </w:tcPr>
          <w:p>
            <w:pPr>
              <w:pStyle w:val="Tabla"/>
            </w:pPr>
            <w:r>
              <w:rPr>
                <w:b/>
                <w:bCs/>
              </w:rPr>
              <w:t xml:space="preserve">Caso</w:t>
            </w:r>
          </w:p>
        </w:tc>
        <w:tc>
          <w:tcPr>
            <w:tcW w:type="dxa" w:w="3210"/>
            <w:shd w:fill="DFEAF0" w:val="clear"/>
            <w:tcMar>
              <w:top w:type="dxa" w:w="80"/>
              <w:left w:type="dxa" w:w="100"/>
              <w:bottom w:type="dxa" w:w="80"/>
              <w:right w:type="dxa" w:w="100"/>
            </w:tcMar>
          </w:tcPr>
          <w:p>
            <w:pPr>
              <w:pStyle w:val="Tabla"/>
            </w:pPr>
            <w:r>
              <w:rPr>
                <w:b/>
                <w:bCs/>
              </w:rPr>
              <w:t xml:space="preserve">Entrada E y salida S</w:t>
            </w:r>
            <w:r>
              <w:rPr>
                <w:b/>
                <w:bCs/>
                <w:vertAlign w:val="subscript"/>
              </w:rPr>
              <w:t xml:space="preserve">a</w:t>
            </w:r>
          </w:p>
        </w:tc>
        <w:tc>
          <w:tcPr>
            <w:tcW w:type="dxa" w:w="3210"/>
            <w:shd w:fill="DFEAF0" w:val="clear"/>
            <w:tcMar>
              <w:top w:type="dxa" w:w="80"/>
              <w:left w:type="dxa" w:w="100"/>
              <w:bottom w:type="dxa" w:w="80"/>
              <w:right w:type="dxa" w:w="100"/>
            </w:tcMar>
          </w:tcPr>
          <w:p>
            <w:pPr>
              <w:pStyle w:val="Tabla"/>
            </w:pPr>
            <w:r>
              <w:rPr>
                <w:b/>
                <w:bCs/>
              </w:rPr>
              <w:t xml:space="preserve">Ecuación y solución continua correcta</w:t>
            </w:r>
          </w:p>
        </w:tc>
      </w:tr>
      <w:tr>
        <w:trPr>
          <w:cantSplit/>
          <w:tblHeader w:val="off"/>
        </w:trPr>
        <w:tc>
          <w:tcPr>
            <w:tcW w:type="dxa" w:w="3212"/>
            <w:tcMar>
              <w:top w:type="dxa" w:w="80"/>
              <w:left w:type="dxa" w:w="100"/>
              <w:bottom w:type="dxa" w:w="80"/>
              <w:right w:type="dxa" w:w="100"/>
            </w:tcMar>
          </w:tcPr>
          <w:p>
            <w:pPr>
              <w:pStyle w:val="Tabla"/>
            </w:pPr>
            <w:r>
              <w:t xml:space="preserve">A4:p43</w:t>
            </w:r>
          </w:p>
        </w:tc>
        <w:tc>
          <w:tcPr>
            <w:tcW w:type="dxa" w:w="3210"/>
            <w:tcMar>
              <w:top w:type="dxa" w:w="80"/>
              <w:left w:type="dxa" w:w="100"/>
              <w:bottom w:type="dxa" w:w="80"/>
              <w:right w:type="dxa" w:w="100"/>
            </w:tcMar>
          </w:tcPr>
          <w:p>
            <w:pPr>
              <w:pStyle w:val="Tabla"/>
            </w:pPr>
            <w:r>
              <w:t xml:space="preserve">E = 100; S</w:t>
            </w:r>
            <w:r>
              <w:rPr>
                <w:vertAlign w:val="subscript"/>
              </w:rPr>
              <w:t xml:space="preserve">a</w:t>
            </w:r>
            <w:r>
              <w:t xml:space="preserve"> = 50</w:t>
            </w:r>
          </w:p>
        </w:tc>
        <w:tc>
          <w:tcPr>
            <w:tcW w:type="dxa" w:w="3210"/>
            <w:tcMar>
              <w:top w:type="dxa" w:w="80"/>
              <w:left w:type="dxa" w:w="100"/>
              <w:bottom w:type="dxa" w:w="80"/>
              <w:right w:type="dxa" w:w="100"/>
            </w:tcMar>
          </w:tcPr>
          <w:p>
            <w:pPr>
              <w:pStyle w:val="Tabla"/>
            </w:pPr>
            <w:r>
              <w:t xml:space="preserve">dS/dt = 50; S(t) = 1000 + 50t</w:t>
            </w:r>
          </w:p>
        </w:tc>
      </w:tr>
      <w:tr>
        <w:trPr>
          <w:cantSplit/>
          <w:tblHeader w:val="off"/>
        </w:trPr>
        <w:tc>
          <w:tcPr>
            <w:tcW w:type="dxa" w:w="3212"/>
            <w:tcMar>
              <w:top w:type="dxa" w:w="80"/>
              <w:left w:type="dxa" w:w="100"/>
              <w:bottom w:type="dxa" w:w="80"/>
              <w:right w:type="dxa" w:w="100"/>
            </w:tcMar>
          </w:tcPr>
          <w:p>
            <w:pPr>
              <w:pStyle w:val="Tabla"/>
            </w:pPr>
            <w:r>
              <w:t xml:space="preserve">A4:p44</w:t>
            </w:r>
          </w:p>
        </w:tc>
        <w:tc>
          <w:tcPr>
            <w:tcW w:type="dxa" w:w="3210"/>
            <w:tcMar>
              <w:top w:type="dxa" w:w="80"/>
              <w:left w:type="dxa" w:w="100"/>
              <w:bottom w:type="dxa" w:w="80"/>
              <w:right w:type="dxa" w:w="100"/>
            </w:tcMar>
          </w:tcPr>
          <w:p>
            <w:pPr>
              <w:pStyle w:val="Tabla"/>
            </w:pPr>
            <w:r>
              <w:t xml:space="preserve">E = 50t + 50; S</w:t>
            </w:r>
            <w:r>
              <w:rPr>
                <w:vertAlign w:val="subscript"/>
              </w:rPr>
              <w:t xml:space="preserve">a</w:t>
            </w:r>
            <w:r>
              <w:t xml:space="preserve"> = 50</w:t>
            </w:r>
          </w:p>
        </w:tc>
        <w:tc>
          <w:tcPr>
            <w:tcW w:type="dxa" w:w="3210"/>
            <w:tcMar>
              <w:top w:type="dxa" w:w="80"/>
              <w:left w:type="dxa" w:w="100"/>
              <w:bottom w:type="dxa" w:w="80"/>
              <w:right w:type="dxa" w:w="100"/>
            </w:tcMar>
          </w:tcPr>
          <w:p>
            <w:pPr>
              <w:pStyle w:val="Tabla"/>
            </w:pPr>
            <w:r>
              <w:t xml:space="preserve">dS/dt = 50t; S(t) = 1000 + 25t²</w:t>
            </w:r>
          </w:p>
        </w:tc>
      </w:tr>
      <w:tr>
        <w:trPr>
          <w:cantSplit/>
          <w:tblHeader w:val="off"/>
        </w:trPr>
        <w:tc>
          <w:tcPr>
            <w:tcW w:type="dxa" w:w="3212"/>
            <w:tcMar>
              <w:top w:type="dxa" w:w="80"/>
              <w:left w:type="dxa" w:w="100"/>
              <w:bottom w:type="dxa" w:w="80"/>
              <w:right w:type="dxa" w:w="100"/>
            </w:tcMar>
          </w:tcPr>
          <w:p>
            <w:pPr>
              <w:pStyle w:val="Tabla"/>
            </w:pPr>
            <w:r>
              <w:t xml:space="preserve">A4:p45–46</w:t>
            </w:r>
          </w:p>
        </w:tc>
        <w:tc>
          <w:tcPr>
            <w:tcW w:type="dxa" w:w="3210"/>
            <w:tcMar>
              <w:top w:type="dxa" w:w="80"/>
              <w:left w:type="dxa" w:w="100"/>
              <w:bottom w:type="dxa" w:w="80"/>
              <w:right w:type="dxa" w:w="100"/>
            </w:tcMar>
          </w:tcPr>
          <w:p>
            <w:pPr>
              <w:pStyle w:val="Tabla"/>
            </w:pPr>
            <w:r>
              <w:t xml:space="preserve">E = 0.1S; S</w:t>
            </w:r>
            <w:r>
              <w:rPr>
                <w:vertAlign w:val="subscript"/>
              </w:rPr>
              <w:t xml:space="preserve">a</w:t>
            </w:r>
            <w:r>
              <w:t xml:space="preserve"> = 50</w:t>
            </w:r>
          </w:p>
        </w:tc>
        <w:tc>
          <w:tcPr>
            <w:tcW w:type="dxa" w:w="3210"/>
            <w:tcMar>
              <w:top w:type="dxa" w:w="80"/>
              <w:left w:type="dxa" w:w="100"/>
              <w:bottom w:type="dxa" w:w="80"/>
              <w:right w:type="dxa" w:w="100"/>
            </w:tcMar>
          </w:tcPr>
          <w:p>
            <w:pPr>
              <w:pStyle w:val="Tabla"/>
            </w:pPr>
            <w:r>
              <w:t xml:space="preserve">dS/dt = 0.1S − 50; S(t) = 500 + 500e^(0.1t)</w:t>
            </w:r>
          </w:p>
        </w:tc>
      </w:tr>
      <w:tr>
        <w:trPr>
          <w:cantSplit/>
          <w:tblHeader w:val="off"/>
        </w:trPr>
        <w:tc>
          <w:tcPr>
            <w:tcW w:type="dxa" w:w="3212"/>
            <w:tcMar>
              <w:top w:type="dxa" w:w="80"/>
              <w:left w:type="dxa" w:w="100"/>
              <w:bottom w:type="dxa" w:w="80"/>
              <w:right w:type="dxa" w:w="100"/>
            </w:tcMar>
          </w:tcPr>
          <w:p>
            <w:pPr>
              <w:pStyle w:val="Tabla"/>
            </w:pPr>
            <w:r>
              <w:t xml:space="preserve">A4:p47–48</w:t>
            </w:r>
          </w:p>
        </w:tc>
        <w:tc>
          <w:tcPr>
            <w:tcW w:type="dxa" w:w="3210"/>
            <w:tcMar>
              <w:top w:type="dxa" w:w="80"/>
              <w:left w:type="dxa" w:w="100"/>
              <w:bottom w:type="dxa" w:w="80"/>
              <w:right w:type="dxa" w:w="100"/>
            </w:tcMar>
          </w:tcPr>
          <w:p>
            <w:pPr>
              <w:pStyle w:val="Tabla"/>
            </w:pPr>
            <w:r>
              <w:t xml:space="preserve">E = 0.11S; S</w:t>
            </w:r>
            <w:r>
              <w:rPr>
                <w:vertAlign w:val="subscript"/>
              </w:rPr>
              <w:t xml:space="preserve">a</w:t>
            </w:r>
            <w:r>
              <w:t xml:space="preserve"> = 0.1S</w:t>
            </w:r>
          </w:p>
        </w:tc>
        <w:tc>
          <w:tcPr>
            <w:tcW w:type="dxa" w:w="3210"/>
            <w:tcMar>
              <w:top w:type="dxa" w:w="80"/>
              <w:left w:type="dxa" w:w="100"/>
              <w:bottom w:type="dxa" w:w="80"/>
              <w:right w:type="dxa" w:w="100"/>
            </w:tcMar>
          </w:tcPr>
          <w:p>
            <w:pPr>
              <w:pStyle w:val="Tabla"/>
            </w:pPr>
            <w:r>
              <w:t xml:space="preserve">dS/dt = 0.01S; S(t) = 1000e^(0.01t)</w:t>
            </w:r>
          </w:p>
        </w:tc>
      </w:tr>
      <w:tr>
        <w:trPr>
          <w:cantSplit/>
          <w:tblHeader w:val="off"/>
        </w:trPr>
        <w:tc>
          <w:tcPr>
            <w:tcW w:type="dxa" w:w="3212"/>
            <w:tcMar>
              <w:top w:type="dxa" w:w="80"/>
              <w:left w:type="dxa" w:w="100"/>
              <w:bottom w:type="dxa" w:w="80"/>
              <w:right w:type="dxa" w:w="100"/>
            </w:tcMar>
          </w:tcPr>
          <w:p>
            <w:pPr>
              <w:pStyle w:val="Tabla"/>
            </w:pPr>
            <w:r>
              <w:t xml:space="preserve">A4:p49</w:t>
            </w:r>
          </w:p>
        </w:tc>
        <w:tc>
          <w:tcPr>
            <w:tcW w:type="dxa" w:w="3210"/>
            <w:tcMar>
              <w:top w:type="dxa" w:w="80"/>
              <w:left w:type="dxa" w:w="100"/>
              <w:bottom w:type="dxa" w:w="80"/>
              <w:right w:type="dxa" w:w="100"/>
            </w:tcMar>
          </w:tcPr>
          <w:p>
            <w:pPr>
              <w:pStyle w:val="Tabla"/>
            </w:pPr>
            <w:r>
              <w:t xml:space="preserve">E = 0.1S; S</w:t>
            </w:r>
            <w:r>
              <w:rPr>
                <w:vertAlign w:val="subscript"/>
              </w:rPr>
              <w:t xml:space="preserve">a</w:t>
            </w:r>
            <w:r>
              <w:t xml:space="preserve"> = 0.11S</w:t>
            </w:r>
          </w:p>
        </w:tc>
        <w:tc>
          <w:tcPr>
            <w:tcW w:type="dxa" w:w="3210"/>
            <w:tcMar>
              <w:top w:type="dxa" w:w="80"/>
              <w:left w:type="dxa" w:w="100"/>
              <w:bottom w:type="dxa" w:w="80"/>
              <w:right w:type="dxa" w:w="100"/>
            </w:tcMar>
          </w:tcPr>
          <w:p>
            <w:pPr>
              <w:pStyle w:val="Tabla"/>
            </w:pPr>
            <w:r>
              <w:t xml:space="preserve">dS/dt = −0.01S; S(t) = 1000e^(−0.01t)</w:t>
            </w:r>
          </w:p>
        </w:tc>
      </w:tr>
      <w:tr>
        <w:trPr>
          <w:cantSplit/>
          <w:tblHeader w:val="off"/>
        </w:trPr>
        <w:tc>
          <w:tcPr>
            <w:tcW w:type="dxa" w:w="3212"/>
            <w:tcMar>
              <w:top w:type="dxa" w:w="80"/>
              <w:left w:type="dxa" w:w="100"/>
              <w:bottom w:type="dxa" w:w="80"/>
              <w:right w:type="dxa" w:w="100"/>
            </w:tcMar>
          </w:tcPr>
          <w:p>
            <w:pPr>
              <w:pStyle w:val="Tabla"/>
            </w:pPr>
            <w:r>
              <w:t xml:space="preserve">A4:p50</w:t>
            </w:r>
          </w:p>
        </w:tc>
        <w:tc>
          <w:tcPr>
            <w:tcW w:type="dxa" w:w="3210"/>
            <w:tcMar>
              <w:top w:type="dxa" w:w="80"/>
              <w:left w:type="dxa" w:w="100"/>
              <w:bottom w:type="dxa" w:w="80"/>
              <w:right w:type="dxa" w:w="100"/>
            </w:tcMar>
          </w:tcPr>
          <w:p>
            <w:pPr>
              <w:pStyle w:val="Tabla"/>
            </w:pPr>
            <w:r>
              <w:t xml:space="preserve">E = MAX(0, 0.2(M − S)); S</w:t>
            </w:r>
            <w:r>
              <w:rPr>
                <w:vertAlign w:val="subscript"/>
              </w:rPr>
              <w:t xml:space="preserve">a</w:t>
            </w:r>
            <w:r>
              <w:t xml:space="preserve"> = 0.1S</w:t>
            </w:r>
          </w:p>
        </w:tc>
        <w:tc>
          <w:tcPr>
            <w:tcW w:type="dxa" w:w="3210"/>
            <w:tcMar>
              <w:top w:type="dxa" w:w="80"/>
              <w:left w:type="dxa" w:w="100"/>
              <w:bottom w:type="dxa" w:w="80"/>
              <w:right w:type="dxa" w:w="100"/>
            </w:tcMar>
          </w:tcPr>
          <w:p>
            <w:pPr>
              <w:pStyle w:val="Tabla"/>
            </w:pPr>
            <w:r>
              <w:t xml:space="preserve">En equilibrio por debajo de M: S* = 2M/3</w:t>
            </w:r>
          </w:p>
        </w:tc>
      </w:tr>
      <w:tr>
        <w:trPr>
          <w:cantSplit/>
          <w:tblHeader w:val="off"/>
        </w:trPr>
        <w:tc>
          <w:tcPr>
            <w:tcW w:type="dxa" w:w="3212"/>
            <w:tcMar>
              <w:top w:type="dxa" w:w="80"/>
              <w:left w:type="dxa" w:w="100"/>
              <w:bottom w:type="dxa" w:w="80"/>
              <w:right w:type="dxa" w:w="100"/>
            </w:tcMar>
          </w:tcPr>
          <w:p>
            <w:pPr>
              <w:pStyle w:val="Tabla"/>
            </w:pPr>
            <w:r>
              <w:t xml:space="preserve">A4:p51</w:t>
            </w:r>
          </w:p>
        </w:tc>
        <w:tc>
          <w:tcPr>
            <w:tcW w:type="dxa" w:w="3210"/>
            <w:tcMar>
              <w:top w:type="dxa" w:w="80"/>
              <w:left w:type="dxa" w:w="100"/>
              <w:bottom w:type="dxa" w:w="80"/>
              <w:right w:type="dxa" w:w="100"/>
            </w:tcMar>
          </w:tcPr>
          <w:p>
            <w:pPr>
              <w:pStyle w:val="Tabla"/>
            </w:pPr>
            <w:r>
              <w:t xml:space="preserve">E = MAX(0, 0.1(5000 − S)); S</w:t>
            </w:r>
            <w:r>
              <w:rPr>
                <w:vertAlign w:val="subscript"/>
              </w:rPr>
              <w:t xml:space="preserve">a</w:t>
            </w:r>
            <w:r>
              <w:t xml:space="preserve"> = MAX(0, 0.1(S − 5000))</w:t>
            </w:r>
          </w:p>
        </w:tc>
        <w:tc>
          <w:tcPr>
            <w:tcW w:type="dxa" w:w="3210"/>
            <w:tcMar>
              <w:top w:type="dxa" w:w="80"/>
              <w:left w:type="dxa" w:w="100"/>
              <w:bottom w:type="dxa" w:w="80"/>
              <w:right w:type="dxa" w:w="100"/>
            </w:tcMar>
          </w:tcPr>
          <w:p>
            <w:pPr>
              <w:pStyle w:val="Tabla"/>
            </w:pPr>
            <w:r>
              <w:t xml:space="preserve">S(t) = 5000 − 4000e^(−0.1t)</w:t>
            </w:r>
          </w:p>
        </w:tc>
      </w:tr>
      <w:tr>
        <w:trPr>
          <w:cantSplit/>
          <w:tblHeader w:val="off"/>
        </w:trPr>
        <w:tc>
          <w:tcPr>
            <w:tcW w:type="dxa" w:w="3212"/>
            <w:tcMar>
              <w:top w:type="dxa" w:w="80"/>
              <w:left w:type="dxa" w:w="100"/>
              <w:bottom w:type="dxa" w:w="80"/>
              <w:right w:type="dxa" w:w="100"/>
            </w:tcMar>
          </w:tcPr>
          <w:p>
            <w:pPr>
              <w:pStyle w:val="Tabla"/>
            </w:pPr>
            <w:r>
              <w:t xml:space="preserve">A4:p52</w:t>
            </w:r>
          </w:p>
        </w:tc>
        <w:tc>
          <w:tcPr>
            <w:tcW w:type="dxa" w:w="3210"/>
            <w:tcMar>
              <w:top w:type="dxa" w:w="80"/>
              <w:left w:type="dxa" w:w="100"/>
              <w:bottom w:type="dxa" w:w="80"/>
              <w:right w:type="dxa" w:w="100"/>
            </w:tcMar>
          </w:tcPr>
          <w:p>
            <w:pPr>
              <w:pStyle w:val="Tabla"/>
            </w:pPr>
            <w:r>
              <w:t xml:space="preserve">E = MAX(0, 0.1(500 − S)); S</w:t>
            </w:r>
            <w:r>
              <w:rPr>
                <w:vertAlign w:val="subscript"/>
              </w:rPr>
              <w:t xml:space="preserve">a</w:t>
            </w:r>
            <w:r>
              <w:t xml:space="preserve"> = MAX(0, 0.1(S − 500))</w:t>
            </w:r>
          </w:p>
        </w:tc>
        <w:tc>
          <w:tcPr>
            <w:tcW w:type="dxa" w:w="3210"/>
            <w:tcMar>
              <w:top w:type="dxa" w:w="80"/>
              <w:left w:type="dxa" w:w="100"/>
              <w:bottom w:type="dxa" w:w="80"/>
              <w:right w:type="dxa" w:w="100"/>
            </w:tcMar>
          </w:tcPr>
          <w:p>
            <w:pPr>
              <w:pStyle w:val="Tabla"/>
            </w:pPr>
            <w:r>
              <w:t xml:space="preserve">S(t) = 500 + 500e^(−0.1t)</w:t>
            </w:r>
          </w:p>
        </w:tc>
      </w:tr>
    </w:tbl>
    <w:p>
      <w:pPr>
        <w:pStyle w:val="Normal"/>
      </w:pPr>
      <w:r>
        <w:t xml:space="preserve">La fórmula cuadrática da 251,000 al tiempo 100. Euler con pasos de una unidad, evaluando la entrada al principio de cada paso, da 248,500: suma 50 × (0 + 1 + … + 99) sobre los 1,000 iniciales. La diferencia es numérica y no autoriza a cambiar el enunciado para ajustarlo al gráfico.</w:t>
      </w:r>
    </w:p>
    <w:p>
      <w:pPr>
        <w:pStyle w:val="Normal"/>
      </w:pPr>
      <w:r>
        <w:t xml:space="preserve">Los coeficientes multiplicados por niveles tienen unidades 1/tiempo; en la entrada </w:t>
      </w:r>
      <w:r>
        <w:rPr>
          <w:rFonts w:ascii="Source Code Pro" w:cs="Source Code Pro" w:eastAsia="Source Code Pro" w:hAnsi="Source Code Pro"/>
          <w:sz w:val="18"/>
          <w:szCs w:val="18"/>
        </w:rPr>
        <w:t xml:space="preserve">50t + 50</w:t>
      </w:r>
      <w:r>
        <w:t xml:space="preserve">, el primer 50 debe tener unidades de nivel/tiempo² y el segundo nivel/tiempo. Las cifras de estas fórmulas se expresan de manera abreviada, pero la consistencia debe conservarse.</w:t>
      </w:r>
    </w:p>
    <w:p>
      <w:pPr>
        <w:pStyle w:val="Normal"/>
      </w:pPr>
      <w:r>
        <w:rPr>
          <w:b/>
          <w:bCs/>
        </w:rPr>
        <w:t xml:space="preserve">Erratas comprobadas:</w:t>
      </w:r>
      <w:r>
        <w:t xml:space="preserve"> p44 muestra una escala gráfica incompatible con la fórmula escrita; se conserva la fórmula y se deriva su resultado, sin forzar coincidencia con la imagen. La fórmula impresa de p46 no cumple ni la ecuación ni S(0) = 1,000; la correcta es la de la tabla. P48 añade indebidamente una constante que daría 2,000 al inicio. P50 presenta condiciones de signo contradictorias; para llenar un faltante definido como referencia menos stock, la entrada debe activarse cuando el faltante es positivo. P51–52 escriben una salida proporcional a un error negativo: se corrige como </w:t>
      </w:r>
      <w:r>
        <w:rPr>
          <w:rFonts w:ascii="Source Code Pro" w:cs="Source Code Pro" w:eastAsia="Source Code Pro" w:hAnsi="Source Code Pro"/>
          <w:sz w:val="18"/>
          <w:szCs w:val="18"/>
        </w:rPr>
        <w:t xml:space="preserve">0.1(S − referencia)</w:t>
      </w:r>
      <w:r>
        <w:t xml:space="preserve"> cuando el stock supera la referencia. En p50 la referencia numérica no se explicita; usar M = 5,000 para obtener 3,333.33 es la interpretación declarada por el portal, no un dato visible en esa lámina.</w:t>
      </w:r>
    </w:p>
    <w:p>
      <w:pPr>
        <w:pStyle w:val="Normal"/>
      </w:pPr>
      <w:r>
        <w:t xml:space="preserve">Para </w:t>
      </w:r>
      <w:r>
        <w:rPr>
          <w:rFonts w:ascii="Source Code Pro" w:cs="Source Code Pro" w:eastAsia="Source Code Pro" w:hAnsi="Source Code Pro"/>
          <w:sz w:val="18"/>
          <w:szCs w:val="18"/>
        </w:rPr>
        <w:t xml:space="preserve">S = S</w:t>
      </w:r>
      <w:r>
        <w:rPr>
          <w:rFonts w:ascii="Source Code Pro" w:cs="Source Code Pro" w:eastAsia="Source Code Pro" w:hAnsi="Source Code Pro"/>
          <w:sz w:val="18"/>
          <w:szCs w:val="18"/>
          <w:vertAlign w:val="subscript"/>
        </w:rPr>
        <w:t xml:space="preserve">0</w:t>
      </w:r>
      <w:r>
        <w:rPr>
          <w:rFonts w:ascii="Source Code Pro" w:cs="Source Code Pro" w:eastAsia="Source Code Pro" w:hAnsi="Source Code Pro"/>
          <w:sz w:val="18"/>
          <w:szCs w:val="18"/>
        </w:rPr>
        <w:t xml:space="preserve">e^(gt)</w:t>
      </w:r>
      <w:r>
        <w:t xml:space="preserve">, duplicar requiere </w:t>
      </w:r>
      <w:r>
        <w:rPr>
          <w:rFonts w:ascii="Source Code Pro" w:cs="Source Code Pro" w:eastAsia="Source Code Pro" w:hAnsi="Source Code Pro"/>
          <w:sz w:val="18"/>
          <w:szCs w:val="18"/>
        </w:rPr>
        <w:t xml:space="preserve">ln(2)/g</w:t>
      </w:r>
      <w:r>
        <w:t xml:space="preserve">; multiplicar por diez requiere </w:t>
      </w:r>
      <w:r>
        <w:rPr>
          <w:rFonts w:ascii="Source Code Pro" w:cs="Source Code Pro" w:eastAsia="Source Code Pro" w:hAnsi="Source Code Pro"/>
          <w:sz w:val="18"/>
          <w:szCs w:val="18"/>
        </w:rPr>
        <w:t xml:space="preserve">ln(10)/g</w:t>
      </w:r>
      <w:r>
        <w:t xml:space="preserve">. Con g = 0.01, son aproximadamente 69.3 y 230.3 unidades de tiempo. En el decrecimiento con g = −0.01, reducir a la mitad requiere 69.3 y a una décima parte 230.3. Estas expresiones corresponden a la solución continua; un cálculo con capitalización discreta utiliza logaritmos de su factor discreto.</w:t>
      </w:r>
    </w:p>
    <w:p>
      <w:pPr>
        <w:pStyle w:val="Normal"/>
      </w:pPr>
      <w:r>
        <w:t xml:space="preserve">La convergencia a 2M/3 vuelve a demostrar que poner una referencia M en una entrada no garantiza terminar en M si existe una salida permanente. El equilibrio exige compensar </w:t>
      </w:r>
      <w:r>
        <w:rPr>
          <w:b/>
          <w:bCs/>
        </w:rPr>
        <w:t xml:space="preserve">todas</w:t>
      </w:r>
      <w:r>
        <w:t xml:space="preserve"> las salidas. Por otra parte, coexistir un lazo R y otro B no garantiza una curva S: el resultado depende de sus ecuaciones y predominio.</w:t>
      </w:r>
    </w:p>
    <w:p>
      <w:pPr>
        <w:pStyle w:val="Heading3"/>
      </w:pPr>
      <w:bookmarkStart w:name="b_lectura_c7" w:id="4466"/>
      <w:r>
        <w:t xml:space="preserve">4.5.7 Almacén: dos salidas, azar y regla condicional</w:t>
      </w:r>
      <w:bookmarkEnd w:id="4466"/>
    </w:p>
    <w:p>
      <w:pPr>
        <w:pStyle w:val="Normal"/>
      </w:pPr>
      <w:r>
        <w:t xml:space="preserve">El tutorial de Vensim y A4:p56 usan un almacén con una entrada y dos salidas: despachos y deterioro. [video Vensim3:06:34–20:02; video Vensim4]</w:t>
      </w:r>
    </w:p>
    <w:p>
      <w:pPr>
        <w:pStyle w:val="Codigo"/>
      </w:pPr>
      <w:r>
        <w:t xml:space="preserve">Mercancías = INTEG(Entradas − Salidas − Deterioro, 200) [unidades]</w:t>
      </w:r>
    </w:p>
    <w:p>
      <w:pPr>
        <w:pStyle w:val="Codigo"/>
      </w:pPr>
      <w:r>
        <w:t xml:space="preserve">Entradas = 100 [unidades/mes]       (segunda corrida: 120)</w:t>
      </w:r>
    </w:p>
    <w:p>
      <w:pPr>
        <w:pStyle w:val="Codigo"/>
      </w:pPr>
      <w:r>
        <w:t xml:space="preserve">Deterioro = 0.05/mes × Mercancías [unidades/mes]</w:t>
      </w:r>
    </w:p>
    <w:p>
      <w:pPr>
        <w:pStyle w:val="Codigo"/>
      </w:pPr>
      <w:r>
        <w:t xml:space="preserve">Salidas_deseadas = RANDOM UNIFORM(80, 110, 234) [unidades/mes]</w:t>
      </w:r>
    </w:p>
    <w:p>
      <w:pPr>
        <w:pStyle w:val="Codigo"/>
      </w:pPr>
      <w:r>
        <w:t xml:space="preserve">Salidas = IF THEN ELSE(Mercancías &gt; 150, Salidas_deseadas, 60) [unidades/mes]</w:t>
      </w:r>
    </w:p>
    <w:p>
      <w:pPr>
        <w:pStyle w:val="Normal"/>
      </w:pPr>
      <w:r>
        <w:t xml:space="preserve">El nivel informa tanto deterioro como la regla de salida. Más mercancía provoca más deterioro y éste reduce mercancía: balance. Con inventario igual a 150 se aplica la rama de 60, porque la condición es estrictamente «mayor que 150». La media de una uniforme entre 80 y 110 es 95, pero sustituir cada salida por 95 elimina la variación del escenario original.</w:t>
      </w:r>
    </w:p>
    <w:p>
      <w:pPr>
        <w:pStyle w:val="Normal"/>
      </w:pPr>
      <w:r>
        <w:t xml:space="preserve">Con entradas de 100, la estimación de equilibrio usando salidas medias de 95 daría </w:t>
      </w:r>
      <w:r>
        <w:rPr>
          <w:rFonts w:ascii="Source Code Pro" w:cs="Source Code Pro" w:eastAsia="Source Code Pro" w:hAnsi="Source Code Pro"/>
          <w:sz w:val="18"/>
          <w:szCs w:val="18"/>
        </w:rPr>
        <w:t xml:space="preserve">(100 − 95)/0.05 = 100</w:t>
      </w:r>
      <w:r>
        <w:t xml:space="preserve">, incompatible con la rama que exige más de 150. La rama de salida 60 daría 800, incompatible con estar en 150 o menos. Por ello el cambio de reglas puede mantener la trayectoria fluctuando cerca del umbral. Con entradas de 120, la rama alta da una referencia media de 500; el azar produce variación alrededor, no necesariamente un valor fijo exacto.</w:t>
      </w:r>
    </w:p>
    <w:p>
      <w:pPr>
        <w:pStyle w:val="Normal"/>
      </w:pPr>
      <w:r>
        <w:rPr>
          <w:b/>
          <w:bCs/>
        </w:rPr>
        <w:t xml:space="preserve">Correcciones necesarias:</w:t>
      </w:r>
      <w:r>
        <w:t xml:space="preserve"> el tutorial etiqueta el deterioro 0.05 como Dmnl, pero para obtener unidades/mes al multiplicar existencias su dimensión debe ser 1/mes. La regla del umbral no es una garantía universal de no extraer más de lo existente: si se ensayan condiciones extremas o pasos grandes, hace falta comprobar la disponibilidad total frente a todas las salidas. La narración de la lección 4 menciona meses sin salidas; la ecuación transcrita siempre devuelve 60 o un valor entre 80 y 110. Debe priorizarse la ecuación y registrar la discrepancia, no inventar una rama cero.</w:t>
      </w:r>
    </w:p>
    <w:p>
      <w:pPr>
        <w:pStyle w:val="Normal"/>
      </w:pPr>
      <w:r>
        <w:t xml:space="preserve">La semilla permite repetir una secuencia con el </w:t>
      </w:r>
      <w:r>
        <w:rPr>
          <w:b/>
          <w:bCs/>
        </w:rPr>
        <w:t xml:space="preserve">mismo generador</w:t>
      </w:r>
      <w:r>
        <w:t xml:space="preserve">. El portal usa otro generador que Vensim: el número 234 no garantiza coincidencia mensual entre programas. La semilla no elimina la naturaleza estocástica del modelo; hace reproducible una corrida. Comparar 100 y 120 permite explorar sensibilidad al abastecimiento, manteniendo explícitos los demás supuestos.</w:t>
      </w:r>
    </w:p>
    <w:p>
      <w:pPr>
        <w:pStyle w:val="Heading3"/>
      </w:pPr>
      <w:bookmarkStart w:name="b_lectura_c8" w:id="4467"/>
      <w:r>
        <w:t xml:space="preserve">4.5.8 Presa–depredador: poblaciones acopladas, tablas y demoras</w:t>
      </w:r>
      <w:bookmarkEnd w:id="4467"/>
    </w:p>
    <w:p>
      <w:pPr>
        <w:pStyle w:val="Normal"/>
      </w:pPr>
      <w:r>
        <w:t xml:space="preserve">Los dos niveles son presas y depredadores, cada uno con entradas y salidas. Las presas alimentan a los depredadores; los depredadores reducen las presas. La secuencia típica es: aumentan presas, después crecen depredadores, cae la población de presas, luego cae la de depredadores por falta de alimento y las presas pueden recuperarse. Los máximos suelen estar desfasados; no hace falta imponer una función seno para que surja oscilación. [A4:p54–55; L16:p21–36; video UVa zorros:08:35–09:47]</w:t>
      </w:r>
    </w:p>
    <w:p>
      <w:pPr>
        <w:pStyle w:val="Normal"/>
      </w:pPr>
      <w:r>
        <w:t xml:space="preserve">Una versión básica Lotka–Volterra, con x presas e y depredadores, es:</w:t>
      </w:r>
    </w:p>
    <w:p>
      <w:pPr>
        <w:pStyle w:val="Codigo"/>
      </w:pPr>
      <w:r>
        <w:t xml:space="preserve">dx/dt = a·x − b·x·y</w:t>
      </w:r>
    </w:p>
    <w:p>
      <w:pPr>
        <w:pStyle w:val="Codigo"/>
      </w:pPr>
      <w:r>
        <w:t xml:space="preserve">dy/dt = d·x·y − c·y</w:t>
      </w:r>
    </w:p>
    <w:p>
      <w:pPr>
        <w:pStyle w:val="Normal"/>
      </w:pPr>
      <w:r>
        <w:t xml:space="preserve">El crecimiento natural neto de las presas es </w:t>
      </w:r>
      <w:r>
        <w:rPr>
          <w:rFonts w:ascii="Source Code Pro" w:cs="Source Code Pro" w:eastAsia="Source Code Pro" w:hAnsi="Source Code Pro"/>
          <w:sz w:val="18"/>
          <w:szCs w:val="18"/>
        </w:rPr>
        <w:t xml:space="preserve">a·x</w:t>
      </w:r>
      <w:r>
        <w:t xml:space="preserve">; la depredación es </w:t>
      </w:r>
      <w:r>
        <w:rPr>
          <w:rFonts w:ascii="Source Code Pro" w:cs="Source Code Pro" w:eastAsia="Source Code Pro" w:hAnsi="Source Code Pro"/>
          <w:sz w:val="18"/>
          <w:szCs w:val="18"/>
        </w:rPr>
        <w:t xml:space="preserve">b·x·y</w:t>
      </w:r>
      <w:r>
        <w:t xml:space="preserve">; la reproducción de depredadores ligada a alimentación es </w:t>
      </w:r>
      <w:r>
        <w:rPr>
          <w:rFonts w:ascii="Source Code Pro" w:cs="Source Code Pro" w:eastAsia="Source Code Pro" w:hAnsi="Source Code Pro"/>
          <w:sz w:val="18"/>
          <w:szCs w:val="18"/>
        </w:rPr>
        <w:t xml:space="preserve">d·x·y</w:t>
      </w:r>
      <w:r>
        <w:t xml:space="preserve">; su mortalidad es </w:t>
      </w:r>
      <w:r>
        <w:rPr>
          <w:rFonts w:ascii="Source Code Pro" w:cs="Source Code Pro" w:eastAsia="Source Code Pro" w:hAnsi="Source Code Pro"/>
          <w:sz w:val="18"/>
          <w:szCs w:val="18"/>
        </w:rPr>
        <w:t xml:space="preserve">c·y</w:t>
      </w:r>
      <w:r>
        <w:t xml:space="preserve">. a y c tienen dimensión 1/tiempo, mientras que b y d deben convertir el producto de poblaciones en el flujo correspondiente. La lectura intercambia B y D en una explicación verbal; el significado debe obtenerse de qué término modifica cada población. Si no hay depredadores, las presas crecen exponencialmente en esta versión; si no hay presas, los depredadores disminuyen. Es una simplificación con alimento ilimitado para las presas y sin migración.</w:t>
      </w:r>
    </w:p>
    <w:p>
      <w:pPr>
        <w:pStyle w:val="Normal"/>
      </w:pPr>
      <w:r>
        <w:t xml:space="preserve">El video UVa desarrolla una versión más completa: capacidad de carga de conejos, muertes naturales, mortalidad por superpoblación y conejos cazados; utiliza una tabla que relaciona superpoblación con mortalidad. Superpoblación se calcula como población/capacidad de carga. La comida disponible para zorros compara disponibilidad y necesidad alimentaria. El video no da un conjunto completo de valores numéricos para reproducir su corrida; no se deben inventar.</w:t>
      </w:r>
    </w:p>
    <w:p>
      <w:pPr>
        <w:pStyle w:val="Normal"/>
      </w:pPr>
      <w:r>
        <w:t xml:space="preserve">L16 construye otra variante con conejos iniciales 15 y zorros 5. Añade encuentros probables, probabilidad de captura, limitación de comida, una demora de maduración y una tabla para tasa de nacimiento de zorros. El parámetro natural de nacimientos de conejos es 0.20 y su mortalidad natural 0.05; la mortalidad de zorros es 0.08. La lectura ensaya disminuir nacimientos de conejos de 0.20 a 0.16 o mortalidad de 0.05 a 0.01 para observar cambios en las curvas. Esos son escenarios de </w:t>
      </w:r>
      <w:r>
        <w:rPr>
          <w:b/>
          <w:bCs/>
        </w:rPr>
        <w:t xml:space="preserve">esa lectura</w:t>
      </w:r>
      <w:r>
        <w:t xml:space="preserve">, no valores del video UVa ni de todos los simuladores del portal. [L16:p30–46]</w:t>
      </w:r>
    </w:p>
    <w:p>
      <w:pPr>
        <w:pStyle w:val="Normal"/>
      </w:pPr>
      <w:r>
        <w:t xml:space="preserve">La incorporación de una demora separa nacimientos de ingreso de animales adultos cazadores. Si sólo se muestran adultos como nivel, los cachorros deben quedar representados en el retardo o en un nivel adicional, no desaparecer de la contabilidad. La frase del video de que MAX impide morir más animales de los existentes es incorrecta como regla general: MAX puede evitar negativos; una cota superior exige otra formulación coherente con cantidad y tiempo.</w:t>
      </w:r>
    </w:p>
    <w:p>
      <w:pPr>
        <w:pStyle w:val="Heading3"/>
      </w:pPr>
      <w:bookmarkStart w:name="b_lectura_c9" w:id="4468"/>
      <w:r>
        <w:t xml:space="preserve">4.5.9 Otros laboratorios del portal: extensiones, no enunciados originales</w:t>
      </w:r>
      <w:bookmarkEnd w:id="4468"/>
    </w:p>
    <w:p>
      <w:pPr>
        <w:pStyle w:val="Normal"/>
      </w:pPr>
      <w:r>
        <w:t xml:space="preserve">El laboratorio general incluye versiones ilustrativas de logística, Lotka–Volterra, difusión de Bass e inventario con demora. Sus valores por defecto se eligieron para explorar curvas y </w:t>
      </w:r>
      <w:r>
        <w:rPr>
          <w:b/>
          <w:bCs/>
        </w:rPr>
        <w:t xml:space="preserve">no son datos del profesor ni datos empíricos</w:t>
      </w:r>
      <w:r>
        <w:t xml:space="preserve">. Es útil reconocer la estructura sin memorizar esos parámetros como materia oficial adicional.</w:t>
      </w:r>
    </w:p>
    <w:p>
      <w:pPr>
        <w:pStyle w:val="Normal"/>
      </w:pPr>
      <w:r>
        <w:t xml:space="preserve">En Bass, </w:t>
      </w:r>
      <w:r>
        <w:rPr>
          <w:rFonts w:ascii="Source Code Pro" w:cs="Source Code Pro" w:eastAsia="Source Code Pro" w:hAnsi="Source Code Pro"/>
          <w:sz w:val="18"/>
          <w:szCs w:val="18"/>
        </w:rPr>
        <w:t xml:space="preserve">Adopción = (p + q·A/M)(M − A)</w:t>
      </w:r>
      <w:r>
        <w:t xml:space="preserve">: A es adopción acumulada; M, mercado potencial; p representa adopción independiente; q, influencia de adoptantes existentes. El agotamiento de M − A frena el crecimiento. A diferencia de los teléfonos con tasa fija, aquí hay influencia endógena explícita. Con p y q positivos puede producir una S cuando la imitación domina lo suficiente; no todo conjunto de parámetros da la misma forma, ni el pico tiene que coincidir exactamente con la mitad del mercado. Esta ecuación no puede atribuirse al diagrama B1/B2 de C24 sin evidencia adicional.</w:t>
      </w:r>
    </w:p>
    <w:p>
      <w:pPr>
        <w:pStyle w:val="Normal"/>
      </w:pPr>
      <w:r>
        <w:t xml:space="preserve">En el inventario con demora, </w:t>
      </w:r>
      <w:r>
        <w:rPr>
          <w:rFonts w:ascii="Source Code Pro" w:cs="Source Code Pro" w:eastAsia="Source Code Pro" w:hAnsi="Source Code Pro"/>
          <w:sz w:val="18"/>
          <w:szCs w:val="18"/>
        </w:rPr>
        <w:t xml:space="preserve">Pedido deseado = Demanda + (Inventario deseado − Inventario)/Tiempo de ajuste</w:t>
      </w:r>
      <w:r>
        <w:t xml:space="preserve">. La demanda reemplaza las salidas regulares y el segundo término corrige el faltante. Recepciones llegan después de una demora; hacer pedidos nuevos ignorando los que están en camino puede producir sobrepaso. Acortar demasiado el tiempo de ajuste vuelve agresiva la reacción. El tiempo de ajuste de la decisión y la demora de entrega son parámetros diferentes.</w:t>
      </w:r>
    </w:p>
    <w:p>
      <w:pPr>
        <w:pStyle w:val="Normal"/>
      </w:pPr>
      <w:r>
        <w:t xml:space="preserve">Para cualquier laboratorio conviene responder siempre cuatro preguntas: qué nivel cambia, mediante qué flujos, qué conexiones deciden esos flujos y qué supuesto explica la curva. Una selección múltiple acertada no sustituye esa explicación abierta.</w:t>
      </w:r>
    </w:p>
    <w:p>
      <w:pPr>
        <w:pStyle w:val="Heading3"/>
      </w:pPr>
      <w:r>
        <w:t xml:space="preserve">Teléfonos: difusión y saturación</w:t>
      </w:r>
    </w:p>
    <w:p>
      <w:pPr>
        <w:pStyle w:val="Normal"/>
      </w:pPr>
      <w:r>
        <w:t xml:space="preserve">La difusión vecinal refuerza instalaciones mediante más usuarios y uso; el agotamiento de familias sin teléfono compensa instalaciones. Familias totales influye positivamente en sin teléfono y en tasa de uso; B2 influye positivamente en instalaciones y aquí es un parámetro, no el nombre de un ciclo. El esquema no da todas las ecuaciones/valores de uso: no equivale al balance simple de porcentaje fijo ni autoriza inventar una corrida detallada.</w:t>
      </w:r>
    </w:p>
    <w:p>
      <w:pPr>
        <w:pStyle w:val="Fuente"/>
      </w:pPr>
      <w:r>
        <w:t xml:space="preserve">Presentación 4b de octubre (C-8), lámina 57 · Clase 24 · 01:11:23</w:t>
      </w:r>
    </w:p>
    <w:p>
      <w:pPr>
        <w:pStyle w:val="Heading3"/>
      </w:pPr>
      <w:r>
        <w:t xml:space="preserve">Epidemia y Francisco</w:t>
      </w:r>
    </w:p>
    <w:p>
      <w:pPr>
        <w:pStyle w:val="Normal"/>
      </w:pPr>
      <w:r>
        <w:t xml:space="preserve">En la epidemia, la población infectada es un nivel y el contagio es su flujo de entrada. La población vulnerable depende de la frontera y las ecuaciones del modelo.</w:t>
      </w:r>
    </w:p>
    <w:p>
      <w:pPr>
        <w:pStyle w:val="Normal"/>
      </w:pPr>
      <w:r>
        <w:t xml:space="preserve">Francisco: pendientes iniciales 20, deseados 15; compras = 0.75 × (15 − pendientes) y lectura = 0.5 × pendientes, con tiempo en meses.</w:t>
      </w:r>
    </w:p>
    <w:p>
      <w:pPr>
        <w:pStyle w:val="Normal"/>
      </w:pPr>
      <w:r>
        <w:t xml:space="preserve">El modelo original permite compras negativas cuando la brecha es negativa. Limitar las compras con MAX(0, brecha) es una variante que debe declararse.</w:t>
      </w:r>
    </w:p>
    <w:p>
      <w:pPr>
        <w:pStyle w:val="Normal"/>
      </w:pPr>
      <w:r>
        <w:t xml:space="preserve">El equilibrio del caso de Francisco es 9 libros: compras y lectura se igualan. No se obtiene imponiendo que pendientes alcance automáticamente el objetivo de 15.</w:t>
      </w:r>
    </w:p>
    <w:p>
      <w:pPr>
        <w:pStyle w:val="Fuente"/>
      </w:pPr>
      <w:r>
        <w:t xml:space="preserve">Guía de estudio · edición 20/10/2026 · pp. 18–19</w:t>
      </w:r>
    </w:p>
    <w:p>
      <w:pPr>
        <w:pStyle w:val="Heading3"/>
      </w:pPr>
      <w:r>
        <w:t xml:space="preserve">Préstamos y teléfonos</w:t>
      </w:r>
    </w:p>
    <w:p>
      <w:pPr>
        <w:pStyle w:val="Normal"/>
      </w:pPr>
      <w:r>
        <w:t xml:space="preserve">Sin pagos, intereses = tasa × saldo. Con capitalización mensual: saldo(n) = saldo inicial × (1 + tasa)^n; la solución continua usa una exponencial y corresponde a otro supuesto.</w:t>
      </w:r>
    </w:p>
    <w:p>
      <w:pPr>
        <w:pStyle w:val="Normal"/>
      </w:pPr>
      <w:r>
        <w:t xml:space="preserve">Para comparar bancos usa el mismo horizonte y escenario de tasas. Distingue las condiciones originales de las negociadas y comprueba la conclusión con los cálculos.</w:t>
      </w:r>
    </w:p>
    <w:p>
      <w:pPr>
        <w:pStyle w:val="Normal"/>
      </w:pPr>
      <w:r>
        <w:t xml:space="preserve">Teléfonos: instalaciones = tasa × casas sin teléfono; las casas con servicio crecen mientras el flujo de nuevas instalaciones disminuye.</w:t>
      </w:r>
    </w:p>
    <w:p>
      <w:pPr>
        <w:pStyle w:val="Normal"/>
      </w:pPr>
      <w:r>
        <w:t xml:space="preserve">En el modelo proporcional la cobertura exacta es asintótica. Declara el umbral operativo, como menos de una casa pendiente, antes de dar un mes de cobertura.</w:t>
      </w:r>
    </w:p>
    <w:p>
      <w:pPr>
        <w:pStyle w:val="Fuente"/>
      </w:pPr>
      <w:r>
        <w:t xml:space="preserve">Guía de estudio · edición 20/10/2026 · pp. 20–22</w:t>
      </w:r>
    </w:p>
    <w:p>
      <w:pPr>
        <w:pStyle w:val="Heading3"/>
      </w:pPr>
      <w:r>
        <w:t xml:space="preserve">Del balance al patrón</w:t>
      </w:r>
    </w:p>
    <w:p>
      <w:pPr>
        <w:pStyle w:val="Normal"/>
      </w:pPr>
      <w:r>
        <w:t xml:space="preserve">Flujo neto constante: recta. Proporcional al nivel: crecimiento o decrecimiento exponencial. Proporcional a una brecha: aproximación al objetivo.</w:t>
      </w:r>
    </w:p>
    <w:p>
      <w:pPr>
        <w:pStyle w:val="Normal"/>
      </w:pPr>
      <w:r>
        <w:t xml:space="preserve">Los niveles pueden alcanzar equilibrio por igualdad entre flujos; el objetivo que aparece en una ecuación no siempre coincide con el equilibrio del sistema completo.</w:t>
      </w:r>
    </w:p>
    <w:p>
      <w:pPr>
        <w:pStyle w:val="Normal"/>
      </w:pPr>
      <w:r>
        <w:t xml:space="preserve">Anota en cada respuesta las unidades, el método, el horizonte y el significado del resultado. Evita redondear el estado en cada iteración salvo que el modelo lo pida.</w:t>
      </w:r>
    </w:p>
    <w:p>
      <w:pPr>
        <w:pStyle w:val="Fuente"/>
      </w:pPr>
      <w:r>
        <w:t xml:space="preserve">Guía de estudio · edición 20/10/2026 · pp. 16–22</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Procedimiento</w:t>
            </w:r>
          </w:p>
          <w:p>
            <w:pPr>
              <w:pStyle w:val="Recuadro"/>
            </w:pPr>
            <w:r>
              <w:t xml:space="preserve">Resolver un caso del curso y comparar escenarios</w:t>
            </w:r>
          </w:p>
          <w:p>
            <w:pPr>
              <w:pStyle w:val="Recuadro"/>
            </w:pPr>
            <w:r>
              <w:t xml:space="preserve">1. </w:t>
            </w:r>
            <w:r>
              <w:rPr>
                <w:b/>
                <w:bCs/>
              </w:rPr>
              <w:t xml:space="preserve">Traducir.</w:t>
            </w:r>
            <w:r>
              <w:t xml:space="preserve"> Escribe nivel, flujos, auxiliares, parámetros y condición inicial a partir de la historia. (Guía de estudio · edición 20/10/2026 · pp. 16–22)</w:t>
            </w:r>
          </w:p>
          <w:p>
            <w:pPr>
              <w:pStyle w:val="Recuadro"/>
            </w:pPr>
            <w:r>
              <w:t xml:space="preserve">2. </w:t>
            </w:r>
            <w:r>
              <w:rPr>
                <w:b/>
                <w:bCs/>
              </w:rPr>
              <w:t xml:space="preserve">Anticipar.</w:t>
            </w:r>
            <w:r>
              <w:t xml:space="preserve"> Calcula el flujo neto inicial y predice la tendencia. Si corresponde, iguala entradas y salidas para hallar el equilibrio. (Guía de estudio · edición 20/10/2026 · pp. 16–22)</w:t>
            </w:r>
          </w:p>
          <w:p>
            <w:pPr>
              <w:pStyle w:val="Recuadro"/>
            </w:pPr>
            <w:r>
              <w:t xml:space="preserve">3. </w:t>
            </w:r>
            <w:r>
              <w:rPr>
                <w:b/>
                <w:bCs/>
              </w:rPr>
              <w:t xml:space="preserve">Simular.</w:t>
            </w:r>
            <w:r>
              <w:t xml:space="preserve"> Calcula al menos un paso a mano y luego modifica parámetros en el laboratorio, conservando unidades y método. (Guía de estudio · edición 20/10/2026 · pp. 16–22)</w:t>
            </w:r>
          </w:p>
          <w:p>
            <w:pPr>
              <w:pStyle w:val="Recuadro"/>
            </w:pPr>
            <w:r>
              <w:t xml:space="preserve">4. </w:t>
            </w:r>
            <w:r>
              <w:rPr>
                <w:b/>
                <w:bCs/>
              </w:rPr>
              <w:t xml:space="preserve">Interpretar.</w:t>
            </w:r>
            <w:r>
              <w:t xml:space="preserve"> Compara escenarios con el mismo horizonte y explica por qué difieren. Declara cualquier límite físico o umbral operativo. (Guía de estudio · edición 20/10/2026 · pp. 16–22)</w:t>
            </w:r>
          </w:p>
          <w:p>
            <w:pPr>
              <w:pStyle w:val="Recuadro"/>
            </w:pPr>
            <w:r>
              <w:t xml:space="preserve">La respuesta incluye el número y la explicación de cómo la estructura lo produce.</w:t>
            </w:r>
          </w:p>
        </w:tc>
      </w:tr>
    </w:tbl>
    <w:p>
      <w:pPr>
        <w:pStyle w:val="Heading3"/>
      </w:pPr>
      <w:bookmarkStart w:name="b_tabla_4_5_g3_g3_balance" w:id="4469"/>
      <w:r>
        <w:t xml:space="preserve">Nivel, flujo y ecuación</w:t>
      </w:r>
      <w:bookmarkEnd w:id="4469"/>
    </w:p>
    <w:tbl>
      <w:tblPr>
        <w:tblW w:type="dxa" w:w="9632"/>
        <w:tblBorders>
          <w:top w:val="single" w:color="C5D5DB" w:sz="4"/>
          <w:left w:val="single" w:color="C5D5DB" w:sz="4"/>
          <w:bottom w:val="single" w:color="C5D5DB" w:sz="4"/>
          <w:right w:val="single" w:color="C5D5DB" w:sz="4"/>
          <w:insideH w:val="single" w:color="E4E9EB" w:sz="3"/>
          <w:insideV w:val="single" w:color="E4E9EB" w:sz="3"/>
        </w:tblBorders>
        <w:tblLayout w:type="fixed"/>
      </w:tblPr>
      <w:tblGrid>
        <w:gridCol w:w="3212"/>
        <w:gridCol w:w="3210"/>
        <w:gridCol w:w="3210"/>
      </w:tblGrid>
      <w:tr>
        <w:trPr>
          <w:cantSplit/>
          <w:tblHeader/>
        </w:trPr>
        <w:tc>
          <w:tcPr>
            <w:tcW w:type="dxa" w:w="3212"/>
            <w:shd w:fill="DFEAF0" w:val="clear"/>
            <w:tcMar>
              <w:top w:type="dxa" w:w="80"/>
              <w:left w:type="dxa" w:w="100"/>
              <w:bottom w:type="dxa" w:w="80"/>
              <w:right w:type="dxa" w:w="100"/>
            </w:tcMar>
          </w:tcPr>
          <w:p>
            <w:pPr>
              <w:pStyle w:val="Tabla"/>
            </w:pPr>
            <w:r>
              <w:rPr>
                <w:b/>
                <w:bCs/>
              </w:rPr>
              <w:t xml:space="preserve">Elemento</w:t>
            </w:r>
          </w:p>
        </w:tc>
        <w:tc>
          <w:tcPr>
            <w:tcW w:type="dxa" w:w="3210"/>
            <w:shd w:fill="DFEAF0" w:val="clear"/>
            <w:tcMar>
              <w:top w:type="dxa" w:w="80"/>
              <w:left w:type="dxa" w:w="100"/>
              <w:bottom w:type="dxa" w:w="80"/>
              <w:right w:type="dxa" w:w="100"/>
            </w:tcMar>
          </w:tcPr>
          <w:p>
            <w:pPr>
              <w:pStyle w:val="Tabla"/>
            </w:pPr>
            <w:r>
              <w:rPr>
                <w:b/>
                <w:bCs/>
              </w:rPr>
              <w:t xml:space="preserve">Cómo reconocerlo</w:t>
            </w:r>
          </w:p>
        </w:tc>
        <w:tc>
          <w:tcPr>
            <w:tcW w:type="dxa" w:w="3210"/>
            <w:shd w:fill="DFEAF0" w:val="clear"/>
            <w:tcMar>
              <w:top w:type="dxa" w:w="80"/>
              <w:left w:type="dxa" w:w="100"/>
              <w:bottom w:type="dxa" w:w="80"/>
              <w:right w:type="dxa" w:w="100"/>
            </w:tcMar>
          </w:tcPr>
          <w:p>
            <w:pPr>
              <w:pStyle w:val="Tabla"/>
            </w:pPr>
            <w:r>
              <w:rPr>
                <w:b/>
                <w:bCs/>
              </w:rPr>
              <w:t xml:space="preserve">Ejemplo</w:t>
            </w:r>
          </w:p>
        </w:tc>
      </w:tr>
      <w:tr>
        <w:trPr>
          <w:cantSplit/>
          <w:tblHeader w:val="off"/>
        </w:trPr>
        <w:tc>
          <w:tcPr>
            <w:tcW w:type="dxa" w:w="3212"/>
            <w:tcMar>
              <w:top w:type="dxa" w:w="80"/>
              <w:left w:type="dxa" w:w="100"/>
              <w:bottom w:type="dxa" w:w="80"/>
              <w:right w:type="dxa" w:w="100"/>
            </w:tcMar>
          </w:tcPr>
          <w:p>
            <w:pPr>
              <w:pStyle w:val="Tabla"/>
            </w:pPr>
            <w:r>
              <w:t xml:space="preserve">Nivel</w:t>
            </w:r>
          </w:p>
        </w:tc>
        <w:tc>
          <w:tcPr>
            <w:tcW w:type="dxa" w:w="3210"/>
            <w:tcMar>
              <w:top w:type="dxa" w:w="80"/>
              <w:left w:type="dxa" w:w="100"/>
              <w:bottom w:type="dxa" w:w="80"/>
              <w:right w:type="dxa" w:w="100"/>
            </w:tcMar>
          </w:tcPr>
          <w:p>
            <w:pPr>
              <w:pStyle w:val="Tabla"/>
            </w:pPr>
            <w:r>
              <w:t xml:space="preserve">Cantidad que existe en un instante</w:t>
            </w:r>
          </w:p>
        </w:tc>
        <w:tc>
          <w:tcPr>
            <w:tcW w:type="dxa" w:w="3210"/>
            <w:tcMar>
              <w:top w:type="dxa" w:w="80"/>
              <w:left w:type="dxa" w:w="100"/>
              <w:bottom w:type="dxa" w:w="80"/>
              <w:right w:type="dxa" w:w="100"/>
            </w:tcMar>
          </w:tcPr>
          <w:p>
            <w:pPr>
              <w:pStyle w:val="Tabla"/>
            </w:pPr>
            <w:r>
              <w:t xml:space="preserve">Agua [litros]</w:t>
            </w:r>
          </w:p>
        </w:tc>
      </w:tr>
      <w:tr>
        <w:trPr>
          <w:cantSplit/>
          <w:tblHeader w:val="off"/>
        </w:trPr>
        <w:tc>
          <w:tcPr>
            <w:tcW w:type="dxa" w:w="3212"/>
            <w:tcMar>
              <w:top w:type="dxa" w:w="80"/>
              <w:left w:type="dxa" w:w="100"/>
              <w:bottom w:type="dxa" w:w="80"/>
              <w:right w:type="dxa" w:w="100"/>
            </w:tcMar>
          </w:tcPr>
          <w:p>
            <w:pPr>
              <w:pStyle w:val="Tabla"/>
            </w:pPr>
            <w:r>
              <w:t xml:space="preserve">Flujo</w:t>
            </w:r>
          </w:p>
        </w:tc>
        <w:tc>
          <w:tcPr>
            <w:tcW w:type="dxa" w:w="3210"/>
            <w:tcMar>
              <w:top w:type="dxa" w:w="80"/>
              <w:left w:type="dxa" w:w="100"/>
              <w:bottom w:type="dxa" w:w="80"/>
              <w:right w:type="dxa" w:w="100"/>
            </w:tcMar>
          </w:tcPr>
          <w:p>
            <w:pPr>
              <w:pStyle w:val="Tabla"/>
            </w:pPr>
            <w:r>
              <w:t xml:space="preserve">Cantidad por unidad de tiempo</w:t>
            </w:r>
          </w:p>
        </w:tc>
        <w:tc>
          <w:tcPr>
            <w:tcW w:type="dxa" w:w="3210"/>
            <w:tcMar>
              <w:top w:type="dxa" w:w="80"/>
              <w:left w:type="dxa" w:w="100"/>
              <w:bottom w:type="dxa" w:w="80"/>
              <w:right w:type="dxa" w:w="100"/>
            </w:tcMar>
          </w:tcPr>
          <w:p>
            <w:pPr>
              <w:pStyle w:val="Tabla"/>
            </w:pPr>
            <w:r>
              <w:t xml:space="preserve">Entrada [litros/minuto]</w:t>
            </w:r>
          </w:p>
        </w:tc>
      </w:tr>
      <w:tr>
        <w:trPr>
          <w:cantSplit/>
          <w:tblHeader w:val="off"/>
        </w:trPr>
        <w:tc>
          <w:tcPr>
            <w:tcW w:type="dxa" w:w="3212"/>
            <w:tcMar>
              <w:top w:type="dxa" w:w="80"/>
              <w:left w:type="dxa" w:w="100"/>
              <w:bottom w:type="dxa" w:w="80"/>
              <w:right w:type="dxa" w:w="100"/>
            </w:tcMar>
          </w:tcPr>
          <w:p>
            <w:pPr>
              <w:pStyle w:val="Tabla"/>
            </w:pPr>
            <w:r>
              <w:t xml:space="preserve">Auxiliar</w:t>
            </w:r>
          </w:p>
        </w:tc>
        <w:tc>
          <w:tcPr>
            <w:tcW w:type="dxa" w:w="3210"/>
            <w:tcMar>
              <w:top w:type="dxa" w:w="80"/>
              <w:left w:type="dxa" w:w="100"/>
              <w:bottom w:type="dxa" w:w="80"/>
              <w:right w:type="dxa" w:w="100"/>
            </w:tcMar>
          </w:tcPr>
          <w:p>
            <w:pPr>
              <w:pStyle w:val="Tabla"/>
            </w:pPr>
            <w:r>
              <w:t xml:space="preserve">Cálculo que usa el modelo</w:t>
            </w:r>
          </w:p>
        </w:tc>
        <w:tc>
          <w:tcPr>
            <w:tcW w:type="dxa" w:w="3210"/>
            <w:tcMar>
              <w:top w:type="dxa" w:w="80"/>
              <w:left w:type="dxa" w:w="100"/>
              <w:bottom w:type="dxa" w:w="80"/>
              <w:right w:type="dxa" w:w="100"/>
            </w:tcMar>
          </w:tcPr>
          <w:p>
            <w:pPr>
              <w:pStyle w:val="Tabla"/>
            </w:pPr>
            <w:r>
              <w:t xml:space="preserve">Brecha = objetivo − nivel</w:t>
            </w:r>
          </w:p>
        </w:tc>
      </w:tr>
      <w:tr>
        <w:trPr>
          <w:cantSplit/>
          <w:tblHeader w:val="off"/>
        </w:trPr>
        <w:tc>
          <w:tcPr>
            <w:tcW w:type="dxa" w:w="3212"/>
            <w:tcMar>
              <w:top w:type="dxa" w:w="80"/>
              <w:left w:type="dxa" w:w="100"/>
              <w:bottom w:type="dxa" w:w="80"/>
              <w:right w:type="dxa" w:w="100"/>
            </w:tcMar>
          </w:tcPr>
          <w:p>
            <w:pPr>
              <w:pStyle w:val="Tabla"/>
            </w:pPr>
            <w:r>
              <w:t xml:space="preserve">Parámetro</w:t>
            </w:r>
          </w:p>
        </w:tc>
        <w:tc>
          <w:tcPr>
            <w:tcW w:type="dxa" w:w="3210"/>
            <w:tcMar>
              <w:top w:type="dxa" w:w="80"/>
              <w:left w:type="dxa" w:w="100"/>
              <w:bottom w:type="dxa" w:w="80"/>
              <w:right w:type="dxa" w:w="100"/>
            </w:tcMar>
          </w:tcPr>
          <w:p>
            <w:pPr>
              <w:pStyle w:val="Tabla"/>
            </w:pPr>
            <w:r>
              <w:t xml:space="preserve">Valor fijado para la corrida</w:t>
            </w:r>
          </w:p>
        </w:tc>
        <w:tc>
          <w:tcPr>
            <w:tcW w:type="dxa" w:w="3210"/>
            <w:tcMar>
              <w:top w:type="dxa" w:w="80"/>
              <w:left w:type="dxa" w:w="100"/>
              <w:bottom w:type="dxa" w:w="80"/>
              <w:right w:type="dxa" w:w="100"/>
            </w:tcMar>
          </w:tcPr>
          <w:p>
            <w:pPr>
              <w:pStyle w:val="Tabla"/>
            </w:pPr>
            <w:r>
              <w:t xml:space="preserve">Tasa [1/mes]</w:t>
            </w:r>
          </w:p>
        </w:tc>
      </w:tr>
      <w:tr>
        <w:trPr>
          <w:cantSplit/>
          <w:tblHeader w:val="off"/>
        </w:trPr>
        <w:tc>
          <w:tcPr>
            <w:tcW w:type="dxa" w:w="3212"/>
            <w:tcMar>
              <w:top w:type="dxa" w:w="80"/>
              <w:left w:type="dxa" w:w="100"/>
              <w:bottom w:type="dxa" w:w="80"/>
              <w:right w:type="dxa" w:w="100"/>
            </w:tcMar>
          </w:tcPr>
          <w:p>
            <w:pPr>
              <w:pStyle w:val="Tabla"/>
            </w:pPr>
            <w:r>
              <w:t xml:space="preserve">Balance</w:t>
            </w:r>
          </w:p>
        </w:tc>
        <w:tc>
          <w:tcPr>
            <w:tcW w:type="dxa" w:w="3210"/>
            <w:tcMar>
              <w:top w:type="dxa" w:w="80"/>
              <w:left w:type="dxa" w:w="100"/>
              <w:bottom w:type="dxa" w:w="80"/>
              <w:right w:type="dxa" w:w="100"/>
            </w:tcMar>
          </w:tcPr>
          <w:p>
            <w:pPr>
              <w:pStyle w:val="Tabla"/>
            </w:pPr>
            <w:r>
              <w:t xml:space="preserve">La diferencia entre entradas y salidas</w:t>
            </w:r>
          </w:p>
        </w:tc>
        <w:tc>
          <w:tcPr>
            <w:tcW w:type="dxa" w:w="3210"/>
            <w:tcMar>
              <w:top w:type="dxa" w:w="80"/>
              <w:left w:type="dxa" w:w="100"/>
              <w:bottom w:type="dxa" w:w="80"/>
              <w:right w:type="dxa" w:w="100"/>
            </w:tcMar>
          </w:tcPr>
          <w:p>
            <w:pPr>
              <w:pStyle w:val="Tabla"/>
            </w:pPr>
            <w:r>
              <w:t xml:space="preserve">dN/dt = E − S</w:t>
            </w:r>
          </w:p>
        </w:tc>
      </w:tr>
      <w:tr>
        <w:trPr>
          <w:cantSplit/>
          <w:tblHeader w:val="off"/>
        </w:trPr>
        <w:tc>
          <w:tcPr>
            <w:tcW w:type="dxa" w:w="3212"/>
            <w:tcMar>
              <w:top w:type="dxa" w:w="80"/>
              <w:left w:type="dxa" w:w="100"/>
              <w:bottom w:type="dxa" w:w="80"/>
              <w:right w:type="dxa" w:w="100"/>
            </w:tcMar>
          </w:tcPr>
          <w:p>
            <w:pPr>
              <w:pStyle w:val="Tabla"/>
            </w:pPr>
            <w:r>
              <w:t xml:space="preserve">Euler</w:t>
            </w:r>
          </w:p>
        </w:tc>
        <w:tc>
          <w:tcPr>
            <w:tcW w:type="dxa" w:w="3210"/>
            <w:tcMar>
              <w:top w:type="dxa" w:w="80"/>
              <w:left w:type="dxa" w:w="100"/>
              <w:bottom w:type="dxa" w:w="80"/>
              <w:right w:type="dxa" w:w="100"/>
            </w:tcMar>
          </w:tcPr>
          <w:p>
            <w:pPr>
              <w:pStyle w:val="Tabla"/>
            </w:pPr>
            <w:r>
              <w:t xml:space="preserve">El flujo neto se multiplica por el paso</w:t>
            </w:r>
          </w:p>
        </w:tc>
        <w:tc>
          <w:tcPr>
            <w:tcW w:type="dxa" w:w="3210"/>
            <w:tcMar>
              <w:top w:type="dxa" w:w="80"/>
              <w:left w:type="dxa" w:w="100"/>
              <w:bottom w:type="dxa" w:w="80"/>
              <w:right w:type="dxa" w:w="100"/>
            </w:tcMar>
          </w:tcPr>
          <w:p>
            <w:pPr>
              <w:pStyle w:val="Tabla"/>
            </w:pPr>
            <w:r>
              <w:t xml:space="preserve">N(t + Δt) = N(t) + (E(t) − S(t)) · Δt</w:t>
            </w:r>
          </w:p>
        </w:tc>
      </w:tr>
      <w:tr>
        <w:trPr>
          <w:cantSplit/>
          <w:tblHeader w:val="off"/>
        </w:trPr>
        <w:tc>
          <w:tcPr>
            <w:tcW w:type="dxa" w:w="3212"/>
            <w:tcMar>
              <w:top w:type="dxa" w:w="80"/>
              <w:left w:type="dxa" w:w="100"/>
              <w:bottom w:type="dxa" w:w="80"/>
              <w:right w:type="dxa" w:w="100"/>
            </w:tcMar>
          </w:tcPr>
          <w:p>
            <w:pPr>
              <w:pStyle w:val="Tabla"/>
            </w:pPr>
            <w:r>
              <w:t xml:space="preserve">Vensim</w:t>
            </w:r>
          </w:p>
        </w:tc>
        <w:tc>
          <w:tcPr>
            <w:tcW w:type="dxa" w:w="3210"/>
            <w:tcMar>
              <w:top w:type="dxa" w:w="80"/>
              <w:left w:type="dxa" w:w="100"/>
              <w:bottom w:type="dxa" w:w="80"/>
              <w:right w:type="dxa" w:w="100"/>
            </w:tcMar>
          </w:tcPr>
          <w:p>
            <w:pPr>
              <w:pStyle w:val="Tabla"/>
            </w:pPr>
            <w:r>
              <w:t xml:space="preserve">Integra el flujo neto desde el valor inicial</w:t>
            </w:r>
          </w:p>
        </w:tc>
        <w:tc>
          <w:tcPr>
            <w:tcW w:type="dxa" w:w="3210"/>
            <w:tcMar>
              <w:top w:type="dxa" w:w="80"/>
              <w:left w:type="dxa" w:w="100"/>
              <w:bottom w:type="dxa" w:w="80"/>
              <w:right w:type="dxa" w:w="100"/>
            </w:tcMar>
          </w:tcPr>
          <w:p>
            <w:pPr>
              <w:pStyle w:val="Tabla"/>
            </w:pPr>
            <w:r>
              <w:t xml:space="preserve">N = INTEG(E − S, N inicial)</w:t>
            </w:r>
          </w:p>
        </w:tc>
      </w:tr>
    </w:tbl>
    <w:p>
      <w:pPr>
        <w:pStyle w:val="Fuente"/>
      </w:pPr>
      <w:r>
        <w:t xml:space="preserve">Síntesis editorial de la guía, pp. 11–16. Una flecha de información no es una tubería.</w:t>
      </w:r>
    </w:p>
    <w:p>
      <w:pPr>
        <w:pStyle w:val="Heading3"/>
      </w:pPr>
      <w:r>
        <w:t xml:space="preserve">Lo que dicen las presentaciones</w:t>
      </w:r>
    </w:p>
    <w:p>
      <w:pPr>
        <w:pStyle w:val="Heading3"/>
      </w:pPr>
      <w:bookmarkStart w:name="b_pagina_4_5_C_7_p16" w:id="4470"/>
      <w:r>
        <w:t xml:space="preserve">C-7 · página 16 · DYNAMO y curva de la epidemia</w:t>
      </w:r>
      <w:bookmarkEnd w:id="4470"/>
    </w:p>
    <w:p>
      <w:pPr>
        <w:pStyle w:val="Normal"/>
      </w:pPr>
      <w:r>
        <w:t xml:space="preserve">El listado y su gráfica conservan las constantes y dos erratas de rotulación.</w:t>
      </w:r>
    </w:p>
    <w:p>
      <w:pPr>
        <w:pStyle w:val="Fuente"/>
      </w:pPr>
      <w:r>
        <w:t xml:space="preserve">Véase </w:t>
      </w:r>
      <w:hyperlink w:history="1" w:anchor="b_figura_original_pagina_C_7_16">
        <w:r>
          <w:rPr>
            <w:color w:val="156B70"/>
            <w:u w:val="single"/>
          </w:rPr>
          <w:t xml:space="preserve">imagen de C-7, página 16</w:t>
        </w:r>
      </w:hyperlink>
      <w:r>
        <w:t xml:space="preserve">, pág. </w:t>
      </w:r>
      <w:r>
        <w:fldChar w:fldCharType="begin"/>
        <w:instrText xml:space="preserve">PAGEREF b_figura_original_pagina_C_7_16 \h</w:instrText>
        <w:fldChar w:fldCharType="separate"/>
        <w:t xml:space="preserve">784</w:t>
        <w:fldChar w:fldCharType="end"/>
      </w:r>
      <w:r>
        <w:t xml:space="preserve">.</w:t>
      </w:r>
    </w:p>
    <w:p>
      <w:bookmarkStart w:name="b_punto_c7_p016_02" w:id="4471"/>
      <w:r>
        <w:t xml:space="preserve">PI inicial 10, IPC 0.15, TNC 0.025, PT 100; paso 0.25, horizonte 40 yguardado 1.</w:t>
      </w:r>
      <w:bookmarkEnd w:id="4471"/>
    </w:p>
    <w:p>
      <w:pPr>
        <w:pStyle w:val="Fuente"/>
      </w:pPr>
      <w:r>
        <w:t xml:space="preserve">Véase </w:t>
      </w:r>
      <w:hyperlink w:history="1" w:anchor="b_4_4">
        <w:r>
          <w:rPr>
            <w:color w:val="156B70"/>
            <w:u w:val="single"/>
          </w:rPr>
          <w:t xml:space="preserve">capítulo 4.4 · Simulación con VENSIM</w:t>
        </w:r>
      </w:hyperlink>
      <w:r>
        <w:t xml:space="preserve">, pág. </w:t>
      </w:r>
      <w:r>
        <w:fldChar w:fldCharType="begin"/>
        <w:instrText xml:space="preserve">PAGEREF b_4_4 \h</w:instrText>
        <w:fldChar w:fldCharType="separate"/>
        <w:t xml:space="preserve">776</w:t>
        <w:fldChar w:fldCharType="end"/>
      </w:r>
      <w:r>
        <w:t xml:space="preserve">.</w:t>
      </w:r>
    </w:p>
    <w:p>
      <w:pPr>
        <w:pStyle w:val="Fuente"/>
      </w:pPr>
      <w:r>
        <w:t xml:space="preserve">Véase </w:t>
      </w:r>
      <w:hyperlink w:history="1" w:anchor="b_4_3">
        <w:r>
          <w:rPr>
            <w:color w:val="156B70"/>
            <w:u w:val="single"/>
          </w:rPr>
          <w:t xml:space="preserve">capítulo 4.3 · De ciclos causales a flujos</w:t>
        </w:r>
      </w:hyperlink>
      <w:r>
        <w:t xml:space="preserve">, pág. </w:t>
      </w:r>
      <w:r>
        <w:fldChar w:fldCharType="begin"/>
        <w:instrText xml:space="preserve">PAGEREF b_4_3 \h</w:instrText>
        <w:fldChar w:fldCharType="separate"/>
        <w:t xml:space="preserve">737</w:t>
        <w:fldChar w:fldCharType="end"/>
      </w:r>
      <w:r>
        <w:t xml:space="preserve">.</w:t>
      </w:r>
    </w:p>
    <w:p>
      <w:pPr>
        <w:pStyle w:val="Heading3"/>
      </w:pPr>
      <w:bookmarkStart w:name="b_pagina_4_5_C_7_p19" w:id="4472"/>
      <w:r>
        <w:t xml:space="preserve">C-7 · página 19 · DYNAMO y curva de la epidemia</w:t>
      </w:r>
      <w:bookmarkEnd w:id="4472"/>
    </w:p>
    <w:p>
      <w:pPr>
        <w:pStyle w:val="Normal"/>
      </w:pPr>
      <w:r>
        <w:t xml:space="preserve">El listado y su gráfica conservan las constantes y dos erratas de rotulación.</w:t>
      </w:r>
    </w:p>
    <w:p>
      <w:pPr>
        <w:pStyle w:val="Fuente"/>
      </w:pPr>
      <w:r>
        <w:t xml:space="preserve">Véase </w:t>
      </w:r>
      <w:hyperlink w:history="1" w:anchor="b_figura_original_pagina_C_7_19">
        <w:r>
          <w:rPr>
            <w:color w:val="156B70"/>
            <w:u w:val="single"/>
          </w:rPr>
          <w:t xml:space="preserve">imagen de C-7, página 19</w:t>
        </w:r>
      </w:hyperlink>
      <w:r>
        <w:t xml:space="preserve">, pág. </w:t>
      </w:r>
      <w:r>
        <w:fldChar w:fldCharType="begin"/>
        <w:instrText xml:space="preserve">PAGEREF b_figura_original_pagina_C_7_19 \h</w:instrText>
        <w:fldChar w:fldCharType="separate"/>
        <w:t xml:space="preserve">785</w:t>
        <w:fldChar w:fldCharType="end"/>
      </w:r>
      <w:r>
        <w:t xml:space="preserve">.</w:t>
      </w:r>
    </w:p>
    <w:p>
      <w:bookmarkStart w:name="b_punto_c7_p019_02" w:id="4473"/>
      <w:r>
        <w:t xml:space="preserve">PI inicial 10, IPC 0.15, TNC 0.025, PT 100; paso 0.25, horizonte 40 yguardado 1.</w:t>
      </w:r>
      <w:bookmarkEnd w:id="4473"/>
    </w:p>
    <w:p>
      <w:pPr>
        <w:pStyle w:val="Fuente"/>
      </w:pPr>
      <w:r>
        <w:t xml:space="preserve">Véase </w:t>
      </w:r>
      <w:hyperlink w:history="1" w:anchor="b_4_4">
        <w:r>
          <w:rPr>
            <w:color w:val="156B70"/>
            <w:u w:val="single"/>
          </w:rPr>
          <w:t xml:space="preserve">capítulo 4.4 · Simulación con VENSIM</w:t>
        </w:r>
      </w:hyperlink>
      <w:r>
        <w:t xml:space="preserve">, pág. </w:t>
      </w:r>
      <w:r>
        <w:fldChar w:fldCharType="begin"/>
        <w:instrText xml:space="preserve">PAGEREF b_4_4 \h</w:instrText>
        <w:fldChar w:fldCharType="separate"/>
        <w:t xml:space="preserve">776</w:t>
        <w:fldChar w:fldCharType="end"/>
      </w:r>
      <w:r>
        <w:t xml:space="preserve">.</w:t>
      </w:r>
    </w:p>
    <w:p>
      <w:pPr>
        <w:pStyle w:val="Fuente"/>
      </w:pPr>
      <w:r>
        <w:t xml:space="preserve">Véase </w:t>
      </w:r>
      <w:hyperlink w:history="1" w:anchor="b_4_3">
        <w:r>
          <w:rPr>
            <w:color w:val="156B70"/>
            <w:u w:val="single"/>
          </w:rPr>
          <w:t xml:space="preserve">capítulo 4.3 · De ciclos causales a flujos</w:t>
        </w:r>
      </w:hyperlink>
      <w:r>
        <w:t xml:space="preserve">, pág. </w:t>
      </w:r>
      <w:r>
        <w:fldChar w:fldCharType="begin"/>
        <w:instrText xml:space="preserve">PAGEREF b_4_3 \h</w:instrText>
        <w:fldChar w:fldCharType="separate"/>
        <w:t xml:space="preserve">737</w:t>
        <w:fldChar w:fldCharType="end"/>
      </w:r>
      <w:r>
        <w:t xml:space="preserve">.</w:t>
      </w:r>
    </w:p>
    <w:p>
      <w:pPr>
        <w:pStyle w:val="Heading3"/>
      </w:pPr>
      <w:bookmarkStart w:name="b_pagina_4_5_C_7_p20" w:id="4474"/>
      <w:r>
        <w:t xml:space="preserve">C-7 · página 20 · Francisco y los libros</w:t>
      </w:r>
      <w:bookmarkEnd w:id="4474"/>
    </w:p>
    <w:p>
      <w:pPr>
        <w:pStyle w:val="Normal"/>
      </w:pPr>
      <w:r>
        <w:t xml:space="preserve">Desde 20 pendientes, se busca una referencia de 15; compras 75% del faltante y lectura 50% mensual.</w:t>
      </w:r>
    </w:p>
    <w:p>
      <w:pPr>
        <w:pStyle w:val="Fuente"/>
      </w:pPr>
      <w:r>
        <w:t xml:space="preserve">Proyección o explicación: Clase 20 · 00:51:13 · captura c20-04.</w:t>
      </w:r>
    </w:p>
    <w:p>
      <w:pPr>
        <w:keepNext/>
        <w:spacing w:after="40" w:before="150"/>
        <w:jc w:val="center"/>
      </w:pPr>
      <w:bookmarkStart w:name="b_figura_original_pagina_C_7_20" w:id="4475"/>
      <w:bookmarkEnd w:id="4475"/>
      <w:r>
        <w:drawing>
          <wp:inline distT="0" distB="0" distL="0" distR="0">
            <wp:extent cx="5381625" cy="3028950"/>
            <wp:effectExtent t="0" r="0" b="0" l="0"/>
            <wp:docPr id="155" name="pagina-C-7-20" descr="Presentación C-7, pág. 20" title="Francisco y los libr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30" cstate="none"/>
                    <a:srcRect/>
                    <a:stretch>
                      <a:fillRect/>
                    </a:stretch>
                  </pic:blipFill>
                  <pic:spPr bwMode="auto">
                    <a:xfrm>
                      <a:off x="0" y="0"/>
                      <a:ext cx="5381625" cy="3028950"/>
                    </a:xfrm>
                    <a:prstGeom prst="rect">
                      <a:avLst/>
                    </a:prstGeom>
                  </pic:spPr>
                </pic:pic>
              </a:graphicData>
            </a:graphic>
          </wp:inline>
        </w:drawing>
      </w:r>
    </w:p>
    <w:p>
      <w:pPr>
        <w:pStyle w:val="PieFigura"/>
        <w:keepNext/>
      </w:pPr>
      <w:bookmarkStart w:name="b_fig_4_5_1" w:id="4476"/>
      <w:r>
        <w:t xml:space="preserve">Figura 4.5.</w:t>
      </w:r>
      <w:fldSimple w:instr="SEQ Figura \r 1 \* ARABIC">
        <w:r>
          <w:t xml:space="preserve">1</w:t>
        </w:r>
      </w:fldSimple>
      <w:r>
        <w:t xml:space="preserve"> · Francisco y los libros</w:t>
      </w:r>
      <w:bookmarkEnd w:id="4476"/>
    </w:p>
    <w:p>
      <w:pPr>
        <w:pStyle w:val="Fuente"/>
      </w:pPr>
      <w:r>
        <w:t xml:space="preserve">Presentación C-7, pág. 20</w:t>
      </w:r>
    </w:p>
    <w:p>
      <w:bookmarkStart w:name="b_punto_c7_p020_01" w:id="4477"/>
      <w:r>
        <w:t xml:space="preserve">Estado inicial 20 y referencia 15 son datos distintos.</w:t>
      </w:r>
      <w:bookmarkEnd w:id="4477"/>
    </w:p>
    <w:p>
      <w:bookmarkStart w:name="b_punto_c7_p020_02" w:id="4478"/>
      <w:r>
        <w:t xml:space="preserve">Compras=0.75·(15−pendientes) y lectura=0.5·pendientes.</w:t>
      </w:r>
      <w:bookmarkEnd w:id="4478"/>
    </w:p>
    <w:p>
      <w:bookmarkStart w:name="b_punto_c7_p020_03" w:id="4479"/>
      <w:r>
        <w:t xml:space="preserve">Se pide observar pendientes y libros leídos por mes después del tercero.</w:t>
      </w:r>
      <w:bookmarkEnd w:id="4479"/>
    </w:p>
    <w:p>
      <w:bookmarkStart w:name="b_punto_c7_p020_04" w:id="4480"/>
      <w:r>
        <w:t xml:space="preserve">El modelo original puede dar compras negativas; el ajusteMAX(0, brecha) es una variante editorial.</w:t>
      </w:r>
      <w:bookmarkEnd w:id="4480"/>
    </w:p>
    <w:p>
      <w:bookmarkStart w:name="b_punto_c7_p020_05" w:id="4481"/>
      <w:r>
        <w:t xml:space="preserve">La receta de Francisco corresponde a la Presentación 4a de octubre (C-7), láminas 20–21, y a la explicación de la clase 20.</w:t>
      </w:r>
      <w:bookmarkEnd w:id="4481"/>
    </w:p>
    <w:p>
      <w:pPr>
        <w:pStyle w:val="Heading3"/>
      </w:pPr>
      <w:bookmarkStart w:name="b_pagina_4_5_C_7_p21" w:id="4482"/>
      <w:r>
        <w:t xml:space="preserve">C-7 · página 21 · Francisco: diagrama y conversión</w:t>
      </w:r>
      <w:bookmarkEnd w:id="4482"/>
    </w:p>
    <w:p>
      <w:pPr>
        <w:pStyle w:val="Normal"/>
      </w:pPr>
      <w:r>
        <w:t xml:space="preserve">Compras, pendientes, faltante y lectura deben formar dos balances, aunque el deck marque refuerzo.</w:t>
      </w:r>
    </w:p>
    <w:p>
      <w:pPr>
        <w:keepNext/>
        <w:spacing w:after="40" w:before="150"/>
        <w:jc w:val="center"/>
      </w:pPr>
      <w:bookmarkStart w:name="b_figura_original_pagina_C_7_21" w:id="4483"/>
      <w:bookmarkEnd w:id="4483"/>
      <w:r>
        <w:drawing>
          <wp:inline distT="0" distB="0" distL="0" distR="0">
            <wp:extent cx="5381625" cy="3028950"/>
            <wp:effectExtent t="0" r="0" b="0" l="0"/>
            <wp:docPr id="156" name="pagina-C-7-21" descr="Presentación C-7, pág. 21. Precisión: Libros pendientes → diferencia debe ser negativo: diferencia = objetivo − pendientes. El ciclo de compras es de balance, al igual que el de lectura; el refuerzo impreso es erróneo. Aunque el encabezado anuncia flujos y niveles, la imagen sigue siendo un DCC, no un DFN formalizado." title="Francisco: diagrama y conversió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31" cstate="none"/>
                    <a:srcRect/>
                    <a:stretch>
                      <a:fillRect/>
                    </a:stretch>
                  </pic:blipFill>
                  <pic:spPr bwMode="auto">
                    <a:xfrm>
                      <a:off x="0" y="0"/>
                      <a:ext cx="5381625" cy="3028950"/>
                    </a:xfrm>
                    <a:prstGeom prst="rect">
                      <a:avLst/>
                    </a:prstGeom>
                  </pic:spPr>
                </pic:pic>
              </a:graphicData>
            </a:graphic>
          </wp:inline>
        </w:drawing>
      </w:r>
    </w:p>
    <w:p>
      <w:pPr>
        <w:pStyle w:val="PieFigura"/>
        <w:keepNext/>
      </w:pPr>
      <w:bookmarkStart w:name="b_fig_4_5_2" w:id="4484"/>
      <w:r>
        <w:t xml:space="preserve">Figura 4.5.</w:t>
      </w:r>
      <w:fldSimple w:instr="SEQ Figura \n \* ARABIC">
        <w:r>
          <w:t xml:space="preserve">2</w:t>
        </w:r>
      </w:fldSimple>
      <w:r>
        <w:t xml:space="preserve"> · Francisco: diagrama y conversión</w:t>
      </w:r>
      <w:bookmarkEnd w:id="4484"/>
    </w:p>
    <w:p>
      <w:pPr>
        <w:pStyle w:val="Fuente"/>
      </w:pPr>
      <w:r>
        <w:t xml:space="preserve">Presentación C-7, pág. 21. Precisión: Libros pendientes → diferencia debe ser negativo: diferencia = objetivo − pendientes. El ciclo de compras es de balance, al igual que el de lectura; el refuerzo impreso es erróneo. Aunque el encabezado anuncia flujos y niveles, la imagen sigue siendo un DCC, no un DFN formalizado.</w:t>
      </w:r>
    </w:p>
    <w:p>
      <w:bookmarkStart w:name="b_punto_c7_p021_01" w:id="4485"/>
      <w:r>
        <w:t xml:space="preserve">Pendientes es nivel; compras entra, lectura sale y la referencia es parámetro.</w:t>
      </w:r>
      <w:bookmarkEnd w:id="4485"/>
    </w:p>
    <w:p>
      <w:bookmarkStart w:name="b_punto_c7_p021_02" w:id="4486"/>
      <w:r>
        <w:t xml:space="preserve">Más pendientes reduce la brecha y las compras; el recorrido es de balance.</w:t>
      </w:r>
      <w:bookmarkEnd w:id="4486"/>
    </w:p>
    <w:p>
      <w:bookmarkStart w:name="b_punto_c7_p021_03" w:id="4487"/>
      <w:r>
        <w:t xml:space="preserve">La lectura también forma un balance al reducir el inventario que la determina.</w:t>
      </w:r>
      <w:bookmarkEnd w:id="4487"/>
    </w:p>
    <w:p>
      <w:bookmarkStart w:name="b_punto_c7_p021_04" w:id="4488"/>
      <w:r>
        <w:t xml:space="preserve">El signo positivo pendientes→diferencia y el refuerzo de compras impresos son errores; el título anunciaForrester pero la imagen sigue siendoDCC.</w:t>
      </w:r>
      <w:bookmarkEnd w:id="4488"/>
    </w:p>
    <w:p>
      <w:pPr>
        <w:pStyle w:val="Heading3"/>
      </w:pPr>
      <w:bookmarkStart w:name="b_pagina_4_5_C_7_p25" w:id="4489"/>
      <w:r>
        <w:t xml:space="preserve">C-7 · página 25 · Elementos básicos de modelado</w:t>
      </w:r>
      <w:bookmarkEnd w:id="4489"/>
    </w:p>
    <w:p>
      <w:pPr>
        <w:pStyle w:val="Normal"/>
      </w:pPr>
      <w:r>
        <w:t xml:space="preserve">El video sintetiza influencias, estado, flujo, auxiliares, retrasos y patrones.</w:t>
      </w:r>
    </w:p>
    <w:p>
      <w:bookmarkStart w:name="b_punto_c7_p025_01" w:id="4490"/>
      <w:r>
        <w:t xml:space="preserve">La síntesis enumera influencias y realimentación, estado o memoria, flujo, fuentes/sumideros, auxiliares y retrasos.</w:t>
      </w:r>
      <w:bookmarkEnd w:id="4490"/>
    </w:p>
    <w:p>
      <w:bookmarkStart w:name="b_punto_c7_p025_02" w:id="4491"/>
      <w:r>
        <w:t xml:space="preserve">Los arquetipos o patrones dinámicos conectan estructura y comportamientos generados.</w:t>
      </w:r>
      <w:bookmarkEnd w:id="4491"/>
    </w:p>
    <w:p>
      <w:pPr>
        <w:pStyle w:val="Heading3"/>
      </w:pPr>
      <w:bookmarkStart w:name="b_pagina_4_5_C_7_p26" w:id="4492"/>
      <w:r>
        <w:t xml:space="preserve">C-7 · página 26 · Patrones habituales</w:t>
      </w:r>
      <w:bookmarkEnd w:id="4492"/>
    </w:p>
    <w:p>
      <w:pPr>
        <w:pStyle w:val="Normal"/>
      </w:pPr>
      <w:r>
        <w:t xml:space="preserve">Siete patrones generales se repiten con otras escalas, parámetros y unidades.</w:t>
      </w:r>
    </w:p>
    <w:p>
      <w:pPr>
        <w:pStyle w:val="Fuente"/>
      </w:pPr>
      <w:r>
        <w:t xml:space="preserve">Proyección o explicación: Clase 21 · 00:29:50.</w:t>
      </w:r>
    </w:p>
    <w:p>
      <w:bookmarkStart w:name="b_punto_c7_p026_01" w:id="4493"/>
      <w:r>
        <w:t xml:space="preserve">Patrón: crecimiento exponencial.</w:t>
      </w:r>
      <w:bookmarkEnd w:id="4493"/>
    </w:p>
    <w:p>
      <w:bookmarkStart w:name="b_punto_c7_p026_02" w:id="4494"/>
      <w:r>
        <w:t xml:space="preserve">Patrón: decrecimiento exponencial.</w:t>
      </w:r>
      <w:bookmarkEnd w:id="4494"/>
    </w:p>
    <w:p>
      <w:bookmarkStart w:name="b_punto_c7_p026_03" w:id="4495"/>
      <w:r>
        <w:t xml:space="preserve">Patrón: convergencia a un valor.</w:t>
      </w:r>
      <w:bookmarkEnd w:id="4495"/>
    </w:p>
    <w:p>
      <w:bookmarkStart w:name="b_punto_c7_p026_04" w:id="4496"/>
      <w:r>
        <w:t xml:space="preserve">Patrón: crecimiento enS.</w:t>
      </w:r>
      <w:bookmarkEnd w:id="4496"/>
    </w:p>
    <w:p>
      <w:bookmarkStart w:name="b_punto_c7_p026_05" w:id="4497"/>
      <w:r>
        <w:t xml:space="preserve">Patrón: oscilación.</w:t>
      </w:r>
      <w:bookmarkEnd w:id="4497"/>
    </w:p>
    <w:p>
      <w:bookmarkStart w:name="b_punto_c7_p026_06" w:id="4498"/>
      <w:r>
        <w:t xml:space="preserve">Patrón: sobrepaso y colapso.</w:t>
      </w:r>
      <w:bookmarkEnd w:id="4498"/>
    </w:p>
    <w:p>
      <w:bookmarkStart w:name="b_punto_c7_p026_07" w:id="4499"/>
      <w:r>
        <w:t xml:space="preserve">Patrón: crecimiento con sobrepaso.</w:t>
      </w:r>
      <w:bookmarkEnd w:id="4499"/>
    </w:p>
    <w:p>
      <w:bookmarkStart w:name="b_punto_c7_p026_08" w:id="4500"/>
      <w:r>
        <w:t xml:space="preserve">Una trayectoria parecida puede aparecer en sistemas distintos; la figura por sí sola no determina una ecuación única.</w:t>
      </w:r>
      <w:bookmarkEnd w:id="4500"/>
    </w:p>
    <w:p>
      <w:pPr>
        <w:pStyle w:val="Heading3"/>
      </w:pPr>
      <w:bookmarkStart w:name="b_pagina_4_5_C_7_p27" w:id="4501"/>
      <w:r>
        <w:t xml:space="preserve">C-7 · página 27 · Crecimiento simple</w:t>
      </w:r>
      <w:bookmarkEnd w:id="4501"/>
    </w:p>
    <w:p>
      <w:pPr>
        <w:pStyle w:val="Normal"/>
      </w:pPr>
      <w:r>
        <w:t xml:space="preserve">Una entrada 100 y salida 50 producen flujo neto constante desde 1000.</w:t>
      </w:r>
    </w:p>
    <w:p>
      <w:bookmarkStart w:name="b_punto_c7_p027_01" w:id="4502"/>
      <w:r>
        <w:t xml:space="preserve">Nivel inicial 1000; entrada 100 y salida 50, ambas constantes.</w:t>
      </w:r>
      <w:bookmarkEnd w:id="4502"/>
    </w:p>
    <w:p>
      <w:bookmarkStart w:name="b_punto_c7_p027_02" w:id="4503"/>
      <w:r>
        <w:t xml:space="preserve">dS/dt=50; S(t)=1000+50t.</w:t>
      </w:r>
      <w:bookmarkEnd w:id="4503"/>
    </w:p>
    <w:p>
      <w:bookmarkStart w:name="b_punto_c7_p027_03" w:id="4504"/>
      <w:r>
        <w:t xml:space="preserve">La recta tiene pendiente constante y no necesita realimentación.</w:t>
      </w:r>
      <w:bookmarkEnd w:id="4504"/>
    </w:p>
    <w:p>
      <w:pPr>
        <w:pStyle w:val="Heading3"/>
      </w:pPr>
      <w:bookmarkStart w:name="b_pagina_4_5_C_7_p28" w:id="4505"/>
      <w:r>
        <w:t xml:space="preserve">C-7 · página 28 · Crecimiento cuadrático</w:t>
      </w:r>
      <w:bookmarkEnd w:id="4505"/>
    </w:p>
    <w:p>
      <w:pPr>
        <w:pStyle w:val="Normal"/>
      </w:pPr>
      <w:r>
        <w:t xml:space="preserve">La entrada 50t+50 y salida 50 producen un nivel cuadrático.</w:t>
      </w:r>
    </w:p>
    <w:p>
      <w:pPr>
        <w:keepNext/>
        <w:spacing w:after="40" w:before="150"/>
        <w:jc w:val="center"/>
      </w:pPr>
      <w:bookmarkStart w:name="b_figura_original_pagina_C_7_28" w:id="4506"/>
      <w:bookmarkEnd w:id="4506"/>
      <w:r>
        <w:drawing>
          <wp:inline distT="0" distB="0" distL="0" distR="0">
            <wp:extent cx="5381625" cy="3028950"/>
            <wp:effectExtent t="0" r="0" b="0" l="0"/>
            <wp:docPr id="157" name="pagina-C-7-28" descr="Presentación C-7, pág. 28. Precisión: Con entrada 50t + 50 y salida 50, S(t) = 1000 + 25t² da 251 000 a t = 100. La gráfica termina cerca de 51 000 y no corresponde a esas reglas." title="Crecimiento cuadráti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32" cstate="none"/>
                    <a:srcRect/>
                    <a:stretch>
                      <a:fillRect/>
                    </a:stretch>
                  </pic:blipFill>
                  <pic:spPr bwMode="auto">
                    <a:xfrm>
                      <a:off x="0" y="0"/>
                      <a:ext cx="5381625" cy="3028950"/>
                    </a:xfrm>
                    <a:prstGeom prst="rect">
                      <a:avLst/>
                    </a:prstGeom>
                  </pic:spPr>
                </pic:pic>
              </a:graphicData>
            </a:graphic>
          </wp:inline>
        </w:drawing>
      </w:r>
    </w:p>
    <w:p>
      <w:pPr>
        <w:pStyle w:val="PieFigura"/>
        <w:keepNext/>
      </w:pPr>
      <w:bookmarkStart w:name="b_fig_4_5_3" w:id="4507"/>
      <w:r>
        <w:t xml:space="preserve">Figura 4.5.</w:t>
      </w:r>
      <w:fldSimple w:instr="SEQ Figura \n \* ARABIC">
        <w:r>
          <w:t xml:space="preserve">3</w:t>
        </w:r>
      </w:fldSimple>
      <w:r>
        <w:t xml:space="preserve"> · Crecimiento cuadrático</w:t>
      </w:r>
      <w:bookmarkEnd w:id="4507"/>
    </w:p>
    <w:p>
      <w:pPr>
        <w:pStyle w:val="Fuente"/>
      </w:pPr>
      <w:r>
        <w:t xml:space="preserve">Presentación C-7, pág. 28. Precisión: Con entrada 50t + 50 y salida 50, S(t) = 1000 + 25t² da 251 000 a t = 100. La gráfica termina cerca de 51 000 y no corresponde a esas reglas.</w:t>
      </w:r>
    </w:p>
    <w:p>
      <w:bookmarkStart w:name="b_punto_c7_p028_01" w:id="4508"/>
      <w:r>
        <w:t xml:space="preserve">Nivel inicial 1000; entrada 50t+50 y salida 50.</w:t>
      </w:r>
      <w:bookmarkEnd w:id="4508"/>
    </w:p>
    <w:p>
      <w:bookmarkStart w:name="b_punto_c7_p028_02" w:id="4509"/>
      <w:r>
        <w:t xml:space="preserve">dS/dt=50t; S(t)=1000+25t².</w:t>
      </w:r>
      <w:bookmarkEnd w:id="4509"/>
    </w:p>
    <w:p>
      <w:bookmarkStart w:name="b_punto_c7_p028_03" w:id="4510"/>
      <w:r>
        <w:t xml:space="preserve">La gráfica cercana a51.000 en t=100 contradice los 251.000 de la fórmula correcta.</w:t>
      </w:r>
      <w:bookmarkEnd w:id="4510"/>
    </w:p>
    <w:p>
      <w:pPr>
        <w:pStyle w:val="Heading3"/>
      </w:pPr>
      <w:bookmarkStart w:name="b_pagina_4_5_C_7_p29" w:id="4511"/>
      <w:r>
        <w:t xml:space="preserve">C-7 · página 29 · Refuerzo a corto plazo</w:t>
      </w:r>
      <w:bookmarkEnd w:id="4511"/>
    </w:p>
    <w:p>
      <w:pPr>
        <w:pStyle w:val="Normal"/>
      </w:pPr>
      <w:r>
        <w:t xml:space="preserve">Se compara entrada proporcional con otras trayectorias durante las primeras diez horas.</w:t>
      </w:r>
    </w:p>
    <w:p>
      <w:bookmarkStart w:name="b_punto_c7_p029_01" w:id="4512"/>
      <w:r>
        <w:t xml:space="preserve">Inicial 1000; entrada 0.1S y salida 50.</w:t>
      </w:r>
      <w:bookmarkEnd w:id="4512"/>
    </w:p>
    <w:p>
      <w:bookmarkStart w:name="b_punto_c7_p029_02" w:id="4513"/>
      <w:r>
        <w:t xml:space="preserve">La entrada depende del nivel: existe realimentación.</w:t>
      </w:r>
      <w:bookmarkEnd w:id="4513"/>
    </w:p>
    <w:p>
      <w:bookmarkStart w:name="b_punto_c7_p029_03" w:id="4514"/>
      <w:r>
        <w:t xml:space="preserve">Las primeras diez horas permiten comparar patrones; un horizonte corto puede ocultar diferencias posteriores.</w:t>
      </w:r>
      <w:bookmarkEnd w:id="4514"/>
    </w:p>
    <w:p>
      <w:pPr>
        <w:pStyle w:val="Heading3"/>
      </w:pPr>
      <w:bookmarkStart w:name="b_pagina_4_5_C_7_p30" w:id="4515"/>
      <w:r>
        <w:t xml:space="preserve">C-7 · página 30 · Refuerzo a largo plazo</w:t>
      </w:r>
      <w:bookmarkEnd w:id="4515"/>
    </w:p>
    <w:p>
      <w:pPr>
        <w:pStyle w:val="Normal"/>
      </w:pPr>
      <w:r>
        <w:t xml:space="preserve">El horizonte amplio revela crecimiento exponencial y permite comprobar el inicial.</w:t>
      </w:r>
    </w:p>
    <w:p>
      <w:pPr>
        <w:keepNext/>
        <w:spacing w:after="40" w:before="150"/>
        <w:jc w:val="center"/>
      </w:pPr>
      <w:bookmarkStart w:name="b_figura_original_pagina_C_7_30" w:id="4516"/>
      <w:bookmarkEnd w:id="4516"/>
      <w:r>
        <w:drawing>
          <wp:inline distT="0" distB="0" distL="0" distR="0">
            <wp:extent cx="5381625" cy="3028950"/>
            <wp:effectExtent t="0" r="0" b="0" l="0"/>
            <wp:docPr id="158" name="pagina-C-7-30" descr="Presentación C-7, pág. 30. Precisión: La solución impresa incumple S(0) = 1000. Para S′ = 0,1S − 50, la solución es S(t) = 500 + 500·e^(0,1t)." title="Refuerzo a largo plaz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33" cstate="none"/>
                    <a:srcRect/>
                    <a:stretch>
                      <a:fillRect/>
                    </a:stretch>
                  </pic:blipFill>
                  <pic:spPr bwMode="auto">
                    <a:xfrm>
                      <a:off x="0" y="0"/>
                      <a:ext cx="5381625" cy="3028950"/>
                    </a:xfrm>
                    <a:prstGeom prst="rect">
                      <a:avLst/>
                    </a:prstGeom>
                  </pic:spPr>
                </pic:pic>
              </a:graphicData>
            </a:graphic>
          </wp:inline>
        </w:drawing>
      </w:r>
    </w:p>
    <w:p>
      <w:pPr>
        <w:pStyle w:val="PieFigura"/>
        <w:keepNext/>
      </w:pPr>
      <w:bookmarkStart w:name="b_fig_4_5_4" w:id="4517"/>
      <w:r>
        <w:t xml:space="preserve">Figura 4.5.</w:t>
      </w:r>
      <w:fldSimple w:instr="SEQ Figura \n \* ARABIC">
        <w:r>
          <w:t xml:space="preserve">4</w:t>
        </w:r>
      </w:fldSimple>
      <w:r>
        <w:t xml:space="preserve"> · Refuerzo a largo plazo</w:t>
      </w:r>
      <w:bookmarkEnd w:id="4517"/>
    </w:p>
    <w:p>
      <w:pPr>
        <w:pStyle w:val="Fuente"/>
      </w:pPr>
      <w:r>
        <w:t xml:space="preserve">Presentación C-7, pág. 30. Precisión: La solución impresa incumple S(0) = 1000. Para S′ = 0,1S − 50, la solución es S(t) = 500 + 500·e^(0,1t).</w:t>
      </w:r>
    </w:p>
    <w:p>
      <w:bookmarkStart w:name="b_punto_c7_p030_01" w:id="4518"/>
      <w:r>
        <w:t xml:space="preserve">La ecuación es dS/dt=0.1S−50 desde 1000.</w:t>
      </w:r>
      <w:bookmarkEnd w:id="4518"/>
    </w:p>
    <w:p>
      <w:bookmarkStart w:name="b_punto_c7_p030_02" w:id="4519"/>
      <w:r>
        <w:t xml:space="preserve">La solución correcta continua es 500+500e^(0.1t).</w:t>
      </w:r>
      <w:bookmarkEnd w:id="4519"/>
    </w:p>
    <w:p>
      <w:bookmarkStart w:name="b_punto_c7_p030_03" w:id="4520"/>
      <w:r>
        <w:t xml:space="preserve">La fórmula impresa incumple el inicial; Euler con paso 1 y solución continua dan cifras distintas.</w:t>
      </w:r>
      <w:bookmarkEnd w:id="4520"/>
    </w:p>
    <w:p>
      <w:pPr>
        <w:pStyle w:val="Heading3"/>
      </w:pPr>
      <w:bookmarkStart w:name="b_pagina_4_5_C_7_p31" w:id="4521"/>
      <w:r>
        <w:t xml:space="preserve">C-7 · página 31 · Doble realimentación a corto plazo</w:t>
      </w:r>
      <w:bookmarkEnd w:id="4521"/>
    </w:p>
    <w:p>
      <w:pPr>
        <w:pStyle w:val="Normal"/>
      </w:pPr>
      <w:r>
        <w:t xml:space="preserve">Entrada 0.11S y salida 0.10S dejan tasa neta 0.01S.</w:t>
      </w:r>
    </w:p>
    <w:p>
      <w:bookmarkStart w:name="b_punto_c7_p031_01" w:id="4522"/>
      <w:r>
        <w:t xml:space="preserve">Ambos flujos dependen del nivel con tasas 0.11 y 0.10.</w:t>
      </w:r>
      <w:bookmarkEnd w:id="4522"/>
    </w:p>
    <w:p>
      <w:bookmarkStart w:name="b_punto_c7_p031_02" w:id="4523"/>
      <w:r>
        <w:t xml:space="preserve">La derivada neta es 0.01S y el nivel parte en 1000.</w:t>
      </w:r>
      <w:bookmarkEnd w:id="4523"/>
    </w:p>
    <w:p>
      <w:bookmarkStart w:name="b_punto_c7_p031_03" w:id="4524"/>
      <w:r>
        <w:t xml:space="preserve">Tener un refuerzo y un balance no garantiza una curvaS.</w:t>
      </w:r>
      <w:bookmarkEnd w:id="4524"/>
    </w:p>
    <w:p>
      <w:pPr>
        <w:pStyle w:val="Heading3"/>
      </w:pPr>
      <w:bookmarkStart w:name="b_pagina_4_5_C_7_p32" w:id="4525"/>
      <w:r>
        <w:t xml:space="preserve">C-7 · página 32 · Doble realimentación a largo plazo</w:t>
      </w:r>
      <w:bookmarkEnd w:id="4525"/>
    </w:p>
    <w:p>
      <w:pPr>
        <w:pStyle w:val="Normal"/>
      </w:pPr>
      <w:r>
        <w:t xml:space="preserve">La tasa neta 0.01S produce exponencial; la constante y la escala de la lámina requieren corrección.</w:t>
      </w:r>
    </w:p>
    <w:p>
      <w:pPr>
        <w:keepNext/>
        <w:spacing w:after="40" w:before="150"/>
        <w:jc w:val="center"/>
      </w:pPr>
      <w:bookmarkStart w:name="b_figura_original_pagina_C_7_32" w:id="4526"/>
      <w:bookmarkEnd w:id="4526"/>
      <w:r>
        <w:drawing>
          <wp:inline distT="0" distB="0" distL="0" distR="0">
            <wp:extent cx="5381625" cy="3028950"/>
            <wp:effectExtent t="0" r="0" b="0" l="0"/>
            <wp:docPr id="159" name="pagina-C-7-32" descr="Presentación C-7, pág. 32. Precisión: La solución impresa añade 1000 de más: la correcta es S(t) = 1000·e^(0,01·t). Además, la curva llega cerca de 50 000 a t = 100, incompatible con S′ = 0,01S y S(0) = 1000: el valor continuo es 2718,28; Euler con paso 1 da 2704,81. La ecuación y el inicial, no esa escala gráfica, determinan la corrida." title="Doble realimentación a largo plaz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34" cstate="none"/>
                    <a:srcRect/>
                    <a:stretch>
                      <a:fillRect/>
                    </a:stretch>
                  </pic:blipFill>
                  <pic:spPr bwMode="auto">
                    <a:xfrm>
                      <a:off x="0" y="0"/>
                      <a:ext cx="5381625" cy="3028950"/>
                    </a:xfrm>
                    <a:prstGeom prst="rect">
                      <a:avLst/>
                    </a:prstGeom>
                  </pic:spPr>
                </pic:pic>
              </a:graphicData>
            </a:graphic>
          </wp:inline>
        </w:drawing>
      </w:r>
    </w:p>
    <w:p>
      <w:pPr>
        <w:pStyle w:val="PieFigura"/>
        <w:keepNext/>
      </w:pPr>
      <w:bookmarkStart w:name="b_fig_4_5_5" w:id="4527"/>
      <w:r>
        <w:t xml:space="preserve">Figura 4.5.</w:t>
      </w:r>
      <w:fldSimple w:instr="SEQ Figura \n \* ARABIC">
        <w:r>
          <w:t xml:space="preserve">5</w:t>
        </w:r>
      </w:fldSimple>
      <w:r>
        <w:t xml:space="preserve"> · Doble realimentación a largo plazo</w:t>
      </w:r>
      <w:bookmarkEnd w:id="4527"/>
    </w:p>
    <w:p>
      <w:pPr>
        <w:pStyle w:val="Fuente"/>
      </w:pPr>
      <w:r>
        <w:t xml:space="preserve">Presentación C-7, pág. 32. Precisión: La solución impresa añade 1000 de más: la correcta es S(t) = 1000·e^(0,01·t). Además, la curva llega cerca de 50 000 a t = 100, incompatible con S′ = 0,01S y S(0) = 1000: el valor continuo es 2718,28; Euler con paso 1 da 2704,81. La ecuación y el inicial, no esa escala gráfica, determinan la corrida.</w:t>
      </w:r>
    </w:p>
    <w:p>
      <w:bookmarkStart w:name="b_punto_c7_p032_01" w:id="4528"/>
      <w:r>
        <w:t xml:space="preserve">dS/dt=0.01S desde 1000; solución 1000e^(0.01t).</w:t>
      </w:r>
      <w:bookmarkEnd w:id="4528"/>
    </w:p>
    <w:p>
      <w:bookmarkStart w:name="b_punto_c7_p032_02" w:id="4529"/>
      <w:r>
        <w:t xml:space="preserve">La constante adicional impresa daría 2000 en t=0 y es incorrecta.</w:t>
      </w:r>
      <w:bookmarkEnd w:id="4529"/>
    </w:p>
    <w:p>
      <w:bookmarkStart w:name="b_punto_c7_p032_03" w:id="4530"/>
      <w:r>
        <w:t xml:space="preserve">Los tiempos continuos para duplicar y multiplicar por 10 son ln(2)/0.01 y ln(10)/0.01.</w:t>
      </w:r>
      <w:bookmarkEnd w:id="4530"/>
    </w:p>
    <w:p>
      <w:bookmarkStart w:name="b_punto_c7_p032_04" w:id="4531"/>
      <w:r>
        <w:t xml:space="preserve">La gráfica termina cerca de 50.000 en t=100, pero la ecuación da 2718.28 de forma continua y 2704.81 con Euler de paso 1.</w:t>
      </w:r>
      <w:bookmarkEnd w:id="4531"/>
    </w:p>
    <w:p>
      <w:pPr>
        <w:pStyle w:val="Heading3"/>
      </w:pPr>
      <w:bookmarkStart w:name="b_pagina_4_5_C_7_p33" w:id="4532"/>
      <w:r>
        <w:t xml:space="preserve">C-7 · página 33 · Decrecimiento con realimentación</w:t>
      </w:r>
      <w:bookmarkEnd w:id="4532"/>
    </w:p>
    <w:p>
      <w:pPr>
        <w:pStyle w:val="Normal"/>
      </w:pPr>
      <w:r>
        <w:t xml:space="preserve">La salida 0.11S supera la entrada 0.10S y el nivel decae exponencialmente.</w:t>
      </w:r>
    </w:p>
    <w:p>
      <w:bookmarkStart w:name="b_punto_c7_p033_01" w:id="4533"/>
      <w:r>
        <w:t xml:space="preserve">Inicial 1000; entrada 0.1S y salida 0.11S.</w:t>
      </w:r>
      <w:bookmarkEnd w:id="4533"/>
    </w:p>
    <w:p>
      <w:bookmarkStart w:name="b_punto_c7_p033_02" w:id="4534"/>
      <w:r>
        <w:t xml:space="preserve">dS/dt=−0.01S; solución 1000e^(−0.01t).</w:t>
      </w:r>
      <w:bookmarkEnd w:id="4534"/>
    </w:p>
    <w:p>
      <w:bookmarkStart w:name="b_punto_c7_p033_03" w:id="4535"/>
      <w:r>
        <w:t xml:space="preserve">La mitad y una décima parte requieren ln(2)/0.01 y ln(10)/0.01.</w:t>
      </w:r>
      <w:bookmarkEnd w:id="4535"/>
    </w:p>
    <w:p>
      <w:pPr>
        <w:pStyle w:val="Heading3"/>
      </w:pPr>
      <w:bookmarkStart w:name="b_pagina_4_5_C_7_p34" w:id="4536"/>
      <w:r>
        <w:t xml:space="preserve">C-7 · página 34 · Convergencia con referencia de entrada</w:t>
      </w:r>
      <w:bookmarkEnd w:id="4536"/>
    </w:p>
    <w:p>
      <w:pPr>
        <w:pStyle w:val="Normal"/>
      </w:pPr>
      <w:r>
        <w:t xml:space="preserve">Una entrada según faltante y una salida permanente estabilizan por debajo de la referencia.</w:t>
      </w:r>
    </w:p>
    <w:p>
      <w:bookmarkStart w:name="b_punto_c7_p034_01" w:id="4537"/>
      <w:r>
        <w:t xml:space="preserve">Faltante=referencia−stock; entrada 0.2 por faltante positivo.</w:t>
      </w:r>
      <w:bookmarkEnd w:id="4537"/>
    </w:p>
    <w:p>
      <w:bookmarkStart w:name="b_punto_c7_p034_02" w:id="4538"/>
      <w:r>
        <w:t xml:space="preserve">La salida permanente 0.1S exige igualar ambos flujos en equilibrio.</w:t>
      </w:r>
      <w:bookmarkEnd w:id="4538"/>
    </w:p>
    <w:p>
      <w:bookmarkStart w:name="b_punto_c7_p034_03" w:id="4539"/>
      <w:r>
        <w:t xml:space="preserve">El equilibrio es 2M/3; M=5000 para explicar 3333.33 es un supuesto editorial declarado.</w:t>
      </w:r>
      <w:bookmarkEnd w:id="4539"/>
    </w:p>
    <w:p>
      <w:bookmarkStart w:name="b_punto_c7_p034_04" w:id="4540"/>
      <w:r>
        <w:t xml:space="preserve">La condición error&lt;0 del panel izquierdo está invertida: la entrada actúa con error positivo.</w:t>
      </w:r>
      <w:bookmarkEnd w:id="4540"/>
    </w:p>
    <w:p>
      <w:pPr>
        <w:pStyle w:val="Heading3"/>
      </w:pPr>
      <w:bookmarkStart w:name="b_pagina_4_5_C_7_p35" w:id="4541"/>
      <w:r>
        <w:t xml:space="preserve">C-7 · página 35 · Referencia de entrada y salida</w:t>
      </w:r>
      <w:bookmarkEnd w:id="4541"/>
    </w:p>
    <w:p>
      <w:pPr>
        <w:pStyle w:val="Normal"/>
      </w:pPr>
      <w:r>
        <w:t xml:space="preserve">Entradas y salidas correctivas buscan 5000 desde 1000.</w:t>
      </w:r>
    </w:p>
    <w:p>
      <w:pPr>
        <w:keepNext/>
        <w:spacing w:after="40" w:before="150"/>
        <w:jc w:val="center"/>
      </w:pPr>
      <w:bookmarkStart w:name="b_figura_original_pagina_C_7_35" w:id="4542"/>
      <w:bookmarkEnd w:id="4542"/>
      <w:r>
        <w:drawing>
          <wp:inline distT="0" distB="0" distL="0" distR="0">
            <wp:extent cx="5381625" cy="3028950"/>
            <wp:effectExtent t="0" r="0" b="0" l="0"/>
            <wp:docPr id="160" name="pagina-C-7-35" descr="Presentación C-7, pág. 35. Precisión: Los paneles muestran formulaciones distintas: el izquierdo conserva una salida proporcional y una condición de entrada invertida; no genera la referencia del derecho. En el modelo de corrección hacia 5000 del panel derecho, si error = referencia − stock es negativo, la salida debe ser −0,1·error = 0,1·(stock − referencia), positiva." title="Referencia de entrada y sali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35" cstate="none"/>
                    <a:srcRect/>
                    <a:stretch>
                      <a:fillRect/>
                    </a:stretch>
                  </pic:blipFill>
                  <pic:spPr bwMode="auto">
                    <a:xfrm>
                      <a:off x="0" y="0"/>
                      <a:ext cx="5381625" cy="3028950"/>
                    </a:xfrm>
                    <a:prstGeom prst="rect">
                      <a:avLst/>
                    </a:prstGeom>
                  </pic:spPr>
                </pic:pic>
              </a:graphicData>
            </a:graphic>
          </wp:inline>
        </w:drawing>
      </w:r>
    </w:p>
    <w:p>
      <w:pPr>
        <w:pStyle w:val="PieFigura"/>
        <w:keepNext/>
      </w:pPr>
      <w:bookmarkStart w:name="b_fig_4_5_6" w:id="4543"/>
      <w:r>
        <w:t xml:space="preserve">Figura 4.5.</w:t>
      </w:r>
      <w:fldSimple w:instr="SEQ Figura \n \* ARABIC">
        <w:r>
          <w:t xml:space="preserve">6</w:t>
        </w:r>
      </w:fldSimple>
      <w:r>
        <w:t xml:space="preserve"> · Referencia de entrada y salida</w:t>
      </w:r>
      <w:bookmarkEnd w:id="4543"/>
    </w:p>
    <w:p>
      <w:pPr>
        <w:pStyle w:val="Fuente"/>
      </w:pPr>
      <w:r>
        <w:t xml:space="preserve">Presentación C-7, pág. 35. Precisión: Los paneles muestran formulaciones distintas: el izquierdo conserva una salida proporcional y una condición de entrada invertida; no genera la referencia del derecho. En el modelo de corrección hacia 5000 del panel derecho, si error = referencia − stock es negativo, la salida debe ser −0,1·error = 0,1·(stock − referencia), positiva.</w:t>
      </w:r>
    </w:p>
    <w:p>
      <w:bookmarkStart w:name="b_punto_c7_p035_01" w:id="4544"/>
      <w:r>
        <w:t xml:space="preserve">Inicial 1000; referencia 5000; faltante=referencia−stock.</w:t>
      </w:r>
      <w:bookmarkEnd w:id="4544"/>
    </w:p>
    <w:p>
      <w:bookmarkStart w:name="b_punto_c7_p035_02" w:id="4545"/>
      <w:r>
        <w:t xml:space="preserve">Entrada con faltante positivo y salida con exceso respecto de la referencia.</w:t>
      </w:r>
      <w:bookmarkEnd w:id="4545"/>
    </w:p>
    <w:p>
      <w:bookmarkStart w:name="b_punto_c7_p035_03" w:id="4546"/>
      <w:r>
        <w:t xml:space="preserve">La salida es 0.1·(stock−referencia), no 0.1 por un error negativo.</w:t>
      </w:r>
      <w:bookmarkEnd w:id="4546"/>
    </w:p>
    <w:p>
      <w:bookmarkStart w:name="b_punto_c7_p035_04" w:id="4547"/>
      <w:r>
        <w:t xml:space="preserve">Solución continua 5000−4000e^(−0.1t).</w:t>
      </w:r>
      <w:bookmarkEnd w:id="4547"/>
    </w:p>
    <w:p>
      <w:pPr>
        <w:pStyle w:val="Heading3"/>
      </w:pPr>
      <w:bookmarkStart w:name="b_pagina_4_5_C_7_p36" w:id="4548"/>
      <w:r>
        <w:t xml:space="preserve">C-7 · página 36 · Convergencia a un valor inferior</w:t>
      </w:r>
      <w:bookmarkEnd w:id="4548"/>
    </w:p>
    <w:p>
      <w:pPr>
        <w:pStyle w:val="Normal"/>
      </w:pPr>
      <w:r>
        <w:t xml:space="preserve">Desde 1000, una salida correctiva conduce hacia 500.</w:t>
      </w:r>
    </w:p>
    <w:p>
      <w:pPr>
        <w:keepNext/>
        <w:spacing w:after="40" w:before="150"/>
        <w:jc w:val="center"/>
      </w:pPr>
      <w:bookmarkStart w:name="b_figura_original_pagina_C_7_36" w:id="4549"/>
      <w:bookmarkEnd w:id="4549"/>
      <w:r>
        <w:drawing>
          <wp:inline distT="0" distB="0" distL="0" distR="0">
            <wp:extent cx="5381625" cy="3028950"/>
            <wp:effectExtent t="0" r="0" b="0" l="0"/>
            <wp:docPr id="161" name="pagina-C-7-36" descr="Presentación C-7, pág. 36. Precisión: Si error = referencia − stock es negativo, la salida tiene que ser −0,1·error = 0,1·(stock − referencia), positiva; así el nivel desciende de 1000 hacia 500." title="Convergencia a un valor inferi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36" cstate="none"/>
                    <a:srcRect/>
                    <a:stretch>
                      <a:fillRect/>
                    </a:stretch>
                  </pic:blipFill>
                  <pic:spPr bwMode="auto">
                    <a:xfrm>
                      <a:off x="0" y="0"/>
                      <a:ext cx="5381625" cy="3028950"/>
                    </a:xfrm>
                    <a:prstGeom prst="rect">
                      <a:avLst/>
                    </a:prstGeom>
                  </pic:spPr>
                </pic:pic>
              </a:graphicData>
            </a:graphic>
          </wp:inline>
        </w:drawing>
      </w:r>
    </w:p>
    <w:p>
      <w:pPr>
        <w:pStyle w:val="PieFigura"/>
        <w:keepNext/>
      </w:pPr>
      <w:bookmarkStart w:name="b_fig_4_5_7" w:id="4550"/>
      <w:r>
        <w:t xml:space="preserve">Figura 4.5.</w:t>
      </w:r>
      <w:fldSimple w:instr="SEQ Figura \n \* ARABIC">
        <w:r>
          <w:t xml:space="preserve">7</w:t>
        </w:r>
      </w:fldSimple>
      <w:r>
        <w:t xml:space="preserve"> · Convergencia a un valor inferior</w:t>
      </w:r>
      <w:bookmarkEnd w:id="4550"/>
    </w:p>
    <w:p>
      <w:pPr>
        <w:pStyle w:val="Fuente"/>
      </w:pPr>
      <w:r>
        <w:t xml:space="preserve">Presentación C-7, pág. 36. Precisión: Si error = referencia − stock es negativo, la salida tiene que ser −0,1·error = 0,1·(stock − referencia), positiva; así el nivel desciende de 1000 hacia 500.</w:t>
      </w:r>
    </w:p>
    <w:p>
      <w:bookmarkStart w:name="b_punto_c7_p036_01" w:id="4551"/>
      <w:r>
        <w:t xml:space="preserve">Inicial 1000 y referencia 500.</w:t>
      </w:r>
      <w:bookmarkEnd w:id="4551"/>
    </w:p>
    <w:p>
      <w:bookmarkStart w:name="b_punto_c7_p036_02" w:id="4552"/>
      <w:r>
        <w:t xml:space="preserve">La salida positiva es 0.1·(stock−500); la expresión por error negativo debe corregirse.</w:t>
      </w:r>
      <w:bookmarkEnd w:id="4552"/>
    </w:p>
    <w:p>
      <w:bookmarkStart w:name="b_punto_c7_p036_03" w:id="4553"/>
      <w:r>
        <w:t xml:space="preserve">Solución continua 500+500e^(−0.1t), acercamiento asintótico.</w:t>
      </w:r>
      <w:bookmarkEnd w:id="4553"/>
    </w:p>
    <w:p>
      <w:pPr>
        <w:pStyle w:val="Heading3"/>
      </w:pPr>
      <w:bookmarkStart w:name="b_pagina_4_5_C_7_p40" w:id="4554"/>
      <w:r>
        <w:t xml:space="preserve">C-7 · página 40 · Teléfonos en Vensim</w:t>
      </w:r>
      <w:bookmarkEnd w:id="4554"/>
    </w:p>
    <w:p>
      <w:pPr>
        <w:pStyle w:val="Normal"/>
      </w:pPr>
      <w:r>
        <w:t xml:space="preserve">Tres escenarios cambian tasa de adopción mensual y cantidad de casas.</w:t>
      </w:r>
    </w:p>
    <w:p>
      <w:pPr>
        <w:pStyle w:val="Fuente"/>
      </w:pPr>
      <w:r>
        <w:t xml:space="preserve">Proyección o explicación: Clase 24 · 01:07:52 · captura c24-19.</w:t>
      </w:r>
    </w:p>
    <w:p>
      <w:pPr>
        <w:keepNext/>
        <w:spacing w:after="40" w:before="150"/>
        <w:jc w:val="center"/>
      </w:pPr>
      <w:bookmarkStart w:name="b_figura_original_pagina_C_7_40" w:id="4555"/>
      <w:bookmarkEnd w:id="4555"/>
      <w:r>
        <w:drawing>
          <wp:inline distT="0" distB="0" distL="0" distR="0">
            <wp:extent cx="5381625" cy="3028950"/>
            <wp:effectExtent t="0" r="0" b="0" l="0"/>
            <wp:docPr id="162" name="pagina-C-7-40" descr="Presentación C-7, pág. 40" title="Teléfonos en Vens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37" cstate="none"/>
                    <a:srcRect/>
                    <a:stretch>
                      <a:fillRect/>
                    </a:stretch>
                  </pic:blipFill>
                  <pic:spPr bwMode="auto">
                    <a:xfrm>
                      <a:off x="0" y="0"/>
                      <a:ext cx="5381625" cy="3028950"/>
                    </a:xfrm>
                    <a:prstGeom prst="rect">
                      <a:avLst/>
                    </a:prstGeom>
                  </pic:spPr>
                </pic:pic>
              </a:graphicData>
            </a:graphic>
          </wp:inline>
        </w:drawing>
      </w:r>
    </w:p>
    <w:p>
      <w:pPr>
        <w:pStyle w:val="PieFigura"/>
        <w:keepNext/>
      </w:pPr>
      <w:bookmarkStart w:name="b_fig_4_5_8" w:id="4556"/>
      <w:r>
        <w:t xml:space="preserve">Figura 4.5.</w:t>
      </w:r>
      <w:fldSimple w:instr="SEQ Figura \n \* ARABIC">
        <w:r>
          <w:t xml:space="preserve">8</w:t>
        </w:r>
      </w:fldSimple>
      <w:r>
        <w:t xml:space="preserve"> · Teléfonos en Vensim</w:t>
      </w:r>
      <w:bookmarkEnd w:id="4556"/>
    </w:p>
    <w:p>
      <w:pPr>
        <w:pStyle w:val="Fuente"/>
      </w:pPr>
      <w:r>
        <w:t xml:space="preserve">Presentación C-7, pág. 40</w:t>
      </w:r>
    </w:p>
    <w:p>
      <w:bookmarkStart w:name="b_punto_c7_p040_01" w:id="4557"/>
      <w:r>
        <w:t xml:space="preserve">300 casas, ninguna con teléfono al inicio y adopción mensual 9% de pendientes; variantes 4% y  500 casas.</w:t>
      </w:r>
      <w:bookmarkEnd w:id="4557"/>
    </w:p>
    <w:p>
      <w:bookmarkStart w:name="b_punto_c7_p040_02" w:id="4558"/>
      <w:r>
        <w:t xml:space="preserve">El ciclo proporcional es balance: instalar aumenta atendidas, reduce pendientes y frena instalaciones.</w:t>
      </w:r>
      <w:bookmarkEnd w:id="4558"/>
    </w:p>
    <w:p>
      <w:bookmarkStart w:name="b_punto_c7_p040_03" w:id="4559"/>
      <w:r>
        <w:t xml:space="preserve">Instaladas es nivel inicial 0; instalaciones flujo en casas/mes; pendientes=total−instaladas.</w:t>
      </w:r>
      <w:bookmarkEnd w:id="4559"/>
    </w:p>
    <w:p>
      <w:bookmarkStart w:name="b_punto_c7_p040_04" w:id="4560"/>
      <w:r>
        <w:t xml:space="preserve">Los resultados editoriales son 61, 140 y 66 meses con Euler mensual y menos de una casa pendiente.</w:t>
      </w:r>
      <w:bookmarkEnd w:id="4560"/>
    </w:p>
    <w:p>
      <w:bookmarkStart w:name="b_punto_c7_p040_05" w:id="4561"/>
      <w:r>
        <w:t xml:space="preserve">La tasa fija no aumenta por influencia vecinal; el modelo detallado requiere sus ecuaciones y no tiene corrida completa en clase.</w:t>
      </w:r>
      <w:bookmarkEnd w:id="4561"/>
    </w:p>
    <w:p>
      <w:pPr>
        <w:pStyle w:val="Heading3"/>
      </w:pPr>
      <w:bookmarkStart w:name="b_pagina_4_5_C_8_p55" w:id="4562"/>
      <w:r>
        <w:t xml:space="preserve">C-8 · página 55 · Teléfonos: historia para construir elDCC</w:t>
      </w:r>
      <w:bookmarkEnd w:id="4562"/>
    </w:p>
    <w:p>
      <w:pPr>
        <w:pStyle w:val="Normal"/>
      </w:pPr>
      <w:r>
        <w:t xml:space="preserve">El relato de 300 casas y variantes pide ahora un diagrama causal.</w:t>
      </w:r>
    </w:p>
    <w:p>
      <w:pPr>
        <w:pStyle w:val="Fuente"/>
      </w:pPr>
      <w:r>
        <w:t xml:space="preserve">Proyección o explicación: Clase 24 · 01:07:52 · captura c24-19.</w:t>
      </w:r>
    </w:p>
    <w:p>
      <w:pPr>
        <w:keepNext/>
        <w:spacing w:after="40" w:before="150"/>
        <w:jc w:val="center"/>
      </w:pPr>
      <w:bookmarkStart w:name="b_figura_original_pagina_C_8_55" w:id="4563"/>
      <w:bookmarkEnd w:id="4563"/>
      <w:r>
        <w:drawing>
          <wp:inline distT="0" distB="0" distL="0" distR="0">
            <wp:extent cx="5381625" cy="3028950"/>
            <wp:effectExtent t="0" r="0" b="0" l="0"/>
            <wp:docPr id="163" name="pagina-C-8-55" descr="Presentación C-8, pág. 55" title="Teléfonos: historia para construir elDC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38" cstate="none"/>
                    <a:srcRect/>
                    <a:stretch>
                      <a:fillRect/>
                    </a:stretch>
                  </pic:blipFill>
                  <pic:spPr bwMode="auto">
                    <a:xfrm>
                      <a:off x="0" y="0"/>
                      <a:ext cx="5381625" cy="3028950"/>
                    </a:xfrm>
                    <a:prstGeom prst="rect">
                      <a:avLst/>
                    </a:prstGeom>
                  </pic:spPr>
                </pic:pic>
              </a:graphicData>
            </a:graphic>
          </wp:inline>
        </w:drawing>
      </w:r>
    </w:p>
    <w:p>
      <w:pPr>
        <w:pStyle w:val="PieFigura"/>
        <w:keepNext/>
      </w:pPr>
      <w:bookmarkStart w:name="b_fig_4_5_9" w:id="4564"/>
      <w:r>
        <w:t xml:space="preserve">Figura 4.5.</w:t>
      </w:r>
      <w:fldSimple w:instr="SEQ Figura \n \* ARABIC">
        <w:r>
          <w:t xml:space="preserve">9</w:t>
        </w:r>
      </w:fldSimple>
      <w:r>
        <w:t xml:space="preserve"> · Teléfonos: historia para construir elDCC</w:t>
      </w:r>
      <w:bookmarkEnd w:id="4564"/>
    </w:p>
    <w:p>
      <w:pPr>
        <w:pStyle w:val="Fuente"/>
      </w:pPr>
      <w:r>
        <w:t xml:space="preserve">Presentación C-8, pág. 55</w:t>
      </w:r>
    </w:p>
    <w:p>
      <w:bookmarkStart w:name="b_punto_c8_p055_01" w:id="4565"/>
      <w:r>
        <w:t xml:space="preserve">300 casas, ninguna con teléfono al inicio y adopción mensual 9% de pendientes; variantes 4% y  500 casas.</w:t>
      </w:r>
      <w:bookmarkEnd w:id="4565"/>
    </w:p>
    <w:p>
      <w:bookmarkStart w:name="b_punto_c8_p055_02" w:id="4566"/>
      <w:r>
        <w:t xml:space="preserve">El ciclo proporcional es balance: instalar aumenta atendidas, reduce pendientes y frena instalaciones.</w:t>
      </w:r>
      <w:bookmarkEnd w:id="4566"/>
    </w:p>
    <w:p>
      <w:bookmarkStart w:name="b_punto_c8_p055_03" w:id="4567"/>
      <w:r>
        <w:t xml:space="preserve">Instaladas es nivel inicial 0; instalaciones flujo en casas/mes; pendientes=total−instaladas.</w:t>
      </w:r>
      <w:bookmarkEnd w:id="4567"/>
    </w:p>
    <w:p>
      <w:bookmarkStart w:name="b_punto_c8_p055_04" w:id="4568"/>
      <w:r>
        <w:t xml:space="preserve">Los resultados editoriales son 61, 140 y 66 meses con Euler mensual y menos de una casa pendiente.</w:t>
      </w:r>
      <w:bookmarkEnd w:id="4568"/>
    </w:p>
    <w:p>
      <w:bookmarkStart w:name="b_punto_c8_p055_05" w:id="4569"/>
      <w:r>
        <w:t xml:space="preserve">La tasa fija no aumenta por influencia vecinal; el modelo detallado requiere sus ecuaciones y no tiene corrida completa en clase.</w:t>
      </w:r>
      <w:bookmarkEnd w:id="4569"/>
    </w:p>
    <w:p>
      <w:bookmarkStart w:name="b_punto_c8_p055_06" w:id="4570"/>
      <w:r>
        <w:t xml:space="preserve">Esta página pide DCC; la versión de simulación exige convertirlo y formular ecuaciones antes de calcular meses.</w:t>
      </w:r>
      <w:bookmarkEnd w:id="4570"/>
    </w:p>
    <w:p>
      <w:pPr>
        <w:pStyle w:val="Heading3"/>
      </w:pPr>
      <w:bookmarkStart w:name="b_pagina_4_5_C_8_p56" w:id="4571"/>
      <w:r>
        <w:t xml:space="preserve">C-8 · página 56 · Alternativa proporcional de teléfonos</w:t>
      </w:r>
      <w:bookmarkEnd w:id="4571"/>
    </w:p>
    <w:p>
      <w:pPr>
        <w:pStyle w:val="Normal"/>
      </w:pPr>
      <w:r>
        <w:t xml:space="preserve">Un balance relaciona pendientes, instalaciones y familias con teléfono.</w:t>
      </w:r>
    </w:p>
    <w:p>
      <w:pPr>
        <w:pStyle w:val="Fuente"/>
      </w:pPr>
      <w:r>
        <w:t xml:space="preserve">Proyección o explicación: Clase 24 · 01:10:33 · captura c24-20.</w:t>
      </w:r>
    </w:p>
    <w:p>
      <w:pPr>
        <w:keepNext/>
        <w:spacing w:after="40" w:before="150"/>
        <w:jc w:val="center"/>
      </w:pPr>
      <w:bookmarkStart w:name="b_figura_original_pagina_C_8_56" w:id="4572"/>
      <w:bookmarkEnd w:id="4572"/>
      <w:r>
        <w:drawing>
          <wp:inline distT="0" distB="0" distL="0" distR="0">
            <wp:extent cx="5381625" cy="3028950"/>
            <wp:effectExtent t="0" r="0" b="0" l="0"/>
            <wp:docPr id="164" name="pagina-C-8-56" descr="Presentación C-8, pág. 56. Precisión: El encabezado conserva «ejercicio 2», mientras el enunciado de teléfonos de las láminas C-7/40 y C-8/55 se numera ejercicio 3. Es la alternativa proporcional del mismo caso." title="Alternativa proporcional de teléfon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39" cstate="none"/>
                    <a:srcRect/>
                    <a:stretch>
                      <a:fillRect/>
                    </a:stretch>
                  </pic:blipFill>
                  <pic:spPr bwMode="auto">
                    <a:xfrm>
                      <a:off x="0" y="0"/>
                      <a:ext cx="5381625" cy="3028950"/>
                    </a:xfrm>
                    <a:prstGeom prst="rect">
                      <a:avLst/>
                    </a:prstGeom>
                  </pic:spPr>
                </pic:pic>
              </a:graphicData>
            </a:graphic>
          </wp:inline>
        </w:drawing>
      </w:r>
    </w:p>
    <w:p>
      <w:pPr>
        <w:pStyle w:val="PieFigura"/>
        <w:keepNext/>
      </w:pPr>
      <w:bookmarkStart w:name="b_fig_4_5_10" w:id="4573"/>
      <w:r>
        <w:t xml:space="preserve">Figura 4.5.</w:t>
      </w:r>
      <w:fldSimple w:instr="SEQ Figura \n \* ARABIC">
        <w:r>
          <w:t xml:space="preserve">10</w:t>
        </w:r>
      </w:fldSimple>
      <w:r>
        <w:t xml:space="preserve"> · Alternativa proporcional de teléfonos</w:t>
      </w:r>
      <w:bookmarkEnd w:id="4573"/>
    </w:p>
    <w:p>
      <w:pPr>
        <w:pStyle w:val="Fuente"/>
      </w:pPr>
      <w:r>
        <w:t xml:space="preserve">Presentación C-8, pág. 56. Precisión: El encabezado conserva «ejercicio 2», mientras el enunciado de teléfonos de las láminas C-7/40 y C-8/55 se numera ejercicio 3. Es la alternativa proporcional del mismo caso.</w:t>
      </w:r>
    </w:p>
    <w:p>
      <w:bookmarkStart w:name="b_punto_c8_p056_01" w:id="4574"/>
      <w:r>
        <w:t xml:space="preserve">Más instalaciones aumenta familias con teléfono; éstas reducen pendientes; pendientes aumenta instalaciones.</w:t>
      </w:r>
      <w:bookmarkEnd w:id="4574"/>
    </w:p>
    <w:p>
      <w:bookmarkStart w:name="b_punto_c8_p056_02" w:id="4575"/>
      <w:r>
        <w:t xml:space="preserve">Familias totales aumenta pendientes; el parámetroB 1 afecta velocidad de instalación.</w:t>
      </w:r>
      <w:bookmarkEnd w:id="4575"/>
    </w:p>
    <w:p>
      <w:bookmarkStart w:name="b_punto_c8_p056_03" w:id="4576"/>
      <w:r>
        <w:t xml:space="preserve">B1 es parámetro, no nombre del balance; el signo central marca el ciclo.</w:t>
      </w:r>
      <w:bookmarkEnd w:id="4576"/>
    </w:p>
    <w:p>
      <w:bookmarkStart w:name="b_punto_c8_p056_04" w:id="4577"/>
      <w:r>
        <w:t xml:space="preserve">El encabezado diceejercicio 2 aunque desarrolla el caso 3 de teléfonos.</w:t>
      </w:r>
      <w:bookmarkEnd w:id="4577"/>
    </w:p>
    <w:p>
      <w:pPr>
        <w:pStyle w:val="Heading3"/>
      </w:pPr>
      <w:bookmarkStart w:name="b_pagina_4_5_C_8_p57" w:id="4578"/>
      <w:r>
        <w:t xml:space="preserve">C-8 · página 57 · Alternativa con influencia vecinal</w:t>
      </w:r>
      <w:bookmarkEnd w:id="4578"/>
    </w:p>
    <w:p>
      <w:pPr>
        <w:pStyle w:val="Normal"/>
      </w:pPr>
      <w:r>
        <w:t xml:space="preserve">Tasa de uso añade un refuerzo al balance de pendientes; el diagrama no fija por sí solo sus ecuaciones.</w:t>
      </w:r>
    </w:p>
    <w:p>
      <w:pPr>
        <w:pStyle w:val="Fuente"/>
      </w:pPr>
      <w:r>
        <w:t xml:space="preserve">Proyección o explicación: Clase 24 · 01:11:23 · captura c24-21.</w:t>
      </w:r>
    </w:p>
    <w:p>
      <w:pPr>
        <w:keepNext/>
        <w:spacing w:after="40" w:before="150"/>
        <w:jc w:val="center"/>
      </w:pPr>
      <w:bookmarkStart w:name="b_figura_original_pagina_C_8_57" w:id="4579"/>
      <w:bookmarkEnd w:id="4579"/>
      <w:r>
        <w:drawing>
          <wp:inline distT="0" distB="0" distL="0" distR="0">
            <wp:extent cx="5381625" cy="3028950"/>
            <wp:effectExtent t="0" r="0" b="0" l="0"/>
            <wp:docPr id="165" name="pagina-C-8-57" descr="Presentación C-8, pág. 57. Precisión: El encabezado conserva «ejercicio 2», mientras el enunciado de teléfonos de las láminas C-7/40 y C-8/55 se numera ejercicio 3. B2 es un parámetro del esquema, no una etiqueta que clasifique un ciclo. No se especifican todas las ecuaciones y valores de la alternativa vecinal." title="Alternativa con influencia vec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40" cstate="none"/>
                    <a:srcRect/>
                    <a:stretch>
                      <a:fillRect/>
                    </a:stretch>
                  </pic:blipFill>
                  <pic:spPr bwMode="auto">
                    <a:xfrm>
                      <a:off x="0" y="0"/>
                      <a:ext cx="5381625" cy="3028950"/>
                    </a:xfrm>
                    <a:prstGeom prst="rect">
                      <a:avLst/>
                    </a:prstGeom>
                  </pic:spPr>
                </pic:pic>
              </a:graphicData>
            </a:graphic>
          </wp:inline>
        </w:drawing>
      </w:r>
    </w:p>
    <w:p>
      <w:pPr>
        <w:pStyle w:val="PieFigura"/>
        <w:keepNext/>
      </w:pPr>
      <w:bookmarkStart w:name="b_fig_4_5_11" w:id="4580"/>
      <w:r>
        <w:t xml:space="preserve">Figura 4.5.</w:t>
      </w:r>
      <w:fldSimple w:instr="SEQ Figura \n \* ARABIC">
        <w:r>
          <w:t xml:space="preserve">11</w:t>
        </w:r>
      </w:fldSimple>
      <w:r>
        <w:t xml:space="preserve"> · Alternativa con influencia vecinal</w:t>
      </w:r>
      <w:bookmarkEnd w:id="4580"/>
    </w:p>
    <w:p>
      <w:pPr>
        <w:pStyle w:val="Fuente"/>
      </w:pPr>
      <w:r>
        <w:t xml:space="preserve">Presentación C-8, pág. 57. Precisión: El encabezado conserva «ejercicio 2», mientras el enunciado de teléfonos de las láminas C-7/40 y C-8/55 se numera ejercicio 3. B2 es un parámetro del esquema, no una etiqueta que clasifique un ciclo. No se especifican todas las ecuaciones y valores de la alternativa vecinal.</w:t>
      </w:r>
    </w:p>
    <w:p>
      <w:bookmarkStart w:name="b_punto_c8_p057_01" w:id="4581"/>
      <w:r>
        <w:t xml:space="preserve">El recorrido instalaciones → con teléfono → tasa de uso → instalaciones (+,+,+) es R; instalaciones → con teléfono → sin teléfono → instalaciones (+,−,+) es B.</w:t>
      </w:r>
      <w:bookmarkEnd w:id="4581"/>
    </w:p>
    <w:p>
      <w:bookmarkStart w:name="b_punto_c8_p057_02" w:id="4582"/>
      <w:r>
        <w:t xml:space="preserve">El recorrido instalaciones → con teléfono → tasa de uso → instalaciones (+,+,+) es R; instalaciones → con teléfono → sin teléfono → instalaciones (+,−,+) es B.</w:t>
      </w:r>
      <w:bookmarkEnd w:id="4582"/>
    </w:p>
    <w:p>
      <w:bookmarkStart w:name="b_punto_c8_p057_03" w:id="4583"/>
      <w:r>
        <w:t xml:space="preserve">Familias totales influye sobre pendientes y tasa de uso; B2 parametriza velocidad y no nombra un ciclo.</w:t>
      </w:r>
      <w:bookmarkEnd w:id="4583"/>
    </w:p>
    <w:p>
      <w:bookmarkStart w:name="b_punto_c8_p057_04" w:id="4584"/>
      <w:r>
        <w:t xml:space="preserve">El profesor prefiere el modelo detallado y dice que su comportamiento se parece al simple; no presenta corrida o ecuaciones completas.</w:t>
      </w:r>
      <w:bookmarkEnd w:id="4584"/>
    </w:p>
    <w:p>
      <w:bookmarkStart w:name="b_punto_c8_p057_05" w:id="4585"/>
      <w:r>
        <w:t xml:space="preserve">El encabezadoejercicio 2 se conserva aunque corresponde al caso 3.</w:t>
      </w:r>
      <w:bookmarkEnd w:id="4585"/>
    </w:p>
    <w:p>
      <w:pPr>
        <w:pStyle w:val="Heading3"/>
      </w:pPr>
      <w:bookmarkStart w:name="b_pagina_4_5_C_3_p13" w:id="4586"/>
      <w:r>
        <w:t xml:space="preserve">C-3 · página 13 · Ecuaciones, DYNAMO y curva de epidemia</w:t>
      </w:r>
      <w:bookmarkEnd w:id="4586"/>
    </w:p>
    <w:p>
      <w:pPr>
        <w:pStyle w:val="Normal"/>
      </w:pPr>
      <w:r>
        <w:t xml:space="preserve">Tabla de ecuaciones, listado y sus constantes, curvas y errores de rotulación.</w:t>
      </w:r>
    </w:p>
    <w:p>
      <w:pPr>
        <w:pStyle w:val="Fuente"/>
      </w:pPr>
      <w:r>
        <w:t xml:space="preserve">Véase </w:t>
      </w:r>
      <w:hyperlink w:history="1" w:anchor="b_figura_original_pagina_C_3_13">
        <w:r>
          <w:rPr>
            <w:color w:val="156B70"/>
            <w:u w:val="single"/>
          </w:rPr>
          <w:t xml:space="preserve">imagen de C-3, página 13</w:t>
        </w:r>
      </w:hyperlink>
      <w:r>
        <w:t xml:space="preserve">, pág. </w:t>
      </w:r>
      <w:r>
        <w:fldChar w:fldCharType="begin"/>
        <w:instrText xml:space="preserve">PAGEREF b_figura_original_pagina_C_3_13 \h</w:instrText>
        <w:fldChar w:fldCharType="separate"/>
        <w:t xml:space="preserve">789</w:t>
        <w:fldChar w:fldCharType="end"/>
      </w:r>
      <w:r>
        <w:t xml:space="preserve">.</w:t>
      </w:r>
    </w:p>
    <w:p>
      <w:bookmarkStart w:name="b_punto_c3_p013_02" w:id="4587"/>
      <w:r>
        <w:t xml:space="preserve">PI inicial 10, IPC 0.15, TNC 0.025, PT 100; paso 0.25, horizonte 40 yguardado 1.</w:t>
      </w:r>
      <w:bookmarkEnd w:id="4587"/>
    </w:p>
    <w:p>
      <w:pPr>
        <w:pStyle w:val="Fuente"/>
      </w:pPr>
      <w:r>
        <w:t xml:space="preserve">Véase </w:t>
      </w:r>
      <w:hyperlink w:history="1" w:anchor="b_4_4">
        <w:r>
          <w:rPr>
            <w:color w:val="156B70"/>
            <w:u w:val="single"/>
          </w:rPr>
          <w:t xml:space="preserve">capítulo 4.4 · Simulación con VENSIM</w:t>
        </w:r>
      </w:hyperlink>
      <w:r>
        <w:t xml:space="preserve">, pág. </w:t>
      </w:r>
      <w:r>
        <w:fldChar w:fldCharType="begin"/>
        <w:instrText xml:space="preserve">PAGEREF b_4_4 \h</w:instrText>
        <w:fldChar w:fldCharType="separate"/>
        <w:t xml:space="preserve">776</w:t>
        <w:fldChar w:fldCharType="end"/>
      </w:r>
      <w:r>
        <w:t xml:space="preserve">.</w:t>
      </w:r>
    </w:p>
    <w:p>
      <w:pPr>
        <w:pStyle w:val="Fuente"/>
      </w:pPr>
      <w:r>
        <w:t xml:space="preserve">Véase </w:t>
      </w:r>
      <w:hyperlink w:history="1" w:anchor="b_4_3">
        <w:r>
          <w:rPr>
            <w:color w:val="156B70"/>
            <w:u w:val="single"/>
          </w:rPr>
          <w:t xml:space="preserve">capítulo 4.3 · De ciclos causales a flujos</w:t>
        </w:r>
      </w:hyperlink>
      <w:r>
        <w:t xml:space="preserve">, pág. </w:t>
      </w:r>
      <w:r>
        <w:fldChar w:fldCharType="begin"/>
        <w:instrText xml:space="preserve">PAGEREF b_4_3 \h</w:instrText>
        <w:fldChar w:fldCharType="separate"/>
        <w:t xml:space="preserve">737</w:t>
        <w:fldChar w:fldCharType="end"/>
      </w:r>
      <w:r>
        <w:t xml:space="preserve">.</w:t>
      </w:r>
    </w:p>
    <w:p>
      <w:pPr>
        <w:pStyle w:val="Heading3"/>
      </w:pPr>
      <w:bookmarkStart w:name="b_pagina_4_5_C_3_p37" w:id="4588"/>
      <w:r>
        <w:t xml:space="preserve">C-3 · página 37 · Teléfonos: ejercicio causal de abril</w:t>
      </w:r>
      <w:bookmarkEnd w:id="4588"/>
    </w:p>
    <w:p>
      <w:pPr>
        <w:pStyle w:val="Normal"/>
      </w:pPr>
      <w:r>
        <w:t xml:space="preserve">El mismo residencial aparece con encabezadoejercicio 2 y solicitud deDCC.</w:t>
      </w:r>
    </w:p>
    <w:p>
      <w:pPr>
        <w:pStyle w:val="Fuente"/>
      </w:pPr>
      <w:r>
        <w:t xml:space="preserve">Proyección o explicación: Clase 24 · 01:07:52 · captura c24-19.</w:t>
      </w:r>
    </w:p>
    <w:p>
      <w:pPr>
        <w:keepNext/>
        <w:spacing w:after="40" w:before="150"/>
        <w:jc w:val="center"/>
      </w:pPr>
      <w:bookmarkStart w:name="b_figura_original_pagina_C_3_37" w:id="4589"/>
      <w:bookmarkEnd w:id="4589"/>
      <w:r>
        <w:drawing>
          <wp:inline distT="0" distB="0" distL="0" distR="0">
            <wp:extent cx="5381625" cy="3028950"/>
            <wp:effectExtent t="0" r="0" b="0" l="0"/>
            <wp:docPr id="166" name="pagina-C-3-37" descr="Presentación C-3, pág. 37. Precisión: La presentación llama también «Ejercicio 2» a los huevos y las gallinas de la página 22; son ejercicios distintos. No da las respuestas." title="Teléfonos: ejercicio causal de abr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41" cstate="none"/>
                    <a:srcRect/>
                    <a:stretch>
                      <a:fillRect/>
                    </a:stretch>
                  </pic:blipFill>
                  <pic:spPr bwMode="auto">
                    <a:xfrm>
                      <a:off x="0" y="0"/>
                      <a:ext cx="5381625" cy="3028950"/>
                    </a:xfrm>
                    <a:prstGeom prst="rect">
                      <a:avLst/>
                    </a:prstGeom>
                  </pic:spPr>
                </pic:pic>
              </a:graphicData>
            </a:graphic>
          </wp:inline>
        </w:drawing>
      </w:r>
    </w:p>
    <w:p>
      <w:pPr>
        <w:pStyle w:val="PieFigura"/>
        <w:keepNext/>
      </w:pPr>
      <w:bookmarkStart w:name="b_fig_4_5_12" w:id="4590"/>
      <w:r>
        <w:t xml:space="preserve">Figura 4.5.</w:t>
      </w:r>
      <w:fldSimple w:instr="SEQ Figura \n \* ARABIC">
        <w:r>
          <w:t xml:space="preserve">12</w:t>
        </w:r>
      </w:fldSimple>
      <w:r>
        <w:t xml:space="preserve"> · Teléfonos: ejercicio causal de abril</w:t>
      </w:r>
      <w:bookmarkEnd w:id="4590"/>
    </w:p>
    <w:p>
      <w:pPr>
        <w:pStyle w:val="Fuente"/>
      </w:pPr>
      <w:r>
        <w:t xml:space="preserve">Presentación C-3, pág. 37. Precisión: La presentación llama también «Ejercicio 2» a los huevos y las gallinas de la página 22; son ejercicios distintos. No da las respuestas.</w:t>
      </w:r>
    </w:p>
    <w:p>
      <w:bookmarkStart w:name="b_punto_c3_p037_01" w:id="4591"/>
      <w:r>
        <w:t xml:space="preserve">300 casas, ninguna con teléfono al inicio y adopción mensual 9% de pendientes; variantes 4% y  500 casas.</w:t>
      </w:r>
      <w:bookmarkEnd w:id="4591"/>
    </w:p>
    <w:p>
      <w:bookmarkStart w:name="b_punto_c3_p037_02" w:id="4592"/>
      <w:r>
        <w:t xml:space="preserve">El ciclo proporcional es balance: instalar aumenta atendidas, reduce pendientes y frena instalaciones.</w:t>
      </w:r>
      <w:bookmarkEnd w:id="4592"/>
    </w:p>
    <w:p>
      <w:bookmarkStart w:name="b_punto_c3_p037_03" w:id="4593"/>
      <w:r>
        <w:t xml:space="preserve">Instaladas es nivel inicial 0; instalaciones flujo en casas/mes; pendientes=total−instaladas.</w:t>
      </w:r>
      <w:bookmarkEnd w:id="4593"/>
    </w:p>
    <w:p>
      <w:bookmarkStart w:name="b_punto_c3_p037_04" w:id="4594"/>
      <w:r>
        <w:t xml:space="preserve">Los resultados editoriales son 61, 140 y 66 meses con Euler mensual y menos de una casa pendiente.</w:t>
      </w:r>
      <w:bookmarkEnd w:id="4594"/>
    </w:p>
    <w:p>
      <w:bookmarkStart w:name="b_punto_c3_p037_05" w:id="4595"/>
      <w:r>
        <w:t xml:space="preserve">La tasa fija no aumenta por influencia vecinal; el modelo detallado requiere sus ecuaciones y no tiene corrida completa en clase.</w:t>
      </w:r>
      <w:bookmarkEnd w:id="4595"/>
    </w:p>
    <w:p>
      <w:bookmarkStart w:name="b_punto_c3_p037_06" w:id="4596"/>
      <w:r>
        <w:t xml:space="preserve">Esta página pide DCC; la versión de simulación exige convertirlo y formular ecuaciones antes de calcular meses.</w:t>
      </w:r>
      <w:bookmarkEnd w:id="4596"/>
    </w:p>
    <w:p>
      <w:bookmarkStart w:name="b_punto_c3_p037_07" w:id="4597"/>
      <w:r>
        <w:t xml:space="preserve">El número 2 se repite en el ejercicio de huevos y gallinas; son historias distintas.</w:t>
      </w:r>
      <w:bookmarkEnd w:id="4597"/>
    </w:p>
    <w:p>
      <w:pPr>
        <w:pStyle w:val="Heading3"/>
      </w:pPr>
      <w:bookmarkStart w:name="b_pagina_4_5_C_3_p54" w:id="4598"/>
      <w:r>
        <w:t xml:space="preserve">C-3 · página 54 · Presa-depredador ampliado</w:t>
      </w:r>
      <w:bookmarkEnd w:id="4598"/>
    </w:p>
    <w:p>
      <w:pPr>
        <w:pStyle w:val="Normal"/>
      </w:pPr>
      <w:r>
        <w:t xml:space="preserve">El video incorpora mortalidad natural, depredación, superpoblación y tablas de respuesta.</w:t>
      </w:r>
    </w:p>
    <w:p>
      <w:pPr>
        <w:keepNext/>
        <w:spacing w:after="40" w:before="150"/>
        <w:jc w:val="center"/>
      </w:pPr>
      <w:bookmarkStart w:name="b_figura_original_pagina_C_3_54" w:id="4599"/>
      <w:bookmarkEnd w:id="4599"/>
      <w:r>
        <w:drawing>
          <wp:inline distT="0" distB="0" distL="0" distR="0">
            <wp:extent cx="5381625" cy="3028950"/>
            <wp:effectExtent t="0" r="0" b="0" l="0"/>
            <wp:docPr id="167" name="pagina-C-3-54" descr="Presentación C-3, pág. 54" title="Presa-depredador amplia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42" cstate="none"/>
                    <a:srcRect/>
                    <a:stretch>
                      <a:fillRect/>
                    </a:stretch>
                  </pic:blipFill>
                  <pic:spPr bwMode="auto">
                    <a:xfrm>
                      <a:off x="0" y="0"/>
                      <a:ext cx="5381625" cy="3028950"/>
                    </a:xfrm>
                    <a:prstGeom prst="rect">
                      <a:avLst/>
                    </a:prstGeom>
                  </pic:spPr>
                </pic:pic>
              </a:graphicData>
            </a:graphic>
          </wp:inline>
        </w:drawing>
      </w:r>
    </w:p>
    <w:p>
      <w:pPr>
        <w:pStyle w:val="PieFigura"/>
        <w:keepNext/>
      </w:pPr>
      <w:bookmarkStart w:name="b_fig_4_5_13" w:id="4600"/>
      <w:r>
        <w:t xml:space="preserve">Figura 4.5.</w:t>
      </w:r>
      <w:fldSimple w:instr="SEQ Figura \n \* ARABIC">
        <w:r>
          <w:t xml:space="preserve">13</w:t>
        </w:r>
      </w:fldSimple>
      <w:r>
        <w:t xml:space="preserve"> · Presa-depredador ampliado</w:t>
      </w:r>
      <w:bookmarkEnd w:id="4600"/>
    </w:p>
    <w:p>
      <w:pPr>
        <w:pStyle w:val="Fuente"/>
      </w:pPr>
      <w:r>
        <w:t xml:space="preserve">Presentación C-3, pág. 54</w:t>
      </w:r>
    </w:p>
    <w:p>
      <w:bookmarkStart w:name="b_punto_c3_p054_01" w:id="4601"/>
      <w:r>
        <w:t xml:space="preserve">Conejos y zorros son niveles con nacimientos y muertes propios.</w:t>
      </w:r>
      <w:bookmarkEnd w:id="4601"/>
    </w:p>
    <w:p>
      <w:bookmarkStart w:name="b_punto_c3_p054_02" w:id="4602"/>
      <w:r>
        <w:t xml:space="preserve">Las muertes de conejos combinan vida media, hacinamiento y depredación; la capacidad de carga limita recursos.</w:t>
      </w:r>
      <w:bookmarkEnd w:id="4602"/>
    </w:p>
    <w:p>
      <w:bookmarkStart w:name="b_punto_c3_p054_03" w:id="4603"/>
      <w:r>
        <w:t xml:space="preserve">Una tabla de valores relaciona superpoblación y mortalidad según datos oexpertos.</w:t>
      </w:r>
      <w:bookmarkEnd w:id="4603"/>
    </w:p>
    <w:p>
      <w:bookmarkStart w:name="b_punto_c3_p054_04" w:id="4604"/>
      <w:r>
        <w:t xml:space="preserve">MAX puede evitar valores negativos, pero una salida limitada por existencias requiereMIN y duración de paso coherentes.</w:t>
      </w:r>
      <w:bookmarkEnd w:id="4604"/>
    </w:p>
    <w:p>
      <w:pPr>
        <w:pStyle w:val="Heading3"/>
      </w:pPr>
      <w:bookmarkStart w:name="b_pagina_4_5_C_3_p55" w:id="4605"/>
      <w:r>
        <w:t xml:space="preserve">C-3 · página 55 · Alces y lobos: oscilación</w:t>
      </w:r>
      <w:bookmarkEnd w:id="4605"/>
    </w:p>
    <w:p>
      <w:pPr>
        <w:pStyle w:val="Normal"/>
      </w:pPr>
      <w:r>
        <w:t xml:space="preserve">Las dos poblaciones y los flujos muestran oscilaciones desfasadas durante cien años.</w:t>
      </w:r>
    </w:p>
    <w:p>
      <w:pPr>
        <w:keepNext/>
        <w:spacing w:after="40" w:before="150"/>
        <w:jc w:val="center"/>
      </w:pPr>
      <w:bookmarkStart w:name="b_figura_original_pagina_C_3_55" w:id="4606"/>
      <w:bookmarkEnd w:id="4606"/>
      <w:r>
        <w:drawing>
          <wp:inline distT="0" distB="0" distL="0" distR="0">
            <wp:extent cx="5381625" cy="3028950"/>
            <wp:effectExtent t="0" r="0" b="0" l="0"/>
            <wp:docPr id="168" name="pagina-C-3-55" descr="Presentación C-3, pág. 55" title="Alces y lobos: oscilació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43" cstate="none"/>
                    <a:srcRect/>
                    <a:stretch>
                      <a:fillRect/>
                    </a:stretch>
                  </pic:blipFill>
                  <pic:spPr bwMode="auto">
                    <a:xfrm>
                      <a:off x="0" y="0"/>
                      <a:ext cx="5381625" cy="3028950"/>
                    </a:xfrm>
                    <a:prstGeom prst="rect">
                      <a:avLst/>
                    </a:prstGeom>
                  </pic:spPr>
                </pic:pic>
              </a:graphicData>
            </a:graphic>
          </wp:inline>
        </w:drawing>
      </w:r>
    </w:p>
    <w:p>
      <w:pPr>
        <w:pStyle w:val="PieFigura"/>
        <w:keepNext/>
      </w:pPr>
      <w:bookmarkStart w:name="b_fig_4_5_14" w:id="4607"/>
      <w:r>
        <w:t xml:space="preserve">Figura 4.5.</w:t>
      </w:r>
      <w:fldSimple w:instr="SEQ Figura \n \* ARABIC">
        <w:r>
          <w:t xml:space="preserve">14</w:t>
        </w:r>
      </w:fldSimple>
      <w:r>
        <w:t xml:space="preserve"> · Alces y lobos: oscilación</w:t>
      </w:r>
      <w:bookmarkEnd w:id="4607"/>
    </w:p>
    <w:p>
      <w:pPr>
        <w:pStyle w:val="Fuente"/>
      </w:pPr>
      <w:r>
        <w:t xml:space="preserve">Presentación C-3, pág. 55</w:t>
      </w:r>
    </w:p>
    <w:p>
      <w:bookmarkStart w:name="b_punto_c3_p055_01" w:id="4608"/>
      <w:r>
        <w:t xml:space="preserve">Los alces y lobos oscilan sin tener máximos simultáneos.</w:t>
      </w:r>
      <w:bookmarkEnd w:id="4608"/>
    </w:p>
    <w:p>
      <w:bookmarkStart w:name="b_punto_c3_p055_02" w:id="4609"/>
      <w:r>
        <w:t xml:space="preserve">La leyenda diferencia poblaciones, nacimientos y muertes; una curva de flujo no equivale al nivel.</w:t>
      </w:r>
      <w:bookmarkEnd w:id="4609"/>
    </w:p>
    <w:p>
      <w:bookmarkStart w:name="b_punto_c3_p055_03" w:id="4610"/>
      <w:r>
        <w:t xml:space="preserve">Cambios en presas alteran alimento y crecimiento de depredadores, que luego afectan a las presas.</w:t>
      </w:r>
      <w:bookmarkEnd w:id="4610"/>
    </w:p>
    <w:p>
      <w:pPr>
        <w:pStyle w:val="Heading3"/>
      </w:pPr>
      <w:r>
        <w:t xml:space="preserve">Láminas de apoyo y versiones anteriores</w:t>
      </w:r>
    </w:p>
    <w:p>
      <w:pPr>
        <w:keepNext/>
        <w:spacing w:after="40" w:before="150"/>
        <w:jc w:val="center"/>
      </w:pPr>
      <w:bookmarkStart w:name="b_figura_original_pagina_C_3_42" w:id="4611"/>
      <w:bookmarkEnd w:id="4611"/>
      <w:r>
        <w:drawing>
          <wp:inline distT="0" distB="0" distL="0" distR="0">
            <wp:extent cx="5381625" cy="3028950"/>
            <wp:effectExtent t="0" r="0" b="0" l="0"/>
            <wp:docPr id="169" name="pagina-C-3-42" descr="Presentación C-3, pág. 42" title="Resultados de los modelos de simulación dinám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44" cstate="none"/>
                    <a:srcRect/>
                    <a:stretch>
                      <a:fillRect/>
                    </a:stretch>
                  </pic:blipFill>
                  <pic:spPr bwMode="auto">
                    <a:xfrm>
                      <a:off x="0" y="0"/>
                      <a:ext cx="5381625" cy="3028950"/>
                    </a:xfrm>
                    <a:prstGeom prst="rect">
                      <a:avLst/>
                    </a:prstGeom>
                  </pic:spPr>
                </pic:pic>
              </a:graphicData>
            </a:graphic>
          </wp:inline>
        </w:drawing>
      </w:r>
    </w:p>
    <w:p>
      <w:pPr>
        <w:pStyle w:val="PieFigura"/>
        <w:keepNext/>
      </w:pPr>
      <w:bookmarkStart w:name="b_fig_4_5_15" w:id="4612"/>
      <w:r>
        <w:t xml:space="preserve">Figura 4.5.</w:t>
      </w:r>
      <w:fldSimple w:instr="SEQ Figura \n \* ARABIC">
        <w:r>
          <w:t xml:space="preserve">15</w:t>
        </w:r>
      </w:fldSimple>
      <w:r>
        <w:t xml:space="preserve"> · Resultados de los modelos de simulación dinámica</w:t>
      </w:r>
      <w:bookmarkEnd w:id="4612"/>
    </w:p>
    <w:p>
      <w:pPr>
        <w:pStyle w:val="Fuente"/>
      </w:pPr>
      <w:r>
        <w:t xml:space="preserve">Presentación C-3, pág. 42</w:t>
      </w:r>
    </w:p>
    <w:p>
      <w:pPr>
        <w:keepNext/>
        <w:spacing w:after="40" w:before="150"/>
        <w:jc w:val="center"/>
      </w:pPr>
      <w:bookmarkStart w:name="b_figura_original_pagina_C_3_43" w:id="4613"/>
      <w:bookmarkEnd w:id="4613"/>
      <w:r>
        <w:drawing>
          <wp:inline distT="0" distB="0" distL="0" distR="0">
            <wp:extent cx="5381625" cy="3028950"/>
            <wp:effectExtent t="0" r="0" b="0" l="0"/>
            <wp:docPr id="170" name="pagina-C-3-43" descr="Presentación C-3, pág. 43" title="Crecimiento simp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45" cstate="none"/>
                    <a:srcRect/>
                    <a:stretch>
                      <a:fillRect/>
                    </a:stretch>
                  </pic:blipFill>
                  <pic:spPr bwMode="auto">
                    <a:xfrm>
                      <a:off x="0" y="0"/>
                      <a:ext cx="5381625" cy="3028950"/>
                    </a:xfrm>
                    <a:prstGeom prst="rect">
                      <a:avLst/>
                    </a:prstGeom>
                  </pic:spPr>
                </pic:pic>
              </a:graphicData>
            </a:graphic>
          </wp:inline>
        </w:drawing>
      </w:r>
    </w:p>
    <w:p>
      <w:pPr>
        <w:pStyle w:val="PieFigura"/>
        <w:keepNext/>
      </w:pPr>
      <w:bookmarkStart w:name="b_fig_4_5_16" w:id="4614"/>
      <w:r>
        <w:t xml:space="preserve">Figura 4.5.</w:t>
      </w:r>
      <w:fldSimple w:instr="SEQ Figura \n \* ARABIC">
        <w:r>
          <w:t xml:space="preserve">16</w:t>
        </w:r>
      </w:fldSimple>
      <w:r>
        <w:t xml:space="preserve"> · Crecimiento simple</w:t>
      </w:r>
      <w:bookmarkEnd w:id="4614"/>
    </w:p>
    <w:p>
      <w:pPr>
        <w:pStyle w:val="Fuente"/>
      </w:pPr>
      <w:r>
        <w:t xml:space="preserve">Presentación C-3, pág. 43</w:t>
      </w:r>
    </w:p>
    <w:p>
      <w:pPr>
        <w:keepNext/>
        <w:spacing w:after="40" w:before="150"/>
        <w:jc w:val="center"/>
      </w:pPr>
      <w:bookmarkStart w:name="b_figura_original_pagina_C_3_44" w:id="4615"/>
      <w:bookmarkEnd w:id="4615"/>
      <w:r>
        <w:drawing>
          <wp:inline distT="0" distB="0" distL="0" distR="0">
            <wp:extent cx="5381625" cy="3028950"/>
            <wp:effectExtent t="0" r="0" b="0" l="0"/>
            <wp:docPr id="171" name="pagina-C-3-44" descr="Presentación C-3, pág. 44. Precisión: La fórmula de la página es correcta para la entrada declarada y da 251 000 a las 100 horas, pero la gráfica termina cerca de 51 000, que corresponde a una entrada de 10·t + 50." title="Crecimiento cuadráti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32" cstate="none"/>
                    <a:srcRect/>
                    <a:stretch>
                      <a:fillRect/>
                    </a:stretch>
                  </pic:blipFill>
                  <pic:spPr bwMode="auto">
                    <a:xfrm>
                      <a:off x="0" y="0"/>
                      <a:ext cx="5381625" cy="3028950"/>
                    </a:xfrm>
                    <a:prstGeom prst="rect">
                      <a:avLst/>
                    </a:prstGeom>
                  </pic:spPr>
                </pic:pic>
              </a:graphicData>
            </a:graphic>
          </wp:inline>
        </w:drawing>
      </w:r>
    </w:p>
    <w:p>
      <w:pPr>
        <w:pStyle w:val="PieFigura"/>
        <w:keepNext/>
      </w:pPr>
      <w:bookmarkStart w:name="b_fig_4_5_17" w:id="4616"/>
      <w:r>
        <w:t xml:space="preserve">Figura 4.5.</w:t>
      </w:r>
      <w:fldSimple w:instr="SEQ Figura \n \* ARABIC">
        <w:r>
          <w:t xml:space="preserve">17</w:t>
        </w:r>
      </w:fldSimple>
      <w:r>
        <w:t xml:space="preserve"> · Crecimiento cuadrático</w:t>
      </w:r>
      <w:bookmarkEnd w:id="4616"/>
    </w:p>
    <w:p>
      <w:pPr>
        <w:pStyle w:val="Fuente"/>
      </w:pPr>
      <w:r>
        <w:t xml:space="preserve">Presentación C-3, pág. 44. Precisión: La fórmula de la página es correcta para la entrada declarada y da 251 000 a las 100 horas, pero la gráfica termina cerca de 51 000, que corresponde a una entrada de 10·t + 50.</w:t>
      </w:r>
    </w:p>
    <w:p>
      <w:pPr>
        <w:keepNext/>
        <w:spacing w:after="40" w:before="150"/>
        <w:jc w:val="center"/>
      </w:pPr>
      <w:bookmarkStart w:name="b_figura_original_pagina_C_3_45" w:id="4617"/>
      <w:bookmarkEnd w:id="4617"/>
      <w:r>
        <w:drawing>
          <wp:inline distT="0" distB="0" distL="0" distR="0">
            <wp:extent cx="5381625" cy="3028950"/>
            <wp:effectExtent t="0" r="0" b="0" l="0"/>
            <wp:docPr id="172" name="pagina-C-3-45" descr="Presentación C-3, pág. 45" title="Crecimiento con retroalimentación: comportamiento a corto plaz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46" cstate="none"/>
                    <a:srcRect/>
                    <a:stretch>
                      <a:fillRect/>
                    </a:stretch>
                  </pic:blipFill>
                  <pic:spPr bwMode="auto">
                    <a:xfrm>
                      <a:off x="0" y="0"/>
                      <a:ext cx="5381625" cy="3028950"/>
                    </a:xfrm>
                    <a:prstGeom prst="rect">
                      <a:avLst/>
                    </a:prstGeom>
                  </pic:spPr>
                </pic:pic>
              </a:graphicData>
            </a:graphic>
          </wp:inline>
        </w:drawing>
      </w:r>
    </w:p>
    <w:p>
      <w:pPr>
        <w:pStyle w:val="PieFigura"/>
        <w:keepNext/>
      </w:pPr>
      <w:bookmarkStart w:name="b_fig_4_5_18" w:id="4618"/>
      <w:r>
        <w:t xml:space="preserve">Figura 4.5.</w:t>
      </w:r>
      <w:fldSimple w:instr="SEQ Figura \n \* ARABIC">
        <w:r>
          <w:t xml:space="preserve">18</w:t>
        </w:r>
      </w:fldSimple>
      <w:r>
        <w:t xml:space="preserve"> · Crecimiento con retroalimentación: comportamiento a corto plazo</w:t>
      </w:r>
      <w:bookmarkEnd w:id="4618"/>
    </w:p>
    <w:p>
      <w:pPr>
        <w:pStyle w:val="Fuente"/>
      </w:pPr>
      <w:r>
        <w:t xml:space="preserve">Presentación C-3, pág. 45</w:t>
      </w:r>
    </w:p>
    <w:p>
      <w:pPr>
        <w:keepNext/>
        <w:spacing w:after="40" w:before="150"/>
        <w:jc w:val="center"/>
      </w:pPr>
      <w:bookmarkStart w:name="b_figura_original_pagina_C_3_46" w:id="4619"/>
      <w:bookmarkEnd w:id="4619"/>
      <w:r>
        <w:drawing>
          <wp:inline distT="0" distB="0" distL="0" distR="0">
            <wp:extent cx="5381625" cy="3028950"/>
            <wp:effectExtent t="0" r="0" b="0" l="0"/>
            <wp:docPr id="173" name="pagina-C-3-46" descr="Presentación C-3, pág. 46. Precisión: La solución impresa no vale 1000 en t = 0. La correcta es S(t) = 500 + 500·e^(0,1·t)." title="Crecimiento con retroalimentación: comportamiento exponencial a más largo plaz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33" cstate="none"/>
                    <a:srcRect/>
                    <a:stretch>
                      <a:fillRect/>
                    </a:stretch>
                  </pic:blipFill>
                  <pic:spPr bwMode="auto">
                    <a:xfrm>
                      <a:off x="0" y="0"/>
                      <a:ext cx="5381625" cy="3028950"/>
                    </a:xfrm>
                    <a:prstGeom prst="rect">
                      <a:avLst/>
                    </a:prstGeom>
                  </pic:spPr>
                </pic:pic>
              </a:graphicData>
            </a:graphic>
          </wp:inline>
        </w:drawing>
      </w:r>
    </w:p>
    <w:p>
      <w:pPr>
        <w:pStyle w:val="PieFigura"/>
        <w:keepNext/>
      </w:pPr>
      <w:bookmarkStart w:name="b_fig_4_5_19" w:id="4620"/>
      <w:r>
        <w:t xml:space="preserve">Figura 4.5.</w:t>
      </w:r>
      <w:fldSimple w:instr="SEQ Figura \n \* ARABIC">
        <w:r>
          <w:t xml:space="preserve">19</w:t>
        </w:r>
      </w:fldSimple>
      <w:r>
        <w:t xml:space="preserve"> · Crecimiento con retroalimentación: comportamiento exponencial a más largo plazo</w:t>
      </w:r>
      <w:bookmarkEnd w:id="4620"/>
    </w:p>
    <w:p>
      <w:pPr>
        <w:pStyle w:val="Fuente"/>
      </w:pPr>
      <w:r>
        <w:t xml:space="preserve">Presentación C-3, pág. 46. Precisión: La solución impresa no vale 1000 en t = 0. La correcta es S(t) = 500 + 500·e^(0,1·t).</w:t>
      </w:r>
    </w:p>
    <w:p>
      <w:pPr>
        <w:keepNext/>
        <w:spacing w:after="40" w:before="150"/>
        <w:jc w:val="center"/>
      </w:pPr>
      <w:bookmarkStart w:name="b_figura_original_pagina_C_3_47" w:id="4621"/>
      <w:bookmarkEnd w:id="4621"/>
      <w:r>
        <w:drawing>
          <wp:inline distT="0" distB="0" distL="0" distR="0">
            <wp:extent cx="5381625" cy="3028950"/>
            <wp:effectExtent t="0" r="0" b="0" l="0"/>
            <wp:docPr id="174" name="pagina-C-3-47" descr="Presentación C-3, pág. 47" title="Crecimiento con doble retroalimentación: comportamiento exponencial a corto plaz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47" cstate="none"/>
                    <a:srcRect/>
                    <a:stretch>
                      <a:fillRect/>
                    </a:stretch>
                  </pic:blipFill>
                  <pic:spPr bwMode="auto">
                    <a:xfrm>
                      <a:off x="0" y="0"/>
                      <a:ext cx="5381625" cy="3028950"/>
                    </a:xfrm>
                    <a:prstGeom prst="rect">
                      <a:avLst/>
                    </a:prstGeom>
                  </pic:spPr>
                </pic:pic>
              </a:graphicData>
            </a:graphic>
          </wp:inline>
        </w:drawing>
      </w:r>
    </w:p>
    <w:p>
      <w:pPr>
        <w:pStyle w:val="PieFigura"/>
        <w:keepNext/>
      </w:pPr>
      <w:bookmarkStart w:name="b_fig_4_5_20" w:id="4622"/>
      <w:r>
        <w:t xml:space="preserve">Figura 4.5.</w:t>
      </w:r>
      <w:fldSimple w:instr="SEQ Figura \n \* ARABIC">
        <w:r>
          <w:t xml:space="preserve">20</w:t>
        </w:r>
      </w:fldSimple>
      <w:r>
        <w:t xml:space="preserve"> · Crecimiento con doble retroalimentación: comportamiento exponencial a corto plazo</w:t>
      </w:r>
      <w:bookmarkEnd w:id="4622"/>
    </w:p>
    <w:p>
      <w:pPr>
        <w:pStyle w:val="Fuente"/>
      </w:pPr>
      <w:r>
        <w:t xml:space="preserve">Presentación C-3, pág. 47</w:t>
      </w:r>
    </w:p>
    <w:p>
      <w:pPr>
        <w:keepNext/>
        <w:spacing w:after="40" w:before="150"/>
        <w:jc w:val="center"/>
      </w:pPr>
      <w:bookmarkStart w:name="b_figura_original_pagina_C_3_48" w:id="4623"/>
      <w:bookmarkEnd w:id="4623"/>
      <w:r>
        <w:drawing>
          <wp:inline distT="0" distB="0" distL="0" distR="0">
            <wp:extent cx="5381625" cy="3028950"/>
            <wp:effectExtent t="0" r="0" b="0" l="0"/>
            <wp:docPr id="175" name="pagina-C-3-48" descr="Presentación C-3, pág. 48. Precisión: La solución impresa añade 1000 de más: la correcta es S(t) = 1000·e^(0,01·t). Además, la curva llega cerca de 50 000 a t = 100, incompatible con S′ = 0,01S y S(0) = 1000: el valor continuo es 2718,28; Euler con paso 1 da 2704,81. La ecuación y el inicial, no esa escala gráfica, determinan la corrida." title="Crecimiento con doble retroalimentación: comportamiento exponencial a más largo plaz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34" cstate="none"/>
                    <a:srcRect/>
                    <a:stretch>
                      <a:fillRect/>
                    </a:stretch>
                  </pic:blipFill>
                  <pic:spPr bwMode="auto">
                    <a:xfrm>
                      <a:off x="0" y="0"/>
                      <a:ext cx="5381625" cy="3028950"/>
                    </a:xfrm>
                    <a:prstGeom prst="rect">
                      <a:avLst/>
                    </a:prstGeom>
                  </pic:spPr>
                </pic:pic>
              </a:graphicData>
            </a:graphic>
          </wp:inline>
        </w:drawing>
      </w:r>
    </w:p>
    <w:p>
      <w:pPr>
        <w:pStyle w:val="PieFigura"/>
        <w:keepNext/>
      </w:pPr>
      <w:bookmarkStart w:name="b_fig_4_5_21" w:id="4624"/>
      <w:r>
        <w:t xml:space="preserve">Figura 4.5.</w:t>
      </w:r>
      <w:fldSimple w:instr="SEQ Figura \n \* ARABIC">
        <w:r>
          <w:t xml:space="preserve">21</w:t>
        </w:r>
      </w:fldSimple>
      <w:r>
        <w:t xml:space="preserve"> · Crecimiento con doble retroalimentación: comportamiento exponencial a más largo plazo</w:t>
      </w:r>
      <w:bookmarkEnd w:id="4624"/>
    </w:p>
    <w:p>
      <w:pPr>
        <w:pStyle w:val="Fuente"/>
      </w:pPr>
      <w:r>
        <w:t xml:space="preserve">Presentación C-3, pág. 48. Precisión: La solución impresa añade 1000 de más: la correcta es S(t) = 1000·e^(0,01·t). Además, la curva llega cerca de 50 000 a t = 100, incompatible con S′ = 0,01S y S(0) = 1000: el valor continuo es 2718,28; Euler con paso 1 da 2704,81. La ecuación y el inicial, no esa escala gráfica, determinan la corrida.</w:t>
      </w:r>
    </w:p>
    <w:p>
      <w:pPr>
        <w:keepNext/>
        <w:spacing w:after="40" w:before="150"/>
        <w:jc w:val="center"/>
      </w:pPr>
      <w:bookmarkStart w:name="b_figura_original_pagina_C_3_49" w:id="4625"/>
      <w:bookmarkEnd w:id="4625"/>
      <w:r>
        <w:drawing>
          <wp:inline distT="0" distB="0" distL="0" distR="0">
            <wp:extent cx="5381625" cy="3028950"/>
            <wp:effectExtent t="0" r="0" b="0" l="0"/>
            <wp:docPr id="176" name="pagina-C-3-49" descr="Presentación C-3, pág. 49" title="Decrecimiento con retroalimentació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48" cstate="none"/>
                    <a:srcRect/>
                    <a:stretch>
                      <a:fillRect/>
                    </a:stretch>
                  </pic:blipFill>
                  <pic:spPr bwMode="auto">
                    <a:xfrm>
                      <a:off x="0" y="0"/>
                      <a:ext cx="5381625" cy="3028950"/>
                    </a:xfrm>
                    <a:prstGeom prst="rect">
                      <a:avLst/>
                    </a:prstGeom>
                  </pic:spPr>
                </pic:pic>
              </a:graphicData>
            </a:graphic>
          </wp:inline>
        </w:drawing>
      </w:r>
    </w:p>
    <w:p>
      <w:pPr>
        <w:pStyle w:val="PieFigura"/>
        <w:keepNext/>
      </w:pPr>
      <w:bookmarkStart w:name="b_fig_4_5_22" w:id="4626"/>
      <w:r>
        <w:t xml:space="preserve">Figura 4.5.</w:t>
      </w:r>
      <w:fldSimple w:instr="SEQ Figura \n \* ARABIC">
        <w:r>
          <w:t xml:space="preserve">22</w:t>
        </w:r>
      </w:fldSimple>
      <w:r>
        <w:t xml:space="preserve"> · Decrecimiento con retroalimentación</w:t>
      </w:r>
      <w:bookmarkEnd w:id="4626"/>
    </w:p>
    <w:p>
      <w:pPr>
        <w:pStyle w:val="Fuente"/>
      </w:pPr>
      <w:r>
        <w:t xml:space="preserve">Presentación C-3, pág. 49</w:t>
      </w:r>
    </w:p>
    <w:p>
      <w:pPr>
        <w:keepNext/>
        <w:spacing w:after="40" w:before="150"/>
        <w:jc w:val="center"/>
      </w:pPr>
      <w:bookmarkStart w:name="b_figura_original_pagina_C_3_50" w:id="4627"/>
      <w:bookmarkEnd w:id="4627"/>
      <w:r>
        <w:drawing>
          <wp:inline distT="0" distB="0" distL="0" distR="0">
            <wp:extent cx="5381625" cy="3028950"/>
            <wp:effectExtent t="0" r="0" b="0" l="0"/>
            <wp:docPr id="177" name="pagina-C-3-50" descr="Presentación C-3, pág. 50. Precisión: La página no da el valor de la referencia; con el de la página 51 (5000) la curva se estabiliza en 3333, como su gráfica. El panel izquierdo pone la entrada para un error negativo, al revés que el derecho." title="Convergencia a un valor con referencias de entra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49" cstate="none"/>
                    <a:srcRect/>
                    <a:stretch>
                      <a:fillRect/>
                    </a:stretch>
                  </pic:blipFill>
                  <pic:spPr bwMode="auto">
                    <a:xfrm>
                      <a:off x="0" y="0"/>
                      <a:ext cx="5381625" cy="3028950"/>
                    </a:xfrm>
                    <a:prstGeom prst="rect">
                      <a:avLst/>
                    </a:prstGeom>
                  </pic:spPr>
                </pic:pic>
              </a:graphicData>
            </a:graphic>
          </wp:inline>
        </w:drawing>
      </w:r>
    </w:p>
    <w:p>
      <w:pPr>
        <w:pStyle w:val="PieFigura"/>
        <w:keepNext/>
      </w:pPr>
      <w:bookmarkStart w:name="b_fig_4_5_23" w:id="4628"/>
      <w:r>
        <w:t xml:space="preserve">Figura 4.5.</w:t>
      </w:r>
      <w:fldSimple w:instr="SEQ Figura \n \* ARABIC">
        <w:r>
          <w:t xml:space="preserve">23</w:t>
        </w:r>
      </w:fldSimple>
      <w:r>
        <w:t xml:space="preserve"> · Convergencia a un valor con referencias de entrada</w:t>
      </w:r>
      <w:bookmarkEnd w:id="4628"/>
    </w:p>
    <w:p>
      <w:pPr>
        <w:pStyle w:val="Fuente"/>
      </w:pPr>
      <w:r>
        <w:t xml:space="preserve">Presentación C-3, pág. 50. Precisión: La página no da el valor de la referencia; con el de la página 51 (5000) la curva se estabiliza en 3333, como su gráfica. El panel izquierdo pone la entrada para un error negativo, al revés que el derecho.</w:t>
      </w:r>
    </w:p>
    <w:p>
      <w:pPr>
        <w:keepNext/>
        <w:spacing w:after="40" w:before="150"/>
        <w:jc w:val="center"/>
      </w:pPr>
      <w:bookmarkStart w:name="b_figura_original_pagina_C_3_51" w:id="4629"/>
      <w:bookmarkEnd w:id="4629"/>
      <w:r>
        <w:drawing>
          <wp:inline distT="0" distB="0" distL="0" distR="0">
            <wp:extent cx="5381625" cy="3028950"/>
            <wp:effectExtent t="0" r="0" b="0" l="0"/>
            <wp:docPr id="178" name="pagina-C-3-51" descr="Presentación C-3, pág. 51. Precisión: La salida escrita para un error negativo sería negativa; tiene que ser 0,1·(STOCK − REFERENCIA)." title="Convergencia a un valor con referencias de entrada y de sali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35" cstate="none"/>
                    <a:srcRect/>
                    <a:stretch>
                      <a:fillRect/>
                    </a:stretch>
                  </pic:blipFill>
                  <pic:spPr bwMode="auto">
                    <a:xfrm>
                      <a:off x="0" y="0"/>
                      <a:ext cx="5381625" cy="3028950"/>
                    </a:xfrm>
                    <a:prstGeom prst="rect">
                      <a:avLst/>
                    </a:prstGeom>
                  </pic:spPr>
                </pic:pic>
              </a:graphicData>
            </a:graphic>
          </wp:inline>
        </w:drawing>
      </w:r>
    </w:p>
    <w:p>
      <w:pPr>
        <w:pStyle w:val="PieFigura"/>
        <w:keepNext/>
      </w:pPr>
      <w:bookmarkStart w:name="b_fig_4_5_24" w:id="4630"/>
      <w:r>
        <w:t xml:space="preserve">Figura 4.5.</w:t>
      </w:r>
      <w:fldSimple w:instr="SEQ Figura \n \* ARABIC">
        <w:r>
          <w:t xml:space="preserve">24</w:t>
        </w:r>
      </w:fldSimple>
      <w:r>
        <w:t xml:space="preserve"> · Convergencia a un valor con referencias de entrada y de salida</w:t>
      </w:r>
      <w:bookmarkEnd w:id="4630"/>
    </w:p>
    <w:p>
      <w:pPr>
        <w:pStyle w:val="Fuente"/>
      </w:pPr>
      <w:r>
        <w:t xml:space="preserve">Presentación C-3, pág. 51. Precisión: La salida escrita para un error negativo sería negativa; tiene que ser 0,1·(STOCK − REFERENCIA).</w:t>
      </w:r>
    </w:p>
    <w:p>
      <w:pPr>
        <w:keepNext/>
        <w:spacing w:after="40" w:before="150"/>
        <w:jc w:val="center"/>
      </w:pPr>
      <w:bookmarkStart w:name="b_figura_original_pagina_C_3_52" w:id="4631"/>
      <w:bookmarkEnd w:id="4631"/>
      <w:r>
        <w:drawing>
          <wp:inline distT="0" distB="0" distL="0" distR="0">
            <wp:extent cx="5381625" cy="3028950"/>
            <wp:effectExtent t="0" r="0" b="0" l="0"/>
            <wp:docPr id="179" name="pagina-C-3-52" descr="Presentación C-3, pág. 52. Precisión: Igual que en la página 51, la salida tiene que ser 0,1·(STOCK − REFERENCIA), positiva, para que el stock baje." title="Convergencia a un valor inferi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36" cstate="none"/>
                    <a:srcRect/>
                    <a:stretch>
                      <a:fillRect/>
                    </a:stretch>
                  </pic:blipFill>
                  <pic:spPr bwMode="auto">
                    <a:xfrm>
                      <a:off x="0" y="0"/>
                      <a:ext cx="5381625" cy="3028950"/>
                    </a:xfrm>
                    <a:prstGeom prst="rect">
                      <a:avLst/>
                    </a:prstGeom>
                  </pic:spPr>
                </pic:pic>
              </a:graphicData>
            </a:graphic>
          </wp:inline>
        </w:drawing>
      </w:r>
    </w:p>
    <w:p>
      <w:pPr>
        <w:pStyle w:val="PieFigura"/>
        <w:keepNext/>
      </w:pPr>
      <w:bookmarkStart w:name="b_fig_4_5_25" w:id="4632"/>
      <w:r>
        <w:t xml:space="preserve">Figura 4.5.</w:t>
      </w:r>
      <w:fldSimple w:instr="SEQ Figura \n \* ARABIC">
        <w:r>
          <w:t xml:space="preserve">25</w:t>
        </w:r>
      </w:fldSimple>
      <w:r>
        <w:t xml:space="preserve"> · Convergencia a un valor inferior</w:t>
      </w:r>
      <w:bookmarkEnd w:id="4632"/>
    </w:p>
    <w:p>
      <w:pPr>
        <w:pStyle w:val="Fuente"/>
      </w:pPr>
      <w:r>
        <w:t xml:space="preserve">Presentación C-3, pág. 52. Precisión: Igual que en la página 51, la salida tiene que ser 0,1·(STOCK − REFERENCIA), positiva, para que el stock baje.</w:t>
      </w:r>
    </w:p>
    <w:p>
      <w:pPr>
        <w:pStyle w:val="Heading3"/>
      </w:pPr>
      <w:r>
        <w:t xml:space="preserve">Lo que explicó el profesor en clase</w:t>
      </w:r>
    </w:p>
    <w:p>
      <w:pPr>
        <w:pStyle w:val="Heading3"/>
      </w:pPr>
      <w:bookmarkStart w:name="b_clase_4_5_c19_cap_10" w:id="4633"/>
      <w:r>
        <w:t xml:space="preserve">Clase 19 · 01:41:48–01:43:55 · Preparar el caso de Francisco</w:t>
      </w:r>
      <w:bookmarkEnd w:id="4633"/>
    </w:p>
    <w:p>
      <w:bookmarkStart w:name="b_punto_c19_cap_10_p02" w:id="4634"/>
      <w:r>
        <w:t xml:space="preserve">Se identifican acumulador y flujos antes de calcular la corrida de Francisco.</w:t>
      </w:r>
      <w:bookmarkEnd w:id="4634"/>
    </w:p>
    <w:p>
      <w:pPr>
        <w:pStyle w:val="Fuente"/>
      </w:pPr>
      <w:r>
        <w:t xml:space="preserve">Véase </w:t>
      </w:r>
      <w:hyperlink w:history="1" w:anchor="b_4_4">
        <w:r>
          <w:rPr>
            <w:color w:val="156B70"/>
            <w:u w:val="single"/>
          </w:rPr>
          <w:t xml:space="preserve">capítulo 4.4 · Simulación con VENSIM</w:t>
        </w:r>
      </w:hyperlink>
      <w:r>
        <w:t xml:space="preserve">, pág. </w:t>
      </w:r>
      <w:r>
        <w:fldChar w:fldCharType="begin"/>
        <w:instrText xml:space="preserve">PAGEREF b_4_4 \h</w:instrText>
        <w:fldChar w:fldCharType="separate"/>
        <w:t xml:space="preserve">776</w:t>
        <w:fldChar w:fldCharType="end"/>
      </w:r>
      <w:r>
        <w:t xml:space="preserve">.</w:t>
      </w:r>
    </w:p>
    <w:p>
      <w:pPr>
        <w:pStyle w:val="Heading3"/>
      </w:pPr>
      <w:bookmarkStart w:name="b_clase_4_5_c20_cap_04" w:id="4635"/>
      <w:r>
        <w:t xml:space="preserve">Clase 20 · 00:35:17–00:51:13 · Corrección de la epidemia</w:t>
      </w:r>
      <w:bookmarkEnd w:id="4635"/>
    </w:p>
    <w:p>
      <w:bookmarkStart w:name="b_punto_c20_cap_04_p01" w:id="4636"/>
      <w:r>
        <w:t xml:space="preserve">Francisco se enriquece con datos para simular: no todos esos números estaban en el enunciado causal del parcial.</w:t>
      </w:r>
      <w:bookmarkEnd w:id="4636"/>
    </w:p>
    <w:p>
      <w:bookmarkStart w:name="b_punto_c20_cap_04_p05" w:id="4637"/>
      <w:r>
        <w:t xml:space="preserve">Las personas fraccionarias son una aproximación agregada; redondear para comunicar no implica realimentar un estado redondeado.</w:t>
      </w:r>
      <w:bookmarkEnd w:id="4637"/>
    </w:p>
    <w:p>
      <w:pPr>
        <w:pStyle w:val="Fuente"/>
      </w:pPr>
      <w:r>
        <w:t xml:space="preserve">Véase </w:t>
      </w:r>
      <w:hyperlink w:history="1" w:anchor="b_4_4">
        <w:r>
          <w:rPr>
            <w:color w:val="156B70"/>
            <w:u w:val="single"/>
          </w:rPr>
          <w:t xml:space="preserve">capítulo 4.4 · Simulación con VENSIM</w:t>
        </w:r>
      </w:hyperlink>
      <w:r>
        <w:t xml:space="preserve">, pág. </w:t>
      </w:r>
      <w:r>
        <w:fldChar w:fldCharType="begin"/>
        <w:instrText xml:space="preserve">PAGEREF b_4_4 \h</w:instrText>
        <w:fldChar w:fldCharType="separate"/>
        <w:t xml:space="preserve">776</w:t>
        <w:fldChar w:fldCharType="end"/>
      </w:r>
      <w:r>
        <w:t xml:space="preserve">.</w:t>
      </w:r>
    </w:p>
    <w:p>
      <w:pPr>
        <w:pStyle w:val="Heading3"/>
      </w:pPr>
      <w:bookmarkStart w:name="b_clase_4_5_c20_cap_05" w:id="4638"/>
      <w:r>
        <w:t xml:space="preserve">Clase 20 · 00:51:13–01:00:34 · Francisco: traducir la historia</w:t>
      </w:r>
      <w:bookmarkEnd w:id="4638"/>
    </w:p>
    <w:p>
      <w:bookmarkStart w:name="b_punto_c20_cap_05_p01" w:id="4639"/>
      <w:r>
        <w:t xml:space="preserve">Se elige información significativa según las preguntas; no todo detalle del relato debe convertirse en variable.</w:t>
      </w:r>
      <w:bookmarkEnd w:id="4639"/>
    </w:p>
    <w:p>
      <w:bookmarkStart w:name="b_punto_c20_cap_05_p02" w:id="4640"/>
      <w:r>
        <w:t xml:space="preserve">Ser filósofo, amar leer o el ego del tío son contexto; el modelo se centra en el flujo de libros.</w:t>
      </w:r>
      <w:bookmarkEnd w:id="4640"/>
    </w:p>
    <w:p>
      <w:bookmarkStart w:name="b_punto_c20_cap_05_p03" w:id="4641"/>
      <w:r>
        <w:t xml:space="preserve">La referencia es quince libros pendientes y el tío consigue el setenta y cinco por ciento de su lista cada mes.</w:t>
      </w:r>
      <w:bookmarkEnd w:id="4641"/>
    </w:p>
    <w:p>
      <w:bookmarkStart w:name="b_punto_c20_cap_05_p04" w:id="4642"/>
      <w:r>
        <w:t xml:space="preserve">Francisco lee cada mes la mitad de los libros disponibles; esa fracción determina el flujo de lectura.</w:t>
      </w:r>
      <w:bookmarkEnd w:id="4642"/>
    </w:p>
    <w:p>
      <w:bookmarkStart w:name="b_punto_c20_cap_05_p05" w:id="4643"/>
      <w:r>
        <w:t xml:space="preserve">Con veinte iniciales se preguntan pendientes y lectura mensual después del tercero; simular requiere niveles, flujos y ecuaciones.</w:t>
      </w:r>
      <w:bookmarkEnd w:id="4643"/>
    </w:p>
    <w:p>
      <w:pPr>
        <w:pStyle w:val="Heading3"/>
      </w:pPr>
      <w:bookmarkStart w:name="b_clase_4_5_c20_cap_06" w:id="4644"/>
      <w:r>
        <w:t xml:space="preserve">Clase 20 · 01:00:34–01:11:20 · Diagrama causal y brecha</w:t>
      </w:r>
      <w:bookmarkEnd w:id="4644"/>
    </w:p>
    <w:p>
      <w:bookmarkStart w:name="b_punto_c20_cap_06_p05" w:id="4645"/>
      <w:r>
        <w:t xml:space="preserve">La frecuencia concreta de compra no se describe totalmente; se declaran supuestos mensuales y se buscan evidencias de los retornos significativos.</w:t>
      </w:r>
      <w:bookmarkEnd w:id="4645"/>
    </w:p>
    <w:p>
      <w:pPr>
        <w:pStyle w:val="Fuente"/>
      </w:pPr>
      <w:r>
        <w:t xml:space="preserve">Véase </w:t>
      </w:r>
      <w:hyperlink w:history="1" w:anchor="b_senales_examen">
        <w:r>
          <w:rPr>
            <w:color w:val="156B70"/>
            <w:u w:val="single"/>
          </w:rPr>
          <w:t xml:space="preserve">1 indicación(es) de examen de este tramo, en el apéndice cronológico</w:t>
        </w:r>
      </w:hyperlink>
      <w:r>
        <w:t xml:space="preserve">, pág. </w:t>
      </w:r>
      <w:r>
        <w:fldChar w:fldCharType="begin"/>
        <w:instrText xml:space="preserve">PAGEREF b_senales_examen \h</w:instrText>
        <w:fldChar w:fldCharType="separate"/>
        <w:t xml:space="preserve">1663</w:t>
        <w:fldChar w:fldCharType="end"/>
      </w:r>
      <w:r>
        <w:t xml:space="preserve">.</w:t>
      </w:r>
    </w:p>
    <w:p>
      <w:pPr>
        <w:pStyle w:val="Fuente"/>
      </w:pPr>
      <w:r>
        <w:t xml:space="preserve">Véase </w:t>
      </w:r>
      <w:hyperlink w:history="1" w:anchor="b_4_3">
        <w:r>
          <w:rPr>
            <w:color w:val="156B70"/>
            <w:u w:val="single"/>
          </w:rPr>
          <w:t xml:space="preserve">capítulo 4.3 · De ciclos causales a flujos</w:t>
        </w:r>
      </w:hyperlink>
      <w:r>
        <w:t xml:space="preserve">, pág. </w:t>
      </w:r>
      <w:r>
        <w:fldChar w:fldCharType="begin"/>
        <w:instrText xml:space="preserve">PAGEREF b_4_3 \h</w:instrText>
        <w:fldChar w:fldCharType="separate"/>
        <w:t xml:space="preserve">737</w:t>
        <w:fldChar w:fldCharType="end"/>
      </w:r>
      <w:r>
        <w:t xml:space="preserve">.</w:t>
      </w:r>
    </w:p>
    <w:p>
      <w:pPr>
        <w:pStyle w:val="Heading3"/>
      </w:pPr>
      <w:bookmarkStart w:name="b_clase_4_5_c20_cap_08" w:id="4646"/>
      <w:r>
        <w:t xml:space="preserve">Clase 20 · 01:21:12–01:30:14 · De la historia al modelo de flujos</w:t>
      </w:r>
      <w:bookmarkEnd w:id="4646"/>
    </w:p>
    <w:p>
      <w:bookmarkStart w:name="b_punto_c20_cap_08_p03" w:id="4647"/>
      <w:r>
        <w:t xml:space="preserve">Lecturas es un flujo de libros/mes, no el nivel histórico de libros leídos; esa otra pregunta requeriría otro acumulador.</w:t>
      </w:r>
      <w:bookmarkEnd w:id="4647"/>
    </w:p>
    <w:p>
      <w:pPr>
        <w:pStyle w:val="Fuente"/>
      </w:pPr>
      <w:r>
        <w:t xml:space="preserve">Véase </w:t>
      </w:r>
      <w:hyperlink w:history="1" w:anchor="b_senales_examen">
        <w:r>
          <w:rPr>
            <w:color w:val="156B70"/>
            <w:u w:val="single"/>
          </w:rPr>
          <w:t xml:space="preserve">1 indicación(es) de examen de este tramo, en el apéndice cronológico</w:t>
        </w:r>
      </w:hyperlink>
      <w:r>
        <w:t xml:space="preserve">, pág. </w:t>
      </w:r>
      <w:r>
        <w:fldChar w:fldCharType="begin"/>
        <w:instrText xml:space="preserve">PAGEREF b_senales_examen \h</w:instrText>
        <w:fldChar w:fldCharType="separate"/>
        <w:t xml:space="preserve">1663</w:t>
        <w:fldChar w:fldCharType="end"/>
      </w:r>
      <w:r>
        <w:t xml:space="preserve">.</w:t>
      </w:r>
    </w:p>
    <w:p>
      <w:pPr>
        <w:pStyle w:val="Fuente"/>
      </w:pPr>
      <w:r>
        <w:t xml:space="preserve">Véase </w:t>
      </w:r>
      <w:hyperlink w:history="1" w:anchor="b_4_3">
        <w:r>
          <w:rPr>
            <w:color w:val="156B70"/>
            <w:u w:val="single"/>
          </w:rPr>
          <w:t xml:space="preserve">capítulo 4.3 · De ciclos causales a flujos</w:t>
        </w:r>
      </w:hyperlink>
      <w:r>
        <w:t xml:space="preserve">, pág. </w:t>
      </w:r>
      <w:r>
        <w:fldChar w:fldCharType="begin"/>
        <w:instrText xml:space="preserve">PAGEREF b_4_3 \h</w:instrText>
        <w:fldChar w:fldCharType="separate"/>
        <w:t xml:space="preserve">737</w:t>
        <w:fldChar w:fldCharType="end"/>
      </w:r>
      <w:r>
        <w:t xml:space="preserve">.</w:t>
      </w:r>
    </w:p>
    <w:p>
      <w:pPr>
        <w:pStyle w:val="Fuente"/>
      </w:pPr>
      <w:r>
        <w:t xml:space="preserve">Véase </w:t>
      </w:r>
      <w:hyperlink w:history="1" w:anchor="b_4_2">
        <w:r>
          <w:rPr>
            <w:color w:val="156B70"/>
            <w:u w:val="single"/>
          </w:rPr>
          <w:t xml:space="preserve">capítulo 4.2 · Flujos y niveles</w:t>
        </w:r>
      </w:hyperlink>
      <w:r>
        <w:t xml:space="preserve">, pág. </w:t>
      </w:r>
      <w:r>
        <w:fldChar w:fldCharType="begin"/>
        <w:instrText xml:space="preserve">PAGEREF b_4_2 \h</w:instrText>
        <w:fldChar w:fldCharType="separate"/>
        <w:t xml:space="preserve">709</w:t>
        <w:fldChar w:fldCharType="end"/>
      </w:r>
      <w:r>
        <w:t xml:space="preserve">.</w:t>
      </w:r>
    </w:p>
    <w:p>
      <w:pPr>
        <w:pStyle w:val="Heading3"/>
      </w:pPr>
      <w:bookmarkStart w:name="b_clase_4_5_c20_cap_09" w:id="4648"/>
      <w:r>
        <w:t xml:space="preserve">Clase 20 · 01:30:14–01:36:53 · Ecuaciones y límite físico</w:t>
      </w:r>
      <w:bookmarkEnd w:id="4648"/>
    </w:p>
    <w:p>
      <w:bookmarkStart w:name="b_punto_c20_cap_09_p02" w:id="4649"/>
      <w:r>
        <w:t xml:space="preserve">Lecturas = pendientes × 0.5 por mes; adquisición usa 0.75 por mes: esas fracciones no son niveles.</w:t>
      </w:r>
      <w:bookmarkEnd w:id="4649"/>
    </w:p>
    <w:p>
      <w:bookmarkStart w:name="b_punto_c20_cap_09_p04" w:id="4650"/>
      <w:r>
        <w:t xml:space="preserve">Con veinte pendientes, brecha y compras resultan negativas; el profesor reconoce el límite físico y difiere la función que lo evita.</w:t>
      </w:r>
      <w:bookmarkEnd w:id="4650"/>
    </w:p>
    <w:p>
      <w:bookmarkStart w:name="b_punto_c20_cap_09_p05" w:id="4651"/>
      <w:r>
        <w:t xml:space="preserve">Compras = adquisición × brecha; MAX(0,brecha) es una variante editorial identificada, no la corrida original.</w:t>
      </w:r>
      <w:bookmarkEnd w:id="4651"/>
    </w:p>
    <w:p>
      <w:pPr>
        <w:pStyle w:val="Fuente"/>
      </w:pPr>
      <w:r>
        <w:t xml:space="preserve">Véase </w:t>
      </w:r>
      <w:hyperlink w:history="1" w:anchor="b_4_3">
        <w:r>
          <w:rPr>
            <w:color w:val="156B70"/>
            <w:u w:val="single"/>
          </w:rPr>
          <w:t xml:space="preserve">capítulo 4.3 · De ciclos causales a flujos</w:t>
        </w:r>
      </w:hyperlink>
      <w:r>
        <w:t xml:space="preserve">, pág. </w:t>
      </w:r>
      <w:r>
        <w:fldChar w:fldCharType="begin"/>
        <w:instrText xml:space="preserve">PAGEREF b_4_3 \h</w:instrText>
        <w:fldChar w:fldCharType="separate"/>
        <w:t xml:space="preserve">737</w:t>
        <w:fldChar w:fldCharType="end"/>
      </w:r>
      <w:r>
        <w:t xml:space="preserve">.</w:t>
      </w:r>
    </w:p>
    <w:p>
      <w:pPr>
        <w:pStyle w:val="Heading3"/>
      </w:pPr>
      <w:bookmarkStart w:name="b_clase_4_5_c20_cap_10" w:id="4652"/>
      <w:r>
        <w:t xml:space="preserve">Clase 20 · 01:36:53–01:47:34 · Resultados y validación</w:t>
      </w:r>
      <w:bookmarkEnd w:id="4652"/>
    </w:p>
    <w:p>
      <w:bookmarkStart w:name="b_punto_c20_cap_10_p01" w:id="4653"/>
      <w:r>
        <w:t xml:space="preserve">Se ajusta el horizonte: la corrida original pasa de 20 a 6.25 y 9.6875 y oscila hacia nueve.</w:t>
      </w:r>
      <w:bookmarkEnd w:id="4653"/>
    </w:p>
    <w:p>
      <w:bookmarkStart w:name="b_punto_c20_cap_10_p02" w:id="4654"/>
      <w:r>
        <w:t xml:space="preserve">Pendientes se aproxima a nueve y lecturas a 4.5 libros/mes; la referencia de quince no impone el equilibrio.</w:t>
      </w:r>
      <w:bookmarkEnd w:id="4654"/>
    </w:p>
    <w:p>
      <w:bookmarkStart w:name="b_punto_c20_cap_10_p03" w:id="4655"/>
      <w:r>
        <w:t xml:space="preserve">Para sostener quince hay que revisar la política y calcular la referencia, no declarar la meta sin comprobar flujos.</w:t>
      </w:r>
      <w:bookmarkEnd w:id="4655"/>
    </w:p>
    <w:p>
      <w:bookmarkStart w:name="b_punto_c20_cap_10_p04" w:id="4656"/>
      <w:r>
        <w:t xml:space="preserve">Presa y depredador ilustran efectos de años o décadas que una simulación puede explorar brevemente.</w:t>
      </w:r>
      <w:bookmarkEnd w:id="4656"/>
    </w:p>
    <w:p>
      <w:pPr>
        <w:pStyle w:val="Fuente"/>
      </w:pPr>
      <w:r>
        <w:t xml:space="preserve">Véase </w:t>
      </w:r>
      <w:hyperlink w:history="1" w:anchor="b_4_3">
        <w:r>
          <w:rPr>
            <w:color w:val="156B70"/>
            <w:u w:val="single"/>
          </w:rPr>
          <w:t xml:space="preserve">capítulo 4.3 · De ciclos causales a flujos</w:t>
        </w:r>
      </w:hyperlink>
      <w:r>
        <w:t xml:space="preserve">, pág. </w:t>
      </w:r>
      <w:r>
        <w:fldChar w:fldCharType="begin"/>
        <w:instrText xml:space="preserve">PAGEREF b_4_3 \h</w:instrText>
        <w:fldChar w:fldCharType="separate"/>
        <w:t xml:space="preserve">737</w:t>
        <w:fldChar w:fldCharType="end"/>
      </w:r>
      <w:r>
        <w:t xml:space="preserve">.</w:t>
      </w:r>
    </w:p>
    <w:p>
      <w:pPr>
        <w:pStyle w:val="Fuente"/>
      </w:pPr>
      <w:r>
        <w:t xml:space="preserve">Véase </w:t>
      </w:r>
      <w:hyperlink w:history="1" w:anchor="b_4_4">
        <w:r>
          <w:rPr>
            <w:color w:val="156B70"/>
            <w:u w:val="single"/>
          </w:rPr>
          <w:t xml:space="preserve">capítulo 4.4 · Simulación con VENSIM</w:t>
        </w:r>
      </w:hyperlink>
      <w:r>
        <w:t xml:space="preserve">, pág. </w:t>
      </w:r>
      <w:r>
        <w:fldChar w:fldCharType="begin"/>
        <w:instrText xml:space="preserve">PAGEREF b_4_4 \h</w:instrText>
        <w:fldChar w:fldCharType="separate"/>
        <w:t xml:space="preserve">776</w:t>
        <w:fldChar w:fldCharType="end"/>
      </w:r>
      <w:r>
        <w:t xml:space="preserve">.</w:t>
      </w:r>
    </w:p>
    <w:p>
      <w:pPr>
        <w:pStyle w:val="Fuente"/>
      </w:pPr>
      <w:r>
        <w:t xml:space="preserve">Véase </w:t>
      </w:r>
      <w:hyperlink w:history="1" w:anchor="b_4_7">
        <w:r>
          <w:rPr>
            <w:color w:val="156B70"/>
            <w:u w:val="single"/>
          </w:rPr>
          <w:t xml:space="preserve">capítulo 4.7 · Hábitos (simulación)</w:t>
        </w:r>
      </w:hyperlink>
      <w:r>
        <w:t xml:space="preserve">, pág. </w:t>
      </w:r>
      <w:r>
        <w:fldChar w:fldCharType="begin"/>
        <w:instrText xml:space="preserve">PAGEREF b_4_7 \h</w:instrText>
        <w:fldChar w:fldCharType="separate"/>
        <w:t xml:space="preserve">932</w:t>
        <w:fldChar w:fldCharType="end"/>
      </w:r>
      <w:r>
        <w:t xml:space="preserve">.</w:t>
      </w:r>
    </w:p>
    <w:p>
      <w:pPr>
        <w:pStyle w:val="Heading3"/>
      </w:pPr>
      <w:bookmarkStart w:name="b_clase_4_5_c21_cap_02" w:id="4657"/>
      <w:r>
        <w:t xml:space="preserve">Clase 21 · 00:13:00–00:22:42 · Notas y componentes de un modelo</w:t>
      </w:r>
      <w:bookmarkEnd w:id="4657"/>
    </w:p>
    <w:p>
      <w:bookmarkStart w:name="b_punto_c21_cap_02_p08" w:id="4658"/>
      <w:r>
        <w:t xml:space="preserve">La estructura causal permite una primera lectura cualitativa; ecuaciones y simulación producen gráficas y tablas de variables concretas.</w:t>
      </w:r>
      <w:bookmarkEnd w:id="4658"/>
    </w:p>
    <w:p>
      <w:pPr>
        <w:pStyle w:val="Fuente"/>
      </w:pPr>
      <w:r>
        <w:t xml:space="preserve">Véase </w:t>
      </w:r>
      <w:hyperlink w:history="1" w:anchor="b_4_2">
        <w:r>
          <w:rPr>
            <w:color w:val="156B70"/>
            <w:u w:val="single"/>
          </w:rPr>
          <w:t xml:space="preserve">capítulo 4.2 · Flujos y niveles</w:t>
        </w:r>
      </w:hyperlink>
      <w:r>
        <w:t xml:space="preserve">, pág. </w:t>
      </w:r>
      <w:r>
        <w:fldChar w:fldCharType="begin"/>
        <w:instrText xml:space="preserve">PAGEREF b_4_2 \h</w:instrText>
        <w:fldChar w:fldCharType="separate"/>
        <w:t xml:space="preserve">709</w:t>
        <w:fldChar w:fldCharType="end"/>
      </w:r>
      <w:r>
        <w:t xml:space="preserve">.</w:t>
      </w:r>
    </w:p>
    <w:p>
      <w:pPr>
        <w:pStyle w:val="Fuente"/>
      </w:pPr>
      <w:r>
        <w:t xml:space="preserve">Véase </w:t>
      </w:r>
      <w:hyperlink w:history="1" w:anchor="b_4_4">
        <w:r>
          <w:rPr>
            <w:color w:val="156B70"/>
            <w:u w:val="single"/>
          </w:rPr>
          <w:t xml:space="preserve">capítulo 4.4 · Simulación con VENSIM</w:t>
        </w:r>
      </w:hyperlink>
      <w:r>
        <w:t xml:space="preserve">, pág. </w:t>
      </w:r>
      <w:r>
        <w:fldChar w:fldCharType="begin"/>
        <w:instrText xml:space="preserve">PAGEREF b_4_4 \h</w:instrText>
        <w:fldChar w:fldCharType="separate"/>
        <w:t xml:space="preserve">776</w:t>
        <w:fldChar w:fldCharType="end"/>
      </w:r>
      <w:r>
        <w:t xml:space="preserve">.</w:t>
      </w:r>
    </w:p>
    <w:p>
      <w:pPr>
        <w:pStyle w:val="Fuente"/>
      </w:pPr>
      <w:r>
        <w:t xml:space="preserve">Véase </w:t>
      </w:r>
      <w:hyperlink w:history="1" w:anchor="b_4_3">
        <w:r>
          <w:rPr>
            <w:color w:val="156B70"/>
            <w:u w:val="single"/>
          </w:rPr>
          <w:t xml:space="preserve">capítulo 4.3 · De ciclos causales a flujos</w:t>
        </w:r>
      </w:hyperlink>
      <w:r>
        <w:t xml:space="preserve">, pág. </w:t>
      </w:r>
      <w:r>
        <w:fldChar w:fldCharType="begin"/>
        <w:instrText xml:space="preserve">PAGEREF b_4_3 \h</w:instrText>
        <w:fldChar w:fldCharType="separate"/>
        <w:t xml:space="preserve">737</w:t>
        <w:fldChar w:fldCharType="end"/>
      </w:r>
      <w:r>
        <w:t xml:space="preserve">.</w:t>
      </w:r>
    </w:p>
    <w:p>
      <w:pPr>
        <w:pStyle w:val="Heading3"/>
      </w:pPr>
      <w:bookmarkStart w:name="b_clase_4_5_c21_cap_03" w:id="4659"/>
      <w:r>
        <w:t xml:space="preserve">Clase 21 · 00:22:42–00:42:40 · Conversión y patrones de comportamiento</w:t>
      </w:r>
      <w:bookmarkEnd w:id="4659"/>
    </w:p>
    <w:p>
      <w:bookmarkStart w:name="b_punto_c21_cap_03_p06" w:id="4660"/>
      <w:r>
        <w:t xml:space="preserve">Los patrones habituales ayudan a reconocer crecimiento, decrecimiento, búsqueda de meta, oscilación y variaciones compuestas a diferentes escalas.</w:t>
      </w:r>
      <w:bookmarkEnd w:id="4660"/>
    </w:p>
    <w:p>
      <w:bookmarkStart w:name="b_punto_c21_cap_03_p07" w:id="4661"/>
      <w:r>
        <w:t xml:space="preserve">Con entrada constante 100 y salida constante 50, el stock crece linealmente a razón de 50 por unidad de tiempo.</w:t>
      </w:r>
      <w:bookmarkEnd w:id="4661"/>
    </w:p>
    <w:p>
      <w:bookmarkStart w:name="b_punto_c21_cap_03_p08" w:id="4662"/>
      <w:r>
        <w:t xml:space="preserve">Si se invierten entrada y salida constantes, el flujo neto cambia de signo y la recta es decreciente.</w:t>
      </w:r>
      <w:bookmarkEnd w:id="4662"/>
    </w:p>
    <w:p>
      <w:bookmarkStart w:name="b_punto_c21_cap_03_p09" w:id="4663"/>
      <w:r>
        <w:t xml:space="preserve">Una tienda que compra cien computadoras y vende cincuenta por mes aumenta su inventario; conocer la tendencia permite decidir si mantener o cambiar ese escenario.</w:t>
      </w:r>
      <w:bookmarkEnd w:id="4663"/>
    </w:p>
    <w:p>
      <w:bookmarkStart w:name="b_punto_c21_cap_03_p12" w:id="4664"/>
      <w:r>
        <w:t xml:space="preserve">Un sistema puede mostrar oscilaciones alrededor de una referencia o cambiar de patrón por etapas; importa observar una ventana temporal pertinente.</w:t>
      </w:r>
      <w:bookmarkEnd w:id="4664"/>
    </w:p>
    <w:p>
      <w:pPr>
        <w:pStyle w:val="Fuente"/>
      </w:pPr>
      <w:r>
        <w:t xml:space="preserve">Véase </w:t>
      </w:r>
      <w:hyperlink w:history="1" w:anchor="b_senales_examen">
        <w:r>
          <w:rPr>
            <w:color w:val="156B70"/>
            <w:u w:val="single"/>
          </w:rPr>
          <w:t xml:space="preserve">1 indicación(es) de examen de este tramo, en el apéndice cronológico</w:t>
        </w:r>
      </w:hyperlink>
      <w:r>
        <w:t xml:space="preserve">, pág. </w:t>
      </w:r>
      <w:r>
        <w:fldChar w:fldCharType="begin"/>
        <w:instrText xml:space="preserve">PAGEREF b_senales_examen \h</w:instrText>
        <w:fldChar w:fldCharType="separate"/>
        <w:t xml:space="preserve">1663</w:t>
        <w:fldChar w:fldCharType="end"/>
      </w:r>
      <w:r>
        <w:t xml:space="preserve">.</w:t>
      </w:r>
    </w:p>
    <w:p>
      <w:pPr>
        <w:pStyle w:val="Fuente"/>
      </w:pPr>
      <w:r>
        <w:t xml:space="preserve">Véase </w:t>
      </w:r>
      <w:hyperlink w:history="1" w:anchor="b_4_3">
        <w:r>
          <w:rPr>
            <w:color w:val="156B70"/>
            <w:u w:val="single"/>
          </w:rPr>
          <w:t xml:space="preserve">capítulo 4.3 · De ciclos causales a flujos</w:t>
        </w:r>
      </w:hyperlink>
      <w:r>
        <w:t xml:space="preserve">, pág. </w:t>
      </w:r>
      <w:r>
        <w:fldChar w:fldCharType="begin"/>
        <w:instrText xml:space="preserve">PAGEREF b_4_3 \h</w:instrText>
        <w:fldChar w:fldCharType="separate"/>
        <w:t xml:space="preserve">737</w:t>
        <w:fldChar w:fldCharType="end"/>
      </w:r>
      <w:r>
        <w:t xml:space="preserve">.</w:t>
      </w:r>
    </w:p>
    <w:p>
      <w:pPr>
        <w:pStyle w:val="Fuente"/>
      </w:pPr>
      <w:r>
        <w:t xml:space="preserve">Véase </w:t>
      </w:r>
      <w:hyperlink w:history="1" w:anchor="b_4_2">
        <w:r>
          <w:rPr>
            <w:color w:val="156B70"/>
            <w:u w:val="single"/>
          </w:rPr>
          <w:t xml:space="preserve">capítulo 4.2 · Flujos y niveles</w:t>
        </w:r>
      </w:hyperlink>
      <w:r>
        <w:t xml:space="preserve">, pág. </w:t>
      </w:r>
      <w:r>
        <w:fldChar w:fldCharType="begin"/>
        <w:instrText xml:space="preserve">PAGEREF b_4_2 \h</w:instrText>
        <w:fldChar w:fldCharType="separate"/>
        <w:t xml:space="preserve">709</w:t>
        <w:fldChar w:fldCharType="end"/>
      </w:r>
      <w:r>
        <w:t xml:space="preserve">.</w:t>
      </w:r>
    </w:p>
    <w:p>
      <w:pPr>
        <w:pStyle w:val="Fuente"/>
      </w:pPr>
      <w:r>
        <w:t xml:space="preserve">Véase </w:t>
      </w:r>
      <w:hyperlink w:history="1" w:anchor="b_4_4">
        <w:r>
          <w:rPr>
            <w:color w:val="156B70"/>
            <w:u w:val="single"/>
          </w:rPr>
          <w:t xml:space="preserve">capítulo 4.4 · Simulación con VENSIM</w:t>
        </w:r>
      </w:hyperlink>
      <w:r>
        <w:t xml:space="preserve">, pág. </w:t>
      </w:r>
      <w:r>
        <w:fldChar w:fldCharType="begin"/>
        <w:instrText xml:space="preserve">PAGEREF b_4_4 \h</w:instrText>
        <w:fldChar w:fldCharType="separate"/>
        <w:t xml:space="preserve">776</w:t>
        <w:fldChar w:fldCharType="end"/>
      </w:r>
      <w:r>
        <w:t xml:space="preserve">.</w:t>
      </w:r>
    </w:p>
    <w:p>
      <w:pPr>
        <w:pStyle w:val="Heading3"/>
      </w:pPr>
      <w:bookmarkStart w:name="b_clase_4_5_c21_cap_04" w:id="4665"/>
      <w:r>
        <w:t xml:space="preserve">Clase 21 · 00:42:40–00:52:54 · Tiempo, realimentación y crecimiento</w:t>
      </w:r>
      <w:bookmarkEnd w:id="4665"/>
    </w:p>
    <w:p>
      <w:bookmarkStart w:name="b_punto_c21_cap_04_p01" w:id="4666"/>
      <w:r>
        <w:t xml:space="preserve">Si la entrada es 50t+50 y la salida cincuenta, el flujo neto depende del tiempo y el stock sigue una trayectoria cuadrática, sin necesitar retorno del stock a la entrada.</w:t>
      </w:r>
      <w:bookmarkEnd w:id="4666"/>
    </w:p>
    <w:p>
      <w:bookmarkStart w:name="b_punto_c21_cap_04_p02" w:id="4667"/>
      <w:r>
        <w:t xml:space="preserve">Hacer depender la entrada del stock introduce realimentación; en el ejemplo proporcional genera crecimiento exponencial, diferente de la dependencia explícita del tiempo.</w:t>
      </w:r>
      <w:bookmarkEnd w:id="4667"/>
    </w:p>
    <w:p>
      <w:bookmarkStart w:name="b_punto_c21_cap_04_p03" w:id="4668"/>
      <w:r>
        <w:t xml:space="preserve">Una ventana corta puede hacer que tendencias diferentes parezcan casi rectas; ampliar la escala temporal permite distinguir su crecimiento.</w:t>
      </w:r>
      <w:bookmarkEnd w:id="4668"/>
    </w:p>
    <w:p>
      <w:bookmarkStart w:name="b_punto_c21_cap_04_p04" w:id="4669"/>
      <w:r>
        <w:t xml:space="preserve">La historia de una planta que duplica cobertura ilustra cómo una duplicación cerca de la saturación aparente puede llenar la mitad restante en un solo periodo.</w:t>
      </w:r>
      <w:bookmarkEnd w:id="4669"/>
    </w:p>
    <w:p>
      <w:bookmarkStart w:name="b_punto_c21_cap_04_p05" w:id="4670"/>
      <w:r>
        <w:t xml:space="preserve">El crecimiento exponencial del ejemplo se describe con una ecuación y tiempo de duplicación; no requiere que exista un punto de inflexión matemático.</w:t>
      </w:r>
      <w:bookmarkEnd w:id="4670"/>
    </w:p>
    <w:p>
      <w:bookmarkStart w:name="b_punto_c21_cap_04_p06" w:id="4671"/>
      <w:r>
        <w:t xml:space="preserve">Al hacer ambos flujos proporcionales al nivel, la diferencia de coeficientes determina crecimiento o decrecimiento: 0.10 de entrada y 0.11 de salida produce tasa neta negativa.</w:t>
      </w:r>
      <w:bookmarkEnd w:id="4671"/>
    </w:p>
    <w:p>
      <w:bookmarkStart w:name="b_punto_c21_cap_04_p07" w:id="4672"/>
      <w:r>
        <w:t xml:space="preserve">Las reglas de ajuste respecto a una referencia pueden hacer que el stock se aproxime a un valor; deben leerse las condiciones de entrada y salida.</w:t>
      </w:r>
      <w:bookmarkEnd w:id="4672"/>
    </w:p>
    <w:p>
      <w:bookmarkStart w:name="b_punto_c21_cap_04_p08" w:id="4673"/>
      <w:r>
        <w:t xml:space="preserve">La clase remite al video para estudiar los patrones uno por uno, porque la demostración oral es una revisión rápida de ejemplos.</w:t>
      </w:r>
      <w:bookmarkEnd w:id="4673"/>
    </w:p>
    <w:p>
      <w:pPr>
        <w:pStyle w:val="Heading3"/>
      </w:pPr>
      <w:bookmarkStart w:name="b_clase_4_5_c21_cap_10" w:id="4674"/>
      <w:r>
        <w:t xml:space="preserve">Clase 21 · 01:38:06–01:45:44 · Consecuencias y próximos pasos</w:t>
      </w:r>
      <w:bookmarkEnd w:id="4674"/>
    </w:p>
    <w:p>
      <w:pPr>
        <w:pStyle w:val="Fuente"/>
      </w:pPr>
      <w:r>
        <w:t xml:space="preserve">Véase </w:t>
      </w:r>
      <w:hyperlink w:history="1" w:anchor="b_senales_examen">
        <w:r>
          <w:rPr>
            <w:color w:val="156B70"/>
            <w:u w:val="single"/>
          </w:rPr>
          <w:t xml:space="preserve">1 indicación(es) de examen de este tramo, en el apéndice cronológico</w:t>
        </w:r>
      </w:hyperlink>
      <w:r>
        <w:t xml:space="preserve">, pág. </w:t>
      </w:r>
      <w:r>
        <w:fldChar w:fldCharType="begin"/>
        <w:instrText xml:space="preserve">PAGEREF b_senales_examen \h</w:instrText>
        <w:fldChar w:fldCharType="separate"/>
        <w:t xml:space="preserve">1663</w:t>
        <w:fldChar w:fldCharType="end"/>
      </w:r>
      <w:r>
        <w:t xml:space="preserve">.</w:t>
      </w:r>
    </w:p>
    <w:p>
      <w:pPr>
        <w:pStyle w:val="Fuente"/>
      </w:pPr>
      <w:r>
        <w:t xml:space="preserve">Véase </w:t>
      </w:r>
      <w:hyperlink w:history="1" w:anchor="b_4_6">
        <w:r>
          <w:rPr>
            <w:color w:val="156B70"/>
            <w:u w:val="single"/>
          </w:rPr>
          <w:t xml:space="preserve">capítulo 4.6 · Toma de decisiones</w:t>
        </w:r>
      </w:hyperlink>
      <w:r>
        <w:t xml:space="preserve">, pág. </w:t>
      </w:r>
      <w:r>
        <w:fldChar w:fldCharType="begin"/>
        <w:instrText xml:space="preserve">PAGEREF b_4_6 \h</w:instrText>
        <w:fldChar w:fldCharType="separate"/>
        <w:t xml:space="preserve">884</w:t>
        <w:fldChar w:fldCharType="end"/>
      </w:r>
      <w:r>
        <w:t xml:space="preserve">.</w:t>
      </w:r>
    </w:p>
    <w:p>
      <w:pPr>
        <w:pStyle w:val="Heading3"/>
      </w:pPr>
      <w:bookmarkStart w:name="b_clase_4_5_c24_cap_09" w:id="4675"/>
      <w:r>
        <w:t xml:space="preserve">Clase 24 · 01:01:19–01:09:50 · El caso 3: teléfonos del residencial</w:t>
      </w:r>
      <w:bookmarkEnd w:id="4675"/>
    </w:p>
    <w:p>
      <w:bookmarkStart w:name="b_punto_c24_cap_09_p02" w:id="4676"/>
      <w:r>
        <w:t xml:space="preserve">Se puede construir primero un DCC y convertirlo, o construir directamente flujos/niveles; lo necesario es representar la estructura del relato.</w:t>
      </w:r>
      <w:bookmarkEnd w:id="4676"/>
    </w:p>
    <w:p>
      <w:bookmarkStart w:name="b_punto_c24_cap_09_p03" w:id="4677"/>
      <w:r>
        <w:t xml:space="preserve">Un enunciado sintetizado requiere extraer variables, relaciones y supuestos; supuestos distintos pueden producir modelos diferentes.</w:t>
      </w:r>
      <w:bookmarkEnd w:id="4677"/>
    </w:p>
    <w:p>
      <w:bookmarkStart w:name="b_punto_c24_cap_09_p04" w:id="4678"/>
      <w:r>
        <w:t xml:space="preserve">Familias con teléfono influyen en vecinos sin teléfono, que solicitan instalaciones y generan demanda sobre la empresa.</w:t>
      </w:r>
      <w:bookmarkEnd w:id="4678"/>
    </w:p>
    <w:p>
      <w:bookmarkStart w:name="b_punto_c24_cap_09_p05" w:id="4679"/>
      <w:r>
        <w:t xml:space="preserve">Tres escenarios: 300 casas inicialmente sin servicio a 9 % mensual de pendientes; 300 a 4 %; 500 a 9 %. Cambian tasa o total por separado.</w:t>
      </w:r>
      <w:bookmarkEnd w:id="4679"/>
    </w:p>
    <w:p>
      <w:pPr>
        <w:pStyle w:val="Fuente"/>
      </w:pPr>
      <w:r>
        <w:t xml:space="preserve">Véase </w:t>
      </w:r>
      <w:hyperlink w:history="1" w:anchor="b_4_3">
        <w:r>
          <w:rPr>
            <w:color w:val="156B70"/>
            <w:u w:val="single"/>
          </w:rPr>
          <w:t xml:space="preserve">capítulo 4.3 · De ciclos causales a flujos</w:t>
        </w:r>
      </w:hyperlink>
      <w:r>
        <w:t xml:space="preserve">, pág. </w:t>
      </w:r>
      <w:r>
        <w:fldChar w:fldCharType="begin"/>
        <w:instrText xml:space="preserve">PAGEREF b_4_3 \h</w:instrText>
        <w:fldChar w:fldCharType="separate"/>
        <w:t xml:space="preserve">737</w:t>
        <w:fldChar w:fldCharType="end"/>
      </w:r>
      <w:r>
        <w:t xml:space="preserve">.</w:t>
      </w:r>
    </w:p>
    <w:p>
      <w:pPr>
        <w:pStyle w:val="Heading3"/>
      </w:pPr>
      <w:bookmarkStart w:name="b_clase_4_5_c24_cap_10" w:id="4680"/>
      <w:r>
        <w:t xml:space="preserve">Clase 24 · 01:09:50–01:14:49 · Del diagrama causal al nivel y flujo</w:t>
      </w:r>
      <w:bookmarkEnd w:id="4680"/>
    </w:p>
    <w:p>
      <w:bookmarkStart w:name="b_punto_c24_cap_10_p01" w:id="4681"/>
      <w:r>
        <w:t xml:space="preserve">En el esquema sencillo, más instalaciones elevan familias con teléfono, reducen pendientes y éstas determinan la velocidad: ciclo B por signos +, −, +.</w:t>
      </w:r>
      <w:bookmarkEnd w:id="4681"/>
    </w:p>
    <w:p>
      <w:bookmarkStart w:name="b_punto_c24_cap_10_p02" w:id="4682"/>
      <w:r>
        <w:t xml:space="preserve">B1 y B2 son parámetros de influencia sobre la velocidad; los signos centrales representan la polaridad de los lazos.</w:t>
      </w:r>
      <w:bookmarkEnd w:id="4682"/>
    </w:p>
    <w:p>
      <w:bookmarkStart w:name="b_punto_c24_cap_10_p03" w:id="4683"/>
      <w:r>
        <w:t xml:space="preserve">El profesor prefiere el modelo con tasa de uso explícita y dependencias de familias con teléfono y totales; lo considera más completo con comportamiento parecido.</w:t>
      </w:r>
      <w:bookmarkEnd w:id="4683"/>
    </w:p>
    <w:p>
      <w:bookmarkStart w:name="b_punto_c24_cap_10_p04" w:id="4684"/>
      <w:r>
        <w:t xml:space="preserve">El recorrido instalaciones → con teléfono → tasa de uso → instalaciones (+,+,+) es R; instalaciones → con teléfono → sin teléfono → instalaciones (+,−,+) es B.</w:t>
      </w:r>
      <w:bookmarkEnd w:id="4684"/>
    </w:p>
    <w:p>
      <w:bookmarkStart w:name="b_punto_c24_cap_10_p05" w:id="4685"/>
      <w:r>
        <w:t xml:space="preserve">La conversión oral usa familias con teléfono como nivel con inicial cero y las instalaciones como flujo de entrada; sin teléfono se obtiene de la diferencia con el total.</w:t>
      </w:r>
      <w:bookmarkEnd w:id="4685"/>
    </w:p>
    <w:p>
      <w:bookmarkStart w:name="b_punto_c24_cap_10_p06" w:id="4686"/>
      <w:r>
        <w:t xml:space="preserve">Experimentar cambiando tasa o total y ejecutar tres escenarios; no hay corrida ni resultados numéricos resueltos del profesor en esta clase.</w:t>
      </w:r>
      <w:bookmarkEnd w:id="4686"/>
    </w:p>
    <w:p>
      <w:pPr>
        <w:pStyle w:val="Fuente"/>
      </w:pPr>
      <w:r>
        <w:t xml:space="preserve">Véase </w:t>
      </w:r>
      <w:hyperlink w:history="1" w:anchor="b_cita_clase_19_idea_1">
        <w:r>
          <w:rPr>
            <w:color w:val="156B70"/>
            <w:u w:val="single"/>
          </w:rPr>
          <w:t xml:space="preserve">cita de Clase 19 · 01:39:03</w:t>
        </w:r>
      </w:hyperlink>
      <w:r>
        <w:t xml:space="preserve">, pág. </w:t>
      </w:r>
      <w:r>
        <w:fldChar w:fldCharType="begin"/>
        <w:instrText xml:space="preserve">PAGEREF b_cita_clase_19_idea_1 \h</w:instrText>
        <w:fldChar w:fldCharType="separate"/>
        <w:t xml:space="preserve">812</w:t>
        <w:fldChar w:fldCharType="end"/>
      </w:r>
      <w:r>
        <w:t xml:space="preserve">.</w:t>
      </w:r>
    </w:p>
    <w:p>
      <w:pPr>
        <w:pStyle w:val="Fuente"/>
      </w:pPr>
      <w:r>
        <w:t xml:space="preserve">Véase </w:t>
      </w:r>
      <w:hyperlink w:history="1" w:anchor="b_cita_clase_19_idea_2">
        <w:r>
          <w:rPr>
            <w:color w:val="156B70"/>
            <w:u w:val="single"/>
          </w:rPr>
          <w:t xml:space="preserve">cita de Clase 19 · 01:40:27</w:t>
        </w:r>
      </w:hyperlink>
      <w:r>
        <w:t xml:space="preserve">, pág. </w:t>
      </w:r>
      <w:r>
        <w:fldChar w:fldCharType="begin"/>
        <w:instrText xml:space="preserve">PAGEREF b_cita_clase_19_idea_2 \h</w:instrText>
        <w:fldChar w:fldCharType="separate"/>
        <w:t xml:space="preserve">812</w:t>
        <w:fldChar w:fldCharType="end"/>
      </w:r>
      <w:r>
        <w:t xml:space="preserve">.</w:t>
      </w:r>
    </w:p>
    <w:p>
      <w:pPr>
        <w:pStyle w:val="Fuente"/>
      </w:pPr>
      <w:r>
        <w:t xml:space="preserve">Véase </w:t>
      </w:r>
      <w:hyperlink w:history="1" w:anchor="b_cita_clase_19_idea_3">
        <w:r>
          <w:rPr>
            <w:color w:val="156B70"/>
            <w:u w:val="single"/>
          </w:rPr>
          <w:t xml:space="preserve">cita de Clase 19 · 01:41:01</w:t>
        </w:r>
      </w:hyperlink>
      <w:r>
        <w:t xml:space="preserve">, pág. </w:t>
      </w:r>
      <w:r>
        <w:fldChar w:fldCharType="begin"/>
        <w:instrText xml:space="preserve">PAGEREF b_cita_clase_19_idea_3 \h</w:instrText>
        <w:fldChar w:fldCharType="separate"/>
        <w:t xml:space="preserve">812</w:t>
        <w:fldChar w:fldCharType="end"/>
      </w:r>
      <w:r>
        <w:t xml:space="preserve">.</w:t>
      </w:r>
    </w:p>
    <w:p>
      <w:pPr>
        <w:pStyle w:val="Fuente"/>
      </w:pPr>
      <w:r>
        <w:t xml:space="preserve">Véase </w:t>
      </w:r>
      <w:hyperlink w:history="1" w:anchor="b_cita_clase_20_idea_1">
        <w:r>
          <w:rPr>
            <w:color w:val="156B70"/>
            <w:u w:val="single"/>
          </w:rPr>
          <w:t xml:space="preserve">cita de Clase 20 · 01:35:14</w:t>
        </w:r>
      </w:hyperlink>
      <w:r>
        <w:t xml:space="preserve">, pág. </w:t>
      </w:r>
      <w:r>
        <w:fldChar w:fldCharType="begin"/>
        <w:instrText xml:space="preserve">PAGEREF b_cita_clase_20_idea_1 \h</w:instrText>
        <w:fldChar w:fldCharType="separate"/>
        <w:t xml:space="preserve">759</w:t>
        <w:fldChar w:fldCharType="end"/>
      </w:r>
      <w:r>
        <w:t xml:space="preserve">.</w:t>
      </w:r>
    </w:p>
    <w:p>
      <w:pPr>
        <w:pStyle w:val="Fuente"/>
      </w:pPr>
      <w:r>
        <w:t xml:space="preserve">Véase </w:t>
      </w:r>
      <w:hyperlink w:history="1" w:anchor="b_cita_clase_20_idea_2">
        <w:r>
          <w:rPr>
            <w:color w:val="156B70"/>
            <w:u w:val="single"/>
          </w:rPr>
          <w:t xml:space="preserve">cita de Clase 20 · 01:35:33</w:t>
        </w:r>
      </w:hyperlink>
      <w:r>
        <w:t xml:space="preserve">, pág. </w:t>
      </w:r>
      <w:r>
        <w:fldChar w:fldCharType="begin"/>
        <w:instrText xml:space="preserve">PAGEREF b_cita_clase_20_idea_2 \h</w:instrText>
        <w:fldChar w:fldCharType="separate"/>
        <w:t xml:space="preserve">759</w:t>
        <w:fldChar w:fldCharType="end"/>
      </w:r>
      <w:r>
        <w:t xml:space="preserve">.</w:t>
      </w:r>
    </w:p>
    <w:p>
      <w:pPr>
        <w:pStyle w:val="Fuente"/>
      </w:pPr>
      <w:r>
        <w:t xml:space="preserve">Véase </w:t>
      </w:r>
      <w:hyperlink w:history="1" w:anchor="b_cita_clase_20_idea_3">
        <w:r>
          <w:rPr>
            <w:color w:val="156B70"/>
            <w:u w:val="single"/>
          </w:rPr>
          <w:t xml:space="preserve">cita de Clase 20 · 01:47:34</w:t>
        </w:r>
      </w:hyperlink>
      <w:r>
        <w:t xml:space="preserve">, pág. </w:t>
      </w:r>
      <w:r>
        <w:fldChar w:fldCharType="begin"/>
        <w:instrText xml:space="preserve">PAGEREF b_cita_clase_20_idea_3 \h</w:instrText>
        <w:fldChar w:fldCharType="separate"/>
        <w:t xml:space="preserve">812</w:t>
        <w:fldChar w:fldCharType="end"/>
      </w:r>
      <w:r>
        <w:t xml:space="preserve">.</w:t>
      </w:r>
    </w:p>
    <w:p>
      <w:pPr>
        <w:pStyle w:val="Fuente"/>
      </w:pPr>
      <w:r>
        <w:t xml:space="preserve">Véase </w:t>
      </w:r>
      <w:hyperlink w:history="1" w:anchor="b_cita_clase_21_idea_1">
        <w:r>
          <w:rPr>
            <w:color w:val="156B70"/>
            <w:u w:val="single"/>
          </w:rPr>
          <w:t xml:space="preserve">cita de Clase 21 · 01:13:14</w:t>
        </w:r>
      </w:hyperlink>
      <w:r>
        <w:t xml:space="preserve">, pág. </w:t>
      </w:r>
      <w:r>
        <w:fldChar w:fldCharType="begin"/>
        <w:instrText xml:space="preserve">PAGEREF b_cita_clase_21_idea_1 \h</w:instrText>
        <w:fldChar w:fldCharType="separate"/>
        <w:t xml:space="preserve">759</w:t>
        <w:fldChar w:fldCharType="end"/>
      </w:r>
      <w:r>
        <w:t xml:space="preserve">.</w:t>
      </w:r>
    </w:p>
    <w:p>
      <w:pPr>
        <w:pStyle w:val="Fuente"/>
      </w:pPr>
      <w:r>
        <w:t xml:space="preserve">Véase </w:t>
      </w:r>
      <w:hyperlink w:history="1" w:anchor="b_cita_clase_21_idea_2">
        <w:r>
          <w:rPr>
            <w:color w:val="156B70"/>
            <w:u w:val="single"/>
          </w:rPr>
          <w:t xml:space="preserve">cita de Clase 21 · 01:13:51</w:t>
        </w:r>
      </w:hyperlink>
      <w:r>
        <w:t xml:space="preserve">, pág. </w:t>
      </w:r>
      <w:r>
        <w:fldChar w:fldCharType="begin"/>
        <w:instrText xml:space="preserve">PAGEREF b_cita_clase_21_idea_2 \h</w:instrText>
        <w:fldChar w:fldCharType="separate"/>
        <w:t xml:space="preserve">759</w:t>
        <w:fldChar w:fldCharType="end"/>
      </w:r>
      <w:r>
        <w:t xml:space="preserve">.</w:t>
      </w:r>
    </w:p>
    <w:p>
      <w:pPr>
        <w:pStyle w:val="Fuente"/>
      </w:pPr>
      <w:r>
        <w:t xml:space="preserve">Véase </w:t>
      </w:r>
      <w:hyperlink w:history="1" w:anchor="b_cita_clase_24_idea_3">
        <w:r>
          <w:rPr>
            <w:color w:val="156B70"/>
            <w:u w:val="single"/>
          </w:rPr>
          <w:t xml:space="preserve">cita de Clase 24 · 01:06:05</w:t>
        </w:r>
      </w:hyperlink>
      <w:r>
        <w:t xml:space="preserve">, pág. </w:t>
      </w:r>
      <w:r>
        <w:fldChar w:fldCharType="begin"/>
        <w:instrText xml:space="preserve">PAGEREF b_cita_clase_24_idea_3 \h</w:instrText>
        <w:fldChar w:fldCharType="separate"/>
        <w:t xml:space="preserve">760</w:t>
        <w:fldChar w:fldCharType="end"/>
      </w:r>
      <w:r>
        <w:t xml:space="preserve">.</w:t>
      </w:r>
    </w:p>
    <w:p>
      <w:pPr>
        <w:pStyle w:val="Fuente"/>
      </w:pPr>
      <w:r>
        <w:t xml:space="preserve">Véase </w:t>
      </w:r>
      <w:hyperlink w:history="1" w:anchor="b_cita_clase_24_idea_4">
        <w:r>
          <w:rPr>
            <w:color w:val="156B70"/>
            <w:u w:val="single"/>
          </w:rPr>
          <w:t xml:space="preserve">cita de Clase 24 · 01:14:49</w:t>
        </w:r>
      </w:hyperlink>
      <w:r>
        <w:t xml:space="preserve">, pág. </w:t>
      </w:r>
      <w:r>
        <w:fldChar w:fldCharType="begin"/>
        <w:instrText xml:space="preserve">PAGEREF b_cita_clase_24_idea_4 \h</w:instrText>
        <w:fldChar w:fldCharType="separate"/>
        <w:t xml:space="preserve">813</w:t>
        <w:fldChar w:fldCharType="end"/>
      </w:r>
      <w:r>
        <w:t xml:space="preserve">.</w:t>
      </w:r>
    </w:p>
    <w:p>
      <w:pPr>
        <w:pStyle w:val="Heading3"/>
      </w:pPr>
      <w:r>
        <w:t xml:space="preserve">Errores frecuentes y trampa de examen</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9C620A" w:sz="20"/>
              <w:bottom w:val="nil"/>
              <w:right w:val="nil"/>
            </w:tcBorders>
            <w:shd w:fill="FBF3DF" w:val="clear"/>
            <w:tcMar>
              <w:top w:type="dxa" w:w="130"/>
              <w:left w:type="dxa" w:w="180"/>
              <w:bottom w:type="dxa" w:w="130"/>
              <w:right w:type="dxa" w:w="180"/>
            </w:tcMar>
          </w:tcPr>
          <w:p>
            <w:pPr>
              <w:pStyle w:val="RecuadroTitulo"/>
            </w:pPr>
            <w:r>
              <w:rPr>
                <w:b/>
                <w:bCs/>
                <w:color w:val="9C620A"/>
              </w:rPr>
              <w:t xml:space="preserve">Error → corrección</w:t>
            </w:r>
          </w:p>
          <w:p>
            <w:pPr>
              <w:pStyle w:val="Recuadro"/>
            </w:pPr>
            <w:r>
              <w:rPr>
                <w:b/>
                <w:bCs/>
              </w:rPr>
              <w:t xml:space="preserve">Error:</w:t>
            </w:r>
            <w:r>
              <w:t xml:space="preserve"> Decir que todas las casas se conectan exactamente en un mes finito.</w:t>
            </w:r>
          </w:p>
          <w:p>
            <w:pPr>
              <w:pStyle w:val="Recuadro"/>
            </w:pPr>
            <w:r>
              <w:rPr>
                <w:b/>
                <w:bCs/>
              </w:rPr>
              <w:t xml:space="preserve">Corrección:</w:t>
            </w:r>
            <w:r>
              <w:t xml:space="preserve"> Declara el umbral de cobertura usado por la simulación proporcional.</w:t>
            </w:r>
          </w:p>
          <w:p>
            <w:pPr>
              <w:pStyle w:val="Recuadro"/>
            </w:pPr>
            <w:r>
              <w:t xml:space="preserve">Guía de estudio · edición 20/10/2026 · pp. 21–22</w:t>
            </w:r>
          </w:p>
        </w:tc>
      </w:tr>
    </w:tbl>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9C620A" w:sz="20"/>
              <w:bottom w:val="nil"/>
              <w:right w:val="nil"/>
            </w:tcBorders>
            <w:shd w:fill="FBF3DF" w:val="clear"/>
            <w:tcMar>
              <w:top w:type="dxa" w:w="130"/>
              <w:left w:type="dxa" w:w="180"/>
              <w:bottom w:type="dxa" w:w="130"/>
              <w:right w:type="dxa" w:w="180"/>
            </w:tcMar>
          </w:tcPr>
          <w:p>
            <w:pPr>
              <w:pStyle w:val="RecuadroTitulo"/>
            </w:pPr>
            <w:r>
              <w:rPr>
                <w:b/>
                <w:bCs/>
                <w:color w:val="9C620A"/>
              </w:rPr>
              <w:t xml:space="preserve">Error → corrección</w:t>
            </w:r>
          </w:p>
          <w:p>
            <w:pPr>
              <w:pStyle w:val="Recuadro"/>
            </w:pPr>
            <w:r>
              <w:rPr>
                <w:b/>
                <w:bCs/>
              </w:rPr>
              <w:t xml:space="preserve">Error:</w:t>
            </w:r>
            <w:r>
              <w:t xml:space="preserve"> Corregir compras negativas sin avisar.</w:t>
            </w:r>
          </w:p>
          <w:p>
            <w:pPr>
              <w:pStyle w:val="Recuadro"/>
            </w:pPr>
            <w:r>
              <w:rPr>
                <w:b/>
                <w:bCs/>
              </w:rPr>
              <w:t xml:space="preserve">Corrección:</w:t>
            </w:r>
            <w:r>
              <w:t xml:space="preserve"> Distingue el modelo original de la variante con límite físico y compara sus resultados.</w:t>
            </w:r>
          </w:p>
          <w:p>
            <w:pPr>
              <w:pStyle w:val="Recuadro"/>
            </w:pPr>
            <w:r>
              <w:t xml:space="preserve">Guía de estudio · edición 20/10/2026 · pp. 19, 27–28</w:t>
            </w:r>
          </w:p>
        </w:tc>
      </w:tr>
    </w:tbl>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9C620A" w:sz="20"/>
              <w:bottom w:val="nil"/>
              <w:right w:val="nil"/>
            </w:tcBorders>
            <w:shd w:fill="FBF3DF" w:val="clear"/>
            <w:tcMar>
              <w:top w:type="dxa" w:w="130"/>
              <w:left w:type="dxa" w:w="180"/>
              <w:bottom w:type="dxa" w:w="130"/>
              <w:right w:type="dxa" w:w="180"/>
            </w:tcMar>
          </w:tcPr>
          <w:p>
            <w:pPr>
              <w:pStyle w:val="RecuadroTitulo"/>
            </w:pPr>
            <w:r>
              <w:rPr>
                <w:b/>
                <w:bCs/>
                <w:color w:val="9C620A"/>
              </w:rPr>
              <w:t xml:space="preserve">Trampa de examen</w:t>
            </w:r>
          </w:p>
          <w:p>
            <w:pPr>
              <w:pStyle w:val="Recuadro"/>
            </w:pPr>
            <w:r>
              <w:t xml:space="preserve">Una cifra de una corrida no se transfiere a otra si cambian tasas, condiciones iniciales, horizonte o método.</w:t>
            </w:r>
          </w:p>
        </w:tc>
      </w:tr>
    </w:tbl>
    <w:p>
      <w:pPr>
        <w:pStyle w:val="Heading3"/>
      </w:pPr>
      <w:r>
        <w:t xml:space="preserve">Lecturas y tareas del curso</w:t>
      </w:r>
    </w:p>
    <w:p>
      <w:pPr>
        <w:pStyle w:val="Normal"/>
      </w:pPr>
      <w:r>
        <w:t xml:space="preserve">C-3 · Unidad 4a · Desarrollo de la simulación dinámica de sistemas (versión de abril). Versión de abril de la presentación de simulación (C-7 contiene la versión de octubre): 60 páginas con el hábito de las acumulaciones, los niveles y los flujos, el diagrama de Forrester y el modelo de la epidemia, las reglas para pasar de un diagrama de ciclos causales a uno de flujos y niveles con sus ejercicios, el préstamo bancario para modelar en Vensim, las fases y los componentes de un modelo, los comportamientos dinámicos habituales y los ejemplos de población, presas y depredadores. Copia sin la impresión automática al abrirse.</w:t>
      </w:r>
    </w:p>
    <w:p>
      <w:pPr>
        <w:pStyle w:val="Normal"/>
      </w:pPr>
      <w:r>
        <w:t xml:space="preserve">L-15 · Dinámica de sistemas — Javier Aracil (ISDEFE). Monografía de la serie de ingeniería de sistemas de ISDEFE: el diagrama de influencias, los bucles de realimentación negativa y positiva, los retrasos y las estructuras genéricas; cómo la estructura genera el comportamiento; y la construcción, análisis y explotación de modelos. Los capítulos 2 y 3 acompañan la Unidad 3; el 4 anticipa la Unidad 4.</w:t>
      </w:r>
    </w:p>
    <w:p>
      <w:pPr>
        <w:pStyle w:val="Normal"/>
      </w:pPr>
      <w:r>
        <w:t xml:space="preserve">C-7 · Unidad 4a · Simulación dinámica (versión de octubre). 40 páginas de octubre: acumulaciones, flujos y niveles, parámetros para escenarios, epidemia, Francisco y teléfonos en Vensim. Se conserva también la versión de abril C-3, cuya numeración mantienen las citas anteriores.</w:t>
      </w:r>
    </w:p>
    <w:p>
      <w:pPr>
        <w:pStyle w:val="Normal"/>
      </w:pPr>
      <w:r>
        <w:t xml:space="preserve">C-8 · Unidad 4b · Toma de decisiones (versión de octubre). 57 páginas de octubre: decisiones, arquetipos, doce puntos de Meadows explicados, resiliencia, usos del modelado y ejercicios de teléfonos. Se conserva también la versión de abril C-4, cuya numeración mantienen las citas anteriores.</w:t>
      </w:r>
    </w:p>
    <w:p>
      <w:pPr>
        <w:pStyle w:val="Heading3"/>
      </w:pPr>
      <w:r>
        <w:t xml:space="preserve">Práctica de los laboratorios</w:t>
      </w:r>
    </w:p>
    <w:p>
      <w:pPr>
        <w:pStyle w:val="Normal"/>
      </w:pPr>
      <w:r>
        <w:t xml:space="preserve">Los procedimientos del capítulo permiten reconstruir en papel la práctica interactiva. Los laboratorios originales permanecen disponibles en la lección del portal.</w:t>
      </w:r>
    </w:p>
    <w:p>
      <w:pPr>
        <w:pStyle w:val="Normal"/>
        <w:numPr>
          <w:ilvl w:val="0"/>
          <w:numId w:val="2"/>
        </w:numPr>
      </w:pPr>
      <w:r>
        <w:t xml:space="preserve">Simular la epidemia de las clases</w:t>
      </w:r>
    </w:p>
    <w:p>
      <w:pPr>
        <w:pStyle w:val="Normal"/>
        <w:numPr>
          <w:ilvl w:val="0"/>
          <w:numId w:val="2"/>
        </w:numPr>
      </w:pPr>
      <w:r>
        <w:t xml:space="preserve">Explorar los libros pendientes de Francisco</w:t>
      </w:r>
    </w:p>
    <w:p>
      <w:pPr>
        <w:pStyle w:val="Normal"/>
        <w:numPr>
          <w:ilvl w:val="0"/>
          <w:numId w:val="2"/>
        </w:numPr>
      </w:pPr>
      <w:r>
        <w:t xml:space="preserve">Comparar los préstamos bancarios</w:t>
      </w:r>
    </w:p>
    <w:p>
      <w:pPr>
        <w:pStyle w:val="Normal"/>
        <w:numPr>
          <w:ilvl w:val="0"/>
          <w:numId w:val="2"/>
        </w:numPr>
      </w:pPr>
      <w:r>
        <w:t xml:space="preserve">Simular la instalación de teléfonos</w:t>
      </w:r>
    </w:p>
    <w:p>
      <w:pPr>
        <w:pStyle w:val="Normal"/>
        <w:numPr>
          <w:ilvl w:val="0"/>
          <w:numId w:val="2"/>
        </w:numPr>
      </w:pPr>
      <w:r>
        <w:t xml:space="preserve">Relacionar ecuaciones y patrones dinámicos</w:t>
      </w:r>
    </w:p>
    <w:p>
      <w:pPr>
        <w:pStyle w:val="Heading3"/>
      </w:pPr>
      <w:r>
        <w:t xml:space="preserve">Autoevaluación</w:t>
      </w:r>
    </w:p>
    <w:p>
      <w:pPr>
        <w:pStyle w:val="Normal"/>
      </w:pPr>
      <w:r>
        <w:t xml:space="preserve">Resuelva sin consultar las respuestas. Compruebe al final del capítulo por qué cada opción es correcta o incorrecta.</w:t>
      </w:r>
    </w:p>
    <w:p>
      <w:pPr>
        <w:pStyle w:val="Heading3"/>
      </w:pPr>
      <w:bookmarkStart w:name="b_pregunta_auto_4_5_1" w:id="4687"/>
      <w:r>
        <w:t xml:space="preserve">4.5-A1 · En la alternativa vecinal de teléfonos, ¿qué recorridos forman R y B?</w:t>
      </w:r>
      <w:bookmarkEnd w:id="4687"/>
    </w:p>
    <w:p>
      <w:pPr>
        <w:pStyle w:val="Normal"/>
      </w:pPr>
      <w:r>
        <w:t xml:space="preserve">a) R: instalaciones → con teléfono → tasa de uso → instalaciones (+,+,+); B: instalaciones → con teléfono → sin teléfono → instalaciones (+,−,+).</w:t>
      </w:r>
    </w:p>
    <w:p>
      <w:pPr>
        <w:pStyle w:val="Normal"/>
      </w:pPr>
      <w:r>
        <w:t xml:space="preserve">b) Ambos recorridos son B porque existe una población finita.</w:t>
      </w:r>
    </w:p>
    <w:p>
      <w:pPr>
        <w:pStyle w:val="Normal"/>
      </w:pPr>
      <w:r>
        <w:t xml:space="preserve">c) R pasa por sin teléfono con una única negativa y B por tres positivas.</w:t>
      </w:r>
    </w:p>
    <w:p>
      <w:pPr>
        <w:pStyle w:val="Normal"/>
      </w:pPr>
      <w:r>
        <w:t xml:space="preserve">d) La figura fija las ecuaciones de uso y permite una corrida numérica oficial sin más datos.</w:t>
      </w:r>
    </w:p>
    <w:p>
      <w:pPr>
        <w:pStyle w:val="Heading3"/>
      </w:pPr>
      <w:bookmarkStart w:name="b_pregunta_auto_4_5_2" w:id="4688"/>
      <w:r>
        <w:t xml:space="preserve">4.5-A2 · En el modelo logístico de crecimiento poblacional, ¿qué representa la capacidad de carga K?</w:t>
      </w:r>
      <w:bookmarkEnd w:id="4688"/>
    </w:p>
    <w:p>
      <w:pPr>
        <w:pStyle w:val="Normal"/>
      </w:pPr>
      <w:r>
        <w:t xml:space="preserve">a) La población inicial con la que arranca la simulación</w:t>
      </w:r>
    </w:p>
    <w:p>
      <w:pPr>
        <w:pStyle w:val="Normal"/>
      </w:pPr>
      <w:r>
        <w:t xml:space="preserve">b) El límite máximo que el entorno puede sostener, hacia el que se aplana la curva en S</w:t>
      </w:r>
    </w:p>
    <w:p>
      <w:pPr>
        <w:pStyle w:val="Normal"/>
      </w:pPr>
      <w:r>
        <w:t xml:space="preserve">c) La tasa a la que la población se duplica cada año</w:t>
      </w:r>
    </w:p>
    <w:p>
      <w:pPr>
        <w:pStyle w:val="Normal"/>
      </w:pPr>
      <w:r>
        <w:t xml:space="preserve">d) El número de depredadores en el ecosistema</w:t>
      </w:r>
    </w:p>
    <w:p>
      <w:pPr>
        <w:pStyle w:val="Heading3"/>
      </w:pPr>
      <w:bookmarkStart w:name="b_pregunta_auto_4_5_3" w:id="4689"/>
      <w:r>
        <w:t xml:space="preserve">4.5-A3 · La forma en «S» (crecimiento lento, luego acelerado, luego plano) del modelo logístico surge porque…</w:t>
      </w:r>
      <w:bookmarkEnd w:id="4689"/>
    </w:p>
    <w:p>
      <w:pPr>
        <w:pStyle w:val="Normal"/>
      </w:pPr>
      <w:r>
        <w:t xml:space="preserve">a) un bucle de refuerzo domina al inicio y un bucle de compensación lo frena cerca del límite</w:t>
      </w:r>
    </w:p>
    <w:p>
      <w:pPr>
        <w:pStyle w:val="Normal"/>
      </w:pPr>
      <w:r>
        <w:t xml:space="preserve">b) la simulación usa una función seno para dibujar la curva</w:t>
      </w:r>
    </w:p>
    <w:p>
      <w:pPr>
        <w:pStyle w:val="Normal"/>
      </w:pPr>
      <w:r>
        <w:t xml:space="preserve">c) la población decrece siempre de forma exponencial</w:t>
      </w:r>
    </w:p>
    <w:p>
      <w:pPr>
        <w:pStyle w:val="Normal"/>
      </w:pPr>
      <w:r>
        <w:t xml:space="preserve">d) no hay ningún bucle de retroalimentación en el modelo</w:t>
      </w:r>
    </w:p>
    <w:p>
      <w:pPr>
        <w:pStyle w:val="Heading3"/>
      </w:pPr>
      <w:bookmarkStart w:name="b_pregunta_auto_4_5_4" w:id="4690"/>
      <w:r>
        <w:t xml:space="preserve">4.5-A4 · En el modelo depredador–presa (Lotka–Volterra), ¿por qué las dos poblaciones oscilan de forma desfasada?</w:t>
      </w:r>
      <w:bookmarkEnd w:id="4690"/>
    </w:p>
    <w:p>
      <w:pPr>
        <w:pStyle w:val="Normal"/>
      </w:pPr>
      <w:r>
        <w:t xml:space="preserve">a) Porque VENSIM les aplica una oscilación aleatoria</w:t>
      </w:r>
    </w:p>
    <w:p>
      <w:pPr>
        <w:pStyle w:val="Normal"/>
      </w:pPr>
      <w:r>
        <w:t xml:space="preserve">b) Porque cada población tiene una meta fija a la que converge</w:t>
      </w:r>
    </w:p>
    <w:p>
      <w:pPr>
        <w:pStyle w:val="Normal"/>
      </w:pPr>
      <w:r>
        <w:t xml:space="preserve">c) Porque muchas presas alimentan a más depredadores, que luego reducen las presas y terminan sin comida</w:t>
      </w:r>
    </w:p>
    <w:p>
      <w:pPr>
        <w:pStyle w:val="Normal"/>
      </w:pPr>
      <w:r>
        <w:t xml:space="preserve">d) Porque los depredadores se reproducen sin depender de las presas</w:t>
      </w:r>
    </w:p>
    <w:p>
      <w:pPr>
        <w:pStyle w:val="Heading3"/>
      </w:pPr>
      <w:bookmarkStart w:name="b_pregunta_auto_4_5_5" w:id="4691"/>
      <w:r>
        <w:t xml:space="preserve">4.5-A5 · En el modelo de difusión de Bass, ¿qué distingue al coeficiente de imitación q del coeficiente de innovación p?</w:t>
      </w:r>
      <w:bookmarkEnd w:id="4691"/>
    </w:p>
    <w:p>
      <w:pPr>
        <w:pStyle w:val="Normal"/>
      </w:pPr>
      <w:r>
        <w:t xml:space="preserve">a) q mide a quienes adoptan por cuenta propia; p mide el boca a boca</w:t>
      </w:r>
    </w:p>
    <w:p>
      <w:pPr>
        <w:pStyle w:val="Normal"/>
      </w:pPr>
      <w:r>
        <w:t xml:space="preserve">b) q mide el boca a boca (adoptar porque otros ya lo hicieron); p mide a los innovadores independientes</w:t>
      </w:r>
    </w:p>
    <w:p>
      <w:pPr>
        <w:pStyle w:val="Normal"/>
      </w:pPr>
      <w:r>
        <w:t xml:space="preserve">c) p y q son idénticos y siempre suman 1</w:t>
      </w:r>
    </w:p>
    <w:p>
      <w:pPr>
        <w:pStyle w:val="Normal"/>
      </w:pPr>
      <w:r>
        <w:t xml:space="preserve">d) q representa el tamaño total del mercado M</w:t>
      </w:r>
    </w:p>
    <w:p>
      <w:pPr>
        <w:pStyle w:val="Heading3"/>
      </w:pPr>
      <w:bookmarkStart w:name="b_pregunta_auto_4_5_6" w:id="4692"/>
      <w:r>
        <w:t xml:space="preserve">4.5-A6 · En el modelo de inventario, ¿qué provoca que el nivel se pase de largo (sobrepaso) y oscile alrededor del inventario deseado?</w:t>
      </w:r>
      <w:bookmarkEnd w:id="4692"/>
    </w:p>
    <w:p>
      <w:pPr>
        <w:pStyle w:val="Normal"/>
      </w:pPr>
      <w:r>
        <w:t xml:space="preserve">a) Una demanda perfectamente constante</w:t>
      </w:r>
    </w:p>
    <w:p>
      <w:pPr>
        <w:pStyle w:val="Normal"/>
      </w:pPr>
      <w:r>
        <w:t xml:space="preserve">b) La demora de entrega entre pedir y recibir, combinada con un ajuste agresivo</w:t>
      </w:r>
    </w:p>
    <w:p>
      <w:pPr>
        <w:pStyle w:val="Normal"/>
      </w:pPr>
      <w:r>
        <w:t xml:space="preserve">c) Que el inventario deseado sea muy alto</w:t>
      </w:r>
    </w:p>
    <w:p>
      <w:pPr>
        <w:pStyle w:val="Normal"/>
      </w:pPr>
      <w:r>
        <w:t xml:space="preserve">d) La ausencia de cualquier bucle de compensación</w:t>
      </w:r>
    </w:p>
    <w:p>
      <w:pPr>
        <w:pStyle w:val="Heading3"/>
      </w:pPr>
      <w:bookmarkStart w:name="b_pregunta_auto_4_5_7" w:id="4693"/>
      <w:r>
        <w:t xml:space="preserve">4.5-A7 · En la notación de VENSIM, la ecuación «Población = INTEG( Crecimiento neto , P</w:t>
      </w:r>
      <w:r>
        <w:rPr>
          <w:vertAlign w:val="subscript"/>
        </w:rPr>
        <w:t xml:space="preserve">0</w:t>
      </w:r>
      <w:r>
        <w:t xml:space="preserve"> )» significa que…</w:t>
      </w:r>
      <w:bookmarkEnd w:id="4693"/>
    </w:p>
    <w:p>
      <w:pPr>
        <w:pStyle w:val="Normal"/>
      </w:pPr>
      <w:r>
        <w:t xml:space="preserve">a) la población es una constante fija igual a P</w:t>
      </w:r>
      <w:r>
        <w:rPr>
          <w:vertAlign w:val="subscript"/>
        </w:rPr>
        <w:t xml:space="preserve">0</w:t>
      </w:r>
    </w:p>
    <w:p>
      <w:pPr>
        <w:pStyle w:val="Normal"/>
      </w:pPr>
      <w:r>
        <w:t xml:space="preserve">b) la población es un nivel (stock) que acumula su flujo de entrada a partir del valor inicial P</w:t>
      </w:r>
      <w:r>
        <w:rPr>
          <w:vertAlign w:val="subscript"/>
        </w:rPr>
        <w:t xml:space="preserve">0</w:t>
      </w:r>
    </w:p>
    <w:p>
      <w:pPr>
        <w:pStyle w:val="Normal"/>
      </w:pPr>
      <w:r>
        <w:t xml:space="preserve">c) el crecimiento neto se calcula dividiendo la población entre P</w:t>
      </w:r>
      <w:r>
        <w:rPr>
          <w:vertAlign w:val="subscript"/>
        </w:rPr>
        <w:t xml:space="preserve">0</w:t>
      </w:r>
    </w:p>
    <w:p>
      <w:pPr>
        <w:pStyle w:val="Normal"/>
      </w:pPr>
      <w:r>
        <w:t xml:space="preserve">d) la población se reinicia a P</w:t>
      </w:r>
      <w:r>
        <w:rPr>
          <w:vertAlign w:val="subscript"/>
        </w:rPr>
        <w:t xml:space="preserve">0</w:t>
      </w:r>
      <w:r>
        <w:t xml:space="preserve"> en cada paso de tiempo</w:t>
      </w:r>
    </w:p>
    <w:p>
      <w:pPr>
        <w:pStyle w:val="Heading3"/>
      </w:pPr>
      <w:bookmarkStart w:name="b_pregunta_auto_4_5_8" w:id="4694"/>
      <w:r>
        <w:t xml:space="preserve">4.5-A8 · La idea de fondo que comparten los cuatro modelos (población, depredador–presa, Bass e inventario) es que…</w:t>
      </w:r>
      <w:bookmarkEnd w:id="4694"/>
    </w:p>
    <w:p>
      <w:pPr>
        <w:pStyle w:val="Normal"/>
      </w:pPr>
      <w:r>
        <w:t xml:space="preserve">a) la estructura de niveles, flujos y demoras genera el comportamiento en el tiempo</w:t>
      </w:r>
    </w:p>
    <w:p>
      <w:pPr>
        <w:pStyle w:val="Normal"/>
      </w:pPr>
      <w:r>
        <w:t xml:space="preserve">b) todos los sistemas terminan siempre en equilibrio estable</w:t>
      </w:r>
    </w:p>
    <w:p>
      <w:pPr>
        <w:pStyle w:val="Normal"/>
      </w:pPr>
      <w:r>
        <w:t xml:space="preserve">c) el comportamiento depende solo de los eventos externos, no de la estructura interna</w:t>
      </w:r>
    </w:p>
    <w:p>
      <w:pPr>
        <w:pStyle w:val="Normal"/>
      </w:pPr>
      <w:r>
        <w:t xml:space="preserve">d) las simulaciones requieren datos reales para funcionar</w:t>
      </w:r>
    </w:p>
    <w:p>
      <w:pPr>
        <w:pStyle w:val="Heading3"/>
      </w:pPr>
      <w:bookmarkStart w:name="b_pregunta_auto_4_5_9" w:id="4695"/>
      <w:r>
        <w:t xml:space="preserve">4.5-A9 · ¿Qué patrón genera un nivel cuya entrada es 0,11·S y cuya salida es 0,1·S?</w:t>
      </w:r>
      <w:bookmarkEnd w:id="4695"/>
    </w:p>
    <w:p>
      <w:pPr>
        <w:pStyle w:val="Normal"/>
      </w:pPr>
      <w:r>
        <w:t xml:space="preserve">a) Crecimiento exponencial</w:t>
      </w:r>
    </w:p>
    <w:p>
      <w:pPr>
        <w:pStyle w:val="Normal"/>
      </w:pPr>
      <w:r>
        <w:t xml:space="preserve">b) Crecimiento lineal</w:t>
      </w:r>
    </w:p>
    <w:p>
      <w:pPr>
        <w:pStyle w:val="Normal"/>
      </w:pPr>
      <w:r>
        <w:t xml:space="preserve">c) Convergencia a un valor</w:t>
      </w:r>
    </w:p>
    <w:p>
      <w:pPr>
        <w:pStyle w:val="Normal"/>
      </w:pPr>
      <w:r>
        <w:t xml:space="preserve">d) Oscilación</w:t>
      </w:r>
    </w:p>
    <w:p>
      <w:pPr>
        <w:pStyle w:val="Heading3"/>
      </w:pPr>
      <w:bookmarkStart w:name="b_pregunta_auto_4_5_10" w:id="4696"/>
      <w:r>
        <w:t xml:space="preserve">4.5-A10 · Con dS/dt = 0,01·S, ¿a las cuántas horas se duplica el stock?</w:t>
      </w:r>
      <w:bookmarkEnd w:id="4696"/>
    </w:p>
    <w:p>
      <w:pPr>
        <w:pStyle w:val="Normal"/>
      </w:pPr>
      <w:r>
        <w:t xml:space="preserve">a) A las 69,3</w:t>
      </w:r>
    </w:p>
    <w:p>
      <w:pPr>
        <w:pStyle w:val="Normal"/>
      </w:pPr>
      <w:r>
        <w:t xml:space="preserve">b) A las 100</w:t>
      </w:r>
    </w:p>
    <w:p>
      <w:pPr>
        <w:pStyle w:val="Normal"/>
      </w:pPr>
      <w:r>
        <w:t xml:space="preserve">c) A las 50</w:t>
      </w:r>
    </w:p>
    <w:p>
      <w:pPr>
        <w:pStyle w:val="Normal"/>
      </w:pPr>
      <w:r>
        <w:t xml:space="preserve">d) A las 230,3</w:t>
      </w:r>
    </w:p>
    <w:p>
      <w:pPr>
        <w:pStyle w:val="Heading3"/>
      </w:pPr>
      <w:bookmarkStart w:name="b_pregunta_auto_4_5_11" w:id="4697"/>
      <w:r>
        <w:t xml:space="preserve">4.5-A11 · Con referencia en la entrada y salida proporcional al stock (pág. 50), ¿dónde se estabiliza el stock?</w:t>
      </w:r>
      <w:bookmarkEnd w:id="4697"/>
    </w:p>
    <w:p>
      <w:pPr>
        <w:pStyle w:val="Normal"/>
      </w:pPr>
      <w:r>
        <w:t xml:space="preserve">a) Por debajo de la referencia: en dos tercios de ella</w:t>
      </w:r>
    </w:p>
    <w:p>
      <w:pPr>
        <w:pStyle w:val="Normal"/>
      </w:pPr>
      <w:r>
        <w:t xml:space="preserve">b) Exactamente en la referencia</w:t>
      </w:r>
    </w:p>
    <w:p>
      <w:pPr>
        <w:pStyle w:val="Normal"/>
      </w:pPr>
      <w:r>
        <w:t xml:space="preserve">c) En cero</w:t>
      </w:r>
    </w:p>
    <w:p>
      <w:pPr>
        <w:pStyle w:val="Normal"/>
      </w:pPr>
      <w:r>
        <w:t xml:space="preserve">d) No se estabiliza</w:t>
      </w:r>
    </w:p>
    <w:p>
      <w:pPr>
        <w:pStyle w:val="Heading3"/>
      </w:pPr>
      <w:bookmarkStart w:name="b_pregunta_auto_4_5_12" w:id="4698"/>
      <w:r>
        <w:t xml:space="preserve">4.5-A12 · En el ejercicio de los teléfonos, ¿qué tipo de ciclo produce la instalación?</w:t>
      </w:r>
      <w:bookmarkEnd w:id="4698"/>
    </w:p>
    <w:p>
      <w:pPr>
        <w:pStyle w:val="Normal"/>
      </w:pPr>
      <w:r>
        <w:t xml:space="preserve">a) De balance</w:t>
      </w:r>
    </w:p>
    <w:p>
      <w:pPr>
        <w:pStyle w:val="Normal"/>
      </w:pPr>
      <w:r>
        <w:t xml:space="preserve">b) De refuerzo</w:t>
      </w:r>
    </w:p>
    <w:p>
      <w:pPr>
        <w:pStyle w:val="Normal"/>
      </w:pPr>
      <w:r>
        <w:t xml:space="preserve">c) No hay ciclo</w:t>
      </w:r>
    </w:p>
    <w:p>
      <w:pPr>
        <w:pStyle w:val="Normal"/>
      </w:pPr>
      <w:r>
        <w:t xml:space="preserve">d) Uno de cada tipo</w:t>
      </w:r>
    </w:p>
    <w:p>
      <w:pPr>
        <w:pStyle w:val="Heading3"/>
      </w:pPr>
      <w:bookmarkStart w:name="b_pregunta_auto_4_5_13" w:id="4699"/>
      <w:r>
        <w:t xml:space="preserve">4.5-A13 · Si el 9 % de las casas sin teléfono lo instala cada mes, ¿cuántos meses pasan hasta que falta menos de una de las 300?</w:t>
      </w:r>
      <w:bookmarkEnd w:id="4699"/>
    </w:p>
    <w:p>
      <w:pPr>
        <w:pStyle w:val="Normal"/>
      </w:pPr>
      <w:r>
        <w:t xml:space="preserve">a) 61</w:t>
      </w:r>
    </w:p>
    <w:p>
      <w:pPr>
        <w:pStyle w:val="Normal"/>
      </w:pPr>
      <w:r>
        <w:t xml:space="preserve">b) 12</w:t>
      </w:r>
    </w:p>
    <w:p>
      <w:pPr>
        <w:pStyle w:val="Normal"/>
      </w:pPr>
      <w:r>
        <w:t xml:space="preserve">c) 300</w:t>
      </w:r>
    </w:p>
    <w:p>
      <w:pPr>
        <w:pStyle w:val="Normal"/>
      </w:pPr>
      <w:r>
        <w:t xml:space="preserve">d) Nunca: la respuesta no depende de ningún criterio</w:t>
      </w:r>
    </w:p>
    <w:p>
      <w:pPr>
        <w:pStyle w:val="Heading3"/>
      </w:pPr>
      <w:bookmarkStart w:name="b_pregunta_auto_4_5_14" w:id="4700"/>
      <w:r>
        <w:t xml:space="preserve">4.5-A14 · En el ejemplo de los alces y los lobos, ¿qué patrón muestran las dos poblaciones?</w:t>
      </w:r>
      <w:bookmarkEnd w:id="4700"/>
    </w:p>
    <w:p>
      <w:pPr>
        <w:pStyle w:val="Normal"/>
      </w:pPr>
      <w:r>
        <w:t xml:space="preserve">a) Oscilante</w:t>
      </w:r>
    </w:p>
    <w:p>
      <w:pPr>
        <w:pStyle w:val="Normal"/>
      </w:pPr>
      <w:r>
        <w:t xml:space="preserve">b) Crecimiento exponencial</w:t>
      </w:r>
    </w:p>
    <w:p>
      <w:pPr>
        <w:pStyle w:val="Normal"/>
      </w:pPr>
      <w:r>
        <w:t xml:space="preserve">c) Curva en S</w:t>
      </w:r>
    </w:p>
    <w:p>
      <w:pPr>
        <w:pStyle w:val="Normal"/>
      </w:pPr>
      <w:r>
        <w:t xml:space="preserve">d) Decrecimiento exponencial</w:t>
      </w:r>
    </w:p>
    <w:p>
      <w:pPr>
        <w:pStyle w:val="Heading3"/>
      </w:pPr>
      <w:bookmarkStart w:name="b_pregunta_auto_4_5_15" w:id="4701"/>
      <w:r>
        <w:t xml:space="preserve">4.5-A15 · Unas bacterias en una botella se duplican cada minuto: empiezan a las 11:00 y a las 12:00 la botella está llena. ¿A qué hora está medio llena?</w:t>
      </w:r>
      <w:bookmarkEnd w:id="4701"/>
    </w:p>
    <w:p>
      <w:pPr>
        <w:pStyle w:val="Normal"/>
      </w:pPr>
      <w:r>
        <w:t xml:space="preserve">a) A las 11:59</w:t>
      </w:r>
    </w:p>
    <w:p>
      <w:pPr>
        <w:pStyle w:val="Normal"/>
      </w:pPr>
      <w:r>
        <w:t xml:space="preserve">b) A las 11:30</w:t>
      </w:r>
    </w:p>
    <w:p>
      <w:pPr>
        <w:pStyle w:val="Normal"/>
      </w:pPr>
      <w:r>
        <w:t xml:space="preserve">c) A las 11:45</w:t>
      </w:r>
    </w:p>
    <w:p>
      <w:pPr>
        <w:pStyle w:val="Normal"/>
      </w:pPr>
      <w:r>
        <w:t xml:space="preserve">d) A las 11:50</w:t>
      </w:r>
    </w:p>
    <w:p>
      <w:pPr>
        <w:pStyle w:val="Heading3"/>
      </w:pPr>
      <w:bookmarkStart w:name="b_pregunta_auto_4_5_16" w:id="4702"/>
      <w:r>
        <w:t xml:space="preserve">4.5-A16 · Si en un decrecimiento exponencial la diferencia entre salida y entrada pasa de 0.01 a 0.02 por el stock, ¿qué cambia?</w:t>
      </w:r>
      <w:bookmarkEnd w:id="4702"/>
    </w:p>
    <w:p>
      <w:pPr>
        <w:pStyle w:val="Normal"/>
      </w:pPr>
      <w:r>
        <w:t xml:space="preserve">a) La velocidad del decrecimiento, no el patrón</w:t>
      </w:r>
    </w:p>
    <w:p>
      <w:pPr>
        <w:pStyle w:val="Normal"/>
      </w:pPr>
      <w:r>
        <w:t xml:space="preserve">b) El patrón, que pasa a ser lineal</w:t>
      </w:r>
    </w:p>
    <w:p>
      <w:pPr>
        <w:pStyle w:val="Normal"/>
      </w:pPr>
      <w:r>
        <w:t xml:space="preserve">c) El patrón, que pasa a oscilar</w:t>
      </w:r>
    </w:p>
    <w:p>
      <w:pPr>
        <w:pStyle w:val="Normal"/>
      </w:pPr>
      <w:r>
        <w:t xml:space="preserve">d) Nada: el stock decrece igual</w:t>
      </w:r>
    </w:p>
    <w:p>
      <w:pPr>
        <w:pStyle w:val="Heading3"/>
      </w:pPr>
      <w:bookmarkStart w:name="b_pregunta_auto_4_5_17" w:id="4703"/>
      <w:r>
        <w:t xml:space="preserve">4.5-A17 · Al interpretar el modelo del video, ¿qué puede garantizar por sí sola una expresión MAX(0, flujo de muertes)?</w:t>
      </w:r>
      <w:bookmarkEnd w:id="4703"/>
    </w:p>
    <w:p>
      <w:pPr>
        <w:pStyle w:val="Normal"/>
      </w:pPr>
      <w:r>
        <w:t xml:space="preserve">a) Para impedir que el flujo calculado sea negativo; no establece una cota superior por las existencias</w:t>
      </w:r>
    </w:p>
    <w:p>
      <w:pPr>
        <w:pStyle w:val="Normal"/>
      </w:pPr>
      <w:r>
        <w:t xml:space="preserve">b) Para elegir el mayor de los dos niveles</w:t>
      </w:r>
    </w:p>
    <w:p>
      <w:pPr>
        <w:pStyle w:val="Normal"/>
      </w:pPr>
      <w:r>
        <w:t xml:space="preserve">c) Para que los zorros nunca mueran</w:t>
      </w:r>
    </w:p>
    <w:p>
      <w:pPr>
        <w:pStyle w:val="Normal"/>
      </w:pPr>
      <w:r>
        <w:t xml:space="preserve">d) Para que la población de conejos crezca sin límite</w:t>
      </w:r>
    </w:p>
    <w:p>
      <w:pPr>
        <w:pStyle w:val="Heading3"/>
      </w:pPr>
      <w:bookmarkStart w:name="b_pregunta_auto_4_5_18" w:id="4704"/>
      <w:r>
        <w:t xml:space="preserve">4.5-A18 · Con 300 casas y tasa mensual del 9 %, ¿cuántas instalaciones produce el primer paso?</w:t>
      </w:r>
      <w:bookmarkEnd w:id="4704"/>
    </w:p>
    <w:p>
      <w:pPr>
        <w:pStyle w:val="Normal"/>
      </w:pPr>
      <w:r>
        <w:t xml:space="preserve">a) 300</w:t>
      </w:r>
    </w:p>
    <w:p>
      <w:pPr>
        <w:pStyle w:val="Normal"/>
      </w:pPr>
      <w:r>
        <w:t xml:space="preserve">b) 9</w:t>
      </w:r>
    </w:p>
    <w:p>
      <w:pPr>
        <w:pStyle w:val="Normal"/>
      </w:pPr>
      <w:r>
        <w:t xml:space="preserve">c) 0</w:t>
      </w:r>
    </w:p>
    <w:p>
      <w:pPr>
        <w:pStyle w:val="Normal"/>
      </w:pPr>
      <w:r>
        <w:t xml:space="preserve">d) 27</w:t>
      </w:r>
    </w:p>
    <w:p>
      <w:pPr>
        <w:pStyle w:val="Heading3"/>
      </w:pPr>
      <w:bookmarkStart w:name="b_pregunta_auto_4_5_19" w:id="4705"/>
      <w:r>
        <w:t xml:space="preserve">4.5-A19 · ¿Qué significa dar por cubierto el residencial a los 61 meses en el modelo del portal?</w:t>
      </w:r>
      <w:bookmarkEnd w:id="4705"/>
    </w:p>
    <w:p>
      <w:pPr>
        <w:pStyle w:val="Normal"/>
      </w:pPr>
      <w:r>
        <w:t xml:space="preserve">a) Que queda menos de una casa por instalar, según el criterio declarado</w:t>
      </w:r>
    </w:p>
    <w:p>
      <w:pPr>
        <w:pStyle w:val="Normal"/>
      </w:pPr>
      <w:r>
        <w:t xml:space="preserve">b) Que el profesor anunció que se llega exactamente a 300</w:t>
      </w:r>
    </w:p>
    <w:p>
      <w:pPr>
        <w:pStyle w:val="Normal"/>
      </w:pPr>
      <w:r>
        <w:t xml:space="preserve">c) Que todas las casas se instalan de golpe al mes 61</w:t>
      </w:r>
    </w:p>
    <w:p>
      <w:pPr>
        <w:pStyle w:val="Normal"/>
      </w:pPr>
      <w:r>
        <w:t xml:space="preserve">d) Que el 9 % se aplica siempre al total inicial</w:t>
      </w:r>
    </w:p>
    <w:p>
      <w:pPr>
        <w:pStyle w:val="Heading3"/>
      </w:pPr>
      <w:bookmarkStart w:name="b_pregunta_auto_4_5_20" w:id="4706"/>
      <w:r>
        <w:t xml:space="preserve">4.5-A20 · ¿Cómo deben interpretarse las tres respuestas calculadas por el laboratorio?</w:t>
      </w:r>
      <w:bookmarkEnd w:id="4706"/>
    </w:p>
    <w:p>
      <w:pPr>
        <w:pStyle w:val="Normal"/>
      </w:pPr>
      <w:r>
        <w:t xml:space="preserve">a) Son resultados orales del profesor sin supuestos</w:t>
      </w:r>
    </w:p>
    <w:p>
      <w:pPr>
        <w:pStyle w:val="Normal"/>
      </w:pPr>
      <w:r>
        <w:t xml:space="preserve">b) Son resultados del modelo proporcional con paso mensual y criterio explícito de cobertura</w:t>
      </w:r>
    </w:p>
    <w:p>
      <w:pPr>
        <w:pStyle w:val="Normal"/>
      </w:pPr>
      <w:r>
        <w:t xml:space="preserve">c) Son válidas para cualquier modelo de influencia vecinal</w:t>
      </w:r>
    </w:p>
    <w:p>
      <w:pPr>
        <w:pStyle w:val="Normal"/>
      </w:pPr>
      <w:r>
        <w:t xml:space="preserve">d) Son porcentajes de la nota del parcial</w:t>
      </w:r>
    </w:p>
    <w:p>
      <w:pPr>
        <w:pStyle w:val="Heading3"/>
      </w:pPr>
      <w:bookmarkStart w:name="b_pregunta_auto_4_5_21" w:id="4707"/>
      <w:r>
        <w:t xml:space="preserve">4.5-A21 · En la corrida original, ¿cuántos libros quedan después del primer mes?</w:t>
      </w:r>
      <w:bookmarkEnd w:id="4707"/>
    </w:p>
    <w:p>
      <w:pPr>
        <w:pStyle w:val="Normal"/>
      </w:pPr>
      <w:r>
        <w:t xml:space="preserve">a) 10</w:t>
      </w:r>
    </w:p>
    <w:p>
      <w:pPr>
        <w:pStyle w:val="Normal"/>
      </w:pPr>
      <w:r>
        <w:t xml:space="preserve">b) 9</w:t>
      </w:r>
    </w:p>
    <w:p>
      <w:pPr>
        <w:pStyle w:val="Normal"/>
      </w:pPr>
      <w:r>
        <w:t xml:space="preserve">c) 15</w:t>
      </w:r>
    </w:p>
    <w:p>
      <w:pPr>
        <w:pStyle w:val="Normal"/>
      </w:pPr>
      <w:r>
        <w:t xml:space="preserve">d) 6.25</w:t>
      </w:r>
    </w:p>
    <w:p>
      <w:pPr>
        <w:pStyle w:val="Heading3"/>
      </w:pPr>
      <w:bookmarkStart w:name="b_pregunta_auto_4_5_22" w:id="4708"/>
      <w:r>
        <w:t xml:space="preserve">4.5-A22 · ¿A qué valor se aproxima el inventario con los parámetros originales?</w:t>
      </w:r>
      <w:bookmarkEnd w:id="4708"/>
    </w:p>
    <w:p>
      <w:pPr>
        <w:pStyle w:val="Normal"/>
      </w:pPr>
      <w:r>
        <w:t xml:space="preserve">a) 20 libros</w:t>
      </w:r>
    </w:p>
    <w:p>
      <w:pPr>
        <w:pStyle w:val="Normal"/>
      </w:pPr>
      <w:r>
        <w:t xml:space="preserve">b) 4.5 libros</w:t>
      </w:r>
    </w:p>
    <w:p>
      <w:pPr>
        <w:pStyle w:val="Normal"/>
      </w:pPr>
      <w:r>
        <w:t xml:space="preserve">c) 9 libros</w:t>
      </w:r>
    </w:p>
    <w:p>
      <w:pPr>
        <w:pStyle w:val="Normal"/>
      </w:pPr>
      <w:r>
        <w:t xml:space="preserve">d) 15 libros</w:t>
      </w:r>
    </w:p>
    <w:p>
      <w:pPr>
        <w:pStyle w:val="Heading3"/>
      </w:pPr>
      <w:r>
        <w:t xml:space="preserve">Ejercicios de aplicación</w:t>
      </w:r>
    </w:p>
    <w:p>
      <w:pPr>
        <w:pStyle w:val="Heading3"/>
      </w:pPr>
      <w:bookmarkStart w:name="b_pregunta_ej_MF10" w:id="4709"/>
      <w:r>
        <w:t xml:space="preserve">4.5-E1 · Epidemia con letras y ecuación incompleta</w:t>
      </w:r>
      <w:bookmarkEnd w:id="4709"/>
    </w:p>
    <w:p>
      <w:pPr>
        <w:pStyle w:val="Normal"/>
      </w:pPr>
      <w:r>
        <w:t xml:space="preserve">A = infectados; B = nuevos contagios; C = vulnerables; D = población total constante. Inicialmente A = 10 y D = 100. Completa </w:t>
      </w:r>
      <w:r>
        <w:rPr>
          <w:rFonts w:ascii="Source Code Pro" w:cs="Source Code Pro" w:eastAsia="Source Code Pro" w:hAnsi="Source Code Pro"/>
          <w:sz w:val="18"/>
          <w:szCs w:val="18"/>
        </w:rPr>
        <w:t xml:space="preserve">A = INTEG(____, ____)</w:t>
      </w:r>
      <w:r>
        <w:t xml:space="preserve"> y la ecuación de C. En este ejercicio simplificado se producen tres contagios durante un día. Calcula A y C al final. ¿Hay alguna salida de A en las reglas dadas?</w:t>
      </w:r>
    </w:p>
    <w:p>
      <w:pPr>
        <w:pStyle w:val="Heading3"/>
      </w:pPr>
      <w:bookmarkStart w:name="b_pregunta_ej_MF11" w:id="4710"/>
      <w:r>
        <w:t xml:space="preserve">4.5-E2 · Epidemia original</w:t>
      </w:r>
      <w:bookmarkEnd w:id="4710"/>
    </w:p>
    <w:p>
      <w:pPr>
        <w:pStyle w:val="Normal"/>
      </w:pPr>
      <w:r>
        <w:t xml:space="preserve">Usa PI = 10, PT = 100, IPC = 0.15 y TNC = 0.025 por persona por semana; </w:t>
      </w:r>
      <w:r>
        <w:rPr>
          <w:rFonts w:ascii="Source Code Pro" w:cs="Source Code Pro" w:eastAsia="Source Code Pro" w:hAnsi="Source Code Pro"/>
          <w:sz w:val="18"/>
          <w:szCs w:val="18"/>
        </w:rPr>
        <w:t xml:space="preserve">TC = IPC × TNC × PI × (PT − PI)</w:t>
      </w:r>
      <w:r>
        <w:t xml:space="preserve">. Calcula TC y el primer cambio de PI con Δt = 0.25 semanas. Explica qué curvas suben, bajan o forman un pico a lo largo de la simulación. ¿Por qué TC puede bajar mientras PI sigue creciendo?</w:t>
      </w:r>
    </w:p>
    <w:p>
      <w:pPr>
        <w:pStyle w:val="Heading3"/>
      </w:pPr>
      <w:bookmarkStart w:name="b_pregunta_ej_MF12" w:id="4711"/>
      <w:r>
        <w:t xml:space="preserve">4.5-E3 · Francisco: lectura crítica</w:t>
      </w:r>
      <w:bookmarkEnd w:id="4711"/>
    </w:p>
    <w:p>
      <w:pPr>
        <w:pStyle w:val="Normal"/>
      </w:pPr>
      <w:r>
        <w:t xml:space="preserve">N inicial = 20 libros sin leer; referencia = 15; compras = 0.75/mes × (15 − N); lectura = 0.5/mes × N. Calcula ambos flujos y el primer resultado mensual. Detecta el problema de interpretación, propón una regla de compra no negativa y recalcula el primer resultado de esa variante. ¿Es 15 el equilibrio? Justifica igualando flujos.</w:t>
      </w:r>
    </w:p>
    <w:p>
      <w:pPr>
        <w:pStyle w:val="Heading3"/>
      </w:pPr>
      <w:bookmarkStart w:name="b_pregunta_ej_MF13" w:id="4712"/>
      <w:r>
        <w:t xml:space="preserve">4.5-E4 · Comparación con tabla</w:t>
      </w:r>
      <w:bookmarkEnd w:id="4712"/>
    </w:p>
    <w:p>
      <w:pPr>
        <w:pStyle w:val="Normal"/>
      </w:pPr>
      <w:r>
        <w:t xml:space="preserve">Para A y B se observan deudas de 3,591.71 y 3,138.43 a los 12 meses; de 6,450.20 y 9,849.73 a los 24. Si el criterio es menor deuda, elige banco en cada horizonte y cita el dato. En una negociación distinta, a los 24 meses A debe 3,216.87 y B 2,563.30. ¿Se conserva tu elección anterior? Explica por qué no basta mirar la tasa o el principal por separado.</w:t>
      </w:r>
    </w:p>
    <w:p>
      <w:pPr>
        <w:pStyle w:val="Heading3"/>
      </w:pPr>
      <w:bookmarkStart w:name="b_pregunta_ej_MF14" w:id="4713"/>
      <w:r>
        <w:t xml:space="preserve">4.5-E5 · Teléfonos</w:t>
      </w:r>
      <w:bookmarkEnd w:id="4713"/>
    </w:p>
    <w:p>
      <w:pPr>
        <w:pStyle w:val="Normal"/>
      </w:pPr>
      <w:r>
        <w:t xml:space="preserve">Hay 300 viviendas y ninguna instalación inicial. Cada mes se instala el 9 % de las todavía pendientes. Calcula los dos primeros meses y clasifica el ciclo. Un compañero dice: «Como baja el número de instalaciones mensuales, también baja el total instalado». Evalúa su afirmación. ¿Qué dato falta para responder con un número de meses a «instalar en todas»?</w:t>
      </w:r>
    </w:p>
    <w:p>
      <w:pPr>
        <w:pStyle w:val="Heading3"/>
      </w:pPr>
      <w:bookmarkStart w:name="b_pregunta_ej_MF15" w:id="4714"/>
      <w:r>
        <w:t xml:space="preserve">4.5-E6 · K y coeficiente de carga</w:t>
      </w:r>
      <w:bookmarkEnd w:id="4714"/>
    </w:p>
    <w:p>
      <w:pPr>
        <w:pStyle w:val="Normal"/>
      </w:pPr>
      <w:r>
        <w:t xml:space="preserve">P inicial = 60, K = 6,000; natalidad = 0.085 y mortalidad = 0.035 por unidad de tiempo. El coeficiente </w:t>
      </w:r>
      <w:r>
        <w:rPr>
          <w:rFonts w:ascii="Source Code Pro" w:cs="Source Code Pro" w:eastAsia="Source Code Pro" w:hAnsi="Source Code Pro"/>
          <w:sz w:val="18"/>
          <w:szCs w:val="18"/>
        </w:rPr>
        <w:t xml:space="preserve">(K − P)/K</w:t>
      </w:r>
      <w:r>
        <w:t xml:space="preserve"> multiplica la diferencia entre nacimientos y muertes. Escribe la ecuación de nivel y explica hacia dónde se dirige. Un compañero multiplica sólo los nacimientos por ese coeficiente: ¿conservó la ecuación original? No necesitas resolver su nuevo equilibrio para explicar el cambio.</w:t>
      </w:r>
    </w:p>
    <w:p>
      <w:pPr>
        <w:pStyle w:val="Heading3"/>
      </w:pPr>
      <w:bookmarkStart w:name="b_pregunta_ej_MF16" w:id="4715"/>
      <w:r>
        <w:t xml:space="preserve">4.5-E7 · Reconocimiento de patrones</w:t>
      </w:r>
      <w:bookmarkEnd w:id="4715"/>
    </w:p>
    <w:p>
      <w:pPr>
        <w:pStyle w:val="Normal"/>
      </w:pPr>
      <w:r>
        <w:t xml:space="preserve">Nombra el patrón y una estructura compatible: (a) se añade la misma cantidad por período; (b) primero el crecimiento acelera y después se aplana por saturación; (c) una cantidad se reduce una fracción constante por período; (d) una variable cruza varias veces una referencia; (e) rebasa una capacidad sostenible y luego cae drásticamente. ¿La forma de la curva determina por sí sola un único modelo causal?</w:t>
      </w:r>
    </w:p>
    <w:p>
      <w:pPr>
        <w:pStyle w:val="Heading3"/>
      </w:pPr>
      <w:bookmarkStart w:name="b_pregunta_ej_MF17" w:id="4716"/>
      <w:r>
        <w:t xml:space="preserve">4.5-E8 · Comprobar fórmulas</w:t>
      </w:r>
      <w:bookmarkEnd w:id="4716"/>
    </w:p>
    <w:p>
      <w:pPr>
        <w:pStyle w:val="Normal"/>
      </w:pPr>
      <w:r>
        <w:t xml:space="preserve">Con N(0) = 1,000 y </w:t>
      </w:r>
      <w:r>
        <w:rPr>
          <w:rFonts w:ascii="Source Code Pro" w:cs="Source Code Pro" w:eastAsia="Source Code Pro" w:hAnsi="Source Code Pro"/>
          <w:sz w:val="18"/>
          <w:szCs w:val="18"/>
        </w:rPr>
        <w:t xml:space="preserve">dN/dt = 0.01N</w:t>
      </w:r>
      <w:r>
        <w:t xml:space="preserve">, un apunte propone </w:t>
      </w:r>
      <w:r>
        <w:rPr>
          <w:rFonts w:ascii="Source Code Pro" w:cs="Source Code Pro" w:eastAsia="Source Code Pro" w:hAnsi="Source Code Pro"/>
          <w:sz w:val="18"/>
          <w:szCs w:val="18"/>
        </w:rPr>
        <w:t xml:space="preserve">N(t) = 1000e^(0.01t) + 1000</w:t>
      </w:r>
      <w:r>
        <w:t xml:space="preserve">. Encuentra una comprobación rápida que revele el error y escribe la solución correcta. En otro caso E = 50 t + 50 y S = 50: identifica el patrón y escribe la solución continua desde N(0) = 1,000.</w:t>
      </w:r>
    </w:p>
    <w:p>
      <w:pPr>
        <w:pStyle w:val="Heading3"/>
      </w:pPr>
      <w:bookmarkStart w:name="b_pregunta_ej_MF20" w:id="4717"/>
      <w:r>
        <w:t xml:space="preserve">4.5-E9 · Almacén condicional</w:t>
      </w:r>
      <w:bookmarkEnd w:id="4717"/>
    </w:p>
    <w:p>
      <w:pPr>
        <w:pStyle w:val="Normal"/>
      </w:pPr>
      <w:r>
        <w:t xml:space="preserve">El nivel es 200 unidades, entrada = 100 unidades/mes, deterioro = 5 % mensual, salida deseada del paso = 90 unidades/mes. La regla despacha lo deseado cuando hay más de 150, y 60 en otro caso. Calcula flujos y nivel tras un mes. ¿Qué rama se usa si el nivel fuese exactamente 150? ¿Una semilla igual garantiza la misma secuencia en dos programas con generadores distintos?</w:t>
      </w:r>
    </w:p>
    <w:p>
      <w:pPr>
        <w:pStyle w:val="Heading3"/>
      </w:pPr>
      <w:bookmarkStart w:name="b_pregunta_ej_MF22" w:id="4718"/>
      <w:r>
        <w:t xml:space="preserve">4.5-E10 · Presa–depredador</w:t>
      </w:r>
      <w:bookmarkEnd w:id="4718"/>
    </w:p>
    <w:p>
      <w:pPr>
        <w:pStyle w:val="Normal"/>
      </w:pPr>
      <w:r>
        <w:t xml:space="preserve">Explica la historia desde un aumento de conejos hasta la posterior caída de zorros. Identifica los dos niveles y sus flujos. ¿Por qué sus máximos no tienen que coincidir? ¿Qué información adicional introduce una tabla de efecto de superpoblación frente a una tasa fija? ¿Qué precaución exige representar sólo zorros adultos?</w:t>
      </w:r>
    </w:p>
    <w:p>
      <w:pPr>
        <w:pStyle w:val="Heading3"/>
      </w:pPr>
      <w:bookmarkStart w:name="b_pregunta_ej_MF23" w:id="4719"/>
      <w:r>
        <w:t xml:space="preserve">4.5-E11 · Lectura de gráfica</w:t>
      </w:r>
      <w:bookmarkEnd w:id="4719"/>
    </w:p>
    <w:p>
      <w:pPr>
        <w:pStyle w:val="Normal"/>
      </w:pPr>
      <w:r>
        <w:t xml:space="preserve">La tabla muestra un nivel acumulado sin salidas. El dibujo solo orienta la forma; usa la tabla para calcular.  | Tiempo (días) | 0 | 1 | 2 | 3 | 4 | |---|---:|---:|---:|---:|---:| | Cantidad acumulada (unidades) | 0 | 10 | 17 | 22 | 25 |  </w:t>
      </w:r>
      <w:r>
        <w:rPr>
          <w:rFonts w:ascii="Source Code Pro" w:cs="Source Code Pro" w:eastAsia="Source Code Pro" w:hAnsi="Source Code Pro"/>
          <w:sz w:val="18"/>
          <w:szCs w:val="18"/>
        </w:rPr>
        <w:t xml:space="preserve">text Cantidad 25 |                  * 22 |              * 17 |          * 10 |      *  0 |  *    +--------------------&gt; tiempo (días)       0   1   2   3   4 </w:t>
      </w:r>
      <w:r>
        <w:t xml:space="preserve">  Describe la evolución del nivel y calcula las entradas medias de cada intervalo de un día. ¿Crecer más lentamente equivale a disminuir? Si dibujaras las entradas medias, ¿su gráfica tendría la misma forma? Declara las unidades de ambas gráficas.</w:t>
      </w:r>
    </w:p>
    <w:p>
      <w:pPr>
        <w:pStyle w:val="Heading3"/>
      </w:pPr>
      <w:bookmarkStart w:name="b_pregunta_ej_MF31" w:id="4720"/>
      <w:r>
        <w:t xml:space="preserve">4.5-E12 · Cruce de deudas y modelo temporal</w:t>
      </w:r>
      <w:bookmarkEnd w:id="4720"/>
    </w:p>
    <w:p>
      <w:pPr>
        <w:pStyle w:val="Normal"/>
      </w:pPr>
      <w:r>
        <w:t xml:space="preserve">Compara A = 2000(1.05)^n y B = 1000(1.10)^n. Encuentra el cruce con logaritmos y comprueba la elección en meses 14 y 15. Repite con A = 2000e^(0.05t) y B = 1000e^(0.10t). ¿Por qué no puedes usar ambos cruces en una misma tabla mensual?</w:t>
      </w:r>
    </w:p>
    <w:p>
      <w:pPr>
        <w:pStyle w:val="Heading3"/>
      </w:pPr>
      <w:bookmarkStart w:name="b_pregunta_ej_MF32" w:id="4721"/>
      <w:r>
        <w:t xml:space="preserve">4.5-E13 · Oscilación numérica de Francisco</w:t>
      </w:r>
      <w:bookmarkEnd w:id="4721"/>
    </w:p>
    <w:p>
      <w:pPr>
        <w:pStyle w:val="Normal"/>
      </w:pPr>
      <w:r>
        <w:t xml:space="preserve">Para el modelo original, dN/dt = 11.25 − 1.25N y N(0)=20. Calcula dos pasos Euler de un mes, el equilibrio y el factor que multiplica el error respecto del equilibrio. Compáralo con N(t)=9+11e^(−1.25t). ¿Qué cambia al usar pasos de 0.25 meses?</w:t>
      </w:r>
    </w:p>
    <w:p>
      <w:pPr>
        <w:pStyle w:val="Heading3"/>
      </w:pPr>
      <w:bookmarkStart w:name="b_pregunta_ej_MF28" w:id="4722"/>
      <w:r>
        <w:t xml:space="preserve">4.5-E14 · Préstamo con pagos: variante explícita</w:t>
      </w:r>
      <w:bookmarkEnd w:id="4722"/>
    </w:p>
    <w:p>
      <w:pPr>
        <w:pStyle w:val="Normal"/>
      </w:pPr>
      <w:r>
        <w:t xml:space="preserve">Variante editorial: deuda 1000, interés de 10 % mensual sobre saldo al inicio y pago de 200 al final de cada mes. Calcula dos meses, pagos acumulados y total necesario para liquidar entonces. Diferencia este caso del préstamo sin pagos del curso.</w:t>
      </w:r>
    </w:p>
    <w:p>
      <w:pPr>
        <w:pStyle w:val="Heading3"/>
      </w:pPr>
      <w:bookmarkStart w:name="b_pregunta_ej_MF29" w:id="4723"/>
      <w:r>
        <w:t xml:space="preserve">4.5-E15 · Teléfonos y el modelo detallado</w:t>
      </w:r>
      <w:bookmarkEnd w:id="4723"/>
    </w:p>
    <w:p>
      <w:pPr>
        <w:pStyle w:val="Normal"/>
      </w:pPr>
      <w:r>
        <w:t xml:space="preserve">Compara instalar cada mes 9 % de las viviendas pendientes con incorporar influencia de usuarios existentes. Identifica nivel, flujo, auxiliares y parámetros. ¿Permite el diagrama de clase 24 atribuirle sin más la fórmula de Bass y una corrida numérica?</w:t>
      </w:r>
    </w:p>
    <w:p>
      <w:pPr>
        <w:pStyle w:val="Heading3"/>
      </w:pPr>
      <w:bookmarkStart w:name="b_solucionario_4_5" w:id="4724"/>
      <w:r>
        <w:t xml:space="preserve">Solucionario del capítulo</w:t>
      </w:r>
      <w:bookmarkEnd w:id="4724"/>
    </w:p>
    <w:p>
      <w:pPr>
        <w:pStyle w:val="Heading3"/>
      </w:pPr>
      <w:r>
        <w:t xml:space="preserve">4.5-A1</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a) R: instalaciones → con teléfono → tasa de uso → instalaciones (+,+,+); B: instalaciones → con teléfono → sin teléfono → instalaciones (+,−,+).</w:t>
            </w:r>
          </w:p>
        </w:tc>
      </w:tr>
    </w:tbl>
    <w:p>
      <w:pPr>
        <w:pStyle w:val="Normal"/>
      </w:pPr>
      <w:r>
        <w:t xml:space="preserve">La difusión vecinal refuerza instalaciones mediante más usuarios y uso; el agotamiento de familias sin teléfono compensa instalaciones. Familias totales influye positivamente en sin teléfono y en tasa de uso; B2 influye positivamente en instalaciones y aquí es un parámetro, no el nombre de un ciclo. El esquema no da todas las ecuaciones/valores de uso: no equivale al balance simple de porcentaje fijo ni autoriza inventar una corrida detallada.</w:t>
      </w:r>
    </w:p>
    <w:p>
      <w:pPr>
        <w:pStyle w:val="Fuente"/>
      </w:pPr>
      <w:r>
        <w:t xml:space="preserve">Presentación 4b de octubre (C-8), lámina 57 · Clase 24 · 01:11:23</w:t>
      </w:r>
    </w:p>
    <w:p>
      <w:pPr>
        <w:pStyle w:val="Heading3"/>
      </w:pPr>
      <w:r>
        <w:t xml:space="preserve">4.5-A2</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b) El límite máximo que el entorno puede sostener, hacia el que se aplana la curva en S</w:t>
            </w:r>
          </w:p>
        </w:tc>
      </w:tr>
    </w:tbl>
    <w:p>
      <w:pPr>
        <w:pStyle w:val="Normal"/>
      </w:pPr>
      <w:r>
        <w:t xml:space="preserve">La ecuación logística Crecimiento neto = r·P·(1 − P/K) frena el crecimiento a medida que P se acerca a K: el factor (1 − P/K) tiende a 0. Por eso la curva forma una S que satura cerca de la capacidad de carga.</w:t>
      </w:r>
    </w:p>
    <w:p>
      <w:pPr>
        <w:pStyle w:val="Normal"/>
      </w:pPr>
      <w:r>
        <w:t xml:space="preserve">a) Esa es P</w:t>
      </w:r>
      <w:r>
        <w:rPr>
          <w:vertAlign w:val="subscript"/>
        </w:rPr>
        <w:t xml:space="preserve">0</w:t>
      </w:r>
      <w:r>
        <w:t xml:space="preserve">, el nivel inicial, no K.</w:t>
      </w:r>
    </w:p>
    <w:p>
      <w:pPr>
        <w:pStyle w:val="Normal"/>
      </w:pPr>
      <w:r>
        <w:t xml:space="preserve">b) Correcto: K es el techo que impone el bucle de compensación; la población se estabiliza cerca de K.</w:t>
      </w:r>
    </w:p>
    <w:p>
      <w:pPr>
        <w:pStyle w:val="Normal"/>
      </w:pPr>
      <w:r>
        <w:t xml:space="preserve">c) Esa es la tasa intrínseca r, no K.</w:t>
      </w:r>
    </w:p>
    <w:p>
      <w:pPr>
        <w:pStyle w:val="Normal"/>
      </w:pPr>
      <w:r>
        <w:t xml:space="preserve">d) El modelo logístico de una población no incluye depredadores explícitos.</w:t>
      </w:r>
    </w:p>
    <w:p>
      <w:pPr>
        <w:pStyle w:val="Heading3"/>
      </w:pPr>
      <w:r>
        <w:t xml:space="preserve">4.5-A3</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a) un bucle de refuerzo domina al inicio y un bucle de compensación lo frena cerca del límite</w:t>
            </w:r>
          </w:p>
        </w:tc>
      </w:tr>
    </w:tbl>
    <w:p>
      <w:pPr>
        <w:pStyle w:val="Normal"/>
      </w:pPr>
      <w:r>
        <w:t xml:space="preserve">La S es el resultado de un relevo de dominancia entre bucles: al principio manda el refuerzo (más individuos → más nacimientos) y cerca de K manda la compensación (recursos limitados). El punto de inflexión (≈ K/2) marca ese relevo.</w:t>
      </w:r>
    </w:p>
    <w:p>
      <w:pPr>
        <w:pStyle w:val="Fuente"/>
      </w:pPr>
      <w:r>
        <w:t xml:space="preserve">Meadows, Thinking in Systems</w:t>
      </w:r>
    </w:p>
    <w:p>
      <w:pPr>
        <w:pStyle w:val="Heading3"/>
      </w:pPr>
      <w:r>
        <w:t xml:space="preserve">4.5-A4</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c) Porque muchas presas alimentan a más depredadores, que luego reducen las presas y terminan sin comida</w:t>
            </w:r>
          </w:p>
        </w:tc>
      </w:tr>
    </w:tbl>
    <w:p>
      <w:pPr>
        <w:pStyle w:val="Normal"/>
      </w:pPr>
      <w:r>
        <w:t xml:space="preserve">Es un acoplamiento sin meta: cuando abundan las presas, los depredadores crecen; el exceso de depredadores hunde a las presas; sin comida, los depredadores caen y las presas se recuperan. El ciclo se repite alrededor del equilibrio (x* = γ/δ, y* = α/β).</w:t>
      </w:r>
    </w:p>
    <w:p>
      <w:pPr>
        <w:pStyle w:val="Heading3"/>
      </w:pPr>
      <w:r>
        <w:t xml:space="preserve">4.5-A5</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b) q mide el boca a boca (adoptar porque otros ya lo hicieron); p mide a los innovadores independientes</w:t>
            </w:r>
          </w:p>
        </w:tc>
      </w:tr>
    </w:tbl>
    <w:p>
      <w:pPr>
        <w:pStyle w:val="Normal"/>
      </w:pPr>
      <w:r>
        <w:t xml:space="preserve">En Tasa de adopción = (p + q·A/M)·(M − A), el término q·A/M crece con los adoptadores ya existentes: es el boca a boca. Cuanto mayor es q respecto de p, más explosivo es el despegue de la curva.</w:t>
      </w:r>
    </w:p>
    <w:p>
      <w:pPr>
        <w:pStyle w:val="Normal"/>
      </w:pPr>
      <w:r>
        <w:t xml:space="preserve">a) Está invertido: los que adoptan por cuenta propia son los innovadores (p).</w:t>
      </w:r>
    </w:p>
    <w:p>
      <w:pPr>
        <w:pStyle w:val="Normal"/>
      </w:pPr>
      <w:r>
        <w:t xml:space="preserve">b) Correcto: q es la fuerza del boca a boca (bucle de refuerzo) y p es la adopción autónoma de los innovadores.</w:t>
      </w:r>
    </w:p>
    <w:p>
      <w:pPr>
        <w:pStyle w:val="Normal"/>
      </w:pPr>
      <w:r>
        <w:t xml:space="preserve">c) Son coeficientes distintos y no suman 1; q suele ser bastante mayor que p.</w:t>
      </w:r>
    </w:p>
    <w:p>
      <w:pPr>
        <w:pStyle w:val="Normal"/>
      </w:pPr>
      <w:r>
        <w:t xml:space="preserve">d) El tamaño del mercado es M, no q.</w:t>
      </w:r>
    </w:p>
    <w:p>
      <w:pPr>
        <w:pStyle w:val="Fuente"/>
      </w:pPr>
      <w:r>
        <w:t xml:space="preserve">Bass, 1969</w:t>
      </w:r>
    </w:p>
    <w:p>
      <w:pPr>
        <w:pStyle w:val="Heading3"/>
      </w:pPr>
      <w:r>
        <w:t xml:space="preserve">4.5-A6</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b) La demora de entrega entre pedir y recibir, combinada con un ajuste agresivo</w:t>
            </w:r>
          </w:p>
        </w:tc>
      </w:tr>
    </w:tbl>
    <w:p>
      <w:pPr>
        <w:pStyle w:val="Normal"/>
      </w:pPr>
      <w:r>
        <w:t xml:space="preserve">El sobrepaso nace de la DEMORA: la mercancía pedida llega tarde, así que se sigue pidiendo aunque el inventario ya vaya en camino. Con un ajuste agresivo (τ pequeño) y una demora larga L, el sistema se pasa, corrige y vuelve a pasarse: oscilación amortiguada. Es la raíz del «efecto látigo».</w:t>
      </w:r>
    </w:p>
    <w:p>
      <w:pPr>
        <w:pStyle w:val="Fuente"/>
      </w:pPr>
      <w:r>
        <w:t xml:space="preserve">Sterman, Business Dynamics</w:t>
      </w:r>
    </w:p>
    <w:p>
      <w:pPr>
        <w:pStyle w:val="Heading3"/>
      </w:pPr>
      <w:r>
        <w:t xml:space="preserve">4.5-A7</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b) la población es un nivel (stock) que acumula su flujo de entrada a partir del valor inicial P</w:t>
            </w:r>
            <w:r>
              <w:rPr>
                <w:vertAlign w:val="subscript"/>
              </w:rPr>
              <w:t xml:space="preserve">0</w:t>
            </w:r>
          </w:p>
        </w:tc>
      </w:tr>
    </w:tbl>
    <w:p>
      <w:pPr>
        <w:pStyle w:val="Normal"/>
      </w:pPr>
      <w:r>
        <w:t xml:space="preserve">INTEG es la integración de un nivel: el stock parte de P</w:t>
      </w:r>
      <w:r>
        <w:rPr>
          <w:vertAlign w:val="subscript"/>
        </w:rPr>
        <w:t xml:space="preserve">0</w:t>
      </w:r>
      <w:r>
        <w:t xml:space="preserve"> y en cada instante suma (integra) su flujo neto. Los niveles son la memoria del sistema; los flujos los llenan o vacían.</w:t>
      </w:r>
    </w:p>
    <w:p>
      <w:pPr>
        <w:pStyle w:val="Heading3"/>
      </w:pPr>
      <w:r>
        <w:t xml:space="preserve">4.5-A8</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a) la estructura de niveles, flujos y demoras genera el comportamiento en el tiempo</w:t>
            </w:r>
          </w:p>
        </w:tc>
      </w:tr>
    </w:tbl>
    <w:p>
      <w:pPr>
        <w:pStyle w:val="Normal"/>
      </w:pPr>
      <w:r>
        <w:t xml:space="preserve">El lema de la dinámica de sistemas es «la estructura genera el comportamiento». Cambiando qué bucles (refuerzo/compensación) y qué demoras contiene el modelo se pasa de una curva en S a una oscilación o a un ciclo, sin tocar ningún evento externo.</w:t>
      </w:r>
    </w:p>
    <w:p>
      <w:pPr>
        <w:pStyle w:val="Fuente"/>
      </w:pPr>
      <w:r>
        <w:t xml:space="preserve">Forrester · Meadows</w:t>
      </w:r>
    </w:p>
    <w:p>
      <w:pPr>
        <w:pStyle w:val="Heading3"/>
      </w:pPr>
      <w:r>
        <w:t xml:space="preserve">4.5-A9</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a) Crecimiento exponencial</w:t>
            </w:r>
          </w:p>
        </w:tc>
      </w:tr>
    </w:tbl>
    <w:p>
      <w:pPr>
        <w:pStyle w:val="Normal"/>
      </w:pPr>
      <w:r>
        <w:t xml:space="preserve">S(t) = 1000·e^(0,01·t): se duplica a las 69,3 horas y se multiplica por diez a las 230,3.</w:t>
      </w:r>
    </w:p>
    <w:p>
      <w:pPr>
        <w:pStyle w:val="Normal"/>
      </w:pPr>
      <w:r>
        <w:t xml:space="preserve">a) Correcto: dS/dt = 0,01·S, un crecimiento exponencial.</w:t>
      </w:r>
    </w:p>
    <w:p>
      <w:pPr>
        <w:pStyle w:val="Normal"/>
      </w:pPr>
      <w:r>
        <w:t xml:space="preserve">b) No: lineal sería con flujos constantes.</w:t>
      </w:r>
    </w:p>
    <w:p>
      <w:pPr>
        <w:pStyle w:val="Normal"/>
      </w:pPr>
      <w:r>
        <w:t xml:space="preserve">c) No: no hay una referencia que el stock busque.</w:t>
      </w:r>
    </w:p>
    <w:p>
      <w:pPr>
        <w:pStyle w:val="Normal"/>
      </w:pPr>
      <w:r>
        <w:t xml:space="preserve">d) No: un solo nivel con esos flujos no oscila.</w:t>
      </w:r>
    </w:p>
    <w:p>
      <w:pPr>
        <w:pStyle w:val="Fuente"/>
      </w:pPr>
      <w:r>
        <w:t xml:space="preserve">presentación 4a · pág. 48</w:t>
      </w:r>
    </w:p>
    <w:p>
      <w:pPr>
        <w:pStyle w:val="Heading3"/>
      </w:pPr>
      <w:r>
        <w:t xml:space="preserve">4.5-A10</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a) A las 69,3</w:t>
            </w:r>
          </w:p>
        </w:tc>
      </w:tr>
    </w:tbl>
    <w:p>
      <w:pPr>
        <w:pStyle w:val="Normal"/>
      </w:pPr>
      <w:r>
        <w:t xml:space="preserve">Para un crecimiento exponencial, el tiempo para multiplicar por un factor es ln(factor) / tasa.</w:t>
      </w:r>
    </w:p>
    <w:p>
      <w:pPr>
        <w:pStyle w:val="Normal"/>
      </w:pPr>
      <w:r>
        <w:t xml:space="preserve">a) Correcto: t = ln 2 / 0,01.</w:t>
      </w:r>
    </w:p>
    <w:p>
      <w:pPr>
        <w:pStyle w:val="Normal"/>
      </w:pPr>
      <w:r>
        <w:t xml:space="preserve">b) No: a las 100 horas el stock vale 1000·e ≈ 2718.</w:t>
      </w:r>
    </w:p>
    <w:p>
      <w:pPr>
        <w:pStyle w:val="Normal"/>
      </w:pPr>
      <w:r>
        <w:t xml:space="preserve">c) No: a las 50 horas apenas sube un 65 %.</w:t>
      </w:r>
    </w:p>
    <w:p>
      <w:pPr>
        <w:pStyle w:val="Normal"/>
      </w:pPr>
      <w:r>
        <w:t xml:space="preserve">d) No: a las 230,3 horas se multiplica por diez.</w:t>
      </w:r>
    </w:p>
    <w:p>
      <w:pPr>
        <w:pStyle w:val="Fuente"/>
      </w:pPr>
      <w:r>
        <w:t xml:space="preserve">presentación 4a · pág. 48 · cálculo del portal</w:t>
      </w:r>
    </w:p>
    <w:p>
      <w:pPr>
        <w:pStyle w:val="Heading3"/>
      </w:pPr>
      <w:r>
        <w:t xml:space="preserve">4.5-A11</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a) Por debajo de la referencia: en dos tercios de ella</w:t>
            </w:r>
          </w:p>
        </w:tc>
      </w:tr>
    </w:tbl>
    <w:p>
      <w:pPr>
        <w:pStyle w:val="Normal"/>
      </w:pPr>
      <w:r>
        <w:t xml:space="preserve">En equilibrio 0,2·(R − S) = 0,1·S, así que S = 2R/3. Con R = 5000, unos 3333, como la gráfica.</w:t>
      </w:r>
    </w:p>
    <w:p>
      <w:pPr>
        <w:pStyle w:val="Normal"/>
      </w:pPr>
      <w:r>
        <w:t xml:space="preserve">a) Correcto: la salida permanente obliga a que la entrada siga activa, y para eso tiene que quedar un error.</w:t>
      </w:r>
    </w:p>
    <w:p>
      <w:pPr>
        <w:pStyle w:val="Normal"/>
      </w:pPr>
      <w:r>
        <w:t xml:space="preserve">b) No: eso pasa cuando la salida también depende del error (pág. 51).</w:t>
      </w:r>
    </w:p>
    <w:p>
      <w:pPr>
        <w:pStyle w:val="Normal"/>
      </w:pPr>
      <w:r>
        <w:t xml:space="preserve">c) No: la entrada no lo deja caer.</w:t>
      </w:r>
    </w:p>
    <w:p>
      <w:pPr>
        <w:pStyle w:val="Normal"/>
      </w:pPr>
      <w:r>
        <w:t xml:space="preserve">d) No: converge, como muestra la gráfica.</w:t>
      </w:r>
    </w:p>
    <w:p>
      <w:pPr>
        <w:pStyle w:val="Fuente"/>
      </w:pPr>
      <w:r>
        <w:t xml:space="preserve">presentación 4a · pág. 50 · cálculo del portal</w:t>
      </w:r>
    </w:p>
    <w:p>
      <w:pPr>
        <w:pStyle w:val="Heading3"/>
      </w:pPr>
      <w:r>
        <w:t xml:space="preserve">4.5-A12</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a) De balance</w:t>
            </w:r>
          </w:p>
        </w:tc>
      </w:tr>
    </w:tbl>
    <w:p>
      <w:pPr>
        <w:pStyle w:val="Normal"/>
      </w:pPr>
      <w:r>
        <w:t xml:space="preserve">Instalaciones = 0,09 · (Casas − Casas con teléfono): el nivel se acerca al total sin llegar nunca exactamente.</w:t>
      </w:r>
    </w:p>
    <w:p>
      <w:pPr>
        <w:pStyle w:val="Normal"/>
      </w:pPr>
      <w:r>
        <w:t xml:space="preserve">a) Correcto: más casas con teléfono dejan menos por instalar y la instalación se frena.</w:t>
      </w:r>
    </w:p>
    <w:p>
      <w:pPr>
        <w:pStyle w:val="Normal"/>
      </w:pPr>
      <w:r>
        <w:t xml:space="preserve">b) No: con una tasa fija del 9 %, la influencia de los vecinos no crece con los teléfonos.</w:t>
      </w:r>
    </w:p>
    <w:p>
      <w:pPr>
        <w:pStyle w:val="Normal"/>
      </w:pPr>
      <w:r>
        <w:t xml:space="preserve">c) No: el nivel influye en su propio flujo.</w:t>
      </w:r>
    </w:p>
    <w:p>
      <w:pPr>
        <w:pStyle w:val="Normal"/>
      </w:pPr>
      <w:r>
        <w:t xml:space="preserve">d) No: con la tasa fija sólo actúa el de balance.</w:t>
      </w:r>
    </w:p>
    <w:p>
      <w:pPr>
        <w:pStyle w:val="Fuente"/>
      </w:pPr>
      <w:r>
        <w:t xml:space="preserve">presentación 4a · pág. 37</w:t>
      </w:r>
    </w:p>
    <w:p>
      <w:pPr>
        <w:pStyle w:val="Heading3"/>
      </w:pPr>
      <w:r>
        <w:t xml:space="preserve">4.5-A13</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a) 61</w:t>
            </w:r>
          </w:p>
        </w:tc>
      </w:tr>
    </w:tbl>
    <w:p>
      <w:pPr>
        <w:pStyle w:val="Normal"/>
      </w:pPr>
      <w:r>
        <w:t xml:space="preserve">Las casas sin teléfono bajan un 9 % cada mes: 300·0,91</w:t>
      </w:r>
      <w:r>
        <w:rPr>
          <w:vertAlign w:val="superscript"/>
        </w:rPr>
        <w:t xml:space="preserve">n</w:t>
      </w:r>
      <w:r>
        <w:t xml:space="preserve"> &lt; 1 a partir del mes 61. Con el 4 %, 140 meses; con 500 casas, 66.</w:t>
      </w:r>
    </w:p>
    <w:p>
      <w:pPr>
        <w:pStyle w:val="Normal"/>
      </w:pPr>
      <w:r>
        <w:t xml:space="preserve">a) Correcto, con paso de un mes y el criterio de menos de una casa.</w:t>
      </w:r>
    </w:p>
    <w:p>
      <w:pPr>
        <w:pStyle w:val="Normal"/>
      </w:pPr>
      <w:r>
        <w:t xml:space="preserve">b) No: en un año sólo se cubre dos tercios del residencial.</w:t>
      </w:r>
    </w:p>
    <w:p>
      <w:pPr>
        <w:pStyle w:val="Normal"/>
      </w:pPr>
      <w:r>
        <w:t xml:space="preserve">c) No: no se instala una casa por mes.</w:t>
      </w:r>
    </w:p>
    <w:p>
      <w:pPr>
        <w:pStyle w:val="Normal"/>
      </w:pPr>
      <w:r>
        <w:t xml:space="preserve">d) No: el nivel nunca llega exactamente, por eso hay que fijar un criterio.</w:t>
      </w:r>
    </w:p>
    <w:p>
      <w:pPr>
        <w:pStyle w:val="Fuente"/>
      </w:pPr>
      <w:r>
        <w:t xml:space="preserve">presentación 4a · pág. 37 · cálculo del portal</w:t>
      </w:r>
    </w:p>
    <w:p>
      <w:pPr>
        <w:pStyle w:val="Heading3"/>
      </w:pPr>
      <w:r>
        <w:t xml:space="preserve">4.5-A14</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a) Oscilante</w:t>
            </w:r>
          </w:p>
        </w:tc>
      </w:tr>
    </w:tbl>
    <w:p>
      <w:pPr>
        <w:pStyle w:val="Normal"/>
      </w:pPr>
      <w:r>
        <w:t xml:space="preserve">Presas y depredadores forman un ciclo de balance con demora: el resultado es una oscilación, uno de los siete patrones de la pág. 42.</w:t>
      </w:r>
    </w:p>
    <w:p>
      <w:pPr>
        <w:pStyle w:val="Normal"/>
      </w:pPr>
      <w:r>
        <w:t xml:space="preserve">a) Correcto: suben y bajan una tras otra a lo largo de cien años.</w:t>
      </w:r>
    </w:p>
    <w:p>
      <w:pPr>
        <w:pStyle w:val="Normal"/>
      </w:pPr>
      <w:r>
        <w:t xml:space="preserve">b) No: los depredadores frenan a las presas.</w:t>
      </w:r>
    </w:p>
    <w:p>
      <w:pPr>
        <w:pStyle w:val="Normal"/>
      </w:pPr>
      <w:r>
        <w:t xml:space="preserve">c) No: no se estabilizan en un techo.</w:t>
      </w:r>
    </w:p>
    <w:p>
      <w:pPr>
        <w:pStyle w:val="Normal"/>
      </w:pPr>
      <w:r>
        <w:t xml:space="preserve">d) No: no se extinguen.</w:t>
      </w:r>
    </w:p>
    <w:p>
      <w:pPr>
        <w:pStyle w:val="Fuente"/>
      </w:pPr>
      <w:r>
        <w:t xml:space="preserve">presentación 4a · pág. 55</w:t>
      </w:r>
    </w:p>
    <w:p>
      <w:pPr>
        <w:pStyle w:val="Heading3"/>
      </w:pPr>
      <w:r>
        <w:t xml:space="preserve">4.5-A15</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a) A las 11:59</w:t>
            </w:r>
          </w:p>
        </w:tc>
      </w:tr>
    </w:tbl>
    <w:p>
      <w:pPr>
        <w:pStyle w:val="Normal"/>
      </w:pPr>
      <w:r>
        <w:t xml:space="preserve">Tarda 59 minutos en llenar la mitad y llena la otra mitad en uno: por eso el crecimiento exponencial cuesta tanto de percibir desde dentro.</w:t>
      </w:r>
    </w:p>
    <w:p>
      <w:pPr>
        <w:pStyle w:val="Normal"/>
      </w:pPr>
      <w:r>
        <w:t xml:space="preserve">a) Correcto: si se duplica cada minuto, un minuto antes de llenarse está a la mitad.</w:t>
      </w:r>
    </w:p>
    <w:p>
      <w:pPr>
        <w:pStyle w:val="Normal"/>
      </w:pPr>
      <w:r>
        <w:t xml:space="preserve">b) No: a las 11:30 ocupa menos de una milmillonésima parte de la botella.</w:t>
      </w:r>
    </w:p>
    <w:p>
      <w:pPr>
        <w:pStyle w:val="Normal"/>
      </w:pPr>
      <w:r>
        <w:t xml:space="preserve">c) No: a las 11:45 ocupa menos del 0.01 %.</w:t>
      </w:r>
    </w:p>
    <w:p>
      <w:pPr>
        <w:pStyle w:val="Normal"/>
      </w:pPr>
      <w:r>
        <w:t xml:space="preserve">d) No: a las 11:50 ocupa apenas el 0.1 %.</w:t>
      </w:r>
    </w:p>
    <w:p>
      <w:pPr>
        <w:pStyle w:val="Fuente"/>
      </w:pPr>
      <w:r>
        <w:t xml:space="preserve">video · Universidad de Valladolid, 2.2 · 06:43</w:t>
      </w:r>
    </w:p>
    <w:p>
      <w:pPr>
        <w:pStyle w:val="Heading3"/>
      </w:pPr>
      <w:r>
        <w:t xml:space="preserve">4.5-A16</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a) La velocidad del decrecimiento, no el patrón</w:t>
            </w:r>
          </w:p>
        </w:tc>
      </w:tr>
    </w:tbl>
    <w:p>
      <w:pPr>
        <w:pStyle w:val="Normal"/>
      </w:pPr>
      <w:r>
        <w:t xml:space="preserve">Los parámetros cambian la velocidad; la estructura —un flujo neto proporcional al stock— decide el patrón.</w:t>
      </w:r>
    </w:p>
    <w:p>
      <w:pPr>
        <w:pStyle w:val="Normal"/>
      </w:pPr>
      <w:r>
        <w:t xml:space="preserve">a) Correcto: el arquetipo sigue siendo un decrecimiento exponencial, sólo más rápido.</w:t>
      </w:r>
    </w:p>
    <w:p>
      <w:pPr>
        <w:pStyle w:val="Normal"/>
      </w:pPr>
      <w:r>
        <w:t xml:space="preserve">b) No: mientras el flujo dependa del stock, el decrecimiento es exponencial.</w:t>
      </w:r>
    </w:p>
    <w:p>
      <w:pPr>
        <w:pStyle w:val="Normal"/>
      </w:pPr>
      <w:r>
        <w:t xml:space="preserve">c) No: para oscilar hace falta una demora o dos niveles que se persigan.</w:t>
      </w:r>
    </w:p>
    <w:p>
      <w:pPr>
        <w:pStyle w:val="Normal"/>
      </w:pPr>
      <w:r>
        <w:t xml:space="preserve">d) No: con una tasa neta mayor el stock baja más rápido.</w:t>
      </w:r>
    </w:p>
    <w:p>
      <w:pPr>
        <w:pStyle w:val="Fuente"/>
      </w:pPr>
      <w:r>
        <w:t xml:space="preserve">video · Universidad de Valladolid, 2.2 · 09:49</w:t>
      </w:r>
    </w:p>
    <w:p>
      <w:pPr>
        <w:pStyle w:val="Heading3"/>
      </w:pPr>
      <w:r>
        <w:t xml:space="preserve">4.5-A17</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a) Para impedir que el flujo calculado sea negativo; no establece una cota superior por las existencias</w:t>
            </w:r>
          </w:p>
        </w:tc>
      </w:tr>
    </w:tbl>
    <w:p>
      <w:pPr>
        <w:pStyle w:val="Normal"/>
      </w:pPr>
      <w:r>
        <w:t xml:space="preserve">El video atribuye a MAX un límite por existencias. Matemáticamente, MAX(0, flujo) impide un flujo negativo, pero no que en un paso se extraiga más de lo disponible. Hay que limitar la salida total según el nivel y la duración del paso; la comparación conserva unidades de cantidad/tiempo.</w:t>
      </w:r>
    </w:p>
    <w:p>
      <w:pPr>
        <w:pStyle w:val="Normal"/>
      </w:pPr>
      <w:r>
        <w:t xml:space="preserve">a) Correcto: selecciona el mayor entre cero y el flujo. Para una cota superior por disponibilidad hay que usar otra regla, por ejemplo MIN con existencias/Δt y considerando las demás salidas.</w:t>
      </w:r>
    </w:p>
    <w:p>
      <w:pPr>
        <w:pStyle w:val="Normal"/>
      </w:pPr>
      <w:r>
        <w:t xml:space="preserve">b) No: actúa sobre las muertes de conejos, no compara niveles.</w:t>
      </w:r>
    </w:p>
    <w:p>
      <w:pPr>
        <w:pStyle w:val="Normal"/>
      </w:pPr>
      <w:r>
        <w:t xml:space="preserve">c) No: los zorros mueren por inanición cuando faltan conejos.</w:t>
      </w:r>
    </w:p>
    <w:p>
      <w:pPr>
        <w:pStyle w:val="Normal"/>
      </w:pPr>
      <w:r>
        <w:t xml:space="preserve">d) No: la capacidad de carga limita a los conejos.</w:t>
      </w:r>
    </w:p>
    <w:p>
      <w:pPr>
        <w:pStyle w:val="Fuente"/>
      </w:pPr>
      <w:r>
        <w:t xml:space="preserve">video · Universidad de Valladolid, zorros y conejos · 03:06</w:t>
      </w:r>
    </w:p>
    <w:p>
      <w:pPr>
        <w:pStyle w:val="Heading3"/>
      </w:pPr>
      <w:r>
        <w:t xml:space="preserve">4.5-A18</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d) 27</w:t>
            </w:r>
          </w:p>
        </w:tc>
      </w:tr>
    </w:tbl>
    <w:p>
      <w:pPr>
        <w:pStyle w:val="Normal"/>
      </w:pPr>
      <w:r>
        <w:t xml:space="preserve">El nivel inicial es cero. El motor compartido calcula 0.09 × (300 − 0) = 27 instalaciones en el primer paso mensual; es un cálculo editorial del modelo proporcional.</w:t>
      </w:r>
    </w:p>
    <w:p>
      <w:pPr>
        <w:pStyle w:val="Fuente"/>
      </w:pPr>
      <w:r>
        <w:t xml:space="preserve">Clase 24 · capítulo 10 · /clase-24#cap-10 · pregunta original del portal</w:t>
      </w:r>
    </w:p>
    <w:p>
      <w:pPr>
        <w:pStyle w:val="Heading3"/>
      </w:pPr>
      <w:r>
        <w:t xml:space="preserve">4.5-A19</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a) Que queda menos de una casa por instalar, según el criterio declarado</w:t>
            </w:r>
          </w:p>
        </w:tc>
      </w:tr>
    </w:tbl>
    <w:p>
      <w:pPr>
        <w:pStyle w:val="Normal"/>
      </w:pPr>
      <w:r>
        <w:t xml:space="preserve">La trayectoria proporcional se aproxima al total. El criterio de menos de una casa permite una respuesta operativa; no es una afirmación literal del profesor ni una llegada exacta al total.</w:t>
      </w:r>
    </w:p>
    <w:p>
      <w:pPr>
        <w:pStyle w:val="Fuente"/>
      </w:pPr>
      <w:r>
        <w:t xml:space="preserve">Clase 24 · capítulo 10 · /clase-24#cap-10 · pregunta original del portal</w:t>
      </w:r>
    </w:p>
    <w:p>
      <w:pPr>
        <w:pStyle w:val="Heading3"/>
      </w:pPr>
      <w:r>
        <w:t xml:space="preserve">4.5-A20</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b) Son resultados del modelo proporcional con paso mensual y criterio explícito de cobertura</w:t>
            </w:r>
          </w:p>
        </w:tc>
      </w:tr>
    </w:tbl>
    <w:p>
      <w:pPr>
        <w:pStyle w:val="Normal"/>
      </w:pPr>
      <w:r>
        <w:t xml:space="preserve">El mismo motor genera 61, 140 y 66 meses para los tres escenarios con el criterio de menos de una casa. La alternativa vecinal detallada no tiene ecuaciones completas en la sesión.</w:t>
      </w:r>
    </w:p>
    <w:p>
      <w:pPr>
        <w:pStyle w:val="Fuente"/>
      </w:pPr>
      <w:r>
        <w:t xml:space="preserve">Clase 24 · capítulo 10 · /clase-24#cap-10 · pregunta original del portal</w:t>
      </w:r>
    </w:p>
    <w:p>
      <w:pPr>
        <w:pStyle w:val="Heading3"/>
      </w:pPr>
      <w:r>
        <w:t xml:space="preserve">4.5-A21</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d) 6.25</w:t>
            </w:r>
          </w:p>
        </w:tc>
      </w:tr>
    </w:tbl>
    <w:p>
      <w:pPr>
        <w:pStyle w:val="Normal"/>
      </w:pPr>
      <w:r>
        <w:t xml:space="preserve">Con los datos originales: 20 + 0.75 × (15 − 20) − 0.5 × 20 = 6.25. El laboratorio y esta respuesta usan la misma regla.</w:t>
      </w:r>
    </w:p>
    <w:p>
      <w:pPr>
        <w:pStyle w:val="Fuente"/>
      </w:pPr>
      <w:r>
        <w:t xml:space="preserve">Clase 20 · capítulo 10 · /clase-20#cap-10 · pregunta editorial basada en la sesión</w:t>
      </w:r>
    </w:p>
    <w:p>
      <w:pPr>
        <w:pStyle w:val="Heading3"/>
      </w:pPr>
      <w:r>
        <w:t xml:space="preserve">4.5-A22</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c) 9 libros</w:t>
            </w:r>
          </w:p>
        </w:tc>
      </w:tr>
    </w:tbl>
    <w:p>
      <w:pPr>
        <w:pStyle w:val="Normal"/>
      </w:pPr>
      <w:r>
        <w:t xml:space="preserve">En equilibrio, 0.75 × (15 − L) = 0.5 × L; por tanto L = 9. La lectura de equilibrio es 4.5 por mes.</w:t>
      </w:r>
    </w:p>
    <w:p>
      <w:pPr>
        <w:pStyle w:val="Fuente"/>
      </w:pPr>
      <w:r>
        <w:t xml:space="preserve">Clase 20 · capítulo 10 · /clase-20#cap-10 · pregunta editorial basada en la sesión</w:t>
      </w:r>
    </w:p>
    <w:p>
      <w:pPr>
        <w:pStyle w:val="Heading3"/>
      </w:pPr>
      <w:bookmarkStart w:name="b_solucion_ej_MF10" w:id="4725"/>
      <w:r>
        <w:t xml:space="preserve">Solución 4.5-E1</w:t>
      </w:r>
      <w:bookmarkEnd w:id="4725"/>
    </w:p>
    <w:p>
      <w:pPr>
        <w:pStyle w:val="RecuadroTitulo"/>
      </w:pPr>
      <w:r>
        <w:t xml:space="preserve">Respuesta modelo</w:t>
      </w:r>
    </w:p>
    <w:p>
      <w:pPr>
        <w:pStyle w:val="Normal"/>
      </w:pPr>
      <w:r>
        <w:rPr>
          <w:rFonts w:ascii="Source Code Pro" w:cs="Source Code Pro" w:eastAsia="Source Code Pro" w:hAnsi="Source Code Pro"/>
          <w:sz w:val="18"/>
          <w:szCs w:val="18"/>
        </w:rPr>
        <w:t xml:space="preserve">A = INTEG(B,10)</w:t>
      </w:r>
      <w:r>
        <w:t xml:space="preserve">; </w:t>
      </w:r>
      <w:r>
        <w:rPr>
          <w:rFonts w:ascii="Source Code Pro" w:cs="Source Code Pro" w:eastAsia="Source Code Pro" w:hAnsi="Source Code Pro"/>
          <w:sz w:val="18"/>
          <w:szCs w:val="18"/>
        </w:rPr>
        <w:t xml:space="preserve">C = D − A</w:t>
      </w:r>
      <w:r>
        <w:t xml:space="preserve">. Al final: A = 13 y C = 87 personas. No hay salida descrita. C no es una recuperación ni se resta como flujo; ya refleja el complemento respecto del total.</w:t>
      </w:r>
    </w:p>
    <w:p>
      <w:pPr>
        <w:pStyle w:val="Fuente"/>
      </w:pPr>
      <w:r>
        <w:t xml:space="preserve">Compendio académico del portal; ejercicio editorial.</w:t>
      </w:r>
    </w:p>
    <w:p>
      <w:pPr>
        <w:pStyle w:val="Heading3"/>
      </w:pPr>
      <w:bookmarkStart w:name="b_solucion_ej_MF11" w:id="4726"/>
      <w:r>
        <w:t xml:space="preserve">Solución 4.5-E2</w:t>
      </w:r>
      <w:bookmarkEnd w:id="4726"/>
    </w:p>
    <w:p>
      <w:pPr>
        <w:pStyle w:val="RecuadroTitulo"/>
      </w:pPr>
      <w:r>
        <w:t xml:space="preserve">Respuesta modelo</w:t>
      </w:r>
    </w:p>
    <w:p>
      <w:pPr>
        <w:pStyle w:val="Normal"/>
      </w:pPr>
      <w:r>
        <w:t xml:space="preserve">PV = 90; TC = 3.375 personas/semana. Cambio = 0.84375 personas; PI al final del primer paso = 10.84375. PI crece en S, PV disminuye y TC tiene un pico. Mientras TC siga siendo positivo y no haya salidas, PI sigue aumentando aunque lo haga más lentamente. Fracciones y unidades corresponden al modelo agregado y su configuración.</w:t>
      </w:r>
    </w:p>
    <w:p>
      <w:pPr>
        <w:pStyle w:val="Fuente"/>
      </w:pPr>
      <w:r>
        <w:t xml:space="preserve">Compendio académico del portal; ejercicio editorial.</w:t>
      </w:r>
    </w:p>
    <w:p>
      <w:pPr>
        <w:pStyle w:val="Heading3"/>
      </w:pPr>
      <w:bookmarkStart w:name="b_solucion_ej_MF12" w:id="4727"/>
      <w:r>
        <w:t xml:space="preserve">Solución 4.5-E3</w:t>
      </w:r>
      <w:bookmarkEnd w:id="4727"/>
    </w:p>
    <w:p>
      <w:pPr>
        <w:pStyle w:val="RecuadroTitulo"/>
      </w:pPr>
      <w:r>
        <w:t xml:space="preserve">Respuesta modelo</w:t>
      </w:r>
    </w:p>
    <w:p>
      <w:pPr>
        <w:pStyle w:val="Normal"/>
      </w:pPr>
      <w:r>
        <w:t xml:space="preserve">Original: compras −3.75, lecturas 10 libros/mes; final 6.25. Variante: </w:t>
      </w:r>
      <w:r>
        <w:rPr>
          <w:rFonts w:ascii="Source Code Pro" w:cs="Source Code Pro" w:eastAsia="Source Code Pro" w:hAnsi="Source Code Pro"/>
          <w:sz w:val="18"/>
          <w:szCs w:val="18"/>
        </w:rPr>
        <w:t xml:space="preserve">Compras = 0.75 MAX(0,15 − N)</w:t>
      </w:r>
      <w:r>
        <w:t xml:space="preserve">; compras cero, final diez. Equilibrio nueve libros porque compras y lecturas valen 4.5 libros/mes. Con 15, lectura 7.5 y compra cero: no está en equilibrio. No aceptar una respuesta que presente la variante como si fuera el original.</w:t>
      </w:r>
    </w:p>
    <w:p>
      <w:pPr>
        <w:pStyle w:val="Fuente"/>
      </w:pPr>
      <w:r>
        <w:t xml:space="preserve">Compendio académico del portal; ejercicio editorial.</w:t>
      </w:r>
    </w:p>
    <w:p>
      <w:pPr>
        <w:pStyle w:val="Heading3"/>
      </w:pPr>
      <w:bookmarkStart w:name="b_solucion_ej_MF13" w:id="4728"/>
      <w:r>
        <w:t xml:space="preserve">Solución 4.5-E4</w:t>
      </w:r>
      <w:bookmarkEnd w:id="4728"/>
    </w:p>
    <w:p>
      <w:pPr>
        <w:pStyle w:val="RecuadroTitulo"/>
      </w:pPr>
      <w:r>
        <w:t xml:space="preserve">Respuesta modelo</w:t>
      </w:r>
    </w:p>
    <w:p>
      <w:pPr>
        <w:pStyle w:val="Normal"/>
      </w:pPr>
      <w:r>
        <w:t xml:space="preserve">A 12 meses B, por 3,138.43 &lt; 3,591.71. A 24 meses sin negociar A, por 6,450.20 &lt; 9,849.73. Con negociación B, por 2,563.30 &lt; 3,216.87. Debe mantenerse fijo el criterio y comparar datos del mismo escenario/horizonte.</w:t>
      </w:r>
    </w:p>
    <w:p>
      <w:pPr>
        <w:pStyle w:val="Fuente"/>
      </w:pPr>
      <w:r>
        <w:t xml:space="preserve">Compendio académico del portal; ejercicio editorial.</w:t>
      </w:r>
    </w:p>
    <w:p>
      <w:pPr>
        <w:pStyle w:val="Heading3"/>
      </w:pPr>
      <w:bookmarkStart w:name="b_solucion_ej_MF14" w:id="4729"/>
      <w:r>
        <w:t xml:space="preserve">Solución 4.5-E5</w:t>
      </w:r>
      <w:bookmarkEnd w:id="4729"/>
    </w:p>
    <w:p>
      <w:pPr>
        <w:pStyle w:val="RecuadroTitulo"/>
      </w:pPr>
      <w:r>
        <w:t xml:space="preserve">Respuesta modelo</w:t>
      </w:r>
    </w:p>
    <w:p>
      <w:pPr>
        <w:pStyle w:val="Normal"/>
      </w:pPr>
      <w:r>
        <w:t xml:space="preserve">Mes 1: 27, acumulado 27 y pendientes 273. Mes 2:24.57, acumulado 51.57. Balance: instalados − faltantes + instalaciones + instalados. El acumulado continúa creciendo. Falta un criterio de finalización o una regla discreta para unidades enteras; en el modelo proporcional no se alcanza exactamente cero pendiente en tiempo finito.</w:t>
      </w:r>
    </w:p>
    <w:p>
      <w:pPr>
        <w:pStyle w:val="Fuente"/>
      </w:pPr>
      <w:r>
        <w:t xml:space="preserve">Compendio académico del portal; ejercicio editorial.</w:t>
      </w:r>
    </w:p>
    <w:p>
      <w:pPr>
        <w:pStyle w:val="Heading3"/>
      </w:pPr>
      <w:bookmarkStart w:name="b_solucion_ej_MF15" w:id="4730"/>
      <w:r>
        <w:t xml:space="preserve">Solución 4.5-E6</w:t>
      </w:r>
      <w:bookmarkEnd w:id="4730"/>
    </w:p>
    <w:p>
      <w:pPr>
        <w:pStyle w:val="RecuadroTitulo"/>
      </w:pPr>
      <w:r>
        <w:t xml:space="preserve">Respuesta modelo</w:t>
      </w:r>
    </w:p>
    <w:p>
      <w:pPr>
        <w:pStyle w:val="Normal"/>
      </w:pPr>
      <w:r>
        <w:rPr>
          <w:rFonts w:ascii="Source Code Pro" w:cs="Source Code Pro" w:eastAsia="Source Code Pro" w:hAnsi="Source Code Pro"/>
          <w:sz w:val="18"/>
          <w:szCs w:val="18"/>
        </w:rPr>
        <w:t xml:space="preserve">P = INTEG((0.085P − 0.035P)(1 − P/6000),60)</w:t>
      </w:r>
      <w:r>
        <w:t xml:space="preserve">. Tiende a 6,000 desde 60 con formaS. Aplicar el coeficiente sólo a nacimientos cambia la ecuación; ya no es la formulación de las láminas 28/60. La expresión del lado derecho sin INTEG tiene unidades de flujo neto, no de población.</w:t>
      </w:r>
    </w:p>
    <w:p>
      <w:pPr>
        <w:pStyle w:val="Fuente"/>
      </w:pPr>
      <w:r>
        <w:t xml:space="preserve">Compendio académico del portal; ejercicio editorial.</w:t>
      </w:r>
    </w:p>
    <w:p>
      <w:pPr>
        <w:pStyle w:val="Heading3"/>
      </w:pPr>
      <w:bookmarkStart w:name="b_solucion_ej_MF16" w:id="4731"/>
      <w:r>
        <w:t xml:space="preserve">Solución 4.5-E7</w:t>
      </w:r>
      <w:bookmarkEnd w:id="4731"/>
    </w:p>
    <w:p>
      <w:pPr>
        <w:pStyle w:val="RecuadroTitulo"/>
      </w:pPr>
      <w:r>
        <w:t xml:space="preserve">Respuesta modelo</w:t>
      </w:r>
    </w:p>
    <w:p>
      <w:pPr>
        <w:pStyle w:val="Normal"/>
      </w:pPr>
      <w:r>
        <w:t xml:space="preserve">(a)lineal; (b)S; (c)decrecimiento exponencial; (d)oscilación; (e)sobrepaso y colapso. Una trayectoria no determina una estructura única: diferentes modelos pueden producir curvas parecidas. La explicación debe identificar reglas y dependencias, no sólo asociar una palabra al dibujo.</w:t>
      </w:r>
    </w:p>
    <w:p>
      <w:pPr>
        <w:pStyle w:val="Fuente"/>
      </w:pPr>
      <w:r>
        <w:t xml:space="preserve">Compendio académico del portal; ejercicio editorial.</w:t>
      </w:r>
    </w:p>
    <w:p>
      <w:pPr>
        <w:pStyle w:val="Heading3"/>
      </w:pPr>
      <w:bookmarkStart w:name="b_solucion_ej_MF17" w:id="4732"/>
      <w:r>
        <w:t xml:space="preserve">Solución 4.5-E8</w:t>
      </w:r>
      <w:bookmarkEnd w:id="4732"/>
    </w:p>
    <w:p>
      <w:pPr>
        <w:pStyle w:val="RecuadroTitulo"/>
      </w:pPr>
      <w:r>
        <w:t xml:space="preserve">Respuesta modelo</w:t>
      </w:r>
    </w:p>
    <w:p>
      <w:pPr>
        <w:pStyle w:val="Normal"/>
      </w:pPr>
      <w:r>
        <w:t xml:space="preserve">Sustituir t=0 da 2,000, incompatible con 1,000. Correcta </w:t>
      </w:r>
      <w:r>
        <w:rPr>
          <w:rFonts w:ascii="Source Code Pro" w:cs="Source Code Pro" w:eastAsia="Source Code Pro" w:hAnsi="Source Code Pro"/>
          <w:sz w:val="18"/>
          <w:szCs w:val="18"/>
        </w:rPr>
        <w:t xml:space="preserve">1000e^(0.01t)</w:t>
      </w:r>
      <w:r>
        <w:t xml:space="preserve">. El segundo caso tiene flujo neto 50 t y nivel </w:t>
      </w:r>
      <w:r>
        <w:rPr>
          <w:rFonts w:ascii="Source Code Pro" w:cs="Source Code Pro" w:eastAsia="Source Code Pro" w:hAnsi="Source Code Pro"/>
          <w:sz w:val="18"/>
          <w:szCs w:val="18"/>
        </w:rPr>
        <w:t xml:space="preserve">1000+25t²</w:t>
      </w:r>
      <w:r>
        <w:t xml:space="preserve">, crecimiento cuadrático. Al tiempo 100, la solución continua es 251,000; Euler con paso 1 y evaluación al comienzo da 248,500. No confundir diferencias de método con error de la condición inicial.</w:t>
      </w:r>
    </w:p>
    <w:p>
      <w:pPr>
        <w:pStyle w:val="Fuente"/>
      </w:pPr>
      <w:r>
        <w:t xml:space="preserve">Compendio académico del portal; ejercicio editorial.</w:t>
      </w:r>
    </w:p>
    <w:p>
      <w:pPr>
        <w:pStyle w:val="Heading3"/>
      </w:pPr>
      <w:bookmarkStart w:name="b_solucion_ej_MF20" w:id="4733"/>
      <w:r>
        <w:t xml:space="preserve">Solución 4.5-E9</w:t>
      </w:r>
      <w:bookmarkEnd w:id="4733"/>
    </w:p>
    <w:p>
      <w:pPr>
        <w:pStyle w:val="RecuadroTitulo"/>
      </w:pPr>
      <w:r>
        <w:t xml:space="preserve">Respuesta modelo</w:t>
      </w:r>
    </w:p>
    <w:p>
      <w:pPr>
        <w:pStyle w:val="Normal"/>
      </w:pPr>
      <w:r>
        <w:t xml:space="preserve">Deterioro 10, salida 90, entrada 100 unidades/mes; flujo neto cero; nivel final 200. En 150 se despachan 60 por la condición estricta </w:t>
      </w:r>
      <w:r>
        <w:rPr>
          <w:rFonts w:ascii="Source Code Pro" w:cs="Source Code Pro" w:eastAsia="Source Code Pro" w:hAnsi="Source Code Pro"/>
          <w:sz w:val="18"/>
          <w:szCs w:val="18"/>
        </w:rPr>
        <w:t xml:space="preserve">&gt;150</w:t>
      </w:r>
      <w:r>
        <w:t xml:space="preserve">. La semilla sólo garantiza reproducción dentro del mismo generador/configuración; programas diferentes pueden producir secuencias diferentes.</w:t>
      </w:r>
    </w:p>
    <w:p>
      <w:pPr>
        <w:pStyle w:val="Fuente"/>
      </w:pPr>
      <w:r>
        <w:t xml:space="preserve">Compendio académico del portal; ejercicio editorial.</w:t>
      </w:r>
    </w:p>
    <w:p>
      <w:pPr>
        <w:pStyle w:val="Heading3"/>
      </w:pPr>
      <w:bookmarkStart w:name="b_solucion_ej_MF22" w:id="4734"/>
      <w:r>
        <w:t xml:space="preserve">Solución 4.5-E10</w:t>
      </w:r>
      <w:bookmarkEnd w:id="4734"/>
    </w:p>
    <w:p>
      <w:pPr>
        <w:pStyle w:val="RecuadroTitulo"/>
      </w:pPr>
      <w:r>
        <w:t xml:space="preserve">Respuesta modelo</w:t>
      </w:r>
    </w:p>
    <w:p>
      <w:pPr>
        <w:pStyle w:val="Normal"/>
      </w:pPr>
      <w:r>
        <w:t xml:space="preserve">Más conejos permiten alimentar más zorros; éstos crecen y aumentan depredación; con menos conejos falta alimento y después disminuyen zorros; la menor depredación permite recuperar conejos. Niveles: ambas poblaciones. Flujos: nacimientos y muertes de cada una, incluyendo depredación donde corresponda. Sus ajustes no son instantáneos. La tabla permite una dependencia no proporcional de mortalidad respecto de superpoblación. Si sólo se cuentan adultos, los cachorros deben estar en una etapa de maduración o retardo, sin desaparecer del balance.</w:t>
      </w:r>
    </w:p>
    <w:p>
      <w:pPr>
        <w:pStyle w:val="Fuente"/>
      </w:pPr>
      <w:r>
        <w:t xml:space="preserve">Compendio académico del portal; ejercicio editorial.</w:t>
      </w:r>
    </w:p>
    <w:p>
      <w:pPr>
        <w:pStyle w:val="Heading3"/>
      </w:pPr>
      <w:bookmarkStart w:name="b_solucion_ej_MF23" w:id="4735"/>
      <w:r>
        <w:t xml:space="preserve">Solución 4.5-E11</w:t>
      </w:r>
      <w:bookmarkEnd w:id="4735"/>
    </w:p>
    <w:p>
      <w:pPr>
        <w:pStyle w:val="RecuadroTitulo"/>
      </w:pPr>
      <w:r>
        <w:t xml:space="preserve">Respuesta modelo</w:t>
      </w:r>
    </w:p>
    <w:p>
      <w:pPr>
        <w:pStyle w:val="Normal"/>
      </w:pPr>
      <w:r>
        <w:t xml:space="preserve">El nivel aumenta de 0 a 25 unidades y sus incrementos se reducen. Entradas medias: 10, 7, 5 y 3 unidades/día. Como no hay salidas, coinciden con el flujo neto medio. Su gráfica desciende, mientras el nivel continúa subiendo. Eje vertical del nivel: unidades; del flujo: unidades/día; eje horizontal de ambos: días. Una pendiente menor pero positiva no es una disminución del acumulado.</w:t>
      </w:r>
    </w:p>
    <w:p>
      <w:pPr>
        <w:pStyle w:val="Fuente"/>
      </w:pPr>
      <w:r>
        <w:t xml:space="preserve">Compendio académico del portal; ejercicio editorial.</w:t>
      </w:r>
    </w:p>
    <w:p>
      <w:pPr>
        <w:pStyle w:val="Heading3"/>
      </w:pPr>
      <w:bookmarkStart w:name="b_solucion_ej_MF31" w:id="4736"/>
      <w:r>
        <w:t xml:space="preserve">Solución 4.5-E12</w:t>
      </w:r>
      <w:bookmarkEnd w:id="4736"/>
    </w:p>
    <w:p>
      <w:pPr>
        <w:pStyle w:val="RecuadroTitulo"/>
      </w:pPr>
      <w:r>
        <w:t xml:space="preserve">Respuesta modelo</w:t>
      </w:r>
    </w:p>
    <w:p>
      <w:pPr>
        <w:pStyle w:val="Normal"/>
      </w:pPr>
      <w:r>
        <w:t xml:space="preserve">En discreto, (1.10/1.05)^n = 2, por lo que n = ln(2)/ln(1.10/1.05) ≈ 14.9. A 14 meses B tiene menor deuda; a 15 la menor es A. En continuo, e^(0.05t) = 2 y t = ln(2)/0.05 ≈ 13.86. La acumulación continua y la capitalización mensual generan trayectorias diferentes; hay que declarar la ecuación y el método.</w:t>
      </w:r>
    </w:p>
    <w:p>
      <w:pPr>
        <w:pStyle w:val="Fuente"/>
      </w:pPr>
      <w:r>
        <w:t xml:space="preserve">Presentación 4a, pp. 23 y 34; clase 21; derivación matemática del portal.</w:t>
      </w:r>
    </w:p>
    <w:p>
      <w:pPr>
        <w:pStyle w:val="Heading3"/>
      </w:pPr>
      <w:bookmarkStart w:name="b_solucion_ej_MF32" w:id="4737"/>
      <w:r>
        <w:t xml:space="preserve">Solución 4.5-E13</w:t>
      </w:r>
      <w:bookmarkEnd w:id="4737"/>
    </w:p>
    <w:p>
      <w:pPr>
        <w:pStyle w:val="RecuadroTitulo"/>
      </w:pPr>
      <w:r>
        <w:t xml:space="preserve">Respuesta modelo</w:t>
      </w:r>
    </w:p>
    <w:p>
      <w:pPr>
        <w:pStyle w:val="Normal"/>
      </w:pPr>
      <w:r>
        <w:t xml:space="preserve">Equilibrio 9. Con Δt=1: N1=6.25 y N2=9.6875. El error e=N−9 cumple e_siguiente=(1−1.25Δt)e; el factor −0.25 alterna el signo y reduce la amplitud. La solución continua desciende hacia 9 sin cruzarlo. Con Δt=0.25 el factor es 0.6875: la aproximación desde arriba es monótona. La oscilación mensual procede del paso numérico y no demuestra una demora física del sistema.</w:t>
      </w:r>
    </w:p>
    <w:p>
      <w:pPr>
        <w:pStyle w:val="Fuente"/>
      </w:pPr>
      <w:r>
        <w:t xml:space="preserve">Clase 20; ecuaciones originales de Francisco y análisis Euler del portal.</w:t>
      </w:r>
    </w:p>
    <w:p>
      <w:pPr>
        <w:pStyle w:val="Heading3"/>
      </w:pPr>
      <w:bookmarkStart w:name="b_solucion_ej_MF28" w:id="4738"/>
      <w:r>
        <w:t xml:space="preserve">Solución 4.5-E14</w:t>
      </w:r>
      <w:bookmarkEnd w:id="4738"/>
    </w:p>
    <w:p>
      <w:pPr>
        <w:pStyle w:val="RecuadroTitulo"/>
      </w:pPr>
      <w:r>
        <w:t xml:space="preserve">Respuesta modelo</w:t>
      </w:r>
    </w:p>
    <w:p>
      <w:pPr>
        <w:pStyle w:val="Normal"/>
      </w:pPr>
      <w:r>
        <w:t xml:space="preserve">Mes 1: interés 100, saldo 1000 + 100 − 200 = 900. Mes 2: interés 90, saldo 900 + 90 − 200 = 790. Pagos acumulados 400; pagos más liquidación 1190. La deuda y los pagos acumulados son niveles distintos. En el caso sin pagos sólo se capitalizan intereses. Las reglas de pago de esta variante no fueron fijadas por la clase.</w:t>
      </w:r>
    </w:p>
    <w:p>
      <w:pPr>
        <w:pStyle w:val="Fuente"/>
      </w:pPr>
      <w:r>
        <w:t xml:space="preserve">Clase 21 · dos perspectivas del préstamo; reglas numéricas editoriales declaradas.</w:t>
      </w:r>
    </w:p>
    <w:p>
      <w:pPr>
        <w:pStyle w:val="Heading3"/>
      </w:pPr>
      <w:bookmarkStart w:name="b_solucion_ej_MF29" w:id="4739"/>
      <w:r>
        <w:t xml:space="preserve">Solución 4.5-E15</w:t>
      </w:r>
      <w:bookmarkEnd w:id="4739"/>
    </w:p>
    <w:p>
      <w:pPr>
        <w:pStyle w:val="RecuadroTitulo"/>
      </w:pPr>
      <w:r>
        <w:t xml:space="preserve">Respuesta modelo</w:t>
      </w:r>
    </w:p>
    <w:p>
      <w:pPr>
        <w:pStyle w:val="Normal"/>
      </w:pPr>
      <w:r>
        <w:t xml:space="preserve">Instalados es nivel; instalaciones es flujo; pendientes = total − instalados es auxiliar. El 9 % fijo forma un balance. Hacer depender la contratación de usuarios existentes añade influencia endógena que debe formalizarse. B1/B2 son parámetros en la explicación de clase. Faltan ecuaciones y valores completos para atribuir una corrida al profesor. Bass es una extensión editorial diferente y su pico no está siempre en la mitad del mercado.</w:t>
      </w:r>
    </w:p>
    <w:p>
      <w:pPr>
        <w:pStyle w:val="Fuente"/>
        <w:sectPr>
          <w:headerReference w:type="default" r:id="rId246"/>
          <w:headerReference w:type="first" r:id="rId247"/>
          <w:headerReference w:type="even" r:id="rId248"/>
          <w:footerReference w:type="default" r:id="rId249"/>
          <w:footerReference w:type="first" r:id="rId250"/>
          <w:footerReference w:type="even" r:id="rId251"/>
          <w:type w:val="nextPage"/>
          <w:pgSz w:w="12240" w:h="15840" w:orient="portrait"/>
          <w:pgMar w:top="1361" w:right="1134" w:bottom="1361" w:left="1474" w:header="650" w:footer="680" w:gutter="0"/>
          <w:pgNumType/>
          <w:titlePg/>
          <w:docGrid w:linePitch="360"/>
        </w:sectPr>
      </w:pPr>
      <w:r>
        <w:t xml:space="preserve">Clase 24, capítulos 9–10; presentación 4a, pp. 37 y 60.</w:t>
      </w:r>
    </w:p>
    <w:p>
      <w:pPr>
        <w:pStyle w:val="Heading2"/>
      </w:pPr>
      <w:bookmarkStart w:name="b_4_6" w:id="4740"/>
      <w:r>
        <w:t xml:space="preserve">4.6 · Toma de decisiones</w:t>
      </w:r>
      <w:bookmarkEnd w:id="4740"/>
    </w:p>
    <w:p>
      <w:pPr>
        <w:pStyle w:val="Subtitulo"/>
      </w:pPr>
      <w:r>
        <w:t xml:space="preserve">Toma de decisiones sistémicas</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En una línea</w:t>
            </w:r>
          </w:p>
          <w:p>
            <w:pPr>
              <w:pStyle w:val="Recuadro"/>
            </w:pPr>
            <w:r>
              <w:t xml:space="preserve">Evaluar alternativas, consecuencias y puntos de apalancamiento; aplicar la aproximación sucesiva.</w:t>
            </w:r>
          </w:p>
        </w:tc>
      </w:tr>
    </w:tbl>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Qué te preguntan</w:t>
            </w:r>
          </w:p>
          <w:p>
            <w:pPr>
              <w:pStyle w:val="Recuadro"/>
            </w:pPr>
            <w:r>
              <w:t xml:space="preserve">Evaluar alternativas, consecuencias y puntos de apalancamiento; aplicar la aproximación sucesiva.</w:t>
            </w:r>
          </w:p>
        </w:tc>
      </w:tr>
    </w:tbl>
    <w:p>
      <w:pPr>
        <w:pStyle w:val="Normal"/>
      </w:pPr>
      <w:r>
        <w:t xml:space="preserve">Una decisión sistémica compara consecuencias en el tiempo y actúa sobre la estructura que genera el problema. Un punto de apalancamiento puede producir un cambio duradero; para encontrarlo hay que entender relaciones, restricciones y demoras.</w:t>
      </w:r>
    </w:p>
    <w:p>
      <w:pPr>
        <w:pStyle w:val="Heading3"/>
      </w:pPr>
      <w:r>
        <w:t xml:space="preserve">Vocabulario clave</w:t>
      </w:r>
    </w:p>
    <w:p>
      <w:pPr>
        <w:pStyle w:val="Normal"/>
      </w:pPr>
      <w:r>
        <w:t xml:space="preserve">alternativas · apalancamiento · consecuencias · indicadores · aproximación sucesiva</w:t>
      </w:r>
    </w:p>
    <w:p>
      <w:pPr>
        <w:pStyle w:val="Fuente"/>
      </w:pPr>
      <w:r>
        <w:t xml:space="preserve">Recorrido: desarrollo conceptual → presentaciones → explicación en clase → errores y fuentes → práctica → solucionario.</w:t>
      </w:r>
    </w:p>
    <w:p>
      <w:pPr>
        <w:pStyle w:val="Heading3"/>
      </w:pPr>
      <w:bookmarkStart w:name="b_lectura_d1" w:id="4741"/>
      <w:r>
        <w:t xml:space="preserve">4.6.1. Qué hace sistémica a una decisión</w:t>
      </w:r>
      <w:bookmarkEnd w:id="4741"/>
    </w:p>
    <w:p>
      <w:pPr>
        <w:pStyle w:val="Normal"/>
      </w:pPr>
      <w:r>
        <w:t xml:space="preserve">Una decisión sistémica considera la estructura de relaciones que produce el comportamiento observado, las perspectivas de los involucrados y las consecuencias en el tiempo. No basta encontrar a una persona culpable ni hacer una lista de problemas aislados. La pregunta cambia de «¿cuál fue la causa inmediata?» a «¿qué sistema de relaciones sigue produciendo este resultado?». Investigar una causa inmediata puede ayudar; el error es detenerse allí cuando el problema se reproduce mediante realimentación.</w:t>
      </w:r>
    </w:p>
    <w:p>
      <w:pPr>
        <w:pStyle w:val="Normal"/>
      </w:pPr>
      <w:r>
        <w:t xml:space="preserve">Antes de elegir, declarar: problema o patrón que se quiere modificar, objetivo, criterio de comparación, restricciones, horizonte temporal, alternativas, supuestos y evidencia. Por ejemplo, una biblioteca pretende reducir el tiempo de atención sin aumentar errores. «Atender más rápido» y «cerrar más solicitudes» no son criterios equivalentes a resolver correctamente los problemas.</w:t>
      </w:r>
    </w:p>
    <w:p>
      <w:pPr>
        <w:pStyle w:val="Normal"/>
      </w:pPr>
      <w:r>
        <w:t xml:space="preserve">Un recorrido práctico es: observar el patrón → modelar relaciones y demoras → comparar alternativas → elegir dónde intervenir → anticipar consecuencias → actuar → medir → ajustar. Es una síntesis didáctica, no una nueva lista oficial de etapas. Las cuatro etapas oficiales se explican en 4.7.</w:t>
      </w:r>
    </w:p>
    <w:p>
      <w:pPr>
        <w:pStyle w:val="Normal"/>
      </w:pPr>
      <w:r>
        <w:rPr>
          <w:b/>
          <w:bCs/>
        </w:rPr>
        <w:t xml:space="preserve">Corto y largo plazo.</w:t>
      </w:r>
      <w:r>
        <w:t xml:space="preserve"> Una acción puede ser beneficiosa hoy y perjudicial después. Las horas extra pueden reducir un atraso hoy, pero, sostenidas, generar cansancio, errores y retrabajo. Tampoco toda consecuencia tardía es negativa: capacitar puede consumir tiempo inicialmente y reducir problemas después. Anticipar consecuencias mejora la decisión y reduce sorpresas; no elimina la incertidumbre.</w:t>
      </w:r>
    </w:p>
    <w:p>
      <w:pPr>
        <w:pStyle w:val="Normal"/>
      </w:pPr>
      <w:r>
        <w:rPr>
          <w:b/>
          <w:bCs/>
        </w:rPr>
        <w:t xml:space="preserve">Consecuencia no deseada</w:t>
      </w:r>
      <w:r>
        <w:t xml:space="preserve"> es un efecto que no se buscaba; puede haberse previsto. </w:t>
      </w:r>
      <w:r>
        <w:rPr>
          <w:b/>
          <w:bCs/>
        </w:rPr>
        <w:t xml:space="preserve">Consecuencia inesperada</w:t>
      </w:r>
      <w:r>
        <w:t xml:space="preserve"> es un efecto que no se anticipó. Conviene no tratarlas como sinónimos exactos aunque aparezcan juntas en los materiales. Preguntar quién será afectado, qué puede ocurrir favorable o desfavorablemente y cómo interpretarán la medida otras personas.</w:t>
      </w:r>
    </w:p>
    <w:p>
      <w:pPr>
        <w:pStyle w:val="Heading3"/>
      </w:pPr>
      <w:bookmarkStart w:name="b_lectura_d2" w:id="4742"/>
      <w:r>
        <w:t xml:space="preserve">4.6.2. Ventajas, desventajas y escenarios: Judy y María</w:t>
      </w:r>
      <w:bookmarkEnd w:id="4742"/>
    </w:p>
    <w:p>
      <w:pPr>
        <w:pStyle w:val="Normal"/>
      </w:pPr>
      <w:r>
        <w:t xml:space="preserve">En la presentación 4b, pp. 8–9, Judy considera contratar a su amiga María. Entre las ventajas propuestas figuran habilidades pertinentes, experiencia, aprendizaje rápido y trabajo en equipo. Entre los riesgos aparecen la percepción de favoritismo, la expectativa de recibir trato especial y suponer que la aceptación personal de Judy será compartida por todos.</w:t>
      </w:r>
    </w:p>
    <w:p>
      <w:pPr>
        <w:pStyle w:val="Normal"/>
      </w:pPr>
      <w:r>
        <w:t xml:space="preserve">Una </w:t>
      </w:r>
      <w:r>
        <w:rPr>
          <w:b/>
          <w:bCs/>
        </w:rPr>
        <w:t xml:space="preserve">tabla de ventajas y desventajas</w:t>
      </w:r>
      <w:r>
        <w:t xml:space="preserve"> organiza valoraciones de una alternativa. Un </w:t>
      </w:r>
      <w:r>
        <w:rPr>
          <w:b/>
          <w:bCs/>
        </w:rPr>
        <w:t xml:space="preserve">escenario</w:t>
      </w:r>
      <w:r>
        <w:t xml:space="preserve"> explora qué podría pasar si se cumple cierta condición. Ejemplos de preguntas de la presentación, resumidas: ¿cómo actuaría Judy si María rinde poco?, ¿cómo daría instrucciones o retroalimentación?, ¿qué pasaría con la amistad si tuviera que despedirla?, ¿cómo reaccionarían los otros empleados?, ¿convendría revelar la relación personal al comité de contratación?</w:t>
      </w:r>
    </w:p>
    <w:p>
      <w:pPr>
        <w:pStyle w:val="Normal"/>
      </w:pPr>
      <w:r>
        <w:t xml:space="preserve">No se deduce automáticamente «contratar» o «no contratar». Se necesitan criterios, evidencia y reglas claras para evaluar capacidad, conflictos y trato justo. «María tiene experiencia» es una ventaja propuesta; «¿qué ocurriría si su desempeño fuera insuficiente?» es una pregunta de escenario. Una afirmación del caso, como que a todos les agradará, puede contener una suposición que necesita comprobarse.</w:t>
      </w:r>
    </w:p>
    <w:p>
      <w:pPr>
        <w:pStyle w:val="Heading3"/>
      </w:pPr>
      <w:bookmarkStart w:name="b_lectura_d3" w:id="4743"/>
      <w:r>
        <w:t xml:space="preserve">4.6.3. Apalancamiento: punto, acción y efecto</w:t>
      </w:r>
      <w:bookmarkEnd w:id="4743"/>
    </w:p>
    <w:p>
      <w:pPr>
        <w:pStyle w:val="Normal"/>
      </w:pPr>
      <w:r>
        <w:t xml:space="preserve">Un </w:t>
      </w:r>
      <w:r>
        <w:rPr>
          <w:b/>
          <w:bCs/>
        </w:rPr>
        <w:t xml:space="preserve">punto de apalancamiento</w:t>
      </w:r>
      <w:r>
        <w:t xml:space="preserve"> es un lugar o aspecto de la estructura donde una intervención puede producir cambios significativos en el comportamiento del sistema. La </w:t>
      </w:r>
      <w:r>
        <w:rPr>
          <w:b/>
          <w:bCs/>
        </w:rPr>
        <w:t xml:space="preserve">acción</w:t>
      </w:r>
      <w:r>
        <w:t xml:space="preserve"> es lo que se hace allí; el </w:t>
      </w:r>
      <w:r>
        <w:rPr>
          <w:b/>
          <w:bCs/>
        </w:rPr>
        <w:t xml:space="preserve">efecto</w:t>
      </w:r>
      <w:r>
        <w:t xml:space="preserve"> es la propagación de consecuencias por las relaciones del sistema. No basta decir que la acción es pequeña: explicar por qué influye, qué cambia, cuándo deberían aparecer resultados y cómo se comprobarán.</w:t>
      </w:r>
    </w:p>
    <w:p>
      <w:pPr>
        <w:pStyle w:val="Normal"/>
      </w:pPr>
      <w:r>
        <w:t xml:space="preserve">Ejemplos del material:</w:t>
      </w:r>
    </w:p>
    <w:p>
      <w:pPr>
        <w:pStyle w:val="Normal"/>
        <w:numPr>
          <w:ilvl w:val="0"/>
          <w:numId w:val="2"/>
        </w:numPr>
      </w:pPr>
      <w:r>
        <w:rPr>
          <w:b/>
          <w:bCs/>
        </w:rPr>
        <w:t xml:space="preserve">Pesca:</w:t>
      </w:r>
      <w:r>
        <w:t xml:space="preserve"> la posición del apoyo, la caña y las fuerzas hacen posible contrarrestar la fuerza del pez; es una analogía del efecto palanca.</w:t>
      </w:r>
    </w:p>
    <w:p>
      <w:pPr>
        <w:pStyle w:val="Normal"/>
        <w:numPr>
          <w:ilvl w:val="0"/>
          <w:numId w:val="2"/>
        </w:numPr>
      </w:pPr>
      <w:r>
        <w:rPr>
          <w:b/>
          <w:bCs/>
        </w:rPr>
        <w:t xml:space="preserve">Aguja en un pajar:</w:t>
      </w:r>
      <w:r>
        <w:t xml:space="preserve"> conocer que la aguja puede ser atraída por un imán permite cambiar la estrategia de búsqueda. La utilidad depende de esa propiedad; no cualquier material responde al imán.</w:t>
      </w:r>
    </w:p>
    <w:p>
      <w:pPr>
        <w:pStyle w:val="Normal"/>
        <w:numPr>
          <w:ilvl w:val="0"/>
          <w:numId w:val="2"/>
        </w:numPr>
      </w:pPr>
      <w:r>
        <w:rPr>
          <w:b/>
          <w:bCs/>
        </w:rPr>
        <w:t xml:space="preserve">Biblioteca del ejemplo:</w:t>
      </w:r>
      <w:r>
        <w:t xml:space="preserve"> sustituir tres registros repetidos por uno compartido actúa sobre la duplicación que genera trabajo y errores. La medida debe evaluarse: centralizar también puede introducir nuevos errores o dificultades si se diseña mal.</w:t>
      </w:r>
    </w:p>
    <w:p>
      <w:pPr>
        <w:pStyle w:val="Normal"/>
      </w:pPr>
      <w:r>
        <w:t xml:space="preserve">Comprender antes de actuar no significa posponer indefinidamente. El hábito pide dedicar el tiempo necesario y proporcional al problema, manejar la tensión de no obtener una solución instantánea y reunir evidencia útil.</w:t>
      </w:r>
    </w:p>
    <w:p>
      <w:pPr>
        <w:pStyle w:val="Normal"/>
      </w:pPr>
      <w:r>
        <w:rPr>
          <w:b/>
          <w:bCs/>
        </w:rPr>
        <w:t xml:space="preserve">Efecto dominó, eficiencia y efectividad.</w:t>
      </w:r>
      <w:r>
        <w:t xml:space="preserve"> La presentación 4b, pp. 13–14, advierte que una intervención puede desencadenar efectos conectados que una mirada aislada no reconoce. Una reacción en cadena no demuestra por sí sola un ciclo: para hablar de retroalimentación debe volver a influir en una variable anterior. La eficiencia compara resultados y recursos utilizados; la efectividad pregunta si se obtiene el resultado buscado. Resolver muchas solicitudes rápidamente puede ser eficiente según una medida de tiempo, pero no efectivo si quedan mal resueltas. El enfoque sistémico busca comprender lo suficiente para actuar bien, sin prolongar innecesariamente el análisis.</w:t>
      </w:r>
    </w:p>
    <w:p>
      <w:pPr>
        <w:pStyle w:val="Normal"/>
      </w:pPr>
      <w:r>
        <w:rPr>
          <w:b/>
          <w:bCs/>
        </w:rPr>
        <w:t xml:space="preserve">Qué dificulta hallar una buena palanca.</w:t>
      </w:r>
      <w:r>
        <w:t xml:space="preserve"> Según las pp. 25–29, hay que comprender la estructura y explorar opciones. Fijarse únicamente en el síntoma más visible, desconocer las conexiones o limitarse a una solución habitual puede ocultar intervenciones útiles. Un diagrama ayuda a examinar esas relaciones. Los puntos de apalancamiento no siempre son intuitivos; incluso una intervención intuitivamente atractiva puede actuar en la dirección equivocada. Acceso a información y alternativas, contraste de supuestos y pruebas de consecuencias ayudan a justificar la elección. No confundir «me parece evidente» con una explicación del mecanismo.</w:t>
      </w:r>
    </w:p>
    <w:p>
      <w:pPr>
        <w:pStyle w:val="Heading3"/>
      </w:pPr>
      <w:bookmarkStart w:name="b_lectura_d4" w:id="4744"/>
      <w:r>
        <w:t xml:space="preserve">4.6.4. Caso XYZ: ampliar la perspectiva</w:t>
      </w:r>
      <w:bookmarkEnd w:id="4744"/>
    </w:p>
    <w:p>
      <w:pPr>
        <w:pStyle w:val="Normal"/>
      </w:pPr>
      <w:r>
        <w:t xml:space="preserve">Presentación 4b, p. 28; clase 23, 00:22:30–00:43:44. XYZ necesita bajar costos conservando la fabricación en su país de origen. Las alternativas se valoran dentro de esas restricciones:</w:t>
      </w:r>
    </w:p>
    <w:tbl>
      <w:tblPr>
        <w:tblW w:type="dxa" w:w="9632"/>
        <w:tblBorders>
          <w:top w:val="single" w:color="C5D5DB" w:sz="4"/>
          <w:left w:val="single" w:color="C5D5DB" w:sz="4"/>
          <w:bottom w:val="single" w:color="C5D5DB" w:sz="4"/>
          <w:right w:val="single" w:color="C5D5DB" w:sz="4"/>
          <w:insideH w:val="single" w:color="E4E9EB" w:sz="3"/>
          <w:insideV w:val="single" w:color="E4E9EB" w:sz="3"/>
        </w:tblBorders>
        <w:tblLayout w:type="fixed"/>
      </w:tblPr>
      <w:tblGrid>
        <w:gridCol w:w="3212"/>
        <w:gridCol w:w="3210"/>
        <w:gridCol w:w="3210"/>
      </w:tblGrid>
      <w:tr>
        <w:trPr>
          <w:cantSplit/>
          <w:tblHeader/>
        </w:trPr>
        <w:tc>
          <w:tcPr>
            <w:tcW w:type="dxa" w:w="3212"/>
            <w:shd w:fill="DFEAF0" w:val="clear"/>
            <w:tcMar>
              <w:top w:type="dxa" w:w="80"/>
              <w:left w:type="dxa" w:w="100"/>
              <w:bottom w:type="dxa" w:w="80"/>
              <w:right w:type="dxa" w:w="100"/>
            </w:tcMar>
          </w:tcPr>
          <w:p>
            <w:pPr>
              <w:pStyle w:val="Tabla"/>
            </w:pPr>
            <w:r>
              <w:rPr>
                <w:b/>
                <w:bCs/>
              </w:rPr>
              <w:t xml:space="preserve">Propuesta</w:t>
            </w:r>
          </w:p>
        </w:tc>
        <w:tc>
          <w:tcPr>
            <w:tcW w:type="dxa" w:w="3210"/>
            <w:shd w:fill="DFEAF0" w:val="clear"/>
            <w:tcMar>
              <w:top w:type="dxa" w:w="80"/>
              <w:left w:type="dxa" w:w="100"/>
              <w:bottom w:type="dxa" w:w="80"/>
              <w:right w:type="dxa" w:w="100"/>
            </w:tcMar>
          </w:tcPr>
          <w:p>
            <w:pPr>
              <w:pStyle w:val="Tabla"/>
            </w:pPr>
            <w:r>
              <w:rPr>
                <w:b/>
                <w:bCs/>
              </w:rPr>
              <w:t xml:space="preserve">Posible beneficio</w:t>
            </w:r>
          </w:p>
        </w:tc>
        <w:tc>
          <w:tcPr>
            <w:tcW w:type="dxa" w:w="3210"/>
            <w:shd w:fill="DFEAF0" w:val="clear"/>
            <w:tcMar>
              <w:top w:type="dxa" w:w="80"/>
              <w:left w:type="dxa" w:w="100"/>
              <w:bottom w:type="dxa" w:w="80"/>
              <w:right w:type="dxa" w:w="100"/>
            </w:tcMar>
          </w:tcPr>
          <w:p>
            <w:pPr>
              <w:pStyle w:val="Tabla"/>
            </w:pPr>
            <w:r>
              <w:rPr>
                <w:b/>
                <w:bCs/>
              </w:rPr>
              <w:t xml:space="preserve">Limitación o consecuencia considerada</w:t>
            </w:r>
          </w:p>
        </w:tc>
      </w:tr>
      <w:tr>
        <w:trPr>
          <w:cantSplit/>
          <w:tblHeader w:val="off"/>
        </w:trPr>
        <w:tc>
          <w:tcPr>
            <w:tcW w:type="dxa" w:w="3212"/>
            <w:tcMar>
              <w:top w:type="dxa" w:w="80"/>
              <w:left w:type="dxa" w:w="100"/>
              <w:bottom w:type="dxa" w:w="80"/>
              <w:right w:type="dxa" w:w="100"/>
            </w:tcMar>
          </w:tcPr>
          <w:p>
            <w:pPr>
              <w:pStyle w:val="Tabla"/>
            </w:pPr>
            <w:r>
              <w:t xml:space="preserve">Suzanne: automatización avanzada</w:t>
            </w:r>
          </w:p>
        </w:tc>
        <w:tc>
          <w:tcPr>
            <w:tcW w:type="dxa" w:w="3210"/>
            <w:tcMar>
              <w:top w:type="dxa" w:w="80"/>
              <w:left w:type="dxa" w:w="100"/>
              <w:bottom w:type="dxa" w:w="80"/>
              <w:right w:type="dxa" w:w="100"/>
            </w:tcMar>
          </w:tcPr>
          <w:p>
            <w:pPr>
              <w:pStyle w:val="Tabla"/>
            </w:pPr>
            <w:r>
              <w:t xml:space="preserve">Reducir costos de mano de obra</w:t>
            </w:r>
          </w:p>
        </w:tc>
        <w:tc>
          <w:tcPr>
            <w:tcW w:type="dxa" w:w="3210"/>
            <w:tcMar>
              <w:top w:type="dxa" w:w="80"/>
              <w:left w:type="dxa" w:w="100"/>
              <w:bottom w:type="dxa" w:w="80"/>
              <w:right w:type="dxa" w:w="100"/>
            </w:tcMar>
          </w:tcPr>
          <w:p>
            <w:pPr>
              <w:pStyle w:val="Tabla"/>
            </w:pPr>
            <w:r>
              <w:t xml:space="preserve">Inversión inicial que la empresa no tiene; efectos de los despidos sobre el personal.</w:t>
            </w:r>
          </w:p>
        </w:tc>
      </w:tr>
      <w:tr>
        <w:trPr>
          <w:cantSplit/>
          <w:tblHeader w:val="off"/>
        </w:trPr>
        <w:tc>
          <w:tcPr>
            <w:tcW w:type="dxa" w:w="3212"/>
            <w:tcMar>
              <w:top w:type="dxa" w:w="80"/>
              <w:left w:type="dxa" w:w="100"/>
              <w:bottom w:type="dxa" w:w="80"/>
              <w:right w:type="dxa" w:w="100"/>
            </w:tcMar>
          </w:tcPr>
          <w:p>
            <w:pPr>
              <w:pStyle w:val="Tabla"/>
            </w:pPr>
            <w:r>
              <w:t xml:space="preserve">Gabe: reducir tiempo de producción</w:t>
            </w:r>
          </w:p>
        </w:tc>
        <w:tc>
          <w:tcPr>
            <w:tcW w:type="dxa" w:w="3210"/>
            <w:tcMar>
              <w:top w:type="dxa" w:w="80"/>
              <w:left w:type="dxa" w:w="100"/>
              <w:bottom w:type="dxa" w:w="80"/>
              <w:right w:type="dxa" w:w="100"/>
            </w:tcMar>
          </w:tcPr>
          <w:p>
            <w:pPr>
              <w:pStyle w:val="Tabla"/>
            </w:pPr>
            <w:r>
              <w:t xml:space="preserve">Menor costo de producción</w:t>
            </w:r>
          </w:p>
        </w:tc>
        <w:tc>
          <w:tcPr>
            <w:tcW w:type="dxa" w:w="3210"/>
            <w:tcMar>
              <w:top w:type="dxa" w:w="80"/>
              <w:left w:type="dxa" w:w="100"/>
              <w:bottom w:type="dxa" w:w="80"/>
              <w:right w:type="dxa" w:w="100"/>
            </w:tcMar>
          </w:tcPr>
          <w:p>
            <w:pPr>
              <w:pStyle w:val="Tabla"/>
            </w:pPr>
            <w:r>
              <w:t xml:space="preserve">Apresurar el trabajo puede aumentar defectos y perjudicar la calidad.</w:t>
            </w:r>
          </w:p>
        </w:tc>
      </w:tr>
      <w:tr>
        <w:trPr>
          <w:cantSplit/>
          <w:tblHeader w:val="off"/>
        </w:trPr>
        <w:tc>
          <w:tcPr>
            <w:tcW w:type="dxa" w:w="3212"/>
            <w:tcMar>
              <w:top w:type="dxa" w:w="80"/>
              <w:left w:type="dxa" w:w="100"/>
              <w:bottom w:type="dxa" w:w="80"/>
              <w:right w:type="dxa" w:w="100"/>
            </w:tcMar>
          </w:tcPr>
          <w:p>
            <w:pPr>
              <w:pStyle w:val="Tabla"/>
            </w:pPr>
            <w:r>
              <w:t xml:space="preserve">Héctor: materiales menos costosos</w:t>
            </w:r>
          </w:p>
        </w:tc>
        <w:tc>
          <w:tcPr>
            <w:tcW w:type="dxa" w:w="3210"/>
            <w:tcMar>
              <w:top w:type="dxa" w:w="80"/>
              <w:left w:type="dxa" w:w="100"/>
              <w:bottom w:type="dxa" w:w="80"/>
              <w:right w:type="dxa" w:w="100"/>
            </w:tcMar>
          </w:tcPr>
          <w:p>
            <w:pPr>
              <w:pStyle w:val="Tabla"/>
            </w:pPr>
            <w:r>
              <w:t xml:space="preserve">Reducir gasto en insumos</w:t>
            </w:r>
          </w:p>
        </w:tc>
        <w:tc>
          <w:tcPr>
            <w:tcW w:type="dxa" w:w="3210"/>
            <w:tcMar>
              <w:top w:type="dxa" w:w="80"/>
              <w:left w:type="dxa" w:w="100"/>
              <w:bottom w:type="dxa" w:w="80"/>
              <w:right w:type="dxa" w:w="100"/>
            </w:tcMar>
          </w:tcPr>
          <w:p>
            <w:pPr>
              <w:pStyle w:val="Tabla"/>
            </w:pPr>
            <w:r>
              <w:t xml:space="preserve">Riesgo de deteriorar la calidad del producto.</w:t>
            </w:r>
          </w:p>
        </w:tc>
      </w:tr>
      <w:tr>
        <w:trPr>
          <w:cantSplit/>
          <w:tblHeader w:val="off"/>
        </w:trPr>
        <w:tc>
          <w:tcPr>
            <w:tcW w:type="dxa" w:w="3212"/>
            <w:tcMar>
              <w:top w:type="dxa" w:w="80"/>
              <w:left w:type="dxa" w:w="100"/>
              <w:bottom w:type="dxa" w:w="80"/>
              <w:right w:type="dxa" w:w="100"/>
            </w:tcMar>
          </w:tcPr>
          <w:p>
            <w:pPr>
              <w:pStyle w:val="Tabla"/>
            </w:pPr>
            <w:r>
              <w:t xml:space="preserve">Daniel: eliminar pasos innecesarios y revisar empaque/distribución</w:t>
            </w:r>
          </w:p>
        </w:tc>
        <w:tc>
          <w:tcPr>
            <w:tcW w:type="dxa" w:w="3210"/>
            <w:tcMar>
              <w:top w:type="dxa" w:w="80"/>
              <w:left w:type="dxa" w:w="100"/>
              <w:bottom w:type="dxa" w:w="80"/>
              <w:right w:type="dxa" w:w="100"/>
            </w:tcMar>
          </w:tcPr>
          <w:p>
            <w:pPr>
              <w:pStyle w:val="Tabla"/>
            </w:pPr>
            <w:r>
              <w:t xml:space="preserve">Reducir costos posteriores a la fabricación</w:t>
            </w:r>
          </w:p>
        </w:tc>
        <w:tc>
          <w:tcPr>
            <w:tcW w:type="dxa" w:w="3210"/>
            <w:tcMar>
              <w:top w:type="dxa" w:w="80"/>
              <w:left w:type="dxa" w:w="100"/>
              <w:bottom w:type="dxa" w:w="80"/>
              <w:right w:type="dxa" w:w="100"/>
            </w:tcMar>
          </w:tcPr>
          <w:p>
            <w:pPr>
              <w:pStyle w:val="Tabla"/>
            </w:pPr>
            <w:r>
              <w:t xml:space="preserve">Investigar materiales y procesos que sigan protegiendo el producto y mantengan las entregas.</w:t>
            </w:r>
          </w:p>
        </w:tc>
      </w:tr>
    </w:tbl>
    <w:p>
      <w:pPr>
        <w:pStyle w:val="Normal"/>
      </w:pPr>
      <w:r>
        <w:t xml:space="preserve">El caso adopta la propuesta de Daniel porque permite reducir costos sin los efectos problemáticos de las otras opciones en ese contexto. Su aporte es observar también la postproducción, no limitarse al proceso de fabricación. No es una regla universal de que el empaque sea siempre la mejor palanca ni de que todo material barato tenga mala calidad. La conclusión depende de las condiciones y comprobaciones del caso.</w:t>
      </w:r>
    </w:p>
    <w:p>
      <w:pPr>
        <w:pStyle w:val="Heading3"/>
      </w:pPr>
      <w:bookmarkStart w:name="b_lectura_d5" w:id="4745"/>
      <w:r>
        <w:t xml:space="preserve">4.6.5. Los doce lugares de intervención de Meadows</w:t>
      </w:r>
      <w:bookmarkEnd w:id="4745"/>
    </w:p>
    <w:p>
      <w:pPr>
        <w:pStyle w:val="Normal"/>
      </w:pPr>
      <w:r>
        <w:t xml:space="preserve">Presentación 4b, p. 29; clase 23, 00:44:32–00:56:56. Se presentan del </w:t>
      </w:r>
      <w:r>
        <w:rPr>
          <w:b/>
          <w:bCs/>
        </w:rPr>
        <w:t xml:space="preserve">12 al 1</w:t>
      </w:r>
      <w:r>
        <w:t xml:space="preserve">, en orden creciente de potencial de apalancamiento. La clase introduce la lista y algunos ejemplos, pero no desarrolla oralmente cada punto; el listado completo procede de la presentación. Los ejemplos siguientes de biblioteca son adaptaciones para estudiar.</w:t>
      </w:r>
    </w:p>
    <w:tbl>
      <w:tblPr>
        <w:tblW w:type="dxa" w:w="9632"/>
        <w:tblBorders>
          <w:top w:val="single" w:color="C5D5DB" w:sz="4"/>
          <w:left w:val="single" w:color="C5D5DB" w:sz="4"/>
          <w:bottom w:val="single" w:color="C5D5DB" w:sz="4"/>
          <w:right w:val="single" w:color="C5D5DB" w:sz="4"/>
          <w:insideH w:val="single" w:color="E4E9EB" w:sz="3"/>
          <w:insideV w:val="single" w:color="E4E9EB" w:sz="3"/>
        </w:tblBorders>
        <w:tblLayout w:type="fixed"/>
      </w:tblPr>
      <w:tblGrid>
        <w:gridCol w:w="3212"/>
        <w:gridCol w:w="3210"/>
        <w:gridCol w:w="3210"/>
      </w:tblGrid>
      <w:tr>
        <w:trPr>
          <w:cantSplit/>
          <w:tblHeader/>
        </w:trPr>
        <w:tc>
          <w:tcPr>
            <w:tcW w:type="dxa" w:w="3212"/>
            <w:shd w:fill="DFEAF0" w:val="clear"/>
            <w:tcMar>
              <w:top w:type="dxa" w:w="80"/>
              <w:left w:type="dxa" w:w="100"/>
              <w:bottom w:type="dxa" w:w="80"/>
              <w:right w:type="dxa" w:w="100"/>
            </w:tcMar>
          </w:tcPr>
          <w:p>
            <w:pPr>
              <w:pStyle w:val="Tabla"/>
            </w:pPr>
            <w:r>
              <w:rPr>
                <w:b/>
                <w:bCs/>
              </w:rPr>
              <w:t xml:space="preserve">N.º</w:t>
            </w:r>
          </w:p>
        </w:tc>
        <w:tc>
          <w:tcPr>
            <w:tcW w:type="dxa" w:w="3210"/>
            <w:shd w:fill="DFEAF0" w:val="clear"/>
            <w:tcMar>
              <w:top w:type="dxa" w:w="80"/>
              <w:left w:type="dxa" w:w="100"/>
              <w:bottom w:type="dxa" w:w="80"/>
              <w:right w:type="dxa" w:w="100"/>
            </w:tcMar>
          </w:tcPr>
          <w:p>
            <w:pPr>
              <w:pStyle w:val="Tabla"/>
            </w:pPr>
            <w:r>
              <w:rPr>
                <w:b/>
                <w:bCs/>
              </w:rPr>
              <w:t xml:space="preserve">Lugar donde intervenir</w:t>
            </w:r>
          </w:p>
        </w:tc>
        <w:tc>
          <w:tcPr>
            <w:tcW w:type="dxa" w:w="3210"/>
            <w:shd w:fill="DFEAF0" w:val="clear"/>
            <w:tcMar>
              <w:top w:type="dxa" w:w="80"/>
              <w:left w:type="dxa" w:w="100"/>
              <w:bottom w:type="dxa" w:w="80"/>
              <w:right w:type="dxa" w:w="100"/>
            </w:tcMar>
          </w:tcPr>
          <w:p>
            <w:pPr>
              <w:pStyle w:val="Tabla"/>
            </w:pPr>
            <w:r>
              <w:rPr>
                <w:b/>
                <w:bCs/>
              </w:rPr>
              <w:t xml:space="preserve">Significado y ejemplo</w:t>
            </w:r>
          </w:p>
        </w:tc>
      </w:tr>
      <w:tr>
        <w:trPr>
          <w:cantSplit/>
          <w:tblHeader w:val="off"/>
        </w:trPr>
        <w:tc>
          <w:tcPr>
            <w:tcW w:type="dxa" w:w="3212"/>
            <w:tcMar>
              <w:top w:type="dxa" w:w="80"/>
              <w:left w:type="dxa" w:w="100"/>
              <w:bottom w:type="dxa" w:w="80"/>
              <w:right w:type="dxa" w:w="100"/>
            </w:tcMar>
          </w:tcPr>
          <w:p>
            <w:pPr>
              <w:pStyle w:val="Tabla"/>
            </w:pPr>
            <w:r>
              <w:rPr>
                <w:b/>
                <w:bCs/>
              </w:rPr>
              <w:t xml:space="preserve">12</w:t>
            </w:r>
          </w:p>
        </w:tc>
        <w:tc>
          <w:tcPr>
            <w:tcW w:type="dxa" w:w="3210"/>
            <w:tcMar>
              <w:top w:type="dxa" w:w="80"/>
              <w:left w:type="dxa" w:w="100"/>
              <w:bottom w:type="dxa" w:w="80"/>
              <w:right w:type="dxa" w:w="100"/>
            </w:tcMar>
          </w:tcPr>
          <w:p>
            <w:pPr>
              <w:pStyle w:val="Tabla"/>
            </w:pPr>
            <w:r>
              <w:t xml:space="preserve">Constantes, parámetros y números</w:t>
            </w:r>
          </w:p>
        </w:tc>
        <w:tc>
          <w:tcPr>
            <w:tcW w:type="dxa" w:w="3210"/>
            <w:tcMar>
              <w:top w:type="dxa" w:w="80"/>
              <w:left w:type="dxa" w:w="100"/>
              <w:bottom w:type="dxa" w:w="80"/>
              <w:right w:type="dxa" w:w="100"/>
            </w:tcMar>
          </w:tcPr>
          <w:p>
            <w:pPr>
              <w:pStyle w:val="Tabla"/>
            </w:pPr>
            <w:r>
              <w:t xml:space="preserve">Cambiar una cifra dentro de reglas existentes: cantidad presupuestada, tasa o plazo numérico.</w:t>
            </w:r>
          </w:p>
        </w:tc>
      </w:tr>
      <w:tr>
        <w:trPr>
          <w:cantSplit/>
          <w:tblHeader w:val="off"/>
        </w:trPr>
        <w:tc>
          <w:tcPr>
            <w:tcW w:type="dxa" w:w="3212"/>
            <w:tcMar>
              <w:top w:type="dxa" w:w="80"/>
              <w:left w:type="dxa" w:w="100"/>
              <w:bottom w:type="dxa" w:w="80"/>
              <w:right w:type="dxa" w:w="100"/>
            </w:tcMar>
          </w:tcPr>
          <w:p>
            <w:pPr>
              <w:pStyle w:val="Tabla"/>
            </w:pPr>
            <w:r>
              <w:rPr>
                <w:b/>
                <w:bCs/>
              </w:rPr>
              <w:t xml:space="preserve">11</w:t>
            </w:r>
          </w:p>
        </w:tc>
        <w:tc>
          <w:tcPr>
            <w:tcW w:type="dxa" w:w="3210"/>
            <w:tcMar>
              <w:top w:type="dxa" w:w="80"/>
              <w:left w:type="dxa" w:w="100"/>
              <w:bottom w:type="dxa" w:w="80"/>
              <w:right w:type="dxa" w:w="100"/>
            </w:tcMar>
          </w:tcPr>
          <w:p>
            <w:pPr>
              <w:pStyle w:val="Tabla"/>
            </w:pPr>
            <w:r>
              <w:t xml:space="preserve">Tamaño de amortiguadores y existencias estabilizadoras respecto a sus flujos</w:t>
            </w:r>
          </w:p>
        </w:tc>
        <w:tc>
          <w:tcPr>
            <w:tcW w:type="dxa" w:w="3210"/>
            <w:tcMar>
              <w:top w:type="dxa" w:w="80"/>
              <w:left w:type="dxa" w:w="100"/>
              <w:bottom w:type="dxa" w:w="80"/>
              <w:right w:type="dxa" w:w="100"/>
            </w:tcMar>
          </w:tcPr>
          <w:p>
            <w:pPr>
              <w:pStyle w:val="Tabla"/>
            </w:pPr>
            <w:r>
              <w:t xml:space="preserve">Una reserva puede absorber variaciones: libros de respaldo frente al ritmo de préstamos. Una reserva mayor también tiene costos.</w:t>
            </w:r>
          </w:p>
        </w:tc>
      </w:tr>
      <w:tr>
        <w:trPr>
          <w:cantSplit/>
          <w:tblHeader w:val="off"/>
        </w:trPr>
        <w:tc>
          <w:tcPr>
            <w:tcW w:type="dxa" w:w="3212"/>
            <w:tcMar>
              <w:top w:type="dxa" w:w="80"/>
              <w:left w:type="dxa" w:w="100"/>
              <w:bottom w:type="dxa" w:w="80"/>
              <w:right w:type="dxa" w:w="100"/>
            </w:tcMar>
          </w:tcPr>
          <w:p>
            <w:pPr>
              <w:pStyle w:val="Tabla"/>
            </w:pPr>
            <w:r>
              <w:rPr>
                <w:b/>
                <w:bCs/>
              </w:rPr>
              <w:t xml:space="preserve">10</w:t>
            </w:r>
          </w:p>
        </w:tc>
        <w:tc>
          <w:tcPr>
            <w:tcW w:type="dxa" w:w="3210"/>
            <w:tcMar>
              <w:top w:type="dxa" w:w="80"/>
              <w:left w:type="dxa" w:w="100"/>
              <w:bottom w:type="dxa" w:w="80"/>
              <w:right w:type="dxa" w:w="100"/>
            </w:tcMar>
          </w:tcPr>
          <w:p>
            <w:pPr>
              <w:pStyle w:val="Tabla"/>
            </w:pPr>
            <w:r>
              <w:t xml:space="preserve">Estructura material de niveles y flujos</w:t>
            </w:r>
          </w:p>
        </w:tc>
        <w:tc>
          <w:tcPr>
            <w:tcW w:type="dxa" w:w="3210"/>
            <w:tcMar>
              <w:top w:type="dxa" w:w="80"/>
              <w:left w:type="dxa" w:w="100"/>
              <w:bottom w:type="dxa" w:w="80"/>
              <w:right w:type="dxa" w:w="100"/>
            </w:tcMar>
          </w:tcPr>
          <w:p>
            <w:pPr>
              <w:pStyle w:val="Tabla"/>
            </w:pPr>
            <w:r>
              <w:t xml:space="preserve">Cambiar cómo se conectan depósitos y transferencias: redistribuir almacenes y rutas de entrega.</w:t>
            </w:r>
          </w:p>
        </w:tc>
      </w:tr>
      <w:tr>
        <w:trPr>
          <w:cantSplit/>
          <w:tblHeader w:val="off"/>
        </w:trPr>
        <w:tc>
          <w:tcPr>
            <w:tcW w:type="dxa" w:w="3212"/>
            <w:tcMar>
              <w:top w:type="dxa" w:w="80"/>
              <w:left w:type="dxa" w:w="100"/>
              <w:bottom w:type="dxa" w:w="80"/>
              <w:right w:type="dxa" w:w="100"/>
            </w:tcMar>
          </w:tcPr>
          <w:p>
            <w:pPr>
              <w:pStyle w:val="Tabla"/>
            </w:pPr>
            <w:r>
              <w:rPr>
                <w:b/>
                <w:bCs/>
              </w:rPr>
              <w:t xml:space="preserve">9</w:t>
            </w:r>
          </w:p>
        </w:tc>
        <w:tc>
          <w:tcPr>
            <w:tcW w:type="dxa" w:w="3210"/>
            <w:tcMar>
              <w:top w:type="dxa" w:w="80"/>
              <w:left w:type="dxa" w:w="100"/>
              <w:bottom w:type="dxa" w:w="80"/>
              <w:right w:type="dxa" w:w="100"/>
            </w:tcMar>
          </w:tcPr>
          <w:p>
            <w:pPr>
              <w:pStyle w:val="Tabla"/>
            </w:pPr>
            <w:r>
              <w:t xml:space="preserve">Duración de las demoras respecto a la velocidad de cambio</w:t>
            </w:r>
          </w:p>
        </w:tc>
        <w:tc>
          <w:tcPr>
            <w:tcW w:type="dxa" w:w="3210"/>
            <w:tcMar>
              <w:top w:type="dxa" w:w="80"/>
              <w:left w:type="dxa" w:w="100"/>
              <w:bottom w:type="dxa" w:w="80"/>
              <w:right w:type="dxa" w:w="100"/>
            </w:tcMar>
          </w:tcPr>
          <w:p>
            <w:pPr>
              <w:pStyle w:val="Tabla"/>
            </w:pPr>
            <w:r>
              <w:t xml:space="preserve">Reducir el tiempo entre detectar una falta y recibir libros. Una demora no se evalúa aislada de la rapidez del resto del sistema.</w:t>
            </w:r>
          </w:p>
        </w:tc>
      </w:tr>
      <w:tr>
        <w:trPr>
          <w:cantSplit/>
          <w:tblHeader w:val="off"/>
        </w:trPr>
        <w:tc>
          <w:tcPr>
            <w:tcW w:type="dxa" w:w="3212"/>
            <w:tcMar>
              <w:top w:type="dxa" w:w="80"/>
              <w:left w:type="dxa" w:w="100"/>
              <w:bottom w:type="dxa" w:w="80"/>
              <w:right w:type="dxa" w:w="100"/>
            </w:tcMar>
          </w:tcPr>
          <w:p>
            <w:pPr>
              <w:pStyle w:val="Tabla"/>
            </w:pPr>
            <w:r>
              <w:rPr>
                <w:b/>
                <w:bCs/>
              </w:rPr>
              <w:t xml:space="preserve">8</w:t>
            </w:r>
          </w:p>
        </w:tc>
        <w:tc>
          <w:tcPr>
            <w:tcW w:type="dxa" w:w="3210"/>
            <w:tcMar>
              <w:top w:type="dxa" w:w="80"/>
              <w:left w:type="dxa" w:w="100"/>
              <w:bottom w:type="dxa" w:w="80"/>
              <w:right w:type="dxa" w:w="100"/>
            </w:tcMar>
          </w:tcPr>
          <w:p>
            <w:pPr>
              <w:pStyle w:val="Tabla"/>
            </w:pPr>
            <w:r>
              <w:t xml:space="preserve">Fuerza de los ciclos de balance</w:t>
            </w:r>
          </w:p>
        </w:tc>
        <w:tc>
          <w:tcPr>
            <w:tcW w:type="dxa" w:w="3210"/>
            <w:tcMar>
              <w:top w:type="dxa" w:w="80"/>
              <w:left w:type="dxa" w:w="100"/>
              <w:bottom w:type="dxa" w:w="80"/>
              <w:right w:type="dxa" w:w="100"/>
            </w:tcMar>
          </w:tcPr>
          <w:p>
            <w:pPr>
              <w:pStyle w:val="Tabla"/>
            </w:pPr>
            <w:r>
              <w:t xml:space="preserve">Fortalecer la detección y corrección de desvíos: revisar calidad y corregir registros defectuosos.</w:t>
            </w:r>
          </w:p>
        </w:tc>
      </w:tr>
      <w:tr>
        <w:trPr>
          <w:cantSplit/>
          <w:tblHeader w:val="off"/>
        </w:trPr>
        <w:tc>
          <w:tcPr>
            <w:tcW w:type="dxa" w:w="3212"/>
            <w:tcMar>
              <w:top w:type="dxa" w:w="80"/>
              <w:left w:type="dxa" w:w="100"/>
              <w:bottom w:type="dxa" w:w="80"/>
              <w:right w:type="dxa" w:w="100"/>
            </w:tcMar>
          </w:tcPr>
          <w:p>
            <w:pPr>
              <w:pStyle w:val="Tabla"/>
            </w:pPr>
            <w:r>
              <w:rPr>
                <w:b/>
                <w:bCs/>
              </w:rPr>
              <w:t xml:space="preserve">7</w:t>
            </w:r>
          </w:p>
        </w:tc>
        <w:tc>
          <w:tcPr>
            <w:tcW w:type="dxa" w:w="3210"/>
            <w:tcMar>
              <w:top w:type="dxa" w:w="80"/>
              <w:left w:type="dxa" w:w="100"/>
              <w:bottom w:type="dxa" w:w="80"/>
              <w:right w:type="dxa" w:w="100"/>
            </w:tcMar>
          </w:tcPr>
          <w:p>
            <w:pPr>
              <w:pStyle w:val="Tabla"/>
            </w:pPr>
            <w:r>
              <w:t xml:space="preserve">Ganancia de los ciclos de refuerzo</w:t>
            </w:r>
          </w:p>
        </w:tc>
        <w:tc>
          <w:tcPr>
            <w:tcW w:type="dxa" w:w="3210"/>
            <w:tcMar>
              <w:top w:type="dxa" w:w="80"/>
              <w:left w:type="dxa" w:w="100"/>
              <w:bottom w:type="dxa" w:w="80"/>
              <w:right w:type="dxa" w:w="100"/>
            </w:tcMar>
          </w:tcPr>
          <w:p>
            <w:pPr>
              <w:pStyle w:val="Tabla"/>
            </w:pPr>
            <w:r>
              <w:t xml:space="preserve">Modificar cuánto se amplifica un cambio: reducir una dinámica por la que más errores causan más retrabajo y más errores.</w:t>
            </w:r>
          </w:p>
        </w:tc>
      </w:tr>
      <w:tr>
        <w:trPr>
          <w:cantSplit/>
          <w:tblHeader w:val="off"/>
        </w:trPr>
        <w:tc>
          <w:tcPr>
            <w:tcW w:type="dxa" w:w="3212"/>
            <w:tcMar>
              <w:top w:type="dxa" w:w="80"/>
              <w:left w:type="dxa" w:w="100"/>
              <w:bottom w:type="dxa" w:w="80"/>
              <w:right w:type="dxa" w:w="100"/>
            </w:tcMar>
          </w:tcPr>
          <w:p>
            <w:pPr>
              <w:pStyle w:val="Tabla"/>
            </w:pPr>
            <w:r>
              <w:rPr>
                <w:b/>
                <w:bCs/>
              </w:rPr>
              <w:t xml:space="preserve">6</w:t>
            </w:r>
          </w:p>
        </w:tc>
        <w:tc>
          <w:tcPr>
            <w:tcW w:type="dxa" w:w="3210"/>
            <w:tcMar>
              <w:top w:type="dxa" w:w="80"/>
              <w:left w:type="dxa" w:w="100"/>
              <w:bottom w:type="dxa" w:w="80"/>
              <w:right w:type="dxa" w:w="100"/>
            </w:tcMar>
          </w:tcPr>
          <w:p>
            <w:pPr>
              <w:pStyle w:val="Tabla"/>
            </w:pPr>
            <w:r>
              <w:t xml:space="preserve">Estructura de los flujos de información</w:t>
            </w:r>
          </w:p>
        </w:tc>
        <w:tc>
          <w:tcPr>
            <w:tcW w:type="dxa" w:w="3210"/>
            <w:tcMar>
              <w:top w:type="dxa" w:w="80"/>
              <w:left w:type="dxa" w:w="100"/>
              <w:bottom w:type="dxa" w:w="80"/>
              <w:right w:type="dxa" w:w="100"/>
            </w:tcMar>
          </w:tcPr>
          <w:p>
            <w:pPr>
              <w:pStyle w:val="Tabla"/>
            </w:pPr>
            <w:r>
              <w:t xml:space="preserve">Cambiar quién puede ver qué: mostrar a todos los encargados los pedidos ya realizados para evitar compras duplicadas.</w:t>
            </w:r>
          </w:p>
        </w:tc>
      </w:tr>
      <w:tr>
        <w:trPr>
          <w:cantSplit/>
          <w:tblHeader w:val="off"/>
        </w:trPr>
        <w:tc>
          <w:tcPr>
            <w:tcW w:type="dxa" w:w="3212"/>
            <w:tcMar>
              <w:top w:type="dxa" w:w="80"/>
              <w:left w:type="dxa" w:w="100"/>
              <w:bottom w:type="dxa" w:w="80"/>
              <w:right w:type="dxa" w:w="100"/>
            </w:tcMar>
          </w:tcPr>
          <w:p>
            <w:pPr>
              <w:pStyle w:val="Tabla"/>
            </w:pPr>
            <w:r>
              <w:rPr>
                <w:b/>
                <w:bCs/>
              </w:rPr>
              <w:t xml:space="preserve">5</w:t>
            </w:r>
          </w:p>
        </w:tc>
        <w:tc>
          <w:tcPr>
            <w:tcW w:type="dxa" w:w="3210"/>
            <w:tcMar>
              <w:top w:type="dxa" w:w="80"/>
              <w:left w:type="dxa" w:w="100"/>
              <w:bottom w:type="dxa" w:w="80"/>
              <w:right w:type="dxa" w:w="100"/>
            </w:tcMar>
          </w:tcPr>
          <w:p>
            <w:pPr>
              <w:pStyle w:val="Tabla"/>
            </w:pPr>
            <w:r>
              <w:t xml:space="preserve">Reglas, incentivos, castigos y restricciones</w:t>
            </w:r>
          </w:p>
        </w:tc>
        <w:tc>
          <w:tcPr>
            <w:tcW w:type="dxa" w:w="3210"/>
            <w:tcMar>
              <w:top w:type="dxa" w:w="80"/>
              <w:left w:type="dxa" w:w="100"/>
              <w:bottom w:type="dxa" w:w="80"/>
              <w:right w:type="dxa" w:w="100"/>
            </w:tcMar>
          </w:tcPr>
          <w:p>
            <w:pPr>
              <w:pStyle w:val="Tabla"/>
            </w:pPr>
            <w:r>
              <w:t xml:space="preserve">Cambiar qué se premia o permite: dejar de pagar por cada solicitud cerrada y considerar resolución efectiva.</w:t>
            </w:r>
          </w:p>
        </w:tc>
      </w:tr>
      <w:tr>
        <w:trPr>
          <w:cantSplit/>
          <w:tblHeader w:val="off"/>
        </w:trPr>
        <w:tc>
          <w:tcPr>
            <w:tcW w:type="dxa" w:w="3212"/>
            <w:tcMar>
              <w:top w:type="dxa" w:w="80"/>
              <w:left w:type="dxa" w:w="100"/>
              <w:bottom w:type="dxa" w:w="80"/>
              <w:right w:type="dxa" w:w="100"/>
            </w:tcMar>
          </w:tcPr>
          <w:p>
            <w:pPr>
              <w:pStyle w:val="Tabla"/>
            </w:pPr>
            <w:r>
              <w:rPr>
                <w:b/>
                <w:bCs/>
              </w:rPr>
              <w:t xml:space="preserve">4</w:t>
            </w:r>
          </w:p>
        </w:tc>
        <w:tc>
          <w:tcPr>
            <w:tcW w:type="dxa" w:w="3210"/>
            <w:tcMar>
              <w:top w:type="dxa" w:w="80"/>
              <w:left w:type="dxa" w:w="100"/>
              <w:bottom w:type="dxa" w:w="80"/>
              <w:right w:type="dxa" w:w="100"/>
            </w:tcMar>
          </w:tcPr>
          <w:p>
            <w:pPr>
              <w:pStyle w:val="Tabla"/>
            </w:pPr>
            <w:r>
              <w:t xml:space="preserve">Capacidad de autoorganización</w:t>
            </w:r>
          </w:p>
        </w:tc>
        <w:tc>
          <w:tcPr>
            <w:tcW w:type="dxa" w:w="3210"/>
            <w:tcMar>
              <w:top w:type="dxa" w:w="80"/>
              <w:left w:type="dxa" w:w="100"/>
              <w:bottom w:type="dxa" w:w="80"/>
              <w:right w:type="dxa" w:w="100"/>
            </w:tcMar>
          </w:tcPr>
          <w:p>
            <w:pPr>
              <w:pStyle w:val="Tabla"/>
            </w:pPr>
            <w:r>
              <w:t xml:space="preserve">Permitir que el sistema cambie sus propias estructuras: equipos que pueden reorganizar el proceso y aprender.</w:t>
            </w:r>
          </w:p>
        </w:tc>
      </w:tr>
      <w:tr>
        <w:trPr>
          <w:cantSplit/>
          <w:tblHeader w:val="off"/>
        </w:trPr>
        <w:tc>
          <w:tcPr>
            <w:tcW w:type="dxa" w:w="3212"/>
            <w:tcMar>
              <w:top w:type="dxa" w:w="80"/>
              <w:left w:type="dxa" w:w="100"/>
              <w:bottom w:type="dxa" w:w="80"/>
              <w:right w:type="dxa" w:w="100"/>
            </w:tcMar>
          </w:tcPr>
          <w:p>
            <w:pPr>
              <w:pStyle w:val="Tabla"/>
            </w:pPr>
            <w:r>
              <w:rPr>
                <w:b/>
                <w:bCs/>
              </w:rPr>
              <w:t xml:space="preserve">3</w:t>
            </w:r>
          </w:p>
        </w:tc>
        <w:tc>
          <w:tcPr>
            <w:tcW w:type="dxa" w:w="3210"/>
            <w:tcMar>
              <w:top w:type="dxa" w:w="80"/>
              <w:left w:type="dxa" w:w="100"/>
              <w:bottom w:type="dxa" w:w="80"/>
              <w:right w:type="dxa" w:w="100"/>
            </w:tcMar>
          </w:tcPr>
          <w:p>
            <w:pPr>
              <w:pStyle w:val="Tabla"/>
            </w:pPr>
            <w:r>
              <w:t xml:space="preserve">Objetivos del sistema</w:t>
            </w:r>
          </w:p>
        </w:tc>
        <w:tc>
          <w:tcPr>
            <w:tcW w:type="dxa" w:w="3210"/>
            <w:tcMar>
              <w:top w:type="dxa" w:w="80"/>
              <w:left w:type="dxa" w:w="100"/>
              <w:bottom w:type="dxa" w:w="80"/>
              <w:right w:type="dxa" w:w="100"/>
            </w:tcMar>
          </w:tcPr>
          <w:p>
            <w:pPr>
              <w:pStyle w:val="Tabla"/>
            </w:pPr>
            <w:r>
              <w:t xml:space="preserve">Cambiar la finalidad que orienta decisiones: priorizar necesidades resueltas frente a maximizar cierres administrativos.</w:t>
            </w:r>
          </w:p>
        </w:tc>
      </w:tr>
      <w:tr>
        <w:trPr>
          <w:cantSplit/>
          <w:tblHeader w:val="off"/>
        </w:trPr>
        <w:tc>
          <w:tcPr>
            <w:tcW w:type="dxa" w:w="3212"/>
            <w:tcMar>
              <w:top w:type="dxa" w:w="80"/>
              <w:left w:type="dxa" w:w="100"/>
              <w:bottom w:type="dxa" w:w="80"/>
              <w:right w:type="dxa" w:w="100"/>
            </w:tcMar>
          </w:tcPr>
          <w:p>
            <w:pPr>
              <w:pStyle w:val="Tabla"/>
            </w:pPr>
            <w:r>
              <w:rPr>
                <w:b/>
                <w:bCs/>
              </w:rPr>
              <w:t xml:space="preserve">2</w:t>
            </w:r>
          </w:p>
        </w:tc>
        <w:tc>
          <w:tcPr>
            <w:tcW w:type="dxa" w:w="3210"/>
            <w:tcMar>
              <w:top w:type="dxa" w:w="80"/>
              <w:left w:type="dxa" w:w="100"/>
              <w:bottom w:type="dxa" w:w="80"/>
              <w:right w:type="dxa" w:w="100"/>
            </w:tcMar>
          </w:tcPr>
          <w:p>
            <w:pPr>
              <w:pStyle w:val="Tabla"/>
            </w:pPr>
            <w:r>
              <w:t xml:space="preserve">Paradigma del que surgen objetivos, reglas y estructura</w:t>
            </w:r>
          </w:p>
        </w:tc>
        <w:tc>
          <w:tcPr>
            <w:tcW w:type="dxa" w:w="3210"/>
            <w:tcMar>
              <w:top w:type="dxa" w:w="80"/>
              <w:left w:type="dxa" w:w="100"/>
              <w:bottom w:type="dxa" w:w="80"/>
              <w:right w:type="dxa" w:w="100"/>
            </w:tcMar>
          </w:tcPr>
          <w:p>
            <w:pPr>
              <w:pStyle w:val="Tabla"/>
            </w:pPr>
            <w:r>
              <w:t xml:space="preserve">Cambiar la creencia organizadora: pasar de pensar que el usuario «interrumpe» a comprender que atenderlo es la razón del servicio.</w:t>
            </w:r>
          </w:p>
        </w:tc>
      </w:tr>
      <w:tr>
        <w:trPr>
          <w:cantSplit/>
          <w:tblHeader w:val="off"/>
        </w:trPr>
        <w:tc>
          <w:tcPr>
            <w:tcW w:type="dxa" w:w="3212"/>
            <w:tcMar>
              <w:top w:type="dxa" w:w="80"/>
              <w:left w:type="dxa" w:w="100"/>
              <w:bottom w:type="dxa" w:w="80"/>
              <w:right w:type="dxa" w:w="100"/>
            </w:tcMar>
          </w:tcPr>
          <w:p>
            <w:pPr>
              <w:pStyle w:val="Tabla"/>
            </w:pPr>
            <w:r>
              <w:rPr>
                <w:b/>
                <w:bCs/>
              </w:rPr>
              <w:t xml:space="preserve">1</w:t>
            </w:r>
          </w:p>
        </w:tc>
        <w:tc>
          <w:tcPr>
            <w:tcW w:type="dxa" w:w="3210"/>
            <w:tcMar>
              <w:top w:type="dxa" w:w="80"/>
              <w:left w:type="dxa" w:w="100"/>
              <w:bottom w:type="dxa" w:w="80"/>
              <w:right w:type="dxa" w:w="100"/>
            </w:tcMar>
          </w:tcPr>
          <w:p>
            <w:pPr>
              <w:pStyle w:val="Tabla"/>
            </w:pPr>
            <w:r>
              <w:t xml:space="preserve">Poder de trascender paradigmas</w:t>
            </w:r>
          </w:p>
        </w:tc>
        <w:tc>
          <w:tcPr>
            <w:tcW w:type="dxa" w:w="3210"/>
            <w:tcMar>
              <w:top w:type="dxa" w:w="80"/>
              <w:left w:type="dxa" w:w="100"/>
              <w:bottom w:type="dxa" w:w="80"/>
              <w:right w:type="dxa" w:w="100"/>
            </w:tcMar>
          </w:tcPr>
          <w:p>
            <w:pPr>
              <w:pStyle w:val="Tabla"/>
            </w:pPr>
            <w:r>
              <w:t xml:space="preserve">Reconocer los límites de los propios marcos y poder revisarlos sin aferrarse a uno como verdad absoluta.</w:t>
            </w:r>
          </w:p>
        </w:tc>
      </w:tr>
    </w:tbl>
    <w:p>
      <w:pPr>
        <w:pStyle w:val="Normal"/>
      </w:pPr>
      <w:r>
        <w:t xml:space="preserve">La lista orienta dónde buscar; no garantiza que una intervención de número menor sea factible, ética o conveniente para cualquier problema. Reducir una exigencia de calidad modifica una meta y puede producir erosión de metas. «Más apalancamiento» no significa automáticamente «mejor resultado».</w:t>
      </w:r>
    </w:p>
    <w:p>
      <w:pPr>
        <w:pStyle w:val="Normal"/>
      </w:pPr>
      <w:r>
        <w:t xml:space="preserve">La clasificación requiere justificar qué aspecto cambia. Modificar una tasa puede describirse como cambio de parámetro y, al analizar su función, como modificación de la ganancia de un ciclo. Si el ejercicio pide la categoría principal, explicar el nivel de intervención descrito, en lugar de asignar una etiqueta solo por una palabra.</w:t>
      </w:r>
    </w:p>
    <w:p>
      <w:pPr>
        <w:pStyle w:val="Normal"/>
      </w:pPr>
      <w:r>
        <w:rPr>
          <w:b/>
          <w:bCs/>
        </w:rPr>
        <w:t xml:space="preserve">Distinción practicada:</w:t>
      </w:r>
      <w:r>
        <w:t xml:space="preserve"> hacer visible el estado de las solicitudes modifica la información; pagar un bono por cierres modifica reglas e incentivos. Un bono por cierres puede incentivar solicitudes mal resueltas.</w:t>
      </w:r>
    </w:p>
    <w:p>
      <w:pPr>
        <w:pStyle w:val="Heading3"/>
      </w:pPr>
      <w:bookmarkStart w:name="b_lectura_d6" w:id="4746"/>
      <w:r>
        <w:t xml:space="preserve">4.6.6. Indicadores y evaluación de decisiones</w:t>
      </w:r>
      <w:bookmarkEnd w:id="4746"/>
    </w:p>
    <w:p>
      <w:pPr>
        <w:pStyle w:val="Normal"/>
      </w:pPr>
      <w:r>
        <w:t xml:space="preserve">Un indicador debe relacionarse con el objetivo, tener unidades y poder compararse con una referencia. Si cambia el volumen de solicitudes, una tasa de errores por cada 100 solicitudes permite comparar mejor que un conteo aislado. El tiempo promedio puede complementarse con retrasos extremos o diferencias entre tipos de solicitud si estos importan al problema.</w:t>
      </w:r>
    </w:p>
    <w:p>
      <w:pPr>
        <w:pStyle w:val="Normal"/>
      </w:pPr>
      <w:r>
        <w:t xml:space="preserve">Ejemplo del ejemplo: tiempo promedio de 10 a 7 días, pero errores de 4 a 9 por cada 100 solicitudes. Hay una mejora de velocidad y un deterioro de calidad. Con el objetivo de mejorar tiempo sin aumentar errores, no corresponde declarar éxito completo. Investigar el mecanismo de los errores y ajustar el proceso conservando lo que funciona es aproximación sucesiva.</w:t>
      </w:r>
    </w:p>
    <w:p>
      <w:pPr>
        <w:pStyle w:val="Normal"/>
      </w:pPr>
      <w:r>
        <w:t xml:space="preserve">Fijar cuándo medir según las demoras esperadas; observar señales intermedias; comparar condiciones relevantes; revisar supuestos si el resultado contradice lo esperado. Una simulación que ejecuta o una cifra favorable no demuestran por sí solas que el modelo o la decisión sean válidos.</w:t>
      </w:r>
    </w:p>
    <w:p>
      <w:pPr>
        <w:pStyle w:val="Heading3"/>
      </w:pPr>
      <w:bookmarkStart w:name="b_lectura_d7" w:id="4747"/>
      <w:r>
        <w:t xml:space="preserve">4.6.7. Transferencia a escuelas: cápsula 8</w:t>
      </w:r>
      <w:bookmarkEnd w:id="4747"/>
    </w:p>
    <w:p>
      <w:pPr>
        <w:pStyle w:val="Normal"/>
      </w:pPr>
      <w:r>
        <w:t xml:space="preserve">Complemento audiovisual de </w:t>
      </w:r>
      <w:r>
        <w:rPr>
          <w:b/>
          <w:bCs/>
        </w:rPr>
        <w:t xml:space="preserve">LIDERES EDUCATIVOS</w:t>
      </w:r>
      <w:r>
        <w:t xml:space="preserve">, no exposición del profesor: transcripción local de la cápsula 8, 00:00–15:36, duración del video registrada 15:51. Presenta los mismos doce puntos desde el </w:t>
      </w:r>
      <w:r>
        <w:rPr>
          <w:b/>
          <w:bCs/>
        </w:rPr>
        <w:t xml:space="preserve">1 al 12</w:t>
      </w:r>
      <w:r>
        <w:t xml:space="preserve">, de mayor a menor potencial; la presentación del curso los enumera de 12 a 1. Cambia el orden de exposición, no los números.</w:t>
      </w:r>
    </w:p>
    <w:p>
      <w:pPr>
        <w:pStyle w:val="Normal"/>
      </w:pPr>
      <w:r>
        <w:t xml:space="preserve">Aplicaciones que conviene reconocer:</w:t>
      </w:r>
    </w:p>
    <w:p>
      <w:pPr>
        <w:pStyle w:val="Normal"/>
        <w:numPr>
          <w:ilvl w:val="0"/>
          <w:numId w:val="2"/>
        </w:numPr>
      </w:pPr>
      <w:r>
        <w:t xml:space="preserve">Un promedio de resultados escolares puede subir porque mejora solo el grupo avanzado mientras el grupo inicial no mejora. </w:t>
      </w:r>
      <w:r>
        <w:rPr>
          <w:b/>
          <w:bCs/>
        </w:rPr>
        <w:t xml:space="preserve">Desagregar la información</w:t>
      </w:r>
      <w:r>
        <w:t xml:space="preserve"> permite reconocer esa diferencia y orientar decisiones; el promedio solo no demuestra mejora de todo el sistema.</w:t>
      </w:r>
    </w:p>
    <w:p>
      <w:pPr>
        <w:pStyle w:val="Normal"/>
        <w:numPr>
          <w:ilvl w:val="0"/>
          <w:numId w:val="2"/>
        </w:numPr>
      </w:pPr>
      <w:r>
        <w:t xml:space="preserve">Cambiar de «transmitir contenidos» a «desarrollar capacidades» ejemplifica un </w:t>
      </w:r>
      <w:r>
        <w:rPr>
          <w:b/>
          <w:bCs/>
        </w:rPr>
        <w:t xml:space="preserve">cambio de paradigma</w:t>
      </w:r>
      <w:r>
        <w:t xml:space="preserve">. Trascender paradigmas añade disposición a revisar incluso el nuevo marco cuando resulte limitado.</w:t>
      </w:r>
    </w:p>
    <w:p>
      <w:pPr>
        <w:pStyle w:val="Normal"/>
        <w:numPr>
          <w:ilvl w:val="0"/>
          <w:numId w:val="2"/>
        </w:numPr>
      </w:pPr>
      <w:r>
        <w:t xml:space="preserve">Dar atribuciones reales a consejos o equipos puede favorecer </w:t>
      </w:r>
      <w:r>
        <w:rPr>
          <w:b/>
          <w:bCs/>
        </w:rPr>
        <w:t xml:space="preserve">autoorganización</w:t>
      </w:r>
      <w:r>
        <w:t xml:space="preserve">; una reunión sin capacidad de actuar no la garantiza.</w:t>
      </w:r>
    </w:p>
    <w:p>
      <w:pPr>
        <w:pStyle w:val="Normal"/>
        <w:numPr>
          <w:ilvl w:val="0"/>
          <w:numId w:val="2"/>
        </w:numPr>
      </w:pPr>
      <w:r>
        <w:t xml:space="preserve">Eliminar mecanismos de evaluación o corrección porque parecen costosos puede debilitar </w:t>
      </w:r>
      <w:r>
        <w:rPr>
          <w:b/>
          <w:bCs/>
        </w:rPr>
        <w:t xml:space="preserve">balances protectores</w:t>
      </w:r>
      <w:r>
        <w:t xml:space="preserve">. Sus beneficios pueden hacerse visibles cuando surge una perturbación.</w:t>
      </w:r>
    </w:p>
    <w:p>
      <w:pPr>
        <w:pStyle w:val="Normal"/>
        <w:numPr>
          <w:ilvl w:val="0"/>
          <w:numId w:val="2"/>
        </w:numPr>
      </w:pPr>
      <w:r>
        <w:t xml:space="preserve">Si los datos de evaluación llegan muchos meses después, una buena medida puede aplicarse demasiado tarde: considerar </w:t>
      </w:r>
      <w:r>
        <w:rPr>
          <w:b/>
          <w:bCs/>
        </w:rPr>
        <w:t xml:space="preserve">demoras de información y de respuesta</w:t>
      </w:r>
      <w:r>
        <w:t xml:space="preserve">.</w:t>
      </w:r>
    </w:p>
    <w:p>
      <w:pPr>
        <w:pStyle w:val="Normal"/>
        <w:numPr>
          <w:ilvl w:val="0"/>
          <w:numId w:val="2"/>
        </w:numPr>
      </w:pPr>
      <w:r>
        <w:t xml:space="preserve">Coordinar horarios docentes puede aprovechar mejor una estructura existente; un registro de docentes de reemplazo puede actuar como </w:t>
      </w:r>
      <w:r>
        <w:rPr>
          <w:b/>
          <w:bCs/>
        </w:rPr>
        <w:t xml:space="preserve">reserva estabilizadora</w:t>
      </w:r>
      <w:r>
        <w:t xml:space="preserve">.</w:t>
      </w:r>
    </w:p>
    <w:p>
      <w:pPr>
        <w:pStyle w:val="Normal"/>
      </w:pPr>
      <w:r>
        <w:t xml:space="preserve">El video usa ejemplos amplios de «parámetros e indicadores». Al clasificar un caso en el examen, explicar el mecanismo: cambiar un número es distinto de crear acceso a información que antes no existía, aunque ambas intervenciones se relacionen.</w:t>
      </w:r>
    </w:p>
    <w:p>
      <w:pPr>
        <w:pStyle w:val="Heading3"/>
      </w:pPr>
      <w:r>
        <w:t xml:space="preserve">Dos intervenciones en la realimentación</w:t>
      </w:r>
    </w:p>
    <w:p>
      <w:pPr>
        <w:pStyle w:val="Normal"/>
      </w:pPr>
      <w:r>
        <w:t xml:space="preserve">El ejemplo editorial concreta las maniobras: formación o cambios de proceso pueden reducir errores por presión y atenuar el refuerzo presión → errores → retrabajo → presión. Un control de carga puede activar capacidad efectiva ante pendientes y reducirlos: B. La lámina propone considerar atenuar R en muchos casos; clase 23 explica agregar compensación anidada. No hay regla universal: importan demora, capacidad, costo y efectos laterales.</w:t>
      </w:r>
    </w:p>
    <w:p>
      <w:pPr>
        <w:pStyle w:val="Fuente"/>
      </w:pPr>
      <w:r>
        <w:t xml:space="preserve">Presentación 4b de octubre (C-8), lámina 29 · Clase 23 · 00:51:51</w:t>
      </w:r>
    </w:p>
    <w:p>
      <w:pPr>
        <w:pStyle w:val="Heading3"/>
      </w:pPr>
      <w:r>
        <w:t xml:space="preserve">El poder de fijar reglas</w:t>
      </w:r>
    </w:p>
    <w:p>
      <w:pPr>
        <w:pStyle w:val="Normal"/>
      </w:pPr>
      <w:r>
        <w:t xml:space="preserve">Además de la regla escrita, interesa quién la establece y puede modificarla. Por ejemplo, un premio por volumen puede inducir producción defectuosa; revisar sólo el monto deja intacta la decisión de premiar volumen. Identificar autoridad, participación y consecuencias permite discutir una regla diferente con quienes pueden cambiarla.</w:t>
      </w:r>
    </w:p>
    <w:p>
      <w:pPr>
        <w:pStyle w:val="Fuente"/>
      </w:pPr>
      <w:r>
        <w:t xml:space="preserve">Presentación 4b de octubre (C-8), lámina 29</w:t>
      </w:r>
    </w:p>
    <w:p>
      <w:pPr>
        <w:pStyle w:val="Heading3"/>
      </w:pPr>
      <w:r>
        <w:t xml:space="preserve">Judy: escenarios y decisiones sucesivas</w:t>
      </w:r>
    </w:p>
    <w:p>
      <w:pPr>
        <w:pStyle w:val="Normal"/>
      </w:pPr>
      <w:r>
        <w:t xml:space="preserve">Las preguntas de Judy ayudan a explorar alternativas, personas afectadas y consecuencias a distintos plazos. La elección inicial puede llevar a un escenario que requiera otra decisión. La clase usa árboles en ese sentido temporal y cualitativo; no proporciona probabilidades, pesos ni un algoritmo de optimización.</w:t>
      </w:r>
    </w:p>
    <w:p>
      <w:pPr>
        <w:pStyle w:val="Fuente"/>
      </w:pPr>
      <w:r>
        <w:t xml:space="preserve">Clase 22 · 00:43:57 · Presentación 4b de octubre (C-8), lámina 9</w:t>
      </w:r>
    </w:p>
    <w:p>
      <w:pPr>
        <w:pStyle w:val="Heading3"/>
      </w:pPr>
      <w:r>
        <w:t xml:space="preserve">XYZ: costos e inversión inicial</w:t>
      </w:r>
    </w:p>
    <w:p>
      <w:pPr>
        <w:pStyle w:val="Normal"/>
      </w:pPr>
      <w:r>
        <w:t xml:space="preserve">La mano de obra remunera el trabajo de fabricar; materias primas son los insumos empleados. Automatizar puede reducir costos futuros y requerir un desembolso inicial que la liquidez actual no permite, además de despidos y efectos sobre motivación. El ejercicio compara consecuencias, calidad y horizontes; no calcula rentabilidad ni prescribe una decisión empresarial real.</w:t>
      </w:r>
    </w:p>
    <w:p>
      <w:pPr>
        <w:pStyle w:val="Fuente"/>
      </w:pPr>
      <w:r>
        <w:t xml:space="preserve">Clase 23 · 00:23:19 · 00:28:43 · Presentación 4b de octubre (C-8), lámina 26</w:t>
      </w:r>
    </w:p>
    <w:p>
      <w:pPr>
        <w:pStyle w:val="Heading3"/>
      </w:pPr>
      <w:r>
        <w:t xml:space="preserve">Comparar alternativas</w:t>
      </w:r>
    </w:p>
    <w:p>
      <w:pPr>
        <w:pStyle w:val="Normal"/>
      </w:pPr>
      <w:r>
        <w:t xml:space="preserve">Define el problema como un patrón, establece un objetivo observable y considera perspectivas distintas.</w:t>
      </w:r>
    </w:p>
    <w:p>
      <w:pPr>
        <w:pStyle w:val="Normal"/>
      </w:pPr>
      <w:r>
        <w:t xml:space="preserve">Evalúa ventajas, desventajas y consecuencias a corto plazo, a largo plazo e inesperadas. Una mejoría inmediata puede reforzar un problema posterior.</w:t>
      </w:r>
    </w:p>
    <w:p>
      <w:pPr>
        <w:pStyle w:val="Normal"/>
      </w:pPr>
      <w:r>
        <w:t xml:space="preserve">La propuesta debe explicar qué relación, regla, información u objetivo modifica y cómo ese cambio se propaga por el sistema.</w:t>
      </w:r>
    </w:p>
    <w:p>
      <w:pPr>
        <w:pStyle w:val="Fuente"/>
      </w:pPr>
      <w:r>
        <w:t xml:space="preserve">Guía de estudio · edición 20/10/2026 · pp. 23–24</w:t>
      </w:r>
    </w:p>
    <w:p>
      <w:pPr>
        <w:pStyle w:val="Heading3"/>
      </w:pPr>
      <w:r>
        <w:t xml:space="preserve">Lugares para intervenir</w:t>
      </w:r>
    </w:p>
    <w:p>
      <w:pPr>
        <w:pStyle w:val="Normal"/>
      </w:pPr>
      <w:r>
        <w:t xml:space="preserve">La lista de Meadows va de parámetros y números hacia estructuras, demoras, ciclos, información, reglas, autoorganización, objetivos y paradigmas.</w:t>
      </w:r>
    </w:p>
    <w:p>
      <w:pPr>
        <w:pStyle w:val="Normal"/>
      </w:pPr>
      <w:r>
        <w:t xml:space="preserve">Cambiar una tasa modifica un parámetro; compartir información sobre el uso de un recurso modifica quién puede observarlo; redefinir la meta cambia el objetivo.</w:t>
      </w:r>
    </w:p>
    <w:p>
      <w:pPr>
        <w:pStyle w:val="Normal"/>
      </w:pPr>
      <w:r>
        <w:t xml:space="preserve">La lista orienta el análisis, pero una etiqueta no garantiza éxito. Justifica el mecanismo y comprueba efectos no previstos.</w:t>
      </w:r>
    </w:p>
    <w:p>
      <w:pPr>
        <w:pStyle w:val="Fuente"/>
      </w:pPr>
      <w:r>
        <w:t xml:space="preserve">Presentación 4b · p. 29; guía pp. 23–24</w:t>
      </w:r>
    </w:p>
    <w:p>
      <w:pPr>
        <w:pStyle w:val="Heading3"/>
      </w:pPr>
      <w:r>
        <w:t xml:space="preserve">Cerrar el ciclo con evidencia</w:t>
      </w:r>
    </w:p>
    <w:p>
      <w:pPr>
        <w:pStyle w:val="Normal"/>
      </w:pPr>
      <w:r>
        <w:t xml:space="preserve">Aproximación sucesiva: diseñar un plan, implementar, evaluar y mejorar. Define indicadores y puntos de referencia para decidir cuándo ajustar.</w:t>
      </w:r>
    </w:p>
    <w:p>
      <w:pPr>
        <w:pStyle w:val="Normal"/>
      </w:pPr>
      <w:r>
        <w:t xml:space="preserve">Respeta la demora esperada antes de interpretar la ausencia de mejora. Corregir demasiado pronto puede generar sobreajuste.</w:t>
      </w:r>
    </w:p>
    <w:p>
      <w:pPr>
        <w:pStyle w:val="Normal"/>
      </w:pPr>
      <w:r>
        <w:t xml:space="preserve">Si las observaciones contradicen el modelo, revisa supuestos y estructura; no atribuyas automáticamente el fallo a una persona.</w:t>
      </w:r>
    </w:p>
    <w:p>
      <w:pPr>
        <w:pStyle w:val="Fuente"/>
      </w:pPr>
      <w:r>
        <w:t xml:space="preserve">Guía de estudio · edición 20/10/2026 · pp. 23–24</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Procedimiento</w:t>
            </w:r>
          </w:p>
          <w:p>
            <w:pPr>
              <w:pStyle w:val="Recuadro"/>
            </w:pPr>
            <w:r>
              <w:t xml:space="preserve">Justificar una intervención sistémica</w:t>
            </w:r>
          </w:p>
          <w:p>
            <w:pPr>
              <w:pStyle w:val="Recuadro"/>
            </w:pPr>
            <w:r>
              <w:t xml:space="preserve">1. </w:t>
            </w:r>
            <w:r>
              <w:rPr>
                <w:b/>
                <w:bCs/>
              </w:rPr>
              <w:t xml:space="preserve">Definir el objetivo.</w:t>
            </w:r>
            <w:r>
              <w:t xml:space="preserve"> Describe el patrón problemático y el indicador con el que reconocerás una mejora. (Guía de estudio · edición 20/10/2026 · pp. 23–24)</w:t>
            </w:r>
          </w:p>
          <w:p>
            <w:pPr>
              <w:pStyle w:val="Recuadro"/>
            </w:pPr>
            <w:r>
              <w:t xml:space="preserve">2. </w:t>
            </w:r>
            <w:r>
              <w:rPr>
                <w:b/>
                <w:bCs/>
              </w:rPr>
              <w:t xml:space="preserve">Proponer alternativas.</w:t>
            </w:r>
            <w:r>
              <w:t xml:space="preserve"> Relaciona cada opción con la estructura y compara consecuencias en varios horizontes. (Guía de estudio · edición 20/10/2026 · pp. 23–24)</w:t>
            </w:r>
          </w:p>
          <w:p>
            <w:pPr>
              <w:pStyle w:val="Recuadro"/>
            </w:pPr>
            <w:r>
              <w:t xml:space="preserve">3. </w:t>
            </w:r>
            <w:r>
              <w:rPr>
                <w:b/>
                <w:bCs/>
              </w:rPr>
              <w:t xml:space="preserve">Elegir la palanca.</w:t>
            </w:r>
            <w:r>
              <w:t xml:space="preserve"> Explica qué cambiará y por qué debería producir un efecto duradero. Explicita riesgos y demoras. (Guía de estudio · edición 20/10/2026 · pp. 23–24)</w:t>
            </w:r>
          </w:p>
          <w:p>
            <w:pPr>
              <w:pStyle w:val="Recuadro"/>
            </w:pPr>
            <w:r>
              <w:t xml:space="preserve">4. </w:t>
            </w:r>
            <w:r>
              <w:rPr>
                <w:b/>
                <w:bCs/>
              </w:rPr>
              <w:t xml:space="preserve">Revisar resultados.</w:t>
            </w:r>
            <w:r>
              <w:t xml:space="preserve"> Implementa, mide, contrasta con la referencia y ajusta el plan mediante aproximación sucesiva. (Guía de estudio · edición 20/10/2026 · pp. 23–24)</w:t>
            </w:r>
          </w:p>
          <w:p>
            <w:pPr>
              <w:pStyle w:val="Recuadro"/>
            </w:pPr>
            <w:r>
              <w:t xml:space="preserve">Decisión = intervención explicada + indicadores + revisión.</w:t>
            </w:r>
          </w:p>
        </w:tc>
      </w:tr>
    </w:tbl>
    <w:p>
      <w:pPr>
        <w:pStyle w:val="Heading3"/>
      </w:pPr>
      <w:bookmarkStart w:name="b_tabla_4_6_g3_g3_arquetipos" w:id="4748"/>
      <w:r>
        <w:t xml:space="preserve">Los ocho arquetipos</w:t>
      </w:r>
      <w:bookmarkEnd w:id="4748"/>
    </w:p>
    <w:tbl>
      <w:tblPr>
        <w:tblW w:type="dxa" w:w="9632"/>
        <w:tblBorders>
          <w:top w:val="single" w:color="C5D5DB" w:sz="4"/>
          <w:left w:val="single" w:color="C5D5DB" w:sz="4"/>
          <w:bottom w:val="single" w:color="C5D5DB" w:sz="4"/>
          <w:right w:val="single" w:color="C5D5DB" w:sz="4"/>
          <w:insideH w:val="single" w:color="E4E9EB" w:sz="3"/>
          <w:insideV w:val="single" w:color="E4E9EB" w:sz="3"/>
        </w:tblBorders>
        <w:tblLayout w:type="fixed"/>
      </w:tblPr>
      <w:tblGrid>
        <w:gridCol w:w="4816"/>
        <w:gridCol w:w="4816"/>
      </w:tblGrid>
      <w:tr>
        <w:trPr>
          <w:cantSplit/>
          <w:tblHeader/>
        </w:trPr>
        <w:tc>
          <w:tcPr>
            <w:tcW w:type="dxa" w:w="4816"/>
            <w:shd w:fill="DFEAF0" w:val="clear"/>
            <w:tcMar>
              <w:top w:type="dxa" w:w="80"/>
              <w:left w:type="dxa" w:w="100"/>
              <w:bottom w:type="dxa" w:w="80"/>
              <w:right w:type="dxa" w:w="100"/>
            </w:tcMar>
          </w:tcPr>
          <w:p>
            <w:pPr>
              <w:pStyle w:val="Tabla"/>
            </w:pPr>
            <w:r>
              <w:rPr>
                <w:b/>
                <w:bCs/>
              </w:rPr>
              <w:t xml:space="preserve">Arquetipo</w:t>
            </w:r>
          </w:p>
        </w:tc>
        <w:tc>
          <w:tcPr>
            <w:tcW w:type="dxa" w:w="4816"/>
            <w:shd w:fill="DFEAF0" w:val="clear"/>
            <w:tcMar>
              <w:top w:type="dxa" w:w="80"/>
              <w:left w:type="dxa" w:w="100"/>
              <w:bottom w:type="dxa" w:w="80"/>
              <w:right w:type="dxa" w:w="100"/>
            </w:tcMar>
          </w:tcPr>
          <w:p>
            <w:pPr>
              <w:pStyle w:val="Tabla"/>
            </w:pPr>
            <w:r>
              <w:rPr>
                <w:b/>
                <w:bCs/>
              </w:rPr>
              <w:t xml:space="preserve">Patrón para reconocerlo</w:t>
            </w:r>
          </w:p>
        </w:tc>
      </w:tr>
      <w:tr>
        <w:trPr>
          <w:cantSplit/>
          <w:tblHeader w:val="off"/>
        </w:trPr>
        <w:tc>
          <w:tcPr>
            <w:tcW w:type="dxa" w:w="4816"/>
            <w:tcMar>
              <w:top w:type="dxa" w:w="80"/>
              <w:left w:type="dxa" w:w="100"/>
              <w:bottom w:type="dxa" w:w="80"/>
              <w:right w:type="dxa" w:w="100"/>
            </w:tcMar>
          </w:tcPr>
          <w:p>
            <w:pPr>
              <w:pStyle w:val="Tabla"/>
            </w:pPr>
            <w:r>
              <w:t xml:space="preserve">Límites del crecimiento</w:t>
            </w:r>
          </w:p>
        </w:tc>
        <w:tc>
          <w:tcPr>
            <w:tcW w:type="dxa" w:w="4816"/>
            <w:tcMar>
              <w:top w:type="dxa" w:w="80"/>
              <w:left w:type="dxa" w:w="100"/>
              <w:bottom w:type="dxa" w:w="80"/>
              <w:right w:type="dxa" w:w="100"/>
            </w:tcMar>
          </w:tcPr>
          <w:p>
            <w:pPr>
              <w:pStyle w:val="Tabla"/>
            </w:pPr>
            <w:r>
              <w:t xml:space="preserve">Crecimiento acelerado que se vuelve lento, se detiene y puede revertirse en un colapso acelerado.</w:t>
            </w:r>
          </w:p>
        </w:tc>
      </w:tr>
      <w:tr>
        <w:trPr>
          <w:cantSplit/>
          <w:tblHeader w:val="off"/>
        </w:trPr>
        <w:tc>
          <w:tcPr>
            <w:tcW w:type="dxa" w:w="4816"/>
            <w:tcMar>
              <w:top w:type="dxa" w:w="80"/>
              <w:left w:type="dxa" w:w="100"/>
              <w:bottom w:type="dxa" w:w="80"/>
              <w:right w:type="dxa" w:w="100"/>
            </w:tcMar>
          </w:tcPr>
          <w:p>
            <w:pPr>
              <w:pStyle w:val="Tabla"/>
            </w:pPr>
            <w:r>
              <w:t xml:space="preserve">Desplazamiento de la carga</w:t>
            </w:r>
          </w:p>
        </w:tc>
        <w:tc>
          <w:tcPr>
            <w:tcW w:type="dxa" w:w="4816"/>
            <w:tcMar>
              <w:top w:type="dxa" w:w="80"/>
              <w:left w:type="dxa" w:w="100"/>
              <w:bottom w:type="dxa" w:w="80"/>
              <w:right w:type="dxa" w:w="100"/>
            </w:tcMar>
          </w:tcPr>
          <w:p>
            <w:pPr>
              <w:pStyle w:val="Tabla"/>
            </w:pPr>
            <w:r>
              <w:t xml:space="preserve">Alivio inmediato y recaídas: el síntoma vuelve, el parche se usa cada vez más y la capacidad de resolver de fondo se atrofia.</w:t>
            </w:r>
          </w:p>
        </w:tc>
      </w:tr>
      <w:tr>
        <w:trPr>
          <w:cantSplit/>
          <w:tblHeader w:val="off"/>
        </w:trPr>
        <w:tc>
          <w:tcPr>
            <w:tcW w:type="dxa" w:w="4816"/>
            <w:tcMar>
              <w:top w:type="dxa" w:w="80"/>
              <w:left w:type="dxa" w:w="100"/>
              <w:bottom w:type="dxa" w:w="80"/>
              <w:right w:type="dxa" w:w="100"/>
            </w:tcMar>
          </w:tcPr>
          <w:p>
            <w:pPr>
              <w:pStyle w:val="Tabla"/>
            </w:pPr>
            <w:r>
              <w:t xml:space="preserve">Erosión de metas</w:t>
            </w:r>
          </w:p>
        </w:tc>
        <w:tc>
          <w:tcPr>
            <w:tcW w:type="dxa" w:w="4816"/>
            <w:tcMar>
              <w:top w:type="dxa" w:w="80"/>
              <w:left w:type="dxa" w:w="100"/>
              <w:bottom w:type="dxa" w:w="80"/>
              <w:right w:type="dxa" w:w="100"/>
            </w:tcMar>
          </w:tcPr>
          <w:p>
            <w:pPr>
              <w:pStyle w:val="Tabla"/>
            </w:pPr>
            <w:r>
              <w:t xml:space="preserve">La meta baja escalón por escalón y el desempeño la sigue: los indicadores caen sin que nadie lo decida.</w:t>
            </w:r>
          </w:p>
        </w:tc>
      </w:tr>
      <w:tr>
        <w:trPr>
          <w:cantSplit/>
          <w:tblHeader w:val="off"/>
        </w:trPr>
        <w:tc>
          <w:tcPr>
            <w:tcW w:type="dxa" w:w="4816"/>
            <w:tcMar>
              <w:top w:type="dxa" w:w="80"/>
              <w:left w:type="dxa" w:w="100"/>
              <w:bottom w:type="dxa" w:w="80"/>
              <w:right w:type="dxa" w:w="100"/>
            </w:tcMar>
          </w:tcPr>
          <w:p>
            <w:pPr>
              <w:pStyle w:val="Tabla"/>
            </w:pPr>
            <w:r>
              <w:t xml:space="preserve">Escalada</w:t>
            </w:r>
          </w:p>
        </w:tc>
        <w:tc>
          <w:tcPr>
            <w:tcW w:type="dxa" w:w="4816"/>
            <w:tcMar>
              <w:top w:type="dxa" w:w="80"/>
              <w:left w:type="dxa" w:w="100"/>
              <w:bottom w:type="dxa" w:w="80"/>
              <w:right w:type="dxa" w:w="100"/>
            </w:tcMar>
          </w:tcPr>
          <w:p>
            <w:pPr>
              <w:pStyle w:val="Tabla"/>
            </w:pPr>
            <w:r>
              <w:t xml:space="preserve">Una espiral que crece en ambas partes a la vez: cada respuesta «defensiva» provoca la siguiente.</w:t>
            </w:r>
          </w:p>
        </w:tc>
      </w:tr>
      <w:tr>
        <w:trPr>
          <w:cantSplit/>
          <w:tblHeader w:val="off"/>
        </w:trPr>
        <w:tc>
          <w:tcPr>
            <w:tcW w:type="dxa" w:w="4816"/>
            <w:tcMar>
              <w:top w:type="dxa" w:w="80"/>
              <w:left w:type="dxa" w:w="100"/>
              <w:bottom w:type="dxa" w:w="80"/>
              <w:right w:type="dxa" w:w="100"/>
            </w:tcMar>
          </w:tcPr>
          <w:p>
            <w:pPr>
              <w:pStyle w:val="Tabla"/>
            </w:pPr>
            <w:r>
              <w:t xml:space="preserve">Éxito para quien tiene éxito</w:t>
            </w:r>
          </w:p>
        </w:tc>
        <w:tc>
          <w:tcPr>
            <w:tcW w:type="dxa" w:w="4816"/>
            <w:tcMar>
              <w:top w:type="dxa" w:w="80"/>
              <w:left w:type="dxa" w:w="100"/>
              <w:bottom w:type="dxa" w:w="80"/>
              <w:right w:type="dxa" w:w="100"/>
            </w:tcMar>
          </w:tcPr>
          <w:p>
            <w:pPr>
              <w:pStyle w:val="Tabla"/>
            </w:pPr>
            <w:r>
              <w:t xml:space="preserve">Divergencia: una pequeña ventaja inicial se convierte en éxito creciente para uno y abandono para el otro.</w:t>
            </w:r>
          </w:p>
        </w:tc>
      </w:tr>
      <w:tr>
        <w:trPr>
          <w:cantSplit/>
          <w:tblHeader w:val="off"/>
        </w:trPr>
        <w:tc>
          <w:tcPr>
            <w:tcW w:type="dxa" w:w="4816"/>
            <w:tcMar>
              <w:top w:type="dxa" w:w="80"/>
              <w:left w:type="dxa" w:w="100"/>
              <w:bottom w:type="dxa" w:w="80"/>
              <w:right w:type="dxa" w:w="100"/>
            </w:tcMar>
          </w:tcPr>
          <w:p>
            <w:pPr>
              <w:pStyle w:val="Tabla"/>
            </w:pPr>
            <w:r>
              <w:t xml:space="preserve">Tragedia de los comunes</w:t>
            </w:r>
          </w:p>
        </w:tc>
        <w:tc>
          <w:tcPr>
            <w:tcW w:type="dxa" w:w="4816"/>
            <w:tcMar>
              <w:top w:type="dxa" w:w="80"/>
              <w:left w:type="dxa" w:w="100"/>
              <w:bottom w:type="dxa" w:w="80"/>
              <w:right w:type="dxa" w:w="100"/>
            </w:tcMar>
          </w:tcPr>
          <w:p>
            <w:pPr>
              <w:pStyle w:val="Tabla"/>
            </w:pPr>
            <w:r>
              <w:t xml:space="preserve">Ganancias que crecen para todos y luego caen para todos cuando el recurso compartido se agota.</w:t>
            </w:r>
          </w:p>
        </w:tc>
      </w:tr>
      <w:tr>
        <w:trPr>
          <w:cantSplit/>
          <w:tblHeader w:val="off"/>
        </w:trPr>
        <w:tc>
          <w:tcPr>
            <w:tcW w:type="dxa" w:w="4816"/>
            <w:tcMar>
              <w:top w:type="dxa" w:w="80"/>
              <w:left w:type="dxa" w:w="100"/>
              <w:bottom w:type="dxa" w:w="80"/>
              <w:right w:type="dxa" w:w="100"/>
            </w:tcMar>
          </w:tcPr>
          <w:p>
            <w:pPr>
              <w:pStyle w:val="Tabla"/>
            </w:pPr>
            <w:r>
              <w:t xml:space="preserve">Soluciones rápidas que fallan</w:t>
            </w:r>
          </w:p>
        </w:tc>
        <w:tc>
          <w:tcPr>
            <w:tcW w:type="dxa" w:w="4816"/>
            <w:tcMar>
              <w:top w:type="dxa" w:w="80"/>
              <w:left w:type="dxa" w:w="100"/>
              <w:bottom w:type="dxa" w:w="80"/>
              <w:right w:type="dxa" w:w="100"/>
            </w:tcMar>
          </w:tcPr>
          <w:p>
            <w:pPr>
              <w:pStyle w:val="Tabla"/>
            </w:pPr>
            <w:r>
              <w:t xml:space="preserve">Alivio rápido y recaída cada vez más fuerte: hay que aplicar la misma solución con más frecuencia.</w:t>
            </w:r>
          </w:p>
        </w:tc>
      </w:tr>
      <w:tr>
        <w:trPr>
          <w:cantSplit/>
          <w:tblHeader w:val="off"/>
        </w:trPr>
        <w:tc>
          <w:tcPr>
            <w:tcW w:type="dxa" w:w="4816"/>
            <w:tcMar>
              <w:top w:type="dxa" w:w="80"/>
              <w:left w:type="dxa" w:w="100"/>
              <w:bottom w:type="dxa" w:w="80"/>
              <w:right w:type="dxa" w:w="100"/>
            </w:tcMar>
          </w:tcPr>
          <w:p>
            <w:pPr>
              <w:pStyle w:val="Tabla"/>
            </w:pPr>
            <w:r>
              <w:t xml:space="preserve">Crecimiento y subinversión</w:t>
            </w:r>
          </w:p>
        </w:tc>
        <w:tc>
          <w:tcPr>
            <w:tcW w:type="dxa" w:w="4816"/>
            <w:tcMar>
              <w:top w:type="dxa" w:w="80"/>
              <w:left w:type="dxa" w:w="100"/>
              <w:bottom w:type="dxa" w:w="80"/>
              <w:right w:type="dxa" w:w="100"/>
            </w:tcMar>
          </w:tcPr>
          <w:p>
            <w:pPr>
              <w:pStyle w:val="Tabla"/>
            </w:pPr>
            <w:r>
              <w:t xml:space="preserve">El crecimiento se estanca mientras las metas bajan: una profecía que se cumple a sí misma.</w:t>
            </w:r>
          </w:p>
        </w:tc>
      </w:tr>
    </w:tbl>
    <w:p>
      <w:pPr>
        <w:pStyle w:val="Fuente"/>
      </w:pPr>
      <w:r>
        <w:t xml:space="preserve">Lecturas L-17 y L-18; los patrones son las explicaciones editoriales de la lección. Comprueba ciclos y demoras antes de asignar un nombre.</w:t>
      </w:r>
    </w:p>
    <w:p>
      <w:pPr>
        <w:pStyle w:val="Heading3"/>
      </w:pPr>
      <w:bookmarkStart w:name="b_tabla_4_6_g3_g3_palancas" w:id="4749"/>
      <w:r>
        <w:t xml:space="preserve">Lugares para intervenir</w:t>
      </w:r>
      <w:bookmarkEnd w:id="4749"/>
    </w:p>
    <w:tbl>
      <w:tblPr>
        <w:tblW w:type="dxa" w:w="9632"/>
        <w:tblBorders>
          <w:top w:val="single" w:color="C5D5DB" w:sz="4"/>
          <w:left w:val="single" w:color="C5D5DB" w:sz="4"/>
          <w:bottom w:val="single" w:color="C5D5DB" w:sz="4"/>
          <w:right w:val="single" w:color="C5D5DB" w:sz="4"/>
          <w:insideH w:val="single" w:color="E4E9EB" w:sz="3"/>
          <w:insideV w:val="single" w:color="E4E9EB" w:sz="3"/>
        </w:tblBorders>
        <w:tblLayout w:type="fixed"/>
      </w:tblPr>
      <w:tblGrid>
        <w:gridCol w:w="3212"/>
        <w:gridCol w:w="3210"/>
        <w:gridCol w:w="3210"/>
      </w:tblGrid>
      <w:tr>
        <w:trPr>
          <w:cantSplit/>
          <w:tblHeader/>
        </w:trPr>
        <w:tc>
          <w:tcPr>
            <w:tcW w:type="dxa" w:w="3212"/>
            <w:shd w:fill="DFEAF0" w:val="clear"/>
            <w:tcMar>
              <w:top w:type="dxa" w:w="80"/>
              <w:left w:type="dxa" w:w="100"/>
              <w:bottom w:type="dxa" w:w="80"/>
              <w:right w:type="dxa" w:w="100"/>
            </w:tcMar>
          </w:tcPr>
          <w:p>
            <w:pPr>
              <w:pStyle w:val="Tabla"/>
            </w:pPr>
            <w:r>
              <w:rPr>
                <w:b/>
                <w:bCs/>
              </w:rPr>
              <w:t xml:space="preserve">N.º de Meadows</w:t>
            </w:r>
          </w:p>
        </w:tc>
        <w:tc>
          <w:tcPr>
            <w:tcW w:type="dxa" w:w="3210"/>
            <w:shd w:fill="DFEAF0" w:val="clear"/>
            <w:tcMar>
              <w:top w:type="dxa" w:w="80"/>
              <w:left w:type="dxa" w:w="100"/>
              <w:bottom w:type="dxa" w:w="80"/>
              <w:right w:type="dxa" w:w="100"/>
            </w:tcMar>
          </w:tcPr>
          <w:p>
            <w:pPr>
              <w:pStyle w:val="Tabla"/>
            </w:pPr>
            <w:r>
              <w:rPr>
                <w:b/>
                <w:bCs/>
              </w:rPr>
              <w:t xml:space="preserve">Lugar</w:t>
            </w:r>
          </w:p>
        </w:tc>
        <w:tc>
          <w:tcPr>
            <w:tcW w:type="dxa" w:w="3210"/>
            <w:shd w:fill="DFEAF0" w:val="clear"/>
            <w:tcMar>
              <w:top w:type="dxa" w:w="80"/>
              <w:left w:type="dxa" w:w="100"/>
              <w:bottom w:type="dxa" w:w="80"/>
              <w:right w:type="dxa" w:w="100"/>
            </w:tcMar>
          </w:tcPr>
          <w:p>
            <w:pPr>
              <w:pStyle w:val="Tabla"/>
            </w:pPr>
            <w:r>
              <w:rPr>
                <w:b/>
                <w:bCs/>
              </w:rPr>
              <w:t xml:space="preserve">Qué cambia</w:t>
            </w:r>
          </w:p>
        </w:tc>
      </w:tr>
      <w:tr>
        <w:trPr>
          <w:cantSplit/>
          <w:tblHeader w:val="off"/>
        </w:trPr>
        <w:tc>
          <w:tcPr>
            <w:tcW w:type="dxa" w:w="3212"/>
            <w:tcMar>
              <w:top w:type="dxa" w:w="80"/>
              <w:left w:type="dxa" w:w="100"/>
              <w:bottom w:type="dxa" w:w="80"/>
              <w:right w:type="dxa" w:w="100"/>
            </w:tcMar>
          </w:tcPr>
          <w:p>
            <w:pPr>
              <w:pStyle w:val="Tabla"/>
            </w:pPr>
            <w:r>
              <w:t xml:space="preserve">12</w:t>
            </w:r>
          </w:p>
        </w:tc>
        <w:tc>
          <w:tcPr>
            <w:tcW w:type="dxa" w:w="3210"/>
            <w:tcMar>
              <w:top w:type="dxa" w:w="80"/>
              <w:left w:type="dxa" w:w="100"/>
              <w:bottom w:type="dxa" w:w="80"/>
              <w:right w:type="dxa" w:w="100"/>
            </w:tcMar>
          </w:tcPr>
          <w:p>
            <w:pPr>
              <w:pStyle w:val="Tabla"/>
            </w:pPr>
            <w:r>
              <w:t xml:space="preserve">Los números y parámetros</w:t>
            </w:r>
          </w:p>
        </w:tc>
        <w:tc>
          <w:tcPr>
            <w:tcW w:type="dxa" w:w="3210"/>
            <w:tcMar>
              <w:top w:type="dxa" w:w="80"/>
              <w:left w:type="dxa" w:w="100"/>
              <w:bottom w:type="dxa" w:w="80"/>
              <w:right w:type="dxa" w:w="100"/>
            </w:tcMar>
          </w:tcPr>
          <w:p>
            <w:pPr>
              <w:pStyle w:val="Tabla"/>
            </w:pPr>
            <w:r>
              <w:t xml:space="preserve">Constantes y parámetros: impuestos, subsidios, salarios mínimos, estándares.</w:t>
            </w:r>
          </w:p>
        </w:tc>
      </w:tr>
      <w:tr>
        <w:trPr>
          <w:cantSplit/>
          <w:tblHeader w:val="off"/>
        </w:trPr>
        <w:tc>
          <w:tcPr>
            <w:tcW w:type="dxa" w:w="3212"/>
            <w:tcMar>
              <w:top w:type="dxa" w:w="80"/>
              <w:left w:type="dxa" w:w="100"/>
              <w:bottom w:type="dxa" w:w="80"/>
              <w:right w:type="dxa" w:w="100"/>
            </w:tcMar>
          </w:tcPr>
          <w:p>
            <w:pPr>
              <w:pStyle w:val="Tabla"/>
            </w:pPr>
            <w:r>
              <w:t xml:space="preserve">11</w:t>
            </w:r>
          </w:p>
        </w:tc>
        <w:tc>
          <w:tcPr>
            <w:tcW w:type="dxa" w:w="3210"/>
            <w:tcMar>
              <w:top w:type="dxa" w:w="80"/>
              <w:left w:type="dxa" w:w="100"/>
              <w:bottom w:type="dxa" w:w="80"/>
              <w:right w:type="dxa" w:w="100"/>
            </w:tcMar>
          </w:tcPr>
          <w:p>
            <w:pPr>
              <w:pStyle w:val="Tabla"/>
            </w:pPr>
            <w:r>
              <w:t xml:space="preserve">El tamaño de los amortiguadores</w:t>
            </w:r>
          </w:p>
        </w:tc>
        <w:tc>
          <w:tcPr>
            <w:tcW w:type="dxa" w:w="3210"/>
            <w:tcMar>
              <w:top w:type="dxa" w:w="80"/>
              <w:left w:type="dxa" w:w="100"/>
              <w:bottom w:type="dxa" w:w="80"/>
              <w:right w:type="dxa" w:w="100"/>
            </w:tcMar>
          </w:tcPr>
          <w:p>
            <w:pPr>
              <w:pStyle w:val="Tabla"/>
            </w:pPr>
            <w:r>
              <w:t xml:space="preserve">El tamaño de los stocks estabilizadores frente a sus flujos: reservas, inventarios.</w:t>
            </w:r>
          </w:p>
        </w:tc>
      </w:tr>
      <w:tr>
        <w:trPr>
          <w:cantSplit/>
          <w:tblHeader w:val="off"/>
        </w:trPr>
        <w:tc>
          <w:tcPr>
            <w:tcW w:type="dxa" w:w="3212"/>
            <w:tcMar>
              <w:top w:type="dxa" w:w="80"/>
              <w:left w:type="dxa" w:w="100"/>
              <w:bottom w:type="dxa" w:w="80"/>
              <w:right w:type="dxa" w:w="100"/>
            </w:tcMar>
          </w:tcPr>
          <w:p>
            <w:pPr>
              <w:pStyle w:val="Tabla"/>
            </w:pPr>
            <w:r>
              <w:t xml:space="preserve">10</w:t>
            </w:r>
          </w:p>
        </w:tc>
        <w:tc>
          <w:tcPr>
            <w:tcW w:type="dxa" w:w="3210"/>
            <w:tcMar>
              <w:top w:type="dxa" w:w="80"/>
              <w:left w:type="dxa" w:w="100"/>
              <w:bottom w:type="dxa" w:w="80"/>
              <w:right w:type="dxa" w:w="100"/>
            </w:tcMar>
          </w:tcPr>
          <w:p>
            <w:pPr>
              <w:pStyle w:val="Tabla"/>
            </w:pPr>
            <w:r>
              <w:t xml:space="preserve">La estructura de stocks y flujos</w:t>
            </w:r>
          </w:p>
        </w:tc>
        <w:tc>
          <w:tcPr>
            <w:tcW w:type="dxa" w:w="3210"/>
            <w:tcMar>
              <w:top w:type="dxa" w:w="80"/>
              <w:left w:type="dxa" w:w="100"/>
              <w:bottom w:type="dxa" w:w="80"/>
              <w:right w:type="dxa" w:w="100"/>
            </w:tcMar>
          </w:tcPr>
          <w:p>
            <w:pPr>
              <w:pStyle w:val="Tabla"/>
            </w:pPr>
            <w:r>
              <w:t xml:space="preserve">La red física del sistema: rutas de transporte, pirámides de edad, cañerías.</w:t>
            </w:r>
          </w:p>
        </w:tc>
      </w:tr>
      <w:tr>
        <w:trPr>
          <w:cantSplit/>
          <w:tblHeader w:val="off"/>
        </w:trPr>
        <w:tc>
          <w:tcPr>
            <w:tcW w:type="dxa" w:w="3212"/>
            <w:tcMar>
              <w:top w:type="dxa" w:w="80"/>
              <w:left w:type="dxa" w:w="100"/>
              <w:bottom w:type="dxa" w:w="80"/>
              <w:right w:type="dxa" w:w="100"/>
            </w:tcMar>
          </w:tcPr>
          <w:p>
            <w:pPr>
              <w:pStyle w:val="Tabla"/>
            </w:pPr>
            <w:r>
              <w:t xml:space="preserve">9</w:t>
            </w:r>
          </w:p>
        </w:tc>
        <w:tc>
          <w:tcPr>
            <w:tcW w:type="dxa" w:w="3210"/>
            <w:tcMar>
              <w:top w:type="dxa" w:w="80"/>
              <w:left w:type="dxa" w:w="100"/>
              <w:bottom w:type="dxa" w:w="80"/>
              <w:right w:type="dxa" w:w="100"/>
            </w:tcMar>
          </w:tcPr>
          <w:p>
            <w:pPr>
              <w:pStyle w:val="Tabla"/>
            </w:pPr>
            <w:r>
              <w:t xml:space="preserve">Las demoras del sistema</w:t>
            </w:r>
          </w:p>
        </w:tc>
        <w:tc>
          <w:tcPr>
            <w:tcW w:type="dxa" w:w="3210"/>
            <w:tcMar>
              <w:top w:type="dxa" w:w="80"/>
              <w:left w:type="dxa" w:w="100"/>
              <w:bottom w:type="dxa" w:w="80"/>
              <w:right w:type="dxa" w:w="100"/>
            </w:tcMar>
          </w:tcPr>
          <w:p>
            <w:pPr>
              <w:pStyle w:val="Tabla"/>
            </w:pPr>
            <w:r>
              <w:t xml:space="preserve">La longitud de los retardos frente a la rapidez con que cambia el sistema.</w:t>
            </w:r>
          </w:p>
        </w:tc>
      </w:tr>
      <w:tr>
        <w:trPr>
          <w:cantSplit/>
          <w:tblHeader w:val="off"/>
        </w:trPr>
        <w:tc>
          <w:tcPr>
            <w:tcW w:type="dxa" w:w="3212"/>
            <w:tcMar>
              <w:top w:type="dxa" w:w="80"/>
              <w:left w:type="dxa" w:w="100"/>
              <w:bottom w:type="dxa" w:w="80"/>
              <w:right w:type="dxa" w:w="100"/>
            </w:tcMar>
          </w:tcPr>
          <w:p>
            <w:pPr>
              <w:pStyle w:val="Tabla"/>
            </w:pPr>
            <w:r>
              <w:t xml:space="preserve">8</w:t>
            </w:r>
          </w:p>
        </w:tc>
        <w:tc>
          <w:tcPr>
            <w:tcW w:type="dxa" w:w="3210"/>
            <w:tcMar>
              <w:top w:type="dxa" w:w="80"/>
              <w:left w:type="dxa" w:w="100"/>
              <w:bottom w:type="dxa" w:w="80"/>
              <w:right w:type="dxa" w:w="100"/>
            </w:tcMar>
          </w:tcPr>
          <w:p>
            <w:pPr>
              <w:pStyle w:val="Tabla"/>
            </w:pPr>
            <w:r>
              <w:t xml:space="preserve">La fuerza de los bucles de balance</w:t>
            </w:r>
          </w:p>
        </w:tc>
        <w:tc>
          <w:tcPr>
            <w:tcW w:type="dxa" w:w="3210"/>
            <w:tcMar>
              <w:top w:type="dxa" w:w="80"/>
              <w:left w:type="dxa" w:w="100"/>
              <w:bottom w:type="dxa" w:w="80"/>
              <w:right w:type="dxa" w:w="100"/>
            </w:tcMar>
          </w:tcPr>
          <w:p>
            <w:pPr>
              <w:pStyle w:val="Tabla"/>
            </w:pPr>
            <w:r>
              <w:t xml:space="preserve">El poder de la retroalimentación compensadora que estabiliza y corrige desvíos.</w:t>
            </w:r>
          </w:p>
        </w:tc>
      </w:tr>
      <w:tr>
        <w:trPr>
          <w:cantSplit/>
          <w:tblHeader w:val="off"/>
        </w:trPr>
        <w:tc>
          <w:tcPr>
            <w:tcW w:type="dxa" w:w="3212"/>
            <w:tcMar>
              <w:top w:type="dxa" w:w="80"/>
              <w:left w:type="dxa" w:w="100"/>
              <w:bottom w:type="dxa" w:w="80"/>
              <w:right w:type="dxa" w:w="100"/>
            </w:tcMar>
          </w:tcPr>
          <w:p>
            <w:pPr>
              <w:pStyle w:val="Tabla"/>
            </w:pPr>
            <w:r>
              <w:t xml:space="preserve">7</w:t>
            </w:r>
          </w:p>
        </w:tc>
        <w:tc>
          <w:tcPr>
            <w:tcW w:type="dxa" w:w="3210"/>
            <w:tcMar>
              <w:top w:type="dxa" w:w="80"/>
              <w:left w:type="dxa" w:w="100"/>
              <w:bottom w:type="dxa" w:w="80"/>
              <w:right w:type="dxa" w:w="100"/>
            </w:tcMar>
          </w:tcPr>
          <w:p>
            <w:pPr>
              <w:pStyle w:val="Tabla"/>
            </w:pPr>
            <w:r>
              <w:t xml:space="preserve">La ganancia de los bucles de refuerzo</w:t>
            </w:r>
          </w:p>
        </w:tc>
        <w:tc>
          <w:tcPr>
            <w:tcW w:type="dxa" w:w="3210"/>
            <w:tcMar>
              <w:top w:type="dxa" w:w="80"/>
              <w:left w:type="dxa" w:w="100"/>
              <w:bottom w:type="dxa" w:w="80"/>
              <w:right w:type="dxa" w:w="100"/>
            </w:tcMar>
          </w:tcPr>
          <w:p>
            <w:pPr>
              <w:pStyle w:val="Tabla"/>
            </w:pPr>
            <w:r>
              <w:t xml:space="preserve">La fuerza de la retroalimentación positiva que amplifica el crecimiento (o el colapso).</w:t>
            </w:r>
          </w:p>
        </w:tc>
      </w:tr>
      <w:tr>
        <w:trPr>
          <w:cantSplit/>
          <w:tblHeader w:val="off"/>
        </w:trPr>
        <w:tc>
          <w:tcPr>
            <w:tcW w:type="dxa" w:w="3212"/>
            <w:tcMar>
              <w:top w:type="dxa" w:w="80"/>
              <w:left w:type="dxa" w:w="100"/>
              <w:bottom w:type="dxa" w:w="80"/>
              <w:right w:type="dxa" w:w="100"/>
            </w:tcMar>
          </w:tcPr>
          <w:p>
            <w:pPr>
              <w:pStyle w:val="Tabla"/>
            </w:pPr>
            <w:r>
              <w:t xml:space="preserve">6</w:t>
            </w:r>
          </w:p>
        </w:tc>
        <w:tc>
          <w:tcPr>
            <w:tcW w:type="dxa" w:w="3210"/>
            <w:tcMar>
              <w:top w:type="dxa" w:w="80"/>
              <w:left w:type="dxa" w:w="100"/>
              <w:bottom w:type="dxa" w:w="80"/>
              <w:right w:type="dxa" w:w="100"/>
            </w:tcMar>
          </w:tcPr>
          <w:p>
            <w:pPr>
              <w:pStyle w:val="Tabla"/>
            </w:pPr>
            <w:r>
              <w:t xml:space="preserve">Los flujos de información</w:t>
            </w:r>
          </w:p>
        </w:tc>
        <w:tc>
          <w:tcPr>
            <w:tcW w:type="dxa" w:w="3210"/>
            <w:tcMar>
              <w:top w:type="dxa" w:w="80"/>
              <w:left w:type="dxa" w:w="100"/>
              <w:bottom w:type="dxa" w:w="80"/>
              <w:right w:type="dxa" w:w="100"/>
            </w:tcMar>
          </w:tcPr>
          <w:p>
            <w:pPr>
              <w:pStyle w:val="Tabla"/>
            </w:pPr>
            <w:r>
              <w:t xml:space="preserve">Quién tiene —y quién no— acceso a la información; abrir nuevos bucles de información.</w:t>
            </w:r>
          </w:p>
        </w:tc>
      </w:tr>
      <w:tr>
        <w:trPr>
          <w:cantSplit/>
          <w:tblHeader w:val="off"/>
        </w:trPr>
        <w:tc>
          <w:tcPr>
            <w:tcW w:type="dxa" w:w="3212"/>
            <w:tcMar>
              <w:top w:type="dxa" w:w="80"/>
              <w:left w:type="dxa" w:w="100"/>
              <w:bottom w:type="dxa" w:w="80"/>
              <w:right w:type="dxa" w:w="100"/>
            </w:tcMar>
          </w:tcPr>
          <w:p>
            <w:pPr>
              <w:pStyle w:val="Tabla"/>
            </w:pPr>
            <w:r>
              <w:t xml:space="preserve">5</w:t>
            </w:r>
          </w:p>
        </w:tc>
        <w:tc>
          <w:tcPr>
            <w:tcW w:type="dxa" w:w="3210"/>
            <w:tcMar>
              <w:top w:type="dxa" w:w="80"/>
              <w:left w:type="dxa" w:w="100"/>
              <w:bottom w:type="dxa" w:w="80"/>
              <w:right w:type="dxa" w:w="100"/>
            </w:tcMar>
          </w:tcPr>
          <w:p>
            <w:pPr>
              <w:pStyle w:val="Tabla"/>
            </w:pPr>
            <w:r>
              <w:t xml:space="preserve">Las reglas del sistema</w:t>
            </w:r>
          </w:p>
        </w:tc>
        <w:tc>
          <w:tcPr>
            <w:tcW w:type="dxa" w:w="3210"/>
            <w:tcMar>
              <w:top w:type="dxa" w:w="80"/>
              <w:left w:type="dxa" w:w="100"/>
              <w:bottom w:type="dxa" w:w="80"/>
              <w:right w:type="dxa" w:w="100"/>
            </w:tcMar>
          </w:tcPr>
          <w:p>
            <w:pPr>
              <w:pStyle w:val="Tabla"/>
            </w:pPr>
            <w:r>
              <w:t xml:space="preserve">Incentivos, castigos y restricciones: leyes, contratos, normas.</w:t>
            </w:r>
          </w:p>
        </w:tc>
      </w:tr>
      <w:tr>
        <w:trPr>
          <w:cantSplit/>
          <w:tblHeader w:val="off"/>
        </w:trPr>
        <w:tc>
          <w:tcPr>
            <w:tcW w:type="dxa" w:w="3212"/>
            <w:tcMar>
              <w:top w:type="dxa" w:w="80"/>
              <w:left w:type="dxa" w:w="100"/>
              <w:bottom w:type="dxa" w:w="80"/>
              <w:right w:type="dxa" w:w="100"/>
            </w:tcMar>
          </w:tcPr>
          <w:p>
            <w:pPr>
              <w:pStyle w:val="Tabla"/>
            </w:pPr>
            <w:r>
              <w:t xml:space="preserve">4</w:t>
            </w:r>
          </w:p>
        </w:tc>
        <w:tc>
          <w:tcPr>
            <w:tcW w:type="dxa" w:w="3210"/>
            <w:tcMar>
              <w:top w:type="dxa" w:w="80"/>
              <w:left w:type="dxa" w:w="100"/>
              <w:bottom w:type="dxa" w:w="80"/>
              <w:right w:type="dxa" w:w="100"/>
            </w:tcMar>
          </w:tcPr>
          <w:p>
            <w:pPr>
              <w:pStyle w:val="Tabla"/>
            </w:pPr>
            <w:r>
              <w:t xml:space="preserve">La autoorganización</w:t>
            </w:r>
          </w:p>
        </w:tc>
        <w:tc>
          <w:tcPr>
            <w:tcW w:type="dxa" w:w="3210"/>
            <w:tcMar>
              <w:top w:type="dxa" w:w="80"/>
              <w:left w:type="dxa" w:w="100"/>
              <w:bottom w:type="dxa" w:w="80"/>
              <w:right w:type="dxa" w:w="100"/>
            </w:tcMar>
          </w:tcPr>
          <w:p>
            <w:pPr>
              <w:pStyle w:val="Tabla"/>
            </w:pPr>
            <w:r>
              <w:t xml:space="preserve">El poder del sistema para añadir, cambiar y evolucionar su propia estructura.</w:t>
            </w:r>
          </w:p>
        </w:tc>
      </w:tr>
      <w:tr>
        <w:trPr>
          <w:cantSplit/>
          <w:tblHeader w:val="off"/>
        </w:trPr>
        <w:tc>
          <w:tcPr>
            <w:tcW w:type="dxa" w:w="3212"/>
            <w:tcMar>
              <w:top w:type="dxa" w:w="80"/>
              <w:left w:type="dxa" w:w="100"/>
              <w:bottom w:type="dxa" w:w="80"/>
              <w:right w:type="dxa" w:w="100"/>
            </w:tcMar>
          </w:tcPr>
          <w:p>
            <w:pPr>
              <w:pStyle w:val="Tabla"/>
            </w:pPr>
            <w:r>
              <w:t xml:space="preserve">3</w:t>
            </w:r>
          </w:p>
        </w:tc>
        <w:tc>
          <w:tcPr>
            <w:tcW w:type="dxa" w:w="3210"/>
            <w:tcMar>
              <w:top w:type="dxa" w:w="80"/>
              <w:left w:type="dxa" w:w="100"/>
              <w:bottom w:type="dxa" w:w="80"/>
              <w:right w:type="dxa" w:w="100"/>
            </w:tcMar>
          </w:tcPr>
          <w:p>
            <w:pPr>
              <w:pStyle w:val="Tabla"/>
            </w:pPr>
            <w:r>
              <w:t xml:space="preserve">Las metas del sistema</w:t>
            </w:r>
          </w:p>
        </w:tc>
        <w:tc>
          <w:tcPr>
            <w:tcW w:type="dxa" w:w="3210"/>
            <w:tcMar>
              <w:top w:type="dxa" w:w="80"/>
              <w:left w:type="dxa" w:w="100"/>
              <w:bottom w:type="dxa" w:w="80"/>
              <w:right w:type="dxa" w:w="100"/>
            </w:tcMar>
          </w:tcPr>
          <w:p>
            <w:pPr>
              <w:pStyle w:val="Tabla"/>
            </w:pPr>
            <w:r>
              <w:t xml:space="preserve">El propósito o la función que el sistema persigue de verdad.</w:t>
            </w:r>
          </w:p>
        </w:tc>
      </w:tr>
      <w:tr>
        <w:trPr>
          <w:cantSplit/>
          <w:tblHeader w:val="off"/>
        </w:trPr>
        <w:tc>
          <w:tcPr>
            <w:tcW w:type="dxa" w:w="3212"/>
            <w:tcMar>
              <w:top w:type="dxa" w:w="80"/>
              <w:left w:type="dxa" w:w="100"/>
              <w:bottom w:type="dxa" w:w="80"/>
              <w:right w:type="dxa" w:w="100"/>
            </w:tcMar>
          </w:tcPr>
          <w:p>
            <w:pPr>
              <w:pStyle w:val="Tabla"/>
            </w:pPr>
            <w:r>
              <w:t xml:space="preserve">2</w:t>
            </w:r>
          </w:p>
        </w:tc>
        <w:tc>
          <w:tcPr>
            <w:tcW w:type="dxa" w:w="3210"/>
            <w:tcMar>
              <w:top w:type="dxa" w:w="80"/>
              <w:left w:type="dxa" w:w="100"/>
              <w:bottom w:type="dxa" w:w="80"/>
              <w:right w:type="dxa" w:w="100"/>
            </w:tcMar>
          </w:tcPr>
          <w:p>
            <w:pPr>
              <w:pStyle w:val="Tabla"/>
            </w:pPr>
            <w:r>
              <w:t xml:space="preserve">El paradigma del sistema</w:t>
            </w:r>
          </w:p>
        </w:tc>
        <w:tc>
          <w:tcPr>
            <w:tcW w:type="dxa" w:w="3210"/>
            <w:tcMar>
              <w:top w:type="dxa" w:w="80"/>
              <w:left w:type="dxa" w:w="100"/>
              <w:bottom w:type="dxa" w:w="80"/>
              <w:right w:type="dxa" w:w="100"/>
            </w:tcMar>
          </w:tcPr>
          <w:p>
            <w:pPr>
              <w:pStyle w:val="Tabla"/>
            </w:pPr>
            <w:r>
              <w:t xml:space="preserve">La mentalidad compartida de la que emergen las metas, las reglas y la estructura.</w:t>
            </w:r>
          </w:p>
        </w:tc>
      </w:tr>
      <w:tr>
        <w:trPr>
          <w:cantSplit/>
          <w:tblHeader w:val="off"/>
        </w:trPr>
        <w:tc>
          <w:tcPr>
            <w:tcW w:type="dxa" w:w="3212"/>
            <w:tcMar>
              <w:top w:type="dxa" w:w="80"/>
              <w:left w:type="dxa" w:w="100"/>
              <w:bottom w:type="dxa" w:w="80"/>
              <w:right w:type="dxa" w:w="100"/>
            </w:tcMar>
          </w:tcPr>
          <w:p>
            <w:pPr>
              <w:pStyle w:val="Tabla"/>
            </w:pPr>
            <w:r>
              <w:t xml:space="preserve">1</w:t>
            </w:r>
          </w:p>
        </w:tc>
        <w:tc>
          <w:tcPr>
            <w:tcW w:type="dxa" w:w="3210"/>
            <w:tcMar>
              <w:top w:type="dxa" w:w="80"/>
              <w:left w:type="dxa" w:w="100"/>
              <w:bottom w:type="dxa" w:w="80"/>
              <w:right w:type="dxa" w:w="100"/>
            </w:tcMar>
          </w:tcPr>
          <w:p>
            <w:pPr>
              <w:pStyle w:val="Tabla"/>
            </w:pPr>
            <w:r>
              <w:t xml:space="preserve">Trascender los paradigmas</w:t>
            </w:r>
          </w:p>
        </w:tc>
        <w:tc>
          <w:tcPr>
            <w:tcW w:type="dxa" w:w="3210"/>
            <w:tcMar>
              <w:top w:type="dxa" w:w="80"/>
              <w:left w:type="dxa" w:w="100"/>
              <w:bottom w:type="dxa" w:w="80"/>
              <w:right w:type="dxa" w:w="100"/>
            </w:tcMar>
          </w:tcPr>
          <w:p>
            <w:pPr>
              <w:pStyle w:val="Tabla"/>
            </w:pPr>
            <w:r>
              <w:t xml:space="preserve">No aferrarse a ningún modelo mental; mantenerse flexible ante la incertidumbre.</w:t>
            </w:r>
          </w:p>
        </w:tc>
      </w:tr>
    </w:tbl>
    <w:p>
      <w:pPr>
        <w:pStyle w:val="Fuente"/>
      </w:pPr>
      <w:r>
        <w:t xml:space="preserve">Presentación 4b, p. 29. Orden de menor (12) a mayor (1) apalancamiento; la explicación de cada lugar procede de la lección.</w:t>
      </w:r>
    </w:p>
    <w:p>
      <w:pPr>
        <w:pStyle w:val="Heading3"/>
      </w:pPr>
      <w:bookmarkStart w:name="b_tabla_4_6_g3_g3_habitos" w:id="4750"/>
      <w:r>
        <w:t xml:space="preserve">Hábitos de la Unidad 4</w:t>
      </w:r>
      <w:bookmarkEnd w:id="4750"/>
    </w:p>
    <w:tbl>
      <w:tblPr>
        <w:tblW w:type="dxa" w:w="9632"/>
        <w:tblBorders>
          <w:top w:val="single" w:color="C5D5DB" w:sz="4"/>
          <w:left w:val="single" w:color="C5D5DB" w:sz="4"/>
          <w:bottom w:val="single" w:color="C5D5DB" w:sz="4"/>
          <w:right w:val="single" w:color="C5D5DB" w:sz="4"/>
          <w:insideH w:val="single" w:color="E4E9EB" w:sz="3"/>
          <w:insideV w:val="single" w:color="E4E9EB" w:sz="3"/>
        </w:tblBorders>
        <w:tblLayout w:type="fixed"/>
      </w:tblPr>
      <w:tblGrid>
        <w:gridCol w:w="4816"/>
        <w:gridCol w:w="4816"/>
      </w:tblGrid>
      <w:tr>
        <w:trPr>
          <w:cantSplit/>
          <w:tblHeader/>
        </w:trPr>
        <w:tc>
          <w:tcPr>
            <w:tcW w:type="dxa" w:w="4816"/>
            <w:shd w:fill="DFEAF0" w:val="clear"/>
            <w:tcMar>
              <w:top w:type="dxa" w:w="80"/>
              <w:left w:type="dxa" w:w="100"/>
              <w:bottom w:type="dxa" w:w="80"/>
              <w:right w:type="dxa" w:w="100"/>
            </w:tcMar>
          </w:tcPr>
          <w:p>
            <w:pPr>
              <w:pStyle w:val="Tabla"/>
            </w:pPr>
            <w:r>
              <w:rPr>
                <w:b/>
                <w:bCs/>
              </w:rPr>
              <w:t xml:space="preserve">N.º del póster</w:t>
            </w:r>
          </w:p>
        </w:tc>
        <w:tc>
          <w:tcPr>
            <w:tcW w:type="dxa" w:w="4816"/>
            <w:shd w:fill="DFEAF0" w:val="clear"/>
            <w:tcMar>
              <w:top w:type="dxa" w:w="80"/>
              <w:left w:type="dxa" w:w="100"/>
              <w:bottom w:type="dxa" w:w="80"/>
              <w:right w:type="dxa" w:w="100"/>
            </w:tcMar>
          </w:tcPr>
          <w:p>
            <w:pPr>
              <w:pStyle w:val="Tabla"/>
            </w:pPr>
            <w:r>
              <w:rPr>
                <w:b/>
                <w:bCs/>
              </w:rPr>
              <w:t xml:space="preserve">Hábito</w:t>
            </w:r>
          </w:p>
        </w:tc>
      </w:tr>
      <w:tr>
        <w:trPr>
          <w:cantSplit/>
          <w:tblHeader w:val="off"/>
        </w:trPr>
        <w:tc>
          <w:tcPr>
            <w:tcW w:type="dxa" w:w="4816"/>
            <w:tcMar>
              <w:top w:type="dxa" w:w="80"/>
              <w:left w:type="dxa" w:w="100"/>
              <w:bottom w:type="dxa" w:w="80"/>
              <w:right w:type="dxa" w:w="100"/>
            </w:tcMar>
          </w:tcPr>
          <w:p>
            <w:pPr>
              <w:pStyle w:val="Tabla"/>
            </w:pPr>
            <w:r>
              <w:t xml:space="preserve">8</w:t>
            </w:r>
          </w:p>
        </w:tc>
        <w:tc>
          <w:tcPr>
            <w:tcW w:type="dxa" w:w="4816"/>
            <w:tcMar>
              <w:top w:type="dxa" w:w="80"/>
              <w:left w:type="dxa" w:w="100"/>
              <w:bottom w:type="dxa" w:w="80"/>
              <w:right w:type="dxa" w:w="100"/>
            </w:tcMar>
          </w:tcPr>
          <w:p>
            <w:pPr>
              <w:pStyle w:val="Tabla"/>
            </w:pPr>
            <w:r>
              <w:t xml:space="preserve">Considera un tema completamente y resiste al impulso de llegar a una conclusión rápida</w:t>
            </w:r>
          </w:p>
        </w:tc>
      </w:tr>
      <w:tr>
        <w:trPr>
          <w:cantSplit/>
          <w:tblHeader w:val="off"/>
        </w:trPr>
        <w:tc>
          <w:tcPr>
            <w:tcW w:type="dxa" w:w="4816"/>
            <w:tcMar>
              <w:top w:type="dxa" w:w="80"/>
              <w:left w:type="dxa" w:w="100"/>
              <w:bottom w:type="dxa" w:w="80"/>
              <w:right w:type="dxa" w:w="100"/>
            </w:tcMar>
          </w:tcPr>
          <w:p>
            <w:pPr>
              <w:pStyle w:val="Tabla"/>
            </w:pPr>
            <w:r>
              <w:t xml:space="preserve">10</w:t>
            </w:r>
          </w:p>
        </w:tc>
        <w:tc>
          <w:tcPr>
            <w:tcW w:type="dxa" w:w="4816"/>
            <w:tcMar>
              <w:top w:type="dxa" w:w="80"/>
              <w:left w:type="dxa" w:w="100"/>
              <w:bottom w:type="dxa" w:w="80"/>
              <w:right w:type="dxa" w:w="100"/>
            </w:tcMar>
          </w:tcPr>
          <w:p>
            <w:pPr>
              <w:pStyle w:val="Tabla"/>
            </w:pPr>
            <w:r>
              <w:t xml:space="preserve">Usa la comprensión de la estructura de un sistema para identificar posibles acciones de efecto apalancamiento</w:t>
            </w:r>
          </w:p>
        </w:tc>
      </w:tr>
      <w:tr>
        <w:trPr>
          <w:cantSplit/>
          <w:tblHeader w:val="off"/>
        </w:trPr>
        <w:tc>
          <w:tcPr>
            <w:tcW w:type="dxa" w:w="4816"/>
            <w:tcMar>
              <w:top w:type="dxa" w:w="80"/>
              <w:left w:type="dxa" w:w="100"/>
              <w:bottom w:type="dxa" w:w="80"/>
              <w:right w:type="dxa" w:w="100"/>
            </w:tcMar>
          </w:tcPr>
          <w:p>
            <w:pPr>
              <w:pStyle w:val="Tabla"/>
            </w:pPr>
            <w:r>
              <w:t xml:space="preserve">11</w:t>
            </w:r>
          </w:p>
        </w:tc>
        <w:tc>
          <w:tcPr>
            <w:tcW w:type="dxa" w:w="4816"/>
            <w:tcMar>
              <w:top w:type="dxa" w:w="80"/>
              <w:left w:type="dxa" w:w="100"/>
              <w:bottom w:type="dxa" w:w="80"/>
              <w:right w:type="dxa" w:w="100"/>
            </w:tcMar>
          </w:tcPr>
          <w:p>
            <w:pPr>
              <w:pStyle w:val="Tabla"/>
            </w:pPr>
            <w:r>
              <w:t xml:space="preserve">Considera las consecuencias a corto plazo, a largo plazo, e inesperadas de las acciones</w:t>
            </w:r>
          </w:p>
        </w:tc>
      </w:tr>
      <w:tr>
        <w:trPr>
          <w:cantSplit/>
          <w:tblHeader w:val="off"/>
        </w:trPr>
        <w:tc>
          <w:tcPr>
            <w:tcW w:type="dxa" w:w="4816"/>
            <w:tcMar>
              <w:top w:type="dxa" w:w="80"/>
              <w:left w:type="dxa" w:w="100"/>
              <w:bottom w:type="dxa" w:w="80"/>
              <w:right w:type="dxa" w:w="100"/>
            </w:tcMar>
          </w:tcPr>
          <w:p>
            <w:pPr>
              <w:pStyle w:val="Tabla"/>
            </w:pPr>
            <w:r>
              <w:t xml:space="preserve">12</w:t>
            </w:r>
          </w:p>
        </w:tc>
        <w:tc>
          <w:tcPr>
            <w:tcW w:type="dxa" w:w="4816"/>
            <w:tcMar>
              <w:top w:type="dxa" w:w="80"/>
              <w:left w:type="dxa" w:w="100"/>
              <w:bottom w:type="dxa" w:w="80"/>
              <w:right w:type="dxa" w:w="100"/>
            </w:tcMar>
          </w:tcPr>
          <w:p>
            <w:pPr>
              <w:pStyle w:val="Tabla"/>
            </w:pPr>
            <w:r>
              <w:t xml:space="preserve">Presta atención a las acumulaciones y sus tasas de cambio</w:t>
            </w:r>
          </w:p>
        </w:tc>
      </w:tr>
      <w:tr>
        <w:trPr>
          <w:cantSplit/>
          <w:tblHeader w:val="off"/>
        </w:trPr>
        <w:tc>
          <w:tcPr>
            <w:tcW w:type="dxa" w:w="4816"/>
            <w:tcMar>
              <w:top w:type="dxa" w:w="80"/>
              <w:left w:type="dxa" w:w="100"/>
              <w:bottom w:type="dxa" w:w="80"/>
              <w:right w:type="dxa" w:w="100"/>
            </w:tcMar>
          </w:tcPr>
          <w:p>
            <w:pPr>
              <w:pStyle w:val="Tabla"/>
            </w:pPr>
            <w:r>
              <w:t xml:space="preserve">14</w:t>
            </w:r>
          </w:p>
        </w:tc>
        <w:tc>
          <w:tcPr>
            <w:tcW w:type="dxa" w:w="4816"/>
            <w:tcMar>
              <w:top w:type="dxa" w:w="80"/>
              <w:left w:type="dxa" w:w="100"/>
              <w:bottom w:type="dxa" w:w="80"/>
              <w:right w:type="dxa" w:w="100"/>
            </w:tcMar>
          </w:tcPr>
          <w:p>
            <w:pPr>
              <w:pStyle w:val="Tabla"/>
            </w:pPr>
            <w:r>
              <w:t xml:space="preserve">Examina los resultados y cambia las acciones si es necesario: «aproximación sucesiva»</w:t>
            </w:r>
          </w:p>
        </w:tc>
      </w:tr>
    </w:tbl>
    <w:p>
      <w:pPr>
        <w:pStyle w:val="Fuente"/>
      </w:pPr>
      <w:r>
        <w:t xml:space="preserve">Presentaciones 4a y 4b. Usa la numeración del póster, que difiere de la numeración de los cursos del portal.</w:t>
      </w:r>
    </w:p>
    <w:p>
      <w:pPr>
        <w:pStyle w:val="Heading3"/>
      </w:pPr>
      <w:bookmarkStart w:name="b_tabla_4_6_g3_g3_etapas" w:id="4751"/>
      <w:r>
        <w:t xml:space="preserve">Cuatro etapas de resolución</w:t>
      </w:r>
      <w:bookmarkEnd w:id="4751"/>
    </w:p>
    <w:tbl>
      <w:tblPr>
        <w:tblW w:type="dxa" w:w="9632"/>
        <w:tblBorders>
          <w:top w:val="single" w:color="C5D5DB" w:sz="4"/>
          <w:left w:val="single" w:color="C5D5DB" w:sz="4"/>
          <w:bottom w:val="single" w:color="C5D5DB" w:sz="4"/>
          <w:right w:val="single" w:color="C5D5DB" w:sz="4"/>
          <w:insideH w:val="single" w:color="E4E9EB" w:sz="3"/>
          <w:insideV w:val="single" w:color="E4E9EB" w:sz="3"/>
        </w:tblBorders>
        <w:tblLayout w:type="fixed"/>
      </w:tblPr>
      <w:tblGrid>
        <w:gridCol w:w="3212"/>
        <w:gridCol w:w="3210"/>
        <w:gridCol w:w="3210"/>
      </w:tblGrid>
      <w:tr>
        <w:trPr>
          <w:cantSplit/>
          <w:tblHeader/>
        </w:trPr>
        <w:tc>
          <w:tcPr>
            <w:tcW w:type="dxa" w:w="3212"/>
            <w:shd w:fill="DFEAF0" w:val="clear"/>
            <w:tcMar>
              <w:top w:type="dxa" w:w="80"/>
              <w:left w:type="dxa" w:w="100"/>
              <w:bottom w:type="dxa" w:w="80"/>
              <w:right w:type="dxa" w:w="100"/>
            </w:tcMar>
          </w:tcPr>
          <w:p>
            <w:pPr>
              <w:pStyle w:val="Tabla"/>
            </w:pPr>
            <w:r>
              <w:rPr>
                <w:b/>
                <w:bCs/>
              </w:rPr>
              <w:t xml:space="preserve">Etapa</w:t>
            </w:r>
          </w:p>
        </w:tc>
        <w:tc>
          <w:tcPr>
            <w:tcW w:type="dxa" w:w="3210"/>
            <w:shd w:fill="DFEAF0" w:val="clear"/>
            <w:tcMar>
              <w:top w:type="dxa" w:w="80"/>
              <w:left w:type="dxa" w:w="100"/>
              <w:bottom w:type="dxa" w:w="80"/>
              <w:right w:type="dxa" w:w="100"/>
            </w:tcMar>
          </w:tcPr>
          <w:p>
            <w:pPr>
              <w:pStyle w:val="Tabla"/>
            </w:pPr>
            <w:r>
              <w:rPr>
                <w:b/>
                <w:bCs/>
              </w:rPr>
              <w:t xml:space="preserve">Hábitos del póster</w:t>
            </w:r>
          </w:p>
        </w:tc>
        <w:tc>
          <w:tcPr>
            <w:tcW w:type="dxa" w:w="3210"/>
            <w:shd w:fill="DFEAF0" w:val="clear"/>
            <w:tcMar>
              <w:top w:type="dxa" w:w="80"/>
              <w:left w:type="dxa" w:w="100"/>
              <w:bottom w:type="dxa" w:w="80"/>
              <w:right w:type="dxa" w:w="100"/>
            </w:tcMar>
          </w:tcPr>
          <w:p>
            <w:pPr>
              <w:pStyle w:val="Tabla"/>
            </w:pPr>
            <w:r>
              <w:rPr>
                <w:b/>
                <w:bCs/>
              </w:rPr>
              <w:t xml:space="preserve">Qué haces</w:t>
            </w:r>
          </w:p>
        </w:tc>
      </w:tr>
      <w:tr>
        <w:trPr>
          <w:cantSplit/>
          <w:tblHeader w:val="off"/>
        </w:trPr>
        <w:tc>
          <w:tcPr>
            <w:tcW w:type="dxa" w:w="3212"/>
            <w:tcMar>
              <w:top w:type="dxa" w:w="80"/>
              <w:left w:type="dxa" w:w="100"/>
              <w:bottom w:type="dxa" w:w="80"/>
              <w:right w:type="dxa" w:w="100"/>
            </w:tcMar>
          </w:tcPr>
          <w:p>
            <w:pPr>
              <w:pStyle w:val="Tabla"/>
            </w:pPr>
            <w:r>
              <w:t xml:space="preserve">1. Desarrollar conciencia del problema</w:t>
            </w:r>
          </w:p>
        </w:tc>
        <w:tc>
          <w:tcPr>
            <w:tcW w:type="dxa" w:w="3210"/>
            <w:tcMar>
              <w:top w:type="dxa" w:w="80"/>
              <w:left w:type="dxa" w:w="100"/>
              <w:bottom w:type="dxa" w:w="80"/>
              <w:right w:type="dxa" w:w="100"/>
            </w:tcMar>
          </w:tcPr>
          <w:p>
            <w:pPr>
              <w:pStyle w:val="Tabla"/>
            </w:pPr>
            <w:r>
              <w:t xml:space="preserve">1, 2, 3, 4</w:t>
            </w:r>
          </w:p>
        </w:tc>
        <w:tc>
          <w:tcPr>
            <w:tcW w:type="dxa" w:w="3210"/>
            <w:tcMar>
              <w:top w:type="dxa" w:w="80"/>
              <w:left w:type="dxa" w:w="100"/>
              <w:bottom w:type="dxa" w:w="80"/>
              <w:right w:type="dxa" w:w="100"/>
            </w:tcMar>
          </w:tcPr>
          <w:p>
            <w:pPr>
              <w:pStyle w:val="Tabla"/>
            </w:pPr>
            <w:r>
              <w:t xml:space="preserve">Observe la película completa, las tendencias, la estructura y las relaciones circulares para construir una primera comprensión.</w:t>
            </w:r>
          </w:p>
        </w:tc>
      </w:tr>
      <w:tr>
        <w:trPr>
          <w:cantSplit/>
          <w:tblHeader w:val="off"/>
        </w:trPr>
        <w:tc>
          <w:tcPr>
            <w:tcW w:type="dxa" w:w="3212"/>
            <w:tcMar>
              <w:top w:type="dxa" w:w="80"/>
              <w:left w:type="dxa" w:w="100"/>
              <w:bottom w:type="dxa" w:w="80"/>
              <w:right w:type="dxa" w:w="100"/>
            </w:tcMar>
          </w:tcPr>
          <w:p>
            <w:pPr>
              <w:pStyle w:val="Tabla"/>
            </w:pPr>
            <w:r>
              <w:t xml:space="preserve">2. Aumenta la comprensión del problema</w:t>
            </w:r>
          </w:p>
        </w:tc>
        <w:tc>
          <w:tcPr>
            <w:tcW w:type="dxa" w:w="3210"/>
            <w:tcMar>
              <w:top w:type="dxa" w:w="80"/>
              <w:left w:type="dxa" w:w="100"/>
              <w:bottom w:type="dxa" w:w="80"/>
              <w:right w:type="dxa" w:w="100"/>
            </w:tcMar>
          </w:tcPr>
          <w:p>
            <w:pPr>
              <w:pStyle w:val="Tabla"/>
            </w:pPr>
            <w:r>
              <w:t xml:space="preserve">6, 7, 8, 9</w:t>
            </w:r>
          </w:p>
        </w:tc>
        <w:tc>
          <w:tcPr>
            <w:tcW w:type="dxa" w:w="3210"/>
            <w:tcMar>
              <w:top w:type="dxa" w:w="80"/>
              <w:left w:type="dxa" w:w="100"/>
              <w:bottom w:type="dxa" w:w="80"/>
              <w:right w:type="dxa" w:w="100"/>
            </w:tcMar>
          </w:tcPr>
          <w:p>
            <w:pPr>
              <w:pStyle w:val="Tabla"/>
            </w:pPr>
            <w:r>
              <w:t xml:space="preserve">Indague otras perspectivas, contraste supuestos y modelos mentales y tome el tiempo necesario para comprender el sistema.</w:t>
            </w:r>
          </w:p>
        </w:tc>
      </w:tr>
      <w:tr>
        <w:trPr>
          <w:cantSplit/>
          <w:tblHeader w:val="off"/>
        </w:trPr>
        <w:tc>
          <w:tcPr>
            <w:tcW w:type="dxa" w:w="3212"/>
            <w:tcMar>
              <w:top w:type="dxa" w:w="80"/>
              <w:left w:type="dxa" w:w="100"/>
              <w:bottom w:type="dxa" w:w="80"/>
              <w:right w:type="dxa" w:w="100"/>
            </w:tcMar>
          </w:tcPr>
          <w:p>
            <w:pPr>
              <w:pStyle w:val="Tabla"/>
            </w:pPr>
            <w:r>
              <w:t xml:space="preserve">3. Planificando y tomando medidas para resolver el problema</w:t>
            </w:r>
          </w:p>
        </w:tc>
        <w:tc>
          <w:tcPr>
            <w:tcW w:type="dxa" w:w="3210"/>
            <w:tcMar>
              <w:top w:type="dxa" w:w="80"/>
              <w:left w:type="dxa" w:w="100"/>
              <w:bottom w:type="dxa" w:w="80"/>
              <w:right w:type="dxa" w:w="100"/>
            </w:tcMar>
          </w:tcPr>
          <w:p>
            <w:pPr>
              <w:pStyle w:val="Tabla"/>
            </w:pPr>
            <w:r>
              <w:t xml:space="preserve">10, 11, 12, 13</w:t>
            </w:r>
          </w:p>
        </w:tc>
        <w:tc>
          <w:tcPr>
            <w:tcW w:type="dxa" w:w="3210"/>
            <w:tcMar>
              <w:top w:type="dxa" w:w="80"/>
              <w:left w:type="dxa" w:w="100"/>
              <w:bottom w:type="dxa" w:w="80"/>
              <w:right w:type="dxa" w:w="100"/>
            </w:tcMar>
          </w:tcPr>
          <w:p>
            <w:pPr>
              <w:pStyle w:val="Tabla"/>
            </w:pPr>
            <w:r>
              <w:t xml:space="preserve">Busque puntos de apalancamiento, anticipe consecuencias, examine acumulaciones y demoras y decida cómo actuar.</w:t>
            </w:r>
          </w:p>
        </w:tc>
      </w:tr>
      <w:tr>
        <w:trPr>
          <w:cantSplit/>
          <w:tblHeader w:val="off"/>
        </w:trPr>
        <w:tc>
          <w:tcPr>
            <w:tcW w:type="dxa" w:w="3212"/>
            <w:tcMar>
              <w:top w:type="dxa" w:w="80"/>
              <w:left w:type="dxa" w:w="100"/>
              <w:bottom w:type="dxa" w:w="80"/>
              <w:right w:type="dxa" w:w="100"/>
            </w:tcMar>
          </w:tcPr>
          <w:p>
            <w:pPr>
              <w:pStyle w:val="Tabla"/>
            </w:pPr>
            <w:r>
              <w:t xml:space="preserve">4. Una vez implementada la solución: aproximación sucesiva</w:t>
            </w:r>
          </w:p>
        </w:tc>
        <w:tc>
          <w:tcPr>
            <w:tcW w:type="dxa" w:w="3210"/>
            <w:tcMar>
              <w:top w:type="dxa" w:w="80"/>
              <w:left w:type="dxa" w:w="100"/>
              <w:bottom w:type="dxa" w:w="80"/>
              <w:right w:type="dxa" w:w="100"/>
            </w:tcMar>
          </w:tcPr>
          <w:p>
            <w:pPr>
              <w:pStyle w:val="Tabla"/>
            </w:pPr>
            <w:r>
              <w:t xml:space="preserve">14</w:t>
            </w:r>
          </w:p>
        </w:tc>
        <w:tc>
          <w:tcPr>
            <w:tcW w:type="dxa" w:w="3210"/>
            <w:tcMar>
              <w:top w:type="dxa" w:w="80"/>
              <w:left w:type="dxa" w:w="100"/>
              <w:bottom w:type="dxa" w:w="80"/>
              <w:right w:type="dxa" w:w="100"/>
            </w:tcMar>
          </w:tcPr>
          <w:p>
            <w:pPr>
              <w:pStyle w:val="Tabla"/>
            </w:pPr>
            <w:r>
              <w:t xml:space="preserve">Observe los resultados con referencias y ajuste las acciones cuando haga falta. La mejora puede llevarlo de vuelta a las etapas anteriores.</w:t>
            </w:r>
          </w:p>
        </w:tc>
      </w:tr>
    </w:tbl>
    <w:p>
      <w:pPr>
        <w:pStyle w:val="Fuente"/>
      </w:pPr>
      <w:r>
        <w:t xml:space="preserve">Presentación 4b, pp. 43–47, y clase 24. El hábito 5 no está asignado a ninguna etapa en las láminas.</w:t>
      </w:r>
    </w:p>
    <w:p>
      <w:pPr>
        <w:pStyle w:val="Heading3"/>
      </w:pPr>
      <w:r>
        <w:t xml:space="preserve">Lo que dicen las presentaciones</w:t>
      </w:r>
    </w:p>
    <w:p>
      <w:pPr>
        <w:pStyle w:val="Heading3"/>
      </w:pPr>
      <w:bookmarkStart w:name="b_pagina_4_6_C_5_p22" w:id="4752"/>
      <w:r>
        <w:t xml:space="preserve">C-5 · página 22 · Los catorce hábitos del pensador de sistemas</w:t>
      </w:r>
      <w:bookmarkEnd w:id="4752"/>
    </w:p>
    <w:p>
      <w:pPr>
        <w:pStyle w:val="Normal"/>
      </w:pPr>
      <w:r>
        <w:t xml:space="preserve">Póster general de catorce hábitos; el catálogo del portal utiliza otra numeración.</w:t>
      </w:r>
    </w:p>
    <w:p>
      <w:pPr>
        <w:pStyle w:val="Fuente"/>
      </w:pPr>
      <w:r>
        <w:t xml:space="preserve">Proyección o explicación: Clase 3 · 01:02:03 · captura c3-03.</w:t>
      </w:r>
    </w:p>
    <w:p>
      <w:pPr>
        <w:pStyle w:val="Fuente"/>
      </w:pPr>
      <w:r>
        <w:t xml:space="preserve">Véase </w:t>
      </w:r>
      <w:hyperlink w:history="1" w:anchor="b_figura_original_pagina_C_5_22">
        <w:r>
          <w:rPr>
            <w:color w:val="156B70"/>
            <w:u w:val="single"/>
          </w:rPr>
          <w:t xml:space="preserve">imagen de C-5, página 22</w:t>
        </w:r>
      </w:hyperlink>
      <w:r>
        <w:t xml:space="preserve">, pág. </w:t>
      </w:r>
      <w:r>
        <w:fldChar w:fldCharType="begin"/>
        <w:instrText xml:space="preserve">PAGEREF b_figura_original_pagina_C_5_22 \h</w:instrText>
        <w:fldChar w:fldCharType="separate"/>
        <w:t xml:space="preserve">199</w:t>
        <w:fldChar w:fldCharType="end"/>
      </w:r>
      <w:r>
        <w:t xml:space="preserve">.</w:t>
      </w:r>
    </w:p>
    <w:p>
      <w:bookmarkStart w:name="b_punto_c5_p022_08" w:id="4753"/>
      <w:r>
        <w:t xml:space="preserve">Conclusiones: resistir la respuesta rápida y examinar el tema completo.</w:t>
      </w:r>
      <w:bookmarkEnd w:id="4753"/>
    </w:p>
    <w:p>
      <w:bookmarkStart w:name="b_punto_c5_p022_10" w:id="4754"/>
      <w:r>
        <w:t xml:space="preserve">Apalancamiento: comprender la estructura para identificar acciones eficaces.</w:t>
      </w:r>
      <w:bookmarkEnd w:id="4754"/>
    </w:p>
    <w:p>
      <w:bookmarkStart w:name="b_punto_c5_p022_11" w:id="4755"/>
      <w:r>
        <w:t xml:space="preserve">Consecuencias: anticipar resultados inmediatos, futuros e inesperados.</w:t>
      </w:r>
      <w:bookmarkEnd w:id="4755"/>
    </w:p>
    <w:p>
      <w:bookmarkStart w:name="b_punto_c5_p022_14" w:id="4756"/>
      <w:r>
        <w:t xml:space="preserve">Aproximación sucesiva: revisar resultados y ajustar las acciones cuando haga falta.</w:t>
      </w:r>
      <w:bookmarkEnd w:id="4756"/>
    </w:p>
    <w:p>
      <w:pPr>
        <w:pStyle w:val="Fuente"/>
      </w:pPr>
      <w:r>
        <w:t xml:space="preserve">Véase </w:t>
      </w:r>
      <w:hyperlink w:history="1" w:anchor="b_1_8">
        <w:r>
          <w:rPr>
            <w:color w:val="156B70"/>
            <w:u w:val="single"/>
          </w:rPr>
          <w:t xml:space="preserve">capítulo 1.8 · Hábitos del pensador</w:t>
        </w:r>
      </w:hyperlink>
      <w:r>
        <w:t xml:space="preserve">, pág. </w:t>
      </w:r>
      <w:r>
        <w:fldChar w:fldCharType="begin"/>
        <w:instrText xml:space="preserve">PAGEREF b_1_8 \h</w:instrText>
        <w:fldChar w:fldCharType="separate"/>
        <w:t xml:space="preserve">194</w:t>
        <w:fldChar w:fldCharType="end"/>
      </w:r>
      <w:r>
        <w:t xml:space="preserve">.</w:t>
      </w:r>
    </w:p>
    <w:p>
      <w:pPr>
        <w:pStyle w:val="Fuente"/>
      </w:pPr>
      <w:r>
        <w:t xml:space="preserve">Véase </w:t>
      </w:r>
      <w:hyperlink w:history="1" w:anchor="b_4_2">
        <w:r>
          <w:rPr>
            <w:color w:val="156B70"/>
            <w:u w:val="single"/>
          </w:rPr>
          <w:t xml:space="preserve">capítulo 4.2 · Flujos y niveles</w:t>
        </w:r>
      </w:hyperlink>
      <w:r>
        <w:t xml:space="preserve">, pág. </w:t>
      </w:r>
      <w:r>
        <w:fldChar w:fldCharType="begin"/>
        <w:instrText xml:space="preserve">PAGEREF b_4_2 \h</w:instrText>
        <w:fldChar w:fldCharType="separate"/>
        <w:t xml:space="preserve">709</w:t>
        <w:fldChar w:fldCharType="end"/>
      </w:r>
      <w:r>
        <w:t xml:space="preserve">.</w:t>
      </w:r>
    </w:p>
    <w:p>
      <w:pPr>
        <w:pStyle w:val="Fuente"/>
      </w:pPr>
      <w:r>
        <w:t xml:space="preserve">Véase </w:t>
      </w:r>
      <w:hyperlink w:history="1" w:anchor="b_3_7">
        <w:r>
          <w:rPr>
            <w:color w:val="156B70"/>
            <w:u w:val="single"/>
          </w:rPr>
          <w:t xml:space="preserve">capítulo 3.7 · Demoras de tiempo</w:t>
        </w:r>
      </w:hyperlink>
      <w:r>
        <w:t xml:space="preserve">, pág. </w:t>
      </w:r>
      <w:r>
        <w:fldChar w:fldCharType="begin"/>
        <w:instrText xml:space="preserve">PAGEREF b_3_7 \h</w:instrText>
        <w:fldChar w:fldCharType="separate"/>
        <w:t xml:space="preserve">580</w:t>
        <w:fldChar w:fldCharType="end"/>
      </w:r>
      <w:r>
        <w:t xml:space="preserve">.</w:t>
      </w:r>
    </w:p>
    <w:p>
      <w:pPr>
        <w:pStyle w:val="Heading3"/>
      </w:pPr>
      <w:bookmarkStart w:name="b_pagina_4_6_C_8_p1" w:id="4757"/>
      <w:r>
        <w:t xml:space="preserve">C-8 · página 1 · Toma de decisiones sistémicas</w:t>
      </w:r>
      <w:bookmarkEnd w:id="4757"/>
    </w:p>
    <w:p>
      <w:pPr>
        <w:pStyle w:val="Normal"/>
      </w:pPr>
      <w:r>
        <w:t xml:space="preserve">Portada de hábitos y toma de decisiones de la Unidad 4.</w:t>
      </w:r>
    </w:p>
    <w:p>
      <w:pPr>
        <w:pStyle w:val="Heading3"/>
      </w:pPr>
      <w:bookmarkStart w:name="b_pagina_4_6_C_8_p3" w:id="4758"/>
      <w:r>
        <w:t xml:space="preserve">C-8 · página 3 · Consecuencias de las acciones</w:t>
      </w:r>
      <w:bookmarkEnd w:id="4758"/>
    </w:p>
    <w:p>
      <w:pPr>
        <w:pStyle w:val="Normal"/>
      </w:pPr>
      <w:r>
        <w:t xml:space="preserve">Tarjeta del hábito 11y preguntas para su práctica.</w:t>
      </w:r>
    </w:p>
    <w:p>
      <w:bookmarkStart w:name="b_punto_c8_p003_01" w:id="4759"/>
      <w:r>
        <w:t xml:space="preserve">Anticipar resultados inmediatos y futuros.</w:t>
      </w:r>
      <w:bookmarkEnd w:id="4759"/>
    </w:p>
    <w:p>
      <w:bookmarkStart w:name="b_punto_c8_p003_02" w:id="4760"/>
      <w:r>
        <w:t xml:space="preserve">Prever efectos imprevistos que requieran nuevas acciones.</w:t>
      </w:r>
      <w:bookmarkEnd w:id="4760"/>
    </w:p>
    <w:p>
      <w:bookmarkStart w:name="b_punto_c8_p003_03" w:id="4761"/>
      <w:r>
        <w:t xml:space="preserve">Considerar compensaciones de la acción.</w:t>
      </w:r>
      <w:bookmarkEnd w:id="4761"/>
    </w:p>
    <w:p>
      <w:bookmarkStart w:name="b_punto_c8_p003_04" w:id="4762"/>
      <w:r>
        <w:t xml:space="preserve">Comparar efectos de corto y largo plazo.</w:t>
      </w:r>
      <w:bookmarkEnd w:id="4762"/>
    </w:p>
    <w:p>
      <w:bookmarkStart w:name="b_punto_c8_p003_05" w:id="4763"/>
      <w:r>
        <w:t xml:space="preserve">Valorar costos inmediatos frente a beneficios futuros.</w:t>
      </w:r>
      <w:bookmarkEnd w:id="4763"/>
    </w:p>
    <w:p>
      <w:pPr>
        <w:pStyle w:val="Heading3"/>
      </w:pPr>
      <w:bookmarkStart w:name="b_pagina_4_6_C_8_p4" w:id="4764"/>
      <w:r>
        <w:t xml:space="preserve">C-8 · página 4 · Gastar o ahorrar</w:t>
      </w:r>
      <w:bookmarkEnd w:id="4764"/>
    </w:p>
    <w:p>
      <w:pPr>
        <w:pStyle w:val="Normal"/>
      </w:pPr>
      <w:r>
        <w:t xml:space="preserve">Satisfacción inmediata y beneficios acumulados operan en horizontes diferentes.</w:t>
      </w:r>
    </w:p>
    <w:p>
      <w:pPr>
        <w:pStyle w:val="Fuente"/>
      </w:pPr>
      <w:r>
        <w:t xml:space="preserve">Proyección o explicación: Clase 22 · 00:06:48 · captura c22-03.</w:t>
      </w:r>
    </w:p>
    <w:p>
      <w:bookmarkStart w:name="b_punto_c8_p004_01" w:id="4765"/>
      <w:r>
        <w:t xml:space="preserve">El gasto por capricho contrasta placer inmediato con el beneficio acumulado del ahorro.</w:t>
      </w:r>
      <w:bookmarkEnd w:id="4765"/>
    </w:p>
    <w:p>
      <w:bookmarkStart w:name="b_punto_c8_p004_02" w:id="4766"/>
      <w:r>
        <w:t xml:space="preserve">Anticipar consecuencias a corto y largo plazo reduce riesgos de efectos nocivos.</w:t>
      </w:r>
      <w:bookmarkEnd w:id="4766"/>
    </w:p>
    <w:p>
      <w:pPr>
        <w:pStyle w:val="Heading3"/>
      </w:pPr>
      <w:bookmarkStart w:name="b_pagina_4_6_C_8_p7" w:id="4767"/>
      <w:r>
        <w:t xml:space="preserve">C-8 · página 7 · Consecuencias no deseadas</w:t>
      </w:r>
      <w:bookmarkEnd w:id="4767"/>
    </w:p>
    <w:p>
      <w:pPr>
        <w:pStyle w:val="Normal"/>
      </w:pPr>
      <w:r>
        <w:t xml:space="preserve">Reflexionar sobre afectados, resultados y otras perspectivas antes de decidir.</w:t>
      </w:r>
    </w:p>
    <w:p>
      <w:pPr>
        <w:pStyle w:val="Fuente"/>
      </w:pPr>
      <w:r>
        <w:t xml:space="preserve">Proyección o explicación: Clase 22 · 00:11:05 · captura c22-06.</w:t>
      </w:r>
    </w:p>
    <w:p>
      <w:bookmarkStart w:name="b_punto_c8_p007_01" w:id="4768"/>
      <w:r>
        <w:t xml:space="preserve">Preguntar quién se verá afectado por la decisión.</w:t>
      </w:r>
      <w:bookmarkEnd w:id="4768"/>
    </w:p>
    <w:p>
      <w:bookmarkStart w:name="b_punto_c8_p007_02" w:id="4769"/>
      <w:r>
        <w:t xml:space="preserve">Explorar resultados deseables e indeseables y cómo los verán otros.</w:t>
      </w:r>
      <w:bookmarkEnd w:id="4769"/>
    </w:p>
    <w:p>
      <w:bookmarkStart w:name="b_punto_c8_p007_03" w:id="4770"/>
      <w:r>
        <w:t xml:space="preserve">La reflexión previa puede ahorrar costos futuros de una conclusión apresurada.</w:t>
      </w:r>
      <w:bookmarkEnd w:id="4770"/>
    </w:p>
    <w:p>
      <w:pPr>
        <w:pStyle w:val="Fuente"/>
      </w:pPr>
      <w:r>
        <w:t xml:space="preserve">Véase </w:t>
      </w:r>
      <w:hyperlink w:history="1" w:anchor="b_4_1">
        <w:r>
          <w:rPr>
            <w:color w:val="156B70"/>
            <w:u w:val="single"/>
          </w:rPr>
          <w:t xml:space="preserve">capítulo 4.1 · Arquetipos sistémicos</w:t>
        </w:r>
      </w:hyperlink>
      <w:r>
        <w:t xml:space="preserve">, pág. </w:t>
      </w:r>
      <w:r>
        <w:fldChar w:fldCharType="begin"/>
        <w:instrText xml:space="preserve">PAGEREF b_4_1 \h</w:instrText>
        <w:fldChar w:fldCharType="separate"/>
        <w:t xml:space="preserve">646</w:t>
        <w:fldChar w:fldCharType="end"/>
      </w:r>
      <w:r>
        <w:t xml:space="preserve">.</w:t>
      </w:r>
    </w:p>
    <w:p>
      <w:pPr>
        <w:pStyle w:val="Heading3"/>
      </w:pPr>
      <w:bookmarkStart w:name="b_pagina_4_6_C_8_p8" w:id="4771"/>
      <w:r>
        <w:t xml:space="preserve">C-8 · página 8 · Judy y María: comparar alternativas</w:t>
      </w:r>
      <w:bookmarkEnd w:id="4771"/>
    </w:p>
    <w:p>
      <w:pPr>
        <w:pStyle w:val="Normal"/>
      </w:pPr>
      <w:r>
        <w:t xml:space="preserve">Capacidades y experiencia contrastan con favoritismo percibido y riesgos para la amistad.</w:t>
      </w:r>
    </w:p>
    <w:p>
      <w:pPr>
        <w:pStyle w:val="Fuente"/>
      </w:pPr>
      <w:r>
        <w:t xml:space="preserve">Proyección o explicación: Clase 22 · 00:38:31 · captura c22-07.</w:t>
      </w:r>
    </w:p>
    <w:p>
      <w:pPr>
        <w:keepNext/>
        <w:spacing w:after="40" w:before="150"/>
        <w:jc w:val="center"/>
      </w:pPr>
      <w:bookmarkStart w:name="b_figura_original_pagina_C_8_8" w:id="4772"/>
      <w:bookmarkEnd w:id="4772"/>
      <w:r>
        <w:drawing>
          <wp:inline distT="0" distB="0" distL="0" distR="0">
            <wp:extent cx="5381625" cy="3028950"/>
            <wp:effectExtent t="0" r="0" b="0" l="0"/>
            <wp:docPr id="180" name="pagina-C-8-8" descr="Presentación C-8, pág. 8" title="Judy y María: comparar alternativ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50" cstate="none"/>
                    <a:srcRect/>
                    <a:stretch>
                      <a:fillRect/>
                    </a:stretch>
                  </pic:blipFill>
                  <pic:spPr bwMode="auto">
                    <a:xfrm>
                      <a:off x="0" y="0"/>
                      <a:ext cx="5381625" cy="3028950"/>
                    </a:xfrm>
                    <a:prstGeom prst="rect">
                      <a:avLst/>
                    </a:prstGeom>
                  </pic:spPr>
                </pic:pic>
              </a:graphicData>
            </a:graphic>
          </wp:inline>
        </w:drawing>
      </w:r>
    </w:p>
    <w:p>
      <w:pPr>
        <w:pStyle w:val="PieFigura"/>
        <w:keepNext/>
      </w:pPr>
      <w:bookmarkStart w:name="b_fig_4_6_1" w:id="4773"/>
      <w:r>
        <w:t xml:space="preserve">Figura 4.6.</w:t>
      </w:r>
      <w:fldSimple w:instr="SEQ Figura \r 1 \* ARABIC">
        <w:r>
          <w:t xml:space="preserve">1</w:t>
        </w:r>
      </w:fldSimple>
      <w:r>
        <w:t xml:space="preserve"> · Judy y María: comparar alternativas</w:t>
      </w:r>
      <w:bookmarkEnd w:id="4773"/>
    </w:p>
    <w:p>
      <w:pPr>
        <w:pStyle w:val="Fuente"/>
      </w:pPr>
      <w:r>
        <w:t xml:space="preserve">Presentación C-8, pág. 8</w:t>
      </w:r>
    </w:p>
    <w:p>
      <w:bookmarkStart w:name="b_punto_c8_p008_01" w:id="4774"/>
      <w:r>
        <w:t xml:space="preserve">Ventajas: competencias, experiencia, aprendizaje rápido y trabajo en equipo.</w:t>
      </w:r>
      <w:bookmarkEnd w:id="4774"/>
    </w:p>
    <w:p>
      <w:bookmarkStart w:name="b_punto_c8_p008_02" w:id="4775"/>
      <w:r>
        <w:t xml:space="preserve">Desventajas: compañeros perciben trato injusto, María puede usar amistad como ventaja y Judy puede generalizar su agrado.</w:t>
      </w:r>
      <w:bookmarkEnd w:id="4775"/>
    </w:p>
    <w:p>
      <w:bookmarkStart w:name="b_punto_c8_p008_03" w:id="4776"/>
      <w:r>
        <w:t xml:space="preserve">Una tabla ayuda en consecuencias inmediatas; escenarios la amplían al largo plazo.</w:t>
      </w:r>
      <w:bookmarkEnd w:id="4776"/>
    </w:p>
    <w:p>
      <w:pPr>
        <w:pStyle w:val="Heading3"/>
      </w:pPr>
      <w:bookmarkStart w:name="b_pagina_4_6_C_8_p9" w:id="4777"/>
      <w:r>
        <w:t xml:space="preserve">C-8 · página 9 · Judy y María: escenarios futuros</w:t>
      </w:r>
      <w:bookmarkEnd w:id="4777"/>
    </w:p>
    <w:p>
      <w:pPr>
        <w:pStyle w:val="Normal"/>
      </w:pPr>
      <w:r>
        <w:t xml:space="preserve">Rendimiento, supervisión, despido, colegas y transparencia del vínculo personal.</w:t>
      </w:r>
    </w:p>
    <w:p>
      <w:pPr>
        <w:pStyle w:val="Fuente"/>
      </w:pPr>
      <w:r>
        <w:t xml:space="preserve">Proyección o explicación: Clase 22 · 00:39:36 · captura c22-08.</w:t>
      </w:r>
    </w:p>
    <w:p>
      <w:pPr>
        <w:keepNext/>
        <w:spacing w:after="40" w:before="150"/>
        <w:jc w:val="center"/>
      </w:pPr>
      <w:bookmarkStart w:name="b_figura_original_pagina_C_8_9" w:id="4778"/>
      <w:bookmarkEnd w:id="4778"/>
      <w:r>
        <w:drawing>
          <wp:inline distT="0" distB="0" distL="0" distR="0">
            <wp:extent cx="5381625" cy="3028950"/>
            <wp:effectExtent t="0" r="0" b="0" l="0"/>
            <wp:docPr id="181" name="pagina-C-8-9" descr="Presentación C-8, pág. 9" title="Judy y María: escenarios futur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51" cstate="none"/>
                    <a:srcRect/>
                    <a:stretch>
                      <a:fillRect/>
                    </a:stretch>
                  </pic:blipFill>
                  <pic:spPr bwMode="auto">
                    <a:xfrm>
                      <a:off x="0" y="0"/>
                      <a:ext cx="5381625" cy="3028950"/>
                    </a:xfrm>
                    <a:prstGeom prst="rect">
                      <a:avLst/>
                    </a:prstGeom>
                  </pic:spPr>
                </pic:pic>
              </a:graphicData>
            </a:graphic>
          </wp:inline>
        </w:drawing>
      </w:r>
    </w:p>
    <w:p>
      <w:pPr>
        <w:pStyle w:val="PieFigura"/>
        <w:keepNext/>
      </w:pPr>
      <w:bookmarkStart w:name="b_fig_4_6_2" w:id="4779"/>
      <w:r>
        <w:t xml:space="preserve">Figura 4.6.</w:t>
      </w:r>
      <w:fldSimple w:instr="SEQ Figura \n \* ARABIC">
        <w:r>
          <w:t xml:space="preserve">2</w:t>
        </w:r>
      </w:fldSimple>
      <w:r>
        <w:t xml:space="preserve"> · Judy y María: escenarios futuros</w:t>
      </w:r>
      <w:bookmarkEnd w:id="4779"/>
    </w:p>
    <w:p>
      <w:pPr>
        <w:pStyle w:val="Fuente"/>
      </w:pPr>
      <w:r>
        <w:t xml:space="preserve">Presentación C-8, pág. 9</w:t>
      </w:r>
    </w:p>
    <w:p>
      <w:bookmarkStart w:name="b_punto_c8_p009_01" w:id="4780"/>
      <w:r>
        <w:t xml:space="preserve">Explorar rendimiento insuficiente y cómo dar feedback o directivas a una amiga.</w:t>
      </w:r>
      <w:bookmarkEnd w:id="4780"/>
    </w:p>
    <w:p>
      <w:bookmarkStart w:name="b_punto_c8_p009_02" w:id="4781"/>
      <w:r>
        <w:t xml:space="preserve">Explorar despido, amistad y reacciones negativas de otros empleados.</w:t>
      </w:r>
      <w:bookmarkEnd w:id="4781"/>
    </w:p>
    <w:p>
      <w:bookmarkStart w:name="b_punto_c8_p009_03" w:id="4782"/>
      <w:r>
        <w:t xml:space="preserve">Considerar revelar el vínculo al comité y sus consecuencias no deseadas.</w:t>
      </w:r>
      <w:bookmarkEnd w:id="4782"/>
    </w:p>
    <w:p>
      <w:bookmarkStart w:name="b_punto_c8_p009_04" w:id="4783"/>
      <w:r>
        <w:t xml:space="preserve">Hacer habitual la anticipación permite adaptarse a cambios de estructura, relaciones y tiempo.</w:t>
      </w:r>
      <w:bookmarkEnd w:id="4783"/>
    </w:p>
    <w:p>
      <w:pPr>
        <w:pStyle w:val="Heading3"/>
      </w:pPr>
      <w:bookmarkStart w:name="b_pagina_4_6_C_8_p11" w:id="4784"/>
      <w:r>
        <w:t xml:space="preserve">C-8 · página 11 · Comprender antes de concluir</w:t>
      </w:r>
      <w:bookmarkEnd w:id="4784"/>
    </w:p>
    <w:p>
      <w:pPr>
        <w:pStyle w:val="Normal"/>
      </w:pPr>
      <w:r>
        <w:t xml:space="preserve">Tarjeta del hábito 8y preguntas para su práctica.</w:t>
      </w:r>
    </w:p>
    <w:p>
      <w:bookmarkStart w:name="b_punto_c8_p011_01" w:id="4785"/>
      <w:r>
        <w:t xml:space="preserve">Tomar tiempo para entender la dinámica antes de actuar.</w:t>
      </w:r>
      <w:bookmarkEnd w:id="4785"/>
    </w:p>
    <w:p>
      <w:bookmarkStart w:name="b_punto_c8_p011_02" w:id="4786"/>
      <w:r>
        <w:t xml:space="preserve">Definir el tiempo que necesita la indagación.</w:t>
      </w:r>
      <w:bookmarkEnd w:id="4786"/>
    </w:p>
    <w:p>
      <w:bookmarkStart w:name="b_punto_c8_p011_03" w:id="4787"/>
      <w:r>
        <w:t xml:space="preserve">Gestionar tensión mientras el problema no se resuelve.</w:t>
      </w:r>
      <w:bookmarkEnd w:id="4787"/>
    </w:p>
    <w:p>
      <w:bookmarkStart w:name="b_punto_c8_p011_04" w:id="4788"/>
      <w:r>
        <w:t xml:space="preserve">Ayudar a otros a ejercer paciencia.</w:t>
      </w:r>
      <w:bookmarkEnd w:id="4788"/>
    </w:p>
    <w:p>
      <w:pPr>
        <w:pStyle w:val="Heading3"/>
      </w:pPr>
      <w:bookmarkStart w:name="b_pagina_4_6_C_8_p12" w:id="4789"/>
      <w:r>
        <w:t xml:space="preserve">C-8 · página 12 · Efecto dominó</w:t>
      </w:r>
      <w:bookmarkEnd w:id="4789"/>
    </w:p>
    <w:p>
      <w:pPr>
        <w:pStyle w:val="Normal"/>
      </w:pPr>
      <w:r>
        <w:t xml:space="preserve">Una cadena circular devuelve consecuencias que la rapidez reductiva puede omitir.</w:t>
      </w:r>
    </w:p>
    <w:p>
      <w:pPr>
        <w:pStyle w:val="Fuente"/>
      </w:pPr>
      <w:r>
        <w:t xml:space="preserve">Proyección o explicación: Clase 22 · 00:54:27 · captura c22-11.</w:t>
      </w:r>
    </w:p>
    <w:p>
      <w:bookmarkStart w:name="b_punto_c8_p012_01" w:id="4790"/>
      <w:r>
        <w:t xml:space="preserve">El pensamiento rápido puede ignorar el retorno de las consecuencias sobre su causa.</w:t>
      </w:r>
      <w:bookmarkEnd w:id="4790"/>
    </w:p>
    <w:p>
      <w:bookmarkStart w:name="b_punto_c8_p012_02" w:id="4791"/>
      <w:r>
        <w:t xml:space="preserve">Las fichas circulares contrastan con observar sólo el tramo local de una cadena.</w:t>
      </w:r>
      <w:bookmarkEnd w:id="4791"/>
    </w:p>
    <w:p>
      <w:pPr>
        <w:pStyle w:val="Heading3"/>
      </w:pPr>
      <w:bookmarkStart w:name="b_pagina_4_6_C_8_p13" w:id="4792"/>
      <w:r>
        <w:t xml:space="preserve">C-8 · página 13 · Abordar deliberadamente desafíos</w:t>
      </w:r>
      <w:bookmarkEnd w:id="4792"/>
    </w:p>
    <w:p>
      <w:pPr>
        <w:pStyle w:val="Normal"/>
      </w:pPr>
      <w:r>
        <w:t xml:space="preserve">La comprensión cuidadosa equilibra eficiencia y efectividad.</w:t>
      </w:r>
    </w:p>
    <w:p>
      <w:bookmarkStart w:name="b_punto_c8_p013_01" w:id="4793"/>
      <w:r>
        <w:t xml:space="preserve">Sopesar opciones y posibles resultados antes de concluir.</w:t>
      </w:r>
      <w:bookmarkEnd w:id="4793"/>
    </w:p>
    <w:p>
      <w:bookmarkStart w:name="b_punto_c8_p013_02" w:id="4794"/>
      <w:r>
        <w:t xml:space="preserve">Preguntas, perspectivas y consecuencias integran la comprensión del problema.</w:t>
      </w:r>
      <w:bookmarkEnd w:id="4794"/>
    </w:p>
    <w:p>
      <w:bookmarkStart w:name="b_punto_c8_p013_03" w:id="4795"/>
      <w:r>
        <w:t xml:space="preserve">Pensar detenidamente no busca paralizar: se equilibra eficiencia y efectividad.</w:t>
      </w:r>
      <w:bookmarkEnd w:id="4795"/>
    </w:p>
    <w:p>
      <w:pPr>
        <w:pStyle w:val="Heading3"/>
      </w:pPr>
      <w:bookmarkStart w:name="b_pagina_4_6_C_8_p22" w:id="4796"/>
      <w:r>
        <w:t xml:space="preserve">C-8 · página 22 · Usar la estructura para intervenir</w:t>
      </w:r>
      <w:bookmarkEnd w:id="4796"/>
    </w:p>
    <w:p>
      <w:pPr>
        <w:pStyle w:val="Normal"/>
      </w:pPr>
      <w:r>
        <w:t xml:space="preserve">Tarjeta del hábito 10y preguntas para su práctica.</w:t>
      </w:r>
    </w:p>
    <w:p>
      <w:bookmarkStart w:name="b_punto_c8_p022_01" w:id="4797"/>
      <w:r>
        <w:t xml:space="preserve">Elegir pequeños cambios con mayor probabilidad de efectos deseados.</w:t>
      </w:r>
      <w:bookmarkEnd w:id="4797"/>
    </w:p>
    <w:p>
      <w:bookmarkStart w:name="b_punto_c8_p022_02" w:id="4798"/>
      <w:r>
        <w:t xml:space="preserve">Localizar cambios de efecto duradero.</w:t>
      </w:r>
      <w:bookmarkEnd w:id="4798"/>
    </w:p>
    <w:p>
      <w:bookmarkStart w:name="b_punto_c8_p022_03" w:id="4799"/>
      <w:r>
        <w:t xml:space="preserve">Justificar intervenciones con la estructura conocida.</w:t>
      </w:r>
      <w:bookmarkEnd w:id="4799"/>
    </w:p>
    <w:p>
      <w:bookmarkStart w:name="b_punto_c8_p022_04" w:id="4800"/>
      <w:r>
        <w:t xml:space="preserve">Considerar otras acciones pequeñas no exploradas.</w:t>
      </w:r>
      <w:bookmarkEnd w:id="4800"/>
    </w:p>
    <w:p>
      <w:pPr>
        <w:pStyle w:val="Heading3"/>
      </w:pPr>
      <w:bookmarkStart w:name="b_pagina_4_6_C_8_p23" w:id="4801"/>
      <w:r>
        <w:t xml:space="preserve">C-8 · página 23 · Causas frente al sistema que las produce</w:t>
      </w:r>
      <w:bookmarkEnd w:id="4801"/>
    </w:p>
    <w:p>
      <w:pPr>
        <w:pStyle w:val="Normal"/>
      </w:pPr>
      <w:r>
        <w:t xml:space="preserve">La comparación contrasta fotografía de causas con una película de relaciones sistémicas.</w:t>
      </w:r>
    </w:p>
    <w:p>
      <w:pPr>
        <w:pStyle w:val="Fuente"/>
      </w:pPr>
      <w:r>
        <w:t xml:space="preserve">Proyección o explicación: Clase 23 · 00:13:08 · captura c23-04.</w:t>
      </w:r>
    </w:p>
    <w:p>
      <w:bookmarkStart w:name="b_punto_c8_p023_01" w:id="4802"/>
      <w:r>
        <w:t xml:space="preserve">La mirada causal pregunta por causas que apuntan hacia un problema.</w:t>
      </w:r>
      <w:bookmarkEnd w:id="4802"/>
    </w:p>
    <w:p>
      <w:bookmarkStart w:name="b_punto_c8_p023_02" w:id="4803"/>
      <w:r>
        <w:t xml:space="preserve">La mirada sistémica pregunta qué sistema produce el problema y examina la red de relaciones.</w:t>
      </w:r>
      <w:bookmarkEnd w:id="4803"/>
    </w:p>
    <w:p>
      <w:pPr>
        <w:pStyle w:val="Heading3"/>
      </w:pPr>
      <w:bookmarkStart w:name="b_pagina_4_6_C_8_p24" w:id="4804"/>
      <w:r>
        <w:t xml:space="preserve">C-8 · página 24 · Estructura y acciones de apalancamiento</w:t>
      </w:r>
      <w:bookmarkEnd w:id="4804"/>
    </w:p>
    <w:p>
      <w:pPr>
        <w:pStyle w:val="Normal"/>
      </w:pPr>
      <w:r>
        <w:t xml:space="preserve">El pescador ilustra la ventaja de conocer dónde actuar; un modelo visual ayuda a encontrarla.</w:t>
      </w:r>
    </w:p>
    <w:p>
      <w:pPr>
        <w:pStyle w:val="Fuente"/>
      </w:pPr>
      <w:r>
        <w:t xml:space="preserve">Proyección o explicación: Clase 23 · 00:14:35 · captura c23-05.</w:t>
      </w:r>
    </w:p>
    <w:p>
      <w:bookmarkStart w:name="b_punto_c8_p024_01" w:id="4805"/>
      <w:r>
        <w:t xml:space="preserve">Ángulo y holgura de caña, apoyo sobre roca y fuerza aplicada cambian la ventaja mecánica de pescar.</w:t>
      </w:r>
      <w:bookmarkEnd w:id="4805"/>
    </w:p>
    <w:p>
      <w:bookmarkStart w:name="b_punto_c8_p024_02" w:id="4806"/>
      <w:r>
        <w:t xml:space="preserve">Apalancamiento también nombra la capacidad de elegir acciones que influyan sobre personas, eventos y decisiones.</w:t>
      </w:r>
      <w:bookmarkEnd w:id="4806"/>
    </w:p>
    <w:p>
      <w:bookmarkStart w:name="b_punto_c8_p024_03" w:id="4807"/>
      <w:r>
        <w:t xml:space="preserve">Un DCC puede ayudar a identificar pequeñas acciones de efecto deseado al aclarar estructura.</w:t>
      </w:r>
      <w:bookmarkEnd w:id="4807"/>
    </w:p>
    <w:p>
      <w:pPr>
        <w:pStyle w:val="Fuente"/>
      </w:pPr>
      <w:r>
        <w:t xml:space="preserve">Véase </w:t>
      </w:r>
      <w:hyperlink w:history="1" w:anchor="b_4_4">
        <w:r>
          <w:rPr>
            <w:color w:val="156B70"/>
            <w:u w:val="single"/>
          </w:rPr>
          <w:t xml:space="preserve">capítulo 4.4 · Simulación con VENSIM</w:t>
        </w:r>
      </w:hyperlink>
      <w:r>
        <w:t xml:space="preserve">, pág. </w:t>
      </w:r>
      <w:r>
        <w:fldChar w:fldCharType="begin"/>
        <w:instrText xml:space="preserve">PAGEREF b_4_4 \h</w:instrText>
        <w:fldChar w:fldCharType="separate"/>
        <w:t xml:space="preserve">776</w:t>
        <w:fldChar w:fldCharType="end"/>
      </w:r>
      <w:r>
        <w:t xml:space="preserve">.</w:t>
      </w:r>
    </w:p>
    <w:p>
      <w:pPr>
        <w:pStyle w:val="Heading3"/>
      </w:pPr>
      <w:bookmarkStart w:name="b_pagina_4_6_C_8_p25" w:id="4808"/>
      <w:r>
        <w:t xml:space="preserve">C-8 · página 25 · La aguja y el imán</w:t>
      </w:r>
      <w:bookmarkEnd w:id="4808"/>
    </w:p>
    <w:p>
      <w:pPr>
        <w:pStyle w:val="Normal"/>
      </w:pPr>
      <w:r>
        <w:t xml:space="preserve">Un cambio pequeño puede resolver una búsqueda costosa si aprovecha una propiedad relevante.</w:t>
      </w:r>
    </w:p>
    <w:p>
      <w:pPr>
        <w:pStyle w:val="Fuente"/>
      </w:pPr>
      <w:r>
        <w:t xml:space="preserve">Proyección o explicación: Clase 23 · 00:20:54 · captura c23-06.</w:t>
      </w:r>
    </w:p>
    <w:p>
      <w:bookmarkStart w:name="b_punto_c8_p025_01" w:id="4809"/>
      <w:r>
        <w:t xml:space="preserve">El imán concentra la búsqueda de una aguja metálica en un pajar aprovechando su interacción con el metal.</w:t>
      </w:r>
      <w:bookmarkEnd w:id="4809"/>
    </w:p>
    <w:p>
      <w:bookmarkStart w:name="b_punto_c8_p025_02" w:id="4810"/>
      <w:r>
        <w:t xml:space="preserve">Reconocer esa propiedad del sistema permite una acción pequeña con efecto grande.</w:t>
      </w:r>
      <w:bookmarkEnd w:id="4810"/>
    </w:p>
    <w:p>
      <w:pPr>
        <w:pStyle w:val="Heading3"/>
      </w:pPr>
      <w:bookmarkStart w:name="b_pagina_4_6_C_8_p26" w:id="4811"/>
      <w:r>
        <w:t xml:space="preserve">C-8 · página 26 · FábricaXYZ: cuatro propuestas</w:t>
      </w:r>
      <w:bookmarkEnd w:id="4811"/>
    </w:p>
    <w:p>
      <w:pPr>
        <w:pStyle w:val="Normal"/>
      </w:pPr>
      <w:r>
        <w:t xml:space="preserve">Se comparan automatización, rapidez, materiales y empaque para reducir costos sin trasladar producción.</w:t>
      </w:r>
    </w:p>
    <w:p>
      <w:pPr>
        <w:pStyle w:val="Fuente"/>
      </w:pPr>
      <w:r>
        <w:t xml:space="preserve">Proyección o explicación: Clase 23 · 00:37:12 · captura c23-08.</w:t>
      </w:r>
    </w:p>
    <w:p>
      <w:pPr>
        <w:keepNext/>
        <w:spacing w:after="40" w:before="150"/>
        <w:jc w:val="center"/>
      </w:pPr>
      <w:bookmarkStart w:name="b_figura_original_pagina_C_8_26" w:id="4812"/>
      <w:bookmarkEnd w:id="4812"/>
      <w:r>
        <w:drawing>
          <wp:inline distT="0" distB="0" distL="0" distR="0">
            <wp:extent cx="5381625" cy="3028950"/>
            <wp:effectExtent t="0" r="0" b="0" l="0"/>
            <wp:docPr id="182" name="pagina-C-8-26" descr="Presentación C-8, pág. 26" title="FábricaXYZ: cuatro propuest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52" cstate="none"/>
                    <a:srcRect/>
                    <a:stretch>
                      <a:fillRect/>
                    </a:stretch>
                  </pic:blipFill>
                  <pic:spPr bwMode="auto">
                    <a:xfrm>
                      <a:off x="0" y="0"/>
                      <a:ext cx="5381625" cy="3028950"/>
                    </a:xfrm>
                    <a:prstGeom prst="rect">
                      <a:avLst/>
                    </a:prstGeom>
                  </pic:spPr>
                </pic:pic>
              </a:graphicData>
            </a:graphic>
          </wp:inline>
        </w:drawing>
      </w:r>
    </w:p>
    <w:p>
      <w:pPr>
        <w:pStyle w:val="PieFigura"/>
        <w:keepNext/>
      </w:pPr>
      <w:bookmarkStart w:name="b_fig_4_6_3" w:id="4813"/>
      <w:r>
        <w:t xml:space="preserve">Figura 4.6.</w:t>
      </w:r>
      <w:fldSimple w:instr="SEQ Figura \n \* ARABIC">
        <w:r>
          <w:t xml:space="preserve">3</w:t>
        </w:r>
      </w:fldSimple>
      <w:r>
        <w:t xml:space="preserve"> · FábricaXYZ: cuatro propuestas</w:t>
      </w:r>
      <w:bookmarkEnd w:id="4813"/>
    </w:p>
    <w:p>
      <w:pPr>
        <w:pStyle w:val="Fuente"/>
      </w:pPr>
      <w:r>
        <w:t xml:space="preserve">Presentación C-8, pág. 26</w:t>
      </w:r>
    </w:p>
    <w:p>
      <w:bookmarkStart w:name="b_punto_c8_p026_01" w:id="4814"/>
      <w:r>
        <w:t xml:space="preserve">La restricción del caso es reducir costos conservando fabricación en el país y calidad.</w:t>
      </w:r>
      <w:bookmarkEnd w:id="4814"/>
    </w:p>
    <w:p>
      <w:bookmarkStart w:name="b_punto_c8_p026_02" w:id="4815"/>
      <w:r>
        <w:t xml:space="preserve">Suzanne propone automatizar: requiere inversión y puede afectar empleos y moral.</w:t>
      </w:r>
      <w:bookmarkEnd w:id="4815"/>
    </w:p>
    <w:p>
      <w:bookmarkStart w:name="b_punto_c8_p026_03" w:id="4816"/>
      <w:r>
        <w:t xml:space="preserve">Gabe propone producir más rápido: puede comprometer calidad y satisfacción.</w:t>
      </w:r>
      <w:bookmarkEnd w:id="4816"/>
    </w:p>
    <w:p>
      <w:bookmarkStart w:name="b_punto_c8_p026_04" w:id="4817"/>
      <w:r>
        <w:t xml:space="preserve">Héctor propone materiales más baratos: pueden reducir calidad y demanda posterior.</w:t>
      </w:r>
      <w:bookmarkEnd w:id="4817"/>
    </w:p>
    <w:p>
      <w:bookmarkStart w:name="b_punto_c8_p026_05" w:id="4818"/>
      <w:r>
        <w:t xml:space="preserve">Daniel propone eliminar pasos de empaque no esenciales; la compañía reduce costos sin sacrificar calidad ni entrega.</w:t>
      </w:r>
      <w:bookmarkEnd w:id="4818"/>
    </w:p>
    <w:p>
      <w:pPr>
        <w:pStyle w:val="Heading3"/>
      </w:pPr>
      <w:bookmarkStart w:name="b_pagina_4_6_C_8_p27" w:id="4819"/>
      <w:r>
        <w:t xml:space="preserve">C-8 · página 27 · Doce lugares para intervenir</w:t>
      </w:r>
      <w:bookmarkEnd w:id="4819"/>
    </w:p>
    <w:p>
      <w:pPr>
        <w:pStyle w:val="Normal"/>
      </w:pPr>
      <w:r>
        <w:t xml:space="preserve">Los puntos de Meadows avanzan de 12a1 como guía creciente de apalancamiento.</w:t>
      </w:r>
    </w:p>
    <w:p>
      <w:pPr>
        <w:pStyle w:val="Fuente"/>
      </w:pPr>
      <w:r>
        <w:t xml:space="preserve">Proyección o explicación: Clase 23 · 00:45:17 · captura c23-09.</w:t>
      </w:r>
    </w:p>
    <w:p>
      <w:bookmarkStart w:name="b_punto_c8_p027_01" w:id="4820"/>
      <w:r>
        <w:t xml:space="preserve">Un punto es un lugar donde una intervención pequeña puede tener efectos amplios.</w:t>
      </w:r>
      <w:bookmarkEnd w:id="4820"/>
    </w:p>
    <w:p>
      <w:bookmarkStart w:name="b_punto_c8_p027_02" w:id="4821"/>
      <w:r>
        <w:t xml:space="preserve">Los puntos son contraintuitivos y pueden usarse al revés, agravando el problema.</w:t>
      </w:r>
      <w:bookmarkEnd w:id="4821"/>
    </w:p>
    <w:p>
      <w:bookmarkStart w:name="b_punto_c8_p027_03" w:id="4822"/>
      <w:r>
        <w:t xml:space="preserve">12: Los números y parámetros. Constantes y parámetros: impuestos, subsidios, salarios mínimos, estándares.</w:t>
      </w:r>
      <w:bookmarkEnd w:id="4822"/>
    </w:p>
    <w:p>
      <w:bookmarkStart w:name="b_punto_c8_p027_04" w:id="4823"/>
      <w:r>
        <w:t xml:space="preserve">11: El tamaño de los amortiguadores. El tamaño de los stocks estabilizadores frente a sus flujos: reservas, inventarios.</w:t>
      </w:r>
      <w:bookmarkEnd w:id="4823"/>
    </w:p>
    <w:p>
      <w:bookmarkStart w:name="b_punto_c8_p027_05" w:id="4824"/>
      <w:r>
        <w:t xml:space="preserve">10: La estructura de stocks y flujos. La red física del sistema: rutas de transporte, pirámides de edad, cañerías.</w:t>
      </w:r>
      <w:bookmarkEnd w:id="4824"/>
    </w:p>
    <w:p>
      <w:bookmarkStart w:name="b_punto_c8_p027_06" w:id="4825"/>
      <w:r>
        <w:t xml:space="preserve">9: Las demoras del sistema. La longitud de los retardos frente a la rapidez con que cambia el sistema.</w:t>
      </w:r>
      <w:bookmarkEnd w:id="4825"/>
    </w:p>
    <w:p>
      <w:bookmarkStart w:name="b_punto_c8_p027_07" w:id="4826"/>
      <w:r>
        <w:t xml:space="preserve">8: La fuerza de los bucles de balance. El poder de la retroalimentación compensadora que estabiliza y corrige desvíos.</w:t>
      </w:r>
      <w:bookmarkEnd w:id="4826"/>
    </w:p>
    <w:p>
      <w:bookmarkStart w:name="b_punto_c8_p027_08" w:id="4827"/>
      <w:r>
        <w:t xml:space="preserve">7: La ganancia de los bucles de refuerzo. La fuerza de la retroalimentación positiva que amplifica el crecimiento (o el colapso).</w:t>
      </w:r>
      <w:bookmarkEnd w:id="4827"/>
    </w:p>
    <w:p>
      <w:bookmarkStart w:name="b_punto_c8_p027_09" w:id="4828"/>
      <w:r>
        <w:t xml:space="preserve">6: Los flujos de información. Quién tiene —y quién no— acceso a la información; abrir nuevos bucles de información.</w:t>
      </w:r>
      <w:bookmarkEnd w:id="4828"/>
    </w:p>
    <w:p>
      <w:bookmarkStart w:name="b_punto_c8_p027_10" w:id="4829"/>
      <w:r>
        <w:t xml:space="preserve">5: Las reglas del sistema. Incentivos, castigos y restricciones: leyes, contratos, normas.</w:t>
      </w:r>
      <w:bookmarkEnd w:id="4829"/>
    </w:p>
    <w:p>
      <w:bookmarkStart w:name="b_punto_c8_p027_11" w:id="4830"/>
      <w:r>
        <w:t xml:space="preserve">4: La autoorganización. El poder del sistema para añadir, cambiar y evolucionar su propia estructura.</w:t>
      </w:r>
      <w:bookmarkEnd w:id="4830"/>
    </w:p>
    <w:p>
      <w:bookmarkStart w:name="b_punto_c8_p027_12" w:id="4831"/>
      <w:r>
        <w:t xml:space="preserve">3: Las metas del sistema. El propósito o la función que el sistema persigue de verdad.</w:t>
      </w:r>
      <w:bookmarkEnd w:id="4831"/>
    </w:p>
    <w:p>
      <w:bookmarkStart w:name="b_punto_c8_p027_13" w:id="4832"/>
      <w:r>
        <w:t xml:space="preserve">2: El paradigma del sistema. La mentalidad compartida de la que emergen las metas, las reglas y la estructura.</w:t>
      </w:r>
      <w:bookmarkEnd w:id="4832"/>
    </w:p>
    <w:p>
      <w:bookmarkStart w:name="b_punto_c8_p027_14" w:id="4833"/>
      <w:r>
        <w:t xml:space="preserve">1: Trascender los paradigmas. No aferrarse a ningún modelo mental; mantenerse flexible ante la incertidumbre.</w:t>
      </w:r>
      <w:bookmarkEnd w:id="4833"/>
    </w:p>
    <w:p>
      <w:pPr>
        <w:pStyle w:val="Heading3"/>
      </w:pPr>
      <w:bookmarkStart w:name="b_pagina_4_6_C_8_p28" w:id="4834"/>
      <w:r>
        <w:t xml:space="preserve">C-8 · página 28 · Meadows: puntos 12a9</w:t>
      </w:r>
      <w:bookmarkEnd w:id="4834"/>
    </w:p>
    <w:p>
      <w:pPr>
        <w:pStyle w:val="Normal"/>
      </w:pPr>
      <w:r>
        <w:t xml:space="preserve">Parámetros, amortiguadores, estructura material y demoras con sus efectos y limitaciones.</w:t>
      </w:r>
    </w:p>
    <w:p>
      <w:pPr>
        <w:pStyle w:val="Fuente"/>
      </w:pPr>
      <w:r>
        <w:t xml:space="preserve">Proyección o explicación: Clase 23 · 00:50:27 · captura c23-10.</w:t>
      </w:r>
    </w:p>
    <w:p>
      <w:bookmarkStart w:name="b_punto_c8_p028_01" w:id="4835"/>
      <w:r>
        <w:t xml:space="preserve">12: cambiar números y parámetros suele dejar intacta la estructura que genera el patrón y tener efectos limitados.</w:t>
      </w:r>
      <w:bookmarkEnd w:id="4835"/>
    </w:p>
    <w:p>
      <w:bookmarkStart w:name="b_punto_c8_p028_02" w:id="4836"/>
      <w:r>
        <w:t xml:space="preserve">11: los buffers y stocks estabilizan variaciones en relación con sus flujos; su tamaño físico puede ser costoso odifícil de alterar.</w:t>
      </w:r>
      <w:bookmarkEnd w:id="4836"/>
    </w:p>
    <w:p>
      <w:bookmarkStart w:name="b_punto_c8_p028_03" w:id="4837"/>
      <w:r>
        <w:t xml:space="preserve">10: la red material de stocks y flujos condiciona resultados operativos; reconstruirla puede ser difícil, pero conviene reconocer cuellos de botella.</w:t>
      </w:r>
      <w:bookmarkEnd w:id="4837"/>
    </w:p>
    <w:p>
      <w:bookmarkStart w:name="b_punto_c8_p028_04" w:id="4838"/>
      <w:r>
        <w:t xml:space="preserve">9: retardos de información y respuesta pueden producir sobre/subreacción y oscilación; se comparan con la rapidez del sistema.</w:t>
      </w:r>
      <w:bookmarkEnd w:id="4838"/>
    </w:p>
    <w:p>
      <w:pPr>
        <w:pStyle w:val="Heading3"/>
      </w:pPr>
      <w:bookmarkStart w:name="b_pagina_4_6_C_8_p29" w:id="4839"/>
      <w:r>
        <w:t xml:space="preserve">C-8 · página 29 · Meadows: puntos 8a4</w:t>
      </w:r>
      <w:bookmarkEnd w:id="4839"/>
    </w:p>
    <w:p>
      <w:pPr>
        <w:pStyle w:val="Normal"/>
      </w:pPr>
      <w:r>
        <w:t xml:space="preserve">Balance, refuerzo, información, reglas y autoorganización intervienen sobre mecanismos diferentes.</w:t>
      </w:r>
    </w:p>
    <w:p>
      <w:pPr>
        <w:pStyle w:val="Fuente"/>
      </w:pPr>
      <w:r>
        <w:t xml:space="preserve">Proyección o explicación: Clase 23 · 00:51:56.</w:t>
      </w:r>
    </w:p>
    <w:p>
      <w:pPr>
        <w:keepNext/>
        <w:spacing w:after="40" w:before="150"/>
        <w:jc w:val="center"/>
      </w:pPr>
      <w:bookmarkStart w:name="b_figura_original_pagina_C_8_29" w:id="4840"/>
      <w:bookmarkEnd w:id="4840"/>
      <w:r>
        <w:drawing>
          <wp:inline distT="0" distB="0" distL="0" distR="0">
            <wp:extent cx="5381625" cy="3028950"/>
            <wp:effectExtent t="0" r="0" b="0" l="0"/>
            <wp:docPr id="183" name="pagina-C-8-29" descr="Presentación C-8, pág. 29" title="Meadows: puntos 8a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53" cstate="none"/>
                    <a:srcRect/>
                    <a:stretch>
                      <a:fillRect/>
                    </a:stretch>
                  </pic:blipFill>
                  <pic:spPr bwMode="auto">
                    <a:xfrm>
                      <a:off x="0" y="0"/>
                      <a:ext cx="5381625" cy="3028950"/>
                    </a:xfrm>
                    <a:prstGeom prst="rect">
                      <a:avLst/>
                    </a:prstGeom>
                  </pic:spPr>
                </pic:pic>
              </a:graphicData>
            </a:graphic>
          </wp:inline>
        </w:drawing>
      </w:r>
    </w:p>
    <w:p>
      <w:pPr>
        <w:pStyle w:val="PieFigura"/>
        <w:keepNext/>
      </w:pPr>
      <w:bookmarkStart w:name="b_fig_4_6_4" w:id="4841"/>
      <w:r>
        <w:t xml:space="preserve">Figura 4.6.</w:t>
      </w:r>
      <w:fldSimple w:instr="SEQ Figura \n \* ARABIC">
        <w:r>
          <w:t xml:space="preserve">4</w:t>
        </w:r>
      </w:fldSimple>
      <w:r>
        <w:t xml:space="preserve"> · Meadows: puntos 8a4</w:t>
      </w:r>
      <w:bookmarkEnd w:id="4841"/>
    </w:p>
    <w:p>
      <w:pPr>
        <w:pStyle w:val="Fuente"/>
      </w:pPr>
      <w:r>
        <w:t xml:space="preserve">Presentación C-8, pág. 29</w:t>
      </w:r>
    </w:p>
    <w:p>
      <w:bookmarkStart w:name="b_punto_c8_p029_01" w:id="4842"/>
      <w:r>
        <w:t xml:space="preserve">8: el balance atenúa desviaciones y puede reforzarse para aumentar autocorrección ante perturbaciones.</w:t>
      </w:r>
      <w:bookmarkEnd w:id="4842"/>
    </w:p>
    <w:p>
      <w:bookmarkStart w:name="b_punto_c8_p029_02" w:id="4843"/>
      <w:r>
        <w:t xml:space="preserve">Atenuar R reduce una relación amplificadora; agregar o reforzar B introduce o fortalece una respuesta correctiva. La elección depende de estructura, demora, límites y efectos.</w:t>
      </w:r>
      <w:bookmarkEnd w:id="4843"/>
    </w:p>
    <w:p>
      <w:bookmarkStart w:name="b_punto_c8_p029_03" w:id="4844"/>
      <w:r>
        <w:t xml:space="preserve">6: modificar quién recibe información cambia decisiones y ajustes dinámicos entre actores y entorno.</w:t>
      </w:r>
      <w:bookmarkEnd w:id="4844"/>
    </w:p>
    <w:p>
      <w:bookmarkStart w:name="b_punto_c8_p029_04" w:id="4845"/>
      <w:r>
        <w:t xml:space="preserve">Revisar las reglas incluye identificar quién tiene autoridad para fijarlas o cambiarlas y quién participa en esa decisión.</w:t>
      </w:r>
      <w:bookmarkEnd w:id="4845"/>
    </w:p>
    <w:p>
      <w:bookmarkStart w:name="b_punto_c8_p029_05" w:id="4846"/>
      <w:r>
        <w:t xml:space="preserve">4: la autoorganización permite crear nuevas estructuras, ciclos, flujos y reglas desde el propio sistema.</w:t>
      </w:r>
      <w:bookmarkEnd w:id="4846"/>
    </w:p>
    <w:p>
      <w:pPr>
        <w:pStyle w:val="Heading3"/>
      </w:pPr>
      <w:bookmarkStart w:name="b_pagina_4_6_C_8_p30" w:id="4847"/>
      <w:r>
        <w:t xml:space="preserve">C-8 · página 30 · Meadows: objetivos y paradigmas</w:t>
      </w:r>
      <w:bookmarkEnd w:id="4847"/>
    </w:p>
    <w:p>
      <w:pPr>
        <w:pStyle w:val="Normal"/>
      </w:pPr>
      <w:r>
        <w:t xml:space="preserve">Metas, mentalidad compartida y capacidad de trascender marcos orientan las intervenciones más profundas.</w:t>
      </w:r>
    </w:p>
    <w:p>
      <w:pPr>
        <w:pStyle w:val="Fuente"/>
      </w:pPr>
      <w:r>
        <w:t xml:space="preserve">Proyección o explicación: Clase 23 · 00:54:21 · captura c23-11.</w:t>
      </w:r>
    </w:p>
    <w:p>
      <w:bookmarkStart w:name="b_punto_c8_p030_01" w:id="4848"/>
      <w:r>
        <w:t xml:space="preserve">3: modificar metas reorienta decisiones sobre parámetros, ciclos, información y reglas.</w:t>
      </w:r>
      <w:bookmarkEnd w:id="4848"/>
    </w:p>
    <w:p>
      <w:bookmarkStart w:name="b_punto_c8_p030_02" w:id="4849"/>
      <w:r>
        <w:t xml:space="preserve">2: un paradigma compartido origina objetivos, reglas y estructuras.</w:t>
      </w:r>
      <w:bookmarkEnd w:id="4849"/>
    </w:p>
    <w:p>
      <w:bookmarkStart w:name="b_punto_c8_p030_04" w:id="4850"/>
      <w:r>
        <w:t xml:space="preserve">1: trascender paradigmas supone no aferrarse a un modelo y revisar supuestos, prioridades y valores.</w:t>
      </w:r>
      <w:bookmarkEnd w:id="4850"/>
    </w:p>
    <w:p>
      <w:pPr>
        <w:pStyle w:val="Fuente"/>
      </w:pPr>
      <w:r>
        <w:t xml:space="preserve">Véase </w:t>
      </w:r>
      <w:hyperlink w:history="1" w:anchor="b_1_1">
        <w:r>
          <w:rPr>
            <w:color w:val="156B70"/>
            <w:u w:val="single"/>
          </w:rPr>
          <w:t xml:space="preserve">capítulo 1.1 · Paradigmas y modelos mentales</w:t>
        </w:r>
      </w:hyperlink>
      <w:r>
        <w:t xml:space="preserve">, pág. </w:t>
      </w:r>
      <w:r>
        <w:fldChar w:fldCharType="begin"/>
        <w:instrText xml:space="preserve">PAGEREF b_1_1 \h</w:instrText>
        <w:fldChar w:fldCharType="separate"/>
        <w:t xml:space="preserve">19</w:t>
        <w:fldChar w:fldCharType="end"/>
      </w:r>
      <w:r>
        <w:t xml:space="preserve">.</w:t>
      </w:r>
    </w:p>
    <w:p>
      <w:pPr>
        <w:pStyle w:val="Heading3"/>
      </w:pPr>
      <w:r>
        <w:t xml:space="preserve">Láminas de apoyo y versiones anteriores</w:t>
      </w:r>
    </w:p>
    <w:p>
      <w:pPr>
        <w:keepNext/>
        <w:spacing w:after="40" w:before="150"/>
        <w:jc w:val="center"/>
      </w:pPr>
      <w:bookmarkStart w:name="b_figura_original_pagina_C_4_3" w:id="4851"/>
      <w:bookmarkEnd w:id="4851"/>
      <w:r>
        <w:drawing>
          <wp:inline distT="0" distB="0" distL="0" distR="0">
            <wp:extent cx="5381625" cy="3028950"/>
            <wp:effectExtent t="0" r="0" b="0" l="0"/>
            <wp:docPr id="184" name="pagina-C-4-3" descr="Presentación C-4, pág. 3" title="Considera las consecuencias a corto plazo, a largo plazo, e inesperadas de las accio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54" cstate="none"/>
                    <a:srcRect/>
                    <a:stretch>
                      <a:fillRect/>
                    </a:stretch>
                  </pic:blipFill>
                  <pic:spPr bwMode="auto">
                    <a:xfrm>
                      <a:off x="0" y="0"/>
                      <a:ext cx="5381625" cy="3028950"/>
                    </a:xfrm>
                    <a:prstGeom prst="rect">
                      <a:avLst/>
                    </a:prstGeom>
                  </pic:spPr>
                </pic:pic>
              </a:graphicData>
            </a:graphic>
          </wp:inline>
        </w:drawing>
      </w:r>
    </w:p>
    <w:p>
      <w:pPr>
        <w:pStyle w:val="PieFigura"/>
        <w:keepNext/>
      </w:pPr>
      <w:bookmarkStart w:name="b_fig_4_6_5" w:id="4852"/>
      <w:r>
        <w:t xml:space="preserve">Figura 4.6.</w:t>
      </w:r>
      <w:fldSimple w:instr="SEQ Figura \n \* ARABIC">
        <w:r>
          <w:t xml:space="preserve">5</w:t>
        </w:r>
      </w:fldSimple>
      <w:r>
        <w:t xml:space="preserve"> · Considera las consecuencias a corto plazo, a largo plazo, e inesperadas de las acciones</w:t>
      </w:r>
      <w:bookmarkEnd w:id="4852"/>
    </w:p>
    <w:p>
      <w:pPr>
        <w:pStyle w:val="Fuente"/>
      </w:pPr>
      <w:r>
        <w:t xml:space="preserve">Presentación C-4, pág. 3</w:t>
      </w:r>
    </w:p>
    <w:p>
      <w:pPr>
        <w:keepNext/>
        <w:spacing w:after="40" w:before="150"/>
        <w:jc w:val="center"/>
      </w:pPr>
      <w:bookmarkStart w:name="b_figura_original_pagina_C_4_4" w:id="4853"/>
      <w:bookmarkEnd w:id="4853"/>
      <w:r>
        <w:drawing>
          <wp:inline distT="0" distB="0" distL="0" distR="0">
            <wp:extent cx="5381625" cy="3028950"/>
            <wp:effectExtent t="0" r="0" b="0" l="0"/>
            <wp:docPr id="185" name="pagina-C-4-4" descr="Presentación C-4, pág. 4" title="Consecuencias a corto y a largo plaz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55" cstate="none"/>
                    <a:srcRect/>
                    <a:stretch>
                      <a:fillRect/>
                    </a:stretch>
                  </pic:blipFill>
                  <pic:spPr bwMode="auto">
                    <a:xfrm>
                      <a:off x="0" y="0"/>
                      <a:ext cx="5381625" cy="3028950"/>
                    </a:xfrm>
                    <a:prstGeom prst="rect">
                      <a:avLst/>
                    </a:prstGeom>
                  </pic:spPr>
                </pic:pic>
              </a:graphicData>
            </a:graphic>
          </wp:inline>
        </w:drawing>
      </w:r>
    </w:p>
    <w:p>
      <w:pPr>
        <w:pStyle w:val="PieFigura"/>
        <w:keepNext/>
      </w:pPr>
      <w:bookmarkStart w:name="b_fig_4_6_6" w:id="4854"/>
      <w:r>
        <w:t xml:space="preserve">Figura 4.6.</w:t>
      </w:r>
      <w:fldSimple w:instr="SEQ Figura \n \* ARABIC">
        <w:r>
          <w:t xml:space="preserve">6</w:t>
        </w:r>
      </w:fldSimple>
      <w:r>
        <w:t xml:space="preserve"> · Consecuencias a corto y a largo plazo</w:t>
      </w:r>
      <w:bookmarkEnd w:id="4854"/>
    </w:p>
    <w:p>
      <w:pPr>
        <w:pStyle w:val="Fuente"/>
      </w:pPr>
      <w:r>
        <w:t xml:space="preserve">Presentación C-4, pág. 4</w:t>
      </w:r>
    </w:p>
    <w:p>
      <w:pPr>
        <w:keepNext/>
        <w:spacing w:after="40" w:before="150"/>
        <w:jc w:val="center"/>
      </w:pPr>
      <w:bookmarkStart w:name="b_figura_original_pagina_C_4_8" w:id="4855"/>
      <w:bookmarkEnd w:id="4855"/>
      <w:r>
        <w:drawing>
          <wp:inline distT="0" distB="0" distL="0" distR="0">
            <wp:extent cx="5381625" cy="3028950"/>
            <wp:effectExtent t="0" r="0" b="0" l="0"/>
            <wp:docPr id="186" name="pagina-C-4-8" descr="Presentación C-4, pág. 8" title="Sopesando las ventajas y desventajas de las decisio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50" cstate="none"/>
                    <a:srcRect/>
                    <a:stretch>
                      <a:fillRect/>
                    </a:stretch>
                  </pic:blipFill>
                  <pic:spPr bwMode="auto">
                    <a:xfrm>
                      <a:off x="0" y="0"/>
                      <a:ext cx="5381625" cy="3028950"/>
                    </a:xfrm>
                    <a:prstGeom prst="rect">
                      <a:avLst/>
                    </a:prstGeom>
                  </pic:spPr>
                </pic:pic>
              </a:graphicData>
            </a:graphic>
          </wp:inline>
        </w:drawing>
      </w:r>
    </w:p>
    <w:p>
      <w:pPr>
        <w:pStyle w:val="PieFigura"/>
        <w:keepNext/>
      </w:pPr>
      <w:bookmarkStart w:name="b_fig_4_6_7" w:id="4856"/>
      <w:r>
        <w:t xml:space="preserve">Figura 4.6.</w:t>
      </w:r>
      <w:fldSimple w:instr="SEQ Figura \n \* ARABIC">
        <w:r>
          <w:t xml:space="preserve">7</w:t>
        </w:r>
      </w:fldSimple>
      <w:r>
        <w:t xml:space="preserve"> · Sopesando las ventajas y desventajas de las decisiones</w:t>
      </w:r>
      <w:bookmarkEnd w:id="4856"/>
    </w:p>
    <w:p>
      <w:pPr>
        <w:pStyle w:val="Fuente"/>
      </w:pPr>
      <w:r>
        <w:t xml:space="preserve">Presentación C-4, pág. 8</w:t>
      </w:r>
    </w:p>
    <w:p>
      <w:pPr>
        <w:keepNext/>
        <w:spacing w:after="40" w:before="150"/>
        <w:jc w:val="center"/>
      </w:pPr>
      <w:bookmarkStart w:name="b_figura_original_pagina_C_4_9" w:id="4857"/>
      <w:bookmarkEnd w:id="4857"/>
      <w:r>
        <w:drawing>
          <wp:inline distT="0" distB="0" distL="0" distR="0">
            <wp:extent cx="5381625" cy="3028950"/>
            <wp:effectExtent t="0" r="0" b="0" l="0"/>
            <wp:docPr id="187" name="pagina-C-4-9" descr="Presentación C-4, pág. 9" title="Evaluando escenarios futur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51" cstate="none"/>
                    <a:srcRect/>
                    <a:stretch>
                      <a:fillRect/>
                    </a:stretch>
                  </pic:blipFill>
                  <pic:spPr bwMode="auto">
                    <a:xfrm>
                      <a:off x="0" y="0"/>
                      <a:ext cx="5381625" cy="3028950"/>
                    </a:xfrm>
                    <a:prstGeom prst="rect">
                      <a:avLst/>
                    </a:prstGeom>
                  </pic:spPr>
                </pic:pic>
              </a:graphicData>
            </a:graphic>
          </wp:inline>
        </w:drawing>
      </w:r>
    </w:p>
    <w:p>
      <w:pPr>
        <w:pStyle w:val="PieFigura"/>
        <w:keepNext/>
      </w:pPr>
      <w:bookmarkStart w:name="b_fig_4_6_8" w:id="4858"/>
      <w:r>
        <w:t xml:space="preserve">Figura 4.6.</w:t>
      </w:r>
      <w:fldSimple w:instr="SEQ Figura \n \* ARABIC">
        <w:r>
          <w:t xml:space="preserve">8</w:t>
        </w:r>
      </w:fldSimple>
      <w:r>
        <w:t xml:space="preserve"> · Evaluando escenarios futuros</w:t>
      </w:r>
      <w:bookmarkEnd w:id="4858"/>
    </w:p>
    <w:p>
      <w:pPr>
        <w:pStyle w:val="Fuente"/>
      </w:pPr>
      <w:r>
        <w:t xml:space="preserve">Presentación C-4, pág. 9</w:t>
      </w:r>
    </w:p>
    <w:p>
      <w:pPr>
        <w:keepNext/>
        <w:spacing w:after="40" w:before="150"/>
        <w:jc w:val="center"/>
      </w:pPr>
      <w:bookmarkStart w:name="b_figura_original_pagina_C_4_12" w:id="4859"/>
      <w:bookmarkEnd w:id="4859"/>
      <w:r>
        <w:drawing>
          <wp:inline distT="0" distB="0" distL="0" distR="0">
            <wp:extent cx="5381625" cy="3028950"/>
            <wp:effectExtent t="0" r="0" b="0" l="0"/>
            <wp:docPr id="188" name="pagina-C-4-12" descr="Presentación C-4, pág. 12" title="Considera un tema completamente y resiste al impulso de llegar a una conclusión rápi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56" cstate="none"/>
                    <a:srcRect/>
                    <a:stretch>
                      <a:fillRect/>
                    </a:stretch>
                  </pic:blipFill>
                  <pic:spPr bwMode="auto">
                    <a:xfrm>
                      <a:off x="0" y="0"/>
                      <a:ext cx="5381625" cy="3028950"/>
                    </a:xfrm>
                    <a:prstGeom prst="rect">
                      <a:avLst/>
                    </a:prstGeom>
                  </pic:spPr>
                </pic:pic>
              </a:graphicData>
            </a:graphic>
          </wp:inline>
        </w:drawing>
      </w:r>
    </w:p>
    <w:p>
      <w:pPr>
        <w:pStyle w:val="PieFigura"/>
        <w:keepNext/>
      </w:pPr>
      <w:bookmarkStart w:name="b_fig_4_6_9" w:id="4860"/>
      <w:r>
        <w:t xml:space="preserve">Figura 4.6.</w:t>
      </w:r>
      <w:fldSimple w:instr="SEQ Figura \n \* ARABIC">
        <w:r>
          <w:t xml:space="preserve">9</w:t>
        </w:r>
      </w:fldSimple>
      <w:r>
        <w:t xml:space="preserve"> · Considera un tema completamente y resiste al impulso de llegar a una conclusión rápida</w:t>
      </w:r>
      <w:bookmarkEnd w:id="4860"/>
    </w:p>
    <w:p>
      <w:pPr>
        <w:pStyle w:val="Fuente"/>
      </w:pPr>
      <w:r>
        <w:t xml:space="preserve">Presentación C-4, pág. 12</w:t>
      </w:r>
    </w:p>
    <w:p>
      <w:pPr>
        <w:keepNext/>
        <w:spacing w:after="40" w:before="150"/>
        <w:jc w:val="center"/>
      </w:pPr>
      <w:bookmarkStart w:name="b_figura_original_pagina_C_4_13" w:id="4861"/>
      <w:bookmarkEnd w:id="4861"/>
      <w:r>
        <w:drawing>
          <wp:inline distT="0" distB="0" distL="0" distR="0">
            <wp:extent cx="5381625" cy="3028950"/>
            <wp:effectExtent t="0" r="0" b="0" l="0"/>
            <wp:docPr id="189" name="pagina-C-4-13" descr="Presentación C-4, pág. 13" title="El pensamiento reduccionista actúa rápidamente pero no ve las cadenas circulares de causa y efecto que producen el «efecto domin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57" cstate="none"/>
                    <a:srcRect/>
                    <a:stretch>
                      <a:fillRect/>
                    </a:stretch>
                  </pic:blipFill>
                  <pic:spPr bwMode="auto">
                    <a:xfrm>
                      <a:off x="0" y="0"/>
                      <a:ext cx="5381625" cy="3028950"/>
                    </a:xfrm>
                    <a:prstGeom prst="rect">
                      <a:avLst/>
                    </a:prstGeom>
                  </pic:spPr>
                </pic:pic>
              </a:graphicData>
            </a:graphic>
          </wp:inline>
        </w:drawing>
      </w:r>
    </w:p>
    <w:p>
      <w:pPr>
        <w:pStyle w:val="PieFigura"/>
        <w:keepNext/>
      </w:pPr>
      <w:bookmarkStart w:name="b_fig_4_6_10" w:id="4862"/>
      <w:r>
        <w:t xml:space="preserve">Figura 4.6.</w:t>
      </w:r>
      <w:fldSimple w:instr="SEQ Figura \n \* ARABIC">
        <w:r>
          <w:t xml:space="preserve">10</w:t>
        </w:r>
      </w:fldSimple>
      <w:r>
        <w:t xml:space="preserve"> · El pensamiento reduccionista actúa rápidamente pero no ve las cadenas circulares de causa y efecto que producen el «efecto dominó»</w:t>
      </w:r>
      <w:bookmarkEnd w:id="4862"/>
    </w:p>
    <w:p>
      <w:pPr>
        <w:pStyle w:val="Fuente"/>
      </w:pPr>
      <w:r>
        <w:t xml:space="preserve">Presentación C-4, pág. 13</w:t>
      </w:r>
    </w:p>
    <w:p>
      <w:pPr>
        <w:keepNext/>
        <w:spacing w:after="40" w:before="150"/>
        <w:jc w:val="center"/>
      </w:pPr>
      <w:bookmarkStart w:name="b_figura_original_pagina_C_4_14" w:id="4863"/>
      <w:bookmarkEnd w:id="4863"/>
      <w:r>
        <w:drawing>
          <wp:inline distT="0" distB="0" distL="0" distR="0">
            <wp:extent cx="5381625" cy="3028950"/>
            <wp:effectExtent t="0" r="0" b="0" l="0"/>
            <wp:docPr id="190" name="pagina-C-4-14" descr="Presentación C-4, pág. 14" title="Abordar deliberadamente desafíos y resolver proble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58" cstate="none"/>
                    <a:srcRect/>
                    <a:stretch>
                      <a:fillRect/>
                    </a:stretch>
                  </pic:blipFill>
                  <pic:spPr bwMode="auto">
                    <a:xfrm>
                      <a:off x="0" y="0"/>
                      <a:ext cx="5381625" cy="3028950"/>
                    </a:xfrm>
                    <a:prstGeom prst="rect">
                      <a:avLst/>
                    </a:prstGeom>
                  </pic:spPr>
                </pic:pic>
              </a:graphicData>
            </a:graphic>
          </wp:inline>
        </w:drawing>
      </w:r>
    </w:p>
    <w:p>
      <w:pPr>
        <w:pStyle w:val="PieFigura"/>
        <w:keepNext/>
      </w:pPr>
      <w:bookmarkStart w:name="b_fig_4_6_11" w:id="4864"/>
      <w:r>
        <w:t xml:space="preserve">Figura 4.6.</w:t>
      </w:r>
      <w:fldSimple w:instr="SEQ Figura \n \* ARABIC">
        <w:r>
          <w:t xml:space="preserve">11</w:t>
        </w:r>
      </w:fldSimple>
      <w:r>
        <w:t xml:space="preserve"> · Abordar deliberadamente desafíos y resolver problemas</w:t>
      </w:r>
      <w:bookmarkEnd w:id="4864"/>
    </w:p>
    <w:p>
      <w:pPr>
        <w:pStyle w:val="Fuente"/>
      </w:pPr>
      <w:r>
        <w:t xml:space="preserve">Presentación C-4, pág. 14</w:t>
      </w:r>
    </w:p>
    <w:p>
      <w:pPr>
        <w:keepNext/>
        <w:spacing w:after="40" w:before="150"/>
        <w:jc w:val="center"/>
      </w:pPr>
      <w:bookmarkStart w:name="b_figura_original_pagina_C_4_23" w:id="4865"/>
      <w:bookmarkEnd w:id="4865"/>
      <w:r>
        <w:drawing>
          <wp:inline distT="0" distB="0" distL="0" distR="0">
            <wp:extent cx="5381625" cy="3028950"/>
            <wp:effectExtent t="0" r="0" b="0" l="0"/>
            <wp:docPr id="191" name="pagina-C-4-23" descr="Presentación C-4, pág. 23" title="Usa la comprensión de la estructura de un sistema para identificar posibles acciones de apalancamien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59" cstate="none"/>
                    <a:srcRect/>
                    <a:stretch>
                      <a:fillRect/>
                    </a:stretch>
                  </pic:blipFill>
                  <pic:spPr bwMode="auto">
                    <a:xfrm>
                      <a:off x="0" y="0"/>
                      <a:ext cx="5381625" cy="3028950"/>
                    </a:xfrm>
                    <a:prstGeom prst="rect">
                      <a:avLst/>
                    </a:prstGeom>
                  </pic:spPr>
                </pic:pic>
              </a:graphicData>
            </a:graphic>
          </wp:inline>
        </w:drawing>
      </w:r>
    </w:p>
    <w:p>
      <w:pPr>
        <w:pStyle w:val="PieFigura"/>
        <w:keepNext/>
      </w:pPr>
      <w:bookmarkStart w:name="b_fig_4_6_12" w:id="4866"/>
      <w:r>
        <w:t xml:space="preserve">Figura 4.6.</w:t>
      </w:r>
      <w:fldSimple w:instr="SEQ Figura \n \* ARABIC">
        <w:r>
          <w:t xml:space="preserve">12</w:t>
        </w:r>
      </w:fldSimple>
      <w:r>
        <w:t xml:space="preserve"> · Usa la comprensión de la estructura de un sistema para identificar posibles acciones de apalancamiento</w:t>
      </w:r>
      <w:bookmarkEnd w:id="4866"/>
    </w:p>
    <w:p>
      <w:pPr>
        <w:pStyle w:val="Fuente"/>
      </w:pPr>
      <w:r>
        <w:t xml:space="preserve">Presentación C-4, pág. 23</w:t>
      </w:r>
    </w:p>
    <w:p>
      <w:pPr>
        <w:keepNext/>
        <w:spacing w:after="40" w:before="150"/>
        <w:jc w:val="center"/>
      </w:pPr>
      <w:bookmarkStart w:name="b_figura_original_pagina_C_4_24" w:id="4867"/>
      <w:bookmarkEnd w:id="4867"/>
      <w:r>
        <w:drawing>
          <wp:inline distT="0" distB="0" distL="0" distR="0">
            <wp:extent cx="5381625" cy="3028950"/>
            <wp:effectExtent t="0" r="0" b="0" l="0"/>
            <wp:docPr id="192" name="pagina-C-4-24" descr="Presentación C-4, pág. 24" title="Resolviendo situaciones problemáticas en los siste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60" cstate="none"/>
                    <a:srcRect/>
                    <a:stretch>
                      <a:fillRect/>
                    </a:stretch>
                  </pic:blipFill>
                  <pic:spPr bwMode="auto">
                    <a:xfrm>
                      <a:off x="0" y="0"/>
                      <a:ext cx="5381625" cy="3028950"/>
                    </a:xfrm>
                    <a:prstGeom prst="rect">
                      <a:avLst/>
                    </a:prstGeom>
                  </pic:spPr>
                </pic:pic>
              </a:graphicData>
            </a:graphic>
          </wp:inline>
        </w:drawing>
      </w:r>
    </w:p>
    <w:p>
      <w:pPr>
        <w:pStyle w:val="PieFigura"/>
        <w:keepNext/>
      </w:pPr>
      <w:bookmarkStart w:name="b_fig_4_6_13" w:id="4868"/>
      <w:r>
        <w:t xml:space="preserve">Figura 4.6.</w:t>
      </w:r>
      <w:fldSimple w:instr="SEQ Figura \n \* ARABIC">
        <w:r>
          <w:t xml:space="preserve">13</w:t>
        </w:r>
      </w:fldSimple>
      <w:r>
        <w:t xml:space="preserve"> · Resolviendo situaciones problemáticas en los sistemas</w:t>
      </w:r>
      <w:bookmarkEnd w:id="4868"/>
    </w:p>
    <w:p>
      <w:pPr>
        <w:pStyle w:val="Fuente"/>
      </w:pPr>
      <w:r>
        <w:t xml:space="preserve">Presentación C-4, pág. 24</w:t>
      </w:r>
    </w:p>
    <w:p>
      <w:pPr>
        <w:keepNext/>
        <w:spacing w:after="40" w:before="150"/>
        <w:jc w:val="center"/>
      </w:pPr>
      <w:bookmarkStart w:name="b_figura_original_pagina_C_4_25" w:id="4869"/>
      <w:bookmarkEnd w:id="4869"/>
      <w:r>
        <w:drawing>
          <wp:inline distT="0" distB="0" distL="0" distR="0">
            <wp:extent cx="5381625" cy="3028950"/>
            <wp:effectExtent t="0" r="0" b="0" l="0"/>
            <wp:docPr id="193" name="pagina-C-4-25" descr="Presentación C-4, pág. 25" title="La comprensión de la estructura del sistema permite identificar acciones de apalancamien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61" cstate="none"/>
                    <a:srcRect/>
                    <a:stretch>
                      <a:fillRect/>
                    </a:stretch>
                  </pic:blipFill>
                  <pic:spPr bwMode="auto">
                    <a:xfrm>
                      <a:off x="0" y="0"/>
                      <a:ext cx="5381625" cy="3028950"/>
                    </a:xfrm>
                    <a:prstGeom prst="rect">
                      <a:avLst/>
                    </a:prstGeom>
                  </pic:spPr>
                </pic:pic>
              </a:graphicData>
            </a:graphic>
          </wp:inline>
        </w:drawing>
      </w:r>
    </w:p>
    <w:p>
      <w:pPr>
        <w:pStyle w:val="PieFigura"/>
        <w:keepNext/>
      </w:pPr>
      <w:bookmarkStart w:name="b_fig_4_6_14" w:id="4870"/>
      <w:r>
        <w:t xml:space="preserve">Figura 4.6.</w:t>
      </w:r>
      <w:fldSimple w:instr="SEQ Figura \n \* ARABIC">
        <w:r>
          <w:t xml:space="preserve">14</w:t>
        </w:r>
      </w:fldSimple>
      <w:r>
        <w:t xml:space="preserve"> · La comprensión de la estructura del sistema permite identificar acciones de apalancamiento</w:t>
      </w:r>
      <w:bookmarkEnd w:id="4870"/>
    </w:p>
    <w:p>
      <w:pPr>
        <w:pStyle w:val="Fuente"/>
      </w:pPr>
      <w:r>
        <w:t xml:space="preserve">Presentación C-4, pág. 25</w:t>
      </w:r>
    </w:p>
    <w:p>
      <w:pPr>
        <w:keepNext/>
        <w:spacing w:after="40" w:before="150"/>
        <w:jc w:val="center"/>
      </w:pPr>
      <w:bookmarkStart w:name="b_figura_original_pagina_C_4_27" w:id="4871"/>
      <w:bookmarkEnd w:id="4871"/>
      <w:r>
        <w:drawing>
          <wp:inline distT="0" distB="0" distL="0" distR="0">
            <wp:extent cx="5381625" cy="3028950"/>
            <wp:effectExtent t="0" r="0" b="0" l="0"/>
            <wp:docPr id="194" name="pagina-C-4-27" descr="Presentación C-4, pág. 27" title="Pequeñas acciones para soluciones muy útiles: ¿cómo sacar una aguja de un paj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62" cstate="none"/>
                    <a:srcRect/>
                    <a:stretch>
                      <a:fillRect/>
                    </a:stretch>
                  </pic:blipFill>
                  <pic:spPr bwMode="auto">
                    <a:xfrm>
                      <a:off x="0" y="0"/>
                      <a:ext cx="5381625" cy="3028950"/>
                    </a:xfrm>
                    <a:prstGeom prst="rect">
                      <a:avLst/>
                    </a:prstGeom>
                  </pic:spPr>
                </pic:pic>
              </a:graphicData>
            </a:graphic>
          </wp:inline>
        </w:drawing>
      </w:r>
    </w:p>
    <w:p>
      <w:pPr>
        <w:pStyle w:val="PieFigura"/>
        <w:keepNext/>
      </w:pPr>
      <w:bookmarkStart w:name="b_fig_4_6_15" w:id="4872"/>
      <w:r>
        <w:t xml:space="preserve">Figura 4.6.</w:t>
      </w:r>
      <w:fldSimple w:instr="SEQ Figura \n \* ARABIC">
        <w:r>
          <w:t xml:space="preserve">15</w:t>
        </w:r>
      </w:fldSimple>
      <w:r>
        <w:t xml:space="preserve"> · Pequeñas acciones para soluciones muy útiles: ¿cómo sacar una aguja de un pajar?</w:t>
      </w:r>
      <w:bookmarkEnd w:id="4872"/>
    </w:p>
    <w:p>
      <w:pPr>
        <w:pStyle w:val="Fuente"/>
      </w:pPr>
      <w:r>
        <w:t xml:space="preserve">Presentación C-4, pág. 27</w:t>
      </w:r>
    </w:p>
    <w:p>
      <w:pPr>
        <w:keepNext/>
        <w:spacing w:after="40" w:before="150"/>
        <w:jc w:val="center"/>
      </w:pPr>
      <w:bookmarkStart w:name="b_figura_original_pagina_C_4_28" w:id="4873"/>
      <w:bookmarkEnd w:id="4873"/>
      <w:r>
        <w:drawing>
          <wp:inline distT="0" distB="0" distL="0" distR="0">
            <wp:extent cx="5381625" cy="3028950"/>
            <wp:effectExtent t="0" r="0" b="0" l="0"/>
            <wp:docPr id="195" name="pagina-C-4-28" descr="Presentación C-4, pág. 28" title="Un caso de estudio de cómo encontrar puntos de apalancamien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52" cstate="none"/>
                    <a:srcRect/>
                    <a:stretch>
                      <a:fillRect/>
                    </a:stretch>
                  </pic:blipFill>
                  <pic:spPr bwMode="auto">
                    <a:xfrm>
                      <a:off x="0" y="0"/>
                      <a:ext cx="5381625" cy="3028950"/>
                    </a:xfrm>
                    <a:prstGeom prst="rect">
                      <a:avLst/>
                    </a:prstGeom>
                  </pic:spPr>
                </pic:pic>
              </a:graphicData>
            </a:graphic>
          </wp:inline>
        </w:drawing>
      </w:r>
    </w:p>
    <w:p>
      <w:pPr>
        <w:pStyle w:val="PieFigura"/>
        <w:keepNext/>
      </w:pPr>
      <w:bookmarkStart w:name="b_fig_4_6_16" w:id="4874"/>
      <w:r>
        <w:t xml:space="preserve">Figura 4.6.</w:t>
      </w:r>
      <w:fldSimple w:instr="SEQ Figura \n \* ARABIC">
        <w:r>
          <w:t xml:space="preserve">16</w:t>
        </w:r>
      </w:fldSimple>
      <w:r>
        <w:t xml:space="preserve"> · Un caso de estudio de cómo encontrar puntos de apalancamiento</w:t>
      </w:r>
      <w:bookmarkEnd w:id="4874"/>
    </w:p>
    <w:p>
      <w:pPr>
        <w:pStyle w:val="Fuente"/>
      </w:pPr>
      <w:r>
        <w:t xml:space="preserve">Presentación C-4, pág. 28</w:t>
      </w:r>
    </w:p>
    <w:p>
      <w:pPr>
        <w:keepNext/>
        <w:spacing w:after="40" w:before="150"/>
        <w:jc w:val="center"/>
      </w:pPr>
      <w:bookmarkStart w:name="b_figura_original_pagina_C_4_29" w:id="4875"/>
      <w:bookmarkEnd w:id="4875"/>
      <w:r>
        <w:drawing>
          <wp:inline distT="0" distB="0" distL="0" distR="0">
            <wp:extent cx="5381625" cy="3028950"/>
            <wp:effectExtent t="0" r="0" b="0" l="0"/>
            <wp:docPr id="196" name="pagina-C-4-29" descr="Presentación C-4, pág. 29" title="Explorando los puntos de apalancamien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63" cstate="none"/>
                    <a:srcRect/>
                    <a:stretch>
                      <a:fillRect/>
                    </a:stretch>
                  </pic:blipFill>
                  <pic:spPr bwMode="auto">
                    <a:xfrm>
                      <a:off x="0" y="0"/>
                      <a:ext cx="5381625" cy="3028950"/>
                    </a:xfrm>
                    <a:prstGeom prst="rect">
                      <a:avLst/>
                    </a:prstGeom>
                  </pic:spPr>
                </pic:pic>
              </a:graphicData>
            </a:graphic>
          </wp:inline>
        </w:drawing>
      </w:r>
    </w:p>
    <w:p>
      <w:pPr>
        <w:pStyle w:val="PieFigura"/>
        <w:keepNext/>
      </w:pPr>
      <w:bookmarkStart w:name="b_fig_4_6_17" w:id="4876"/>
      <w:r>
        <w:t xml:space="preserve">Figura 4.6.</w:t>
      </w:r>
      <w:fldSimple w:instr="SEQ Figura \n \* ARABIC">
        <w:r>
          <w:t xml:space="preserve">17</w:t>
        </w:r>
      </w:fldSimple>
      <w:r>
        <w:t xml:space="preserve"> · Explorando los puntos de apalancamiento</w:t>
      </w:r>
      <w:bookmarkEnd w:id="4876"/>
    </w:p>
    <w:p>
      <w:pPr>
        <w:pStyle w:val="Fuente"/>
      </w:pPr>
      <w:r>
        <w:t xml:space="preserve">Presentación C-4, pág. 29</w:t>
      </w:r>
    </w:p>
    <w:p>
      <w:pPr>
        <w:pStyle w:val="Heading3"/>
      </w:pPr>
      <w:r>
        <w:t xml:space="preserve">Lo que explicó el profesor en clase</w:t>
      </w:r>
    </w:p>
    <w:p>
      <w:pPr>
        <w:pStyle w:val="Heading3"/>
      </w:pPr>
      <w:bookmarkStart w:name="b_clase_4_6_c18_cap_02" w:id="4877"/>
      <w:r>
        <w:t xml:space="preserve">Clase 18 · 00:26:24–00:37:43 · La perspectiva metacognitiva</w:t>
      </w:r>
      <w:bookmarkEnd w:id="4877"/>
    </w:p>
    <w:p>
      <w:bookmarkStart w:name="b_punto_c18_cap_02_p01" w:id="4878"/>
      <w:r>
        <w:t xml:space="preserve">La Unidad 1 se centró en metacognición: estudiar cómo se forman y usan los modelos mentales.</w:t>
      </w:r>
      <w:bookmarkEnd w:id="4878"/>
    </w:p>
    <w:p>
      <w:bookmarkStart w:name="b_punto_c18_cap_02_p02" w:id="4879"/>
      <w:r>
        <w:t xml:space="preserve">Eliminación, generalización, construcción y distorsión operan automáticamente; la escalera ayuda a hacer consciente ese proceso.</w:t>
      </w:r>
      <w:bookmarkEnd w:id="4879"/>
    </w:p>
    <w:p>
      <w:bookmarkStart w:name="b_punto_c18_cap_02_p04" w:id="4880"/>
      <w:r>
        <w:t xml:space="preserve">Se distingue el foco metacognitivo inmediato de la Unidad 1 del objetivo sistémico general del curso y del énfasis de unidades 2 y 3.</w:t>
      </w:r>
      <w:bookmarkEnd w:id="4880"/>
    </w:p>
    <w:p>
      <w:pPr>
        <w:pStyle w:val="Fuente"/>
      </w:pPr>
      <w:r>
        <w:t xml:space="preserve">Véase </w:t>
      </w:r>
      <w:hyperlink w:history="1" w:anchor="b_senales_examen">
        <w:r>
          <w:rPr>
            <w:color w:val="156B70"/>
            <w:u w:val="single"/>
          </w:rPr>
          <w:t xml:space="preserve">1 indicación(es) de examen de este tramo, en el apéndice cronológico</w:t>
        </w:r>
      </w:hyperlink>
      <w:r>
        <w:t xml:space="preserve">, pág. </w:t>
      </w:r>
      <w:r>
        <w:fldChar w:fldCharType="begin"/>
        <w:instrText xml:space="preserve">PAGEREF b_senales_examen \h</w:instrText>
        <w:fldChar w:fldCharType="separate"/>
        <w:t xml:space="preserve">1663</w:t>
        <w:fldChar w:fldCharType="end"/>
      </w:r>
      <w:r>
        <w:t xml:space="preserve">.</w:t>
      </w:r>
    </w:p>
    <w:p>
      <w:pPr>
        <w:pStyle w:val="Fuente"/>
      </w:pPr>
      <w:r>
        <w:t xml:space="preserve">Véase </w:t>
      </w:r>
      <w:hyperlink w:history="1" w:anchor="b_1_4">
        <w:r>
          <w:rPr>
            <w:color w:val="156B70"/>
            <w:u w:val="single"/>
          </w:rPr>
          <w:t xml:space="preserve">capítulo 1.4 · Sistémico vs no sistémico</w:t>
        </w:r>
      </w:hyperlink>
      <w:r>
        <w:t xml:space="preserve">, pág. </w:t>
      </w:r>
      <w:r>
        <w:fldChar w:fldCharType="begin"/>
        <w:instrText xml:space="preserve">PAGEREF b_1_4 \h</w:instrText>
        <w:fldChar w:fldCharType="separate"/>
        <w:t xml:space="preserve">104</w:t>
        <w:fldChar w:fldCharType="end"/>
      </w:r>
      <w:r>
        <w:t xml:space="preserve">.</w:t>
      </w:r>
    </w:p>
    <w:p>
      <w:pPr>
        <w:pStyle w:val="Fuente"/>
      </w:pPr>
      <w:r>
        <w:t xml:space="preserve">Véase </w:t>
      </w:r>
      <w:hyperlink w:history="1" w:anchor="b_4_7">
        <w:r>
          <w:rPr>
            <w:color w:val="156B70"/>
            <w:u w:val="single"/>
          </w:rPr>
          <w:t xml:space="preserve">capítulo 4.7 · Hábitos (simulación)</w:t>
        </w:r>
      </w:hyperlink>
      <w:r>
        <w:t xml:space="preserve">, pág. </w:t>
      </w:r>
      <w:r>
        <w:fldChar w:fldCharType="begin"/>
        <w:instrText xml:space="preserve">PAGEREF b_4_7 \h</w:instrText>
        <w:fldChar w:fldCharType="separate"/>
        <w:t xml:space="preserve">932</w:t>
        <w:fldChar w:fldCharType="end"/>
      </w:r>
      <w:r>
        <w:t xml:space="preserve">.</w:t>
      </w:r>
    </w:p>
    <w:p>
      <w:pPr>
        <w:pStyle w:val="Heading3"/>
      </w:pPr>
      <w:bookmarkStart w:name="b_clase_4_6_c21_cap_05" w:id="4881"/>
      <w:r>
        <w:t xml:space="preserve">Clase 21 · 00:52:54–01:04:10 · El préstamo y las alternativas</w:t>
      </w:r>
      <w:bookmarkEnd w:id="4881"/>
    </w:p>
    <w:p>
      <w:bookmarkStart w:name="b_punto_c21_cap_05_p02" w:id="4882"/>
      <w:r>
        <w:t xml:space="preserve">La decisión de préstamo ejemplifica pensamiento prospectivo: comprender primero factores y tendencias, después comparar consecuencias para elegir una acción.</w:t>
      </w:r>
      <w:bookmarkEnd w:id="4882"/>
    </w:p>
    <w:p>
      <w:pPr>
        <w:pStyle w:val="Fuente"/>
      </w:pPr>
      <w:r>
        <w:t xml:space="preserve">Véase </w:t>
      </w:r>
      <w:hyperlink w:history="1" w:anchor="b_4_4">
        <w:r>
          <w:rPr>
            <w:color w:val="156B70"/>
            <w:u w:val="single"/>
          </w:rPr>
          <w:t xml:space="preserve">capítulo 4.4 · Simulación con VENSIM</w:t>
        </w:r>
      </w:hyperlink>
      <w:r>
        <w:t xml:space="preserve">, pág. </w:t>
      </w:r>
      <w:r>
        <w:fldChar w:fldCharType="begin"/>
        <w:instrText xml:space="preserve">PAGEREF b_4_4 \h</w:instrText>
        <w:fldChar w:fldCharType="separate"/>
        <w:t xml:space="preserve">776</w:t>
        <w:fldChar w:fldCharType="end"/>
      </w:r>
      <w:r>
        <w:t xml:space="preserve">.</w:t>
      </w:r>
    </w:p>
    <w:p>
      <w:pPr>
        <w:pStyle w:val="Fuente"/>
      </w:pPr>
      <w:r>
        <w:t xml:space="preserve">Véase </w:t>
      </w:r>
      <w:hyperlink w:history="1" w:anchor="b_4_3">
        <w:r>
          <w:rPr>
            <w:color w:val="156B70"/>
            <w:u w:val="single"/>
          </w:rPr>
          <w:t xml:space="preserve">capítulo 4.3 · De ciclos causales a flujos</w:t>
        </w:r>
      </w:hyperlink>
      <w:r>
        <w:t xml:space="preserve">, pág. </w:t>
      </w:r>
      <w:r>
        <w:fldChar w:fldCharType="begin"/>
        <w:instrText xml:space="preserve">PAGEREF b_4_3 \h</w:instrText>
        <w:fldChar w:fldCharType="separate"/>
        <w:t xml:space="preserve">737</w:t>
        <w:fldChar w:fldCharType="end"/>
      </w:r>
      <w:r>
        <w:t xml:space="preserve">.</w:t>
      </w:r>
    </w:p>
    <w:p>
      <w:pPr>
        <w:pStyle w:val="Heading3"/>
      </w:pPr>
      <w:bookmarkStart w:name="b_clase_4_6_c21_cap_08" w:id="4883"/>
      <w:r>
        <w:t xml:space="preserve">Clase 21 · 01:28:37–01:33:50 · Ampliar el horizonte a veinticuatro meses</w:t>
      </w:r>
      <w:bookmarkEnd w:id="4883"/>
    </w:p>
    <w:p>
      <w:bookmarkStart w:name="b_punto_c21_cap_08_p03" w:id="4884"/>
      <w:r>
        <w:t xml:space="preserve">Una promoción favorable al inicio puede dejar de serlo en otro horizonte; la tasa y el principal deben evaluarse juntos a la fecha elegida.</w:t>
      </w:r>
      <w:bookmarkEnd w:id="4884"/>
    </w:p>
    <w:p>
      <w:pPr>
        <w:pStyle w:val="Fuente"/>
      </w:pPr>
      <w:r>
        <w:t xml:space="preserve">Véase </w:t>
      </w:r>
      <w:hyperlink w:history="1" w:anchor="b_4_4">
        <w:r>
          <w:rPr>
            <w:color w:val="156B70"/>
            <w:u w:val="single"/>
          </w:rPr>
          <w:t xml:space="preserve">capítulo 4.4 · Simulación con VENSIM</w:t>
        </w:r>
      </w:hyperlink>
      <w:r>
        <w:t xml:space="preserve">, pág. </w:t>
      </w:r>
      <w:r>
        <w:fldChar w:fldCharType="begin"/>
        <w:instrText xml:space="preserve">PAGEREF b_4_4 \h</w:instrText>
        <w:fldChar w:fldCharType="separate"/>
        <w:t xml:space="preserve">776</w:t>
        <w:fldChar w:fldCharType="end"/>
      </w:r>
      <w:r>
        <w:t xml:space="preserve">.</w:t>
      </w:r>
    </w:p>
    <w:p>
      <w:pPr>
        <w:pStyle w:val="Heading3"/>
      </w:pPr>
      <w:bookmarkStart w:name="b_clase_4_6_c21_cap_10" w:id="4885"/>
      <w:r>
        <w:t xml:space="preserve">Clase 21 · 01:38:06–01:45:44 · Consecuencias y próximos pasos</w:t>
      </w:r>
      <w:bookmarkEnd w:id="4885"/>
    </w:p>
    <w:p>
      <w:bookmarkStart w:name="b_punto_c21_cap_10_p01" w:id="4886"/>
      <w:r>
        <w:t xml:space="preserve">La toma de decisiones sistémicas considera corto, mediano y largo plazo, efectos favorables y desfavorables y la estructura que los produce.</w:t>
      </w:r>
      <w:bookmarkEnd w:id="4886"/>
    </w:p>
    <w:p>
      <w:bookmarkStart w:name="b_punto_c21_cap_10_p02" w:id="4887"/>
      <w:r>
        <w:t xml:space="preserve">Practicar el pensamiento prospectivo ayuda a imaginar escenarios sin software; las estructuras circulares complejas pueden exceder esa capacidad y justificar simulación.</w:t>
      </w:r>
      <w:bookmarkEnd w:id="4887"/>
    </w:p>
    <w:p>
      <w:pPr>
        <w:pStyle w:val="Fuente"/>
      </w:pPr>
      <w:r>
        <w:t xml:space="preserve">Véase </w:t>
      </w:r>
      <w:hyperlink w:history="1" w:anchor="b_senales_examen">
        <w:r>
          <w:rPr>
            <w:color w:val="156B70"/>
            <w:u w:val="single"/>
          </w:rPr>
          <w:t xml:space="preserve">1 indicación(es) de examen de este tramo, en el apéndice cronológico</w:t>
        </w:r>
      </w:hyperlink>
      <w:r>
        <w:t xml:space="preserve">, pág. </w:t>
      </w:r>
      <w:r>
        <w:fldChar w:fldCharType="begin"/>
        <w:instrText xml:space="preserve">PAGEREF b_senales_examen \h</w:instrText>
        <w:fldChar w:fldCharType="separate"/>
        <w:t xml:space="preserve">1663</w:t>
        <w:fldChar w:fldCharType="end"/>
      </w:r>
      <w:r>
        <w:t xml:space="preserve">.</w:t>
      </w:r>
    </w:p>
    <w:p>
      <w:pPr>
        <w:pStyle w:val="Fuente"/>
      </w:pPr>
      <w:r>
        <w:t xml:space="preserve">Véase </w:t>
      </w:r>
      <w:hyperlink w:history="1" w:anchor="b_4_5">
        <w:r>
          <w:rPr>
            <w:color w:val="156B70"/>
            <w:u w:val="single"/>
          </w:rPr>
          <w:t xml:space="preserve">capítulo 4.5 · Ejemplos en VENSIM</w:t>
        </w:r>
      </w:hyperlink>
      <w:r>
        <w:t xml:space="preserve">, pág. </w:t>
      </w:r>
      <w:r>
        <w:fldChar w:fldCharType="begin"/>
        <w:instrText xml:space="preserve">PAGEREF b_4_5 \h</w:instrText>
        <w:fldChar w:fldCharType="separate"/>
        <w:t xml:space="preserve">830</w:t>
        <w:fldChar w:fldCharType="end"/>
      </w:r>
      <w:r>
        <w:t xml:space="preserve">.</w:t>
      </w:r>
    </w:p>
    <w:p>
      <w:pPr>
        <w:pStyle w:val="Heading3"/>
      </w:pPr>
      <w:bookmarkStart w:name="b_clase_4_6_c22_cap_02" w:id="4888"/>
      <w:r>
        <w:t xml:space="preserve">Clase 22 · 00:03:42–00:10:32 · Consecuencias y horizontes</w:t>
      </w:r>
      <w:bookmarkEnd w:id="4888"/>
    </w:p>
    <w:p>
      <w:bookmarkStart w:name="b_punto_c22_cap_02_p01" w:id="4889"/>
      <w:r>
        <w:t xml:space="preserve">El hábito 11 consiste en anticipar resultados inmediatos y efectos futuros de las acciones; la simulación ayuda a considerar distintos horizontes.</w:t>
      </w:r>
      <w:bookmarkEnd w:id="4889"/>
    </w:p>
    <w:p>
      <w:bookmarkStart w:name="b_punto_c22_cap_02_p02" w:id="4890"/>
      <w:r>
        <w:t xml:space="preserve">Aun sin simulación numérica se pueden recorrer relaciones causales y preguntar qué consecuencias previstas, imprevistas, favorables o desfavorables podrían aparecer.</w:t>
      </w:r>
      <w:bookmarkEnd w:id="4890"/>
    </w:p>
    <w:p>
      <w:bookmarkStart w:name="b_punto_c22_cap_02_p03" w:id="4891"/>
      <w:r>
        <w:t xml:space="preserve">Gastar una cantidad hoy o ahorrarla para una compra posterior ilustra satisfacción inmediata frente a resultados acumulados a mayor plazo.</w:t>
      </w:r>
      <w:bookmarkEnd w:id="4891"/>
    </w:p>
    <w:p>
      <w:bookmarkStart w:name="b_punto_c22_cap_02_p04" w:id="4892"/>
      <w:r>
        <w:t xml:space="preserve">Comparar alternativas exige reconocer estructura, consecuencias y resultados esperados frente al objetivo, usando tiempo para evaluarlas.</w:t>
      </w:r>
      <w:bookmarkEnd w:id="4892"/>
    </w:p>
    <w:p>
      <w:pPr>
        <w:pStyle w:val="Heading3"/>
      </w:pPr>
      <w:bookmarkStart w:name="b_clase_4_6_c22_cap_03" w:id="4893"/>
      <w:r>
        <w:t xml:space="preserve">Clase 22 · 00:10:32–00:18:11 · Soluciones rápidas que fallan</w:t>
      </w:r>
      <w:bookmarkEnd w:id="4893"/>
    </w:p>
    <w:p>
      <w:bookmarkStart w:name="b_punto_c22_cap_03_p01" w:id="4894"/>
      <w:r>
        <w:t xml:space="preserve">La opción obvia, rápida o fácil no tiene por qué ser la mejor; considerar alternativas requiere revisar sus consecuencias.</w:t>
      </w:r>
      <w:bookmarkEnd w:id="4894"/>
    </w:p>
    <w:p>
      <w:pPr>
        <w:pStyle w:val="Fuente"/>
      </w:pPr>
      <w:r>
        <w:t xml:space="preserve">Véase </w:t>
      </w:r>
      <w:hyperlink w:history="1" w:anchor="b_4_1">
        <w:r>
          <w:rPr>
            <w:color w:val="156B70"/>
            <w:u w:val="single"/>
          </w:rPr>
          <w:t xml:space="preserve">capítulo 4.1 · Arquetipos sistémicos</w:t>
        </w:r>
      </w:hyperlink>
      <w:r>
        <w:t xml:space="preserve">, pág. </w:t>
      </w:r>
      <w:r>
        <w:fldChar w:fldCharType="begin"/>
        <w:instrText xml:space="preserve">PAGEREF b_4_1 \h</w:instrText>
        <w:fldChar w:fldCharType="separate"/>
        <w:t xml:space="preserve">646</w:t>
        <w:fldChar w:fldCharType="end"/>
      </w:r>
      <w:r>
        <w:t xml:space="preserve">.</w:t>
      </w:r>
    </w:p>
    <w:p>
      <w:pPr>
        <w:pStyle w:val="Heading3"/>
      </w:pPr>
      <w:bookmarkStart w:name="b_clase_4_6_c22_cap_04" w:id="4895"/>
      <w:r>
        <w:t xml:space="preserve">Clase 22 · 00:18:11–00:35:26 · Promociones y erosión de la imagen</w:t>
      </w:r>
      <w:bookmarkEnd w:id="4895"/>
    </w:p>
    <w:p>
      <w:bookmarkStart w:name="b_punto_c22_cap_04_p03" w:id="4896"/>
      <w:r>
        <w:t xml:space="preserve">Hay que indagar si la acción sólo alivia el síntoma o tiene consecuencias adicionales; una apariencia de solución puede ocultar efectos demorados.</w:t>
      </w:r>
      <w:bookmarkEnd w:id="4896"/>
    </w:p>
    <w:p>
      <w:bookmarkStart w:name="b_punto_c22_cap_04_p04" w:id="4897"/>
      <w:r>
        <w:t xml:space="preserve">La respuesta a dos frentes combina alivio temporal del síntoma con compromiso de trabajar sobre la causa fundamental.</w:t>
      </w:r>
      <w:bookmarkEnd w:id="4897"/>
    </w:p>
    <w:p>
      <w:bookmarkStart w:name="b_punto_c22_cap_04_p08" w:id="4898"/>
      <w:r>
        <w:t xml:space="preserve">Experiencias previas, otras perspectivas e investigaciones ayudan a descubrir consecuencias que la información inmediata no muestra.</w:t>
      </w:r>
      <w:bookmarkEnd w:id="4898"/>
    </w:p>
    <w:p>
      <w:pPr>
        <w:pStyle w:val="Fuente"/>
      </w:pPr>
      <w:r>
        <w:t xml:space="preserve">Véase </w:t>
      </w:r>
      <w:hyperlink w:history="1" w:anchor="b_4_1">
        <w:r>
          <w:rPr>
            <w:color w:val="156B70"/>
            <w:u w:val="single"/>
          </w:rPr>
          <w:t xml:space="preserve">capítulo 4.1 · Arquetipos sistémicos</w:t>
        </w:r>
      </w:hyperlink>
      <w:r>
        <w:t xml:space="preserve">, pág. </w:t>
      </w:r>
      <w:r>
        <w:fldChar w:fldCharType="begin"/>
        <w:instrText xml:space="preserve">PAGEREF b_4_1 \h</w:instrText>
        <w:fldChar w:fldCharType="separate"/>
        <w:t xml:space="preserve">646</w:t>
        <w:fldChar w:fldCharType="end"/>
      </w:r>
      <w:r>
        <w:t xml:space="preserve">.</w:t>
      </w:r>
    </w:p>
    <w:p>
      <w:pPr>
        <w:pStyle w:val="Heading3"/>
      </w:pPr>
      <w:bookmarkStart w:name="b_clase_4_6_c22_cap_05" w:id="4899"/>
      <w:r>
        <w:t xml:space="preserve">Clase 22 · 00:35:26–00:47:24 · Judy y María: evaluar alternativas</w:t>
      </w:r>
      <w:bookmarkEnd w:id="4899"/>
    </w:p>
    <w:p>
      <w:bookmarkStart w:name="b_punto_c22_cap_05_p01" w:id="4900"/>
      <w:r>
        <w:t xml:space="preserve">Se puede explorar escenarios mediante DCC, simulación o reflexión/indagación con personas que conocen el sistema.</w:t>
      </w:r>
      <w:bookmarkEnd w:id="4900"/>
    </w:p>
    <w:p>
      <w:bookmarkStart w:name="b_punto_c22_cap_05_p02" w:id="4901"/>
      <w:r>
        <w:t xml:space="preserve">Las preguntas sobre afectados, resultados deseables e indeseables y otras opciones amplían la comprensión antes de decidir.</w:t>
      </w:r>
      <w:bookmarkEnd w:id="4901"/>
    </w:p>
    <w:p>
      <w:bookmarkStart w:name="b_punto_c22_cap_05_p03" w:id="4902"/>
      <w:r>
        <w:t xml:space="preserve">Judy compara contratar a su amiga María con otras candidaturas, en un contexto de jefatura y subordinación diferente de la amistad.</w:t>
      </w:r>
      <w:bookmarkEnd w:id="4902"/>
    </w:p>
    <w:p>
      <w:bookmarkStart w:name="b_punto_c22_cap_05_p04" w:id="4903"/>
      <w:r>
        <w:t xml:space="preserve">La tabla organiza habilidades, experiencia y aprendizaje conocidos como ventajas, y favoritismo, trato especial o supuesta aceptación grupal como riesgos.</w:t>
      </w:r>
      <w:bookmarkEnd w:id="4903"/>
    </w:p>
    <w:p>
      <w:bookmarkStart w:name="b_punto_c22_cap_05_p05" w:id="4904"/>
      <w:r>
        <w:t xml:space="preserve">Pesar o ponderar ventajas y desventajas ayuda a comparar alternativas; en esta sesión se menciona de forma cualitativa, sin fijar pesos numéricos.</w:t>
      </w:r>
      <w:bookmarkEnd w:id="4904"/>
    </w:p>
    <w:p>
      <w:bookmarkStart w:name="b_punto_c22_cap_05_p06" w:id="4905"/>
      <w:r>
        <w:t xml:space="preserve">Preguntas sobre bajo rendimiento, supervisión, amistad y reacciones del equipo amplían el escenario más allá de una tabla de ventajas inmediatas.</w:t>
      </w:r>
      <w:bookmarkEnd w:id="4905"/>
    </w:p>
    <w:p>
      <w:bookmarkStart w:name="b_punto_c22_cap_05_p07" w:id="4906"/>
      <w:r>
        <w:t xml:space="preserve">Variar parámetros o condiciones en un modelo formal permite explorar escenarios; el profesor aclara que no siempre hace falta simular para una decisión.</w:t>
      </w:r>
      <w:bookmarkEnd w:id="4906"/>
    </w:p>
    <w:p>
      <w:bookmarkStart w:name="b_punto_c22_cap_05_p08" w:id="4907"/>
      <w:r>
        <w:t xml:space="preserve">Una decisión abre escenarios que pueden exigir nuevas decisiones; anticipar esas ramificaciones prolonga el análisis de consecuencias a lo largo del tiempo.</w:t>
      </w:r>
      <w:bookmarkEnd w:id="4907"/>
    </w:p>
    <w:p>
      <w:pPr>
        <w:pStyle w:val="Fuente"/>
      </w:pPr>
      <w:r>
        <w:t xml:space="preserve">Véase </w:t>
      </w:r>
      <w:hyperlink w:history="1" w:anchor="b_senales_examen">
        <w:r>
          <w:rPr>
            <w:color w:val="156B70"/>
            <w:u w:val="single"/>
          </w:rPr>
          <w:t xml:space="preserve">1 indicación(es) de examen de este tramo, en el apéndice cronológico</w:t>
        </w:r>
      </w:hyperlink>
      <w:r>
        <w:t xml:space="preserve">, pág. </w:t>
      </w:r>
      <w:r>
        <w:fldChar w:fldCharType="begin"/>
        <w:instrText xml:space="preserve">PAGEREF b_senales_examen \h</w:instrText>
        <w:fldChar w:fldCharType="separate"/>
        <w:t xml:space="preserve">1663</w:t>
        <w:fldChar w:fldCharType="end"/>
      </w:r>
      <w:r>
        <w:t xml:space="preserve">.</w:t>
      </w:r>
    </w:p>
    <w:p>
      <w:pPr>
        <w:pStyle w:val="Fuente"/>
      </w:pPr>
      <w:r>
        <w:t xml:space="preserve">Véase </w:t>
      </w:r>
      <w:hyperlink w:history="1" w:anchor="b_4_1">
        <w:r>
          <w:rPr>
            <w:color w:val="156B70"/>
            <w:u w:val="single"/>
          </w:rPr>
          <w:t xml:space="preserve">capítulo 4.1 · Arquetipos sistémicos</w:t>
        </w:r>
      </w:hyperlink>
      <w:r>
        <w:t xml:space="preserve">, pág. </w:t>
      </w:r>
      <w:r>
        <w:fldChar w:fldCharType="begin"/>
        <w:instrText xml:space="preserve">PAGEREF b_4_1 \h</w:instrText>
        <w:fldChar w:fldCharType="separate"/>
        <w:t xml:space="preserve">646</w:t>
        <w:fldChar w:fldCharType="end"/>
      </w:r>
      <w:r>
        <w:t xml:space="preserve">.</w:t>
      </w:r>
    </w:p>
    <w:p>
      <w:pPr>
        <w:pStyle w:val="Heading3"/>
      </w:pPr>
      <w:bookmarkStart w:name="b_clase_4_6_c22_cap_06" w:id="4908"/>
      <w:r>
        <w:t xml:space="preserve">Clase 22 · 00:47:24–00:58:35 · Resistir una conclusión precipitada</w:t>
      </w:r>
      <w:bookmarkEnd w:id="4908"/>
    </w:p>
    <w:p>
      <w:bookmarkStart w:name="b_punto_c22_cap_06_p01" w:id="4909"/>
      <w:r>
        <w:t xml:space="preserve">El hábito 8 pide considerar el problema completamente y resistir una conclusión inmediata basada en una visión parcial o lineal.</w:t>
      </w:r>
      <w:bookmarkEnd w:id="4909"/>
    </w:p>
    <w:p>
      <w:bookmarkStart w:name="b_punto_c22_cap_06_p02" w:id="4910"/>
      <w:r>
        <w:t xml:space="preserve">La tensión surge al necesitar tiempo para comprender y simultáneamente sentir la presión de un problema que puede agravarse.</w:t>
      </w:r>
      <w:bookmarkEnd w:id="4910"/>
    </w:p>
    <w:p>
      <w:bookmarkStart w:name="b_punto_c22_cap_06_p03" w:id="4911"/>
      <w:r>
        <w:t xml:space="preserve">Una medida temporal puede reducir presión y dar espacio para investigar en paralelo; se debe reconocer su provisionalidad y no abandonar la causa.</w:t>
      </w:r>
      <w:bookmarkEnd w:id="4911"/>
    </w:p>
    <w:p>
      <w:bookmarkStart w:name="b_punto_c22_cap_06_p05" w:id="4912"/>
      <w:r>
        <w:t xml:space="preserve">El efecto dominó representa propagación de acciones por cadenas causales; en estructuras circulares el efecto puede volver al punto donde se intervino.</w:t>
      </w:r>
      <w:bookmarkEnd w:id="4912"/>
    </w:p>
    <w:p>
      <w:bookmarkStart w:name="b_punto_c22_cap_06_p06" w:id="4913"/>
      <w:r>
        <w:t xml:space="preserve">Comprender la cadena, el tiempo y las perspectivas permite anticipar si la consecuencia se alinea con el resultado buscado.</w:t>
      </w:r>
      <w:bookmarkEnd w:id="4913"/>
    </w:p>
    <w:p>
      <w:pPr>
        <w:pStyle w:val="Fuente"/>
      </w:pPr>
      <w:r>
        <w:t xml:space="preserve">Véase </w:t>
      </w:r>
      <w:hyperlink w:history="1" w:anchor="b_senales_examen">
        <w:r>
          <w:rPr>
            <w:color w:val="156B70"/>
            <w:u w:val="single"/>
          </w:rPr>
          <w:t xml:space="preserve">1 indicación(es) de examen de este tramo, en el apéndice cronológico</w:t>
        </w:r>
      </w:hyperlink>
      <w:r>
        <w:t xml:space="preserve">, pág. </w:t>
      </w:r>
      <w:r>
        <w:fldChar w:fldCharType="begin"/>
        <w:instrText xml:space="preserve">PAGEREF b_senales_examen \h</w:instrText>
        <w:fldChar w:fldCharType="separate"/>
        <w:t xml:space="preserve">1663</w:t>
        <w:fldChar w:fldCharType="end"/>
      </w:r>
      <w:r>
        <w:t xml:space="preserve">.</w:t>
      </w:r>
    </w:p>
    <w:p>
      <w:pPr>
        <w:pStyle w:val="Fuente"/>
      </w:pPr>
      <w:r>
        <w:t xml:space="preserve">Véase </w:t>
      </w:r>
      <w:hyperlink w:history="1" w:anchor="b_4_7">
        <w:r>
          <w:rPr>
            <w:color w:val="156B70"/>
            <w:u w:val="single"/>
          </w:rPr>
          <w:t xml:space="preserve">capítulo 4.7 · Hábitos (simulación)</w:t>
        </w:r>
      </w:hyperlink>
      <w:r>
        <w:t xml:space="preserve">, pág. </w:t>
      </w:r>
      <w:r>
        <w:fldChar w:fldCharType="begin"/>
        <w:instrText xml:space="preserve">PAGEREF b_4_7 \h</w:instrText>
        <w:fldChar w:fldCharType="separate"/>
        <w:t xml:space="preserve">932</w:t>
        <w:fldChar w:fldCharType="end"/>
      </w:r>
      <w:r>
        <w:t xml:space="preserve">.</w:t>
      </w:r>
    </w:p>
    <w:p>
      <w:pPr>
        <w:pStyle w:val="Heading3"/>
      </w:pPr>
      <w:bookmarkStart w:name="b_clase_4_6_c22_cap_07" w:id="4914"/>
      <w:r>
        <w:t xml:space="preserve">Clase 22 · 00:58:35–01:07:22 · Comprensión, incertidumbre y procrastinación</w:t>
      </w:r>
      <w:bookmarkEnd w:id="4914"/>
    </w:p>
    <w:p>
      <w:bookmarkStart w:name="b_punto_c22_cap_07_p01" w:id="4915"/>
      <w:r>
        <w:t xml:space="preserve">Un análisis cuidadoso aumenta la probabilidad de lograr el resultado, pero no da certeza: pueden faltar relaciones, aparecer condiciones no previstas o requerirse nuevas decisiones.</w:t>
      </w:r>
      <w:bookmarkEnd w:id="4915"/>
    </w:p>
    <w:p>
      <w:bookmarkStart w:name="b_punto_c22_cap_07_p02" w:id="4916"/>
      <w:r>
        <w:t xml:space="preserve">La complejidad puede provenir de pequeños problemas entrelazados; resolverla exige tratar sus conexiones y continuar revisando resultados.</w:t>
      </w:r>
      <w:bookmarkEnd w:id="4916"/>
    </w:p>
    <w:p>
      <w:bookmarkStart w:name="b_punto_c22_cap_07_p03" w:id="4917"/>
      <w:r>
        <w:t xml:space="preserve">Procrastinar se presenta como postergar por evasión, temor o no saber actuar, no como investigar con un propósito.</w:t>
      </w:r>
      <w:bookmarkEnd w:id="4917"/>
    </w:p>
    <w:p>
      <w:bookmarkStart w:name="b_punto_c22_cap_07_p04" w:id="4918"/>
      <w:r>
        <w:t xml:space="preserve">En un proyecto, hacer primero tareas fáciles puede dar sensación de avance mientras las difíciles se aplazan hasta agotar el tiempo.</w:t>
      </w:r>
      <w:bookmarkEnd w:id="4918"/>
    </w:p>
    <w:p>
      <w:bookmarkStart w:name="b_punto_c22_cap_07_p05" w:id="4919"/>
      <w:r>
        <w:t xml:space="preserve">Demorar para obtener información útil y evaluar consecuencias se distingue de retrasar por evasión; el tiempo invertido debe mejorar la comprensión.</w:t>
      </w:r>
      <w:bookmarkEnd w:id="4919"/>
    </w:p>
    <w:p>
      <w:bookmarkStart w:name="b_punto_c22_cap_07_p06" w:id="4920"/>
      <w:r>
        <w:t xml:space="preserve">Anticipar problemas y demoras ayuda a preparar respuestas; resultados intermedios desfavorables no prueban por sí solos que toda la estrategia falló.</w:t>
      </w:r>
      <w:bookmarkEnd w:id="4920"/>
    </w:p>
    <w:p>
      <w:pPr>
        <w:pStyle w:val="Heading3"/>
      </w:pPr>
      <w:bookmarkStart w:name="b_clase_4_6_c22_cap_09" w:id="4921"/>
      <w:r>
        <w:t xml:space="preserve">Clase 22 · 01:21:08–01:25:45 · Soporte técnico y aprendizaje del usuario</w:t>
      </w:r>
      <w:bookmarkEnd w:id="4921"/>
    </w:p>
    <w:p>
      <w:bookmarkStart w:name="b_punto_c22_cap_09_p03" w:id="4922"/>
      <w:r>
        <w:t xml:space="preserve">La visión temporal y las consecuencias laterales permiten comprobar si la intervención resuelve la estructura o sólo devuelve el mismo problema.</w:t>
      </w:r>
      <w:bookmarkEnd w:id="4922"/>
    </w:p>
    <w:p>
      <w:pPr>
        <w:pStyle w:val="Fuente"/>
      </w:pPr>
      <w:r>
        <w:t xml:space="preserve">Véase </w:t>
      </w:r>
      <w:hyperlink w:history="1" w:anchor="b_senales_examen">
        <w:r>
          <w:rPr>
            <w:color w:val="156B70"/>
            <w:u w:val="single"/>
          </w:rPr>
          <w:t xml:space="preserve">1 indicación(es) de examen de este tramo, en el apéndice cronológico</w:t>
        </w:r>
      </w:hyperlink>
      <w:r>
        <w:t xml:space="preserve">, pág. </w:t>
      </w:r>
      <w:r>
        <w:fldChar w:fldCharType="begin"/>
        <w:instrText xml:space="preserve">PAGEREF b_senales_examen \h</w:instrText>
        <w:fldChar w:fldCharType="separate"/>
        <w:t xml:space="preserve">1663</w:t>
        <w:fldChar w:fldCharType="end"/>
      </w:r>
      <w:r>
        <w:t xml:space="preserve">.</w:t>
      </w:r>
    </w:p>
    <w:p>
      <w:pPr>
        <w:pStyle w:val="Fuente"/>
      </w:pPr>
      <w:r>
        <w:t xml:space="preserve">Véase </w:t>
      </w:r>
      <w:hyperlink w:history="1" w:anchor="b_4_1">
        <w:r>
          <w:rPr>
            <w:color w:val="156B70"/>
            <w:u w:val="single"/>
          </w:rPr>
          <w:t xml:space="preserve">capítulo 4.1 · Arquetipos sistémicos</w:t>
        </w:r>
      </w:hyperlink>
      <w:r>
        <w:t xml:space="preserve">, pág. </w:t>
      </w:r>
      <w:r>
        <w:fldChar w:fldCharType="begin"/>
        <w:instrText xml:space="preserve">PAGEREF b_4_1 \h</w:instrText>
        <w:fldChar w:fldCharType="separate"/>
        <w:t xml:space="preserve">646</w:t>
        <w:fldChar w:fldCharType="end"/>
      </w:r>
      <w:r>
        <w:t xml:space="preserve">.</w:t>
      </w:r>
    </w:p>
    <w:p>
      <w:pPr>
        <w:pStyle w:val="Heading3"/>
      </w:pPr>
      <w:bookmarkStart w:name="b_clase_4_6_c23_cap_02" w:id="4923"/>
      <w:r>
        <w:t xml:space="preserve">Clase 23 · 00:04:29–00:08:25 · De las consecuencias a la intervención</w:t>
      </w:r>
      <w:bookmarkEnd w:id="4923"/>
    </w:p>
    <w:p>
      <w:bookmarkStart w:name="b_punto_c23_cap_02_p01" w:id="4924"/>
      <w:r>
        <w:t xml:space="preserve">Anticipar consecuencias favorables, desfavorables e inesperadas en corto, mediano y largo plazo; los resultados no deseados se analizan como riesgos.</w:t>
      </w:r>
      <w:bookmarkEnd w:id="4924"/>
    </w:p>
    <w:p>
      <w:bookmarkStart w:name="b_punto_c23_cap_02_p02" w:id="4925"/>
      <w:r>
        <w:t xml:space="preserve">La comprensión estructural exige tiempo; resistir respuestas apresuradas para entender la dinámica antes de elegir una solución.</w:t>
      </w:r>
      <w:bookmarkEnd w:id="4925"/>
    </w:p>
    <w:p>
      <w:pPr>
        <w:pStyle w:val="Fuente"/>
      </w:pPr>
      <w:r>
        <w:t xml:space="preserve">Véase </w:t>
      </w:r>
      <w:hyperlink w:history="1" w:anchor="b_4_7">
        <w:r>
          <w:rPr>
            <w:color w:val="156B70"/>
            <w:u w:val="single"/>
          </w:rPr>
          <w:t xml:space="preserve">capítulo 4.7 · Hábitos (simulación)</w:t>
        </w:r>
      </w:hyperlink>
      <w:r>
        <w:t xml:space="preserve">, pág. </w:t>
      </w:r>
      <w:r>
        <w:fldChar w:fldCharType="begin"/>
        <w:instrText xml:space="preserve">PAGEREF b_4_7 \h</w:instrText>
        <w:fldChar w:fldCharType="separate"/>
        <w:t xml:space="preserve">932</w:t>
        <w:fldChar w:fldCharType="end"/>
      </w:r>
      <w:r>
        <w:t xml:space="preserve">.</w:t>
      </w:r>
    </w:p>
    <w:p>
      <w:pPr>
        <w:pStyle w:val="Heading3"/>
      </w:pPr>
      <w:bookmarkStart w:name="b_clase_4_6_c23_cap_03" w:id="4926"/>
      <w:r>
        <w:t xml:space="preserve">Clase 23 · 00:08:25–00:22:30 · Puntos de apalancamiento</w:t>
      </w:r>
      <w:bookmarkEnd w:id="4926"/>
    </w:p>
    <w:p>
      <w:bookmarkStart w:name="b_punto_c23_cap_03_p01" w:id="4927"/>
      <w:r>
        <w:t xml:space="preserve">La palanca física ilustra una intervención de menor esfuerzo; conocer estructura y patrones permite elegir acciones orientadas a un objetivo.</w:t>
      </w:r>
      <w:bookmarkEnd w:id="4927"/>
    </w:p>
    <w:p>
      <w:bookmarkStart w:name="b_punto_c23_cap_03_p02" w:id="4928"/>
      <w:r>
        <w:t xml:space="preserve">Una búsqueda lineal de la causa o culpable puede ofrecer alivio parcial, temporal o contraproducente; la estructura circular exige ubicar dónde influir.</w:t>
      </w:r>
      <w:bookmarkEnd w:id="4928"/>
    </w:p>
    <w:p>
      <w:bookmarkStart w:name="b_punto_c23_cap_03_p03" w:id="4929"/>
      <w:r>
        <w:t xml:space="preserve">En la pesca, la posición del pie, el apoyo, el ángulo y la holgura de la caña permiten equilibrar fuerzas; la analogía depende de la configuración.</w:t>
      </w:r>
      <w:bookmarkEnd w:id="4929"/>
    </w:p>
    <w:p>
      <w:bookmarkStart w:name="b_punto_c23_cap_03_p04" w:id="4930"/>
      <w:r>
        <w:t xml:space="preserve">Un mapa o simulación permite explorar cambios en parámetros, relaciones o elementos y observar su propagación en el tiempo. Punto, acción y efecto son dimensiones distintas.</w:t>
      </w:r>
      <w:bookmarkEnd w:id="4930"/>
    </w:p>
    <w:p>
      <w:bookmarkStart w:name="b_punto_c23_cap_03_p05" w:id="4931"/>
      <w:r>
        <w:t xml:space="preserve">Los problemas pueden estar encadenados; buscar una palanca requiere contexto, creatividad y alternativas a la solución habitual.</w:t>
      </w:r>
      <w:bookmarkEnd w:id="4931"/>
    </w:p>
    <w:p>
      <w:bookmarkStart w:name="b_punto_c23_cap_03_p06" w:id="4932"/>
      <w:r>
        <w:t xml:space="preserve">El imán ayuda a encontrar la aguja sólo si conocemos una propiedad que permita atraerla; primero hay que conocer o modelar el sistema.</w:t>
      </w:r>
      <w:bookmarkEnd w:id="4932"/>
    </w:p>
    <w:p>
      <w:pPr>
        <w:pStyle w:val="Heading3"/>
      </w:pPr>
      <w:bookmarkStart w:name="b_clase_4_6_c23_cap_04" w:id="4933"/>
      <w:r>
        <w:t xml:space="preserve">Clase 23 · 00:22:30–00:35:08 · La fábrica XYZ: comparar propuestas</w:t>
      </w:r>
      <w:bookmarkEnd w:id="4933"/>
    </w:p>
    <w:p>
      <w:bookmarkStart w:name="b_punto_c23_cap_04_p01" w:id="4934"/>
      <w:r>
        <w:t xml:space="preserve">XYZ necesita reducir costos y conservar la fabricación en el país de origen; trasladarse a mano de obra más barata queda fuera de sus alternativas.</w:t>
      </w:r>
      <w:bookmarkEnd w:id="4934"/>
    </w:p>
    <w:p>
      <w:bookmarkStart w:name="b_punto_c23_cap_04_p02" w:id="4935"/>
      <w:r>
        <w:t xml:space="preserve">Mano de obra remunera el trabajo de fabricación y materias primas son sus insumos; ahorrar en el futuro no garantiza la liquidez necesaria para una inversión inicial.</w:t>
      </w:r>
      <w:bookmarkEnd w:id="4935"/>
    </w:p>
    <w:p>
      <w:bookmarkStart w:name="b_punto_c23_cap_04_p03" w:id="4936"/>
      <w:r>
        <w:t xml:space="preserve">La reunión reúne perfiles de ingeniería, operación, producción y distribución; cada perspectiva conoce una parte del sistema y puede restringir sus propuestas a ella.</w:t>
      </w:r>
      <w:bookmarkEnd w:id="4936"/>
    </w:p>
    <w:p>
      <w:bookmarkStart w:name="b_punto_c23_cap_04_p04" w:id="4937"/>
      <w:r>
        <w:t xml:space="preserve">Suzanne propone automatización: reduce trabajo y tiempo, pero requiere capital no disponible y puede causar despidos y desmotivación.</w:t>
      </w:r>
      <w:bookmarkEnd w:id="4937"/>
    </w:p>
    <w:p>
      <w:bookmarkStart w:name="b_punto_c23_cap_04_p05" w:id="4938"/>
      <w:r>
        <w:t xml:space="preserve">Gabe propone acelerar la producción; el riesgo es aumentar fallos, reclamos, insatisfacción y una caída demorada de ventas.</w:t>
      </w:r>
      <w:bookmarkEnd w:id="4938"/>
    </w:p>
    <w:p>
      <w:bookmarkStart w:name="b_punto_c23_cap_04_p06" w:id="4939"/>
      <w:r>
        <w:t xml:space="preserve">Héctor propone materias primas más baratas y reconoce el riesgo de deteriorar calidad e insatisfacer clientes; barato no demuestra por sí solo calidad menor.</w:t>
      </w:r>
      <w:bookmarkEnd w:id="4939"/>
    </w:p>
    <w:p>
      <w:bookmarkStart w:name="b_punto_c23_cap_04_p07" w:id="4940"/>
      <w:r>
        <w:t xml:space="preserve">La lluvia de ideas incorpora personas relacionadas con el sistema y compara impactos en varios plazos antes de ponderar propuestas.</w:t>
      </w:r>
      <w:bookmarkEnd w:id="4940"/>
    </w:p>
    <w:p>
      <w:pPr>
        <w:pStyle w:val="Heading3"/>
      </w:pPr>
      <w:bookmarkStart w:name="b_clase_4_6_c23_cap_05" w:id="4941"/>
      <w:r>
        <w:t xml:space="preserve">Clase 23 · 00:35:08–00:44:32 · El empaque como punto de intervención</w:t>
      </w:r>
      <w:bookmarkEnd w:id="4941"/>
    </w:p>
    <w:p>
      <w:bookmarkStart w:name="b_punto_c23_cap_05_p01" w:id="4942"/>
      <w:r>
        <w:t xml:space="preserve">Daniel amplía la frontera desde fabricación hacia empaque, almacenamiento y distribución, conservando la calidad del producto terminado.</w:t>
      </w:r>
      <w:bookmarkEnd w:id="4942"/>
    </w:p>
    <w:p>
      <w:bookmarkStart w:name="b_punto_c23_cap_05_p02" w:id="4943"/>
      <w:r>
        <w:t xml:space="preserve">Investigar materiales de empaque menos costosos que aún protejan el producto reduce gasto posterior a fabricación y mejora los costos globales y los recursos disponibles.</w:t>
      </w:r>
      <w:bookmarkEnd w:id="4943"/>
    </w:p>
    <w:p>
      <w:bookmarkStart w:name="b_punto_c23_cap_05_p03" w:id="4944"/>
      <w:r>
        <w:t xml:space="preserve">Cambiar la palanca exige pasos verificables: investigar proveedores, comparar costo y protección e implementar el material apropiado.</w:t>
      </w:r>
      <w:bookmarkEnd w:id="4944"/>
    </w:p>
    <w:p>
      <w:bookmarkStart w:name="b_punto_c23_cap_05_p04" w:id="4945"/>
      <w:r>
        <w:t xml:space="preserve">La elección de empaque es contextual; otras propuestas pueden servir en otras empresas y pueden ser necesarias varias reuniones y revisiones.</w:t>
      </w:r>
      <w:bookmarkEnd w:id="4945"/>
    </w:p>
    <w:p>
      <w:bookmarkStart w:name="b_punto_c23_cap_05_p05" w:id="4946"/>
      <w:r>
        <w:t xml:space="preserve">Comprender estructura incluye medio, entradas, salidas, interacciones, ciclos y patrones; esa comprensión respalda elegir la intervención.</w:t>
      </w:r>
      <w:bookmarkEnd w:id="4946"/>
    </w:p>
    <w:p>
      <w:pPr>
        <w:pStyle w:val="Heading3"/>
      </w:pPr>
      <w:bookmarkStart w:name="b_clase_4_6_c23_cap_06" w:id="4947"/>
      <w:r>
        <w:t xml:space="preserve">Clase 23 · 00:44:32–00:57:51 · Doce lugares para intervenir</w:t>
      </w:r>
      <w:bookmarkEnd w:id="4947"/>
    </w:p>
    <w:p>
      <w:bookmarkStart w:name="b_punto_c23_cap_06_p01" w:id="4948"/>
      <w:r>
        <w:t xml:space="preserve">Los doce lugares de Meadows son una guía de búsqueda frecuente, no una lista exhaustiva ni una receta que sustituya el estudio del sistema.</w:t>
      </w:r>
      <w:bookmarkEnd w:id="4948"/>
    </w:p>
    <w:p>
      <w:bookmarkStart w:name="b_punto_c23_cap_06_p02" w:id="4949"/>
      <w:r>
        <w:t xml:space="preserve">La lista del curso va del 12 al 1 en potencial creciente; los detalles de cada lugar se asignan a lectura.</w:t>
      </w:r>
      <w:bookmarkEnd w:id="4949"/>
    </w:p>
    <w:p>
      <w:bookmarkStart w:name="b_punto_c23_cap_06_p03" w:id="4950"/>
      <w:r>
        <w:t xml:space="preserve">Cambiar impuestos, subsidios, tasas o constantes es una intervención en parámetros; el valor simplificado puede revisarse en otro periodo.</w:t>
      </w:r>
      <w:bookmarkEnd w:id="4950"/>
    </w:p>
    <w:p>
      <w:bookmarkStart w:name="b_punto_c23_cap_06_p04" w:id="4951"/>
      <w:r>
        <w:t xml:space="preserve">Los amortiguadores, existencias, tamaño de bodegas y los flujos de entrada y salida son lugares donde explorar cambios.</w:t>
      </w:r>
      <w:bookmarkEnd w:id="4951"/>
    </w:p>
    <w:p>
      <w:bookmarkStart w:name="b_punto_c23_cap_06_p05" w:id="4952"/>
      <w:r>
        <w:t xml:space="preserve">Atenuar R reduce una relación amplificadora; agregar o reforzar B introduce o fortalece una respuesta correctiva. La elección depende de estructura, demora, límites y efectos.</w:t>
      </w:r>
      <w:bookmarkEnd w:id="4952"/>
    </w:p>
    <w:p>
      <w:bookmarkStart w:name="b_punto_c23_cap_06_p06" w:id="4953"/>
      <w:r>
        <w:t xml:space="preserve">Cambiar modelos mentales puede cambiar hábitos, metas, reglas y resultados; trascender un paradigma exige revisar creencias y supuestos.</w:t>
      </w:r>
      <w:bookmarkEnd w:id="4953"/>
    </w:p>
    <w:p>
      <w:bookmarkStart w:name="b_punto_c23_cap_06_p07" w:id="4954"/>
      <w:r>
        <w:t xml:space="preserve">La utilidad de modelar se completa cuando se compara escenarios y se elige una intervención adecuada al objetivo con menor esfuerzo.</w:t>
      </w:r>
      <w:bookmarkEnd w:id="4954"/>
    </w:p>
    <w:p>
      <w:pPr>
        <w:pStyle w:val="Heading3"/>
      </w:pPr>
      <w:bookmarkStart w:name="b_clase_4_6_c23_cap_07" w:id="4955"/>
      <w:r>
        <w:t xml:space="preserve">Clase 23 · 00:57:51–01:03:35 · Efecto palanca y demoras</w:t>
      </w:r>
      <w:bookmarkEnd w:id="4955"/>
    </w:p>
    <w:p>
      <w:bookmarkStart w:name="b_punto_c23_cap_07_p01" w:id="4956"/>
      <w:r>
        <w:t xml:space="preserve">El efecto palanca combina una acción inicial con consecuencias encadenadas que siguen la estructura y buscan un resultado deseado.</w:t>
      </w:r>
      <w:bookmarkEnd w:id="4956"/>
    </w:p>
    <w:p>
      <w:bookmarkStart w:name="b_punto_c23_cap_07_p02" w:id="4957"/>
      <w:r>
        <w:t xml:space="preserve">La demora pertenece a la estructura: resultados intermedios pueden anteceder al resultado buscado. Cancelar demasiado pronto puede interrumpir el proceso.</w:t>
      </w:r>
      <w:bookmarkEnd w:id="4957"/>
    </w:p>
    <w:p>
      <w:bookmarkStart w:name="b_punto_c23_cap_07_p03" w:id="4958"/>
      <w:r>
        <w:t xml:space="preserve">Se puede buscar otra palanca que alcance el mismo objetivo más rápido; mientras tanto, seguimiento y paciencia deben respetar el tiempo de la estructura.</w:t>
      </w:r>
      <w:bookmarkEnd w:id="4958"/>
    </w:p>
    <w:p>
      <w:pPr>
        <w:pStyle w:val="Fuente"/>
      </w:pPr>
      <w:r>
        <w:t xml:space="preserve">Véase </w:t>
      </w:r>
      <w:hyperlink w:history="1" w:anchor="b_senales_examen">
        <w:r>
          <w:rPr>
            <w:color w:val="156B70"/>
            <w:u w:val="single"/>
          </w:rPr>
          <w:t xml:space="preserve">1 indicación(es) de examen de este tramo, en el apéndice cronológico</w:t>
        </w:r>
      </w:hyperlink>
      <w:r>
        <w:t xml:space="preserve">, pág. </w:t>
      </w:r>
      <w:r>
        <w:fldChar w:fldCharType="begin"/>
        <w:instrText xml:space="preserve">PAGEREF b_senales_examen \h</w:instrText>
        <w:fldChar w:fldCharType="separate"/>
        <w:t xml:space="preserve">1663</w:t>
        <w:fldChar w:fldCharType="end"/>
      </w:r>
      <w:r>
        <w:t xml:space="preserve">.</w:t>
      </w:r>
    </w:p>
    <w:p>
      <w:pPr>
        <w:pStyle w:val="Fuente"/>
      </w:pPr>
      <w:r>
        <w:t xml:space="preserve">Véase </w:t>
      </w:r>
      <w:hyperlink w:history="1" w:anchor="b_cita_clase_21_idea_1">
        <w:r>
          <w:rPr>
            <w:color w:val="156B70"/>
            <w:u w:val="single"/>
          </w:rPr>
          <w:t xml:space="preserve">cita de Clase 21 · 01:13:14</w:t>
        </w:r>
      </w:hyperlink>
      <w:r>
        <w:t xml:space="preserve">, pág. </w:t>
      </w:r>
      <w:r>
        <w:fldChar w:fldCharType="begin"/>
        <w:instrText xml:space="preserve">PAGEREF b_cita_clase_21_idea_1 \h</w:instrText>
        <w:fldChar w:fldCharType="separate"/>
        <w:t xml:space="preserve">759</w:t>
        <w:fldChar w:fldCharType="end"/>
      </w:r>
      <w:r>
        <w:t xml:space="preserve">.</w:t>
      </w:r>
    </w:p>
    <w:p>
      <w:pPr>
        <w:pStyle w:val="Fuente"/>
      </w:pPr>
      <w:r>
        <w:t xml:space="preserve">Véase </w:t>
      </w:r>
      <w:hyperlink w:history="1" w:anchor="b_cita_clase_21_idea_2">
        <w:r>
          <w:rPr>
            <w:color w:val="156B70"/>
            <w:u w:val="single"/>
          </w:rPr>
          <w:t xml:space="preserve">cita de Clase 21 · 01:13:51</w:t>
        </w:r>
      </w:hyperlink>
      <w:r>
        <w:t xml:space="preserve">, pág. </w:t>
      </w:r>
      <w:r>
        <w:fldChar w:fldCharType="begin"/>
        <w:instrText xml:space="preserve">PAGEREF b_cita_clase_21_idea_2 \h</w:instrText>
        <w:fldChar w:fldCharType="separate"/>
        <w:t xml:space="preserve">759</w:t>
        <w:fldChar w:fldCharType="end"/>
      </w:r>
      <w:r>
        <w:t xml:space="preserve">.</w:t>
      </w:r>
    </w:p>
    <w:p>
      <w:pPr>
        <w:pStyle w:val="Heading3"/>
      </w:pPr>
      <w:bookmarkStart w:name="b_cita_clase_21_idea_3" w:id="4959"/>
      <w:r>
        <w:t xml:space="preserve">Palabras del profesor</w:t>
      </w:r>
      <w:bookmarkEnd w:id="4959"/>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El profesor lo dijo así</w:t>
            </w:r>
          </w:p>
          <w:p>
            <w:pPr>
              <w:pStyle w:val="Recuadro"/>
            </w:pPr>
            <w:r>
              <w:t xml:space="preserve">«Lo que estamos haciendo ahí eh utilizar la simulación para fines de tomar decisiones mejor pensadas, mejor razonadas en base al comportamiento, a los patrones de comportamiento del sistema en el cual estamos sometidos. a esta experiencia. Entonces, usamos la modelación de la simulación para poder responder a la pregunta sin eh eh responder tan impulsivamente, solo basados en una perspectiva eh corta de tiempo y un análisis muy rápido, sino buscando ver qué sucede con el sistema en el futuro.»</w:t>
            </w:r>
          </w:p>
          <w:p>
            <w:pPr>
              <w:pStyle w:val="Recuadro"/>
            </w:pPr>
            <w:r>
              <w:t xml:space="preserve">Clase 21 · 01:38:06–01:39:10</w:t>
            </w:r>
          </w:p>
        </w:tc>
      </w:tr>
    </w:tbl>
    <w:p>
      <w:pPr>
        <w:pStyle w:val="Heading3"/>
      </w:pPr>
      <w:bookmarkStart w:name="b_cita_clase_22_idea_1" w:id="4960"/>
      <w:r>
        <w:t xml:space="preserve">Palabras del profesor</w:t>
      </w:r>
      <w:bookmarkEnd w:id="4960"/>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El profesor lo dijo así</w:t>
            </w:r>
          </w:p>
          <w:p>
            <w:pPr>
              <w:pStyle w:val="Recuadro"/>
            </w:pPr>
            <w:r>
              <w:t xml:space="preserve">«Un pensado sistémico toma el tiempo necesario para entender esta dinámica del sistema antes de actuar. Básicamente este hábito de alguna forma lo hemos»</w:t>
            </w:r>
          </w:p>
          <w:p>
            <w:pPr>
              <w:pStyle w:val="Recuadro"/>
            </w:pPr>
            <w:r>
              <w:t xml:space="preserve">Clase 22 · 00:48:08–00:48:23</w:t>
            </w:r>
          </w:p>
        </w:tc>
      </w:tr>
    </w:tbl>
    <w:p>
      <w:pPr>
        <w:pStyle w:val="Heading3"/>
      </w:pPr>
      <w:bookmarkStart w:name="b_cita_clase_22_idea_2" w:id="4961"/>
      <w:r>
        <w:t xml:space="preserve">Palabras del profesor</w:t>
      </w:r>
      <w:bookmarkEnd w:id="4961"/>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El profesor lo dijo así</w:t>
            </w:r>
          </w:p>
          <w:p>
            <w:pPr>
              <w:pStyle w:val="Recuadro"/>
            </w:pPr>
            <w:r>
              <w:t xml:space="preserve">«No se trata de ese retraso, no se trata de tomarse el tiempo para hacer eso. no es ralentizar innecesariamente la toma de decisión, las acciones solo por hacer este tipo de de comportamiento procrastinador, sino más bien es retraso quizás sí la toma de decisión, pero para tener más información sobre el sistema que me permita identificar de mejor manera esos escenarios futuros posibles, que me permitan entonces ver las consecuencias de las acciones que tengo como alternativa»</w:t>
            </w:r>
          </w:p>
          <w:p>
            <w:pPr>
              <w:pStyle w:val="Recuadro"/>
            </w:pPr>
            <w:r>
              <w:t xml:space="preserve">Clase 22 · 01:04:50–01:05:32</w:t>
            </w:r>
          </w:p>
        </w:tc>
      </w:tr>
    </w:tbl>
    <w:p>
      <w:pPr>
        <w:pStyle w:val="Fuente"/>
      </w:pPr>
      <w:r>
        <w:t xml:space="preserve">Véase </w:t>
      </w:r>
      <w:hyperlink w:history="1" w:anchor="b_cita_clase_22_idea_3">
        <w:r>
          <w:rPr>
            <w:color w:val="156B70"/>
            <w:u w:val="single"/>
          </w:rPr>
          <w:t xml:space="preserve">cita de Clase 22 · 01:22:53</w:t>
        </w:r>
      </w:hyperlink>
      <w:r>
        <w:t xml:space="preserve">, pág. </w:t>
      </w:r>
      <w:r>
        <w:fldChar w:fldCharType="begin"/>
        <w:instrText xml:space="preserve">PAGEREF b_cita_clase_22_idea_3 \h</w:instrText>
        <w:fldChar w:fldCharType="separate"/>
        <w:t xml:space="preserve">689</w:t>
        <w:fldChar w:fldCharType="end"/>
      </w:r>
      <w:r>
        <w:t xml:space="preserve">.</w:t>
      </w:r>
    </w:p>
    <w:p>
      <w:pPr>
        <w:pStyle w:val="Heading3"/>
      </w:pPr>
      <w:bookmarkStart w:name="b_cita_clase_23_idea_1" w:id="4962"/>
      <w:r>
        <w:t xml:space="preserve">Palabras del profesor</w:t>
      </w:r>
      <w:bookmarkEnd w:id="4962"/>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El profesor lo dijo así</w:t>
            </w:r>
          </w:p>
          <w:p>
            <w:pPr>
              <w:pStyle w:val="Recuadro"/>
            </w:pPr>
            <w:r>
              <w:t xml:space="preserve">«anterior de las demoras. Este nos dice que un pensador sistémico establece puntos de referencia para lograr evaluar la mejora paulatina. De tal manera que examina los resultados que va obteniendo, hace algunos cambios en las acciones que realmente son cambios pequeños, ajustes menores, como lo planteaba ahí la respuesta a la pregunta, a una de las preguntas del segundo examen parcial relacionado con las demoras creando, si es necesario obviamente hacer esos ajustes, creando un escenario en el cual El pensado sistémico participa en ese proceso de cambio monitoreándolo y de ser necesario ajustándolo para que»</w:t>
            </w:r>
          </w:p>
          <w:p>
            <w:pPr>
              <w:pStyle w:val="Recuadro"/>
            </w:pPr>
            <w:r>
              <w:t xml:space="preserve">Clase 23 · 01:03:45–01:04:39</w:t>
            </w:r>
          </w:p>
        </w:tc>
      </w:tr>
    </w:tbl>
    <w:p>
      <w:pPr>
        <w:pStyle w:val="Heading3"/>
      </w:pPr>
      <w:bookmarkStart w:name="b_cita_clase_23_idea_2" w:id="4963"/>
      <w:r>
        <w:t xml:space="preserve">Palabras del profesor</w:t>
      </w:r>
      <w:bookmarkEnd w:id="4963"/>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El profesor lo dijo así</w:t>
            </w:r>
          </w:p>
          <w:p>
            <w:pPr>
              <w:pStyle w:val="Recuadro"/>
            </w:pPr>
            <w:r>
              <w:t xml:space="preserve">«lo que estamos buscando. Y puede ser que requieran varias eh vueltas en estas cuatro pasos que es la aproximación suiva, que es muy parecido, les decía, la mejora continua, que es diseñar un plan, implementar el plan o hacer lo que dijimos en ese plan, evaluar, verificar, eh o monitorear, como decía, el hábito de las demoras, lo que se va obteniendo el resultado y de cuándo va ese resultado si va la línea de lo que espero vamos bien, no hacer nada, pero si no hay eh si no va en esa línea, si tenemos algunos resultados negativos, si no tenemos algunos algunos situaciones que no esperábamos, o seas inesperadas que no pudimos prever, entonces vamos a tomar acción correctiva para mejorar»</w:t>
            </w:r>
          </w:p>
          <w:p>
            <w:pPr>
              <w:pStyle w:val="Recuadro"/>
            </w:pPr>
            <w:r>
              <w:t xml:space="preserve">Clase 23 · 01:11:34–01:12:34</w:t>
            </w:r>
          </w:p>
        </w:tc>
      </w:tr>
    </w:tbl>
    <w:p>
      <w:pPr>
        <w:pStyle w:val="Heading3"/>
      </w:pPr>
      <w:bookmarkStart w:name="b_cita_clase_23_idea_3" w:id="4964"/>
      <w:r>
        <w:t xml:space="preserve">Palabras del profesor</w:t>
      </w:r>
      <w:bookmarkEnd w:id="4964"/>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El profesor lo dijo así</w:t>
            </w:r>
          </w:p>
          <w:p>
            <w:pPr>
              <w:pStyle w:val="Recuadro"/>
            </w:pPr>
            <w:r>
              <w:t xml:space="preserve">«eh pero las que personas que tienen resiliencia buscan ser realistas y buscan tener una clara visión de la situación presente, la visión del dispensador sistémico de película completa, la estructura más detallada de lo que está sucediendo. especialmente la parte donde queremos hacer el cambio y aceptar esa situación, aceptar esa esa realidad. O sea, a veces la realidad no es como nosotros quisiéramos, pero es un poco de enfrentar la realidad tal cual es y comprender por más adjetivos que podríamos darle a ciertos comportamientos de esa realidad que no debían de ser los que son los que los que identificamos a modelar esa realidad. Lo que se trata es de aceptar la estructura, comprender esa realidad para sobre ella poder trabajar en»</w:t>
            </w:r>
          </w:p>
          <w:p>
            <w:pPr>
              <w:pStyle w:val="Recuadro"/>
            </w:pPr>
            <w:r>
              <w:t xml:space="preserve">Clase 23 · 01:22:40–01:23:44</w:t>
            </w:r>
          </w:p>
        </w:tc>
      </w:tr>
    </w:tbl>
    <w:p>
      <w:pPr>
        <w:pStyle w:val="Heading3"/>
      </w:pPr>
      <w:bookmarkStart w:name="b_cita_clase_24_idea_1" w:id="4965"/>
      <w:r>
        <w:t xml:space="preserve">Palabras del profesor</w:t>
      </w:r>
      <w:bookmarkEnd w:id="4965"/>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El profesor lo dijo así</w:t>
            </w:r>
          </w:p>
          <w:p>
            <w:pPr>
              <w:pStyle w:val="Recuadro"/>
            </w:pPr>
            <w:r>
              <w:t xml:space="preserve">«resúmenes de de los mismos que hemos visto de W Foundation, eh conllevan tras de sí una serie de conceptos, una serie de técnicas de modelos eh que hemos estado practicando. Así que esa es la síntesis más general de lo que sería cómo abordar un problema utilizando estos 14 hábitos, agrupándolos en estos cuatro agrupamientos, que siguiéndolos en más o menos esa secuencia nos permitirá resolver un problema. Así que esto se los dejo ahí como una idea de un método de trabajo basado en los 14 hábitos de infestado sistémico.»</w:t>
            </w:r>
          </w:p>
          <w:p>
            <w:pPr>
              <w:pStyle w:val="Recuadro"/>
            </w:pPr>
            <w:r>
              <w:t xml:space="preserve">Clase 24 · 00:27:15–00:28:07</w:t>
            </w:r>
          </w:p>
        </w:tc>
      </w:tr>
    </w:tbl>
    <w:p>
      <w:pPr>
        <w:pStyle w:val="Fuente"/>
      </w:pPr>
      <w:r>
        <w:t xml:space="preserve">Véase </w:t>
      </w:r>
      <w:hyperlink w:history="1" w:anchor="b_cita_clase_24_idea_2">
        <w:r>
          <w:rPr>
            <w:color w:val="156B70"/>
            <w:u w:val="single"/>
          </w:rPr>
          <w:t xml:space="preserve">cita de Clase 24 · 00:48:25</w:t>
        </w:r>
      </w:hyperlink>
      <w:r>
        <w:t xml:space="preserve">, pág. </w:t>
      </w:r>
      <w:r>
        <w:fldChar w:fldCharType="begin"/>
        <w:instrText xml:space="preserve">PAGEREF b_cita_clase_24_idea_2 \h</w:instrText>
        <w:fldChar w:fldCharType="separate"/>
        <w:t xml:space="preserve">813</w:t>
        <w:fldChar w:fldCharType="end"/>
      </w:r>
      <w:r>
        <w:t xml:space="preserve">.</w:t>
      </w:r>
    </w:p>
    <w:p>
      <w:pPr>
        <w:pStyle w:val="Heading3"/>
      </w:pPr>
      <w:r>
        <w:t xml:space="preserve">Errores frecuentes y trampa de examen</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9C620A" w:sz="20"/>
              <w:bottom w:val="nil"/>
              <w:right w:val="nil"/>
            </w:tcBorders>
            <w:shd w:fill="FBF3DF" w:val="clear"/>
            <w:tcMar>
              <w:top w:type="dxa" w:w="130"/>
              <w:left w:type="dxa" w:w="180"/>
              <w:bottom w:type="dxa" w:w="130"/>
              <w:right w:type="dxa" w:w="180"/>
            </w:tcMar>
          </w:tcPr>
          <w:p>
            <w:pPr>
              <w:pStyle w:val="RecuadroTitulo"/>
            </w:pPr>
            <w:r>
              <w:rPr>
                <w:b/>
                <w:bCs/>
                <w:color w:val="9C620A"/>
              </w:rPr>
              <w:t xml:space="preserve">Error → corrección</w:t>
            </w:r>
          </w:p>
          <w:p>
            <w:pPr>
              <w:pStyle w:val="Recuadro"/>
            </w:pPr>
            <w:r>
              <w:rPr>
                <w:b/>
                <w:bCs/>
              </w:rPr>
              <w:t xml:space="preserve">Error:</w:t>
            </w:r>
            <w:r>
              <w:t xml:space="preserve"> Identificar apalancamiento sólo con hacer un cambio pequeño.</w:t>
            </w:r>
          </w:p>
          <w:p>
            <w:pPr>
              <w:pStyle w:val="Recuadro"/>
            </w:pPr>
            <w:r>
              <w:rPr>
                <w:b/>
                <w:bCs/>
              </w:rPr>
              <w:t xml:space="preserve">Corrección:</w:t>
            </w:r>
            <w:r>
              <w:t xml:space="preserve"> El tamaño no basta: justifica el efecto que produce mediante la estructura.</w:t>
            </w:r>
          </w:p>
          <w:p>
            <w:pPr>
              <w:pStyle w:val="Recuadro"/>
            </w:pPr>
            <w:r>
              <w:t xml:space="preserve">Guía de estudio · edición 20/10/2026 · pp. 23–24</w:t>
            </w:r>
          </w:p>
        </w:tc>
      </w:tr>
    </w:tbl>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9C620A" w:sz="20"/>
              <w:bottom w:val="nil"/>
              <w:right w:val="nil"/>
            </w:tcBorders>
            <w:shd w:fill="FBF3DF" w:val="clear"/>
            <w:tcMar>
              <w:top w:type="dxa" w:w="130"/>
              <w:left w:type="dxa" w:w="180"/>
              <w:bottom w:type="dxa" w:w="130"/>
              <w:right w:type="dxa" w:w="180"/>
            </w:tcMar>
          </w:tcPr>
          <w:p>
            <w:pPr>
              <w:pStyle w:val="RecuadroTitulo"/>
            </w:pPr>
            <w:r>
              <w:rPr>
                <w:b/>
                <w:bCs/>
                <w:color w:val="9C620A"/>
              </w:rPr>
              <w:t xml:space="preserve">Error → corrección</w:t>
            </w:r>
          </w:p>
          <w:p>
            <w:pPr>
              <w:pStyle w:val="Recuadro"/>
            </w:pPr>
            <w:r>
              <w:rPr>
                <w:b/>
                <w:bCs/>
              </w:rPr>
              <w:t xml:space="preserve">Error:</w:t>
            </w:r>
            <w:r>
              <w:t xml:space="preserve"> Cambiar el plan antes de que transcurra su demora.</w:t>
            </w:r>
          </w:p>
          <w:p>
            <w:pPr>
              <w:pStyle w:val="Recuadro"/>
            </w:pPr>
            <w:r>
              <w:rPr>
                <w:b/>
                <w:bCs/>
              </w:rPr>
              <w:t xml:space="preserve">Corrección:</w:t>
            </w:r>
            <w:r>
              <w:t xml:space="preserve"> Fija un tiempo de revisión compatible con el mecanismo esperado y observa indicadores intermedios.</w:t>
            </w:r>
          </w:p>
          <w:p>
            <w:pPr>
              <w:pStyle w:val="Recuadro"/>
            </w:pPr>
            <w:r>
              <w:t xml:space="preserve">Guía de estudio · edición 20/10/2026 · pp. 24</w:t>
            </w:r>
          </w:p>
        </w:tc>
      </w:tr>
    </w:tbl>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9C620A" w:sz="20"/>
              <w:bottom w:val="nil"/>
              <w:right w:val="nil"/>
            </w:tcBorders>
            <w:shd w:fill="FBF3DF" w:val="clear"/>
            <w:tcMar>
              <w:top w:type="dxa" w:w="130"/>
              <w:left w:type="dxa" w:w="180"/>
              <w:bottom w:type="dxa" w:w="130"/>
              <w:right w:type="dxa" w:w="180"/>
            </w:tcMar>
          </w:tcPr>
          <w:p>
            <w:pPr>
              <w:pStyle w:val="RecuadroTitulo"/>
            </w:pPr>
            <w:r>
              <w:rPr>
                <w:b/>
                <w:bCs/>
                <w:color w:val="9C620A"/>
              </w:rPr>
              <w:t xml:space="preserve">Trampa de examen</w:t>
            </w:r>
          </w:p>
          <w:p>
            <w:pPr>
              <w:pStyle w:val="Recuadro"/>
            </w:pPr>
            <w:r>
              <w:t xml:space="preserve">Una mejora local puede desplazar el costo a otra parte del sistema; analiza la frontera y el horizonte de la decisión.</w:t>
            </w:r>
          </w:p>
        </w:tc>
      </w:tr>
    </w:tbl>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Ampliación: lo no dictado en clase</w:t>
            </w:r>
          </w:p>
          <w:p>
            <w:pPr>
              <w:pStyle w:val="Recuadro"/>
            </w:pPr>
            <w:r>
              <w:t xml:space="preserve">La pregunta por quién fija las reglas y la comparación explícita entre atenuar R y reforzar B se amplían desde C-8/29. La maniobra de agregar compensación anidada sí se explica en Clase 23 · 00:51:51. El ejemplo presión–errores–retrabajo es editorial.</w:t>
            </w:r>
          </w:p>
        </w:tc>
      </w:tr>
    </w:tbl>
    <w:p>
      <w:pPr>
        <w:pStyle w:val="Heading3"/>
      </w:pPr>
      <w:r>
        <w:t xml:space="preserve">Lecturas y tareas del curso</w:t>
      </w:r>
    </w:p>
    <w:p>
      <w:pPr>
        <w:pStyle w:val="Normal"/>
      </w:pPr>
      <w:r>
        <w:t xml:space="preserve">C-4 · Unidad 4b · Hábitos de un pensador sistémico: toma de decisiones sistémicas (versión de abril). Versión de abril de la presentación de decisiones (C-8 contiene la versión de octubre): 48 páginas con los hábitos de las consecuencias, de considerar un tema a fondo, del apalancamiento y de la aproximación sucesiva; los arquetipos «soluciones rápidas que fallan» y «desplazamiento de la carga» con sus historias; los doce puntos de apalancamiento de Meadows; el ciclo de mejora continua; la resiliencia y la resolución de problemas con los hábitos en cuatro etapas. Copia sin la impresión automática al abrirse.</w:t>
      </w:r>
    </w:p>
    <w:p>
      <w:pPr>
        <w:pStyle w:val="Normal"/>
      </w:pPr>
      <w:r>
        <w:t xml:space="preserve">C-8 · Unidad 4b · Toma de decisiones (versión de octubre). 57 páginas de octubre: decisiones, arquetipos, doce puntos de Meadows explicados, resiliencia, usos del modelado y ejercicios de teléfonos. Se conserva también la versión de abril C-4, cuya numeración mantienen las citas anteriores.</w:t>
      </w:r>
    </w:p>
    <w:p>
      <w:pPr>
        <w:pStyle w:val="Heading3"/>
      </w:pPr>
      <w:r>
        <w:t xml:space="preserve">Práctica de los laboratorios</w:t>
      </w:r>
    </w:p>
    <w:p>
      <w:pPr>
        <w:pStyle w:val="Normal"/>
      </w:pPr>
      <w:r>
        <w:t xml:space="preserve">Los procedimientos del capítulo permiten reconstruir en papel la práctica interactiva. Los laboratorios originales permanecen disponibles en la lección del portal.</w:t>
      </w:r>
    </w:p>
    <w:p>
      <w:pPr>
        <w:pStyle w:val="Normal"/>
        <w:numPr>
          <w:ilvl w:val="0"/>
          <w:numId w:val="2"/>
        </w:numPr>
      </w:pPr>
      <w:r>
        <w:t xml:space="preserve">Ordenar los puntos de apalancamiento</w:t>
      </w:r>
    </w:p>
    <w:p>
      <w:pPr>
        <w:pStyle w:val="Normal"/>
        <w:numPr>
          <w:ilvl w:val="0"/>
          <w:numId w:val="2"/>
        </w:numPr>
      </w:pPr>
      <w:r>
        <w:t xml:space="preserve">Clasificar intervenciones en un sistema</w:t>
      </w:r>
    </w:p>
    <w:p>
      <w:pPr>
        <w:pStyle w:val="Heading3"/>
      </w:pPr>
      <w:r>
        <w:t xml:space="preserve">Autoevaluación</w:t>
      </w:r>
    </w:p>
    <w:p>
      <w:pPr>
        <w:pStyle w:val="Normal"/>
      </w:pPr>
      <w:r>
        <w:t xml:space="preserve">Resuelva sin consultar las respuestas. Compruebe al final del capítulo por qué cada opción es correcta o incorrecta.</w:t>
      </w:r>
    </w:p>
    <w:p>
      <w:pPr>
        <w:pStyle w:val="Heading3"/>
      </w:pPr>
      <w:bookmarkStart w:name="b_pregunta_auto_4_6_1" w:id="4966"/>
      <w:r>
        <w:t xml:space="preserve">4.6-A1 · Ante presión → errores → retrabajo → presión, ¿qué distingue atenuar R de reforzar o agregar B?</w:t>
      </w:r>
      <w:bookmarkEnd w:id="4966"/>
    </w:p>
    <w:p>
      <w:pPr>
        <w:pStyle w:val="Normal"/>
      </w:pPr>
      <w:r>
        <w:t xml:space="preserve">a) Ambas maniobras consisten sólo en aumentar una constante sin mirar variables.</w:t>
      </w:r>
    </w:p>
    <w:p>
      <w:pPr>
        <w:pStyle w:val="Normal"/>
      </w:pPr>
      <w:r>
        <w:t xml:space="preserve">b) Atenuar R reduce una relación amplificadora, como errores por presión; agregar B hace que más trabajo pendiente active capacidad correctiva que lo reduzca.</w:t>
      </w:r>
    </w:p>
    <w:p>
      <w:pPr>
        <w:pStyle w:val="Normal"/>
      </w:pPr>
      <w:r>
        <w:t xml:space="preserve">c) Siempre es superior reforzar B, cualquiera que sea su demora.</w:t>
      </w:r>
    </w:p>
    <w:p>
      <w:pPr>
        <w:pStyle w:val="Normal"/>
      </w:pPr>
      <w:r>
        <w:t xml:space="preserve">d) Atenuar R elimina la necesidad de contrastar consecuencias.</w:t>
      </w:r>
    </w:p>
    <w:p>
      <w:pPr>
        <w:pStyle w:val="Heading3"/>
      </w:pPr>
      <w:bookmarkStart w:name="b_pregunta_auto_4_6_2" w:id="4967"/>
      <w:r>
        <w:t xml:space="preserve">4.6-A2 · Al estudiar incentivos y restricciones de una organización, ¿qué pregunta completa el análisis de las reglas?</w:t>
      </w:r>
      <w:bookmarkEnd w:id="4967"/>
    </w:p>
    <w:p>
      <w:pPr>
        <w:pStyle w:val="Normal"/>
      </w:pPr>
      <w:r>
        <w:t xml:space="preserve">a) ¿Cómo cumplirlas sin conocer su propósito?</w:t>
      </w:r>
    </w:p>
    <w:p>
      <w:pPr>
        <w:pStyle w:val="Normal"/>
      </w:pPr>
      <w:r>
        <w:t xml:space="preserve">b) ¿Cómo aumentar todos los premios por igual?</w:t>
      </w:r>
    </w:p>
    <w:p>
      <w:pPr>
        <w:pStyle w:val="Normal"/>
      </w:pPr>
      <w:r>
        <w:t xml:space="preserve">c) ¿Quién tiene autoridad para fijarlas o cambiarlas y quién queda sin voz en esa decisión?</w:t>
      </w:r>
    </w:p>
    <w:p>
      <w:pPr>
        <w:pStyle w:val="Normal"/>
      </w:pPr>
      <w:r>
        <w:t xml:space="preserve">d) ¿Cómo evitar cualquier revisión de sus efectos?</w:t>
      </w:r>
    </w:p>
    <w:p>
      <w:pPr>
        <w:pStyle w:val="Heading3"/>
      </w:pPr>
      <w:bookmarkStart w:name="b_pregunta_auto_4_6_3" w:id="4968"/>
      <w:r>
        <w:t xml:space="preserve">4.6-A3 · ¿Qué significa anticipar un árbol de decisiones en la discusión de Judy de la clase 22?</w:t>
      </w:r>
      <w:bookmarkEnd w:id="4968"/>
    </w:p>
    <w:p>
      <w:pPr>
        <w:pStyle w:val="Normal"/>
      </w:pPr>
      <w:r>
        <w:t xml:space="preserve">a) Que toda consecuencia futura es segura.</w:t>
      </w:r>
    </w:p>
    <w:p>
      <w:pPr>
        <w:pStyle w:val="Normal"/>
      </w:pPr>
      <w:r>
        <w:t xml:space="preserve">b) Que ya se dieron probabilidades para calcular un valor esperado.</w:t>
      </w:r>
    </w:p>
    <w:p>
      <w:pPr>
        <w:pStyle w:val="Normal"/>
      </w:pPr>
      <w:r>
        <w:t xml:space="preserve">c) Que después de decidir desaparecen las alternativas.</w:t>
      </w:r>
    </w:p>
    <w:p>
      <w:pPr>
        <w:pStyle w:val="Normal"/>
      </w:pPr>
      <w:r>
        <w:t xml:space="preserve">d) Que una decisión abre escenarios que pueden exigir nuevas decisiones; conviene anticipar esas ramificaciones y revisar consecuencias.</w:t>
      </w:r>
    </w:p>
    <w:p>
      <w:pPr>
        <w:pStyle w:val="Heading3"/>
      </w:pPr>
      <w:bookmarkStart w:name="b_pregunta_auto_4_6_4" w:id="4969"/>
      <w:r>
        <w:t xml:space="preserve">4.6-A4 · En el caso didáctico XYZ, ¿por qué un posible ahorro de mano de obra no basta para elegir automatización?</w:t>
      </w:r>
      <w:bookmarkEnd w:id="4969"/>
    </w:p>
    <w:p>
      <w:pPr>
        <w:pStyle w:val="Normal"/>
      </w:pPr>
      <w:r>
        <w:t xml:space="preserve">a) Porque salarios por trabajo y materias primas son costos de producción, pero la inversión inicial exige liquidez disponible hoy y puede afectar a las personas.</w:t>
      </w:r>
    </w:p>
    <w:p>
      <w:pPr>
        <w:pStyle w:val="Normal"/>
      </w:pPr>
      <w:r>
        <w:t xml:space="preserve">b) Porque mano de obra significa sólo materia prima y no incluye remuneraciones.</w:t>
      </w:r>
    </w:p>
    <w:p>
      <w:pPr>
        <w:pStyle w:val="Normal"/>
      </w:pPr>
      <w:r>
        <w:t xml:space="preserve">c) Porque un ahorro futuro garantiza dinero suficiente para invertir hoy.</w:t>
      </w:r>
    </w:p>
    <w:p>
      <w:pPr>
        <w:pStyle w:val="Normal"/>
      </w:pPr>
      <w:r>
        <w:t xml:space="preserve">d) Porque una decisión debe analizar sólo los costos directos e ignorar calidad y demanda.</w:t>
      </w:r>
    </w:p>
    <w:p>
      <w:pPr>
        <w:pStyle w:val="Heading3"/>
      </w:pPr>
      <w:bookmarkStart w:name="b_pregunta_auto_4_6_5" w:id="4970"/>
      <w:r>
        <w:t xml:space="preserve">4.6-A5 · En términos de Meadows, un «punto de apalancamiento» de un sistema es…</w:t>
      </w:r>
      <w:bookmarkEnd w:id="4970"/>
    </w:p>
    <w:p>
      <w:pPr>
        <w:pStyle w:val="Normal"/>
      </w:pPr>
      <w:r>
        <w:t xml:space="preserve">a) La parte más grande o cara del sistema</w:t>
      </w:r>
    </w:p>
    <w:p>
      <w:pPr>
        <w:pStyle w:val="Normal"/>
      </w:pPr>
      <w:r>
        <w:t xml:space="preserve">b) Un lugar donde un cambio pequeño produce un gran efecto en el comportamiento del todo</w:t>
      </w:r>
    </w:p>
    <w:p>
      <w:pPr>
        <w:pStyle w:val="Normal"/>
      </w:pPr>
      <w:r>
        <w:t xml:space="preserve">c) El elemento que más datos genera</w:t>
      </w:r>
    </w:p>
    <w:p>
      <w:pPr>
        <w:pStyle w:val="Normal"/>
      </w:pPr>
      <w:r>
        <w:t xml:space="preserve">d) La persona con más poder dentro de la organización</w:t>
      </w:r>
    </w:p>
    <w:p>
      <w:pPr>
        <w:pStyle w:val="Heading3"/>
      </w:pPr>
      <w:bookmarkStart w:name="b_pregunta_auto_4_6_6" w:id="4971"/>
      <w:r>
        <w:t xml:space="preserve">4.6-A6 · Entre estas cuatro intervenciones, ¿cuál es de MAYOR apalancamiento según Meadows?</w:t>
      </w:r>
      <w:bookmarkEnd w:id="4971"/>
    </w:p>
    <w:p>
      <w:pPr>
        <w:pStyle w:val="Normal"/>
      </w:pPr>
      <w:r>
        <w:t xml:space="preserve">a) Subir un impuesto (un parámetro)</w:t>
      </w:r>
    </w:p>
    <w:p>
      <w:pPr>
        <w:pStyle w:val="Normal"/>
      </w:pPr>
      <w:r>
        <w:t xml:space="preserve">b) Agrandar un amortiguador o reserva</w:t>
      </w:r>
    </w:p>
    <w:p>
      <w:pPr>
        <w:pStyle w:val="Normal"/>
      </w:pPr>
      <w:r>
        <w:t xml:space="preserve">c) Cambiar el paradigma del que surge el sistema</w:t>
      </w:r>
    </w:p>
    <w:p>
      <w:pPr>
        <w:pStyle w:val="Normal"/>
      </w:pPr>
      <w:r>
        <w:t xml:space="preserve">d) Acortar una demora</w:t>
      </w:r>
    </w:p>
    <w:p>
      <w:pPr>
        <w:pStyle w:val="Heading3"/>
      </w:pPr>
      <w:bookmarkStart w:name="b_pregunta_auto_4_6_7" w:id="4972"/>
      <w:r>
        <w:t xml:space="preserve">4.6-A7 · Los números y parámetros (impuestos, subsidios, estándares) son el punto de apalancamiento MÁS BAJO. ¿Por qué acaparan casi todo el debate público?</w:t>
      </w:r>
      <w:bookmarkEnd w:id="4972"/>
    </w:p>
    <w:p>
      <w:pPr>
        <w:pStyle w:val="Normal"/>
      </w:pPr>
      <w:r>
        <w:t xml:space="preserve">a) Porque son los que más cambian el comportamiento del sistema</w:t>
      </w:r>
    </w:p>
    <w:p>
      <w:pPr>
        <w:pStyle w:val="Normal"/>
      </w:pPr>
      <w:r>
        <w:t xml:space="preserve">b) Porque son visibles, cuantificables y fáciles de tocar, aunque rara vez cambian la estructura</w:t>
      </w:r>
    </w:p>
    <w:p>
      <w:pPr>
        <w:pStyle w:val="Normal"/>
      </w:pPr>
      <w:r>
        <w:t xml:space="preserve">c) Porque Meadows recomienda empezar siempre por ellos</w:t>
      </w:r>
    </w:p>
    <w:p>
      <w:pPr>
        <w:pStyle w:val="Normal"/>
      </w:pPr>
      <w:r>
        <w:t xml:space="preserve">d) Porque no tienen demoras asociadas</w:t>
      </w:r>
    </w:p>
    <w:p>
      <w:pPr>
        <w:pStyle w:val="Heading3"/>
      </w:pPr>
      <w:bookmarkStart w:name="b_pregunta_auto_4_6_8" w:id="4973"/>
      <w:r>
        <w:t xml:space="preserve">4.6-A8 · Ordena estos puntos de MENOR a MAYOR apalancamiento:</w:t>
      </w:r>
      <w:bookmarkEnd w:id="4973"/>
    </w:p>
    <w:p>
      <w:pPr>
        <w:pStyle w:val="Normal"/>
      </w:pPr>
      <w:r>
        <w:t xml:space="preserve">a) Metas → Reglas → Parámetros → Paradigma</w:t>
      </w:r>
    </w:p>
    <w:p>
      <w:pPr>
        <w:pStyle w:val="Normal"/>
      </w:pPr>
      <w:r>
        <w:t xml:space="preserve">b) Parámetros → Reglas → Metas → Paradigma</w:t>
      </w:r>
    </w:p>
    <w:p>
      <w:pPr>
        <w:pStyle w:val="Normal"/>
      </w:pPr>
      <w:r>
        <w:t xml:space="preserve">c) Paradigma → Metas → Reglas → Parámetros</w:t>
      </w:r>
    </w:p>
    <w:p>
      <w:pPr>
        <w:pStyle w:val="Normal"/>
      </w:pPr>
      <w:r>
        <w:t xml:space="preserve">d) Reglas → Parámetros → Paradigma → Metas</w:t>
      </w:r>
    </w:p>
    <w:p>
      <w:pPr>
        <w:pStyle w:val="Heading3"/>
      </w:pPr>
      <w:bookmarkStart w:name="b_pregunta_auto_4_6_9" w:id="4974"/>
      <w:r>
        <w:t xml:space="preserve">4.6-A9 · Instalar el medidor de electricidad a la vista de la familia —y no en el sótano— redujo el consumo sin cambiar precios ni aparatos. ¿Qué punto de apalancamiento ilustra?</w:t>
      </w:r>
      <w:bookmarkEnd w:id="4974"/>
    </w:p>
    <w:p>
      <w:pPr>
        <w:pStyle w:val="Normal"/>
      </w:pPr>
      <w:r>
        <w:t xml:space="preserve">a) Un amortiguador (punto 11)</w:t>
      </w:r>
    </w:p>
    <w:p>
      <w:pPr>
        <w:pStyle w:val="Normal"/>
      </w:pPr>
      <w:r>
        <w:t xml:space="preserve">b) Un flujo de información: dar acceso a datos que antes faltaban (punto 6)</w:t>
      </w:r>
    </w:p>
    <w:p>
      <w:pPr>
        <w:pStyle w:val="Normal"/>
      </w:pPr>
      <w:r>
        <w:t xml:space="preserve">c) Una demora (punto 9)</w:t>
      </w:r>
    </w:p>
    <w:p>
      <w:pPr>
        <w:pStyle w:val="Normal"/>
      </w:pPr>
      <w:r>
        <w:t xml:space="preserve">d) Un parámetro: el precio de la luz (punto 12)</w:t>
      </w:r>
    </w:p>
    <w:p>
      <w:pPr>
        <w:pStyle w:val="Heading3"/>
      </w:pPr>
      <w:bookmarkStart w:name="b_pregunta_auto_4_6_10" w:id="4975"/>
      <w:r>
        <w:t xml:space="preserve">4.6-A10 · Antes de intervenir un sistema, el pensador sistémico simula la decisión en VENSIM. ¿Cuál es la razón principal?</w:t>
      </w:r>
      <w:bookmarkEnd w:id="4975"/>
    </w:p>
    <w:p>
      <w:pPr>
        <w:pStyle w:val="Normal"/>
      </w:pPr>
      <w:r>
        <w:t xml:space="preserve">a) Para generar gráficas más vistosas en la presentación</w:t>
      </w:r>
    </w:p>
    <w:p>
      <w:pPr>
        <w:pStyle w:val="Normal"/>
      </w:pPr>
      <w:r>
        <w:t xml:space="preserve">b) Para ver los efectos de segundo orden, las demoras y si la palanca empuja en la dirección deseada</w:t>
      </w:r>
    </w:p>
    <w:p>
      <w:pPr>
        <w:pStyle w:val="Normal"/>
      </w:pPr>
      <w:r>
        <w:t xml:space="preserve">c) Porque el modelo sustituye por completo al juicio humano</w:t>
      </w:r>
    </w:p>
    <w:p>
      <w:pPr>
        <w:pStyle w:val="Normal"/>
      </w:pPr>
      <w:r>
        <w:t xml:space="preserve">d) Para eliminar toda incertidumbre del sistema</w:t>
      </w:r>
    </w:p>
    <w:p>
      <w:pPr>
        <w:pStyle w:val="Heading3"/>
      </w:pPr>
      <w:bookmarkStart w:name="b_pregunta_auto_4_6_11" w:id="4976"/>
      <w:r>
        <w:t xml:space="preserve">4.6-A11 · Meadows advierte una trampa frecuente al intervenir un sistema. ¿Cuál?</w:t>
      </w:r>
      <w:bookmarkEnd w:id="4976"/>
    </w:p>
    <w:p>
      <w:pPr>
        <w:pStyle w:val="Normal"/>
      </w:pPr>
      <w:r>
        <w:t xml:space="preserve">a) Que la gente casi nunca encuentra los puntos de apalancamiento</w:t>
      </w:r>
    </w:p>
    <w:p>
      <w:pPr>
        <w:pStyle w:val="Normal"/>
      </w:pPr>
      <w:r>
        <w:t xml:space="preserve">b) Que se identifica el punto correcto, pero se empuja en la dirección equivocada</w:t>
      </w:r>
    </w:p>
    <w:p>
      <w:pPr>
        <w:pStyle w:val="Normal"/>
      </w:pPr>
      <w:r>
        <w:t xml:space="preserve">c) Que los parámetros son imposibles de medir</w:t>
      </w:r>
    </w:p>
    <w:p>
      <w:pPr>
        <w:pStyle w:val="Normal"/>
      </w:pPr>
      <w:r>
        <w:t xml:space="preserve">d) Que solo el paradigma importa y el resto es inútil</w:t>
      </w:r>
    </w:p>
    <w:p>
      <w:pPr>
        <w:pStyle w:val="Heading3"/>
      </w:pPr>
      <w:bookmarkStart w:name="b_pregunta_auto_4_6_12" w:id="4977"/>
      <w:r>
        <w:t xml:space="preserve">4.6-A12 · En el póster de hábitos que usa el curso, ¿qué número tiene el hábito del apalancamiento?</w:t>
      </w:r>
      <w:bookmarkEnd w:id="4977"/>
    </w:p>
    <w:p>
      <w:pPr>
        <w:pStyle w:val="Normal"/>
      </w:pPr>
      <w:r>
        <w:t xml:space="preserve">a) 10</w:t>
      </w:r>
    </w:p>
    <w:p>
      <w:pPr>
        <w:pStyle w:val="Normal"/>
      </w:pPr>
      <w:r>
        <w:t xml:space="preserve">b) 13</w:t>
      </w:r>
    </w:p>
    <w:p>
      <w:pPr>
        <w:pStyle w:val="Normal"/>
      </w:pPr>
      <w:r>
        <w:t xml:space="preserve">c) 12</w:t>
      </w:r>
    </w:p>
    <w:p>
      <w:pPr>
        <w:pStyle w:val="Normal"/>
      </w:pPr>
      <w:r>
        <w:t xml:space="preserve">d) 8</w:t>
      </w:r>
    </w:p>
    <w:p>
      <w:pPr>
        <w:pStyle w:val="Heading3"/>
      </w:pPr>
      <w:bookmarkStart w:name="b_pregunta_auto_4_6_13" w:id="4978"/>
      <w:r>
        <w:t xml:space="preserve">4.6-A13 · ¿Qué hace un pensador sistémico según la tarjeta del hábito 11?</w:t>
      </w:r>
      <w:bookmarkEnd w:id="4978"/>
    </w:p>
    <w:p>
      <w:pPr>
        <w:pStyle w:val="Normal"/>
      </w:pPr>
      <w:r>
        <w:t xml:space="preserve">a) Se adelanta y prevé no sólo los resultados inmediatos de las acciones sino también los efectos futuros</w:t>
      </w:r>
    </w:p>
    <w:p>
      <w:pPr>
        <w:pStyle w:val="Normal"/>
      </w:pPr>
      <w:r>
        <w:t xml:space="preserve">b) Toma decisiones rápidas para no frenar a la organización</w:t>
      </w:r>
    </w:p>
    <w:p>
      <w:pPr>
        <w:pStyle w:val="Normal"/>
      </w:pPr>
      <w:r>
        <w:t xml:space="preserve">c) Busca siempre al culpable del problema</w:t>
      </w:r>
    </w:p>
    <w:p>
      <w:pPr>
        <w:pStyle w:val="Normal"/>
      </w:pPr>
      <w:r>
        <w:t xml:space="preserve">d) Ignora las consecuencias de corto plazo</w:t>
      </w:r>
    </w:p>
    <w:p>
      <w:pPr>
        <w:pStyle w:val="Heading3"/>
      </w:pPr>
      <w:bookmarkStart w:name="b_pregunta_auto_4_6_14" w:id="4979"/>
      <w:r>
        <w:t xml:space="preserve">4.6-A14 · Según la presentación, una tabla de ventajas y desventajas como la de Judy es muy efectiva para analizar…</w:t>
      </w:r>
      <w:bookmarkEnd w:id="4979"/>
    </w:p>
    <w:p>
      <w:pPr>
        <w:pStyle w:val="Normal"/>
      </w:pPr>
      <w:r>
        <w:t xml:space="preserve">a) Las consecuencias a corto plazo de las decisiones</w:t>
      </w:r>
    </w:p>
    <w:p>
      <w:pPr>
        <w:pStyle w:val="Normal"/>
      </w:pPr>
      <w:r>
        <w:t xml:space="preserve">b) Las consecuencias de muy largo plazo</w:t>
      </w:r>
    </w:p>
    <w:p>
      <w:pPr>
        <w:pStyle w:val="Normal"/>
      </w:pPr>
      <w:r>
        <w:t xml:space="preserve">c) Los puntos de apalancamiento</w:t>
      </w:r>
    </w:p>
    <w:p>
      <w:pPr>
        <w:pStyle w:val="Normal"/>
      </w:pPr>
      <w:r>
        <w:t xml:space="preserve">d) Los arquetipos del sistema</w:t>
      </w:r>
    </w:p>
    <w:p>
      <w:pPr>
        <w:pStyle w:val="Heading3"/>
      </w:pPr>
      <w:bookmarkStart w:name="b_pregunta_auto_4_6_15" w:id="4980"/>
      <w:r>
        <w:t xml:space="preserve">4.6-A15 · ¿Qué pregunta hace el pensamiento sistémico, a diferencia del causal?</w:t>
      </w:r>
      <w:bookmarkEnd w:id="4980"/>
    </w:p>
    <w:p>
      <w:pPr>
        <w:pStyle w:val="Normal"/>
      </w:pPr>
      <w:r>
        <w:t xml:space="preserve">a) ¿Cuál es el sistema que produce…?</w:t>
      </w:r>
    </w:p>
    <w:p>
      <w:pPr>
        <w:pStyle w:val="Normal"/>
      </w:pPr>
      <w:r>
        <w:t xml:space="preserve">b) ¿Cuáles son las causas de…?</w:t>
      </w:r>
    </w:p>
    <w:p>
      <w:pPr>
        <w:pStyle w:val="Normal"/>
      </w:pPr>
      <w:r>
        <w:t xml:space="preserve">c) ¿Quién tiene la culpa de…?</w:t>
      </w:r>
    </w:p>
    <w:p>
      <w:pPr>
        <w:pStyle w:val="Normal"/>
      </w:pPr>
      <w:r>
        <w:t xml:space="preserve">d) ¿Cuál es la solución más rápida a…?</w:t>
      </w:r>
    </w:p>
    <w:p>
      <w:pPr>
        <w:pStyle w:val="Heading3"/>
      </w:pPr>
      <w:bookmarkStart w:name="b_pregunta_auto_4_6_16" w:id="4981"/>
      <w:r>
        <w:t xml:space="preserve">4.6-A16 · En el caso de la empresa XYZ, ¿qué sirvió como palanca para reducir los costos de producción?</w:t>
      </w:r>
      <w:bookmarkEnd w:id="4981"/>
    </w:p>
    <w:p>
      <w:pPr>
        <w:pStyle w:val="Normal"/>
      </w:pPr>
      <w:r>
        <w:t xml:space="preserve">a) Reducir los costos de empaque y distribución</w:t>
      </w:r>
    </w:p>
    <w:p>
      <w:pPr>
        <w:pStyle w:val="Normal"/>
      </w:pPr>
      <w:r>
        <w:t xml:space="preserve">b) Automatizar la fábrica</w:t>
      </w:r>
    </w:p>
    <w:p>
      <w:pPr>
        <w:pStyle w:val="Normal"/>
      </w:pPr>
      <w:r>
        <w:t xml:space="preserve">c) Usar materiales más baratos</w:t>
      </w:r>
    </w:p>
    <w:p>
      <w:pPr>
        <w:pStyle w:val="Normal"/>
      </w:pPr>
      <w:r>
        <w:t xml:space="preserve">d) Reducir el tiempo de producción</w:t>
      </w:r>
    </w:p>
    <w:p>
      <w:pPr>
        <w:pStyle w:val="Heading3"/>
      </w:pPr>
      <w:bookmarkStart w:name="b_pregunta_auto_4_6_17" w:id="4982"/>
      <w:r>
        <w:t xml:space="preserve">4.6-A17 · En la lista de Meadows del curso, ¿cuál es el lugar MÁS efectivo para intervenir en un sistema?</w:t>
      </w:r>
      <w:bookmarkEnd w:id="4982"/>
    </w:p>
    <w:p>
      <w:pPr>
        <w:pStyle w:val="Normal"/>
      </w:pPr>
      <w:r>
        <w:t xml:space="preserve">a) El poder de trascender los paradigmas</w:t>
      </w:r>
    </w:p>
    <w:p>
      <w:pPr>
        <w:pStyle w:val="Normal"/>
      </w:pPr>
      <w:r>
        <w:t xml:space="preserve">b) Constantes, parámetros, números</w:t>
      </w:r>
    </w:p>
    <w:p>
      <w:pPr>
        <w:pStyle w:val="Normal"/>
      </w:pPr>
      <w:r>
        <w:t xml:space="preserve">c) Las reglas del sistema</w:t>
      </w:r>
    </w:p>
    <w:p>
      <w:pPr>
        <w:pStyle w:val="Normal"/>
      </w:pPr>
      <w:r>
        <w:t xml:space="preserve">d) La duración de los retrasos</w:t>
      </w:r>
    </w:p>
    <w:p>
      <w:pPr>
        <w:pStyle w:val="Heading3"/>
      </w:pPr>
      <w:bookmarkStart w:name="b_pregunta_auto_4_6_18" w:id="4983"/>
      <w:r>
        <w:t xml:space="preserve">4.6-A18 · La Cápsula 8 presenta los 12 puntos de Meadows del 1 al 12 y la lámina 29 del 12 al 1. ¿Qué cambia entre una y otra?</w:t>
      </w:r>
      <w:bookmarkEnd w:id="4983"/>
    </w:p>
    <w:p>
      <w:pPr>
        <w:pStyle w:val="Normal"/>
      </w:pPr>
      <w:r>
        <w:t xml:space="preserve">a) Sólo el sentido de la lista: los números de cada punto son los mismos</w:t>
      </w:r>
    </w:p>
    <w:p>
      <w:pPr>
        <w:pStyle w:val="Normal"/>
      </w:pPr>
      <w:r>
        <w:t xml:space="preserve">b) La numeración: el 1 de la cápsula es el 12 de la lámina</w:t>
      </w:r>
    </w:p>
    <w:p>
      <w:pPr>
        <w:pStyle w:val="Normal"/>
      </w:pPr>
      <w:r>
        <w:t xml:space="preserve">c) El contenido: la cápsula tiene otros doce puntos</w:t>
      </w:r>
    </w:p>
    <w:p>
      <w:pPr>
        <w:pStyle w:val="Normal"/>
      </w:pPr>
      <w:r>
        <w:t xml:space="preserve">d) Nada: las dos van del menos al más efectivo</w:t>
      </w:r>
    </w:p>
    <w:p>
      <w:pPr>
        <w:pStyle w:val="Heading3"/>
      </w:pPr>
      <w:bookmarkStart w:name="b_pregunta_auto_4_6_19" w:id="4984"/>
      <w:r>
        <w:t xml:space="preserve">4.6-A19 · Según la Cápsula 8, ¿por qué las zonas de alto apalancamiento no suelen ser evidentes para los actores del sistema?</w:t>
      </w:r>
      <w:bookmarkEnd w:id="4984"/>
    </w:p>
    <w:p>
      <w:pPr>
        <w:pStyle w:val="Normal"/>
      </w:pPr>
      <w:r>
        <w:t xml:space="preserve">a) Porque no están próximas, ni en el espacio ni en el tiempo, a los síntomas del problema</w:t>
      </w:r>
    </w:p>
    <w:p>
      <w:pPr>
        <w:pStyle w:val="Normal"/>
      </w:pPr>
      <w:r>
        <w:t xml:space="preserve">b) Porque sólo existen en los sistemas educativos</w:t>
      </w:r>
    </w:p>
    <w:p>
      <w:pPr>
        <w:pStyle w:val="Normal"/>
      </w:pPr>
      <w:r>
        <w:t xml:space="preserve">c) Porque siempre requieren cambiar las leyes</w:t>
      </w:r>
    </w:p>
    <w:p>
      <w:pPr>
        <w:pStyle w:val="Normal"/>
      </w:pPr>
      <w:r>
        <w:t xml:space="preserve">d) Porque son los síntomas mismos</w:t>
      </w:r>
    </w:p>
    <w:p>
      <w:pPr>
        <w:pStyle w:val="Heading3"/>
      </w:pPr>
      <w:bookmarkStart w:name="b_pregunta_auto_4_6_20" w:id="4985"/>
      <w:r>
        <w:t xml:space="preserve">4.6-A20 · ¿Qué distingue el modelado para la explicación?</w:t>
      </w:r>
      <w:bookmarkEnd w:id="4985"/>
    </w:p>
    <w:p>
      <w:pPr>
        <w:pStyle w:val="Normal"/>
      </w:pPr>
      <w:r>
        <w:t xml:space="preserve">a) Que no usa modelos mentales</w:t>
      </w:r>
    </w:p>
    <w:p>
      <w:pPr>
        <w:pStyle w:val="Normal"/>
      </w:pPr>
      <w:r>
        <w:t xml:space="preserve">b) Que solo entrega un número</w:t>
      </w:r>
    </w:p>
    <w:p>
      <w:pPr>
        <w:pStyle w:val="Normal"/>
      </w:pPr>
      <w:r>
        <w:t xml:space="preserve">c) Que siempre produce una intervención inmediata</w:t>
      </w:r>
    </w:p>
    <w:p>
      <w:pPr>
        <w:pStyle w:val="Normal"/>
      </w:pPr>
      <w:r>
        <w:t xml:space="preserve">d) Que comunica el modelo a otros y permite enriquecer su comprensión</w:t>
      </w:r>
    </w:p>
    <w:p>
      <w:pPr>
        <w:pStyle w:val="Heading3"/>
      </w:pPr>
      <w:bookmarkStart w:name="b_pregunta_auto_4_6_21" w:id="4986"/>
      <w:r>
        <w:t xml:space="preserve">4.6-A21 · Una simulación se ejecuta sin errores. ¿Qué falta antes de usarla para intervenir?</w:t>
      </w:r>
      <w:bookmarkEnd w:id="4986"/>
    </w:p>
    <w:p>
      <w:pPr>
        <w:pStyle w:val="Normal"/>
      </w:pPr>
      <w:r>
        <w:t xml:space="preserve">a) Contrastar estructura, supuestos y resultados con teoría y datos de la realidad</w:t>
      </w:r>
    </w:p>
    <w:p>
      <w:pPr>
        <w:pStyle w:val="Normal"/>
      </w:pPr>
      <w:r>
        <w:t xml:space="preserve">b) Elegir automáticamente el resultado mayor</w:t>
      </w:r>
    </w:p>
    <w:p>
      <w:pPr>
        <w:pStyle w:val="Normal"/>
      </w:pPr>
      <w:r>
        <w:t xml:space="preserve">c) Eliminar las variables difíciles de medir sin justificarlo</w:t>
      </w:r>
    </w:p>
    <w:p>
      <w:pPr>
        <w:pStyle w:val="Normal"/>
      </w:pPr>
      <w:r>
        <w:t xml:space="preserve">d) Cambiar de nombre los niveles</w:t>
      </w:r>
    </w:p>
    <w:p>
      <w:pPr>
        <w:pStyle w:val="Heading3"/>
      </w:pPr>
      <w:bookmarkStart w:name="b_pregunta_auto_4_6_22" w:id="4987"/>
      <w:r>
        <w:t xml:space="preserve">4.6-A22 · Con tasas negociadas de 2 % y 4 %, a veinticuatro meses conviene…</w:t>
      </w:r>
      <w:bookmarkEnd w:id="4987"/>
    </w:p>
    <w:p>
      <w:pPr>
        <w:pStyle w:val="Normal"/>
      </w:pPr>
      <w:r>
        <w:t xml:space="preserve">a) Ambos quedan en 2,000</w:t>
      </w:r>
    </w:p>
    <w:p>
      <w:pPr>
        <w:pStyle w:val="Normal"/>
      </w:pPr>
      <w:r>
        <w:t xml:space="preserve">b) No se puede calcular con el modelo</w:t>
      </w:r>
    </w:p>
    <w:p>
      <w:pPr>
        <w:pStyle w:val="Normal"/>
      </w:pPr>
      <w:r>
        <w:t xml:space="preserve">c) El banco 2</w:t>
      </w:r>
    </w:p>
    <w:p>
      <w:pPr>
        <w:pStyle w:val="Normal"/>
      </w:pPr>
      <w:r>
        <w:t xml:space="preserve">d) El banco 1</w:t>
      </w:r>
    </w:p>
    <w:p>
      <w:pPr>
        <w:pStyle w:val="Heading3"/>
      </w:pPr>
      <w:bookmarkStart w:name="b_pregunta_auto_4_6_23" w:id="4988"/>
      <w:r>
        <w:t xml:space="preserve">4.6-A23 · ¿La solución del empaque es universal para toda fábrica?</w:t>
      </w:r>
      <w:bookmarkEnd w:id="4988"/>
    </w:p>
    <w:p>
      <w:pPr>
        <w:pStyle w:val="Normal"/>
      </w:pPr>
      <w:r>
        <w:t xml:space="preserve">a) Solo depende del nombre XYZ</w:t>
      </w:r>
    </w:p>
    <w:p>
      <w:pPr>
        <w:pStyle w:val="Normal"/>
      </w:pPr>
      <w:r>
        <w:t xml:space="preserve">b) No: exige comprobar protección, costos y contexto</w:t>
      </w:r>
    </w:p>
    <w:p>
      <w:pPr>
        <w:pStyle w:val="Normal"/>
      </w:pPr>
      <w:r>
        <w:t xml:space="preserve">c) Sí: toda fábrica tiene el mismo problema</w:t>
      </w:r>
    </w:p>
    <w:p>
      <w:pPr>
        <w:pStyle w:val="Normal"/>
      </w:pPr>
      <w:r>
        <w:t xml:space="preserve">d) Sí: nunca hay efectos secundarios</w:t>
      </w:r>
    </w:p>
    <w:p>
      <w:pPr>
        <w:pStyle w:val="Heading3"/>
      </w:pPr>
      <w:r>
        <w:t xml:space="preserve">Ejercicios de aplicación</w:t>
      </w:r>
    </w:p>
    <w:p>
      <w:pPr>
        <w:pStyle w:val="Heading3"/>
      </w:pPr>
      <w:bookmarkStart w:name="b_pregunta_ej_D01" w:id="4989"/>
      <w:r>
        <w:t xml:space="preserve">4.6-E1 · Ventaja frente a escenario</w:t>
      </w:r>
      <w:bookmarkEnd w:id="4989"/>
    </w:p>
    <w:p>
      <w:pPr>
        <w:pStyle w:val="Normal"/>
      </w:pPr>
      <w:r>
        <w:t xml:space="preserve">Judy considera contratar a María. A: «Su experiencia coincide con el puesto». B: «¿Cómo reaccionaría el equipo si percibe favoritismo?». Clasifica ambas formulaciones y explica qué información adicional solicitarías antes de decidir.</w:t>
      </w:r>
    </w:p>
    <w:p>
      <w:pPr>
        <w:pStyle w:val="Heading3"/>
      </w:pPr>
      <w:bookmarkStart w:name="b_pregunta_ej_D02" w:id="4990"/>
      <w:r>
        <w:t xml:space="preserve">4.6-E2 · Caso XYZ</w:t>
      </w:r>
      <w:bookmarkEnd w:id="4990"/>
    </w:p>
    <w:p>
      <w:pPr>
        <w:pStyle w:val="Normal"/>
      </w:pPr>
      <w:r>
        <w:t xml:space="preserve">Una empresa quiere reducir costos sin trasladar su producción ni reducir la calidad. Compara automatización, acelerar producción, abaratar materias primas y eliminar pasos no esenciales del empaque. Explica por qué la cuarta puede ser una palanca en este contexto y qué tendrías que verificar para sostener esa conclusión.</w:t>
      </w:r>
    </w:p>
    <w:p>
      <w:pPr>
        <w:pStyle w:val="Heading3"/>
      </w:pPr>
      <w:bookmarkStart w:name="b_pregunta_ej_D03" w:id="4991"/>
      <w:r>
        <w:t xml:space="preserve">4.6-E3 · Identificación por letras</w:t>
      </w:r>
      <w:bookmarkEnd w:id="4991"/>
    </w:p>
    <w:p>
      <w:pPr>
        <w:pStyle w:val="Normal"/>
      </w:pPr>
      <w:r>
        <w:t xml:space="preserve">Una biblioteca propone A: compartir pedidos pendientes; B: pagar bonos por solicitudes cerradas; C: definir éxito como necesidades resueltas correctamente; D: permitir que cada equipo rediseñe sus procesos. Identifica el punto de Meadows principal de cada propuesta y justifica. Explica una consecuencia no deseada de B.</w:t>
      </w:r>
    </w:p>
    <w:p>
      <w:pPr>
        <w:pStyle w:val="Heading3"/>
      </w:pPr>
      <w:bookmarkStart w:name="b_pregunta_ej_D04" w:id="4992"/>
      <w:r>
        <w:t xml:space="preserve">4.6-E4 · Niveles de intervención</w:t>
      </w:r>
      <w:bookmarkEnd w:id="4992"/>
    </w:p>
    <w:p>
      <w:pPr>
        <w:pStyle w:val="Normal"/>
      </w:pPr>
      <w:r>
        <w:t xml:space="preserve">Compara: aumentar un presupuesto; crear una reserva de libros; cambiar las rutas de distribución; reducir el plazo del proveedor. Relaciona cada acción con los puntos 12, 11, 10 y 9 y explica por qué no son la misma intervención.</w:t>
      </w:r>
    </w:p>
    <w:p>
      <w:pPr>
        <w:pStyle w:val="Heading3"/>
      </w:pPr>
      <w:bookmarkStart w:name="b_pregunta_ej_D05" w:id="4993"/>
      <w:r>
        <w:t xml:space="preserve">4.6-E5 · Creencias y paradigmas</w:t>
      </w:r>
      <w:bookmarkEnd w:id="4993"/>
    </w:p>
    <w:p>
      <w:pPr>
        <w:pStyle w:val="Normal"/>
      </w:pPr>
      <w:r>
        <w:t xml:space="preserve">¿Qué diferencia hay entre reemplazar la creencia «el usuario interrumpe el trabajo» por «atender al usuario es el trabajo» y mantener la capacidad de revisar cualquier creencia organizadora cuando la evidencia lo requiera? Relaciónalo con los puntos 2 y 1.</w:t>
      </w:r>
    </w:p>
    <w:p>
      <w:pPr>
        <w:pStyle w:val="Heading3"/>
      </w:pPr>
      <w:bookmarkStart w:name="b_pregunta_ej_D06" w:id="4994"/>
      <w:r>
        <w:t xml:space="preserve">4.6-E6 · Promedio y calidad</w:t>
      </w:r>
      <w:bookmarkEnd w:id="4994"/>
    </w:p>
    <w:p>
      <w:pPr>
        <w:pStyle w:val="Normal"/>
      </w:pPr>
      <w:r>
        <w:t xml:space="preserve">El tiempo promedio de atención baja de 10 a 7 días, pero los errores suben de 4 a 9 por cada 100 solicitudes. La meta era reducir tiempo sin aumentar errores. Evalúa la afirmación «la solución ya funciona perfectamente» y propone un próximo paso verificable.</w:t>
      </w:r>
    </w:p>
    <w:p>
      <w:pPr>
        <w:pStyle w:val="Heading3"/>
      </w:pPr>
      <w:bookmarkStart w:name="b_pregunta_ej_D07" w:id="4995"/>
      <w:r>
        <w:t xml:space="preserve">4.6-E7 · Información desagregada</w:t>
      </w:r>
      <w:bookmarkEnd w:id="4995"/>
    </w:p>
    <w:p>
      <w:pPr>
        <w:pStyle w:val="Normal"/>
      </w:pPr>
      <w:r>
        <w:t xml:space="preserve">Sube el promedio de aprendizaje de una escuela. Al separar grupos, solo mejoró el avanzado y el inicial aumentó sus dificultades. ¿Qué cambió al disponer de esa información y por qué sería insuficiente decidir usando solo el promedio?</w:t>
      </w:r>
    </w:p>
    <w:p>
      <w:pPr>
        <w:pStyle w:val="Heading3"/>
      </w:pPr>
      <w:bookmarkStart w:name="b_pregunta_ej_D09" w:id="4996"/>
      <w:r>
        <w:t xml:space="preserve">4.6-E8 · Los ciclos como puntos de intervención</w:t>
      </w:r>
      <w:bookmarkEnd w:id="4996"/>
    </w:p>
    <w:p>
      <w:pPr>
        <w:pStyle w:val="Normal"/>
      </w:pPr>
      <w:r>
        <w:t xml:space="preserve">Un regulador de temperatura no corrige con suficiente fuerza una perturbación. Una campaña de recomendaciones, en cambio, amplifica cada cliente nuevo. Relaciona fortalecer el control y modificar la ganancia del crecimiento con los puntos 8 y 7 de Meadows. ¿Basta decir que ambos cambios alteran un número?</w:t>
      </w:r>
    </w:p>
    <w:p>
      <w:pPr>
        <w:pStyle w:val="Heading3"/>
      </w:pPr>
      <w:bookmarkStart w:name="b_pregunta_ej_D08" w:id="4997"/>
      <w:r>
        <w:t xml:space="preserve">4.6-E9 · Efecto dominó y efectividad</w:t>
      </w:r>
      <w:bookmarkEnd w:id="4997"/>
    </w:p>
    <w:p>
      <w:pPr>
        <w:pStyle w:val="Normal"/>
      </w:pPr>
      <w:r>
        <w:t xml:space="preserve">Soporte cierra más casos por hora pero aumentan las reaperturas y la espera total. Distingue eficiencia de efectividad, relata un efecto dominó y señala obstáculos para intervenir en el incentivo de cierres.</w:t>
      </w:r>
    </w:p>
    <w:p>
      <w:pPr>
        <w:pStyle w:val="Heading3"/>
      </w:pPr>
      <w:bookmarkStart w:name="b_pregunta_g3d_decision_biblioteca" w:id="4998"/>
      <w:r>
        <w:t xml:space="preserve">4.6-E10 · 4.6 · Elegir una intervención y evaluar resultados</w:t>
      </w:r>
      <w:bookmarkEnd w:id="4998"/>
    </w:p>
    <w:p>
      <w:pPr>
        <w:pStyle w:val="Normal"/>
      </w:pPr>
      <w:r>
        <w:t xml:space="preserve">Una biblioteca compra más ejemplares para reducir la espera, pero los retrasos en las devoluciones siguen creciendo. Propón dos alternativas que actúen sobre relaciones distintas del sistema. Compara consecuencias, elige una intervención y define un indicador y un plazo de revisión que consideren las demoras.</w:t>
      </w:r>
    </w:p>
    <w:p>
      <w:pPr>
        <w:pStyle w:val="Fuente"/>
      </w:pPr>
      <w:r>
        <w:t xml:space="preserve">Ordinal de la fuente: 15 · complemento editorial.</w:t>
      </w:r>
    </w:p>
    <w:p>
      <w:pPr>
        <w:pStyle w:val="Heading3"/>
      </w:pPr>
      <w:bookmarkStart w:name="b_solucionario_4_6" w:id="4999"/>
      <w:r>
        <w:t xml:space="preserve">Solucionario del capítulo</w:t>
      </w:r>
      <w:bookmarkEnd w:id="4999"/>
    </w:p>
    <w:p>
      <w:pPr>
        <w:pStyle w:val="Heading3"/>
      </w:pPr>
      <w:r>
        <w:t xml:space="preserve">4.6-A1</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b) Atenuar R reduce una relación amplificadora, como errores por presión; agregar B hace que más trabajo pendiente active capacidad correctiva que lo reduzca.</w:t>
            </w:r>
          </w:p>
        </w:tc>
      </w:tr>
    </w:tbl>
    <w:p>
      <w:pPr>
        <w:pStyle w:val="Normal"/>
      </w:pPr>
      <w:r>
        <w:t xml:space="preserve">El ejemplo editorial concreta las maniobras: formación o cambios de proceso pueden reducir errores por presión y atenuar el refuerzo presión → errores → retrabajo → presión. Un control de carga puede activar capacidad efectiva ante pendientes y reducirlos: B. La lámina propone considerar atenuar R en muchos casos; clase 23 explica agregar compensación anidada. No hay regla universal: importan demora, capacidad, costo y efectos laterales.</w:t>
      </w:r>
    </w:p>
    <w:p>
      <w:pPr>
        <w:pStyle w:val="Fuente"/>
      </w:pPr>
      <w:r>
        <w:t xml:space="preserve">Presentación 4b de octubre (C-8), lámina 29 · Clase 23 · 00:51:51</w:t>
      </w:r>
    </w:p>
    <w:p>
      <w:pPr>
        <w:pStyle w:val="Heading3"/>
      </w:pPr>
      <w:r>
        <w:t xml:space="preserve">4.6-A2</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c) ¿Quién tiene autoridad para fijarlas o cambiarlas y quién queda sin voz en esa decisión?</w:t>
            </w:r>
          </w:p>
        </w:tc>
      </w:tr>
    </w:tbl>
    <w:p>
      <w:pPr>
        <w:pStyle w:val="Normal"/>
      </w:pPr>
      <w:r>
        <w:t xml:space="preserve">Además de la regla escrita, interesa quién la establece y puede modificarla. Por ejemplo, un premio por volumen puede inducir producción defectuosa; revisar sólo el monto deja intacta la decisión de premiar volumen. Identificar autoridad, participación y consecuencias permite discutir una regla diferente con quienes pueden cambiarla.</w:t>
      </w:r>
    </w:p>
    <w:p>
      <w:pPr>
        <w:pStyle w:val="Fuente"/>
      </w:pPr>
      <w:r>
        <w:t xml:space="preserve">Presentación 4b de octubre (C-8), lámina 29</w:t>
      </w:r>
    </w:p>
    <w:p>
      <w:pPr>
        <w:pStyle w:val="Heading3"/>
      </w:pPr>
      <w:r>
        <w:t xml:space="preserve">4.6-A3</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d) Que una decisión abre escenarios que pueden exigir nuevas decisiones; conviene anticipar esas ramificaciones y revisar consecuencias.</w:t>
            </w:r>
          </w:p>
        </w:tc>
      </w:tr>
    </w:tbl>
    <w:p>
      <w:pPr>
        <w:pStyle w:val="Normal"/>
      </w:pPr>
      <w:r>
        <w:t xml:space="preserve">Las preguntas de Judy ayudan a explorar alternativas, personas afectadas y consecuencias a distintos plazos. La elección inicial puede llevar a un escenario que requiera otra decisión. La clase usa árboles en ese sentido temporal y cualitativo; no proporciona probabilidades, pesos ni un algoritmo de optimización.</w:t>
      </w:r>
    </w:p>
    <w:p>
      <w:pPr>
        <w:pStyle w:val="Fuente"/>
      </w:pPr>
      <w:r>
        <w:t xml:space="preserve">Clase 22 · 00:43:57 · Presentación 4b de octubre (C-8), lámina 9</w:t>
      </w:r>
    </w:p>
    <w:p>
      <w:pPr>
        <w:pStyle w:val="Heading3"/>
      </w:pPr>
      <w:r>
        <w:t xml:space="preserve">4.6-A4</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a) Porque salarios por trabajo y materias primas son costos de producción, pero la inversión inicial exige liquidez disponible hoy y puede afectar a las personas.</w:t>
            </w:r>
          </w:p>
        </w:tc>
      </w:tr>
    </w:tbl>
    <w:p>
      <w:pPr>
        <w:pStyle w:val="Normal"/>
      </w:pPr>
      <w:r>
        <w:t xml:space="preserve">La mano de obra remunera el trabajo de fabricar; materias primas son los insumos empleados. Automatizar puede reducir costos futuros y requerir un desembolso inicial que la liquidez actual no permite, además de despidos y efectos sobre motivación. El ejercicio compara consecuencias, calidad y horizontes; no calcula rentabilidad ni prescribe una decisión empresarial real.</w:t>
      </w:r>
    </w:p>
    <w:p>
      <w:pPr>
        <w:pStyle w:val="Fuente"/>
      </w:pPr>
      <w:r>
        <w:t xml:space="preserve">Clase 23 · 00:23:19 · 00:28:43 · Presentación 4b de octubre (C-8), lámina 26</w:t>
      </w:r>
    </w:p>
    <w:p>
      <w:pPr>
        <w:pStyle w:val="Heading3"/>
      </w:pPr>
      <w:r>
        <w:t xml:space="preserve">4.6-A5</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b) Un lugar donde un cambio pequeño produce un gran efecto en el comportamiento del todo</w:t>
            </w:r>
          </w:p>
        </w:tc>
      </w:tr>
    </w:tbl>
    <w:p>
      <w:pPr>
        <w:pStyle w:val="Normal"/>
      </w:pPr>
      <w:r>
        <w:t xml:space="preserve">Meadows retoma a Arquímedes: un punto de apalancamiento es un lugar de la estructura donde una intervención pequeña genera cambios grandes y duraderos en el sistema.</w:t>
      </w:r>
    </w:p>
    <w:p>
      <w:pPr>
        <w:pStyle w:val="Normal"/>
      </w:pPr>
      <w:r>
        <w:t xml:space="preserve">a) El tamaño o el costo no determinan el apalancamiento: los buffers grandes son de bajo apalancamiento.</w:t>
      </w:r>
    </w:p>
    <w:p>
      <w:pPr>
        <w:pStyle w:val="Normal"/>
      </w:pPr>
      <w:r>
        <w:t xml:space="preserve">b) Correcto: como la palanca de Arquímedes, es el sitio donde poca fuerza mueve mucho.</w:t>
      </w:r>
    </w:p>
    <w:p>
      <w:pPr>
        <w:pStyle w:val="Normal"/>
      </w:pPr>
      <w:r>
        <w:t xml:space="preserve">c) La cantidad de datos no es la palanca; sí lo es quién accede a la información (punto 6).</w:t>
      </w:r>
    </w:p>
    <w:p>
      <w:pPr>
        <w:pStyle w:val="Normal"/>
      </w:pPr>
      <w:r>
        <w:t xml:space="preserve">d) El apalancamiento es una propiedad de la estructura del sistema, no de un cargo.</w:t>
      </w:r>
    </w:p>
    <w:p>
      <w:pPr>
        <w:pStyle w:val="Fuente"/>
      </w:pPr>
      <w:r>
        <w:t xml:space="preserve">Meadows, «Leverage Points» (1999)</w:t>
      </w:r>
    </w:p>
    <w:p>
      <w:pPr>
        <w:pStyle w:val="Heading3"/>
      </w:pPr>
      <w:r>
        <w:t xml:space="preserve">4.6-A6</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c) Cambiar el paradigma del que surge el sistema</w:t>
            </w:r>
          </w:p>
        </w:tc>
      </w:tr>
    </w:tbl>
    <w:p>
      <w:pPr>
        <w:pStyle w:val="Normal"/>
      </w:pPr>
      <w:r>
        <w:t xml:space="preserve">Cuanto más «arriba» en la lista de Meadows (metas, paradigma, trascender paradigmas), más profundo y poderoso es el punto. Cambiar el paradigma reconfigura todo lo demás.</w:t>
      </w:r>
    </w:p>
    <w:p>
      <w:pPr>
        <w:pStyle w:val="Normal"/>
      </w:pPr>
      <w:r>
        <w:t xml:space="preserve">a) Los parámetros son el punto 12: el de MENOR apalancamiento, aunque sea el más discutido.</w:t>
      </w:r>
    </w:p>
    <w:p>
      <w:pPr>
        <w:pStyle w:val="Normal"/>
      </w:pPr>
      <w:r>
        <w:t xml:space="preserve">b) El tamaño de los amortiguadores es el punto 11: casi tan débil como los números.</w:t>
      </w:r>
    </w:p>
    <w:p>
      <w:pPr>
        <w:pStyle w:val="Normal"/>
      </w:pPr>
      <w:r>
        <w:t xml:space="preserve">c) Correcto: el paradigma es el punto 2, de los más altos; de él nacen metas, reglas y estructura.</w:t>
      </w:r>
    </w:p>
    <w:p>
      <w:pPr>
        <w:pStyle w:val="Normal"/>
      </w:pPr>
      <w:r>
        <w:t xml:space="preserve">d) Las demoras son el punto 9: importan, pero mucho menos que metas y paradigma.</w:t>
      </w:r>
    </w:p>
    <w:p>
      <w:pPr>
        <w:pStyle w:val="Fuente"/>
      </w:pPr>
      <w:r>
        <w:t xml:space="preserve">Meadows (1999)</w:t>
      </w:r>
    </w:p>
    <w:p>
      <w:pPr>
        <w:pStyle w:val="Heading3"/>
      </w:pPr>
      <w:r>
        <w:t xml:space="preserve">4.6-A7</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b) Porque son visibles, cuantificables y fáciles de tocar, aunque rara vez cambian la estructura</w:t>
            </w:r>
          </w:p>
        </w:tc>
      </w:tr>
    </w:tbl>
    <w:p>
      <w:pPr>
        <w:pStyle w:val="Normal"/>
      </w:pPr>
      <w:r>
        <w:t xml:space="preserve">Los parámetros se ven y se miden, así que son cómodos de negociar; pero mover una constante casi nunca altera los bucles, las reglas o las metas que de verdad generan el comportamiento.</w:t>
      </w:r>
    </w:p>
    <w:p>
      <w:pPr>
        <w:pStyle w:val="Fuente"/>
      </w:pPr>
      <w:r>
        <w:t xml:space="preserve">Meadows (1999)</w:t>
      </w:r>
    </w:p>
    <w:p>
      <w:pPr>
        <w:pStyle w:val="Heading3"/>
      </w:pPr>
      <w:r>
        <w:t xml:space="preserve">4.6-A8</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b) Parámetros → Reglas → Metas → Paradigma</w:t>
            </w:r>
          </w:p>
        </w:tc>
      </w:tr>
    </w:tbl>
    <w:p>
      <w:pPr>
        <w:pStyle w:val="Normal"/>
      </w:pPr>
      <w:r>
        <w:t xml:space="preserve">De más débil a más poderoso: parámetros (12) &lt; reglas (5) &lt; metas (3) &lt; paradigma (2). Al subir de nivel, la intervención toca capas cada vez más profundas del sistema.</w:t>
      </w:r>
    </w:p>
    <w:p>
      <w:pPr>
        <w:pStyle w:val="Fuente"/>
      </w:pPr>
      <w:r>
        <w:t xml:space="preserve">Meadows (1999)</w:t>
      </w:r>
    </w:p>
    <w:p>
      <w:pPr>
        <w:pStyle w:val="Heading3"/>
      </w:pPr>
      <w:r>
        <w:t xml:space="preserve">4.6-A9</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b) Un flujo de información: dar acceso a datos que antes faltaban (punto 6)</w:t>
            </w:r>
          </w:p>
        </w:tc>
      </w:tr>
    </w:tbl>
    <w:p>
      <w:pPr>
        <w:pStyle w:val="Normal"/>
      </w:pPr>
      <w:r>
        <w:t xml:space="preserve">Es el ejemplo clásico de Meadows: abrir un bucle de información que faltaba —poner el dato donde la gente lo ve— cambia la conducta sin tocar ni la tarifa ni la infraestructura.</w:t>
      </w:r>
    </w:p>
    <w:p>
      <w:pPr>
        <w:pStyle w:val="Fuente"/>
      </w:pPr>
      <w:r>
        <w:t xml:space="preserve">Meadows (1999)</w:t>
      </w:r>
    </w:p>
    <w:p>
      <w:pPr>
        <w:pStyle w:val="Heading3"/>
      </w:pPr>
      <w:r>
        <w:t xml:space="preserve">4.6-A10</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b) Para ver los efectos de segundo orden, las demoras y si la palanca empuja en la dirección deseada</w:t>
            </w:r>
          </w:p>
        </w:tc>
      </w:tr>
    </w:tbl>
    <w:p>
      <w:pPr>
        <w:pStyle w:val="Normal"/>
      </w:pPr>
      <w:r>
        <w:t xml:space="preserve">El modelo permite probar la intervención «en seco»: revela demoras, ciclos de refuerzo y consecuencias no obvias, y avisa si estamos a punto de empujar la palanca correcta hacia el lado equivocado.</w:t>
      </w:r>
    </w:p>
    <w:p>
      <w:pPr>
        <w:pStyle w:val="Fuente"/>
      </w:pPr>
      <w:r>
        <w:t xml:space="preserve">Unidad 4 · VENSIM</w:t>
      </w:r>
    </w:p>
    <w:p>
      <w:pPr>
        <w:pStyle w:val="Heading3"/>
      </w:pPr>
      <w:r>
        <w:t xml:space="preserve">4.6-A11</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b) Que se identifica el punto correcto, pero se empuja en la dirección equivocada</w:t>
            </w:r>
          </w:p>
        </w:tc>
      </w:tr>
    </w:tbl>
    <w:p>
      <w:pPr>
        <w:pStyle w:val="Normal"/>
      </w:pPr>
      <w:r>
        <w:t xml:space="preserve">La famosa observación de Meadows: la gente intuye dónde está la palanca, pero con frecuencia la mueve hacia el lado contrario (p. ej. estimular un bucle de refuerzo que agrava el problema). Simular la decisión ayuda a comprobar el signo del efecto.</w:t>
      </w:r>
    </w:p>
    <w:p>
      <w:pPr>
        <w:pStyle w:val="Normal"/>
      </w:pPr>
      <w:r>
        <w:t xml:space="preserve">a) Al contrario: Meadows dice que la intuición suele hallar la palanca; el problema es el sentido del empujón.</w:t>
      </w:r>
    </w:p>
    <w:p>
      <w:pPr>
        <w:pStyle w:val="Normal"/>
      </w:pPr>
      <w:r>
        <w:t xml:space="preserve">b) Correcto: por eso conviene modelar y simular antes de actuar, para verificar la dirección del efecto.</w:t>
      </w:r>
    </w:p>
    <w:p>
      <w:pPr>
        <w:pStyle w:val="Normal"/>
      </w:pPr>
      <w:r>
        <w:t xml:space="preserve">c) Los parámetros son, de hecho, lo más fácil de medir; ese es parte del problema.</w:t>
      </w:r>
    </w:p>
    <w:p>
      <w:pPr>
        <w:pStyle w:val="Normal"/>
      </w:pPr>
      <w:r>
        <w:t xml:space="preserve">d) Todos los niveles sirven; el paradigma es el más profundo, no el único útil.</w:t>
      </w:r>
    </w:p>
    <w:p>
      <w:pPr>
        <w:pStyle w:val="Fuente"/>
      </w:pPr>
      <w:r>
        <w:t xml:space="preserve">Meadows (1999)</w:t>
      </w:r>
    </w:p>
    <w:p>
      <w:pPr>
        <w:pStyle w:val="Heading3"/>
      </w:pPr>
      <w:r>
        <w:t xml:space="preserve">4.6-A12</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a) 10</w:t>
            </w:r>
          </w:p>
        </w:tc>
      </w:tr>
    </w:tbl>
    <w:p>
      <w:pPr>
        <w:pStyle w:val="Normal"/>
      </w:pPr>
      <w:r>
        <w:t xml:space="preserve">El póster de la Waters Foundation que usan las presentaciones numera los hábitos de otra manera que los cursos del portal: en un examen, «hábito 10» es el apalancamiento.</w:t>
      </w:r>
    </w:p>
    <w:p>
      <w:pPr>
        <w:pStyle w:val="Normal"/>
      </w:pPr>
      <w:r>
        <w:t xml:space="preserve">a) Correcto: «Usa la comprensión de la estructura de un sistema para identificar posibles acciones de efecto apalancamiento».</w:t>
      </w:r>
    </w:p>
    <w:p>
      <w:pPr>
        <w:pStyle w:val="Normal"/>
      </w:pPr>
      <w:r>
        <w:t xml:space="preserve">b) No: 13 es su número en los cursos de hábitos del portal, no en el póster del curso.</w:t>
      </w:r>
    </w:p>
    <w:p>
      <w:pPr>
        <w:pStyle w:val="Normal"/>
      </w:pPr>
      <w:r>
        <w:t xml:space="preserve">c) No: el 12 es el de las acumulaciones.</w:t>
      </w:r>
    </w:p>
    <w:p>
      <w:pPr>
        <w:pStyle w:val="Normal"/>
      </w:pPr>
      <w:r>
        <w:t xml:space="preserve">d) No: el 8 es el de considerar un tema completamente.</w:t>
      </w:r>
    </w:p>
    <w:p>
      <w:pPr>
        <w:pStyle w:val="Fuente"/>
      </w:pPr>
      <w:r>
        <w:t xml:space="preserve">presentación 4b · pág. 2</w:t>
      </w:r>
    </w:p>
    <w:p>
      <w:pPr>
        <w:pStyle w:val="Heading3"/>
      </w:pPr>
      <w:r>
        <w:t xml:space="preserve">4.6-A13</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a) Se adelanta y prevé no sólo los resultados inmediatos de las acciones sino también los efectos futuros</w:t>
            </w:r>
          </w:p>
        </w:tc>
      </w:tr>
    </w:tbl>
    <w:p>
      <w:pPr>
        <w:pStyle w:val="Normal"/>
      </w:pPr>
      <w:r>
        <w:t xml:space="preserve">Entre sus preguntas: «¿Estamos dispuestos a aceptar dolor a corto plazo para lograr ganancias a largo plazo?»</w:t>
      </w:r>
    </w:p>
    <w:p>
      <w:pPr>
        <w:pStyle w:val="Normal"/>
      </w:pPr>
      <w:r>
        <w:t xml:space="preserve">a) Correcto: es la definición de la tarjeta de las consecuencias.</w:t>
      </w:r>
    </w:p>
    <w:p>
      <w:pPr>
        <w:pStyle w:val="Normal"/>
      </w:pPr>
      <w:r>
        <w:t xml:space="preserve">b) No: eso contradice el hábito 8, considerar un tema completamente.</w:t>
      </w:r>
    </w:p>
    <w:p>
      <w:pPr>
        <w:pStyle w:val="Normal"/>
      </w:pPr>
      <w:r>
        <w:t xml:space="preserve">c) No: el pensador sistémico busca la estructura, no culpables.</w:t>
      </w:r>
    </w:p>
    <w:p>
      <w:pPr>
        <w:pStyle w:val="Normal"/>
      </w:pPr>
      <w:r>
        <w:t xml:space="preserve">d) No: mira el corto, el largo plazo y lo inesperado.</w:t>
      </w:r>
    </w:p>
    <w:p>
      <w:pPr>
        <w:pStyle w:val="Fuente"/>
      </w:pPr>
      <w:r>
        <w:t xml:space="preserve">presentación 4b · pág. 3</w:t>
      </w:r>
    </w:p>
    <w:p>
      <w:pPr>
        <w:pStyle w:val="Heading3"/>
      </w:pPr>
      <w:r>
        <w:t xml:space="preserve">4.6-A14</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a) Las consecuencias a corto plazo de las decisiones</w:t>
            </w:r>
          </w:p>
        </w:tc>
      </w:tr>
    </w:tbl>
    <w:p>
      <w:pPr>
        <w:pStyle w:val="Normal"/>
      </w:pPr>
      <w:r>
        <w:t xml:space="preserve">«A menudo, esta estrategia es muy efectiva para analizar las consecuencias a corto plazo de las decisiones.»</w:t>
      </w:r>
    </w:p>
    <w:p>
      <w:pPr>
        <w:pStyle w:val="Normal"/>
      </w:pPr>
      <w:r>
        <w:t xml:space="preserve">a) Correcto: para el largo plazo la presentación propone, además, planificar escenarios.</w:t>
      </w:r>
    </w:p>
    <w:p>
      <w:pPr>
        <w:pStyle w:val="Normal"/>
      </w:pPr>
      <w:r>
        <w:t xml:space="preserve">b) No: para eso propone hacerse preguntas de escenarios.</w:t>
      </w:r>
    </w:p>
    <w:p>
      <w:pPr>
        <w:pStyle w:val="Normal"/>
      </w:pPr>
      <w:r>
        <w:t xml:space="preserve">c) No: el apalancamiento se busca con un modelo del sistema.</w:t>
      </w:r>
    </w:p>
    <w:p>
      <w:pPr>
        <w:pStyle w:val="Normal"/>
      </w:pPr>
      <w:r>
        <w:t xml:space="preserve">d) No: la tabla no muestra la estructura de ciclos.</w:t>
      </w:r>
    </w:p>
    <w:p>
      <w:pPr>
        <w:pStyle w:val="Fuente"/>
      </w:pPr>
      <w:r>
        <w:t xml:space="preserve">presentación 4b · pág. 8</w:t>
      </w:r>
    </w:p>
    <w:p>
      <w:pPr>
        <w:pStyle w:val="Heading3"/>
      </w:pPr>
      <w:r>
        <w:t xml:space="preserve">4.6-A15</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a) ¿Cuál es el sistema que produce…?</w:t>
            </w:r>
          </w:p>
        </w:tc>
      </w:tr>
    </w:tbl>
    <w:p>
      <w:pPr>
        <w:pStyle w:val="Normal"/>
      </w:pPr>
      <w:r>
        <w:t xml:space="preserve">La página 24 opone las dos preguntas: causas que apuntan a un problema frente a un sistema que lo produce.</w:t>
      </w:r>
    </w:p>
    <w:p>
      <w:pPr>
        <w:pStyle w:val="Normal"/>
      </w:pPr>
      <w:r>
        <w:t xml:space="preserve">a) Correcto: mira la película de una red de relaciones.</w:t>
      </w:r>
    </w:p>
    <w:p>
      <w:pPr>
        <w:pStyle w:val="Normal"/>
      </w:pPr>
      <w:r>
        <w:t xml:space="preserve">b) No: esa es la pregunta del pensamiento causal, la «fotografía».</w:t>
      </w:r>
    </w:p>
    <w:p>
      <w:pPr>
        <w:pStyle w:val="Normal"/>
      </w:pPr>
      <w:r>
        <w:t xml:space="preserve">c) No: buscar culpables no es pensamiento sistémico.</w:t>
      </w:r>
    </w:p>
    <w:p>
      <w:pPr>
        <w:pStyle w:val="Normal"/>
      </w:pPr>
      <w:r>
        <w:t xml:space="preserve">d) No: la rapidez es el riesgo que advierte el hábito 8.</w:t>
      </w:r>
    </w:p>
    <w:p>
      <w:pPr>
        <w:pStyle w:val="Fuente"/>
      </w:pPr>
      <w:r>
        <w:t xml:space="preserve">presentación 4b · pág. 24</w:t>
      </w:r>
    </w:p>
    <w:p>
      <w:pPr>
        <w:pStyle w:val="Heading3"/>
      </w:pPr>
      <w:r>
        <w:t xml:space="preserve">4.6-A16</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a) Reducir los costos de empaque y distribución</w:t>
            </w:r>
          </w:p>
        </w:tc>
      </w:tr>
    </w:tbl>
    <w:p>
      <w:pPr>
        <w:pStyle w:val="Normal"/>
      </w:pPr>
      <w:r>
        <w:t xml:space="preserve">«En este caso, la reducción de los costos de embalaje sirvió como palanca para el deseo de la compañía de reducir los costos de producción.»</w:t>
      </w:r>
    </w:p>
    <w:p>
      <w:pPr>
        <w:pStyle w:val="Normal"/>
      </w:pPr>
      <w:r>
        <w:t xml:space="preserve">a) Correcto: la propuesta de Daniel redujo costos sin sacrificar calidad ni tiempo de entrega.</w:t>
      </w:r>
    </w:p>
    <w:p>
      <w:pPr>
        <w:pStyle w:val="Normal"/>
      </w:pPr>
      <w:r>
        <w:t xml:space="preserve">b) No: exigía una inversión que no tenían y afectaba la moral.</w:t>
      </w:r>
    </w:p>
    <w:p>
      <w:pPr>
        <w:pStyle w:val="Normal"/>
      </w:pPr>
      <w:r>
        <w:t xml:space="preserve">c) No: ponía en riesgo la calidad.</w:t>
      </w:r>
    </w:p>
    <w:p>
      <w:pPr>
        <w:pStyle w:val="Normal"/>
      </w:pPr>
      <w:r>
        <w:t xml:space="preserve">d) No: también ponía en riesgo la calidad.</w:t>
      </w:r>
    </w:p>
    <w:p>
      <w:pPr>
        <w:pStyle w:val="Fuente"/>
      </w:pPr>
      <w:r>
        <w:t xml:space="preserve">presentación 4b · pág. 28</w:t>
      </w:r>
    </w:p>
    <w:p>
      <w:pPr>
        <w:pStyle w:val="Heading3"/>
      </w:pPr>
      <w:r>
        <w:t xml:space="preserve">4.6-A17</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a) El poder de trascender los paradigmas</w:t>
            </w:r>
          </w:p>
        </w:tc>
      </w:tr>
    </w:tbl>
    <w:p>
      <w:pPr>
        <w:pStyle w:val="Normal"/>
      </w:pPr>
      <w:r>
        <w:t xml:space="preserve">Los puntos de apalancamiento no son intuitivos: los parámetros, donde casi todos intervienen, son el lugar de menor efecto.</w:t>
      </w:r>
    </w:p>
    <w:p>
      <w:pPr>
        <w:pStyle w:val="Normal"/>
      </w:pPr>
      <w:r>
        <w:t xml:space="preserve">a) Correcto: es el número 1; la lista va en orden creciente de efectividad del 12 al 1.</w:t>
      </w:r>
    </w:p>
    <w:p>
      <w:pPr>
        <w:pStyle w:val="Normal"/>
      </w:pPr>
      <w:r>
        <w:t xml:space="preserve">b) No: es el 12, el menos efectivo.</w:t>
      </w:r>
    </w:p>
    <w:p>
      <w:pPr>
        <w:pStyle w:val="Normal"/>
      </w:pPr>
      <w:r>
        <w:t xml:space="preserve">c) No: es el 5.</w:t>
      </w:r>
    </w:p>
    <w:p>
      <w:pPr>
        <w:pStyle w:val="Normal"/>
      </w:pPr>
      <w:r>
        <w:t xml:space="preserve">d) No: es el 9.</w:t>
      </w:r>
    </w:p>
    <w:p>
      <w:pPr>
        <w:pStyle w:val="Fuente"/>
      </w:pPr>
      <w:r>
        <w:t xml:space="preserve">presentación 4b · pág. 29</w:t>
      </w:r>
    </w:p>
    <w:p>
      <w:pPr>
        <w:pStyle w:val="Heading3"/>
      </w:pPr>
      <w:r>
        <w:t xml:space="preserve">4.6-A18</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a) Sólo el sentido de la lista: los números de cada punto son los mismos</w:t>
            </w:r>
          </w:p>
        </w:tc>
      </w:tr>
    </w:tbl>
    <w:p>
      <w:pPr>
        <w:pStyle w:val="Normal"/>
      </w:pPr>
      <w:r>
        <w:t xml:space="preserve">Leer el número del punto, no su posición en la lista, evita confundir el 12 —los parámetros, la palanca más débil— con el 1.</w:t>
      </w:r>
    </w:p>
    <w:p>
      <w:pPr>
        <w:pStyle w:val="Normal"/>
      </w:pPr>
      <w:r>
        <w:t xml:space="preserve">a) Correcto: la cápsula va en orden decreciente de poder; la lámina, en orden creciente de efectividad.</w:t>
      </w:r>
    </w:p>
    <w:p>
      <w:pPr>
        <w:pStyle w:val="Normal"/>
      </w:pPr>
      <w:r>
        <w:t xml:space="preserve">b) No: trascender los paradigmas es el 1 en las dos.</w:t>
      </w:r>
    </w:p>
    <w:p>
      <w:pPr>
        <w:pStyle w:val="Normal"/>
      </w:pPr>
      <w:r>
        <w:t xml:space="preserve">c) No: son los mismos doce lugares para intervenir.</w:t>
      </w:r>
    </w:p>
    <w:p>
      <w:pPr>
        <w:pStyle w:val="Normal"/>
      </w:pPr>
      <w:r>
        <w:t xml:space="preserve">d) No: la cápsula empieza por el más poderoso.</w:t>
      </w:r>
    </w:p>
    <w:p>
      <w:pPr>
        <w:pStyle w:val="Fuente"/>
      </w:pPr>
      <w:r>
        <w:t xml:space="preserve">video · Cápsula 8, Líderes Educativos · 01:12</w:t>
      </w:r>
    </w:p>
    <w:p>
      <w:pPr>
        <w:pStyle w:val="Heading3"/>
      </w:pPr>
      <w:r>
        <w:t xml:space="preserve">4.6-A19</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a) Porque no están próximas, ni en el espacio ni en el tiempo, a los síntomas del problema</w:t>
            </w:r>
          </w:p>
        </w:tc>
      </w:tr>
    </w:tbl>
    <w:p>
      <w:pPr>
        <w:pStyle w:val="Normal"/>
      </w:pPr>
      <w:r>
        <w:t xml:space="preserve">Es la misma idea de la lámina 29: los puntos de apalancamiento no son intuitivos.</w:t>
      </w:r>
    </w:p>
    <w:p>
      <w:pPr>
        <w:pStyle w:val="Normal"/>
      </w:pPr>
      <w:r>
        <w:t xml:space="preserve">a) Correcto: por eso hay que salir de la mirada lineal y construir antes el mapa sistémico.</w:t>
      </w:r>
    </w:p>
    <w:p>
      <w:pPr>
        <w:pStyle w:val="Normal"/>
      </w:pPr>
      <w:r>
        <w:t xml:space="preserve">b) No: la cápsula usa ejemplos escolares, pero los lugares de Meadows sirven para cualquier sistema.</w:t>
      </w:r>
    </w:p>
    <w:p>
      <w:pPr>
        <w:pStyle w:val="Normal"/>
      </w:pPr>
      <w:r>
        <w:t xml:space="preserve">c) No: las reglas son sólo uno de los doce lugares.</w:t>
      </w:r>
    </w:p>
    <w:p>
      <w:pPr>
        <w:pStyle w:val="Normal"/>
      </w:pPr>
      <w:r>
        <w:t xml:space="preserve">d) No: los síntomas son lo más fácil de ver; la palanca suele estar lejos de ellos.</w:t>
      </w:r>
    </w:p>
    <w:p>
      <w:pPr>
        <w:pStyle w:val="Fuente"/>
      </w:pPr>
      <w:r>
        <w:t xml:space="preserve">video · Cápsula 8, Líderes Educativos · 00:35</w:t>
      </w:r>
    </w:p>
    <w:p>
      <w:pPr>
        <w:pStyle w:val="Heading3"/>
      </w:pPr>
      <w:r>
        <w:t xml:space="preserve">4.6-A20</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d) Que comunica el modelo a otros y permite enriquecer su comprensión</w:t>
            </w:r>
          </w:p>
        </w:tc>
      </w:tr>
    </w:tbl>
    <w:p>
      <w:pPr>
        <w:pStyle w:val="Normal"/>
      </w:pPr>
      <w:r>
        <w:t xml:space="preserve">Explicar hace visible una comprensión formal del sistema. Las observaciones de otros pueden ampliar o cuestionar el modelo; explicar no equivale por sí solo a intervenir.</w:t>
      </w:r>
    </w:p>
    <w:p>
      <w:pPr>
        <w:pStyle w:val="Fuente"/>
      </w:pPr>
      <w:r>
        <w:t xml:space="preserve">Clase 24 · capítulo 05 · /clase-24#cap-05 · pregunta original del portal</w:t>
      </w:r>
    </w:p>
    <w:p>
      <w:pPr>
        <w:pStyle w:val="Heading3"/>
      </w:pPr>
      <w:r>
        <w:t xml:space="preserve">4.6-A21</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a) Contrastar estructura, supuestos y resultados con teoría y datos de la realidad</w:t>
            </w:r>
          </w:p>
        </w:tc>
      </w:tr>
    </w:tbl>
    <w:p>
      <w:pPr>
        <w:pStyle w:val="Normal"/>
      </w:pPr>
      <w:r>
        <w:t xml:space="preserve">La ejecución técnica no valida el modelo. Si sus relaciones o datos no representan suficientemente la realidad, la intervención puede producir resultados distintos de los esperados.</w:t>
      </w:r>
    </w:p>
    <w:p>
      <w:pPr>
        <w:pStyle w:val="Fuente"/>
      </w:pPr>
      <w:r>
        <w:t xml:space="preserve">Clase 24 · capítulo 06 · /clase-24#cap-06 · pregunta original del portal</w:t>
      </w:r>
    </w:p>
    <w:p>
      <w:pPr>
        <w:pStyle w:val="Heading3"/>
      </w:pPr>
      <w:r>
        <w:t xml:space="preserve">4.6-A22</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c) El banco 2</w:t>
            </w:r>
          </w:p>
        </w:tc>
      </w:tr>
    </w:tbl>
    <w:p>
      <w:pPr>
        <w:pStyle w:val="Normal"/>
      </w:pPr>
      <w:r>
        <w:t xml:space="preserve">Recalculando los saldos originales se obtiene 3,216.87 frente a 2,563.30. La conclusión oral difiere; se documenta, sin cambiar la matemática.</w:t>
      </w:r>
    </w:p>
    <w:p>
      <w:pPr>
        <w:pStyle w:val="Fuente"/>
      </w:pPr>
      <w:r>
        <w:t xml:space="preserve">Clase 21 · capítulo 09 · /clase-21#cap-09 · pregunta editorial basada en la sesión</w:t>
      </w:r>
    </w:p>
    <w:p>
      <w:pPr>
        <w:pStyle w:val="Heading3"/>
      </w:pPr>
      <w:r>
        <w:t xml:space="preserve">4.6-A23</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b) No: exige comprobar protección, costos y contexto</w:t>
            </w:r>
          </w:p>
        </w:tc>
      </w:tr>
    </w:tbl>
    <w:p>
      <w:pPr>
        <w:pStyle w:val="Normal"/>
      </w:pPr>
      <w:r>
        <w:t xml:space="preserve">El caso ilustra cómo investigar una intervención; su conveniencia depende de las condiciones del sistema.</w:t>
      </w:r>
    </w:p>
    <w:p>
      <w:pPr>
        <w:pStyle w:val="Fuente"/>
      </w:pPr>
      <w:r>
        <w:t xml:space="preserve">Clase 23 · capítulo 05 · /clase-23#cap-05</w:t>
      </w:r>
    </w:p>
    <w:p>
      <w:pPr>
        <w:pStyle w:val="Heading3"/>
      </w:pPr>
      <w:bookmarkStart w:name="b_solucion_ej_D01" w:id="5000"/>
      <w:r>
        <w:t xml:space="preserve">Solución 4.6-E1</w:t>
      </w:r>
      <w:bookmarkEnd w:id="5000"/>
    </w:p>
    <w:p>
      <w:pPr>
        <w:pStyle w:val="RecuadroTitulo"/>
      </w:pPr>
      <w:r>
        <w:t xml:space="preserve">Respuesta modelo</w:t>
      </w:r>
    </w:p>
    <w:p>
      <w:pPr>
        <w:pStyle w:val="Normal"/>
      </w:pPr>
      <w:r>
        <w:t xml:space="preserve">A es una ventaja propuesta; B es una pregunta de escenario. Pedir evidencia de competencias, criterios de contratación y gestión de conflictos. No concluir automáticamente contratación o rechazo por la amistad.</w:t>
      </w:r>
    </w:p>
    <w:p>
      <w:pPr>
        <w:pStyle w:val="Fuente"/>
      </w:pPr>
      <w:r>
        <w:t xml:space="preserve">Compendio académico del portal; ejercicio editorial.</w:t>
      </w:r>
    </w:p>
    <w:p>
      <w:pPr>
        <w:pStyle w:val="Heading3"/>
      </w:pPr>
      <w:bookmarkStart w:name="b_solucion_ej_D02" w:id="5001"/>
      <w:r>
        <w:t xml:space="preserve">Solución 4.6-E2</w:t>
      </w:r>
      <w:bookmarkEnd w:id="5001"/>
    </w:p>
    <w:p>
      <w:pPr>
        <w:pStyle w:val="RecuadroTitulo"/>
      </w:pPr>
      <w:r>
        <w:t xml:space="preserve">Respuesta modelo</w:t>
      </w:r>
    </w:p>
    <w:p>
      <w:pPr>
        <w:pStyle w:val="Normal"/>
      </w:pPr>
      <w:r>
        <w:t xml:space="preserve">Revisar empaque amplía el análisis a postproducción y puede reducir costos manteniendo la fabricación y calidad. Verificar protección, costos totales, tiempos, daños y recursos requeridos. No presentar el empaque como mejor solución universal.</w:t>
      </w:r>
    </w:p>
    <w:p>
      <w:pPr>
        <w:pStyle w:val="Fuente"/>
      </w:pPr>
      <w:r>
        <w:t xml:space="preserve">Compendio académico del portal; ejercicio editorial.</w:t>
      </w:r>
    </w:p>
    <w:p>
      <w:pPr>
        <w:pStyle w:val="Heading3"/>
      </w:pPr>
      <w:bookmarkStart w:name="b_solucion_ej_D03" w:id="5002"/>
      <w:r>
        <w:t xml:space="preserve">Solución 4.6-E3</w:t>
      </w:r>
      <w:bookmarkEnd w:id="5002"/>
    </w:p>
    <w:p>
      <w:pPr>
        <w:pStyle w:val="RecuadroTitulo"/>
      </w:pPr>
      <w:r>
        <w:t xml:space="preserve">Respuesta modelo</w:t>
      </w:r>
    </w:p>
    <w:p>
      <w:pPr>
        <w:pStyle w:val="Normal"/>
      </w:pPr>
      <w:r>
        <w:t xml:space="preserve">A6 información; B5 reglas/incentivos; C3 objetivos; D4 autoorganización. B puede promover cierres mal resueltos; comprobar resolución y reaperturas. Se acepta otra perspectiva si identifica expresamente un mecanismo adicional sin negar el principal descrito.</w:t>
      </w:r>
    </w:p>
    <w:p>
      <w:pPr>
        <w:pStyle w:val="Fuente"/>
      </w:pPr>
      <w:r>
        <w:t xml:space="preserve">Compendio académico del portal; ejercicio editorial.</w:t>
      </w:r>
    </w:p>
    <w:p>
      <w:pPr>
        <w:pStyle w:val="Heading3"/>
      </w:pPr>
      <w:bookmarkStart w:name="b_solucion_ej_D04" w:id="5003"/>
      <w:r>
        <w:t xml:space="preserve">Solución 4.6-E4</w:t>
      </w:r>
      <w:bookmarkEnd w:id="5003"/>
    </w:p>
    <w:p>
      <w:pPr>
        <w:pStyle w:val="RecuadroTitulo"/>
      </w:pPr>
      <w:r>
        <w:t xml:space="preserve">Respuesta modelo</w:t>
      </w:r>
    </w:p>
    <w:p>
      <w:pPr>
        <w:pStyle w:val="Normal"/>
      </w:pPr>
      <w:r>
        <w:t xml:space="preserve">Presupuesto 12; reserva 11; red de distribución 10; demora 9. Explicar número dentro de estructura, stock amortiguador, estructura material y tiempo de respuesta, respectivamente.</w:t>
      </w:r>
    </w:p>
    <w:p>
      <w:pPr>
        <w:pStyle w:val="Fuente"/>
      </w:pPr>
      <w:r>
        <w:t xml:space="preserve">Compendio académico del portal; ejercicio editorial.</w:t>
      </w:r>
    </w:p>
    <w:p>
      <w:pPr>
        <w:pStyle w:val="Heading3"/>
      </w:pPr>
      <w:bookmarkStart w:name="b_solucion_ej_D05" w:id="5004"/>
      <w:r>
        <w:t xml:space="preserve">Solución 4.6-E5</w:t>
      </w:r>
      <w:bookmarkEnd w:id="5004"/>
    </w:p>
    <w:p>
      <w:pPr>
        <w:pStyle w:val="RecuadroTitulo"/>
      </w:pPr>
      <w:r>
        <w:t xml:space="preserve">Respuesta modelo</w:t>
      </w:r>
    </w:p>
    <w:p>
      <w:pPr>
        <w:pStyle w:val="Normal"/>
      </w:pPr>
      <w:r>
        <w:t xml:space="preserve">Reemplazar la creencia organizadora ejemplifica 2. Estar dispuesto a revisar cualquier paradigma y reconocer sus límites ejemplifica 1. No significa carecer de criterio ni cambiar creencias sin evidencia.</w:t>
      </w:r>
    </w:p>
    <w:p>
      <w:pPr>
        <w:pStyle w:val="Fuente"/>
      </w:pPr>
      <w:r>
        <w:t xml:space="preserve">Compendio académico del portal; ejercicio editorial.</w:t>
      </w:r>
    </w:p>
    <w:p>
      <w:pPr>
        <w:pStyle w:val="Heading3"/>
      </w:pPr>
      <w:bookmarkStart w:name="b_solucion_ej_D06" w:id="5005"/>
      <w:r>
        <w:t xml:space="preserve">Solución 4.6-E6</w:t>
      </w:r>
      <w:bookmarkEnd w:id="5005"/>
    </w:p>
    <w:p>
      <w:pPr>
        <w:pStyle w:val="RecuadroTitulo"/>
      </w:pPr>
      <w:r>
        <w:t xml:space="preserve">Respuesta modelo</w:t>
      </w:r>
    </w:p>
    <w:p>
      <w:pPr>
        <w:pStyle w:val="Normal"/>
      </w:pPr>
      <w:r>
        <w:t xml:space="preserve">Mejora el tiempo y empeora la calidad; no se cumple el objetivo completo. Investigar causas de errores, ajustar y volver a comparar indicadores con condiciones y plazos apropiados.</w:t>
      </w:r>
    </w:p>
    <w:p>
      <w:pPr>
        <w:pStyle w:val="Fuente"/>
      </w:pPr>
      <w:r>
        <w:t xml:space="preserve">Compendio académico del portal; ejercicio editorial.</w:t>
      </w:r>
    </w:p>
    <w:p>
      <w:pPr>
        <w:pStyle w:val="Heading3"/>
      </w:pPr>
      <w:bookmarkStart w:name="b_solucion_ej_D07" w:id="5006"/>
      <w:r>
        <w:t xml:space="preserve">Solución 4.6-E7</w:t>
      </w:r>
      <w:bookmarkEnd w:id="5006"/>
    </w:p>
    <w:p>
      <w:pPr>
        <w:pStyle w:val="RecuadroTitulo"/>
      </w:pPr>
      <w:r>
        <w:t xml:space="preserve">Respuesta modelo</w:t>
      </w:r>
    </w:p>
    <w:p>
      <w:pPr>
        <w:pStyle w:val="Normal"/>
      </w:pPr>
      <w:r>
        <w:t xml:space="preserve">La información detallada revela una diferencia oculta por el promedio. Modifica comprensión y potencialmente la intervención. No inferir mejora de todos a partir de la media.</w:t>
      </w:r>
    </w:p>
    <w:p>
      <w:pPr>
        <w:pStyle w:val="Fuente"/>
      </w:pPr>
      <w:r>
        <w:t xml:space="preserve">Compendio académico del portal; ejercicio editorial.</w:t>
      </w:r>
    </w:p>
    <w:p>
      <w:pPr>
        <w:pStyle w:val="Heading3"/>
      </w:pPr>
      <w:bookmarkStart w:name="b_solucion_ej_D09" w:id="5007"/>
      <w:r>
        <w:t xml:space="preserve">Solución 4.6-E8</w:t>
      </w:r>
      <w:bookmarkEnd w:id="5007"/>
    </w:p>
    <w:p>
      <w:pPr>
        <w:pStyle w:val="RecuadroTitulo"/>
      </w:pPr>
      <w:r>
        <w:t xml:space="preserve">Respuesta modelo</w:t>
      </w:r>
    </w:p>
    <w:p>
      <w:pPr>
        <w:pStyle w:val="Normal"/>
      </w:pPr>
      <w:r>
        <w:t xml:space="preserve">El punto 8 corresponde a la fuerza de ciclos de balance respecto de perturbaciones: se actúa sobre la corrección reguladora. El punto 7 corresponde a la ganancia de ciclos de refuerzo: se modifica cuánto se amplifica la variación. Aunque se ajuste un parámetro, la justificación debe identificar el ciclo y su papel. Los efectos dependen también de demoras y límites: una corrección muy agresiva puede oscilar.</w:t>
      </w:r>
    </w:p>
    <w:p>
      <w:pPr>
        <w:pStyle w:val="Fuente"/>
      </w:pPr>
      <w:r>
        <w:t xml:space="preserve">Presentación 4b, lista de doce puntos; clase 23.</w:t>
      </w:r>
    </w:p>
    <w:p>
      <w:pPr>
        <w:pStyle w:val="Heading3"/>
      </w:pPr>
      <w:bookmarkStart w:name="b_solucion_ej_D08" w:id="5008"/>
      <w:r>
        <w:t xml:space="preserve">Solución 4.6-E9</w:t>
      </w:r>
      <w:bookmarkEnd w:id="5008"/>
    </w:p>
    <w:p>
      <w:pPr>
        <w:pStyle w:val="RecuadroTitulo"/>
      </w:pPr>
      <w:r>
        <w:t xml:space="preserve">Respuesta modelo</w:t>
      </w:r>
    </w:p>
    <w:p>
      <w:pPr>
        <w:pStyle w:val="Normal"/>
      </w:pPr>
      <w:r>
        <w:t xml:space="preserve">Casos por hora mide eficiencia local; resolver necesidades correctamente mide efectividad respecto del objetivo. El incentivo de cierre puede producir cierres prematuros, reaperturas, más carga y espera. Obstáculos: información fragmentada, presión por resultados inmediatos y creencias sobre éxito. Cambiar la medida exige observar resolución, calidad, volumen y demoras, y contrastar consecuencias.</w:t>
      </w:r>
    </w:p>
    <w:p>
      <w:pPr>
        <w:pStyle w:val="Fuente"/>
      </w:pPr>
      <w:r>
        <w:t xml:space="preserve">Presentación 4b, pp. 21–30; clase 23, capítulos 2–7.</w:t>
      </w:r>
    </w:p>
    <w:p>
      <w:pPr>
        <w:pStyle w:val="Heading3"/>
      </w:pPr>
      <w:bookmarkStart w:name="b_solucion_g3d_decision_biblioteca" w:id="5009"/>
      <w:r>
        <w:t xml:space="preserve">Solución 4.6-E10</w:t>
      </w:r>
      <w:bookmarkEnd w:id="5009"/>
    </w:p>
    <w:p>
      <w:pPr>
        <w:pStyle w:val="RecuadroTitulo"/>
      </w:pPr>
      <w:r>
        <w:t xml:space="preserve">Respuesta modelo</w:t>
      </w:r>
    </w:p>
    <w:p>
      <w:pPr>
        <w:pStyle w:val="Normal"/>
      </w:pPr>
      <w:r>
        <w:t xml:space="preserve">Comprar ejemplares aumenta la capacidad disponible; actuar sobre devoluciones modifica el tiempo que los libros permanecen fuera. Un recordatorio informativo y una regla de renovación son alternativas con mecanismos distintos.</w:t>
      </w:r>
    </w:p>
    <w:p>
      <w:pPr>
        <w:pStyle w:val="Normal"/>
      </w:pPr>
      <w:r>
        <w:t xml:space="preserve">Una opción es avisar antes del vencimiento: mejora la información sin reducir de inmediato el acceso. Otra es limitar renovaciones cuando hay reservas: modifica una regla, pero puede perjudicar a quien necesita más tiempo. Deben compararse efectos sobre espera, devoluciones y acceso.</w:t>
      </w:r>
    </w:p>
    <w:p>
      <w:pPr>
        <w:pStyle w:val="Normal"/>
      </w:pPr>
      <w:r>
        <w:t xml:space="preserve">Elegiría probar los recordatorios y observar, durante dos ciclos de préstamo, la proporción de devoluciones a tiempo y el tiempo mediano de espera, comparados con una referencia. Si no mejoran, revisaría supuestos y ajustaría la regla. Otras propuestas justificadas también pueden satisfacer la rúbrica.</w:t>
      </w:r>
    </w:p>
    <w:p>
      <w:pPr>
        <w:pStyle w:val="Heading3"/>
      </w:pPr>
      <w:r>
        <w:t xml:space="preserve">Criterios para una respuesta completa</w:t>
      </w:r>
    </w:p>
    <w:p>
      <w:pPr>
        <w:pStyle w:val="Normal"/>
        <w:numPr>
          <w:ilvl w:val="0"/>
          <w:numId w:val="2"/>
        </w:numPr>
      </w:pPr>
      <w:r>
        <w:t xml:space="preserve">Describe cómo la estructura genera el patrón de espera.</w:t>
      </w:r>
    </w:p>
    <w:p>
      <w:pPr>
        <w:pStyle w:val="Normal"/>
        <w:numPr>
          <w:ilvl w:val="0"/>
          <w:numId w:val="2"/>
        </w:numPr>
      </w:pPr>
      <w:r>
        <w:t xml:space="preserve">Propone dos alternativas con mecanismos distintos.</w:t>
      </w:r>
    </w:p>
    <w:p>
      <w:pPr>
        <w:pStyle w:val="Normal"/>
        <w:numPr>
          <w:ilvl w:val="0"/>
          <w:numId w:val="2"/>
        </w:numPr>
      </w:pPr>
      <w:r>
        <w:t xml:space="preserve">Compara consecuencias inmediatas, demoradas y no deseadas.</w:t>
      </w:r>
    </w:p>
    <w:p>
      <w:pPr>
        <w:pStyle w:val="Normal"/>
        <w:numPr>
          <w:ilvl w:val="0"/>
          <w:numId w:val="2"/>
        </w:numPr>
      </w:pPr>
      <w:r>
        <w:t xml:space="preserve">Justifica la intervención elegida y define indicadores observables.</w:t>
      </w:r>
    </w:p>
    <w:p>
      <w:pPr>
        <w:pStyle w:val="Normal"/>
        <w:numPr>
          <w:ilvl w:val="0"/>
          <w:numId w:val="2"/>
        </w:numPr>
      </w:pPr>
      <w:r>
        <w:t xml:space="preserve">Incluye una referencia, un plazo coherente con las demoras y un ajuste posterior.</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9C620A" w:sz="20"/>
              <w:bottom w:val="nil"/>
              <w:right w:val="nil"/>
            </w:tcBorders>
            <w:shd w:fill="FBF3DF" w:val="clear"/>
            <w:tcMar>
              <w:top w:type="dxa" w:w="130"/>
              <w:left w:type="dxa" w:w="180"/>
              <w:bottom w:type="dxa" w:w="130"/>
              <w:right w:type="dxa" w:w="180"/>
            </w:tcMar>
          </w:tcPr>
          <w:p>
            <w:pPr>
              <w:pStyle w:val="RecuadroTitulo"/>
            </w:pPr>
            <w:r>
              <w:rPr>
                <w:b/>
                <w:bCs/>
                <w:color w:val="9C620A"/>
              </w:rPr>
              <w:t xml:space="preserve">Advertencia y límites</w:t>
            </w:r>
          </w:p>
          <w:p>
            <w:pPr>
              <w:pStyle w:val="Recuadro"/>
            </w:pPr>
            <w:r>
              <w:t xml:space="preserve">Elegir comprar más sin analizar el flujo de devoluciones ni cómo se evaluará el resultado.</w:t>
            </w:r>
          </w:p>
        </w:tc>
      </w:tr>
    </w:tbl>
    <w:p>
      <w:pPr>
        <w:pStyle w:val="Fuente"/>
        <w:sectPr>
          <w:headerReference w:type="default" r:id="rId252"/>
          <w:headerReference w:type="first" r:id="rId253"/>
          <w:headerReference w:type="even" r:id="rId254"/>
          <w:footerReference w:type="default" r:id="rId255"/>
          <w:footerReference w:type="first" r:id="rId256"/>
          <w:footerReference w:type="even" r:id="rId257"/>
          <w:type w:val="nextPage"/>
          <w:pgSz w:w="12240" w:h="15840" w:orient="portrait"/>
          <w:pgMar w:top="1361" w:right="1134" w:bottom="1361" w:left="1474" w:header="650" w:footer="680" w:gutter="0"/>
          <w:pgNumType/>
          <w:titlePg/>
          <w:docGrid w:linePitch="360"/>
        </w:sectPr>
      </w:pPr>
      <w:r>
        <w:t xml:space="preserve">Ejercicio editorial de aplicación de la guía, pp. 23–24; presentación 4b.</w:t>
      </w:r>
    </w:p>
    <w:p>
      <w:pPr>
        <w:pStyle w:val="Heading2"/>
      </w:pPr>
      <w:bookmarkStart w:name="b_4_7" w:id="5010"/>
      <w:r>
        <w:t xml:space="preserve">4.7 · Hábitos (simulación)</w:t>
      </w:r>
      <w:bookmarkEnd w:id="5010"/>
    </w:p>
    <w:p>
      <w:pPr>
        <w:pStyle w:val="Subtitulo"/>
      </w:pPr>
      <w:r>
        <w:t xml:space="preserve">Hábitos relacionados con la modelación y simulación dinámica de sistemas y el análisis de información con enfoque sistémico, toma de decisiones y resolución de problemas</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En una línea</w:t>
            </w:r>
          </w:p>
          <w:p>
            <w:pPr>
              <w:pStyle w:val="Recuadro"/>
            </w:pPr>
            <w:r>
              <w:t xml:space="preserve">Relacionar los hábitos con las etapas de resolución de problemas, la simulación y la resiliencia.</w:t>
            </w:r>
          </w:p>
        </w:tc>
      </w:tr>
    </w:tbl>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Qué te preguntan</w:t>
            </w:r>
          </w:p>
          <w:p>
            <w:pPr>
              <w:pStyle w:val="Recuadro"/>
            </w:pPr>
            <w:r>
              <w:t xml:space="preserve">Relacionar los hábitos con las etapas de resolución de problemas, la simulación y la resiliencia.</w:t>
            </w:r>
          </w:p>
        </w:tc>
      </w:tr>
    </w:tbl>
    <w:p>
      <w:pPr>
        <w:pStyle w:val="Normal"/>
      </w:pPr>
      <w:r>
        <w:t xml:space="preserve">Los hábitos convierten el análisis sistémico en acciones observables: comprender, modelar acumulaciones, anticipar consecuencias, buscar palancas y revisar resultados. En las preguntas del curso utiliza la numeración del póster.</w:t>
      </w:r>
    </w:p>
    <w:p>
      <w:pPr>
        <w:pStyle w:val="Heading3"/>
      </w:pPr>
      <w:r>
        <w:t xml:space="preserve">Vocabulario clave</w:t>
      </w:r>
    </w:p>
    <w:p>
      <w:pPr>
        <w:pStyle w:val="Normal"/>
      </w:pPr>
      <w:r>
        <w:t xml:space="preserve">hábitos 8, 10, 11, 12 y 14 · cuatro etapas · resiliencia · feedback · póster</w:t>
      </w:r>
    </w:p>
    <w:p>
      <w:pPr>
        <w:pStyle w:val="Fuente"/>
      </w:pPr>
      <w:r>
        <w:t xml:space="preserve">Recorrido: desarrollo conceptual → presentaciones → explicación en clase → errores y fuentes → práctica → solucionario.</w:t>
      </w:r>
    </w:p>
    <w:p>
      <w:pPr>
        <w:pStyle w:val="Heading3"/>
      </w:pPr>
      <w:bookmarkStart w:name="b_lectura_h1" w:id="5011"/>
      <w:r>
        <w:t xml:space="preserve">4.7.1. Los catorce hábitos del póster</w:t>
      </w:r>
      <w:bookmarkEnd w:id="5011"/>
    </w:p>
    <w:tbl>
      <w:tblPr>
        <w:tblW w:type="dxa" w:w="9632"/>
        <w:tblBorders>
          <w:top w:val="single" w:color="C5D5DB" w:sz="4"/>
          <w:left w:val="single" w:color="C5D5DB" w:sz="4"/>
          <w:bottom w:val="single" w:color="C5D5DB" w:sz="4"/>
          <w:right w:val="single" w:color="C5D5DB" w:sz="4"/>
          <w:insideH w:val="single" w:color="E4E9EB" w:sz="3"/>
          <w:insideV w:val="single" w:color="E4E9EB" w:sz="3"/>
        </w:tblBorders>
        <w:tblLayout w:type="fixed"/>
      </w:tblPr>
      <w:tblGrid>
        <w:gridCol w:w="3212"/>
        <w:gridCol w:w="3210"/>
        <w:gridCol w:w="3210"/>
      </w:tblGrid>
      <w:tr>
        <w:trPr>
          <w:cantSplit/>
          <w:tblHeader/>
        </w:trPr>
        <w:tc>
          <w:tcPr>
            <w:tcW w:type="dxa" w:w="3212"/>
            <w:shd w:fill="DFEAF0" w:val="clear"/>
            <w:tcMar>
              <w:top w:type="dxa" w:w="80"/>
              <w:left w:type="dxa" w:w="100"/>
              <w:bottom w:type="dxa" w:w="80"/>
              <w:right w:type="dxa" w:w="100"/>
            </w:tcMar>
          </w:tcPr>
          <w:p>
            <w:pPr>
              <w:pStyle w:val="Tabla"/>
            </w:pPr>
            <w:r>
              <w:rPr>
                <w:b/>
                <w:bCs/>
              </w:rPr>
              <w:t xml:space="preserve">N.º</w:t>
            </w:r>
          </w:p>
        </w:tc>
        <w:tc>
          <w:tcPr>
            <w:tcW w:type="dxa" w:w="3210"/>
            <w:shd w:fill="DFEAF0" w:val="clear"/>
            <w:tcMar>
              <w:top w:type="dxa" w:w="80"/>
              <w:left w:type="dxa" w:w="100"/>
              <w:bottom w:type="dxa" w:w="80"/>
              <w:right w:type="dxa" w:w="100"/>
            </w:tcMar>
          </w:tcPr>
          <w:p>
            <w:pPr>
              <w:pStyle w:val="Tabla"/>
            </w:pPr>
            <w:r>
              <w:rPr>
                <w:b/>
                <w:bCs/>
              </w:rPr>
              <w:t xml:space="preserve">Hábito</w:t>
            </w:r>
          </w:p>
        </w:tc>
        <w:tc>
          <w:tcPr>
            <w:tcW w:type="dxa" w:w="3210"/>
            <w:shd w:fill="DFEAF0" w:val="clear"/>
            <w:tcMar>
              <w:top w:type="dxa" w:w="80"/>
              <w:left w:type="dxa" w:w="100"/>
              <w:bottom w:type="dxa" w:w="80"/>
              <w:right w:type="dxa" w:w="100"/>
            </w:tcMar>
          </w:tcPr>
          <w:p>
            <w:pPr>
              <w:pStyle w:val="Tabla"/>
            </w:pPr>
            <w:r>
              <w:rPr>
                <w:b/>
                <w:bCs/>
              </w:rPr>
              <w:t xml:space="preserve">Acción que permite reconocerlo</w:t>
            </w:r>
          </w:p>
        </w:tc>
      </w:tr>
      <w:tr>
        <w:trPr>
          <w:cantSplit/>
          <w:tblHeader w:val="off"/>
        </w:trPr>
        <w:tc>
          <w:tcPr>
            <w:tcW w:type="dxa" w:w="3212"/>
            <w:tcMar>
              <w:top w:type="dxa" w:w="80"/>
              <w:left w:type="dxa" w:w="100"/>
              <w:bottom w:type="dxa" w:w="80"/>
              <w:right w:type="dxa" w:w="100"/>
            </w:tcMar>
          </w:tcPr>
          <w:p>
            <w:pPr>
              <w:pStyle w:val="Tabla"/>
            </w:pPr>
            <w:r>
              <w:rPr>
                <w:b/>
                <w:bCs/>
              </w:rPr>
              <w:t xml:space="preserve">1</w:t>
            </w:r>
          </w:p>
        </w:tc>
        <w:tc>
          <w:tcPr>
            <w:tcW w:type="dxa" w:w="3210"/>
            <w:tcMar>
              <w:top w:type="dxa" w:w="80"/>
              <w:left w:type="dxa" w:w="100"/>
              <w:bottom w:type="dxa" w:w="80"/>
              <w:right w:type="dxa" w:w="100"/>
            </w:tcMar>
          </w:tcPr>
          <w:p>
            <w:pPr>
              <w:pStyle w:val="Tabla"/>
            </w:pPr>
            <w:r>
              <w:t xml:space="preserve">Intenta entender la película completa.</w:t>
            </w:r>
          </w:p>
        </w:tc>
        <w:tc>
          <w:tcPr>
            <w:tcW w:type="dxa" w:w="3210"/>
            <w:tcMar>
              <w:top w:type="dxa" w:w="80"/>
              <w:left w:type="dxa" w:w="100"/>
              <w:bottom w:type="dxa" w:w="80"/>
              <w:right w:type="dxa" w:w="100"/>
            </w:tcMar>
          </w:tcPr>
          <w:p>
            <w:pPr>
              <w:pStyle w:val="Tabla"/>
            </w:pPr>
            <w:r>
              <w:t xml:space="preserve">Examinar el conjunto y su contexto.</w:t>
            </w:r>
          </w:p>
        </w:tc>
      </w:tr>
      <w:tr>
        <w:trPr>
          <w:cantSplit/>
          <w:tblHeader w:val="off"/>
        </w:trPr>
        <w:tc>
          <w:tcPr>
            <w:tcW w:type="dxa" w:w="3212"/>
            <w:tcMar>
              <w:top w:type="dxa" w:w="80"/>
              <w:left w:type="dxa" w:w="100"/>
              <w:bottom w:type="dxa" w:w="80"/>
              <w:right w:type="dxa" w:w="100"/>
            </w:tcMar>
          </w:tcPr>
          <w:p>
            <w:pPr>
              <w:pStyle w:val="Tabla"/>
            </w:pPr>
            <w:r>
              <w:rPr>
                <w:b/>
                <w:bCs/>
              </w:rPr>
              <w:t xml:space="preserve">2</w:t>
            </w:r>
          </w:p>
        </w:tc>
        <w:tc>
          <w:tcPr>
            <w:tcW w:type="dxa" w:w="3210"/>
            <w:tcMar>
              <w:top w:type="dxa" w:w="80"/>
              <w:left w:type="dxa" w:w="100"/>
              <w:bottom w:type="dxa" w:w="80"/>
              <w:right w:type="dxa" w:w="100"/>
            </w:tcMar>
          </w:tcPr>
          <w:p>
            <w:pPr>
              <w:pStyle w:val="Tabla"/>
            </w:pPr>
            <w:r>
              <w:t xml:space="preserve">Observa cambios en el tiempo, patrones y tendencias.</w:t>
            </w:r>
          </w:p>
        </w:tc>
        <w:tc>
          <w:tcPr>
            <w:tcW w:type="dxa" w:w="3210"/>
            <w:tcMar>
              <w:top w:type="dxa" w:w="80"/>
              <w:left w:type="dxa" w:w="100"/>
              <w:bottom w:type="dxa" w:w="80"/>
              <w:right w:type="dxa" w:w="100"/>
            </w:tcMar>
          </w:tcPr>
          <w:p>
            <w:pPr>
              <w:pStyle w:val="Tabla"/>
            </w:pPr>
            <w:r>
              <w:t xml:space="preserve">Comparar evolución y no solo una fotografía.</w:t>
            </w:r>
          </w:p>
        </w:tc>
      </w:tr>
      <w:tr>
        <w:trPr>
          <w:cantSplit/>
          <w:tblHeader w:val="off"/>
        </w:trPr>
        <w:tc>
          <w:tcPr>
            <w:tcW w:type="dxa" w:w="3212"/>
            <w:tcMar>
              <w:top w:type="dxa" w:w="80"/>
              <w:left w:type="dxa" w:w="100"/>
              <w:bottom w:type="dxa" w:w="80"/>
              <w:right w:type="dxa" w:w="100"/>
            </w:tcMar>
          </w:tcPr>
          <w:p>
            <w:pPr>
              <w:pStyle w:val="Tabla"/>
            </w:pPr>
            <w:r>
              <w:rPr>
                <w:b/>
                <w:bCs/>
              </w:rPr>
              <w:t xml:space="preserve">3</w:t>
            </w:r>
          </w:p>
        </w:tc>
        <w:tc>
          <w:tcPr>
            <w:tcW w:type="dxa" w:w="3210"/>
            <w:tcMar>
              <w:top w:type="dxa" w:w="80"/>
              <w:left w:type="dxa" w:w="100"/>
              <w:bottom w:type="dxa" w:w="80"/>
              <w:right w:type="dxa" w:w="100"/>
            </w:tcMar>
          </w:tcPr>
          <w:p>
            <w:pPr>
              <w:pStyle w:val="Tabla"/>
            </w:pPr>
            <w:r>
              <w:t xml:space="preserve">Reconoce que la estructura genera comportamiento.</w:t>
            </w:r>
          </w:p>
        </w:tc>
        <w:tc>
          <w:tcPr>
            <w:tcW w:type="dxa" w:w="3210"/>
            <w:tcMar>
              <w:top w:type="dxa" w:w="80"/>
              <w:left w:type="dxa" w:w="100"/>
              <w:bottom w:type="dxa" w:w="80"/>
              <w:right w:type="dxa" w:w="100"/>
            </w:tcMar>
          </w:tcPr>
          <w:p>
            <w:pPr>
              <w:pStyle w:val="Tabla"/>
            </w:pPr>
            <w:r>
              <w:t xml:space="preserve">Buscar relaciones que producen el patrón.</w:t>
            </w:r>
          </w:p>
        </w:tc>
      </w:tr>
      <w:tr>
        <w:trPr>
          <w:cantSplit/>
          <w:tblHeader w:val="off"/>
        </w:trPr>
        <w:tc>
          <w:tcPr>
            <w:tcW w:type="dxa" w:w="3212"/>
            <w:tcMar>
              <w:top w:type="dxa" w:w="80"/>
              <w:left w:type="dxa" w:w="100"/>
              <w:bottom w:type="dxa" w:w="80"/>
              <w:right w:type="dxa" w:w="100"/>
            </w:tcMar>
          </w:tcPr>
          <w:p>
            <w:pPr>
              <w:pStyle w:val="Tabla"/>
            </w:pPr>
            <w:r>
              <w:rPr>
                <w:b/>
                <w:bCs/>
              </w:rPr>
              <w:t xml:space="preserve">4</w:t>
            </w:r>
          </w:p>
        </w:tc>
        <w:tc>
          <w:tcPr>
            <w:tcW w:type="dxa" w:w="3210"/>
            <w:tcMar>
              <w:top w:type="dxa" w:w="80"/>
              <w:left w:type="dxa" w:w="100"/>
              <w:bottom w:type="dxa" w:w="80"/>
              <w:right w:type="dxa" w:w="100"/>
            </w:tcMar>
          </w:tcPr>
          <w:p>
            <w:pPr>
              <w:pStyle w:val="Tabla"/>
            </w:pPr>
            <w:r>
              <w:t xml:space="preserve">Identifica la naturaleza circular de causa y efecto.</w:t>
            </w:r>
          </w:p>
        </w:tc>
        <w:tc>
          <w:tcPr>
            <w:tcW w:type="dxa" w:w="3210"/>
            <w:tcMar>
              <w:top w:type="dxa" w:w="80"/>
              <w:left w:type="dxa" w:w="100"/>
              <w:bottom w:type="dxa" w:w="80"/>
              <w:right w:type="dxa" w:w="100"/>
            </w:tcMar>
          </w:tcPr>
          <w:p>
            <w:pPr>
              <w:pStyle w:val="Tabla"/>
            </w:pPr>
            <w:r>
              <w:t xml:space="preserve">Recorrer cómo una consecuencia vuelve a influir en una variable anterior.</w:t>
            </w:r>
          </w:p>
        </w:tc>
      </w:tr>
      <w:tr>
        <w:trPr>
          <w:cantSplit/>
          <w:tblHeader w:val="off"/>
        </w:trPr>
        <w:tc>
          <w:tcPr>
            <w:tcW w:type="dxa" w:w="3212"/>
            <w:tcMar>
              <w:top w:type="dxa" w:w="80"/>
              <w:left w:type="dxa" w:w="100"/>
              <w:bottom w:type="dxa" w:w="80"/>
              <w:right w:type="dxa" w:w="100"/>
            </w:tcMar>
          </w:tcPr>
          <w:p>
            <w:pPr>
              <w:pStyle w:val="Tabla"/>
            </w:pPr>
            <w:r>
              <w:rPr>
                <w:b/>
                <w:bCs/>
              </w:rPr>
              <w:t xml:space="preserve">5</w:t>
            </w:r>
          </w:p>
        </w:tc>
        <w:tc>
          <w:tcPr>
            <w:tcW w:type="dxa" w:w="3210"/>
            <w:tcMar>
              <w:top w:type="dxa" w:w="80"/>
              <w:left w:type="dxa" w:w="100"/>
              <w:bottom w:type="dxa" w:w="80"/>
              <w:right w:type="dxa" w:w="100"/>
            </w:tcMar>
          </w:tcPr>
          <w:p>
            <w:pPr>
              <w:pStyle w:val="Tabla"/>
            </w:pPr>
            <w:r>
              <w:t xml:space="preserve">Hace conexiones significativas dentro y entre sistemas.</w:t>
            </w:r>
          </w:p>
        </w:tc>
        <w:tc>
          <w:tcPr>
            <w:tcW w:type="dxa" w:w="3210"/>
            <w:tcMar>
              <w:top w:type="dxa" w:w="80"/>
              <w:left w:type="dxa" w:w="100"/>
              <w:bottom w:type="dxa" w:w="80"/>
              <w:right w:type="dxa" w:w="100"/>
            </w:tcMar>
          </w:tcPr>
          <w:p>
            <w:pPr>
              <w:pStyle w:val="Tabla"/>
            </w:pPr>
            <w:r>
              <w:t xml:space="preserve">Relacionar áreas, procesos y sistemas vinculados.</w:t>
            </w:r>
          </w:p>
        </w:tc>
      </w:tr>
      <w:tr>
        <w:trPr>
          <w:cantSplit/>
          <w:tblHeader w:val="off"/>
        </w:trPr>
        <w:tc>
          <w:tcPr>
            <w:tcW w:type="dxa" w:w="3212"/>
            <w:tcMar>
              <w:top w:type="dxa" w:w="80"/>
              <w:left w:type="dxa" w:w="100"/>
              <w:bottom w:type="dxa" w:w="80"/>
              <w:right w:type="dxa" w:w="100"/>
            </w:tcMar>
          </w:tcPr>
          <w:p>
            <w:pPr>
              <w:pStyle w:val="Tabla"/>
            </w:pPr>
            <w:r>
              <w:rPr>
                <w:b/>
                <w:bCs/>
              </w:rPr>
              <w:t xml:space="preserve">6</w:t>
            </w:r>
          </w:p>
        </w:tc>
        <w:tc>
          <w:tcPr>
            <w:tcW w:type="dxa" w:w="3210"/>
            <w:tcMar>
              <w:top w:type="dxa" w:w="80"/>
              <w:left w:type="dxa" w:w="100"/>
              <w:bottom w:type="dxa" w:w="80"/>
              <w:right w:type="dxa" w:w="100"/>
            </w:tcMar>
          </w:tcPr>
          <w:p>
            <w:pPr>
              <w:pStyle w:val="Tabla"/>
            </w:pPr>
            <w:r>
              <w:t xml:space="preserve">Cambia perspectivas para aumentar la comprensión.</w:t>
            </w:r>
          </w:p>
        </w:tc>
        <w:tc>
          <w:tcPr>
            <w:tcW w:type="dxa" w:w="3210"/>
            <w:tcMar>
              <w:top w:type="dxa" w:w="80"/>
              <w:left w:type="dxa" w:w="100"/>
              <w:bottom w:type="dxa" w:w="80"/>
              <w:right w:type="dxa" w:w="100"/>
            </w:tcMar>
          </w:tcPr>
          <w:p>
            <w:pPr>
              <w:pStyle w:val="Tabla"/>
            </w:pPr>
            <w:r>
              <w:t xml:space="preserve">Escuchar a usuarios, trabajadores y otros involucrados.</w:t>
            </w:r>
          </w:p>
        </w:tc>
      </w:tr>
      <w:tr>
        <w:trPr>
          <w:cantSplit/>
          <w:tblHeader w:val="off"/>
        </w:trPr>
        <w:tc>
          <w:tcPr>
            <w:tcW w:type="dxa" w:w="3212"/>
            <w:tcMar>
              <w:top w:type="dxa" w:w="80"/>
              <w:left w:type="dxa" w:w="100"/>
              <w:bottom w:type="dxa" w:w="80"/>
              <w:right w:type="dxa" w:w="100"/>
            </w:tcMar>
          </w:tcPr>
          <w:p>
            <w:pPr>
              <w:pStyle w:val="Tabla"/>
            </w:pPr>
            <w:r>
              <w:rPr>
                <w:b/>
                <w:bCs/>
              </w:rPr>
              <w:t xml:space="preserve">7</w:t>
            </w:r>
          </w:p>
        </w:tc>
        <w:tc>
          <w:tcPr>
            <w:tcW w:type="dxa" w:w="3210"/>
            <w:tcMar>
              <w:top w:type="dxa" w:w="80"/>
              <w:left w:type="dxa" w:w="100"/>
              <w:bottom w:type="dxa" w:w="80"/>
              <w:right w:type="dxa" w:w="100"/>
            </w:tcMar>
          </w:tcPr>
          <w:p>
            <w:pPr>
              <w:pStyle w:val="Tabla"/>
            </w:pPr>
            <w:r>
              <w:t xml:space="preserve">Reconoce y prueba suposiciones.</w:t>
            </w:r>
          </w:p>
        </w:tc>
        <w:tc>
          <w:tcPr>
            <w:tcW w:type="dxa" w:w="3210"/>
            <w:tcMar>
              <w:top w:type="dxa" w:w="80"/>
              <w:left w:type="dxa" w:w="100"/>
              <w:bottom w:type="dxa" w:w="80"/>
              <w:right w:type="dxa" w:w="100"/>
            </w:tcMar>
          </w:tcPr>
          <w:p>
            <w:pPr>
              <w:pStyle w:val="Tabla"/>
            </w:pPr>
            <w:r>
              <w:t xml:space="preserve">Separar lo que se cree de lo que se ha comprobado.</w:t>
            </w:r>
          </w:p>
        </w:tc>
      </w:tr>
      <w:tr>
        <w:trPr>
          <w:cantSplit/>
          <w:tblHeader w:val="off"/>
        </w:trPr>
        <w:tc>
          <w:tcPr>
            <w:tcW w:type="dxa" w:w="3212"/>
            <w:tcMar>
              <w:top w:type="dxa" w:w="80"/>
              <w:left w:type="dxa" w:w="100"/>
              <w:bottom w:type="dxa" w:w="80"/>
              <w:right w:type="dxa" w:w="100"/>
            </w:tcMar>
          </w:tcPr>
          <w:p>
            <w:pPr>
              <w:pStyle w:val="Tabla"/>
            </w:pPr>
            <w:r>
              <w:rPr>
                <w:b/>
                <w:bCs/>
              </w:rPr>
              <w:t xml:space="preserve">8</w:t>
            </w:r>
          </w:p>
        </w:tc>
        <w:tc>
          <w:tcPr>
            <w:tcW w:type="dxa" w:w="3210"/>
            <w:tcMar>
              <w:top w:type="dxa" w:w="80"/>
              <w:left w:type="dxa" w:w="100"/>
              <w:bottom w:type="dxa" w:w="80"/>
              <w:right w:type="dxa" w:w="100"/>
            </w:tcMar>
          </w:tcPr>
          <w:p>
            <w:pPr>
              <w:pStyle w:val="Tabla"/>
            </w:pPr>
            <w:r>
              <w:t xml:space="preserve">Considera un tema completamente y resiste conclusiones rápidas.</w:t>
            </w:r>
          </w:p>
        </w:tc>
        <w:tc>
          <w:tcPr>
            <w:tcW w:type="dxa" w:w="3210"/>
            <w:tcMar>
              <w:top w:type="dxa" w:w="80"/>
              <w:left w:type="dxa" w:w="100"/>
              <w:bottom w:type="dxa" w:w="80"/>
              <w:right w:type="dxa" w:w="100"/>
            </w:tcMar>
          </w:tcPr>
          <w:p>
            <w:pPr>
              <w:pStyle w:val="Tabla"/>
            </w:pPr>
            <w:r>
              <w:t xml:space="preserve">Investigar antes de dar una explicación o solución apresurada.</w:t>
            </w:r>
          </w:p>
        </w:tc>
      </w:tr>
      <w:tr>
        <w:trPr>
          <w:cantSplit/>
          <w:tblHeader w:val="off"/>
        </w:trPr>
        <w:tc>
          <w:tcPr>
            <w:tcW w:type="dxa" w:w="3212"/>
            <w:tcMar>
              <w:top w:type="dxa" w:w="80"/>
              <w:left w:type="dxa" w:w="100"/>
              <w:bottom w:type="dxa" w:w="80"/>
              <w:right w:type="dxa" w:w="100"/>
            </w:tcMar>
          </w:tcPr>
          <w:p>
            <w:pPr>
              <w:pStyle w:val="Tabla"/>
            </w:pPr>
            <w:r>
              <w:rPr>
                <w:b/>
                <w:bCs/>
              </w:rPr>
              <w:t xml:space="preserve">9</w:t>
            </w:r>
          </w:p>
        </w:tc>
        <w:tc>
          <w:tcPr>
            <w:tcW w:type="dxa" w:w="3210"/>
            <w:tcMar>
              <w:top w:type="dxa" w:w="80"/>
              <w:left w:type="dxa" w:w="100"/>
              <w:bottom w:type="dxa" w:w="80"/>
              <w:right w:type="dxa" w:w="100"/>
            </w:tcMar>
          </w:tcPr>
          <w:p>
            <w:pPr>
              <w:pStyle w:val="Tabla"/>
            </w:pPr>
            <w:r>
              <w:t xml:space="preserve">Considera cómo los modelos mentales afectan la realidad actual y el futuro.</w:t>
            </w:r>
          </w:p>
        </w:tc>
        <w:tc>
          <w:tcPr>
            <w:tcW w:type="dxa" w:w="3210"/>
            <w:tcMar>
              <w:top w:type="dxa" w:w="80"/>
              <w:left w:type="dxa" w:w="100"/>
              <w:bottom w:type="dxa" w:w="80"/>
              <w:right w:type="dxa" w:w="100"/>
            </w:tcMar>
          </w:tcPr>
          <w:p>
            <w:pPr>
              <w:pStyle w:val="Tabla"/>
            </w:pPr>
            <w:r>
              <w:t xml:space="preserve">Examinar creencias que guían decisiones y acciones.</w:t>
            </w:r>
          </w:p>
        </w:tc>
      </w:tr>
      <w:tr>
        <w:trPr>
          <w:cantSplit/>
          <w:tblHeader w:val="off"/>
        </w:trPr>
        <w:tc>
          <w:tcPr>
            <w:tcW w:type="dxa" w:w="3212"/>
            <w:tcMar>
              <w:top w:type="dxa" w:w="80"/>
              <w:left w:type="dxa" w:w="100"/>
              <w:bottom w:type="dxa" w:w="80"/>
              <w:right w:type="dxa" w:w="100"/>
            </w:tcMar>
          </w:tcPr>
          <w:p>
            <w:pPr>
              <w:pStyle w:val="Tabla"/>
            </w:pPr>
            <w:r>
              <w:rPr>
                <w:b/>
                <w:bCs/>
              </w:rPr>
              <w:t xml:space="preserve">10</w:t>
            </w:r>
          </w:p>
        </w:tc>
        <w:tc>
          <w:tcPr>
            <w:tcW w:type="dxa" w:w="3210"/>
            <w:tcMar>
              <w:top w:type="dxa" w:w="80"/>
              <w:left w:type="dxa" w:w="100"/>
              <w:bottom w:type="dxa" w:w="80"/>
              <w:right w:type="dxa" w:w="100"/>
            </w:tcMar>
          </w:tcPr>
          <w:p>
            <w:pPr>
              <w:pStyle w:val="Tabla"/>
            </w:pPr>
            <w:r>
              <w:t xml:space="preserve">Usa la comprensión de la estructura para identificar acciones de apalancamiento.</w:t>
            </w:r>
          </w:p>
        </w:tc>
        <w:tc>
          <w:tcPr>
            <w:tcW w:type="dxa" w:w="3210"/>
            <w:tcMar>
              <w:top w:type="dxa" w:w="80"/>
              <w:left w:type="dxa" w:w="100"/>
              <w:bottom w:type="dxa" w:w="80"/>
              <w:right w:type="dxa" w:w="100"/>
            </w:tcMar>
          </w:tcPr>
          <w:p>
            <w:pPr>
              <w:pStyle w:val="Tabla"/>
            </w:pPr>
            <w:r>
              <w:t xml:space="preserve">Justificar dónde actuar y cómo se propagará el efecto.</w:t>
            </w:r>
          </w:p>
        </w:tc>
      </w:tr>
      <w:tr>
        <w:trPr>
          <w:cantSplit/>
          <w:tblHeader w:val="off"/>
        </w:trPr>
        <w:tc>
          <w:tcPr>
            <w:tcW w:type="dxa" w:w="3212"/>
            <w:tcMar>
              <w:top w:type="dxa" w:w="80"/>
              <w:left w:type="dxa" w:w="100"/>
              <w:bottom w:type="dxa" w:w="80"/>
              <w:right w:type="dxa" w:w="100"/>
            </w:tcMar>
          </w:tcPr>
          <w:p>
            <w:pPr>
              <w:pStyle w:val="Tabla"/>
            </w:pPr>
            <w:r>
              <w:rPr>
                <w:b/>
                <w:bCs/>
              </w:rPr>
              <w:t xml:space="preserve">11</w:t>
            </w:r>
          </w:p>
        </w:tc>
        <w:tc>
          <w:tcPr>
            <w:tcW w:type="dxa" w:w="3210"/>
            <w:tcMar>
              <w:top w:type="dxa" w:w="80"/>
              <w:left w:type="dxa" w:w="100"/>
              <w:bottom w:type="dxa" w:w="80"/>
              <w:right w:type="dxa" w:w="100"/>
            </w:tcMar>
          </w:tcPr>
          <w:p>
            <w:pPr>
              <w:pStyle w:val="Tabla"/>
            </w:pPr>
            <w:r>
              <w:t xml:space="preserve">Considera consecuencias a corto plazo, largo plazo e inesperadas.</w:t>
            </w:r>
          </w:p>
        </w:tc>
        <w:tc>
          <w:tcPr>
            <w:tcW w:type="dxa" w:w="3210"/>
            <w:tcMar>
              <w:top w:type="dxa" w:w="80"/>
              <w:left w:type="dxa" w:w="100"/>
              <w:bottom w:type="dxa" w:w="80"/>
              <w:right w:type="dxa" w:w="100"/>
            </w:tcMar>
          </w:tcPr>
          <w:p>
            <w:pPr>
              <w:pStyle w:val="Tabla"/>
            </w:pPr>
            <w:r>
              <w:t xml:space="preserve">Anticipar efectos favorables y desfavorables en varios horizontes.</w:t>
            </w:r>
          </w:p>
        </w:tc>
      </w:tr>
      <w:tr>
        <w:trPr>
          <w:cantSplit/>
          <w:tblHeader w:val="off"/>
        </w:trPr>
        <w:tc>
          <w:tcPr>
            <w:tcW w:type="dxa" w:w="3212"/>
            <w:tcMar>
              <w:top w:type="dxa" w:w="80"/>
              <w:left w:type="dxa" w:w="100"/>
              <w:bottom w:type="dxa" w:w="80"/>
              <w:right w:type="dxa" w:w="100"/>
            </w:tcMar>
          </w:tcPr>
          <w:p>
            <w:pPr>
              <w:pStyle w:val="Tabla"/>
            </w:pPr>
            <w:r>
              <w:rPr>
                <w:b/>
                <w:bCs/>
              </w:rPr>
              <w:t xml:space="preserve">12</w:t>
            </w:r>
          </w:p>
        </w:tc>
        <w:tc>
          <w:tcPr>
            <w:tcW w:type="dxa" w:w="3210"/>
            <w:tcMar>
              <w:top w:type="dxa" w:w="80"/>
              <w:left w:type="dxa" w:w="100"/>
              <w:bottom w:type="dxa" w:w="80"/>
              <w:right w:type="dxa" w:w="100"/>
            </w:tcMar>
          </w:tcPr>
          <w:p>
            <w:pPr>
              <w:pStyle w:val="Tabla"/>
            </w:pPr>
            <w:r>
              <w:t xml:space="preserve">Presta atención a acumulaciones y tasas de cambio.</w:t>
            </w:r>
          </w:p>
        </w:tc>
        <w:tc>
          <w:tcPr>
            <w:tcW w:type="dxa" w:w="3210"/>
            <w:tcMar>
              <w:top w:type="dxa" w:w="80"/>
              <w:left w:type="dxa" w:w="100"/>
              <w:bottom w:type="dxa" w:w="80"/>
              <w:right w:type="dxa" w:w="100"/>
            </w:tcMar>
          </w:tcPr>
          <w:p>
            <w:pPr>
              <w:pStyle w:val="Tabla"/>
            </w:pPr>
            <w:r>
              <w:t xml:space="preserve">Distinguir cantidad almacenada de entradas y salidas por tiempo.</w:t>
            </w:r>
          </w:p>
        </w:tc>
      </w:tr>
      <w:tr>
        <w:trPr>
          <w:cantSplit/>
          <w:tblHeader w:val="off"/>
        </w:trPr>
        <w:tc>
          <w:tcPr>
            <w:tcW w:type="dxa" w:w="3212"/>
            <w:tcMar>
              <w:top w:type="dxa" w:w="80"/>
              <w:left w:type="dxa" w:w="100"/>
              <w:bottom w:type="dxa" w:w="80"/>
              <w:right w:type="dxa" w:w="100"/>
            </w:tcMar>
          </w:tcPr>
          <w:p>
            <w:pPr>
              <w:pStyle w:val="Tabla"/>
            </w:pPr>
            <w:r>
              <w:rPr>
                <w:b/>
                <w:bCs/>
              </w:rPr>
              <w:t xml:space="preserve">13</w:t>
            </w:r>
          </w:p>
        </w:tc>
        <w:tc>
          <w:tcPr>
            <w:tcW w:type="dxa" w:w="3210"/>
            <w:tcMar>
              <w:top w:type="dxa" w:w="80"/>
              <w:left w:type="dxa" w:w="100"/>
              <w:bottom w:type="dxa" w:w="80"/>
              <w:right w:type="dxa" w:w="100"/>
            </w:tcMar>
          </w:tcPr>
          <w:p>
            <w:pPr>
              <w:pStyle w:val="Tabla"/>
            </w:pPr>
            <w:r>
              <w:t xml:space="preserve">Reconoce el impacto de las demoras al explorar causa y efecto.</w:t>
            </w:r>
          </w:p>
        </w:tc>
        <w:tc>
          <w:tcPr>
            <w:tcW w:type="dxa" w:w="3210"/>
            <w:tcMar>
              <w:top w:type="dxa" w:w="80"/>
              <w:left w:type="dxa" w:w="100"/>
              <w:bottom w:type="dxa" w:w="80"/>
              <w:right w:type="dxa" w:w="100"/>
            </w:tcMar>
          </w:tcPr>
          <w:p>
            <w:pPr>
              <w:pStyle w:val="Tabla"/>
            </w:pPr>
            <w:r>
              <w:t xml:space="preserve">Dar tiempo a una intervención y evitar sobrecorregir.</w:t>
            </w:r>
          </w:p>
        </w:tc>
      </w:tr>
      <w:tr>
        <w:trPr>
          <w:cantSplit/>
          <w:tblHeader w:val="off"/>
        </w:trPr>
        <w:tc>
          <w:tcPr>
            <w:tcW w:type="dxa" w:w="3212"/>
            <w:tcMar>
              <w:top w:type="dxa" w:w="80"/>
              <w:left w:type="dxa" w:w="100"/>
              <w:bottom w:type="dxa" w:w="80"/>
              <w:right w:type="dxa" w:w="100"/>
            </w:tcMar>
          </w:tcPr>
          <w:p>
            <w:pPr>
              <w:pStyle w:val="Tabla"/>
            </w:pPr>
            <w:r>
              <w:rPr>
                <w:b/>
                <w:bCs/>
              </w:rPr>
              <w:t xml:space="preserve">14</w:t>
            </w:r>
          </w:p>
        </w:tc>
        <w:tc>
          <w:tcPr>
            <w:tcW w:type="dxa" w:w="3210"/>
            <w:tcMar>
              <w:top w:type="dxa" w:w="80"/>
              <w:left w:type="dxa" w:w="100"/>
              <w:bottom w:type="dxa" w:w="80"/>
              <w:right w:type="dxa" w:w="100"/>
            </w:tcMar>
          </w:tcPr>
          <w:p>
            <w:pPr>
              <w:pStyle w:val="Tabla"/>
            </w:pPr>
            <w:r>
              <w:t xml:space="preserve">Examina resultados y cambia las acciones si es necesario: aproximación sucesiva.</w:t>
            </w:r>
          </w:p>
        </w:tc>
        <w:tc>
          <w:tcPr>
            <w:tcW w:type="dxa" w:w="3210"/>
            <w:tcMar>
              <w:top w:type="dxa" w:w="80"/>
              <w:left w:type="dxa" w:w="100"/>
              <w:bottom w:type="dxa" w:w="80"/>
              <w:right w:type="dxa" w:w="100"/>
            </w:tcMar>
          </w:tcPr>
          <w:p>
            <w:pPr>
              <w:pStyle w:val="Tabla"/>
            </w:pPr>
            <w:r>
              <w:t xml:space="preserve">Comparar resultados con referencias y ajustar con evidencia.</w:t>
            </w:r>
          </w:p>
        </w:tc>
      </w:tr>
    </w:tbl>
    <w:p>
      <w:pPr>
        <w:pStyle w:val="Normal"/>
      </w:pPr>
      <w:r>
        <w:t xml:space="preserve">Los grupos utilizados durante el curso son: básicos relacionados con modelos mentales </w:t>
      </w:r>
      <w:r>
        <w:rPr>
          <w:b/>
          <w:bCs/>
        </w:rPr>
        <w:t xml:space="preserve">9, 7, 6, 1</w:t>
      </w:r>
      <w:r>
        <w:t xml:space="preserve">; profundización en estructuras </w:t>
      </w:r>
      <w:r>
        <w:rPr>
          <w:b/>
          <w:bCs/>
        </w:rPr>
        <w:t xml:space="preserve">2, 3, 5, 4, 13</w:t>
      </w:r>
      <w:r>
        <w:t xml:space="preserve">; énfasis de la Unidad 4 </w:t>
      </w:r>
      <w:r>
        <w:rPr>
          <w:b/>
          <w:bCs/>
        </w:rPr>
        <w:t xml:space="preserve">8, 10, 11, 12, 14</w:t>
      </w:r>
      <w:r>
        <w:t xml:space="preserve">. No confundir esos grupos por unidad con las cuatro etapas de resolución de problemas, que reorganizan los hábitos con otro propósito. La advertencia oral de clase 23, 01:38:36–01:39:40, indica que en exámenes anteriores se mezclaban los grupos.</w:t>
      </w:r>
    </w:p>
    <w:p>
      <w:pPr>
        <w:pStyle w:val="Heading3"/>
      </w:pPr>
      <w:bookmarkStart w:name="b_lectura_h2" w:id="5012"/>
      <w:r>
        <w:t xml:space="preserve">4.7.2. Los cinco hábitos de esta unidad, aplicados</w:t>
      </w:r>
      <w:bookmarkEnd w:id="5012"/>
    </w:p>
    <w:p>
      <w:pPr>
        <w:pStyle w:val="Normal"/>
      </w:pPr>
      <w:r>
        <w:rPr>
          <w:b/>
          <w:bCs/>
        </w:rPr>
        <w:t xml:space="preserve">8. Comprender antes de concluir.</w:t>
      </w:r>
      <w:r>
        <w:t xml:space="preserve"> Investigar cómo funciona el proceso, contrastar perspectivas y dedicar tiempo suficiente. Preguntas guía: ¿qué falta conocer?, ¿qué suposición estoy haciendo?, ¿cómo manejar la tensión mientras se comprende el problema? La paciencia se acompaña de investigación y acciones pertinentes; no es parálisis.</w:t>
      </w:r>
    </w:p>
    <w:p>
      <w:pPr>
        <w:pStyle w:val="Normal"/>
      </w:pPr>
      <w:r>
        <w:rPr>
          <w:b/>
          <w:bCs/>
        </w:rPr>
        <w:t xml:space="preserve">10. Buscar apalancamiento.</w:t>
      </w:r>
      <w:r>
        <w:t xml:space="preserve"> Comprender relaciones para encontrar una intervención con efecto duradero y deseado. Preguntas: ¿dónde podría actuar?, ¿por qué ese cambio influiría en el resto?, ¿qué alternativa necesita menos esfuerzo o produce menos daños? En la biblioteca, eliminar registros triplicados modificó una causa del trabajo repetido.</w:t>
      </w:r>
    </w:p>
    <w:p>
      <w:pPr>
        <w:pStyle w:val="Normal"/>
      </w:pPr>
      <w:r>
        <w:rPr>
          <w:b/>
          <w:bCs/>
        </w:rPr>
        <w:t xml:space="preserve">12. Acumulaciones y tasas.</w:t>
      </w:r>
      <w:r>
        <w:t xml:space="preserve"> Observar qué se acumula y qué flujos lo modifican. Un saldo puede seguir creciendo aunque su entrada disminuya. Un nivel constante puede tener movimiento. La atención no se limita a dinero o agua: confianza, experiencia o trabajo pendiente pueden requerir operacionalización para ser modelados. Una unidad por sí sola no basta para clasificar; importa la función en el modelo.</w:t>
      </w:r>
    </w:p>
    <w:p>
      <w:pPr>
        <w:pStyle w:val="Normal"/>
      </w:pPr>
      <w:r>
        <w:rPr>
          <w:b/>
          <w:bCs/>
        </w:rPr>
        <w:t xml:space="preserve">14. Revisar y ajustar.</w:t>
      </w:r>
      <w:r>
        <w:t xml:space="preserve"> Establecer puntos de referencia, observar avances y corregir cuando la evidencia lo indique. Preguntas: ¿qué indicador mostrará progreso?, ¿cuándo conviene revisar?, ¿qué parte del plan necesita ajuste? No cambiar por cambiar ni suponer que cada modificación necesariamente mejora el sistema.</w:t>
      </w:r>
    </w:p>
    <w:p>
      <w:pPr>
        <w:pStyle w:val="Normal"/>
      </w:pPr>
      <w:r>
        <w:rPr>
          <w:b/>
          <w:bCs/>
        </w:rPr>
        <w:t xml:space="preserve">Cómo responder en el examen:</w:t>
      </w:r>
      <w:r>
        <w:t xml:space="preserve"> número y nombre del hábito + conducta concreta del caso + justificación. Si se pide una propuesta, añadir una acción y cómo observar sus resultados. Puede haber varios hábitos relacionados; elegir y justificar el que responde al foco de la pregunta.</w:t>
      </w:r>
    </w:p>
    <w:p>
      <w:pPr>
        <w:pStyle w:val="Heading3"/>
      </w:pPr>
      <w:bookmarkStart w:name="b_lectura_h3" w:id="5013"/>
      <w:r>
        <w:t xml:space="preserve">4.7.3. Cuatro etapas para resolver problemas</w:t>
      </w:r>
      <w:bookmarkEnd w:id="5013"/>
    </w:p>
    <w:p>
      <w:pPr>
        <w:pStyle w:val="Normal"/>
      </w:pPr>
      <w:r>
        <w:t xml:space="preserve">Presentación 4b, pp. 43–47; clase 24, 00:14:04–00:28:33.</w:t>
      </w:r>
    </w:p>
    <w:tbl>
      <w:tblPr>
        <w:tblW w:type="dxa" w:w="9632"/>
        <w:tblBorders>
          <w:top w:val="single" w:color="C5D5DB" w:sz="4"/>
          <w:left w:val="single" w:color="C5D5DB" w:sz="4"/>
          <w:bottom w:val="single" w:color="C5D5DB" w:sz="4"/>
          <w:right w:val="single" w:color="C5D5DB" w:sz="4"/>
          <w:insideH w:val="single" w:color="E4E9EB" w:sz="3"/>
          <w:insideV w:val="single" w:color="E4E9EB" w:sz="3"/>
        </w:tblBorders>
        <w:tblLayout w:type="fixed"/>
      </w:tblPr>
      <w:tblGrid>
        <w:gridCol w:w="3212"/>
        <w:gridCol w:w="3210"/>
        <w:gridCol w:w="3210"/>
      </w:tblGrid>
      <w:tr>
        <w:trPr>
          <w:cantSplit/>
          <w:tblHeader/>
        </w:trPr>
        <w:tc>
          <w:tcPr>
            <w:tcW w:type="dxa" w:w="3212"/>
            <w:shd w:fill="DFEAF0" w:val="clear"/>
            <w:tcMar>
              <w:top w:type="dxa" w:w="80"/>
              <w:left w:type="dxa" w:w="100"/>
              <w:bottom w:type="dxa" w:w="80"/>
              <w:right w:type="dxa" w:w="100"/>
            </w:tcMar>
          </w:tcPr>
          <w:p>
            <w:pPr>
              <w:pStyle w:val="Tabla"/>
            </w:pPr>
            <w:r>
              <w:rPr>
                <w:b/>
                <w:bCs/>
              </w:rPr>
              <w:t xml:space="preserve">Etapa</w:t>
            </w:r>
          </w:p>
        </w:tc>
        <w:tc>
          <w:tcPr>
            <w:tcW w:type="dxa" w:w="3210"/>
            <w:shd w:fill="DFEAF0" w:val="clear"/>
            <w:tcMar>
              <w:top w:type="dxa" w:w="80"/>
              <w:left w:type="dxa" w:w="100"/>
              <w:bottom w:type="dxa" w:w="80"/>
              <w:right w:type="dxa" w:w="100"/>
            </w:tcMar>
          </w:tcPr>
          <w:p>
            <w:pPr>
              <w:pStyle w:val="Tabla"/>
            </w:pPr>
            <w:r>
              <w:rPr>
                <w:b/>
                <w:bCs/>
              </w:rPr>
              <w:t xml:space="preserve">Hábitos asignados en las láminas</w:t>
            </w:r>
          </w:p>
        </w:tc>
        <w:tc>
          <w:tcPr>
            <w:tcW w:type="dxa" w:w="3210"/>
            <w:shd w:fill="DFEAF0" w:val="clear"/>
            <w:tcMar>
              <w:top w:type="dxa" w:w="80"/>
              <w:left w:type="dxa" w:w="100"/>
              <w:bottom w:type="dxa" w:w="80"/>
              <w:right w:type="dxa" w:w="100"/>
            </w:tcMar>
          </w:tcPr>
          <w:p>
            <w:pPr>
              <w:pStyle w:val="Tabla"/>
            </w:pPr>
            <w:r>
              <w:rPr>
                <w:b/>
                <w:bCs/>
              </w:rPr>
              <w:t xml:space="preserve">Qué se hace</w:t>
            </w:r>
          </w:p>
        </w:tc>
      </w:tr>
      <w:tr>
        <w:trPr>
          <w:cantSplit/>
          <w:tblHeader w:val="off"/>
        </w:trPr>
        <w:tc>
          <w:tcPr>
            <w:tcW w:type="dxa" w:w="3212"/>
            <w:tcMar>
              <w:top w:type="dxa" w:w="80"/>
              <w:left w:type="dxa" w:w="100"/>
              <w:bottom w:type="dxa" w:w="80"/>
              <w:right w:type="dxa" w:w="100"/>
            </w:tcMar>
          </w:tcPr>
          <w:p>
            <w:pPr>
              <w:pStyle w:val="Tabla"/>
            </w:pPr>
            <w:r>
              <w:rPr>
                <w:b/>
                <w:bCs/>
              </w:rPr>
              <w:t xml:space="preserve">1. Desarrollar conciencia del problema</w:t>
            </w:r>
          </w:p>
        </w:tc>
        <w:tc>
          <w:tcPr>
            <w:tcW w:type="dxa" w:w="3210"/>
            <w:tcMar>
              <w:top w:type="dxa" w:w="80"/>
              <w:left w:type="dxa" w:w="100"/>
              <w:bottom w:type="dxa" w:w="80"/>
              <w:right w:type="dxa" w:w="100"/>
            </w:tcMar>
          </w:tcPr>
          <w:p>
            <w:pPr>
              <w:pStyle w:val="Tabla"/>
            </w:pPr>
            <w:r>
              <w:rPr>
                <w:b/>
                <w:bCs/>
              </w:rPr>
              <w:t xml:space="preserve">1, 2, 3, 4</w:t>
            </w:r>
          </w:p>
        </w:tc>
        <w:tc>
          <w:tcPr>
            <w:tcW w:type="dxa" w:w="3210"/>
            <w:tcMar>
              <w:top w:type="dxa" w:w="80"/>
              <w:left w:type="dxa" w:w="100"/>
              <w:bottom w:type="dxa" w:w="80"/>
              <w:right w:type="dxa" w:w="100"/>
            </w:tcMar>
          </w:tcPr>
          <w:p>
            <w:pPr>
              <w:pStyle w:val="Tabla"/>
            </w:pPr>
            <w:r>
              <w:t xml:space="preserve">Ver el panorama, observar patrones e iniciar la comprensión de estructura y ciclos.</w:t>
            </w:r>
          </w:p>
        </w:tc>
      </w:tr>
      <w:tr>
        <w:trPr>
          <w:cantSplit/>
          <w:tblHeader w:val="off"/>
        </w:trPr>
        <w:tc>
          <w:tcPr>
            <w:tcW w:type="dxa" w:w="3212"/>
            <w:tcMar>
              <w:top w:type="dxa" w:w="80"/>
              <w:left w:type="dxa" w:w="100"/>
              <w:bottom w:type="dxa" w:w="80"/>
              <w:right w:type="dxa" w:w="100"/>
            </w:tcMar>
          </w:tcPr>
          <w:p>
            <w:pPr>
              <w:pStyle w:val="Tabla"/>
            </w:pPr>
            <w:r>
              <w:rPr>
                <w:b/>
                <w:bCs/>
              </w:rPr>
              <w:t xml:space="preserve">2. Aumentar la comprensión del problema</w:t>
            </w:r>
          </w:p>
        </w:tc>
        <w:tc>
          <w:tcPr>
            <w:tcW w:type="dxa" w:w="3210"/>
            <w:tcMar>
              <w:top w:type="dxa" w:w="80"/>
              <w:left w:type="dxa" w:w="100"/>
              <w:bottom w:type="dxa" w:w="80"/>
              <w:right w:type="dxa" w:w="100"/>
            </w:tcMar>
          </w:tcPr>
          <w:p>
            <w:pPr>
              <w:pStyle w:val="Tabla"/>
            </w:pPr>
            <w:r>
              <w:rPr>
                <w:b/>
                <w:bCs/>
              </w:rPr>
              <w:t xml:space="preserve">6, 7, 8, 9</w:t>
            </w:r>
          </w:p>
        </w:tc>
        <w:tc>
          <w:tcPr>
            <w:tcW w:type="dxa" w:w="3210"/>
            <w:tcMar>
              <w:top w:type="dxa" w:w="80"/>
              <w:left w:type="dxa" w:w="100"/>
              <w:bottom w:type="dxa" w:w="80"/>
              <w:right w:type="dxa" w:w="100"/>
            </w:tcMar>
          </w:tcPr>
          <w:p>
            <w:pPr>
              <w:pStyle w:val="Tabla"/>
            </w:pPr>
            <w:r>
              <w:t xml:space="preserve">Ampliar perspectivas, contrastar suposiciones y modelos mentales y profundizar sin apresurarse.</w:t>
            </w:r>
          </w:p>
        </w:tc>
      </w:tr>
      <w:tr>
        <w:trPr>
          <w:cantSplit/>
          <w:tblHeader w:val="off"/>
        </w:trPr>
        <w:tc>
          <w:tcPr>
            <w:tcW w:type="dxa" w:w="3212"/>
            <w:tcMar>
              <w:top w:type="dxa" w:w="80"/>
              <w:left w:type="dxa" w:w="100"/>
              <w:bottom w:type="dxa" w:w="80"/>
              <w:right w:type="dxa" w:w="100"/>
            </w:tcMar>
          </w:tcPr>
          <w:p>
            <w:pPr>
              <w:pStyle w:val="Tabla"/>
            </w:pPr>
            <w:r>
              <w:rPr>
                <w:b/>
                <w:bCs/>
              </w:rPr>
              <w:t xml:space="preserve">3. Planificar y tomar medidas</w:t>
            </w:r>
          </w:p>
        </w:tc>
        <w:tc>
          <w:tcPr>
            <w:tcW w:type="dxa" w:w="3210"/>
            <w:tcMar>
              <w:top w:type="dxa" w:w="80"/>
              <w:left w:type="dxa" w:w="100"/>
              <w:bottom w:type="dxa" w:w="80"/>
              <w:right w:type="dxa" w:w="100"/>
            </w:tcMar>
          </w:tcPr>
          <w:p>
            <w:pPr>
              <w:pStyle w:val="Tabla"/>
            </w:pPr>
            <w:r>
              <w:rPr>
                <w:b/>
                <w:bCs/>
              </w:rPr>
              <w:t xml:space="preserve">10, 11, 12, 13</w:t>
            </w:r>
          </w:p>
        </w:tc>
        <w:tc>
          <w:tcPr>
            <w:tcW w:type="dxa" w:w="3210"/>
            <w:tcMar>
              <w:top w:type="dxa" w:w="80"/>
              <w:left w:type="dxa" w:w="100"/>
              <w:bottom w:type="dxa" w:w="80"/>
              <w:right w:type="dxa" w:w="100"/>
            </w:tcMar>
          </w:tcPr>
          <w:p>
            <w:pPr>
              <w:pStyle w:val="Tabla"/>
            </w:pPr>
            <w:r>
              <w:t xml:space="preserve">Elegir dónde actuar, anticipar consecuencias, considerar niveles, flujos y demoras.</w:t>
            </w:r>
          </w:p>
        </w:tc>
      </w:tr>
      <w:tr>
        <w:trPr>
          <w:cantSplit/>
          <w:tblHeader w:val="off"/>
        </w:trPr>
        <w:tc>
          <w:tcPr>
            <w:tcW w:type="dxa" w:w="3212"/>
            <w:tcMar>
              <w:top w:type="dxa" w:w="80"/>
              <w:left w:type="dxa" w:w="100"/>
              <w:bottom w:type="dxa" w:w="80"/>
              <w:right w:type="dxa" w:w="100"/>
            </w:tcMar>
          </w:tcPr>
          <w:p>
            <w:pPr>
              <w:pStyle w:val="Tabla"/>
            </w:pPr>
            <w:r>
              <w:rPr>
                <w:b/>
                <w:bCs/>
              </w:rPr>
              <w:t xml:space="preserve">4. Una vez implementada la solución: aproximación sucesiva</w:t>
            </w:r>
          </w:p>
        </w:tc>
        <w:tc>
          <w:tcPr>
            <w:tcW w:type="dxa" w:w="3210"/>
            <w:tcMar>
              <w:top w:type="dxa" w:w="80"/>
              <w:left w:type="dxa" w:w="100"/>
              <w:bottom w:type="dxa" w:w="80"/>
              <w:right w:type="dxa" w:w="100"/>
            </w:tcMar>
          </w:tcPr>
          <w:p>
            <w:pPr>
              <w:pStyle w:val="Tabla"/>
            </w:pPr>
            <w:r>
              <w:rPr>
                <w:b/>
                <w:bCs/>
              </w:rPr>
              <w:t xml:space="preserve">14</w:t>
            </w:r>
          </w:p>
        </w:tc>
        <w:tc>
          <w:tcPr>
            <w:tcW w:type="dxa" w:w="3210"/>
            <w:tcMar>
              <w:top w:type="dxa" w:w="80"/>
              <w:left w:type="dxa" w:w="100"/>
              <w:bottom w:type="dxa" w:w="80"/>
              <w:right w:type="dxa" w:w="100"/>
            </w:tcMar>
          </w:tcPr>
          <w:p>
            <w:pPr>
              <w:pStyle w:val="Tabla"/>
            </w:pPr>
            <w:r>
              <w:t xml:space="preserve">Examinar resultados, ajustar y volver a etapas anteriores si hace falta.</w:t>
            </w:r>
          </w:p>
        </w:tc>
      </w:tr>
    </w:tbl>
    <w:p>
      <w:pPr>
        <w:pStyle w:val="Normal"/>
      </w:pPr>
      <w:r>
        <w:t xml:space="preserve">El hábito </w:t>
      </w:r>
      <w:r>
        <w:rPr>
          <w:b/>
          <w:bCs/>
        </w:rPr>
        <w:t xml:space="preserve">5 no está asignado a ninguna etapa en estas láminas</w:t>
      </w:r>
      <w:r>
        <w:t xml:space="preserve">. No inventar una asignación para completar los catorce. El esquema tiene trece números asignados, aunque el discurso hable globalmente de los catorce hábitos.</w:t>
      </w:r>
    </w:p>
    <w:p>
      <w:pPr>
        <w:pStyle w:val="Normal"/>
      </w:pPr>
      <w:r>
        <w:t xml:space="preserve">Regla de memoria: </w:t>
      </w:r>
      <w:r>
        <w:rPr>
          <w:b/>
          <w:bCs/>
        </w:rPr>
        <w:t xml:space="preserve">reconozco → comprendo → actúo → reviso</w:t>
      </w:r>
      <w:r>
        <w:t xml:space="preserve">. Es una orientación iterativa, no una secuencia rígida que prohíba volver atrás.</w:t>
      </w:r>
    </w:p>
    <w:p>
      <w:pPr>
        <w:pStyle w:val="Heading3"/>
      </w:pPr>
      <w:bookmarkStart w:name="b_lectura_h4" w:id="5014"/>
      <w:r>
        <w:t xml:space="preserve">4.7.4. Aproximación sucesiva y aprendizaje</w:t>
      </w:r>
      <w:bookmarkEnd w:id="5014"/>
    </w:p>
    <w:p>
      <w:pPr>
        <w:pStyle w:val="Normal"/>
      </w:pPr>
      <w:r>
        <w:t xml:space="preserve">Presentación 4b, pp. 31–35; clase 23, 01:03:35–01:15:45. Se adapta el ciclo PDSA, planificar, hacer, estudiar y actuar. En la presentación sus nombres son:</w:t>
      </w:r>
    </w:p>
    <w:p>
      <w:pPr>
        <w:pStyle w:val="Codigo"/>
      </w:pPr>
      <w:r>
        <w:t xml:space="preserve">Diseñar un plan → Implementar → Evaluar → Mejorar</w:t>
      </w:r>
    </w:p>
    <w:p>
      <w:pPr>
        <w:pStyle w:val="Codigo"/>
      </w:pPr>
      <w:r>
        <w:t xml:space="preserve">       ↑__________________________________|</w:t>
      </w:r>
    </w:p>
    <w:p>
      <w:pPr>
        <w:pStyle w:val="Normal"/>
      </w:pPr>
      <w:r>
        <w:t xml:space="preserve">1. </w:t>
      </w:r>
      <w:r>
        <w:rPr>
          <w:b/>
          <w:bCs/>
        </w:rPr>
        <w:t xml:space="preserve">Diseñar:</w:t>
      </w:r>
      <w:r>
        <w:t xml:space="preserve"> definir objetivo, acciones, supuestos, recursos e indicadores.</w:t>
      </w:r>
    </w:p>
    <w:p>
      <w:pPr>
        <w:pStyle w:val="Normal"/>
      </w:pPr>
      <w:r>
        <w:t xml:space="preserve">2. </w:t>
      </w:r>
      <w:r>
        <w:rPr>
          <w:b/>
          <w:bCs/>
        </w:rPr>
        <w:t xml:space="preserve">Implementar:</w:t>
      </w:r>
      <w:r>
        <w:t xml:space="preserve"> poner en práctica el plan.</w:t>
      </w:r>
    </w:p>
    <w:p>
      <w:pPr>
        <w:pStyle w:val="Normal"/>
      </w:pPr>
      <w:r>
        <w:t xml:space="preserve">3. </w:t>
      </w:r>
      <w:r>
        <w:rPr>
          <w:b/>
          <w:bCs/>
        </w:rPr>
        <w:t xml:space="preserve">Evaluar:</w:t>
      </w:r>
      <w:r>
        <w:t xml:space="preserve"> observar después de un tiempo apropiado, comparar con referencias e identificar aciertos y problemas.</w:t>
      </w:r>
    </w:p>
    <w:p>
      <w:pPr>
        <w:pStyle w:val="Normal"/>
      </w:pPr>
      <w:r>
        <w:t xml:space="preserve">4. </w:t>
      </w:r>
      <w:r>
        <w:rPr>
          <w:b/>
          <w:bCs/>
        </w:rPr>
        <w:t xml:space="preserve">Mejorar:</w:t>
      </w:r>
      <w:r>
        <w:t xml:space="preserve"> ajustar lo necesario y decidir el siguiente paso a partir de lo aprendido.</w:t>
      </w:r>
    </w:p>
    <w:p>
      <w:pPr>
        <w:pStyle w:val="Normal"/>
      </w:pPr>
      <w:r>
        <w:t xml:space="preserve">La analogía del cocinero muestra cómo observar el resultado y ajustar una receta. El material aplica el ciclo a innovaciones, planes de mejora, aprendizaje de habilidades y resolución de problemas. Un resultado desfavorable puede revelar una suposición errónea y convertirse en aprendizaje, pero no garantiza el éxito del próximo intento. Si el plan funciona, puede mantenerse y revisarse más adelante.</w:t>
      </w:r>
    </w:p>
    <w:p>
      <w:pPr>
        <w:pStyle w:val="Normal"/>
      </w:pPr>
      <w:r>
        <w:t xml:space="preserve">El esquema circular de cuatro acciones </w:t>
      </w:r>
      <w:r>
        <w:rPr>
          <w:b/>
          <w:bCs/>
        </w:rPr>
        <w:t xml:space="preserve">no demuestra por sí solo una polaridad R o B</w:t>
      </w:r>
      <w:r>
        <w:t xml:space="preserve">: para clasificar un ciclo causal hay que definir variables y relaciones. La clase 23 lo compara informalmente con un refuerzo cerca de 01:10:40; no debe generalizarse como una ley de que todo proceso de mejora sea un ciclo R. En un modelo concreto, corregir una brecha puede formar un balance y acumular aprendizaje puede participar en un refuerzo.</w:t>
      </w:r>
    </w:p>
    <w:p>
      <w:pPr>
        <w:pStyle w:val="Heading3"/>
      </w:pPr>
      <w:bookmarkStart w:name="b_lectura_h5" w:id="5015"/>
      <w:r>
        <w:t xml:space="preserve">4.7.5. Resiliencia: concepto y cuatro pilares</w:t>
      </w:r>
      <w:bookmarkEnd w:id="5015"/>
    </w:p>
    <w:p>
      <w:pPr>
        <w:pStyle w:val="Normal"/>
      </w:pPr>
      <w:r>
        <w:t xml:space="preserve">Lectura L-20, pp. 1–3; presentación 4b, pp. 36–37; clase 23, 01:15:49–01:25:46. </w:t>
      </w:r>
    </w:p>
    <w:p>
      <w:pPr>
        <w:pStyle w:val="Normal"/>
      </w:pPr>
      <w:r>
        <w:t xml:space="preserve">La lectura presenta tres aplicaciones del concepto: en materiales, resistencia y recuperación de la forma; en personas, fortalecimiento y recuperación ante estrés y cambio; en empresas, capacidad de absorber cambios o rupturas conservando la calidad y los estándares. En el enfoque del curso interesa comprender cómo recuperarse y adaptarse manteniendo un sentido y actuando sobre la situación.</w:t>
      </w:r>
    </w:p>
    <w:p>
      <w:pPr>
        <w:pStyle w:val="Normal"/>
      </w:pPr>
      <w:r>
        <w:t xml:space="preserve">No equivale a negar el problema, insistir indefinidamente en la misma acción o aceptar cualquier condición sin modificarla. La recuperación incluye revisar lo que ocurre, utilizar recursos y ajustar el proceso. Estas son ideas del marco de estudio; las afirmaciones generales de la lectura sobre éxito personal y su montaña rusa no constituyen una evaluación clínica de una persona.</w:t>
      </w:r>
    </w:p>
    <w:p>
      <w:pPr>
        <w:pStyle w:val="Normal"/>
      </w:pPr>
      <w:r>
        <w:t xml:space="preserve">Los </w:t>
      </w:r>
      <w:r>
        <w:rPr>
          <w:b/>
          <w:bCs/>
        </w:rPr>
        <w:t xml:space="preserve">cuatro pilares</w:t>
      </w:r>
      <w:r>
        <w:t xml:space="preserve"> son:</w:t>
      </w:r>
    </w:p>
    <w:tbl>
      <w:tblPr>
        <w:tblW w:type="dxa" w:w="9632"/>
        <w:tblBorders>
          <w:top w:val="single" w:color="C5D5DB" w:sz="4"/>
          <w:left w:val="single" w:color="C5D5DB" w:sz="4"/>
          <w:bottom w:val="single" w:color="C5D5DB" w:sz="4"/>
          <w:right w:val="single" w:color="C5D5DB" w:sz="4"/>
          <w:insideH w:val="single" w:color="E4E9EB" w:sz="3"/>
          <w:insideV w:val="single" w:color="E4E9EB" w:sz="3"/>
        </w:tblBorders>
        <w:tblLayout w:type="fixed"/>
      </w:tblPr>
      <w:tblGrid>
        <w:gridCol w:w="3212"/>
        <w:gridCol w:w="3210"/>
        <w:gridCol w:w="3210"/>
      </w:tblGrid>
      <w:tr>
        <w:trPr>
          <w:cantSplit/>
          <w:tblHeader/>
        </w:trPr>
        <w:tc>
          <w:tcPr>
            <w:tcW w:type="dxa" w:w="3212"/>
            <w:shd w:fill="DFEAF0" w:val="clear"/>
            <w:tcMar>
              <w:top w:type="dxa" w:w="80"/>
              <w:left w:type="dxa" w:w="100"/>
              <w:bottom w:type="dxa" w:w="80"/>
              <w:right w:type="dxa" w:w="100"/>
            </w:tcMar>
          </w:tcPr>
          <w:p>
            <w:pPr>
              <w:pStyle w:val="Tabla"/>
            </w:pPr>
            <w:r>
              <w:rPr>
                <w:b/>
                <w:bCs/>
              </w:rPr>
              <w:t xml:space="preserve">Pilar</w:t>
            </w:r>
          </w:p>
        </w:tc>
        <w:tc>
          <w:tcPr>
            <w:tcW w:type="dxa" w:w="3210"/>
            <w:shd w:fill="DFEAF0" w:val="clear"/>
            <w:tcMar>
              <w:top w:type="dxa" w:w="80"/>
              <w:left w:type="dxa" w:w="100"/>
              <w:bottom w:type="dxa" w:w="80"/>
              <w:right w:type="dxa" w:w="100"/>
            </w:tcMar>
          </w:tcPr>
          <w:p>
            <w:pPr>
              <w:pStyle w:val="Tabla"/>
            </w:pPr>
            <w:r>
              <w:rPr>
                <w:b/>
                <w:bCs/>
              </w:rPr>
              <w:t xml:space="preserve">Pregunta para recordarlo</w:t>
            </w:r>
          </w:p>
        </w:tc>
        <w:tc>
          <w:tcPr>
            <w:tcW w:type="dxa" w:w="3210"/>
            <w:shd w:fill="DFEAF0" w:val="clear"/>
            <w:tcMar>
              <w:top w:type="dxa" w:w="80"/>
              <w:left w:type="dxa" w:w="100"/>
              <w:bottom w:type="dxa" w:w="80"/>
              <w:right w:type="dxa" w:w="100"/>
            </w:tcMar>
          </w:tcPr>
          <w:p>
            <w:pPr>
              <w:pStyle w:val="Tabla"/>
            </w:pPr>
            <w:r>
              <w:rPr>
                <w:b/>
                <w:bCs/>
              </w:rPr>
              <w:t xml:space="preserve">Ejemplo didáctico de biblioteca</w:t>
            </w:r>
          </w:p>
        </w:tc>
      </w:tr>
      <w:tr>
        <w:trPr>
          <w:cantSplit/>
          <w:tblHeader w:val="off"/>
        </w:trPr>
        <w:tc>
          <w:tcPr>
            <w:tcW w:type="dxa" w:w="3212"/>
            <w:tcMar>
              <w:top w:type="dxa" w:w="80"/>
              <w:left w:type="dxa" w:w="100"/>
              <w:bottom w:type="dxa" w:w="80"/>
              <w:right w:type="dxa" w:w="100"/>
            </w:tcMar>
          </w:tcPr>
          <w:p>
            <w:pPr>
              <w:pStyle w:val="Tabla"/>
            </w:pPr>
            <w:r>
              <w:t xml:space="preserve">Existencia de objetivos futuros</w:t>
            </w:r>
          </w:p>
        </w:tc>
        <w:tc>
          <w:tcPr>
            <w:tcW w:type="dxa" w:w="3210"/>
            <w:tcMar>
              <w:top w:type="dxa" w:w="80"/>
              <w:left w:type="dxa" w:w="100"/>
              <w:bottom w:type="dxa" w:w="80"/>
              <w:right w:type="dxa" w:w="100"/>
            </w:tcMar>
          </w:tcPr>
          <w:p>
            <w:pPr>
              <w:pStyle w:val="Tabla"/>
            </w:pPr>
            <w:r>
              <w:t xml:space="preserve">¿Hacia dónde queremos ir?</w:t>
            </w:r>
          </w:p>
        </w:tc>
        <w:tc>
          <w:tcPr>
            <w:tcW w:type="dxa" w:w="3210"/>
            <w:tcMar>
              <w:top w:type="dxa" w:w="80"/>
              <w:left w:type="dxa" w:w="100"/>
              <w:bottom w:type="dxa" w:w="80"/>
              <w:right w:type="dxa" w:w="100"/>
            </w:tcMar>
          </w:tcPr>
          <w:p>
            <w:pPr>
              <w:pStyle w:val="Tabla"/>
            </w:pPr>
            <w:r>
              <w:t xml:space="preserve">Recuperar un servicio confiable.</w:t>
            </w:r>
          </w:p>
        </w:tc>
      </w:tr>
      <w:tr>
        <w:trPr>
          <w:cantSplit/>
          <w:tblHeader w:val="off"/>
        </w:trPr>
        <w:tc>
          <w:tcPr>
            <w:tcW w:type="dxa" w:w="3212"/>
            <w:tcMar>
              <w:top w:type="dxa" w:w="80"/>
              <w:left w:type="dxa" w:w="100"/>
              <w:bottom w:type="dxa" w:w="80"/>
              <w:right w:type="dxa" w:w="100"/>
            </w:tcMar>
          </w:tcPr>
          <w:p>
            <w:pPr>
              <w:pStyle w:val="Tabla"/>
            </w:pPr>
            <w:r>
              <w:t xml:space="preserve">Enfrentar la realidad</w:t>
            </w:r>
          </w:p>
        </w:tc>
        <w:tc>
          <w:tcPr>
            <w:tcW w:type="dxa" w:w="3210"/>
            <w:tcMar>
              <w:top w:type="dxa" w:w="80"/>
              <w:left w:type="dxa" w:w="100"/>
              <w:bottom w:type="dxa" w:w="80"/>
              <w:right w:type="dxa" w:w="100"/>
            </w:tcMar>
          </w:tcPr>
          <w:p>
            <w:pPr>
              <w:pStyle w:val="Tabla"/>
            </w:pPr>
            <w:r>
              <w:t xml:space="preserve">¿Qué ocurre hoy realmente?</w:t>
            </w:r>
          </w:p>
        </w:tc>
        <w:tc>
          <w:tcPr>
            <w:tcW w:type="dxa" w:w="3210"/>
            <w:tcMar>
              <w:top w:type="dxa" w:w="80"/>
              <w:left w:type="dxa" w:w="100"/>
              <w:bottom w:type="dxa" w:w="80"/>
              <w:right w:type="dxa" w:w="100"/>
            </w:tcMar>
          </w:tcPr>
          <w:p>
            <w:pPr>
              <w:pStyle w:val="Tabla"/>
            </w:pPr>
            <w:r>
              <w:t xml:space="preserve">Reconocer que hay retrasos y registros erróneos.</w:t>
            </w:r>
          </w:p>
        </w:tc>
      </w:tr>
      <w:tr>
        <w:trPr>
          <w:cantSplit/>
          <w:tblHeader w:val="off"/>
        </w:trPr>
        <w:tc>
          <w:tcPr>
            <w:tcW w:type="dxa" w:w="3212"/>
            <w:tcMar>
              <w:top w:type="dxa" w:w="80"/>
              <w:left w:type="dxa" w:w="100"/>
              <w:bottom w:type="dxa" w:w="80"/>
              <w:right w:type="dxa" w:w="100"/>
            </w:tcMar>
          </w:tcPr>
          <w:p>
            <w:pPr>
              <w:pStyle w:val="Tabla"/>
            </w:pPr>
            <w:r>
              <w:t xml:space="preserve">Búsqueda de sentido</w:t>
            </w:r>
          </w:p>
        </w:tc>
        <w:tc>
          <w:tcPr>
            <w:tcW w:type="dxa" w:w="3210"/>
            <w:tcMar>
              <w:top w:type="dxa" w:w="80"/>
              <w:left w:type="dxa" w:w="100"/>
              <w:bottom w:type="dxa" w:w="80"/>
              <w:right w:type="dxa" w:w="100"/>
            </w:tcMar>
          </w:tcPr>
          <w:p>
            <w:pPr>
              <w:pStyle w:val="Tabla"/>
            </w:pPr>
            <w:r>
              <w:t xml:space="preserve">¿Por qué importa y qué valores nos orientan?</w:t>
            </w:r>
          </w:p>
        </w:tc>
        <w:tc>
          <w:tcPr>
            <w:tcW w:type="dxa" w:w="3210"/>
            <w:tcMar>
              <w:top w:type="dxa" w:w="80"/>
              <w:left w:type="dxa" w:w="100"/>
              <w:bottom w:type="dxa" w:w="80"/>
              <w:right w:type="dxa" w:w="100"/>
            </w:tcMar>
          </w:tcPr>
          <w:p>
            <w:pPr>
              <w:pStyle w:val="Tabla"/>
            </w:pPr>
            <w:r>
              <w:t xml:space="preserve">Mantener acceso equitativo y atención de calidad.</w:t>
            </w:r>
          </w:p>
        </w:tc>
      </w:tr>
      <w:tr>
        <w:trPr>
          <w:cantSplit/>
          <w:tblHeader w:val="off"/>
        </w:trPr>
        <w:tc>
          <w:tcPr>
            <w:tcW w:type="dxa" w:w="3212"/>
            <w:tcMar>
              <w:top w:type="dxa" w:w="80"/>
              <w:left w:type="dxa" w:w="100"/>
              <w:bottom w:type="dxa" w:w="80"/>
              <w:right w:type="dxa" w:w="100"/>
            </w:tcMar>
          </w:tcPr>
          <w:p>
            <w:pPr>
              <w:pStyle w:val="Tabla"/>
            </w:pPr>
            <w:r>
              <w:t xml:space="preserve">Hacer con los elementos disponibles</w:t>
            </w:r>
          </w:p>
        </w:tc>
        <w:tc>
          <w:tcPr>
            <w:tcW w:type="dxa" w:w="3210"/>
            <w:tcMar>
              <w:top w:type="dxa" w:w="80"/>
              <w:left w:type="dxa" w:w="100"/>
              <w:bottom w:type="dxa" w:w="80"/>
              <w:right w:type="dxa" w:w="100"/>
            </w:tcMar>
          </w:tcPr>
          <w:p>
            <w:pPr>
              <w:pStyle w:val="Tabla"/>
            </w:pPr>
            <w:r>
              <w:t xml:space="preserve">¿Qué podemos hacer con lo que tenemos?</w:t>
            </w:r>
          </w:p>
        </w:tc>
        <w:tc>
          <w:tcPr>
            <w:tcW w:type="dxa" w:w="3210"/>
            <w:tcMar>
              <w:top w:type="dxa" w:w="80"/>
              <w:left w:type="dxa" w:w="100"/>
              <w:bottom w:type="dxa" w:w="80"/>
              <w:right w:type="dxa" w:w="100"/>
            </w:tcMar>
          </w:tcPr>
          <w:p>
            <w:pPr>
              <w:pStyle w:val="Tabla"/>
            </w:pPr>
            <w:r>
              <w:t xml:space="preserve">Reorganizar turnos y usar recursos disponibles mientras se gestiona una mejora mayor.</w:t>
            </w:r>
          </w:p>
        </w:tc>
      </w:tr>
    </w:tbl>
    <w:p>
      <w:pPr>
        <w:pStyle w:val="Normal"/>
      </w:pPr>
      <w:r>
        <w:t xml:space="preserve">Aceptar la realidad no implica resignarse: permite intervenir sobre condiciones reales. El optimismo que ignora datos contradice este marco. Pasado, presente y futuro se relacionan, pero no se confunden: la experiencia aporta aprendizaje, el presente aporta condiciones y el futuro orienta objetivos.</w:t>
      </w:r>
    </w:p>
    <w:p>
      <w:pPr>
        <w:pStyle w:val="Heading3"/>
      </w:pPr>
      <w:bookmarkStart w:name="b_lectura_h6" w:id="5016"/>
      <w:r>
        <w:t xml:space="preserve">4.7.6. Modelo de resiliencia A–E</w:t>
      </w:r>
      <w:bookmarkEnd w:id="5016"/>
    </w:p>
    <w:p>
      <w:pPr>
        <w:pStyle w:val="Normal"/>
      </w:pPr>
      <w:r>
        <w:t xml:space="preserve">Lectura L-20, pp. 3–4 y 8; presentación 4b, pp. 38 y 41; clase 23, 01:25:46–01:28:45.</w:t>
      </w:r>
    </w:p>
    <w:p>
      <w:pPr>
        <w:pStyle w:val="Codigo"/>
      </w:pPr>
      <w:r>
        <w:t xml:space="preserve">E: ENTORNO CAMBIANTE que afecta al proceso completo</w:t>
      </w:r>
    </w:p>
    <w:p>
      <w:pPr>
        <w:pStyle w:val="Codigo"/>
      </w:pPr>
      <w:r>
        <w:t xml:space="preserve"/>
      </w:r>
    </w:p>
    <w:p>
      <w:pPr>
        <w:pStyle w:val="Codigo"/>
      </w:pPr>
      <w:r>
        <w:t xml:space="preserve">C: HOY / realidad ── D: proceso y recursos disponibles ── A: MAÑANA / objetivos</w:t>
      </w:r>
    </w:p>
    <w:p>
      <w:pPr>
        <w:pStyle w:val="Codigo"/>
      </w:pPr>
      <w:r>
        <w:t xml:space="preserve">        ↑                                                     |</w:t>
      </w:r>
    </w:p>
    <w:p>
      <w:pPr>
        <w:pStyle w:val="Codigo"/>
      </w:pPr>
      <w:r>
        <w:t xml:space="preserve">        └──────── B: feedback, indicadores y valores ───────────┘</w:t>
      </w:r>
    </w:p>
    <w:p>
      <w:pPr>
        <w:pStyle w:val="Normal"/>
      </w:pPr>
      <w:r>
        <w:t xml:space="preserve">El dibujo es una adaptación textual del esquema de la lectura, no un diagrama de Forrester con flujos físicos.</w:t>
      </w:r>
    </w:p>
    <w:tbl>
      <w:tblPr>
        <w:tblW w:type="dxa" w:w="9632"/>
        <w:tblBorders>
          <w:top w:val="single" w:color="C5D5DB" w:sz="4"/>
          <w:left w:val="single" w:color="C5D5DB" w:sz="4"/>
          <w:bottom w:val="single" w:color="C5D5DB" w:sz="4"/>
          <w:right w:val="single" w:color="C5D5DB" w:sz="4"/>
          <w:insideH w:val="single" w:color="E4E9EB" w:sz="3"/>
          <w:insideV w:val="single" w:color="E4E9EB" w:sz="3"/>
        </w:tblBorders>
        <w:tblLayout w:type="fixed"/>
      </w:tblPr>
      <w:tblGrid>
        <w:gridCol w:w="3212"/>
        <w:gridCol w:w="3210"/>
        <w:gridCol w:w="3210"/>
      </w:tblGrid>
      <w:tr>
        <w:trPr>
          <w:cantSplit/>
          <w:tblHeader/>
        </w:trPr>
        <w:tc>
          <w:tcPr>
            <w:tcW w:type="dxa" w:w="3212"/>
            <w:shd w:fill="DFEAF0" w:val="clear"/>
            <w:tcMar>
              <w:top w:type="dxa" w:w="80"/>
              <w:left w:type="dxa" w:w="100"/>
              <w:bottom w:type="dxa" w:w="80"/>
              <w:right w:type="dxa" w:w="100"/>
            </w:tcMar>
          </w:tcPr>
          <w:p>
            <w:pPr>
              <w:pStyle w:val="Tabla"/>
            </w:pPr>
            <w:r>
              <w:rPr>
                <w:b/>
                <w:bCs/>
              </w:rPr>
              <w:t xml:space="preserve">Letra</w:t>
            </w:r>
          </w:p>
        </w:tc>
        <w:tc>
          <w:tcPr>
            <w:tcW w:type="dxa" w:w="3210"/>
            <w:shd w:fill="DFEAF0" w:val="clear"/>
            <w:tcMar>
              <w:top w:type="dxa" w:w="80"/>
              <w:left w:type="dxa" w:w="100"/>
              <w:bottom w:type="dxa" w:w="80"/>
              <w:right w:type="dxa" w:w="100"/>
            </w:tcMar>
          </w:tcPr>
          <w:p>
            <w:pPr>
              <w:pStyle w:val="Tabla"/>
            </w:pPr>
            <w:r>
              <w:rPr>
                <w:b/>
                <w:bCs/>
              </w:rPr>
              <w:t xml:space="preserve">Elemento</w:t>
            </w:r>
          </w:p>
        </w:tc>
        <w:tc>
          <w:tcPr>
            <w:tcW w:type="dxa" w:w="3210"/>
            <w:shd w:fill="DFEAF0" w:val="clear"/>
            <w:tcMar>
              <w:top w:type="dxa" w:w="80"/>
              <w:left w:type="dxa" w:w="100"/>
              <w:bottom w:type="dxa" w:w="80"/>
              <w:right w:type="dxa" w:w="100"/>
            </w:tcMar>
          </w:tcPr>
          <w:p>
            <w:pPr>
              <w:pStyle w:val="Tabla"/>
            </w:pPr>
            <w:r>
              <w:rPr>
                <w:b/>
                <w:bCs/>
              </w:rPr>
              <w:t xml:space="preserve">Interpretación</w:t>
            </w:r>
          </w:p>
        </w:tc>
      </w:tr>
      <w:tr>
        <w:trPr>
          <w:cantSplit/>
          <w:tblHeader w:val="off"/>
        </w:trPr>
        <w:tc>
          <w:tcPr>
            <w:tcW w:type="dxa" w:w="3212"/>
            <w:tcMar>
              <w:top w:type="dxa" w:w="80"/>
              <w:left w:type="dxa" w:w="100"/>
              <w:bottom w:type="dxa" w:w="80"/>
              <w:right w:type="dxa" w:w="100"/>
            </w:tcMar>
          </w:tcPr>
          <w:p>
            <w:pPr>
              <w:pStyle w:val="Tabla"/>
            </w:pPr>
            <w:r>
              <w:rPr>
                <w:b/>
                <w:bCs/>
              </w:rPr>
              <w:t xml:space="preserve">A</w:t>
            </w:r>
          </w:p>
        </w:tc>
        <w:tc>
          <w:tcPr>
            <w:tcW w:type="dxa" w:w="3210"/>
            <w:tcMar>
              <w:top w:type="dxa" w:w="80"/>
              <w:left w:type="dxa" w:w="100"/>
              <w:bottom w:type="dxa" w:w="80"/>
              <w:right w:type="dxa" w:w="100"/>
            </w:tcMar>
          </w:tcPr>
          <w:p>
            <w:pPr>
              <w:pStyle w:val="Tabla"/>
            </w:pPr>
            <w:r>
              <w:t xml:space="preserve">Mañana, objetivos futuros</w:t>
            </w:r>
          </w:p>
        </w:tc>
        <w:tc>
          <w:tcPr>
            <w:tcW w:type="dxa" w:w="3210"/>
            <w:tcMar>
              <w:top w:type="dxa" w:w="80"/>
              <w:left w:type="dxa" w:w="100"/>
              <w:bottom w:type="dxa" w:w="80"/>
              <w:right w:type="dxa" w:w="100"/>
            </w:tcMar>
          </w:tcPr>
          <w:p>
            <w:pPr>
              <w:pStyle w:val="Tabla"/>
            </w:pPr>
            <w:r>
              <w:t xml:space="preserve">Dónde queremos estar; visualizar oportunidades y resultados deseados.</w:t>
            </w:r>
          </w:p>
        </w:tc>
      </w:tr>
      <w:tr>
        <w:trPr>
          <w:cantSplit/>
          <w:tblHeader w:val="off"/>
        </w:trPr>
        <w:tc>
          <w:tcPr>
            <w:tcW w:type="dxa" w:w="3212"/>
            <w:tcMar>
              <w:top w:type="dxa" w:w="80"/>
              <w:left w:type="dxa" w:w="100"/>
              <w:bottom w:type="dxa" w:w="80"/>
              <w:right w:type="dxa" w:w="100"/>
            </w:tcMar>
          </w:tcPr>
          <w:p>
            <w:pPr>
              <w:pStyle w:val="Tabla"/>
            </w:pPr>
            <w:r>
              <w:rPr>
                <w:b/>
                <w:bCs/>
              </w:rPr>
              <w:t xml:space="preserve">B</w:t>
            </w:r>
          </w:p>
        </w:tc>
        <w:tc>
          <w:tcPr>
            <w:tcW w:type="dxa" w:w="3210"/>
            <w:tcMar>
              <w:top w:type="dxa" w:w="80"/>
              <w:left w:type="dxa" w:w="100"/>
              <w:bottom w:type="dxa" w:w="80"/>
              <w:right w:type="dxa" w:w="100"/>
            </w:tcMar>
          </w:tcPr>
          <w:p>
            <w:pPr>
              <w:pStyle w:val="Tabla"/>
            </w:pPr>
            <w:r>
              <w:t xml:space="preserve">Feedback</w:t>
            </w:r>
          </w:p>
        </w:tc>
        <w:tc>
          <w:tcPr>
            <w:tcW w:type="dxa" w:w="3210"/>
            <w:tcMar>
              <w:top w:type="dxa" w:w="80"/>
              <w:left w:type="dxa" w:w="100"/>
              <w:bottom w:type="dxa" w:w="80"/>
              <w:right w:type="dxa" w:w="100"/>
            </w:tcMar>
          </w:tcPr>
          <w:p>
            <w:pPr>
              <w:pStyle w:val="Tabla"/>
            </w:pPr>
            <w:r>
              <w:t xml:space="preserve">Cómo sabremos que avanzamos o llegamos; indicadores vinculados a los valores y al sentido.</w:t>
            </w:r>
          </w:p>
        </w:tc>
      </w:tr>
      <w:tr>
        <w:trPr>
          <w:cantSplit/>
          <w:tblHeader w:val="off"/>
        </w:trPr>
        <w:tc>
          <w:tcPr>
            <w:tcW w:type="dxa" w:w="3212"/>
            <w:tcMar>
              <w:top w:type="dxa" w:w="80"/>
              <w:left w:type="dxa" w:w="100"/>
              <w:bottom w:type="dxa" w:w="80"/>
              <w:right w:type="dxa" w:w="100"/>
            </w:tcMar>
          </w:tcPr>
          <w:p>
            <w:pPr>
              <w:pStyle w:val="Tabla"/>
            </w:pPr>
            <w:r>
              <w:rPr>
                <w:b/>
                <w:bCs/>
              </w:rPr>
              <w:t xml:space="preserve">C</w:t>
            </w:r>
          </w:p>
        </w:tc>
        <w:tc>
          <w:tcPr>
            <w:tcW w:type="dxa" w:w="3210"/>
            <w:tcMar>
              <w:top w:type="dxa" w:w="80"/>
              <w:left w:type="dxa" w:w="100"/>
              <w:bottom w:type="dxa" w:w="80"/>
              <w:right w:type="dxa" w:w="100"/>
            </w:tcMar>
          </w:tcPr>
          <w:p>
            <w:pPr>
              <w:pStyle w:val="Tabla"/>
            </w:pPr>
            <w:r>
              <w:t xml:space="preserve">Hoy, realidad actual</w:t>
            </w:r>
          </w:p>
        </w:tc>
        <w:tc>
          <w:tcPr>
            <w:tcW w:type="dxa" w:w="3210"/>
            <w:tcMar>
              <w:top w:type="dxa" w:w="80"/>
              <w:left w:type="dxa" w:w="100"/>
              <w:bottom w:type="dxa" w:w="80"/>
              <w:right w:type="dxa" w:w="100"/>
            </w:tcMar>
          </w:tcPr>
          <w:p>
            <w:pPr>
              <w:pStyle w:val="Tabla"/>
            </w:pPr>
            <w:r>
              <w:t xml:space="preserve">Dónde estamos; reconocer fortalezas, oportunidades, debilidades y amenazas.</w:t>
            </w:r>
          </w:p>
        </w:tc>
      </w:tr>
      <w:tr>
        <w:trPr>
          <w:cantSplit/>
          <w:tblHeader w:val="off"/>
        </w:trPr>
        <w:tc>
          <w:tcPr>
            <w:tcW w:type="dxa" w:w="3212"/>
            <w:tcMar>
              <w:top w:type="dxa" w:w="80"/>
              <w:left w:type="dxa" w:w="100"/>
              <w:bottom w:type="dxa" w:w="80"/>
              <w:right w:type="dxa" w:w="100"/>
            </w:tcMar>
          </w:tcPr>
          <w:p>
            <w:pPr>
              <w:pStyle w:val="Tabla"/>
            </w:pPr>
            <w:r>
              <w:rPr>
                <w:b/>
                <w:bCs/>
              </w:rPr>
              <w:t xml:space="preserve">D</w:t>
            </w:r>
          </w:p>
        </w:tc>
        <w:tc>
          <w:tcPr>
            <w:tcW w:type="dxa" w:w="3210"/>
            <w:tcMar>
              <w:top w:type="dxa" w:w="80"/>
              <w:left w:type="dxa" w:w="100"/>
              <w:bottom w:type="dxa" w:w="80"/>
              <w:right w:type="dxa" w:w="100"/>
            </w:tcMar>
          </w:tcPr>
          <w:p>
            <w:pPr>
              <w:pStyle w:val="Tabla"/>
            </w:pPr>
            <w:r>
              <w:t xml:space="preserve">Proceso</w:t>
            </w:r>
          </w:p>
        </w:tc>
        <w:tc>
          <w:tcPr>
            <w:tcW w:type="dxa" w:w="3210"/>
            <w:tcMar>
              <w:top w:type="dxa" w:w="80"/>
              <w:left w:type="dxa" w:w="100"/>
              <w:bottom w:type="dxa" w:w="80"/>
              <w:right w:type="dxa" w:w="100"/>
            </w:tcMar>
          </w:tcPr>
          <w:p>
            <w:pPr>
              <w:pStyle w:val="Tabla"/>
            </w:pPr>
            <w:r>
              <w:t xml:space="preserve">Cómo actuar con los recursos disponibles; plan de implementación y seguimiento.</w:t>
            </w:r>
          </w:p>
        </w:tc>
      </w:tr>
      <w:tr>
        <w:trPr>
          <w:cantSplit/>
          <w:tblHeader w:val="off"/>
        </w:trPr>
        <w:tc>
          <w:tcPr>
            <w:tcW w:type="dxa" w:w="3212"/>
            <w:tcMar>
              <w:top w:type="dxa" w:w="80"/>
              <w:left w:type="dxa" w:w="100"/>
              <w:bottom w:type="dxa" w:w="80"/>
              <w:right w:type="dxa" w:w="100"/>
            </w:tcMar>
          </w:tcPr>
          <w:p>
            <w:pPr>
              <w:pStyle w:val="Tabla"/>
            </w:pPr>
            <w:r>
              <w:rPr>
                <w:b/>
                <w:bCs/>
              </w:rPr>
              <w:t xml:space="preserve">E</w:t>
            </w:r>
          </w:p>
        </w:tc>
        <w:tc>
          <w:tcPr>
            <w:tcW w:type="dxa" w:w="3210"/>
            <w:tcMar>
              <w:top w:type="dxa" w:w="80"/>
              <w:left w:type="dxa" w:w="100"/>
              <w:bottom w:type="dxa" w:w="80"/>
              <w:right w:type="dxa" w:w="100"/>
            </w:tcMar>
          </w:tcPr>
          <w:p>
            <w:pPr>
              <w:pStyle w:val="Tabla"/>
            </w:pPr>
            <w:r>
              <w:t xml:space="preserve">Entorno</w:t>
            </w:r>
          </w:p>
        </w:tc>
        <w:tc>
          <w:tcPr>
            <w:tcW w:type="dxa" w:w="3210"/>
            <w:tcMar>
              <w:top w:type="dxa" w:w="80"/>
              <w:left w:type="dxa" w:w="100"/>
              <w:bottom w:type="dxa" w:w="80"/>
              <w:right w:type="dxa" w:w="100"/>
            </w:tcMar>
          </w:tcPr>
          <w:p>
            <w:pPr>
              <w:pStyle w:val="Tabla"/>
            </w:pPr>
            <w:r>
              <w:t xml:space="preserve">Condiciones cambiantes, ambiguas y complejas que exigen observar y ajustar.</w:t>
            </w:r>
          </w:p>
        </w:tc>
      </w:tr>
    </w:tbl>
    <w:p>
      <w:pPr>
        <w:pStyle w:val="Normal"/>
      </w:pPr>
      <w:r>
        <w:t xml:space="preserve">El orden alfabético no es el recorrido cronológico del dibujo: </w:t>
      </w:r>
      <w:r>
        <w:rPr>
          <w:b/>
          <w:bCs/>
        </w:rPr>
        <w:t xml:space="preserve">C es el presente y A es el futuro</w:t>
      </w:r>
      <w:r>
        <w:t xml:space="preserve">. B permite revisar el avance; E no desaparece porque el plan esté bien diseñado. Si se solicita identificar letras, conservar las de esta figura, no inventar un nuevo orden.</w:t>
      </w:r>
    </w:p>
    <w:p>
      <w:pPr>
        <w:pStyle w:val="Heading3"/>
      </w:pPr>
      <w:bookmarkStart w:name="b_lectura_h7" w:id="5017"/>
      <w:r>
        <w:t xml:space="preserve">4.7.7. Seis habilidades de resiliencia</w:t>
      </w:r>
      <w:bookmarkEnd w:id="5017"/>
    </w:p>
    <w:p>
      <w:pPr>
        <w:pStyle w:val="Normal"/>
      </w:pPr>
      <w:r>
        <w:t xml:space="preserve">Lectura L-20, pp. 4–5; presentación 4b, p. 39.</w:t>
      </w:r>
    </w:p>
    <w:p>
      <w:pPr>
        <w:pStyle w:val="Normal"/>
        <w:numPr>
          <w:ilvl w:val="0"/>
          <w:numId w:val="2"/>
        </w:numPr>
      </w:pPr>
      <w:r>
        <w:rPr>
          <w:b/>
          <w:bCs/>
        </w:rPr>
        <w:t xml:space="preserve">Positivos:</w:t>
      </w:r>
      <w:r>
        <w:t xml:space="preserve"> identificar posibilidades y oportunidades sin distorsionar los hechos.</w:t>
      </w:r>
    </w:p>
    <w:p>
      <w:pPr>
        <w:pStyle w:val="Normal"/>
        <w:numPr>
          <w:ilvl w:val="0"/>
          <w:numId w:val="2"/>
        </w:numPr>
      </w:pPr>
      <w:r>
        <w:rPr>
          <w:b/>
          <w:bCs/>
        </w:rPr>
        <w:t xml:space="preserve">Concentrados:</w:t>
      </w:r>
      <w:r>
        <w:t xml:space="preserve"> mantener una visión clara del objetivo cuando aparece incertidumbre.</w:t>
      </w:r>
    </w:p>
    <w:p>
      <w:pPr>
        <w:pStyle w:val="Normal"/>
        <w:numPr>
          <w:ilvl w:val="0"/>
          <w:numId w:val="2"/>
        </w:numPr>
      </w:pPr>
      <w:r>
        <w:rPr>
          <w:b/>
          <w:bCs/>
        </w:rPr>
        <w:t xml:space="preserve">Flexibles:</w:t>
      </w:r>
      <w:r>
        <w:t xml:space="preserve"> usar recursos internos y externos con creatividad y explorar otras formas de actuar.</w:t>
      </w:r>
    </w:p>
    <w:p>
      <w:pPr>
        <w:pStyle w:val="Normal"/>
        <w:numPr>
          <w:ilvl w:val="0"/>
          <w:numId w:val="2"/>
        </w:numPr>
      </w:pPr>
      <w:r>
        <w:rPr>
          <w:b/>
          <w:bCs/>
        </w:rPr>
        <w:t xml:space="preserve">Organizados:</w:t>
      </w:r>
      <w:r>
        <w:t xml:space="preserve"> planificar y coordinar aun cuando exista ambigüedad.</w:t>
      </w:r>
    </w:p>
    <w:p>
      <w:pPr>
        <w:pStyle w:val="Normal"/>
        <w:numPr>
          <w:ilvl w:val="0"/>
          <w:numId w:val="2"/>
        </w:numPr>
      </w:pPr>
      <w:r>
        <w:rPr>
          <w:b/>
          <w:bCs/>
        </w:rPr>
        <w:t xml:space="preserve">Proactivos:</w:t>
      </w:r>
      <w:r>
        <w:t xml:space="preserve"> actuar ante la incertidumbre, prever y evaluar riesgos, y ajustar.</w:t>
      </w:r>
    </w:p>
    <w:p>
      <w:pPr>
        <w:pStyle w:val="Normal"/>
        <w:numPr>
          <w:ilvl w:val="0"/>
          <w:numId w:val="2"/>
        </w:numPr>
      </w:pPr>
      <w:r>
        <w:rPr>
          <w:b/>
          <w:bCs/>
        </w:rPr>
        <w:t xml:space="preserve">Adaptables:</w:t>
      </w:r>
      <w:r>
        <w:t xml:space="preserve"> responder a nuevas condiciones reconociendo que el cambio no es uniforme ni lineal.</w:t>
      </w:r>
    </w:p>
    <w:p>
      <w:pPr>
        <w:pStyle w:val="Normal"/>
      </w:pPr>
      <w:r>
        <w:t xml:space="preserve">Flexible enfatiza alternativas y uso de recursos; adaptable enfatiza el ajuste a condiciones nuevas. La distinción es didáctica: ambas habilidades se relacionan. Proactividad no significa actuar sin análisis ni evitar que ocurra cualquier dificultad.</w:t>
      </w:r>
    </w:p>
    <w:p>
      <w:pPr>
        <w:pStyle w:val="Heading3"/>
      </w:pPr>
      <w:bookmarkStart w:name="b_lectura_h8" w:id="5018"/>
      <w:r>
        <w:t xml:space="preserve">4.7.8. La montaña rusa del cambio</w:t>
      </w:r>
      <w:bookmarkEnd w:id="5018"/>
    </w:p>
    <w:p>
      <w:pPr>
        <w:pStyle w:val="Normal"/>
      </w:pPr>
      <w:r>
        <w:t xml:space="preserve">Lectura L-20, pp. 5–6; presentación 4b, p. 40; clase 23, 01:33:05–01:34:36. El esquema de la lectura presenta:</w:t>
      </w:r>
    </w:p>
    <w:p>
      <w:pPr>
        <w:pStyle w:val="Normal"/>
      </w:pPr>
      <w:r>
        <w:rPr>
          <w:b/>
          <w:bCs/>
        </w:rPr>
        <w:t xml:space="preserve">Shock → parálisis → negación → ira → depresión → racionalización → aceptación y compromiso.</w:t>
      </w:r>
    </w:p>
    <w:p>
      <w:pPr>
        <w:pStyle w:val="Normal"/>
      </w:pPr>
      <w:r>
        <w:t xml:space="preserve">Representa posibles altibajos en el proceso de cambio y la necesidad de observar, acompañar y recuperar la capacidad de actuar. No es una secuencia obligatoria por la que todas las personas deban pasar ni una herramienta diagnóstica. En esa lectura, la racionalización problemática consiste en explicar la situación de un modo que desconecta de la realidad y evita avanzar; no significa que razonar sea perjudicial.</w:t>
      </w:r>
    </w:p>
    <w:p>
      <w:pPr>
        <w:pStyle w:val="Normal"/>
      </w:pPr>
      <w:r>
        <w:t xml:space="preserve">Aceptación y compromiso vinculan reconocer las condiciones presentes con acciones orientadas al futuro. Puede haber retrocesos; el feedback permite advertirlos. La visión holística reúne realidad actual, objetivos, recursos, valores, entorno y las seis habilidades, en lugar de estudiar cada pieza de forma aislada.</w:t>
      </w:r>
    </w:p>
    <w:p>
      <w:pPr>
        <w:pStyle w:val="Heading3"/>
      </w:pPr>
      <w:bookmarkStart w:name="b_lectura_h9" w:id="5019"/>
      <w:r>
        <w:t xml:space="preserve">4.7.9. Aplicar resiliencia en una organización</w:t>
      </w:r>
      <w:bookmarkEnd w:id="5019"/>
    </w:p>
    <w:p>
      <w:pPr>
        <w:pStyle w:val="Normal"/>
      </w:pPr>
      <w:r>
        <w:t xml:space="preserve">La página 7 de L-20 desarrolla el diseño y la implementación organizacional.</w:t>
      </w:r>
    </w:p>
    <w:p>
      <w:pPr>
        <w:pStyle w:val="Normal"/>
      </w:pPr>
      <w:r>
        <w:rPr>
          <w:b/>
          <w:bCs/>
        </w:rPr>
        <w:t xml:space="preserve">Diseño previo, seis pasos:</w:t>
      </w:r>
      <w:r>
        <w:t xml:space="preserve"> presentar a los involucrados el proceso completo y su feedback; diagnosticar la situación actual; establecer o revisar valores; definir objetivos; asignar responsabilidades; diseñar el modelo de implementación, seguimiento y herramientas.</w:t>
      </w:r>
    </w:p>
    <w:p>
      <w:pPr>
        <w:pStyle w:val="Normal"/>
      </w:pPr>
      <w:r>
        <w:rPr>
          <w:b/>
          <w:bCs/>
        </w:rPr>
        <w:t xml:space="preserve">Implementación, cinco pasos:</w:t>
      </w:r>
      <w:r>
        <w:t xml:space="preserve"> desarrollar habilidades y herramientas adecuadas; obtener feedback y evaluar avances; analizar alternativas según resultados y entorno; acompañar los ajustes necesarios; mantener un seguimiento permanente.</w:t>
      </w:r>
    </w:p>
    <w:p>
      <w:pPr>
        <w:pStyle w:val="Normal"/>
      </w:pPr>
      <w:r>
        <w:t xml:space="preserve">Ejemplo de integración: ante una interrupción del servicio, la biblioteca reconoce las condiciones reales, define qué servicio necesita recuperar, organiza las responsabilidades y recursos disponibles, observa tiempo y errores, y ajusta el proceso sin ocultar las dificultades. La resiliencia aporta capacidad de adaptación; la aproximación sucesiva aporta el recorrido de revisión y mejora. Ninguna sustituye conocer la estructura del problema.</w:t>
      </w:r>
    </w:p>
    <w:p>
      <w:pPr>
        <w:pStyle w:val="Heading3"/>
      </w:pPr>
      <w:r>
        <w:t xml:space="preserve">Hábitos en la edición de octubre</w:t>
      </w:r>
    </w:p>
    <w:p>
      <w:pPr>
        <w:pStyle w:val="Normal"/>
      </w:pPr>
      <w:r>
        <w:t xml:space="preserve">La simulación conecta acumulaciones, consecuencias, comprensión completa, apalancamiento y revisión sucesiva. Tras implementar una solución se comparan resultados y se ajusta, según los hábitos ya desarrollados en la lección.</w:t>
      </w:r>
    </w:p>
    <w:p>
      <w:pPr>
        <w:pStyle w:val="Fuente"/>
      </w:pPr>
      <w:r>
        <w:t xml:space="preserve">Presentación 4a de octubre (C-7), lámina 10 · Presentación 4b de octubre (C-8), lámina 47</w:t>
      </w:r>
    </w:p>
    <w:p>
      <w:pPr>
        <w:pStyle w:val="Heading3"/>
      </w:pPr>
      <w:r>
        <w:t xml:space="preserve">Los cinco hábitos de la Unidad 4</w:t>
      </w:r>
    </w:p>
    <w:p>
      <w:pPr>
        <w:pStyle w:val="Normal"/>
      </w:pPr>
      <w:r>
        <w:t xml:space="preserve">8: considerar el tema completamente y resistir conclusiones rápidas. 10: comprender la estructura para encontrar acciones de apalancamiento.</w:t>
      </w:r>
    </w:p>
    <w:p>
      <w:pPr>
        <w:pStyle w:val="Normal"/>
      </w:pPr>
      <w:r>
        <w:t xml:space="preserve">11: considerar consecuencias a corto y largo plazo e inesperadas. 12: atender acumulaciones y tasas de cambio. 14: examinar resultados y ajustar acciones.</w:t>
      </w:r>
    </w:p>
    <w:p>
      <w:pPr>
        <w:pStyle w:val="Normal"/>
      </w:pPr>
      <w:r>
        <w:t xml:space="preserve">La numeración de los cursos del portal difiere de la del póster. Relaciona número, nombre, evidencia del caso y una acción concreta.</w:t>
      </w:r>
    </w:p>
    <w:p>
      <w:pPr>
        <w:pStyle w:val="Fuente"/>
      </w:pPr>
      <w:r>
        <w:t xml:space="preserve">Guía de estudio · edición 20/10/2026 · pp. 24–26</w:t>
      </w:r>
    </w:p>
    <w:p>
      <w:pPr>
        <w:pStyle w:val="Heading3"/>
      </w:pPr>
      <w:r>
        <w:t xml:space="preserve">Cuatro etapas de resolución</w:t>
      </w:r>
    </w:p>
    <w:p>
      <w:pPr>
        <w:pStyle w:val="Normal"/>
      </w:pPr>
      <w:r>
        <w:t xml:space="preserve">Conciencia del problema: hábitos 1, 2, 3 y 4. Comprensión del problema: hábitos 6, 7, 8 y 9.</w:t>
      </w:r>
    </w:p>
    <w:p>
      <w:pPr>
        <w:pStyle w:val="Normal"/>
      </w:pPr>
      <w:r>
        <w:t xml:space="preserve">Planificar y actuar: hábitos 10, 11, 12 y 13. Después de implementar: hábito 14, aproximación sucesiva.</w:t>
      </w:r>
    </w:p>
    <w:p>
      <w:pPr>
        <w:pStyle w:val="Normal"/>
      </w:pPr>
      <w:r>
        <w:t xml:space="preserve">El hábito 5 no aparece asignado a una etapa en las láminas. El proceso es iterativo: los resultados pueden llevar a revisar la comprensión y el plan.</w:t>
      </w:r>
    </w:p>
    <w:p>
      <w:pPr>
        <w:pStyle w:val="Fuente"/>
      </w:pPr>
      <w:r>
        <w:t xml:space="preserve">Presentación 4b · pp. 43–47; guía pp. 25–26</w:t>
      </w:r>
    </w:p>
    <w:p>
      <w:pPr>
        <w:pStyle w:val="Heading3"/>
      </w:pPr>
      <w:r>
        <w:t xml:space="preserve">Resiliencia y sentido</w:t>
      </w:r>
    </w:p>
    <w:p>
      <w:pPr>
        <w:pStyle w:val="Normal"/>
      </w:pPr>
      <w:r>
        <w:t xml:space="preserve">Resiliencia: capacidad de absorber impactos y recuperarse. Sus bases incluyen objetivos futuros, enfrentar la realidad, búsqueda de sentido y hacer con los recursos disponibles.</w:t>
      </w:r>
    </w:p>
    <w:p>
      <w:pPr>
        <w:pStyle w:val="Normal"/>
      </w:pPr>
      <w:r>
        <w:t xml:space="preserve">El modelo del Hoy al Mañana relaciona realidad actual, objetivos, proceso, feedback y valores dentro de un entorno cambiante.</w:t>
      </w:r>
    </w:p>
    <w:p>
      <w:pPr>
        <w:pStyle w:val="Normal"/>
      </w:pPr>
      <w:r>
        <w:t xml:space="preserve">Aplicar resiliencia no significa repetir una acción que falla: observa los resultados y ajusta sin perder el objetivo y el sentido.</w:t>
      </w:r>
    </w:p>
    <w:p>
      <w:pPr>
        <w:pStyle w:val="Fuente"/>
      </w:pPr>
      <w:r>
        <w:t xml:space="preserve">Lectura L-20; guía p. 26</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Procedimiento</w:t>
            </w:r>
          </w:p>
          <w:p>
            <w:pPr>
              <w:pStyle w:val="Recuadro"/>
            </w:pPr>
            <w:r>
              <w:t xml:space="preserve">Responder una pregunta de aplicación de hábitos</w:t>
            </w:r>
          </w:p>
          <w:p>
            <w:pPr>
              <w:pStyle w:val="Recuadro"/>
            </w:pPr>
            <w:r>
              <w:t xml:space="preserve">1. </w:t>
            </w:r>
            <w:r>
              <w:rPr>
                <w:b/>
                <w:bCs/>
              </w:rPr>
              <w:t xml:space="preserve">Leer el caso.</w:t>
            </w:r>
            <w:r>
              <w:t xml:space="preserve"> Identifica qué está haciendo o dejando de hacer la persona: comprender, anticipar, modelar o revisar. (Guía de estudio · edición 20/10/2026 · pp. 24–26)</w:t>
            </w:r>
          </w:p>
          <w:p>
            <w:pPr>
              <w:pStyle w:val="Recuadro"/>
            </w:pPr>
            <w:r>
              <w:t xml:space="preserve">2. </w:t>
            </w:r>
            <w:r>
              <w:rPr>
                <w:b/>
                <w:bCs/>
              </w:rPr>
              <w:t xml:space="preserve">Nombrar.</w:t>
            </w:r>
            <w:r>
              <w:t xml:space="preserve"> Indica el hábito y su número del póster; si se pregunta por una etapa, consulta su grupo. (Guía de estudio · edición 20/10/2026 · pp. 24–26)</w:t>
            </w:r>
          </w:p>
          <w:p>
            <w:pPr>
              <w:pStyle w:val="Recuadro"/>
            </w:pPr>
            <w:r>
              <w:t xml:space="preserve">3. </w:t>
            </w:r>
            <w:r>
              <w:rPr>
                <w:b/>
                <w:bCs/>
              </w:rPr>
              <w:t xml:space="preserve">Justificar.</w:t>
            </w:r>
            <w:r>
              <w:t xml:space="preserve"> Cita una evidencia concreta del caso que corresponda al hábito elegido. (Guía de estudio · edición 20/10/2026 · pp. 26)</w:t>
            </w:r>
          </w:p>
          <w:p>
            <w:pPr>
              <w:pStyle w:val="Recuadro"/>
            </w:pPr>
            <w:r>
              <w:t xml:space="preserve">4. </w:t>
            </w:r>
            <w:r>
              <w:rPr>
                <w:b/>
                <w:bCs/>
              </w:rPr>
              <w:t xml:space="preserve">Actuar.</w:t>
            </w:r>
            <w:r>
              <w:t xml:space="preserve"> Propón una acción y una forma de comprobar el resultado. Conecta la revisión con la aproximación sucesiva. (Guía de estudio · edición 20/10/2026 · pp. 26)</w:t>
            </w:r>
          </w:p>
          <w:p>
            <w:pPr>
              <w:pStyle w:val="Recuadro"/>
            </w:pPr>
            <w:r>
              <w:t xml:space="preserve">Número y nombre del hábito + evidencia del caso + acción verificable.</w:t>
            </w:r>
          </w:p>
        </w:tc>
      </w:tr>
    </w:tbl>
    <w:p>
      <w:pPr>
        <w:pStyle w:val="Heading3"/>
      </w:pPr>
      <w:bookmarkStart w:name="b_tabla_4_7_g3_g3_habitos" w:id="5020"/>
      <w:r>
        <w:t xml:space="preserve">Hábitos de la Unidad 4</w:t>
      </w:r>
      <w:bookmarkEnd w:id="5020"/>
    </w:p>
    <w:tbl>
      <w:tblPr>
        <w:tblW w:type="dxa" w:w="9632"/>
        <w:tblBorders>
          <w:top w:val="single" w:color="C5D5DB" w:sz="4"/>
          <w:left w:val="single" w:color="C5D5DB" w:sz="4"/>
          <w:bottom w:val="single" w:color="C5D5DB" w:sz="4"/>
          <w:right w:val="single" w:color="C5D5DB" w:sz="4"/>
          <w:insideH w:val="single" w:color="E4E9EB" w:sz="3"/>
          <w:insideV w:val="single" w:color="E4E9EB" w:sz="3"/>
        </w:tblBorders>
        <w:tblLayout w:type="fixed"/>
      </w:tblPr>
      <w:tblGrid>
        <w:gridCol w:w="4816"/>
        <w:gridCol w:w="4816"/>
      </w:tblGrid>
      <w:tr>
        <w:trPr>
          <w:cantSplit/>
          <w:tblHeader/>
        </w:trPr>
        <w:tc>
          <w:tcPr>
            <w:tcW w:type="dxa" w:w="4816"/>
            <w:shd w:fill="DFEAF0" w:val="clear"/>
            <w:tcMar>
              <w:top w:type="dxa" w:w="80"/>
              <w:left w:type="dxa" w:w="100"/>
              <w:bottom w:type="dxa" w:w="80"/>
              <w:right w:type="dxa" w:w="100"/>
            </w:tcMar>
          </w:tcPr>
          <w:p>
            <w:pPr>
              <w:pStyle w:val="Tabla"/>
            </w:pPr>
            <w:r>
              <w:rPr>
                <w:b/>
                <w:bCs/>
              </w:rPr>
              <w:t xml:space="preserve">N.º del póster</w:t>
            </w:r>
          </w:p>
        </w:tc>
        <w:tc>
          <w:tcPr>
            <w:tcW w:type="dxa" w:w="4816"/>
            <w:shd w:fill="DFEAF0" w:val="clear"/>
            <w:tcMar>
              <w:top w:type="dxa" w:w="80"/>
              <w:left w:type="dxa" w:w="100"/>
              <w:bottom w:type="dxa" w:w="80"/>
              <w:right w:type="dxa" w:w="100"/>
            </w:tcMar>
          </w:tcPr>
          <w:p>
            <w:pPr>
              <w:pStyle w:val="Tabla"/>
            </w:pPr>
            <w:r>
              <w:rPr>
                <w:b/>
                <w:bCs/>
              </w:rPr>
              <w:t xml:space="preserve">Hábito</w:t>
            </w:r>
          </w:p>
        </w:tc>
      </w:tr>
      <w:tr>
        <w:trPr>
          <w:cantSplit/>
          <w:tblHeader w:val="off"/>
        </w:trPr>
        <w:tc>
          <w:tcPr>
            <w:tcW w:type="dxa" w:w="4816"/>
            <w:tcMar>
              <w:top w:type="dxa" w:w="80"/>
              <w:left w:type="dxa" w:w="100"/>
              <w:bottom w:type="dxa" w:w="80"/>
              <w:right w:type="dxa" w:w="100"/>
            </w:tcMar>
          </w:tcPr>
          <w:p>
            <w:pPr>
              <w:pStyle w:val="Tabla"/>
            </w:pPr>
            <w:r>
              <w:t xml:space="preserve">8</w:t>
            </w:r>
          </w:p>
        </w:tc>
        <w:tc>
          <w:tcPr>
            <w:tcW w:type="dxa" w:w="4816"/>
            <w:tcMar>
              <w:top w:type="dxa" w:w="80"/>
              <w:left w:type="dxa" w:w="100"/>
              <w:bottom w:type="dxa" w:w="80"/>
              <w:right w:type="dxa" w:w="100"/>
            </w:tcMar>
          </w:tcPr>
          <w:p>
            <w:pPr>
              <w:pStyle w:val="Tabla"/>
            </w:pPr>
            <w:r>
              <w:t xml:space="preserve">Considera un tema completamente y resiste al impulso de llegar a una conclusión rápida</w:t>
            </w:r>
          </w:p>
        </w:tc>
      </w:tr>
      <w:tr>
        <w:trPr>
          <w:cantSplit/>
          <w:tblHeader w:val="off"/>
        </w:trPr>
        <w:tc>
          <w:tcPr>
            <w:tcW w:type="dxa" w:w="4816"/>
            <w:tcMar>
              <w:top w:type="dxa" w:w="80"/>
              <w:left w:type="dxa" w:w="100"/>
              <w:bottom w:type="dxa" w:w="80"/>
              <w:right w:type="dxa" w:w="100"/>
            </w:tcMar>
          </w:tcPr>
          <w:p>
            <w:pPr>
              <w:pStyle w:val="Tabla"/>
            </w:pPr>
            <w:r>
              <w:t xml:space="preserve">10</w:t>
            </w:r>
          </w:p>
        </w:tc>
        <w:tc>
          <w:tcPr>
            <w:tcW w:type="dxa" w:w="4816"/>
            <w:tcMar>
              <w:top w:type="dxa" w:w="80"/>
              <w:left w:type="dxa" w:w="100"/>
              <w:bottom w:type="dxa" w:w="80"/>
              <w:right w:type="dxa" w:w="100"/>
            </w:tcMar>
          </w:tcPr>
          <w:p>
            <w:pPr>
              <w:pStyle w:val="Tabla"/>
            </w:pPr>
            <w:r>
              <w:t xml:space="preserve">Usa la comprensión de la estructura de un sistema para identificar posibles acciones de efecto apalancamiento</w:t>
            </w:r>
          </w:p>
        </w:tc>
      </w:tr>
      <w:tr>
        <w:trPr>
          <w:cantSplit/>
          <w:tblHeader w:val="off"/>
        </w:trPr>
        <w:tc>
          <w:tcPr>
            <w:tcW w:type="dxa" w:w="4816"/>
            <w:tcMar>
              <w:top w:type="dxa" w:w="80"/>
              <w:left w:type="dxa" w:w="100"/>
              <w:bottom w:type="dxa" w:w="80"/>
              <w:right w:type="dxa" w:w="100"/>
            </w:tcMar>
          </w:tcPr>
          <w:p>
            <w:pPr>
              <w:pStyle w:val="Tabla"/>
            </w:pPr>
            <w:r>
              <w:t xml:space="preserve">11</w:t>
            </w:r>
          </w:p>
        </w:tc>
        <w:tc>
          <w:tcPr>
            <w:tcW w:type="dxa" w:w="4816"/>
            <w:tcMar>
              <w:top w:type="dxa" w:w="80"/>
              <w:left w:type="dxa" w:w="100"/>
              <w:bottom w:type="dxa" w:w="80"/>
              <w:right w:type="dxa" w:w="100"/>
            </w:tcMar>
          </w:tcPr>
          <w:p>
            <w:pPr>
              <w:pStyle w:val="Tabla"/>
            </w:pPr>
            <w:r>
              <w:t xml:space="preserve">Considera las consecuencias a corto plazo, a largo plazo, e inesperadas de las acciones</w:t>
            </w:r>
          </w:p>
        </w:tc>
      </w:tr>
      <w:tr>
        <w:trPr>
          <w:cantSplit/>
          <w:tblHeader w:val="off"/>
        </w:trPr>
        <w:tc>
          <w:tcPr>
            <w:tcW w:type="dxa" w:w="4816"/>
            <w:tcMar>
              <w:top w:type="dxa" w:w="80"/>
              <w:left w:type="dxa" w:w="100"/>
              <w:bottom w:type="dxa" w:w="80"/>
              <w:right w:type="dxa" w:w="100"/>
            </w:tcMar>
          </w:tcPr>
          <w:p>
            <w:pPr>
              <w:pStyle w:val="Tabla"/>
            </w:pPr>
            <w:r>
              <w:t xml:space="preserve">12</w:t>
            </w:r>
          </w:p>
        </w:tc>
        <w:tc>
          <w:tcPr>
            <w:tcW w:type="dxa" w:w="4816"/>
            <w:tcMar>
              <w:top w:type="dxa" w:w="80"/>
              <w:left w:type="dxa" w:w="100"/>
              <w:bottom w:type="dxa" w:w="80"/>
              <w:right w:type="dxa" w:w="100"/>
            </w:tcMar>
          </w:tcPr>
          <w:p>
            <w:pPr>
              <w:pStyle w:val="Tabla"/>
            </w:pPr>
            <w:r>
              <w:t xml:space="preserve">Presta atención a las acumulaciones y sus tasas de cambio</w:t>
            </w:r>
          </w:p>
        </w:tc>
      </w:tr>
      <w:tr>
        <w:trPr>
          <w:cantSplit/>
          <w:tblHeader w:val="off"/>
        </w:trPr>
        <w:tc>
          <w:tcPr>
            <w:tcW w:type="dxa" w:w="4816"/>
            <w:tcMar>
              <w:top w:type="dxa" w:w="80"/>
              <w:left w:type="dxa" w:w="100"/>
              <w:bottom w:type="dxa" w:w="80"/>
              <w:right w:type="dxa" w:w="100"/>
            </w:tcMar>
          </w:tcPr>
          <w:p>
            <w:pPr>
              <w:pStyle w:val="Tabla"/>
            </w:pPr>
            <w:r>
              <w:t xml:space="preserve">14</w:t>
            </w:r>
          </w:p>
        </w:tc>
        <w:tc>
          <w:tcPr>
            <w:tcW w:type="dxa" w:w="4816"/>
            <w:tcMar>
              <w:top w:type="dxa" w:w="80"/>
              <w:left w:type="dxa" w:w="100"/>
              <w:bottom w:type="dxa" w:w="80"/>
              <w:right w:type="dxa" w:w="100"/>
            </w:tcMar>
          </w:tcPr>
          <w:p>
            <w:pPr>
              <w:pStyle w:val="Tabla"/>
            </w:pPr>
            <w:r>
              <w:t xml:space="preserve">Examina los resultados y cambia las acciones si es necesario: «aproximación sucesiva»</w:t>
            </w:r>
          </w:p>
        </w:tc>
      </w:tr>
    </w:tbl>
    <w:p>
      <w:pPr>
        <w:pStyle w:val="Fuente"/>
      </w:pPr>
      <w:r>
        <w:t xml:space="preserve">Presentaciones 4a y 4b. Usa la numeración del póster, que difiere de la numeración de los cursos del portal.</w:t>
      </w:r>
    </w:p>
    <w:p>
      <w:pPr>
        <w:pStyle w:val="Heading3"/>
      </w:pPr>
      <w:bookmarkStart w:name="b_tabla_4_7_g3_g3_etapas" w:id="5021"/>
      <w:r>
        <w:t xml:space="preserve">Cuatro etapas de resolución</w:t>
      </w:r>
      <w:bookmarkEnd w:id="5021"/>
    </w:p>
    <w:tbl>
      <w:tblPr>
        <w:tblW w:type="dxa" w:w="9632"/>
        <w:tblBorders>
          <w:top w:val="single" w:color="C5D5DB" w:sz="4"/>
          <w:left w:val="single" w:color="C5D5DB" w:sz="4"/>
          <w:bottom w:val="single" w:color="C5D5DB" w:sz="4"/>
          <w:right w:val="single" w:color="C5D5DB" w:sz="4"/>
          <w:insideH w:val="single" w:color="E4E9EB" w:sz="3"/>
          <w:insideV w:val="single" w:color="E4E9EB" w:sz="3"/>
        </w:tblBorders>
        <w:tblLayout w:type="fixed"/>
      </w:tblPr>
      <w:tblGrid>
        <w:gridCol w:w="3212"/>
        <w:gridCol w:w="3210"/>
        <w:gridCol w:w="3210"/>
      </w:tblGrid>
      <w:tr>
        <w:trPr>
          <w:cantSplit/>
          <w:tblHeader/>
        </w:trPr>
        <w:tc>
          <w:tcPr>
            <w:tcW w:type="dxa" w:w="3212"/>
            <w:shd w:fill="DFEAF0" w:val="clear"/>
            <w:tcMar>
              <w:top w:type="dxa" w:w="80"/>
              <w:left w:type="dxa" w:w="100"/>
              <w:bottom w:type="dxa" w:w="80"/>
              <w:right w:type="dxa" w:w="100"/>
            </w:tcMar>
          </w:tcPr>
          <w:p>
            <w:pPr>
              <w:pStyle w:val="Tabla"/>
            </w:pPr>
            <w:r>
              <w:rPr>
                <w:b/>
                <w:bCs/>
              </w:rPr>
              <w:t xml:space="preserve">Etapa</w:t>
            </w:r>
          </w:p>
        </w:tc>
        <w:tc>
          <w:tcPr>
            <w:tcW w:type="dxa" w:w="3210"/>
            <w:shd w:fill="DFEAF0" w:val="clear"/>
            <w:tcMar>
              <w:top w:type="dxa" w:w="80"/>
              <w:left w:type="dxa" w:w="100"/>
              <w:bottom w:type="dxa" w:w="80"/>
              <w:right w:type="dxa" w:w="100"/>
            </w:tcMar>
          </w:tcPr>
          <w:p>
            <w:pPr>
              <w:pStyle w:val="Tabla"/>
            </w:pPr>
            <w:r>
              <w:rPr>
                <w:b/>
                <w:bCs/>
              </w:rPr>
              <w:t xml:space="preserve">Hábitos del póster</w:t>
            </w:r>
          </w:p>
        </w:tc>
        <w:tc>
          <w:tcPr>
            <w:tcW w:type="dxa" w:w="3210"/>
            <w:shd w:fill="DFEAF0" w:val="clear"/>
            <w:tcMar>
              <w:top w:type="dxa" w:w="80"/>
              <w:left w:type="dxa" w:w="100"/>
              <w:bottom w:type="dxa" w:w="80"/>
              <w:right w:type="dxa" w:w="100"/>
            </w:tcMar>
          </w:tcPr>
          <w:p>
            <w:pPr>
              <w:pStyle w:val="Tabla"/>
            </w:pPr>
            <w:r>
              <w:rPr>
                <w:b/>
                <w:bCs/>
              </w:rPr>
              <w:t xml:space="preserve">Qué haces</w:t>
            </w:r>
          </w:p>
        </w:tc>
      </w:tr>
      <w:tr>
        <w:trPr>
          <w:cantSplit/>
          <w:tblHeader w:val="off"/>
        </w:trPr>
        <w:tc>
          <w:tcPr>
            <w:tcW w:type="dxa" w:w="3212"/>
            <w:tcMar>
              <w:top w:type="dxa" w:w="80"/>
              <w:left w:type="dxa" w:w="100"/>
              <w:bottom w:type="dxa" w:w="80"/>
              <w:right w:type="dxa" w:w="100"/>
            </w:tcMar>
          </w:tcPr>
          <w:p>
            <w:pPr>
              <w:pStyle w:val="Tabla"/>
            </w:pPr>
            <w:r>
              <w:t xml:space="preserve">1. Desarrollar conciencia del problema</w:t>
            </w:r>
          </w:p>
        </w:tc>
        <w:tc>
          <w:tcPr>
            <w:tcW w:type="dxa" w:w="3210"/>
            <w:tcMar>
              <w:top w:type="dxa" w:w="80"/>
              <w:left w:type="dxa" w:w="100"/>
              <w:bottom w:type="dxa" w:w="80"/>
              <w:right w:type="dxa" w:w="100"/>
            </w:tcMar>
          </w:tcPr>
          <w:p>
            <w:pPr>
              <w:pStyle w:val="Tabla"/>
            </w:pPr>
            <w:r>
              <w:t xml:space="preserve">1, 2, 3, 4</w:t>
            </w:r>
          </w:p>
        </w:tc>
        <w:tc>
          <w:tcPr>
            <w:tcW w:type="dxa" w:w="3210"/>
            <w:tcMar>
              <w:top w:type="dxa" w:w="80"/>
              <w:left w:type="dxa" w:w="100"/>
              <w:bottom w:type="dxa" w:w="80"/>
              <w:right w:type="dxa" w:w="100"/>
            </w:tcMar>
          </w:tcPr>
          <w:p>
            <w:pPr>
              <w:pStyle w:val="Tabla"/>
            </w:pPr>
            <w:r>
              <w:t xml:space="preserve">Observe la película completa, las tendencias, la estructura y las relaciones circulares para construir una primera comprensión.</w:t>
            </w:r>
          </w:p>
        </w:tc>
      </w:tr>
      <w:tr>
        <w:trPr>
          <w:cantSplit/>
          <w:tblHeader w:val="off"/>
        </w:trPr>
        <w:tc>
          <w:tcPr>
            <w:tcW w:type="dxa" w:w="3212"/>
            <w:tcMar>
              <w:top w:type="dxa" w:w="80"/>
              <w:left w:type="dxa" w:w="100"/>
              <w:bottom w:type="dxa" w:w="80"/>
              <w:right w:type="dxa" w:w="100"/>
            </w:tcMar>
          </w:tcPr>
          <w:p>
            <w:pPr>
              <w:pStyle w:val="Tabla"/>
            </w:pPr>
            <w:r>
              <w:t xml:space="preserve">2. Aumenta la comprensión del problema</w:t>
            </w:r>
          </w:p>
        </w:tc>
        <w:tc>
          <w:tcPr>
            <w:tcW w:type="dxa" w:w="3210"/>
            <w:tcMar>
              <w:top w:type="dxa" w:w="80"/>
              <w:left w:type="dxa" w:w="100"/>
              <w:bottom w:type="dxa" w:w="80"/>
              <w:right w:type="dxa" w:w="100"/>
            </w:tcMar>
          </w:tcPr>
          <w:p>
            <w:pPr>
              <w:pStyle w:val="Tabla"/>
            </w:pPr>
            <w:r>
              <w:t xml:space="preserve">6, 7, 8, 9</w:t>
            </w:r>
          </w:p>
        </w:tc>
        <w:tc>
          <w:tcPr>
            <w:tcW w:type="dxa" w:w="3210"/>
            <w:tcMar>
              <w:top w:type="dxa" w:w="80"/>
              <w:left w:type="dxa" w:w="100"/>
              <w:bottom w:type="dxa" w:w="80"/>
              <w:right w:type="dxa" w:w="100"/>
            </w:tcMar>
          </w:tcPr>
          <w:p>
            <w:pPr>
              <w:pStyle w:val="Tabla"/>
            </w:pPr>
            <w:r>
              <w:t xml:space="preserve">Indague otras perspectivas, contraste supuestos y modelos mentales y tome el tiempo necesario para comprender el sistema.</w:t>
            </w:r>
          </w:p>
        </w:tc>
      </w:tr>
      <w:tr>
        <w:trPr>
          <w:cantSplit/>
          <w:tblHeader w:val="off"/>
        </w:trPr>
        <w:tc>
          <w:tcPr>
            <w:tcW w:type="dxa" w:w="3212"/>
            <w:tcMar>
              <w:top w:type="dxa" w:w="80"/>
              <w:left w:type="dxa" w:w="100"/>
              <w:bottom w:type="dxa" w:w="80"/>
              <w:right w:type="dxa" w:w="100"/>
            </w:tcMar>
          </w:tcPr>
          <w:p>
            <w:pPr>
              <w:pStyle w:val="Tabla"/>
            </w:pPr>
            <w:r>
              <w:t xml:space="preserve">3. Planificando y tomando medidas para resolver el problema</w:t>
            </w:r>
          </w:p>
        </w:tc>
        <w:tc>
          <w:tcPr>
            <w:tcW w:type="dxa" w:w="3210"/>
            <w:tcMar>
              <w:top w:type="dxa" w:w="80"/>
              <w:left w:type="dxa" w:w="100"/>
              <w:bottom w:type="dxa" w:w="80"/>
              <w:right w:type="dxa" w:w="100"/>
            </w:tcMar>
          </w:tcPr>
          <w:p>
            <w:pPr>
              <w:pStyle w:val="Tabla"/>
            </w:pPr>
            <w:r>
              <w:t xml:space="preserve">10, 11, 12, 13</w:t>
            </w:r>
          </w:p>
        </w:tc>
        <w:tc>
          <w:tcPr>
            <w:tcW w:type="dxa" w:w="3210"/>
            <w:tcMar>
              <w:top w:type="dxa" w:w="80"/>
              <w:left w:type="dxa" w:w="100"/>
              <w:bottom w:type="dxa" w:w="80"/>
              <w:right w:type="dxa" w:w="100"/>
            </w:tcMar>
          </w:tcPr>
          <w:p>
            <w:pPr>
              <w:pStyle w:val="Tabla"/>
            </w:pPr>
            <w:r>
              <w:t xml:space="preserve">Busque puntos de apalancamiento, anticipe consecuencias, examine acumulaciones y demoras y decida cómo actuar.</w:t>
            </w:r>
          </w:p>
        </w:tc>
      </w:tr>
      <w:tr>
        <w:trPr>
          <w:cantSplit/>
          <w:tblHeader w:val="off"/>
        </w:trPr>
        <w:tc>
          <w:tcPr>
            <w:tcW w:type="dxa" w:w="3212"/>
            <w:tcMar>
              <w:top w:type="dxa" w:w="80"/>
              <w:left w:type="dxa" w:w="100"/>
              <w:bottom w:type="dxa" w:w="80"/>
              <w:right w:type="dxa" w:w="100"/>
            </w:tcMar>
          </w:tcPr>
          <w:p>
            <w:pPr>
              <w:pStyle w:val="Tabla"/>
            </w:pPr>
            <w:r>
              <w:t xml:space="preserve">4. Una vez implementada la solución: aproximación sucesiva</w:t>
            </w:r>
          </w:p>
        </w:tc>
        <w:tc>
          <w:tcPr>
            <w:tcW w:type="dxa" w:w="3210"/>
            <w:tcMar>
              <w:top w:type="dxa" w:w="80"/>
              <w:left w:type="dxa" w:w="100"/>
              <w:bottom w:type="dxa" w:w="80"/>
              <w:right w:type="dxa" w:w="100"/>
            </w:tcMar>
          </w:tcPr>
          <w:p>
            <w:pPr>
              <w:pStyle w:val="Tabla"/>
            </w:pPr>
            <w:r>
              <w:t xml:space="preserve">14</w:t>
            </w:r>
          </w:p>
        </w:tc>
        <w:tc>
          <w:tcPr>
            <w:tcW w:type="dxa" w:w="3210"/>
            <w:tcMar>
              <w:top w:type="dxa" w:w="80"/>
              <w:left w:type="dxa" w:w="100"/>
              <w:bottom w:type="dxa" w:w="80"/>
              <w:right w:type="dxa" w:w="100"/>
            </w:tcMar>
          </w:tcPr>
          <w:p>
            <w:pPr>
              <w:pStyle w:val="Tabla"/>
            </w:pPr>
            <w:r>
              <w:t xml:space="preserve">Observe los resultados con referencias y ajuste las acciones cuando haga falta. La mejora puede llevarlo de vuelta a las etapas anteriores.</w:t>
            </w:r>
          </w:p>
        </w:tc>
      </w:tr>
    </w:tbl>
    <w:p>
      <w:pPr>
        <w:pStyle w:val="Fuente"/>
      </w:pPr>
      <w:r>
        <w:t xml:space="preserve">Presentación 4b, pp. 43–47, y clase 24. El hábito 5 no está asignado a ninguna etapa en las láminas.</w:t>
      </w:r>
    </w:p>
    <w:p>
      <w:pPr>
        <w:pStyle w:val="Heading3"/>
      </w:pPr>
      <w:r>
        <w:t xml:space="preserve">Lo que dicen las presentaciones</w:t>
      </w:r>
    </w:p>
    <w:p>
      <w:pPr>
        <w:pStyle w:val="Heading3"/>
      </w:pPr>
      <w:bookmarkStart w:name="b_pagina_4_7_C_7_p3" w:id="5022"/>
      <w:r>
        <w:t xml:space="preserve">C-7 · página 3 · Hábitos básicos y de estructuras</w:t>
      </w:r>
      <w:bookmarkEnd w:id="5022"/>
    </w:p>
    <w:p>
      <w:pPr>
        <w:pStyle w:val="Normal"/>
      </w:pPr>
      <w:r>
        <w:t xml:space="preserve">Cuatro hábitos básicos y cinco de profundización en estructuras sistémicas.</w:t>
      </w:r>
    </w:p>
    <w:p>
      <w:pPr>
        <w:pStyle w:val="Fuente"/>
      </w:pPr>
      <w:r>
        <w:t xml:space="preserve">Proyección o explicación: Clase 18 · 01:00:36 · captura c18-03.</w:t>
      </w:r>
    </w:p>
    <w:p>
      <w:bookmarkStart w:name="b_punto_c7_p003_01" w:id="5023"/>
      <w:r>
        <w:t xml:space="preserve">Hábito 1 del póster: Observar la totalidad y el contexto.</w:t>
      </w:r>
      <w:bookmarkEnd w:id="5023"/>
    </w:p>
    <w:p>
      <w:bookmarkStart w:name="b_punto_c7_p003_02" w:id="5024"/>
      <w:r>
        <w:t xml:space="preserve">Hábito 2 del póster: Observar patrones y tendencias en el tiempo.</w:t>
      </w:r>
      <w:bookmarkEnd w:id="5024"/>
    </w:p>
    <w:p>
      <w:bookmarkStart w:name="b_punto_c7_p003_03" w:id="5025"/>
      <w:r>
        <w:t xml:space="preserve">Hábito 3 del póster: Reconocer que la estructura genera comportamiento.</w:t>
      </w:r>
      <w:bookmarkEnd w:id="5025"/>
    </w:p>
    <w:p>
      <w:bookmarkStart w:name="b_punto_c7_p003_04" w:id="5026"/>
      <w:r>
        <w:t xml:space="preserve">Hábito 4 del póster: Reconocer circularidad entre causa y efecto.</w:t>
      </w:r>
      <w:bookmarkEnd w:id="5026"/>
    </w:p>
    <w:p>
      <w:bookmarkStart w:name="b_punto_c7_p003_05" w:id="5027"/>
      <w:r>
        <w:t xml:space="preserve">Hábito 5 del póster: Establecer conexiones significativas dentro y entre sistemas.</w:t>
      </w:r>
      <w:bookmarkEnd w:id="5027"/>
    </w:p>
    <w:p>
      <w:bookmarkStart w:name="b_punto_c7_p003_06" w:id="5028"/>
      <w:r>
        <w:t xml:space="preserve">Hábito 6 del póster: Ampliar comprensión cambiando perspectivas.</w:t>
      </w:r>
      <w:bookmarkEnd w:id="5028"/>
    </w:p>
    <w:p>
      <w:bookmarkStart w:name="b_punto_c7_p003_07" w:id="5029"/>
      <w:r>
        <w:t xml:space="preserve">Hábito 7 del póster: Identificar y comprobar suposiciones.</w:t>
      </w:r>
      <w:bookmarkEnd w:id="5029"/>
    </w:p>
    <w:p>
      <w:bookmarkStart w:name="b_punto_c7_p003_08" w:id="5030"/>
      <w:r>
        <w:t xml:space="preserve">Hábito 9 del póster: Reconocer la influencia de los modelos mentales.</w:t>
      </w:r>
      <w:bookmarkEnd w:id="5030"/>
    </w:p>
    <w:p>
      <w:bookmarkStart w:name="b_punto_c7_p003_09" w:id="5031"/>
      <w:r>
        <w:t xml:space="preserve">Hábito 13 del póster: Reconocer demoras causales.</w:t>
      </w:r>
      <w:bookmarkEnd w:id="5031"/>
    </w:p>
    <w:p>
      <w:bookmarkStart w:name="b_punto_c7_p003_10" w:id="5032"/>
      <w:r>
        <w:t xml:space="preserve">Los grupos de aprendizaje son distintos de las cuatro etapas de resolución.</w:t>
      </w:r>
      <w:bookmarkEnd w:id="5032"/>
    </w:p>
    <w:p>
      <w:pPr>
        <w:pStyle w:val="Heading3"/>
      </w:pPr>
      <w:bookmarkStart w:name="b_pagina_4_7_C_7_p4" w:id="5033"/>
      <w:r>
        <w:t xml:space="preserve">C-7 · página 4 · Los catorce hábitos</w:t>
      </w:r>
      <w:bookmarkEnd w:id="5033"/>
    </w:p>
    <w:p>
      <w:pPr>
        <w:pStyle w:val="Normal"/>
      </w:pPr>
      <w:r>
        <w:t xml:space="preserve">Póster con los cinco hábitos de Unidad 4 resaltados en rojo.</w:t>
      </w:r>
    </w:p>
    <w:p>
      <w:bookmarkStart w:name="b_punto_c7_p004_01" w:id="5034"/>
      <w:r>
        <w:t xml:space="preserve">Hábito 1 del póster: Observar la totalidad y el contexto.</w:t>
      </w:r>
      <w:bookmarkEnd w:id="5034"/>
    </w:p>
    <w:p>
      <w:bookmarkStart w:name="b_punto_c7_p004_02" w:id="5035"/>
      <w:r>
        <w:t xml:space="preserve">Hábito 2 del póster: Observar patrones y tendencias en el tiempo.</w:t>
      </w:r>
      <w:bookmarkEnd w:id="5035"/>
    </w:p>
    <w:p>
      <w:bookmarkStart w:name="b_punto_c7_p004_03" w:id="5036"/>
      <w:r>
        <w:t xml:space="preserve">Hábito 3 del póster: Reconocer que la estructura genera comportamiento.</w:t>
      </w:r>
      <w:bookmarkEnd w:id="5036"/>
    </w:p>
    <w:p>
      <w:bookmarkStart w:name="b_punto_c7_p004_04" w:id="5037"/>
      <w:r>
        <w:t xml:space="preserve">Hábito 4 del póster: Reconocer circularidad entre causa y efecto.</w:t>
      </w:r>
      <w:bookmarkEnd w:id="5037"/>
    </w:p>
    <w:p>
      <w:bookmarkStart w:name="b_punto_c7_p004_05" w:id="5038"/>
      <w:r>
        <w:t xml:space="preserve">Hábito 5 del póster: Establecer conexiones significativas dentro y entre sistemas.</w:t>
      </w:r>
      <w:bookmarkEnd w:id="5038"/>
    </w:p>
    <w:p>
      <w:bookmarkStart w:name="b_punto_c7_p004_06" w:id="5039"/>
      <w:r>
        <w:t xml:space="preserve">Hábito 6 del póster: Ampliar comprensión cambiando perspectivas.</w:t>
      </w:r>
      <w:bookmarkEnd w:id="5039"/>
    </w:p>
    <w:p>
      <w:bookmarkStart w:name="b_punto_c7_p004_07" w:id="5040"/>
      <w:r>
        <w:t xml:space="preserve">Hábito 7 del póster: Identificar y comprobar suposiciones.</w:t>
      </w:r>
      <w:bookmarkEnd w:id="5040"/>
    </w:p>
    <w:p>
      <w:bookmarkStart w:name="b_punto_c7_p004_08" w:id="5041"/>
      <w:r>
        <w:t xml:space="preserve">Hábito 8 del póster: Comprender a fondo antes de concluir.</w:t>
      </w:r>
      <w:bookmarkEnd w:id="5041"/>
    </w:p>
    <w:p>
      <w:bookmarkStart w:name="b_punto_c7_p004_09" w:id="5042"/>
      <w:r>
        <w:t xml:space="preserve">Hábito 9 del póster: Reconocer la influencia de los modelos mentales.</w:t>
      </w:r>
      <w:bookmarkEnd w:id="5042"/>
    </w:p>
    <w:p>
      <w:bookmarkStart w:name="b_punto_c7_p004_10" w:id="5043"/>
      <w:r>
        <w:t xml:space="preserve">Hábito 10 del póster: Buscar acciones de apalancamiento mediante la estructura.</w:t>
      </w:r>
      <w:bookmarkEnd w:id="5043"/>
    </w:p>
    <w:p>
      <w:bookmarkStart w:name="b_punto_c7_p004_11" w:id="5044"/>
      <w:r>
        <w:t xml:space="preserve">Hábito 11 del póster: Anticipar efectos inmediatos, posteriores e imprevistos.</w:t>
      </w:r>
      <w:bookmarkEnd w:id="5044"/>
    </w:p>
    <w:p>
      <w:bookmarkStart w:name="b_punto_c7_p004_12" w:id="5045"/>
      <w:r>
        <w:t xml:space="preserve">Hábito 12 del póster: Examinar acumulaciones y tasas de cambio.</w:t>
      </w:r>
      <w:bookmarkEnd w:id="5045"/>
    </w:p>
    <w:p>
      <w:bookmarkStart w:name="b_punto_c7_p004_13" w:id="5046"/>
      <w:r>
        <w:t xml:space="preserve">Hábito 13 del póster: Reconocer demoras causales.</w:t>
      </w:r>
      <w:bookmarkEnd w:id="5046"/>
    </w:p>
    <w:p>
      <w:bookmarkStart w:name="b_punto_c7_p004_14" w:id="5047"/>
      <w:r>
        <w:t xml:space="preserve">Hábito 14 del póster: Evaluar resultados y ajustar acciones.</w:t>
      </w:r>
      <w:bookmarkEnd w:id="5047"/>
    </w:p>
    <w:p>
      <w:bookmarkStart w:name="b_punto_c7_p004_15" w:id="5048"/>
      <w:r>
        <w:t xml:space="preserve">4a destaca los hábitos 8, 10, 11, 12 y 14; 4b destaca sólo los cuatro de decisiones.</w:t>
      </w:r>
      <w:bookmarkEnd w:id="5048"/>
    </w:p>
    <w:p>
      <w:pPr>
        <w:pStyle w:val="Heading3"/>
      </w:pPr>
      <w:bookmarkStart w:name="b_pagina_4_7_C_7_p10" w:id="5049"/>
      <w:r>
        <w:t xml:space="preserve">C-7 · página 10 · Hábitos para simular y decidir</w:t>
      </w:r>
      <w:bookmarkEnd w:id="5049"/>
    </w:p>
    <w:p>
      <w:pPr>
        <w:pStyle w:val="Normal"/>
      </w:pPr>
      <w:r>
        <w:t xml:space="preserve">Acumulaciones, consecuencias, comprensión completa, apalancamiento y mejora sucesiva.</w:t>
      </w:r>
    </w:p>
    <w:p>
      <w:pPr>
        <w:pStyle w:val="Fuente"/>
      </w:pPr>
      <w:r>
        <w:t xml:space="preserve">Proyección o explicación: Clase 18 · 01:00:36 · captura c18-04.</w:t>
      </w:r>
    </w:p>
    <w:p>
      <w:pPr>
        <w:keepNext/>
        <w:spacing w:after="40" w:before="150"/>
        <w:jc w:val="center"/>
      </w:pPr>
      <w:bookmarkStart w:name="b_figura_original_pagina_C_7_10" w:id="5050"/>
      <w:bookmarkEnd w:id="5050"/>
      <w:r>
        <w:drawing>
          <wp:inline distT="0" distB="0" distL="0" distR="0">
            <wp:extent cx="5381625" cy="3028950"/>
            <wp:effectExtent t="0" r="0" b="0" l="0"/>
            <wp:docPr id="197" name="pagina-C-7-10" descr="Presentación C-7, pág. 10" title="Hábitos para simular y decid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64" cstate="none"/>
                    <a:srcRect/>
                    <a:stretch>
                      <a:fillRect/>
                    </a:stretch>
                  </pic:blipFill>
                  <pic:spPr bwMode="auto">
                    <a:xfrm>
                      <a:off x="0" y="0"/>
                      <a:ext cx="5381625" cy="3028950"/>
                    </a:xfrm>
                    <a:prstGeom prst="rect">
                      <a:avLst/>
                    </a:prstGeom>
                  </pic:spPr>
                </pic:pic>
              </a:graphicData>
            </a:graphic>
          </wp:inline>
        </w:drawing>
      </w:r>
    </w:p>
    <w:p>
      <w:pPr>
        <w:pStyle w:val="PieFigura"/>
        <w:keepNext/>
      </w:pPr>
      <w:bookmarkStart w:name="b_fig_4_7_1" w:id="5051"/>
      <w:r>
        <w:t xml:space="preserve">Figura 4.7.</w:t>
      </w:r>
      <w:fldSimple w:instr="SEQ Figura \r 1 \* ARABIC">
        <w:r>
          <w:t xml:space="preserve">1</w:t>
        </w:r>
      </w:fldSimple>
      <w:r>
        <w:t xml:space="preserve"> · Hábitos para simular y decidir</w:t>
      </w:r>
      <w:bookmarkEnd w:id="5051"/>
    </w:p>
    <w:p>
      <w:pPr>
        <w:pStyle w:val="Fuente"/>
      </w:pPr>
      <w:r>
        <w:t xml:space="preserve">Presentación C-7, pág. 10</w:t>
      </w:r>
    </w:p>
    <w:p>
      <w:bookmarkStart w:name="b_punto_c7_p010_01" w:id="5052"/>
      <w:r>
        <w:t xml:space="preserve">Hábito 8 del póster: Comprender a fondo antes de concluir.</w:t>
      </w:r>
      <w:bookmarkEnd w:id="5052"/>
    </w:p>
    <w:p>
      <w:bookmarkStart w:name="b_punto_c7_p010_02" w:id="5053"/>
      <w:r>
        <w:t xml:space="preserve">Hábito 10 del póster: Buscar acciones de apalancamiento mediante la estructura.</w:t>
      </w:r>
      <w:bookmarkEnd w:id="5053"/>
    </w:p>
    <w:p>
      <w:bookmarkStart w:name="b_punto_c7_p010_03" w:id="5054"/>
      <w:r>
        <w:t xml:space="preserve">Hábito 11 del póster: Anticipar efectos inmediatos, posteriores e imprevistos.</w:t>
      </w:r>
      <w:bookmarkEnd w:id="5054"/>
    </w:p>
    <w:p>
      <w:bookmarkStart w:name="b_punto_c7_p010_04" w:id="5055"/>
      <w:r>
        <w:t xml:space="preserve">Hábito 12 del póster: Examinar acumulaciones y tasas de cambio.</w:t>
      </w:r>
      <w:bookmarkEnd w:id="5055"/>
    </w:p>
    <w:p>
      <w:bookmarkStart w:name="b_punto_c7_p010_05" w:id="5056"/>
      <w:r>
        <w:t xml:space="preserve">Hábito 14 del póster: Evaluar resultados y ajustar acciones.</w:t>
      </w:r>
      <w:bookmarkEnd w:id="5056"/>
    </w:p>
    <w:p>
      <w:pPr>
        <w:pStyle w:val="Heading3"/>
      </w:pPr>
      <w:bookmarkStart w:name="b_pagina_4_7_C_8_p2" w:id="5057"/>
      <w:r>
        <w:t xml:space="preserve">C-8 · página 2 · Póster de los catorce hábitos</w:t>
      </w:r>
      <w:bookmarkEnd w:id="5057"/>
    </w:p>
    <w:p>
      <w:pPr>
        <w:pStyle w:val="Normal"/>
      </w:pPr>
      <w:r>
        <w:t xml:space="preserve">Conserva la numeración del curso y enfatiza los hábitos de decisión y mejora.</w:t>
      </w:r>
    </w:p>
    <w:p>
      <w:bookmarkStart w:name="b_punto_c8_p002_01" w:id="5058"/>
      <w:r>
        <w:t xml:space="preserve">Hábito 1 del póster: Observar la totalidad y el contexto.</w:t>
      </w:r>
      <w:bookmarkEnd w:id="5058"/>
    </w:p>
    <w:p>
      <w:bookmarkStart w:name="b_punto_c8_p002_02" w:id="5059"/>
      <w:r>
        <w:t xml:space="preserve">Hábito 2 del póster: Observar patrones y tendencias en el tiempo.</w:t>
      </w:r>
      <w:bookmarkEnd w:id="5059"/>
    </w:p>
    <w:p>
      <w:bookmarkStart w:name="b_punto_c8_p002_03" w:id="5060"/>
      <w:r>
        <w:t xml:space="preserve">Hábito 3 del póster: Reconocer que la estructura genera comportamiento.</w:t>
      </w:r>
      <w:bookmarkEnd w:id="5060"/>
    </w:p>
    <w:p>
      <w:bookmarkStart w:name="b_punto_c8_p002_04" w:id="5061"/>
      <w:r>
        <w:t xml:space="preserve">Hábito 4 del póster: Reconocer circularidad entre causa y efecto.</w:t>
      </w:r>
      <w:bookmarkEnd w:id="5061"/>
    </w:p>
    <w:p>
      <w:bookmarkStart w:name="b_punto_c8_p002_05" w:id="5062"/>
      <w:r>
        <w:t xml:space="preserve">Hábito 5 del póster: Establecer conexiones significativas dentro y entre sistemas.</w:t>
      </w:r>
      <w:bookmarkEnd w:id="5062"/>
    </w:p>
    <w:p>
      <w:bookmarkStart w:name="b_punto_c8_p002_06" w:id="5063"/>
      <w:r>
        <w:t xml:space="preserve">Hábito 6 del póster: Ampliar comprensión cambiando perspectivas.</w:t>
      </w:r>
      <w:bookmarkEnd w:id="5063"/>
    </w:p>
    <w:p>
      <w:bookmarkStart w:name="b_punto_c8_p002_07" w:id="5064"/>
      <w:r>
        <w:t xml:space="preserve">Hábito 7 del póster: Identificar y comprobar suposiciones.</w:t>
      </w:r>
      <w:bookmarkEnd w:id="5064"/>
    </w:p>
    <w:p>
      <w:bookmarkStart w:name="b_punto_c8_p002_08" w:id="5065"/>
      <w:r>
        <w:t xml:space="preserve">Hábito 8 del póster: Comprender a fondo antes de concluir.</w:t>
      </w:r>
      <w:bookmarkEnd w:id="5065"/>
    </w:p>
    <w:p>
      <w:bookmarkStart w:name="b_punto_c8_p002_09" w:id="5066"/>
      <w:r>
        <w:t xml:space="preserve">Hábito 9 del póster: Reconocer la influencia de los modelos mentales.</w:t>
      </w:r>
      <w:bookmarkEnd w:id="5066"/>
    </w:p>
    <w:p>
      <w:bookmarkStart w:name="b_punto_c8_p002_10" w:id="5067"/>
      <w:r>
        <w:t xml:space="preserve">Hábito 10 del póster: Buscar acciones de apalancamiento mediante la estructura.</w:t>
      </w:r>
      <w:bookmarkEnd w:id="5067"/>
    </w:p>
    <w:p>
      <w:bookmarkStart w:name="b_punto_c8_p002_11" w:id="5068"/>
      <w:r>
        <w:t xml:space="preserve">Hábito 11 del póster: Anticipar efectos inmediatos, posteriores e imprevistos.</w:t>
      </w:r>
      <w:bookmarkEnd w:id="5068"/>
    </w:p>
    <w:p>
      <w:bookmarkStart w:name="b_punto_c8_p002_12" w:id="5069"/>
      <w:r>
        <w:t xml:space="preserve">Hábito 12 del póster: Examinar acumulaciones y tasas de cambio.</w:t>
      </w:r>
      <w:bookmarkEnd w:id="5069"/>
    </w:p>
    <w:p>
      <w:bookmarkStart w:name="b_punto_c8_p002_13" w:id="5070"/>
      <w:r>
        <w:t xml:space="preserve">Hábito 13 del póster: Reconocer demoras causales.</w:t>
      </w:r>
      <w:bookmarkEnd w:id="5070"/>
    </w:p>
    <w:p>
      <w:bookmarkStart w:name="b_punto_c8_p002_14" w:id="5071"/>
      <w:r>
        <w:t xml:space="preserve">Hábito 14 del póster: Evaluar resultados y ajustar acciones.</w:t>
      </w:r>
      <w:bookmarkEnd w:id="5071"/>
    </w:p>
    <w:p>
      <w:bookmarkStart w:name="b_punto_c8_p002_15" w:id="5072"/>
      <w:r>
        <w:t xml:space="preserve">Se resaltan 8, 10, 11 y 14; el 12 se enfatiza en 4a.</w:t>
      </w:r>
      <w:bookmarkEnd w:id="5072"/>
    </w:p>
    <w:p>
      <w:pPr>
        <w:pStyle w:val="Heading3"/>
      </w:pPr>
      <w:bookmarkStart w:name="b_pagina_4_7_C_8_p10" w:id="5073"/>
      <w:r>
        <w:t xml:space="preserve">C-8 · página 10 · Póster de los catorce hábitos</w:t>
      </w:r>
      <w:bookmarkEnd w:id="5073"/>
    </w:p>
    <w:p>
      <w:pPr>
        <w:pStyle w:val="Normal"/>
      </w:pPr>
      <w:r>
        <w:t xml:space="preserve">Conserva la numeración del curso y enfatiza los hábitos de decisión y mejora.</w:t>
      </w:r>
    </w:p>
    <w:p>
      <w:bookmarkStart w:name="b_punto_c8_p010_01" w:id="5074"/>
      <w:r>
        <w:t xml:space="preserve">Hábito 1 del póster: Observar la totalidad y el contexto.</w:t>
      </w:r>
      <w:bookmarkEnd w:id="5074"/>
    </w:p>
    <w:p>
      <w:bookmarkStart w:name="b_punto_c8_p010_02" w:id="5075"/>
      <w:r>
        <w:t xml:space="preserve">Hábito 2 del póster: Observar patrones y tendencias en el tiempo.</w:t>
      </w:r>
      <w:bookmarkEnd w:id="5075"/>
    </w:p>
    <w:p>
      <w:bookmarkStart w:name="b_punto_c8_p010_03" w:id="5076"/>
      <w:r>
        <w:t xml:space="preserve">Hábito 3 del póster: Reconocer que la estructura genera comportamiento.</w:t>
      </w:r>
      <w:bookmarkEnd w:id="5076"/>
    </w:p>
    <w:p>
      <w:bookmarkStart w:name="b_punto_c8_p010_04" w:id="5077"/>
      <w:r>
        <w:t xml:space="preserve">Hábito 4 del póster: Reconocer circularidad entre causa y efecto.</w:t>
      </w:r>
      <w:bookmarkEnd w:id="5077"/>
    </w:p>
    <w:p>
      <w:bookmarkStart w:name="b_punto_c8_p010_05" w:id="5078"/>
      <w:r>
        <w:t xml:space="preserve">Hábito 5 del póster: Establecer conexiones significativas dentro y entre sistemas.</w:t>
      </w:r>
      <w:bookmarkEnd w:id="5078"/>
    </w:p>
    <w:p>
      <w:bookmarkStart w:name="b_punto_c8_p010_06" w:id="5079"/>
      <w:r>
        <w:t xml:space="preserve">Hábito 6 del póster: Ampliar comprensión cambiando perspectivas.</w:t>
      </w:r>
      <w:bookmarkEnd w:id="5079"/>
    </w:p>
    <w:p>
      <w:bookmarkStart w:name="b_punto_c8_p010_07" w:id="5080"/>
      <w:r>
        <w:t xml:space="preserve">Hábito 7 del póster: Identificar y comprobar suposiciones.</w:t>
      </w:r>
      <w:bookmarkEnd w:id="5080"/>
    </w:p>
    <w:p>
      <w:bookmarkStart w:name="b_punto_c8_p010_08" w:id="5081"/>
      <w:r>
        <w:t xml:space="preserve">Hábito 8 del póster: Comprender a fondo antes de concluir.</w:t>
      </w:r>
      <w:bookmarkEnd w:id="5081"/>
    </w:p>
    <w:p>
      <w:bookmarkStart w:name="b_punto_c8_p010_09" w:id="5082"/>
      <w:r>
        <w:t xml:space="preserve">Hábito 9 del póster: Reconocer la influencia de los modelos mentales.</w:t>
      </w:r>
      <w:bookmarkEnd w:id="5082"/>
    </w:p>
    <w:p>
      <w:bookmarkStart w:name="b_punto_c8_p010_10" w:id="5083"/>
      <w:r>
        <w:t xml:space="preserve">Hábito 10 del póster: Buscar acciones de apalancamiento mediante la estructura.</w:t>
      </w:r>
      <w:bookmarkEnd w:id="5083"/>
    </w:p>
    <w:p>
      <w:bookmarkStart w:name="b_punto_c8_p010_11" w:id="5084"/>
      <w:r>
        <w:t xml:space="preserve">Hábito 11 del póster: Anticipar efectos inmediatos, posteriores e imprevistos.</w:t>
      </w:r>
      <w:bookmarkEnd w:id="5084"/>
    </w:p>
    <w:p>
      <w:bookmarkStart w:name="b_punto_c8_p010_12" w:id="5085"/>
      <w:r>
        <w:t xml:space="preserve">Hábito 12 del póster: Examinar acumulaciones y tasas de cambio.</w:t>
      </w:r>
      <w:bookmarkEnd w:id="5085"/>
    </w:p>
    <w:p>
      <w:bookmarkStart w:name="b_punto_c8_p010_13" w:id="5086"/>
      <w:r>
        <w:t xml:space="preserve">Hábito 13 del póster: Reconocer demoras causales.</w:t>
      </w:r>
      <w:bookmarkEnd w:id="5086"/>
    </w:p>
    <w:p>
      <w:bookmarkStart w:name="b_punto_c8_p010_14" w:id="5087"/>
      <w:r>
        <w:t xml:space="preserve">Hábito 14 del póster: Evaluar resultados y ajustar acciones.</w:t>
      </w:r>
      <w:bookmarkEnd w:id="5087"/>
    </w:p>
    <w:p>
      <w:bookmarkStart w:name="b_punto_c8_p010_15" w:id="5088"/>
      <w:r>
        <w:t xml:space="preserve">Un marco destaca el hábito 8 como transición.</w:t>
      </w:r>
      <w:bookmarkEnd w:id="5088"/>
    </w:p>
    <w:p>
      <w:pPr>
        <w:pStyle w:val="Heading3"/>
      </w:pPr>
      <w:bookmarkStart w:name="b_pagina_4_7_C_8_p20" w:id="5089"/>
      <w:r>
        <w:t xml:space="preserve">C-8 · página 20 · Hábitos y arquetipos para decidir</w:t>
      </w:r>
      <w:bookmarkEnd w:id="5089"/>
    </w:p>
    <w:p>
      <w:pPr>
        <w:pStyle w:val="Normal"/>
      </w:pPr>
      <w:r>
        <w:t xml:space="preserve">Síntesis de consecuencias y comprensión completa para aprender patrones y actuar.</w:t>
      </w:r>
    </w:p>
    <w:p>
      <w:pPr>
        <w:pStyle w:val="Fuente"/>
      </w:pPr>
      <w:r>
        <w:t xml:space="preserve">Proyección o explicación: Clase 23 · 00:04:44 · captura c23-01.</w:t>
      </w:r>
    </w:p>
    <w:p>
      <w:bookmarkStart w:name="b_punto_c8_p020_01" w:id="5090"/>
      <w:r>
        <w:t xml:space="preserve">Hábito 8 del póster: Comprender a fondo antes de concluir.</w:t>
      </w:r>
      <w:bookmarkEnd w:id="5090"/>
    </w:p>
    <w:p>
      <w:bookmarkStart w:name="b_punto_c8_p020_02" w:id="5091"/>
      <w:r>
        <w:t xml:space="preserve">Hábito 11 del póster: Anticipar efectos inmediatos, posteriores e imprevistos.</w:t>
      </w:r>
      <w:bookmarkEnd w:id="5091"/>
    </w:p>
    <w:p>
      <w:pPr>
        <w:pStyle w:val="Fuente"/>
      </w:pPr>
      <w:r>
        <w:t xml:space="preserve">Véase </w:t>
      </w:r>
      <w:hyperlink w:history="1" w:anchor="b_4_1">
        <w:r>
          <w:rPr>
            <w:color w:val="156B70"/>
            <w:u w:val="single"/>
          </w:rPr>
          <w:t xml:space="preserve">capítulo 4.1 · Arquetipos sistémicos</w:t>
        </w:r>
      </w:hyperlink>
      <w:r>
        <w:t xml:space="preserve">, pág. </w:t>
      </w:r>
      <w:r>
        <w:fldChar w:fldCharType="begin"/>
        <w:instrText xml:space="preserve">PAGEREF b_4_1 \h</w:instrText>
        <w:fldChar w:fldCharType="separate"/>
        <w:t xml:space="preserve">646</w:t>
        <w:fldChar w:fldCharType="end"/>
      </w:r>
      <w:r>
        <w:t xml:space="preserve">.</w:t>
      </w:r>
    </w:p>
    <w:p>
      <w:pPr>
        <w:pStyle w:val="Heading3"/>
      </w:pPr>
      <w:bookmarkStart w:name="b_pagina_4_7_C_8_p21" w:id="5092"/>
      <w:r>
        <w:t xml:space="preserve">C-8 · página 21 · Póster de los catorce hábitos</w:t>
      </w:r>
      <w:bookmarkEnd w:id="5092"/>
    </w:p>
    <w:p>
      <w:pPr>
        <w:pStyle w:val="Normal"/>
      </w:pPr>
      <w:r>
        <w:t xml:space="preserve">Conserva la numeración del curso y enfatiza los hábitos de decisión y mejora.</w:t>
      </w:r>
    </w:p>
    <w:p>
      <w:bookmarkStart w:name="b_punto_c8_p021_01" w:id="5093"/>
      <w:r>
        <w:t xml:space="preserve">Hábito 1 del póster: Observar la totalidad y el contexto.</w:t>
      </w:r>
      <w:bookmarkEnd w:id="5093"/>
    </w:p>
    <w:p>
      <w:bookmarkStart w:name="b_punto_c8_p021_02" w:id="5094"/>
      <w:r>
        <w:t xml:space="preserve">Hábito 2 del póster: Observar patrones y tendencias en el tiempo.</w:t>
      </w:r>
      <w:bookmarkEnd w:id="5094"/>
    </w:p>
    <w:p>
      <w:bookmarkStart w:name="b_punto_c8_p021_03" w:id="5095"/>
      <w:r>
        <w:t xml:space="preserve">Hábito 3 del póster: Reconocer que la estructura genera comportamiento.</w:t>
      </w:r>
      <w:bookmarkEnd w:id="5095"/>
    </w:p>
    <w:p>
      <w:bookmarkStart w:name="b_punto_c8_p021_04" w:id="5096"/>
      <w:r>
        <w:t xml:space="preserve">Hábito 4 del póster: Reconocer circularidad entre causa y efecto.</w:t>
      </w:r>
      <w:bookmarkEnd w:id="5096"/>
    </w:p>
    <w:p>
      <w:bookmarkStart w:name="b_punto_c8_p021_05" w:id="5097"/>
      <w:r>
        <w:t xml:space="preserve">Hábito 5 del póster: Establecer conexiones significativas dentro y entre sistemas.</w:t>
      </w:r>
      <w:bookmarkEnd w:id="5097"/>
    </w:p>
    <w:p>
      <w:bookmarkStart w:name="b_punto_c8_p021_06" w:id="5098"/>
      <w:r>
        <w:t xml:space="preserve">Hábito 6 del póster: Ampliar comprensión cambiando perspectivas.</w:t>
      </w:r>
      <w:bookmarkEnd w:id="5098"/>
    </w:p>
    <w:p>
      <w:bookmarkStart w:name="b_punto_c8_p021_07" w:id="5099"/>
      <w:r>
        <w:t xml:space="preserve">Hábito 7 del póster: Identificar y comprobar suposiciones.</w:t>
      </w:r>
      <w:bookmarkEnd w:id="5099"/>
    </w:p>
    <w:p>
      <w:bookmarkStart w:name="b_punto_c8_p021_08" w:id="5100"/>
      <w:r>
        <w:t xml:space="preserve">Hábito 8 del póster: Comprender a fondo antes de concluir.</w:t>
      </w:r>
      <w:bookmarkEnd w:id="5100"/>
    </w:p>
    <w:p>
      <w:bookmarkStart w:name="b_punto_c8_p021_09" w:id="5101"/>
      <w:r>
        <w:t xml:space="preserve">Hábito 9 del póster: Reconocer la influencia de los modelos mentales.</w:t>
      </w:r>
      <w:bookmarkEnd w:id="5101"/>
    </w:p>
    <w:p>
      <w:bookmarkStart w:name="b_punto_c8_p021_10" w:id="5102"/>
      <w:r>
        <w:t xml:space="preserve">Hábito 10 del póster: Buscar acciones de apalancamiento mediante la estructura.</w:t>
      </w:r>
      <w:bookmarkEnd w:id="5102"/>
    </w:p>
    <w:p>
      <w:bookmarkStart w:name="b_punto_c8_p021_11" w:id="5103"/>
      <w:r>
        <w:t xml:space="preserve">Hábito 11 del póster: Anticipar efectos inmediatos, posteriores e imprevistos.</w:t>
      </w:r>
      <w:bookmarkEnd w:id="5103"/>
    </w:p>
    <w:p>
      <w:bookmarkStart w:name="b_punto_c8_p021_12" w:id="5104"/>
      <w:r>
        <w:t xml:space="preserve">Hábito 12 del póster: Examinar acumulaciones y tasas de cambio.</w:t>
      </w:r>
      <w:bookmarkEnd w:id="5104"/>
    </w:p>
    <w:p>
      <w:bookmarkStart w:name="b_punto_c8_p021_13" w:id="5105"/>
      <w:r>
        <w:t xml:space="preserve">Hábito 13 del póster: Reconocer demoras causales.</w:t>
      </w:r>
      <w:bookmarkEnd w:id="5105"/>
    </w:p>
    <w:p>
      <w:bookmarkStart w:name="b_punto_c8_p021_14" w:id="5106"/>
      <w:r>
        <w:t xml:space="preserve">Hábito 14 del póster: Evaluar resultados y ajustar acciones.</w:t>
      </w:r>
      <w:bookmarkEnd w:id="5106"/>
    </w:p>
    <w:p>
      <w:bookmarkStart w:name="b_punto_c8_p021_15" w:id="5107"/>
      <w:r>
        <w:t xml:space="preserve">Un marco destaca el hábito 10 como transición.</w:t>
      </w:r>
      <w:bookmarkEnd w:id="5107"/>
    </w:p>
    <w:p>
      <w:pPr>
        <w:pStyle w:val="Heading3"/>
      </w:pPr>
      <w:bookmarkStart w:name="b_pagina_4_7_C_8_p31" w:id="5108"/>
      <w:r>
        <w:t xml:space="preserve">C-8 · página 31 · Póster de los catorce hábitos</w:t>
      </w:r>
      <w:bookmarkEnd w:id="5108"/>
    </w:p>
    <w:p>
      <w:pPr>
        <w:pStyle w:val="Normal"/>
      </w:pPr>
      <w:r>
        <w:t xml:space="preserve">Conserva la numeración del curso y enfatiza los hábitos de decisión y mejora.</w:t>
      </w:r>
    </w:p>
    <w:p>
      <w:bookmarkStart w:name="b_punto_c8_p031_01" w:id="5109"/>
      <w:r>
        <w:t xml:space="preserve">Hábito 1 del póster: Observar la totalidad y el contexto.</w:t>
      </w:r>
      <w:bookmarkEnd w:id="5109"/>
    </w:p>
    <w:p>
      <w:bookmarkStart w:name="b_punto_c8_p031_02" w:id="5110"/>
      <w:r>
        <w:t xml:space="preserve">Hábito 2 del póster: Observar patrones y tendencias en el tiempo.</w:t>
      </w:r>
      <w:bookmarkEnd w:id="5110"/>
    </w:p>
    <w:p>
      <w:bookmarkStart w:name="b_punto_c8_p031_03" w:id="5111"/>
      <w:r>
        <w:t xml:space="preserve">Hábito 3 del póster: Reconocer que la estructura genera comportamiento.</w:t>
      </w:r>
      <w:bookmarkEnd w:id="5111"/>
    </w:p>
    <w:p>
      <w:bookmarkStart w:name="b_punto_c8_p031_04" w:id="5112"/>
      <w:r>
        <w:t xml:space="preserve">Hábito 4 del póster: Reconocer circularidad entre causa y efecto.</w:t>
      </w:r>
      <w:bookmarkEnd w:id="5112"/>
    </w:p>
    <w:p>
      <w:bookmarkStart w:name="b_punto_c8_p031_05" w:id="5113"/>
      <w:r>
        <w:t xml:space="preserve">Hábito 5 del póster: Establecer conexiones significativas dentro y entre sistemas.</w:t>
      </w:r>
      <w:bookmarkEnd w:id="5113"/>
    </w:p>
    <w:p>
      <w:bookmarkStart w:name="b_punto_c8_p031_06" w:id="5114"/>
      <w:r>
        <w:t xml:space="preserve">Hábito 6 del póster: Ampliar comprensión cambiando perspectivas.</w:t>
      </w:r>
      <w:bookmarkEnd w:id="5114"/>
    </w:p>
    <w:p>
      <w:bookmarkStart w:name="b_punto_c8_p031_07" w:id="5115"/>
      <w:r>
        <w:t xml:space="preserve">Hábito 7 del póster: Identificar y comprobar suposiciones.</w:t>
      </w:r>
      <w:bookmarkEnd w:id="5115"/>
    </w:p>
    <w:p>
      <w:bookmarkStart w:name="b_punto_c8_p031_08" w:id="5116"/>
      <w:r>
        <w:t xml:space="preserve">Hábito 8 del póster: Comprender a fondo antes de concluir.</w:t>
      </w:r>
      <w:bookmarkEnd w:id="5116"/>
    </w:p>
    <w:p>
      <w:bookmarkStart w:name="b_punto_c8_p031_09" w:id="5117"/>
      <w:r>
        <w:t xml:space="preserve">Hábito 9 del póster: Reconocer la influencia de los modelos mentales.</w:t>
      </w:r>
      <w:bookmarkEnd w:id="5117"/>
    </w:p>
    <w:p>
      <w:bookmarkStart w:name="b_punto_c8_p031_10" w:id="5118"/>
      <w:r>
        <w:t xml:space="preserve">Hábito 10 del póster: Buscar acciones de apalancamiento mediante la estructura.</w:t>
      </w:r>
      <w:bookmarkEnd w:id="5118"/>
    </w:p>
    <w:p>
      <w:bookmarkStart w:name="b_punto_c8_p031_11" w:id="5119"/>
      <w:r>
        <w:t xml:space="preserve">Hábito 11 del póster: Anticipar efectos inmediatos, posteriores e imprevistos.</w:t>
      </w:r>
      <w:bookmarkEnd w:id="5119"/>
    </w:p>
    <w:p>
      <w:bookmarkStart w:name="b_punto_c8_p031_12" w:id="5120"/>
      <w:r>
        <w:t xml:space="preserve">Hábito 12 del póster: Examinar acumulaciones y tasas de cambio.</w:t>
      </w:r>
      <w:bookmarkEnd w:id="5120"/>
    </w:p>
    <w:p>
      <w:bookmarkStart w:name="b_punto_c8_p031_13" w:id="5121"/>
      <w:r>
        <w:t xml:space="preserve">Hábito 13 del póster: Reconocer demoras causales.</w:t>
      </w:r>
      <w:bookmarkEnd w:id="5121"/>
    </w:p>
    <w:p>
      <w:bookmarkStart w:name="b_punto_c8_p031_14" w:id="5122"/>
      <w:r>
        <w:t xml:space="preserve">Hábito 14 del póster: Evaluar resultados y ajustar acciones.</w:t>
      </w:r>
      <w:bookmarkEnd w:id="5122"/>
    </w:p>
    <w:p>
      <w:bookmarkStart w:name="b_punto_c8_p031_15" w:id="5123"/>
      <w:r>
        <w:t xml:space="preserve">Un marco destaca el hábito 14 como transición.</w:t>
      </w:r>
      <w:bookmarkEnd w:id="5123"/>
    </w:p>
    <w:p>
      <w:pPr>
        <w:pStyle w:val="Heading3"/>
      </w:pPr>
      <w:bookmarkStart w:name="b_pagina_4_7_C_8_p32" w:id="5124"/>
      <w:r>
        <w:t xml:space="preserve">C-8 · página 32 · Evaluar y ajustar</w:t>
      </w:r>
      <w:bookmarkEnd w:id="5124"/>
    </w:p>
    <w:p>
      <w:pPr>
        <w:pStyle w:val="Normal"/>
      </w:pPr>
      <w:r>
        <w:t xml:space="preserve">Tarjeta del hábito 14y preguntas para su práctica.</w:t>
      </w:r>
    </w:p>
    <w:p>
      <w:bookmarkStart w:name="b_punto_c8_p032_01" w:id="5125"/>
      <w:r>
        <w:t xml:space="preserve">Establecer referencias para valorar mejoras.</w:t>
      </w:r>
      <w:bookmarkEnd w:id="5125"/>
    </w:p>
    <w:p>
      <w:bookmarkStart w:name="b_punto_c8_p032_02" w:id="5126"/>
      <w:r>
        <w:t xml:space="preserve">Elegir indicadores de progreso.</w:t>
      </w:r>
      <w:bookmarkEnd w:id="5126"/>
    </w:p>
    <w:p>
      <w:bookmarkStart w:name="b_punto_c8_p032_03" w:id="5127"/>
      <w:r>
        <w:t xml:space="preserve">Reservar tiempo para evaluar y corregir acciones.</w:t>
      </w:r>
      <w:bookmarkEnd w:id="5127"/>
    </w:p>
    <w:p>
      <w:bookmarkStart w:name="b_punto_c8_p032_04" w:id="5128"/>
      <w:r>
        <w:t xml:space="preserve">Usar los demás hábitos al considerar cambios.</w:t>
      </w:r>
      <w:bookmarkEnd w:id="5128"/>
    </w:p>
    <w:p>
      <w:pPr>
        <w:pStyle w:val="Heading3"/>
      </w:pPr>
      <w:bookmarkStart w:name="b_pagina_4_7_C_8_p33" w:id="5129"/>
      <w:r>
        <w:t xml:space="preserve">C-8 · página 33 · Aproximación sucesiva</w:t>
      </w:r>
      <w:bookmarkEnd w:id="5129"/>
    </w:p>
    <w:p>
      <w:pPr>
        <w:pStyle w:val="Normal"/>
      </w:pPr>
      <w:r>
        <w:t xml:space="preserve">Como un cocinero, observar y ajustar permite mejorar mediante experiencia y práctica.</w:t>
      </w:r>
    </w:p>
    <w:p>
      <w:pPr>
        <w:pStyle w:val="Fuente"/>
      </w:pPr>
      <w:r>
        <w:t xml:space="preserve">Proyección o explicación: Clase 23 · 01:06:09 · captura c23-14.</w:t>
      </w:r>
    </w:p>
    <w:p>
      <w:bookmarkStart w:name="b_punto_c8_p033_01" w:id="5130"/>
      <w:r>
        <w:t xml:space="preserve">El cocinero modifica su receta según resultados: el cambio se trata como mejora continua.</w:t>
      </w:r>
      <w:bookmarkEnd w:id="5130"/>
    </w:p>
    <w:p>
      <w:bookmarkStart w:name="b_punto_c8_p033_02" w:id="5131"/>
      <w:r>
        <w:t xml:space="preserve">La disposición a asumir riesgos y superar fracaso permite aprender de la experiencia.</w:t>
      </w:r>
      <w:bookmarkEnd w:id="5131"/>
    </w:p>
    <w:p>
      <w:bookmarkStart w:name="b_punto_c8_p033_03" w:id="5132"/>
      <w:r>
        <w:t xml:space="preserve">Se aplica a innovación, planes de mejora, aprendizaje de habilidades y resolución de problemas.</w:t>
      </w:r>
      <w:bookmarkEnd w:id="5132"/>
    </w:p>
    <w:p>
      <w:pPr>
        <w:pStyle w:val="Heading3"/>
      </w:pPr>
      <w:bookmarkStart w:name="b_pagina_4_7_C_8_p34" w:id="5133"/>
      <w:r>
        <w:t xml:space="preserve">C-8 · página 34 · Ciclo de aproximación sucesiva</w:t>
      </w:r>
      <w:bookmarkEnd w:id="5133"/>
    </w:p>
    <w:p>
      <w:pPr>
        <w:pStyle w:val="Normal"/>
      </w:pPr>
      <w:r>
        <w:t xml:space="preserve">Planear, implementar, evaluar y mejorar adaptan elPDSA de Deming.</w:t>
      </w:r>
    </w:p>
    <w:p>
      <w:pPr>
        <w:pStyle w:val="Fuente"/>
      </w:pPr>
      <w:r>
        <w:t xml:space="preserve">Proyección o explicación: Clase 23 · 01:10:57 · captura c23-15.</w:t>
      </w:r>
    </w:p>
    <w:p>
      <w:bookmarkStart w:name="b_punto_c8_p034_01" w:id="5134"/>
      <w:r>
        <w:t xml:space="preserve">El ciclo se adapta del PDSA de Deming: planificar, hacer, estudiar y actuar.</w:t>
      </w:r>
      <w:bookmarkEnd w:id="5134"/>
    </w:p>
    <w:p>
      <w:bookmarkStart w:name="b_punto_c8_p034_02" w:id="5135"/>
      <w:r>
        <w:t xml:space="preserve">Diseñar define pasos claros y meta; implementar pone el plan en práctica.</w:t>
      </w:r>
      <w:bookmarkEnd w:id="5135"/>
    </w:p>
    <w:p>
      <w:bookmarkStart w:name="b_punto_c8_p034_03" w:id="5136"/>
      <w:r>
        <w:t xml:space="preserve">Evaluar compara resultados tras un tiempo y usa lo negativo como información para aprender.</w:t>
      </w:r>
      <w:bookmarkEnd w:id="5136"/>
    </w:p>
    <w:p>
      <w:bookmarkStart w:name="b_punto_c8_p034_04" w:id="5137"/>
      <w:r>
        <w:t xml:space="preserve">Mejorar modifica el plan; si funciona, puede mantenerse y revisarse más adelante.</w:t>
      </w:r>
      <w:bookmarkEnd w:id="5137"/>
    </w:p>
    <w:p>
      <w:bookmarkStart w:name="b_punto_c8_p034_05" w:id="5138"/>
      <w:r>
        <w:t xml:space="preserve">Aprendizaje, reflexión einiciativa sostienen el ciclo; fracasar no garantiza éxito del siguiente intento.</w:t>
      </w:r>
      <w:bookmarkEnd w:id="5138"/>
    </w:p>
    <w:p>
      <w:pPr>
        <w:pStyle w:val="Heading3"/>
      </w:pPr>
      <w:bookmarkStart w:name="b_pagina_4_7_C_8_p35" w:id="5139"/>
      <w:r>
        <w:t xml:space="preserve">C-8 · página 35 · Resiliencia: tres ámbitos</w:t>
      </w:r>
      <w:bookmarkEnd w:id="5139"/>
    </w:p>
    <w:p>
      <w:pPr>
        <w:pStyle w:val="Normal"/>
      </w:pPr>
      <w:r>
        <w:t xml:space="preserve">Materiales, personas y empresas expresan recuperación y adaptación ante ruptura, cambio oestrés.</w:t>
      </w:r>
    </w:p>
    <w:p>
      <w:pPr>
        <w:pStyle w:val="Fuente"/>
      </w:pPr>
      <w:r>
        <w:t xml:space="preserve">Proyección o explicación: Clase 23 · 01:16:16 · captura c23-16.</w:t>
      </w:r>
    </w:p>
    <w:p>
      <w:bookmarkStart w:name="b_punto_c8_p035_01" w:id="5140"/>
      <w:r>
        <w:t xml:space="preserve">En materiales, se presenta resistencia a ruptura y recuperación de forma.</w:t>
      </w:r>
      <w:bookmarkEnd w:id="5140"/>
    </w:p>
    <w:p>
      <w:bookmarkStart w:name="b_punto_c8_p035_02" w:id="5141"/>
      <w:r>
        <w:t xml:space="preserve">En personas, se presenta fortalecimiento y recuperación ante estrés y cambio.</w:t>
      </w:r>
      <w:bookmarkEnd w:id="5141"/>
    </w:p>
    <w:p>
      <w:bookmarkStart w:name="b_punto_c8_p035_03" w:id="5142"/>
      <w:r>
        <w:t xml:space="preserve">En empresas, se presenta absorción de cambios sin caída significativa en calidad y estándares.</w:t>
      </w:r>
      <w:bookmarkEnd w:id="5142"/>
    </w:p>
    <w:p>
      <w:bookmarkStart w:name="b_punto_c8_p035_04" w:id="5143"/>
      <w:r>
        <w:t xml:space="preserve">El texto atribuye gran capacidad predictiva a la resiliencia frente a educación y experiencia, sin detallar estudios; se trata como afirmación del marco recibido, no evaluación clínica ni ley universal.</w:t>
      </w:r>
      <w:bookmarkEnd w:id="5143"/>
    </w:p>
    <w:p>
      <w:pPr>
        <w:pStyle w:val="Heading3"/>
      </w:pPr>
      <w:bookmarkStart w:name="b_pagina_4_7_C_8_p36" w:id="5144"/>
      <w:r>
        <w:t xml:space="preserve">C-8 · página 36 · Cuatro pilares de resiliencia</w:t>
      </w:r>
      <w:bookmarkEnd w:id="5144"/>
    </w:p>
    <w:p>
      <w:pPr>
        <w:pStyle w:val="Normal"/>
      </w:pPr>
      <w:r>
        <w:t xml:space="preserve">Objetivos, realidad, sentido y recursos disponibles orientan la capacidad de recuperarse.</w:t>
      </w:r>
    </w:p>
    <w:p>
      <w:pPr>
        <w:pStyle w:val="Fuente"/>
      </w:pPr>
      <w:r>
        <w:t xml:space="preserve">Proyección o explicación: Clase 23 · 01:20:02 · captura c23-17.</w:t>
      </w:r>
    </w:p>
    <w:p>
      <w:bookmarkStart w:name="b_punto_c8_p036_01" w:id="5145"/>
      <w:r>
        <w:t xml:space="preserve">Existencia de objetivos futuros: una dirección por la cual avanzar.</w:t>
      </w:r>
      <w:bookmarkEnd w:id="5145"/>
    </w:p>
    <w:p>
      <w:bookmarkStart w:name="b_punto_c8_p036_02" w:id="5146"/>
      <w:r>
        <w:t xml:space="preserve">Enfrentar la realidad: reconocer el presente sin negarlo.</w:t>
      </w:r>
      <w:bookmarkEnd w:id="5146"/>
    </w:p>
    <w:p>
      <w:bookmarkStart w:name="b_punto_c8_p036_03" w:id="5147"/>
      <w:r>
        <w:t xml:space="preserve">Búsqueda de sentido: apoyarse en valores para comprender la situación.</w:t>
      </w:r>
      <w:bookmarkEnd w:id="5147"/>
    </w:p>
    <w:p>
      <w:bookmarkStart w:name="b_punto_c8_p036_04" w:id="5148"/>
      <w:r>
        <w:t xml:space="preserve">Hacer con lo disponible: improvisar y utilizar recursos para ir del hoy al mañana.</w:t>
      </w:r>
      <w:bookmarkEnd w:id="5148"/>
    </w:p>
    <w:p>
      <w:pPr>
        <w:pStyle w:val="Heading3"/>
      </w:pPr>
      <w:bookmarkStart w:name="b_pagina_4_7_C_8_p37" w:id="5149"/>
      <w:r>
        <w:t xml:space="preserve">C-8 · página 37 · Modelo de resilienciaA–E</w:t>
      </w:r>
      <w:bookmarkEnd w:id="5149"/>
    </w:p>
    <w:p>
      <w:pPr>
        <w:pStyle w:val="Normal"/>
      </w:pPr>
      <w:r>
        <w:t xml:space="preserve">Hoy, futuro, feedback, procesos y entorno vinculan valores con implementación y seguimiento.</w:t>
      </w:r>
    </w:p>
    <w:p>
      <w:pPr>
        <w:pStyle w:val="Fuente"/>
      </w:pPr>
      <w:r>
        <w:t xml:space="preserve">Proyección o explicación: Clase 23 · 01:21:27 · captura c23-18.</w:t>
      </w:r>
    </w:p>
    <w:p>
      <w:bookmarkStart w:name="b_punto_c8_p037_01" w:id="5150"/>
      <w:r>
        <w:t xml:space="preserve">A: objetivos futuros definen adónde se quiere llegar.</w:t>
      </w:r>
      <w:bookmarkEnd w:id="5150"/>
    </w:p>
    <w:p>
      <w:bookmarkStart w:name="b_punto_c8_p037_02" w:id="5151"/>
      <w:r>
        <w:t xml:space="preserve">B: feedback ligado a valores permite medir avances hacia el futuro.</w:t>
      </w:r>
      <w:bookmarkEnd w:id="5151"/>
    </w:p>
    <w:p>
      <w:bookmarkStart w:name="b_punto_c8_p037_03" w:id="5152"/>
      <w:r>
        <w:t xml:space="preserve">C: conocer realidad actual permite reconocer fortalezas, oportunidades, debilidades y amenazas.</w:t>
      </w:r>
      <w:bookmarkEnd w:id="5152"/>
    </w:p>
    <w:p>
      <w:bookmarkStart w:name="b_punto_c8_p037_04" w:id="5153"/>
      <w:r>
        <w:t xml:space="preserve">D: implementar y hacer seguimiento con herramientas disponibles.</w:t>
      </w:r>
      <w:bookmarkEnd w:id="5153"/>
    </w:p>
    <w:p>
      <w:bookmarkStart w:name="b_punto_c8_p037_05" w:id="5154"/>
      <w:r>
        <w:t xml:space="preserve">E: entorno cambiante, ambiguo y complejo exige análisis y ajustes.</w:t>
      </w:r>
      <w:bookmarkEnd w:id="5154"/>
    </w:p>
    <w:p>
      <w:pPr>
        <w:pStyle w:val="Heading3"/>
      </w:pPr>
      <w:bookmarkStart w:name="b_pagina_4_7_C_8_p38" w:id="5155"/>
      <w:r>
        <w:t xml:space="preserve">C-8 · página 38 · Seis habilidades de resiliencia</w:t>
      </w:r>
      <w:bookmarkEnd w:id="5155"/>
    </w:p>
    <w:p>
      <w:pPr>
        <w:pStyle w:val="Normal"/>
      </w:pPr>
      <w:r>
        <w:t xml:space="preserve">Las capacidades se aplican tanto al individuo como a la organización.</w:t>
      </w:r>
    </w:p>
    <w:p>
      <w:pPr>
        <w:pStyle w:val="Fuente"/>
      </w:pPr>
      <w:r>
        <w:t xml:space="preserve">Proyección o explicación: Clase 23 · 01:29:45 · captura c23-19.</w:t>
      </w:r>
    </w:p>
    <w:p>
      <w:bookmarkStart w:name="b_punto_c8_p038_01" w:id="5156"/>
      <w:r>
        <w:t xml:space="preserve">Positivos: Identificar oportunidades y confiar sin negar hechos.</w:t>
      </w:r>
      <w:bookmarkEnd w:id="5156"/>
    </w:p>
    <w:p>
      <w:bookmarkStart w:name="b_punto_c8_p038_02" w:id="5157"/>
      <w:r>
        <w:t xml:space="preserve">Concentrados: Mantener visión clara del objetivo como guía.</w:t>
      </w:r>
      <w:bookmarkEnd w:id="5157"/>
    </w:p>
    <w:p>
      <w:bookmarkStart w:name="b_punto_c8_p038_03" w:id="5158"/>
      <w:r>
        <w:t xml:space="preserve">Flexibles: Usar recursos internos y externos con creatividad.</w:t>
      </w:r>
      <w:bookmarkEnd w:id="5158"/>
    </w:p>
    <w:p>
      <w:bookmarkStart w:name="b_punto_c8_p038_04" w:id="5159"/>
      <w:r>
        <w:t xml:space="preserve">Organizados: Planear y coordinar aun en ambigüedad.</w:t>
      </w:r>
      <w:bookmarkEnd w:id="5159"/>
    </w:p>
    <w:p>
      <w:bookmarkStart w:name="b_punto_c8_p038_05" w:id="5160"/>
      <w:r>
        <w:t xml:space="preserve">Proactivos: Actuar, medir riesgos y ajustarse ante incertidumbre.</w:t>
      </w:r>
      <w:bookmarkEnd w:id="5160"/>
    </w:p>
    <w:p>
      <w:bookmarkStart w:name="b_punto_c8_p038_06" w:id="5161"/>
      <w:r>
        <w:t xml:space="preserve">Adaptables: Ajustarse a condiciones nuevas y ritmos de cambio no uniformes.</w:t>
      </w:r>
      <w:bookmarkEnd w:id="5161"/>
    </w:p>
    <w:p>
      <w:pPr>
        <w:pStyle w:val="Heading3"/>
      </w:pPr>
      <w:bookmarkStart w:name="b_pagina_4_7_C_8_p39" w:id="5162"/>
      <w:r>
        <w:t xml:space="preserve">C-8 · página 39 · Montaña rusa del cambio</w:t>
      </w:r>
      <w:bookmarkEnd w:id="5162"/>
    </w:p>
    <w:p>
      <w:pPr>
        <w:pStyle w:val="Normal"/>
      </w:pPr>
      <w:r>
        <w:t xml:space="preserve">Los altibajos del esquema recibido requieren observación, feedback y aceptación activa.</w:t>
      </w:r>
    </w:p>
    <w:p>
      <w:bookmarkStart w:name="b_punto_c8_p039_01" w:id="5163"/>
      <w:r>
        <w:t xml:space="preserve">El esquema ordena shock, parálisis, negación, ira, depresión, racionalización y aceptación/compromiso.</w:t>
      </w:r>
      <w:bookmarkEnd w:id="5163"/>
    </w:p>
    <w:p>
      <w:bookmarkStart w:name="b_punto_c8_p039_02" w:id="5164"/>
      <w:r>
        <w:t xml:space="preserve">La racionalización problemática del material desconecta de la realidad y de los objetivos; no significa que razonar sea malo.</w:t>
      </w:r>
      <w:bookmarkEnd w:id="5164"/>
    </w:p>
    <w:p>
      <w:bookmarkStart w:name="b_punto_c8_p039_03" w:id="5165"/>
      <w:r>
        <w:t xml:space="preserve">Aceptar la situación y comprometerse permite orientar acciones al futuro.</w:t>
      </w:r>
      <w:bookmarkEnd w:id="5165"/>
    </w:p>
    <w:p>
      <w:bookmarkStart w:name="b_punto_c8_p039_04" w:id="5166"/>
      <w:r>
        <w:t xml:space="preserve">Puede haber retrocesos; el feedback permite advertirlos.El esquema no es secuencia obligatoria para todas las personas.</w:t>
      </w:r>
      <w:bookmarkEnd w:id="5166"/>
    </w:p>
    <w:p>
      <w:pPr>
        <w:pStyle w:val="Heading3"/>
      </w:pPr>
      <w:bookmarkStart w:name="b_pagina_4_7_C_8_p40" w:id="5167"/>
      <w:r>
        <w:t xml:space="preserve">C-8 · página 40 · Resiliencia: visión holística</w:t>
      </w:r>
      <w:bookmarkEnd w:id="5167"/>
    </w:p>
    <w:p>
      <w:pPr>
        <w:pStyle w:val="Normal"/>
      </w:pPr>
      <w:r>
        <w:t xml:space="preserve">Realidad, objetivos, recursos, valores, tiempo y entorno forman una perspectiva integrada.</w:t>
      </w:r>
    </w:p>
    <w:p>
      <w:bookmarkStart w:name="b_punto_c8_p040_01" w:id="5168"/>
      <w:r>
        <w:t xml:space="preserve">Pasado, presente y futuro se conectan mediante aprendizaje y feedback.</w:t>
      </w:r>
      <w:bookmarkEnd w:id="5168"/>
    </w:p>
    <w:p>
      <w:bookmarkStart w:name="b_punto_c8_p040_02" w:id="5169"/>
      <w:r>
        <w:t xml:space="preserve">Realidad actual y objetivos orientan qué hacer con lo disponible; valores aportan sentido.</w:t>
      </w:r>
      <w:bookmarkEnd w:id="5169"/>
    </w:p>
    <w:p>
      <w:bookmarkStart w:name="b_punto_c8_p040_03" w:id="5170"/>
      <w:r>
        <w:t xml:space="preserve">Las seis habilidades rodean el proceso dentro de un contexto cambiante.</w:t>
      </w:r>
      <w:bookmarkEnd w:id="5170"/>
    </w:p>
    <w:p>
      <w:pPr>
        <w:pStyle w:val="Heading3"/>
      </w:pPr>
      <w:bookmarkStart w:name="b_pagina_4_7_C_8_p42" w:id="5171"/>
      <w:r>
        <w:t xml:space="preserve">C-8 · página 42 · Póster de los catorce hábitos</w:t>
      </w:r>
      <w:bookmarkEnd w:id="5171"/>
    </w:p>
    <w:p>
      <w:pPr>
        <w:pStyle w:val="Normal"/>
      </w:pPr>
      <w:r>
        <w:t xml:space="preserve">Conserva la numeración del curso y enfatiza los hábitos de decisión y mejora.</w:t>
      </w:r>
    </w:p>
    <w:p>
      <w:bookmarkStart w:name="b_punto_c8_p042_01" w:id="5172"/>
      <w:r>
        <w:t xml:space="preserve">Hábito 1 del póster: Observar la totalidad y el contexto.</w:t>
      </w:r>
      <w:bookmarkEnd w:id="5172"/>
    </w:p>
    <w:p>
      <w:bookmarkStart w:name="b_punto_c8_p042_02" w:id="5173"/>
      <w:r>
        <w:t xml:space="preserve">Hábito 2 del póster: Observar patrones y tendencias en el tiempo.</w:t>
      </w:r>
      <w:bookmarkEnd w:id="5173"/>
    </w:p>
    <w:p>
      <w:bookmarkStart w:name="b_punto_c8_p042_03" w:id="5174"/>
      <w:r>
        <w:t xml:space="preserve">Hábito 3 del póster: Reconocer que la estructura genera comportamiento.</w:t>
      </w:r>
      <w:bookmarkEnd w:id="5174"/>
    </w:p>
    <w:p>
      <w:bookmarkStart w:name="b_punto_c8_p042_04" w:id="5175"/>
      <w:r>
        <w:t xml:space="preserve">Hábito 4 del póster: Reconocer circularidad entre causa y efecto.</w:t>
      </w:r>
      <w:bookmarkEnd w:id="5175"/>
    </w:p>
    <w:p>
      <w:bookmarkStart w:name="b_punto_c8_p042_05" w:id="5176"/>
      <w:r>
        <w:t xml:space="preserve">Hábito 5 del póster: Establecer conexiones significativas dentro y entre sistemas.</w:t>
      </w:r>
      <w:bookmarkEnd w:id="5176"/>
    </w:p>
    <w:p>
      <w:bookmarkStart w:name="b_punto_c8_p042_06" w:id="5177"/>
      <w:r>
        <w:t xml:space="preserve">Hábito 6 del póster: Ampliar comprensión cambiando perspectivas.</w:t>
      </w:r>
      <w:bookmarkEnd w:id="5177"/>
    </w:p>
    <w:p>
      <w:bookmarkStart w:name="b_punto_c8_p042_07" w:id="5178"/>
      <w:r>
        <w:t xml:space="preserve">Hábito 7 del póster: Identificar y comprobar suposiciones.</w:t>
      </w:r>
      <w:bookmarkEnd w:id="5178"/>
    </w:p>
    <w:p>
      <w:bookmarkStart w:name="b_punto_c8_p042_08" w:id="5179"/>
      <w:r>
        <w:t xml:space="preserve">Hábito 8 del póster: Comprender a fondo antes de concluir.</w:t>
      </w:r>
      <w:bookmarkEnd w:id="5179"/>
    </w:p>
    <w:p>
      <w:bookmarkStart w:name="b_punto_c8_p042_09" w:id="5180"/>
      <w:r>
        <w:t xml:space="preserve">Hábito 9 del póster: Reconocer la influencia de los modelos mentales.</w:t>
      </w:r>
      <w:bookmarkEnd w:id="5180"/>
    </w:p>
    <w:p>
      <w:bookmarkStart w:name="b_punto_c8_p042_10" w:id="5181"/>
      <w:r>
        <w:t xml:space="preserve">Hábito 10 del póster: Buscar acciones de apalancamiento mediante la estructura.</w:t>
      </w:r>
      <w:bookmarkEnd w:id="5181"/>
    </w:p>
    <w:p>
      <w:bookmarkStart w:name="b_punto_c8_p042_11" w:id="5182"/>
      <w:r>
        <w:t xml:space="preserve">Hábito 11 del póster: Anticipar efectos inmediatos, posteriores e imprevistos.</w:t>
      </w:r>
      <w:bookmarkEnd w:id="5182"/>
    </w:p>
    <w:p>
      <w:bookmarkStart w:name="b_punto_c8_p042_12" w:id="5183"/>
      <w:r>
        <w:t xml:space="preserve">Hábito 12 del póster: Examinar acumulaciones y tasas de cambio.</w:t>
      </w:r>
      <w:bookmarkEnd w:id="5183"/>
    </w:p>
    <w:p>
      <w:bookmarkStart w:name="b_punto_c8_p042_13" w:id="5184"/>
      <w:r>
        <w:t xml:space="preserve">Hábito 13 del póster: Reconocer demoras causales.</w:t>
      </w:r>
      <w:bookmarkEnd w:id="5184"/>
    </w:p>
    <w:p>
      <w:bookmarkStart w:name="b_punto_c8_p042_14" w:id="5185"/>
      <w:r>
        <w:t xml:space="preserve">Hábito 14 del póster: Evaluar resultados y ajustar acciones.</w:t>
      </w:r>
      <w:bookmarkEnd w:id="5185"/>
    </w:p>
    <w:p>
      <w:pPr>
        <w:pStyle w:val="Heading3"/>
      </w:pPr>
      <w:bookmarkStart w:name="b_pagina_4_7_C_8_p43" w:id="5186"/>
      <w:r>
        <w:t xml:space="preserve">C-8 · página 43 · Cuatro etapas de resolución</w:t>
      </w:r>
      <w:bookmarkEnd w:id="5186"/>
    </w:p>
    <w:p>
      <w:pPr>
        <w:pStyle w:val="Normal"/>
      </w:pPr>
      <w:r>
        <w:t xml:space="preserve">Conciencia, comprensión, planificación/acción y revisión reorganizan los hábitos para resolver problemas.</w:t>
      </w:r>
    </w:p>
    <w:p>
      <w:bookmarkStart w:name="b_punto_c8_p043_01" w:id="5187"/>
      <w:r>
        <w:t xml:space="preserve">La estrategia agrupa hábitos en cuatro categorías secuenciales y permite volver a revisar lo hecho.</w:t>
      </w:r>
      <w:bookmarkEnd w:id="5187"/>
    </w:p>
    <w:p>
      <w:bookmarkStart w:name="b_punto_c8_p043_02" w:id="5188"/>
      <w:r>
        <w:t xml:space="preserve">Las etapas son conciencia, comprensión, planificación y toma de medidas, y aproximación sucesiva tras implementar.</w:t>
      </w:r>
      <w:bookmarkEnd w:id="5188"/>
    </w:p>
    <w:p>
      <w:bookmarkStart w:name="b_punto_c8_p043_03" w:id="5189"/>
      <w:r>
        <w:t xml:space="preserve">La agrupación de etapas no es la misma que los grupos de hábitos por unidad.</w:t>
      </w:r>
      <w:bookmarkEnd w:id="5189"/>
    </w:p>
    <w:p>
      <w:pPr>
        <w:pStyle w:val="Heading3"/>
      </w:pPr>
      <w:bookmarkStart w:name="b_pagina_4_7_C_8_p44" w:id="5190"/>
      <w:r>
        <w:t xml:space="preserve">C-8 · página 44 · Desarrollar conciencia</w:t>
      </w:r>
      <w:bookmarkEnd w:id="5190"/>
    </w:p>
    <w:p>
      <w:pPr>
        <w:pStyle w:val="Normal"/>
      </w:pPr>
      <w:r>
        <w:t xml:space="preserve">La etapa 1 se practica con los hábitos 1, 2, 3, 4 del póster.</w:t>
      </w:r>
    </w:p>
    <w:p>
      <w:pPr>
        <w:pStyle w:val="Fuente"/>
      </w:pPr>
      <w:r>
        <w:t xml:space="preserve">Proyección o explicación: Clase 24 · 00:13:38 · captura c24-05.</w:t>
      </w:r>
    </w:p>
    <w:p>
      <w:bookmarkStart w:name="b_punto_c8_p044_01" w:id="5191"/>
      <w:r>
        <w:t xml:space="preserve">Hábito 1 del póster: Observar la totalidad y el contexto.</w:t>
      </w:r>
      <w:bookmarkEnd w:id="5191"/>
    </w:p>
    <w:p>
      <w:bookmarkStart w:name="b_punto_c8_p044_02" w:id="5192"/>
      <w:r>
        <w:t xml:space="preserve">Hábito 2 del póster: Observar patrones y tendencias en el tiempo.</w:t>
      </w:r>
      <w:bookmarkEnd w:id="5192"/>
    </w:p>
    <w:p>
      <w:bookmarkStart w:name="b_punto_c8_p044_03" w:id="5193"/>
      <w:r>
        <w:t xml:space="preserve">Hábito 3 del póster: Reconocer que la estructura genera comportamiento.</w:t>
      </w:r>
      <w:bookmarkEnd w:id="5193"/>
    </w:p>
    <w:p>
      <w:bookmarkStart w:name="b_punto_c8_p044_04" w:id="5194"/>
      <w:r>
        <w:t xml:space="preserve">Hábito 4 del póster: Reconocer circularidad entre causa y efecto.</w:t>
      </w:r>
      <w:bookmarkEnd w:id="5194"/>
    </w:p>
    <w:p>
      <w:bookmarkStart w:name="b_punto_c8_p044_05" w:id="5195"/>
      <w:r>
        <w:t xml:space="preserve">Esta etapa aplica los hábitos 1, 2, 3, 4.</w:t>
      </w:r>
      <w:bookmarkEnd w:id="5195"/>
    </w:p>
    <w:p>
      <w:bookmarkStart w:name="b_punto_c8_p044_06" w:id="5196"/>
      <w:r>
        <w:t xml:space="preserve">El hábito 5 no se asigna a ninguna etapa en el esquema del material.</w:t>
      </w:r>
      <w:bookmarkEnd w:id="5196"/>
    </w:p>
    <w:p>
      <w:pPr>
        <w:pStyle w:val="Heading3"/>
      </w:pPr>
      <w:bookmarkStart w:name="b_pagina_4_7_C_8_p45" w:id="5197"/>
      <w:r>
        <w:t xml:space="preserve">C-8 · página 45 · Aumentar comprensión</w:t>
      </w:r>
      <w:bookmarkEnd w:id="5197"/>
    </w:p>
    <w:p>
      <w:pPr>
        <w:pStyle w:val="Normal"/>
      </w:pPr>
      <w:r>
        <w:t xml:space="preserve">La etapa 2 se practica con los hábitos 6, 7, 8, 9 del póster.</w:t>
      </w:r>
    </w:p>
    <w:p>
      <w:pPr>
        <w:pStyle w:val="Fuente"/>
      </w:pPr>
      <w:r>
        <w:t xml:space="preserve">Proyección o explicación: Clase 24 · 00:13:38 · captura c24-06.</w:t>
      </w:r>
    </w:p>
    <w:p>
      <w:bookmarkStart w:name="b_punto_c8_p045_01" w:id="5198"/>
      <w:r>
        <w:t xml:space="preserve">Hábito 6 del póster: Ampliar comprensión cambiando perspectivas.</w:t>
      </w:r>
      <w:bookmarkEnd w:id="5198"/>
    </w:p>
    <w:p>
      <w:bookmarkStart w:name="b_punto_c8_p045_02" w:id="5199"/>
      <w:r>
        <w:t xml:space="preserve">Hábito 7 del póster: Identificar y comprobar suposiciones.</w:t>
      </w:r>
      <w:bookmarkEnd w:id="5199"/>
    </w:p>
    <w:p>
      <w:bookmarkStart w:name="b_punto_c8_p045_03" w:id="5200"/>
      <w:r>
        <w:t xml:space="preserve">Hábito 8 del póster: Comprender a fondo antes de concluir.</w:t>
      </w:r>
      <w:bookmarkEnd w:id="5200"/>
    </w:p>
    <w:p>
      <w:bookmarkStart w:name="b_punto_c8_p045_04" w:id="5201"/>
      <w:r>
        <w:t xml:space="preserve">Hábito 9 del póster: Reconocer la influencia de los modelos mentales.</w:t>
      </w:r>
      <w:bookmarkEnd w:id="5201"/>
    </w:p>
    <w:p>
      <w:bookmarkStart w:name="b_punto_c8_p045_05" w:id="5202"/>
      <w:r>
        <w:t xml:space="preserve">Esta etapa aplica los hábitos 6, 7, 8, 9.</w:t>
      </w:r>
      <w:bookmarkEnd w:id="5202"/>
    </w:p>
    <w:p>
      <w:bookmarkStart w:name="b_punto_c8_p045_06" w:id="5203"/>
      <w:r>
        <w:t xml:space="preserve">El hábito 5 no se asigna a ninguna etapa en el esquema del material.</w:t>
      </w:r>
      <w:bookmarkEnd w:id="5203"/>
    </w:p>
    <w:p>
      <w:pPr>
        <w:pStyle w:val="Heading3"/>
      </w:pPr>
      <w:bookmarkStart w:name="b_pagina_4_7_C_8_p46" w:id="5204"/>
      <w:r>
        <w:t xml:space="preserve">C-8 · página 46 · Planificar y tomar medidas</w:t>
      </w:r>
      <w:bookmarkEnd w:id="5204"/>
    </w:p>
    <w:p>
      <w:pPr>
        <w:pStyle w:val="Normal"/>
      </w:pPr>
      <w:r>
        <w:t xml:space="preserve">La etapa 3 se practica con los hábitos 10, 11, 12, 13 del póster.</w:t>
      </w:r>
    </w:p>
    <w:p>
      <w:pPr>
        <w:pStyle w:val="Fuente"/>
      </w:pPr>
      <w:r>
        <w:t xml:space="preserve">Proyección o explicación: Clase 24 · 00:13:38 · captura c24-07.</w:t>
      </w:r>
    </w:p>
    <w:p>
      <w:bookmarkStart w:name="b_punto_c8_p046_01" w:id="5205"/>
      <w:r>
        <w:t xml:space="preserve">Hábito 10 del póster: Buscar acciones de apalancamiento mediante la estructura.</w:t>
      </w:r>
      <w:bookmarkEnd w:id="5205"/>
    </w:p>
    <w:p>
      <w:bookmarkStart w:name="b_punto_c8_p046_02" w:id="5206"/>
      <w:r>
        <w:t xml:space="preserve">Hábito 11 del póster: Anticipar efectos inmediatos, posteriores e imprevistos.</w:t>
      </w:r>
      <w:bookmarkEnd w:id="5206"/>
    </w:p>
    <w:p>
      <w:bookmarkStart w:name="b_punto_c8_p046_03" w:id="5207"/>
      <w:r>
        <w:t xml:space="preserve">Hábito 12 del póster: Examinar acumulaciones y tasas de cambio.</w:t>
      </w:r>
      <w:bookmarkEnd w:id="5207"/>
    </w:p>
    <w:p>
      <w:bookmarkStart w:name="b_punto_c8_p046_04" w:id="5208"/>
      <w:r>
        <w:t xml:space="preserve">Hábito 13 del póster: Reconocer demoras causales.</w:t>
      </w:r>
      <w:bookmarkEnd w:id="5208"/>
    </w:p>
    <w:p>
      <w:bookmarkStart w:name="b_punto_c8_p046_05" w:id="5209"/>
      <w:r>
        <w:t xml:space="preserve">Esta etapa aplica los hábitos 10, 11, 12, 13.</w:t>
      </w:r>
      <w:bookmarkEnd w:id="5209"/>
    </w:p>
    <w:p>
      <w:bookmarkStart w:name="b_punto_c8_p046_06" w:id="5210"/>
      <w:r>
        <w:t xml:space="preserve">El hábito 5 no se asigna a ninguna etapa en el esquema del material.</w:t>
      </w:r>
      <w:bookmarkEnd w:id="5210"/>
    </w:p>
    <w:p>
      <w:pPr>
        <w:pStyle w:val="Heading3"/>
      </w:pPr>
      <w:bookmarkStart w:name="b_pagina_4_7_C_8_p47" w:id="5211"/>
      <w:r>
        <w:t xml:space="preserve">C-8 · página 47 · Aproximación sucesiva tras implementar</w:t>
      </w:r>
      <w:bookmarkEnd w:id="5211"/>
    </w:p>
    <w:p>
      <w:pPr>
        <w:pStyle w:val="Normal"/>
      </w:pPr>
      <w:r>
        <w:t xml:space="preserve">La etapa 4 se practica con los hábitos 14 del póster.</w:t>
      </w:r>
    </w:p>
    <w:p>
      <w:pPr>
        <w:pStyle w:val="Fuente"/>
      </w:pPr>
      <w:r>
        <w:t xml:space="preserve">Proyección o explicación: Clase 24 · 00:13:38 · captura c24-08.</w:t>
      </w:r>
    </w:p>
    <w:p>
      <w:pPr>
        <w:keepNext/>
        <w:spacing w:after="40" w:before="150"/>
        <w:jc w:val="center"/>
      </w:pPr>
      <w:bookmarkStart w:name="b_figura_original_pagina_C_8_47" w:id="5212"/>
      <w:bookmarkEnd w:id="5212"/>
      <w:r>
        <w:drawing>
          <wp:inline distT="0" distB="0" distL="0" distR="0">
            <wp:extent cx="5381625" cy="3028950"/>
            <wp:effectExtent t="0" r="0" b="0" l="0"/>
            <wp:docPr id="198" name="pagina-C-8-47" descr="Presentación C-8, pág. 47" title="Aproximación sucesiva tras implemen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65" cstate="none"/>
                    <a:srcRect/>
                    <a:stretch>
                      <a:fillRect/>
                    </a:stretch>
                  </pic:blipFill>
                  <pic:spPr bwMode="auto">
                    <a:xfrm>
                      <a:off x="0" y="0"/>
                      <a:ext cx="5381625" cy="3028950"/>
                    </a:xfrm>
                    <a:prstGeom prst="rect">
                      <a:avLst/>
                    </a:prstGeom>
                  </pic:spPr>
                </pic:pic>
              </a:graphicData>
            </a:graphic>
          </wp:inline>
        </w:drawing>
      </w:r>
    </w:p>
    <w:p>
      <w:pPr>
        <w:pStyle w:val="PieFigura"/>
        <w:keepNext/>
      </w:pPr>
      <w:bookmarkStart w:name="b_fig_4_7_2" w:id="5213"/>
      <w:r>
        <w:t xml:space="preserve">Figura 4.7.</w:t>
      </w:r>
      <w:fldSimple w:instr="SEQ Figura \n \* ARABIC">
        <w:r>
          <w:t xml:space="preserve">2</w:t>
        </w:r>
      </w:fldSimple>
      <w:r>
        <w:t xml:space="preserve"> · Aproximación sucesiva tras implementar</w:t>
      </w:r>
      <w:bookmarkEnd w:id="5213"/>
    </w:p>
    <w:p>
      <w:pPr>
        <w:pStyle w:val="Fuente"/>
      </w:pPr>
      <w:r>
        <w:t xml:space="preserve">Presentación C-8, pág. 47</w:t>
      </w:r>
    </w:p>
    <w:p>
      <w:bookmarkStart w:name="b_punto_c8_p047_01" w:id="5214"/>
      <w:r>
        <w:t xml:space="preserve">Hábito 14 del póster: Evaluar resultados y ajustar acciones.</w:t>
      </w:r>
      <w:bookmarkEnd w:id="5214"/>
    </w:p>
    <w:p>
      <w:bookmarkStart w:name="b_punto_c8_p047_02" w:id="5215"/>
      <w:r>
        <w:t xml:space="preserve">Esta etapa aplica los hábitos 14.</w:t>
      </w:r>
      <w:bookmarkEnd w:id="5215"/>
    </w:p>
    <w:p>
      <w:bookmarkStart w:name="b_punto_c8_p047_03" w:id="5216"/>
      <w:r>
        <w:t xml:space="preserve">El hábito 5 no se asigna a ninguna etapa en el esquema del material.</w:t>
      </w:r>
      <w:bookmarkEnd w:id="5216"/>
    </w:p>
    <w:p>
      <w:pPr>
        <w:pStyle w:val="Heading3"/>
      </w:pPr>
      <w:bookmarkStart w:name="b_pagina_4_7_C_8_p48" w:id="5217"/>
      <w:r>
        <w:t xml:space="preserve">C-8 · página 48 · Póster de los catorce hábitos</w:t>
      </w:r>
      <w:bookmarkEnd w:id="5217"/>
    </w:p>
    <w:p>
      <w:pPr>
        <w:pStyle w:val="Normal"/>
      </w:pPr>
      <w:r>
        <w:t xml:space="preserve">Conserva la numeración del curso y enfatiza los hábitos de decisión y mejora.</w:t>
      </w:r>
    </w:p>
    <w:p>
      <w:bookmarkStart w:name="b_punto_c8_p048_01" w:id="5218"/>
      <w:r>
        <w:t xml:space="preserve">Hábito 1 del póster: Observar la totalidad y el contexto.</w:t>
      </w:r>
      <w:bookmarkEnd w:id="5218"/>
    </w:p>
    <w:p>
      <w:bookmarkStart w:name="b_punto_c8_p048_02" w:id="5219"/>
      <w:r>
        <w:t xml:space="preserve">Hábito 2 del póster: Observar patrones y tendencias en el tiempo.</w:t>
      </w:r>
      <w:bookmarkEnd w:id="5219"/>
    </w:p>
    <w:p>
      <w:bookmarkStart w:name="b_punto_c8_p048_03" w:id="5220"/>
      <w:r>
        <w:t xml:space="preserve">Hábito 3 del póster: Reconocer que la estructura genera comportamiento.</w:t>
      </w:r>
      <w:bookmarkEnd w:id="5220"/>
    </w:p>
    <w:p>
      <w:bookmarkStart w:name="b_punto_c8_p048_04" w:id="5221"/>
      <w:r>
        <w:t xml:space="preserve">Hábito 4 del póster: Reconocer circularidad entre causa y efecto.</w:t>
      </w:r>
      <w:bookmarkEnd w:id="5221"/>
    </w:p>
    <w:p>
      <w:bookmarkStart w:name="b_punto_c8_p048_05" w:id="5222"/>
      <w:r>
        <w:t xml:space="preserve">Hábito 5 del póster: Establecer conexiones significativas dentro y entre sistemas.</w:t>
      </w:r>
      <w:bookmarkEnd w:id="5222"/>
    </w:p>
    <w:p>
      <w:bookmarkStart w:name="b_punto_c8_p048_06" w:id="5223"/>
      <w:r>
        <w:t xml:space="preserve">Hábito 6 del póster: Ampliar comprensión cambiando perspectivas.</w:t>
      </w:r>
      <w:bookmarkEnd w:id="5223"/>
    </w:p>
    <w:p>
      <w:bookmarkStart w:name="b_punto_c8_p048_07" w:id="5224"/>
      <w:r>
        <w:t xml:space="preserve">Hábito 7 del póster: Identificar y comprobar suposiciones.</w:t>
      </w:r>
      <w:bookmarkEnd w:id="5224"/>
    </w:p>
    <w:p>
      <w:bookmarkStart w:name="b_punto_c8_p048_08" w:id="5225"/>
      <w:r>
        <w:t xml:space="preserve">Hábito 8 del póster: Comprender a fondo antes de concluir.</w:t>
      </w:r>
      <w:bookmarkEnd w:id="5225"/>
    </w:p>
    <w:p>
      <w:bookmarkStart w:name="b_punto_c8_p048_09" w:id="5226"/>
      <w:r>
        <w:t xml:space="preserve">Hábito 9 del póster: Reconocer la influencia de los modelos mentales.</w:t>
      </w:r>
      <w:bookmarkEnd w:id="5226"/>
    </w:p>
    <w:p>
      <w:bookmarkStart w:name="b_punto_c8_p048_10" w:id="5227"/>
      <w:r>
        <w:t xml:space="preserve">Hábito 10 del póster: Buscar acciones de apalancamiento mediante la estructura.</w:t>
      </w:r>
      <w:bookmarkEnd w:id="5227"/>
    </w:p>
    <w:p>
      <w:bookmarkStart w:name="b_punto_c8_p048_11" w:id="5228"/>
      <w:r>
        <w:t xml:space="preserve">Hábito 11 del póster: Anticipar efectos inmediatos, posteriores e imprevistos.</w:t>
      </w:r>
      <w:bookmarkEnd w:id="5228"/>
    </w:p>
    <w:p>
      <w:bookmarkStart w:name="b_punto_c8_p048_12" w:id="5229"/>
      <w:r>
        <w:t xml:space="preserve">Hábito 12 del póster: Examinar acumulaciones y tasas de cambio.</w:t>
      </w:r>
      <w:bookmarkEnd w:id="5229"/>
    </w:p>
    <w:p>
      <w:bookmarkStart w:name="b_punto_c8_p048_13" w:id="5230"/>
      <w:r>
        <w:t xml:space="preserve">Hábito 13 del póster: Reconocer demoras causales.</w:t>
      </w:r>
      <w:bookmarkEnd w:id="5230"/>
    </w:p>
    <w:p>
      <w:bookmarkStart w:name="b_punto_c8_p048_14" w:id="5231"/>
      <w:r>
        <w:t xml:space="preserve">Hábito 14 del póster: Evaluar resultados y ajustar acciones.</w:t>
      </w:r>
      <w:bookmarkEnd w:id="5231"/>
    </w:p>
    <w:p>
      <w:pPr>
        <w:pStyle w:val="Heading3"/>
      </w:pPr>
      <w:bookmarkStart w:name="b_pagina_4_7_C_4_p17" w:id="5232"/>
      <w:r>
        <w:t xml:space="preserve">C-4 · página 17 · Hábitos y arquetipos</w:t>
      </w:r>
      <w:bookmarkEnd w:id="5232"/>
    </w:p>
    <w:p>
      <w:pPr>
        <w:pStyle w:val="Normal"/>
      </w:pPr>
      <w:r>
        <w:t xml:space="preserve">Síntesis de consecuencias y comprensión completa; octubre añade la referencia a decidir con inteligencia sistémica.</w:t>
      </w:r>
    </w:p>
    <w:p>
      <w:pPr>
        <w:pStyle w:val="Fuente"/>
      </w:pPr>
      <w:r>
        <w:t xml:space="preserve">Proyección o explicación: Clase 23 · 00:04:44 · captura c23-01.</w:t>
      </w:r>
    </w:p>
    <w:p>
      <w:bookmarkStart w:name="b_punto_c4_p017_01" w:id="5233"/>
      <w:r>
        <w:t xml:space="preserve">Hábito 8 del póster: Comprender a fondo antes de concluir.</w:t>
      </w:r>
      <w:bookmarkEnd w:id="5233"/>
    </w:p>
    <w:p>
      <w:bookmarkStart w:name="b_punto_c4_p017_02" w:id="5234"/>
      <w:r>
        <w:t xml:space="preserve">Hábito 11 del póster: Anticipar efectos inmediatos, posteriores e imprevistos.</w:t>
      </w:r>
      <w:bookmarkEnd w:id="5234"/>
    </w:p>
    <w:p>
      <w:pPr>
        <w:pStyle w:val="Fuente"/>
      </w:pPr>
      <w:r>
        <w:t xml:space="preserve">Véase </w:t>
      </w:r>
      <w:hyperlink w:history="1" w:anchor="b_4_1">
        <w:r>
          <w:rPr>
            <w:color w:val="156B70"/>
            <w:u w:val="single"/>
          </w:rPr>
          <w:t xml:space="preserve">capítulo 4.1 · Arquetipos sistémicos</w:t>
        </w:r>
      </w:hyperlink>
      <w:r>
        <w:t xml:space="preserve">, pág. </w:t>
      </w:r>
      <w:r>
        <w:fldChar w:fldCharType="begin"/>
        <w:instrText xml:space="preserve">PAGEREF b_4_1 \h</w:instrText>
        <w:fldChar w:fldCharType="separate"/>
        <w:t xml:space="preserve">646</w:t>
        <w:fldChar w:fldCharType="end"/>
      </w:r>
      <w:r>
        <w:t xml:space="preserve">.</w:t>
      </w:r>
    </w:p>
    <w:p>
      <w:pPr>
        <w:pStyle w:val="Heading3"/>
      </w:pPr>
      <w:r>
        <w:t xml:space="preserve">Láminas de apoyo y versiones anteriores</w:t>
      </w:r>
    </w:p>
    <w:p>
      <w:pPr>
        <w:keepNext/>
        <w:spacing w:after="40" w:before="150"/>
        <w:jc w:val="center"/>
      </w:pPr>
      <w:bookmarkStart w:name="b_figura_original_pagina_C_3_3" w:id="5235"/>
      <w:bookmarkEnd w:id="5235"/>
      <w:r>
        <w:drawing>
          <wp:inline distT="0" distB="0" distL="0" distR="0">
            <wp:extent cx="5381625" cy="3028950"/>
            <wp:effectExtent t="0" r="0" b="0" l="0"/>
            <wp:docPr id="199" name="pagina-C-3-3" descr="Presentación C-3, pág. 3" title="Hábitos de un pensador sistémi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66" cstate="none"/>
                    <a:srcRect/>
                    <a:stretch>
                      <a:fillRect/>
                    </a:stretch>
                  </pic:blipFill>
                  <pic:spPr bwMode="auto">
                    <a:xfrm>
                      <a:off x="0" y="0"/>
                      <a:ext cx="5381625" cy="3028950"/>
                    </a:xfrm>
                    <a:prstGeom prst="rect">
                      <a:avLst/>
                    </a:prstGeom>
                  </pic:spPr>
                </pic:pic>
              </a:graphicData>
            </a:graphic>
          </wp:inline>
        </w:drawing>
      </w:r>
    </w:p>
    <w:p>
      <w:pPr>
        <w:pStyle w:val="PieFigura"/>
        <w:keepNext/>
      </w:pPr>
      <w:bookmarkStart w:name="b_fig_4_7_3" w:id="5236"/>
      <w:r>
        <w:t xml:space="preserve">Figura 4.7.</w:t>
      </w:r>
      <w:fldSimple w:instr="SEQ Figura \n \* ARABIC">
        <w:r>
          <w:t xml:space="preserve">3</w:t>
        </w:r>
      </w:fldSimple>
      <w:r>
        <w:t xml:space="preserve"> · Hábitos de un pensador sistémico</w:t>
      </w:r>
      <w:bookmarkEnd w:id="5236"/>
    </w:p>
    <w:p>
      <w:pPr>
        <w:pStyle w:val="Fuente"/>
      </w:pPr>
      <w:r>
        <w:t xml:space="preserve">Presentación C-3, pág. 3</w:t>
      </w:r>
    </w:p>
    <w:p>
      <w:pPr>
        <w:keepNext/>
        <w:spacing w:after="40" w:before="150"/>
        <w:jc w:val="center"/>
      </w:pPr>
      <w:bookmarkStart w:name="b_figura_original_pagina_C_3_4" w:id="5237"/>
      <w:bookmarkEnd w:id="5237"/>
      <w:r>
        <w:drawing>
          <wp:inline distT="0" distB="0" distL="0" distR="0">
            <wp:extent cx="5381625" cy="3028950"/>
            <wp:effectExtent t="0" r="0" b="0" l="0"/>
            <wp:docPr id="200" name="pagina-C-3-4" descr="Presentación C-3, pág. 4" title="Hábitos de un pensador sistémi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67" cstate="none"/>
                    <a:srcRect/>
                    <a:stretch>
                      <a:fillRect/>
                    </a:stretch>
                  </pic:blipFill>
                  <pic:spPr bwMode="auto">
                    <a:xfrm>
                      <a:off x="0" y="0"/>
                      <a:ext cx="5381625" cy="3028950"/>
                    </a:xfrm>
                    <a:prstGeom prst="rect">
                      <a:avLst/>
                    </a:prstGeom>
                  </pic:spPr>
                </pic:pic>
              </a:graphicData>
            </a:graphic>
          </wp:inline>
        </w:drawing>
      </w:r>
    </w:p>
    <w:p>
      <w:pPr>
        <w:pStyle w:val="PieFigura"/>
        <w:keepNext/>
      </w:pPr>
      <w:bookmarkStart w:name="b_fig_4_7_4" w:id="5238"/>
      <w:r>
        <w:t xml:space="preserve">Figura 4.7.</w:t>
      </w:r>
      <w:fldSimple w:instr="SEQ Figura \n \* ARABIC">
        <w:r>
          <w:t xml:space="preserve">4</w:t>
        </w:r>
      </w:fldSimple>
      <w:r>
        <w:t xml:space="preserve"> · Hábitos de un pensador sistémico</w:t>
      </w:r>
      <w:bookmarkEnd w:id="5238"/>
    </w:p>
    <w:p>
      <w:pPr>
        <w:pStyle w:val="Fuente"/>
      </w:pPr>
      <w:r>
        <w:t xml:space="preserve">Presentación C-3, pág. 4</w:t>
      </w:r>
    </w:p>
    <w:p>
      <w:pPr>
        <w:keepNext/>
        <w:spacing w:after="40" w:before="150"/>
        <w:jc w:val="center"/>
      </w:pPr>
      <w:bookmarkStart w:name="b_figura_original_pagina_C_4_2" w:id="5239"/>
      <w:bookmarkEnd w:id="5239"/>
      <w:r>
        <w:drawing>
          <wp:inline distT="0" distB="0" distL="0" distR="0">
            <wp:extent cx="5381625" cy="3028950"/>
            <wp:effectExtent t="0" r="0" b="0" l="0"/>
            <wp:docPr id="201" name="pagina-C-4-2" descr="Presentación C-4, pág. 2" title="Hábitos de un pensador sistémi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68" cstate="none"/>
                    <a:srcRect/>
                    <a:stretch>
                      <a:fillRect/>
                    </a:stretch>
                  </pic:blipFill>
                  <pic:spPr bwMode="auto">
                    <a:xfrm>
                      <a:off x="0" y="0"/>
                      <a:ext cx="5381625" cy="3028950"/>
                    </a:xfrm>
                    <a:prstGeom prst="rect">
                      <a:avLst/>
                    </a:prstGeom>
                  </pic:spPr>
                </pic:pic>
              </a:graphicData>
            </a:graphic>
          </wp:inline>
        </w:drawing>
      </w:r>
    </w:p>
    <w:p>
      <w:pPr>
        <w:pStyle w:val="PieFigura"/>
        <w:keepNext/>
      </w:pPr>
      <w:bookmarkStart w:name="b_fig_4_7_5" w:id="5240"/>
      <w:r>
        <w:t xml:space="preserve">Figura 4.7.</w:t>
      </w:r>
      <w:fldSimple w:instr="SEQ Figura \n \* ARABIC">
        <w:r>
          <w:t xml:space="preserve">5</w:t>
        </w:r>
      </w:fldSimple>
      <w:r>
        <w:t xml:space="preserve"> · Hábitos de un pensador sistémico</w:t>
      </w:r>
      <w:bookmarkEnd w:id="5240"/>
    </w:p>
    <w:p>
      <w:pPr>
        <w:pStyle w:val="Fuente"/>
      </w:pPr>
      <w:r>
        <w:t xml:space="preserve">Presentación C-4, pág. 2</w:t>
      </w:r>
    </w:p>
    <w:p>
      <w:pPr>
        <w:keepNext/>
        <w:spacing w:after="40" w:before="150"/>
        <w:jc w:val="center"/>
      </w:pPr>
      <w:bookmarkStart w:name="b_figura_original_pagina_C_4_31" w:id="5241"/>
      <w:bookmarkEnd w:id="5241"/>
      <w:r>
        <w:drawing>
          <wp:inline distT="0" distB="0" distL="0" distR="0">
            <wp:extent cx="5381625" cy="3028950"/>
            <wp:effectExtent t="0" r="0" b="0" l="0"/>
            <wp:docPr id="202" name="pagina-C-4-31" descr="Presentación C-4, pág. 31" title="Examina los resultados y cambia las acciones si es necesario: «aproximación sucesiv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69" cstate="none"/>
                    <a:srcRect/>
                    <a:stretch>
                      <a:fillRect/>
                    </a:stretch>
                  </pic:blipFill>
                  <pic:spPr bwMode="auto">
                    <a:xfrm>
                      <a:off x="0" y="0"/>
                      <a:ext cx="5381625" cy="3028950"/>
                    </a:xfrm>
                    <a:prstGeom prst="rect">
                      <a:avLst/>
                    </a:prstGeom>
                  </pic:spPr>
                </pic:pic>
              </a:graphicData>
            </a:graphic>
          </wp:inline>
        </w:drawing>
      </w:r>
    </w:p>
    <w:p>
      <w:pPr>
        <w:pStyle w:val="PieFigura"/>
        <w:keepNext/>
      </w:pPr>
      <w:bookmarkStart w:name="b_fig_4_7_6" w:id="5242"/>
      <w:r>
        <w:t xml:space="preserve">Figura 4.7.</w:t>
      </w:r>
      <w:fldSimple w:instr="SEQ Figura \n \* ARABIC">
        <w:r>
          <w:t xml:space="preserve">6</w:t>
        </w:r>
      </w:fldSimple>
      <w:r>
        <w:t xml:space="preserve"> · Examina los resultados y cambia las acciones si es necesario: «aproximación sucesiva»</w:t>
      </w:r>
      <w:bookmarkEnd w:id="5242"/>
    </w:p>
    <w:p>
      <w:pPr>
        <w:pStyle w:val="Fuente"/>
      </w:pPr>
      <w:r>
        <w:t xml:space="preserve">Presentación C-4, pág. 31</w:t>
      </w:r>
    </w:p>
    <w:p>
      <w:pPr>
        <w:keepNext/>
        <w:spacing w:after="40" w:before="150"/>
        <w:jc w:val="center"/>
      </w:pPr>
      <w:bookmarkStart w:name="b_figura_original_pagina_C_4_34" w:id="5243"/>
      <w:bookmarkEnd w:id="5243"/>
      <w:r>
        <w:drawing>
          <wp:inline distT="0" distB="0" distL="0" distR="0">
            <wp:extent cx="5381625" cy="3028950"/>
            <wp:effectExtent t="0" r="0" b="0" l="0"/>
            <wp:docPr id="203" name="pagina-C-4-34" descr="Presentación C-4, pág. 34" title="Aproximación sucesiv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70" cstate="none"/>
                    <a:srcRect/>
                    <a:stretch>
                      <a:fillRect/>
                    </a:stretch>
                  </pic:blipFill>
                  <pic:spPr bwMode="auto">
                    <a:xfrm>
                      <a:off x="0" y="0"/>
                      <a:ext cx="5381625" cy="3028950"/>
                    </a:xfrm>
                    <a:prstGeom prst="rect">
                      <a:avLst/>
                    </a:prstGeom>
                  </pic:spPr>
                </pic:pic>
              </a:graphicData>
            </a:graphic>
          </wp:inline>
        </w:drawing>
      </w:r>
    </w:p>
    <w:p>
      <w:pPr>
        <w:pStyle w:val="PieFigura"/>
        <w:keepNext/>
      </w:pPr>
      <w:bookmarkStart w:name="b_fig_4_7_7" w:id="5244"/>
      <w:r>
        <w:t xml:space="preserve">Figura 4.7.</w:t>
      </w:r>
      <w:fldSimple w:instr="SEQ Figura \n \* ARABIC">
        <w:r>
          <w:t xml:space="preserve">7</w:t>
        </w:r>
      </w:fldSimple>
      <w:r>
        <w:t xml:space="preserve"> · Aproximación sucesiva</w:t>
      </w:r>
      <w:bookmarkEnd w:id="5244"/>
    </w:p>
    <w:p>
      <w:pPr>
        <w:pStyle w:val="Fuente"/>
      </w:pPr>
      <w:r>
        <w:t xml:space="preserve">Presentación C-4, pág. 34</w:t>
      </w:r>
    </w:p>
    <w:p>
      <w:pPr>
        <w:keepNext/>
        <w:spacing w:after="40" w:before="150"/>
        <w:jc w:val="center"/>
      </w:pPr>
      <w:bookmarkStart w:name="b_figura_original_pagina_C_4_35" w:id="5245"/>
      <w:bookmarkEnd w:id="5245"/>
      <w:r>
        <w:drawing>
          <wp:inline distT="0" distB="0" distL="0" distR="0">
            <wp:extent cx="5381625" cy="3028950"/>
            <wp:effectExtent t="0" r="0" b="0" l="0"/>
            <wp:docPr id="204" name="pagina-C-4-35" descr="Presentación C-4, pág. 35" title="Ciclo de aproximación sucesiv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71" cstate="none"/>
                    <a:srcRect/>
                    <a:stretch>
                      <a:fillRect/>
                    </a:stretch>
                  </pic:blipFill>
                  <pic:spPr bwMode="auto">
                    <a:xfrm>
                      <a:off x="0" y="0"/>
                      <a:ext cx="5381625" cy="3028950"/>
                    </a:xfrm>
                    <a:prstGeom prst="rect">
                      <a:avLst/>
                    </a:prstGeom>
                  </pic:spPr>
                </pic:pic>
              </a:graphicData>
            </a:graphic>
          </wp:inline>
        </w:drawing>
      </w:r>
    </w:p>
    <w:p>
      <w:pPr>
        <w:pStyle w:val="PieFigura"/>
        <w:keepNext/>
      </w:pPr>
      <w:bookmarkStart w:name="b_fig_4_7_8" w:id="5246"/>
      <w:r>
        <w:t xml:space="preserve">Figura 4.7.</w:t>
      </w:r>
      <w:fldSimple w:instr="SEQ Figura \n \* ARABIC">
        <w:r>
          <w:t xml:space="preserve">8</w:t>
        </w:r>
      </w:fldSimple>
      <w:r>
        <w:t xml:space="preserve"> · Ciclo de aproximación sucesiva</w:t>
      </w:r>
      <w:bookmarkEnd w:id="5246"/>
    </w:p>
    <w:p>
      <w:pPr>
        <w:pStyle w:val="Fuente"/>
      </w:pPr>
      <w:r>
        <w:t xml:space="preserve">Presentación C-4, pág. 35</w:t>
      </w:r>
    </w:p>
    <w:p>
      <w:pPr>
        <w:keepNext/>
        <w:spacing w:after="40" w:before="150"/>
        <w:jc w:val="center"/>
      </w:pPr>
      <w:bookmarkStart w:name="b_figura_original_pagina_C_4_36" w:id="5247"/>
      <w:bookmarkEnd w:id="5247"/>
      <w:r>
        <w:drawing>
          <wp:inline distT="0" distB="0" distL="0" distR="0">
            <wp:extent cx="5381625" cy="3028950"/>
            <wp:effectExtent t="0" r="0" b="0" l="0"/>
            <wp:docPr id="205" name="pagina-C-4-36" descr="Presentación C-4, pág. 36" title="Definición de resilienc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72" cstate="none"/>
                    <a:srcRect/>
                    <a:stretch>
                      <a:fillRect/>
                    </a:stretch>
                  </pic:blipFill>
                  <pic:spPr bwMode="auto">
                    <a:xfrm>
                      <a:off x="0" y="0"/>
                      <a:ext cx="5381625" cy="3028950"/>
                    </a:xfrm>
                    <a:prstGeom prst="rect">
                      <a:avLst/>
                    </a:prstGeom>
                  </pic:spPr>
                </pic:pic>
              </a:graphicData>
            </a:graphic>
          </wp:inline>
        </w:drawing>
      </w:r>
    </w:p>
    <w:p>
      <w:pPr>
        <w:pStyle w:val="PieFigura"/>
        <w:keepNext/>
      </w:pPr>
      <w:bookmarkStart w:name="b_fig_4_7_9" w:id="5248"/>
      <w:r>
        <w:t xml:space="preserve">Figura 4.7.</w:t>
      </w:r>
      <w:fldSimple w:instr="SEQ Figura \n \* ARABIC">
        <w:r>
          <w:t xml:space="preserve">9</w:t>
        </w:r>
      </w:fldSimple>
      <w:r>
        <w:t xml:space="preserve"> · Definición de resiliencia</w:t>
      </w:r>
      <w:bookmarkEnd w:id="5248"/>
    </w:p>
    <w:p>
      <w:pPr>
        <w:pStyle w:val="Fuente"/>
      </w:pPr>
      <w:r>
        <w:t xml:space="preserve">Presentación C-4, pág. 36</w:t>
      </w:r>
    </w:p>
    <w:p>
      <w:pPr>
        <w:keepNext/>
        <w:spacing w:after="40" w:before="150"/>
        <w:jc w:val="center"/>
      </w:pPr>
      <w:bookmarkStart w:name="b_figura_original_pagina_C_4_37" w:id="5249"/>
      <w:bookmarkEnd w:id="5249"/>
      <w:r>
        <w:drawing>
          <wp:inline distT="0" distB="0" distL="0" distR="0">
            <wp:extent cx="5381625" cy="3028950"/>
            <wp:effectExtent t="0" r="0" b="0" l="0"/>
            <wp:docPr id="206" name="pagina-C-4-37" descr="Presentación C-4, pág. 37" title="Enfoque sistémico de la resilienc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73" cstate="none"/>
                    <a:srcRect/>
                    <a:stretch>
                      <a:fillRect/>
                    </a:stretch>
                  </pic:blipFill>
                  <pic:spPr bwMode="auto">
                    <a:xfrm>
                      <a:off x="0" y="0"/>
                      <a:ext cx="5381625" cy="3028950"/>
                    </a:xfrm>
                    <a:prstGeom prst="rect">
                      <a:avLst/>
                    </a:prstGeom>
                  </pic:spPr>
                </pic:pic>
              </a:graphicData>
            </a:graphic>
          </wp:inline>
        </w:drawing>
      </w:r>
    </w:p>
    <w:p>
      <w:pPr>
        <w:pStyle w:val="PieFigura"/>
        <w:keepNext/>
      </w:pPr>
      <w:bookmarkStart w:name="b_fig_4_7_10" w:id="5250"/>
      <w:r>
        <w:t xml:space="preserve">Figura 4.7.</w:t>
      </w:r>
      <w:fldSimple w:instr="SEQ Figura \n \* ARABIC">
        <w:r>
          <w:t xml:space="preserve">10</w:t>
        </w:r>
      </w:fldSimple>
      <w:r>
        <w:t xml:space="preserve"> · Enfoque sistémico de la resiliencia</w:t>
      </w:r>
      <w:bookmarkEnd w:id="5250"/>
    </w:p>
    <w:p>
      <w:pPr>
        <w:pStyle w:val="Fuente"/>
      </w:pPr>
      <w:r>
        <w:t xml:space="preserve">Presentación C-4, pág. 37</w:t>
      </w:r>
    </w:p>
    <w:p>
      <w:pPr>
        <w:keepNext/>
        <w:spacing w:after="40" w:before="150"/>
        <w:jc w:val="center"/>
      </w:pPr>
      <w:bookmarkStart w:name="b_figura_original_pagina_C_4_38" w:id="5251"/>
      <w:bookmarkEnd w:id="5251"/>
      <w:r>
        <w:drawing>
          <wp:inline distT="0" distB="0" distL="0" distR="0">
            <wp:extent cx="5381625" cy="3028950"/>
            <wp:effectExtent t="0" r="0" b="0" l="0"/>
            <wp:docPr id="207" name="pagina-C-4-38" descr="Presentación C-4, pág. 38" title="Enfoque sistémico de la resilienc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74" cstate="none"/>
                    <a:srcRect/>
                    <a:stretch>
                      <a:fillRect/>
                    </a:stretch>
                  </pic:blipFill>
                  <pic:spPr bwMode="auto">
                    <a:xfrm>
                      <a:off x="0" y="0"/>
                      <a:ext cx="5381625" cy="3028950"/>
                    </a:xfrm>
                    <a:prstGeom prst="rect">
                      <a:avLst/>
                    </a:prstGeom>
                  </pic:spPr>
                </pic:pic>
              </a:graphicData>
            </a:graphic>
          </wp:inline>
        </w:drawing>
      </w:r>
    </w:p>
    <w:p>
      <w:pPr>
        <w:pStyle w:val="PieFigura"/>
        <w:keepNext/>
      </w:pPr>
      <w:bookmarkStart w:name="b_fig_4_7_11" w:id="5252"/>
      <w:r>
        <w:t xml:space="preserve">Figura 4.7.</w:t>
      </w:r>
      <w:fldSimple w:instr="SEQ Figura \n \* ARABIC">
        <w:r>
          <w:t xml:space="preserve">11</w:t>
        </w:r>
      </w:fldSimple>
      <w:r>
        <w:t xml:space="preserve"> · Enfoque sistémico de la resiliencia</w:t>
      </w:r>
      <w:bookmarkEnd w:id="5252"/>
    </w:p>
    <w:p>
      <w:pPr>
        <w:pStyle w:val="Fuente"/>
      </w:pPr>
      <w:r>
        <w:t xml:space="preserve">Presentación C-4, pág. 38</w:t>
      </w:r>
    </w:p>
    <w:p>
      <w:pPr>
        <w:keepNext/>
        <w:spacing w:after="40" w:before="150"/>
        <w:jc w:val="center"/>
      </w:pPr>
      <w:bookmarkStart w:name="b_figura_original_pagina_C_4_39" w:id="5253"/>
      <w:bookmarkEnd w:id="5253"/>
      <w:r>
        <w:drawing>
          <wp:inline distT="0" distB="0" distL="0" distR="0">
            <wp:extent cx="5381625" cy="3028950"/>
            <wp:effectExtent t="0" r="0" b="0" l="0"/>
            <wp:docPr id="208" name="pagina-C-4-39" descr="Presentación C-4, pág. 39" title="Resiliencia: habilidades requerid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75" cstate="none"/>
                    <a:srcRect/>
                    <a:stretch>
                      <a:fillRect/>
                    </a:stretch>
                  </pic:blipFill>
                  <pic:spPr bwMode="auto">
                    <a:xfrm>
                      <a:off x="0" y="0"/>
                      <a:ext cx="5381625" cy="3028950"/>
                    </a:xfrm>
                    <a:prstGeom prst="rect">
                      <a:avLst/>
                    </a:prstGeom>
                  </pic:spPr>
                </pic:pic>
              </a:graphicData>
            </a:graphic>
          </wp:inline>
        </w:drawing>
      </w:r>
    </w:p>
    <w:p>
      <w:pPr>
        <w:pStyle w:val="PieFigura"/>
        <w:keepNext/>
      </w:pPr>
      <w:bookmarkStart w:name="b_fig_4_7_12" w:id="5254"/>
      <w:r>
        <w:t xml:space="preserve">Figura 4.7.</w:t>
      </w:r>
      <w:fldSimple w:instr="SEQ Figura \n \* ARABIC">
        <w:r>
          <w:t xml:space="preserve">12</w:t>
        </w:r>
      </w:fldSimple>
      <w:r>
        <w:t xml:space="preserve"> · Resiliencia: habilidades requeridas</w:t>
      </w:r>
      <w:bookmarkEnd w:id="5254"/>
    </w:p>
    <w:p>
      <w:pPr>
        <w:pStyle w:val="Fuente"/>
      </w:pPr>
      <w:r>
        <w:t xml:space="preserve">Presentación C-4, pág. 39</w:t>
      </w:r>
    </w:p>
    <w:p>
      <w:pPr>
        <w:keepNext/>
        <w:spacing w:after="40" w:before="150"/>
        <w:jc w:val="center"/>
      </w:pPr>
      <w:bookmarkStart w:name="b_figura_original_pagina_C_4_40" w:id="5255"/>
      <w:bookmarkEnd w:id="5255"/>
      <w:r>
        <w:drawing>
          <wp:inline distT="0" distB="0" distL="0" distR="0">
            <wp:extent cx="5381625" cy="3028950"/>
            <wp:effectExtent t="0" r="0" b="0" l="0"/>
            <wp:docPr id="209" name="pagina-C-4-40" descr="Presentación C-4, pág. 40" title="La montaña rusa del camb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76" cstate="none"/>
                    <a:srcRect/>
                    <a:stretch>
                      <a:fillRect/>
                    </a:stretch>
                  </pic:blipFill>
                  <pic:spPr bwMode="auto">
                    <a:xfrm>
                      <a:off x="0" y="0"/>
                      <a:ext cx="5381625" cy="3028950"/>
                    </a:xfrm>
                    <a:prstGeom prst="rect">
                      <a:avLst/>
                    </a:prstGeom>
                  </pic:spPr>
                </pic:pic>
              </a:graphicData>
            </a:graphic>
          </wp:inline>
        </w:drawing>
      </w:r>
    </w:p>
    <w:p>
      <w:pPr>
        <w:pStyle w:val="PieFigura"/>
        <w:keepNext/>
      </w:pPr>
      <w:bookmarkStart w:name="b_fig_4_7_13" w:id="5256"/>
      <w:r>
        <w:t xml:space="preserve">Figura 4.7.</w:t>
      </w:r>
      <w:fldSimple w:instr="SEQ Figura \n \* ARABIC">
        <w:r>
          <w:t xml:space="preserve">13</w:t>
        </w:r>
      </w:fldSimple>
      <w:r>
        <w:t xml:space="preserve"> · La montaña rusa del cambio</w:t>
      </w:r>
      <w:bookmarkEnd w:id="5256"/>
    </w:p>
    <w:p>
      <w:pPr>
        <w:pStyle w:val="Fuente"/>
      </w:pPr>
      <w:r>
        <w:t xml:space="preserve">Presentación C-4, pág. 40</w:t>
      </w:r>
    </w:p>
    <w:p>
      <w:pPr>
        <w:keepNext/>
        <w:spacing w:after="40" w:before="150"/>
        <w:jc w:val="center"/>
      </w:pPr>
      <w:bookmarkStart w:name="b_figura_original_pagina_C_4_41" w:id="5257"/>
      <w:bookmarkEnd w:id="5257"/>
      <w:r>
        <w:drawing>
          <wp:inline distT="0" distB="0" distL="0" distR="0">
            <wp:extent cx="5381625" cy="3028950"/>
            <wp:effectExtent t="0" r="0" b="0" l="0"/>
            <wp:docPr id="210" name="pagina-C-4-41" descr="Presentación C-4, pág. 41" title="Resiliencia: una visión holíst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77" cstate="none"/>
                    <a:srcRect/>
                    <a:stretch>
                      <a:fillRect/>
                    </a:stretch>
                  </pic:blipFill>
                  <pic:spPr bwMode="auto">
                    <a:xfrm>
                      <a:off x="0" y="0"/>
                      <a:ext cx="5381625" cy="3028950"/>
                    </a:xfrm>
                    <a:prstGeom prst="rect">
                      <a:avLst/>
                    </a:prstGeom>
                  </pic:spPr>
                </pic:pic>
              </a:graphicData>
            </a:graphic>
          </wp:inline>
        </w:drawing>
      </w:r>
    </w:p>
    <w:p>
      <w:pPr>
        <w:pStyle w:val="PieFigura"/>
        <w:keepNext/>
      </w:pPr>
      <w:bookmarkStart w:name="b_fig_4_7_14" w:id="5258"/>
      <w:r>
        <w:t xml:space="preserve">Figura 4.7.</w:t>
      </w:r>
      <w:fldSimple w:instr="SEQ Figura \n \* ARABIC">
        <w:r>
          <w:t xml:space="preserve">14</w:t>
        </w:r>
      </w:fldSimple>
      <w:r>
        <w:t xml:space="preserve"> · Resiliencia: una visión holística</w:t>
      </w:r>
      <w:bookmarkEnd w:id="5258"/>
    </w:p>
    <w:p>
      <w:pPr>
        <w:pStyle w:val="Fuente"/>
      </w:pPr>
      <w:r>
        <w:t xml:space="preserve">Presentación C-4, pág. 41</w:t>
      </w:r>
    </w:p>
    <w:p>
      <w:pPr>
        <w:keepNext/>
        <w:spacing w:after="40" w:before="150"/>
        <w:jc w:val="center"/>
      </w:pPr>
      <w:bookmarkStart w:name="b_figura_original_pagina_C_4_43" w:id="5259"/>
      <w:bookmarkEnd w:id="5259"/>
      <w:r>
        <w:drawing>
          <wp:inline distT="0" distB="0" distL="0" distR="0">
            <wp:extent cx="5381625" cy="3028950"/>
            <wp:effectExtent t="0" r="0" b="0" l="0"/>
            <wp:docPr id="211" name="pagina-C-4-43" descr="Presentación C-4, pág. 43" title="Resolución de problemas de un pensador sistémico usando los hábitos que lo distingu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78" cstate="none"/>
                    <a:srcRect/>
                    <a:stretch>
                      <a:fillRect/>
                    </a:stretch>
                  </pic:blipFill>
                  <pic:spPr bwMode="auto">
                    <a:xfrm>
                      <a:off x="0" y="0"/>
                      <a:ext cx="5381625" cy="3028950"/>
                    </a:xfrm>
                    <a:prstGeom prst="rect">
                      <a:avLst/>
                    </a:prstGeom>
                  </pic:spPr>
                </pic:pic>
              </a:graphicData>
            </a:graphic>
          </wp:inline>
        </w:drawing>
      </w:r>
    </w:p>
    <w:p>
      <w:pPr>
        <w:pStyle w:val="PieFigura"/>
        <w:keepNext/>
      </w:pPr>
      <w:bookmarkStart w:name="b_fig_4_7_15" w:id="5260"/>
      <w:r>
        <w:t xml:space="preserve">Figura 4.7.</w:t>
      </w:r>
      <w:fldSimple w:instr="SEQ Figura \n \* ARABIC">
        <w:r>
          <w:t xml:space="preserve">15</w:t>
        </w:r>
      </w:fldSimple>
      <w:r>
        <w:t xml:space="preserve"> · Resolución de problemas de un pensador sistémico usando los hábitos que lo distinguen</w:t>
      </w:r>
      <w:bookmarkEnd w:id="5260"/>
    </w:p>
    <w:p>
      <w:pPr>
        <w:pStyle w:val="Fuente"/>
      </w:pPr>
      <w:r>
        <w:t xml:space="preserve">Presentación C-4, pág. 43</w:t>
      </w:r>
    </w:p>
    <w:p>
      <w:pPr>
        <w:keepNext/>
        <w:spacing w:after="40" w:before="150"/>
        <w:jc w:val="center"/>
      </w:pPr>
      <w:bookmarkStart w:name="b_figura_original_pagina_C_4_44" w:id="5261"/>
      <w:bookmarkEnd w:id="5261"/>
      <w:r>
        <w:drawing>
          <wp:inline distT="0" distB="0" distL="0" distR="0">
            <wp:extent cx="5381625" cy="3028950"/>
            <wp:effectExtent t="0" r="0" b="0" l="0"/>
            <wp:docPr id="212" name="pagina-C-4-44" descr="Presentación C-4, pág. 44" title="Desarrollar conciencia del proble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79" cstate="none"/>
                    <a:srcRect/>
                    <a:stretch>
                      <a:fillRect/>
                    </a:stretch>
                  </pic:blipFill>
                  <pic:spPr bwMode="auto">
                    <a:xfrm>
                      <a:off x="0" y="0"/>
                      <a:ext cx="5381625" cy="3028950"/>
                    </a:xfrm>
                    <a:prstGeom prst="rect">
                      <a:avLst/>
                    </a:prstGeom>
                  </pic:spPr>
                </pic:pic>
              </a:graphicData>
            </a:graphic>
          </wp:inline>
        </w:drawing>
      </w:r>
    </w:p>
    <w:p>
      <w:pPr>
        <w:pStyle w:val="PieFigura"/>
        <w:keepNext/>
      </w:pPr>
      <w:bookmarkStart w:name="b_fig_4_7_16" w:id="5262"/>
      <w:r>
        <w:t xml:space="preserve">Figura 4.7.</w:t>
      </w:r>
      <w:fldSimple w:instr="SEQ Figura \n \* ARABIC">
        <w:r>
          <w:t xml:space="preserve">16</w:t>
        </w:r>
      </w:fldSimple>
      <w:r>
        <w:t xml:space="preserve"> · Desarrollar conciencia del problema</w:t>
      </w:r>
      <w:bookmarkEnd w:id="5262"/>
    </w:p>
    <w:p>
      <w:pPr>
        <w:pStyle w:val="Fuente"/>
      </w:pPr>
      <w:r>
        <w:t xml:space="preserve">Presentación C-4, pág. 44</w:t>
      </w:r>
    </w:p>
    <w:p>
      <w:pPr>
        <w:keepNext/>
        <w:spacing w:after="40" w:before="150"/>
        <w:jc w:val="center"/>
      </w:pPr>
      <w:bookmarkStart w:name="b_figura_original_pagina_C_4_45" w:id="5263"/>
      <w:bookmarkEnd w:id="5263"/>
      <w:r>
        <w:drawing>
          <wp:inline distT="0" distB="0" distL="0" distR="0">
            <wp:extent cx="5381625" cy="3028950"/>
            <wp:effectExtent t="0" r="0" b="0" l="0"/>
            <wp:docPr id="213" name="pagina-C-4-45" descr="Presentación C-4, pág. 45" title="Aumenta la comprensión del proble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0" cstate="none"/>
                    <a:srcRect/>
                    <a:stretch>
                      <a:fillRect/>
                    </a:stretch>
                  </pic:blipFill>
                  <pic:spPr bwMode="auto">
                    <a:xfrm>
                      <a:off x="0" y="0"/>
                      <a:ext cx="5381625" cy="3028950"/>
                    </a:xfrm>
                    <a:prstGeom prst="rect">
                      <a:avLst/>
                    </a:prstGeom>
                  </pic:spPr>
                </pic:pic>
              </a:graphicData>
            </a:graphic>
          </wp:inline>
        </w:drawing>
      </w:r>
    </w:p>
    <w:p>
      <w:pPr>
        <w:pStyle w:val="PieFigura"/>
        <w:keepNext/>
      </w:pPr>
      <w:bookmarkStart w:name="b_fig_4_7_17" w:id="5264"/>
      <w:r>
        <w:t xml:space="preserve">Figura 4.7.</w:t>
      </w:r>
      <w:fldSimple w:instr="SEQ Figura \n \* ARABIC">
        <w:r>
          <w:t xml:space="preserve">17</w:t>
        </w:r>
      </w:fldSimple>
      <w:r>
        <w:t xml:space="preserve"> · Aumenta la comprensión del problema</w:t>
      </w:r>
      <w:bookmarkEnd w:id="5264"/>
    </w:p>
    <w:p>
      <w:pPr>
        <w:pStyle w:val="Fuente"/>
      </w:pPr>
      <w:r>
        <w:t xml:space="preserve">Presentación C-4, pág. 45</w:t>
      </w:r>
    </w:p>
    <w:p>
      <w:pPr>
        <w:keepNext/>
        <w:spacing w:after="40" w:before="150"/>
        <w:jc w:val="center"/>
      </w:pPr>
      <w:bookmarkStart w:name="b_figura_original_pagina_C_4_46" w:id="5265"/>
      <w:bookmarkEnd w:id="5265"/>
      <w:r>
        <w:drawing>
          <wp:inline distT="0" distB="0" distL="0" distR="0">
            <wp:extent cx="5381625" cy="3028950"/>
            <wp:effectExtent t="0" r="0" b="0" l="0"/>
            <wp:docPr id="214" name="pagina-C-4-46" descr="Presentación C-4, pág. 46" title="Planificando y tomando medidas para resolver el proble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1" cstate="none"/>
                    <a:srcRect/>
                    <a:stretch>
                      <a:fillRect/>
                    </a:stretch>
                  </pic:blipFill>
                  <pic:spPr bwMode="auto">
                    <a:xfrm>
                      <a:off x="0" y="0"/>
                      <a:ext cx="5381625" cy="3028950"/>
                    </a:xfrm>
                    <a:prstGeom prst="rect">
                      <a:avLst/>
                    </a:prstGeom>
                  </pic:spPr>
                </pic:pic>
              </a:graphicData>
            </a:graphic>
          </wp:inline>
        </w:drawing>
      </w:r>
    </w:p>
    <w:p>
      <w:pPr>
        <w:pStyle w:val="PieFigura"/>
        <w:keepNext/>
      </w:pPr>
      <w:bookmarkStart w:name="b_fig_4_7_18" w:id="5266"/>
      <w:r>
        <w:t xml:space="preserve">Figura 4.7.</w:t>
      </w:r>
      <w:fldSimple w:instr="SEQ Figura \n \* ARABIC">
        <w:r>
          <w:t xml:space="preserve">18</w:t>
        </w:r>
      </w:fldSimple>
      <w:r>
        <w:t xml:space="preserve"> · Planificando y tomando medidas para resolver el problema</w:t>
      </w:r>
      <w:bookmarkEnd w:id="5266"/>
    </w:p>
    <w:p>
      <w:pPr>
        <w:pStyle w:val="Fuente"/>
      </w:pPr>
      <w:r>
        <w:t xml:space="preserve">Presentación C-4, pág. 46</w:t>
      </w:r>
    </w:p>
    <w:p>
      <w:pPr>
        <w:keepNext/>
        <w:spacing w:after="40" w:before="150"/>
        <w:jc w:val="center"/>
      </w:pPr>
      <w:bookmarkStart w:name="b_figura_original_pagina_C_4_47" w:id="5267"/>
      <w:bookmarkEnd w:id="5267"/>
      <w:r>
        <w:drawing>
          <wp:inline distT="0" distB="0" distL="0" distR="0">
            <wp:extent cx="5381625" cy="3028950"/>
            <wp:effectExtent t="0" r="0" b="0" l="0"/>
            <wp:docPr id="215" name="pagina-C-4-47" descr="Presentación C-4, pág. 47" title="Y una vez implementada la solució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65" cstate="none"/>
                    <a:srcRect/>
                    <a:stretch>
                      <a:fillRect/>
                    </a:stretch>
                  </pic:blipFill>
                  <pic:spPr bwMode="auto">
                    <a:xfrm>
                      <a:off x="0" y="0"/>
                      <a:ext cx="5381625" cy="3028950"/>
                    </a:xfrm>
                    <a:prstGeom prst="rect">
                      <a:avLst/>
                    </a:prstGeom>
                  </pic:spPr>
                </pic:pic>
              </a:graphicData>
            </a:graphic>
          </wp:inline>
        </w:drawing>
      </w:r>
    </w:p>
    <w:p>
      <w:pPr>
        <w:pStyle w:val="PieFigura"/>
        <w:keepNext/>
      </w:pPr>
      <w:bookmarkStart w:name="b_fig_4_7_19" w:id="5268"/>
      <w:r>
        <w:t xml:space="preserve">Figura 4.7.</w:t>
      </w:r>
      <w:fldSimple w:instr="SEQ Figura \n \* ARABIC">
        <w:r>
          <w:t xml:space="preserve">19</w:t>
        </w:r>
      </w:fldSimple>
      <w:r>
        <w:t xml:space="preserve"> · Y una vez implementada la solución</w:t>
      </w:r>
      <w:bookmarkEnd w:id="5268"/>
    </w:p>
    <w:p>
      <w:pPr>
        <w:pStyle w:val="Fuente"/>
      </w:pPr>
      <w:r>
        <w:t xml:space="preserve">Presentación C-4, pág. 47</w:t>
      </w:r>
    </w:p>
    <w:p>
      <w:pPr>
        <w:pStyle w:val="Heading3"/>
      </w:pPr>
      <w:r>
        <w:t xml:space="preserve">Lo que explicó el profesor en clase</w:t>
      </w:r>
    </w:p>
    <w:p>
      <w:pPr>
        <w:pStyle w:val="Heading3"/>
      </w:pPr>
      <w:bookmarkStart w:name="b_clase_4_7_c18_cap_02" w:id="5269"/>
      <w:r>
        <w:t xml:space="preserve">Clase 18 · 00:26:24–00:37:43 · La perspectiva metacognitiva</w:t>
      </w:r>
      <w:bookmarkEnd w:id="5269"/>
    </w:p>
    <w:p>
      <w:bookmarkStart w:name="b_punto_c18_cap_02_p05" w:id="5270"/>
      <w:r>
        <w:t xml:space="preserve">La Unidad 4 relaciona pensamiento sistémico y crítico al examinar datos, perspectivas y consecuencias para decidir.</w:t>
      </w:r>
      <w:bookmarkEnd w:id="5270"/>
    </w:p>
    <w:p>
      <w:bookmarkStart w:name="b_punto_c18_cap_02_p06" w:id="5271"/>
      <w:r>
        <w:t xml:space="preserve">Los catorce hábitos se agrupan para modelos mentales, estructuras sistémicas y simulación/decisiones.</w:t>
      </w:r>
      <w:bookmarkEnd w:id="5271"/>
    </w:p>
    <w:p>
      <w:pPr>
        <w:pStyle w:val="Fuente"/>
      </w:pPr>
      <w:r>
        <w:t xml:space="preserve">Véase </w:t>
      </w:r>
      <w:hyperlink w:history="1" w:anchor="b_senales_examen">
        <w:r>
          <w:rPr>
            <w:color w:val="156B70"/>
            <w:u w:val="single"/>
          </w:rPr>
          <w:t xml:space="preserve">1 indicación(es) de examen de este tramo, en el apéndice cronológico</w:t>
        </w:r>
      </w:hyperlink>
      <w:r>
        <w:t xml:space="preserve">, pág. </w:t>
      </w:r>
      <w:r>
        <w:fldChar w:fldCharType="begin"/>
        <w:instrText xml:space="preserve">PAGEREF b_senales_examen \h</w:instrText>
        <w:fldChar w:fldCharType="separate"/>
        <w:t xml:space="preserve">1663</w:t>
        <w:fldChar w:fldCharType="end"/>
      </w:r>
      <w:r>
        <w:t xml:space="preserve">.</w:t>
      </w:r>
    </w:p>
    <w:p>
      <w:pPr>
        <w:pStyle w:val="Fuente"/>
      </w:pPr>
      <w:r>
        <w:t xml:space="preserve">Véase </w:t>
      </w:r>
      <w:hyperlink w:history="1" w:anchor="b_4_6">
        <w:r>
          <w:rPr>
            <w:color w:val="156B70"/>
            <w:u w:val="single"/>
          </w:rPr>
          <w:t xml:space="preserve">capítulo 4.6 · Toma de decisiones</w:t>
        </w:r>
      </w:hyperlink>
      <w:r>
        <w:t xml:space="preserve">, pág. </w:t>
      </w:r>
      <w:r>
        <w:fldChar w:fldCharType="begin"/>
        <w:instrText xml:space="preserve">PAGEREF b_4_6 \h</w:instrText>
        <w:fldChar w:fldCharType="separate"/>
        <w:t xml:space="preserve">884</w:t>
        <w:fldChar w:fldCharType="end"/>
      </w:r>
      <w:r>
        <w:t xml:space="preserve">.</w:t>
      </w:r>
    </w:p>
    <w:p>
      <w:pPr>
        <w:pStyle w:val="Fuente"/>
      </w:pPr>
      <w:r>
        <w:t xml:space="preserve">Véase </w:t>
      </w:r>
      <w:hyperlink w:history="1" w:anchor="b_1_4">
        <w:r>
          <w:rPr>
            <w:color w:val="156B70"/>
            <w:u w:val="single"/>
          </w:rPr>
          <w:t xml:space="preserve">capítulo 1.4 · Sistémico vs no sistémico</w:t>
        </w:r>
      </w:hyperlink>
      <w:r>
        <w:t xml:space="preserve">, pág. </w:t>
      </w:r>
      <w:r>
        <w:fldChar w:fldCharType="begin"/>
        <w:instrText xml:space="preserve">PAGEREF b_1_4 \h</w:instrText>
        <w:fldChar w:fldCharType="separate"/>
        <w:t xml:space="preserve">104</w:t>
        <w:fldChar w:fldCharType="end"/>
      </w:r>
      <w:r>
        <w:t xml:space="preserve">.</w:t>
      </w:r>
    </w:p>
    <w:p>
      <w:pPr>
        <w:pStyle w:val="Heading3"/>
      </w:pPr>
      <w:bookmarkStart w:name="b_clase_4_7_c18_cap_05" w:id="5272"/>
      <w:r>
        <w:t xml:space="preserve">Clase 18 · 00:55:51–01:08:02 · La unidad IV: estructura y simulación</w:t>
      </w:r>
      <w:bookmarkEnd w:id="5272"/>
    </w:p>
    <w:p>
      <w:bookmarkStart w:name="b_punto_c18_cap_05_p08" w:id="5273"/>
      <w:r>
        <w:t xml:space="preserve">La simulación ayuda al pensamiento crítico al comparar supuestos con los resultados del experimento de modelo.</w:t>
      </w:r>
      <w:bookmarkEnd w:id="5273"/>
    </w:p>
    <w:p>
      <w:pPr>
        <w:pStyle w:val="Fuente"/>
      </w:pPr>
      <w:r>
        <w:t xml:space="preserve">Véase </w:t>
      </w:r>
      <w:hyperlink w:history="1" w:anchor="b_4_1">
        <w:r>
          <w:rPr>
            <w:color w:val="156B70"/>
            <w:u w:val="single"/>
          </w:rPr>
          <w:t xml:space="preserve">capítulo 4.1 · Arquetipos sistémicos</w:t>
        </w:r>
      </w:hyperlink>
      <w:r>
        <w:t xml:space="preserve">, pág. </w:t>
      </w:r>
      <w:r>
        <w:fldChar w:fldCharType="begin"/>
        <w:instrText xml:space="preserve">PAGEREF b_4_1 \h</w:instrText>
        <w:fldChar w:fldCharType="separate"/>
        <w:t xml:space="preserve">646</w:t>
        <w:fldChar w:fldCharType="end"/>
      </w:r>
      <w:r>
        <w:t xml:space="preserve">.</w:t>
      </w:r>
    </w:p>
    <w:p>
      <w:pPr>
        <w:pStyle w:val="Fuente"/>
      </w:pPr>
      <w:r>
        <w:t xml:space="preserve">Véase </w:t>
      </w:r>
      <w:hyperlink w:history="1" w:anchor="b_4_4">
        <w:r>
          <w:rPr>
            <w:color w:val="156B70"/>
            <w:u w:val="single"/>
          </w:rPr>
          <w:t xml:space="preserve">capítulo 4.4 · Simulación con VENSIM</w:t>
        </w:r>
      </w:hyperlink>
      <w:r>
        <w:t xml:space="preserve">, pág. </w:t>
      </w:r>
      <w:r>
        <w:fldChar w:fldCharType="begin"/>
        <w:instrText xml:space="preserve">PAGEREF b_4_4 \h</w:instrText>
        <w:fldChar w:fldCharType="separate"/>
        <w:t xml:space="preserve">776</w:t>
        <w:fldChar w:fldCharType="end"/>
      </w:r>
      <w:r>
        <w:t xml:space="preserve">.</w:t>
      </w:r>
    </w:p>
    <w:p>
      <w:pPr>
        <w:pStyle w:val="Heading3"/>
      </w:pPr>
      <w:bookmarkStart w:name="b_clase_4_7_c18_cap_06" w:id="5274"/>
      <w:r>
        <w:t xml:space="preserve">Clase 18 · 01:08:02–01:12:57 · Calendario y transición a las acumulaciones</w:t>
      </w:r>
      <w:bookmarkEnd w:id="5274"/>
    </w:p>
    <w:p>
      <w:bookmarkStart w:name="b_punto_c18_cap_06_p02" w:id="5275"/>
      <w:r>
        <w:t xml:space="preserve">El recorrido anterior comprende cuatro hábitos de modelos mentales y cinco de estructuras, circularidad, demoras y patrones.</w:t>
      </w:r>
      <w:bookmarkEnd w:id="5275"/>
    </w:p>
    <w:p>
      <w:bookmarkStart w:name="b_punto_c18_cap_06_p03" w:id="5276"/>
      <w:r>
        <w:t xml:space="preserve">Los cinco restantes se vinculan con simulación y decisiones; se empieza por el número 12, acumulaciones y tasas de cambio.</w:t>
      </w:r>
      <w:bookmarkEnd w:id="5276"/>
    </w:p>
    <w:p>
      <w:pPr>
        <w:pStyle w:val="Fuente"/>
      </w:pPr>
      <w:r>
        <w:t xml:space="preserve">Véase </w:t>
      </w:r>
      <w:hyperlink w:history="1" w:anchor="b_4_2">
        <w:r>
          <w:rPr>
            <w:color w:val="156B70"/>
            <w:u w:val="single"/>
          </w:rPr>
          <w:t xml:space="preserve">capítulo 4.2 · Flujos y niveles</w:t>
        </w:r>
      </w:hyperlink>
      <w:r>
        <w:t xml:space="preserve">, pág. </w:t>
      </w:r>
      <w:r>
        <w:fldChar w:fldCharType="begin"/>
        <w:instrText xml:space="preserve">PAGEREF b_4_2 \h</w:instrText>
        <w:fldChar w:fldCharType="separate"/>
        <w:t xml:space="preserve">709</w:t>
        <w:fldChar w:fldCharType="end"/>
      </w:r>
      <w:r>
        <w:t xml:space="preserve">.</w:t>
      </w:r>
    </w:p>
    <w:p>
      <w:pPr>
        <w:pStyle w:val="Fuente"/>
      </w:pPr>
      <w:r>
        <w:t xml:space="preserve">Véase </w:t>
      </w:r>
      <w:hyperlink w:history="1" w:anchor="b_4_3">
        <w:r>
          <w:rPr>
            <w:color w:val="156B70"/>
            <w:u w:val="single"/>
          </w:rPr>
          <w:t xml:space="preserve">capítulo 4.3 · De ciclos causales a flujos</w:t>
        </w:r>
      </w:hyperlink>
      <w:r>
        <w:t xml:space="preserve">, pág. </w:t>
      </w:r>
      <w:r>
        <w:fldChar w:fldCharType="begin"/>
        <w:instrText xml:space="preserve">PAGEREF b_4_3 \h</w:instrText>
        <w:fldChar w:fldCharType="separate"/>
        <w:t xml:space="preserve">737</w:t>
        <w:fldChar w:fldCharType="end"/>
      </w:r>
      <w:r>
        <w:t xml:space="preserve">.</w:t>
      </w:r>
    </w:p>
    <w:p>
      <w:pPr>
        <w:pStyle w:val="Heading3"/>
      </w:pPr>
      <w:bookmarkStart w:name="b_clase_4_7_c20_cap_10" w:id="5277"/>
      <w:r>
        <w:t xml:space="preserve">Clase 20 · 01:36:53–01:47:34 · Resultados y validación</w:t>
      </w:r>
      <w:bookmarkEnd w:id="5277"/>
    </w:p>
    <w:p>
      <w:bookmarkStart w:name="b_punto_c20_cap_10_p08" w:id="5278"/>
      <w:r>
        <w:t xml:space="preserve">El alcance es introductorio: acumulaciones y tasas permiten un análisis más detallado si hay tiempo y herramienta.</w:t>
      </w:r>
      <w:bookmarkEnd w:id="5278"/>
    </w:p>
    <w:p>
      <w:pPr>
        <w:pStyle w:val="Fuente"/>
      </w:pPr>
      <w:r>
        <w:t xml:space="preserve">Véase </w:t>
      </w:r>
      <w:hyperlink w:history="1" w:anchor="b_4_5">
        <w:r>
          <w:rPr>
            <w:color w:val="156B70"/>
            <w:u w:val="single"/>
          </w:rPr>
          <w:t xml:space="preserve">capítulo 4.5 · Ejemplos en VENSIM</w:t>
        </w:r>
      </w:hyperlink>
      <w:r>
        <w:t xml:space="preserve">, pág. </w:t>
      </w:r>
      <w:r>
        <w:fldChar w:fldCharType="begin"/>
        <w:instrText xml:space="preserve">PAGEREF b_4_5 \h</w:instrText>
        <w:fldChar w:fldCharType="separate"/>
        <w:t xml:space="preserve">830</w:t>
        <w:fldChar w:fldCharType="end"/>
      </w:r>
      <w:r>
        <w:t xml:space="preserve">.</w:t>
      </w:r>
    </w:p>
    <w:p>
      <w:pPr>
        <w:pStyle w:val="Fuente"/>
      </w:pPr>
      <w:r>
        <w:t xml:space="preserve">Véase </w:t>
      </w:r>
      <w:hyperlink w:history="1" w:anchor="b_4_3">
        <w:r>
          <w:rPr>
            <w:color w:val="156B70"/>
            <w:u w:val="single"/>
          </w:rPr>
          <w:t xml:space="preserve">capítulo 4.3 · De ciclos causales a flujos</w:t>
        </w:r>
      </w:hyperlink>
      <w:r>
        <w:t xml:space="preserve">, pág. </w:t>
      </w:r>
      <w:r>
        <w:fldChar w:fldCharType="begin"/>
        <w:instrText xml:space="preserve">PAGEREF b_4_3 \h</w:instrText>
        <w:fldChar w:fldCharType="separate"/>
        <w:t xml:space="preserve">737</w:t>
        <w:fldChar w:fldCharType="end"/>
      </w:r>
      <w:r>
        <w:t xml:space="preserve">.</w:t>
      </w:r>
    </w:p>
    <w:p>
      <w:pPr>
        <w:pStyle w:val="Fuente"/>
      </w:pPr>
      <w:r>
        <w:t xml:space="preserve">Véase </w:t>
      </w:r>
      <w:hyperlink w:history="1" w:anchor="b_4_4">
        <w:r>
          <w:rPr>
            <w:color w:val="156B70"/>
            <w:u w:val="single"/>
          </w:rPr>
          <w:t xml:space="preserve">capítulo 4.4 · Simulación con VENSIM</w:t>
        </w:r>
      </w:hyperlink>
      <w:r>
        <w:t xml:space="preserve">, pág. </w:t>
      </w:r>
      <w:r>
        <w:fldChar w:fldCharType="begin"/>
        <w:instrText xml:space="preserve">PAGEREF b_4_4 \h</w:instrText>
        <w:fldChar w:fldCharType="separate"/>
        <w:t xml:space="preserve">776</w:t>
        <w:fldChar w:fldCharType="end"/>
      </w:r>
      <w:r>
        <w:t xml:space="preserve">.</w:t>
      </w:r>
    </w:p>
    <w:p>
      <w:pPr>
        <w:pStyle w:val="Heading3"/>
      </w:pPr>
      <w:bookmarkStart w:name="b_clase_4_7_c22_cap_01" w:id="5279"/>
      <w:r>
        <w:t xml:space="preserve">Clase 22 · 00:00:48–00:03:42 · Entrega del caso 3 y hábitos pendientes</w:t>
      </w:r>
      <w:bookmarkEnd w:id="5279"/>
    </w:p>
    <w:p>
      <w:bookmarkStart w:name="b_punto_c22_cap_01_p02" w:id="5280"/>
      <w:r>
        <w:t xml:space="preserve">El póster tiene catorce hábitos y se anuncian los últimos cuatro por desarrollar; el hábito 11 conecta las decisiones con consecuencias futuras.</w:t>
      </w:r>
      <w:bookmarkEnd w:id="5280"/>
    </w:p>
    <w:p>
      <w:pPr>
        <w:pStyle w:val="Heading3"/>
      </w:pPr>
      <w:bookmarkStart w:name="b_clase_4_7_c22_cap_06" w:id="5281"/>
      <w:r>
        <w:t xml:space="preserve">Clase 22 · 00:47:24–00:58:35 · Resistir una conclusión precipitada</w:t>
      </w:r>
      <w:bookmarkEnd w:id="5281"/>
    </w:p>
    <w:p>
      <w:bookmarkStart w:name="b_punto_c22_cap_06_p04" w:id="5282"/>
      <w:r>
        <w:t xml:space="preserve">Consecuencias futuras y consideración completa se complementan; las preguntas de las tarjetas son guías que pueden generar nuevas preguntas pertinentes.</w:t>
      </w:r>
      <w:bookmarkEnd w:id="5282"/>
    </w:p>
    <w:p>
      <w:pPr>
        <w:pStyle w:val="Fuente"/>
      </w:pPr>
      <w:r>
        <w:t xml:space="preserve">Véase </w:t>
      </w:r>
      <w:hyperlink w:history="1" w:anchor="b_senales_examen">
        <w:r>
          <w:rPr>
            <w:color w:val="156B70"/>
            <w:u w:val="single"/>
          </w:rPr>
          <w:t xml:space="preserve">1 indicación(es) de examen de este tramo, en el apéndice cronológico</w:t>
        </w:r>
      </w:hyperlink>
      <w:r>
        <w:t xml:space="preserve">, pág. </w:t>
      </w:r>
      <w:r>
        <w:fldChar w:fldCharType="begin"/>
        <w:instrText xml:space="preserve">PAGEREF b_senales_examen \h</w:instrText>
        <w:fldChar w:fldCharType="separate"/>
        <w:t xml:space="preserve">1663</w:t>
        <w:fldChar w:fldCharType="end"/>
      </w:r>
      <w:r>
        <w:t xml:space="preserve">.</w:t>
      </w:r>
    </w:p>
    <w:p>
      <w:pPr>
        <w:pStyle w:val="Fuente"/>
      </w:pPr>
      <w:r>
        <w:t xml:space="preserve">Véase </w:t>
      </w:r>
      <w:hyperlink w:history="1" w:anchor="b_4_6">
        <w:r>
          <w:rPr>
            <w:color w:val="156B70"/>
            <w:u w:val="single"/>
          </w:rPr>
          <w:t xml:space="preserve">capítulo 4.6 · Toma de decisiones</w:t>
        </w:r>
      </w:hyperlink>
      <w:r>
        <w:t xml:space="preserve">, pág. </w:t>
      </w:r>
      <w:r>
        <w:fldChar w:fldCharType="begin"/>
        <w:instrText xml:space="preserve">PAGEREF b_4_6 \h</w:instrText>
        <w:fldChar w:fldCharType="separate"/>
        <w:t xml:space="preserve">884</w:t>
        <w:fldChar w:fldCharType="end"/>
      </w:r>
      <w:r>
        <w:t xml:space="preserve">.</w:t>
      </w:r>
    </w:p>
    <w:p>
      <w:pPr>
        <w:pStyle w:val="Heading3"/>
      </w:pPr>
      <w:bookmarkStart w:name="b_clase_4_7_c22_cap_10" w:id="5283"/>
      <w:r>
        <w:t xml:space="preserve">Clase 22 · 01:25:45–01:34:49 · Arquetipos como aprendizaje transferible</w:t>
      </w:r>
      <w:bookmarkEnd w:id="5283"/>
    </w:p>
    <w:p>
      <w:bookmarkStart w:name="b_punto_c22_cap_10_p07" w:id="5284"/>
      <w:r>
        <w:t xml:space="preserve">El profesor recuerda los doce hábitos ya vistos y dos pendientes, y pide completar la síntesis con lecturas y videos, planteando dudas posteriores.</w:t>
      </w:r>
      <w:bookmarkEnd w:id="5284"/>
    </w:p>
    <w:p>
      <w:pPr>
        <w:pStyle w:val="Fuente"/>
      </w:pPr>
      <w:r>
        <w:t xml:space="preserve">Véase </w:t>
      </w:r>
      <w:hyperlink w:history="1" w:anchor="b_senales_examen">
        <w:r>
          <w:rPr>
            <w:color w:val="156B70"/>
            <w:u w:val="single"/>
          </w:rPr>
          <w:t xml:space="preserve">2 indicación(es) de examen de este tramo, en el apéndice cronológico</w:t>
        </w:r>
      </w:hyperlink>
      <w:r>
        <w:t xml:space="preserve">, pág. </w:t>
      </w:r>
      <w:r>
        <w:fldChar w:fldCharType="begin"/>
        <w:instrText xml:space="preserve">PAGEREF b_senales_examen \h</w:instrText>
        <w:fldChar w:fldCharType="separate"/>
        <w:t xml:space="preserve">1663</w:t>
        <w:fldChar w:fldCharType="end"/>
      </w:r>
      <w:r>
        <w:t xml:space="preserve">.</w:t>
      </w:r>
    </w:p>
    <w:p>
      <w:pPr>
        <w:pStyle w:val="Fuente"/>
      </w:pPr>
      <w:r>
        <w:t xml:space="preserve">Véase </w:t>
      </w:r>
      <w:hyperlink w:history="1" w:anchor="b_4_1">
        <w:r>
          <w:rPr>
            <w:color w:val="156B70"/>
            <w:u w:val="single"/>
          </w:rPr>
          <w:t xml:space="preserve">capítulo 4.1 · Arquetipos sistémicos</w:t>
        </w:r>
      </w:hyperlink>
      <w:r>
        <w:t xml:space="preserve">, pág. </w:t>
      </w:r>
      <w:r>
        <w:fldChar w:fldCharType="begin"/>
        <w:instrText xml:space="preserve">PAGEREF b_4_1 \h</w:instrText>
        <w:fldChar w:fldCharType="separate"/>
        <w:t xml:space="preserve">646</w:t>
        <w:fldChar w:fldCharType="end"/>
      </w:r>
      <w:r>
        <w:t xml:space="preserve">.</w:t>
      </w:r>
    </w:p>
    <w:p>
      <w:pPr>
        <w:pStyle w:val="Heading3"/>
      </w:pPr>
      <w:bookmarkStart w:name="b_clase_4_7_c23_cap_02" w:id="5285"/>
      <w:r>
        <w:t xml:space="preserve">Clase 23 · 00:04:29–00:08:25 · De las consecuencias a la intervención</w:t>
      </w:r>
      <w:bookmarkEnd w:id="5285"/>
    </w:p>
    <w:p>
      <w:bookmarkStart w:name="b_punto_c23_cap_02_p03" w:id="5286"/>
      <w:r>
        <w:t xml:space="preserve">Los hábitos 10 y 14 complementan consecuencias y consideración completa: localizar la intervención y revisar sus resultados.</w:t>
      </w:r>
      <w:bookmarkEnd w:id="5286"/>
    </w:p>
    <w:p>
      <w:pPr>
        <w:pStyle w:val="Fuente"/>
      </w:pPr>
      <w:r>
        <w:t xml:space="preserve">Véase </w:t>
      </w:r>
      <w:hyperlink w:history="1" w:anchor="b_4_6">
        <w:r>
          <w:rPr>
            <w:color w:val="156B70"/>
            <w:u w:val="single"/>
          </w:rPr>
          <w:t xml:space="preserve">capítulo 4.6 · Toma de decisiones</w:t>
        </w:r>
      </w:hyperlink>
      <w:r>
        <w:t xml:space="preserve">, pág. </w:t>
      </w:r>
      <w:r>
        <w:fldChar w:fldCharType="begin"/>
        <w:instrText xml:space="preserve">PAGEREF b_4_6 \h</w:instrText>
        <w:fldChar w:fldCharType="separate"/>
        <w:t xml:space="preserve">884</w:t>
        <w:fldChar w:fldCharType="end"/>
      </w:r>
      <w:r>
        <w:t xml:space="preserve">.</w:t>
      </w:r>
    </w:p>
    <w:p>
      <w:pPr>
        <w:pStyle w:val="Heading3"/>
      </w:pPr>
      <w:bookmarkStart w:name="b_clase_4_7_c23_cap_08" w:id="5287"/>
      <w:r>
        <w:t xml:space="preserve">Clase 23 · 01:03:35–01:10:34 · Aproximación sucesiva</w:t>
      </w:r>
      <w:bookmarkEnd w:id="5287"/>
    </w:p>
    <w:p>
      <w:bookmarkStart w:name="b_punto_c23_cap_08_p01" w:id="5288"/>
      <w:r>
        <w:t xml:space="preserve">Aproximación sucesiva: fijar referencias, examinar resultados y ajustar acciones cuando se necesita para seguir hacia el objetivo.</w:t>
      </w:r>
      <w:bookmarkEnd w:id="5288"/>
    </w:p>
    <w:p>
      <w:bookmarkStart w:name="b_punto_c23_cap_08_p02" w:id="5289"/>
      <w:r>
        <w:t xml:space="preserve">La estrategia se relaciona con mejora o perfeccionamiento continuo: seguir el proceso demorado y aplicar correcciones necesarias.</w:t>
      </w:r>
      <w:bookmarkEnd w:id="5289"/>
    </w:p>
    <w:p>
      <w:bookmarkStart w:name="b_punto_c23_cap_08_p03" w:id="5290"/>
      <w:r>
        <w:t xml:space="preserve">El cocinero prueba y refina una receta: una guía o algoritmo inicial puede resultar insuficiente en condiciones reales.</w:t>
      </w:r>
      <w:bookmarkEnd w:id="5290"/>
    </w:p>
    <w:p>
      <w:bookmarkStart w:name="b_punto_c23_cap_08_p04" w:id="5291"/>
      <w:r>
        <w:t xml:space="preserve">Asumir riesgos implica vigilar desviaciones; un resultado contrario puede enseñar qué cambiar, sin asegurar el éxito del siguiente intento.</w:t>
      </w:r>
      <w:bookmarkEnd w:id="5291"/>
    </w:p>
    <w:p>
      <w:bookmarkStart w:name="b_punto_c23_cap_08_p05" w:id="5292"/>
      <w:r>
        <w:t xml:space="preserve">El proceso se aplica a innovación, mejoras, aprendizaje de habilidades y solución de problemas; se aprende y rectifica a partir de los resultados.</w:t>
      </w:r>
      <w:bookmarkEnd w:id="5292"/>
    </w:p>
    <w:p>
      <w:pPr>
        <w:pStyle w:val="Fuente"/>
      </w:pPr>
      <w:r>
        <w:t xml:space="preserve">Véase </w:t>
      </w:r>
      <w:hyperlink w:history="1" w:anchor="b_senales_examen">
        <w:r>
          <w:rPr>
            <w:color w:val="156B70"/>
            <w:u w:val="single"/>
          </w:rPr>
          <w:t xml:space="preserve">1 indicación(es) de examen de este tramo, en el apéndice cronológico</w:t>
        </w:r>
      </w:hyperlink>
      <w:r>
        <w:t xml:space="preserve">, pág. </w:t>
      </w:r>
      <w:r>
        <w:fldChar w:fldCharType="begin"/>
        <w:instrText xml:space="preserve">PAGEREF b_senales_examen \h</w:instrText>
        <w:fldChar w:fldCharType="separate"/>
        <w:t xml:space="preserve">1663</w:t>
        <w:fldChar w:fldCharType="end"/>
      </w:r>
      <w:r>
        <w:t xml:space="preserve">.</w:t>
      </w:r>
    </w:p>
    <w:p>
      <w:pPr>
        <w:pStyle w:val="Heading3"/>
      </w:pPr>
      <w:bookmarkStart w:name="b_clase_4_7_c23_cap_09" w:id="5293"/>
      <w:r>
        <w:t xml:space="preserve">Clase 23 · 01:10:34–01:15:49 · Planificar, implementar, evaluar y mejorar</w:t>
      </w:r>
      <w:bookmarkEnd w:id="5293"/>
    </w:p>
    <w:p>
      <w:bookmarkStart w:name="b_punto_c23_cap_09_p01" w:id="5294"/>
      <w:r>
        <w:t xml:space="preserve">La secuencia se dibuja como retroalimentación y el profesor la compara informalmente con refuerzo; la polaridad causal formal exige variables y relaciones.</w:t>
      </w:r>
      <w:bookmarkEnd w:id="5294"/>
    </w:p>
    <w:p>
      <w:bookmarkStart w:name="b_punto_c23_cap_09_p02" w:id="5295"/>
      <w:r>
        <w:t xml:space="preserve">Planificar, implementar, evaluar y mejorar forman un ciclo repetible hasta obtener el objetivo; evaluar compara el resultado con la referencia.</w:t>
      </w:r>
      <w:bookmarkEnd w:id="5295"/>
    </w:p>
    <w:p>
      <w:bookmarkStart w:name="b_punto_c23_cap_09_p03" w:id="5296"/>
      <w:r>
        <w:t xml:space="preserve">Si el resultado sigue la trayectoria esperada puede mantenerse el curso; si aparecen desvíos se decide una corrección y se planifica el siguiente periodo.</w:t>
      </w:r>
      <w:bookmarkEnd w:id="5296"/>
    </w:p>
    <w:p>
      <w:bookmarkStart w:name="b_punto_c23_cap_09_p04" w:id="5297"/>
      <w:r>
        <w:t xml:space="preserve">La mejora también es aprendizaje: un fracaso temporal permite revisar la palanca o los supuestos y entender consecuencias antes no previstas.</w:t>
      </w:r>
      <w:bookmarkEnd w:id="5297"/>
    </w:p>
    <w:p>
      <w:pPr>
        <w:pStyle w:val="Heading3"/>
      </w:pPr>
      <w:bookmarkStart w:name="b_clase_4_7_c23_cap_10" w:id="5298"/>
      <w:r>
        <w:t xml:space="preserve">Clase 23 · 01:15:49–01:32:58 · Resiliencia desde varias perspectivas</w:t>
      </w:r>
      <w:bookmarkEnd w:id="5298"/>
    </w:p>
    <w:p>
      <w:bookmarkStart w:name="b_punto_c23_cap_10_p01" w:id="5299"/>
      <w:r>
        <w:t xml:space="preserve">Resiliencia se vincula con recuperar capacidad de actuar ante estrés, resistencia al cambio, frustración o resultados contrarios.</w:t>
      </w:r>
      <w:bookmarkEnd w:id="5299"/>
    </w:p>
    <w:p>
      <w:bookmarkStart w:name="b_punto_c23_cap_10_p02" w:id="5300"/>
      <w:r>
        <w:t xml:space="preserve">Se distingue el concepto en materiales, personas y empresas; en empresas implica absorber cambios sin una caída significativa de calidad y estándares.</w:t>
      </w:r>
      <w:bookmarkEnd w:id="5300"/>
    </w:p>
    <w:p>
      <w:bookmarkStart w:name="b_punto_c23_cap_10_p03" w:id="5301"/>
      <w:r>
        <w:t xml:space="preserve">La recuperación después de intentos adversos se relaciona con aprendizaje y objetivos futuros; no implica que no habrá dificultades.</w:t>
      </w:r>
      <w:bookmarkEnd w:id="5301"/>
    </w:p>
    <w:p>
      <w:bookmarkStart w:name="b_punto_c23_cap_10_p04" w:id="5302"/>
      <w:r>
        <w:t xml:space="preserve">Conservar objetivos futuros requiere aceptar y comprender la realidad presente con suficiente detalle para poder trabajar sobre ella.</w:t>
      </w:r>
      <w:bookmarkEnd w:id="5302"/>
    </w:p>
    <w:p>
      <w:bookmarkStart w:name="b_punto_c23_cap_10_p05" w:id="5303"/>
      <w:r>
        <w:t xml:space="preserve">La búsqueda de sentido y los recursos disponibles apoyan el paso del presente al futuro y la recuperación ante dificultades.</w:t>
      </w:r>
      <w:bookmarkEnd w:id="5303"/>
    </w:p>
    <w:p>
      <w:bookmarkStart w:name="b_punto_c23_cap_10_p06" w:id="5304"/>
      <w:r>
        <w:t xml:space="preserve">El modelo A–E enlaza C/presente, A/futuro, proceso, feedback ligado a valores y entorno cambiante; la recuperación requiere planificar, actuar, verificar y ajustar.</w:t>
      </w:r>
      <w:bookmarkEnd w:id="5304"/>
    </w:p>
    <w:p>
      <w:bookmarkStart w:name="b_punto_c23_cap_10_p07" w:id="5305"/>
      <w:r>
        <w:t xml:space="preserve">Seis habilidades: actitud positiva, foco, flexibilidad, organización, proactividad y adaptación; coordinar a corto plazo y anticipar riesgos sin prometer ausencia de problemas.</w:t>
      </w:r>
      <w:bookmarkEnd w:id="5305"/>
    </w:p>
    <w:p>
      <w:pPr>
        <w:pStyle w:val="Heading3"/>
      </w:pPr>
      <w:bookmarkStart w:name="b_clase_4_7_c23_cap_11" w:id="5306"/>
      <w:r>
        <w:t xml:space="preserve">Clase 23 · 01:32:58–01:40:24 · Cierre y propuesta de práctica virtual</w:t>
      </w:r>
      <w:bookmarkEnd w:id="5306"/>
    </w:p>
    <w:p>
      <w:bookmarkStart w:name="b_punto_c23_cap_11_p01" w:id="5307"/>
      <w:r>
        <w:t xml:space="preserve">La montaña rusa del cambio representa caídas no lineales y recuperación, desde shock hasta aceptación y compromiso; acortar la recuperación reduce la demora y puede exigir cambiar el camino.</w:t>
      </w:r>
      <w:bookmarkEnd w:id="5307"/>
    </w:p>
    <w:p>
      <w:bookmarkStart w:name="b_punto_c23_cap_11_p02" w:id="5308"/>
      <w:r>
        <w:t xml:space="preserve">Distinguir los grupos del curso: modelos mentales, comprensión de estructuras y últimos hábitos para simulación/decisión; no mezclar grupos al responder.</w:t>
      </w:r>
      <w:bookmarkEnd w:id="5308"/>
    </w:p>
    <w:p>
      <w:pPr>
        <w:pStyle w:val="Fuente"/>
      </w:pPr>
      <w:r>
        <w:t xml:space="preserve">Véase </w:t>
      </w:r>
      <w:hyperlink w:history="1" w:anchor="b_senales_examen">
        <w:r>
          <w:rPr>
            <w:color w:val="156B70"/>
            <w:u w:val="single"/>
          </w:rPr>
          <w:t xml:space="preserve">3 indicación(es) de examen de este tramo, en el apéndice cronológico</w:t>
        </w:r>
      </w:hyperlink>
      <w:r>
        <w:t xml:space="preserve">, pág. </w:t>
      </w:r>
      <w:r>
        <w:fldChar w:fldCharType="begin"/>
        <w:instrText xml:space="preserve">PAGEREF b_senales_examen \h</w:instrText>
        <w:fldChar w:fldCharType="separate"/>
        <w:t xml:space="preserve">1663</w:t>
        <w:fldChar w:fldCharType="end"/>
      </w:r>
      <w:r>
        <w:t xml:space="preserve">.</w:t>
      </w:r>
    </w:p>
    <w:p>
      <w:pPr>
        <w:pStyle w:val="Heading3"/>
      </w:pPr>
      <w:bookmarkStart w:name="b_clase_4_7_c24_cap_02" w:id="5309"/>
      <w:r>
        <w:t xml:space="preserve">Clase 24 · 00:13:22–00:28:42 · Cuatro etapas para resolver problemas</w:t>
      </w:r>
      <w:bookmarkEnd w:id="5309"/>
    </w:p>
    <w:p>
      <w:bookmarkStart w:name="b_punto_c24_cap_02_p01" w:id="5310"/>
      <w:r>
        <w:t xml:space="preserve">Organización orientadora de cuatro etapas: conciencia, comprensión, planificación/acción y aproximación sucesiva.</w:t>
      </w:r>
      <w:bookmarkEnd w:id="5310"/>
    </w:p>
    <w:p>
      <w:bookmarkStart w:name="b_punto_c24_cap_02_p02" w:id="5311"/>
      <w:r>
        <w:t xml:space="preserve">Conciencia inicial: película completa, tendencias, estructura y circularidad; ejemplo de abordar los síntomas e historia de ACME.</w:t>
      </w:r>
      <w:bookmarkEnd w:id="5311"/>
    </w:p>
    <w:p>
      <w:bookmarkStart w:name="b_punto_c24_cap_02_p03" w:id="5312"/>
      <w:r>
        <w:t xml:space="preserve">Comprender: reconocer la propia perspectiva, indagar otras, contrastar supuestos y modelos mentales, y dar tiempo a una modelación suficiente.</w:t>
      </w:r>
      <w:bookmarkEnd w:id="5312"/>
    </w:p>
    <w:p>
      <w:bookmarkStart w:name="b_punto_c24_cap_02_p04" w:id="5313"/>
      <w:r>
        <w:t xml:space="preserve">Planificar y actuar: buscar palancas, anticipar consecuencias en varios plazos, examinar acumulaciones y demoras y usar simulación para valorar escenarios.</w:t>
      </w:r>
      <w:bookmarkEnd w:id="5313"/>
    </w:p>
    <w:p>
      <w:bookmarkStart w:name="b_punto_c24_cap_02_p05" w:id="5314"/>
      <w:r>
        <w:t xml:space="preserve">La aproximación sucesiva revisa resultados y permite regresar a acciones anteriores: es una orientación iterativa, no una secuencia rígida.</w:t>
      </w:r>
      <w:bookmarkEnd w:id="5314"/>
    </w:p>
    <w:p>
      <w:bookmarkStart w:name="b_punto_c24_cap_02_p06" w:id="5315"/>
      <w:r>
        <w:t xml:space="preserve">Las láminas asignan 1–4, 6–9, 10–13 y 14; el hábito 5 queda sin etapa asignada y no debe ubicarse por invención.</w:t>
      </w:r>
      <w:bookmarkEnd w:id="5315"/>
    </w:p>
    <w:p>
      <w:bookmarkStart w:name="b_punto_c24_cap_02_p07" w:id="5316"/>
      <w:r>
        <w:t xml:space="preserve">La repetición constante y frecuente consolida la competencia y convierte las acciones en hábitos.</w:t>
      </w:r>
      <w:bookmarkEnd w:id="5316"/>
    </w:p>
    <w:p>
      <w:pPr>
        <w:pStyle w:val="Fuente"/>
      </w:pPr>
      <w:r>
        <w:t xml:space="preserve">Véase </w:t>
      </w:r>
      <w:hyperlink w:history="1" w:anchor="b_cita_clase_21_idea_3">
        <w:r>
          <w:rPr>
            <w:color w:val="156B70"/>
            <w:u w:val="single"/>
          </w:rPr>
          <w:t xml:space="preserve">cita de Clase 21 · 01:38:06</w:t>
        </w:r>
      </w:hyperlink>
      <w:r>
        <w:t xml:space="preserve">, pág. </w:t>
      </w:r>
      <w:r>
        <w:fldChar w:fldCharType="begin"/>
        <w:instrText xml:space="preserve">PAGEREF b_cita_clase_21_idea_3 \h</w:instrText>
        <w:fldChar w:fldCharType="separate"/>
        <w:t xml:space="preserve">913</w:t>
        <w:fldChar w:fldCharType="end"/>
      </w:r>
      <w:r>
        <w:t xml:space="preserve">.</w:t>
      </w:r>
    </w:p>
    <w:p>
      <w:pPr>
        <w:pStyle w:val="Fuente"/>
      </w:pPr>
      <w:r>
        <w:t xml:space="preserve">Véase </w:t>
      </w:r>
      <w:hyperlink w:history="1" w:anchor="b_cita_clase_22_idea_1">
        <w:r>
          <w:rPr>
            <w:color w:val="156B70"/>
            <w:u w:val="single"/>
          </w:rPr>
          <w:t xml:space="preserve">cita de Clase 22 · 00:48:08</w:t>
        </w:r>
      </w:hyperlink>
      <w:r>
        <w:t xml:space="preserve">, pág. </w:t>
      </w:r>
      <w:r>
        <w:fldChar w:fldCharType="begin"/>
        <w:instrText xml:space="preserve">PAGEREF b_cita_clase_22_idea_1 \h</w:instrText>
        <w:fldChar w:fldCharType="separate"/>
        <w:t xml:space="preserve">913</w:t>
        <w:fldChar w:fldCharType="end"/>
      </w:r>
      <w:r>
        <w:t xml:space="preserve">.</w:t>
      </w:r>
    </w:p>
    <w:p>
      <w:pPr>
        <w:pStyle w:val="Fuente"/>
      </w:pPr>
      <w:r>
        <w:t xml:space="preserve">Véase </w:t>
      </w:r>
      <w:hyperlink w:history="1" w:anchor="b_cita_clase_22_idea_2">
        <w:r>
          <w:rPr>
            <w:color w:val="156B70"/>
            <w:u w:val="single"/>
          </w:rPr>
          <w:t xml:space="preserve">cita de Clase 22 · 01:04:50</w:t>
        </w:r>
      </w:hyperlink>
      <w:r>
        <w:t xml:space="preserve">, pág. </w:t>
      </w:r>
      <w:r>
        <w:fldChar w:fldCharType="begin"/>
        <w:instrText xml:space="preserve">PAGEREF b_cita_clase_22_idea_2 \h</w:instrText>
        <w:fldChar w:fldCharType="separate"/>
        <w:t xml:space="preserve">913</w:t>
        <w:fldChar w:fldCharType="end"/>
      </w:r>
      <w:r>
        <w:t xml:space="preserve">.</w:t>
      </w:r>
    </w:p>
    <w:p>
      <w:pPr>
        <w:pStyle w:val="Fuente"/>
      </w:pPr>
      <w:r>
        <w:t xml:space="preserve">Véase </w:t>
      </w:r>
      <w:hyperlink w:history="1" w:anchor="b_cita_clase_23_idea_1">
        <w:r>
          <w:rPr>
            <w:color w:val="156B70"/>
            <w:u w:val="single"/>
          </w:rPr>
          <w:t xml:space="preserve">cita de Clase 23 · 01:03:45</w:t>
        </w:r>
      </w:hyperlink>
      <w:r>
        <w:t xml:space="preserve">, pág. </w:t>
      </w:r>
      <w:r>
        <w:fldChar w:fldCharType="begin"/>
        <w:instrText xml:space="preserve">PAGEREF b_cita_clase_23_idea_1 \h</w:instrText>
        <w:fldChar w:fldCharType="separate"/>
        <w:t xml:space="preserve">913</w:t>
        <w:fldChar w:fldCharType="end"/>
      </w:r>
      <w:r>
        <w:t xml:space="preserve">.</w:t>
      </w:r>
    </w:p>
    <w:p>
      <w:pPr>
        <w:pStyle w:val="Fuente"/>
      </w:pPr>
      <w:r>
        <w:t xml:space="preserve">Véase </w:t>
      </w:r>
      <w:hyperlink w:history="1" w:anchor="b_cita_clase_23_idea_2">
        <w:r>
          <w:rPr>
            <w:color w:val="156B70"/>
            <w:u w:val="single"/>
          </w:rPr>
          <w:t xml:space="preserve">cita de Clase 23 · 01:11:34</w:t>
        </w:r>
      </w:hyperlink>
      <w:r>
        <w:t xml:space="preserve">, pág. </w:t>
      </w:r>
      <w:r>
        <w:fldChar w:fldCharType="begin"/>
        <w:instrText xml:space="preserve">PAGEREF b_cita_clase_23_idea_2 \h</w:instrText>
        <w:fldChar w:fldCharType="separate"/>
        <w:t xml:space="preserve">914</w:t>
        <w:fldChar w:fldCharType="end"/>
      </w:r>
      <w:r>
        <w:t xml:space="preserve">.</w:t>
      </w:r>
    </w:p>
    <w:p>
      <w:pPr>
        <w:pStyle w:val="Fuente"/>
      </w:pPr>
      <w:r>
        <w:t xml:space="preserve">Véase </w:t>
      </w:r>
      <w:hyperlink w:history="1" w:anchor="b_cita_clase_23_idea_3">
        <w:r>
          <w:rPr>
            <w:color w:val="156B70"/>
            <w:u w:val="single"/>
          </w:rPr>
          <w:t xml:space="preserve">cita de Clase 23 · 01:22:40</w:t>
        </w:r>
      </w:hyperlink>
      <w:r>
        <w:t xml:space="preserve">, pág. </w:t>
      </w:r>
      <w:r>
        <w:fldChar w:fldCharType="begin"/>
        <w:instrText xml:space="preserve">PAGEREF b_cita_clase_23_idea_3 \h</w:instrText>
        <w:fldChar w:fldCharType="separate"/>
        <w:t xml:space="preserve">914</w:t>
        <w:fldChar w:fldCharType="end"/>
      </w:r>
      <w:r>
        <w:t xml:space="preserve">.</w:t>
      </w:r>
    </w:p>
    <w:p>
      <w:pPr>
        <w:pStyle w:val="Fuente"/>
      </w:pPr>
      <w:r>
        <w:t xml:space="preserve">Véase </w:t>
      </w:r>
      <w:hyperlink w:history="1" w:anchor="b_cita_clase_24_idea_1">
        <w:r>
          <w:rPr>
            <w:color w:val="156B70"/>
            <w:u w:val="single"/>
          </w:rPr>
          <w:t xml:space="preserve">cita de Clase 24 · 00:27:15</w:t>
        </w:r>
      </w:hyperlink>
      <w:r>
        <w:t xml:space="preserve">, pág. </w:t>
      </w:r>
      <w:r>
        <w:fldChar w:fldCharType="begin"/>
        <w:instrText xml:space="preserve">PAGEREF b_cita_clase_24_idea_1 \h</w:instrText>
        <w:fldChar w:fldCharType="separate"/>
        <w:t xml:space="preserve">914</w:t>
        <w:fldChar w:fldCharType="end"/>
      </w:r>
      <w:r>
        <w:t xml:space="preserve">.</w:t>
      </w:r>
    </w:p>
    <w:p>
      <w:pPr>
        <w:pStyle w:val="Heading3"/>
      </w:pPr>
      <w:r>
        <w:t xml:space="preserve">Errores frecuentes y trampa de examen</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9C620A" w:sz="20"/>
              <w:bottom w:val="nil"/>
              <w:right w:val="nil"/>
            </w:tcBorders>
            <w:shd w:fill="FBF3DF" w:val="clear"/>
            <w:tcMar>
              <w:top w:type="dxa" w:w="130"/>
              <w:left w:type="dxa" w:w="180"/>
              <w:bottom w:type="dxa" w:w="130"/>
              <w:right w:type="dxa" w:w="180"/>
            </w:tcMar>
          </w:tcPr>
          <w:p>
            <w:pPr>
              <w:pStyle w:val="RecuadroTitulo"/>
            </w:pPr>
            <w:r>
              <w:rPr>
                <w:b/>
                <w:bCs/>
                <w:color w:val="9C620A"/>
              </w:rPr>
              <w:t xml:space="preserve">Error → corrección</w:t>
            </w:r>
          </w:p>
          <w:p>
            <w:pPr>
              <w:pStyle w:val="Recuadro"/>
            </w:pPr>
            <w:r>
              <w:rPr>
                <w:b/>
                <w:bCs/>
              </w:rPr>
              <w:t xml:space="preserve">Error:</w:t>
            </w:r>
            <w:r>
              <w:t xml:space="preserve"> Usar el número del curso del portal como número del póster.</w:t>
            </w:r>
          </w:p>
          <w:p>
            <w:pPr>
              <w:pStyle w:val="Recuadro"/>
            </w:pPr>
            <w:r>
              <w:rPr>
                <w:b/>
                <w:bCs/>
              </w:rPr>
              <w:t xml:space="preserve">Corrección:</w:t>
            </w:r>
            <w:r>
              <w:t xml:space="preserve"> Reconoce la equivalencia por el nombre y usa el número del póster en la respuesta.</w:t>
            </w:r>
          </w:p>
          <w:p>
            <w:pPr>
              <w:pStyle w:val="Recuadro"/>
            </w:pPr>
            <w:r>
              <w:t xml:space="preserve">Guía de estudio · edición 20/10/2026 · pp. 25–26</w:t>
            </w:r>
          </w:p>
        </w:tc>
      </w:tr>
    </w:tbl>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9C620A" w:sz="20"/>
              <w:bottom w:val="nil"/>
              <w:right w:val="nil"/>
            </w:tcBorders>
            <w:shd w:fill="FBF3DF" w:val="clear"/>
            <w:tcMar>
              <w:top w:type="dxa" w:w="130"/>
              <w:left w:type="dxa" w:w="180"/>
              <w:bottom w:type="dxa" w:w="130"/>
              <w:right w:type="dxa" w:w="180"/>
            </w:tcMar>
          </w:tcPr>
          <w:p>
            <w:pPr>
              <w:pStyle w:val="RecuadroTitulo"/>
            </w:pPr>
            <w:r>
              <w:rPr>
                <w:b/>
                <w:bCs/>
                <w:color w:val="9C620A"/>
              </w:rPr>
              <w:t xml:space="preserve">Error → corrección</w:t>
            </w:r>
          </w:p>
          <w:p>
            <w:pPr>
              <w:pStyle w:val="Recuadro"/>
            </w:pPr>
            <w:r>
              <w:rPr>
                <w:b/>
                <w:bCs/>
              </w:rPr>
              <w:t xml:space="preserve">Error:</w:t>
            </w:r>
            <w:r>
              <w:t xml:space="preserve"> Asignar el hábito 5 a una etapa para completar la tabla.</w:t>
            </w:r>
          </w:p>
          <w:p>
            <w:pPr>
              <w:pStyle w:val="Recuadro"/>
            </w:pPr>
            <w:r>
              <w:rPr>
                <w:b/>
                <w:bCs/>
              </w:rPr>
              <w:t xml:space="preserve">Corrección:</w:t>
            </w:r>
            <w:r>
              <w:t xml:space="preserve"> Conserva el esquema de las láminas: el hábito 5 queda sin etapa asignada.</w:t>
            </w:r>
          </w:p>
          <w:p>
            <w:pPr>
              <w:pStyle w:val="Recuadro"/>
            </w:pPr>
            <w:r>
              <w:t xml:space="preserve">Guía de estudio · edición 20/10/2026 · pp. 26</w:t>
            </w:r>
          </w:p>
        </w:tc>
      </w:tr>
    </w:tbl>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9C620A" w:sz="20"/>
              <w:bottom w:val="nil"/>
              <w:right w:val="nil"/>
            </w:tcBorders>
            <w:shd w:fill="FBF3DF" w:val="clear"/>
            <w:tcMar>
              <w:top w:type="dxa" w:w="130"/>
              <w:left w:type="dxa" w:w="180"/>
              <w:bottom w:type="dxa" w:w="130"/>
              <w:right w:type="dxa" w:w="180"/>
            </w:tcMar>
          </w:tcPr>
          <w:p>
            <w:pPr>
              <w:pStyle w:val="RecuadroTitulo"/>
            </w:pPr>
            <w:r>
              <w:rPr>
                <w:b/>
                <w:bCs/>
                <w:color w:val="9C620A"/>
              </w:rPr>
              <w:t xml:space="preserve">Trampa de examen</w:t>
            </w:r>
          </w:p>
          <w:p>
            <w:pPr>
              <w:pStyle w:val="Recuadro"/>
            </w:pPr>
            <w:r>
              <w:t xml:space="preserve">Mencionar el hábito sin evidencia del caso ni acción concreta deja incompleta una respuesta de aplicación.</w:t>
            </w:r>
          </w:p>
        </w:tc>
      </w:tr>
    </w:tbl>
    <w:p>
      <w:pPr>
        <w:pStyle w:val="Heading3"/>
      </w:pPr>
      <w:r>
        <w:t xml:space="preserve">Lecturas y tareas del curso</w:t>
      </w:r>
    </w:p>
    <w:p>
      <w:pPr>
        <w:pStyle w:val="Normal"/>
      </w:pPr>
      <w:r>
        <w:t xml:space="preserve">C-3 · Unidad 4a · Desarrollo de la simulación dinámica de sistemas (versión de abril). Versión de abril de la presentación de simulación (C-7 contiene la versión de octubre): 60 páginas con el hábito de las acumulaciones, los niveles y los flujos, el diagrama de Forrester y el modelo de la epidemia, las reglas para pasar de un diagrama de ciclos causales a uno de flujos y niveles con sus ejercicios, el préstamo bancario para modelar en Vensim, las fases y los componentes de un modelo, los comportamientos dinámicos habituales y los ejemplos de población, presas y depredadores. Copia sin la impresión automática al abrirse.</w:t>
      </w:r>
    </w:p>
    <w:p>
      <w:pPr>
        <w:pStyle w:val="Normal"/>
      </w:pPr>
      <w:r>
        <w:t xml:space="preserve">C-4 · Unidad 4b · Hábitos de un pensador sistémico: toma de decisiones sistémicas (versión de abril). Versión de abril de la presentación de decisiones (C-8 contiene la versión de octubre): 48 páginas con los hábitos de las consecuencias, de considerar un tema a fondo, del apalancamiento y de la aproximación sucesiva; los arquetipos «soluciones rápidas que fallan» y «desplazamiento de la carga» con sus historias; los doce puntos de apalancamiento de Meadows; el ciclo de mejora continua; la resiliencia y la resolución de problemas con los hábitos en cuatro etapas. Copia sin la impresión automática al abrirse.</w:t>
      </w:r>
    </w:p>
    <w:p>
      <w:pPr>
        <w:pStyle w:val="Normal"/>
      </w:pPr>
      <w:r>
        <w:t xml:space="preserve">L-20 · Resiliencia: un enfoque sistémico — Oscar R. Castello. Ocho páginas sobre la resiliencia de personas y organizaciones vista como sistema: tres definiciones, cuatro pilares (objetivos futuros, enfrentar la realidad, la búsqueda de sentido y hacer con lo que se tiene a mano), un modelo que une el hoy con el mañana por medio del feedback, seis habilidades y la montaña rusa del cambio. La presentación 4b la resume.</w:t>
      </w:r>
    </w:p>
    <w:p>
      <w:pPr>
        <w:pStyle w:val="Normal"/>
      </w:pPr>
      <w:r>
        <w:t xml:space="preserve">C-7 · Unidad 4a · Simulación dinámica (versión de octubre). 40 páginas de octubre: acumulaciones, flujos y niveles, parámetros para escenarios, epidemia, Francisco y teléfonos en Vensim. Se conserva también la versión de abril C-3, cuya numeración mantienen las citas anteriores.</w:t>
      </w:r>
    </w:p>
    <w:p>
      <w:pPr>
        <w:pStyle w:val="Normal"/>
      </w:pPr>
      <w:r>
        <w:t xml:space="preserve">C-8 · Unidad 4b · Toma de decisiones (versión de octubre). 57 páginas de octubre: decisiones, arquetipos, doce puntos de Meadows explicados, resiliencia, usos del modelado y ejercicios de teléfonos. Se conserva también la versión de abril C-4, cuya numeración mantienen las citas anteriores.</w:t>
      </w:r>
    </w:p>
    <w:p>
      <w:pPr>
        <w:pStyle w:val="Heading3"/>
      </w:pPr>
      <w:r>
        <w:t xml:space="preserve">Práctica de los laboratorios</w:t>
      </w:r>
    </w:p>
    <w:p>
      <w:pPr>
        <w:pStyle w:val="Normal"/>
      </w:pPr>
      <w:r>
        <w:t xml:space="preserve">Los procedimientos del capítulo permiten reconstruir en papel la práctica interactiva. Los laboratorios originales permanecen disponibles en la lección del portal.</w:t>
      </w:r>
    </w:p>
    <w:p>
      <w:pPr>
        <w:pStyle w:val="Normal"/>
        <w:numPr>
          <w:ilvl w:val="0"/>
          <w:numId w:val="2"/>
        </w:numPr>
      </w:pPr>
      <w:r>
        <w:t xml:space="preserve">Aplicar hábitos a modelación y decisiones</w:t>
      </w:r>
    </w:p>
    <w:p>
      <w:pPr>
        <w:pStyle w:val="Normal"/>
        <w:numPr>
          <w:ilvl w:val="0"/>
          <w:numId w:val="2"/>
        </w:numPr>
      </w:pPr>
      <w:r>
        <w:t xml:space="preserve">Relacionar los hábitos con las cuatro etapas</w:t>
      </w:r>
    </w:p>
    <w:p>
      <w:pPr>
        <w:pStyle w:val="Heading3"/>
      </w:pPr>
      <w:r>
        <w:t xml:space="preserve">Autoevaluación</w:t>
      </w:r>
    </w:p>
    <w:p>
      <w:pPr>
        <w:pStyle w:val="Normal"/>
      </w:pPr>
      <w:r>
        <w:t xml:space="preserve">Resuelva sin consultar las respuestas. Compruebe al final del capítulo por qué cada opción es correcta o incorrecta.</w:t>
      </w:r>
    </w:p>
    <w:p>
      <w:pPr>
        <w:pStyle w:val="Heading3"/>
      </w:pPr>
      <w:bookmarkStart w:name="b_pregunta_auto_4_7_1" w:id="5317"/>
      <w:r>
        <w:t xml:space="preserve">4.7-A1 · La Unidad 4 pone en práctica los hábitos a través de cuatro actividades encadenadas. ¿Cuál es su orden dentro del ciclo?</w:t>
      </w:r>
      <w:bookmarkEnd w:id="5317"/>
    </w:p>
    <w:p>
      <w:pPr>
        <w:pStyle w:val="Normal"/>
      </w:pPr>
      <w:r>
        <w:t xml:space="preserve">a) Analizar → Decidir → Modelar → Simular</w:t>
      </w:r>
    </w:p>
    <w:p>
      <w:pPr>
        <w:pStyle w:val="Normal"/>
      </w:pPr>
      <w:r>
        <w:t xml:space="preserve">b) Modelar → Simular → Analizar → Decidir</w:t>
      </w:r>
    </w:p>
    <w:p>
      <w:pPr>
        <w:pStyle w:val="Normal"/>
      </w:pPr>
      <w:r>
        <w:t xml:space="preserve">c) Decidir → Modelar → Analizar → Simular</w:t>
      </w:r>
    </w:p>
    <w:p>
      <w:pPr>
        <w:pStyle w:val="Normal"/>
      </w:pPr>
      <w:r>
        <w:t xml:space="preserve">d) Simular → Modelar → Decidir → Analizar</w:t>
      </w:r>
    </w:p>
    <w:p>
      <w:pPr>
        <w:pStyle w:val="Heading3"/>
      </w:pPr>
      <w:bookmarkStart w:name="b_pregunta_auto_4_7_2" w:id="5318"/>
      <w:r>
        <w:t xml:space="preserve">4.7-A2 · ¿Por qué la simulación es la herramienta ideal para el hábito «considerar las consecuencias de corto, largo plazo e imprevistas»?</w:t>
      </w:r>
      <w:bookmarkEnd w:id="5318"/>
    </w:p>
    <w:p>
      <w:pPr>
        <w:pStyle w:val="Normal"/>
      </w:pPr>
      <w:r>
        <w:t xml:space="preserve">a) Porque elimina toda incertidumbre sobre el futuro</w:t>
      </w:r>
    </w:p>
    <w:p>
      <w:pPr>
        <w:pStyle w:val="Normal"/>
      </w:pPr>
      <w:r>
        <w:t xml:space="preserve">b) Porque deja vivir el largo plazo en segundos y revela efectos que la intuición no anticipa</w:t>
      </w:r>
    </w:p>
    <w:p>
      <w:pPr>
        <w:pStyle w:val="Normal"/>
      </w:pPr>
      <w:r>
        <w:t xml:space="preserve">c) Porque garantiza que la decisión tomada será la correcta</w:t>
      </w:r>
    </w:p>
    <w:p>
      <w:pPr>
        <w:pStyle w:val="Normal"/>
      </w:pPr>
      <w:r>
        <w:t xml:space="preserve">d) Porque reemplaza la necesidad de decidir</w:t>
      </w:r>
    </w:p>
    <w:p>
      <w:pPr>
        <w:pStyle w:val="Heading3"/>
      </w:pPr>
      <w:bookmarkStart w:name="b_pregunta_auto_4_7_3" w:id="5319"/>
      <w:r>
        <w:t xml:space="preserve">4.7-A3 · «Aproximación sucesiva» (hábito 14) describe la toma de decisiones sistémica como…</w:t>
      </w:r>
      <w:bookmarkEnd w:id="5319"/>
    </w:p>
    <w:p>
      <w:pPr>
        <w:pStyle w:val="Normal"/>
      </w:pPr>
      <w:r>
        <w:t xml:space="preserve">a) Un único cálculo definitivo que no se revisa</w:t>
      </w:r>
    </w:p>
    <w:p>
      <w:pPr>
        <w:pStyle w:val="Normal"/>
      </w:pPr>
      <w:r>
        <w:t xml:space="preserve">b) Un ciclo de actuar, verificar los resultados y ajustar las acciones</w:t>
      </w:r>
    </w:p>
    <w:p>
      <w:pPr>
        <w:pStyle w:val="Normal"/>
      </w:pPr>
      <w:r>
        <w:t xml:space="preserve">c) Una corazonada que se defiende pase lo que pase</w:t>
      </w:r>
    </w:p>
    <w:p>
      <w:pPr>
        <w:pStyle w:val="Normal"/>
      </w:pPr>
      <w:r>
        <w:t xml:space="preserve">d) Un consenso que evita cualquier cambio posterior</w:t>
      </w:r>
    </w:p>
    <w:p>
      <w:pPr>
        <w:pStyle w:val="Heading3"/>
      </w:pPr>
      <w:bookmarkStart w:name="b_pregunta_auto_4_7_4" w:id="5320"/>
      <w:r>
        <w:t xml:space="preserve">4.7-A4 · El axioma «la estructura genera el comportamiento» justifica modelar porque…</w:t>
      </w:r>
      <w:bookmarkEnd w:id="5320"/>
    </w:p>
    <w:p>
      <w:pPr>
        <w:pStyle w:val="Normal"/>
      </w:pPr>
      <w:r>
        <w:t xml:space="preserve">a) El comportamiento de un sistema es esencialmente aleatorio</w:t>
      </w:r>
    </w:p>
    <w:p>
      <w:pPr>
        <w:pStyle w:val="Normal"/>
      </w:pPr>
      <w:r>
        <w:t xml:space="preserve">b) Para cambiar el resultado hay que cambiar la estructura, y el modelo la hace visible</w:t>
      </w:r>
    </w:p>
    <w:p>
      <w:pPr>
        <w:pStyle w:val="Normal"/>
      </w:pPr>
      <w:r>
        <w:t xml:space="preserve">c) Basta con corregir cada síntoma a medida que aparece</w:t>
      </w:r>
    </w:p>
    <w:p>
      <w:pPr>
        <w:pStyle w:val="Normal"/>
      </w:pPr>
      <w:r>
        <w:t xml:space="preserve">d) La estructura interna del sistema es irrelevante para lo que se observa</w:t>
      </w:r>
    </w:p>
    <w:p>
      <w:pPr>
        <w:pStyle w:val="Heading3"/>
      </w:pPr>
      <w:bookmarkStart w:name="b_pregunta_auto_4_7_5" w:id="5321"/>
      <w:r>
        <w:t xml:space="preserve">4.7-A5 · Al traducir un diagrama de ciclos causales a uno de flujos y niveles, el hábito «atiende las acumulaciones» exige distinguir…</w:t>
      </w:r>
      <w:bookmarkEnd w:id="5321"/>
    </w:p>
    <w:p>
      <w:pPr>
        <w:pStyle w:val="Normal"/>
      </w:pPr>
      <w:r>
        <w:t xml:space="preserve">a) Las causas de los efectos</w:t>
      </w:r>
    </w:p>
    <w:p>
      <w:pPr>
        <w:pStyle w:val="Normal"/>
      </w:pPr>
      <w:r>
        <w:t xml:space="preserve">b) Lo que se acumula (el nivel o stock) de lo que lo llena o lo vacía (el flujo)</w:t>
      </w:r>
    </w:p>
    <w:p>
      <w:pPr>
        <w:pStyle w:val="Normal"/>
      </w:pPr>
      <w:r>
        <w:t xml:space="preserve">c) Los ciclos de refuerzo de los de balance</w:t>
      </w:r>
    </w:p>
    <w:p>
      <w:pPr>
        <w:pStyle w:val="Normal"/>
      </w:pPr>
      <w:r>
        <w:t xml:space="preserve">d) El corto plazo del largo plazo</w:t>
      </w:r>
    </w:p>
    <w:p>
      <w:pPr>
        <w:pStyle w:val="Heading3"/>
      </w:pPr>
      <w:bookmarkStart w:name="b_pregunta_auto_4_7_6" w:id="5322"/>
      <w:r>
        <w:t xml:space="preserve">4.7-A6 · En una simulación, una demora entre la acción y su efecto tiende a producir…</w:t>
      </w:r>
      <w:bookmarkEnd w:id="5322"/>
    </w:p>
    <w:p>
      <w:pPr>
        <w:pStyle w:val="Normal"/>
      </w:pPr>
      <w:r>
        <w:t xml:space="preserve">a) Estabilidad inmediata y perfecta</w:t>
      </w:r>
    </w:p>
    <w:p>
      <w:pPr>
        <w:pStyle w:val="Normal"/>
      </w:pPr>
      <w:r>
        <w:t xml:space="preserve">b) Oscilaciones y sobre-reacción</w:t>
      </w:r>
    </w:p>
    <w:p>
      <w:pPr>
        <w:pStyle w:val="Normal"/>
      </w:pPr>
      <w:r>
        <w:t xml:space="preserve">c) Crecimiento exponencial garantizado</w:t>
      </w:r>
    </w:p>
    <w:p>
      <w:pPr>
        <w:pStyle w:val="Normal"/>
      </w:pPr>
      <w:r>
        <w:t xml:space="preserve">d) La desaparición total del efecto</w:t>
      </w:r>
    </w:p>
    <w:p>
      <w:pPr>
        <w:pStyle w:val="Heading3"/>
      </w:pPr>
      <w:bookmarkStart w:name="b_pregunta_auto_4_7_7" w:id="5323"/>
      <w:r>
        <w:t xml:space="preserve">4.7-A7 · Un gerente celebra una decisión solo porque su resultado inmediato fue bueno, sin revisar sus efectos varios ciclos después. ¿Qué hábito de cierre está descuidando?</w:t>
      </w:r>
      <w:bookmarkEnd w:id="5323"/>
    </w:p>
    <w:p>
      <w:pPr>
        <w:pStyle w:val="Normal"/>
      </w:pPr>
      <w:r>
        <w:t xml:space="preserve">a) Considerar las consecuencias de largo plazo e imprevistas</w:t>
      </w:r>
    </w:p>
    <w:p>
      <w:pPr>
        <w:pStyle w:val="Normal"/>
      </w:pPr>
      <w:r>
        <w:t xml:space="preserve">b) Hacer conexiones significativas entre sistemas</w:t>
      </w:r>
    </w:p>
    <w:p>
      <w:pPr>
        <w:pStyle w:val="Normal"/>
      </w:pPr>
      <w:r>
        <w:t xml:space="preserve">c) Cambiar de perspectivas para comprender mejor</w:t>
      </w:r>
    </w:p>
    <w:p>
      <w:pPr>
        <w:pStyle w:val="Normal"/>
      </w:pPr>
      <w:r>
        <w:t xml:space="preserve">d) Buscar el panorama general</w:t>
      </w:r>
    </w:p>
    <w:p>
      <w:pPr>
        <w:pStyle w:val="Heading3"/>
      </w:pPr>
      <w:bookmarkStart w:name="b_pregunta_auto_4_7_8" w:id="5324"/>
      <w:r>
        <w:t xml:space="preserve">4.7-A8 · Identificar, a partir de la estructura del sistema, el punto donde un cambio pequeño produce un efecto grande y duradero es el hábito de…</w:t>
      </w:r>
      <w:bookmarkEnd w:id="5324"/>
    </w:p>
    <w:p>
      <w:pPr>
        <w:pStyle w:val="Normal"/>
      </w:pPr>
      <w:r>
        <w:t xml:space="preserve">a) Identificar el apalancamiento</w:t>
      </w:r>
    </w:p>
    <w:p>
      <w:pPr>
        <w:pStyle w:val="Normal"/>
      </w:pPr>
      <w:r>
        <w:t xml:space="preserve">b) Reconocer las demoras</w:t>
      </w:r>
    </w:p>
    <w:p>
      <w:pPr>
        <w:pStyle w:val="Normal"/>
      </w:pPr>
      <w:r>
        <w:t xml:space="preserve">c) Cambiar de perspectivas</w:t>
      </w:r>
    </w:p>
    <w:p>
      <w:pPr>
        <w:pStyle w:val="Normal"/>
      </w:pPr>
      <w:r>
        <w:t xml:space="preserve">d) Observar patrones en el tiempo</w:t>
      </w:r>
    </w:p>
    <w:p>
      <w:pPr>
        <w:pStyle w:val="Heading3"/>
      </w:pPr>
      <w:bookmarkStart w:name="b_pregunta_auto_4_7_9" w:id="5325"/>
      <w:r>
        <w:t xml:space="preserve">4.7-A9 · ¿Qué establece un pensador sistémico según la tarjeta de la aproximación sucesiva (hábito 14 del póster)?</w:t>
      </w:r>
      <w:bookmarkEnd w:id="5325"/>
    </w:p>
    <w:p>
      <w:pPr>
        <w:pStyle w:val="Normal"/>
      </w:pPr>
      <w:r>
        <w:t xml:space="preserve">a) Puntos de referencia para lograr evaluar la mejora paulatina</w:t>
      </w:r>
    </w:p>
    <w:p>
      <w:pPr>
        <w:pStyle w:val="Normal"/>
      </w:pPr>
      <w:r>
        <w:t xml:space="preserve">b) Un plan definitivo que no se modifica</w:t>
      </w:r>
    </w:p>
    <w:p>
      <w:pPr>
        <w:pStyle w:val="Normal"/>
      </w:pPr>
      <w:r>
        <w:t xml:space="preserve">c) La solución más rápida posible</w:t>
      </w:r>
    </w:p>
    <w:p>
      <w:pPr>
        <w:pStyle w:val="Normal"/>
      </w:pPr>
      <w:r>
        <w:t xml:space="preserve">d) Un culpable para cada falla</w:t>
      </w:r>
    </w:p>
    <w:p>
      <w:pPr>
        <w:pStyle w:val="Heading3"/>
      </w:pPr>
      <w:bookmarkStart w:name="b_pregunta_auto_4_7_10" w:id="5326"/>
      <w:r>
        <w:t xml:space="preserve">4.7-A10 · ¿En qué orden van los pasos del ciclo de aproximación sucesiva de la presentación?</w:t>
      </w:r>
      <w:bookmarkEnd w:id="5326"/>
    </w:p>
    <w:p>
      <w:pPr>
        <w:pStyle w:val="Normal"/>
      </w:pPr>
      <w:r>
        <w:t xml:space="preserve">a) Diseñar un plan, implementar, evaluar, mejorar</w:t>
      </w:r>
    </w:p>
    <w:p>
      <w:pPr>
        <w:pStyle w:val="Normal"/>
      </w:pPr>
      <w:r>
        <w:t xml:space="preserve">b) Implementar, diseñar un plan, mejorar, evaluar</w:t>
      </w:r>
    </w:p>
    <w:p>
      <w:pPr>
        <w:pStyle w:val="Normal"/>
      </w:pPr>
      <w:r>
        <w:t xml:space="preserve">c) Evaluar, mejorar, implementar, diseñar un plan</w:t>
      </w:r>
    </w:p>
    <w:p>
      <w:pPr>
        <w:pStyle w:val="Normal"/>
      </w:pPr>
      <w:r>
        <w:t xml:space="preserve">d) Mejorar, evaluar, diseñar un plan, implementar</w:t>
      </w:r>
    </w:p>
    <w:p>
      <w:pPr>
        <w:pStyle w:val="Heading3"/>
      </w:pPr>
      <w:bookmarkStart w:name="b_pregunta_auto_4_7_11" w:id="5327"/>
      <w:r>
        <w:t xml:space="preserve">4.7-A11 · ¿Qué hábitos del póster aplica un pensador sistémico para «desarrollar conciencia del problema»?</w:t>
      </w:r>
      <w:bookmarkEnd w:id="5327"/>
    </w:p>
    <w:p>
      <w:pPr>
        <w:pStyle w:val="Normal"/>
      </w:pPr>
      <w:r>
        <w:t xml:space="preserve">a) Los hábitos 1, 2, 3 y 4</w:t>
      </w:r>
    </w:p>
    <w:p>
      <w:pPr>
        <w:pStyle w:val="Normal"/>
      </w:pPr>
      <w:r>
        <w:t xml:space="preserve">b) Los hábitos 6, 7, 8 y 9</w:t>
      </w:r>
    </w:p>
    <w:p>
      <w:pPr>
        <w:pStyle w:val="Normal"/>
      </w:pPr>
      <w:r>
        <w:t xml:space="preserve">c) Los hábitos 10, 11, 12 y 13</w:t>
      </w:r>
    </w:p>
    <w:p>
      <w:pPr>
        <w:pStyle w:val="Normal"/>
      </w:pPr>
      <w:r>
        <w:t xml:space="preserve">d) Sólo el hábito 14</w:t>
      </w:r>
    </w:p>
    <w:p>
      <w:pPr>
        <w:pStyle w:val="Heading3"/>
      </w:pPr>
      <w:bookmarkStart w:name="b_pregunta_auto_4_7_12" w:id="5328"/>
      <w:r>
        <w:t xml:space="preserve">4.7-A12 · ¿Qué hábito del póster NO aparece en ninguna de las cuatro etapas de resolución de problemas?</w:t>
      </w:r>
      <w:bookmarkEnd w:id="5328"/>
    </w:p>
    <w:p>
      <w:pPr>
        <w:pStyle w:val="Normal"/>
      </w:pPr>
      <w:r>
        <w:t xml:space="preserve">a) El 5: hace conexiones significativas dentro y entre sistemas</w:t>
      </w:r>
    </w:p>
    <w:p>
      <w:pPr>
        <w:pStyle w:val="Normal"/>
      </w:pPr>
      <w:r>
        <w:t xml:space="preserve">b) El 14: aproximación sucesiva</w:t>
      </w:r>
    </w:p>
    <w:p>
      <w:pPr>
        <w:pStyle w:val="Normal"/>
      </w:pPr>
      <w:r>
        <w:t xml:space="preserve">c) El 10: apalancamiento</w:t>
      </w:r>
    </w:p>
    <w:p>
      <w:pPr>
        <w:pStyle w:val="Normal"/>
      </w:pPr>
      <w:r>
        <w:t xml:space="preserve">d) El 1: la película completa</w:t>
      </w:r>
    </w:p>
    <w:p>
      <w:pPr>
        <w:pStyle w:val="Heading3"/>
      </w:pPr>
      <w:bookmarkStart w:name="b_pregunta_auto_4_7_13" w:id="5329"/>
      <w:r>
        <w:t xml:space="preserve">4.7-A13 · Según la lectura de Castello, ¿qué es la resiliencia de una persona?</w:t>
      </w:r>
      <w:bookmarkEnd w:id="5329"/>
    </w:p>
    <w:p>
      <w:pPr>
        <w:pStyle w:val="Normal"/>
      </w:pPr>
      <w:r>
        <w:t xml:space="preserve">a) La habilidad y capacidad de una persona para fortalecerse y recuperarse bajo condiciones de enorme stress y cambio</w:t>
      </w:r>
    </w:p>
    <w:p>
      <w:pPr>
        <w:pStyle w:val="Normal"/>
      </w:pPr>
      <w:r>
        <w:t xml:space="preserve">b) El poder de un metal para volver a su forma inicial</w:t>
      </w:r>
    </w:p>
    <w:p>
      <w:pPr>
        <w:pStyle w:val="Normal"/>
      </w:pPr>
      <w:r>
        <w:t xml:space="preserve">c) La capacidad de evitar todo cambio</w:t>
      </w:r>
    </w:p>
    <w:p>
      <w:pPr>
        <w:pStyle w:val="Normal"/>
      </w:pPr>
      <w:r>
        <w:t xml:space="preserve">d) La resistencia a cambiar de objetivos</w:t>
      </w:r>
    </w:p>
    <w:p>
      <w:pPr>
        <w:pStyle w:val="Heading3"/>
      </w:pPr>
      <w:bookmarkStart w:name="b_pregunta_auto_4_7_14" w:id="5330"/>
      <w:r>
        <w:t xml:space="preserve">4.7-A14 · ¿Cuál es el orden de la montaña rusa del cambio?</w:t>
      </w:r>
      <w:bookmarkEnd w:id="5330"/>
    </w:p>
    <w:p>
      <w:pPr>
        <w:pStyle w:val="Normal"/>
      </w:pPr>
      <w:r>
        <w:t xml:space="preserve">a) Shock, parálisis, negación, ira, depresión, racionalización, aceptación y compromiso</w:t>
      </w:r>
    </w:p>
    <w:p>
      <w:pPr>
        <w:pStyle w:val="Normal"/>
      </w:pPr>
      <w:r>
        <w:t xml:space="preserve">b) Negación, shock, ira, aceptación, depresión</w:t>
      </w:r>
    </w:p>
    <w:p>
      <w:pPr>
        <w:pStyle w:val="Normal"/>
      </w:pPr>
      <w:r>
        <w:t xml:space="preserve">c) Aceptación, ira, depresión, shock</w:t>
      </w:r>
    </w:p>
    <w:p>
      <w:pPr>
        <w:pStyle w:val="Normal"/>
      </w:pPr>
      <w:r>
        <w:t xml:space="preserve">d) Parálisis, aceptación, shock, negación</w:t>
      </w:r>
    </w:p>
    <w:p>
      <w:pPr>
        <w:pStyle w:val="Heading3"/>
      </w:pPr>
      <w:bookmarkStart w:name="b_pregunta_auto_4_7_15" w:id="5331"/>
      <w:r>
        <w:t xml:space="preserve">4.7-A15 · ¿Qué se hace después de una primera conciencia del problema?</w:t>
      </w:r>
      <w:bookmarkEnd w:id="5331"/>
    </w:p>
    <w:p>
      <w:pPr>
        <w:pStyle w:val="Normal"/>
      </w:pPr>
      <w:r>
        <w:t xml:space="preserve">a) Aumentar la comprensión con otras perspectivas, supuestos y modelos mentales</w:t>
      </w:r>
    </w:p>
    <w:p>
      <w:pPr>
        <w:pStyle w:val="Normal"/>
      </w:pPr>
      <w:r>
        <w:t xml:space="preserve">b) Ejecutar cualquier solución sin revisar la estructura</w:t>
      </w:r>
    </w:p>
    <w:p>
      <w:pPr>
        <w:pStyle w:val="Normal"/>
      </w:pPr>
      <w:r>
        <w:t xml:space="preserve">c) Suponer que el primer modelo ya contiene toda la realidad</w:t>
      </w:r>
    </w:p>
    <w:p>
      <w:pPr>
        <w:pStyle w:val="Normal"/>
      </w:pPr>
      <w:r>
        <w:t xml:space="preserve">d) Reemplazar la evidencia por una predicción fija</w:t>
      </w:r>
    </w:p>
    <w:p>
      <w:pPr>
        <w:pStyle w:val="Heading3"/>
      </w:pPr>
      <w:bookmarkStart w:name="b_pregunta_auto_4_7_16" w:id="5332"/>
      <w:r>
        <w:t xml:space="preserve">4.7-A16 · ¿Qué hábito no está asignado a una etapa en las láminas de agrupación?</w:t>
      </w:r>
      <w:bookmarkEnd w:id="5332"/>
    </w:p>
    <w:p>
      <w:pPr>
        <w:pStyle w:val="Normal"/>
      </w:pPr>
      <w:r>
        <w:t xml:space="preserve">a) El 14: aproximación sucesiva</w:t>
      </w:r>
    </w:p>
    <w:p>
      <w:pPr>
        <w:pStyle w:val="Normal"/>
      </w:pPr>
      <w:r>
        <w:t xml:space="preserve">b) El 5: conexiones significativas dentro y entre sistemas</w:t>
      </w:r>
    </w:p>
    <w:p>
      <w:pPr>
        <w:pStyle w:val="Normal"/>
      </w:pPr>
      <w:r>
        <w:t xml:space="preserve">c) El 1: película completa</w:t>
      </w:r>
    </w:p>
    <w:p>
      <w:pPr>
        <w:pStyle w:val="Normal"/>
      </w:pPr>
      <w:r>
        <w:t xml:space="preserve">d) El 10: apalancamiento</w:t>
      </w:r>
    </w:p>
    <w:p>
      <w:pPr>
        <w:pStyle w:val="Heading3"/>
      </w:pPr>
      <w:bookmarkStart w:name="b_pregunta_auto_4_7_17" w:id="5333"/>
      <w:r>
        <w:t xml:space="preserve">4.7-A17 · ¿Cómo se usa la aproximación sucesiva después de intervenir?</w:t>
      </w:r>
      <w:bookmarkEnd w:id="5333"/>
    </w:p>
    <w:p>
      <w:pPr>
        <w:pStyle w:val="Normal"/>
      </w:pPr>
      <w:r>
        <w:t xml:space="preserve">a) Se abandona el objetivo cuando aparece una demora</w:t>
      </w:r>
    </w:p>
    <w:p>
      <w:pPr>
        <w:pStyle w:val="Normal"/>
      </w:pPr>
      <w:r>
        <w:t xml:space="preserve">b) Se repite siempre la misma acción sin medir</w:t>
      </w:r>
    </w:p>
    <w:p>
      <w:pPr>
        <w:pStyle w:val="Normal"/>
      </w:pPr>
      <w:r>
        <w:t xml:space="preserve">c) Se observan resultados y se ajusta el plan con referencias</w:t>
      </w:r>
    </w:p>
    <w:p>
      <w:pPr>
        <w:pStyle w:val="Normal"/>
      </w:pPr>
      <w:r>
        <w:t xml:space="preserve">d) Se asume que todo resultado negativo demuestra éxito</w:t>
      </w:r>
    </w:p>
    <w:p>
      <w:pPr>
        <w:pStyle w:val="Heading3"/>
      </w:pPr>
      <w:bookmarkStart w:name="b_pregunta_auto_4_7_18" w:id="5334"/>
      <w:r>
        <w:t xml:space="preserve">4.7-A18 · ¿Cuál es la secuencia de aproximación sucesiva presentada?</w:t>
      </w:r>
      <w:bookmarkEnd w:id="5334"/>
    </w:p>
    <w:p>
      <w:pPr>
        <w:pStyle w:val="Normal"/>
      </w:pPr>
      <w:r>
        <w:t xml:space="preserve">a) Medir una sola vez y detenerse</w:t>
      </w:r>
    </w:p>
    <w:p>
      <w:pPr>
        <w:pStyle w:val="Normal"/>
      </w:pPr>
      <w:r>
        <w:t xml:space="preserve">b) Esperar, adivinar, imponer y ocultar</w:t>
      </w:r>
    </w:p>
    <w:p>
      <w:pPr>
        <w:pStyle w:val="Normal"/>
      </w:pPr>
      <w:r>
        <w:t xml:space="preserve">c) Planificar, implementar, evaluar y mejorar</w:t>
      </w:r>
    </w:p>
    <w:p>
      <w:pPr>
        <w:pStyle w:val="Normal"/>
      </w:pPr>
      <w:r>
        <w:t xml:space="preserve">d) Actuar, olvidar, repetir y culpar</w:t>
      </w:r>
    </w:p>
    <w:p>
      <w:pPr>
        <w:pStyle w:val="Heading3"/>
      </w:pPr>
      <w:bookmarkStart w:name="b_pregunta_auto_4_7_19" w:id="5335"/>
      <w:r>
        <w:t xml:space="preserve">4.7-A19 · ¿Qué expresa la resiliencia en este contexto?</w:t>
      </w:r>
      <w:bookmarkEnd w:id="5335"/>
    </w:p>
    <w:p>
      <w:pPr>
        <w:pStyle w:val="Normal"/>
      </w:pPr>
      <w:r>
        <w:t xml:space="preserve">a) Confundir todo resultado adverso con éxito</w:t>
      </w:r>
    </w:p>
    <w:p>
      <w:pPr>
        <w:pStyle w:val="Normal"/>
      </w:pPr>
      <w:r>
        <w:t xml:space="preserve">b) Recuperarse y adaptar el camino hacia un objetivo ante dificultades</w:t>
      </w:r>
    </w:p>
    <w:p>
      <w:pPr>
        <w:pStyle w:val="Normal"/>
      </w:pPr>
      <w:r>
        <w:t xml:space="preserve">c) No experimentar nunca dificultades</w:t>
      </w:r>
    </w:p>
    <w:p>
      <w:pPr>
        <w:pStyle w:val="Normal"/>
      </w:pPr>
      <w:r>
        <w:t xml:space="preserve">d) Mantener siempre las mismas acciones</w:t>
      </w:r>
    </w:p>
    <w:p>
      <w:pPr>
        <w:pStyle w:val="Heading3"/>
      </w:pPr>
      <w:r>
        <w:t xml:space="preserve">Ejercicios de aplicación</w:t>
      </w:r>
    </w:p>
    <w:p>
      <w:pPr>
        <w:pStyle w:val="Heading3"/>
      </w:pPr>
      <w:bookmarkStart w:name="b_pregunta_ej_H01" w:id="5336"/>
      <w:r>
        <w:t xml:space="preserve">4.7-E1 · Planificar, esperar y evaluar</w:t>
      </w:r>
      <w:bookmarkEnd w:id="5336"/>
    </w:p>
    <w:p>
      <w:pPr>
        <w:pStyle w:val="Normal"/>
      </w:pPr>
      <w:r>
        <w:t xml:space="preserve">A. Antes de implementar una capacitación, la directora considera que sus efectos tardarán tres semanas y establece cuándo evaluará los resultados.  B. Después de ese período, compara los resultados con lo esperado y ajusta la capacitación porque persisten ciertos errores.  ¿A qué etapa corresponde A y a cuál B? ¿Por qué sería un error declarar que la capacitación fracasó al día siguiente de implementarla?</w:t>
      </w:r>
    </w:p>
    <w:p>
      <w:pPr>
        <w:pStyle w:val="Heading3"/>
      </w:pPr>
      <w:bookmarkStart w:name="b_pregunta_ej_H02" w:id="5337"/>
      <w:r>
        <w:t xml:space="preserve">4.7-E2 · Cinco hábitos de Unidad 4</w:t>
      </w:r>
      <w:bookmarkEnd w:id="5337"/>
    </w:p>
    <w:p>
      <w:pPr>
        <w:pStyle w:val="Normal"/>
      </w:pPr>
      <w:r>
        <w:t xml:space="preserve">Identifica número y nombre del hábito principal: investigar antes de concluir; encontrar dónde intervenir en la estructura; anticipar efectos posteriores; distinguir solicitudes pendientes de solicitudes que entran por día; observar resultados y ajustar.</w:t>
      </w:r>
    </w:p>
    <w:p>
      <w:pPr>
        <w:pStyle w:val="Heading3"/>
      </w:pPr>
      <w:bookmarkStart w:name="b_pregunta_ej_H03" w:id="5338"/>
      <w:r>
        <w:t xml:space="preserve">4.7-E3 · Etapas y numeración</w:t>
      </w:r>
      <w:bookmarkEnd w:id="5338"/>
    </w:p>
    <w:p>
      <w:pPr>
        <w:pStyle w:val="Normal"/>
      </w:pPr>
      <w:r>
        <w:t xml:space="preserve">Escribe las cuatro etapas de resolución y los números del póster asignados a cada una en las láminas. ¿Qué ocurre con el hábito 5? Explica por qué estos grupos no son iguales a los grupos de hábitos estudiados por unidad.</w:t>
      </w:r>
    </w:p>
    <w:p>
      <w:pPr>
        <w:pStyle w:val="Heading3"/>
      </w:pPr>
      <w:bookmarkStart w:name="b_pregunta_ej_H04" w:id="5339"/>
      <w:r>
        <w:t xml:space="preserve">4.7-E4 · Aproximación sucesiva</w:t>
      </w:r>
      <w:bookmarkEnd w:id="5339"/>
    </w:p>
    <w:p>
      <w:pPr>
        <w:pStyle w:val="Normal"/>
      </w:pPr>
      <w:r>
        <w:t xml:space="preserve">Un encargado ejecuta un plan y, al primer resultado desfavorable, concluye que toda la idea debe descartarse. Describe el ciclo de aproximación sucesiva y qué debería investigar antes de mantener, ajustar o abandonar ese plan. ¿Todo cambio debe aplicarse inmediatamente?</w:t>
      </w:r>
    </w:p>
    <w:p>
      <w:pPr>
        <w:pStyle w:val="Heading3"/>
      </w:pPr>
      <w:bookmarkStart w:name="b_pregunta_ej_H05" w:id="5340"/>
      <w:r>
        <w:t xml:space="preserve">4.7-E5 · Cuatro pilares de resiliencia</w:t>
      </w:r>
      <w:bookmarkEnd w:id="5340"/>
    </w:p>
    <w:p>
      <w:pPr>
        <w:pStyle w:val="Normal"/>
      </w:pPr>
      <w:r>
        <w:t xml:space="preserve">Después de una interrupción, una biblioteca: reconoce sus recursos actuales, define qué servicio quiere recuperar, recuerda por qué es importante para la comunidad y reorganiza turnos con lo disponible. Relaciona las acciones con los cuatro pilares y explica cómo se conectan.</w:t>
      </w:r>
    </w:p>
    <w:p>
      <w:pPr>
        <w:pStyle w:val="Heading3"/>
      </w:pPr>
      <w:bookmarkStart w:name="b_pregunta_ej_H06" w:id="5341"/>
      <w:r>
        <w:t xml:space="preserve">4.7-E6 · Modelo por letras</w:t>
      </w:r>
      <w:bookmarkEnd w:id="5341"/>
    </w:p>
    <w:p>
      <w:pPr>
        <w:pStyle w:val="Normal"/>
      </w:pPr>
      <w:r>
        <w:t xml:space="preserve">Dibuja el modelo de resiliencia con A, B, C, D y E. Identifica dónde van el presente, los objetivos, el proceso, el feedback y el entorno. Explica cómo sabrías que estás avanzando sin confundir una actividad realizada con un resultado logrado.</w:t>
      </w:r>
    </w:p>
    <w:p>
      <w:pPr>
        <w:pStyle w:val="Heading3"/>
      </w:pPr>
      <w:bookmarkStart w:name="b_pregunta_ej_H07" w:id="5342"/>
      <w:r>
        <w:t xml:space="preserve">4.7-E7 · Habilidades de resiliencia</w:t>
      </w:r>
      <w:bookmarkEnd w:id="5342"/>
    </w:p>
    <w:p>
      <w:pPr>
        <w:pStyle w:val="Normal"/>
      </w:pPr>
      <w:r>
        <w:t xml:space="preserve">Identifica la habilidad principal: mantener foco en el objetivo; inventar usos de recursos disponibles; coordinar responsabilidades; evaluar riesgos y actuar anticipadamente; ajustarse a condiciones nuevas; reconocer posibilidades sin negar dificultades. Después da un ejemplo de diferencia entre flexibilidad y adaptación.</w:t>
      </w:r>
    </w:p>
    <w:p>
      <w:pPr>
        <w:pStyle w:val="Heading3"/>
      </w:pPr>
      <w:bookmarkStart w:name="b_pregunta_ej_H08" w:id="5343"/>
      <w:r>
        <w:t xml:space="preserve">4.7-E8 · Montaña rusa e interpretación</w:t>
      </w:r>
      <w:bookmarkEnd w:id="5343"/>
    </w:p>
    <w:p>
      <w:pPr>
        <w:pStyle w:val="Normal"/>
      </w:pPr>
      <w:r>
        <w:t xml:space="preserve">Una persona utiliza explicaciones para restar importancia al problema y nunca modifica su actuación. Relaciona ese comportamiento con la racionalización problemática descrita en la lectura. ¿Permite el modelo afirmar que todas las personas pasan obligatoriamente por las mismas etapas?</w:t>
      </w:r>
    </w:p>
    <w:p>
      <w:pPr>
        <w:pStyle w:val="Heading3"/>
      </w:pPr>
      <w:bookmarkStart w:name="b_pregunta_ej_H09" w:id="5344"/>
      <w:r>
        <w:t xml:space="preserve">4.7-E9 · Implementación organizacional</w:t>
      </w:r>
      <w:bookmarkEnd w:id="5344"/>
    </w:p>
    <w:p>
      <w:pPr>
        <w:pStyle w:val="Normal"/>
      </w:pPr>
      <w:r>
        <w:t xml:space="preserve">Una organización pretende desarrollar resiliencia, pero solo da una charla motivacional. Indica tres elementos que faltan en el diseño previo y tres acciones de implementación y seguimiento propuestas en la lectura.</w:t>
      </w:r>
    </w:p>
    <w:p>
      <w:pPr>
        <w:pStyle w:val="Heading3"/>
      </w:pPr>
      <w:bookmarkStart w:name="b_pregunta_ej_H10" w:id="5345"/>
      <w:r>
        <w:t xml:space="preserve">4.7-E10 · Integración de todo el recorrido</w:t>
      </w:r>
      <w:bookmarkEnd w:id="5345"/>
    </w:p>
    <w:p>
      <w:pPr>
        <w:pStyle w:val="Normal"/>
      </w:pPr>
      <w:r>
        <w:t xml:space="preserve">Las solicitudes pendientes aumentan durante meses. La dirección decide contratar más personal sin revisar cómo se trabaja. Propón un recorrido que conecte: conciencia, comprensión, una posible palanca, indicadores, demoras, aproximación sucesiva y resiliencia ante resultados imprevistos. Declara qué datos necesitarías; no inventes que contratar es necesariamente correcto o incorrecto.</w:t>
      </w:r>
    </w:p>
    <w:p>
      <w:pPr>
        <w:pStyle w:val="Heading3"/>
      </w:pPr>
      <w:bookmarkStart w:name="b_solucionario_4_7" w:id="5346"/>
      <w:r>
        <w:t xml:space="preserve">Solucionario del capítulo</w:t>
      </w:r>
      <w:bookmarkEnd w:id="5346"/>
    </w:p>
    <w:p>
      <w:pPr>
        <w:pStyle w:val="Heading3"/>
      </w:pPr>
      <w:r>
        <w:t xml:space="preserve">4.7-A1</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b) Modelar → Simular → Analizar → Decidir</w:t>
            </w:r>
          </w:p>
        </w:tc>
      </w:tr>
    </w:tbl>
    <w:p>
      <w:pPr>
        <w:pStyle w:val="Normal"/>
      </w:pPr>
      <w:r>
        <w:t xml:space="preserve">Se modela la estructura (mapas causales → flujos y niveles), se simula para ver el comportamiento, se analizan los patrones y se decide. Como la mejora es aproximación sucesiva, la decisión reabre el ciclo.</w:t>
      </w:r>
    </w:p>
    <w:p>
      <w:pPr>
        <w:pStyle w:val="Normal"/>
      </w:pPr>
      <w:r>
        <w:t xml:space="preserve">a) No: no se analiza antes de tener un modelo que correr.</w:t>
      </w:r>
    </w:p>
    <w:p>
      <w:pPr>
        <w:pStyle w:val="Normal"/>
      </w:pPr>
      <w:r>
        <w:t xml:space="preserve">b) Correcto: primero se modela la estructura, se simula en el tiempo, se leen los resultados y se decide; luego el ciclo se reabre.</w:t>
      </w:r>
    </w:p>
    <w:p>
      <w:pPr>
        <w:pStyle w:val="Normal"/>
      </w:pPr>
      <w:r>
        <w:t xml:space="preserve">c) No: decidir es el paso final, no el primero.</w:t>
      </w:r>
    </w:p>
    <w:p>
      <w:pPr>
        <w:pStyle w:val="Normal"/>
      </w:pPr>
      <w:r>
        <w:t xml:space="preserve">d) No: no se puede simular un modelo que aún no se ha construido.</w:t>
      </w:r>
    </w:p>
    <w:p>
      <w:pPr>
        <w:pStyle w:val="Fuente"/>
      </w:pPr>
      <w:r>
        <w:t xml:space="preserve">Syllabus 722 · Unidad 4</w:t>
      </w:r>
    </w:p>
    <w:p>
      <w:pPr>
        <w:pStyle w:val="Heading3"/>
      </w:pPr>
      <w:r>
        <w:t xml:space="preserve">4.7-A2</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b) Porque deja vivir el largo plazo en segundos y revela efectos que la intuición no anticipa</w:t>
            </w:r>
          </w:p>
        </w:tc>
      </w:tr>
    </w:tbl>
    <w:p>
      <w:pPr>
        <w:pStyle w:val="Normal"/>
      </w:pPr>
      <w:r>
        <w:t xml:space="preserve">Un modelo dinámico comprime el tiempo: permite observar la trayectoria completa de una decisión —incluidas las consecuencias imprevistas y las de largo plazo— antes de comprometerse en el sistema real.</w:t>
      </w:r>
    </w:p>
    <w:p>
      <w:pPr>
        <w:pStyle w:val="Fuente"/>
      </w:pPr>
      <w:r>
        <w:t xml:space="preserve">Waters Center · Hábito 10</w:t>
      </w:r>
    </w:p>
    <w:p>
      <w:pPr>
        <w:pStyle w:val="Heading3"/>
      </w:pPr>
      <w:r>
        <w:t xml:space="preserve">4.7-A3</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b) Un ciclo de actuar, verificar los resultados y ajustar las acciones</w:t>
            </w:r>
          </w:p>
        </w:tc>
      </w:tr>
    </w:tbl>
    <w:p>
      <w:pPr>
        <w:pStyle w:val="Normal"/>
      </w:pPr>
      <w:r>
        <w:t xml:space="preserve">La mejora es un proceso: meta → acción → verificar resultados → ajustar → repetir. El propio ciclo de modelar, simular y calibrar es un ejemplo de aproximación sucesiva.</w:t>
      </w:r>
    </w:p>
    <w:p>
      <w:pPr>
        <w:pStyle w:val="Normal"/>
      </w:pPr>
      <w:r>
        <w:t xml:space="preserve">a) Al contrario: casi ninguna decisión sale perfecta a la primera.</w:t>
      </w:r>
    </w:p>
    <w:p>
      <w:pPr>
        <w:pStyle w:val="Normal"/>
      </w:pPr>
      <w:r>
        <w:t xml:space="preserve">b) Correcto: se fija una meta, se actúa, se verifica el resultado real y se ajusta, en ciclos sucesivos.</w:t>
      </w:r>
    </w:p>
    <w:p>
      <w:pPr>
        <w:pStyle w:val="Normal"/>
      </w:pPr>
      <w:r>
        <w:t xml:space="preserve">c) No: la aproximación sucesiva exige revisar, no aferrarse.</w:t>
      </w:r>
    </w:p>
    <w:p>
      <w:pPr>
        <w:pStyle w:val="Normal"/>
      </w:pPr>
      <w:r>
        <w:t xml:space="preserve">d) No: el hábito busca mejorar por iteración, no congelar la situación.</w:t>
      </w:r>
    </w:p>
    <w:p>
      <w:pPr>
        <w:pStyle w:val="Fuente"/>
      </w:pPr>
      <w:r>
        <w:t xml:space="preserve">Waters Center · Hábito 14</w:t>
      </w:r>
    </w:p>
    <w:p>
      <w:pPr>
        <w:pStyle w:val="Heading3"/>
      </w:pPr>
      <w:r>
        <w:t xml:space="preserve">4.7-A4</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b) Para cambiar el resultado hay que cambiar la estructura, y el modelo la hace visible</w:t>
            </w:r>
          </w:p>
        </w:tc>
      </w:tr>
    </w:tbl>
    <w:p>
      <w:pPr>
        <w:pStyle w:val="Normal"/>
      </w:pPr>
      <w:r>
        <w:t xml:space="preserve">Si el comportamiento nace de la estructura, perseguir síntomas no resuelve nada de fondo. Modelar hace visible esa estructura para poder intervenirla y obtener otro comportamiento.</w:t>
      </w:r>
    </w:p>
    <w:p>
      <w:pPr>
        <w:pStyle w:val="Fuente"/>
      </w:pPr>
      <w:r>
        <w:t xml:space="preserve">Meadows · Senge</w:t>
      </w:r>
    </w:p>
    <w:p>
      <w:pPr>
        <w:pStyle w:val="Heading3"/>
      </w:pPr>
      <w:r>
        <w:t xml:space="preserve">4.7-A5</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b) Lo que se acumula (el nivel o stock) de lo que lo llena o lo vacía (el flujo)</w:t>
            </w:r>
          </w:p>
        </w:tc>
      </w:tr>
    </w:tbl>
    <w:p>
      <w:pPr>
        <w:pStyle w:val="Normal"/>
      </w:pPr>
      <w:r>
        <w:t xml:space="preserve">Un nivel (stock) es lo que se acumula en el tiempo; los flujos son las tasas que lo aumentan o disminuyen. Separarlos es el paso central para pasar de un mapa causal a un modelo simulable.</w:t>
      </w:r>
    </w:p>
    <w:p>
      <w:pPr>
        <w:pStyle w:val="Fuente"/>
      </w:pPr>
      <w:r>
        <w:t xml:space="preserve">Meadows · Thinking in Systems</w:t>
      </w:r>
    </w:p>
    <w:p>
      <w:pPr>
        <w:pStyle w:val="Heading3"/>
      </w:pPr>
      <w:r>
        <w:t xml:space="preserve">4.7-A6</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b) Oscilaciones y sobre-reacción</w:t>
            </w:r>
          </w:p>
        </w:tc>
      </w:tr>
    </w:tbl>
    <w:p>
      <w:pPr>
        <w:pStyle w:val="Normal"/>
      </w:pPr>
      <w:r>
        <w:t xml:space="preserve">Cuando el efecto llega tarde, quien decide tiende a corregir de más antes de ver el resultado, lo que hace oscilar al sistema. Por eso el hábito «reconoce las demoras» advierte contra sobre-reaccionar.</w:t>
      </w:r>
    </w:p>
    <w:p>
      <w:pPr>
        <w:pStyle w:val="Fuente"/>
      </w:pPr>
      <w:r>
        <w:t xml:space="preserve">Senge · «faster is slower»</w:t>
      </w:r>
    </w:p>
    <w:p>
      <w:pPr>
        <w:pStyle w:val="Heading3"/>
      </w:pPr>
      <w:r>
        <w:t xml:space="preserve">4.7-A7</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a) Considerar las consecuencias de largo plazo e imprevistas</w:t>
            </w:r>
          </w:p>
        </w:tc>
      </w:tr>
    </w:tbl>
    <w:p>
      <w:pPr>
        <w:pStyle w:val="Normal"/>
      </w:pPr>
      <w:r>
        <w:t xml:space="preserve">Quedarse con el buen resultado inmediato ignora el hábito 10: toda acción tiene consecuencias de corto plazo, de largo plazo e imprevistas, y la buena decisión mira la trayectoria completa.</w:t>
      </w:r>
    </w:p>
    <w:p>
      <w:pPr>
        <w:pStyle w:val="Fuente"/>
      </w:pPr>
      <w:r>
        <w:t xml:space="preserve">Waters Center · Hábito 10</w:t>
      </w:r>
    </w:p>
    <w:p>
      <w:pPr>
        <w:pStyle w:val="Heading3"/>
      </w:pPr>
      <w:r>
        <w:t xml:space="preserve">4.7-A8</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a) Identificar el apalancamiento</w:t>
            </w:r>
          </w:p>
        </w:tc>
      </w:tr>
    </w:tbl>
    <w:p>
      <w:pPr>
        <w:pStyle w:val="Normal"/>
      </w:pPr>
      <w:r>
        <w:t xml:space="preserve">Los puntos de apalancamiento son lugares de la estructura donde una intervención modesta reorienta el comportamiento del sistema entero. La simulación permite probar dónde intervenir antes de gastar recursos reales.</w:t>
      </w:r>
    </w:p>
    <w:p>
      <w:pPr>
        <w:pStyle w:val="Fuente"/>
      </w:pPr>
      <w:r>
        <w:t xml:space="preserve">Meadows · «Leverage Points»</w:t>
      </w:r>
    </w:p>
    <w:p>
      <w:pPr>
        <w:pStyle w:val="Heading3"/>
      </w:pPr>
      <w:r>
        <w:t xml:space="preserve">4.7-A9</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a) Puntos de referencia para lograr evaluar la mejora paulatina</w:t>
            </w:r>
          </w:p>
        </w:tc>
      </w:tr>
    </w:tbl>
    <w:p>
      <w:pPr>
        <w:pStyle w:val="Normal"/>
      </w:pPr>
      <w:r>
        <w:t xml:space="preserve">Entre sus preguntas: «¿Qué indicadores esperamos ver cuando buscamos el progreso?»</w:t>
      </w:r>
    </w:p>
    <w:p>
      <w:pPr>
        <w:pStyle w:val="Normal"/>
      </w:pPr>
      <w:r>
        <w:t xml:space="preserve">a) Correcto: es la definición de la tarjeta.</w:t>
      </w:r>
    </w:p>
    <w:p>
      <w:pPr>
        <w:pStyle w:val="Normal"/>
      </w:pPr>
      <w:r>
        <w:t xml:space="preserve">b) No: un buen plan es maleable y se refina.</w:t>
      </w:r>
    </w:p>
    <w:p>
      <w:pPr>
        <w:pStyle w:val="Normal"/>
      </w:pPr>
      <w:r>
        <w:t xml:space="preserve">c) No: el hábito pide examinar resultados y ajustar.</w:t>
      </w:r>
    </w:p>
    <w:p>
      <w:pPr>
        <w:pStyle w:val="Normal"/>
      </w:pPr>
      <w:r>
        <w:t xml:space="preserve">d) No: el fracaso es una oportunidad de mejorar.</w:t>
      </w:r>
    </w:p>
    <w:p>
      <w:pPr>
        <w:pStyle w:val="Fuente"/>
      </w:pPr>
      <w:r>
        <w:t xml:space="preserve">presentación 4b · pág. 31</w:t>
      </w:r>
    </w:p>
    <w:p>
      <w:pPr>
        <w:pStyle w:val="Heading3"/>
      </w:pPr>
      <w:r>
        <w:t xml:space="preserve">4.7-A10</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a) Diseñar un plan, implementar, evaluar, mejorar</w:t>
            </w:r>
          </w:p>
        </w:tc>
      </w:tr>
    </w:tbl>
    <w:p>
      <w:pPr>
        <w:pStyle w:val="Normal"/>
      </w:pPr>
      <w:r>
        <w:t xml:space="preserve">El ciclo es continuo: después de mejorar se vuelve a implementar y evaluar.</w:t>
      </w:r>
    </w:p>
    <w:p>
      <w:pPr>
        <w:pStyle w:val="Normal"/>
      </w:pPr>
      <w:r>
        <w:t xml:space="preserve">a) Correcto: adaptado del ciclo PDSA de Deming.</w:t>
      </w:r>
    </w:p>
    <w:p>
      <w:pPr>
        <w:pStyle w:val="Normal"/>
      </w:pPr>
      <w:r>
        <w:t xml:space="preserve">b) No: primero se diseña el plan.</w:t>
      </w:r>
    </w:p>
    <w:p>
      <w:pPr>
        <w:pStyle w:val="Normal"/>
      </w:pPr>
      <w:r>
        <w:t xml:space="preserve">c) No: la evaluación viene después de implementar.</w:t>
      </w:r>
    </w:p>
    <w:p>
      <w:pPr>
        <w:pStyle w:val="Normal"/>
      </w:pPr>
      <w:r>
        <w:t xml:space="preserve">d) No: se mejora después de evaluar.</w:t>
      </w:r>
    </w:p>
    <w:p>
      <w:pPr>
        <w:pStyle w:val="Fuente"/>
      </w:pPr>
      <w:r>
        <w:t xml:space="preserve">presentación 4b · pág. 35</w:t>
      </w:r>
    </w:p>
    <w:p>
      <w:pPr>
        <w:pStyle w:val="Heading3"/>
      </w:pPr>
      <w:r>
        <w:t xml:space="preserve">4.7-A11</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a) Los hábitos 1, 2, 3 y 4</w:t>
            </w:r>
          </w:p>
        </w:tc>
      </w:tr>
    </w:tbl>
    <w:p>
      <w:pPr>
        <w:pStyle w:val="Normal"/>
      </w:pPr>
      <w:r>
        <w:t xml:space="preserve">Las cuatro etapas: conciencia (1 a 4), comprensión (6 a 9), planificación y acción (10 a 13) y aproximación sucesiva (14).</w:t>
      </w:r>
    </w:p>
    <w:p>
      <w:pPr>
        <w:pStyle w:val="Normal"/>
      </w:pPr>
      <w:r>
        <w:t xml:space="preserve">a) Correcto: película completa, patrones, estructura y causalidad circular.</w:t>
      </w:r>
    </w:p>
    <w:p>
      <w:pPr>
        <w:pStyle w:val="Normal"/>
      </w:pPr>
      <w:r>
        <w:t xml:space="preserve">b) No: esos aumentan la comprensión del problema.</w:t>
      </w:r>
    </w:p>
    <w:p>
      <w:pPr>
        <w:pStyle w:val="Normal"/>
      </w:pPr>
      <w:r>
        <w:t xml:space="preserve">c) No: esos planifican y toman medidas.</w:t>
      </w:r>
    </w:p>
    <w:p>
      <w:pPr>
        <w:pStyle w:val="Normal"/>
      </w:pPr>
      <w:r>
        <w:t xml:space="preserve">d) No: ese se aplica una vez implementada la solución.</w:t>
      </w:r>
    </w:p>
    <w:p>
      <w:pPr>
        <w:pStyle w:val="Fuente"/>
      </w:pPr>
      <w:r>
        <w:t xml:space="preserve">presentación 4b · págs. 43 y 44</w:t>
      </w:r>
    </w:p>
    <w:p>
      <w:pPr>
        <w:pStyle w:val="Heading3"/>
      </w:pPr>
      <w:r>
        <w:t xml:space="preserve">4.7-A12</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a) El 5: hace conexiones significativas dentro y entre sistemas</w:t>
            </w:r>
          </w:p>
        </w:tc>
      </w:tr>
    </w:tbl>
    <w:p>
      <w:pPr>
        <w:pStyle w:val="Normal"/>
      </w:pPr>
      <w:r>
        <w:t xml:space="preserve">Las etapas reúnen trece hábitos; el de las conexiones significativas queda fuera.</w:t>
      </w:r>
    </w:p>
    <w:p>
      <w:pPr>
        <w:pStyle w:val="Normal"/>
      </w:pPr>
      <w:r>
        <w:t xml:space="preserve">a) Correcto: la presentación no lo ubica en ninguna.</w:t>
      </w:r>
    </w:p>
    <w:p>
      <w:pPr>
        <w:pStyle w:val="Normal"/>
      </w:pPr>
      <w:r>
        <w:t xml:space="preserve">b) No: es la cuarta etapa.</w:t>
      </w:r>
    </w:p>
    <w:p>
      <w:pPr>
        <w:pStyle w:val="Normal"/>
      </w:pPr>
      <w:r>
        <w:t xml:space="preserve">c) No: está en la tercera.</w:t>
      </w:r>
    </w:p>
    <w:p>
      <w:pPr>
        <w:pStyle w:val="Normal"/>
      </w:pPr>
      <w:r>
        <w:t xml:space="preserve">d) No: está en la primera.</w:t>
      </w:r>
    </w:p>
    <w:p>
      <w:pPr>
        <w:pStyle w:val="Fuente"/>
      </w:pPr>
      <w:r>
        <w:t xml:space="preserve">presentación 4b · págs. 44 a 47</w:t>
      </w:r>
    </w:p>
    <w:p>
      <w:pPr>
        <w:pStyle w:val="Heading3"/>
      </w:pPr>
      <w:r>
        <w:t xml:space="preserve">4.7-A13</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a) La habilidad y capacidad de una persona para fortalecerse y recuperarse bajo condiciones de enorme stress y cambio</w:t>
            </w:r>
          </w:p>
        </w:tc>
      </w:tr>
    </w:tbl>
    <w:p>
      <w:pPr>
        <w:pStyle w:val="Normal"/>
      </w:pPr>
      <w:r>
        <w:t xml:space="preserve">La lectura da tres definiciones: materiales, personas y empresas, que absorben cambios sin una caída significante en su calidad.</w:t>
      </w:r>
    </w:p>
    <w:p>
      <w:pPr>
        <w:pStyle w:val="Normal"/>
      </w:pPr>
      <w:r>
        <w:t xml:space="preserve">a) Correcto: es la definición para las personas.</w:t>
      </w:r>
    </w:p>
    <w:p>
      <w:pPr>
        <w:pStyle w:val="Normal"/>
      </w:pPr>
      <w:r>
        <w:t xml:space="preserve">b) No: esa es la definición técnica, para los materiales.</w:t>
      </w:r>
    </w:p>
    <w:p>
      <w:pPr>
        <w:pStyle w:val="Normal"/>
      </w:pPr>
      <w:r>
        <w:t xml:space="preserve">c) No: la resiliencia es fortalecerse ante el cambio, no evitarlo.</w:t>
      </w:r>
    </w:p>
    <w:p>
      <w:pPr>
        <w:pStyle w:val="Normal"/>
      </w:pPr>
      <w:r>
        <w:t xml:space="preserve">d) No: los objetivos futuros son uno de sus pilares.</w:t>
      </w:r>
    </w:p>
    <w:p>
      <w:pPr>
        <w:pStyle w:val="Fuente"/>
      </w:pPr>
      <w:r>
        <w:t xml:space="preserve">lectura L-20 · pág. 1</w:t>
      </w:r>
    </w:p>
    <w:p>
      <w:pPr>
        <w:pStyle w:val="Heading3"/>
      </w:pPr>
      <w:r>
        <w:t xml:space="preserve">4.7-A14</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a) Shock, parálisis, negación, ira, depresión, racionalización, aceptación y compromiso</w:t>
            </w:r>
          </w:p>
        </w:tc>
      </w:tr>
    </w:tbl>
    <w:p>
      <w:pPr>
        <w:pStyle w:val="Normal"/>
      </w:pPr>
      <w:r>
        <w:t xml:space="preserve">La racionalización es una de las etapas más peligrosas; con feedback permanente se evitan los retrocesos.</w:t>
      </w:r>
    </w:p>
    <w:p>
      <w:pPr>
        <w:pStyle w:val="Normal"/>
      </w:pPr>
      <w:r>
        <w:t xml:space="preserve">a) Correcto: es la secuencia de la lectura y de la presentación.</w:t>
      </w:r>
    </w:p>
    <w:p>
      <w:pPr>
        <w:pStyle w:val="Normal"/>
      </w:pPr>
      <w:r>
        <w:t xml:space="preserve">b) No: el cambio empieza con un shock.</w:t>
      </w:r>
    </w:p>
    <w:p>
      <w:pPr>
        <w:pStyle w:val="Normal"/>
      </w:pPr>
      <w:r>
        <w:t xml:space="preserve">c) No: la aceptación es la culminación.</w:t>
      </w:r>
    </w:p>
    <w:p>
      <w:pPr>
        <w:pStyle w:val="Normal"/>
      </w:pPr>
      <w:r>
        <w:t xml:space="preserve">d) No: tras el shock viene la parálisis.</w:t>
      </w:r>
    </w:p>
    <w:p>
      <w:pPr>
        <w:pStyle w:val="Fuente"/>
      </w:pPr>
      <w:r>
        <w:t xml:space="preserve">presentación 4b · pág. 40 · lectura L-20</w:t>
      </w:r>
    </w:p>
    <w:p>
      <w:pPr>
        <w:pStyle w:val="Heading3"/>
      </w:pPr>
      <w:r>
        <w:t xml:space="preserve">4.7-A15</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a) Aumentar la comprensión con otras perspectivas, supuestos y modelos mentales</w:t>
            </w:r>
          </w:p>
        </w:tc>
      </w:tr>
    </w:tbl>
    <w:p>
      <w:pPr>
        <w:pStyle w:val="Normal"/>
      </w:pPr>
      <w:r>
        <w:t xml:space="preserve">La segunda etapa profundiza la primera aproximación. Otras perspectivas y la revisión de supuestos enriquecen la comprensión antes de intervenir.</w:t>
      </w:r>
    </w:p>
    <w:p>
      <w:pPr>
        <w:pStyle w:val="Fuente"/>
      </w:pPr>
      <w:r>
        <w:t xml:space="preserve">Clase 24 · capítulo 02 · /clase-24#cap-02 · pregunta original del portal</w:t>
      </w:r>
    </w:p>
    <w:p>
      <w:pPr>
        <w:pStyle w:val="Heading3"/>
      </w:pPr>
      <w:r>
        <w:t xml:space="preserve">4.7-A16</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b) El 5: conexiones significativas dentro y entre sistemas</w:t>
            </w:r>
          </w:p>
        </w:tc>
      </w:tr>
    </w:tbl>
    <w:p>
      <w:pPr>
        <w:pStyle w:val="Normal"/>
      </w:pPr>
      <w:r>
        <w:t xml:space="preserve">Las láminas agrupan 1–4, 6–9, 10–13 y 14. No ubican el hábito 5; reconocer esa omisión evita inventar una asignación.</w:t>
      </w:r>
    </w:p>
    <w:p>
      <w:pPr>
        <w:pStyle w:val="Fuente"/>
      </w:pPr>
      <w:r>
        <w:t xml:space="preserve">Clase 24 · capítulo 02 · /clase-24#cap-02 · pregunta original del portal</w:t>
      </w:r>
    </w:p>
    <w:p>
      <w:pPr>
        <w:pStyle w:val="Heading3"/>
      </w:pPr>
      <w:r>
        <w:t xml:space="preserve">4.7-A17</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c) Se observan resultados y se ajusta el plan con referencias</w:t>
            </w:r>
          </w:p>
        </w:tc>
      </w:tr>
    </w:tbl>
    <w:p>
      <w:pPr>
        <w:pStyle w:val="Normal"/>
      </w:pPr>
      <w:r>
        <w:t xml:space="preserve">El cuarto grupo mantiene activo el aprendizaje y permite volver a acciones previas. Las demoras exigen seguimiento y los resultados permiten revisar el plan.</w:t>
      </w:r>
    </w:p>
    <w:p>
      <w:pPr>
        <w:pStyle w:val="Fuente"/>
      </w:pPr>
      <w:r>
        <w:t xml:space="preserve">Clase 24 · capítulo 02 · /clase-24#cap-02 · pregunta original del portal</w:t>
      </w:r>
    </w:p>
    <w:p>
      <w:pPr>
        <w:pStyle w:val="Heading3"/>
      </w:pPr>
      <w:r>
        <w:t xml:space="preserve">4.7-A18</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c) Planificar, implementar, evaluar y mejorar</w:t>
            </w:r>
          </w:p>
        </w:tc>
      </w:tr>
    </w:tbl>
    <w:p>
      <w:pPr>
        <w:pStyle w:val="Normal"/>
      </w:pPr>
      <w:r>
        <w:t xml:space="preserve">Los cuatro pasos forman un ciclo de aprendizaje que puede repetirse con ajustes basados en resultados.</w:t>
      </w:r>
    </w:p>
    <w:p>
      <w:pPr>
        <w:pStyle w:val="Fuente"/>
      </w:pPr>
      <w:r>
        <w:t xml:space="preserve">Clase 23 · capítulo 09 · /clase-23#cap-09</w:t>
      </w:r>
    </w:p>
    <w:p>
      <w:pPr>
        <w:pStyle w:val="Heading3"/>
      </w:pPr>
      <w:r>
        <w:t xml:space="preserve">4.7-A19</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w:t>
            </w:r>
          </w:p>
          <w:p>
            <w:pPr>
              <w:pStyle w:val="Recuadro"/>
            </w:pPr>
            <w:r>
              <w:t xml:space="preserve">b) Recuperarse y adaptar el camino hacia un objetivo ante dificultades</w:t>
            </w:r>
          </w:p>
        </w:tc>
      </w:tr>
    </w:tbl>
    <w:p>
      <w:pPr>
        <w:pStyle w:val="Normal"/>
      </w:pPr>
      <w:r>
        <w:t xml:space="preserve">La sesión vincula realidad, objetivos, sentido y recursos; la recuperación no elimina el análisis ni los riesgos.</w:t>
      </w:r>
    </w:p>
    <w:p>
      <w:pPr>
        <w:pStyle w:val="Fuente"/>
      </w:pPr>
      <w:r>
        <w:t xml:space="preserve">Clase 23 · capítulo 10 · /clase-23#cap-10</w:t>
      </w:r>
    </w:p>
    <w:p>
      <w:pPr>
        <w:pStyle w:val="Heading3"/>
      </w:pPr>
      <w:bookmarkStart w:name="b_solucion_ej_H01" w:id="5347"/>
      <w:r>
        <w:t xml:space="preserve">Solución 4.7-E1</w:t>
      </w:r>
      <w:bookmarkEnd w:id="5347"/>
    </w:p>
    <w:p>
      <w:pPr>
        <w:pStyle w:val="RecuadroTitulo"/>
      </w:pPr>
      <w:r>
        <w:t xml:space="preserve">Respuesta modelo</w:t>
      </w:r>
    </w:p>
    <w:p>
      <w:pPr>
        <w:pStyle w:val="Normal"/>
      </w:pPr>
      <w:r>
        <w:t xml:space="preserve">A etapa 3, planificación y acción con atención a la demora; B etapa 4, revisión y aproximación sucesiva. Un día no permite observar el efecto esperado a tres semanas. La demora no garantiza que el plan funcione: monitorear señales y evaluar con una referencia apropiada.</w:t>
      </w:r>
    </w:p>
    <w:p>
      <w:pPr>
        <w:pStyle w:val="Fuente"/>
      </w:pPr>
      <w:r>
        <w:t xml:space="preserve">Compendio académico del portal; ejercicio editorial.</w:t>
      </w:r>
    </w:p>
    <w:p>
      <w:pPr>
        <w:pStyle w:val="Heading3"/>
      </w:pPr>
      <w:bookmarkStart w:name="b_solucion_ej_H02" w:id="5348"/>
      <w:r>
        <w:t xml:space="preserve">Solución 4.7-E2</w:t>
      </w:r>
      <w:bookmarkEnd w:id="5348"/>
    </w:p>
    <w:p>
      <w:pPr>
        <w:pStyle w:val="RecuadroTitulo"/>
      </w:pPr>
      <w:r>
        <w:t xml:space="preserve">Respuesta modelo</w:t>
      </w:r>
    </w:p>
    <w:p>
      <w:pPr>
        <w:pStyle w:val="Normal"/>
      </w:pPr>
      <w:r>
        <w:t xml:space="preserve">8 comprender y resistir conclusiones;10 apalancamiento;11 consecuencias;12 acumulaciones/tasas;14 revisar y ajustar. Exigir relación con la conducta, no solo memorizar números.</w:t>
      </w:r>
    </w:p>
    <w:p>
      <w:pPr>
        <w:pStyle w:val="Fuente"/>
      </w:pPr>
      <w:r>
        <w:t xml:space="preserve">Compendio académico del portal; ejercicio editorial.</w:t>
      </w:r>
    </w:p>
    <w:p>
      <w:pPr>
        <w:pStyle w:val="Heading3"/>
      </w:pPr>
      <w:bookmarkStart w:name="b_solucion_ej_H03" w:id="5349"/>
      <w:r>
        <w:t xml:space="preserve">Solución 4.7-E3</w:t>
      </w:r>
      <w:bookmarkEnd w:id="5349"/>
    </w:p>
    <w:p>
      <w:pPr>
        <w:pStyle w:val="RecuadroTitulo"/>
      </w:pPr>
      <w:r>
        <w:t xml:space="preserve">Respuesta modelo</w:t>
      </w:r>
    </w:p>
    <w:p>
      <w:pPr>
        <w:pStyle w:val="Normal"/>
      </w:pPr>
      <w:r>
        <w:t xml:space="preserve">Conciencia 1–4; comprensión 6–9; planificar/actuar 10–13; posterior 14. El 5 no está asignado en las láminas. Las unidades agrupan hábitos según contenido; las etapas según función al resolver un problema.</w:t>
      </w:r>
    </w:p>
    <w:p>
      <w:pPr>
        <w:pStyle w:val="Fuente"/>
      </w:pPr>
      <w:r>
        <w:t xml:space="preserve">Compendio académico del portal; ejercicio editorial.</w:t>
      </w:r>
    </w:p>
    <w:p>
      <w:pPr>
        <w:pStyle w:val="Heading3"/>
      </w:pPr>
      <w:bookmarkStart w:name="b_solucion_ej_H04" w:id="5350"/>
      <w:r>
        <w:t xml:space="preserve">Solución 4.7-E4</w:t>
      </w:r>
      <w:bookmarkEnd w:id="5350"/>
    </w:p>
    <w:p>
      <w:pPr>
        <w:pStyle w:val="RecuadroTitulo"/>
      </w:pPr>
      <w:r>
        <w:t xml:space="preserve">Respuesta modelo</w:t>
      </w:r>
    </w:p>
    <w:p>
      <w:pPr>
        <w:pStyle w:val="Normal"/>
      </w:pPr>
      <w:r>
        <w:t xml:space="preserve">Diseñar→implementar→evaluar→mejorar. Revisar demora, supuestos, implementación, causas e indicadores. Ajustar cuando corresponda; un cambio prematuro puede sobrecorregir. También puede mantenerse un plan que funciona o reconsiderarse uno inviable.</w:t>
      </w:r>
    </w:p>
    <w:p>
      <w:pPr>
        <w:pStyle w:val="Fuente"/>
      </w:pPr>
      <w:r>
        <w:t xml:space="preserve">Compendio académico del portal; ejercicio editorial.</w:t>
      </w:r>
    </w:p>
    <w:p>
      <w:pPr>
        <w:pStyle w:val="Heading3"/>
      </w:pPr>
      <w:bookmarkStart w:name="b_solucion_ej_H05" w:id="5351"/>
      <w:r>
        <w:t xml:space="preserve">Solución 4.7-E5</w:t>
      </w:r>
      <w:bookmarkEnd w:id="5351"/>
    </w:p>
    <w:p>
      <w:pPr>
        <w:pStyle w:val="RecuadroTitulo"/>
      </w:pPr>
      <w:r>
        <w:t xml:space="preserve">Respuesta modelo</w:t>
      </w:r>
    </w:p>
    <w:p>
      <w:pPr>
        <w:pStyle w:val="Normal"/>
      </w:pPr>
      <w:r>
        <w:t xml:space="preserve">Recursos y condiciones reales: enfrentar realidad; servicio deseado: objetivo futuro; valor comunitario: sentido; reorganización con lo disponible: hacer con recursos. Se relacionan por proceso, feedback y entorno.</w:t>
      </w:r>
    </w:p>
    <w:p>
      <w:pPr>
        <w:pStyle w:val="Fuente"/>
      </w:pPr>
      <w:r>
        <w:t xml:space="preserve">Compendio académico del portal; ejercicio editorial.</w:t>
      </w:r>
    </w:p>
    <w:p>
      <w:pPr>
        <w:pStyle w:val="Heading3"/>
      </w:pPr>
      <w:bookmarkStart w:name="b_solucion_ej_H06" w:id="5352"/>
      <w:r>
        <w:t xml:space="preserve">Solución 4.7-E6</w:t>
      </w:r>
      <w:bookmarkEnd w:id="5352"/>
    </w:p>
    <w:p>
      <w:pPr>
        <w:pStyle w:val="RecuadroTitulo"/>
      </w:pPr>
      <w:r>
        <w:t xml:space="preserve">Respuesta modelo</w:t>
      </w:r>
    </w:p>
    <w:p>
      <w:pPr>
        <w:pStyle w:val="Normal"/>
      </w:pPr>
      <w:r>
        <w:t xml:space="preserve">A: objetivos/mañana; B: feedback; C: hoy; D: proceso; E: entorno. Indicadores de resultados, no solo tareas completadas. Conservar las letras de la figura del curso.</w:t>
      </w:r>
    </w:p>
    <w:p>
      <w:pPr>
        <w:pStyle w:val="Fuente"/>
      </w:pPr>
      <w:r>
        <w:t xml:space="preserve">Compendio académico del portal; ejercicio editorial.</w:t>
      </w:r>
    </w:p>
    <w:p>
      <w:pPr>
        <w:pStyle w:val="Heading3"/>
      </w:pPr>
      <w:bookmarkStart w:name="b_solucion_ej_H07" w:id="5353"/>
      <w:r>
        <w:t xml:space="preserve">Solución 4.7-E7</w:t>
      </w:r>
      <w:bookmarkEnd w:id="5353"/>
    </w:p>
    <w:p>
      <w:pPr>
        <w:pStyle w:val="RecuadroTitulo"/>
      </w:pPr>
      <w:r>
        <w:t xml:space="preserve">Respuesta modelo</w:t>
      </w:r>
    </w:p>
    <w:p>
      <w:pPr>
        <w:pStyle w:val="Normal"/>
      </w:pPr>
      <w:r>
        <w:t xml:space="preserve">Concentración; flexibilidad; organización; proactividad; adaptación; actitud positiva. Ejemplos de flexibilidad y adaptación pueden superponerse si se explica el énfasis de cada una.</w:t>
      </w:r>
    </w:p>
    <w:p>
      <w:pPr>
        <w:pStyle w:val="Fuente"/>
      </w:pPr>
      <w:r>
        <w:t xml:space="preserve">Compendio académico del portal; ejercicio editorial.</w:t>
      </w:r>
    </w:p>
    <w:p>
      <w:pPr>
        <w:pStyle w:val="Heading3"/>
      </w:pPr>
      <w:bookmarkStart w:name="b_solucion_ej_H08" w:id="5354"/>
      <w:r>
        <w:t xml:space="preserve">Solución 4.7-E8</w:t>
      </w:r>
      <w:bookmarkEnd w:id="5354"/>
    </w:p>
    <w:p>
      <w:pPr>
        <w:pStyle w:val="RecuadroTitulo"/>
      </w:pPr>
      <w:r>
        <w:t xml:space="preserve">Respuesta modelo</w:t>
      </w:r>
    </w:p>
    <w:p>
      <w:pPr>
        <w:pStyle w:val="Normal"/>
      </w:pPr>
      <w:r>
        <w:t xml:space="preserve">En ese esquema, racionalizar puede justificar inacción y alejar de la situación real. No convierte el razonamiento en un defecto ni establece una secuencia universal o diagnóstico psicológico.</w:t>
      </w:r>
    </w:p>
    <w:p>
      <w:pPr>
        <w:pStyle w:val="Fuente"/>
      </w:pPr>
      <w:r>
        <w:t xml:space="preserve">Compendio académico del portal; ejercicio editorial.</w:t>
      </w:r>
    </w:p>
    <w:p>
      <w:pPr>
        <w:pStyle w:val="Heading3"/>
      </w:pPr>
      <w:bookmarkStart w:name="b_solucion_ej_H09" w:id="5355"/>
      <w:r>
        <w:t xml:space="preserve">Solución 4.7-E9</w:t>
      </w:r>
      <w:bookmarkEnd w:id="5355"/>
    </w:p>
    <w:p>
      <w:pPr>
        <w:pStyle w:val="RecuadroTitulo"/>
      </w:pPr>
      <w:r>
        <w:t xml:space="preserve">Respuesta modelo</w:t>
      </w:r>
    </w:p>
    <w:p>
      <w:pPr>
        <w:pStyle w:val="Normal"/>
      </w:pPr>
      <w:r>
        <w:t xml:space="preserve">Diseño: diagnóstico, valores, objetivos, roles, modelo de seguimiento, presentación del proceso. Implementación: desarrollar habilidades, obtener feedback, analizar alternativas y entorno, acompañar ajustes, mantener seguimiento. Pedir al menos tres de cada grupo con su propósito.</w:t>
      </w:r>
    </w:p>
    <w:p>
      <w:pPr>
        <w:pStyle w:val="Fuente"/>
      </w:pPr>
      <w:r>
        <w:t xml:space="preserve">Compendio académico del portal; ejercicio editorial.</w:t>
      </w:r>
    </w:p>
    <w:p>
      <w:pPr>
        <w:pStyle w:val="Heading3"/>
      </w:pPr>
      <w:bookmarkStart w:name="b_solucion_ej_H10" w:id="5356"/>
      <w:r>
        <w:t xml:space="preserve">Solución 4.7-E10</w:t>
      </w:r>
      <w:bookmarkEnd w:id="5356"/>
    </w:p>
    <w:p>
      <w:pPr>
        <w:pStyle w:val="RecuadroTitulo"/>
      </w:pPr>
      <w:r>
        <w:t xml:space="preserve">Respuesta modelo</w:t>
      </w:r>
    </w:p>
    <w:p>
      <w:pPr>
        <w:pStyle w:val="Normal"/>
      </w:pPr>
      <w:r>
        <w:t xml:space="preserve">Valorar que se examine el patrón y los flujos, se escuchen perspectivas y prueben supuestos, se compare capacidad con duplicación u otras causas, se proponga una palanca justificada y se definan indicadores y tiempos. Una respuesta sistémica contempla revisión y recursos ante dificultades; no impone una solución antes del diagnóstico.</w:t>
      </w:r>
    </w:p>
    <w:p>
      <w:pPr>
        <w:pStyle w:val="Fuente"/>
        <w:sectPr>
          <w:headerReference w:type="default" r:id="rId258"/>
          <w:headerReference w:type="first" r:id="rId259"/>
          <w:headerReference w:type="even" r:id="rId260"/>
          <w:footerReference w:type="default" r:id="rId261"/>
          <w:footerReference w:type="first" r:id="rId262"/>
          <w:footerReference w:type="even" r:id="rId263"/>
          <w:type w:val="nextPage"/>
          <w:pgSz w:w="12240" w:h="15840" w:orient="portrait"/>
          <w:pgMar w:top="1361" w:right="1134" w:bottom="1361" w:left="1474" w:header="650" w:footer="680" w:gutter="0"/>
          <w:pgNumType/>
          <w:titlePg/>
          <w:docGrid w:linePitch="360"/>
        </w:sectPr>
      </w:pPr>
      <w:r>
        <w:t xml:space="preserve">Compendio académico del portal; ejercicio editorial.</w:t>
      </w:r>
    </w:p>
    <w:p>
      <w:pPr>
        <w:pStyle w:val="Heading1"/>
      </w:pPr>
      <w:bookmarkStart w:name="b_examenes" w:id="5357"/>
      <w:r>
        <w:t xml:space="preserve">Parte V · Exámenes resueltos</w:t>
      </w:r>
      <w:bookmarkEnd w:id="5357"/>
    </w:p>
    <w:p>
      <w:pPr>
        <w:pStyle w:val="Normal"/>
        <w:sectPr>
          <w:headerReference w:type="default" r:id="rId264"/>
          <w:headerReference w:type="first" r:id="rId265"/>
          <w:headerReference w:type="even" r:id="rId266"/>
          <w:footerReference w:type="default" r:id="rId267"/>
          <w:footerReference w:type="first" r:id="rId268"/>
          <w:footerReference w:type="even" r:id="rId269"/>
          <w:type w:val="nextPage"/>
          <w:pgSz w:w="12240" w:h="15840" w:orient="portrait"/>
          <w:pgMar w:top="1361" w:right="1134" w:bottom="1361" w:left="1474" w:header="650" w:footer="680" w:gutter="0"/>
          <w:pgNumType/>
          <w:titlePg/>
          <w:docGrid w:linePitch="360"/>
        </w:sectPr>
      </w:pPr>
      <w:r>
        <w:t xml:space="preserve">Cada pregunta se presenta seguida de su resolución. Antes de leerla, identifique los datos, construya su respuesta y compruebe después el procedimiento y sus límites. Las claves oficiales y las reconstrucciones se distinguen expresamente.</w:t>
      </w:r>
    </w:p>
    <w:p>
      <w:pPr>
        <w:pStyle w:val="Heading2"/>
      </w:pPr>
      <w:bookmarkStart w:name="b_ex_p1" w:id="5358"/>
      <w:r>
        <w:t xml:space="preserve">Primer parcial reconstruido y resuelto</w:t>
      </w:r>
      <w:bookmarkEnd w:id="5358"/>
    </w:p>
    <w:p>
      <w:pPr>
        <w:pStyle w:val="Normal"/>
      </w:pPr>
      <w:r>
        <w:t xml:space="preserve">Treinta preguntas reconstruidas en un documento externo. La clave y la defensa no son una corrección oficial del catedrático.</w:t>
      </w:r>
    </w:p>
    <w:p>
      <w:pPr>
        <w:pStyle w:val="Heading3"/>
      </w:pPr>
      <w:r>
        <w:t xml:space="preserve">Clave rápida</w:t>
      </w:r>
    </w:p>
    <w:tbl>
      <w:tblPr>
        <w:tblW w:type="dxa" w:w="9632"/>
        <w:tblBorders>
          <w:top w:val="single" w:color="C5D5DB" w:sz="4"/>
          <w:left w:val="single" w:color="C5D5DB" w:sz="4"/>
          <w:bottom w:val="single" w:color="C5D5DB" w:sz="4"/>
          <w:right w:val="single" w:color="C5D5DB" w:sz="4"/>
          <w:insideH w:val="single" w:color="E4E9EB" w:sz="3"/>
          <w:insideV w:val="single" w:color="E4E9EB" w:sz="3"/>
        </w:tblBorders>
        <w:tblLayout w:type="fixed"/>
      </w:tblPr>
      <w:tblGrid>
        <w:gridCol w:w="4816"/>
        <w:gridCol w:w="4816"/>
      </w:tblGrid>
      <w:tr>
        <w:trPr>
          <w:cantSplit/>
          <w:tblHeader/>
        </w:trPr>
        <w:tc>
          <w:tcPr>
            <w:tcW w:type="dxa" w:w="4816"/>
            <w:shd w:fill="DFEAF0" w:val="clear"/>
            <w:tcMar>
              <w:top w:type="dxa" w:w="80"/>
              <w:left w:type="dxa" w:w="100"/>
              <w:bottom w:type="dxa" w:w="80"/>
              <w:right w:type="dxa" w:w="100"/>
            </w:tcMar>
          </w:tcPr>
          <w:p>
            <w:pPr>
              <w:pStyle w:val="Tabla"/>
            </w:pPr>
            <w:r>
              <w:rPr>
                <w:b/>
                <w:bCs/>
              </w:rPr>
              <w:t xml:space="preserve">Pregunta</w:t>
            </w:r>
          </w:p>
        </w:tc>
        <w:tc>
          <w:tcPr>
            <w:tcW w:type="dxa" w:w="4816"/>
            <w:shd w:fill="DFEAF0" w:val="clear"/>
            <w:tcMar>
              <w:top w:type="dxa" w:w="80"/>
              <w:left w:type="dxa" w:w="100"/>
              <w:bottom w:type="dxa" w:w="80"/>
              <w:right w:type="dxa" w:w="100"/>
            </w:tcMar>
          </w:tcPr>
          <w:p>
            <w:pPr>
              <w:pStyle w:val="Tabla"/>
            </w:pPr>
            <w:r>
              <w:rPr>
                <w:b/>
                <w:bCs/>
              </w:rPr>
              <w:t xml:space="preserve">Clave o tipo de respuesta</w:t>
            </w:r>
          </w:p>
        </w:tc>
      </w:tr>
      <w:tr>
        <w:trPr>
          <w:cantSplit/>
          <w:tblHeader w:val="off"/>
        </w:trPr>
        <w:tc>
          <w:tcPr>
            <w:tcW w:type="dxa" w:w="4816"/>
            <w:tcMar>
              <w:top w:type="dxa" w:w="80"/>
              <w:left w:type="dxa" w:w="100"/>
              <w:bottom w:type="dxa" w:w="80"/>
              <w:right w:type="dxa" w:w="100"/>
            </w:tcMar>
          </w:tcPr>
          <w:p>
            <w:pPr>
              <w:pStyle w:val="Tabla"/>
            </w:pPr>
            <w:r>
              <w:t xml:space="preserve">1</w:t>
            </w:r>
          </w:p>
        </w:tc>
        <w:tc>
          <w:tcPr>
            <w:tcW w:type="dxa" w:w="4816"/>
            <w:tcMar>
              <w:top w:type="dxa" w:w="80"/>
              <w:left w:type="dxa" w:w="100"/>
              <w:bottom w:type="dxa" w:w="80"/>
              <w:right w:type="dxa" w:w="100"/>
            </w:tcMar>
          </w:tcPr>
          <w:p>
            <w:pPr>
              <w:pStyle w:val="Tabla"/>
            </w:pPr>
            <w:r>
              <w:t xml:space="preserve">a) Sistema de actividad humana; d) Sistema natural</w:t>
            </w:r>
          </w:p>
        </w:tc>
      </w:tr>
      <w:tr>
        <w:trPr>
          <w:cantSplit/>
          <w:tblHeader w:val="off"/>
        </w:trPr>
        <w:tc>
          <w:tcPr>
            <w:tcW w:type="dxa" w:w="4816"/>
            <w:tcMar>
              <w:top w:type="dxa" w:w="80"/>
              <w:left w:type="dxa" w:w="100"/>
              <w:bottom w:type="dxa" w:w="80"/>
              <w:right w:type="dxa" w:w="100"/>
            </w:tcMar>
          </w:tcPr>
          <w:p>
            <w:pPr>
              <w:pStyle w:val="Tabla"/>
            </w:pPr>
            <w:r>
              <w:t xml:space="preserve">2</w:t>
            </w:r>
          </w:p>
        </w:tc>
        <w:tc>
          <w:tcPr>
            <w:tcW w:type="dxa" w:w="4816"/>
            <w:tcMar>
              <w:top w:type="dxa" w:w="80"/>
              <w:left w:type="dxa" w:w="100"/>
              <w:bottom w:type="dxa" w:w="80"/>
              <w:right w:type="dxa" w:w="100"/>
            </w:tcMar>
          </w:tcPr>
          <w:p>
            <w:pPr>
              <w:pStyle w:val="Tabla"/>
            </w:pPr>
            <w:r>
              <w:t xml:space="preserve">Desarrollo: respuesta modelo y rúbrica a continuación</w:t>
            </w:r>
          </w:p>
        </w:tc>
      </w:tr>
      <w:tr>
        <w:trPr>
          <w:cantSplit/>
          <w:tblHeader w:val="off"/>
        </w:trPr>
        <w:tc>
          <w:tcPr>
            <w:tcW w:type="dxa" w:w="4816"/>
            <w:tcMar>
              <w:top w:type="dxa" w:w="80"/>
              <w:left w:type="dxa" w:w="100"/>
              <w:bottom w:type="dxa" w:w="80"/>
              <w:right w:type="dxa" w:w="100"/>
            </w:tcMar>
          </w:tcPr>
          <w:p>
            <w:pPr>
              <w:pStyle w:val="Tabla"/>
            </w:pPr>
            <w:r>
              <w:t xml:space="preserve">3</w:t>
            </w:r>
          </w:p>
        </w:tc>
        <w:tc>
          <w:tcPr>
            <w:tcW w:type="dxa" w:w="4816"/>
            <w:tcMar>
              <w:top w:type="dxa" w:w="80"/>
              <w:left w:type="dxa" w:w="100"/>
              <w:bottom w:type="dxa" w:w="80"/>
              <w:right w:type="dxa" w:w="100"/>
            </w:tcMar>
          </w:tcPr>
          <w:p>
            <w:pPr>
              <w:pStyle w:val="Tabla"/>
            </w:pPr>
            <w:r>
              <w:t xml:space="preserve">c) Pensamiento metacognitivo</w:t>
            </w:r>
          </w:p>
        </w:tc>
      </w:tr>
      <w:tr>
        <w:trPr>
          <w:cantSplit/>
          <w:tblHeader w:val="off"/>
        </w:trPr>
        <w:tc>
          <w:tcPr>
            <w:tcW w:type="dxa" w:w="4816"/>
            <w:tcMar>
              <w:top w:type="dxa" w:w="80"/>
              <w:left w:type="dxa" w:w="100"/>
              <w:bottom w:type="dxa" w:w="80"/>
              <w:right w:type="dxa" w:w="100"/>
            </w:tcMar>
          </w:tcPr>
          <w:p>
            <w:pPr>
              <w:pStyle w:val="Tabla"/>
            </w:pPr>
            <w:r>
              <w:t xml:space="preserve">4</w:t>
            </w:r>
          </w:p>
        </w:tc>
        <w:tc>
          <w:tcPr>
            <w:tcW w:type="dxa" w:w="4816"/>
            <w:tcMar>
              <w:top w:type="dxa" w:w="80"/>
              <w:left w:type="dxa" w:w="100"/>
              <w:bottom w:type="dxa" w:w="80"/>
              <w:right w:type="dxa" w:w="100"/>
            </w:tcMar>
          </w:tcPr>
          <w:p>
            <w:pPr>
              <w:pStyle w:val="Tabla"/>
            </w:pPr>
            <w:r>
              <w:t xml:space="preserve">d) Siempre hay un paradigma correcto</w:t>
            </w:r>
          </w:p>
        </w:tc>
      </w:tr>
      <w:tr>
        <w:trPr>
          <w:cantSplit/>
          <w:tblHeader w:val="off"/>
        </w:trPr>
        <w:tc>
          <w:tcPr>
            <w:tcW w:type="dxa" w:w="4816"/>
            <w:tcMar>
              <w:top w:type="dxa" w:w="80"/>
              <w:left w:type="dxa" w:w="100"/>
              <w:bottom w:type="dxa" w:w="80"/>
              <w:right w:type="dxa" w:w="100"/>
            </w:tcMar>
          </w:tcPr>
          <w:p>
            <w:pPr>
              <w:pStyle w:val="Tabla"/>
            </w:pPr>
            <w:r>
              <w:t xml:space="preserve">5</w:t>
            </w:r>
          </w:p>
        </w:tc>
        <w:tc>
          <w:tcPr>
            <w:tcW w:type="dxa" w:w="4816"/>
            <w:tcMar>
              <w:top w:type="dxa" w:w="80"/>
              <w:left w:type="dxa" w:w="100"/>
              <w:bottom w:type="dxa" w:w="80"/>
              <w:right w:type="dxa" w:w="100"/>
            </w:tcMar>
          </w:tcPr>
          <w:p>
            <w:pPr>
              <w:pStyle w:val="Tabla"/>
            </w:pPr>
            <w:r>
              <w:t xml:space="preserve">b) A nivel de los modelos mentales</w:t>
            </w:r>
          </w:p>
        </w:tc>
      </w:tr>
      <w:tr>
        <w:trPr>
          <w:cantSplit/>
          <w:tblHeader w:val="off"/>
        </w:trPr>
        <w:tc>
          <w:tcPr>
            <w:tcW w:type="dxa" w:w="4816"/>
            <w:tcMar>
              <w:top w:type="dxa" w:w="80"/>
              <w:left w:type="dxa" w:w="100"/>
              <w:bottom w:type="dxa" w:w="80"/>
              <w:right w:type="dxa" w:w="100"/>
            </w:tcMar>
          </w:tcPr>
          <w:p>
            <w:pPr>
              <w:pStyle w:val="Tabla"/>
            </w:pPr>
            <w:r>
              <w:t xml:space="preserve">6</w:t>
            </w:r>
          </w:p>
        </w:tc>
        <w:tc>
          <w:tcPr>
            <w:tcW w:type="dxa" w:w="4816"/>
            <w:tcMar>
              <w:top w:type="dxa" w:w="80"/>
              <w:left w:type="dxa" w:w="100"/>
              <w:bottom w:type="dxa" w:w="80"/>
              <w:right w:type="dxa" w:w="100"/>
            </w:tcMar>
          </w:tcPr>
          <w:p>
            <w:pPr>
              <w:pStyle w:val="Tabla"/>
            </w:pPr>
            <w:r>
              <w:t xml:space="preserve">c) Nuestra conducta</w:t>
            </w:r>
          </w:p>
        </w:tc>
      </w:tr>
      <w:tr>
        <w:trPr>
          <w:cantSplit/>
          <w:tblHeader w:val="off"/>
        </w:trPr>
        <w:tc>
          <w:tcPr>
            <w:tcW w:type="dxa" w:w="4816"/>
            <w:tcMar>
              <w:top w:type="dxa" w:w="80"/>
              <w:left w:type="dxa" w:w="100"/>
              <w:bottom w:type="dxa" w:w="80"/>
              <w:right w:type="dxa" w:w="100"/>
            </w:tcMar>
          </w:tcPr>
          <w:p>
            <w:pPr>
              <w:pStyle w:val="Tabla"/>
            </w:pPr>
            <w:r>
              <w:t xml:space="preserve">7</w:t>
            </w:r>
          </w:p>
        </w:tc>
        <w:tc>
          <w:tcPr>
            <w:tcW w:type="dxa" w:w="4816"/>
            <w:tcMar>
              <w:top w:type="dxa" w:w="80"/>
              <w:left w:type="dxa" w:w="100"/>
              <w:bottom w:type="dxa" w:w="80"/>
              <w:right w:type="dxa" w:w="100"/>
            </w:tcMar>
          </w:tcPr>
          <w:p>
            <w:pPr>
              <w:pStyle w:val="Tabla"/>
            </w:pPr>
            <w:r>
              <w:t xml:space="preserve">b) ¿Qué tan bien corresponde mi teoría con el comportamiento del sistema estudiado?</w:t>
            </w:r>
          </w:p>
        </w:tc>
      </w:tr>
      <w:tr>
        <w:trPr>
          <w:cantSplit/>
          <w:tblHeader w:val="off"/>
        </w:trPr>
        <w:tc>
          <w:tcPr>
            <w:tcW w:type="dxa" w:w="4816"/>
            <w:tcMar>
              <w:top w:type="dxa" w:w="80"/>
              <w:left w:type="dxa" w:w="100"/>
              <w:bottom w:type="dxa" w:w="80"/>
              <w:right w:type="dxa" w:w="100"/>
            </w:tcMar>
          </w:tcPr>
          <w:p>
            <w:pPr>
              <w:pStyle w:val="Tabla"/>
            </w:pPr>
            <w:r>
              <w:t xml:space="preserve">8</w:t>
            </w:r>
          </w:p>
        </w:tc>
        <w:tc>
          <w:tcPr>
            <w:tcW w:type="dxa" w:w="4816"/>
            <w:tcMar>
              <w:top w:type="dxa" w:w="80"/>
              <w:left w:type="dxa" w:w="100"/>
              <w:bottom w:type="dxa" w:w="80"/>
              <w:right w:type="dxa" w:w="100"/>
            </w:tcMar>
          </w:tcPr>
          <w:p>
            <w:pPr>
              <w:pStyle w:val="Tabla"/>
            </w:pPr>
            <w:r>
              <w:t xml:space="preserve">Desarrollo: respuesta modelo y rúbrica a continuación</w:t>
            </w:r>
          </w:p>
        </w:tc>
      </w:tr>
      <w:tr>
        <w:trPr>
          <w:cantSplit/>
          <w:tblHeader w:val="off"/>
        </w:trPr>
        <w:tc>
          <w:tcPr>
            <w:tcW w:type="dxa" w:w="4816"/>
            <w:tcMar>
              <w:top w:type="dxa" w:w="80"/>
              <w:left w:type="dxa" w:w="100"/>
              <w:bottom w:type="dxa" w:w="80"/>
              <w:right w:type="dxa" w:w="100"/>
            </w:tcMar>
          </w:tcPr>
          <w:p>
            <w:pPr>
              <w:pStyle w:val="Tabla"/>
            </w:pPr>
            <w:r>
              <w:t xml:space="preserve">9</w:t>
            </w:r>
          </w:p>
        </w:tc>
        <w:tc>
          <w:tcPr>
            <w:tcW w:type="dxa" w:w="4816"/>
            <w:tcMar>
              <w:top w:type="dxa" w:w="80"/>
              <w:left w:type="dxa" w:w="100"/>
              <w:bottom w:type="dxa" w:w="80"/>
              <w:right w:type="dxa" w:w="100"/>
            </w:tcMar>
          </w:tcPr>
          <w:p>
            <w:pPr>
              <w:pStyle w:val="Tabla"/>
            </w:pPr>
            <w:r>
              <w:t xml:space="preserve">b) Homeostasis</w:t>
            </w:r>
          </w:p>
        </w:tc>
      </w:tr>
      <w:tr>
        <w:trPr>
          <w:cantSplit/>
          <w:tblHeader w:val="off"/>
        </w:trPr>
        <w:tc>
          <w:tcPr>
            <w:tcW w:type="dxa" w:w="4816"/>
            <w:tcMar>
              <w:top w:type="dxa" w:w="80"/>
              <w:left w:type="dxa" w:w="100"/>
              <w:bottom w:type="dxa" w:w="80"/>
              <w:right w:type="dxa" w:w="100"/>
            </w:tcMar>
          </w:tcPr>
          <w:p>
            <w:pPr>
              <w:pStyle w:val="Tabla"/>
            </w:pPr>
            <w:r>
              <w:t xml:space="preserve">10</w:t>
            </w:r>
          </w:p>
        </w:tc>
        <w:tc>
          <w:tcPr>
            <w:tcW w:type="dxa" w:w="4816"/>
            <w:tcMar>
              <w:top w:type="dxa" w:w="80"/>
              <w:left w:type="dxa" w:w="100"/>
              <w:bottom w:type="dxa" w:w="80"/>
              <w:right w:type="dxa" w:w="100"/>
            </w:tcMar>
          </w:tcPr>
          <w:p>
            <w:pPr>
              <w:pStyle w:val="Tabla"/>
            </w:pPr>
            <w:r>
              <w:t xml:space="preserve">Desarrollo: respuesta modelo y rúbrica a continuación</w:t>
            </w:r>
          </w:p>
        </w:tc>
      </w:tr>
      <w:tr>
        <w:trPr>
          <w:cantSplit/>
          <w:tblHeader w:val="off"/>
        </w:trPr>
        <w:tc>
          <w:tcPr>
            <w:tcW w:type="dxa" w:w="4816"/>
            <w:tcMar>
              <w:top w:type="dxa" w:w="80"/>
              <w:left w:type="dxa" w:w="100"/>
              <w:bottom w:type="dxa" w:w="80"/>
              <w:right w:type="dxa" w:w="100"/>
            </w:tcMar>
          </w:tcPr>
          <w:p>
            <w:pPr>
              <w:pStyle w:val="Tabla"/>
            </w:pPr>
            <w:r>
              <w:t xml:space="preserve">11</w:t>
            </w:r>
          </w:p>
        </w:tc>
        <w:tc>
          <w:tcPr>
            <w:tcW w:type="dxa" w:w="4816"/>
            <w:tcMar>
              <w:top w:type="dxa" w:w="80"/>
              <w:left w:type="dxa" w:w="100"/>
              <w:bottom w:type="dxa" w:w="80"/>
              <w:right w:type="dxa" w:w="100"/>
            </w:tcMar>
          </w:tcPr>
          <w:p>
            <w:pPr>
              <w:pStyle w:val="Tabla"/>
            </w:pPr>
            <w:r>
              <w:t xml:space="preserve">a) Entrada del sistema</w:t>
            </w:r>
          </w:p>
        </w:tc>
      </w:tr>
      <w:tr>
        <w:trPr>
          <w:cantSplit/>
          <w:tblHeader w:val="off"/>
        </w:trPr>
        <w:tc>
          <w:tcPr>
            <w:tcW w:type="dxa" w:w="4816"/>
            <w:tcMar>
              <w:top w:type="dxa" w:w="80"/>
              <w:left w:type="dxa" w:w="100"/>
              <w:bottom w:type="dxa" w:w="80"/>
              <w:right w:type="dxa" w:w="100"/>
            </w:tcMar>
          </w:tcPr>
          <w:p>
            <w:pPr>
              <w:pStyle w:val="Tabla"/>
            </w:pPr>
            <w:r>
              <w:t xml:space="preserve">12</w:t>
            </w:r>
          </w:p>
        </w:tc>
        <w:tc>
          <w:tcPr>
            <w:tcW w:type="dxa" w:w="4816"/>
            <w:tcMar>
              <w:top w:type="dxa" w:w="80"/>
              <w:left w:type="dxa" w:w="100"/>
              <w:bottom w:type="dxa" w:w="80"/>
              <w:right w:type="dxa" w:w="100"/>
            </w:tcMar>
          </w:tcPr>
          <w:p>
            <w:pPr>
              <w:pStyle w:val="Tabla"/>
            </w:pPr>
            <w:r>
              <w:t xml:space="preserve">a) Estructura</w:t>
            </w:r>
          </w:p>
        </w:tc>
      </w:tr>
      <w:tr>
        <w:trPr>
          <w:cantSplit/>
          <w:tblHeader w:val="off"/>
        </w:trPr>
        <w:tc>
          <w:tcPr>
            <w:tcW w:type="dxa" w:w="4816"/>
            <w:tcMar>
              <w:top w:type="dxa" w:w="80"/>
              <w:left w:type="dxa" w:w="100"/>
              <w:bottom w:type="dxa" w:w="80"/>
              <w:right w:type="dxa" w:w="100"/>
            </w:tcMar>
          </w:tcPr>
          <w:p>
            <w:pPr>
              <w:pStyle w:val="Tabla"/>
            </w:pPr>
            <w:r>
              <w:t xml:space="preserve">13</w:t>
            </w:r>
          </w:p>
        </w:tc>
        <w:tc>
          <w:tcPr>
            <w:tcW w:type="dxa" w:w="4816"/>
            <w:tcMar>
              <w:top w:type="dxa" w:w="80"/>
              <w:left w:type="dxa" w:w="100"/>
              <w:bottom w:type="dxa" w:w="80"/>
              <w:right w:type="dxa" w:w="100"/>
            </w:tcMar>
          </w:tcPr>
          <w:p>
            <w:pPr>
              <w:pStyle w:val="Tabla"/>
            </w:pPr>
            <w:r>
              <w:t xml:space="preserve">c) Probabilísticos</w:t>
            </w:r>
          </w:p>
        </w:tc>
      </w:tr>
      <w:tr>
        <w:trPr>
          <w:cantSplit/>
          <w:tblHeader w:val="off"/>
        </w:trPr>
        <w:tc>
          <w:tcPr>
            <w:tcW w:type="dxa" w:w="4816"/>
            <w:tcMar>
              <w:top w:type="dxa" w:w="80"/>
              <w:left w:type="dxa" w:w="100"/>
              <w:bottom w:type="dxa" w:w="80"/>
              <w:right w:type="dxa" w:w="100"/>
            </w:tcMar>
          </w:tcPr>
          <w:p>
            <w:pPr>
              <w:pStyle w:val="Tabla"/>
            </w:pPr>
            <w:r>
              <w:t xml:space="preserve">14</w:t>
            </w:r>
          </w:p>
        </w:tc>
        <w:tc>
          <w:tcPr>
            <w:tcW w:type="dxa" w:w="4816"/>
            <w:tcMar>
              <w:top w:type="dxa" w:w="80"/>
              <w:left w:type="dxa" w:w="100"/>
              <w:bottom w:type="dxa" w:w="80"/>
              <w:right w:type="dxa" w:w="100"/>
            </w:tcMar>
          </w:tcPr>
          <w:p>
            <w:pPr>
              <w:pStyle w:val="Tabla"/>
            </w:pPr>
            <w:r>
              <w:t xml:space="preserve">Desarrollo: respuesta modelo y rúbrica a continuación</w:t>
            </w:r>
          </w:p>
        </w:tc>
      </w:tr>
      <w:tr>
        <w:trPr>
          <w:cantSplit/>
          <w:tblHeader w:val="off"/>
        </w:trPr>
        <w:tc>
          <w:tcPr>
            <w:tcW w:type="dxa" w:w="4816"/>
            <w:tcMar>
              <w:top w:type="dxa" w:w="80"/>
              <w:left w:type="dxa" w:w="100"/>
              <w:bottom w:type="dxa" w:w="80"/>
              <w:right w:type="dxa" w:w="100"/>
            </w:tcMar>
          </w:tcPr>
          <w:p>
            <w:pPr>
              <w:pStyle w:val="Tabla"/>
            </w:pPr>
            <w:r>
              <w:t xml:space="preserve">15</w:t>
            </w:r>
          </w:p>
        </w:tc>
        <w:tc>
          <w:tcPr>
            <w:tcW w:type="dxa" w:w="4816"/>
            <w:tcMar>
              <w:top w:type="dxa" w:w="80"/>
              <w:left w:type="dxa" w:w="100"/>
              <w:bottom w:type="dxa" w:w="80"/>
              <w:right w:type="dxa" w:w="100"/>
            </w:tcMar>
          </w:tcPr>
          <w:p>
            <w:pPr>
              <w:pStyle w:val="Tabla"/>
            </w:pPr>
            <w:r>
              <w:t xml:space="preserve">d) Multifinalidad</w:t>
            </w:r>
          </w:p>
        </w:tc>
      </w:tr>
      <w:tr>
        <w:trPr>
          <w:cantSplit/>
          <w:tblHeader w:val="off"/>
        </w:trPr>
        <w:tc>
          <w:tcPr>
            <w:tcW w:type="dxa" w:w="4816"/>
            <w:tcMar>
              <w:top w:type="dxa" w:w="80"/>
              <w:left w:type="dxa" w:w="100"/>
              <w:bottom w:type="dxa" w:w="80"/>
              <w:right w:type="dxa" w:w="100"/>
            </w:tcMar>
          </w:tcPr>
          <w:p>
            <w:pPr>
              <w:pStyle w:val="Tabla"/>
            </w:pPr>
            <w:r>
              <w:t xml:space="preserve">16</w:t>
            </w:r>
          </w:p>
        </w:tc>
        <w:tc>
          <w:tcPr>
            <w:tcW w:type="dxa" w:w="4816"/>
            <w:tcMar>
              <w:top w:type="dxa" w:w="80"/>
              <w:left w:type="dxa" w:w="100"/>
              <w:bottom w:type="dxa" w:w="80"/>
              <w:right w:type="dxa" w:w="100"/>
            </w:tcMar>
          </w:tcPr>
          <w:p>
            <w:pPr>
              <w:pStyle w:val="Tabla"/>
            </w:pPr>
            <w:r>
              <w:t xml:space="preserve">Desarrollo: respuesta modelo y rúbrica a continuación</w:t>
            </w:r>
          </w:p>
        </w:tc>
      </w:tr>
      <w:tr>
        <w:trPr>
          <w:cantSplit/>
          <w:tblHeader w:val="off"/>
        </w:trPr>
        <w:tc>
          <w:tcPr>
            <w:tcW w:type="dxa" w:w="4816"/>
            <w:tcMar>
              <w:top w:type="dxa" w:w="80"/>
              <w:left w:type="dxa" w:w="100"/>
              <w:bottom w:type="dxa" w:w="80"/>
              <w:right w:type="dxa" w:w="100"/>
            </w:tcMar>
          </w:tcPr>
          <w:p>
            <w:pPr>
              <w:pStyle w:val="Tabla"/>
            </w:pPr>
            <w:r>
              <w:t xml:space="preserve">17</w:t>
            </w:r>
          </w:p>
        </w:tc>
        <w:tc>
          <w:tcPr>
            <w:tcW w:type="dxa" w:w="4816"/>
            <w:tcMar>
              <w:top w:type="dxa" w:w="80"/>
              <w:left w:type="dxa" w:w="100"/>
              <w:bottom w:type="dxa" w:w="80"/>
              <w:right w:type="dxa" w:w="100"/>
            </w:tcMar>
          </w:tcPr>
          <w:p>
            <w:pPr>
              <w:pStyle w:val="Tabla"/>
            </w:pPr>
            <w:r>
              <w:t xml:space="preserve">c) Cambiar su perspectiva</w:t>
            </w:r>
          </w:p>
        </w:tc>
      </w:tr>
      <w:tr>
        <w:trPr>
          <w:cantSplit/>
          <w:tblHeader w:val="off"/>
        </w:trPr>
        <w:tc>
          <w:tcPr>
            <w:tcW w:type="dxa" w:w="4816"/>
            <w:tcMar>
              <w:top w:type="dxa" w:w="80"/>
              <w:left w:type="dxa" w:w="100"/>
              <w:bottom w:type="dxa" w:w="80"/>
              <w:right w:type="dxa" w:w="100"/>
            </w:tcMar>
          </w:tcPr>
          <w:p>
            <w:pPr>
              <w:pStyle w:val="Tabla"/>
            </w:pPr>
            <w:r>
              <w:t xml:space="preserve">18</w:t>
            </w:r>
          </w:p>
        </w:tc>
        <w:tc>
          <w:tcPr>
            <w:tcW w:type="dxa" w:w="4816"/>
            <w:tcMar>
              <w:top w:type="dxa" w:w="80"/>
              <w:left w:type="dxa" w:w="100"/>
              <w:bottom w:type="dxa" w:w="80"/>
              <w:right w:type="dxa" w:w="100"/>
            </w:tcMar>
          </w:tcPr>
          <w:p>
            <w:pPr>
              <w:pStyle w:val="Tabla"/>
            </w:pPr>
            <w:r>
              <w:t xml:space="preserve">Desarrollo: respuesta modelo y rúbrica a continuación</w:t>
            </w:r>
          </w:p>
        </w:tc>
      </w:tr>
      <w:tr>
        <w:trPr>
          <w:cantSplit/>
          <w:tblHeader w:val="off"/>
        </w:trPr>
        <w:tc>
          <w:tcPr>
            <w:tcW w:type="dxa" w:w="4816"/>
            <w:tcMar>
              <w:top w:type="dxa" w:w="80"/>
              <w:left w:type="dxa" w:w="100"/>
              <w:bottom w:type="dxa" w:w="80"/>
              <w:right w:type="dxa" w:w="100"/>
            </w:tcMar>
          </w:tcPr>
          <w:p>
            <w:pPr>
              <w:pStyle w:val="Tabla"/>
            </w:pPr>
            <w:r>
              <w:t xml:space="preserve">19</w:t>
            </w:r>
          </w:p>
        </w:tc>
        <w:tc>
          <w:tcPr>
            <w:tcW w:type="dxa" w:w="4816"/>
            <w:tcMar>
              <w:top w:type="dxa" w:w="80"/>
              <w:left w:type="dxa" w:w="100"/>
              <w:bottom w:type="dxa" w:w="80"/>
              <w:right w:type="dxa" w:w="100"/>
            </w:tcMar>
          </w:tcPr>
          <w:p>
            <w:pPr>
              <w:pStyle w:val="Tabla"/>
            </w:pPr>
            <w:r>
              <w:t xml:space="preserve">d) Un sistema</w:t>
            </w:r>
          </w:p>
        </w:tc>
      </w:tr>
      <w:tr>
        <w:trPr>
          <w:cantSplit/>
          <w:tblHeader w:val="off"/>
        </w:trPr>
        <w:tc>
          <w:tcPr>
            <w:tcW w:type="dxa" w:w="4816"/>
            <w:tcMar>
              <w:top w:type="dxa" w:w="80"/>
              <w:left w:type="dxa" w:w="100"/>
              <w:bottom w:type="dxa" w:w="80"/>
              <w:right w:type="dxa" w:w="100"/>
            </w:tcMar>
          </w:tcPr>
          <w:p>
            <w:pPr>
              <w:pStyle w:val="Tabla"/>
            </w:pPr>
            <w:r>
              <w:t xml:space="preserve">20</w:t>
            </w:r>
          </w:p>
        </w:tc>
        <w:tc>
          <w:tcPr>
            <w:tcW w:type="dxa" w:w="4816"/>
            <w:tcMar>
              <w:top w:type="dxa" w:w="80"/>
              <w:left w:type="dxa" w:w="100"/>
              <w:bottom w:type="dxa" w:w="80"/>
              <w:right w:type="dxa" w:w="100"/>
            </w:tcMar>
          </w:tcPr>
          <w:p>
            <w:pPr>
              <w:pStyle w:val="Tabla"/>
            </w:pPr>
            <w:r>
              <w:t xml:space="preserve">b) Paradigma</w:t>
            </w:r>
          </w:p>
        </w:tc>
      </w:tr>
      <w:tr>
        <w:trPr>
          <w:cantSplit/>
          <w:tblHeader w:val="off"/>
        </w:trPr>
        <w:tc>
          <w:tcPr>
            <w:tcW w:type="dxa" w:w="4816"/>
            <w:tcMar>
              <w:top w:type="dxa" w:w="80"/>
              <w:left w:type="dxa" w:w="100"/>
              <w:bottom w:type="dxa" w:w="80"/>
              <w:right w:type="dxa" w:w="100"/>
            </w:tcMar>
          </w:tcPr>
          <w:p>
            <w:pPr>
              <w:pStyle w:val="Tabla"/>
            </w:pPr>
            <w:r>
              <w:t xml:space="preserve">21</w:t>
            </w:r>
          </w:p>
        </w:tc>
        <w:tc>
          <w:tcPr>
            <w:tcW w:type="dxa" w:w="4816"/>
            <w:tcMar>
              <w:top w:type="dxa" w:w="80"/>
              <w:left w:type="dxa" w:w="100"/>
              <w:bottom w:type="dxa" w:w="80"/>
              <w:right w:type="dxa" w:w="100"/>
            </w:tcMar>
          </w:tcPr>
          <w:p>
            <w:pPr>
              <w:pStyle w:val="Tabla"/>
            </w:pPr>
            <w:r>
              <w:t xml:space="preserve">Desarrollo: respuesta modelo y rúbrica a continuación</w:t>
            </w:r>
          </w:p>
        </w:tc>
      </w:tr>
      <w:tr>
        <w:trPr>
          <w:cantSplit/>
          <w:tblHeader w:val="off"/>
        </w:trPr>
        <w:tc>
          <w:tcPr>
            <w:tcW w:type="dxa" w:w="4816"/>
            <w:tcMar>
              <w:top w:type="dxa" w:w="80"/>
              <w:left w:type="dxa" w:w="100"/>
              <w:bottom w:type="dxa" w:w="80"/>
              <w:right w:type="dxa" w:w="100"/>
            </w:tcMar>
          </w:tcPr>
          <w:p>
            <w:pPr>
              <w:pStyle w:val="Tabla"/>
            </w:pPr>
            <w:r>
              <w:t xml:space="preserve">22</w:t>
            </w:r>
          </w:p>
        </w:tc>
        <w:tc>
          <w:tcPr>
            <w:tcW w:type="dxa" w:w="4816"/>
            <w:tcMar>
              <w:top w:type="dxa" w:w="80"/>
              <w:left w:type="dxa" w:w="100"/>
              <w:bottom w:type="dxa" w:w="80"/>
              <w:right w:type="dxa" w:w="100"/>
            </w:tcMar>
          </w:tcPr>
          <w:p>
            <w:pPr>
              <w:pStyle w:val="Tabla"/>
            </w:pPr>
            <w:r>
              <w:t xml:space="preserve">b) Todas las perspectivas indicadas en los demás incisos</w:t>
            </w:r>
          </w:p>
        </w:tc>
      </w:tr>
      <w:tr>
        <w:trPr>
          <w:cantSplit/>
          <w:tblHeader w:val="off"/>
        </w:trPr>
        <w:tc>
          <w:tcPr>
            <w:tcW w:type="dxa" w:w="4816"/>
            <w:tcMar>
              <w:top w:type="dxa" w:w="80"/>
              <w:left w:type="dxa" w:w="100"/>
              <w:bottom w:type="dxa" w:w="80"/>
              <w:right w:type="dxa" w:w="100"/>
            </w:tcMar>
          </w:tcPr>
          <w:p>
            <w:pPr>
              <w:pStyle w:val="Tabla"/>
            </w:pPr>
            <w:r>
              <w:t xml:space="preserve">23</w:t>
            </w:r>
          </w:p>
        </w:tc>
        <w:tc>
          <w:tcPr>
            <w:tcW w:type="dxa" w:w="4816"/>
            <w:tcMar>
              <w:top w:type="dxa" w:w="80"/>
              <w:left w:type="dxa" w:w="100"/>
              <w:bottom w:type="dxa" w:w="80"/>
              <w:right w:type="dxa" w:w="100"/>
            </w:tcMar>
          </w:tcPr>
          <w:p>
            <w:pPr>
              <w:pStyle w:val="Tabla"/>
            </w:pPr>
            <w:r>
              <w:t xml:space="preserve">d) Cibernética</w:t>
            </w:r>
          </w:p>
        </w:tc>
      </w:tr>
      <w:tr>
        <w:trPr>
          <w:cantSplit/>
          <w:tblHeader w:val="off"/>
        </w:trPr>
        <w:tc>
          <w:tcPr>
            <w:tcW w:type="dxa" w:w="4816"/>
            <w:tcMar>
              <w:top w:type="dxa" w:w="80"/>
              <w:left w:type="dxa" w:w="100"/>
              <w:bottom w:type="dxa" w:w="80"/>
              <w:right w:type="dxa" w:w="100"/>
            </w:tcMar>
          </w:tcPr>
          <w:p>
            <w:pPr>
              <w:pStyle w:val="Tabla"/>
            </w:pPr>
            <w:r>
              <w:t xml:space="preserve">24</w:t>
            </w:r>
          </w:p>
        </w:tc>
        <w:tc>
          <w:tcPr>
            <w:tcW w:type="dxa" w:w="4816"/>
            <w:tcMar>
              <w:top w:type="dxa" w:w="80"/>
              <w:left w:type="dxa" w:w="100"/>
              <w:bottom w:type="dxa" w:w="80"/>
              <w:right w:type="dxa" w:w="100"/>
            </w:tcMar>
          </w:tcPr>
          <w:p>
            <w:pPr>
              <w:pStyle w:val="Tabla"/>
            </w:pPr>
            <w:r>
              <w:t xml:space="preserve">d) Reconoce y prueba suposiciones</w:t>
            </w:r>
          </w:p>
        </w:tc>
      </w:tr>
      <w:tr>
        <w:trPr>
          <w:cantSplit/>
          <w:tblHeader w:val="off"/>
        </w:trPr>
        <w:tc>
          <w:tcPr>
            <w:tcW w:type="dxa" w:w="4816"/>
            <w:tcMar>
              <w:top w:type="dxa" w:w="80"/>
              <w:left w:type="dxa" w:w="100"/>
              <w:bottom w:type="dxa" w:w="80"/>
              <w:right w:type="dxa" w:w="100"/>
            </w:tcMar>
          </w:tcPr>
          <w:p>
            <w:pPr>
              <w:pStyle w:val="Tabla"/>
            </w:pPr>
            <w:r>
              <w:t xml:space="preserve">25</w:t>
            </w:r>
          </w:p>
        </w:tc>
        <w:tc>
          <w:tcPr>
            <w:tcW w:type="dxa" w:w="4816"/>
            <w:tcMar>
              <w:top w:type="dxa" w:w="80"/>
              <w:left w:type="dxa" w:w="100"/>
              <w:bottom w:type="dxa" w:w="80"/>
              <w:right w:type="dxa" w:w="100"/>
            </w:tcMar>
          </w:tcPr>
          <w:p>
            <w:pPr>
              <w:pStyle w:val="Tabla"/>
            </w:pPr>
            <w:r>
              <w:t xml:space="preserve">b) Pensamiento reduccionista</w:t>
            </w:r>
          </w:p>
        </w:tc>
      </w:tr>
      <w:tr>
        <w:trPr>
          <w:cantSplit/>
          <w:tblHeader w:val="off"/>
        </w:trPr>
        <w:tc>
          <w:tcPr>
            <w:tcW w:type="dxa" w:w="4816"/>
            <w:tcMar>
              <w:top w:type="dxa" w:w="80"/>
              <w:left w:type="dxa" w:w="100"/>
              <w:bottom w:type="dxa" w:w="80"/>
              <w:right w:type="dxa" w:w="100"/>
            </w:tcMar>
          </w:tcPr>
          <w:p>
            <w:pPr>
              <w:pStyle w:val="Tabla"/>
            </w:pPr>
            <w:r>
              <w:t xml:space="preserve">26</w:t>
            </w:r>
          </w:p>
        </w:tc>
        <w:tc>
          <w:tcPr>
            <w:tcW w:type="dxa" w:w="4816"/>
            <w:tcMar>
              <w:top w:type="dxa" w:w="80"/>
              <w:left w:type="dxa" w:w="100"/>
              <w:bottom w:type="dxa" w:w="80"/>
              <w:right w:type="dxa" w:w="100"/>
            </w:tcMar>
          </w:tcPr>
          <w:p>
            <w:pPr>
              <w:pStyle w:val="Tabla"/>
            </w:pPr>
            <w:r>
              <w:t xml:space="preserve">Desarrollo: respuesta modelo y rúbrica a continuación</w:t>
            </w:r>
          </w:p>
        </w:tc>
      </w:tr>
      <w:tr>
        <w:trPr>
          <w:cantSplit/>
          <w:tblHeader w:val="off"/>
        </w:trPr>
        <w:tc>
          <w:tcPr>
            <w:tcW w:type="dxa" w:w="4816"/>
            <w:tcMar>
              <w:top w:type="dxa" w:w="80"/>
              <w:left w:type="dxa" w:w="100"/>
              <w:bottom w:type="dxa" w:w="80"/>
              <w:right w:type="dxa" w:w="100"/>
            </w:tcMar>
          </w:tcPr>
          <w:p>
            <w:pPr>
              <w:pStyle w:val="Tabla"/>
            </w:pPr>
            <w:r>
              <w:t xml:space="preserve">27</w:t>
            </w:r>
          </w:p>
        </w:tc>
        <w:tc>
          <w:tcPr>
            <w:tcW w:type="dxa" w:w="4816"/>
            <w:tcMar>
              <w:top w:type="dxa" w:w="80"/>
              <w:left w:type="dxa" w:w="100"/>
              <w:bottom w:type="dxa" w:w="80"/>
              <w:right w:type="dxa" w:w="100"/>
            </w:tcMar>
          </w:tcPr>
          <w:p>
            <w:pPr>
              <w:pStyle w:val="Tabla"/>
            </w:pPr>
            <w:r>
              <w:t xml:space="preserve">b) La entropía</w:t>
            </w:r>
          </w:p>
        </w:tc>
      </w:tr>
      <w:tr>
        <w:trPr>
          <w:cantSplit/>
          <w:tblHeader w:val="off"/>
        </w:trPr>
        <w:tc>
          <w:tcPr>
            <w:tcW w:type="dxa" w:w="4816"/>
            <w:tcMar>
              <w:top w:type="dxa" w:w="80"/>
              <w:left w:type="dxa" w:w="100"/>
              <w:bottom w:type="dxa" w:w="80"/>
              <w:right w:type="dxa" w:w="100"/>
            </w:tcMar>
          </w:tcPr>
          <w:p>
            <w:pPr>
              <w:pStyle w:val="Tabla"/>
            </w:pPr>
            <w:r>
              <w:t xml:space="preserve">28</w:t>
            </w:r>
          </w:p>
        </w:tc>
        <w:tc>
          <w:tcPr>
            <w:tcW w:type="dxa" w:w="4816"/>
            <w:tcMar>
              <w:top w:type="dxa" w:w="80"/>
              <w:left w:type="dxa" w:w="100"/>
              <w:bottom w:type="dxa" w:w="80"/>
              <w:right w:type="dxa" w:w="100"/>
            </w:tcMar>
          </w:tcPr>
          <w:p>
            <w:pPr>
              <w:pStyle w:val="Tabla"/>
            </w:pPr>
            <w:r>
              <w:t xml:space="preserve">Desarrollo: respuesta modelo y rúbrica a continuación</w:t>
            </w:r>
          </w:p>
        </w:tc>
      </w:tr>
      <w:tr>
        <w:trPr>
          <w:cantSplit/>
          <w:tblHeader w:val="off"/>
        </w:trPr>
        <w:tc>
          <w:tcPr>
            <w:tcW w:type="dxa" w:w="4816"/>
            <w:tcMar>
              <w:top w:type="dxa" w:w="80"/>
              <w:left w:type="dxa" w:w="100"/>
              <w:bottom w:type="dxa" w:w="80"/>
              <w:right w:type="dxa" w:w="100"/>
            </w:tcMar>
          </w:tcPr>
          <w:p>
            <w:pPr>
              <w:pStyle w:val="Tabla"/>
            </w:pPr>
            <w:r>
              <w:t xml:space="preserve">29</w:t>
            </w:r>
          </w:p>
        </w:tc>
        <w:tc>
          <w:tcPr>
            <w:tcW w:type="dxa" w:w="4816"/>
            <w:tcMar>
              <w:top w:type="dxa" w:w="80"/>
              <w:left w:type="dxa" w:w="100"/>
              <w:bottom w:type="dxa" w:w="80"/>
              <w:right w:type="dxa" w:w="100"/>
            </w:tcMar>
          </w:tcPr>
          <w:p>
            <w:pPr>
              <w:pStyle w:val="Tabla"/>
            </w:pPr>
            <w:r>
              <w:t xml:space="preserve">Desarrollo: respuesta modelo y rúbrica a continuación</w:t>
            </w:r>
          </w:p>
        </w:tc>
      </w:tr>
      <w:tr>
        <w:trPr>
          <w:cantSplit/>
          <w:tblHeader w:val="off"/>
        </w:trPr>
        <w:tc>
          <w:tcPr>
            <w:tcW w:type="dxa" w:w="4816"/>
            <w:tcMar>
              <w:top w:type="dxa" w:w="80"/>
              <w:left w:type="dxa" w:w="100"/>
              <w:bottom w:type="dxa" w:w="80"/>
              <w:right w:type="dxa" w:w="100"/>
            </w:tcMar>
          </w:tcPr>
          <w:p>
            <w:pPr>
              <w:pStyle w:val="Tabla"/>
            </w:pPr>
            <w:r>
              <w:t xml:space="preserve">30</w:t>
            </w:r>
          </w:p>
        </w:tc>
        <w:tc>
          <w:tcPr>
            <w:tcW w:type="dxa" w:w="4816"/>
            <w:tcMar>
              <w:top w:type="dxa" w:w="80"/>
              <w:left w:type="dxa" w:w="100"/>
              <w:bottom w:type="dxa" w:w="80"/>
              <w:right w:type="dxa" w:w="100"/>
            </w:tcMar>
          </w:tcPr>
          <w:p>
            <w:pPr>
              <w:pStyle w:val="Tabla"/>
            </w:pPr>
            <w:r>
              <w:t xml:space="preserve">Desarrollo: respuesta modelo y rúbrica a continuación</w:t>
            </w:r>
          </w:p>
        </w:tc>
      </w:tr>
    </w:tbl>
    <w:p>
      <w:pPr>
        <w:pStyle w:val="Heading3"/>
      </w:pPr>
      <w:bookmarkStart w:name="b_pregunta_p1_01_familia_checkland" w:id="5359"/>
      <w:r>
        <w:t xml:space="preserve">1.1 · Unidad 2 · 2.7 · El universo como conjunto de sistemas</w:t>
      </w:r>
      <w:bookmarkEnd w:id="5359"/>
    </w:p>
    <w:p>
      <w:pPr>
        <w:pStyle w:val="Normal"/>
      </w:pPr>
      <w:r>
        <w:t xml:space="preserve">Según la clasificación de sistemas de Peter Checkland, ¿cómo se clasifica una familia en el mapa sistémico del universo?</w:t>
      </w:r>
    </w:p>
    <w:p>
      <w:pPr>
        <w:pStyle w:val="Fuente"/>
      </w:pPr>
      <w:r>
        <w:t xml:space="preserve">Ordinal de la fuente: 1.</w:t>
      </w:r>
    </w:p>
    <w:p>
      <w:pPr>
        <w:pStyle w:val="Normal"/>
      </w:pPr>
      <w:r>
        <w:t xml:space="preserve">a) Sistema de actividad humana</w:t>
      </w:r>
    </w:p>
    <w:p>
      <w:pPr>
        <w:pStyle w:val="Normal"/>
      </w:pPr>
      <w:r>
        <w:t xml:space="preserve">b) Incisos a) y b) son correctos</w:t>
      </w:r>
    </w:p>
    <w:p>
      <w:pPr>
        <w:pStyle w:val="Normal"/>
      </w:pPr>
      <w:r>
        <w:t xml:space="preserve">c) Sistema adaptativo complejo</w:t>
      </w:r>
    </w:p>
    <w:p>
      <w:pPr>
        <w:pStyle w:val="Normal"/>
      </w:pPr>
      <w:r>
        <w:t xml:space="preserve">d) Sistema natural</w:t>
      </w:r>
    </w:p>
    <w:p>
      <w:pPr>
        <w:pStyle w:val="Heading3"/>
      </w:pPr>
      <w:bookmarkStart w:name="b_solucion_p1_01_familia_checkland" w:id="5360"/>
      <w:r>
        <w:t xml:space="preserve">Solución 1.1</w:t>
      </w:r>
      <w:bookmarkEnd w:id="5360"/>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a) Sistema de actividad humana</w:t>
            </w:r>
          </w:p>
          <w:p>
            <w:pPr>
              <w:pStyle w:val="Recuadro"/>
            </w:pPr>
            <w:r>
              <w:t xml:space="preserve">d) Sistema natural</w:t>
            </w:r>
          </w:p>
        </w:tc>
      </w:tr>
    </w:tbl>
    <w:p>
      <w:pPr>
        <w:pStyle w:val="Heading3"/>
      </w:pPr>
      <w:r>
        <w:t xml:space="preserve">Recuerde cuáles son las cuatro categorías del mapa</w:t>
      </w:r>
    </w:p>
    <w:p>
      <w:pPr>
        <w:pStyle w:val="Normal"/>
      </w:pPr>
      <w:r>
        <w:t xml:space="preserve">Naturales, de actividad humana, físicos diseñados y abstractos diseñados. Cualquier opción que no sea una de esas cuatro queda fuera por definición.</w:t>
      </w:r>
    </w:p>
    <w:p>
      <w:pPr>
        <w:pStyle w:val="Fuente"/>
      </w:pPr>
      <w:r>
        <w:t xml:space="preserve">Opciones descartadas: c).</w:t>
      </w:r>
    </w:p>
    <w:p>
      <w:pPr>
        <w:pStyle w:val="Heading3"/>
      </w:pPr>
      <w:r>
        <w:t xml:space="preserve">Aplique el criterio de actividad humana</w:t>
      </w:r>
    </w:p>
    <w:p>
      <w:pPr>
        <w:pStyle w:val="Normal"/>
      </w:pPr>
      <w:r>
        <w:t xml:space="preserve">Una familia es un conjunto de personas organizadas con propósitos, roles y reglas. Eso basta para que la primera opción sea correcta.</w:t>
      </w:r>
    </w:p>
    <w:p>
      <w:pPr>
        <w:pStyle w:val="Heading3"/>
      </w:pPr>
      <w:r>
        <w:t xml:space="preserve">Reconozca la ambigüedad que la clase admitió</w:t>
      </w:r>
    </w:p>
    <w:p>
      <w:pPr>
        <w:pStyle w:val="Normal"/>
      </w:pPr>
      <w:r>
        <w:t xml:space="preserve">Si se privilegia el origen —el ser humano como creación natural y la familia como agrupación natural para la convivencia— la cuarta opción también es defendible.</w:t>
      </w:r>
    </w:p>
    <w:p>
      <w:pPr>
        <w:pStyle w:val="Heading3"/>
      </w:pPr>
      <w:r>
        <w:t xml:space="preserve">Descarte la opción autorreferencial</w:t>
      </w:r>
    </w:p>
    <w:p>
      <w:pPr>
        <w:pStyle w:val="Normal"/>
      </w:pPr>
      <w:r>
        <w:t xml:space="preserve">La segunda remite a los incisos a) y b), y el propio inciso b) es ella misma. No expresa ninguna combinación válida.</w:t>
      </w:r>
    </w:p>
    <w:p>
      <w:pPr>
        <w:pStyle w:val="Fuente"/>
      </w:pPr>
      <w:r>
        <w:t xml:space="preserve">Opciones descartadas: b).</w:t>
      </w:r>
    </w:p>
    <w:p>
      <w:pPr>
        <w:pStyle w:val="Normal"/>
      </w:pPr>
      <w:r>
        <w:t xml:space="preserve">a) Sistema de actividad humana — Correcta: cumple los parámetros de un sistema de actividad humana, con personas organizadas, propósitos, roles y reglas.</w:t>
      </w:r>
    </w:p>
    <w:p>
      <w:pPr>
        <w:pStyle w:val="Normal"/>
      </w:pPr>
      <w:r>
        <w:t xml:space="preserve">b) Incisos a) y b) son correctos — La opción es autorreferencial y no expresa la combinación que sería correcta.</w:t>
      </w:r>
    </w:p>
    <w:p>
      <w:pPr>
        <w:pStyle w:val="Normal"/>
      </w:pPr>
      <w:r>
        <w:t xml:space="preserve">c) Sistema adaptativo complejo — Pertenece a otro eje de clasificación: describe el grado y el tipo de complejidad, no una categoría del mapa.</w:t>
      </w:r>
    </w:p>
    <w:p>
      <w:pPr>
        <w:pStyle w:val="Normal"/>
      </w:pPr>
      <w:r>
        <w:t xml:space="preserve">d) Sistema natural — Correcta: la clase admite esta segunda lectura, porque la familia agrupa seres humanos de manera natural para su convivencia y su crecimiento.</w:t>
      </w:r>
    </w:p>
    <w:p>
      <w:pPr>
        <w:pStyle w:val="Normal"/>
      </w:pPr>
      <w:r>
        <w:t xml:space="preserve">Criterio de resolución: En la clase 9 el profesor plantea expresamente el caso de la familia: primero confirma que cumple los parámetros de un sistema de actividad humana y después advierte que existe una ambigüedad razonable, porque al considerar al ser humano como creación natural la familia también puede verse como sistema natural.</w:t>
      </w:r>
    </w:p>
    <w:p>
      <w:pPr>
        <w:pStyle w:val="Normal"/>
      </w:pPr>
      <w:r>
        <w:t xml:space="preserve">Defensa: La clasificación depende de la frontera y del aspecto que se privilegia. No se afirma que las categorías sean intercambiables, sino que un mismo objeto puede observarse legítimamente bajo más de una perspectiva compatible.</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9C620A" w:sz="20"/>
              <w:bottom w:val="nil"/>
              <w:right w:val="nil"/>
            </w:tcBorders>
            <w:shd w:fill="FBF3DF" w:val="clear"/>
            <w:tcMar>
              <w:top w:type="dxa" w:w="130"/>
              <w:left w:type="dxa" w:w="180"/>
              <w:bottom w:type="dxa" w:w="130"/>
              <w:right w:type="dxa" w:w="180"/>
            </w:tcMar>
          </w:tcPr>
          <w:p>
            <w:pPr>
              <w:pStyle w:val="RecuadroTitulo"/>
            </w:pPr>
            <w:r>
              <w:rPr>
                <w:b/>
                <w:bCs/>
                <w:color w:val="9C620A"/>
              </w:rPr>
              <w:t xml:space="preserve">Advertencia y límites</w:t>
            </w:r>
          </w:p>
          <w:p>
            <w:pPr>
              <w:pStyle w:val="Recuadro"/>
            </w:pPr>
            <w:r>
              <w:t xml:space="preserve">El documento advierte que la opción b parece contener un error de redacción: dice «a) y b)» donde correspondería una combinación no autorreferencial.</w:t>
            </w:r>
          </w:p>
        </w:tc>
      </w:tr>
    </w:tbl>
    <w:p>
      <w:pPr>
        <w:pStyle w:val="Fuente"/>
      </w:pPr>
      <w:r>
        <w:t xml:space="preserve">Clase 9 · 00:40:05–00:43:42</w:t>
      </w:r>
    </w:p>
    <w:p>
      <w:pPr>
        <w:pStyle w:val="Heading3"/>
      </w:pPr>
      <w:bookmarkStart w:name="b_pregunta_p1_02_operaciones_mentales" w:id="5361"/>
      <w:r>
        <w:t xml:space="preserve">1.2 · Unidad 1 · 1.2 · Operaciones mentales frecuentes</w:t>
      </w:r>
      <w:bookmarkEnd w:id="5361"/>
    </w:p>
    <w:p>
      <w:pPr>
        <w:pStyle w:val="Normal"/>
      </w:pPr>
      <w:r>
        <w:t xml:space="preserve">Las operaciones mentales abstractas del pensamiento que crean nuestros sistemas abstractos en forma automática y la mayoría de veces inconscientemente son:</w:t>
      </w:r>
    </w:p>
    <w:p>
      <w:pPr>
        <w:pStyle w:val="Fuente"/>
      </w:pPr>
      <w:r>
        <w:t xml:space="preserve">Ordinal de la fuente: 2.</w:t>
      </w:r>
    </w:p>
    <w:p>
      <w:pPr>
        <w:pStyle w:val="Heading3"/>
      </w:pPr>
      <w:bookmarkStart w:name="b_solucion_p1_02_operaciones_mentales" w:id="5362"/>
      <w:r>
        <w:t xml:space="preserve">Solución 1.2</w:t>
      </w:r>
      <w:bookmarkEnd w:id="5362"/>
    </w:p>
    <w:p>
      <w:pPr>
        <w:pStyle w:val="RecuadroTitulo"/>
      </w:pPr>
      <w:r>
        <w:t xml:space="preserve">Respuesta modelo</w:t>
      </w:r>
    </w:p>
    <w:p>
      <w:pPr>
        <w:pStyle w:val="Normal"/>
      </w:pPr>
      <w:r>
        <w:t xml:space="preserve">Eliminación, construcción, distorsión y generalización.</w:t>
      </w:r>
    </w:p>
    <w:p>
      <w:pPr>
        <w:pStyle w:val="Normal"/>
      </w:pPr>
      <w:r>
        <w:t xml:space="preserve">Las operaciones son eliminación, mediante la cual filtramos datos; construcción, con la que damos sentido a lo observado; distorsión, cuando modificamos o completamos la experiencia; y generalización, cuando extendemos una conclusión a otros casos.</w:t>
      </w:r>
    </w:p>
    <w:p>
      <w:pPr>
        <w:pStyle w:val="Normal"/>
      </w:pPr>
      <w:r>
        <w:t xml:space="preserve">Actúan con rapidez y, en gran medida, sin conciencia, y son las que forman de manera automática nuestros sistemas abstractos diseñados.</w:t>
      </w:r>
    </w:p>
    <w:p>
      <w:pPr>
        <w:pStyle w:val="Heading3"/>
      </w:pPr>
      <w:r>
        <w:t xml:space="preserve">Identifique de qué lista habla el enunciado</w:t>
      </w:r>
    </w:p>
    <w:p>
      <w:pPr>
        <w:pStyle w:val="Normal"/>
      </w:pPr>
      <w:r>
        <w:t xml:space="preserve">Dice «automática e inconscientemente» y «crean nuestros sistemas abstractos». Eso apunta a las cuatro operaciones de la clase 3, no a las reglas del pensamiento sistémico.</w:t>
      </w:r>
    </w:p>
    <w:p>
      <w:pPr>
        <w:pStyle w:val="Heading3"/>
      </w:pPr>
      <w:r>
        <w:t xml:space="preserve">Nombre las cuatro</w:t>
      </w:r>
    </w:p>
    <w:p>
      <w:pPr>
        <w:pStyle w:val="Normal"/>
      </w:pPr>
      <w:r>
        <w:t xml:space="preserve">Eliminación, construcción, distorsión y generalización, en el orden en que la clase las presentó.</w:t>
      </w:r>
    </w:p>
    <w:p>
      <w:pPr>
        <w:pStyle w:val="Heading3"/>
      </w:pPr>
      <w:r>
        <w:t xml:space="preserve">Añada qué hace cada una</w:t>
      </w:r>
    </w:p>
    <w:p>
      <w:pPr>
        <w:pStyle w:val="Normal"/>
      </w:pPr>
      <w:r>
        <w:t xml:space="preserve">Filtrar datos, dar sentido a lo observado, alterar o completar la experiencia, y extender una conclusión a otros casos.</w:t>
      </w:r>
    </w:p>
    <w:p>
      <w:pPr>
        <w:pStyle w:val="Normal"/>
      </w:pPr>
      <w:r>
        <w:t xml:space="preserve">Defensa: No deben confundirse con las cuatro operaciones del pensamiento sistémico. Estas son operaciones frecuentes que participan en la formación automática de modelos mentales; las otras nombran las reglas generadoras del pensamiento sistémico.</w:t>
      </w:r>
    </w:p>
    <w:p>
      <w:pPr>
        <w:pStyle w:val="Heading3"/>
      </w:pPr>
      <w:r>
        <w:t xml:space="preserve">Criterios para una respuesta completa</w:t>
      </w:r>
    </w:p>
    <w:p>
      <w:pPr>
        <w:pStyle w:val="Normal"/>
        <w:numPr>
          <w:ilvl w:val="0"/>
          <w:numId w:val="2"/>
        </w:numPr>
      </w:pPr>
      <w:r>
        <w:t xml:space="preserve">Nombra las cuatro operaciones.</w:t>
      </w:r>
    </w:p>
    <w:p>
      <w:pPr>
        <w:pStyle w:val="Normal"/>
        <w:numPr>
          <w:ilvl w:val="0"/>
          <w:numId w:val="2"/>
        </w:numPr>
      </w:pPr>
      <w:r>
        <w:t xml:space="preserve">No las confunde con las cuatro reglas del pensamiento sistémico.</w:t>
      </w:r>
    </w:p>
    <w:p>
      <w:pPr>
        <w:pStyle w:val="Normal"/>
        <w:numPr>
          <w:ilvl w:val="0"/>
          <w:numId w:val="2"/>
        </w:numPr>
      </w:pPr>
      <w:r>
        <w:t xml:space="preserve">Describe brevemente qué hace cada una.</w:t>
      </w:r>
    </w:p>
    <w:p>
      <w:pPr>
        <w:pStyle w:val="Fuente"/>
      </w:pPr>
      <w:r>
        <w:t xml:space="preserve">Clase 3 · 00:21:57–00:22:12</w:t>
      </w:r>
    </w:p>
    <w:p>
      <w:pPr>
        <w:pStyle w:val="Heading3"/>
      </w:pPr>
      <w:bookmarkStart w:name="b_pregunta_p1_03_tipo_de_pensam_aa6b3196" w:id="5363"/>
      <w:r>
        <w:t xml:space="preserve">1.3 · Unidad 1 · Modelos mentales y metacognición</w:t>
      </w:r>
      <w:bookmarkEnd w:id="5363"/>
    </w:p>
    <w:p>
      <w:pPr>
        <w:pStyle w:val="Normal"/>
      </w:pPr>
      <w:r>
        <w:t xml:space="preserve">¿Cuál es el tipo de pensamiento en el que fundamentalmente se centró el estudio del contenido de la unidad 1 del curso?</w:t>
      </w:r>
    </w:p>
    <w:p>
      <w:pPr>
        <w:pStyle w:val="Fuente"/>
      </w:pPr>
      <w:r>
        <w:t xml:space="preserve">Ordinal de la fuente: 3.</w:t>
      </w:r>
    </w:p>
    <w:p>
      <w:pPr>
        <w:pStyle w:val="Normal"/>
      </w:pPr>
      <w:r>
        <w:t xml:space="preserve">a) Pensamiento analítico</w:t>
      </w:r>
    </w:p>
    <w:p>
      <w:pPr>
        <w:pStyle w:val="Normal"/>
      </w:pPr>
      <w:r>
        <w:t xml:space="preserve">b) Pensamiento sistémico</w:t>
      </w:r>
    </w:p>
    <w:p>
      <w:pPr>
        <w:pStyle w:val="Normal"/>
      </w:pPr>
      <w:r>
        <w:t xml:space="preserve">c) Pensamiento metacognitivo</w:t>
      </w:r>
    </w:p>
    <w:p>
      <w:pPr>
        <w:pStyle w:val="Normal"/>
      </w:pPr>
      <w:r>
        <w:t xml:space="preserve">d) Pensamiento de síntesis</w:t>
      </w:r>
    </w:p>
    <w:p>
      <w:pPr>
        <w:pStyle w:val="Heading3"/>
      </w:pPr>
      <w:bookmarkStart w:name="b_solucion_p1_03_tipo_de_pensam_f3e9ffa0" w:id="5364"/>
      <w:r>
        <w:t xml:space="preserve">Solución 1.3</w:t>
      </w:r>
      <w:bookmarkEnd w:id="5364"/>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c) Pensamiento metacognitivo</w:t>
            </w:r>
          </w:p>
        </w:tc>
      </w:tr>
    </w:tbl>
    <w:p>
      <w:pPr>
        <w:pStyle w:val="Heading3"/>
      </w:pPr>
      <w:r>
        <w:t xml:space="preserve">Separe el objetivo del curso del foco de la unidad</w:t>
      </w:r>
    </w:p>
    <w:p>
      <w:pPr>
        <w:pStyle w:val="Normal"/>
      </w:pPr>
      <w:r>
        <w:t xml:space="preserve">El curso entero desarrolla pensamiento sistémico. La pregunta no es por el objetivo global sino por el foco inmediato de la primera unidad.</w:t>
      </w:r>
    </w:p>
    <w:p>
      <w:pPr>
        <w:pStyle w:val="Fuente"/>
      </w:pPr>
      <w:r>
        <w:t xml:space="preserve">Opciones descartadas: b).</w:t>
      </w:r>
    </w:p>
    <w:p>
      <w:pPr>
        <w:pStyle w:val="Heading3"/>
      </w:pPr>
      <w:r>
        <w:t xml:space="preserve">Recuerde qué hizo la unidad 1</w:t>
      </w:r>
    </w:p>
    <w:p>
      <w:pPr>
        <w:pStyle w:val="Normal"/>
      </w:pPr>
      <w:r>
        <w:t xml:space="preserve">Observar cómo pensamos, cómo se forman los paradigmas y cómo operan las cuatro operaciones mentales inconscientes. Todo eso es observarse pensar.</w:t>
      </w:r>
    </w:p>
    <w:p>
      <w:pPr>
        <w:pStyle w:val="Heading3"/>
      </w:pPr>
      <w:r>
        <w:t xml:space="preserve">Descarte los dos que describen operaciones</w:t>
      </w:r>
    </w:p>
    <w:p>
      <w:pPr>
        <w:pStyle w:val="Normal"/>
      </w:pPr>
      <w:r>
        <w:t xml:space="preserve">Analizar y sintetizar son operaciones sobre el objeto de estudio, no sobre el propio pensamiento.</w:t>
      </w:r>
    </w:p>
    <w:p>
      <w:pPr>
        <w:pStyle w:val="Fuente"/>
      </w:pPr>
      <w:r>
        <w:t xml:space="preserve">Opciones descartadas: a), d).</w:t>
      </w:r>
    </w:p>
    <w:p>
      <w:pPr>
        <w:pStyle w:val="Normal"/>
      </w:pPr>
      <w:r>
        <w:t xml:space="preserve">a) Pensamiento analítico — Es útil para separar y estudiar partes, pero no fue el foco cognitivo de la unidad.</w:t>
      </w:r>
    </w:p>
    <w:p>
      <w:pPr>
        <w:pStyle w:val="Normal"/>
      </w:pPr>
      <w:r>
        <w:t xml:space="preserve">b) Pensamiento sistémico — Es el propósito global del curso, no el foco inmediato de la primera unidad.</w:t>
      </w:r>
    </w:p>
    <w:p>
      <w:pPr>
        <w:pStyle w:val="Normal"/>
      </w:pPr>
      <w:r>
        <w:t xml:space="preserve">c) Pensamiento metacognitivo — Correcta: implica pensar sobre el propio pensamiento y tomar conciencia de los modelos mentales.</w:t>
      </w:r>
    </w:p>
    <w:p>
      <w:pPr>
        <w:pStyle w:val="Normal"/>
      </w:pPr>
      <w:r>
        <w:t xml:space="preserve">d) Pensamiento de síntesis — Se vincula con la comprensión holística, pero no nombra el ejercicio de autoobservación de la unidad 1.</w:t>
      </w:r>
    </w:p>
    <w:p>
      <w:pPr>
        <w:pStyle w:val="Normal"/>
      </w:pPr>
      <w:r>
        <w:t xml:space="preserve">Criterio de resolución: Al estudiar paradigmas y sistemas de creencias, la clase 2 plantea que hay que «pensar sobre nuestro pensamiento» y llama a eso pensamiento metacognitivo. La unidad 1 lo usa como puerta de entrada para reconocer cómo pensamos y cómo construimos modelos mentales.</w:t>
      </w:r>
    </w:p>
    <w:p>
      <w:pPr>
        <w:pStyle w:val="Normal"/>
      </w:pPr>
      <w:r>
        <w:t xml:space="preserve">Defensa: La distinción importante es entre el objetivo general y el foco inmediato: el curso desarrolla pensamiento sistémico, pero la unidad 1 usa la metacognición para observar y revisar los modelos mentales que luego se busca volver sistémicos.</w:t>
      </w:r>
    </w:p>
    <w:p>
      <w:pPr>
        <w:pStyle w:val="Fuente"/>
      </w:pPr>
      <w:r>
        <w:t xml:space="preserve">Clase 2 · 00:14:34–00:16:31</w:t>
      </w:r>
    </w:p>
    <w:p>
      <w:pPr>
        <w:pStyle w:val="Heading3"/>
      </w:pPr>
      <w:bookmarkStart w:name="b_pregunta_p1_04_caracteristica_db9bfe29" w:id="5365"/>
      <w:r>
        <w:t xml:space="preserve">1.4 · Unidad 1 · 1.1 · Paradigmas</w:t>
      </w:r>
      <w:bookmarkEnd w:id="5365"/>
    </w:p>
    <w:p>
      <w:pPr>
        <w:pStyle w:val="Normal"/>
      </w:pPr>
      <w:r>
        <w:t xml:space="preserve">¿Cuál de las siguientes características no debería atribuirse a los paradigmas?</w:t>
      </w:r>
    </w:p>
    <w:p>
      <w:pPr>
        <w:pStyle w:val="Fuente"/>
      </w:pPr>
      <w:r>
        <w:t xml:space="preserve">Ordinal de la fuente: 4.</w:t>
      </w:r>
    </w:p>
    <w:p>
      <w:pPr>
        <w:pStyle w:val="Normal"/>
      </w:pPr>
      <w:r>
        <w:t xml:space="preserve">a) Pueden llevar a una actitud de resistencia al cambio</w:t>
      </w:r>
    </w:p>
    <w:p>
      <w:pPr>
        <w:pStyle w:val="Normal"/>
      </w:pPr>
      <w:r>
        <w:t xml:space="preserve">b) Es una elección humana elegir el cambio de paradigma</w:t>
      </w:r>
    </w:p>
    <w:p>
      <w:pPr>
        <w:pStyle w:val="Normal"/>
      </w:pPr>
      <w:r>
        <w:t xml:space="preserve">c) Invierte la sensata relación entre ver y creer</w:t>
      </w:r>
    </w:p>
    <w:p>
      <w:pPr>
        <w:pStyle w:val="Normal"/>
      </w:pPr>
      <w:r>
        <w:t xml:space="preserve">d) Siempre hay un paradigma correcto</w:t>
      </w:r>
    </w:p>
    <w:p>
      <w:pPr>
        <w:pStyle w:val="Heading3"/>
      </w:pPr>
      <w:bookmarkStart w:name="b_solucion_p1_04_caracteristica_697f9f86" w:id="5366"/>
      <w:r>
        <w:t xml:space="preserve">Solución 1.4</w:t>
      </w:r>
      <w:bookmarkEnd w:id="5366"/>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d) Siempre hay un paradigma correcto</w:t>
            </w:r>
          </w:p>
        </w:tc>
      </w:tr>
    </w:tbl>
    <w:p>
      <w:pPr>
        <w:pStyle w:val="Heading3"/>
      </w:pPr>
      <w:r>
        <w:t xml:space="preserve">Lea la pregunta al revés</w:t>
      </w:r>
    </w:p>
    <w:p>
      <w:pPr>
        <w:pStyle w:val="Normal"/>
      </w:pPr>
      <w:r>
        <w:t xml:space="preserve">Pide lo que NO debería atribuirse. Tres de las opciones son observaciones del material y una lo contradice.</w:t>
      </w:r>
    </w:p>
    <w:p>
      <w:pPr>
        <w:pStyle w:val="Heading3"/>
      </w:pPr>
      <w:r>
        <w:t xml:space="preserve">Verifique las tres que sí están en el material</w:t>
      </w:r>
    </w:p>
    <w:p>
      <w:pPr>
        <w:pStyle w:val="Normal"/>
      </w:pPr>
      <w:r>
        <w:t xml:space="preserve">Resistencia al cambio, elegibilidad y la inversión entre ver y creer figuran las tres entre las observaciones de Barker.</w:t>
      </w:r>
    </w:p>
    <w:p>
      <w:pPr>
        <w:pStyle w:val="Fuente"/>
      </w:pPr>
      <w:r>
        <w:t xml:space="preserve">Opciones descartadas: a), b), c).</w:t>
      </w:r>
    </w:p>
    <w:p>
      <w:pPr>
        <w:pStyle w:val="Heading3"/>
      </w:pPr>
      <w:r>
        <w:t xml:space="preserve">Quédese con la que afirma una verdad única</w:t>
      </w:r>
    </w:p>
    <w:p>
      <w:pPr>
        <w:pStyle w:val="Normal"/>
      </w:pPr>
      <w:r>
        <w:t xml:space="preserve">Sostener que siempre hay un paradigma correcto niega la pluralidad de respuestas válidas que el propio material reconoce.</w:t>
      </w:r>
    </w:p>
    <w:p>
      <w:pPr>
        <w:pStyle w:val="Normal"/>
      </w:pPr>
      <w:r>
        <w:t xml:space="preserve">a) Pueden llevar a una actitud de resistencia al cambio — Sí ocurre cuando un paradigma se rigidiza y deriva en parálisis paradigmática.</w:t>
      </w:r>
    </w:p>
    <w:p>
      <w:pPr>
        <w:pStyle w:val="Normal"/>
      </w:pPr>
      <w:r>
        <w:t xml:space="preserve">b) Es una elección humana elegir el cambio de paradigma — El material sostiene que las personas pueden elegir cambiar sus paradigmas.</w:t>
      </w:r>
    </w:p>
    <w:p>
      <w:pPr>
        <w:pStyle w:val="Normal"/>
      </w:pPr>
      <w:r>
        <w:t xml:space="preserve">c) Invierte la sensata relación entre ver y creer — Corresponde al efecto paradigma: lo esperado condiciona lo que se alcanza a percibir.</w:t>
      </w:r>
    </w:p>
    <w:p>
      <w:pPr>
        <w:pStyle w:val="Normal"/>
      </w:pPr>
      <w:r>
        <w:t xml:space="preserve">d) Siempre hay un paradigma correcto — Correcta: contradice la observación de que puede existir más de una respuesta válida y de que los paradigmas dependen del contexto.</w:t>
      </w:r>
    </w:p>
    <w:p>
      <w:pPr>
        <w:pStyle w:val="Normal"/>
      </w:pPr>
      <w:r>
        <w:t xml:space="preserve">Criterio de resolución: Las observaciones trabajadas a partir de Joel Barker indican que los paradigmas son comunes y útiles, que pueden producir resistencia al cambio, que condicionan la relación entre ver y creer y que pueden elegirse o cambiarse. También se afirma que puede haber más de una respuesta correcta, de modo que no corresponde atribuirles un único paradigma siempre correcto.</w:t>
      </w:r>
    </w:p>
    <w:p>
      <w:pPr>
        <w:pStyle w:val="Normal"/>
      </w:pPr>
      <w:r>
        <w:t xml:space="preserve">Defensa: Un paradigma puede ser útil y vigente para una situación sin convertirse en verdad absoluta. Desde el pensamiento sistémico se examinan sus límites, sus supuestos y su contexto de validez.</w:t>
      </w:r>
    </w:p>
    <w:p>
      <w:pPr>
        <w:pStyle w:val="Fuente"/>
      </w:pPr>
      <w:r>
        <w:t xml:space="preserve">Clase 2 · láminas de las observaciones de Barker</w:t>
      </w:r>
    </w:p>
    <w:p>
      <w:pPr>
        <w:pStyle w:val="Heading3"/>
      </w:pPr>
      <w:bookmarkStart w:name="b_pregunta_p1_05_apalancamiento_850d55a3" w:id="5367"/>
      <w:r>
        <w:t xml:space="preserve">1.5 · Unidad 1 · 1.7 · Modelo del iceberg</w:t>
      </w:r>
      <w:bookmarkEnd w:id="5367"/>
    </w:p>
    <w:p>
      <w:pPr>
        <w:pStyle w:val="Normal"/>
      </w:pPr>
      <w:r>
        <w:t xml:space="preserve">¿En los sistemas de actividad humana, en cuál nivel de percepción es más común encontrar el efecto palanca o punto de apalancamiento?</w:t>
      </w:r>
    </w:p>
    <w:p>
      <w:pPr>
        <w:pStyle w:val="Fuente"/>
      </w:pPr>
      <w:r>
        <w:t xml:space="preserve">Ordinal de la fuente: 5.</w:t>
      </w:r>
    </w:p>
    <w:p>
      <w:pPr>
        <w:pStyle w:val="Normal"/>
      </w:pPr>
      <w:r>
        <w:t xml:space="preserve">a) A nivel de los patrones de comportamiento</w:t>
      </w:r>
    </w:p>
    <w:p>
      <w:pPr>
        <w:pStyle w:val="Normal"/>
      </w:pPr>
      <w:r>
        <w:t xml:space="preserve">b) A nivel de los modelos mentales</w:t>
      </w:r>
    </w:p>
    <w:p>
      <w:pPr>
        <w:pStyle w:val="Normal"/>
      </w:pPr>
      <w:r>
        <w:t xml:space="preserve">c) A nivel de los eventos o hechos</w:t>
      </w:r>
    </w:p>
    <w:p>
      <w:pPr>
        <w:pStyle w:val="Normal"/>
      </w:pPr>
      <w:r>
        <w:t xml:space="preserve">d) A nivel de las estructuras sistémicas subyacentes</w:t>
      </w:r>
    </w:p>
    <w:p>
      <w:pPr>
        <w:pStyle w:val="Heading3"/>
      </w:pPr>
      <w:bookmarkStart w:name="b_solucion_p1_05_apalancamiento_ba9cc805" w:id="5368"/>
      <w:r>
        <w:t xml:space="preserve">Solución 1.5</w:t>
      </w:r>
      <w:bookmarkEnd w:id="5368"/>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b) A nivel de los modelos mentales</w:t>
            </w:r>
          </w:p>
        </w:tc>
      </w:tr>
    </w:tbl>
    <w:p>
      <w:pPr>
        <w:pStyle w:val="Heading3"/>
      </w:pPr>
      <w:r>
        <w:t xml:space="preserve">Ordene los cuatro niveles por profundidad</w:t>
      </w:r>
    </w:p>
    <w:p>
      <w:pPr>
        <w:pStyle w:val="Normal"/>
      </w:pPr>
      <w:r>
        <w:t xml:space="preserve">Eventos, patrones, estructuras y modelos mentales. El apalancamiento crece conforme se desciende.</w:t>
      </w:r>
    </w:p>
    <w:p>
      <w:pPr>
        <w:pStyle w:val="Heading3"/>
      </w:pPr>
      <w:r>
        <w:t xml:space="preserve">Descarte los dos niveles superiores</w:t>
      </w:r>
    </w:p>
    <w:p>
      <w:pPr>
        <w:pStyle w:val="Normal"/>
      </w:pPr>
      <w:r>
        <w:t xml:space="preserve">Los eventos son reactivos y los patrones describen sin explicar. Ninguno de los dos transforma la raíz.</w:t>
      </w:r>
    </w:p>
    <w:p>
      <w:pPr>
        <w:pStyle w:val="Fuente"/>
      </w:pPr>
      <w:r>
        <w:t xml:space="preserve">Opciones descartadas: a), c).</w:t>
      </w:r>
    </w:p>
    <w:p>
      <w:pPr>
        <w:pStyle w:val="Heading3"/>
      </w:pPr>
      <w:r>
        <w:t xml:space="preserve">Elija entre estructura y modelos mentales</w:t>
      </w:r>
    </w:p>
    <w:p>
      <w:pPr>
        <w:pStyle w:val="Normal"/>
      </w:pPr>
      <w:r>
        <w:t xml:space="preserve">Las estructuras tienen alto apalancamiento, pero en sistemas humanos las creencias compartidas pueden reconstruirlas. El material sitúa el máximo un nivel más abajo.</w:t>
      </w:r>
    </w:p>
    <w:p>
      <w:pPr>
        <w:pStyle w:val="Fuente"/>
      </w:pPr>
      <w:r>
        <w:t xml:space="preserve">Opciones descartadas: d).</w:t>
      </w:r>
    </w:p>
    <w:p>
      <w:pPr>
        <w:pStyle w:val="Normal"/>
      </w:pPr>
      <w:r>
        <w:t xml:space="preserve">a) A nivel de los patrones de comportamiento — Los patrones permiten anticipar tendencias, pero todavía no explican ni transforman la raíz que los produce.</w:t>
      </w:r>
    </w:p>
    <w:p>
      <w:pPr>
        <w:pStyle w:val="Normal"/>
      </w:pPr>
      <w:r>
        <w:t xml:space="preserve">b) A nivel de los modelos mentales — Correcta: las creencias y los supuestos sostienen las estructuras de los sistemas humanos, y es donde se obtiene mayor apalancamiento.</w:t>
      </w:r>
    </w:p>
    <w:p>
      <w:pPr>
        <w:pStyle w:val="Normal"/>
      </w:pPr>
      <w:r>
        <w:t xml:space="preserve">c) A nivel de los eventos o hechos — Es el nivel más superficial y reactivo, y el de menor apalancamiento.</w:t>
      </w:r>
    </w:p>
    <w:p>
      <w:pPr>
        <w:pStyle w:val="Normal"/>
      </w:pPr>
      <w:r>
        <w:t xml:space="preserve">d) A nivel de las estructuras sistémicas subyacentes — Las estructuras tienen alto apalancamiento, pero el material ubica el máximo en los modelos mentales que las sostienen.</w:t>
      </w:r>
    </w:p>
    <w:p>
      <w:pPr>
        <w:pStyle w:val="Normal"/>
      </w:pPr>
      <w:r>
        <w:t xml:space="preserve">Criterio de resolución: En el modelo del iceberg el apalancamiento aumenta al descender desde los eventos hacia los patrones, las estructuras y los modelos mentales. En sistemas de actividad humana, las premisas y los incentivos compartidos pueden reconstruir una estructura aun después de cambiar las reglas.</w:t>
      </w:r>
    </w:p>
    <w:p>
      <w:pPr>
        <w:pStyle w:val="Normal"/>
      </w:pPr>
      <w:r>
        <w:t xml:space="preserve">Defensa: Mayor apalancamiento no significa más fácil. Cambiar modelos mentales suele requerir más tiempo, diálogo y evidencia, pero produce transformaciones más profundas que reaccionar a hechos aislados.</w:t>
      </w:r>
    </w:p>
    <w:p>
      <w:pPr>
        <w:pStyle w:val="Fuente"/>
      </w:pPr>
      <w:r>
        <w:t xml:space="preserve">Clase 4 · 00:42:01–00:42:26</w:t>
      </w:r>
    </w:p>
    <w:p>
      <w:pPr>
        <w:pStyle w:val="Heading3"/>
      </w:pPr>
      <w:bookmarkStart w:name="b_pregunta_p1_06_propiedad_emer_61f9d572" w:id="5369"/>
      <w:r>
        <w:t xml:space="preserve">1.6 · Unidad 1 · 1.4–1.6 · Modelos mentales sistémicos y emergencia</w:t>
      </w:r>
      <w:bookmarkEnd w:id="5369"/>
    </w:p>
    <w:p>
      <w:pPr>
        <w:pStyle w:val="Normal"/>
      </w:pPr>
      <w:r>
        <w:t xml:space="preserve">¿Cuál es una propiedad emergente de nuestros modelos mentales sistémicos?</w:t>
      </w:r>
    </w:p>
    <w:p>
      <w:pPr>
        <w:pStyle w:val="Fuente"/>
      </w:pPr>
      <w:r>
        <w:t xml:space="preserve">Ordinal de la fuente: 6.</w:t>
      </w:r>
    </w:p>
    <w:p>
      <w:pPr>
        <w:pStyle w:val="Normal"/>
      </w:pPr>
      <w:r>
        <w:t xml:space="preserve">a) La realidad que representa</w:t>
      </w:r>
    </w:p>
    <w:p>
      <w:pPr>
        <w:pStyle w:val="Normal"/>
      </w:pPr>
      <w:r>
        <w:t xml:space="preserve">b) Los supuestos y creencias</w:t>
      </w:r>
    </w:p>
    <w:p>
      <w:pPr>
        <w:pStyle w:val="Normal"/>
      </w:pPr>
      <w:r>
        <w:t xml:space="preserve">c) Nuestra conducta</w:t>
      </w:r>
    </w:p>
    <w:p>
      <w:pPr>
        <w:pStyle w:val="Normal"/>
      </w:pPr>
      <w:r>
        <w:t xml:space="preserve">d) Los conceptos que los forman</w:t>
      </w:r>
    </w:p>
    <w:p>
      <w:pPr>
        <w:pStyle w:val="Heading3"/>
      </w:pPr>
      <w:bookmarkStart w:name="b_solucion_p1_06_propiedad_emer_423ced80" w:id="5370"/>
      <w:r>
        <w:t xml:space="preserve">Solución 1.6</w:t>
      </w:r>
      <w:bookmarkEnd w:id="5370"/>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c) Nuestra conducta</w:t>
            </w:r>
          </w:p>
        </w:tc>
      </w:tr>
    </w:tbl>
    <w:p>
      <w:pPr>
        <w:pStyle w:val="Heading3"/>
      </w:pPr>
      <w:r>
        <w:t xml:space="preserve">Recuerde qué es una propiedad emergente</w:t>
      </w:r>
    </w:p>
    <w:p>
      <w:pPr>
        <w:pStyle w:val="Normal"/>
      </w:pPr>
      <w:r>
        <w:t xml:space="preserve">Pertenece a la totalidad y no a ninguna parte aislada. La pregunta busca el resultado del conjunto, no sus componentes.</w:t>
      </w:r>
    </w:p>
    <w:p>
      <w:pPr>
        <w:pStyle w:val="Heading3"/>
      </w:pPr>
      <w:r>
        <w:t xml:space="preserve">Separe componentes de resultados</w:t>
      </w:r>
    </w:p>
    <w:p>
      <w:pPr>
        <w:pStyle w:val="Normal"/>
      </w:pPr>
      <w:r>
        <w:t xml:space="preserve">Supuestos, creencias y conceptos son piezas con las que el modelo se construye, así que no pueden ser lo que emerge de él.</w:t>
      </w:r>
    </w:p>
    <w:p>
      <w:pPr>
        <w:pStyle w:val="Fuente"/>
      </w:pPr>
      <w:r>
        <w:t xml:space="preserve">Opciones descartadas: b), d).</w:t>
      </w:r>
    </w:p>
    <w:p>
      <w:pPr>
        <w:pStyle w:val="Heading3"/>
      </w:pPr>
      <w:r>
        <w:t xml:space="preserve">Descarte el referente</w:t>
      </w:r>
    </w:p>
    <w:p>
      <w:pPr>
        <w:pStyle w:val="Normal"/>
      </w:pPr>
      <w:r>
        <w:t xml:space="preserve">La realidad es aquello que el modelo intenta representar, no algo que el modelo produzca.</w:t>
      </w:r>
    </w:p>
    <w:p>
      <w:pPr>
        <w:pStyle w:val="Fuente"/>
      </w:pPr>
      <w:r>
        <w:t xml:space="preserve">Opciones descartadas: a).</w:t>
      </w:r>
    </w:p>
    <w:p>
      <w:pPr>
        <w:pStyle w:val="Normal"/>
      </w:pPr>
      <w:r>
        <w:t xml:space="preserve">a) La realidad que representa — La realidad es el referente del modelo; el modelo no la produce.</w:t>
      </w:r>
    </w:p>
    <w:p>
      <w:pPr>
        <w:pStyle w:val="Normal"/>
      </w:pPr>
      <w:r>
        <w:t xml:space="preserve">b) Los supuestos y creencias — Son componentes que participan en la construcción del modelo mental.</w:t>
      </w:r>
    </w:p>
    <w:p>
      <w:pPr>
        <w:pStyle w:val="Normal"/>
      </w:pPr>
      <w:r>
        <w:t xml:space="preserve">c) Nuestra conducta — Correcta: es el resultado observable que surge de la interacción de creencias, supuestos, interpretaciones y decisiones.</w:t>
      </w:r>
    </w:p>
    <w:p>
      <w:pPr>
        <w:pStyle w:val="Normal"/>
      </w:pPr>
      <w:r>
        <w:t xml:space="preserve">d) Los conceptos que los forman — Son partes constituyentes del modelo, no el resultado emergente.</w:t>
      </w:r>
    </w:p>
    <w:p>
      <w:pPr>
        <w:pStyle w:val="Normal"/>
      </w:pPr>
      <w:r>
        <w:t xml:space="preserve">Criterio de resolución: La clase 5 establece que los factores que determinan nuestros modelos mentales nos llevan a la conducta y a la toma de decisiones. De las cuatro opciones, la conducta es la única que funciona como resultado del sistema mental.</w:t>
      </w:r>
    </w:p>
    <w:p>
      <w:pPr>
        <w:pStyle w:val="Normal"/>
      </w:pPr>
      <w:r>
        <w:t xml:space="preserve">Defensa: Ninguna creencia por sí sola equivale a toda la conducta: esta surge de la interacción del conjunto mental con la situación.</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9C620A" w:sz="20"/>
              <w:bottom w:val="nil"/>
              <w:right w:val="nil"/>
            </w:tcBorders>
            <w:shd w:fill="FBF3DF" w:val="clear"/>
            <w:tcMar>
              <w:top w:type="dxa" w:w="130"/>
              <w:left w:type="dxa" w:w="180"/>
              <w:bottom w:type="dxa" w:w="130"/>
              <w:right w:type="dxa" w:w="180"/>
            </w:tcMar>
          </w:tcPr>
          <w:p>
            <w:pPr>
              <w:pStyle w:val="RecuadroTitulo"/>
            </w:pPr>
            <w:r>
              <w:rPr>
                <w:b/>
                <w:bCs/>
                <w:color w:val="9C620A"/>
              </w:rPr>
              <w:t xml:space="preserve">Advertencia y límites</w:t>
            </w:r>
          </w:p>
          <w:p>
            <w:pPr>
              <w:pStyle w:val="Recuadro"/>
            </w:pPr>
            <w:r>
              <w:t xml:space="preserve">El documento señala que la clase también usa «propiedad emergente» en otro sentido, al explicar que el pensamiento sistémico emerge de reglas simples. Aquí, por la estructura de las opciones, la respuesta esperada es la conducta.</w:t>
            </w:r>
          </w:p>
        </w:tc>
      </w:tr>
    </w:tbl>
    <w:p>
      <w:pPr>
        <w:pStyle w:val="Fuente"/>
      </w:pPr>
      <w:r>
        <w:t xml:space="preserve">Clase 5 · 01:30:05–01:30:26 · Clase 6 · 01:31:37–01:32:34</w:t>
      </w:r>
    </w:p>
    <w:p>
      <w:pPr>
        <w:pStyle w:val="Heading3"/>
      </w:pPr>
      <w:bookmarkStart w:name="b_pregunta_p1_07_pregunta_para__411e018b" w:id="5371"/>
      <w:r>
        <w:t xml:space="preserve">1.7 · Unidad 1 · 1.8 · Hábitos del pensador sistémico</w:t>
      </w:r>
      <w:bookmarkEnd w:id="5371"/>
    </w:p>
    <w:p>
      <w:pPr>
        <w:pStyle w:val="Normal"/>
      </w:pPr>
      <w:r>
        <w:t xml:space="preserve">¿Qué pregunta puede hacerse un pensador sistémico para reconocer y probar sus suposiciones?</w:t>
      </w:r>
    </w:p>
    <w:p>
      <w:pPr>
        <w:pStyle w:val="Fuente"/>
      </w:pPr>
      <w:r>
        <w:t xml:space="preserve">Ordinal de la fuente: 7.</w:t>
      </w:r>
    </w:p>
    <w:p>
      <w:pPr>
        <w:pStyle w:val="Normal"/>
      </w:pPr>
      <w:r>
        <w:t xml:space="preserve">a) ¿Se puede pensar en el sistema desde una perspectiva diferente?</w:t>
      </w:r>
    </w:p>
    <w:p>
      <w:pPr>
        <w:pStyle w:val="Normal"/>
      </w:pPr>
      <w:r>
        <w:t xml:space="preserve">b) ¿Qué tan bien corresponde mi teoría con el comportamiento del sistema estudiado?</w:t>
      </w:r>
    </w:p>
    <w:p>
      <w:pPr>
        <w:pStyle w:val="Normal"/>
      </w:pPr>
      <w:r>
        <w:t xml:space="preserve">c) ¿Qué marco temporal debo considerar cuando analizo el sistema?</w:t>
      </w:r>
    </w:p>
    <w:p>
      <w:pPr>
        <w:pStyle w:val="Normal"/>
      </w:pPr>
      <w:r>
        <w:t xml:space="preserve">d) ¿Estoy abierto a otros puntos de vista?</w:t>
      </w:r>
    </w:p>
    <w:p>
      <w:pPr>
        <w:pStyle w:val="Heading3"/>
      </w:pPr>
      <w:bookmarkStart w:name="b_solucion_p1_07_pregunta_para__644311d8" w:id="5372"/>
      <w:r>
        <w:t xml:space="preserve">Solución 1.7</w:t>
      </w:r>
      <w:bookmarkEnd w:id="5372"/>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b) ¿Qué tan bien corresponde mi teoría con el comportamiento del sistema estudiado?</w:t>
            </w:r>
          </w:p>
        </w:tc>
      </w:tr>
    </w:tbl>
    <w:p>
      <w:pPr>
        <w:pStyle w:val="Heading3"/>
      </w:pPr>
      <w:r>
        <w:t xml:space="preserve">Identifique el verbo de la pregunta</w:t>
      </w:r>
    </w:p>
    <w:p>
      <w:pPr>
        <w:pStyle w:val="Normal"/>
      </w:pPr>
      <w:r>
        <w:t xml:space="preserve">Reconocer y probar. Hace falta una pregunta que haga ambas cosas: sacar a la luz el supuesto y contrastarlo.</w:t>
      </w:r>
    </w:p>
    <w:p>
      <w:pPr>
        <w:pStyle w:val="Heading3"/>
      </w:pPr>
      <w:r>
        <w:t xml:space="preserve">Descarte las que sólo abren perspectiva</w:t>
      </w:r>
    </w:p>
    <w:p>
      <w:pPr>
        <w:pStyle w:val="Normal"/>
      </w:pPr>
      <w:r>
        <w:t xml:space="preserve">Mirar desde otro lugar o estar abierto a otros puntos de vista pertenece al hábito de cambiar perspectivas.</w:t>
      </w:r>
    </w:p>
    <w:p>
      <w:pPr>
        <w:pStyle w:val="Fuente"/>
      </w:pPr>
      <w:r>
        <w:t xml:space="preserve">Opciones descartadas: a), d).</w:t>
      </w:r>
    </w:p>
    <w:p>
      <w:pPr>
        <w:pStyle w:val="Heading3"/>
      </w:pPr>
      <w:r>
        <w:t xml:space="preserve">Descarte la que fija horizonte temporal</w:t>
      </w:r>
    </w:p>
    <w:p>
      <w:pPr>
        <w:pStyle w:val="Normal"/>
      </w:pPr>
      <w:r>
        <w:t xml:space="preserve">El marco temporal es propio del hábito de observar patrones a través del tiempo.</w:t>
      </w:r>
    </w:p>
    <w:p>
      <w:pPr>
        <w:pStyle w:val="Fuente"/>
      </w:pPr>
      <w:r>
        <w:t xml:space="preserve">Opciones descartadas: c).</w:t>
      </w:r>
    </w:p>
    <w:p>
      <w:pPr>
        <w:pStyle w:val="Normal"/>
      </w:pPr>
      <w:r>
        <w:t xml:space="preserve">a) ¿Se puede pensar en el sistema desde una perspectiva diferente? — Se vincula principalmente con el hábito de cambiar perspectivas.</w:t>
      </w:r>
    </w:p>
    <w:p>
      <w:pPr>
        <w:pStyle w:val="Normal"/>
      </w:pPr>
      <w:r>
        <w:t xml:space="preserve">b) ¿Qué tan bien corresponde mi teoría con el comportamiento del sistema estudiado? — Correcta: contrasta la explicación con el comportamiento observado y permite confirmar, corregir o rechazar supuestos.</w:t>
      </w:r>
    </w:p>
    <w:p>
      <w:pPr>
        <w:pStyle w:val="Normal"/>
      </w:pPr>
      <w:r>
        <w:t xml:space="preserve">c) ¿Qué marco temporal debo considerar cuando analizo el sistema? — Se relaciona con los patrones y el pensamiento a través del tiempo.</w:t>
      </w:r>
    </w:p>
    <w:p>
      <w:pPr>
        <w:pStyle w:val="Normal"/>
      </w:pPr>
      <w:r>
        <w:t xml:space="preserve">d) ¿Estoy abierto a otros puntos de vista? — Promueve apertura de perspectiva, pero no prueba directamente la teoría.</w:t>
      </w:r>
    </w:p>
    <w:p>
      <w:pPr>
        <w:pStyle w:val="Normal"/>
      </w:pPr>
      <w:r>
        <w:t xml:space="preserve">Criterio de resolución: El hábito de reconocer y probar suposiciones se apoya en la escalera de inferencias: toda construcción explicativa puede tratarse como una teoría provisional y someterse a contraste con datos y comportamiento real antes de generalizarla.</w:t>
      </w:r>
    </w:p>
    <w:p>
      <w:pPr>
        <w:pStyle w:val="Normal"/>
      </w:pPr>
      <w:r>
        <w:t xml:space="preserve">Defensa: Reconocer una suposición es hacer visible lo que se daba por cierto; probarla es buscar evidencia que pueda respaldarla o refutarla. La opción correcta contiene ambas acciones.</w:t>
      </w:r>
    </w:p>
    <w:p>
      <w:pPr>
        <w:pStyle w:val="Fuente"/>
      </w:pPr>
      <w:r>
        <w:t xml:space="preserve">Clase 3 y Clase 5 · prácticas de la escalera</w:t>
      </w:r>
    </w:p>
    <w:p>
      <w:pPr>
        <w:pStyle w:val="Heading3"/>
      </w:pPr>
      <w:bookmarkStart w:name="b_pregunta_p1_08_mayor_riesgo_d_3f8b7c0b" w:id="5373"/>
      <w:r>
        <w:t xml:space="preserve">1.8 · Unidad 1 · 1.4, 1.5 y 1.8 · Modelos, perspectivas y hábitos</w:t>
      </w:r>
      <w:bookmarkEnd w:id="5373"/>
    </w:p>
    <w:p>
      <w:pPr>
        <w:pStyle w:val="Normal"/>
      </w:pPr>
      <w:r>
        <w:t xml:space="preserve">Aunque un pensador sistémico se esfuerza en obtener la visión más completa posible de la realidad que le interesa comprender, ¿cuál es el mayor riesgo al que se enfrenta al construir su modelo mental sistémico de esa realidad y cómo debe afrontarlo? Explique bien su respuesta.</w:t>
      </w:r>
    </w:p>
    <w:p>
      <w:pPr>
        <w:pStyle w:val="Fuente"/>
      </w:pPr>
      <w:r>
        <w:t xml:space="preserve">Ordinal de la fuente: 8.</w:t>
      </w:r>
    </w:p>
    <w:p>
      <w:pPr>
        <w:pStyle w:val="Heading3"/>
      </w:pPr>
      <w:bookmarkStart w:name="b_solucion_p1_08_mayor_riesgo_d_35f28f87" w:id="5374"/>
      <w:r>
        <w:t xml:space="preserve">Solución 1.8</w:t>
      </w:r>
      <w:bookmarkEnd w:id="5374"/>
    </w:p>
    <w:p>
      <w:pPr>
        <w:pStyle w:val="RecuadroTitulo"/>
      </w:pPr>
      <w:r>
        <w:t xml:space="preserve">Respuesta modelo</w:t>
      </w:r>
    </w:p>
    <w:p>
      <w:pPr>
        <w:pStyle w:val="Normal"/>
      </w:pPr>
      <w:r>
        <w:t xml:space="preserve">El sesgo de la propia perspectiva; se afronta con otras perspectivas, prueba de supuestos y revisión continua.</w:t>
      </w:r>
    </w:p>
    <w:p>
      <w:pPr>
        <w:pStyle w:val="Normal"/>
      </w:pPr>
      <w:r>
        <w:t xml:space="preserve">El mayor riesgo es quedar limitado por la propia perspectiva y confundir el modelo mental con una representación completa de la realidad.</w:t>
      </w:r>
    </w:p>
    <w:p>
      <w:pPr>
        <w:pStyle w:val="Normal"/>
      </w:pPr>
      <w:r>
        <w:t xml:space="preserve">Ocurre porque el modelo sigue condicionado por la perspectiva, la frontera, los supuestos y la información que el modelizador seleccionó. Las operaciones de eliminación y selección pueden dejar fuera datos, partes o relaciones decisivas.</w:t>
      </w:r>
    </w:p>
    <w:p>
      <w:pPr>
        <w:pStyle w:val="Normal"/>
      </w:pPr>
      <w:r>
        <w:t xml:space="preserve">Debe afrontarse reconociendo que toda perspectiva inicial es parcial, incorporando las de otras personas, grupos o entidades que aporten información diferente, haciendo explícitos y probando los supuestos, contrastando el modelo con el comportamiento observado y rediseñándolo cuando la evidencia lo exija.</w:t>
      </w:r>
    </w:p>
    <w:p>
      <w:pPr>
        <w:pStyle w:val="Heading3"/>
      </w:pPr>
      <w:r>
        <w:t xml:space="preserve">Nombre el riesgo con precisión</w:t>
      </w:r>
    </w:p>
    <w:p>
      <w:pPr>
        <w:pStyle w:val="Normal"/>
      </w:pPr>
      <w:r>
        <w:t xml:space="preserve">No es equivocarse en un dato: es confundir el modelo con la realidad completa, quedando limitado por la perspectiva desde la que se construyó.</w:t>
      </w:r>
    </w:p>
    <w:p>
      <w:pPr>
        <w:pStyle w:val="Heading3"/>
      </w:pPr>
      <w:r>
        <w:t xml:space="preserve">Explique por qué ocurre</w:t>
      </w:r>
    </w:p>
    <w:p>
      <w:pPr>
        <w:pStyle w:val="Normal"/>
      </w:pPr>
      <w:r>
        <w:t xml:space="preserve">Las operaciones de selección y eliminación dejan fuera datos, partes y relaciones, y los supuestos del observador sesgan la modelación.</w:t>
      </w:r>
    </w:p>
    <w:p>
      <w:pPr>
        <w:pStyle w:val="Heading3"/>
      </w:pPr>
      <w:r>
        <w:t xml:space="preserve">Proponga cómo afrontarlo</w:t>
      </w:r>
    </w:p>
    <w:p>
      <w:pPr>
        <w:pStyle w:val="Normal"/>
      </w:pPr>
      <w:r>
        <w:t xml:space="preserve">Reconocer que la perspectiva inicial es parcial, incorporar otras, hacer explícitos y probar los supuestos, contrastar con la evidencia y revisar el modelo.</w:t>
      </w:r>
    </w:p>
    <w:p>
      <w:pPr>
        <w:pStyle w:val="Heading3"/>
      </w:pPr>
      <w:r>
        <w:t xml:space="preserve">Cierre sin prometer de más</w:t>
      </w:r>
    </w:p>
    <w:p>
      <w:pPr>
        <w:pStyle w:val="Normal"/>
      </w:pPr>
      <w:r>
        <w:t xml:space="preserve">No se trata de alcanzar la realidad completa, sino de explicitar límites y procedimientos de validación.</w:t>
      </w:r>
    </w:p>
    <w:p>
      <w:pPr>
        <w:pStyle w:val="Normal"/>
      </w:pPr>
      <w:r>
        <w:t xml:space="preserve">Defensa: Un modelo más sistémico puede ser más representativo, pero sigue siendo modelo. La actitud defendible no es afirmar que se alcanzó el cien por cien de la realidad, sino explicitar límites, supuestos, fuentes de evidencia y procedimientos de validación.</w:t>
      </w:r>
    </w:p>
    <w:p>
      <w:pPr>
        <w:pStyle w:val="Heading3"/>
      </w:pPr>
      <w:r>
        <w:t xml:space="preserve">Criterios para una respuesta completa</w:t>
      </w:r>
    </w:p>
    <w:p>
      <w:pPr>
        <w:pStyle w:val="Normal"/>
        <w:numPr>
          <w:ilvl w:val="0"/>
          <w:numId w:val="2"/>
        </w:numPr>
      </w:pPr>
      <w:r>
        <w:t xml:space="preserve">Nombra el riesgo como sesgo de perspectiva o confusión entre modelo y realidad.</w:t>
      </w:r>
    </w:p>
    <w:p>
      <w:pPr>
        <w:pStyle w:val="Normal"/>
        <w:numPr>
          <w:ilvl w:val="0"/>
          <w:numId w:val="2"/>
        </w:numPr>
      </w:pPr>
      <w:r>
        <w:t xml:space="preserve">Explica el mecanismo: selección, eliminación y supuestos del observador.</w:t>
      </w:r>
    </w:p>
    <w:p>
      <w:pPr>
        <w:pStyle w:val="Normal"/>
        <w:numPr>
          <w:ilvl w:val="0"/>
          <w:numId w:val="2"/>
        </w:numPr>
      </w:pPr>
      <w:r>
        <w:t xml:space="preserve">Propone al menos tres acciones para afrontarlo.</w:t>
      </w:r>
    </w:p>
    <w:p>
      <w:pPr>
        <w:pStyle w:val="Normal"/>
        <w:numPr>
          <w:ilvl w:val="0"/>
          <w:numId w:val="2"/>
        </w:numPr>
      </w:pPr>
      <w:r>
        <w:t xml:space="preserve">No afirma que se alcance una representación completa de la realidad.</w:t>
      </w:r>
    </w:p>
    <w:p>
      <w:pPr>
        <w:pStyle w:val="Fuente"/>
      </w:pPr>
      <w:r>
        <w:t xml:space="preserve">Clase 7 · 00:56:01–01:01:05 · Clase 4 · 00:43:45–00:43:57</w:t>
      </w:r>
    </w:p>
    <w:p>
      <w:pPr>
        <w:pStyle w:val="Heading3"/>
      </w:pPr>
      <w:bookmarkStart w:name="b_pregunta_p1_09_equilibrio_dinamico" w:id="5375"/>
      <w:r>
        <w:t xml:space="preserve">1.9 · Unidad 2 · 2.8 · Otros conceptos de la TGS</w:t>
      </w:r>
      <w:bookmarkEnd w:id="5375"/>
    </w:p>
    <w:p>
      <w:pPr>
        <w:pStyle w:val="Normal"/>
      </w:pPr>
      <w:r>
        <w:t xml:space="preserve">¿Qué es lo que puede considerarse como un equilibrio dinámico entre un sistema con su medio?</w:t>
      </w:r>
    </w:p>
    <w:p>
      <w:pPr>
        <w:pStyle w:val="Fuente"/>
      </w:pPr>
      <w:r>
        <w:t xml:space="preserve">Ordinal de la fuente: 9.</w:t>
      </w:r>
    </w:p>
    <w:p>
      <w:pPr>
        <w:pStyle w:val="Normal"/>
      </w:pPr>
      <w:r>
        <w:t xml:space="preserve">a) Emergencia</w:t>
      </w:r>
    </w:p>
    <w:p>
      <w:pPr>
        <w:pStyle w:val="Normal"/>
      </w:pPr>
      <w:r>
        <w:t xml:space="preserve">b) Homeostasis</w:t>
      </w:r>
    </w:p>
    <w:p>
      <w:pPr>
        <w:pStyle w:val="Normal"/>
      </w:pPr>
      <w:r>
        <w:t xml:space="preserve">c) Neguentropía</w:t>
      </w:r>
    </w:p>
    <w:p>
      <w:pPr>
        <w:pStyle w:val="Normal"/>
      </w:pPr>
      <w:r>
        <w:t xml:space="preserve">d) Complejidad</w:t>
      </w:r>
    </w:p>
    <w:p>
      <w:pPr>
        <w:pStyle w:val="Heading3"/>
      </w:pPr>
      <w:bookmarkStart w:name="b_solucion_p1_09_equilibrio_dinamico" w:id="5376"/>
      <w:r>
        <w:t xml:space="preserve">Solución 1.9</w:t>
      </w:r>
      <w:bookmarkEnd w:id="5376"/>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b) Homeostasis</w:t>
            </w:r>
          </w:p>
        </w:tc>
      </w:tr>
    </w:tbl>
    <w:p>
      <w:pPr>
        <w:pStyle w:val="Heading3"/>
      </w:pPr>
      <w:r>
        <w:t xml:space="preserve">Subraye las dos palabras clave</w:t>
      </w:r>
    </w:p>
    <w:p>
      <w:pPr>
        <w:pStyle w:val="Normal"/>
      </w:pPr>
      <w:r>
        <w:t xml:space="preserve">«Equilibrio» y «con su medio». La respuesta tiene que nombrar una regulación respecto del entorno.</w:t>
      </w:r>
    </w:p>
    <w:p>
      <w:pPr>
        <w:pStyle w:val="Heading3"/>
      </w:pPr>
      <w:r>
        <w:t xml:space="preserve">Descarte lo que no regula</w:t>
      </w:r>
    </w:p>
    <w:p>
      <w:pPr>
        <w:pStyle w:val="Normal"/>
      </w:pPr>
      <w:r>
        <w:t xml:space="preserve">La emergencia es aparición de propiedades y la complejidad describe estructura: ninguna de las dos es una regulación.</w:t>
      </w:r>
    </w:p>
    <w:p>
      <w:pPr>
        <w:pStyle w:val="Fuente"/>
      </w:pPr>
      <w:r>
        <w:t xml:space="preserve">Opciones descartadas: a), d).</w:t>
      </w:r>
    </w:p>
    <w:p>
      <w:pPr>
        <w:pStyle w:val="Heading3"/>
      </w:pPr>
      <w:r>
        <w:t xml:space="preserve">Separe homeostasis de neguentropía</w:t>
      </w:r>
    </w:p>
    <w:p>
      <w:pPr>
        <w:pStyle w:val="Normal"/>
      </w:pPr>
      <w:r>
        <w:t xml:space="preserve">La neguentropía se opone al desorden interno; la homeostasis mantiene el equilibrio con el ambiente. El enunciado nombra el medio.</w:t>
      </w:r>
    </w:p>
    <w:p>
      <w:pPr>
        <w:pStyle w:val="Fuente"/>
      </w:pPr>
      <w:r>
        <w:t xml:space="preserve">Opciones descartadas: c).</w:t>
      </w:r>
    </w:p>
    <w:p>
      <w:pPr>
        <w:pStyle w:val="Normal"/>
      </w:pPr>
      <w:r>
        <w:t xml:space="preserve">a) Emergencia — Es la aparición de propiedades del conjunto que no pertenecen a las partes aisladas.</w:t>
      </w:r>
    </w:p>
    <w:p>
      <w:pPr>
        <w:pStyle w:val="Normal"/>
      </w:pPr>
      <w:r>
        <w:t xml:space="preserve">b) Homeostasis — Correcta: es el equilibrio dinámico mediante el cual el sistema se regula y se adapta a las perturbaciones del entorno.</w:t>
      </w:r>
    </w:p>
    <w:p>
      <w:pPr>
        <w:pStyle w:val="Normal"/>
      </w:pPr>
      <w:r>
        <w:t xml:space="preserve">c) Neguentropía — Es la energía o el mecanismo que se opone al desorden y ayuda a conservar la organización.</w:t>
      </w:r>
    </w:p>
    <w:p>
      <w:pPr>
        <w:pStyle w:val="Normal"/>
      </w:pPr>
      <w:r>
        <w:t xml:space="preserve">d) Complejidad — Describe diversidad, relaciones y niveles, no el equilibrio con el medio.</w:t>
      </w:r>
    </w:p>
    <w:p>
      <w:pPr>
        <w:pStyle w:val="Normal"/>
      </w:pPr>
      <w:r>
        <w:t xml:space="preserve">Criterio de resolución: La clase 9 define la homeostasis como un equilibrio dinámico mediante el cual el sistema, al interactuar con su ambiente, realiza procesos internos y regula entradas y salidas para mantener condiciones compatibles con su existencia.</w:t>
      </w:r>
    </w:p>
    <w:p>
      <w:pPr>
        <w:pStyle w:val="Normal"/>
      </w:pPr>
      <w:r>
        <w:t xml:space="preserve">Defensa: «Equilibrio» no significa inmovilidad: es dinámico porque el sistema cambia y se ajusta continuamente para conservar determinadas variables dentro de límites viables.</w:t>
      </w:r>
    </w:p>
    <w:p>
      <w:pPr>
        <w:pStyle w:val="Fuente"/>
      </w:pPr>
      <w:r>
        <w:t xml:space="preserve">Clase 9 · 00:43:59–00:45:35</w:t>
      </w:r>
    </w:p>
    <w:p>
      <w:pPr>
        <w:pStyle w:val="Heading3"/>
      </w:pPr>
      <w:bookmarkStart w:name="b_pregunta_p1_10_rompecabezas_o_ajedrez" w:id="5377"/>
      <w:r>
        <w:t xml:space="preserve">1.10 · Unidad 2 · 2.6 · Complejidad sistémica</w:t>
      </w:r>
      <w:bookmarkEnd w:id="5377"/>
    </w:p>
    <w:p>
      <w:pPr>
        <w:pStyle w:val="Normal"/>
      </w:pPr>
      <w:r>
        <w:t xml:space="preserve">¿Cuál de los siguientes sistemas es más complejo: 1) un rompecabezas de 1000 piezas, 2) una partida de ajedrez? Justifique su respuesta.</w:t>
      </w:r>
    </w:p>
    <w:p>
      <w:pPr>
        <w:pStyle w:val="Fuente"/>
      </w:pPr>
      <w:r>
        <w:t xml:space="preserve">Ordinal de la fuente: 10.</w:t>
      </w:r>
    </w:p>
    <w:p>
      <w:pPr>
        <w:pStyle w:val="Heading3"/>
      </w:pPr>
      <w:bookmarkStart w:name="b_solucion_p1_10_rompecabezas_o_ajedrez" w:id="5378"/>
      <w:r>
        <w:t xml:space="preserve">Solución 1.10</w:t>
      </w:r>
      <w:bookmarkEnd w:id="5378"/>
    </w:p>
    <w:p>
      <w:pPr>
        <w:pStyle w:val="RecuadroTitulo"/>
      </w:pPr>
      <w:r>
        <w:t xml:space="preserve">Respuesta modelo</w:t>
      </w:r>
    </w:p>
    <w:p>
      <w:pPr>
        <w:pStyle w:val="Normal"/>
      </w:pPr>
      <w:r>
        <w:t xml:space="preserve">La partida de ajedrez.</w:t>
      </w:r>
    </w:p>
    <w:p>
      <w:pPr>
        <w:pStyle w:val="Normal"/>
      </w:pPr>
      <w:r>
        <w:t xml:space="preserve">La partida de ajedrez es más compleja, porque la complejidad no depende sólo de la cantidad de elementos sino también del número, la variedad y la dinámica de las relaciones posibles.</w:t>
      </w:r>
    </w:p>
    <w:p>
      <w:pPr>
        <w:pStyle w:val="Normal"/>
      </w:pPr>
      <w:r>
        <w:t xml:space="preserve">En el rompecabezas las relaciones están predeterminadas y limitadas por la vecindad de cada pieza, y conducen a una única configuración final. En el ajedrez, cada movimiento reorganiza el sistema y altera simultáneamente las posibilidades de muchas piezas, generando gran cantidad de configuraciones e interdependencias.</w:t>
      </w:r>
    </w:p>
    <w:p>
      <w:pPr>
        <w:pStyle w:val="Normal"/>
      </w:pPr>
      <w:r>
        <w:t xml:space="preserve">Por eso contar componentes no basta: la conectividad y la variabilidad de las relaciones hacen más complejo al ajedrez pese a tener menos piezas.</w:t>
      </w:r>
    </w:p>
    <w:p>
      <w:pPr>
        <w:pStyle w:val="Heading3"/>
      </w:pPr>
      <w:r>
        <w:t xml:space="preserve">Rechace el criterio de la cantidad</w:t>
      </w:r>
    </w:p>
    <w:p>
      <w:pPr>
        <w:pStyle w:val="Normal"/>
      </w:pPr>
      <w:r>
        <w:t xml:space="preserve">El rompecabezas tiene más piezas, de modo que contar componentes llevaría a la respuesta contraria. La complejidad no se mide sólo así.</w:t>
      </w:r>
    </w:p>
    <w:p>
      <w:pPr>
        <w:pStyle w:val="Heading3"/>
      </w:pPr>
      <w:r>
        <w:t xml:space="preserve">Mire las relaciones de cada caso</w:t>
      </w:r>
    </w:p>
    <w:p>
      <w:pPr>
        <w:pStyle w:val="Normal"/>
      </w:pPr>
      <w:r>
        <w:t xml:space="preserve">En el rompecabezas cada pieza mantiene pocas relaciones vecinales y conduce a una configuración final definida.</w:t>
      </w:r>
    </w:p>
    <w:p>
      <w:pPr>
        <w:pStyle w:val="Heading3"/>
      </w:pPr>
      <w:r>
        <w:t xml:space="preserve">Mire la dinámica</w:t>
      </w:r>
    </w:p>
    <w:p>
      <w:pPr>
        <w:pStyle w:val="Normal"/>
      </w:pPr>
      <w:r>
        <w:t xml:space="preserve">En el ajedrez cada movimiento reorganiza el sistema y altera a la vez las posibilidades de muchas piezas, generando una enorme cantidad de estados.</w:t>
      </w:r>
    </w:p>
    <w:p>
      <w:pPr>
        <w:pStyle w:val="Heading3"/>
      </w:pPr>
      <w:r>
        <w:t xml:space="preserve">Concluya sin negar lo otro</w:t>
      </w:r>
    </w:p>
    <w:p>
      <w:pPr>
        <w:pStyle w:val="Normal"/>
      </w:pPr>
      <w:r>
        <w:t xml:space="preserve">El número de partes es una dimensión de la complejidad, pero aquí la riqueza y variabilidad de las relaciones la supera.</w:t>
      </w:r>
    </w:p>
    <w:p>
      <w:pPr>
        <w:pStyle w:val="Normal"/>
      </w:pPr>
      <w:r>
        <w:t xml:space="preserve">Defensa: No debe afirmarse que el número de partes sea irrelevante: es una dimensión de la complejidad. La conclusión se sostiene porque, en este caso, la riqueza de las relaciones supera el efecto de la mayor cantidad de piezas.</w:t>
      </w:r>
    </w:p>
    <w:p>
      <w:pPr>
        <w:pStyle w:val="Heading3"/>
      </w:pPr>
      <w:r>
        <w:t xml:space="preserve">Criterios para una respuesta completa</w:t>
      </w:r>
    </w:p>
    <w:p>
      <w:pPr>
        <w:pStyle w:val="Normal"/>
        <w:numPr>
          <w:ilvl w:val="0"/>
          <w:numId w:val="2"/>
        </w:numPr>
      </w:pPr>
      <w:r>
        <w:t xml:space="preserve">Responde que el ajedrez.</w:t>
      </w:r>
    </w:p>
    <w:p>
      <w:pPr>
        <w:pStyle w:val="Normal"/>
        <w:numPr>
          <w:ilvl w:val="0"/>
          <w:numId w:val="2"/>
        </w:numPr>
      </w:pPr>
      <w:r>
        <w:t xml:space="preserve">Justifica por las relaciones y su dinámica, no por la cantidad de piezas.</w:t>
      </w:r>
    </w:p>
    <w:p>
      <w:pPr>
        <w:pStyle w:val="Normal"/>
        <w:numPr>
          <w:ilvl w:val="0"/>
          <w:numId w:val="2"/>
        </w:numPr>
      </w:pPr>
      <w:r>
        <w:t xml:space="preserve">Reconoce que el número de partes sí es una dimensión de la complejidad.</w:t>
      </w:r>
    </w:p>
    <w:p>
      <w:pPr>
        <w:pStyle w:val="Fuente"/>
      </w:pPr>
      <w:r>
        <w:t xml:space="preserve">Lectura de introducción a la TGS, p. 28</w:t>
      </w:r>
    </w:p>
    <w:p>
      <w:pPr>
        <w:pStyle w:val="Heading3"/>
      </w:pPr>
      <w:bookmarkStart w:name="b_pregunta_p1_11_entrada_del_sistema" w:id="5379"/>
      <w:r>
        <w:t xml:space="preserve">1.11 · Unidad 2 · 2.2–2.3 · Concepto y estructura del sistema</w:t>
      </w:r>
      <w:bookmarkEnd w:id="5379"/>
    </w:p>
    <w:p>
      <w:pPr>
        <w:pStyle w:val="Normal"/>
      </w:pPr>
      <w:r>
        <w:t xml:space="preserve">¿Cómo se denomina al paso de energía o recursos del exterior del límite de un sistema al interior?</w:t>
      </w:r>
    </w:p>
    <w:p>
      <w:pPr>
        <w:pStyle w:val="Fuente"/>
      </w:pPr>
      <w:r>
        <w:t xml:space="preserve">Ordinal de la fuente: 11.</w:t>
      </w:r>
    </w:p>
    <w:p>
      <w:pPr>
        <w:pStyle w:val="Normal"/>
      </w:pPr>
      <w:r>
        <w:t xml:space="preserve">a) Entrada del sistema</w:t>
      </w:r>
    </w:p>
    <w:p>
      <w:pPr>
        <w:pStyle w:val="Normal"/>
      </w:pPr>
      <w:r>
        <w:t xml:space="preserve">b) Retroalimentación del sistema</w:t>
      </w:r>
    </w:p>
    <w:p>
      <w:pPr>
        <w:pStyle w:val="Normal"/>
      </w:pPr>
      <w:r>
        <w:t xml:space="preserve">c) Entropía</w:t>
      </w:r>
    </w:p>
    <w:p>
      <w:pPr>
        <w:pStyle w:val="Normal"/>
      </w:pPr>
      <w:r>
        <w:t xml:space="preserve">d) Relación significativa del sistema</w:t>
      </w:r>
    </w:p>
    <w:p>
      <w:pPr>
        <w:pStyle w:val="Heading3"/>
      </w:pPr>
      <w:bookmarkStart w:name="b_solucion_p1_11_entrada_del_sistema" w:id="5380"/>
      <w:r>
        <w:t xml:space="preserve">Solución 1.11</w:t>
      </w:r>
      <w:bookmarkEnd w:id="5380"/>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a) Entrada del sistema</w:t>
            </w:r>
          </w:p>
        </w:tc>
      </w:tr>
    </w:tbl>
    <w:p>
      <w:pPr>
        <w:pStyle w:val="Heading3"/>
      </w:pPr>
      <w:r>
        <w:t xml:space="preserve">Fíjese en la dirección del cruce</w:t>
      </w:r>
    </w:p>
    <w:p>
      <w:pPr>
        <w:pStyle w:val="Normal"/>
      </w:pPr>
      <w:r>
        <w:t xml:space="preserve">El enunciado dice del exterior al interior. Entorno, frontera, sistema: eso es una entrada.</w:t>
      </w:r>
    </w:p>
    <w:p>
      <w:pPr>
        <w:pStyle w:val="Heading3"/>
      </w:pPr>
      <w:r>
        <w:t xml:space="preserve">Descarte los conceptos de otro eje</w:t>
      </w:r>
    </w:p>
    <w:p>
      <w:pPr>
        <w:pStyle w:val="Normal"/>
      </w:pPr>
      <w:r>
        <w:t xml:space="preserve">La entropía mide desorden y la relación significativa nombra una conexión; ninguna describe un flujo de ingreso.</w:t>
      </w:r>
    </w:p>
    <w:p>
      <w:pPr>
        <w:pStyle w:val="Fuente"/>
      </w:pPr>
      <w:r>
        <w:t xml:space="preserve">Opciones descartadas: c), d).</w:t>
      </w:r>
    </w:p>
    <w:p>
      <w:pPr>
        <w:pStyle w:val="Heading3"/>
      </w:pPr>
      <w:r>
        <w:t xml:space="preserve">Separe entrada de retroalimentación</w:t>
      </w:r>
    </w:p>
    <w:p>
      <w:pPr>
        <w:pStyle w:val="Normal"/>
      </w:pPr>
      <w:r>
        <w:t xml:space="preserve">La retroalimentación es información que vuelve sobre el sistema tras haber salido de él. No todo lo que entra viene de vuelta.</w:t>
      </w:r>
    </w:p>
    <w:p>
      <w:pPr>
        <w:pStyle w:val="Fuente"/>
      </w:pPr>
      <w:r>
        <w:t xml:space="preserve">Opciones descartadas: b).</w:t>
      </w:r>
    </w:p>
    <w:p>
      <w:pPr>
        <w:pStyle w:val="Normal"/>
      </w:pPr>
      <w:r>
        <w:t xml:space="preserve">a) Entrada del sistema — Correcta: es el flujo de materia, energía, información o recursos que atraviesa la frontera desde el entorno hacia el sistema.</w:t>
      </w:r>
    </w:p>
    <w:p>
      <w:pPr>
        <w:pStyle w:val="Normal"/>
      </w:pPr>
      <w:r>
        <w:t xml:space="preserve">b) Retroalimentación del sistema — Es información o influencia que vuelve a afectar el comportamiento del sistema; no todo ingreso es retroalimentación.</w:t>
      </w:r>
    </w:p>
    <w:p>
      <w:pPr>
        <w:pStyle w:val="Normal"/>
      </w:pPr>
      <w:r>
        <w:t xml:space="preserve">c) Entropía — Se relaciona con el desorden o la pérdida de organización.</w:t>
      </w:r>
    </w:p>
    <w:p>
      <w:pPr>
        <w:pStyle w:val="Normal"/>
      </w:pPr>
      <w:r>
        <w:t xml:space="preserve">d) Relación significativa del sistema — Es una conexión relevante entre elementos, no el nombre del flujo de ingreso.</w:t>
      </w:r>
    </w:p>
    <w:p>
      <w:pPr>
        <w:pStyle w:val="Normal"/>
      </w:pPr>
      <w:r>
        <w:t xml:space="preserve">Criterio de resolución: La estructura funcional de un sistema distingue entradas, procesos y salidas. Cuando energía, materia, información o recursos cruzan la frontera desde el entorno hacia el interior, se denominan entradas.</w:t>
      </w:r>
    </w:p>
    <w:p>
      <w:pPr>
        <w:pStyle w:val="Normal"/>
      </w:pPr>
      <w:r>
        <w:t xml:space="preserve">Defensa: La dirección del cruce resuelve el ítem: entorno hacia el sistema es entrada; sistema hacia el entorno es salida.</w:t>
      </w:r>
    </w:p>
    <w:p>
      <w:pPr>
        <w:pStyle w:val="Fuente"/>
      </w:pPr>
      <w:r>
        <w:t xml:space="preserve">Clase 7 · entradas, salidas y frontera</w:t>
      </w:r>
    </w:p>
    <w:p>
      <w:pPr>
        <w:pStyle w:val="Heading3"/>
      </w:pPr>
      <w:bookmarkStart w:name="b_pregunta_p1_12_nivel_que_expl_a22a1043" w:id="5381"/>
      <w:r>
        <w:t xml:space="preserve">1.12 · Unidad 1 · 1.7 · Modelo del iceberg</w:t>
      </w:r>
      <w:bookmarkEnd w:id="5381"/>
    </w:p>
    <w:p>
      <w:pPr>
        <w:pStyle w:val="Normal"/>
      </w:pPr>
      <w:r>
        <w:t xml:space="preserve">De acuerdo al modelo del iceberg de las perspectivas sistémicas, ¿cuál es la perspectiva que nos permite responder la pregunta «¿cuáles son las razones o causas de lo que ha estado pasando?»?</w:t>
      </w:r>
    </w:p>
    <w:p>
      <w:pPr>
        <w:pStyle w:val="Fuente"/>
      </w:pPr>
      <w:r>
        <w:t xml:space="preserve">Ordinal de la fuente: 12.</w:t>
      </w:r>
    </w:p>
    <w:p>
      <w:pPr>
        <w:pStyle w:val="Normal"/>
      </w:pPr>
      <w:r>
        <w:t xml:space="preserve">a) Estructura</w:t>
      </w:r>
    </w:p>
    <w:p>
      <w:pPr>
        <w:pStyle w:val="Normal"/>
      </w:pPr>
      <w:r>
        <w:t xml:space="preserve">b) Modelos mentales</w:t>
      </w:r>
    </w:p>
    <w:p>
      <w:pPr>
        <w:pStyle w:val="Normal"/>
      </w:pPr>
      <w:r>
        <w:t xml:space="preserve">c) Ontológica</w:t>
      </w:r>
    </w:p>
    <w:p>
      <w:pPr>
        <w:pStyle w:val="Normal"/>
      </w:pPr>
      <w:r>
        <w:t xml:space="preserve">d) Patrones</w:t>
      </w:r>
    </w:p>
    <w:p>
      <w:pPr>
        <w:pStyle w:val="Normal"/>
      </w:pPr>
      <w:r>
        <w:t xml:space="preserve">e) Funcional</w:t>
      </w:r>
    </w:p>
    <w:p>
      <w:pPr>
        <w:pStyle w:val="Normal"/>
      </w:pPr>
      <w:r>
        <w:t xml:space="preserve">f) Ninguna respuesta es correcta</w:t>
      </w:r>
    </w:p>
    <w:p>
      <w:pPr>
        <w:pStyle w:val="Normal"/>
      </w:pPr>
      <w:r>
        <w:t xml:space="preserve">g) Genética</w:t>
      </w:r>
    </w:p>
    <w:p>
      <w:pPr>
        <w:pStyle w:val="Normal"/>
      </w:pPr>
      <w:r>
        <w:t xml:space="preserve">h) Eventos</w:t>
      </w:r>
    </w:p>
    <w:p>
      <w:pPr>
        <w:pStyle w:val="Heading3"/>
      </w:pPr>
      <w:bookmarkStart w:name="b_solucion_p1_12_nivel_que_expl_625be5af" w:id="5382"/>
      <w:r>
        <w:t xml:space="preserve">Solución 1.12</w:t>
      </w:r>
      <w:bookmarkEnd w:id="5382"/>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a) Estructura</w:t>
            </w:r>
          </w:p>
        </w:tc>
      </w:tr>
    </w:tbl>
    <w:p>
      <w:pPr>
        <w:pStyle w:val="Heading3"/>
      </w:pPr>
      <w:r>
        <w:t xml:space="preserve">Separe los dos marcos que el ítem mezcla</w:t>
      </w:r>
    </w:p>
    <w:p>
      <w:pPr>
        <w:pStyle w:val="Normal"/>
      </w:pPr>
      <w:r>
        <w:t xml:space="preserve">Eventos, patrones, estructuras y modelos mentales pertenecen al iceberg. Ontológica, funcional y genética son perspectivas generales del sistema.</w:t>
      </w:r>
    </w:p>
    <w:p>
      <w:pPr>
        <w:pStyle w:val="Fuente"/>
      </w:pPr>
      <w:r>
        <w:t xml:space="preserve">Opciones descartadas: c), e), g).</w:t>
      </w:r>
    </w:p>
    <w:p>
      <w:pPr>
        <w:pStyle w:val="Heading3"/>
      </w:pPr>
      <w:r>
        <w:t xml:space="preserve">Localice la palabra decisiva</w:t>
      </w:r>
    </w:p>
    <w:p>
      <w:pPr>
        <w:pStyle w:val="Normal"/>
      </w:pPr>
      <w:r>
        <w:t xml:space="preserve">«Causas» no es «qué ha pasado» ni «qué se cree»: es el nivel que explica por qué se producen los patrones.</w:t>
      </w:r>
    </w:p>
    <w:p>
      <w:pPr>
        <w:pStyle w:val="Fuente"/>
      </w:pPr>
      <w:r>
        <w:t xml:space="preserve">Opciones descartadas: b), d), h).</w:t>
      </w:r>
    </w:p>
    <w:p>
      <w:pPr>
        <w:pStyle w:val="Heading3"/>
      </w:pPr>
      <w:r>
        <w:t xml:space="preserve">Descarte la salida fácil</w:t>
      </w:r>
    </w:p>
    <w:p>
      <w:pPr>
        <w:pStyle w:val="Normal"/>
      </w:pPr>
      <w:r>
        <w:t xml:space="preserve">Existe una respuesta dentro del iceberg, de modo que «ninguna» no procede.</w:t>
      </w:r>
    </w:p>
    <w:p>
      <w:pPr>
        <w:pStyle w:val="Fuente"/>
      </w:pPr>
      <w:r>
        <w:t xml:space="preserve">Opciones descartadas: f).</w:t>
      </w:r>
    </w:p>
    <w:p>
      <w:pPr>
        <w:pStyle w:val="Normal"/>
      </w:pPr>
      <w:r>
        <w:t xml:space="preserve">a) Estructura — Correcta: pregunta por las relaciones, reglas y mecanismos que producen los patrones observados.</w:t>
      </w:r>
    </w:p>
    <w:p>
      <w:pPr>
        <w:pStyle w:val="Normal"/>
      </w:pPr>
      <w:r>
        <w:t xml:space="preserve">b) Modelos mentales — Pregunta por las creencias, valores y supuestos que sostienen la estructura.</w:t>
      </w:r>
    </w:p>
    <w:p>
      <w:pPr>
        <w:pStyle w:val="Normal"/>
      </w:pPr>
      <w:r>
        <w:t xml:space="preserve">c) Ontológica — Pertenece a otro esquema de perspectivas: qué es el sistema, sus partes y relaciones.</w:t>
      </w:r>
    </w:p>
    <w:p>
      <w:pPr>
        <w:pStyle w:val="Normal"/>
      </w:pPr>
      <w:r>
        <w:t xml:space="preserve">d) Patrones — Describe qué ha venido pasando y cuál es la tendencia, no sus causas estructurales.</w:t>
      </w:r>
    </w:p>
    <w:p>
      <w:pPr>
        <w:pStyle w:val="Normal"/>
      </w:pPr>
      <w:r>
        <w:t xml:space="preserve">e) Funcional — Pertenece al esquema ontológico, funcional y genético, y describe cómo funciona el sistema.</w:t>
      </w:r>
    </w:p>
    <w:p>
      <w:pPr>
        <w:pStyle w:val="Normal"/>
      </w:pPr>
      <w:r>
        <w:t xml:space="preserve">f) Ninguna respuesta es correcta — Sí existe una respuesta: la estructura.</w:t>
      </w:r>
    </w:p>
    <w:p>
      <w:pPr>
        <w:pStyle w:val="Normal"/>
      </w:pPr>
      <w:r>
        <w:t xml:space="preserve">g) Genética — Describe la evolución o el devenir del sistema, no el nivel causal del iceberg.</w:t>
      </w:r>
    </w:p>
    <w:p>
      <w:pPr>
        <w:pStyle w:val="Normal"/>
      </w:pPr>
      <w:r>
        <w:t xml:space="preserve">h) Eventos — Responde qué ocurrió o qué está ocurriendo ahora.</w:t>
      </w:r>
    </w:p>
    <w:p>
      <w:pPr>
        <w:pStyle w:val="Normal"/>
      </w:pPr>
      <w:r>
        <w:t xml:space="preserve">Criterio de resolución: El nivel de estructuras sistémicas responde por qué sucede lo que sucede: identifica relaciones, reglas, procesos y mecanismos que generan los patrones. El nivel de patrones responde qué ha venido pasando; la palabra «causas» desplaza la pregunta al nivel estructural.</w:t>
      </w:r>
    </w:p>
    <w:p>
      <w:pPr>
        <w:pStyle w:val="Normal"/>
      </w:pPr>
      <w:r>
        <w:t xml:space="preserve">Defensa: Distinguir los dos marcos es parte de la respuesta: el ítem ofrece opciones de dos esquemas distintos y sólo uno de ellos tiene niveles.</w:t>
      </w:r>
    </w:p>
    <w:p>
      <w:pPr>
        <w:pStyle w:val="Fuente"/>
      </w:pPr>
      <w:r>
        <w:t xml:space="preserve">Clase 4 · preguntas guía de los cuatro niveles</w:t>
      </w:r>
    </w:p>
    <w:p>
      <w:pPr>
        <w:pStyle w:val="Heading3"/>
      </w:pPr>
      <w:bookmarkStart w:name="b_pregunta_p1_13_sistemas_proba_f255688b" w:id="5383"/>
      <w:r>
        <w:t xml:space="preserve">1.13 · Unidad 2 · 2.8 · Clasificaciones adicionales</w:t>
      </w:r>
      <w:bookmarkEnd w:id="5383"/>
    </w:p>
    <w:p>
      <w:pPr>
        <w:pStyle w:val="Normal"/>
      </w:pPr>
      <w:r>
        <w:t xml:space="preserve">¿Cómo se denominan los sistemas en los que no se conoce con exactitud la relación existente entre sus partes, por lo que un estado no puede ser determinado con exactitud con base en resultados anteriores?</w:t>
      </w:r>
    </w:p>
    <w:p>
      <w:pPr>
        <w:pStyle w:val="Fuente"/>
      </w:pPr>
      <w:r>
        <w:t xml:space="preserve">Ordinal de la fuente: 13.</w:t>
      </w:r>
    </w:p>
    <w:p>
      <w:pPr>
        <w:pStyle w:val="Normal"/>
      </w:pPr>
      <w:r>
        <w:t xml:space="preserve">a) Concretos</w:t>
      </w:r>
    </w:p>
    <w:p>
      <w:pPr>
        <w:pStyle w:val="Normal"/>
      </w:pPr>
      <w:r>
        <w:t xml:space="preserve">b) Abiertos</w:t>
      </w:r>
    </w:p>
    <w:p>
      <w:pPr>
        <w:pStyle w:val="Normal"/>
      </w:pPr>
      <w:r>
        <w:t xml:space="preserve">c) Probabilísticos</w:t>
      </w:r>
    </w:p>
    <w:p>
      <w:pPr>
        <w:pStyle w:val="Normal"/>
      </w:pPr>
      <w:r>
        <w:t xml:space="preserve">d) Naturales</w:t>
      </w:r>
    </w:p>
    <w:p>
      <w:pPr>
        <w:pStyle w:val="Heading3"/>
      </w:pPr>
      <w:bookmarkStart w:name="b_solucion_p1_13_sistemas_proba_a790a713" w:id="5384"/>
      <w:r>
        <w:t xml:space="preserve">Solución 1.13</w:t>
      </w:r>
      <w:bookmarkEnd w:id="5384"/>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c) Probabilísticos</w:t>
            </w:r>
          </w:p>
        </w:tc>
      </w:tr>
    </w:tbl>
    <w:p>
      <w:pPr>
        <w:pStyle w:val="Heading3"/>
      </w:pPr>
      <w:r>
        <w:t xml:space="preserve">Identifique el criterio del enunciado</w:t>
      </w:r>
    </w:p>
    <w:p>
      <w:pPr>
        <w:pStyle w:val="Normal"/>
      </w:pPr>
      <w:r>
        <w:t xml:space="preserve">Habla de poder o no determinar el estado siguiente. El criterio es la predictibilidad.</w:t>
      </w:r>
    </w:p>
    <w:p>
      <w:pPr>
        <w:pStyle w:val="Heading3"/>
      </w:pPr>
      <w:r>
        <w:t xml:space="preserve">Descarte los otros ejes de clasificación</w:t>
      </w:r>
    </w:p>
    <w:p>
      <w:pPr>
        <w:pStyle w:val="Normal"/>
      </w:pPr>
      <w:r>
        <w:t xml:space="preserve">Concreto opone a abstracto, abierto opone a cerrado y natural opone a diseñado. Ninguno mide predictibilidad.</w:t>
      </w:r>
    </w:p>
    <w:p>
      <w:pPr>
        <w:pStyle w:val="Fuente"/>
      </w:pPr>
      <w:r>
        <w:t xml:space="preserve">Opciones descartadas: a), b), d).</w:t>
      </w:r>
    </w:p>
    <w:p>
      <w:pPr>
        <w:pStyle w:val="Normal"/>
      </w:pPr>
      <w:r>
        <w:t xml:space="preserve">a) Concretos — Clasifica según la tangibilidad de los componentes.</w:t>
      </w:r>
    </w:p>
    <w:p>
      <w:pPr>
        <w:pStyle w:val="Normal"/>
      </w:pPr>
      <w:r>
        <w:t xml:space="preserve">b) Abiertos — Clasifica según el intercambio con el ambiente.</w:t>
      </w:r>
    </w:p>
    <w:p>
      <w:pPr>
        <w:pStyle w:val="Normal"/>
      </w:pPr>
      <w:r>
        <w:t xml:space="preserve">c) Probabilísticos — Correcta: el estado siguiente no puede determinarse con certeza; sólo pueden estimarse probabilidades.</w:t>
      </w:r>
    </w:p>
    <w:p>
      <w:pPr>
        <w:pStyle w:val="Normal"/>
      </w:pPr>
      <w:r>
        <w:t xml:space="preserve">d) Naturales — Clasifica según el origen del sistema.</w:t>
      </w:r>
    </w:p>
    <w:p>
      <w:pPr>
        <w:pStyle w:val="Normal"/>
      </w:pPr>
      <w:r>
        <w:t xml:space="preserve">Criterio de resolución: La lectura define los sistemas probabilísticos casi con las palabras del enunciado: no se conoce con exactitud la relación entre las partes y, por tanto, un estado no puede determinarse a partir de resultados anteriores; a entradas iguales pueden corresponder salidas diferentes.</w:t>
      </w:r>
    </w:p>
    <w:p>
      <w:pPr>
        <w:pStyle w:val="Normal"/>
      </w:pPr>
      <w:r>
        <w:t xml:space="preserve">Defensa: Las opciones pertenecen a ejes distintos. Como el criterio del enunciado es la predictibilidad, debe elegirse probabilístico y no abierto, concreto o natural.</w:t>
      </w:r>
    </w:p>
    <w:p>
      <w:pPr>
        <w:pStyle w:val="Fuente"/>
      </w:pPr>
      <w:r>
        <w:t xml:space="preserve">Lectura de introducción a la TGS, p. 25</w:t>
      </w:r>
    </w:p>
    <w:p>
      <w:pPr>
        <w:pStyle w:val="Heading3"/>
      </w:pPr>
      <w:bookmarkStart w:name="b_pregunta_p1_14_la_discordancia" w:id="5385"/>
      <w:r>
        <w:t xml:space="preserve">1.14 · Unidad 1 · 1.4 · Modelos mentales sistémicos</w:t>
      </w:r>
      <w:bookmarkEnd w:id="5385"/>
    </w:p>
    <w:p>
      <w:pPr>
        <w:pStyle w:val="Normal"/>
      </w:pPr>
      <w:r>
        <w:t xml:space="preserve">¿Cuál es la discordancia que busca resolver el pensamiento sistémico?</w:t>
      </w:r>
    </w:p>
    <w:p>
      <w:pPr>
        <w:pStyle w:val="Fuente"/>
      </w:pPr>
      <w:r>
        <w:t xml:space="preserve">Ordinal de la fuente: 14.</w:t>
      </w:r>
    </w:p>
    <w:p>
      <w:pPr>
        <w:pStyle w:val="Heading3"/>
      </w:pPr>
      <w:bookmarkStart w:name="b_solucion_p1_14_la_discordancia" w:id="5386"/>
      <w:r>
        <w:t xml:space="preserve">Solución 1.14</w:t>
      </w:r>
      <w:bookmarkEnd w:id="5386"/>
    </w:p>
    <w:p>
      <w:pPr>
        <w:pStyle w:val="RecuadroTitulo"/>
      </w:pPr>
      <w:r>
        <w:t xml:space="preserve">Respuesta modelo</w:t>
      </w:r>
    </w:p>
    <w:p>
      <w:pPr>
        <w:pStyle w:val="Normal"/>
      </w:pPr>
      <w:r>
        <w:t xml:space="preserve">La brecha entre cómo funcionan los sistemas reales y cómo pensamos que funcionan.</w:t>
      </w:r>
    </w:p>
    <w:p>
      <w:pPr>
        <w:pStyle w:val="Normal"/>
      </w:pPr>
      <w:r>
        <w:t xml:space="preserve">La discordancia entre cómo funcionan realmente los sistemas del mundo real y cómo nuestros modelos mentales creen o suponen que funcionan.</w:t>
      </w:r>
    </w:p>
    <w:p>
      <w:pPr>
        <w:pStyle w:val="Normal"/>
      </w:pPr>
      <w:r>
        <w:t xml:space="preserve">El pensamiento sistémico busca reducir esa brecha construyendo modelos mentales más amplios, relacionales, comprobables y revisables.</w:t>
      </w:r>
    </w:p>
    <w:p>
      <w:pPr>
        <w:pStyle w:val="Heading3"/>
      </w:pPr>
      <w:r>
        <w:t xml:space="preserve">Identifique los dos términos que se comparan</w:t>
      </w:r>
    </w:p>
    <w:p>
      <w:pPr>
        <w:pStyle w:val="Normal"/>
      </w:pPr>
      <w:r>
        <w:t xml:space="preserve">Por un lado el comportamiento real del sistema; por otro, la representación mental con la que decidimos.</w:t>
      </w:r>
    </w:p>
    <w:p>
      <w:pPr>
        <w:pStyle w:val="Heading3"/>
      </w:pPr>
      <w:r>
        <w:t xml:space="preserve">Nombre la distancia entre ellos</w:t>
      </w:r>
    </w:p>
    <w:p>
      <w:pPr>
        <w:pStyle w:val="Normal"/>
      </w:pPr>
      <w:r>
        <w:t xml:space="preserve">Esa distancia es la discordancia, y es donde aparecen los problemas complejos.</w:t>
      </w:r>
    </w:p>
    <w:p>
      <w:pPr>
        <w:pStyle w:val="Heading3"/>
      </w:pPr>
      <w:r>
        <w:t xml:space="preserve">Explique por qué se abre</w:t>
      </w:r>
    </w:p>
    <w:p>
      <w:pPr>
        <w:pStyle w:val="Normal"/>
      </w:pPr>
      <w:r>
        <w:t xml:space="preserve">Un modelo útil en una realidad simple queda desactualizado cuando esa realidad cambia o se vuelve más compleja.</w:t>
      </w:r>
    </w:p>
    <w:p>
      <w:pPr>
        <w:pStyle w:val="Normal"/>
      </w:pPr>
      <w:r>
        <w:t xml:space="preserve">Defensa: No se promete eliminar la discordancia: todo modelo simplifica. Se busca reconocerla, medir sus límites y mejorar la correspondencia entre modelo, evidencia y comportamiento.</w:t>
      </w:r>
    </w:p>
    <w:p>
      <w:pPr>
        <w:pStyle w:val="Heading3"/>
      </w:pPr>
      <w:r>
        <w:t xml:space="preserve">Criterios para una respuesta completa</w:t>
      </w:r>
    </w:p>
    <w:p>
      <w:pPr>
        <w:pStyle w:val="Normal"/>
        <w:numPr>
          <w:ilvl w:val="0"/>
          <w:numId w:val="2"/>
        </w:numPr>
      </w:pPr>
      <w:r>
        <w:t xml:space="preserve">Nombra los dos términos: sistema real y modelo mental.</w:t>
      </w:r>
    </w:p>
    <w:p>
      <w:pPr>
        <w:pStyle w:val="Normal"/>
        <w:numPr>
          <w:ilvl w:val="0"/>
          <w:numId w:val="2"/>
        </w:numPr>
      </w:pPr>
      <w:r>
        <w:t xml:space="preserve">Nombra la brecha o discordancia entre ellos.</w:t>
      </w:r>
    </w:p>
    <w:p>
      <w:pPr>
        <w:pStyle w:val="Normal"/>
        <w:numPr>
          <w:ilvl w:val="0"/>
          <w:numId w:val="2"/>
        </w:numPr>
      </w:pPr>
      <w:r>
        <w:t xml:space="preserve">No promete eliminarla por completo.</w:t>
      </w:r>
    </w:p>
    <w:p>
      <w:pPr>
        <w:pStyle w:val="Fuente"/>
      </w:pPr>
      <w:r>
        <w:t xml:space="preserve">Clase 2 · 01:21:08–01:22:24</w:t>
      </w:r>
    </w:p>
    <w:p>
      <w:pPr>
        <w:pStyle w:val="Heading3"/>
      </w:pPr>
      <w:bookmarkStart w:name="b_pregunta_p1_15_condiciones_in_fc0e8ced" w:id="5387"/>
      <w:r>
        <w:t xml:space="preserve">1.15 · Unidad 2 · 2.8 · Principios de la TGS</w:t>
      </w:r>
      <w:bookmarkEnd w:id="5387"/>
    </w:p>
    <w:p>
      <w:pPr>
        <w:pStyle w:val="Normal"/>
      </w:pPr>
      <w:r>
        <w:t xml:space="preserve">El principio de la Teoría de sistemas que indica que condiciones iniciales similares pueden producir resultados o estados finales diferentes se denomina…</w:t>
      </w:r>
    </w:p>
    <w:p>
      <w:pPr>
        <w:pStyle w:val="Fuente"/>
      </w:pPr>
      <w:r>
        <w:t xml:space="preserve">Ordinal de la fuente: 15.</w:t>
      </w:r>
    </w:p>
    <w:p>
      <w:pPr>
        <w:pStyle w:val="Normal"/>
      </w:pPr>
      <w:r>
        <w:t xml:space="preserve">a) Equifinalidad</w:t>
      </w:r>
    </w:p>
    <w:p>
      <w:pPr>
        <w:pStyle w:val="Normal"/>
      </w:pPr>
      <w:r>
        <w:t xml:space="preserve">b) Retroalimentación negativa</w:t>
      </w:r>
    </w:p>
    <w:p>
      <w:pPr>
        <w:pStyle w:val="Normal"/>
      </w:pPr>
      <w:r>
        <w:t xml:space="preserve">c) Sinergia</w:t>
      </w:r>
    </w:p>
    <w:p>
      <w:pPr>
        <w:pStyle w:val="Normal"/>
      </w:pPr>
      <w:r>
        <w:t xml:space="preserve">d) Multifinalidad</w:t>
      </w:r>
    </w:p>
    <w:p>
      <w:pPr>
        <w:pStyle w:val="Heading3"/>
      </w:pPr>
      <w:bookmarkStart w:name="b_solucion_p1_15_condiciones_in_9946a332" w:id="5388"/>
      <w:r>
        <w:t xml:space="preserve">Solución 1.15</w:t>
      </w:r>
      <w:bookmarkEnd w:id="5388"/>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d) Multifinalidad</w:t>
            </w:r>
          </w:p>
        </w:tc>
      </w:tr>
    </w:tbl>
    <w:p>
      <w:pPr>
        <w:pStyle w:val="Heading3"/>
      </w:pPr>
      <w:r>
        <w:t xml:space="preserve">Fíjese en la dirección lógica</w:t>
      </w:r>
    </w:p>
    <w:p>
      <w:pPr>
        <w:pStyle w:val="Normal"/>
      </w:pPr>
      <w:r>
        <w:t xml:space="preserve">El enunciado parte de condiciones semejantes y termina en varios resultados. Esa dirección es la que nombra el principio.</w:t>
      </w:r>
    </w:p>
    <w:p>
      <w:pPr>
        <w:pStyle w:val="Heading3"/>
      </w:pPr>
      <w:r>
        <w:t xml:space="preserve">Descarte lo que no habla de estados finales</w:t>
      </w:r>
    </w:p>
    <w:p>
      <w:pPr>
        <w:pStyle w:val="Normal"/>
      </w:pPr>
      <w:r>
        <w:t xml:space="preserve">La retroalimentación negativa describe regulación y la sinergia, capacidad del conjunto.</w:t>
      </w:r>
    </w:p>
    <w:p>
      <w:pPr>
        <w:pStyle w:val="Fuente"/>
      </w:pPr>
      <w:r>
        <w:t xml:space="preserve">Opciones descartadas: b), c).</w:t>
      </w:r>
    </w:p>
    <w:p>
      <w:pPr>
        <w:pStyle w:val="Heading3"/>
      </w:pPr>
      <w:r>
        <w:t xml:space="preserve">No confunda con su complementario</w:t>
      </w:r>
    </w:p>
    <w:p>
      <w:pPr>
        <w:pStyle w:val="Normal"/>
      </w:pPr>
      <w:r>
        <w:t xml:space="preserve">La equifinalidad va en sentido inverso: caminos distintos que convergen en un mismo final.</w:t>
      </w:r>
    </w:p>
    <w:p>
      <w:pPr>
        <w:pStyle w:val="Fuente"/>
      </w:pPr>
      <w:r>
        <w:t xml:space="preserve">Opciones descartadas: a).</w:t>
      </w:r>
    </w:p>
    <w:p>
      <w:pPr>
        <w:pStyle w:val="Normal"/>
      </w:pPr>
      <w:r>
        <w:t xml:space="preserve">a) Equifinalidad — Indica lo contrario: condiciones o caminos diferentes pueden conducir a un mismo estado final.</w:t>
      </w:r>
    </w:p>
    <w:p>
      <w:pPr>
        <w:pStyle w:val="Normal"/>
      </w:pPr>
      <w:r>
        <w:t xml:space="preserve">b) Retroalimentación negativa — Es un mecanismo de compensación que contrarresta desviaciones respecto de una meta.</w:t>
      </w:r>
    </w:p>
    <w:p>
      <w:pPr>
        <w:pStyle w:val="Normal"/>
      </w:pPr>
      <w:r>
        <w:t xml:space="preserve">c) Sinergia — Describe la capacidad del conjunto que no se obtiene sumando partes aisladas.</w:t>
      </w:r>
    </w:p>
    <w:p>
      <w:pPr>
        <w:pStyle w:val="Normal"/>
      </w:pPr>
      <w:r>
        <w:t xml:space="preserve">d) Multifinalidad — Correcta: condiciones iniciales iguales o semejantes pueden conducir a resultados finales diferentes.</w:t>
      </w:r>
    </w:p>
    <w:p>
      <w:pPr>
        <w:pStyle w:val="Normal"/>
      </w:pPr>
      <w:r>
        <w:t xml:space="preserve">Criterio de resolución: La multifinalidad se expresa como «inicio similar, finales diferentes». Su concepto complementario es la equifinalidad: «inicios o caminos diferentes, mismo final». Las otras opciones describen regulación o interacción del conjunto, no diversidad de estados finales.</w:t>
      </w:r>
    </w:p>
    <w:p>
      <w:pPr>
        <w:pStyle w:val="Normal"/>
      </w:pPr>
      <w:r>
        <w:t xml:space="preserve">Defensa: Si el enunciado parte de condiciones semejantes y termina en varios resultados, corresponde multifinalidad; si partiera de condiciones diferentes que convergen, sería equifinalidad.</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9C620A" w:sz="20"/>
              <w:bottom w:val="nil"/>
              <w:right w:val="nil"/>
            </w:tcBorders>
            <w:shd w:fill="FBF3DF" w:val="clear"/>
            <w:tcMar>
              <w:top w:type="dxa" w:w="130"/>
              <w:left w:type="dxa" w:w="180"/>
              <w:bottom w:type="dxa" w:w="130"/>
              <w:right w:type="dxa" w:w="180"/>
            </w:tcMar>
          </w:tcPr>
          <w:p>
            <w:pPr>
              <w:pStyle w:val="RecuadroTitulo"/>
            </w:pPr>
            <w:r>
              <w:rPr>
                <w:b/>
                <w:bCs/>
                <w:color w:val="9C620A"/>
              </w:rPr>
              <w:t xml:space="preserve">Advertencia y límites</w:t>
            </w:r>
          </w:p>
          <w:p>
            <w:pPr>
              <w:pStyle w:val="Recuadro"/>
            </w:pPr>
            <w:r>
              <w:t xml:space="preserve">El documento registra que el término se mencionó en clase sin quedar definido de forma desarrollada, y rotula la explicación como ampliación conceptual. El portal no atribuye al profesor una definición que no dio.</w:t>
            </w:r>
          </w:p>
        </w:tc>
      </w:tr>
    </w:tbl>
    <w:p>
      <w:pPr>
        <w:pStyle w:val="Fuente"/>
      </w:pPr>
      <w:r>
        <w:t xml:space="preserve">Clase 9 · la multifinalidad se nombra sin desarrollarse</w:t>
      </w:r>
    </w:p>
    <w:p>
      <w:pPr>
        <w:pStyle w:val="Heading3"/>
      </w:pPr>
      <w:bookmarkStart w:name="b_pregunta_p1_16_segunda_regla_dsrp" w:id="5389"/>
      <w:r>
        <w:t xml:space="preserve">1.16 · Unidad 1 · 1.6 · Operaciones DSRP</w:t>
      </w:r>
      <w:bookmarkEnd w:id="5389"/>
    </w:p>
    <w:p>
      <w:pPr>
        <w:pStyle w:val="Normal"/>
      </w:pPr>
      <w:r>
        <w:t xml:space="preserve">Considerando las reglas generadoras del pensamiento sistémico conocidas por sus siglas D S R P, utilice la segunda de estas reglas para describir a continuación un sistema abstracto diseñado:</w:t>
      </w:r>
    </w:p>
    <w:p>
      <w:pPr>
        <w:pStyle w:val="Fuente"/>
      </w:pPr>
      <w:r>
        <w:t xml:space="preserve">Ordinal de la fuente: 16.</w:t>
      </w:r>
    </w:p>
    <w:p>
      <w:pPr>
        <w:pStyle w:val="Heading3"/>
      </w:pPr>
      <w:bookmarkStart w:name="b_solucion_p1_16_segunda_regla_dsrp" w:id="5390"/>
      <w:r>
        <w:t xml:space="preserve">Solución 1.16</w:t>
      </w:r>
      <w:bookmarkEnd w:id="5390"/>
    </w:p>
    <w:p>
      <w:pPr>
        <w:pStyle w:val="RecuadroTitulo"/>
      </w:pPr>
      <w:r>
        <w:t xml:space="preserve">Respuesta modelo</w:t>
      </w:r>
    </w:p>
    <w:p>
      <w:pPr>
        <w:pStyle w:val="Normal"/>
      </w:pPr>
      <w:r>
        <w:t xml:space="preserve">S = Sistemas: describir el todo, sus partes, sus subsistemas y el sistema mayor al que pertenece.</w:t>
      </w:r>
    </w:p>
    <w:p>
      <w:pPr>
        <w:pStyle w:val="Normal"/>
      </w:pPr>
      <w:r>
        <w:t xml:space="preserve">La segunda regla es S, la de Sistemas, basada en la relación todo-partes.</w:t>
      </w:r>
    </w:p>
    <w:p>
      <w:pPr>
        <w:pStyle w:val="Normal"/>
      </w:pPr>
      <w:r>
        <w:t xml:space="preserve">Ejemplo: un plan semanal de estudio es un sistema abstracto diseñado cuyo todo organiza el uso del tiempo académico. Sus partes son las clases, las tareas, el estudio individual, los descansos, los traslados y las fechas de entrega.</w:t>
      </w:r>
    </w:p>
    <w:p>
      <w:pPr>
        <w:pStyle w:val="Normal"/>
      </w:pPr>
      <w:r>
        <w:t xml:space="preserve">Cada parte puede descomponerse a su vez: una tarea incluye lectura, análisis, elaboración y revisión. Y el plan semanal pertenece a un sistema mayor, el de la formación universitaria y la organización personal.</w:t>
      </w:r>
    </w:p>
    <w:p>
      <w:pPr>
        <w:pStyle w:val="Heading3"/>
      </w:pPr>
      <w:r>
        <w:t xml:space="preserve">Identifique cuál es la segunda regla</w:t>
      </w:r>
    </w:p>
    <w:p>
      <w:pPr>
        <w:pStyle w:val="Normal"/>
      </w:pPr>
      <w:r>
        <w:t xml:space="preserve">El acrónimo es Distinciones, Sistemas, Relaciones y Perspectivas. La segunda es S, la de todo y partes.</w:t>
      </w:r>
    </w:p>
    <w:p>
      <w:pPr>
        <w:pStyle w:val="Heading3"/>
      </w:pPr>
      <w:r>
        <w:t xml:space="preserve">Elija un sistema abstracto diseñado</w:t>
      </w:r>
    </w:p>
    <w:p>
      <w:pPr>
        <w:pStyle w:val="Normal"/>
      </w:pPr>
      <w:r>
        <w:t xml:space="preserve">Tiene que ser una creación conceptual: un plan, un reglamento, una teoría. No vale un objeto físico.</w:t>
      </w:r>
    </w:p>
    <w:p>
      <w:pPr>
        <w:pStyle w:val="Heading3"/>
      </w:pPr>
      <w:r>
        <w:t xml:space="preserve">Aplique la regla en las dos direcciones</w:t>
      </w:r>
    </w:p>
    <w:p>
      <w:pPr>
        <w:pStyle w:val="Normal"/>
      </w:pPr>
      <w:r>
        <w:t xml:space="preserve">Hacia abajo, descomponer el todo en partes y esas partes en subsistemas. Hacia arriba, mostrar de qué sistema mayor forma parte.</w:t>
      </w:r>
    </w:p>
    <w:p>
      <w:pPr>
        <w:pStyle w:val="Normal"/>
      </w:pPr>
      <w:r>
        <w:t xml:space="preserve">Defensa: El sistema es abstracto porque la organización, las reglas y las relaciones del plan son conceptuales; el papel o la aplicación donde se registra sólo es su soporte físico.</w:t>
      </w:r>
    </w:p>
    <w:p>
      <w:pPr>
        <w:pStyle w:val="Heading3"/>
      </w:pPr>
      <w:r>
        <w:t xml:space="preserve">Criterios para una respuesta completa</w:t>
      </w:r>
    </w:p>
    <w:p>
      <w:pPr>
        <w:pStyle w:val="Normal"/>
        <w:numPr>
          <w:ilvl w:val="0"/>
          <w:numId w:val="2"/>
        </w:numPr>
      </w:pPr>
      <w:r>
        <w:t xml:space="preserve">Identifica correctamente la segunda regla como Sistemas.</w:t>
      </w:r>
    </w:p>
    <w:p>
      <w:pPr>
        <w:pStyle w:val="Normal"/>
        <w:numPr>
          <w:ilvl w:val="0"/>
          <w:numId w:val="2"/>
        </w:numPr>
      </w:pPr>
      <w:r>
        <w:t xml:space="preserve">Elige un sistema abstracto diseñado y no uno físico.</w:t>
      </w:r>
    </w:p>
    <w:p>
      <w:pPr>
        <w:pStyle w:val="Normal"/>
        <w:numPr>
          <w:ilvl w:val="0"/>
          <w:numId w:val="2"/>
        </w:numPr>
      </w:pPr>
      <w:r>
        <w:t xml:space="preserve">Describe el todo y sus partes.</w:t>
      </w:r>
    </w:p>
    <w:p>
      <w:pPr>
        <w:pStyle w:val="Normal"/>
        <w:numPr>
          <w:ilvl w:val="0"/>
          <w:numId w:val="2"/>
        </w:numPr>
      </w:pPr>
      <w:r>
        <w:t xml:space="preserve">Muestra al menos un subsistema y el sistema mayor al que pertenece.</w:t>
      </w:r>
    </w:p>
    <w:p>
      <w:pPr>
        <w:pStyle w:val="Fuente"/>
      </w:pPr>
      <w:r>
        <w:t xml:space="preserve">Clases 6 y 7 · DSRP y la relación todo-partes</w:t>
      </w:r>
    </w:p>
    <w:p>
      <w:pPr>
        <w:pStyle w:val="Heading3"/>
      </w:pPr>
      <w:bookmarkStart w:name="b_pregunta_p1_17_aumentar_la_comprension" w:id="5391"/>
      <w:r>
        <w:t xml:space="preserve">1.17 · Unidad 1 · 1.5 y 1.8 · Perspectivas y hábitos</w:t>
      </w:r>
      <w:bookmarkEnd w:id="5391"/>
    </w:p>
    <w:p>
      <w:pPr>
        <w:pStyle w:val="Normal"/>
      </w:pPr>
      <w:r>
        <w:t xml:space="preserve">¿Qué debe hacer un pensador sistémico para aumentar su comprensión sobre algún sistema que busque comprender?</w:t>
      </w:r>
    </w:p>
    <w:p>
      <w:pPr>
        <w:pStyle w:val="Fuente"/>
      </w:pPr>
      <w:r>
        <w:t xml:space="preserve">Ordinal de la fuente: 17.</w:t>
      </w:r>
    </w:p>
    <w:p>
      <w:pPr>
        <w:pStyle w:val="Normal"/>
      </w:pPr>
      <w:r>
        <w:t xml:space="preserve">a) Cambiar la imagen de película completa que tiene</w:t>
      </w:r>
    </w:p>
    <w:p>
      <w:pPr>
        <w:pStyle w:val="Normal"/>
      </w:pPr>
      <w:r>
        <w:t xml:space="preserve">b) Cambiar la forma en que prueba sus suposiciones</w:t>
      </w:r>
    </w:p>
    <w:p>
      <w:pPr>
        <w:pStyle w:val="Normal"/>
      </w:pPr>
      <w:r>
        <w:t xml:space="preserve">c) Cambiar su perspectiva</w:t>
      </w:r>
    </w:p>
    <w:p>
      <w:pPr>
        <w:pStyle w:val="Normal"/>
      </w:pPr>
      <w:r>
        <w:t xml:space="preserve">d) Cambiar sus hábitos sistémicos</w:t>
      </w:r>
    </w:p>
    <w:p>
      <w:pPr>
        <w:pStyle w:val="Heading3"/>
      </w:pPr>
      <w:bookmarkStart w:name="b_solucion_p1_17_aumentar_la_comprension" w:id="5392"/>
      <w:r>
        <w:t xml:space="preserve">Solución 1.17</w:t>
      </w:r>
      <w:bookmarkEnd w:id="5392"/>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c) Cambiar su perspectiva</w:t>
            </w:r>
          </w:p>
        </w:tc>
      </w:tr>
    </w:tbl>
    <w:p>
      <w:pPr>
        <w:pStyle w:val="Heading3"/>
      </w:pPr>
      <w:r>
        <w:t xml:space="preserve">Busque el hábito cuyo enunciado contiene el verbo del ítem</w:t>
      </w:r>
    </w:p>
    <w:p>
      <w:pPr>
        <w:pStyle w:val="Normal"/>
      </w:pPr>
      <w:r>
        <w:t xml:space="preserve">El hábito se llama literalmente «cambia las perspectivas para aumentar la comprensión». La coincidencia es exacta.</w:t>
      </w:r>
    </w:p>
    <w:p>
      <w:pPr>
        <w:pStyle w:val="Heading3"/>
      </w:pPr>
      <w:r>
        <w:t xml:space="preserve">Descarte los otros hábitos</w:t>
      </w:r>
    </w:p>
    <w:p>
      <w:pPr>
        <w:pStyle w:val="Normal"/>
      </w:pPr>
      <w:r>
        <w:t xml:space="preserve">La película completa amplía la frontera y el horizonte temporal; probar suposiciones contrasta la teoría con los datos.</w:t>
      </w:r>
    </w:p>
    <w:p>
      <w:pPr>
        <w:pStyle w:val="Fuente"/>
      </w:pPr>
      <w:r>
        <w:t xml:space="preserve">Opciones descartadas: a), b).</w:t>
      </w:r>
    </w:p>
    <w:p>
      <w:pPr>
        <w:pStyle w:val="Heading3"/>
      </w:pPr>
      <w:r>
        <w:t xml:space="preserve">Descarte la opción que no nombra una acción</w:t>
      </w:r>
    </w:p>
    <w:p>
      <w:pPr>
        <w:pStyle w:val="Normal"/>
      </w:pPr>
      <w:r>
        <w:t xml:space="preserve">«Cambiar sus hábitos sistémicos» no dice qué hacer ni sobre qué.</w:t>
      </w:r>
    </w:p>
    <w:p>
      <w:pPr>
        <w:pStyle w:val="Fuente"/>
      </w:pPr>
      <w:r>
        <w:t xml:space="preserve">Opciones descartadas: d).</w:t>
      </w:r>
    </w:p>
    <w:p>
      <w:pPr>
        <w:pStyle w:val="Normal"/>
      </w:pPr>
      <w:r>
        <w:t xml:space="preserve">a) Cambiar la imagen de película completa que tiene — «Película completa» es otro hábito; la formulación específica para aumentar la comprensión es cambiar de perspectiva.</w:t>
      </w:r>
    </w:p>
    <w:p>
      <w:pPr>
        <w:pStyle w:val="Normal"/>
      </w:pPr>
      <w:r>
        <w:t xml:space="preserve">b) Cambiar la forma en que prueba sus suposiciones — Probar supuestos es importante, pero corresponde a otro hábito.</w:t>
      </w:r>
    </w:p>
    <w:p>
      <w:pPr>
        <w:pStyle w:val="Normal"/>
      </w:pPr>
      <w:r>
        <w:t xml:space="preserve">c) Cambiar su perspectiva — Correcta: permite distinguir información, partes y relaciones que la perspectiva inicial dejó fuera.</w:t>
      </w:r>
    </w:p>
    <w:p>
      <w:pPr>
        <w:pStyle w:val="Normal"/>
      </w:pPr>
      <w:r>
        <w:t xml:space="preserve">d) Cambiar sus hábitos sistémicos — No nombra una acción concreta ni el hábito solicitado.</w:t>
      </w:r>
    </w:p>
    <w:p>
      <w:pPr>
        <w:pStyle w:val="Normal"/>
      </w:pPr>
      <w:r>
        <w:t xml:space="preserve">Criterio de resolución: La clase 5 desarrolla el hábito de cambiar las perspectivas para aumentar la comprensión. Todo modelo mental selecciona y elimina información; adoptar temporalmente otra perspectiva revela elementos y relaciones que no eran visibles desde la inicial.</w:t>
      </w:r>
    </w:p>
    <w:p>
      <w:pPr>
        <w:pStyle w:val="Normal"/>
      </w:pPr>
      <w:r>
        <w:t xml:space="preserve">Defensa: La perspectiva no es un adorno del análisis: determina qué se distingue y dónde se coloca la frontera. Cambiarla modifica el sistema percibido y enriquece el modelo.</w:t>
      </w:r>
    </w:p>
    <w:p>
      <w:pPr>
        <w:pStyle w:val="Fuente"/>
      </w:pPr>
      <w:r>
        <w:t xml:space="preserve">Clase 5 · 00:02:30–00:11:21</w:t>
      </w:r>
    </w:p>
    <w:p>
      <w:pPr>
        <w:pStyle w:val="Heading3"/>
      </w:pPr>
      <w:bookmarkStart w:name="b_pregunta_p1_18_tres_etapas_de_40e6e2e0" w:id="5393"/>
      <w:r>
        <w:t xml:space="preserve">1.18 · Unidad 2 · 2.1 · Pensamiento sistémico y síntesis</w:t>
      </w:r>
      <w:bookmarkEnd w:id="5393"/>
    </w:p>
    <w:p>
      <w:pPr>
        <w:pStyle w:val="Normal"/>
      </w:pPr>
      <w:r>
        <w:t xml:space="preserve">¿Cuáles son las 3 etapas clave que describen el proceso de razonamiento de síntesis en el que se basa el pensamiento sistémico? Resuma cada una en una línea.</w:t>
      </w:r>
    </w:p>
    <w:p>
      <w:pPr>
        <w:pStyle w:val="Fuente"/>
      </w:pPr>
      <w:r>
        <w:t xml:space="preserve">Ordinal de la fuente: 18.</w:t>
      </w:r>
    </w:p>
    <w:p>
      <w:pPr>
        <w:pStyle w:val="Heading3"/>
      </w:pPr>
      <w:bookmarkStart w:name="b_solucion_p1_18_tres_etapas_de_8461c5f3" w:id="5394"/>
      <w:r>
        <w:t xml:space="preserve">Solución 1.18</w:t>
      </w:r>
      <w:bookmarkEnd w:id="5394"/>
    </w:p>
    <w:p>
      <w:pPr>
        <w:pStyle w:val="RecuadroTitulo"/>
      </w:pPr>
      <w:r>
        <w:t xml:space="preserve">Respuesta modelo</w:t>
      </w:r>
    </w:p>
    <w:p>
      <w:pPr>
        <w:pStyle w:val="Normal"/>
      </w:pPr>
      <w:r>
        <w:t xml:space="preserve">Sistema mayor, funcionamiento del todo, interconexiones y función de la entidad.</w:t>
      </w:r>
    </w:p>
    <w:p>
      <w:pPr>
        <w:pStyle w:val="Normal"/>
      </w:pPr>
      <w:r>
        <w:t xml:space="preserve">1. Identificar el sistema del que forma parte el objeto de interés.</w:t>
      </w:r>
    </w:p>
    <w:p>
      <w:pPr>
        <w:pStyle w:val="Normal"/>
      </w:pPr>
      <w:r>
        <w:t xml:space="preserve">2. Obtener una visión general de cómo funciona ese sistema completo.</w:t>
      </w:r>
    </w:p>
    <w:p>
      <w:pPr>
        <w:pStyle w:val="Normal"/>
      </w:pPr>
      <w:r>
        <w:t xml:space="preserve">3. Comprender cómo sus partes se interconectan y se organizan para funcionar como un todo, ubicando el lugar y la función del objeto dentro de él.</w:t>
      </w:r>
    </w:p>
    <w:p>
      <w:pPr>
        <w:pStyle w:val="Heading3"/>
      </w:pPr>
      <w:r>
        <w:t xml:space="preserve">Recuerde en qué se opone la síntesis al análisis</w:t>
      </w:r>
    </w:p>
    <w:p>
      <w:pPr>
        <w:pStyle w:val="Normal"/>
      </w:pPr>
      <w:r>
        <w:t xml:space="preserve">El análisis descompone; la síntesis describe una entidad por el contexto de sus relaciones dentro del sistema completo.</w:t>
      </w:r>
    </w:p>
    <w:p>
      <w:pPr>
        <w:pStyle w:val="Heading3"/>
      </w:pPr>
      <w:r>
        <w:t xml:space="preserve">Ordene el recorrido de fuera hacia dentro</w:t>
      </w:r>
    </w:p>
    <w:p>
      <w:pPr>
        <w:pStyle w:val="Normal"/>
      </w:pPr>
      <w:r>
        <w:t xml:space="preserve">Primero la totalidad a la que pertenece el objeto, después cómo opera esa totalidad, y por último la red de interconexiones.</w:t>
      </w:r>
    </w:p>
    <w:p>
      <w:pPr>
        <w:pStyle w:val="Heading3"/>
      </w:pPr>
      <w:r>
        <w:t xml:space="preserve">Ubique el objeto al final</w:t>
      </w:r>
    </w:p>
    <w:p>
      <w:pPr>
        <w:pStyle w:val="Normal"/>
      </w:pPr>
      <w:r>
        <w:t xml:space="preserve">Sólo tras entender la red se puede decir qué lugar y qué función tiene el objeto de interés dentro de ella.</w:t>
      </w:r>
    </w:p>
    <w:p>
      <w:pPr>
        <w:pStyle w:val="Normal"/>
      </w:pPr>
      <w:r>
        <w:t xml:space="preserve">Defensa: La síntesis no elimina el análisis: integra la información de las partes dentro de un marco contextual y relacional, evitando explicar el objeto como si estuviera aislado.</w:t>
      </w:r>
    </w:p>
    <w:p>
      <w:pPr>
        <w:pStyle w:val="Heading3"/>
      </w:pPr>
      <w:r>
        <w:t xml:space="preserve">Criterios para una respuesta completa</w:t>
      </w:r>
    </w:p>
    <w:p>
      <w:pPr>
        <w:pStyle w:val="Normal"/>
        <w:numPr>
          <w:ilvl w:val="0"/>
          <w:numId w:val="2"/>
        </w:numPr>
      </w:pPr>
      <w:r>
        <w:t xml:space="preserve">Enumera las tres etapas.</w:t>
      </w:r>
    </w:p>
    <w:p>
      <w:pPr>
        <w:pStyle w:val="Normal"/>
        <w:numPr>
          <w:ilvl w:val="0"/>
          <w:numId w:val="2"/>
        </w:numPr>
      </w:pPr>
      <w:r>
        <w:t xml:space="preserve">Conserva el orden: del sistema mayor a las interconexiones.</w:t>
      </w:r>
    </w:p>
    <w:p>
      <w:pPr>
        <w:pStyle w:val="Normal"/>
        <w:numPr>
          <w:ilvl w:val="0"/>
          <w:numId w:val="2"/>
        </w:numPr>
      </w:pPr>
      <w:r>
        <w:t xml:space="preserve">Resume la función de cada etapa.</w:t>
      </w:r>
    </w:p>
    <w:p>
      <w:pPr>
        <w:pStyle w:val="Fuente"/>
      </w:pPr>
      <w:r>
        <w:t xml:space="preserve">Clase 7 · 00:26:12–00:27:58 · video proyectado</w:t>
      </w:r>
    </w:p>
    <w:p>
      <w:pPr>
        <w:pStyle w:val="Heading3"/>
      </w:pPr>
      <w:bookmarkStart w:name="b_pregunta_p1_19_objetos_para_modelar" w:id="5395"/>
      <w:r>
        <w:t xml:space="preserve">1.19 · Unidad 1 · 1.3 · El paradigma de sistemas</w:t>
      </w:r>
      <w:bookmarkEnd w:id="5395"/>
    </w:p>
    <w:p>
      <w:pPr>
        <w:pStyle w:val="Normal"/>
      </w:pPr>
      <w:r>
        <w:t xml:space="preserve">Dado que conocer la Teoría de sistemas nos permite modelar objetos de la realidad, de entre los siguientes, ¿cuáles no son objetos para ser modelados con esta teoría?</w:t>
      </w:r>
    </w:p>
    <w:p>
      <w:pPr>
        <w:pStyle w:val="Fuente"/>
      </w:pPr>
      <w:r>
        <w:t xml:space="preserve">Ordinal de la fuente: 19.</w:t>
      </w:r>
    </w:p>
    <w:p>
      <w:pPr>
        <w:pStyle w:val="Normal"/>
      </w:pPr>
      <w:r>
        <w:t xml:space="preserve">a) Un diseño de un software que se desea programar</w:t>
      </w:r>
    </w:p>
    <w:p>
      <w:pPr>
        <w:pStyle w:val="Normal"/>
      </w:pPr>
      <w:r>
        <w:t xml:space="preserve">b) Un reloj</w:t>
      </w:r>
    </w:p>
    <w:p>
      <w:pPr>
        <w:pStyle w:val="Normal"/>
      </w:pPr>
      <w:r>
        <w:t xml:space="preserve">c) Un bosque</w:t>
      </w:r>
    </w:p>
    <w:p>
      <w:pPr>
        <w:pStyle w:val="Normal"/>
      </w:pPr>
      <w:r>
        <w:t xml:space="preserve">d) Un sistema</w:t>
      </w:r>
    </w:p>
    <w:p>
      <w:pPr>
        <w:pStyle w:val="Heading3"/>
      </w:pPr>
      <w:bookmarkStart w:name="b_solucion_p1_19_objetos_para_modelar" w:id="5396"/>
      <w:r>
        <w:t xml:space="preserve">Solución 1.19</w:t>
      </w:r>
      <w:bookmarkEnd w:id="5396"/>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d) Un sistema</w:t>
            </w:r>
          </w:p>
        </w:tc>
      </w:tr>
    </w:tbl>
    <w:p>
      <w:pPr>
        <w:pStyle w:val="Heading3"/>
      </w:pPr>
      <w:r>
        <w:t xml:space="preserve">Recuerde qué produce el proceso de modelar</w:t>
      </w:r>
    </w:p>
    <w:p>
      <w:pPr>
        <w:pStyle w:val="Normal"/>
      </w:pPr>
      <w:r>
        <w:t xml:space="preserve">Se parte de un objeto de la realidad y se obtiene un modelo. A ese modelo el material lo llama sistema.</w:t>
      </w:r>
    </w:p>
    <w:p>
      <w:pPr>
        <w:pStyle w:val="Heading3"/>
      </w:pPr>
      <w:r>
        <w:t xml:space="preserve">Compruebe que los otros tres son objetos</w:t>
      </w:r>
    </w:p>
    <w:p>
      <w:pPr>
        <w:pStyle w:val="Normal"/>
      </w:pPr>
      <w:r>
        <w:t xml:space="preserve">El bosque es natural, el reloj artificial y el diseño de software todavía no existe; el material admite las tres clases.</w:t>
      </w:r>
    </w:p>
    <w:p>
      <w:pPr>
        <w:pStyle w:val="Fuente"/>
      </w:pPr>
      <w:r>
        <w:t xml:space="preserve">Opciones descartadas: a), b), c).</w:t>
      </w:r>
    </w:p>
    <w:p>
      <w:pPr>
        <w:pStyle w:val="Normal"/>
      </w:pPr>
      <w:r>
        <w:t xml:space="preserve">a) Un diseño de un software que se desea programar — Puede modelarse aunque aún no exista: el material admite objetos artificiales y por aparecer.</w:t>
      </w:r>
    </w:p>
    <w:p>
      <w:pPr>
        <w:pStyle w:val="Normal"/>
      </w:pPr>
      <w:r>
        <w:t xml:space="preserve">b) Un reloj — Es un objeto artificial y concreto que puede representarse sistémicamente.</w:t>
      </w:r>
    </w:p>
    <w:p>
      <w:pPr>
        <w:pStyle w:val="Normal"/>
      </w:pPr>
      <w:r>
        <w:t xml:space="preserve">c) Un bosque — Es un objeto natural y complejo que puede ser modelado.</w:t>
      </w:r>
    </w:p>
    <w:p>
      <w:pPr>
        <w:pStyle w:val="Normal"/>
      </w:pPr>
      <w:r>
        <w:t xml:space="preserve">d) Un sistema — Correcta: en la formulación didáctica del material, el sistema es el modelo obtenido, no el objeto de partida.</w:t>
      </w:r>
    </w:p>
    <w:p>
      <w:pPr>
        <w:pStyle w:val="Normal"/>
      </w:pPr>
      <w:r>
        <w:t xml:space="preserve">Criterio de resolución: El paradigma sistémico se presenta como una teoría para modelar objetos naturales o artificiales, simples o complejos, existentes o por aparecer, mediante el sistema generalizado. El proceso toma un objeto de interés y produce un modelo al que se llama sistema.</w:t>
      </w:r>
    </w:p>
    <w:p>
      <w:pPr>
        <w:pStyle w:val="Normal"/>
      </w:pPr>
      <w:r>
        <w:t xml:space="preserve">Defensa: La pregunta evalúa la diferencia entre el objeto real y su modelo sistémico. En otros contextos es legítimo hablar de «modelar un sistema»; según la formulación de esta lámina, la clave esperada es la cuarta opción.</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9C620A" w:sz="20"/>
              <w:bottom w:val="nil"/>
              <w:right w:val="nil"/>
            </w:tcBorders>
            <w:shd w:fill="FBF3DF" w:val="clear"/>
            <w:tcMar>
              <w:top w:type="dxa" w:w="130"/>
              <w:left w:type="dxa" w:w="180"/>
              <w:bottom w:type="dxa" w:w="130"/>
              <w:right w:type="dxa" w:w="180"/>
            </w:tcMar>
          </w:tcPr>
          <w:p>
            <w:pPr>
              <w:pStyle w:val="RecuadroTitulo"/>
            </w:pPr>
            <w:r>
              <w:rPr>
                <w:b/>
                <w:bCs/>
                <w:color w:val="9C620A"/>
              </w:rPr>
              <w:t xml:space="preserve">Advertencia y límites</w:t>
            </w:r>
          </w:p>
          <w:p>
            <w:pPr>
              <w:pStyle w:val="Recuadro"/>
            </w:pPr>
            <w:r>
              <w:t xml:space="preserve">El documento advierte que la clave sigue la distinción didáctica entre objeto real y modelo sistémico que usa la lectura, y registra su confianza como media-alta.</w:t>
            </w:r>
          </w:p>
        </w:tc>
      </w:tr>
    </w:tbl>
    <w:p>
      <w:pPr>
        <w:pStyle w:val="Fuente"/>
      </w:pPr>
      <w:r>
        <w:t xml:space="preserve">Lectura del paradigma sistémico, pp. 82 y 90–91</w:t>
      </w:r>
    </w:p>
    <w:p>
      <w:pPr>
        <w:pStyle w:val="Heading3"/>
      </w:pPr>
      <w:bookmarkStart w:name="b_pregunta_p1_20_desde_donde_se_6415e5e8" w:id="5397"/>
      <w:r>
        <w:t xml:space="preserve">1.20 · Unidad 1 · 1.1 · Paradigmas</w:t>
      </w:r>
      <w:bookmarkEnd w:id="5397"/>
    </w:p>
    <w:p>
      <w:pPr>
        <w:pStyle w:val="Normal"/>
      </w:pPr>
      <w:r>
        <w:t xml:space="preserve">¿Cómo se denomina a aquello desde donde cualquier persona se sitúa conceptualmente para mirar hacia la realidad y desde allí poder identificarla, describirla, analizarla y reflexionar sobre ella?</w:t>
      </w:r>
    </w:p>
    <w:p>
      <w:pPr>
        <w:pStyle w:val="Fuente"/>
      </w:pPr>
      <w:r>
        <w:t xml:space="preserve">Ordinal de la fuente: 20.</w:t>
      </w:r>
    </w:p>
    <w:p>
      <w:pPr>
        <w:pStyle w:val="Normal"/>
      </w:pPr>
      <w:r>
        <w:t xml:space="preserve">a) Sistema</w:t>
      </w:r>
    </w:p>
    <w:p>
      <w:pPr>
        <w:pStyle w:val="Normal"/>
      </w:pPr>
      <w:r>
        <w:t xml:space="preserve">b) Paradigma</w:t>
      </w:r>
    </w:p>
    <w:p>
      <w:pPr>
        <w:pStyle w:val="Normal"/>
      </w:pPr>
      <w:r>
        <w:t xml:space="preserve">c) Relación</w:t>
      </w:r>
    </w:p>
    <w:p>
      <w:pPr>
        <w:pStyle w:val="Normal"/>
      </w:pPr>
      <w:r>
        <w:t xml:space="preserve">d) Parálisis de paradigma</w:t>
      </w:r>
    </w:p>
    <w:p>
      <w:pPr>
        <w:pStyle w:val="Heading3"/>
      </w:pPr>
      <w:bookmarkStart w:name="b_solucion_p1_20_desde_donde_se_6676f9d7" w:id="5398"/>
      <w:r>
        <w:t xml:space="preserve">Solución 1.20</w:t>
      </w:r>
      <w:bookmarkEnd w:id="5398"/>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b) Paradigma</w:t>
            </w:r>
          </w:p>
        </w:tc>
      </w:tr>
    </w:tbl>
    <w:p>
      <w:pPr>
        <w:pStyle w:val="Heading3"/>
      </w:pPr>
      <w:r>
        <w:t xml:space="preserve">Fíjese en la preposición</w:t>
      </w:r>
    </w:p>
    <w:p>
      <w:pPr>
        <w:pStyle w:val="Normal"/>
      </w:pPr>
      <w:r>
        <w:t xml:space="preserve">«Desde donde» señala un lugar conceptual de observación, no un objeto observado.</w:t>
      </w:r>
    </w:p>
    <w:p>
      <w:pPr>
        <w:pStyle w:val="Heading3"/>
      </w:pPr>
      <w:r>
        <w:t xml:space="preserve">Descarte lo observado y lo relacional</w:t>
      </w:r>
    </w:p>
    <w:p>
      <w:pPr>
        <w:pStyle w:val="Normal"/>
      </w:pPr>
      <w:r>
        <w:t xml:space="preserve">El sistema es lo que se mira y la relación es una conexión dentro de lo mirado.</w:t>
      </w:r>
    </w:p>
    <w:p>
      <w:pPr>
        <w:pStyle w:val="Fuente"/>
      </w:pPr>
      <w:r>
        <w:t xml:space="preserve">Opciones descartadas: a), c).</w:t>
      </w:r>
    </w:p>
    <w:p>
      <w:pPr>
        <w:pStyle w:val="Heading3"/>
      </w:pPr>
      <w:r>
        <w:t xml:space="preserve">No confunda el marco con su patología</w:t>
      </w:r>
    </w:p>
    <w:p>
      <w:pPr>
        <w:pStyle w:val="Normal"/>
      </w:pPr>
      <w:r>
        <w:t xml:space="preserve">La parálisis es lo que ocurre cuando el marco se rigidiza; no es el marco.</w:t>
      </w:r>
    </w:p>
    <w:p>
      <w:pPr>
        <w:pStyle w:val="Fuente"/>
      </w:pPr>
      <w:r>
        <w:t xml:space="preserve">Opciones descartadas: d).</w:t>
      </w:r>
    </w:p>
    <w:p>
      <w:pPr>
        <w:pStyle w:val="Normal"/>
      </w:pPr>
      <w:r>
        <w:t xml:space="preserve">a) Sistema — Es una representación de una totalidad y sus relaciones, pero no es el término de esta definición.</w:t>
      </w:r>
    </w:p>
    <w:p>
      <w:pPr>
        <w:pStyle w:val="Normal"/>
      </w:pPr>
      <w:r>
        <w:t xml:space="preserve">b) Paradigma — Correcta: es el modelo o marco conceptual desde el cual se observa e interpreta la realidad.</w:t>
      </w:r>
    </w:p>
    <w:p>
      <w:pPr>
        <w:pStyle w:val="Normal"/>
      </w:pPr>
      <w:r>
        <w:t xml:space="preserve">c) Relación — Es una conexión o influencia entre elementos.</w:t>
      </w:r>
    </w:p>
    <w:p>
      <w:pPr>
        <w:pStyle w:val="Normal"/>
      </w:pPr>
      <w:r>
        <w:t xml:space="preserve">d) Parálisis de paradigma — Es la rigidez que impide revisar o cambiar un paradigma.</w:t>
      </w:r>
    </w:p>
    <w:p>
      <w:pPr>
        <w:pStyle w:val="Normal"/>
      </w:pPr>
      <w:r>
        <w:t xml:space="preserve">Criterio de resolución: La clase 1 define el paradigma como el modelo desde el cual una persona se sitúa conceptualmente para mirar la realidad y, desde allí, identificarla, describirla, analizarla y reflexionar sobre ella.</w:t>
      </w:r>
    </w:p>
    <w:p>
      <w:pPr>
        <w:pStyle w:val="Normal"/>
      </w:pPr>
      <w:r>
        <w:t xml:space="preserve">Defensa: El paradigma no es una ventana transparente: organiza la percepción, establece límites y condiciona qué datos se consideran relevantes.</w:t>
      </w:r>
    </w:p>
    <w:p>
      <w:pPr>
        <w:pStyle w:val="Fuente"/>
      </w:pPr>
      <w:r>
        <w:t xml:space="preserve">Clase 1 · 01:24:02–01:25:01</w:t>
      </w:r>
    </w:p>
    <w:p>
      <w:pPr>
        <w:pStyle w:val="Heading3"/>
      </w:pPr>
      <w:bookmarkStart w:name="b_pregunta_p1_21_esquema_de_sis_be1006b9" w:id="5399"/>
      <w:r>
        <w:t xml:space="preserve">1.21 · Unidades 1 y 2 · 1.3 y 2.1–2.2 · Sistemografía y modelización</w:t>
      </w:r>
      <w:bookmarkEnd w:id="5399"/>
    </w:p>
    <w:p>
      <w:pPr>
        <w:pStyle w:val="Normal"/>
      </w:pPr>
      <w:r>
        <w:t xml:space="preserve">Considere el esquema gráfico que describe el proceso de «sistemografiar» que realiza un pensador sistémico utilizando la Teoría General de Sistemas. Nombre las partes numeradas describiendo brevemente lo que se produce de la 1 a la 4.</w:t>
      </w:r>
    </w:p>
    <w:p>
      <w:pPr>
        <w:pStyle w:val="Fuente"/>
      </w:pPr>
      <w:r>
        <w:t xml:space="preserve">Ordinal de la fuente: 21.</w:t>
      </w:r>
    </w:p>
    <w:p>
      <w:pPr>
        <w:pStyle w:val="Heading3"/>
      </w:pPr>
      <w:bookmarkStart w:name="b_solucion_p1_21_esquema_de_sis_9c624fb6" w:id="5400"/>
      <w:r>
        <w:t xml:space="preserve">Solución 1.21</w:t>
      </w:r>
      <w:bookmarkEnd w:id="5400"/>
    </w:p>
    <w:p>
      <w:pPr>
        <w:pStyle w:val="RecuadroTitulo"/>
      </w:pPr>
      <w:r>
        <w:t xml:space="preserve">Respuesta modelo</w:t>
      </w:r>
    </w:p>
    <w:p>
      <w:pPr>
        <w:pStyle w:val="Normal"/>
      </w:pPr>
      <w:r>
        <w:t xml:space="preserve">1 Objeto · 2 Sistema generalizado · 3 Sistema de representación o modelizador · 4 Modelo sistémico.</w:t>
      </w:r>
    </w:p>
    <w:p>
      <w:pPr>
        <w:pStyle w:val="Normal"/>
      </w:pPr>
      <w:r>
        <w:t xml:space="preserve">1. Objeto: la realidad u objeto de interés que se desea estudiar.</w:t>
      </w:r>
    </w:p>
    <w:p>
      <w:pPr>
        <w:pStyle w:val="Normal"/>
      </w:pPr>
      <w:r>
        <w:t xml:space="preserve">2. Sistema generalizado: la herramienta conceptual de la Teoría General de Sistemas que se utiliza para modelarlo.</w:t>
      </w:r>
    </w:p>
    <w:p>
      <w:pPr>
        <w:pStyle w:val="Normal"/>
      </w:pPr>
      <w:r>
        <w:t xml:space="preserve">3. Sistema de representación, es decir, el modelizador: los conocimientos, la sensibilidad, los objetivos y la perspectiva mediante los cuales interpreta el objeto.</w:t>
      </w:r>
    </w:p>
    <w:p>
      <w:pPr>
        <w:pStyle w:val="Normal"/>
      </w:pPr>
      <w:r>
        <w:t xml:space="preserve">4. Modelo sistémico: la representación resultante, denominada sistema, útil para comprender e intervenir pero distinta de la realidad misma.</w:t>
      </w:r>
    </w:p>
    <w:p>
      <w:pPr>
        <w:pStyle w:val="Heading3"/>
      </w:pPr>
      <w:r>
        <w:t xml:space="preserve">Localice el punto de partida</w:t>
      </w:r>
    </w:p>
    <w:p>
      <w:pPr>
        <w:pStyle w:val="Normal"/>
      </w:pPr>
      <w:r>
        <w:t xml:space="preserve">En el esquema, la figura irregular de la izquierda es el objeto de la realidad que se desea estudiar.</w:t>
      </w:r>
    </w:p>
    <w:p>
      <w:pPr>
        <w:pStyle w:val="Heading3"/>
      </w:pPr>
      <w:r>
        <w:t xml:space="preserve">Identifique la herramienta conceptual</w:t>
      </w:r>
    </w:p>
    <w:p>
      <w:pPr>
        <w:pStyle w:val="Normal"/>
      </w:pPr>
      <w:r>
        <w:t xml:space="preserve">El triángulo superior es el sistema generalizado que aporta la Teoría General de Sistemas para modelar.</w:t>
      </w:r>
    </w:p>
    <w:p>
      <w:pPr>
        <w:pStyle w:val="Heading3"/>
      </w:pPr>
      <w:r>
        <w:t xml:space="preserve">Identifique quién interpreta</w:t>
      </w:r>
    </w:p>
    <w:p>
      <w:pPr>
        <w:pStyle w:val="Normal"/>
      </w:pPr>
      <w:r>
        <w:t xml:space="preserve">El círculo inferior es el sistema de representación del modelizador: sus conocimientos, su sensibilidad, sus objetivos y su perspectiva.</w:t>
      </w:r>
    </w:p>
    <w:p>
      <w:pPr>
        <w:pStyle w:val="Heading3"/>
      </w:pPr>
      <w:r>
        <w:t xml:space="preserve">Nombre el producto</w:t>
      </w:r>
    </w:p>
    <w:p>
      <w:pPr>
        <w:pStyle w:val="Normal"/>
      </w:pPr>
      <w:r>
        <w:t xml:space="preserve">El rectángulo de la derecha es el modelo sistémico resultante, al que se llama sistema. No es una copia del objeto.</w:t>
      </w:r>
    </w:p>
    <w:p>
      <w:pPr>
        <w:pStyle w:val="Normal"/>
      </w:pPr>
      <w:r>
        <w:t xml:space="preserve">Defensa: El diagrama hace visible que la modelización no es neutral: el modelizador participa en el resultado. Por eso dos personas pueden construir modelos distintos del mismo objeto sin que el objeto haya cambiado.</w:t>
      </w:r>
    </w:p>
    <w:p>
      <w:pPr>
        <w:pStyle w:val="Heading3"/>
      </w:pPr>
      <w:r>
        <w:t xml:space="preserve">Criterios para una respuesta completa</w:t>
      </w:r>
    </w:p>
    <w:p>
      <w:pPr>
        <w:pStyle w:val="Normal"/>
        <w:numPr>
          <w:ilvl w:val="0"/>
          <w:numId w:val="2"/>
        </w:numPr>
      </w:pPr>
      <w:r>
        <w:t xml:space="preserve">Nombra los cuatro elementos.</w:t>
      </w:r>
    </w:p>
    <w:p>
      <w:pPr>
        <w:pStyle w:val="Normal"/>
        <w:numPr>
          <w:ilvl w:val="0"/>
          <w:numId w:val="2"/>
        </w:numPr>
      </w:pPr>
      <w:r>
        <w:t xml:space="preserve">Explica brevemente qué aporta cada uno.</w:t>
      </w:r>
    </w:p>
    <w:p>
      <w:pPr>
        <w:pStyle w:val="Normal"/>
        <w:numPr>
          <w:ilvl w:val="0"/>
          <w:numId w:val="2"/>
        </w:numPr>
      </w:pPr>
      <w:r>
        <w:t xml:space="preserve">Distingue el objeto del modelo resultante.</w:t>
      </w:r>
    </w:p>
    <w:p>
      <w:pPr>
        <w:pStyle w:val="Normal"/>
        <w:numPr>
          <w:ilvl w:val="0"/>
          <w:numId w:val="2"/>
        </w:numPr>
      </w:pPr>
      <w:r>
        <w:t xml:space="preserve">Señala que el modelizador participa en el resultado.</w:t>
      </w:r>
    </w:p>
    <w:p>
      <w:pPr>
        <w:pStyle w:val="Fuente"/>
      </w:pPr>
      <w:r>
        <w:t xml:space="preserve">Lectura del paradigma sistémico, pp. 90–91, figura 14</w:t>
      </w:r>
    </w:p>
    <w:p>
      <w:pPr>
        <w:pStyle w:val="Heading3"/>
      </w:pPr>
      <w:bookmarkStart w:name="b_pregunta_p1_22_perspectivas_q_682804d6" w:id="5401"/>
      <w:r>
        <w:t xml:space="preserve">1.22 · Unidad 1 · 1.5 · Perspectivas</w:t>
      </w:r>
      <w:bookmarkEnd w:id="5401"/>
    </w:p>
    <w:p>
      <w:pPr>
        <w:pStyle w:val="Normal"/>
      </w:pPr>
      <w:r>
        <w:t xml:space="preserve">¿Cuál de las siguientes perspectivas de un sistema concreto debe lograr ver un pensador sistémico?</w:t>
      </w:r>
    </w:p>
    <w:p>
      <w:pPr>
        <w:pStyle w:val="Fuente"/>
      </w:pPr>
      <w:r>
        <w:t xml:space="preserve">Ordinal de la fuente: 22.</w:t>
      </w:r>
    </w:p>
    <w:p>
      <w:pPr>
        <w:pStyle w:val="Normal"/>
      </w:pPr>
      <w:r>
        <w:t xml:space="preserve">a) La perspectiva objetiva</w:t>
      </w:r>
    </w:p>
    <w:p>
      <w:pPr>
        <w:pStyle w:val="Normal"/>
      </w:pPr>
      <w:r>
        <w:t xml:space="preserve">b) Todas las perspectivas indicadas en los demás incisos</w:t>
      </w:r>
    </w:p>
    <w:p>
      <w:pPr>
        <w:pStyle w:val="Normal"/>
      </w:pPr>
      <w:r>
        <w:t xml:space="preserve">c) La perspectiva que tienen otros sobre el sistema</w:t>
      </w:r>
    </w:p>
    <w:p>
      <w:pPr>
        <w:pStyle w:val="Normal"/>
      </w:pPr>
      <w:r>
        <w:t xml:space="preserve">d) Su propia perspectiva</w:t>
      </w:r>
    </w:p>
    <w:p>
      <w:pPr>
        <w:pStyle w:val="Heading3"/>
      </w:pPr>
      <w:bookmarkStart w:name="b_solucion_p1_22_perspectivas_q_ded29548" w:id="5402"/>
      <w:r>
        <w:t xml:space="preserve">Solución 1.22</w:t>
      </w:r>
      <w:bookmarkEnd w:id="5402"/>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b) Todas las perspectivas indicadas en los demás incisos</w:t>
            </w:r>
          </w:p>
        </w:tc>
      </w:tr>
    </w:tbl>
    <w:p>
      <w:pPr>
        <w:pStyle w:val="Heading3"/>
      </w:pPr>
      <w:r>
        <w:t xml:space="preserve">Compruebe si cada opción es verdadera por separado</w:t>
      </w:r>
    </w:p>
    <w:p>
      <w:pPr>
        <w:pStyle w:val="Normal"/>
      </w:pPr>
      <w:r>
        <w:t xml:space="preserve">Las tres perspectivas nombradas son legítimas y el curso pide las tres. Ninguna es falsa.</w:t>
      </w:r>
    </w:p>
    <w:p>
      <w:pPr>
        <w:pStyle w:val="Heading3"/>
      </w:pPr>
      <w:r>
        <w:t xml:space="preserve">Busque la opción integradora</w:t>
      </w:r>
    </w:p>
    <w:p>
      <w:pPr>
        <w:pStyle w:val="Normal"/>
      </w:pPr>
      <w:r>
        <w:t xml:space="preserve">Cuando varias opciones son correctas y existe una que las reúne, esa es la clave.</w:t>
      </w:r>
    </w:p>
    <w:p>
      <w:pPr>
        <w:pStyle w:val="Fuente"/>
      </w:pPr>
      <w:r>
        <w:t xml:space="preserve">Opciones descartadas: a), c), d).</w:t>
      </w:r>
    </w:p>
    <w:p>
      <w:pPr>
        <w:pStyle w:val="Normal"/>
      </w:pPr>
      <w:r>
        <w:t xml:space="preserve">a) La perspectiva objetiva — Debe verla, pero no es la única.</w:t>
      </w:r>
    </w:p>
    <w:p>
      <w:pPr>
        <w:pStyle w:val="Normal"/>
      </w:pPr>
      <w:r>
        <w:t xml:space="preserve">b) Todas las perspectivas indicadas en los demás incisos — Correcta: integra la visión objetiva, la perspectiva propia y la de otras personas.</w:t>
      </w:r>
    </w:p>
    <w:p>
      <w:pPr>
        <w:pStyle w:val="Normal"/>
      </w:pPr>
      <w:r>
        <w:t xml:space="preserve">c) La perspectiva que tienen otros sobre el sistema — También debe considerarse, pero por sí sola es incompleta.</w:t>
      </w:r>
    </w:p>
    <w:p>
      <w:pPr>
        <w:pStyle w:val="Normal"/>
      </w:pPr>
      <w:r>
        <w:t xml:space="preserve">d) Su propia perspectiva — Es necesaria para reconocer el punto de partida, pero debe contrastarse con otras.</w:t>
      </w:r>
    </w:p>
    <w:p>
      <w:pPr>
        <w:pStyle w:val="Normal"/>
      </w:pPr>
      <w:r>
        <w:t xml:space="preserve">Criterio de resolución: La clase 5 distingue la visión objetiva —ver el sistema desde fuera— y la subjetiva —verlo desde dentro—, que incluye la propia perspectiva y la de otras personas. El pensamiento sistémico busca alternarlas e integrarlas.</w:t>
      </w:r>
    </w:p>
    <w:p>
      <w:pPr>
        <w:pStyle w:val="Normal"/>
      </w:pPr>
      <w:r>
        <w:t xml:space="preserve">Defensa: «Perspectiva objetiva» no equivale a verdad absoluta: es el esfuerzo por tomar distancia y observar la totalidad, y sigue siendo una posición del observador que debe complementarse con las subjetivas.</w:t>
      </w:r>
    </w:p>
    <w:p>
      <w:pPr>
        <w:pStyle w:val="Fuente"/>
      </w:pPr>
      <w:r>
        <w:t xml:space="preserve">Clase 5 · 01:18:00–01:29:00</w:t>
      </w:r>
    </w:p>
    <w:p>
      <w:pPr>
        <w:pStyle w:val="Heading3"/>
      </w:pPr>
      <w:bookmarkStart w:name="b_pregunta_p1_23_ciencia_de_la__ba6be327" w:id="5403"/>
      <w:r>
        <w:t xml:space="preserve">1.23 · Unidad 2 · 2.8 · Cibernética y retroalimentación</w:t>
      </w:r>
      <w:bookmarkEnd w:id="5403"/>
    </w:p>
    <w:p>
      <w:pPr>
        <w:pStyle w:val="Normal"/>
      </w:pPr>
      <w:r>
        <w:t xml:space="preserve">¿Cómo se llama la ciencia que estudia los mecanismos de realimentación que permiten comprender el comportamiento auto-controlado de los sistemas, fomentando el que se piense circularmente?</w:t>
      </w:r>
    </w:p>
    <w:p>
      <w:pPr>
        <w:pStyle w:val="Fuente"/>
      </w:pPr>
      <w:r>
        <w:t xml:space="preserve">Ordinal de la fuente: 23.</w:t>
      </w:r>
    </w:p>
    <w:p>
      <w:pPr>
        <w:pStyle w:val="Normal"/>
      </w:pPr>
      <w:r>
        <w:t xml:space="preserve">a) Teoría de juegos</w:t>
      </w:r>
    </w:p>
    <w:p>
      <w:pPr>
        <w:pStyle w:val="Normal"/>
      </w:pPr>
      <w:r>
        <w:t xml:space="preserve">b) Topología</w:t>
      </w:r>
    </w:p>
    <w:p>
      <w:pPr>
        <w:pStyle w:val="Normal"/>
      </w:pPr>
      <w:r>
        <w:t xml:space="preserve">c) Teoría de sistemas</w:t>
      </w:r>
    </w:p>
    <w:p>
      <w:pPr>
        <w:pStyle w:val="Normal"/>
      </w:pPr>
      <w:r>
        <w:t xml:space="preserve">d) Cibernética</w:t>
      </w:r>
    </w:p>
    <w:p>
      <w:pPr>
        <w:pStyle w:val="Heading3"/>
      </w:pPr>
      <w:bookmarkStart w:name="b_solucion_p1_23_ciencia_de_la__d7e527d9" w:id="5404"/>
      <w:r>
        <w:t xml:space="preserve">Solución 1.23</w:t>
      </w:r>
      <w:bookmarkEnd w:id="5404"/>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d) Cibernética</w:t>
            </w:r>
          </w:p>
        </w:tc>
      </w:tr>
    </w:tbl>
    <w:p>
      <w:pPr>
        <w:pStyle w:val="Heading3"/>
      </w:pPr>
      <w:r>
        <w:t xml:space="preserve">Localice la pista decisiva</w:t>
      </w:r>
    </w:p>
    <w:p>
      <w:pPr>
        <w:pStyle w:val="Normal"/>
      </w:pPr>
      <w:r>
        <w:t xml:space="preserve">El cierre causal: acción, resultado, información de retorno, ajuste, nueva acción. Ese bucle es el núcleo cibernético.</w:t>
      </w:r>
    </w:p>
    <w:p>
      <w:pPr>
        <w:pStyle w:val="Heading3"/>
      </w:pPr>
      <w:r>
        <w:t xml:space="preserve">Descarte las disciplinas ajenas</w:t>
      </w:r>
    </w:p>
    <w:p>
      <w:pPr>
        <w:pStyle w:val="Normal"/>
      </w:pPr>
      <w:r>
        <w:t xml:space="preserve">La teoría de juegos trata decisiones estratégicas y la topología, propiedades de espacios.</w:t>
      </w:r>
    </w:p>
    <w:p>
      <w:pPr>
        <w:pStyle w:val="Fuente"/>
      </w:pPr>
      <w:r>
        <w:t xml:space="preserve">Opciones descartadas: a), b).</w:t>
      </w:r>
    </w:p>
    <w:p>
      <w:pPr>
        <w:pStyle w:val="Heading3"/>
      </w:pPr>
      <w:r>
        <w:t xml:space="preserve">Separe el marco general de la disciplina específica</w:t>
      </w:r>
    </w:p>
    <w:p>
      <w:pPr>
        <w:pStyle w:val="Normal"/>
      </w:pPr>
      <w:r>
        <w:t xml:space="preserve">La teoría de sistemas es el marco; el estudio del control y la realimentación tiene nombre propio.</w:t>
      </w:r>
    </w:p>
    <w:p>
      <w:pPr>
        <w:pStyle w:val="Fuente"/>
      </w:pPr>
      <w:r>
        <w:t xml:space="preserve">Opciones descartadas: c).</w:t>
      </w:r>
    </w:p>
    <w:p>
      <w:pPr>
        <w:pStyle w:val="Normal"/>
      </w:pPr>
      <w:r>
        <w:t xml:space="preserve">a) Teoría de juegos — Estudia decisiones estratégicas entre agentes interdependientes.</w:t>
      </w:r>
    </w:p>
    <w:p>
      <w:pPr>
        <w:pStyle w:val="Normal"/>
      </w:pPr>
      <w:r>
        <w:t xml:space="preserve">b) Topología — Es una rama matemática sobre propiedades de espacios y transformaciones.</w:t>
      </w:r>
    </w:p>
    <w:p>
      <w:pPr>
        <w:pStyle w:val="Normal"/>
      </w:pPr>
      <w:r>
        <w:t xml:space="preserve">c) Teoría de sistemas — Es el marco general, pero el estudio específico del control y la realimentación corresponde a la cibernética.</w:t>
      </w:r>
    </w:p>
    <w:p>
      <w:pPr>
        <w:pStyle w:val="Normal"/>
      </w:pPr>
      <w:r>
        <w:t xml:space="preserve">d) Cibernética — Correcta: estudia comunicación, control y mecanismos de realimentación en personas y máquinas.</w:t>
      </w:r>
    </w:p>
    <w:p>
      <w:pPr>
        <w:pStyle w:val="Normal"/>
      </w:pPr>
      <w:r>
        <w:t xml:space="preserve">Criterio de resolución: La lectura define la cibernética como la ciencia que estudia los mecanismos de comunicación y control en personas y máquinas. Mediante la realimentación analiza el comportamiento autocontrolado de los sistemas y destaca que su lógica es circular.</w:t>
      </w:r>
    </w:p>
    <w:p>
      <w:pPr>
        <w:pStyle w:val="Normal"/>
      </w:pPr>
      <w:r>
        <w:t xml:space="preserve">Defensa: La pista decisiva es el ciclo cerrado. Que la lógica sea circular y no meramente lineal es lo que caracteriza a la cibernética dentro del marco sistémico.</w:t>
      </w:r>
    </w:p>
    <w:p>
      <w:pPr>
        <w:pStyle w:val="Fuente"/>
      </w:pPr>
      <w:r>
        <w:t xml:space="preserve">Lectura de introducción a la TGS, p. 20</w:t>
      </w:r>
    </w:p>
    <w:p>
      <w:pPr>
        <w:pStyle w:val="Heading3"/>
      </w:pPr>
      <w:bookmarkStart w:name="b_pregunta_p1_24_habito_que_est_443e8496" w:id="5405"/>
      <w:r>
        <w:t xml:space="preserve">1.24 · Unidad 1 · 1.8 · Hábitos del pensador sistémico</w:t>
      </w:r>
      <w:bookmarkEnd w:id="5405"/>
    </w:p>
    <w:p>
      <w:pPr>
        <w:pStyle w:val="Normal"/>
      </w:pPr>
      <w:r>
        <w:t xml:space="preserve">¿Qué hábito de un pensador sistémico se estimula poner en práctica al hacernos la siguiente pregunta: «¿qué tan bien corresponde mi teoría o modelo con el sistema estudiado?»?</w:t>
      </w:r>
    </w:p>
    <w:p>
      <w:pPr>
        <w:pStyle w:val="Fuente"/>
      </w:pPr>
      <w:r>
        <w:t xml:space="preserve">Ordinal de la fuente: 24.</w:t>
      </w:r>
    </w:p>
    <w:p>
      <w:pPr>
        <w:pStyle w:val="Normal"/>
      </w:pPr>
      <w:r>
        <w:t xml:space="preserve">a) Cambia las perspectivas para aumentar la comprensión</w:t>
      </w:r>
    </w:p>
    <w:p>
      <w:pPr>
        <w:pStyle w:val="Normal"/>
      </w:pPr>
      <w:r>
        <w:t xml:space="preserve">b) Intenta entender la «película completa»</w:t>
      </w:r>
    </w:p>
    <w:p>
      <w:pPr>
        <w:pStyle w:val="Normal"/>
      </w:pPr>
      <w:r>
        <w:t xml:space="preserve">c) Considera cómo los modelos mentales afectan la realidad actual y el futuro</w:t>
      </w:r>
    </w:p>
    <w:p>
      <w:pPr>
        <w:pStyle w:val="Normal"/>
      </w:pPr>
      <w:r>
        <w:t xml:space="preserve">d) Reconoce y prueba suposiciones</w:t>
      </w:r>
    </w:p>
    <w:p>
      <w:pPr>
        <w:pStyle w:val="Heading3"/>
      </w:pPr>
      <w:bookmarkStart w:name="b_solucion_p1_24_habito_que_est_84c7152c" w:id="5406"/>
      <w:r>
        <w:t xml:space="preserve">Solución 1.24</w:t>
      </w:r>
      <w:bookmarkEnd w:id="5406"/>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d) Reconoce y prueba suposiciones</w:t>
            </w:r>
          </w:p>
        </w:tc>
      </w:tr>
    </w:tbl>
    <w:p>
      <w:pPr>
        <w:pStyle w:val="Heading3"/>
      </w:pPr>
      <w:r>
        <w:t xml:space="preserve">Subraye el verbo de la pregunta</w:t>
      </w:r>
    </w:p>
    <w:p>
      <w:pPr>
        <w:pStyle w:val="Normal"/>
      </w:pPr>
      <w:r>
        <w:t xml:space="preserve">«Corresponde» pone en relación una teoría con un sistema observado. Eso es contrastar, no mirar desde otro lugar.</w:t>
      </w:r>
    </w:p>
    <w:p>
      <w:pPr>
        <w:pStyle w:val="Heading3"/>
      </w:pPr>
      <w:r>
        <w:t xml:space="preserve">Descarte los hábitos que no contrastan</w:t>
      </w:r>
    </w:p>
    <w:p>
      <w:pPr>
        <w:pStyle w:val="Normal"/>
      </w:pPr>
      <w:r>
        <w:t xml:space="preserve">Cambiar perspectivas, ampliar la película y considerar el efecto de los modelos son los otros tres hábitos básicos.</w:t>
      </w:r>
    </w:p>
    <w:p>
      <w:pPr>
        <w:pStyle w:val="Fuente"/>
      </w:pPr>
      <w:r>
        <w:t xml:space="preserve">Opciones descartadas: a), b), c).</w:t>
      </w:r>
    </w:p>
    <w:p>
      <w:pPr>
        <w:pStyle w:val="Normal"/>
      </w:pPr>
      <w:r>
        <w:t xml:space="preserve">a) Cambia las perspectivas para aumentar la comprensión — Busca observar el sistema desde otros puntos de vista.</w:t>
      </w:r>
    </w:p>
    <w:p>
      <w:pPr>
        <w:pStyle w:val="Normal"/>
      </w:pPr>
      <w:r>
        <w:t xml:space="preserve">b) Intenta entender la «película completa» — Amplía la frontera, el horizonte temporal y la visión del conjunto.</w:t>
      </w:r>
    </w:p>
    <w:p>
      <w:pPr>
        <w:pStyle w:val="Normal"/>
      </w:pPr>
      <w:r>
        <w:t xml:space="preserve">c) Considera cómo los modelos mentales afectan la realidad actual y el futuro — Analiza el efecto de las creencias sobre decisiones y resultados.</w:t>
      </w:r>
    </w:p>
    <w:p>
      <w:pPr>
        <w:pStyle w:val="Normal"/>
      </w:pPr>
      <w:r>
        <w:t xml:space="preserve">d) Reconoce y prueba suposiciones — Correcta: contrasta el modelo o teoría con la evidencia y el comportamiento del sistema.</w:t>
      </w:r>
    </w:p>
    <w:p>
      <w:pPr>
        <w:pStyle w:val="Normal"/>
      </w:pPr>
      <w:r>
        <w:t xml:space="preserve">Criterio de resolución: La pregunta obliga a convertir la teoría en una hipótesis comprobable: hacer visibles los supuestos, compararlos con datos y comportamiento, y decidir si el modelo se mantiene, se corrige o se rechaza.</w:t>
      </w:r>
    </w:p>
    <w:p>
      <w:pPr>
        <w:pStyle w:val="Normal"/>
      </w:pPr>
      <w:r>
        <w:t xml:space="preserve">Defensa: Los cuatro incisos nombran hábitos sistémicos reales: la clave consiste en identificar cuál se activa de manera directa por el verbo que relaciona teoría y sistema observado.</w:t>
      </w:r>
    </w:p>
    <w:p>
      <w:pPr>
        <w:pStyle w:val="Fuente"/>
      </w:pPr>
      <w:r>
        <w:t xml:space="preserve">Clases 3 y 5 · escalera de inferencias y prueba de suposiciones</w:t>
      </w:r>
    </w:p>
    <w:p>
      <w:pPr>
        <w:pStyle w:val="Heading3"/>
      </w:pPr>
      <w:bookmarkStart w:name="b_pregunta_p1_25_pensamiento_po_dcba7b32" w:id="5407"/>
      <w:r>
        <w:t xml:space="preserve">1.25 · Unidad 2 · 2.1 · Reduccionismo y pensamiento sistémico</w:t>
      </w:r>
      <w:bookmarkEnd w:id="5407"/>
    </w:p>
    <w:p>
      <w:pPr>
        <w:pStyle w:val="Normal"/>
      </w:pPr>
      <w:r>
        <w:t xml:space="preserve">¿Qué tipo de pensamiento nos permite comprender las realidades complejas del universo en términos de sus componentes constituyentes, analizando cada componente individualmente y describiendo las realidades complejas en términos de las propiedades de sus componentes?</w:t>
      </w:r>
    </w:p>
    <w:p>
      <w:pPr>
        <w:pStyle w:val="Fuente"/>
      </w:pPr>
      <w:r>
        <w:t xml:space="preserve">Ordinal de la fuente: 25.</w:t>
      </w:r>
    </w:p>
    <w:p>
      <w:pPr>
        <w:pStyle w:val="Normal"/>
      </w:pPr>
      <w:r>
        <w:t xml:space="preserve">a) Pensamiento sistémico</w:t>
      </w:r>
    </w:p>
    <w:p>
      <w:pPr>
        <w:pStyle w:val="Normal"/>
      </w:pPr>
      <w:r>
        <w:t xml:space="preserve">b) Pensamiento reduccionista</w:t>
      </w:r>
    </w:p>
    <w:p>
      <w:pPr>
        <w:pStyle w:val="Normal"/>
      </w:pPr>
      <w:r>
        <w:t xml:space="preserve">c) Pensamiento metacognitivo</w:t>
      </w:r>
    </w:p>
    <w:p>
      <w:pPr>
        <w:pStyle w:val="Normal"/>
      </w:pPr>
      <w:r>
        <w:t xml:space="preserve">d) Pensamiento crítico</w:t>
      </w:r>
    </w:p>
    <w:p>
      <w:pPr>
        <w:pStyle w:val="Heading3"/>
      </w:pPr>
      <w:bookmarkStart w:name="b_solucion_p1_25_pensamiento_po_c58b6e5d" w:id="5408"/>
      <w:r>
        <w:t xml:space="preserve">Solución 1.25</w:t>
      </w:r>
      <w:bookmarkEnd w:id="5408"/>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b) Pensamiento reduccionista</w:t>
            </w:r>
          </w:p>
        </w:tc>
      </w:tr>
    </w:tbl>
    <w:p>
      <w:pPr>
        <w:pStyle w:val="Heading3"/>
      </w:pPr>
      <w:r>
        <w:t xml:space="preserve">Subraye la frase decisiva</w:t>
      </w:r>
    </w:p>
    <w:p>
      <w:pPr>
        <w:pStyle w:val="Normal"/>
      </w:pPr>
      <w:r>
        <w:t xml:space="preserve">«Componentes individualmente». Analizar por separado y explicar el todo desde las partes es la definición del reduccionismo.</w:t>
      </w:r>
    </w:p>
    <w:p>
      <w:pPr>
        <w:pStyle w:val="Heading3"/>
      </w:pPr>
      <w:r>
        <w:t xml:space="preserve">Descarte el opuesto</w:t>
      </w:r>
    </w:p>
    <w:p>
      <w:pPr>
        <w:pStyle w:val="Normal"/>
      </w:pPr>
      <w:r>
        <w:t xml:space="preserve">El pensamiento sistémico no niega el análisis, pero lo integra con relaciones, contexto y comportamiento del todo.</w:t>
      </w:r>
    </w:p>
    <w:p>
      <w:pPr>
        <w:pStyle w:val="Fuente"/>
      </w:pPr>
      <w:r>
        <w:t xml:space="preserve">Opciones descartadas: a).</w:t>
      </w:r>
    </w:p>
    <w:p>
      <w:pPr>
        <w:pStyle w:val="Heading3"/>
      </w:pPr>
      <w:r>
        <w:t xml:space="preserve">Descarte los que no hablan del objeto</w:t>
      </w:r>
    </w:p>
    <w:p>
      <w:pPr>
        <w:pStyle w:val="Normal"/>
      </w:pPr>
      <w:r>
        <w:t xml:space="preserve">La metacognición trata del propio pensar y el pensamiento crítico, de razones y evidencia.</w:t>
      </w:r>
    </w:p>
    <w:p>
      <w:pPr>
        <w:pStyle w:val="Fuente"/>
      </w:pPr>
      <w:r>
        <w:t xml:space="preserve">Opciones descartadas: c), d).</w:t>
      </w:r>
    </w:p>
    <w:p>
      <w:pPr>
        <w:pStyle w:val="Normal"/>
      </w:pPr>
      <w:r>
        <w:t xml:space="preserve">a) Pensamiento sistémico — Pone énfasis en totalidades, relaciones, interdependencias y contexto.</w:t>
      </w:r>
    </w:p>
    <w:p>
      <w:pPr>
        <w:pStyle w:val="Normal"/>
      </w:pPr>
      <w:r>
        <w:t xml:space="preserve">b) Pensamiento reduccionista — Correcta: descompone el fenómeno y explica el todo mediante las propiedades de sus componentes.</w:t>
      </w:r>
    </w:p>
    <w:p>
      <w:pPr>
        <w:pStyle w:val="Normal"/>
      </w:pPr>
      <w:r>
        <w:t xml:space="preserve">c) Pensamiento metacognitivo — Consiste en pensar sobre el propio pensamiento.</w:t>
      </w:r>
    </w:p>
    <w:p>
      <w:pPr>
        <w:pStyle w:val="Normal"/>
      </w:pPr>
      <w:r>
        <w:t xml:space="preserve">d) Pensamiento crítico — Evalúa razones y evidencia, pero no se define por descomponer el sistema.</w:t>
      </w:r>
    </w:p>
    <w:p>
      <w:pPr>
        <w:pStyle w:val="Normal"/>
      </w:pPr>
      <w:r>
        <w:t xml:space="preserve">Criterio de resolución: El paradigma reduccionista se presenta como el proceso de descomponer un sistema en componentes, analizarlos individualmente y describir el sistema en términos de las propiedades de esas partes.</w:t>
      </w:r>
    </w:p>
    <w:p>
      <w:pPr>
        <w:pStyle w:val="Normal"/>
      </w:pPr>
      <w:r>
        <w:t xml:space="preserve">Defensa: La frase «componentes individualmente» es decisiva. El pensamiento sistémico también analiza, pero no explica el todo únicamente desde las propiedades de las partes.</w:t>
      </w:r>
    </w:p>
    <w:p>
      <w:pPr>
        <w:pStyle w:val="Fuente"/>
      </w:pPr>
      <w:r>
        <w:t xml:space="preserve">Clase 7 · 00:20:00–00:26:00 · video proyectado</w:t>
      </w:r>
    </w:p>
    <w:p>
      <w:pPr>
        <w:pStyle w:val="Heading3"/>
      </w:pPr>
      <w:bookmarkStart w:name="b_pregunta_p1_26_limite_del_red_60423fc9" w:id="5409"/>
      <w:r>
        <w:t xml:space="preserve">1.26 · Unidad 2 · 2.1, 2.5 y 2.6 · Reduccionismo, emergencia y complejidad</w:t>
      </w:r>
      <w:bookmarkEnd w:id="5409"/>
    </w:p>
    <w:p>
      <w:pPr>
        <w:pStyle w:val="Normal"/>
      </w:pPr>
      <w:r>
        <w:t xml:space="preserve">Si el pensamiento reduccionista es simple, rápido y fácil de entender, ¿qué lo hace no ser tan útil como el pensamiento sistémico según lo cubierto en este curso? Explique brevemente.</w:t>
      </w:r>
    </w:p>
    <w:p>
      <w:pPr>
        <w:pStyle w:val="Fuente"/>
      </w:pPr>
      <w:r>
        <w:t xml:space="preserve">Ordinal de la fuente: 26.</w:t>
      </w:r>
    </w:p>
    <w:p>
      <w:pPr>
        <w:pStyle w:val="Heading3"/>
      </w:pPr>
      <w:bookmarkStart w:name="b_solucion_p1_26_limite_del_red_21926790" w:id="5410"/>
      <w:r>
        <w:t xml:space="preserve">Solución 1.26</w:t>
      </w:r>
      <w:bookmarkEnd w:id="5410"/>
    </w:p>
    <w:p>
      <w:pPr>
        <w:pStyle w:val="RecuadroTitulo"/>
      </w:pPr>
      <w:r>
        <w:t xml:space="preserve">Respuesta modelo</w:t>
      </w:r>
    </w:p>
    <w:p>
      <w:pPr>
        <w:pStyle w:val="Normal"/>
      </w:pPr>
      <w:r>
        <w:t xml:space="preserve">Produce una visión parcial al ignorar relaciones, interdependencias y propiedades emergentes.</w:t>
      </w:r>
    </w:p>
    <w:p>
      <w:pPr>
        <w:pStyle w:val="Normal"/>
      </w:pPr>
      <w:r>
        <w:t xml:space="preserve">El pensamiento reduccionista puede ser útil para estudiar partes, pero resulta limitado en sistemas complejos porque tiende a aislar componentes y a perder las relaciones, interdependencias, retroalimentaciones y propiedades emergentes del conjunto.</w:t>
      </w:r>
    </w:p>
    <w:p>
      <w:pPr>
        <w:pStyle w:val="Normal"/>
      </w:pPr>
      <w:r>
        <w:t xml:space="preserve">Su debilidad es explicar el todo únicamente desde las partes. En sistemas sociales, ecológicos, tecnológicos u organizacionales el comportamiento depende fuertemente de las relaciones, de modo que sus soluciones tienden a ser parciales o a producir efectos no previstos.</w:t>
      </w:r>
    </w:p>
    <w:p>
      <w:pPr>
        <w:pStyle w:val="Normal"/>
      </w:pPr>
      <w:r>
        <w:t xml:space="preserve">El pensamiento sistémico complementa el análisis con síntesis, contexto y estructura relacional.</w:t>
      </w:r>
    </w:p>
    <w:p>
      <w:pPr>
        <w:pStyle w:val="Heading3"/>
      </w:pPr>
      <w:r>
        <w:t xml:space="preserve">Conceda lo que el enunciado afirma</w:t>
      </w:r>
    </w:p>
    <w:p>
      <w:pPr>
        <w:pStyle w:val="Normal"/>
      </w:pPr>
      <w:r>
        <w:t xml:space="preserve">El reduccionismo sí es simple, rápido y claro, y funciona bien cuando hay baja interconectividad entre las partes.</w:t>
      </w:r>
    </w:p>
    <w:p>
      <w:pPr>
        <w:pStyle w:val="Heading3"/>
      </w:pPr>
      <w:r>
        <w:t xml:space="preserve">Señale dónde deja de servir</w:t>
      </w:r>
    </w:p>
    <w:p>
      <w:pPr>
        <w:pStyle w:val="Normal"/>
      </w:pPr>
      <w:r>
        <w:t xml:space="preserve">En sistemas con alta interdependencia, el comportamiento depende de las relaciones, y estudiarlas por separado oculta la estructura que produce el resultado.</w:t>
      </w:r>
    </w:p>
    <w:p>
      <w:pPr>
        <w:pStyle w:val="Heading3"/>
      </w:pPr>
      <w:r>
        <w:t xml:space="preserve">Nombre lo que se pierde</w:t>
      </w:r>
    </w:p>
    <w:p>
      <w:pPr>
        <w:pStyle w:val="Normal"/>
      </w:pPr>
      <w:r>
        <w:t xml:space="preserve">Relaciones, interdependencias, retroalimentaciones y propiedades emergentes del conjunto.</w:t>
      </w:r>
    </w:p>
    <w:p>
      <w:pPr>
        <w:pStyle w:val="Heading3"/>
      </w:pPr>
      <w:r>
        <w:t xml:space="preserve">Cierre sin descalificarlo</w:t>
      </w:r>
    </w:p>
    <w:p>
      <w:pPr>
        <w:pStyle w:val="Normal"/>
      </w:pPr>
      <w:r>
        <w:t xml:space="preserve">No se afirma que no sirva: se afirma que es insuficiente como único paradigma.</w:t>
      </w:r>
    </w:p>
    <w:p>
      <w:pPr>
        <w:pStyle w:val="Normal"/>
      </w:pPr>
      <w:r>
        <w:t xml:space="preserve">Defensa: No debe afirmarse que el reduccionismo no sirve: es valioso para componentes aislables. Su insuficiencia aparece cuando se usa como único paradigma en sistemas cuya conducta surge de interacciones complejas.</w:t>
      </w:r>
    </w:p>
    <w:p>
      <w:pPr>
        <w:pStyle w:val="Heading3"/>
      </w:pPr>
      <w:r>
        <w:t xml:space="preserve">Criterios para una respuesta completa</w:t>
      </w:r>
    </w:p>
    <w:p>
      <w:pPr>
        <w:pStyle w:val="Normal"/>
        <w:numPr>
          <w:ilvl w:val="0"/>
          <w:numId w:val="2"/>
        </w:numPr>
      </w:pPr>
      <w:r>
        <w:t xml:space="preserve">Concede que el reduccionismo tiene ventajas.</w:t>
      </w:r>
    </w:p>
    <w:p>
      <w:pPr>
        <w:pStyle w:val="Normal"/>
        <w:numPr>
          <w:ilvl w:val="0"/>
          <w:numId w:val="2"/>
        </w:numPr>
      </w:pPr>
      <w:r>
        <w:t xml:space="preserve">Nombra la pérdida de relaciones, interdependencias o emergencia.</w:t>
      </w:r>
    </w:p>
    <w:p>
      <w:pPr>
        <w:pStyle w:val="Normal"/>
        <w:numPr>
          <w:ilvl w:val="0"/>
          <w:numId w:val="2"/>
        </w:numPr>
      </w:pPr>
      <w:r>
        <w:t xml:space="preserve">Relaciona el límite con la interconectividad del sistema.</w:t>
      </w:r>
    </w:p>
    <w:p>
      <w:pPr>
        <w:pStyle w:val="Normal"/>
        <w:numPr>
          <w:ilvl w:val="0"/>
          <w:numId w:val="2"/>
        </w:numPr>
      </w:pPr>
      <w:r>
        <w:t xml:space="preserve">No afirma que el reduccionismo no sirva.</w:t>
      </w:r>
    </w:p>
    <w:p>
      <w:pPr>
        <w:pStyle w:val="Fuente"/>
      </w:pPr>
      <w:r>
        <w:t xml:space="preserve">Clase 7 · 00:24:44–00:26:15 · Clase 8 · 01:06:32–01:08:12</w:t>
      </w:r>
    </w:p>
    <w:p>
      <w:pPr>
        <w:pStyle w:val="Heading3"/>
      </w:pPr>
      <w:bookmarkStart w:name="b_pregunta_p1_27_sistema_a_conglomerado" w:id="5411"/>
      <w:r>
        <w:t xml:space="preserve">1.27 · Unidad 2 · 2.5 y 2.8 · Sinergia, entropía y organización</w:t>
      </w:r>
      <w:bookmarkEnd w:id="5411"/>
    </w:p>
    <w:p>
      <w:pPr>
        <w:pStyle w:val="Normal"/>
      </w:pPr>
      <w:r>
        <w:t xml:space="preserve">¿Qué puede llevar a un sistema a convertirse en un conglomerado de partes?</w:t>
      </w:r>
    </w:p>
    <w:p>
      <w:pPr>
        <w:pStyle w:val="Fuente"/>
      </w:pPr>
      <w:r>
        <w:t xml:space="preserve">Ordinal de la fuente: 27.</w:t>
      </w:r>
    </w:p>
    <w:p>
      <w:pPr>
        <w:pStyle w:val="Normal"/>
      </w:pPr>
      <w:r>
        <w:t xml:space="preserve">a) La equifinalidad</w:t>
      </w:r>
    </w:p>
    <w:p>
      <w:pPr>
        <w:pStyle w:val="Normal"/>
      </w:pPr>
      <w:r>
        <w:t xml:space="preserve">b) La entropía</w:t>
      </w:r>
    </w:p>
    <w:p>
      <w:pPr>
        <w:pStyle w:val="Normal"/>
      </w:pPr>
      <w:r>
        <w:t xml:space="preserve">c) La sinergia</w:t>
      </w:r>
    </w:p>
    <w:p>
      <w:pPr>
        <w:pStyle w:val="Normal"/>
      </w:pPr>
      <w:r>
        <w:t xml:space="preserve">d) La homeostasis</w:t>
      </w:r>
    </w:p>
    <w:p>
      <w:pPr>
        <w:pStyle w:val="Heading3"/>
      </w:pPr>
      <w:bookmarkStart w:name="b_solucion_p1_27_sistema_a_conglomerado" w:id="5412"/>
      <w:r>
        <w:t xml:space="preserve">Solución 1.27</w:t>
      </w:r>
      <w:bookmarkEnd w:id="5412"/>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b) La entropía</w:t>
            </w:r>
          </w:p>
        </w:tc>
      </w:tr>
    </w:tbl>
    <w:p>
      <w:pPr>
        <w:pStyle w:val="Heading3"/>
      </w:pPr>
      <w:r>
        <w:t xml:space="preserve">Recuerde qué separa un sistema de un montón</w:t>
      </w:r>
    </w:p>
    <w:p>
      <w:pPr>
        <w:pStyle w:val="Normal"/>
      </w:pPr>
      <w:r>
        <w:t xml:space="preserve">Las relaciones significativas entre sus partes. Si se pierden, queda un conglomerado.</w:t>
      </w:r>
    </w:p>
    <w:p>
      <w:pPr>
        <w:pStyle w:val="Heading3"/>
      </w:pPr>
      <w:r>
        <w:t xml:space="preserve">Busque el concepto que erosiona relaciones</w:t>
      </w:r>
    </w:p>
    <w:p>
      <w:pPr>
        <w:pStyle w:val="Normal"/>
      </w:pPr>
      <w:r>
        <w:t xml:space="preserve">La entropía es el aumento del desorden y la pérdida de organización. Es la única que apunta en esa dirección.</w:t>
      </w:r>
    </w:p>
    <w:p>
      <w:pPr>
        <w:pStyle w:val="Heading3"/>
      </w:pPr>
      <w:r>
        <w:t xml:space="preserve">Descarte lo que integra o regula</w:t>
      </w:r>
    </w:p>
    <w:p>
      <w:pPr>
        <w:pStyle w:val="Normal"/>
      </w:pPr>
      <w:r>
        <w:t xml:space="preserve">La sinergia integra y produce propiedades del todo; la homeostasis regula; la equifinalidad describe caminos hacia un fin.</w:t>
      </w:r>
    </w:p>
    <w:p>
      <w:pPr>
        <w:pStyle w:val="Fuente"/>
      </w:pPr>
      <w:r>
        <w:t xml:space="preserve">Opciones descartadas: a), c), d).</w:t>
      </w:r>
    </w:p>
    <w:p>
      <w:pPr>
        <w:pStyle w:val="Normal"/>
      </w:pPr>
      <w:r>
        <w:t xml:space="preserve">a) La equifinalidad — Se refiere a alcanzar un mismo final por caminos diferentes.</w:t>
      </w:r>
    </w:p>
    <w:p>
      <w:pPr>
        <w:pStyle w:val="Normal"/>
      </w:pPr>
      <w:r>
        <w:t xml:space="preserve">b) La entropía — Correcta: la pérdida progresiva de orden y de relaciones significativas puede desintegrar la organización del sistema.</w:t>
      </w:r>
    </w:p>
    <w:p>
      <w:pPr>
        <w:pStyle w:val="Normal"/>
      </w:pPr>
      <w:r>
        <w:t xml:space="preserve">c) La sinergia — Es precisamente lo que distingue a una totalidad organizada de un conglomerado.</w:t>
      </w:r>
    </w:p>
    <w:p>
      <w:pPr>
        <w:pStyle w:val="Normal"/>
      </w:pPr>
      <w:r>
        <w:t xml:space="preserve">d) La homeostasis — Favorece el equilibrio dinámico y la autorregulación.</w:t>
      </w:r>
    </w:p>
    <w:p>
      <w:pPr>
        <w:pStyle w:val="Normal"/>
      </w:pPr>
      <w:r>
        <w:t xml:space="preserve">Criterio de resolución: La clase 9 relaciona la entropía con el aumento del desorden y la pérdida de relaciones entre las partes. Cuando esas relaciones dejan de producir una organización integrada, el sistema puede perder su identidad y quedar como un conjunto de elementos.</w:t>
      </w:r>
    </w:p>
    <w:p>
      <w:pPr>
        <w:pStyle w:val="Normal"/>
      </w:pPr>
      <w:r>
        <w:t xml:space="preserve">Defensa: Sinergia y entropía apuntan en direcciones opuestas dentro del ítem: la primera integra y produce propiedades del todo, la segunda erosiona esa organización.</w:t>
      </w:r>
    </w:p>
    <w:p>
      <w:pPr>
        <w:pStyle w:val="Fuente"/>
      </w:pPr>
      <w:r>
        <w:t xml:space="preserve">Clase 9 · segmento sobre entropía y neguentropía</w:t>
      </w:r>
    </w:p>
    <w:p>
      <w:pPr>
        <w:pStyle w:val="Heading3"/>
      </w:pPr>
      <w:bookmarkStart w:name="b_pregunta_p1_28_modelos_realis_16ca4b7c" w:id="5413"/>
      <w:r>
        <w:t xml:space="preserve">1.28 · Unidad 1 · 1.4 · Modelos mentales realistas y útiles</w:t>
      </w:r>
      <w:bookmarkEnd w:id="5413"/>
    </w:p>
    <w:p>
      <w:pPr>
        <w:pStyle w:val="Normal"/>
      </w:pPr>
      <w:r>
        <w:t xml:space="preserve">Complete el siguiente párrafo sobre los modelos mentales con las palabras que hacen falta: «El fin último de las personas es su bienestar, su satisfacción en todos los planos —personal, laboral, familiar—; por ello nos interesa tener un conjunto de modelos mentales que sean ________ y ________ y nos aporten bienestar y felicidad para nosotros mismos y los demás, en la mayor medida posible». Escriba las dos palabras.</w:t>
      </w:r>
    </w:p>
    <w:p>
      <w:pPr>
        <w:pStyle w:val="Fuente"/>
      </w:pPr>
      <w:r>
        <w:t xml:space="preserve">Ordinal de la fuente: 28.</w:t>
      </w:r>
    </w:p>
    <w:p>
      <w:pPr>
        <w:pStyle w:val="Heading3"/>
      </w:pPr>
      <w:bookmarkStart w:name="b_solucion_p1_28_modelos_realis_3b61e109" w:id="5414"/>
      <w:r>
        <w:t xml:space="preserve">Solución 1.28</w:t>
      </w:r>
      <w:bookmarkEnd w:id="5414"/>
    </w:p>
    <w:p>
      <w:pPr>
        <w:pStyle w:val="RecuadroTitulo"/>
      </w:pPr>
      <w:r>
        <w:t xml:space="preserve">Respuesta modelo</w:t>
      </w:r>
    </w:p>
    <w:p>
      <w:pPr>
        <w:pStyle w:val="Normal"/>
      </w:pPr>
      <w:r>
        <w:t xml:space="preserve">realistas y útiles</w:t>
      </w:r>
    </w:p>
    <w:p>
      <w:pPr>
        <w:pStyle w:val="Normal"/>
      </w:pPr>
      <w:r>
        <w:t xml:space="preserve">Las palabras que faltan son «realistas» y «útiles».</w:t>
      </w:r>
    </w:p>
    <w:p>
      <w:pPr>
        <w:pStyle w:val="Normal"/>
      </w:pPr>
      <w:r>
        <w:t xml:space="preserve">La lámina de la clase 4 establece ese criterio doble: los modelos deben ser realistas porque han de permitirnos desenvolvernos efectivamente en el mundo real, y útiles porque deben aportar al diario vivir y a los fines perseguidos.</w:t>
      </w:r>
    </w:p>
    <w:p>
      <w:pPr>
        <w:pStyle w:val="Normal"/>
      </w:pPr>
      <w:r>
        <w:t xml:space="preserve">Términos aceptados por la rúbrica: realistas; útiles.</w:t>
      </w:r>
    </w:p>
    <w:p>
      <w:pPr>
        <w:pStyle w:val="Heading3"/>
      </w:pPr>
      <w:r>
        <w:t xml:space="preserve">Busque el criterio doble de la lámina</w:t>
      </w:r>
    </w:p>
    <w:p>
      <w:pPr>
        <w:pStyle w:val="Normal"/>
      </w:pPr>
      <w:r>
        <w:t xml:space="preserve">La clase 4 plantea dos condiciones que un modelo mental debe cumplir a la vez, no una sola.</w:t>
      </w:r>
    </w:p>
    <w:p>
      <w:pPr>
        <w:pStyle w:val="Heading3"/>
      </w:pPr>
      <w:r>
        <w:t xml:space="preserve">Recupere la primera</w:t>
      </w:r>
    </w:p>
    <w:p>
      <w:pPr>
        <w:pStyle w:val="Normal"/>
      </w:pPr>
      <w:r>
        <w:t xml:space="preserve">Realistas, porque han de permitirnos desenvolvernos efectivamente en el mundo real.</w:t>
      </w:r>
    </w:p>
    <w:p>
      <w:pPr>
        <w:pStyle w:val="Heading3"/>
      </w:pPr>
      <w:r>
        <w:t xml:space="preserve">Recupere la segunda</w:t>
      </w:r>
    </w:p>
    <w:p>
      <w:pPr>
        <w:pStyle w:val="Normal"/>
      </w:pPr>
      <w:r>
        <w:t xml:space="preserve">Útiles, porque deben aportar al diario vivir y a los fines perseguidos.</w:t>
      </w:r>
    </w:p>
    <w:p>
      <w:pPr>
        <w:pStyle w:val="Normal"/>
      </w:pPr>
      <w:r>
        <w:t xml:space="preserve">Defensa: Las dos condiciones son necesarias. Un modelo puede parecer útil a corto plazo y no corresponder con la realidad; también puede describir bien un aspecto y no servir para la decisión requerida.</w:t>
      </w:r>
    </w:p>
    <w:p>
      <w:pPr>
        <w:pStyle w:val="Heading3"/>
      </w:pPr>
      <w:r>
        <w:t xml:space="preserve">Criterios para una respuesta completa</w:t>
      </w:r>
    </w:p>
    <w:p>
      <w:pPr>
        <w:pStyle w:val="Normal"/>
        <w:numPr>
          <w:ilvl w:val="0"/>
          <w:numId w:val="2"/>
        </w:numPr>
      </w:pPr>
      <w:r>
        <w:t xml:space="preserve">Escribe las dos palabras.</w:t>
      </w:r>
    </w:p>
    <w:p>
      <w:pPr>
        <w:pStyle w:val="Normal"/>
        <w:numPr>
          <w:ilvl w:val="0"/>
          <w:numId w:val="2"/>
        </w:numPr>
      </w:pPr>
      <w:r>
        <w:t xml:space="preserve">No sustituye una de ellas por un sinónimo que cambie el criterio.</w:t>
      </w:r>
    </w:p>
    <w:p>
      <w:pPr>
        <w:pStyle w:val="Fuente"/>
      </w:pPr>
      <w:r>
        <w:t xml:space="preserve">Clase 4 · lámina 9 · 01:17:35–01:24:58</w:t>
      </w:r>
    </w:p>
    <w:p>
      <w:pPr>
        <w:pStyle w:val="Heading3"/>
      </w:pPr>
      <w:bookmarkStart w:name="b_pregunta_p1_29_operacion_que_enriquece" w:id="5415"/>
      <w:r>
        <w:t xml:space="preserve">1.29 · Unidad 1 · 1.5–1.6 · DSRP y perspectivas</w:t>
      </w:r>
      <w:bookmarkEnd w:id="5415"/>
    </w:p>
    <w:p>
      <w:pPr>
        <w:pStyle w:val="Normal"/>
      </w:pPr>
      <w:r>
        <w:t xml:space="preserve">De las 4 operaciones mentales que permiten generar el pensamiento sistémico, ¿cuál es la que permite ampliar y enriquecer más el modelo inicial que podamos definir? Explique brevemente.</w:t>
      </w:r>
    </w:p>
    <w:p>
      <w:pPr>
        <w:pStyle w:val="Fuente"/>
      </w:pPr>
      <w:r>
        <w:t xml:space="preserve">Ordinal de la fuente: 29.</w:t>
      </w:r>
    </w:p>
    <w:p>
      <w:pPr>
        <w:pStyle w:val="Heading3"/>
      </w:pPr>
      <w:bookmarkStart w:name="b_solucion_p1_29_operacion_que_enriquece" w:id="5416"/>
      <w:r>
        <w:t xml:space="preserve">Solución 1.29</w:t>
      </w:r>
      <w:bookmarkEnd w:id="5416"/>
    </w:p>
    <w:p>
      <w:pPr>
        <w:pStyle w:val="RecuadroTitulo"/>
      </w:pPr>
      <w:r>
        <w:t xml:space="preserve">Respuesta modelo</w:t>
      </w:r>
    </w:p>
    <w:p>
      <w:pPr>
        <w:pStyle w:val="Normal"/>
      </w:pPr>
      <w:r>
        <w:t xml:space="preserve">P = Perspectivas.</w:t>
      </w:r>
    </w:p>
    <w:p>
      <w:pPr>
        <w:pStyle w:val="Normal"/>
      </w:pPr>
      <w:r>
        <w:t xml:space="preserve">La operación es P, la de Perspectivas.</w:t>
      </w:r>
    </w:p>
    <w:p>
      <w:pPr>
        <w:pStyle w:val="Normal"/>
      </w:pPr>
      <w:r>
        <w:t xml:space="preserve">Observar el mismo sistema desde otros puntos de vista permite incorporar datos, partes, relaciones y significados que la perspectiva inicial dejó fuera. Cada observador selecciona información desde una posición distinta, y al cambiar de rol o de punto de vista aparecen elementos y relaciones que antes no eran visibles.</w:t>
      </w:r>
    </w:p>
    <w:p>
      <w:pPr>
        <w:pStyle w:val="Normal"/>
      </w:pPr>
      <w:r>
        <w:t xml:space="preserve">Integrar esas aportaciones amplía y enriquece el modelo mental inicial.</w:t>
      </w:r>
    </w:p>
    <w:p>
      <w:pPr>
        <w:pStyle w:val="Heading3"/>
      </w:pPr>
      <w:r>
        <w:t xml:space="preserve">Recuerde qué hace cada operación</w:t>
      </w:r>
    </w:p>
    <w:p>
      <w:pPr>
        <w:pStyle w:val="Normal"/>
      </w:pPr>
      <w:r>
        <w:t xml:space="preserve">Distinguir separa, sistematizar ordena en todo y partes, relacionar conecta, y tomar perspectiva cambia el lugar desde donde se mira.</w:t>
      </w:r>
    </w:p>
    <w:p>
      <w:pPr>
        <w:pStyle w:val="Heading3"/>
      </w:pPr>
      <w:r>
        <w:t xml:space="preserve">Pregunte cuál añade información nueva</w:t>
      </w:r>
    </w:p>
    <w:p>
      <w:pPr>
        <w:pStyle w:val="Normal"/>
      </w:pPr>
      <w:r>
        <w:t xml:space="preserve">Sólo cambiar de perspectiva incorpora datos, partes y relaciones que la perspectiva inicial había dejado fuera.</w:t>
      </w:r>
    </w:p>
    <w:p>
      <w:pPr>
        <w:pStyle w:val="Heading3"/>
      </w:pPr>
      <w:r>
        <w:t xml:space="preserve">Explique el mecanismo</w:t>
      </w:r>
    </w:p>
    <w:p>
      <w:pPr>
        <w:pStyle w:val="Normal"/>
      </w:pPr>
      <w:r>
        <w:t xml:space="preserve">Cada observador selecciona información desde una posición distinta; al cambiar de rol aparecen elementos que antes no eran visibles.</w:t>
      </w:r>
    </w:p>
    <w:p>
      <w:pPr>
        <w:pStyle w:val="Normal"/>
      </w:pPr>
      <w:r>
        <w:t xml:space="preserve">Defensa: Las cuatro reglas enriquecen el pensamiento cuando se aplican iterativamente. Sin embargo, la operación que el curso vincula explícitamente con ampliar la comprensión mediante puntos de vista alternativos es la de Perspectivas.</w:t>
      </w:r>
    </w:p>
    <w:p>
      <w:pPr>
        <w:pStyle w:val="Heading3"/>
      </w:pPr>
      <w:r>
        <w:t xml:space="preserve">Criterios para una respuesta completa</w:t>
      </w:r>
    </w:p>
    <w:p>
      <w:pPr>
        <w:pStyle w:val="Normal"/>
        <w:numPr>
          <w:ilvl w:val="0"/>
          <w:numId w:val="2"/>
        </w:numPr>
      </w:pPr>
      <w:r>
        <w:t xml:space="preserve">Nombra la operación de Perspectivas.</w:t>
      </w:r>
    </w:p>
    <w:p>
      <w:pPr>
        <w:pStyle w:val="Normal"/>
        <w:numPr>
          <w:ilvl w:val="0"/>
          <w:numId w:val="2"/>
        </w:numPr>
      </w:pPr>
      <w:r>
        <w:t xml:space="preserve">Explica que la perspectiva inicial es siempre limitada.</w:t>
      </w:r>
    </w:p>
    <w:p>
      <w:pPr>
        <w:pStyle w:val="Normal"/>
        <w:numPr>
          <w:ilvl w:val="0"/>
          <w:numId w:val="2"/>
        </w:numPr>
      </w:pPr>
      <w:r>
        <w:t xml:space="preserve">Señala que otras perspectivas aportan información distinta.</w:t>
      </w:r>
    </w:p>
    <w:p>
      <w:pPr>
        <w:pStyle w:val="Fuente"/>
      </w:pPr>
      <w:r>
        <w:t xml:space="preserve">Clase 7 · 00:56:00–01:06:00</w:t>
      </w:r>
    </w:p>
    <w:p>
      <w:pPr>
        <w:pStyle w:val="Heading3"/>
      </w:pPr>
      <w:bookmarkStart w:name="b_pregunta_p1_30_tres_habilidad_961b33d9" w:id="5417"/>
      <w:r>
        <w:t xml:space="preserve">1.30 · Unidad 1 · 1.2 y 1.8 · Escalera de inferencias y prueba de supuestos</w:t>
      </w:r>
      <w:bookmarkEnd w:id="5417"/>
    </w:p>
    <w:p>
      <w:pPr>
        <w:pStyle w:val="Normal"/>
      </w:pPr>
      <w:r>
        <w:t xml:space="preserve">¿Cuáles son las 3 habilidades prácticas que ayudan a desarrollar el hábito de reconocer y probar suposiciones que podemos deducir de la comprensión del modelo de la escalera de inferencias? Indique qué se logra con cada una.</w:t>
      </w:r>
    </w:p>
    <w:p>
      <w:pPr>
        <w:pStyle w:val="Fuente"/>
      </w:pPr>
      <w:r>
        <w:t xml:space="preserve">Ordinal de la fuente: 30.</w:t>
      </w:r>
    </w:p>
    <w:p>
      <w:pPr>
        <w:pStyle w:val="Heading3"/>
      </w:pPr>
      <w:bookmarkStart w:name="b_solucion_p1_30_tres_habilidad_92a4eb1a" w:id="5418"/>
      <w:r>
        <w:t xml:space="preserve">Solución 1.30</w:t>
      </w:r>
      <w:bookmarkEnd w:id="5418"/>
    </w:p>
    <w:p>
      <w:pPr>
        <w:pStyle w:val="RecuadroTitulo"/>
      </w:pPr>
      <w:r>
        <w:t xml:space="preserve">Respuesta modelo</w:t>
      </w:r>
    </w:p>
    <w:p>
      <w:pPr>
        <w:pStyle w:val="Normal"/>
      </w:pPr>
      <w:r>
        <w:t xml:space="preserve">Reflexión, indagación y argumentación.</w:t>
      </w:r>
    </w:p>
    <w:p>
      <w:pPr>
        <w:pStyle w:val="Normal"/>
      </w:pPr>
      <w:r>
        <w:t xml:space="preserve">1. Reflexión: permite suspender el juicio y examinar el propio pensamiento, separando hechos de interpretaciones y detectando datos omitidos.</w:t>
      </w:r>
    </w:p>
    <w:p>
      <w:pPr>
        <w:pStyle w:val="Normal"/>
      </w:pPr>
      <w:r>
        <w:t xml:space="preserve">2. Indagación: permite comprender el razonamiento de otra persona mediante preguntas abiertas, y descubrir información o perspectivas que no poseíamos.</w:t>
      </w:r>
    </w:p>
    <w:p>
      <w:pPr>
        <w:pStyle w:val="Normal"/>
      </w:pPr>
      <w:r>
        <w:t xml:space="preserve">3. Argumentación: vuelve explícita la propia inferencia, mostrando qué datos y supuestos influyen en las creencias y acciones para que puedan ser examinados.</w:t>
      </w:r>
    </w:p>
    <w:p>
      <w:pPr>
        <w:pStyle w:val="Heading3"/>
      </w:pPr>
      <w:r>
        <w:t xml:space="preserve">Sitúe las tres respecto de la escalera</w:t>
      </w:r>
    </w:p>
    <w:p>
      <w:pPr>
        <w:pStyle w:val="Normal"/>
      </w:pPr>
      <w:r>
        <w:t xml:space="preserve">Una trabaja sobre la propia escalera, otra sobre la de los demás y la tercera expone la propia para que otros la examinen.</w:t>
      </w:r>
    </w:p>
    <w:p>
      <w:pPr>
        <w:pStyle w:val="Heading3"/>
      </w:pPr>
      <w:r>
        <w:t xml:space="preserve">Nómbrelas en ese orden</w:t>
      </w:r>
    </w:p>
    <w:p>
      <w:pPr>
        <w:pStyle w:val="Normal"/>
      </w:pPr>
      <w:r>
        <w:t xml:space="preserve">Reflexión, indagación y argumentación.</w:t>
      </w:r>
    </w:p>
    <w:p>
      <w:pPr>
        <w:pStyle w:val="Heading3"/>
      </w:pPr>
      <w:r>
        <w:t xml:space="preserve">Diga qué se logra con cada una</w:t>
      </w:r>
    </w:p>
    <w:p>
      <w:pPr>
        <w:pStyle w:val="Normal"/>
      </w:pPr>
      <w:r>
        <w:t xml:space="preserve">Suspender el juicio, comprender el razonamiento ajeno y hacer visible el propio.</w:t>
      </w:r>
    </w:p>
    <w:p>
      <w:pPr>
        <w:pStyle w:val="Normal"/>
      </w:pPr>
      <w:r>
        <w:t xml:space="preserve">Defensa: Las tres forman un ciclo de aprendizaje: reflexiono sobre mi razonamiento, indago el de otros y argumento el mío de manera transparente. La retroalimentación obtenida permite revisar conclusiones y modelos mentales.</w:t>
      </w:r>
    </w:p>
    <w:p>
      <w:pPr>
        <w:pStyle w:val="Heading3"/>
      </w:pPr>
      <w:r>
        <w:t xml:space="preserve">Criterios para una respuesta completa</w:t>
      </w:r>
    </w:p>
    <w:p>
      <w:pPr>
        <w:pStyle w:val="Normal"/>
        <w:numPr>
          <w:ilvl w:val="0"/>
          <w:numId w:val="2"/>
        </w:numPr>
      </w:pPr>
      <w:r>
        <w:t xml:space="preserve">Nombra las tres habilidades.</w:t>
      </w:r>
    </w:p>
    <w:p>
      <w:pPr>
        <w:pStyle w:val="Normal"/>
        <w:numPr>
          <w:ilvl w:val="0"/>
          <w:numId w:val="2"/>
        </w:numPr>
      </w:pPr>
      <w:r>
        <w:t xml:space="preserve">Explica qué se logra con cada una.</w:t>
      </w:r>
    </w:p>
    <w:p>
      <w:pPr>
        <w:pStyle w:val="Normal"/>
        <w:numPr>
          <w:ilvl w:val="0"/>
          <w:numId w:val="2"/>
        </w:numPr>
      </w:pPr>
      <w:r>
        <w:t xml:space="preserve">Relaciona al menos una de ellas con la escalera de inferencias.</w:t>
      </w:r>
    </w:p>
    <w:p>
      <w:pPr>
        <w:pStyle w:val="Fuente"/>
        <w:sectPr>
          <w:headerReference w:type="default" r:id="rId270"/>
          <w:headerReference w:type="first" r:id="rId271"/>
          <w:headerReference w:type="even" r:id="rId272"/>
          <w:footerReference w:type="default" r:id="rId273"/>
          <w:footerReference w:type="first" r:id="rId274"/>
          <w:footerReference w:type="even" r:id="rId275"/>
          <w:type w:val="nextPage"/>
          <w:pgSz w:w="12240" w:h="15840" w:orient="portrait"/>
          <w:pgMar w:top="1361" w:right="1134" w:bottom="1361" w:left="1474" w:header="650" w:footer="680" w:gutter="0"/>
          <w:pgNumType/>
          <w:titlePg/>
          <w:docGrid w:linePitch="360"/>
        </w:sectPr>
      </w:pPr>
      <w:r>
        <w:t xml:space="preserve">Clase 5 · lámina 12 · 01:23:34–01:25:05</w:t>
      </w:r>
    </w:p>
    <w:p>
      <w:pPr>
        <w:pStyle w:val="Heading2"/>
      </w:pPr>
      <w:bookmarkStart w:name="b_ex_s1" w:id="5419"/>
      <w:r>
        <w:t xml:space="preserve">Simulacro del primer parcial</w:t>
      </w:r>
      <w:bookmarkEnd w:id="5419"/>
    </w:p>
    <w:p>
      <w:pPr>
        <w:pStyle w:val="Normal"/>
      </w:pPr>
      <w:r>
        <w:t xml:space="preserve">Documento externo: 25 cerradas y 10 directas; 120 minutos declarados en su portada. Todas las resoluciones son del portal.</w:t>
      </w:r>
    </w:p>
    <w:p>
      <w:pPr>
        <w:pStyle w:val="Heading3"/>
      </w:pPr>
      <w:r>
        <w:t xml:space="preserve">Clave rápida</w:t>
      </w:r>
    </w:p>
    <w:tbl>
      <w:tblPr>
        <w:tblW w:type="dxa" w:w="9632"/>
        <w:tblBorders>
          <w:top w:val="single" w:color="C5D5DB" w:sz="4"/>
          <w:left w:val="single" w:color="C5D5DB" w:sz="4"/>
          <w:bottom w:val="single" w:color="C5D5DB" w:sz="4"/>
          <w:right w:val="single" w:color="C5D5DB" w:sz="4"/>
          <w:insideH w:val="single" w:color="E4E9EB" w:sz="3"/>
          <w:insideV w:val="single" w:color="E4E9EB" w:sz="3"/>
        </w:tblBorders>
        <w:tblLayout w:type="fixed"/>
      </w:tblPr>
      <w:tblGrid>
        <w:gridCol w:w="4816"/>
        <w:gridCol w:w="4816"/>
      </w:tblGrid>
      <w:tr>
        <w:trPr>
          <w:cantSplit/>
          <w:tblHeader/>
        </w:trPr>
        <w:tc>
          <w:tcPr>
            <w:tcW w:type="dxa" w:w="4816"/>
            <w:shd w:fill="DFEAF0" w:val="clear"/>
            <w:tcMar>
              <w:top w:type="dxa" w:w="80"/>
              <w:left w:type="dxa" w:w="100"/>
              <w:bottom w:type="dxa" w:w="80"/>
              <w:right w:type="dxa" w:w="100"/>
            </w:tcMar>
          </w:tcPr>
          <w:p>
            <w:pPr>
              <w:pStyle w:val="Tabla"/>
            </w:pPr>
            <w:r>
              <w:rPr>
                <w:b/>
                <w:bCs/>
              </w:rPr>
              <w:t xml:space="preserve">Pregunta</w:t>
            </w:r>
          </w:p>
        </w:tc>
        <w:tc>
          <w:tcPr>
            <w:tcW w:type="dxa" w:w="4816"/>
            <w:shd w:fill="DFEAF0" w:val="clear"/>
            <w:tcMar>
              <w:top w:type="dxa" w:w="80"/>
              <w:left w:type="dxa" w:w="100"/>
              <w:bottom w:type="dxa" w:w="80"/>
              <w:right w:type="dxa" w:w="100"/>
            </w:tcMar>
          </w:tcPr>
          <w:p>
            <w:pPr>
              <w:pStyle w:val="Tabla"/>
            </w:pPr>
            <w:r>
              <w:rPr>
                <w:b/>
                <w:bCs/>
              </w:rPr>
              <w:t xml:space="preserve">Clave o tipo de respuesta</w:t>
            </w:r>
          </w:p>
        </w:tc>
      </w:tr>
      <w:tr>
        <w:trPr>
          <w:cantSplit/>
          <w:tblHeader w:val="off"/>
        </w:trPr>
        <w:tc>
          <w:tcPr>
            <w:tcW w:type="dxa" w:w="4816"/>
            <w:tcMar>
              <w:top w:type="dxa" w:w="80"/>
              <w:left w:type="dxa" w:w="100"/>
              <w:bottom w:type="dxa" w:w="80"/>
              <w:right w:type="dxa" w:w="100"/>
            </w:tcMar>
          </w:tcPr>
          <w:p>
            <w:pPr>
              <w:pStyle w:val="Tabla"/>
            </w:pPr>
            <w:r>
              <w:t xml:space="preserve">1</w:t>
            </w:r>
          </w:p>
        </w:tc>
        <w:tc>
          <w:tcPr>
            <w:tcW w:type="dxa" w:w="4816"/>
            <w:tcMar>
              <w:top w:type="dxa" w:w="80"/>
              <w:left w:type="dxa" w:w="100"/>
              <w:bottom w:type="dxa" w:w="80"/>
              <w:right w:type="dxa" w:w="100"/>
            </w:tcMar>
          </w:tcPr>
          <w:p>
            <w:pPr>
              <w:pStyle w:val="Tabla"/>
            </w:pPr>
            <w:r>
              <w:t xml:space="preserve">b) Que las tres se refieren a un marco desde el cual una persona o grupo percibe, interpreta, valora y actúa, au…</w:t>
            </w:r>
          </w:p>
        </w:tc>
      </w:tr>
      <w:tr>
        <w:trPr>
          <w:cantSplit/>
          <w:tblHeader w:val="off"/>
        </w:trPr>
        <w:tc>
          <w:tcPr>
            <w:tcW w:type="dxa" w:w="4816"/>
            <w:tcMar>
              <w:top w:type="dxa" w:w="80"/>
              <w:left w:type="dxa" w:w="100"/>
              <w:bottom w:type="dxa" w:w="80"/>
              <w:right w:type="dxa" w:w="100"/>
            </w:tcMar>
          </w:tcPr>
          <w:p>
            <w:pPr>
              <w:pStyle w:val="Tabla"/>
            </w:pPr>
            <w:r>
              <w:t xml:space="preserve">2</w:t>
            </w:r>
          </w:p>
        </w:tc>
        <w:tc>
          <w:tcPr>
            <w:tcW w:type="dxa" w:w="4816"/>
            <w:tcMar>
              <w:top w:type="dxa" w:w="80"/>
              <w:left w:type="dxa" w:w="100"/>
              <w:bottom w:type="dxa" w:w="80"/>
              <w:right w:type="dxa" w:w="100"/>
            </w:tcMar>
          </w:tcPr>
          <w:p>
            <w:pPr>
              <w:pStyle w:val="Tabla"/>
            </w:pPr>
            <w:r>
              <w:t xml:space="preserve">b) Efecto paradigma, porque el paradigma filtra lo visible antes de que el dato sea tratado conscientemente.</w:t>
            </w:r>
          </w:p>
        </w:tc>
      </w:tr>
      <w:tr>
        <w:trPr>
          <w:cantSplit/>
          <w:tblHeader w:val="off"/>
        </w:trPr>
        <w:tc>
          <w:tcPr>
            <w:tcW w:type="dxa" w:w="4816"/>
            <w:tcMar>
              <w:top w:type="dxa" w:w="80"/>
              <w:left w:type="dxa" w:w="100"/>
              <w:bottom w:type="dxa" w:w="80"/>
              <w:right w:type="dxa" w:w="100"/>
            </w:tcMar>
          </w:tcPr>
          <w:p>
            <w:pPr>
              <w:pStyle w:val="Tabla"/>
            </w:pPr>
            <w:r>
              <w:t xml:space="preserve">3</w:t>
            </w:r>
          </w:p>
        </w:tc>
        <w:tc>
          <w:tcPr>
            <w:tcW w:type="dxa" w:w="4816"/>
            <w:tcMar>
              <w:top w:type="dxa" w:w="80"/>
              <w:left w:type="dxa" w:w="100"/>
              <w:bottom w:type="dxa" w:w="80"/>
              <w:right w:type="dxa" w:w="100"/>
            </w:tcMar>
          </w:tcPr>
          <w:p>
            <w:pPr>
              <w:pStyle w:val="Tabla"/>
            </w:pPr>
            <w:r>
              <w:t xml:space="preserve">b) Es parálisis paradigmática, porque hay rechazo activo de una alternativa que amenaza el paradigma vigente.</w:t>
            </w:r>
          </w:p>
        </w:tc>
      </w:tr>
      <w:tr>
        <w:trPr>
          <w:cantSplit/>
          <w:tblHeader w:val="off"/>
        </w:trPr>
        <w:tc>
          <w:tcPr>
            <w:tcW w:type="dxa" w:w="4816"/>
            <w:tcMar>
              <w:top w:type="dxa" w:w="80"/>
              <w:left w:type="dxa" w:w="100"/>
              <w:bottom w:type="dxa" w:w="80"/>
              <w:right w:type="dxa" w:w="100"/>
            </w:tcMar>
          </w:tcPr>
          <w:p>
            <w:pPr>
              <w:pStyle w:val="Tabla"/>
            </w:pPr>
            <w:r>
              <w:t xml:space="preserve">4</w:t>
            </w:r>
          </w:p>
        </w:tc>
        <w:tc>
          <w:tcPr>
            <w:tcW w:type="dxa" w:w="4816"/>
            <w:tcMar>
              <w:top w:type="dxa" w:w="80"/>
              <w:left w:type="dxa" w:w="100"/>
              <w:bottom w:type="dxa" w:w="80"/>
              <w:right w:type="dxa" w:w="100"/>
            </w:tcMar>
          </w:tcPr>
          <w:p>
            <w:pPr>
              <w:pStyle w:val="Tabla"/>
            </w:pPr>
            <w:r>
              <w:t xml:space="preserve">c) Buscar nuevos paradigmas en los márgenes del paradigma existente.</w:t>
            </w:r>
          </w:p>
        </w:tc>
      </w:tr>
      <w:tr>
        <w:trPr>
          <w:cantSplit/>
          <w:tblHeader w:val="off"/>
        </w:trPr>
        <w:tc>
          <w:tcPr>
            <w:tcW w:type="dxa" w:w="4816"/>
            <w:tcMar>
              <w:top w:type="dxa" w:w="80"/>
              <w:left w:type="dxa" w:w="100"/>
              <w:bottom w:type="dxa" w:w="80"/>
              <w:right w:type="dxa" w:w="100"/>
            </w:tcMar>
          </w:tcPr>
          <w:p>
            <w:pPr>
              <w:pStyle w:val="Tabla"/>
            </w:pPr>
            <w:r>
              <w:t xml:space="preserve">5</w:t>
            </w:r>
          </w:p>
        </w:tc>
        <w:tc>
          <w:tcPr>
            <w:tcW w:type="dxa" w:w="4816"/>
            <w:tcMar>
              <w:top w:type="dxa" w:w="80"/>
              <w:left w:type="dxa" w:w="100"/>
              <w:bottom w:type="dxa" w:w="80"/>
              <w:right w:type="dxa" w:w="100"/>
            </w:tcMar>
          </w:tcPr>
          <w:p>
            <w:pPr>
              <w:pStyle w:val="Tabla"/>
            </w:pPr>
            <w:r>
              <w:t xml:space="preserve">a) Que el éxito obtenido bajo un paradigma no garantiza éxito dentro de un paradigma nuevo.</w:t>
            </w:r>
          </w:p>
        </w:tc>
      </w:tr>
      <w:tr>
        <w:trPr>
          <w:cantSplit/>
          <w:tblHeader w:val="off"/>
        </w:trPr>
        <w:tc>
          <w:tcPr>
            <w:tcW w:type="dxa" w:w="4816"/>
            <w:tcMar>
              <w:top w:type="dxa" w:w="80"/>
              <w:left w:type="dxa" w:w="100"/>
              <w:bottom w:type="dxa" w:w="80"/>
              <w:right w:type="dxa" w:w="100"/>
            </w:tcMar>
          </w:tcPr>
          <w:p>
            <w:pPr>
              <w:pStyle w:val="Tabla"/>
            </w:pPr>
            <w:r>
              <w:t xml:space="preserve">6</w:t>
            </w:r>
          </w:p>
        </w:tc>
        <w:tc>
          <w:tcPr>
            <w:tcW w:type="dxa" w:w="4816"/>
            <w:tcMar>
              <w:top w:type="dxa" w:w="80"/>
              <w:left w:type="dxa" w:w="100"/>
              <w:bottom w:type="dxa" w:w="80"/>
              <w:right w:type="dxa" w:w="100"/>
            </w:tcMar>
          </w:tcPr>
          <w:p>
            <w:pPr>
              <w:pStyle w:val="Tabla"/>
            </w:pPr>
            <w:r>
              <w:t xml:space="preserve">b) La acción final aparece después de una cadena de selección, significados, supuestos, conclusiones y creencias…</w:t>
            </w:r>
          </w:p>
        </w:tc>
      </w:tr>
      <w:tr>
        <w:trPr>
          <w:cantSplit/>
          <w:tblHeader w:val="off"/>
        </w:trPr>
        <w:tc>
          <w:tcPr>
            <w:tcW w:type="dxa" w:w="4816"/>
            <w:tcMar>
              <w:top w:type="dxa" w:w="80"/>
              <w:left w:type="dxa" w:w="100"/>
              <w:bottom w:type="dxa" w:w="80"/>
              <w:right w:type="dxa" w:w="100"/>
            </w:tcMar>
          </w:tcPr>
          <w:p>
            <w:pPr>
              <w:pStyle w:val="Tabla"/>
            </w:pPr>
            <w:r>
              <w:t xml:space="preserve">7</w:t>
            </w:r>
          </w:p>
        </w:tc>
        <w:tc>
          <w:tcPr>
            <w:tcW w:type="dxa" w:w="4816"/>
            <w:tcMar>
              <w:top w:type="dxa" w:w="80"/>
              <w:left w:type="dxa" w:w="100"/>
              <w:bottom w:type="dxa" w:w="80"/>
              <w:right w:type="dxa" w:w="100"/>
            </w:tcMar>
          </w:tcPr>
          <w:p>
            <w:pPr>
              <w:pStyle w:val="Tabla"/>
            </w:pPr>
            <w:r>
              <w:t xml:space="preserve">c) Porque el recorrido suele ser rápido y preconsciente, haciendo que una conclusión parezca un hecho observado.</w:t>
            </w:r>
          </w:p>
        </w:tc>
      </w:tr>
      <w:tr>
        <w:trPr>
          <w:cantSplit/>
          <w:tblHeader w:val="off"/>
        </w:trPr>
        <w:tc>
          <w:tcPr>
            <w:tcW w:type="dxa" w:w="4816"/>
            <w:tcMar>
              <w:top w:type="dxa" w:w="80"/>
              <w:left w:type="dxa" w:w="100"/>
              <w:bottom w:type="dxa" w:w="80"/>
              <w:right w:type="dxa" w:w="100"/>
            </w:tcMar>
          </w:tcPr>
          <w:p>
            <w:pPr>
              <w:pStyle w:val="Tabla"/>
            </w:pPr>
            <w:r>
              <w:t xml:space="preserve">8</w:t>
            </w:r>
          </w:p>
        </w:tc>
        <w:tc>
          <w:tcPr>
            <w:tcW w:type="dxa" w:w="4816"/>
            <w:tcMar>
              <w:top w:type="dxa" w:w="80"/>
              <w:left w:type="dxa" w:w="100"/>
              <w:bottom w:type="dxa" w:w="80"/>
              <w:right w:type="dxa" w:w="100"/>
            </w:tcMar>
          </w:tcPr>
          <w:p>
            <w:pPr>
              <w:pStyle w:val="Tabla"/>
            </w:pPr>
            <w:r>
              <w:t xml:space="preserve">a) Eliminación.</w:t>
            </w:r>
          </w:p>
        </w:tc>
      </w:tr>
      <w:tr>
        <w:trPr>
          <w:cantSplit/>
          <w:tblHeader w:val="off"/>
        </w:trPr>
        <w:tc>
          <w:tcPr>
            <w:tcW w:type="dxa" w:w="4816"/>
            <w:tcMar>
              <w:top w:type="dxa" w:w="80"/>
              <w:left w:type="dxa" w:w="100"/>
              <w:bottom w:type="dxa" w:w="80"/>
              <w:right w:type="dxa" w:w="100"/>
            </w:tcMar>
          </w:tcPr>
          <w:p>
            <w:pPr>
              <w:pStyle w:val="Tabla"/>
            </w:pPr>
            <w:r>
              <w:t xml:space="preserve">9</w:t>
            </w:r>
          </w:p>
        </w:tc>
        <w:tc>
          <w:tcPr>
            <w:tcW w:type="dxa" w:w="4816"/>
            <w:tcMar>
              <w:top w:type="dxa" w:w="80"/>
              <w:left w:type="dxa" w:w="100"/>
              <w:bottom w:type="dxa" w:w="80"/>
              <w:right w:type="dxa" w:w="100"/>
            </w:tcMar>
          </w:tcPr>
          <w:p>
            <w:pPr>
              <w:pStyle w:val="Tabla"/>
            </w:pPr>
            <w:r>
              <w:t xml:space="preserve">b) Distinciones: identidad/otro; Sistemas: parte/todo; Relaciones: acción/reacción; Perspectivas: punto/vista.</w:t>
            </w:r>
          </w:p>
        </w:tc>
      </w:tr>
      <w:tr>
        <w:trPr>
          <w:cantSplit/>
          <w:tblHeader w:val="off"/>
        </w:trPr>
        <w:tc>
          <w:tcPr>
            <w:tcW w:type="dxa" w:w="4816"/>
            <w:tcMar>
              <w:top w:type="dxa" w:w="80"/>
              <w:left w:type="dxa" w:w="100"/>
              <w:bottom w:type="dxa" w:w="80"/>
              <w:right w:type="dxa" w:w="100"/>
            </w:tcMar>
          </w:tcPr>
          <w:p>
            <w:pPr>
              <w:pStyle w:val="Tabla"/>
            </w:pPr>
            <w:r>
              <w:t xml:space="preserve">10</w:t>
            </w:r>
          </w:p>
        </w:tc>
        <w:tc>
          <w:tcPr>
            <w:tcW w:type="dxa" w:w="4816"/>
            <w:tcMar>
              <w:top w:type="dxa" w:w="80"/>
              <w:left w:type="dxa" w:w="100"/>
              <w:bottom w:type="dxa" w:w="80"/>
              <w:right w:type="dxa" w:w="100"/>
            </w:tcMar>
          </w:tcPr>
          <w:p>
            <w:pPr>
              <w:pStyle w:val="Tabla"/>
            </w:pPr>
            <w:r>
              <w:t xml:space="preserve">b) Está incompleta, porque DSRP debe aplicarse iterativamente; de la combinación de reglas simples emerge el pen…</w:t>
            </w:r>
          </w:p>
        </w:tc>
      </w:tr>
      <w:tr>
        <w:trPr>
          <w:cantSplit/>
          <w:tblHeader w:val="off"/>
        </w:trPr>
        <w:tc>
          <w:tcPr>
            <w:tcW w:type="dxa" w:w="4816"/>
            <w:tcMar>
              <w:top w:type="dxa" w:w="80"/>
              <w:left w:type="dxa" w:w="100"/>
              <w:bottom w:type="dxa" w:w="80"/>
              <w:right w:type="dxa" w:w="100"/>
            </w:tcMar>
          </w:tcPr>
          <w:p>
            <w:pPr>
              <w:pStyle w:val="Tabla"/>
            </w:pPr>
            <w:r>
              <w:t xml:space="preserve">11</w:t>
            </w:r>
          </w:p>
        </w:tc>
        <w:tc>
          <w:tcPr>
            <w:tcW w:type="dxa" w:w="4816"/>
            <w:tcMar>
              <w:top w:type="dxa" w:w="80"/>
              <w:left w:type="dxa" w:w="100"/>
              <w:bottom w:type="dxa" w:w="80"/>
              <w:right w:type="dxa" w:w="100"/>
            </w:tcMar>
          </w:tcPr>
          <w:p>
            <w:pPr>
              <w:pStyle w:val="Tabla"/>
            </w:pPr>
            <w:r>
              <w:t xml:space="preserve">a) Evento → tendencia/patrón → estructura sistémica → modelo mental.</w:t>
            </w:r>
          </w:p>
        </w:tc>
      </w:tr>
      <w:tr>
        <w:trPr>
          <w:cantSplit/>
          <w:tblHeader w:val="off"/>
        </w:trPr>
        <w:tc>
          <w:tcPr>
            <w:tcW w:type="dxa" w:w="4816"/>
            <w:tcMar>
              <w:top w:type="dxa" w:w="80"/>
              <w:left w:type="dxa" w:w="100"/>
              <w:bottom w:type="dxa" w:w="80"/>
              <w:right w:type="dxa" w:w="100"/>
            </w:tcMar>
          </w:tcPr>
          <w:p>
            <w:pPr>
              <w:pStyle w:val="Tabla"/>
            </w:pPr>
            <w:r>
              <w:t xml:space="preserve">12</w:t>
            </w:r>
          </w:p>
        </w:tc>
        <w:tc>
          <w:tcPr>
            <w:tcW w:type="dxa" w:w="4816"/>
            <w:tcMar>
              <w:top w:type="dxa" w:w="80"/>
              <w:left w:type="dxa" w:w="100"/>
              <w:bottom w:type="dxa" w:w="80"/>
              <w:right w:type="dxa" w:w="100"/>
            </w:tcMar>
          </w:tcPr>
          <w:p>
            <w:pPr>
              <w:pStyle w:val="Tabla"/>
            </w:pPr>
            <w:r>
              <w:t xml:space="preserve">b) Separar las ideas de las personas, preguntar por los datos y el razonamiento del otro, y escuchar antes de re…</w:t>
            </w:r>
          </w:p>
        </w:tc>
      </w:tr>
      <w:tr>
        <w:trPr>
          <w:cantSplit/>
          <w:tblHeader w:val="off"/>
        </w:trPr>
        <w:tc>
          <w:tcPr>
            <w:tcW w:type="dxa" w:w="4816"/>
            <w:tcMar>
              <w:top w:type="dxa" w:w="80"/>
              <w:left w:type="dxa" w:w="100"/>
              <w:bottom w:type="dxa" w:w="80"/>
              <w:right w:type="dxa" w:w="100"/>
            </w:tcMar>
          </w:tcPr>
          <w:p>
            <w:pPr>
              <w:pStyle w:val="Tabla"/>
            </w:pPr>
            <w:r>
              <w:t xml:space="preserve">13</w:t>
            </w:r>
          </w:p>
        </w:tc>
        <w:tc>
          <w:tcPr>
            <w:tcW w:type="dxa" w:w="4816"/>
            <w:tcMar>
              <w:top w:type="dxa" w:w="80"/>
              <w:left w:type="dxa" w:w="100"/>
              <w:bottom w:type="dxa" w:w="80"/>
              <w:right w:type="dxa" w:w="100"/>
            </w:tcMar>
          </w:tcPr>
          <w:p>
            <w:pPr>
              <w:pStyle w:val="Tabla"/>
            </w:pPr>
            <w:r>
              <w:t xml:space="preserve">b) Porque permite construir modelos mentales sobre cómo construir modelos de la realidad mediante el concepto ge…</w:t>
            </w:r>
          </w:p>
        </w:tc>
      </w:tr>
      <w:tr>
        <w:trPr>
          <w:cantSplit/>
          <w:tblHeader w:val="off"/>
        </w:trPr>
        <w:tc>
          <w:tcPr>
            <w:tcW w:type="dxa" w:w="4816"/>
            <w:tcMar>
              <w:top w:type="dxa" w:w="80"/>
              <w:left w:type="dxa" w:w="100"/>
              <w:bottom w:type="dxa" w:w="80"/>
              <w:right w:type="dxa" w:w="100"/>
            </w:tcMar>
          </w:tcPr>
          <w:p>
            <w:pPr>
              <w:pStyle w:val="Tabla"/>
            </w:pPr>
            <w:r>
              <w:t xml:space="preserve">14</w:t>
            </w:r>
          </w:p>
        </w:tc>
        <w:tc>
          <w:tcPr>
            <w:tcW w:type="dxa" w:w="4816"/>
            <w:tcMar>
              <w:top w:type="dxa" w:w="80"/>
              <w:left w:type="dxa" w:w="100"/>
              <w:bottom w:type="dxa" w:w="80"/>
              <w:right w:type="dxa" w:w="100"/>
            </w:tcMar>
          </w:tcPr>
          <w:p>
            <w:pPr>
              <w:pStyle w:val="Tabla"/>
            </w:pPr>
            <w:r>
              <w:t xml:space="preserve">b) Objeto–modelo: homomorfismo por reducción de variables; sistema general–modelo: isomorfismo por forma similar…</w:t>
            </w:r>
          </w:p>
        </w:tc>
      </w:tr>
      <w:tr>
        <w:trPr>
          <w:cantSplit/>
          <w:tblHeader w:val="off"/>
        </w:trPr>
        <w:tc>
          <w:tcPr>
            <w:tcW w:type="dxa" w:w="4816"/>
            <w:tcMar>
              <w:top w:type="dxa" w:w="80"/>
              <w:left w:type="dxa" w:w="100"/>
              <w:bottom w:type="dxa" w:w="80"/>
              <w:right w:type="dxa" w:w="100"/>
            </w:tcMar>
          </w:tcPr>
          <w:p>
            <w:pPr>
              <w:pStyle w:val="Tabla"/>
            </w:pPr>
            <w:r>
              <w:t xml:space="preserve">15</w:t>
            </w:r>
          </w:p>
        </w:tc>
        <w:tc>
          <w:tcPr>
            <w:tcW w:type="dxa" w:w="4816"/>
            <w:tcMar>
              <w:top w:type="dxa" w:w="80"/>
              <w:left w:type="dxa" w:w="100"/>
              <w:bottom w:type="dxa" w:w="80"/>
              <w:right w:type="dxa" w:w="100"/>
            </w:tcMar>
          </w:tcPr>
          <w:p>
            <w:pPr>
              <w:pStyle w:val="Tabla"/>
            </w:pPr>
            <w:r>
              <w:t xml:space="preserve">b) En el sistema la disposición y las relaciones entre partes son fundamentales para el comportamiento del todo.</w:t>
            </w:r>
          </w:p>
        </w:tc>
      </w:tr>
      <w:tr>
        <w:trPr>
          <w:cantSplit/>
          <w:tblHeader w:val="off"/>
        </w:trPr>
        <w:tc>
          <w:tcPr>
            <w:tcW w:type="dxa" w:w="4816"/>
            <w:tcMar>
              <w:top w:type="dxa" w:w="80"/>
              <w:left w:type="dxa" w:w="100"/>
              <w:bottom w:type="dxa" w:w="80"/>
              <w:right w:type="dxa" w:w="100"/>
            </w:tcMar>
          </w:tcPr>
          <w:p>
            <w:pPr>
              <w:pStyle w:val="Tabla"/>
            </w:pPr>
            <w:r>
              <w:t xml:space="preserve">16</w:t>
            </w:r>
          </w:p>
        </w:tc>
        <w:tc>
          <w:tcPr>
            <w:tcW w:type="dxa" w:w="4816"/>
            <w:tcMar>
              <w:top w:type="dxa" w:w="80"/>
              <w:left w:type="dxa" w:w="100"/>
              <w:bottom w:type="dxa" w:w="80"/>
              <w:right w:type="dxa" w:w="100"/>
            </w:tcMar>
          </w:tcPr>
          <w:p>
            <w:pPr>
              <w:pStyle w:val="Tabla"/>
            </w:pPr>
            <w:r>
              <w:t xml:space="preserve">b) Un objeto dotado de fines u objetivos que, en un entorno bien delimitado, ejerce una actividad y ve evolucion…</w:t>
            </w:r>
          </w:p>
        </w:tc>
      </w:tr>
      <w:tr>
        <w:trPr>
          <w:cantSplit/>
          <w:tblHeader w:val="off"/>
        </w:trPr>
        <w:tc>
          <w:tcPr>
            <w:tcW w:type="dxa" w:w="4816"/>
            <w:tcMar>
              <w:top w:type="dxa" w:w="80"/>
              <w:left w:type="dxa" w:w="100"/>
              <w:bottom w:type="dxa" w:w="80"/>
              <w:right w:type="dxa" w:w="100"/>
            </w:tcMar>
          </w:tcPr>
          <w:p>
            <w:pPr>
              <w:pStyle w:val="Tabla"/>
            </w:pPr>
            <w:r>
              <w:t xml:space="preserve">17</w:t>
            </w:r>
          </w:p>
        </w:tc>
        <w:tc>
          <w:tcPr>
            <w:tcW w:type="dxa" w:w="4816"/>
            <w:tcMar>
              <w:top w:type="dxa" w:w="80"/>
              <w:left w:type="dxa" w:w="100"/>
              <w:bottom w:type="dxa" w:w="80"/>
              <w:right w:type="dxa" w:w="100"/>
            </w:tcMar>
          </w:tcPr>
          <w:p>
            <w:pPr>
              <w:pStyle w:val="Tabla"/>
            </w:pPr>
            <w:r>
              <w:t xml:space="preserve">b) Entorno y frontera del sistema.</w:t>
            </w:r>
          </w:p>
        </w:tc>
      </w:tr>
      <w:tr>
        <w:trPr>
          <w:cantSplit/>
          <w:tblHeader w:val="off"/>
        </w:trPr>
        <w:tc>
          <w:tcPr>
            <w:tcW w:type="dxa" w:w="4816"/>
            <w:tcMar>
              <w:top w:type="dxa" w:w="80"/>
              <w:left w:type="dxa" w:w="100"/>
              <w:bottom w:type="dxa" w:w="80"/>
              <w:right w:type="dxa" w:w="100"/>
            </w:tcMar>
          </w:tcPr>
          <w:p>
            <w:pPr>
              <w:pStyle w:val="Tabla"/>
            </w:pPr>
            <w:r>
              <w:t xml:space="preserve">18</w:t>
            </w:r>
          </w:p>
        </w:tc>
        <w:tc>
          <w:tcPr>
            <w:tcW w:type="dxa" w:w="4816"/>
            <w:tcMar>
              <w:top w:type="dxa" w:w="80"/>
              <w:left w:type="dxa" w:w="100"/>
              <w:bottom w:type="dxa" w:w="80"/>
              <w:right w:type="dxa" w:w="100"/>
            </w:tcMar>
          </w:tcPr>
          <w:p>
            <w:pPr>
              <w:pStyle w:val="Tabla"/>
            </w:pPr>
            <w:r>
              <w:t xml:space="preserve">b) La estructura es el patrón de organización de partes y relaciones; por eso puede generar comportamientos recu…</w:t>
            </w:r>
          </w:p>
        </w:tc>
      </w:tr>
      <w:tr>
        <w:trPr>
          <w:cantSplit/>
          <w:tblHeader w:val="off"/>
        </w:trPr>
        <w:tc>
          <w:tcPr>
            <w:tcW w:type="dxa" w:w="4816"/>
            <w:tcMar>
              <w:top w:type="dxa" w:w="80"/>
              <w:left w:type="dxa" w:w="100"/>
              <w:bottom w:type="dxa" w:w="80"/>
              <w:right w:type="dxa" w:w="100"/>
            </w:tcMar>
          </w:tcPr>
          <w:p>
            <w:pPr>
              <w:pStyle w:val="Tabla"/>
            </w:pPr>
            <w:r>
              <w:t xml:space="preserve">19</w:t>
            </w:r>
          </w:p>
        </w:tc>
        <w:tc>
          <w:tcPr>
            <w:tcW w:type="dxa" w:w="4816"/>
            <w:tcMar>
              <w:top w:type="dxa" w:w="80"/>
              <w:left w:type="dxa" w:w="100"/>
              <w:bottom w:type="dxa" w:w="80"/>
              <w:right w:type="dxa" w:w="100"/>
            </w:tcMar>
          </w:tcPr>
          <w:p>
            <w:pPr>
              <w:pStyle w:val="Tabla"/>
            </w:pPr>
            <w:r>
              <w:t xml:space="preserve">a) Que todo sistema es a la vez totalidad y parte, según la frontera y la escala elegidas.</w:t>
            </w:r>
          </w:p>
        </w:tc>
      </w:tr>
      <w:tr>
        <w:trPr>
          <w:cantSplit/>
          <w:tblHeader w:val="off"/>
        </w:trPr>
        <w:tc>
          <w:tcPr>
            <w:tcW w:type="dxa" w:w="4816"/>
            <w:tcMar>
              <w:top w:type="dxa" w:w="80"/>
              <w:left w:type="dxa" w:w="100"/>
              <w:bottom w:type="dxa" w:w="80"/>
              <w:right w:type="dxa" w:w="100"/>
            </w:tcMar>
          </w:tcPr>
          <w:p>
            <w:pPr>
              <w:pStyle w:val="Tabla"/>
            </w:pPr>
            <w:r>
              <w:t xml:space="preserve">20</w:t>
            </w:r>
          </w:p>
        </w:tc>
        <w:tc>
          <w:tcPr>
            <w:tcW w:type="dxa" w:w="4816"/>
            <w:tcMar>
              <w:top w:type="dxa" w:w="80"/>
              <w:left w:type="dxa" w:w="100"/>
              <w:bottom w:type="dxa" w:w="80"/>
              <w:right w:type="dxa" w:w="100"/>
            </w:tcMar>
          </w:tcPr>
          <w:p>
            <w:pPr>
              <w:pStyle w:val="Tabla"/>
            </w:pPr>
            <w:r>
              <w:t xml:space="preserve">b) Sinergia nombra la capacidad del conjunto superior a la suma de actuaciones aisladas; emergencia nombra propi…</w:t>
            </w:r>
          </w:p>
        </w:tc>
      </w:tr>
      <w:tr>
        <w:trPr>
          <w:cantSplit/>
          <w:tblHeader w:val="off"/>
        </w:trPr>
        <w:tc>
          <w:tcPr>
            <w:tcW w:type="dxa" w:w="4816"/>
            <w:tcMar>
              <w:top w:type="dxa" w:w="80"/>
              <w:left w:type="dxa" w:w="100"/>
              <w:bottom w:type="dxa" w:w="80"/>
              <w:right w:type="dxa" w:w="100"/>
            </w:tcMar>
          </w:tcPr>
          <w:p>
            <w:pPr>
              <w:pStyle w:val="Tabla"/>
            </w:pPr>
            <w:r>
              <w:t xml:space="preserve">21</w:t>
            </w:r>
          </w:p>
        </w:tc>
        <w:tc>
          <w:tcPr>
            <w:tcW w:type="dxa" w:w="4816"/>
            <w:tcMar>
              <w:top w:type="dxa" w:w="80"/>
              <w:left w:type="dxa" w:w="100"/>
              <w:bottom w:type="dxa" w:w="80"/>
              <w:right w:type="dxa" w:w="100"/>
            </w:tcMar>
          </w:tcPr>
          <w:p>
            <w:pPr>
              <w:pStyle w:val="Tabla"/>
            </w:pPr>
            <w:r>
              <w:t xml:space="preserve">b) Es complicado, pero no necesariamente complejo en sentido sistémico si no aprende, no se autoorganiza y su co…</w:t>
            </w:r>
          </w:p>
        </w:tc>
      </w:tr>
      <w:tr>
        <w:trPr>
          <w:cantSplit/>
          <w:tblHeader w:val="off"/>
        </w:trPr>
        <w:tc>
          <w:tcPr>
            <w:tcW w:type="dxa" w:w="4816"/>
            <w:tcMar>
              <w:top w:type="dxa" w:w="80"/>
              <w:left w:type="dxa" w:w="100"/>
              <w:bottom w:type="dxa" w:w="80"/>
              <w:right w:type="dxa" w:w="100"/>
            </w:tcMar>
          </w:tcPr>
          <w:p>
            <w:pPr>
              <w:pStyle w:val="Tabla"/>
            </w:pPr>
            <w:r>
              <w:t xml:space="preserve">22</w:t>
            </w:r>
          </w:p>
        </w:tc>
        <w:tc>
          <w:tcPr>
            <w:tcW w:type="dxa" w:w="4816"/>
            <w:tcMar>
              <w:top w:type="dxa" w:w="80"/>
              <w:left w:type="dxa" w:w="100"/>
              <w:bottom w:type="dxa" w:w="80"/>
              <w:right w:type="dxa" w:w="100"/>
            </w:tcMar>
          </w:tcPr>
          <w:p>
            <w:pPr>
              <w:pStyle w:val="Tabla"/>
            </w:pPr>
            <w:r>
              <w:t xml:space="preserve">b) En sistemas vivos o adaptativos, sostenerse implica transformación, aprendizaje y autoorganización continuos,…</w:t>
            </w:r>
          </w:p>
        </w:tc>
      </w:tr>
      <w:tr>
        <w:trPr>
          <w:cantSplit/>
          <w:tblHeader w:val="off"/>
        </w:trPr>
        <w:tc>
          <w:tcPr>
            <w:tcW w:type="dxa" w:w="4816"/>
            <w:tcMar>
              <w:top w:type="dxa" w:w="80"/>
              <w:left w:type="dxa" w:w="100"/>
              <w:bottom w:type="dxa" w:w="80"/>
              <w:right w:type="dxa" w:w="100"/>
            </w:tcMar>
          </w:tcPr>
          <w:p>
            <w:pPr>
              <w:pStyle w:val="Tabla"/>
            </w:pPr>
            <w:r>
              <w:t xml:space="preserve">23</w:t>
            </w:r>
          </w:p>
        </w:tc>
        <w:tc>
          <w:tcPr>
            <w:tcW w:type="dxa" w:w="4816"/>
            <w:tcMar>
              <w:top w:type="dxa" w:w="80"/>
              <w:left w:type="dxa" w:w="100"/>
              <w:bottom w:type="dxa" w:w="80"/>
              <w:right w:type="dxa" w:w="100"/>
            </w:tcMar>
          </w:tcPr>
          <w:p>
            <w:pPr>
              <w:pStyle w:val="Tabla"/>
            </w:pPr>
            <w:r>
              <w:t xml:space="preserve">b) Sistema respiratorio: sistema natural; bicicleta o computadora: sistema físico diseñado; paradigma o algoritm…</w:t>
            </w:r>
          </w:p>
        </w:tc>
      </w:tr>
      <w:tr>
        <w:trPr>
          <w:cantSplit/>
          <w:tblHeader w:val="off"/>
        </w:trPr>
        <w:tc>
          <w:tcPr>
            <w:tcW w:type="dxa" w:w="4816"/>
            <w:tcMar>
              <w:top w:type="dxa" w:w="80"/>
              <w:left w:type="dxa" w:w="100"/>
              <w:bottom w:type="dxa" w:w="80"/>
              <w:right w:type="dxa" w:w="100"/>
            </w:tcMar>
          </w:tcPr>
          <w:p>
            <w:pPr>
              <w:pStyle w:val="Tabla"/>
            </w:pPr>
            <w:r>
              <w:t xml:space="preserve">24</w:t>
            </w:r>
          </w:p>
        </w:tc>
        <w:tc>
          <w:tcPr>
            <w:tcW w:type="dxa" w:w="4816"/>
            <w:tcMar>
              <w:top w:type="dxa" w:w="80"/>
              <w:left w:type="dxa" w:w="100"/>
              <w:bottom w:type="dxa" w:w="80"/>
              <w:right w:type="dxa" w:w="100"/>
            </w:tcMar>
          </w:tcPr>
          <w:p>
            <w:pPr>
              <w:pStyle w:val="Tabla"/>
            </w:pPr>
            <w:r>
              <w:t xml:space="preserve">a) Homeostasis: equilibrio dinámico del saldo; entropía: deterioro de relaciones/procesos; neguentropía: accione…</w:t>
            </w:r>
          </w:p>
        </w:tc>
      </w:tr>
      <w:tr>
        <w:trPr>
          <w:cantSplit/>
          <w:tblHeader w:val="off"/>
        </w:trPr>
        <w:tc>
          <w:tcPr>
            <w:tcW w:type="dxa" w:w="4816"/>
            <w:tcMar>
              <w:top w:type="dxa" w:w="80"/>
              <w:left w:type="dxa" w:w="100"/>
              <w:bottom w:type="dxa" w:w="80"/>
              <w:right w:type="dxa" w:w="100"/>
            </w:tcMar>
          </w:tcPr>
          <w:p>
            <w:pPr>
              <w:pStyle w:val="Tabla"/>
            </w:pPr>
            <w:r>
              <w:t xml:space="preserve">25</w:t>
            </w:r>
          </w:p>
        </w:tc>
        <w:tc>
          <w:tcPr>
            <w:tcW w:type="dxa" w:w="4816"/>
            <w:tcMar>
              <w:top w:type="dxa" w:w="80"/>
              <w:left w:type="dxa" w:w="100"/>
              <w:bottom w:type="dxa" w:w="80"/>
              <w:right w:type="dxa" w:w="100"/>
            </w:tcMar>
          </w:tcPr>
          <w:p>
            <w:pPr>
              <w:pStyle w:val="Tabla"/>
            </w:pPr>
            <w:r>
              <w:t xml:space="preserve">b) Reconocer que equifinalidad sí fue definida, mientras que multifinalidad quedó como investigación; la varieda…</w:t>
            </w:r>
          </w:p>
        </w:tc>
      </w:tr>
      <w:tr>
        <w:trPr>
          <w:cantSplit/>
          <w:tblHeader w:val="off"/>
        </w:trPr>
        <w:tc>
          <w:tcPr>
            <w:tcW w:type="dxa" w:w="4816"/>
            <w:tcMar>
              <w:top w:type="dxa" w:w="80"/>
              <w:left w:type="dxa" w:w="100"/>
              <w:bottom w:type="dxa" w:w="80"/>
              <w:right w:type="dxa" w:w="100"/>
            </w:tcMar>
          </w:tcPr>
          <w:p>
            <w:pPr>
              <w:pStyle w:val="Tabla"/>
            </w:pPr>
            <w:r>
              <w:t xml:space="preserve">26</w:t>
            </w:r>
          </w:p>
        </w:tc>
        <w:tc>
          <w:tcPr>
            <w:tcW w:type="dxa" w:w="4816"/>
            <w:tcMar>
              <w:top w:type="dxa" w:w="80"/>
              <w:left w:type="dxa" w:w="100"/>
              <w:bottom w:type="dxa" w:w="80"/>
              <w:right w:type="dxa" w:w="100"/>
            </w:tcMar>
          </w:tcPr>
          <w:p>
            <w:pPr>
              <w:pStyle w:val="Tabla"/>
            </w:pPr>
            <w:r>
              <w:t xml:space="preserve">Desarrollo: respuesta modelo y rúbrica a continuación</w:t>
            </w:r>
          </w:p>
        </w:tc>
      </w:tr>
      <w:tr>
        <w:trPr>
          <w:cantSplit/>
          <w:tblHeader w:val="off"/>
        </w:trPr>
        <w:tc>
          <w:tcPr>
            <w:tcW w:type="dxa" w:w="4816"/>
            <w:tcMar>
              <w:top w:type="dxa" w:w="80"/>
              <w:left w:type="dxa" w:w="100"/>
              <w:bottom w:type="dxa" w:w="80"/>
              <w:right w:type="dxa" w:w="100"/>
            </w:tcMar>
          </w:tcPr>
          <w:p>
            <w:pPr>
              <w:pStyle w:val="Tabla"/>
            </w:pPr>
            <w:r>
              <w:t xml:space="preserve">27</w:t>
            </w:r>
          </w:p>
        </w:tc>
        <w:tc>
          <w:tcPr>
            <w:tcW w:type="dxa" w:w="4816"/>
            <w:tcMar>
              <w:top w:type="dxa" w:w="80"/>
              <w:left w:type="dxa" w:w="100"/>
              <w:bottom w:type="dxa" w:w="80"/>
              <w:right w:type="dxa" w:w="100"/>
            </w:tcMar>
          </w:tcPr>
          <w:p>
            <w:pPr>
              <w:pStyle w:val="Tabla"/>
            </w:pPr>
            <w:r>
              <w:t xml:space="preserve">Desarrollo: respuesta modelo y rúbrica a continuación</w:t>
            </w:r>
          </w:p>
        </w:tc>
      </w:tr>
      <w:tr>
        <w:trPr>
          <w:cantSplit/>
          <w:tblHeader w:val="off"/>
        </w:trPr>
        <w:tc>
          <w:tcPr>
            <w:tcW w:type="dxa" w:w="4816"/>
            <w:tcMar>
              <w:top w:type="dxa" w:w="80"/>
              <w:left w:type="dxa" w:w="100"/>
              <w:bottom w:type="dxa" w:w="80"/>
              <w:right w:type="dxa" w:w="100"/>
            </w:tcMar>
          </w:tcPr>
          <w:p>
            <w:pPr>
              <w:pStyle w:val="Tabla"/>
            </w:pPr>
            <w:r>
              <w:t xml:space="preserve">28</w:t>
            </w:r>
          </w:p>
        </w:tc>
        <w:tc>
          <w:tcPr>
            <w:tcW w:type="dxa" w:w="4816"/>
            <w:tcMar>
              <w:top w:type="dxa" w:w="80"/>
              <w:left w:type="dxa" w:w="100"/>
              <w:bottom w:type="dxa" w:w="80"/>
              <w:right w:type="dxa" w:w="100"/>
            </w:tcMar>
          </w:tcPr>
          <w:p>
            <w:pPr>
              <w:pStyle w:val="Tabla"/>
            </w:pPr>
            <w:r>
              <w:t xml:space="preserve">Desarrollo: respuesta modelo y rúbrica a continuación</w:t>
            </w:r>
          </w:p>
        </w:tc>
      </w:tr>
      <w:tr>
        <w:trPr>
          <w:cantSplit/>
          <w:tblHeader w:val="off"/>
        </w:trPr>
        <w:tc>
          <w:tcPr>
            <w:tcW w:type="dxa" w:w="4816"/>
            <w:tcMar>
              <w:top w:type="dxa" w:w="80"/>
              <w:left w:type="dxa" w:w="100"/>
              <w:bottom w:type="dxa" w:w="80"/>
              <w:right w:type="dxa" w:w="100"/>
            </w:tcMar>
          </w:tcPr>
          <w:p>
            <w:pPr>
              <w:pStyle w:val="Tabla"/>
            </w:pPr>
            <w:r>
              <w:t xml:space="preserve">29</w:t>
            </w:r>
          </w:p>
        </w:tc>
        <w:tc>
          <w:tcPr>
            <w:tcW w:type="dxa" w:w="4816"/>
            <w:tcMar>
              <w:top w:type="dxa" w:w="80"/>
              <w:left w:type="dxa" w:w="100"/>
              <w:bottom w:type="dxa" w:w="80"/>
              <w:right w:type="dxa" w:w="100"/>
            </w:tcMar>
          </w:tcPr>
          <w:p>
            <w:pPr>
              <w:pStyle w:val="Tabla"/>
            </w:pPr>
            <w:r>
              <w:t xml:space="preserve">Desarrollo: respuesta modelo y rúbrica a continuación</w:t>
            </w:r>
          </w:p>
        </w:tc>
      </w:tr>
      <w:tr>
        <w:trPr>
          <w:cantSplit/>
          <w:tblHeader w:val="off"/>
        </w:trPr>
        <w:tc>
          <w:tcPr>
            <w:tcW w:type="dxa" w:w="4816"/>
            <w:tcMar>
              <w:top w:type="dxa" w:w="80"/>
              <w:left w:type="dxa" w:w="100"/>
              <w:bottom w:type="dxa" w:w="80"/>
              <w:right w:type="dxa" w:w="100"/>
            </w:tcMar>
          </w:tcPr>
          <w:p>
            <w:pPr>
              <w:pStyle w:val="Tabla"/>
            </w:pPr>
            <w:r>
              <w:t xml:space="preserve">30</w:t>
            </w:r>
          </w:p>
        </w:tc>
        <w:tc>
          <w:tcPr>
            <w:tcW w:type="dxa" w:w="4816"/>
            <w:tcMar>
              <w:top w:type="dxa" w:w="80"/>
              <w:left w:type="dxa" w:w="100"/>
              <w:bottom w:type="dxa" w:w="80"/>
              <w:right w:type="dxa" w:w="100"/>
            </w:tcMar>
          </w:tcPr>
          <w:p>
            <w:pPr>
              <w:pStyle w:val="Tabla"/>
            </w:pPr>
            <w:r>
              <w:t xml:space="preserve">Desarrollo: respuesta modelo y rúbrica a continuación</w:t>
            </w:r>
          </w:p>
        </w:tc>
      </w:tr>
      <w:tr>
        <w:trPr>
          <w:cantSplit/>
          <w:tblHeader w:val="off"/>
        </w:trPr>
        <w:tc>
          <w:tcPr>
            <w:tcW w:type="dxa" w:w="4816"/>
            <w:tcMar>
              <w:top w:type="dxa" w:w="80"/>
              <w:left w:type="dxa" w:w="100"/>
              <w:bottom w:type="dxa" w:w="80"/>
              <w:right w:type="dxa" w:w="100"/>
            </w:tcMar>
          </w:tcPr>
          <w:p>
            <w:pPr>
              <w:pStyle w:val="Tabla"/>
            </w:pPr>
            <w:r>
              <w:t xml:space="preserve">31</w:t>
            </w:r>
          </w:p>
        </w:tc>
        <w:tc>
          <w:tcPr>
            <w:tcW w:type="dxa" w:w="4816"/>
            <w:tcMar>
              <w:top w:type="dxa" w:w="80"/>
              <w:left w:type="dxa" w:w="100"/>
              <w:bottom w:type="dxa" w:w="80"/>
              <w:right w:type="dxa" w:w="100"/>
            </w:tcMar>
          </w:tcPr>
          <w:p>
            <w:pPr>
              <w:pStyle w:val="Tabla"/>
            </w:pPr>
            <w:r>
              <w:t xml:space="preserve">Desarrollo: respuesta modelo y rúbrica a continuación</w:t>
            </w:r>
          </w:p>
        </w:tc>
      </w:tr>
      <w:tr>
        <w:trPr>
          <w:cantSplit/>
          <w:tblHeader w:val="off"/>
        </w:trPr>
        <w:tc>
          <w:tcPr>
            <w:tcW w:type="dxa" w:w="4816"/>
            <w:tcMar>
              <w:top w:type="dxa" w:w="80"/>
              <w:left w:type="dxa" w:w="100"/>
              <w:bottom w:type="dxa" w:w="80"/>
              <w:right w:type="dxa" w:w="100"/>
            </w:tcMar>
          </w:tcPr>
          <w:p>
            <w:pPr>
              <w:pStyle w:val="Tabla"/>
            </w:pPr>
            <w:r>
              <w:t xml:space="preserve">32</w:t>
            </w:r>
          </w:p>
        </w:tc>
        <w:tc>
          <w:tcPr>
            <w:tcW w:type="dxa" w:w="4816"/>
            <w:tcMar>
              <w:top w:type="dxa" w:w="80"/>
              <w:left w:type="dxa" w:w="100"/>
              <w:bottom w:type="dxa" w:w="80"/>
              <w:right w:type="dxa" w:w="100"/>
            </w:tcMar>
          </w:tcPr>
          <w:p>
            <w:pPr>
              <w:pStyle w:val="Tabla"/>
            </w:pPr>
            <w:r>
              <w:t xml:space="preserve">Desarrollo: respuesta modelo y rúbrica a continuación</w:t>
            </w:r>
          </w:p>
        </w:tc>
      </w:tr>
      <w:tr>
        <w:trPr>
          <w:cantSplit/>
          <w:tblHeader w:val="off"/>
        </w:trPr>
        <w:tc>
          <w:tcPr>
            <w:tcW w:type="dxa" w:w="4816"/>
            <w:tcMar>
              <w:top w:type="dxa" w:w="80"/>
              <w:left w:type="dxa" w:w="100"/>
              <w:bottom w:type="dxa" w:w="80"/>
              <w:right w:type="dxa" w:w="100"/>
            </w:tcMar>
          </w:tcPr>
          <w:p>
            <w:pPr>
              <w:pStyle w:val="Tabla"/>
            </w:pPr>
            <w:r>
              <w:t xml:space="preserve">33</w:t>
            </w:r>
          </w:p>
        </w:tc>
        <w:tc>
          <w:tcPr>
            <w:tcW w:type="dxa" w:w="4816"/>
            <w:tcMar>
              <w:top w:type="dxa" w:w="80"/>
              <w:left w:type="dxa" w:w="100"/>
              <w:bottom w:type="dxa" w:w="80"/>
              <w:right w:type="dxa" w:w="100"/>
            </w:tcMar>
          </w:tcPr>
          <w:p>
            <w:pPr>
              <w:pStyle w:val="Tabla"/>
            </w:pPr>
            <w:r>
              <w:t xml:space="preserve">Desarrollo: respuesta modelo y rúbrica a continuación</w:t>
            </w:r>
          </w:p>
        </w:tc>
      </w:tr>
      <w:tr>
        <w:trPr>
          <w:cantSplit/>
          <w:tblHeader w:val="off"/>
        </w:trPr>
        <w:tc>
          <w:tcPr>
            <w:tcW w:type="dxa" w:w="4816"/>
            <w:tcMar>
              <w:top w:type="dxa" w:w="80"/>
              <w:left w:type="dxa" w:w="100"/>
              <w:bottom w:type="dxa" w:w="80"/>
              <w:right w:type="dxa" w:w="100"/>
            </w:tcMar>
          </w:tcPr>
          <w:p>
            <w:pPr>
              <w:pStyle w:val="Tabla"/>
            </w:pPr>
            <w:r>
              <w:t xml:space="preserve">34</w:t>
            </w:r>
          </w:p>
        </w:tc>
        <w:tc>
          <w:tcPr>
            <w:tcW w:type="dxa" w:w="4816"/>
            <w:tcMar>
              <w:top w:type="dxa" w:w="80"/>
              <w:left w:type="dxa" w:w="100"/>
              <w:bottom w:type="dxa" w:w="80"/>
              <w:right w:type="dxa" w:w="100"/>
            </w:tcMar>
          </w:tcPr>
          <w:p>
            <w:pPr>
              <w:pStyle w:val="Tabla"/>
            </w:pPr>
            <w:r>
              <w:t xml:space="preserve">Desarrollo: respuesta modelo y rúbrica a continuación</w:t>
            </w:r>
          </w:p>
        </w:tc>
      </w:tr>
      <w:tr>
        <w:trPr>
          <w:cantSplit/>
          <w:tblHeader w:val="off"/>
        </w:trPr>
        <w:tc>
          <w:tcPr>
            <w:tcW w:type="dxa" w:w="4816"/>
            <w:tcMar>
              <w:top w:type="dxa" w:w="80"/>
              <w:left w:type="dxa" w:w="100"/>
              <w:bottom w:type="dxa" w:w="80"/>
              <w:right w:type="dxa" w:w="100"/>
            </w:tcMar>
          </w:tcPr>
          <w:p>
            <w:pPr>
              <w:pStyle w:val="Tabla"/>
            </w:pPr>
            <w:r>
              <w:t xml:space="preserve">35</w:t>
            </w:r>
          </w:p>
        </w:tc>
        <w:tc>
          <w:tcPr>
            <w:tcW w:type="dxa" w:w="4816"/>
            <w:tcMar>
              <w:top w:type="dxa" w:w="80"/>
              <w:left w:type="dxa" w:w="100"/>
              <w:bottom w:type="dxa" w:w="80"/>
              <w:right w:type="dxa" w:w="100"/>
            </w:tcMar>
          </w:tcPr>
          <w:p>
            <w:pPr>
              <w:pStyle w:val="Tabla"/>
            </w:pPr>
            <w:r>
              <w:t xml:space="preserve">Desarrollo: respuesta modelo y rúbrica a continuación</w:t>
            </w:r>
          </w:p>
        </w:tc>
      </w:tr>
    </w:tbl>
    <w:p>
      <w:pPr>
        <w:pStyle w:val="Heading3"/>
      </w:pPr>
      <w:bookmarkStart w:name="b_pregunta_sim_01_tres_nombres__f2a82cf4" w:id="5420"/>
      <w:r>
        <w:t xml:space="preserve">2.1 · 1.1 · Paradigmas y modelos mentales</w:t>
      </w:r>
      <w:bookmarkEnd w:id="5420"/>
    </w:p>
    <w:p>
      <w:pPr>
        <w:pStyle w:val="Normal"/>
      </w:pPr>
      <w:r>
        <w:t xml:space="preserve">En el tratamiento del curso, ¿qué afirmación hace defendible decir que «paradigma», «modelo mental» y «sistema abstracto diseñado» nombran la misma realidad conceptual?</w:t>
      </w:r>
    </w:p>
    <w:p>
      <w:pPr>
        <w:pStyle w:val="Fuente"/>
      </w:pPr>
      <w:r>
        <w:t xml:space="preserve">Ordinal de la fuente: 1.</w:t>
      </w:r>
    </w:p>
    <w:p>
      <w:pPr>
        <w:pStyle w:val="Normal"/>
      </w:pPr>
      <w:r>
        <w:t xml:space="preserve">a) Que las tres expresiones fueron formuladas por el mismo autor y en la misma obra.</w:t>
      </w:r>
    </w:p>
    <w:p>
      <w:pPr>
        <w:pStyle w:val="Normal"/>
      </w:pPr>
      <w:r>
        <w:t xml:space="preserve">b) Que las tres se refieren a un marco desde el cual una persona o grupo percibe, interpreta, valora y actúa, aunque cada fuente lo exprese con distinto énfasis.</w:t>
      </w:r>
    </w:p>
    <w:p>
      <w:pPr>
        <w:pStyle w:val="Normal"/>
      </w:pPr>
      <w:r>
        <w:t xml:space="preserve">c) Que las tres designan únicamente modelos matemáticos construidos para simular empresas.</w:t>
      </w:r>
    </w:p>
    <w:p>
      <w:pPr>
        <w:pStyle w:val="Normal"/>
      </w:pPr>
      <w:r>
        <w:t xml:space="preserve">d) Que las tres son sinónimos de pensamiento crítico y por eso eliminan automáticamente los sesgos.</w:t>
      </w:r>
    </w:p>
    <w:p>
      <w:pPr>
        <w:pStyle w:val="Heading3"/>
      </w:pPr>
      <w:bookmarkStart w:name="b_solucion_sim_01_tres_nombres__e3277b87" w:id="5421"/>
      <w:r>
        <w:t xml:space="preserve">Solución 2.1</w:t>
      </w:r>
      <w:bookmarkEnd w:id="5421"/>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b) Que las tres se refieren a un marco desde el cual una persona o grupo percibe, interpreta, valora y actúa, aunque cada fuente lo exprese con distinto énfasis.</w:t>
            </w:r>
          </w:p>
        </w:tc>
      </w:tr>
    </w:tbl>
    <w:p>
      <w:pPr>
        <w:pStyle w:val="Heading3"/>
      </w:pPr>
      <w:r>
        <w:t xml:space="preserve">Nombra la frontera</w:t>
      </w:r>
    </w:p>
    <w:p>
      <w:pPr>
        <w:pStyle w:val="Normal"/>
      </w:pPr>
      <w:r>
        <w:t xml:space="preserve">La pregunta no pide definir paradigma: pide qué justifica tratar tres etiquetas como una sola cosa. La frontera está entre coincidencia de autoría y coincidencia de referente.</w:t>
      </w:r>
    </w:p>
    <w:p>
      <w:pPr>
        <w:pStyle w:val="Heading3"/>
      </w:pPr>
      <w:r>
        <w:t xml:space="preserve">Cae la A</w:t>
      </w:r>
    </w:p>
    <w:p>
      <w:pPr>
        <w:pStyle w:val="Normal"/>
      </w:pPr>
      <w:r>
        <w:t xml:space="preserve">Se prueba primero la opción que apela a un dato verificable: si fueran del mismo autor, bastaría comprobarlo. No lo son.</w:t>
      </w:r>
    </w:p>
    <w:p>
      <w:pPr>
        <w:pStyle w:val="Fuente"/>
      </w:pPr>
      <w:r>
        <w:t xml:space="preserve">Opciones descartadas: a).</w:t>
      </w:r>
    </w:p>
    <w:p>
      <w:pPr>
        <w:pStyle w:val="Heading3"/>
      </w:pPr>
      <w:r>
        <w:t xml:space="preserve">Cae la C</w:t>
      </w:r>
    </w:p>
    <w:p>
      <w:pPr>
        <w:pStyle w:val="Normal"/>
      </w:pPr>
      <w:r>
        <w:t xml:space="preserve">Cualquier opción que estreche el paradigma a un solo ámbito choca con la característica de universalidad que la clase 1 le atribuye.</w:t>
      </w:r>
    </w:p>
    <w:p>
      <w:pPr>
        <w:pStyle w:val="Fuente"/>
      </w:pPr>
      <w:r>
        <w:t xml:space="preserve">Opciones descartadas: c).</w:t>
      </w:r>
    </w:p>
    <w:p>
      <w:pPr>
        <w:pStyle w:val="Heading3"/>
      </w:pPr>
      <w:r>
        <w:t xml:space="preserve">Cae la D</w:t>
      </w:r>
    </w:p>
    <w:p>
      <w:pPr>
        <w:pStyle w:val="Normal"/>
      </w:pPr>
      <w:r>
        <w:t xml:space="preserve">La opción que promete eliminar sesgos contradice el efecto paradigma, que es precisamente lo contrario.</w:t>
      </w:r>
    </w:p>
    <w:p>
      <w:pPr>
        <w:pStyle w:val="Fuente"/>
      </w:pPr>
      <w:r>
        <w:t xml:space="preserve">Opciones descartadas: d).</w:t>
      </w:r>
    </w:p>
    <w:p>
      <w:pPr>
        <w:pStyle w:val="Heading3"/>
      </w:pPr>
      <w:r>
        <w:t xml:space="preserve">Queda la B</w:t>
      </w:r>
    </w:p>
    <w:p>
      <w:pPr>
        <w:pStyle w:val="Normal"/>
      </w:pPr>
      <w:r>
        <w:t xml:space="preserve">Sobrevive la única que define por función —percibir, interpretar, valorar y actuar— y admite que cada fuente lo diga con distinto énfasis. Es la formulación de Harmon.</w:t>
      </w:r>
    </w:p>
    <w:p>
      <w:pPr>
        <w:pStyle w:val="Normal"/>
      </w:pPr>
      <w:r>
        <w:t xml:space="preserve">a) Que las tres expresiones fueron formuladas por el mismo autor y en la misma obra. — Falso de hecho: son autores y obras distintos. «Paradigma» viene de Smith, Barker y Harmon; «sistema abstracto diseñado» es la tercera familia de Checkland, de la clase 8. Que coincidan no es cuestión de autoría, sino de referente.</w:t>
      </w:r>
    </w:p>
    <w:p>
      <w:pPr>
        <w:pStyle w:val="Normal"/>
      </w:pPr>
      <w:r>
        <w:t xml:space="preserve">b) Que las tres se refieren a un marco desde el cual una persona o grupo percibe, interpreta, valora y actúa, aunque cada fuente lo exprese con distinto énfasis. — Es la equivalencia que sostiene el curso: Harmon define el paradigma como «la forma básica de percibir, pensar, valorar y hacer, asociada a una visión particular de la realidad», y ésa es exactamente la función que cumple un modelo mental y lo que la clase 8 clasifica como producto ordenado de la mente.</w:t>
      </w:r>
    </w:p>
    <w:p>
      <w:pPr>
        <w:pStyle w:val="Normal"/>
      </w:pPr>
      <w:r>
        <w:t xml:space="preserve">c) Que las tres designan únicamente modelos matemáticos construidos para simular empresas. — Reduce el paradigma a modelo matemático. La lámina lo llama «modelo» en un sentido mucho más ancho —el lugar desde el que uno se sitúa conceptualmente para mirar hacia la realidad—, y por eso se aplica a cualquier ámbito, no sólo al empresarial.</w:t>
      </w:r>
    </w:p>
    <w:p>
      <w:pPr>
        <w:pStyle w:val="Normal"/>
      </w:pPr>
      <w:r>
        <w:t xml:space="preserve">d) Que las tres son sinónimos de pensamiento crítico y por eso eliminan automáticamente los sesgos. — Invierte el efecto paradigma. Un paradigma no elimina sesgos: los produce, porque filtra qué información se toma en cuenta antes de que empiece el razonamiento consciente.</w:t>
      </w:r>
    </w:p>
    <w:p>
      <w:pPr>
        <w:pStyle w:val="Normal"/>
      </w:pPr>
      <w:r>
        <w:t xml:space="preserve">Criterio de resolución: Las tres etiquetas nombran la misma cosa y cambia quién la nombró: Smith habla de reglas compartidas que definen los límites del juego, Barker de reglas y reglamentos que dicen cómo tener éxito dentro de ellos, y Harmon de la forma básica de percibir, pensar, valorar y actuar. La clase 8 cierra el círculo cuando Checkland coloca los paradigmas y los modelos mentales entre los sistemas abstractos diseñados, la familia que se estudió durante toda la unidad 1.</w:t>
      </w:r>
    </w:p>
    <w:p>
      <w:pPr>
        <w:pStyle w:val="Fuente"/>
      </w:pPr>
      <w:r>
        <w:t xml:space="preserve">Banco del portal; resolución editorial.</w:t>
      </w:r>
    </w:p>
    <w:p>
      <w:pPr>
        <w:pStyle w:val="Heading3"/>
      </w:pPr>
      <w:bookmarkStart w:name="b_pregunta_sim_02_efecto_o_paralisis" w:id="5422"/>
      <w:r>
        <w:t xml:space="preserve">2.2 · 1.1 · Efecto paradigma / parálisis paradigmática</w:t>
      </w:r>
      <w:bookmarkEnd w:id="5422"/>
    </w:p>
    <w:p>
      <w:pPr>
        <w:pStyle w:val="Normal"/>
      </w:pPr>
      <w:r>
        <w:t xml:space="preserve">Dos analistas reciben el mismo informe. Uno de ellos no llega a notar un dato que al otro le parece evidente, y no puede explicar por qué no lo vio. ¿Qué lectura es más precisa?</w:t>
      </w:r>
    </w:p>
    <w:p>
      <w:pPr>
        <w:pStyle w:val="Fuente"/>
      </w:pPr>
      <w:r>
        <w:t xml:space="preserve">Ordinal de la fuente: 2.</w:t>
      </w:r>
    </w:p>
    <w:p>
      <w:pPr>
        <w:pStyle w:val="Normal"/>
      </w:pPr>
      <w:r>
        <w:t xml:space="preserve">a) Parálisis paradigmática, porque el analista rechaza activamente la idea nueva.</w:t>
      </w:r>
    </w:p>
    <w:p>
      <w:pPr>
        <w:pStyle w:val="Normal"/>
      </w:pPr>
      <w:r>
        <w:t xml:space="preserve">b) Efecto paradigma, porque el paradigma filtra lo visible antes de que el dato sea tratado conscientemente.</w:t>
      </w:r>
    </w:p>
    <w:p>
      <w:pPr>
        <w:pStyle w:val="Normal"/>
      </w:pPr>
      <w:r>
        <w:t xml:space="preserve">c) Flexibilidad de paradigmas, porque cada analista eligió libremente un marco distinto.</w:t>
      </w:r>
    </w:p>
    <w:p>
      <w:pPr>
        <w:pStyle w:val="Normal"/>
      </w:pPr>
      <w:r>
        <w:t xml:space="preserve">d) Regla de vuelta a cero, porque los éxitos pasados ya no garantizan éxito futuro.</w:t>
      </w:r>
    </w:p>
    <w:p>
      <w:pPr>
        <w:pStyle w:val="Heading3"/>
      </w:pPr>
      <w:bookmarkStart w:name="b_solucion_sim_02_efecto_o_paralisis" w:id="5423"/>
      <w:r>
        <w:t xml:space="preserve">Solución 2.2</w:t>
      </w:r>
      <w:bookmarkEnd w:id="5423"/>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b) Efecto paradigma, porque el paradigma filtra lo visible antes de que el dato sea tratado conscientemente.</w:t>
            </w:r>
          </w:p>
        </w:tc>
      </w:tr>
    </w:tbl>
    <w:p>
      <w:pPr>
        <w:pStyle w:val="Heading3"/>
      </w:pPr>
      <w:r>
        <w:t xml:space="preserve">Localiza la palabra que decide</w:t>
      </w:r>
    </w:p>
    <w:p>
      <w:pPr>
        <w:pStyle w:val="Normal"/>
      </w:pPr>
      <w:r>
        <w:t xml:space="preserve">«No puede explicar por qué no lo vio». Esa frase sitúa el fenómeno antes de la consciencia, y ahí se decide toda la pregunta.</w:t>
      </w:r>
    </w:p>
    <w:p>
      <w:pPr>
        <w:pStyle w:val="Heading3"/>
      </w:pPr>
      <w:r>
        <w:t xml:space="preserve">Cae la A</w:t>
      </w:r>
    </w:p>
    <w:p>
      <w:pPr>
        <w:pStyle w:val="Normal"/>
      </w:pPr>
      <w:r>
        <w:t xml:space="preserve">La primera trampa es la más cercana: parálisis y efecto se parecen. Se separan por la presencia o ausencia de rechazo activo.</w:t>
      </w:r>
    </w:p>
    <w:p>
      <w:pPr>
        <w:pStyle w:val="Fuente"/>
      </w:pPr>
      <w:r>
        <w:t xml:space="preserve">Opciones descartadas: a).</w:t>
      </w:r>
    </w:p>
    <w:p>
      <w:pPr>
        <w:pStyle w:val="Heading3"/>
      </w:pPr>
      <w:r>
        <w:t xml:space="preserve">Cae la C</w:t>
      </w:r>
    </w:p>
    <w:p>
      <w:pPr>
        <w:pStyle w:val="Normal"/>
      </w:pPr>
      <w:r>
        <w:t xml:space="preserve">La flexibilidad es una actitud del pensador, no un modo de fallar la percepción. Nunca describe un error involuntario.</w:t>
      </w:r>
    </w:p>
    <w:p>
      <w:pPr>
        <w:pStyle w:val="Fuente"/>
      </w:pPr>
      <w:r>
        <w:t xml:space="preserve">Opciones descartadas: c).</w:t>
      </w:r>
    </w:p>
    <w:p>
      <w:pPr>
        <w:pStyle w:val="Heading3"/>
      </w:pPr>
      <w:r>
        <w:t xml:space="preserve">Cae la D</w:t>
      </w:r>
    </w:p>
    <w:p>
      <w:pPr>
        <w:pStyle w:val="Normal"/>
      </w:pPr>
      <w:r>
        <w:t xml:space="preserve">La vuelta a cero necesita un cambio de paradigma en el tiempo. En el caso no hay tiempo: hay un informe y dos lectores.</w:t>
      </w:r>
    </w:p>
    <w:p>
      <w:pPr>
        <w:pStyle w:val="Fuente"/>
      </w:pPr>
      <w:r>
        <w:t xml:space="preserve">Opciones descartadas: d).</w:t>
      </w:r>
    </w:p>
    <w:p>
      <w:pPr>
        <w:pStyle w:val="Heading3"/>
      </w:pPr>
      <w:r>
        <w:t xml:space="preserve">Queda la B</w:t>
      </w:r>
    </w:p>
    <w:p>
      <w:pPr>
        <w:pStyle w:val="Normal"/>
      </w:pPr>
      <w:r>
        <w:t xml:space="preserve">Sobrevive la lectura que pone el filtro antes del tratamiento consciente del dato. Eso es el efecto paradigma.</w:t>
      </w:r>
    </w:p>
    <w:p>
      <w:pPr>
        <w:pStyle w:val="Normal"/>
      </w:pPr>
      <w:r>
        <w:t xml:space="preserve">a) Parálisis paradigmática, porque el analista rechaza activamente la idea nueva. — El caso dice que el analista «no puede explicar por qué no lo vio»: no hubo rechazo, ni siquiera hubo dato que rechazar. La parálisis exige un rechazo activo de algo que sí llegó a la consciencia.</w:t>
      </w:r>
    </w:p>
    <w:p>
      <w:pPr>
        <w:pStyle w:val="Normal"/>
      </w:pPr>
      <w:r>
        <w:t xml:space="preserve">b) Efecto paradigma, porque el paradigma filtra lo visible antes de que el dato sea tratado conscientemente. — Es el efecto paradigma en su forma canónica: el modelo determina qué datos se perciben, de modo que lo que no encaja sencillamente no se ve. Por eso el analista no puede dar razones: la selección ocurrió antes del razonamiento.</w:t>
      </w:r>
    </w:p>
    <w:p>
      <w:pPr>
        <w:pStyle w:val="Normal"/>
      </w:pPr>
      <w:r>
        <w:t xml:space="preserve">c) Flexibilidad de paradigmas, porque cada analista eligió libremente un marco distinto. — La flexibilidad es una actitud deliberada —sostener el propio modelo sabiendo que es un modelo—, no un accidente perceptivo. Y aquí nadie eligió nada: uno de los dos ni siquiera registró el dato.</w:t>
      </w:r>
    </w:p>
    <w:p>
      <w:pPr>
        <w:pStyle w:val="Normal"/>
      </w:pPr>
      <w:r>
        <w:t xml:space="preserve">d) Regla de vuelta a cero, porque los éxitos pasados ya no garantizan éxito futuro. — La vuelta a cero habla del valor de la ventaja acumulada cuando cambia el paradigma. En el caso no cambia ningún paradigma ni se mide ningún éxito.</w:t>
      </w:r>
    </w:p>
    <w:p>
      <w:pPr>
        <w:pStyle w:val="Normal"/>
      </w:pPr>
      <w:r>
        <w:t xml:space="preserve">Criterio de resolución: La distinción fina entre efecto y parálisis está en si hubo consciencia. Efecto paradigma: el modelo decide qué datos se perciben y se ve lo que se espera ver, sin decisión de por medio. Parálisis paradigmática: ante un dato que sí llegó y no encaja, se descarta el dato y no el modelo. Aquí la frase «no puede explicar por qué no lo vio» es la marca del filtro preconsciente.</w:t>
      </w:r>
    </w:p>
    <w:p>
      <w:pPr>
        <w:pStyle w:val="Fuente"/>
      </w:pPr>
      <w:r>
        <w:t xml:space="preserve">Banco del portal; resolución editorial.</w:t>
      </w:r>
    </w:p>
    <w:p>
      <w:pPr>
        <w:pStyle w:val="Heading3"/>
      </w:pPr>
      <w:bookmarkStart w:name="b_pregunta_sim_03_rechazo_activo" w:id="5424"/>
      <w:r>
        <w:t xml:space="preserve">2.3 · 1.1 · Parálisis de paradigma</w:t>
      </w:r>
      <w:bookmarkEnd w:id="5424"/>
    </w:p>
    <w:p>
      <w:pPr>
        <w:pStyle w:val="Normal"/>
      </w:pPr>
      <w:r>
        <w:t xml:space="preserve">Un jefe escucha una propuesta que contradice su método tradicional y responde: «quien propone eso no entiende el negocio; aquí siempre nos ha funcionado de esta forma». ¿Cuál es la distinción académicamente más fina?</w:t>
      </w:r>
    </w:p>
    <w:p>
      <w:pPr>
        <w:pStyle w:val="Fuente"/>
      </w:pPr>
      <w:r>
        <w:t xml:space="preserve">Ordinal de la fuente: 3.</w:t>
      </w:r>
    </w:p>
    <w:p>
      <w:pPr>
        <w:pStyle w:val="Normal"/>
      </w:pPr>
      <w:r>
        <w:t xml:space="preserve">a) Es efecto paradigma, porque no hay ninguna decisión consciente.</w:t>
      </w:r>
    </w:p>
    <w:p>
      <w:pPr>
        <w:pStyle w:val="Normal"/>
      </w:pPr>
      <w:r>
        <w:t xml:space="preserve">b) Es parálisis paradigmática, porque hay rechazo activo de una alternativa que amenaza el paradigma vigente.</w:t>
      </w:r>
    </w:p>
    <w:p>
      <w:pPr>
        <w:pStyle w:val="Normal"/>
      </w:pPr>
      <w:r>
        <w:t xml:space="preserve">c) Es pensamiento sistémico, porque conserva la estabilidad del sistema.</w:t>
      </w:r>
    </w:p>
    <w:p>
      <w:pPr>
        <w:pStyle w:val="Normal"/>
      </w:pPr>
      <w:r>
        <w:t xml:space="preserve">d) Es metacognición, porque identifica el modelo mental propio antes de decidir.</w:t>
      </w:r>
    </w:p>
    <w:p>
      <w:pPr>
        <w:pStyle w:val="Heading3"/>
      </w:pPr>
      <w:bookmarkStart w:name="b_solucion_sim_03_rechazo_activo" w:id="5425"/>
      <w:r>
        <w:t xml:space="preserve">Solución 2.3</w:t>
      </w:r>
      <w:bookmarkEnd w:id="5425"/>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b) Es parálisis paradigmática, porque hay rechazo activo de una alternativa que amenaza el paradigma vigente.</w:t>
            </w:r>
          </w:p>
        </w:tc>
      </w:tr>
    </w:tbl>
    <w:p>
      <w:pPr>
        <w:pStyle w:val="Heading3"/>
      </w:pPr>
      <w:r>
        <w:t xml:space="preserve">Pregunta si el dato llegó</w:t>
      </w:r>
    </w:p>
    <w:p>
      <w:pPr>
        <w:pStyle w:val="Normal"/>
      </w:pPr>
      <w:r>
        <w:t xml:space="preserve">El jefe escucha y contesta. El dato llegó a la consciencia, así que el filtro perceptivo no explica nada aquí.</w:t>
      </w:r>
    </w:p>
    <w:p>
      <w:pPr>
        <w:pStyle w:val="Heading3"/>
      </w:pPr>
      <w:r>
        <w:t xml:space="preserve">Cae la A</w:t>
      </w:r>
    </w:p>
    <w:p>
      <w:pPr>
        <w:pStyle w:val="Normal"/>
      </w:pPr>
      <w:r>
        <w:t xml:space="preserve">Se descarta la opción que niega la consciencia, porque el propio enunciado la afirma.</w:t>
      </w:r>
    </w:p>
    <w:p>
      <w:pPr>
        <w:pStyle w:val="Fuente"/>
      </w:pPr>
      <w:r>
        <w:t xml:space="preserve">Opciones descartadas: a).</w:t>
      </w:r>
    </w:p>
    <w:p>
      <w:pPr>
        <w:pStyle w:val="Heading3"/>
      </w:pPr>
      <w:r>
        <w:t xml:space="preserve">Cae la C</w:t>
      </w:r>
    </w:p>
    <w:p>
      <w:pPr>
        <w:pStyle w:val="Normal"/>
      </w:pPr>
      <w:r>
        <w:t xml:space="preserve">Se descarta la opción que llama sistémico a lo que sólo es conservador. Estabilidad no es comprensión del todo.</w:t>
      </w:r>
    </w:p>
    <w:p>
      <w:pPr>
        <w:pStyle w:val="Fuente"/>
      </w:pPr>
      <w:r>
        <w:t xml:space="preserve">Opciones descartadas: c).</w:t>
      </w:r>
    </w:p>
    <w:p>
      <w:pPr>
        <w:pStyle w:val="Heading3"/>
      </w:pPr>
      <w:r>
        <w:t xml:space="preserve">Cae la D</w:t>
      </w:r>
    </w:p>
    <w:p>
      <w:pPr>
        <w:pStyle w:val="Normal"/>
      </w:pPr>
      <w:r>
        <w:t xml:space="preserve">Se descarta la que atribuye al jefe un examen del propio modelo. No lo hay: hay certeza sin revisión.</w:t>
      </w:r>
    </w:p>
    <w:p>
      <w:pPr>
        <w:pStyle w:val="Fuente"/>
      </w:pPr>
      <w:r>
        <w:t xml:space="preserve">Opciones descartadas: d).</w:t>
      </w:r>
    </w:p>
    <w:p>
      <w:pPr>
        <w:pStyle w:val="Heading3"/>
      </w:pPr>
      <w:r>
        <w:t xml:space="preserve">Queda la B</w:t>
      </w:r>
    </w:p>
    <w:p>
      <w:pPr>
        <w:pStyle w:val="Normal"/>
      </w:pPr>
      <w:r>
        <w:t xml:space="preserve">Sobrevive la única que nombra el rechazo activo de la alternativa. Es la definición de parálisis.</w:t>
      </w:r>
    </w:p>
    <w:p>
      <w:pPr>
        <w:pStyle w:val="Normal"/>
      </w:pPr>
      <w:r>
        <w:t xml:space="preserve">a) Es efecto paradigma, porque no hay ninguna decisión consciente. — Es la lectura simétrica del caso anterior, y aquí falla: el jefe escuchó, entendió y respondió. Hubo decisión consciente, así que el efecto paradigma se queda corto.</w:t>
      </w:r>
    </w:p>
    <w:p>
      <w:pPr>
        <w:pStyle w:val="Normal"/>
      </w:pPr>
      <w:r>
        <w:t xml:space="preserve">b) Es parálisis paradigmática, porque hay rechazo activo de una alternativa que amenaza el paradigma vigente. — Es la parálisis: ante un dato que no encaja se descarta el dato —y de paso a quien lo trae— en vez de revisar el modelo. La descalificación del proponente es su síntoma característico.</w:t>
      </w:r>
    </w:p>
    <w:p>
      <w:pPr>
        <w:pStyle w:val="Normal"/>
      </w:pPr>
      <w:r>
        <w:t xml:space="preserve">c) Es pensamiento sistémico, porque conserva la estabilidad del sistema. — Confunde conservar con comprender. El pensamiento sistémico es la percepción del mundo en términos de totalidades para observarlas, comprenderlas y accionarlas; defender un método por costumbre no es ninguna de las tres.</w:t>
      </w:r>
    </w:p>
    <w:p>
      <w:pPr>
        <w:pStyle w:val="Normal"/>
      </w:pPr>
      <w:r>
        <w:t xml:space="preserve">d) Es metacognición, porque identifica el modelo mental propio antes de decidir. — La metacognición sería lo contrario de lo que ocurre: el jefe no examina su propio modelo, lo da por la realidad misma. Eso es más bien enfermedad de la certidumbre.</w:t>
      </w:r>
    </w:p>
    <w:p>
      <w:pPr>
        <w:pStyle w:val="Normal"/>
      </w:pPr>
      <w:r>
        <w:t xml:space="preserve">Criterio de resolución: Hubo escucha y hubo respuesta razonada: el dato llegó a la consciencia. Lo que se descarta es el dato, no el modelo, y se descarta descalificando a quien lo trae —«no entiende el negocio»— y apelando al éxito pasado —«siempre nos ha funcionado»—. Ésa es la parálisis paradigmática, y el apoyo en el éxito pasado es justo lo que la regla de vuelta a cero desarma.</w:t>
      </w:r>
    </w:p>
    <w:p>
      <w:pPr>
        <w:pStyle w:val="Fuente"/>
      </w:pPr>
      <w:r>
        <w:t xml:space="preserve">Banco del portal; resolución editorial.</w:t>
      </w:r>
    </w:p>
    <w:p>
      <w:pPr>
        <w:pStyle w:val="Heading3"/>
      </w:pPr>
      <w:bookmarkStart w:name="b_pregunta_sim_04_pregunta_de_barker" w:id="5426"/>
      <w:r>
        <w:t xml:space="preserve">2.4 · 1.1 · Barker y los márgenes</w:t>
      </w:r>
      <w:bookmarkEnd w:id="5426"/>
    </w:p>
    <w:p>
      <w:pPr>
        <w:pStyle w:val="Normal"/>
      </w:pPr>
      <w:r>
        <w:t xml:space="preserve">La pregunta de Barker «¿Qué resultaría imposible de hacer hoy en día en su empresa pero que, de hacerse, cambiaría radicalmente lo que se hace?» sirve principalmente para:</w:t>
      </w:r>
    </w:p>
    <w:p>
      <w:pPr>
        <w:pStyle w:val="Fuente"/>
      </w:pPr>
      <w:r>
        <w:t xml:space="preserve">Ordinal de la fuente: 4.</w:t>
      </w:r>
    </w:p>
    <w:p>
      <w:pPr>
        <w:pStyle w:val="Normal"/>
      </w:pPr>
      <w:r>
        <w:t xml:space="preserve">a) Confirmar que el paradigma actual seguirá siendo exitoso si se aplica con disciplina.</w:t>
      </w:r>
    </w:p>
    <w:p>
      <w:pPr>
        <w:pStyle w:val="Normal"/>
      </w:pPr>
      <w:r>
        <w:t xml:space="preserve">b) Encontrar creencias base del paradigma para defenderlas contra el cambio.</w:t>
      </w:r>
    </w:p>
    <w:p>
      <w:pPr>
        <w:pStyle w:val="Normal"/>
      </w:pPr>
      <w:r>
        <w:t xml:space="preserve">c) Buscar nuevos paradigmas en los márgenes del paradigma existente.</w:t>
      </w:r>
    </w:p>
    <w:p>
      <w:pPr>
        <w:pStyle w:val="Normal"/>
      </w:pPr>
      <w:r>
        <w:t xml:space="preserve">d) Evitar que personas externas introduzcan reglas que desestabilicen la organización.</w:t>
      </w:r>
    </w:p>
    <w:p>
      <w:pPr>
        <w:pStyle w:val="Heading3"/>
      </w:pPr>
      <w:bookmarkStart w:name="b_solucion_sim_04_pregunta_de_barker" w:id="5427"/>
      <w:r>
        <w:t xml:space="preserve">Solución 2.4</w:t>
      </w:r>
      <w:bookmarkEnd w:id="5427"/>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c) Buscar nuevos paradigmas en los márgenes del paradigma existente.</w:t>
            </w:r>
          </w:p>
        </w:tc>
      </w:tr>
    </w:tbl>
    <w:p>
      <w:pPr>
        <w:pStyle w:val="Heading3"/>
      </w:pPr>
      <w:r>
        <w:t xml:space="preserve">Traduce «imposible»</w:t>
      </w:r>
    </w:p>
    <w:p>
      <w:pPr>
        <w:pStyle w:val="Normal"/>
      </w:pPr>
      <w:r>
        <w:t xml:space="preserve">En la pregunta de Barker, imposible quiere decir impensable bajo las reglas actuales. La pregunta palpa el borde del paradigma, no la capacidad técnica.</w:t>
      </w:r>
    </w:p>
    <w:p>
      <w:pPr>
        <w:pStyle w:val="Heading3"/>
      </w:pPr>
      <w:r>
        <w:t xml:space="preserve">Cae la A</w:t>
      </w:r>
    </w:p>
    <w:p>
      <w:pPr>
        <w:pStyle w:val="Normal"/>
      </w:pPr>
      <w:r>
        <w:t xml:space="preserve">Se descarta la opción que usa la pregunta para confirmar. Una sonda del borde no confirma el centro.</w:t>
      </w:r>
    </w:p>
    <w:p>
      <w:pPr>
        <w:pStyle w:val="Fuente"/>
      </w:pPr>
      <w:r>
        <w:t xml:space="preserve">Opciones descartadas: a).</w:t>
      </w:r>
    </w:p>
    <w:p>
      <w:pPr>
        <w:pStyle w:val="Heading3"/>
      </w:pPr>
      <w:r>
        <w:t xml:space="preserve">Cae la B</w:t>
      </w:r>
    </w:p>
    <w:p>
      <w:pPr>
        <w:pStyle w:val="Normal"/>
      </w:pPr>
      <w:r>
        <w:t xml:space="preserve">Se descarta el distractor más fino: acierta el hallazgo —las creencias base— y falla el propósito, que es examinarlas y no defenderlas.</w:t>
      </w:r>
    </w:p>
    <w:p>
      <w:pPr>
        <w:pStyle w:val="Fuente"/>
      </w:pPr>
      <w:r>
        <w:t xml:space="preserve">Opciones descartadas: b).</w:t>
      </w:r>
    </w:p>
    <w:p>
      <w:pPr>
        <w:pStyle w:val="Heading3"/>
      </w:pPr>
      <w:r>
        <w:t xml:space="preserve">Cae la D</w:t>
      </w:r>
    </w:p>
    <w:p>
      <w:pPr>
        <w:pStyle w:val="Normal"/>
      </w:pPr>
      <w:r>
        <w:t xml:space="preserve">Se descarta la que trata al forastero como amenaza, cuando la observación de Barker lo trata como fuente.</w:t>
      </w:r>
    </w:p>
    <w:p>
      <w:pPr>
        <w:pStyle w:val="Fuente"/>
      </w:pPr>
      <w:r>
        <w:t xml:space="preserve">Opciones descartadas: d).</w:t>
      </w:r>
    </w:p>
    <w:p>
      <w:pPr>
        <w:pStyle w:val="Heading3"/>
      </w:pPr>
      <w:r>
        <w:t xml:space="preserve">Queda la C</w:t>
      </w:r>
    </w:p>
    <w:p>
      <w:pPr>
        <w:pStyle w:val="Normal"/>
      </w:pPr>
      <w:r>
        <w:t xml:space="preserve">Sobrevive la única que nombra los márgenes, que es donde Barker dice que aparecen los paradigmas nuevos.</w:t>
      </w:r>
    </w:p>
    <w:p>
      <w:pPr>
        <w:pStyle w:val="Normal"/>
      </w:pPr>
      <w:r>
        <w:t xml:space="preserve">a) Confirmar que el paradigma actual seguirá siendo exitoso si se aplica con disciplina. — La pregunta no confirma nada: interroga por lo imposible. Confirmar el paradigma vigente con disciplina es exactamente la conducta que la regla de vuelta a cero desmiente.</w:t>
      </w:r>
    </w:p>
    <w:p>
      <w:pPr>
        <w:pStyle w:val="Normal"/>
      </w:pPr>
      <w:r>
        <w:t xml:space="preserve">b) Encontrar creencias base del paradigma para defenderlas contra el cambio. — Acierta a medias y falla en el destino. Sí saca a la luz creencias base, pero para examinarlas, no para atrincherarlas: la flexibilidad de paradigmas consiste en sostener el propio modelo sabiéndolo modelo.</w:t>
      </w:r>
    </w:p>
    <w:p>
      <w:pPr>
        <w:pStyle w:val="Normal"/>
      </w:pPr>
      <w:r>
        <w:t xml:space="preserve">c) Buscar nuevos paradigmas en los márgenes del paradigma existente. — Es su función: lo «imposible» de hoy marca el borde del paradigma vigente, y Barker sostiene que los paradigmas nuevos nacen en los márgenes, traídos por pioneros que suelen venir de fuera del centro del campo.</w:t>
      </w:r>
    </w:p>
    <w:p>
      <w:pPr>
        <w:pStyle w:val="Normal"/>
      </w:pPr>
      <w:r>
        <w:t xml:space="preserve">d) Evitar que personas externas introduzcan reglas que desestabilicen la organización. — Invierte a Barker. Que los pioneros vengan de los márgenes —y con frecuencia de fuera— no es un riesgo que haya que atajar: es la observación que la pregunta sirve para aprovechar.</w:t>
      </w:r>
    </w:p>
    <w:p>
      <w:pPr>
        <w:pStyle w:val="Normal"/>
      </w:pPr>
      <w:r>
        <w:t xml:space="preserve">Criterio de resolución: «Imposible» aquí no significa físicamente imposible: significa impensable dentro de las reglas actuales. La pregunta funciona como sonda del borde del paradigma, y el borde es donde Barker sitúa el cambio, porque quien no ha invertido su carrera en el modelo vigente puede permitirse verlo como uno más entre otros.</w:t>
      </w:r>
    </w:p>
    <w:p>
      <w:pPr>
        <w:pStyle w:val="Fuente"/>
      </w:pPr>
      <w:r>
        <w:t xml:space="preserve">Banco del portal; resolución editorial.</w:t>
      </w:r>
    </w:p>
    <w:p>
      <w:pPr>
        <w:pStyle w:val="Heading3"/>
      </w:pPr>
      <w:bookmarkStart w:name="b_pregunta_sim_05_vuelta_a_cero" w:id="5428"/>
      <w:r>
        <w:t xml:space="preserve">2.5 · 1.1 · Regla de vuelta a cero</w:t>
      </w:r>
      <w:bookmarkEnd w:id="5428"/>
    </w:p>
    <w:p>
      <w:pPr>
        <w:pStyle w:val="Normal"/>
      </w:pPr>
      <w:r>
        <w:t xml:space="preserve">Una empresa fue líder durante veinte años con una tecnología, pero al cambiar el paradigma del mercado sus métricas históricas dejan de predecir el éxito. ¿Qué idea se evalúa?</w:t>
      </w:r>
    </w:p>
    <w:p>
      <w:pPr>
        <w:pStyle w:val="Fuente"/>
      </w:pPr>
      <w:r>
        <w:t xml:space="preserve">Ordinal de la fuente: 5.</w:t>
      </w:r>
    </w:p>
    <w:p>
      <w:pPr>
        <w:pStyle w:val="Normal"/>
      </w:pPr>
      <w:r>
        <w:t xml:space="preserve">a) Que el éxito obtenido bajo un paradigma no garantiza éxito dentro de un paradigma nuevo.</w:t>
      </w:r>
    </w:p>
    <w:p>
      <w:pPr>
        <w:pStyle w:val="Normal"/>
      </w:pPr>
      <w:r>
        <w:t xml:space="preserve">b) Que los paradigmas correctos nunca cambian si fueron validados por la experiencia.</w:t>
      </w:r>
    </w:p>
    <w:p>
      <w:pPr>
        <w:pStyle w:val="Normal"/>
      </w:pPr>
      <w:r>
        <w:t xml:space="preserve">c) Que la flexibilidad significa abandonar toda regla antes de usarla.</w:t>
      </w:r>
    </w:p>
    <w:p>
      <w:pPr>
        <w:pStyle w:val="Normal"/>
      </w:pPr>
      <w:r>
        <w:t xml:space="preserve">d) Que la complejidad se resuelve regresando a la forma de operar anterior.</w:t>
      </w:r>
    </w:p>
    <w:p>
      <w:pPr>
        <w:pStyle w:val="Heading3"/>
      </w:pPr>
      <w:bookmarkStart w:name="b_solucion_sim_05_vuelta_a_cero" w:id="5429"/>
      <w:r>
        <w:t xml:space="preserve">Solución 2.5</w:t>
      </w:r>
      <w:bookmarkEnd w:id="5429"/>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a) Que el éxito obtenido bajo un paradigma no garantiza éxito dentro de un paradigma nuevo.</w:t>
            </w:r>
          </w:p>
        </w:tc>
      </w:tr>
    </w:tbl>
    <w:p>
      <w:pPr>
        <w:pStyle w:val="Heading3"/>
      </w:pPr>
      <w:r>
        <w:t xml:space="preserve">Sigue la métrica</w:t>
      </w:r>
    </w:p>
    <w:p>
      <w:pPr>
        <w:pStyle w:val="Normal"/>
      </w:pPr>
      <w:r>
        <w:t xml:space="preserve">Lo que falla no es la tecnología: es que la métrica histórica ya no predice. Una métrica sólo vale dentro del juego para el que se diseñó.</w:t>
      </w:r>
    </w:p>
    <w:p>
      <w:pPr>
        <w:pStyle w:val="Heading3"/>
      </w:pPr>
      <w:r>
        <w:t xml:space="preserve">Cae la B</w:t>
      </w:r>
    </w:p>
    <w:p>
      <w:pPr>
        <w:pStyle w:val="Normal"/>
      </w:pPr>
      <w:r>
        <w:t xml:space="preserve">Se descarta la opción que niega el cambio de paradigma que el enunciado ya afirma.</w:t>
      </w:r>
    </w:p>
    <w:p>
      <w:pPr>
        <w:pStyle w:val="Fuente"/>
      </w:pPr>
      <w:r>
        <w:t xml:space="preserve">Opciones descartadas: b).</w:t>
      </w:r>
    </w:p>
    <w:p>
      <w:pPr>
        <w:pStyle w:val="Heading3"/>
      </w:pPr>
      <w:r>
        <w:t xml:space="preserve">Cae la C</w:t>
      </w:r>
    </w:p>
    <w:p>
      <w:pPr>
        <w:pStyle w:val="Normal"/>
      </w:pPr>
      <w:r>
        <w:t xml:space="preserve">Se descarta la caricatura de la flexibilidad. Ningún tratamiento del curso pide operar sin paradigma.</w:t>
      </w:r>
    </w:p>
    <w:p>
      <w:pPr>
        <w:pStyle w:val="Fuente"/>
      </w:pPr>
      <w:r>
        <w:t xml:space="preserve">Opciones descartadas: c).</w:t>
      </w:r>
    </w:p>
    <w:p>
      <w:pPr>
        <w:pStyle w:val="Heading3"/>
      </w:pPr>
      <w:r>
        <w:t xml:space="preserve">Cae la D</w:t>
      </w:r>
    </w:p>
    <w:p>
      <w:pPr>
        <w:pStyle w:val="Normal"/>
      </w:pPr>
      <w:r>
        <w:t xml:space="preserve">Se descarta la que propone regresar al modelo anterior, y que además arrastra la complejidad a un caso donde no está en juego.</w:t>
      </w:r>
    </w:p>
    <w:p>
      <w:pPr>
        <w:pStyle w:val="Fuente"/>
      </w:pPr>
      <w:r>
        <w:t xml:space="preserve">Opciones descartadas: d).</w:t>
      </w:r>
    </w:p>
    <w:p>
      <w:pPr>
        <w:pStyle w:val="Heading3"/>
      </w:pPr>
      <w:r>
        <w:t xml:space="preserve">Queda la A</w:t>
      </w:r>
    </w:p>
    <w:p>
      <w:pPr>
        <w:pStyle w:val="Normal"/>
      </w:pPr>
      <w:r>
        <w:t xml:space="preserve">Sobrevive la única que dice que el éxito no se transfiere entre paradigmas. Es la regla, en una línea.</w:t>
      </w:r>
    </w:p>
    <w:p>
      <w:pPr>
        <w:pStyle w:val="Normal"/>
      </w:pPr>
      <w:r>
        <w:t xml:space="preserve">a) Que el éxito obtenido bajo un paradigma no garantiza éxito dentro de un paradigma nuevo. — Es la regla de vuelta a cero de Barker: cuando cambia un paradigma, todo regresa a cero y la ventaja acumulada bajo el modelo anterior deja de contar. Las veinte líderes del enunciado son exactamente esa ventaja que se anula.</w:t>
      </w:r>
    </w:p>
    <w:p>
      <w:pPr>
        <w:pStyle w:val="Normal"/>
      </w:pPr>
      <w:r>
        <w:t xml:space="preserve">b) Que los paradigmas correctos nunca cambian si fueron validados por la experiencia. — Es la enfermedad de la certidumbre convertida en tesis: la experiencia pasada se toma por garantía. El caso muestra lo contrario, porque el paradigma cambió pese a los veinte años de validación.</w:t>
      </w:r>
    </w:p>
    <w:p>
      <w:pPr>
        <w:pStyle w:val="Normal"/>
      </w:pPr>
      <w:r>
        <w:t xml:space="preserve">c) Que la flexibilidad significa abandonar toda regla antes de usarla. — Caricaturiza la flexibilidad. Ser flexible es admitir que el propio modelo es un modelo y que hay otros, no operar sin ninguno: sin paradigma no se podría decidir nada, porque los paradigmas son útiles y funcionales.</w:t>
      </w:r>
    </w:p>
    <w:p>
      <w:pPr>
        <w:pStyle w:val="Normal"/>
      </w:pPr>
      <w:r>
        <w:t xml:space="preserve">d) Que la complejidad se resuelve regresando a la forma de operar anterior. — Propone volver atrás, que es la respuesta que la regla desaconseja, y además importa la complejidad a un caso que no la menciona.</w:t>
      </w:r>
    </w:p>
    <w:p>
      <w:pPr>
        <w:pStyle w:val="Normal"/>
      </w:pPr>
      <w:r>
        <w:t xml:space="preserve">Criterio de resolución: El indicio decisivo es que las métricas históricas dejan de predecir. Las métricas miden el éxito dentro de un juego, y cuando cambia el juego el marcador anterior no se transfiere. Eso es la vuelta a cero, y es la razón por la que las organizaciones líderes son las que más tarde reconocen un paradigma nuevo: tienen más ventaja acumulada que perder.</w:t>
      </w:r>
    </w:p>
    <w:p>
      <w:pPr>
        <w:pStyle w:val="Fuente"/>
      </w:pPr>
      <w:r>
        <w:t xml:space="preserve">Banco del portal; resolución editorial.</w:t>
      </w:r>
    </w:p>
    <w:p>
      <w:pPr>
        <w:pStyle w:val="Heading3"/>
      </w:pPr>
      <w:bookmarkStart w:name="b_pregunta_sim_06_cadena_de_la_escalera" w:id="5430"/>
      <w:r>
        <w:t xml:space="preserve">2.6 · 1.2 · Escalera de inferencias</w:t>
      </w:r>
      <w:bookmarkEnd w:id="5430"/>
    </w:p>
    <w:p>
      <w:pPr>
        <w:pStyle w:val="Normal"/>
      </w:pPr>
      <w:r>
        <w:t xml:space="preserve">Un estudiante ve una nota baja, selecciona solo ese dato, añade el significado «el auxiliar me tiene mala», supone mala intención, concluye que reclamar no sirve, adopta la creencia de que el curso es injusto y deja de estudiar. ¿Cuál lectura corresponde mejor a la escalera?</w:t>
      </w:r>
    </w:p>
    <w:p>
      <w:pPr>
        <w:pStyle w:val="Fuente"/>
      </w:pPr>
      <w:r>
        <w:t xml:space="preserve">Ordinal de la fuente: 6.</w:t>
      </w:r>
    </w:p>
    <w:p>
      <w:pPr>
        <w:pStyle w:val="Normal"/>
      </w:pPr>
      <w:r>
        <w:t xml:space="preserve">a) El problema está únicamente en el dato observable: la nota baja contiene por sí sola toda la conclusión.</w:t>
      </w:r>
    </w:p>
    <w:p>
      <w:pPr>
        <w:pStyle w:val="Normal"/>
      </w:pPr>
      <w:r>
        <w:t xml:space="preserve">b) La acción final aparece después de una cadena de selección, significados, supuestos, conclusiones y creencias que conviene hacer explícita.</w:t>
      </w:r>
    </w:p>
    <w:p>
      <w:pPr>
        <w:pStyle w:val="Normal"/>
      </w:pPr>
      <w:r>
        <w:t xml:space="preserve">c) La escalera indica que toda inferencia debe evitarse, porque inferir siempre es incorrecto.</w:t>
      </w:r>
    </w:p>
    <w:p>
      <w:pPr>
        <w:pStyle w:val="Normal"/>
      </w:pPr>
      <w:r>
        <w:t xml:space="preserve">d) La conclusión es válida si el estudiante la siente con suficiente intensidad.</w:t>
      </w:r>
    </w:p>
    <w:p>
      <w:pPr>
        <w:pStyle w:val="Heading3"/>
      </w:pPr>
      <w:bookmarkStart w:name="b_solucion_sim_06_cadena_de_la_escalera" w:id="5431"/>
      <w:r>
        <w:t xml:space="preserve">Solución 2.6</w:t>
      </w:r>
      <w:bookmarkEnd w:id="5431"/>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b) La acción final aparece después de una cadena de selección, significados, supuestos, conclusiones y creencias que conviene hacer explícita.</w:t>
            </w:r>
          </w:p>
        </w:tc>
      </w:tr>
    </w:tbl>
    <w:p>
      <w:pPr>
        <w:pStyle w:val="Heading3"/>
      </w:pPr>
      <w:r>
        <w:t xml:space="preserve">Cuenta los peldaños</w:t>
      </w:r>
    </w:p>
    <w:p>
      <w:pPr>
        <w:pStyle w:val="Normal"/>
      </w:pPr>
      <w:r>
        <w:t xml:space="preserve">El enunciado no describe un salto: enumera seis movimientos antes de la acción. Reconocerlos es reconocer la escalera.</w:t>
      </w:r>
    </w:p>
    <w:p>
      <w:pPr>
        <w:pStyle w:val="Heading3"/>
      </w:pPr>
      <w:r>
        <w:t xml:space="preserve">Cae la A</w:t>
      </w:r>
    </w:p>
    <w:p>
      <w:pPr>
        <w:pStyle w:val="Normal"/>
      </w:pPr>
      <w:r>
        <w:t xml:space="preserve">Se descarta la que deja todo en el dato observable, ignorando los cinco peldaños que el propio enunciado narra.</w:t>
      </w:r>
    </w:p>
    <w:p>
      <w:pPr>
        <w:pStyle w:val="Fuente"/>
      </w:pPr>
      <w:r>
        <w:t xml:space="preserve">Opciones descartadas: a).</w:t>
      </w:r>
    </w:p>
    <w:p>
      <w:pPr>
        <w:pStyle w:val="Heading3"/>
      </w:pPr>
      <w:r>
        <w:t xml:space="preserve">Cae la C</w:t>
      </w:r>
    </w:p>
    <w:p>
      <w:pPr>
        <w:pStyle w:val="Normal"/>
      </w:pPr>
      <w:r>
        <w:t xml:space="preserve">Se descarta la lectura absolutista. La escalera describe cómo funciona la mente, no prohíbe que funcione.</w:t>
      </w:r>
    </w:p>
    <w:p>
      <w:pPr>
        <w:pStyle w:val="Fuente"/>
      </w:pPr>
      <w:r>
        <w:t xml:space="preserve">Opciones descartadas: c).</w:t>
      </w:r>
    </w:p>
    <w:p>
      <w:pPr>
        <w:pStyle w:val="Heading3"/>
      </w:pPr>
      <w:r>
        <w:t xml:space="preserve">Cae la D</w:t>
      </w:r>
    </w:p>
    <w:p>
      <w:pPr>
        <w:pStyle w:val="Normal"/>
      </w:pPr>
      <w:r>
        <w:t xml:space="preserve">Se descarta la que confunde convicción con validez. Que una conclusión se sienta obvia es el problema, no la prueba.</w:t>
      </w:r>
    </w:p>
    <w:p>
      <w:pPr>
        <w:pStyle w:val="Fuente"/>
      </w:pPr>
      <w:r>
        <w:t xml:space="preserve">Opciones descartadas: d).</w:t>
      </w:r>
    </w:p>
    <w:p>
      <w:pPr>
        <w:pStyle w:val="Heading3"/>
      </w:pPr>
      <w:r>
        <w:t xml:space="preserve">Queda la B</w:t>
      </w:r>
    </w:p>
    <w:p>
      <w:pPr>
        <w:pStyle w:val="Normal"/>
      </w:pPr>
      <w:r>
        <w:t xml:space="preserve">Sobrevive la que nombra la cadena y añade el remedio: hacerla explícita, que es el peldaño donde se puede intervenir.</w:t>
      </w:r>
    </w:p>
    <w:p>
      <w:pPr>
        <w:pStyle w:val="Normal"/>
      </w:pPr>
      <w:r>
        <w:t xml:space="preserve">a) El problema está únicamente en el dato observable: la nota baja contiene por sí sola toda la conclusión. — El dato observable es el peldaño 1 y no contiene ninguna conclusión: una nota baja es compatible con muchas historias. Todo lo demás lo puso el estudiante al subir.</w:t>
      </w:r>
    </w:p>
    <w:p>
      <w:pPr>
        <w:pStyle w:val="Normal"/>
      </w:pPr>
      <w:r>
        <w:t xml:space="preserve">b) La acción final aparece después de una cadena de selección, significados, supuestos, conclusiones y creencias que conviene hacer explícita. — Reproduce la escalera peldaño por peldaño: datos observables, selecciono datos, añado significados, hago supuestos, saco conclusiones, adopto creencias y actúo. Y nombra el remedio: hacer explícito el recorrido.</w:t>
      </w:r>
    </w:p>
    <w:p>
      <w:pPr>
        <w:pStyle w:val="Normal"/>
      </w:pPr>
      <w:r>
        <w:t xml:space="preserve">c) La escalera indica que toda inferencia debe evitarse, porque inferir siempre es incorrecto. — La escalera no prohíbe inferir; sería imposible operar sin hacerlo. Lo que señala es que el recorrido es rápido y preconsciente, y que conviene poder bajarlo cuando el resultado se vuelve costoso.</w:t>
      </w:r>
    </w:p>
    <w:p>
      <w:pPr>
        <w:pStyle w:val="Normal"/>
      </w:pPr>
      <w:r>
        <w:t xml:space="preserve">d) La conclusión es válida si el estudiante la siente con suficiente intensidad. — La intensidad de una convicción es justamente lo que hace que una conclusión se sienta como un hecho observado. Es el síntoma del problema, no un criterio de validez.</w:t>
      </w:r>
    </w:p>
    <w:p>
      <w:pPr>
        <w:pStyle w:val="Normal"/>
      </w:pPr>
      <w:r>
        <w:t xml:space="preserve">Criterio de resolución: El caso está escrito sobre los siete peldaños: nota baja (datos observables), «solo ese dato» (selecciono datos), «me tiene mala» (añado significados), mala intención (hago supuestos), reclamar no sirve (saco conclusiones), el curso es injusto (adopto creencias) y dejar de estudiar (actúo). Y como la escalera es reflexiva, la creencia de la cima gobierna qué datos se seleccionarán la próxima vez.</w:t>
      </w:r>
    </w:p>
    <w:p>
      <w:pPr>
        <w:pStyle w:val="Fuente"/>
      </w:pPr>
      <w:r>
        <w:t xml:space="preserve">Banco del portal; resolución editorial.</w:t>
      </w:r>
    </w:p>
    <w:p>
      <w:pPr>
        <w:pStyle w:val="Heading3"/>
      </w:pPr>
      <w:bookmarkStart w:name="b_pregunta_sim_07_velocidad_pre_67c5cc0a" w:id="5432"/>
      <w:r>
        <w:t xml:space="preserve">2.7 · 1.2 · Velocidad preconsciente</w:t>
      </w:r>
      <w:bookmarkEnd w:id="5432"/>
    </w:p>
    <w:p>
      <w:pPr>
        <w:pStyle w:val="Normal"/>
      </w:pPr>
      <w:r>
        <w:t xml:space="preserve">¿Por qué la escalera de inferencias es peligrosa en una conversación difícil?</w:t>
      </w:r>
    </w:p>
    <w:p>
      <w:pPr>
        <w:pStyle w:val="Fuente"/>
      </w:pPr>
      <w:r>
        <w:t xml:space="preserve">Ordinal de la fuente: 7.</w:t>
      </w:r>
    </w:p>
    <w:p>
      <w:pPr>
        <w:pStyle w:val="Normal"/>
      </w:pPr>
      <w:r>
        <w:t xml:space="preserve">a) Porque sus peldaños son lentos y siempre se reconocen con facilidad.</w:t>
      </w:r>
    </w:p>
    <w:p>
      <w:pPr>
        <w:pStyle w:val="Normal"/>
      </w:pPr>
      <w:r>
        <w:t xml:space="preserve">b) Porque obliga a analizar todos los datos disponibles antes de actuar.</w:t>
      </w:r>
    </w:p>
    <w:p>
      <w:pPr>
        <w:pStyle w:val="Normal"/>
      </w:pPr>
      <w:r>
        <w:t xml:space="preserve">c) Porque el recorrido suele ser rápido y preconsciente, haciendo que una conclusión parezca un hecho observado.</w:t>
      </w:r>
    </w:p>
    <w:p>
      <w:pPr>
        <w:pStyle w:val="Normal"/>
      </w:pPr>
      <w:r>
        <w:t xml:space="preserve">d) Porque sustituye la evidencia por datos cuantitativos exclusivamente.</w:t>
      </w:r>
    </w:p>
    <w:p>
      <w:pPr>
        <w:pStyle w:val="Heading3"/>
      </w:pPr>
      <w:bookmarkStart w:name="b_solucion_sim_07_velocidad_pre_d5aca768" w:id="5433"/>
      <w:r>
        <w:t xml:space="preserve">Solución 2.7</w:t>
      </w:r>
      <w:bookmarkEnd w:id="5433"/>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c) Porque el recorrido suele ser rápido y preconsciente, haciendo que una conclusión parezca un hecho observado.</w:t>
            </w:r>
          </w:p>
        </w:tc>
      </w:tr>
    </w:tbl>
    <w:p>
      <w:pPr>
        <w:pStyle w:val="Heading3"/>
      </w:pPr>
      <w:r>
        <w:t xml:space="preserve">Pregunta qué la hace peligrosa</w:t>
      </w:r>
    </w:p>
    <w:p>
      <w:pPr>
        <w:pStyle w:val="Normal"/>
      </w:pPr>
      <w:r>
        <w:t xml:space="preserve">No es el contenido de la conclusión: es que no se sienta como conclusión. La velocidad del ascenso es lo que borra la huella.</w:t>
      </w:r>
    </w:p>
    <w:p>
      <w:pPr>
        <w:pStyle w:val="Heading3"/>
      </w:pPr>
      <w:r>
        <w:t xml:space="preserve">Cae la A</w:t>
      </w:r>
    </w:p>
    <w:p>
      <w:pPr>
        <w:pStyle w:val="Normal"/>
      </w:pPr>
      <w:r>
        <w:t xml:space="preserve">Se descarta la que afirma lo contrario del material: peldaños lentos y visibles no serían peligrosos.</w:t>
      </w:r>
    </w:p>
    <w:p>
      <w:pPr>
        <w:pStyle w:val="Fuente"/>
      </w:pPr>
      <w:r>
        <w:t xml:space="preserve">Opciones descartadas: a).</w:t>
      </w:r>
    </w:p>
    <w:p>
      <w:pPr>
        <w:pStyle w:val="Heading3"/>
      </w:pPr>
      <w:r>
        <w:t xml:space="preserve">Cae la B</w:t>
      </w:r>
    </w:p>
    <w:p>
      <w:pPr>
        <w:pStyle w:val="Normal"/>
      </w:pPr>
      <w:r>
        <w:t xml:space="preserve">Se descarta la que atribuye a la escalera una obligación. Es descriptiva, y además nadie puede atender todos los datos.</w:t>
      </w:r>
    </w:p>
    <w:p>
      <w:pPr>
        <w:pStyle w:val="Fuente"/>
      </w:pPr>
      <w:r>
        <w:t xml:space="preserve">Opciones descartadas: b).</w:t>
      </w:r>
    </w:p>
    <w:p>
      <w:pPr>
        <w:pStyle w:val="Heading3"/>
      </w:pPr>
      <w:r>
        <w:t xml:space="preserve">Cae la D</w:t>
      </w:r>
    </w:p>
    <w:p>
      <w:pPr>
        <w:pStyle w:val="Normal"/>
      </w:pPr>
      <w:r>
        <w:t xml:space="preserve">Se descarta la que mete una oposición ajena entre evidencia y dato cuantitativo.</w:t>
      </w:r>
    </w:p>
    <w:p>
      <w:pPr>
        <w:pStyle w:val="Fuente"/>
      </w:pPr>
      <w:r>
        <w:t xml:space="preserve">Opciones descartadas: d).</w:t>
      </w:r>
    </w:p>
    <w:p>
      <w:pPr>
        <w:pStyle w:val="Heading3"/>
      </w:pPr>
      <w:r>
        <w:t xml:space="preserve">Queda la C</w:t>
      </w:r>
    </w:p>
    <w:p>
      <w:pPr>
        <w:pStyle w:val="Normal"/>
      </w:pPr>
      <w:r>
        <w:t xml:space="preserve">Sobrevive la única que nombra las dos propiedades del recorrido —rápido y preconsciente— y su consecuencia: la conclusión se disfraza de hecho.</w:t>
      </w:r>
    </w:p>
    <w:p>
      <w:pPr>
        <w:pStyle w:val="Normal"/>
      </w:pPr>
      <w:r>
        <w:t xml:space="preserve">a) Porque sus peldaños son lentos y siempre se reconocen con facilidad. — Dice lo contrario de lo que la escalera afirma. Si los peldaños fueran lentos y visibles no habría ningún peligro: el problema es justamente que no se notan.</w:t>
      </w:r>
    </w:p>
    <w:p>
      <w:pPr>
        <w:pStyle w:val="Normal"/>
      </w:pPr>
      <w:r>
        <w:t xml:space="preserve">b) Porque obliga a analizar todos los datos disponibles antes de actuar. — La escalera no obliga a nada; describe. Y analizar todos los datos disponibles es imposible: el segundo peldaño existe porque siempre se selecciona.</w:t>
      </w:r>
    </w:p>
    <w:p>
      <w:pPr>
        <w:pStyle w:val="Normal"/>
      </w:pPr>
      <w:r>
        <w:t xml:space="preserve">c) Porque el recorrido suele ser rápido y preconsciente, haciendo que una conclusión parezca un hecho observado. — Es la razón exacta: la selección del peldaño 2 es casi siempre preconsciente y el ascenso ocurre de un salto, de modo que la conclusión de la cima se presenta con la misma evidencia que un dato observado. Por eso discutir a nivel de conclusiones no resuelve nada.</w:t>
      </w:r>
    </w:p>
    <w:p>
      <w:pPr>
        <w:pStyle w:val="Normal"/>
      </w:pPr>
      <w:r>
        <w:t xml:space="preserve">d) Porque sustituye la evidencia por datos cuantitativos exclusivamente. — Introduce una oposición que la escalera no plantea. Los datos observables son todo lo verificable por cualquier observador, sean cuantitativos o no.</w:t>
      </w:r>
    </w:p>
    <w:p>
      <w:pPr>
        <w:pStyle w:val="Normal"/>
      </w:pPr>
      <w:r>
        <w:t xml:space="preserve">Criterio de resolución: El peligro de la escalera es su velocidad. Se sube en un instante y sin aviso, así que quien llega arriba no tiene la sensación de haber inferido: tiene la sensación de haber visto. En una conversación difícil eso pone a dos personas defendiendo conclusiones como si fueran hechos, y el remedio no es insistir sino bajar a pedir los datos y el razonamiento del otro.</w:t>
      </w:r>
    </w:p>
    <w:p>
      <w:pPr>
        <w:pStyle w:val="Fuente"/>
      </w:pPr>
      <w:r>
        <w:t xml:space="preserve">Banco del portal; resolución editorial.</w:t>
      </w:r>
    </w:p>
    <w:p>
      <w:pPr>
        <w:pStyle w:val="Heading3"/>
      </w:pPr>
      <w:bookmarkStart w:name="b_pregunta_sim_08_eliminacion" w:id="5434"/>
      <w:r>
        <w:t xml:space="preserve">2.8 · 1.2 · Operaciones mentales</w:t>
      </w:r>
      <w:bookmarkEnd w:id="5434"/>
    </w:p>
    <w:p>
      <w:pPr>
        <w:pStyle w:val="Normal"/>
      </w:pPr>
      <w:r>
        <w:t xml:space="preserve">En un análisis de desempeño se ignoran los datos que contradicen la hipótesis inicial y solo se atienden los que la confirman. ¿Qué operación mental del material de O'Connor y McDermott se reconoce principalmente?</w:t>
      </w:r>
    </w:p>
    <w:p>
      <w:pPr>
        <w:pStyle w:val="Fuente"/>
      </w:pPr>
      <w:r>
        <w:t xml:space="preserve">Ordinal de la fuente: 8.</w:t>
      </w:r>
    </w:p>
    <w:p>
      <w:pPr>
        <w:pStyle w:val="Normal"/>
      </w:pPr>
      <w:r>
        <w:t xml:space="preserve">a) Eliminación.</w:t>
      </w:r>
    </w:p>
    <w:p>
      <w:pPr>
        <w:pStyle w:val="Normal"/>
      </w:pPr>
      <w:r>
        <w:t xml:space="preserve">b) Generalización.</w:t>
      </w:r>
    </w:p>
    <w:p>
      <w:pPr>
        <w:pStyle w:val="Normal"/>
      </w:pPr>
      <w:r>
        <w:t xml:space="preserve">c) Construcción.</w:t>
      </w:r>
    </w:p>
    <w:p>
      <w:pPr>
        <w:pStyle w:val="Normal"/>
      </w:pPr>
      <w:r>
        <w:t xml:space="preserve">d) Pensamiento visual.</w:t>
      </w:r>
    </w:p>
    <w:p>
      <w:pPr>
        <w:pStyle w:val="Heading3"/>
      </w:pPr>
      <w:bookmarkStart w:name="b_solucion_sim_08_eliminacion" w:id="5435"/>
      <w:r>
        <w:t xml:space="preserve">Solución 2.8</w:t>
      </w:r>
      <w:bookmarkEnd w:id="5435"/>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a) Eliminación.</w:t>
            </w:r>
          </w:p>
        </w:tc>
      </w:tr>
    </w:tbl>
    <w:p>
      <w:pPr>
        <w:pStyle w:val="Heading3"/>
      </w:pPr>
      <w:r>
        <w:t xml:space="preserve">Traduce la conducta a la operación</w:t>
      </w:r>
    </w:p>
    <w:p>
      <w:pPr>
        <w:pStyle w:val="Normal"/>
      </w:pPr>
      <w:r>
        <w:t xml:space="preserve">«Se ignoran los datos que contradicen». Hay que emparejar esa frase con una de las cuatro operaciones de la lámina, no con una explicación general del sesgo.</w:t>
      </w:r>
    </w:p>
    <w:p>
      <w:pPr>
        <w:pStyle w:val="Heading3"/>
      </w:pPr>
      <w:r>
        <w:t xml:space="preserve">Cae la B</w:t>
      </w:r>
    </w:p>
    <w:p>
      <w:pPr>
        <w:pStyle w:val="Normal"/>
      </w:pPr>
      <w:r>
        <w:t xml:space="preserve">Se descarta generalización: exigiría convertir un caso en regla, y aquí no se extiende nada.</w:t>
      </w:r>
    </w:p>
    <w:p>
      <w:pPr>
        <w:pStyle w:val="Fuente"/>
      </w:pPr>
      <w:r>
        <w:t xml:space="preserve">Opciones descartadas: b).</w:t>
      </w:r>
    </w:p>
    <w:p>
      <w:pPr>
        <w:pStyle w:val="Heading3"/>
      </w:pPr>
      <w:r>
        <w:t xml:space="preserve">Cae la C</w:t>
      </w:r>
    </w:p>
    <w:p>
      <w:pPr>
        <w:pStyle w:val="Normal"/>
      </w:pPr>
      <w:r>
        <w:t xml:space="preserve">Se descarta construcción: exigiría añadir material inexistente, y aquí sólo se quita.</w:t>
      </w:r>
    </w:p>
    <w:p>
      <w:pPr>
        <w:pStyle w:val="Fuente"/>
      </w:pPr>
      <w:r>
        <w:t xml:space="preserve">Opciones descartadas: c).</w:t>
      </w:r>
    </w:p>
    <w:p>
      <w:pPr>
        <w:pStyle w:val="Heading3"/>
      </w:pPr>
      <w:r>
        <w:t xml:space="preserve">Cae la D</w:t>
      </w:r>
    </w:p>
    <w:p>
      <w:pPr>
        <w:pStyle w:val="Normal"/>
      </w:pPr>
      <w:r>
        <w:t xml:space="preserve">Se descarta la opción que ni siquiera pertenece a la lista de cuatro.</w:t>
      </w:r>
    </w:p>
    <w:p>
      <w:pPr>
        <w:pStyle w:val="Fuente"/>
      </w:pPr>
      <w:r>
        <w:t xml:space="preserve">Opciones descartadas: d).</w:t>
      </w:r>
    </w:p>
    <w:p>
      <w:pPr>
        <w:pStyle w:val="Heading3"/>
      </w:pPr>
      <w:r>
        <w:t xml:space="preserve">Queda la A</w:t>
      </w:r>
    </w:p>
    <w:p>
      <w:pPr>
        <w:pStyle w:val="Normal"/>
      </w:pPr>
      <w:r>
        <w:t xml:space="preserve">Sobrevive eliminación, que la lámina define exactamente como descartar parte de lo percibido.</w:t>
      </w:r>
    </w:p>
    <w:p>
      <w:pPr>
        <w:pStyle w:val="Normal"/>
      </w:pPr>
      <w:r>
        <w:t xml:space="preserve">a) Eliminación. — Eliminación: se descarta parte de lo percibido. Es literalmente lo que describe el caso —ignorar los datos que contradicen— y por eso es la operación principal.</w:t>
      </w:r>
    </w:p>
    <w:p>
      <w:pPr>
        <w:pStyle w:val="Normal"/>
      </w:pPr>
      <w:r>
        <w:t xml:space="preserve">b) Generalización. — Generalización es convertir un caso en regla. En el caso no se extiende nada a una clase: se recorta el material disponible.</w:t>
      </w:r>
    </w:p>
    <w:p>
      <w:pPr>
        <w:pStyle w:val="Normal"/>
      </w:pPr>
      <w:r>
        <w:t xml:space="preserve">c) Construcción. — Construcción es agregar lo que no estaba. Aquí no se inventa ningún dato: se dejan caer los que estorban.</w:t>
      </w:r>
    </w:p>
    <w:p>
      <w:pPr>
        <w:pStyle w:val="Normal"/>
      </w:pPr>
      <w:r>
        <w:t xml:space="preserve">d) Pensamiento visual. — «Pensamiento visual» no pertenece a esta lámina. Las cuatro operaciones son eliminación, construcción, distorsión y generalización.</w:t>
      </w:r>
    </w:p>
    <w:p>
      <w:pPr>
        <w:pStyle w:val="Normal"/>
      </w:pPr>
      <w:r>
        <w:t xml:space="preserve">Criterio de resolución: La lámina 2 de la clase 3 lista cuatro operaciones mentales inconscientes siguiendo a O'Connor y McDermott: eliminación (se descarta parte de lo percibido), construcción (se agrega lo que no estaba), distorsión (se altera lo percibido para que encaje) y generalización (un caso se convierte en regla). Atender sólo lo que confirma es eliminación en estado puro, y es además el motor del segundo peldaño de la escalera.</w:t>
      </w:r>
    </w:p>
    <w:p>
      <w:pPr>
        <w:pStyle w:val="Fuente"/>
      </w:pPr>
      <w:r>
        <w:t xml:space="preserve">Banco del portal; resolución editorial.</w:t>
      </w:r>
    </w:p>
    <w:p>
      <w:pPr>
        <w:pStyle w:val="Heading3"/>
      </w:pPr>
      <w:bookmarkStart w:name="b_pregunta_sim_09_pares_dsrp" w:id="5436"/>
      <w:r>
        <w:t xml:space="preserve">2.9 · 1.6 · DSRP</w:t>
      </w:r>
      <w:bookmarkEnd w:id="5436"/>
    </w:p>
    <w:p>
      <w:pPr>
        <w:pStyle w:val="Normal"/>
      </w:pPr>
      <w:r>
        <w:t xml:space="preserve">¿Cuál opción reproduce correctamente los pares coimplicados de las cuatro reglas DSRP?</w:t>
      </w:r>
    </w:p>
    <w:p>
      <w:pPr>
        <w:pStyle w:val="Fuente"/>
      </w:pPr>
      <w:r>
        <w:t xml:space="preserve">Ordinal de la fuente: 9.</w:t>
      </w:r>
    </w:p>
    <w:p>
      <w:pPr>
        <w:pStyle w:val="Normal"/>
      </w:pPr>
      <w:r>
        <w:t xml:space="preserve">a) Distinciones: parte/todo; Sistemas: punto/vista; Relaciones: identidad/otro; Perspectivas: acción/reacción.</w:t>
      </w:r>
    </w:p>
    <w:p>
      <w:pPr>
        <w:pStyle w:val="Normal"/>
      </w:pPr>
      <w:r>
        <w:t xml:space="preserve">b) Distinciones: identidad/otro; Sistemas: parte/todo; Relaciones: acción/reacción; Perspectivas: punto/vista.</w:t>
      </w:r>
    </w:p>
    <w:p>
      <w:pPr>
        <w:pStyle w:val="Normal"/>
      </w:pPr>
      <w:r>
        <w:t xml:space="preserve">c) Distinciones: causa/efecto; Sistemas: entrada/salida; Relaciones: dato/conclusión; Perspectivas: sujeto/objeto.</w:t>
      </w:r>
    </w:p>
    <w:p>
      <w:pPr>
        <w:pStyle w:val="Normal"/>
      </w:pPr>
      <w:r>
        <w:t xml:space="preserve">d) Distinciones: interno/externo; Sistemas: equilibrio/desorden; Relaciones: abierto/cerrado; Perspectivas: simple/complejo.</w:t>
      </w:r>
    </w:p>
    <w:p>
      <w:pPr>
        <w:pStyle w:val="Heading3"/>
      </w:pPr>
      <w:bookmarkStart w:name="b_solucion_sim_09_pares_dsrp" w:id="5437"/>
      <w:r>
        <w:t xml:space="preserve">Solución 2.9</w:t>
      </w:r>
      <w:bookmarkEnd w:id="5437"/>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b) Distinciones: identidad/otro; Sistemas: parte/todo; Relaciones: acción/reacción; Perspectivas: punto/vista.</w:t>
            </w:r>
          </w:p>
        </w:tc>
      </w:tr>
    </w:tbl>
    <w:p>
      <w:pPr>
        <w:pStyle w:val="Heading3"/>
      </w:pPr>
      <w:r>
        <w:t xml:space="preserve">Deduce el par desde la pregunta</w:t>
      </w:r>
    </w:p>
    <w:p>
      <w:pPr>
        <w:pStyle w:val="Normal"/>
      </w:pPr>
      <w:r>
        <w:t xml:space="preserve">No hace falta memorizar el reparto si se recuerda qué pregunta hace cada regla. Distinguir traza fronteras; luego el par tiene que ser identidad </w:t>
      </w:r>
      <w:r>
        <w:rPr>
          <w:rFonts w:ascii="DejaVu Serif" w:cs="DejaVu Serif" w:eastAsia="DejaVu Serif" w:hAnsi="DejaVu Serif"/>
        </w:rPr>
        <w:t xml:space="preserve">⇔</w:t>
      </w:r>
      <w:r>
        <w:t xml:space="preserve"> otro.</w:t>
      </w:r>
    </w:p>
    <w:p>
      <w:pPr>
        <w:pStyle w:val="Heading3"/>
      </w:pPr>
      <w:r>
        <w:t xml:space="preserve">Cae la C</w:t>
      </w:r>
    </w:p>
    <w:p>
      <w:pPr>
        <w:pStyle w:val="Normal"/>
      </w:pPr>
      <w:r>
        <w:t xml:space="preserve">Se descartan primero las opciones con vocabulario ajeno: causa/efecto y dato/conclusión no son pares de DSRP.</w:t>
      </w:r>
    </w:p>
    <w:p>
      <w:pPr>
        <w:pStyle w:val="Fuente"/>
      </w:pPr>
      <w:r>
        <w:t xml:space="preserve">Opciones descartadas: c).</w:t>
      </w:r>
    </w:p>
    <w:p>
      <w:pPr>
        <w:pStyle w:val="Heading3"/>
      </w:pPr>
      <w:r>
        <w:t xml:space="preserve">Cae la D</w:t>
      </w:r>
    </w:p>
    <w:p>
      <w:pPr>
        <w:pStyle w:val="Normal"/>
      </w:pPr>
      <w:r>
        <w:t xml:space="preserve">Se descarta la que importa términos de la unidad 2 —abierto/cerrado, equilibrio/desorden— a las cuatro reglas.</w:t>
      </w:r>
    </w:p>
    <w:p>
      <w:pPr>
        <w:pStyle w:val="Fuente"/>
      </w:pPr>
      <w:r>
        <w:t xml:space="preserve">Opciones descartadas: d).</w:t>
      </w:r>
    </w:p>
    <w:p>
      <w:pPr>
        <w:pStyle w:val="Heading3"/>
      </w:pPr>
      <w:r>
        <w:t xml:space="preserve">Cae la A</w:t>
      </w:r>
    </w:p>
    <w:p>
      <w:pPr>
        <w:pStyle w:val="Normal"/>
      </w:pPr>
      <w:r>
        <w:t xml:space="preserve">Queda el distractor real: tiene los cuatro pares correctos, pero rotados. Basta comprobar la primera regla para tumbarlo.</w:t>
      </w:r>
    </w:p>
    <w:p>
      <w:pPr>
        <w:pStyle w:val="Fuente"/>
      </w:pPr>
      <w:r>
        <w:t xml:space="preserve">Opciones descartadas: a).</w:t>
      </w:r>
    </w:p>
    <w:p>
      <w:pPr>
        <w:pStyle w:val="Heading3"/>
      </w:pPr>
      <w:r>
        <w:t xml:space="preserve">Queda la B</w:t>
      </w:r>
    </w:p>
    <w:p>
      <w:pPr>
        <w:pStyle w:val="Normal"/>
      </w:pPr>
      <w:r>
        <w:t xml:space="preserve">Sobrevive el reparto de Cabrera: identidad/otro · parte/todo · acción/reacción · punto/vista.</w:t>
      </w:r>
    </w:p>
    <w:p>
      <w:pPr>
        <w:pStyle w:val="Normal"/>
      </w:pPr>
      <w:r>
        <w:t xml:space="preserve">a) Distinciones: parte/todo; Sistemas: punto/vista; Relaciones: identidad/otro; Perspectivas: acción/reacción. — Usa los cuatro pares correctos pero rotados: le da a distinciones el par de sistemas, a sistemas el de perspectivas, a relaciones el de distinciones y a perspectivas el de relaciones. Es el distractor que castiga haber memorizado los pares sin sus reglas.</w:t>
      </w:r>
    </w:p>
    <w:p>
      <w:pPr>
        <w:pStyle w:val="Normal"/>
      </w:pPr>
      <w:r>
        <w:t xml:space="preserve">b) Distinciones: identidad/otro; Sistemas: parte/todo; Relaciones: acción/reacción; Perspectivas: punto/vista. — Es el reparto de Cabrera: distinciones responden qué es esto y qué NO es (identidad </w:t>
      </w:r>
      <w:r>
        <w:rPr>
          <w:rFonts w:ascii="DejaVu Serif" w:cs="DejaVu Serif" w:eastAsia="DejaVu Serif" w:hAnsi="DejaVu Serif"/>
        </w:rPr>
        <w:t xml:space="preserve">⇔</w:t>
      </w:r>
      <w:r>
        <w:t xml:space="preserve"> otro); sistemas, de qué partes se compone y de qué todo forma parte (parte </w:t>
      </w:r>
      <w:r>
        <w:rPr>
          <w:rFonts w:ascii="DejaVu Serif" w:cs="DejaVu Serif" w:eastAsia="DejaVu Serif" w:hAnsi="DejaVu Serif"/>
        </w:rPr>
        <w:t xml:space="preserve">⇔</w:t>
      </w:r>
      <w:r>
        <w:t xml:space="preserve"> todo); relaciones, cómo se conecta, qué provoca y qué recibe (acción </w:t>
      </w:r>
      <w:r>
        <w:rPr>
          <w:rFonts w:ascii="DejaVu Serif" w:cs="DejaVu Serif" w:eastAsia="DejaVu Serif" w:hAnsi="DejaVu Serif"/>
        </w:rPr>
        <w:t xml:space="preserve">⇔</w:t>
      </w:r>
      <w:r>
        <w:t xml:space="preserve"> reacción); perspectivas, desde dónde se mira y qué queda fuera de vista (punto </w:t>
      </w:r>
      <w:r>
        <w:rPr>
          <w:rFonts w:ascii="DejaVu Serif" w:cs="DejaVu Serif" w:eastAsia="DejaVu Serif" w:hAnsi="DejaVu Serif"/>
        </w:rPr>
        <w:t xml:space="preserve">⇔</w:t>
      </w:r>
      <w:r>
        <w:t xml:space="preserve"> vista).</w:t>
      </w:r>
    </w:p>
    <w:p>
      <w:pPr>
        <w:pStyle w:val="Normal"/>
      </w:pPr>
      <w:r>
        <w:t xml:space="preserve">c) Distinciones: causa/efecto; Sistemas: entrada/salida; Relaciones: dato/conclusión; Perspectivas: sujeto/objeto. — Mezcla vocabulario de otros temas: causa/efecto y entrada/salida son de la estructura y la causalidad, y dato/conclusión son peldaños de la escalera de inferencias.</w:t>
      </w:r>
    </w:p>
    <w:p>
      <w:pPr>
        <w:pStyle w:val="Normal"/>
      </w:pPr>
      <w:r>
        <w:t xml:space="preserve">d) Distinciones: interno/externo; Sistemas: equilibrio/desorden; Relaciones: abierto/cerrado; Perspectivas: simple/complejo. — Sus pares no son de DSRP en absoluto: abierto/cerrado y equilibrio/desorden pertenecen al vocabulario de la Teoría General de Sistemas del tema 2.8.</w:t>
      </w:r>
    </w:p>
    <w:p>
      <w:pPr>
        <w:pStyle w:val="Normal"/>
      </w:pPr>
      <w:r>
        <w:t xml:space="preserve">Criterio de resolución: Cada regla lleva su par coimplicado, y el par se deduce de la pregunta que la regla obliga a hacerse. Distinguir es trazar una frontera entre una identidad y lo otro; organizar en sistemas es ver a la vez la parte y el todo; relacionar es ver la acción y la reacción; tomar perspectiva es separar el punto desde donde se mira de la vista que se obtiene. La opción A prueba precisamente si el reparto se sabe o sólo se reconocen las palabras.</w:t>
      </w:r>
    </w:p>
    <w:p>
      <w:pPr>
        <w:pStyle w:val="Fuente"/>
      </w:pPr>
      <w:r>
        <w:t xml:space="preserve">Banco del portal; resolución editorial.</w:t>
      </w:r>
    </w:p>
    <w:p>
      <w:pPr>
        <w:pStyle w:val="Heading3"/>
      </w:pPr>
      <w:bookmarkStart w:name="b_pregunta_sim_10_dsrp_iterativo" w:id="5438"/>
      <w:r>
        <w:t xml:space="preserve">2.10 · 1.6 · DSRP como propiedad emergente</w:t>
      </w:r>
      <w:bookmarkEnd w:id="5438"/>
    </w:p>
    <w:p>
      <w:pPr>
        <w:pStyle w:val="Normal"/>
      </w:pPr>
      <w:r>
        <w:t xml:space="preserve">Una respuesta de examen aplica DSRP como cuatro subtítulos aislados: «D», «S», «R», «P», sin mostrar cómo una distinción cambia el sistema observado ni cómo una perspectiva modifica las relaciones. ¿Cuál crítica es más justa?</w:t>
      </w:r>
    </w:p>
    <w:p>
      <w:pPr>
        <w:pStyle w:val="Fuente"/>
      </w:pPr>
      <w:r>
        <w:t xml:space="preserve">Ordinal de la fuente: 10.</w:t>
      </w:r>
    </w:p>
    <w:p>
      <w:pPr>
        <w:pStyle w:val="Normal"/>
      </w:pPr>
      <w:r>
        <w:t xml:space="preserve">a) Está correcta, porque DSRP es una lista fija que se llena una sola vez.</w:t>
      </w:r>
    </w:p>
    <w:p>
      <w:pPr>
        <w:pStyle w:val="Normal"/>
      </w:pPr>
      <w:r>
        <w:t xml:space="preserve">b) Está incompleta, porque DSRP debe aplicarse iterativamente; de la combinación de reglas simples emerge el pensamiento sistémico.</w:t>
      </w:r>
    </w:p>
    <w:p>
      <w:pPr>
        <w:pStyle w:val="Normal"/>
      </w:pPr>
      <w:r>
        <w:t xml:space="preserve">c) Está incorrecta solo porque faltó usar colores o flechas.</w:t>
      </w:r>
    </w:p>
    <w:p>
      <w:pPr>
        <w:pStyle w:val="Normal"/>
      </w:pPr>
      <w:r>
        <w:t xml:space="preserve">d) Está fuera del curso, porque DSRP pertenece únicamente a la Unidad 4.</w:t>
      </w:r>
    </w:p>
    <w:p>
      <w:pPr>
        <w:pStyle w:val="Heading3"/>
      </w:pPr>
      <w:bookmarkStart w:name="b_solucion_sim_10_dsrp_iterativo" w:id="5439"/>
      <w:r>
        <w:t xml:space="preserve">Solución 2.10</w:t>
      </w:r>
      <w:bookmarkEnd w:id="5439"/>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b) Está incompleta, porque DSRP debe aplicarse iterativamente; de la combinación de reglas simples emerge el pensamiento sistémico.</w:t>
            </w:r>
          </w:p>
        </w:tc>
      </w:tr>
    </w:tbl>
    <w:p>
      <w:pPr>
        <w:pStyle w:val="Heading3"/>
      </w:pPr>
      <w:r>
        <w:t xml:space="preserve">Identifica lo que falta</w:t>
      </w:r>
    </w:p>
    <w:p>
      <w:pPr>
        <w:pStyle w:val="Normal"/>
      </w:pPr>
      <w:r>
        <w:t xml:space="preserve">La respuesta criticada tiene las cuatro reglas. Lo que no tiene es el acoplamiento entre ellas: que una modifique lo que ven las otras.</w:t>
      </w:r>
    </w:p>
    <w:p>
      <w:pPr>
        <w:pStyle w:val="Heading3"/>
      </w:pPr>
      <w:r>
        <w:t xml:space="preserve">Cae la A</w:t>
      </w:r>
    </w:p>
    <w:p>
      <w:pPr>
        <w:pStyle w:val="Normal"/>
      </w:pPr>
      <w:r>
        <w:t xml:space="preserve">Se descarta la que absuelve la respuesta. Es la trampa declarada del tema: DSRP no es una lista que se llena una vez.</w:t>
      </w:r>
    </w:p>
    <w:p>
      <w:pPr>
        <w:pStyle w:val="Fuente"/>
      </w:pPr>
      <w:r>
        <w:t xml:space="preserve">Opciones descartadas: a).</w:t>
      </w:r>
    </w:p>
    <w:p>
      <w:pPr>
        <w:pStyle w:val="Heading3"/>
      </w:pPr>
      <w:r>
        <w:t xml:space="preserve">Cae la C</w:t>
      </w:r>
    </w:p>
    <w:p>
      <w:pPr>
        <w:pStyle w:val="Normal"/>
      </w:pPr>
      <w:r>
        <w:t xml:space="preserve">Se descarta la que confunde el defecto con un problema de diagramación.</w:t>
      </w:r>
    </w:p>
    <w:p>
      <w:pPr>
        <w:pStyle w:val="Fuente"/>
      </w:pPr>
      <w:r>
        <w:t xml:space="preserve">Opciones descartadas: c).</w:t>
      </w:r>
    </w:p>
    <w:p>
      <w:pPr>
        <w:pStyle w:val="Heading3"/>
      </w:pPr>
      <w:r>
        <w:t xml:space="preserve">Cae la D</w:t>
      </w:r>
    </w:p>
    <w:p>
      <w:pPr>
        <w:pStyle w:val="Normal"/>
      </w:pPr>
      <w:r>
        <w:t xml:space="preserve">Se descarta la que saca DSRP del parcial. Es el tema 1.6 y entra.</w:t>
      </w:r>
    </w:p>
    <w:p>
      <w:pPr>
        <w:pStyle w:val="Fuente"/>
      </w:pPr>
      <w:r>
        <w:t xml:space="preserve">Opciones descartadas: d).</w:t>
      </w:r>
    </w:p>
    <w:p>
      <w:pPr>
        <w:pStyle w:val="Heading3"/>
      </w:pPr>
      <w:r>
        <w:t xml:space="preserve">Queda la B</w:t>
      </w:r>
    </w:p>
    <w:p>
      <w:pPr>
        <w:pStyle w:val="Normal"/>
      </w:pPr>
      <w:r>
        <w:t xml:space="preserve">Sobrevive la que nombra las dos cosas: la iteración y la emergencia del pensamiento sistémico a partir de reglas simples.</w:t>
      </w:r>
    </w:p>
    <w:p>
      <w:pPr>
        <w:pStyle w:val="Normal"/>
      </w:pPr>
      <w:r>
        <w:t xml:space="preserve">a) Está correcta, porque DSRP es una lista fija que se llena una sola vez. — Es exactamente la trampa del tema: tratar DSRP como una secuencia rígida de cuatro pasos que se recorren una vez. La clase 8 corrige ese error de frente.</w:t>
      </w:r>
    </w:p>
    <w:p>
      <w:pPr>
        <w:pStyle w:val="Normal"/>
      </w:pPr>
      <w:r>
        <w:t xml:space="preserve">b) Está incompleta, porque DSRP debe aplicarse iterativamente; de la combinación de reglas simples emerge el pensamiento sistémico. — Es la crítica justa y además la más precisa: las reglas no llevan orden fijo, se repiten y se alternan sobre la misma idea, y el pensamiento sistémico no es ninguna de las cuatro por separado sino la propiedad emergente de combinarlas.</w:t>
      </w:r>
    </w:p>
    <w:p>
      <w:pPr>
        <w:pStyle w:val="Normal"/>
      </w:pPr>
      <w:r>
        <w:t xml:space="preserve">c) Está incorrecta solo porque faltó usar colores o flechas. — Reduce el problema a la presentación. Aunque la respuesta llevara colores y flechas seguiría sin mostrar cómo una regla modifica lo que ven las otras, que es lo que falta.</w:t>
      </w:r>
    </w:p>
    <w:p>
      <w:pPr>
        <w:pStyle w:val="Normal"/>
      </w:pPr>
      <w:r>
        <w:t xml:space="preserve">d) Está fuera del curso, porque DSRP pertenece únicamente a la Unidad 4. — Es falso de programa: DSRP es el tema 1.6, de la unidad 1, y se trabaja en las clases 6 y 7.</w:t>
      </w:r>
    </w:p>
    <w:p>
      <w:pPr>
        <w:pStyle w:val="Normal"/>
      </w:pPr>
      <w:r>
        <w:t xml:space="preserve">Criterio de resolución: El error no es de forma sino de mecánica. Las cuatro reglas se aplican de forma iterativa: cada pasada afina el modelo y el ciclo se cierra cuando el modelo deja de cambiar. Cambiar una distinción redibuja la frontera y por tanto cambia qué partes tiene el sistema; cambiar de perspectiva hace visibles relaciones que antes no se veían. Sin ese acoplamiento entre reglas, los cuatro subtítulos son etiquetas vacías, y no aparece la propiedad emergente que el curso llama pensamiento sistémico.</w:t>
      </w:r>
    </w:p>
    <w:p>
      <w:pPr>
        <w:pStyle w:val="Fuente"/>
      </w:pPr>
      <w:r>
        <w:t xml:space="preserve">Banco del portal; resolución editorial.</w:t>
      </w:r>
    </w:p>
    <w:p>
      <w:pPr>
        <w:pStyle w:val="Heading3"/>
      </w:pPr>
      <w:bookmarkStart w:name="b_pregunta_sim_11_niveles_del_iceberg" w:id="5440"/>
      <w:r>
        <w:t xml:space="preserve">2.11 · 1.7 · Modelo del iceberg</w:t>
      </w:r>
      <w:bookmarkEnd w:id="5440"/>
    </w:p>
    <w:p>
      <w:pPr>
        <w:pStyle w:val="Normal"/>
      </w:pPr>
      <w:r>
        <w:t xml:space="preserve">En el caso de una tienda, «las ventas bajaron este mes»; «las ventas han caído durante cuatro trimestres»; «el sistema de comisiones premia descuentos de corto plazo»; «se cree que el cliente solo valora precio». ¿Cuál secuencia de niveles es correcta?</w:t>
      </w:r>
    </w:p>
    <w:p>
      <w:pPr>
        <w:pStyle w:val="Fuente"/>
      </w:pPr>
      <w:r>
        <w:t xml:space="preserve">Ordinal de la fuente: 11.</w:t>
      </w:r>
    </w:p>
    <w:p>
      <w:pPr>
        <w:pStyle w:val="Normal"/>
      </w:pPr>
      <w:r>
        <w:t xml:space="preserve">a) Evento → tendencia/patrón → estructura sistémica → modelo mental.</w:t>
      </w:r>
    </w:p>
    <w:p>
      <w:pPr>
        <w:pStyle w:val="Normal"/>
      </w:pPr>
      <w:r>
        <w:t xml:space="preserve">b) Modelo mental → evento → subsistema → suprasistema.</w:t>
      </w:r>
    </w:p>
    <w:p>
      <w:pPr>
        <w:pStyle w:val="Normal"/>
      </w:pPr>
      <w:r>
        <w:t xml:space="preserve">c) Estructura sistémica → evento → propiedad emergente → sistema cerrado.</w:t>
      </w:r>
    </w:p>
    <w:p>
      <w:pPr>
        <w:pStyle w:val="Normal"/>
      </w:pPr>
      <w:r>
        <w:t xml:space="preserve">d) Entrada → proceso → salida → frontera.</w:t>
      </w:r>
    </w:p>
    <w:p>
      <w:pPr>
        <w:pStyle w:val="Heading3"/>
      </w:pPr>
      <w:bookmarkStart w:name="b_solucion_sim_11_niveles_del_iceberg" w:id="5441"/>
      <w:r>
        <w:t xml:space="preserve">Solución 2.11</w:t>
      </w:r>
      <w:bookmarkEnd w:id="5441"/>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a) Evento → tendencia/patrón → estructura sistémica → modelo mental.</w:t>
            </w:r>
          </w:p>
        </w:tc>
      </w:tr>
    </w:tbl>
    <w:p>
      <w:pPr>
        <w:pStyle w:val="Heading3"/>
      </w:pPr>
      <w:r>
        <w:t xml:space="preserve">Empareja hecho con nivel</w:t>
      </w:r>
    </w:p>
    <w:p>
      <w:pPr>
        <w:pStyle w:val="Normal"/>
      </w:pPr>
      <w:r>
        <w:t xml:space="preserve">Un mes es un evento; cuatro trimestres son un patrón; un sistema de comisiones es estructura; una creencia sobre el cliente es modelo mental. El enunciado ya viene ordenado.</w:t>
      </w:r>
    </w:p>
    <w:p>
      <w:pPr>
        <w:pStyle w:val="Heading3"/>
      </w:pPr>
      <w:r>
        <w:t xml:space="preserve">Cae la B</w:t>
      </w:r>
    </w:p>
    <w:p>
      <w:pPr>
        <w:pStyle w:val="Normal"/>
      </w:pPr>
      <w:r>
        <w:t xml:space="preserve">Se descarta la que mezcla profundidad con contención. Los niveles del iceberg no son subsistemas y suprasistemas.</w:t>
      </w:r>
    </w:p>
    <w:p>
      <w:pPr>
        <w:pStyle w:val="Fuente"/>
      </w:pPr>
      <w:r>
        <w:t xml:space="preserve">Opciones descartadas: b).</w:t>
      </w:r>
    </w:p>
    <w:p>
      <w:pPr>
        <w:pStyle w:val="Heading3"/>
      </w:pPr>
      <w:r>
        <w:t xml:space="preserve">Cae la C</w:t>
      </w:r>
    </w:p>
    <w:p>
      <w:pPr>
        <w:pStyle w:val="Normal"/>
      </w:pPr>
      <w:r>
        <w:t xml:space="preserve">Se descarta la que pone la estructura antes del evento y arrastra vocabulario de la unidad 2.</w:t>
      </w:r>
    </w:p>
    <w:p>
      <w:pPr>
        <w:pStyle w:val="Fuente"/>
      </w:pPr>
      <w:r>
        <w:t xml:space="preserve">Opciones descartadas: c).</w:t>
      </w:r>
    </w:p>
    <w:p>
      <w:pPr>
        <w:pStyle w:val="Heading3"/>
      </w:pPr>
      <w:r>
        <w:t xml:space="preserve">Cae la D</w:t>
      </w:r>
    </w:p>
    <w:p>
      <w:pPr>
        <w:pStyle w:val="Normal"/>
      </w:pPr>
      <w:r>
        <w:t xml:space="preserve">Se descarta la que describe la anatomía de un sistema en vez de la profundidad de la explicación.</w:t>
      </w:r>
    </w:p>
    <w:p>
      <w:pPr>
        <w:pStyle w:val="Fuente"/>
      </w:pPr>
      <w:r>
        <w:t xml:space="preserve">Opciones descartadas: d).</w:t>
      </w:r>
    </w:p>
    <w:p>
      <w:pPr>
        <w:pStyle w:val="Heading3"/>
      </w:pPr>
      <w:r>
        <w:t xml:space="preserve">Queda la A</w:t>
      </w:r>
    </w:p>
    <w:p>
      <w:pPr>
        <w:pStyle w:val="Normal"/>
      </w:pPr>
      <w:r>
        <w:t xml:space="preserve">Sobrevive la secuencia de arriba abajo: evento, patrón, estructura, modelo mental. Es la que crece en apalancamiento.</w:t>
      </w:r>
    </w:p>
    <w:p>
      <w:pPr>
        <w:pStyle w:val="Normal"/>
      </w:pPr>
      <w:r>
        <w:t xml:space="preserve">a) Evento → tendencia/patrón → estructura sistémica → modelo mental. — Es la lectura correcta y en el mismo orden en que el enunciado presenta los cuatro hechos: un mes concreto es evento, cuatro trimestres son patrón, el sistema de comisiones es estructura y la creencia sobre el cliente es modelo mental.</w:t>
      </w:r>
    </w:p>
    <w:p>
      <w:pPr>
        <w:pStyle w:val="Normal"/>
      </w:pPr>
      <w:r>
        <w:t xml:space="preserve">b) Modelo mental → evento → subsistema → suprasistema. — Empieza por el modelo mental, que es el nivel más profundo, y luego salta a la cadena de contención del tema 2.4. Subsistema y suprasistema no son niveles del iceberg.</w:t>
      </w:r>
    </w:p>
    <w:p>
      <w:pPr>
        <w:pStyle w:val="Normal"/>
      </w:pPr>
      <w:r>
        <w:t xml:space="preserve">c) Estructura sistémica → evento → propiedad emergente → sistema cerrado. — Desordena los dos primeros niveles y remata con dos conceptos que no pertenecen al modelo: propiedad emergente es del tema 2.5 y sistema cerrado del 2.8.</w:t>
      </w:r>
    </w:p>
    <w:p>
      <w:pPr>
        <w:pStyle w:val="Normal"/>
      </w:pPr>
      <w:r>
        <w:t xml:space="preserve">d) Entrada → proceso → salida → frontera. — Es el vocabulario de la estructura de un sistema —entradas, proceso, salidas, frontera—, no el de la profundidad de explicación.</w:t>
      </w:r>
    </w:p>
    <w:p>
      <w:pPr>
        <w:pStyle w:val="Normal"/>
      </w:pPr>
      <w:r>
        <w:t xml:space="preserve">Criterio de resolución: Los cuatro niveles van de lo visible a lo que sostiene: eventos («¿qué acaba de pasar?», modo reaccionar), patrones y tendencias («¿qué ha venido pasando?», modo anticipar), estructuras sistémicas («¿qué relaciones producen esos patrones?», modo diseñar) y modelos mentales («¿qué creencias mantienen esa estructura?», modo transformar). Cuanto más profundo el nivel, mayor el apalancamiento de intervenir ahí: cambiar el sistema de comisiones mueve más que perseguir el mes malo.</w:t>
      </w:r>
    </w:p>
    <w:p>
      <w:pPr>
        <w:pStyle w:val="Fuente"/>
      </w:pPr>
      <w:r>
        <w:t xml:space="preserve">Banco del portal; resolución editorial.</w:t>
      </w:r>
    </w:p>
    <w:p>
      <w:pPr>
        <w:pStyle w:val="Heading3"/>
      </w:pPr>
      <w:bookmarkStart w:name="b_pregunta_sim_12_desacuerdo_honesto" w:id="5442"/>
      <w:r>
        <w:t xml:space="preserve">2.12 · 1.5 · Perspectivas y diálogo</w:t>
      </w:r>
      <w:bookmarkEnd w:id="5442"/>
    </w:p>
    <w:p>
      <w:pPr>
        <w:pStyle w:val="Normal"/>
      </w:pPr>
      <w:r>
        <w:t xml:space="preserve">Dos estudiantes honestos observan la misma situación y llegan a conclusiones opuestas. Según la orientación del curso sobre perspectivas, ¿qué acción es más sistémica?</w:t>
      </w:r>
    </w:p>
    <w:p>
      <w:pPr>
        <w:pStyle w:val="Fuente"/>
      </w:pPr>
      <w:r>
        <w:t xml:space="preserve">Ordinal de la fuente: 12.</w:t>
      </w:r>
    </w:p>
    <w:p>
      <w:pPr>
        <w:pStyle w:val="Normal"/>
      </w:pPr>
      <w:r>
        <w:t xml:space="preserve">a) Repetir con más fuerza la conclusión propia hasta que el otro acepte.</w:t>
      </w:r>
    </w:p>
    <w:p>
      <w:pPr>
        <w:pStyle w:val="Normal"/>
      </w:pPr>
      <w:r>
        <w:t xml:space="preserve">b) Separar las ideas de las personas, preguntar por los datos y el razonamiento del otro, y escuchar antes de refutar.</w:t>
      </w:r>
    </w:p>
    <w:p>
      <w:pPr>
        <w:pStyle w:val="Normal"/>
      </w:pPr>
      <w:r>
        <w:t xml:space="preserve">c) Suponer que uno de los dos necesariamente miente.</w:t>
      </w:r>
    </w:p>
    <w:p>
      <w:pPr>
        <w:pStyle w:val="Normal"/>
      </w:pPr>
      <w:r>
        <w:t xml:space="preserve">d) Buscar solo una autoridad externa que decida quién tiene razón.</w:t>
      </w:r>
    </w:p>
    <w:p>
      <w:pPr>
        <w:pStyle w:val="Heading3"/>
      </w:pPr>
      <w:bookmarkStart w:name="b_solucion_sim_12_desacuerdo_honesto" w:id="5443"/>
      <w:r>
        <w:t xml:space="preserve">Solución 2.12</w:t>
      </w:r>
      <w:bookmarkEnd w:id="5443"/>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b) Separar las ideas de las personas, preguntar por los datos y el razonamiento del otro, y escuchar antes de refutar.</w:t>
            </w:r>
          </w:p>
        </w:tc>
      </w:tr>
    </w:tbl>
    <w:p>
      <w:pPr>
        <w:pStyle w:val="Heading3"/>
      </w:pPr>
      <w:r>
        <w:t xml:space="preserve">Atiende a «honestos»</w:t>
      </w:r>
    </w:p>
    <w:p>
      <w:pPr>
        <w:pStyle w:val="Normal"/>
      </w:pPr>
      <w:r>
        <w:t xml:space="preserve">La palabra está puesta a propósito: excluye el engaño y deja sólo el problema de las perspectivas. Es la fábula del elefante en versión de examen.</w:t>
      </w:r>
    </w:p>
    <w:p>
      <w:pPr>
        <w:pStyle w:val="Heading3"/>
      </w:pPr>
      <w:r>
        <w:t xml:space="preserve">Cae la A</w:t>
      </w:r>
    </w:p>
    <w:p>
      <w:pPr>
        <w:pStyle w:val="Normal"/>
      </w:pPr>
      <w:r>
        <w:t xml:space="preserve">Se descarta la que insiste en la conclusión. Es exactamente discutir en la cima de la escalera.</w:t>
      </w:r>
    </w:p>
    <w:p>
      <w:pPr>
        <w:pStyle w:val="Fuente"/>
      </w:pPr>
      <w:r>
        <w:t xml:space="preserve">Opciones descartadas: a).</w:t>
      </w:r>
    </w:p>
    <w:p>
      <w:pPr>
        <w:pStyle w:val="Heading3"/>
      </w:pPr>
      <w:r>
        <w:t xml:space="preserve">Cae la C</w:t>
      </w:r>
    </w:p>
    <w:p>
      <w:pPr>
        <w:pStyle w:val="Normal"/>
      </w:pPr>
      <w:r>
        <w:t xml:space="preserve">Se descarta la que supone mentira, cuando el enunciado ya afirma honestidad.</w:t>
      </w:r>
    </w:p>
    <w:p>
      <w:pPr>
        <w:pStyle w:val="Fuente"/>
      </w:pPr>
      <w:r>
        <w:t xml:space="preserve">Opciones descartadas: c).</w:t>
      </w:r>
    </w:p>
    <w:p>
      <w:pPr>
        <w:pStyle w:val="Heading3"/>
      </w:pPr>
      <w:r>
        <w:t xml:space="preserve">Cae la D</w:t>
      </w:r>
    </w:p>
    <w:p>
      <w:pPr>
        <w:pStyle w:val="Normal"/>
      </w:pPr>
      <w:r>
        <w:t xml:space="preserve">Se descarta la que delega el juicio en una autoridad sin mirar datos ni razonamiento.</w:t>
      </w:r>
    </w:p>
    <w:p>
      <w:pPr>
        <w:pStyle w:val="Fuente"/>
      </w:pPr>
      <w:r>
        <w:t xml:space="preserve">Opciones descartadas: d).</w:t>
      </w:r>
    </w:p>
    <w:p>
      <w:pPr>
        <w:pStyle w:val="Heading3"/>
      </w:pPr>
      <w:r>
        <w:t xml:space="preserve">Queda la B</w:t>
      </w:r>
    </w:p>
    <w:p>
      <w:pPr>
        <w:pStyle w:val="Normal"/>
      </w:pPr>
      <w:r>
        <w:t xml:space="preserve">Sobrevive la que separa ideas de personas y pide datos y razonamiento: indagación, no refutación.</w:t>
      </w:r>
    </w:p>
    <w:p>
      <w:pPr>
        <w:pStyle w:val="Normal"/>
      </w:pPr>
      <w:r>
        <w:t xml:space="preserve">a) Repetir con más fuerza la conclusión propia hasta que el otro acepte. — Es discutir en la cima de la escalera: dos conclusiones enfrentadas sin bajar al peldaño donde se seleccionaron los datos. Subir el volumen no añade ningún dato nuevo.</w:t>
      </w:r>
    </w:p>
    <w:p>
      <w:pPr>
        <w:pStyle w:val="Normal"/>
      </w:pPr>
      <w:r>
        <w:t xml:space="preserve">b) Separar las ideas de las personas, preguntar por los datos y el razonamiento del otro, y escuchar antes de refutar. — Reúne las tres conclusiones del video de Guadalupe Nogués rescatadas en la clase 6 —promover el pluralismo, aprender a escuchar y a conversar, separar las ideas de las personas— con la indagación de la escalera: pedir los datos y el razonamiento del otro.</w:t>
      </w:r>
    </w:p>
    <w:p>
      <w:pPr>
        <w:pStyle w:val="Normal"/>
      </w:pPr>
      <w:r>
        <w:t xml:space="preserve">c) Suponer que uno de los dos necesariamente miente. — El enunciado dice «honestos», así que la mentira está excluida por hipótesis. Y la fábula de los ciegos y el elefante muestra que dos descripciones exactas pueden ser incompatibles sin que nadie mienta.</w:t>
      </w:r>
    </w:p>
    <w:p>
      <w:pPr>
        <w:pStyle w:val="Normal"/>
      </w:pPr>
      <w:r>
        <w:t xml:space="preserve">d) Buscar solo una autoridad externa que decida quién tiene razón. — Delegar el juicio no examina ningún dato ni ningún razonamiento; sólo cambia quién dictamina. El diálogo exige suspender el juicio personal, no subcontratarlo.</w:t>
      </w:r>
    </w:p>
    <w:p>
      <w:pPr>
        <w:pStyle w:val="Normal"/>
      </w:pPr>
      <w:r>
        <w:t xml:space="preserve">Criterio de resolución: Una perspectiva es un punto —desde dónde se mira— más una vista —aquello que se mira—, así que dos personas honestas ante el mismo dato no ven lo mismo, y ninguna miente. Ante el desacuerdo, el movimiento del curso es bajar la escalera con reflexión, indagación y argumentación, y hacerlo con las reglas del diálogo: separar las ideas de las personas y suspender el juicio como condición de entrada.</w:t>
      </w:r>
    </w:p>
    <w:p>
      <w:pPr>
        <w:pStyle w:val="Fuente"/>
      </w:pPr>
      <w:r>
        <w:t xml:space="preserve">Banco del portal; resolución editorial.</w:t>
      </w:r>
    </w:p>
    <w:p>
      <w:pPr>
        <w:pStyle w:val="Heading3"/>
      </w:pPr>
      <w:bookmarkStart w:name="b_pregunta_sim_13_metaparadigma" w:id="5444"/>
      <w:r>
        <w:t xml:space="preserve">2.13 · 1.3 · Paradigma de sistemas</w:t>
      </w:r>
      <w:bookmarkEnd w:id="5444"/>
    </w:p>
    <w:p>
      <w:pPr>
        <w:pStyle w:val="Normal"/>
      </w:pPr>
      <w:r>
        <w:t xml:space="preserve">¿Por qué el paradigma de sistemas puede entenderse como un metaparadigma dentro de la ruta del parcial?</w:t>
      </w:r>
    </w:p>
    <w:p>
      <w:pPr>
        <w:pStyle w:val="Fuente"/>
      </w:pPr>
      <w:r>
        <w:t xml:space="preserve">Ordinal de la fuente: 13.</w:t>
      </w:r>
    </w:p>
    <w:p>
      <w:pPr>
        <w:pStyle w:val="Normal"/>
      </w:pPr>
      <w:r>
        <w:t xml:space="preserve">a) Porque reemplaza todo análisis por intuición.</w:t>
      </w:r>
    </w:p>
    <w:p>
      <w:pPr>
        <w:pStyle w:val="Normal"/>
      </w:pPr>
      <w:r>
        <w:t xml:space="preserve">b) Porque permite construir modelos mentales sobre cómo construir modelos de la realidad mediante el concepto general de sistema.</w:t>
      </w:r>
    </w:p>
    <w:p>
      <w:pPr>
        <w:pStyle w:val="Normal"/>
      </w:pPr>
      <w:r>
        <w:t xml:space="preserve">c) Porque solo se aplica a sistemas naturales y excluye organizaciones humanas.</w:t>
      </w:r>
    </w:p>
    <w:p>
      <w:pPr>
        <w:pStyle w:val="Normal"/>
      </w:pPr>
      <w:r>
        <w:t xml:space="preserve">d) Porque elimina la necesidad de perspectivas, fronteras y supuestos.</w:t>
      </w:r>
    </w:p>
    <w:p>
      <w:pPr>
        <w:pStyle w:val="Heading3"/>
      </w:pPr>
      <w:bookmarkStart w:name="b_solucion_sim_13_metaparadigma" w:id="5445"/>
      <w:r>
        <w:t xml:space="preserve">Solución 2.13</w:t>
      </w:r>
      <w:bookmarkEnd w:id="5445"/>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b) Porque permite construir modelos mentales sobre cómo construir modelos de la realidad mediante el concepto general de sistema.</w:t>
            </w:r>
          </w:p>
        </w:tc>
      </w:tr>
    </w:tbl>
    <w:p>
      <w:pPr>
        <w:pStyle w:val="Heading3"/>
      </w:pPr>
      <w:r>
        <w:t xml:space="preserve">Desarma el prefijo</w:t>
      </w:r>
    </w:p>
    <w:p>
      <w:pPr>
        <w:pStyle w:val="Normal"/>
      </w:pPr>
      <w:r>
        <w:t xml:space="preserve">«Meta» significa que el paradigma se aplica sobre paradigmas. Hay que buscar la opción que hable de modelos sobre cómo hacer modelos.</w:t>
      </w:r>
    </w:p>
    <w:p>
      <w:pPr>
        <w:pStyle w:val="Heading3"/>
      </w:pPr>
      <w:r>
        <w:t xml:space="preserve">Cae la A</w:t>
      </w:r>
    </w:p>
    <w:p>
      <w:pPr>
        <w:pStyle w:val="Normal"/>
      </w:pPr>
      <w:r>
        <w:t xml:space="preserve">Se descarta la que opone intuición a análisis. La clase 7 los complementa, no los sustituye.</w:t>
      </w:r>
    </w:p>
    <w:p>
      <w:pPr>
        <w:pStyle w:val="Fuente"/>
      </w:pPr>
      <w:r>
        <w:t xml:space="preserve">Opciones descartadas: a).</w:t>
      </w:r>
    </w:p>
    <w:p>
      <w:pPr>
        <w:pStyle w:val="Heading3"/>
      </w:pPr>
      <w:r>
        <w:t xml:space="preserve">Cae la C</w:t>
      </w:r>
    </w:p>
    <w:p>
      <w:pPr>
        <w:pStyle w:val="Normal"/>
      </w:pPr>
      <w:r>
        <w:t xml:space="preserve">Se descarta la que estrecha el alcance a lo natural, cuando la lámina dice «naturales o artificiales».</w:t>
      </w:r>
    </w:p>
    <w:p>
      <w:pPr>
        <w:pStyle w:val="Fuente"/>
      </w:pPr>
      <w:r>
        <w:t xml:space="preserve">Opciones descartadas: c).</w:t>
      </w:r>
    </w:p>
    <w:p>
      <w:pPr>
        <w:pStyle w:val="Heading3"/>
      </w:pPr>
      <w:r>
        <w:t xml:space="preserve">Cae la D</w:t>
      </w:r>
    </w:p>
    <w:p>
      <w:pPr>
        <w:pStyle w:val="Normal"/>
      </w:pPr>
      <w:r>
        <w:t xml:space="preserve">Se descarta la que promete ahorrarse fronteras, perspectivas y supuestos: son el instrumental del propio paradigma.</w:t>
      </w:r>
    </w:p>
    <w:p>
      <w:pPr>
        <w:pStyle w:val="Fuente"/>
      </w:pPr>
      <w:r>
        <w:t xml:space="preserve">Opciones descartadas: d).</w:t>
      </w:r>
    </w:p>
    <w:p>
      <w:pPr>
        <w:pStyle w:val="Heading3"/>
      </w:pPr>
      <w:r>
        <w:t xml:space="preserve">Queda la B</w:t>
      </w:r>
    </w:p>
    <w:p>
      <w:pPr>
        <w:pStyle w:val="Normal"/>
      </w:pPr>
      <w:r>
        <w:t xml:space="preserve">Sobrevive la única que describe el segundo orden: modelos sobre cómo construir modelos, con el concepto general de sistema como filtro.</w:t>
      </w:r>
    </w:p>
    <w:p>
      <w:pPr>
        <w:pStyle w:val="Normal"/>
      </w:pPr>
      <w:r>
        <w:t xml:space="preserve">a) Porque reemplaza todo análisis por intuición. — El paradigma de sistemas no sustituye el análisis: la clase 7 sostiene que análisis y síntesis se complementan, y que modelar es elegir una frontera útil entre ambos.</w:t>
      </w:r>
    </w:p>
    <w:p>
      <w:pPr>
        <w:pStyle w:val="Normal"/>
      </w:pPr>
      <w:r>
        <w:t xml:space="preserve">b) Porque permite construir modelos mentales sobre cómo construir modelos de la realidad mediante el concepto general de sistema. — Es la definición de metaparadigma que dio la clase 6: un paradigma cualquiera decide qué se ve; éste decide con qué reglas se construyen los modelos con que se ve. Su herramienta es el sistema generalizado, un molde único aplicable a objetos naturales y artificiales.</w:t>
      </w:r>
    </w:p>
    <w:p>
      <w:pPr>
        <w:pStyle w:val="Normal"/>
      </w:pPr>
      <w:r>
        <w:t xml:space="preserve">c) Porque solo se aplica a sistemas naturales y excluye organizaciones humanas. — Contradice la definición de la lámina, que lo presenta como teoría generalista de visión unitaria del mundo para modelar objetos naturales O artificiales. Excluir lo humano sería justo lo contrario de generalista.</w:t>
      </w:r>
    </w:p>
    <w:p>
      <w:pPr>
        <w:pStyle w:val="Normal"/>
      </w:pPr>
      <w:r>
        <w:t xml:space="preserve">d) Porque elimina la necesidad de perspectivas, fronteras y supuestos. — Elimina lo que el paradigma de sistemas exige. Sin frontera no hay distinción, sin perspectiva no hay observador declarado y sin supuestos explícitos no hay modelo defendible.</w:t>
      </w:r>
    </w:p>
    <w:p>
      <w:pPr>
        <w:pStyle w:val="Normal"/>
      </w:pPr>
      <w:r>
        <w:t xml:space="preserve">Criterio de resolución: El prefijo «meta» está bien puesto: el paradigma de sistemas es un modelo mental sobre cómo construir modelos mentales. Su concepto central —el de sistema— funciona como filtro y determina qué información de la realidad se toma en cuenta, y su herramienta, el sistema generalizado, es un molde único que sirve tanto para objetos naturales como artificiales.</w:t>
      </w:r>
    </w:p>
    <w:p>
      <w:pPr>
        <w:pStyle w:val="Fuente"/>
      </w:pPr>
      <w:r>
        <w:t xml:space="preserve">Banco del portal; resolución editorial.</w:t>
      </w:r>
    </w:p>
    <w:p>
      <w:pPr>
        <w:pStyle w:val="Heading3"/>
      </w:pPr>
      <w:bookmarkStart w:name="b_pregunta_sim_14_isomorfismo_h_746c2677" w:id="5446"/>
      <w:r>
        <w:t xml:space="preserve">2.14 · 1.4 / 1.3 · Modelización sistémica</w:t>
      </w:r>
      <w:bookmarkEnd w:id="5446"/>
    </w:p>
    <w:p>
      <w:pPr>
        <w:pStyle w:val="Normal"/>
      </w:pPr>
      <w:r>
        <w:t xml:space="preserve">En la lámina de modelos mentales sistémicos, ¿qué opción ubica mejor las dos relaciones de la modelización?</w:t>
      </w:r>
    </w:p>
    <w:p>
      <w:pPr>
        <w:pStyle w:val="Fuente"/>
      </w:pPr>
      <w:r>
        <w:t xml:space="preserve">Ordinal de la fuente: 14.</w:t>
      </w:r>
    </w:p>
    <w:p>
      <w:pPr>
        <w:pStyle w:val="Normal"/>
      </w:pPr>
      <w:r>
        <w:t xml:space="preserve">a) Objeto–modelo: isomorfismo; sistema general–modelo: parálisis paradigmática.</w:t>
      </w:r>
    </w:p>
    <w:p>
      <w:pPr>
        <w:pStyle w:val="Normal"/>
      </w:pPr>
      <w:r>
        <w:t xml:space="preserve">b) Objeto–modelo: homomorfismo por reducción de variables; sistema general–modelo: isomorfismo por forma similar al concepto de sistema.</w:t>
      </w:r>
    </w:p>
    <w:p>
      <w:pPr>
        <w:pStyle w:val="Normal"/>
      </w:pPr>
      <w:r>
        <w:t xml:space="preserve">c) Objeto–modelo: neguentropía; sistema general–modelo: entropía.</w:t>
      </w:r>
    </w:p>
    <w:p>
      <w:pPr>
        <w:pStyle w:val="Normal"/>
      </w:pPr>
      <w:r>
        <w:t xml:space="preserve">d) Objeto–modelo: equifinalidad; sistema general–modelo: multifinalidad.</w:t>
      </w:r>
    </w:p>
    <w:p>
      <w:pPr>
        <w:pStyle w:val="Heading3"/>
      </w:pPr>
      <w:bookmarkStart w:name="b_solucion_sim_14_isomorfismo_h_b2699cfd" w:id="5447"/>
      <w:r>
        <w:t xml:space="preserve">Solución 2.14</w:t>
      </w:r>
      <w:bookmarkEnd w:id="5447"/>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b) Objeto–modelo: homomorfismo por reducción de variables; sistema general–modelo: isomorfismo por forma similar al concepto de sistema.</w:t>
            </w:r>
          </w:p>
        </w:tc>
      </w:tr>
    </w:tbl>
    <w:p>
      <w:pPr>
        <w:pStyle w:val="Heading3"/>
      </w:pPr>
      <w:r>
        <w:t xml:space="preserve">Separa las dos llaves</w:t>
      </w:r>
    </w:p>
    <w:p>
      <w:pPr>
        <w:pStyle w:val="Normal"/>
      </w:pPr>
      <w:r>
        <w:t xml:space="preserve">El esquema tiene tres piezas —objeto, sistema general, modelos— y dos llaves de alcance distinto. La pregunta es cuál llave cubre qué tramo.</w:t>
      </w:r>
    </w:p>
    <w:p>
      <w:pPr>
        <w:pStyle w:val="Heading3"/>
      </w:pPr>
      <w:r>
        <w:t xml:space="preserve">Cae la C</w:t>
      </w:r>
    </w:p>
    <w:p>
      <w:pPr>
        <w:pStyle w:val="Normal"/>
      </w:pPr>
      <w:r>
        <w:t xml:space="preserve">Se descartan primero las opciones con vocabulario ajeno: entropía y neguentropía describen orden y desorden en el tiempo, no correspondencias.</w:t>
      </w:r>
    </w:p>
    <w:p>
      <w:pPr>
        <w:pStyle w:val="Fuente"/>
      </w:pPr>
      <w:r>
        <w:t xml:space="preserve">Opciones descartadas: c).</w:t>
      </w:r>
    </w:p>
    <w:p>
      <w:pPr>
        <w:pStyle w:val="Heading3"/>
      </w:pPr>
      <w:r>
        <w:t xml:space="preserve">Cae la D</w:t>
      </w:r>
    </w:p>
    <w:p>
      <w:pPr>
        <w:pStyle w:val="Normal"/>
      </w:pPr>
      <w:r>
        <w:t xml:space="preserve">Se descarta la que apoya media respuesta en la multifinalidad, que ni es una relación de modelización ni se dictó en el curso.</w:t>
      </w:r>
    </w:p>
    <w:p>
      <w:pPr>
        <w:pStyle w:val="Fuente"/>
      </w:pPr>
      <w:r>
        <w:t xml:space="preserve">Opciones descartadas: d).</w:t>
      </w:r>
    </w:p>
    <w:p>
      <w:pPr>
        <w:pStyle w:val="Heading3"/>
      </w:pPr>
      <w:r>
        <w:t xml:space="preserve">Cae la A</w:t>
      </w:r>
    </w:p>
    <w:p>
      <w:pPr>
        <w:pStyle w:val="Normal"/>
      </w:pPr>
      <w:r>
        <w:t xml:space="preserve">Queda el distractor real: usa isomorfismo en el tramo equivocado. La reducción de variables ocurre al pasar del objeto al modelo, no del sistema general al modelo.</w:t>
      </w:r>
    </w:p>
    <w:p>
      <w:pPr>
        <w:pStyle w:val="Fuente"/>
      </w:pPr>
      <w:r>
        <w:t xml:space="preserve">Opciones descartadas: a).</w:t>
      </w:r>
    </w:p>
    <w:p>
      <w:pPr>
        <w:pStyle w:val="Heading3"/>
      </w:pPr>
      <w:r>
        <w:t xml:space="preserve">Queda la B</w:t>
      </w:r>
    </w:p>
    <w:p>
      <w:pPr>
        <w:pStyle w:val="Normal"/>
      </w:pPr>
      <w:r>
        <w:t xml:space="preserve">Sobrevive la única que reparte bien: homomorfismo por reducción de variables entre objeto y modelo; isomorfismo por forma similar entre el concepto general de sistema y el modelo.</w:t>
      </w:r>
    </w:p>
    <w:p>
      <w:pPr>
        <w:pStyle w:val="Normal"/>
      </w:pPr>
      <w:r>
        <w:t xml:space="preserve">a) Objeto–modelo: isomorfismo; sistema general–modelo: parálisis paradigmática. — Intercambia los dos morfismos y remata con un término que no pertenece al esquema: la parálisis paradigmática es una conducta frente al cambio de paradigma, no una relación entre un objeto y su modelo.</w:t>
      </w:r>
    </w:p>
    <w:p>
      <w:pPr>
        <w:pStyle w:val="Normal"/>
      </w:pPr>
      <w:r>
        <w:t xml:space="preserve">b) Objeto–modelo: homomorfismo por reducción de variables; sistema general–modelo: isomorfismo por forma similar al concepto de sistema. — Es el alcance real de las dos llaves de la lámina. Homomorfismo, literal: «cuando el modelo ya no es similar, sino una representación donde se ha efectuado una reducción de variables, de muchas a una». Isomorfismo, literal: «Isomórfico significa “con una forma similar”… De esta forma los modelos del pensador sistémico son isomórficos respecto al concepto general de sistema y sus diferentes características».</w:t>
      </w:r>
    </w:p>
    <w:p>
      <w:pPr>
        <w:pStyle w:val="Normal"/>
      </w:pPr>
      <w:r>
        <w:t xml:space="preserve">c) Objeto–modelo: neguentropía; sistema general–modelo: entropía. — Importa el par entropía/neguentropía, que es vocabulario del tema 2.8 sobre orden y desorden en el tiempo, y no describe ninguna correspondencia entre objeto y modelo.</w:t>
      </w:r>
    </w:p>
    <w:p>
      <w:pPr>
        <w:pStyle w:val="Normal"/>
      </w:pPr>
      <w:r>
        <w:t xml:space="preserve">d) Objeto–modelo: equifinalidad; sistema general–modelo: multifinalidad. — Además de importar vocabulario del 2.8, apoya media respuesta en la multifinalidad, que el curso no dictó: quedó como investigación asignada. Ninguna de las dos es una relación de modelización.</w:t>
      </w:r>
    </w:p>
    <w:p>
      <w:pPr>
        <w:pStyle w:val="Normal"/>
      </w:pPr>
      <w:r>
        <w:t xml:space="preserve">Criterio de resolución: Es el punto más fino de la sección. La lámina dibuja el objeto a modelizar (percibido en su entorno), el sistema general como filtro y los modelos I, II y III que salen de él, y cierra con dos llaves de alcance distinto: la de ISOMORFISMO va entre el sistema general y los modelos —el modelo conserva las piezas conceptuales del sistema: partes, relaciones, entradas, salidas, entorno, objetivos—, y la de HOMOMORFISMO abarca desde el objeto hasta los modelos, porque ahí es donde ocurre la reducción de variables. Un modelo sistémico es las dos cosas a la vez: más simple que el objeto y de forma similar al concepto de sistema.</w:t>
      </w:r>
    </w:p>
    <w:p>
      <w:pPr>
        <w:pStyle w:val="Fuente"/>
      </w:pPr>
      <w:r>
        <w:t xml:space="preserve">Banco del portal; resolución editorial.</w:t>
      </w:r>
    </w:p>
    <w:p>
      <w:pPr>
        <w:pStyle w:val="Heading3"/>
      </w:pPr>
      <w:bookmarkStart w:name="b_pregunta_sim_15_sistema_vs_monton" w:id="5448"/>
      <w:r>
        <w:t xml:space="preserve">2.15 · 2.2 · Sistema vs montón</w:t>
      </w:r>
      <w:bookmarkEnd w:id="5448"/>
    </w:p>
    <w:p>
      <w:pPr>
        <w:pStyle w:val="Normal"/>
      </w:pPr>
      <w:r>
        <w:t xml:space="preserve">¿Cuál rasgo distingue mejor un sistema de un montón o conglomerado?</w:t>
      </w:r>
    </w:p>
    <w:p>
      <w:pPr>
        <w:pStyle w:val="Fuente"/>
      </w:pPr>
      <w:r>
        <w:t xml:space="preserve">Ordinal de la fuente: 15.</w:t>
      </w:r>
    </w:p>
    <w:p>
      <w:pPr>
        <w:pStyle w:val="Normal"/>
      </w:pPr>
      <w:r>
        <w:t xml:space="preserve">a) El sistema tiene partes; el montón no tiene ninguna parte.</w:t>
      </w:r>
    </w:p>
    <w:p>
      <w:pPr>
        <w:pStyle w:val="Normal"/>
      </w:pPr>
      <w:r>
        <w:t xml:space="preserve">b) En el sistema la disposición y las relaciones entre partes son fundamentales para el comportamiento del todo.</w:t>
      </w:r>
    </w:p>
    <w:p>
      <w:pPr>
        <w:pStyle w:val="Normal"/>
      </w:pPr>
      <w:r>
        <w:t xml:space="preserve">c) El sistema no cambia nunca; el montón evoluciona con el tiempo.</w:t>
      </w:r>
    </w:p>
    <w:p>
      <w:pPr>
        <w:pStyle w:val="Normal"/>
      </w:pPr>
      <w:r>
        <w:t xml:space="preserve">d) El sistema es siempre natural; el montón siempre es diseñado.</w:t>
      </w:r>
    </w:p>
    <w:p>
      <w:pPr>
        <w:pStyle w:val="Heading3"/>
      </w:pPr>
      <w:bookmarkStart w:name="b_solucion_sim_15_sistema_vs_monton" w:id="5449"/>
      <w:r>
        <w:t xml:space="preserve">Solución 2.15</w:t>
      </w:r>
      <w:bookmarkEnd w:id="5449"/>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b) En el sistema la disposición y las relaciones entre partes son fundamentales para el comportamiento del todo.</w:t>
            </w:r>
          </w:p>
        </w:tc>
      </w:tr>
    </w:tbl>
    <w:p>
      <w:pPr>
        <w:pStyle w:val="Heading3"/>
      </w:pPr>
      <w:r>
        <w:t xml:space="preserve">Pon a prueba con el mosaico</w:t>
      </w:r>
    </w:p>
    <w:p>
      <w:pPr>
        <w:pStyle w:val="Normal"/>
      </w:pPr>
      <w:r>
        <w:t xml:space="preserve">Mismas teselas, dos disposiciones. Si la diferencia se pierde al desordenarlas, la diferencia estaba en las relaciones y no en las piezas.</w:t>
      </w:r>
    </w:p>
    <w:p>
      <w:pPr>
        <w:pStyle w:val="Heading3"/>
      </w:pPr>
      <w:r>
        <w:t xml:space="preserve">Cae la A</w:t>
      </w:r>
    </w:p>
    <w:p>
      <w:pPr>
        <w:pStyle w:val="Normal"/>
      </w:pPr>
      <w:r>
        <w:t xml:space="preserve">Se descarta la que le niega partes al montón. Las tiene: le faltan las relaciones.</w:t>
      </w:r>
    </w:p>
    <w:p>
      <w:pPr>
        <w:pStyle w:val="Fuente"/>
      </w:pPr>
      <w:r>
        <w:t xml:space="preserve">Opciones descartadas: a).</w:t>
      </w:r>
    </w:p>
    <w:p>
      <w:pPr>
        <w:pStyle w:val="Heading3"/>
      </w:pPr>
      <w:r>
        <w:t xml:space="preserve">Cae la C</w:t>
      </w:r>
    </w:p>
    <w:p>
      <w:pPr>
        <w:pStyle w:val="Normal"/>
      </w:pPr>
      <w:r>
        <w:t xml:space="preserve">Se descarta la que congela el sistema, cuando la evolución en el tiempo está en la definición firmada de Le Moigne.</w:t>
      </w:r>
    </w:p>
    <w:p>
      <w:pPr>
        <w:pStyle w:val="Fuente"/>
      </w:pPr>
      <w:r>
        <w:t xml:space="preserve">Opciones descartadas: c).</w:t>
      </w:r>
    </w:p>
    <w:p>
      <w:pPr>
        <w:pStyle w:val="Heading3"/>
      </w:pPr>
      <w:r>
        <w:t xml:space="preserve">Cae la D</w:t>
      </w:r>
    </w:p>
    <w:p>
      <w:pPr>
        <w:pStyle w:val="Normal"/>
      </w:pPr>
      <w:r>
        <w:t xml:space="preserve">Se descarta la que confunde el criterio con la clasificación de Checkland. Natural o diseñado es otra pregunta.</w:t>
      </w:r>
    </w:p>
    <w:p>
      <w:pPr>
        <w:pStyle w:val="Fuente"/>
      </w:pPr>
      <w:r>
        <w:t xml:space="preserve">Opciones descartadas: d).</w:t>
      </w:r>
    </w:p>
    <w:p>
      <w:pPr>
        <w:pStyle w:val="Heading3"/>
      </w:pPr>
      <w:r>
        <w:t xml:space="preserve">Queda la B</w:t>
      </w:r>
    </w:p>
    <w:p>
      <w:pPr>
        <w:pStyle w:val="Normal"/>
      </w:pPr>
      <w:r>
        <w:t xml:space="preserve">Sobrevive la única que pone el peso en la disposición y las relaciones como productoras del comportamiento del todo.</w:t>
      </w:r>
    </w:p>
    <w:p>
      <w:pPr>
        <w:pStyle w:val="Normal"/>
      </w:pPr>
      <w:r>
        <w:t xml:space="preserve">a) El sistema tiene partes; el montón no tiene ninguna parte. — Un montón sí tiene partes: lo que no tiene son relaciones entre ellas. En el mosaico de la clase 8, el conglomerado son las mismas teselas, juntas pero sin relación.</w:t>
      </w:r>
    </w:p>
    <w:p>
      <w:pPr>
        <w:pStyle w:val="Normal"/>
      </w:pPr>
      <w:r>
        <w:t xml:space="preserve">b) En el sistema la disposición y las relaciones entre partes son fundamentales para el comportamiento del todo. — Es el rasgo: la sinergia es lo que diferencia un sistema de un montón, y nace de las interacciones, no de las partes. Desordene el mosaico y las teselas siguen ahí; la mariposa desaparece.</w:t>
      </w:r>
    </w:p>
    <w:p>
      <w:pPr>
        <w:pStyle w:val="Normal"/>
      </w:pPr>
      <w:r>
        <w:t xml:space="preserve">c) El sistema no cambia nunca; el montón evoluciona con el tiempo. — Invierte la evolución. Justamente la definición de Le Moigne exige que el sistema «vea evolucionar su estructura interna a lo largo del tiempo sin perder por ello su identidad»; el montón es el que no va a ninguna parte.</w:t>
      </w:r>
    </w:p>
    <w:p>
      <w:pPr>
        <w:pStyle w:val="Normal"/>
      </w:pPr>
      <w:r>
        <w:t xml:space="preserve">d) El sistema es siempre natural; el montón siempre es diseñado. — La distinción sistema/montón es independiente del origen. Hay sistemas naturales y sistemas diseñados, y un montón puede ser de piedras de río o de tornillos de fábrica.</w:t>
      </w:r>
    </w:p>
    <w:p>
      <w:pPr>
        <w:pStyle w:val="Normal"/>
      </w:pPr>
      <w:r>
        <w:t xml:space="preserve">Criterio de resolución: Ni el número de partes ni su naturaleza separan un sistema de un montón: las separan las relaciones y la disposición. De la interacción entre las partes surge algo que ninguna parte tenía —sinergia si el todo rinde más que la suma, emergencia si aparece una propiedad nueva—, y ese algo desaparece en cuanto se rompe la estructura que ordena las relaciones.</w:t>
      </w:r>
    </w:p>
    <w:p>
      <w:pPr>
        <w:pStyle w:val="Fuente"/>
      </w:pPr>
      <w:r>
        <w:t xml:space="preserve">Banco del portal; resolución editorial.</w:t>
      </w:r>
    </w:p>
    <w:p>
      <w:pPr>
        <w:pStyle w:val="Heading3"/>
      </w:pPr>
      <w:bookmarkStart w:name="b_pregunta_sim_16_definicion_le_moigne" w:id="5450"/>
      <w:r>
        <w:t xml:space="preserve">2.16 · 2.2 · Definición de J. L. Le Moigne</w:t>
      </w:r>
      <w:bookmarkEnd w:id="5450"/>
    </w:p>
    <w:p>
      <w:pPr>
        <w:pStyle w:val="Normal"/>
      </w:pPr>
      <w:r>
        <w:t xml:space="preserve">¿Qué formulación se aproxima mejor a la definición de sistema atribuida a J. L. Le Moigne en la lámina del curso?</w:t>
      </w:r>
    </w:p>
    <w:p>
      <w:pPr>
        <w:pStyle w:val="Fuente"/>
      </w:pPr>
      <w:r>
        <w:t xml:space="preserve">Ordinal de la fuente: 16.</w:t>
      </w:r>
    </w:p>
    <w:p>
      <w:pPr>
        <w:pStyle w:val="Normal"/>
      </w:pPr>
      <w:r>
        <w:t xml:space="preserve">a) Una lista de componentes aislados que se suman para producir un resultado externo.</w:t>
      </w:r>
    </w:p>
    <w:p>
      <w:pPr>
        <w:pStyle w:val="Normal"/>
      </w:pPr>
      <w:r>
        <w:t xml:space="preserve">b) Un objeto dotado de fines u objetivos que, en un entorno bien delimitado, ejerce una actividad y ve evolucionar su estructura interna en el tiempo sin perder identidad.</w:t>
      </w:r>
    </w:p>
    <w:p>
      <w:pPr>
        <w:pStyle w:val="Normal"/>
      </w:pPr>
      <w:r>
        <w:t xml:space="preserve">c) Un conjunto cerrado de partes que no intercambia nada con su entorno.</w:t>
      </w:r>
    </w:p>
    <w:p>
      <w:pPr>
        <w:pStyle w:val="Normal"/>
      </w:pPr>
      <w:r>
        <w:t xml:space="preserve">d) Una propiedad emergente que pertenece a cada componente individual.</w:t>
      </w:r>
    </w:p>
    <w:p>
      <w:pPr>
        <w:pStyle w:val="Heading3"/>
      </w:pPr>
      <w:bookmarkStart w:name="b_solucion_sim_16_definicion_le_moigne" w:id="5451"/>
      <w:r>
        <w:t xml:space="preserve">Solución 2.16</w:t>
      </w:r>
      <w:bookmarkEnd w:id="5451"/>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b) Un objeto dotado de fines u objetivos que, en un entorno bien delimitado, ejerce una actividad y ve evolucionar su estructura interna en el tiempo sin perder identidad.</w:t>
            </w:r>
          </w:p>
        </w:tc>
      </w:tr>
    </w:tbl>
    <w:p>
      <w:pPr>
        <w:pStyle w:val="Heading3"/>
      </w:pPr>
      <w:r>
        <w:t xml:space="preserve">Busca la firma</w:t>
      </w:r>
    </w:p>
    <w:p>
      <w:pPr>
        <w:pStyle w:val="Normal"/>
      </w:pPr>
      <w:r>
        <w:t xml:space="preserve">De las cuatro definiciones de la lámina 6 sólo una lleva autor. Hay que reconocer sus cuatro palabras resaltadas: objeto, actividad, evolucionar, estructura.</w:t>
      </w:r>
    </w:p>
    <w:p>
      <w:pPr>
        <w:pStyle w:val="Heading3"/>
      </w:pPr>
      <w:r>
        <w:t xml:space="preserve">Cae la A</w:t>
      </w:r>
    </w:p>
    <w:p>
      <w:pPr>
        <w:pStyle w:val="Normal"/>
      </w:pPr>
      <w:r>
        <w:t xml:space="preserve">Se descarta la que suma componentes aislados: eso es un montón leído en clave reduccionista.</w:t>
      </w:r>
    </w:p>
    <w:p>
      <w:pPr>
        <w:pStyle w:val="Fuente"/>
      </w:pPr>
      <w:r>
        <w:t xml:space="preserve">Opciones descartadas: a).</w:t>
      </w:r>
    </w:p>
    <w:p>
      <w:pPr>
        <w:pStyle w:val="Heading3"/>
      </w:pPr>
      <w:r>
        <w:t xml:space="preserve">Cae la C</w:t>
      </w:r>
    </w:p>
    <w:p>
      <w:pPr>
        <w:pStyle w:val="Normal"/>
      </w:pPr>
      <w:r>
        <w:t xml:space="preserve">Se descarta la que cierra el sistema por definición, cuando la definición exige un entorno bien delimitado.</w:t>
      </w:r>
    </w:p>
    <w:p>
      <w:pPr>
        <w:pStyle w:val="Fuente"/>
      </w:pPr>
      <w:r>
        <w:t xml:space="preserve">Opciones descartadas: c).</w:t>
      </w:r>
    </w:p>
    <w:p>
      <w:pPr>
        <w:pStyle w:val="Heading3"/>
      </w:pPr>
      <w:r>
        <w:t xml:space="preserve">Cae la D</w:t>
      </w:r>
    </w:p>
    <w:p>
      <w:pPr>
        <w:pStyle w:val="Normal"/>
      </w:pPr>
      <w:r>
        <w:t xml:space="preserve">Se descarta la que reparte la propiedad emergente entre las partes. La emergencia es del todo.</w:t>
      </w:r>
    </w:p>
    <w:p>
      <w:pPr>
        <w:pStyle w:val="Fuente"/>
      </w:pPr>
      <w:r>
        <w:t xml:space="preserve">Opciones descartadas: d).</w:t>
      </w:r>
    </w:p>
    <w:p>
      <w:pPr>
        <w:pStyle w:val="Heading3"/>
      </w:pPr>
      <w:r>
        <w:t xml:space="preserve">Queda la B</w:t>
      </w:r>
    </w:p>
    <w:p>
      <w:pPr>
        <w:pStyle w:val="Normal"/>
      </w:pPr>
      <w:r>
        <w:t xml:space="preserve">Sobrevive la que trae las cuatro piezas de la definición firmada, incluida la evolución sin pérdida de identidad.</w:t>
      </w:r>
    </w:p>
    <w:p>
      <w:pPr>
        <w:pStyle w:val="Normal"/>
      </w:pPr>
      <w:r>
        <w:t xml:space="preserve">a) Una lista de componentes aislados que se suman para producir un resultado externo. — «Componentes aislados que se suman» es la descripción de un montón, y además es reduccionista: busca el comportamiento en las partes en vez de en las propiedades emergentes.</w:t>
      </w:r>
    </w:p>
    <w:p>
      <w:pPr>
        <w:pStyle w:val="Normal"/>
      </w:pPr>
      <w:r>
        <w:t xml:space="preserve">b) Un objeto dotado de fines u objetivos que, en un entorno bien delimitado, ejerce una actividad y ve evolucionar su estructura interna en el tiempo sin perder identidad. — Reproduce la definición firmada, la única de las cuatro de la lámina 6 que lleva autor: «Objeto dotado de fines u objetivos que, en un entorno bien delimitado, ejerce una actividad, a la vez que ve evolucionar su estructura interna a lo largo del tiempo sin perder por ello su identidad». Las palabras que la lámina resalta en rojo son objeto, actividad, evolucionar y estructura.</w:t>
      </w:r>
    </w:p>
    <w:p>
      <w:pPr>
        <w:pStyle w:val="Normal"/>
      </w:pPr>
      <w:r>
        <w:t xml:space="preserve">c) Un conjunto cerrado de partes que no intercambia nada con su entorno. — Convierte al sistema en cerrado por definición, cuando la definición de Le Moigne exige un entorno bien delimitado con el cual el sistema se relaciona. Además, abierto y cerrado es una distinción del tema 2.8, no un requisito de la definición.</w:t>
      </w:r>
    </w:p>
    <w:p>
      <w:pPr>
        <w:pStyle w:val="Normal"/>
      </w:pPr>
      <w:r>
        <w:t xml:space="preserve">d) Una propiedad emergente que pertenece a cada componente individual. — Contradice la emergencia: la propiedad emergente es del todo y precisamente no está en las partes individuales. Sólo se ve cuando se mira la totalidad.</w:t>
      </w:r>
    </w:p>
    <w:p>
      <w:pPr>
        <w:pStyle w:val="Normal"/>
      </w:pPr>
      <w:r>
        <w:t xml:space="preserve">Criterio de resolución: La lámina 6 recoge cuatro definiciones de sistema y sólo la de Le Moigne va firmada, por eso es la que conviene reproducir de memoria. Aporta lo que las otras tres no traen junto: fines u objetivos, un entorno bien delimitado, una actividad y —lo característico— la evolución de la estructura interna en el tiempo sin pérdida de identidad. Es también la definición de objeto de la lámina 2 de la clase 1, y por eso vale igual para el tema 1.3.</w:t>
      </w:r>
    </w:p>
    <w:p>
      <w:pPr>
        <w:pStyle w:val="Fuente"/>
      </w:pPr>
      <w:r>
        <w:t xml:space="preserve">Banco del portal; resolución editorial.</w:t>
      </w:r>
    </w:p>
    <w:p>
      <w:pPr>
        <w:pStyle w:val="Heading3"/>
      </w:pPr>
      <w:bookmarkStart w:name="b_pregunta_sim_17_racimo_entorn_52789e48" w:id="5452"/>
      <w:r>
        <w:t xml:space="preserve">2.17 · 2.2 · Conceptos asociados al sistema</w:t>
      </w:r>
      <w:bookmarkEnd w:id="5452"/>
    </w:p>
    <w:p>
      <w:pPr>
        <w:pStyle w:val="Normal"/>
      </w:pPr>
      <w:r>
        <w:t xml:space="preserve">Una pregunta pide identificar «exterior, ambiente, contexto, medio, límites o frontera». ¿A qué racimo conceptual de la lámina 7 corresponde?</w:t>
      </w:r>
    </w:p>
    <w:p>
      <w:pPr>
        <w:pStyle w:val="Fuente"/>
      </w:pPr>
      <w:r>
        <w:t xml:space="preserve">Ordinal de la fuente: 17.</w:t>
      </w:r>
    </w:p>
    <w:p>
      <w:pPr>
        <w:pStyle w:val="Normal"/>
      </w:pPr>
      <w:r>
        <w:t xml:space="preserve">a) Objetivos, metas o razón de ser.</w:t>
      </w:r>
    </w:p>
    <w:p>
      <w:pPr>
        <w:pStyle w:val="Normal"/>
      </w:pPr>
      <w:r>
        <w:t xml:space="preserve">b) Entorno y frontera del sistema.</w:t>
      </w:r>
    </w:p>
    <w:p>
      <w:pPr>
        <w:pStyle w:val="Normal"/>
      </w:pPr>
      <w:r>
        <w:t xml:space="preserve">c) Estructura organizada, procedimientos o serie de pasos.</w:t>
      </w:r>
    </w:p>
    <w:p>
      <w:pPr>
        <w:pStyle w:val="Normal"/>
      </w:pPr>
      <w:r>
        <w:t xml:space="preserve">d) Entradas, input y salidas, output.</w:t>
      </w:r>
    </w:p>
    <w:p>
      <w:pPr>
        <w:pStyle w:val="Heading3"/>
      </w:pPr>
      <w:bookmarkStart w:name="b_solucion_sim_17_racimo_entorn_9f04fa38" w:id="5453"/>
      <w:r>
        <w:t xml:space="preserve">Solución 2.17</w:t>
      </w:r>
      <w:bookmarkEnd w:id="5453"/>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b) Entorno y frontera del sistema.</w:t>
            </w:r>
          </w:p>
        </w:tc>
      </w:tr>
    </w:tbl>
    <w:p>
      <w:pPr>
        <w:pStyle w:val="Heading3"/>
      </w:pPr>
      <w:r>
        <w:t xml:space="preserve">Reconoce el racimo por sus sinónimos</w:t>
      </w:r>
    </w:p>
    <w:p>
      <w:pPr>
        <w:pStyle w:val="Normal"/>
      </w:pPr>
      <w:r>
        <w:t xml:space="preserve">La lámina 7 agrupa nueve conceptos con sus sinónimos. La pregunta da la lista y pide el nombre del grupo.</w:t>
      </w:r>
    </w:p>
    <w:p>
      <w:pPr>
        <w:pStyle w:val="Heading3"/>
      </w:pPr>
      <w:r>
        <w:t xml:space="preserve">Cae la A</w:t>
      </w:r>
    </w:p>
    <w:p>
      <w:pPr>
        <w:pStyle w:val="Normal"/>
      </w:pPr>
      <w:r>
        <w:t xml:space="preserve">Se descarta objetivos: responde para qué existe el sistema, no dónde termina.</w:t>
      </w:r>
    </w:p>
    <w:p>
      <w:pPr>
        <w:pStyle w:val="Fuente"/>
      </w:pPr>
      <w:r>
        <w:t xml:space="preserve">Opciones descartadas: a).</w:t>
      </w:r>
    </w:p>
    <w:p>
      <w:pPr>
        <w:pStyle w:val="Heading3"/>
      </w:pPr>
      <w:r>
        <w:t xml:space="preserve">Cae la C</w:t>
      </w:r>
    </w:p>
    <w:p>
      <w:pPr>
        <w:pStyle w:val="Normal"/>
      </w:pPr>
      <w:r>
        <w:t xml:space="preserve">Se descarta estructura organizada: describe el orden interno, no el borde.</w:t>
      </w:r>
    </w:p>
    <w:p>
      <w:pPr>
        <w:pStyle w:val="Fuente"/>
      </w:pPr>
      <w:r>
        <w:t xml:space="preserve">Opciones descartadas: c).</w:t>
      </w:r>
    </w:p>
    <w:p>
      <w:pPr>
        <w:pStyle w:val="Heading3"/>
      </w:pPr>
      <w:r>
        <w:t xml:space="preserve">Cae la D</w:t>
      </w:r>
    </w:p>
    <w:p>
      <w:pPr>
        <w:pStyle w:val="Normal"/>
      </w:pPr>
      <w:r>
        <w:t xml:space="preserve">Se descarta entradas y salidas: nombran lo que cruza la frontera, y por eso mismo no son la frontera.</w:t>
      </w:r>
    </w:p>
    <w:p>
      <w:pPr>
        <w:pStyle w:val="Fuente"/>
      </w:pPr>
      <w:r>
        <w:t xml:space="preserve">Opciones descartadas: d).</w:t>
      </w:r>
    </w:p>
    <w:p>
      <w:pPr>
        <w:pStyle w:val="Heading3"/>
      </w:pPr>
      <w:r>
        <w:t xml:space="preserve">Queda la B</w:t>
      </w:r>
    </w:p>
    <w:p>
      <w:pPr>
        <w:pStyle w:val="Normal"/>
      </w:pPr>
      <w:r>
        <w:t xml:space="preserve">Sobrevive entorno y frontera, el racimo 6, cuyos sinónimos son literalmente los del enunciado.</w:t>
      </w:r>
    </w:p>
    <w:p>
      <w:pPr>
        <w:pStyle w:val="Normal"/>
      </w:pPr>
      <w:r>
        <w:t xml:space="preserve">a) Objetivos, metas o razón de ser. — Es el racimo 4 de la lámina: objetivos, metas, la razón de ser. Responde para qué existe el sistema, no dónde termina.</w:t>
      </w:r>
    </w:p>
    <w:p>
      <w:pPr>
        <w:pStyle w:val="Normal"/>
      </w:pPr>
      <w:r>
        <w:t xml:space="preserve">b) Entorno y frontera del sistema. — Es el racimo 6, y la lista del enunciado son sus sinónimos tal como los imprime la lámina: exterior, ambiente, contexto, medio, límites.</w:t>
      </w:r>
    </w:p>
    <w:p>
      <w:pPr>
        <w:pStyle w:val="Normal"/>
      </w:pPr>
      <w:r>
        <w:t xml:space="preserve">c) Estructura organizada, procedimientos o serie de pasos. — Es el racimo 7: organización, reglas, principios, procedimientos. Describe cómo se ordena el sistema por dentro, no su borde.</w:t>
      </w:r>
    </w:p>
    <w:p>
      <w:pPr>
        <w:pStyle w:val="Normal"/>
      </w:pPr>
      <w:r>
        <w:t xml:space="preserve">d) Entradas, input y salidas, output. — Son los racimos 8 y 9, input y output. Nombran lo que cruza la frontera, no la frontera misma.</w:t>
      </w:r>
    </w:p>
    <w:p>
      <w:pPr>
        <w:pStyle w:val="Normal"/>
      </w:pPr>
      <w:r>
        <w:t xml:space="preserve">Criterio de resolución: La lámina 7 de la clase 6 lista nueve conceptos importantes asociados al sistema, cada uno con su racimo de sinónimos: totalidad, componentes, relaciones, objetivos, evolución, entorno y frontera, estructura organizada, entradas y salidas. La serie del enunciado —exterior, ambiente, contexto, medio, límites— es exactamente el sexto, y conviene poder recitar el racimo entero porque el examen pregunta por sinónimos, no por definiciones.</w:t>
      </w:r>
    </w:p>
    <w:p>
      <w:pPr>
        <w:pStyle w:val="Fuente"/>
      </w:pPr>
      <w:r>
        <w:t xml:space="preserve">Banco del portal; resolución editorial.</w:t>
      </w:r>
    </w:p>
    <w:p>
      <w:pPr>
        <w:pStyle w:val="Heading3"/>
      </w:pPr>
      <w:bookmarkStart w:name="b_pregunta_sim_18_estructura_ge_01bbacde" w:id="5454"/>
      <w:r>
        <w:t xml:space="preserve">2.18 · 2.3 · Estructura de los sistemas</w:t>
      </w:r>
      <w:bookmarkEnd w:id="5454"/>
    </w:p>
    <w:p>
      <w:pPr>
        <w:pStyle w:val="Normal"/>
      </w:pPr>
      <w:r>
        <w:t xml:space="preserve">¿Cuál afirmación expresa mejor la relación entre estructura y comportamiento?</w:t>
      </w:r>
    </w:p>
    <w:p>
      <w:pPr>
        <w:pStyle w:val="Fuente"/>
      </w:pPr>
      <w:r>
        <w:t xml:space="preserve">Ordinal de la fuente: 18.</w:t>
      </w:r>
    </w:p>
    <w:p>
      <w:pPr>
        <w:pStyle w:val="Normal"/>
      </w:pPr>
      <w:r>
        <w:t xml:space="preserve">a) El comportamiento depende solo de la personalidad de los elementos humanos que participan.</w:t>
      </w:r>
    </w:p>
    <w:p>
      <w:pPr>
        <w:pStyle w:val="Normal"/>
      </w:pPr>
      <w:r>
        <w:t xml:space="preserve">b) La estructura es el patrón de organización de partes y relaciones; por eso puede generar comportamientos recurrentes.</w:t>
      </w:r>
    </w:p>
    <w:p>
      <w:pPr>
        <w:pStyle w:val="Normal"/>
      </w:pPr>
      <w:r>
        <w:t xml:space="preserve">c) Una estructura es únicamente el edificio físico donde ocurre el sistema.</w:t>
      </w:r>
    </w:p>
    <w:p>
      <w:pPr>
        <w:pStyle w:val="Normal"/>
      </w:pPr>
      <w:r>
        <w:t xml:space="preserve">d) Las relaciones no importan si se identifican correctamente los componentes.</w:t>
      </w:r>
    </w:p>
    <w:p>
      <w:pPr>
        <w:pStyle w:val="Heading3"/>
      </w:pPr>
      <w:bookmarkStart w:name="b_solucion_sim_18_estructura_ge_ea100237" w:id="5455"/>
      <w:r>
        <w:t xml:space="preserve">Solución 2.18</w:t>
      </w:r>
      <w:bookmarkEnd w:id="5455"/>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b) La estructura es el patrón de organización de partes y relaciones; por eso puede generar comportamientos recurrentes.</w:t>
            </w:r>
          </w:p>
        </w:tc>
      </w:tr>
    </w:tbl>
    <w:p>
      <w:pPr>
        <w:pStyle w:val="Heading3"/>
      </w:pPr>
      <w:r>
        <w:t xml:space="preserve">Define estructura antes de decidir</w:t>
      </w:r>
    </w:p>
    <w:p>
      <w:pPr>
        <w:pStyle w:val="Normal"/>
      </w:pPr>
      <w:r>
        <w:t xml:space="preserve">Estructura es patrón de organización: partes más relaciones dentro de una frontera. Con esa definición, tres opciones se caen solas.</w:t>
      </w:r>
    </w:p>
    <w:p>
      <w:pPr>
        <w:pStyle w:val="Heading3"/>
      </w:pPr>
      <w:r>
        <w:t xml:space="preserve">Cae la A</w:t>
      </w:r>
    </w:p>
    <w:p>
      <w:pPr>
        <w:pStyle w:val="Normal"/>
      </w:pPr>
      <w:r>
        <w:t xml:space="preserve">Se descarta la que atribuye el comportamiento a las personas. Es la lectura que la estructura desmiente.</w:t>
      </w:r>
    </w:p>
    <w:p>
      <w:pPr>
        <w:pStyle w:val="Fuente"/>
      </w:pPr>
      <w:r>
        <w:t xml:space="preserve">Opciones descartadas: a).</w:t>
      </w:r>
    </w:p>
    <w:p>
      <w:pPr>
        <w:pStyle w:val="Heading3"/>
      </w:pPr>
      <w:r>
        <w:t xml:space="preserve">Cae la C</w:t>
      </w:r>
    </w:p>
    <w:p>
      <w:pPr>
        <w:pStyle w:val="Normal"/>
      </w:pPr>
      <w:r>
        <w:t xml:space="preserve">Se descarta la que confunde estructura con edificio.</w:t>
      </w:r>
    </w:p>
    <w:p>
      <w:pPr>
        <w:pStyle w:val="Fuente"/>
      </w:pPr>
      <w:r>
        <w:t xml:space="preserve">Opciones descartadas: c).</w:t>
      </w:r>
    </w:p>
    <w:p>
      <w:pPr>
        <w:pStyle w:val="Heading3"/>
      </w:pPr>
      <w:r>
        <w:t xml:space="preserve">Cae la D</w:t>
      </w:r>
    </w:p>
    <w:p>
      <w:pPr>
        <w:pStyle w:val="Normal"/>
      </w:pPr>
      <w:r>
        <w:t xml:space="preserve">Se descarta la que prescinde de las relaciones. Sin ellas queda un inventario, no una estructura.</w:t>
      </w:r>
    </w:p>
    <w:p>
      <w:pPr>
        <w:pStyle w:val="Fuente"/>
      </w:pPr>
      <w:r>
        <w:t xml:space="preserve">Opciones descartadas: d).</w:t>
      </w:r>
    </w:p>
    <w:p>
      <w:pPr>
        <w:pStyle w:val="Heading3"/>
      </w:pPr>
      <w:r>
        <w:t xml:space="preserve">Queda la B</w:t>
      </w:r>
    </w:p>
    <w:p>
      <w:pPr>
        <w:pStyle w:val="Normal"/>
      </w:pPr>
      <w:r>
        <w:t xml:space="preserve">Sobrevive la que enlaza patrón de organización con comportamiento recurrente, que es el puente hacia la unidad 3.</w:t>
      </w:r>
    </w:p>
    <w:p>
      <w:pPr>
        <w:pStyle w:val="Normal"/>
      </w:pPr>
      <w:r>
        <w:t xml:space="preserve">a) El comportamiento depende solo de la personalidad de los elementos humanos que participan. — Es la culpabilización de individuos que el pensamiento sistémico corrige: si los problemas surgen de la estructura, cambiar de personas sin cambiar la estructura reproduce el mismo comportamiento.</w:t>
      </w:r>
    </w:p>
    <w:p>
      <w:pPr>
        <w:pStyle w:val="Normal"/>
      </w:pPr>
      <w:r>
        <w:t xml:space="preserve">b) La estructura es el patrón de organización de partes y relaciones; por eso puede generar comportamientos recurrentes. — Define la estructura como patrón de organización —partes más relaciones dentro de una frontera elegida— y saca la consecuencia correcta: por eso genera comportamientos que se repiten.</w:t>
      </w:r>
    </w:p>
    <w:p>
      <w:pPr>
        <w:pStyle w:val="Normal"/>
      </w:pPr>
      <w:r>
        <w:t xml:space="preserve">c) Una estructura es únicamente el edificio físico donde ocurre el sistema. — Confunde estructura con edificio. La estructura de un sistema es un patrón de organización, no un lugar; una topología jerárquica o circular no ocupa ningún espacio.</w:t>
      </w:r>
    </w:p>
    <w:p>
      <w:pPr>
        <w:pStyle w:val="Normal"/>
      </w:pPr>
      <w:r>
        <w:t xml:space="preserve">d) Las relaciones no importan si se identifican correctamente los componentes. — Es la trampa declarada del tema: describir la estructura NO es listar los componentes. Sin relaciones y sin frontera, la lista es un inventario y no explica ningún comportamiento.</w:t>
      </w:r>
    </w:p>
    <w:p>
      <w:pPr>
        <w:pStyle w:val="Normal"/>
      </w:pPr>
      <w:r>
        <w:t xml:space="preserve">Criterio de resolución: La estructura es el patrón de organización de partes y relaciones dentro de una frontera elegida, y es lo que genera el comportamiento. Por eso la topología no es adorno: distinta forma de conectar, distinto comportamiento, aunque las partes sean las mismas. Y por eso también los problemas recurrentes se leen como problemas de estructura antes que como problemas de personas.</w:t>
      </w:r>
    </w:p>
    <w:p>
      <w:pPr>
        <w:pStyle w:val="Fuente"/>
      </w:pPr>
      <w:r>
        <w:t xml:space="preserve">Banco del portal; resolución editorial.</w:t>
      </w:r>
    </w:p>
    <w:p>
      <w:pPr>
        <w:pStyle w:val="Heading3"/>
      </w:pPr>
      <w:bookmarkStart w:name="b_pregunta_sim_19_totalidad_y_parte" w:id="5456"/>
      <w:r>
        <w:t xml:space="preserve">2.19 · 2.4 · Subsistemas y suprasistemas</w:t>
      </w:r>
      <w:bookmarkEnd w:id="5456"/>
    </w:p>
    <w:p>
      <w:pPr>
        <w:pStyle w:val="Normal"/>
      </w:pPr>
      <w:r>
        <w:t xml:space="preserve">Un curso universitario puede verse como sistema; sus grupos de trabajo como subsistemas; y la Escuela o Facultad como suprasistema. ¿Qué idea evalúa esta lectura?</w:t>
      </w:r>
    </w:p>
    <w:p>
      <w:pPr>
        <w:pStyle w:val="Fuente"/>
      </w:pPr>
      <w:r>
        <w:t xml:space="preserve">Ordinal de la fuente: 19.</w:t>
      </w:r>
    </w:p>
    <w:p>
      <w:pPr>
        <w:pStyle w:val="Normal"/>
      </w:pPr>
      <w:r>
        <w:t xml:space="preserve">a) Que todo sistema es a la vez totalidad y parte, según la frontera y la escala elegidas.</w:t>
      </w:r>
    </w:p>
    <w:p>
      <w:pPr>
        <w:pStyle w:val="Normal"/>
      </w:pPr>
      <w:r>
        <w:t xml:space="preserve">b) Que las fronteras son objetivas e independientes de la perspectiva del observador.</w:t>
      </w:r>
    </w:p>
    <w:p>
      <w:pPr>
        <w:pStyle w:val="Normal"/>
      </w:pPr>
      <w:r>
        <w:t xml:space="preserve">c) Que un sistema nunca puede contener otros sistemas.</w:t>
      </w:r>
    </w:p>
    <w:p>
      <w:pPr>
        <w:pStyle w:val="Normal"/>
      </w:pPr>
      <w:r>
        <w:t xml:space="preserve">d) Que el suprasistema siempre es más simple que sus subsistemas.</w:t>
      </w:r>
    </w:p>
    <w:p>
      <w:pPr>
        <w:pStyle w:val="Heading3"/>
      </w:pPr>
      <w:bookmarkStart w:name="b_solucion_sim_19_totalidad_y_parte" w:id="5457"/>
      <w:r>
        <w:t xml:space="preserve">Solución 2.19</w:t>
      </w:r>
      <w:bookmarkEnd w:id="5457"/>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a) Que todo sistema es a la vez totalidad y parte, según la frontera y la escala elegidas.</w:t>
            </w:r>
          </w:p>
        </w:tc>
      </w:tr>
    </w:tbl>
    <w:p>
      <w:pPr>
        <w:pStyle w:val="Heading3"/>
      </w:pPr>
      <w:r>
        <w:t xml:space="preserve">Fíjate en que los rótulos rotan</w:t>
      </w:r>
    </w:p>
    <w:p>
      <w:pPr>
        <w:pStyle w:val="Normal"/>
      </w:pPr>
      <w:r>
        <w:t xml:space="preserve">Un grupo de trabajo es subsistema visto desde el curso y sistema visto por dentro. Los rótulos dependen del recorte, no de la cosa.</w:t>
      </w:r>
    </w:p>
    <w:p>
      <w:pPr>
        <w:pStyle w:val="Heading3"/>
      </w:pPr>
      <w:r>
        <w:t xml:space="preserve">Cae la B</w:t>
      </w:r>
    </w:p>
    <w:p>
      <w:pPr>
        <w:pStyle w:val="Normal"/>
      </w:pPr>
      <w:r>
        <w:t xml:space="preserve">Se descarta la que declara objetivas las fronteras. Las traza el observador con la D y la P de DSRP.</w:t>
      </w:r>
    </w:p>
    <w:p>
      <w:pPr>
        <w:pStyle w:val="Fuente"/>
      </w:pPr>
      <w:r>
        <w:t xml:space="preserve">Opciones descartadas: b).</w:t>
      </w:r>
    </w:p>
    <w:p>
      <w:pPr>
        <w:pStyle w:val="Heading3"/>
      </w:pPr>
      <w:r>
        <w:t xml:space="preserve">Cae la C</w:t>
      </w:r>
    </w:p>
    <w:p>
      <w:pPr>
        <w:pStyle w:val="Normal"/>
      </w:pPr>
      <w:r>
        <w:t xml:space="preserve">Se descarta la que niega la contención, que es justo lo que el ejemplo muestra.</w:t>
      </w:r>
    </w:p>
    <w:p>
      <w:pPr>
        <w:pStyle w:val="Fuente"/>
      </w:pPr>
      <w:r>
        <w:t xml:space="preserve">Opciones descartadas: c).</w:t>
      </w:r>
    </w:p>
    <w:p>
      <w:pPr>
        <w:pStyle w:val="Heading3"/>
      </w:pPr>
      <w:r>
        <w:t xml:space="preserve">Cae la D</w:t>
      </w:r>
    </w:p>
    <w:p>
      <w:pPr>
        <w:pStyle w:val="Normal"/>
      </w:pPr>
      <w:r>
        <w:t xml:space="preserve">Se descarta la que inventa una regla de complejidad por escala.</w:t>
      </w:r>
    </w:p>
    <w:p>
      <w:pPr>
        <w:pStyle w:val="Fuente"/>
      </w:pPr>
      <w:r>
        <w:t xml:space="preserve">Opciones descartadas: d).</w:t>
      </w:r>
    </w:p>
    <w:p>
      <w:pPr>
        <w:pStyle w:val="Heading3"/>
      </w:pPr>
      <w:r>
        <w:t xml:space="preserve">Queda la A</w:t>
      </w:r>
    </w:p>
    <w:p>
      <w:pPr>
        <w:pStyle w:val="Normal"/>
      </w:pPr>
      <w:r>
        <w:t xml:space="preserve">Sobrevive la que dice las dos cosas: totalidad y parte a la vez, según frontera y escala.</w:t>
      </w:r>
    </w:p>
    <w:p>
      <w:pPr>
        <w:pStyle w:val="Normal"/>
      </w:pPr>
      <w:r>
        <w:t xml:space="preserve">a) Que todo sistema es a la vez totalidad y parte, según la frontera y la escala elegidas. — Es la idea del tema: la cadena subsistema </w:t>
      </w:r>
      <w:r>
        <w:rPr>
          <w:rFonts w:ascii="DejaVu Serif" w:cs="DejaVu Serif" w:eastAsia="DejaVu Serif" w:hAnsi="DejaVu Serif"/>
        </w:rPr>
        <w:t xml:space="preserve">⊂</w:t>
      </w:r>
      <w:r>
        <w:t xml:space="preserve"> sistema </w:t>
      </w:r>
      <w:r>
        <w:rPr>
          <w:rFonts w:ascii="DejaVu Serif" w:cs="DejaVu Serif" w:eastAsia="DejaVu Serif" w:hAnsi="DejaVu Serif"/>
        </w:rPr>
        <w:t xml:space="preserve">⊂</w:t>
      </w:r>
      <w:r>
        <w:t xml:space="preserve"> suprasistema no tiene extremo fijo, y lo que en un recorte es todo, en otro es parte. Es lo que Koestler llamó holón, la doble cara de Jano.</w:t>
      </w:r>
    </w:p>
    <w:p>
      <w:pPr>
        <w:pStyle w:val="Normal"/>
      </w:pPr>
      <w:r>
        <w:t xml:space="preserve">b) Que las fronteras son objetivas e independientes de la perspectiva del observador. — Contradice quién elige el nivel. Lo elige el observador, y lo hace con la D y la P de DSRP: traza la frontera y declara desde dónde mira. No hay un nivel «verdadero», hay uno útil para la pregunta.</w:t>
      </w:r>
    </w:p>
    <w:p>
      <w:pPr>
        <w:pStyle w:val="Normal"/>
      </w:pPr>
      <w:r>
        <w:t xml:space="preserve">c) Que un sistema nunca puede contener otros sistemas. — El ejemplo mismo la desmiente: el curso contiene grupos de trabajo, que son sistemas. La contención de sistemas dentro de sistemas es precisamente lo que se está ilustrando.</w:t>
      </w:r>
    </w:p>
    <w:p>
      <w:pPr>
        <w:pStyle w:val="Normal"/>
      </w:pPr>
      <w:r>
        <w:t xml:space="preserve">d) Que el suprasistema siempre es más simple que sus subsistemas. — No hay ninguna regla que ordene la complejidad por escala. La Facultad no es más simple que un grupo de trabajo por estar más arriba en la cadena.</w:t>
      </w:r>
    </w:p>
    <w:p>
      <w:pPr>
        <w:pStyle w:val="Normal"/>
      </w:pPr>
      <w:r>
        <w:t xml:space="preserve">Criterio de resolución: Los tres rótulos del enunciado —subsistema, sistema, suprasistema— no son propiedades de las cosas: son posiciones relativas a un recorte. El mismo grupo de trabajo es sistema si se lo estudia por dentro y subsistema si se lo mira desde el curso. Elegir el nivel no es un trámite previo al análisis: es parte del análisis, y hay que justificar la frontera y el nivel de detalle escogidos.</w:t>
      </w:r>
    </w:p>
    <w:p>
      <w:pPr>
        <w:pStyle w:val="Fuente"/>
      </w:pPr>
      <w:r>
        <w:t xml:space="preserve">Banco del portal; resolución editorial.</w:t>
      </w:r>
    </w:p>
    <w:p>
      <w:pPr>
        <w:pStyle w:val="Heading3"/>
      </w:pPr>
      <w:bookmarkStart w:name="b_pregunta_sim_20_sinergia_y_emergencia" w:id="5458"/>
      <w:r>
        <w:t xml:space="preserve">2.20 · 2.5 · Sinergia y emergencia</w:t>
      </w:r>
      <w:bookmarkEnd w:id="5458"/>
    </w:p>
    <w:p>
      <w:pPr>
        <w:pStyle w:val="Normal"/>
      </w:pPr>
      <w:r>
        <w:t xml:space="preserve">¿Cuál opción diferencia con mayor precisión sinergia y emergencia?</w:t>
      </w:r>
    </w:p>
    <w:p>
      <w:pPr>
        <w:pStyle w:val="Fuente"/>
      </w:pPr>
      <w:r>
        <w:t xml:space="preserve">Ordinal de la fuente: 20.</w:t>
      </w:r>
    </w:p>
    <w:p>
      <w:pPr>
        <w:pStyle w:val="Normal"/>
      </w:pPr>
      <w:r>
        <w:t xml:space="preserve">a) Sinergia es una propiedad individual; emergencia es una suma aritmética de partes.</w:t>
      </w:r>
    </w:p>
    <w:p>
      <w:pPr>
        <w:pStyle w:val="Normal"/>
      </w:pPr>
      <w:r>
        <w:t xml:space="preserve">b) Sinergia nombra la capacidad del conjunto superior a la suma de actuaciones aisladas; emergencia nombra propiedades del todo que no están en las partes individuales.</w:t>
      </w:r>
    </w:p>
    <w:p>
      <w:pPr>
        <w:pStyle w:val="Normal"/>
      </w:pPr>
      <w:r>
        <w:t xml:space="preserve">c) Sinergia y emergencia son sinónimos exactos y no conviene distinguirlos.</w:t>
      </w:r>
    </w:p>
    <w:p>
      <w:pPr>
        <w:pStyle w:val="Normal"/>
      </w:pPr>
      <w:r>
        <w:t xml:space="preserve">d) Emergencia ocurre solo en sistemas cerrados; sinergia solo en montones.</w:t>
      </w:r>
    </w:p>
    <w:p>
      <w:pPr>
        <w:pStyle w:val="Heading3"/>
      </w:pPr>
      <w:bookmarkStart w:name="b_solucion_sim_20_sinergia_y_emergencia" w:id="5459"/>
      <w:r>
        <w:t xml:space="preserve">Solución 2.20</w:t>
      </w:r>
      <w:bookmarkEnd w:id="5459"/>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b) Sinergia nombra la capacidad del conjunto superior a la suma de actuaciones aisladas; emergencia nombra propiedades del todo que no están en las partes individuales.</w:t>
            </w:r>
          </w:p>
        </w:tc>
      </w:tr>
    </w:tbl>
    <w:p>
      <w:pPr>
        <w:pStyle w:val="Heading3"/>
      </w:pPr>
      <w:r>
        <w:t xml:space="preserve">Separa cantidad de cualidad</w:t>
      </w:r>
    </w:p>
    <w:p>
      <w:pPr>
        <w:pStyle w:val="Normal"/>
      </w:pPr>
      <w:r>
        <w:t xml:space="preserve">Sinergia responde «¿cuánto más?»; emergencia responde «¿qué apareció?». Con esa pregunta doble, el reparto se decide solo.</w:t>
      </w:r>
    </w:p>
    <w:p>
      <w:pPr>
        <w:pStyle w:val="Heading3"/>
      </w:pPr>
      <w:r>
        <w:t xml:space="preserve">Cae la C</w:t>
      </w:r>
    </w:p>
    <w:p>
      <w:pPr>
        <w:pStyle w:val="Normal"/>
      </w:pPr>
      <w:r>
        <w:t xml:space="preserve">Se descarta la que las hace sinónimas. Es la trampa declarada del tema y ya se cobró en una evaluación corta.</w:t>
      </w:r>
    </w:p>
    <w:p>
      <w:pPr>
        <w:pStyle w:val="Fuente"/>
      </w:pPr>
      <w:r>
        <w:t xml:space="preserve">Opciones descartadas: c).</w:t>
      </w:r>
    </w:p>
    <w:p>
      <w:pPr>
        <w:pStyle w:val="Heading3"/>
      </w:pPr>
      <w:r>
        <w:t xml:space="preserve">Cae la D</w:t>
      </w:r>
    </w:p>
    <w:p>
      <w:pPr>
        <w:pStyle w:val="Normal"/>
      </w:pPr>
      <w:r>
        <w:t xml:space="preserve">Se descarta la que inventa condiciones: en un montón no hay ninguna de las dos, porque no hay relaciones.</w:t>
      </w:r>
    </w:p>
    <w:p>
      <w:pPr>
        <w:pStyle w:val="Fuente"/>
      </w:pPr>
      <w:r>
        <w:t xml:space="preserve">Opciones descartadas: d).</w:t>
      </w:r>
    </w:p>
    <w:p>
      <w:pPr>
        <w:pStyle w:val="Heading3"/>
      </w:pPr>
      <w:r>
        <w:t xml:space="preserve">Cae la A</w:t>
      </w:r>
    </w:p>
    <w:p>
      <w:pPr>
        <w:pStyle w:val="Normal"/>
      </w:pPr>
      <w:r>
        <w:t xml:space="preserve">Queda el distractor real, que cambia los términos de sitio: hace individual la sinergia y aritmética la emergencia.</w:t>
      </w:r>
    </w:p>
    <w:p>
      <w:pPr>
        <w:pStyle w:val="Fuente"/>
      </w:pPr>
      <w:r>
        <w:t xml:space="preserve">Opciones descartadas: a).</w:t>
      </w:r>
    </w:p>
    <w:p>
      <w:pPr>
        <w:pStyle w:val="Heading3"/>
      </w:pPr>
      <w:r>
        <w:t xml:space="preserve">Queda la B</w:t>
      </w:r>
    </w:p>
    <w:p>
      <w:pPr>
        <w:pStyle w:val="Normal"/>
      </w:pPr>
      <w:r>
        <w:t xml:space="preserve">Sobrevive la que da a cada término su definición: capacidad del conjunto por encima de la suma, y propiedades del todo ausentes en las partes.</w:t>
      </w:r>
    </w:p>
    <w:p>
      <w:pPr>
        <w:pStyle w:val="Normal"/>
      </w:pPr>
      <w:r>
        <w:t xml:space="preserve">a) Sinergia es una propiedad individual; emergencia es una suma aritmética de partes. — Invierte los dos términos: la sinergia es del conjunto, no individual, y la emergencia es precisamente lo que NO se obtiene sumando. Es el distractor que castiga saber los nombres sin las definiciones.</w:t>
      </w:r>
    </w:p>
    <w:p>
      <w:pPr>
        <w:pStyle w:val="Normal"/>
      </w:pPr>
      <w:r>
        <w:t xml:space="preserve">b) Sinergia nombra la capacidad del conjunto superior a la suma de actuaciones aisladas; emergencia nombra propiedades del todo que no están en las partes individuales. — Reparte bien: sinergia es cuantitativa —el todo rinde más que la suma de las partes, «uno más uno es tres»— y emergencia es cualitativa —aparece una propiedad que ninguna parte tenía—. Las dos nacen de las interacciones.</w:t>
      </w:r>
    </w:p>
    <w:p>
      <w:pPr>
        <w:pStyle w:val="Normal"/>
      </w:pPr>
      <w:r>
        <w:t xml:space="preserve">c) Sinergia y emergencia son sinónimos exactos y no conviene distinguirlos. — Es la confusión que ya se cobró en la segunda evaluación corta. Tienen el mismo origen, las interacciones, pero no son lo mismo: una mide más, la otra trae algo distinto.</w:t>
      </w:r>
    </w:p>
    <w:p>
      <w:pPr>
        <w:pStyle w:val="Normal"/>
      </w:pPr>
      <w:r>
        <w:t xml:space="preserve">d) Emergencia ocurre solo en sistemas cerrados; sinergia solo en montones. — Inventa condiciones falsas. En un montón no hay ni sinergia ni emergencia, porque no hay relaciones, y la emergencia no exige que el sistema sea cerrado.</w:t>
      </w:r>
    </w:p>
    <w:p>
      <w:pPr>
        <w:pStyle w:val="Normal"/>
      </w:pPr>
      <w:r>
        <w:t xml:space="preserve">Criterio de resolución: Ambas nacen de las interacciones y no de las partes, y ahí acaba el parecido. La sinergia es cuantitativa: el conjunto rinde más que la suma de las actuaciones aisladas. La emergencia es cualitativa: aparece una propiedad del todo que ninguna parte tenía y que sólo se ve cuando se mira la totalidad. En el mosaico de la clase 8, la sinergia es que las teselas relacionadas rindan más que sueltas; la emergencia es la mariposa.</w:t>
      </w:r>
    </w:p>
    <w:p>
      <w:pPr>
        <w:pStyle w:val="Fuente"/>
      </w:pPr>
      <w:r>
        <w:t xml:space="preserve">Banco del portal; resolución editorial.</w:t>
      </w:r>
    </w:p>
    <w:p>
      <w:pPr>
        <w:pStyle w:val="Heading3"/>
      </w:pPr>
      <w:bookmarkStart w:name="b_pregunta_sim_21_complicado_no_5db46342" w:id="5460"/>
      <w:r>
        <w:t xml:space="preserve">2.21 · 2.6 · Complejo vs complicado</w:t>
      </w:r>
      <w:bookmarkEnd w:id="5460"/>
    </w:p>
    <w:p>
      <w:pPr>
        <w:pStyle w:val="Normal"/>
      </w:pPr>
      <w:r>
        <w:t xml:space="preserve">Un reloj mecánico de muchas piezas funciona de forma altamente precisa y predecible si sus componentes están bien ensamblados. ¿Qué lectura es más coherente con el curso?</w:t>
      </w:r>
    </w:p>
    <w:p>
      <w:pPr>
        <w:pStyle w:val="Fuente"/>
      </w:pPr>
      <w:r>
        <w:t xml:space="preserve">Ordinal de la fuente: 21.</w:t>
      </w:r>
    </w:p>
    <w:p>
      <w:pPr>
        <w:pStyle w:val="Normal"/>
      </w:pPr>
      <w:r>
        <w:t xml:space="preserve">a) Es necesariamente un sistema adaptativo complejo por tener muchas piezas.</w:t>
      </w:r>
    </w:p>
    <w:p>
      <w:pPr>
        <w:pStyle w:val="Normal"/>
      </w:pPr>
      <w:r>
        <w:t xml:space="preserve">b) Es complicado, pero no necesariamente complejo en sentido sistémico si no aprende, no se autoorganiza y su comportamiento es predecible.</w:t>
      </w:r>
    </w:p>
    <w:p>
      <w:pPr>
        <w:pStyle w:val="Normal"/>
      </w:pPr>
      <w:r>
        <w:t xml:space="preserve">c) Es un sistema natural, porque sus piezas se mueven sin intervención humana.</w:t>
      </w:r>
    </w:p>
    <w:p>
      <w:pPr>
        <w:pStyle w:val="Normal"/>
      </w:pPr>
      <w:r>
        <w:t xml:space="preserve">d) Es complejo solo si pesa más que otros objetos diseñados.</w:t>
      </w:r>
    </w:p>
    <w:p>
      <w:pPr>
        <w:pStyle w:val="Heading3"/>
      </w:pPr>
      <w:bookmarkStart w:name="b_solucion_sim_21_complicado_no_4e310147" w:id="5461"/>
      <w:r>
        <w:t xml:space="preserve">Solución 2.21</w:t>
      </w:r>
      <w:bookmarkEnd w:id="5461"/>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b) Es complicado, pero no necesariamente complejo en sentido sistémico si no aprende, no se autoorganiza y su comportamiento es predecible.</w:t>
            </w:r>
          </w:p>
        </w:tc>
      </w:tr>
    </w:tbl>
    <w:p>
      <w:pPr>
        <w:pStyle w:val="Heading3"/>
      </w:pPr>
      <w:r>
        <w:t xml:space="preserve">Cambia el criterio</w:t>
      </w:r>
    </w:p>
    <w:p>
      <w:pPr>
        <w:pStyle w:val="Normal"/>
      </w:pPr>
      <w:r>
        <w:t xml:space="preserve">La pregunta invita a contar piezas. El criterio del curso no es el número: es la no linealidad, el aprendizaje y la autoorganización.</w:t>
      </w:r>
    </w:p>
    <w:p>
      <w:pPr>
        <w:pStyle w:val="Heading3"/>
      </w:pPr>
      <w:r>
        <w:t xml:space="preserve">Cae la A</w:t>
      </w:r>
    </w:p>
    <w:p>
      <w:pPr>
        <w:pStyle w:val="Normal"/>
      </w:pPr>
      <w:r>
        <w:t xml:space="preserve">Se descarta la que deduce complejidad del número de piezas.</w:t>
      </w:r>
    </w:p>
    <w:p>
      <w:pPr>
        <w:pStyle w:val="Fuente"/>
      </w:pPr>
      <w:r>
        <w:t xml:space="preserve">Opciones descartadas: a).</w:t>
      </w:r>
    </w:p>
    <w:p>
      <w:pPr>
        <w:pStyle w:val="Heading3"/>
      </w:pPr>
      <w:r>
        <w:t xml:space="preserve">Cae la C</w:t>
      </w:r>
    </w:p>
    <w:p>
      <w:pPr>
        <w:pStyle w:val="Normal"/>
      </w:pPr>
      <w:r>
        <w:t xml:space="preserve">Se descarta la que reclasifica el reloj como natural. Es un artefacto con un fin: sistema físico diseñado.</w:t>
      </w:r>
    </w:p>
    <w:p>
      <w:pPr>
        <w:pStyle w:val="Fuente"/>
      </w:pPr>
      <w:r>
        <w:t xml:space="preserve">Opciones descartadas: c).</w:t>
      </w:r>
    </w:p>
    <w:p>
      <w:pPr>
        <w:pStyle w:val="Heading3"/>
      </w:pPr>
      <w:r>
        <w:t xml:space="preserve">Cae la D</w:t>
      </w:r>
    </w:p>
    <w:p>
      <w:pPr>
        <w:pStyle w:val="Normal"/>
      </w:pPr>
      <w:r>
        <w:t xml:space="preserve">Se descarta la que propone el peso como criterio.</w:t>
      </w:r>
    </w:p>
    <w:p>
      <w:pPr>
        <w:pStyle w:val="Fuente"/>
      </w:pPr>
      <w:r>
        <w:t xml:space="preserve">Opciones descartadas: d).</w:t>
      </w:r>
    </w:p>
    <w:p>
      <w:pPr>
        <w:pStyle w:val="Heading3"/>
      </w:pPr>
      <w:r>
        <w:t xml:space="preserve">Queda la B</w:t>
      </w:r>
    </w:p>
    <w:p>
      <w:pPr>
        <w:pStyle w:val="Normal"/>
      </w:pPr>
      <w:r>
        <w:t xml:space="preserve">Sobrevive la única que nombra los tres criterios y concluye complicado, no complejo.</w:t>
      </w:r>
    </w:p>
    <w:p>
      <w:pPr>
        <w:pStyle w:val="Normal"/>
      </w:pPr>
      <w:r>
        <w:t xml:space="preserve">a) Es necesariamente un sistema adaptativo complejo por tener muchas piezas. — Confunde cantidad de piezas con complejidad. Un avión es complicadísimo y sigue siendo predecible; un mercado tiene menos piezas y es impredecible.</w:t>
      </w:r>
    </w:p>
    <w:p>
      <w:pPr>
        <w:pStyle w:val="Normal"/>
      </w:pPr>
      <w:r>
        <w:t xml:space="preserve">b) Es complicado, pero no necesariamente complejo en sentido sistémico si no aprende, no se autoorganiza y su comportamiento es predecible. — Aplica los tres criterios correctos: predecibilidad, aprendizaje y autoorganización. Sin ellos hay complicación —muchas piezas, relaciones claras— pero no complejidad en sentido sistémico.</w:t>
      </w:r>
    </w:p>
    <w:p>
      <w:pPr>
        <w:pStyle w:val="Normal"/>
      </w:pPr>
      <w:r>
        <w:t xml:space="preserve">c) Es un sistema natural, porque sus piezas se mueven sin intervención humana. — Un reloj es un artefacto tangible hecho con un fin: sistema físico diseñado en el mapa de Checkland. Que funcione solo una vez montado no lo hace natural.</w:t>
      </w:r>
    </w:p>
    <w:p>
      <w:pPr>
        <w:pStyle w:val="Normal"/>
      </w:pPr>
      <w:r>
        <w:t xml:space="preserve">d) Es complejo solo si pesa más que otros objetos diseñados. — El peso no es un criterio de nada en la clasificación del curso.</w:t>
      </w:r>
    </w:p>
    <w:p>
      <w:pPr>
        <w:pStyle w:val="Normal"/>
      </w:pPr>
      <w:r>
        <w:t xml:space="preserve">Criterio de resolución: Los tres grados del tema son simple, complejo y adaptativo complejo, y lo que los separa no es el número de partes. Simple: pocas partes, relaciones claras, comportamiento predecible. Complejo: muchas interacciones y no linealidad. Adaptativo complejo: además aprende, se autoorganiza y modela su entorno. El reloj tiene muchísimas piezas y sigue siendo predecible, así que es complicado y no complejo.</w:t>
      </w:r>
    </w:p>
    <w:p>
      <w:pPr>
        <w:pStyle w:val="Fuente"/>
      </w:pPr>
      <w:r>
        <w:t xml:space="preserve">Banco del portal; resolución editorial.</w:t>
      </w:r>
    </w:p>
    <w:p>
      <w:pPr>
        <w:pStyle w:val="Heading3"/>
      </w:pPr>
      <w:bookmarkStart w:name="b_pregunta_sim_22_equilibrio_si_a7fbde32" w:id="5462"/>
      <w:r>
        <w:t xml:space="preserve">2.22 · 2.6 · Sistemas adaptativos complejos</w:t>
      </w:r>
      <w:bookmarkEnd w:id="5462"/>
    </w:p>
    <w:p>
      <w:pPr>
        <w:pStyle w:val="Normal"/>
      </w:pPr>
      <w:r>
        <w:t xml:space="preserve">La lámina de sistemas adaptativos complejos afirma que «no hay equilibrio, pues siempre se está en transformación; el equilibrio significaría muerte». ¿Qué interpretación es más adecuada?</w:t>
      </w:r>
    </w:p>
    <w:p>
      <w:pPr>
        <w:pStyle w:val="Fuente"/>
      </w:pPr>
      <w:r>
        <w:t xml:space="preserve">Ordinal de la fuente: 22.</w:t>
      </w:r>
    </w:p>
    <w:p>
      <w:pPr>
        <w:pStyle w:val="Normal"/>
      </w:pPr>
      <w:r>
        <w:t xml:space="preserve">a) El sistema adaptativo sano permanece totalmente inmóvil.</w:t>
      </w:r>
    </w:p>
    <w:p>
      <w:pPr>
        <w:pStyle w:val="Normal"/>
      </w:pPr>
      <w:r>
        <w:t xml:space="preserve">b) En sistemas vivos o adaptativos, sostenerse implica transformación, aprendizaje y autoorganización continuos, no quietud final.</w:t>
      </w:r>
    </w:p>
    <w:p>
      <w:pPr>
        <w:pStyle w:val="Normal"/>
      </w:pPr>
      <w:r>
        <w:t xml:space="preserve">c) Todo equilibrio dinámico debe eliminarse porque es igual a caos.</w:t>
      </w:r>
    </w:p>
    <w:p>
      <w:pPr>
        <w:pStyle w:val="Normal"/>
      </w:pPr>
      <w:r>
        <w:t xml:space="preserve">d) La adaptación consiste en regresar exactamente al estado inicial sin aprender.</w:t>
      </w:r>
    </w:p>
    <w:p>
      <w:pPr>
        <w:pStyle w:val="Heading3"/>
      </w:pPr>
      <w:bookmarkStart w:name="b_solucion_sim_22_equilibrio_si_07f09249" w:id="5463"/>
      <w:r>
        <w:t xml:space="preserve">Solución 2.22</w:t>
      </w:r>
      <w:bookmarkEnd w:id="5463"/>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b) En sistemas vivos o adaptativos, sostenerse implica transformación, aprendizaje y autoorganización continuos, no quietud final.</w:t>
            </w:r>
          </w:p>
        </w:tc>
      </w:tr>
    </w:tbl>
    <w:p>
      <w:pPr>
        <w:pStyle w:val="Heading3"/>
      </w:pPr>
      <w:r>
        <w:t xml:space="preserve">Lee la quinta con las otras cuatro</w:t>
      </w:r>
    </w:p>
    <w:p>
      <w:pPr>
        <w:pStyle w:val="Normal"/>
      </w:pPr>
      <w:r>
        <w:t xml:space="preserve">La frase aislada suena a paradoja. Junto a «aprende a la vez que se autorganiza» y «modelan su entorno», dice algo simple: sostenerse es transformarse.</w:t>
      </w:r>
    </w:p>
    <w:p>
      <w:pPr>
        <w:pStyle w:val="Heading3"/>
      </w:pPr>
      <w:r>
        <w:t xml:space="preserve">Cae la A</w:t>
      </w:r>
    </w:p>
    <w:p>
      <w:pPr>
        <w:pStyle w:val="Normal"/>
      </w:pPr>
      <w:r>
        <w:t xml:space="preserve">Se descarta la que propone inmovilidad, que es lo que la lámina llama muerte.</w:t>
      </w:r>
    </w:p>
    <w:p>
      <w:pPr>
        <w:pStyle w:val="Fuente"/>
      </w:pPr>
      <w:r>
        <w:t xml:space="preserve">Opciones descartadas: a).</w:t>
      </w:r>
    </w:p>
    <w:p>
      <w:pPr>
        <w:pStyle w:val="Heading3"/>
      </w:pPr>
      <w:r>
        <w:t xml:space="preserve">Cae la C</w:t>
      </w:r>
    </w:p>
    <w:p>
      <w:pPr>
        <w:pStyle w:val="Normal"/>
      </w:pPr>
      <w:r>
        <w:t xml:space="preserve">Se descarta la que borra el equilibrio dinámico. La homeostasis sí es del curso y no es lo mismo que el equilibrio estático.</w:t>
      </w:r>
    </w:p>
    <w:p>
      <w:pPr>
        <w:pStyle w:val="Fuente"/>
      </w:pPr>
      <w:r>
        <w:t xml:space="preserve">Opciones descartadas: c).</w:t>
      </w:r>
    </w:p>
    <w:p>
      <w:pPr>
        <w:pStyle w:val="Heading3"/>
      </w:pPr>
      <w:r>
        <w:t xml:space="preserve">Cae la D</w:t>
      </w:r>
    </w:p>
    <w:p>
      <w:pPr>
        <w:pStyle w:val="Normal"/>
      </w:pPr>
      <w:r>
        <w:t xml:space="preserve">Se descarta la que quita el aprendizaje, que es lo que distingue al CAS de un complejo cualquiera.</w:t>
      </w:r>
    </w:p>
    <w:p>
      <w:pPr>
        <w:pStyle w:val="Fuente"/>
      </w:pPr>
      <w:r>
        <w:t xml:space="preserve">Opciones descartadas: d).</w:t>
      </w:r>
    </w:p>
    <w:p>
      <w:pPr>
        <w:pStyle w:val="Heading3"/>
      </w:pPr>
      <w:r>
        <w:t xml:space="preserve">Queda la B</w:t>
      </w:r>
    </w:p>
    <w:p>
      <w:pPr>
        <w:pStyle w:val="Normal"/>
      </w:pPr>
      <w:r>
        <w:t xml:space="preserve">Sobrevive la que junta transformación, aprendizaje y autoorganización como forma de sostenerse.</w:t>
      </w:r>
    </w:p>
    <w:p>
      <w:pPr>
        <w:pStyle w:val="Normal"/>
      </w:pPr>
      <w:r>
        <w:t xml:space="preserve">a) El sistema adaptativo sano permanece totalmente inmóvil. — Dice exactamente lo que la lámina niega. Si el equilibrio significaría muerte, la inmovilidad no puede ser el estado sano.</w:t>
      </w:r>
    </w:p>
    <w:p>
      <w:pPr>
        <w:pStyle w:val="Normal"/>
      </w:pPr>
      <w:r>
        <w:t xml:space="preserve">b) En sistemas vivos o adaptativos, sostenerse implica transformación, aprendizaje y autoorganización continuos, no quietud final. — Lee la quinta característica junto con la primera y la tercera: el sistema se adapta a su entorno aprendiendo a la vez que se autoorganiza, y modela su entorno observando, probando ideas y descartándolas, siempre evolucionando. Sostenerse es transformarse.</w:t>
      </w:r>
    </w:p>
    <w:p>
      <w:pPr>
        <w:pStyle w:val="Normal"/>
      </w:pPr>
      <w:r>
        <w:t xml:space="preserve">c) Todo equilibrio dinámico debe eliminarse porque es igual a caos. — Confunde el equilibrio estático que la lámina rechaza con la homeostasis, que es equilibrio dinámico y sí es un concepto del curso: el sistema se mantiene estable ajustándose, no quedándose quieto.</w:t>
      </w:r>
    </w:p>
    <w:p>
      <w:pPr>
        <w:pStyle w:val="Normal"/>
      </w:pPr>
      <w:r>
        <w:t xml:space="preserve">d) La adaptación consiste en regresar exactamente al estado inicial sin aprender. — Niega el aprendizaje, que es justamente lo que define a un sistema adaptativo complejo frente a uno meramente complejo.</w:t>
      </w:r>
    </w:p>
    <w:p>
      <w:pPr>
        <w:pStyle w:val="Normal"/>
      </w:pPr>
      <w:r>
        <w:t xml:space="preserve">Criterio de resolución: La quinta de las cinco características de la lámina 14 dice, literal, «No hay equilibrio, pues siempre se está en transformación, el equilibrio significaría muerte». Hay que leerla con las otras cuatro: el CAS se adapta aprendiendo a la vez que se autoorganiza, y modela su entorno probando y descartando ideas. Y hay que no confundirla con la homeostasis del tema 2.8, que no es inmovilidad sino equilibrio dinámico.</w:t>
      </w:r>
    </w:p>
    <w:p>
      <w:pPr>
        <w:pStyle w:val="Fuente"/>
      </w:pPr>
      <w:r>
        <w:t xml:space="preserve">Banco del portal; resolución editorial.</w:t>
      </w:r>
    </w:p>
    <w:p>
      <w:pPr>
        <w:pStyle w:val="Heading3"/>
      </w:pPr>
      <w:bookmarkStart w:name="b_pregunta_sim_23_cuatro_famili_013c292e" w:id="5464"/>
      <w:r>
        <w:t xml:space="preserve">2.23 · 2.7 · Universo como conjunto de sistemas</w:t>
      </w:r>
      <w:bookmarkEnd w:id="5464"/>
    </w:p>
    <w:p>
      <w:pPr>
        <w:pStyle w:val="Normal"/>
      </w:pPr>
      <w:r>
        <w:t xml:space="preserve">¿Cuál clasificación es más consistente con el mapa de Checkland usado en el curso?</w:t>
      </w:r>
    </w:p>
    <w:p>
      <w:pPr>
        <w:pStyle w:val="Fuente"/>
      </w:pPr>
      <w:r>
        <w:t xml:space="preserve">Ordinal de la fuente: 23.</w:t>
      </w:r>
    </w:p>
    <w:p>
      <w:pPr>
        <w:pStyle w:val="Normal"/>
      </w:pPr>
      <w:r>
        <w:t xml:space="preserve">a) Respiración humana: sistema físico diseñado; reglamento de tránsito: sistema natural; universidad: sistema abstracto diseñado.</w:t>
      </w:r>
    </w:p>
    <w:p>
      <w:pPr>
        <w:pStyle w:val="Normal"/>
      </w:pPr>
      <w:r>
        <w:t xml:space="preserve">b) Sistema respiratorio: sistema natural; bicicleta o computadora: sistema físico diseñado; paradigma o algoritmo: sistema abstracto diseñado; universidad o familia: sistema de actividad humana.</w:t>
      </w:r>
    </w:p>
    <w:p>
      <w:pPr>
        <w:pStyle w:val="Normal"/>
      </w:pPr>
      <w:r>
        <w:t xml:space="preserve">c) Mercado laboral: sistema natural; corazón artificial: sistema de actividad humana; modelo mental: sistema físico diseñado.</w:t>
      </w:r>
    </w:p>
    <w:p>
      <w:pPr>
        <w:pStyle w:val="Normal"/>
      </w:pPr>
      <w:r>
        <w:t xml:space="preserve">d) Todos los ejemplos humanos se clasifican automáticamente como sistemas naturales.</w:t>
      </w:r>
    </w:p>
    <w:p>
      <w:pPr>
        <w:pStyle w:val="Heading3"/>
      </w:pPr>
      <w:bookmarkStart w:name="b_solucion_sim_23_cuatro_famili_5078896b" w:id="5465"/>
      <w:r>
        <w:t xml:space="preserve">Solución 2.23</w:t>
      </w:r>
      <w:bookmarkEnd w:id="5465"/>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b) Sistema respiratorio: sistema natural; bicicleta o computadora: sistema físico diseñado; paradigma o algoritmo: sistema abstracto diseñado; universidad o familia: sistema de actividad humana.</w:t>
            </w:r>
          </w:p>
        </w:tc>
      </w:tr>
    </w:tbl>
    <w:p>
      <w:pPr>
        <w:pStyle w:val="Heading3"/>
      </w:pPr>
      <w:r>
        <w:t xml:space="preserve">Aplica las tres preguntas</w:t>
      </w:r>
    </w:p>
    <w:p>
      <w:pPr>
        <w:pStyle w:val="Normal"/>
      </w:pPr>
      <w:r>
        <w:t xml:space="preserve">¿Del universo o de alguien? ¿De materia o de ideas? ¿De quién es el propósito? Con eso se clasifica cualquier ejemplo sin memorizar listas.</w:t>
      </w:r>
    </w:p>
    <w:p>
      <w:pPr>
        <w:pStyle w:val="Heading3"/>
      </w:pPr>
      <w:r>
        <w:t xml:space="preserve">Cae la D</w:t>
      </w:r>
    </w:p>
    <w:p>
      <w:pPr>
        <w:pStyle w:val="Normal"/>
      </w:pPr>
      <w:r>
        <w:t xml:space="preserve">Se descarta la que llama natural a lo humano, cuando natural significa no creado por el ser humano.</w:t>
      </w:r>
    </w:p>
    <w:p>
      <w:pPr>
        <w:pStyle w:val="Fuente"/>
      </w:pPr>
      <w:r>
        <w:t xml:space="preserve">Opciones descartadas: d).</w:t>
      </w:r>
    </w:p>
    <w:p>
      <w:pPr>
        <w:pStyle w:val="Heading3"/>
      </w:pPr>
      <w:r>
        <w:t xml:space="preserve">Cae la A</w:t>
      </w:r>
    </w:p>
    <w:p>
      <w:pPr>
        <w:pStyle w:val="Normal"/>
      </w:pPr>
      <w:r>
        <w:t xml:space="preserve">Se descarta la que hace diseñada la respiración y natural un reglamento: invierte origen y materia.</w:t>
      </w:r>
    </w:p>
    <w:p>
      <w:pPr>
        <w:pStyle w:val="Fuente"/>
      </w:pPr>
      <w:r>
        <w:t xml:space="preserve">Opciones descartadas: a).</w:t>
      </w:r>
    </w:p>
    <w:p>
      <w:pPr>
        <w:pStyle w:val="Heading3"/>
      </w:pPr>
      <w:r>
        <w:t xml:space="preserve">Cae la C</w:t>
      </w:r>
    </w:p>
    <w:p>
      <w:pPr>
        <w:pStyle w:val="Normal"/>
      </w:pPr>
      <w:r>
        <w:t xml:space="preserve">Se descarta la que da materia a un modelo mental y quita el artefacto al corazón artificial.</w:t>
      </w:r>
    </w:p>
    <w:p>
      <w:pPr>
        <w:pStyle w:val="Fuente"/>
      </w:pPr>
      <w:r>
        <w:t xml:space="preserve">Opciones descartadas: c).</w:t>
      </w:r>
    </w:p>
    <w:p>
      <w:pPr>
        <w:pStyle w:val="Heading3"/>
      </w:pPr>
      <w:r>
        <w:t xml:space="preserve">Queda la B</w:t>
      </w:r>
    </w:p>
    <w:p>
      <w:pPr>
        <w:pStyle w:val="Normal"/>
      </w:pPr>
      <w:r>
        <w:t xml:space="preserve">Sobrevive la única que cubre las cuatro familias y coloca los paradigmas entre los abstractos diseñados.</w:t>
      </w:r>
    </w:p>
    <w:p>
      <w:pPr>
        <w:pStyle w:val="Normal"/>
      </w:pPr>
      <w:r>
        <w:t xml:space="preserve">a) Respiración humana: sistema físico diseñado; reglamento de tránsito: sistema natural; universidad: sistema abstracto diseñado. — Falla las tres: la respiración no la diseñó nadie, un reglamento es producto ordenado de la mente y no del universo, y una universidad es de actividad humana porque su propósito se interpreta.</w:t>
      </w:r>
    </w:p>
    <w:p>
      <w:pPr>
        <w:pStyle w:val="Normal"/>
      </w:pPr>
      <w:r>
        <w:t xml:space="preserve">b) Sistema respiratorio: sistema natural; bicicleta o computadora: sistema físico diseñado; paradigma o algoritmo: sistema abstracto diseñado; universidad o familia: sistema de actividad humana. — Es el mapa completo y bien repartido: natural lo que surge del universo y la evolución, físico diseñado el artefacto tangible con un fin, abstracto diseñado el producto ordenado de la mente —donde viven los paradigmas de la unidad 1— y de actividad humana aquello cuyo propósito depende de la cosmovisión del observador.</w:t>
      </w:r>
    </w:p>
    <w:p>
      <w:pPr>
        <w:pStyle w:val="Normal"/>
      </w:pPr>
      <w:r>
        <w:t xml:space="preserve">c) Mercado laboral: sistema natural; corazón artificial: sistema de actividad humana; modelo mental: sistema físico diseñado. — Falla las tres en el sentido contrario: el mercado laboral lo hacen personas, el corazón artificial es un artefacto tangible y un modelo mental no tiene materia.</w:t>
      </w:r>
    </w:p>
    <w:p>
      <w:pPr>
        <w:pStyle w:val="Normal"/>
      </w:pPr>
      <w:r>
        <w:t xml:space="preserve">d) Todos los ejemplos humanos se clasifican automáticamente como sistemas naturales. — Contradice de raíz la clasificación: lo natural es precisamente lo NO creado por el ser humano.</w:t>
      </w:r>
    </w:p>
    <w:p>
      <w:pPr>
        <w:pStyle w:val="Normal"/>
      </w:pPr>
      <w:r>
        <w:t xml:space="preserve">Criterio de resolución: Checkland ordena el universo en cuatro familias con tres preguntas: ¿de dónde proviene el sistema, del universo o de alguien?, ¿de qué está hecho, de materia o de ideas?, ¿tiene propósito y de quién es? Naturales, para aprender de ellos; físicos diseñados y abstractos diseñados, para usarlos; de actividad humana, para buscar cómo ingeniarlos. La tercera familia es la que se estudió durante toda la unidad 1, y una universidad o una familia son de la cuarta porque su propósito es interpretable y depende de la Weltanschauung del observador.</w:t>
      </w:r>
    </w:p>
    <w:p>
      <w:pPr>
        <w:pStyle w:val="Fuente"/>
      </w:pPr>
      <w:r>
        <w:t xml:space="preserve">Banco del portal; resolución editorial.</w:t>
      </w:r>
    </w:p>
    <w:p>
      <w:pPr>
        <w:pStyle w:val="Heading3"/>
      </w:pPr>
      <w:bookmarkStart w:name="b_pregunta_sim_24_homeostasis_e_f9a57d13" w:id="5466"/>
      <w:r>
        <w:t xml:space="preserve">2.24 · 2.8 · Homeostasis, entropía y neguentropía</w:t>
      </w:r>
      <w:bookmarkEnd w:id="5466"/>
    </w:p>
    <w:p>
      <w:pPr>
        <w:pStyle w:val="Normal"/>
      </w:pPr>
      <w:r>
        <w:t xml:space="preserve">Una empresa mantiene su saldo evitando que los gastos superen ingresos, pero con el tiempo sus procesos se desordenan y debe invertir en capacitación y reorganización. ¿Cuál lectura integra mejor los conceptos?</w:t>
      </w:r>
    </w:p>
    <w:p>
      <w:pPr>
        <w:pStyle w:val="Fuente"/>
      </w:pPr>
      <w:r>
        <w:t xml:space="preserve">Ordinal de la fuente: 24.</w:t>
      </w:r>
    </w:p>
    <w:p>
      <w:pPr>
        <w:pStyle w:val="Normal"/>
      </w:pPr>
      <w:r>
        <w:t xml:space="preserve">a) Homeostasis: equilibrio dinámico del saldo; entropía: deterioro de relaciones/procesos; neguentropía: acciones que contrarrestan el desorden.</w:t>
      </w:r>
    </w:p>
    <w:p>
      <w:pPr>
        <w:pStyle w:val="Normal"/>
      </w:pPr>
      <w:r>
        <w:t xml:space="preserve">b) Homeostasis: crecimiento ilimitado; entropía: mejora automática; neguentropía: rechazo a toda entrada externa.</w:t>
      </w:r>
    </w:p>
    <w:p>
      <w:pPr>
        <w:pStyle w:val="Normal"/>
      </w:pPr>
      <w:r>
        <w:t xml:space="preserve">c) Homeostasis: cierre del sistema; entropía: propiedad emergente positiva; neguentropía: causa lineal única.</w:t>
      </w:r>
    </w:p>
    <w:p>
      <w:pPr>
        <w:pStyle w:val="Normal"/>
      </w:pPr>
      <w:r>
        <w:t xml:space="preserve">d) Homeostasis, entropía y neguentropía son tres nombres para el mismo fenómeno.</w:t>
      </w:r>
    </w:p>
    <w:p>
      <w:pPr>
        <w:pStyle w:val="Heading3"/>
      </w:pPr>
      <w:bookmarkStart w:name="b_solucion_sim_24_homeostasis_e_96d12447" w:id="5467"/>
      <w:r>
        <w:t xml:space="preserve">Solución 2.24</w:t>
      </w:r>
      <w:bookmarkEnd w:id="5467"/>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a) Homeostasis: equilibrio dinámico del saldo; entropía: deterioro de relaciones/procesos; neguentropía: acciones que contrarrestan el desorden.</w:t>
            </w:r>
          </w:p>
        </w:tc>
      </w:tr>
    </w:tbl>
    <w:p>
      <w:pPr>
        <w:pStyle w:val="Heading3"/>
      </w:pPr>
      <w:r>
        <w:t xml:space="preserve">Empareja hecho con concepto</w:t>
      </w:r>
    </w:p>
    <w:p>
      <w:pPr>
        <w:pStyle w:val="Normal"/>
      </w:pPr>
      <w:r>
        <w:t xml:space="preserve">El enunciado trae tres hechos en orden: saldo sostenido, procesos que se desordenan, inversión en reorganizar. Cada uno tiene su nombre.</w:t>
      </w:r>
    </w:p>
    <w:p>
      <w:pPr>
        <w:pStyle w:val="Heading3"/>
      </w:pPr>
      <w:r>
        <w:t xml:space="preserve">Cae la B</w:t>
      </w:r>
    </w:p>
    <w:p>
      <w:pPr>
        <w:pStyle w:val="Normal"/>
      </w:pPr>
      <w:r>
        <w:t xml:space="preserve">Se descarta la que invierte los tres: homeostasis no es crecimiento y la entropía no mejora nada.</w:t>
      </w:r>
    </w:p>
    <w:p>
      <w:pPr>
        <w:pStyle w:val="Fuente"/>
      </w:pPr>
      <w:r>
        <w:t xml:space="preserve">Opciones descartadas: b).</w:t>
      </w:r>
    </w:p>
    <w:p>
      <w:pPr>
        <w:pStyle w:val="Heading3"/>
      </w:pPr>
      <w:r>
        <w:t xml:space="preserve">Cae la C</w:t>
      </w:r>
    </w:p>
    <w:p>
      <w:pPr>
        <w:pStyle w:val="Normal"/>
      </w:pPr>
      <w:r>
        <w:t xml:space="preserve">Se descarta la que cierra el sistema y llama positiva a la entropía.</w:t>
      </w:r>
    </w:p>
    <w:p>
      <w:pPr>
        <w:pStyle w:val="Fuente"/>
      </w:pPr>
      <w:r>
        <w:t xml:space="preserve">Opciones descartadas: c).</w:t>
      </w:r>
    </w:p>
    <w:p>
      <w:pPr>
        <w:pStyle w:val="Heading3"/>
      </w:pPr>
      <w:r>
        <w:t xml:space="preserve">Cae la D</w:t>
      </w:r>
    </w:p>
    <w:p>
      <w:pPr>
        <w:pStyle w:val="Normal"/>
      </w:pPr>
      <w:r>
        <w:t xml:space="preserve">Se descarta la que funde tres conceptos distintos en uno.</w:t>
      </w:r>
    </w:p>
    <w:p>
      <w:pPr>
        <w:pStyle w:val="Fuente"/>
      </w:pPr>
      <w:r>
        <w:t xml:space="preserve">Opciones descartadas: d).</w:t>
      </w:r>
    </w:p>
    <w:p>
      <w:pPr>
        <w:pStyle w:val="Heading3"/>
      </w:pPr>
      <w:r>
        <w:t xml:space="preserve">Queda la A</w:t>
      </w:r>
    </w:p>
    <w:p>
      <w:pPr>
        <w:pStyle w:val="Normal"/>
      </w:pPr>
      <w:r>
        <w:t xml:space="preserve">Sobrevive el reparto correcto: equilibrio dinámico, deterioro de relaciones y acciones que devuelven orden.</w:t>
      </w:r>
    </w:p>
    <w:p>
      <w:pPr>
        <w:pStyle w:val="Normal"/>
      </w:pPr>
      <w:r>
        <w:t xml:space="preserve">a) Homeostasis: equilibrio dinámico del saldo; entropía: deterioro de relaciones/procesos; neguentropía: acciones que contrarrestan el desorden. — Empareja cada concepto con el hecho que le corresponde: el saldo sostenido por ajuste continuo es homeostasis, el desorden progresivo de los procesos es entropía y la inversión en capacitación y reorganización es neguentropía.</w:t>
      </w:r>
    </w:p>
    <w:p>
      <w:pPr>
        <w:pStyle w:val="Normal"/>
      </w:pPr>
      <w:r>
        <w:t xml:space="preserve">b) Homeostasis: crecimiento ilimitado; entropía: mejora automática; neguentropía: rechazo a toda entrada externa. — Invierte los tres. La homeostasis no es crecimiento sino equilibrio dinámico, la entropía es deterioro y no mejora, y la neguentropía no rechaza el entorno: en un sistema abierto suele venir precisamente de fuera.</w:t>
      </w:r>
    </w:p>
    <w:p>
      <w:pPr>
        <w:pStyle w:val="Normal"/>
      </w:pPr>
      <w:r>
        <w:t xml:space="preserve">c) Homeostasis: cierre del sistema; entropía: propiedad emergente positiva; neguentropía: causa lineal única. — Confunde homeostasis con cierre —es compatible con un sistema abierto y de hecho lo requiere—, llama emergente positiva al desorden e importa la causalidad lineal, que no describe ninguna fuerza de orden.</w:t>
      </w:r>
    </w:p>
    <w:p>
      <w:pPr>
        <w:pStyle w:val="Normal"/>
      </w:pPr>
      <w:r>
        <w:t xml:space="preserve">d) Homeostasis, entropía y neguentropía son tres nombres para el mismo fenómeno. — Los funde en uno. Son tres cosas distintas: un modo de mantenerse, una tendencia al desorden y la fuerza que la contrarresta.</w:t>
      </w:r>
    </w:p>
    <w:p>
      <w:pPr>
        <w:pStyle w:val="Normal"/>
      </w:pPr>
      <w:r>
        <w:t xml:space="preserve">Criterio de resolución: Los tres conceptos cierran la clase 9 y se leen mejor juntos. Homeostasis: equilibrio dinámico, el sistema se mantiene estable ajustándose y no quedándose quieto. Entropía: el grado de desorden de las relaciones del sistema, y todo sistema tiende al desorden. Neguentropía: la fuerza que contrarresta la entropía y devuelve orden. El caso los pone en secuencia: se sostiene el saldo, se degradan los procesos, se invierte para reordenarlos.</w:t>
      </w:r>
    </w:p>
    <w:p>
      <w:pPr>
        <w:pStyle w:val="Fuente"/>
      </w:pPr>
      <w:r>
        <w:t xml:space="preserve">Banco del portal; resolución editorial.</w:t>
      </w:r>
    </w:p>
    <w:p>
      <w:pPr>
        <w:pStyle w:val="Heading3"/>
      </w:pPr>
      <w:bookmarkStart w:name="b_pregunta_sim_25_procedencia_del_cierre" w:id="5468"/>
      <w:r>
        <w:t xml:space="preserve">2.25 · 2.8 / Procedencia del portal</w:t>
      </w:r>
      <w:bookmarkEnd w:id="5468"/>
    </w:p>
    <w:p>
      <w:pPr>
        <w:pStyle w:val="Normal"/>
      </w:pPr>
      <w:r>
        <w:t xml:space="preserve">Según la nota de procedencia del portal sobre los conceptos del cierre de la Unidad 2, ¿qué postura es más rigurosa?</w:t>
      </w:r>
    </w:p>
    <w:p>
      <w:pPr>
        <w:pStyle w:val="Fuente"/>
      </w:pPr>
      <w:r>
        <w:t xml:space="preserve">Ordinal de la fuente: 25.</w:t>
      </w:r>
    </w:p>
    <w:p>
      <w:pPr>
        <w:pStyle w:val="Normal"/>
      </w:pPr>
      <w:r>
        <w:t xml:space="preserve">a) Presentar multifinalidad como si hubiera sido definida formalmente por el profesor en clase.</w:t>
      </w:r>
    </w:p>
    <w:p>
      <w:pPr>
        <w:pStyle w:val="Normal"/>
      </w:pPr>
      <w:r>
        <w:t xml:space="preserve">b) Reconocer que equifinalidad sí fue definida, mientras que multifinalidad quedó como investigación; la variedad requerida es ampliación bibliográfica y debe distinguirse de lo dictado.</w:t>
      </w:r>
    </w:p>
    <w:p>
      <w:pPr>
        <w:pStyle w:val="Normal"/>
      </w:pPr>
      <w:r>
        <w:t xml:space="preserve">c) Afirmar que homeostasis y entropía no pertenecen a la Teoría General de Sistemas.</w:t>
      </w:r>
    </w:p>
    <w:p>
      <w:pPr>
        <w:pStyle w:val="Normal"/>
      </w:pPr>
      <w:r>
        <w:t xml:space="preserve">d) Usar cualquier definición externa sin distinguirla del material del curso.</w:t>
      </w:r>
    </w:p>
    <w:p>
      <w:pPr>
        <w:pStyle w:val="Heading3"/>
      </w:pPr>
      <w:bookmarkStart w:name="b_solucion_sim_25_procedencia_del_cierre" w:id="5469"/>
      <w:r>
        <w:t xml:space="preserve">Solución 2.25</w:t>
      </w:r>
      <w:bookmarkEnd w:id="5469"/>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b) Reconocer que equifinalidad sí fue definida, mientras que multifinalidad quedó como investigación; la variedad requerida es ampliación bibliográfica y debe distinguirse de lo dictado.</w:t>
            </w:r>
          </w:p>
        </w:tc>
      </w:tr>
    </w:tbl>
    <w:p>
      <w:pPr>
        <w:pStyle w:val="Heading3"/>
      </w:pPr>
      <w:r>
        <w:t xml:space="preserve">Cambia de eje</w:t>
      </w:r>
    </w:p>
    <w:p>
      <w:pPr>
        <w:pStyle w:val="Normal"/>
      </w:pPr>
      <w:r>
        <w:t xml:space="preserve">No se pregunta qué es la equifinalidad, sino qué se puede afirmar sobre su procedencia. El criterio es no atribuirle al curso lo que no dictó.</w:t>
      </w:r>
    </w:p>
    <w:p>
      <w:pPr>
        <w:pStyle w:val="Heading3"/>
      </w:pPr>
      <w:r>
        <w:t xml:space="preserve">Cae la A</w:t>
      </w:r>
    </w:p>
    <w:p>
      <w:pPr>
        <w:pStyle w:val="Normal"/>
      </w:pPr>
      <w:r>
        <w:t xml:space="preserve">Se descarta la que da por dictada la multifinalidad. Quedó como investigación asignada.</w:t>
      </w:r>
    </w:p>
    <w:p>
      <w:pPr>
        <w:pStyle w:val="Fuente"/>
      </w:pPr>
      <w:r>
        <w:t xml:space="preserve">Opciones descartadas: a).</w:t>
      </w:r>
    </w:p>
    <w:p>
      <w:pPr>
        <w:pStyle w:val="Heading3"/>
      </w:pPr>
      <w:r>
        <w:t xml:space="preserve">Cae la C</w:t>
      </w:r>
    </w:p>
    <w:p>
      <w:pPr>
        <w:pStyle w:val="Normal"/>
      </w:pPr>
      <w:r>
        <w:t xml:space="preserve">Se descarta la que saca homeostasis y entropía de la TGS, donde son vocabulario central.</w:t>
      </w:r>
    </w:p>
    <w:p>
      <w:pPr>
        <w:pStyle w:val="Fuente"/>
      </w:pPr>
      <w:r>
        <w:t xml:space="preserve">Opciones descartadas: c).</w:t>
      </w:r>
    </w:p>
    <w:p>
      <w:pPr>
        <w:pStyle w:val="Heading3"/>
      </w:pPr>
      <w:r>
        <w:t xml:space="preserve">Cae la D</w:t>
      </w:r>
    </w:p>
    <w:p>
      <w:pPr>
        <w:pStyle w:val="Normal"/>
      </w:pPr>
      <w:r>
        <w:t xml:space="preserve">Se descarta la que borra la distinción entre fuente externa y material de clase.</w:t>
      </w:r>
    </w:p>
    <w:p>
      <w:pPr>
        <w:pStyle w:val="Fuente"/>
      </w:pPr>
      <w:r>
        <w:t xml:space="preserve">Opciones descartadas: d).</w:t>
      </w:r>
    </w:p>
    <w:p>
      <w:pPr>
        <w:pStyle w:val="Heading3"/>
      </w:pPr>
      <w:r>
        <w:t xml:space="preserve">Queda la B</w:t>
      </w:r>
    </w:p>
    <w:p>
      <w:pPr>
        <w:pStyle w:val="Normal"/>
      </w:pPr>
      <w:r>
        <w:t xml:space="preserve">Sobrevive la única que da a cada concepto su estatuto: definido, investigación asignada y ampliación bibliográfica.</w:t>
      </w:r>
    </w:p>
    <w:p>
      <w:pPr>
        <w:pStyle w:val="Normal"/>
      </w:pPr>
      <w:r>
        <w:t xml:space="preserve">a) Presentar multifinalidad como si hubiera sido definida formalmente por el profesor en clase. — Es atribuirle al catedrático contenido que no dictó. La multifinalidad se nombró, pero quedó como investigación asignada, no como definición de clase.</w:t>
      </w:r>
    </w:p>
    <w:p>
      <w:pPr>
        <w:pStyle w:val="Normal"/>
      </w:pPr>
      <w:r>
        <w:t xml:space="preserve">b) Reconocer que equifinalidad sí fue definida, mientras que multifinalidad quedó como investigación; la variedad requerida es ampliación bibliográfica y debe distinguirse de lo dictado. — Es el reparto exacto de la nota de procedencia: la equifinalidad se definió en clase —se llega al mismo estado final por caminos diferentes—, la multifinalidad quedó como investigación asignada y la variedad requerida de Ashby es ampliación bibliográfica del portal.</w:t>
      </w:r>
    </w:p>
    <w:p>
      <w:pPr>
        <w:pStyle w:val="Normal"/>
      </w:pPr>
      <w:r>
        <w:t xml:space="preserve">c) Afirmar que homeostasis y entropía no pertenecen a la Teoría General de Sistemas. — Es falso: homeostasis y entropía son vocabulario central de la Teoría General de Sistemas y cerraron la clase 9.</w:t>
      </w:r>
    </w:p>
    <w:p>
      <w:pPr>
        <w:pStyle w:val="Normal"/>
      </w:pPr>
      <w:r>
        <w:t xml:space="preserve">d) Usar cualquier definición externa sin distinguirla del material del curso. — Es lo contrario del criterio de procedencia, que consiste precisamente en declarar qué es literal de lámina, qué son palabras del profesor y qué es andamiaje editorial.</w:t>
      </w:r>
    </w:p>
    <w:p>
      <w:pPr>
        <w:pStyle w:val="Normal"/>
      </w:pPr>
      <w:r>
        <w:t xml:space="preserve">Criterio de resolución: El rigor aquí no es conceptual sino de procedencia: consiste en no atribuir al curso más de lo que el curso dictó. La equifinalidad se definió; la multifinalidad quedó como investigación asignada junto a la entropía y la neguentropía; la variedad requerida de Ashby sigue siendo ampliación bibliográfica del portal. Distinguir esos tres estatutos es lo que permite usar el material sin inventarle autoridad.</w:t>
      </w:r>
    </w:p>
    <w:p>
      <w:pPr>
        <w:pStyle w:val="Fuente"/>
      </w:pPr>
      <w:r>
        <w:t xml:space="preserve">Banco del portal; resolución editorial.</w:t>
      </w:r>
    </w:p>
    <w:p>
      <w:pPr>
        <w:pStyle w:val="Heading3"/>
      </w:pPr>
      <w:bookmarkStart w:name="b_pregunta_sd_01" w:id="5470"/>
      <w:r>
        <w:t xml:space="preserve">2.26 · 1.1 · Paradigmas, modelos mentales y comportamientos relacionados</w:t>
      </w:r>
      <w:bookmarkEnd w:id="5470"/>
    </w:p>
    <w:p>
      <w:pPr>
        <w:pStyle w:val="Normal"/>
      </w:pPr>
      <w:r>
        <w:t xml:space="preserve">Defina paradigma integrando al menos dos de las formulaciones trabajadas en el portal: Adam Smith, Joel Barker, Willis Harmon o el recuadro del «modelo». Luego explique, con un ejemplo propio, la diferencia entre efecto paradigma, parálisis paradigmática, enfermedad de la certidumbre, flexibilidad de paradigmas y regla de vuelta a cero.</w:t>
      </w:r>
    </w:p>
    <w:p>
      <w:pPr>
        <w:pStyle w:val="Fuente"/>
      </w:pPr>
      <w:r>
        <w:t xml:space="preserve">Ordinal de la fuente: 1.</w:t>
      </w:r>
    </w:p>
    <w:p>
      <w:pPr>
        <w:pStyle w:val="Fuente"/>
      </w:pPr>
      <w:r>
        <w:t xml:space="preserve">Valor de práctica: 5 puntos.</w:t>
      </w:r>
    </w:p>
    <w:p>
      <w:pPr>
        <w:pStyle w:val="Heading3"/>
      </w:pPr>
      <w:bookmarkStart w:name="b_solucion_sd_01" w:id="5471"/>
      <w:r>
        <w:t xml:space="preserve">Solución 2.26</w:t>
      </w:r>
      <w:bookmarkEnd w:id="5471"/>
    </w:p>
    <w:p>
      <w:pPr>
        <w:pStyle w:val="RecuadroTitulo"/>
      </w:pPr>
      <w:r>
        <w:t xml:space="preserve">Respuesta modelo</w:t>
      </w:r>
    </w:p>
    <w:p>
      <w:pPr>
        <w:pStyle w:val="Normal"/>
      </w:pPr>
      <w:r>
        <w:t xml:space="preserve">Un paradigma es el modelo desde el que se mira la realidad y que decide qué información se toma en cuenta antes de razonar sobre ella. Adam Smith lo formula como el conjunto de reglas compartidas que define los límites del juego; Joel Barker añade la segunda mitad —esas reglas y reglamentos no sólo ponen límites, también dicen cómo tener éxito dentro de ellos—; Willis Harmon lo lleva al plano de la persona: la forma básica de percibir, pensar, valorar y hacer, asociada a una visión particular de la realidad. El recuadro sin firma de la lámina resume las tres: un paradigma es un «modelo», el lugar desde el que uno se sitúa conceptualmente para mirar hacia la realidad. Por eso paradigma, modelo mental y sistema abstracto diseñado nombran la misma cosa: cambia quién la nombró, y la clase 8 lo confirma cuando Checkland coloca los paradigmas entre los sistemas abstractos diseñados.</w:t>
      </w:r>
    </w:p>
    <w:p>
      <w:pPr>
        <w:pStyle w:val="Normal"/>
      </w:pPr>
      <w:r>
        <w:t xml:space="preserve">El caso: una escuela de ingeniería que durante años evaluó exclusivamente con exámenes escritos en papel. Efecto paradigma: al leer una encuesta de egresados, el equipo docente no llega a registrar los comentarios sobre trabajo en equipo, porque su modelo de evaluación no tiene casilla para eso; nadie decidió ignorarlos, sencillamente no se vieron. Parálisis paradigmática: cuando un docente joven propone evaluar por proyectos, la respuesta es «quien propone eso no ha dado clase aquí; el examen escrito siempre nos ha funcionado»; ahora el dato sí llegó y se descarta, junto con quien lo trae. Enfermedad de la certidumbre: la comodidad de tener un método validado durante veinte años impide siquiera abrir la discusión, porque revisar el modelo se siente innecesario. Flexibilidad de paradigmas: el jefe de escuela que admite «nuestro modelo de evaluación es un modelo, no la evaluación; veamos qué mide y qué deja fuera» sin abandonarlo por ello. Regla de vuelta a cero: si el mercado laboral cambia y las empresas empiezan a contratar por portafolio, los veinte años de prestigio del examen escrito no se transfieren al juego nuevo; todo regresa a cero, y los pioneros del modelo por proyectos vendrán probablemente de los márgenes y no del centro de la institución.</w:t>
      </w:r>
    </w:p>
    <w:p>
      <w:pPr>
        <w:pStyle w:val="Normal"/>
      </w:pPr>
      <w:r>
        <w:t xml:space="preserve">Conviene cerrar señalando que las cuatro primeras describen conductas frente a un paradigma y la quinta describe qué le pasa a la ventaja acumulada cuando el paradigma cambia: no están en el mismo plano, y confundirlas produce respuestas que enumeran cinco etiquetas sin distinguir ninguna.</w:t>
      </w:r>
    </w:p>
    <w:p>
      <w:pPr>
        <w:pStyle w:val="Heading3"/>
      </w:pPr>
      <w:r>
        <w:t xml:space="preserve">Elige dos definiciones y di qué aporta cada una</w:t>
      </w:r>
    </w:p>
    <w:p>
      <w:pPr>
        <w:pStyle w:val="Normal"/>
      </w:pPr>
      <w:r>
        <w:t xml:space="preserve">No basta con citarlas en fila. Smith aporta que el paradigma es compartido y define los límites del juego; Barker añade que además dice cómo tener éxito dentro de esos límites; Harmon lo lleva al plano personal —percibir, pensar, valorar y hacer—.</w:t>
      </w:r>
    </w:p>
    <w:p>
      <w:pPr>
        <w:pStyle w:val="Heading3"/>
      </w:pPr>
      <w:r>
        <w:t xml:space="preserve">Fija un solo caso y sostenlo hasta el final</w:t>
      </w:r>
    </w:p>
    <w:p>
      <w:pPr>
        <w:pStyle w:val="Normal"/>
      </w:pPr>
      <w:r>
        <w:t xml:space="preserve">Los cinco comportamientos se distinguen mucho mejor sobre un caso único que sobre cinco ejemplos sueltos. Elija uno propio y hágalo pasar por los cinco estados.</w:t>
      </w:r>
    </w:p>
    <w:p>
      <w:pPr>
        <w:pStyle w:val="Heading3"/>
      </w:pPr>
      <w:r>
        <w:t xml:space="preserve">Separa efecto de parálisis por la consciencia</w:t>
      </w:r>
    </w:p>
    <w:p>
      <w:pPr>
        <w:pStyle w:val="Normal"/>
      </w:pPr>
      <w:r>
        <w:t xml:space="preserve">Efecto: el dato no llega a verse. Parálisis: el dato llega y se descarta, junto con quien lo trajo. Es la frontera que más se cobra.</w:t>
      </w:r>
    </w:p>
    <w:p>
      <w:pPr>
        <w:pStyle w:val="Heading3"/>
      </w:pPr>
      <w:r>
        <w:t xml:space="preserve">Separa certidumbre de flexibilidad por la actitud</w:t>
      </w:r>
    </w:p>
    <w:p>
      <w:pPr>
        <w:pStyle w:val="Normal"/>
      </w:pPr>
      <w:r>
        <w:t xml:space="preserve">La enfermedad de la certidumbre es la comodidad que impide revisar el modelo; la flexibilidad es sostener el propio modelo sabiendo que es un modelo. Y cuidado: «flexibles» no es una característica del paradigma.</w:t>
      </w:r>
    </w:p>
    <w:p>
      <w:pPr>
        <w:pStyle w:val="Heading3"/>
      </w:pPr>
      <w:r>
        <w:t xml:space="preserve">Cierra con la vuelta a cero y con la advertencia</w:t>
      </w:r>
    </w:p>
    <w:p>
      <w:pPr>
        <w:pStyle w:val="Normal"/>
      </w:pPr>
      <w:r>
        <w:t xml:space="preserve">La regla de vuelta a cero mira el futuro: al cambiar el paradigma, la ventaja acumulada deja de contar. Añada después el límite de su propio análisis.</w:t>
      </w:r>
    </w:p>
    <w:p>
      <w:pPr>
        <w:pStyle w:val="Heading3"/>
      </w:pPr>
      <w:r>
        <w:t xml:space="preserve">Criterios para una respuesta completa</w:t>
      </w:r>
    </w:p>
    <w:p>
      <w:pPr>
        <w:pStyle w:val="Normal"/>
        <w:numPr>
          <w:ilvl w:val="0"/>
          <w:numId w:val="2"/>
        </w:numPr>
      </w:pPr>
      <w:r>
        <w:t xml:space="preserve">Dos definiciones firmadas, atribuidas correctamente y con lo que cada una aporta, no sólo citadas.</w:t>
      </w:r>
    </w:p>
    <w:p>
      <w:pPr>
        <w:pStyle w:val="Normal"/>
        <w:numPr>
          <w:ilvl w:val="0"/>
          <w:numId w:val="2"/>
        </w:numPr>
      </w:pPr>
      <w:r>
        <w:t xml:space="preserve">La equivalencia paradigma / modelo mental / sistema abstracto diseñado, sostenida con un argumento.</w:t>
      </w:r>
    </w:p>
    <w:p>
      <w:pPr>
        <w:pStyle w:val="Normal"/>
        <w:numPr>
          <w:ilvl w:val="0"/>
          <w:numId w:val="2"/>
        </w:numPr>
      </w:pPr>
      <w:r>
        <w:t xml:space="preserve">Los cinco comportamientos distinguidos entre sí, no sólo definidos por separado.</w:t>
      </w:r>
    </w:p>
    <w:p>
      <w:pPr>
        <w:pStyle w:val="Normal"/>
        <w:numPr>
          <w:ilvl w:val="0"/>
          <w:numId w:val="2"/>
        </w:numPr>
      </w:pPr>
      <w:r>
        <w:t xml:space="preserve">Un ejemplo propio, único y coherente, que pase por los cinco estados.</w:t>
      </w:r>
    </w:p>
    <w:p>
      <w:pPr>
        <w:pStyle w:val="Normal"/>
        <w:numPr>
          <w:ilvl w:val="0"/>
          <w:numId w:val="2"/>
        </w:numPr>
      </w:pPr>
      <w:r>
        <w:t xml:space="preserve">La advertencia: «flexibles» no es una característica del paradigma.</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9C620A" w:sz="20"/>
              <w:bottom w:val="nil"/>
              <w:right w:val="nil"/>
            </w:tcBorders>
            <w:shd w:fill="FBF3DF" w:val="clear"/>
            <w:tcMar>
              <w:top w:type="dxa" w:w="130"/>
              <w:left w:type="dxa" w:w="180"/>
              <w:bottom w:type="dxa" w:w="130"/>
              <w:right w:type="dxa" w:w="180"/>
            </w:tcMar>
          </w:tcPr>
          <w:p>
            <w:pPr>
              <w:pStyle w:val="RecuadroTitulo"/>
            </w:pPr>
            <w:r>
              <w:rPr>
                <w:b/>
                <w:bCs/>
                <w:color w:val="9C620A"/>
              </w:rPr>
              <w:t xml:space="preserve">Advertencia y límites</w:t>
            </w:r>
          </w:p>
          <w:p>
            <w:pPr>
              <w:pStyle w:val="Recuadro"/>
            </w:pPr>
            <w:r>
              <w:t xml:space="preserve">Límite del modelo: «flexibles» NO es una característica de los paradigmas —la flexibilidad es una actitud del pensador frente a ellos, y esa distinción ya se cobró en la primera evaluación corta—. Además, el ejemplo es un caso construido: no aporta datos sobre cuántos docentes pensaban qué, de modo que sirve para distinguir conceptos, no para diagnosticar la escuela real.</w:t>
            </w:r>
          </w:p>
        </w:tc>
      </w:tr>
    </w:tbl>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El profesor lo dijo así</w:t>
            </w:r>
          </w:p>
          <w:p>
            <w:pPr>
              <w:pStyle w:val="Recuadro"/>
            </w:pPr>
            <w:r>
              <w:t xml:space="preserve">«Esos paradigmas o modelos mentales son creaciones propias de cada uno de nosotros como seres humanos, que usamos para modelar la realidad, cualquiera que esta sea.»</w:t>
            </w:r>
          </w:p>
          <w:p>
            <w:pPr>
              <w:pStyle w:val="Recuadro"/>
            </w:pPr>
            <w:r>
              <w:t xml:space="preserve">Clase 1 · 01:06:47</w:t>
            </w:r>
          </w:p>
        </w:tc>
      </w:tr>
    </w:tbl>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El profesor lo dijo así</w:t>
            </w:r>
          </w:p>
          <w:p>
            <w:pPr>
              <w:pStyle w:val="Recuadro"/>
            </w:pPr>
            <w:r>
              <w:t xml:space="preserve">«El dicho más bien es «lo veré cuando lo crea», porque veo lo que supongo: las reglas que supongo, los supuestos que espero ver en esa realidad, eso es lo que veo.»</w:t>
            </w:r>
          </w:p>
          <w:p>
            <w:pPr>
              <w:pStyle w:val="Recuadro"/>
            </w:pPr>
            <w:r>
              <w:t xml:space="preserve">Clase 2 · 00:55:05</w:t>
            </w:r>
          </w:p>
        </w:tc>
      </w:tr>
    </w:tbl>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El profesor lo dijo así</w:t>
            </w:r>
          </w:p>
          <w:p>
            <w:pPr>
              <w:pStyle w:val="Recuadro"/>
            </w:pPr>
            <w:r>
              <w:t xml:space="preserve">«Los paradigmas no son una herencia grabada en nuestro organismo que no podemos cambiar. No es algo que venga ya predestinado en nuestros sistemas abstractos.»</w:t>
            </w:r>
          </w:p>
          <w:p>
            <w:pPr>
              <w:pStyle w:val="Recuadro"/>
            </w:pPr>
            <w:r>
              <w:t xml:space="preserve">Clase 2 · 01:10:09</w:t>
            </w:r>
          </w:p>
        </w:tc>
      </w:tr>
    </w:tbl>
    <w:p>
      <w:pPr>
        <w:pStyle w:val="Fuente"/>
      </w:pPr>
      <w:r>
        <w:t xml:space="preserve">Enunciado de práctica externa; resolución editorial del portal.</w:t>
      </w:r>
    </w:p>
    <w:p>
      <w:pPr>
        <w:pStyle w:val="Heading3"/>
      </w:pPr>
      <w:bookmarkStart w:name="b_pregunta_sd_02" w:id="5472"/>
      <w:r>
        <w:t xml:space="preserve">2.27 · 1.2 · Escalera de inferencias y operaciones mentales</w:t>
      </w:r>
      <w:bookmarkEnd w:id="5472"/>
    </w:p>
    <w:p>
      <w:pPr>
        <w:pStyle w:val="Normal"/>
      </w:pPr>
      <w:r>
        <w:t xml:space="preserve">Caso: Un auxiliar publica una nota baja. El estudiante observa solo la calificación, recuerda que el auxiliar no sonrió en clase, concluye que «le tiene mala», asume que reclamar es inútil, deja de estudiar y aconseja a otros no esforzarse. Descomponga el caso en los siete peldaños de la escalera de inferencias. Señale dónde aparecen eliminación, construcción, distorsión o generalización, y proponga cómo «bajar la escalera» sin negar los datos observables.</w:t>
      </w:r>
    </w:p>
    <w:p>
      <w:pPr>
        <w:pStyle w:val="Fuente"/>
      </w:pPr>
      <w:r>
        <w:t xml:space="preserve">Ordinal de la fuente: 2.</w:t>
      </w:r>
    </w:p>
    <w:p>
      <w:pPr>
        <w:pStyle w:val="Fuente"/>
      </w:pPr>
      <w:r>
        <w:t xml:space="preserve">Valor de práctica: 5 puntos.</w:t>
      </w:r>
    </w:p>
    <w:p>
      <w:pPr>
        <w:pStyle w:val="Heading3"/>
      </w:pPr>
      <w:bookmarkStart w:name="b_solucion_sd_02" w:id="5473"/>
      <w:r>
        <w:t xml:space="preserve">Solución 2.27</w:t>
      </w:r>
      <w:bookmarkEnd w:id="5473"/>
    </w:p>
    <w:p>
      <w:pPr>
        <w:pStyle w:val="RecuadroTitulo"/>
      </w:pPr>
      <w:r>
        <w:t xml:space="preserve">Respuesta modelo</w:t>
      </w:r>
    </w:p>
    <w:p>
      <w:pPr>
        <w:pStyle w:val="Normal"/>
      </w:pPr>
      <w:r>
        <w:t xml:space="preserve">Peldaño 1, datos observables: hay una calificación publicada por el auxiliar y hubo una sesión de clase en la que el auxiliar no sonrió. Eso es todo lo verificable por cualquier observador. Peldaño 2, selecciono datos: el estudiante retiene la nota y el gesto, y deja fuera el resto —qué preguntaba el examen, cuánto estudió, cómo les fue a los demás, si hay clave de calificación publicada—. Peldaño 3, añado significados: traduce el gesto a «no sonrió porque está en mi contra». Peldaño 4, hago supuestos: rellena el hueco con una intención, «me tiene mala». Peldaño 5, saco conclusiones: «reclamar es inútil». Peldaño 6, adopto creencias: la conclusión se sedimenta en «el curso es injusto» y deja de sentirse como opinión. Peldaño 7, actúo: deja de estudiar y aconseja a otros no esforzarse.</w:t>
      </w:r>
    </w:p>
    <w:p>
      <w:pPr>
        <w:pStyle w:val="Normal"/>
      </w:pPr>
      <w:r>
        <w:t xml:space="preserve">Las cuatro operaciones se reparten así. Eliminación en el peldaño 2: se descarta todo lo que no encaja —la clave de calificación, el propio desempeño, el rendimiento del grupo—. Construcción en el peldaño 3 y 4: se agrega lo que no estaba, una intención hostil que ningún dato registra; un gesto ausente no es evidencia de nada. Distorsión, también en el 3: la ausencia de sonrisa, que es un dato neutro y compatible con cansancio, prisa o carácter, se altera hasta convertirse en señal dirigida al estudiante. Generalización en el 6 y el 7: de una nota se pasa a «el curso es injusto», y al aconsejar a otros la regla se extiende a personas que ni siquiera fueron evaluadas.</w:t>
      </w:r>
    </w:p>
    <w:p>
      <w:pPr>
        <w:pStyle w:val="Normal"/>
      </w:pPr>
      <w:r>
        <w:t xml:space="preserve">Bajar la escalera no consiste en negar la nota baja, que es un dato observable y sigue siendo verdad. Consiste en tres movimientos. Reflexión: reconstruir el propio recorrido en voz alta —«de una nota y un gesto llegué a una intención»— para ver dónde se saltó. Indagación: pedir los datos y el razonamiento del otro, que aquí tiene forma concreta —solicitar la clave de calificación, preguntar qué se esperaba en el punto que se perdió, comparar con el criterio publicado—. Argumentación: exponer los propios datos y el paso que se dio con ellos, en vez de la conclusión. El peldaño donde conviene detenerse es el 2: el problema no fue inferir, fue seleccionar dos datos y actuar como si fueran todos.</w:t>
      </w:r>
    </w:p>
    <w:p>
      <w:pPr>
        <w:pStyle w:val="Normal"/>
      </w:pPr>
      <w:r>
        <w:t xml:space="preserve">El caso también muestra por qué la escalera es reflexiva: la creencia «el curso es injusto» decidirá qué datos seleccione el estudiante en la próxima entrega, y al aconsejar a otros la instala en gente que aún no tiene datos propios. Discutir con él a nivel de conclusiones —«no, el auxiliar es justo»— no resuelve nada, porque la discusión seguiría en la cima.</w:t>
      </w:r>
    </w:p>
    <w:p>
      <w:pPr>
        <w:pStyle w:val="Heading3"/>
      </w:pPr>
      <w:r>
        <w:t xml:space="preserve">Escribe primero los datos observables reales</w:t>
      </w:r>
    </w:p>
    <w:p>
      <w:pPr>
        <w:pStyle w:val="Normal"/>
      </w:pPr>
      <w:r>
        <w:t xml:space="preserve">Antes de repartir peldaños, liste lo verificable por cualquier observador: hay una nota publicada y hubo una clase. Todo lo demás es construcción del estudiante.</w:t>
      </w:r>
    </w:p>
    <w:p>
      <w:pPr>
        <w:pStyle w:val="Heading3"/>
      </w:pPr>
      <w:r>
        <w:t xml:space="preserve">Reparte los siete peldaños en orden</w:t>
      </w:r>
    </w:p>
    <w:p>
      <w:pPr>
        <w:pStyle w:val="Normal"/>
      </w:pPr>
      <w:r>
        <w:t xml:space="preserve">Datos observables, selecciono datos, añado significados, hago supuestos, saco conclusiones, adopto creencias, actúo. El caso trae material para los siete si se lee con cuidado.</w:t>
      </w:r>
    </w:p>
    <w:p>
      <w:pPr>
        <w:pStyle w:val="Heading3"/>
      </w:pPr>
      <w:r>
        <w:t xml:space="preserve">Ancla cada operación mental a un peldaño</w:t>
      </w:r>
    </w:p>
    <w:p>
      <w:pPr>
        <w:pStyle w:val="Normal"/>
      </w:pPr>
      <w:r>
        <w:t xml:space="preserve">No las cite sueltas: diga en qué peldaño actúa cada una. La eliminación vive en el peldaño 2, la construcción y la distorsión en el 3 y el 4, la generalización en el 6 y el 7.</w:t>
      </w:r>
    </w:p>
    <w:p>
      <w:pPr>
        <w:pStyle w:val="Heading3"/>
      </w:pPr>
      <w:r>
        <w:t xml:space="preserve">Baja la escalera con las tres herramientas</w:t>
      </w:r>
    </w:p>
    <w:p>
      <w:pPr>
        <w:pStyle w:val="Normal"/>
      </w:pPr>
      <w:r>
        <w:t xml:space="preserve">Reflexión —hacer visible el propio razonamiento—, indagación —pedir datos y razonamiento del otro— y argumentación —exponer los propios—. Bajar no es negar el dato.</w:t>
      </w:r>
    </w:p>
    <w:p>
      <w:pPr>
        <w:pStyle w:val="Heading3"/>
      </w:pPr>
      <w:r>
        <w:t xml:space="preserve">Cierra el ciclo reflexivo y advierte</w:t>
      </w:r>
    </w:p>
    <w:p>
      <w:pPr>
        <w:pStyle w:val="Normal"/>
      </w:pPr>
      <w:r>
        <w:t xml:space="preserve">La creencia de la cima gobierna qué datos se seleccionarán la próxima vez; por eso el consejo a otros multiplica el efecto. Añada el límite de su lectura.</w:t>
      </w:r>
    </w:p>
    <w:p>
      <w:pPr>
        <w:pStyle w:val="Heading3"/>
      </w:pPr>
      <w:r>
        <w:t xml:space="preserve">Criterios para una respuesta completa</w:t>
      </w:r>
    </w:p>
    <w:p>
      <w:pPr>
        <w:pStyle w:val="Normal"/>
        <w:numPr>
          <w:ilvl w:val="0"/>
          <w:numId w:val="2"/>
        </w:numPr>
      </w:pPr>
      <w:r>
        <w:t xml:space="preserve">Los siete peldaños nombrados en orden y anclados a material concreto del caso.</w:t>
      </w:r>
    </w:p>
    <w:p>
      <w:pPr>
        <w:pStyle w:val="Normal"/>
        <w:numPr>
          <w:ilvl w:val="0"/>
          <w:numId w:val="2"/>
        </w:numPr>
      </w:pPr>
      <w:r>
        <w:t xml:space="preserve">Distinción explícita entre el dato observable y lo que el estudiante puso.</w:t>
      </w:r>
    </w:p>
    <w:p>
      <w:pPr>
        <w:pStyle w:val="Normal"/>
        <w:numPr>
          <w:ilvl w:val="0"/>
          <w:numId w:val="2"/>
        </w:numPr>
      </w:pPr>
      <w:r>
        <w:t xml:space="preserve">Las cuatro operaciones mentales situadas en un peldaño, no listadas aparte.</w:t>
      </w:r>
    </w:p>
    <w:p>
      <w:pPr>
        <w:pStyle w:val="Normal"/>
        <w:numPr>
          <w:ilvl w:val="0"/>
          <w:numId w:val="2"/>
        </w:numPr>
      </w:pPr>
      <w:r>
        <w:t xml:space="preserve">Los tres movimientos para bajar —reflexión, indagación, argumentación— aplicados al caso.</w:t>
      </w:r>
    </w:p>
    <w:p>
      <w:pPr>
        <w:pStyle w:val="Normal"/>
        <w:numPr>
          <w:ilvl w:val="0"/>
          <w:numId w:val="2"/>
        </w:numPr>
      </w:pPr>
      <w:r>
        <w:t xml:space="preserve">Mención del ciclo reflexivo: la creencia gobierna la próxima selección de datos.</w:t>
      </w:r>
    </w:p>
    <w:p>
      <w:pPr>
        <w:pStyle w:val="Normal"/>
        <w:numPr>
          <w:ilvl w:val="0"/>
          <w:numId w:val="2"/>
        </w:numPr>
      </w:pPr>
      <w:r>
        <w:t xml:space="preserve">La advertencia sobre los datos que el caso no aporta.</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9C620A" w:sz="20"/>
              <w:bottom w:val="nil"/>
              <w:right w:val="nil"/>
            </w:tcBorders>
            <w:shd w:fill="FBF3DF" w:val="clear"/>
            <w:tcMar>
              <w:top w:type="dxa" w:w="130"/>
              <w:left w:type="dxa" w:w="180"/>
              <w:bottom w:type="dxa" w:w="130"/>
              <w:right w:type="dxa" w:w="180"/>
            </w:tcMar>
          </w:tcPr>
          <w:p>
            <w:pPr>
              <w:pStyle w:val="RecuadroTitulo"/>
            </w:pPr>
            <w:r>
              <w:rPr>
                <w:b/>
                <w:bCs/>
                <w:color w:val="9C620A"/>
              </w:rPr>
              <w:t xml:space="preserve">Advertencia y límites</w:t>
            </w:r>
          </w:p>
          <w:p>
            <w:pPr>
              <w:pStyle w:val="Recuadro"/>
            </w:pPr>
            <w:r>
              <w:t xml:space="preserve">Datos faltantes: la lectura reparte peldaños con la información que el caso da, y el caso no dice si la calificación era correcta. Puede haber un error real de corrección, y en ese supuesto el remedio sistémico sigue siendo el mismo —pedir la clave y el criterio— pero la conclusión final sería distinta. Reconocer la escalera del estudiante no equivale a absolver al auxiliar: sólo separa lo observado de lo inferido en ambos lados.</w:t>
            </w:r>
          </w:p>
        </w:tc>
      </w:tr>
    </w:tbl>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El profesor lo dijo así</w:t>
            </w:r>
          </w:p>
          <w:p>
            <w:pPr>
              <w:pStyle w:val="Recuadro"/>
            </w:pPr>
            <w:r>
              <w:t xml:space="preserve">«Nuestras conclusiones nos parecen obvias, obviamente correctas, y saltamos esos escalones que nos da la analogía de las inferencias de una manera automática, sin que seamos conscientes.»</w:t>
            </w:r>
          </w:p>
          <w:p>
            <w:pPr>
              <w:pStyle w:val="Recuadro"/>
            </w:pPr>
            <w:r>
              <w:t xml:space="preserve">Clase 3 · 01:21:42</w:t>
            </w:r>
          </w:p>
        </w:tc>
      </w:tr>
    </w:tbl>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El profesor lo dijo así</w:t>
            </w:r>
          </w:p>
          <w:p>
            <w:pPr>
              <w:pStyle w:val="Recuadro"/>
            </w:pPr>
            <w:r>
              <w:t xml:space="preserve">«Discutir a nivel de las conclusiones, cuando estamos en un proceso de interacción con otras personas sobre algún tema, es insuficiente.»</w:t>
            </w:r>
          </w:p>
          <w:p>
            <w:pPr>
              <w:pStyle w:val="Recuadro"/>
            </w:pPr>
            <w:r>
              <w:t xml:space="preserve">Clase 3 · 01:27:03</w:t>
            </w:r>
          </w:p>
        </w:tc>
      </w:tr>
    </w:tbl>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El profesor lo dijo así</w:t>
            </w:r>
          </w:p>
          <w:p>
            <w:pPr>
              <w:pStyle w:val="Recuadro"/>
            </w:pPr>
            <w:r>
              <w:t xml:space="preserve">«La manera de verificar es: si tengo la otra contraparte que puede darme más información, pues pregunto.»</w:t>
            </w:r>
          </w:p>
          <w:p>
            <w:pPr>
              <w:pStyle w:val="Recuadro"/>
            </w:pPr>
            <w:r>
              <w:t xml:space="preserve">Clase 3 · 01:30:53</w:t>
            </w:r>
          </w:p>
        </w:tc>
      </w:tr>
    </w:tbl>
    <w:p>
      <w:pPr>
        <w:pStyle w:val="Fuente"/>
      </w:pPr>
      <w:r>
        <w:t xml:space="preserve">Enunciado de práctica externa; resolución editorial del portal.</w:t>
      </w:r>
    </w:p>
    <w:p>
      <w:pPr>
        <w:pStyle w:val="Heading3"/>
      </w:pPr>
      <w:bookmarkStart w:name="b_pregunta_sd_03" w:id="5474"/>
      <w:r>
        <w:t xml:space="preserve">2.28 · 1.6 · DSRP aplicado iterativamente</w:t>
      </w:r>
      <w:bookmarkEnd w:id="5474"/>
    </w:p>
    <w:p>
      <w:pPr>
        <w:pStyle w:val="Normal"/>
      </w:pPr>
      <w:r>
        <w:t xml:space="preserve">Aplique DSRP a un problema de retrasos recurrentes en la atención de estudiantes durante inscripciones. No use D, S, R y P como etiquetas vacías: muestre distinciones identidad/otro, sistemas parte/todo, relaciones acción/reacción y perspectivas punto/vista. Explique cómo cambiar una frontera o perspectiva cambiaría el sistema percibido.</w:t>
      </w:r>
    </w:p>
    <w:p>
      <w:pPr>
        <w:pStyle w:val="Fuente"/>
      </w:pPr>
      <w:r>
        <w:t xml:space="preserve">Ordinal de la fuente: 3.</w:t>
      </w:r>
    </w:p>
    <w:p>
      <w:pPr>
        <w:pStyle w:val="Fuente"/>
      </w:pPr>
      <w:r>
        <w:t xml:space="preserve">Valor de práctica: 5 puntos.</w:t>
      </w:r>
    </w:p>
    <w:p>
      <w:pPr>
        <w:pStyle w:val="Heading3"/>
      </w:pPr>
      <w:bookmarkStart w:name="b_solucion_sd_03" w:id="5475"/>
      <w:r>
        <w:t xml:space="preserve">Solución 2.28</w:t>
      </w:r>
      <w:bookmarkEnd w:id="5475"/>
    </w:p>
    <w:p>
      <w:pPr>
        <w:pStyle w:val="RecuadroTitulo"/>
      </w:pPr>
      <w:r>
        <w:t xml:space="preserve">Respuesta modelo</w:t>
      </w:r>
    </w:p>
    <w:p>
      <w:pPr>
        <w:pStyle w:val="Normal"/>
      </w:pPr>
      <w:r>
        <w:t xml:space="preserve">Primera pasada. D · Distinciones (identidad </w:t>
      </w:r>
      <w:r>
        <w:rPr>
          <w:rFonts w:ascii="DejaVu Serif" w:cs="DejaVu Serif" w:eastAsia="DejaVu Serif" w:hAnsi="DejaVu Serif"/>
        </w:rPr>
        <w:t xml:space="preserve">⇔</w:t>
      </w:r>
      <w:r>
        <w:t xml:space="preserve"> otro): ¿qué es el «retraso» y qué NO lo es? Identidad: el tiempo que transcurre entre que el estudiante llega a la ventanilla y sale con su inscripción resuelta. Otro: la espera en el portal web caído, la cola para pagar en el banco, el tiempo de decisión del propio estudiante. Trazar esa frontera ya cambia el problema: si el retraso incluye la caída del portal, el sistema estudiado no es la ventanilla. S · Sistemas (parte </w:t>
      </w:r>
      <w:r>
        <w:rPr>
          <w:rFonts w:ascii="DejaVu Serif" w:cs="DejaVu Serif" w:eastAsia="DejaVu Serif" w:hAnsi="DejaVu Serif"/>
        </w:rPr>
        <w:t xml:space="preserve">⇔</w:t>
      </w:r>
      <w:r>
        <w:t xml:space="preserve"> todo): partes —ventanillas, personal de atención, sistema informático de registro, expedientes, cajas, señalización, colas—; todo mayor del que forma parte —el proceso de inscripción de la Facultad, y por encima el calendario académico de la Universidad—. R · Relaciones (acción </w:t>
      </w:r>
      <w:r>
        <w:rPr>
          <w:rFonts w:ascii="DejaVu Serif" w:cs="DejaVu Serif" w:eastAsia="DejaVu Serif" w:hAnsi="DejaVu Serif"/>
        </w:rPr>
        <w:t xml:space="preserve">⇔</w:t>
      </w:r>
      <w:r>
        <w:t xml:space="preserve"> reacción): la reducción de ventanillas provoca colas más largas, que provocan estudiantes que llegan más temprano, que provocan aglomeración en la primera hora, que provoca lentitud del personal por presión, que alarga la cola: la relación no es una flecha sino un circuito que vuelve sobre sí mismo. P · Perspectivas (punto </w:t>
      </w:r>
      <w:r>
        <w:rPr>
          <w:rFonts w:ascii="DejaVu Serif" w:cs="DejaVu Serif" w:eastAsia="DejaVu Serif" w:hAnsi="DejaVu Serif"/>
        </w:rPr>
        <w:t xml:space="preserve">⇔</w:t>
      </w:r>
      <w:r>
        <w:t xml:space="preserve"> vista): desde el punto del estudiante, la vista es «hay poco personal»; desde el punto del auxiliar de ventanilla, «llegan todos a la misma hora y muchos sin los papeles completos»; desde el punto del jefe administrativo, «el pico se concentra en tres días del año»; desde el punto del sistema informático, «hay bloqueos de expediente por deudas pendientes».</w:t>
      </w:r>
    </w:p>
    <w:p>
      <w:pPr>
        <w:pStyle w:val="Normal"/>
      </w:pPr>
      <w:r>
        <w:t xml:space="preserve">Segunda pasada, que es donde las reglas se acoplan. Al escuchar la perspectiva del auxiliar aparece una relación que no estaba en la primera pasada: expediente incompleto → reintento del estudiante → segunda visita a la misma ventanilla. Esa relación obliga a rehacer la distinción: el retraso ya no es sólo tiempo en cola, sino número de visitas necesarias para resolver una inscripción, y con esa nueva identidad el sistema cambia de partes —ahora entran la información previa, la lista de requisitos y el canal por el que se comunica—. Y al entrar la información previa como parte, el todo mayor también se mueve: el proceso relevante empieza semanas antes, en la comunicación institucional, no el día de la cola.</w:t>
      </w:r>
    </w:p>
    <w:p>
      <w:pPr>
        <w:pStyle w:val="Normal"/>
      </w:pPr>
      <w:r>
        <w:t xml:space="preserve">Cambiar la frontera cambia el sistema percibido, y esto se puede mostrar con dos recortes. Frontera estrecha, «la ventanilla»: el problema se lee como falta de personal y la intervención obvia es contratar más auxiliares; el efecto medible sería una cola más corta el mismo día. Frontera ancha, «el proceso de inscripción de la Facultad»: entran la comunicación de requisitos, el sistema informático, el calendario y las deudas pendientes, y aparece una intervención de más apalancamiento —resolver los bloqueos y publicar los requisitos antes— que no era ni visible con el recorte anterior. Cambiar de perspectiva produce el mismo efecto sin mover la frontera: la vista del sistema informático hace aparecer relaciones que ninguna de las otras tres perspectivas mostraba.</w:t>
      </w:r>
    </w:p>
    <w:p>
      <w:pPr>
        <w:pStyle w:val="Normal"/>
      </w:pPr>
      <w:r>
        <w:t xml:space="preserve">Nada de esto es «hacer los cuatro pasos». Las reglas no llevan orden fijo: se repiten y se alternan sobre la misma idea, y cada pasada afina el modelo hasta que deja de cambiar. El pensamiento sistémico no es ninguna de las cuatro por separado: es la propiedad emergente de combinarlas, del mismo modo que la lámina 13 sostiene que un sistema adaptativo complejo se basa en reglas simples.</w:t>
      </w:r>
    </w:p>
    <w:p>
      <w:pPr>
        <w:pStyle w:val="Heading3"/>
      </w:pPr>
      <w:r>
        <w:t xml:space="preserve">Escribe cada regla con su par, no con su inicial</w:t>
      </w:r>
    </w:p>
    <w:p>
      <w:pPr>
        <w:pStyle w:val="Normal"/>
      </w:pPr>
      <w:r>
        <w:t xml:space="preserve">D es identidad </w:t>
      </w:r>
      <w:r>
        <w:rPr>
          <w:rFonts w:ascii="DejaVu Serif" w:cs="DejaVu Serif" w:eastAsia="DejaVu Serif" w:hAnsi="DejaVu Serif"/>
        </w:rPr>
        <w:t xml:space="preserve">⇔</w:t>
      </w:r>
      <w:r>
        <w:t xml:space="preserve"> otro, S es parte </w:t>
      </w:r>
      <w:r>
        <w:rPr>
          <w:rFonts w:ascii="DejaVu Serif" w:cs="DejaVu Serif" w:eastAsia="DejaVu Serif" w:hAnsi="DejaVu Serif"/>
        </w:rPr>
        <w:t xml:space="preserve">⇔</w:t>
      </w:r>
      <w:r>
        <w:t xml:space="preserve"> todo, R es acción </w:t>
      </w:r>
      <w:r>
        <w:rPr>
          <w:rFonts w:ascii="DejaVu Serif" w:cs="DejaVu Serif" w:eastAsia="DejaVu Serif" w:hAnsi="DejaVu Serif"/>
        </w:rPr>
        <w:t xml:space="preserve">⇔</w:t>
      </w:r>
      <w:r>
        <w:t xml:space="preserve"> reacción, P es punto </w:t>
      </w:r>
      <w:r>
        <w:rPr>
          <w:rFonts w:ascii="DejaVu Serif" w:cs="DejaVu Serif" w:eastAsia="DejaVu Serif" w:hAnsi="DejaVu Serif"/>
        </w:rPr>
        <w:t xml:space="preserve">⇔</w:t>
      </w:r>
      <w:r>
        <w:t xml:space="preserve"> vista. Si el par no aparece, la regla quedó como etiqueta.</w:t>
      </w:r>
    </w:p>
    <w:p>
      <w:pPr>
        <w:pStyle w:val="Heading3"/>
      </w:pPr>
      <w:r>
        <w:t xml:space="preserve">Da una primera pasada completa</w:t>
      </w:r>
    </w:p>
    <w:p>
      <w:pPr>
        <w:pStyle w:val="Normal"/>
      </w:pPr>
      <w:r>
        <w:t xml:space="preserve">Recorra las cuatro reglas sobre el caso una vez, sin pretender que sea la definitiva. El algoritmo repite el ciclo; la primera pasada sólo abre el modelo.</w:t>
      </w:r>
    </w:p>
    <w:p>
      <w:pPr>
        <w:pStyle w:val="Heading3"/>
      </w:pPr>
      <w:r>
        <w:t xml:space="preserve">Da una segunda pasada donde una regla mueva a otra</w:t>
      </w:r>
    </w:p>
    <w:p>
      <w:pPr>
        <w:pStyle w:val="Normal"/>
      </w:pPr>
      <w:r>
        <w:t xml:space="preserve">Es lo que distingue una respuesta aplicada de una lista: mostrar que cambiar la distinción redibuja las partes, y que cambiar de perspectiva hace visibles relaciones nuevas.</w:t>
      </w:r>
    </w:p>
    <w:p>
      <w:pPr>
        <w:pStyle w:val="Heading3"/>
      </w:pPr>
      <w:r>
        <w:t xml:space="preserve">Mueve deliberadamente la frontera</w:t>
      </w:r>
    </w:p>
    <w:p>
      <w:pPr>
        <w:pStyle w:val="Normal"/>
      </w:pPr>
      <w:r>
        <w:t xml:space="preserve">Redefina qué es «el sistema de inscripción» y muestre qué entra y qué sale del análisis con cada recorte.</w:t>
      </w:r>
    </w:p>
    <w:p>
      <w:pPr>
        <w:pStyle w:val="Heading3"/>
      </w:pPr>
      <w:r>
        <w:t xml:space="preserve">Nombra la propiedad emergente y advierte</w:t>
      </w:r>
    </w:p>
    <w:p>
      <w:pPr>
        <w:pStyle w:val="Normal"/>
      </w:pPr>
      <w:r>
        <w:t xml:space="preserve">El pensamiento sistémico no es ninguna de las cuatro reglas: emerge de combinarlas. Cierre con el límite del modelo.</w:t>
      </w:r>
    </w:p>
    <w:p>
      <w:pPr>
        <w:pStyle w:val="Heading3"/>
      </w:pPr>
      <w:r>
        <w:t xml:space="preserve">Criterios para una respuesta completa</w:t>
      </w:r>
    </w:p>
    <w:p>
      <w:pPr>
        <w:pStyle w:val="Normal"/>
        <w:numPr>
          <w:ilvl w:val="0"/>
          <w:numId w:val="2"/>
        </w:numPr>
      </w:pPr>
      <w:r>
        <w:t xml:space="preserve">Las cuatro reglas con su par coimplicado explícito y aplicado al caso.</w:t>
      </w:r>
    </w:p>
    <w:p>
      <w:pPr>
        <w:pStyle w:val="Normal"/>
        <w:numPr>
          <w:ilvl w:val="0"/>
          <w:numId w:val="2"/>
        </w:numPr>
      </w:pPr>
      <w:r>
        <w:t xml:space="preserve">Al menos una relación leída como circuito, no como flecha única.</w:t>
      </w:r>
    </w:p>
    <w:p>
      <w:pPr>
        <w:pStyle w:val="Normal"/>
        <w:numPr>
          <w:ilvl w:val="0"/>
          <w:numId w:val="2"/>
        </w:numPr>
      </w:pPr>
      <w:r>
        <w:t xml:space="preserve">Al menos dos perspectivas con su punto y su vista distinguidos.</w:t>
      </w:r>
    </w:p>
    <w:p>
      <w:pPr>
        <w:pStyle w:val="Normal"/>
        <w:numPr>
          <w:ilvl w:val="0"/>
          <w:numId w:val="2"/>
        </w:numPr>
      </w:pPr>
      <w:r>
        <w:t xml:space="preserve">Una segunda pasada donde una regla modifique lo que ven las otras.</w:t>
      </w:r>
    </w:p>
    <w:p>
      <w:pPr>
        <w:pStyle w:val="Normal"/>
        <w:numPr>
          <w:ilvl w:val="0"/>
          <w:numId w:val="2"/>
        </w:numPr>
      </w:pPr>
      <w:r>
        <w:t xml:space="preserve">Dos recortes de frontera comparados, con lo que cada uno hace visible.</w:t>
      </w:r>
    </w:p>
    <w:p>
      <w:pPr>
        <w:pStyle w:val="Normal"/>
        <w:numPr>
          <w:ilvl w:val="0"/>
          <w:numId w:val="2"/>
        </w:numPr>
      </w:pPr>
      <w:r>
        <w:t xml:space="preserve">El pensamiento sistémico nombrado como propiedad emergente, no como secuencia.</w:t>
      </w:r>
    </w:p>
    <w:p>
      <w:pPr>
        <w:pStyle w:val="Normal"/>
        <w:numPr>
          <w:ilvl w:val="0"/>
          <w:numId w:val="2"/>
        </w:numPr>
      </w:pPr>
      <w:r>
        <w:t xml:space="preserve">La advertencia sobre el efecto no intencionado o los datos faltantes.</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9C620A" w:sz="20"/>
              <w:bottom w:val="nil"/>
              <w:right w:val="nil"/>
            </w:tcBorders>
            <w:shd w:fill="FBF3DF" w:val="clear"/>
            <w:tcMar>
              <w:top w:type="dxa" w:w="130"/>
              <w:left w:type="dxa" w:w="180"/>
              <w:bottom w:type="dxa" w:w="130"/>
              <w:right w:type="dxa" w:w="180"/>
            </w:tcMar>
          </w:tcPr>
          <w:p>
            <w:pPr>
              <w:pStyle w:val="RecuadroTitulo"/>
            </w:pPr>
            <w:r>
              <w:rPr>
                <w:b/>
                <w:bCs/>
                <w:color w:val="9C620A"/>
              </w:rPr>
              <w:t xml:space="preserve">Advertencia y límites</w:t>
            </w:r>
          </w:p>
          <w:p>
            <w:pPr>
              <w:pStyle w:val="Recuadro"/>
            </w:pPr>
            <w:r>
              <w:t xml:space="preserve">Efecto no intencionado y cambio de frontera: contratar más auxiliares con la frontera estrecha puede acortar la cola y, al mismo tiempo, aumentar el número de inscripciones mal registradas si el cuello real estaba en la información previa y no en la capacidad de atención —se atendería más rápido con los mismos expedientes incompletos—. Y el modelo se construyó sin datos: no hay medición de tiempos por etapa ni de porcentaje de reintentos, así que las relaciones propuestas son hipótesis a verificar, no hallazgos.</w:t>
            </w:r>
          </w:p>
        </w:tc>
      </w:tr>
    </w:tbl>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El profesor lo dijo así</w:t>
            </w:r>
          </w:p>
          <w:p>
            <w:pPr>
              <w:pStyle w:val="Recuadro"/>
            </w:pPr>
            <w:r>
              <w:t xml:space="preserve">«Para simplificarlo aún más, para fines de qué es pensar sistémicamente, el doctor Cabrera desarrolla en su libro cuatro reglas, cuatro operaciones mentales que son las que hemos estado citando desde el inicio de este curso.»</w:t>
            </w:r>
          </w:p>
          <w:p>
            <w:pPr>
              <w:pStyle w:val="Recuadro"/>
            </w:pPr>
            <w:r>
              <w:t xml:space="preserve">Clase 6 · 01:33:06</w:t>
            </w:r>
          </w:p>
        </w:tc>
      </w:tr>
    </w:tbl>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El profesor lo dijo así</w:t>
            </w:r>
          </w:p>
          <w:p>
            <w:pPr>
              <w:pStyle w:val="Recuadro"/>
            </w:pPr>
            <w:r>
              <w:t xml:space="preserve">«Elegimos un proceso o una regla, una forma básica de distinguir, de diferenciar sistemas, relaciones o perspectivas. Cuando la aplicamos, nuestro modelo conceptual crece. Decidimos si es suficiente para comprender o representar el sistema y, si no es suficiente, repetimos el ciclo y seguimos aplicando cualquiera de las cuatro reglas.»</w:t>
            </w:r>
          </w:p>
          <w:p>
            <w:pPr>
              <w:pStyle w:val="Recuadro"/>
            </w:pPr>
            <w:r>
              <w:t xml:space="preserve">Clase 7 · 01:05:01</w:t>
            </w:r>
          </w:p>
        </w:tc>
      </w:tr>
    </w:tbl>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El profesor lo dijo así</w:t>
            </w:r>
          </w:p>
          <w:p>
            <w:pPr>
              <w:pStyle w:val="Recuadro"/>
            </w:pPr>
            <w:r>
              <w:t xml:space="preserve">«La propiedad emergente es una característica del sistema en su totalidad y no de una parte del sistema. La propiedad emergente se identifica solo cuando vemos las partes del sistema completamente interactuando entre sí y en dinámica completa del sistema.»</w:t>
            </w:r>
          </w:p>
          <w:p>
            <w:pPr>
              <w:pStyle w:val="Recuadro"/>
            </w:pPr>
            <w:r>
              <w:t xml:space="preserve">Clase 6 · 01:32:10</w:t>
            </w:r>
          </w:p>
        </w:tc>
      </w:tr>
    </w:tbl>
    <w:p>
      <w:pPr>
        <w:pStyle w:val="Fuente"/>
      </w:pPr>
      <w:r>
        <w:t xml:space="preserve">Enunciado de práctica externa; resolución editorial del portal.</w:t>
      </w:r>
    </w:p>
    <w:p>
      <w:pPr>
        <w:pStyle w:val="Heading3"/>
      </w:pPr>
      <w:bookmarkStart w:name="b_pregunta_sd_04" w:id="5476"/>
      <w:r>
        <w:t xml:space="preserve">2.29 · 1.7 · Modelo del iceberg</w:t>
      </w:r>
      <w:bookmarkEnd w:id="5476"/>
    </w:p>
    <w:p>
      <w:pPr>
        <w:pStyle w:val="Normal"/>
      </w:pPr>
      <w:r>
        <w:t xml:space="preserve">Analice el siguiente fenómeno con los cuatro niveles del iceberg: «en las últimas semanas disminuyó la participación en las clases virtuales». Escriba eventos, patrones/tendencias, estructuras sistémicas y modelos mentales posibles. Cierre con una intervención de mayor apalancamiento y advierta un posible efecto no intencionado.</w:t>
      </w:r>
    </w:p>
    <w:p>
      <w:pPr>
        <w:pStyle w:val="Fuente"/>
      </w:pPr>
      <w:r>
        <w:t xml:space="preserve">Ordinal de la fuente: 4.</w:t>
      </w:r>
    </w:p>
    <w:p>
      <w:pPr>
        <w:pStyle w:val="Fuente"/>
      </w:pPr>
      <w:r>
        <w:t xml:space="preserve">Valor de práctica: 5 puntos.</w:t>
      </w:r>
    </w:p>
    <w:p>
      <w:pPr>
        <w:pStyle w:val="Heading3"/>
      </w:pPr>
      <w:bookmarkStart w:name="b_solucion_sd_04" w:id="5477"/>
      <w:r>
        <w:t xml:space="preserve">Solución 2.29</w:t>
      </w:r>
      <w:bookmarkEnd w:id="5477"/>
    </w:p>
    <w:p>
      <w:pPr>
        <w:pStyle w:val="RecuadroTitulo"/>
      </w:pPr>
      <w:r>
        <w:t xml:space="preserve">Respuesta modelo</w:t>
      </w:r>
    </w:p>
    <w:p>
      <w:pPr>
        <w:pStyle w:val="Normal"/>
      </w:pPr>
      <w:r>
        <w:t xml:space="preserve">Nivel 1, eventos —¿qué acaba de pasar?, modo reaccionar—: el martes se conectaron once de cuarenta inscritos; en la sesión del jueves nadie encendió la cámara; en el foro de la semana hubo dos intervenciones. Son hechos puntuales y datables. El enunciado, tal como está escrito, ya no es un evento: «en las últimas semanas» es una lectura acumulada.</w:t>
      </w:r>
    </w:p>
    <w:p>
      <w:pPr>
        <w:pStyle w:val="Normal"/>
      </w:pPr>
      <w:r>
        <w:t xml:space="preserve">Nivel 2, patrones y tendencias —¿qué ha venido pasando?, modo anticipar—: la participación cae de forma sostenida desde hace cinco semanas; la caída es mayor en las sesiones de las siete de la mañana que en las de la tarde; se acentúa en las semanas con entrega de tarea; los que dejan de participar rara vez vuelven. Aquí el fenómeno ya tiene forma en el tiempo y admite anticipación.</w:t>
      </w:r>
    </w:p>
    <w:p>
      <w:pPr>
        <w:pStyle w:val="Normal"/>
      </w:pPr>
      <w:r>
        <w:t xml:space="preserve">Nivel 3, estructuras sistémicas —¿qué relaciones y estructuras producen esos patrones?, modo diseñar—: la calificación no depende de la participación en la sesión sincrónica, de modo que participar no tiene retorno visible; la grabación queda disponible después, lo que convierte la asistencia en opcional sin costo; el horario coincide con la jornada laboral de buena parte del grupo; el formato es expositivo y no reserva momentos donde la intervención sea necesaria; cuando alguien pregunta, la respuesta llega por correo días después, con una demora que desalienta volver a preguntar. Nótese el circuito: menos participación → sesiones más expositivas → menos razones para participar.</w:t>
      </w:r>
    </w:p>
    <w:p>
      <w:pPr>
        <w:pStyle w:val="Normal"/>
      </w:pPr>
      <w:r>
        <w:t xml:space="preserve">Nivel 4, modelos mentales —¿qué creencias y supuestos mantienen en pie esa estructura?, modo transformar—: entre los estudiantes, «la clase virtual es para ver la grabación, no para estar»; «preguntar en público expone»; «lo que se evalúa es la tarea, no la clase». Entre los docentes, «si no participan es porque no les interesa» —que es una atribución al individuo y no a la estructura—; «la clase virtual es la clase presencial trasladada a una pantalla»; «grabar es dar un servicio», sin ver que grabar también redefine la asistencia como opcional.</w:t>
      </w:r>
    </w:p>
    <w:p>
      <w:pPr>
        <w:pStyle w:val="Normal"/>
      </w:pPr>
      <w:r>
        <w:t xml:space="preserve">Intervención de mayor apalancamiento: trabajar en el nivel 3 y 4 a la vez, rediseñando la sesión sincrónica para que contenga algo que no exista en la grabación —resolución conjunta de un caso, con producto entregado al final de la sesión— y explicitando con el grupo la creencia de fondo sobre para qué sirve estar en vivo. Actuar sólo en el nivel de eventos —pasar lista, penalizar la ausencia— produce presencia sin participación: cuerpos conectados con la cámara apagada, que es el mismo patrón con otro indicador.</w:t>
      </w:r>
    </w:p>
    <w:p>
      <w:pPr>
        <w:pStyle w:val="Heading3"/>
      </w:pPr>
      <w:r>
        <w:t xml:space="preserve">Separa el evento del patrón antes de nada</w:t>
      </w:r>
    </w:p>
    <w:p>
      <w:pPr>
        <w:pStyle w:val="Normal"/>
      </w:pPr>
      <w:r>
        <w:t xml:space="preserve">«Las últimas semanas» ya es un patrón, no un evento. El evento es una sesión concreta. Confundirlos es la trampa más frecuente del tema.</w:t>
      </w:r>
    </w:p>
    <w:p>
      <w:pPr>
        <w:pStyle w:val="Heading3"/>
      </w:pPr>
      <w:r>
        <w:t xml:space="preserve">Sube a patrones con la pregunta del nivel</w:t>
      </w:r>
    </w:p>
    <w:p>
      <w:pPr>
        <w:pStyle w:val="Normal"/>
      </w:pPr>
      <w:r>
        <w:t xml:space="preserve">¿Qué ha venido pasando? Busque forma en el tiempo: si cae siempre a la misma hora, si cae más en un curso, si empezó después de algo.</w:t>
      </w:r>
    </w:p>
    <w:p>
      <w:pPr>
        <w:pStyle w:val="Heading3"/>
      </w:pPr>
      <w:r>
        <w:t xml:space="preserve">Baja a estructura preguntando qué produce ese patrón</w:t>
      </w:r>
    </w:p>
    <w:p>
      <w:pPr>
        <w:pStyle w:val="Normal"/>
      </w:pPr>
      <w:r>
        <w:t xml:space="preserve">Relaciones, reglas, incentivos, horarios, plataformas. La estructura no son las personas: es el patrón de organización que hace probable ese comportamiento.</w:t>
      </w:r>
    </w:p>
    <w:p>
      <w:pPr>
        <w:pStyle w:val="Heading3"/>
      </w:pPr>
      <w:r>
        <w:t xml:space="preserve">Llega a los modelos mentales por vía dialógica</w:t>
      </w:r>
    </w:p>
    <w:p>
      <w:pPr>
        <w:pStyle w:val="Normal"/>
      </w:pPr>
      <w:r>
        <w:t xml:space="preserve">Las creencias no se miden con una encuesta de asistencia: salen conversando. Formule creencias posibles, tanto de estudiantes como de docentes.</w:t>
      </w:r>
    </w:p>
    <w:p>
      <w:pPr>
        <w:pStyle w:val="Heading3"/>
      </w:pPr>
      <w:r>
        <w:t xml:space="preserve">Elige la intervención por profundidad y advierte</w:t>
      </w:r>
    </w:p>
    <w:p>
      <w:pPr>
        <w:pStyle w:val="Normal"/>
      </w:pPr>
      <w:r>
        <w:t xml:space="preserve">Cuanto más profundo el nivel, mayor el apalancamiento. Elija una y diga qué podría romper.</w:t>
      </w:r>
    </w:p>
    <w:p>
      <w:pPr>
        <w:pStyle w:val="Heading3"/>
      </w:pPr>
      <w:r>
        <w:t xml:space="preserve">Criterios para una respuesta completa</w:t>
      </w:r>
    </w:p>
    <w:p>
      <w:pPr>
        <w:pStyle w:val="Normal"/>
        <w:numPr>
          <w:ilvl w:val="0"/>
          <w:numId w:val="2"/>
        </w:numPr>
      </w:pPr>
      <w:r>
        <w:t xml:space="preserve">Los cuatro niveles nombrados con su pregunta y su modo de respuesta.</w:t>
      </w:r>
    </w:p>
    <w:p>
      <w:pPr>
        <w:pStyle w:val="Normal"/>
        <w:numPr>
          <w:ilvl w:val="0"/>
          <w:numId w:val="2"/>
        </w:numPr>
      </w:pPr>
      <w:r>
        <w:t xml:space="preserve">Eventos concretos y datables, distinguidos del patrón que el enunciado ya trae.</w:t>
      </w:r>
    </w:p>
    <w:p>
      <w:pPr>
        <w:pStyle w:val="Normal"/>
        <w:numPr>
          <w:ilvl w:val="0"/>
          <w:numId w:val="2"/>
        </w:numPr>
      </w:pPr>
      <w:r>
        <w:t xml:space="preserve">Al menos tres elementos de estructura que sean relaciones o reglas, no personas.</w:t>
      </w:r>
    </w:p>
    <w:p>
      <w:pPr>
        <w:pStyle w:val="Normal"/>
        <w:numPr>
          <w:ilvl w:val="0"/>
          <w:numId w:val="2"/>
        </w:numPr>
      </w:pPr>
      <w:r>
        <w:t xml:space="preserve">Modelos mentales formulados como creencias, de ambos lados del aula.</w:t>
      </w:r>
    </w:p>
    <w:p>
      <w:pPr>
        <w:pStyle w:val="Normal"/>
        <w:numPr>
          <w:ilvl w:val="0"/>
          <w:numId w:val="2"/>
        </w:numPr>
      </w:pPr>
      <w:r>
        <w:t xml:space="preserve">Una intervención situada explícitamente en un nivel, con su razón de apalancamiento.</w:t>
      </w:r>
    </w:p>
    <w:p>
      <w:pPr>
        <w:pStyle w:val="Normal"/>
        <w:numPr>
          <w:ilvl w:val="0"/>
          <w:numId w:val="2"/>
        </w:numPr>
      </w:pPr>
      <w:r>
        <w:t xml:space="preserve">Un efecto no intencionado nombrado y el límite de la evidencia disponible.</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9C620A" w:sz="20"/>
              <w:bottom w:val="nil"/>
              <w:right w:val="nil"/>
            </w:tcBorders>
            <w:shd w:fill="FBF3DF" w:val="clear"/>
            <w:tcMar>
              <w:top w:type="dxa" w:w="130"/>
              <w:left w:type="dxa" w:w="180"/>
              <w:bottom w:type="dxa" w:w="130"/>
              <w:right w:type="dxa" w:w="180"/>
            </w:tcMar>
          </w:tcPr>
          <w:p>
            <w:pPr>
              <w:pStyle w:val="RecuadroTitulo"/>
            </w:pPr>
            <w:r>
              <w:rPr>
                <w:b/>
                <w:bCs/>
                <w:color w:val="9C620A"/>
              </w:rPr>
              <w:t xml:space="preserve">Advertencia y límites</w:t>
            </w:r>
          </w:p>
          <w:p>
            <w:pPr>
              <w:pStyle w:val="Recuadro"/>
            </w:pPr>
            <w:r>
              <w:t xml:space="preserve">Efecto no intencionado: rediseñar la sesión para que sólo funcione en vivo perjudica a quien tiene el horario ocupado por trabajo, que es precisamente uno de los patrones detectados; la intervención podría subir la participación media y a la vez expulsar del curso a un subgrupo. Límite del modelo, además: los modelos mentales del nivel 4 son hipótesis. Eventos y patrones se miden con investigación cuantitativa y la estructura se reconstruye con instrumentos mixtos, pero las creencias sólo salen por vía dialógica, y aquí no se ha conversado con nadie.</w:t>
            </w:r>
          </w:p>
        </w:tc>
      </w:tr>
    </w:tbl>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El profesor lo dijo así</w:t>
            </w:r>
          </w:p>
          <w:p>
            <w:pPr>
              <w:pStyle w:val="Recuadro"/>
            </w:pPr>
            <w:r>
              <w:t xml:space="preserve">«El agua representa todo aquello que no se ve a simple vista. Por eso la percepción de los eventos está fuera del agua: no hay que hacer mayor esfuerzo para tener esa perspectiva.»</w:t>
            </w:r>
          </w:p>
          <w:p>
            <w:pPr>
              <w:pStyle w:val="Recuadro"/>
            </w:pPr>
            <w:r>
              <w:t xml:space="preserve">Clase 4 · 00:15:55</w:t>
            </w:r>
          </w:p>
        </w:tc>
      </w:tr>
    </w:tbl>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El profesor lo dijo así</w:t>
            </w:r>
          </w:p>
          <w:p>
            <w:pPr>
              <w:pStyle w:val="Recuadro"/>
            </w:pPr>
            <w:r>
              <w:t xml:space="preserve">«Las soluciones o las mejores decisiones no se toman solo a nivel de la percepción de esa perspectiva de los eventos, porque eso nos da poca información.»</w:t>
            </w:r>
          </w:p>
          <w:p>
            <w:pPr>
              <w:pStyle w:val="Recuadro"/>
            </w:pPr>
            <w:r>
              <w:t xml:space="preserve">Clase 4 · 00:36:12</w:t>
            </w:r>
          </w:p>
        </w:tc>
      </w:tr>
    </w:tbl>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El profesor lo dijo así</w:t>
            </w:r>
          </w:p>
          <w:p>
            <w:pPr>
              <w:pStyle w:val="Recuadro"/>
            </w:pPr>
            <w:r>
              <w:t xml:space="preserve">«Ese nivel de los modelos mentales es el más complejo de acceder y es el más importante de tener conciencia para un pensador sistémico, porque a partir de ahí se construyen las otras perspectivas.»</w:t>
            </w:r>
          </w:p>
          <w:p>
            <w:pPr>
              <w:pStyle w:val="Recuadro"/>
            </w:pPr>
            <w:r>
              <w:t xml:space="preserve">Clase 4 · 00:42:01</w:t>
            </w:r>
          </w:p>
        </w:tc>
      </w:tr>
    </w:tbl>
    <w:p>
      <w:pPr>
        <w:pStyle w:val="Fuente"/>
      </w:pPr>
      <w:r>
        <w:t xml:space="preserve">Enunciado de práctica externa; resolución editorial del portal.</w:t>
      </w:r>
    </w:p>
    <w:p>
      <w:pPr>
        <w:pStyle w:val="Heading3"/>
      </w:pPr>
      <w:bookmarkStart w:name="b_pregunta_sd_05" w:id="5478"/>
      <w:r>
        <w:t xml:space="preserve">2.30 · 1.3 / 1.4 · Sistematografía y modelización sistémica</w:t>
      </w:r>
      <w:bookmarkEnd w:id="5478"/>
    </w:p>
    <w:p>
      <w:pPr>
        <w:pStyle w:val="Normal"/>
      </w:pPr>
      <w:r>
        <w:t xml:space="preserve">Explique la sistematografía como representación dinámica del sistema en el tiempo. Relaciónela con las cuatro partes del gráfico de modelización: objeto, sistema de representación o modelizador, sistema generalizado y modelo sistémico. Incluya las tres perspectivas usadas para modelar —partes y relaciones, entradas/proceso/salidas, evolución en el tiempo— y distinga isomorfismo de homomorfismo con un ejemplo.</w:t>
      </w:r>
    </w:p>
    <w:p>
      <w:pPr>
        <w:pStyle w:val="Fuente"/>
      </w:pPr>
      <w:r>
        <w:t xml:space="preserve">Ordinal de la fuente: 5.</w:t>
      </w:r>
    </w:p>
    <w:p>
      <w:pPr>
        <w:pStyle w:val="Fuente"/>
      </w:pPr>
      <w:r>
        <w:t xml:space="preserve">Valor de práctica: 5 puntos.</w:t>
      </w:r>
    </w:p>
    <w:p>
      <w:pPr>
        <w:pStyle w:val="Heading3"/>
      </w:pPr>
      <w:bookmarkStart w:name="b_solucion_sd_05" w:id="5479"/>
      <w:r>
        <w:t xml:space="preserve">Solución 2.30</w:t>
      </w:r>
      <w:bookmarkEnd w:id="5479"/>
    </w:p>
    <w:p>
      <w:pPr>
        <w:pStyle w:val="RecuadroTitulo"/>
      </w:pPr>
      <w:r>
        <w:t xml:space="preserve">Respuesta modelo</w:t>
      </w:r>
    </w:p>
    <w:p>
      <w:pPr>
        <w:pStyle w:val="Normal"/>
      </w:pPr>
      <w:r>
        <w:t xml:space="preserve">La sistematografía es la representación del sistema en el tiempo: no dibuja una fotografía de sus partes, dibuja su evolución —los estados que atraviesa, cómo cambia su estructura interna sin perder identidad—. Es la contrapartida gráfica de lo que la definición de Le Moigne exige cuando dice que el objeto «ve evolucionar su estructura interna a lo largo del tiempo sin perder por ello su identidad», y es la herramienta que acompaña al macroscopio: si el macroscopio sirve para mirar lo muy grande y muy interconectado, la sistematografía sirve para anotar lo que ese instrumento ve cambiar.</w:t>
      </w:r>
    </w:p>
    <w:p>
      <w:pPr>
        <w:pStyle w:val="Normal"/>
      </w:pPr>
      <w:r>
        <w:t xml:space="preserve">El gráfico de modelización tiene cuatro piezas. (1) El objeto a modelizar, percibido en su entorno: la porción de realidad que se decide estudiar, y el «percibido» no es adorno, porque el objeto entra ya filtrado por quien mira. (2) El sistema de representación o modelizador: el observador con sus paradigmas y sus modelos mentales, que es quien recorta la frontera y declara desde dónde mira. (3) El sistema generalizado: el molde conceptual único —partes, relaciones, objetivos, entorno y frontera, entradas, salidas, evolución, estructura organizada, totalidad— que funciona como filtro y determina qué información de la realidad se toma en cuenta. (4) Los modelos sistémicos I, II y III: de un mismo objeto salen modelos distintos según qué se haya conservado, y esa pluralidad no es un defecto sino la consecuencia de que modelar exige elegir.</w:t>
      </w:r>
    </w:p>
    <w:p>
      <w:pPr>
        <w:pStyle w:val="Normal"/>
      </w:pPr>
      <w:r>
        <w:t xml:space="preserve">Las tres perspectivas se reparten sobre ese mismo esquema. Ontológica: qué partes y qué relaciones hay, vistas en estático —responde a la totalidad y a los componentes—. Funcional: qué recibe, qué transforma, qué entrega y cómo se regula —responde a entradas, proceso, salidas y retroacción—. Genética o evolutiva: cómo surgió el sistema y qué estados atraviesa en el tiempo —y es aquí donde vive la sistematografía—. Las tres son del mismo objeto: no son tres objetos, son tres puntos con sus tres vistas, en el sentido estricto de la P de DSRP.</w:t>
      </w:r>
    </w:p>
    <w:p>
      <w:pPr>
        <w:pStyle w:val="Normal"/>
      </w:pPr>
      <w:r>
        <w:t xml:space="preserve">Los dos morfismos ocupan tramos distintos del esquema y ahí está la mitad de la pregunta. El homomorfismo va del objeto al modelo: la lámina lo define como el caso en que «el modelo ya no es similar, sino una representación donde se ha efectuado una reducción de variables, de muchas a una», y pone como ejemplos una maqueta, un organigrama, un flujograma o un modelo matemático de decisión. El isomorfismo va del sistema general al modelo: «Isomórfico significa “con una forma similar” y se refiere a la construcción de modelos de sistemas similares al modelo original… De esta forma los modelos del pensador sistémico son isomórficos respecto al concepto general de sistema y sus diferentes características». Un modelo sistémico es las dos cosas a la vez: más simple que el objeto y de forma similar al concepto de sistema.</w:t>
      </w:r>
    </w:p>
    <w:p>
      <w:pPr>
        <w:pStyle w:val="Normal"/>
      </w:pPr>
      <w:r>
        <w:t xml:space="preserve">El ejemplo, con una sola pieza para los dos morfismos: el organigrama de la Facultad. Respecto de la Facultad real es homomórfico, porque reduce muchísimas variables a una —de miles de personas, historias, conflictos, horarios y afectos quedan sólo cajas y líneas de dependencia—. Respecto del concepto general de sistema es isomórfico, porque conserva sus piezas conceptuales: hay componentes (las unidades), relaciones (las líneas), una frontera (qué queda dentro de la Facultad), una jerarquía y unos objetivos. Por eso lo que se estudia en el organigrama puede devolverse en parte al original, y por eso al mismo tiempo el organigrama nunca explicará cómo se toma realmente una decisión.</w:t>
      </w:r>
    </w:p>
    <w:p>
      <w:pPr>
        <w:pStyle w:val="Heading3"/>
      </w:pPr>
      <w:r>
        <w:t xml:space="preserve">Define sistematografía por lo que añade</w:t>
      </w:r>
    </w:p>
    <w:p>
      <w:pPr>
        <w:pStyle w:val="Normal"/>
      </w:pPr>
      <w:r>
        <w:t xml:space="preserve">Lo que la distingue de un diagrama es el tiempo: no representa un estado, representa la evolución. Es la herramienta que acompaña al macroscopio.</w:t>
      </w:r>
    </w:p>
    <w:p>
      <w:pPr>
        <w:pStyle w:val="Heading3"/>
      </w:pPr>
      <w:r>
        <w:t xml:space="preserve">Recorre el gráfico de la lámina en orden</w:t>
      </w:r>
    </w:p>
    <w:p>
      <w:pPr>
        <w:pStyle w:val="Normal"/>
      </w:pPr>
      <w:r>
        <w:t xml:space="preserve">Objeto a modelizar percibido en su entorno → modelizador → sistema general como filtro → modelos I, II y III. Cada pieza tiene una función distinta.</w:t>
      </w:r>
    </w:p>
    <w:p>
      <w:pPr>
        <w:pStyle w:val="Heading3"/>
      </w:pPr>
      <w:r>
        <w:t xml:space="preserve">Encaja las tres perspectivas donde corresponden</w:t>
      </w:r>
    </w:p>
    <w:p>
      <w:pPr>
        <w:pStyle w:val="Normal"/>
      </w:pPr>
      <w:r>
        <w:t xml:space="preserve">Ontológica: partes y relaciones. Funcional: entradas, proceso, salidas. Genética o evolutiva: cómo surgió y qué estados atraviesa. La sistematografía vive en la tercera.</w:t>
      </w:r>
    </w:p>
    <w:p>
      <w:pPr>
        <w:pStyle w:val="Heading3"/>
      </w:pPr>
      <w:r>
        <w:t xml:space="preserve">Reparte los dos morfismos por tramo, no por sinónimo</w:t>
      </w:r>
    </w:p>
    <w:p>
      <w:pPr>
        <w:pStyle w:val="Normal"/>
      </w:pPr>
      <w:r>
        <w:t xml:space="preserve">Homomorfismo entre el objeto y el modelo, por reducción de variables. Isomorfismo entre el concepto general de sistema y el modelo, por forma similar. Es el punto donde más se falla.</w:t>
      </w:r>
    </w:p>
    <w:p>
      <w:pPr>
        <w:pStyle w:val="Heading3"/>
      </w:pPr>
      <w:r>
        <w:t xml:space="preserve">Cierra con un ejemplo y con el límite</w:t>
      </w:r>
    </w:p>
    <w:p>
      <w:pPr>
        <w:pStyle w:val="Normal"/>
      </w:pPr>
      <w:r>
        <w:t xml:space="preserve">Un solo ejemplo que sirva para los dos morfismos hace la respuesta más fuerte que dos ejemplos sueltos.</w:t>
      </w:r>
    </w:p>
    <w:p>
      <w:pPr>
        <w:pStyle w:val="Heading3"/>
      </w:pPr>
      <w:r>
        <w:t xml:space="preserve">Criterios para una respuesta completa</w:t>
      </w:r>
    </w:p>
    <w:p>
      <w:pPr>
        <w:pStyle w:val="Normal"/>
        <w:numPr>
          <w:ilvl w:val="0"/>
          <w:numId w:val="2"/>
        </w:numPr>
      </w:pPr>
      <w:r>
        <w:t xml:space="preserve">La sistematografía definida por el tiempo, no como sinónimo de diagrama.</w:t>
      </w:r>
    </w:p>
    <w:p>
      <w:pPr>
        <w:pStyle w:val="Normal"/>
        <w:numPr>
          <w:ilvl w:val="0"/>
          <w:numId w:val="2"/>
        </w:numPr>
      </w:pPr>
      <w:r>
        <w:t xml:space="preserve">Las cuatro piezas del gráfico, cada una con su función, incluido el modelizador.</w:t>
      </w:r>
    </w:p>
    <w:p>
      <w:pPr>
        <w:pStyle w:val="Normal"/>
        <w:numPr>
          <w:ilvl w:val="0"/>
          <w:numId w:val="2"/>
        </w:numPr>
      </w:pPr>
      <w:r>
        <w:t xml:space="preserve">El sistema generalizado presentado como filtro, no como lista de partes.</w:t>
      </w:r>
    </w:p>
    <w:p>
      <w:pPr>
        <w:pStyle w:val="Normal"/>
        <w:numPr>
          <w:ilvl w:val="0"/>
          <w:numId w:val="2"/>
        </w:numPr>
      </w:pPr>
      <w:r>
        <w:t xml:space="preserve">Las tres perspectivas nombradas y diferenciadas por lo que responde cada una.</w:t>
      </w:r>
    </w:p>
    <w:p>
      <w:pPr>
        <w:pStyle w:val="Normal"/>
        <w:numPr>
          <w:ilvl w:val="0"/>
          <w:numId w:val="2"/>
        </w:numPr>
      </w:pPr>
      <w:r>
        <w:t xml:space="preserve">Isomorfismo y homomorfismo asignados al tramo correcto del esquema.</w:t>
      </w:r>
    </w:p>
    <w:p>
      <w:pPr>
        <w:pStyle w:val="Normal"/>
        <w:numPr>
          <w:ilvl w:val="0"/>
          <w:numId w:val="2"/>
        </w:numPr>
      </w:pPr>
      <w:r>
        <w:t xml:space="preserve">Un ejemplo que sostenga los dos morfismos y la advertencia sobre lo que la reducción deja fuera.</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9C620A" w:sz="20"/>
              <w:bottom w:val="nil"/>
              <w:right w:val="nil"/>
            </w:tcBorders>
            <w:shd w:fill="FBF3DF" w:val="clear"/>
            <w:tcMar>
              <w:top w:type="dxa" w:w="130"/>
              <w:left w:type="dxa" w:w="180"/>
              <w:bottom w:type="dxa" w:w="130"/>
              <w:right w:type="dxa" w:w="180"/>
            </w:tcMar>
          </w:tcPr>
          <w:p>
            <w:pPr>
              <w:pStyle w:val="RecuadroTitulo"/>
            </w:pPr>
            <w:r>
              <w:rPr>
                <w:b/>
                <w:bCs/>
                <w:color w:val="9C620A"/>
              </w:rPr>
              <w:t xml:space="preserve">Advertencia y límites</w:t>
            </w:r>
          </w:p>
          <w:p>
            <w:pPr>
              <w:pStyle w:val="Recuadro"/>
            </w:pPr>
            <w:r>
              <w:t xml:space="preserve">Límite del modelo: la reducción de variables del homomorfismo no es neutral —el organigrama deja fuera exactamente las relaciones informales que más explican el comportamiento cotidiano—, de modo que tomar decisiones sólo con él produce el efecto no intencionado de reorganizar cajas sin tocar nada de lo que genera el comportamiento. Y una precisión de procedencia: el gráfico y sus dos llaves son texto de lámina, mientras que la lectura del organigrama como ejemplo es andamiaje del portal.</w:t>
            </w:r>
          </w:p>
        </w:tc>
      </w:tr>
    </w:tbl>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El profesor lo dijo así</w:t>
            </w:r>
          </w:p>
          <w:p>
            <w:pPr>
              <w:pStyle w:val="Recuadro"/>
            </w:pPr>
            <w:r>
              <w:t xml:space="preserve">«Así como cuando los arquitectos construyen una maqueta de un edificio: al principio la maqueta representa el edificio que no existe aún, pero nos da la idea de lo que queremos construir; y luego, cuando el edificio ya está construido, la maqueta es una representación fiel de ese edificio a nivel simplificado.»</w:t>
            </w:r>
          </w:p>
          <w:p>
            <w:pPr>
              <w:pStyle w:val="Recuadro"/>
            </w:pPr>
            <w:r>
              <w:t xml:space="preserve">Clase 6 · 01:11:42</w:t>
            </w:r>
          </w:p>
        </w:tc>
      </w:tr>
    </w:tbl>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El profesor lo dijo así</w:t>
            </w:r>
          </w:p>
          <w:p>
            <w:pPr>
              <w:pStyle w:val="Recuadro"/>
            </w:pPr>
            <w:r>
              <w:t xml:space="preserve">«La creación de los modelos mentales sistémicos filtra la realidad utilizando como filtro, utilizando como proceso de discriminación de la realidad, el concepto de sistema.»</w:t>
            </w:r>
          </w:p>
          <w:p>
            <w:pPr>
              <w:pStyle w:val="Recuadro"/>
            </w:pPr>
            <w:r>
              <w:t xml:space="preserve">Clase 6 · 01:00:37</w:t>
            </w:r>
          </w:p>
        </w:tc>
      </w:tr>
    </w:tbl>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El profesor lo dijo así</w:t>
            </w:r>
          </w:p>
          <w:p>
            <w:pPr>
              <w:pStyle w:val="Recuadro"/>
            </w:pPr>
            <w:r>
              <w:t xml:space="preserve">«Muchos autores le denominan un metaparadigma: un modelo mental amplio que de alguna manera determina e influye en las reglas y en las normas con que debemos regir nuestros propios pensamientos y nuestra propia construcción de los modelos mentales, y que está basado en una teoría generalista que busca una visión unitaria del mundo, del universo, de la realidad.»</w:t>
            </w:r>
          </w:p>
          <w:p>
            <w:pPr>
              <w:pStyle w:val="Recuadro"/>
            </w:pPr>
            <w:r>
              <w:t xml:space="preserve">Clase 6 · 00:41:13</w:t>
            </w:r>
          </w:p>
        </w:tc>
      </w:tr>
    </w:tbl>
    <w:p>
      <w:pPr>
        <w:pStyle w:val="Fuente"/>
      </w:pPr>
      <w:r>
        <w:t xml:space="preserve">Enunciado de práctica externa; resolución editorial del portal.</w:t>
      </w:r>
    </w:p>
    <w:p>
      <w:pPr>
        <w:pStyle w:val="Heading3"/>
      </w:pPr>
      <w:bookmarkStart w:name="b_pregunta_sd_06" w:id="5480"/>
      <w:r>
        <w:t xml:space="preserve">2.31 · 2.2 / 2.3 / 2.4 · Anatomía y estructura de un sistema</w:t>
      </w:r>
      <w:bookmarkEnd w:id="5480"/>
    </w:p>
    <w:p>
      <w:pPr>
        <w:pStyle w:val="Normal"/>
      </w:pPr>
      <w:r>
        <w:t xml:space="preserve">Modele la cafetería universitaria como sistema. Defina propósito, frontera, entorno, entradas, salidas, componentes, relaciones, subsistemas y suprasistema. Explique qué estructura genera el comportamiento observado y cómo cambiaría el análisis si la frontera se ampliara desde «cafetería» hacia «servicio alimentario de la Facultad».</w:t>
      </w:r>
    </w:p>
    <w:p>
      <w:pPr>
        <w:pStyle w:val="Fuente"/>
      </w:pPr>
      <w:r>
        <w:t xml:space="preserve">Ordinal de la fuente: 6.</w:t>
      </w:r>
    </w:p>
    <w:p>
      <w:pPr>
        <w:pStyle w:val="Fuente"/>
      </w:pPr>
      <w:r>
        <w:t xml:space="preserve">Valor de práctica: 5 puntos.</w:t>
      </w:r>
    </w:p>
    <w:p>
      <w:pPr>
        <w:pStyle w:val="Heading3"/>
      </w:pPr>
      <w:bookmarkStart w:name="b_solucion_sd_06" w:id="5481"/>
      <w:r>
        <w:t xml:space="preserve">Solución 2.31</w:t>
      </w:r>
      <w:bookmarkEnd w:id="5481"/>
    </w:p>
    <w:p>
      <w:pPr>
        <w:pStyle w:val="RecuadroTitulo"/>
      </w:pPr>
      <w:r>
        <w:t xml:space="preserve">Respuesta modelo</w:t>
      </w:r>
    </w:p>
    <w:p>
      <w:pPr>
        <w:pStyle w:val="Normal"/>
      </w:pPr>
      <w:r>
        <w:t xml:space="preserve">Propósito o razón de ser: proveer alimentación accesible y rápida a la comunidad de la Facultad dentro de los intervalos entre clases. Frontera, trazada por el analista y declarada como tal: quedan dentro el local, el personal, el equipo de cocina, el inventario, la caja y el proceso de atención; quedan fuera los proveedores, el transporte, los precios de mercado, el horario académico y las normas sanitarias. Entorno: aquello con lo que la cafetería intercambia sin ser parte de ella —proveedores, la administración de la Facultad, los estudiantes y docentes como usuarios, otras opciones de comida del entorno, la autoridad sanitaria—. Entradas: insumos, agua, energía, personal por turno, dinero, pedidos. Salidas: platos y bebidas servidos, residuos, ingresos, información de consumo, y también satisfacción o insatisfacción de los usuarios. Componentes: cocina, área de despacho, caja, comedor, almacén, personal, sistema de pedidos. Relaciones: el almacén abastece a la cocina; la cocina alimenta al despacho; el despacho depende de la caja para liberar el pedido; la caja regula el flujo hacia el comedor. Evolución: el menú y el equipo cambian de un semestre a otro sin que la cafetería deje de ser la misma. Estructura organizada: turnos, menú fijo por día, un solo punto de cobro, orden de atención por llegada.</w:t>
      </w:r>
    </w:p>
    <w:p>
      <w:pPr>
        <w:pStyle w:val="Normal"/>
      </w:pPr>
      <w:r>
        <w:t xml:space="preserve">Subsistemas: cocina, despacho, caja, almacén, limpieza. Suprasistema: el servicio alimentario de la Facultad, y por encima la Facultad y la Universidad. Nótese que los tres rótulos son posiciones relativas al recorte: la cocina es subsistema de la cafetería y sistema completo si se la estudia por dentro, con sus propias partes, entradas y salidas. Todo sistema es a la vez totalidad y parte.</w:t>
      </w:r>
    </w:p>
    <w:p>
      <w:pPr>
        <w:pStyle w:val="Normal"/>
      </w:pPr>
      <w:r>
        <w:t xml:space="preserve">Qué estructura genera el comportamiento observado. Comportamiento: entre las once y las doce se forma una cola que desborda el pasillo, mientras que a las tres de la tarde el local está medio vacío. La estructura que lo produce no es «los estudiantes llegan tarde»: es un patrón de organización con tres piezas. Primera, un único punto de cobro por el que pasa todo el flujo, de modo que la caja se convierte en cuello de botella con independencia de cuán rápida sea la cocina. Segunda, un menú preparado a demanda para varios platos, que acopla el tiempo de espera al tipo de pedido y hace que un pedido lento retrase a toda la fila detrás. Tercera —y ésta viene del entorno—, un calendario académico que libera a casi todos los grupos a la misma hora. Cambie cualquiera de las tres, con las mismas personas, y el comportamiento cambia: es la topología de las relaciones, y no el carácter de los individuos, lo que produce el patrón.</w:t>
      </w:r>
    </w:p>
    <w:p>
      <w:pPr>
        <w:pStyle w:val="Normal"/>
      </w:pPr>
      <w:r>
        <w:t xml:space="preserve">Al ampliar la frontera hacia «servicio alimentario de la Facultad», la cafetería deja de ser el sistema y pasa a ser un subsistema. Entran como componentes los kioscos, las máquinas expendedoras, los vendedores autorizados en los pasillos y el comedor de personal; entran como relaciones internas —no como entorno— la negociación de precios con la administración y la asignación de espacios. Y aparece un comportamiento que el recorte estrecho no podía ver: la cola de las once puede deberse a que los otros puntos de venta cierran a esa hora o no aceptan pago electrónico, de modo que la demanda se concentra. Con la frontera estrecha, la intervención plausible era «poner una segunda caja»; con la frontera ancha aparece otra de más apalancamiento, «escalonar los horarios de los puntos de venta y del calendario», que era literalmente invisible antes. También se pierde algo: con el recorte ancho el detalle del flujo interno de la cocina se vuelve demasiado fino para el nivel elegido. No hay un nivel verdadero, hay un nivel útil para la pregunta que se hace.</w:t>
      </w:r>
    </w:p>
    <w:p>
      <w:pPr>
        <w:pStyle w:val="Heading3"/>
      </w:pPr>
      <w:r>
        <w:t xml:space="preserve">Empieza por el propósito, no por la lista</w:t>
      </w:r>
    </w:p>
    <w:p>
      <w:pPr>
        <w:pStyle w:val="Normal"/>
      </w:pPr>
      <w:r>
        <w:t xml:space="preserve">Todo sistema tendrá una razón de ser, y el propósito decide qué cuenta como entrada, como salida y como frontera. Empezar por los componentes produce inventarios.</w:t>
      </w:r>
    </w:p>
    <w:p>
      <w:pPr>
        <w:pStyle w:val="Heading3"/>
      </w:pPr>
      <w:r>
        <w:t xml:space="preserve">Traza la frontera y declárala</w:t>
      </w:r>
    </w:p>
    <w:p>
      <w:pPr>
        <w:pStyle w:val="Normal"/>
      </w:pPr>
      <w:r>
        <w:t xml:space="preserve">Diga explícitamente qué queda dentro y qué queda fuera, y que la traza usted. La frontera no viene dada por el edificio.</w:t>
      </w:r>
    </w:p>
    <w:p>
      <w:pPr>
        <w:pStyle w:val="Heading3"/>
      </w:pPr>
      <w:r>
        <w:t xml:space="preserve">Completa los nueve conceptos asociados</w:t>
      </w:r>
    </w:p>
    <w:p>
      <w:pPr>
        <w:pStyle w:val="Normal"/>
      </w:pPr>
      <w:r>
        <w:t xml:space="preserve">Totalidad, componentes, relaciones, objetivos, evolución, entorno y frontera, estructura organizada, entradas, salidas. Es la lista de la lámina 7 y sirve de checklist.</w:t>
      </w:r>
    </w:p>
    <w:p>
      <w:pPr>
        <w:pStyle w:val="Heading3"/>
      </w:pPr>
      <w:r>
        <w:t xml:space="preserve">Explica un comportamiento con la estructura</w:t>
      </w:r>
    </w:p>
    <w:p>
      <w:pPr>
        <w:pStyle w:val="Normal"/>
      </w:pPr>
      <w:r>
        <w:t xml:space="preserve">No basta con listar relaciones: elija un comportamiento observado —la cola de las once— y muestre qué patrón de organización lo produce.</w:t>
      </w:r>
    </w:p>
    <w:p>
      <w:pPr>
        <w:pStyle w:val="Heading3"/>
      </w:pPr>
      <w:r>
        <w:t xml:space="preserve">Amplía la frontera y compara los dos análisis</w:t>
      </w:r>
    </w:p>
    <w:p>
      <w:pPr>
        <w:pStyle w:val="Normal"/>
      </w:pPr>
      <w:r>
        <w:t xml:space="preserve">Con el recorte ancho, la cafetería pasa de sistema a subsistema. Muestre qué aparece y qué desaparece, y advierta.</w:t>
      </w:r>
    </w:p>
    <w:p>
      <w:pPr>
        <w:pStyle w:val="Heading3"/>
      </w:pPr>
      <w:r>
        <w:t xml:space="preserve">Criterios para una respuesta completa</w:t>
      </w:r>
    </w:p>
    <w:p>
      <w:pPr>
        <w:pStyle w:val="Normal"/>
        <w:numPr>
          <w:ilvl w:val="0"/>
          <w:numId w:val="2"/>
        </w:numPr>
      </w:pPr>
      <w:r>
        <w:t xml:space="preserve">Propósito enunciado antes de la lista y usado para decidir la frontera.</w:t>
      </w:r>
    </w:p>
    <w:p>
      <w:pPr>
        <w:pStyle w:val="Normal"/>
        <w:numPr>
          <w:ilvl w:val="0"/>
          <w:numId w:val="2"/>
        </w:numPr>
      </w:pPr>
      <w:r>
        <w:t xml:space="preserve">Frontera declarada como decisión del analista, con dentro y fuera explícitos.</w:t>
      </w:r>
    </w:p>
    <w:p>
      <w:pPr>
        <w:pStyle w:val="Normal"/>
        <w:numPr>
          <w:ilvl w:val="0"/>
          <w:numId w:val="2"/>
        </w:numPr>
      </w:pPr>
      <w:r>
        <w:t xml:space="preserve">Los nueve conceptos asociados presentes, incluida la evolución.</w:t>
      </w:r>
    </w:p>
    <w:p>
      <w:pPr>
        <w:pStyle w:val="Normal"/>
        <w:numPr>
          <w:ilvl w:val="0"/>
          <w:numId w:val="2"/>
        </w:numPr>
      </w:pPr>
      <w:r>
        <w:t xml:space="preserve">Al menos un comportamiento explicado por estructura y no por personas.</w:t>
      </w:r>
    </w:p>
    <w:p>
      <w:pPr>
        <w:pStyle w:val="Normal"/>
        <w:numPr>
          <w:ilvl w:val="0"/>
          <w:numId w:val="2"/>
        </w:numPr>
      </w:pPr>
      <w:r>
        <w:t xml:space="preserve">Subsistema y suprasistema tratados como posiciones relativas al recorte.</w:t>
      </w:r>
    </w:p>
    <w:p>
      <w:pPr>
        <w:pStyle w:val="Normal"/>
        <w:numPr>
          <w:ilvl w:val="0"/>
          <w:numId w:val="2"/>
        </w:numPr>
      </w:pPr>
      <w:r>
        <w:t xml:space="preserve">Comparación explícita de los dos recortes: qué aparece y qué se pierde.</w:t>
      </w:r>
    </w:p>
    <w:p>
      <w:pPr>
        <w:pStyle w:val="Normal"/>
        <w:numPr>
          <w:ilvl w:val="0"/>
          <w:numId w:val="2"/>
        </w:numPr>
      </w:pPr>
      <w:r>
        <w:t xml:space="preserve">La advertencia sobre el efecto no intencionado del cambio de frontera.</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9C620A" w:sz="20"/>
              <w:bottom w:val="nil"/>
              <w:right w:val="nil"/>
            </w:tcBorders>
            <w:shd w:fill="FBF3DF" w:val="clear"/>
            <w:tcMar>
              <w:top w:type="dxa" w:w="130"/>
              <w:left w:type="dxa" w:w="180"/>
              <w:bottom w:type="dxa" w:w="130"/>
              <w:right w:type="dxa" w:w="180"/>
            </w:tcMar>
          </w:tcPr>
          <w:p>
            <w:pPr>
              <w:pStyle w:val="RecuadroTitulo"/>
            </w:pPr>
            <w:r>
              <w:rPr>
                <w:b/>
                <w:bCs/>
                <w:color w:val="9C620A"/>
              </w:rPr>
              <w:t xml:space="preserve">Advertencia y límites</w:t>
            </w:r>
          </w:p>
          <w:p>
            <w:pPr>
              <w:pStyle w:val="Recuadro"/>
            </w:pPr>
            <w:r>
              <w:t xml:space="preserve">Cambio de frontera y efecto no intencionado: escalonar los horarios reduce el pico pero alarga la jornada del personal y puede trasladar la aglomeración al transporte de salida, que quedó fuera de ambos recortes. Y una precisión de método: describir la estructura NO es listar los componentes —sin las relaciones y sin la frontera declarada, la lista anterior sería un inventario y no explicaría ningún comportamiento—. Los tiempos de espera aquí son supuestos ilustrativos: no se midió ninguno.</w:t>
            </w:r>
          </w:p>
        </w:tc>
      </w:tr>
    </w:tbl>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El profesor lo dijo así</w:t>
            </w:r>
          </w:p>
          <w:p>
            <w:pPr>
              <w:pStyle w:val="Recuadro"/>
            </w:pPr>
            <w:r>
              <w:t xml:space="preserve">«Sobre todo en los sistemas naturales, a veces esa razón de ser no es perceptible muy fácilmente, pero todo sistema la tiene. ¿Se acuerdan de la definición? Todo sistema tendrá una razón de ser.»</w:t>
            </w:r>
          </w:p>
          <w:p>
            <w:pPr>
              <w:pStyle w:val="Recuadro"/>
            </w:pPr>
            <w:r>
              <w:t xml:space="preserve">Clase 6 · 00:54:51</w:t>
            </w:r>
          </w:p>
        </w:tc>
      </w:tr>
    </w:tbl>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El profesor lo dijo así</w:t>
            </w:r>
          </w:p>
          <w:p>
            <w:pPr>
              <w:pStyle w:val="Recuadro"/>
            </w:pPr>
            <w:r>
              <w:t xml:space="preserve">«Los problemas generalmente surgen como consecuencia de la estructura de los sistemas, no estrictamente como culpa de una parte, porque cada parte interactúa con las demás en cadenas de causas y efectos.»</w:t>
            </w:r>
          </w:p>
          <w:p>
            <w:pPr>
              <w:pStyle w:val="Recuadro"/>
            </w:pPr>
            <w:r>
              <w:t xml:space="preserve">Clase 8 · 00:59:03</w:t>
            </w:r>
          </w:p>
        </w:tc>
      </w:tr>
    </w:tbl>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El profesor lo dijo así</w:t>
            </w:r>
          </w:p>
          <w:p>
            <w:pPr>
              <w:pStyle w:val="Recuadro"/>
            </w:pPr>
            <w:r>
              <w:t xml:space="preserve">«Estoy aplicando esta segunda operación básica del pensamiento sistémico, que es identificar, distinguir sistemas: distinguiendo partes dentro del contexto de un todo o distinguiendo un todo que se compone de algunas partes. Aunque este concepto del todo y de las partes es relativo.»</w:t>
            </w:r>
          </w:p>
          <w:p>
            <w:pPr>
              <w:pStyle w:val="Recuadro"/>
            </w:pPr>
            <w:r>
              <w:t xml:space="preserve">Clase 7 · 00:39:24</w:t>
            </w:r>
          </w:p>
        </w:tc>
      </w:tr>
    </w:tbl>
    <w:p>
      <w:pPr>
        <w:pStyle w:val="Fuente"/>
      </w:pPr>
      <w:r>
        <w:t xml:space="preserve">Enunciado de práctica externa; resolución editorial del portal.</w:t>
      </w:r>
    </w:p>
    <w:p>
      <w:pPr>
        <w:pStyle w:val="Heading3"/>
      </w:pPr>
      <w:bookmarkStart w:name="b_pregunta_sd_07" w:id="5482"/>
      <w:r>
        <w:t xml:space="preserve">2.32 · 2.1 · Reduccionismo frente a pensamiento sistémico</w:t>
      </w:r>
      <w:bookmarkEnd w:id="5482"/>
    </w:p>
    <w:p>
      <w:pPr>
        <w:pStyle w:val="Normal"/>
      </w:pPr>
      <w:r>
        <w:t xml:space="preserve">Compare una explicación reduccionista y una explicación sistémica para el problema: «muchos estudiantes entregan tarde sus tareas». Su respuesta debe contrastar partes vs totalidades, causa lineal vs causalidad circular, rigidez vs flexibilidad, culpabilización de individuos vs estructura que genera comportamiento, y el papel de los modelos mentales.</w:t>
      </w:r>
    </w:p>
    <w:p>
      <w:pPr>
        <w:pStyle w:val="Fuente"/>
      </w:pPr>
      <w:r>
        <w:t xml:space="preserve">Ordinal de la fuente: 7.</w:t>
      </w:r>
    </w:p>
    <w:p>
      <w:pPr>
        <w:pStyle w:val="Fuente"/>
      </w:pPr>
      <w:r>
        <w:t xml:space="preserve">Valor de práctica: 5 puntos.</w:t>
      </w:r>
    </w:p>
    <w:p>
      <w:pPr>
        <w:pStyle w:val="Heading3"/>
      </w:pPr>
      <w:bookmarkStart w:name="b_solucion_sd_07" w:id="5483"/>
      <w:r>
        <w:t xml:space="preserve">Solución 2.32</w:t>
      </w:r>
      <w:bookmarkEnd w:id="5483"/>
    </w:p>
    <w:p>
      <w:pPr>
        <w:pStyle w:val="RecuadroTitulo"/>
      </w:pPr>
      <w:r>
        <w:t xml:space="preserve">Respuesta modelo</w:t>
      </w:r>
    </w:p>
    <w:p>
      <w:pPr>
        <w:pStyle w:val="Normal"/>
      </w:pPr>
      <w:r>
        <w:t xml:space="preserve">Explicación reduccionista, en su mejor versión: el problema se fragmenta en sus componentes más simples —los estudiantes— y se explica desde ahí. Muchos entregan tarde porque no administran su tiempo, porque priorizan mal o porque el curso no les importa lo suficiente. La causa es lineal: falta de disciplina → entrega tardía. La solución se sigue de la causa: endurecer la penalización por entrega tardía, para que el incentivo corrija la conducta individual. Es una explicación simple, rápida y fácil de entender, y la lámina 10 concede esas tres ventajas al enfoque reduccionista de forma explícita. También es rígida: está atada a un solo paradigma —el problema es de las personas— y no admite otras perspectivas.</w:t>
      </w:r>
    </w:p>
    <w:p>
      <w:pPr>
        <w:pStyle w:val="Normal"/>
      </w:pPr>
      <w:r>
        <w:t xml:space="preserve">Explicación sistémica: el mismo hecho se percibe en términos de totalidades, para observarlo, comprenderlo y accionarlo. El foco pasa de las partes a las relaciones. Componentes y relaciones: fechas de entrega de varios cursos concentradas en las mismas semanas; enunciados publicados con poca antelación; retroalimentación que llega semanas después de entregar; una penalización por tardanza que, al ser proporcional, hace que una vez perdido el primer punto entregar dos días más tarde cueste casi lo mismo; y grupos de trabajo cuyas entregas dependen unas de otras. La causalidad es circular y se puede cerrar el ciclo: entregas tardías → docente dedica más tiempo a recibir fuera de plazo → la retroalimentación se retrasa → el estudiante no sabe qué corregir para la siguiente → la siguiente entrega cuesta más → más entregas tardías. El efecto vuelve sobre la causa, y por eso el patrón se sostiene solo. Es flexible: admite varias perspectivas —la del estudiante que trabaja, la del docente con ciento veinte entregas, la del coordinador que ve el calendario completo— y busca soluciones integrales en vez de parciales, aunque toma más tiempo y requiere mayor análisis.</w:t>
      </w:r>
    </w:p>
    <w:p>
      <w:pPr>
        <w:pStyle w:val="Normal"/>
      </w:pPr>
      <w:r>
        <w:t xml:space="preserve">El contraste sobre culpabilización y estructura es el que más cambia la práctica. La lectura reduccionista atribuye el comportamiento a la personalidad de los elementos humanos que participan, y su consecuencia operativa es cambiar o presionar a las personas. La lectura sistémica sostiene que la estructura es el patrón de organización de partes y relaciones, y que por eso genera comportamientos recurrentes: si con cohortes distintas, año tras año, el patrón se repite, la explicación por carácter individual ya no se sostiene. Los problemas surgen de la estructura, y con las mismas personas y otro calendario el comportamiento cambia.</w:t>
      </w:r>
    </w:p>
    <w:p>
      <w:pPr>
        <w:pStyle w:val="Normal"/>
      </w:pPr>
      <w:r>
        <w:t xml:space="preserve">Los modelos mentales son el quinto eje y el que sostiene a los otros cuatro. Del lado docente: «si entregan tarde es porque no se organizan» —que es la propia explicación reduccionista funcionando como creencia—; «la fecha es un asunto de disciplina, no de diseño». Del lado estudiantil: «la tarea es un trámite, no una ocasión de aprender»; «como la retroalimentación no llega, entregar a tiempo no cambia nada». Mientras esas creencias se mantengan intactas, cualquier ajuste de calendario será revertido en la práctica, porque son ellas las que hacen que la estructura actual parezca natural. Por eso la intervención de más apalancamiento no es la penalización sino el rediseño conjunto del calendario y de la retroalimentación, hecho con las creencias puestas sobre la mesa.</w:t>
      </w:r>
    </w:p>
    <w:p>
      <w:pPr>
        <w:pStyle w:val="Normal"/>
      </w:pPr>
      <w:r>
        <w:t xml:space="preserve">Conviene además no convertir el contraste en una guerra de bandos. La lámina 10 no es una lista de virtudes de un lado: sus filas 6, 7 y 8 conceden que el enfoque reduccionista es simple, rápido y fácil de entender, y análisis y síntesis no se oponen sino que se complementan. Descomponer para entender las partes sigue siendo necesario; lo que el pensamiento sistémico añade es recomponer para entender el todo y su función en un contexto mayor.</w:t>
      </w:r>
    </w:p>
    <w:p>
      <w:pPr>
        <w:pStyle w:val="Heading3"/>
      </w:pPr>
      <w:r>
        <w:t xml:space="preserve">Escribe las dos explicaciones completas antes de comparar</w:t>
      </w:r>
    </w:p>
    <w:p>
      <w:pPr>
        <w:pStyle w:val="Normal"/>
      </w:pPr>
      <w:r>
        <w:t xml:space="preserve">Una respuesta fuerte redacta primero la explicación reduccionista en su mejor versión, y sólo después la sistémica. Comparar caricaturas no demuestra nada.</w:t>
      </w:r>
    </w:p>
    <w:p>
      <w:pPr>
        <w:pStyle w:val="Heading3"/>
      </w:pPr>
      <w:r>
        <w:t xml:space="preserve">Recorre los cinco ejes que pide el enunciado</w:t>
      </w:r>
    </w:p>
    <w:p>
      <w:pPr>
        <w:pStyle w:val="Normal"/>
      </w:pPr>
      <w:r>
        <w:t xml:space="preserve">Partes/totalidades, causa lineal/circular, rigidez/flexibilidad, individuos/estructura, y modelos mentales. Son cinco, y el enunciado los nombra: úselos como esqueleto.</w:t>
      </w:r>
    </w:p>
    <w:p>
      <w:pPr>
        <w:pStyle w:val="Heading3"/>
      </w:pPr>
      <w:r>
        <w:t xml:space="preserve">Dibuja el circuito, no la flecha</w:t>
      </w:r>
    </w:p>
    <w:p>
      <w:pPr>
        <w:pStyle w:val="Normal"/>
      </w:pPr>
      <w:r>
        <w:t xml:space="preserve">La causalidad circular se demuestra cerrando el ciclo: el efecto tiene que volver sobre la causa. Si no vuelve, sigue siendo lineal.</w:t>
      </w:r>
    </w:p>
    <w:p>
      <w:pPr>
        <w:pStyle w:val="Heading3"/>
      </w:pPr>
      <w:r>
        <w:t xml:space="preserve">Concede lo que la lámina concede</w:t>
      </w:r>
    </w:p>
    <w:p>
      <w:pPr>
        <w:pStyle w:val="Normal"/>
      </w:pPr>
      <w:r>
        <w:t xml:space="preserve">Tres filas de la lámina 10 dan la ventaja al reduccionismo: es simple, es rápido, es fácil de entender. Reconocerlo es parte de responder bien.</w:t>
      </w:r>
    </w:p>
    <w:p>
      <w:pPr>
        <w:pStyle w:val="Heading3"/>
      </w:pPr>
      <w:r>
        <w:t xml:space="preserve">Cierra con modelos mentales y con la advertencia</w:t>
      </w:r>
    </w:p>
    <w:p>
      <w:pPr>
        <w:pStyle w:val="Normal"/>
      </w:pPr>
      <w:r>
        <w:t xml:space="preserve">El quinto eje no es un adorno: los modelos mentales son el nivel más profundo y sostienen la estructura.</w:t>
      </w:r>
    </w:p>
    <w:p>
      <w:pPr>
        <w:pStyle w:val="Heading3"/>
      </w:pPr>
      <w:r>
        <w:t xml:space="preserve">Criterios para una respuesta completa</w:t>
      </w:r>
    </w:p>
    <w:p>
      <w:pPr>
        <w:pStyle w:val="Normal"/>
        <w:numPr>
          <w:ilvl w:val="0"/>
          <w:numId w:val="2"/>
        </w:numPr>
      </w:pPr>
      <w:r>
        <w:t xml:space="preserve">Las dos explicaciones redactadas por separado, y la reduccionista en su mejor versión.</w:t>
      </w:r>
    </w:p>
    <w:p>
      <w:pPr>
        <w:pStyle w:val="Normal"/>
        <w:numPr>
          <w:ilvl w:val="0"/>
          <w:numId w:val="2"/>
        </w:numPr>
      </w:pPr>
      <w:r>
        <w:t xml:space="preserve">Los cinco ejes del enunciado tratados de forma explícita.</w:t>
      </w:r>
    </w:p>
    <w:p>
      <w:pPr>
        <w:pStyle w:val="Normal"/>
        <w:numPr>
          <w:ilvl w:val="0"/>
          <w:numId w:val="2"/>
        </w:numPr>
      </w:pPr>
      <w:r>
        <w:t xml:space="preserve">Un ciclo causal cerrado, donde el efecto vuelva sobre la causa.</w:t>
      </w:r>
    </w:p>
    <w:p>
      <w:pPr>
        <w:pStyle w:val="Normal"/>
        <w:numPr>
          <w:ilvl w:val="0"/>
          <w:numId w:val="2"/>
        </w:numPr>
      </w:pPr>
      <w:r>
        <w:t xml:space="preserve">La estructura presentada como causa del comportamiento, en lugar del carácter individual.</w:t>
      </w:r>
    </w:p>
    <w:p>
      <w:pPr>
        <w:pStyle w:val="Normal"/>
        <w:numPr>
          <w:ilvl w:val="0"/>
          <w:numId w:val="2"/>
        </w:numPr>
      </w:pPr>
      <w:r>
        <w:t xml:space="preserve">Modelos mentales de ambos lados, no sólo del estudiantado.</w:t>
      </w:r>
    </w:p>
    <w:p>
      <w:pPr>
        <w:pStyle w:val="Normal"/>
        <w:numPr>
          <w:ilvl w:val="0"/>
          <w:numId w:val="2"/>
        </w:numPr>
      </w:pPr>
      <w:r>
        <w:t xml:space="preserve">El reconocimiento de las tres ventajas que la lámina 10 concede al reduccionismo.</w:t>
      </w:r>
    </w:p>
    <w:p>
      <w:pPr>
        <w:pStyle w:val="Normal"/>
        <w:numPr>
          <w:ilvl w:val="0"/>
          <w:numId w:val="2"/>
        </w:numPr>
      </w:pPr>
      <w:r>
        <w:t xml:space="preserve">La advertencia sobre datos faltantes o sobre el desplazamiento del problema.</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9C620A" w:sz="20"/>
              <w:bottom w:val="nil"/>
              <w:right w:val="nil"/>
            </w:tcBorders>
            <w:shd w:fill="FBF3DF" w:val="clear"/>
            <w:tcMar>
              <w:top w:type="dxa" w:w="130"/>
              <w:left w:type="dxa" w:w="180"/>
              <w:bottom w:type="dxa" w:w="130"/>
              <w:right w:type="dxa" w:w="180"/>
            </w:tcMar>
          </w:tcPr>
          <w:p>
            <w:pPr>
              <w:pStyle w:val="RecuadroTitulo"/>
            </w:pPr>
            <w:r>
              <w:rPr>
                <w:b/>
                <w:bCs/>
                <w:color w:val="9C620A"/>
              </w:rPr>
              <w:t xml:space="preserve">Advertencia y límites</w:t>
            </w:r>
          </w:p>
          <w:p>
            <w:pPr>
              <w:pStyle w:val="Recuadro"/>
            </w:pPr>
            <w:r>
              <w:t xml:space="preserve">Límite del modelo y efecto no intencionado: el circuito propuesto es una hipótesis sin datos —no se ha medido la distribución de fechas ni el retraso real de la retroalimentación—, y podría estar invirtiendo la dirección de la relación. Además, redistribuir las fechas de entrega alivia el pico de un curso y puede empujarlo hacia otro que no participó del rediseño: sin ampliar la frontera desde «este curso» hacia «la carga del semestre», la mejora local se paga fuera del recorte.</w:t>
            </w:r>
          </w:p>
        </w:tc>
      </w:tr>
    </w:tbl>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El profesor lo dijo así</w:t>
            </w:r>
          </w:p>
          <w:p>
            <w:pPr>
              <w:pStyle w:val="Recuadro"/>
            </w:pPr>
            <w:r>
              <w:t xml:space="preserve">«El pensamiento sistémico nos deja evidencia de que el pensamiento reduccionista pierde de vista las propiedades emergentes: los comportamientos que no nacen específicamente solo de una parte, sino que nacen de las interacciones de las partes y generan algo diferente.»</w:t>
            </w:r>
          </w:p>
          <w:p>
            <w:pPr>
              <w:pStyle w:val="Recuadro"/>
            </w:pPr>
            <w:r>
              <w:t xml:space="preserve">Clase 6 · 01:19:18</w:t>
            </w:r>
          </w:p>
        </w:tc>
      </w:tr>
    </w:tbl>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El profesor lo dijo así</w:t>
            </w:r>
          </w:p>
          <w:p>
            <w:pPr>
              <w:pStyle w:val="Recuadro"/>
            </w:pPr>
            <w:r>
              <w:t xml:space="preserve">«Podríamos combinar el pensamiento analítico y el pensamiento de síntesis o sintético, porque ambos son la herramienta para generar el pensamiento sistémico, aunque naturalmente el énfasis está en la síntesis, parte de integración de lo que podamos identificar como elementos, componentes que estructuran el sistema.»</w:t>
            </w:r>
          </w:p>
          <w:p>
            <w:pPr>
              <w:pStyle w:val="Recuadro"/>
            </w:pPr>
            <w:r>
              <w:t xml:space="preserve">Clase 7 · 00:10:20</w:t>
            </w:r>
          </w:p>
        </w:tc>
      </w:tr>
    </w:tbl>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El profesor lo dijo así</w:t>
            </w:r>
          </w:p>
          <w:p>
            <w:pPr>
              <w:pStyle w:val="Recuadro"/>
            </w:pPr>
            <w:r>
              <w:t xml:space="preserve">«Las relaciones determinan el comportamiento del sistema, no solo las partes; identificar sistemas y partes no es suficiente hasta aplicar la regla de relaciones.»</w:t>
            </w:r>
          </w:p>
          <w:p>
            <w:pPr>
              <w:pStyle w:val="Recuadro"/>
            </w:pPr>
            <w:r>
              <w:t xml:space="preserve">Clase 8 · 00:50:53</w:t>
            </w:r>
          </w:p>
        </w:tc>
      </w:tr>
    </w:tbl>
    <w:p>
      <w:pPr>
        <w:pStyle w:val="Fuente"/>
      </w:pPr>
      <w:r>
        <w:t xml:space="preserve">Enunciado de práctica externa; resolución editorial del portal.</w:t>
      </w:r>
    </w:p>
    <w:p>
      <w:pPr>
        <w:pStyle w:val="Heading3"/>
      </w:pPr>
      <w:bookmarkStart w:name="b_pregunta_sd_08" w:id="5484"/>
      <w:r>
        <w:t xml:space="preserve">2.33 · 2.5 / 2.6 · Sinergia, emergencia y sistemas adaptativos complejos</w:t>
      </w:r>
      <w:bookmarkEnd w:id="5484"/>
    </w:p>
    <w:p>
      <w:pPr>
        <w:pStyle w:val="Normal"/>
      </w:pPr>
      <w:r>
        <w:t xml:space="preserve">Use el caso del tránsito alrededor de la USAC en hora pico. Identifique agentes, reglas simples, dinámica colectiva o autoorganización y propiedades emergentes. Explique por qué no basta decir que es «complicado», qué tendría de sistema adaptativo complejo y qué tipo de intervención podría modificar reglas o condiciones sin pretender controlar completamente el sistema.</w:t>
      </w:r>
    </w:p>
    <w:p>
      <w:pPr>
        <w:pStyle w:val="Fuente"/>
      </w:pPr>
      <w:r>
        <w:t xml:space="preserve">Ordinal de la fuente: 8.</w:t>
      </w:r>
    </w:p>
    <w:p>
      <w:pPr>
        <w:pStyle w:val="Fuente"/>
      </w:pPr>
      <w:r>
        <w:t xml:space="preserve">Valor de práctica: 5 puntos.</w:t>
      </w:r>
    </w:p>
    <w:p>
      <w:pPr>
        <w:pStyle w:val="Heading3"/>
      </w:pPr>
      <w:bookmarkStart w:name="b_solucion_sd_08" w:id="5485"/>
      <w:r>
        <w:t xml:space="preserve">Solución 2.33</w:t>
      </w:r>
      <w:bookmarkEnd w:id="5485"/>
    </w:p>
    <w:p>
      <w:pPr>
        <w:pStyle w:val="RecuadroTitulo"/>
      </w:pPr>
      <w:r>
        <w:t xml:space="preserve">Respuesta modelo</w:t>
      </w:r>
    </w:p>
    <w:p>
      <w:pPr>
        <w:pStyle w:val="Normal"/>
      </w:pPr>
      <w:r>
        <w:t xml:space="preserve">Agentes: conductores particulares, transporte colectivo, motoristas, peatones que cruzan, agentes de tránsito, vendedores en la vía, y también los semáforos y los ingresos y salidas del campus como elementos del entorno con los que los agentes interactúan. Reglas simples, escritas como las aplica cada conductor: avanzo si tengo espacio delante; si mi carril está detenido, cambio al que se mueve; si veo la luz en ámbar, acelero; si el cruce está bloqueado, entro igual para no perder mi turno; si conozco un atajo por una calle secundaria, lo tomo. Ninguna de estas reglas menciona el tránsito de la ciudad: cada agente decide localmente, con la información que tiene delante y en un horizonte de pocos metros.</w:t>
      </w:r>
    </w:p>
    <w:p>
      <w:pPr>
        <w:pStyle w:val="Normal"/>
      </w:pPr>
      <w:r>
        <w:t xml:space="preserve">Dinámica colectiva y autoorganización: de la aplicación simultánea de esas reglas resultan estructuras que nadie diseñó ni ordenó. Se forman ondas de frenado que viajan hacia atrás en sentido contrario al de los vehículos; se produce el bloqueo de cruce, en el que todos entran para no perder el turno y el resultado es que nadie pasa; se forman rutas alternas espontáneas por calles secundarias que, al saturarse, dejan de ser alternas. El sistema se reorganiza continuamente sin una autoridad central que asigne trayectorias, y lo hace aprendiendo: los conductores ajustan su hora de salida y su ruta según lo que les pasó los días anteriores, de modo que la intervención de hoy modifica el comportamiento de mañana.</w:t>
      </w:r>
    </w:p>
    <w:p>
      <w:pPr>
        <w:pStyle w:val="Normal"/>
      </w:pPr>
      <w:r>
        <w:t xml:space="preserve">Sinergia y emergencia, distinguidas sobre el mismo caso. Sinergia, cuantitativa: un carril exclusivo bien articulado con la señalización mueve más personas por hora que la suma de lo que moverían esos mismos vehículos actuando por separado —el conjunto rinde más que la suma de actuaciones aisladas—. Emergencia, cualitativa: el atasco es una propiedad del todo que no está en ninguna parte; ningún conductor «tiene» atasco, ningún vehículo lo contiene, y sin embargo aparece. Y su marca característica es que sólo se ve mirando la totalidad: desde dentro del carro no se percibe la onda de frenado que se propaga, sólo se percibe que el de delante frenó.</w:t>
      </w:r>
    </w:p>
    <w:p>
      <w:pPr>
        <w:pStyle w:val="Normal"/>
      </w:pPr>
      <w:r>
        <w:t xml:space="preserve">Por qué no basta con «complicado». Complicado sería un sistema de muchas piezas con relaciones claras y comportamiento predecible: un reloj mecánico, una planta industrial bien ensamblada. El tránsito falla los tres criterios que definen la complejidad. No es lineal: un incidente menor en un cruce puede colapsar diez cuadras, y una mejora sustancial en la señalización puede no cambiar nada; el efecto no es proporcional a la causa. Se autoorganiza: las rutas alternas y las ondas de frenado aparecen sin que nadie las dicte. Y aprende y modela su entorno: los agentes observan, prueban, descartan y ajustan, que es justamente la tercera de las cinco características de la lámina 14 —«Modelan su entorno: observando, imaginando, probando ideas, actuando, descartándolas, siempre evolucionando y aprendiendo»—. Se cumple además la cuarta, múltiples niveles de interacción: el conductor individual, la flota de transporte colectivo, el barrio y la ciudad, cada nivel sirviendo de bloque de construcción del superior. Y la quinta explica por qué no hay una solución definitiva: no hay equilibrio, siempre se está en transformación.</w:t>
      </w:r>
    </w:p>
    <w:p>
      <w:pPr>
        <w:pStyle w:val="Normal"/>
      </w:pPr>
      <w:r>
        <w:t xml:space="preserve">Intervención adecuada: no perseguir el control de las trayectorias, sino cambiar reglas y condiciones y observar qué emerge. Prohibir la entrada al cruce cuando no hay salida —regla local, verificable por cada agente— desarma el bloqueo mucho mejor que aumentar el número de agentes dirigiendo el flujo. Escalonar los horarios de entrada y salida del campus cambia una condición del entorno, no una conducta. Habilitar información en tiempo real modifica la regla de decisión de ruta sin imponer ninguna. En los tres casos se interviene sobre las reglas simples de las que emerge la dinámica, que es el punto de apalancamiento propio de un sistema adaptativo complejo, y después se mide, porque el sistema responderá adaptándose.</w:t>
      </w:r>
    </w:p>
    <w:p>
      <w:pPr>
        <w:pStyle w:val="Heading3"/>
      </w:pPr>
      <w:r>
        <w:t xml:space="preserve">Enumera agentes y sus reglas locales</w:t>
      </w:r>
    </w:p>
    <w:p>
      <w:pPr>
        <w:pStyle w:val="Normal"/>
      </w:pPr>
      <w:r>
        <w:t xml:space="preserve">Un agente no decide sobre el sistema: decide sobre lo que tiene delante. Escriba las reglas como las aplicaría cada conductor, en primera persona.</w:t>
      </w:r>
    </w:p>
    <w:p>
      <w:pPr>
        <w:pStyle w:val="Heading3"/>
      </w:pPr>
      <w:r>
        <w:t xml:space="preserve">Muestra la dinámica colectiva que nadie diseñó</w:t>
      </w:r>
    </w:p>
    <w:p>
      <w:pPr>
        <w:pStyle w:val="Normal"/>
      </w:pPr>
      <w:r>
        <w:t xml:space="preserve">El atasco no está en ninguna regla individual. Es lo que resulta de aplicarlas todas a la vez, y ahí está la autoorganización.</w:t>
      </w:r>
    </w:p>
    <w:p>
      <w:pPr>
        <w:pStyle w:val="Heading3"/>
      </w:pPr>
      <w:r>
        <w:t xml:space="preserve">Separa sinergia de emergencia con el mismo caso</w:t>
      </w:r>
    </w:p>
    <w:p>
      <w:pPr>
        <w:pStyle w:val="Normal"/>
      </w:pPr>
      <w:r>
        <w:t xml:space="preserve">Cuantitativa la una, cualitativa la otra. Si usa una sola palabra para las dos, la respuesta pierde el punto más caro del tema.</w:t>
      </w:r>
    </w:p>
    <w:p>
      <w:pPr>
        <w:pStyle w:val="Heading3"/>
      </w:pPr>
      <w:r>
        <w:t xml:space="preserve">Argumenta el paso de complicado a complejo</w:t>
      </w:r>
    </w:p>
    <w:p>
      <w:pPr>
        <w:pStyle w:val="Normal"/>
      </w:pPr>
      <w:r>
        <w:t xml:space="preserve">El criterio no es el número de piezas: es la no linealidad, el aprendizaje y la autoorganización. Aplique los tres al caso.</w:t>
      </w:r>
    </w:p>
    <w:p>
      <w:pPr>
        <w:pStyle w:val="Heading3"/>
      </w:pPr>
      <w:r>
        <w:t xml:space="preserve">Propón intervención sobre reglas, no sobre trayectorias</w:t>
      </w:r>
    </w:p>
    <w:p>
      <w:pPr>
        <w:pStyle w:val="Normal"/>
      </w:pPr>
      <w:r>
        <w:t xml:space="preserve">En un sistema adaptativo no se controlan las conductas: se cambian condiciones y reglas, y se observa qué emerge.</w:t>
      </w:r>
    </w:p>
    <w:p>
      <w:pPr>
        <w:pStyle w:val="Heading3"/>
      </w:pPr>
      <w:r>
        <w:t xml:space="preserve">Criterios para una respuesta completa</w:t>
      </w:r>
    </w:p>
    <w:p>
      <w:pPr>
        <w:pStyle w:val="Normal"/>
        <w:numPr>
          <w:ilvl w:val="0"/>
          <w:numId w:val="2"/>
        </w:numPr>
      </w:pPr>
      <w:r>
        <w:t xml:space="preserve">Agentes identificados junto con reglas locales, escritas en el horizonte del agente.</w:t>
      </w:r>
    </w:p>
    <w:p>
      <w:pPr>
        <w:pStyle w:val="Normal"/>
        <w:numPr>
          <w:ilvl w:val="0"/>
          <w:numId w:val="2"/>
        </w:numPr>
      </w:pPr>
      <w:r>
        <w:t xml:space="preserve">Al menos una estructura colectiva que nadie diseñó, explicada como autoorganización.</w:t>
      </w:r>
    </w:p>
    <w:p>
      <w:pPr>
        <w:pStyle w:val="Normal"/>
        <w:numPr>
          <w:ilvl w:val="0"/>
          <w:numId w:val="2"/>
        </w:numPr>
      </w:pPr>
      <w:r>
        <w:t xml:space="preserve">Sinergia y emergencia distinguidas —cuantitativa y cualitativa— sobre el mismo caso.</w:t>
      </w:r>
    </w:p>
    <w:p>
      <w:pPr>
        <w:pStyle w:val="Normal"/>
        <w:numPr>
          <w:ilvl w:val="0"/>
          <w:numId w:val="2"/>
        </w:numPr>
      </w:pPr>
      <w:r>
        <w:t xml:space="preserve">El argumento de complicado a complejo apoyado en no linealidad, autoorganización y aprendizaje.</w:t>
      </w:r>
    </w:p>
    <w:p>
      <w:pPr>
        <w:pStyle w:val="Normal"/>
        <w:numPr>
          <w:ilvl w:val="0"/>
          <w:numId w:val="2"/>
        </w:numPr>
      </w:pPr>
      <w:r>
        <w:t xml:space="preserve">Referencia a las características de un sistema adaptativo complejo, no sólo a la cantidad de agentes.</w:t>
      </w:r>
    </w:p>
    <w:p>
      <w:pPr>
        <w:pStyle w:val="Normal"/>
        <w:numPr>
          <w:ilvl w:val="0"/>
          <w:numId w:val="2"/>
        </w:numPr>
      </w:pPr>
      <w:r>
        <w:t xml:space="preserve">Una intervención sobre reglas o condiciones, no sobre trayectorias individuales.</w:t>
      </w:r>
    </w:p>
    <w:p>
      <w:pPr>
        <w:pStyle w:val="Normal"/>
        <w:numPr>
          <w:ilvl w:val="0"/>
          <w:numId w:val="2"/>
        </w:numPr>
      </w:pPr>
      <w:r>
        <w:t xml:space="preserve">La advertencia sobre el efecto no intencionado o sobre la adaptación de los agentes.</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9C620A" w:sz="20"/>
              <w:bottom w:val="nil"/>
              <w:right w:val="nil"/>
            </w:tcBorders>
            <w:shd w:fill="FBF3DF" w:val="clear"/>
            <w:tcMar>
              <w:top w:type="dxa" w:w="130"/>
              <w:left w:type="dxa" w:w="180"/>
              <w:bottom w:type="dxa" w:w="130"/>
              <w:right w:type="dxa" w:w="180"/>
            </w:tcMar>
          </w:tcPr>
          <w:p>
            <w:pPr>
              <w:pStyle w:val="RecuadroTitulo"/>
            </w:pPr>
            <w:r>
              <w:rPr>
                <w:b/>
                <w:bCs/>
                <w:color w:val="9C620A"/>
              </w:rPr>
              <w:t xml:space="preserve">Advertencia y límites</w:t>
            </w:r>
          </w:p>
          <w:p>
            <w:pPr>
              <w:pStyle w:val="Recuadro"/>
            </w:pPr>
            <w:r>
              <w:t xml:space="preserve">Efecto no intencionado, y es característico de estos sistemas: la información de rutas en tiempo real puede empeorar el problema si todos los conductores reciben la misma recomendación y se desplazan en bloque a la misma calle alterna —la mejora individual produce un peor resultado colectivo—. Además, en un sistema adaptativo la respuesta a la intervención es la adaptación de los agentes, así que cualquier medida evaluada sólo el primer día mide otra cosa. Límite del modelo: no se han medido flujos ni tiempos; los mecanismos descritos son plausibles, no verificados.</w:t>
            </w:r>
          </w:p>
        </w:tc>
      </w:tr>
    </w:tbl>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El profesor lo dijo así</w:t>
            </w:r>
          </w:p>
          <w:p>
            <w:pPr>
              <w:pStyle w:val="Recuadro"/>
            </w:pPr>
            <w:r>
              <w:t xml:space="preserve">«La sinergia es una característica fundamental de los sistemas que diferencia un sistema de un montón de partes o un conglomerado de elementos que no representan algo que emerge de esas interacciones.»</w:t>
            </w:r>
          </w:p>
          <w:p>
            <w:pPr>
              <w:pStyle w:val="Recuadro"/>
            </w:pPr>
            <w:r>
              <w:t xml:space="preserve">Clase 8 · 00:31:25</w:t>
            </w:r>
          </w:p>
        </w:tc>
      </w:tr>
    </w:tbl>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El profesor lo dijo así</w:t>
            </w:r>
          </w:p>
          <w:p>
            <w:pPr>
              <w:pStyle w:val="Recuadro"/>
            </w:pPr>
            <w:r>
              <w:t xml:space="preserve">«Las propiedades emergentes surgen de la integración completa de las partes del sistema interactuando adecuadamente y solo se pueden ver cuando vemos la totalidad.»</w:t>
            </w:r>
          </w:p>
          <w:p>
            <w:pPr>
              <w:pStyle w:val="Recuadro"/>
            </w:pPr>
            <w:r>
              <w:t xml:space="preserve">Clase 8 · 00:42:44</w:t>
            </w:r>
          </w:p>
        </w:tc>
      </w:tr>
    </w:tbl>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El profesor lo dijo así</w:t>
            </w:r>
          </w:p>
          <w:p>
            <w:pPr>
              <w:pStyle w:val="Recuadro"/>
            </w:pPr>
            <w:r>
              <w:t xml:space="preserve">«Un pequeño cambio en el valor de entrada del sistema puede desencadenar un gran efecto sistémico a través de bucles de retroalimentación. Esto se denomina sensibilidad a las condiciones iniciales y es la idea central de la teoría del caos.»</w:t>
            </w:r>
          </w:p>
          <w:p>
            <w:pPr>
              <w:pStyle w:val="Recuadro"/>
            </w:pPr>
            <w:r>
              <w:t xml:space="preserve">Clase 9 · 00:22:09</w:t>
            </w:r>
          </w:p>
        </w:tc>
      </w:tr>
    </w:tbl>
    <w:p>
      <w:pPr>
        <w:pStyle w:val="Fuente"/>
      </w:pPr>
      <w:r>
        <w:t xml:space="preserve">Enunciado de práctica externa; resolución editorial del portal.</w:t>
      </w:r>
    </w:p>
    <w:p>
      <w:pPr>
        <w:pStyle w:val="Heading3"/>
      </w:pPr>
      <w:bookmarkStart w:name="b_pregunta_sd_09" w:id="5486"/>
      <w:r>
        <w:t xml:space="preserve">2.34 · 2.8 · Conceptos de la Teoría General de Sistemas</w:t>
      </w:r>
      <w:bookmarkEnd w:id="5486"/>
    </w:p>
    <w:p>
      <w:pPr>
        <w:pStyle w:val="Normal"/>
      </w:pPr>
      <w:r>
        <w:t xml:space="preserve">Construya un ejemplo empresarial que integre sistema abierto, homeostasis, entropía, neguentropía y equifinalidad. La respuesta debe mostrar intercambio con el entorno, equilibrio dinámico, deterioro de relaciones, acciones que contrarrestan el desorden y varios caminos posibles hacia un mismo objetivo.</w:t>
      </w:r>
    </w:p>
    <w:p>
      <w:pPr>
        <w:pStyle w:val="Fuente"/>
      </w:pPr>
      <w:r>
        <w:t xml:space="preserve">Ordinal de la fuente: 9.</w:t>
      </w:r>
    </w:p>
    <w:p>
      <w:pPr>
        <w:pStyle w:val="Fuente"/>
      </w:pPr>
      <w:r>
        <w:t xml:space="preserve">Valor de práctica: 5 puntos.</w:t>
      </w:r>
    </w:p>
    <w:p>
      <w:pPr>
        <w:pStyle w:val="Heading3"/>
      </w:pPr>
      <w:bookmarkStart w:name="b_solucion_sd_09" w:id="5487"/>
      <w:r>
        <w:t xml:space="preserve">Solución 2.34</w:t>
      </w:r>
      <w:bookmarkEnd w:id="5487"/>
    </w:p>
    <w:p>
      <w:pPr>
        <w:pStyle w:val="RecuadroTitulo"/>
      </w:pPr>
      <w:r>
        <w:t xml:space="preserve">Respuesta modelo</w:t>
      </w:r>
    </w:p>
    <w:p>
      <w:pPr>
        <w:pStyle w:val="Normal"/>
      </w:pPr>
      <w:r>
        <w:t xml:space="preserve">El caso: una panadería con tres puntos de venta, veinte empleados y reparto propio. Sistema abierto: intercambia continuamente con su medio. Entradas —harina, energía, agua, dinero, personal, pedidos, información de precios y de competencia—; salidas —producto, residuos, ingresos, empleo, reputación—. Un sistema cerrado no intercambiaría nada con su entorno, y una empresa así no existiría más allá del inventario que tuviera dentro; la apertura no es un rasgo secundario, es la condición de su existencia.</w:t>
      </w:r>
    </w:p>
    <w:p>
      <w:pPr>
        <w:pStyle w:val="Normal"/>
      </w:pPr>
      <w:r>
        <w:t xml:space="preserve">Homeostasis: la panadería mantiene su nivel de inventario de producto terminado dentro de un rango estrecho, ni desabastecida ni con sobras que se pierden. No lo hace quedándose quieta: lo hace ajustándose. Cada tarde se cuenta lo no vendido y se corrige la producción del día siguiente; si un lunes sobra, el martes se hornea menos. Eso es equilibrio dinámico, un estado que se sostiene por corrección continua y no por inmovilidad, y su mecanismo es una retroalimentación negativa o compensadora: la desviación medida genera la acción que la reduce.</w:t>
      </w:r>
    </w:p>
    <w:p>
      <w:pPr>
        <w:pStyle w:val="Normal"/>
      </w:pPr>
      <w:r>
        <w:t xml:space="preserve">Entropía: con el tiempo, las relaciones y los procesos se desordenan. La receta que estaba escrita empieza a transmitirse de boca en boca y cada turno la interpreta distinto; la lista de proveedores queda desactualizada y se compra a quien conteste primero; los turnos se intercambian sin registro y nadie sabe quién abrió; la limpieza de la cámara pasa de ser semanal a ser «cuando se acuerda alguien». Nótese dónde está la entropía: no en la falta de dinero, sino en el grado de desorden de las relaciones del sistema. Todo sistema tiende al desorden, y ésta es su forma concreta en una panadería.</w:t>
      </w:r>
    </w:p>
    <w:p>
      <w:pPr>
        <w:pStyle w:val="Normal"/>
      </w:pPr>
      <w:r>
        <w:t xml:space="preserve">Neguentropía: las acciones que contrarrestan ese desorden y devuelven orden. Escribir de nuevo las recetas con gramajes y fijar una única versión vigente; formar a los encargados de turno; instalar una bitácora de apertura y cierre; contratar una auditoría sanitaria externa; reordenar el almacén con rotación por fecha. Es importante ver de dónde viene: en un sistema abierto la neguentropía suele entrar desde el entorno —formación, información, normas, energía—, y por eso cerrarse al medio no protege del desorden, lo acelera.</w:t>
      </w:r>
    </w:p>
    <w:p>
      <w:pPr>
        <w:pStyle w:val="Normal"/>
      </w:pPr>
      <w:r>
        <w:t xml:space="preserve">Equifinalidad: se llega al mismo estado final por caminos diferentes. Si el objetivo es sostener la producción diaria cuando la demanda crece un treinta por ciento, hay al menos tres caminos —añadir un segundo turno con el mismo horno; comprar un horno más y mantener un turno; subcontratar el horneado de una parte del surtido y concentrarse en el reparto—. Los tres llegan al mismo estado final desde condiciones iniciales y por trayectorias distintas, y ninguno es «el» camino correcto: eso es precisamente lo que afirma la equifinalidad, y es lo que distingue a un sistema abierto de un mecanismo, donde el estado final está determinado por las condiciones iniciales.</w:t>
      </w:r>
    </w:p>
    <w:p>
      <w:pPr>
        <w:pStyle w:val="Heading3"/>
      </w:pPr>
      <w:r>
        <w:t xml:space="preserve">Elige una empresa concreta y descríbela como abierta</w:t>
      </w:r>
    </w:p>
    <w:p>
      <w:pPr>
        <w:pStyle w:val="Normal"/>
      </w:pPr>
      <w:r>
        <w:t xml:space="preserve">Sistema abierto y cerrado se diferencian por el intercambio con el medio. Nombre las entradas y salidas reales antes de seguir.</w:t>
      </w:r>
    </w:p>
    <w:p>
      <w:pPr>
        <w:pStyle w:val="Heading3"/>
      </w:pPr>
      <w:r>
        <w:t xml:space="preserve">Muestra homeostasis como ajuste, no como quietud</w:t>
      </w:r>
    </w:p>
    <w:p>
      <w:pPr>
        <w:pStyle w:val="Normal"/>
      </w:pPr>
      <w:r>
        <w:t xml:space="preserve">Elija una variable que se sostenga estable y muestre el mecanismo que la ajusta. Si no hay mecanismo, no hay homeostasis.</w:t>
      </w:r>
    </w:p>
    <w:p>
      <w:pPr>
        <w:pStyle w:val="Heading3"/>
      </w:pPr>
      <w:r>
        <w:t xml:space="preserve">Localiza la entropía en las relaciones</w:t>
      </w:r>
    </w:p>
    <w:p>
      <w:pPr>
        <w:pStyle w:val="Normal"/>
      </w:pPr>
      <w:r>
        <w:t xml:space="preserve">La entropía es el grado de desorden de las relaciones del sistema, no la falta de dinero. Busque procesos que se degradan.</w:t>
      </w:r>
    </w:p>
    <w:p>
      <w:pPr>
        <w:pStyle w:val="Heading3"/>
      </w:pPr>
      <w:r>
        <w:t xml:space="preserve">Haz que la neguentropía venga de algún lado</w:t>
      </w:r>
    </w:p>
    <w:p>
      <w:pPr>
        <w:pStyle w:val="Normal"/>
      </w:pPr>
      <w:r>
        <w:t xml:space="preserve">En un sistema abierto la neguentropía suele entrar desde el entorno: información, formación, energía. Diga de dónde viene.</w:t>
      </w:r>
    </w:p>
    <w:p>
      <w:pPr>
        <w:pStyle w:val="Heading3"/>
      </w:pPr>
      <w:r>
        <w:t xml:space="preserve">Cierra con equifinalidad y con la advertencia</w:t>
      </w:r>
    </w:p>
    <w:p>
      <w:pPr>
        <w:pStyle w:val="Normal"/>
      </w:pPr>
      <w:r>
        <w:t xml:space="preserve">Varios caminos, un mismo estado final. Y no confunda la equifinalidad con la multifinalidad, que el curso no dictó.</w:t>
      </w:r>
    </w:p>
    <w:p>
      <w:pPr>
        <w:pStyle w:val="Heading3"/>
      </w:pPr>
      <w:r>
        <w:t xml:space="preserve">Criterios para una respuesta completa</w:t>
      </w:r>
    </w:p>
    <w:p>
      <w:pPr>
        <w:pStyle w:val="Normal"/>
        <w:numPr>
          <w:ilvl w:val="0"/>
          <w:numId w:val="2"/>
        </w:numPr>
      </w:pPr>
      <w:r>
        <w:t xml:space="preserve">El sistema declarado abierto con entradas y salidas concretas.</w:t>
      </w:r>
    </w:p>
    <w:p>
      <w:pPr>
        <w:pStyle w:val="Normal"/>
        <w:numPr>
          <w:ilvl w:val="0"/>
          <w:numId w:val="2"/>
        </w:numPr>
      </w:pPr>
      <w:r>
        <w:t xml:space="preserve">Homeostasis mostrada como mecanismo de ajuste, con la variable que se sostiene.</w:t>
      </w:r>
    </w:p>
    <w:p>
      <w:pPr>
        <w:pStyle w:val="Normal"/>
        <w:numPr>
          <w:ilvl w:val="0"/>
          <w:numId w:val="2"/>
        </w:numPr>
      </w:pPr>
      <w:r>
        <w:t xml:space="preserve">Entropía localizada en las relaciones y procesos, no en el dinero.</w:t>
      </w:r>
    </w:p>
    <w:p>
      <w:pPr>
        <w:pStyle w:val="Normal"/>
        <w:numPr>
          <w:ilvl w:val="0"/>
          <w:numId w:val="2"/>
        </w:numPr>
      </w:pPr>
      <w:r>
        <w:t xml:space="preserve">Neguentropía con origen declarado, y preferentemente desde el entorno.</w:t>
      </w:r>
    </w:p>
    <w:p>
      <w:pPr>
        <w:pStyle w:val="Normal"/>
        <w:numPr>
          <w:ilvl w:val="0"/>
          <w:numId w:val="2"/>
        </w:numPr>
      </w:pPr>
      <w:r>
        <w:t xml:space="preserve">Equifinalidad con al menos dos caminos distintos hacia el mismo estado final.</w:t>
      </w:r>
    </w:p>
    <w:p>
      <w:pPr>
        <w:pStyle w:val="Normal"/>
        <w:numPr>
          <w:ilvl w:val="0"/>
          <w:numId w:val="2"/>
        </w:numPr>
      </w:pPr>
      <w:r>
        <w:t xml:space="preserve">La advertencia de procedencia: la multifinalidad quedó como investigación asignada y la variedad requerida de Ashby es ampliación bibliográfica del portal.</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9C620A" w:sz="20"/>
              <w:bottom w:val="nil"/>
              <w:right w:val="nil"/>
            </w:tcBorders>
            <w:shd w:fill="FBF3DF" w:val="clear"/>
            <w:tcMar>
              <w:top w:type="dxa" w:w="130"/>
              <w:left w:type="dxa" w:w="180"/>
              <w:bottom w:type="dxa" w:w="130"/>
              <w:right w:type="dxa" w:w="180"/>
            </w:tcMar>
          </w:tcPr>
          <w:p>
            <w:pPr>
              <w:pStyle w:val="RecuadroTitulo"/>
            </w:pPr>
            <w:r>
              <w:rPr>
                <w:b/>
                <w:bCs/>
                <w:color w:val="9C620A"/>
              </w:rPr>
              <w:t xml:space="preserve">Advertencia y límites</w:t>
            </w:r>
          </w:p>
          <w:p>
            <w:pPr>
              <w:pStyle w:val="Recuadro"/>
            </w:pPr>
            <w:r>
              <w:t xml:space="preserve">Precisión de procedencia, que aquí es parte de la respuesta: la equifinalidad sí fue definida en clase; la MULTIFINALIDAD quedó como investigación asignada y no se dictó, de modo que no debe presentarse como contenido del curso, y la VARIEDAD REQUERIDA de Ashby es ampliación bibliográfica del portal. Límite del modelo, además: homeostasis no es inmovilidad, y presentar la estabilidad del inventario como ausencia de cambio invertiría el concepto. Efecto no intencionado: reforzar la neguentropía con procedimientos escritos puede rigidizar la panadería y reducir su capacidad de adaptarse a un cambio de demanda, que es el problema que la equifinalidad ayudaba a resolver.</w:t>
            </w:r>
          </w:p>
        </w:tc>
      </w:tr>
    </w:tbl>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El profesor lo dijo así</w:t>
            </w:r>
          </w:p>
          <w:p>
            <w:pPr>
              <w:pStyle w:val="Recuadro"/>
            </w:pPr>
            <w:r>
              <w:t xml:space="preserve">«Los sistemas generan lo que se da por llamar un equilibrio dinámico. Ese equilibrio dinámico describe cómo el sistema, interactuando con su medio, busca mantenerse en un equilibrio adecuado que le permita existir, que le permita sobrevivir.»</w:t>
            </w:r>
          </w:p>
          <w:p>
            <w:pPr>
              <w:pStyle w:val="Recuadro"/>
            </w:pPr>
            <w:r>
              <w:t xml:space="preserve">Clase 9 · 00:44:13</w:t>
            </w:r>
          </w:p>
        </w:tc>
      </w:tr>
    </w:tbl>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El profesor lo dijo así</w:t>
            </w:r>
          </w:p>
          <w:p>
            <w:pPr>
              <w:pStyle w:val="Recuadro"/>
            </w:pPr>
            <w:r>
              <w:t xml:space="preserve">«Es una ley natural: todo sistema tiende al desorden, a elevar su nivel de entropía conforme pasa el tiempo. Y por eso los sistemas tienen que generar neguentropía.»</w:t>
            </w:r>
          </w:p>
          <w:p>
            <w:pPr>
              <w:pStyle w:val="Recuadro"/>
            </w:pPr>
            <w:r>
              <w:t xml:space="preserve">Clase 9 · 00:55:46</w:t>
            </w:r>
          </w:p>
        </w:tc>
      </w:tr>
    </w:tbl>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El profesor lo dijo así</w:t>
            </w:r>
          </w:p>
          <w:p>
            <w:pPr>
              <w:pStyle w:val="Recuadro"/>
            </w:pPr>
            <w:r>
              <w:t xml:space="preserve">«Manteniendo siempre la entropía baja: la neguentropía contrarresta la entropía.»</w:t>
            </w:r>
          </w:p>
          <w:p>
            <w:pPr>
              <w:pStyle w:val="Recuadro"/>
            </w:pPr>
            <w:r>
              <w:t xml:space="preserve">Clase 9 · 00:56:20</w:t>
            </w:r>
          </w:p>
        </w:tc>
      </w:tr>
    </w:tbl>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El profesor lo dijo así</w:t>
            </w:r>
          </w:p>
          <w:p>
            <w:pPr>
              <w:pStyle w:val="Recuadro"/>
            </w:pPr>
            <w:r>
              <w:t xml:space="preserve">«La equifinalidad es esa propiedad de conseguir por caminos muy diferentes determinados objetivos, con independencia de las condiciones individuales que posee el sistema.»</w:t>
            </w:r>
          </w:p>
          <w:p>
            <w:pPr>
              <w:pStyle w:val="Recuadro"/>
            </w:pPr>
            <w:r>
              <w:t xml:space="preserve">Clase 9 · 01:05:36</w:t>
            </w:r>
          </w:p>
        </w:tc>
      </w:tr>
    </w:tbl>
    <w:p>
      <w:pPr>
        <w:pStyle w:val="Fuente"/>
      </w:pPr>
      <w:r>
        <w:t xml:space="preserve">Enunciado de práctica externa; resolución editorial del portal.</w:t>
      </w:r>
    </w:p>
    <w:p>
      <w:pPr>
        <w:pStyle w:val="Heading3"/>
      </w:pPr>
      <w:bookmarkStart w:name="b_pregunta_sd_10" w:id="5488"/>
      <w:r>
        <w:t xml:space="preserve">2.35 · 2.7 / 2.9 · Clasificación de sistemas y hábitos del pensador sistémico</w:t>
      </w:r>
      <w:bookmarkEnd w:id="5488"/>
    </w:p>
    <w:p>
      <w:pPr>
        <w:pStyle w:val="Normal"/>
      </w:pPr>
      <w:r>
        <w:t xml:space="preserve">Clasifique cuatro ejemplos de su contexto cercano en las familias de Checkland: sistema natural, sistema físico diseñado, sistema abstracto diseñado y sistema de actividad humana. Justifique cada clasificación y cierre conectando dos hábitos del pensador sistémico útiles para evitar confundir el objeto real con el modelo construido.</w:t>
      </w:r>
    </w:p>
    <w:p>
      <w:pPr>
        <w:pStyle w:val="Fuente"/>
      </w:pPr>
      <w:r>
        <w:t xml:space="preserve">Ordinal de la fuente: 10.</w:t>
      </w:r>
    </w:p>
    <w:p>
      <w:pPr>
        <w:pStyle w:val="Fuente"/>
      </w:pPr>
      <w:r>
        <w:t xml:space="preserve">Valor de práctica: 5 puntos.</w:t>
      </w:r>
    </w:p>
    <w:p>
      <w:pPr>
        <w:pStyle w:val="Heading3"/>
      </w:pPr>
      <w:bookmarkStart w:name="b_solucion_sd_10" w:id="5489"/>
      <w:r>
        <w:t xml:space="preserve">Solución 2.35</w:t>
      </w:r>
      <w:bookmarkEnd w:id="5489"/>
    </w:p>
    <w:p>
      <w:pPr>
        <w:pStyle w:val="RecuadroTitulo"/>
      </w:pPr>
      <w:r>
        <w:t xml:space="preserve">Respuesta modelo</w:t>
      </w:r>
    </w:p>
    <w:p>
      <w:pPr>
        <w:pStyle w:val="Normal"/>
      </w:pPr>
      <w:r>
        <w:t xml:space="preserve">Sistema natural — el manto acuífero bajo el valle donde está la ciudad. ¿De dónde proviene? Del universo y la evolución geológica, no de alguien. ¿De qué está hecho? De materia. ¿Tiene propósito? No uno impuesto: nadie lo diseñó para nada. La orientación propia de esta familia es aprender de él, y de hecho eso es lo que hace la hidrogeología. Que lo explotemos no lo convierte en diseñado: el uso humano no cambia el origen.</w:t>
      </w:r>
    </w:p>
    <w:p>
      <w:pPr>
        <w:pStyle w:val="Normal"/>
      </w:pPr>
      <w:r>
        <w:t xml:space="preserve">Sistema físico diseñado — la bomba de agua y la red de tuberías del edificio T3. Proviene de alguien, está hecho de materia y tiene un propósito impuesto y explícito por quien lo diseñó: llevar agua a cada piso. Es un artefacto tangible hecho con un fin, y la orientación de la familia es usarlo. Nótese la diferencia con el caso anterior: la misma agua, dos sistemas de familias distintas, porque lo que cambia es el origen y el propósito, no la sustancia.</w:t>
      </w:r>
    </w:p>
    <w:p>
      <w:pPr>
        <w:pStyle w:val="Normal"/>
      </w:pPr>
      <w:r>
        <w:t xml:space="preserve">Sistema abstracto diseñado — el algoritmo de asignación de aulas que usa la Facultad, y con él el propio paradigma de sistemas que se estudia en este curso. Proviene de alguien, no está hecho de materia sino de ideas, y es un producto ORDENADO de la mente: no cualquier intangible entra aquí, sino aquello que tiene estructura —un modelo, una teoría, un paradigma, un algoritmo—. Ésta es la familia que se estudió durante toda la unidad 1: los paradigmas y los modelos mentales viven en ella, y por eso «paradigma» y «sistema abstracto diseñado» nombran lo mismo.</w:t>
      </w:r>
    </w:p>
    <w:p>
      <w:pPr>
        <w:pStyle w:val="Normal"/>
      </w:pPr>
      <w:r>
        <w:t xml:space="preserve">Sistema de actividad humana — la Escuela de Ciencias y Sistemas. Proviene de personas, no se agota en materia ni en ideas, y su propósito es interpretable: no hay un único fin que todos los participantes suscriban, porque depende de la cosmovisión —Weltanschauung— de cada observador. Para un estudiante puede ser formar profesionales empleables; para un docente, producir conocimiento; para la administración, sostener una unidad académica. La orientación de la familia es buscar cómo ingeniarlos, y por eso la primera tarea ante uno de estos sistemas es declarar desde qué cosmovisión se lo está describiendo. Aquí también aparece el borde ambiguo: la Escuela contiene edificios (físicos diseñados) y reglamentos (abstractos diseñados), de modo que la clasificación depende del recorte —primero se declara qué se está mirando—.</w:t>
      </w:r>
    </w:p>
    <w:p>
      <w:pPr>
        <w:pStyle w:val="Normal"/>
      </w:pPr>
      <w:r>
        <w:t xml:space="preserve">Dos hábitos del pensador sistémico contra la confusión entre el objeto real y el modelo construido. El primero, «reconocer y probar suposiciones»: clasificar exige suponer un origen, una materia y un propósito, y cada una de esas suposiciones puede fallar —dar por natural un bosque que en realidad fue plantado, o por diseñado un mercado que nadie diseñó—. Probar la suposición significa buscar el dato que la sostiene antes de escribir la etiqueta. El segundo, «cambiar las perspectivas para aumentar la comprensión»: el propósito de un sistema de actividad humana no está en el sistema, está en el observador, y cambiar de punto y de vista es lo único que hace visible esa dependencia; sin ese cambio, la propia cosmovisión se toma por la descripción objetiva del sistema. Los dos apuntan a lo mismo: el mapa no es el territorio, y una clasificación es un modelo del portal o del analista, no una propiedad de las cosas.</w:t>
      </w:r>
    </w:p>
    <w:p>
      <w:pPr>
        <w:pStyle w:val="Normal"/>
      </w:pPr>
      <w:r>
        <w:t xml:space="preserve">Conviene cerrar con la premisa de fondo que la clase 8 deja explícita: que el mundo sea un conjunto de sistemas es un paradigma, no la afirmación de conocer la realidad en sí misma. Clasificar bien no es descubrir a qué familia pertenece cada cosa: es declarar con qué recorte y desde qué cosmovisión se la está mirando.</w:t>
      </w:r>
    </w:p>
    <w:p>
      <w:pPr>
        <w:pStyle w:val="Heading3"/>
      </w:pPr>
      <w:r>
        <w:t xml:space="preserve">Usa las tres preguntas antes de clasificar</w:t>
      </w:r>
    </w:p>
    <w:p>
      <w:pPr>
        <w:pStyle w:val="Normal"/>
      </w:pPr>
      <w:r>
        <w:t xml:space="preserve">¿Del universo o de alguien? ¿De materia o de ideas? ¿Tiene propósito y de quién es? Con eso se justifica cada caso sin memorizar listas.</w:t>
      </w:r>
    </w:p>
    <w:p>
      <w:pPr>
        <w:pStyle w:val="Heading3"/>
      </w:pPr>
      <w:r>
        <w:t xml:space="preserve">Elige ejemplos que no se solapen</w:t>
      </w:r>
    </w:p>
    <w:p>
      <w:pPr>
        <w:pStyle w:val="Normal"/>
      </w:pPr>
      <w:r>
        <w:t xml:space="preserve">Uno por familia, y a ser posible del contexto inmediato. Evite el zoológico o la familia como primer ejemplo: caen en más de una categoría.</w:t>
      </w:r>
    </w:p>
    <w:p>
      <w:pPr>
        <w:pStyle w:val="Heading3"/>
      </w:pPr>
      <w:r>
        <w:t xml:space="preserve">Justifica cada uno, no lo etiquetes</w:t>
      </w:r>
    </w:p>
    <w:p>
      <w:pPr>
        <w:pStyle w:val="Normal"/>
      </w:pPr>
      <w:r>
        <w:t xml:space="preserve">La justificación es la respuesta; la etiqueta sola no vale nada. Diga qué pregunta decidió el caso.</w:t>
      </w:r>
    </w:p>
    <w:p>
      <w:pPr>
        <w:pStyle w:val="Heading3"/>
      </w:pPr>
      <w:r>
        <w:t xml:space="preserve">Declara el recorte cuando el borde sea ambiguo</w:t>
      </w:r>
    </w:p>
    <w:p>
      <w:pPr>
        <w:pStyle w:val="Normal"/>
      </w:pPr>
      <w:r>
        <w:t xml:space="preserve">La clasificación depende de qué parte se observe. Reconocer un borde ambiguo y declarar el recorte suma, no resta.</w:t>
      </w:r>
    </w:p>
    <w:p>
      <w:pPr>
        <w:pStyle w:val="Heading3"/>
      </w:pPr>
      <w:r>
        <w:t xml:space="preserve">Conecta dos hábitos con la confusión objeto/modelo</w:t>
      </w:r>
    </w:p>
    <w:p>
      <w:pPr>
        <w:pStyle w:val="Normal"/>
      </w:pPr>
      <w:r>
        <w:t xml:space="preserve">Los cuatro hábitos ligados a los modelos mentales son los que sirven aquí. Elija dos y muestre cómo evitan tomar el modelo por la realidad.</w:t>
      </w:r>
    </w:p>
    <w:p>
      <w:pPr>
        <w:pStyle w:val="Heading3"/>
      </w:pPr>
      <w:r>
        <w:t xml:space="preserve">Criterios para una respuesta completa</w:t>
      </w:r>
    </w:p>
    <w:p>
      <w:pPr>
        <w:pStyle w:val="Normal"/>
        <w:numPr>
          <w:ilvl w:val="0"/>
          <w:numId w:val="2"/>
        </w:numPr>
      </w:pPr>
      <w:r>
        <w:t xml:space="preserve">Un ejemplo por cada una de las cuatro familias, sin solapamientos.</w:t>
      </w:r>
    </w:p>
    <w:p>
      <w:pPr>
        <w:pStyle w:val="Normal"/>
        <w:numPr>
          <w:ilvl w:val="0"/>
          <w:numId w:val="2"/>
        </w:numPr>
      </w:pPr>
      <w:r>
        <w:t xml:space="preserve">Justificación por origen, materia y propósito, no sólo la etiqueta.</w:t>
      </w:r>
    </w:p>
    <w:p>
      <w:pPr>
        <w:pStyle w:val="Normal"/>
        <w:numPr>
          <w:ilvl w:val="0"/>
          <w:numId w:val="2"/>
        </w:numPr>
      </w:pPr>
      <w:r>
        <w:t xml:space="preserve">La tercera familia conectada explícitamente con los paradigmas de la unidad 1.</w:t>
      </w:r>
    </w:p>
    <w:p>
      <w:pPr>
        <w:pStyle w:val="Normal"/>
        <w:numPr>
          <w:ilvl w:val="0"/>
          <w:numId w:val="2"/>
        </w:numPr>
      </w:pPr>
      <w:r>
        <w:t xml:space="preserve">La cuarta familia justificada por la interpretabilidad del propósito y la Weltanschauung.</w:t>
      </w:r>
    </w:p>
    <w:p>
      <w:pPr>
        <w:pStyle w:val="Normal"/>
        <w:numPr>
          <w:ilvl w:val="0"/>
          <w:numId w:val="2"/>
        </w:numPr>
      </w:pPr>
      <w:r>
        <w:t xml:space="preserve">Al menos un borde ambiguo reconocido, con el recorte declarado.</w:t>
      </w:r>
    </w:p>
    <w:p>
      <w:pPr>
        <w:pStyle w:val="Normal"/>
        <w:numPr>
          <w:ilvl w:val="0"/>
          <w:numId w:val="2"/>
        </w:numPr>
      </w:pPr>
      <w:r>
        <w:t xml:space="preserve">Dos hábitos nombrados y aplicados a la confusión entre objeto y modelo.</w:t>
      </w:r>
    </w:p>
    <w:p>
      <w:pPr>
        <w:pStyle w:val="Normal"/>
        <w:numPr>
          <w:ilvl w:val="0"/>
          <w:numId w:val="2"/>
        </w:numPr>
      </w:pPr>
      <w:r>
        <w:t xml:space="preserve">La advertencia de procedencia sobre los catorce hábitos y la introducción.</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9C620A" w:sz="20"/>
              <w:bottom w:val="nil"/>
              <w:right w:val="nil"/>
            </w:tcBorders>
            <w:shd w:fill="FBF3DF" w:val="clear"/>
            <w:tcMar>
              <w:top w:type="dxa" w:w="130"/>
              <w:left w:type="dxa" w:w="180"/>
              <w:bottom w:type="dxa" w:w="130"/>
              <w:right w:type="dxa" w:w="180"/>
            </w:tcMar>
          </w:tcPr>
          <w:p>
            <w:pPr>
              <w:pStyle w:val="RecuadroTitulo"/>
            </w:pPr>
            <w:r>
              <w:rPr>
                <w:b/>
                <w:bCs/>
                <w:color w:val="9C620A"/>
              </w:rPr>
              <w:t xml:space="preserve">Advertencia y límites</w:t>
            </w:r>
          </w:p>
          <w:p>
            <w:pPr>
              <w:pStyle w:val="Recuadro"/>
            </w:pPr>
            <w:r>
              <w:t xml:space="preserve">Cambio de frontera: los bordes son ambiguos por diseño y no por descuido. El zoológico y la familia —los dos ejemplos que la clase 9 usa— caen en más de una categoría según qué parte se observe, y lo mismo le pasa a la Escuela del cuarto ejemplo. Presentar la clasificación como si fuera una propiedad objetiva de los objetos sería confundir el modelo con el objeto real, que es exactamente lo que la pregunta pide evitar. Precisión de procedencia adicional: los catorce hábitos NO se dictaron uno por uno; por la unidad 1 entran los cuatro que la lámina liga a los modelos mentales, y enumerar los catorce sería atribuirle al curso contenido que no impartió.</w:t>
            </w:r>
          </w:p>
        </w:tc>
      </w:tr>
    </w:tbl>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El profesor lo dijo así</w:t>
            </w:r>
          </w:p>
          <w:p>
            <w:pPr>
              <w:pStyle w:val="Recuadro"/>
            </w:pPr>
            <w:r>
              <w:t xml:space="preserve">«Peter Checkland buscó modelar el mundo como un mapa sistémico donde pudiera encajar cualquier sistema e identificó cuatro tipos de sistemas.»</w:t>
            </w:r>
          </w:p>
          <w:p>
            <w:pPr>
              <w:pStyle w:val="Recuadro"/>
            </w:pPr>
            <w:r>
              <w:t xml:space="preserve">Clase 8 · 01:26:02</w:t>
            </w:r>
          </w:p>
        </w:tc>
      </w:tr>
    </w:tbl>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El profesor lo dijo así</w:t>
            </w:r>
          </w:p>
          <w:p>
            <w:pPr>
              <w:pStyle w:val="Recuadro"/>
            </w:pPr>
            <w:r>
              <w:t xml:space="preserve">«Como sistema natural puede funcionar cualquier sistema; decíamos que no había sido creado por la capacidad e inteligencia del ser humano, como pueden ser los sistemas del entorno.»</w:t>
            </w:r>
          </w:p>
          <w:p>
            <w:pPr>
              <w:pStyle w:val="Recuadro"/>
            </w:pPr>
            <w:r>
              <w:t xml:space="preserve">Clase 9 · 00:06:07</w:t>
            </w:r>
          </w:p>
        </w:tc>
      </w:tr>
    </w:tbl>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El profesor lo dijo así</w:t>
            </w:r>
          </w:p>
          <w:p>
            <w:pPr>
              <w:pStyle w:val="Recuadro"/>
            </w:pPr>
            <w:r>
              <w:t xml:space="preserve">«Un pensador sistémico obviamente maneja el paradigma de sistemas; conoce y utiliza toda esta teoría de sistemas para pensar en la realidad, y busca construir modelos mentales sistémicos.»</w:t>
            </w:r>
          </w:p>
          <w:p>
            <w:pPr>
              <w:pStyle w:val="Recuadro"/>
            </w:pPr>
            <w:r>
              <w:t xml:space="preserve">Clase 9 · 01:10:06</w:t>
            </w:r>
          </w:p>
        </w:tc>
      </w:tr>
    </w:tbl>
    <w:p>
      <w:pPr>
        <w:pStyle w:val="Fuente"/>
        <w:sectPr>
          <w:headerReference w:type="default" r:id="rId276"/>
          <w:headerReference w:type="first" r:id="rId277"/>
          <w:headerReference w:type="even" r:id="rId278"/>
          <w:footerReference w:type="default" r:id="rId279"/>
          <w:footerReference w:type="first" r:id="rId280"/>
          <w:footerReference w:type="even" r:id="rId281"/>
          <w:type w:val="nextPage"/>
          <w:pgSz w:w="12240" w:h="15840" w:orient="portrait"/>
          <w:pgMar w:top="1361" w:right="1134" w:bottom="1361" w:left="1474" w:header="650" w:footer="680" w:gutter="0"/>
          <w:pgNumType/>
          <w:titlePg/>
          <w:docGrid w:linePitch="360"/>
        </w:sectPr>
      </w:pPr>
      <w:r>
        <w:t xml:space="preserve">Enunciado de práctica externa; resolución editorial del portal.</w:t>
      </w:r>
    </w:p>
    <w:p>
      <w:pPr>
        <w:pStyle w:val="Heading2"/>
      </w:pPr>
      <w:bookmarkStart w:name="b_ex_p2" w:id="5490"/>
      <w:r>
        <w:t xml:space="preserve">Segundo parcial aplicado y complemento</w:t>
      </w:r>
      <w:bookmarkEnd w:id="5490"/>
    </w:p>
    <w:p>
      <w:pPr>
        <w:pStyle w:val="Normal"/>
      </w:pPr>
      <w:r>
        <w:t xml:space="preserve">Primero las 23 preguntas del parcial; después las 20 de complemento. Los pesos y la retroalimentación se conservan sólo donde los muestra la revisión de la plataforma; «Completada» no acredita una clave oficial.</w:t>
      </w:r>
    </w:p>
    <w:p>
      <w:pPr>
        <w:pStyle w:val="Heading3"/>
      </w:pPr>
      <w:r>
        <w:t xml:space="preserve">Clave rápida</w:t>
      </w:r>
    </w:p>
    <w:tbl>
      <w:tblPr>
        <w:tblW w:type="dxa" w:w="9632"/>
        <w:tblBorders>
          <w:top w:val="single" w:color="C5D5DB" w:sz="4"/>
          <w:left w:val="single" w:color="C5D5DB" w:sz="4"/>
          <w:bottom w:val="single" w:color="C5D5DB" w:sz="4"/>
          <w:right w:val="single" w:color="C5D5DB" w:sz="4"/>
          <w:insideH w:val="single" w:color="E4E9EB" w:sz="3"/>
          <w:insideV w:val="single" w:color="E4E9EB" w:sz="3"/>
        </w:tblBorders>
        <w:tblLayout w:type="fixed"/>
      </w:tblPr>
      <w:tblGrid>
        <w:gridCol w:w="4816"/>
        <w:gridCol w:w="4816"/>
      </w:tblGrid>
      <w:tr>
        <w:trPr>
          <w:cantSplit/>
          <w:tblHeader/>
        </w:trPr>
        <w:tc>
          <w:tcPr>
            <w:tcW w:type="dxa" w:w="4816"/>
            <w:shd w:fill="DFEAF0" w:val="clear"/>
            <w:tcMar>
              <w:top w:type="dxa" w:w="80"/>
              <w:left w:type="dxa" w:w="100"/>
              <w:bottom w:type="dxa" w:w="80"/>
              <w:right w:type="dxa" w:w="100"/>
            </w:tcMar>
          </w:tcPr>
          <w:p>
            <w:pPr>
              <w:pStyle w:val="Tabla"/>
            </w:pPr>
            <w:r>
              <w:rPr>
                <w:b/>
                <w:bCs/>
              </w:rPr>
              <w:t xml:space="preserve">Pregunta</w:t>
            </w:r>
          </w:p>
        </w:tc>
        <w:tc>
          <w:tcPr>
            <w:tcW w:type="dxa" w:w="4816"/>
            <w:shd w:fill="DFEAF0" w:val="clear"/>
            <w:tcMar>
              <w:top w:type="dxa" w:w="80"/>
              <w:left w:type="dxa" w:w="100"/>
              <w:bottom w:type="dxa" w:w="80"/>
              <w:right w:type="dxa" w:w="100"/>
            </w:tcMar>
          </w:tcPr>
          <w:p>
            <w:pPr>
              <w:pStyle w:val="Tabla"/>
            </w:pPr>
            <w:r>
              <w:rPr>
                <w:b/>
                <w:bCs/>
              </w:rPr>
              <w:t xml:space="preserve">Clave o tipo de respuesta</w:t>
            </w:r>
          </w:p>
        </w:tc>
      </w:tr>
      <w:tr>
        <w:trPr>
          <w:cantSplit/>
          <w:tblHeader w:val="off"/>
        </w:trPr>
        <w:tc>
          <w:tcPr>
            <w:tcW w:type="dxa" w:w="4816"/>
            <w:tcMar>
              <w:top w:type="dxa" w:w="80"/>
              <w:left w:type="dxa" w:w="100"/>
              <w:bottom w:type="dxa" w:w="80"/>
              <w:right w:type="dxa" w:w="100"/>
            </w:tcMar>
          </w:tcPr>
          <w:p>
            <w:pPr>
              <w:pStyle w:val="Tabla"/>
            </w:pPr>
            <w:r>
              <w:t xml:space="preserve">1</w:t>
            </w:r>
          </w:p>
        </w:tc>
        <w:tc>
          <w:tcPr>
            <w:tcW w:type="dxa" w:w="4816"/>
            <w:tcMar>
              <w:top w:type="dxa" w:w="80"/>
              <w:left w:type="dxa" w:w="100"/>
              <w:bottom w:type="dxa" w:w="80"/>
              <w:right w:type="dxa" w:w="100"/>
            </w:tcMar>
          </w:tcPr>
          <w:p>
            <w:pPr>
              <w:pStyle w:val="Tabla"/>
            </w:pPr>
            <w:r>
              <w:t xml:space="preserve">a) La regla de relaciones</w:t>
            </w:r>
          </w:p>
        </w:tc>
      </w:tr>
      <w:tr>
        <w:trPr>
          <w:cantSplit/>
          <w:tblHeader w:val="off"/>
        </w:trPr>
        <w:tc>
          <w:tcPr>
            <w:tcW w:type="dxa" w:w="4816"/>
            <w:tcMar>
              <w:top w:type="dxa" w:w="80"/>
              <w:left w:type="dxa" w:w="100"/>
              <w:bottom w:type="dxa" w:w="80"/>
              <w:right w:type="dxa" w:w="100"/>
            </w:tcMar>
          </w:tcPr>
          <w:p>
            <w:pPr>
              <w:pStyle w:val="Tabla"/>
            </w:pPr>
            <w:r>
              <w:t xml:space="preserve">2</w:t>
            </w:r>
          </w:p>
        </w:tc>
        <w:tc>
          <w:tcPr>
            <w:tcW w:type="dxa" w:w="4816"/>
            <w:tcMar>
              <w:top w:type="dxa" w:w="80"/>
              <w:left w:type="dxa" w:w="100"/>
              <w:bottom w:type="dxa" w:w="80"/>
              <w:right w:type="dxa" w:w="100"/>
            </w:tcMar>
          </w:tcPr>
          <w:p>
            <w:pPr>
              <w:pStyle w:val="Tabla"/>
            </w:pPr>
            <w:r>
              <w:t xml:space="preserve">Desarrollo: respuesta modelo y rúbrica a continuación</w:t>
            </w:r>
          </w:p>
        </w:tc>
      </w:tr>
      <w:tr>
        <w:trPr>
          <w:cantSplit/>
          <w:tblHeader w:val="off"/>
        </w:trPr>
        <w:tc>
          <w:tcPr>
            <w:tcW w:type="dxa" w:w="4816"/>
            <w:tcMar>
              <w:top w:type="dxa" w:w="80"/>
              <w:left w:type="dxa" w:w="100"/>
              <w:bottom w:type="dxa" w:w="80"/>
              <w:right w:type="dxa" w:w="100"/>
            </w:tcMar>
          </w:tcPr>
          <w:p>
            <w:pPr>
              <w:pStyle w:val="Tabla"/>
            </w:pPr>
            <w:r>
              <w:t xml:space="preserve">3</w:t>
            </w:r>
          </w:p>
        </w:tc>
        <w:tc>
          <w:tcPr>
            <w:tcW w:type="dxa" w:w="4816"/>
            <w:tcMar>
              <w:top w:type="dxa" w:w="80"/>
              <w:left w:type="dxa" w:w="100"/>
              <w:bottom w:type="dxa" w:w="80"/>
              <w:right w:type="dxa" w:w="100"/>
            </w:tcMar>
          </w:tcPr>
          <w:p>
            <w:pPr>
              <w:pStyle w:val="Tabla"/>
            </w:pPr>
            <w:r>
              <w:t xml:space="preserve">Desarrollo: respuesta modelo y rúbrica a continuación</w:t>
            </w:r>
          </w:p>
        </w:tc>
      </w:tr>
      <w:tr>
        <w:trPr>
          <w:cantSplit/>
          <w:tblHeader w:val="off"/>
        </w:trPr>
        <w:tc>
          <w:tcPr>
            <w:tcW w:type="dxa" w:w="4816"/>
            <w:tcMar>
              <w:top w:type="dxa" w:w="80"/>
              <w:left w:type="dxa" w:w="100"/>
              <w:bottom w:type="dxa" w:w="80"/>
              <w:right w:type="dxa" w:w="100"/>
            </w:tcMar>
          </w:tcPr>
          <w:p>
            <w:pPr>
              <w:pStyle w:val="Tabla"/>
            </w:pPr>
            <w:r>
              <w:t xml:space="preserve">4</w:t>
            </w:r>
          </w:p>
        </w:tc>
        <w:tc>
          <w:tcPr>
            <w:tcW w:type="dxa" w:w="4816"/>
            <w:tcMar>
              <w:top w:type="dxa" w:w="80"/>
              <w:left w:type="dxa" w:w="100"/>
              <w:bottom w:type="dxa" w:w="80"/>
              <w:right w:type="dxa" w:w="100"/>
            </w:tcMar>
          </w:tcPr>
          <w:p>
            <w:pPr>
              <w:pStyle w:val="Tabla"/>
            </w:pPr>
            <w:r>
              <w:t xml:space="preserve">Desarrollo: respuesta modelo y rúbrica a continuación</w:t>
            </w:r>
          </w:p>
        </w:tc>
      </w:tr>
      <w:tr>
        <w:trPr>
          <w:cantSplit/>
          <w:tblHeader w:val="off"/>
        </w:trPr>
        <w:tc>
          <w:tcPr>
            <w:tcW w:type="dxa" w:w="4816"/>
            <w:tcMar>
              <w:top w:type="dxa" w:w="80"/>
              <w:left w:type="dxa" w:w="100"/>
              <w:bottom w:type="dxa" w:w="80"/>
              <w:right w:type="dxa" w:w="100"/>
            </w:tcMar>
          </w:tcPr>
          <w:p>
            <w:pPr>
              <w:pStyle w:val="Tabla"/>
            </w:pPr>
            <w:r>
              <w:t xml:space="preserve">5</w:t>
            </w:r>
          </w:p>
        </w:tc>
        <w:tc>
          <w:tcPr>
            <w:tcW w:type="dxa" w:w="4816"/>
            <w:tcMar>
              <w:top w:type="dxa" w:w="80"/>
              <w:left w:type="dxa" w:w="100"/>
              <w:bottom w:type="dxa" w:w="80"/>
              <w:right w:type="dxa" w:w="100"/>
            </w:tcMar>
          </w:tcPr>
          <w:p>
            <w:pPr>
              <w:pStyle w:val="Tabla"/>
            </w:pPr>
            <w:r>
              <w:t xml:space="preserve">Cuando menos usuarios hay menos requerimientos se obtienen → Relación positiva; Cuando menos requerimientos hay más rápido se programará el sistema → Relación negativa; Cuando más usuarios se tienen menos claridad habrá en los requerimientos → Relación negativa</w:t>
            </w:r>
          </w:p>
        </w:tc>
      </w:tr>
      <w:tr>
        <w:trPr>
          <w:cantSplit/>
          <w:tblHeader w:val="off"/>
        </w:trPr>
        <w:tc>
          <w:tcPr>
            <w:tcW w:type="dxa" w:w="4816"/>
            <w:tcMar>
              <w:top w:type="dxa" w:w="80"/>
              <w:left w:type="dxa" w:w="100"/>
              <w:bottom w:type="dxa" w:w="80"/>
              <w:right w:type="dxa" w:w="100"/>
            </w:tcMar>
          </w:tcPr>
          <w:p>
            <w:pPr>
              <w:pStyle w:val="Tabla"/>
            </w:pPr>
            <w:r>
              <w:t xml:space="preserve">6</w:t>
            </w:r>
          </w:p>
        </w:tc>
        <w:tc>
          <w:tcPr>
            <w:tcW w:type="dxa" w:w="4816"/>
            <w:tcMar>
              <w:top w:type="dxa" w:w="80"/>
              <w:left w:type="dxa" w:w="100"/>
              <w:bottom w:type="dxa" w:w="80"/>
              <w:right w:type="dxa" w:w="100"/>
            </w:tcMar>
          </w:tcPr>
          <w:p>
            <w:pPr>
              <w:pStyle w:val="Tabla"/>
            </w:pPr>
            <w:r>
              <w:t xml:space="preserve">c) El mapa c</w:t>
            </w:r>
          </w:p>
        </w:tc>
      </w:tr>
      <w:tr>
        <w:trPr>
          <w:cantSplit/>
          <w:tblHeader w:val="off"/>
        </w:trPr>
        <w:tc>
          <w:tcPr>
            <w:tcW w:type="dxa" w:w="4816"/>
            <w:tcMar>
              <w:top w:type="dxa" w:w="80"/>
              <w:left w:type="dxa" w:w="100"/>
              <w:bottom w:type="dxa" w:w="80"/>
              <w:right w:type="dxa" w:w="100"/>
            </w:tcMar>
          </w:tcPr>
          <w:p>
            <w:pPr>
              <w:pStyle w:val="Tabla"/>
            </w:pPr>
            <w:r>
              <w:t xml:space="preserve">7</w:t>
            </w:r>
          </w:p>
        </w:tc>
        <w:tc>
          <w:tcPr>
            <w:tcW w:type="dxa" w:w="4816"/>
            <w:tcMar>
              <w:top w:type="dxa" w:w="80"/>
              <w:left w:type="dxa" w:w="100"/>
              <w:bottom w:type="dxa" w:w="80"/>
              <w:right w:type="dxa" w:w="100"/>
            </w:tcMar>
          </w:tcPr>
          <w:p>
            <w:pPr>
              <w:pStyle w:val="Tabla"/>
            </w:pPr>
            <w:r>
              <w:t xml:space="preserve">Desarrollo: respuesta modelo y rúbrica a continuación</w:t>
            </w:r>
          </w:p>
        </w:tc>
      </w:tr>
      <w:tr>
        <w:trPr>
          <w:cantSplit/>
          <w:tblHeader w:val="off"/>
        </w:trPr>
        <w:tc>
          <w:tcPr>
            <w:tcW w:type="dxa" w:w="4816"/>
            <w:tcMar>
              <w:top w:type="dxa" w:w="80"/>
              <w:left w:type="dxa" w:w="100"/>
              <w:bottom w:type="dxa" w:w="80"/>
              <w:right w:type="dxa" w:w="100"/>
            </w:tcMar>
          </w:tcPr>
          <w:p>
            <w:pPr>
              <w:pStyle w:val="Tabla"/>
            </w:pPr>
            <w:r>
              <w:t xml:space="preserve">8</w:t>
            </w:r>
          </w:p>
        </w:tc>
        <w:tc>
          <w:tcPr>
            <w:tcW w:type="dxa" w:w="4816"/>
            <w:tcMar>
              <w:top w:type="dxa" w:w="80"/>
              <w:left w:type="dxa" w:w="100"/>
              <w:bottom w:type="dxa" w:w="80"/>
              <w:right w:type="dxa" w:w="100"/>
            </w:tcMar>
          </w:tcPr>
          <w:p>
            <w:pPr>
              <w:pStyle w:val="Tabla"/>
            </w:pPr>
            <w:r>
              <w:t xml:space="preserve">c) La parte del “punto” o el concepto que se ve desde el “ojo”</w:t>
            </w:r>
          </w:p>
        </w:tc>
      </w:tr>
      <w:tr>
        <w:trPr>
          <w:cantSplit/>
          <w:tblHeader w:val="off"/>
        </w:trPr>
        <w:tc>
          <w:tcPr>
            <w:tcW w:type="dxa" w:w="4816"/>
            <w:tcMar>
              <w:top w:type="dxa" w:w="80"/>
              <w:left w:type="dxa" w:w="100"/>
              <w:bottom w:type="dxa" w:w="80"/>
              <w:right w:type="dxa" w:w="100"/>
            </w:tcMar>
          </w:tcPr>
          <w:p>
            <w:pPr>
              <w:pStyle w:val="Tabla"/>
            </w:pPr>
            <w:r>
              <w:t xml:space="preserve">9</w:t>
            </w:r>
          </w:p>
        </w:tc>
        <w:tc>
          <w:tcPr>
            <w:tcW w:type="dxa" w:w="4816"/>
            <w:tcMar>
              <w:top w:type="dxa" w:w="80"/>
              <w:left w:type="dxa" w:w="100"/>
              <w:bottom w:type="dxa" w:w="80"/>
              <w:right w:type="dxa" w:w="100"/>
            </w:tcMar>
          </w:tcPr>
          <w:p>
            <w:pPr>
              <w:pStyle w:val="Tabla"/>
            </w:pPr>
            <w:r>
              <w:t xml:space="preserve">Desarrollo: respuesta modelo y rúbrica a continuación</w:t>
            </w:r>
          </w:p>
        </w:tc>
      </w:tr>
      <w:tr>
        <w:trPr>
          <w:cantSplit/>
          <w:tblHeader w:val="off"/>
        </w:trPr>
        <w:tc>
          <w:tcPr>
            <w:tcW w:type="dxa" w:w="4816"/>
            <w:tcMar>
              <w:top w:type="dxa" w:w="80"/>
              <w:left w:type="dxa" w:w="100"/>
              <w:bottom w:type="dxa" w:w="80"/>
              <w:right w:type="dxa" w:w="100"/>
            </w:tcMar>
          </w:tcPr>
          <w:p>
            <w:pPr>
              <w:pStyle w:val="Tabla"/>
            </w:pPr>
            <w:r>
              <w:t xml:space="preserve">10</w:t>
            </w:r>
          </w:p>
        </w:tc>
        <w:tc>
          <w:tcPr>
            <w:tcW w:type="dxa" w:w="4816"/>
            <w:tcMar>
              <w:top w:type="dxa" w:w="80"/>
              <w:left w:type="dxa" w:w="100"/>
              <w:bottom w:type="dxa" w:w="80"/>
              <w:right w:type="dxa" w:w="100"/>
            </w:tcMar>
          </w:tcPr>
          <w:p>
            <w:pPr>
              <w:pStyle w:val="Tabla"/>
            </w:pPr>
            <w:r>
              <w:t xml:space="preserve">Desarrollo: respuesta modelo y rúbrica a continuación</w:t>
            </w:r>
          </w:p>
        </w:tc>
      </w:tr>
      <w:tr>
        <w:trPr>
          <w:cantSplit/>
          <w:tblHeader w:val="off"/>
        </w:trPr>
        <w:tc>
          <w:tcPr>
            <w:tcW w:type="dxa" w:w="4816"/>
            <w:tcMar>
              <w:top w:type="dxa" w:w="80"/>
              <w:left w:type="dxa" w:w="100"/>
              <w:bottom w:type="dxa" w:w="80"/>
              <w:right w:type="dxa" w:w="100"/>
            </w:tcMar>
          </w:tcPr>
          <w:p>
            <w:pPr>
              <w:pStyle w:val="Tabla"/>
            </w:pPr>
            <w:r>
              <w:t xml:space="preserve">11</w:t>
            </w:r>
          </w:p>
        </w:tc>
        <w:tc>
          <w:tcPr>
            <w:tcW w:type="dxa" w:w="4816"/>
            <w:tcMar>
              <w:top w:type="dxa" w:w="80"/>
              <w:left w:type="dxa" w:w="100"/>
              <w:bottom w:type="dxa" w:w="80"/>
              <w:right w:type="dxa" w:w="100"/>
            </w:tcMar>
          </w:tcPr>
          <w:p>
            <w:pPr>
              <w:pStyle w:val="Tabla"/>
            </w:pPr>
            <w:r>
              <w:t xml:space="preserve">d) Hasta que el modelador tenga la comprensión deseada</w:t>
            </w:r>
          </w:p>
        </w:tc>
      </w:tr>
      <w:tr>
        <w:trPr>
          <w:cantSplit/>
          <w:tblHeader w:val="off"/>
        </w:trPr>
        <w:tc>
          <w:tcPr>
            <w:tcW w:type="dxa" w:w="4816"/>
            <w:tcMar>
              <w:top w:type="dxa" w:w="80"/>
              <w:left w:type="dxa" w:w="100"/>
              <w:bottom w:type="dxa" w:w="80"/>
              <w:right w:type="dxa" w:w="100"/>
            </w:tcMar>
          </w:tcPr>
          <w:p>
            <w:pPr>
              <w:pStyle w:val="Tabla"/>
            </w:pPr>
            <w:r>
              <w:t xml:space="preserve">12</w:t>
            </w:r>
          </w:p>
        </w:tc>
        <w:tc>
          <w:tcPr>
            <w:tcW w:type="dxa" w:w="4816"/>
            <w:tcMar>
              <w:top w:type="dxa" w:w="80"/>
              <w:left w:type="dxa" w:w="100"/>
              <w:bottom w:type="dxa" w:w="80"/>
              <w:right w:type="dxa" w:w="100"/>
            </w:tcMar>
          </w:tcPr>
          <w:p>
            <w:pPr>
              <w:pStyle w:val="Tabla"/>
            </w:pPr>
            <w:r>
              <w:t xml:space="preserve">Desarrollo: respuesta modelo y rúbrica a continuación</w:t>
            </w:r>
          </w:p>
        </w:tc>
      </w:tr>
      <w:tr>
        <w:trPr>
          <w:cantSplit/>
          <w:tblHeader w:val="off"/>
        </w:trPr>
        <w:tc>
          <w:tcPr>
            <w:tcW w:type="dxa" w:w="4816"/>
            <w:tcMar>
              <w:top w:type="dxa" w:w="80"/>
              <w:left w:type="dxa" w:w="100"/>
              <w:bottom w:type="dxa" w:w="80"/>
              <w:right w:type="dxa" w:w="100"/>
            </w:tcMar>
          </w:tcPr>
          <w:p>
            <w:pPr>
              <w:pStyle w:val="Tabla"/>
            </w:pPr>
            <w:r>
              <w:t xml:space="preserve">13</w:t>
            </w:r>
          </w:p>
        </w:tc>
        <w:tc>
          <w:tcPr>
            <w:tcW w:type="dxa" w:w="4816"/>
            <w:tcMar>
              <w:top w:type="dxa" w:w="80"/>
              <w:left w:type="dxa" w:w="100"/>
              <w:bottom w:type="dxa" w:w="80"/>
              <w:right w:type="dxa" w:w="100"/>
            </w:tcMar>
          </w:tcPr>
          <w:p>
            <w:pPr>
              <w:pStyle w:val="Tabla"/>
            </w:pPr>
            <w:r>
              <w:t xml:space="preserve">a) Transferencia</w:t>
            </w:r>
          </w:p>
        </w:tc>
      </w:tr>
      <w:tr>
        <w:trPr>
          <w:cantSplit/>
          <w:tblHeader w:val="off"/>
        </w:trPr>
        <w:tc>
          <w:tcPr>
            <w:tcW w:type="dxa" w:w="4816"/>
            <w:tcMar>
              <w:top w:type="dxa" w:w="80"/>
              <w:left w:type="dxa" w:w="100"/>
              <w:bottom w:type="dxa" w:w="80"/>
              <w:right w:type="dxa" w:w="100"/>
            </w:tcMar>
          </w:tcPr>
          <w:p>
            <w:pPr>
              <w:pStyle w:val="Tabla"/>
            </w:pPr>
            <w:r>
              <w:t xml:space="preserve">14</w:t>
            </w:r>
          </w:p>
        </w:tc>
        <w:tc>
          <w:tcPr>
            <w:tcW w:type="dxa" w:w="4816"/>
            <w:tcMar>
              <w:top w:type="dxa" w:w="80"/>
              <w:left w:type="dxa" w:w="100"/>
              <w:bottom w:type="dxa" w:w="80"/>
              <w:right w:type="dxa" w:w="100"/>
            </w:tcMar>
          </w:tcPr>
          <w:p>
            <w:pPr>
              <w:pStyle w:val="Tabla"/>
            </w:pPr>
            <w:r>
              <w:t xml:space="preserve">a) Distinciones; b) Relaciones</w:t>
            </w:r>
          </w:p>
        </w:tc>
      </w:tr>
      <w:tr>
        <w:trPr>
          <w:cantSplit/>
          <w:tblHeader w:val="off"/>
        </w:trPr>
        <w:tc>
          <w:tcPr>
            <w:tcW w:type="dxa" w:w="4816"/>
            <w:tcMar>
              <w:top w:type="dxa" w:w="80"/>
              <w:left w:type="dxa" w:w="100"/>
              <w:bottom w:type="dxa" w:w="80"/>
              <w:right w:type="dxa" w:w="100"/>
            </w:tcMar>
          </w:tcPr>
          <w:p>
            <w:pPr>
              <w:pStyle w:val="Tabla"/>
            </w:pPr>
            <w:r>
              <w:t xml:space="preserve">15</w:t>
            </w:r>
          </w:p>
        </w:tc>
        <w:tc>
          <w:tcPr>
            <w:tcW w:type="dxa" w:w="4816"/>
            <w:tcMar>
              <w:top w:type="dxa" w:w="80"/>
              <w:left w:type="dxa" w:w="100"/>
              <w:bottom w:type="dxa" w:w="80"/>
              <w:right w:type="dxa" w:w="100"/>
            </w:tcMar>
          </w:tcPr>
          <w:p>
            <w:pPr>
              <w:pStyle w:val="Tabla"/>
            </w:pPr>
            <w:r>
              <w:t xml:space="preserve">Desarrollo: respuesta modelo y rúbrica a continuación</w:t>
            </w:r>
          </w:p>
        </w:tc>
      </w:tr>
      <w:tr>
        <w:trPr>
          <w:cantSplit/>
          <w:tblHeader w:val="off"/>
        </w:trPr>
        <w:tc>
          <w:tcPr>
            <w:tcW w:type="dxa" w:w="4816"/>
            <w:tcMar>
              <w:top w:type="dxa" w:w="80"/>
              <w:left w:type="dxa" w:w="100"/>
              <w:bottom w:type="dxa" w:w="80"/>
              <w:right w:type="dxa" w:w="100"/>
            </w:tcMar>
          </w:tcPr>
          <w:p>
            <w:pPr>
              <w:pStyle w:val="Tabla"/>
            </w:pPr>
            <w:r>
              <w:t xml:space="preserve">16</w:t>
            </w:r>
          </w:p>
        </w:tc>
        <w:tc>
          <w:tcPr>
            <w:tcW w:type="dxa" w:w="4816"/>
            <w:tcMar>
              <w:top w:type="dxa" w:w="80"/>
              <w:left w:type="dxa" w:w="100"/>
              <w:bottom w:type="dxa" w:w="80"/>
              <w:right w:type="dxa" w:w="100"/>
            </w:tcMar>
          </w:tcPr>
          <w:p>
            <w:pPr>
              <w:pStyle w:val="Tabla"/>
            </w:pPr>
            <w:r>
              <w:t xml:space="preserve">b) Un número par; e) Ninguna</w:t>
            </w:r>
          </w:p>
        </w:tc>
      </w:tr>
      <w:tr>
        <w:trPr>
          <w:cantSplit/>
          <w:tblHeader w:val="off"/>
        </w:trPr>
        <w:tc>
          <w:tcPr>
            <w:tcW w:type="dxa" w:w="4816"/>
            <w:tcMar>
              <w:top w:type="dxa" w:w="80"/>
              <w:left w:type="dxa" w:w="100"/>
              <w:bottom w:type="dxa" w:w="80"/>
              <w:right w:type="dxa" w:w="100"/>
            </w:tcMar>
          </w:tcPr>
          <w:p>
            <w:pPr>
              <w:pStyle w:val="Tabla"/>
            </w:pPr>
            <w:r>
              <w:t xml:space="preserve">17</w:t>
            </w:r>
          </w:p>
        </w:tc>
        <w:tc>
          <w:tcPr>
            <w:tcW w:type="dxa" w:w="4816"/>
            <w:tcMar>
              <w:top w:type="dxa" w:w="80"/>
              <w:left w:type="dxa" w:w="100"/>
              <w:bottom w:type="dxa" w:w="80"/>
              <w:right w:type="dxa" w:w="100"/>
            </w:tcMar>
          </w:tcPr>
          <w:p>
            <w:pPr>
              <w:pStyle w:val="Tabla"/>
            </w:pPr>
            <w:r>
              <w:t xml:space="preserve">Desarrollo: respuesta modelo y rúbrica a continuación</w:t>
            </w:r>
          </w:p>
        </w:tc>
      </w:tr>
      <w:tr>
        <w:trPr>
          <w:cantSplit/>
          <w:tblHeader w:val="off"/>
        </w:trPr>
        <w:tc>
          <w:tcPr>
            <w:tcW w:type="dxa" w:w="4816"/>
            <w:tcMar>
              <w:top w:type="dxa" w:w="80"/>
              <w:left w:type="dxa" w:w="100"/>
              <w:bottom w:type="dxa" w:w="80"/>
              <w:right w:type="dxa" w:w="100"/>
            </w:tcMar>
          </w:tcPr>
          <w:p>
            <w:pPr>
              <w:pStyle w:val="Tabla"/>
            </w:pPr>
            <w:r>
              <w:t xml:space="preserve">18</w:t>
            </w:r>
          </w:p>
        </w:tc>
        <w:tc>
          <w:tcPr>
            <w:tcW w:type="dxa" w:w="4816"/>
            <w:tcMar>
              <w:top w:type="dxa" w:w="80"/>
              <w:left w:type="dxa" w:w="100"/>
              <w:bottom w:type="dxa" w:w="80"/>
              <w:right w:type="dxa" w:w="100"/>
            </w:tcMar>
          </w:tcPr>
          <w:p>
            <w:pPr>
              <w:pStyle w:val="Tabla"/>
            </w:pPr>
            <w:r>
              <w:t xml:space="preserve">Desarrollo: respuesta modelo y rúbrica a continuación</w:t>
            </w:r>
          </w:p>
        </w:tc>
      </w:tr>
      <w:tr>
        <w:trPr>
          <w:cantSplit/>
          <w:tblHeader w:val="off"/>
        </w:trPr>
        <w:tc>
          <w:tcPr>
            <w:tcW w:type="dxa" w:w="4816"/>
            <w:tcMar>
              <w:top w:type="dxa" w:w="80"/>
              <w:left w:type="dxa" w:w="100"/>
              <w:bottom w:type="dxa" w:w="80"/>
              <w:right w:type="dxa" w:w="100"/>
            </w:tcMar>
          </w:tcPr>
          <w:p>
            <w:pPr>
              <w:pStyle w:val="Tabla"/>
            </w:pPr>
            <w:r>
              <w:t xml:space="preserve">19</w:t>
            </w:r>
          </w:p>
        </w:tc>
        <w:tc>
          <w:tcPr>
            <w:tcW w:type="dxa" w:w="4816"/>
            <w:tcMar>
              <w:top w:type="dxa" w:w="80"/>
              <w:left w:type="dxa" w:w="100"/>
              <w:bottom w:type="dxa" w:w="80"/>
              <w:right w:type="dxa" w:w="100"/>
            </w:tcMar>
          </w:tcPr>
          <w:p>
            <w:pPr>
              <w:pStyle w:val="Tabla"/>
            </w:pPr>
            <w:r>
              <w:t xml:space="preserve">Desarrollo: respuesta modelo y rúbrica a continuación</w:t>
            </w:r>
          </w:p>
        </w:tc>
      </w:tr>
      <w:tr>
        <w:trPr>
          <w:cantSplit/>
          <w:tblHeader w:val="off"/>
        </w:trPr>
        <w:tc>
          <w:tcPr>
            <w:tcW w:type="dxa" w:w="4816"/>
            <w:tcMar>
              <w:top w:type="dxa" w:w="80"/>
              <w:left w:type="dxa" w:w="100"/>
              <w:bottom w:type="dxa" w:w="80"/>
              <w:right w:type="dxa" w:w="100"/>
            </w:tcMar>
          </w:tcPr>
          <w:p>
            <w:pPr>
              <w:pStyle w:val="Tabla"/>
            </w:pPr>
            <w:r>
              <w:t xml:space="preserve">20</w:t>
            </w:r>
          </w:p>
        </w:tc>
        <w:tc>
          <w:tcPr>
            <w:tcW w:type="dxa" w:w="4816"/>
            <w:tcMar>
              <w:top w:type="dxa" w:w="80"/>
              <w:left w:type="dxa" w:w="100"/>
              <w:bottom w:type="dxa" w:w="80"/>
              <w:right w:type="dxa" w:w="100"/>
            </w:tcMar>
          </w:tcPr>
          <w:p>
            <w:pPr>
              <w:pStyle w:val="Tabla"/>
            </w:pPr>
            <w:r>
              <w:t xml:space="preserve">a) Balance</w:t>
            </w:r>
          </w:p>
        </w:tc>
      </w:tr>
      <w:tr>
        <w:trPr>
          <w:cantSplit/>
          <w:tblHeader w:val="off"/>
        </w:trPr>
        <w:tc>
          <w:tcPr>
            <w:tcW w:type="dxa" w:w="4816"/>
            <w:tcMar>
              <w:top w:type="dxa" w:w="80"/>
              <w:left w:type="dxa" w:w="100"/>
              <w:bottom w:type="dxa" w:w="80"/>
              <w:right w:type="dxa" w:w="100"/>
            </w:tcMar>
          </w:tcPr>
          <w:p>
            <w:pPr>
              <w:pStyle w:val="Tabla"/>
            </w:pPr>
            <w:r>
              <w:t xml:space="preserve">21</w:t>
            </w:r>
          </w:p>
        </w:tc>
        <w:tc>
          <w:tcPr>
            <w:tcW w:type="dxa" w:w="4816"/>
            <w:tcMar>
              <w:top w:type="dxa" w:w="80"/>
              <w:left w:type="dxa" w:w="100"/>
              <w:bottom w:type="dxa" w:w="80"/>
              <w:right w:type="dxa" w:w="100"/>
            </w:tcMar>
          </w:tcPr>
          <w:p>
            <w:pPr>
              <w:pStyle w:val="Tabla"/>
            </w:pPr>
            <w:r>
              <w:t xml:space="preserve">a) Si X decrece entonces Z decrece; b) Si X crece entonces Z crece</w:t>
            </w:r>
          </w:p>
        </w:tc>
      </w:tr>
      <w:tr>
        <w:trPr>
          <w:cantSplit/>
          <w:tblHeader w:val="off"/>
        </w:trPr>
        <w:tc>
          <w:tcPr>
            <w:tcW w:type="dxa" w:w="4816"/>
            <w:tcMar>
              <w:top w:type="dxa" w:w="80"/>
              <w:left w:type="dxa" w:w="100"/>
              <w:bottom w:type="dxa" w:w="80"/>
              <w:right w:type="dxa" w:w="100"/>
            </w:tcMar>
          </w:tcPr>
          <w:p>
            <w:pPr>
              <w:pStyle w:val="Tabla"/>
            </w:pPr>
            <w:r>
              <w:t xml:space="preserve">22</w:t>
            </w:r>
          </w:p>
        </w:tc>
        <w:tc>
          <w:tcPr>
            <w:tcW w:type="dxa" w:w="4816"/>
            <w:tcMar>
              <w:top w:type="dxa" w:w="80"/>
              <w:left w:type="dxa" w:w="100"/>
              <w:bottom w:type="dxa" w:w="80"/>
              <w:right w:type="dxa" w:w="100"/>
            </w:tcMar>
          </w:tcPr>
          <w:p>
            <w:pPr>
              <w:pStyle w:val="Tabla"/>
            </w:pPr>
            <w:r>
              <w:t xml:space="preserve">c) Retroalimentación de refuerzo o Pro-alimentación de compensación</w:t>
            </w:r>
          </w:p>
        </w:tc>
      </w:tr>
      <w:tr>
        <w:trPr>
          <w:cantSplit/>
          <w:tblHeader w:val="off"/>
        </w:trPr>
        <w:tc>
          <w:tcPr>
            <w:tcW w:type="dxa" w:w="4816"/>
            <w:tcMar>
              <w:top w:type="dxa" w:w="80"/>
              <w:left w:type="dxa" w:w="100"/>
              <w:bottom w:type="dxa" w:w="80"/>
              <w:right w:type="dxa" w:w="100"/>
            </w:tcMar>
          </w:tcPr>
          <w:p>
            <w:pPr>
              <w:pStyle w:val="Tabla"/>
            </w:pPr>
            <w:r>
              <w:t xml:space="preserve">23</w:t>
            </w:r>
          </w:p>
        </w:tc>
        <w:tc>
          <w:tcPr>
            <w:tcW w:type="dxa" w:w="4816"/>
            <w:tcMar>
              <w:top w:type="dxa" w:w="80"/>
              <w:left w:type="dxa" w:w="100"/>
              <w:bottom w:type="dxa" w:w="80"/>
              <w:right w:type="dxa" w:w="100"/>
            </w:tcMar>
          </w:tcPr>
          <w:p>
            <w:pPr>
              <w:pStyle w:val="Tabla"/>
            </w:pPr>
            <w:r>
              <w:t xml:space="preserve">a) El piloto automático de un avión</w:t>
            </w:r>
          </w:p>
        </w:tc>
      </w:tr>
      <w:tr>
        <w:trPr>
          <w:cantSplit/>
          <w:tblHeader w:val="off"/>
        </w:trPr>
        <w:tc>
          <w:tcPr>
            <w:tcW w:type="dxa" w:w="4816"/>
            <w:tcMar>
              <w:top w:type="dxa" w:w="80"/>
              <w:left w:type="dxa" w:w="100"/>
              <w:bottom w:type="dxa" w:w="80"/>
              <w:right w:type="dxa" w:w="100"/>
            </w:tcMar>
          </w:tcPr>
          <w:p>
            <w:pPr>
              <w:pStyle w:val="Tabla"/>
            </w:pPr>
            <w:r>
              <w:t xml:space="preserve">24</w:t>
            </w:r>
          </w:p>
        </w:tc>
        <w:tc>
          <w:tcPr>
            <w:tcW w:type="dxa" w:w="4816"/>
            <w:tcMar>
              <w:top w:type="dxa" w:w="80"/>
              <w:left w:type="dxa" w:w="100"/>
              <w:bottom w:type="dxa" w:w="80"/>
              <w:right w:type="dxa" w:w="100"/>
            </w:tcMar>
          </w:tcPr>
          <w:p>
            <w:pPr>
              <w:pStyle w:val="Tabla"/>
            </w:pPr>
            <w:r>
              <w:t xml:space="preserve">b) Sistemas</w:t>
            </w:r>
          </w:p>
        </w:tc>
      </w:tr>
      <w:tr>
        <w:trPr>
          <w:cantSplit/>
          <w:tblHeader w:val="off"/>
        </w:trPr>
        <w:tc>
          <w:tcPr>
            <w:tcW w:type="dxa" w:w="4816"/>
            <w:tcMar>
              <w:top w:type="dxa" w:w="80"/>
              <w:left w:type="dxa" w:w="100"/>
              <w:bottom w:type="dxa" w:w="80"/>
              <w:right w:type="dxa" w:w="100"/>
            </w:tcMar>
          </w:tcPr>
          <w:p>
            <w:pPr>
              <w:pStyle w:val="Tabla"/>
            </w:pPr>
            <w:r>
              <w:t xml:space="preserve">25</w:t>
            </w:r>
          </w:p>
        </w:tc>
        <w:tc>
          <w:tcPr>
            <w:tcW w:type="dxa" w:w="4816"/>
            <w:tcMar>
              <w:top w:type="dxa" w:w="80"/>
              <w:left w:type="dxa" w:w="100"/>
              <w:bottom w:type="dxa" w:w="80"/>
              <w:right w:type="dxa" w:w="100"/>
            </w:tcMar>
          </w:tcPr>
          <w:p>
            <w:pPr>
              <w:pStyle w:val="Tabla"/>
            </w:pPr>
            <w:r>
              <w:t xml:space="preserve">b) La parte del “ojo” o el concepto del punto de vista del mapa</w:t>
            </w:r>
          </w:p>
        </w:tc>
      </w:tr>
      <w:tr>
        <w:trPr>
          <w:cantSplit/>
          <w:tblHeader w:val="off"/>
        </w:trPr>
        <w:tc>
          <w:tcPr>
            <w:tcW w:type="dxa" w:w="4816"/>
            <w:tcMar>
              <w:top w:type="dxa" w:w="80"/>
              <w:left w:type="dxa" w:w="100"/>
              <w:bottom w:type="dxa" w:w="80"/>
              <w:right w:type="dxa" w:w="100"/>
            </w:tcMar>
          </w:tcPr>
          <w:p>
            <w:pPr>
              <w:pStyle w:val="Tabla"/>
            </w:pPr>
            <w:r>
              <w:t xml:space="preserve">26</w:t>
            </w:r>
          </w:p>
        </w:tc>
        <w:tc>
          <w:tcPr>
            <w:tcW w:type="dxa" w:w="4816"/>
            <w:tcMar>
              <w:top w:type="dxa" w:w="80"/>
              <w:left w:type="dxa" w:w="100"/>
              <w:bottom w:type="dxa" w:w="80"/>
              <w:right w:type="dxa" w:w="100"/>
            </w:tcMar>
          </w:tcPr>
          <w:p>
            <w:pPr>
              <w:pStyle w:val="Tabla"/>
            </w:pPr>
            <w:r>
              <w:t xml:space="preserve">Desarrollo: respuesta modelo y rúbrica a continuación</w:t>
            </w:r>
          </w:p>
        </w:tc>
      </w:tr>
      <w:tr>
        <w:trPr>
          <w:cantSplit/>
          <w:tblHeader w:val="off"/>
        </w:trPr>
        <w:tc>
          <w:tcPr>
            <w:tcW w:type="dxa" w:w="4816"/>
            <w:tcMar>
              <w:top w:type="dxa" w:w="80"/>
              <w:left w:type="dxa" w:w="100"/>
              <w:bottom w:type="dxa" w:w="80"/>
              <w:right w:type="dxa" w:w="100"/>
            </w:tcMar>
          </w:tcPr>
          <w:p>
            <w:pPr>
              <w:pStyle w:val="Tabla"/>
            </w:pPr>
            <w:r>
              <w:t xml:space="preserve">27</w:t>
            </w:r>
          </w:p>
        </w:tc>
        <w:tc>
          <w:tcPr>
            <w:tcW w:type="dxa" w:w="4816"/>
            <w:tcMar>
              <w:top w:type="dxa" w:w="80"/>
              <w:left w:type="dxa" w:w="100"/>
              <w:bottom w:type="dxa" w:w="80"/>
              <w:right w:type="dxa" w:w="100"/>
            </w:tcMar>
          </w:tcPr>
          <w:p>
            <w:pPr>
              <w:pStyle w:val="Tabla"/>
            </w:pPr>
            <w:r>
              <w:t xml:space="preserve">¿Cómo transfiere la comprensión de un sistema a otro sistema? → Hace conexiones significativas dentro y entre si…; ¿En dónde aparece la retroalimentación de la causalidad circular? → Identifica la naturaleza circular de relacio…; ¿Cómo la organización e interacción de las partes crean el comportamiento que aparece? → Reconoce que la estruct…; ¿El cambio que proponemos dará resultados inmediatos o necesitaremos esperar para ver la mejora? → Reconoce el i…; ¿Qué patrones o tendencias han aparecido a través del tiempo? → Observa cómo los elementos en un sistema cambian…</w:t>
            </w:r>
          </w:p>
        </w:tc>
      </w:tr>
      <w:tr>
        <w:trPr>
          <w:cantSplit/>
          <w:tblHeader w:val="off"/>
        </w:trPr>
        <w:tc>
          <w:tcPr>
            <w:tcW w:type="dxa" w:w="4816"/>
            <w:tcMar>
              <w:top w:type="dxa" w:w="80"/>
              <w:left w:type="dxa" w:w="100"/>
              <w:bottom w:type="dxa" w:w="80"/>
              <w:right w:type="dxa" w:w="100"/>
            </w:tcMar>
          </w:tcPr>
          <w:p>
            <w:pPr>
              <w:pStyle w:val="Tabla"/>
            </w:pPr>
            <w:r>
              <w:t xml:space="preserve">28</w:t>
            </w:r>
          </w:p>
        </w:tc>
        <w:tc>
          <w:tcPr>
            <w:tcW w:type="dxa" w:w="4816"/>
            <w:tcMar>
              <w:top w:type="dxa" w:w="80"/>
              <w:left w:type="dxa" w:w="100"/>
              <w:bottom w:type="dxa" w:w="80"/>
              <w:right w:type="dxa" w:w="100"/>
            </w:tcMar>
          </w:tcPr>
          <w:p>
            <w:pPr>
              <w:pStyle w:val="Tabla"/>
            </w:pPr>
            <w:r>
              <w:t xml:space="preserve">Desarrollo: respuesta modelo y rúbrica a continuación</w:t>
            </w:r>
          </w:p>
        </w:tc>
      </w:tr>
      <w:tr>
        <w:trPr>
          <w:cantSplit/>
          <w:tblHeader w:val="off"/>
        </w:trPr>
        <w:tc>
          <w:tcPr>
            <w:tcW w:type="dxa" w:w="4816"/>
            <w:tcMar>
              <w:top w:type="dxa" w:w="80"/>
              <w:left w:type="dxa" w:w="100"/>
              <w:bottom w:type="dxa" w:w="80"/>
              <w:right w:type="dxa" w:w="100"/>
            </w:tcMar>
          </w:tcPr>
          <w:p>
            <w:pPr>
              <w:pStyle w:val="Tabla"/>
            </w:pPr>
            <w:r>
              <w:t xml:space="preserve">29</w:t>
            </w:r>
          </w:p>
        </w:tc>
        <w:tc>
          <w:tcPr>
            <w:tcW w:type="dxa" w:w="4816"/>
            <w:tcMar>
              <w:top w:type="dxa" w:w="80"/>
              <w:left w:type="dxa" w:w="100"/>
              <w:bottom w:type="dxa" w:w="80"/>
              <w:right w:type="dxa" w:w="100"/>
            </w:tcMar>
          </w:tcPr>
          <w:p>
            <w:pPr>
              <w:pStyle w:val="Tabla"/>
            </w:pPr>
            <w:r>
              <w:t xml:space="preserve">b) Proalimentación de refuerzo</w:t>
            </w:r>
          </w:p>
        </w:tc>
      </w:tr>
      <w:tr>
        <w:trPr>
          <w:cantSplit/>
          <w:tblHeader w:val="off"/>
        </w:trPr>
        <w:tc>
          <w:tcPr>
            <w:tcW w:type="dxa" w:w="4816"/>
            <w:tcMar>
              <w:top w:type="dxa" w:w="80"/>
              <w:left w:type="dxa" w:w="100"/>
              <w:bottom w:type="dxa" w:w="80"/>
              <w:right w:type="dxa" w:w="100"/>
            </w:tcMar>
          </w:tcPr>
          <w:p>
            <w:pPr>
              <w:pStyle w:val="Tabla"/>
            </w:pPr>
            <w:r>
              <w:t xml:space="preserve">30</w:t>
            </w:r>
          </w:p>
        </w:tc>
        <w:tc>
          <w:tcPr>
            <w:tcW w:type="dxa" w:w="4816"/>
            <w:tcMar>
              <w:top w:type="dxa" w:w="80"/>
              <w:left w:type="dxa" w:w="100"/>
              <w:bottom w:type="dxa" w:w="80"/>
              <w:right w:type="dxa" w:w="100"/>
            </w:tcMar>
          </w:tcPr>
          <w:p>
            <w:pPr>
              <w:pStyle w:val="Tabla"/>
            </w:pPr>
            <w:r>
              <w:t xml:space="preserve">c) Un ciclo de refuerzo acoplado con uno de balance que comparten una variable</w:t>
            </w:r>
          </w:p>
        </w:tc>
      </w:tr>
      <w:tr>
        <w:trPr>
          <w:cantSplit/>
          <w:tblHeader w:val="off"/>
        </w:trPr>
        <w:tc>
          <w:tcPr>
            <w:tcW w:type="dxa" w:w="4816"/>
            <w:tcMar>
              <w:top w:type="dxa" w:w="80"/>
              <w:left w:type="dxa" w:w="100"/>
              <w:bottom w:type="dxa" w:w="80"/>
              <w:right w:type="dxa" w:w="100"/>
            </w:tcMar>
          </w:tcPr>
          <w:p>
            <w:pPr>
              <w:pStyle w:val="Tabla"/>
            </w:pPr>
            <w:r>
              <w:t xml:space="preserve">31</w:t>
            </w:r>
          </w:p>
        </w:tc>
        <w:tc>
          <w:tcPr>
            <w:tcW w:type="dxa" w:w="4816"/>
            <w:tcMar>
              <w:top w:type="dxa" w:w="80"/>
              <w:left w:type="dxa" w:w="100"/>
              <w:bottom w:type="dxa" w:w="80"/>
              <w:right w:type="dxa" w:w="100"/>
            </w:tcMar>
          </w:tcPr>
          <w:p>
            <w:pPr>
              <w:pStyle w:val="Tabla"/>
            </w:pPr>
            <w:r>
              <w:t xml:space="preserve">a) Agregar entre las dos la variable “nivel de agua en el vaso”</w:t>
            </w:r>
          </w:p>
        </w:tc>
      </w:tr>
      <w:tr>
        <w:trPr>
          <w:cantSplit/>
          <w:tblHeader w:val="off"/>
        </w:trPr>
        <w:tc>
          <w:tcPr>
            <w:tcW w:type="dxa" w:w="4816"/>
            <w:tcMar>
              <w:top w:type="dxa" w:w="80"/>
              <w:left w:type="dxa" w:w="100"/>
              <w:bottom w:type="dxa" w:w="80"/>
              <w:right w:type="dxa" w:w="100"/>
            </w:tcMar>
          </w:tcPr>
          <w:p>
            <w:pPr>
              <w:pStyle w:val="Tabla"/>
            </w:pPr>
            <w:r>
              <w:t xml:space="preserve">32</w:t>
            </w:r>
          </w:p>
        </w:tc>
        <w:tc>
          <w:tcPr>
            <w:tcW w:type="dxa" w:w="4816"/>
            <w:tcMar>
              <w:top w:type="dxa" w:w="80"/>
              <w:left w:type="dxa" w:w="100"/>
              <w:bottom w:type="dxa" w:w="80"/>
              <w:right w:type="dxa" w:w="100"/>
            </w:tcMar>
          </w:tcPr>
          <w:p>
            <w:pPr>
              <w:pStyle w:val="Tabla"/>
            </w:pPr>
            <w:r>
              <w:t xml:space="preserve">Desarrollo: respuesta modelo y rúbrica a continuación</w:t>
            </w:r>
          </w:p>
        </w:tc>
      </w:tr>
      <w:tr>
        <w:trPr>
          <w:cantSplit/>
          <w:tblHeader w:val="off"/>
        </w:trPr>
        <w:tc>
          <w:tcPr>
            <w:tcW w:type="dxa" w:w="4816"/>
            <w:tcMar>
              <w:top w:type="dxa" w:w="80"/>
              <w:left w:type="dxa" w:w="100"/>
              <w:bottom w:type="dxa" w:w="80"/>
              <w:right w:type="dxa" w:w="100"/>
            </w:tcMar>
          </w:tcPr>
          <w:p>
            <w:pPr>
              <w:pStyle w:val="Tabla"/>
            </w:pPr>
            <w:r>
              <w:t xml:space="preserve">33</w:t>
            </w:r>
          </w:p>
        </w:tc>
        <w:tc>
          <w:tcPr>
            <w:tcW w:type="dxa" w:w="4816"/>
            <w:tcMar>
              <w:top w:type="dxa" w:w="80"/>
              <w:left w:type="dxa" w:w="100"/>
              <w:bottom w:type="dxa" w:w="80"/>
              <w:right w:type="dxa" w:w="100"/>
            </w:tcMar>
          </w:tcPr>
          <w:p>
            <w:pPr>
              <w:pStyle w:val="Tabla"/>
            </w:pPr>
            <w:r>
              <w:t xml:space="preserve">Desarrollo: respuesta modelo y rúbrica a continuación</w:t>
            </w:r>
          </w:p>
        </w:tc>
      </w:tr>
      <w:tr>
        <w:trPr>
          <w:cantSplit/>
          <w:tblHeader w:val="off"/>
        </w:trPr>
        <w:tc>
          <w:tcPr>
            <w:tcW w:type="dxa" w:w="4816"/>
            <w:tcMar>
              <w:top w:type="dxa" w:w="80"/>
              <w:left w:type="dxa" w:w="100"/>
              <w:bottom w:type="dxa" w:w="80"/>
              <w:right w:type="dxa" w:w="100"/>
            </w:tcMar>
          </w:tcPr>
          <w:p>
            <w:pPr>
              <w:pStyle w:val="Tabla"/>
            </w:pPr>
            <w:r>
              <w:t xml:space="preserve">34</w:t>
            </w:r>
          </w:p>
        </w:tc>
        <w:tc>
          <w:tcPr>
            <w:tcW w:type="dxa" w:w="4816"/>
            <w:tcMar>
              <w:top w:type="dxa" w:w="80"/>
              <w:left w:type="dxa" w:w="100"/>
              <w:bottom w:type="dxa" w:w="80"/>
              <w:right w:type="dxa" w:w="100"/>
            </w:tcMar>
          </w:tcPr>
          <w:p>
            <w:pPr>
              <w:pStyle w:val="Tabla"/>
            </w:pPr>
            <w:r>
              <w:t xml:space="preserve">Aparece al final del proceso → Retroalimentación; Es todo el sistema, no aparece en el proceso → Realimentación; Secuencia y cronología → Retroalimentación; Influencia → Realimentación; Opinión, evaluación, corrección, mejoramiento → Retroalimentación; Una predicción que lleva al sistema hacia el estado predicho → Proalimentación de compensación</w:t>
            </w:r>
          </w:p>
        </w:tc>
      </w:tr>
      <w:tr>
        <w:trPr>
          <w:cantSplit/>
          <w:tblHeader w:val="off"/>
        </w:trPr>
        <w:tc>
          <w:tcPr>
            <w:tcW w:type="dxa" w:w="4816"/>
            <w:tcMar>
              <w:top w:type="dxa" w:w="80"/>
              <w:left w:type="dxa" w:w="100"/>
              <w:bottom w:type="dxa" w:w="80"/>
              <w:right w:type="dxa" w:w="100"/>
            </w:tcMar>
          </w:tcPr>
          <w:p>
            <w:pPr>
              <w:pStyle w:val="Tabla"/>
            </w:pPr>
            <w:r>
              <w:t xml:space="preserve">35</w:t>
            </w:r>
          </w:p>
        </w:tc>
        <w:tc>
          <w:tcPr>
            <w:tcW w:type="dxa" w:w="4816"/>
            <w:tcMar>
              <w:top w:type="dxa" w:w="80"/>
              <w:left w:type="dxa" w:w="100"/>
              <w:bottom w:type="dxa" w:w="80"/>
              <w:right w:type="dxa" w:w="100"/>
            </w:tcMar>
          </w:tcPr>
          <w:p>
            <w:pPr>
              <w:pStyle w:val="Tabla"/>
            </w:pPr>
            <w:r>
              <w:t xml:space="preserve">a) Se marcan con dos líneas paralelas “//” en el centro de la flecha, o con la palabra “demora”; b) Indican que la relación causa-efecto existe aunque su efecto tarde en notarse</w:t>
            </w:r>
          </w:p>
        </w:tc>
      </w:tr>
      <w:tr>
        <w:trPr>
          <w:cantSplit/>
          <w:tblHeader w:val="off"/>
        </w:trPr>
        <w:tc>
          <w:tcPr>
            <w:tcW w:type="dxa" w:w="4816"/>
            <w:tcMar>
              <w:top w:type="dxa" w:w="80"/>
              <w:left w:type="dxa" w:w="100"/>
              <w:bottom w:type="dxa" w:w="80"/>
              <w:right w:type="dxa" w:w="100"/>
            </w:tcMar>
          </w:tcPr>
          <w:p>
            <w:pPr>
              <w:pStyle w:val="Tabla"/>
            </w:pPr>
            <w:r>
              <w:t xml:space="preserve">36</w:t>
            </w:r>
          </w:p>
        </w:tc>
        <w:tc>
          <w:tcPr>
            <w:tcW w:type="dxa" w:w="4816"/>
            <w:tcMar>
              <w:top w:type="dxa" w:w="80"/>
              <w:left w:type="dxa" w:w="100"/>
              <w:bottom w:type="dxa" w:w="80"/>
              <w:right w:type="dxa" w:w="100"/>
            </w:tcMar>
          </w:tcPr>
          <w:p>
            <w:pPr>
              <w:pStyle w:val="Tabla"/>
            </w:pPr>
            <w:r>
              <w:t xml:space="preserve">a) Faltaba distinguir lo que genera el calor: el fogón; b) Mezcló las variables con su comportamiento, como en “más necesidad de calor”</w:t>
            </w:r>
          </w:p>
        </w:tc>
      </w:tr>
      <w:tr>
        <w:trPr>
          <w:cantSplit/>
          <w:tblHeader w:val="off"/>
        </w:trPr>
        <w:tc>
          <w:tcPr>
            <w:tcW w:type="dxa" w:w="4816"/>
            <w:tcMar>
              <w:top w:type="dxa" w:w="80"/>
              <w:left w:type="dxa" w:w="100"/>
              <w:bottom w:type="dxa" w:w="80"/>
              <w:right w:type="dxa" w:w="100"/>
            </w:tcMar>
          </w:tcPr>
          <w:p>
            <w:pPr>
              <w:pStyle w:val="Tabla"/>
            </w:pPr>
            <w:r>
              <w:t xml:space="preserve">37</w:t>
            </w:r>
          </w:p>
        </w:tc>
        <w:tc>
          <w:tcPr>
            <w:tcW w:type="dxa" w:w="4816"/>
            <w:tcMar>
              <w:top w:type="dxa" w:w="80"/>
              <w:left w:type="dxa" w:w="100"/>
              <w:bottom w:type="dxa" w:w="80"/>
              <w:right w:type="dxa" w:w="100"/>
            </w:tcMar>
          </w:tcPr>
          <w:p>
            <w:pPr>
              <w:pStyle w:val="Tabla"/>
            </w:pPr>
            <w:r>
              <w:t xml:space="preserve">a) La relación es negativa: cuanto más sube la válvula de flote, menos agua entra; b) Conviene nombrar la variable “nivel de válvula de flote”</w:t>
            </w:r>
          </w:p>
        </w:tc>
      </w:tr>
      <w:tr>
        <w:trPr>
          <w:cantSplit/>
          <w:tblHeader w:val="off"/>
        </w:trPr>
        <w:tc>
          <w:tcPr>
            <w:tcW w:type="dxa" w:w="4816"/>
            <w:tcMar>
              <w:top w:type="dxa" w:w="80"/>
              <w:left w:type="dxa" w:w="100"/>
              <w:bottom w:type="dxa" w:w="80"/>
              <w:right w:type="dxa" w:w="100"/>
            </w:tcMar>
          </w:tcPr>
          <w:p>
            <w:pPr>
              <w:pStyle w:val="Tabla"/>
            </w:pPr>
            <w:r>
              <w:t xml:space="preserve">38</w:t>
            </w:r>
          </w:p>
        </w:tc>
        <w:tc>
          <w:tcPr>
            <w:tcW w:type="dxa" w:w="4816"/>
            <w:tcMar>
              <w:top w:type="dxa" w:w="80"/>
              <w:left w:type="dxa" w:w="100"/>
              <w:bottom w:type="dxa" w:w="80"/>
              <w:right w:type="dxa" w:w="100"/>
            </w:tcMar>
          </w:tcPr>
          <w:p>
            <w:pPr>
              <w:pStyle w:val="Tabla"/>
            </w:pPr>
            <w:r>
              <w:t xml:space="preserve">Desarrollo: respuesta modelo y rúbrica a continuación</w:t>
            </w:r>
          </w:p>
        </w:tc>
      </w:tr>
      <w:tr>
        <w:trPr>
          <w:cantSplit/>
          <w:tblHeader w:val="off"/>
        </w:trPr>
        <w:tc>
          <w:tcPr>
            <w:tcW w:type="dxa" w:w="4816"/>
            <w:tcMar>
              <w:top w:type="dxa" w:w="80"/>
              <w:left w:type="dxa" w:w="100"/>
              <w:bottom w:type="dxa" w:w="80"/>
              <w:right w:type="dxa" w:w="100"/>
            </w:tcMar>
          </w:tcPr>
          <w:p>
            <w:pPr>
              <w:pStyle w:val="Tabla"/>
            </w:pPr>
            <w:r>
              <w:t xml:space="preserve">39</w:t>
            </w:r>
          </w:p>
        </w:tc>
        <w:tc>
          <w:tcPr>
            <w:tcW w:type="dxa" w:w="4816"/>
            <w:tcMar>
              <w:top w:type="dxa" w:w="80"/>
              <w:left w:type="dxa" w:w="100"/>
              <w:bottom w:type="dxa" w:w="80"/>
              <w:right w:type="dxa" w:w="100"/>
            </w:tcMar>
          </w:tcPr>
          <w:p>
            <w:pPr>
              <w:pStyle w:val="Tabla"/>
            </w:pPr>
            <w:r>
              <w:t xml:space="preserve">«Sub-sistemas», «Partes» y «Relaciones» dibujados dentro del recuadro «Sistema» → Regla de sistemas; La flecha que une «Homeostasis» con «Medio / Contexto» → Regla de relaciones; El ojo azul de «Funcional/Procesos» y los puntos azules en «Sinergia» y «Dinámica del Sistema» → Regla de perspe…; Que «Entropía» tenga su propio recuadro con nombre, distinto del de «Neguentropía» → Regla de distinciones</w:t>
            </w:r>
          </w:p>
        </w:tc>
      </w:tr>
      <w:tr>
        <w:trPr>
          <w:cantSplit/>
          <w:tblHeader w:val="off"/>
        </w:trPr>
        <w:tc>
          <w:tcPr>
            <w:tcW w:type="dxa" w:w="4816"/>
            <w:tcMar>
              <w:top w:type="dxa" w:w="80"/>
              <w:left w:type="dxa" w:w="100"/>
              <w:bottom w:type="dxa" w:w="80"/>
              <w:right w:type="dxa" w:w="100"/>
            </w:tcMar>
          </w:tcPr>
          <w:p>
            <w:pPr>
              <w:pStyle w:val="Tabla"/>
            </w:pPr>
            <w:r>
              <w:t xml:space="preserve">40</w:t>
            </w:r>
          </w:p>
        </w:tc>
        <w:tc>
          <w:tcPr>
            <w:tcW w:type="dxa" w:w="4816"/>
            <w:tcMar>
              <w:top w:type="dxa" w:w="80"/>
              <w:left w:type="dxa" w:w="100"/>
              <w:bottom w:type="dxa" w:w="80"/>
              <w:right w:type="dxa" w:w="100"/>
            </w:tcMar>
          </w:tcPr>
          <w:p>
            <w:pPr>
              <w:pStyle w:val="Tabla"/>
            </w:pPr>
            <w:r>
              <w:t xml:space="preserve">a) A es sólo un todo; b) B y C son parte de A, pero también son todos que contienen partes; c) B1 y B2 son sólo partes, pero tienen el potencial para ser todos</w:t>
            </w:r>
          </w:p>
        </w:tc>
      </w:tr>
      <w:tr>
        <w:trPr>
          <w:cantSplit/>
          <w:tblHeader w:val="off"/>
        </w:trPr>
        <w:tc>
          <w:tcPr>
            <w:tcW w:type="dxa" w:w="4816"/>
            <w:tcMar>
              <w:top w:type="dxa" w:w="80"/>
              <w:left w:type="dxa" w:w="100"/>
              <w:bottom w:type="dxa" w:w="80"/>
              <w:right w:type="dxa" w:w="100"/>
            </w:tcMar>
          </w:tcPr>
          <w:p>
            <w:pPr>
              <w:pStyle w:val="Tabla"/>
            </w:pPr>
            <w:r>
              <w:t xml:space="preserve">41</w:t>
            </w:r>
          </w:p>
        </w:tc>
        <w:tc>
          <w:tcPr>
            <w:tcW w:type="dxa" w:w="4816"/>
            <w:tcMar>
              <w:top w:type="dxa" w:w="80"/>
              <w:left w:type="dxa" w:w="100"/>
              <w:bottom w:type="dxa" w:w="80"/>
              <w:right w:type="dxa" w:w="100"/>
            </w:tcMar>
          </w:tcPr>
          <w:p>
            <w:pPr>
              <w:pStyle w:val="Tabla"/>
            </w:pPr>
            <w:r>
              <w:t xml:space="preserve">a) Las distinciones son límites, no cosas; c) Las cosas están definidas por las cosas que las rodean</w:t>
            </w:r>
          </w:p>
        </w:tc>
      </w:tr>
      <w:tr>
        <w:trPr>
          <w:cantSplit/>
          <w:tblHeader w:val="off"/>
        </w:trPr>
        <w:tc>
          <w:tcPr>
            <w:tcW w:type="dxa" w:w="4816"/>
            <w:tcMar>
              <w:top w:type="dxa" w:w="80"/>
              <w:left w:type="dxa" w:w="100"/>
              <w:bottom w:type="dxa" w:w="80"/>
              <w:right w:type="dxa" w:w="100"/>
            </w:tcMar>
          </w:tcPr>
          <w:p>
            <w:pPr>
              <w:pStyle w:val="Tabla"/>
            </w:pPr>
            <w:r>
              <w:t xml:space="preserve">42</w:t>
            </w:r>
          </w:p>
        </w:tc>
        <w:tc>
          <w:tcPr>
            <w:tcW w:type="dxa" w:w="4816"/>
            <w:tcMar>
              <w:top w:type="dxa" w:w="80"/>
              <w:left w:type="dxa" w:w="100"/>
              <w:bottom w:type="dxa" w:w="80"/>
              <w:right w:type="dxa" w:w="100"/>
            </w:tcMar>
          </w:tcPr>
          <w:p>
            <w:pPr>
              <w:pStyle w:val="Tabla"/>
            </w:pPr>
            <w:r>
              <w:t xml:space="preserve">«¿Qué pasó?» → Eventos; «¿Cuáles son las tendencias?» → Patrones de comportamiento; «¿Cuáles son las relaciones entre las partes?» → Estructuras subyacentes; «¿Qué suposiciones, creencias y valores tiene la gente sobre el sistema?» → Modelos mentales; Un diagrama de ciclos causales → Estructuras subyacentes; Un gráfico de comportamiento a lo largo del tiempo → Patrones de comportamiento</w:t>
            </w:r>
          </w:p>
        </w:tc>
      </w:tr>
      <w:tr>
        <w:trPr>
          <w:cantSplit/>
          <w:tblHeader w:val="off"/>
        </w:trPr>
        <w:tc>
          <w:tcPr>
            <w:tcW w:type="dxa" w:w="4816"/>
            <w:tcMar>
              <w:top w:type="dxa" w:w="80"/>
              <w:left w:type="dxa" w:w="100"/>
              <w:bottom w:type="dxa" w:w="80"/>
              <w:right w:type="dxa" w:w="100"/>
            </w:tcMar>
          </w:tcPr>
          <w:p>
            <w:pPr>
              <w:pStyle w:val="Tabla"/>
            </w:pPr>
            <w:r>
              <w:t xml:space="preserve">43</w:t>
            </w:r>
          </w:p>
        </w:tc>
        <w:tc>
          <w:tcPr>
            <w:tcW w:type="dxa" w:w="4816"/>
            <w:tcMar>
              <w:top w:type="dxa" w:w="80"/>
              <w:left w:type="dxa" w:w="100"/>
              <w:bottom w:type="dxa" w:w="80"/>
              <w:right w:type="dxa" w:w="100"/>
            </w:tcMar>
          </w:tcPr>
          <w:p>
            <w:pPr>
              <w:pStyle w:val="Tabla"/>
            </w:pPr>
            <w:r>
              <w:t xml:space="preserve">Desarrollo: respuesta modelo y rúbrica a continuación</w:t>
            </w:r>
          </w:p>
        </w:tc>
      </w:tr>
    </w:tbl>
    <w:p>
      <w:pPr>
        <w:pStyle w:val="Heading3"/>
      </w:pPr>
      <w:bookmarkStart w:name="b_pregunta_p2a_01_barras_regla__47af445f" w:id="5491"/>
      <w:r>
        <w:t xml:space="preserve">3.1 · Unidad 3 · 3.2 · Mapas DSRP: plantillas cognitivas</w:t>
      </w:r>
      <w:bookmarkEnd w:id="5491"/>
    </w:p>
    <w:p>
      <w:pPr>
        <w:pStyle w:val="Normal"/>
      </w:pPr>
      <w:r>
        <w:t xml:space="preserve">Las plantillas cognitivas denominadas “Barras” son utilizadas en los mapas DSRP para mostrar la aplicación de…</w:t>
      </w:r>
    </w:p>
    <w:p>
      <w:pPr>
        <w:pStyle w:val="Fuente"/>
      </w:pPr>
      <w:r>
        <w:t xml:space="preserve">Ordinal de la fuente: 1.</w:t>
      </w:r>
    </w:p>
    <w:p>
      <w:pPr>
        <w:pStyle w:val="Fuente"/>
      </w:pPr>
      <w:r>
        <w:t xml:space="preserve">Revisión de plataforma: 2.5 puntos · Correcta.</w:t>
      </w:r>
    </w:p>
    <w:p>
      <w:pPr>
        <w:pStyle w:val="Normal"/>
      </w:pPr>
      <w:r>
        <w:t xml:space="preserve">a) La regla de relaciones</w:t>
      </w:r>
    </w:p>
    <w:p>
      <w:pPr>
        <w:pStyle w:val="Normal"/>
      </w:pPr>
      <w:r>
        <w:t xml:space="preserve">b) La regla de perspectivas</w:t>
      </w:r>
    </w:p>
    <w:p>
      <w:pPr>
        <w:pStyle w:val="Normal"/>
      </w:pPr>
      <w:r>
        <w:t xml:space="preserve">c) La regla de sistemas</w:t>
      </w:r>
    </w:p>
    <w:p>
      <w:pPr>
        <w:pStyle w:val="Normal"/>
      </w:pPr>
      <w:r>
        <w:t xml:space="preserve">d) La regla de distinciones</w:t>
      </w:r>
    </w:p>
    <w:p>
      <w:pPr>
        <w:pStyle w:val="Heading3"/>
      </w:pPr>
      <w:bookmarkStart w:name="b_solucion_p2a_01_barras_regla__960744ee" w:id="5492"/>
      <w:r>
        <w:t xml:space="preserve">Solución 3.1</w:t>
      </w:r>
      <w:bookmarkEnd w:id="5492"/>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a) La regla de relaciones</w:t>
            </w:r>
          </w:p>
        </w:tc>
      </w:tr>
    </w:tbl>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Retroalimentación oficial de la plataforma</w:t>
            </w:r>
          </w:p>
          <w:p>
            <w:pPr>
              <w:pStyle w:val="Recuadro"/>
            </w:pPr>
            <w:r>
              <w:t xml:space="preserve">La respuesta correcta es: La regla de relaciones</w:t>
            </w:r>
          </w:p>
        </w:tc>
      </w:tr>
    </w:tbl>
    <w:p>
      <w:pPr>
        <w:pStyle w:val="Heading3"/>
      </w:pPr>
      <w:r>
        <w:t xml:space="preserve">Lea el título de la lámina</w:t>
      </w:r>
    </w:p>
    <w:p>
      <w:pPr>
        <w:pStyle w:val="Normal"/>
      </w:pPr>
      <w:r>
        <w:t xml:space="preserve">La presentación titula cada plantilla con su regla: «Barras – Aplicando la regla de Relaciones» y «P-círculos – Aplicando la regla de Perspectivas». La pregunta reproduce ese título.</w:t>
      </w:r>
    </w:p>
    <w:p>
      <w:pPr>
        <w:pStyle w:val="Heading3"/>
      </w:pPr>
      <w:r>
        <w:t xml:space="preserve">Identifique qué dibuja una barra</w:t>
      </w:r>
    </w:p>
    <w:p>
      <w:pPr>
        <w:pStyle w:val="Normal"/>
      </w:pPr>
      <w:r>
        <w:t xml:space="preserve">Dos ideas unidas por una línea: tratamiento y resultado, niño y perro, empatía y compasión. Una línea entre dos ideas es la marca de la regla de relaciones; el ojo y el punto son la de perspectivas.</w:t>
      </w:r>
    </w:p>
    <w:p>
      <w:pPr>
        <w:pStyle w:val="Fuente"/>
      </w:pPr>
      <w:r>
        <w:t xml:space="preserve">Opciones descartadas: b).</w:t>
      </w:r>
    </w:p>
    <w:p>
      <w:pPr>
        <w:pStyle w:val="Heading3"/>
      </w:pPr>
      <w:r>
        <w:t xml:space="preserve">Separe la plantilla de sus combinaciones</w:t>
      </w:r>
    </w:p>
    <w:p>
      <w:pPr>
        <w:pStyle w:val="Normal"/>
      </w:pPr>
      <w:r>
        <w:t xml:space="preserve">La barra RDS de la misma lámina distingue la relación y le añade partes, pero la presentación trata esa suma de reglas en otra lámina, «Combinar y mezclar las reglas simples», y la clase dijo que «también se puede» hacer. Enriquecen la relación; no son la regla que la plantilla muestra.</w:t>
      </w:r>
    </w:p>
    <w:p>
      <w:pPr>
        <w:pStyle w:val="Fuente"/>
      </w:pPr>
      <w:r>
        <w:t xml:space="preserve">Opciones descartadas: c), d).</w:t>
      </w:r>
    </w:p>
    <w:p>
      <w:pPr>
        <w:pStyle w:val="Normal"/>
      </w:pPr>
      <w:r>
        <w:t xml:space="preserve">a) La regla de relaciones — Correcta: la lámina se titula «Barras – Aplicando la regla de Relaciones», y en la clase 11 el profesor las describió como representaciones de ideas que utilizan la regla de relaciones.</w:t>
      </w:r>
    </w:p>
    <w:p>
      <w:pPr>
        <w:pStyle w:val="Normal"/>
      </w:pPr>
      <w:r>
        <w:t xml:space="preserve">b) La regla de perspectivas — Perspectivas tiene su propia plantilla, los P-círculos, con su lámina «P-círculos – Aplicando la regla de Perspectivas»: ojo y punto, no una línea entre dos ideas.</w:t>
      </w:r>
    </w:p>
    <w:p>
      <w:pPr>
        <w:pStyle w:val="Normal"/>
      </w:pPr>
      <w:r>
        <w:t xml:space="preserve">c) La regla de sistemas — La barra RDS de la misma lámina le añade partes a la relación, pero la clase lo presentó como algo que «también se puede» hacer, y la presentación trata esa suma de reglas aparte: «Añada un sistema parte-todo a una relación».</w:t>
      </w:r>
    </w:p>
    <w:p>
      <w:pPr>
        <w:pStyle w:val="Normal"/>
      </w:pPr>
      <w:r>
        <w:t xml:space="preserve">d) La regla de distinciones — En la barra RDS la relación se distingue con un nombre, pero eso enriquece la relación: la plantilla, según su título y según la clase, es la de la regla de relaciones.</w:t>
      </w:r>
    </w:p>
    <w:p>
      <w:pPr>
        <w:pStyle w:val="Normal"/>
      </w:pPr>
      <w:r>
        <w:t xml:space="preserve">Criterio de resolución: Las «barras» son la plantilla cognitiva de la regla de relaciones: dos ideas unidas por una línea. La presentación de la unidad 3 asigna una regla a cada plantilla —barras a relaciones, P-círculos a perspectivas— y la pregunta reproduce el título de la lámina. En la clase 10 el profesor las presentó como las variantes de Cabrera «para las estructuras que utilizan las relaciones», y en la clase 11 como representaciones de ideas que utilizan la regla de relaciones, en las que «también se puede» usar la regla de sistemas para detallar la relación.</w:t>
      </w:r>
    </w:p>
    <w:p>
      <w:pPr>
        <w:pStyle w:val="Normal"/>
      </w:pPr>
      <w:r>
        <w:t xml:space="preserve">Defensa: La pregunta reproduce el título de la lámina, «Barras – Aplicando la regla de Relaciones», y la presentación asigna una regla a cada plantilla. Distinguir la relación o darle partes, como en la barra RDS, son combinaciones que la presentación trata en otra lámina.</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9C620A" w:sz="20"/>
              <w:bottom w:val="nil"/>
              <w:right w:val="nil"/>
            </w:tcBorders>
            <w:shd w:fill="FBF3DF" w:val="clear"/>
            <w:tcMar>
              <w:top w:type="dxa" w:w="130"/>
              <w:left w:type="dxa" w:w="180"/>
              <w:bottom w:type="dxa" w:w="130"/>
              <w:right w:type="dxa" w:w="180"/>
            </w:tcMar>
          </w:tcPr>
          <w:p>
            <w:pPr>
              <w:pStyle w:val="RecuadroTitulo"/>
            </w:pPr>
            <w:r>
              <w:rPr>
                <w:b/>
                <w:bCs/>
                <w:color w:val="9C620A"/>
              </w:rPr>
              <w:t xml:space="preserve">Advertencia y límites</w:t>
            </w:r>
          </w:p>
          <w:p>
            <w:pPr>
              <w:pStyle w:val="Recuadro"/>
            </w:pPr>
            <w:r>
              <w:t xml:space="preserve">La revisión confirmó sólo a. La lectura amplia, a, c y d, se apoyaba en el panel «Pasos de una Barra RDS» de la misma lámina, que aplica sobre la relación las reglas de distinciones y de sistemas; pero la pregunta pide la regla que la plantilla muestra, que es la del título de la lámina. «Seleccione una o más de una» no garantiza que haya varias correctas.</w:t>
            </w:r>
          </w:p>
        </w:tc>
      </w:tr>
    </w:tbl>
    <w:p>
      <w:pPr>
        <w:pStyle w:val="Fuente"/>
      </w:pPr>
      <w:r>
        <w:t xml:space="preserve">Clase 10 · 01:12:24–01:15:07 · lámina c10-14 · Clase 11 · 00:18:39–00:21:54 · lámina c11-05 · Clase 11 · 00:29:33–00:30:05</w:t>
      </w:r>
    </w:p>
    <w:p>
      <w:pPr>
        <w:pStyle w:val="Heading3"/>
      </w:pPr>
      <w:bookmarkStart w:name="b_pregunta_p2a_02_cinco_habitos" w:id="5493"/>
      <w:r>
        <w:t xml:space="preserve">3.2 · Unidad 3 · 3.9 · Hábitos del pensamiento sistémico complejo</w:t>
      </w:r>
      <w:bookmarkEnd w:id="5493"/>
    </w:p>
    <w:p>
      <w:pPr>
        <w:pStyle w:val="Normal"/>
      </w:pPr>
      <w:r>
        <w:t xml:space="preserve">¿Cuáles son los 5 hábitos de un pensador sistémico que le permiten desarrollar el pensamiento sistémico complejo según Water Foundation?</w:t>
      </w:r>
    </w:p>
    <w:p>
      <w:pPr>
        <w:pStyle w:val="Fuente"/>
      </w:pPr>
      <w:r>
        <w:t xml:space="preserve">Ordinal de la fuente: 2.</w:t>
      </w:r>
    </w:p>
    <w:p>
      <w:pPr>
        <w:pStyle w:val="Fuente"/>
      </w:pPr>
      <w:r>
        <w:t xml:space="preserve">Revisión de plataforma: 5 puntos · Completada.</w:t>
      </w:r>
    </w:p>
    <w:p>
      <w:pPr>
        <w:pStyle w:val="Heading3"/>
      </w:pPr>
      <w:bookmarkStart w:name="b_solucion_p2a_02_cinco_habitos" w:id="5494"/>
      <w:r>
        <w:t xml:space="preserve">Solución 3.2</w:t>
      </w:r>
      <w:bookmarkEnd w:id="5494"/>
    </w:p>
    <w:p>
      <w:pPr>
        <w:pStyle w:val="RecuadroTitulo"/>
      </w:pPr>
      <w:r>
        <w:t xml:space="preserve">Respuesta modelo</w:t>
      </w:r>
    </w:p>
    <w:p>
      <w:pPr>
        <w:pStyle w:val="Normal"/>
      </w:pPr>
      <w:r>
        <w:t xml:space="preserve">Los cinco hábitos de la banda «Profundizando en los modelos de estructuras sistémicas» de la Waters Foundation:</w:t>
      </w:r>
    </w:p>
    <w:p>
      <w:pPr>
        <w:pStyle w:val="Normal"/>
      </w:pPr>
      <w:r>
        <w:t xml:space="preserve">1. Observar cómo los elementos en un sistema cambian a través del tiempo, generando patrones y tendencias: ve los cambios a través del tiempo como la dinámica de un sistema.</w:t>
      </w:r>
    </w:p>
    <w:p>
      <w:pPr>
        <w:pStyle w:val="Normal"/>
      </w:pPr>
      <w:r>
        <w:t xml:space="preserve">2. Hace conexiones significativas dentro y entre sistemas: ve cómo conceptos, hechos e ideas se enlazan entre sí, lo que puede conducir a nuevos aprendizajes, descubrimientos e innovaciones.</w:t>
      </w:r>
    </w:p>
    <w:p>
      <w:pPr>
        <w:pStyle w:val="Normal"/>
      </w:pPr>
      <w:r>
        <w:t xml:space="preserve">3. Identifica la naturaleza circular de relaciones complejas entre causa y efecto: ve las interdependencias en un sistema y descubre las conexiones causales circulares.</w:t>
      </w:r>
    </w:p>
    <w:p>
      <w:pPr>
        <w:pStyle w:val="Normal"/>
      </w:pPr>
      <w:r>
        <w:t xml:space="preserve">4. Reconoce que la estructura de un sistema genera su comportamiento: se concentra en la estructura del sistema y evita culpar a otros cuando las cosas van mal.</w:t>
      </w:r>
    </w:p>
    <w:p>
      <w:pPr>
        <w:pStyle w:val="Normal"/>
      </w:pPr>
      <w:r>
        <w:t xml:space="preserve">5. Reconoce el impacto de las demoras cuando se están explorando las relaciones de causa y efecto: entiende que a menudo la causa y el efecto no se encuentran cercanos en el tiempo.</w:t>
      </w:r>
    </w:p>
    <w:p>
      <w:pPr>
        <w:pStyle w:val="Heading3"/>
      </w:pPr>
      <w:r>
        <w:t xml:space="preserve">Criterios para una respuesta completa</w:t>
      </w:r>
    </w:p>
    <w:p>
      <w:pPr>
        <w:pStyle w:val="Normal"/>
        <w:numPr>
          <w:ilvl w:val="0"/>
          <w:numId w:val="2"/>
        </w:numPr>
      </w:pPr>
      <w:r>
        <w:t xml:space="preserve">Nombra los cinco hábitos de la banda de estructuras sistémicas, no los hábitos básicos de la unidad 1.</w:t>
      </w:r>
    </w:p>
    <w:p>
      <w:pPr>
        <w:pStyle w:val="Normal"/>
        <w:numPr>
          <w:ilvl w:val="0"/>
          <w:numId w:val="2"/>
        </w:numPr>
      </w:pPr>
      <w:r>
        <w:t xml:space="preserve">Incluye el de los patrones y tendencias a través del tiempo, el «quinto hábito» de la clase.</w:t>
      </w:r>
    </w:p>
    <w:p>
      <w:pPr>
        <w:pStyle w:val="Normal"/>
        <w:numPr>
          <w:ilvl w:val="0"/>
          <w:numId w:val="2"/>
        </w:numPr>
      </w:pPr>
      <w:r>
        <w:t xml:space="preserve">Incluye las conexiones significativas y la naturaleza circular de causa y efecto.</w:t>
      </w:r>
    </w:p>
    <w:p>
      <w:pPr>
        <w:pStyle w:val="Normal"/>
        <w:numPr>
          <w:ilvl w:val="0"/>
          <w:numId w:val="2"/>
        </w:numPr>
      </w:pPr>
      <w:r>
        <w:t xml:space="preserve">Incluye que la estructura genera el comportamiento y el impacto de las demoras.</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9C620A" w:sz="20"/>
              <w:bottom w:val="nil"/>
              <w:right w:val="nil"/>
            </w:tcBorders>
            <w:shd w:fill="FBF3DF" w:val="clear"/>
            <w:tcMar>
              <w:top w:type="dxa" w:w="130"/>
              <w:left w:type="dxa" w:w="180"/>
              <w:bottom w:type="dxa" w:w="130"/>
              <w:right w:type="dxa" w:w="180"/>
            </w:tcMar>
          </w:tcPr>
          <w:p>
            <w:pPr>
              <w:pStyle w:val="RecuadroTitulo"/>
            </w:pPr>
            <w:r>
              <w:rPr>
                <w:b/>
                <w:bCs/>
                <w:color w:val="9C620A"/>
              </w:rPr>
              <w:t xml:space="preserve">Advertencia y límites</w:t>
            </w:r>
          </w:p>
          <w:p>
            <w:pPr>
              <w:pStyle w:val="Recuadro"/>
            </w:pPr>
            <w:r>
              <w:t xml:space="preserve">La plataforma escribe «Water Foundation»; la fuente es la Waters Foundation. En clase los hábitos se recorrieron en otro orden: conexiones, circularidad, estructura, demoras y, al final, patrones. Responder con los hábitos básicos del pensador sistémico, o dejar fuera el de los patrones, que el profesor enseñó al final como «quinto hábito».</w:t>
            </w:r>
          </w:p>
        </w:tc>
      </w:tr>
    </w:tbl>
    <w:p>
      <w:pPr>
        <w:pStyle w:val="Fuente"/>
      </w:pPr>
      <w:r>
        <w:t xml:space="preserve">lámina c11-19 · láminas c15-01 y c16-01 · Clase 11 · 00:54:33–00:55:27 · Clase 16 · 00:12:41–00:20:37 · Clase 16 · 01:29:48–01:30:46</w:t>
      </w:r>
    </w:p>
    <w:p>
      <w:pPr>
        <w:pStyle w:val="Heading3"/>
      </w:pPr>
      <w:bookmarkStart w:name="b_pregunta_p2a_03_ciclos_de_balance" w:id="5495"/>
      <w:r>
        <w:t xml:space="preserve">3.3 · Unidad 3 · 3.5 · Refuerzo y compensación: contar ciclos</w:t>
      </w:r>
      <w:bookmarkEnd w:id="5495"/>
    </w:p>
    <w:p>
      <w:pPr>
        <w:pStyle w:val="Normal"/>
      </w:pPr>
      <w:r>
        <w:t xml:space="preserve">En el siguiente modelo de ciclos causales ¿Cuántos ciclos de Balance se tienen? (escriba el número en el espacio de respuesta)</w:t>
      </w:r>
    </w:p>
    <w:p>
      <w:pPr>
        <w:pStyle w:val="Fuente"/>
      </w:pPr>
      <w:r>
        <w:t xml:space="preserve">Ordinal de la fuente: 3.</w:t>
      </w:r>
    </w:p>
    <w:p>
      <w:pPr>
        <w:pStyle w:val="Fuente"/>
      </w:pPr>
      <w:r>
        <w:t xml:space="preserve">Revisión de plataforma: 2.5 puntos · Correcta.</w:t>
      </w:r>
    </w:p>
    <w:p>
      <w:pPr>
        <w:keepNext/>
        <w:spacing w:after="40" w:before="150"/>
        <w:jc w:val="center"/>
      </w:pPr>
      <w:bookmarkStart w:name="b_figura_original_p2a_03_ciclos_c08dd031" w:id="5496"/>
      <w:bookmarkEnd w:id="5496"/>
      <w:r>
        <w:drawing>
          <wp:inline distT="0" distB="0" distL="0" distR="0">
            <wp:extent cx="5381625" cy="3048000"/>
            <wp:effectExtent t="0" r="0" b="0" l="0"/>
            <wp:docPr id="216" name="p2a-03-ciclos-de-balance-enunciado" descr="lectura L-10 págs. 11–12 · Clase 15 · 01:15:17–01:16:15" title="Unidad 3 · 3.5 · Refuerzo y compensación: contar cicl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2" cstate="none"/>
                    <a:srcRect/>
                    <a:stretch>
                      <a:fillRect/>
                    </a:stretch>
                  </pic:blipFill>
                  <pic:spPr bwMode="auto">
                    <a:xfrm>
                      <a:off x="0" y="0"/>
                      <a:ext cx="5381625" cy="3048000"/>
                    </a:xfrm>
                    <a:prstGeom prst="rect">
                      <a:avLst/>
                    </a:prstGeom>
                  </pic:spPr>
                </pic:pic>
              </a:graphicData>
            </a:graphic>
          </wp:inline>
        </w:drawing>
      </w:r>
    </w:p>
    <w:p>
      <w:pPr>
        <w:pStyle w:val="PieFigura"/>
        <w:keepNext/>
      </w:pPr>
      <w:bookmarkStart w:name="b_fig_V3_1" w:id="5497"/>
      <w:r>
        <w:t xml:space="preserve">Figura V3.</w:t>
      </w:r>
      <w:fldSimple w:instr="SEQ Figura \r 1 \* ARABIC">
        <w:r>
          <w:t xml:space="preserve">1</w:t>
        </w:r>
      </w:fldSimple>
      <w:r>
        <w:t xml:space="preserve"> · Unidad 3 · 3.5 · Refuerzo y compensación: contar ciclos</w:t>
      </w:r>
      <w:bookmarkEnd w:id="5497"/>
    </w:p>
    <w:p>
      <w:pPr>
        <w:pStyle w:val="Fuente"/>
      </w:pPr>
      <w:r>
        <w:t xml:space="preserve">lectura L-10 págs. 11–12 · Clase 15 · 01:15:17–01:16:15</w:t>
      </w:r>
    </w:p>
    <w:p>
      <w:pPr>
        <w:pStyle w:val="Heading3"/>
      </w:pPr>
      <w:bookmarkStart w:name="b_solucion_p2a_03_ciclos_de_balance" w:id="5498"/>
      <w:r>
        <w:t xml:space="preserve">Solución 3.3</w:t>
      </w:r>
      <w:bookmarkEnd w:id="5498"/>
    </w:p>
    <w:p>
      <w:pPr>
        <w:pStyle w:val="RecuadroTitulo"/>
      </w:pPr>
      <w:r>
        <w:t xml:space="preserve">Respuesta modelo</w:t>
      </w:r>
    </w:p>
    <w:p>
      <w:pPr>
        <w:pStyle w:val="Normal"/>
      </w:pPr>
      <w:r>
        <w:t xml:space="preserve">2. </w:t>
      </w:r>
    </w:p>
    <w:p>
      <w:pPr>
        <w:pStyle w:val="Normal"/>
      </w:pPr>
      <w:r>
        <w:t xml:space="preserve">El modelo tiene tres ciclos. Construcciones y unidades industriales se refuerzan sin negativas: refuerzo. Unidades industriales y demolición tienen una negativa, de demolición a unidades: balance. Construcciones, unidades, superficie utilizada y superficie disponible tienen una negativa, de superficie utilizada a superficie disponible: balance.</w:t>
      </w:r>
    </w:p>
    <w:p>
      <w:pPr>
        <w:pStyle w:val="Normal"/>
      </w:pPr>
      <w:r>
        <w:t xml:space="preserve">La lectura L-10 dibuja en esa figura un «+» y dos «−».</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Retroalimentación oficial de la plataforma</w:t>
            </w:r>
          </w:p>
          <w:p>
            <w:pPr>
              <w:pStyle w:val="Recuadro"/>
            </w:pPr>
            <w:r>
              <w:t xml:space="preserve">La respuesta correcta es: 2</w:t>
            </w:r>
          </w:p>
        </w:tc>
      </w:tr>
    </w:tbl>
    <w:p>
      <w:pPr>
        <w:pStyle w:val="Fuente"/>
      </w:pPr>
      <w:r>
        <w:t xml:space="preserve">Control numérico: 2.</w:t>
      </w:r>
    </w:p>
    <w:p>
      <w:pPr>
        <w:keepNext/>
        <w:spacing w:after="40" w:before="150"/>
        <w:jc w:val="center"/>
      </w:pPr>
      <w:bookmarkStart w:name="b_figura_original_p2a_03_ciclos_8ab0e02b" w:id="5499"/>
      <w:bookmarkEnd w:id="5499"/>
      <w:r>
        <w:drawing>
          <wp:inline distT="0" distB="0" distL="0" distR="0">
            <wp:extent cx="5381625" cy="3048000"/>
            <wp:effectExtent t="0" r="0" b="0" l="0"/>
            <wp:docPr id="217" name="p2a-03-ciclos-de-balance-modelo" descr="lectura L-10 págs. 11–12 · Clase 15 · 01:15:17–01:16:15" title="Unidad 3 · 3.5 · Refuerzo y compensación: contar cicl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3" cstate="none"/>
                    <a:srcRect/>
                    <a:stretch>
                      <a:fillRect/>
                    </a:stretch>
                  </pic:blipFill>
                  <pic:spPr bwMode="auto">
                    <a:xfrm>
                      <a:off x="0" y="0"/>
                      <a:ext cx="5381625" cy="3048000"/>
                    </a:xfrm>
                    <a:prstGeom prst="rect">
                      <a:avLst/>
                    </a:prstGeom>
                  </pic:spPr>
                </pic:pic>
              </a:graphicData>
            </a:graphic>
          </wp:inline>
        </w:drawing>
      </w:r>
    </w:p>
    <w:p>
      <w:pPr>
        <w:pStyle w:val="PieFigura"/>
        <w:keepNext/>
      </w:pPr>
      <w:bookmarkStart w:name="b_fig_V3_2" w:id="5500"/>
      <w:r>
        <w:t xml:space="preserve">Figura V3.</w:t>
      </w:r>
      <w:fldSimple w:instr="SEQ Figura \n \* ARABIC">
        <w:r>
          <w:t xml:space="preserve">2</w:t>
        </w:r>
      </w:fldSimple>
      <w:r>
        <w:t xml:space="preserve"> · Unidad 3 · 3.5 · Refuerzo y compensación: contar ciclos</w:t>
      </w:r>
      <w:bookmarkEnd w:id="5500"/>
    </w:p>
    <w:p>
      <w:pPr>
        <w:pStyle w:val="LecturaFigura"/>
        <w:keepNext/>
      </w:pPr>
      <w:r>
        <w:rPr>
          <w:b/>
          <w:bCs/>
        </w:rPr>
        <w:t xml:space="preserve">Lectura del diagrama: </w:t>
      </w:r>
      <w:r>
        <w:t xml:space="preserve">1 ciclo de refuerzo y 2 de balance. Las construcciones y las unidades industriales se refuerzan entre sí. La demolición y la superficie que se va ocupando frenan ese crecimiento: el área crece en S y se estabiliza.</w:t>
      </w:r>
    </w:p>
    <w:p>
      <w:pPr>
        <w:pStyle w:val="Fuente"/>
      </w:pPr>
      <w:r>
        <w:t xml:space="preserve">lectura L-10 págs. 11–12 · Clase 15 · 01:15:17–01:16:15</w:t>
      </w:r>
    </w:p>
    <w:p>
      <w:pPr>
        <w:pStyle w:val="Heading3"/>
      </w:pPr>
      <w:r>
        <w:t xml:space="preserve">Criterios para una respuesta completa</w:t>
      </w:r>
    </w:p>
    <w:p>
      <w:pPr>
        <w:pStyle w:val="Normal"/>
        <w:numPr>
          <w:ilvl w:val="0"/>
          <w:numId w:val="2"/>
        </w:numPr>
      </w:pPr>
      <w:r>
        <w:t xml:space="preserve">Escribe sólo la cifra: 2.</w:t>
      </w:r>
    </w:p>
    <w:p>
      <w:pPr>
        <w:pStyle w:val="Normal"/>
        <w:numPr>
          <w:ilvl w:val="0"/>
          <w:numId w:val="2"/>
        </w:numPr>
      </w:pPr>
      <w:r>
        <w:t xml:space="preserve">Separa los tres ciclos y clasifica cada uno contando sus negativas.</w:t>
      </w:r>
    </w:p>
    <w:p>
      <w:pPr>
        <w:pStyle w:val="Normal"/>
        <w:numPr>
          <w:ilvl w:val="0"/>
          <w:numId w:val="2"/>
        </w:numPr>
      </w:pPr>
      <w:r>
        <w:t xml:space="preserve">No cuenta las flechas que salen de las variables externas.</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9C620A" w:sz="20"/>
              <w:bottom w:val="nil"/>
              <w:right w:val="nil"/>
            </w:tcBorders>
            <w:shd w:fill="FBF3DF" w:val="clear"/>
            <w:tcMar>
              <w:top w:type="dxa" w:w="130"/>
              <w:left w:type="dxa" w:w="180"/>
              <w:bottom w:type="dxa" w:w="130"/>
              <w:right w:type="dxa" w:w="180"/>
            </w:tcMar>
          </w:tcPr>
          <w:p>
            <w:pPr>
              <w:pStyle w:val="RecuadroTitulo"/>
            </w:pPr>
            <w:r>
              <w:rPr>
                <w:b/>
                <w:bCs/>
                <w:color w:val="9C620A"/>
              </w:rPr>
              <w:t xml:space="preserve">Advertencia y límites</w:t>
            </w:r>
          </w:p>
          <w:p>
            <w:pPr>
              <w:pStyle w:val="Recuadro"/>
            </w:pPr>
            <w:r>
              <w:t xml:space="preserve">La figura es la de la lectura L-10 sin sus marcas de ciclo, como la mostró la plataforma. El diagrama tiene cinco signos «−», pero tres salen de variables externas —tiempo de construcción, vida útil de las industrias y superficie por industria— a las que no llega ninguna flecha: no cierran ningún ciclo.</w:t>
            </w:r>
          </w:p>
        </w:tc>
      </w:tr>
    </w:tbl>
    <w:p>
      <w:pPr>
        <w:pStyle w:val="Fuente"/>
      </w:pPr>
      <w:r>
        <w:t xml:space="preserve">lectura L-10 págs. 11–12 · Clase 15 · 01:15:17–01:16:15</w:t>
      </w:r>
    </w:p>
    <w:p>
      <w:pPr>
        <w:pStyle w:val="Heading3"/>
      </w:pPr>
      <w:bookmarkStart w:name="b_pregunta_p2a_04_preguntas_reg_ac504e0d" w:id="5501"/>
      <w:r>
        <w:t xml:space="preserve">3.4 · Unidad 3 · 3.2 · Mapas DSRP: la regla de sistemas</w:t>
      </w:r>
      <w:bookmarkEnd w:id="5501"/>
    </w:p>
    <w:p>
      <w:pPr>
        <w:pStyle w:val="Normal"/>
      </w:pPr>
      <w:r>
        <w:t xml:space="preserve">¿Cuáles son las dos preguntas que como modelador de sistemas puedo hacer cuando estoy modelando un sistema por medio de un mapa DSRP y busco aplicar la regla de sistemas para diagramar en el mapa la respuesta a estás pregunta?</w:t>
      </w:r>
    </w:p>
    <w:p>
      <w:pPr>
        <w:pStyle w:val="Fuente"/>
      </w:pPr>
      <w:r>
        <w:t xml:space="preserve">Ordinal de la fuente: 4.</w:t>
      </w:r>
    </w:p>
    <w:p>
      <w:pPr>
        <w:pStyle w:val="Fuente"/>
      </w:pPr>
      <w:r>
        <w:t xml:space="preserve">Revisión de plataforma: 2 puntos · Completada.</w:t>
      </w:r>
    </w:p>
    <w:p>
      <w:pPr>
        <w:pStyle w:val="Heading3"/>
      </w:pPr>
      <w:bookmarkStart w:name="b_solucion_p2a_04_preguntas_reg_4af0a807" w:id="5502"/>
      <w:r>
        <w:t xml:space="preserve">Solución 3.4</w:t>
      </w:r>
      <w:bookmarkEnd w:id="5502"/>
    </w:p>
    <w:p>
      <w:pPr>
        <w:pStyle w:val="RecuadroTitulo"/>
      </w:pPr>
      <w:r>
        <w:t xml:space="preserve">Respuesta modelo</w:t>
      </w:r>
    </w:p>
    <w:p>
      <w:pPr>
        <w:pStyle w:val="Normal"/>
      </w:pPr>
      <w:r>
        <w:t xml:space="preserve">Las dos preguntas guía de la regla de sistemas: «¿De qué partes se compone ___?» y «¿Puedo pensar en ___ como parte de algo más?». Por ejemplo: ¿de qué partes se compone un proyecto? y ¿puedo pensar en un proyecto como parte de algo más?</w:t>
      </w:r>
    </w:p>
    <w:p>
      <w:pPr>
        <w:pStyle w:val="Normal"/>
      </w:pPr>
      <w:r>
        <w:t xml:space="preserve">La primera descompone la idea en sus partes y la segunda la integra en un todo mayor. En el mapa DSRP la respuesta se dibuja por contención: las partes son rectángulos dentro del rectángulo del todo y, si la idea forma parte de algo mayor, un rectángulo más grande la contiene. No se usan líneas, porque en el mapa son sólo para las relaciones.</w:t>
      </w:r>
    </w:p>
    <w:p>
      <w:pPr>
        <w:pStyle w:val="Heading3"/>
      </w:pPr>
      <w:r>
        <w:t xml:space="preserve">Criterios para una respuesta completa</w:t>
      </w:r>
    </w:p>
    <w:p>
      <w:pPr>
        <w:pStyle w:val="Normal"/>
        <w:numPr>
          <w:ilvl w:val="0"/>
          <w:numId w:val="2"/>
        </w:numPr>
      </w:pPr>
      <w:r>
        <w:t xml:space="preserve">Escribe la pregunta de las partes: «¿De qué partes se compone…?».</w:t>
      </w:r>
    </w:p>
    <w:p>
      <w:pPr>
        <w:pStyle w:val="Normal"/>
        <w:numPr>
          <w:ilvl w:val="0"/>
          <w:numId w:val="2"/>
        </w:numPr>
      </w:pPr>
      <w:r>
        <w:t xml:space="preserve">Escribe la pregunta del todo mayor: «¿Puedo pensar en… como parte de algo más?».</w:t>
      </w:r>
    </w:p>
    <w:p>
      <w:pPr>
        <w:pStyle w:val="Normal"/>
        <w:numPr>
          <w:ilvl w:val="0"/>
          <w:numId w:val="2"/>
        </w:numPr>
      </w:pPr>
      <w:r>
        <w:t xml:space="preserve">Explica que la respuesta se dibuja por contención y no con líneas.</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9C620A" w:sz="20"/>
              <w:bottom w:val="nil"/>
              <w:right w:val="nil"/>
            </w:tcBorders>
            <w:shd w:fill="FBF3DF" w:val="clear"/>
            <w:tcMar>
              <w:top w:type="dxa" w:w="130"/>
              <w:left w:type="dxa" w:w="180"/>
              <w:bottom w:type="dxa" w:w="130"/>
              <w:right w:type="dxa" w:w="180"/>
            </w:tcMar>
          </w:tcPr>
          <w:p>
            <w:pPr>
              <w:pStyle w:val="RecuadroTitulo"/>
            </w:pPr>
            <w:r>
              <w:rPr>
                <w:b/>
                <w:bCs/>
                <w:color w:val="9C620A"/>
              </w:rPr>
              <w:t xml:space="preserve">Advertencia y límites</w:t>
            </w:r>
          </w:p>
          <w:p>
            <w:pPr>
              <w:pStyle w:val="Recuadro"/>
            </w:pPr>
            <w:r>
              <w:t xml:space="preserve">Las clases 10 a 16 repasaron la regla y su notación, pero las dos preguntas salen de la lámina de la clase 7, en la unidad 1. «Estás pregunta» es grafía de la captura. Contestar con las preguntas de otra regla, como «¿qué es y qué no es?», que son las de las distinciones.</w:t>
            </w:r>
          </w:p>
        </w:tc>
      </w:tr>
    </w:tbl>
    <w:p>
      <w:pPr>
        <w:pStyle w:val="Fuente"/>
      </w:pPr>
      <w:r>
        <w:t xml:space="preserve">lámina c7-13 · Clase 7 · 01:06:47–01:07:50 · lámina c10-10 · Clase 10 · 00:48:12–00:51:31 · lámina c10-24 · Clase 10 · 01:32:30–01:33:27</w:t>
      </w:r>
    </w:p>
    <w:p>
      <w:pPr>
        <w:pStyle w:val="Heading3"/>
      </w:pPr>
      <w:bookmarkStart w:name="b_pregunta_p2a_05_polaridad_usu_3576b1f9" w:id="5503"/>
      <w:r>
        <w:t xml:space="preserve">3.5 · Unidad 3 · 3.3 · Polaridad de las relaciones causales</w:t>
      </w:r>
      <w:bookmarkEnd w:id="5503"/>
    </w:p>
    <w:p>
      <w:pPr>
        <w:pStyle w:val="Normal"/>
      </w:pPr>
      <w:r>
        <w:t xml:space="preserve">Para cada uno de los siguientes ejemplos de relaciones causales escriba si es una relación positiva o una relación negativa.</w:t>
      </w:r>
    </w:p>
    <w:p>
      <w:pPr>
        <w:pStyle w:val="Fuente"/>
      </w:pPr>
      <w:r>
        <w:t xml:space="preserve">Ordinal de la fuente: 5.</w:t>
      </w:r>
    </w:p>
    <w:p>
      <w:pPr>
        <w:pStyle w:val="Fuente"/>
      </w:pPr>
      <w:r>
        <w:t xml:space="preserve">Revisión de plataforma: 3 puntos · Correcta.</w:t>
      </w:r>
    </w:p>
    <w:p>
      <w:pPr>
        <w:pStyle w:val="Normal"/>
      </w:pPr>
      <w:r>
        <w:t xml:space="preserve">a) Fila: Cuando menos usuarios hay menos requerimientos se obtienen</w:t>
      </w:r>
    </w:p>
    <w:p>
      <w:pPr>
        <w:pStyle w:val="Normal"/>
      </w:pPr>
      <w:r>
        <w:t xml:space="preserve">b) Fila: Cuando menos requerimientos hay más rápido se programará el sistema</w:t>
      </w:r>
    </w:p>
    <w:p>
      <w:pPr>
        <w:pStyle w:val="Normal"/>
      </w:pPr>
      <w:r>
        <w:t xml:space="preserve">c) Fila: Cuando más usuarios se tienen menos claridad habrá en los requerimientos</w:t>
      </w:r>
    </w:p>
    <w:p>
      <w:pPr>
        <w:pStyle w:val="Normal"/>
      </w:pPr>
      <w:r>
        <w:t xml:space="preserve">d) a) Relación negativa</w:t>
      </w:r>
    </w:p>
    <w:p>
      <w:pPr>
        <w:pStyle w:val="Normal"/>
      </w:pPr>
      <w:r>
        <w:t xml:space="preserve">e) b) Relación positiva</w:t>
      </w:r>
    </w:p>
    <w:p>
      <w:pPr>
        <w:pStyle w:val="Heading3"/>
      </w:pPr>
      <w:bookmarkStart w:name="b_solucion_p2a_05_polaridad_usu_03c2fd2c" w:id="5504"/>
      <w:r>
        <w:t xml:space="preserve">Solución 3.5</w:t>
      </w:r>
      <w:bookmarkEnd w:id="5504"/>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Cuando menos usuarios hay menos requerimientos se obtienen → Relación positiva</w:t>
            </w:r>
          </w:p>
          <w:p>
            <w:pPr>
              <w:pStyle w:val="Recuadro"/>
            </w:pPr>
            <w:r>
              <w:t xml:space="preserve">Cuando menos requerimientos hay más rápido se programará el sistema → Relación negativa</w:t>
            </w:r>
          </w:p>
          <w:p>
            <w:pPr>
              <w:pStyle w:val="Recuadro"/>
            </w:pPr>
            <w:r>
              <w:t xml:space="preserve">Cuando más usuarios se tienen menos claridad habrá en los requerimientos → Relación negativa</w:t>
            </w:r>
          </w:p>
        </w:tc>
      </w:tr>
    </w:tbl>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Retroalimentación oficial de la plataforma</w:t>
            </w:r>
          </w:p>
          <w:p>
            <w:pPr>
              <w:pStyle w:val="Recuadro"/>
            </w:pPr>
            <w:r>
              <w:t xml:space="preserve">La respuesta correcta es: Cuando menos usuarios hay menos requerimientos se obtienen → Relación positiva, Cuando menos requerimientos hay más rápido se programará el sistema → Relación negativa, Cuando más usuarios se tienen menos claridad habrá en los requerimientos → Relación negativa</w:t>
            </w:r>
          </w:p>
        </w:tc>
      </w:tr>
    </w:tbl>
    <w:p>
      <w:pPr>
        <w:pStyle w:val="Heading3"/>
      </w:pPr>
      <w:r>
        <w:t xml:space="preserve">Separe causa y efecto en cada frase</w:t>
      </w:r>
    </w:p>
    <w:p>
      <w:pPr>
        <w:pStyle w:val="Normal"/>
      </w:pPr>
      <w:r>
        <w:t xml:space="preserve">La primera variable es la causa y la segunda el efecto: usuarios y requerimientos; requerimientos y rapidez de programación; usuarios y claridad de los requerimientos.</w:t>
      </w:r>
    </w:p>
    <w:p>
      <w:pPr>
        <w:pStyle w:val="Heading3"/>
      </w:pPr>
      <w:r>
        <w:t xml:space="preserve">Compare el sentido de las dos variables</w:t>
      </w:r>
    </w:p>
    <w:p>
      <w:pPr>
        <w:pStyle w:val="Normal"/>
      </w:pPr>
      <w:r>
        <w:t xml:space="preserve">Si las dos suben o las dos bajan, la relación es positiva: «si uno disminuye la otra disminuye, entonces usamos un signo más». Si una sube y la otra baja, es negativa: «Si la variable inicial disminuye, la variable a la que cae el efecto aumenta».</w:t>
      </w:r>
    </w:p>
    <w:p>
      <w:pPr>
        <w:pStyle w:val="Heading3"/>
      </w:pPr>
      <w:r>
        <w:t xml:space="preserve">No se guíe por las palabras</w:t>
      </w:r>
    </w:p>
    <w:p>
      <w:pPr>
        <w:pStyle w:val="Normal"/>
      </w:pPr>
      <w:r>
        <w:t xml:space="preserve">Dos «menos» no hacen una negativa. En la segunda frase el efecto es la rapidez, porque dice «más rápido»; si se pensara en el tiempo de programación el signo cambiaría, pero la frase no habla de tiempo.</w:t>
      </w:r>
    </w:p>
    <w:p>
      <w:pPr>
        <w:pStyle w:val="Normal"/>
      </w:pPr>
      <w:r>
        <w:t xml:space="preserve">Criterio de resolución: La polaridad no depende de si la frase dice «más» o «menos», sino de si las dos variables se mueven en el mismo sentido. Menos usuarios y menos requerimientos bajan juntos: positiva. Menos requerimientos y más rapidez van en sentido opuesto: negativa. Más usuarios y menos claridad también van opuestos: negativa.</w:t>
      </w:r>
    </w:p>
    <w:p>
      <w:pPr>
        <w:pStyle w:val="Normal"/>
      </w:pPr>
      <w:r>
        <w:t xml:space="preserve">Defensa: El profesor definió el signo más con sus dos casos: «si uno aumenta, el otro aumenta, si uno disminuye la otra disminuye». La primera frase es el segundo caso; las otras dos mueven las variables en sentido opuesto, como su ejemplo del banco: «a menor confianza de inversionistas, entonces mayores retiros».</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9C620A" w:sz="20"/>
              <w:bottom w:val="nil"/>
              <w:right w:val="nil"/>
            </w:tcBorders>
            <w:shd w:fill="FBF3DF" w:val="clear"/>
            <w:tcMar>
              <w:top w:type="dxa" w:w="130"/>
              <w:left w:type="dxa" w:w="180"/>
              <w:bottom w:type="dxa" w:w="130"/>
              <w:right w:type="dxa" w:w="180"/>
            </w:tcMar>
          </w:tcPr>
          <w:p>
            <w:pPr>
              <w:pStyle w:val="RecuadroTitulo"/>
            </w:pPr>
            <w:r>
              <w:rPr>
                <w:b/>
                <w:bCs/>
                <w:color w:val="9C620A"/>
              </w:rPr>
              <w:t xml:space="preserve">Advertencia y límites</w:t>
            </w:r>
          </w:p>
          <w:p>
            <w:pPr>
              <w:pStyle w:val="Recuadro"/>
            </w:pPr>
            <w:r>
              <w:t xml:space="preserve">El ejemplo de usuarios y requerimientos no aparece en las clases ni en las lecturas: lo redactó el profesor para el examen.</w:t>
            </w:r>
          </w:p>
        </w:tc>
      </w:tr>
    </w:tbl>
    <w:p>
      <w:pPr>
        <w:pStyle w:val="Fuente"/>
      </w:pPr>
      <w:r>
        <w:t xml:space="preserve">Clase 14 · 00:32:44–00:33:37 · Clase 15 · 00:19:01–00:19:23 · Clase 16 · 00:43:38–00:43:54</w:t>
      </w:r>
    </w:p>
    <w:p>
      <w:pPr>
        <w:pStyle w:val="Heading3"/>
      </w:pPr>
      <w:bookmarkStart w:name="b_pregunta_p2a_06_mapa_sistemic_36b11b53" w:id="5505"/>
      <w:r>
        <w:t xml:space="preserve">3.6 · Unidad 3 · 3.2 · Mapas DSRP: la regla de sistemas</w:t>
      </w:r>
      <w:bookmarkEnd w:id="5505"/>
    </w:p>
    <w:p>
      <w:pPr>
        <w:pStyle w:val="Normal"/>
      </w:pPr>
      <w:r>
        <w:t xml:space="preserve">¿Cuál de las siguientes es la mejor representación en un mapa DSRP para modelar los sistemas del mapa sistémico del universo vistos en clase?</w:t>
      </w:r>
    </w:p>
    <w:p>
      <w:pPr>
        <w:pStyle w:val="Fuente"/>
      </w:pPr>
      <w:r>
        <w:t xml:space="preserve">Ordinal de la fuente: 6.</w:t>
      </w:r>
    </w:p>
    <w:p>
      <w:pPr>
        <w:pStyle w:val="Fuente"/>
      </w:pPr>
      <w:r>
        <w:t xml:space="preserve">Revisión de plataforma: 2.5 puntos · Correcta.</w:t>
      </w:r>
    </w:p>
    <w:p>
      <w:pPr>
        <w:keepNext/>
        <w:spacing w:after="40" w:before="150"/>
        <w:jc w:val="center"/>
      </w:pPr>
      <w:bookmarkStart w:name="b_figura_original_p2a_06_mapa_s_22421592" w:id="5506"/>
      <w:bookmarkEnd w:id="5506"/>
      <w:r>
        <w:drawing>
          <wp:inline distT="0" distB="0" distL="0" distR="0">
            <wp:extent cx="5381625" cy="4248150"/>
            <wp:effectExtent t="0" r="0" b="0" l="0"/>
            <wp:docPr id="218" name="p2a-06-mapa-sistemico-del-universo-enunciado" descr="Clase 8 · 01:25:58–01:26:50 · lámina c8-22 · Clase 9 · 00:05:26–00:05:50 · lámina c10-24 · Clase 10 · 01:33:06–01:33:27 · lámina c10-25 · Clase 10 · 01:34:06–01:35:35" title="Unidad 3 · 3.2 · Mapas DSRP: la regla de siste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4" cstate="none"/>
                    <a:srcRect/>
                    <a:stretch>
                      <a:fillRect/>
                    </a:stretch>
                  </pic:blipFill>
                  <pic:spPr bwMode="auto">
                    <a:xfrm>
                      <a:off x="0" y="0"/>
                      <a:ext cx="5381625" cy="4248150"/>
                    </a:xfrm>
                    <a:prstGeom prst="rect">
                      <a:avLst/>
                    </a:prstGeom>
                  </pic:spPr>
                </pic:pic>
              </a:graphicData>
            </a:graphic>
          </wp:inline>
        </w:drawing>
      </w:r>
    </w:p>
    <w:p>
      <w:pPr>
        <w:pStyle w:val="PieFigura"/>
        <w:keepNext/>
      </w:pPr>
      <w:bookmarkStart w:name="b_fig_V3_3" w:id="5507"/>
      <w:r>
        <w:t xml:space="preserve">Figura V3.</w:t>
      </w:r>
      <w:fldSimple w:instr="SEQ Figura \n \* ARABIC">
        <w:r>
          <w:t xml:space="preserve">3</w:t>
        </w:r>
      </w:fldSimple>
      <w:r>
        <w:t xml:space="preserve"> · Unidad 3 · 3.2 · Mapas DSRP: la regla de sistemas</w:t>
      </w:r>
      <w:bookmarkEnd w:id="5507"/>
    </w:p>
    <w:p>
      <w:pPr>
        <w:pStyle w:val="Fuente"/>
      </w:pPr>
      <w:r>
        <w:t xml:space="preserve">Clase 8 · 01:25:58–01:26:50 · lámina c8-22 · Clase 9 · 00:05:26–00:05:50 · lámina c10-24 · Clase 10 · 01:33:06–01:33:27 · lámina c10-25 · Clase 10 · 01:34:06–01:35:35</w:t>
      </w:r>
    </w:p>
    <w:p>
      <w:pPr>
        <w:pStyle w:val="Normal"/>
      </w:pPr>
      <w:r>
        <w:t xml:space="preserve">a) Ninguna es correcta</w:t>
      </w:r>
    </w:p>
    <w:p>
      <w:pPr>
        <w:pStyle w:val="Normal"/>
      </w:pPr>
      <w:r>
        <w:t xml:space="preserve">b) El mapa b</w:t>
      </w:r>
    </w:p>
    <w:p>
      <w:pPr>
        <w:pStyle w:val="Normal"/>
      </w:pPr>
      <w:r>
        <w:t xml:space="preserve">c) El mapa c</w:t>
      </w:r>
    </w:p>
    <w:p>
      <w:pPr>
        <w:pStyle w:val="Normal"/>
      </w:pPr>
      <w:r>
        <w:t xml:space="preserve">d) El mapa d</w:t>
      </w:r>
    </w:p>
    <w:p>
      <w:pPr>
        <w:pStyle w:val="Heading3"/>
      </w:pPr>
      <w:bookmarkStart w:name="b_solucion_p2a_06_mapa_sistemic_f0ac8c17" w:id="5508"/>
      <w:r>
        <w:t xml:space="preserve">Solución 3.6</w:t>
      </w:r>
      <w:bookmarkEnd w:id="5508"/>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c) El mapa c</w:t>
            </w:r>
          </w:p>
        </w:tc>
      </w:tr>
    </w:tbl>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Retroalimentación oficial de la plataforma</w:t>
            </w:r>
          </w:p>
          <w:p>
            <w:pPr>
              <w:pStyle w:val="Recuadro"/>
            </w:pPr>
            <w:r>
              <w:t xml:space="preserve">La respuesta correcta es: [la imagen del mapa c]</w:t>
            </w:r>
          </w:p>
        </w:tc>
      </w:tr>
    </w:tbl>
    <w:p>
      <w:pPr>
        <w:pStyle w:val="Heading3"/>
      </w:pPr>
      <w:r>
        <w:t xml:space="preserve">Reconozca qué relación hay entre el mapa y los tipos</w:t>
      </w:r>
    </w:p>
    <w:p>
      <w:pPr>
        <w:pStyle w:val="Normal"/>
      </w:pPr>
      <w:r>
        <w:t xml:space="preserve">Los cuatro tipos —naturales, físicos diseñados, abstractos diseñados y de actividad humana— son la clasificación del mapa de Checkland: partes de un todo.</w:t>
      </w:r>
    </w:p>
    <w:p>
      <w:pPr>
        <w:pStyle w:val="Heading3"/>
      </w:pPr>
      <w:r>
        <w:t xml:space="preserve">Busque la notación de la parte-todo</w:t>
      </w:r>
    </w:p>
    <w:p>
      <w:pPr>
        <w:pStyle w:val="Normal"/>
      </w:pPr>
      <w:r>
        <w:t xml:space="preserve">En los mapas DSRP la parte-todo se dibuja por contención; las líneas son sólo para relaciones y el ojo y el punto para perspectivas.</w:t>
      </w:r>
    </w:p>
    <w:p>
      <w:pPr>
        <w:pStyle w:val="Fuente"/>
      </w:pPr>
      <w:r>
        <w:t xml:space="preserve">Opciones descartadas: b), d).</w:t>
      </w:r>
    </w:p>
    <w:p>
      <w:pPr>
        <w:pStyle w:val="Heading3"/>
      </w:pPr>
      <w:r>
        <w:t xml:space="preserve">Elija la mejor de las dadas</w:t>
      </w:r>
    </w:p>
    <w:p>
      <w:pPr>
        <w:pStyle w:val="Normal"/>
      </w:pPr>
      <w:r>
        <w:t xml:space="preserve">El mapa c aplica la regla correcta con la notación correcta. «Ninguna es correcta» sólo cabría si ninguna lo hiciera.</w:t>
      </w:r>
    </w:p>
    <w:p>
      <w:pPr>
        <w:pStyle w:val="Fuente"/>
      </w:pPr>
      <w:r>
        <w:t xml:space="preserve">Opciones descartadas: a).</w:t>
      </w:r>
    </w:p>
    <w:p>
      <w:pPr>
        <w:pStyle w:val="Normal"/>
      </w:pPr>
      <w:r>
        <w:t xml:space="preserve">a) Ninguna es correcta — Sí hay una correcta: el mapa c dibuja los cuatro tipos como partes del mapa sistémico del universo.</w:t>
      </w:r>
    </w:p>
    <w:p>
      <w:pPr>
        <w:pStyle w:val="Normal"/>
      </w:pPr>
      <w:r>
        <w:t xml:space="preserve">b) El mapa b — Usa la regla de perspectivas: cada tipo sería un punto de vista desde el que se mira el mapa. Los tipos son partes del mapa, no perspectivas.</w:t>
      </w:r>
    </w:p>
    <w:p>
      <w:pPr>
        <w:pStyle w:val="Normal"/>
      </w:pPr>
      <w:r>
        <w:t xml:space="preserve">c) El mapa c — Correcta: el mapa del universo es una clasificación que agrupa todos los sistemas en cuatro tipos, y la parte-todo se dibuja por contención.</w:t>
      </w:r>
    </w:p>
    <w:p>
      <w:pPr>
        <w:pStyle w:val="Normal"/>
      </w:pPr>
      <w:r>
        <w:t xml:space="preserve">d) El mapa d — Usa líneas, que en la notación son sólo para relaciones, y pone el mapa como un eslabón más del ciclo, al mismo nivel que sus propias partes.</w:t>
      </w:r>
    </w:p>
    <w:p>
      <w:pPr>
        <w:pStyle w:val="Normal"/>
      </w:pPr>
      <w:r>
        <w:t xml:space="preserve">Criterio de resolución: El profesor presentó el mapa de Checkland como «una clasificación que agrupa a todos los sistemas del universo» en cuatro tipos. Agrupar partes en un todo es la regla de sistemas, y en la notación del curso «la contención denota estructuras parte-todo». Su propio mapa modelo de la clase 10 dibuja «Universo de sistemas» como un recuadro que contiene a lo demás.</w:t>
      </w:r>
    </w:p>
    <w:p>
      <w:pPr>
        <w:pStyle w:val="Normal"/>
      </w:pPr>
      <w:r>
        <w:t xml:space="preserve">Defensa: Un mapa que agrupa los sistemas del universo en cuatro tipos es una estructura parte-todo, y la clase la dibujó siempre por contención: «la contención denota estructuras parte-todo».</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9C620A" w:sz="20"/>
              <w:bottom w:val="nil"/>
              <w:right w:val="nil"/>
            </w:tcBorders>
            <w:shd w:fill="FBF3DF" w:val="clear"/>
            <w:tcMar>
              <w:top w:type="dxa" w:w="130"/>
              <w:left w:type="dxa" w:w="180"/>
              <w:bottom w:type="dxa" w:w="130"/>
              <w:right w:type="dxa" w:w="180"/>
            </w:tcMar>
          </w:tcPr>
          <w:p>
            <w:pPr>
              <w:pStyle w:val="RecuadroTitulo"/>
            </w:pPr>
            <w:r>
              <w:rPr>
                <w:b/>
                <w:bCs/>
                <w:color w:val="9C620A"/>
              </w:rPr>
              <w:t xml:space="preserve">Advertencia y límites</w:t>
            </w:r>
          </w:p>
          <w:p>
            <w:pPr>
              <w:pStyle w:val="Recuadro"/>
            </w:pPr>
            <w:r>
              <w:t xml:space="preserve">En la plataforma las opciones b, c y d eran imágenes; el portal las redibuja con la notación del curso. La revisión mostró como respuesta correcta la misma imagen de la opción c. Un mapa todavía más completo añadiría la perspectiva de Checkland, como propone el video de Cabrera de la lección 3.2 para toda clasificación, pero ninguna opción la trae y la pregunta pide la mejor.</w:t>
            </w:r>
          </w:p>
        </w:tc>
      </w:tr>
    </w:tbl>
    <w:p>
      <w:pPr>
        <w:pStyle w:val="Fuente"/>
      </w:pPr>
      <w:r>
        <w:t xml:space="preserve">Clase 8 · 01:25:58–01:26:50 · lámina c8-22 · Clase 9 · 00:05:26–00:05:50 · lámina c10-24 · Clase 10 · 01:33:06–01:33:27 · lámina c10-25 · Clase 10 · 01:34:06–01:35:35</w:t>
      </w:r>
    </w:p>
    <w:p>
      <w:pPr>
        <w:pStyle w:val="Heading3"/>
      </w:pPr>
      <w:bookmarkStart w:name="b_pregunta_p2a_07_polaridad_cic_a2edb0c1" w:id="5509"/>
      <w:r>
        <w:t xml:space="preserve">3.7 · Unidad 3 · 3.5 · Refuerzo y compensación: polaridad de los ciclos</w:t>
      </w:r>
      <w:bookmarkEnd w:id="5509"/>
    </w:p>
    <w:p>
      <w:pPr>
        <w:pStyle w:val="Normal"/>
      </w:pPr>
      <w:r>
        <w:t xml:space="preserve">Dado el siguiente modelo de relaciones causales, indique la polaridad de los ciclos que hace falta. Escríbala indicando las letras de cada ciclo.</w:t>
      </w:r>
    </w:p>
    <w:p>
      <w:pPr>
        <w:pStyle w:val="Fuente"/>
      </w:pPr>
      <w:r>
        <w:t xml:space="preserve">Ordinal de la fuente: 7.</w:t>
      </w:r>
    </w:p>
    <w:p>
      <w:pPr>
        <w:pStyle w:val="Fuente"/>
      </w:pPr>
      <w:r>
        <w:t xml:space="preserve">Revisión de plataforma: 4 puntos · Completada.</w:t>
      </w:r>
    </w:p>
    <w:p>
      <w:pPr>
        <w:keepNext/>
        <w:spacing w:after="40" w:before="150"/>
        <w:jc w:val="center"/>
      </w:pPr>
      <w:bookmarkStart w:name="b_figura_original_p2a_07_polari_96b2715d" w:id="5510"/>
      <w:bookmarkEnd w:id="5510"/>
      <w:r>
        <w:drawing>
          <wp:inline distT="0" distB="0" distL="0" distR="0">
            <wp:extent cx="5381625" cy="3543300"/>
            <wp:effectExtent t="0" r="0" b="0" l="0"/>
            <wp:docPr id="219" name="p2a-07-polaridad-ciclos-letras-enunciado" descr="Clase 15 · 01:15:17–01:16:15 · Clase 15 · 01:10:37–01:11:25 · Clase 15 · 01:14:18–01:15:11 · Clase 15 · 00:17:47–00:18:54" title="Unidad 3 · 3.5 · Refuerzo y compensación: polaridad de los cicl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5" cstate="none"/>
                    <a:srcRect/>
                    <a:stretch>
                      <a:fillRect/>
                    </a:stretch>
                  </pic:blipFill>
                  <pic:spPr bwMode="auto">
                    <a:xfrm>
                      <a:off x="0" y="0"/>
                      <a:ext cx="5381625" cy="3543300"/>
                    </a:xfrm>
                    <a:prstGeom prst="rect">
                      <a:avLst/>
                    </a:prstGeom>
                  </pic:spPr>
                </pic:pic>
              </a:graphicData>
            </a:graphic>
          </wp:inline>
        </w:drawing>
      </w:r>
    </w:p>
    <w:p>
      <w:pPr>
        <w:pStyle w:val="PieFigura"/>
        <w:keepNext/>
      </w:pPr>
      <w:bookmarkStart w:name="b_fig_V3_4" w:id="5511"/>
      <w:r>
        <w:t xml:space="preserve">Figura V3.</w:t>
      </w:r>
      <w:fldSimple w:instr="SEQ Figura \n \* ARABIC">
        <w:r>
          <w:t xml:space="preserve">4</w:t>
        </w:r>
      </w:fldSimple>
      <w:r>
        <w:t xml:space="preserve"> · Unidad 3 · 3.5 · Refuerzo y compensación: polaridad de los ciclos</w:t>
      </w:r>
      <w:bookmarkEnd w:id="5511"/>
    </w:p>
    <w:p>
      <w:pPr>
        <w:pStyle w:val="Fuente"/>
      </w:pPr>
      <w:r>
        <w:t xml:space="preserve">Clase 15 · 01:15:17–01:16:15 · Clase 15 · 01:10:37–01:11:25 · Clase 15 · 01:14:18–01:15:11 · Clase 15 · 00:17:47–00:18:54</w:t>
      </w:r>
    </w:p>
    <w:p>
      <w:pPr>
        <w:pStyle w:val="Heading3"/>
      </w:pPr>
      <w:bookmarkStart w:name="b_solucion_p2a_07_polaridad_cic_48755b2b" w:id="5512"/>
      <w:r>
        <w:t xml:space="preserve">Solución 3.7</w:t>
      </w:r>
      <w:bookmarkEnd w:id="5512"/>
    </w:p>
    <w:p>
      <w:pPr>
        <w:pStyle w:val="RecuadroTitulo"/>
      </w:pPr>
      <w:r>
        <w:t xml:space="preserve">Respuesta modelo</w:t>
      </w:r>
    </w:p>
    <w:p>
      <w:pPr>
        <w:pStyle w:val="Normal"/>
      </w:pPr>
      <w:r>
        <w:t xml:space="preserve">Ciclo A-B-E-C-A: polaridad positiva, ciclo de refuerzo R. Tiene dos relaciones negativas, de E a C y de C a A; al ser un número par, se anulan.</w:t>
      </w:r>
    </w:p>
    <w:p>
      <w:pPr>
        <w:pStyle w:val="Normal"/>
      </w:pPr>
      <w:r>
        <w:t xml:space="preserve">Ciclo A-B-E-D-A: polaridad positiva, ciclo de refuerzo R. Todas sus relaciones son positivas.</w:t>
      </w:r>
    </w:p>
    <w:p>
      <w:pPr>
        <w:keepNext/>
        <w:spacing w:after="40" w:before="150"/>
        <w:jc w:val="center"/>
      </w:pPr>
      <w:bookmarkStart w:name="b_figura_original_p2a_07_polari_511f6662" w:id="5513"/>
      <w:bookmarkEnd w:id="5513"/>
      <w:r>
        <w:drawing>
          <wp:inline distT="0" distB="0" distL="0" distR="0">
            <wp:extent cx="5381625" cy="3543300"/>
            <wp:effectExtent t="0" r="0" b="0" l="0"/>
            <wp:docPr id="220" name="p2a-07-polaridad-ciclos-letras-modelo" descr="Clase 15 · 01:15:17–01:16:15 · Clase 15 · 01:10:37–01:11:25 · Clase 15 · 01:14:18–01:15:11 · Clase 15 · 00:17:47–00:18:54" title="Unidad 3 · 3.5 · Refuerzo y compensación: polaridad de los cicl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6" cstate="none"/>
                    <a:srcRect/>
                    <a:stretch>
                      <a:fillRect/>
                    </a:stretch>
                  </pic:blipFill>
                  <pic:spPr bwMode="auto">
                    <a:xfrm>
                      <a:off x="0" y="0"/>
                      <a:ext cx="5381625" cy="3543300"/>
                    </a:xfrm>
                    <a:prstGeom prst="rect">
                      <a:avLst/>
                    </a:prstGeom>
                  </pic:spPr>
                </pic:pic>
              </a:graphicData>
            </a:graphic>
          </wp:inline>
        </w:drawing>
      </w:r>
    </w:p>
    <w:p>
      <w:pPr>
        <w:pStyle w:val="PieFigura"/>
        <w:keepNext/>
      </w:pPr>
      <w:bookmarkStart w:name="b_fig_V3_5" w:id="5514"/>
      <w:r>
        <w:t xml:space="preserve">Figura V3.</w:t>
      </w:r>
      <w:fldSimple w:instr="SEQ Figura \n \* ARABIC">
        <w:r>
          <w:t xml:space="preserve">5</w:t>
        </w:r>
      </w:fldSimple>
      <w:r>
        <w:t xml:space="preserve"> · Unidad 3 · 3.5 · Refuerzo y compensación: polaridad de los ciclos</w:t>
      </w:r>
      <w:bookmarkEnd w:id="5514"/>
    </w:p>
    <w:p>
      <w:pPr>
        <w:pStyle w:val="LecturaFigura"/>
        <w:keepNext/>
      </w:pPr>
      <w:r>
        <w:rPr>
          <w:b/>
          <w:bCs/>
        </w:rPr>
        <w:t xml:space="preserve">Lectura del diagrama: </w:t>
      </w:r>
      <w:r>
        <w:t xml:space="preserve">2 ciclos de refuerzo y 0 de balance. El ciclo A-B-E-C-A tiene dos negativas, que se anulan; el ciclo A-B-E-D-A no tiene ninguna. Los dos son de refuerzo.</w:t>
      </w:r>
    </w:p>
    <w:p>
      <w:pPr>
        <w:pStyle w:val="Fuente"/>
      </w:pPr>
      <w:r>
        <w:t xml:space="preserve">Clase 15 · 01:15:17–01:16:15 · Clase 15 · 01:10:37–01:11:25 · Clase 15 · 01:14:18–01:15:11 · Clase 15 · 00:17:47–00:18:54</w:t>
      </w:r>
    </w:p>
    <w:p>
      <w:pPr>
        <w:pStyle w:val="Heading3"/>
      </w:pPr>
      <w:r>
        <w:t xml:space="preserve">Criterios para una respuesta completa</w:t>
      </w:r>
    </w:p>
    <w:p>
      <w:pPr>
        <w:pStyle w:val="Normal"/>
        <w:numPr>
          <w:ilvl w:val="0"/>
          <w:numId w:val="2"/>
        </w:numPr>
      </w:pPr>
      <w:r>
        <w:t xml:space="preserve">Separa los dos ciclos con sus letras, aunque compartan el tramo A-B-E.</w:t>
      </w:r>
    </w:p>
    <w:p>
      <w:pPr>
        <w:pStyle w:val="Normal"/>
        <w:numPr>
          <w:ilvl w:val="0"/>
          <w:numId w:val="2"/>
        </w:numPr>
      </w:pPr>
      <w:r>
        <w:t xml:space="preserve">Clasifica A-B-E-C-A como refuerzo por sus dos negativas.</w:t>
      </w:r>
    </w:p>
    <w:p>
      <w:pPr>
        <w:pStyle w:val="Normal"/>
        <w:numPr>
          <w:ilvl w:val="0"/>
          <w:numId w:val="2"/>
        </w:numPr>
      </w:pPr>
      <w:r>
        <w:t xml:space="preserve">Clasifica A-B-E-D-A como refuerzo porque no tiene negativas.</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9C620A" w:sz="20"/>
              <w:bottom w:val="nil"/>
              <w:right w:val="nil"/>
            </w:tcBorders>
            <w:shd w:fill="FBF3DF" w:val="clear"/>
            <w:tcMar>
              <w:top w:type="dxa" w:w="130"/>
              <w:left w:type="dxa" w:w="180"/>
              <w:bottom w:type="dxa" w:w="130"/>
              <w:right w:type="dxa" w:w="180"/>
            </w:tcMar>
          </w:tcPr>
          <w:p>
            <w:pPr>
              <w:pStyle w:val="RecuadroTitulo"/>
            </w:pPr>
            <w:r>
              <w:rPr>
                <w:b/>
                <w:bCs/>
                <w:color w:val="9C620A"/>
              </w:rPr>
              <w:t xml:space="preserve">Advertencia y límites</w:t>
            </w:r>
          </w:p>
          <w:p>
            <w:pPr>
              <w:pStyle w:val="Recuadro"/>
            </w:pPr>
            <w:r>
              <w:t xml:space="preserve">El ciclo que pasa por C tiene dos «−» y parece de balance: dos negativas se anulan, y la regla se aplica ciclo por ciclo.</w:t>
            </w:r>
          </w:p>
        </w:tc>
      </w:tr>
    </w:tbl>
    <w:p>
      <w:pPr>
        <w:pStyle w:val="Fuente"/>
      </w:pPr>
      <w:r>
        <w:t xml:space="preserve">Clase 15 · 01:15:17–01:16:15 · Clase 15 · 01:10:37–01:11:25 · Clase 15 · 01:14:18–01:15:11 · Clase 15 · 00:17:47–00:18:54</w:t>
      </w:r>
    </w:p>
    <w:p>
      <w:pPr>
        <w:pStyle w:val="Heading3"/>
      </w:pPr>
      <w:bookmarkStart w:name="b_pregunta_p2a_08_multiples_perspectivas" w:id="5515"/>
      <w:r>
        <w:t xml:space="preserve">3.8 · Unidad 3 · 3.2 · Mapas DSRP: múltiples perspectivas</w:t>
      </w:r>
      <w:bookmarkEnd w:id="5515"/>
    </w:p>
    <w:p>
      <w:pPr>
        <w:pStyle w:val="Normal"/>
      </w:pPr>
      <w:r>
        <w:t xml:space="preserve">¿Al crear un mapa DSRP de múltiples perspectivas se aplica la regla de sistemas en…</w:t>
      </w:r>
    </w:p>
    <w:p>
      <w:pPr>
        <w:pStyle w:val="Fuente"/>
      </w:pPr>
      <w:r>
        <w:t xml:space="preserve">Ordinal de la fuente: 8.</w:t>
      </w:r>
    </w:p>
    <w:p>
      <w:pPr>
        <w:pStyle w:val="Fuente"/>
      </w:pPr>
      <w:r>
        <w:t xml:space="preserve">Revisión de plataforma: 2.5 puntos · Correcta.</w:t>
      </w:r>
    </w:p>
    <w:p>
      <w:pPr>
        <w:pStyle w:val="Normal"/>
      </w:pPr>
      <w:r>
        <w:t xml:space="preserve">a) La parte de la relación del mapa</w:t>
      </w:r>
    </w:p>
    <w:p>
      <w:pPr>
        <w:pStyle w:val="Normal"/>
      </w:pPr>
      <w:r>
        <w:t xml:space="preserve">b) La parte del “ojo” o el concepto del punto de vista del mapa</w:t>
      </w:r>
    </w:p>
    <w:p>
      <w:pPr>
        <w:pStyle w:val="Normal"/>
      </w:pPr>
      <w:r>
        <w:t xml:space="preserve">c) La parte del “punto” o el concepto que se ve desde el “ojo”</w:t>
      </w:r>
    </w:p>
    <w:p>
      <w:pPr>
        <w:pStyle w:val="Normal"/>
      </w:pPr>
      <w:r>
        <w:t xml:space="preserve">d) Cualquier parte del mapa</w:t>
      </w:r>
    </w:p>
    <w:p>
      <w:pPr>
        <w:pStyle w:val="Heading3"/>
      </w:pPr>
      <w:bookmarkStart w:name="b_solucion_p2a_08_multiples_perspectivas" w:id="5516"/>
      <w:r>
        <w:t xml:space="preserve">Solución 3.8</w:t>
      </w:r>
      <w:bookmarkEnd w:id="5516"/>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c) La parte del “punto” o el concepto que se ve desde el “ojo”</w:t>
            </w:r>
          </w:p>
        </w:tc>
      </w:tr>
    </w:tbl>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Retroalimentación oficial de la plataforma</w:t>
            </w:r>
          </w:p>
          <w:p>
            <w:pPr>
              <w:pStyle w:val="Recuadro"/>
            </w:pPr>
            <w:r>
              <w:t xml:space="preserve">La respuesta correcta es: La parte del “punto” o el concepto que se ve desde el “ojo”</w:t>
            </w:r>
          </w:p>
        </w:tc>
      </w:tr>
    </w:tbl>
    <w:p>
      <w:pPr>
        <w:pStyle w:val="Heading3"/>
      </w:pPr>
      <w:r>
        <w:t xml:space="preserve">Recuerde las dos mitades de la perspectiva</w:t>
      </w:r>
    </w:p>
    <w:p>
      <w:pPr>
        <w:pStyle w:val="Normal"/>
      </w:pPr>
      <w:r>
        <w:t xml:space="preserve">El ojo marca el punto de vista desde donde se mira; el puntito de color marca lo que se ve. Ojo con la palabra «punto»: en la opción c es ese puntito, no el punto de vista.</w:t>
      </w:r>
    </w:p>
    <w:p>
      <w:pPr>
        <w:pStyle w:val="Heading3"/>
      </w:pPr>
      <w:r>
        <w:t xml:space="preserve">Ubique la regla de sistemas en el mapa de múltiples perspectivas</w:t>
      </w:r>
    </w:p>
    <w:p>
      <w:pPr>
        <w:pStyle w:val="Normal"/>
      </w:pPr>
      <w:r>
        <w:t xml:space="preserve">La lámina «Múltiples perspectivas de una misma situación» lo dice en su pie: «Partes de la Vista observadas desde 3 Puntos Diferentes».</w:t>
      </w:r>
    </w:p>
    <w:p>
      <w:pPr>
        <w:pStyle w:val="Heading3"/>
      </w:pPr>
      <w:r>
        <w:t xml:space="preserve">Descarte la estructura vecina</w:t>
      </w:r>
    </w:p>
    <w:p>
      <w:pPr>
        <w:pStyle w:val="Normal"/>
      </w:pPr>
      <w:r>
        <w:t xml:space="preserve">Las sub-perspectivas aplican la regla en el ojo; las barras RDS, en la relación. Son otras estructuras.</w:t>
      </w:r>
    </w:p>
    <w:p>
      <w:pPr>
        <w:pStyle w:val="Fuente"/>
      </w:pPr>
      <w:r>
        <w:t xml:space="preserve">Opciones descartadas: a), b).</w:t>
      </w:r>
    </w:p>
    <w:p>
      <w:pPr>
        <w:pStyle w:val="Normal"/>
      </w:pPr>
      <w:r>
        <w:t xml:space="preserve">a) La parte de la relación del mapa — Darle partes a una relación es la barra RDS de la lámina «Combinar y mezclar las reglas simples», no el mapa de múltiples perspectivas.</w:t>
      </w:r>
    </w:p>
    <w:p>
      <w:pPr>
        <w:pStyle w:val="Normal"/>
      </w:pPr>
      <w:r>
        <w:t xml:space="preserve">b) La parte del “ojo” o el concepto del punto de vista del mapa — Aplicar la regla de sistemas al lado del ojo es la sub-perspectiva: «Los Puntos son Todos con Partes». El profesor la contrastó con la de múltiples perspectivas.</w:t>
      </w:r>
    </w:p>
    <w:p>
      <w:pPr>
        <w:pStyle w:val="Normal"/>
      </w:pPr>
      <w:r>
        <w:t xml:space="preserve">c) La parte del “punto” o el concepto que se ve desde el “ojo” — Correcta: en el mapa de múltiples perspectivas lo que se ve se descompone en partes, y cada parte lleva el punto del color del ojo que la ve.</w:t>
      </w:r>
    </w:p>
    <w:p>
      <w:pPr>
        <w:pStyle w:val="Normal"/>
      </w:pPr>
      <w:r>
        <w:t xml:space="preserve">d) Cualquier parte del mapa — Es el principio general —todo objeto puede seguir las cuatro reglas—, pero la pregunta es sobre el mapa de múltiples perspectivas, y ahí la regla va en lo que se ve.</w:t>
      </w:r>
    </w:p>
    <w:p>
      <w:pPr>
        <w:pStyle w:val="Normal"/>
      </w:pPr>
      <w:r>
        <w:t xml:space="preserve">Criterio de resolución: En la clase 10 el profesor dijo que en los mapas de múltiples perspectivas «se detalla lo que se ve desde diferente perspectiva y entonces nos da más información aplicando la regla de sistemas»: la epidemia de sida se descompone en partes y cada parte lleva el punto de su perspectiva. En la clase 11 contrastó esa estructura con las sub-perspectivas, que aplican la regla de sistemas «a la parte del punto de vista donde se origina una perspectiva, en lugar de […] a la parte [del] punto donde se detalla lo que se ve».</w:t>
      </w:r>
    </w:p>
    <w:p>
      <w:pPr>
        <w:pStyle w:val="Normal"/>
      </w:pPr>
      <w:r>
        <w:t xml:space="preserve">Defensa: El profesor contrastó con estas mismas palabras las dos estructuras: en las múltiples perspectivas la regla de sistemas va «a la parte [del] punto donde se detalla lo que se ve»; en las sub-perspectivas, «a la parte del punto de vista donde se origina una perspectiva».</w:t>
      </w:r>
    </w:p>
    <w:p>
      <w:pPr>
        <w:pStyle w:val="Fuente"/>
      </w:pPr>
      <w:r>
        <w:t xml:space="preserve">Clase 10 · 01:26:21–01:28:11 · lámina c10-20 · Clase 11 · 00:37:25–00:38:12 · lámina c11-11 · Clase 11 · 00:40:50–00:41:29 · lámina c11-13</w:t>
      </w:r>
    </w:p>
    <w:p>
      <w:pPr>
        <w:pStyle w:val="Heading3"/>
      </w:pPr>
      <w:bookmarkStart w:name="b_pregunta_p2a_09_mapa_dsrp_ciclos" w:id="5517"/>
      <w:r>
        <w:t xml:space="preserve">3.9 · Unidad 3 · 3.2 · Mapas DSRP: práctica en Plectica</w:t>
      </w:r>
      <w:bookmarkEnd w:id="5517"/>
    </w:p>
    <w:p>
      <w:pPr>
        <w:pStyle w:val="Normal"/>
      </w:pPr>
      <w:r>
        <w:t xml:space="preserve">Realice un mapa DSRP sobre lo que sabe y piensa de los ciclos de retroalimentación de los sistemas estudiados en clase. Aplique las 4 reglas del pensamiento por lo menos una vez en el mapa que realice. Realizarlo en plectica.com y subir el pdf con el mapa en este tema.</w:t>
      </w:r>
    </w:p>
    <w:p>
      <w:pPr>
        <w:pStyle w:val="Fuente"/>
      </w:pPr>
      <w:r>
        <w:t xml:space="preserve">Ordinal de la fuente: 9.</w:t>
      </w:r>
    </w:p>
    <w:p>
      <w:pPr>
        <w:pStyle w:val="Fuente"/>
      </w:pPr>
      <w:r>
        <w:t xml:space="preserve">Revisión de plataforma: 15 puntos · Completada.</w:t>
      </w:r>
    </w:p>
    <w:p>
      <w:pPr>
        <w:pStyle w:val="Heading3"/>
      </w:pPr>
      <w:bookmarkStart w:name="b_solucion_p2a_09_mapa_dsrp_ciclos" w:id="5518"/>
      <w:r>
        <w:t xml:space="preserve">Solución 3.9</w:t>
      </w:r>
      <w:bookmarkEnd w:id="5518"/>
    </w:p>
    <w:p>
      <w:pPr>
        <w:pStyle w:val="RecuadroTitulo"/>
      </w:pPr>
      <w:r>
        <w:t xml:space="preserve">Respuesta modelo</w:t>
      </w:r>
    </w:p>
    <w:p>
      <w:pPr>
        <w:pStyle w:val="Normal"/>
      </w:pPr>
      <w:r>
        <w:t xml:space="preserve">Una tarjeta grande, «Ciclos de retroalimentación», contiene la polaridad del ciclo y las dos clases de ciclo. El ciclo de balance contiene la válvula de flote —mayor nivel de agua, menor apertura de la válvula, menor entrada de agua y el nivel deja de subir—, el hambre y la sed, abierta en sus tres variables con sus signos: de sed a tomar agua «+», de tomar agua a contenido de agua «+» y de contenido de agua a sed «−». El de refuerzo contiene el banco con sus cuatro negativas, el micrófono y la bocina, y los ahorros e intereses.</w:t>
      </w:r>
    </w:p>
    <w:p>
      <w:pPr>
        <w:pStyle w:val="Normal"/>
      </w:pPr>
      <w:r>
        <w:t xml:space="preserve">La polaridad decide la clase: «cero o un número par de negativas» lleva al refuerzo y «número impar de negativas» al balance. El refuerzo genera un cambio que se amplifica; el balance busca un objetivo y tiende al equilibrio, y puede limitar al refuerzo si regula las mismas variables. Y los ciclos de retroalimentación, a diferencia de la cadena causal abierta, sí regresan a su causa: es la distinción que da el otro de la idea central.</w:t>
      </w:r>
    </w:p>
    <w:p>
      <w:pPr>
        <w:pStyle w:val="Normal"/>
      </w:pPr>
      <w:r>
        <w:t xml:space="preserve">Tres perspectivas leen el mapa, cada una con su ojo y sus puntos del mismo color: la estructural mira las variables y la polaridad, la funcional los comportamientos y la propia una reflexión: comprender la estructura ayuda a anticipar cambios.</w:t>
      </w:r>
    </w:p>
    <w:p>
      <w:pPr>
        <w:keepNext/>
        <w:spacing w:after="40" w:before="150"/>
        <w:jc w:val="center"/>
      </w:pPr>
      <w:bookmarkStart w:name="b_figura_original_p2a_09_mapa_d_e9b11603" w:id="5519"/>
      <w:bookmarkEnd w:id="5519"/>
      <w:r>
        <w:drawing>
          <wp:inline distT="0" distB="0" distL="0" distR="0">
            <wp:extent cx="5381625" cy="5248275"/>
            <wp:effectExtent t="0" r="0" b="0" l="0"/>
            <wp:docPr id="221" name="p2a-09-mapa-dsrp-ciclos-modelo" descr="Clase 10 · 01:21:53–01:23:24 · Clase 11 · 01:01:58–01:02:20 · Clase 11 · 01:06:34–01:06:56 · Clase 11 · 01:07:56–01:08:12 · Clase 11 · 01:30:15–01:31:26 · lámina c10-25 · Clase 10 · 01:34:06–01:35:35" title="Unidad 3 · 3.2 · Mapas DSRP: práctica en Plect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7" cstate="none"/>
                    <a:srcRect/>
                    <a:stretch>
                      <a:fillRect/>
                    </a:stretch>
                  </pic:blipFill>
                  <pic:spPr bwMode="auto">
                    <a:xfrm>
                      <a:off x="0" y="0"/>
                      <a:ext cx="5381625" cy="5248275"/>
                    </a:xfrm>
                    <a:prstGeom prst="rect">
                      <a:avLst/>
                    </a:prstGeom>
                  </pic:spPr>
                </pic:pic>
              </a:graphicData>
            </a:graphic>
          </wp:inline>
        </w:drawing>
      </w:r>
    </w:p>
    <w:p>
      <w:pPr>
        <w:pStyle w:val="PieFigura"/>
        <w:keepNext/>
      </w:pPr>
      <w:bookmarkStart w:name="b_fig_V3_6" w:id="5520"/>
      <w:r>
        <w:t xml:space="preserve">Figura V3.</w:t>
      </w:r>
      <w:fldSimple w:instr="SEQ Figura \n \* ARABIC">
        <w:r>
          <w:t xml:space="preserve">6</w:t>
        </w:r>
      </w:fldSimple>
      <w:r>
        <w:t xml:space="preserve"> · Unidad 3 · 3.2 · Mapas DSRP: práctica en Plectica</w:t>
      </w:r>
      <w:bookmarkEnd w:id="5520"/>
    </w:p>
    <w:p>
      <w:pPr>
        <w:pStyle w:val="LecturaFigura"/>
        <w:keepNext/>
      </w:pPr>
      <w:r>
        <w:rPr>
          <w:b/>
          <w:bCs/>
        </w:rPr>
        <w:t xml:space="preserve">Lectura del diagrama: </w:t>
      </w:r>
      <w:r>
        <w:t xml:space="preserve">Las dos clases de ciclo son partes de la idea central y cada una contiene sus ejemplos de clase; el de la sed se abre en sus tres variables con sus signos. La polaridad decide la clase de ciclo, cada clase genera su comportamiento y el balance puede limitar al refuerzo. Tres perspectivas leen el mapa: la estructural, la funcional y la propia.</w:t>
      </w:r>
    </w:p>
    <w:p>
      <w:pPr>
        <w:pStyle w:val="Fuente"/>
      </w:pPr>
      <w:r>
        <w:t xml:space="preserve">Clase 10 · 01:21:53–01:23:24 · Clase 11 · 01:01:58–01:02:20 · Clase 11 · 01:06:34–01:06:56 · Clase 11 · 01:07:56–01:08:12 · Clase 11 · 01:30:15–01:31:26 · lámina c10-25 · Clase 10 · 01:34:06–01:35:35</w:t>
      </w:r>
    </w:p>
    <w:p>
      <w:pPr>
        <w:pStyle w:val="Heading3"/>
      </w:pPr>
      <w:r>
        <w:t xml:space="preserve">Criterios para una respuesta completa</w:t>
      </w:r>
    </w:p>
    <w:p>
      <w:pPr>
        <w:pStyle w:val="Normal"/>
        <w:numPr>
          <w:ilvl w:val="0"/>
          <w:numId w:val="2"/>
        </w:numPr>
      </w:pPr>
      <w:r>
        <w:t xml:space="preserve">Distinciones: cada tarjeta es una idea con nombre propio y ninguna se repite.</w:t>
      </w:r>
    </w:p>
    <w:p>
      <w:pPr>
        <w:pStyle w:val="Normal"/>
        <w:numPr>
          <w:ilvl w:val="0"/>
          <w:numId w:val="2"/>
        </w:numPr>
      </w:pPr>
      <w:r>
        <w:t xml:space="preserve">Sistemas: las partes van dentro de su todo, nunca unidas con una línea.</w:t>
      </w:r>
    </w:p>
    <w:p>
      <w:pPr>
        <w:pStyle w:val="Normal"/>
        <w:numPr>
          <w:ilvl w:val="0"/>
          <w:numId w:val="2"/>
        </w:numPr>
      </w:pPr>
      <w:r>
        <w:t xml:space="preserve">Relaciones: flechas con rótulo de la causa al efecto, y los signos en el ciclo de ejemplo.</w:t>
      </w:r>
    </w:p>
    <w:p>
      <w:pPr>
        <w:pStyle w:val="Normal"/>
        <w:numPr>
          <w:ilvl w:val="0"/>
          <w:numId w:val="2"/>
        </w:numPr>
      </w:pPr>
      <w:r>
        <w:t xml:space="preserve">Perspectivas: cada ojo deja al menos un punto de su mismo color y no se une con flechas.</w:t>
      </w:r>
    </w:p>
    <w:p>
      <w:pPr>
        <w:pStyle w:val="Normal"/>
        <w:numPr>
          <w:ilvl w:val="0"/>
          <w:numId w:val="2"/>
        </w:numPr>
      </w:pPr>
      <w:r>
        <w:t xml:space="preserve">El mapa modela los ciclos; no hay tarjetas llamadas «Distinciones», «Sistemas», «Relaciones» o «Perspectivas».</w:t>
      </w:r>
    </w:p>
    <w:p>
      <w:pPr>
        <w:pStyle w:val="Normal"/>
        <w:numPr>
          <w:ilvl w:val="0"/>
          <w:numId w:val="2"/>
        </w:numPr>
      </w:pPr>
      <w:r>
        <w:t xml:space="preserve">El contenido es correcto: clases de ciclo, regla de signos, comportamiento de cada clase y ejemplos de clase.</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9C620A" w:sz="20"/>
              <w:bottom w:val="nil"/>
              <w:right w:val="nil"/>
            </w:tcBorders>
            <w:shd w:fill="FBF3DF" w:val="clear"/>
            <w:tcMar>
              <w:top w:type="dxa" w:w="130"/>
              <w:left w:type="dxa" w:w="180"/>
              <w:bottom w:type="dxa" w:w="130"/>
              <w:right w:type="dxa" w:w="180"/>
            </w:tcMar>
          </w:tcPr>
          <w:p>
            <w:pPr>
              <w:pStyle w:val="RecuadroTitulo"/>
            </w:pPr>
            <w:r>
              <w:rPr>
                <w:b/>
                <w:bCs/>
                <w:color w:val="9C620A"/>
              </w:rPr>
              <w:t xml:space="preserve">Advertencia y límites</w:t>
            </w:r>
          </w:p>
          <w:p>
            <w:pPr>
              <w:pStyle w:val="Recuadro"/>
            </w:pPr>
            <w:r>
              <w:t xml:space="preserve">La respuesta modelo es el mapa que el estudiante armó en Plectica, con las correcciones del portal: el ciclo de la válvula cerrado, las líneas separadas de otras tarjetas, el banco de la clase con cuatro negativas, «a diferencia de» en lugar de «se distingue de» y la perspectiva propia sin nombre. Poner un ojo sin puntos, o unir la perspectiva con una flecha: «Tiene que [incluir] las dos partes», el punto de vista y lo que se ve.</w:t>
            </w:r>
          </w:p>
        </w:tc>
      </w:tr>
    </w:tbl>
    <w:p>
      <w:pPr>
        <w:pStyle w:val="Fuente"/>
      </w:pPr>
      <w:r>
        <w:t xml:space="preserve">Clase 10 · 01:21:53–01:23:24 · Clase 11 · 01:01:58–01:02:20 · Clase 11 · 01:06:34–01:06:56 · Clase 11 · 01:07:56–01:08:12 · Clase 11 · 01:30:15–01:31:26 · lámina c10-25 · Clase 10 · 01:34:06–01:35:35</w:t>
      </w:r>
    </w:p>
    <w:p>
      <w:pPr>
        <w:pStyle w:val="Heading3"/>
      </w:pPr>
      <w:bookmarkStart w:name="b_pregunta_p2a_10_ciclos_de_refuerzo" w:id="5521"/>
      <w:r>
        <w:t xml:space="preserve">3.10 · Unidad 3 · 3.5 · Refuerzo y compensación: contar ciclos</w:t>
      </w:r>
      <w:bookmarkEnd w:id="5521"/>
    </w:p>
    <w:p>
      <w:pPr>
        <w:pStyle w:val="Normal"/>
      </w:pPr>
      <w:r>
        <w:t xml:space="preserve">En el siguiente modelo de ciclos causales ¿Cuántos ciclos de refuerzo se tienen? (escriba el número en el espacio de respuesta)</w:t>
      </w:r>
    </w:p>
    <w:p>
      <w:pPr>
        <w:pStyle w:val="Fuente"/>
      </w:pPr>
      <w:r>
        <w:t xml:space="preserve">Ordinal de la fuente: 10.</w:t>
      </w:r>
    </w:p>
    <w:p>
      <w:pPr>
        <w:pStyle w:val="Fuente"/>
      </w:pPr>
      <w:r>
        <w:t xml:space="preserve">Revisión de plataforma: 2.5 puntos · Correcta.</w:t>
      </w:r>
    </w:p>
    <w:p>
      <w:pPr>
        <w:keepNext/>
        <w:spacing w:after="40" w:before="150"/>
        <w:jc w:val="center"/>
      </w:pPr>
      <w:bookmarkStart w:name="b_figura_original_p2a_10_ciclos_e1763d00" w:id="5522"/>
      <w:bookmarkEnd w:id="5522"/>
      <w:r>
        <w:drawing>
          <wp:inline distT="0" distB="0" distL="0" distR="0">
            <wp:extent cx="5381625" cy="3048000"/>
            <wp:effectExtent t="0" r="0" b="0" l="0"/>
            <wp:docPr id="222" name="p2a-10-ciclos-de-refuerzo-enunciado" descr="lectura L-10 págs. 11–12 · Clase 15 · 01:15:17–01:16:15" title="Unidad 3 · 3.5 · Refuerzo y compensación: contar cicl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2" cstate="none"/>
                    <a:srcRect/>
                    <a:stretch>
                      <a:fillRect/>
                    </a:stretch>
                  </pic:blipFill>
                  <pic:spPr bwMode="auto">
                    <a:xfrm>
                      <a:off x="0" y="0"/>
                      <a:ext cx="5381625" cy="3048000"/>
                    </a:xfrm>
                    <a:prstGeom prst="rect">
                      <a:avLst/>
                    </a:prstGeom>
                  </pic:spPr>
                </pic:pic>
              </a:graphicData>
            </a:graphic>
          </wp:inline>
        </w:drawing>
      </w:r>
    </w:p>
    <w:p>
      <w:pPr>
        <w:pStyle w:val="PieFigura"/>
        <w:keepNext/>
      </w:pPr>
      <w:bookmarkStart w:name="b_fig_V3_7" w:id="5523"/>
      <w:r>
        <w:t xml:space="preserve">Figura V3.</w:t>
      </w:r>
      <w:fldSimple w:instr="SEQ Figura \n \* ARABIC">
        <w:r>
          <w:t xml:space="preserve">7</w:t>
        </w:r>
      </w:fldSimple>
      <w:r>
        <w:t xml:space="preserve"> · Unidad 3 · 3.5 · Refuerzo y compensación: contar ciclos</w:t>
      </w:r>
      <w:bookmarkEnd w:id="5523"/>
    </w:p>
    <w:p>
      <w:pPr>
        <w:pStyle w:val="Fuente"/>
      </w:pPr>
      <w:r>
        <w:t xml:space="preserve">lectura L-10 págs. 11–12 · Clase 15 · 01:15:17–01:16:15</w:t>
      </w:r>
    </w:p>
    <w:p>
      <w:pPr>
        <w:pStyle w:val="Heading3"/>
      </w:pPr>
      <w:bookmarkStart w:name="b_solucion_p2a_10_ciclos_de_refuerzo" w:id="5524"/>
      <w:r>
        <w:t xml:space="preserve">Solución 3.10</w:t>
      </w:r>
      <w:bookmarkEnd w:id="5524"/>
    </w:p>
    <w:p>
      <w:pPr>
        <w:pStyle w:val="RecuadroTitulo"/>
      </w:pPr>
      <w:r>
        <w:t xml:space="preserve">Respuesta modelo</w:t>
      </w:r>
    </w:p>
    <w:p>
      <w:pPr>
        <w:pStyle w:val="Normal"/>
      </w:pPr>
      <w:r>
        <w:t xml:space="preserve">1. </w:t>
      </w:r>
    </w:p>
    <w:p>
      <w:pPr>
        <w:pStyle w:val="Normal"/>
      </w:pPr>
      <w:r>
        <w:t xml:space="preserve">Es el mismo modelo de la pregunta 3. El único ciclo sin negativas es el de construcciones y unidades industriales; los otros dos tienen una negativa cada uno y son de balance.</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Retroalimentación oficial de la plataforma</w:t>
            </w:r>
          </w:p>
          <w:p>
            <w:pPr>
              <w:pStyle w:val="Recuadro"/>
            </w:pPr>
            <w:r>
              <w:t xml:space="preserve">La respuesta correcta es: 1</w:t>
            </w:r>
          </w:p>
        </w:tc>
      </w:tr>
    </w:tbl>
    <w:p>
      <w:pPr>
        <w:pStyle w:val="Fuente"/>
      </w:pPr>
      <w:r>
        <w:t xml:space="preserve">Control numérico: 1.</w:t>
      </w:r>
    </w:p>
    <w:p>
      <w:pPr>
        <w:keepNext/>
        <w:spacing w:after="40" w:before="150"/>
        <w:jc w:val="center"/>
      </w:pPr>
      <w:bookmarkStart w:name="b_figura_original_p2a_10_ciclos_ac3ec248" w:id="5525"/>
      <w:bookmarkEnd w:id="5525"/>
      <w:r>
        <w:drawing>
          <wp:inline distT="0" distB="0" distL="0" distR="0">
            <wp:extent cx="5381625" cy="3048000"/>
            <wp:effectExtent t="0" r="0" b="0" l="0"/>
            <wp:docPr id="223" name="p2a-10-ciclos-de-refuerzo-modelo" descr="lectura L-10 págs. 11–12 · Clase 15 · 01:15:17–01:16:15" title="Unidad 3 · 3.5 · Refuerzo y compensación: contar cicl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3" cstate="none"/>
                    <a:srcRect/>
                    <a:stretch>
                      <a:fillRect/>
                    </a:stretch>
                  </pic:blipFill>
                  <pic:spPr bwMode="auto">
                    <a:xfrm>
                      <a:off x="0" y="0"/>
                      <a:ext cx="5381625" cy="3048000"/>
                    </a:xfrm>
                    <a:prstGeom prst="rect">
                      <a:avLst/>
                    </a:prstGeom>
                  </pic:spPr>
                </pic:pic>
              </a:graphicData>
            </a:graphic>
          </wp:inline>
        </w:drawing>
      </w:r>
    </w:p>
    <w:p>
      <w:pPr>
        <w:pStyle w:val="PieFigura"/>
        <w:keepNext/>
      </w:pPr>
      <w:bookmarkStart w:name="b_fig_V3_8" w:id="5526"/>
      <w:r>
        <w:t xml:space="preserve">Figura V3.</w:t>
      </w:r>
      <w:fldSimple w:instr="SEQ Figura \n \* ARABIC">
        <w:r>
          <w:t xml:space="preserve">8</w:t>
        </w:r>
      </w:fldSimple>
      <w:r>
        <w:t xml:space="preserve"> · Unidad 3 · 3.5 · Refuerzo y compensación: contar ciclos</w:t>
      </w:r>
      <w:bookmarkEnd w:id="5526"/>
    </w:p>
    <w:p>
      <w:pPr>
        <w:pStyle w:val="LecturaFigura"/>
        <w:keepNext/>
      </w:pPr>
      <w:r>
        <w:rPr>
          <w:b/>
          <w:bCs/>
        </w:rPr>
        <w:t xml:space="preserve">Lectura del diagrama: </w:t>
      </w:r>
      <w:r>
        <w:t xml:space="preserve">1 ciclo de refuerzo y 2 de balance. Las construcciones y las unidades industriales se refuerzan entre sí. La demolición y la superficie que se va ocupando frenan ese crecimiento: el área crece en S y se estabiliza.</w:t>
      </w:r>
    </w:p>
    <w:p>
      <w:pPr>
        <w:pStyle w:val="Fuente"/>
      </w:pPr>
      <w:r>
        <w:t xml:space="preserve">lectura L-10 págs. 11–12 · Clase 15 · 01:15:17–01:16:15</w:t>
      </w:r>
    </w:p>
    <w:p>
      <w:pPr>
        <w:pStyle w:val="Heading3"/>
      </w:pPr>
      <w:r>
        <w:t xml:space="preserve">Criterios para una respuesta completa</w:t>
      </w:r>
    </w:p>
    <w:p>
      <w:pPr>
        <w:pStyle w:val="Normal"/>
        <w:numPr>
          <w:ilvl w:val="0"/>
          <w:numId w:val="2"/>
        </w:numPr>
      </w:pPr>
      <w:r>
        <w:t xml:space="preserve">Escribe sólo la cifra: 1.</w:t>
      </w:r>
    </w:p>
    <w:p>
      <w:pPr>
        <w:pStyle w:val="Normal"/>
        <w:numPr>
          <w:ilvl w:val="0"/>
          <w:numId w:val="2"/>
        </w:numPr>
      </w:pPr>
      <w:r>
        <w:t xml:space="preserve">Identifica el ciclo de construcciones y unidades industriales como el único de refuerzo.</w:t>
      </w:r>
    </w:p>
    <w:p>
      <w:pPr>
        <w:pStyle w:val="Normal"/>
        <w:numPr>
          <w:ilvl w:val="0"/>
          <w:numId w:val="2"/>
        </w:numPr>
      </w:pPr>
      <w:r>
        <w:t xml:space="preserve">No cuenta como ciclo ninguna flecha que salga de una variable externa.</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9C620A" w:sz="20"/>
              <w:bottom w:val="nil"/>
              <w:right w:val="nil"/>
            </w:tcBorders>
            <w:shd w:fill="FBF3DF" w:val="clear"/>
            <w:tcMar>
              <w:top w:type="dxa" w:w="130"/>
              <w:left w:type="dxa" w:w="180"/>
              <w:bottom w:type="dxa" w:w="130"/>
              <w:right w:type="dxa" w:w="180"/>
            </w:tcMar>
          </w:tcPr>
          <w:p>
            <w:pPr>
              <w:pStyle w:val="RecuadroTitulo"/>
            </w:pPr>
            <w:r>
              <w:rPr>
                <w:b/>
                <w:bCs/>
                <w:color w:val="9C620A"/>
              </w:rPr>
              <w:t xml:space="preserve">Advertencia y límites</w:t>
            </w:r>
          </w:p>
          <w:p>
            <w:pPr>
              <w:pStyle w:val="Recuadro"/>
            </w:pPr>
            <w:r>
              <w:t xml:space="preserve">Forma pareja con la pregunta 3 sobre la misma figura. Las variables externas no forman ciclos: a ninguna le llega una flecha, por muchos signos que lleven las que salen de ellas.</w:t>
            </w:r>
          </w:p>
        </w:tc>
      </w:tr>
    </w:tbl>
    <w:p>
      <w:pPr>
        <w:pStyle w:val="Fuente"/>
      </w:pPr>
      <w:r>
        <w:t xml:space="preserve">lectura L-10 págs. 11–12 · Clase 15 · 01:15:17–01:16:15</w:t>
      </w:r>
    </w:p>
    <w:p>
      <w:pPr>
        <w:pStyle w:val="Heading3"/>
      </w:pPr>
      <w:bookmarkStart w:name="b_pregunta_p2a_11_hasta_cuando__8f8ea02d" w:id="5527"/>
      <w:r>
        <w:t xml:space="preserve">3.11 · Unidad 3 · 3.2 · Mapas DSRP: el algoritmo de las cuatro reglas</w:t>
      </w:r>
      <w:bookmarkEnd w:id="5527"/>
    </w:p>
    <w:p>
      <w:pPr>
        <w:pStyle w:val="Normal"/>
      </w:pPr>
      <w:r>
        <w:t xml:space="preserve">Cuando construimos mapas DSRP aplicando las 4 reglas del pensamiento sistémico ¿Hasta cuándo conviene detener la aplicación repetitiva de estas reglas?</w:t>
      </w:r>
    </w:p>
    <w:p>
      <w:pPr>
        <w:pStyle w:val="Fuente"/>
      </w:pPr>
      <w:r>
        <w:t xml:space="preserve">Ordinal de la fuente: 11.</w:t>
      </w:r>
    </w:p>
    <w:p>
      <w:pPr>
        <w:pStyle w:val="Fuente"/>
      </w:pPr>
      <w:r>
        <w:t xml:space="preserve">Revisión de plataforma: 2.5 puntos · Correcta.</w:t>
      </w:r>
    </w:p>
    <w:p>
      <w:pPr>
        <w:pStyle w:val="Normal"/>
      </w:pPr>
      <w:r>
        <w:t xml:space="preserve">a) Hasta aplicar las 4 reglas</w:t>
      </w:r>
    </w:p>
    <w:p>
      <w:pPr>
        <w:pStyle w:val="Normal"/>
      </w:pPr>
      <w:r>
        <w:t xml:space="preserve">b) Nunca se detiene</w:t>
      </w:r>
    </w:p>
    <w:p>
      <w:pPr>
        <w:pStyle w:val="Normal"/>
      </w:pPr>
      <w:r>
        <w:t xml:space="preserve">c) Hasta identificar un sistema completo</w:t>
      </w:r>
    </w:p>
    <w:p>
      <w:pPr>
        <w:pStyle w:val="Normal"/>
      </w:pPr>
      <w:r>
        <w:t xml:space="preserve">d) Hasta que el modelador tenga la comprensión deseada</w:t>
      </w:r>
    </w:p>
    <w:p>
      <w:pPr>
        <w:pStyle w:val="Heading3"/>
      </w:pPr>
      <w:bookmarkStart w:name="b_solucion_p2a_11_hasta_cuando__13adc7a9" w:id="5528"/>
      <w:r>
        <w:t xml:space="preserve">Solución 3.11</w:t>
      </w:r>
      <w:bookmarkEnd w:id="5528"/>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d) Hasta que el modelador tenga la comprensión deseada</w:t>
            </w:r>
          </w:p>
        </w:tc>
      </w:tr>
    </w:tbl>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Retroalimentación oficial de la plataforma</w:t>
            </w:r>
          </w:p>
          <w:p>
            <w:pPr>
              <w:pStyle w:val="Recuadro"/>
            </w:pPr>
            <w:r>
              <w:t xml:space="preserve">La respuesta correcta es: Hasta que el modelador tenga la comprensión deseada</w:t>
            </w:r>
          </w:p>
        </w:tc>
      </w:tr>
    </w:tbl>
    <w:p>
      <w:pPr>
        <w:pStyle w:val="Heading3"/>
      </w:pPr>
      <w:r>
        <w:t xml:space="preserve">Recuerde el diagrama de flujo de la clase 7</w:t>
      </w:r>
    </w:p>
    <w:p>
      <w:pPr>
        <w:pStyle w:val="Normal"/>
      </w:pPr>
      <w:r>
        <w:t xml:space="preserve">Se empieza por una idea, se elige cualquiera de las cuatro reglas, y al final se pregunta si ya es suficiente. Si no, se repite.</w:t>
      </w:r>
    </w:p>
    <w:p>
      <w:pPr>
        <w:pStyle w:val="Heading3"/>
      </w:pPr>
      <w:r>
        <w:t xml:space="preserve">Separe el mapa del ST Loop</w:t>
      </w:r>
    </w:p>
    <w:p>
      <w:pPr>
        <w:pStyle w:val="Normal"/>
      </w:pPr>
      <w:r>
        <w:t xml:space="preserve">El ST Loop describe cómo un modelo se prueba y mejora sin fin en el mundo real. El algoritmo del mapa sí termina: cuando el modelador comprende lo que quería comprender.</w:t>
      </w:r>
    </w:p>
    <w:p>
      <w:pPr>
        <w:pStyle w:val="Fuente"/>
      </w:pPr>
      <w:r>
        <w:t xml:space="preserve">Opciones descartadas: b).</w:t>
      </w:r>
    </w:p>
    <w:p>
      <w:pPr>
        <w:pStyle w:val="Heading3"/>
      </w:pPr>
      <w:r>
        <w:t xml:space="preserve">Descarte las metas imposibles o mecánicas</w:t>
      </w:r>
    </w:p>
    <w:p>
      <w:pPr>
        <w:pStyle w:val="Normal"/>
      </w:pPr>
      <w:r>
        <w:t xml:space="preserve">Aplicar una vez cada regla es el mínimo de un ejercicio, no el criterio; y no existe un sistema modelado por completo.</w:t>
      </w:r>
    </w:p>
    <w:p>
      <w:pPr>
        <w:pStyle w:val="Fuente"/>
      </w:pPr>
      <w:r>
        <w:t xml:space="preserve">Opciones descartadas: a), c).</w:t>
      </w:r>
    </w:p>
    <w:p>
      <w:pPr>
        <w:pStyle w:val="Normal"/>
      </w:pPr>
      <w:r>
        <w:t xml:space="preserve">a) Hasta aplicar las 4 reglas — En cada vuelta se elige cualquier regla y se puede repetir la misma: no es una lista para completar.</w:t>
      </w:r>
    </w:p>
    <w:p>
      <w:pPr>
        <w:pStyle w:val="Normal"/>
      </w:pPr>
      <w:r>
        <w:t xml:space="preserve">b) Nunca se detiene — Confunde el algoritmo del mapa con el ST Loop, en el que el modelo se mejora a lo largo del tiempo. Además, la pregunta dice «conviene detener».</w:t>
      </w:r>
    </w:p>
    <w:p>
      <w:pPr>
        <w:pStyle w:val="Normal"/>
      </w:pPr>
      <w:r>
        <w:t xml:space="preserve">c) Hasta identificar un sistema completo — Ningún modelo es completo: «todos los modelos mentales son erróneos pero algunos son útiles».</w:t>
      </w:r>
    </w:p>
    <w:p>
      <w:pPr>
        <w:pStyle w:val="Normal"/>
      </w:pPr>
      <w:r>
        <w:t xml:space="preserve">d) Hasta que el modelador tenga la comprensión deseada — Correcta: la lámina de la clase 7 lo dice literal: «aplicando las 4 reglas básicas en forma repetitiva hasta tener la comprensión deseada».</w:t>
      </w:r>
    </w:p>
    <w:p>
      <w:pPr>
        <w:pStyle w:val="Normal"/>
      </w:pPr>
      <w:r>
        <w:t xml:space="preserve">Criterio de resolución: La lámina «Algoritmo iterativo para aplicar las cuatro reglas» dice: «Generamos modelos mentales sistémicos aplicando las 4 reglas básicas en forma repetitiva hasta tener la comprensión deseada de la realidad asociada a la idea o ideas iniciales». Su diagrama de flujo pregunta «Done?» y, si no, vuelve a elegir una regla. El profesor: «decidimos si es suficiente para comprender lo que he querido comprender de ese sistema».</w:t>
      </w:r>
    </w:p>
    <w:p>
      <w:pPr>
        <w:pStyle w:val="Normal"/>
      </w:pPr>
      <w:r>
        <w:t xml:space="preserve">Defensa: La respuesta es literal de la lámina de la clase 7: se aplican las reglas «en forma repetitiva hasta tener la comprensión deseada», y el profesor lo explicó como la decisión de si «es suficiente para comprender lo que he querido comprender».</w:t>
      </w:r>
    </w:p>
    <w:p>
      <w:pPr>
        <w:pStyle w:val="Fuente"/>
      </w:pPr>
      <w:r>
        <w:t xml:space="preserve">lámina c7-12 · Clase 7 · 01:03:59–01:06:15 · Clase 11 · 00:23:55–00:26:28 · Clase 11 · 01:33:30–01:33:44</w:t>
      </w:r>
    </w:p>
    <w:p>
      <w:pPr>
        <w:pStyle w:val="Heading3"/>
      </w:pPr>
      <w:bookmarkStart w:name="b_pregunta_p2a_12_ciclo_de_vida_habito" w:id="5529"/>
      <w:r>
        <w:t xml:space="preserve">3.12 · Unidad 3 · 3.9 · Hábitos: patrones y tendencias</w:t>
      </w:r>
      <w:bookmarkEnd w:id="5529"/>
    </w:p>
    <w:p>
      <w:pPr>
        <w:pStyle w:val="Normal"/>
      </w:pPr>
      <w:r>
        <w:t xml:space="preserve">Un ciclo de vida es un modelo sistémico que puede modelar un pensador sistémico de algún sistema de la realidad. ¿Cuál es el hábito de un pensador sistémico que se pone de manifiesto al hacer este modelo?</w:t>
      </w:r>
    </w:p>
    <w:p>
      <w:pPr>
        <w:pStyle w:val="Fuente"/>
      </w:pPr>
      <w:r>
        <w:t xml:space="preserve">Ordinal de la fuente: 12.</w:t>
      </w:r>
    </w:p>
    <w:p>
      <w:pPr>
        <w:pStyle w:val="Fuente"/>
      </w:pPr>
      <w:r>
        <w:t xml:space="preserve">Revisión de plataforma: 2.5 puntos · Completada.</w:t>
      </w:r>
    </w:p>
    <w:p>
      <w:pPr>
        <w:pStyle w:val="Heading3"/>
      </w:pPr>
      <w:bookmarkStart w:name="b_solucion_p2a_12_ciclo_de_vida_habito" w:id="5530"/>
      <w:r>
        <w:t xml:space="preserve">Solución 3.12</w:t>
      </w:r>
      <w:bookmarkEnd w:id="5530"/>
    </w:p>
    <w:p>
      <w:pPr>
        <w:pStyle w:val="RecuadroTitulo"/>
      </w:pPr>
      <w:r>
        <w:t xml:space="preserve">Respuesta modelo</w:t>
      </w:r>
    </w:p>
    <w:p>
      <w:pPr>
        <w:pStyle w:val="Normal"/>
      </w:pPr>
      <w:r>
        <w:t xml:space="preserve">El hábito de observar cómo los elementos en un sistema cambian a través del tiempo, generando patrones y tendencias.</w:t>
      </w:r>
    </w:p>
    <w:p>
      <w:pPr>
        <w:pStyle w:val="Normal"/>
      </w:pPr>
      <w:r>
        <w:t xml:space="preserve">Un ciclo de vida modela cómo se comportan los valores de un sistema a lo largo de toda su vida, por ejemplo una persona o un proyecto, y nombra las etapas por las que pasan. Al construirlo, el pensador sistémico ve esos cambios como la dinámica del sistema y se pregunta cómo han cambiado sus elementos y qué patrones o tendencias han aparecido a través del tiempo.</w:t>
      </w:r>
    </w:p>
    <w:p>
      <w:pPr>
        <w:pStyle w:val="Heading3"/>
      </w:pPr>
      <w:r>
        <w:t xml:space="preserve">Criterios para una respuesta completa</w:t>
      </w:r>
    </w:p>
    <w:p>
      <w:pPr>
        <w:pStyle w:val="Normal"/>
        <w:numPr>
          <w:ilvl w:val="0"/>
          <w:numId w:val="2"/>
        </w:numPr>
      </w:pPr>
      <w:r>
        <w:t xml:space="preserve">Nombra el hábito de observar cómo los elementos cambian a través del tiempo, generando patrones y tendencias.</w:t>
      </w:r>
    </w:p>
    <w:p>
      <w:pPr>
        <w:pStyle w:val="Normal"/>
        <w:numPr>
          <w:ilvl w:val="0"/>
          <w:numId w:val="2"/>
        </w:numPr>
      </w:pPr>
      <w:r>
        <w:t xml:space="preserve">Relaciona el ciclo de vida con el cambio a lo largo de toda la vida del sistema y sus etapas.</w:t>
      </w:r>
    </w:p>
    <w:p>
      <w:pPr>
        <w:pStyle w:val="Normal"/>
        <w:numPr>
          <w:ilvl w:val="0"/>
          <w:numId w:val="2"/>
        </w:numPr>
      </w:pPr>
      <w:r>
        <w:t xml:space="preserve">Menciona los patrones o tendencias, o la dinámica del sistema.</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9C620A" w:sz="20"/>
              <w:bottom w:val="nil"/>
              <w:right w:val="nil"/>
            </w:tcBorders>
            <w:shd w:fill="FBF3DF" w:val="clear"/>
            <w:tcMar>
              <w:top w:type="dxa" w:w="130"/>
              <w:left w:type="dxa" w:w="180"/>
              <w:bottom w:type="dxa" w:w="130"/>
              <w:right w:type="dxa" w:w="180"/>
            </w:tcMar>
          </w:tcPr>
          <w:p>
            <w:pPr>
              <w:pStyle w:val="RecuadroTitulo"/>
            </w:pPr>
            <w:r>
              <w:rPr>
                <w:b/>
                <w:bCs/>
                <w:color w:val="9C620A"/>
              </w:rPr>
              <w:t xml:space="preserve">Advertencia y límites</w:t>
            </w:r>
          </w:p>
          <w:p>
            <w:pPr>
              <w:pStyle w:val="Recuadro"/>
            </w:pPr>
            <w:r>
              <w:t xml:space="preserve">Elegir el hábito de las demoras o el de la estructura: el ciclo de vida describe el cambio en el tiempo, que es el del quinto hábito.</w:t>
            </w:r>
          </w:p>
        </w:tc>
      </w:tr>
    </w:tbl>
    <w:p>
      <w:pPr>
        <w:pStyle w:val="Fuente"/>
      </w:pPr>
      <w:r>
        <w:t xml:space="preserve">lámina c16-13 · Clase 16 · 01:29:48–01:30:46 · lámina c16-22 · Clase 16 · 01:40:29–01:41:27</w:t>
      </w:r>
    </w:p>
    <w:p>
      <w:pPr>
        <w:pStyle w:val="Heading3"/>
      </w:pPr>
      <w:bookmarkStart w:name="b_pregunta_p2a_13_conexiones_de_a08c7daa" w:id="5531"/>
      <w:r>
        <w:t xml:space="preserve">3.13 · Unidad 3 · 3.9 · Hábitos: conexiones significativas</w:t>
      </w:r>
      <w:bookmarkEnd w:id="5531"/>
    </w:p>
    <w:p>
      <w:pPr>
        <w:pStyle w:val="Normal"/>
      </w:pPr>
      <w:r>
        <w:t xml:space="preserve">Cuando alguien va a una capacitación por parte de su trabajo y al finalizar vuelve para adaptar el aprendizaje obtenido a la cultura de la empresa y traducir su aprendizaje en acciones que mejoren su desempeño y el de su equipo se dice que es un pensador sistémico que sabe realizar conexiones de…</w:t>
      </w:r>
    </w:p>
    <w:p>
      <w:pPr>
        <w:pStyle w:val="Fuente"/>
      </w:pPr>
      <w:r>
        <w:t xml:space="preserve">Ordinal de la fuente: 13.</w:t>
      </w:r>
    </w:p>
    <w:p>
      <w:pPr>
        <w:pStyle w:val="Fuente"/>
      </w:pPr>
      <w:r>
        <w:t xml:space="preserve">Revisión de plataforma: 2.5 puntos · Correcta.</w:t>
      </w:r>
    </w:p>
    <w:p>
      <w:pPr>
        <w:pStyle w:val="Normal"/>
      </w:pPr>
      <w:r>
        <w:t xml:space="preserve">a) Transferencia</w:t>
      </w:r>
    </w:p>
    <w:p>
      <w:pPr>
        <w:pStyle w:val="Normal"/>
      </w:pPr>
      <w:r>
        <w:t xml:space="preserve">b) Compensación</w:t>
      </w:r>
    </w:p>
    <w:p>
      <w:pPr>
        <w:pStyle w:val="Normal"/>
      </w:pPr>
      <w:r>
        <w:t xml:space="preserve">c) Refuerzo</w:t>
      </w:r>
    </w:p>
    <w:p>
      <w:pPr>
        <w:pStyle w:val="Normal"/>
      </w:pPr>
      <w:r>
        <w:t xml:space="preserve">d) Mejora</w:t>
      </w:r>
    </w:p>
    <w:p>
      <w:pPr>
        <w:pStyle w:val="Heading3"/>
      </w:pPr>
      <w:bookmarkStart w:name="b_solucion_p2a_13_conexiones_de_24586a56" w:id="5532"/>
      <w:r>
        <w:t xml:space="preserve">Solución 3.13</w:t>
      </w:r>
      <w:bookmarkEnd w:id="5532"/>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a) Transferencia</w:t>
            </w:r>
          </w:p>
        </w:tc>
      </w:tr>
    </w:tbl>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Retroalimentación oficial de la plataforma</w:t>
            </w:r>
          </w:p>
          <w:p>
            <w:pPr>
              <w:pStyle w:val="Recuadro"/>
            </w:pPr>
            <w:r>
              <w:t xml:space="preserve">La respuesta correcta es: Transferencia</w:t>
            </w:r>
          </w:p>
        </w:tc>
      </w:tr>
    </w:tbl>
    <w:p>
      <w:pPr>
        <w:pStyle w:val="Heading3"/>
      </w:pPr>
      <w:r>
        <w:t xml:space="preserve">Reconozca el caso</w:t>
      </w:r>
    </w:p>
    <w:p>
      <w:pPr>
        <w:pStyle w:val="Normal"/>
      </w:pPr>
      <w:r>
        <w:t xml:space="preserve">La pregunta reproduce el ejemplo de Kim del hábito de hacer conexiones significativas: aprender en un contexto y aplicarlo en otro.</w:t>
      </w:r>
    </w:p>
    <w:p>
      <w:pPr>
        <w:pStyle w:val="Heading3"/>
      </w:pPr>
      <w:r>
        <w:t xml:space="preserve">Descarte los nombres de ciclos</w:t>
      </w:r>
    </w:p>
    <w:p>
      <w:pPr>
        <w:pStyle w:val="Normal"/>
      </w:pPr>
      <w:r>
        <w:t xml:space="preserve">Compensación y refuerzo clasifican ciclos de retroalimentación; aquí se pregunta por un tipo de conexión.</w:t>
      </w:r>
    </w:p>
    <w:p>
      <w:pPr>
        <w:pStyle w:val="Fuente"/>
      </w:pPr>
      <w:r>
        <w:t xml:space="preserve">Opciones descartadas: b), c).</w:t>
      </w:r>
    </w:p>
    <w:p>
      <w:pPr>
        <w:pStyle w:val="Heading3"/>
      </w:pPr>
      <w:r>
        <w:t xml:space="preserve">No confunda el resultado con el nombre</w:t>
      </w:r>
    </w:p>
    <w:p>
      <w:pPr>
        <w:pStyle w:val="Normal"/>
      </w:pPr>
      <w:r>
        <w:t xml:space="preserve">Mejorar el desempeño es lo que se consigue; lo que el material nombra es la transferencia de lo aprendido de un sistema a otro.</w:t>
      </w:r>
    </w:p>
    <w:p>
      <w:pPr>
        <w:pStyle w:val="Fuente"/>
      </w:pPr>
      <w:r>
        <w:t xml:space="preserve">Opciones descartadas: d).</w:t>
      </w:r>
    </w:p>
    <w:p>
      <w:pPr>
        <w:pStyle w:val="Normal"/>
      </w:pPr>
      <w:r>
        <w:t xml:space="preserve">a) Transferencia — Correcta: es el ejemplo de Kim de la lámina «Conexiones que producen transferencia», casi palabra por palabra.</w:t>
      </w:r>
    </w:p>
    <w:p>
      <w:pPr>
        <w:pStyle w:val="Normal"/>
      </w:pPr>
      <w:r>
        <w:t xml:space="preserve">b) Compensación — Compensación es un tipo de ciclo de retroalimentación, no de conexión.</w:t>
      </w:r>
    </w:p>
    <w:p>
      <w:pPr>
        <w:pStyle w:val="Normal"/>
      </w:pPr>
      <w:r>
        <w:t xml:space="preserve">c) Refuerzo — Refuerzo también es un tipo de ciclo, no de conexión.</w:t>
      </w:r>
    </w:p>
    <w:p>
      <w:pPr>
        <w:pStyle w:val="Normal"/>
      </w:pPr>
      <w:r>
        <w:t xml:space="preserve">d) Mejora — Describe el resultado —acciones que mejoran el desempeño—, no el nombre de la conexión.</w:t>
      </w:r>
    </w:p>
    <w:p>
      <w:pPr>
        <w:pStyle w:val="Normal"/>
      </w:pPr>
      <w:r>
        <w:t xml:space="preserve">Criterio de resolución: El material de la unidad 3 trae el caso de Kim, enviada a una conferencia: al volver «establece las conexiones entre la conferencia y su entorno laboral para adaptar el aprendizaje a la cultura de su empresa y traducir su aprendizaje en acciones que mejoren su desempeño y el de su equipo». La lámina se titula «Hacer conexiones que producen transferencias», y el profesor lo explicó con el piano y con Kim: «¿Se comprende este concepto de transferencia…?».</w:t>
      </w:r>
    </w:p>
    <w:p>
      <w:pPr>
        <w:pStyle w:val="Normal"/>
      </w:pPr>
      <w:r>
        <w:t xml:space="preserve">Defensa: El enunciado copia casi literal el ejemplo de la lámina «Conexiones que producen transferencia», y el profesor lo cerró preguntando si se comprendía «este concepto de transferencia».</w:t>
      </w:r>
    </w:p>
    <w:p>
      <w:pPr>
        <w:pStyle w:val="Fuente"/>
      </w:pPr>
      <w:r>
        <w:t xml:space="preserve">lámina c12-08 · Clase 12 · 01:33:14–01:37:06</w:t>
      </w:r>
    </w:p>
    <w:p>
      <w:pPr>
        <w:pStyle w:val="Heading3"/>
      </w:pPr>
      <w:bookmarkStart w:name="b_pregunta_p2a_14_operaciones_d_4a611c61" w:id="5533"/>
      <w:r>
        <w:t xml:space="preserve">3.14 · Unidad 3 · 3.1 · Mapas DSRP y diagramas de ciclos causales</w:t>
      </w:r>
      <w:bookmarkEnd w:id="5533"/>
    </w:p>
    <w:p>
      <w:pPr>
        <w:pStyle w:val="Normal"/>
      </w:pPr>
      <w:r>
        <w:t xml:space="preserve">Al crear un mapa sistémico de ciclos causales ¿Cuáles operaciones del modelo DSRP se utilizan?</w:t>
      </w:r>
    </w:p>
    <w:p>
      <w:pPr>
        <w:pStyle w:val="Fuente"/>
      </w:pPr>
      <w:r>
        <w:t xml:space="preserve">Ordinal de la fuente: 14.</w:t>
      </w:r>
    </w:p>
    <w:p>
      <w:pPr>
        <w:pStyle w:val="Fuente"/>
      </w:pPr>
      <w:r>
        <w:t xml:space="preserve">Revisión de plataforma: 2.5 puntos · Correcta.</w:t>
      </w:r>
    </w:p>
    <w:p>
      <w:pPr>
        <w:pStyle w:val="Normal"/>
      </w:pPr>
      <w:r>
        <w:t xml:space="preserve">a) Distinciones</w:t>
      </w:r>
    </w:p>
    <w:p>
      <w:pPr>
        <w:pStyle w:val="Normal"/>
      </w:pPr>
      <w:r>
        <w:t xml:space="preserve">b) Relaciones</w:t>
      </w:r>
    </w:p>
    <w:p>
      <w:pPr>
        <w:pStyle w:val="Normal"/>
      </w:pPr>
      <w:r>
        <w:t xml:space="preserve">c) Sistemas</w:t>
      </w:r>
    </w:p>
    <w:p>
      <w:pPr>
        <w:pStyle w:val="Normal"/>
      </w:pPr>
      <w:r>
        <w:t xml:space="preserve">d) Perspectivas</w:t>
      </w:r>
    </w:p>
    <w:p>
      <w:pPr>
        <w:pStyle w:val="Heading3"/>
      </w:pPr>
      <w:bookmarkStart w:name="b_solucion_p2a_14_operaciones_d_7cdf5641" w:id="5534"/>
      <w:r>
        <w:t xml:space="preserve">Solución 3.14</w:t>
      </w:r>
      <w:bookmarkEnd w:id="5534"/>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a) Distinciones</w:t>
            </w:r>
          </w:p>
          <w:p>
            <w:pPr>
              <w:pStyle w:val="Recuadro"/>
            </w:pPr>
            <w:r>
              <w:t xml:space="preserve">b) Relaciones</w:t>
            </w:r>
          </w:p>
        </w:tc>
      </w:tr>
    </w:tbl>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Retroalimentación oficial de la plataforma</w:t>
            </w:r>
          </w:p>
          <w:p>
            <w:pPr>
              <w:pStyle w:val="Recuadro"/>
            </w:pPr>
            <w:r>
              <w:t xml:space="preserve">Las respuestas correctas son: Distinciones , Relaciones</w:t>
            </w:r>
          </w:p>
        </w:tc>
      </w:tr>
    </w:tbl>
    <w:p>
      <w:pPr>
        <w:pStyle w:val="Heading3"/>
      </w:pPr>
      <w:r>
        <w:t xml:space="preserve">Recuerde de dónde sale el diagrama causal</w:t>
      </w:r>
    </w:p>
    <w:p>
      <w:pPr>
        <w:pStyle w:val="Normal"/>
      </w:pPr>
      <w:r>
        <w:t xml:space="preserve">Es «un mapa sistémico que no es completamente DSRP»: conceptos y flechas, nada más.</w:t>
      </w:r>
    </w:p>
    <w:p>
      <w:pPr>
        <w:pStyle w:val="Heading3"/>
      </w:pPr>
      <w:r>
        <w:t xml:space="preserve">Asigne cada elemento a su regla</w:t>
      </w:r>
    </w:p>
    <w:p>
      <w:pPr>
        <w:pStyle w:val="Normal"/>
      </w:pPr>
      <w:r>
        <w:t xml:space="preserve">Las variables con nombre son distinciones; las flechas con signo, relaciones.</w:t>
      </w:r>
    </w:p>
    <w:p>
      <w:pPr>
        <w:pStyle w:val="Heading3"/>
      </w:pPr>
      <w:r>
        <w:t xml:space="preserve">Descarte lo que no se dibuja</w:t>
      </w:r>
    </w:p>
    <w:p>
      <w:pPr>
        <w:pStyle w:val="Normal"/>
      </w:pPr>
      <w:r>
        <w:t xml:space="preserve">No hay contención ni ojos y puntos. La relación de sistemas queda implícita: «no se expresa explícitamente».</w:t>
      </w:r>
    </w:p>
    <w:p>
      <w:pPr>
        <w:pStyle w:val="Fuente"/>
      </w:pPr>
      <w:r>
        <w:t xml:space="preserve">Opciones descartadas: c), d).</w:t>
      </w:r>
    </w:p>
    <w:p>
      <w:pPr>
        <w:pStyle w:val="Normal"/>
      </w:pPr>
      <w:r>
        <w:t xml:space="preserve">a) Distinciones — Correcta: cada variable con su nombre es una distinción.</w:t>
      </w:r>
    </w:p>
    <w:p>
      <w:pPr>
        <w:pStyle w:val="Normal"/>
      </w:pPr>
      <w:r>
        <w:t xml:space="preserve">b) Relaciones — Correcta: cada flecha con su signo es una relación.</w:t>
      </w:r>
    </w:p>
    <w:p>
      <w:pPr>
        <w:pStyle w:val="Normal"/>
      </w:pPr>
      <w:r>
        <w:t xml:space="preserve">c) Sistemas — La contención existe, pero el profesor aclaró que «no se expresa explícitamente» en un diagrama causal.</w:t>
      </w:r>
    </w:p>
    <w:p>
      <w:pPr>
        <w:pStyle w:val="Normal"/>
      </w:pPr>
      <w:r>
        <w:t xml:space="preserve">d) Perspectivas — El diagrama causal no tiene ojos ni puntos: es justo la simbología que el mapa DSRP tiene y el causal no.</w:t>
      </w:r>
    </w:p>
    <w:p>
      <w:pPr>
        <w:pStyle w:val="Normal"/>
      </w:pPr>
      <w:r>
        <w:t xml:space="preserve">Criterio de resolución: En la clase 13 el profesor lo dijo directo: «si nos concentramos solamente en la parte de la regla de relaciones y [distinciones], podemos crear diagramas de ciclos causales». En la clase 14, comparando los dos mapas: «en un ciclo causal el énfasis solo está en las relaciones. Por eso […] básicamente vamos a usar las distinciones y las flechas para las relaciones».</w:t>
      </w:r>
    </w:p>
    <w:p>
      <w:pPr>
        <w:pStyle w:val="Normal"/>
      </w:pPr>
      <w:r>
        <w:t xml:space="preserve">Defensa: El profesor dijo en dos clases distintas que el diagrama de ciclos causales usa la regla de distinciones y la de relaciones, y que la de sistemas queda implícita sin expresarse.</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9C620A" w:sz="20"/>
              <w:bottom w:val="nil"/>
              <w:right w:val="nil"/>
            </w:tcBorders>
            <w:shd w:fill="FBF3DF" w:val="clear"/>
            <w:tcMar>
              <w:top w:type="dxa" w:w="130"/>
              <w:left w:type="dxa" w:w="180"/>
              <w:bottom w:type="dxa" w:w="130"/>
              <w:right w:type="dxa" w:w="180"/>
            </w:tcMar>
          </w:tcPr>
          <w:p>
            <w:pPr>
              <w:pStyle w:val="RecuadroTitulo"/>
            </w:pPr>
            <w:r>
              <w:rPr>
                <w:b/>
                <w:bCs/>
                <w:color w:val="9C620A"/>
              </w:rPr>
              <w:t xml:space="preserve">Advertencia y límites</w:t>
            </w:r>
          </w:p>
          <w:p>
            <w:pPr>
              <w:pStyle w:val="Recuadro"/>
            </w:pPr>
            <w:r>
              <w:t xml:space="preserve">La revisión confirmó a y b. La relación parte-todo que el profesor llamó implícita no cuenta: no se expresa en el diagrama.</w:t>
            </w:r>
          </w:p>
        </w:tc>
      </w:tr>
    </w:tbl>
    <w:p>
      <w:pPr>
        <w:pStyle w:val="Fuente"/>
      </w:pPr>
      <w:r>
        <w:t xml:space="preserve">Clase 13 · 00:37:21–00:37:47 · lámina c14-09 · Clase 14 · 00:53:30–00:54:53 · Clase 12 · 01:12:13–01:12:55</w:t>
      </w:r>
    </w:p>
    <w:p>
      <w:pPr>
        <w:pStyle w:val="Heading3"/>
      </w:pPr>
      <w:bookmarkStart w:name="b_pregunta_p2a_15_demoras_no_de_3c3ba90c" w:id="5535"/>
      <w:r>
        <w:t xml:space="preserve">3.15 · Unidad 3 · 3.7 · Las demoras de tiempo</w:t>
      </w:r>
      <w:bookmarkEnd w:id="5535"/>
    </w:p>
    <w:p>
      <w:pPr>
        <w:pStyle w:val="Normal"/>
      </w:pPr>
      <w:r>
        <w:t xml:space="preserve">Cuando un pensador sistémico reconoce el impacto de las demoras cuando esta explorando las relaciones causales de un sistema ¿Qué hace para no descartar ideas o soluciones potencialmente valiosas que pueden tardar en dar resultados?</w:t>
      </w:r>
    </w:p>
    <w:p>
      <w:pPr>
        <w:pStyle w:val="Fuente"/>
      </w:pPr>
      <w:r>
        <w:t xml:space="preserve">Ordinal de la fuente: 15.</w:t>
      </w:r>
    </w:p>
    <w:p>
      <w:pPr>
        <w:pStyle w:val="Fuente"/>
      </w:pPr>
      <w:r>
        <w:t xml:space="preserve">Revisión de plataforma: 5 puntos · Completada.</w:t>
      </w:r>
    </w:p>
    <w:p>
      <w:pPr>
        <w:pStyle w:val="Heading3"/>
      </w:pPr>
      <w:bookmarkStart w:name="b_solucion_p2a_15_demoras_no_de_7e165d06" w:id="5536"/>
      <w:r>
        <w:t xml:space="preserve">Solución 3.15</w:t>
      </w:r>
      <w:bookmarkEnd w:id="5536"/>
    </w:p>
    <w:p>
      <w:pPr>
        <w:pStyle w:val="RecuadroTitulo"/>
      </w:pPr>
      <w:r>
        <w:t xml:space="preserve">Respuesta modelo</w:t>
      </w:r>
    </w:p>
    <w:p>
      <w:pPr>
        <w:pStyle w:val="Normal"/>
      </w:pPr>
      <w:r>
        <w:t xml:space="preserve">No espera mejoras inmediatas: deja pasar el tiempo necesario entre la acción y la evaluación de sus resultados, porque la causa y el efecto a menudo no están cercanos en el tiempo.</w:t>
      </w:r>
    </w:p>
    <w:p>
      <w:pPr>
        <w:pStyle w:val="Normal"/>
      </w:pPr>
      <w:r>
        <w:t xml:space="preserve">Mientras tanto monitorea los resultados que se van obteniendo, toma los pequeños cambios como evidencia de que el efecto sí se está produciendo y hace pequeños ajustes en el camino antes de descartar una idea potencialmente valiosa. Por ejemplo, en la fusión de dos aerolíneas las ganancias pueden tardar meses o años, y cancelarla a los pocos meses sería descartarla antes de tiempo. También se pregunta cuánto tiempo pasará antes de ver los resultados deseados.</w:t>
      </w:r>
    </w:p>
    <w:p>
      <w:pPr>
        <w:pStyle w:val="Heading3"/>
      </w:pPr>
      <w:r>
        <w:t xml:space="preserve">Criterios para una respuesta completa</w:t>
      </w:r>
    </w:p>
    <w:p>
      <w:pPr>
        <w:pStyle w:val="Normal"/>
        <w:numPr>
          <w:ilvl w:val="0"/>
          <w:numId w:val="2"/>
        </w:numPr>
      </w:pPr>
      <w:r>
        <w:t xml:space="preserve">No exige resultados inmediatos: deja tiempo entre la acción y la evaluación.</w:t>
      </w:r>
    </w:p>
    <w:p>
      <w:pPr>
        <w:pStyle w:val="Normal"/>
        <w:numPr>
          <w:ilvl w:val="0"/>
          <w:numId w:val="2"/>
        </w:numPr>
      </w:pPr>
      <w:r>
        <w:t xml:space="preserve">Monitorea los resultados que se van obteniendo.</w:t>
      </w:r>
    </w:p>
    <w:p>
      <w:pPr>
        <w:pStyle w:val="Normal"/>
        <w:numPr>
          <w:ilvl w:val="0"/>
          <w:numId w:val="2"/>
        </w:numPr>
      </w:pPr>
      <w:r>
        <w:t xml:space="preserve">Hace pequeños ajustes antes de descartar la idea.</w:t>
      </w:r>
    </w:p>
    <w:p>
      <w:pPr>
        <w:pStyle w:val="Normal"/>
        <w:numPr>
          <w:ilvl w:val="0"/>
          <w:numId w:val="2"/>
        </w:numPr>
      </w:pPr>
      <w:r>
        <w:t xml:space="preserve">Lo ilustra con un ejemplo o explica que causa y efecto no están cercanos en el tiempo.</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9C620A" w:sz="20"/>
              <w:bottom w:val="nil"/>
              <w:right w:val="nil"/>
            </w:tcBorders>
            <w:shd w:fill="FBF3DF" w:val="clear"/>
            <w:tcMar>
              <w:top w:type="dxa" w:w="130"/>
              <w:left w:type="dxa" w:w="180"/>
              <w:bottom w:type="dxa" w:w="130"/>
              <w:right w:type="dxa" w:w="180"/>
            </w:tcMar>
          </w:tcPr>
          <w:p>
            <w:pPr>
              <w:pStyle w:val="RecuadroTitulo"/>
            </w:pPr>
            <w:r>
              <w:rPr>
                <w:b/>
                <w:bCs/>
                <w:color w:val="9C620A"/>
              </w:rPr>
              <w:t xml:space="preserve">Advertencia y límites</w:t>
            </w:r>
          </w:p>
          <w:p>
            <w:pPr>
              <w:pStyle w:val="Recuadro"/>
            </w:pPr>
            <w:r>
              <w:t xml:space="preserve">Responder sólo «tener paciencia»: el material pide además monitorear y ajustar mientras llega el efecto.</w:t>
            </w:r>
          </w:p>
        </w:tc>
      </w:tr>
    </w:tbl>
    <w:p>
      <w:pPr>
        <w:pStyle w:val="Fuente"/>
      </w:pPr>
      <w:r>
        <w:t xml:space="preserve">Material de la unidad 3, pág. 105 · lámina c16-11 · Clase 16 · 01:07:46–01:12:45 · lámina c15-17 · Clase 15 · 01:25:45–01:26:30</w:t>
      </w:r>
    </w:p>
    <w:p>
      <w:pPr>
        <w:pStyle w:val="Heading3"/>
      </w:pPr>
      <w:bookmarkStart w:name="b_pregunta_p2a_16_negativas_en__e58f2629" w:id="5537"/>
      <w:r>
        <w:t xml:space="preserve">3.16 · Unidad 3 · 3.5 · Refuerzo y compensación: círculos viciosos</w:t>
      </w:r>
      <w:bookmarkEnd w:id="5537"/>
    </w:p>
    <w:p>
      <w:pPr>
        <w:pStyle w:val="Normal"/>
      </w:pPr>
      <w:r>
        <w:t xml:space="preserve">En un círculo vicioso ¿cuántas relaciones entre dos variables puede haber con polaridad negativa?</w:t>
      </w:r>
    </w:p>
    <w:p>
      <w:pPr>
        <w:pStyle w:val="Fuente"/>
      </w:pPr>
      <w:r>
        <w:t xml:space="preserve">Ordinal de la fuente: 16.</w:t>
      </w:r>
    </w:p>
    <w:p>
      <w:pPr>
        <w:pStyle w:val="Fuente"/>
      </w:pPr>
      <w:r>
        <w:t xml:space="preserve">Revisión de plataforma: 2.5 puntos · Correcta.</w:t>
      </w:r>
    </w:p>
    <w:p>
      <w:pPr>
        <w:pStyle w:val="Normal"/>
      </w:pPr>
      <w:r>
        <w:t xml:space="preserve">a) Solo una</w:t>
      </w:r>
    </w:p>
    <w:p>
      <w:pPr>
        <w:pStyle w:val="Normal"/>
      </w:pPr>
      <w:r>
        <w:t xml:space="preserve">b) Un número par</w:t>
      </w:r>
    </w:p>
    <w:p>
      <w:pPr>
        <w:pStyle w:val="Normal"/>
      </w:pPr>
      <w:r>
        <w:t xml:space="preserve">c) Es indiferente</w:t>
      </w:r>
    </w:p>
    <w:p>
      <w:pPr>
        <w:pStyle w:val="Normal"/>
      </w:pPr>
      <w:r>
        <w:t xml:space="preserve">d) Un número impar</w:t>
      </w:r>
    </w:p>
    <w:p>
      <w:pPr>
        <w:pStyle w:val="Normal"/>
      </w:pPr>
      <w:r>
        <w:t xml:space="preserve">e) Ninguna</w:t>
      </w:r>
    </w:p>
    <w:p>
      <w:pPr>
        <w:pStyle w:val="Normal"/>
      </w:pPr>
      <w:r>
        <w:t xml:space="preserve">f) No se puede determinar</w:t>
      </w:r>
    </w:p>
    <w:p>
      <w:pPr>
        <w:pStyle w:val="Heading3"/>
      </w:pPr>
      <w:bookmarkStart w:name="b_solucion_p2a_16_negativas_en__84b20f42" w:id="5538"/>
      <w:r>
        <w:t xml:space="preserve">Solución 3.16</w:t>
      </w:r>
      <w:bookmarkEnd w:id="5538"/>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b) Un número par</w:t>
            </w:r>
          </w:p>
          <w:p>
            <w:pPr>
              <w:pStyle w:val="Recuadro"/>
            </w:pPr>
            <w:r>
              <w:t xml:space="preserve">e) Ninguna</w:t>
            </w:r>
          </w:p>
        </w:tc>
      </w:tr>
    </w:tbl>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Retroalimentación oficial de la plataforma</w:t>
            </w:r>
          </w:p>
          <w:p>
            <w:pPr>
              <w:pStyle w:val="Recuadro"/>
            </w:pPr>
            <w:r>
              <w:t xml:space="preserve">Las respuestas correctas son: Un número par, Ninguna</w:t>
            </w:r>
          </w:p>
        </w:tc>
      </w:tr>
    </w:tbl>
    <w:p>
      <w:pPr>
        <w:pStyle w:val="Heading3"/>
      </w:pPr>
      <w:r>
        <w:t xml:space="preserve">Clasifique el círculo vicioso</w:t>
      </w:r>
    </w:p>
    <w:p>
      <w:pPr>
        <w:pStyle w:val="Normal"/>
      </w:pPr>
      <w:r>
        <w:t xml:space="preserve">Vicioso y virtuoso son los dos ciclos de refuerzo: «la diferencia está en la valoración de sus consecuencias, no en su estructura básica».</w:t>
      </w:r>
    </w:p>
    <w:p>
      <w:pPr>
        <w:pStyle w:val="Heading3"/>
      </w:pPr>
      <w:r>
        <w:t xml:space="preserve">Aplique la regla del refuerzo</w:t>
      </w:r>
    </w:p>
    <w:p>
      <w:pPr>
        <w:pStyle w:val="Normal"/>
      </w:pPr>
      <w:r>
        <w:t xml:space="preserve">Refuerzo: ninguna negativa o un número par de ellas. Balance: un número impar.</w:t>
      </w:r>
    </w:p>
    <w:p>
      <w:pPr>
        <w:pStyle w:val="Fuente"/>
      </w:pPr>
      <w:r>
        <w:t xml:space="preserve">Opciones descartadas: a), d).</w:t>
      </w:r>
    </w:p>
    <w:p>
      <w:pPr>
        <w:pStyle w:val="Heading3"/>
      </w:pPr>
      <w:r>
        <w:t xml:space="preserve">Busque los dos casos en los ejemplos de clase</w:t>
      </w:r>
    </w:p>
    <w:p>
      <w:pPr>
        <w:pStyle w:val="Normal"/>
      </w:pPr>
      <w:r>
        <w:t xml:space="preserve">Clientes, comentarios y ventas no tienen negativas; el banco tiene cuatro. Los dos son círculos viciosos cuando amplifican lo desfavorable.</w:t>
      </w:r>
    </w:p>
    <w:p>
      <w:pPr>
        <w:pStyle w:val="Fuente"/>
      </w:pPr>
      <w:r>
        <w:t xml:space="preserve">Opciones descartadas: c), f).</w:t>
      </w:r>
    </w:p>
    <w:p>
      <w:pPr>
        <w:pStyle w:val="Normal"/>
      </w:pPr>
      <w:r>
        <w:t xml:space="preserve">a) Solo una — Con una sola negativa el ciclo es de balance, no de refuerzo: ya no sería un círculo vicioso.</w:t>
      </w:r>
    </w:p>
    <w:p>
      <w:pPr>
        <w:pStyle w:val="Normal"/>
      </w:pPr>
      <w:r>
        <w:t xml:space="preserve">b) Un número par — Correcta: el banco de la clase 16, con cuatro negativas, es el círculo vicioso de los bancos.</w:t>
      </w:r>
    </w:p>
    <w:p>
      <w:pPr>
        <w:pStyle w:val="Normal"/>
      </w:pPr>
      <w:r>
        <w:t xml:space="preserve">c) Es indiferente — Lo que es indiferente es si el ciclo es vicioso o virtuoso, porque depende de la valoración. El número de negativas no: debe ser cero o par.</w:t>
      </w:r>
    </w:p>
    <w:p>
      <w:pPr>
        <w:pStyle w:val="Normal"/>
      </w:pPr>
      <w:r>
        <w:t xml:space="preserve">d) Un número impar — Un número impar de negativas da un ciclo de balance.</w:t>
      </w:r>
    </w:p>
    <w:p>
      <w:pPr>
        <w:pStyle w:val="Normal"/>
      </w:pPr>
      <w:r>
        <w:t xml:space="preserve">e) Ninguna — Correcta: el modelo base de la lámina «Círculos virtuosos y círculos viciosos», con clientes, comentarios y ventas, tiene sus tres flechas en «+».</w:t>
      </w:r>
    </w:p>
    <w:p>
      <w:pPr>
        <w:pStyle w:val="Normal"/>
      </w:pPr>
      <w:r>
        <w:t xml:space="preserve">f) No se puede determinar — Sí se puede: con la regla del número par o impar.</w:t>
      </w:r>
    </w:p>
    <w:p>
      <w:pPr>
        <w:pStyle w:val="Normal"/>
      </w:pPr>
      <w:r>
        <w:t xml:space="preserve">Criterio de resolución: Un círculo vicioso es «un ciclo de refuerzo que amplifica resultados desfavorables», con la misma estructura que el virtuoso. Un ciclo de refuerzo tiene cero negativas o un número par de ellas: «si tenemos un número par de relaciones, sean dos, sean cuatro, sean seis, y los demás son solo relaciones positivas, lo que vamos a tener globalmente es un ciclo de refuerzo».</w:t>
      </w:r>
    </w:p>
    <w:p>
      <w:pPr>
        <w:pStyle w:val="Normal"/>
      </w:pPr>
      <w:r>
        <w:t xml:space="preserve">Defensa: La estructura de un círculo vicioso es la de un ciclo de refuerzo, y el profesor dio ejemplos con cero negativas y con cuatro: las dos respuestas posibles son ninguna y un número par.</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9C620A" w:sz="20"/>
              <w:bottom w:val="nil"/>
              <w:right w:val="nil"/>
            </w:tcBorders>
            <w:shd w:fill="FBF3DF" w:val="clear"/>
            <w:tcMar>
              <w:top w:type="dxa" w:w="130"/>
              <w:left w:type="dxa" w:w="180"/>
              <w:bottom w:type="dxa" w:w="130"/>
              <w:right w:type="dxa" w:w="180"/>
            </w:tcMar>
          </w:tcPr>
          <w:p>
            <w:pPr>
              <w:pStyle w:val="RecuadroTitulo"/>
            </w:pPr>
            <w:r>
              <w:rPr>
                <w:b/>
                <w:bCs/>
                <w:color w:val="9C620A"/>
              </w:rPr>
              <w:t xml:space="preserve">Advertencia y límites</w:t>
            </w:r>
          </w:p>
          <w:p>
            <w:pPr>
              <w:pStyle w:val="Recuadro"/>
            </w:pPr>
            <w:r>
              <w:t xml:space="preserve">La revisión confirmó b y e: la plataforma no da el cero por incluido en «un número par» y pide marcar «Ninguna» aparte, como el modelo base del profesor, que no tiene negativas.</w:t>
            </w:r>
          </w:p>
        </w:tc>
      </w:tr>
    </w:tbl>
    <w:p>
      <w:pPr>
        <w:pStyle w:val="Fuente"/>
      </w:pPr>
      <w:r>
        <w:t xml:space="preserve">Clase 14 · 01:36:24–01:36:46 · lámina c14-14 · Clase 14 · 01:26:29–01:30:10 · Clase 16 · 00:48:31–00:50:41 · Clase 15 · 01:12:10–01:12:26</w:t>
      </w:r>
    </w:p>
    <w:p>
      <w:pPr>
        <w:pStyle w:val="Heading3"/>
      </w:pPr>
      <w:bookmarkStart w:name="b_pregunta_p2a_17_crecimiento_urbano" w:id="5539"/>
      <w:r>
        <w:t xml:space="preserve">3.17 · Unidad 3 · 3.3 · Diagramas de ciclos causales: práctica</w:t>
      </w:r>
      <w:bookmarkEnd w:id="5539"/>
    </w:p>
    <w:p>
      <w:pPr>
        <w:pStyle w:val="Normal"/>
      </w:pPr>
      <w:r>
        <w:t xml:space="preserve">Considere la siguiente descripción dinámica de un sistema y realice un diagrama de ciclos causales Que modele este sistema. Grabe el diagrama y suba el archivo .pdf como respuesta de este tema. Identifique el diagrama con su nombre y carnet personal dentro del modelo como firma de realización personal. Mientras haya oportunidades de empleo en un núcleo urbano gente se ve atraída hacia el lugar. El crecimiento de la población, debido a la inmigración, tiende a producir un incremento en el volumen de negocios dentro del área. La expansión económica adicional crea oportunidades de empleo adicionales. Mientras dura el crecimiento económico, el crecimiento de la población tiende a producir un crecimiento de casas a ritmo elevado para poder acomodar a toda la población. Suponiendo que sólo se dispone de una extensión fija de terreno para uso comercial y de viviendas el incremento de casas y locales comerciales hace que disminuya el terreno para la posible expansión comercial del área. Conforme la falta de terreno comienza a dificultar el crecimiento, las oportunidades de empleo disminuyen. La disminución de oportunidades de empleo detiene la inmigración y el incremento de la población se frena.</w:t>
      </w:r>
    </w:p>
    <w:p>
      <w:pPr>
        <w:pStyle w:val="Fuente"/>
      </w:pPr>
      <w:r>
        <w:t xml:space="preserve">Ordinal de la fuente: 17.</w:t>
      </w:r>
    </w:p>
    <w:p>
      <w:pPr>
        <w:pStyle w:val="Fuente"/>
      </w:pPr>
      <w:r>
        <w:t xml:space="preserve">Revisión de plataforma: 20 puntos · Completada.</w:t>
      </w:r>
    </w:p>
    <w:p>
      <w:pPr>
        <w:pStyle w:val="Heading3"/>
      </w:pPr>
      <w:bookmarkStart w:name="b_solucion_p2a_17_crecimiento_urbano" w:id="5540"/>
      <w:r>
        <w:t xml:space="preserve">Solución 3.17</w:t>
      </w:r>
      <w:bookmarkEnd w:id="5540"/>
    </w:p>
    <w:p>
      <w:pPr>
        <w:pStyle w:val="RecuadroTitulo"/>
      </w:pPr>
      <w:r>
        <w:t xml:space="preserve">Respuesta modelo</w:t>
      </w:r>
    </w:p>
    <w:p>
      <w:pPr>
        <w:pStyle w:val="Normal"/>
      </w:pPr>
      <w:r>
        <w:t xml:space="preserve">Siete variables con nombre de cantidad: oportunidades de empleo, inmigración, población, volumen de negocios, viviendas, locales comerciales y terreno disponible. Se usa «terreno disponible» y no «falta de terreno», en sentido positivo.</w:t>
      </w:r>
    </w:p>
    <w:p>
      <w:pPr>
        <w:pStyle w:val="Normal"/>
      </w:pPr>
      <w:r>
        <w:t xml:space="preserve">Las flechas: de oportunidades a inmigración «+», de inmigración a población «+», de población a volumen de negocios «+», de volumen de negocios a oportunidades «+», de población a viviendas «+», de volumen de negocios a locales comerciales «+», de viviendas a terreno «−», de locales comerciales a terreno «−» y de terreno a oportunidades «+».</w:t>
      </w:r>
    </w:p>
    <w:p>
      <w:pPr>
        <w:pStyle w:val="Normal"/>
      </w:pPr>
      <w:r>
        <w:t xml:space="preserve">Tres ciclos: R1, el crecimiento, sin negativas; B1 por las viviendas y B2 por los locales comerciales, con una negativa cada uno. Al principio domina R1; al agotarse el terreno dominan B1 y B2 y el crecimiento se detiene: un crecimiento en S. Dentro del diagrama van dos notas: la firma, «Elaborado por: nombre · carné», y el supuesto de que la extensión de terreno es fija.</w:t>
      </w:r>
    </w:p>
    <w:p>
      <w:pPr>
        <w:keepNext/>
        <w:spacing w:after="40" w:before="150"/>
        <w:jc w:val="center"/>
      </w:pPr>
      <w:bookmarkStart w:name="b_figura_original_p2a_17_crecim_faed3ac4" w:id="5541"/>
      <w:bookmarkEnd w:id="5541"/>
      <w:r>
        <w:drawing>
          <wp:inline distT="0" distB="0" distL="0" distR="0">
            <wp:extent cx="5381625" cy="3810000"/>
            <wp:effectExtent t="0" r="0" b="0" l="0"/>
            <wp:docPr id="224" name="p2a-17-crecimiento-urbano-modelo" descr="Clase 16 · 01:16:24–01:16:59 · Clase 16 · 01:25:27–01:26:33 · Clase 16 · 01:28:58–01:29:33 · Clase 16 · 01:35:20–01:36:16 · Clase 15 · 01:15:17–01:16:15 · lectura L-10 pág. 11" title="Unidad 3 · 3.3 · Diagramas de ciclos causales: práct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8" cstate="none"/>
                    <a:srcRect/>
                    <a:stretch>
                      <a:fillRect/>
                    </a:stretch>
                  </pic:blipFill>
                  <pic:spPr bwMode="auto">
                    <a:xfrm>
                      <a:off x="0" y="0"/>
                      <a:ext cx="5381625" cy="3810000"/>
                    </a:xfrm>
                    <a:prstGeom prst="rect">
                      <a:avLst/>
                    </a:prstGeom>
                  </pic:spPr>
                </pic:pic>
              </a:graphicData>
            </a:graphic>
          </wp:inline>
        </w:drawing>
      </w:r>
    </w:p>
    <w:p>
      <w:pPr>
        <w:pStyle w:val="PieFigura"/>
        <w:keepNext/>
      </w:pPr>
      <w:bookmarkStart w:name="b_fig_V3_9" w:id="5542"/>
      <w:r>
        <w:t xml:space="preserve">Figura V3.</w:t>
      </w:r>
      <w:fldSimple w:instr="SEQ Figura \n \* ARABIC">
        <w:r>
          <w:t xml:space="preserve">9</w:t>
        </w:r>
      </w:fldSimple>
      <w:r>
        <w:t xml:space="preserve"> · Unidad 3 · 3.3 · Diagramas de ciclos causales: práctica</w:t>
      </w:r>
      <w:bookmarkEnd w:id="5542"/>
    </w:p>
    <w:p>
      <w:pPr>
        <w:pStyle w:val="LecturaFigura"/>
        <w:keepNext/>
      </w:pPr>
      <w:r>
        <w:rPr>
          <w:b/>
          <w:bCs/>
        </w:rPr>
        <w:t xml:space="preserve">Lectura del diagrama: </w:t>
      </w:r>
      <w:r>
        <w:t xml:space="preserve">1 ciclo de refuerzo y 2 de balance. El empleo atrae población y la población multiplica los negocios y el empleo: R1. Las viviendas y los locales comerciales gastan un terreno fijo, y sin terreno el empleo deja de crecer: B1 y B2 frenan el crecimiento.</w:t>
      </w:r>
    </w:p>
    <w:p>
      <w:pPr>
        <w:pStyle w:val="Fuente"/>
      </w:pPr>
      <w:r>
        <w:t xml:space="preserve">Clase 16 · 01:16:24–01:16:59 · Clase 16 · 01:25:27–01:26:33 · Clase 16 · 01:28:58–01:29:33 · Clase 16 · 01:35:20–01:36:16 · Clase 15 · 01:15:17–01:16:15 · lectura L-10 pág. 11</w:t>
      </w:r>
    </w:p>
    <w:p>
      <w:pPr>
        <w:pStyle w:val="Heading3"/>
      </w:pPr>
      <w:r>
        <w:t xml:space="preserve">Criterios para una respuesta completa</w:t>
      </w:r>
    </w:p>
    <w:p>
      <w:pPr>
        <w:pStyle w:val="Normal"/>
        <w:numPr>
          <w:ilvl w:val="0"/>
          <w:numId w:val="2"/>
        </w:numPr>
      </w:pPr>
      <w:r>
        <w:t xml:space="preserve">Usa sólo las variables de la historia, con nombre de cantidad y en sentido positivo.</w:t>
      </w:r>
    </w:p>
    <w:p>
      <w:pPr>
        <w:pStyle w:val="Normal"/>
        <w:numPr>
          <w:ilvl w:val="0"/>
          <w:numId w:val="2"/>
        </w:numPr>
      </w:pPr>
      <w:r>
        <w:t xml:space="preserve">Cada flecha tiene cabeza y su signo.</w:t>
      </w:r>
    </w:p>
    <w:p>
      <w:pPr>
        <w:pStyle w:val="Normal"/>
        <w:numPr>
          <w:ilvl w:val="0"/>
          <w:numId w:val="2"/>
        </w:numPr>
      </w:pPr>
      <w:r>
        <w:t xml:space="preserve">Identifica R1 y los dos ciclos de balance, con su marca al centro.</w:t>
      </w:r>
    </w:p>
    <w:p>
      <w:pPr>
        <w:pStyle w:val="Normal"/>
        <w:numPr>
          <w:ilvl w:val="0"/>
          <w:numId w:val="2"/>
        </w:numPr>
      </w:pPr>
      <w:r>
        <w:t xml:space="preserve">Leído por sus signos, el diagrama cuenta la misma historia.</w:t>
      </w:r>
    </w:p>
    <w:p>
      <w:pPr>
        <w:pStyle w:val="Normal"/>
        <w:numPr>
          <w:ilvl w:val="0"/>
          <w:numId w:val="2"/>
        </w:numPr>
      </w:pPr>
      <w:r>
        <w:t xml:space="preserve">Lleva dentro del modelo la firma pedida.</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9C620A" w:sz="20"/>
              <w:bottom w:val="nil"/>
              <w:right w:val="nil"/>
            </w:tcBorders>
            <w:shd w:fill="FBF3DF" w:val="clear"/>
            <w:tcMar>
              <w:top w:type="dxa" w:w="130"/>
              <w:left w:type="dxa" w:w="180"/>
              <w:bottom w:type="dxa" w:w="130"/>
              <w:right w:type="dxa" w:w="180"/>
            </w:tcMar>
          </w:tcPr>
          <w:p>
            <w:pPr>
              <w:pStyle w:val="RecuadroTitulo"/>
            </w:pPr>
            <w:r>
              <w:rPr>
                <w:b/>
                <w:bCs/>
                <w:color w:val="9C620A"/>
              </w:rPr>
              <w:t xml:space="preserve">Advertencia y límites</w:t>
            </w:r>
          </w:p>
          <w:p>
            <w:pPr>
              <w:pStyle w:val="Recuadro"/>
            </w:pPr>
            <w:r>
              <w:t xml:space="preserve">La firma que pide el enunciado queda genérica en la respuesta modelo: el portal no reproduce el nombre ni el carné de nadie. La respuesta modelo es el diagrama que el estudiante armó en Plectica, con la cabeza de flecha que le faltaba de locales comerciales a terreno disponible. Agregar variables o demoras que la historia no trae, u omitir la marca de cada ciclo, que fue el error más común en las tareas.</w:t>
            </w:r>
          </w:p>
        </w:tc>
      </w:tr>
    </w:tbl>
    <w:p>
      <w:pPr>
        <w:pStyle w:val="Fuente"/>
      </w:pPr>
      <w:r>
        <w:t xml:space="preserve">Clase 16 · 01:16:24–01:16:59 · Clase 16 · 01:25:27–01:26:33 · Clase 16 · 01:28:58–01:29:33 · Clase 16 · 01:35:20–01:36:16 · Clase 15 · 01:15:17–01:16:15 · lectura L-10 pág. 11</w:t>
      </w:r>
    </w:p>
    <w:p>
      <w:pPr>
        <w:pStyle w:val="Heading3"/>
      </w:pPr>
      <w:bookmarkStart w:name="b_pregunta_p2a_18_solucion_en_l_ab75be5d" w:id="5543"/>
      <w:r>
        <w:t xml:space="preserve">3.18 · Unidad 3 · 3.6 · La estructura genera el comportamiento</w:t>
      </w:r>
      <w:bookmarkEnd w:id="5543"/>
    </w:p>
    <w:p>
      <w:pPr>
        <w:pStyle w:val="Normal"/>
      </w:pPr>
      <w:r>
        <w:t xml:space="preserve">Dado que “los sistemas están perfectamente diseñados para producir los resultados que obtienen” ¿En donde busca un pensador sistémico la solución a los problemas del sistema?</w:t>
      </w:r>
    </w:p>
    <w:p>
      <w:pPr>
        <w:pStyle w:val="Fuente"/>
      </w:pPr>
      <w:r>
        <w:t xml:space="preserve">Ordinal de la fuente: 18.</w:t>
      </w:r>
    </w:p>
    <w:p>
      <w:pPr>
        <w:pStyle w:val="Fuente"/>
      </w:pPr>
      <w:r>
        <w:t xml:space="preserve">Revisión de plataforma: 5 puntos · Completada.</w:t>
      </w:r>
    </w:p>
    <w:p>
      <w:pPr>
        <w:pStyle w:val="Heading3"/>
      </w:pPr>
      <w:bookmarkStart w:name="b_solucion_p2a_18_solucion_en_l_d8b559df" w:id="5544"/>
      <w:r>
        <w:t xml:space="preserve">Solución 3.18</w:t>
      </w:r>
      <w:bookmarkEnd w:id="5544"/>
    </w:p>
    <w:p>
      <w:pPr>
        <w:pStyle w:val="RecuadroTitulo"/>
      </w:pPr>
      <w:r>
        <w:t xml:space="preserve">Respuesta modelo</w:t>
      </w:r>
    </w:p>
    <w:p>
      <w:pPr>
        <w:pStyle w:val="Normal"/>
      </w:pPr>
      <w:r>
        <w:t xml:space="preserve">En la estructura del sistema. Si un sistema produce justo los resultados que su diseño le permite, un problema no se explica por la culpa de una persona ni por factores externos, sino por cómo están organizadas sus partes y sus relaciones de causa y efecto, es decir, por sus ciclos de retroalimentación.</w:t>
      </w:r>
    </w:p>
    <w:p>
      <w:pPr>
        <w:pStyle w:val="Normal"/>
      </w:pPr>
      <w:r>
        <w:t xml:space="preserve">Por eso el pensador sistémico estudia esa estructura a fondo para encontrar de dónde viene el comportamiento no deseado, se centra en las causas internas en vez de buscar culpables y busca un punto de apalancamiento para cambiarla: si quiere que el sistema se comporte distinto, cambia su estructura, como en el caso de la empresa Acme.</w:t>
      </w:r>
    </w:p>
    <w:p>
      <w:pPr>
        <w:pStyle w:val="Heading3"/>
      </w:pPr>
      <w:r>
        <w:t xml:space="preserve">Criterios para una respuesta completa</w:t>
      </w:r>
    </w:p>
    <w:p>
      <w:pPr>
        <w:pStyle w:val="Normal"/>
        <w:numPr>
          <w:ilvl w:val="0"/>
          <w:numId w:val="2"/>
        </w:numPr>
      </w:pPr>
      <w:r>
        <w:t xml:space="preserve">Ubica la solución en la estructura del sistema: sus partes y relaciones causales.</w:t>
      </w:r>
    </w:p>
    <w:p>
      <w:pPr>
        <w:pStyle w:val="Normal"/>
        <w:numPr>
          <w:ilvl w:val="0"/>
          <w:numId w:val="2"/>
        </w:numPr>
      </w:pPr>
      <w:r>
        <w:t xml:space="preserve">Se centra en las causas internas, no en culpables ni en factores externos.</w:t>
      </w:r>
    </w:p>
    <w:p>
      <w:pPr>
        <w:pStyle w:val="Normal"/>
        <w:numPr>
          <w:ilvl w:val="0"/>
          <w:numId w:val="2"/>
        </w:numPr>
      </w:pPr>
      <w:r>
        <w:t xml:space="preserve">Propone cambiar la estructura, por ejemplo en un punto de apalancamiento.</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9C620A" w:sz="20"/>
              <w:bottom w:val="nil"/>
              <w:right w:val="nil"/>
            </w:tcBorders>
            <w:shd w:fill="FBF3DF" w:val="clear"/>
            <w:tcMar>
              <w:top w:type="dxa" w:w="130"/>
              <w:left w:type="dxa" w:w="180"/>
              <w:bottom w:type="dxa" w:w="130"/>
              <w:right w:type="dxa" w:w="180"/>
            </w:tcMar>
          </w:tcPr>
          <w:p>
            <w:pPr>
              <w:pStyle w:val="RecuadroTitulo"/>
            </w:pPr>
            <w:r>
              <w:rPr>
                <w:b/>
                <w:bCs/>
                <w:color w:val="9C620A"/>
              </w:rPr>
              <w:t xml:space="preserve">Advertencia y límites</w:t>
            </w:r>
          </w:p>
          <w:p>
            <w:pPr>
              <w:pStyle w:val="Recuadro"/>
            </w:pPr>
            <w:r>
              <w:t xml:space="preserve">Buscar al responsable del error: el profesor mostró con los ciclos de la culpa que esa búsqueda genera miedo, encubrimiento y más errores.</w:t>
            </w:r>
          </w:p>
        </w:tc>
      </w:tr>
    </w:tbl>
    <w:p>
      <w:pPr>
        <w:pStyle w:val="Fuente"/>
      </w:pPr>
      <w:r>
        <w:t xml:space="preserve">lámina c15-12 · Clase 15 · 00:56:29–00:58:20 · Material de la unidad 3, pág. 90 · lámina c15-09 · Clase 15 · 00:29:44–00:30:30 · láminas c16-04 y c16-05 · Clase 16 · 00:29:42–00:30:56</w:t>
      </w:r>
    </w:p>
    <w:p>
      <w:pPr>
        <w:pStyle w:val="Heading3"/>
      </w:pPr>
      <w:bookmarkStart w:name="b_pregunta_p2a_19_historia_ciclo_r2" w:id="5545"/>
      <w:r>
        <w:t xml:space="preserve">3.19 · Unidad 3 · 3.3 · Leer un diagrama de ciclos causales</w:t>
      </w:r>
      <w:bookmarkEnd w:id="5545"/>
    </w:p>
    <w:p>
      <w:pPr>
        <w:pStyle w:val="Normal"/>
      </w:pPr>
      <w:r>
        <w:t xml:space="preserve">Considere el siguiente diagrama de ciclos causales,. Suponiendo que la variable “Asignación para A y no para B” toma valores decrecientes ¿Cómo se lee la historia que cuenta el ciclo R2? Escríbala en términos de la polaridad de sus relaciones.</w:t>
      </w:r>
    </w:p>
    <w:p>
      <w:pPr>
        <w:pStyle w:val="Fuente"/>
      </w:pPr>
      <w:r>
        <w:t xml:space="preserve">Ordinal de la fuente: 19.</w:t>
      </w:r>
    </w:p>
    <w:p>
      <w:pPr>
        <w:pStyle w:val="Fuente"/>
      </w:pPr>
      <w:r>
        <w:t xml:space="preserve">Revisión de plataforma: 6 puntos · Completada.</w:t>
      </w:r>
    </w:p>
    <w:p>
      <w:pPr>
        <w:keepNext/>
        <w:spacing w:after="40" w:before="150"/>
        <w:jc w:val="center"/>
      </w:pPr>
      <w:bookmarkStart w:name="b_figura_original_p2a_19_histor_c7c4f463" w:id="5546"/>
      <w:bookmarkEnd w:id="5546"/>
      <w:r>
        <w:drawing>
          <wp:inline distT="0" distB="0" distL="0" distR="0">
            <wp:extent cx="5381625" cy="2895600"/>
            <wp:effectExtent t="0" r="0" b="0" l="0"/>
            <wp:docPr id="225" name="p2a-19-historia-ciclo-r2-enunciado" descr="Clase 16 · 00:43:19–00:44:06 · Clase 14 · 00:32:44–00:33:37 · Clase 15 · 01:10:37–01:11:25 · Clase 14 · 01:36:24–01:36:46" title="Unidad 3 · 3.3 · Leer un diagrama de ciclos causa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9" cstate="none"/>
                    <a:srcRect/>
                    <a:stretch>
                      <a:fillRect/>
                    </a:stretch>
                  </pic:blipFill>
                  <pic:spPr bwMode="auto">
                    <a:xfrm>
                      <a:off x="0" y="0"/>
                      <a:ext cx="5381625" cy="2895600"/>
                    </a:xfrm>
                    <a:prstGeom prst="rect">
                      <a:avLst/>
                    </a:prstGeom>
                  </pic:spPr>
                </pic:pic>
              </a:graphicData>
            </a:graphic>
          </wp:inline>
        </w:drawing>
      </w:r>
    </w:p>
    <w:p>
      <w:pPr>
        <w:pStyle w:val="PieFigura"/>
        <w:keepNext/>
      </w:pPr>
      <w:bookmarkStart w:name="b_fig_V3_10" w:id="5547"/>
      <w:r>
        <w:t xml:space="preserve">Figura V3.</w:t>
      </w:r>
      <w:fldSimple w:instr="SEQ Figura \n \* ARABIC">
        <w:r>
          <w:t xml:space="preserve">10</w:t>
        </w:r>
      </w:fldSimple>
      <w:r>
        <w:t xml:space="preserve"> · Unidad 3 · 3.3 · Leer un diagrama de ciclos causales</w:t>
      </w:r>
      <w:bookmarkEnd w:id="5547"/>
    </w:p>
    <w:p>
      <w:pPr>
        <w:pStyle w:val="Fuente"/>
      </w:pPr>
      <w:r>
        <w:t xml:space="preserve">Clase 16 · 00:43:19–00:44:06 · Clase 14 · 00:32:44–00:33:37 · Clase 15 · 01:10:37–01:11:25 · Clase 14 · 01:36:24–01:36:46</w:t>
      </w:r>
    </w:p>
    <w:p>
      <w:pPr>
        <w:pStyle w:val="Heading3"/>
      </w:pPr>
      <w:bookmarkStart w:name="b_solucion_p2a_19_historia_ciclo_r2" w:id="5548"/>
      <w:r>
        <w:t xml:space="preserve">Solución 3.19</w:t>
      </w:r>
      <w:bookmarkEnd w:id="5548"/>
    </w:p>
    <w:p>
      <w:pPr>
        <w:pStyle w:val="RecuadroTitulo"/>
      </w:pPr>
      <w:r>
        <w:t xml:space="preserve">Respuesta modelo</w:t>
      </w:r>
    </w:p>
    <w:p>
      <w:pPr>
        <w:pStyle w:val="Normal"/>
      </w:pPr>
      <w:r>
        <w:t xml:space="preserve">Si la asignación para A y no para B disminuye, los recursos para B aumentan, porque la relación es negativa: las variables cambian en sentido opuesto. A mayores recursos para B, mayor éxito de B, porque esa relación es positiva: cambian en el mismo sentido. Y a mayor éxito de B, menor asignación para A y no para B, otra relación negativa.</w:t>
      </w:r>
    </w:p>
    <w:p>
      <w:pPr>
        <w:pStyle w:val="Normal"/>
      </w:pPr>
      <w:r>
        <w:t xml:space="preserve">Así la asignación vuelve a disminuir y el ciclo se repite: R2 es un ciclo de refuerzo, porque sus dos relaciones negativas se anulan. Mientras la asignación siga bajando, B obtiene cada vez más recursos y más éxito: es un círculo virtuoso para B.</w:t>
      </w:r>
    </w:p>
    <w:p>
      <w:pPr>
        <w:keepNext/>
        <w:spacing w:after="40" w:before="150"/>
        <w:jc w:val="center"/>
      </w:pPr>
      <w:bookmarkStart w:name="b_figura_original_p2a_19_histor_7b2a1940" w:id="5549"/>
      <w:bookmarkEnd w:id="5549"/>
      <w:r>
        <w:drawing>
          <wp:inline distT="0" distB="0" distL="0" distR="0">
            <wp:extent cx="5381625" cy="2895600"/>
            <wp:effectExtent t="0" r="0" b="0" l="0"/>
            <wp:docPr id="226" name="p2a-19-historia-ciclo-r2-modelo" descr="Clase 16 · 00:43:19–00:44:06 · Clase 14 · 00:32:44–00:33:37 · Clase 15 · 01:10:37–01:11:25 · Clase 14 · 01:36:24–01:36:46" title="Unidad 3 · 3.3 · Leer un diagrama de ciclos causa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90" cstate="none"/>
                    <a:srcRect/>
                    <a:stretch>
                      <a:fillRect/>
                    </a:stretch>
                  </pic:blipFill>
                  <pic:spPr bwMode="auto">
                    <a:xfrm>
                      <a:off x="0" y="0"/>
                      <a:ext cx="5381625" cy="2895600"/>
                    </a:xfrm>
                    <a:prstGeom prst="rect">
                      <a:avLst/>
                    </a:prstGeom>
                  </pic:spPr>
                </pic:pic>
              </a:graphicData>
            </a:graphic>
          </wp:inline>
        </w:drawing>
      </w:r>
    </w:p>
    <w:p>
      <w:pPr>
        <w:pStyle w:val="PieFigura"/>
        <w:keepNext/>
      </w:pPr>
      <w:bookmarkStart w:name="b_fig_V3_11" w:id="5550"/>
      <w:r>
        <w:t xml:space="preserve">Figura V3.</w:t>
      </w:r>
      <w:fldSimple w:instr="SEQ Figura \n \* ARABIC">
        <w:r>
          <w:t xml:space="preserve">11</w:t>
        </w:r>
      </w:fldSimple>
      <w:r>
        <w:t xml:space="preserve"> · Unidad 3 · 3.3 · Leer un diagrama de ciclos causales</w:t>
      </w:r>
      <w:bookmarkEnd w:id="5550"/>
    </w:p>
    <w:p>
      <w:pPr>
        <w:pStyle w:val="LecturaFigura"/>
        <w:keepNext/>
      </w:pPr>
      <w:r>
        <w:rPr>
          <w:b/>
          <w:bCs/>
        </w:rPr>
        <w:t xml:space="preserve">Lectura del diagrama: </w:t>
      </w:r>
      <w:r>
        <w:t xml:space="preserve">2 ciclos de refuerzo y 0 de balance. Si la asignación para A y no para B baja, B recibe más recursos y tiene más éxito, y eso baja la asignación todavía más: R2 refuerza a B mientras R1 debilita a A.</w:t>
      </w:r>
    </w:p>
    <w:p>
      <w:pPr>
        <w:pStyle w:val="Fuente"/>
      </w:pPr>
      <w:r>
        <w:t xml:space="preserve">Clase 16 · 00:43:19–00:44:06 · Clase 14 · 00:32:44–00:33:37 · Clase 15 · 01:10:37–01:11:25 · Clase 14 · 01:36:24–01:36:46</w:t>
      </w:r>
    </w:p>
    <w:p>
      <w:pPr>
        <w:pStyle w:val="Heading3"/>
      </w:pPr>
      <w:r>
        <w:t xml:space="preserve">Criterios para una respuesta completa</w:t>
      </w:r>
    </w:p>
    <w:p>
      <w:pPr>
        <w:pStyle w:val="Normal"/>
        <w:numPr>
          <w:ilvl w:val="0"/>
          <w:numId w:val="2"/>
        </w:numPr>
      </w:pPr>
      <w:r>
        <w:t xml:space="preserve">Parte de la asignación que disminuye y recorre R2 en orden: asignación, recursos para B, éxito de B.</w:t>
      </w:r>
    </w:p>
    <w:p>
      <w:pPr>
        <w:pStyle w:val="Normal"/>
        <w:numPr>
          <w:ilvl w:val="0"/>
          <w:numId w:val="2"/>
        </w:numPr>
      </w:pPr>
      <w:r>
        <w:t xml:space="preserve">Dice la polaridad de cada relación: negativa, positiva y negativa.</w:t>
      </w:r>
    </w:p>
    <w:p>
      <w:pPr>
        <w:pStyle w:val="Normal"/>
        <w:numPr>
          <w:ilvl w:val="0"/>
          <w:numId w:val="2"/>
        </w:numPr>
      </w:pPr>
      <w:r>
        <w:t xml:space="preserve">Concluye que R2 es de refuerzo porque sus dos negativas se anulan y que B gana cada vez más.</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9C620A" w:sz="20"/>
              <w:bottom w:val="nil"/>
              <w:right w:val="nil"/>
            </w:tcBorders>
            <w:shd w:fill="FBF3DF" w:val="clear"/>
            <w:tcMar>
              <w:top w:type="dxa" w:w="130"/>
              <w:left w:type="dxa" w:w="180"/>
              <w:bottom w:type="dxa" w:w="130"/>
              <w:right w:type="dxa" w:w="180"/>
            </w:tcMar>
          </w:tcPr>
          <w:p>
            <w:pPr>
              <w:pStyle w:val="RecuadroTitulo"/>
            </w:pPr>
            <w:r>
              <w:rPr>
                <w:b/>
                <w:bCs/>
                <w:color w:val="9C620A"/>
              </w:rPr>
              <w:t xml:space="preserve">Advertencia y límites</w:t>
            </w:r>
          </w:p>
          <w:p>
            <w:pPr>
              <w:pStyle w:val="Recuadro"/>
            </w:pPr>
            <w:r>
              <w:t xml:space="preserve">«diagrama de ciclos causales,.» es grafía de la captura. El diagrama es el arquetipo conocido como «éxito para los exitosos»; el profesor anunció los arquetipos para más adelante en la clase 13. Leer «disminuye» y responder que todo baja: con dos relaciones negativas, lo que baja es la asignación y lo que sube es todo lo de B.</w:t>
            </w:r>
          </w:p>
        </w:tc>
      </w:tr>
    </w:tbl>
    <w:p>
      <w:pPr>
        <w:pStyle w:val="Fuente"/>
      </w:pPr>
      <w:r>
        <w:t xml:space="preserve">Clase 16 · 00:43:19–00:44:06 · Clase 14 · 00:32:44–00:33:37 · Clase 15 · 01:10:37–01:11:25 · Clase 14 · 01:36:24–01:36:46</w:t>
      </w:r>
    </w:p>
    <w:p>
      <w:pPr>
        <w:pStyle w:val="Heading3"/>
      </w:pPr>
      <w:bookmarkStart w:name="b_pregunta_p2a_20_patron_de_com_7014740b" w:id="5551"/>
      <w:r>
        <w:t xml:space="preserve">3.20 · Unidad 3 · 3.8 · Patrones de comportamiento</w:t>
      </w:r>
      <w:bookmarkEnd w:id="5551"/>
    </w:p>
    <w:p>
      <w:pPr>
        <w:pStyle w:val="Normal"/>
      </w:pPr>
      <w:r>
        <w:t xml:space="preserve">¿Qué tipo de retroalimentación representa el siguiente patrón de comportamiento?</w:t>
      </w:r>
    </w:p>
    <w:p>
      <w:pPr>
        <w:pStyle w:val="Fuente"/>
      </w:pPr>
      <w:r>
        <w:t xml:space="preserve">Ordinal de la fuente: 20.</w:t>
      </w:r>
    </w:p>
    <w:p>
      <w:pPr>
        <w:pStyle w:val="Fuente"/>
      </w:pPr>
      <w:r>
        <w:t xml:space="preserve">Revisión de plataforma: 2.5 puntos · Correcta.</w:t>
      </w:r>
    </w:p>
    <w:p>
      <w:pPr>
        <w:keepNext/>
        <w:spacing w:after="40" w:before="150"/>
        <w:jc w:val="center"/>
      </w:pPr>
      <w:bookmarkStart w:name="b_figura_original_p2a_20_patron_5afb5581" w:id="5552"/>
      <w:bookmarkEnd w:id="5552"/>
      <w:r>
        <w:drawing>
          <wp:inline distT="0" distB="0" distL="0" distR="0">
            <wp:extent cx="5381625" cy="3009900"/>
            <wp:effectExtent t="0" r="0" b="0" l="0"/>
            <wp:docPr id="227" name="p2a-20-patron-de-comportamiento-enunciado" descr="lectura L-10 págs. 6–8 · Clase 16 · 01:37:54–01:39:15 · Clase 16 · 00:50:31–00:50:41" title="Unidad 3 · 3.8 · Patrones de comportamien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91" cstate="none"/>
                    <a:srcRect/>
                    <a:stretch>
                      <a:fillRect/>
                    </a:stretch>
                  </pic:blipFill>
                  <pic:spPr bwMode="auto">
                    <a:xfrm>
                      <a:off x="0" y="0"/>
                      <a:ext cx="5381625" cy="3009900"/>
                    </a:xfrm>
                    <a:prstGeom prst="rect">
                      <a:avLst/>
                    </a:prstGeom>
                  </pic:spPr>
                </pic:pic>
              </a:graphicData>
            </a:graphic>
          </wp:inline>
        </w:drawing>
      </w:r>
    </w:p>
    <w:p>
      <w:pPr>
        <w:pStyle w:val="PieFigura"/>
        <w:keepNext/>
      </w:pPr>
      <w:bookmarkStart w:name="b_fig_V3_12" w:id="5553"/>
      <w:r>
        <w:t xml:space="preserve">Figura V3.</w:t>
      </w:r>
      <w:fldSimple w:instr="SEQ Figura \n \* ARABIC">
        <w:r>
          <w:t xml:space="preserve">12</w:t>
        </w:r>
      </w:fldSimple>
      <w:r>
        <w:t xml:space="preserve"> · Unidad 3 · 3.8 · Patrones de comportamiento</w:t>
      </w:r>
      <w:bookmarkEnd w:id="5553"/>
    </w:p>
    <w:p>
      <w:pPr>
        <w:pStyle w:val="Fuente"/>
      </w:pPr>
      <w:r>
        <w:t xml:space="preserve">lectura L-10 págs. 6–8 · Clase 16 · 01:37:54–01:39:15 · Clase 16 · 00:50:31–00:50:41</w:t>
      </w:r>
    </w:p>
    <w:p>
      <w:pPr>
        <w:pStyle w:val="Normal"/>
      </w:pPr>
      <w:r>
        <w:t xml:space="preserve">a) Balance</w:t>
      </w:r>
    </w:p>
    <w:p>
      <w:pPr>
        <w:pStyle w:val="Normal"/>
      </w:pPr>
      <w:r>
        <w:t xml:space="preserve">b) Ciclo virtuoso</w:t>
      </w:r>
    </w:p>
    <w:p>
      <w:pPr>
        <w:pStyle w:val="Normal"/>
      </w:pPr>
      <w:r>
        <w:t xml:space="preserve">c) Refuerzo</w:t>
      </w:r>
    </w:p>
    <w:p>
      <w:pPr>
        <w:pStyle w:val="Normal"/>
      </w:pPr>
      <w:r>
        <w:t xml:space="preserve">d) Ciclo vicioso</w:t>
      </w:r>
    </w:p>
    <w:p>
      <w:pPr>
        <w:pStyle w:val="Heading3"/>
      </w:pPr>
      <w:bookmarkStart w:name="b_solucion_p2a_20_patron_de_com_f489e08b" w:id="5554"/>
      <w:r>
        <w:t xml:space="preserve">Solución 3.20</w:t>
      </w:r>
      <w:bookmarkEnd w:id="5554"/>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a) Balance</w:t>
            </w:r>
          </w:p>
        </w:tc>
      </w:tr>
    </w:tbl>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Retroalimentación oficial de la plataforma</w:t>
            </w:r>
          </w:p>
          <w:p>
            <w:pPr>
              <w:pStyle w:val="Recuadro"/>
            </w:pPr>
            <w:r>
              <w:t xml:space="preserve">La respuesta correcta es: Balance</w:t>
            </w:r>
          </w:p>
        </w:tc>
      </w:tr>
    </w:tbl>
    <w:p>
      <w:pPr>
        <w:pStyle w:val="Heading3"/>
      </w:pPr>
      <w:r>
        <w:t xml:space="preserve">Lea la forma de la curva</w:t>
      </w:r>
    </w:p>
    <w:p>
      <w:pPr>
        <w:pStyle w:val="Normal"/>
      </w:pPr>
      <w:r>
        <w:t xml:space="preserve">Sube rápido al principio, cada vez más despacio, y se queda en un valor: se acerca a un límite.</w:t>
      </w:r>
    </w:p>
    <w:p>
      <w:pPr>
        <w:pStyle w:val="Heading3"/>
      </w:pPr>
      <w:r>
        <w:t xml:space="preserve">Asocie la forma al tipo de ciclo</w:t>
      </w:r>
    </w:p>
    <w:p>
      <w:pPr>
        <w:pStyle w:val="Normal"/>
      </w:pPr>
      <w:r>
        <w:t xml:space="preserve">Balance: exponencial acotado, busca un objetivo. Refuerzo: exponencial no acotado, la curva se empina cada vez más.</w:t>
      </w:r>
    </w:p>
    <w:p>
      <w:pPr>
        <w:pStyle w:val="Fuente"/>
      </w:pPr>
      <w:r>
        <w:t xml:space="preserve">Opciones descartadas: c).</w:t>
      </w:r>
    </w:p>
    <w:p>
      <w:pPr>
        <w:pStyle w:val="Heading3"/>
      </w:pPr>
      <w:r>
        <w:t xml:space="preserve">Recuerde qué son virtuoso y vicioso</w:t>
      </w:r>
    </w:p>
    <w:p>
      <w:pPr>
        <w:pStyle w:val="Normal"/>
      </w:pPr>
      <w:r>
        <w:t xml:space="preserve">«Dentro de los de refuerzo están los viciosos y los virtuosos»: si no es refuerzo, tampoco es ninguno de ellos.</w:t>
      </w:r>
    </w:p>
    <w:p>
      <w:pPr>
        <w:pStyle w:val="Fuente"/>
      </w:pPr>
      <w:r>
        <w:t xml:space="preserve">Opciones descartadas: b), d).</w:t>
      </w:r>
    </w:p>
    <w:p>
      <w:pPr>
        <w:pStyle w:val="Normal"/>
      </w:pPr>
      <w:r>
        <w:t xml:space="preserve">a) Balance — Correcta: la curva crece, se frena y se estabiliza en un límite: exponencial acotado, el patrón de un ciclo de balance.</w:t>
      </w:r>
    </w:p>
    <w:p>
      <w:pPr>
        <w:pStyle w:val="Normal"/>
      </w:pPr>
      <w:r>
        <w:t xml:space="preserve">b) Ciclo virtuoso — Virtuoso es un ciclo de refuerzo: su curva no se aplana.</w:t>
      </w:r>
    </w:p>
    <w:p>
      <w:pPr>
        <w:pStyle w:val="Normal"/>
      </w:pPr>
      <w:r>
        <w:t xml:space="preserve">c) Refuerzo — El refuerzo es exponencial no acotado: «nada lo detiene si no hubiera otro ciclo».</w:t>
      </w:r>
    </w:p>
    <w:p>
      <w:pPr>
        <w:pStyle w:val="Normal"/>
      </w:pPr>
      <w:r>
        <w:t xml:space="preserve">d) Ciclo vicioso — Vicioso también es un ciclo de refuerzo.</w:t>
      </w:r>
    </w:p>
    <w:p>
      <w:pPr>
        <w:pStyle w:val="Normal"/>
      </w:pPr>
      <w:r>
        <w:t xml:space="preserve">Criterio de resolución: La gráfica es la del depósito de agua de la lectura L-10, cuyo diagrama causal tiene un «−» al centro. En la clase 16 el profesor dijo que en los ciclos de compensación el patrón es «exponencial, acotado»: «la variable crece, crece, crece hasta cierto límite […] y no pasa de ahí».</w:t>
      </w:r>
    </w:p>
    <w:p>
      <w:pPr>
        <w:pStyle w:val="Normal"/>
      </w:pPr>
      <w:r>
        <w:t xml:space="preserve">Defensa: La curva es la del modelo del depósito de L-10, un sistema de realimentación negativa «determinado por un objetivo», y el profesor asoció el exponencial acotado a los ciclos de compensación.</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9C620A" w:sz="20"/>
              <w:bottom w:val="nil"/>
              <w:right w:val="nil"/>
            </w:tcBorders>
            <w:shd w:fill="FBF3DF" w:val="clear"/>
            <w:tcMar>
              <w:top w:type="dxa" w:w="130"/>
              <w:left w:type="dxa" w:w="180"/>
              <w:bottom w:type="dxa" w:w="130"/>
              <w:right w:type="dxa" w:w="180"/>
            </w:tcMar>
          </w:tcPr>
          <w:p>
            <w:pPr>
              <w:pStyle w:val="RecuadroTitulo"/>
            </w:pPr>
            <w:r>
              <w:rPr>
                <w:b/>
                <w:bCs/>
                <w:color w:val="9C620A"/>
              </w:rPr>
              <w:t xml:space="preserve">Advertencia y límites</w:t>
            </w:r>
          </w:p>
          <w:p>
            <w:pPr>
              <w:pStyle w:val="Recuadro"/>
            </w:pPr>
            <w:r>
              <w:t xml:space="preserve">La plataforma mostraba la gráfica sin rótulos, con el tiempo en minutos de 0 a 60; el portal la redibuja con la misma forma.</w:t>
            </w:r>
          </w:p>
        </w:tc>
      </w:tr>
    </w:tbl>
    <w:p>
      <w:pPr>
        <w:pStyle w:val="Fuente"/>
      </w:pPr>
      <w:r>
        <w:t xml:space="preserve">lectura L-10 págs. 6–8 · Clase 16 · 01:37:54–01:39:15 · Clase 16 · 00:50:31–00:50:41</w:t>
      </w:r>
    </w:p>
    <w:p>
      <w:pPr>
        <w:pStyle w:val="Heading3"/>
      </w:pPr>
      <w:bookmarkStart w:name="b_pregunta_p2a_21_polaridad_positiva_x_z" w:id="5555"/>
      <w:r>
        <w:t xml:space="preserve">3.21 · Unidad 3 · 3.3 · Polaridad de las relaciones causales</w:t>
      </w:r>
      <w:bookmarkEnd w:id="5555"/>
    </w:p>
    <w:p>
      <w:pPr>
        <w:pStyle w:val="Normal"/>
      </w:pPr>
      <w:r>
        <w:t xml:space="preserve">Cuando la polaridad de una relación entre dos variables X y Z es de refuerzo (+) en un diagrama de ciclos causales se significa que ….</w:t>
      </w:r>
    </w:p>
    <w:p>
      <w:pPr>
        <w:pStyle w:val="Fuente"/>
      </w:pPr>
      <w:r>
        <w:t xml:space="preserve">Ordinal de la fuente: 21.</w:t>
      </w:r>
    </w:p>
    <w:p>
      <w:pPr>
        <w:pStyle w:val="Fuente"/>
      </w:pPr>
      <w:r>
        <w:t xml:space="preserve">Revisión de plataforma: 2.5 puntos · Correcta.</w:t>
      </w:r>
    </w:p>
    <w:p>
      <w:pPr>
        <w:pStyle w:val="Normal"/>
      </w:pPr>
      <w:r>
        <w:t xml:space="preserve">a) Si X decrece entonces Z decrece</w:t>
      </w:r>
    </w:p>
    <w:p>
      <w:pPr>
        <w:pStyle w:val="Normal"/>
      </w:pPr>
      <w:r>
        <w:t xml:space="preserve">b) Si X crece entonces Z crece</w:t>
      </w:r>
    </w:p>
    <w:p>
      <w:pPr>
        <w:pStyle w:val="Normal"/>
      </w:pPr>
      <w:r>
        <w:t xml:space="preserve">c) Si X decrece entonces Z crece</w:t>
      </w:r>
    </w:p>
    <w:p>
      <w:pPr>
        <w:pStyle w:val="Normal"/>
      </w:pPr>
      <w:r>
        <w:t xml:space="preserve">d) Si X crece entonces Z decrece</w:t>
      </w:r>
    </w:p>
    <w:p>
      <w:pPr>
        <w:pStyle w:val="Heading3"/>
      </w:pPr>
      <w:bookmarkStart w:name="b_solucion_p2a_21_polaridad_positiva_x_z" w:id="5556"/>
      <w:r>
        <w:t xml:space="preserve">Solución 3.21</w:t>
      </w:r>
      <w:bookmarkEnd w:id="5556"/>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a) Si X decrece entonces Z decrece</w:t>
            </w:r>
          </w:p>
          <w:p>
            <w:pPr>
              <w:pStyle w:val="Recuadro"/>
            </w:pPr>
            <w:r>
              <w:t xml:space="preserve">b) Si X crece entonces Z crece</w:t>
            </w:r>
          </w:p>
        </w:tc>
      </w:tr>
    </w:tbl>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Retroalimentación oficial de la plataforma</w:t>
            </w:r>
          </w:p>
          <w:p>
            <w:pPr>
              <w:pStyle w:val="Recuadro"/>
            </w:pPr>
            <w:r>
              <w:t xml:space="preserve">Las respuestas correctas son: Si X crece entonces Z crece, Si X decrece entonces Z decrece</w:t>
            </w:r>
          </w:p>
        </w:tc>
      </w:tr>
    </w:tbl>
    <w:p>
      <w:pPr>
        <w:pStyle w:val="Heading3"/>
      </w:pPr>
      <w:r>
        <w:t xml:space="preserve">Recuerde qué afirma el signo +</w:t>
      </w:r>
    </w:p>
    <w:p>
      <w:pPr>
        <w:pStyle w:val="Normal"/>
      </w:pPr>
      <w:r>
        <w:t xml:space="preserve">Que causa y efecto se mueven en el mismo sentido, sea creciendo o decreciendo.</w:t>
      </w:r>
    </w:p>
    <w:p>
      <w:pPr>
        <w:pStyle w:val="Heading3"/>
      </w:pPr>
      <w:r>
        <w:t xml:space="preserve">Marque los dos casos</w:t>
      </w:r>
    </w:p>
    <w:p>
      <w:pPr>
        <w:pStyle w:val="Normal"/>
      </w:pPr>
      <w:r>
        <w:t xml:space="preserve">Crecen juntas y decrecen juntas: las dos opciones son la misma relación.</w:t>
      </w:r>
    </w:p>
    <w:p>
      <w:pPr>
        <w:pStyle w:val="Heading3"/>
      </w:pPr>
      <w:r>
        <w:t xml:space="preserve">Descarte el sentido opuesto</w:t>
      </w:r>
    </w:p>
    <w:p>
      <w:pPr>
        <w:pStyle w:val="Normal"/>
      </w:pPr>
      <w:r>
        <w:t xml:space="preserve">Una que crece mientras la otra decrece es la relación negativa.</w:t>
      </w:r>
    </w:p>
    <w:p>
      <w:pPr>
        <w:pStyle w:val="Fuente"/>
      </w:pPr>
      <w:r>
        <w:t xml:space="preserve">Opciones descartadas: c), d).</w:t>
      </w:r>
    </w:p>
    <w:p>
      <w:pPr>
        <w:pStyle w:val="Normal"/>
      </w:pPr>
      <w:r>
        <w:t xml:space="preserve">a) Si X decrece entonces Z decrece — Correcta: «si uno disminuye la otra disminuye, entonces usamos un signo más».</w:t>
      </w:r>
    </w:p>
    <w:p>
      <w:pPr>
        <w:pStyle w:val="Normal"/>
      </w:pPr>
      <w:r>
        <w:t xml:space="preserve">b) Si X crece entonces Z crece — Correcta: «si uno aumenta, el otro aumenta».</w:t>
      </w:r>
    </w:p>
    <w:p>
      <w:pPr>
        <w:pStyle w:val="Normal"/>
      </w:pPr>
      <w:r>
        <w:t xml:space="preserve">c) Si X decrece entonces Z crece — Sentido opuesto: es la relación negativa.</w:t>
      </w:r>
    </w:p>
    <w:p>
      <w:pPr>
        <w:pStyle w:val="Normal"/>
      </w:pPr>
      <w:r>
        <w:t xml:space="preserve">d) Si X crece entonces Z decrece — Sentido opuesto: también es la relación negativa.</w:t>
      </w:r>
    </w:p>
    <w:p>
      <w:pPr>
        <w:pStyle w:val="Normal"/>
      </w:pPr>
      <w:r>
        <w:t xml:space="preserve">Criterio de resolución: La lámina «Notación de los vínculos causales» define el vínculo positivo con dos casos: si la causa incrementa, el efecto incrementa, y si la causa decrece, el efecto decrece. El profesor lo dijo igual en la clase 14, y en la clase 15 lo resumió: el más se pone cuando causa y efecto van «hacia el mismo sentido o crecen o decrecen».</w:t>
      </w:r>
    </w:p>
    <w:p>
      <w:pPr>
        <w:pStyle w:val="Normal"/>
      </w:pPr>
      <w:r>
        <w:t xml:space="preserve">Defensa: La definición de la lámina y la de la clase incluyen los dos casos del mismo sentido; marcar sólo «crece y crece» deja fuera la mitad de la definición.</w:t>
      </w:r>
    </w:p>
    <w:p>
      <w:pPr>
        <w:pStyle w:val="Fuente"/>
      </w:pPr>
      <w:r>
        <w:t xml:space="preserve">lámina c14-12 · Clase 14 · 00:32:44–00:33:01 · Clase 15 · 00:19:01–00:19:23</w:t>
      </w:r>
    </w:p>
    <w:p>
      <w:pPr>
        <w:pStyle w:val="Heading3"/>
      </w:pPr>
      <w:bookmarkStart w:name="b_pregunta_p2a_22_desconfianza__6710bc52" w:id="5557"/>
      <w:r>
        <w:t xml:space="preserve">3.22 · Unidad 3 · 3.5 · Retroalimentación y proalimentación</w:t>
      </w:r>
      <w:bookmarkEnd w:id="5557"/>
    </w:p>
    <w:p>
      <w:pPr>
        <w:pStyle w:val="Normal"/>
      </w:pPr>
      <w:r>
        <w:t xml:space="preserve">¿Qué ciclo de retroalimentación describe la siguiente historia? "La desconfianza mutua entre dos naciones genera más probabilidades de que haya mal entendidos y, después, las personas implicadas se sentirán con derecho a tomarse la revancha, si nada lo frena, estas acciones pueden llevar a una escalada de violencia y hostilidad mutua que puede desembocar en una guerra."</w:t>
      </w:r>
    </w:p>
    <w:p>
      <w:pPr>
        <w:pStyle w:val="Fuente"/>
      </w:pPr>
      <w:r>
        <w:t xml:space="preserve">Ordinal de la fuente: 22.</w:t>
      </w:r>
    </w:p>
    <w:p>
      <w:pPr>
        <w:pStyle w:val="Fuente"/>
      </w:pPr>
      <w:r>
        <w:t xml:space="preserve">Revisión de plataforma: 2.5 puntos · Correcta.</w:t>
      </w:r>
    </w:p>
    <w:p>
      <w:pPr>
        <w:pStyle w:val="Normal"/>
      </w:pPr>
      <w:r>
        <w:t xml:space="preserve">a) Retroalimentación de compensación</w:t>
      </w:r>
    </w:p>
    <w:p>
      <w:pPr>
        <w:pStyle w:val="Normal"/>
      </w:pPr>
      <w:r>
        <w:t xml:space="preserve">b) Pro – alimentación de compensación</w:t>
      </w:r>
    </w:p>
    <w:p>
      <w:pPr>
        <w:pStyle w:val="Normal"/>
      </w:pPr>
      <w:r>
        <w:t xml:space="preserve">c) Retroalimentación de refuerzo o Pro-alimentación de compensación</w:t>
      </w:r>
    </w:p>
    <w:p>
      <w:pPr>
        <w:pStyle w:val="Normal"/>
      </w:pPr>
      <w:r>
        <w:t xml:space="preserve">d) Pro - alimentación de refuerzo</w:t>
      </w:r>
    </w:p>
    <w:p>
      <w:pPr>
        <w:pStyle w:val="Heading3"/>
      </w:pPr>
      <w:bookmarkStart w:name="b_solucion_p2a_22_desconfianza__e70d0bc9" w:id="5558"/>
      <w:r>
        <w:t xml:space="preserve">Solución 3.22</w:t>
      </w:r>
      <w:bookmarkEnd w:id="5558"/>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c) Retroalimentación de refuerzo o Pro-alimentación de compensación</w:t>
            </w:r>
          </w:p>
        </w:tc>
      </w:tr>
    </w:tbl>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Retroalimentación oficial de la plataforma</w:t>
            </w:r>
          </w:p>
          <w:p>
            <w:pPr>
              <w:pStyle w:val="Recuadro"/>
            </w:pPr>
            <w:r>
              <w:t xml:space="preserve">La respuesta correcta es: Retroalimentación de refuerzo o Pro-alimentación de compensación</w:t>
            </w:r>
          </w:p>
        </w:tc>
      </w:tr>
    </w:tbl>
    <w:p>
      <w:pPr>
        <w:pStyle w:val="Heading3"/>
      </w:pPr>
      <w:r>
        <w:t xml:space="preserve">Clasifique el ciclo</w:t>
      </w:r>
    </w:p>
    <w:p>
      <w:pPr>
        <w:pStyle w:val="Normal"/>
      </w:pPr>
      <w:r>
        <w:t xml:space="preserve">Desconfianza, malentendidos, revancha y más desconfianza: la historia escala sin freno. Es refuerzo, como dice la lectura.</w:t>
      </w:r>
    </w:p>
    <w:p>
      <w:pPr>
        <w:pStyle w:val="Fuente"/>
      </w:pPr>
      <w:r>
        <w:t xml:space="preserve">Opciones descartadas: a).</w:t>
      </w:r>
    </w:p>
    <w:p>
      <w:pPr>
        <w:pStyle w:val="Heading3"/>
      </w:pPr>
      <w:r>
        <w:t xml:space="preserve">Clasifique la anticipación</w:t>
      </w:r>
    </w:p>
    <w:p>
      <w:pPr>
        <w:pStyle w:val="Normal"/>
      </w:pPr>
      <w:r>
        <w:t xml:space="preserve">La desconfianza es esperar que el otro actúe en contra, y esa espera produce justo lo temido. En el material, eso es proalimentación de compensación: «las predicciones que se cumplen».</w:t>
      </w:r>
    </w:p>
    <w:p>
      <w:pPr>
        <w:pStyle w:val="Heading3"/>
      </w:pPr>
      <w:r>
        <w:t xml:space="preserve">No caiga en el nombre intuitivo</w:t>
      </w:r>
    </w:p>
    <w:p>
      <w:pPr>
        <w:pStyle w:val="Normal"/>
      </w:pPr>
      <w:r>
        <w:t xml:space="preserve">Los nombres van al revés de lo que parece: la de refuerzo es la profecía contraproducente, como el atleta al que le predicen que perderá y gana.</w:t>
      </w:r>
    </w:p>
    <w:p>
      <w:pPr>
        <w:pStyle w:val="Fuente"/>
      </w:pPr>
      <w:r>
        <w:t xml:space="preserve">Opciones descartadas: d).</w:t>
      </w:r>
    </w:p>
    <w:p>
      <w:pPr>
        <w:pStyle w:val="Normal"/>
      </w:pPr>
      <w:r>
        <w:t xml:space="preserve">a) Retroalimentación de compensación — La historia escala «si nada lo frena»: no busca un equilibrio.</w:t>
      </w:r>
    </w:p>
    <w:p>
      <w:pPr>
        <w:pStyle w:val="Normal"/>
      </w:pPr>
      <w:r>
        <w:t xml:space="preserve">b) Pro – alimentación de compensación — Es sólo la mitad: le falta lo que la lectura dice explícitamente, que es un bucle de refuerzo.</w:t>
      </w:r>
    </w:p>
    <w:p>
      <w:pPr>
        <w:pStyle w:val="Normal"/>
      </w:pPr>
      <w:r>
        <w:t xml:space="preserve">c) Retroalimentación de refuerzo o Pro-alimentación de compensación — Correcta: como ciclo es de refuerzo, y como anticipación que se cumple es proalimentación de compensación.</w:t>
      </w:r>
    </w:p>
    <w:p>
      <w:pPr>
        <w:pStyle w:val="Normal"/>
      </w:pPr>
      <w:r>
        <w:t xml:space="preserve">d) Pro - alimentación de refuerzo — Es la trampa: la proalimentación de refuerzo es la profecía contraproducente, que aparta al sistema de lo predicho. Aquí lo temido ocurre.</w:t>
      </w:r>
    </w:p>
    <w:p>
      <w:pPr>
        <w:pStyle w:val="Normal"/>
      </w:pPr>
      <w:r>
        <w:t xml:space="preserve">Criterio de resolución: La historia sale de la lectura L-11: «La desconfianza mutua puede funcionar como un bucle de realimentación de refuerzo […] Si el bucle de refuerzo no encuentra ningún freno, puede llevar a una escalada de violencia y hostilidad mutua entre personas o incluso a guerras entre naciones». Y la desconfianza anticipa la hostilidad que provoca: según el material, la proalimentación de compensación es cuando la predicción «conduce al sistema hacia el estado predicho».</w:t>
      </w:r>
    </w:p>
    <w:p>
      <w:pPr>
        <w:pStyle w:val="Normal"/>
      </w:pPr>
      <w:r>
        <w:t xml:space="preserve">Defensa: La lectura llama a esta historia «bucle de realimentación de refuerzo», y la c es la única opción que lo dice; la segunda mitad es la misma doble lectura del rumor de la gasolina en la clase 16, un refuerzo que el profesor llamó proalimentación de compensación.</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9C620A" w:sz="20"/>
              <w:bottom w:val="nil"/>
              <w:right w:val="nil"/>
            </w:tcBorders>
            <w:shd w:fill="FBF3DF" w:val="clear"/>
            <w:tcMar>
              <w:top w:type="dxa" w:w="130"/>
              <w:left w:type="dxa" w:w="180"/>
              <w:bottom w:type="dxa" w:w="130"/>
              <w:right w:type="dxa" w:w="180"/>
            </w:tcMar>
          </w:tcPr>
          <w:p>
            <w:pPr>
              <w:pStyle w:val="RecuadroTitulo"/>
            </w:pPr>
            <w:r>
              <w:rPr>
                <w:b/>
                <w:bCs/>
                <w:color w:val="9C620A"/>
              </w:rPr>
              <w:t xml:space="preserve">Advertencia y límites</w:t>
            </w:r>
          </w:p>
          <w:p>
            <w:pPr>
              <w:pStyle w:val="Recuadro"/>
            </w:pPr>
            <w:r>
              <w:t xml:space="preserve">La revisión confirmó sólo c, la opción construida para juntar las dos lecturas. Con la calificación de la plataforma, marcar también b habría dado 0.</w:t>
            </w:r>
          </w:p>
        </w:tc>
      </w:tr>
    </w:tbl>
    <w:p>
      <w:pPr>
        <w:pStyle w:val="Fuente"/>
      </w:pPr>
      <w:r>
        <w:t xml:space="preserve">lectura L-11 pág. 63 · lámina c16-08 · Clase 16 · 00:51:11–00:55:57 · Clase 16 · 00:56:22–01:00:55</w:t>
      </w:r>
    </w:p>
    <w:p>
      <w:pPr>
        <w:pStyle w:val="Heading3"/>
      </w:pPr>
      <w:bookmarkStart w:name="b_pregunta_p2a_23_ejemplos_de_c_66f41685" w:id="5559"/>
      <w:r>
        <w:t xml:space="preserve">3.23 · Unidad 3 · 3.5 · Refuerzo y compensación: ejemplos</w:t>
      </w:r>
      <w:bookmarkEnd w:id="5559"/>
    </w:p>
    <w:p>
      <w:pPr>
        <w:pStyle w:val="Normal"/>
      </w:pPr>
      <w:r>
        <w:t xml:space="preserve">¿Cuál de los siguientes ejemplos hacen referencia a un sistema con retroalimentación de compensación?</w:t>
      </w:r>
    </w:p>
    <w:p>
      <w:pPr>
        <w:pStyle w:val="Fuente"/>
      </w:pPr>
      <w:r>
        <w:t xml:space="preserve">Ordinal de la fuente: 23.</w:t>
      </w:r>
    </w:p>
    <w:p>
      <w:pPr>
        <w:pStyle w:val="Fuente"/>
      </w:pPr>
      <w:r>
        <w:t xml:space="preserve">Revisión de plataforma: 2.5 puntos · Correcta.</w:t>
      </w:r>
    </w:p>
    <w:p>
      <w:pPr>
        <w:pStyle w:val="Normal"/>
      </w:pPr>
      <w:r>
        <w:t xml:space="preserve">a) El piloto automático de un avión</w:t>
      </w:r>
    </w:p>
    <w:p>
      <w:pPr>
        <w:pStyle w:val="Normal"/>
      </w:pPr>
      <w:r>
        <w:t xml:space="preserve">b) Una pandemia que no se controla</w:t>
      </w:r>
    </w:p>
    <w:p>
      <w:pPr>
        <w:pStyle w:val="Normal"/>
      </w:pPr>
      <w:r>
        <w:t xml:space="preserve">c) El ruido de un motor cuando se aleja</w:t>
      </w:r>
    </w:p>
    <w:p>
      <w:pPr>
        <w:pStyle w:val="Normal"/>
      </w:pPr>
      <w:r>
        <w:t xml:space="preserve">d) Las deudas bancarias que no se pagan</w:t>
      </w:r>
    </w:p>
    <w:p>
      <w:pPr>
        <w:pStyle w:val="Heading3"/>
      </w:pPr>
      <w:bookmarkStart w:name="b_solucion_p2a_23_ejemplos_de_c_f44c1238" w:id="5560"/>
      <w:r>
        <w:t xml:space="preserve">Solución 3.23</w:t>
      </w:r>
      <w:bookmarkEnd w:id="5560"/>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a) El piloto automático de un avión</w:t>
            </w:r>
          </w:p>
        </w:tc>
      </w:tr>
    </w:tbl>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Retroalimentación oficial de la plataforma</w:t>
            </w:r>
          </w:p>
          <w:p>
            <w:pPr>
              <w:pStyle w:val="Recuadro"/>
            </w:pPr>
            <w:r>
              <w:t xml:space="preserve">La respuesta correcta es: El piloto automático de un avión</w:t>
            </w:r>
          </w:p>
        </w:tc>
      </w:tr>
    </w:tbl>
    <w:p>
      <w:pPr>
        <w:pStyle w:val="Heading3"/>
      </w:pPr>
      <w:r>
        <w:t xml:space="preserve">Busque el objetivo</w:t>
      </w:r>
    </w:p>
    <w:p>
      <w:pPr>
        <w:pStyle w:val="Normal"/>
      </w:pPr>
      <w:r>
        <w:t xml:space="preserve">Un ciclo de compensación compara lo real con lo deseado y corrige la diferencia. El piloto automático mantiene el rumbo.</w:t>
      </w:r>
    </w:p>
    <w:p>
      <w:pPr>
        <w:pStyle w:val="Heading3"/>
      </w:pPr>
      <w:r>
        <w:t xml:space="preserve">Ubique los ejemplos de refuerzo</w:t>
      </w:r>
    </w:p>
    <w:p>
      <w:pPr>
        <w:pStyle w:val="Normal"/>
      </w:pPr>
      <w:r>
        <w:t xml:space="preserve">Epidemias y deudas bancarias aparecen en las listas de refuerzo del material y de la lectura L-11.</w:t>
      </w:r>
    </w:p>
    <w:p>
      <w:pPr>
        <w:pStyle w:val="Fuente"/>
      </w:pPr>
      <w:r>
        <w:t xml:space="preserve">Opciones descartadas: b), d).</w:t>
      </w:r>
    </w:p>
    <w:p>
      <w:pPr>
        <w:pStyle w:val="Heading3"/>
      </w:pPr>
      <w:r>
        <w:t xml:space="preserve">Descarte lo que no es un ciclo</w:t>
      </w:r>
    </w:p>
    <w:p>
      <w:pPr>
        <w:pStyle w:val="Normal"/>
      </w:pPr>
      <w:r>
        <w:t xml:space="preserve">Que algo disminuya no basta: en el ruido que se aleja no hay vuelta de la causa sobre sí misma.</w:t>
      </w:r>
    </w:p>
    <w:p>
      <w:pPr>
        <w:pStyle w:val="Fuente"/>
      </w:pPr>
      <w:r>
        <w:t xml:space="preserve">Opciones descartadas: c).</w:t>
      </w:r>
    </w:p>
    <w:p>
      <w:pPr>
        <w:pStyle w:val="Normal"/>
      </w:pPr>
      <w:r>
        <w:t xml:space="preserve">a) El piloto automático de un avión — Correcta: compara el rumbo real con el deseado y corrige la diferencia; persigue un objetivo, como «conducir un auto» de la lámina.</w:t>
      </w:r>
    </w:p>
    <w:p>
      <w:pPr>
        <w:pStyle w:val="Normal"/>
      </w:pPr>
      <w:r>
        <w:t xml:space="preserve">b) Una pandemia que no se controla — Las epidemias están en la lista de ejemplos de refuerzo, y «no se controla» dice que nada la frena.</w:t>
      </w:r>
    </w:p>
    <w:p>
      <w:pPr>
        <w:pStyle w:val="Normal"/>
      </w:pPr>
      <w:r>
        <w:t xml:space="preserve">c) El ruido de un motor cuando se aleja — Hay algo que disminuye, pero no hay ciclo: la distancia apaga el ruido y el ruido no actúa sobre la distancia.</w:t>
      </w:r>
    </w:p>
    <w:p>
      <w:pPr>
        <w:pStyle w:val="Normal"/>
      </w:pPr>
      <w:r>
        <w:t xml:space="preserve">d) Las deudas bancarias que no se pagan — Las deudas bancarias están en la lista de refuerzo de la lectura L-11: si no se pagan, crecen por los intereses.</w:t>
      </w:r>
    </w:p>
    <w:p>
      <w:pPr>
        <w:pStyle w:val="Normal"/>
      </w:pPr>
      <w:r>
        <w:t xml:space="preserve">Criterio de resolución: La realimentación de compensación «persigue un objetivo» y reduce la diferencia entre dónde está un sistema y dónde debería estar. El material de la unidad pone entre sus ejemplos «El aire acondicionado, La sed, conducir un auto, inventario de productos», y la lectura L-11 añade el regulador de una máquina de vapor y «cualquier acción que conlleve la consecución de un objetivo». El piloto automático es conducir, hecho por una máquina.</w:t>
      </w:r>
    </w:p>
    <w:p>
      <w:pPr>
        <w:pStyle w:val="Normal"/>
      </w:pPr>
      <w:r>
        <w:t xml:space="preserve">Defensa: El piloto automático es el mismo caso que «conducir un auto» de la lámina de retroalimentación negativa: un sistema que corrige su desviación respecto de un objetivo.</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9C620A" w:sz="20"/>
              <w:bottom w:val="nil"/>
              <w:right w:val="nil"/>
            </w:tcBorders>
            <w:shd w:fill="FBF3DF" w:val="clear"/>
            <w:tcMar>
              <w:top w:type="dxa" w:w="130"/>
              <w:left w:type="dxa" w:w="180"/>
              <w:bottom w:type="dxa" w:w="130"/>
              <w:right w:type="dxa" w:w="180"/>
            </w:tcMar>
          </w:tcPr>
          <w:p>
            <w:pPr>
              <w:pStyle w:val="RecuadroTitulo"/>
            </w:pPr>
            <w:r>
              <w:rPr>
                <w:b/>
                <w:bCs/>
                <w:color w:val="9C620A"/>
              </w:rPr>
              <w:t xml:space="preserve">Advertencia y límites</w:t>
            </w:r>
          </w:p>
          <w:p>
            <w:pPr>
              <w:pStyle w:val="Recuadro"/>
            </w:pPr>
            <w:r>
              <w:t xml:space="preserve">El piloto automático no aparece con ese nombre en el material; el portal lo asimila a «conducir un auto» y a los reguladores de la lectura L-11.</w:t>
            </w:r>
          </w:p>
        </w:tc>
      </w:tr>
    </w:tbl>
    <w:p>
      <w:pPr>
        <w:pStyle w:val="Fuente"/>
      </w:pPr>
      <w:r>
        <w:t xml:space="preserve">Material de la unidad 3, págs. 74 y 76 · lectura L-11 págs. 62, 65, 66, 71 y 72</w:t>
      </w:r>
    </w:p>
    <w:p>
      <w:pPr>
        <w:pStyle w:val="Heading3"/>
      </w:pPr>
      <w:bookmarkStart w:name="b_pregunta_p2c_01_analogias_reg_47897205" w:id="5561"/>
      <w:r>
        <w:t xml:space="preserve">3.24 · Unidad 3 · 3.2 · Mapas DSRP: plantillas cognitivas</w:t>
      </w:r>
      <w:bookmarkEnd w:id="5561"/>
    </w:p>
    <w:p>
      <w:pPr>
        <w:pStyle w:val="Normal"/>
      </w:pPr>
      <w:r>
        <w:t xml:space="preserve">Las plantillas cognitivas de analogías, símiles y metáforas se representan en los mapas DSRP aplicando la regla de…</w:t>
      </w:r>
    </w:p>
    <w:p>
      <w:pPr>
        <w:pStyle w:val="Fuente"/>
      </w:pPr>
      <w:r>
        <w:t xml:space="preserve">Ordinal de la fuente: 1 · complemento editorial.</w:t>
      </w:r>
    </w:p>
    <w:p>
      <w:pPr>
        <w:pStyle w:val="Normal"/>
      </w:pPr>
      <w:r>
        <w:t xml:space="preserve">a) Relaciones</w:t>
      </w:r>
    </w:p>
    <w:p>
      <w:pPr>
        <w:pStyle w:val="Normal"/>
      </w:pPr>
      <w:r>
        <w:t xml:space="preserve">b) Sistemas</w:t>
      </w:r>
    </w:p>
    <w:p>
      <w:pPr>
        <w:pStyle w:val="Normal"/>
      </w:pPr>
      <w:r>
        <w:t xml:space="preserve">c) Perspectivas</w:t>
      </w:r>
    </w:p>
    <w:p>
      <w:pPr>
        <w:pStyle w:val="Normal"/>
      </w:pPr>
      <w:r>
        <w:t xml:space="preserve">d) Distinciones</w:t>
      </w:r>
    </w:p>
    <w:p>
      <w:pPr>
        <w:pStyle w:val="Heading3"/>
      </w:pPr>
      <w:bookmarkStart w:name="b_solucion_p2c_01_analogias_reg_c3e0fcbe" w:id="5562"/>
      <w:r>
        <w:t xml:space="preserve">Solución 3.24</w:t>
      </w:r>
      <w:bookmarkEnd w:id="5562"/>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b) Sistemas</w:t>
            </w:r>
          </w:p>
        </w:tc>
      </w:tr>
    </w:tbl>
    <w:p>
      <w:pPr>
        <w:pStyle w:val="Heading3"/>
      </w:pPr>
      <w:r>
        <w:t xml:space="preserve">Lea el título de la lámina</w:t>
      </w:r>
    </w:p>
    <w:p>
      <w:pPr>
        <w:pStyle w:val="Normal"/>
      </w:pPr>
      <w:r>
        <w:t xml:space="preserve">Como en las barras y los P-círculos, la presentación titula la plantilla con su regla: «Aplicando la regla de Sistemas».</w:t>
      </w:r>
    </w:p>
    <w:p>
      <w:pPr>
        <w:pStyle w:val="Heading3"/>
      </w:pPr>
      <w:r>
        <w:t xml:space="preserve">Mire qué se compara</w:t>
      </w:r>
    </w:p>
    <w:p>
      <w:pPr>
        <w:pStyle w:val="Normal"/>
      </w:pPr>
      <w:r>
        <w:t xml:space="preserve">Las partes de cada lado: hombres y mujeres con actores, muertes y nacimientos con salidas y entradas.</w:t>
      </w:r>
    </w:p>
    <w:p>
      <w:pPr>
        <w:pStyle w:val="Fuente"/>
      </w:pPr>
      <w:r>
        <w:t xml:space="preserve">Opciones descartadas: c).</w:t>
      </w:r>
    </w:p>
    <w:p>
      <w:pPr>
        <w:pStyle w:val="Heading3"/>
      </w:pPr>
      <w:r>
        <w:t xml:space="preserve">Separe el conector de la estructura</w:t>
      </w:r>
    </w:p>
    <w:p>
      <w:pPr>
        <w:pStyle w:val="Normal"/>
      </w:pPr>
      <w:r>
        <w:t xml:space="preserve">La línea «es como» une las dos ideas, pero lo que la plantilla organiza son sus partes.</w:t>
      </w:r>
    </w:p>
    <w:p>
      <w:pPr>
        <w:pStyle w:val="Fuente"/>
      </w:pPr>
      <w:r>
        <w:t xml:space="preserve">Opciones descartadas: a), d).</w:t>
      </w:r>
    </w:p>
    <w:p>
      <w:pPr>
        <w:pStyle w:val="Normal"/>
      </w:pPr>
      <w:r>
        <w:t xml:space="preserve">a) Relaciones — La analogía lleva una línea «es como» entre las dos cosas, pero la lámina asigna la plantilla a la regla de sistemas: lo que se hace corresponder son las partes de cada lado.</w:t>
      </w:r>
    </w:p>
    <w:p>
      <w:pPr>
        <w:pStyle w:val="Normal"/>
      </w:pPr>
      <w:r>
        <w:t xml:space="preserve">b) Sistemas — Correcta: la lámina se titula «Analogías – símiles – metáforas Aplicando la regla de Sistemas».</w:t>
      </w:r>
    </w:p>
    <w:p>
      <w:pPr>
        <w:pStyle w:val="Normal"/>
      </w:pPr>
      <w:r>
        <w:t xml:space="preserve">c) Perspectivas — No hay ojo ni punto: nadie mira desde un punto de vista.</w:t>
      </w:r>
    </w:p>
    <w:p>
      <w:pPr>
        <w:pStyle w:val="Normal"/>
      </w:pPr>
      <w:r>
        <w:t xml:space="preserve">d) Distinciones — Cada idea comparada es una distinción, como en cualquier mapa; la plantilla muestra una estructura de partes.</w:t>
      </w:r>
    </w:p>
    <w:p>
      <w:pPr>
        <w:pStyle w:val="Normal"/>
      </w:pPr>
      <w:r>
        <w:t xml:space="preserve">Criterio de resolución: La lámina de la clase 11 se titula «Analogías – símiles – metáforas Aplicando la regla de Sistemas». El profesor lo explicó así: los dos conceptos comparados «son sistemas similares y entonces tenemos dentro de la estructura de cada sistema elementos o partes» que se corresponden; el mundo tiene hombres y mujeres, y el escenario, actores.</w:t>
      </w:r>
    </w:p>
    <w:p>
      <w:pPr>
        <w:pStyle w:val="Normal"/>
      </w:pPr>
      <w:r>
        <w:t xml:space="preserve">Defensa: Es la pareja de la pregunta 1 del parcial: la presentación asigna cada plantilla a una regla en su título, y la de analogías, símiles y metáforas es la de sistemas.</w:t>
      </w:r>
    </w:p>
    <w:p>
      <w:pPr>
        <w:pStyle w:val="Fuente"/>
      </w:pPr>
      <w:r>
        <w:t xml:space="preserve">Material de la unidad 3, pág. 29 · lámina c11-15 · Clase 11 · 00:45:18–00:46:35</w:t>
      </w:r>
    </w:p>
    <w:p>
      <w:pPr>
        <w:pStyle w:val="Heading3"/>
      </w:pPr>
      <w:bookmarkStart w:name="b_pregunta_p2c_02_sub_perspectivas" w:id="5563"/>
      <w:r>
        <w:t xml:space="preserve">3.25 · Unidad 3 · 3.2 · Mapas DSRP: sub-perspectivas</w:t>
      </w:r>
      <w:bookmarkEnd w:id="5563"/>
    </w:p>
    <w:p>
      <w:pPr>
        <w:pStyle w:val="Normal"/>
      </w:pPr>
      <w:r>
        <w:t xml:space="preserve">Al crear un mapa DSRP con sub-perspectivas se aplica la regla de sistemas en…</w:t>
      </w:r>
    </w:p>
    <w:p>
      <w:pPr>
        <w:pStyle w:val="Fuente"/>
      </w:pPr>
      <w:r>
        <w:t xml:space="preserve">Ordinal de la fuente: 2 · complemento editorial.</w:t>
      </w:r>
    </w:p>
    <w:p>
      <w:pPr>
        <w:pStyle w:val="Normal"/>
      </w:pPr>
      <w:r>
        <w:t xml:space="preserve">a) La parte de la relación del mapa</w:t>
      </w:r>
    </w:p>
    <w:p>
      <w:pPr>
        <w:pStyle w:val="Normal"/>
      </w:pPr>
      <w:r>
        <w:t xml:space="preserve">b) La parte del “ojo” o el concepto del punto de vista del mapa</w:t>
      </w:r>
    </w:p>
    <w:p>
      <w:pPr>
        <w:pStyle w:val="Normal"/>
      </w:pPr>
      <w:r>
        <w:t xml:space="preserve">c) La parte del “punto” o el concepto que se ve desde el “ojo”</w:t>
      </w:r>
    </w:p>
    <w:p>
      <w:pPr>
        <w:pStyle w:val="Normal"/>
      </w:pPr>
      <w:r>
        <w:t xml:space="preserve">d) Cualquier parte del mapa</w:t>
      </w:r>
    </w:p>
    <w:p>
      <w:pPr>
        <w:pStyle w:val="Heading3"/>
      </w:pPr>
      <w:bookmarkStart w:name="b_solucion_p2c_02_sub_perspectivas" w:id="5564"/>
      <w:r>
        <w:t xml:space="preserve">Solución 3.25</w:t>
      </w:r>
      <w:bookmarkEnd w:id="5564"/>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b) La parte del “ojo” o el concepto del punto de vista del mapa</w:t>
            </w:r>
          </w:p>
        </w:tc>
      </w:tr>
    </w:tbl>
    <w:p>
      <w:pPr>
        <w:pStyle w:val="Heading3"/>
      </w:pPr>
      <w:r>
        <w:t xml:space="preserve">Ubique el ojo</w:t>
      </w:r>
    </w:p>
    <w:p>
      <w:pPr>
        <w:pStyle w:val="Normal"/>
      </w:pPr>
      <w:r>
        <w:t xml:space="preserve">El ojo marca el punto de vista; el puntito de color, lo que se ve.</w:t>
      </w:r>
    </w:p>
    <w:p>
      <w:pPr>
        <w:pStyle w:val="Heading3"/>
      </w:pPr>
      <w:r>
        <w:t xml:space="preserve">Vea qué se descompone</w:t>
      </w:r>
    </w:p>
    <w:p>
      <w:pPr>
        <w:pStyle w:val="Normal"/>
      </w:pPr>
      <w:r>
        <w:t xml:space="preserve">En «Viajar» el punto de vista se abre en avión, coche y tren: el ojo es un todo con partes.</w:t>
      </w:r>
    </w:p>
    <w:p>
      <w:pPr>
        <w:pStyle w:val="Fuente"/>
      </w:pPr>
      <w:r>
        <w:t xml:space="preserve">Opciones descartadas: c).</w:t>
      </w:r>
    </w:p>
    <w:p>
      <w:pPr>
        <w:pStyle w:val="Heading3"/>
      </w:pPr>
      <w:r>
        <w:t xml:space="preserve">Descarte las otras estructuras</w:t>
      </w:r>
    </w:p>
    <w:p>
      <w:pPr>
        <w:pStyle w:val="Normal"/>
      </w:pPr>
      <w:r>
        <w:t xml:space="preserve">La relación con partes es la barra RDS; «cualquier parte» no distingue ninguna.</w:t>
      </w:r>
    </w:p>
    <w:p>
      <w:pPr>
        <w:pStyle w:val="Fuente"/>
      </w:pPr>
      <w:r>
        <w:t xml:space="preserve">Opciones descartadas: a), d).</w:t>
      </w:r>
    </w:p>
    <w:p>
      <w:pPr>
        <w:pStyle w:val="Normal"/>
      </w:pPr>
      <w:r>
        <w:t xml:space="preserve">a) La parte de la relación del mapa — Darle partes a una relación es la barra RDS, otra estructura.</w:t>
      </w:r>
    </w:p>
    <w:p>
      <w:pPr>
        <w:pStyle w:val="Normal"/>
      </w:pPr>
      <w:r>
        <w:t xml:space="preserve">b) La parte del “ojo” o el concepto del punto de vista del mapa — Correcta: en las sub-perspectivas el punto de vista se descompone en partes: «Los Puntos son Todos con Partes».</w:t>
      </w:r>
    </w:p>
    <w:p>
      <w:pPr>
        <w:pStyle w:val="Normal"/>
      </w:pPr>
      <w:r>
        <w:t xml:space="preserve">c) La parte del “punto” o el concepto que se ve desde el “ojo” — Descomponer lo que se ve es el mapa de múltiples perspectivas, la estructura contraria.</w:t>
      </w:r>
    </w:p>
    <w:p>
      <w:pPr>
        <w:pStyle w:val="Normal"/>
      </w:pPr>
      <w:r>
        <w:t xml:space="preserve">d) Cualquier parte del mapa — Es el principio general; la pregunta es sobre las sub-perspectivas.</w:t>
      </w:r>
    </w:p>
    <w:p>
      <w:pPr>
        <w:pStyle w:val="Normal"/>
      </w:pPr>
      <w:r>
        <w:t xml:space="preserve">Criterio de resolución: En la clase 11 el profesor explicó las sub-perspectivas como «aplicar la misma regla de sistemas, pero a la parte del punto de vista donde se origina una perspectiva», en lugar de a lo que se ve. La lámina lo resume en su pie, «Los Puntos son Todos con Partes», con ejemplos como viajar en avión, coche o tren.</w:t>
      </w:r>
    </w:p>
    <w:p>
      <w:pPr>
        <w:pStyle w:val="Normal"/>
      </w:pPr>
      <w:r>
        <w:t xml:space="preserve">Defensa: Es la pareja de la pregunta 8 del parcial: el profesor contrastó las dos estructuras con estas palabras, la regla en el punto de vista para las sub-perspectivas y en lo que se ve para las múltiples perspectivas.</w:t>
      </w:r>
    </w:p>
    <w:p>
      <w:pPr>
        <w:pStyle w:val="Fuente"/>
      </w:pPr>
      <w:r>
        <w:t xml:space="preserve">lámina c11-13 · Clase 11 · 00:40:50–00:42:59</w:t>
      </w:r>
    </w:p>
    <w:p>
      <w:pPr>
        <w:pStyle w:val="Heading3"/>
      </w:pPr>
      <w:bookmarkStart w:name="b_pregunta_p2c_03_adiccion_a_la_culpa" w:id="5565"/>
      <w:r>
        <w:t xml:space="preserve">3.26 · Unidad 3 · 3.5 · Refuerzo y compensación: contar ciclos</w:t>
      </w:r>
      <w:bookmarkEnd w:id="5565"/>
    </w:p>
    <w:p>
      <w:pPr>
        <w:pStyle w:val="Normal"/>
      </w:pPr>
      <w:r>
        <w:t xml:space="preserve">En el siguiente modelo de ciclos causales ¿Cuántos ciclos de refuerzo se tienen? (escriba el número en el espacio de respuesta)</w:t>
      </w:r>
    </w:p>
    <w:p>
      <w:pPr>
        <w:pStyle w:val="Fuente"/>
      </w:pPr>
      <w:r>
        <w:t xml:space="preserve">Ordinal de la fuente: 3 · complemento editorial.</w:t>
      </w:r>
    </w:p>
    <w:p>
      <w:pPr>
        <w:keepNext/>
        <w:spacing w:after="40" w:before="150"/>
        <w:jc w:val="center"/>
      </w:pPr>
      <w:bookmarkStart w:name="b_figura_original_p2c_03_adicci_b19457be" w:id="5566"/>
      <w:bookmarkEnd w:id="5566"/>
      <w:r>
        <w:drawing>
          <wp:inline distT="0" distB="0" distL="0" distR="0">
            <wp:extent cx="5381625" cy="3648075"/>
            <wp:effectExtent t="0" r="0" b="0" l="0"/>
            <wp:docPr id="228" name="p2c-03-adiccion-a-la-culpa-enunciado" descr="lámina c16-04 · Clase 16 · 00:37:56–00:38:37 · Clase 15 · 01:15:17–01:16:15" title="Unidad 3 · 3.5 · Refuerzo y compensación: contar cicl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92" cstate="none"/>
                    <a:srcRect/>
                    <a:stretch>
                      <a:fillRect/>
                    </a:stretch>
                  </pic:blipFill>
                  <pic:spPr bwMode="auto">
                    <a:xfrm>
                      <a:off x="0" y="0"/>
                      <a:ext cx="5381625" cy="3648075"/>
                    </a:xfrm>
                    <a:prstGeom prst="rect">
                      <a:avLst/>
                    </a:prstGeom>
                  </pic:spPr>
                </pic:pic>
              </a:graphicData>
            </a:graphic>
          </wp:inline>
        </w:drawing>
      </w:r>
    </w:p>
    <w:p>
      <w:pPr>
        <w:pStyle w:val="PieFigura"/>
        <w:keepNext/>
      </w:pPr>
      <w:bookmarkStart w:name="b_fig_V3_13" w:id="5567"/>
      <w:r>
        <w:t xml:space="preserve">Figura V3.</w:t>
      </w:r>
      <w:fldSimple w:instr="SEQ Figura \n \* ARABIC">
        <w:r>
          <w:t xml:space="preserve">13</w:t>
        </w:r>
      </w:fldSimple>
      <w:r>
        <w:t xml:space="preserve"> · Unidad 3 · 3.5 · Refuerzo y compensación: contar ciclos</w:t>
      </w:r>
      <w:bookmarkEnd w:id="5567"/>
    </w:p>
    <w:p>
      <w:pPr>
        <w:pStyle w:val="Fuente"/>
      </w:pPr>
      <w:r>
        <w:t xml:space="preserve">lámina c16-04 · Clase 16 · 00:37:56–00:38:37 · Clase 15 · 01:15:17–01:16:15</w:t>
      </w:r>
    </w:p>
    <w:p>
      <w:pPr>
        <w:pStyle w:val="Heading3"/>
      </w:pPr>
      <w:bookmarkStart w:name="b_solucion_p2c_03_adiccion_a_la_culpa" w:id="5568"/>
      <w:r>
        <w:t xml:space="preserve">Solución 3.26</w:t>
      </w:r>
      <w:bookmarkEnd w:id="5568"/>
    </w:p>
    <w:p>
      <w:pPr>
        <w:pStyle w:val="RecuadroTitulo"/>
      </w:pPr>
      <w:r>
        <w:t xml:space="preserve">Respuesta modelo</w:t>
      </w:r>
    </w:p>
    <w:p>
      <w:pPr>
        <w:pStyle w:val="Normal"/>
      </w:pPr>
      <w:r>
        <w:t xml:space="preserve">1. </w:t>
      </w:r>
    </w:p>
    <w:p>
      <w:pPr>
        <w:pStyle w:val="Normal"/>
      </w:pPr>
      <w:r>
        <w:t xml:space="preserve">Hay tres ciclos. Culpa y problema tienen una negativa: balance. Problema y estructuras, con sus dos demoras, tienen una negativa: balance. El ciclo largo pasa por culpa, voluntad de compartir información y estructuras y tiene dos negativas: refuerzo.</w:t>
      </w:r>
    </w:p>
    <w:p>
      <w:pPr>
        <w:pStyle w:val="Fuente"/>
      </w:pPr>
      <w:r>
        <w:t xml:space="preserve">Control numérico: 1.</w:t>
      </w:r>
    </w:p>
    <w:p>
      <w:pPr>
        <w:keepNext/>
        <w:spacing w:after="40" w:before="150"/>
        <w:jc w:val="center"/>
      </w:pPr>
      <w:bookmarkStart w:name="b_figura_original_p2c_03_adicci_e5facedb" w:id="5569"/>
      <w:bookmarkEnd w:id="5569"/>
      <w:r>
        <w:drawing>
          <wp:inline distT="0" distB="0" distL="0" distR="0">
            <wp:extent cx="5381625" cy="3648075"/>
            <wp:effectExtent t="0" r="0" b="0" l="0"/>
            <wp:docPr id="229" name="p2c-03-adiccion-a-la-culpa-modelo" descr="lámina c16-04 · Clase 16 · 00:37:56–00:38:37 · Clase 15 · 01:15:17–01:16:15" title="Unidad 3 · 3.5 · Refuerzo y compensación: contar cicl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93" cstate="none"/>
                    <a:srcRect/>
                    <a:stretch>
                      <a:fillRect/>
                    </a:stretch>
                  </pic:blipFill>
                  <pic:spPr bwMode="auto">
                    <a:xfrm>
                      <a:off x="0" y="0"/>
                      <a:ext cx="5381625" cy="3648075"/>
                    </a:xfrm>
                    <a:prstGeom prst="rect">
                      <a:avLst/>
                    </a:prstGeom>
                  </pic:spPr>
                </pic:pic>
              </a:graphicData>
            </a:graphic>
          </wp:inline>
        </w:drawing>
      </w:r>
    </w:p>
    <w:p>
      <w:pPr>
        <w:pStyle w:val="PieFigura"/>
        <w:keepNext/>
      </w:pPr>
      <w:bookmarkStart w:name="b_fig_V3_14" w:id="5570"/>
      <w:r>
        <w:t xml:space="preserve">Figura V3.</w:t>
      </w:r>
      <w:fldSimple w:instr="SEQ Figura \n \* ARABIC">
        <w:r>
          <w:t xml:space="preserve">14</w:t>
        </w:r>
      </w:fldSimple>
      <w:r>
        <w:t xml:space="preserve"> · Unidad 3 · 3.5 · Refuerzo y compensación: contar ciclos</w:t>
      </w:r>
      <w:bookmarkEnd w:id="5570"/>
    </w:p>
    <w:p>
      <w:pPr>
        <w:pStyle w:val="LecturaFigura"/>
        <w:keepNext/>
      </w:pPr>
      <w:r>
        <w:rPr>
          <w:b/>
          <w:bCs/>
        </w:rPr>
        <w:t xml:space="preserve">Lectura del diagrama: </w:t>
      </w:r>
      <w:r>
        <w:t xml:space="preserve">1 ciclo de refuerzo y 2 de balance. Culpar alivia el problema enseguida, pero deteriora la voluntad de compartir información y, con demora, la capacidad de responsabilizarse: el ciclo largo tiene dos negativas y refuerza el problema.</w:t>
      </w:r>
    </w:p>
    <w:p>
      <w:pPr>
        <w:pStyle w:val="Fuente"/>
      </w:pPr>
      <w:r>
        <w:t xml:space="preserve">lámina c16-04 · Clase 16 · 00:37:56–00:38:37 · Clase 15 · 01:15:17–01:16:15</w:t>
      </w:r>
    </w:p>
    <w:p>
      <w:pPr>
        <w:pStyle w:val="Heading3"/>
      </w:pPr>
      <w:r>
        <w:t xml:space="preserve">Criterios para una respuesta completa</w:t>
      </w:r>
    </w:p>
    <w:p>
      <w:pPr>
        <w:pStyle w:val="Normal"/>
        <w:numPr>
          <w:ilvl w:val="0"/>
          <w:numId w:val="2"/>
        </w:numPr>
      </w:pPr>
      <w:r>
        <w:t xml:space="preserve">Escribe sólo la cifra: 1.</w:t>
      </w:r>
    </w:p>
    <w:p>
      <w:pPr>
        <w:pStyle w:val="Normal"/>
        <w:numPr>
          <w:ilvl w:val="0"/>
          <w:numId w:val="2"/>
        </w:numPr>
      </w:pPr>
      <w:r>
        <w:t xml:space="preserve">Separa los tres ciclos y cuenta las negativas de cada uno.</w:t>
      </w:r>
    </w:p>
    <w:p>
      <w:pPr>
        <w:pStyle w:val="Normal"/>
        <w:numPr>
          <w:ilvl w:val="0"/>
          <w:numId w:val="2"/>
        </w:numPr>
      </w:pPr>
      <w:r>
        <w:t xml:space="preserve">No deja que las demoras cambien el tipo de ciclo.</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9C620A" w:sz="20"/>
              <w:bottom w:val="nil"/>
              <w:right w:val="nil"/>
            </w:tcBorders>
            <w:shd w:fill="FBF3DF" w:val="clear"/>
            <w:tcMar>
              <w:top w:type="dxa" w:w="130"/>
              <w:left w:type="dxa" w:w="180"/>
              <w:bottom w:type="dxa" w:w="130"/>
              <w:right w:type="dxa" w:w="180"/>
            </w:tcMar>
          </w:tcPr>
          <w:p>
            <w:pPr>
              <w:pStyle w:val="RecuadroTitulo"/>
            </w:pPr>
            <w:r>
              <w:rPr>
                <w:b/>
                <w:bCs/>
                <w:color w:val="9C620A"/>
              </w:rPr>
              <w:t xml:space="preserve">Advertencia y límites</w:t>
            </w:r>
          </w:p>
          <w:p>
            <w:pPr>
              <w:pStyle w:val="Recuadro"/>
            </w:pPr>
            <w:r>
              <w:t xml:space="preserve">El profesor lo dijo al proyectar la lámina: el modelo «describe dos ciclos de balance y un ciclo de refuerzo». Los tres ciclos tienen algún «−», así que es fácil responder 0: el largo tiene dos y por eso refuerza.</w:t>
            </w:r>
          </w:p>
        </w:tc>
      </w:tr>
    </w:tbl>
    <w:p>
      <w:pPr>
        <w:pStyle w:val="Fuente"/>
      </w:pPr>
      <w:r>
        <w:t xml:space="preserve">lámina c16-04 · Clase 16 · 00:37:56–00:38:37 · Clase 15 · 01:15:17–01:16:15</w:t>
      </w:r>
    </w:p>
    <w:p>
      <w:pPr>
        <w:pStyle w:val="Heading3"/>
      </w:pPr>
      <w:bookmarkStart w:name="b_pregunta_p2c_04_preguntas_gui_22def433" w:id="5571"/>
      <w:r>
        <w:t xml:space="preserve">3.27 · Unidad 3 · 3.9 · Hábitos: preguntas guía</w:t>
      </w:r>
      <w:bookmarkEnd w:id="5571"/>
    </w:p>
    <w:p>
      <w:pPr>
        <w:pStyle w:val="Normal"/>
      </w:pPr>
      <w:r>
        <w:t xml:space="preserve">Relacione cada pregunta guía con el hábito del pensador sistémico al que pertenece.</w:t>
      </w:r>
    </w:p>
    <w:p>
      <w:pPr>
        <w:pStyle w:val="Fuente"/>
      </w:pPr>
      <w:r>
        <w:t xml:space="preserve">Ordinal de la fuente: 4 · complemento editorial.</w:t>
      </w:r>
    </w:p>
    <w:p>
      <w:pPr>
        <w:pStyle w:val="Normal"/>
      </w:pPr>
      <w:r>
        <w:t xml:space="preserve">a) Fila: ¿Cómo transfiere la comprensión de un sistema a otro sistema?</w:t>
      </w:r>
    </w:p>
    <w:p>
      <w:pPr>
        <w:pStyle w:val="Normal"/>
      </w:pPr>
      <w:r>
        <w:t xml:space="preserve">b) Fila: ¿En dónde aparece la retroalimentación de la causalidad circular?</w:t>
      </w:r>
    </w:p>
    <w:p>
      <w:pPr>
        <w:pStyle w:val="Normal"/>
      </w:pPr>
      <w:r>
        <w:t xml:space="preserve">c) Fila: ¿Cómo la organización e interacción de las partes crean el comportamiento que aparece?</w:t>
      </w:r>
    </w:p>
    <w:p>
      <w:pPr>
        <w:pStyle w:val="Normal"/>
      </w:pPr>
      <w:r>
        <w:t xml:space="preserve">d) Fila: ¿El cambio que proponemos dará resultados inmediatos o necesitaremos esperar para ver la mejora?</w:t>
      </w:r>
    </w:p>
    <w:p>
      <w:pPr>
        <w:pStyle w:val="Normal"/>
      </w:pPr>
      <w:r>
        <w:t xml:space="preserve">e) Fila: ¿Qué patrones o tendencias han aparecido a través del tiempo?</w:t>
      </w:r>
    </w:p>
    <w:p>
      <w:pPr>
        <w:pStyle w:val="Normal"/>
      </w:pPr>
      <w:r>
        <w:t xml:space="preserve">f) a) Hace conexiones significativas dentro y entre sistemas</w:t>
      </w:r>
    </w:p>
    <w:p>
      <w:pPr>
        <w:pStyle w:val="Normal"/>
      </w:pPr>
      <w:r>
        <w:t xml:space="preserve">g) b) Identifica la naturaleza circular de relaciones complejas entre causa y efecto</w:t>
      </w:r>
    </w:p>
    <w:p>
      <w:pPr>
        <w:pStyle w:val="Normal"/>
      </w:pPr>
      <w:r>
        <w:t xml:space="preserve">h) c) Reconoce que la estructura de un sistema genera su comportamiento</w:t>
      </w:r>
    </w:p>
    <w:p>
      <w:pPr>
        <w:pStyle w:val="Normal"/>
      </w:pPr>
      <w:r>
        <w:t xml:space="preserve">i) d) Reconoce el impacto de las demoras cuando se están explorando las relaciones de causa y efecto</w:t>
      </w:r>
    </w:p>
    <w:p>
      <w:pPr>
        <w:pStyle w:val="Normal"/>
      </w:pPr>
      <w:r>
        <w:t xml:space="preserve">j) e) Observa cómo los elementos en un sistema cambian a través del tiempo, generando patrones y tendencias</w:t>
      </w:r>
    </w:p>
    <w:p>
      <w:pPr>
        <w:pStyle w:val="Heading3"/>
      </w:pPr>
      <w:bookmarkStart w:name="b_solucion_p2c_04_preguntas_gui_e24144ec" w:id="5572"/>
      <w:r>
        <w:t xml:space="preserve">Solución 3.27</w:t>
      </w:r>
      <w:bookmarkEnd w:id="5572"/>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¿Cómo transfiere la comprensión de un sistema a otro sistema? → Hace conexiones significativas dentro y entre sistemas</w:t>
            </w:r>
          </w:p>
          <w:p>
            <w:pPr>
              <w:pStyle w:val="Recuadro"/>
            </w:pPr>
            <w:r>
              <w:t xml:space="preserve">¿En dónde aparece la retroalimentación de la causalidad circular? → Identifica la naturaleza circular de relaciones complejas entre causa y efecto</w:t>
            </w:r>
          </w:p>
          <w:p>
            <w:pPr>
              <w:pStyle w:val="Recuadro"/>
            </w:pPr>
            <w:r>
              <w:t xml:space="preserve">¿Cómo la organización e interacción de las partes crean el comportamiento que aparece? → Reconoce que la estructura de un sistema genera su comportamiento</w:t>
            </w:r>
          </w:p>
          <w:p>
            <w:pPr>
              <w:pStyle w:val="Recuadro"/>
            </w:pPr>
            <w:r>
              <w:t xml:space="preserve">¿El cambio que proponemos dará resultados inmediatos o necesitaremos esperar para ver la mejora? → Reconoce el impacto de las demoras cuando se están explorando las relaciones de causa y efecto</w:t>
            </w:r>
          </w:p>
          <w:p>
            <w:pPr>
              <w:pStyle w:val="Recuadro"/>
            </w:pPr>
            <w:r>
              <w:t xml:space="preserve">¿Qué patrones o tendencias han aparecido a través del tiempo? → Observa cómo los elementos en un sistema cambian a través del tiempo, generando patrones y tendencias</w:t>
            </w:r>
          </w:p>
        </w:tc>
      </w:tr>
    </w:tbl>
    <w:p>
      <w:pPr>
        <w:pStyle w:val="Heading3"/>
      </w:pPr>
      <w:r>
        <w:t xml:space="preserve">Busque la palabra clave de cada pregunta</w:t>
      </w:r>
    </w:p>
    <w:p>
      <w:pPr>
        <w:pStyle w:val="Normal"/>
      </w:pPr>
      <w:r>
        <w:t xml:space="preserve">Transferir es de conexiones; retroalimentación circular, de la naturaleza circular; organización de las partes, de la estructura; resultados inmediatos o esperar, de las demoras; patrones o tendencias, del cambio en el tiempo.</w:t>
      </w:r>
    </w:p>
    <w:p>
      <w:pPr>
        <w:pStyle w:val="Heading3"/>
      </w:pPr>
      <w:r>
        <w:t xml:space="preserve">Desconfíe de la pregunta compartida</w:t>
      </w:r>
    </w:p>
    <w:p>
      <w:pPr>
        <w:pStyle w:val="Normal"/>
      </w:pPr>
      <w:r>
        <w:t xml:space="preserve">«¿Cómo se afectan las partes entre sí?» aparece en dos tarjetas: si sale en el examen, las dos respuestas son defendibles.</w:t>
      </w:r>
    </w:p>
    <w:p>
      <w:pPr>
        <w:pStyle w:val="Normal"/>
      </w:pPr>
      <w:r>
        <w:t xml:space="preserve">Criterio de resolución: Cada pregunta es literal de la tarjeta de su hábito, que la clase proyectó: conexiones, naturaleza circular, estructura, demoras y patrones. «¿Cómo se afectan las partes entre sí?» no se usa porque está en dos tarjetas, la de la naturaleza circular y la de la estructura.</w:t>
      </w:r>
    </w:p>
    <w:p>
      <w:pPr>
        <w:pStyle w:val="Normal"/>
      </w:pPr>
      <w:r>
        <w:t xml:space="preserve">Defensa: Las cinco preguntas son literales de las tarjetas de la Waters Foundation que la clase proyectó, una por hábito.</w:t>
      </w:r>
    </w:p>
    <w:p>
      <w:pPr>
        <w:pStyle w:val="Fuente"/>
      </w:pPr>
      <w:r>
        <w:t xml:space="preserve">lámina c11-20 · Clase 11 · 00:55:27 · lámina c13-03 · Clase 13 · 00:25:23 · lámina c15-09 · Clase 15 · 00:29:44 · lámina c15-17 · Clase 15 · 01:25:45 · lámina c16-13 · Clase 16 · 01:29:40</w:t>
      </w:r>
    </w:p>
    <w:p>
      <w:pPr>
        <w:pStyle w:val="Heading3"/>
      </w:pPr>
      <w:bookmarkStart w:name="b_pregunta_p2c_05_tendencias_y_graficos" w:id="5573"/>
      <w:r>
        <w:t xml:space="preserve">3.28 · Unidad 3 · 3.8 · Patrones: gráficos de comportamiento</w:t>
      </w:r>
      <w:bookmarkEnd w:id="5573"/>
    </w:p>
    <w:p>
      <w:pPr>
        <w:pStyle w:val="Normal"/>
      </w:pPr>
      <w:r>
        <w:t xml:space="preserve">¿Con qué se representan las tendencias de un sistema y por qué no con un diagrama de ciclos causales?</w:t>
      </w:r>
    </w:p>
    <w:p>
      <w:pPr>
        <w:pStyle w:val="Fuente"/>
      </w:pPr>
      <w:r>
        <w:t xml:space="preserve">Ordinal de la fuente: 5 · complemento editorial.</w:t>
      </w:r>
    </w:p>
    <w:p>
      <w:pPr>
        <w:pStyle w:val="Heading3"/>
      </w:pPr>
      <w:bookmarkStart w:name="b_solucion_p2c_05_tendencias_y_graficos" w:id="5574"/>
      <w:r>
        <w:t xml:space="preserve">Solución 3.28</w:t>
      </w:r>
      <w:bookmarkEnd w:id="5574"/>
    </w:p>
    <w:p>
      <w:pPr>
        <w:pStyle w:val="RecuadroTitulo"/>
      </w:pPr>
      <w:r>
        <w:t xml:space="preserve">Respuesta modelo</w:t>
      </w:r>
    </w:p>
    <w:p>
      <w:pPr>
        <w:pStyle w:val="Normal"/>
      </w:pPr>
      <w:r>
        <w:t xml:space="preserve">Con gráficos de comportamiento a lo largo del tiempo: el tiempo en el eje X y la variable en el eje Y. La curva muestra el patrón: lineal, exponencial acotado o no acotado, oscilatorio o estable.</w:t>
      </w:r>
    </w:p>
    <w:p>
      <w:pPr>
        <w:pStyle w:val="Normal"/>
      </w:pPr>
      <w:r>
        <w:t xml:space="preserve">El diagrama de ciclos causales muestra la estructura que genera la tendencia —sus relaciones y signos—, pero no la forma que toma la variable en el tiempo; la tendencia es una propiedad emergente de esa estructura. En el iceberg, el diagrama causal está en el nivel 3, la estructura, y los patrones en el nivel 2.</w:t>
      </w:r>
    </w:p>
    <w:p>
      <w:pPr>
        <w:pStyle w:val="Heading3"/>
      </w:pPr>
      <w:r>
        <w:t xml:space="preserve">Criterios para una respuesta completa</w:t>
      </w:r>
    </w:p>
    <w:p>
      <w:pPr>
        <w:pStyle w:val="Normal"/>
        <w:numPr>
          <w:ilvl w:val="0"/>
          <w:numId w:val="2"/>
        </w:numPr>
      </w:pPr>
      <w:r>
        <w:t xml:space="preserve">Responde que las tendencias se representan con gráficos de comportamiento a lo largo del tiempo.</w:t>
      </w:r>
    </w:p>
    <w:p>
      <w:pPr>
        <w:pStyle w:val="Normal"/>
        <w:numPr>
          <w:ilvl w:val="0"/>
          <w:numId w:val="2"/>
        </w:numPr>
      </w:pPr>
      <w:r>
        <w:t xml:space="preserve">Describe los ejes: el tiempo y la variable.</w:t>
      </w:r>
    </w:p>
    <w:p>
      <w:pPr>
        <w:pStyle w:val="Normal"/>
        <w:numPr>
          <w:ilvl w:val="0"/>
          <w:numId w:val="2"/>
        </w:numPr>
      </w:pPr>
      <w:r>
        <w:t xml:space="preserve">Explica que el diagrama causal muestra la estructura que genera la tendencia, no la tendencia.</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9C620A" w:sz="20"/>
              <w:bottom w:val="nil"/>
              <w:right w:val="nil"/>
            </w:tcBorders>
            <w:shd w:fill="FBF3DF" w:val="clear"/>
            <w:tcMar>
              <w:top w:type="dxa" w:w="130"/>
              <w:left w:type="dxa" w:w="180"/>
              <w:bottom w:type="dxa" w:w="130"/>
              <w:right w:type="dxa" w:w="180"/>
            </w:tcMar>
          </w:tcPr>
          <w:p>
            <w:pPr>
              <w:pStyle w:val="RecuadroTitulo"/>
            </w:pPr>
            <w:r>
              <w:rPr>
                <w:b/>
                <w:bCs/>
                <w:color w:val="9C620A"/>
              </w:rPr>
              <w:t xml:space="preserve">Advertencia y límites</w:t>
            </w:r>
          </w:p>
          <w:p>
            <w:pPr>
              <w:pStyle w:val="Recuadro"/>
            </w:pPr>
            <w:r>
              <w:t xml:space="preserve">El profesor lo dijo así: «las tendencias no se representan con los diagramas de ciclos causales, obviamente, sino con los diagramas de gráficos de comportamiento». Contestar que con un diagrama causal «con muchas flechas»: el diagrama no tiene eje de tiempo.</w:t>
            </w:r>
          </w:p>
        </w:tc>
      </w:tr>
    </w:tbl>
    <w:p>
      <w:pPr>
        <w:pStyle w:val="Fuente"/>
      </w:pPr>
      <w:r>
        <w:t xml:space="preserve">Clase 16 · 01:36:18–01:37:02 · Clase 16 · 01:30:10–01:30:39 · Clase 10 · 00:13:42–00:14:27</w:t>
      </w:r>
    </w:p>
    <w:p>
      <w:pPr>
        <w:pStyle w:val="Heading3"/>
      </w:pPr>
      <w:bookmarkStart w:name="b_pregunta_p2c_06_atleta_proalimentacion" w:id="5575"/>
      <w:r>
        <w:t xml:space="preserve">3.29 · Unidad 3 · 3.5 · Retroalimentación y proalimentación</w:t>
      </w:r>
      <w:bookmarkEnd w:id="5575"/>
    </w:p>
    <w:p>
      <w:pPr>
        <w:pStyle w:val="Normal"/>
      </w:pPr>
      <w:r>
        <w:t xml:space="preserve">Un entrenador le repite a un atleta que va a perder la competencia. El atleta lo toma como un reto, se esfuerza más que nunca y termina ganando. ¿Qué describe la historia?</w:t>
      </w:r>
    </w:p>
    <w:p>
      <w:pPr>
        <w:pStyle w:val="Fuente"/>
      </w:pPr>
      <w:r>
        <w:t xml:space="preserve">Ordinal de la fuente: 6 · complemento editorial.</w:t>
      </w:r>
    </w:p>
    <w:p>
      <w:pPr>
        <w:pStyle w:val="Normal"/>
      </w:pPr>
      <w:r>
        <w:t xml:space="preserve">a) Proalimentación de compensación</w:t>
      </w:r>
    </w:p>
    <w:p>
      <w:pPr>
        <w:pStyle w:val="Normal"/>
      </w:pPr>
      <w:r>
        <w:t xml:space="preserve">b) Proalimentación de refuerzo</w:t>
      </w:r>
    </w:p>
    <w:p>
      <w:pPr>
        <w:pStyle w:val="Normal"/>
      </w:pPr>
      <w:r>
        <w:t xml:space="preserve">c) Retroalimentación de compensación</w:t>
      </w:r>
    </w:p>
    <w:p>
      <w:pPr>
        <w:pStyle w:val="Normal"/>
      </w:pPr>
      <w:r>
        <w:t xml:space="preserve">d) Una profecía que se cumple</w:t>
      </w:r>
    </w:p>
    <w:p>
      <w:pPr>
        <w:pStyle w:val="Heading3"/>
      </w:pPr>
      <w:bookmarkStart w:name="b_solucion_p2c_06_atleta_proalimentacion" w:id="5576"/>
      <w:r>
        <w:t xml:space="preserve">Solución 3.29</w:t>
      </w:r>
      <w:bookmarkEnd w:id="5576"/>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b) Proalimentación de refuerzo</w:t>
            </w:r>
          </w:p>
        </w:tc>
      </w:tr>
    </w:tbl>
    <w:p>
      <w:pPr>
        <w:pStyle w:val="Heading3"/>
      </w:pPr>
      <w:r>
        <w:t xml:space="preserve">Identifique la predicción</w:t>
      </w:r>
    </w:p>
    <w:p>
      <w:pPr>
        <w:pStyle w:val="Normal"/>
      </w:pPr>
      <w:r>
        <w:t xml:space="preserve">«Va a perder»: es una anticipación del futuro que actúa en el presente.</w:t>
      </w:r>
    </w:p>
    <w:p>
      <w:pPr>
        <w:pStyle w:val="Fuente"/>
      </w:pPr>
      <w:r>
        <w:t xml:space="preserve">Opciones descartadas: c).</w:t>
      </w:r>
    </w:p>
    <w:p>
      <w:pPr>
        <w:pStyle w:val="Heading3"/>
      </w:pPr>
      <w:r>
        <w:t xml:space="preserve">Compare el resultado con lo predicho</w:t>
      </w:r>
    </w:p>
    <w:p>
      <w:pPr>
        <w:pStyle w:val="Normal"/>
      </w:pPr>
      <w:r>
        <w:t xml:space="preserve">Se predijo que perdería y ganó: la predicción apartó al sistema de lo predicho.</w:t>
      </w:r>
    </w:p>
    <w:p>
      <w:pPr>
        <w:pStyle w:val="Fuente"/>
      </w:pPr>
      <w:r>
        <w:t xml:space="preserve">Opciones descartadas: d).</w:t>
      </w:r>
    </w:p>
    <w:p>
      <w:pPr>
        <w:pStyle w:val="Heading3"/>
      </w:pPr>
      <w:r>
        <w:t xml:space="preserve">Recuerde que los nombres van al revés</w:t>
      </w:r>
    </w:p>
    <w:p>
      <w:pPr>
        <w:pStyle w:val="Normal"/>
      </w:pPr>
      <w:r>
        <w:t xml:space="preserve">La que se cumple es de compensación, como el rumor de la gasolina; la que se frustra es de refuerzo.</w:t>
      </w:r>
    </w:p>
    <w:p>
      <w:pPr>
        <w:pStyle w:val="Fuente"/>
      </w:pPr>
      <w:r>
        <w:t xml:space="preserve">Opciones descartadas: a).</w:t>
      </w:r>
    </w:p>
    <w:p>
      <w:pPr>
        <w:pStyle w:val="Normal"/>
      </w:pPr>
      <w:r>
        <w:t xml:space="preserve">a) Proalimentación de compensación — La de compensación es la profecía que se cumple: lleva al sistema al estado predicho. Aquí la predicción no se cumplió.</w:t>
      </w:r>
    </w:p>
    <w:p>
      <w:pPr>
        <w:pStyle w:val="Normal"/>
      </w:pPr>
      <w:r>
        <w:t xml:space="preserve">b) Proalimentación de refuerzo — Correcta: la predicción apartó al sistema del estado predicho, una profecía contraproducente.</w:t>
      </w:r>
    </w:p>
    <w:p>
      <w:pPr>
        <w:pStyle w:val="Normal"/>
      </w:pPr>
      <w:r>
        <w:t xml:space="preserve">c) Retroalimentación de compensación — No hay una corrección al final de un proceso: hay una predicción que actúa antes.</w:t>
      </w:r>
    </w:p>
    <w:p>
      <w:pPr>
        <w:pStyle w:val="Normal"/>
      </w:pPr>
      <w:r>
        <w:t xml:space="preserve">d) Una profecía que se cumple — Es la definición de la proalimentación de compensación, y el atleta no perdió.</w:t>
      </w:r>
    </w:p>
    <w:p>
      <w:pPr>
        <w:pStyle w:val="Normal"/>
      </w:pPr>
      <w:r>
        <w:t xml:space="preserve">Criterio de resolución: El material de la unidad 3 define la proalimentación de refuerzo como el caso en que una predicción «aparta al sistema del estado predicho, es decir, se produce una profecía contraproducente». El profesor usó este mismo caso en la clase 16: «cuanto más se le dice, más se afianza en su esfuerzo», y concluyó que «la proalimentación es un refuerzo, no es […] una compensación».</w:t>
      </w:r>
    </w:p>
    <w:p>
      <w:pPr>
        <w:pStyle w:val="Normal"/>
      </w:pPr>
      <w:r>
        <w:t xml:space="preserve">Defensa: Es el caso del atleta que el profesor explicó en la clase 16 como proalimentación de refuerzo, y el material lo define como profecía contraproducente.</w:t>
      </w:r>
    </w:p>
    <w:p>
      <w:pPr>
        <w:pStyle w:val="Fuente"/>
      </w:pPr>
      <w:r>
        <w:t xml:space="preserve">Material de la unidad 3, pág. 102 · lámina c16-08 · Clase 16 · 00:57:54–01:00:01</w:t>
      </w:r>
    </w:p>
    <w:p>
      <w:pPr>
        <w:pStyle w:val="Heading3"/>
      </w:pPr>
      <w:bookmarkStart w:name="b_pregunta_p2c_07_curva_en_s" w:id="5577"/>
      <w:r>
        <w:t xml:space="preserve">3.30 · Unidad 3 · 3.8 · Patrones: el crecimiento en S</w:t>
      </w:r>
      <w:bookmarkEnd w:id="5577"/>
    </w:p>
    <w:p>
      <w:pPr>
        <w:pStyle w:val="Normal"/>
      </w:pPr>
      <w:r>
        <w:t xml:space="preserve">Una variable crece cada vez más rápido, luego se frena y termina estabilizándose: dibuja una curva en forma de S. ¿Qué estructura genera ese comportamiento?</w:t>
      </w:r>
    </w:p>
    <w:p>
      <w:pPr>
        <w:pStyle w:val="Fuente"/>
      </w:pPr>
      <w:r>
        <w:t xml:space="preserve">Ordinal de la fuente: 7 · complemento editorial.</w:t>
      </w:r>
    </w:p>
    <w:p>
      <w:pPr>
        <w:pStyle w:val="Normal"/>
      </w:pPr>
      <w:r>
        <w:t xml:space="preserve">a) Un solo ciclo de refuerzo</w:t>
      </w:r>
    </w:p>
    <w:p>
      <w:pPr>
        <w:pStyle w:val="Normal"/>
      </w:pPr>
      <w:r>
        <w:t xml:space="preserve">b) Un solo ciclo de balance</w:t>
      </w:r>
    </w:p>
    <w:p>
      <w:pPr>
        <w:pStyle w:val="Normal"/>
      </w:pPr>
      <w:r>
        <w:t xml:space="preserve">c) Un ciclo de refuerzo acoplado con uno de balance que comparten una variable</w:t>
      </w:r>
    </w:p>
    <w:p>
      <w:pPr>
        <w:pStyle w:val="Normal"/>
      </w:pPr>
      <w:r>
        <w:t xml:space="preserve">d) Dos ciclos de refuerzo</w:t>
      </w:r>
    </w:p>
    <w:p>
      <w:pPr>
        <w:pStyle w:val="Heading3"/>
      </w:pPr>
      <w:bookmarkStart w:name="b_solucion_p2c_07_curva_en_s" w:id="5578"/>
      <w:r>
        <w:t xml:space="preserve">Solución 3.30</w:t>
      </w:r>
      <w:bookmarkEnd w:id="5578"/>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c) Un ciclo de refuerzo acoplado con uno de balance que comparten una variable</w:t>
            </w:r>
          </w:p>
        </w:tc>
      </w:tr>
    </w:tbl>
    <w:p>
      <w:pPr>
        <w:pStyle w:val="Heading3"/>
      </w:pPr>
      <w:r>
        <w:t xml:space="preserve">Separe las dos fases de la S</w:t>
      </w:r>
    </w:p>
    <w:p>
      <w:pPr>
        <w:pStyle w:val="Normal"/>
      </w:pPr>
      <w:r>
        <w:t xml:space="preserve">Primero se acelera, después se frena: son dos comportamientos distintos.</w:t>
      </w:r>
    </w:p>
    <w:p>
      <w:pPr>
        <w:pStyle w:val="Heading3"/>
      </w:pPr>
      <w:r>
        <w:t xml:space="preserve">Asigne una estructura a cada fase</w:t>
      </w:r>
    </w:p>
    <w:p>
      <w:pPr>
        <w:pStyle w:val="Normal"/>
      </w:pPr>
      <w:r>
        <w:t xml:space="preserve">La aceleración es de un refuerzo; el freno hasta un límite, de un balance.</w:t>
      </w:r>
    </w:p>
    <w:p>
      <w:pPr>
        <w:pStyle w:val="Fuente"/>
      </w:pPr>
      <w:r>
        <w:t xml:space="preserve">Opciones descartadas: a), b), d).</w:t>
      </w:r>
    </w:p>
    <w:p>
      <w:pPr>
        <w:pStyle w:val="Normal"/>
      </w:pPr>
      <w:r>
        <w:t xml:space="preserve">a) Un solo ciclo de refuerzo — Un refuerzo solo da la primera fase: la curva que se empina sin freno.</w:t>
      </w:r>
    </w:p>
    <w:p>
      <w:pPr>
        <w:pStyle w:val="Normal"/>
      </w:pPr>
      <w:r>
        <w:t xml:space="preserve">b) Un solo ciclo de balance — Un balance solo da la segunda: la curva que se frena desde el inicio, como la del depósito de la pregunta 20.</w:t>
      </w:r>
    </w:p>
    <w:p>
      <w:pPr>
        <w:pStyle w:val="Normal"/>
      </w:pPr>
      <w:r>
        <w:t xml:space="preserve">c) Un ciclo de refuerzo acoplado con uno de balance que comparten una variable — Correcta: el refuerzo produce el crecimiento y el balance lo estrecha hasta estabilizarlo.</w:t>
      </w:r>
    </w:p>
    <w:p>
      <w:pPr>
        <w:pStyle w:val="Normal"/>
      </w:pPr>
      <w:r>
        <w:t xml:space="preserve">d) Dos ciclos de refuerzo — Dos refuerzos se empinan juntos: nada los estabiliza.</w:t>
      </w:r>
    </w:p>
    <w:p>
      <w:pPr>
        <w:pStyle w:val="Normal"/>
      </w:pPr>
      <w:r>
        <w:t xml:space="preserve">Criterio de resolución: La lectura L-10 lo explica en «Sistemas acoplados de realimentación no lineal»: el crecimiento tiene dos fases, una exponencial y otra que se aplana, porque «la realimentación positiva que genera el crecimiento exponencial, se estrecha por la realimentación negativa, que conduce a la estabilización del crecimiento». El profesor dijo que, al combinarse un refuerzo y un balance, el efecto sobre la variable compartida depende de cuál pesa más.</w:t>
      </w:r>
    </w:p>
    <w:p>
      <w:pPr>
        <w:pStyle w:val="Normal"/>
      </w:pPr>
      <w:r>
        <w:t xml:space="preserve">Defensa: Es la estructura de las preguntas 3, 10 y 17 del parcial: un ciclo de refuerzo que crece y ciclos de balance que lo frenan sobre una variable compartida, como describe la lectura L-10.</w:t>
      </w:r>
    </w:p>
    <w:p>
      <w:pPr>
        <w:pStyle w:val="Fuente"/>
      </w:pPr>
      <w:r>
        <w:t xml:space="preserve">lectura L-10 pág. 11 · Clase 16 · 00:50:41–00:51:07</w:t>
      </w:r>
    </w:p>
    <w:p>
      <w:pPr>
        <w:pStyle w:val="Heading3"/>
      </w:pPr>
      <w:bookmarkStart w:name="b_pregunta_p2c_08_variable_inte_ecabc93c" w:id="5579"/>
      <w:r>
        <w:t xml:space="preserve">3.31 · Unidad 3 · 3.3 · Diagramas de ciclos causales: variables intermedias</w:t>
      </w:r>
      <w:bookmarkEnd w:id="5579"/>
    </w:p>
    <w:p>
      <w:pPr>
        <w:pStyle w:val="Normal"/>
      </w:pPr>
      <w:r>
        <w:t xml:space="preserve">En un diagrama del vaso de agua, la flecha va directo de “flujo de agua” a “brecha percibida”. ¿Qué conviene hacer para que el diagrama cuente la historia de forma más explícita?</w:t>
      </w:r>
    </w:p>
    <w:p>
      <w:pPr>
        <w:pStyle w:val="Fuente"/>
      </w:pPr>
      <w:r>
        <w:t xml:space="preserve">Ordinal de la fuente: 8 · complemento editorial.</w:t>
      </w:r>
    </w:p>
    <w:p>
      <w:pPr>
        <w:pStyle w:val="Normal"/>
      </w:pPr>
      <w:r>
        <w:t xml:space="preserve">a) Agregar entre las dos la variable “nivel de agua en el vaso”</w:t>
      </w:r>
    </w:p>
    <w:p>
      <w:pPr>
        <w:pStyle w:val="Normal"/>
      </w:pPr>
      <w:r>
        <w:t xml:space="preserve">b) Cambiar la polaridad de la flecha</w:t>
      </w:r>
    </w:p>
    <w:p>
      <w:pPr>
        <w:pStyle w:val="Normal"/>
      </w:pPr>
      <w:r>
        <w:t xml:space="preserve">c) Eliminar la variable “brecha percibida”</w:t>
      </w:r>
    </w:p>
    <w:p>
      <w:pPr>
        <w:pStyle w:val="Normal"/>
      </w:pPr>
      <w:r>
        <w:t xml:space="preserve">d) Marcar una demora en la flecha</w:t>
      </w:r>
    </w:p>
    <w:p>
      <w:pPr>
        <w:pStyle w:val="Heading3"/>
      </w:pPr>
      <w:bookmarkStart w:name="b_solucion_p2c_08_variable_inte_b4c68b8b" w:id="5580"/>
      <w:r>
        <w:t xml:space="preserve">Solución 3.31</w:t>
      </w:r>
      <w:bookmarkEnd w:id="5580"/>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a) Agregar entre las dos la variable “nivel de agua en el vaso”</w:t>
            </w:r>
          </w:p>
        </w:tc>
      </w:tr>
    </w:tbl>
    <w:p>
      <w:pPr>
        <w:pStyle w:val="Heading3"/>
      </w:pPr>
      <w:r>
        <w:t xml:space="preserve">Cuente la historia paso a paso</w:t>
      </w:r>
    </w:p>
    <w:p>
      <w:pPr>
        <w:pStyle w:val="Normal"/>
      </w:pPr>
      <w:r>
        <w:t xml:space="preserve">El agua que entra sube el nivel del vaso, y es el nivel lo que se compara con el deseado. El flujo no se compara directamente.</w:t>
      </w:r>
    </w:p>
    <w:p>
      <w:pPr>
        <w:pStyle w:val="Heading3"/>
      </w:pPr>
      <w:r>
        <w:t xml:space="preserve">Agregue el paso que falta</w:t>
      </w:r>
    </w:p>
    <w:p>
      <w:pPr>
        <w:pStyle w:val="Normal"/>
      </w:pPr>
      <w:r>
        <w:t xml:space="preserve">«Nivel de agua en el vaso» entre el flujo y la brecha hace explícita la historia.</w:t>
      </w:r>
    </w:p>
    <w:p>
      <w:pPr>
        <w:pStyle w:val="Fuente"/>
      </w:pPr>
      <w:r>
        <w:t xml:space="preserve">Opciones descartadas: b), c), d).</w:t>
      </w:r>
    </w:p>
    <w:p>
      <w:pPr>
        <w:pStyle w:val="Normal"/>
      </w:pPr>
      <w:r>
        <w:t xml:space="preserve">a) Agregar entre las dos la variable “nivel de agua en el vaso” — Correcta: es la corrección del profesor y el lineamiento de Kim del término intermedio.</w:t>
      </w:r>
    </w:p>
    <w:p>
      <w:pPr>
        <w:pStyle w:val="Normal"/>
      </w:pPr>
      <w:r>
        <w:t xml:space="preserve">b) Cambiar la polaridad de la flecha — El problema no es el signo, sino que falta un paso de la historia.</w:t>
      </w:r>
    </w:p>
    <w:p>
      <w:pPr>
        <w:pStyle w:val="Normal"/>
      </w:pPr>
      <w:r>
        <w:t xml:space="preserve">c) Eliminar la variable “brecha percibida” — La brecha percibida es la que compara con el objetivo: sin ella el ciclo de balance pierde su meta.</w:t>
      </w:r>
    </w:p>
    <w:p>
      <w:pPr>
        <w:pStyle w:val="Normal"/>
      </w:pPr>
      <w:r>
        <w:t xml:space="preserve">d) Marcar una demora en la flecha — La historia del vaso no habla de una demora; lo que falta es una variable.</w:t>
      </w:r>
    </w:p>
    <w:p>
      <w:pPr>
        <w:pStyle w:val="Normal"/>
      </w:pPr>
      <w:r>
        <w:t xml:space="preserve">Criterio de resolución: En la clase 13 el profesor dijo que pudo haberse puesto «una variable tal vez que de flujo de agua determine el nivel de agua en el vaso y el nivel de agua vaso determine la brecha percibida […] agregamos ahí una variable más al ciclo para hacer más explícita la historia». Es el lineamiento de Kim proyectado en la clase 16: si una relación necesita muchas explicaciones, se inserta un término intermedio.</w:t>
      </w:r>
    </w:p>
    <w:p>
      <w:pPr>
        <w:pStyle w:val="Normal"/>
      </w:pPr>
      <w:r>
        <w:t xml:space="preserve">Defensa: Es la corrección literal de la clase 13 y coincide con el lineamiento de Kim del término intermedio, que la clase proyectó.</w:t>
      </w:r>
    </w:p>
    <w:p>
      <w:pPr>
        <w:pStyle w:val="Fuente"/>
      </w:pPr>
      <w:r>
        <w:t xml:space="preserve">Clase 13 · 00:52:56–00:53:25 · lectura L-9 · lámina c16-06 · Clase 16 · 00:41:57–00:42:37</w:t>
      </w:r>
    </w:p>
    <w:p>
      <w:pPr>
        <w:pStyle w:val="Heading3"/>
      </w:pPr>
      <w:bookmarkStart w:name="b_pregunta_p2c_09_refuerzo_de_la_culpa" w:id="5581"/>
      <w:r>
        <w:t xml:space="preserve">3.32 · Unidad 3 · 3.5 · Refuerzo y compensación: contar ciclos</w:t>
      </w:r>
      <w:bookmarkEnd w:id="5581"/>
    </w:p>
    <w:p>
      <w:pPr>
        <w:pStyle w:val="Normal"/>
      </w:pPr>
      <w:r>
        <w:t xml:space="preserve">En el siguiente modelo de ciclos causales ¿Cuántos ciclos de compensación se tienen? (escriba el número en el espacio de respuesta)</w:t>
      </w:r>
    </w:p>
    <w:p>
      <w:pPr>
        <w:pStyle w:val="Fuente"/>
      </w:pPr>
      <w:r>
        <w:t xml:space="preserve">Ordinal de la fuente: 9 · complemento editorial.</w:t>
      </w:r>
    </w:p>
    <w:p>
      <w:pPr>
        <w:keepNext/>
        <w:spacing w:after="40" w:before="150"/>
        <w:jc w:val="center"/>
      </w:pPr>
      <w:bookmarkStart w:name="b_figura_original_p2c_09_refuer_5deca1b1" w:id="5582"/>
      <w:bookmarkEnd w:id="5582"/>
      <w:r>
        <w:drawing>
          <wp:inline distT="0" distB="0" distL="0" distR="0">
            <wp:extent cx="5381625" cy="3590925"/>
            <wp:effectExtent t="0" r="0" b="0" l="0"/>
            <wp:docPr id="230" name="p2c-09-refuerzo-de-la-culpa-enunciado" descr="lámina c16-04 · Clase 16 · 00:29:52–00:30:01 · Clase 15 · 01:15:17–01:16:15" title="Unidad 3 · 3.5 · Refuerzo y compensación: contar cicl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94" cstate="none"/>
                    <a:srcRect/>
                    <a:stretch>
                      <a:fillRect/>
                    </a:stretch>
                  </pic:blipFill>
                  <pic:spPr bwMode="auto">
                    <a:xfrm>
                      <a:off x="0" y="0"/>
                      <a:ext cx="5381625" cy="3590925"/>
                    </a:xfrm>
                    <a:prstGeom prst="rect">
                      <a:avLst/>
                    </a:prstGeom>
                  </pic:spPr>
                </pic:pic>
              </a:graphicData>
            </a:graphic>
          </wp:inline>
        </w:drawing>
      </w:r>
    </w:p>
    <w:p>
      <w:pPr>
        <w:pStyle w:val="PieFigura"/>
        <w:keepNext/>
      </w:pPr>
      <w:bookmarkStart w:name="b_fig_V3_15" w:id="5583"/>
      <w:r>
        <w:t xml:space="preserve">Figura V3.</w:t>
      </w:r>
      <w:fldSimple w:instr="SEQ Figura \n \* ARABIC">
        <w:r>
          <w:t xml:space="preserve">15</w:t>
        </w:r>
      </w:fldSimple>
      <w:r>
        <w:t xml:space="preserve"> · Unidad 3 · 3.5 · Refuerzo y compensación: contar ciclos</w:t>
      </w:r>
      <w:bookmarkEnd w:id="5583"/>
    </w:p>
    <w:p>
      <w:pPr>
        <w:pStyle w:val="Fuente"/>
      </w:pPr>
      <w:r>
        <w:t xml:space="preserve">lámina c16-04 · Clase 16 · 00:29:52–00:30:01 · Clase 15 · 01:15:17–01:16:15</w:t>
      </w:r>
    </w:p>
    <w:p>
      <w:pPr>
        <w:pStyle w:val="Heading3"/>
      </w:pPr>
      <w:bookmarkStart w:name="b_solucion_p2c_09_refuerzo_de_la_culpa" w:id="5584"/>
      <w:r>
        <w:t xml:space="preserve">Solución 3.32</w:t>
      </w:r>
      <w:bookmarkEnd w:id="5584"/>
    </w:p>
    <w:p>
      <w:pPr>
        <w:pStyle w:val="RecuadroTitulo"/>
      </w:pPr>
      <w:r>
        <w:t xml:space="preserve">Respuesta modelo</w:t>
      </w:r>
    </w:p>
    <w:p>
      <w:pPr>
        <w:pStyle w:val="Normal"/>
      </w:pPr>
      <w:r>
        <w:t xml:space="preserve">1. </w:t>
      </w:r>
    </w:p>
    <w:p>
      <w:pPr>
        <w:pStyle w:val="Normal"/>
      </w:pPr>
      <w:r>
        <w:t xml:space="preserve">Hay dos ciclos y los dos son de refuerzo. El de los encubrimientos tiene dos negativas, de encubrimientos a flujo de información y de habilidad de resolver problemas a errores. El de los riesgos tiene otras dos, de miedo a toma de riesgos y de habilidad de resolver problemas a errores.</w:t>
      </w:r>
    </w:p>
    <w:p>
      <w:pPr>
        <w:pStyle w:val="Fuente"/>
      </w:pPr>
      <w:r>
        <w:t xml:space="preserve">Control numérico: 0.</w:t>
      </w:r>
    </w:p>
    <w:p>
      <w:pPr>
        <w:keepNext/>
        <w:spacing w:after="40" w:before="150"/>
        <w:jc w:val="center"/>
      </w:pPr>
      <w:bookmarkStart w:name="b_figura_original_p2c_09_refuer_f6549db9" w:id="5585"/>
      <w:bookmarkEnd w:id="5585"/>
      <w:r>
        <w:drawing>
          <wp:inline distT="0" distB="0" distL="0" distR="0">
            <wp:extent cx="5381625" cy="3590925"/>
            <wp:effectExtent t="0" r="0" b="0" l="0"/>
            <wp:docPr id="231" name="p2c-09-refuerzo-de-la-culpa-modelo" descr="lámina c16-04 · Clase 16 · 00:29:52–00:30:01 · Clase 15 · 01:15:17–01:16:15" title="Unidad 3 · 3.5 · Refuerzo y compensación: contar cicl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95" cstate="none"/>
                    <a:srcRect/>
                    <a:stretch>
                      <a:fillRect/>
                    </a:stretch>
                  </pic:blipFill>
                  <pic:spPr bwMode="auto">
                    <a:xfrm>
                      <a:off x="0" y="0"/>
                      <a:ext cx="5381625" cy="3590925"/>
                    </a:xfrm>
                    <a:prstGeom prst="rect">
                      <a:avLst/>
                    </a:prstGeom>
                  </pic:spPr>
                </pic:pic>
              </a:graphicData>
            </a:graphic>
          </wp:inline>
        </w:drawing>
      </w:r>
    </w:p>
    <w:p>
      <w:pPr>
        <w:pStyle w:val="PieFigura"/>
        <w:keepNext/>
      </w:pPr>
      <w:bookmarkStart w:name="b_fig_V3_16" w:id="5586"/>
      <w:r>
        <w:t xml:space="preserve">Figura V3.</w:t>
      </w:r>
      <w:fldSimple w:instr="SEQ Figura \n \* ARABIC">
        <w:r>
          <w:t xml:space="preserve">16</w:t>
        </w:r>
      </w:fldSimple>
      <w:r>
        <w:t xml:space="preserve"> · Unidad 3 · 3.5 · Refuerzo y compensación: contar ciclos</w:t>
      </w:r>
      <w:bookmarkEnd w:id="5586"/>
    </w:p>
    <w:p>
      <w:pPr>
        <w:pStyle w:val="LecturaFigura"/>
        <w:keepNext/>
      </w:pPr>
      <w:r>
        <w:rPr>
          <w:b/>
          <w:bCs/>
        </w:rPr>
        <w:t xml:space="preserve">Lectura del diagrama: </w:t>
      </w:r>
      <w:r>
        <w:t xml:space="preserve">2 ciclos de refuerzo y 0 de balance. Buscar culpables da miedo; el miedo trae encubrimientos y menos toma de riesgos, y las dos cosas quitan habilidad para resolver problemas, lo que produce más errores. Cada ciclo tiene dos negativas: los dos refuerzan.</w:t>
      </w:r>
    </w:p>
    <w:p>
      <w:pPr>
        <w:pStyle w:val="Fuente"/>
      </w:pPr>
      <w:r>
        <w:t xml:space="preserve">lámina c16-04 · Clase 16 · 00:29:52–00:30:01 · Clase 15 · 01:15:17–01:16:15</w:t>
      </w:r>
    </w:p>
    <w:p>
      <w:pPr>
        <w:pStyle w:val="Heading3"/>
      </w:pPr>
      <w:r>
        <w:t xml:space="preserve">Criterios para una respuesta completa</w:t>
      </w:r>
    </w:p>
    <w:p>
      <w:pPr>
        <w:pStyle w:val="Normal"/>
        <w:numPr>
          <w:ilvl w:val="0"/>
          <w:numId w:val="2"/>
        </w:numPr>
      </w:pPr>
      <w:r>
        <w:t xml:space="preserve">Escribe sólo la cifra: 0.</w:t>
      </w:r>
    </w:p>
    <w:p>
      <w:pPr>
        <w:pStyle w:val="Normal"/>
        <w:numPr>
          <w:ilvl w:val="0"/>
          <w:numId w:val="2"/>
        </w:numPr>
      </w:pPr>
      <w:r>
        <w:t xml:space="preserve">Clasifica cada ciclo por separado contando sus negativas.</w:t>
      </w:r>
    </w:p>
    <w:p>
      <w:pPr>
        <w:pStyle w:val="Normal"/>
        <w:numPr>
          <w:ilvl w:val="0"/>
          <w:numId w:val="2"/>
        </w:numPr>
      </w:pPr>
      <w:r>
        <w:t xml:space="preserve">Nota que la negativa de habilidad de resolver a errores está en los dos ciclos.</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9C620A" w:sz="20"/>
              <w:bottom w:val="nil"/>
              <w:right w:val="nil"/>
            </w:tcBorders>
            <w:shd w:fill="FBF3DF" w:val="clear"/>
            <w:tcMar>
              <w:top w:type="dxa" w:w="130"/>
              <w:left w:type="dxa" w:w="180"/>
              <w:bottom w:type="dxa" w:w="130"/>
              <w:right w:type="dxa" w:w="180"/>
            </w:tcMar>
          </w:tcPr>
          <w:p>
            <w:pPr>
              <w:pStyle w:val="RecuadroTitulo"/>
            </w:pPr>
            <w:r>
              <w:rPr>
                <w:b/>
                <w:bCs/>
                <w:color w:val="9C620A"/>
              </w:rPr>
              <w:t xml:space="preserve">Advertencia y límites</w:t>
            </w:r>
          </w:p>
          <w:p>
            <w:pPr>
              <w:pStyle w:val="Recuadro"/>
            </w:pPr>
            <w:r>
              <w:t xml:space="preserve">El profesor lo dijo al proyectarlo: «tiene dos ciclos, dos ciclos de refuerzo». El diagrama completo tiene tres signos «−», un número impar, y eso invita a responder 1. La regla se aplica ciclo por ciclo, nunca sumando todos los signos del diagrama.</w:t>
            </w:r>
          </w:p>
        </w:tc>
      </w:tr>
    </w:tbl>
    <w:p>
      <w:pPr>
        <w:pStyle w:val="Fuente"/>
      </w:pPr>
      <w:r>
        <w:t xml:space="preserve">lámina c16-04 · Clase 16 · 00:29:52–00:30:01 · Clase 15 · 01:15:17–01:16:15</w:t>
      </w:r>
    </w:p>
    <w:p>
      <w:pPr>
        <w:pStyle w:val="Heading3"/>
      </w:pPr>
      <w:bookmarkStart w:name="b_pregunta_p2c_10_virtuoso_y_vicioso" w:id="5587"/>
      <w:r>
        <w:t xml:space="preserve">3.33 · Unidad 3 · 3.5 · Refuerzo y compensación: virtuoso y vicioso</w:t>
      </w:r>
      <w:bookmarkEnd w:id="5587"/>
    </w:p>
    <w:p>
      <w:pPr>
        <w:pStyle w:val="Normal"/>
      </w:pPr>
      <w:r>
        <w:t xml:space="preserve">La estructura de clientes, comentarios y ventas puede funcionar como un círculo virtuoso o como uno vicioso. ¿Qué tienen en común los dos y de qué depende que sea uno u otro?</w:t>
      </w:r>
    </w:p>
    <w:p>
      <w:pPr>
        <w:pStyle w:val="Fuente"/>
      </w:pPr>
      <w:r>
        <w:t xml:space="preserve">Ordinal de la fuente: 10 · complemento editorial.</w:t>
      </w:r>
    </w:p>
    <w:p>
      <w:pPr>
        <w:pStyle w:val="Heading3"/>
      </w:pPr>
      <w:bookmarkStart w:name="b_solucion_p2c_10_virtuoso_y_vicioso" w:id="5588"/>
      <w:r>
        <w:t xml:space="preserve">Solución 3.33</w:t>
      </w:r>
      <w:bookmarkEnd w:id="5588"/>
    </w:p>
    <w:p>
      <w:pPr>
        <w:pStyle w:val="RecuadroTitulo"/>
      </w:pPr>
      <w:r>
        <w:t xml:space="preserve">Respuesta modelo</w:t>
      </w:r>
    </w:p>
    <w:p>
      <w:pPr>
        <w:pStyle w:val="Normal"/>
      </w:pPr>
      <w:r>
        <w:t xml:space="preserve">Los dos son ciclos de refuerzo con la misma estructura; la diferencia no está en los signos, sino en cómo se valoran sus consecuencias para el sistema.</w:t>
      </w:r>
    </w:p>
    <w:p>
      <w:pPr>
        <w:pStyle w:val="Normal"/>
      </w:pPr>
      <w:r>
        <w:t xml:space="preserve">Si el ciclo amplifica resultados favorables, como más clientes satisfechos y más ventas, es virtuoso; si amplifica resultados desfavorables, como menos ventas, es vicioso. Virtuoso no significa que las variables crezcan: en un sistema de software, lo virtuoso es que la cantidad de fallos disminuya con el tiempo.</w:t>
      </w:r>
    </w:p>
    <w:p>
      <w:pPr>
        <w:pStyle w:val="Heading3"/>
      </w:pPr>
      <w:r>
        <w:t xml:space="preserve">Criterios para una respuesta completa</w:t>
      </w:r>
    </w:p>
    <w:p>
      <w:pPr>
        <w:pStyle w:val="Normal"/>
        <w:numPr>
          <w:ilvl w:val="0"/>
          <w:numId w:val="2"/>
        </w:numPr>
      </w:pPr>
      <w:r>
        <w:t xml:space="preserve">Dice que los dos son ciclos de refuerzo con la misma estructura.</w:t>
      </w:r>
    </w:p>
    <w:p>
      <w:pPr>
        <w:pStyle w:val="Normal"/>
        <w:numPr>
          <w:ilvl w:val="0"/>
          <w:numId w:val="2"/>
        </w:numPr>
      </w:pPr>
      <w:r>
        <w:t xml:space="preserve">Explica que la diferencia está en la valoración de las consecuencias para el sistema.</w:t>
      </w:r>
    </w:p>
    <w:p>
      <w:pPr>
        <w:pStyle w:val="Normal"/>
        <w:numPr>
          <w:ilvl w:val="0"/>
          <w:numId w:val="2"/>
        </w:numPr>
      </w:pPr>
      <w:r>
        <w:t xml:space="preserve">Reconoce que un ciclo virtuoso puede hacer bajar una variable, como los fallos.</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9C620A" w:sz="20"/>
              <w:bottom w:val="nil"/>
              <w:right w:val="nil"/>
            </w:tcBorders>
            <w:shd w:fill="FBF3DF" w:val="clear"/>
            <w:tcMar>
              <w:top w:type="dxa" w:w="130"/>
              <w:left w:type="dxa" w:w="180"/>
              <w:bottom w:type="dxa" w:w="130"/>
              <w:right w:type="dxa" w:w="180"/>
            </w:tcMar>
          </w:tcPr>
          <w:p>
            <w:pPr>
              <w:pStyle w:val="RecuadroTitulo"/>
            </w:pPr>
            <w:r>
              <w:rPr>
                <w:b/>
                <w:bCs/>
                <w:color w:val="9C620A"/>
              </w:rPr>
              <w:t xml:space="preserve">Advertencia y límites</w:t>
            </w:r>
          </w:p>
          <w:p>
            <w:pPr>
              <w:pStyle w:val="Recuadro"/>
            </w:pPr>
            <w:r>
              <w:t xml:space="preserve">El profesor: «Ambos son ciclos de refuerzo y la diferencia está en la valoración de sus consecuencias, no en su estructura básica». Creer que el vicioso tiene relaciones negativas y el virtuoso no: la estructura es la misma.</w:t>
            </w:r>
          </w:p>
        </w:tc>
      </w:tr>
    </w:tbl>
    <w:p>
      <w:pPr>
        <w:pStyle w:val="Fuente"/>
      </w:pPr>
      <w:r>
        <w:t xml:space="preserve">Clase 14 · 01:31:26–01:33:01 · Clase 14 · 01:36:24–01:36:46 · lámina c14-14 · Clase 14 · 01:26:29–01:30:10</w:t>
      </w:r>
    </w:p>
    <w:p>
      <w:pPr>
        <w:pStyle w:val="Heading3"/>
      </w:pPr>
      <w:bookmarkStart w:name="b_pregunta_p2c_11_retro_reali_p_463cbf34" w:id="5589"/>
      <w:r>
        <w:t xml:space="preserve">3.34 · Unidad 3 · 3.5 · Retroalimentación, realimentación y proalimentación</w:t>
      </w:r>
      <w:bookmarkEnd w:id="5589"/>
    </w:p>
    <w:p>
      <w:pPr>
        <w:pStyle w:val="Normal"/>
      </w:pPr>
      <w:r>
        <w:t xml:space="preserve">Relacione cada característica con el concepto al que corresponde.</w:t>
      </w:r>
    </w:p>
    <w:p>
      <w:pPr>
        <w:pStyle w:val="Fuente"/>
      </w:pPr>
      <w:r>
        <w:t xml:space="preserve">Ordinal de la fuente: 11 · complemento editorial.</w:t>
      </w:r>
    </w:p>
    <w:p>
      <w:pPr>
        <w:pStyle w:val="Normal"/>
      </w:pPr>
      <w:r>
        <w:t xml:space="preserve">a) Fila: Aparece al final del proceso</w:t>
      </w:r>
    </w:p>
    <w:p>
      <w:pPr>
        <w:pStyle w:val="Normal"/>
      </w:pPr>
      <w:r>
        <w:t xml:space="preserve">b) Fila: Es todo el sistema, no aparece en el proceso</w:t>
      </w:r>
    </w:p>
    <w:p>
      <w:pPr>
        <w:pStyle w:val="Normal"/>
      </w:pPr>
      <w:r>
        <w:t xml:space="preserve">c) Fila: Secuencia y cronología</w:t>
      </w:r>
    </w:p>
    <w:p>
      <w:pPr>
        <w:pStyle w:val="Normal"/>
      </w:pPr>
      <w:r>
        <w:t xml:space="preserve">d) Fila: Influencia</w:t>
      </w:r>
    </w:p>
    <w:p>
      <w:pPr>
        <w:pStyle w:val="Normal"/>
      </w:pPr>
      <w:r>
        <w:t xml:space="preserve">e) Fila: Opinión, evaluación, corrección, mejoramiento</w:t>
      </w:r>
    </w:p>
    <w:p>
      <w:pPr>
        <w:pStyle w:val="Normal"/>
      </w:pPr>
      <w:r>
        <w:t xml:space="preserve">f) Fila: Una predicción que lleva al sistema hacia el estado predicho</w:t>
      </w:r>
    </w:p>
    <w:p>
      <w:pPr>
        <w:pStyle w:val="Normal"/>
      </w:pPr>
      <w:r>
        <w:t xml:space="preserve">g) a) Retroalimentación</w:t>
      </w:r>
    </w:p>
    <w:p>
      <w:pPr>
        <w:pStyle w:val="Normal"/>
      </w:pPr>
      <w:r>
        <w:t xml:space="preserve">h) b) Realimentación</w:t>
      </w:r>
    </w:p>
    <w:p>
      <w:pPr>
        <w:pStyle w:val="Normal"/>
      </w:pPr>
      <w:r>
        <w:t xml:space="preserve">i) c) Proalimentación de compensación</w:t>
      </w:r>
    </w:p>
    <w:p>
      <w:pPr>
        <w:pStyle w:val="Heading3"/>
      </w:pPr>
      <w:bookmarkStart w:name="b_solucion_p2c_11_retro_reali_p_c114bca9" w:id="5590"/>
      <w:r>
        <w:t xml:space="preserve">Solución 3.34</w:t>
      </w:r>
      <w:bookmarkEnd w:id="5590"/>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Aparece al final del proceso → Retroalimentación</w:t>
            </w:r>
          </w:p>
          <w:p>
            <w:pPr>
              <w:pStyle w:val="Recuadro"/>
            </w:pPr>
            <w:r>
              <w:t xml:space="preserve">Es todo el sistema, no aparece en el proceso → Realimentación</w:t>
            </w:r>
          </w:p>
          <w:p>
            <w:pPr>
              <w:pStyle w:val="Recuadro"/>
            </w:pPr>
            <w:r>
              <w:t xml:space="preserve">Secuencia y cronología → Retroalimentación</w:t>
            </w:r>
          </w:p>
          <w:p>
            <w:pPr>
              <w:pStyle w:val="Recuadro"/>
            </w:pPr>
            <w:r>
              <w:t xml:space="preserve">Influencia → Realimentación</w:t>
            </w:r>
          </w:p>
          <w:p>
            <w:pPr>
              <w:pStyle w:val="Recuadro"/>
            </w:pPr>
            <w:r>
              <w:t xml:space="preserve">Opinión, evaluación, corrección, mejoramiento → Retroalimentación</w:t>
            </w:r>
          </w:p>
          <w:p>
            <w:pPr>
              <w:pStyle w:val="Recuadro"/>
            </w:pPr>
            <w:r>
              <w:t xml:space="preserve">Una predicción que lleva al sistema hacia el estado predicho → Proalimentación de compensación</w:t>
            </w:r>
          </w:p>
        </w:tc>
      </w:tr>
    </w:tbl>
    <w:p>
      <w:pPr>
        <w:pStyle w:val="Heading3"/>
      </w:pPr>
      <w:r>
        <w:t xml:space="preserve">Separe el momento</w:t>
      </w:r>
    </w:p>
    <w:p>
      <w:pPr>
        <w:pStyle w:val="Normal"/>
      </w:pPr>
      <w:r>
        <w:t xml:space="preserve">La retroalimentación llega al final, cuando el proceso terminó; la realimentación actúa todo el tiempo dentro del ciclo.</w:t>
      </w:r>
    </w:p>
    <w:p>
      <w:pPr>
        <w:pStyle w:val="Heading3"/>
      </w:pPr>
      <w:r>
        <w:t xml:space="preserve">Busque la anticipación</w:t>
      </w:r>
    </w:p>
    <w:p>
      <w:pPr>
        <w:pStyle w:val="Normal"/>
      </w:pPr>
      <w:r>
        <w:t xml:space="preserve">Lo único que actúa antes de que algo pase es la proalimentación.</w:t>
      </w:r>
    </w:p>
    <w:p>
      <w:pPr>
        <w:pStyle w:val="Normal"/>
      </w:pPr>
      <w:r>
        <w:t xml:space="preserve">Criterio de resolución: Las cinco primeras filas son literales de la figura 29 de Echeverri y Franco, «Diferencias conceptuales entre retroalimentación y realimentación»: la retroalimentación es del enfoque tradicional, una parte del sistema que corrige al final del proceso; la realimentación es del pensamiento sistémico, todo el ciclo de influencias. La última es la definición del material: la proalimentación de compensación «se da cuando la predicción o anticipación de un cambio conduce al sistema hacia el estado predicho».</w:t>
      </w:r>
    </w:p>
    <w:p>
      <w:pPr>
        <w:pStyle w:val="Normal"/>
      </w:pPr>
      <w:r>
        <w:t xml:space="preserve">Defensa: Las filas son literales de la tabla de la lectura L-13, y la de proalimentación, de la lámina que el profesor explicó en la clase 16.</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9C620A" w:sz="20"/>
              <w:bottom w:val="nil"/>
              <w:right w:val="nil"/>
            </w:tcBorders>
            <w:shd w:fill="FBF3DF" w:val="clear"/>
            <w:tcMar>
              <w:top w:type="dxa" w:w="130"/>
              <w:left w:type="dxa" w:w="180"/>
              <w:bottom w:type="dxa" w:w="130"/>
              <w:right w:type="dxa" w:w="180"/>
            </w:tcMar>
          </w:tcPr>
          <w:p>
            <w:pPr>
              <w:pStyle w:val="RecuadroTitulo"/>
            </w:pPr>
            <w:r>
              <w:rPr>
                <w:b/>
                <w:bCs/>
                <w:color w:val="9C620A"/>
              </w:rPr>
              <w:t xml:space="preserve">Advertencia y límites</w:t>
            </w:r>
          </w:p>
          <w:p>
            <w:pPr>
              <w:pStyle w:val="Recuadro"/>
            </w:pPr>
            <w:r>
              <w:t xml:space="preserve">La distinción entre retroalimentación y realimentación es de la lectura L-13; la clase usó los dos términos sin detenerse en la diferencia.</w:t>
            </w:r>
          </w:p>
        </w:tc>
      </w:tr>
    </w:tbl>
    <w:p>
      <w:pPr>
        <w:pStyle w:val="Fuente"/>
      </w:pPr>
      <w:r>
        <w:t xml:space="preserve">lectura L-13 figura 29 · Material de la unidad 3, pág. 102 · lámina c16-08 · Clase 16 · 00:52:27–00:53:20</w:t>
      </w:r>
    </w:p>
    <w:p>
      <w:pPr>
        <w:pStyle w:val="Heading3"/>
      </w:pPr>
      <w:bookmarkStart w:name="b_pregunta_p2c_12_demoras_en_el_diagrama" w:id="5591"/>
      <w:r>
        <w:t xml:space="preserve">3.35 · Unidad 3 · 3.7 · Las demoras en los diagramas</w:t>
      </w:r>
      <w:bookmarkEnd w:id="5591"/>
    </w:p>
    <w:p>
      <w:pPr>
        <w:pStyle w:val="Normal"/>
      </w:pPr>
      <w:r>
        <w:t xml:space="preserve">En un diagrama de ciclos causales, ¿qué es correcto sobre las demoras?</w:t>
      </w:r>
    </w:p>
    <w:p>
      <w:pPr>
        <w:pStyle w:val="Fuente"/>
      </w:pPr>
      <w:r>
        <w:t xml:space="preserve">Ordinal de la fuente: 12 · complemento editorial.</w:t>
      </w:r>
    </w:p>
    <w:p>
      <w:pPr>
        <w:pStyle w:val="Normal"/>
      </w:pPr>
      <w:r>
        <w:t xml:space="preserve">a) Se marcan con dos líneas paralelas “//” en el centro de la flecha, o con la palabra “demora”</w:t>
      </w:r>
    </w:p>
    <w:p>
      <w:pPr>
        <w:pStyle w:val="Normal"/>
      </w:pPr>
      <w:r>
        <w:t xml:space="preserve">b) Indican que la relación causa-efecto existe aunque su efecto tarde en notarse</w:t>
      </w:r>
    </w:p>
    <w:p>
      <w:pPr>
        <w:pStyle w:val="Normal"/>
      </w:pPr>
      <w:r>
        <w:t xml:space="preserve">c) Convierten la relación en negativa, porque frenan el efecto</w:t>
      </w:r>
    </w:p>
    <w:p>
      <w:pPr>
        <w:pStyle w:val="Normal"/>
      </w:pPr>
      <w:r>
        <w:t xml:space="preserve">d) Cambian el ciclo de refuerzo a balance</w:t>
      </w:r>
    </w:p>
    <w:p>
      <w:pPr>
        <w:pStyle w:val="Heading3"/>
      </w:pPr>
      <w:bookmarkStart w:name="b_solucion_p2c_12_demoras_en_el_diagrama" w:id="5592"/>
      <w:r>
        <w:t xml:space="preserve">Solución 3.35</w:t>
      </w:r>
      <w:bookmarkEnd w:id="5592"/>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a) Se marcan con dos líneas paralelas “//” en el centro de la flecha, o con la palabra “demora”</w:t>
            </w:r>
          </w:p>
          <w:p>
            <w:pPr>
              <w:pStyle w:val="Recuadro"/>
            </w:pPr>
            <w:r>
              <w:t xml:space="preserve">b) Indican que la relación causa-efecto existe aunque su efecto tarde en notarse</w:t>
            </w:r>
          </w:p>
        </w:tc>
      </w:tr>
    </w:tbl>
    <w:p>
      <w:pPr>
        <w:pStyle w:val="Heading3"/>
      </w:pPr>
      <w:r>
        <w:t xml:space="preserve">Recuerde la marca</w:t>
      </w:r>
    </w:p>
    <w:p>
      <w:pPr>
        <w:pStyle w:val="Normal"/>
      </w:pPr>
      <w:r>
        <w:t xml:space="preserve">Dos rayas paralelas sobre la flecha, o la palabra «demora».</w:t>
      </w:r>
    </w:p>
    <w:p>
      <w:pPr>
        <w:pStyle w:val="Heading3"/>
      </w:pPr>
      <w:r>
        <w:t xml:space="preserve">Recuerde qué significa</w:t>
      </w:r>
    </w:p>
    <w:p>
      <w:pPr>
        <w:pStyle w:val="Normal"/>
      </w:pPr>
      <w:r>
        <w:t xml:space="preserve">La causa ya actuó; el efecto tarda en verse.</w:t>
      </w:r>
    </w:p>
    <w:p>
      <w:pPr>
        <w:pStyle w:val="Heading3"/>
      </w:pPr>
      <w:r>
        <w:t xml:space="preserve">Separe la demora de la polaridad</w:t>
      </w:r>
    </w:p>
    <w:p>
      <w:pPr>
        <w:pStyle w:val="Normal"/>
      </w:pPr>
      <w:r>
        <w:t xml:space="preserve">En el modelo de la adicción a la culpa hay dos flechas con demora y los ciclos siguen siendo uno de balance y uno de refuerzo.</w:t>
      </w:r>
    </w:p>
    <w:p>
      <w:pPr>
        <w:pStyle w:val="Fuente"/>
      </w:pPr>
      <w:r>
        <w:t xml:space="preserve">Opciones descartadas: c), d).</w:t>
      </w:r>
    </w:p>
    <w:p>
      <w:pPr>
        <w:pStyle w:val="Normal"/>
      </w:pPr>
      <w:r>
        <w:t xml:space="preserve">a) Se marcan con dos líneas paralelas “//” en el centro de la flecha, o con la palabra “demora” — Correcta: «el símbolo de segmentos de línea paralelos // colocados en el centro de una flecha representa un retraso de tiempo», y el profesor aceptó también la palabra «demora».</w:t>
      </w:r>
    </w:p>
    <w:p>
      <w:pPr>
        <w:pStyle w:val="Normal"/>
      </w:pPr>
      <w:r>
        <w:t xml:space="preserve">b) Indican que la relación causa-efecto existe aunque su efecto tarde en notarse — Correcta: el efecto tarda, pero la relación ya está: el ejercicio mejora la condición física, sólo que no de la noche a la mañana.</w:t>
      </w:r>
    </w:p>
    <w:p>
      <w:pPr>
        <w:pStyle w:val="Normal"/>
      </w:pPr>
      <w:r>
        <w:t xml:space="preserve">c) Convierten la relación en negativa, porque frenan el efecto — La demora no cambia el signo: una relación positiva con demora sigue siendo positiva.</w:t>
      </w:r>
    </w:p>
    <w:p>
      <w:pPr>
        <w:pStyle w:val="Normal"/>
      </w:pPr>
      <w:r>
        <w:t xml:space="preserve">d) Cambian el ciclo de refuerzo a balance — El tipo de ciclo sale sólo de contar negativas; la demora no cuenta.</w:t>
      </w:r>
    </w:p>
    <w:p>
      <w:pPr>
        <w:pStyle w:val="Normal"/>
      </w:pPr>
      <w:r>
        <w:t xml:space="preserve">Criterio de resolución: El material de la unidad 3 dice que «el símbolo de segmentos de línea paralelos // colocados en el centro de una flecha representa un retraso de tiempo entre la relación de causa y efecto». El profesor lo pidió al revisar las tareas: «la palabra demora o las dos líneas atravesadas deberían de ponerlo». La demora no cambia ni el signo ni el tipo de ciclo.</w:t>
      </w:r>
    </w:p>
    <w:p>
      <w:pPr>
        <w:pStyle w:val="Normal"/>
      </w:pPr>
      <w:r>
        <w:t xml:space="preserve">Defensa: La marca es la del material y la que el profesor pidió en las tareas; y la regla del tipo de ciclo sólo cuenta negativas, de modo que la demora no la altera.</w:t>
      </w:r>
    </w:p>
    <w:p>
      <w:pPr>
        <w:pStyle w:val="Fuente"/>
      </w:pPr>
      <w:r>
        <w:t xml:space="preserve">Material de la unidad 3, pág. 96 · Clase 16 · 01:18:41–01:19:00 · lámina c16-04 · Clase 16 · 00:37:56–00:38:37</w:t>
      </w:r>
    </w:p>
    <w:p>
      <w:pPr>
        <w:pStyle w:val="Heading3"/>
      </w:pPr>
      <w:bookmarkStart w:name="b_pregunta_p2c_13_hervir_agua" w:id="5593"/>
      <w:r>
        <w:t xml:space="preserve">3.36 · Unidad 3 · 3.3 · Diagramas de ciclos causales: nombrar variables</w:t>
      </w:r>
      <w:bookmarkEnd w:id="5593"/>
    </w:p>
    <w:p>
      <w:pPr>
        <w:pStyle w:val="Normal"/>
      </w:pPr>
      <w:r>
        <w:t xml:space="preserve">Al diagramar el proceso de hervir agua, un estudiante escribió: “Mientras haya diferencia de temperatura, hay más necesidad de calor; si hay más necesidad de calor, habrá mayor temperatura del agua”. ¿Qué corrigió el profesor?</w:t>
      </w:r>
    </w:p>
    <w:p>
      <w:pPr>
        <w:pStyle w:val="Fuente"/>
      </w:pPr>
      <w:r>
        <w:t xml:space="preserve">Ordinal de la fuente: 13 · complemento editorial.</w:t>
      </w:r>
    </w:p>
    <w:p>
      <w:pPr>
        <w:pStyle w:val="Normal"/>
      </w:pPr>
      <w:r>
        <w:t xml:space="preserve">a) Faltaba distinguir lo que genera el calor: el fogón</w:t>
      </w:r>
    </w:p>
    <w:p>
      <w:pPr>
        <w:pStyle w:val="Normal"/>
      </w:pPr>
      <w:r>
        <w:t xml:space="preserve">b) Mezcló las variables con su comportamiento, como en “más necesidad de calor”</w:t>
      </w:r>
    </w:p>
    <w:p>
      <w:pPr>
        <w:pStyle w:val="Normal"/>
      </w:pPr>
      <w:r>
        <w:t xml:space="preserve">c) El ciclo debía ser de refuerzo</w:t>
      </w:r>
    </w:p>
    <w:p>
      <w:pPr>
        <w:pStyle w:val="Normal"/>
      </w:pPr>
      <w:r>
        <w:t xml:space="preserve">d) Debía dibujar las variables en círculos y no en rectángulos</w:t>
      </w:r>
    </w:p>
    <w:p>
      <w:pPr>
        <w:pStyle w:val="Heading3"/>
      </w:pPr>
      <w:bookmarkStart w:name="b_solucion_p2c_13_hervir_agua" w:id="5594"/>
      <w:r>
        <w:t xml:space="preserve">Solución 3.36</w:t>
      </w:r>
      <w:bookmarkEnd w:id="5594"/>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a) Faltaba distinguir lo que genera el calor: el fogón</w:t>
            </w:r>
          </w:p>
          <w:p>
            <w:pPr>
              <w:pStyle w:val="Recuadro"/>
            </w:pPr>
            <w:r>
              <w:t xml:space="preserve">b) Mezcló las variables con su comportamiento, como en “más necesidad de calor”</w:t>
            </w:r>
          </w:p>
        </w:tc>
      </w:tr>
    </w:tbl>
    <w:p>
      <w:pPr>
        <w:pStyle w:val="Heading3"/>
      </w:pPr>
      <w:r>
        <w:t xml:space="preserve">Revise si están todas las variables</w:t>
      </w:r>
    </w:p>
    <w:p>
      <w:pPr>
        <w:pStyle w:val="Normal"/>
      </w:pPr>
      <w:r>
        <w:t xml:space="preserve">Algo tiene que generar el calor: el fogón.</w:t>
      </w:r>
    </w:p>
    <w:p>
      <w:pPr>
        <w:pStyle w:val="Heading3"/>
      </w:pPr>
      <w:r>
        <w:t xml:space="preserve">Revise cómo se nombran</w:t>
      </w:r>
    </w:p>
    <w:p>
      <w:pPr>
        <w:pStyle w:val="Normal"/>
      </w:pPr>
      <w:r>
        <w:t xml:space="preserve">Una variable es una cantidad, sin «más» ni «menos»: «necesidad de calor», no «más necesidad de calor».</w:t>
      </w:r>
    </w:p>
    <w:p>
      <w:pPr>
        <w:pStyle w:val="Heading3"/>
      </w:pPr>
      <w:r>
        <w:t xml:space="preserve">Descarte lo que no se corrigió</w:t>
      </w:r>
    </w:p>
    <w:p>
      <w:pPr>
        <w:pStyle w:val="Normal"/>
      </w:pPr>
      <w:r>
        <w:t xml:space="preserve">El ciclo busca un objetivo, y la figura de los nodos es indiferente.</w:t>
      </w:r>
    </w:p>
    <w:p>
      <w:pPr>
        <w:pStyle w:val="Fuente"/>
      </w:pPr>
      <w:r>
        <w:t xml:space="preserve">Opciones descartadas: c), d).</w:t>
      </w:r>
    </w:p>
    <w:p>
      <w:pPr>
        <w:pStyle w:val="Normal"/>
      </w:pPr>
      <w:r>
        <w:t xml:space="preserve">a) Faltaba distinguir lo que genera el calor: el fogón — Correcta: «no está muy bien diferenciado qué genera el calor, pero naturalmente es el fogón».</w:t>
      </w:r>
    </w:p>
    <w:p>
      <w:pPr>
        <w:pStyle w:val="Normal"/>
      </w:pPr>
      <w:r>
        <w:t xml:space="preserve">b) Mezcló las variables con su comportamiento, como en “más necesidad de calor” — Correcta: «está introduciendo junto con las variables el comportamiento de las mismas».</w:t>
      </w:r>
    </w:p>
    <w:p>
      <w:pPr>
        <w:pStyle w:val="Normal"/>
      </w:pPr>
      <w:r>
        <w:t xml:space="preserve">c) El ciclo debía ser de refuerzo — Hervir agua busca una temperatura objetivo: es un ciclo de compensación.</w:t>
      </w:r>
    </w:p>
    <w:p>
      <w:pPr>
        <w:pStyle w:val="Normal"/>
      </w:pPr>
      <w:r>
        <w:t xml:space="preserve">d) Debía dibujar las variables en círculos y no en rectángulos — El profesor dijo que da igual usar figuras o no: lo que importa es la polaridad.</w:t>
      </w:r>
    </w:p>
    <w:p>
      <w:pPr>
        <w:pStyle w:val="Normal"/>
      </w:pPr>
      <w:r>
        <w:t xml:space="preserve">Criterio de resolución: En la clase 13, al revisar el diagrama de hervir agua de un estudiante, el profesor señaló dos cosas: que «no está muy bien diferenciado qué genera el calor, pero naturalmente es el fogón», y que «está introduciendo junto con las variables el comportamiento de las mismas». El ciclo, como el del vaso, es de compensación: hay un objetivo.</w:t>
      </w:r>
    </w:p>
    <w:p>
      <w:pPr>
        <w:pStyle w:val="Normal"/>
      </w:pPr>
      <w:r>
        <w:t xml:space="preserve">Defensa: Son las dos correcciones literales del profesor en la clase 13 sobre ese diagrama.</w:t>
      </w:r>
    </w:p>
    <w:p>
      <w:pPr>
        <w:pStyle w:val="Fuente"/>
      </w:pPr>
      <w:r>
        <w:t xml:space="preserve">Clase 13 · 01:17:53–01:19:43 · Clase 16 · 01:18:28–01:18:41</w:t>
      </w:r>
    </w:p>
    <w:p>
      <w:pPr>
        <w:pStyle w:val="Heading3"/>
      </w:pPr>
      <w:bookmarkStart w:name="b_pregunta_p2c_14_valvula_de_flote" w:id="5595"/>
      <w:r>
        <w:t xml:space="preserve">3.37 · Unidad 3 · 3.3 · Diagramas de ciclos causales: polaridad</w:t>
      </w:r>
      <w:bookmarkEnd w:id="5595"/>
    </w:p>
    <w:p>
      <w:pPr>
        <w:pStyle w:val="Normal"/>
      </w:pPr>
      <w:r>
        <w:t xml:space="preserve">En el diagrama del tanque de un inodoro, un estudiante dibujó una flecha “+” de “Válvula de flote” a “Flujo de agua”. ¿Qué es correcto?</w:t>
      </w:r>
    </w:p>
    <w:p>
      <w:pPr>
        <w:pStyle w:val="Fuente"/>
      </w:pPr>
      <w:r>
        <w:t xml:space="preserve">Ordinal de la fuente: 14 · complemento editorial.</w:t>
      </w:r>
    </w:p>
    <w:p>
      <w:pPr>
        <w:pStyle w:val="Normal"/>
      </w:pPr>
      <w:r>
        <w:t xml:space="preserve">a) La relación es negativa: cuanto más sube la válvula de flote, menos agua entra</w:t>
      </w:r>
    </w:p>
    <w:p>
      <w:pPr>
        <w:pStyle w:val="Normal"/>
      </w:pPr>
      <w:r>
        <w:t xml:space="preserve">b) Conviene nombrar la variable “nivel de válvula de flote”</w:t>
      </w:r>
    </w:p>
    <w:p>
      <w:pPr>
        <w:pStyle w:val="Normal"/>
      </w:pPr>
      <w:r>
        <w:t xml:space="preserve">c) La relación es positiva porque el agua que entra hace subir la válvula</w:t>
      </w:r>
    </w:p>
    <w:p>
      <w:pPr>
        <w:pStyle w:val="Normal"/>
      </w:pPr>
      <w:r>
        <w:t xml:space="preserve">d) La válvula de flote es externa y no forma parte del ciclo</w:t>
      </w:r>
    </w:p>
    <w:p>
      <w:pPr>
        <w:pStyle w:val="Heading3"/>
      </w:pPr>
      <w:bookmarkStart w:name="b_solucion_p2c_14_valvula_de_flote" w:id="5596"/>
      <w:r>
        <w:t xml:space="preserve">Solución 3.37</w:t>
      </w:r>
      <w:bookmarkEnd w:id="5596"/>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a) La relación es negativa: cuanto más sube la válvula de flote, menos agua entra</w:t>
            </w:r>
          </w:p>
          <w:p>
            <w:pPr>
              <w:pStyle w:val="Recuadro"/>
            </w:pPr>
            <w:r>
              <w:t xml:space="preserve">b) Conviene nombrar la variable “nivel de válvula de flote”</w:t>
            </w:r>
          </w:p>
        </w:tc>
      </w:tr>
    </w:tbl>
    <w:p>
      <w:pPr>
        <w:pStyle w:val="Heading3"/>
      </w:pPr>
      <w:r>
        <w:t xml:space="preserve">Vuelva a la historia</w:t>
      </w:r>
    </w:p>
    <w:p>
      <w:pPr>
        <w:pStyle w:val="Normal"/>
      </w:pPr>
      <w:r>
        <w:t xml:space="preserve">La válvula sube con el nivel del agua y, al subir, cierra la entrada.</w:t>
      </w:r>
    </w:p>
    <w:p>
      <w:pPr>
        <w:pStyle w:val="Heading3"/>
      </w:pPr>
      <w:r>
        <w:t xml:space="preserve">Compare los sentidos</w:t>
      </w:r>
    </w:p>
    <w:p>
      <w:pPr>
        <w:pStyle w:val="Normal"/>
      </w:pPr>
      <w:r>
        <w:t xml:space="preserve">Más alta la válvula, menos flujo: sentido opuesto.</w:t>
      </w:r>
    </w:p>
    <w:p>
      <w:pPr>
        <w:pStyle w:val="Fuente"/>
      </w:pPr>
      <w:r>
        <w:t xml:space="preserve">Opciones descartadas: c).</w:t>
      </w:r>
    </w:p>
    <w:p>
      <w:pPr>
        <w:pStyle w:val="Heading3"/>
      </w:pPr>
      <w:r>
        <w:t xml:space="preserve">Nombre la variable como cantidad</w:t>
      </w:r>
    </w:p>
    <w:p>
      <w:pPr>
        <w:pStyle w:val="Normal"/>
      </w:pPr>
      <w:r>
        <w:t xml:space="preserve">No es la válvula sino su nivel lo que sube y baja.</w:t>
      </w:r>
    </w:p>
    <w:p>
      <w:pPr>
        <w:pStyle w:val="Fuente"/>
      </w:pPr>
      <w:r>
        <w:t xml:space="preserve">Opciones descartadas: d).</w:t>
      </w:r>
    </w:p>
    <w:p>
      <w:pPr>
        <w:pStyle w:val="Normal"/>
      </w:pPr>
      <w:r>
        <w:t xml:space="preserve">a) La relación es negativa: cuanto más sube la válvula de flote, menos agua entra — Correcta: «la tendencia de la válvula de flote es más alta, entonces el flujo de agua es más bajo. Sentido opuesto».</w:t>
      </w:r>
    </w:p>
    <w:p>
      <w:pPr>
        <w:pStyle w:val="Normal"/>
      </w:pPr>
      <w:r>
        <w:t xml:space="preserve">b) Conviene nombrar la variable “nivel de válvula de flote” — Correcta: «lo más apropiado hubiese sido llamar a esta variable nivel de válvula de flote».</w:t>
      </w:r>
    </w:p>
    <w:p>
      <w:pPr>
        <w:pStyle w:val="Normal"/>
      </w:pPr>
      <w:r>
        <w:t xml:space="preserve">c) La relación es positiva porque el agua que entra hace subir la válvula — Describe otra flecha del mismo ciclo, la del agua que entra a la válvula, no la que se pregunta.</w:t>
      </w:r>
    </w:p>
    <w:p>
      <w:pPr>
        <w:pStyle w:val="Normal"/>
      </w:pPr>
      <w:r>
        <w:t xml:space="preserve">d) La válvula de flote es externa y no forma parte del ciclo — La válvula es la que cierra el ciclo: sin ella no hay control del nivel.</w:t>
      </w:r>
    </w:p>
    <w:p>
      <w:pPr>
        <w:pStyle w:val="Normal"/>
      </w:pPr>
      <w:r>
        <w:t xml:space="preserve">Criterio de resolución: En la clase 14 unos estudiantes dijeron «+» y otros «−». El profesor volvió a la historia: cuando la válvula de flote sube, el flujo de agua se va cerrando, así que la relación es negativa. Y sobre el nombre: «lo más apropiado hubiese sido llamar a esta variable nivel de válvula de flote».</w:t>
      </w:r>
    </w:p>
    <w:p>
      <w:pPr>
        <w:pStyle w:val="Normal"/>
      </w:pPr>
      <w:r>
        <w:t xml:space="preserve">Defensa: Es la discusión de la clase 14, resuelta por el profesor volviendo a la historia, y la corrección del nombre que él mismo propuso.</w:t>
      </w:r>
    </w:p>
    <w:p>
      <w:pPr>
        <w:pStyle w:val="Fuente"/>
      </w:pPr>
      <w:r>
        <w:t xml:space="preserve">Clase 14 · 00:19:35–00:19:52 · Clase 14 · 00:35:04–00:36:49</w:t>
      </w:r>
    </w:p>
    <w:p>
      <w:pPr>
        <w:pStyle w:val="Heading3"/>
      </w:pPr>
      <w:bookmarkStart w:name="b_pregunta_p2c_15_st_loop" w:id="5597"/>
      <w:r>
        <w:t xml:space="preserve">3.38 · Unidad 3 · 3.1 · Modelos mentales y mapas: el ST Loop</w:t>
      </w:r>
      <w:bookmarkEnd w:id="5597"/>
    </w:p>
    <w:p>
      <w:pPr>
        <w:pStyle w:val="Normal"/>
      </w:pPr>
      <w:r>
        <w:t xml:space="preserve">Según el ST Loop, ¿de qué se componen nuestros modelos mentales y cómo se mejoran?</w:t>
      </w:r>
    </w:p>
    <w:p>
      <w:pPr>
        <w:pStyle w:val="Fuente"/>
      </w:pPr>
      <w:r>
        <w:t xml:space="preserve">Ordinal de la fuente: 15 · complemento editorial.</w:t>
      </w:r>
    </w:p>
    <w:p>
      <w:pPr>
        <w:pStyle w:val="Heading3"/>
      </w:pPr>
      <w:bookmarkStart w:name="b_solucion_p2c_15_st_loop" w:id="5598"/>
      <w:r>
        <w:t xml:space="preserve">Solución 3.38</w:t>
      </w:r>
      <w:bookmarkEnd w:id="5598"/>
    </w:p>
    <w:p>
      <w:pPr>
        <w:pStyle w:val="RecuadroTitulo"/>
      </w:pPr>
      <w:r>
        <w:t xml:space="preserve">Respuesta modelo</w:t>
      </w:r>
    </w:p>
    <w:p>
      <w:pPr>
        <w:pStyle w:val="Normal"/>
      </w:pPr>
      <w:r>
        <w:t xml:space="preserve">Se componen de información y pensamiento, M = I × T: la información que recibimos del mundo real, filtrada por las reglas DSRP, y el pensamiento que la organiza.</w:t>
      </w:r>
    </w:p>
    <w:p>
      <w:pPr>
        <w:pStyle w:val="Normal"/>
      </w:pPr>
      <w:r>
        <w:t xml:space="preserve">Todos los modelos mentales son erróneos, pero algunos son útiles, y su utilidad depende de qué tanto se aproximan al mundo real. Se mejoran en un ciclo que se repite: el modelo se prueba en el mundo real, se recibe retroalimentación en forma de información y se corrige. Así el pensador sistémico va ampliando su comprensión por prueba y error, para que el modelo sea cada vez más representativo del sistema real.</w:t>
      </w:r>
    </w:p>
    <w:p>
      <w:pPr>
        <w:pStyle w:val="Heading3"/>
      </w:pPr>
      <w:r>
        <w:t xml:space="preserve">Criterios para una respuesta completa</w:t>
      </w:r>
    </w:p>
    <w:p>
      <w:pPr>
        <w:pStyle w:val="Normal"/>
        <w:numPr>
          <w:ilvl w:val="0"/>
          <w:numId w:val="2"/>
        </w:numPr>
      </w:pPr>
      <w:r>
        <w:t xml:space="preserve">Escribe la composición: información y pensamiento, M = I × T.</w:t>
      </w:r>
    </w:p>
    <w:p>
      <w:pPr>
        <w:pStyle w:val="Normal"/>
        <w:numPr>
          <w:ilvl w:val="0"/>
          <w:numId w:val="2"/>
        </w:numPr>
      </w:pPr>
      <w:r>
        <w:t xml:space="preserve">Dice que los modelos son erróneos pero algunos útiles, según su aproximación al mundo real.</w:t>
      </w:r>
    </w:p>
    <w:p>
      <w:pPr>
        <w:pStyle w:val="Normal"/>
        <w:numPr>
          <w:ilvl w:val="0"/>
          <w:numId w:val="2"/>
        </w:numPr>
      </w:pPr>
      <w:r>
        <w:t xml:space="preserve">Describe el ciclo de probar, recibir retroalimentación y corregir.</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9C620A" w:sz="20"/>
              <w:bottom w:val="nil"/>
              <w:right w:val="nil"/>
            </w:tcBorders>
            <w:shd w:fill="FBF3DF" w:val="clear"/>
            <w:tcMar>
              <w:top w:type="dxa" w:w="130"/>
              <w:left w:type="dxa" w:w="180"/>
              <w:bottom w:type="dxa" w:w="130"/>
              <w:right w:type="dxa" w:w="180"/>
            </w:tcMar>
          </w:tcPr>
          <w:p>
            <w:pPr>
              <w:pStyle w:val="RecuadroTitulo"/>
            </w:pPr>
            <w:r>
              <w:rPr>
                <w:b/>
                <w:bCs/>
                <w:color w:val="9C620A"/>
              </w:rPr>
              <w:t xml:space="preserve">Advertencia y límites</w:t>
            </w:r>
          </w:p>
          <w:p>
            <w:pPr>
              <w:pStyle w:val="Recuadro"/>
            </w:pPr>
            <w:r>
              <w:t xml:space="preserve">Confundir este ciclo, que no termina, con el algoritmo del mapa, que sí termina en la comprensión deseada.</w:t>
            </w:r>
          </w:p>
        </w:tc>
      </w:tr>
    </w:tbl>
    <w:p>
      <w:pPr>
        <w:pStyle w:val="Fuente"/>
      </w:pPr>
      <w:r>
        <w:t xml:space="preserve">Material de la unidad 3, pág. 22 · lámina c11-07 · Clase 11 · 00:24:08–00:29:27</w:t>
      </w:r>
    </w:p>
    <w:p>
      <w:pPr>
        <w:pStyle w:val="Heading3"/>
      </w:pPr>
      <w:bookmarkStart w:name="b_pregunta_p2c_16_reglas_en_el__3d8c6949" w:id="5599"/>
      <w:r>
        <w:t xml:space="preserve">3.39 · Unidad 3 · 3.2 · Mapas DSRP: la notación</w:t>
      </w:r>
      <w:bookmarkEnd w:id="5599"/>
    </w:p>
    <w:p>
      <w:pPr>
        <w:pStyle w:val="Normal"/>
      </w:pPr>
      <w:r>
        <w:t xml:space="preserve">En el mapa DSRP de la teoría de sistemas que el profesor mostró como modelo, relacione cada elemento con la regla que aplica.</w:t>
      </w:r>
    </w:p>
    <w:p>
      <w:pPr>
        <w:pStyle w:val="Fuente"/>
      </w:pPr>
      <w:r>
        <w:t xml:space="preserve">Ordinal de la fuente: 16 · complemento editorial.</w:t>
      </w:r>
    </w:p>
    <w:p>
      <w:pPr>
        <w:keepNext/>
        <w:spacing w:after="40" w:before="150"/>
        <w:jc w:val="center"/>
      </w:pPr>
      <w:bookmarkStart w:name="b_figura_original_p2c_16_reglas_fe7c71c6" w:id="5600"/>
      <w:bookmarkEnd w:id="5600"/>
      <w:r>
        <w:drawing>
          <wp:inline distT="0" distB="0" distL="0" distR="0">
            <wp:extent cx="5381625" cy="3028950"/>
            <wp:effectExtent t="0" r="0" b="0" l="0"/>
            <wp:docPr id="232" name="p2c-16-reglas-en-el-mapa-modelo-enunciado" descr="lámina c10-25 · Clase 10 · 01:34:06–01:35:50 · lámina c10-24 · Clase 10 · 01:33:06–01:33:27" title="Unidad 3 · 3.2 · Mapas DSRP: la notació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96" cstate="none"/>
                    <a:srcRect/>
                    <a:stretch>
                      <a:fillRect/>
                    </a:stretch>
                  </pic:blipFill>
                  <pic:spPr bwMode="auto">
                    <a:xfrm>
                      <a:off x="0" y="0"/>
                      <a:ext cx="5381625" cy="3028950"/>
                    </a:xfrm>
                    <a:prstGeom prst="rect">
                      <a:avLst/>
                    </a:prstGeom>
                  </pic:spPr>
                </pic:pic>
              </a:graphicData>
            </a:graphic>
          </wp:inline>
        </w:drawing>
      </w:r>
    </w:p>
    <w:p>
      <w:pPr>
        <w:pStyle w:val="PieFigura"/>
        <w:keepNext/>
      </w:pPr>
      <w:bookmarkStart w:name="b_fig_V3_17" w:id="5601"/>
      <w:r>
        <w:t xml:space="preserve">Figura V3.</w:t>
      </w:r>
      <w:fldSimple w:instr="SEQ Figura \n \* ARABIC">
        <w:r>
          <w:t xml:space="preserve">17</w:t>
        </w:r>
      </w:fldSimple>
      <w:r>
        <w:t xml:space="preserve"> · Unidad 3 · 3.2 · Mapas DSRP: la notación</w:t>
      </w:r>
      <w:bookmarkEnd w:id="5601"/>
    </w:p>
    <w:p>
      <w:pPr>
        <w:pStyle w:val="LecturaFigura"/>
        <w:keepNext/>
      </w:pPr>
      <w:r>
        <w:rPr>
          <w:b/>
          <w:bCs/>
        </w:rPr>
        <w:t xml:space="preserve">Lectura del diagrama: </w:t>
      </w:r>
      <w:r>
        <w:t xml:space="preserve">Lámina c10-25 · Mapa DSRP de la teoría de sistemas</w:t>
      </w:r>
    </w:p>
    <w:p>
      <w:pPr>
        <w:pStyle w:val="Fuente"/>
      </w:pPr>
      <w:r>
        <w:t xml:space="preserve">lámina c10-25 · Clase 10 · 01:34:06–01:35:50 · lámina c10-24 · Clase 10 · 01:33:06–01:33:27</w:t>
      </w:r>
    </w:p>
    <w:p>
      <w:pPr>
        <w:pStyle w:val="Normal"/>
      </w:pPr>
      <w:r>
        <w:t xml:space="preserve">a) Fila: «Sub-sistemas», «Partes» y «Relaciones» dibujados dentro del recuadro «Sistema»</w:t>
      </w:r>
    </w:p>
    <w:p>
      <w:pPr>
        <w:pStyle w:val="Normal"/>
      </w:pPr>
      <w:r>
        <w:t xml:space="preserve">b) Fila: La flecha que une «Homeostasis» con «Medio / Contexto»</w:t>
      </w:r>
    </w:p>
    <w:p>
      <w:pPr>
        <w:pStyle w:val="Normal"/>
      </w:pPr>
      <w:r>
        <w:t xml:space="preserve">c) Fila: El ojo azul de «Funcional/Procesos» y los puntos azules en «Sinergia» y «Dinámica del Sistema»</w:t>
      </w:r>
    </w:p>
    <w:p>
      <w:pPr>
        <w:pStyle w:val="Normal"/>
      </w:pPr>
      <w:r>
        <w:t xml:space="preserve">d) Fila: Que «Entropía» tenga su propio recuadro con nombre, distinto del de «Neguentropía»</w:t>
      </w:r>
    </w:p>
    <w:p>
      <w:pPr>
        <w:pStyle w:val="Normal"/>
      </w:pPr>
      <w:r>
        <w:t xml:space="preserve">e) a) Regla de distinciones</w:t>
      </w:r>
    </w:p>
    <w:p>
      <w:pPr>
        <w:pStyle w:val="Normal"/>
      </w:pPr>
      <w:r>
        <w:t xml:space="preserve">f) b) Regla de sistemas</w:t>
      </w:r>
    </w:p>
    <w:p>
      <w:pPr>
        <w:pStyle w:val="Normal"/>
      </w:pPr>
      <w:r>
        <w:t xml:space="preserve">g) c) Regla de relaciones</w:t>
      </w:r>
    </w:p>
    <w:p>
      <w:pPr>
        <w:pStyle w:val="Normal"/>
      </w:pPr>
      <w:r>
        <w:t xml:space="preserve">h) d) Regla de perspectivas</w:t>
      </w:r>
    </w:p>
    <w:p>
      <w:pPr>
        <w:pStyle w:val="Heading3"/>
      </w:pPr>
      <w:bookmarkStart w:name="b_solucion_p2c_16_reglas_en_el__e9ed0b31" w:id="5602"/>
      <w:r>
        <w:t xml:space="preserve">Solución 3.39</w:t>
      </w:r>
      <w:bookmarkEnd w:id="5602"/>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«Sub-sistemas», «Partes» y «Relaciones» dibujados dentro del recuadro «Sistema» → Regla de sistemas</w:t>
            </w:r>
          </w:p>
          <w:p>
            <w:pPr>
              <w:pStyle w:val="Recuadro"/>
            </w:pPr>
            <w:r>
              <w:t xml:space="preserve">La flecha que une «Homeostasis» con «Medio / Contexto» → Regla de relaciones</w:t>
            </w:r>
          </w:p>
          <w:p>
            <w:pPr>
              <w:pStyle w:val="Recuadro"/>
            </w:pPr>
            <w:r>
              <w:t xml:space="preserve">El ojo azul de «Funcional/Procesos» y los puntos azules en «Sinergia» y «Dinámica del Sistema» → Regla de perspectivas</w:t>
            </w:r>
          </w:p>
          <w:p>
            <w:pPr>
              <w:pStyle w:val="Recuadro"/>
            </w:pPr>
            <w:r>
              <w:t xml:space="preserve">Que «Entropía» tenga su propio recuadro con nombre, distinto del de «Neguentropía» → Regla de distinciones</w:t>
            </w:r>
          </w:p>
        </w:tc>
      </w:tr>
    </w:tbl>
    <w:p>
      <w:pPr>
        <w:pStyle w:val="Heading3"/>
      </w:pPr>
      <w:r>
        <w:t xml:space="preserve">Recuerde la notación</w:t>
      </w:r>
    </w:p>
    <w:p>
      <w:pPr>
        <w:pStyle w:val="Normal"/>
      </w:pPr>
      <w:r>
        <w:t xml:space="preserve">Rectángulo con nombre, distinción; dentro de otro, sistema; línea, relación; ojo y punto, perspectiva.</w:t>
      </w:r>
    </w:p>
    <w:p>
      <w:pPr>
        <w:pStyle w:val="Heading3"/>
      </w:pPr>
      <w:r>
        <w:t xml:space="preserve">No se deje llevar por las etiquetas</w:t>
      </w:r>
    </w:p>
    <w:p>
      <w:pPr>
        <w:pStyle w:val="Normal"/>
      </w:pPr>
      <w:r>
        <w:t xml:space="preserve">Un recuadro que se llama «Relaciones» es una idea más; la regla de relaciones está en las líneas.</w:t>
      </w:r>
    </w:p>
    <w:p>
      <w:pPr>
        <w:pStyle w:val="Normal"/>
      </w:pPr>
      <w:r>
        <w:t xml:space="preserve">Criterio de resolución: La notación del curso asigna una marca a cada regla: rectángulos con nombre para distinguir, contención para la parte-todo, líneas para las relaciones y ojo y punto del mismo color para las perspectivas. El recuadro llamado «Relaciones» dentro de «Sistema» no aplica la regla de relaciones: es una parte; esa regla sólo se ve en las líneas.</w:t>
      </w:r>
    </w:p>
    <w:p>
      <w:pPr>
        <w:pStyle w:val="Normal"/>
      </w:pPr>
      <w:r>
        <w:t xml:space="preserve">Defensa: Cada fila aplica la notación que el profesor proyectó en la lámina c10-24 sobre su propio mapa modelo, la lámina c10-25.</w:t>
      </w:r>
    </w:p>
    <w:p>
      <w:pPr>
        <w:pStyle w:val="Fuente"/>
      </w:pPr>
      <w:r>
        <w:t xml:space="preserve">lámina c10-25 · Clase 10 · 01:34:06–01:35:50 · lámina c10-24 · Clase 10 · 01:33:06–01:33:27</w:t>
      </w:r>
    </w:p>
    <w:p>
      <w:pPr>
        <w:pStyle w:val="Heading3"/>
      </w:pPr>
      <w:bookmarkStart w:name="b_pregunta_p2c_17_partes_y_todos" w:id="5603"/>
      <w:r>
        <w:t xml:space="preserve">3.40 · Unidad 3 · 3.2 · Mapas DSRP: la regla de sistemas</w:t>
      </w:r>
      <w:bookmarkEnd w:id="5603"/>
    </w:p>
    <w:p>
      <w:pPr>
        <w:pStyle w:val="Normal"/>
      </w:pPr>
      <w:r>
        <w:t xml:space="preserve">En el diagrama parte-todo de la regla de sistemas, A contiene a B y a C, B contiene a B1 y B2, y C contiene a C1 y C2. ¿Qué afirmaciones son correctas?</w:t>
      </w:r>
    </w:p>
    <w:p>
      <w:pPr>
        <w:pStyle w:val="Fuente"/>
      </w:pPr>
      <w:r>
        <w:t xml:space="preserve">Ordinal de la fuente: 17 · complemento editorial.</w:t>
      </w:r>
    </w:p>
    <w:p>
      <w:pPr>
        <w:pStyle w:val="Normal"/>
      </w:pPr>
      <w:r>
        <w:t xml:space="preserve">a) A es sólo un todo</w:t>
      </w:r>
    </w:p>
    <w:p>
      <w:pPr>
        <w:pStyle w:val="Normal"/>
      </w:pPr>
      <w:r>
        <w:t xml:space="preserve">b) B y C son parte de A, pero también son todos que contienen partes</w:t>
      </w:r>
    </w:p>
    <w:p>
      <w:pPr>
        <w:pStyle w:val="Normal"/>
      </w:pPr>
      <w:r>
        <w:t xml:space="preserve">c) B1 y B2 son sólo partes, pero tienen el potencial para ser todos</w:t>
      </w:r>
    </w:p>
    <w:p>
      <w:pPr>
        <w:pStyle w:val="Normal"/>
      </w:pPr>
      <w:r>
        <w:t xml:space="preserve">d) B1 y B2 son todos porque están dentro de A</w:t>
      </w:r>
    </w:p>
    <w:p>
      <w:pPr>
        <w:pStyle w:val="Heading3"/>
      </w:pPr>
      <w:bookmarkStart w:name="b_solucion_p2c_17_partes_y_todos" w:id="5604"/>
      <w:r>
        <w:t xml:space="preserve">Solución 3.40</w:t>
      </w:r>
      <w:bookmarkEnd w:id="5604"/>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a) A es sólo un todo</w:t>
            </w:r>
          </w:p>
          <w:p>
            <w:pPr>
              <w:pStyle w:val="Recuadro"/>
            </w:pPr>
            <w:r>
              <w:t xml:space="preserve">b) B y C son parte de A, pero también son todos que contienen partes</w:t>
            </w:r>
          </w:p>
          <w:p>
            <w:pPr>
              <w:pStyle w:val="Recuadro"/>
            </w:pPr>
            <w:r>
              <w:t xml:space="preserve">c) B1 y B2 son sólo partes, pero tienen el potencial para ser todos</w:t>
            </w:r>
          </w:p>
        </w:tc>
      </w:tr>
    </w:tbl>
    <w:p>
      <w:pPr>
        <w:pStyle w:val="Heading3"/>
      </w:pPr>
      <w:r>
        <w:t xml:space="preserve">Recorra la contención de afuera hacia adentro</w:t>
      </w:r>
    </w:p>
    <w:p>
      <w:pPr>
        <w:pStyle w:val="Normal"/>
      </w:pPr>
      <w:r>
        <w:t xml:space="preserve">A contiene; B y C contienen y están contenidos; B1, B2, C1 y C2 sólo están contenidos.</w:t>
      </w:r>
    </w:p>
    <w:p>
      <w:pPr>
        <w:pStyle w:val="Heading3"/>
      </w:pPr>
      <w:r>
        <w:t xml:space="preserve">Distinga contener de estar contenido</w:t>
      </w:r>
    </w:p>
    <w:p>
      <w:pPr>
        <w:pStyle w:val="Normal"/>
      </w:pPr>
      <w:r>
        <w:t xml:space="preserve">Ser todo es contener partes, no estar dentro de algo.</w:t>
      </w:r>
    </w:p>
    <w:p>
      <w:pPr>
        <w:pStyle w:val="Fuente"/>
      </w:pPr>
      <w:r>
        <w:t xml:space="preserve">Opciones descartadas: d).</w:t>
      </w:r>
    </w:p>
    <w:p>
      <w:pPr>
        <w:pStyle w:val="Normal"/>
      </w:pPr>
      <w:r>
        <w:t xml:space="preserve">a) A es sólo un todo — Correcta: A no está dentro de nada; es literal de la lámina.</w:t>
      </w:r>
    </w:p>
    <w:p>
      <w:pPr>
        <w:pStyle w:val="Normal"/>
      </w:pPr>
      <w:r>
        <w:t xml:space="preserve">b) B y C son parte de A, pero también son todos que contienen partes — Correcta: son partes de A y a la vez contienen partes.</w:t>
      </w:r>
    </w:p>
    <w:p>
      <w:pPr>
        <w:pStyle w:val="Normal"/>
      </w:pPr>
      <w:r>
        <w:t xml:space="preserve">c) B1 y B2 son sólo partes, pero tienen el potencial para ser todos — Correcta: no contienen nada, pero podrían descomponerse.</w:t>
      </w:r>
    </w:p>
    <w:p>
      <w:pPr>
        <w:pStyle w:val="Normal"/>
      </w:pPr>
      <w:r>
        <w:t xml:space="preserve">d) B1 y B2 son todos porque están dentro de A — Confunde estar contenido con contener: B1 y B2 son partes porque no contienen nada.</w:t>
      </w:r>
    </w:p>
    <w:p>
      <w:pPr>
        <w:pStyle w:val="Normal"/>
      </w:pPr>
      <w:r>
        <w:t xml:space="preserve">Criterio de resolución: Las tres afirmaciones correctas son literales de la lámina «Regla de sistemas»: «A es sólo un todo», «B y C son parte de A pero también son todos que contienen partes» y «Tanto B1 y B2 como C1 y C2 son sólo partes, pero tienen el potencial para ser todos». El profesor explicó que un todo puede estar dentro de otro mayor, en niveles de una jerarquía.</w:t>
      </w:r>
    </w:p>
    <w:p>
      <w:pPr>
        <w:pStyle w:val="Normal"/>
      </w:pPr>
      <w:r>
        <w:t xml:space="preserve">Defensa: Las tres afirmaciones correctas son el texto de la lámina que el profesor explicó en la clase 10.</w:t>
      </w:r>
    </w:p>
    <w:p>
      <w:pPr>
        <w:pStyle w:val="Fuente"/>
      </w:pPr>
      <w:r>
        <w:t xml:space="preserve">lámina c10-10 · Clase 10 · 00:50:05–00:51:31</w:t>
      </w:r>
    </w:p>
    <w:p>
      <w:pPr>
        <w:pStyle w:val="Heading3"/>
      </w:pPr>
      <w:bookmarkStart w:name="b_pregunta_p2c_18_distinciones" w:id="5605"/>
      <w:r>
        <w:t xml:space="preserve">3.41 · Unidad 3 · 3.2 · Mapas DSRP: la regla de distinciones</w:t>
      </w:r>
      <w:bookmarkEnd w:id="5605"/>
    </w:p>
    <w:p>
      <w:pPr>
        <w:pStyle w:val="Normal"/>
      </w:pPr>
      <w:r>
        <w:t xml:space="preserve">Sobre la regla de distinciones, ¿qué afirmaciones son correctas?</w:t>
      </w:r>
    </w:p>
    <w:p>
      <w:pPr>
        <w:pStyle w:val="Fuente"/>
      </w:pPr>
      <w:r>
        <w:t xml:space="preserve">Ordinal de la fuente: 18 · complemento editorial.</w:t>
      </w:r>
    </w:p>
    <w:p>
      <w:pPr>
        <w:pStyle w:val="Normal"/>
      </w:pPr>
      <w:r>
        <w:t xml:space="preserve">a) Las distinciones son límites, no cosas</w:t>
      </w:r>
    </w:p>
    <w:p>
      <w:pPr>
        <w:pStyle w:val="Normal"/>
      </w:pPr>
      <w:r>
        <w:t xml:space="preserve">b) Al distinguir una idea sólo se define lo que es, no lo que no es</w:t>
      </w:r>
    </w:p>
    <w:p>
      <w:pPr>
        <w:pStyle w:val="Normal"/>
      </w:pPr>
      <w:r>
        <w:t xml:space="preserve">c) Las cosas están definidas por las cosas que las rodean</w:t>
      </w:r>
    </w:p>
    <w:p>
      <w:pPr>
        <w:pStyle w:val="Normal"/>
      </w:pPr>
      <w:r>
        <w:t xml:space="preserve">d) Se puede aplicar la regla de sistemas antes de distinguir las ideas</w:t>
      </w:r>
    </w:p>
    <w:p>
      <w:pPr>
        <w:pStyle w:val="Heading3"/>
      </w:pPr>
      <w:bookmarkStart w:name="b_solucion_p2c_18_distinciones" w:id="5606"/>
      <w:r>
        <w:t xml:space="preserve">Solución 3.41</w:t>
      </w:r>
      <w:bookmarkEnd w:id="5606"/>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a) Las distinciones son límites, no cosas</w:t>
            </w:r>
          </w:p>
          <w:p>
            <w:pPr>
              <w:pStyle w:val="Recuadro"/>
            </w:pPr>
            <w:r>
              <w:t xml:space="preserve">c) Las cosas están definidas por las cosas que las rodean</w:t>
            </w:r>
          </w:p>
        </w:tc>
      </w:tr>
    </w:tbl>
    <w:p>
      <w:pPr>
        <w:pStyle w:val="Heading3"/>
      </w:pPr>
      <w:r>
        <w:t xml:space="preserve">Recuerde las tres frases de las láminas</w:t>
      </w:r>
    </w:p>
    <w:p>
      <w:pPr>
        <w:pStyle w:val="Normal"/>
      </w:pPr>
      <w:r>
        <w:t xml:space="preserve">Límites, no cosas; definidas por lo que las rodea; operan en ambas direcciones.</w:t>
      </w:r>
    </w:p>
    <w:p>
      <w:pPr>
        <w:pStyle w:val="Fuente"/>
      </w:pPr>
      <w:r>
        <w:t xml:space="preserve">Opciones descartadas: b).</w:t>
      </w:r>
    </w:p>
    <w:p>
      <w:pPr>
        <w:pStyle w:val="Heading3"/>
      </w:pPr>
      <w:r>
        <w:t xml:space="preserve">Recuerde el orden de las reglas</w:t>
      </w:r>
    </w:p>
    <w:p>
      <w:pPr>
        <w:pStyle w:val="Normal"/>
      </w:pPr>
      <w:r>
        <w:t xml:space="preserve">Sin una idea distinguida no hay partes que agrupar ni relaciones que trazar.</w:t>
      </w:r>
    </w:p>
    <w:p>
      <w:pPr>
        <w:pStyle w:val="Fuente"/>
      </w:pPr>
      <w:r>
        <w:t xml:space="preserve">Opciones descartadas: d).</w:t>
      </w:r>
    </w:p>
    <w:p>
      <w:pPr>
        <w:pStyle w:val="Normal"/>
      </w:pPr>
      <w:r>
        <w:t xml:space="preserve">a) Las distinciones son límites, no cosas — Correcta: es literal de la lámina de la regla de distinciones.</w:t>
      </w:r>
    </w:p>
    <w:p>
      <w:pPr>
        <w:pStyle w:val="Normal"/>
      </w:pPr>
      <w:r>
        <w:t xml:space="preserve">b) Al distinguir una idea sólo se define lo que es, no lo que no es — La lámina dice lo contrario: «Las distinciones operan en ambas direcciones»; al definir una taza de té también se define lo que no es.</w:t>
      </w:r>
    </w:p>
    <w:p>
      <w:pPr>
        <w:pStyle w:val="Normal"/>
      </w:pPr>
      <w:r>
        <w:t xml:space="preserve">c) Las cosas están definidas por las cosas que las rodean — Correcta: es literal; el profesor lo mostró con el círculo naranja, que parece pequeño entre círculos grandes y grande entre pequeños.</w:t>
      </w:r>
    </w:p>
    <w:p>
      <w:pPr>
        <w:pStyle w:val="Normal"/>
      </w:pPr>
      <w:r>
        <w:t xml:space="preserve">d) Se puede aplicar la regla de sistemas antes de distinguir las ideas — Primero hay que darle a la idea «una distinción clara […] antes de poder utilizar cualquiera de las otras operaciones».</w:t>
      </w:r>
    </w:p>
    <w:p>
      <w:pPr>
        <w:pStyle w:val="Normal"/>
      </w:pPr>
      <w:r>
        <w:t xml:space="preserve">Criterio de resolución: Las láminas de la regla de distinciones dicen «Las distinciones son límites, no cosas», «Las cosas están definidas por las cosas que las rodean» y «Las distinciones operan en ambas direcciones». El profesor añadió que la distinción va primero: hay que darle a la idea «una distinción clara […] antes de poder utilizar cualquiera de las otras operaciones».</w:t>
      </w:r>
    </w:p>
    <w:p>
      <w:pPr>
        <w:pStyle w:val="Normal"/>
      </w:pPr>
      <w:r>
        <w:t xml:space="preserve">Defensa: Las dos afirmaciones correctas son literales de las láminas, y las dos falsas contradicen otra lámina y lo que el profesor dijo sobre el orden de las reglas.</w:t>
      </w:r>
    </w:p>
    <w:p>
      <w:pPr>
        <w:pStyle w:val="Fuente"/>
      </w:pPr>
      <w:r>
        <w:t xml:space="preserve">Material de la unidad 3, págs. 6–7 · Clase 10 · 00:42:34–00:42:59 · Clase 10 · 00:45:19–00:46:02</w:t>
      </w:r>
    </w:p>
    <w:p>
      <w:pPr>
        <w:pStyle w:val="Heading3"/>
      </w:pPr>
      <w:bookmarkStart w:name="b_pregunta_p2c_19_niveles_del_iceberg" w:id="5607"/>
      <w:r>
        <w:t xml:space="preserve">3.42 · Unidad 3 · 3.1 · Mapas sistémicos y el iceberg</w:t>
      </w:r>
      <w:bookmarkEnd w:id="5607"/>
    </w:p>
    <w:p>
      <w:pPr>
        <w:pStyle w:val="Normal"/>
      </w:pPr>
      <w:r>
        <w:t xml:space="preserve">Relacione cada pregunta o herramienta con el nivel del iceberg al que pertenece.</w:t>
      </w:r>
    </w:p>
    <w:p>
      <w:pPr>
        <w:pStyle w:val="Fuente"/>
      </w:pPr>
      <w:r>
        <w:t xml:space="preserve">Ordinal de la fuente: 19 · complemento editorial.</w:t>
      </w:r>
    </w:p>
    <w:p>
      <w:pPr>
        <w:pStyle w:val="Normal"/>
      </w:pPr>
      <w:r>
        <w:t xml:space="preserve">a) Fila: «¿Qué pasó?»</w:t>
      </w:r>
    </w:p>
    <w:p>
      <w:pPr>
        <w:pStyle w:val="Normal"/>
      </w:pPr>
      <w:r>
        <w:t xml:space="preserve">b) Fila: «¿Cuáles son las tendencias?»</w:t>
      </w:r>
    </w:p>
    <w:p>
      <w:pPr>
        <w:pStyle w:val="Normal"/>
      </w:pPr>
      <w:r>
        <w:t xml:space="preserve">c) Fila: «¿Cuáles son las relaciones entre las partes?»</w:t>
      </w:r>
    </w:p>
    <w:p>
      <w:pPr>
        <w:pStyle w:val="Normal"/>
      </w:pPr>
      <w:r>
        <w:t xml:space="preserve">d) Fila: «¿Qué suposiciones, creencias y valores tiene la gente sobre el sistema?»</w:t>
      </w:r>
    </w:p>
    <w:p>
      <w:pPr>
        <w:pStyle w:val="Normal"/>
      </w:pPr>
      <w:r>
        <w:t xml:space="preserve">e) Fila: Un diagrama de ciclos causales</w:t>
      </w:r>
    </w:p>
    <w:p>
      <w:pPr>
        <w:pStyle w:val="Normal"/>
      </w:pPr>
      <w:r>
        <w:t xml:space="preserve">f) Fila: Un gráfico de comportamiento a lo largo del tiempo</w:t>
      </w:r>
    </w:p>
    <w:p>
      <w:pPr>
        <w:pStyle w:val="Normal"/>
      </w:pPr>
      <w:r>
        <w:t xml:space="preserve">g) a) Eventos</w:t>
      </w:r>
    </w:p>
    <w:p>
      <w:pPr>
        <w:pStyle w:val="Normal"/>
      </w:pPr>
      <w:r>
        <w:t xml:space="preserve">h) b) Patrones de comportamiento</w:t>
      </w:r>
    </w:p>
    <w:p>
      <w:pPr>
        <w:pStyle w:val="Normal"/>
      </w:pPr>
      <w:r>
        <w:t xml:space="preserve">i) c) Estructuras subyacentes</w:t>
      </w:r>
    </w:p>
    <w:p>
      <w:pPr>
        <w:pStyle w:val="Normal"/>
      </w:pPr>
      <w:r>
        <w:t xml:space="preserve">j) d) Modelos mentales</w:t>
      </w:r>
    </w:p>
    <w:p>
      <w:pPr>
        <w:pStyle w:val="Heading3"/>
      </w:pPr>
      <w:bookmarkStart w:name="b_solucion_p2c_19_niveles_del_iceberg" w:id="5608"/>
      <w:r>
        <w:t xml:space="preserve">Solución 3.42</w:t>
      </w:r>
      <w:bookmarkEnd w:id="5608"/>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«¿Qué pasó?» → Eventos</w:t>
            </w:r>
          </w:p>
          <w:p>
            <w:pPr>
              <w:pStyle w:val="Recuadro"/>
            </w:pPr>
            <w:r>
              <w:t xml:space="preserve">«¿Cuáles son las tendencias?» → Patrones de comportamiento</w:t>
            </w:r>
          </w:p>
          <w:p>
            <w:pPr>
              <w:pStyle w:val="Recuadro"/>
            </w:pPr>
            <w:r>
              <w:t xml:space="preserve">«¿Cuáles son las relaciones entre las partes?» → Estructuras subyacentes</w:t>
            </w:r>
          </w:p>
          <w:p>
            <w:pPr>
              <w:pStyle w:val="Recuadro"/>
            </w:pPr>
            <w:r>
              <w:t xml:space="preserve">«¿Qué suposiciones, creencias y valores tiene la gente sobre el sistema?» → Modelos mentales</w:t>
            </w:r>
          </w:p>
          <w:p>
            <w:pPr>
              <w:pStyle w:val="Recuadro"/>
            </w:pPr>
            <w:r>
              <w:t xml:space="preserve">Un diagrama de ciclos causales → Estructuras subyacentes</w:t>
            </w:r>
          </w:p>
          <w:p>
            <w:pPr>
              <w:pStyle w:val="Recuadro"/>
            </w:pPr>
            <w:r>
              <w:t xml:space="preserve">Un gráfico de comportamiento a lo largo del tiempo → Patrones de comportamiento</w:t>
            </w:r>
          </w:p>
        </w:tc>
      </w:tr>
    </w:tbl>
    <w:p>
      <w:pPr>
        <w:pStyle w:val="Heading3"/>
      </w:pPr>
      <w:r>
        <w:t xml:space="preserve">Ubique las preguntas de la lámina</w:t>
      </w:r>
    </w:p>
    <w:p>
      <w:pPr>
        <w:pStyle w:val="Normal"/>
      </w:pPr>
      <w:r>
        <w:t xml:space="preserve">Qué pasó, eventos; tendencias, patrones; relaciones entre las partes, estructuras; creencias, modelos mentales.</w:t>
      </w:r>
    </w:p>
    <w:p>
      <w:pPr>
        <w:pStyle w:val="Heading3"/>
      </w:pPr>
      <w:r>
        <w:t xml:space="preserve">Ubique las herramientas</w:t>
      </w:r>
    </w:p>
    <w:p>
      <w:pPr>
        <w:pStyle w:val="Normal"/>
      </w:pPr>
      <w:r>
        <w:t xml:space="preserve">El diagrama causal dibuja la estructura que genera los patrones; el gráfico de comportamiento dibuja el patrón.</w:t>
      </w:r>
    </w:p>
    <w:p>
      <w:pPr>
        <w:pStyle w:val="Normal"/>
      </w:pPr>
      <w:r>
        <w:t xml:space="preserve">Criterio de resolución: Las cuatro preguntas son literales de la lámina del iceberg de cuatro niveles. Las herramientas salen de la clase 10: los diagramas de ciclos causales se enfocan en la estructura subyacente, el nivel 3, y los gráficos de comportamiento en los patrones, el nivel 2. Sólo los eventos quedan en «lo que se ve».</w:t>
      </w:r>
    </w:p>
    <w:p>
      <w:pPr>
        <w:pStyle w:val="Normal"/>
      </w:pPr>
      <w:r>
        <w:t xml:space="preserve">Defensa: Las preguntas son literales de la lámina del iceberg y la ubicación de las herramientas es la que el profesor dio al abrir la unidad.</w:t>
      </w:r>
    </w:p>
    <w:p>
      <w:pPr>
        <w:pStyle w:val="Fuente"/>
      </w:pPr>
      <w:r>
        <w:t xml:space="preserve">lámina c16-02 · Clase 16 · 00:17:44 · Clase 10 · 00:13:42–00:14:27</w:t>
      </w:r>
    </w:p>
    <w:p>
      <w:pPr>
        <w:pStyle w:val="Heading3"/>
      </w:pPr>
      <w:bookmarkStart w:name="b_pregunta_p2c_20_lobos_y_ciervos" w:id="5609"/>
      <w:r>
        <w:t xml:space="preserve">3.43 · Unidad 3 · 3.3 · Diagramas de ciclos causales: práctica</w:t>
      </w:r>
      <w:bookmarkEnd w:id="5609"/>
    </w:p>
    <w:p>
      <w:pPr>
        <w:pStyle w:val="Normal"/>
      </w:pPr>
      <w:r>
        <w:t xml:space="preserve">Considere la siguiente descripción y realice un diagrama de ciclos causales que la modele. En un invierno templado, con alimento suficiente, aumenta la población de ciervos. Sin embargo, su hábitat no puede soportar este aumento y los ciervos empiezan a agotar sus fuentes de alimento. Los ciervos son abundantes y fáciles de cazar, así que durante un tiempo los lobos se alimentan bien. Esto reduce el número de ciervos. Entonces cada vez es más difícil para los lobos encontrar presas, los lobos viejos y enfermos empiezan a morirse y se reduce la presión sobre los ciervos. Las fuentes de alimento vuelven a regenerarse y el ciclo comienza de nuevo.</w:t>
      </w:r>
    </w:p>
    <w:p>
      <w:pPr>
        <w:pStyle w:val="Fuente"/>
      </w:pPr>
      <w:r>
        <w:t xml:space="preserve">Ordinal de la fuente: 20 · complemento editorial.</w:t>
      </w:r>
    </w:p>
    <w:p>
      <w:pPr>
        <w:pStyle w:val="Heading3"/>
      </w:pPr>
      <w:bookmarkStart w:name="b_solucion_p2c_20_lobos_y_ciervos" w:id="5610"/>
      <w:r>
        <w:t xml:space="preserve">Solución 3.43</w:t>
      </w:r>
      <w:bookmarkEnd w:id="5610"/>
    </w:p>
    <w:p>
      <w:pPr>
        <w:pStyle w:val="RecuadroTitulo"/>
      </w:pPr>
      <w:r>
        <w:t xml:space="preserve">Respuesta modelo</w:t>
      </w:r>
    </w:p>
    <w:p>
      <w:pPr>
        <w:pStyle w:val="Normal"/>
      </w:pPr>
      <w:r>
        <w:t xml:space="preserve">Tres variables: alimento disponible en el hábitat, población de ciervos y población de lobos. Las flechas: de alimento a ciervos «+», de ciervos a alimento «−», de ciervos a lobos «+» y de lobos a ciervos «−».</w:t>
      </w:r>
    </w:p>
    <w:p>
      <w:pPr>
        <w:pStyle w:val="Normal"/>
      </w:pPr>
      <w:r>
        <w:t xml:space="preserve">Dos ciclos de balance, con una negativa cada uno: B1, ciervos y alimento; B2, ciervos y lobos. La lectura lo resume así: «Cuantos más ciervos, más lobos; a continuación, menos ciervos, en consecuencia menos lobos, y entonces más ciervos», y dice que depredadores y presas «forman un bucle de realimentación de compensación».</w:t>
      </w:r>
    </w:p>
    <w:p>
      <w:pPr>
        <w:pStyle w:val="Normal"/>
      </w:pPr>
      <w:r>
        <w:t xml:space="preserve">La población no se estabiliza de inmediato: sube y baja alrededor del nivel que el ecosistema puede soportar, porque los efectos tardan —«durante un tiempo»—, y esa demora puede marcarse en la flecha de ciervos a lobos.</w:t>
      </w:r>
    </w:p>
    <w:p>
      <w:pPr>
        <w:keepNext/>
        <w:spacing w:after="40" w:before="150"/>
        <w:jc w:val="center"/>
      </w:pPr>
      <w:bookmarkStart w:name="b_figura_original_p2c_20_lobos__fdc516e5" w:id="5611"/>
      <w:bookmarkEnd w:id="5611"/>
      <w:r>
        <w:drawing>
          <wp:inline distT="0" distB="0" distL="0" distR="0">
            <wp:extent cx="5381625" cy="2038350"/>
            <wp:effectExtent t="0" r="0" b="0" l="0"/>
            <wp:docPr id="233" name="p2c-20-lobos-y-ciervos-modelo" descr="lectura L-11 págs. 69–70 · Clase 16 · 01:35:20–01:36:16 · Clase 16 · 01:16:24–01:16:59" title="Unidad 3 · 3.3 · Diagramas de ciclos causales: práct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97" cstate="none"/>
                    <a:srcRect/>
                    <a:stretch>
                      <a:fillRect/>
                    </a:stretch>
                  </pic:blipFill>
                  <pic:spPr bwMode="auto">
                    <a:xfrm>
                      <a:off x="0" y="0"/>
                      <a:ext cx="5381625" cy="2038350"/>
                    </a:xfrm>
                    <a:prstGeom prst="rect">
                      <a:avLst/>
                    </a:prstGeom>
                  </pic:spPr>
                </pic:pic>
              </a:graphicData>
            </a:graphic>
          </wp:inline>
        </w:drawing>
      </w:r>
    </w:p>
    <w:p>
      <w:pPr>
        <w:pStyle w:val="PieFigura"/>
        <w:keepNext/>
      </w:pPr>
      <w:bookmarkStart w:name="b_fig_V3_18" w:id="5612"/>
      <w:r>
        <w:t xml:space="preserve">Figura V3.</w:t>
      </w:r>
      <w:fldSimple w:instr="SEQ Figura \n \* ARABIC">
        <w:r>
          <w:t xml:space="preserve">18</w:t>
        </w:r>
      </w:fldSimple>
      <w:r>
        <w:t xml:space="preserve"> · Unidad 3 · 3.3 · Diagramas de ciclos causales: práctica</w:t>
      </w:r>
      <w:bookmarkEnd w:id="5612"/>
    </w:p>
    <w:p>
      <w:pPr>
        <w:pStyle w:val="LecturaFigura"/>
        <w:keepNext/>
      </w:pPr>
      <w:r>
        <w:rPr>
          <w:b/>
          <w:bCs/>
        </w:rPr>
        <w:t xml:space="preserve">Lectura del diagrama: </w:t>
      </w:r>
      <w:r>
        <w:t xml:space="preserve">0 ciclos de refuerzo y 2 de balance. Más ciervos agotan el alimento y alimentan a más lobos; menos alimento y más lobos reducen los ciervos. Los dos ciclos son de balance y, con la demora, la población oscila alrededor de lo que el ecosistema soporta.</w:t>
      </w:r>
    </w:p>
    <w:p>
      <w:pPr>
        <w:pStyle w:val="Fuente"/>
      </w:pPr>
      <w:r>
        <w:t xml:space="preserve">lectura L-11 págs. 69–70 · Clase 16 · 01:35:20–01:36:16 · Clase 16 · 01:16:24–01:16:59</w:t>
      </w:r>
    </w:p>
    <w:p>
      <w:pPr>
        <w:pStyle w:val="Heading3"/>
      </w:pPr>
      <w:r>
        <w:t xml:space="preserve">Criterios para una respuesta completa</w:t>
      </w:r>
    </w:p>
    <w:p>
      <w:pPr>
        <w:pStyle w:val="Normal"/>
        <w:numPr>
          <w:ilvl w:val="0"/>
          <w:numId w:val="2"/>
        </w:numPr>
      </w:pPr>
      <w:r>
        <w:t xml:space="preserve">Usa sólo las variables de la historia, con nombre de cantidad.</w:t>
      </w:r>
    </w:p>
    <w:p>
      <w:pPr>
        <w:pStyle w:val="Normal"/>
        <w:numPr>
          <w:ilvl w:val="0"/>
          <w:numId w:val="2"/>
        </w:numPr>
      </w:pPr>
      <w:r>
        <w:t xml:space="preserve">Cada flecha tiene cabeza y su signo.</w:t>
      </w:r>
    </w:p>
    <w:p>
      <w:pPr>
        <w:pStyle w:val="Normal"/>
        <w:numPr>
          <w:ilvl w:val="0"/>
          <w:numId w:val="2"/>
        </w:numPr>
      </w:pPr>
      <w:r>
        <w:t xml:space="preserve">Identifica los dos ciclos de balance, con su marca al centro.</w:t>
      </w:r>
    </w:p>
    <w:p>
      <w:pPr>
        <w:pStyle w:val="Normal"/>
        <w:numPr>
          <w:ilvl w:val="0"/>
          <w:numId w:val="2"/>
        </w:numPr>
      </w:pPr>
      <w:r>
        <w:t xml:space="preserve">Explica la oscilación alrededor de lo que el ecosistema soporta.</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9C620A" w:sz="20"/>
              <w:bottom w:val="nil"/>
              <w:right w:val="nil"/>
            </w:tcBorders>
            <w:shd w:fill="FBF3DF" w:val="clear"/>
            <w:tcMar>
              <w:top w:type="dxa" w:w="130"/>
              <w:left w:type="dxa" w:w="180"/>
              <w:bottom w:type="dxa" w:w="130"/>
              <w:right w:type="dxa" w:w="180"/>
            </w:tcMar>
          </w:tcPr>
          <w:p>
            <w:pPr>
              <w:pStyle w:val="RecuadroTitulo"/>
            </w:pPr>
            <w:r>
              <w:rPr>
                <w:b/>
                <w:bCs/>
                <w:color w:val="9C620A"/>
              </w:rPr>
              <w:t xml:space="preserve">Advertencia y límites</w:t>
            </w:r>
          </w:p>
          <w:p>
            <w:pPr>
              <w:pStyle w:val="Recuadro"/>
            </w:pPr>
            <w:r>
              <w:t xml:space="preserve">La historia resume la de los lobos canadienses y los ciervos de la lectura L-11. Agregar los nacimientos y las muertes de cada especie, que la historia no menciona: el profesor pidió modelar sólo la historia contada.</w:t>
            </w:r>
          </w:p>
        </w:tc>
      </w:tr>
    </w:tbl>
    <w:p>
      <w:pPr>
        <w:pStyle w:val="Fuente"/>
        <w:sectPr>
          <w:headerReference w:type="default" r:id="rId282"/>
          <w:headerReference w:type="first" r:id="rId283"/>
          <w:headerReference w:type="even" r:id="rId284"/>
          <w:footerReference w:type="default" r:id="rId285"/>
          <w:footerReference w:type="first" r:id="rId286"/>
          <w:footerReference w:type="even" r:id="rId287"/>
          <w:type w:val="nextPage"/>
          <w:pgSz w:w="12240" w:h="15840" w:orient="portrait"/>
          <w:pgMar w:top="1361" w:right="1134" w:bottom="1361" w:left="1474" w:header="650" w:footer="680" w:gutter="0"/>
          <w:pgNumType/>
          <w:titlePg/>
          <w:docGrid w:linePitch="360"/>
        </w:sectPr>
      </w:pPr>
      <w:r>
        <w:t xml:space="preserve">lectura L-11 págs. 69–70 · Clase 16 · 01:35:20–01:36:16 · Clase 16 · 01:16:24–01:16:59</w:t>
      </w:r>
    </w:p>
    <w:p>
      <w:pPr>
        <w:pStyle w:val="Heading2"/>
      </w:pPr>
      <w:bookmarkStart w:name="b_ex_d2" w:id="5613"/>
      <w:r>
        <w:t xml:space="preserve">Desarrollo del segundo parcial</w:t>
      </w:r>
      <w:bookmarkEnd w:id="5613"/>
    </w:p>
    <w:p>
      <w:pPr>
        <w:pStyle w:val="Normal"/>
      </w:pPr>
      <w:r>
        <w:t xml:space="preserve">Interpretar, diagramar y definir: 31 preguntas con respuesta modelo y rúbrica editoriales.</w:t>
      </w:r>
    </w:p>
    <w:p>
      <w:pPr>
        <w:pStyle w:val="Heading3"/>
      </w:pPr>
      <w:r>
        <w:t xml:space="preserve">Clave rápida</w:t>
      </w:r>
    </w:p>
    <w:tbl>
      <w:tblPr>
        <w:tblW w:type="dxa" w:w="9632"/>
        <w:tblBorders>
          <w:top w:val="single" w:color="C5D5DB" w:sz="4"/>
          <w:left w:val="single" w:color="C5D5DB" w:sz="4"/>
          <w:bottom w:val="single" w:color="C5D5DB" w:sz="4"/>
          <w:right w:val="single" w:color="C5D5DB" w:sz="4"/>
          <w:insideH w:val="single" w:color="E4E9EB" w:sz="3"/>
          <w:insideV w:val="single" w:color="E4E9EB" w:sz="3"/>
        </w:tblBorders>
        <w:tblLayout w:type="fixed"/>
      </w:tblPr>
      <w:tblGrid>
        <w:gridCol w:w="4816"/>
        <w:gridCol w:w="4816"/>
      </w:tblGrid>
      <w:tr>
        <w:trPr>
          <w:cantSplit/>
          <w:tblHeader/>
        </w:trPr>
        <w:tc>
          <w:tcPr>
            <w:tcW w:type="dxa" w:w="4816"/>
            <w:shd w:fill="DFEAF0" w:val="clear"/>
            <w:tcMar>
              <w:top w:type="dxa" w:w="80"/>
              <w:left w:type="dxa" w:w="100"/>
              <w:bottom w:type="dxa" w:w="80"/>
              <w:right w:type="dxa" w:w="100"/>
            </w:tcMar>
          </w:tcPr>
          <w:p>
            <w:pPr>
              <w:pStyle w:val="Tabla"/>
            </w:pPr>
            <w:r>
              <w:rPr>
                <w:b/>
                <w:bCs/>
              </w:rPr>
              <w:t xml:space="preserve">Pregunta</w:t>
            </w:r>
          </w:p>
        </w:tc>
        <w:tc>
          <w:tcPr>
            <w:tcW w:type="dxa" w:w="4816"/>
            <w:shd w:fill="DFEAF0" w:val="clear"/>
            <w:tcMar>
              <w:top w:type="dxa" w:w="80"/>
              <w:left w:type="dxa" w:w="100"/>
              <w:bottom w:type="dxa" w:w="80"/>
              <w:right w:type="dxa" w:w="100"/>
            </w:tcMar>
          </w:tcPr>
          <w:p>
            <w:pPr>
              <w:pStyle w:val="Tabla"/>
            </w:pPr>
            <w:r>
              <w:rPr>
                <w:b/>
                <w:bCs/>
              </w:rPr>
              <w:t xml:space="preserve">Clave o tipo de respuesta</w:t>
            </w:r>
          </w:p>
        </w:tc>
      </w:tr>
      <w:tr>
        <w:trPr>
          <w:cantSplit/>
          <w:tblHeader w:val="off"/>
        </w:trPr>
        <w:tc>
          <w:tcPr>
            <w:tcW w:type="dxa" w:w="4816"/>
            <w:tcMar>
              <w:top w:type="dxa" w:w="80"/>
              <w:left w:type="dxa" w:w="100"/>
              <w:bottom w:type="dxa" w:w="80"/>
              <w:right w:type="dxa" w:w="100"/>
            </w:tcMar>
          </w:tcPr>
          <w:p>
            <w:pPr>
              <w:pStyle w:val="Tabla"/>
            </w:pPr>
            <w:r>
              <w:t xml:space="preserve">1</w:t>
            </w:r>
          </w:p>
        </w:tc>
        <w:tc>
          <w:tcPr>
            <w:tcW w:type="dxa" w:w="4816"/>
            <w:tcMar>
              <w:top w:type="dxa" w:w="80"/>
              <w:left w:type="dxa" w:w="100"/>
              <w:bottom w:type="dxa" w:w="80"/>
              <w:right w:type="dxa" w:w="100"/>
            </w:tcMar>
          </w:tcPr>
          <w:p>
            <w:pPr>
              <w:pStyle w:val="Tabla"/>
            </w:pPr>
            <w:r>
              <w:t xml:space="preserve">Desarrollo: respuesta modelo y rúbrica a continuación</w:t>
            </w:r>
          </w:p>
        </w:tc>
      </w:tr>
      <w:tr>
        <w:trPr>
          <w:cantSplit/>
          <w:tblHeader w:val="off"/>
        </w:trPr>
        <w:tc>
          <w:tcPr>
            <w:tcW w:type="dxa" w:w="4816"/>
            <w:tcMar>
              <w:top w:type="dxa" w:w="80"/>
              <w:left w:type="dxa" w:w="100"/>
              <w:bottom w:type="dxa" w:w="80"/>
              <w:right w:type="dxa" w:w="100"/>
            </w:tcMar>
          </w:tcPr>
          <w:p>
            <w:pPr>
              <w:pStyle w:val="Tabla"/>
            </w:pPr>
            <w:r>
              <w:t xml:space="preserve">2</w:t>
            </w:r>
          </w:p>
        </w:tc>
        <w:tc>
          <w:tcPr>
            <w:tcW w:type="dxa" w:w="4816"/>
            <w:tcMar>
              <w:top w:type="dxa" w:w="80"/>
              <w:left w:type="dxa" w:w="100"/>
              <w:bottom w:type="dxa" w:w="80"/>
              <w:right w:type="dxa" w:w="100"/>
            </w:tcMar>
          </w:tcPr>
          <w:p>
            <w:pPr>
              <w:pStyle w:val="Tabla"/>
            </w:pPr>
            <w:r>
              <w:t xml:space="preserve">Desarrollo: respuesta modelo y rúbrica a continuación</w:t>
            </w:r>
          </w:p>
        </w:tc>
      </w:tr>
      <w:tr>
        <w:trPr>
          <w:cantSplit/>
          <w:tblHeader w:val="off"/>
        </w:trPr>
        <w:tc>
          <w:tcPr>
            <w:tcW w:type="dxa" w:w="4816"/>
            <w:tcMar>
              <w:top w:type="dxa" w:w="80"/>
              <w:left w:type="dxa" w:w="100"/>
              <w:bottom w:type="dxa" w:w="80"/>
              <w:right w:type="dxa" w:w="100"/>
            </w:tcMar>
          </w:tcPr>
          <w:p>
            <w:pPr>
              <w:pStyle w:val="Tabla"/>
            </w:pPr>
            <w:r>
              <w:t xml:space="preserve">3</w:t>
            </w:r>
          </w:p>
        </w:tc>
        <w:tc>
          <w:tcPr>
            <w:tcW w:type="dxa" w:w="4816"/>
            <w:tcMar>
              <w:top w:type="dxa" w:w="80"/>
              <w:left w:type="dxa" w:w="100"/>
              <w:bottom w:type="dxa" w:w="80"/>
              <w:right w:type="dxa" w:w="100"/>
            </w:tcMar>
          </w:tcPr>
          <w:p>
            <w:pPr>
              <w:pStyle w:val="Tabla"/>
            </w:pPr>
            <w:r>
              <w:t xml:space="preserve">Desarrollo: respuesta modelo y rúbrica a continuación</w:t>
            </w:r>
          </w:p>
        </w:tc>
      </w:tr>
      <w:tr>
        <w:trPr>
          <w:cantSplit/>
          <w:tblHeader w:val="off"/>
        </w:trPr>
        <w:tc>
          <w:tcPr>
            <w:tcW w:type="dxa" w:w="4816"/>
            <w:tcMar>
              <w:top w:type="dxa" w:w="80"/>
              <w:left w:type="dxa" w:w="100"/>
              <w:bottom w:type="dxa" w:w="80"/>
              <w:right w:type="dxa" w:w="100"/>
            </w:tcMar>
          </w:tcPr>
          <w:p>
            <w:pPr>
              <w:pStyle w:val="Tabla"/>
            </w:pPr>
            <w:r>
              <w:t xml:space="preserve">4</w:t>
            </w:r>
          </w:p>
        </w:tc>
        <w:tc>
          <w:tcPr>
            <w:tcW w:type="dxa" w:w="4816"/>
            <w:tcMar>
              <w:top w:type="dxa" w:w="80"/>
              <w:left w:type="dxa" w:w="100"/>
              <w:bottom w:type="dxa" w:w="80"/>
              <w:right w:type="dxa" w:w="100"/>
            </w:tcMar>
          </w:tcPr>
          <w:p>
            <w:pPr>
              <w:pStyle w:val="Tabla"/>
            </w:pPr>
            <w:r>
              <w:t xml:space="preserve">Desarrollo: respuesta modelo y rúbrica a continuación</w:t>
            </w:r>
          </w:p>
        </w:tc>
      </w:tr>
      <w:tr>
        <w:trPr>
          <w:cantSplit/>
          <w:tblHeader w:val="off"/>
        </w:trPr>
        <w:tc>
          <w:tcPr>
            <w:tcW w:type="dxa" w:w="4816"/>
            <w:tcMar>
              <w:top w:type="dxa" w:w="80"/>
              <w:left w:type="dxa" w:w="100"/>
              <w:bottom w:type="dxa" w:w="80"/>
              <w:right w:type="dxa" w:w="100"/>
            </w:tcMar>
          </w:tcPr>
          <w:p>
            <w:pPr>
              <w:pStyle w:val="Tabla"/>
            </w:pPr>
            <w:r>
              <w:t xml:space="preserve">5</w:t>
            </w:r>
          </w:p>
        </w:tc>
        <w:tc>
          <w:tcPr>
            <w:tcW w:type="dxa" w:w="4816"/>
            <w:tcMar>
              <w:top w:type="dxa" w:w="80"/>
              <w:left w:type="dxa" w:w="100"/>
              <w:bottom w:type="dxa" w:w="80"/>
              <w:right w:type="dxa" w:w="100"/>
            </w:tcMar>
          </w:tcPr>
          <w:p>
            <w:pPr>
              <w:pStyle w:val="Tabla"/>
            </w:pPr>
            <w:r>
              <w:t xml:space="preserve">Desarrollo: respuesta modelo y rúbrica a continuación</w:t>
            </w:r>
          </w:p>
        </w:tc>
      </w:tr>
      <w:tr>
        <w:trPr>
          <w:cantSplit/>
          <w:tblHeader w:val="off"/>
        </w:trPr>
        <w:tc>
          <w:tcPr>
            <w:tcW w:type="dxa" w:w="4816"/>
            <w:tcMar>
              <w:top w:type="dxa" w:w="80"/>
              <w:left w:type="dxa" w:w="100"/>
              <w:bottom w:type="dxa" w:w="80"/>
              <w:right w:type="dxa" w:w="100"/>
            </w:tcMar>
          </w:tcPr>
          <w:p>
            <w:pPr>
              <w:pStyle w:val="Tabla"/>
            </w:pPr>
            <w:r>
              <w:t xml:space="preserve">6</w:t>
            </w:r>
          </w:p>
        </w:tc>
        <w:tc>
          <w:tcPr>
            <w:tcW w:type="dxa" w:w="4816"/>
            <w:tcMar>
              <w:top w:type="dxa" w:w="80"/>
              <w:left w:type="dxa" w:w="100"/>
              <w:bottom w:type="dxa" w:w="80"/>
              <w:right w:type="dxa" w:w="100"/>
            </w:tcMar>
          </w:tcPr>
          <w:p>
            <w:pPr>
              <w:pStyle w:val="Tabla"/>
            </w:pPr>
            <w:r>
              <w:t xml:space="preserve">Desarrollo: respuesta modelo y rúbrica a continuación</w:t>
            </w:r>
          </w:p>
        </w:tc>
      </w:tr>
      <w:tr>
        <w:trPr>
          <w:cantSplit/>
          <w:tblHeader w:val="off"/>
        </w:trPr>
        <w:tc>
          <w:tcPr>
            <w:tcW w:type="dxa" w:w="4816"/>
            <w:tcMar>
              <w:top w:type="dxa" w:w="80"/>
              <w:left w:type="dxa" w:w="100"/>
              <w:bottom w:type="dxa" w:w="80"/>
              <w:right w:type="dxa" w:w="100"/>
            </w:tcMar>
          </w:tcPr>
          <w:p>
            <w:pPr>
              <w:pStyle w:val="Tabla"/>
            </w:pPr>
            <w:r>
              <w:t xml:space="preserve">7</w:t>
            </w:r>
          </w:p>
        </w:tc>
        <w:tc>
          <w:tcPr>
            <w:tcW w:type="dxa" w:w="4816"/>
            <w:tcMar>
              <w:top w:type="dxa" w:w="80"/>
              <w:left w:type="dxa" w:w="100"/>
              <w:bottom w:type="dxa" w:w="80"/>
              <w:right w:type="dxa" w:w="100"/>
            </w:tcMar>
          </w:tcPr>
          <w:p>
            <w:pPr>
              <w:pStyle w:val="Tabla"/>
            </w:pPr>
            <w:r>
              <w:t xml:space="preserve">Desarrollo: respuesta modelo y rúbrica a continuación</w:t>
            </w:r>
          </w:p>
        </w:tc>
      </w:tr>
      <w:tr>
        <w:trPr>
          <w:cantSplit/>
          <w:tblHeader w:val="off"/>
        </w:trPr>
        <w:tc>
          <w:tcPr>
            <w:tcW w:type="dxa" w:w="4816"/>
            <w:tcMar>
              <w:top w:type="dxa" w:w="80"/>
              <w:left w:type="dxa" w:w="100"/>
              <w:bottom w:type="dxa" w:w="80"/>
              <w:right w:type="dxa" w:w="100"/>
            </w:tcMar>
          </w:tcPr>
          <w:p>
            <w:pPr>
              <w:pStyle w:val="Tabla"/>
            </w:pPr>
            <w:r>
              <w:t xml:space="preserve">8</w:t>
            </w:r>
          </w:p>
        </w:tc>
        <w:tc>
          <w:tcPr>
            <w:tcW w:type="dxa" w:w="4816"/>
            <w:tcMar>
              <w:top w:type="dxa" w:w="80"/>
              <w:left w:type="dxa" w:w="100"/>
              <w:bottom w:type="dxa" w:w="80"/>
              <w:right w:type="dxa" w:w="100"/>
            </w:tcMar>
          </w:tcPr>
          <w:p>
            <w:pPr>
              <w:pStyle w:val="Tabla"/>
            </w:pPr>
            <w:r>
              <w:t xml:space="preserve">Desarrollo: respuesta modelo y rúbrica a continuación</w:t>
            </w:r>
          </w:p>
        </w:tc>
      </w:tr>
      <w:tr>
        <w:trPr>
          <w:cantSplit/>
          <w:tblHeader w:val="off"/>
        </w:trPr>
        <w:tc>
          <w:tcPr>
            <w:tcW w:type="dxa" w:w="4816"/>
            <w:tcMar>
              <w:top w:type="dxa" w:w="80"/>
              <w:left w:type="dxa" w:w="100"/>
              <w:bottom w:type="dxa" w:w="80"/>
              <w:right w:type="dxa" w:w="100"/>
            </w:tcMar>
          </w:tcPr>
          <w:p>
            <w:pPr>
              <w:pStyle w:val="Tabla"/>
            </w:pPr>
            <w:r>
              <w:t xml:space="preserve">9</w:t>
            </w:r>
          </w:p>
        </w:tc>
        <w:tc>
          <w:tcPr>
            <w:tcW w:type="dxa" w:w="4816"/>
            <w:tcMar>
              <w:top w:type="dxa" w:w="80"/>
              <w:left w:type="dxa" w:w="100"/>
              <w:bottom w:type="dxa" w:w="80"/>
              <w:right w:type="dxa" w:w="100"/>
            </w:tcMar>
          </w:tcPr>
          <w:p>
            <w:pPr>
              <w:pStyle w:val="Tabla"/>
            </w:pPr>
            <w:r>
              <w:t xml:space="preserve">Desarrollo: respuesta modelo y rúbrica a continuación</w:t>
            </w:r>
          </w:p>
        </w:tc>
      </w:tr>
      <w:tr>
        <w:trPr>
          <w:cantSplit/>
          <w:tblHeader w:val="off"/>
        </w:trPr>
        <w:tc>
          <w:tcPr>
            <w:tcW w:type="dxa" w:w="4816"/>
            <w:tcMar>
              <w:top w:type="dxa" w:w="80"/>
              <w:left w:type="dxa" w:w="100"/>
              <w:bottom w:type="dxa" w:w="80"/>
              <w:right w:type="dxa" w:w="100"/>
            </w:tcMar>
          </w:tcPr>
          <w:p>
            <w:pPr>
              <w:pStyle w:val="Tabla"/>
            </w:pPr>
            <w:r>
              <w:t xml:space="preserve">10</w:t>
            </w:r>
          </w:p>
        </w:tc>
        <w:tc>
          <w:tcPr>
            <w:tcW w:type="dxa" w:w="4816"/>
            <w:tcMar>
              <w:top w:type="dxa" w:w="80"/>
              <w:left w:type="dxa" w:w="100"/>
              <w:bottom w:type="dxa" w:w="80"/>
              <w:right w:type="dxa" w:w="100"/>
            </w:tcMar>
          </w:tcPr>
          <w:p>
            <w:pPr>
              <w:pStyle w:val="Tabla"/>
            </w:pPr>
            <w:r>
              <w:t xml:space="preserve">Desarrollo: respuesta modelo y rúbrica a continuación</w:t>
            </w:r>
          </w:p>
        </w:tc>
      </w:tr>
      <w:tr>
        <w:trPr>
          <w:cantSplit/>
          <w:tblHeader w:val="off"/>
        </w:trPr>
        <w:tc>
          <w:tcPr>
            <w:tcW w:type="dxa" w:w="4816"/>
            <w:tcMar>
              <w:top w:type="dxa" w:w="80"/>
              <w:left w:type="dxa" w:w="100"/>
              <w:bottom w:type="dxa" w:w="80"/>
              <w:right w:type="dxa" w:w="100"/>
            </w:tcMar>
          </w:tcPr>
          <w:p>
            <w:pPr>
              <w:pStyle w:val="Tabla"/>
            </w:pPr>
            <w:r>
              <w:t xml:space="preserve">11</w:t>
            </w:r>
          </w:p>
        </w:tc>
        <w:tc>
          <w:tcPr>
            <w:tcW w:type="dxa" w:w="4816"/>
            <w:tcMar>
              <w:top w:type="dxa" w:w="80"/>
              <w:left w:type="dxa" w:w="100"/>
              <w:bottom w:type="dxa" w:w="80"/>
              <w:right w:type="dxa" w:w="100"/>
            </w:tcMar>
          </w:tcPr>
          <w:p>
            <w:pPr>
              <w:pStyle w:val="Tabla"/>
            </w:pPr>
            <w:r>
              <w:t xml:space="preserve">Desarrollo: respuesta modelo y rúbrica a continuación</w:t>
            </w:r>
          </w:p>
        </w:tc>
      </w:tr>
      <w:tr>
        <w:trPr>
          <w:cantSplit/>
          <w:tblHeader w:val="off"/>
        </w:trPr>
        <w:tc>
          <w:tcPr>
            <w:tcW w:type="dxa" w:w="4816"/>
            <w:tcMar>
              <w:top w:type="dxa" w:w="80"/>
              <w:left w:type="dxa" w:w="100"/>
              <w:bottom w:type="dxa" w:w="80"/>
              <w:right w:type="dxa" w:w="100"/>
            </w:tcMar>
          </w:tcPr>
          <w:p>
            <w:pPr>
              <w:pStyle w:val="Tabla"/>
            </w:pPr>
            <w:r>
              <w:t xml:space="preserve">12</w:t>
            </w:r>
          </w:p>
        </w:tc>
        <w:tc>
          <w:tcPr>
            <w:tcW w:type="dxa" w:w="4816"/>
            <w:tcMar>
              <w:top w:type="dxa" w:w="80"/>
              <w:left w:type="dxa" w:w="100"/>
              <w:bottom w:type="dxa" w:w="80"/>
              <w:right w:type="dxa" w:w="100"/>
            </w:tcMar>
          </w:tcPr>
          <w:p>
            <w:pPr>
              <w:pStyle w:val="Tabla"/>
            </w:pPr>
            <w:r>
              <w:t xml:space="preserve">Desarrollo: respuesta modelo y rúbrica a continuación</w:t>
            </w:r>
          </w:p>
        </w:tc>
      </w:tr>
      <w:tr>
        <w:trPr>
          <w:cantSplit/>
          <w:tblHeader w:val="off"/>
        </w:trPr>
        <w:tc>
          <w:tcPr>
            <w:tcW w:type="dxa" w:w="4816"/>
            <w:tcMar>
              <w:top w:type="dxa" w:w="80"/>
              <w:left w:type="dxa" w:w="100"/>
              <w:bottom w:type="dxa" w:w="80"/>
              <w:right w:type="dxa" w:w="100"/>
            </w:tcMar>
          </w:tcPr>
          <w:p>
            <w:pPr>
              <w:pStyle w:val="Tabla"/>
            </w:pPr>
            <w:r>
              <w:t xml:space="preserve">13</w:t>
            </w:r>
          </w:p>
        </w:tc>
        <w:tc>
          <w:tcPr>
            <w:tcW w:type="dxa" w:w="4816"/>
            <w:tcMar>
              <w:top w:type="dxa" w:w="80"/>
              <w:left w:type="dxa" w:w="100"/>
              <w:bottom w:type="dxa" w:w="80"/>
              <w:right w:type="dxa" w:w="100"/>
            </w:tcMar>
          </w:tcPr>
          <w:p>
            <w:pPr>
              <w:pStyle w:val="Tabla"/>
            </w:pPr>
            <w:r>
              <w:t xml:space="preserve">Desarrollo: respuesta modelo y rúbrica a continuación</w:t>
            </w:r>
          </w:p>
        </w:tc>
      </w:tr>
      <w:tr>
        <w:trPr>
          <w:cantSplit/>
          <w:tblHeader w:val="off"/>
        </w:trPr>
        <w:tc>
          <w:tcPr>
            <w:tcW w:type="dxa" w:w="4816"/>
            <w:tcMar>
              <w:top w:type="dxa" w:w="80"/>
              <w:left w:type="dxa" w:w="100"/>
              <w:bottom w:type="dxa" w:w="80"/>
              <w:right w:type="dxa" w:w="100"/>
            </w:tcMar>
          </w:tcPr>
          <w:p>
            <w:pPr>
              <w:pStyle w:val="Tabla"/>
            </w:pPr>
            <w:r>
              <w:t xml:space="preserve">14</w:t>
            </w:r>
          </w:p>
        </w:tc>
        <w:tc>
          <w:tcPr>
            <w:tcW w:type="dxa" w:w="4816"/>
            <w:tcMar>
              <w:top w:type="dxa" w:w="80"/>
              <w:left w:type="dxa" w:w="100"/>
              <w:bottom w:type="dxa" w:w="80"/>
              <w:right w:type="dxa" w:w="100"/>
            </w:tcMar>
          </w:tcPr>
          <w:p>
            <w:pPr>
              <w:pStyle w:val="Tabla"/>
            </w:pPr>
            <w:r>
              <w:t xml:space="preserve">Desarrollo: respuesta modelo y rúbrica a continuación</w:t>
            </w:r>
          </w:p>
        </w:tc>
      </w:tr>
      <w:tr>
        <w:trPr>
          <w:cantSplit/>
          <w:tblHeader w:val="off"/>
        </w:trPr>
        <w:tc>
          <w:tcPr>
            <w:tcW w:type="dxa" w:w="4816"/>
            <w:tcMar>
              <w:top w:type="dxa" w:w="80"/>
              <w:left w:type="dxa" w:w="100"/>
              <w:bottom w:type="dxa" w:w="80"/>
              <w:right w:type="dxa" w:w="100"/>
            </w:tcMar>
          </w:tcPr>
          <w:p>
            <w:pPr>
              <w:pStyle w:val="Tabla"/>
            </w:pPr>
            <w:r>
              <w:t xml:space="preserve">15</w:t>
            </w:r>
          </w:p>
        </w:tc>
        <w:tc>
          <w:tcPr>
            <w:tcW w:type="dxa" w:w="4816"/>
            <w:tcMar>
              <w:top w:type="dxa" w:w="80"/>
              <w:left w:type="dxa" w:w="100"/>
              <w:bottom w:type="dxa" w:w="80"/>
              <w:right w:type="dxa" w:w="100"/>
            </w:tcMar>
          </w:tcPr>
          <w:p>
            <w:pPr>
              <w:pStyle w:val="Tabla"/>
            </w:pPr>
            <w:r>
              <w:t xml:space="preserve">Desarrollo: respuesta modelo y rúbrica a continuación</w:t>
            </w:r>
          </w:p>
        </w:tc>
      </w:tr>
      <w:tr>
        <w:trPr>
          <w:cantSplit/>
          <w:tblHeader w:val="off"/>
        </w:trPr>
        <w:tc>
          <w:tcPr>
            <w:tcW w:type="dxa" w:w="4816"/>
            <w:tcMar>
              <w:top w:type="dxa" w:w="80"/>
              <w:left w:type="dxa" w:w="100"/>
              <w:bottom w:type="dxa" w:w="80"/>
              <w:right w:type="dxa" w:w="100"/>
            </w:tcMar>
          </w:tcPr>
          <w:p>
            <w:pPr>
              <w:pStyle w:val="Tabla"/>
            </w:pPr>
            <w:r>
              <w:t xml:space="preserve">16</w:t>
            </w:r>
          </w:p>
        </w:tc>
        <w:tc>
          <w:tcPr>
            <w:tcW w:type="dxa" w:w="4816"/>
            <w:tcMar>
              <w:top w:type="dxa" w:w="80"/>
              <w:left w:type="dxa" w:w="100"/>
              <w:bottom w:type="dxa" w:w="80"/>
              <w:right w:type="dxa" w:w="100"/>
            </w:tcMar>
          </w:tcPr>
          <w:p>
            <w:pPr>
              <w:pStyle w:val="Tabla"/>
            </w:pPr>
            <w:r>
              <w:t xml:space="preserve">Desarrollo: respuesta modelo y rúbrica a continuación</w:t>
            </w:r>
          </w:p>
        </w:tc>
      </w:tr>
      <w:tr>
        <w:trPr>
          <w:cantSplit/>
          <w:tblHeader w:val="off"/>
        </w:trPr>
        <w:tc>
          <w:tcPr>
            <w:tcW w:type="dxa" w:w="4816"/>
            <w:tcMar>
              <w:top w:type="dxa" w:w="80"/>
              <w:left w:type="dxa" w:w="100"/>
              <w:bottom w:type="dxa" w:w="80"/>
              <w:right w:type="dxa" w:w="100"/>
            </w:tcMar>
          </w:tcPr>
          <w:p>
            <w:pPr>
              <w:pStyle w:val="Tabla"/>
            </w:pPr>
            <w:r>
              <w:t xml:space="preserve">17</w:t>
            </w:r>
          </w:p>
        </w:tc>
        <w:tc>
          <w:tcPr>
            <w:tcW w:type="dxa" w:w="4816"/>
            <w:tcMar>
              <w:top w:type="dxa" w:w="80"/>
              <w:left w:type="dxa" w:w="100"/>
              <w:bottom w:type="dxa" w:w="80"/>
              <w:right w:type="dxa" w:w="100"/>
            </w:tcMar>
          </w:tcPr>
          <w:p>
            <w:pPr>
              <w:pStyle w:val="Tabla"/>
            </w:pPr>
            <w:r>
              <w:t xml:space="preserve">Desarrollo: respuesta modelo y rúbrica a continuación</w:t>
            </w:r>
          </w:p>
        </w:tc>
      </w:tr>
      <w:tr>
        <w:trPr>
          <w:cantSplit/>
          <w:tblHeader w:val="off"/>
        </w:trPr>
        <w:tc>
          <w:tcPr>
            <w:tcW w:type="dxa" w:w="4816"/>
            <w:tcMar>
              <w:top w:type="dxa" w:w="80"/>
              <w:left w:type="dxa" w:w="100"/>
              <w:bottom w:type="dxa" w:w="80"/>
              <w:right w:type="dxa" w:w="100"/>
            </w:tcMar>
          </w:tcPr>
          <w:p>
            <w:pPr>
              <w:pStyle w:val="Tabla"/>
            </w:pPr>
            <w:r>
              <w:t xml:space="preserve">18</w:t>
            </w:r>
          </w:p>
        </w:tc>
        <w:tc>
          <w:tcPr>
            <w:tcW w:type="dxa" w:w="4816"/>
            <w:tcMar>
              <w:top w:type="dxa" w:w="80"/>
              <w:left w:type="dxa" w:w="100"/>
              <w:bottom w:type="dxa" w:w="80"/>
              <w:right w:type="dxa" w:w="100"/>
            </w:tcMar>
          </w:tcPr>
          <w:p>
            <w:pPr>
              <w:pStyle w:val="Tabla"/>
            </w:pPr>
            <w:r>
              <w:t xml:space="preserve">Desarrollo: respuesta modelo y rúbrica a continuación</w:t>
            </w:r>
          </w:p>
        </w:tc>
      </w:tr>
      <w:tr>
        <w:trPr>
          <w:cantSplit/>
          <w:tblHeader w:val="off"/>
        </w:trPr>
        <w:tc>
          <w:tcPr>
            <w:tcW w:type="dxa" w:w="4816"/>
            <w:tcMar>
              <w:top w:type="dxa" w:w="80"/>
              <w:left w:type="dxa" w:w="100"/>
              <w:bottom w:type="dxa" w:w="80"/>
              <w:right w:type="dxa" w:w="100"/>
            </w:tcMar>
          </w:tcPr>
          <w:p>
            <w:pPr>
              <w:pStyle w:val="Tabla"/>
            </w:pPr>
            <w:r>
              <w:t xml:space="preserve">19</w:t>
            </w:r>
          </w:p>
        </w:tc>
        <w:tc>
          <w:tcPr>
            <w:tcW w:type="dxa" w:w="4816"/>
            <w:tcMar>
              <w:top w:type="dxa" w:w="80"/>
              <w:left w:type="dxa" w:w="100"/>
              <w:bottom w:type="dxa" w:w="80"/>
              <w:right w:type="dxa" w:w="100"/>
            </w:tcMar>
          </w:tcPr>
          <w:p>
            <w:pPr>
              <w:pStyle w:val="Tabla"/>
            </w:pPr>
            <w:r>
              <w:t xml:space="preserve">Desarrollo: respuesta modelo y rúbrica a continuación</w:t>
            </w:r>
          </w:p>
        </w:tc>
      </w:tr>
      <w:tr>
        <w:trPr>
          <w:cantSplit/>
          <w:tblHeader w:val="off"/>
        </w:trPr>
        <w:tc>
          <w:tcPr>
            <w:tcW w:type="dxa" w:w="4816"/>
            <w:tcMar>
              <w:top w:type="dxa" w:w="80"/>
              <w:left w:type="dxa" w:w="100"/>
              <w:bottom w:type="dxa" w:w="80"/>
              <w:right w:type="dxa" w:w="100"/>
            </w:tcMar>
          </w:tcPr>
          <w:p>
            <w:pPr>
              <w:pStyle w:val="Tabla"/>
            </w:pPr>
            <w:r>
              <w:t xml:space="preserve">20</w:t>
            </w:r>
          </w:p>
        </w:tc>
        <w:tc>
          <w:tcPr>
            <w:tcW w:type="dxa" w:w="4816"/>
            <w:tcMar>
              <w:top w:type="dxa" w:w="80"/>
              <w:left w:type="dxa" w:w="100"/>
              <w:bottom w:type="dxa" w:w="80"/>
              <w:right w:type="dxa" w:w="100"/>
            </w:tcMar>
          </w:tcPr>
          <w:p>
            <w:pPr>
              <w:pStyle w:val="Tabla"/>
            </w:pPr>
            <w:r>
              <w:t xml:space="preserve">Desarrollo: respuesta modelo y rúbrica a continuación</w:t>
            </w:r>
          </w:p>
        </w:tc>
      </w:tr>
      <w:tr>
        <w:trPr>
          <w:cantSplit/>
          <w:tblHeader w:val="off"/>
        </w:trPr>
        <w:tc>
          <w:tcPr>
            <w:tcW w:type="dxa" w:w="4816"/>
            <w:tcMar>
              <w:top w:type="dxa" w:w="80"/>
              <w:left w:type="dxa" w:w="100"/>
              <w:bottom w:type="dxa" w:w="80"/>
              <w:right w:type="dxa" w:w="100"/>
            </w:tcMar>
          </w:tcPr>
          <w:p>
            <w:pPr>
              <w:pStyle w:val="Tabla"/>
            </w:pPr>
            <w:r>
              <w:t xml:space="preserve">21</w:t>
            </w:r>
          </w:p>
        </w:tc>
        <w:tc>
          <w:tcPr>
            <w:tcW w:type="dxa" w:w="4816"/>
            <w:tcMar>
              <w:top w:type="dxa" w:w="80"/>
              <w:left w:type="dxa" w:w="100"/>
              <w:bottom w:type="dxa" w:w="80"/>
              <w:right w:type="dxa" w:w="100"/>
            </w:tcMar>
          </w:tcPr>
          <w:p>
            <w:pPr>
              <w:pStyle w:val="Tabla"/>
            </w:pPr>
            <w:r>
              <w:t xml:space="preserve">Desarrollo: respuesta modelo y rúbrica a continuación</w:t>
            </w:r>
          </w:p>
        </w:tc>
      </w:tr>
      <w:tr>
        <w:trPr>
          <w:cantSplit/>
          <w:tblHeader w:val="off"/>
        </w:trPr>
        <w:tc>
          <w:tcPr>
            <w:tcW w:type="dxa" w:w="4816"/>
            <w:tcMar>
              <w:top w:type="dxa" w:w="80"/>
              <w:left w:type="dxa" w:w="100"/>
              <w:bottom w:type="dxa" w:w="80"/>
              <w:right w:type="dxa" w:w="100"/>
            </w:tcMar>
          </w:tcPr>
          <w:p>
            <w:pPr>
              <w:pStyle w:val="Tabla"/>
            </w:pPr>
            <w:r>
              <w:t xml:space="preserve">22</w:t>
            </w:r>
          </w:p>
        </w:tc>
        <w:tc>
          <w:tcPr>
            <w:tcW w:type="dxa" w:w="4816"/>
            <w:tcMar>
              <w:top w:type="dxa" w:w="80"/>
              <w:left w:type="dxa" w:w="100"/>
              <w:bottom w:type="dxa" w:w="80"/>
              <w:right w:type="dxa" w:w="100"/>
            </w:tcMar>
          </w:tcPr>
          <w:p>
            <w:pPr>
              <w:pStyle w:val="Tabla"/>
            </w:pPr>
            <w:r>
              <w:t xml:space="preserve">Desarrollo: respuesta modelo y rúbrica a continuación</w:t>
            </w:r>
          </w:p>
        </w:tc>
      </w:tr>
      <w:tr>
        <w:trPr>
          <w:cantSplit/>
          <w:tblHeader w:val="off"/>
        </w:trPr>
        <w:tc>
          <w:tcPr>
            <w:tcW w:type="dxa" w:w="4816"/>
            <w:tcMar>
              <w:top w:type="dxa" w:w="80"/>
              <w:left w:type="dxa" w:w="100"/>
              <w:bottom w:type="dxa" w:w="80"/>
              <w:right w:type="dxa" w:w="100"/>
            </w:tcMar>
          </w:tcPr>
          <w:p>
            <w:pPr>
              <w:pStyle w:val="Tabla"/>
            </w:pPr>
            <w:r>
              <w:t xml:space="preserve">23</w:t>
            </w:r>
          </w:p>
        </w:tc>
        <w:tc>
          <w:tcPr>
            <w:tcW w:type="dxa" w:w="4816"/>
            <w:tcMar>
              <w:top w:type="dxa" w:w="80"/>
              <w:left w:type="dxa" w:w="100"/>
              <w:bottom w:type="dxa" w:w="80"/>
              <w:right w:type="dxa" w:w="100"/>
            </w:tcMar>
          </w:tcPr>
          <w:p>
            <w:pPr>
              <w:pStyle w:val="Tabla"/>
            </w:pPr>
            <w:r>
              <w:t xml:space="preserve">Desarrollo: respuesta modelo y rúbrica a continuación</w:t>
            </w:r>
          </w:p>
        </w:tc>
      </w:tr>
      <w:tr>
        <w:trPr>
          <w:cantSplit/>
          <w:tblHeader w:val="off"/>
        </w:trPr>
        <w:tc>
          <w:tcPr>
            <w:tcW w:type="dxa" w:w="4816"/>
            <w:tcMar>
              <w:top w:type="dxa" w:w="80"/>
              <w:left w:type="dxa" w:w="100"/>
              <w:bottom w:type="dxa" w:w="80"/>
              <w:right w:type="dxa" w:w="100"/>
            </w:tcMar>
          </w:tcPr>
          <w:p>
            <w:pPr>
              <w:pStyle w:val="Tabla"/>
            </w:pPr>
            <w:r>
              <w:t xml:space="preserve">24</w:t>
            </w:r>
          </w:p>
        </w:tc>
        <w:tc>
          <w:tcPr>
            <w:tcW w:type="dxa" w:w="4816"/>
            <w:tcMar>
              <w:top w:type="dxa" w:w="80"/>
              <w:left w:type="dxa" w:w="100"/>
              <w:bottom w:type="dxa" w:w="80"/>
              <w:right w:type="dxa" w:w="100"/>
            </w:tcMar>
          </w:tcPr>
          <w:p>
            <w:pPr>
              <w:pStyle w:val="Tabla"/>
            </w:pPr>
            <w:r>
              <w:t xml:space="preserve">Desarrollo: respuesta modelo y rúbrica a continuación</w:t>
            </w:r>
          </w:p>
        </w:tc>
      </w:tr>
      <w:tr>
        <w:trPr>
          <w:cantSplit/>
          <w:tblHeader w:val="off"/>
        </w:trPr>
        <w:tc>
          <w:tcPr>
            <w:tcW w:type="dxa" w:w="4816"/>
            <w:tcMar>
              <w:top w:type="dxa" w:w="80"/>
              <w:left w:type="dxa" w:w="100"/>
              <w:bottom w:type="dxa" w:w="80"/>
              <w:right w:type="dxa" w:w="100"/>
            </w:tcMar>
          </w:tcPr>
          <w:p>
            <w:pPr>
              <w:pStyle w:val="Tabla"/>
            </w:pPr>
            <w:r>
              <w:t xml:space="preserve">25</w:t>
            </w:r>
          </w:p>
        </w:tc>
        <w:tc>
          <w:tcPr>
            <w:tcW w:type="dxa" w:w="4816"/>
            <w:tcMar>
              <w:top w:type="dxa" w:w="80"/>
              <w:left w:type="dxa" w:w="100"/>
              <w:bottom w:type="dxa" w:w="80"/>
              <w:right w:type="dxa" w:w="100"/>
            </w:tcMar>
          </w:tcPr>
          <w:p>
            <w:pPr>
              <w:pStyle w:val="Tabla"/>
            </w:pPr>
            <w:r>
              <w:t xml:space="preserve">Desarrollo: respuesta modelo y rúbrica a continuación</w:t>
            </w:r>
          </w:p>
        </w:tc>
      </w:tr>
      <w:tr>
        <w:trPr>
          <w:cantSplit/>
          <w:tblHeader w:val="off"/>
        </w:trPr>
        <w:tc>
          <w:tcPr>
            <w:tcW w:type="dxa" w:w="4816"/>
            <w:tcMar>
              <w:top w:type="dxa" w:w="80"/>
              <w:left w:type="dxa" w:w="100"/>
              <w:bottom w:type="dxa" w:w="80"/>
              <w:right w:type="dxa" w:w="100"/>
            </w:tcMar>
          </w:tcPr>
          <w:p>
            <w:pPr>
              <w:pStyle w:val="Tabla"/>
            </w:pPr>
            <w:r>
              <w:t xml:space="preserve">26</w:t>
            </w:r>
          </w:p>
        </w:tc>
        <w:tc>
          <w:tcPr>
            <w:tcW w:type="dxa" w:w="4816"/>
            <w:tcMar>
              <w:top w:type="dxa" w:w="80"/>
              <w:left w:type="dxa" w:w="100"/>
              <w:bottom w:type="dxa" w:w="80"/>
              <w:right w:type="dxa" w:w="100"/>
            </w:tcMar>
          </w:tcPr>
          <w:p>
            <w:pPr>
              <w:pStyle w:val="Tabla"/>
            </w:pPr>
            <w:r>
              <w:t xml:space="preserve">Desarrollo: respuesta modelo y rúbrica a continuación</w:t>
            </w:r>
          </w:p>
        </w:tc>
      </w:tr>
      <w:tr>
        <w:trPr>
          <w:cantSplit/>
          <w:tblHeader w:val="off"/>
        </w:trPr>
        <w:tc>
          <w:tcPr>
            <w:tcW w:type="dxa" w:w="4816"/>
            <w:tcMar>
              <w:top w:type="dxa" w:w="80"/>
              <w:left w:type="dxa" w:w="100"/>
              <w:bottom w:type="dxa" w:w="80"/>
              <w:right w:type="dxa" w:w="100"/>
            </w:tcMar>
          </w:tcPr>
          <w:p>
            <w:pPr>
              <w:pStyle w:val="Tabla"/>
            </w:pPr>
            <w:r>
              <w:t xml:space="preserve">27</w:t>
            </w:r>
          </w:p>
        </w:tc>
        <w:tc>
          <w:tcPr>
            <w:tcW w:type="dxa" w:w="4816"/>
            <w:tcMar>
              <w:top w:type="dxa" w:w="80"/>
              <w:left w:type="dxa" w:w="100"/>
              <w:bottom w:type="dxa" w:w="80"/>
              <w:right w:type="dxa" w:w="100"/>
            </w:tcMar>
          </w:tcPr>
          <w:p>
            <w:pPr>
              <w:pStyle w:val="Tabla"/>
            </w:pPr>
            <w:r>
              <w:t xml:space="preserve">Desarrollo: respuesta modelo y rúbrica a continuación</w:t>
            </w:r>
          </w:p>
        </w:tc>
      </w:tr>
      <w:tr>
        <w:trPr>
          <w:cantSplit/>
          <w:tblHeader w:val="off"/>
        </w:trPr>
        <w:tc>
          <w:tcPr>
            <w:tcW w:type="dxa" w:w="4816"/>
            <w:tcMar>
              <w:top w:type="dxa" w:w="80"/>
              <w:left w:type="dxa" w:w="100"/>
              <w:bottom w:type="dxa" w:w="80"/>
              <w:right w:type="dxa" w:w="100"/>
            </w:tcMar>
          </w:tcPr>
          <w:p>
            <w:pPr>
              <w:pStyle w:val="Tabla"/>
            </w:pPr>
            <w:r>
              <w:t xml:space="preserve">28</w:t>
            </w:r>
          </w:p>
        </w:tc>
        <w:tc>
          <w:tcPr>
            <w:tcW w:type="dxa" w:w="4816"/>
            <w:tcMar>
              <w:top w:type="dxa" w:w="80"/>
              <w:left w:type="dxa" w:w="100"/>
              <w:bottom w:type="dxa" w:w="80"/>
              <w:right w:type="dxa" w:w="100"/>
            </w:tcMar>
          </w:tcPr>
          <w:p>
            <w:pPr>
              <w:pStyle w:val="Tabla"/>
            </w:pPr>
            <w:r>
              <w:t xml:space="preserve">Desarrollo: respuesta modelo y rúbrica a continuación</w:t>
            </w:r>
          </w:p>
        </w:tc>
      </w:tr>
      <w:tr>
        <w:trPr>
          <w:cantSplit/>
          <w:tblHeader w:val="off"/>
        </w:trPr>
        <w:tc>
          <w:tcPr>
            <w:tcW w:type="dxa" w:w="4816"/>
            <w:tcMar>
              <w:top w:type="dxa" w:w="80"/>
              <w:left w:type="dxa" w:w="100"/>
              <w:bottom w:type="dxa" w:w="80"/>
              <w:right w:type="dxa" w:w="100"/>
            </w:tcMar>
          </w:tcPr>
          <w:p>
            <w:pPr>
              <w:pStyle w:val="Tabla"/>
            </w:pPr>
            <w:r>
              <w:t xml:space="preserve">29</w:t>
            </w:r>
          </w:p>
        </w:tc>
        <w:tc>
          <w:tcPr>
            <w:tcW w:type="dxa" w:w="4816"/>
            <w:tcMar>
              <w:top w:type="dxa" w:w="80"/>
              <w:left w:type="dxa" w:w="100"/>
              <w:bottom w:type="dxa" w:w="80"/>
              <w:right w:type="dxa" w:w="100"/>
            </w:tcMar>
          </w:tcPr>
          <w:p>
            <w:pPr>
              <w:pStyle w:val="Tabla"/>
            </w:pPr>
            <w:r>
              <w:t xml:space="preserve">Desarrollo: respuesta modelo y rúbrica a continuación</w:t>
            </w:r>
          </w:p>
        </w:tc>
      </w:tr>
      <w:tr>
        <w:trPr>
          <w:cantSplit/>
          <w:tblHeader w:val="off"/>
        </w:trPr>
        <w:tc>
          <w:tcPr>
            <w:tcW w:type="dxa" w:w="4816"/>
            <w:tcMar>
              <w:top w:type="dxa" w:w="80"/>
              <w:left w:type="dxa" w:w="100"/>
              <w:bottom w:type="dxa" w:w="80"/>
              <w:right w:type="dxa" w:w="100"/>
            </w:tcMar>
          </w:tcPr>
          <w:p>
            <w:pPr>
              <w:pStyle w:val="Tabla"/>
            </w:pPr>
            <w:r>
              <w:t xml:space="preserve">30</w:t>
            </w:r>
          </w:p>
        </w:tc>
        <w:tc>
          <w:tcPr>
            <w:tcW w:type="dxa" w:w="4816"/>
            <w:tcMar>
              <w:top w:type="dxa" w:w="80"/>
              <w:left w:type="dxa" w:w="100"/>
              <w:bottom w:type="dxa" w:w="80"/>
              <w:right w:type="dxa" w:w="100"/>
            </w:tcMar>
          </w:tcPr>
          <w:p>
            <w:pPr>
              <w:pStyle w:val="Tabla"/>
            </w:pPr>
            <w:r>
              <w:t xml:space="preserve">Desarrollo: respuesta modelo y rúbrica a continuación</w:t>
            </w:r>
          </w:p>
        </w:tc>
      </w:tr>
      <w:tr>
        <w:trPr>
          <w:cantSplit/>
          <w:tblHeader w:val="off"/>
        </w:trPr>
        <w:tc>
          <w:tcPr>
            <w:tcW w:type="dxa" w:w="4816"/>
            <w:tcMar>
              <w:top w:type="dxa" w:w="80"/>
              <w:left w:type="dxa" w:w="100"/>
              <w:bottom w:type="dxa" w:w="80"/>
              <w:right w:type="dxa" w:w="100"/>
            </w:tcMar>
          </w:tcPr>
          <w:p>
            <w:pPr>
              <w:pStyle w:val="Tabla"/>
            </w:pPr>
            <w:r>
              <w:t xml:space="preserve">31</w:t>
            </w:r>
          </w:p>
        </w:tc>
        <w:tc>
          <w:tcPr>
            <w:tcW w:type="dxa" w:w="4816"/>
            <w:tcMar>
              <w:top w:type="dxa" w:w="80"/>
              <w:left w:type="dxa" w:w="100"/>
              <w:bottom w:type="dxa" w:w="80"/>
              <w:right w:type="dxa" w:w="100"/>
            </w:tcMar>
          </w:tcPr>
          <w:p>
            <w:pPr>
              <w:pStyle w:val="Tabla"/>
            </w:pPr>
            <w:r>
              <w:t xml:space="preserve">Desarrollo: respuesta modelo y rúbrica a continuación</w:t>
            </w:r>
          </w:p>
        </w:tc>
      </w:tr>
    </w:tbl>
    <w:p>
      <w:pPr>
        <w:pStyle w:val="Heading3"/>
      </w:pPr>
      <w:bookmarkStart w:name="b_pregunta_d2_01_interpretar_sed" w:id="5614"/>
      <w:r>
        <w:t xml:space="preserve">4.1 · Interpretar un modelo · polaridad y tipo de ciclo</w:t>
      </w:r>
      <w:bookmarkEnd w:id="5614"/>
    </w:p>
    <w:p>
      <w:pPr>
        <w:pStyle w:val="Normal"/>
      </w:pPr>
      <w:r>
        <w:t xml:space="preserve">Observe el siguiente diagrama de ciclos causales. Indique la polaridad de cada relación, clasifique el ciclo justificando el criterio que usó y describa con sus palabras el comportamiento que produce.</w:t>
      </w:r>
    </w:p>
    <w:p>
      <w:pPr>
        <w:pStyle w:val="Fuente"/>
      </w:pPr>
      <w:r>
        <w:t xml:space="preserve">Ordinal de la fuente: 1.</w:t>
      </w:r>
    </w:p>
    <w:p>
      <w:pPr>
        <w:pStyle w:val="Fuente"/>
      </w:pPr>
      <w:r>
        <w:t xml:space="preserve">Valor de práctica: 6 puntos.</w:t>
      </w:r>
    </w:p>
    <w:p>
      <w:pPr>
        <w:keepNext/>
        <w:spacing w:after="40" w:before="150"/>
        <w:jc w:val="center"/>
      </w:pPr>
      <w:bookmarkStart w:name="b_figura_original_d2_01_interpr_f9f3e5f8" w:id="5615"/>
      <w:bookmarkEnd w:id="5615"/>
      <w:r>
        <w:drawing>
          <wp:inline distT="0" distB="0" distL="0" distR="0">
            <wp:extent cx="5381625" cy="3362325"/>
            <wp:effectExtent t="0" r="0" b="0" l="0"/>
            <wp:docPr id="234" name="d2-01-interpretar-sed-enunciado" descr="Clase 14 · 00:09:38–00:16:40 · lámina 4" title="Interpretar un modelo · polaridad y tipo de cicl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98" cstate="none"/>
                    <a:srcRect/>
                    <a:stretch>
                      <a:fillRect/>
                    </a:stretch>
                  </pic:blipFill>
                  <pic:spPr bwMode="auto">
                    <a:xfrm>
                      <a:off x="0" y="0"/>
                      <a:ext cx="5381625" cy="3362325"/>
                    </a:xfrm>
                    <a:prstGeom prst="rect">
                      <a:avLst/>
                    </a:prstGeom>
                  </pic:spPr>
                </pic:pic>
              </a:graphicData>
            </a:graphic>
          </wp:inline>
        </w:drawing>
      </w:r>
    </w:p>
    <w:p>
      <w:pPr>
        <w:pStyle w:val="PieFigura"/>
        <w:keepNext/>
      </w:pPr>
      <w:bookmarkStart w:name="b_fig_V4_1" w:id="5616"/>
      <w:r>
        <w:t xml:space="preserve">Figura V4.</w:t>
      </w:r>
      <w:fldSimple w:instr="SEQ Figura \r 1 \* ARABIC">
        <w:r>
          <w:t xml:space="preserve">1</w:t>
        </w:r>
      </w:fldSimple>
      <w:r>
        <w:t xml:space="preserve"> · Interpretar un modelo · polaridad y tipo de ciclo</w:t>
      </w:r>
      <w:bookmarkEnd w:id="5616"/>
    </w:p>
    <w:p>
      <w:pPr>
        <w:pStyle w:val="Fuente"/>
      </w:pPr>
      <w:r>
        <w:t xml:space="preserve">Clase 14 · 00:09:38–00:16:40 · lámina 4</w:t>
      </w:r>
    </w:p>
    <w:p>
      <w:pPr>
        <w:pStyle w:val="Heading3"/>
      </w:pPr>
      <w:bookmarkStart w:name="b_solucion_d2_01_interpretar_sed" w:id="5617"/>
      <w:r>
        <w:t xml:space="preserve">Solución 4.1</w:t>
      </w:r>
      <w:bookmarkEnd w:id="5617"/>
    </w:p>
    <w:p>
      <w:pPr>
        <w:pStyle w:val="RecuadroTitulo"/>
      </w:pPr>
      <w:r>
        <w:t xml:space="preserve">Respuesta modelo</w:t>
      </w:r>
    </w:p>
    <w:p>
      <w:pPr>
        <w:pStyle w:val="Normal"/>
      </w:pPr>
      <w:r>
        <w:t xml:space="preserve">Las polaridades son: «Sed → Tomar agua» positiva, «Tomar agua → Contenido de agua en el cuerpo» positiva y «Contenido de agua en el cuerpo → Sed» negativa.</w:t>
      </w:r>
    </w:p>
    <w:p>
      <w:pPr>
        <w:pStyle w:val="Normal"/>
      </w:pPr>
      <w:r>
        <w:t xml:space="preserve">El ciclo tiene una sola relación negativa. Al ser un número impar, se trata de un ciclo de compensación o balance, y por eso lleva una B en el centro.</w:t>
      </w:r>
    </w:p>
    <w:p>
      <w:pPr>
        <w:pStyle w:val="Normal"/>
      </w:pPr>
      <w:r>
        <w:t xml:space="preserve">El comportamiento que produce es de búsqueda de objetivo: la sed crece mientras el cuerpo pierde líquido, dispara la acción de beber y esa acción revierte la tendencia hasta alcanzar un nivel aceptable, donde el sistema se estabiliza. No hay crecimiento indefinido, sino un equilibrio que se vuelve a perder con el paso de las horas.</w:t>
      </w:r>
    </w:p>
    <w:p>
      <w:pPr>
        <w:pStyle w:val="Heading3"/>
      </w:pPr>
      <w:r>
        <w:t xml:space="preserve">Recorra el ciclo variable por variable</w:t>
      </w:r>
    </w:p>
    <w:p>
      <w:pPr>
        <w:pStyle w:val="Normal"/>
      </w:pPr>
      <w:r>
        <w:t xml:space="preserve">Empiece donde quiera: si es ciclo, el recorrido vuelve al punto de partida. Sed lleva a tomar agua, tomar agua lleva a contenido de agua en el cuerpo, y el contenido vuelve sobre la sed.</w:t>
      </w:r>
    </w:p>
    <w:p>
      <w:pPr>
        <w:pStyle w:val="Heading3"/>
      </w:pPr>
      <w:r>
        <w:t xml:space="preserve">Asigne el signo de cada tramo preguntando por el sentido</w:t>
      </w:r>
    </w:p>
    <w:p>
      <w:pPr>
        <w:pStyle w:val="Normal"/>
      </w:pPr>
      <w:r>
        <w:t xml:space="preserve">A más sed, más agua se bebe: positiva. A más agua bebida, más contenido de agua: positiva. A más contenido de agua, menos sed: negativa.</w:t>
      </w:r>
    </w:p>
    <w:p>
      <w:pPr>
        <w:pStyle w:val="Heading3"/>
      </w:pPr>
      <w:r>
        <w:t xml:space="preserve">Cuente las negativas y aplique la regla de paridad</w:t>
      </w:r>
    </w:p>
    <w:p>
      <w:pPr>
        <w:pStyle w:val="Normal"/>
      </w:pPr>
      <w:r>
        <w:t xml:space="preserve">Hay una sola relación negativa. Uno es impar, de modo que el ciclo es de compensación o balance.</w:t>
      </w:r>
    </w:p>
    <w:p>
      <w:pPr>
        <w:pStyle w:val="Heading3"/>
      </w:pPr>
      <w:r>
        <w:t xml:space="preserve">Compruebe leyendo la historia</w:t>
      </w:r>
    </w:p>
    <w:p>
      <w:pPr>
        <w:pStyle w:val="Normal"/>
      </w:pPr>
      <w:r>
        <w:t xml:space="preserve">La regla se confirma releyendo: la acción de beber reduce el impulso que la provocó, así que el sistema tiende a un estado estable en vez de dispararse.</w:t>
      </w:r>
    </w:p>
    <w:p>
      <w:pPr>
        <w:pStyle w:val="Normal"/>
      </w:pPr>
      <w:r>
        <w:t xml:space="preserve">Leer «negativa» como «perjudicial» y concluir que el ciclo es malo.</w:t>
      </w:r>
    </w:p>
    <w:p>
      <w:pPr>
        <w:pStyle w:val="Normal"/>
      </w:pPr>
      <w:r>
        <w:t xml:space="preserve">Omitir el identificador B en el centro del bucle.</w:t>
      </w:r>
    </w:p>
    <w:p>
      <w:pPr>
        <w:keepNext/>
        <w:spacing w:after="40" w:before="150"/>
        <w:jc w:val="center"/>
      </w:pPr>
      <w:bookmarkStart w:name="b_figura_original_d2_01_interpr_22a3ba08" w:id="5618"/>
      <w:bookmarkEnd w:id="5618"/>
      <w:r>
        <w:drawing>
          <wp:inline distT="0" distB="0" distL="0" distR="0">
            <wp:extent cx="5381625" cy="3362325"/>
            <wp:effectExtent t="0" r="0" b="0" l="0"/>
            <wp:docPr id="235" name="d2-01-interpretar-sed-modelo" descr="Clase 14 · 00:09:38–00:16:40 · lámina 4" title="Interpretar un modelo · polaridad y tipo de cicl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99" cstate="none"/>
                    <a:srcRect/>
                    <a:stretch>
                      <a:fillRect/>
                    </a:stretch>
                  </pic:blipFill>
                  <pic:spPr bwMode="auto">
                    <a:xfrm>
                      <a:off x="0" y="0"/>
                      <a:ext cx="5381625" cy="3362325"/>
                    </a:xfrm>
                    <a:prstGeom prst="rect">
                      <a:avLst/>
                    </a:prstGeom>
                  </pic:spPr>
                </pic:pic>
              </a:graphicData>
            </a:graphic>
          </wp:inline>
        </w:drawing>
      </w:r>
    </w:p>
    <w:p>
      <w:pPr>
        <w:pStyle w:val="PieFigura"/>
        <w:keepNext/>
      </w:pPr>
      <w:bookmarkStart w:name="b_fig_V4_2" w:id="5619"/>
      <w:r>
        <w:t xml:space="preserve">Figura V4.</w:t>
      </w:r>
      <w:fldSimple w:instr="SEQ Figura \n \* ARABIC">
        <w:r>
          <w:t xml:space="preserve">2</w:t>
        </w:r>
      </w:fldSimple>
      <w:r>
        <w:t xml:space="preserve"> · Interpretar un modelo · polaridad y tipo de ciclo</w:t>
      </w:r>
      <w:bookmarkEnd w:id="5619"/>
    </w:p>
    <w:p>
      <w:pPr>
        <w:pStyle w:val="LecturaFigura"/>
        <w:keepNext/>
      </w:pPr>
      <w:r>
        <w:rPr>
          <w:b/>
          <w:bCs/>
        </w:rPr>
        <w:t xml:space="preserve">Lectura del diagrama: </w:t>
      </w:r>
      <w:r>
        <w:t xml:space="preserve">2 relaciones (+) y 1 relación (−) · 1 negativa · número impar ⇒ ciclo de balance (B). A más sed, más agua se bebe; a más agua bebida, más contenido de agua en el cuerpo; y a más contenido de agua, menos sed.</w:t>
      </w:r>
    </w:p>
    <w:p>
      <w:pPr>
        <w:pStyle w:val="Fuente"/>
      </w:pPr>
      <w:r>
        <w:t xml:space="preserve">Clase 14 · 00:09:38–00:16:40 · lámina 4</w:t>
      </w:r>
    </w:p>
    <w:p>
      <w:pPr>
        <w:pStyle w:val="Heading3"/>
      </w:pPr>
      <w:r>
        <w:t xml:space="preserve">Criterios para una respuesta completa</w:t>
      </w:r>
    </w:p>
    <w:p>
      <w:pPr>
        <w:pStyle w:val="Normal"/>
        <w:numPr>
          <w:ilvl w:val="0"/>
          <w:numId w:val="2"/>
        </w:numPr>
      </w:pPr>
      <w:r>
        <w:t xml:space="preserve">Asigna correctamente las tres polaridades y justifica cada una en el sentido del cambio, no en si es buena o mala.</w:t>
      </w:r>
    </w:p>
    <w:p>
      <w:pPr>
        <w:pStyle w:val="Normal"/>
        <w:numPr>
          <w:ilvl w:val="0"/>
          <w:numId w:val="2"/>
        </w:numPr>
      </w:pPr>
      <w:r>
        <w:t xml:space="preserve">Cuenta las negativas y nombra la regla de paridad como criterio.</w:t>
      </w:r>
    </w:p>
    <w:p>
      <w:pPr>
        <w:pStyle w:val="Normal"/>
        <w:numPr>
          <w:ilvl w:val="0"/>
          <w:numId w:val="2"/>
        </w:numPr>
      </w:pPr>
      <w:r>
        <w:t xml:space="preserve">Clasifica el ciclo como de balance, compensación o control.</w:t>
      </w:r>
    </w:p>
    <w:p>
      <w:pPr>
        <w:pStyle w:val="Normal"/>
        <w:numPr>
          <w:ilvl w:val="0"/>
          <w:numId w:val="2"/>
        </w:numPr>
      </w:pPr>
      <w:r>
        <w:t xml:space="preserve">Describe el comportamiento como búsqueda de un estado estable y no como crecimiento.</w:t>
      </w:r>
    </w:p>
    <w:p>
      <w:pPr>
        <w:pStyle w:val="Fuente"/>
      </w:pPr>
      <w:r>
        <w:t xml:space="preserve">Clase 14 · 00:09:38–00:16:40 · lámina 4</w:t>
      </w:r>
    </w:p>
    <w:p>
      <w:pPr>
        <w:pStyle w:val="Heading3"/>
      </w:pPr>
      <w:bookmarkStart w:name="b_pregunta_d2_02_diagramar_caries" w:id="5620"/>
      <w:r>
        <w:t xml:space="preserve">4.2 · Diagramar una historia · demora</w:t>
      </w:r>
      <w:bookmarkEnd w:id="5620"/>
    </w:p>
    <w:p>
      <w:pPr>
        <w:pStyle w:val="Normal"/>
      </w:pPr>
      <w:r>
        <w:t xml:space="preserve">«Beber refrescos azucarados de forma rutinaria sin un cepillado adecuado contribuye a la caries dental con el tiempo. El dolor de muelas no es inmediato, por lo que puede ser difícil ver la conexión entre el consumo de refrescos y la caries. Hay un retraso entre beber un refresco y sentarse en la silla del dentista con dolor de muelas, lo que hace que la conexión entre las dos experiencias no sea obvia de inmediato.» Realice un diagrama de ciclos causales que muestre el comportamiento dinámico de esta historia.</w:t>
      </w:r>
    </w:p>
    <w:p>
      <w:pPr>
        <w:pStyle w:val="Fuente"/>
      </w:pPr>
      <w:r>
        <w:t xml:space="preserve">Ordinal de la fuente: 2.</w:t>
      </w:r>
    </w:p>
    <w:p>
      <w:pPr>
        <w:pStyle w:val="Fuente"/>
      </w:pPr>
      <w:r>
        <w:t xml:space="preserve">Valor de práctica: 10 puntos.</w:t>
      </w:r>
    </w:p>
    <w:p>
      <w:pPr>
        <w:pStyle w:val="Heading3"/>
      </w:pPr>
      <w:bookmarkStart w:name="b_solucion_d2_02_diagramar_caries" w:id="5621"/>
      <w:r>
        <w:t xml:space="preserve">Solución 4.2</w:t>
      </w:r>
      <w:bookmarkEnd w:id="5621"/>
    </w:p>
    <w:p>
      <w:pPr>
        <w:pStyle w:val="RecuadroTitulo"/>
      </w:pPr>
      <w:r>
        <w:t xml:space="preserve">Respuesta modelo</w:t>
      </w:r>
    </w:p>
    <w:p>
      <w:pPr>
        <w:pStyle w:val="Normal"/>
      </w:pPr>
      <w:r>
        <w:t xml:space="preserve">El ciclo es: Consumo de refrescos azucarados →+ (con demora) Caries dental →+ Dolor de muelas →+ Tiempo en el dentista →+ Conciencia del daño →− Consumo de refrescos azucarados.</w:t>
      </w:r>
    </w:p>
    <w:p>
      <w:pPr>
        <w:pStyle w:val="Normal"/>
      </w:pPr>
      <w:r>
        <w:t xml:space="preserve">Son cuatro relaciones positivas y una negativa. Al ser impar el número de negativas, el ciclo es de compensación o balance y se marca con una B en el centro.</w:t>
      </w:r>
    </w:p>
    <w:p>
      <w:pPr>
        <w:pStyle w:val="Normal"/>
      </w:pPr>
      <w:r>
        <w:t xml:space="preserve">La frecuencia de cepillado adecuado es una variable externa al ciclo: influye con signo negativo sobre la caries dental, pero el ciclo no devuelve influencia sobre ella.</w:t>
      </w:r>
    </w:p>
    <w:p>
      <w:pPr>
        <w:pStyle w:val="Normal"/>
      </w:pPr>
      <w:r>
        <w:t xml:space="preserve">El efecto de la demora es el núcleo de la historia: como el daño tarda en aparecer, resulta difícil asociarlo al consumo previo, y eso retrasa o debilita la respuesta que reduciría ese consumo. El ciclo compensador existe, pero actúa tarde.</w:t>
      </w:r>
    </w:p>
    <w:p>
      <w:pPr>
        <w:pStyle w:val="Heading3"/>
      </w:pPr>
      <w:r>
        <w:t xml:space="preserve">Extraiga las variables de la historia, y sólo de ella</w:t>
      </w:r>
    </w:p>
    <w:p>
      <w:pPr>
        <w:pStyle w:val="Normal"/>
      </w:pPr>
      <w:r>
        <w:t xml:space="preserve">Consumo de refrescos azucarados, caries dental, dolor de muelas, tiempo en el dentista y la frecuencia de cepillado. No conviene añadir variables que el texto no nombra.</w:t>
      </w:r>
    </w:p>
    <w:p>
      <w:pPr>
        <w:pStyle w:val="Heading3"/>
      </w:pPr>
      <w:r>
        <w:t xml:space="preserve">Encadene las relaciones con cabeza de flecha</w:t>
      </w:r>
    </w:p>
    <w:p>
      <w:pPr>
        <w:pStyle w:val="Normal"/>
      </w:pPr>
      <w:r>
        <w:t xml:space="preserve">El consumo produce caries, la caries produce dolor, el dolor lleva al dentista. Hasta aquí es una cadena: todavía no hay ciclo.</w:t>
      </w:r>
    </w:p>
    <w:p>
      <w:pPr>
        <w:pStyle w:val="Heading3"/>
      </w:pPr>
      <w:r>
        <w:t xml:space="preserve">Busque el retorno que cierra el lazo</w:t>
      </w:r>
    </w:p>
    <w:p>
      <w:pPr>
        <w:pStyle w:val="Normal"/>
      </w:pPr>
      <w:r>
        <w:t xml:space="preserve">La experiencia en el dentista aumenta la conciencia del daño, y esa conciencia reduce el consumo. Ahí se cierra el círculo y aparece la relación negativa.</w:t>
      </w:r>
    </w:p>
    <w:p>
      <w:pPr>
        <w:pStyle w:val="Heading3"/>
      </w:pPr>
      <w:r>
        <w:t xml:space="preserve">Marque la demora donde el efecto tarda</w:t>
      </w:r>
    </w:p>
    <w:p>
      <w:pPr>
        <w:pStyle w:val="Normal"/>
      </w:pPr>
      <w:r>
        <w:t xml:space="preserve">Entre el consumo y la aparición de la caries hay un retraso largo. Se señala con las dos rayas paralelas sobre esa flecha.</w:t>
      </w:r>
    </w:p>
    <w:p>
      <w:pPr>
        <w:pStyle w:val="Heading3"/>
      </w:pPr>
      <w:r>
        <w:t xml:space="preserve">Cuente los signos y ponga el identificador</w:t>
      </w:r>
    </w:p>
    <w:p>
      <w:pPr>
        <w:pStyle w:val="Normal"/>
      </w:pPr>
      <w:r>
        <w:t xml:space="preserve">Cuatro relaciones positivas y una negativa: número impar, de modo que es un ciclo de balance. La frecuencia de cepillado entra como variable externa con signo negativo sobre la caries.</w:t>
      </w:r>
    </w:p>
    <w:p>
      <w:pPr>
        <w:pStyle w:val="Normal"/>
      </w:pPr>
      <w:r>
        <w:t xml:space="preserve">Dibujar flechas sin cabeza, lo que deja sin determinar qué es causa y qué efecto.</w:t>
      </w:r>
    </w:p>
    <w:p>
      <w:pPr>
        <w:pStyle w:val="Normal"/>
      </w:pPr>
      <w:r>
        <w:t xml:space="preserve">Presentar como ciclo un abanico de flechas que sale del consumo y no vuelve.</w:t>
      </w:r>
    </w:p>
    <w:p>
      <w:pPr>
        <w:pStyle w:val="Normal"/>
      </w:pPr>
      <w:r>
        <w:t xml:space="preserve">Olvidar el identificador B en el centro.</w:t>
      </w:r>
    </w:p>
    <w:p>
      <w:pPr>
        <w:pStyle w:val="Normal"/>
      </w:pPr>
      <w:r>
        <w:t xml:space="preserve">No marcar la demora, que es justamente lo que el caso viene a enseñar.</w:t>
      </w:r>
    </w:p>
    <w:p>
      <w:pPr>
        <w:keepNext/>
        <w:spacing w:after="40" w:before="150"/>
        <w:jc w:val="center"/>
      </w:pPr>
      <w:bookmarkStart w:name="b_figura_original_d2_02_diagram_a83ea0c5" w:id="5622"/>
      <w:bookmarkEnd w:id="5622"/>
      <w:r>
        <w:drawing>
          <wp:inline distT="0" distB="0" distL="0" distR="0">
            <wp:extent cx="5381625" cy="3362325"/>
            <wp:effectExtent t="0" r="0" b="0" l="0"/>
            <wp:docPr id="236" name="d2-02-diagramar-caries-modelo" descr="Clase 14 · 01:34:39–01:37:24 · lámina 15 · Clase 16 · 01:13:41–01:29:35" title="Diagramar una historia · demo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00" cstate="none"/>
                    <a:srcRect/>
                    <a:stretch>
                      <a:fillRect/>
                    </a:stretch>
                  </pic:blipFill>
                  <pic:spPr bwMode="auto">
                    <a:xfrm>
                      <a:off x="0" y="0"/>
                      <a:ext cx="5381625" cy="3362325"/>
                    </a:xfrm>
                    <a:prstGeom prst="rect">
                      <a:avLst/>
                    </a:prstGeom>
                  </pic:spPr>
                </pic:pic>
              </a:graphicData>
            </a:graphic>
          </wp:inline>
        </w:drawing>
      </w:r>
    </w:p>
    <w:p>
      <w:pPr>
        <w:pStyle w:val="PieFigura"/>
        <w:keepNext/>
      </w:pPr>
      <w:bookmarkStart w:name="b_fig_V4_3" w:id="5623"/>
      <w:r>
        <w:t xml:space="preserve">Figura V4.</w:t>
      </w:r>
      <w:fldSimple w:instr="SEQ Figura \n \* ARABIC">
        <w:r>
          <w:t xml:space="preserve">3</w:t>
        </w:r>
      </w:fldSimple>
      <w:r>
        <w:t xml:space="preserve"> · Diagramar una historia · demora</w:t>
      </w:r>
      <w:bookmarkEnd w:id="5623"/>
    </w:p>
    <w:p>
      <w:pPr>
        <w:pStyle w:val="LecturaFigura"/>
        <w:keepNext/>
      </w:pPr>
      <w:r>
        <w:rPr>
          <w:b/>
          <w:bCs/>
        </w:rPr>
        <w:t xml:space="preserve">Lectura del diagrama: </w:t>
      </w:r>
      <w:r>
        <w:t xml:space="preserve">«Compensación con demora» · 4 relaciones (+) y 1 relación (−) · 1 negativa · número impar ⇒ ciclo de balance (B). El daño dental tarda en aparecer, y esa demora dificulta asociar el dolor con el consumo previo: por eso la respuesta que reduciría el consumo llega tarde o no llega.</w:t>
      </w:r>
    </w:p>
    <w:p>
      <w:pPr>
        <w:pStyle w:val="Fuente"/>
      </w:pPr>
      <w:r>
        <w:t xml:space="preserve">Clase 14 · 01:34:39–01:37:24 · lámina 15 · Clase 16 · 01:13:41–01:29:35</w:t>
      </w:r>
    </w:p>
    <w:p>
      <w:pPr>
        <w:pStyle w:val="Heading3"/>
      </w:pPr>
      <w:r>
        <w:t xml:space="preserve">Criterios para una respuesta completa</w:t>
      </w:r>
    </w:p>
    <w:p>
      <w:pPr>
        <w:pStyle w:val="Normal"/>
        <w:numPr>
          <w:ilvl w:val="0"/>
          <w:numId w:val="2"/>
        </w:numPr>
      </w:pPr>
      <w:r>
        <w:t xml:space="preserve">Usa únicamente variables presentes en la historia y las nombra como magnitudes, no como acciones.</w:t>
      </w:r>
    </w:p>
    <w:p>
      <w:pPr>
        <w:pStyle w:val="Normal"/>
        <w:numPr>
          <w:ilvl w:val="0"/>
          <w:numId w:val="2"/>
        </w:numPr>
      </w:pPr>
      <w:r>
        <w:t xml:space="preserve">Todas las flechas llevan cabeza, de modo que causa y efecto quedan determinados.</w:t>
      </w:r>
    </w:p>
    <w:p>
      <w:pPr>
        <w:pStyle w:val="Normal"/>
        <w:numPr>
          <w:ilvl w:val="0"/>
          <w:numId w:val="2"/>
        </w:numPr>
      </w:pPr>
      <w:r>
        <w:t xml:space="preserve">Todas las relaciones llevan polaridad, y la que cierra el ciclo es negativa.</w:t>
      </w:r>
    </w:p>
    <w:p>
      <w:pPr>
        <w:pStyle w:val="Normal"/>
        <w:numPr>
          <w:ilvl w:val="0"/>
          <w:numId w:val="2"/>
        </w:numPr>
      </w:pPr>
      <w:r>
        <w:t xml:space="preserve">Marca la demora entre consumo y caries con las dos rayas.</w:t>
      </w:r>
    </w:p>
    <w:p>
      <w:pPr>
        <w:pStyle w:val="Normal"/>
        <w:numPr>
          <w:ilvl w:val="0"/>
          <w:numId w:val="2"/>
        </w:numPr>
      </w:pPr>
      <w:r>
        <w:t xml:space="preserve">Anota el identificador del ciclo en el centro y lo justifica por el conteo de negativas.</w:t>
      </w:r>
    </w:p>
    <w:p>
      <w:pPr>
        <w:pStyle w:val="Normal"/>
        <w:numPr>
          <w:ilvl w:val="0"/>
          <w:numId w:val="2"/>
        </w:numPr>
      </w:pPr>
      <w:r>
        <w:t xml:space="preserve">Trata la frecuencia de cepillado como variable externa y no la incorpora al recuento del bucle.</w:t>
      </w:r>
    </w:p>
    <w:p>
      <w:pPr>
        <w:pStyle w:val="Fuente"/>
      </w:pPr>
      <w:r>
        <w:t xml:space="preserve">Clase 14 · 01:34:39–01:37:24 · lámina 15 · Clase 16 · 01:13:41–01:29:35</w:t>
      </w:r>
    </w:p>
    <w:p>
      <w:pPr>
        <w:pStyle w:val="Heading3"/>
      </w:pPr>
      <w:bookmarkStart w:name="b_pregunta_d2_03_diagramar_ana" w:id="5624"/>
      <w:r>
        <w:t xml:space="preserve">4.3 · Diagramar una historia · ciclo de balance</w:t>
      </w:r>
      <w:bookmarkEnd w:id="5624"/>
    </w:p>
    <w:p>
      <w:pPr>
        <w:pStyle w:val="Normal"/>
      </w:pPr>
      <w:r>
        <w:t xml:space="preserve">Ana describe así su trabajo en un proyecto urgente: «Mientras menos tiempo disponible tengo para ejecutar mis actividades, más presión tengo para cumplir lo contenido en el cronograma. Cuando tengo más presión realizo más trabajo extra fuera de horario para finalizar más actividades rápidamente, lo que me permite tener una mayor tasa de terminación del trabajo. Y a mayor tasa de terminación, menos trabajo pendiente me va quedando, lo que me reduce la presión». Realice un diagrama de ciclos causales que muestre el comportamiento dinámico de la historia.</w:t>
      </w:r>
    </w:p>
    <w:p>
      <w:pPr>
        <w:pStyle w:val="Fuente"/>
      </w:pPr>
      <w:r>
        <w:t xml:space="preserve">Ordinal de la fuente: 3.</w:t>
      </w:r>
    </w:p>
    <w:p>
      <w:pPr>
        <w:pStyle w:val="Fuente"/>
      </w:pPr>
      <w:r>
        <w:t xml:space="preserve">Valor de práctica: 10 puntos.</w:t>
      </w:r>
    </w:p>
    <w:p>
      <w:pPr>
        <w:pStyle w:val="Heading3"/>
      </w:pPr>
      <w:bookmarkStart w:name="b_solucion_d2_03_diagramar_ana" w:id="5625"/>
      <w:r>
        <w:t xml:space="preserve">Solución 4.3</w:t>
      </w:r>
      <w:bookmarkEnd w:id="5625"/>
    </w:p>
    <w:p>
      <w:pPr>
        <w:pStyle w:val="RecuadroTitulo"/>
      </w:pPr>
      <w:r>
        <w:t xml:space="preserve">Respuesta modelo</w:t>
      </w:r>
    </w:p>
    <w:p>
      <w:pPr>
        <w:pStyle w:val="Normal"/>
      </w:pPr>
      <w:r>
        <w:t xml:space="preserve">El ciclo es: Presión para cumplir el cronograma →+ Trabajo extra fuera de horario →+ Tasa de terminación del trabajo →− Trabajo pendiente →+ Presión para cumplir el cronograma.</w:t>
      </w:r>
    </w:p>
    <w:p>
      <w:pPr>
        <w:pStyle w:val="Normal"/>
      </w:pPr>
      <w:r>
        <w:t xml:space="preserve">Tres relaciones positivas y una negativa: número impar, luego es un ciclo de balance o compensación, marcado con B en el centro.</w:t>
      </w:r>
    </w:p>
    <w:p>
      <w:pPr>
        <w:pStyle w:val="Normal"/>
      </w:pPr>
      <w:r>
        <w:t xml:space="preserve">El tiempo disponible para ejecutar las actividades es una variable externa al ciclo: actúa con signo negativo sobre la presión, pero no recibe ninguna flecha de retorno.</w:t>
      </w:r>
    </w:p>
    <w:p>
      <w:pPr>
        <w:pStyle w:val="Normal"/>
      </w:pPr>
      <w:r>
        <w:t xml:space="preserve">La lectura del ciclo es que el efecto compensa el cambio inicial: más presión termina reduciendo el trabajo pendiente y con ello la propia presión. El modelo, tal como lo cuenta Ana, no marca ninguna demora.</w:t>
      </w:r>
    </w:p>
    <w:p>
      <w:pPr>
        <w:pStyle w:val="Heading3"/>
      </w:pPr>
      <w:r>
        <w:t xml:space="preserve">Subraye las magnitudes que la propia Ana nombra</w:t>
      </w:r>
    </w:p>
    <w:p>
      <w:pPr>
        <w:pStyle w:val="Normal"/>
      </w:pPr>
      <w:r>
        <w:t xml:space="preserve">Tiempo disponible, presión por el cronograma, trabajo extra, tasa de terminación y trabajo pendiente. Todas admiten más y menos, así que sirven como variables.</w:t>
      </w:r>
    </w:p>
    <w:p>
      <w:pPr>
        <w:pStyle w:val="Heading3"/>
      </w:pPr>
      <w:r>
        <w:t xml:space="preserve">Traduzca cada «mientras más… más» en una flecha con signo</w:t>
      </w:r>
    </w:p>
    <w:p>
      <w:pPr>
        <w:pStyle w:val="Normal"/>
      </w:pPr>
      <w:r>
        <w:t xml:space="preserve">«Menos tiempo, más presión» es una relación negativa. «Más presión, más trabajo extra» es positiva. «Más trabajo extra, mayor tasa de terminación» es positiva.</w:t>
      </w:r>
    </w:p>
    <w:p>
      <w:pPr>
        <w:pStyle w:val="Heading3"/>
      </w:pPr>
      <w:r>
        <w:t xml:space="preserve">Cierre el lazo con las dos últimas frases</w:t>
      </w:r>
    </w:p>
    <w:p>
      <w:pPr>
        <w:pStyle w:val="Normal"/>
      </w:pPr>
      <w:r>
        <w:t xml:space="preserve">«A mayor tasa de terminación, menos trabajo pendiente» es negativa; «más trabajo pendiente, más presión» es positiva y devuelve el recorrido al inicio.</w:t>
      </w:r>
    </w:p>
    <w:p>
      <w:pPr>
        <w:pStyle w:val="Heading3"/>
      </w:pPr>
      <w:r>
        <w:t xml:space="preserve">Separe la variable externa</w:t>
      </w:r>
    </w:p>
    <w:p>
      <w:pPr>
        <w:pStyle w:val="Normal"/>
      </w:pPr>
      <w:r>
        <w:t xml:space="preserve">El tiempo disponible influye sobre la presión pero el ciclo no vuelve sobre él. Queda fuera del bucle y fuera del recuento de signos.</w:t>
      </w:r>
    </w:p>
    <w:p>
      <w:pPr>
        <w:pStyle w:val="Heading3"/>
      </w:pPr>
      <w:r>
        <w:t xml:space="preserve">Cuente y clasifique</w:t>
      </w:r>
    </w:p>
    <w:p>
      <w:pPr>
        <w:pStyle w:val="Normal"/>
      </w:pPr>
      <w:r>
        <w:t xml:space="preserve">Dentro del bucle hay tres relaciones positivas y una negativa. Uno es impar: ciclo de balance o compensación. No hay demora que marcar, porque la historia no menciona ningún retraso.</w:t>
      </w:r>
    </w:p>
    <w:p>
      <w:pPr>
        <w:pStyle w:val="Normal"/>
      </w:pPr>
      <w:r>
        <w:t xml:space="preserve">Incluir el tiempo disponible dentro del recuento de signos del ciclo.</w:t>
      </w:r>
    </w:p>
    <w:p>
      <w:pPr>
        <w:pStyle w:val="Normal"/>
      </w:pPr>
      <w:r>
        <w:t xml:space="preserve">Inventar variables como «cansancio» o «calidad», que la historia no menciona.</w:t>
      </w:r>
    </w:p>
    <w:p>
      <w:pPr>
        <w:pStyle w:val="Normal"/>
      </w:pPr>
      <w:r>
        <w:t xml:space="preserve">Marcar una demora que el relato no declara.</w:t>
      </w:r>
    </w:p>
    <w:p>
      <w:pPr>
        <w:keepNext/>
        <w:spacing w:after="40" w:before="150"/>
        <w:jc w:val="center"/>
      </w:pPr>
      <w:bookmarkStart w:name="b_figura_original_d2_03_diagram_dd795288" w:id="5626"/>
      <w:bookmarkEnd w:id="5626"/>
      <w:r>
        <w:drawing>
          <wp:inline distT="0" distB="0" distL="0" distR="0">
            <wp:extent cx="5381625" cy="3362325"/>
            <wp:effectExtent t="0" r="0" b="0" l="0"/>
            <wp:docPr id="237" name="d2-03-diagramar-ana-modelo" descr="Clase 15 · 01:41:18–01:42:38 · lámina 20 · Clase 16 · lámina 25" title="Diagramar una historia · ciclo de bala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01" cstate="none"/>
                    <a:srcRect/>
                    <a:stretch>
                      <a:fillRect/>
                    </a:stretch>
                  </pic:blipFill>
                  <pic:spPr bwMode="auto">
                    <a:xfrm>
                      <a:off x="0" y="0"/>
                      <a:ext cx="5381625" cy="3362325"/>
                    </a:xfrm>
                    <a:prstGeom prst="rect">
                      <a:avLst/>
                    </a:prstGeom>
                  </pic:spPr>
                </pic:pic>
              </a:graphicData>
            </a:graphic>
          </wp:inline>
        </w:drawing>
      </w:r>
    </w:p>
    <w:p>
      <w:pPr>
        <w:pStyle w:val="PieFigura"/>
        <w:keepNext/>
      </w:pPr>
      <w:bookmarkStart w:name="b_fig_V4_4" w:id="5627"/>
      <w:r>
        <w:t xml:space="preserve">Figura V4.</w:t>
      </w:r>
      <w:fldSimple w:instr="SEQ Figura \n \* ARABIC">
        <w:r>
          <w:t xml:space="preserve">4</w:t>
        </w:r>
      </w:fldSimple>
      <w:r>
        <w:t xml:space="preserve"> · Diagramar una historia · ciclo de balance</w:t>
      </w:r>
      <w:bookmarkEnd w:id="5627"/>
    </w:p>
    <w:p>
      <w:pPr>
        <w:pStyle w:val="LecturaFigura"/>
        <w:keepNext/>
      </w:pPr>
      <w:r>
        <w:rPr>
          <w:b/>
          <w:bCs/>
        </w:rPr>
        <w:t xml:space="preserve">Lectura del diagrama: </w:t>
      </w:r>
      <w:r>
        <w:t xml:space="preserve">«Midnight Oil» · 3 relaciones (+) y 1 relación (−) · 1 negativa · número impar ⇒ ciclo de balance (B). Más presión produce más trabajo extra, que sube la tasa de terminación, que reduce el trabajo pendiente y con ello la presión: el efecto compensa el cambio inicial.</w:t>
      </w:r>
    </w:p>
    <w:p>
      <w:pPr>
        <w:pStyle w:val="Fuente"/>
      </w:pPr>
      <w:r>
        <w:t xml:space="preserve">Clase 15 · 01:41:18–01:42:38 · lámina 20 · Clase 16 · lámina 25</w:t>
      </w:r>
    </w:p>
    <w:p>
      <w:pPr>
        <w:pStyle w:val="Heading3"/>
      </w:pPr>
      <w:r>
        <w:t xml:space="preserve">Criterios para una respuesta completa</w:t>
      </w:r>
    </w:p>
    <w:p>
      <w:pPr>
        <w:pStyle w:val="Normal"/>
        <w:numPr>
          <w:ilvl w:val="0"/>
          <w:numId w:val="2"/>
        </w:numPr>
      </w:pPr>
      <w:r>
        <w:t xml:space="preserve">Incluye sólo las cinco variables de la historia.</w:t>
      </w:r>
    </w:p>
    <w:p>
      <w:pPr>
        <w:pStyle w:val="Normal"/>
        <w:numPr>
          <w:ilvl w:val="0"/>
          <w:numId w:val="2"/>
        </w:numPr>
      </w:pPr>
      <w:r>
        <w:t xml:space="preserve">Traduce correctamente las dos relaciones negativas del relato: tiempo disponible sobre presión, y tasa de terminación sobre trabajo pendiente.</w:t>
      </w:r>
    </w:p>
    <w:p>
      <w:pPr>
        <w:pStyle w:val="Normal"/>
        <w:numPr>
          <w:ilvl w:val="0"/>
          <w:numId w:val="2"/>
        </w:numPr>
      </w:pPr>
      <w:r>
        <w:t xml:space="preserve">Cierra el lazo por el trabajo pendiente y lo señala con el identificador B.</w:t>
      </w:r>
    </w:p>
    <w:p>
      <w:pPr>
        <w:pStyle w:val="Normal"/>
        <w:numPr>
          <w:ilvl w:val="0"/>
          <w:numId w:val="2"/>
        </w:numPr>
      </w:pPr>
      <w:r>
        <w:t xml:space="preserve">Distingue el tiempo disponible como variable externa.</w:t>
      </w:r>
    </w:p>
    <w:p>
      <w:pPr>
        <w:pStyle w:val="Normal"/>
        <w:numPr>
          <w:ilvl w:val="0"/>
          <w:numId w:val="2"/>
        </w:numPr>
      </w:pPr>
      <w:r>
        <w:t xml:space="preserve">Justifica la clasificación contando las relaciones negativas del bucle.</w:t>
      </w:r>
    </w:p>
    <w:p>
      <w:pPr>
        <w:pStyle w:val="Fuente"/>
      </w:pPr>
      <w:r>
        <w:t xml:space="preserve">Clase 15 · 01:41:18–01:42:38 · lámina 20 · Clase 16 · lámina 25</w:t>
      </w:r>
    </w:p>
    <w:p>
      <w:pPr>
        <w:pStyle w:val="Heading3"/>
      </w:pPr>
      <w:bookmarkStart w:name="b_pregunta_d2_04_ampliar_ana" w:id="5628"/>
      <w:r>
        <w:t xml:space="preserve">4.4 · Ampliar un modelo · del balance al agotamiento</w:t>
      </w:r>
      <w:bookmarkEnd w:id="5628"/>
    </w:p>
    <w:p>
      <w:pPr>
        <w:pStyle w:val="Normal"/>
      </w:pPr>
      <w:r>
        <w:t xml:space="preserve">El modelo básico del caso de Ana sugiere que trabajar más horas resuelve la presión. Explique, apoyándose en la ampliación de cuatro ciclos que se vio en clase, por qué esa solución deja de funcionar y qué ciclos aparecen al ampliarla.</w:t>
      </w:r>
    </w:p>
    <w:p>
      <w:pPr>
        <w:pStyle w:val="Fuente"/>
      </w:pPr>
      <w:r>
        <w:t xml:space="preserve">Ordinal de la fuente: 4.</w:t>
      </w:r>
    </w:p>
    <w:p>
      <w:pPr>
        <w:pStyle w:val="Fuente"/>
      </w:pPr>
      <w:r>
        <w:t xml:space="preserve">Valor de práctica: 8 puntos.</w:t>
      </w:r>
    </w:p>
    <w:p>
      <w:pPr>
        <w:pStyle w:val="Heading3"/>
      </w:pPr>
      <w:bookmarkStart w:name="b_solucion_d2_04_ampliar_ana" w:id="5629"/>
      <w:r>
        <w:t xml:space="preserve">Solución 4.4</w:t>
      </w:r>
      <w:bookmarkEnd w:id="5629"/>
    </w:p>
    <w:p>
      <w:pPr>
        <w:pStyle w:val="RecuadroTitulo"/>
      </w:pPr>
      <w:r>
        <w:t xml:space="preserve">Respuesta modelo</w:t>
      </w:r>
    </w:p>
    <w:p>
      <w:pPr>
        <w:pStyle w:val="Normal"/>
      </w:pPr>
      <w:r>
        <w:t xml:space="preserve">El modelo básico contiene un solo ciclo, B1 «Midnight Oil», que es de balance: la presión produce trabajo extra, el trabajo extra sube la tasa de terminación, la tasa reduce el trabajo pendiente y con ello la presión. Visto así, trabajar más resuelve el problema.</w:t>
      </w:r>
    </w:p>
    <w:p>
      <w:pPr>
        <w:pStyle w:val="Normal"/>
      </w:pPr>
      <w:r>
        <w:t xml:space="preserve">La ampliación añade tres ciclos más. B2, «Atajos», recoge que la presión reduce el tiempo dedicado a cada tarea. R1, «Explosión», recoge que el trabajo extra aumenta la fatiga —con demora— y que la fatiga reduce la productividad, de la que depende la tasa de terminación. R2 recoge que menos tiempo por tarea aumenta la tasa de error, que también con demora vuelve a reducir la productividad.</w:t>
      </w:r>
    </w:p>
    <w:p>
      <w:pPr>
        <w:pStyle w:val="Normal"/>
      </w:pPr>
      <w:r>
        <w:t xml:space="preserve">La conclusión es que la solución funciona unos cuantos días y después se vuelve contra sí misma: los dos ciclos de refuerzo erosionan la productividad que el ciclo de balance necesitaba para funcionar. Las demoras son lo que hace que ese deterioro no se perciba a tiempo.</w:t>
      </w:r>
    </w:p>
    <w:p>
      <w:pPr>
        <w:pStyle w:val="Heading3"/>
      </w:pPr>
      <w:r>
        <w:t xml:space="preserve">Recuerde qué dice el modelo básico</w:t>
      </w:r>
    </w:p>
    <w:p>
      <w:pPr>
        <w:pStyle w:val="Normal"/>
      </w:pPr>
      <w:r>
        <w:t xml:space="preserve">B1, llamado «Midnight Oil», compensa: más presión produce más trabajo extra, que sube la tasa de terminación y baja lo pendiente.</w:t>
      </w:r>
    </w:p>
    <w:p>
      <w:pPr>
        <w:pStyle w:val="Heading3"/>
      </w:pPr>
      <w:r>
        <w:t xml:space="preserve">Busque el efecto que el modelo básico no recoge</w:t>
      </w:r>
    </w:p>
    <w:p>
      <w:pPr>
        <w:pStyle w:val="Normal"/>
      </w:pPr>
      <w:r>
        <w:t xml:space="preserve">El trabajo extra produce fatiga, y esa fatiga llega con demora. Se incorpora como una nueva variable con su marca de retraso.</w:t>
      </w:r>
    </w:p>
    <w:p>
      <w:pPr>
        <w:pStyle w:val="Heading3"/>
      </w:pPr>
      <w:r>
        <w:t xml:space="preserve">Siga la cadena de la fatiga</w:t>
      </w:r>
    </w:p>
    <w:p>
      <w:pPr>
        <w:pStyle w:val="Normal"/>
      </w:pPr>
      <w:r>
        <w:t xml:space="preserve">La fatiga reduce la productividad y la productividad sostiene la tasa de terminación: aparece R1, «Explosión», que erosiona lo que B1 conseguía.</w:t>
      </w:r>
    </w:p>
    <w:p>
      <w:pPr>
        <w:pStyle w:val="Heading3"/>
      </w:pPr>
      <w:r>
        <w:t xml:space="preserve">Añada los atajos y su precio</w:t>
      </w:r>
    </w:p>
    <w:p>
      <w:pPr>
        <w:pStyle w:val="Normal"/>
      </w:pPr>
      <w:r>
        <w:t xml:space="preserve">La presión reduce el tiempo por tarea —B2, «Atajos»—, y menos tiempo por tarea sube la tasa de error, que vuelve a golpear la productividad: R2.</w:t>
      </w:r>
    </w:p>
    <w:p>
      <w:pPr>
        <w:pStyle w:val="Heading3"/>
      </w:pPr>
      <w:r>
        <w:t xml:space="preserve">Criterios para una respuesta completa</w:t>
      </w:r>
    </w:p>
    <w:p>
      <w:pPr>
        <w:pStyle w:val="Normal"/>
        <w:numPr>
          <w:ilvl w:val="0"/>
          <w:numId w:val="2"/>
        </w:numPr>
      </w:pPr>
      <w:r>
        <w:t xml:space="preserve">Nombra los cuatro ciclos y distingue cuáles son de balance y cuáles de refuerzo.</w:t>
      </w:r>
    </w:p>
    <w:p>
      <w:pPr>
        <w:pStyle w:val="Normal"/>
        <w:numPr>
          <w:ilvl w:val="0"/>
          <w:numId w:val="2"/>
        </w:numPr>
      </w:pPr>
      <w:r>
        <w:t xml:space="preserve">Identifica la fatiga y la tasa de error como las variables que la ampliación incorpora.</w:t>
      </w:r>
    </w:p>
    <w:p>
      <w:pPr>
        <w:pStyle w:val="Normal"/>
        <w:numPr>
          <w:ilvl w:val="0"/>
          <w:numId w:val="2"/>
        </w:numPr>
      </w:pPr>
      <w:r>
        <w:t xml:space="preserve">Ubica las demoras en Trabajo extra → Fatiga y Tasa de error → Productividad.</w:t>
      </w:r>
    </w:p>
    <w:p>
      <w:pPr>
        <w:pStyle w:val="Normal"/>
        <w:numPr>
          <w:ilvl w:val="0"/>
          <w:numId w:val="2"/>
        </w:numPr>
      </w:pPr>
      <w:r>
        <w:t xml:space="preserve">Explica por qué la solución inicial deja de funcionar, en términos de estructura y no de esfuerzo personal.</w:t>
      </w:r>
    </w:p>
    <w:p>
      <w:pPr>
        <w:pStyle w:val="Fuente"/>
      </w:pPr>
      <w:r>
        <w:t xml:space="preserve">Clase 16 · 01:44:55–01:46:45 · lámina 26</w:t>
      </w:r>
    </w:p>
    <w:p>
      <w:pPr>
        <w:pStyle w:val="Heading3"/>
      </w:pPr>
      <w:bookmarkStart w:name="b_pregunta_d2_05_interpretar_banco" w:id="5630"/>
      <w:r>
        <w:t xml:space="preserve">4.5 · Interpretar un modelo · regla de paridad</w:t>
      </w:r>
      <w:bookmarkEnd w:id="5630"/>
    </w:p>
    <w:p>
      <w:pPr>
        <w:pStyle w:val="Normal"/>
      </w:pPr>
      <w:r>
        <w:t xml:space="preserve">El siguiente ciclo tiene cuatro relaciones negativas. Clasifíquelo, explique el criterio que aplicó y cuente la historia en sus dos versiones, la viciosa y la virtuosa.</w:t>
      </w:r>
    </w:p>
    <w:p>
      <w:pPr>
        <w:pStyle w:val="Fuente"/>
      </w:pPr>
      <w:r>
        <w:t xml:space="preserve">Ordinal de la fuente: 5.</w:t>
      </w:r>
    </w:p>
    <w:p>
      <w:pPr>
        <w:pStyle w:val="Fuente"/>
      </w:pPr>
      <w:r>
        <w:t xml:space="preserve">Valor de práctica: 8 puntos.</w:t>
      </w:r>
    </w:p>
    <w:p>
      <w:pPr>
        <w:keepNext/>
        <w:spacing w:after="40" w:before="150"/>
        <w:jc w:val="center"/>
      </w:pPr>
      <w:bookmarkStart w:name="b_figura_original_d2_05_interpr_78e94e84" w:id="5631"/>
      <w:bookmarkEnd w:id="5631"/>
      <w:r>
        <w:drawing>
          <wp:inline distT="0" distB="0" distL="0" distR="0">
            <wp:extent cx="5381625" cy="3362325"/>
            <wp:effectExtent t="0" r="0" b="0" l="0"/>
            <wp:docPr id="238" name="d2-05-interpretar-banco-enunciado" descr="Clase 16 · 00:42:41–00:49:40 · lámina 6" title="Interpretar un modelo · regla de parid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02" cstate="none"/>
                    <a:srcRect/>
                    <a:stretch>
                      <a:fillRect/>
                    </a:stretch>
                  </pic:blipFill>
                  <pic:spPr bwMode="auto">
                    <a:xfrm>
                      <a:off x="0" y="0"/>
                      <a:ext cx="5381625" cy="3362325"/>
                    </a:xfrm>
                    <a:prstGeom prst="rect">
                      <a:avLst/>
                    </a:prstGeom>
                  </pic:spPr>
                </pic:pic>
              </a:graphicData>
            </a:graphic>
          </wp:inline>
        </w:drawing>
      </w:r>
    </w:p>
    <w:p>
      <w:pPr>
        <w:pStyle w:val="PieFigura"/>
        <w:keepNext/>
      </w:pPr>
      <w:bookmarkStart w:name="b_fig_V4_5" w:id="5632"/>
      <w:r>
        <w:t xml:space="preserve">Figura V4.</w:t>
      </w:r>
      <w:fldSimple w:instr="SEQ Figura \n \* ARABIC">
        <w:r>
          <w:t xml:space="preserve">5</w:t>
        </w:r>
      </w:fldSimple>
      <w:r>
        <w:t xml:space="preserve"> · Interpretar un modelo · regla de paridad</w:t>
      </w:r>
      <w:bookmarkEnd w:id="5632"/>
    </w:p>
    <w:p>
      <w:pPr>
        <w:pStyle w:val="Fuente"/>
      </w:pPr>
      <w:r>
        <w:t xml:space="preserve">Clase 16 · 00:42:41–00:49:40 · lámina 6</w:t>
      </w:r>
    </w:p>
    <w:p>
      <w:pPr>
        <w:pStyle w:val="Heading3"/>
      </w:pPr>
      <w:bookmarkStart w:name="b_solucion_d2_05_interpretar_banco" w:id="5633"/>
      <w:r>
        <w:t xml:space="preserve">Solución 4.5</w:t>
      </w:r>
      <w:bookmarkEnd w:id="5633"/>
    </w:p>
    <w:p>
      <w:pPr>
        <w:pStyle w:val="RecuadroTitulo"/>
      </w:pPr>
      <w:r>
        <w:t xml:space="preserve">Respuesta modelo</w:t>
      </w:r>
    </w:p>
    <w:p>
      <w:pPr>
        <w:pStyle w:val="Normal"/>
      </w:pPr>
      <w:r>
        <w:t xml:space="preserve">El ciclo tiene cuatro relaciones negativas. Al ser un número par, las compensaciones se anulan entre sí y el bucle resulta de refuerzo, marcado con una R en el centro.</w:t>
      </w:r>
    </w:p>
    <w:p>
      <w:pPr>
        <w:pStyle w:val="Normal"/>
      </w:pPr>
      <w:r>
        <w:t xml:space="preserve">En su versión viciosa: más fallas del banco reducen la confianza de los inversionistas; menos confianza aumenta los retiros; más retiros reducen la solvencia, y menos solvencia produce más fallas. La espiral desciende hasta la quiebra.</w:t>
      </w:r>
    </w:p>
    <w:p>
      <w:pPr>
        <w:pStyle w:val="Normal"/>
      </w:pPr>
      <w:r>
        <w:t xml:space="preserve">En su versión virtuosa el recorrido es el mismo: pocas fallas aumentan la confianza, más confianza reduce los retiros, menos retiros elevan la solvencia y más solvencia reduce todavía más las fallas. La estructura no cambia; lo que cambia es hacia dónde se dispara y cómo se valora el resultado.</w:t>
      </w:r>
    </w:p>
    <w:p>
      <w:pPr>
        <w:pStyle w:val="Heading3"/>
      </w:pPr>
      <w:r>
        <w:t xml:space="preserve">Cuente las negativas</w:t>
      </w:r>
    </w:p>
    <w:p>
      <w:pPr>
        <w:pStyle w:val="Normal"/>
      </w:pPr>
      <w:r>
        <w:t xml:space="preserve">Las cuatro relaciones del recorrido llevan signo negativo. Cuatro es un número par.</w:t>
      </w:r>
    </w:p>
    <w:p>
      <w:pPr>
        <w:pStyle w:val="Heading3"/>
      </w:pPr>
      <w:r>
        <w:t xml:space="preserve">Aplique la regla</w:t>
      </w:r>
    </w:p>
    <w:p>
      <w:pPr>
        <w:pStyle w:val="Normal"/>
      </w:pPr>
      <w:r>
        <w:t xml:space="preserve">Número par de negativas, incluido el cero, da un ciclo de refuerzo. Las compensaciones se anulan de dos en dos.</w:t>
      </w:r>
    </w:p>
    <w:p>
      <w:pPr>
        <w:pStyle w:val="Heading3"/>
      </w:pPr>
      <w:r>
        <w:t xml:space="preserve">Compruebe releyendo el ciclo</w:t>
      </w:r>
    </w:p>
    <w:p>
      <w:pPr>
        <w:pStyle w:val="Normal"/>
      </w:pPr>
      <w:r>
        <w:t xml:space="preserve">Más fallas, menos confianza; menos confianza, más retiros; más retiros, menos solvencia; menos solvencia, más fallas. El recorrido vuelve amplificado al punto de partida.</w:t>
      </w:r>
    </w:p>
    <w:p>
      <w:pPr>
        <w:pStyle w:val="Heading3"/>
      </w:pPr>
      <w:r>
        <w:t xml:space="preserve">Recorra el ciclo en el sentido contrario</w:t>
      </w:r>
    </w:p>
    <w:p>
      <w:pPr>
        <w:pStyle w:val="Normal"/>
      </w:pPr>
      <w:r>
        <w:t xml:space="preserve">La misma estructura leída desde la mejora describe una espiral ascendente. Esa simetría es la que distingue el ciclo vicioso del virtuoso.</w:t>
      </w:r>
    </w:p>
    <w:p>
      <w:pPr>
        <w:keepNext/>
        <w:spacing w:after="40" w:before="150"/>
        <w:jc w:val="center"/>
      </w:pPr>
      <w:bookmarkStart w:name="b_figura_original_d2_05_interpr_f3a13b1e" w:id="5634"/>
      <w:bookmarkEnd w:id="5634"/>
      <w:r>
        <w:drawing>
          <wp:inline distT="0" distB="0" distL="0" distR="0">
            <wp:extent cx="5381625" cy="3362325"/>
            <wp:effectExtent t="0" r="0" b="0" l="0"/>
            <wp:docPr id="239" name="d2-05-interpretar-banco-modelo" descr="Clase 16 · 00:42:41–00:49:40 · lámina 6" title="Interpretar un modelo · regla de parid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03" cstate="none"/>
                    <a:srcRect/>
                    <a:stretch>
                      <a:fillRect/>
                    </a:stretch>
                  </pic:blipFill>
                  <pic:spPr bwMode="auto">
                    <a:xfrm>
                      <a:off x="0" y="0"/>
                      <a:ext cx="5381625" cy="3362325"/>
                    </a:xfrm>
                    <a:prstGeom prst="rect">
                      <a:avLst/>
                    </a:prstGeom>
                  </pic:spPr>
                </pic:pic>
              </a:graphicData>
            </a:graphic>
          </wp:inline>
        </w:drawing>
      </w:r>
    </w:p>
    <w:p>
      <w:pPr>
        <w:pStyle w:val="PieFigura"/>
        <w:keepNext/>
      </w:pPr>
      <w:bookmarkStart w:name="b_fig_V4_6" w:id="5635"/>
      <w:r>
        <w:t xml:space="preserve">Figura V4.</w:t>
      </w:r>
      <w:fldSimple w:instr="SEQ Figura \n \* ARABIC">
        <w:r>
          <w:t xml:space="preserve">6</w:t>
        </w:r>
      </w:fldSimple>
      <w:r>
        <w:t xml:space="preserve"> · Interpretar un modelo · regla de paridad</w:t>
      </w:r>
      <w:bookmarkEnd w:id="5635"/>
    </w:p>
    <w:p>
      <w:pPr>
        <w:pStyle w:val="LecturaFigura"/>
        <w:keepNext/>
      </w:pPr>
      <w:r>
        <w:rPr>
          <w:b/>
          <w:bCs/>
        </w:rPr>
        <w:t xml:space="preserve">Lectura del diagrama: </w:t>
      </w:r>
      <w:r>
        <w:t xml:space="preserve">0 relaciones (+) y 4 relaciones (−) · 4 negativas · número par ⇒ ciclo de refuerzo (R). Cuatro relaciones negativas encadenadas se anulan de dos en dos: el resultado global amplifica el cambio inicial en cualquiera de los dos sentidos.</w:t>
      </w:r>
    </w:p>
    <w:p>
      <w:pPr>
        <w:pStyle w:val="Fuente"/>
      </w:pPr>
      <w:r>
        <w:t xml:space="preserve">Clase 16 · 00:42:41–00:49:40 · lámina 6</w:t>
      </w:r>
    </w:p>
    <w:p>
      <w:pPr>
        <w:pStyle w:val="Heading3"/>
      </w:pPr>
      <w:r>
        <w:t xml:space="preserve">Criterios para una respuesta completa</w:t>
      </w:r>
    </w:p>
    <w:p>
      <w:pPr>
        <w:pStyle w:val="Normal"/>
        <w:numPr>
          <w:ilvl w:val="0"/>
          <w:numId w:val="2"/>
        </w:numPr>
      </w:pPr>
      <w:r>
        <w:t xml:space="preserve">Cuenta las negativas y aplica explícitamente la regla de paridad.</w:t>
      </w:r>
    </w:p>
    <w:p>
      <w:pPr>
        <w:pStyle w:val="Normal"/>
        <w:numPr>
          <w:ilvl w:val="0"/>
          <w:numId w:val="2"/>
        </w:numPr>
      </w:pPr>
      <w:r>
        <w:t xml:space="preserve">Clasifica el ciclo como de refuerzo y no se deja llevar por la cantidad de signos negativos.</w:t>
      </w:r>
    </w:p>
    <w:p>
      <w:pPr>
        <w:pStyle w:val="Normal"/>
        <w:numPr>
          <w:ilvl w:val="0"/>
          <w:numId w:val="2"/>
        </w:numPr>
      </w:pPr>
      <w:r>
        <w:t xml:space="preserve">Cuenta la historia en las dos direcciones.</w:t>
      </w:r>
    </w:p>
    <w:p>
      <w:pPr>
        <w:pStyle w:val="Normal"/>
        <w:numPr>
          <w:ilvl w:val="0"/>
          <w:numId w:val="2"/>
        </w:numPr>
      </w:pPr>
      <w:r>
        <w:t xml:space="preserve">Señala que vicioso y virtuoso comparten estructura y difieren en la valoración.</w:t>
      </w:r>
    </w:p>
    <w:p>
      <w:pPr>
        <w:pStyle w:val="Fuente"/>
      </w:pPr>
      <w:r>
        <w:t xml:space="preserve">Clase 16 · 00:42:41–00:49:40 · lámina 6</w:t>
      </w:r>
    </w:p>
    <w:p>
      <w:pPr>
        <w:pStyle w:val="Heading3"/>
      </w:pPr>
      <w:bookmarkStart w:name="b_pregunta_d2_06_interpretar_ejercicio" w:id="5636"/>
      <w:r>
        <w:t xml:space="preserve">4.6 · Interpretar un modelo · efecto de la demora</w:t>
      </w:r>
      <w:bookmarkEnd w:id="5636"/>
    </w:p>
    <w:p>
      <w:pPr>
        <w:pStyle w:val="Normal"/>
      </w:pPr>
      <w:r>
        <w:t xml:space="preserve">Observe el diagrama. Clasifique el ciclo, explique qué indica la marca sobre una de sus flechas y describa qué le ocurre a una persona que abandona el programa de ejercicio a las dos semanas.</w:t>
      </w:r>
    </w:p>
    <w:p>
      <w:pPr>
        <w:pStyle w:val="Fuente"/>
      </w:pPr>
      <w:r>
        <w:t xml:space="preserve">Ordinal de la fuente: 6.</w:t>
      </w:r>
    </w:p>
    <w:p>
      <w:pPr>
        <w:pStyle w:val="Fuente"/>
      </w:pPr>
      <w:r>
        <w:t xml:space="preserve">Valor de práctica: 7 puntos.</w:t>
      </w:r>
    </w:p>
    <w:p>
      <w:pPr>
        <w:keepNext/>
        <w:spacing w:after="40" w:before="150"/>
        <w:jc w:val="center"/>
      </w:pPr>
      <w:bookmarkStart w:name="b_figura_original_d2_06_interpr_0184b66e" w:id="5637"/>
      <w:bookmarkEnd w:id="5637"/>
      <w:r>
        <w:drawing>
          <wp:inline distT="0" distB="0" distL="0" distR="0">
            <wp:extent cx="5381625" cy="3362325"/>
            <wp:effectExtent t="0" r="0" b="0" l="0"/>
            <wp:docPr id="240" name="d2-06-interpretar-ejercicio-enunciado" descr="Clase 15 · 01:33:01–01:38:30 · lámina 18" title="Interpretar un modelo · efecto de la demo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04" cstate="none"/>
                    <a:srcRect/>
                    <a:stretch>
                      <a:fillRect/>
                    </a:stretch>
                  </pic:blipFill>
                  <pic:spPr bwMode="auto">
                    <a:xfrm>
                      <a:off x="0" y="0"/>
                      <a:ext cx="5381625" cy="3362325"/>
                    </a:xfrm>
                    <a:prstGeom prst="rect">
                      <a:avLst/>
                    </a:prstGeom>
                  </pic:spPr>
                </pic:pic>
              </a:graphicData>
            </a:graphic>
          </wp:inline>
        </w:drawing>
      </w:r>
    </w:p>
    <w:p>
      <w:pPr>
        <w:pStyle w:val="PieFigura"/>
        <w:keepNext/>
      </w:pPr>
      <w:bookmarkStart w:name="b_fig_V4_7" w:id="5638"/>
      <w:r>
        <w:t xml:space="preserve">Figura V4.</w:t>
      </w:r>
      <w:fldSimple w:instr="SEQ Figura \n \* ARABIC">
        <w:r>
          <w:t xml:space="preserve">7</w:t>
        </w:r>
      </w:fldSimple>
      <w:r>
        <w:t xml:space="preserve"> · Interpretar un modelo · efecto de la demora</w:t>
      </w:r>
      <w:bookmarkEnd w:id="5638"/>
    </w:p>
    <w:p>
      <w:pPr>
        <w:pStyle w:val="Fuente"/>
      </w:pPr>
      <w:r>
        <w:t xml:space="preserve">Clase 15 · 01:33:01–01:38:30 · lámina 18</w:t>
      </w:r>
    </w:p>
    <w:p>
      <w:pPr>
        <w:pStyle w:val="Heading3"/>
      </w:pPr>
      <w:bookmarkStart w:name="b_solucion_d2_06_interpretar_ejercicio" w:id="5639"/>
      <w:r>
        <w:t xml:space="preserve">Solución 4.6</w:t>
      </w:r>
      <w:bookmarkEnd w:id="5639"/>
    </w:p>
    <w:p>
      <w:pPr>
        <w:pStyle w:val="RecuadroTitulo"/>
      </w:pPr>
      <w:r>
        <w:t xml:space="preserve">Respuesta modelo</w:t>
      </w:r>
    </w:p>
    <w:p>
      <w:pPr>
        <w:pStyle w:val="Normal"/>
      </w:pPr>
      <w:r>
        <w:t xml:space="preserve">El ciclo es de refuerzo: sus tres relaciones son positivas, y cero negativas es un número par. Más ejercicio mejora la condición física, la mejor condición aumenta la satisfacción personal y esa satisfacción motiva más ejercicio.</w:t>
      </w:r>
    </w:p>
    <w:p>
      <w:pPr>
        <w:pStyle w:val="Normal"/>
      </w:pPr>
      <w:r>
        <w:t xml:space="preserve">Las dos rayas paralelas sobre la flecha que va del ejercicio al nivel de condición física indican una demora: el efecto existe, pero tarda en manifestarse.</w:t>
      </w:r>
    </w:p>
    <w:p>
      <w:pPr>
        <w:pStyle w:val="Normal"/>
      </w:pPr>
      <w:r>
        <w:t xml:space="preserve">Quien abandona a las dos semanas lo hace dentro de la demora, es decir, antes de que el bucle haya podido empezar a girar. Como no ve resultados, concluye que la relación causal no existe y desiste. Ese es exactamente el riesgo que el hábito de las demoras viene a prevenir: descartar una idea potencialmente valiosa por no considerar el retraso.</w:t>
      </w:r>
    </w:p>
    <w:p>
      <w:pPr>
        <w:pStyle w:val="Heading3"/>
      </w:pPr>
      <w:r>
        <w:t xml:space="preserve">Clasifique el ciclo</w:t>
      </w:r>
    </w:p>
    <w:p>
      <w:pPr>
        <w:pStyle w:val="Normal"/>
      </w:pPr>
      <w:r>
        <w:t xml:space="preserve">Las tres relaciones son positivas: cero negativas es número par, de modo que el ciclo es de refuerzo.</w:t>
      </w:r>
    </w:p>
    <w:p>
      <w:pPr>
        <w:pStyle w:val="Heading3"/>
      </w:pPr>
      <w:r>
        <w:t xml:space="preserve">Lea la marca sobre la flecha</w:t>
      </w:r>
    </w:p>
    <w:p>
      <w:pPr>
        <w:pStyle w:val="Normal"/>
      </w:pPr>
      <w:r>
        <w:t xml:space="preserve">Las dos rayas paralelas señalan una demora entre el ejercicio y la mejora del nivel de condición física.</w:t>
      </w:r>
    </w:p>
    <w:p>
      <w:pPr>
        <w:pStyle w:val="Heading3"/>
      </w:pPr>
      <w:r>
        <w:t xml:space="preserve">Piense qué percibe quien está dentro del sistema</w:t>
      </w:r>
    </w:p>
    <w:p>
      <w:pPr>
        <w:pStyle w:val="Normal"/>
      </w:pPr>
      <w:r>
        <w:t xml:space="preserve">Durante la demora, la persona hace el esfuerzo y no ve el resultado. Sin resultado no hay satisfacción, y sin satisfacción decae la motivación para seguir.</w:t>
      </w:r>
    </w:p>
    <w:p>
      <w:pPr>
        <w:keepNext/>
        <w:spacing w:after="40" w:before="150"/>
        <w:jc w:val="center"/>
      </w:pPr>
      <w:bookmarkStart w:name="b_figura_original_d2_06_interpr_e893f70c" w:id="5640"/>
      <w:bookmarkEnd w:id="5640"/>
      <w:r>
        <w:drawing>
          <wp:inline distT="0" distB="0" distL="0" distR="0">
            <wp:extent cx="5381625" cy="3362325"/>
            <wp:effectExtent t="0" r="0" b="0" l="0"/>
            <wp:docPr id="241" name="d2-06-interpretar-ejercicio-modelo" descr="Clase 15 · 01:33:01–01:38:30 · lámina 18" title="Interpretar un modelo · efecto de la demo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05" cstate="none"/>
                    <a:srcRect/>
                    <a:stretch>
                      <a:fillRect/>
                    </a:stretch>
                  </pic:blipFill>
                  <pic:spPr bwMode="auto">
                    <a:xfrm>
                      <a:off x="0" y="0"/>
                      <a:ext cx="5381625" cy="3362325"/>
                    </a:xfrm>
                    <a:prstGeom prst="rect">
                      <a:avLst/>
                    </a:prstGeom>
                  </pic:spPr>
                </pic:pic>
              </a:graphicData>
            </a:graphic>
          </wp:inline>
        </w:drawing>
      </w:r>
    </w:p>
    <w:p>
      <w:pPr>
        <w:pStyle w:val="PieFigura"/>
        <w:keepNext/>
      </w:pPr>
      <w:bookmarkStart w:name="b_fig_V4_8" w:id="5641"/>
      <w:r>
        <w:t xml:space="preserve">Figura V4.</w:t>
      </w:r>
      <w:fldSimple w:instr="SEQ Figura \n \* ARABIC">
        <w:r>
          <w:t xml:space="preserve">8</w:t>
        </w:r>
      </w:fldSimple>
      <w:r>
        <w:t xml:space="preserve"> · Interpretar un modelo · efecto de la demora</w:t>
      </w:r>
      <w:bookmarkEnd w:id="5641"/>
    </w:p>
    <w:p>
      <w:pPr>
        <w:pStyle w:val="LecturaFigura"/>
        <w:keepNext/>
      </w:pPr>
      <w:r>
        <w:rPr>
          <w:b/>
          <w:bCs/>
        </w:rPr>
        <w:t xml:space="preserve">Lectura del diagrama: </w:t>
      </w:r>
      <w:r>
        <w:t xml:space="preserve">3 relaciones (+) y 0 relaciones (−) · 0 negativas · número par ⇒ ciclo de refuerzo (R). El bucle se refuerza a sí mismo, pero su primera relación tarda: la mejora del estado físico no llega de un día para otro.</w:t>
      </w:r>
    </w:p>
    <w:p>
      <w:pPr>
        <w:pStyle w:val="Fuente"/>
      </w:pPr>
      <w:r>
        <w:t xml:space="preserve">Clase 15 · 01:33:01–01:38:30 · lámina 18</w:t>
      </w:r>
    </w:p>
    <w:p>
      <w:pPr>
        <w:pStyle w:val="Heading3"/>
      </w:pPr>
      <w:r>
        <w:t xml:space="preserve">Criterios para una respuesta completa</w:t>
      </w:r>
    </w:p>
    <w:p>
      <w:pPr>
        <w:pStyle w:val="Normal"/>
        <w:numPr>
          <w:ilvl w:val="0"/>
          <w:numId w:val="2"/>
        </w:numPr>
      </w:pPr>
      <w:r>
        <w:t xml:space="preserve">Clasifica el ciclo como de refuerzo justificándolo por el conteo.</w:t>
      </w:r>
    </w:p>
    <w:p>
      <w:pPr>
        <w:pStyle w:val="Normal"/>
        <w:numPr>
          <w:ilvl w:val="0"/>
          <w:numId w:val="2"/>
        </w:numPr>
      </w:pPr>
      <w:r>
        <w:t xml:space="preserve">Identifica la marca como demora y la sitúa en la flecha correcta.</w:t>
      </w:r>
    </w:p>
    <w:p>
      <w:pPr>
        <w:pStyle w:val="Normal"/>
        <w:numPr>
          <w:ilvl w:val="0"/>
          <w:numId w:val="2"/>
        </w:numPr>
      </w:pPr>
      <w:r>
        <w:t xml:space="preserve">Explica el abandono como un efecto de la demora sobre la percepción, no como falta de voluntad.</w:t>
      </w:r>
    </w:p>
    <w:p>
      <w:pPr>
        <w:pStyle w:val="Fuente"/>
      </w:pPr>
      <w:r>
        <w:t xml:space="preserve">Clase 15 · 01:33:01–01:38:30 · lámina 18</w:t>
      </w:r>
    </w:p>
    <w:p>
      <w:pPr>
        <w:pStyle w:val="Heading3"/>
      </w:pPr>
      <w:bookmarkStart w:name="b_pregunta_d2_07_diagramar_gasolina" w:id="5642"/>
      <w:r>
        <w:t xml:space="preserve">4.7 · Diagramar una historia · proalimentación</w:t>
      </w:r>
      <w:bookmarkEnd w:id="5642"/>
    </w:p>
    <w:p>
      <w:pPr>
        <w:pStyle w:val="Normal"/>
      </w:pPr>
      <w:r>
        <w:t xml:space="preserve">Circula el rumor de que va a faltar gasolina. Mucha gente acude a llenar el tanque antes de lo habitual y, en pocos días, varias gasolineras se quedan desabastecidas. Diagrame la historia y explique por qué es un caso de proalimentación y de qué tipo.</w:t>
      </w:r>
    </w:p>
    <w:p>
      <w:pPr>
        <w:pStyle w:val="Fuente"/>
      </w:pPr>
      <w:r>
        <w:t xml:space="preserve">Ordinal de la fuente: 7.</w:t>
      </w:r>
    </w:p>
    <w:p>
      <w:pPr>
        <w:pStyle w:val="Fuente"/>
      </w:pPr>
      <w:r>
        <w:t xml:space="preserve">Valor de práctica: 8 puntos.</w:t>
      </w:r>
    </w:p>
    <w:p>
      <w:pPr>
        <w:pStyle w:val="Heading3"/>
      </w:pPr>
      <w:bookmarkStart w:name="b_solucion_d2_07_diagramar_gasolina" w:id="5643"/>
      <w:r>
        <w:t xml:space="preserve">Solución 4.7</w:t>
      </w:r>
      <w:bookmarkEnd w:id="5643"/>
    </w:p>
    <w:p>
      <w:pPr>
        <w:pStyle w:val="RecuadroTitulo"/>
      </w:pPr>
      <w:r>
        <w:t xml:space="preserve">Respuesta modelo</w:t>
      </w:r>
    </w:p>
    <w:p>
      <w:pPr>
        <w:pStyle w:val="Normal"/>
      </w:pPr>
      <w:r>
        <w:t xml:space="preserve">El diagrama es: Expectativa de escasez →+ Compra anticipada →+ Escasez real →+ Expectativa de escasez. Las tres relaciones son positivas, de modo que el bucle es de refuerzo.</w:t>
      </w:r>
    </w:p>
    <w:p>
      <w:pPr>
        <w:pStyle w:val="Normal"/>
      </w:pPr>
      <w:r>
        <w:t xml:space="preserve">Es un caso de proalimentación porque la causa del comportamiento presente no es algo que haya ocurrido, sino el efecto anticipado de un futuro que todavía no ha tenido lugar. Sin el rumor, la compra anticipada no se habría producido.</w:t>
      </w:r>
    </w:p>
    <w:p>
      <w:pPr>
        <w:pStyle w:val="Normal"/>
      </w:pPr>
      <w:r>
        <w:t xml:space="preserve">Es proalimentación de compensación, es decir, del tipo en que la predicción se cumple: la anticipación conduce al sistema hacia el estado predicho. El caso opuesto sería el del atleta al que le anuncian que va a perder y termina ganando, que es proalimentación de refuerzo o profecía contraproducente.</w:t>
      </w:r>
    </w:p>
    <w:p>
      <w:pPr>
        <w:pStyle w:val="Heading3"/>
      </w:pPr>
      <w:r>
        <w:t xml:space="preserve">Identifique las tres magnitudes</w:t>
      </w:r>
    </w:p>
    <w:p>
      <w:pPr>
        <w:pStyle w:val="Normal"/>
      </w:pPr>
      <w:r>
        <w:t xml:space="preserve">Expectativa de escasez, compra anticipada y escasez real. Las tres pueden subir y bajar.</w:t>
      </w:r>
    </w:p>
    <w:p>
      <w:pPr>
        <w:pStyle w:val="Heading3"/>
      </w:pPr>
      <w:r>
        <w:t xml:space="preserve">Encadene las relaciones</w:t>
      </w:r>
    </w:p>
    <w:p>
      <w:pPr>
        <w:pStyle w:val="Normal"/>
      </w:pPr>
      <w:r>
        <w:t xml:space="preserve">A más expectativa de escasez, más compra anticipada; a más compra anticipada, más escasez real; y a más escasez real, más expectativa de escasez.</w:t>
      </w:r>
    </w:p>
    <w:p>
      <w:pPr>
        <w:pStyle w:val="Heading3"/>
      </w:pPr>
      <w:r>
        <w:t xml:space="preserve">Clasifique el bucle</w:t>
      </w:r>
    </w:p>
    <w:p>
      <w:pPr>
        <w:pStyle w:val="Normal"/>
      </w:pPr>
      <w:r>
        <w:t xml:space="preserve">Las tres relaciones son positivas: cero negativas, número par, ciclo de refuerzo.</w:t>
      </w:r>
    </w:p>
    <w:p>
      <w:pPr>
        <w:pStyle w:val="Heading3"/>
      </w:pPr>
      <w:r>
        <w:t xml:space="preserve">Distinga la proalimentación de la retroalimentación</w:t>
      </w:r>
    </w:p>
    <w:p>
      <w:pPr>
        <w:pStyle w:val="Normal"/>
      </w:pPr>
      <w:r>
        <w:t xml:space="preserve">Lo que inicia la cadena no es un hecho pasado sino la anticipación de un hecho futuro. Como la anticipación conduce al sistema hacia el estado predicho, es proalimentación de compensación.</w:t>
      </w:r>
    </w:p>
    <w:p>
      <w:pPr>
        <w:keepNext/>
        <w:spacing w:after="40" w:before="150"/>
        <w:jc w:val="center"/>
      </w:pPr>
      <w:bookmarkStart w:name="b_figura_original_d2_07_diagram_7b3cae33" w:id="5644"/>
      <w:bookmarkEnd w:id="5644"/>
      <w:r>
        <w:drawing>
          <wp:inline distT="0" distB="0" distL="0" distR="0">
            <wp:extent cx="5381625" cy="3362325"/>
            <wp:effectExtent t="0" r="0" b="0" l="0"/>
            <wp:docPr id="242" name="d2-07-diagramar-gasolina-modelo" descr="Clase 16 · 00:49:47–01:01:30 · lámina 8" title="Diagramar una historia · proalimentació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06" cstate="none"/>
                    <a:srcRect/>
                    <a:stretch>
                      <a:fillRect/>
                    </a:stretch>
                  </pic:blipFill>
                  <pic:spPr bwMode="auto">
                    <a:xfrm>
                      <a:off x="0" y="0"/>
                      <a:ext cx="5381625" cy="3362325"/>
                    </a:xfrm>
                    <a:prstGeom prst="rect">
                      <a:avLst/>
                    </a:prstGeom>
                  </pic:spPr>
                </pic:pic>
              </a:graphicData>
            </a:graphic>
          </wp:inline>
        </w:drawing>
      </w:r>
    </w:p>
    <w:p>
      <w:pPr>
        <w:pStyle w:val="PieFigura"/>
        <w:keepNext/>
      </w:pPr>
      <w:bookmarkStart w:name="b_fig_V4_9" w:id="5645"/>
      <w:r>
        <w:t xml:space="preserve">Figura V4.</w:t>
      </w:r>
      <w:fldSimple w:instr="SEQ Figura \n \* ARABIC">
        <w:r>
          <w:t xml:space="preserve">9</w:t>
        </w:r>
      </w:fldSimple>
      <w:r>
        <w:t xml:space="preserve"> · Diagramar una historia · proalimentación</w:t>
      </w:r>
      <w:bookmarkEnd w:id="5645"/>
    </w:p>
    <w:p>
      <w:pPr>
        <w:pStyle w:val="LecturaFigura"/>
        <w:keepNext/>
      </w:pPr>
      <w:r>
        <w:rPr>
          <w:b/>
          <w:bCs/>
        </w:rPr>
        <w:t xml:space="preserve">Lectura del diagrama: </w:t>
      </w:r>
      <w:r>
        <w:t xml:space="preserve">3 relaciones (+) y 0 relaciones (−) · 0 negativas · número par ⇒ ciclo de refuerzo (R). La predicción de escasez provoca la compra anticipada, que desabastece las gasolineras y confirma la escasez anunciada: la profecía se cumple sola.</w:t>
      </w:r>
    </w:p>
    <w:p>
      <w:pPr>
        <w:pStyle w:val="Fuente"/>
      </w:pPr>
      <w:r>
        <w:t xml:space="preserve">Clase 16 · 00:49:47–01:01:30 · lámina 8</w:t>
      </w:r>
    </w:p>
    <w:p>
      <w:pPr>
        <w:pStyle w:val="Heading3"/>
      </w:pPr>
      <w:r>
        <w:t xml:space="preserve">Criterios para una respuesta completa</w:t>
      </w:r>
    </w:p>
    <w:p>
      <w:pPr>
        <w:pStyle w:val="Normal"/>
        <w:numPr>
          <w:ilvl w:val="0"/>
          <w:numId w:val="2"/>
        </w:numPr>
      </w:pPr>
      <w:r>
        <w:t xml:space="preserve">Diagrama las tres variables con sus polaridades y cierra el lazo.</w:t>
      </w:r>
    </w:p>
    <w:p>
      <w:pPr>
        <w:pStyle w:val="Normal"/>
        <w:numPr>
          <w:ilvl w:val="0"/>
          <w:numId w:val="2"/>
        </w:numPr>
      </w:pPr>
      <w:r>
        <w:t xml:space="preserve">Clasifica el bucle como de refuerzo aplicando la regla de paridad.</w:t>
      </w:r>
    </w:p>
    <w:p>
      <w:pPr>
        <w:pStyle w:val="Normal"/>
        <w:numPr>
          <w:ilvl w:val="0"/>
          <w:numId w:val="2"/>
        </w:numPr>
      </w:pPr>
      <w:r>
        <w:t xml:space="preserve">Distingue proalimentación de retroalimentación por el sentido temporal de la causa.</w:t>
      </w:r>
    </w:p>
    <w:p>
      <w:pPr>
        <w:pStyle w:val="Normal"/>
        <w:numPr>
          <w:ilvl w:val="0"/>
          <w:numId w:val="2"/>
        </w:numPr>
      </w:pPr>
      <w:r>
        <w:t xml:space="preserve">Nombra el tipo correcto y lo contrasta con el caso del atleta.</w:t>
      </w:r>
    </w:p>
    <w:p>
      <w:pPr>
        <w:pStyle w:val="Fuente"/>
      </w:pPr>
      <w:r>
        <w:t xml:space="preserve">Clase 16 · 00:49:47–01:01:30 · lámina 8</w:t>
      </w:r>
    </w:p>
    <w:p>
      <w:pPr>
        <w:pStyle w:val="Heading3"/>
      </w:pPr>
      <w:bookmarkStart w:name="b_pregunta_d2_08_diagramar_confianza" w:id="5646"/>
      <w:r>
        <w:t xml:space="preserve">4.8 · Diagramar una historia · virtuoso y vicioso</w:t>
      </w:r>
      <w:bookmarkEnd w:id="5646"/>
    </w:p>
    <w:p>
      <w:pPr>
        <w:pStyle w:val="Normal"/>
      </w:pPr>
      <w:r>
        <w:t xml:space="preserve">Un estudiante obtiene una mala nota, su confianza disminuye, estudia menos, aprende menos y vuelve a obtener una mala nota. Diagrame la historia, clasifique el ciclo y explique qué haría falta para convertirlo en un círculo virtuoso.</w:t>
      </w:r>
    </w:p>
    <w:p>
      <w:pPr>
        <w:pStyle w:val="Fuente"/>
      </w:pPr>
      <w:r>
        <w:t xml:space="preserve">Ordinal de la fuente: 8.</w:t>
      </w:r>
    </w:p>
    <w:p>
      <w:pPr>
        <w:pStyle w:val="Fuente"/>
      </w:pPr>
      <w:r>
        <w:t xml:space="preserve">Valor de práctica: 8 puntos.</w:t>
      </w:r>
    </w:p>
    <w:p>
      <w:pPr>
        <w:pStyle w:val="Heading3"/>
      </w:pPr>
      <w:bookmarkStart w:name="b_solucion_d2_08_diagramar_confianza" w:id="5647"/>
      <w:r>
        <w:t xml:space="preserve">Solución 4.8</w:t>
      </w:r>
      <w:bookmarkEnd w:id="5647"/>
    </w:p>
    <w:p>
      <w:pPr>
        <w:pStyle w:val="RecuadroTitulo"/>
      </w:pPr>
      <w:r>
        <w:t xml:space="preserve">Respuesta modelo</w:t>
      </w:r>
    </w:p>
    <w:p>
      <w:pPr>
        <w:pStyle w:val="Normal"/>
      </w:pPr>
      <w:r>
        <w:t xml:space="preserve">El diagrama es: Confianza en uno mismo →+ Horas de estudio →+ Aprendizaje logrado →+ Resultados en las evaluaciones →+ Confianza en uno mismo. Las cuatro relaciones son positivas y el ciclo es de refuerzo.</w:t>
      </w:r>
    </w:p>
    <w:p>
      <w:pPr>
        <w:pStyle w:val="Normal"/>
      </w:pPr>
      <w:r>
        <w:t xml:space="preserve">Tal como lo cuenta el enunciado, el bucle funciona como círculo vicioso: la mala nota reduce la confianza, la menor confianza reduce el estudio, el menor estudio reduce el aprendizaje y el resultado vuelve a ser malo, con lo que la confianza cae todavía más.</w:t>
      </w:r>
    </w:p>
    <w:p>
      <w:pPr>
        <w:pStyle w:val="Normal"/>
      </w:pPr>
      <w:r>
        <w:t xml:space="preserve">Para convertirlo en círculo virtuoso no hace falta cambiar la estructura, porque es la misma: hace falta invertir el sentido del movimiento interviniendo en alguna de sus variables. Un resultado mejor, más horas de estudio o un apoyo que sostenga la confianza bastan para que el mismo bucle empiece a amplificar en la dirección deseable.</w:t>
      </w:r>
    </w:p>
    <w:p>
      <w:pPr>
        <w:pStyle w:val="Heading3"/>
      </w:pPr>
      <w:r>
        <w:t xml:space="preserve">Nombre las variables como magnitudes</w:t>
      </w:r>
    </w:p>
    <w:p>
      <w:pPr>
        <w:pStyle w:val="Normal"/>
      </w:pPr>
      <w:r>
        <w:t xml:space="preserve">Confianza en uno mismo, horas de estudio, aprendizaje logrado y resultados en las evaluaciones. Evite verbos como «estudiar» o «reprobar».</w:t>
      </w:r>
    </w:p>
    <w:p>
      <w:pPr>
        <w:pStyle w:val="Heading3"/>
      </w:pPr>
      <w:r>
        <w:t xml:space="preserve">Asigne los signos con la prueba de las dos direcciones</w:t>
      </w:r>
    </w:p>
    <w:p>
      <w:pPr>
        <w:pStyle w:val="Normal"/>
      </w:pPr>
      <w:r>
        <w:t xml:space="preserve">A más confianza, más horas de estudio; a más estudio, más aprendizaje; a más aprendizaje, mejores resultados; y a mejores resultados, más confianza. Las cuatro son positivas.</w:t>
      </w:r>
    </w:p>
    <w:p>
      <w:pPr>
        <w:pStyle w:val="Heading3"/>
      </w:pPr>
      <w:r>
        <w:t xml:space="preserve">Clasifique</w:t>
      </w:r>
    </w:p>
    <w:p>
      <w:pPr>
        <w:pStyle w:val="Normal"/>
      </w:pPr>
      <w:r>
        <w:t xml:space="preserve">Cero relaciones negativas es número par: ciclo de refuerzo, marcado con R.</w:t>
      </w:r>
    </w:p>
    <w:p>
      <w:pPr>
        <w:pStyle w:val="Heading3"/>
      </w:pPr>
      <w:r>
        <w:t xml:space="preserve">Note que la estructura no cambia al invertir el sentido</w:t>
      </w:r>
    </w:p>
    <w:p>
      <w:pPr>
        <w:pStyle w:val="Normal"/>
      </w:pPr>
      <w:r>
        <w:t xml:space="preserve">El mismo bucle describe la espiral descendente y la ascendente. Lo que cambia no es la estructura, sino hacia dónde empieza a moverse y cómo se valora el resultado.</w:t>
      </w:r>
    </w:p>
    <w:p>
      <w:pPr>
        <w:keepNext/>
        <w:spacing w:after="40" w:before="150"/>
        <w:jc w:val="center"/>
      </w:pPr>
      <w:bookmarkStart w:name="b_figura_original_d2_08_diagram_c2321563" w:id="5648"/>
      <w:bookmarkEnd w:id="5648"/>
      <w:r>
        <w:drawing>
          <wp:inline distT="0" distB="0" distL="0" distR="0">
            <wp:extent cx="5381625" cy="3362325"/>
            <wp:effectExtent t="0" r="0" b="0" l="0"/>
            <wp:docPr id="243" name="d2-08-diagramar-confianza-modelo" descr="Clase 13 · 01:05:59–01:07:08 · Clase 14 · 01:26:29–01:36:24" title="Diagramar una historia · virtuoso y vicios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07" cstate="none"/>
                    <a:srcRect/>
                    <a:stretch>
                      <a:fillRect/>
                    </a:stretch>
                  </pic:blipFill>
                  <pic:spPr bwMode="auto">
                    <a:xfrm>
                      <a:off x="0" y="0"/>
                      <a:ext cx="5381625" cy="3362325"/>
                    </a:xfrm>
                    <a:prstGeom prst="rect">
                      <a:avLst/>
                    </a:prstGeom>
                  </pic:spPr>
                </pic:pic>
              </a:graphicData>
            </a:graphic>
          </wp:inline>
        </w:drawing>
      </w:r>
    </w:p>
    <w:p>
      <w:pPr>
        <w:pStyle w:val="PieFigura"/>
        <w:keepNext/>
      </w:pPr>
      <w:bookmarkStart w:name="b_fig_V4_10" w:id="5649"/>
      <w:r>
        <w:t xml:space="preserve">Figura V4.</w:t>
      </w:r>
      <w:fldSimple w:instr="SEQ Figura \n \* ARABIC">
        <w:r>
          <w:t xml:space="preserve">10</w:t>
        </w:r>
      </w:fldSimple>
      <w:r>
        <w:t xml:space="preserve"> · Diagramar una historia · virtuoso y vicioso</w:t>
      </w:r>
      <w:bookmarkEnd w:id="5649"/>
    </w:p>
    <w:p>
      <w:pPr>
        <w:pStyle w:val="LecturaFigura"/>
        <w:keepNext/>
      </w:pPr>
      <w:r>
        <w:rPr>
          <w:b/>
          <w:bCs/>
        </w:rPr>
        <w:t xml:space="preserve">Lectura del diagrama: </w:t>
      </w:r>
      <w:r>
        <w:t xml:space="preserve">4 relaciones (+) y 0 relaciones (−) · 0 negativas · número par ⇒ ciclo de refuerzo (R). Sin ninguna relación que invierta el sentido, el bucle amplifica lo que empiece a ocurrir: sirve igual para la espiral ascendente y para la descendente.</w:t>
      </w:r>
    </w:p>
    <w:p>
      <w:pPr>
        <w:pStyle w:val="Fuente"/>
      </w:pPr>
      <w:r>
        <w:t xml:space="preserve">Clase 13 · 01:05:59–01:07:08 · Clase 14 · 01:26:29–01:36:24</w:t>
      </w:r>
    </w:p>
    <w:p>
      <w:pPr>
        <w:pStyle w:val="Heading3"/>
      </w:pPr>
      <w:r>
        <w:t xml:space="preserve">Criterios para una respuesta completa</w:t>
      </w:r>
    </w:p>
    <w:p>
      <w:pPr>
        <w:pStyle w:val="Normal"/>
        <w:numPr>
          <w:ilvl w:val="0"/>
          <w:numId w:val="2"/>
        </w:numPr>
      </w:pPr>
      <w:r>
        <w:t xml:space="preserve">Convierte el relato en variables y no en acciones.</w:t>
      </w:r>
    </w:p>
    <w:p>
      <w:pPr>
        <w:pStyle w:val="Normal"/>
        <w:numPr>
          <w:ilvl w:val="0"/>
          <w:numId w:val="2"/>
        </w:numPr>
      </w:pPr>
      <w:r>
        <w:t xml:space="preserve">Asigna las cuatro polaridades positivas y clasifica el ciclo como de refuerzo.</w:t>
      </w:r>
    </w:p>
    <w:p>
      <w:pPr>
        <w:pStyle w:val="Normal"/>
        <w:numPr>
          <w:ilvl w:val="0"/>
          <w:numId w:val="2"/>
        </w:numPr>
      </w:pPr>
      <w:r>
        <w:t xml:space="preserve">Explica que vicioso y virtuoso comparten estructura.</w:t>
      </w:r>
    </w:p>
    <w:p>
      <w:pPr>
        <w:pStyle w:val="Normal"/>
        <w:numPr>
          <w:ilvl w:val="0"/>
          <w:numId w:val="2"/>
        </w:numPr>
      </w:pPr>
      <w:r>
        <w:t xml:space="preserve">Propone una intervención sobre una variable del bucle, no un cambio de su estructura.</w:t>
      </w:r>
    </w:p>
    <w:p>
      <w:pPr>
        <w:pStyle w:val="Fuente"/>
      </w:pPr>
      <w:r>
        <w:t xml:space="preserve">Clase 13 · 01:05:59–01:07:08 · Clase 14 · 01:26:29–01:36:24</w:t>
      </w:r>
    </w:p>
    <w:p>
      <w:pPr>
        <w:pStyle w:val="Heading3"/>
      </w:pPr>
      <w:bookmarkStart w:name="b_pregunta_d2_09_diagramar_software" w:id="5650"/>
      <w:r>
        <w:t xml:space="preserve">4.9 · Diagramar una historia · contraintuición</w:t>
      </w:r>
      <w:bookmarkEnd w:id="5650"/>
    </w:p>
    <w:p>
      <w:pPr>
        <w:pStyle w:val="Normal"/>
      </w:pPr>
      <w:r>
        <w:t xml:space="preserve">En un equipo de desarrollo, la presión por entregar lleva a recortar el tiempo dedicado a pruebas. Con menos pruebas llegan más defectos al usuario, y esos defectos obligan a retrabajo y producen retrasos que aumentan todavía más la presión. Diagrame la historia, clasifique el ciclo y explique en qué consiste su carácter contraintuitivo.</w:t>
      </w:r>
    </w:p>
    <w:p>
      <w:pPr>
        <w:pStyle w:val="Fuente"/>
      </w:pPr>
      <w:r>
        <w:t xml:space="preserve">Ordinal de la fuente: 9.</w:t>
      </w:r>
    </w:p>
    <w:p>
      <w:pPr>
        <w:pStyle w:val="Fuente"/>
      </w:pPr>
      <w:r>
        <w:t xml:space="preserve">Valor de práctica: 9 puntos.</w:t>
      </w:r>
    </w:p>
    <w:p>
      <w:pPr>
        <w:pStyle w:val="Heading3"/>
      </w:pPr>
      <w:bookmarkStart w:name="b_solucion_d2_09_diagramar_software" w:id="5651"/>
      <w:r>
        <w:t xml:space="preserve">Solución 4.9</w:t>
      </w:r>
      <w:bookmarkEnd w:id="5651"/>
    </w:p>
    <w:p>
      <w:pPr>
        <w:pStyle w:val="RecuadroTitulo"/>
      </w:pPr>
      <w:r>
        <w:t xml:space="preserve">Respuesta modelo</w:t>
      </w:r>
    </w:p>
    <w:p>
      <w:pPr>
        <w:pStyle w:val="Normal"/>
      </w:pPr>
      <w:r>
        <w:t xml:space="preserve">El diagrama es: Presión por entregar →− Tiempo dedicado a pruebas →− Defectos que llegan al usuario →+ Retrabajo y retrasos →+ Presión por entregar.</w:t>
      </w:r>
    </w:p>
    <w:p>
      <w:pPr>
        <w:pStyle w:val="Normal"/>
      </w:pPr>
      <w:r>
        <w:t xml:space="preserve">Hay dos relaciones negativas. Dos es par, luego las compensaciones se anulan y el ciclo resulta de refuerzo: cada vuelta amplifica la presión inicial.</w:t>
      </w:r>
    </w:p>
    <w:p>
      <w:pPr>
        <w:pStyle w:val="Normal"/>
      </w:pPr>
      <w:r>
        <w:t xml:space="preserve">Lo contraintuitivo es que la acción se toma con la lógica opuesta a su resultado: se recortan pruebas para ganar tiempo y lo que se obtiene es más retrabajo, más retrasos y más presión. Desde una lectura lineal la decisión parece razonable; desde la estructura del ciclo, es la que alimenta el problema.</w:t>
      </w:r>
    </w:p>
    <w:p>
      <w:pPr>
        <w:pStyle w:val="Heading3"/>
      </w:pPr>
      <w:r>
        <w:t xml:space="preserve">Extraiga las cuatro variables</w:t>
      </w:r>
    </w:p>
    <w:p>
      <w:pPr>
        <w:pStyle w:val="Normal"/>
      </w:pPr>
      <w:r>
        <w:t xml:space="preserve">Presión por entregar, tiempo dedicado a pruebas, defectos que llegan al usuario y retrabajo con retrasos.</w:t>
      </w:r>
    </w:p>
    <w:p>
      <w:pPr>
        <w:pStyle w:val="Heading3"/>
      </w:pPr>
      <w:r>
        <w:t xml:space="preserve">Asigne los signos</w:t>
      </w:r>
    </w:p>
    <w:p>
      <w:pPr>
        <w:pStyle w:val="Normal"/>
      </w:pPr>
      <w:r>
        <w:t xml:space="preserve">A más presión, menos tiempo de pruebas: negativa. A menos pruebas, más defectos: negativa. A más defectos, más retrabajo: positiva. A más retrabajo, más presión: positiva.</w:t>
      </w:r>
    </w:p>
    <w:p>
      <w:pPr>
        <w:pStyle w:val="Heading3"/>
      </w:pPr>
      <w:r>
        <w:t xml:space="preserve">Cuente y clasifique</w:t>
      </w:r>
    </w:p>
    <w:p>
      <w:pPr>
        <w:pStyle w:val="Normal"/>
      </w:pPr>
      <w:r>
        <w:t xml:space="preserve">Dos relaciones negativas: número par, de modo que el ciclo es de refuerzo pese a contener compensaciones.</w:t>
      </w:r>
    </w:p>
    <w:p>
      <w:pPr>
        <w:pStyle w:val="Heading3"/>
      </w:pPr>
      <w:r>
        <w:t xml:space="preserve">Explique la contraintuición</w:t>
      </w:r>
    </w:p>
    <w:p>
      <w:pPr>
        <w:pStyle w:val="Normal"/>
      </w:pPr>
      <w:r>
        <w:t xml:space="preserve">La decisión se toma para ganar tiempo y termina costando más tiempo. El sistema se comporta al revés de lo que el razonamiento lineal anticipa.</w:t>
      </w:r>
    </w:p>
    <w:p>
      <w:pPr>
        <w:keepNext/>
        <w:spacing w:after="40" w:before="150"/>
        <w:jc w:val="center"/>
      </w:pPr>
      <w:bookmarkStart w:name="b_figura_original_d2_09_diagram_c3727ad8" w:id="5652"/>
      <w:bookmarkEnd w:id="5652"/>
      <w:r>
        <w:drawing>
          <wp:inline distT="0" distB="0" distL="0" distR="0">
            <wp:extent cx="5381625" cy="3362325"/>
            <wp:effectExtent t="0" r="0" b="0" l="0"/>
            <wp:docPr id="244" name="d2-09-diagramar-software-modelo" descr="Clase 13 · 01:11:11–01:12:56 · Clase 15 · 00:48:38–00:54:16" title="Diagramar una historia · contraintuició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08" cstate="none"/>
                    <a:srcRect/>
                    <a:stretch>
                      <a:fillRect/>
                    </a:stretch>
                  </pic:blipFill>
                  <pic:spPr bwMode="auto">
                    <a:xfrm>
                      <a:off x="0" y="0"/>
                      <a:ext cx="5381625" cy="3362325"/>
                    </a:xfrm>
                    <a:prstGeom prst="rect">
                      <a:avLst/>
                    </a:prstGeom>
                  </pic:spPr>
                </pic:pic>
              </a:graphicData>
            </a:graphic>
          </wp:inline>
        </w:drawing>
      </w:r>
    </w:p>
    <w:p>
      <w:pPr>
        <w:pStyle w:val="PieFigura"/>
        <w:keepNext/>
      </w:pPr>
      <w:bookmarkStart w:name="b_fig_V4_11" w:id="5653"/>
      <w:r>
        <w:t xml:space="preserve">Figura V4.</w:t>
      </w:r>
      <w:fldSimple w:instr="SEQ Figura \n \* ARABIC">
        <w:r>
          <w:t xml:space="preserve">11</w:t>
        </w:r>
      </w:fldSimple>
      <w:r>
        <w:t xml:space="preserve"> · Diagramar una historia · contraintuición</w:t>
      </w:r>
      <w:bookmarkEnd w:id="5653"/>
    </w:p>
    <w:p>
      <w:pPr>
        <w:pStyle w:val="LecturaFigura"/>
        <w:keepNext/>
      </w:pPr>
      <w:r>
        <w:rPr>
          <w:b/>
          <w:bCs/>
        </w:rPr>
        <w:t xml:space="preserve">Lectura del diagrama: </w:t>
      </w:r>
      <w:r>
        <w:t xml:space="preserve">2 relaciones (+) y 2 relaciones (−) · 2 negativas · número par ⇒ ciclo de refuerzo (R). Dos relaciones negativas se anulan: recortar pruebas para ganar tiempo termina devolviendo más retrabajo y más presión de la que había.</w:t>
      </w:r>
    </w:p>
    <w:p>
      <w:pPr>
        <w:pStyle w:val="Fuente"/>
      </w:pPr>
      <w:r>
        <w:t xml:space="preserve">Clase 13 · 01:11:11–01:12:56 · Clase 15 · 00:48:38–00:54:16</w:t>
      </w:r>
    </w:p>
    <w:p>
      <w:pPr>
        <w:pStyle w:val="Heading3"/>
      </w:pPr>
      <w:r>
        <w:t xml:space="preserve">Criterios para una respuesta completa</w:t>
      </w:r>
    </w:p>
    <w:p>
      <w:pPr>
        <w:pStyle w:val="Normal"/>
        <w:numPr>
          <w:ilvl w:val="0"/>
          <w:numId w:val="2"/>
        </w:numPr>
      </w:pPr>
      <w:r>
        <w:t xml:space="preserve">Identifica correctamente las dos relaciones negativas.</w:t>
      </w:r>
    </w:p>
    <w:p>
      <w:pPr>
        <w:pStyle w:val="Normal"/>
        <w:numPr>
          <w:ilvl w:val="0"/>
          <w:numId w:val="2"/>
        </w:numPr>
      </w:pPr>
      <w:r>
        <w:t xml:space="preserve">Aplica la regla de paridad y no confunde «tiene negativas» con «es de balance».</w:t>
      </w:r>
    </w:p>
    <w:p>
      <w:pPr>
        <w:pStyle w:val="Normal"/>
        <w:numPr>
          <w:ilvl w:val="0"/>
          <w:numId w:val="2"/>
        </w:numPr>
      </w:pPr>
      <w:r>
        <w:t xml:space="preserve">Cierra el lazo por el retrabajo.</w:t>
      </w:r>
    </w:p>
    <w:p>
      <w:pPr>
        <w:pStyle w:val="Normal"/>
        <w:numPr>
          <w:ilvl w:val="0"/>
          <w:numId w:val="2"/>
        </w:numPr>
      </w:pPr>
      <w:r>
        <w:t xml:space="preserve">Explica la contraintuición como diferencia entre la expectativa lineal y el comportamiento estructural.</w:t>
      </w:r>
    </w:p>
    <w:p>
      <w:pPr>
        <w:pStyle w:val="Fuente"/>
      </w:pPr>
      <w:r>
        <w:t xml:space="preserve">Clase 13 · 01:11:11–01:12:56 · Clase 15 · 00:48:38–00:54:16</w:t>
      </w:r>
    </w:p>
    <w:p>
      <w:pPr>
        <w:pStyle w:val="Heading3"/>
      </w:pPr>
      <w:bookmarkStart w:name="b_pregunta_d2_10_interpretar_poblacion" w:id="5654"/>
      <w:r>
        <w:t xml:space="preserve">4.10 · Interpretar un modelo · variable externa</w:t>
      </w:r>
      <w:bookmarkEnd w:id="5654"/>
    </w:p>
    <w:p>
      <w:pPr>
        <w:pStyle w:val="Normal"/>
      </w:pPr>
      <w:r>
        <w:t xml:space="preserve">Observe el diagrama. Clasifique el ciclo, explique el papel de la variable dibujada con trazo discontinuo y diga en qué condición la población de este modelo crecería.</w:t>
      </w:r>
    </w:p>
    <w:p>
      <w:pPr>
        <w:pStyle w:val="Fuente"/>
      </w:pPr>
      <w:r>
        <w:t xml:space="preserve">Ordinal de la fuente: 10.</w:t>
      </w:r>
    </w:p>
    <w:p>
      <w:pPr>
        <w:pStyle w:val="Fuente"/>
      </w:pPr>
      <w:r>
        <w:t xml:space="preserve">Valor de práctica: 6 puntos.</w:t>
      </w:r>
    </w:p>
    <w:p>
      <w:pPr>
        <w:keepNext/>
        <w:spacing w:after="40" w:before="150"/>
        <w:jc w:val="center"/>
      </w:pPr>
      <w:bookmarkStart w:name="b_figura_original_d2_10_interpr_fd48d908" w:id="5655"/>
      <w:bookmarkEnd w:id="5655"/>
      <w:r>
        <w:drawing>
          <wp:inline distT="0" distB="0" distL="0" distR="0">
            <wp:extent cx="5381625" cy="3362325"/>
            <wp:effectExtent t="0" r="0" b="0" l="0"/>
            <wp:docPr id="245" name="d2-10-interpretar-poblacion-enunciado" descr="Clase 14 · 00:55:36–01:03:30 · lámina 9" title="Interpretar un modelo · variable exter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09" cstate="none"/>
                    <a:srcRect/>
                    <a:stretch>
                      <a:fillRect/>
                    </a:stretch>
                  </pic:blipFill>
                  <pic:spPr bwMode="auto">
                    <a:xfrm>
                      <a:off x="0" y="0"/>
                      <a:ext cx="5381625" cy="3362325"/>
                    </a:xfrm>
                    <a:prstGeom prst="rect">
                      <a:avLst/>
                    </a:prstGeom>
                  </pic:spPr>
                </pic:pic>
              </a:graphicData>
            </a:graphic>
          </wp:inline>
        </w:drawing>
      </w:r>
    </w:p>
    <w:p>
      <w:pPr>
        <w:pStyle w:val="PieFigura"/>
        <w:keepNext/>
      </w:pPr>
      <w:bookmarkStart w:name="b_fig_V4_12" w:id="5656"/>
      <w:r>
        <w:t xml:space="preserve">Figura V4.</w:t>
      </w:r>
      <w:fldSimple w:instr="SEQ Figura \n \* ARABIC">
        <w:r>
          <w:t xml:space="preserve">12</w:t>
        </w:r>
      </w:fldSimple>
      <w:r>
        <w:t xml:space="preserve"> · Interpretar un modelo · variable externa</w:t>
      </w:r>
      <w:bookmarkEnd w:id="5656"/>
    </w:p>
    <w:p>
      <w:pPr>
        <w:pStyle w:val="Fuente"/>
      </w:pPr>
      <w:r>
        <w:t xml:space="preserve">Clase 14 · 00:55:36–01:03:30 · lámina 9</w:t>
      </w:r>
    </w:p>
    <w:p>
      <w:pPr>
        <w:pStyle w:val="Heading3"/>
      </w:pPr>
      <w:bookmarkStart w:name="b_solucion_d2_10_interpretar_poblacion" w:id="5657"/>
      <w:r>
        <w:t xml:space="preserve">Solución 4.10</w:t>
      </w:r>
      <w:bookmarkEnd w:id="5657"/>
    </w:p>
    <w:p>
      <w:pPr>
        <w:pStyle w:val="RecuadroTitulo"/>
      </w:pPr>
      <w:r>
        <w:t xml:space="preserve">Respuesta modelo</w:t>
      </w:r>
    </w:p>
    <w:p>
      <w:pPr>
        <w:pStyle w:val="Normal"/>
      </w:pPr>
      <w:r>
        <w:t xml:space="preserve">El ciclo tiene una sola relación negativa, la que va de la tasa de muertes a la población. Uno es impar, de modo que es un ciclo de balance: frena el crecimiento.</w:t>
      </w:r>
    </w:p>
    <w:p>
      <w:pPr>
        <w:pStyle w:val="Normal"/>
      </w:pPr>
      <w:r>
        <w:t xml:space="preserve">La esperanza de vida es una variable externa. Actúa con signo negativo sobre la tasa de muertes —a mayor esperanza de vida, menor tasa de muertes— pero no recibe retorno del ciclo, así que no entra en el conteo de signos del bucle.</w:t>
      </w:r>
    </w:p>
    <w:p>
      <w:pPr>
        <w:pStyle w:val="Normal"/>
      </w:pPr>
      <w:r>
        <w:t xml:space="preserve">Este lazo por sí solo no hace crecer la población: sólo la frena. La población crece cuando, además, actúa el ciclo de refuerzo de los nacimientos y la tasa de muertes se mantiene por debajo de la tasa de nacimientos. Si la supera, la tendencia se revierte.</w:t>
      </w:r>
    </w:p>
    <w:p>
      <w:pPr>
        <w:pStyle w:val="Heading3"/>
      </w:pPr>
      <w:r>
        <w:t xml:space="preserve">Recorra el lazo</w:t>
      </w:r>
    </w:p>
    <w:p>
      <w:pPr>
        <w:pStyle w:val="Normal"/>
      </w:pPr>
      <w:r>
        <w:t xml:space="preserve">A más población, más tasa de muertes; a más tasa de muertes, menos población. Dos variables bastan para formar un ciclo.</w:t>
      </w:r>
    </w:p>
    <w:p>
      <w:pPr>
        <w:pStyle w:val="Heading3"/>
      </w:pPr>
      <w:r>
        <w:t xml:space="preserve">Cuente y clasifique</w:t>
      </w:r>
    </w:p>
    <w:p>
      <w:pPr>
        <w:pStyle w:val="Normal"/>
      </w:pPr>
      <w:r>
        <w:t xml:space="preserve">Una sola relación negativa: número impar, ciclo de balance. El lazo frena el crecimiento en vez de amplificarlo.</w:t>
      </w:r>
    </w:p>
    <w:p>
      <w:pPr>
        <w:pStyle w:val="Heading3"/>
      </w:pPr>
      <w:r>
        <w:t xml:space="preserve">Identifique la externa</w:t>
      </w:r>
    </w:p>
    <w:p>
      <w:pPr>
        <w:pStyle w:val="Normal"/>
      </w:pPr>
      <w:r>
        <w:t xml:space="preserve">La esperanza de vida influye con signo negativo sobre la tasa de muertes, pero el ciclo no vuelve sobre ella: queda fuera del recuento.</w:t>
      </w:r>
    </w:p>
    <w:p>
      <w:pPr>
        <w:keepNext/>
        <w:spacing w:after="40" w:before="150"/>
        <w:jc w:val="center"/>
      </w:pPr>
      <w:bookmarkStart w:name="b_figura_original_d2_10_interpr_4ec0f508" w:id="5658"/>
      <w:bookmarkEnd w:id="5658"/>
      <w:r>
        <w:drawing>
          <wp:inline distT="0" distB="0" distL="0" distR="0">
            <wp:extent cx="5381625" cy="3362325"/>
            <wp:effectExtent t="0" r="0" b="0" l="0"/>
            <wp:docPr id="246" name="d2-10-interpretar-poblacion-modelo" descr="Clase 14 · 00:55:36–01:03:30 · lámina 9" title="Interpretar un modelo · variable exter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10" cstate="none"/>
                    <a:srcRect/>
                    <a:stretch>
                      <a:fillRect/>
                    </a:stretch>
                  </pic:blipFill>
                  <pic:spPr bwMode="auto">
                    <a:xfrm>
                      <a:off x="0" y="0"/>
                      <a:ext cx="5381625" cy="3362325"/>
                    </a:xfrm>
                    <a:prstGeom prst="rect">
                      <a:avLst/>
                    </a:prstGeom>
                  </pic:spPr>
                </pic:pic>
              </a:graphicData>
            </a:graphic>
          </wp:inline>
        </w:drawing>
      </w:r>
    </w:p>
    <w:p>
      <w:pPr>
        <w:pStyle w:val="PieFigura"/>
        <w:keepNext/>
      </w:pPr>
      <w:bookmarkStart w:name="b_fig_V4_13" w:id="5659"/>
      <w:r>
        <w:t xml:space="preserve">Figura V4.</w:t>
      </w:r>
      <w:fldSimple w:instr="SEQ Figura \n \* ARABIC">
        <w:r>
          <w:t xml:space="preserve">13</w:t>
        </w:r>
      </w:fldSimple>
      <w:r>
        <w:t xml:space="preserve"> · Interpretar un modelo · variable externa</w:t>
      </w:r>
      <w:bookmarkEnd w:id="5659"/>
    </w:p>
    <w:p>
      <w:pPr>
        <w:pStyle w:val="LecturaFigura"/>
        <w:keepNext/>
      </w:pPr>
      <w:r>
        <w:rPr>
          <w:b/>
          <w:bCs/>
        </w:rPr>
        <w:t xml:space="preserve">Lectura del diagrama: </w:t>
      </w:r>
      <w:r>
        <w:t xml:space="preserve">1 relación (+) y 1 relación (−) · 1 negativa · número impar ⇒ ciclo de balance (B). Más población produce más muertes y más muertes reducen la población: el lazo frena el crecimiento en lugar de amplificarlo.</w:t>
      </w:r>
    </w:p>
    <w:p>
      <w:pPr>
        <w:pStyle w:val="Fuente"/>
      </w:pPr>
      <w:r>
        <w:t xml:space="preserve">Clase 14 · 00:55:36–01:03:30 · lámina 9</w:t>
      </w:r>
    </w:p>
    <w:p>
      <w:pPr>
        <w:pStyle w:val="Heading3"/>
      </w:pPr>
      <w:r>
        <w:t xml:space="preserve">Criterios para una respuesta completa</w:t>
      </w:r>
    </w:p>
    <w:p>
      <w:pPr>
        <w:pStyle w:val="Normal"/>
        <w:numPr>
          <w:ilvl w:val="0"/>
          <w:numId w:val="2"/>
        </w:numPr>
      </w:pPr>
      <w:r>
        <w:t xml:space="preserve">Clasifica el ciclo como de balance con el conteo de negativas.</w:t>
      </w:r>
    </w:p>
    <w:p>
      <w:pPr>
        <w:pStyle w:val="Normal"/>
        <w:numPr>
          <w:ilvl w:val="0"/>
          <w:numId w:val="2"/>
        </w:numPr>
      </w:pPr>
      <w:r>
        <w:t xml:space="preserve">Explica el papel de la variable externa y por qué no se cuenta.</w:t>
      </w:r>
    </w:p>
    <w:p>
      <w:pPr>
        <w:pStyle w:val="Normal"/>
        <w:numPr>
          <w:ilvl w:val="0"/>
          <w:numId w:val="2"/>
        </w:numPr>
      </w:pPr>
      <w:r>
        <w:t xml:space="preserve">Enuncia la condición de crecimiento en términos de la relación entre las dos tasas.</w:t>
      </w:r>
    </w:p>
    <w:p>
      <w:pPr>
        <w:pStyle w:val="Fuente"/>
      </w:pPr>
      <w:r>
        <w:t xml:space="preserve">Clase 14 · 00:55:36–01:03:30 · lámina 9</w:t>
      </w:r>
    </w:p>
    <w:p>
      <w:pPr>
        <w:pStyle w:val="Heading3"/>
      </w:pPr>
      <w:bookmarkStart w:name="b_pregunta_d2_11_diagramar_inventario" w:id="5660"/>
      <w:r>
        <w:t xml:space="preserve">4.11 · Diagramar una historia · demora y anticipación</w:t>
      </w:r>
      <w:bookmarkEnd w:id="5660"/>
    </w:p>
    <w:p>
      <w:pPr>
        <w:pStyle w:val="Normal"/>
      </w:pPr>
      <w:r>
        <w:t xml:space="preserve">Una tienda mantiene diez unidades de un producto y vende tres cada día. El proveedor tarda un día en entregar. Diagrame el control de inventario, marque la demora donde corresponda y explique por qué la decisión de reponer no puede tomarse mirando sólo el inventario de hoy.</w:t>
      </w:r>
    </w:p>
    <w:p>
      <w:pPr>
        <w:pStyle w:val="Fuente"/>
      </w:pPr>
      <w:r>
        <w:t xml:space="preserve">Ordinal de la fuente: 11.</w:t>
      </w:r>
    </w:p>
    <w:p>
      <w:pPr>
        <w:pStyle w:val="Fuente"/>
      </w:pPr>
      <w:r>
        <w:t xml:space="preserve">Valor de práctica: 9 puntos.</w:t>
      </w:r>
    </w:p>
    <w:p>
      <w:pPr>
        <w:pStyle w:val="Heading3"/>
      </w:pPr>
      <w:bookmarkStart w:name="b_solucion_d2_11_diagramar_inventario" w:id="5661"/>
      <w:r>
        <w:t xml:space="preserve">Solución 4.11</w:t>
      </w:r>
      <w:bookmarkEnd w:id="5661"/>
    </w:p>
    <w:p>
      <w:pPr>
        <w:pStyle w:val="RecuadroTitulo"/>
      </w:pPr>
      <w:r>
        <w:t xml:space="preserve">Respuesta modelo</w:t>
      </w:r>
    </w:p>
    <w:p>
      <w:pPr>
        <w:pStyle w:val="Normal"/>
      </w:pPr>
      <w:r>
        <w:t xml:space="preserve">El diagrama es: Brecha respecto del inventario deseado →+ Pedidos al proveedor →+ (con demora) Inventario disponible →− Brecha. Una sola relación negativa, de modo que es un ciclo de balance.</w:t>
      </w:r>
    </w:p>
    <w:p>
      <w:pPr>
        <w:pStyle w:val="Normal"/>
      </w:pPr>
      <w:r>
        <w:t xml:space="preserve">La demora va entre los pedidos y el inventario disponible, porque el proveedor tarda un día en entregar.</w:t>
      </w:r>
    </w:p>
    <w:p>
      <w:pPr>
        <w:pStyle w:val="Normal"/>
      </w:pPr>
      <w:r>
        <w:t xml:space="preserve">Con tres ventas diarias y diez unidades, el inventario se agota en poco más de tres días, y el pedido tarda uno en llegar. Si la decisión se toma mirando el inventario de hoy, la reposición llega tarde. Lo que mueve a emitir la orden es la proyección del inventario futuro: un efecto anticipado que todavía no ha ocurrido y que, sin embargo, causa la acción presente.</w:t>
      </w:r>
    </w:p>
    <w:p>
      <w:pPr>
        <w:pStyle w:val="Heading3"/>
      </w:pPr>
      <w:r>
        <w:t xml:space="preserve">Localice el objetivo implícito</w:t>
      </w:r>
    </w:p>
    <w:p>
      <w:pPr>
        <w:pStyle w:val="Normal"/>
      </w:pPr>
      <w:r>
        <w:t xml:space="preserve">Todo ciclo de control tiene una meta. Aquí es el inventario deseado, y la variable que mueve la acción es la brecha respecto de él.</w:t>
      </w:r>
    </w:p>
    <w:p>
      <w:pPr>
        <w:pStyle w:val="Heading3"/>
      </w:pPr>
      <w:r>
        <w:t xml:space="preserve">Encadene el control</w:t>
      </w:r>
    </w:p>
    <w:p>
      <w:pPr>
        <w:pStyle w:val="Normal"/>
      </w:pPr>
      <w:r>
        <w:t xml:space="preserve">A mayor brecha, más pedidos al proveedor; a más pedidos, más inventario disponible; y a más inventario, menos brecha.</w:t>
      </w:r>
    </w:p>
    <w:p>
      <w:pPr>
        <w:pStyle w:val="Heading3"/>
      </w:pPr>
      <w:r>
        <w:t xml:space="preserve">Marque la demora de entrega</w:t>
      </w:r>
    </w:p>
    <w:p>
      <w:pPr>
        <w:pStyle w:val="Normal"/>
      </w:pPr>
      <w:r>
        <w:t xml:space="preserve">El pedido no llega el mismo día: entre los pedidos y el inventario disponible hay un retraso que se señala con las dos rayas.</w:t>
      </w:r>
    </w:p>
    <w:p>
      <w:pPr>
        <w:pStyle w:val="Heading3"/>
      </w:pPr>
      <w:r>
        <w:t xml:space="preserve">Saque la consecuencia práctica</w:t>
      </w:r>
    </w:p>
    <w:p>
      <w:pPr>
        <w:pStyle w:val="Normal"/>
      </w:pPr>
      <w:r>
        <w:t xml:space="preserve">Con la demora, esperar a que el inventario baje del umbral deja a la tienda sin producto. La orden debe emitirse por la proyección del inventario futuro.</w:t>
      </w:r>
    </w:p>
    <w:p>
      <w:pPr>
        <w:keepNext/>
        <w:spacing w:after="40" w:before="150"/>
        <w:jc w:val="center"/>
      </w:pPr>
      <w:bookmarkStart w:name="b_figura_original_d2_11_diagram_5b976ef7" w:id="5662"/>
      <w:bookmarkEnd w:id="5662"/>
      <w:r>
        <w:drawing>
          <wp:inline distT="0" distB="0" distL="0" distR="0">
            <wp:extent cx="5381625" cy="3362325"/>
            <wp:effectExtent t="0" r="0" b="0" l="0"/>
            <wp:docPr id="247" name="d2-11-diagramar-inventario-modelo" descr="Clase 13 · 01:00:07–01:04:44 · Clase 16 · 00:49:47–00:53:20" title="Diagramar una historia · demora y anticipació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11" cstate="none"/>
                    <a:srcRect/>
                    <a:stretch>
                      <a:fillRect/>
                    </a:stretch>
                  </pic:blipFill>
                  <pic:spPr bwMode="auto">
                    <a:xfrm>
                      <a:off x="0" y="0"/>
                      <a:ext cx="5381625" cy="3362325"/>
                    </a:xfrm>
                    <a:prstGeom prst="rect">
                      <a:avLst/>
                    </a:prstGeom>
                  </pic:spPr>
                </pic:pic>
              </a:graphicData>
            </a:graphic>
          </wp:inline>
        </w:drawing>
      </w:r>
    </w:p>
    <w:p>
      <w:pPr>
        <w:pStyle w:val="PieFigura"/>
        <w:keepNext/>
      </w:pPr>
      <w:bookmarkStart w:name="b_fig_V4_14" w:id="5663"/>
      <w:r>
        <w:t xml:space="preserve">Figura V4.</w:t>
      </w:r>
      <w:fldSimple w:instr="SEQ Figura \n \* ARABIC">
        <w:r>
          <w:t xml:space="preserve">14</w:t>
        </w:r>
      </w:fldSimple>
      <w:r>
        <w:t xml:space="preserve"> · Diagramar una historia · demora y anticipación</w:t>
      </w:r>
      <w:bookmarkEnd w:id="5663"/>
    </w:p>
    <w:p>
      <w:pPr>
        <w:pStyle w:val="LecturaFigura"/>
        <w:keepNext/>
      </w:pPr>
      <w:r>
        <w:rPr>
          <w:b/>
          <w:bCs/>
        </w:rPr>
        <w:t xml:space="preserve">Lectura del diagrama: </w:t>
      </w:r>
      <w:r>
        <w:t xml:space="preserve">2 relaciones (+) y 1 relación (−) · 1 negativa · número impar ⇒ ciclo de balance (B). El pedido llega con demora, de modo que la decisión de reponer debe tomarse por la proyección del inventario futuro y no por el nivel de hoy.</w:t>
      </w:r>
    </w:p>
    <w:p>
      <w:pPr>
        <w:pStyle w:val="Fuente"/>
      </w:pPr>
      <w:r>
        <w:t xml:space="preserve">Clase 13 · 01:00:07–01:04:44 · Clase 16 · 00:49:47–00:53:20</w:t>
      </w:r>
    </w:p>
    <w:p>
      <w:pPr>
        <w:pStyle w:val="Heading3"/>
      </w:pPr>
      <w:r>
        <w:t xml:space="preserve">Criterios para una respuesta completa</w:t>
      </w:r>
    </w:p>
    <w:p>
      <w:pPr>
        <w:pStyle w:val="Normal"/>
        <w:numPr>
          <w:ilvl w:val="0"/>
          <w:numId w:val="2"/>
        </w:numPr>
      </w:pPr>
      <w:r>
        <w:t xml:space="preserve">Modela el control con la brecha respecto de un objetivo, no sólo con el nivel de inventario.</w:t>
      </w:r>
    </w:p>
    <w:p>
      <w:pPr>
        <w:pStyle w:val="Normal"/>
        <w:numPr>
          <w:ilvl w:val="0"/>
          <w:numId w:val="2"/>
        </w:numPr>
      </w:pPr>
      <w:r>
        <w:t xml:space="preserve">Marca la demora en la relación correcta.</w:t>
      </w:r>
    </w:p>
    <w:p>
      <w:pPr>
        <w:pStyle w:val="Normal"/>
        <w:numPr>
          <w:ilvl w:val="0"/>
          <w:numId w:val="2"/>
        </w:numPr>
      </w:pPr>
      <w:r>
        <w:t xml:space="preserve">Clasifica el ciclo como de balance.</w:t>
      </w:r>
    </w:p>
    <w:p>
      <w:pPr>
        <w:pStyle w:val="Normal"/>
        <w:numPr>
          <w:ilvl w:val="0"/>
          <w:numId w:val="2"/>
        </w:numPr>
      </w:pPr>
      <w:r>
        <w:t xml:space="preserve">Explica la decisión por la proyección del futuro y no por el estado actual.</w:t>
      </w:r>
    </w:p>
    <w:p>
      <w:pPr>
        <w:pStyle w:val="Fuente"/>
      </w:pPr>
      <w:r>
        <w:t xml:space="preserve">Clase 13 · 01:00:07–01:04:44 · Clase 16 · 00:49:47–00:53:20</w:t>
      </w:r>
    </w:p>
    <w:p>
      <w:pPr>
        <w:pStyle w:val="Heading3"/>
      </w:pPr>
      <w:bookmarkStart w:name="b_pregunta_d2_12_interpretar_hervir" w:id="5664"/>
      <w:r>
        <w:t xml:space="preserve">4.12 · Interpretar un modelo · del proceso al sistema</w:t>
      </w:r>
      <w:bookmarkEnd w:id="5664"/>
    </w:p>
    <w:p>
      <w:pPr>
        <w:pStyle w:val="Normal"/>
      </w:pPr>
      <w:r>
        <w:t xml:space="preserve">El proceso de hervir agua puede describirse como «Encender fogón → Hervir agua → Apagar fogón». Observe en cambio el siguiente diagrama sistémico del mismo proceso y explique qué aporta que el diagrama de bloques no recoge, señalando las diferencias de notación entre ambos.</w:t>
      </w:r>
    </w:p>
    <w:p>
      <w:pPr>
        <w:pStyle w:val="Fuente"/>
      </w:pPr>
      <w:r>
        <w:t xml:space="preserve">Ordinal de la fuente: 12.</w:t>
      </w:r>
    </w:p>
    <w:p>
      <w:pPr>
        <w:pStyle w:val="Fuente"/>
      </w:pPr>
      <w:r>
        <w:t xml:space="preserve">Valor de práctica: 8 puntos.</w:t>
      </w:r>
    </w:p>
    <w:p>
      <w:pPr>
        <w:keepNext/>
        <w:spacing w:after="40" w:before="150"/>
        <w:jc w:val="center"/>
      </w:pPr>
      <w:bookmarkStart w:name="b_figura_original_d2_12_interpr_05a47f3b" w:id="5665"/>
      <w:bookmarkEnd w:id="5665"/>
      <w:r>
        <w:drawing>
          <wp:inline distT="0" distB="0" distL="0" distR="0">
            <wp:extent cx="5381625" cy="3362325"/>
            <wp:effectExtent t="0" r="0" b="0" l="0"/>
            <wp:docPr id="248" name="d2-12-interpretar-hervir-enunciado" descr="Clase 13 · 01:14:10–01:33:03 · lámina 8" title="Interpretar un modelo · del proceso al siste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12" cstate="none"/>
                    <a:srcRect/>
                    <a:stretch>
                      <a:fillRect/>
                    </a:stretch>
                  </pic:blipFill>
                  <pic:spPr bwMode="auto">
                    <a:xfrm>
                      <a:off x="0" y="0"/>
                      <a:ext cx="5381625" cy="3362325"/>
                    </a:xfrm>
                    <a:prstGeom prst="rect">
                      <a:avLst/>
                    </a:prstGeom>
                  </pic:spPr>
                </pic:pic>
              </a:graphicData>
            </a:graphic>
          </wp:inline>
        </w:drawing>
      </w:r>
    </w:p>
    <w:p>
      <w:pPr>
        <w:pStyle w:val="PieFigura"/>
        <w:keepNext/>
      </w:pPr>
      <w:bookmarkStart w:name="b_fig_V4_15" w:id="5666"/>
      <w:r>
        <w:t xml:space="preserve">Figura V4.</w:t>
      </w:r>
      <w:fldSimple w:instr="SEQ Figura \n \* ARABIC">
        <w:r>
          <w:t xml:space="preserve">15</w:t>
        </w:r>
      </w:fldSimple>
      <w:r>
        <w:t xml:space="preserve"> · Interpretar un modelo · del proceso al sistema</w:t>
      </w:r>
      <w:bookmarkEnd w:id="5666"/>
    </w:p>
    <w:p>
      <w:pPr>
        <w:pStyle w:val="Fuente"/>
      </w:pPr>
      <w:r>
        <w:t xml:space="preserve">Clase 13 · 01:14:10–01:33:03 · lámina 8</w:t>
      </w:r>
    </w:p>
    <w:p>
      <w:pPr>
        <w:pStyle w:val="Heading3"/>
      </w:pPr>
      <w:bookmarkStart w:name="b_solucion_d2_12_interpretar_hervir" w:id="5667"/>
      <w:r>
        <w:t xml:space="preserve">Solución 4.12</w:t>
      </w:r>
      <w:bookmarkEnd w:id="5667"/>
    </w:p>
    <w:p>
      <w:pPr>
        <w:pStyle w:val="RecuadroTitulo"/>
      </w:pPr>
      <w:r>
        <w:t xml:space="preserve">Respuesta modelo</w:t>
      </w:r>
    </w:p>
    <w:p>
      <w:pPr>
        <w:pStyle w:val="Normal"/>
      </w:pPr>
      <w:r>
        <w:t xml:space="preserve">El diagrama sistémico aporta la regulación: muestra que la llave del fogón se mueve en función de la brecha entre la temperatura actual y el agua hervida, y que esa brecha se reduce a medida que la temperatura sube. El diagrama de bloques sólo dice en qué orden ocurren tres acciones.</w:t>
      </w:r>
    </w:p>
    <w:p>
      <w:pPr>
        <w:pStyle w:val="Normal"/>
      </w:pPr>
      <w:r>
        <w:t xml:space="preserve">Las diferencias de notación son cuatro. El proceso nombra sus nodos con verbos y el sistémico con sustantivos que pueden subir y bajar. Las flechas del proceso indican secuencia y cronología; las del sistémico, relación de influencia con su polaridad. El proceso es un diagrama lineal y el sistémico es circular. Y el sistémico incorpora el identificador del ciclo, que declara el tipo de comportamiento.</w:t>
      </w:r>
    </w:p>
    <w:p>
      <w:pPr>
        <w:pStyle w:val="Normal"/>
      </w:pPr>
      <w:r>
        <w:t xml:space="preserve">El ciclo es de balance: hay una sola relación negativa, la que va del nivel de temperatura a la brecha percibida. Por eso el sistema busca un objetivo y se detiene al alcanzarlo, en lugar de crecer indefinidamente.</w:t>
      </w:r>
    </w:p>
    <w:p>
      <w:pPr>
        <w:pStyle w:val="Heading3"/>
      </w:pPr>
      <w:r>
        <w:t xml:space="preserve">Compare los nombres de los nodos</w:t>
      </w:r>
    </w:p>
    <w:p>
      <w:pPr>
        <w:pStyle w:val="Normal"/>
      </w:pPr>
      <w:r>
        <w:t xml:space="preserve">El diagrama de proceso usa verbos: encender, hervir, apagar. El sistémico usa sustantivos que nombran magnitudes: brecha, flujo, nivel de temperatura.</w:t>
      </w:r>
    </w:p>
    <w:p>
      <w:pPr>
        <w:pStyle w:val="Heading3"/>
      </w:pPr>
      <w:r>
        <w:t xml:space="preserve">Compare lo que dicen las flechas</w:t>
      </w:r>
    </w:p>
    <w:p>
      <w:pPr>
        <w:pStyle w:val="Normal"/>
      </w:pPr>
      <w:r>
        <w:t xml:space="preserve">En el proceso, la flecha indica secuencia y cronología. En el sistémico indica influencia causal, con signo.</w:t>
      </w:r>
    </w:p>
    <w:p>
      <w:pPr>
        <w:pStyle w:val="Heading3"/>
      </w:pPr>
      <w:r>
        <w:t xml:space="preserve">Compare la forma</w:t>
      </w:r>
    </w:p>
    <w:p>
      <w:pPr>
        <w:pStyle w:val="Normal"/>
      </w:pPr>
      <w:r>
        <w:t xml:space="preserve">El proceso es lineal y termina; el sistémico es circular y describe una regulación que se sostiene mientras el agua no hierva.</w:t>
      </w:r>
    </w:p>
    <w:p>
      <w:pPr>
        <w:pStyle w:val="Heading3"/>
      </w:pPr>
      <w:r>
        <w:t xml:space="preserve">Localice lo que sólo aparece en el sistémico</w:t>
      </w:r>
    </w:p>
    <w:p>
      <w:pPr>
        <w:pStyle w:val="Normal"/>
      </w:pPr>
      <w:r>
        <w:t xml:space="preserve">El objetivo y la brecha percibida no figuran en el diagrama de bloques, y son justamente lo que explica por qué la llave se mueve.</w:t>
      </w:r>
    </w:p>
    <w:p>
      <w:pPr>
        <w:keepNext/>
        <w:spacing w:after="40" w:before="150"/>
        <w:jc w:val="center"/>
      </w:pPr>
      <w:bookmarkStart w:name="b_figura_original_d2_12_interpr_b31279a6" w:id="5668"/>
      <w:bookmarkEnd w:id="5668"/>
      <w:r>
        <w:drawing>
          <wp:inline distT="0" distB="0" distL="0" distR="0">
            <wp:extent cx="5381625" cy="3362325"/>
            <wp:effectExtent t="0" r="0" b="0" l="0"/>
            <wp:docPr id="249" name="d2-12-interpretar-hervir-modelo" descr="Clase 13 · 01:14:10–01:33:03 · lámina 8" title="Interpretar un modelo · del proceso al siste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13" cstate="none"/>
                    <a:srcRect/>
                    <a:stretch>
                      <a:fillRect/>
                    </a:stretch>
                  </pic:blipFill>
                  <pic:spPr bwMode="auto">
                    <a:xfrm>
                      <a:off x="0" y="0"/>
                      <a:ext cx="5381625" cy="3362325"/>
                    </a:xfrm>
                    <a:prstGeom prst="rect">
                      <a:avLst/>
                    </a:prstGeom>
                  </pic:spPr>
                </pic:pic>
              </a:graphicData>
            </a:graphic>
          </wp:inline>
        </w:drawing>
      </w:r>
    </w:p>
    <w:p>
      <w:pPr>
        <w:pStyle w:val="PieFigura"/>
        <w:keepNext/>
      </w:pPr>
      <w:bookmarkStart w:name="b_fig_V4_16" w:id="5669"/>
      <w:r>
        <w:t xml:space="preserve">Figura V4.</w:t>
      </w:r>
      <w:fldSimple w:instr="SEQ Figura \n \* ARABIC">
        <w:r>
          <w:t xml:space="preserve">16</w:t>
        </w:r>
      </w:fldSimple>
      <w:r>
        <w:t xml:space="preserve"> · Interpretar un modelo · del proceso al sistema</w:t>
      </w:r>
      <w:bookmarkEnd w:id="5669"/>
    </w:p>
    <w:p>
      <w:pPr>
        <w:pStyle w:val="LecturaFigura"/>
        <w:keepNext/>
      </w:pPr>
      <w:r>
        <w:rPr>
          <w:b/>
          <w:bCs/>
        </w:rPr>
        <w:t xml:space="preserve">Lectura del diagrama: </w:t>
      </w:r>
      <w:r>
        <w:t xml:space="preserve">3 relaciones (+) y 1 relación (−) · 1 negativa · número impar ⇒ ciclo de balance (B). Cuanto mayor es la brecha entre la temperatura actual y el agua hervida, más se abre la llave; más fuego sube la temperatura, y al subir la temperatura la brecha se reduce hasta cerrarse.</w:t>
      </w:r>
    </w:p>
    <w:p>
      <w:pPr>
        <w:pStyle w:val="Fuente"/>
      </w:pPr>
      <w:r>
        <w:t xml:space="preserve">Clase 13 · 01:14:10–01:33:03 · lámina 8</w:t>
      </w:r>
    </w:p>
    <w:p>
      <w:pPr>
        <w:pStyle w:val="Heading3"/>
      </w:pPr>
      <w:r>
        <w:t xml:space="preserve">Criterios para una respuesta completa</w:t>
      </w:r>
    </w:p>
    <w:p>
      <w:pPr>
        <w:pStyle w:val="Normal"/>
        <w:numPr>
          <w:ilvl w:val="0"/>
          <w:numId w:val="2"/>
        </w:numPr>
      </w:pPr>
      <w:r>
        <w:t xml:space="preserve">Enumera al menos tres diferencias de la tabla proceso-sistémico.</w:t>
      </w:r>
    </w:p>
    <w:p>
      <w:pPr>
        <w:pStyle w:val="Normal"/>
        <w:numPr>
          <w:ilvl w:val="0"/>
          <w:numId w:val="2"/>
        </w:numPr>
      </w:pPr>
      <w:r>
        <w:t xml:space="preserve">Identifica el objetivo y la brecha como lo que el diagrama de bloques no recoge.</w:t>
      </w:r>
    </w:p>
    <w:p>
      <w:pPr>
        <w:pStyle w:val="Normal"/>
        <w:numPr>
          <w:ilvl w:val="0"/>
          <w:numId w:val="2"/>
        </w:numPr>
      </w:pPr>
      <w:r>
        <w:t xml:space="preserve">Clasifica el ciclo como de balance con el conteo de negativas.</w:t>
      </w:r>
    </w:p>
    <w:p>
      <w:pPr>
        <w:pStyle w:val="Normal"/>
        <w:numPr>
          <w:ilvl w:val="0"/>
          <w:numId w:val="2"/>
        </w:numPr>
      </w:pPr>
      <w:r>
        <w:t xml:space="preserve">No confunde el identificador del ciclo con la polaridad de una flecha.</w:t>
      </w:r>
    </w:p>
    <w:p>
      <w:pPr>
        <w:pStyle w:val="Fuente"/>
      </w:pPr>
      <w:r>
        <w:t xml:space="preserve">Clase 13 · 01:14:10–01:33:03 · lámina 8</w:t>
      </w:r>
    </w:p>
    <w:p>
      <w:pPr>
        <w:pStyle w:val="Heading3"/>
      </w:pPr>
      <w:bookmarkStart w:name="b_pregunta_d2_13_definir_variable" w:id="5670"/>
      <w:r>
        <w:t xml:space="preserve">4.13 · Definición corta</w:t>
      </w:r>
      <w:bookmarkEnd w:id="5670"/>
    </w:p>
    <w:p>
      <w:pPr>
        <w:pStyle w:val="Normal"/>
      </w:pPr>
      <w:r>
        <w:t xml:space="preserve">¿Qué es una variable en un diagrama de ciclos causales y por qué se le llama así? Dé un ejemplo válido y uno que no lo sea, explicando la diferencia.</w:t>
      </w:r>
    </w:p>
    <w:p>
      <w:pPr>
        <w:pStyle w:val="Fuente"/>
      </w:pPr>
      <w:r>
        <w:t xml:space="preserve">Ordinal de la fuente: 13.</w:t>
      </w:r>
    </w:p>
    <w:p>
      <w:pPr>
        <w:pStyle w:val="Fuente"/>
      </w:pPr>
      <w:r>
        <w:t xml:space="preserve">Valor de práctica: 4 puntos.</w:t>
      </w:r>
    </w:p>
    <w:p>
      <w:pPr>
        <w:pStyle w:val="Heading3"/>
      </w:pPr>
      <w:bookmarkStart w:name="b_solucion_d2_13_definir_variable" w:id="5671"/>
      <w:r>
        <w:t xml:space="preserve">Solución 4.13</w:t>
      </w:r>
      <w:bookmarkEnd w:id="5671"/>
    </w:p>
    <w:p>
      <w:pPr>
        <w:pStyle w:val="RecuadroTitulo"/>
      </w:pPr>
      <w:r>
        <w:t xml:space="preserve">Respuesta modelo</w:t>
      </w:r>
    </w:p>
    <w:p>
      <w:pPr>
        <w:pStyle w:val="Normal"/>
      </w:pPr>
      <w:r>
        <w:t xml:space="preserve">Una variable es una distinción conceptual de alguna parte del sistema que sirve para identificar relaciones y cuyo valor puede cambiar a lo largo del tiempo. Se le llama variable precisamente por eso: porque la magnitud que nombra admite más y menos.</w:t>
      </w:r>
    </w:p>
    <w:p>
      <w:pPr>
        <w:pStyle w:val="Normal"/>
      </w:pPr>
      <w:r>
        <w:t xml:space="preserve">«Nivel de inventario» es una variable válida: puede subir o bajar, de modo que una flecha con polaridad puede decir algo sobre ella.</w:t>
      </w:r>
    </w:p>
    <w:p>
      <w:pPr>
        <w:pStyle w:val="Normal"/>
      </w:pPr>
      <w:r>
        <w:t xml:space="preserve">«Emitir la orden de compra» no sirve como variable: es una acción en infinitivo y pertenece a un diagrama de proceso. Para incorporarla al lenguaje sistémico habría que convertirla en una magnitud, por ejemplo «pedidos al proveedor».</w:t>
      </w:r>
    </w:p>
    <w:p>
      <w:pPr>
        <w:pStyle w:val="Heading3"/>
      </w:pPr>
      <w:r>
        <w:t xml:space="preserve">Parta de la definición de la lámina</w:t>
      </w:r>
    </w:p>
    <w:p>
      <w:pPr>
        <w:pStyle w:val="Normal"/>
      </w:pPr>
      <w:r>
        <w:t xml:space="preserve">Los elementos del diagrama se llaman variables porque pueden cambiar con el tiempo: el número de abejas o de flores.</w:t>
      </w:r>
    </w:p>
    <w:p>
      <w:pPr>
        <w:pStyle w:val="Heading3"/>
      </w:pPr>
      <w:r>
        <w:t xml:space="preserve">Añada el criterio operativo</w:t>
      </w:r>
    </w:p>
    <w:p>
      <w:pPr>
        <w:pStyle w:val="Normal"/>
      </w:pPr>
      <w:r>
        <w:t xml:space="preserve">Una variable es una distinción conceptual del sistema que sirve para identificar relaciones, y debe admitir más y menos.</w:t>
      </w:r>
    </w:p>
    <w:p>
      <w:pPr>
        <w:pStyle w:val="Heading3"/>
      </w:pPr>
      <w:r>
        <w:t xml:space="preserve">Elija los dos ejemplos por contraste</w:t>
      </w:r>
    </w:p>
    <w:p>
      <w:pPr>
        <w:pStyle w:val="Normal"/>
      </w:pPr>
      <w:r>
        <w:t xml:space="preserve">Un sustantivo que nombra una magnitud sirve; un verbo que nombra una acción pertenece a un diagrama de proceso.</w:t>
      </w:r>
    </w:p>
    <w:p>
      <w:pPr>
        <w:pStyle w:val="Heading3"/>
      </w:pPr>
      <w:r>
        <w:t xml:space="preserve">Criterios para una respuesta completa</w:t>
      </w:r>
    </w:p>
    <w:p>
      <w:pPr>
        <w:pStyle w:val="Normal"/>
        <w:numPr>
          <w:ilvl w:val="0"/>
          <w:numId w:val="2"/>
        </w:numPr>
      </w:pPr>
      <w:r>
        <w:t xml:space="preserve">Define la variable como distinción que cambia en el tiempo.</w:t>
      </w:r>
    </w:p>
    <w:p>
      <w:pPr>
        <w:pStyle w:val="Normal"/>
        <w:numPr>
          <w:ilvl w:val="0"/>
          <w:numId w:val="2"/>
        </w:numPr>
      </w:pPr>
      <w:r>
        <w:t xml:space="preserve">Da un ejemplo que admita más y menos.</w:t>
      </w:r>
    </w:p>
    <w:p>
      <w:pPr>
        <w:pStyle w:val="Normal"/>
        <w:numPr>
          <w:ilvl w:val="0"/>
          <w:numId w:val="2"/>
        </w:numPr>
      </w:pPr>
      <w:r>
        <w:t xml:space="preserve">Da un contraejemplo con un verbo y explica por qué no sirve.</w:t>
      </w:r>
    </w:p>
    <w:p>
      <w:pPr>
        <w:pStyle w:val="Fuente"/>
      </w:pPr>
      <w:r>
        <w:t xml:space="preserve">Clase 13 · lámina 5 · Clase 14 · 00:09:02</w:t>
      </w:r>
    </w:p>
    <w:p>
      <w:pPr>
        <w:pStyle w:val="Heading3"/>
      </w:pPr>
      <w:bookmarkStart w:name="b_pregunta_d2_14_definir_regla_paridad" w:id="5672"/>
      <w:r>
        <w:t xml:space="preserve">4.14 · Definición corta</w:t>
      </w:r>
      <w:bookmarkEnd w:id="5672"/>
    </w:p>
    <w:p>
      <w:pPr>
        <w:pStyle w:val="Normal"/>
      </w:pPr>
      <w:r>
        <w:t xml:space="preserve">Enuncie la regla que permite clasificar rápidamente un ciclo como de refuerzo o de balance, explique por qué funciona y diga qué advertencia acompaña a su uso.</w:t>
      </w:r>
    </w:p>
    <w:p>
      <w:pPr>
        <w:pStyle w:val="Fuente"/>
      </w:pPr>
      <w:r>
        <w:t xml:space="preserve">Ordinal de la fuente: 14.</w:t>
      </w:r>
    </w:p>
    <w:p>
      <w:pPr>
        <w:pStyle w:val="Fuente"/>
      </w:pPr>
      <w:r>
        <w:t xml:space="preserve">Valor de práctica: 4 puntos.</w:t>
      </w:r>
    </w:p>
    <w:p>
      <w:pPr>
        <w:pStyle w:val="Heading3"/>
      </w:pPr>
      <w:bookmarkStart w:name="b_solucion_d2_14_definir_regla_paridad" w:id="5673"/>
      <w:r>
        <w:t xml:space="preserve">Solución 4.14</w:t>
      </w:r>
      <w:bookmarkEnd w:id="5673"/>
    </w:p>
    <w:p>
      <w:pPr>
        <w:pStyle w:val="RecuadroTitulo"/>
      </w:pPr>
      <w:r>
        <w:t xml:space="preserve">Respuesta modelo</w:t>
      </w:r>
    </w:p>
    <w:p>
      <w:pPr>
        <w:pStyle w:val="Normal"/>
      </w:pPr>
      <w:r>
        <w:t xml:space="preserve">La regla consiste en contar cuántas relaciones con polaridad negativa tiene el recorrido cerrado. Un número impar de negativas indica un ciclo de balance o compensación; un número par, incluido el cero, indica un ciclo de refuerzo.</w:t>
      </w:r>
    </w:p>
    <w:p>
      <w:pPr>
        <w:pStyle w:val="Normal"/>
      </w:pPr>
      <w:r>
        <w:t xml:space="preserve">Funciona porque encadenar dos relaciones negativas equivale a una positiva: la segunda inversión deshace la primera. Por eso las compensaciones se anulan de dos en dos y sólo una negativa suelta alcanza a invertir el sentido global del bucle.</w:t>
      </w:r>
    </w:p>
    <w:p>
      <w:pPr>
        <w:pStyle w:val="Normal"/>
      </w:pPr>
      <w:r>
        <w:t xml:space="preserve">La advertencia que acompaña a la regla es que, después de asignar la B o la R, hay que releer el ciclo varias veces para estar seguro. La regla es formal y rápida, y por eso se aplica igual de rápido sobre un diagrama que tenga un signo mal puesto; la lectura de la historia es la comprobación independiente.</w:t>
      </w:r>
    </w:p>
    <w:p>
      <w:pPr>
        <w:pStyle w:val="Heading3"/>
      </w:pPr>
      <w:r>
        <w:t xml:space="preserve">Enuncie la regla</w:t>
      </w:r>
    </w:p>
    <w:p>
      <w:pPr>
        <w:pStyle w:val="Normal"/>
      </w:pPr>
      <w:r>
        <w:t xml:space="preserve">Se cuentan las relaciones con polaridad negativa del recorrido cerrado: número impar da balance y número par —incluido cero— da refuerzo.</w:t>
      </w:r>
    </w:p>
    <w:p>
      <w:pPr>
        <w:pStyle w:val="Heading3"/>
      </w:pPr>
      <w:r>
        <w:t xml:space="preserve">Explique el mecanismo</w:t>
      </w:r>
    </w:p>
    <w:p>
      <w:pPr>
        <w:pStyle w:val="Normal"/>
      </w:pPr>
      <w:r>
        <w:t xml:space="preserve">Dos relaciones negativas encadenadas equivalen a una positiva, igual que negar dos veces una frase. Por eso las compensaciones se anulan de dos en dos.</w:t>
      </w:r>
    </w:p>
    <w:p>
      <w:pPr>
        <w:pStyle w:val="Heading3"/>
      </w:pPr>
      <w:r>
        <w:t xml:space="preserve">Recuerde la advertencia</w:t>
      </w:r>
    </w:p>
    <w:p>
      <w:pPr>
        <w:pStyle w:val="Normal"/>
      </w:pPr>
      <w:r>
        <w:t xml:space="preserve">Después de asignar la letra conviene releer el ciclo varias veces para comprobar que se comporta como dice la letra.</w:t>
      </w:r>
    </w:p>
    <w:p>
      <w:pPr>
        <w:pStyle w:val="Heading3"/>
      </w:pPr>
      <w:r>
        <w:t xml:space="preserve">Criterios para una respuesta completa</w:t>
      </w:r>
    </w:p>
    <w:p>
      <w:pPr>
        <w:pStyle w:val="Normal"/>
        <w:numPr>
          <w:ilvl w:val="0"/>
          <w:numId w:val="2"/>
        </w:numPr>
      </w:pPr>
      <w:r>
        <w:t xml:space="preserve">Enuncia la regla en términos de paridad, no de mayoría de signos.</w:t>
      </w:r>
    </w:p>
    <w:p>
      <w:pPr>
        <w:pStyle w:val="Normal"/>
        <w:numPr>
          <w:ilvl w:val="0"/>
          <w:numId w:val="2"/>
        </w:numPr>
      </w:pPr>
      <w:r>
        <w:t xml:space="preserve">Incluye el caso de cero negativas.</w:t>
      </w:r>
    </w:p>
    <w:p>
      <w:pPr>
        <w:pStyle w:val="Normal"/>
        <w:numPr>
          <w:ilvl w:val="0"/>
          <w:numId w:val="2"/>
        </w:numPr>
      </w:pPr>
      <w:r>
        <w:t xml:space="preserve">Explica por qué dos negativas se anulan.</w:t>
      </w:r>
    </w:p>
    <w:p>
      <w:pPr>
        <w:pStyle w:val="Normal"/>
        <w:numPr>
          <w:ilvl w:val="0"/>
          <w:numId w:val="2"/>
        </w:numPr>
      </w:pPr>
      <w:r>
        <w:t xml:space="preserve">Menciona la comprobación por relectura.</w:t>
      </w:r>
    </w:p>
    <w:p>
      <w:pPr>
        <w:pStyle w:val="Fuente"/>
      </w:pPr>
      <w:r>
        <w:t xml:space="preserve">Clase 15 · 01:10:48–01:15:17 · Clase 16 · 00:41:57–00:45:45</w:t>
      </w:r>
    </w:p>
    <w:p>
      <w:pPr>
        <w:pStyle w:val="Heading3"/>
      </w:pPr>
      <w:bookmarkStart w:name="b_pregunta_d2_15_definir_demora" w:id="5674"/>
      <w:r>
        <w:t xml:space="preserve">4.15 · Definición corta</w:t>
      </w:r>
      <w:bookmarkEnd w:id="5674"/>
    </w:p>
    <w:p>
      <w:pPr>
        <w:pStyle w:val="Normal"/>
      </w:pPr>
      <w:r>
        <w:t xml:space="preserve">¿Cómo se representa una demora en un diagrama de ciclos causales y qué consecuencia práctica tiene para quien interpreta el modelo?</w:t>
      </w:r>
    </w:p>
    <w:p>
      <w:pPr>
        <w:pStyle w:val="Fuente"/>
      </w:pPr>
      <w:r>
        <w:t xml:space="preserve">Ordinal de la fuente: 15.</w:t>
      </w:r>
    </w:p>
    <w:p>
      <w:pPr>
        <w:pStyle w:val="Fuente"/>
      </w:pPr>
      <w:r>
        <w:t xml:space="preserve">Valor de práctica: 4 puntos.</w:t>
      </w:r>
    </w:p>
    <w:p>
      <w:pPr>
        <w:pStyle w:val="Heading3"/>
      </w:pPr>
      <w:bookmarkStart w:name="b_solucion_d2_15_definir_demora" w:id="5675"/>
      <w:r>
        <w:t xml:space="preserve">Solución 4.15</w:t>
      </w:r>
      <w:bookmarkEnd w:id="5675"/>
    </w:p>
    <w:p>
      <w:pPr>
        <w:pStyle w:val="RecuadroTitulo"/>
      </w:pPr>
      <w:r>
        <w:t xml:space="preserve">Respuesta modelo</w:t>
      </w:r>
    </w:p>
    <w:p>
      <w:pPr>
        <w:pStyle w:val="Normal"/>
      </w:pPr>
      <w:r>
        <w:t xml:space="preserve">La demora se marca con dos líneas paralelas colocadas sobre la flecha, entre la causa y el efecto. Algunos autores la representan con un relojito, de arena o con agujas, y opcionalmente se escribe la palabra «demora» junto a la marca.</w:t>
      </w:r>
    </w:p>
    <w:p>
      <w:pPr>
        <w:pStyle w:val="Normal"/>
      </w:pPr>
      <w:r>
        <w:t xml:space="preserve">Lo que la marca afirma es que la relación causal existe pero tarda en manifestarse. No cuantifica el retraso: sólo advierte de que hay que considerarlo al interpretar el modelo.</w:t>
      </w:r>
    </w:p>
    <w:p>
      <w:pPr>
        <w:pStyle w:val="Normal"/>
      </w:pPr>
      <w:r>
        <w:t xml:space="preserve">La consecuencia práctica es que quien lee el sistema puede no ver esa relación durante un periodo, concluir que no existe y desistir antes de tiempo. Es lo que ocurre con el ejercicio físico, con la fusión de dos aerolíneas o con los refrescos y las caries: el efecto llega, pero tan tarde que ya no se asocia a su causa.</w:t>
      </w:r>
    </w:p>
    <w:p>
      <w:pPr>
        <w:pStyle w:val="Heading3"/>
      </w:pPr>
      <w:r>
        <w:t xml:space="preserve">Describa la notación</w:t>
      </w:r>
    </w:p>
    <w:p>
      <w:pPr>
        <w:pStyle w:val="Normal"/>
      </w:pPr>
      <w:r>
        <w:t xml:space="preserve">Dos líneas paralelas cruzando la flecha; algunos autores usan un reloj de arena o un circulito con agujas. La palabra «demora» es opcional.</w:t>
      </w:r>
    </w:p>
    <w:p>
      <w:pPr>
        <w:pStyle w:val="Heading3"/>
      </w:pPr>
      <w:r>
        <w:t xml:space="preserve">Diga qué afirma la marca</w:t>
      </w:r>
    </w:p>
    <w:p>
      <w:pPr>
        <w:pStyle w:val="Normal"/>
      </w:pPr>
      <w:r>
        <w:t xml:space="preserve">Que esa relación causal existe pero tarda en manifestarse. No dice cuánto: sólo que hay que considerar el retraso.</w:t>
      </w:r>
    </w:p>
    <w:p>
      <w:pPr>
        <w:pStyle w:val="Heading3"/>
      </w:pPr>
      <w:r>
        <w:t xml:space="preserve">Saque la consecuencia</w:t>
      </w:r>
    </w:p>
    <w:p>
      <w:pPr>
        <w:pStyle w:val="Normal"/>
      </w:pPr>
      <w:r>
        <w:t xml:space="preserve">Quien no la considera puede suponer que la relación no existe y desistir antes de tiempo.</w:t>
      </w:r>
    </w:p>
    <w:p>
      <w:pPr>
        <w:pStyle w:val="Heading3"/>
      </w:pPr>
      <w:r>
        <w:t xml:space="preserve">Criterios para una respuesta completa</w:t>
      </w:r>
    </w:p>
    <w:p>
      <w:pPr>
        <w:pStyle w:val="Normal"/>
        <w:numPr>
          <w:ilvl w:val="0"/>
          <w:numId w:val="2"/>
        </w:numPr>
      </w:pPr>
      <w:r>
        <w:t xml:space="preserve">Describe la notación de las dos rayas.</w:t>
      </w:r>
    </w:p>
    <w:p>
      <w:pPr>
        <w:pStyle w:val="Normal"/>
        <w:numPr>
          <w:ilvl w:val="0"/>
          <w:numId w:val="2"/>
        </w:numPr>
      </w:pPr>
      <w:r>
        <w:t xml:space="preserve">Dice que la marca no cuantifica la duración.</w:t>
      </w:r>
    </w:p>
    <w:p>
      <w:pPr>
        <w:pStyle w:val="Normal"/>
        <w:numPr>
          <w:ilvl w:val="0"/>
          <w:numId w:val="2"/>
        </w:numPr>
      </w:pPr>
      <w:r>
        <w:t xml:space="preserve">Explica el riesgo de desistir antes de tiempo con al menos un ejemplo del curso.</w:t>
      </w:r>
    </w:p>
    <w:p>
      <w:pPr>
        <w:pStyle w:val="Fuente"/>
      </w:pPr>
      <w:r>
        <w:t xml:space="preserve">Clase 15 · 01:33:01–01:34:00 · Clase 16 · 01:06:16–01:13:40</w:t>
      </w:r>
    </w:p>
    <w:p>
      <w:pPr>
        <w:pStyle w:val="Heading3"/>
      </w:pPr>
      <w:bookmarkStart w:name="b_pregunta_d2_16_definir_proalimentacion" w:id="5676"/>
      <w:r>
        <w:t xml:space="preserve">4.16 · Definición corta</w:t>
      </w:r>
      <w:bookmarkEnd w:id="5676"/>
    </w:p>
    <w:p>
      <w:pPr>
        <w:pStyle w:val="Normal"/>
      </w:pPr>
      <w:r>
        <w:t xml:space="preserve">Defina la proalimentación, distíngala de la retroalimentación y explique sus dos tipos con un ejemplo de cada uno.</w:t>
      </w:r>
    </w:p>
    <w:p>
      <w:pPr>
        <w:pStyle w:val="Fuente"/>
      </w:pPr>
      <w:r>
        <w:t xml:space="preserve">Ordinal de la fuente: 16.</w:t>
      </w:r>
    </w:p>
    <w:p>
      <w:pPr>
        <w:pStyle w:val="Fuente"/>
      </w:pPr>
      <w:r>
        <w:t xml:space="preserve">Valor de práctica: 5 puntos.</w:t>
      </w:r>
    </w:p>
    <w:p>
      <w:pPr>
        <w:pStyle w:val="Heading3"/>
      </w:pPr>
      <w:bookmarkStart w:name="b_solucion_d2_16_definir_proalimentacion" w:id="5677"/>
      <w:r>
        <w:t xml:space="preserve">Solución 4.16</w:t>
      </w:r>
      <w:bookmarkEnd w:id="5677"/>
    </w:p>
    <w:p>
      <w:pPr>
        <w:pStyle w:val="RecuadroTitulo"/>
      </w:pPr>
      <w:r>
        <w:t xml:space="preserve">Respuesta modelo</w:t>
      </w:r>
    </w:p>
    <w:p>
      <w:pPr>
        <w:pStyle w:val="Normal"/>
      </w:pPr>
      <w:r>
        <w:t xml:space="preserve">La proalimentación se da cuando el efecto anticipado de un futuro que todavía no ha tenido lugar genera la causa del presente que, de no ser así, no se habría producido.</w:t>
      </w:r>
    </w:p>
    <w:p>
      <w:pPr>
        <w:pStyle w:val="Normal"/>
      </w:pPr>
      <w:r>
        <w:t xml:space="preserve">Se distingue de la retroalimentación por el sentido temporal de la causa. En la retroalimentación, lo que vuelve sobre el sistema es información de algo que ya ocurrió; en la proalimentación, lo que mueve la acción es la representación de algo que aún no ha ocurrido.</w:t>
      </w:r>
    </w:p>
    <w:p>
      <w:pPr>
        <w:pStyle w:val="Normal"/>
      </w:pPr>
      <w:r>
        <w:t xml:space="preserve">La proalimentación de compensación es aquella en que la predicción se cumple: el rumor de escasez de gasolina provoca compras anticipadas que desabastecen las gasolineras y confirman la escasez anunciada. La proalimentación de refuerzo es la profecía contraproducente: decirle a un atleta que va a perder puede afianzarlo en su determinación hasta hacerle ganar.</w:t>
      </w:r>
    </w:p>
    <w:p>
      <w:pPr>
        <w:pStyle w:val="Heading3"/>
      </w:pPr>
      <w:r>
        <w:t xml:space="preserve">Dé la definición</w:t>
      </w:r>
    </w:p>
    <w:p>
      <w:pPr>
        <w:pStyle w:val="Normal"/>
      </w:pPr>
      <w:r>
        <w:t xml:space="preserve">Ocurre cuando el efecto anticipado de un futuro que todavía no ha tenido lugar genera la causa del presente que, de no ser así, no se habría producido.</w:t>
      </w:r>
    </w:p>
    <w:p>
      <w:pPr>
        <w:pStyle w:val="Heading3"/>
      </w:pPr>
      <w:r>
        <w:t xml:space="preserve">Marque la diferencia con la retroalimentación</w:t>
      </w:r>
    </w:p>
    <w:p>
      <w:pPr>
        <w:pStyle w:val="Normal"/>
      </w:pPr>
      <w:r>
        <w:t xml:space="preserve">En la retroalimentación el efecto de lo ocurrido vuelve sobre su causa. En la proalimentación es la expectativa de lo que va a ocurrir la que mueve la acción.</w:t>
      </w:r>
    </w:p>
    <w:p>
      <w:pPr>
        <w:pStyle w:val="Heading3"/>
      </w:pPr>
      <w:r>
        <w:t xml:space="preserve">Separe los dos tipos por lo que le pasa a la predicción</w:t>
      </w:r>
    </w:p>
    <w:p>
      <w:pPr>
        <w:pStyle w:val="Normal"/>
      </w:pPr>
      <w:r>
        <w:t xml:space="preserve">Si la anticipación conduce al sistema al estado predicho, es de compensación. Si lo aparta de él, es de refuerzo y produce una profecía contraproducente.</w:t>
      </w:r>
    </w:p>
    <w:p>
      <w:pPr>
        <w:pStyle w:val="Heading3"/>
      </w:pPr>
      <w:r>
        <w:t xml:space="preserve">Criterios para una respuesta completa</w:t>
      </w:r>
    </w:p>
    <w:p>
      <w:pPr>
        <w:pStyle w:val="Normal"/>
        <w:numPr>
          <w:ilvl w:val="0"/>
          <w:numId w:val="2"/>
        </w:numPr>
      </w:pPr>
      <w:r>
        <w:t xml:space="preserve">Reproduce la definición en términos de efecto anticipado que genera la causa presente.</w:t>
      </w:r>
    </w:p>
    <w:p>
      <w:pPr>
        <w:pStyle w:val="Normal"/>
        <w:numPr>
          <w:ilvl w:val="0"/>
          <w:numId w:val="2"/>
        </w:numPr>
      </w:pPr>
      <w:r>
        <w:t xml:space="preserve">Distingue ambos conceptos por el sentido temporal, no por el tipo de ciclo.</w:t>
      </w:r>
    </w:p>
    <w:p>
      <w:pPr>
        <w:pStyle w:val="Normal"/>
        <w:numPr>
          <w:ilvl w:val="0"/>
          <w:numId w:val="2"/>
        </w:numPr>
      </w:pPr>
      <w:r>
        <w:t xml:space="preserve">Nombra los dos tipos correctamente y no los invierte.</w:t>
      </w:r>
    </w:p>
    <w:p>
      <w:pPr>
        <w:pStyle w:val="Normal"/>
        <w:numPr>
          <w:ilvl w:val="0"/>
          <w:numId w:val="2"/>
        </w:numPr>
      </w:pPr>
      <w:r>
        <w:t xml:space="preserve">Da un ejemplo de cada uno.</w:t>
      </w:r>
    </w:p>
    <w:p>
      <w:pPr>
        <w:pStyle w:val="Fuente"/>
      </w:pPr>
      <w:r>
        <w:t xml:space="preserve">Clase 16 · 00:49:47–01:01:30 · lámina 8</w:t>
      </w:r>
    </w:p>
    <w:p>
      <w:pPr>
        <w:pStyle w:val="Heading3"/>
      </w:pPr>
      <w:bookmarkStart w:name="b_pregunta_d2_17_definir_estructura" w:id="5678"/>
      <w:r>
        <w:t xml:space="preserve">4.17 · Definición corta</w:t>
      </w:r>
      <w:bookmarkEnd w:id="5678"/>
    </w:p>
    <w:p>
      <w:pPr>
        <w:pStyle w:val="Normal"/>
      </w:pPr>
      <w:r>
        <w:t xml:space="preserve">Enuncie el principio que relaciona la estructura de un sistema con su comportamiento y explique qué consecuencia tiene para la manera de abordar un problema.</w:t>
      </w:r>
    </w:p>
    <w:p>
      <w:pPr>
        <w:pStyle w:val="Fuente"/>
      </w:pPr>
      <w:r>
        <w:t xml:space="preserve">Ordinal de la fuente: 17.</w:t>
      </w:r>
    </w:p>
    <w:p>
      <w:pPr>
        <w:pStyle w:val="Fuente"/>
      </w:pPr>
      <w:r>
        <w:t xml:space="preserve">Valor de práctica: 5 puntos.</w:t>
      </w:r>
    </w:p>
    <w:p>
      <w:pPr>
        <w:pStyle w:val="Heading3"/>
      </w:pPr>
      <w:bookmarkStart w:name="b_solucion_d2_17_definir_estructura" w:id="5679"/>
      <w:r>
        <w:t xml:space="preserve">Solución 4.17</w:t>
      </w:r>
      <w:bookmarkEnd w:id="5679"/>
    </w:p>
    <w:p>
      <w:pPr>
        <w:pStyle w:val="RecuadroTitulo"/>
      </w:pPr>
      <w:r>
        <w:t xml:space="preserve">Respuesta modelo</w:t>
      </w:r>
    </w:p>
    <w:p>
      <w:pPr>
        <w:pStyle w:val="Normal"/>
      </w:pPr>
      <w:r>
        <w:t xml:space="preserve">El principio afirma que la estructura de un sistema —el conjunto de sus partes y de las relaciones que las organizan— genera el comportamiento que el sistema manifiesta. Ese comportamiento es su propiedad emergente: pertenece al conjunto y no a ninguna parte aislada.</w:t>
      </w:r>
    </w:p>
    <w:p>
      <w:pPr>
        <w:pStyle w:val="Normal"/>
      </w:pPr>
      <w:r>
        <w:t xml:space="preserve">Una formulación equivalente es que los sistemas están perfectamente diseñados para producir los resultados que obtienen. No es un elogio del diseño: es una constatación de que, si el resultado es indeseado, la estructura actual es exactamente la que lo produce.</w:t>
      </w:r>
    </w:p>
    <w:p>
      <w:pPr>
        <w:pStyle w:val="Normal"/>
      </w:pPr>
      <w:r>
        <w:t xml:space="preserve">La consecuencia práctica es que la pregunta cambia. En vez de buscar quién falló, se pregunta cómo se afectan las partes entre sí y cómo su organización e interacción crean el comportamiento que aparece. Buscar culpables presupone una cadena lineal con una última causa, y en una estructura circular cada variable es causa y efecto a la vez.</w:t>
      </w:r>
    </w:p>
    <w:p>
      <w:pPr>
        <w:pStyle w:val="Heading3"/>
      </w:pPr>
      <w:r>
        <w:t xml:space="preserve">Enuncie el principio</w:t>
      </w:r>
    </w:p>
    <w:p>
      <w:pPr>
        <w:pStyle w:val="Normal"/>
      </w:pPr>
      <w:r>
        <w:t xml:space="preserve">La estructura del sistema genera el comportamiento del sistema, y ese comportamiento es su propiedad emergente.</w:t>
      </w:r>
    </w:p>
    <w:p>
      <w:pPr>
        <w:pStyle w:val="Heading3"/>
      </w:pPr>
      <w:r>
        <w:t xml:space="preserve">Dé la formulación alternativa</w:t>
      </w:r>
    </w:p>
    <w:p>
      <w:pPr>
        <w:pStyle w:val="Normal"/>
      </w:pPr>
      <w:r>
        <w:t xml:space="preserve">«Los sistemas están perfectamente diseñados para producir los resultados que obtienen».</w:t>
      </w:r>
    </w:p>
    <w:p>
      <w:pPr>
        <w:pStyle w:val="Heading3"/>
      </w:pPr>
      <w:r>
        <w:t xml:space="preserve">Saque la consecuencia sobre la culpa</w:t>
      </w:r>
    </w:p>
    <w:p>
      <w:pPr>
        <w:pStyle w:val="Normal"/>
      </w:pPr>
      <w:r>
        <w:t xml:space="preserve">Si el resultado procede de la organización de las partes, buscar un responsable último supone una linealidad que el sistema no tiene.</w:t>
      </w:r>
    </w:p>
    <w:p>
      <w:pPr>
        <w:pStyle w:val="Heading3"/>
      </w:pPr>
      <w:r>
        <w:t xml:space="preserve">Criterios para una respuesta completa</w:t>
      </w:r>
    </w:p>
    <w:p>
      <w:pPr>
        <w:pStyle w:val="Normal"/>
        <w:numPr>
          <w:ilvl w:val="0"/>
          <w:numId w:val="2"/>
        </w:numPr>
      </w:pPr>
      <w:r>
        <w:t xml:space="preserve">Enuncia el principio y lo vincula con la emergencia.</w:t>
      </w:r>
    </w:p>
    <w:p>
      <w:pPr>
        <w:pStyle w:val="Normal"/>
        <w:numPr>
          <w:ilvl w:val="0"/>
          <w:numId w:val="2"/>
        </w:numPr>
      </w:pPr>
      <w:r>
        <w:t xml:space="preserve">Incluye la formulación sobre los resultados obtenidos.</w:t>
      </w:r>
    </w:p>
    <w:p>
      <w:pPr>
        <w:pStyle w:val="Normal"/>
        <w:numPr>
          <w:ilvl w:val="0"/>
          <w:numId w:val="2"/>
        </w:numPr>
      </w:pPr>
      <w:r>
        <w:t xml:space="preserve">Explica por qué buscar culpables es una estrategia lineal.</w:t>
      </w:r>
    </w:p>
    <w:p>
      <w:pPr>
        <w:pStyle w:val="Normal"/>
        <w:numPr>
          <w:ilvl w:val="0"/>
          <w:numId w:val="2"/>
        </w:numPr>
      </w:pPr>
      <w:r>
        <w:t xml:space="preserve">Propone las preguntas que la sustituyen.</w:t>
      </w:r>
    </w:p>
    <w:p>
      <w:pPr>
        <w:pStyle w:val="Fuente"/>
      </w:pPr>
      <w:r>
        <w:t xml:space="preserve">Clase 15 · 00:29:44–00:35:23 y 00:54:16–00:58:20</w:t>
      </w:r>
    </w:p>
    <w:p>
      <w:pPr>
        <w:pStyle w:val="Heading3"/>
      </w:pPr>
      <w:bookmarkStart w:name="b_pregunta_d2_18_interpretar_patrones" w:id="5680"/>
      <w:r>
        <w:t xml:space="preserve">4.18 · De la estructura al patrón</w:t>
      </w:r>
      <w:bookmarkEnd w:id="5680"/>
    </w:p>
    <w:p>
      <w:pPr>
        <w:pStyle w:val="Normal"/>
      </w:pPr>
      <w:r>
        <w:t xml:space="preserve">Un compañero le entrega tres modelos: uno con un único ciclo de balance, otro con un único ciclo de refuerzo y un tercero con un ciclo de refuerzo acoplado a uno de balance. Sin más información, ¿qué gráfico de comportamiento a lo largo del tiempo cabe esperar de cada uno? Justifique.</w:t>
      </w:r>
    </w:p>
    <w:p>
      <w:pPr>
        <w:pStyle w:val="Fuente"/>
      </w:pPr>
      <w:r>
        <w:t xml:space="preserve">Ordinal de la fuente: 18.</w:t>
      </w:r>
    </w:p>
    <w:p>
      <w:pPr>
        <w:pStyle w:val="Fuente"/>
      </w:pPr>
      <w:r>
        <w:t xml:space="preserve">Valor de práctica: 7 puntos.</w:t>
      </w:r>
    </w:p>
    <w:p>
      <w:pPr>
        <w:pStyle w:val="Heading3"/>
      </w:pPr>
      <w:bookmarkStart w:name="b_solucion_d2_18_interpretar_patrones" w:id="5681"/>
      <w:r>
        <w:t xml:space="preserve">Solución 4.18</w:t>
      </w:r>
      <w:bookmarkEnd w:id="5681"/>
    </w:p>
    <w:p>
      <w:pPr>
        <w:pStyle w:val="RecuadroTitulo"/>
      </w:pPr>
      <w:r>
        <w:t xml:space="preserve">Respuesta modelo</w:t>
      </w:r>
    </w:p>
    <w:p>
      <w:pPr>
        <w:pStyle w:val="Normal"/>
      </w:pPr>
      <w:r>
        <w:t xml:space="preserve">Sin más información no se deduce una curva única de ninguna de las tres estructuras. La polaridad describe el retorno cualitativo de una perturbación, pero faltan ecuaciones, parámetros, retardos y condiciones iniciales.</w:t>
      </w:r>
    </w:p>
    <w:p>
      <w:pPr>
        <w:pStyle w:val="Normal"/>
      </w:pPr>
      <w:r>
        <w:t xml:space="preserve">Como ejemplos condicionados, un R aislado con tasa proporcional constante y sin restricciones puede crecer exponencialmente; un B estable con meta fija, corrección proporcional y sin demora puede acercarse a la meta de forma exponencial.</w:t>
      </w:r>
    </w:p>
    <w:p>
      <w:pPr>
        <w:pStyle w:val="Normal"/>
      </w:pPr>
      <w:r>
        <w:t xml:space="preserve">B con retardo puede oscilar; R+B puede generar crecimiento logístico, oscilaciones u otras formas según el modelo. La analogía de oferta/demanda no demuestra por sí misma oscilación.</w:t>
      </w:r>
    </w:p>
    <w:p>
      <w:pPr>
        <w:pStyle w:val="Normal"/>
      </w:pPr>
      <w:r>
        <w:t xml:space="preserve">En los gráficos de comportamiento el tiempo va en el eje horizontal y la variable observada en el vertical.</w:t>
      </w:r>
    </w:p>
    <w:p>
      <w:pPr>
        <w:pStyle w:val="Heading3"/>
      </w:pPr>
      <w:r>
        <w:t xml:space="preserve">Recuerde qué hace cada tipo de ciclo</w:t>
      </w:r>
    </w:p>
    <w:p>
      <w:pPr>
        <w:pStyle w:val="Normal"/>
      </w:pPr>
      <w:r>
        <w:t xml:space="preserve">El de balance busca un objetivo; el de refuerzo amplifica el cambio inicial sin freno interno.</w:t>
      </w:r>
    </w:p>
    <w:p>
      <w:pPr>
        <w:pStyle w:val="Heading3"/>
      </w:pPr>
      <w:r>
        <w:t xml:space="preserve">Traduzca cada comportamiento a una curva</w:t>
      </w:r>
    </w:p>
    <w:p>
      <w:pPr>
        <w:pStyle w:val="Normal"/>
      </w:pPr>
      <w:r>
        <w:t xml:space="preserve">Esas curvas requieren supuestos: tasa proporcional constante para R; meta fija y corrección proporcional estable sin retardo para B. La letra sola no determina la curva.</w:t>
      </w:r>
    </w:p>
    <w:p>
      <w:pPr>
        <w:pStyle w:val="Heading3"/>
      </w:pPr>
      <w:r>
        <w:t xml:space="preserve">Piense qué ocurre al acoplarlos</w:t>
      </w:r>
    </w:p>
    <w:p>
      <w:pPr>
        <w:pStyle w:val="Normal"/>
      </w:pPr>
      <w:r>
        <w:t xml:space="preserve">R+B puede generar crecimiento logístico u otros patrones según ecuaciones y parámetros; B con demora también puede oscilar. No hay correspondencia única.</w:t>
      </w:r>
    </w:p>
    <w:p>
      <w:pPr>
        <w:pStyle w:val="Heading3"/>
      </w:pPr>
      <w:r>
        <w:t xml:space="preserve">Fije los ejes</w:t>
      </w:r>
    </w:p>
    <w:p>
      <w:pPr>
        <w:pStyle w:val="Normal"/>
      </w:pPr>
      <w:r>
        <w:t xml:space="preserve">En cualquiera de los tres casos, el tiempo va en el eje horizontal y la variable observada en el vertical.</w:t>
      </w:r>
    </w:p>
    <w:p>
      <w:pPr>
        <w:pStyle w:val="Heading3"/>
      </w:pPr>
      <w:r>
        <w:t xml:space="preserve">Criterios para una respuesta completa</w:t>
      </w:r>
    </w:p>
    <w:p>
      <w:pPr>
        <w:pStyle w:val="Normal"/>
        <w:numPr>
          <w:ilvl w:val="0"/>
          <w:numId w:val="2"/>
        </w:numPr>
      </w:pPr>
      <w:r>
        <w:t xml:space="preserve">Reconoce que la polaridad por sí sola no fija una curva única.</w:t>
      </w:r>
    </w:p>
    <w:p>
      <w:pPr>
        <w:pStyle w:val="Normal"/>
        <w:numPr>
          <w:ilvl w:val="0"/>
          <w:numId w:val="2"/>
        </w:numPr>
      </w:pPr>
      <w:r>
        <w:t xml:space="preserve">Explicita supuestos cuando propone curvas elementales.</w:t>
      </w:r>
    </w:p>
    <w:p>
      <w:pPr>
        <w:pStyle w:val="Normal"/>
        <w:numPr>
          <w:ilvl w:val="0"/>
          <w:numId w:val="2"/>
        </w:numPr>
      </w:pPr>
      <w:r>
        <w:t xml:space="preserve">Distingue posibles patrones de R+B y de B con demora, sin imponer una oscilación universal.</w:t>
      </w:r>
    </w:p>
    <w:p>
      <w:pPr>
        <w:pStyle w:val="Normal"/>
        <w:numPr>
          <w:ilvl w:val="0"/>
          <w:numId w:val="2"/>
        </w:numPr>
      </w:pPr>
      <w:r>
        <w:t xml:space="preserve">Menciona la convención de los ejes.</w:t>
      </w:r>
    </w:p>
    <w:p>
      <w:pPr>
        <w:pStyle w:val="Fuente"/>
      </w:pPr>
      <w:r>
        <w:t xml:space="preserve">Clase 16 · 01:36:18–01:40:29 · láminas 17, 19, 20 y 21</w:t>
      </w:r>
    </w:p>
    <w:p>
      <w:pPr>
        <w:pStyle w:val="Heading3"/>
      </w:pPr>
      <w:bookmarkStart w:name="b_pregunta_d2_19_diagramar_planta" w:id="5682"/>
      <w:r>
        <w:t xml:space="preserve">4.19 · Diagramar una historia · ciclo de vida</w:t>
      </w:r>
      <w:bookmarkEnd w:id="5682"/>
    </w:p>
    <w:p>
      <w:pPr>
        <w:pStyle w:val="Normal"/>
      </w:pPr>
      <w:r>
        <w:t xml:space="preserve">Describa con un diagrama el ciclo de vida de una planta a partir de estos elementos: las semillas, las raíces, el tallo y las ramas, las hojas y las flores, y el fruto. Explique por qué el resultado no es una secuencia sino un ciclo.</w:t>
      </w:r>
    </w:p>
    <w:p>
      <w:pPr>
        <w:pStyle w:val="Fuente"/>
      </w:pPr>
      <w:r>
        <w:t xml:space="preserve">Ordinal de la fuente: 19.</w:t>
      </w:r>
    </w:p>
    <w:p>
      <w:pPr>
        <w:pStyle w:val="Fuente"/>
      </w:pPr>
      <w:r>
        <w:t xml:space="preserve">Valor de práctica: 6 puntos.</w:t>
      </w:r>
    </w:p>
    <w:p>
      <w:pPr>
        <w:pStyle w:val="Heading3"/>
      </w:pPr>
      <w:bookmarkStart w:name="b_solucion_d2_19_diagramar_planta" w:id="5683"/>
      <w:r>
        <w:t xml:space="preserve">Solución 4.19</w:t>
      </w:r>
      <w:bookmarkEnd w:id="5683"/>
    </w:p>
    <w:p>
      <w:pPr>
        <w:pStyle w:val="RecuadroTitulo"/>
      </w:pPr>
      <w:r>
        <w:t xml:space="preserve">Respuesta modelo</w:t>
      </w:r>
    </w:p>
    <w:p>
      <w:pPr>
        <w:pStyle w:val="Normal"/>
      </w:pPr>
      <w:r>
        <w:t xml:space="preserve">El diagrama encadena: las semillas producen las raíces, las raíces el tallo y las ramas, de ahí salen las hojas y las flores, las flores dan el fruto y el fruto vuelve a producir semillas.</w:t>
      </w:r>
    </w:p>
    <w:p>
      <w:pPr>
        <w:pStyle w:val="Normal"/>
      </w:pPr>
      <w:r>
        <w:t xml:space="preserve">No es una secuencia porque la cadena regresa sobre su punto de partida. Mientras las flechas sólo avanzan, lo que se describe es un proceso con principio y fin; en cuanto una de ellas vuelve a un elemento anterior, aparece la circularidad.</w:t>
      </w:r>
    </w:p>
    <w:p>
      <w:pPr>
        <w:pStyle w:val="Normal"/>
      </w:pPr>
      <w:r>
        <w:t xml:space="preserve">Desde la perspectiva más general, ese retorno describe un ciclo de vida: un comportamiento repetitivo a lo largo del tiempo. Fue el primer diagrama de ciclos causales que construyó el curso, y se hizo preguntando al grupo hacia dónde apuntaba cada flecha.</w:t>
      </w:r>
    </w:p>
    <w:p>
      <w:pPr>
        <w:pStyle w:val="Heading3"/>
      </w:pPr>
      <w:r>
        <w:t xml:space="preserve">Encadene los elementos por lo que produce cada uno</w:t>
      </w:r>
    </w:p>
    <w:p>
      <w:pPr>
        <w:pStyle w:val="Normal"/>
      </w:pPr>
      <w:r>
        <w:t xml:space="preserve">La semilla germina raíces, las raíces sostienen el tallo y las ramas, de ahí salen hojas y flores, y las flores dan fruto.</w:t>
      </w:r>
    </w:p>
    <w:p>
      <w:pPr>
        <w:pStyle w:val="Heading3"/>
      </w:pPr>
      <w:r>
        <w:t xml:space="preserve">Busque el retorno</w:t>
      </w:r>
    </w:p>
    <w:p>
      <w:pPr>
        <w:pStyle w:val="Normal"/>
      </w:pPr>
      <w:r>
        <w:t xml:space="preserve">El fruto produce semillas, y ahí la cadena vuelve sobre su punto de partida.</w:t>
      </w:r>
    </w:p>
    <w:p>
      <w:pPr>
        <w:pStyle w:val="Heading3"/>
      </w:pPr>
      <w:r>
        <w:t xml:space="preserve">Nombre lo que aparece al cerrarse</w:t>
      </w:r>
    </w:p>
    <w:p>
      <w:pPr>
        <w:pStyle w:val="Normal"/>
      </w:pPr>
      <w:r>
        <w:t xml:space="preserve">Lo que parecía una secuencia lineal resulta un comportamiento circular que se repite en el tiempo: un ciclo de vida.</w:t>
      </w:r>
    </w:p>
    <w:p>
      <w:pPr>
        <w:keepNext/>
        <w:spacing w:after="40" w:before="150"/>
        <w:jc w:val="center"/>
      </w:pPr>
      <w:bookmarkStart w:name="b_figura_original_d2_19_diagram_891cba36" w:id="5684"/>
      <w:bookmarkEnd w:id="5684"/>
      <w:r>
        <w:drawing>
          <wp:inline distT="0" distB="0" distL="0" distR="0">
            <wp:extent cx="5381625" cy="3362325"/>
            <wp:effectExtent t="0" r="0" b="0" l="0"/>
            <wp:docPr id="250" name="d2-19-diagramar-planta-modelo" descr="Clase 12 · 00:53:28–01:08:23 · láminas 4 y 5" title="Diagramar una historia · ciclo de vi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14" cstate="none"/>
                    <a:srcRect/>
                    <a:stretch>
                      <a:fillRect/>
                    </a:stretch>
                  </pic:blipFill>
                  <pic:spPr bwMode="auto">
                    <a:xfrm>
                      <a:off x="0" y="0"/>
                      <a:ext cx="5381625" cy="3362325"/>
                    </a:xfrm>
                    <a:prstGeom prst="rect">
                      <a:avLst/>
                    </a:prstGeom>
                  </pic:spPr>
                </pic:pic>
              </a:graphicData>
            </a:graphic>
          </wp:inline>
        </w:drawing>
      </w:r>
    </w:p>
    <w:p>
      <w:pPr>
        <w:pStyle w:val="PieFigura"/>
        <w:keepNext/>
      </w:pPr>
      <w:bookmarkStart w:name="b_fig_V4_17" w:id="5685"/>
      <w:r>
        <w:t xml:space="preserve">Figura V4.</w:t>
      </w:r>
      <w:fldSimple w:instr="SEQ Figura \n \* ARABIC">
        <w:r>
          <w:t xml:space="preserve">17</w:t>
        </w:r>
      </w:fldSimple>
      <w:r>
        <w:t xml:space="preserve"> · Diagramar una historia · ciclo de vida</w:t>
      </w:r>
      <w:bookmarkEnd w:id="5685"/>
    </w:p>
    <w:p>
      <w:pPr>
        <w:pStyle w:val="LecturaFigura"/>
        <w:keepNext/>
      </w:pPr>
      <w:r>
        <w:rPr>
          <w:b/>
          <w:bCs/>
        </w:rPr>
        <w:t xml:space="preserve">Lectura del diagrama: </w:t>
      </w:r>
      <w:r>
        <w:t xml:space="preserve">5 relaciones (+) y 0 relaciones (−) · 0 negativas · número par ⇒ ciclo de refuerzo (R). Lo que parecía una secuencia con principio y fin resulta un ciclo: el fruto vuelve a producir semillas. Entre la semilla y las raíces hay una demora que el profesor señaló de pasada al construirlo.</w:t>
      </w:r>
    </w:p>
    <w:p>
      <w:pPr>
        <w:pStyle w:val="Fuente"/>
      </w:pPr>
      <w:r>
        <w:t xml:space="preserve">Clase 12 · 00:53:28–01:08:23 · láminas 4 y 5</w:t>
      </w:r>
    </w:p>
    <w:p>
      <w:pPr>
        <w:pStyle w:val="Heading3"/>
      </w:pPr>
      <w:r>
        <w:t xml:space="preserve">Criterios para una respuesta completa</w:t>
      </w:r>
    </w:p>
    <w:p>
      <w:pPr>
        <w:pStyle w:val="Normal"/>
        <w:numPr>
          <w:ilvl w:val="0"/>
          <w:numId w:val="2"/>
        </w:numPr>
      </w:pPr>
      <w:r>
        <w:t xml:space="preserve">Encadena los cinco elementos en el orden correcto.</w:t>
      </w:r>
    </w:p>
    <w:p>
      <w:pPr>
        <w:pStyle w:val="Normal"/>
        <w:numPr>
          <w:ilvl w:val="0"/>
          <w:numId w:val="2"/>
        </w:numPr>
      </w:pPr>
      <w:r>
        <w:t xml:space="preserve">Cierra el lazo del fruto a las semillas.</w:t>
      </w:r>
    </w:p>
    <w:p>
      <w:pPr>
        <w:pStyle w:val="Normal"/>
        <w:numPr>
          <w:ilvl w:val="0"/>
          <w:numId w:val="2"/>
        </w:numPr>
      </w:pPr>
      <w:r>
        <w:t xml:space="preserve">Explica la diferencia entre secuencia y ciclo por la existencia del retorno.</w:t>
      </w:r>
    </w:p>
    <w:p>
      <w:pPr>
        <w:pStyle w:val="Fuente"/>
      </w:pPr>
      <w:r>
        <w:t xml:space="preserve">Clase 12 · 00:53:28–01:08:23 · láminas 4 y 5</w:t>
      </w:r>
    </w:p>
    <w:p>
      <w:pPr>
        <w:pStyle w:val="Heading3"/>
      </w:pPr>
      <w:bookmarkStart w:name="b_pregunta_d2_20_interpretar_errores" w:id="5686"/>
      <w:r>
        <w:t xml:space="preserve">4.20 · Corregir un diagrama ajeno</w:t>
      </w:r>
      <w:bookmarkEnd w:id="5686"/>
    </w:p>
    <w:p>
      <w:pPr>
        <w:pStyle w:val="Normal"/>
      </w:pPr>
      <w:r>
        <w:t xml:space="preserve">Un compañero entrega un diagrama en el que: las flechas no tienen cabeza, ninguna relación lleva signo, hay un conjunto de flechas que salen de una variable sin volver a ella, y no hay nada escrito en el centro de los lazos. Enumere los errores, explique qué hace mal cada uno y diga con qué criterio se juzga si un diagrama está bien.</w:t>
      </w:r>
    </w:p>
    <w:p>
      <w:pPr>
        <w:pStyle w:val="Fuente"/>
      </w:pPr>
      <w:r>
        <w:t xml:space="preserve">Ordinal de la fuente: 20.</w:t>
      </w:r>
    </w:p>
    <w:p>
      <w:pPr>
        <w:pStyle w:val="Fuente"/>
      </w:pPr>
      <w:r>
        <w:t xml:space="preserve">Valor de práctica: 8 puntos.</w:t>
      </w:r>
    </w:p>
    <w:p>
      <w:pPr>
        <w:pStyle w:val="Heading3"/>
      </w:pPr>
      <w:bookmarkStart w:name="b_solucion_d2_20_interpretar_errores" w:id="5687"/>
      <w:r>
        <w:t xml:space="preserve">Solución 4.20</w:t>
      </w:r>
      <w:bookmarkEnd w:id="5687"/>
    </w:p>
    <w:p>
      <w:pPr>
        <w:pStyle w:val="RecuadroTitulo"/>
      </w:pPr>
      <w:r>
        <w:t xml:space="preserve">Respuesta modelo</w:t>
      </w:r>
    </w:p>
    <w:p>
      <w:pPr>
        <w:pStyle w:val="Normal"/>
      </w:pPr>
      <w:r>
        <w:t xml:space="preserve">Los errores son cuatro. Las flechas sin cabeza dejan indeterminado qué es causa y qué efecto, y sin eso el diagrama no declara la dirección causal, aunque las líneas sí afirman relaciones. La ausencia de polaridad impide saber en qué sentido cambia cada efecto y hace imposible clasificar los ciclos. El conjunto de flechas que sale de una variable y no vuelve no es un ciclo, porque no está cerrado. Y la falta de identificador en el centro deja sin declarar el tipo de comportamiento de cada bucle.</w:t>
      </w:r>
    </w:p>
    <w:p>
      <w:pPr>
        <w:pStyle w:val="Normal"/>
      </w:pPr>
      <w:r>
        <w:t xml:space="preserve">El criterio para juzgar el diagrama no es compararlo con un modelo ideal, porque no existe un diagrama único correcto: dos modeladores pueden representar el mismo sistema de maneras distintas y ambas ser defendibles.</w:t>
      </w:r>
    </w:p>
    <w:p>
      <w:pPr>
        <w:pStyle w:val="Normal"/>
      </w:pPr>
      <w:r>
        <w:t xml:space="preserve">El criterio es leer el diagrama: si al recorrer sus flechas, sus signos y sus identificadores sale la historia que se pedía modelar, el diagrama funciona. Si sale otra historia, o si la sintaxis no permite leer ninguna, está mal.</w:t>
      </w:r>
    </w:p>
    <w:p>
      <w:pPr>
        <w:pStyle w:val="Heading3"/>
      </w:pPr>
      <w:r>
        <w:t xml:space="preserve">Empiece por lo que impide leer el diagrama</w:t>
      </w:r>
    </w:p>
    <w:p>
      <w:pPr>
        <w:pStyle w:val="Normal"/>
      </w:pPr>
      <w:r>
        <w:t xml:space="preserve">Sin cabeza de flecha no se sabe cuál de las dos variables es la causa: la cola es la causa y la punta el efecto.</w:t>
      </w:r>
    </w:p>
    <w:p>
      <w:pPr>
        <w:pStyle w:val="Heading3"/>
      </w:pPr>
      <w:r>
        <w:t xml:space="preserve">Siga por lo que impide clasificarlo</w:t>
      </w:r>
    </w:p>
    <w:p>
      <w:pPr>
        <w:pStyle w:val="Normal"/>
      </w:pPr>
      <w:r>
        <w:t xml:space="preserve">Sin polaridad no se puede contar negativas ni decir en qué sentido cambia el efecto.</w:t>
      </w:r>
    </w:p>
    <w:p>
      <w:pPr>
        <w:pStyle w:val="Heading3"/>
      </w:pPr>
      <w:r>
        <w:t xml:space="preserve">Revise si los lazos se cierran</w:t>
      </w:r>
    </w:p>
    <w:p>
      <w:pPr>
        <w:pStyle w:val="Normal"/>
      </w:pPr>
      <w:r>
        <w:t xml:space="preserve">Un abanico de flechas que sale de una variable y no vuelve no es un ciclo: es una cadena con varias ramas.</w:t>
      </w:r>
    </w:p>
    <w:p>
      <w:pPr>
        <w:pStyle w:val="Heading3"/>
      </w:pPr>
      <w:r>
        <w:t xml:space="preserve">Compruebe el identificador</w:t>
      </w:r>
    </w:p>
    <w:p>
      <w:pPr>
        <w:pStyle w:val="Normal"/>
      </w:pPr>
      <w:r>
        <w:t xml:space="preserve">Cada ciclo debe declarar su tipo en el centro: una B o una balanza, una R o una bola de nieve.</w:t>
      </w:r>
    </w:p>
    <w:p>
      <w:pPr>
        <w:pStyle w:val="Heading3"/>
      </w:pPr>
      <w:r>
        <w:t xml:space="preserve">Criterios para una respuesta completa</w:t>
      </w:r>
    </w:p>
    <w:p>
      <w:pPr>
        <w:pStyle w:val="Normal"/>
        <w:numPr>
          <w:ilvl w:val="0"/>
          <w:numId w:val="2"/>
        </w:numPr>
      </w:pPr>
      <w:r>
        <w:t xml:space="preserve">Identifica los cuatro errores y explica qué imposibilita cada uno.</w:t>
      </w:r>
    </w:p>
    <w:p>
      <w:pPr>
        <w:pStyle w:val="Normal"/>
        <w:numPr>
          <w:ilvl w:val="0"/>
          <w:numId w:val="2"/>
        </w:numPr>
      </w:pPr>
      <w:r>
        <w:t xml:space="preserve">No cuenta como error la forma de la figura que encierra la variable.</w:t>
      </w:r>
    </w:p>
    <w:p>
      <w:pPr>
        <w:pStyle w:val="Normal"/>
        <w:numPr>
          <w:ilvl w:val="0"/>
          <w:numId w:val="2"/>
        </w:numPr>
      </w:pPr>
      <w:r>
        <w:t xml:space="preserve">Enuncia el criterio de corrección como correspondencia entre la lectura del diagrama y el planteamiento.</w:t>
      </w:r>
    </w:p>
    <w:p>
      <w:pPr>
        <w:pStyle w:val="Normal"/>
        <w:numPr>
          <w:ilvl w:val="0"/>
          <w:numId w:val="2"/>
        </w:numPr>
      </w:pPr>
      <w:r>
        <w:t xml:space="preserve">Reconoce que no hay un único diagrama correcto.</w:t>
      </w:r>
    </w:p>
    <w:p>
      <w:pPr>
        <w:pStyle w:val="Fuente"/>
      </w:pPr>
      <w:r>
        <w:t xml:space="preserve">Clase 16 · 01:13:41–01:35:03</w:t>
      </w:r>
    </w:p>
    <w:p>
      <w:pPr>
        <w:pStyle w:val="Heading3"/>
      </w:pPr>
      <w:bookmarkStart w:name="b_pregunta_d2_21_definir_mapa_vs_dcc" w:id="5688"/>
      <w:r>
        <w:t xml:space="preserve">4.21 · Definición corta</w:t>
      </w:r>
      <w:bookmarkEnd w:id="5688"/>
    </w:p>
    <w:p>
      <w:pPr>
        <w:pStyle w:val="Normal"/>
      </w:pPr>
      <w:r>
        <w:t xml:space="preserve">Distinga un mapa DSRP de un diagrama de ciclos causales: qué expresa cada uno, qué simbología usa y para qué sirve mejor.</w:t>
      </w:r>
    </w:p>
    <w:p>
      <w:pPr>
        <w:pStyle w:val="Fuente"/>
      </w:pPr>
      <w:r>
        <w:t xml:space="preserve">Ordinal de la fuente: 21.</w:t>
      </w:r>
    </w:p>
    <w:p>
      <w:pPr>
        <w:pStyle w:val="Fuente"/>
      </w:pPr>
      <w:r>
        <w:t xml:space="preserve">Valor de práctica: 5 puntos.</w:t>
      </w:r>
    </w:p>
    <w:p>
      <w:pPr>
        <w:pStyle w:val="Heading3"/>
      </w:pPr>
      <w:bookmarkStart w:name="b_solucion_d2_21_definir_mapa_vs_dcc" w:id="5689"/>
      <w:r>
        <w:t xml:space="preserve">Solución 4.21</w:t>
      </w:r>
      <w:bookmarkEnd w:id="5689"/>
    </w:p>
    <w:p>
      <w:pPr>
        <w:pStyle w:val="RecuadroTitulo"/>
      </w:pPr>
      <w:r>
        <w:t xml:space="preserve">Respuesta modelo</w:t>
      </w:r>
    </w:p>
    <w:p>
      <w:pPr>
        <w:pStyle w:val="Normal"/>
      </w:pPr>
      <w:r>
        <w:t xml:space="preserve">El mapa DSRP es el más amplio: expresa las cuatro operaciones del pensamiento sistémico, de modo que puede mostrar a la vez qué se distingue, cómo se organiza en todos y partes, qué se relaciona con qué y desde qué perspectivas se mira.</w:t>
      </w:r>
    </w:p>
    <w:p>
      <w:pPr>
        <w:pStyle w:val="Normal"/>
      </w:pPr>
      <w:r>
        <w:t xml:space="preserve">El diagrama de ciclos causales renuncia a casi toda esa simbología. Usa distinciones —el nombre de cada variable— y flechas con polaridad, más el identificador del ciclo y, si hace falta, la marca de demora. No tiene contención ni perspectivas explícitas.</w:t>
      </w:r>
    </w:p>
    <w:p>
      <w:pPr>
        <w:pStyle w:val="Normal"/>
      </w:pPr>
      <w:r>
        <w:t xml:space="preserve">Esa renuncia es deliberada y es lo que lo hace útil: al concentrar el énfasis en las relaciones, el diagrama causal permite estudiar las estructuras dinámicas a lo largo del tiempo, que es lo que el mapa DSRP no muestra. El DSRP sirve mejor para describir cómo está organizado un sistema; el causal, para entender cómo se comporta.</w:t>
      </w:r>
    </w:p>
    <w:p>
      <w:pPr>
        <w:pStyle w:val="Heading3"/>
      </w:pPr>
      <w:r>
        <w:t xml:space="preserve">Diga qué expresa cada uno</w:t>
      </w:r>
    </w:p>
    <w:p>
      <w:pPr>
        <w:pStyle w:val="Normal"/>
      </w:pPr>
      <w:r>
        <w:t xml:space="preserve">El mapa DSRP expresa las cuatro operaciones del pensamiento sistémico; el diagrama causal concentra el énfasis en las relaciones.</w:t>
      </w:r>
    </w:p>
    <w:p>
      <w:pPr>
        <w:pStyle w:val="Heading3"/>
      </w:pPr>
      <w:r>
        <w:t xml:space="preserve">Compare la simbología</w:t>
      </w:r>
    </w:p>
    <w:p>
      <w:pPr>
        <w:pStyle w:val="Normal"/>
      </w:pPr>
      <w:r>
        <w:t xml:space="preserve">El DSRP dispone de contención para el todo y las partes y del par ojo-punto para las perspectivas; el causal usa distinciones, flechas con polaridad, identificadores de ciclo y marcas de demora.</w:t>
      </w:r>
    </w:p>
    <w:p>
      <w:pPr>
        <w:pStyle w:val="Heading3"/>
      </w:pPr>
      <w:r>
        <w:t xml:space="preserve">Diga para qué sirve mejor cada uno</w:t>
      </w:r>
    </w:p>
    <w:p>
      <w:pPr>
        <w:pStyle w:val="Normal"/>
      </w:pPr>
      <w:r>
        <w:t xml:space="preserve">El DSRP para describir la estructura de un sistema y sus perspectivas; el causal para estudiar la dinámica a lo largo del tiempo.</w:t>
      </w:r>
    </w:p>
    <w:p>
      <w:pPr>
        <w:pStyle w:val="Heading3"/>
      </w:pPr>
      <w:r>
        <w:t xml:space="preserve">Criterios para una respuesta completa</w:t>
      </w:r>
    </w:p>
    <w:p>
      <w:pPr>
        <w:pStyle w:val="Normal"/>
        <w:numPr>
          <w:ilvl w:val="0"/>
          <w:numId w:val="2"/>
        </w:numPr>
      </w:pPr>
      <w:r>
        <w:t xml:space="preserve">Distingue el alcance de cada notación.</w:t>
      </w:r>
    </w:p>
    <w:p>
      <w:pPr>
        <w:pStyle w:val="Normal"/>
        <w:numPr>
          <w:ilvl w:val="0"/>
          <w:numId w:val="2"/>
        </w:numPr>
      </w:pPr>
      <w:r>
        <w:t xml:space="preserve">Enumera al menos dos marcas exclusivas de cada una.</w:t>
      </w:r>
    </w:p>
    <w:p>
      <w:pPr>
        <w:pStyle w:val="Normal"/>
        <w:numPr>
          <w:ilvl w:val="0"/>
          <w:numId w:val="2"/>
        </w:numPr>
      </w:pPr>
      <w:r>
        <w:t xml:space="preserve">Relaciona la diferencia de simbología con la diferencia de uso.</w:t>
      </w:r>
    </w:p>
    <w:p>
      <w:pPr>
        <w:pStyle w:val="Fuente"/>
      </w:pPr>
      <w:r>
        <w:t xml:space="preserve">Clase 14 · 00:53:30–00:55:10 · lámina 9</w:t>
      </w:r>
    </w:p>
    <w:p>
      <w:pPr>
        <w:pStyle w:val="Heading3"/>
      </w:pPr>
      <w:bookmarkStart w:name="b_pregunta_d2_22_interpretar_conteo" w:id="5690"/>
      <w:r>
        <w:t xml:space="preserve">4.22 · Contar y nombrar ciclos</w:t>
      </w:r>
      <w:bookmarkEnd w:id="5690"/>
    </w:p>
    <w:p>
      <w:pPr>
        <w:pStyle w:val="Normal"/>
      </w:pPr>
      <w:r>
        <w:t xml:space="preserve">En el ejercicio de clase sobre oferta de energía, desarrollo, demanda de energía, pobreza y condiciones ambientales se identificaron seis ciclos. Explique el procedimiento para encontrarlos y nombrarlos, y diga por qué los tres que pasan por condiciones ambientales resultaron de balance.</w:t>
      </w:r>
    </w:p>
    <w:p>
      <w:pPr>
        <w:pStyle w:val="Fuente"/>
      </w:pPr>
      <w:r>
        <w:t xml:space="preserve">Ordinal de la fuente: 22.</w:t>
      </w:r>
    </w:p>
    <w:p>
      <w:pPr>
        <w:pStyle w:val="Fuente"/>
      </w:pPr>
      <w:r>
        <w:t xml:space="preserve">Valor de práctica: 8 puntos.</w:t>
      </w:r>
    </w:p>
    <w:p>
      <w:pPr>
        <w:pStyle w:val="Heading3"/>
      </w:pPr>
      <w:bookmarkStart w:name="b_solucion_d2_22_interpretar_conteo" w:id="5691"/>
      <w:r>
        <w:t xml:space="preserve">Solución 4.22</w:t>
      </w:r>
      <w:bookmarkEnd w:id="5691"/>
    </w:p>
    <w:p>
      <w:pPr>
        <w:pStyle w:val="RecuadroTitulo"/>
      </w:pPr>
      <w:r>
        <w:t xml:space="preserve">Respuesta modelo</w:t>
      </w:r>
    </w:p>
    <w:p>
      <w:pPr>
        <w:pStyle w:val="Normal"/>
      </w:pPr>
      <w:r>
        <w:t xml:space="preserve">El procedimiento es elegir una variable de partida y recorrer las flechas hasta volver a ella, anotando cada ruta distinta. Como todo ciclo regresa a su origen, basta con partir siempre de la misma variable para no perder ninguna. Cada ciclo se nombra enumerando las variables que atraviesa, por ejemplo OE–CA–D–P–OE.</w:t>
      </w:r>
    </w:p>
    <w:p>
      <w:pPr>
        <w:pStyle w:val="Normal"/>
      </w:pPr>
      <w:r>
        <w:t xml:space="preserve">Los seis recorridos son OE–CA–D–P–OE, OE–D–P–OE, OE–D–DE–OE, OE–D–DE–P–OE, OE–CA–D–DE–OE y OE–CA–D–DE–P–OE. Cada uno se clasifica por separado contando sus propias relaciones negativas.</w:t>
      </w:r>
    </w:p>
    <w:p>
      <w:pPr>
        <w:pStyle w:val="Normal"/>
      </w:pPr>
      <w:r>
        <w:t xml:space="preserve">Los tres que pasan por condiciones ambientales resultan de balance porque incorporan la relación negativa que va de la oferta de energía a las condiciones ambientales sin que otra negativa la compense, de modo que el número de negativas del recorrido queda impar. En los otros tres, las negativas se anulan de dos en dos y el efecto global es de refuerzo.</w:t>
      </w:r>
    </w:p>
    <w:p>
      <w:pPr>
        <w:pStyle w:val="Heading3"/>
      </w:pPr>
      <w:r>
        <w:t xml:space="preserve">Elija un punto de partida y recorra</w:t>
      </w:r>
    </w:p>
    <w:p>
      <w:pPr>
        <w:pStyle w:val="Normal"/>
      </w:pPr>
      <w:r>
        <w:t xml:space="preserve">Como todo ciclo regresa a su origen, se puede empezar siempre por la misma variable; en el ejercicio se usó la oferta de energía.</w:t>
      </w:r>
    </w:p>
    <w:p>
      <w:pPr>
        <w:pStyle w:val="Heading3"/>
      </w:pPr>
      <w:r>
        <w:t xml:space="preserve">Nombre cada ciclo por las variables que atraviesa</w:t>
      </w:r>
    </w:p>
    <w:p>
      <w:pPr>
        <w:pStyle w:val="Normal"/>
      </w:pPr>
      <w:r>
        <w:t xml:space="preserve">El enunciado propone la notación abreviada: OE–CA–D–P–OE, por ejemplo.</w:t>
      </w:r>
    </w:p>
    <w:p>
      <w:pPr>
        <w:pStyle w:val="Heading3"/>
      </w:pPr>
      <w:r>
        <w:t xml:space="preserve">Clasifique cada recorrido por separado</w:t>
      </w:r>
    </w:p>
    <w:p>
      <w:pPr>
        <w:pStyle w:val="Normal"/>
      </w:pPr>
      <w:r>
        <w:t xml:space="preserve">Cada ruta cerrada tiene su propio conteo de negativas, aunque comparta variables con otras.</w:t>
      </w:r>
    </w:p>
    <w:p>
      <w:pPr>
        <w:pStyle w:val="Heading3"/>
      </w:pPr>
      <w:r>
        <w:t xml:space="preserve">Localice la relación negativa decisiva</w:t>
      </w:r>
    </w:p>
    <w:p>
      <w:pPr>
        <w:pStyle w:val="Normal"/>
      </w:pPr>
      <w:r>
        <w:t xml:space="preserve">La que va de la oferta de energía a las condiciones ambientales es negativa, y en los tres recorridos que la incluyen no queda compensada por otra.</w:t>
      </w:r>
    </w:p>
    <w:p>
      <w:pPr>
        <w:pStyle w:val="Heading3"/>
      </w:pPr>
      <w:r>
        <w:t xml:space="preserve">Criterios para una respuesta completa</w:t>
      </w:r>
    </w:p>
    <w:p>
      <w:pPr>
        <w:pStyle w:val="Normal"/>
        <w:numPr>
          <w:ilvl w:val="0"/>
          <w:numId w:val="2"/>
        </w:numPr>
      </w:pPr>
      <w:r>
        <w:t xml:space="preserve">Describe el procedimiento de recorrido y explica por qué se puede partir siempre de la misma variable.</w:t>
      </w:r>
    </w:p>
    <w:p>
      <w:pPr>
        <w:pStyle w:val="Normal"/>
        <w:numPr>
          <w:ilvl w:val="0"/>
          <w:numId w:val="2"/>
        </w:numPr>
      </w:pPr>
      <w:r>
        <w:t xml:space="preserve">Nombra los ciclos por sus variables.</w:t>
      </w:r>
    </w:p>
    <w:p>
      <w:pPr>
        <w:pStyle w:val="Normal"/>
        <w:numPr>
          <w:ilvl w:val="0"/>
          <w:numId w:val="2"/>
        </w:numPr>
      </w:pPr>
      <w:r>
        <w:t xml:space="preserve">Clasifica cada recorrido por su propio conteo y no por el diagrama entero.</w:t>
      </w:r>
    </w:p>
    <w:p>
      <w:pPr>
        <w:pStyle w:val="Normal"/>
        <w:numPr>
          <w:ilvl w:val="0"/>
          <w:numId w:val="2"/>
        </w:numPr>
      </w:pPr>
      <w:r>
        <w:t xml:space="preserve">Identifica la relación negativa que decide la clasificación.</w:t>
      </w:r>
    </w:p>
    <w:p>
      <w:pPr>
        <w:pStyle w:val="Fuente"/>
      </w:pPr>
      <w:r>
        <w:t xml:space="preserve">Clase 15 · 01:01:42–01:25:40 · láminas 14, 15 y 16</w:t>
      </w:r>
    </w:p>
    <w:p>
      <w:pPr>
        <w:pStyle w:val="Heading3"/>
      </w:pPr>
      <w:bookmarkStart w:name="b_pregunta_d2_23_diagramar_termostato" w:id="5692"/>
      <w:r>
        <w:t xml:space="preserve">4.23 · Diagramar una historia · control con objetivo</w:t>
      </w:r>
      <w:bookmarkEnd w:id="5692"/>
    </w:p>
    <w:p>
      <w:pPr>
        <w:pStyle w:val="Normal"/>
      </w:pPr>
      <w:r>
        <w:t xml:space="preserve">Cuando la temperatura de una habitación baja por debajo de la deseada, el termostato enciende la calefacción. Al subir la temperatura, la diferencia respecto de la deseada disminuye y la calefacción se apaga. Diagrame la historia identificando el objetivo y la brecha, y clasifique el ciclo.</w:t>
      </w:r>
    </w:p>
    <w:p>
      <w:pPr>
        <w:pStyle w:val="Fuente"/>
      </w:pPr>
      <w:r>
        <w:t xml:space="preserve">Ordinal de la fuente: 23.</w:t>
      </w:r>
    </w:p>
    <w:p>
      <w:pPr>
        <w:pStyle w:val="Fuente"/>
      </w:pPr>
      <w:r>
        <w:t xml:space="preserve">Valor de práctica: 7 puntos.</w:t>
      </w:r>
    </w:p>
    <w:p>
      <w:pPr>
        <w:pStyle w:val="Heading3"/>
      </w:pPr>
      <w:bookmarkStart w:name="b_solucion_d2_23_diagramar_termostato" w:id="5693"/>
      <w:r>
        <w:t xml:space="preserve">Solución 4.23</w:t>
      </w:r>
      <w:bookmarkEnd w:id="5693"/>
    </w:p>
    <w:p>
      <w:pPr>
        <w:pStyle w:val="RecuadroTitulo"/>
      </w:pPr>
      <w:r>
        <w:t xml:space="preserve">Respuesta modelo</w:t>
      </w:r>
    </w:p>
    <w:p>
      <w:pPr>
        <w:pStyle w:val="Normal"/>
      </w:pPr>
      <w:r>
        <w:t xml:space="preserve">El diagrama es: Brecha respecto de la temperatura deseada →+ Funcionamiento de la calefacción →+ Temperatura de la habitación →− Brecha. El objetivo, la temperatura deseada, se representa como variable externa que alimenta la brecha.</w:t>
      </w:r>
    </w:p>
    <w:p>
      <w:pPr>
        <w:pStyle w:val="Normal"/>
      </w:pPr>
      <w:r>
        <w:t xml:space="preserve">Hay una sola relación negativa, de modo que el número es impar y el ciclo es de balance o control. Se marca con una B en el centro.</w:t>
      </w:r>
    </w:p>
    <w:p>
      <w:pPr>
        <w:pStyle w:val="Normal"/>
      </w:pPr>
      <w:r>
        <w:t xml:space="preserve">El comportamiento es de búsqueda de objetivo: la temperatura sube hasta acercarse a la deseada y la acción correctora se reduce sola a medida que la brecha se cierra. Es la misma estructura del vaso de agua, del fogón y del tanque con flotador; lo que cambia son los nombres de las variables y la escala de tiempo, no el esquema.</w:t>
      </w:r>
    </w:p>
    <w:p>
      <w:pPr>
        <w:pStyle w:val="Heading3"/>
      </w:pPr>
      <w:r>
        <w:t xml:space="preserve">Separe el objetivo de la variable que se controla</w:t>
      </w:r>
    </w:p>
    <w:p>
      <w:pPr>
        <w:pStyle w:val="Normal"/>
      </w:pPr>
      <w:r>
        <w:t xml:space="preserve">La temperatura deseada es el objetivo; la temperatura de la habitación es lo que se regula; la diferencia entre ambas es la brecha.</w:t>
      </w:r>
    </w:p>
    <w:p>
      <w:pPr>
        <w:pStyle w:val="Heading3"/>
      </w:pPr>
      <w:r>
        <w:t xml:space="preserve">Encadene el control</w:t>
      </w:r>
    </w:p>
    <w:p>
      <w:pPr>
        <w:pStyle w:val="Normal"/>
      </w:pPr>
      <w:r>
        <w:t xml:space="preserve">A mayor brecha, más calefacción; a más calefacción, mayor temperatura de la habitación; y a mayor temperatura, menor brecha.</w:t>
      </w:r>
    </w:p>
    <w:p>
      <w:pPr>
        <w:pStyle w:val="Heading3"/>
      </w:pPr>
      <w:r>
        <w:t xml:space="preserve">Clasifique</w:t>
      </w:r>
    </w:p>
    <w:p>
      <w:pPr>
        <w:pStyle w:val="Normal"/>
      </w:pPr>
      <w:r>
        <w:t xml:space="preserve">Una sola relación negativa, la que va de la temperatura a la brecha: número impar, ciclo de balance.</w:t>
      </w:r>
    </w:p>
    <w:p>
      <w:pPr>
        <w:pStyle w:val="Heading3"/>
      </w:pPr>
      <w:r>
        <w:t xml:space="preserve">Compare con los otros casos de la unidad</w:t>
      </w:r>
    </w:p>
    <w:p>
      <w:pPr>
        <w:pStyle w:val="Normal"/>
      </w:pPr>
      <w:r>
        <w:t xml:space="preserve">Es la misma estructura del vaso de agua, del fogón y del tanque con flotador: cambian los nombres y la escala de tiempo, no la estructura.</w:t>
      </w:r>
    </w:p>
    <w:p>
      <w:pPr>
        <w:keepNext/>
        <w:spacing w:after="40" w:before="150"/>
        <w:jc w:val="center"/>
      </w:pPr>
      <w:bookmarkStart w:name="b_figura_original_d2_23_diagram_2e2bdd43" w:id="5694"/>
      <w:bookmarkEnd w:id="5694"/>
      <w:r>
        <w:drawing>
          <wp:inline distT="0" distB="0" distL="0" distR="0">
            <wp:extent cx="5381625" cy="3362325"/>
            <wp:effectExtent t="0" r="0" b="0" l="0"/>
            <wp:docPr id="251" name="d2-23-diagramar-termostato-modelo" descr="Clase 13 · lámina 6 · Clase 14 · láminas 3 y 4" title="Diagramar una historia · control con objetiv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15" cstate="none"/>
                    <a:srcRect/>
                    <a:stretch>
                      <a:fillRect/>
                    </a:stretch>
                  </pic:blipFill>
                  <pic:spPr bwMode="auto">
                    <a:xfrm>
                      <a:off x="0" y="0"/>
                      <a:ext cx="5381625" cy="3362325"/>
                    </a:xfrm>
                    <a:prstGeom prst="rect">
                      <a:avLst/>
                    </a:prstGeom>
                  </pic:spPr>
                </pic:pic>
              </a:graphicData>
            </a:graphic>
          </wp:inline>
        </w:drawing>
      </w:r>
    </w:p>
    <w:p>
      <w:pPr>
        <w:pStyle w:val="PieFigura"/>
        <w:keepNext/>
      </w:pPr>
      <w:bookmarkStart w:name="b_fig_V4_18" w:id="5695"/>
      <w:r>
        <w:t xml:space="preserve">Figura V4.</w:t>
      </w:r>
      <w:fldSimple w:instr="SEQ Figura \n \* ARABIC">
        <w:r>
          <w:t xml:space="preserve">18</w:t>
        </w:r>
      </w:fldSimple>
      <w:r>
        <w:t xml:space="preserve"> · Diagramar una historia · control con objetivo</w:t>
      </w:r>
      <w:bookmarkEnd w:id="5695"/>
    </w:p>
    <w:p>
      <w:pPr>
        <w:pStyle w:val="LecturaFigura"/>
        <w:keepNext/>
      </w:pPr>
      <w:r>
        <w:rPr>
          <w:b/>
          <w:bCs/>
        </w:rPr>
        <w:t xml:space="preserve">Lectura del diagrama: </w:t>
      </w:r>
      <w:r>
        <w:t xml:space="preserve">2 relaciones (+) y 1 relación (−) · 1 negativa · número impar ⇒ ciclo de balance (B). Si la temperatura baja del nivel deseado, el termostato enciende la calefacción; al subir la temperatura la brecha disminuye y la calefacción se apaga.</w:t>
      </w:r>
    </w:p>
    <w:p>
      <w:pPr>
        <w:pStyle w:val="Fuente"/>
      </w:pPr>
      <w:r>
        <w:t xml:space="preserve">Clase 13 · lámina 6 · Clase 14 · láminas 3 y 4</w:t>
      </w:r>
    </w:p>
    <w:p>
      <w:pPr>
        <w:pStyle w:val="Heading3"/>
      </w:pPr>
      <w:r>
        <w:t xml:space="preserve">Criterios para una respuesta completa</w:t>
      </w:r>
    </w:p>
    <w:p>
      <w:pPr>
        <w:pStyle w:val="Normal"/>
        <w:numPr>
          <w:ilvl w:val="0"/>
          <w:numId w:val="2"/>
        </w:numPr>
      </w:pPr>
      <w:r>
        <w:t xml:space="preserve">Distingue el objetivo de la variable controlada y modela la brecha.</w:t>
      </w:r>
    </w:p>
    <w:p>
      <w:pPr>
        <w:pStyle w:val="Normal"/>
        <w:numPr>
          <w:ilvl w:val="0"/>
          <w:numId w:val="2"/>
        </w:numPr>
      </w:pPr>
      <w:r>
        <w:t xml:space="preserve">Asigna la única relación negativa en el lugar correcto.</w:t>
      </w:r>
    </w:p>
    <w:p>
      <w:pPr>
        <w:pStyle w:val="Normal"/>
        <w:numPr>
          <w:ilvl w:val="0"/>
          <w:numId w:val="2"/>
        </w:numPr>
      </w:pPr>
      <w:r>
        <w:t xml:space="preserve">Clasifica el ciclo como de balance.</w:t>
      </w:r>
    </w:p>
    <w:p>
      <w:pPr>
        <w:pStyle w:val="Normal"/>
        <w:numPr>
          <w:ilvl w:val="0"/>
          <w:numId w:val="2"/>
        </w:numPr>
      </w:pPr>
      <w:r>
        <w:t xml:space="preserve">Reconoce la estructura común con otros casos del curso.</w:t>
      </w:r>
    </w:p>
    <w:p>
      <w:pPr>
        <w:pStyle w:val="Fuente"/>
      </w:pPr>
      <w:r>
        <w:t xml:space="preserve">Clase 13 · lámina 6 · Clase 14 · láminas 3 y 4</w:t>
      </w:r>
    </w:p>
    <w:p>
      <w:pPr>
        <w:pStyle w:val="Heading3"/>
      </w:pPr>
      <w:bookmarkStart w:name="b_pregunta_d2_24_interpretar_culpa" w:id="5696"/>
      <w:r>
        <w:t xml:space="preserve">4.24 · Interpretar un modelo · contraintuición</w:t>
      </w:r>
      <w:bookmarkEnd w:id="5696"/>
    </w:p>
    <w:p>
      <w:pPr>
        <w:pStyle w:val="Normal"/>
      </w:pPr>
      <w:r>
        <w:t xml:space="preserve">El modelo del ciclo de la culpa contiene, entre otras, estas relaciones: los errores aumentan la culpa, la culpa aumenta el miedo, el miedo aumenta los encubrimientos, los encubrimientos reducen el flujo de información, el flujo de información aumenta el conocimiento de la realidad actual, ese conocimiento aumenta la habilidad de resolver problemas y esa habilidad reduce los errores. Clasifique el ciclo y explique la conclusión contraintuitiva que se sigue.</w:t>
      </w:r>
    </w:p>
    <w:p>
      <w:pPr>
        <w:pStyle w:val="Fuente"/>
      </w:pPr>
      <w:r>
        <w:t xml:space="preserve">Ordinal de la fuente: 24.</w:t>
      </w:r>
    </w:p>
    <w:p>
      <w:pPr>
        <w:pStyle w:val="Fuente"/>
      </w:pPr>
      <w:r>
        <w:t xml:space="preserve">Valor de práctica: 9 puntos.</w:t>
      </w:r>
    </w:p>
    <w:p>
      <w:pPr>
        <w:pStyle w:val="Heading3"/>
      </w:pPr>
      <w:bookmarkStart w:name="b_solucion_d2_24_interpretar_culpa" w:id="5697"/>
      <w:r>
        <w:t xml:space="preserve">Solución 4.24</w:t>
      </w:r>
      <w:bookmarkEnd w:id="5697"/>
    </w:p>
    <w:p>
      <w:pPr>
        <w:pStyle w:val="RecuadroTitulo"/>
      </w:pPr>
      <w:r>
        <w:t xml:space="preserve">Respuesta modelo</w:t>
      </w:r>
    </w:p>
    <w:p>
      <w:pPr>
        <w:pStyle w:val="Normal"/>
      </w:pPr>
      <w:r>
        <w:t xml:space="preserve">El recorrido tiene dos relaciones negativas: la que va de los encubrimientos al flujo de información y la que va de la habilidad de resolver problemas a los errores. Dos es un número par, de modo que las compensaciones se anulan y el ciclo es de refuerzo.</w:t>
      </w:r>
    </w:p>
    <w:p>
      <w:pPr>
        <w:pStyle w:val="Normal"/>
      </w:pPr>
      <w:r>
        <w:t xml:space="preserve">Leído completo: más errores producen más culpa, más culpa produce más miedo, más miedo produce más encubrimientos, más encubrimientos reducen el flujo de información, menos información reduce el conocimiento de la realidad actual, menos conocimiento reduce la habilidad de resolver problemas y menos habilidad produce más errores. La espiral se alimenta a sí misma.</w:t>
      </w:r>
    </w:p>
    <w:p>
      <w:pPr>
        <w:pStyle w:val="Normal"/>
      </w:pPr>
      <w:r>
        <w:t xml:space="preserve">La conclusión contraintuitiva es que una estrategia adoptada para reducir errores termina multiplicándolos. Desde una lectura lineal, señalar al responsable parece la vía más corta para corregir; desde la estructura, es lo que degrada la información con la que se corrige. El segundo ciclo del modelo lo agrava: el miedo reduce la toma de riesgos y con ella la capacidad de innovar, que también alimenta la habilidad de resolver problemas.</w:t>
      </w:r>
    </w:p>
    <w:p>
      <w:pPr>
        <w:pStyle w:val="Heading3"/>
      </w:pPr>
      <w:r>
        <w:t xml:space="preserve">Cuente las relaciones negativas</w:t>
      </w:r>
    </w:p>
    <w:p>
      <w:pPr>
        <w:pStyle w:val="Normal"/>
      </w:pPr>
      <w:r>
        <w:t xml:space="preserve">Sólo dos del recorrido son negativas: encubrimientos sobre flujo de información, y habilidad de resolver problemas sobre errores.</w:t>
      </w:r>
    </w:p>
    <w:p>
      <w:pPr>
        <w:pStyle w:val="Heading3"/>
      </w:pPr>
      <w:r>
        <w:t xml:space="preserve">Aplique la regla</w:t>
      </w:r>
    </w:p>
    <w:p>
      <w:pPr>
        <w:pStyle w:val="Normal"/>
      </w:pPr>
      <w:r>
        <w:t xml:space="preserve">Dos es par, de modo que las compensaciones se anulan y el bucle resulta de refuerzo.</w:t>
      </w:r>
    </w:p>
    <w:p>
      <w:pPr>
        <w:pStyle w:val="Heading3"/>
      </w:pPr>
      <w:r>
        <w:t xml:space="preserve">Lea la historia completa</w:t>
      </w:r>
    </w:p>
    <w:p>
      <w:pPr>
        <w:pStyle w:val="Normal"/>
      </w:pPr>
      <w:r>
        <w:t xml:space="preserve">Más errores, más culpa, más miedo, más encubrimientos, menos información, menos conocimiento, menos habilidad para resolver y, por tanto, más errores.</w:t>
      </w:r>
    </w:p>
    <w:p>
      <w:pPr>
        <w:pStyle w:val="Heading3"/>
      </w:pPr>
      <w:r>
        <w:t xml:space="preserve">Formule la contraintuición</w:t>
      </w:r>
    </w:p>
    <w:p>
      <w:pPr>
        <w:pStyle w:val="Normal"/>
      </w:pPr>
      <w:r>
        <w:t xml:space="preserve">La estrategia se adopta para reducir errores y el efecto circular es producir más.</w:t>
      </w:r>
    </w:p>
    <w:p>
      <w:pPr>
        <w:pStyle w:val="Heading3"/>
      </w:pPr>
      <w:r>
        <w:t xml:space="preserve">Criterios para una respuesta completa</w:t>
      </w:r>
    </w:p>
    <w:p>
      <w:pPr>
        <w:pStyle w:val="Normal"/>
        <w:numPr>
          <w:ilvl w:val="0"/>
          <w:numId w:val="2"/>
        </w:numPr>
      </w:pPr>
      <w:r>
        <w:t xml:space="preserve">Cuenta las negativas correctamente y aplica la regla de paridad.</w:t>
      </w:r>
    </w:p>
    <w:p>
      <w:pPr>
        <w:pStyle w:val="Normal"/>
        <w:numPr>
          <w:ilvl w:val="0"/>
          <w:numId w:val="2"/>
        </w:numPr>
      </w:pPr>
      <w:r>
        <w:t xml:space="preserve">Clasifica el ciclo como de refuerzo pese a contener relaciones negativas.</w:t>
      </w:r>
    </w:p>
    <w:p>
      <w:pPr>
        <w:pStyle w:val="Normal"/>
        <w:numPr>
          <w:ilvl w:val="0"/>
          <w:numId w:val="2"/>
        </w:numPr>
      </w:pPr>
      <w:r>
        <w:t xml:space="preserve">Recorre la historia completa en voz alta.</w:t>
      </w:r>
    </w:p>
    <w:p>
      <w:pPr>
        <w:pStyle w:val="Normal"/>
        <w:numPr>
          <w:ilvl w:val="0"/>
          <w:numId w:val="2"/>
        </w:numPr>
      </w:pPr>
      <w:r>
        <w:t xml:space="preserve">Formula la contraintuición como diferencia entre la intención de la estrategia y su efecto estructural.</w:t>
      </w:r>
    </w:p>
    <w:p>
      <w:pPr>
        <w:pStyle w:val="Fuente"/>
      </w:pPr>
      <w:r>
        <w:t xml:space="preserve">Clase 16 · 00:29:48–00:41:55 · lámina 4</w:t>
      </w:r>
    </w:p>
    <w:p>
      <w:pPr>
        <w:pStyle w:val="Heading3"/>
      </w:pPr>
      <w:bookmarkStart w:name="b_pregunta_d2_25_definir_iceberg" w:id="5698"/>
      <w:r>
        <w:t xml:space="preserve">4.25 · Definición corta</w:t>
      </w:r>
      <w:bookmarkEnd w:id="5698"/>
    </w:p>
    <w:p>
      <w:pPr>
        <w:pStyle w:val="Normal"/>
      </w:pPr>
      <w:r>
        <w:t xml:space="preserve">Enumere los cuatro niveles del modelo del iceberg con la pregunta que corresponde a cada uno, y explique qué relación guardan el nivel de patrones y el de estructuras.</w:t>
      </w:r>
    </w:p>
    <w:p>
      <w:pPr>
        <w:pStyle w:val="Fuente"/>
      </w:pPr>
      <w:r>
        <w:t xml:space="preserve">Ordinal de la fuente: 25.</w:t>
      </w:r>
    </w:p>
    <w:p>
      <w:pPr>
        <w:pStyle w:val="Fuente"/>
      </w:pPr>
      <w:r>
        <w:t xml:space="preserve">Valor de práctica: 5 puntos.</w:t>
      </w:r>
    </w:p>
    <w:p>
      <w:pPr>
        <w:pStyle w:val="Heading3"/>
      </w:pPr>
      <w:bookmarkStart w:name="b_solucion_d2_25_definir_iceberg" w:id="5699"/>
      <w:r>
        <w:t xml:space="preserve">Solución 4.25</w:t>
      </w:r>
      <w:bookmarkEnd w:id="5699"/>
    </w:p>
    <w:p>
      <w:pPr>
        <w:pStyle w:val="RecuadroTitulo"/>
      </w:pPr>
      <w:r>
        <w:t xml:space="preserve">Respuesta modelo</w:t>
      </w:r>
    </w:p>
    <w:p>
      <w:pPr>
        <w:pStyle w:val="Normal"/>
      </w:pPr>
      <w:r>
        <w:t xml:space="preserve">Los cuatro niveles, del más visible al más profundo, son: eventos, que responde a «¿qué pasó?»; patrones de comportamiento, que responde a «¿qué ha venido sucediendo, cuáles son las tendencias, qué cambios han ocurrido?»; estructuras subyacentes, que responde a «¿qué ha influido en los patrones y cuáles son las relaciones entre las partes?»; y modelos mentales, que responde a «¿qué supuestos, creencias y valores tiene la gente sobre el sistema?».</w:t>
      </w:r>
    </w:p>
    <w:p>
      <w:pPr>
        <w:pStyle w:val="Normal"/>
      </w:pPr>
      <w:r>
        <w:t xml:space="preserve">El nivel de patrones y el de estructuras se relacionan como efecto y causa: la estructura genera las tendencias, de modo que lo que se observa como patrón procede de la red de relaciones que está por debajo. Por eso un diagrama de ciclos causales trabaja en el nivel de estructuras y un gráfico de comportamiento en el de patrones.</w:t>
      </w:r>
    </w:p>
    <w:p>
      <w:pPr>
        <w:pStyle w:val="Normal"/>
      </w:pPr>
      <w:r>
        <w:t xml:space="preserve">La lectura funciona en las dos direcciones: desde arriba, una tendencia anómala invita a buscar la estructura que la produce; desde abajo, una estructura conocida permite anticipar la curva que aparecerá. Descender por el iceberg aumenta a la vez el aprendizaje y el apalancamiento.</w:t>
      </w:r>
    </w:p>
    <w:p>
      <w:pPr>
        <w:pStyle w:val="Heading3"/>
      </w:pPr>
      <w:r>
        <w:t xml:space="preserve">Enumere de arriba abajo</w:t>
      </w:r>
    </w:p>
    <w:p>
      <w:pPr>
        <w:pStyle w:val="Normal"/>
      </w:pPr>
      <w:r>
        <w:t xml:space="preserve">Eventos, patrones de comportamiento, estructuras subyacentes y modelos mentales.</w:t>
      </w:r>
    </w:p>
    <w:p>
      <w:pPr>
        <w:pStyle w:val="Heading3"/>
      </w:pPr>
      <w:r>
        <w:t xml:space="preserve">Asocie la pregunta de cada nivel</w:t>
      </w:r>
    </w:p>
    <w:p>
      <w:pPr>
        <w:pStyle w:val="Normal"/>
      </w:pPr>
      <w:r>
        <w:t xml:space="preserve">Qué pasó; qué ha venido sucediendo y cuáles son las tendencias; qué ha influido en los patrones y cuáles son las relaciones entre las partes; qué supuestos, creencias y valores tiene la gente.</w:t>
      </w:r>
    </w:p>
    <w:p>
      <w:pPr>
        <w:pStyle w:val="Heading3"/>
      </w:pPr>
      <w:r>
        <w:t xml:space="preserve">Explique la relación entre los dos niveles centrales</w:t>
      </w:r>
    </w:p>
    <w:p>
      <w:pPr>
        <w:pStyle w:val="Normal"/>
      </w:pPr>
      <w:r>
        <w:t xml:space="preserve">La estructura genera las tendencias: lo que se observa arriba procede de la red de relaciones de abajo.</w:t>
      </w:r>
    </w:p>
    <w:p>
      <w:pPr>
        <w:pStyle w:val="Heading3"/>
      </w:pPr>
      <w:r>
        <w:t xml:space="preserve">Criterios para una respuesta completa</w:t>
      </w:r>
    </w:p>
    <w:p>
      <w:pPr>
        <w:pStyle w:val="Normal"/>
        <w:numPr>
          <w:ilvl w:val="0"/>
          <w:numId w:val="2"/>
        </w:numPr>
      </w:pPr>
      <w:r>
        <w:t xml:space="preserve">Enumera los cuatro niveles en orden.</w:t>
      </w:r>
    </w:p>
    <w:p>
      <w:pPr>
        <w:pStyle w:val="Normal"/>
        <w:numPr>
          <w:ilvl w:val="0"/>
          <w:numId w:val="2"/>
        </w:numPr>
      </w:pPr>
      <w:r>
        <w:t xml:space="preserve">Asocia la pregunta correcta a cada uno.</w:t>
      </w:r>
    </w:p>
    <w:p>
      <w:pPr>
        <w:pStyle w:val="Normal"/>
        <w:numPr>
          <w:ilvl w:val="0"/>
          <w:numId w:val="2"/>
        </w:numPr>
      </w:pPr>
      <w:r>
        <w:t xml:space="preserve">Explica la relación entre patrones y estructuras como efecto y causa.</w:t>
      </w:r>
    </w:p>
    <w:p>
      <w:pPr>
        <w:pStyle w:val="Normal"/>
        <w:numPr>
          <w:ilvl w:val="0"/>
          <w:numId w:val="2"/>
        </w:numPr>
      </w:pPr>
      <w:r>
        <w:t xml:space="preserve">Menciona que descender aumenta el apalancamiento.</w:t>
      </w:r>
    </w:p>
    <w:p>
      <w:pPr>
        <w:pStyle w:val="Fuente"/>
      </w:pPr>
      <w:r>
        <w:t xml:space="preserve">Clase 16 · 00:17:44–00:21:30 · lámina 2</w:t>
      </w:r>
    </w:p>
    <w:p>
      <w:pPr>
        <w:pStyle w:val="Heading3"/>
      </w:pPr>
      <w:bookmarkStart w:name="b_pregunta_d2_26_interpretar_pr_3eac38e9" w:id="5700"/>
      <w:r>
        <w:t xml:space="preserve">4.26 · Interpretar un modelo · oscilación</w:t>
      </w:r>
      <w:bookmarkEnd w:id="5700"/>
    </w:p>
    <w:p>
      <w:pPr>
        <w:pStyle w:val="Normal"/>
      </w:pPr>
      <w:r>
        <w:t xml:space="preserve">En un modelo de conejos y zorros, los nacimientos de cada especie forman un ciclo de refuerzo y las muertes forman uno de balance; además, los zorros aumentan las muertes de conejos y los conejos alimentan los nacimientos de zorros. Alguien concluye que, con el tiempo, los zorros acabarán con todos los conejos. Evalúe esa conclusión y describa el comportamiento que cabe esperar.</w:t>
      </w:r>
    </w:p>
    <w:p>
      <w:pPr>
        <w:pStyle w:val="Fuente"/>
      </w:pPr>
      <w:r>
        <w:t xml:space="preserve">Ordinal de la fuente: 26.</w:t>
      </w:r>
    </w:p>
    <w:p>
      <w:pPr>
        <w:pStyle w:val="Fuente"/>
      </w:pPr>
      <w:r>
        <w:t xml:space="preserve">Valor de práctica: 8 puntos.</w:t>
      </w:r>
    </w:p>
    <w:p>
      <w:pPr>
        <w:pStyle w:val="Heading3"/>
      </w:pPr>
      <w:bookmarkStart w:name="b_solucion_d2_26_interpretar_pr_8cb03e91" w:id="5701"/>
      <w:r>
        <w:t xml:space="preserve">Solución 4.26</w:t>
      </w:r>
      <w:bookmarkEnd w:id="5701"/>
    </w:p>
    <w:p>
      <w:pPr>
        <w:pStyle w:val="RecuadroTitulo"/>
      </w:pPr>
      <w:r>
        <w:t xml:space="preserve">Respuesta modelo</w:t>
      </w:r>
    </w:p>
    <w:p>
      <w:pPr>
        <w:pStyle w:val="Normal"/>
      </w:pPr>
      <w:r>
        <w:t xml:space="preserve">La conclusión es una lectura lineal y reduccionista: sigue una sola cadena causal —más zorros, menos conejos— y se detiene antes de cerrar el recorrido.</w:t>
      </w:r>
    </w:p>
    <w:p>
      <w:pPr>
        <w:pStyle w:val="Normal"/>
      </w:pPr>
      <w:r>
        <w:t xml:space="preserve">Al completarlo, menos conejos dejan menos alimento disponible, lo que reduce los nacimientos de zorros y por tanto su población. Con menos zorros, las muertes de conejos disminuyen y la población de conejos vuelve a crecer, lo que a su vez permite que los zorros se recuperen.</w:t>
      </w:r>
    </w:p>
    <w:p>
      <w:pPr>
        <w:pStyle w:val="Normal"/>
      </w:pPr>
      <w:r>
        <w:t xml:space="preserve">El comportamiento esperable no es la extinción sino una oscilación: las dos poblaciones suben y bajan alternadamente, desfasadas en el tiempo, porque el acoplamiento entre los ciclos de refuerzo y los de balance hace que cada especie frene y relance a la otra. La extinción es posible si intervienen otras causas, pero no se sigue de esta estructura.</w:t>
      </w:r>
    </w:p>
    <w:p>
      <w:pPr>
        <w:pStyle w:val="Heading3"/>
      </w:pPr>
      <w:r>
        <w:t xml:space="preserve">Identifique de dónde viene la conclusión</w:t>
      </w:r>
    </w:p>
    <w:p>
      <w:pPr>
        <w:pStyle w:val="Normal"/>
      </w:pPr>
      <w:r>
        <w:t xml:space="preserve">Sigue una sola cadena causal —más zorros, menos conejos— y se detiene ahí. Es una lectura lineal de una estructura circular.</w:t>
      </w:r>
    </w:p>
    <w:p>
      <w:pPr>
        <w:pStyle w:val="Heading3"/>
      </w:pPr>
      <w:r>
        <w:t xml:space="preserve">Complete el recorrido</w:t>
      </w:r>
    </w:p>
    <w:p>
      <w:pPr>
        <w:pStyle w:val="Normal"/>
      </w:pPr>
      <w:r>
        <w:t xml:space="preserve">Menos conejos dejan menos alimento, lo que reduce los nacimientos de zorros y, con ello, la población de zorros.</w:t>
      </w:r>
    </w:p>
    <w:p>
      <w:pPr>
        <w:pStyle w:val="Heading3"/>
      </w:pPr>
      <w:r>
        <w:t xml:space="preserve">Siga una vuelta más</w:t>
      </w:r>
    </w:p>
    <w:p>
      <w:pPr>
        <w:pStyle w:val="Normal"/>
      </w:pPr>
      <w:r>
        <w:t xml:space="preserve">Con menos zorros, las muertes de conejos disminuyen y la población de conejos vuelve a crecer. El sistema regresa al punto de partida.</w:t>
      </w:r>
    </w:p>
    <w:p>
      <w:pPr>
        <w:pStyle w:val="Heading3"/>
      </w:pPr>
      <w:r>
        <w:t xml:space="preserve">Nombre el patrón</w:t>
      </w:r>
    </w:p>
    <w:p>
      <w:pPr>
        <w:pStyle w:val="Normal"/>
      </w:pPr>
      <w:r>
        <w:t xml:space="preserve">Ese vaivén desfasado entre las dos poblaciones es una oscilación, visible en grandes unidades de tiempo.</w:t>
      </w:r>
    </w:p>
    <w:p>
      <w:pPr>
        <w:pStyle w:val="Heading3"/>
      </w:pPr>
      <w:r>
        <w:t xml:space="preserve">Criterios para una respuesta completa</w:t>
      </w:r>
    </w:p>
    <w:p>
      <w:pPr>
        <w:pStyle w:val="Normal"/>
        <w:numPr>
          <w:ilvl w:val="0"/>
          <w:numId w:val="2"/>
        </w:numPr>
      </w:pPr>
      <w:r>
        <w:t xml:space="preserve">Identifica la conclusión como lectura lineal de una estructura circular.</w:t>
      </w:r>
    </w:p>
    <w:p>
      <w:pPr>
        <w:pStyle w:val="Normal"/>
        <w:numPr>
          <w:ilvl w:val="0"/>
          <w:numId w:val="2"/>
        </w:numPr>
      </w:pPr>
      <w:r>
        <w:t xml:space="preserve">Completa el recorrido hasta cerrar el lazo.</w:t>
      </w:r>
    </w:p>
    <w:p>
      <w:pPr>
        <w:pStyle w:val="Normal"/>
        <w:numPr>
          <w:ilvl w:val="0"/>
          <w:numId w:val="2"/>
        </w:numPr>
      </w:pPr>
      <w:r>
        <w:t xml:space="preserve">Nombra la oscilación como patrón resultante y la explica por el acoplamiento y el desfase.</w:t>
      </w:r>
    </w:p>
    <w:p>
      <w:pPr>
        <w:pStyle w:val="Normal"/>
        <w:numPr>
          <w:ilvl w:val="0"/>
          <w:numId w:val="2"/>
        </w:numPr>
      </w:pPr>
      <w:r>
        <w:t xml:space="preserve">No afirma que la extinción sea imposible, sino que no se sigue de esta estructura.</w:t>
      </w:r>
    </w:p>
    <w:p>
      <w:pPr>
        <w:pStyle w:val="Fuente"/>
      </w:pPr>
      <w:r>
        <w:t xml:space="preserve">Clase 16 · 01:02:36–01:06:15 · lámina 9</w:t>
      </w:r>
    </w:p>
    <w:p>
      <w:pPr>
        <w:pStyle w:val="Heading3"/>
      </w:pPr>
      <w:bookmarkStart w:name="b_pregunta_d2_27_diagramar_mapa_3048dee6" w:id="5702"/>
      <w:r>
        <w:t xml:space="preserve">4.27 · Diagramar una historia · mapa DSRP</w:t>
      </w:r>
      <w:bookmarkEnd w:id="5702"/>
    </w:p>
    <w:p>
      <w:pPr>
        <w:pStyle w:val="Normal"/>
      </w:pPr>
      <w:r>
        <w:t xml:space="preserve">Lea la historia y dibuje su mapa DSRP con la sintaxis del curso —rectángulos, contención, líneas con flecha, ojo y punto—: «El comedor de la facultad tiene una cocina, una caja y un salón con mesas. La cocina prepara los platos que la caja cobra; cuando la fila crece, la cocina acelera y la calidad de los platos baja. Los estudiantes ven el comedor como un lugar para comer rápido y barato; la nutricionista de la universidad lo ve como una parte del programa de salud».</w:t>
      </w:r>
    </w:p>
    <w:p>
      <w:pPr>
        <w:pStyle w:val="Fuente"/>
      </w:pPr>
      <w:r>
        <w:t xml:space="preserve">Ordinal de la fuente: 27.</w:t>
      </w:r>
    </w:p>
    <w:p>
      <w:pPr>
        <w:pStyle w:val="Fuente"/>
      </w:pPr>
      <w:r>
        <w:t xml:space="preserve">Valor de práctica: 8 puntos.</w:t>
      </w:r>
    </w:p>
    <w:p>
      <w:pPr>
        <w:pStyle w:val="Heading3"/>
      </w:pPr>
      <w:bookmarkStart w:name="b_solucion_d2_27_diagramar_mapa_ec9cd8b9" w:id="5703"/>
      <w:r>
        <w:t xml:space="preserve">Solución 4.27</w:t>
      </w:r>
      <w:bookmarkEnd w:id="5703"/>
    </w:p>
    <w:p>
      <w:pPr>
        <w:pStyle w:val="RecuadroTitulo"/>
      </w:pPr>
      <w:r>
        <w:t xml:space="preserve">Respuesta modelo</w:t>
      </w:r>
    </w:p>
    <w:p>
      <w:pPr>
        <w:pStyle w:val="Normal"/>
      </w:pPr>
      <w:r>
        <w:t xml:space="preserve">El mapa tiene un rectángulo por idea y usa la contención para el sistema: dentro del comedor están la cocina, la caja y el salón, y dentro del salón las mesas. Los platos y la fila son distinciones relacionadas con la cocina y la caja, no partes de ellas.</w:t>
      </w:r>
    </w:p>
    <w:p>
      <w:pPr>
        <w:pStyle w:val="Normal"/>
      </w:pPr>
      <w:r>
        <w:t xml:space="preserve">Las relaciones se dibujan como líneas con punta de flecha y rótulo: la cocina prepara los platos, la caja los cobra, la fila acelera a la cocina y esa aceleración baja la calidad de los platos. Sólo las ideas que actúan una sobre otra llevan línea.</w:t>
      </w:r>
    </w:p>
    <w:p>
      <w:pPr>
        <w:pStyle w:val="Normal"/>
      </w:pPr>
      <w:r>
        <w:t xml:space="preserve">Las dos perspectivas se marcan con la notación de la clase 10: un ojo de color en «estudiantes» y un punto del mismo color en «comedor» (lo que ven: rápido y barato); un ojo de otro color en «nutricionista» y su punto en «comedor», que desde esa mirada queda contenido en el programa de salud. El ojo y el punto no se unen con una línea, y el mapa no se agrupa en bloques llamados distinciones, sistemas, relaciones y perspectivas: las cuatro reglas quedan inmersas en el contenido.</w:t>
      </w:r>
    </w:p>
    <w:p>
      <w:pPr>
        <w:pStyle w:val="Heading3"/>
      </w:pPr>
      <w:r>
        <w:t xml:space="preserve">Distinga: un rectángulo por cada idea con nombre</w:t>
      </w:r>
    </w:p>
    <w:p>
      <w:pPr>
        <w:pStyle w:val="Normal"/>
      </w:pPr>
      <w:r>
        <w:t xml:space="preserve">Comedor, cocina, caja, salón, mesas, platos, fila, calidad de los platos, estudiantes, nutricionista y programa de salud. Cada rectángulo separa la idea de lo que no es; no hace falta rotular nada como «distinción».</w:t>
      </w:r>
    </w:p>
    <w:p>
      <w:pPr>
        <w:pStyle w:val="Heading3"/>
      </w:pPr>
      <w:r>
        <w:t xml:space="preserve">Sistematice: la contención muestra el todo y sus partes</w:t>
      </w:r>
    </w:p>
    <w:p>
      <w:pPr>
        <w:pStyle w:val="Normal"/>
      </w:pPr>
      <w:r>
        <w:t xml:space="preserve">Cocina, caja y salón van dentro del comedor, y las mesas dentro del salón. Desde la mirada de la nutricionista, el comedor va dentro del programa de salud. Nada de flechas para decir «es parte de».</w:t>
      </w:r>
    </w:p>
    <w:p>
      <w:pPr>
        <w:pStyle w:val="Heading3"/>
      </w:pPr>
      <w:r>
        <w:t xml:space="preserve">Relacione: una línea con flecha sólo donde hay acción y reacción</w:t>
      </w:r>
    </w:p>
    <w:p>
      <w:pPr>
        <w:pStyle w:val="Normal"/>
      </w:pPr>
      <w:r>
        <w:t xml:space="preserve">Cocina → platos (prepara), platos → caja (cobra), fila → cocina (acelera) y cocina → calidad de los platos (baja). El rótulo de la línea dice qué hace una idea sobre la otra.</w:t>
      </w:r>
    </w:p>
    <w:p>
      <w:pPr>
        <w:pStyle w:val="Heading3"/>
      </w:pPr>
      <w:r>
        <w:t xml:space="preserve">Perspective: ojo en quien mira, punto en lo mirado, sin línea</w:t>
      </w:r>
    </w:p>
    <w:p>
      <w:pPr>
        <w:pStyle w:val="Normal"/>
      </w:pPr>
      <w:r>
        <w:t xml:space="preserve">Un ojo de un color dentro de «estudiantes» y un punto del mismo color dentro de «comedor», con la vista «rápido y barato»; otro ojo de otro color en «nutricionista» y su punto en «comedor», con la vista «parte del programa de salud».</w:t>
      </w:r>
    </w:p>
    <w:p>
      <w:pPr>
        <w:pStyle w:val="Normal"/>
      </w:pPr>
      <w:r>
        <w:t xml:space="preserve">Entregar tres cajas rotuladas «distinciones», «relaciones» y «perspectivas» con listas adentro: el error que el profesor corrigió en las clases 11 y 12.</w:t>
      </w:r>
    </w:p>
    <w:p>
      <w:pPr>
        <w:pStyle w:val="Normal"/>
      </w:pPr>
      <w:r>
        <w:t xml:space="preserve">Unir el ojo y el punto con una línea, o poner una flecha desde quien mira.</w:t>
      </w:r>
    </w:p>
    <w:p>
      <w:pPr>
        <w:pStyle w:val="Normal"/>
      </w:pPr>
      <w:r>
        <w:t xml:space="preserve">Convertir el mapa en un diagrama causal con signos + y −: aquí no se pide polaridad, sino las cuatro reglas.</w:t>
      </w:r>
    </w:p>
    <w:p>
      <w:pPr>
        <w:keepNext/>
        <w:spacing w:after="40" w:before="150"/>
        <w:jc w:val="center"/>
      </w:pPr>
      <w:bookmarkStart w:name="b_figura_original_d2_27_diagram_ba92bdee" w:id="5704"/>
      <w:bookmarkEnd w:id="5704"/>
      <w:r>
        <w:drawing>
          <wp:inline distT="0" distB="0" distL="0" distR="0">
            <wp:extent cx="5381625" cy="3314700"/>
            <wp:effectExtent t="0" r="0" b="0" l="0"/>
            <wp:docPr id="252" name="d2-27-diagramar-mapa-dsrp-comedor-modelo" descr="Clase 10 · láminas 17 y 24 · Clases 11 y 12 · corrección de los mapas de la tarea" title="Diagramar una historia · mapa DSR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16" cstate="none"/>
                    <a:srcRect/>
                    <a:stretch>
                      <a:fillRect/>
                    </a:stretch>
                  </pic:blipFill>
                  <pic:spPr bwMode="auto">
                    <a:xfrm>
                      <a:off x="0" y="0"/>
                      <a:ext cx="5381625" cy="3314700"/>
                    </a:xfrm>
                    <a:prstGeom prst="rect">
                      <a:avLst/>
                    </a:prstGeom>
                  </pic:spPr>
                </pic:pic>
              </a:graphicData>
            </a:graphic>
          </wp:inline>
        </w:drawing>
      </w:r>
    </w:p>
    <w:p>
      <w:pPr>
        <w:pStyle w:val="PieFigura"/>
        <w:keepNext/>
      </w:pPr>
      <w:bookmarkStart w:name="b_fig_V4_19" w:id="5705"/>
      <w:r>
        <w:t xml:space="preserve">Figura V4.</w:t>
      </w:r>
      <w:fldSimple w:instr="SEQ Figura \n \* ARABIC">
        <w:r>
          <w:t xml:space="preserve">19</w:t>
        </w:r>
      </w:fldSimple>
      <w:r>
        <w:t xml:space="preserve"> · Diagramar una historia · mapa DSRP</w:t>
      </w:r>
      <w:bookmarkEnd w:id="5705"/>
    </w:p>
    <w:p>
      <w:pPr>
        <w:pStyle w:val="LecturaFigura"/>
        <w:keepNext/>
      </w:pPr>
      <w:r>
        <w:rPr>
          <w:b/>
          <w:bCs/>
        </w:rPr>
        <w:t xml:space="preserve">Lectura del diagrama: </w:t>
      </w:r>
      <w:r>
        <w:t xml:space="preserve">Dentro del comedor están la cocina, la caja y el salón, y dentro del salón las mesas; los platos y la fila son distinciones relacionadas con la cocina y la caja, no partes de ellas. La cocina prepara los platos, la caja los cobra, la fila acelera a la cocina y esa aceleración baja la calidad de los platos. Los estudiantes miran el comedor como un lugar para comer rápido y barato; la nutricionista lo mira como una parte del programa de salud, y por eso el comedor queda contenido en él.</w:t>
      </w:r>
    </w:p>
    <w:p>
      <w:pPr>
        <w:pStyle w:val="Fuente"/>
      </w:pPr>
      <w:r>
        <w:t xml:space="preserve">Clase 10 · láminas 17 y 24 · Clases 11 y 12 · corrección de los mapas de la tarea</w:t>
      </w:r>
    </w:p>
    <w:p>
      <w:pPr>
        <w:pStyle w:val="Heading3"/>
      </w:pPr>
      <w:r>
        <w:t xml:space="preserve">Criterios para una respuesta completa</w:t>
      </w:r>
    </w:p>
    <w:p>
      <w:pPr>
        <w:pStyle w:val="Normal"/>
        <w:numPr>
          <w:ilvl w:val="0"/>
          <w:numId w:val="2"/>
        </w:numPr>
      </w:pPr>
      <w:r>
        <w:t xml:space="preserve">Usa un rectángulo con nombre por cada distinción de la historia.</w:t>
      </w:r>
    </w:p>
    <w:p>
      <w:pPr>
        <w:pStyle w:val="Normal"/>
        <w:numPr>
          <w:ilvl w:val="0"/>
          <w:numId w:val="2"/>
        </w:numPr>
      </w:pPr>
      <w:r>
        <w:t xml:space="preserve">Muestra el sistema por contención —partes dentro del todo— y no con flechas de «pertenece a».</w:t>
      </w:r>
    </w:p>
    <w:p>
      <w:pPr>
        <w:pStyle w:val="Normal"/>
        <w:numPr>
          <w:ilvl w:val="0"/>
          <w:numId w:val="2"/>
        </w:numPr>
      </w:pPr>
      <w:r>
        <w:t xml:space="preserve">Dibuja las relaciones como líneas con flecha y rótulo sólo entre ideas que actúan una sobre otra.</w:t>
      </w:r>
    </w:p>
    <w:p>
      <w:pPr>
        <w:pStyle w:val="Normal"/>
        <w:numPr>
          <w:ilvl w:val="0"/>
          <w:numId w:val="2"/>
        </w:numPr>
      </w:pPr>
      <w:r>
        <w:t xml:space="preserve">Marca cada perspectiva con ojo en quien mira y punto del mismo color en lo mirado, sin línea entre ambos.</w:t>
      </w:r>
    </w:p>
    <w:p>
      <w:pPr>
        <w:pStyle w:val="Normal"/>
        <w:numPr>
          <w:ilvl w:val="0"/>
          <w:numId w:val="2"/>
        </w:numPr>
      </w:pPr>
      <w:r>
        <w:t xml:space="preserve">No agrupa el mapa por reglas: la sintaxis queda inmersa en el contenido.</w:t>
      </w:r>
    </w:p>
    <w:p>
      <w:pPr>
        <w:pStyle w:val="Fuente"/>
      </w:pPr>
      <w:r>
        <w:t xml:space="preserve">Clase 10 · láminas 17 y 24 · Clases 11 y 12 · corrección de los mapas de la tarea</w:t>
      </w:r>
    </w:p>
    <w:p>
      <w:pPr>
        <w:pStyle w:val="Heading3"/>
      </w:pPr>
      <w:bookmarkStart w:name="b_pregunta_d2_28_interpretar_ha_92ab786f" w:id="5706"/>
      <w:r>
        <w:t xml:space="preserve">4.28 · Aplicar los hábitos · un caso de soporte técnico</w:t>
      </w:r>
      <w:bookmarkEnd w:id="5706"/>
    </w:p>
    <w:p>
      <w:pPr>
        <w:pStyle w:val="Normal"/>
      </w:pPr>
      <w:r>
        <w:t xml:space="preserve">El jefe de soporte de una empresa recibe cada semana más tickets sin resolver. Su primera reacción fue culpar al técnico recién contratado; la segunda, contratar a dos personas más y, como los tickets no bajaron en dos semanas, cancelar las contrataciones. Indique qué hábitos del pensador sistémico complejo faltaron en cada decisión y qué habría hecho distinto con cada uno.</w:t>
      </w:r>
    </w:p>
    <w:p>
      <w:pPr>
        <w:pStyle w:val="Fuente"/>
      </w:pPr>
      <w:r>
        <w:t xml:space="preserve">Ordinal de la fuente: 28.</w:t>
      </w:r>
    </w:p>
    <w:p>
      <w:pPr>
        <w:pStyle w:val="Fuente"/>
      </w:pPr>
      <w:r>
        <w:t xml:space="preserve">Valor de práctica: 6 puntos.</w:t>
      </w:r>
    </w:p>
    <w:p>
      <w:pPr>
        <w:pStyle w:val="Heading3"/>
      </w:pPr>
      <w:bookmarkStart w:name="b_solucion_d2_28_interpretar_ha_70064181" w:id="5707"/>
      <w:r>
        <w:t xml:space="preserve">Solución 4.28</w:t>
      </w:r>
      <w:bookmarkEnd w:id="5707"/>
    </w:p>
    <w:p>
      <w:pPr>
        <w:pStyle w:val="RecuadroTitulo"/>
      </w:pPr>
      <w:r>
        <w:t xml:space="preserve">Respuesta modelo</w:t>
      </w:r>
    </w:p>
    <w:p>
      <w:pPr>
        <w:pStyle w:val="Normal"/>
      </w:pPr>
      <w:r>
        <w:t xml:space="preserve">La primera decisión buscó un culpable en lugar de una estructura. El hábito «la estructura genera el comportamiento» —y su versión de la clase 16, explorar estructuras sistémicas— pide dejar la culpa a un lado, preguntar qué tiene el problema que no entendemos, describirlo en los niveles del iceberg y recoger las perspectivas del equipo.</w:t>
      </w:r>
    </w:p>
    <w:p>
      <w:pPr>
        <w:pStyle w:val="Normal"/>
      </w:pPr>
      <w:r>
        <w:t xml:space="preserve">Antes de actuar faltó observar el patrón: la serie semanal de tickets abiertos, cerrados y reabiertos. Con ella se ve cuándo empezó la acumulación y si coincide o no con la llegada del técnico. Y faltó ver la causalidad circular: la cola sobrecarga, la sobrecarga degrada la calidad y la mala calidad reabre tickets que engordan la cola, un ciclo de refuerzo.</w:t>
      </w:r>
    </w:p>
    <w:p>
      <w:pPr>
        <w:pStyle w:val="Normal"/>
      </w:pPr>
      <w:r>
        <w:t xml:space="preserve">La segunda decisión ignoró la demora. La contratación es una buena palanca sobre la estructura, pero su efecto tarda: la formación consume tiempo de los veteranos y las nuevas personas rinden semanas después. Con el hábito de reconocer las demoras, el jefe habría fijado de antemano cuánto esperar antes de evaluar y no habría cancelado a las dos semanas.</w:t>
      </w:r>
    </w:p>
    <w:p>
      <w:pPr>
        <w:pStyle w:val="Heading3"/>
      </w:pPr>
      <w:r>
        <w:t xml:space="preserve">Cambie la pregunta por el culpable por la pregunta por la estructura</w:t>
      </w:r>
    </w:p>
    <w:p>
      <w:pPr>
        <w:pStyle w:val="Normal"/>
      </w:pPr>
      <w:r>
        <w:t xml:space="preserve">Culpar al técnico nuevo ignora que la estructura genera el comportamiento: hay que preguntar qué tiene el sistema de soporte —flujo de tickets, turnos, herramientas, reaperturas— que produce la acumulación.</w:t>
      </w:r>
    </w:p>
    <w:p>
      <w:pPr>
        <w:pStyle w:val="Heading3"/>
      </w:pPr>
      <w:r>
        <w:t xml:space="preserve">Mire el patrón en el tiempo</w:t>
      </w:r>
    </w:p>
    <w:p>
      <w:pPr>
        <w:pStyle w:val="Normal"/>
      </w:pPr>
      <w:r>
        <w:t xml:space="preserve">Antes de decidir, graficar los tickets abiertos y cerrados por semana durante meses: si el crecimiento empezó antes de la contratación, el técnico nuevo no es la causa.</w:t>
      </w:r>
    </w:p>
    <w:p>
      <w:pPr>
        <w:pStyle w:val="Heading3"/>
      </w:pPr>
      <w:r>
        <w:t xml:space="preserve">Cierre el lazo</w:t>
      </w:r>
    </w:p>
    <w:p>
      <w:pPr>
        <w:pStyle w:val="Normal"/>
      </w:pPr>
      <w:r>
        <w:t xml:space="preserve">Más tickets pendientes sobrecargan al equipo; la sobrecarga baja la calidad de las respuestas; las respuestas de mala calidad se reabren y vuelven a la cola. Es un ciclo de refuerzo que el jefe leyó como una lista de eventos.</w:t>
      </w:r>
    </w:p>
    <w:p>
      <w:pPr>
        <w:pStyle w:val="Heading3"/>
      </w:pPr>
      <w:r>
        <w:t xml:space="preserve">Reconozca la demora antes de cancelar</w:t>
      </w:r>
    </w:p>
    <w:p>
      <w:pPr>
        <w:pStyle w:val="Normal"/>
      </w:pPr>
      <w:r>
        <w:t xml:space="preserve">Dos personas nuevas tardan semanas en formarse y, mientras aprenden, quitan tiempo a los veteranos: el efecto de la contratación llega después de un empeoramiento inicial. Cancelar a las dos semanas es juzgar la acción antes de que su efecto llegue.</w:t>
      </w:r>
    </w:p>
    <w:p>
      <w:pPr>
        <w:pStyle w:val="Normal"/>
      </w:pPr>
      <w:r>
        <w:t xml:space="preserve">Limitarse a nombrar los cinco hábitos sin aplicarlos a las dos decisiones.</w:t>
      </w:r>
    </w:p>
    <w:p>
      <w:pPr>
        <w:pStyle w:val="Normal"/>
      </w:pPr>
      <w:r>
        <w:t xml:space="preserve">Tratar la contratación como una mala decisión en vez de como una buena decisión evaluada demasiado pronto.</w:t>
      </w:r>
    </w:p>
    <w:p>
      <w:pPr>
        <w:pStyle w:val="Heading3"/>
      </w:pPr>
      <w:r>
        <w:t xml:space="preserve">Criterios para una respuesta completa</w:t>
      </w:r>
    </w:p>
    <w:p>
      <w:pPr>
        <w:pStyle w:val="Normal"/>
        <w:numPr>
          <w:ilvl w:val="0"/>
          <w:numId w:val="2"/>
        </w:numPr>
      </w:pPr>
      <w:r>
        <w:t xml:space="preserve">Identifica la búsqueda de culpable y la reemplaza por la pregunta por la estructura.</w:t>
      </w:r>
    </w:p>
    <w:p>
      <w:pPr>
        <w:pStyle w:val="Normal"/>
        <w:numPr>
          <w:ilvl w:val="0"/>
          <w:numId w:val="2"/>
        </w:numPr>
      </w:pPr>
      <w:r>
        <w:t xml:space="preserve">Propone mirar el patrón en el tiempo antes de decidir.</w:t>
      </w:r>
    </w:p>
    <w:p>
      <w:pPr>
        <w:pStyle w:val="Normal"/>
        <w:numPr>
          <w:ilvl w:val="0"/>
          <w:numId w:val="2"/>
        </w:numPr>
      </w:pPr>
      <w:r>
        <w:t xml:space="preserve">Describe el ciclo de refuerzo entre cola, sobrecarga, calidad y reaperturas.</w:t>
      </w:r>
    </w:p>
    <w:p>
      <w:pPr>
        <w:pStyle w:val="Normal"/>
        <w:numPr>
          <w:ilvl w:val="0"/>
          <w:numId w:val="2"/>
        </w:numPr>
      </w:pPr>
      <w:r>
        <w:t xml:space="preserve">Explica la cancelación como un error de demora y dice cuánto tiempo habría que esperar.</w:t>
      </w:r>
    </w:p>
    <w:p>
      <w:pPr>
        <w:pStyle w:val="Fuente"/>
      </w:pPr>
      <w:r>
        <w:t xml:space="preserve">Clase 15 · 00:07:41 · lámina 1 · Clase 16 · 00:21:29 · lámina 3</w:t>
      </w:r>
    </w:p>
    <w:p>
      <w:pPr>
        <w:pStyle w:val="Heading3"/>
      </w:pPr>
      <w:bookmarkStart w:name="b_pregunta_d2_29_interpretar_li_6d99e5ce" w:id="5708"/>
      <w:r>
        <w:t xml:space="preserve">4.29 · Revisar un diagrama · lineamientos de Kim</w:t>
      </w:r>
      <w:bookmarkEnd w:id="5708"/>
    </w:p>
    <w:p>
      <w:pPr>
        <w:pStyle w:val="Normal"/>
      </w:pPr>
      <w:r>
        <w:t xml:space="preserve">Un compañero entregó este ciclo: «Aumentar la publicidad → (+) Ventas → (+) Estado de ánimo del equipo → (+) Aumentar la publicidad», y lo marcó con una B en el centro «porque la publicidad cuesta». Revise el diagrama con los lineamientos de Kim para dibujar diagramas de ciclos causales, señale cada falla y escriba el ciclo corregido.</w:t>
      </w:r>
    </w:p>
    <w:p>
      <w:pPr>
        <w:pStyle w:val="Fuente"/>
      </w:pPr>
      <w:r>
        <w:t xml:space="preserve">Ordinal de la fuente: 29.</w:t>
      </w:r>
    </w:p>
    <w:p>
      <w:pPr>
        <w:pStyle w:val="Fuente"/>
      </w:pPr>
      <w:r>
        <w:t xml:space="preserve">Valor de práctica: 6 puntos.</w:t>
      </w:r>
    </w:p>
    <w:p>
      <w:pPr>
        <w:pStyle w:val="Heading3"/>
      </w:pPr>
      <w:bookmarkStart w:name="b_solucion_d2_29_interpretar_li_7763c00b" w:id="5709"/>
      <w:r>
        <w:t xml:space="preserve">Solución 4.29</w:t>
      </w:r>
      <w:bookmarkEnd w:id="5709"/>
    </w:p>
    <w:p>
      <w:pPr>
        <w:pStyle w:val="RecuadroTitulo"/>
      </w:pPr>
      <w:r>
        <w:t xml:space="preserve">Respuesta modelo</w:t>
      </w:r>
    </w:p>
    <w:p>
      <w:pPr>
        <w:pStyle w:val="Normal"/>
      </w:pPr>
      <w:r>
        <w:t xml:space="preserve">Fallas: dos nombres de variable mal elegidos —una frase de acción y un estado que no varía—, una letra B que no corresponde a los signos y una relación que pide un término intermedio. El costo de la publicidad no está en el diagrama, sólo en la justificación.</w:t>
      </w:r>
    </w:p>
    <w:p>
      <w:pPr>
        <w:pStyle w:val="Normal"/>
      </w:pPr>
      <w:r>
        <w:t xml:space="preserve">Ciclo corregido: Publicidad → (+) Clientes que conocen el producto → (+) Ventas → (+) Motivación del equipo → (+) Publicidad. Cero relaciones negativas: es un ciclo de refuerzo y lleva R en el centro. Releído: más publicidad, más clientes informados, más ventas, más motivación, más publicidad.</w:t>
      </w:r>
    </w:p>
    <w:p>
      <w:pPr>
        <w:pStyle w:val="Normal"/>
      </w:pPr>
      <w:r>
        <w:t xml:space="preserve">Si se quiere representar que la publicidad cuesta, se dibuja un segundo ciclo de balance con el objetivo explícito: Publicidad → (+) Gasto en publicidad → (−) Presupuesto disponible → (+) Publicidad. Una relación negativa, número impar, B. Los dos ciclos juntos cuentan la historia completa: el refuerzo crece hasta que el presupuesto lo frena.</w:t>
      </w:r>
    </w:p>
    <w:p>
      <w:pPr>
        <w:pStyle w:val="Heading3"/>
      </w:pPr>
      <w:r>
        <w:t xml:space="preserve">Nombre las variables con sustantivos que puedan subir y bajar</w:t>
      </w:r>
    </w:p>
    <w:p>
      <w:pPr>
        <w:pStyle w:val="Normal"/>
      </w:pPr>
      <w:r>
        <w:t xml:space="preserve">«Aumentar la publicidad» es una frase de acción: la acción va en las flechas. Queda «Publicidad». «Estado de ánimo del equipo» no sube ni baja; «Motivación del equipo» sí.</w:t>
      </w:r>
    </w:p>
    <w:p>
      <w:pPr>
        <w:pStyle w:val="Heading3"/>
      </w:pPr>
      <w:r>
        <w:t xml:space="preserve">Cuente los negativos y relea el ciclo</w:t>
      </w:r>
    </w:p>
    <w:p>
      <w:pPr>
        <w:pStyle w:val="Normal"/>
      </w:pPr>
      <w:r>
        <w:t xml:space="preserve">Las tres relaciones son positivas: cero negativos, número par, ciclo de refuerzo. La letra debe ser R. Que la publicidad cueste no cambia el signo de ninguna flecha del ciclo.</w:t>
      </w:r>
    </w:p>
    <w:p>
      <w:pPr>
        <w:pStyle w:val="Heading3"/>
      </w:pPr>
      <w:r>
        <w:t xml:space="preserve">Inserte el término intermedio que hace obvia la relación</w:t>
      </w:r>
    </w:p>
    <w:p>
      <w:pPr>
        <w:pStyle w:val="Normal"/>
      </w:pPr>
      <w:r>
        <w:t xml:space="preserve">Publicidad → Ventas necesita explicación; con «Clientes que conocen el producto» entre ambas, la relación se lee sola.</w:t>
      </w:r>
    </w:p>
    <w:p>
      <w:pPr>
        <w:pStyle w:val="Heading3"/>
      </w:pPr>
      <w:r>
        <w:t xml:space="preserve">Piense en las consecuencias no intencionadas y en el objetivo</w:t>
      </w:r>
    </w:p>
    <w:p>
      <w:pPr>
        <w:pStyle w:val="Normal"/>
      </w:pPr>
      <w:r>
        <w:t xml:space="preserve">El costo que el compañero quería expresar es otro ciclo: Publicidad → (+) Gasto en publicidad → (−) Presupuesto disponible → (+) Publicidad, un B con el presupuesto como objetivo explícito que frena al R.</w:t>
      </w:r>
    </w:p>
    <w:p>
      <w:pPr>
        <w:pStyle w:val="Normal"/>
      </w:pPr>
      <w:r>
        <w:t xml:space="preserve">Cambiar la letra a R sin corregir los nombres de las variables.</w:t>
      </w:r>
    </w:p>
    <w:p>
      <w:pPr>
        <w:pStyle w:val="Normal"/>
      </w:pPr>
      <w:r>
        <w:t xml:space="preserve">Meter el costo como un signo negativo en una flecha que en realidad es positiva.</w:t>
      </w:r>
    </w:p>
    <w:p>
      <w:pPr>
        <w:pStyle w:val="Heading3"/>
      </w:pPr>
      <w:r>
        <w:t xml:space="preserve">Criterios para una respuesta completa</w:t>
      </w:r>
    </w:p>
    <w:p>
      <w:pPr>
        <w:pStyle w:val="Normal"/>
        <w:numPr>
          <w:ilvl w:val="0"/>
          <w:numId w:val="2"/>
        </w:numPr>
      </w:pPr>
      <w:r>
        <w:t xml:space="preserve">Renombra las variables con sustantivos que admiten más y menos.</w:t>
      </w:r>
    </w:p>
    <w:p>
      <w:pPr>
        <w:pStyle w:val="Normal"/>
        <w:numPr>
          <w:ilvl w:val="0"/>
          <w:numId w:val="2"/>
        </w:numPr>
      </w:pPr>
      <w:r>
        <w:t xml:space="preserve">Cuenta los signos negativos, corrige la letra a R y relee el ciclo.</w:t>
      </w:r>
    </w:p>
    <w:p>
      <w:pPr>
        <w:pStyle w:val="Normal"/>
        <w:numPr>
          <w:ilvl w:val="0"/>
          <w:numId w:val="2"/>
        </w:numPr>
      </w:pPr>
      <w:r>
        <w:t xml:space="preserve">Inserta un término intermedio donde la relación necesita explicación.</w:t>
      </w:r>
    </w:p>
    <w:p>
      <w:pPr>
        <w:pStyle w:val="Normal"/>
        <w:numPr>
          <w:ilvl w:val="0"/>
          <w:numId w:val="2"/>
        </w:numPr>
      </w:pPr>
      <w:r>
        <w:t xml:space="preserve">Separa el costo en un ciclo de balance con objetivo explícito, en vez de forzar la B en el ciclo original.</w:t>
      </w:r>
    </w:p>
    <w:p>
      <w:pPr>
        <w:pStyle w:val="Fuente"/>
      </w:pPr>
      <w:r>
        <w:t xml:space="preserve">Clase 16 · 00:41:57 · lámina 6 · lectura L-9, lineamientos 1, 2, 4, 5, 9 y 10</w:t>
      </w:r>
    </w:p>
    <w:p>
      <w:pPr>
        <w:pStyle w:val="Heading3"/>
      </w:pPr>
      <w:bookmarkStart w:name="b_pregunta_d2_30_diagramar_autopistas" w:id="5710"/>
      <w:r>
        <w:t xml:space="preserve">4.30 · Diagramar una historia · refuerzo de primer orden</w:t>
      </w:r>
      <w:bookmarkEnd w:id="5710"/>
    </w:p>
    <w:p>
      <w:pPr>
        <w:pStyle w:val="Normal"/>
      </w:pPr>
      <w:r>
        <w:t xml:space="preserve">Diagrame con la sintaxis de la clase esta historia de la sesión de aprendizaje: «Las autopistas de una región aumentan con la construcción de autopistas y se reducen por el abandono, que es constante. La construcción aumenta cuando aumentan los ingresos de las autopistas y baja cuando suben los costes de construcción. Los ingresos varían directamente con las autopistas en servicio». Asigne las polaridades, identifique el ciclo y describa su comportamiento.</w:t>
      </w:r>
    </w:p>
    <w:p>
      <w:pPr>
        <w:pStyle w:val="Fuente"/>
      </w:pPr>
      <w:r>
        <w:t xml:space="preserve">Ordinal de la fuente: 30.</w:t>
      </w:r>
    </w:p>
    <w:p>
      <w:pPr>
        <w:pStyle w:val="Fuente"/>
      </w:pPr>
      <w:r>
        <w:t xml:space="preserve">Valor de práctica: 6 puntos.</w:t>
      </w:r>
    </w:p>
    <w:p>
      <w:pPr>
        <w:pStyle w:val="Heading3"/>
      </w:pPr>
      <w:bookmarkStart w:name="b_solucion_d2_30_diagramar_autopistas" w:id="5711"/>
      <w:r>
        <w:t xml:space="preserve">Solución 4.30</w:t>
      </w:r>
      <w:bookmarkEnd w:id="5711"/>
    </w:p>
    <w:p>
      <w:pPr>
        <w:pStyle w:val="RecuadroTitulo"/>
      </w:pPr>
      <w:r>
        <w:t xml:space="preserve">Respuesta modelo</w:t>
      </w:r>
    </w:p>
    <w:p>
      <w:pPr>
        <w:pStyle w:val="Normal"/>
      </w:pPr>
      <w:r>
        <w:t xml:space="preserve">El ciclo tiene tres variables: Autopistas → (+) Ingresos de autopistas → (+) Construcción de autopistas → (+) Autopistas. Los costes de construcción influyen negativamente sobre la construcción y el abandono influye negativamente sobre las autopistas; ambas son externas al recorrido.</w:t>
      </w:r>
    </w:p>
    <w:p>
      <w:pPr>
        <w:pStyle w:val="Normal"/>
      </w:pPr>
      <w:r>
        <w:t xml:space="preserve">Sin relaciones negativas en el recorrido, el ciclo es de refuerzo —realimentación positiva— y lleva R en el centro. La sesión lo llama también efecto de arrastre, bola de nieve o círculo vicioso: un cambio inducido en cualquier variable sólo puede acelerar el cambio inicial.</w:t>
      </w:r>
    </w:p>
    <w:p>
      <w:pPr>
        <w:pStyle w:val="Normal"/>
      </w:pPr>
      <w:r>
        <w:t xml:space="preserve">El comportamiento es de crecimiento que se alimenta a sí mismo: más autopistas generan más ingresos, que financian más construcción, que produce más autopistas. Las influencias externas frenan el ritmo pero no invierten la tendencia mientras los ingresos superen a los costes y al abandono.</w:t>
      </w:r>
    </w:p>
    <w:p>
      <w:pPr>
        <w:pStyle w:val="Heading3"/>
      </w:pPr>
      <w:r>
        <w:t xml:space="preserve">Elija las variables con sustantivos</w:t>
      </w:r>
    </w:p>
    <w:p>
      <w:pPr>
        <w:pStyle w:val="Normal"/>
      </w:pPr>
      <w:r>
        <w:t xml:space="preserve">Autopistas, ingresos de autopistas y construcción de autopistas cierran el ciclo. Los costes de construcción y el abandono son influencias externas que entran al ciclo pero no vuelven.</w:t>
      </w:r>
    </w:p>
    <w:p>
      <w:pPr>
        <w:pStyle w:val="Heading3"/>
      </w:pPr>
      <w:r>
        <w:t xml:space="preserve">Lea cada relación desde «a más…»</w:t>
      </w:r>
    </w:p>
    <w:p>
      <w:pPr>
        <w:pStyle w:val="Normal"/>
      </w:pPr>
      <w:r>
        <w:t xml:space="preserve">A más autopistas, más ingresos: positiva. A más ingresos, más construcción: positiva. A más construcción, más autopistas: positiva. A más costes, menos construcción: negativa externa. A más abandono, menos autopistas: negativa externa.</w:t>
      </w:r>
    </w:p>
    <w:p>
      <w:pPr>
        <w:pStyle w:val="Heading3"/>
      </w:pPr>
      <w:r>
        <w:t xml:space="preserve">Cuente los negativos del recorrido</w:t>
      </w:r>
    </w:p>
    <w:p>
      <w:pPr>
        <w:pStyle w:val="Normal"/>
      </w:pPr>
      <w:r>
        <w:t xml:space="preserve">En el ciclo no hay ninguna relación negativa. Cero es par: ciclo de refuerzo, letra R. Las dos negativas externas no forman parte del recorrido y no cambian la letra.</w:t>
      </w:r>
    </w:p>
    <w:p>
      <w:pPr>
        <w:pStyle w:val="Heading3"/>
      </w:pPr>
      <w:r>
        <w:t xml:space="preserve">Describa el comportamiento</w:t>
      </w:r>
    </w:p>
    <w:p>
      <w:pPr>
        <w:pStyle w:val="Normal"/>
      </w:pPr>
      <w:r>
        <w:t xml:space="preserve">Cada vuelta refuerza la anterior: las autopistas se pagan a sí mismas y el crecimiento se acelera —bola de nieve— hasta que los frenos externos, costes y abandono, pesen más que los ingresos.</w:t>
      </w:r>
    </w:p>
    <w:p>
      <w:pPr>
        <w:pStyle w:val="Normal"/>
      </w:pPr>
      <w:r>
        <w:t xml:space="preserve">Contar las negativas externas como si fueran parte del ciclo y concluir que es de balance.</w:t>
      </w:r>
    </w:p>
    <w:p>
      <w:pPr>
        <w:pStyle w:val="Normal"/>
      </w:pPr>
      <w:r>
        <w:t xml:space="preserve">Dibujar el abandono como una variable del recorrido cuando la historia lo declara constante.</w:t>
      </w:r>
    </w:p>
    <w:p>
      <w:pPr>
        <w:keepNext/>
        <w:spacing w:after="40" w:before="150"/>
        <w:jc w:val="center"/>
      </w:pPr>
      <w:bookmarkStart w:name="b_figura_original_d2_30_diagram_6dbf06df" w:id="5712"/>
      <w:bookmarkEnd w:id="5712"/>
      <w:r>
        <w:drawing>
          <wp:inline distT="0" distB="0" distL="0" distR="0">
            <wp:extent cx="5381625" cy="3362325"/>
            <wp:effectExtent t="0" r="0" b="0" l="0"/>
            <wp:docPr id="253" name="d2-30-diagramar-autopistas-modelo" descr="lectura L-10 · sesión de aprendizaje 2, ejemplo 1" title="Diagramar una historia · refuerzo de primer ord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17" cstate="none"/>
                    <a:srcRect/>
                    <a:stretch>
                      <a:fillRect/>
                    </a:stretch>
                  </pic:blipFill>
                  <pic:spPr bwMode="auto">
                    <a:xfrm>
                      <a:off x="0" y="0"/>
                      <a:ext cx="5381625" cy="3362325"/>
                    </a:xfrm>
                    <a:prstGeom prst="rect">
                      <a:avLst/>
                    </a:prstGeom>
                  </pic:spPr>
                </pic:pic>
              </a:graphicData>
            </a:graphic>
          </wp:inline>
        </w:drawing>
      </w:r>
    </w:p>
    <w:p>
      <w:pPr>
        <w:pStyle w:val="PieFigura"/>
        <w:keepNext/>
      </w:pPr>
      <w:bookmarkStart w:name="b_fig_V4_20" w:id="5713"/>
      <w:r>
        <w:t xml:space="preserve">Figura V4.</w:t>
      </w:r>
      <w:fldSimple w:instr="SEQ Figura \n \* ARABIC">
        <w:r>
          <w:t xml:space="preserve">20</w:t>
        </w:r>
      </w:fldSimple>
      <w:r>
        <w:t xml:space="preserve"> · Diagramar una historia · refuerzo de primer orden</w:t>
      </w:r>
      <w:bookmarkEnd w:id="5713"/>
    </w:p>
    <w:p>
      <w:pPr>
        <w:pStyle w:val="LecturaFigura"/>
        <w:keepNext/>
      </w:pPr>
      <w:r>
        <w:rPr>
          <w:b/>
          <w:bCs/>
        </w:rPr>
        <w:t xml:space="preserve">Lectura del diagrama: </w:t>
      </w:r>
      <w:r>
        <w:t xml:space="preserve">«Refuerzo de primer orden» · 3 relaciones (+) y 0 relaciones (−) · 0 negativas · número par ⇒ ciclo de refuerzo (R). A más autopistas, más ingresos; a más ingresos, más construcción; a más construcción, más autopistas. Sin influencias negativas en el recorrido, el bucle es de refuerzo: el crecimiento se arrastra a sí mismo. Los costes de construcción y el abandono lo frenan desde fuera, pero no cierran otro bucle.</w:t>
      </w:r>
    </w:p>
    <w:p>
      <w:pPr>
        <w:pStyle w:val="Fuente"/>
      </w:pPr>
      <w:r>
        <w:t xml:space="preserve">lectura L-10 · sesión de aprendizaje 2, ejemplo 1</w:t>
      </w:r>
    </w:p>
    <w:p>
      <w:pPr>
        <w:pStyle w:val="Heading3"/>
      </w:pPr>
      <w:r>
        <w:t xml:space="preserve">Criterios para una respuesta completa</w:t>
      </w:r>
    </w:p>
    <w:p>
      <w:pPr>
        <w:pStyle w:val="Normal"/>
        <w:numPr>
          <w:ilvl w:val="0"/>
          <w:numId w:val="2"/>
        </w:numPr>
      </w:pPr>
      <w:r>
        <w:t xml:space="preserve">Nombra las tres variables del ciclo con sustantivos y deja costes y abandono como influencias externas.</w:t>
      </w:r>
    </w:p>
    <w:p>
      <w:pPr>
        <w:pStyle w:val="Normal"/>
        <w:numPr>
          <w:ilvl w:val="0"/>
          <w:numId w:val="2"/>
        </w:numPr>
      </w:pPr>
      <w:r>
        <w:t xml:space="preserve">Asigna las cinco polaridades leyendo cada relación desde «a más».</w:t>
      </w:r>
    </w:p>
    <w:p>
      <w:pPr>
        <w:pStyle w:val="Normal"/>
        <w:numPr>
          <w:ilvl w:val="0"/>
          <w:numId w:val="2"/>
        </w:numPr>
      </w:pPr>
      <w:r>
        <w:t xml:space="preserve">Cuenta cero negativos en el recorrido y clasifica el ciclo como R.</w:t>
      </w:r>
    </w:p>
    <w:p>
      <w:pPr>
        <w:pStyle w:val="Normal"/>
        <w:numPr>
          <w:ilvl w:val="0"/>
          <w:numId w:val="2"/>
        </w:numPr>
      </w:pPr>
      <w:r>
        <w:t xml:space="preserve">Describe el crecimiento reforzado y el papel de los frenos externos.</w:t>
      </w:r>
    </w:p>
    <w:p>
      <w:pPr>
        <w:pStyle w:val="Fuente"/>
      </w:pPr>
      <w:r>
        <w:t xml:space="preserve">lectura L-10 · sesión de aprendizaje 2, ejemplo 1</w:t>
      </w:r>
    </w:p>
    <w:p>
      <w:pPr>
        <w:pStyle w:val="Heading3"/>
      </w:pPr>
      <w:bookmarkStart w:name="b_pregunta_d2_31_interpretar_ma_23e79de9" w:id="5714"/>
      <w:r>
        <w:t xml:space="preserve">4.31 · Interpretar un mapa DSRP · las cuatro reglas</w:t>
      </w:r>
      <w:bookmarkEnd w:id="5714"/>
    </w:p>
    <w:p>
      <w:pPr>
        <w:pStyle w:val="Normal"/>
      </w:pPr>
      <w:r>
        <w:t xml:space="preserve">Observe el mapa DSRP de la biblioteca central. Sin agregar nada que el mapa no dibuje, escriba la historia que cuenta: qué ideas distingue, qué contiene qué, qué actúa sobre qué y con qué verbo, y quién mira qué. Diga con qué marca de la sintaxis reconoció cada regla.</w:t>
      </w:r>
    </w:p>
    <w:p>
      <w:pPr>
        <w:pStyle w:val="Fuente"/>
      </w:pPr>
      <w:r>
        <w:t xml:space="preserve">Ordinal de la fuente: 31.</w:t>
      </w:r>
    </w:p>
    <w:p>
      <w:pPr>
        <w:pStyle w:val="Fuente"/>
      </w:pPr>
      <w:r>
        <w:t xml:space="preserve">Valor de práctica: 7 puntos.</w:t>
      </w:r>
    </w:p>
    <w:p>
      <w:pPr>
        <w:keepNext/>
        <w:spacing w:after="40" w:before="150"/>
        <w:jc w:val="center"/>
      </w:pPr>
      <w:bookmarkStart w:name="b_figura_original_d2_31_interpr_53e074e9" w:id="5715"/>
      <w:bookmarkEnd w:id="5715"/>
      <w:r>
        <w:drawing>
          <wp:inline distT="0" distB="0" distL="0" distR="0">
            <wp:extent cx="5381625" cy="3171825"/>
            <wp:effectExtent t="0" r="0" b="0" l="0"/>
            <wp:docPr id="254" name="d2-31-interpretar-mapa-dsrp-biblioteca-enunciado" descr="Clase 10 · láminas 17 y 24 · Clases 11 y 12" title="Interpretar un mapa DSRP · las cuatro regl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18" cstate="none"/>
                    <a:srcRect/>
                    <a:stretch>
                      <a:fillRect/>
                    </a:stretch>
                  </pic:blipFill>
                  <pic:spPr bwMode="auto">
                    <a:xfrm>
                      <a:off x="0" y="0"/>
                      <a:ext cx="5381625" cy="3171825"/>
                    </a:xfrm>
                    <a:prstGeom prst="rect">
                      <a:avLst/>
                    </a:prstGeom>
                  </pic:spPr>
                </pic:pic>
              </a:graphicData>
            </a:graphic>
          </wp:inline>
        </w:drawing>
      </w:r>
    </w:p>
    <w:p>
      <w:pPr>
        <w:pStyle w:val="PieFigura"/>
        <w:keepNext/>
      </w:pPr>
      <w:bookmarkStart w:name="b_fig_V4_21" w:id="5716"/>
      <w:r>
        <w:t xml:space="preserve">Figura V4.</w:t>
      </w:r>
      <w:fldSimple w:instr="SEQ Figura \n \* ARABIC">
        <w:r>
          <w:t xml:space="preserve">21</w:t>
        </w:r>
      </w:fldSimple>
      <w:r>
        <w:t xml:space="preserve"> · Interpretar un mapa DSRP · las cuatro reglas</w:t>
      </w:r>
      <w:bookmarkEnd w:id="5716"/>
    </w:p>
    <w:p>
      <w:pPr>
        <w:pStyle w:val="Fuente"/>
      </w:pPr>
      <w:r>
        <w:t xml:space="preserve">Clase 10 · láminas 17 y 24 · Clases 11 y 12</w:t>
      </w:r>
    </w:p>
    <w:p>
      <w:pPr>
        <w:pStyle w:val="Heading3"/>
      </w:pPr>
      <w:bookmarkStart w:name="b_solucion_d2_31_interpretar_ma_73d82c45" w:id="5717"/>
      <w:r>
        <w:t xml:space="preserve">Solución 4.31</w:t>
      </w:r>
      <w:bookmarkEnd w:id="5717"/>
    </w:p>
    <w:p>
      <w:pPr>
        <w:pStyle w:val="RecuadroTitulo"/>
      </w:pPr>
      <w:r>
        <w:t xml:space="preserve">Respuesta modelo</w:t>
      </w:r>
    </w:p>
    <w:p>
      <w:pPr>
        <w:pStyle w:val="Normal"/>
      </w:pPr>
      <w:r>
        <w:t xml:space="preserve">El mapa distingue ocho ideas, cada una en su rectángulo. Tres de ellas —el acervo, el mostrador de préstamo y la sala de lectura— están contenidas en la biblioteca central, y la sala contiene a su vez los cubículos y las mesas de grupo: la biblioteca es un sistema con partes, y la sala un subsistema.</w:t>
      </w:r>
    </w:p>
    <w:p>
      <w:pPr>
        <w:pStyle w:val="Normal"/>
      </w:pPr>
      <w:r>
        <w:t xml:space="preserve">Hay tres relaciones, todas con flecha y verbo: los estudiantes solicitan préstamos al mostrador, el mostrador retira y devuelve ejemplares del acervo, y los docentes recomiendan compras para el acervo. La cola de cada línea es quien actúa y la punta, sobre quién actúa.</w:t>
      </w:r>
    </w:p>
    <w:p>
      <w:pPr>
        <w:pStyle w:val="Normal"/>
      </w:pPr>
      <w:r>
        <w:t xml:space="preserve">Hay dos perspectivas, reconocibles por el par ojo y punto del mismo color: los estudiantes miran la biblioteca, y los docentes también la miran. El mapa no dice qué ven —eso no está dibujado—; dice quién mira qué. Nada más se puede afirmar sin inventar.</w:t>
      </w:r>
    </w:p>
    <w:p>
      <w:pPr>
        <w:pStyle w:val="Heading3"/>
      </w:pPr>
      <w:r>
        <w:t xml:space="preserve">Lea los rectángulos: cada uno es una distinción</w:t>
      </w:r>
    </w:p>
    <w:p>
      <w:pPr>
        <w:pStyle w:val="Normal"/>
      </w:pPr>
      <w:r>
        <w:t xml:space="preserve">Estudiantes, docentes, biblioteca central, acervo, mostrador de préstamo, sala de lectura, cubículos y mesas de grupo. Un rectángulo con nombre separa la idea de lo que no es.</w:t>
      </w:r>
    </w:p>
    <w:p>
      <w:pPr>
        <w:pStyle w:val="Heading3"/>
      </w:pPr>
      <w:r>
        <w:t xml:space="preserve">Lea la contención: lo que está dentro es parte</w:t>
      </w:r>
    </w:p>
    <w:p>
      <w:pPr>
        <w:pStyle w:val="Normal"/>
      </w:pPr>
      <w:r>
        <w:t xml:space="preserve">El acervo, el mostrador y la sala están dentro de la biblioteca; los cubículos y las mesas, dentro de la sala. No hay flecha que diga «pertenece a»: la contención lo dice sola.</w:t>
      </w:r>
    </w:p>
    <w:p>
      <w:pPr>
        <w:pStyle w:val="Heading3"/>
      </w:pPr>
      <w:r>
        <w:t xml:space="preserve">Lea cada línea con flecha: la cola actúa sobre la punta</w:t>
      </w:r>
    </w:p>
    <w:p>
      <w:pPr>
        <w:pStyle w:val="Normal"/>
      </w:pPr>
      <w:r>
        <w:t xml:space="preserve">Los estudiantes solicitan préstamos al mostrador; el mostrador retira y devuelve ejemplares del acervo; los docentes recomiendan compras para el acervo. El rótulo es el verbo.</w:t>
      </w:r>
    </w:p>
    <w:p>
      <w:pPr>
        <w:pStyle w:val="Heading3"/>
      </w:pPr>
      <w:r>
        <w:t xml:space="preserve">Empareje cada ojo con su punto por el color</w:t>
      </w:r>
    </w:p>
    <w:p>
      <w:pPr>
        <w:pStyle w:val="Normal"/>
      </w:pPr>
      <w:r>
        <w:t xml:space="preserve">El ojo naranja está en Estudiantes y su punto en la biblioteca; el ojo azul está en Docentes y su punto también en la biblioteca. Dos perspectivas sobre la misma idea, sin ninguna línea entre ojo y punto.</w:t>
      </w:r>
    </w:p>
    <w:p>
      <w:pPr>
        <w:pStyle w:val="Normal"/>
      </w:pPr>
      <w:r>
        <w:t xml:space="preserve">Leer la contención como un «pertenece a» con flecha.</w:t>
      </w:r>
    </w:p>
    <w:p>
      <w:pPr>
        <w:pStyle w:val="Normal"/>
      </w:pPr>
      <w:r>
        <w:t xml:space="preserve">Leer el punto como si fuera otro ojo, o unir ojo y punto con una línea.</w:t>
      </w:r>
    </w:p>
    <w:p>
      <w:pPr>
        <w:pStyle w:val="Normal"/>
      </w:pPr>
      <w:r>
        <w:t xml:space="preserve">Convertir el mapa en un diagrama causal con signos + y −.</w:t>
      </w:r>
    </w:p>
    <w:p>
      <w:pPr>
        <w:keepNext/>
        <w:spacing w:after="40" w:before="150"/>
        <w:jc w:val="center"/>
      </w:pPr>
      <w:bookmarkStart w:name="b_figura_original_d2_31_interpr_4588cd0f" w:id="5718"/>
      <w:bookmarkEnd w:id="5718"/>
      <w:r>
        <w:drawing>
          <wp:inline distT="0" distB="0" distL="0" distR="0">
            <wp:extent cx="5381625" cy="3524250"/>
            <wp:effectExtent t="0" r="0" b="0" l="0"/>
            <wp:docPr id="255" name="d2-31-interpretar-mapa-dsrp-biblioteca-modelo" descr="Clase 10 · láminas 17 y 24 · Clases 11 y 12" title="Interpretar un mapa DSRP · las cuatro regl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19" cstate="none"/>
                    <a:srcRect/>
                    <a:stretch>
                      <a:fillRect/>
                    </a:stretch>
                  </pic:blipFill>
                  <pic:spPr bwMode="auto">
                    <a:xfrm>
                      <a:off x="0" y="0"/>
                      <a:ext cx="5381625" cy="3524250"/>
                    </a:xfrm>
                    <a:prstGeom prst="rect">
                      <a:avLst/>
                    </a:prstGeom>
                  </pic:spPr>
                </pic:pic>
              </a:graphicData>
            </a:graphic>
          </wp:inline>
        </w:drawing>
      </w:r>
    </w:p>
    <w:p>
      <w:pPr>
        <w:pStyle w:val="PieFigura"/>
        <w:keepNext/>
      </w:pPr>
      <w:bookmarkStart w:name="b_fig_V4_22" w:id="5719"/>
      <w:r>
        <w:t xml:space="preserve">Figura V4.</w:t>
      </w:r>
      <w:fldSimple w:instr="SEQ Figura \n \* ARABIC">
        <w:r>
          <w:t xml:space="preserve">22</w:t>
        </w:r>
      </w:fldSimple>
      <w:r>
        <w:t xml:space="preserve"> · Interpretar un mapa DSRP · las cuatro reglas</w:t>
      </w:r>
      <w:bookmarkEnd w:id="5719"/>
    </w:p>
    <w:p>
      <w:pPr>
        <w:pStyle w:val="LecturaFigura"/>
        <w:keepNext/>
      </w:pPr>
      <w:r>
        <w:rPr>
          <w:b/>
          <w:bCs/>
        </w:rPr>
        <w:t xml:space="preserve">Lectura del diagrama: </w:t>
      </w:r>
      <w:r>
        <w:t xml:space="preserve">La biblioteca central contiene el acervo, el mostrador de préstamo y la sala de lectura; la sala contiene los cubículos y las mesas de grupo. Los estudiantes solicitan préstamos en el mostrador, el mostrador retira y devuelve ejemplares del acervo, y los docentes recomiendan compras para el acervo. Los estudiantes miran la biblioteca como un lugar para estudiar en grupo; los docentes, como la fuente de la bibliografía del curso.</w:t>
      </w:r>
    </w:p>
    <w:p>
      <w:pPr>
        <w:pStyle w:val="Fuente"/>
      </w:pPr>
      <w:r>
        <w:t xml:space="preserve">Clase 10 · láminas 17 y 24 · Clases 11 y 12</w:t>
      </w:r>
    </w:p>
    <w:p>
      <w:pPr>
        <w:pStyle w:val="Heading3"/>
      </w:pPr>
      <w:r>
        <w:t xml:space="preserve">Criterios para una respuesta completa</w:t>
      </w:r>
    </w:p>
    <w:p>
      <w:pPr>
        <w:pStyle w:val="Normal"/>
        <w:numPr>
          <w:ilvl w:val="0"/>
          <w:numId w:val="2"/>
        </w:numPr>
      </w:pPr>
      <w:r>
        <w:t xml:space="preserve">Enumera las distinciones como rectángulos con nombre.</w:t>
      </w:r>
    </w:p>
    <w:p>
      <w:pPr>
        <w:pStyle w:val="Normal"/>
        <w:numPr>
          <w:ilvl w:val="0"/>
          <w:numId w:val="2"/>
        </w:numPr>
      </w:pPr>
      <w:r>
        <w:t xml:space="preserve">Lee la contención como parte y todo, no como una relación.</w:t>
      </w:r>
    </w:p>
    <w:p>
      <w:pPr>
        <w:pStyle w:val="Normal"/>
        <w:numPr>
          <w:ilvl w:val="0"/>
          <w:numId w:val="2"/>
        </w:numPr>
      </w:pPr>
      <w:r>
        <w:t xml:space="preserve">Lee cada línea con flecha como acción de la cola sobre la punta, con su rótulo.</w:t>
      </w:r>
    </w:p>
    <w:p>
      <w:pPr>
        <w:pStyle w:val="Normal"/>
        <w:numPr>
          <w:ilvl w:val="0"/>
          <w:numId w:val="2"/>
        </w:numPr>
      </w:pPr>
      <w:r>
        <w:t xml:space="preserve">Empareja cada ojo con su punto por el color y dice quién mira qué.</w:t>
      </w:r>
    </w:p>
    <w:p>
      <w:pPr>
        <w:pStyle w:val="Normal"/>
        <w:numPr>
          <w:ilvl w:val="0"/>
          <w:numId w:val="2"/>
        </w:numPr>
      </w:pPr>
      <w:r>
        <w:t xml:space="preserve">No inventa relaciones ni perspectivas que el mapa no dibuja.</w:t>
      </w:r>
    </w:p>
    <w:p>
      <w:pPr>
        <w:pStyle w:val="Fuente"/>
        <w:sectPr>
          <w:headerReference w:type="default" r:id="rId288"/>
          <w:headerReference w:type="first" r:id="rId289"/>
          <w:headerReference w:type="even" r:id="rId290"/>
          <w:footerReference w:type="default" r:id="rId291"/>
          <w:footerReference w:type="first" r:id="rId292"/>
          <w:footerReference w:type="even" r:id="rId293"/>
          <w:type w:val="nextPage"/>
          <w:pgSz w:w="12240" w:h="15840" w:orient="portrait"/>
          <w:pgMar w:top="1361" w:right="1134" w:bottom="1361" w:left="1474" w:header="650" w:footer="680" w:gutter="0"/>
          <w:pgNumType/>
          <w:titlePg/>
          <w:docGrid w:linePitch="360"/>
        </w:sectPr>
      </w:pPr>
      <w:r>
        <w:t xml:space="preserve">Clase 10 · láminas 17 y 24 · Clases 11 y 12</w:t>
      </w:r>
    </w:p>
    <w:p>
      <w:pPr>
        <w:pStyle w:val="Heading2"/>
      </w:pPr>
      <w:bookmarkStart w:name="b_ex_e4" w:id="5720"/>
      <w:r>
        <w:t xml:space="preserve">Evaluación de la Unidad 4 y variantes</w:t>
      </w:r>
      <w:bookmarkEnd w:id="5720"/>
    </w:p>
    <w:p>
      <w:pPr>
        <w:pStyle w:val="Normal"/>
      </w:pPr>
      <w:r>
        <w:t xml:space="preserve">Diez preguntas de la evaluación con retroalimentación oficial y veinte variantes editoriales. Las variantes no son preguntas aplicadas por el profesor.</w:t>
      </w:r>
    </w:p>
    <w:p>
      <w:pPr>
        <w:pStyle w:val="Heading3"/>
      </w:pPr>
      <w:r>
        <w:t xml:space="preserve">Clave rápida</w:t>
      </w:r>
    </w:p>
    <w:tbl>
      <w:tblPr>
        <w:tblW w:type="dxa" w:w="9632"/>
        <w:tblBorders>
          <w:top w:val="single" w:color="C5D5DB" w:sz="4"/>
          <w:left w:val="single" w:color="C5D5DB" w:sz="4"/>
          <w:bottom w:val="single" w:color="C5D5DB" w:sz="4"/>
          <w:right w:val="single" w:color="C5D5DB" w:sz="4"/>
          <w:insideH w:val="single" w:color="E4E9EB" w:sz="3"/>
          <w:insideV w:val="single" w:color="E4E9EB" w:sz="3"/>
        </w:tblBorders>
        <w:tblLayout w:type="fixed"/>
      </w:tblPr>
      <w:tblGrid>
        <w:gridCol w:w="4816"/>
        <w:gridCol w:w="4816"/>
      </w:tblGrid>
      <w:tr>
        <w:trPr>
          <w:cantSplit/>
          <w:tblHeader/>
        </w:trPr>
        <w:tc>
          <w:tcPr>
            <w:tcW w:type="dxa" w:w="4816"/>
            <w:shd w:fill="DFEAF0" w:val="clear"/>
            <w:tcMar>
              <w:top w:type="dxa" w:w="80"/>
              <w:left w:type="dxa" w:w="100"/>
              <w:bottom w:type="dxa" w:w="80"/>
              <w:right w:type="dxa" w:w="100"/>
            </w:tcMar>
          </w:tcPr>
          <w:p>
            <w:pPr>
              <w:pStyle w:val="Tabla"/>
            </w:pPr>
            <w:r>
              <w:rPr>
                <w:b/>
                <w:bCs/>
              </w:rPr>
              <w:t xml:space="preserve">Pregunta</w:t>
            </w:r>
          </w:p>
        </w:tc>
        <w:tc>
          <w:tcPr>
            <w:tcW w:type="dxa" w:w="4816"/>
            <w:shd w:fill="DFEAF0" w:val="clear"/>
            <w:tcMar>
              <w:top w:type="dxa" w:w="80"/>
              <w:left w:type="dxa" w:w="100"/>
              <w:bottom w:type="dxa" w:w="80"/>
              <w:right w:type="dxa" w:w="100"/>
            </w:tcMar>
          </w:tcPr>
          <w:p>
            <w:pPr>
              <w:pStyle w:val="Tabla"/>
            </w:pPr>
            <w:r>
              <w:rPr>
                <w:b/>
                <w:bCs/>
              </w:rPr>
              <w:t xml:space="preserve">Clave o tipo de respuesta</w:t>
            </w:r>
          </w:p>
        </w:tc>
      </w:tr>
      <w:tr>
        <w:trPr>
          <w:cantSplit/>
          <w:tblHeader w:val="off"/>
        </w:trPr>
        <w:tc>
          <w:tcPr>
            <w:tcW w:type="dxa" w:w="4816"/>
            <w:tcMar>
              <w:top w:type="dxa" w:w="80"/>
              <w:left w:type="dxa" w:w="100"/>
              <w:bottom w:type="dxa" w:w="80"/>
              <w:right w:type="dxa" w:w="100"/>
            </w:tcMar>
          </w:tcPr>
          <w:p>
            <w:pPr>
              <w:pStyle w:val="Tabla"/>
            </w:pPr>
            <w:r>
              <w:t xml:space="preserve">1</w:t>
            </w:r>
          </w:p>
        </w:tc>
        <w:tc>
          <w:tcPr>
            <w:tcW w:type="dxa" w:w="4816"/>
            <w:tcMar>
              <w:top w:type="dxa" w:w="80"/>
              <w:left w:type="dxa" w:w="100"/>
              <w:bottom w:type="dxa" w:w="80"/>
              <w:right w:type="dxa" w:w="100"/>
            </w:tcMar>
          </w:tcPr>
          <w:p>
            <w:pPr>
              <w:pStyle w:val="Tabla"/>
            </w:pPr>
            <w:r>
              <w:t xml:space="preserve">e) Resiliencia</w:t>
            </w:r>
          </w:p>
        </w:tc>
      </w:tr>
      <w:tr>
        <w:trPr>
          <w:cantSplit/>
          <w:tblHeader w:val="off"/>
        </w:trPr>
        <w:tc>
          <w:tcPr>
            <w:tcW w:type="dxa" w:w="4816"/>
            <w:tcMar>
              <w:top w:type="dxa" w:w="80"/>
              <w:left w:type="dxa" w:w="100"/>
              <w:bottom w:type="dxa" w:w="80"/>
              <w:right w:type="dxa" w:w="100"/>
            </w:tcMar>
          </w:tcPr>
          <w:p>
            <w:pPr>
              <w:pStyle w:val="Tabla"/>
            </w:pPr>
            <w:r>
              <w:t xml:space="preserve">2</w:t>
            </w:r>
          </w:p>
        </w:tc>
        <w:tc>
          <w:tcPr>
            <w:tcW w:type="dxa" w:w="4816"/>
            <w:tcMar>
              <w:top w:type="dxa" w:w="80"/>
              <w:left w:type="dxa" w:w="100"/>
              <w:bottom w:type="dxa" w:w="80"/>
              <w:right w:type="dxa" w:w="100"/>
            </w:tcMar>
          </w:tcPr>
          <w:p>
            <w:pPr>
              <w:pStyle w:val="Tabla"/>
            </w:pPr>
            <w:r>
              <w:t xml:space="preserve">d) Tarjeta 6 · Cambia las perspectivas para aumentar la comprensión</w:t>
            </w:r>
          </w:p>
        </w:tc>
      </w:tr>
      <w:tr>
        <w:trPr>
          <w:cantSplit/>
          <w:tblHeader w:val="off"/>
        </w:trPr>
        <w:tc>
          <w:tcPr>
            <w:tcW w:type="dxa" w:w="4816"/>
            <w:tcMar>
              <w:top w:type="dxa" w:w="80"/>
              <w:left w:type="dxa" w:w="100"/>
              <w:bottom w:type="dxa" w:w="80"/>
              <w:right w:type="dxa" w:w="100"/>
            </w:tcMar>
          </w:tcPr>
          <w:p>
            <w:pPr>
              <w:pStyle w:val="Tabla"/>
            </w:pPr>
            <w:r>
              <w:t xml:space="preserve">3</w:t>
            </w:r>
          </w:p>
        </w:tc>
        <w:tc>
          <w:tcPr>
            <w:tcW w:type="dxa" w:w="4816"/>
            <w:tcMar>
              <w:top w:type="dxa" w:w="80"/>
              <w:left w:type="dxa" w:w="100"/>
              <w:bottom w:type="dxa" w:w="80"/>
              <w:right w:type="dxa" w:w="100"/>
            </w:tcMar>
          </w:tcPr>
          <w:p>
            <w:pPr>
              <w:pStyle w:val="Tabla"/>
            </w:pPr>
            <w:r>
              <w:t xml:space="preserve">c) Son los responsables de la acumulación; d) Son determinados por los niveles</w:t>
            </w:r>
          </w:p>
        </w:tc>
      </w:tr>
      <w:tr>
        <w:trPr>
          <w:cantSplit/>
          <w:tblHeader w:val="off"/>
        </w:trPr>
        <w:tc>
          <w:tcPr>
            <w:tcW w:type="dxa" w:w="4816"/>
            <w:tcMar>
              <w:top w:type="dxa" w:w="80"/>
              <w:left w:type="dxa" w:w="100"/>
              <w:bottom w:type="dxa" w:w="80"/>
              <w:right w:type="dxa" w:w="100"/>
            </w:tcMar>
          </w:tcPr>
          <w:p>
            <w:pPr>
              <w:pStyle w:val="Tabla"/>
            </w:pPr>
            <w:r>
              <w:t xml:space="preserve">4</w:t>
            </w:r>
          </w:p>
        </w:tc>
        <w:tc>
          <w:tcPr>
            <w:tcW w:type="dxa" w:w="4816"/>
            <w:tcMar>
              <w:top w:type="dxa" w:w="80"/>
              <w:left w:type="dxa" w:w="100"/>
              <w:bottom w:type="dxa" w:w="80"/>
              <w:right w:type="dxa" w:w="100"/>
            </w:tcMar>
          </w:tcPr>
          <w:p>
            <w:pPr>
              <w:pStyle w:val="Tabla"/>
            </w:pPr>
            <w:r>
              <w:t xml:space="preserve">c) Tarjeta 12 · Presta atención a las acumulaciones y sus tasas de cambio</w:t>
            </w:r>
          </w:p>
        </w:tc>
      </w:tr>
      <w:tr>
        <w:trPr>
          <w:cantSplit/>
          <w:tblHeader w:val="off"/>
        </w:trPr>
        <w:tc>
          <w:tcPr>
            <w:tcW w:type="dxa" w:w="4816"/>
            <w:tcMar>
              <w:top w:type="dxa" w:w="80"/>
              <w:left w:type="dxa" w:w="100"/>
              <w:bottom w:type="dxa" w:w="80"/>
              <w:right w:type="dxa" w:w="100"/>
            </w:tcMar>
          </w:tcPr>
          <w:p>
            <w:pPr>
              <w:pStyle w:val="Tabla"/>
            </w:pPr>
            <w:r>
              <w:t xml:space="preserve">5</w:t>
            </w:r>
          </w:p>
        </w:tc>
        <w:tc>
          <w:tcPr>
            <w:tcW w:type="dxa" w:w="4816"/>
            <w:tcMar>
              <w:top w:type="dxa" w:w="80"/>
              <w:left w:type="dxa" w:w="100"/>
              <w:bottom w:type="dxa" w:w="80"/>
              <w:right w:type="dxa" w:w="100"/>
            </w:tcMar>
          </w:tcPr>
          <w:p>
            <w:pPr>
              <w:pStyle w:val="Tabla"/>
            </w:pPr>
            <w:r>
              <w:t xml:space="preserve">a) Una fuente o un sumidero de material que puede interpretarse como un nivel que no es importante para el model…</w:t>
            </w:r>
          </w:p>
        </w:tc>
      </w:tr>
      <w:tr>
        <w:trPr>
          <w:cantSplit/>
          <w:tblHeader w:val="off"/>
        </w:trPr>
        <w:tc>
          <w:tcPr>
            <w:tcW w:type="dxa" w:w="4816"/>
            <w:tcMar>
              <w:top w:type="dxa" w:w="80"/>
              <w:left w:type="dxa" w:w="100"/>
              <w:bottom w:type="dxa" w:w="80"/>
              <w:right w:type="dxa" w:w="100"/>
            </w:tcMar>
          </w:tcPr>
          <w:p>
            <w:pPr>
              <w:pStyle w:val="Tabla"/>
            </w:pPr>
            <w:r>
              <w:t xml:space="preserve">6</w:t>
            </w:r>
          </w:p>
        </w:tc>
        <w:tc>
          <w:tcPr>
            <w:tcW w:type="dxa" w:w="4816"/>
            <w:tcMar>
              <w:top w:type="dxa" w:w="80"/>
              <w:left w:type="dxa" w:w="100"/>
              <w:bottom w:type="dxa" w:w="80"/>
              <w:right w:type="dxa" w:w="100"/>
            </w:tcMar>
          </w:tcPr>
          <w:p>
            <w:pPr>
              <w:pStyle w:val="Tabla"/>
            </w:pPr>
            <w:r>
              <w:t xml:space="preserve">c) Explotación del modelo; d) Comportamiento del modelo</w:t>
            </w:r>
          </w:p>
        </w:tc>
      </w:tr>
      <w:tr>
        <w:trPr>
          <w:cantSplit/>
          <w:tblHeader w:val="off"/>
        </w:trPr>
        <w:tc>
          <w:tcPr>
            <w:tcW w:type="dxa" w:w="4816"/>
            <w:tcMar>
              <w:top w:type="dxa" w:w="80"/>
              <w:left w:type="dxa" w:w="100"/>
              <w:bottom w:type="dxa" w:w="80"/>
              <w:right w:type="dxa" w:w="100"/>
            </w:tcMar>
          </w:tcPr>
          <w:p>
            <w:pPr>
              <w:pStyle w:val="Tabla"/>
            </w:pPr>
            <w:r>
              <w:t xml:space="preserve">7</w:t>
            </w:r>
          </w:p>
        </w:tc>
        <w:tc>
          <w:tcPr>
            <w:tcW w:type="dxa" w:w="4816"/>
            <w:tcMar>
              <w:top w:type="dxa" w:w="80"/>
              <w:left w:type="dxa" w:w="100"/>
              <w:bottom w:type="dxa" w:w="80"/>
              <w:right w:type="dxa" w:w="100"/>
            </w:tcMar>
          </w:tcPr>
          <w:p>
            <w:pPr>
              <w:pStyle w:val="Tabla"/>
            </w:pPr>
            <w:r>
              <w:t xml:space="preserve">a) Verdadero</w:t>
            </w:r>
          </w:p>
        </w:tc>
      </w:tr>
      <w:tr>
        <w:trPr>
          <w:cantSplit/>
          <w:tblHeader w:val="off"/>
        </w:trPr>
        <w:tc>
          <w:tcPr>
            <w:tcW w:type="dxa" w:w="4816"/>
            <w:tcMar>
              <w:top w:type="dxa" w:w="80"/>
              <w:left w:type="dxa" w:w="100"/>
              <w:bottom w:type="dxa" w:w="80"/>
              <w:right w:type="dxa" w:w="100"/>
            </w:tcMar>
          </w:tcPr>
          <w:p>
            <w:pPr>
              <w:pStyle w:val="Tabla"/>
            </w:pPr>
            <w:r>
              <w:t xml:space="preserve">8</w:t>
            </w:r>
          </w:p>
        </w:tc>
        <w:tc>
          <w:tcPr>
            <w:tcW w:type="dxa" w:w="4816"/>
            <w:tcMar>
              <w:top w:type="dxa" w:w="80"/>
              <w:left w:type="dxa" w:w="100"/>
              <w:bottom w:type="dxa" w:w="80"/>
              <w:right w:type="dxa" w:w="100"/>
            </w:tcMar>
          </w:tcPr>
          <w:p>
            <w:pPr>
              <w:pStyle w:val="Tabla"/>
            </w:pPr>
            <w:r>
              <w:t xml:space="preserve">b) El acceso mínimo a las opciones de apalancamiento; c) La falta de la comprensión de la estructura del sistema</w:t>
            </w:r>
          </w:p>
        </w:tc>
      </w:tr>
      <w:tr>
        <w:trPr>
          <w:cantSplit/>
          <w:tblHeader w:val="off"/>
        </w:trPr>
        <w:tc>
          <w:tcPr>
            <w:tcW w:type="dxa" w:w="4816"/>
            <w:tcMar>
              <w:top w:type="dxa" w:w="80"/>
              <w:left w:type="dxa" w:w="100"/>
              <w:bottom w:type="dxa" w:w="80"/>
              <w:right w:type="dxa" w:w="100"/>
            </w:tcMar>
          </w:tcPr>
          <w:p>
            <w:pPr>
              <w:pStyle w:val="Tabla"/>
            </w:pPr>
            <w:r>
              <w:t xml:space="preserve">9</w:t>
            </w:r>
          </w:p>
        </w:tc>
        <w:tc>
          <w:tcPr>
            <w:tcW w:type="dxa" w:w="4816"/>
            <w:tcMar>
              <w:top w:type="dxa" w:w="80"/>
              <w:left w:type="dxa" w:w="100"/>
              <w:bottom w:type="dxa" w:w="80"/>
              <w:right w:type="dxa" w:w="100"/>
            </w:tcMar>
          </w:tcPr>
          <w:p>
            <w:pPr>
              <w:pStyle w:val="Tabla"/>
            </w:pPr>
            <w:r>
              <w:t xml:space="preserve">a) Identifica las conexiones entre los elementos o partes del sistema y cambia las que considera necesarias</w:t>
            </w:r>
          </w:p>
        </w:tc>
      </w:tr>
      <w:tr>
        <w:trPr>
          <w:cantSplit/>
          <w:tblHeader w:val="off"/>
        </w:trPr>
        <w:tc>
          <w:tcPr>
            <w:tcW w:type="dxa" w:w="4816"/>
            <w:tcMar>
              <w:top w:type="dxa" w:w="80"/>
              <w:left w:type="dxa" w:w="100"/>
              <w:bottom w:type="dxa" w:w="80"/>
              <w:right w:type="dxa" w:w="100"/>
            </w:tcMar>
          </w:tcPr>
          <w:p>
            <w:pPr>
              <w:pStyle w:val="Tabla"/>
            </w:pPr>
            <w:r>
              <w:t xml:space="preserve">10</w:t>
            </w:r>
          </w:p>
        </w:tc>
        <w:tc>
          <w:tcPr>
            <w:tcW w:type="dxa" w:w="4816"/>
            <w:tcMar>
              <w:top w:type="dxa" w:w="80"/>
              <w:left w:type="dxa" w:w="100"/>
              <w:bottom w:type="dxa" w:w="80"/>
              <w:right w:type="dxa" w:w="100"/>
            </w:tcMar>
          </w:tcPr>
          <w:p>
            <w:pPr>
              <w:pStyle w:val="Tabla"/>
            </w:pPr>
            <w:r>
              <w:t xml:space="preserve">d) Lineal creciente</w:t>
            </w:r>
          </w:p>
        </w:tc>
      </w:tr>
      <w:tr>
        <w:trPr>
          <w:cantSplit/>
          <w:tblHeader w:val="off"/>
        </w:trPr>
        <w:tc>
          <w:tcPr>
            <w:tcW w:type="dxa" w:w="4816"/>
            <w:tcMar>
              <w:top w:type="dxa" w:w="80"/>
              <w:left w:type="dxa" w:w="100"/>
              <w:bottom w:type="dxa" w:w="80"/>
              <w:right w:type="dxa" w:w="100"/>
            </w:tcMar>
          </w:tcPr>
          <w:p>
            <w:pPr>
              <w:pStyle w:val="Tabla"/>
            </w:pPr>
            <w:r>
              <w:t xml:space="preserve">11</w:t>
            </w:r>
          </w:p>
        </w:tc>
        <w:tc>
          <w:tcPr>
            <w:tcW w:type="dxa" w:w="4816"/>
            <w:tcMar>
              <w:top w:type="dxa" w:w="80"/>
              <w:left w:type="dxa" w:w="100"/>
              <w:bottom w:type="dxa" w:w="80"/>
              <w:right w:type="dxa" w:w="100"/>
            </w:tcMar>
          </w:tcPr>
          <w:p>
            <w:pPr>
              <w:pStyle w:val="Tabla"/>
            </w:pPr>
            <w:r>
              <w:t xml:space="preserve">c) Aproximación sucesiva</w:t>
            </w:r>
          </w:p>
        </w:tc>
      </w:tr>
      <w:tr>
        <w:trPr>
          <w:cantSplit/>
          <w:tblHeader w:val="off"/>
        </w:trPr>
        <w:tc>
          <w:tcPr>
            <w:tcW w:type="dxa" w:w="4816"/>
            <w:tcMar>
              <w:top w:type="dxa" w:w="80"/>
              <w:left w:type="dxa" w:w="100"/>
              <w:bottom w:type="dxa" w:w="80"/>
              <w:right w:type="dxa" w:w="100"/>
            </w:tcMar>
          </w:tcPr>
          <w:p>
            <w:pPr>
              <w:pStyle w:val="Tabla"/>
            </w:pPr>
            <w:r>
              <w:t xml:space="preserve">12</w:t>
            </w:r>
          </w:p>
        </w:tc>
        <w:tc>
          <w:tcPr>
            <w:tcW w:type="dxa" w:w="4816"/>
            <w:tcMar>
              <w:top w:type="dxa" w:w="80"/>
              <w:left w:type="dxa" w:w="100"/>
              <w:bottom w:type="dxa" w:w="80"/>
              <w:right w:type="dxa" w:w="100"/>
            </w:tcMar>
          </w:tcPr>
          <w:p>
            <w:pPr>
              <w:pStyle w:val="Tabla"/>
            </w:pPr>
            <w:r>
              <w:t xml:space="preserve">b) Adaptabilidad</w:t>
            </w:r>
          </w:p>
        </w:tc>
      </w:tr>
      <w:tr>
        <w:trPr>
          <w:cantSplit/>
          <w:tblHeader w:val="off"/>
        </w:trPr>
        <w:tc>
          <w:tcPr>
            <w:tcW w:type="dxa" w:w="4816"/>
            <w:tcMar>
              <w:top w:type="dxa" w:w="80"/>
              <w:left w:type="dxa" w:w="100"/>
              <w:bottom w:type="dxa" w:w="80"/>
              <w:right w:type="dxa" w:w="100"/>
            </w:tcMar>
          </w:tcPr>
          <w:p>
            <w:pPr>
              <w:pStyle w:val="Tabla"/>
            </w:pPr>
            <w:r>
              <w:t xml:space="preserve">13</w:t>
            </w:r>
          </w:p>
        </w:tc>
        <w:tc>
          <w:tcPr>
            <w:tcW w:type="dxa" w:w="4816"/>
            <w:tcMar>
              <w:top w:type="dxa" w:w="80"/>
              <w:left w:type="dxa" w:w="100"/>
              <w:bottom w:type="dxa" w:w="80"/>
              <w:right w:type="dxa" w:w="100"/>
            </w:tcMar>
          </w:tcPr>
          <w:p>
            <w:pPr>
              <w:pStyle w:val="Tabla"/>
            </w:pPr>
            <w:r>
              <w:t xml:space="preserve">c) Tarjeta 13 · Reconoce el impacto de las demoras cuando se están explorando las relaciones de causa y efecto</w:t>
            </w:r>
          </w:p>
        </w:tc>
      </w:tr>
      <w:tr>
        <w:trPr>
          <w:cantSplit/>
          <w:tblHeader w:val="off"/>
        </w:trPr>
        <w:tc>
          <w:tcPr>
            <w:tcW w:type="dxa" w:w="4816"/>
            <w:tcMar>
              <w:top w:type="dxa" w:w="80"/>
              <w:left w:type="dxa" w:w="100"/>
              <w:bottom w:type="dxa" w:w="80"/>
              <w:right w:type="dxa" w:w="100"/>
            </w:tcMar>
          </w:tcPr>
          <w:p>
            <w:pPr>
              <w:pStyle w:val="Tabla"/>
            </w:pPr>
            <w:r>
              <w:t xml:space="preserve">14</w:t>
            </w:r>
          </w:p>
        </w:tc>
        <w:tc>
          <w:tcPr>
            <w:tcW w:type="dxa" w:w="4816"/>
            <w:tcMar>
              <w:top w:type="dxa" w:w="80"/>
              <w:left w:type="dxa" w:w="100"/>
              <w:bottom w:type="dxa" w:w="80"/>
              <w:right w:type="dxa" w:w="100"/>
            </w:tcMar>
          </w:tcPr>
          <w:p>
            <w:pPr>
              <w:pStyle w:val="Tabla"/>
            </w:pPr>
            <w:r>
              <w:t xml:space="preserve">d) Tarjeta 3 · Reconoce que la estructura de un sistema genera su comportamiento</w:t>
            </w:r>
          </w:p>
        </w:tc>
      </w:tr>
      <w:tr>
        <w:trPr>
          <w:cantSplit/>
          <w:tblHeader w:val="off"/>
        </w:trPr>
        <w:tc>
          <w:tcPr>
            <w:tcW w:type="dxa" w:w="4816"/>
            <w:tcMar>
              <w:top w:type="dxa" w:w="80"/>
              <w:left w:type="dxa" w:w="100"/>
              <w:bottom w:type="dxa" w:w="80"/>
              <w:right w:type="dxa" w:w="100"/>
            </w:tcMar>
          </w:tcPr>
          <w:p>
            <w:pPr>
              <w:pStyle w:val="Tabla"/>
            </w:pPr>
            <w:r>
              <w:t xml:space="preserve">15</w:t>
            </w:r>
          </w:p>
        </w:tc>
        <w:tc>
          <w:tcPr>
            <w:tcW w:type="dxa" w:w="4816"/>
            <w:tcMar>
              <w:top w:type="dxa" w:w="80"/>
              <w:left w:type="dxa" w:w="100"/>
              <w:bottom w:type="dxa" w:w="80"/>
              <w:right w:type="dxa" w:w="100"/>
            </w:tcMar>
          </w:tcPr>
          <w:p>
            <w:pPr>
              <w:pStyle w:val="Tabla"/>
            </w:pPr>
            <w:r>
              <w:t xml:space="preserve">a) Simulan una acumulación y varían solo en función de los flujos; c) Al cambiar a través del tiempo alcanzan lo que se conoce como estado del sistema</w:t>
            </w:r>
          </w:p>
        </w:tc>
      </w:tr>
      <w:tr>
        <w:trPr>
          <w:cantSplit/>
          <w:tblHeader w:val="off"/>
        </w:trPr>
        <w:tc>
          <w:tcPr>
            <w:tcW w:type="dxa" w:w="4816"/>
            <w:tcMar>
              <w:top w:type="dxa" w:w="80"/>
              <w:left w:type="dxa" w:w="100"/>
              <w:bottom w:type="dxa" w:w="80"/>
              <w:right w:type="dxa" w:w="100"/>
            </w:tcMar>
          </w:tcPr>
          <w:p>
            <w:pPr>
              <w:pStyle w:val="Tabla"/>
            </w:pPr>
            <w:r>
              <w:t xml:space="preserve">16</w:t>
            </w:r>
          </w:p>
        </w:tc>
        <w:tc>
          <w:tcPr>
            <w:tcW w:type="dxa" w:w="4816"/>
            <w:tcMar>
              <w:top w:type="dxa" w:w="80"/>
              <w:left w:type="dxa" w:w="100"/>
              <w:bottom w:type="dxa" w:w="80"/>
              <w:right w:type="dxa" w:w="100"/>
            </w:tcMar>
          </w:tcPr>
          <w:p>
            <w:pPr>
              <w:pStyle w:val="Tabla"/>
            </w:pPr>
            <w:r>
              <w:t xml:space="preserve">b) Son cálculos intermedios y valores fijos que permiten visualizar mejor los aspectos que condicionan el compor…; d) Las constantes representan valores que no cambian a través del tiempo y son determinantes para calcular el va…</w:t>
            </w:r>
          </w:p>
        </w:tc>
      </w:tr>
      <w:tr>
        <w:trPr>
          <w:cantSplit/>
          <w:tblHeader w:val="off"/>
        </w:trPr>
        <w:tc>
          <w:tcPr>
            <w:tcW w:type="dxa" w:w="4816"/>
            <w:tcMar>
              <w:top w:type="dxa" w:w="80"/>
              <w:left w:type="dxa" w:w="100"/>
              <w:bottom w:type="dxa" w:w="80"/>
              <w:right w:type="dxa" w:w="100"/>
            </w:tcMar>
          </w:tcPr>
          <w:p>
            <w:pPr>
              <w:pStyle w:val="Tabla"/>
            </w:pPr>
            <w:r>
              <w:t xml:space="preserve">17</w:t>
            </w:r>
          </w:p>
        </w:tc>
        <w:tc>
          <w:tcPr>
            <w:tcW w:type="dxa" w:w="4816"/>
            <w:tcMar>
              <w:top w:type="dxa" w:w="80"/>
              <w:left w:type="dxa" w:w="100"/>
              <w:bottom w:type="dxa" w:w="80"/>
              <w:right w:type="dxa" w:w="100"/>
            </w:tcMar>
          </w:tcPr>
          <w:p>
            <w:pPr>
              <w:pStyle w:val="Tabla"/>
            </w:pPr>
            <w:r>
              <w:t xml:space="preserve">b) Tarjeta 10 · Usa la comprensión de la estructura de un sistema para identificar posibles acciones de efecto a…</w:t>
            </w:r>
          </w:p>
        </w:tc>
      </w:tr>
      <w:tr>
        <w:trPr>
          <w:cantSplit/>
          <w:tblHeader w:val="off"/>
        </w:trPr>
        <w:tc>
          <w:tcPr>
            <w:tcW w:type="dxa" w:w="4816"/>
            <w:tcMar>
              <w:top w:type="dxa" w:w="80"/>
              <w:left w:type="dxa" w:w="100"/>
              <w:bottom w:type="dxa" w:w="80"/>
              <w:right w:type="dxa" w:w="100"/>
            </w:tcMar>
          </w:tcPr>
          <w:p>
            <w:pPr>
              <w:pStyle w:val="Tabla"/>
            </w:pPr>
            <w:r>
              <w:t xml:space="preserve">18</w:t>
            </w:r>
          </w:p>
        </w:tc>
        <w:tc>
          <w:tcPr>
            <w:tcW w:type="dxa" w:w="4816"/>
            <w:tcMar>
              <w:top w:type="dxa" w:w="80"/>
              <w:left w:type="dxa" w:w="100"/>
              <w:bottom w:type="dxa" w:w="80"/>
              <w:right w:type="dxa" w:w="100"/>
            </w:tcMar>
          </w:tcPr>
          <w:p>
            <w:pPr>
              <w:pStyle w:val="Tabla"/>
            </w:pPr>
            <w:r>
              <w:t xml:space="preserve">d) Tarjeta 11 · Considera las consecuencias a corto plazo, a largo plazo, e inesperadas de las acciones</w:t>
            </w:r>
          </w:p>
        </w:tc>
      </w:tr>
      <w:tr>
        <w:trPr>
          <w:cantSplit/>
          <w:tblHeader w:val="off"/>
        </w:trPr>
        <w:tc>
          <w:tcPr>
            <w:tcW w:type="dxa" w:w="4816"/>
            <w:tcMar>
              <w:top w:type="dxa" w:w="80"/>
              <w:left w:type="dxa" w:w="100"/>
              <w:bottom w:type="dxa" w:w="80"/>
              <w:right w:type="dxa" w:w="100"/>
            </w:tcMar>
          </w:tcPr>
          <w:p>
            <w:pPr>
              <w:pStyle w:val="Tabla"/>
            </w:pPr>
            <w:r>
              <w:t xml:space="preserve">19</w:t>
            </w:r>
          </w:p>
        </w:tc>
        <w:tc>
          <w:tcPr>
            <w:tcW w:type="dxa" w:w="4816"/>
            <w:tcMar>
              <w:top w:type="dxa" w:w="80"/>
              <w:left w:type="dxa" w:w="100"/>
              <w:bottom w:type="dxa" w:w="80"/>
              <w:right w:type="dxa" w:w="100"/>
            </w:tcMar>
          </w:tcPr>
          <w:p>
            <w:pPr>
              <w:pStyle w:val="Tabla"/>
            </w:pPr>
            <w:r>
              <w:t xml:space="preserve">d) Una variable de estado</w:t>
            </w:r>
          </w:p>
        </w:tc>
      </w:tr>
      <w:tr>
        <w:trPr>
          <w:cantSplit/>
          <w:tblHeader w:val="off"/>
        </w:trPr>
        <w:tc>
          <w:tcPr>
            <w:tcW w:type="dxa" w:w="4816"/>
            <w:tcMar>
              <w:top w:type="dxa" w:w="80"/>
              <w:left w:type="dxa" w:w="100"/>
              <w:bottom w:type="dxa" w:w="80"/>
              <w:right w:type="dxa" w:w="100"/>
            </w:tcMar>
          </w:tcPr>
          <w:p>
            <w:pPr>
              <w:pStyle w:val="Tabla"/>
            </w:pPr>
            <w:r>
              <w:t xml:space="preserve">20</w:t>
            </w:r>
          </w:p>
        </w:tc>
        <w:tc>
          <w:tcPr>
            <w:tcW w:type="dxa" w:w="4816"/>
            <w:tcMar>
              <w:top w:type="dxa" w:w="80"/>
              <w:left w:type="dxa" w:w="100"/>
              <w:bottom w:type="dxa" w:w="80"/>
              <w:right w:type="dxa" w:w="100"/>
            </w:tcMar>
          </w:tcPr>
          <w:p>
            <w:pPr>
              <w:pStyle w:val="Tabla"/>
            </w:pPr>
            <w:r>
              <w:t xml:space="preserve">b) Un retardo</w:t>
            </w:r>
          </w:p>
        </w:tc>
      </w:tr>
      <w:tr>
        <w:trPr>
          <w:cantSplit/>
          <w:tblHeader w:val="off"/>
        </w:trPr>
        <w:tc>
          <w:tcPr>
            <w:tcW w:type="dxa" w:w="4816"/>
            <w:tcMar>
              <w:top w:type="dxa" w:w="80"/>
              <w:left w:type="dxa" w:w="100"/>
              <w:bottom w:type="dxa" w:w="80"/>
              <w:right w:type="dxa" w:w="100"/>
            </w:tcMar>
          </w:tcPr>
          <w:p>
            <w:pPr>
              <w:pStyle w:val="Tabla"/>
            </w:pPr>
            <w:r>
              <w:t xml:space="preserve">21</w:t>
            </w:r>
          </w:p>
        </w:tc>
        <w:tc>
          <w:tcPr>
            <w:tcW w:type="dxa" w:w="4816"/>
            <w:tcMar>
              <w:top w:type="dxa" w:w="80"/>
              <w:left w:type="dxa" w:w="100"/>
              <w:bottom w:type="dxa" w:w="80"/>
              <w:right w:type="dxa" w:w="100"/>
            </w:tcMar>
          </w:tcPr>
          <w:p>
            <w:pPr>
              <w:pStyle w:val="Tabla"/>
            </w:pPr>
            <w:r>
              <w:t xml:space="preserve">b) Conceptualización del sistema</w:t>
            </w:r>
          </w:p>
        </w:tc>
      </w:tr>
      <w:tr>
        <w:trPr>
          <w:cantSplit/>
          <w:tblHeader w:val="off"/>
        </w:trPr>
        <w:tc>
          <w:tcPr>
            <w:tcW w:type="dxa" w:w="4816"/>
            <w:tcMar>
              <w:top w:type="dxa" w:w="80"/>
              <w:left w:type="dxa" w:w="100"/>
              <w:bottom w:type="dxa" w:w="80"/>
              <w:right w:type="dxa" w:w="100"/>
            </w:tcMar>
          </w:tcPr>
          <w:p>
            <w:pPr>
              <w:pStyle w:val="Tabla"/>
            </w:pPr>
            <w:r>
              <w:t xml:space="preserve">22</w:t>
            </w:r>
          </w:p>
        </w:tc>
        <w:tc>
          <w:tcPr>
            <w:tcW w:type="dxa" w:w="4816"/>
            <w:tcMar>
              <w:top w:type="dxa" w:w="80"/>
              <w:left w:type="dxa" w:w="100"/>
              <w:bottom w:type="dxa" w:w="80"/>
              <w:right w:type="dxa" w:w="100"/>
            </w:tcMar>
          </w:tcPr>
          <w:p>
            <w:pPr>
              <w:pStyle w:val="Tabla"/>
            </w:pPr>
            <w:r>
              <w:t xml:space="preserve">d) Evaluación del modelo</w:t>
            </w:r>
          </w:p>
        </w:tc>
      </w:tr>
      <w:tr>
        <w:trPr>
          <w:cantSplit/>
          <w:tblHeader w:val="off"/>
        </w:trPr>
        <w:tc>
          <w:tcPr>
            <w:tcW w:type="dxa" w:w="4816"/>
            <w:tcMar>
              <w:top w:type="dxa" w:w="80"/>
              <w:left w:type="dxa" w:w="100"/>
              <w:bottom w:type="dxa" w:w="80"/>
              <w:right w:type="dxa" w:w="100"/>
            </w:tcMar>
          </w:tcPr>
          <w:p>
            <w:pPr>
              <w:pStyle w:val="Tabla"/>
            </w:pPr>
            <w:r>
              <w:t xml:space="preserve">23</w:t>
            </w:r>
          </w:p>
        </w:tc>
        <w:tc>
          <w:tcPr>
            <w:tcW w:type="dxa" w:w="4816"/>
            <w:tcMar>
              <w:top w:type="dxa" w:w="80"/>
              <w:left w:type="dxa" w:w="100"/>
              <w:bottom w:type="dxa" w:w="80"/>
              <w:right w:type="dxa" w:w="100"/>
            </w:tcMar>
          </w:tcPr>
          <w:p>
            <w:pPr>
              <w:pStyle w:val="Tabla"/>
            </w:pPr>
            <w:r>
              <w:t xml:space="preserve">b) Falso</w:t>
            </w:r>
          </w:p>
        </w:tc>
      </w:tr>
      <w:tr>
        <w:trPr>
          <w:cantSplit/>
          <w:tblHeader w:val="off"/>
        </w:trPr>
        <w:tc>
          <w:tcPr>
            <w:tcW w:type="dxa" w:w="4816"/>
            <w:tcMar>
              <w:top w:type="dxa" w:w="80"/>
              <w:left w:type="dxa" w:w="100"/>
              <w:bottom w:type="dxa" w:w="80"/>
              <w:right w:type="dxa" w:w="100"/>
            </w:tcMar>
          </w:tcPr>
          <w:p>
            <w:pPr>
              <w:pStyle w:val="Tabla"/>
            </w:pPr>
            <w:r>
              <w:t xml:space="preserve">24</w:t>
            </w:r>
          </w:p>
        </w:tc>
        <w:tc>
          <w:tcPr>
            <w:tcW w:type="dxa" w:w="4816"/>
            <w:tcMar>
              <w:top w:type="dxa" w:w="80"/>
              <w:left w:type="dxa" w:w="100"/>
              <w:bottom w:type="dxa" w:w="80"/>
              <w:right w:type="dxa" w:w="100"/>
            </w:tcMar>
          </w:tcPr>
          <w:p>
            <w:pPr>
              <w:pStyle w:val="Tabla"/>
            </w:pPr>
            <w:r>
              <w:t xml:space="preserve">a) Verdadero</w:t>
            </w:r>
          </w:p>
        </w:tc>
      </w:tr>
      <w:tr>
        <w:trPr>
          <w:cantSplit/>
          <w:tblHeader w:val="off"/>
        </w:trPr>
        <w:tc>
          <w:tcPr>
            <w:tcW w:type="dxa" w:w="4816"/>
            <w:tcMar>
              <w:top w:type="dxa" w:w="80"/>
              <w:left w:type="dxa" w:w="100"/>
              <w:bottom w:type="dxa" w:w="80"/>
              <w:right w:type="dxa" w:w="100"/>
            </w:tcMar>
          </w:tcPr>
          <w:p>
            <w:pPr>
              <w:pStyle w:val="Tabla"/>
            </w:pPr>
            <w:r>
              <w:t xml:space="preserve">25</w:t>
            </w:r>
          </w:p>
        </w:tc>
        <w:tc>
          <w:tcPr>
            <w:tcW w:type="dxa" w:w="4816"/>
            <w:tcMar>
              <w:top w:type="dxa" w:w="80"/>
              <w:left w:type="dxa" w:w="100"/>
              <w:bottom w:type="dxa" w:w="80"/>
              <w:right w:type="dxa" w:w="100"/>
            </w:tcMar>
          </w:tcPr>
          <w:p>
            <w:pPr>
              <w:pStyle w:val="Tabla"/>
            </w:pPr>
            <w:r>
              <w:t xml:space="preserve">a) Son lugares de un sistema complejo donde un pequeño cambio en una parte puede producir grandes cambios en todo; c) Cuando parecen intuitivos, solemos usarlos a la inversa y empeorar el problema que tratamos de resolver</w:t>
            </w:r>
          </w:p>
        </w:tc>
      </w:tr>
      <w:tr>
        <w:trPr>
          <w:cantSplit/>
          <w:tblHeader w:val="off"/>
        </w:trPr>
        <w:tc>
          <w:tcPr>
            <w:tcW w:type="dxa" w:w="4816"/>
            <w:tcMar>
              <w:top w:type="dxa" w:w="80"/>
              <w:left w:type="dxa" w:w="100"/>
              <w:bottom w:type="dxa" w:w="80"/>
              <w:right w:type="dxa" w:w="100"/>
            </w:tcMar>
          </w:tcPr>
          <w:p>
            <w:pPr>
              <w:pStyle w:val="Tabla"/>
            </w:pPr>
            <w:r>
              <w:t xml:space="preserve">26</w:t>
            </w:r>
          </w:p>
        </w:tc>
        <w:tc>
          <w:tcPr>
            <w:tcW w:type="dxa" w:w="4816"/>
            <w:tcMar>
              <w:top w:type="dxa" w:w="80"/>
              <w:left w:type="dxa" w:w="100"/>
              <w:bottom w:type="dxa" w:w="80"/>
              <w:right w:type="dxa" w:w="100"/>
            </w:tcMar>
          </w:tcPr>
          <w:p>
            <w:pPr>
              <w:pStyle w:val="Tabla"/>
            </w:pPr>
            <w:r>
              <w:t xml:space="preserve">b) Hacer un modelo visual del sistema, como un diagrama de ciclos causales; c) Comprender la estructura del sistema</w:t>
            </w:r>
          </w:p>
        </w:tc>
      </w:tr>
      <w:tr>
        <w:trPr>
          <w:cantSplit/>
          <w:tblHeader w:val="off"/>
        </w:trPr>
        <w:tc>
          <w:tcPr>
            <w:tcW w:type="dxa" w:w="4816"/>
            <w:tcMar>
              <w:top w:type="dxa" w:w="80"/>
              <w:left w:type="dxa" w:w="100"/>
              <w:bottom w:type="dxa" w:w="80"/>
              <w:right w:type="dxa" w:w="100"/>
            </w:tcMar>
          </w:tcPr>
          <w:p>
            <w:pPr>
              <w:pStyle w:val="Tabla"/>
            </w:pPr>
            <w:r>
              <w:t xml:space="preserve">27</w:t>
            </w:r>
          </w:p>
        </w:tc>
        <w:tc>
          <w:tcPr>
            <w:tcW w:type="dxa" w:w="4816"/>
            <w:tcMar>
              <w:top w:type="dxa" w:w="80"/>
              <w:left w:type="dxa" w:w="100"/>
              <w:bottom w:type="dxa" w:w="80"/>
              <w:right w:type="dxa" w:w="100"/>
            </w:tcMar>
          </w:tcPr>
          <w:p>
            <w:pPr>
              <w:pStyle w:val="Tabla"/>
            </w:pPr>
            <w:r>
              <w:t xml:space="preserve">c) En la estructura del sistema: sus partes y las relaciones entre ellas</w:t>
            </w:r>
          </w:p>
        </w:tc>
      </w:tr>
      <w:tr>
        <w:trPr>
          <w:cantSplit/>
          <w:tblHeader w:val="off"/>
        </w:trPr>
        <w:tc>
          <w:tcPr>
            <w:tcW w:type="dxa" w:w="4816"/>
            <w:tcMar>
              <w:top w:type="dxa" w:w="80"/>
              <w:left w:type="dxa" w:w="100"/>
              <w:bottom w:type="dxa" w:w="80"/>
              <w:right w:type="dxa" w:w="100"/>
            </w:tcMar>
          </w:tcPr>
          <w:p>
            <w:pPr>
              <w:pStyle w:val="Tabla"/>
            </w:pPr>
            <w:r>
              <w:t xml:space="preserve">28</w:t>
            </w:r>
          </w:p>
        </w:tc>
        <w:tc>
          <w:tcPr>
            <w:tcW w:type="dxa" w:w="4816"/>
            <w:tcMar>
              <w:top w:type="dxa" w:w="80"/>
              <w:left w:type="dxa" w:w="100"/>
              <w:bottom w:type="dxa" w:w="80"/>
              <w:right w:type="dxa" w:w="100"/>
            </w:tcMar>
          </w:tcPr>
          <w:p>
            <w:pPr>
              <w:pStyle w:val="Tabla"/>
            </w:pPr>
            <w:r>
              <w:t xml:space="preserve">c) Revisa las consecuencias no intencionadas de la solución y la estructura que mantiene el problema, y cambia l…</w:t>
            </w:r>
          </w:p>
        </w:tc>
      </w:tr>
      <w:tr>
        <w:trPr>
          <w:cantSplit/>
          <w:tblHeader w:val="off"/>
        </w:trPr>
        <w:tc>
          <w:tcPr>
            <w:tcW w:type="dxa" w:w="4816"/>
            <w:tcMar>
              <w:top w:type="dxa" w:w="80"/>
              <w:left w:type="dxa" w:w="100"/>
              <w:bottom w:type="dxa" w:w="80"/>
              <w:right w:type="dxa" w:w="100"/>
            </w:tcMar>
          </w:tcPr>
          <w:p>
            <w:pPr>
              <w:pStyle w:val="Tabla"/>
            </w:pPr>
            <w:r>
              <w:t xml:space="preserve">29</w:t>
            </w:r>
          </w:p>
        </w:tc>
        <w:tc>
          <w:tcPr>
            <w:tcW w:type="dxa" w:w="4816"/>
            <w:tcMar>
              <w:top w:type="dxa" w:w="80"/>
              <w:left w:type="dxa" w:w="100"/>
              <w:bottom w:type="dxa" w:w="80"/>
              <w:right w:type="dxa" w:w="100"/>
            </w:tcMar>
          </w:tcPr>
          <w:p>
            <w:pPr>
              <w:pStyle w:val="Tabla"/>
            </w:pPr>
            <w:r>
              <w:t xml:space="preserve">c) Lineal decreciente</w:t>
            </w:r>
          </w:p>
        </w:tc>
      </w:tr>
      <w:tr>
        <w:trPr>
          <w:cantSplit/>
          <w:tblHeader w:val="off"/>
        </w:trPr>
        <w:tc>
          <w:tcPr>
            <w:tcW w:type="dxa" w:w="4816"/>
            <w:tcMar>
              <w:top w:type="dxa" w:w="80"/>
              <w:left w:type="dxa" w:w="100"/>
              <w:bottom w:type="dxa" w:w="80"/>
              <w:right w:type="dxa" w:w="100"/>
            </w:tcMar>
          </w:tcPr>
          <w:p>
            <w:pPr>
              <w:pStyle w:val="Tabla"/>
            </w:pPr>
            <w:r>
              <w:t xml:space="preserve">30</w:t>
            </w:r>
          </w:p>
        </w:tc>
        <w:tc>
          <w:tcPr>
            <w:tcW w:type="dxa" w:w="4816"/>
            <w:tcMar>
              <w:top w:type="dxa" w:w="80"/>
              <w:left w:type="dxa" w:w="100"/>
              <w:bottom w:type="dxa" w:w="80"/>
              <w:right w:type="dxa" w:w="100"/>
            </w:tcMar>
          </w:tcPr>
          <w:p>
            <w:pPr>
              <w:pStyle w:val="Tabla"/>
            </w:pPr>
            <w:r>
              <w:t xml:space="preserve">c) Exponencial decreciente</w:t>
            </w:r>
          </w:p>
        </w:tc>
      </w:tr>
    </w:tbl>
    <w:p>
      <w:pPr>
        <w:pStyle w:val="Heading3"/>
      </w:pPr>
      <w:bookmarkStart w:name="b_pregunta_p3_01_resiliencia" w:id="5721"/>
      <w:r>
        <w:t xml:space="preserve">5.1 · Unidad 4 · 4.7 · Hábitos: la resiliencia y la aproximación sucesiva</w:t>
      </w:r>
      <w:bookmarkEnd w:id="5721"/>
    </w:p>
    <w:p>
      <w:pPr>
        <w:pStyle w:val="Normal"/>
      </w:pPr>
      <w:r>
        <w:t xml:space="preserve">"La capacidad de absorber los impactos y de recuperarse rápidamente de un revés o fracaso" es una definición que hace referencia a un concepto asociado a un hábito de un pensador sistémico. ¿cuál es este concepto?</w:t>
      </w:r>
    </w:p>
    <w:p>
      <w:pPr>
        <w:pStyle w:val="Fuente"/>
      </w:pPr>
      <w:r>
        <w:t xml:space="preserve">Ordinal de la fuente: 1.</w:t>
      </w:r>
    </w:p>
    <w:p>
      <w:pPr>
        <w:pStyle w:val="Fuente"/>
      </w:pPr>
      <w:r>
        <w:t xml:space="preserve">Peso de la evaluación: 10 puntos.</w:t>
      </w:r>
    </w:p>
    <w:p>
      <w:pPr>
        <w:pStyle w:val="Normal"/>
      </w:pPr>
      <w:r>
        <w:t xml:space="preserve">a) Adaptabilidad</w:t>
      </w:r>
    </w:p>
    <w:p>
      <w:pPr>
        <w:pStyle w:val="Normal"/>
      </w:pPr>
      <w:r>
        <w:t xml:space="preserve">b) Control</w:t>
      </w:r>
    </w:p>
    <w:p>
      <w:pPr>
        <w:pStyle w:val="Normal"/>
      </w:pPr>
      <w:r>
        <w:t xml:space="preserve">c) "Secuencia repetitiva"</w:t>
      </w:r>
    </w:p>
    <w:p>
      <w:pPr>
        <w:pStyle w:val="Normal"/>
      </w:pPr>
      <w:r>
        <w:t xml:space="preserve">d) Ciclo vicioso</w:t>
      </w:r>
    </w:p>
    <w:p>
      <w:pPr>
        <w:pStyle w:val="Normal"/>
      </w:pPr>
      <w:r>
        <w:t xml:space="preserve">e) Resiliencia</w:t>
      </w:r>
    </w:p>
    <w:p>
      <w:pPr>
        <w:pStyle w:val="Heading3"/>
      </w:pPr>
      <w:bookmarkStart w:name="b_solucion_p3_01_resiliencia" w:id="5722"/>
      <w:r>
        <w:t xml:space="preserve">Solución 5.1</w:t>
      </w:r>
      <w:bookmarkEnd w:id="5722"/>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e) Resiliencia</w:t>
            </w:r>
          </w:p>
        </w:tc>
      </w:tr>
    </w:tbl>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Retroalimentación oficial de la plataforma</w:t>
            </w:r>
          </w:p>
          <w:p>
            <w:pPr>
              <w:pStyle w:val="Recuadro"/>
            </w:pPr>
            <w:r>
              <w:t xml:space="preserve">La respuesta correcta es: Resiliencia</w:t>
            </w:r>
          </w:p>
        </w:tc>
      </w:tr>
    </w:tbl>
    <w:p>
      <w:pPr>
        <w:pStyle w:val="Heading3"/>
      </w:pPr>
      <w:r>
        <w:t xml:space="preserve">Reconozca las dos definiciones</w:t>
      </w:r>
    </w:p>
    <w:p>
      <w:pPr>
        <w:pStyle w:val="Normal"/>
      </w:pPr>
      <w:r>
        <w:t xml:space="preserve">«Recuperarse» viene de la definición para personas y «absorber», de la definición para empresas: las dos están en la lámina 36 de la presentación 4b, «Definición de resiliencia».</w:t>
      </w:r>
    </w:p>
    <w:p>
      <w:pPr>
        <w:pStyle w:val="Heading3"/>
      </w:pPr>
      <w:r>
        <w:t xml:space="preserve">Separe el concepto de sus habilidades</w:t>
      </w:r>
    </w:p>
    <w:p>
      <w:pPr>
        <w:pStyle w:val="Normal"/>
      </w:pPr>
      <w:r>
        <w:t xml:space="preserve">La lámina 39 enumera lo que la resiliencia requiere: ser positivos, concentrados, flexibles, organizados, proactivos y adaptables. La adaptabilidad es una de esas seis partes, no el todo.</w:t>
      </w:r>
    </w:p>
    <w:p>
      <w:pPr>
        <w:pStyle w:val="Fuente"/>
      </w:pPr>
      <w:r>
        <w:t xml:space="preserve">Opciones descartadas: a).</w:t>
      </w:r>
    </w:p>
    <w:p>
      <w:pPr>
        <w:pStyle w:val="Heading3"/>
      </w:pPr>
      <w:r>
        <w:t xml:space="preserve">Descarte lo que no es una capacidad</w:t>
      </w:r>
    </w:p>
    <w:p>
      <w:pPr>
        <w:pStyle w:val="Normal"/>
      </w:pPr>
      <w:r>
        <w:t xml:space="preserve">«Control» no es un concepto del curso para esto; «secuencia repetitiva» imita el ciclo de mejora continua de la lámina 35, y el ciclo vicioso es un refuerzo que agrava el resultado.</w:t>
      </w:r>
    </w:p>
    <w:p>
      <w:pPr>
        <w:pStyle w:val="Fuente"/>
      </w:pPr>
      <w:r>
        <w:t xml:space="preserve">Opciones descartadas: b), c), d).</w:t>
      </w:r>
    </w:p>
    <w:p>
      <w:pPr>
        <w:pStyle w:val="Normal"/>
      </w:pPr>
      <w:r>
        <w:t xml:space="preserve">a) Adaptabilidad — Es una de las seis habilidades que la resiliencia requiere —positivos, concentrados, flexibles, organizados, proactivos y adaptables—, no el concepto definido: la lectura la describe como adaptarse a lo nuevo «con el mínimo de comportamiento disfuncional».</w:t>
      </w:r>
    </w:p>
    <w:p>
      <w:pPr>
        <w:pStyle w:val="Normal"/>
      </w:pPr>
      <w:r>
        <w:t xml:space="preserve">b) Control — Ningún hábito del curso se nombra así, y la definición no habla de dominar el revés sino de absorberlo y recuperarse de él.</w:t>
      </w:r>
    </w:p>
    <w:p>
      <w:pPr>
        <w:pStyle w:val="Normal"/>
      </w:pPr>
      <w:r>
        <w:t xml:space="preserve">c) "Secuencia repetitiva" — Evoca el ciclo de la aproximación sucesiva —diseñar un plan, implementar, evaluar y mejorar—, que es el procedimiento del hábito, no la capacidad de recuperarse.</w:t>
      </w:r>
    </w:p>
    <w:p>
      <w:pPr>
        <w:pStyle w:val="Normal"/>
      </w:pPr>
      <w:r>
        <w:t xml:space="preserve">d) Ciclo vicioso — Es un ciclo de refuerzo que amplifica un resultado desfavorable, como se vio en la unidad 3: lo contrario de recuperarse.</w:t>
      </w:r>
    </w:p>
    <w:p>
      <w:pPr>
        <w:pStyle w:val="Normal"/>
      </w:pPr>
      <w:r>
        <w:t xml:space="preserve">e) Resiliencia — Correcta: la presentación 4b la define en las personas como la capacidad de «fortalecerse y recuperarse bajo condiciones de enorme stress y cambio» y en las empresas como la habilidad para «absorber grandes cantidades de cambios/rupturas».</w:t>
      </w:r>
    </w:p>
    <w:p>
      <w:pPr>
        <w:pStyle w:val="Normal"/>
      </w:pPr>
      <w:r>
        <w:t xml:space="preserve">Criterio de resolución: El enunciado junta las dos definiciones que la presentación 4b toma de la lectura de resiliencia: en las personas, «la habilidad y capacidad de una persona para fortalecerse y recuperarse bajo condiciones de enorme stress y cambio»; en las empresas, «la habilidad para absorber grandes cantidades de cambios/rupturas, sin que por ello se produzca una significante caída en la calidad». La rapidez sale de la misma lectura: cuanto más desarrollada está la resiliencia, «más rápido también podrá recuperarse». La presentación la trata dentro del hábito «Examina los resultados y cambia las acciones si es necesario: aproximación sucesiva», que implica «la disposición a asumir riesgos y superar el fracaso».</w:t>
      </w:r>
    </w:p>
    <w:p>
      <w:pPr>
        <w:pStyle w:val="Normal"/>
      </w:pPr>
      <w:r>
        <w:t xml:space="preserve">Defensa: Las dos mitades del enunciado son literales de la lámina 36 de la presentación 4b: «recuperarse» de la definición para personas y «absorber» de la definición para empresas. La adaptabilidad es una de las seis habilidades que la resiliencia requiere, según la lámina 39.</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9C620A" w:sz="20"/>
              <w:bottom w:val="nil"/>
              <w:right w:val="nil"/>
            </w:tcBorders>
            <w:shd w:fill="FBF3DF" w:val="clear"/>
            <w:tcMar>
              <w:top w:type="dxa" w:w="130"/>
              <w:left w:type="dxa" w:w="180"/>
              <w:bottom w:type="dxa" w:w="130"/>
              <w:right w:type="dxa" w:w="180"/>
            </w:tcMar>
          </w:tcPr>
          <w:p>
            <w:pPr>
              <w:pStyle w:val="RecuadroTitulo"/>
            </w:pPr>
            <w:r>
              <w:rPr>
                <w:b/>
                <w:bCs/>
                <w:color w:val="9C620A"/>
              </w:rPr>
              <w:t xml:space="preserve">Advertencia y límites</w:t>
            </w:r>
          </w:p>
          <w:p>
            <w:pPr>
              <w:pStyle w:val="Recuadro"/>
            </w:pPr>
            <w:r>
              <w:t xml:space="preserve">«Seleccione una o más de una» no garantiza que haya varias correctas: la revisión trae sólo Resiliencia.</w:t>
            </w:r>
          </w:p>
        </w:tc>
      </w:tr>
    </w:tbl>
    <w:p>
      <w:pPr>
        <w:pStyle w:val="Fuente"/>
      </w:pPr>
      <w:r>
        <w:t xml:space="preserve">Presentación 4b (C-4), láminas 34, 35, 36 y 39 · lectura L-20, págs. 1, 4 y 5</w:t>
      </w:r>
    </w:p>
    <w:p>
      <w:pPr>
        <w:pStyle w:val="Heading3"/>
      </w:pPr>
      <w:bookmarkStart w:name="b_pregunta_p3_02_habitos_de_los_262bf6d8" w:id="5723"/>
      <w:r>
        <w:t xml:space="preserve">5.2 · Unidad 4 · 4.7 · Hábitos: los grupos del modelo de Waters Foundation</w:t>
      </w:r>
      <w:bookmarkEnd w:id="5723"/>
    </w:p>
    <w:p>
      <w:pPr>
        <w:pStyle w:val="Normal"/>
      </w:pPr>
      <w:r>
        <w:t xml:space="preserve">¿Cuál de los siguientes hábitos, del modelo de hábitos de un pensador sistémico de Water Foundations, pertence al grupo de hábitos que nos permite ser más conscientes para construir modelos mentales sistémicos?</w:t>
      </w:r>
    </w:p>
    <w:p>
      <w:pPr>
        <w:pStyle w:val="Fuente"/>
      </w:pPr>
      <w:r>
        <w:t xml:space="preserve">Ordinal de la fuente: 2.</w:t>
      </w:r>
    </w:p>
    <w:p>
      <w:pPr>
        <w:pStyle w:val="Fuente"/>
      </w:pPr>
      <w:r>
        <w:t xml:space="preserve">Peso de la evaluación: 10 puntos.</w:t>
      </w:r>
    </w:p>
    <w:p>
      <w:pPr>
        <w:pStyle w:val="Normal"/>
      </w:pPr>
      <w:r>
        <w:t xml:space="preserve">a) Tarjeta 2 · Observa cómo los elementos de un sistema cambian a través del tiempo, generando patrones y tendencias</w:t>
      </w:r>
    </w:p>
    <w:p>
      <w:pPr>
        <w:pStyle w:val="Normal"/>
      </w:pPr>
      <w:r>
        <w:t xml:space="preserve">b) Tarjeta 12 · Presta atención a las acumulaciones y sus tasas de cambio</w:t>
      </w:r>
    </w:p>
    <w:p>
      <w:pPr>
        <w:pStyle w:val="Normal"/>
      </w:pPr>
      <w:r>
        <w:t xml:space="preserve">c) Tarjeta 14 · Examina los resultados y cambia las acciones si es necesario: “aproximación sucesiva”</w:t>
      </w:r>
    </w:p>
    <w:p>
      <w:pPr>
        <w:pStyle w:val="Normal"/>
      </w:pPr>
      <w:r>
        <w:t xml:space="preserve">d) Tarjeta 6 · Cambia las perspectivas para aumentar la comprensión</w:t>
      </w:r>
    </w:p>
    <w:p>
      <w:pPr>
        <w:pStyle w:val="Heading3"/>
      </w:pPr>
      <w:bookmarkStart w:name="b_solucion_p3_02_habitos_de_los_3e1d76d4" w:id="5724"/>
      <w:r>
        <w:t xml:space="preserve">Solución 5.2</w:t>
      </w:r>
      <w:bookmarkEnd w:id="5724"/>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d) Tarjeta 6 · Cambia las perspectivas para aumentar la comprensión</w:t>
            </w:r>
          </w:p>
        </w:tc>
      </w:tr>
    </w:tbl>
    <w:p>
      <w:pPr>
        <w:pStyle w:val="Heading3"/>
      </w:pPr>
      <w:r>
        <w:t xml:space="preserve">Ubique el grupo por su título</w:t>
      </w:r>
    </w:p>
    <w:p>
      <w:pPr>
        <w:pStyle w:val="Normal"/>
      </w:pPr>
      <w:r>
        <w:t xml:space="preserve">La lámina c4-01 se titula «Hábitos de un pensador sistémico – construyendo modelos mentales sistémicos», y la presentación 4a repite el grupo como «Hábitos básicos de un pensador sistémico»: considerar los modelos mentales, reconocer y probar suposiciones, cambiar las perspectivas y entender la película completa.</w:t>
      </w:r>
    </w:p>
    <w:p>
      <w:pPr>
        <w:pStyle w:val="Heading3"/>
      </w:pPr>
      <w:r>
        <w:t xml:space="preserve">Asigne las otras tarjetas a su unidad</w:t>
      </w:r>
    </w:p>
    <w:p>
      <w:pPr>
        <w:pStyle w:val="Normal"/>
      </w:pPr>
      <w:r>
        <w:t xml:space="preserve">La 2 es de la banda de la unidad 3, «Profundizando en los modelos de estructuras sistémicas»; la 12 y la 14 están marcadas en rojo en la lámina 4 de la presentación 4a, junto con la 8, la 10 y la 11, como hábitos de la unidad 4.</w:t>
      </w:r>
    </w:p>
    <w:p>
      <w:pPr>
        <w:pStyle w:val="Fuente"/>
      </w:pPr>
      <w:r>
        <w:t xml:space="preserve">Opciones descartadas: a), b), c).</w:t>
      </w:r>
    </w:p>
    <w:p>
      <w:pPr>
        <w:pStyle w:val="Heading3"/>
      </w:pPr>
      <w:r>
        <w:t xml:space="preserve">No se guíe por el número</w:t>
      </w:r>
    </w:p>
    <w:p>
      <w:pPr>
        <w:pStyle w:val="Normal"/>
      </w:pPr>
      <w:r>
        <w:t xml:space="preserve">El número del póster no indica el grupo: la tarjeta 6 es de los básicos y la 2 no. Además, el póster numera distinto que los cursos de la sección Hábitos del portal.</w:t>
      </w:r>
    </w:p>
    <w:p>
      <w:pPr>
        <w:pStyle w:val="Normal"/>
      </w:pPr>
      <w:r>
        <w:t xml:space="preserve">a) Tarjeta 2 · Observa cómo los elementos de un sistema cambian a través del tiempo, generando patrones y tendencias — Es de la banda «Profundizando en los modelos de estructuras sistémicas», los cinco hábitos de la unidad 3 que acompañan al modelador mientras estudia un sistema.</w:t>
      </w:r>
    </w:p>
    <w:p>
      <w:pPr>
        <w:pStyle w:val="Normal"/>
      </w:pPr>
      <w:r>
        <w:t xml:space="preserve">b) Tarjeta 12 · Presta atención a las acumulaciones y sus tasas de cambio — Es de la unidad 4: la presentación 4a lo marca en rojo y abre con él los niveles y los flujos.</w:t>
      </w:r>
    </w:p>
    <w:p>
      <w:pPr>
        <w:pStyle w:val="Normal"/>
      </w:pPr>
      <w:r>
        <w:t xml:space="preserve">c) Tarjeta 14 · Examina los resultados y cambia las acciones si es necesario: “aproximación sucesiva” — Es de la unidad 4: la presentación 4b lo marca en rojo y lo aplica «una vez implementada la solución».</w:t>
      </w:r>
    </w:p>
    <w:p>
      <w:pPr>
        <w:pStyle w:val="Normal"/>
      </w:pPr>
      <w:r>
        <w:t xml:space="preserve">d) Tarjeta 6 · Cambia las perspectivas para aumentar la comprensión — Correcta: es una de las cuatro tarjetas de la lámina «Hábitos de un pensador sistémico – construyendo modelos mentales sistémicos», el grupo de los modelos mentales.</w:t>
      </w:r>
    </w:p>
    <w:p>
      <w:pPr>
        <w:pStyle w:val="Normal"/>
      </w:pPr>
      <w:r>
        <w:t xml:space="preserve">Criterio de resolución: El curso reparte los catorce hábitos del póster en tres grupos. Los cuatro básicos, de la unidad 1, hacen conscientes los modelos mentales: considerar cómo afectan la realidad, reconocer y probar suposiciones, cambiar las perspectivas e intentar entender la película completa. La lámina c4-01 los reúne bajo el título «construyendo modelos mentales sistémicos», casi el del enunciado. Los cinco de la unidad 3 profundizan en las estructuras, y los cinco de la unidad 4 acompañan la simulación y la toma de decisiones.</w:t>
      </w:r>
    </w:p>
    <w:p>
      <w:pPr>
        <w:pStyle w:val="Normal"/>
      </w:pPr>
      <w:r>
        <w:t xml:space="preserve">Defensa: La lámina c4-01 pone «Cambia las perspectivas para aumentar la comprensión» entre las cuatro tarjetas de «construyendo modelos mentales sistémicos», y en la clase 4 el profesor dijo que esos cuatro hábitos están «relacionados directamente con la teoría de los paradigmas, modelos mentales o sistemas abstractos diseñados».</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9C620A" w:sz="20"/>
              <w:bottom w:val="nil"/>
              <w:right w:val="nil"/>
            </w:tcBorders>
            <w:shd w:fill="FBF3DF" w:val="clear"/>
            <w:tcMar>
              <w:top w:type="dxa" w:w="130"/>
              <w:left w:type="dxa" w:w="180"/>
              <w:bottom w:type="dxa" w:w="130"/>
              <w:right w:type="dxa" w:w="180"/>
            </w:tcMar>
          </w:tcPr>
          <w:p>
            <w:pPr>
              <w:pStyle w:val="RecuadroTitulo"/>
            </w:pPr>
            <w:r>
              <w:rPr>
                <w:b/>
                <w:bCs/>
                <w:color w:val="9C620A"/>
              </w:rPr>
              <w:t xml:space="preserve">Advertencia y límites</w:t>
            </w:r>
          </w:p>
          <w:p>
            <w:pPr>
              <w:pStyle w:val="Recuadro"/>
            </w:pPr>
            <w:r>
              <w:t xml:space="preserve">En la plataforma las opciones son las tarjetas ilustradas del póster; aquí se transcriben su número y su texto. La revisión muestra la clave como imagen, sin texto que copiar, y su captura la confirma: la tarjeta 6 lleva el visto de correcta, y la pregunta puntúa 10 sobre 10 con esa sola opción marcada, así que es la única correcta.</w:t>
            </w:r>
          </w:p>
        </w:tc>
      </w:tr>
    </w:tbl>
    <w:p>
      <w:pPr>
        <w:pStyle w:val="Fuente"/>
      </w:pPr>
      <w:r>
        <w:t xml:space="preserve">lámina c4-01 · Clase 4 · 00:01:09–00:02:42 · Clase 11 · 00:52:11–00:52:54 · lámina c11-19 · Presentación 4a (C-3), láminas 3 y 4</w:t>
      </w:r>
    </w:p>
    <w:p>
      <w:pPr>
        <w:pStyle w:val="Heading3"/>
      </w:pPr>
      <w:bookmarkStart w:name="b_pregunta_p3_03_caracteristica_71dd4edf" w:id="5725"/>
      <w:r>
        <w:t xml:space="preserve">5.3 · Unidad 4 · 4.2 · Flujos y niveles: lo propio de un flujo</w:t>
      </w:r>
      <w:bookmarkEnd w:id="5725"/>
    </w:p>
    <w:p>
      <w:pPr>
        <w:pStyle w:val="Normal"/>
      </w:pPr>
      <w:r>
        <w:t xml:space="preserve">¿Cuáles de las siguientes características son propias de un flujo en un diagrama de forester?</w:t>
      </w:r>
    </w:p>
    <w:p>
      <w:pPr>
        <w:pStyle w:val="Fuente"/>
      </w:pPr>
      <w:r>
        <w:t xml:space="preserve">Ordinal de la fuente: 3.</w:t>
      </w:r>
    </w:p>
    <w:p>
      <w:pPr>
        <w:pStyle w:val="Fuente"/>
      </w:pPr>
      <w:r>
        <w:t xml:space="preserve">Peso de la evaluación: 10 puntos.</w:t>
      </w:r>
    </w:p>
    <w:p>
      <w:pPr>
        <w:pStyle w:val="Normal"/>
      </w:pPr>
      <w:r>
        <w:t xml:space="preserve">a) Tienen un nivel que los define en cada instante</w:t>
      </w:r>
    </w:p>
    <w:p>
      <w:pPr>
        <w:pStyle w:val="Normal"/>
      </w:pPr>
      <w:r>
        <w:t xml:space="preserve">b) Caracterizan el estado de un sistema</w:t>
      </w:r>
    </w:p>
    <w:p>
      <w:pPr>
        <w:pStyle w:val="Normal"/>
      </w:pPr>
      <w:r>
        <w:t xml:space="preserve">c) Son los responsables de la acumulación</w:t>
      </w:r>
    </w:p>
    <w:p>
      <w:pPr>
        <w:pStyle w:val="Normal"/>
      </w:pPr>
      <w:r>
        <w:t xml:space="preserve">d) Son determinados por los niveles</w:t>
      </w:r>
    </w:p>
    <w:p>
      <w:pPr>
        <w:pStyle w:val="Heading3"/>
      </w:pPr>
      <w:bookmarkStart w:name="b_solucion_p3_03_caracteristica_25554329" w:id="5726"/>
      <w:r>
        <w:t xml:space="preserve">Solución 5.3</w:t>
      </w:r>
      <w:bookmarkEnd w:id="5726"/>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c) Son los responsables de la acumulación</w:t>
            </w:r>
          </w:p>
          <w:p>
            <w:pPr>
              <w:pStyle w:val="Recuadro"/>
            </w:pPr>
            <w:r>
              <w:t xml:space="preserve">d) Son determinados por los niveles</w:t>
            </w:r>
          </w:p>
        </w:tc>
      </w:tr>
    </w:tbl>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Retroalimentación oficial de la plataforma</w:t>
            </w:r>
          </w:p>
          <w:p>
            <w:pPr>
              <w:pStyle w:val="Recuadro"/>
            </w:pPr>
            <w:r>
              <w:t xml:space="preserve">Las respuestas correctas son: Son los responsables de la acumulación, Son determinados por los niveles</w:t>
            </w:r>
          </w:p>
        </w:tc>
      </w:tr>
    </w:tbl>
    <w:p>
      <w:pPr>
        <w:pStyle w:val="Heading3"/>
      </w:pPr>
      <w:r>
        <w:t xml:space="preserve">Separe las opciones por variable</w:t>
      </w:r>
    </w:p>
    <w:p>
      <w:pPr>
        <w:pStyle w:val="Normal"/>
      </w:pPr>
      <w:r>
        <w:t xml:space="preserve">Haga la prueba de la foto de L-16: si se congela el sistema, los niveles son lo que se puede contar. Lo que tiene un valor en cada instante y caracteriza el estado del sistema es el nivel.</w:t>
      </w:r>
    </w:p>
    <w:p>
      <w:pPr>
        <w:pStyle w:val="Fuente"/>
      </w:pPr>
      <w:r>
        <w:t xml:space="preserve">Opciones descartadas: a), b).</w:t>
      </w:r>
    </w:p>
    <w:p>
      <w:pPr>
        <w:pStyle w:val="Heading3"/>
      </w:pPr>
      <w:r>
        <w:t xml:space="preserve">Lea el flujo como tasa de cambio</w:t>
      </w:r>
    </w:p>
    <w:p>
      <w:pPr>
        <w:pStyle w:val="Normal"/>
      </w:pPr>
      <w:r>
        <w:t xml:space="preserve">En la lámina 26 de la presentación 4a, dCAPITAL/dt = depósitos − retiros: el nivel acumula lo que los flujos meten y sacan. Sin flujo no hay acumulación.</w:t>
      </w:r>
    </w:p>
    <w:p>
      <w:pPr>
        <w:pStyle w:val="Heading3"/>
      </w:pPr>
      <w:r>
        <w:t xml:space="preserve">Busque qué determina al flujo</w:t>
      </w:r>
    </w:p>
    <w:p>
      <w:pPr>
        <w:pStyle w:val="Normal"/>
      </w:pPr>
      <w:r>
        <w:t xml:space="preserve">En la lámina 28 los nacimientos se calculan con la población: el nivel informa al flujo. L-16 lo resume así: los niveles «a su vez determinan los flujos».</w:t>
      </w:r>
    </w:p>
    <w:p>
      <w:pPr>
        <w:pStyle w:val="Normal"/>
      </w:pPr>
      <w:r>
        <w:t xml:space="preserve">a) Tienen un nivel que los define en cada instante — Describe al nivel: L-16 define los niveles como «aquellos elementos que muestran en cada instante la situación del modelo».</w:t>
      </w:r>
    </w:p>
    <w:p>
      <w:pPr>
        <w:pStyle w:val="Normal"/>
      </w:pPr>
      <w:r>
        <w:t xml:space="preserve">b) Caracterizan el estado de un sistema — También es del nivel: «los niveles caracterizan el estado de un sistema», dice L-16 al explicar la prueba de la foto.</w:t>
      </w:r>
    </w:p>
    <w:p>
      <w:pPr>
        <w:pStyle w:val="Normal"/>
      </w:pPr>
      <w:r>
        <w:t xml:space="preserve">c) Son los responsables de la acumulación — Correcta: L-16 insiste en que «los niveles son acumuladores y los flujos aquellos responsables de la acumulación».</w:t>
      </w:r>
    </w:p>
    <w:p>
      <w:pPr>
        <w:pStyle w:val="Normal"/>
      </w:pPr>
      <w:r>
        <w:t xml:space="preserve">d) Son determinados por los niveles — Correcta: «un nivel únicamente cambia por flujos de entrada y salida, y estos a su vez son determinados por los niveles».</w:t>
      </w:r>
    </w:p>
    <w:p>
      <w:pPr>
        <w:pStyle w:val="Normal"/>
      </w:pPr>
      <w:r>
        <w:t xml:space="preserve">Criterio de resolución: Las cuatro opciones vienen en pares: dos describen el nivel y dos el flujo. El flujo es la tasa de cambio que llena o vacía el nivel, por eso es el responsable de la acumulación, y su valor se calcula a partir de los niveles por canales de información: en la presentación 4a, Nacimientos = Tasa Natalidad × Población. Estar definido «en cada instante» y caracterizar el estado del sistema son propiedades del nivel, la variable de estado.</w:t>
      </w:r>
    </w:p>
    <w:p>
      <w:pPr>
        <w:pStyle w:val="Normal"/>
      </w:pPr>
      <w:r>
        <w:t xml:space="preserve">Defensa: L-16 atribuye literalmente al flujo las dos propiedades: «los flujos aquellos responsables de la acumulación» (pág. 12) y «estos a su vez son determinados por los niveles» (pág. 25). Las otras dos son, en la misma lectura, definiciones del nivel.</w:t>
      </w:r>
    </w:p>
    <w:p>
      <w:pPr>
        <w:pStyle w:val="Fuente"/>
      </w:pPr>
      <w:r>
        <w:t xml:space="preserve">lectura L-16, págs. 6, 10, 11, 12 y 25 · lectura L-15, pág. 37 · Presentación 4a (C-3), láminas 26 y 28</w:t>
      </w:r>
    </w:p>
    <w:p>
      <w:pPr>
        <w:pStyle w:val="Heading3"/>
      </w:pPr>
      <w:bookmarkStart w:name="b_pregunta_p3_04_habito_para_mo_17e527d5" w:id="5727"/>
      <w:r>
        <w:t xml:space="preserve">5.4 · Unidad 4 · 4.7 · Hábitos: el que sostiene un modelo en VENSIM</w:t>
      </w:r>
      <w:bookmarkEnd w:id="5727"/>
    </w:p>
    <w:p>
      <w:pPr>
        <w:pStyle w:val="Normal"/>
      </w:pPr>
      <w:r>
        <w:t xml:space="preserve">¿Cuál de los siguientes hábitos hace referencia a los conceptos más importantes y necesarios que debe tener un pensador sistémico para crear un modelo de dinámica de sistemas en VENSIM?</w:t>
      </w:r>
    </w:p>
    <w:p>
      <w:pPr>
        <w:pStyle w:val="Fuente"/>
      </w:pPr>
      <w:r>
        <w:t xml:space="preserve">Ordinal de la fuente: 4.</w:t>
      </w:r>
    </w:p>
    <w:p>
      <w:pPr>
        <w:pStyle w:val="Fuente"/>
      </w:pPr>
      <w:r>
        <w:t xml:space="preserve">Peso de la evaluación: 10 puntos.</w:t>
      </w:r>
    </w:p>
    <w:p>
      <w:pPr>
        <w:pStyle w:val="Normal"/>
      </w:pPr>
      <w:r>
        <w:t xml:space="preserve">a) Tarjeta 4 · Identifica la naturaleza circular de relaciones complejas entre causa y efecto</w:t>
      </w:r>
    </w:p>
    <w:p>
      <w:pPr>
        <w:pStyle w:val="Normal"/>
      </w:pPr>
      <w:r>
        <w:t xml:space="preserve">b) Tarjeta 11 · Considera las consecuencias a corto plazo, a largo plazo, e inesperadas de las acciones</w:t>
      </w:r>
    </w:p>
    <w:p>
      <w:pPr>
        <w:pStyle w:val="Normal"/>
      </w:pPr>
      <w:r>
        <w:t xml:space="preserve">c) Tarjeta 12 · Presta atención a las acumulaciones y sus tasas de cambio</w:t>
      </w:r>
    </w:p>
    <w:p>
      <w:pPr>
        <w:pStyle w:val="Normal"/>
      </w:pPr>
      <w:r>
        <w:t xml:space="preserve">d) Tarjeta 5 · Hace conexiones significativas dentro y entre sistemas</w:t>
      </w:r>
    </w:p>
    <w:p>
      <w:pPr>
        <w:pStyle w:val="Heading3"/>
      </w:pPr>
      <w:bookmarkStart w:name="b_solucion_p3_04_habito_para_mo_e67885fe" w:id="5728"/>
      <w:r>
        <w:t xml:space="preserve">Solución 5.4</w:t>
      </w:r>
      <w:bookmarkEnd w:id="5728"/>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c) Tarjeta 12 · Presta atención a las acumulaciones y sus tasas de cambio</w:t>
            </w:r>
          </w:p>
        </w:tc>
      </w:tr>
    </w:tbl>
    <w:p>
      <w:pPr>
        <w:pStyle w:val="Heading3"/>
      </w:pPr>
      <w:r>
        <w:t xml:space="preserve">Identifique las piezas de un modelo en VENSIM</w:t>
      </w:r>
    </w:p>
    <w:p>
      <w:pPr>
        <w:pStyle w:val="Normal"/>
      </w:pPr>
      <w:r>
        <w:t xml:space="preserve">En la lámina 9 de la presentación 4a, el nivel es un rectángulo, el flujo una válvula y las auxiliares círculos. Para pasar de un diagrama de ciclos causales a VENSIM, lo primero es identificar «cuáles variables son flujos y cuáles son niveles» (lámina 18).</w:t>
      </w:r>
    </w:p>
    <w:p>
      <w:pPr>
        <w:pStyle w:val="Heading3"/>
      </w:pPr>
      <w:r>
        <w:t xml:space="preserve">Busque el hábito que las nombra</w:t>
      </w:r>
    </w:p>
    <w:p>
      <w:pPr>
        <w:pStyle w:val="Normal"/>
      </w:pPr>
      <w:r>
        <w:t xml:space="preserve">Acumulaciones son niveles y tasas de cambio son flujos: es la tarjeta 12, que la presentación 4a usa de portada de la simulación (láminas 5 y 16).</w:t>
      </w:r>
    </w:p>
    <w:p>
      <w:pPr>
        <w:pStyle w:val="Heading3"/>
      </w:pPr>
      <w:r>
        <w:t xml:space="preserve">Ubique las demás en su bloque</w:t>
      </w:r>
    </w:p>
    <w:p>
      <w:pPr>
        <w:pStyle w:val="Normal"/>
      </w:pPr>
      <w:r>
        <w:t xml:space="preserve">La 4 y la 5 son de la banda de la unidad 3, que sostiene los mapas DSRP y los ciclos causales; la 11 es de la toma de decisiones de la presentación 4b.</w:t>
      </w:r>
    </w:p>
    <w:p>
      <w:pPr>
        <w:pStyle w:val="Fuente"/>
      </w:pPr>
      <w:r>
        <w:t xml:space="preserve">Opciones descartadas: a), b), d).</w:t>
      </w:r>
    </w:p>
    <w:p>
      <w:pPr>
        <w:pStyle w:val="Normal"/>
      </w:pPr>
      <w:r>
        <w:t xml:space="preserve">a) Tarjeta 4 · Identifica la naturaleza circular de relaciones complejas entre causa y efecto — Es de la banda de la unidad 3 y sostiene los diagramas de ciclos causales; en VENSIM los ciclos se arman con niveles, flujos y canales de información.</w:t>
      </w:r>
    </w:p>
    <w:p>
      <w:pPr>
        <w:pStyle w:val="Normal"/>
      </w:pPr>
      <w:r>
        <w:t xml:space="preserve">b) Tarjeta 11 · Considera las consecuencias a corto plazo, a largo plazo, e inesperadas de las acciones — Es de la unidad 4, pero del bloque de toma de decisiones de la presentación 4b: sirve para usar el modelo al decidir, no para construirlo.</w:t>
      </w:r>
    </w:p>
    <w:p>
      <w:pPr>
        <w:pStyle w:val="Normal"/>
      </w:pPr>
      <w:r>
        <w:t xml:space="preserve">c) Tarjeta 12 · Presta atención a las acumulaciones y sus tasas de cambio — Correcta: acumulaciones y tasas de cambio son los niveles y los flujos, las dos piezas de todo diagrama de Forrester.</w:t>
      </w:r>
    </w:p>
    <w:p>
      <w:pPr>
        <w:pStyle w:val="Normal"/>
      </w:pPr>
      <w:r>
        <w:t xml:space="preserve">d) Tarjeta 5 · Hace conexiones significativas dentro y entre sistemas — Es de la banda de la unidad 3: modelar las partes y sus relaciones, como en los mapas DSRP y los ciclos causales.</w:t>
      </w:r>
    </w:p>
    <w:p>
      <w:pPr>
        <w:pStyle w:val="Normal"/>
      </w:pPr>
      <w:r>
        <w:t xml:space="preserve">Criterio de resolución: Un modelo de VENSIM es un diagrama de Forrester, y sus dos conceptos indispensables son el nivel, que es la acumulación, y el flujo, que es su tasa de cambio. La presentación 4a abre la simulación con la tarjeta de ese hábito: «Un pensador sistémico ve cantidades de material o información que se han acumulado o disminuido a través del tiempo». Después titula «Acumulaciones (niveles) y tasas de cambio (flujos)» y repite la tarjeta antes de «Diagramas de flujos y niveles como base para la simulación del comportamiento de un sistema».</w:t>
      </w:r>
    </w:p>
    <w:p>
      <w:pPr>
        <w:pStyle w:val="Normal"/>
      </w:pPr>
      <w:r>
        <w:t xml:space="preserve">Defensa: La tarjeta 12 es el único hábito que nombra los dos conceptos de un diagrama de Forrester, y la presentación 4a la pone de entrada a los niveles y flujos y otra vez antes de la simulación del comportamiento.</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9C620A" w:sz="20"/>
              <w:bottom w:val="nil"/>
              <w:right w:val="nil"/>
            </w:tcBorders>
            <w:shd w:fill="FBF3DF" w:val="clear"/>
            <w:tcMar>
              <w:top w:type="dxa" w:w="130"/>
              <w:left w:type="dxa" w:w="180"/>
              <w:bottom w:type="dxa" w:w="130"/>
              <w:right w:type="dxa" w:w="180"/>
            </w:tcMar>
          </w:tcPr>
          <w:p>
            <w:pPr>
              <w:pStyle w:val="RecuadroTitulo"/>
            </w:pPr>
            <w:r>
              <w:rPr>
                <w:b/>
                <w:bCs/>
                <w:color w:val="9C620A"/>
              </w:rPr>
              <w:t xml:space="preserve">Advertencia y límites</w:t>
            </w:r>
          </w:p>
          <w:p>
            <w:pPr>
              <w:pStyle w:val="Recuadro"/>
            </w:pPr>
            <w:r>
              <w:t xml:space="preserve">Como en la pregunta 2, las opciones son tarjetas y la revisión muestra la clave como imagen: en la captura, bajo «La respuesta correcta es:», aparece la tarjeta 12.</w:t>
            </w:r>
          </w:p>
        </w:tc>
      </w:tr>
    </w:tbl>
    <w:p>
      <w:pPr>
        <w:pStyle w:val="Fuente"/>
      </w:pPr>
      <w:r>
        <w:t xml:space="preserve">Presentación 4a (C-3), láminas 5, 6, 9, 16, 17 y 18 · lectura L-16, pág. 9</w:t>
      </w:r>
    </w:p>
    <w:p>
      <w:pPr>
        <w:pStyle w:val="Heading3"/>
      </w:pPr>
      <w:bookmarkStart w:name="b_pregunta_p3_05_simbolo_de_la_nube" w:id="5729"/>
      <w:r>
        <w:t xml:space="preserve">5.5 · Unidad 4 · 4.2 · Flujos y niveles: la nube</w:t>
      </w:r>
      <w:bookmarkEnd w:id="5729"/>
    </w:p>
    <w:p>
      <w:pPr>
        <w:pStyle w:val="Normal"/>
      </w:pPr>
      <w:r>
        <w:t xml:space="preserve">¿Qué representa en un diagrama de flujos y niveles (diagrama de Forester) el siguiente simbolo?</w:t>
      </w:r>
    </w:p>
    <w:p>
      <w:pPr>
        <w:pStyle w:val="Fuente"/>
      </w:pPr>
      <w:r>
        <w:t xml:space="preserve">Ordinal de la fuente: 5.</w:t>
      </w:r>
    </w:p>
    <w:p>
      <w:pPr>
        <w:pStyle w:val="Fuente"/>
      </w:pPr>
      <w:r>
        <w:t xml:space="preserve">Peso de la evaluación: 10 puntos.</w:t>
      </w:r>
    </w:p>
    <w:p>
      <w:pPr>
        <w:keepNext/>
        <w:spacing w:after="40" w:before="150"/>
        <w:jc w:val="center"/>
      </w:pPr>
      <w:bookmarkStart w:name="b_figura_original_p3_05_simbolo_b3c1a885" w:id="5730"/>
      <w:bookmarkEnd w:id="5730"/>
      <w:r>
        <w:drawing>
          <wp:inline distT="0" distB="0" distL="0" distR="0">
            <wp:extent cx="5381625" cy="714375"/>
            <wp:effectExtent t="0" r="0" b="0" l="0"/>
            <wp:docPr id="256" name="p3-05-simbolo-de-la-nube-enunciado" descr="lectura L-16, pág. 7 · lectura L-15, págs. 37 y 83 · Presentación 4a (C-3), láminas 9, 12 y 28" title="Unidad 4 · 4.2 · Flujos y niveles: la nu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20" cstate="none"/>
                    <a:srcRect/>
                    <a:stretch>
                      <a:fillRect/>
                    </a:stretch>
                  </pic:blipFill>
                  <pic:spPr bwMode="auto">
                    <a:xfrm>
                      <a:off x="0" y="0"/>
                      <a:ext cx="5381625" cy="714375"/>
                    </a:xfrm>
                    <a:prstGeom prst="rect">
                      <a:avLst/>
                    </a:prstGeom>
                  </pic:spPr>
                </pic:pic>
              </a:graphicData>
            </a:graphic>
          </wp:inline>
        </w:drawing>
      </w:r>
    </w:p>
    <w:p>
      <w:pPr>
        <w:pStyle w:val="PieFigura"/>
        <w:keepNext/>
      </w:pPr>
      <w:bookmarkStart w:name="b_fig_V5_1" w:id="5731"/>
      <w:r>
        <w:t xml:space="preserve">Figura V5.</w:t>
      </w:r>
      <w:fldSimple w:instr="SEQ Figura \r 1 \* ARABIC">
        <w:r>
          <w:t xml:space="preserve">1</w:t>
        </w:r>
      </w:fldSimple>
      <w:r>
        <w:t xml:space="preserve"> · Unidad 4 · 4.2 · Flujos y niveles: la nube</w:t>
      </w:r>
      <w:bookmarkEnd w:id="5731"/>
    </w:p>
    <w:p>
      <w:pPr>
        <w:pStyle w:val="Fuente"/>
      </w:pPr>
      <w:r>
        <w:t xml:space="preserve">lectura L-16, pág. 7 · lectura L-15, págs. 37 y 83 · Presentación 4a (C-3), láminas 9, 12 y 28</w:t>
      </w:r>
    </w:p>
    <w:p>
      <w:pPr>
        <w:pStyle w:val="Normal"/>
      </w:pPr>
      <w:r>
        <w:t xml:space="preserve">a) Una fuente o un sumidero de material que puede interpretarse como un nivel que no es importante para el modelador y es prácticamente inagotable.</w:t>
      </w:r>
    </w:p>
    <w:p>
      <w:pPr>
        <w:pStyle w:val="Normal"/>
      </w:pPr>
      <w:r>
        <w:t xml:space="preserve">b) Cálculos intermedios o valores fijos que permiten ver los aspectos que condicionan el comportamiento de los flujos</w:t>
      </w:r>
    </w:p>
    <w:p>
      <w:pPr>
        <w:pStyle w:val="Normal"/>
      </w:pPr>
      <w:r>
        <w:t xml:space="preserve">c) El tiempo que demora la transmisión de los materiales o información en el sistema</w:t>
      </w:r>
    </w:p>
    <w:p>
      <w:pPr>
        <w:pStyle w:val="Normal"/>
      </w:pPr>
      <w:r>
        <w:t xml:space="preserve">d) Una variable de estado</w:t>
      </w:r>
    </w:p>
    <w:p>
      <w:pPr>
        <w:pStyle w:val="Heading3"/>
      </w:pPr>
      <w:bookmarkStart w:name="b_solucion_p3_05_simbolo_de_la_nube" w:id="5732"/>
      <w:r>
        <w:t xml:space="preserve">Solución 5.5</w:t>
      </w:r>
      <w:bookmarkEnd w:id="5732"/>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a) Una fuente o un sumidero de material que puede interpretarse como un nivel que no es importante para el modelador y es prácticamente inagotable.</w:t>
            </w:r>
          </w:p>
        </w:tc>
      </w:tr>
    </w:tbl>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Retroalimentación oficial de la plataforma</w:t>
            </w:r>
          </w:p>
          <w:p>
            <w:pPr>
              <w:pStyle w:val="Recuadro"/>
            </w:pPr>
            <w:r>
              <w:t xml:space="preserve">La respuesta correcta es: Una fuente o un sumidero de material que puede interpretarse como un nivel que no es importante para el modelador y es prácticamente inagotable.</w:t>
            </w:r>
          </w:p>
        </w:tc>
      </w:tr>
    </w:tbl>
    <w:p>
      <w:pPr>
        <w:pStyle w:val="Heading3"/>
      </w:pPr>
      <w:r>
        <w:t xml:space="preserve">Reconozca el símbolo</w:t>
      </w:r>
    </w:p>
    <w:p>
      <w:pPr>
        <w:pStyle w:val="Normal"/>
      </w:pPr>
      <w:r>
        <w:t xml:space="preserve">La nube está en los extremos de las tuberías de un diagrama de Forrester: antes del flujo de entrada y después del de salida.</w:t>
      </w:r>
    </w:p>
    <w:p>
      <w:pPr>
        <w:pStyle w:val="Heading3"/>
      </w:pPr>
      <w:r>
        <w:t xml:space="preserve">Asigne cada definición a su símbolo</w:t>
      </w:r>
    </w:p>
    <w:p>
      <w:pPr>
        <w:pStyle w:val="Normal"/>
      </w:pPr>
      <w:r>
        <w:t xml:space="preserve">Las otras tres definiciones están en la misma página de L-16: los cálculos intermedios y los valores fijos son las auxiliares y las constantes, que se dibujan con círculos; el tiempo de transmisión es el retardo; la variable de estado es el nivel, el rectángulo.</w:t>
      </w:r>
    </w:p>
    <w:p>
      <w:pPr>
        <w:pStyle w:val="Fuente"/>
      </w:pPr>
      <w:r>
        <w:t xml:space="preserve">Opciones descartadas: b), c), d).</w:t>
      </w:r>
    </w:p>
    <w:p>
      <w:pPr>
        <w:pStyle w:val="Normal"/>
      </w:pPr>
      <w:r>
        <w:t xml:space="preserve">a) Una fuente o un sumidero de material que puede interpretarse como un nivel que no es importante para el modelador y es prácticamente inagotable. — Correcta: es literal de L-16, pág. 7: «La nube representa una fuente o un sumidero de material…».</w:t>
      </w:r>
    </w:p>
    <w:p>
      <w:pPr>
        <w:pStyle w:val="Normal"/>
      </w:pPr>
      <w:r>
        <w:t xml:space="preserve">b) Cálculos intermedios o valores fijos que permiten ver los aspectos que condicionan el comportamiento de los flujos — Son las variables auxiliares y las constantes, que se dibujan con círculos: «cálculos intermedios y valores fijos, respectivamente».</w:t>
      </w:r>
    </w:p>
    <w:p>
      <w:pPr>
        <w:pStyle w:val="Normal"/>
      </w:pPr>
      <w:r>
        <w:t xml:space="preserve">c) El tiempo que demora la transmisión de los materiales o información en el sistema — Son los retardos, que «simulan el tiempo que demora la transmisión de los materiales o las informaciones».</w:t>
      </w:r>
    </w:p>
    <w:p>
      <w:pPr>
        <w:pStyle w:val="Normal"/>
      </w:pPr>
      <w:r>
        <w:t xml:space="preserve">d) Una variable de estado — Es el nivel, el rectángulo: a la variable de nivel «se la conoce también como variable de estado».</w:t>
      </w:r>
    </w:p>
    <w:p>
      <w:pPr>
        <w:pStyle w:val="Normal"/>
      </w:pPr>
      <w:r>
        <w:t xml:space="preserve">Criterio de resolución: La nube marca la frontera del modelo: de ella sale el material de un flujo de entrada y a ella llega el de un flujo de salida. Es fuente al inicio de un flujo de entrada y sumidero al final de uno de salida, como en la lámina 28 de la presentación 4a, que rotula así las dos nubes del modelo de población. Sobre el modelo de la epidemia, la lámina 12 añade que «se podría prescindir de él pero se incluye para dar mayor coherencia al diagrama».</w:t>
      </w:r>
    </w:p>
    <w:p>
      <w:pPr>
        <w:pStyle w:val="Normal"/>
      </w:pPr>
      <w:r>
        <w:t xml:space="preserve">Defensa: La opción a copia la definición de la nube de L-16, pág. 7, y la presentación 4a rotula «Fuente» y «Sumidero» las dos nubes del modelo de población. La trampa es d: la nube «puede interpretarse como un nivel», pero uno que no le importa al modelador y que no se dibuja como rectángulo.</w:t>
      </w:r>
    </w:p>
    <w:p>
      <w:pPr>
        <w:pStyle w:val="Fuente"/>
      </w:pPr>
      <w:r>
        <w:t xml:space="preserve">lectura L-16, pág. 7 · lectura L-15, págs. 37 y 83 · Presentación 4a (C-3), láminas 9, 12 y 28</w:t>
      </w:r>
    </w:p>
    <w:p>
      <w:pPr>
        <w:pStyle w:val="Heading3"/>
      </w:pPr>
      <w:bookmarkStart w:name="b_pregunta_p3_06_fases_que_simu_dfe0f5d9" w:id="5733"/>
      <w:r>
        <w:t xml:space="preserve">5.6 · Unidad 4 · 4.4 · Simulación: las fases de un modelo</w:t>
      </w:r>
      <w:bookmarkEnd w:id="5733"/>
    </w:p>
    <w:p>
      <w:pPr>
        <w:pStyle w:val="Normal"/>
      </w:pPr>
      <w:r>
        <w:t xml:space="preserve">¿En qué fases de la construcción de un modelo de simulación dinámica se debe de utilizar herramientas de simulación como VENSIM para realizar la simulación informática del modelo para determinar las trayectorias que genera?</w:t>
      </w:r>
    </w:p>
    <w:p>
      <w:pPr>
        <w:pStyle w:val="Fuente"/>
      </w:pPr>
      <w:r>
        <w:t xml:space="preserve">Ordinal de la fuente: 6.</w:t>
      </w:r>
    </w:p>
    <w:p>
      <w:pPr>
        <w:pStyle w:val="Fuente"/>
      </w:pPr>
      <w:r>
        <w:t xml:space="preserve">Peso de la evaluación: 10 puntos.</w:t>
      </w:r>
    </w:p>
    <w:p>
      <w:pPr>
        <w:pStyle w:val="Normal"/>
      </w:pPr>
      <w:r>
        <w:t xml:space="preserve">a) Formalización</w:t>
      </w:r>
    </w:p>
    <w:p>
      <w:pPr>
        <w:pStyle w:val="Normal"/>
      </w:pPr>
      <w:r>
        <w:t xml:space="preserve">b) Conceptualización del sistema</w:t>
      </w:r>
    </w:p>
    <w:p>
      <w:pPr>
        <w:pStyle w:val="Normal"/>
      </w:pPr>
      <w:r>
        <w:t xml:space="preserve">c) Explotación del modelo</w:t>
      </w:r>
    </w:p>
    <w:p>
      <w:pPr>
        <w:pStyle w:val="Normal"/>
      </w:pPr>
      <w:r>
        <w:t xml:space="preserve">d) Comportamiento del modelo</w:t>
      </w:r>
    </w:p>
    <w:p>
      <w:pPr>
        <w:pStyle w:val="Normal"/>
      </w:pPr>
      <w:r>
        <w:t xml:space="preserve">e) Definición del problema</w:t>
      </w:r>
    </w:p>
    <w:p>
      <w:pPr>
        <w:pStyle w:val="Heading3"/>
      </w:pPr>
      <w:bookmarkStart w:name="b_solucion_p3_06_fases_que_simu_6394ddde" w:id="5734"/>
      <w:r>
        <w:t xml:space="preserve">Solución 5.6</w:t>
      </w:r>
      <w:bookmarkEnd w:id="5734"/>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c) Explotación del modelo</w:t>
            </w:r>
          </w:p>
          <w:p>
            <w:pPr>
              <w:pStyle w:val="Recuadro"/>
            </w:pPr>
            <w:r>
              <w:t xml:space="preserve">d) Comportamiento del modelo</w:t>
            </w:r>
          </w:p>
        </w:tc>
      </w:tr>
    </w:tbl>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Retroalimentación oficial de la plataforma</w:t>
            </w:r>
          </w:p>
          <w:p>
            <w:pPr>
              <w:pStyle w:val="Recuadro"/>
            </w:pPr>
            <w:r>
              <w:t xml:space="preserve">Las respuestas correctas son: Comportamiento del modelo , Explotación del modelo</w:t>
            </w:r>
          </w:p>
        </w:tc>
      </w:tr>
    </w:tbl>
    <w:p>
      <w:pPr>
        <w:pStyle w:val="Heading3"/>
      </w:pPr>
      <w:r>
        <w:t xml:space="preserve">Ordene las fases de Aracil</w:t>
      </w:r>
    </w:p>
    <w:p>
      <w:pPr>
        <w:pStyle w:val="Normal"/>
      </w:pPr>
      <w:r>
        <w:t xml:space="preserve">Definición del problema, conceptualización (el diagrama de influencias), formalización (el diagrama de Forrester y sus ecuaciones), comportamiento, evaluación y explotación: la figura de la lámina 27 de la presentación 4a.</w:t>
      </w:r>
    </w:p>
    <w:p>
      <w:pPr>
        <w:pStyle w:val="Heading3"/>
      </w:pPr>
      <w:r>
        <w:t xml:space="preserve">Busque las fases que corren el modelo</w:t>
      </w:r>
    </w:p>
    <w:p>
      <w:pPr>
        <w:pStyle w:val="Normal"/>
      </w:pPr>
      <w:r>
        <w:t xml:space="preserve">El comportamiento es la simulación informática que da las trayectorias. La explotación ensaya políticas con escenarios «qué pasaría sí…» (lámina 36): también corre el modelo.</w:t>
      </w:r>
    </w:p>
    <w:p>
      <w:pPr>
        <w:pStyle w:val="Heading3"/>
      </w:pPr>
      <w:r>
        <w:t xml:space="preserve">Descarte las que no lo corren</w:t>
      </w:r>
    </w:p>
    <w:p>
      <w:pPr>
        <w:pStyle w:val="Normal"/>
      </w:pPr>
      <w:r>
        <w:t xml:space="preserve">Al definir el problema y al conceptualizar todavía no hay modelo; al formalizar se programa, pero no se simula.</w:t>
      </w:r>
    </w:p>
    <w:p>
      <w:pPr>
        <w:pStyle w:val="Fuente"/>
      </w:pPr>
      <w:r>
        <w:t xml:space="preserve">Opciones descartadas: a), b), e).</w:t>
      </w:r>
    </w:p>
    <w:p>
      <w:pPr>
        <w:pStyle w:val="Normal"/>
      </w:pPr>
      <w:r>
        <w:t xml:space="preserve">a) Formalización — Convierte el diagrama de influencias en el de Forrester y escribe sus ecuaciones; termina con «un modelo del sistema programado en un computador», todavía sin simular.</w:t>
      </w:r>
    </w:p>
    <w:p>
      <w:pPr>
        <w:pStyle w:val="Normal"/>
      </w:pPr>
      <w:r>
        <w:t xml:space="preserve">b) Conceptualización del sistema — Define los elementos del sistema y sus influencias; su resultado es el diagrama de influencias.</w:t>
      </w:r>
    </w:p>
    <w:p>
      <w:pPr>
        <w:pStyle w:val="Normal"/>
      </w:pPr>
      <w:r>
        <w:t xml:space="preserve">c) Explotación del modelo — Correcta: emplea el modelo para «analizar políticas alternativas», definidas «mediante escenarios», y eso se hace corriendo la simulación: los escenarios «qué pasaría sí…» de la presentación 4a.</w:t>
      </w:r>
    </w:p>
    <w:p>
      <w:pPr>
        <w:pStyle w:val="Normal"/>
      </w:pPr>
      <w:r>
        <w:t xml:space="preserve">d) Comportamiento del modelo — Correcta: es literal de Aracil, «la simulación informática del modelo para determinar las trayectorias que genera».</w:t>
      </w:r>
    </w:p>
    <w:p>
      <w:pPr>
        <w:pStyle w:val="Normal"/>
      </w:pPr>
      <w:r>
        <w:t xml:space="preserve">e) Definición del problema — Decide si el problema puede describirse con el lenguaje sistémico; todavía no hay modelo que simular.</w:t>
      </w:r>
    </w:p>
    <w:p>
      <w:pPr>
        <w:pStyle w:val="Normal"/>
      </w:pPr>
      <w:r>
        <w:t xml:space="preserve">Criterio de resolución: Aracil (L-15) describe seis fases: definición del problema, conceptualización, formalización, comportamiento, evaluación y explotación, y la presentación 4a reproduce su figura. El enunciado copia la definición de la cuarta, el comportamiento del modelo. Pero la explotación también simula: en ella el modelo se emplea para analizar políticas alternativas mediante escenarios, que son corridas del modelo. La formalización sólo lo programa.</w:t>
      </w:r>
    </w:p>
    <w:p>
      <w:pPr>
        <w:pStyle w:val="Normal"/>
      </w:pPr>
      <w:r>
        <w:t xml:space="preserve">Defensa: La revisión da por correctas el comportamiento y la explotación. El comportamiento es literal de Aracil, pág. 60; la explotación corre la simulación para comparar políticas mediante escenarios, y Aracil, págs. 68–69, habla de ensayar estrategias «con ayuda de modelos de simulación».</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9C620A" w:sz="20"/>
              <w:bottom w:val="nil"/>
              <w:right w:val="nil"/>
            </w:tcBorders>
            <w:shd w:fill="FBF3DF" w:val="clear"/>
            <w:tcMar>
              <w:top w:type="dxa" w:w="130"/>
              <w:left w:type="dxa" w:w="180"/>
              <w:bottom w:type="dxa" w:w="130"/>
              <w:right w:type="dxa" w:w="180"/>
            </w:tcMar>
          </w:tcPr>
          <w:p>
            <w:pPr>
              <w:pStyle w:val="RecuadroTitulo"/>
            </w:pPr>
            <w:r>
              <w:rPr>
                <w:b/>
                <w:bCs/>
                <w:color w:val="9C620A"/>
              </w:rPr>
              <w:t xml:space="preserve">Advertencia y límites</w:t>
            </w:r>
          </w:p>
          <w:p>
            <w:pPr>
              <w:pStyle w:val="Recuadro"/>
            </w:pPr>
            <w:r>
              <w:t xml:space="preserve">El portal razonó primero sólo el comportamiento, porque el enunciado copia su definición, y descartó la explotación; la revisión la incluye. Con «una o más de una», la clave puede abarcar toda fase que corra la simulación. Marcar sólo una de las dos vale 5 de 10.</w:t>
            </w:r>
          </w:p>
        </w:tc>
      </w:tr>
    </w:tbl>
    <w:p>
      <w:pPr>
        <w:pStyle w:val="Fuente"/>
      </w:pPr>
      <w:r>
        <w:t xml:space="preserve">lectura L-15, págs. 60, 63–64 y 68–69 · Presentación 4a (C-3), láminas 17, 25, 27 y 36</w:t>
      </w:r>
    </w:p>
    <w:p>
      <w:pPr>
        <w:pStyle w:val="Heading3"/>
      </w:pPr>
      <w:bookmarkStart w:name="b_pregunta_p3_07_efecto_domino" w:id="5735"/>
      <w:r>
        <w:t xml:space="preserve">5.7 · Unidad 4 · 4.6 · Toma de decisiones: el efecto dominó</w:t>
      </w:r>
      <w:bookmarkEnd w:id="5735"/>
    </w:p>
    <w:p>
      <w:pPr>
        <w:pStyle w:val="Normal"/>
      </w:pPr>
      <w:r>
        <w:t xml:space="preserve">El pensador sistémico actúa con lentitud pero ve el efecto dominó a través de las relaciones circulares que lo producen</w:t>
      </w:r>
    </w:p>
    <w:p>
      <w:pPr>
        <w:pStyle w:val="Fuente"/>
      </w:pPr>
      <w:r>
        <w:t xml:space="preserve">Ordinal de la fuente: 7.</w:t>
      </w:r>
    </w:p>
    <w:p>
      <w:pPr>
        <w:pStyle w:val="Fuente"/>
      </w:pPr>
      <w:r>
        <w:t xml:space="preserve">Peso de la evaluación: 10 puntos.</w:t>
      </w:r>
    </w:p>
    <w:p>
      <w:pPr>
        <w:pStyle w:val="Normal"/>
      </w:pPr>
      <w:r>
        <w:t xml:space="preserve">a) Verdadero</w:t>
      </w:r>
    </w:p>
    <w:p>
      <w:pPr>
        <w:pStyle w:val="Normal"/>
      </w:pPr>
      <w:r>
        <w:t xml:space="preserve">b) Falso</w:t>
      </w:r>
    </w:p>
    <w:p>
      <w:pPr>
        <w:pStyle w:val="Heading3"/>
      </w:pPr>
      <w:bookmarkStart w:name="b_solucion_p3_07_efecto_domino" w:id="5736"/>
      <w:r>
        <w:t xml:space="preserve">Solución 5.7</w:t>
      </w:r>
      <w:bookmarkEnd w:id="5736"/>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a) Verdadero</w:t>
            </w:r>
          </w:p>
        </w:tc>
      </w:tr>
    </w:tbl>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Retroalimentación oficial de la plataforma</w:t>
            </w:r>
          </w:p>
          <w:p>
            <w:pPr>
              <w:pStyle w:val="Recuadro"/>
            </w:pPr>
            <w:r>
              <w:t xml:space="preserve">La respuesta apropiada es 'Verdadero</w:t>
            </w:r>
          </w:p>
        </w:tc>
      </w:tr>
    </w:tbl>
    <w:p>
      <w:pPr>
        <w:pStyle w:val="Heading3"/>
      </w:pPr>
      <w:r>
        <w:t xml:space="preserve">Lea la lámina que el enunciado invierte</w:t>
      </w:r>
    </w:p>
    <w:p>
      <w:pPr>
        <w:pStyle w:val="Normal"/>
      </w:pPr>
      <w:r>
        <w:t xml:space="preserve">«El pensamiento reduccionista actúa rápidamente pero no ve las cadenas circulares de causa y efecto que producen el efecto dominó». El enunciado dice del pensador sistémico lo opuesto en las dos mitades.</w:t>
      </w:r>
    </w:p>
    <w:p>
      <w:pPr>
        <w:pStyle w:val="Heading3"/>
      </w:pPr>
      <w:r>
        <w:t xml:space="preserve">Compruebe cada mitad con el hábito 8</w:t>
      </w:r>
    </w:p>
    <w:p>
      <w:pPr>
        <w:pStyle w:val="Normal"/>
      </w:pPr>
      <w:r>
        <w:t xml:space="preserve">«Considera un tema completamente y resiste al impulso de llegar a una conclusión rápida»: el pensador sistémico se toma su tiempo, y lo hace para ver la dinámica circular del sistema.</w:t>
      </w:r>
    </w:p>
    <w:p>
      <w:pPr>
        <w:pStyle w:val="Heading3"/>
      </w:pPr>
      <w:r>
        <w:t xml:space="preserve">Pese la objeción</w:t>
      </w:r>
    </w:p>
    <w:p>
      <w:pPr>
        <w:pStyle w:val="Normal"/>
      </w:pPr>
      <w:r>
        <w:t xml:space="preserve">La lámina 14 aclara que no ralentiza «innecesariamente» una organización: busca el equilibrio entre eficiencia y efectividad. Eso matiza la lentitud; no la niega.</w:t>
      </w:r>
    </w:p>
    <w:p>
      <w:pPr>
        <w:pStyle w:val="Fuente"/>
      </w:pPr>
      <w:r>
        <w:t xml:space="preserve">Opciones descartadas: b).</w:t>
      </w:r>
    </w:p>
    <w:p>
      <w:pPr>
        <w:pStyle w:val="Normal"/>
      </w:pPr>
      <w:r>
        <w:t xml:space="preserve">a) Verdadero — Correcta: es el espejo de la lámina 13 de la presentación 4b, que dice del pensamiento reduccionista lo contrario: «actúa rápidamente pero no ve las cadenas circulares de causa y efecto que producen el “efecto dominó”».</w:t>
      </w:r>
    </w:p>
    <w:p>
      <w:pPr>
        <w:pStyle w:val="Normal"/>
      </w:pPr>
      <w:r>
        <w:t xml:space="preserve">b) Falso — Sólo se sostendría leyendo «actúa con lentitud» contra la lámina 14, «los pensadores de sistemas no ralentizan innecesariamente una organización»; la revisión no lo toma así.</w:t>
      </w:r>
    </w:p>
    <w:p>
      <w:pPr>
        <w:pStyle w:val="Normal"/>
      </w:pPr>
      <w:r>
        <w:t xml:space="preserve">Criterio de resolución: La presentación 4b contrapone dos formas de pensar. El pensamiento reduccionista actúa rápido y no ve las cadenas circulares que le devuelven el efecto, como el hombre que empuja una ficha de dominó y la fila da la vuelta hasta alcanzarlo. El pensador sistémico, según la tarjeta del hábito 8, «toma el tiempo necesario para entender la dinámica de un sistema antes de actuar»: es más lento para concluir, pero ve el efecto dominó a través de las relaciones circulares.</w:t>
      </w:r>
    </w:p>
    <w:p>
      <w:pPr>
        <w:pStyle w:val="Normal"/>
      </w:pPr>
      <w:r>
        <w:t xml:space="preserve">Defensa: Las dos mitades del enunciado invierten la lámina 13 de la presentación 4b para el pensador sistémico, y la tarjeta del hábito 8 respalda la primera: toma el tiempo necesario antes de actuar. La revisión da Verdadero.</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9C620A" w:sz="20"/>
              <w:bottom w:val="nil"/>
              <w:right w:val="nil"/>
            </w:tcBorders>
            <w:shd w:fill="FBF3DF" w:val="clear"/>
            <w:tcMar>
              <w:top w:type="dxa" w:w="130"/>
              <w:left w:type="dxa" w:w="180"/>
              <w:bottom w:type="dxa" w:w="130"/>
              <w:right w:type="dxa" w:w="180"/>
            </w:tcMar>
          </w:tcPr>
          <w:p>
            <w:pPr>
              <w:pStyle w:val="RecuadroTitulo"/>
            </w:pPr>
            <w:r>
              <w:rPr>
                <w:b/>
                <w:bCs/>
                <w:color w:val="9C620A"/>
              </w:rPr>
              <w:t xml:space="preserve">Advertencia y límites</w:t>
            </w:r>
          </w:p>
          <w:p>
            <w:pPr>
              <w:pStyle w:val="Recuadro"/>
            </w:pPr>
            <w:r>
              <w:t xml:space="preserve">El portal dio Verdadero con reparo, por la lámina 14, y la revisión lo confirmó. En la clase 8 el profesor ya había anunciado el nombre: la reacción en cadena «que más adelante vamos a llamar el efecto dominó».</w:t>
            </w:r>
          </w:p>
        </w:tc>
      </w:tr>
    </w:tbl>
    <w:p>
      <w:pPr>
        <w:pStyle w:val="Fuente"/>
      </w:pPr>
      <w:r>
        <w:t xml:space="preserve">Presentación 4b (C-4), láminas 12, 13 y 14 · Clase 8 · 01:01:28–01:01:59</w:t>
      </w:r>
    </w:p>
    <w:p>
      <w:pPr>
        <w:pStyle w:val="Heading3"/>
      </w:pPr>
      <w:bookmarkStart w:name="b_pregunta_p3_08_dificultades_d_5407fe65" w:id="5737"/>
      <w:r>
        <w:t xml:space="preserve">5.8 · Unidad 4 · 4.6 · Toma de decisiones: los puntos de apalancamiento</w:t>
      </w:r>
      <w:bookmarkEnd w:id="5737"/>
    </w:p>
    <w:p>
      <w:pPr>
        <w:pStyle w:val="Normal"/>
      </w:pPr>
      <w:r>
        <w:t xml:space="preserve">¿Cuáles de las siguientes situaciones pueden dificultar la identificación de puntos de apalancamiento efectivos en un sistema?</w:t>
      </w:r>
    </w:p>
    <w:p>
      <w:pPr>
        <w:pStyle w:val="Fuente"/>
      </w:pPr>
      <w:r>
        <w:t xml:space="preserve">Ordinal de la fuente: 8.</w:t>
      </w:r>
    </w:p>
    <w:p>
      <w:pPr>
        <w:pStyle w:val="Fuente"/>
      </w:pPr>
      <w:r>
        <w:t xml:space="preserve">Peso de la evaluación: 10 puntos.</w:t>
      </w:r>
    </w:p>
    <w:p>
      <w:pPr>
        <w:pStyle w:val="Normal"/>
      </w:pPr>
      <w:r>
        <w:t xml:space="preserve">a) La falta de comprensión de de los sintomas del problema</w:t>
      </w:r>
    </w:p>
    <w:p>
      <w:pPr>
        <w:pStyle w:val="Normal"/>
      </w:pPr>
      <w:r>
        <w:t xml:space="preserve">b) El acceso mínimo a las opciones de apalancamiento</w:t>
      </w:r>
    </w:p>
    <w:p>
      <w:pPr>
        <w:pStyle w:val="Normal"/>
      </w:pPr>
      <w:r>
        <w:t xml:space="preserve">c) La falta de la comprensión de la estructura del sistema</w:t>
      </w:r>
    </w:p>
    <w:p>
      <w:pPr>
        <w:pStyle w:val="Normal"/>
      </w:pPr>
      <w:r>
        <w:t xml:space="preserve">d) La falta de intuición para percibir los puntos de apalancamiento</w:t>
      </w:r>
    </w:p>
    <w:p>
      <w:pPr>
        <w:pStyle w:val="Heading3"/>
      </w:pPr>
      <w:bookmarkStart w:name="b_solucion_p3_08_dificultades_d_1171e5a4" w:id="5738"/>
      <w:r>
        <w:t xml:space="preserve">Solución 5.8</w:t>
      </w:r>
      <w:bookmarkEnd w:id="5738"/>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b) El acceso mínimo a las opciones de apalancamiento</w:t>
            </w:r>
          </w:p>
          <w:p>
            <w:pPr>
              <w:pStyle w:val="Recuadro"/>
            </w:pPr>
            <w:r>
              <w:t xml:space="preserve">c) La falta de la comprensión de la estructura del sistema</w:t>
            </w:r>
          </w:p>
        </w:tc>
      </w:tr>
    </w:tbl>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Retroalimentación oficial de la plataforma</w:t>
            </w:r>
          </w:p>
          <w:p>
            <w:pPr>
              <w:pStyle w:val="Recuadro"/>
            </w:pPr>
            <w:r>
              <w:t xml:space="preserve">Las respuestas correctas son: La falta de la comprensión de la estructura del sistema, El acceso mínimo a las opciones de apalancamiento</w:t>
            </w:r>
          </w:p>
        </w:tc>
      </w:tr>
    </w:tbl>
    <w:p>
      <w:pPr>
        <w:pStyle w:val="Heading3"/>
      </w:pPr>
      <w:r>
        <w:t xml:space="preserve">Busque la frase de la lámina 25</w:t>
      </w:r>
    </w:p>
    <w:p>
      <w:pPr>
        <w:pStyle w:val="Normal"/>
      </w:pPr>
      <w:r>
        <w:t xml:space="preserve">«La falta de comprensión de la estructura de los sistemas y el acceso mínimo a las opciones pueden dificultar la identificación del apalancamiento»: son las opciones c y b.</w:t>
      </w:r>
    </w:p>
    <w:p>
      <w:pPr>
        <w:pStyle w:val="Heading3"/>
      </w:pPr>
      <w:r>
        <w:t xml:space="preserve">Contraste la intuición con la lámina 29</w:t>
      </w:r>
    </w:p>
    <w:p>
      <w:pPr>
        <w:pStyle w:val="Normal"/>
      </w:pPr>
      <w:r>
        <w:t xml:space="preserve">«Los puntos de apalancamiento no son intuitivos. O si lo están, los usamos intuitivamente a la inversa… Los sistemas complejos son contraintuitivos». El obstáculo no es que falte intuición.</w:t>
      </w:r>
    </w:p>
    <w:p>
      <w:pPr>
        <w:pStyle w:val="Fuente"/>
      </w:pPr>
      <w:r>
        <w:t xml:space="preserve">Opciones descartadas: d).</w:t>
      </w:r>
    </w:p>
    <w:p>
      <w:pPr>
        <w:pStyle w:val="Heading3"/>
      </w:pPr>
      <w:r>
        <w:t xml:space="preserve">Distinga el síntoma de la estructura</w:t>
      </w:r>
    </w:p>
    <w:p>
      <w:pPr>
        <w:pStyle w:val="Normal"/>
      </w:pPr>
      <w:r>
        <w:t xml:space="preserve">Los síntomas son lo visible del problema; la lectura L-17 advierte que son más fáciles de reconocer que el resto de la estructura. El hábito 10 pide entender la estructura para encontrar «qué pequeñas acciones producirán con mayor probabilidad los resultados deseados» (lámina 26).</w:t>
      </w:r>
    </w:p>
    <w:p>
      <w:pPr>
        <w:pStyle w:val="Fuente"/>
      </w:pPr>
      <w:r>
        <w:t xml:space="preserve">Opciones descartadas: a).</w:t>
      </w:r>
    </w:p>
    <w:p>
      <w:pPr>
        <w:pStyle w:val="Normal"/>
      </w:pPr>
      <w:r>
        <w:t xml:space="preserve">a) La falta de comprensión de de los sintomas del problema — Los síntomas son lo más fácil de ver; el apalancamiento sale de la estructura, y concentrarse en los síntomas lleva a las soluciones sintomáticas.</w:t>
      </w:r>
    </w:p>
    <w:p>
      <w:pPr>
        <w:pStyle w:val="Normal"/>
      </w:pPr>
      <w:r>
        <w:t xml:space="preserve">b) El acceso mínimo a las opciones de apalancamiento — Correcta: es la segunda dificultad de la lámina 25 de la presentación 4b, «el acceso mínimo a las opciones».</w:t>
      </w:r>
    </w:p>
    <w:p>
      <w:pPr>
        <w:pStyle w:val="Normal"/>
      </w:pPr>
      <w:r>
        <w:t xml:space="preserve">c) La falta de la comprensión de la estructura del sistema — Correcta: es la primera dificultad de la misma lámina, «la falta de comprensión de la estructura de los sistemas».</w:t>
      </w:r>
    </w:p>
    <w:p>
      <w:pPr>
        <w:pStyle w:val="Normal"/>
      </w:pPr>
      <w:r>
        <w:t xml:space="preserve">d) La falta de intuición para percibir los puntos de apalancamiento — La intuición no ayuda: la lámina 29 dice que los puntos de apalancamiento «no son intuitivos» y que, si lo son, los usamos al revés.</w:t>
      </w:r>
    </w:p>
    <w:p>
      <w:pPr>
        <w:pStyle w:val="Normal"/>
      </w:pPr>
      <w:r>
        <w:t xml:space="preserve">Criterio de resolución: La lámina 25 de la presentación 4b, «La comprensión de la estructura del sistema permite identificar acciones de apalancamiento», termina así: «la falta de comprensión de la estructura de los sistemas y el acceso mínimo a las opciones pueden dificultar la identificación del apalancamiento en un sistema». Por eso el hábito 10 pide usar la comprensión de la estructura, y un modelo visual, como un diagrama de ciclos causales, ayuda a encontrar la palanca.</w:t>
      </w:r>
    </w:p>
    <w:p>
      <w:pPr>
        <w:pStyle w:val="Normal"/>
      </w:pPr>
      <w:r>
        <w:t xml:space="preserve">Defensa: Las dos opciones correctas reproducen la lámina 25 de la presentación 4b; d contradice la lámina 29 y a confunde los síntomas con la estructura.</w:t>
      </w:r>
    </w:p>
    <w:p>
      <w:pPr>
        <w:pStyle w:val="Fuente"/>
      </w:pPr>
      <w:r>
        <w:t xml:space="preserve">Presentación 4b (C-4), láminas 25, 26 y 29 · lectura L-17</w:t>
      </w:r>
    </w:p>
    <w:p>
      <w:pPr>
        <w:pStyle w:val="Heading3"/>
      </w:pPr>
      <w:bookmarkStart w:name="b_pregunta_p3_09_cambiar_la_estructura" w:id="5739"/>
      <w:r>
        <w:t xml:space="preserve">5.9 · Unidad 4 · 4.6 · Toma de decisiones: cambiar la estructura</w:t>
      </w:r>
      <w:bookmarkEnd w:id="5739"/>
    </w:p>
    <w:p>
      <w:pPr>
        <w:pStyle w:val="Normal"/>
      </w:pPr>
      <w:r>
        <w:t xml:space="preserve">Si se desea cambiar la forma en que se comporta un sistema, ¿qué hace un pensador sistémico?</w:t>
      </w:r>
    </w:p>
    <w:p>
      <w:pPr>
        <w:pStyle w:val="Fuente"/>
      </w:pPr>
      <w:r>
        <w:t xml:space="preserve">Ordinal de la fuente: 9.</w:t>
      </w:r>
    </w:p>
    <w:p>
      <w:pPr>
        <w:pStyle w:val="Fuente"/>
      </w:pPr>
      <w:r>
        <w:t xml:space="preserve">Peso de la evaluación: 10 puntos.</w:t>
      </w:r>
    </w:p>
    <w:p>
      <w:pPr>
        <w:pStyle w:val="Normal"/>
      </w:pPr>
      <w:r>
        <w:t xml:space="preserve">a) Identifica las conexiones entre los elementos o partes del sistema y cambia las que considera necesarias</w:t>
      </w:r>
    </w:p>
    <w:p>
      <w:pPr>
        <w:pStyle w:val="Normal"/>
      </w:pPr>
      <w:r>
        <w:t xml:space="preserve">b) Identifica los resultados generado por el sistema y busca cambiar el patrón de comportamiento frecuente actuando sobre los resultados</w:t>
      </w:r>
    </w:p>
    <w:p>
      <w:pPr>
        <w:pStyle w:val="Normal"/>
      </w:pPr>
      <w:r>
        <w:t xml:space="preserve">c) Busca las causas culpables del problema para cambiarlas de raíz</w:t>
      </w:r>
    </w:p>
    <w:p>
      <w:pPr>
        <w:pStyle w:val="Normal"/>
      </w:pPr>
      <w:r>
        <w:t xml:space="preserve">d) Identifica los síntomas no deseados del sistema y aplica la mejor solución rápida a estos que permita reducirlos o eliminarlos</w:t>
      </w:r>
    </w:p>
    <w:p>
      <w:pPr>
        <w:pStyle w:val="Heading3"/>
      </w:pPr>
      <w:bookmarkStart w:name="b_solucion_p3_09_cambiar_la_estructura" w:id="5740"/>
      <w:r>
        <w:t xml:space="preserve">Solución 5.9</w:t>
      </w:r>
      <w:bookmarkEnd w:id="5740"/>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a) Identifica las conexiones entre los elementos o partes del sistema y cambia las que considera necesarias</w:t>
            </w:r>
          </w:p>
        </w:tc>
      </w:tr>
    </w:tbl>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Retroalimentación oficial de la plataforma</w:t>
            </w:r>
          </w:p>
          <w:p>
            <w:pPr>
              <w:pStyle w:val="Recuadro"/>
            </w:pPr>
            <w:r>
              <w:t xml:space="preserve">La respuesta correcta es: Identifica las conexiones entre los elementos o partes del sistema y cambia las que considera necesarias</w:t>
            </w:r>
          </w:p>
        </w:tc>
      </w:tr>
    </w:tbl>
    <w:p>
      <w:pPr>
        <w:pStyle w:val="Heading3"/>
      </w:pPr>
      <w:r>
        <w:t xml:space="preserve">Recuerde qué genera el comportamiento</w:t>
      </w:r>
    </w:p>
    <w:p>
      <w:pPr>
        <w:pStyle w:val="Normal"/>
      </w:pPr>
      <w:r>
        <w:t xml:space="preserve">La estructura: las partes del sistema y sus relaciones. «Los sistemas están perfectamente diseñados para producir los resultados que obtienen» (presentación de la unidad 3, pág. 91).</w:t>
      </w:r>
    </w:p>
    <w:p>
      <w:pPr>
        <w:pStyle w:val="Heading3"/>
      </w:pPr>
      <w:r>
        <w:t xml:space="preserve">Aplique la regla de la unidad 3</w:t>
      </w:r>
    </w:p>
    <w:p>
      <w:pPr>
        <w:pStyle w:val="Normal"/>
      </w:pPr>
      <w:r>
        <w:t xml:space="preserve">Para cambiar el comportamiento se cambia la estructura, y eso es identificar las conexiones y modificar las necesarias.</w:t>
      </w:r>
    </w:p>
    <w:p>
      <w:pPr>
        <w:pStyle w:val="Heading3"/>
      </w:pPr>
      <w:r>
        <w:t xml:space="preserve">Descarte lo que no toca la estructura</w:t>
      </w:r>
    </w:p>
    <w:p>
      <w:pPr>
        <w:pStyle w:val="Normal"/>
      </w:pPr>
      <w:r>
        <w:t xml:space="preserve">Los resultados y los síntomas son efectos de la estructura; los culpables son una lectura lineal del problema; la solución rápida es un arquetipo que falla.</w:t>
      </w:r>
    </w:p>
    <w:p>
      <w:pPr>
        <w:pStyle w:val="Fuente"/>
      </w:pPr>
      <w:r>
        <w:t xml:space="preserve">Opciones descartadas: b), c), d).</w:t>
      </w:r>
    </w:p>
    <w:p>
      <w:pPr>
        <w:pStyle w:val="Normal"/>
      </w:pPr>
      <w:r>
        <w:t xml:space="preserve">a) Identifica las conexiones entre los elementos o partes del sistema y cambia las que considera necesarias — Correcta: las partes y sus conexiones son la estructura, y «si desea cambiar la forma en que se comporta un sistema, lo hace cambiando la estructura del sistema».</w:t>
      </w:r>
    </w:p>
    <w:p>
      <w:pPr>
        <w:pStyle w:val="Normal"/>
      </w:pPr>
      <w:r>
        <w:t xml:space="preserve">b) Identifica los resultados generado por el sistema y busca cambiar el patrón de comportamiento frecuente actuando sobre los resultados — Los resultados son lo que la estructura produce: actuar sobre ellos es quedarse en los eventos y los patrones del iceberg, sin tocar lo que los genera.</w:t>
      </w:r>
    </w:p>
    <w:p>
      <w:pPr>
        <w:pStyle w:val="Normal"/>
      </w:pPr>
      <w:r>
        <w:t xml:space="preserve">c) Busca las causas culpables del problema para cambiarlas de raíz — Buscar culpables es pensamiento lineal: en la clase 16 el profesor dijo que el objetivo del pensador sistémico «no es buscar culpables».</w:t>
      </w:r>
    </w:p>
    <w:p>
      <w:pPr>
        <w:pStyle w:val="Normal"/>
      </w:pPr>
      <w:r>
        <w:t xml:space="preserve">d) Identifica los síntomas no deseados del sistema y aplica la mejor solución rápida a estos que permita reducirlos o eliminarlos — Es el arquetipo «Soluciones rápidas que fallan»: alivia el síntoma, y sus consecuencias no intencionadas agravan el problema.</w:t>
      </w:r>
    </w:p>
    <w:p>
      <w:pPr>
        <w:pStyle w:val="Normal"/>
      </w:pPr>
      <w:r>
        <w:t xml:space="preserve">Criterio de resolución: El hábito «Reconoce que la estructura de un sistema genera su comportamiento» tiene una consecuencia práctica, que la presentación de la unidad 3 escribe casi con las palabras del enunciado: «Si desea cambiar la forma en que se comporta un sistema, lo hace cambiando la estructura del sistema». La estructura son las partes y sus relaciones; identificar las conexiones y cambiar las necesarias es cambiarla.</w:t>
      </w:r>
    </w:p>
    <w:p>
      <w:pPr>
        <w:pStyle w:val="Normal"/>
      </w:pPr>
      <w:r>
        <w:t xml:space="preserve">Defensa: La opción a describe cómo se cambia la estructura, y la presentación de la unidad 3, pág. 90, dice que el comportamiento se cambia cambiando la estructura. Las demás actúan sobre efectos o buscan culpables, que es lo que el curso descarta.</w:t>
      </w:r>
    </w:p>
    <w:p>
      <w:pPr>
        <w:pStyle w:val="Fuente"/>
      </w:pPr>
      <w:r>
        <w:t xml:space="preserve">Material de la unidad 3, págs. 90 y 91 · Clase 16 · 00:21:29–00:21:55 · Presentación 4b (C-4), láminas 5 y 6</w:t>
      </w:r>
    </w:p>
    <w:p>
      <w:pPr>
        <w:pStyle w:val="Heading3"/>
      </w:pPr>
      <w:bookmarkStart w:name="b_pregunta_p3_10_saldo_lineal_creciente" w:id="5741"/>
      <w:r>
        <w:t xml:space="preserve">5.10 · Unidad 4 · 4.2 · Flujos y niveles: el comportamiento de un nivel</w:t>
      </w:r>
      <w:bookmarkEnd w:id="5741"/>
    </w:p>
    <w:p>
      <w:pPr>
        <w:pStyle w:val="Normal"/>
      </w:pPr>
      <w:r>
        <w:t xml:space="preserve">Considerando el siguiente modelo de flujos y niveles sobre el saldo de una cuenta bancaria de ahorros, ¿Qué patron de comportamiento tiene el nivel del saldo cuando los depósitos son un valor constante de Q100.00 al mes y los gastos son un valor constante de Q 50.00 al mes para un saldo inicial de Q 100.00?</w:t>
      </w:r>
    </w:p>
    <w:p>
      <w:pPr>
        <w:pStyle w:val="Fuente"/>
      </w:pPr>
      <w:r>
        <w:t xml:space="preserve">Ordinal de la fuente: 10.</w:t>
      </w:r>
    </w:p>
    <w:p>
      <w:pPr>
        <w:pStyle w:val="Fuente"/>
      </w:pPr>
      <w:r>
        <w:t xml:space="preserve">Peso de la evaluación: 10 puntos.</w:t>
      </w:r>
    </w:p>
    <w:p>
      <w:pPr>
        <w:keepNext/>
        <w:spacing w:after="40" w:before="150"/>
        <w:jc w:val="center"/>
      </w:pPr>
      <w:bookmarkStart w:name="b_figura_original_p3_10_saldo_l_13124a5c" w:id="5742"/>
      <w:bookmarkEnd w:id="5742"/>
      <w:r>
        <w:drawing>
          <wp:inline distT="0" distB="0" distL="0" distR="0">
            <wp:extent cx="5381625" cy="923925"/>
            <wp:effectExtent t="0" r="0" b="0" l="0"/>
            <wp:docPr id="257" name="p3-10-saldo-lineal-creciente-enunciado" descr="lectura L-16, pág. 12 · Presentación 4a (C-3), láminas 26, 43, 45, 46 y 49" title="Unidad 4 · 4.2 · Flujos y niveles: el comportamiento de un niv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21" cstate="none"/>
                    <a:srcRect/>
                    <a:stretch>
                      <a:fillRect/>
                    </a:stretch>
                  </pic:blipFill>
                  <pic:spPr bwMode="auto">
                    <a:xfrm>
                      <a:off x="0" y="0"/>
                      <a:ext cx="5381625" cy="923925"/>
                    </a:xfrm>
                    <a:prstGeom prst="rect">
                      <a:avLst/>
                    </a:prstGeom>
                  </pic:spPr>
                </pic:pic>
              </a:graphicData>
            </a:graphic>
          </wp:inline>
        </w:drawing>
      </w:r>
    </w:p>
    <w:p>
      <w:pPr>
        <w:pStyle w:val="PieFigura"/>
        <w:keepNext/>
      </w:pPr>
      <w:bookmarkStart w:name="b_fig_V5_2" w:id="5743"/>
      <w:r>
        <w:t xml:space="preserve">Figura V5.</w:t>
      </w:r>
      <w:fldSimple w:instr="SEQ Figura \n \* ARABIC">
        <w:r>
          <w:t xml:space="preserve">2</w:t>
        </w:r>
      </w:fldSimple>
      <w:r>
        <w:t xml:space="preserve"> · Unidad 4 · 4.2 · Flujos y niveles: el comportamiento de un nivel</w:t>
      </w:r>
      <w:bookmarkEnd w:id="5743"/>
    </w:p>
    <w:p>
      <w:pPr>
        <w:pStyle w:val="Fuente"/>
      </w:pPr>
      <w:r>
        <w:t xml:space="preserve">lectura L-16, pág. 12 · Presentación 4a (C-3), láminas 26, 43, 45, 46 y 49</w:t>
      </w:r>
    </w:p>
    <w:p>
      <w:pPr>
        <w:pStyle w:val="Normal"/>
      </w:pPr>
      <w:r>
        <w:t xml:space="preserve">a) Lineal decreciente</w:t>
      </w:r>
    </w:p>
    <w:p>
      <w:pPr>
        <w:pStyle w:val="Normal"/>
      </w:pPr>
      <w:r>
        <w:t xml:space="preserve">b) Oscilatorio alrededor de Q 100.00</w:t>
      </w:r>
    </w:p>
    <w:p>
      <w:pPr>
        <w:pStyle w:val="Normal"/>
      </w:pPr>
      <w:r>
        <w:t xml:space="preserve">c) Exponencial decreciente</w:t>
      </w:r>
    </w:p>
    <w:p>
      <w:pPr>
        <w:pStyle w:val="Normal"/>
      </w:pPr>
      <w:r>
        <w:t xml:space="preserve">d) Lineal creciente</w:t>
      </w:r>
    </w:p>
    <w:p>
      <w:pPr>
        <w:pStyle w:val="Heading3"/>
      </w:pPr>
      <w:bookmarkStart w:name="b_solucion_p3_10_saldo_lineal_creciente" w:id="5744"/>
      <w:r>
        <w:t xml:space="preserve">Solución 5.10</w:t>
      </w:r>
      <w:bookmarkEnd w:id="5744"/>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d) Lineal creciente</w:t>
            </w:r>
          </w:p>
        </w:tc>
      </w:tr>
    </w:tbl>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Retroalimentación oficial de la plataforma</w:t>
            </w:r>
          </w:p>
          <w:p>
            <w:pPr>
              <w:pStyle w:val="Recuadro"/>
            </w:pPr>
            <w:r>
              <w:t xml:space="preserve">La respuesta correcta es: Lineal creciente</w:t>
            </w:r>
          </w:p>
        </w:tc>
      </w:tr>
    </w:tbl>
    <w:p>
      <w:pPr>
        <w:pStyle w:val="Heading3"/>
      </w:pPr>
      <w:r>
        <w:t xml:space="preserve">Calcule el flujo neto</w:t>
      </w:r>
    </w:p>
    <w:p>
      <w:pPr>
        <w:pStyle w:val="Normal"/>
      </w:pPr>
      <w:r>
        <w:t xml:space="preserve">Entran 100 y salen 50 por mes: el saldo cambia +50 por mes, siempre lo mismo, porque ningún flujo depende del saldo.</w:t>
      </w:r>
    </w:p>
    <w:p>
      <w:pPr>
        <w:pStyle w:val="Heading3"/>
      </w:pPr>
      <w:r>
        <w:t xml:space="preserve">Acumule en el tiempo</w:t>
      </w:r>
    </w:p>
    <w:p>
      <w:pPr>
        <w:pStyle w:val="Normal"/>
      </w:pPr>
      <w:r>
        <w:t xml:space="preserve">Saldo(t) = 100 + 50t, como STOCK(t) = 50t + 1000 en la lámina 43 de la presentación 4a: una recta que sube.</w:t>
      </w:r>
    </w:p>
    <w:p>
      <w:pPr>
        <w:pStyle w:val="Heading3"/>
      </w:pPr>
      <w:r>
        <w:t xml:space="preserve">Descarte las curvas que piden realimentación</w:t>
      </w:r>
    </w:p>
    <w:p>
      <w:pPr>
        <w:pStyle w:val="Normal"/>
      </w:pPr>
      <w:r>
        <w:t xml:space="preserve">El crecimiento o el decrecimiento exponencial aparecen cuando un flujo depende del nivel (láminas 45, 46 y 49), y la oscilación cuando hay un balance con demora. En este diagrama ninguna flecha va del saldo a las válvulas.</w:t>
      </w:r>
    </w:p>
    <w:p>
      <w:pPr>
        <w:pStyle w:val="Fuente"/>
      </w:pPr>
      <w:r>
        <w:t xml:space="preserve">Opciones descartadas: a), b), c).</w:t>
      </w:r>
    </w:p>
    <w:p>
      <w:pPr>
        <w:pStyle w:val="Normal"/>
      </w:pPr>
      <w:r>
        <w:t xml:space="preserve">a) Lineal decreciente — El saldo bajaría en línea recta si los gastos superaran a los depósitos; aquí entran 100 y salen 50 por mes.</w:t>
      </w:r>
    </w:p>
    <w:p>
      <w:pPr>
        <w:pStyle w:val="Normal"/>
      </w:pPr>
      <w:r>
        <w:t xml:space="preserve">b) Oscilatorio alrededor de Q 100.00 — Una oscilación necesita un ciclo de balance con demora; con flujos constantes nada hace volver el saldo, y Q 100.00 es sólo el valor inicial.</w:t>
      </w:r>
    </w:p>
    <w:p>
      <w:pPr>
        <w:pStyle w:val="Normal"/>
      </w:pPr>
      <w:r>
        <w:t xml:space="preserve">c) Exponencial decreciente — Un decrecimiento exponencial pide un flujo de salida proporcional al saldo; aquí los dos flujos son constantes y el neto es positivo.</w:t>
      </w:r>
    </w:p>
    <w:p>
      <w:pPr>
        <w:pStyle w:val="Normal"/>
      </w:pPr>
      <w:r>
        <w:t xml:space="preserve">d) Lineal creciente — Correcta: el saldo sube 50 cada mes, Saldo(t) = 100 + 50t, una recta de pendiente constante.</w:t>
      </w:r>
    </w:p>
    <w:p>
      <w:pPr>
        <w:pStyle w:val="Normal"/>
      </w:pPr>
      <w:r>
        <w:t xml:space="preserve">Criterio de resolución: El nivel acumula la diferencia entre lo que entra y lo que sale: dSaldo/dt = depósitos − gastos = 100 − 50 = 50 quetzales por mes. Con el saldo inicial de 100, Saldo(t) = 100 + 50t: 150 al primer mes, 200 al segundo y 700 al año. Es el «crecimiento simple» de la presentación 4a, con las mismas tasas de 100 y 50, que «da lugar a un crecimiento lineal de pendiente constante».</w:t>
      </w:r>
    </w:p>
    <w:p>
      <w:pPr>
        <w:pStyle w:val="Normal"/>
      </w:pPr>
      <w:r>
        <w:t xml:space="preserve">Defensa: Con flujos constantes el nivel cambia a ritmo constante: 50 quetzales por mes. La presentación 4a muestra el mismo caso, con entrada de 100 y salida de 50, como crecimiento lineal de pendiente constante.</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9C620A" w:sz="20"/>
              <w:bottom w:val="nil"/>
              <w:right w:val="nil"/>
            </w:tcBorders>
            <w:shd w:fill="FBF3DF" w:val="clear"/>
            <w:tcMar>
              <w:top w:type="dxa" w:w="130"/>
              <w:left w:type="dxa" w:w="180"/>
              <w:bottom w:type="dxa" w:w="130"/>
              <w:right w:type="dxa" w:w="180"/>
            </w:tcMar>
          </w:tcPr>
          <w:p>
            <w:pPr>
              <w:pStyle w:val="RecuadroTitulo"/>
            </w:pPr>
            <w:r>
              <w:rPr>
                <w:b/>
                <w:bCs/>
                <w:color w:val="9C620A"/>
              </w:rPr>
              <w:t xml:space="preserve">Advertencia y límites</w:t>
            </w:r>
          </w:p>
          <w:p>
            <w:pPr>
              <w:pStyle w:val="Recuadro"/>
            </w:pPr>
            <w:r>
              <w:t xml:space="preserve">El diagrama es la figura 36 de la lectura L-16, con sus rótulos: «Depositos» va sin tilde.</w:t>
            </w:r>
          </w:p>
        </w:tc>
      </w:tr>
    </w:tbl>
    <w:p>
      <w:pPr>
        <w:pStyle w:val="Fuente"/>
      </w:pPr>
      <w:r>
        <w:t xml:space="preserve">lectura L-16, pág. 12 · Presentación 4a (C-3), láminas 26, 43, 45, 46 y 49</w:t>
      </w:r>
    </w:p>
    <w:p>
      <w:pPr>
        <w:pStyle w:val="Heading3"/>
      </w:pPr>
      <w:bookmarkStart w:name="b_pregunta_p3v_01_aproximacion_sucesiva" w:id="5745"/>
      <w:r>
        <w:t xml:space="preserve">5.11 · Unidad 4 · 4.7 · Hábitos: la aproximación sucesiva</w:t>
      </w:r>
      <w:bookmarkEnd w:id="5745"/>
    </w:p>
    <w:p>
      <w:pPr>
        <w:pStyle w:val="Normal"/>
      </w:pPr>
      <w:r>
        <w:t xml:space="preserve">Adoptar el cambio como un proceso continuo de mejora, en el que se aprende de la experiencia y se usa para mejorar las acciones, es una definición que hace referencia a un concepto asociado a un hábito de un pensador sistémico. ¿Cuál es este concepto?</w:t>
      </w:r>
    </w:p>
    <w:p>
      <w:pPr>
        <w:pStyle w:val="Fuente"/>
      </w:pPr>
      <w:r>
        <w:t xml:space="preserve">Ordinal de la fuente: 1 · variante editorial de la pregunta 1 de la evaluación.</w:t>
      </w:r>
    </w:p>
    <w:p>
      <w:pPr>
        <w:pStyle w:val="Normal"/>
      </w:pPr>
      <w:r>
        <w:t xml:space="preserve">a) Resiliencia</w:t>
      </w:r>
    </w:p>
    <w:p>
      <w:pPr>
        <w:pStyle w:val="Normal"/>
      </w:pPr>
      <w:r>
        <w:t xml:space="preserve">b) Ciclo vicioso</w:t>
      </w:r>
    </w:p>
    <w:p>
      <w:pPr>
        <w:pStyle w:val="Normal"/>
      </w:pPr>
      <w:r>
        <w:t xml:space="preserve">c) Aproximación sucesiva</w:t>
      </w:r>
    </w:p>
    <w:p>
      <w:pPr>
        <w:pStyle w:val="Normal"/>
      </w:pPr>
      <w:r>
        <w:t xml:space="preserve">d) Adaptabilidad</w:t>
      </w:r>
    </w:p>
    <w:p>
      <w:pPr>
        <w:pStyle w:val="Normal"/>
      </w:pPr>
      <w:r>
        <w:t xml:space="preserve">e) Efecto dominó</w:t>
      </w:r>
    </w:p>
    <w:p>
      <w:pPr>
        <w:pStyle w:val="Heading3"/>
      </w:pPr>
      <w:bookmarkStart w:name="b_solucion_p3v_01_aproximacion_sucesiva" w:id="5746"/>
      <w:r>
        <w:t xml:space="preserve">Solución 5.11</w:t>
      </w:r>
      <w:bookmarkEnd w:id="5746"/>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c) Aproximación sucesiva</w:t>
            </w:r>
          </w:p>
        </w:tc>
      </w:tr>
    </w:tbl>
    <w:p>
      <w:pPr>
        <w:pStyle w:val="Heading3"/>
      </w:pPr>
      <w:r>
        <w:t xml:space="preserve">Reconozca la mejora continua</w:t>
      </w:r>
    </w:p>
    <w:p>
      <w:pPr>
        <w:pStyle w:val="Normal"/>
      </w:pPr>
      <w:r>
        <w:t xml:space="preserve">El enunciado describe un proceso que se repite: cambiar, aprender de la experiencia y volver a mejorar. La lámina 34 lo llama aproximación sucesiva.</w:t>
      </w:r>
    </w:p>
    <w:p>
      <w:pPr>
        <w:pStyle w:val="Heading3"/>
      </w:pPr>
      <w:r>
        <w:t xml:space="preserve">Separe la resiliencia de sus habilidades</w:t>
      </w:r>
    </w:p>
    <w:p>
      <w:pPr>
        <w:pStyle w:val="Normal"/>
      </w:pPr>
      <w:r>
        <w:t xml:space="preserve">La resiliencia es recuperarse de un revés, y la adaptabilidad es una de sus seis habilidades: ninguna de las dos es un ciclo de mejora.</w:t>
      </w:r>
    </w:p>
    <w:p>
      <w:pPr>
        <w:pStyle w:val="Fuente"/>
      </w:pPr>
      <w:r>
        <w:t xml:space="preserve">Opciones descartadas: a), d).</w:t>
      </w:r>
    </w:p>
    <w:p>
      <w:pPr>
        <w:pStyle w:val="Heading3"/>
      </w:pPr>
      <w:r>
        <w:t xml:space="preserve">Descarte los ciclos que no aprenden</w:t>
      </w:r>
    </w:p>
    <w:p>
      <w:pPr>
        <w:pStyle w:val="Normal"/>
      </w:pPr>
      <w:r>
        <w:t xml:space="preserve">El ciclo vicioso agrava un resultado y el efecto dominó es una reacción en cadena.</w:t>
      </w:r>
    </w:p>
    <w:p>
      <w:pPr>
        <w:pStyle w:val="Fuente"/>
      </w:pPr>
      <w:r>
        <w:t xml:space="preserve">Opciones descartadas: b), e).</w:t>
      </w:r>
    </w:p>
    <w:p>
      <w:pPr>
        <w:pStyle w:val="Normal"/>
      </w:pPr>
      <w:r>
        <w:t xml:space="preserve">a) Resiliencia — Es la capacidad de «fortalecerse y recuperarse bajo condiciones de enorme stress y cambio» (lámina 36): habla de recuperarse de un revés, no de mejorar de forma continua.</w:t>
      </w:r>
    </w:p>
    <w:p>
      <w:pPr>
        <w:pStyle w:val="Normal"/>
      </w:pPr>
      <w:r>
        <w:t xml:space="preserve">b) Ciclo vicioso — Es un ciclo de refuerzo que agrava un resultado desfavorable; el ciclo de este hábito es de mejora.</w:t>
      </w:r>
    </w:p>
    <w:p>
      <w:pPr>
        <w:pStyle w:val="Normal"/>
      </w:pPr>
      <w:r>
        <w:t xml:space="preserve">c) Aproximación sucesiva — Correcta: la lámina 34 de la presentación 4b dice que los pensadores sistémicos «adoptan el cambio como un proceso continuo que presta atención a la mejora continua» y que «aprenden de la experiencia y la usan para mejorar sus acciones».</w:t>
      </w:r>
    </w:p>
    <w:p>
      <w:pPr>
        <w:pStyle w:val="Normal"/>
      </w:pPr>
      <w:r>
        <w:t xml:space="preserve">d) Adaptabilidad — Es una de las seis habilidades que requiere la resiliencia: adaptarse a las nuevas situaciones con el mínimo de comportamiento disfuncional (lámina 39).</w:t>
      </w:r>
    </w:p>
    <w:p>
      <w:pPr>
        <w:pStyle w:val="Normal"/>
      </w:pPr>
      <w:r>
        <w:t xml:space="preserve">e) Efecto dominó — Es la reacción en cadena que producen las cadenas circulares de causa y efecto (lámina 13), no un proceso de mejora.</w:t>
      </w:r>
    </w:p>
    <w:p>
      <w:pPr>
        <w:pStyle w:val="Normal"/>
      </w:pPr>
      <w:r>
        <w:t xml:space="preserve">Criterio de resolución: La presentación 4b abre el hábito 14, «Examina los resultados y cambia las acciones si es necesario: aproximación sucesiva», con la imagen de un cocinero que mejora una receta: los pensadores sistémicos adoptan el cambio como un proceso continuo y aprenden de la experiencia para mejorar sus acciones. El ciclo de la lámina 35 —diseñar un plan, implementar, evaluar y mejorar— está adaptado del ciclo «planificar, hacer, estudiar, actuar» de Deming.</w:t>
      </w:r>
    </w:p>
    <w:p>
      <w:pPr>
        <w:pStyle w:val="Normal"/>
      </w:pPr>
      <w:r>
        <w:t xml:space="preserve">Defensa: La lámina 34 de la presentación 4b describe la aproximación sucesiva como adoptar el cambio como un proceso continuo en el que se aprende de la experiencia, y la lámina 35 lo dibuja como el ciclo de diseñar, implementar, evaluar y mejorar.</w:t>
      </w:r>
    </w:p>
    <w:p>
      <w:pPr>
        <w:pStyle w:val="Fuente"/>
      </w:pPr>
      <w:r>
        <w:t xml:space="preserve">Presentación 4b (C-4), láminas 31, 34 y 35</w:t>
      </w:r>
    </w:p>
    <w:p>
      <w:pPr>
        <w:pStyle w:val="Heading3"/>
      </w:pPr>
      <w:bookmarkStart w:name="b_pregunta_p3v_02_adaptabilidad" w:id="5747"/>
      <w:r>
        <w:t xml:space="preserve">5.12 · Unidad 4 · 4.7 · Hábitos: las habilidades de la resiliencia</w:t>
      </w:r>
      <w:bookmarkEnd w:id="5747"/>
    </w:p>
    <w:p>
      <w:pPr>
        <w:pStyle w:val="Normal"/>
      </w:pPr>
      <w:r>
        <w:t xml:space="preserve">La «capacidad de adaptarse a las nuevas situaciones con el mínimo de comportamiento disfuncional», de la que resulta la velocidad para el cambio de cada individuo y de cada empresa, describe una de las habilidades que requiere la resiliencia. ¿Cuál es?</w:t>
      </w:r>
    </w:p>
    <w:p>
      <w:pPr>
        <w:pStyle w:val="Fuente"/>
      </w:pPr>
      <w:r>
        <w:t xml:space="preserve">Ordinal de la fuente: 2 · variante editorial de la pregunta 1 de la evaluación.</w:t>
      </w:r>
    </w:p>
    <w:p>
      <w:pPr>
        <w:pStyle w:val="Normal"/>
      </w:pPr>
      <w:r>
        <w:t xml:space="preserve">a) Flexibilidad</w:t>
      </w:r>
    </w:p>
    <w:p>
      <w:pPr>
        <w:pStyle w:val="Normal"/>
      </w:pPr>
      <w:r>
        <w:t xml:space="preserve">b) Adaptabilidad</w:t>
      </w:r>
    </w:p>
    <w:p>
      <w:pPr>
        <w:pStyle w:val="Normal"/>
      </w:pPr>
      <w:r>
        <w:t xml:space="preserve">c) Proactividad</w:t>
      </w:r>
    </w:p>
    <w:p>
      <w:pPr>
        <w:pStyle w:val="Normal"/>
      </w:pPr>
      <w:r>
        <w:t xml:space="preserve">d) Organización</w:t>
      </w:r>
    </w:p>
    <w:p>
      <w:pPr>
        <w:pStyle w:val="Normal"/>
      </w:pPr>
      <w:r>
        <w:t xml:space="preserve">e) Resiliencia</w:t>
      </w:r>
    </w:p>
    <w:p>
      <w:pPr>
        <w:pStyle w:val="Heading3"/>
      </w:pPr>
      <w:bookmarkStart w:name="b_solucion_p3v_02_adaptabilidad" w:id="5748"/>
      <w:r>
        <w:t xml:space="preserve">Solución 5.12</w:t>
      </w:r>
      <w:bookmarkEnd w:id="5748"/>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b) Adaptabilidad</w:t>
            </w:r>
          </w:p>
        </w:tc>
      </w:tr>
    </w:tbl>
    <w:p>
      <w:pPr>
        <w:pStyle w:val="Heading3"/>
      </w:pPr>
      <w:r>
        <w:t xml:space="preserve">Distinga el todo de las partes</w:t>
      </w:r>
    </w:p>
    <w:p>
      <w:pPr>
        <w:pStyle w:val="Normal"/>
      </w:pPr>
      <w:r>
        <w:t xml:space="preserve">La resiliencia es la competencia, y las seis habilidades son lo que requiere. El enunciado pide «una de las habilidades», así que la resiliencia queda fuera.</w:t>
      </w:r>
    </w:p>
    <w:p>
      <w:pPr>
        <w:pStyle w:val="Fuente"/>
      </w:pPr>
      <w:r>
        <w:t xml:space="preserve">Opciones descartadas: e).</w:t>
      </w:r>
    </w:p>
    <w:p>
      <w:pPr>
        <w:pStyle w:val="Heading3"/>
      </w:pPr>
      <w:r>
        <w:t xml:space="preserve">Busque la palabra clave</w:t>
      </w:r>
    </w:p>
    <w:p>
      <w:pPr>
        <w:pStyle w:val="Normal"/>
      </w:pPr>
      <w:r>
        <w:t xml:space="preserve">Adaptarse a las nuevas situaciones es lo propio de los adaptables. Los proactivos también «se adaptan», pero a los riesgos, y tomando la acción ante la incertidumbre.</w:t>
      </w:r>
    </w:p>
    <w:p>
      <w:pPr>
        <w:pStyle w:val="Fuente"/>
      </w:pPr>
      <w:r>
        <w:t xml:space="preserve">Opciones descartadas: c).</w:t>
      </w:r>
    </w:p>
    <w:p>
      <w:pPr>
        <w:pStyle w:val="Heading3"/>
      </w:pPr>
      <w:r>
        <w:t xml:space="preserve">Descarte las demás por su definición</w:t>
      </w:r>
    </w:p>
    <w:p>
      <w:pPr>
        <w:pStyle w:val="Normal"/>
      </w:pPr>
      <w:r>
        <w:t xml:space="preserve">Los flexibles usan con amplio margen sus recursos, y los organizados manejan la ambigüedad con un enfoque estructurado.</w:t>
      </w:r>
    </w:p>
    <w:p>
      <w:pPr>
        <w:pStyle w:val="Fuente"/>
      </w:pPr>
      <w:r>
        <w:t xml:space="preserve">Opciones descartadas: a), d).</w:t>
      </w:r>
    </w:p>
    <w:p>
      <w:pPr>
        <w:pStyle w:val="Normal"/>
      </w:pPr>
      <w:r>
        <w:t xml:space="preserve">a) Flexibilidad — Los flexibles «actúan efectivamente y con un amplio margen en el uso, tanto en los recursos internos como externos»: la habilidad habla de los recursos, no de adaptarse.</w:t>
      </w:r>
    </w:p>
    <w:p>
      <w:pPr>
        <w:pStyle w:val="Normal"/>
      </w:pPr>
      <w:r>
        <w:t xml:space="preserve">b) Adaptabilidad — Correcta: en la lámina 39, la velocidad para el cambio de cada individuo y cada empresa «es la resultante de su capacidad de adaptarse a las nuevas situaciones con el mínimo de comportamiento disfuncional».</w:t>
      </w:r>
    </w:p>
    <w:p>
      <w:pPr>
        <w:pStyle w:val="Normal"/>
      </w:pPr>
      <w:r>
        <w:t xml:space="preserve">c) Proactividad — Los proactivos «toman la acción cuando enfrentan la incertidumbre; se adaptan a los riesgos, los miden y se ajustan»: se adaptan a los riesgos, no a las nuevas situaciones.</w:t>
      </w:r>
    </w:p>
    <w:p>
      <w:pPr>
        <w:pStyle w:val="Normal"/>
      </w:pPr>
      <w:r>
        <w:t xml:space="preserve">d) Organización — Los organizados usan «un enfoque estructurado» para manejar la ambigüedad y coordinar sus estrategias.</w:t>
      </w:r>
    </w:p>
    <w:p>
      <w:pPr>
        <w:pStyle w:val="Normal"/>
      </w:pPr>
      <w:r>
        <w:t xml:space="preserve">e) Resiliencia — Es la competencia completa, que requiere las seis habilidades; el enunciado pide una de ellas.</w:t>
      </w:r>
    </w:p>
    <w:p>
      <w:pPr>
        <w:pStyle w:val="Normal"/>
      </w:pPr>
      <w:r>
        <w:t xml:space="preserve">Criterio de resolución: La lámina 39 de la presentación 4b enumera las seis habilidades que requiere la resiliencia: positivos, concentrados, flexibles, organizados, proactivos y adaptables. La última dice que el desarrollo de la resiliencia «no es un proceso de crecimiento uniforme y lineal»: cada individuo y cada empresa cambia a su propia velocidad, que resulta de su capacidad de adaptarse a las nuevas situaciones con el mínimo de comportamiento disfuncional. Es la «Adaptabilidad» que la pregunta 1 de la evaluación ofrecía como distractor.</w:t>
      </w:r>
    </w:p>
    <w:p>
      <w:pPr>
        <w:pStyle w:val="Normal"/>
      </w:pPr>
      <w:r>
        <w:t xml:space="preserve">Defensa: La frase entre comillas es literal de la habilidad «adaptables» en la lámina 39 de la presentación 4b, que repite la lectura L-20; las demás opciones son otras habilidades, cada una con su definición, o la resiliencia misma.</w:t>
      </w:r>
    </w:p>
    <w:p>
      <w:pPr>
        <w:pStyle w:val="Fuente"/>
      </w:pPr>
      <w:r>
        <w:t xml:space="preserve">Presentación 4b (C-4), lámina 39 · lectura L-20, pág. 5</w:t>
      </w:r>
    </w:p>
    <w:p>
      <w:pPr>
        <w:pStyle w:val="Heading3"/>
      </w:pPr>
      <w:bookmarkStart w:name="b_pregunta_p3v_03_habito_de_las_35839ad6" w:id="5749"/>
      <w:r>
        <w:t xml:space="preserve">5.13 · Unidad 4 · 4.7 · Hábitos: el grupo de las estructuras sistémicas</w:t>
      </w:r>
      <w:bookmarkEnd w:id="5749"/>
    </w:p>
    <w:p>
      <w:pPr>
        <w:pStyle w:val="Normal"/>
      </w:pPr>
      <w:r>
        <w:t xml:space="preserve">¿Cuál de los siguientes hábitos, del modelo de hábitos de un pensador sistémico de Waters Foundation, pertenece al grupo de hábitos que permite profundizar en los modelos de estructuras sistémicas?</w:t>
      </w:r>
    </w:p>
    <w:p>
      <w:pPr>
        <w:pStyle w:val="Fuente"/>
      </w:pPr>
      <w:r>
        <w:t xml:space="preserve">Ordinal de la fuente: 3 · variante editorial de la pregunta 2 de la evaluación.</w:t>
      </w:r>
    </w:p>
    <w:p>
      <w:pPr>
        <w:pStyle w:val="Normal"/>
      </w:pPr>
      <w:r>
        <w:t xml:space="preserve">a) Tarjeta 9 · Considera cómo los modelos mentales afectan la realidad actual y el futuro</w:t>
      </w:r>
    </w:p>
    <w:p>
      <w:pPr>
        <w:pStyle w:val="Normal"/>
      </w:pPr>
      <w:r>
        <w:t xml:space="preserve">b) Tarjeta 6 · Cambia las perspectivas para aumentar la comprensión</w:t>
      </w:r>
    </w:p>
    <w:p>
      <w:pPr>
        <w:pStyle w:val="Normal"/>
      </w:pPr>
      <w:r>
        <w:t xml:space="preserve">c) Tarjeta 13 · Reconoce el impacto de las demoras cuando se están explorando las relaciones de causa y efecto</w:t>
      </w:r>
    </w:p>
    <w:p>
      <w:pPr>
        <w:pStyle w:val="Normal"/>
      </w:pPr>
      <w:r>
        <w:t xml:space="preserve">d) Tarjeta 11 · Considera las consecuencias a corto plazo, a largo plazo, e inesperadas de las acciones</w:t>
      </w:r>
    </w:p>
    <w:p>
      <w:pPr>
        <w:pStyle w:val="Heading3"/>
      </w:pPr>
      <w:bookmarkStart w:name="b_solucion_p3v_03_habito_de_las_54339cea" w:id="5750"/>
      <w:r>
        <w:t xml:space="preserve">Solución 5.13</w:t>
      </w:r>
      <w:bookmarkEnd w:id="5750"/>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c) Tarjeta 13 · Reconoce el impacto de las demoras cuando se están explorando las relaciones de causa y efecto</w:t>
            </w:r>
          </w:p>
        </w:tc>
      </w:tr>
    </w:tbl>
    <w:p>
      <w:pPr>
        <w:pStyle w:val="Heading3"/>
      </w:pPr>
      <w:r>
        <w:t xml:space="preserve">Recuerde las dos bandas</w:t>
      </w:r>
    </w:p>
    <w:p>
      <w:pPr>
        <w:pStyle w:val="Normal"/>
      </w:pPr>
      <w:r>
        <w:t xml:space="preserve">Arriba, los cuatro básicos: el 9, el 7, el 6 y el 1. Abajo, los cinco que profundizan en las estructuras: el 2, el 3, el 5, el 4 y el 13.</w:t>
      </w:r>
    </w:p>
    <w:p>
      <w:pPr>
        <w:pStyle w:val="Heading3"/>
      </w:pPr>
      <w:r>
        <w:t xml:space="preserve">Descarte los básicos</w:t>
      </w:r>
    </w:p>
    <w:p>
      <w:pPr>
        <w:pStyle w:val="Normal"/>
      </w:pPr>
      <w:r>
        <w:t xml:space="preserve">La 9 y la 6 son de «construyendo modelos mentales sistémicos».</w:t>
      </w:r>
    </w:p>
    <w:p>
      <w:pPr>
        <w:pStyle w:val="Fuente"/>
      </w:pPr>
      <w:r>
        <w:t xml:space="preserve">Opciones descartadas: a), b).</w:t>
      </w:r>
    </w:p>
    <w:p>
      <w:pPr>
        <w:pStyle w:val="Heading3"/>
      </w:pPr>
      <w:r>
        <w:t xml:space="preserve">Descarte los de la unidad 4</w:t>
      </w:r>
    </w:p>
    <w:p>
      <w:pPr>
        <w:pStyle w:val="Normal"/>
      </w:pPr>
      <w:r>
        <w:t xml:space="preserve">La 11 está marcada en rojo en el póster, con la 8, la 10, la 12 y la 14.</w:t>
      </w:r>
    </w:p>
    <w:p>
      <w:pPr>
        <w:pStyle w:val="Fuente"/>
      </w:pPr>
      <w:r>
        <w:t xml:space="preserve">Opciones descartadas: d).</w:t>
      </w:r>
    </w:p>
    <w:p>
      <w:pPr>
        <w:pStyle w:val="Normal"/>
      </w:pPr>
      <w:r>
        <w:t xml:space="preserve">a) Tarjeta 9 · Considera cómo los modelos mentales afectan la realidad actual y el futuro — Es de los cuatro hábitos básicos, los de «construyendo modelos mentales sistémicos» (lámina c4-01).</w:t>
      </w:r>
    </w:p>
    <w:p>
      <w:pPr>
        <w:pStyle w:val="Normal"/>
      </w:pPr>
      <w:r>
        <w:t xml:space="preserve">b) Tarjeta 6 · Cambia las perspectivas para aumentar la comprensión — También es de los básicos: es la clave de la pregunta 2 de la evaluación.</w:t>
      </w:r>
    </w:p>
    <w:p>
      <w:pPr>
        <w:pStyle w:val="Normal"/>
      </w:pPr>
      <w:r>
        <w:t xml:space="preserve">c) Tarjeta 13 · Reconoce el impacto de las demoras cuando se están explorando las relaciones de causa y efecto — Correcta: el de las demoras es uno de los cinco hábitos que profundizan en los modelos de estructuras sistémicas, con la 2, la 3, la 4 y la 5.</w:t>
      </w:r>
    </w:p>
    <w:p>
      <w:pPr>
        <w:pStyle w:val="Normal"/>
      </w:pPr>
      <w:r>
        <w:t xml:space="preserve">d) Tarjeta 11 · Considera las consecuencias a corto plazo, a largo plazo, e inesperadas de las acciones — Es de la unidad 4: el póster lo marca en rojo y la presentación 4b abre con él la toma de decisiones.</w:t>
      </w:r>
    </w:p>
    <w:p>
      <w:pPr>
        <w:pStyle w:val="Normal"/>
      </w:pPr>
      <w:r>
        <w:t xml:space="preserve">Criterio de resolución: La lámina 3 de la presentación 4a reparte las tarjetas en dos bandas. Los hábitos básicos hacen conscientes los modelos mentales. Los que profundizan en los modelos de estructuras sistémicas acompañan al modelador mientras estudia un sistema: los patrones en el tiempo (2), la estructura que genera el comportamiento (3), la causalidad circular (4), las conexiones (5) y las demoras (13). Los de la unidad 4 son los que la lámina 4 marca en rojo: el 8, el 10, el 11, el 12 y el 14.</w:t>
      </w:r>
    </w:p>
    <w:p>
      <w:pPr>
        <w:pStyle w:val="Normal"/>
      </w:pPr>
      <w:r>
        <w:t xml:space="preserve">Defensa: En la clase 11 el profesor separó los cuatro hábitos de los modelos mentales, arriba en la lámina, de los cinco de abajo, que «están asociadas a lo que vamos ir haciendo y encontrando cada vez que vamos modelando»; el de las demoras es de esos cinco.</w:t>
      </w:r>
    </w:p>
    <w:p>
      <w:pPr>
        <w:pStyle w:val="Fuente"/>
      </w:pPr>
      <w:r>
        <w:t xml:space="preserve">Presentación 4a (C-3), láminas 3 y 4 · lámina c11-19 · Clase 11 · 00:52:11–00:52:54</w:t>
      </w:r>
    </w:p>
    <w:p>
      <w:pPr>
        <w:pStyle w:val="Heading3"/>
      </w:pPr>
      <w:bookmarkStart w:name="b_pregunta_p3v_04_habito_que_no_c8189cdf" w:id="5751"/>
      <w:r>
        <w:t xml:space="preserve">5.14 · Unidad 4 · 4.7 · Hábitos: los básicos, por descarte</w:t>
      </w:r>
      <w:bookmarkEnd w:id="5751"/>
    </w:p>
    <w:p>
      <w:pPr>
        <w:pStyle w:val="Normal"/>
      </w:pPr>
      <w:r>
        <w:t xml:space="preserve">¿Cuál de los siguientes hábitos, del modelo de hábitos de un pensador sistémico de Waters Foundation, NO pertenece al grupo de hábitos que nos permite ser más conscientes para construir modelos mentales sistémicos?</w:t>
      </w:r>
    </w:p>
    <w:p>
      <w:pPr>
        <w:pStyle w:val="Fuente"/>
      </w:pPr>
      <w:r>
        <w:t xml:space="preserve">Ordinal de la fuente: 4 · variante editorial de la pregunta 2 de la evaluación.</w:t>
      </w:r>
    </w:p>
    <w:p>
      <w:pPr>
        <w:pStyle w:val="Normal"/>
      </w:pPr>
      <w:r>
        <w:t xml:space="preserve">a) Tarjeta 1 · Intenta entender la «película completa»</w:t>
      </w:r>
    </w:p>
    <w:p>
      <w:pPr>
        <w:pStyle w:val="Normal"/>
      </w:pPr>
      <w:r>
        <w:t xml:space="preserve">b) Tarjeta 7 · Reconoce y prueba suposiciones</w:t>
      </w:r>
    </w:p>
    <w:p>
      <w:pPr>
        <w:pStyle w:val="Normal"/>
      </w:pPr>
      <w:r>
        <w:t xml:space="preserve">c) Tarjeta 9 · Considera cómo los modelos mentales afectan la realidad actual y el futuro</w:t>
      </w:r>
    </w:p>
    <w:p>
      <w:pPr>
        <w:pStyle w:val="Normal"/>
      </w:pPr>
      <w:r>
        <w:t xml:space="preserve">d) Tarjeta 3 · Reconoce que la estructura de un sistema genera su comportamiento</w:t>
      </w:r>
    </w:p>
    <w:p>
      <w:pPr>
        <w:pStyle w:val="Heading3"/>
      </w:pPr>
      <w:bookmarkStart w:name="b_solucion_p3v_04_habito_que_no_db86c05b" w:id="5752"/>
      <w:r>
        <w:t xml:space="preserve">Solución 5.14</w:t>
      </w:r>
      <w:bookmarkEnd w:id="5752"/>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d) Tarjeta 3 · Reconoce que la estructura de un sistema genera su comportamiento</w:t>
            </w:r>
          </w:p>
        </w:tc>
      </w:tr>
    </w:tbl>
    <w:p>
      <w:pPr>
        <w:pStyle w:val="Heading3"/>
      </w:pPr>
      <w:r>
        <w:t xml:space="preserve">Lea bien la negación</w:t>
      </w:r>
    </w:p>
    <w:p>
      <w:pPr>
        <w:pStyle w:val="Normal"/>
      </w:pPr>
      <w:r>
        <w:t xml:space="preserve">La pregunta pide la que NO es del grupo: tres opciones son básicas y una no.</w:t>
      </w:r>
    </w:p>
    <w:p>
      <w:pPr>
        <w:pStyle w:val="Heading3"/>
      </w:pPr>
      <w:r>
        <w:t xml:space="preserve">Reconozca los cuatro básicos</w:t>
      </w:r>
    </w:p>
    <w:p>
      <w:pPr>
        <w:pStyle w:val="Normal"/>
      </w:pPr>
      <w:r>
        <w:t xml:space="preserve">Modelos mentales (9), suposiciones (7), perspectivas (6) y película completa (1): la 1, la 7 y la 9 están entre las opciones.</w:t>
      </w:r>
    </w:p>
    <w:p>
      <w:pPr>
        <w:pStyle w:val="Fuente"/>
      </w:pPr>
      <w:r>
        <w:t xml:space="preserve">Opciones descartadas: a), b), c).</w:t>
      </w:r>
    </w:p>
    <w:p>
      <w:pPr>
        <w:pStyle w:val="Heading3"/>
      </w:pPr>
      <w:r>
        <w:t xml:space="preserve">Ubique la que sobra</w:t>
      </w:r>
    </w:p>
    <w:p>
      <w:pPr>
        <w:pStyle w:val="Normal"/>
      </w:pPr>
      <w:r>
        <w:t xml:space="preserve">La 3, la estructura que genera el comportamiento, es de los cinco hábitos que profundizan en las estructuras.</w:t>
      </w:r>
    </w:p>
    <w:p>
      <w:pPr>
        <w:pStyle w:val="Normal"/>
      </w:pPr>
      <w:r>
        <w:t xml:space="preserve">a) Tarjeta 1 · Intenta entender la «película completa» — Es de los cuatro básicos: intentar entender la película completa.</w:t>
      </w:r>
    </w:p>
    <w:p>
      <w:pPr>
        <w:pStyle w:val="Normal"/>
      </w:pPr>
      <w:r>
        <w:t xml:space="preserve">b) Tarjeta 7 · Reconoce y prueba suposiciones — Es de los básicos: reconocer y probar las suposiciones.</w:t>
      </w:r>
    </w:p>
    <w:p>
      <w:pPr>
        <w:pStyle w:val="Normal"/>
      </w:pPr>
      <w:r>
        <w:t xml:space="preserve">c) Tarjeta 9 · Considera cómo los modelos mentales afectan la realidad actual y el futuro — Es de los básicos: considerar cómo los modelos mentales afectan la realidad.</w:t>
      </w:r>
    </w:p>
    <w:p>
      <w:pPr>
        <w:pStyle w:val="Normal"/>
      </w:pPr>
      <w:r>
        <w:t xml:space="preserve">d) Tarjeta 3 · Reconoce que la estructura de un sistema genera su comportamiento — Correcta: reconocer que la estructura genera el comportamiento es de la banda que profundiza en los modelos de estructuras sistémicas, la de la unidad 3.</w:t>
      </w:r>
    </w:p>
    <w:p>
      <w:pPr>
        <w:pStyle w:val="Normal"/>
      </w:pPr>
      <w:r>
        <w:t xml:space="preserve">Criterio de resolución: La lámina c4-01 reúne bajo «construyendo modelos mentales sistémicos» cuatro tarjetas: considerar cómo los modelos mentales afectan la realidad (9), reconocer y probar suposiciones (7), cambiar las perspectivas (6) e intentar entender la película completa (1). Tres de ellas están entre las opciones. La tarjeta 3 es de la otra banda, la de las estructuras sistémicas, que se estudió en la unidad 3.</w:t>
      </w:r>
    </w:p>
    <w:p>
      <w:pPr>
        <w:pStyle w:val="Normal"/>
      </w:pPr>
      <w:r>
        <w:t xml:space="preserve">Defensa: La lámina c4-01 pone las tarjetas 9, 7, 6 y 1 bajo «construyendo modelos mentales sistémicos»; la 3 no está entre ellas, sino entre las que profundizan en los modelos de estructuras sistémicas.</w:t>
      </w:r>
    </w:p>
    <w:p>
      <w:pPr>
        <w:pStyle w:val="Fuente"/>
      </w:pPr>
      <w:r>
        <w:t xml:space="preserve">lámina c4-01 · Clase 4 · 00:01:09–00:02:42 · Presentación 4a (C-3), lámina 3</w:t>
      </w:r>
    </w:p>
    <w:p>
      <w:pPr>
        <w:pStyle w:val="Heading3"/>
      </w:pPr>
      <w:bookmarkStart w:name="b_pregunta_p3v_05_caracteristic_5a4bc39f" w:id="5753"/>
      <w:r>
        <w:t xml:space="preserve">5.15 · Unidad 4 · 4.2 · Flujos y niveles: lo propio de un nivel</w:t>
      </w:r>
      <w:bookmarkEnd w:id="5753"/>
    </w:p>
    <w:p>
      <w:pPr>
        <w:pStyle w:val="Normal"/>
      </w:pPr>
      <w:r>
        <w:t xml:space="preserve">¿Cuáles de las siguientes características son propias de un nivel en un diagrama de Forrester?</w:t>
      </w:r>
    </w:p>
    <w:p>
      <w:pPr>
        <w:pStyle w:val="Fuente"/>
      </w:pPr>
      <w:r>
        <w:t xml:space="preserve">Ordinal de la fuente: 5 · variante editorial de la pregunta 3 de la evaluación.</w:t>
      </w:r>
    </w:p>
    <w:p>
      <w:pPr>
        <w:pStyle w:val="Normal"/>
      </w:pPr>
      <w:r>
        <w:t xml:space="preserve">a) Simulan una acumulación y varían solo en función de los flujos</w:t>
      </w:r>
    </w:p>
    <w:p>
      <w:pPr>
        <w:pStyle w:val="Normal"/>
      </w:pPr>
      <w:r>
        <w:t xml:space="preserve">b) Recogen las acciones resultantes de las decisiones tomadas en el sistema</w:t>
      </w:r>
    </w:p>
    <w:p>
      <w:pPr>
        <w:pStyle w:val="Normal"/>
      </w:pPr>
      <w:r>
        <w:t xml:space="preserve">c) Al cambiar a través del tiempo alcanzan lo que se conoce como estado del sistema</w:t>
      </w:r>
    </w:p>
    <w:p>
      <w:pPr>
        <w:pStyle w:val="Normal"/>
      </w:pPr>
      <w:r>
        <w:t xml:space="preserve">d) No son medibles en sí, sino por los efectos que producen en otras variables</w:t>
      </w:r>
    </w:p>
    <w:p>
      <w:pPr>
        <w:pStyle w:val="Heading3"/>
      </w:pPr>
      <w:bookmarkStart w:name="b_solucion_p3v_05_caracteristic_cae02600" w:id="5754"/>
      <w:r>
        <w:t xml:space="preserve">Solución 5.15</w:t>
      </w:r>
      <w:bookmarkEnd w:id="5754"/>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a) Simulan una acumulación y varían solo en función de los flujos</w:t>
            </w:r>
          </w:p>
          <w:p>
            <w:pPr>
              <w:pStyle w:val="Recuadro"/>
            </w:pPr>
            <w:r>
              <w:t xml:space="preserve">c) Al cambiar a través del tiempo alcanzan lo que se conoce como estado del sistema</w:t>
            </w:r>
          </w:p>
        </w:tc>
      </w:tr>
    </w:tbl>
    <w:p>
      <w:pPr>
        <w:pStyle w:val="Heading3"/>
      </w:pPr>
      <w:r>
        <w:t xml:space="preserve">Aplique la prueba de la foto</w:t>
      </w:r>
    </w:p>
    <w:p>
      <w:pPr>
        <w:pStyle w:val="Normal"/>
      </w:pPr>
      <w:r>
        <w:t xml:space="preserve">Si se congela el sistema, el nivel sigue ahí: es la acumulación que muestra la situación del modelo en cada instante.</w:t>
      </w:r>
    </w:p>
    <w:p>
      <w:pPr>
        <w:pStyle w:val="Heading3"/>
      </w:pPr>
      <w:r>
        <w:t xml:space="preserve">Reconozca las frases del flujo</w:t>
      </w:r>
    </w:p>
    <w:p>
      <w:pPr>
        <w:pStyle w:val="Normal"/>
      </w:pPr>
      <w:r>
        <w:t xml:space="preserve">Las decisiones y lo que no se mide en sí mismo son del flujo, que se mide por lo que le hace al nivel.</w:t>
      </w:r>
    </w:p>
    <w:p>
      <w:pPr>
        <w:pStyle w:val="Fuente"/>
      </w:pPr>
      <w:r>
        <w:t xml:space="preserve">Opciones descartadas: b), d).</w:t>
      </w:r>
    </w:p>
    <w:p>
      <w:pPr>
        <w:pStyle w:val="Normal"/>
      </w:pPr>
      <w:r>
        <w:t xml:space="preserve">a) Simulan una acumulación y varían solo en función de los flujos — Correcta: L-16 define los niveles como los elementos que «muestran en cada instante la situación del modelo, simulan una acumulación y varían solo en función de los flujos».</w:t>
      </w:r>
    </w:p>
    <w:p>
      <w:pPr>
        <w:pStyle w:val="Normal"/>
      </w:pPr>
      <w:r>
        <w:t xml:space="preserve">b) Recogen las acciones resultantes de las decisiones tomadas en el sistema — Es de los flujos: L-16 los define como funciones temporales que «recogen las acciones resultantes de las decisiones tomadas en el sistema».</w:t>
      </w:r>
    </w:p>
    <w:p>
      <w:pPr>
        <w:pStyle w:val="Normal"/>
      </w:pPr>
      <w:r>
        <w:t xml:space="preserve">c) Al cambiar a través del tiempo alcanzan lo que se conoce como estado del sistema — Correcta: «la variable de nivel al cambiar a través del tiempo alcanza lo que se conoce con nombre de estado del sistema».</w:t>
      </w:r>
    </w:p>
    <w:p>
      <w:pPr>
        <w:pStyle w:val="Normal"/>
      </w:pPr>
      <w:r>
        <w:t xml:space="preserve">d) No son medibles en sí, sino por los efectos que producen en otras variables — También es de los flujos: «se trata de variables que no son medibles en sí, sino que se miden por los efectos que se producen en las variables de nivel».</w:t>
      </w:r>
    </w:p>
    <w:p>
      <w:pPr>
        <w:pStyle w:val="Normal"/>
      </w:pPr>
      <w:r>
        <w:t xml:space="preserve">Criterio de resolución: Como en la pregunta 3 de la evaluación, las opciones vienen en pares, pero ahora se pregunta por el nivel. El nivel es la acumulación: tiene un valor en cada instante, sólo cambia por sus flujos y su evolución es el estado del sistema. El flujo es la acción que llena o vacía el nivel: recoge las decisiones y se mide por lo que le hace al nivel.</w:t>
      </w:r>
    </w:p>
    <w:p>
      <w:pPr>
        <w:pStyle w:val="Normal"/>
      </w:pPr>
      <w:r>
        <w:t xml:space="preserve">Defensa: Las dos opciones correctas son literales de la definición de los niveles en L-16, pág. 6; las otras dos son, en la misma página, de la definición de los flujos.</w:t>
      </w:r>
    </w:p>
    <w:p>
      <w:pPr>
        <w:pStyle w:val="Fuente"/>
      </w:pPr>
      <w:r>
        <w:t xml:space="preserve">lectura L-16, pág. 6 · Presentación 4a (C-3), lámina 9</w:t>
      </w:r>
    </w:p>
    <w:p>
      <w:pPr>
        <w:pStyle w:val="Heading3"/>
      </w:pPr>
      <w:bookmarkStart w:name="b_pregunta_p3v_06_auxiliares_y__a99b8095" w:id="5755"/>
      <w:r>
        <w:t xml:space="preserve">5.16 · Unidad 4 · 4.2 · Flujos y niveles: auxiliares y constantes</w:t>
      </w:r>
      <w:bookmarkEnd w:id="5755"/>
    </w:p>
    <w:p>
      <w:pPr>
        <w:pStyle w:val="Normal"/>
      </w:pPr>
      <w:r>
        <w:t xml:space="preserve">¿Cuáles de las siguientes características son propias de las variables auxiliares y de las constantes en un diagrama de Forrester?</w:t>
      </w:r>
    </w:p>
    <w:p>
      <w:pPr>
        <w:pStyle w:val="Fuente"/>
      </w:pPr>
      <w:r>
        <w:t xml:space="preserve">Ordinal de la fuente: 6 · variante editorial de la pregunta 3 de la evaluación.</w:t>
      </w:r>
    </w:p>
    <w:p>
      <w:pPr>
        <w:pStyle w:val="Normal"/>
      </w:pPr>
      <w:r>
        <w:t xml:space="preserve">a) Varían solo en función de los flujos de entrada y de salida</w:t>
      </w:r>
    </w:p>
    <w:p>
      <w:pPr>
        <w:pStyle w:val="Normal"/>
      </w:pPr>
      <w:r>
        <w:t xml:space="preserve">b) Son cálculos intermedios y valores fijos que permiten visualizar mejor los aspectos que condicionan el comportamiento de los flujos</w:t>
      </w:r>
    </w:p>
    <w:p>
      <w:pPr>
        <w:pStyle w:val="Normal"/>
      </w:pPr>
      <w:r>
        <w:t xml:space="preserve">c) Simulan el tiempo que demora la transmisión de los materiales o las informaciones</w:t>
      </w:r>
    </w:p>
    <w:p>
      <w:pPr>
        <w:pStyle w:val="Normal"/>
      </w:pPr>
      <w:r>
        <w:t xml:space="preserve">d) Las constantes representan valores que no cambian a través del tiempo y son determinantes para calcular el valor de los flujos</w:t>
      </w:r>
    </w:p>
    <w:p>
      <w:pPr>
        <w:pStyle w:val="Heading3"/>
      </w:pPr>
      <w:bookmarkStart w:name="b_solucion_p3v_06_auxiliares_y__1fdc6437" w:id="5756"/>
      <w:r>
        <w:t xml:space="preserve">Solución 5.16</w:t>
      </w:r>
      <w:bookmarkEnd w:id="5756"/>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b) Son cálculos intermedios y valores fijos que permiten visualizar mejor los aspectos que condicionan el comportamiento de los flujos</w:t>
            </w:r>
          </w:p>
          <w:p>
            <w:pPr>
              <w:pStyle w:val="Recuadro"/>
            </w:pPr>
            <w:r>
              <w:t xml:space="preserve">d) Las constantes representan valores que no cambian a través del tiempo y son determinantes para calcular el valor de los flujos</w:t>
            </w:r>
          </w:p>
        </w:tc>
      </w:tr>
    </w:tbl>
    <w:p>
      <w:pPr>
        <w:pStyle w:val="Heading3"/>
      </w:pPr>
      <w:r>
        <w:t xml:space="preserve">Ubique los círculos</w:t>
      </w:r>
    </w:p>
    <w:p>
      <w:pPr>
        <w:pStyle w:val="Normal"/>
      </w:pPr>
      <w:r>
        <w:t xml:space="preserve">Las auxiliares y las constantes se dibujan con círculos: calculan los flujos, no acumulan.</w:t>
      </w:r>
    </w:p>
    <w:p>
      <w:pPr>
        <w:pStyle w:val="Heading3"/>
      </w:pPr>
      <w:r>
        <w:t xml:space="preserve">Descarte las de otros elementos</w:t>
      </w:r>
    </w:p>
    <w:p>
      <w:pPr>
        <w:pStyle w:val="Normal"/>
      </w:pPr>
      <w:r>
        <w:t xml:space="preserve">Variar sólo por los flujos es propio del nivel, y el tiempo de transmisión, del retardo.</w:t>
      </w:r>
    </w:p>
    <w:p>
      <w:pPr>
        <w:pStyle w:val="Fuente"/>
      </w:pPr>
      <w:r>
        <w:t xml:space="preserve">Opciones descartadas: a), c).</w:t>
      </w:r>
    </w:p>
    <w:p>
      <w:pPr>
        <w:pStyle w:val="Normal"/>
      </w:pPr>
      <w:r>
        <w:t xml:space="preserve">a) Varían solo en función de los flujos de entrada y de salida — Describe a los niveles, que «varían solo en función de los flujos».</w:t>
      </w:r>
    </w:p>
    <w:p>
      <w:pPr>
        <w:pStyle w:val="Normal"/>
      </w:pPr>
      <w:r>
        <w:t xml:space="preserve">b) Son cálculos intermedios y valores fijos que permiten visualizar mejor los aspectos que condicionan el comportamiento de los flujos — Correcta: L-16 dice que son «cálculos intermedios y valores fijos, respectivamente, que permiten una visualización mejor de los aspectos que condicionan el comportamiento de los flujos».</w:t>
      </w:r>
    </w:p>
    <w:p>
      <w:pPr>
        <w:pStyle w:val="Normal"/>
      </w:pPr>
      <w:r>
        <w:t xml:space="preserve">c) Simulan el tiempo que demora la transmisión de los materiales o las informaciones — Es el retardo: L-16 dice que los retardos «simulan el tiempo que demora la transmisión de los materiales o las informaciones».</w:t>
      </w:r>
    </w:p>
    <w:p>
      <w:pPr>
        <w:pStyle w:val="Normal"/>
      </w:pPr>
      <w:r>
        <w:t xml:space="preserve">d) Las constantes representan valores que no cambian a través del tiempo y son determinantes para calcular el valor de los flujos — Correcta: las constantes «se usan para representar aquellos valores que no cambian a través del tiempo» y «son determinantes para calcular el valor de los flujos».</w:t>
      </w:r>
    </w:p>
    <w:p>
      <w:pPr>
        <w:pStyle w:val="Normal"/>
      </w:pPr>
      <w:r>
        <w:t xml:space="preserve">Criterio de resolución: Las auxiliares y las constantes se dibujan con círculos y no acumulan nada. Las auxiliares son cálculos intermedios, y las constantes, valores fijos, como la tasa de natalidad de una población o la tasa de interés de un préstamo. Las dos sirven para calcular los flujos. Lo que varía sólo por sus flujos es el nivel, y lo que simula el tiempo de transmisión es el retardo.</w:t>
      </w:r>
    </w:p>
    <w:p>
      <w:pPr>
        <w:pStyle w:val="Normal"/>
      </w:pPr>
      <w:r>
        <w:t xml:space="preserve">Defensa: Las dos correctas son literales de L-16, pág. 7, para las auxiliares y las constantes; las otras dos son, en las páginas 6 y 7, del nivel y del retardo.</w:t>
      </w:r>
    </w:p>
    <w:p>
      <w:pPr>
        <w:pStyle w:val="Fuente"/>
      </w:pPr>
      <w:r>
        <w:t xml:space="preserve">lectura L-16, págs. 6 y 7 · Presentación 4a (C-3), lámina 9</w:t>
      </w:r>
    </w:p>
    <w:p>
      <w:pPr>
        <w:pStyle w:val="Heading3"/>
      </w:pPr>
      <w:bookmarkStart w:name="b_pregunta_p3v_07_habito_del_ap_25bcb5f3" w:id="5757"/>
      <w:r>
        <w:t xml:space="preserve">5.17 · Unidad 4 · 4.7 · Hábitos: el del apalancamiento</w:t>
      </w:r>
      <w:bookmarkEnd w:id="5757"/>
    </w:p>
    <w:p>
      <w:pPr>
        <w:pStyle w:val="Normal"/>
      </w:pPr>
      <w:r>
        <w:t xml:space="preserve">¿Cuál de los siguientes hábitos hace referencia a buscar el lugar de un sistema donde un cambio pequeño podría tener un efecto duradero y deseado?</w:t>
      </w:r>
    </w:p>
    <w:p>
      <w:pPr>
        <w:pStyle w:val="Fuente"/>
      </w:pPr>
      <w:r>
        <w:t xml:space="preserve">Ordinal de la fuente: 7 · variante editorial de la pregunta 4 de la evaluación.</w:t>
      </w:r>
    </w:p>
    <w:p>
      <w:pPr>
        <w:pStyle w:val="Normal"/>
      </w:pPr>
      <w:r>
        <w:t xml:space="preserve">a) Tarjeta 3 · Reconoce que la estructura de un sistema genera su comportamiento</w:t>
      </w:r>
    </w:p>
    <w:p>
      <w:pPr>
        <w:pStyle w:val="Normal"/>
      </w:pPr>
      <w:r>
        <w:t xml:space="preserve">b) Tarjeta 10 · Usa la comprensión de la estructura de un sistema para identificar posibles acciones de efecto apalancamiento</w:t>
      </w:r>
    </w:p>
    <w:p>
      <w:pPr>
        <w:pStyle w:val="Normal"/>
      </w:pPr>
      <w:r>
        <w:t xml:space="preserve">c) Tarjeta 12 · Presta atención a las acumulaciones y sus tasas de cambio</w:t>
      </w:r>
    </w:p>
    <w:p>
      <w:pPr>
        <w:pStyle w:val="Normal"/>
      </w:pPr>
      <w:r>
        <w:t xml:space="preserve">d) Tarjeta 14 · Examina los resultados y cambia las acciones si es necesario: «aproximación sucesiva»</w:t>
      </w:r>
    </w:p>
    <w:p>
      <w:pPr>
        <w:pStyle w:val="Heading3"/>
      </w:pPr>
      <w:bookmarkStart w:name="b_solucion_p3v_07_habito_del_ap_5688c975" w:id="5758"/>
      <w:r>
        <w:t xml:space="preserve">Solución 5.17</w:t>
      </w:r>
      <w:bookmarkEnd w:id="5758"/>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b) Tarjeta 10 · Usa la comprensión de la estructura de un sistema para identificar posibles acciones de efecto apalancamiento</w:t>
            </w:r>
          </w:p>
        </w:tc>
      </w:tr>
    </w:tbl>
    <w:p>
      <w:pPr>
        <w:pStyle w:val="Heading3"/>
      </w:pPr>
      <w:r>
        <w:t xml:space="preserve">Reconozca el apalancamiento</w:t>
      </w:r>
    </w:p>
    <w:p>
      <w:pPr>
        <w:pStyle w:val="Normal"/>
      </w:pPr>
      <w:r>
        <w:t xml:space="preserve">Un cambio pequeño con un efecto grande y duradero es la idea del apalancamiento de la lámina 29.</w:t>
      </w:r>
    </w:p>
    <w:p>
      <w:pPr>
        <w:pStyle w:val="Heading3"/>
      </w:pPr>
      <w:r>
        <w:t xml:space="preserve">Busque la tarjeta que lo nombra</w:t>
      </w:r>
    </w:p>
    <w:p>
      <w:pPr>
        <w:pStyle w:val="Normal"/>
      </w:pPr>
      <w:r>
        <w:t xml:space="preserve">La 10: usa la comprensión de la estructura de un sistema para identificar posibles acciones de efecto apalancamiento.</w:t>
      </w:r>
    </w:p>
    <w:p>
      <w:pPr>
        <w:pStyle w:val="Heading3"/>
      </w:pPr>
      <w:r>
        <w:t xml:space="preserve">Descarte las demás</w:t>
      </w:r>
    </w:p>
    <w:p>
      <w:pPr>
        <w:pStyle w:val="Normal"/>
      </w:pPr>
      <w:r>
        <w:t xml:space="preserve">La 3 explica el comportamiento sin elegir la acción, la 12 es de las acumulaciones y la 14 evalúa lo que ya se hizo.</w:t>
      </w:r>
    </w:p>
    <w:p>
      <w:pPr>
        <w:pStyle w:val="Fuente"/>
      </w:pPr>
      <w:r>
        <w:t xml:space="preserve">Opciones descartadas: a), c), d).</w:t>
      </w:r>
    </w:p>
    <w:p>
      <w:pPr>
        <w:pStyle w:val="Normal"/>
      </w:pPr>
      <w:r>
        <w:t xml:space="preserve">a) Tarjeta 3 · Reconoce que la estructura de un sistema genera su comportamiento — Reconocer que la estructura genera el comportamiento es la base del hábito 10, pero no elige la acción: es de la banda de la unidad 3.</w:t>
      </w:r>
    </w:p>
    <w:p>
      <w:pPr>
        <w:pStyle w:val="Normal"/>
      </w:pPr>
      <w:r>
        <w:t xml:space="preserve">b) Tarjeta 10 · Usa la comprensión de la estructura de un sistema para identificar posibles acciones de efecto apalancamiento — Correcta: la tarjeta del hábito 10 pregunta «¿En dónde podría un cambio pequeño tener un efecto duradero y deseado?», y su definición habla de las pequeñas acciones que producirán con mayor probabilidad los resultados deseados.</w:t>
      </w:r>
    </w:p>
    <w:p>
      <w:pPr>
        <w:pStyle w:val="Normal"/>
      </w:pPr>
      <w:r>
        <w:t xml:space="preserve">c) Tarjeta 12 · Presta atención a las acumulaciones y sus tasas de cambio — Es el de las acumulaciones y sus tasas de cambio, la base de los niveles y los flujos.</w:t>
      </w:r>
    </w:p>
    <w:p>
      <w:pPr>
        <w:pStyle w:val="Normal"/>
      </w:pPr>
      <w:r>
        <w:t xml:space="preserve">d) Tarjeta 14 · Examina los resultados y cambia las acciones si es necesario: «aproximación sucesiva» — Es el de evaluar los resultados y ajustar las acciones una vez implementado el plan: la aproximación sucesiva.</w:t>
      </w:r>
    </w:p>
    <w:p>
      <w:pPr>
        <w:pStyle w:val="Normal"/>
      </w:pPr>
      <w:r>
        <w:t xml:space="preserve">Criterio de resolución: La presentación 4b abre el apalancamiento con la tarjeta del hábito 10: «Un Pensador Sistémico usa la comprensión de los sistemas para determinar que pequeñas acciones producirán con mayor probabilidad los resultados deseados». Su primera pregunta es la del enunciado. Y la lámina 29 define los puntos de apalancamiento como lugares de un sistema complejo donde un pequeño cambio en una parte puede producir grandes cambios en todo.</w:t>
      </w:r>
    </w:p>
    <w:p>
      <w:pPr>
        <w:pStyle w:val="Normal"/>
      </w:pPr>
      <w:r>
        <w:t xml:space="preserve">Defensa: La primera pregunta de la tarjeta del hábito 10, en la lámina 23 de la presentación 4b, es casi literal del enunciado: «¿En dónde podría un cambio pequeño tener un efecto duradero y deseado?».</w:t>
      </w:r>
    </w:p>
    <w:p>
      <w:pPr>
        <w:pStyle w:val="Fuente"/>
      </w:pPr>
      <w:r>
        <w:t xml:space="preserve">Presentación 4b (C-4), láminas 23, 25 y 29</w:t>
      </w:r>
    </w:p>
    <w:p>
      <w:pPr>
        <w:pStyle w:val="Heading3"/>
      </w:pPr>
      <w:bookmarkStart w:name="b_pregunta_p3v_08_habito_de_las_654a424b" w:id="5759"/>
      <w:r>
        <w:t xml:space="preserve">5.18 · Unidad 4 · 4.7 · Hábitos: el de las consecuencias</w:t>
      </w:r>
      <w:bookmarkEnd w:id="5759"/>
    </w:p>
    <w:p>
      <w:pPr>
        <w:pStyle w:val="Normal"/>
      </w:pPr>
      <w:r>
        <w:t xml:space="preserve">¿Cuál de los siguientes hábitos hace referencia a adelantarse y prever, antes de actuar, no sólo los resultados inmediatos de una decisión sino también sus efectos futuros?</w:t>
      </w:r>
    </w:p>
    <w:p>
      <w:pPr>
        <w:pStyle w:val="Fuente"/>
      </w:pPr>
      <w:r>
        <w:t xml:space="preserve">Ordinal de la fuente: 8 · variante editorial de la pregunta 4 de la evaluación.</w:t>
      </w:r>
    </w:p>
    <w:p>
      <w:pPr>
        <w:pStyle w:val="Normal"/>
      </w:pPr>
      <w:r>
        <w:t xml:space="preserve">a) Tarjeta 8 · Considera un tema completamente y resiste al impulso de llegar a una conclusión rápida</w:t>
      </w:r>
    </w:p>
    <w:p>
      <w:pPr>
        <w:pStyle w:val="Normal"/>
      </w:pPr>
      <w:r>
        <w:t xml:space="preserve">b) Tarjeta 13 · Reconoce el impacto de las demoras cuando se están explorando las relaciones de causa y efecto</w:t>
      </w:r>
    </w:p>
    <w:p>
      <w:pPr>
        <w:pStyle w:val="Normal"/>
      </w:pPr>
      <w:r>
        <w:t xml:space="preserve">c) Tarjeta 2 · Observa cómo los elementos de un sistema cambian a través del tiempo, generando patrones y tendencias</w:t>
      </w:r>
    </w:p>
    <w:p>
      <w:pPr>
        <w:pStyle w:val="Normal"/>
      </w:pPr>
      <w:r>
        <w:t xml:space="preserve">d) Tarjeta 11 · Considera las consecuencias a corto plazo, a largo plazo, e inesperadas de las acciones</w:t>
      </w:r>
    </w:p>
    <w:p>
      <w:pPr>
        <w:pStyle w:val="Heading3"/>
      </w:pPr>
      <w:bookmarkStart w:name="b_solucion_p3v_08_habito_de_las_54643239" w:id="5760"/>
      <w:r>
        <w:t xml:space="preserve">Solución 5.18</w:t>
      </w:r>
      <w:bookmarkEnd w:id="5760"/>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d) Tarjeta 11 · Considera las consecuencias a corto plazo, a largo plazo, e inesperadas de las acciones</w:t>
            </w:r>
          </w:p>
        </w:tc>
      </w:tr>
    </w:tbl>
    <w:p>
      <w:pPr>
        <w:pStyle w:val="Heading3"/>
      </w:pPr>
      <w:r>
        <w:t xml:space="preserve">Reconozca las consecuencias en el tiempo</w:t>
      </w:r>
    </w:p>
    <w:p>
      <w:pPr>
        <w:pStyle w:val="Normal"/>
      </w:pPr>
      <w:r>
        <w:t xml:space="preserve">Los resultados inmediatos y los efectos futuros son las consecuencias de corto y de largo plazo.</w:t>
      </w:r>
    </w:p>
    <w:p>
      <w:pPr>
        <w:pStyle w:val="Heading3"/>
      </w:pPr>
      <w:r>
        <w:t xml:space="preserve">Busque la tarjeta que las nombra</w:t>
      </w:r>
    </w:p>
    <w:p>
      <w:pPr>
        <w:pStyle w:val="Normal"/>
      </w:pPr>
      <w:r>
        <w:t xml:space="preserve">La 11: considera las consecuencias a corto plazo, a largo plazo, e inesperadas de las acciones.</w:t>
      </w:r>
    </w:p>
    <w:p>
      <w:pPr>
        <w:pStyle w:val="Heading3"/>
      </w:pPr>
      <w:r>
        <w:t xml:space="preserve">Descarte las parecidas</w:t>
      </w:r>
    </w:p>
    <w:p>
      <w:pPr>
        <w:pStyle w:val="Normal"/>
      </w:pPr>
      <w:r>
        <w:t xml:space="preserve">La 8 pide pensar antes de concluir, pero sobre la dinámica del sistema; la 13 y la 2 son de la unidad 3.</w:t>
      </w:r>
    </w:p>
    <w:p>
      <w:pPr>
        <w:pStyle w:val="Fuente"/>
      </w:pPr>
      <w:r>
        <w:t xml:space="preserve">Opciones descartadas: a), b), c).</w:t>
      </w:r>
    </w:p>
    <w:p>
      <w:pPr>
        <w:pStyle w:val="Normal"/>
      </w:pPr>
      <w:r>
        <w:t xml:space="preserve">a) Tarjeta 8 · Considera un tema completamente y resiste al impulso de llegar a una conclusión rápida — Pide considerar un tema por completo antes de concluir, para entender la dinámica del sistema; no habla de los efectos futuros de la decisión.</w:t>
      </w:r>
    </w:p>
    <w:p>
      <w:pPr>
        <w:pStyle w:val="Normal"/>
      </w:pPr>
      <w:r>
        <w:t xml:space="preserve">b) Tarjeta 13 · Reconoce el impacto de las demoras cuando se están explorando las relaciones de causa y efecto — Es el de las demoras entre la causa y el efecto, de la banda de la unidad 3.</w:t>
      </w:r>
    </w:p>
    <w:p>
      <w:pPr>
        <w:pStyle w:val="Normal"/>
      </w:pPr>
      <w:r>
        <w:t xml:space="preserve">c) Tarjeta 2 · Observa cómo los elementos de un sistema cambian a través del tiempo, generando patrones y tendencias — Observa los patrones y las tendencias que ya se dieron en el tiempo; no anticipa las consecuencias de una acción.</w:t>
      </w:r>
    </w:p>
    <w:p>
      <w:pPr>
        <w:pStyle w:val="Normal"/>
      </w:pPr>
      <w:r>
        <w:t xml:space="preserve">d) Tarjeta 11 · Considera las consecuencias a corto plazo, a largo plazo, e inesperadas de las acciones — Correcta: la tarjeta del hábito 11 lo define así: «Un Pensador Sistémico se adelanta y prevé no sólo los resultados inmediatos de las acciones sino también los efectos futuros».</w:t>
      </w:r>
    </w:p>
    <w:p>
      <w:pPr>
        <w:pStyle w:val="Normal"/>
      </w:pPr>
      <w:r>
        <w:t xml:space="preserve">Criterio de resolución: La presentación 4b abre la toma de decisiones con la tarjeta del hábito 11, que pide anticipar las consecuencias de corto plazo, las de largo plazo y las inesperadas. Sus preguntas lo bajan a tierra: «¿Cuáles son las posibles consecuencias a largo y corto plazo de las acciones propuestas?» y «¿Estamos dispuestos a aceptar dolor a corto plazo para lograr ganancias a largo plazo?».</w:t>
      </w:r>
    </w:p>
    <w:p>
      <w:pPr>
        <w:pStyle w:val="Normal"/>
      </w:pPr>
      <w:r>
        <w:t xml:space="preserve">Defensa: El enunciado parafrasea la definición de la tarjeta del hábito 11, en la lámina 3 de la presentación 4b, la que abre la toma de decisiones.</w:t>
      </w:r>
    </w:p>
    <w:p>
      <w:pPr>
        <w:pStyle w:val="Fuente"/>
      </w:pPr>
      <w:r>
        <w:t xml:space="preserve">Presentación 4b (C-4), láminas 2, 3 y 4</w:t>
      </w:r>
    </w:p>
    <w:p>
      <w:pPr>
        <w:pStyle w:val="Heading3"/>
      </w:pPr>
      <w:bookmarkStart w:name="b_pregunta_p3v_09_simbolo_del_rectangulo" w:id="5761"/>
      <w:r>
        <w:t xml:space="preserve">5.19 · Unidad 4 · 4.2 · Flujos y niveles: el rectángulo</w:t>
      </w:r>
      <w:bookmarkEnd w:id="5761"/>
    </w:p>
    <w:p>
      <w:pPr>
        <w:pStyle w:val="Normal"/>
      </w:pPr>
      <w:r>
        <w:t xml:space="preserve">¿Qué representa en un diagrama de flujos y niveles (diagrama de Forrester) un rectángulo?</w:t>
      </w:r>
    </w:p>
    <w:p>
      <w:pPr>
        <w:pStyle w:val="Fuente"/>
      </w:pPr>
      <w:r>
        <w:t xml:space="preserve">Ordinal de la fuente: 9 · variante editorial de la pregunta 5 de la evaluación.</w:t>
      </w:r>
    </w:p>
    <w:p>
      <w:pPr>
        <w:pStyle w:val="Normal"/>
      </w:pPr>
      <w:r>
        <w:t xml:space="preserve">a) Una fuente o un sumidero de material que puede interpretarse como un nivel que no es importante para el modelador y es prácticamente inagotable.</w:t>
      </w:r>
    </w:p>
    <w:p>
      <w:pPr>
        <w:pStyle w:val="Normal"/>
      </w:pPr>
      <w:r>
        <w:t xml:space="preserve">b) Cálculos intermedios o valores fijos que permiten ver los aspectos que condicionan el comportamiento de los flujos</w:t>
      </w:r>
    </w:p>
    <w:p>
      <w:pPr>
        <w:pStyle w:val="Normal"/>
      </w:pPr>
      <w:r>
        <w:t xml:space="preserve">c) El tiempo que demora la transmisión de los materiales o información en el sistema</w:t>
      </w:r>
    </w:p>
    <w:p>
      <w:pPr>
        <w:pStyle w:val="Normal"/>
      </w:pPr>
      <w:r>
        <w:t xml:space="preserve">d) Una variable de estado</w:t>
      </w:r>
    </w:p>
    <w:p>
      <w:pPr>
        <w:pStyle w:val="Heading3"/>
      </w:pPr>
      <w:bookmarkStart w:name="b_solucion_p3v_09_simbolo_del_rectangulo" w:id="5762"/>
      <w:r>
        <w:t xml:space="preserve">Solución 5.19</w:t>
      </w:r>
      <w:bookmarkEnd w:id="5762"/>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d) Una variable de estado</w:t>
            </w:r>
          </w:p>
        </w:tc>
      </w:tr>
    </w:tbl>
    <w:p>
      <w:pPr>
        <w:pStyle w:val="Heading3"/>
      </w:pPr>
      <w:r>
        <w:t xml:space="preserve">Asocie cada símbolo</w:t>
      </w:r>
    </w:p>
    <w:p>
      <w:pPr>
        <w:pStyle w:val="Normal"/>
      </w:pPr>
      <w:r>
        <w:t xml:space="preserve">Rectángulo, nivel; válvula, flujo; círculo, auxiliar o constante; nube, fuente o sumidero.</w:t>
      </w:r>
    </w:p>
    <w:p>
      <w:pPr>
        <w:pStyle w:val="Heading3"/>
      </w:pPr>
      <w:r>
        <w:t xml:space="preserve">Descarte las definiciones de otros elementos</w:t>
      </w:r>
    </w:p>
    <w:p>
      <w:pPr>
        <w:pStyle w:val="Normal"/>
      </w:pPr>
      <w:r>
        <w:t xml:space="preserve">La nube, las auxiliares y las constantes, y el retardo tienen su propia definición en L-16, pág. 7.</w:t>
      </w:r>
    </w:p>
    <w:p>
      <w:pPr>
        <w:pStyle w:val="Fuente"/>
      </w:pPr>
      <w:r>
        <w:t xml:space="preserve">Opciones descartadas: a), b), c).</w:t>
      </w:r>
    </w:p>
    <w:p>
      <w:pPr>
        <w:pStyle w:val="Normal"/>
      </w:pPr>
      <w:r>
        <w:t xml:space="preserve">a) Una fuente o un sumidero de material que puede interpretarse como un nivel que no es importante para el modelador y es prácticamente inagotable. — Es la nube: «puede interpretarse como un nivel», pero uno que no le importa al modelador, y no se dibuja como rectángulo.</w:t>
      </w:r>
    </w:p>
    <w:p>
      <w:pPr>
        <w:pStyle w:val="Normal"/>
      </w:pPr>
      <w:r>
        <w:t xml:space="preserve">b) Cálculos intermedios o valores fijos que permiten ver los aspectos que condicionan el comportamiento de los flujos — Son las variables auxiliares y las constantes, que se dibujan con círculos.</w:t>
      </w:r>
    </w:p>
    <w:p>
      <w:pPr>
        <w:pStyle w:val="Normal"/>
      </w:pPr>
      <w:r>
        <w:t xml:space="preserve">c) El tiempo que demora la transmisión de los materiales o información en el sistema — Es el retardo.</w:t>
      </w:r>
    </w:p>
    <w:p>
      <w:pPr>
        <w:pStyle w:val="Normal"/>
      </w:pPr>
      <w:r>
        <w:t xml:space="preserve">d) Una variable de estado — Correcta: el rectángulo es el nivel, y L-16 llama a los niveles «variables de estado».</w:t>
      </w:r>
    </w:p>
    <w:p>
      <w:pPr>
        <w:pStyle w:val="Normal"/>
      </w:pPr>
      <w:r>
        <w:t xml:space="preserve">Criterio de resolución: Son las mismas cuatro opciones de la pregunta 5 de la evaluación, con otro símbolo. En el diagrama de Forrester el nivel se dibuja como un rectángulo: «Los niveles se representan por medio de un rectángulo». L-16 los llama también variables de estado, porque su valor en cada instante es la situación del modelo, y L-15 agrega que «en la literatura matemática a la variable de nivel se la conoce también como variable de estado». Las otras tres opciones son la nube, las auxiliares y las constantes, y el retardo.</w:t>
      </w:r>
    </w:p>
    <w:p>
      <w:pPr>
        <w:pStyle w:val="Normal"/>
      </w:pPr>
      <w:r>
        <w:t xml:space="preserve">Defensa: L-16, pág. 6, llama a los niveles «variables de estado» y dice que se representan por medio de un rectángulo; las otras tres definiciones son, en la pág. 7, de la nube, de las auxiliares y del retardo.</w:t>
      </w:r>
    </w:p>
    <w:p>
      <w:pPr>
        <w:pStyle w:val="Fuente"/>
      </w:pPr>
      <w:r>
        <w:t xml:space="preserve">lectura L-16, págs. 6 y 7 · lectura L-15, pág. 37 · Presentación 4a (C-3), lámina 9</w:t>
      </w:r>
    </w:p>
    <w:p>
      <w:pPr>
        <w:pStyle w:val="Heading3"/>
      </w:pPr>
      <w:bookmarkStart w:name="b_pregunta_p3v_10_retardo" w:id="5763"/>
      <w:r>
        <w:t xml:space="preserve">5.20 · Unidad 4 · 4.2 · Flujos y niveles: el retardo</w:t>
      </w:r>
      <w:bookmarkEnd w:id="5763"/>
    </w:p>
    <w:p>
      <w:pPr>
        <w:pStyle w:val="Normal"/>
      </w:pPr>
      <w:r>
        <w:t xml:space="preserve">En un diagrama de flujos y niveles (diagrama de Forrester), ¿qué elemento simula el tiempo que demora la transmisión de los materiales o de la información en el sistema?</w:t>
      </w:r>
    </w:p>
    <w:p>
      <w:pPr>
        <w:pStyle w:val="Fuente"/>
      </w:pPr>
      <w:r>
        <w:t xml:space="preserve">Ordinal de la fuente: 10 · variante editorial de la pregunta 5 de la evaluación.</w:t>
      </w:r>
    </w:p>
    <w:p>
      <w:pPr>
        <w:pStyle w:val="Normal"/>
      </w:pPr>
      <w:r>
        <w:t xml:space="preserve">a) Una nube</w:t>
      </w:r>
    </w:p>
    <w:p>
      <w:pPr>
        <w:pStyle w:val="Normal"/>
      </w:pPr>
      <w:r>
        <w:t xml:space="preserve">b) Un retardo</w:t>
      </w:r>
    </w:p>
    <w:p>
      <w:pPr>
        <w:pStyle w:val="Normal"/>
      </w:pPr>
      <w:r>
        <w:t xml:space="preserve">c) Un canal de información</w:t>
      </w:r>
    </w:p>
    <w:p>
      <w:pPr>
        <w:pStyle w:val="Normal"/>
      </w:pPr>
      <w:r>
        <w:t xml:space="preserve">d) Una variable auxiliar</w:t>
      </w:r>
    </w:p>
    <w:p>
      <w:pPr>
        <w:pStyle w:val="Heading3"/>
      </w:pPr>
      <w:bookmarkStart w:name="b_solucion_p3v_10_retardo" w:id="5764"/>
      <w:r>
        <w:t xml:space="preserve">Solución 5.20</w:t>
      </w:r>
      <w:bookmarkEnd w:id="5764"/>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b) Un retardo</w:t>
            </w:r>
          </w:p>
        </w:tc>
      </w:tr>
    </w:tbl>
    <w:p>
      <w:pPr>
        <w:pStyle w:val="Heading3"/>
      </w:pPr>
      <w:r>
        <w:t xml:space="preserve">Busque la demora</w:t>
      </w:r>
    </w:p>
    <w:p>
      <w:pPr>
        <w:pStyle w:val="Normal"/>
      </w:pPr>
      <w:r>
        <w:t xml:space="preserve">Lo que simula el tiempo que tarda algo en transmitirse es un retardo.</w:t>
      </w:r>
    </w:p>
    <w:p>
      <w:pPr>
        <w:pStyle w:val="Heading3"/>
      </w:pPr>
      <w:r>
        <w:t xml:space="preserve">Descarte por función</w:t>
      </w:r>
    </w:p>
    <w:p>
      <w:pPr>
        <w:pStyle w:val="Normal"/>
      </w:pPr>
      <w:r>
        <w:t xml:space="preserve">La nube es la frontera, el canal de información transmite sin conservar y la auxiliar calcula.</w:t>
      </w:r>
    </w:p>
    <w:p>
      <w:pPr>
        <w:pStyle w:val="Fuente"/>
      </w:pPr>
      <w:r>
        <w:t xml:space="preserve">Opciones descartadas: a), c), d).</w:t>
      </w:r>
    </w:p>
    <w:p>
      <w:pPr>
        <w:pStyle w:val="Normal"/>
      </w:pPr>
      <w:r>
        <w:t xml:space="preserve">a) Una nube — La nube es una fuente o un sumidero de material, prácticamente inagotable.</w:t>
      </w:r>
    </w:p>
    <w:p>
      <w:pPr>
        <w:pStyle w:val="Normal"/>
      </w:pPr>
      <w:r>
        <w:t xml:space="preserve">b) Un retardo — Correcta: según L-16, pág. 7, los retardos «simulan el tiempo que demora la transmisión de los materiales o las informaciones».</w:t>
      </w:r>
    </w:p>
    <w:p>
      <w:pPr>
        <w:pStyle w:val="Normal"/>
      </w:pPr>
      <w:r>
        <w:t xml:space="preserve">c) Un canal de información — El canal de información transmite «informaciones que por su naturaleza no se conservan», pero no simula su demora.</w:t>
      </w:r>
    </w:p>
    <w:p>
      <w:pPr>
        <w:pStyle w:val="Normal"/>
      </w:pPr>
      <w:r>
        <w:t xml:space="preserve">d) Una variable auxiliar — Las auxiliares son cálculos intermedios para calcular los flujos.</w:t>
      </w:r>
    </w:p>
    <w:p>
      <w:pPr>
        <w:pStyle w:val="Normal"/>
      </w:pPr>
      <w:r>
        <w:t xml:space="preserve">Criterio de resolución: L-16 dedica a los retardos un párrafo propio: en los sistemas socioeconómicos son frecuentes y «tienen una gran importancia en la determinación del comportamiento del sistema». Su ejemplo es la mazorca de maíz, que llega unos 90 días después de sembrar la semilla. En la pregunta 5 de la evaluación, esta definición es un distractor.</w:t>
      </w:r>
    </w:p>
    <w:p>
      <w:pPr>
        <w:pStyle w:val="Normal"/>
      </w:pPr>
      <w:r>
        <w:t xml:space="preserve">Defensa: La definición del enunciado es la del retardo en L-16, pág. 7; las otras opciones son elementos con otra función en la misma lista.</w:t>
      </w:r>
    </w:p>
    <w:p>
      <w:pPr>
        <w:pStyle w:val="Fuente"/>
      </w:pPr>
      <w:r>
        <w:t xml:space="preserve">lectura L-16, págs. 6 y 7</w:t>
      </w:r>
    </w:p>
    <w:p>
      <w:pPr>
        <w:pStyle w:val="Heading3"/>
      </w:pPr>
      <w:bookmarkStart w:name="b_pregunta_p3v_11_fase_del_diag_260fe814" w:id="5765"/>
      <w:r>
        <w:t xml:space="preserve">5.21 · Unidad 4 · 4.4 · Simulación: la fase del diagrama de influencias</w:t>
      </w:r>
      <w:bookmarkEnd w:id="5765"/>
    </w:p>
    <w:p>
      <w:pPr>
        <w:pStyle w:val="Normal"/>
      </w:pPr>
      <w:r>
        <w:t xml:space="preserve">¿En qué fase de la construcción de un modelo de simulación dinámica se definen los elementos que integran la descripción del sistema y las influencias que se producen entre ellos, para establecer el diagrama de influencias?</w:t>
      </w:r>
    </w:p>
    <w:p>
      <w:pPr>
        <w:pStyle w:val="Fuente"/>
      </w:pPr>
      <w:r>
        <w:t xml:space="preserve">Ordinal de la fuente: 11 · variante editorial de la pregunta 6 de la evaluación.</w:t>
      </w:r>
    </w:p>
    <w:p>
      <w:pPr>
        <w:pStyle w:val="Normal"/>
      </w:pPr>
      <w:r>
        <w:t xml:space="preserve">a) Formalización</w:t>
      </w:r>
    </w:p>
    <w:p>
      <w:pPr>
        <w:pStyle w:val="Normal"/>
      </w:pPr>
      <w:r>
        <w:t xml:space="preserve">b) Conceptualización del sistema</w:t>
      </w:r>
    </w:p>
    <w:p>
      <w:pPr>
        <w:pStyle w:val="Normal"/>
      </w:pPr>
      <w:r>
        <w:t xml:space="preserve">c) Explotación del modelo</w:t>
      </w:r>
    </w:p>
    <w:p>
      <w:pPr>
        <w:pStyle w:val="Normal"/>
      </w:pPr>
      <w:r>
        <w:t xml:space="preserve">d) Comportamiento del modelo</w:t>
      </w:r>
    </w:p>
    <w:p>
      <w:pPr>
        <w:pStyle w:val="Normal"/>
      </w:pPr>
      <w:r>
        <w:t xml:space="preserve">e) Definición del problema</w:t>
      </w:r>
    </w:p>
    <w:p>
      <w:pPr>
        <w:pStyle w:val="Heading3"/>
      </w:pPr>
      <w:bookmarkStart w:name="b_solucion_p3v_11_fase_del_diag_59a7ea03" w:id="5766"/>
      <w:r>
        <w:t xml:space="preserve">Solución 5.21</w:t>
      </w:r>
      <w:bookmarkEnd w:id="5766"/>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b) Conceptualización del sistema</w:t>
            </w:r>
          </w:p>
        </w:tc>
      </w:tr>
    </w:tbl>
    <w:p>
      <w:pPr>
        <w:pStyle w:val="Heading3"/>
      </w:pPr>
      <w:r>
        <w:t xml:space="preserve">Ordene las fases</w:t>
      </w:r>
    </w:p>
    <w:p>
      <w:pPr>
        <w:pStyle w:val="Normal"/>
      </w:pPr>
      <w:r>
        <w:t xml:space="preserve">Definición del problema, conceptualización, formalización, comportamiento, evaluación y explotación.</w:t>
      </w:r>
    </w:p>
    <w:p>
      <w:pPr>
        <w:pStyle w:val="Heading3"/>
      </w:pPr>
      <w:r>
        <w:t xml:space="preserve">Ubique el diagrama de influencias</w:t>
      </w:r>
    </w:p>
    <w:p>
      <w:pPr>
        <w:pStyle w:val="Normal"/>
      </w:pPr>
      <w:r>
        <w:t xml:space="preserve">Es el producto de la conceptualización y el punto de partida de la formalización.</w:t>
      </w:r>
    </w:p>
    <w:p>
      <w:pPr>
        <w:pStyle w:val="Heading3"/>
      </w:pPr>
      <w:r>
        <w:t xml:space="preserve">Descarte las demás</w:t>
      </w:r>
    </w:p>
    <w:p>
      <w:pPr>
        <w:pStyle w:val="Normal"/>
      </w:pPr>
      <w:r>
        <w:t xml:space="preserve">Formalizar, simular y explotar suponen el diagrama ya hecho; definir el problema va antes de identificar las influencias.</w:t>
      </w:r>
    </w:p>
    <w:p>
      <w:pPr>
        <w:pStyle w:val="Fuente"/>
      </w:pPr>
      <w:r>
        <w:t xml:space="preserve">Opciones descartadas: a), c), d), e).</w:t>
      </w:r>
    </w:p>
    <w:p>
      <w:pPr>
        <w:pStyle w:val="Normal"/>
      </w:pPr>
      <w:r>
        <w:t xml:space="preserve">a) Formalización — Parte del diagrama de influencias ya hecho y lo convierte en el de Forrester.</w:t>
      </w:r>
    </w:p>
    <w:p>
      <w:pPr>
        <w:pStyle w:val="Normal"/>
      </w:pPr>
      <w:r>
        <w:t xml:space="preserve">b) Conceptualización del sistema — Correcta: en Aracil, la conceptualización define «los distintos elementos que integran la descripción, así como las influencias que se producen entre ellos», y su resultado es «el establecimiento del diagrama de influencias del sistema».</w:t>
      </w:r>
    </w:p>
    <w:p>
      <w:pPr>
        <w:pStyle w:val="Normal"/>
      </w:pPr>
      <w:r>
        <w:t xml:space="preserve">c) Explotación del modelo — Usa el modelo terminado para analizar políticas alternativas mediante escenarios.</w:t>
      </w:r>
    </w:p>
    <w:p>
      <w:pPr>
        <w:pStyle w:val="Normal"/>
      </w:pPr>
      <w:r>
        <w:t xml:space="preserve">d) Comportamiento del modelo — Simula el modelo para obtener sus trayectorias.</w:t>
      </w:r>
    </w:p>
    <w:p>
      <w:pPr>
        <w:pStyle w:val="Normal"/>
      </w:pPr>
      <w:r>
        <w:t xml:space="preserve">e) Definición del problema — Decide si el problema puede estudiarse con el lenguaje sistémico; todavía no define las influencias.</w:t>
      </w:r>
    </w:p>
    <w:p>
      <w:pPr>
        <w:pStyle w:val="Normal"/>
      </w:pPr>
      <w:r>
        <w:t xml:space="preserve">Criterio de resolución: En las seis fases de Aracil, el diagrama de influencias es el resultado de la segunda, la conceptualización del sistema; la formalización lo convierte en el diagrama de Forrester y escribe sus ecuaciones. La figura de la lámina 27 de la presentación 4a dibuja la misma secuencia.</w:t>
      </w:r>
    </w:p>
    <w:p>
      <w:pPr>
        <w:pStyle w:val="Normal"/>
      </w:pPr>
      <w:r>
        <w:t xml:space="preserve">Defensa: Aracil dice que el resultado de la conceptualización «es el establecimiento del diagrama de influencias del sistema», y que la formalización convierte ese diagrama, «alcanzado en la anterior», en el de Forrester (L-15, pág. 60).</w:t>
      </w:r>
    </w:p>
    <w:p>
      <w:pPr>
        <w:pStyle w:val="Fuente"/>
      </w:pPr>
      <w:r>
        <w:t xml:space="preserve">lectura L-15, pág. 60 · Presentación 4a (C-3), lámina 27</w:t>
      </w:r>
    </w:p>
    <w:p>
      <w:pPr>
        <w:pStyle w:val="Heading3"/>
      </w:pPr>
      <w:bookmarkStart w:name="b_pregunta_p3v_12_fase_de_evaluacion" w:id="5767"/>
      <w:r>
        <w:t xml:space="preserve">5.22 · Unidad 4 · 4.4 · Simulación: la fase de evaluación</w:t>
      </w:r>
      <w:bookmarkEnd w:id="5767"/>
    </w:p>
    <w:p>
      <w:pPr>
        <w:pStyle w:val="Normal"/>
      </w:pPr>
      <w:r>
        <w:t xml:space="preserve">¿En qué fase de la construcción de un modelo de simulación dinámica se somete el modelo a ensayos y análisis para evaluar su validez y calidad, incluidos los análisis de sensibilidad?</w:t>
      </w:r>
    </w:p>
    <w:p>
      <w:pPr>
        <w:pStyle w:val="Fuente"/>
      </w:pPr>
      <w:r>
        <w:t xml:space="preserve">Ordinal de la fuente: 12 · variante editorial de la pregunta 6 de la evaluación.</w:t>
      </w:r>
    </w:p>
    <w:p>
      <w:pPr>
        <w:pStyle w:val="Normal"/>
      </w:pPr>
      <w:r>
        <w:t xml:space="preserve">a) Definición del problema</w:t>
      </w:r>
    </w:p>
    <w:p>
      <w:pPr>
        <w:pStyle w:val="Normal"/>
      </w:pPr>
      <w:r>
        <w:t xml:space="preserve">b) Formalización</w:t>
      </w:r>
    </w:p>
    <w:p>
      <w:pPr>
        <w:pStyle w:val="Normal"/>
      </w:pPr>
      <w:r>
        <w:t xml:space="preserve">c) Comportamiento del modelo</w:t>
      </w:r>
    </w:p>
    <w:p>
      <w:pPr>
        <w:pStyle w:val="Normal"/>
      </w:pPr>
      <w:r>
        <w:t xml:space="preserve">d) Evaluación del modelo</w:t>
      </w:r>
    </w:p>
    <w:p>
      <w:pPr>
        <w:pStyle w:val="Normal"/>
      </w:pPr>
      <w:r>
        <w:t xml:space="preserve">e) Explotación del modelo</w:t>
      </w:r>
    </w:p>
    <w:p>
      <w:pPr>
        <w:pStyle w:val="Heading3"/>
      </w:pPr>
      <w:bookmarkStart w:name="b_solucion_p3v_12_fase_de_evaluacion" w:id="5768"/>
      <w:r>
        <w:t xml:space="preserve">Solución 5.22</w:t>
      </w:r>
      <w:bookmarkEnd w:id="5768"/>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d) Evaluación del modelo</w:t>
            </w:r>
          </w:p>
        </w:tc>
      </w:tr>
    </w:tbl>
    <w:p>
      <w:pPr>
        <w:pStyle w:val="Heading3"/>
      </w:pPr>
      <w:r>
        <w:t xml:space="preserve">Reconozca la validación</w:t>
      </w:r>
    </w:p>
    <w:p>
      <w:pPr>
        <w:pStyle w:val="Normal"/>
      </w:pPr>
      <w:r>
        <w:t xml:space="preserve">Ensayar la validez y la calidad del modelo es evaluarlo.</w:t>
      </w:r>
    </w:p>
    <w:p>
      <w:pPr>
        <w:pStyle w:val="Heading3"/>
      </w:pPr>
      <w:r>
        <w:t xml:space="preserve">Ubique la sensibilidad</w:t>
      </w:r>
    </w:p>
    <w:p>
      <w:pPr>
        <w:pStyle w:val="Normal"/>
      </w:pPr>
      <w:r>
        <w:t xml:space="preserve">Aracil la pone dentro de la evaluación, en la pág. 67 de L-15.</w:t>
      </w:r>
    </w:p>
    <w:p>
      <w:pPr>
        <w:pStyle w:val="Heading3"/>
      </w:pPr>
      <w:r>
        <w:t xml:space="preserve">Descarte las vecinas</w:t>
      </w:r>
    </w:p>
    <w:p>
      <w:pPr>
        <w:pStyle w:val="Normal"/>
      </w:pPr>
      <w:r>
        <w:t xml:space="preserve">El comportamiento produce las trayectorias que luego se evalúan, y la explotación usa el modelo ya evaluado.</w:t>
      </w:r>
    </w:p>
    <w:p>
      <w:pPr>
        <w:pStyle w:val="Fuente"/>
      </w:pPr>
      <w:r>
        <w:t xml:space="preserve">Opciones descartadas: a), b), c), e).</w:t>
      </w:r>
    </w:p>
    <w:p>
      <w:pPr>
        <w:pStyle w:val="Normal"/>
      </w:pPr>
      <w:r>
        <w:t xml:space="preserve">a) Definición del problema — Todavía no hay modelo que ensayar.</w:t>
      </w:r>
    </w:p>
    <w:p>
      <w:pPr>
        <w:pStyle w:val="Normal"/>
      </w:pPr>
      <w:r>
        <w:t xml:space="preserve">b) Formalización — Termina con el modelo programado en el computador, antes de evaluarlo.</w:t>
      </w:r>
    </w:p>
    <w:p>
      <w:pPr>
        <w:pStyle w:val="Normal"/>
      </w:pPr>
      <w:r>
        <w:t xml:space="preserve">c) Comportamiento del modelo — Simula el modelo para obtener sus trayectorias; la evaluación es la que las compara con la realidad.</w:t>
      </w:r>
    </w:p>
    <w:p>
      <w:pPr>
        <w:pStyle w:val="Normal"/>
      </w:pPr>
      <w:r>
        <w:t xml:space="preserve">d) Evaluación del modelo — Correcta: en Aracil, la evaluación «somete el modelo a una serie de ensayos y análisis para evaluar su validez y calidad», y en ella «se incluyen análisis de sensibilidad».</w:t>
      </w:r>
    </w:p>
    <w:p>
      <w:pPr>
        <w:pStyle w:val="Normal"/>
      </w:pPr>
      <w:r>
        <w:t xml:space="preserve">e) Explotación del modelo — Usa el modelo ya evaluado para comparar políticas alternativas mediante escenarios.</w:t>
      </w:r>
    </w:p>
    <w:p>
      <w:pPr>
        <w:pStyle w:val="Normal"/>
      </w:pPr>
      <w:r>
        <w:t xml:space="preserve">Criterio de resolución: La evaluación va desde comprobar la consistencia lógica de las hipótesis del modelo hasta el ajuste entre las trayectorias que genera y las registradas en la realidad. Incluye el análisis de sensibilidad, que Aracil llama «uno de los elementos esenciales para evaluación»: muestra si el modelo es robusto y cuáles son sus puntos de máxima sensibilidad.</w:t>
      </w:r>
    </w:p>
    <w:p>
      <w:pPr>
        <w:pStyle w:val="Normal"/>
      </w:pPr>
      <w:r>
        <w:t xml:space="preserve">Defensa: La definición del enunciado es la de la evaluación del modelo en Aracil, pág. 60, y en la pág. 67 el análisis de sensibilidad «constituye uno de los elementos esenciales para evaluación».</w:t>
      </w:r>
    </w:p>
    <w:p>
      <w:pPr>
        <w:pStyle w:val="Fuente"/>
      </w:pPr>
      <w:r>
        <w:t xml:space="preserve">lectura L-15, págs. 60 y 67 · Presentación 4a (C-3), lámina 27</w:t>
      </w:r>
    </w:p>
    <w:p>
      <w:pPr>
        <w:pStyle w:val="Heading3"/>
      </w:pPr>
      <w:bookmarkStart w:name="b_pregunta_p3v_13_pensamiento_r_8735e919" w:id="5769"/>
      <w:r>
        <w:t xml:space="preserve">5.23 · Unidad 4 · 4.6 · Toma de decisiones: el pensamiento reduccionista</w:t>
      </w:r>
      <w:bookmarkEnd w:id="5769"/>
    </w:p>
    <w:p>
      <w:pPr>
        <w:pStyle w:val="Normal"/>
      </w:pPr>
      <w:r>
        <w:t xml:space="preserve">El pensamiento reduccionista actúa rápidamente y ve las cadenas circulares de causa y efecto que producen el efecto dominó</w:t>
      </w:r>
    </w:p>
    <w:p>
      <w:pPr>
        <w:pStyle w:val="Fuente"/>
      </w:pPr>
      <w:r>
        <w:t xml:space="preserve">Ordinal de la fuente: 13 · variante editorial de la pregunta 7 de la evaluación.</w:t>
      </w:r>
    </w:p>
    <w:p>
      <w:pPr>
        <w:pStyle w:val="Normal"/>
      </w:pPr>
      <w:r>
        <w:t xml:space="preserve">a) Verdadero</w:t>
      </w:r>
    </w:p>
    <w:p>
      <w:pPr>
        <w:pStyle w:val="Normal"/>
      </w:pPr>
      <w:r>
        <w:t xml:space="preserve">b) Falso</w:t>
      </w:r>
    </w:p>
    <w:p>
      <w:pPr>
        <w:pStyle w:val="Heading3"/>
      </w:pPr>
      <w:bookmarkStart w:name="b_solucion_p3v_13_pensamiento_r_270a910f" w:id="5770"/>
      <w:r>
        <w:t xml:space="preserve">Solución 5.23</w:t>
      </w:r>
      <w:bookmarkEnd w:id="5770"/>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b) Falso</w:t>
            </w:r>
          </w:p>
        </w:tc>
      </w:tr>
    </w:tbl>
    <w:p>
      <w:pPr>
        <w:pStyle w:val="Heading3"/>
      </w:pPr>
      <w:r>
        <w:t xml:space="preserve">Compare con la lámina</w:t>
      </w:r>
    </w:p>
    <w:p>
      <w:pPr>
        <w:pStyle w:val="Normal"/>
      </w:pPr>
      <w:r>
        <w:t xml:space="preserve">«Actúa rápidamente pero no ve las cadenas circulares»: el enunciado conserva la rapidez y le atribuye lo que no ve.</w:t>
      </w:r>
    </w:p>
    <w:p>
      <w:pPr>
        <w:pStyle w:val="Heading3"/>
      </w:pPr>
      <w:r>
        <w:t xml:space="preserve">Asigne cada mitad</w:t>
      </w:r>
    </w:p>
    <w:p>
      <w:pPr>
        <w:pStyle w:val="Normal"/>
      </w:pPr>
      <w:r>
        <w:t xml:space="preserve">Actuar rápido es del reduccionista; ver el efecto dominó, del pensador sistémico.</w:t>
      </w:r>
    </w:p>
    <w:p>
      <w:pPr>
        <w:pStyle w:val="Fuente"/>
      </w:pPr>
      <w:r>
        <w:t xml:space="preserve">Opciones descartadas: a).</w:t>
      </w:r>
    </w:p>
    <w:p>
      <w:pPr>
        <w:pStyle w:val="Normal"/>
      </w:pPr>
      <w:r>
        <w:t xml:space="preserve">a) Verdadero — La lámina dice lo contrario en la segunda mitad: actúa rápido, «pero no ve» las cadenas circulares.</w:t>
      </w:r>
    </w:p>
    <w:p>
      <w:pPr>
        <w:pStyle w:val="Normal"/>
      </w:pPr>
      <w:r>
        <w:t xml:space="preserve">b) Falso — Correcta: la lámina 13 de la presentación 4b dice que el pensamiento reduccionista «actúa rápidamente pero no ve las cadenas circulares de causa y efecto que producen el “efecto dominó”».</w:t>
      </w:r>
    </w:p>
    <w:p>
      <w:pPr>
        <w:pStyle w:val="Normal"/>
      </w:pPr>
      <w:r>
        <w:t xml:space="preserve">Criterio de resolución: El enunciado copia la primera mitad de la lámina 13 y cambia la segunda: el pensamiento reduccionista actúa rápido y, justamente por eso, no ve las cadenas circulares. Quien las ve es el pensador sistémico, que se toma el tiempo de entender la dinámica antes de actuar, como dice la pregunta 7 de la evaluación.</w:t>
      </w:r>
    </w:p>
    <w:p>
      <w:pPr>
        <w:pStyle w:val="Normal"/>
      </w:pPr>
      <w:r>
        <w:t xml:space="preserve">Defensa: La lámina 13 de la presentación 4b dice que el pensamiento reduccionista no ve las cadenas circulares que producen el efecto dominó; el enunciado le atribuye lo contrario.</w:t>
      </w:r>
    </w:p>
    <w:p>
      <w:pPr>
        <w:pStyle w:val="Fuente"/>
      </w:pPr>
      <w:r>
        <w:t xml:space="preserve">Presentación 4b (C-4), láminas 12 y 13</w:t>
      </w:r>
    </w:p>
    <w:p>
      <w:pPr>
        <w:pStyle w:val="Heading3"/>
      </w:pPr>
      <w:bookmarkStart w:name="b_pregunta_p3v_14_eficiencia_y__17210ae6" w:id="5771"/>
      <w:r>
        <w:t xml:space="preserve">5.24 · Unidad 4 · 4.6 · Toma de decisiones: eficiencia y efectividad</w:t>
      </w:r>
      <w:bookmarkEnd w:id="5771"/>
    </w:p>
    <w:p>
      <w:pPr>
        <w:pStyle w:val="Normal"/>
      </w:pPr>
      <w:r>
        <w:t xml:space="preserve">Los pensadores sistémicos se toman el tiempo para considerar un problema por completo, pero no ralentizan innecesariamente una organización: buscan el equilibrio entre la eficiencia y la efectividad</w:t>
      </w:r>
    </w:p>
    <w:p>
      <w:pPr>
        <w:pStyle w:val="Fuente"/>
      </w:pPr>
      <w:r>
        <w:t xml:space="preserve">Ordinal de la fuente: 14 · variante editorial de la pregunta 7 de la evaluación.</w:t>
      </w:r>
    </w:p>
    <w:p>
      <w:pPr>
        <w:pStyle w:val="Normal"/>
      </w:pPr>
      <w:r>
        <w:t xml:space="preserve">a) Verdadero</w:t>
      </w:r>
    </w:p>
    <w:p>
      <w:pPr>
        <w:pStyle w:val="Normal"/>
      </w:pPr>
      <w:r>
        <w:t xml:space="preserve">b) Falso</w:t>
      </w:r>
    </w:p>
    <w:p>
      <w:pPr>
        <w:pStyle w:val="Heading3"/>
      </w:pPr>
      <w:bookmarkStart w:name="b_solucion_p3v_14_eficiencia_y__88a8f036" w:id="5772"/>
      <w:r>
        <w:t xml:space="preserve">Solución 5.24</w:t>
      </w:r>
      <w:bookmarkEnd w:id="5772"/>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a) Verdadero</w:t>
            </w:r>
          </w:p>
        </w:tc>
      </w:tr>
    </w:tbl>
    <w:p>
      <w:pPr>
        <w:pStyle w:val="Heading3"/>
      </w:pPr>
      <w:r>
        <w:t xml:space="preserve">Busque el matiz de la lámina 14</w:t>
      </w:r>
    </w:p>
    <w:p>
      <w:pPr>
        <w:pStyle w:val="Normal"/>
      </w:pPr>
      <w:r>
        <w:t xml:space="preserve">«Los pensadores de sistemas no ralentizan innecesariamente una organización. Más bien, ofrecen una perspectiva que fomenta el equilibrio entre eficiencia y efectividad».</w:t>
      </w:r>
    </w:p>
    <w:p>
      <w:pPr>
        <w:pStyle w:val="Heading3"/>
      </w:pPr>
      <w:r>
        <w:t xml:space="preserve">Compruebe la primera mitad con el hábito 8</w:t>
      </w:r>
    </w:p>
    <w:p>
      <w:pPr>
        <w:pStyle w:val="Normal"/>
      </w:pPr>
      <w:r>
        <w:t xml:space="preserve">La tarjeta del hábito 8 pide tomar el tiempo necesario para entender la dinámica de un sistema antes de actuar.</w:t>
      </w:r>
    </w:p>
    <w:p>
      <w:pPr>
        <w:pStyle w:val="Fuente"/>
      </w:pPr>
      <w:r>
        <w:t xml:space="preserve">Opciones descartadas: b).</w:t>
      </w:r>
    </w:p>
    <w:p>
      <w:pPr>
        <w:pStyle w:val="Normal"/>
      </w:pPr>
      <w:r>
        <w:t xml:space="preserve">a) Verdadero — Correcta: la lámina 14 dice que tomarse el tiempo para pensar un problema «aumenta por completo la probabilidad de un resultado de alta calidad» y que los pensadores de sistemas «no ralentizan innecesariamente una organización».</w:t>
      </w:r>
    </w:p>
    <w:p>
      <w:pPr>
        <w:pStyle w:val="Normal"/>
      </w:pPr>
      <w:r>
        <w:t xml:space="preserve">b) Falso — Sería falso si dijera que el pensador sistémico demora sin necesidad, y la lámina 14 lo niega expresamente.</w:t>
      </w:r>
    </w:p>
    <w:p>
      <w:pPr>
        <w:pStyle w:val="Normal"/>
      </w:pPr>
      <w:r>
        <w:t xml:space="preserve">Criterio de resolución: La lámina 14 de la presentación 4b, «Abordar deliberadamente desafíos y resolver problemas», junta las dos ideas del enunciado. Pensar detenidamente un problema aumenta la probabilidad de un buen resultado, y eso no es lentitud innecesaria, sino una perspectiva que «fomenta el equilibrio entre eficiencia y efectividad». Es el matiz de la «lentitud» de la pregunta 7 de la evaluación.</w:t>
      </w:r>
    </w:p>
    <w:p>
      <w:pPr>
        <w:pStyle w:val="Normal"/>
      </w:pPr>
      <w:r>
        <w:t xml:space="preserve">Defensa: Las dos mitades del enunciado parafrasean la lámina 14 de la presentación 4b: considerar el problema por completo y no ralentizar innecesariamente la organización.</w:t>
      </w:r>
    </w:p>
    <w:p>
      <w:pPr>
        <w:pStyle w:val="Fuente"/>
      </w:pPr>
      <w:r>
        <w:t xml:space="preserve">Presentación 4b (C-4), láminas 12 y 14</w:t>
      </w:r>
    </w:p>
    <w:p>
      <w:pPr>
        <w:pStyle w:val="Heading3"/>
      </w:pPr>
      <w:bookmarkStart w:name="b_pregunta_p3v_15_puntos_de_apa_5540e3fe" w:id="5773"/>
      <w:r>
        <w:t xml:space="preserve">5.25 · Unidad 4 · 4.6 · Toma de decisiones: qué son los puntos de apalancamiento</w:t>
      </w:r>
      <w:bookmarkEnd w:id="5773"/>
    </w:p>
    <w:p>
      <w:pPr>
        <w:pStyle w:val="Normal"/>
      </w:pPr>
      <w:r>
        <w:t xml:space="preserve">¿Cuáles de las siguientes afirmaciones sobre los puntos de apalancamiento de un sistema son correctas?</w:t>
      </w:r>
    </w:p>
    <w:p>
      <w:pPr>
        <w:pStyle w:val="Fuente"/>
      </w:pPr>
      <w:r>
        <w:t xml:space="preserve">Ordinal de la fuente: 15 · variante editorial de la pregunta 8 de la evaluación.</w:t>
      </w:r>
    </w:p>
    <w:p>
      <w:pPr>
        <w:pStyle w:val="Normal"/>
      </w:pPr>
      <w:r>
        <w:t xml:space="preserve">a) Son lugares de un sistema complejo donde un pequeño cambio en una parte puede producir grandes cambios en todo</w:t>
      </w:r>
    </w:p>
    <w:p>
      <w:pPr>
        <w:pStyle w:val="Normal"/>
      </w:pPr>
      <w:r>
        <w:t xml:space="preserve">b) Suelen ser intuitivos: la experiencia basta para reconocerlos y usarlos en la dirección correcta</w:t>
      </w:r>
    </w:p>
    <w:p>
      <w:pPr>
        <w:pStyle w:val="Normal"/>
      </w:pPr>
      <w:r>
        <w:t xml:space="preserve">c) Cuando parecen intuitivos, solemos usarlos a la inversa y empeorar el problema que tratamos de resolver</w:t>
      </w:r>
    </w:p>
    <w:p>
      <w:pPr>
        <w:pStyle w:val="Normal"/>
      </w:pPr>
      <w:r>
        <w:t xml:space="preserve">d) Según Donella Meadows, los más efectivos son las constantes y los parámetros, como los subsidios y los impuestos</w:t>
      </w:r>
    </w:p>
    <w:p>
      <w:pPr>
        <w:pStyle w:val="Heading3"/>
      </w:pPr>
      <w:bookmarkStart w:name="b_solucion_p3v_15_puntos_de_apa_ecdb82de" w:id="5774"/>
      <w:r>
        <w:t xml:space="preserve">Solución 5.25</w:t>
      </w:r>
      <w:bookmarkEnd w:id="5774"/>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a) Son lugares de un sistema complejo donde un pequeño cambio en una parte puede producir grandes cambios en todo</w:t>
            </w:r>
          </w:p>
          <w:p>
            <w:pPr>
              <w:pStyle w:val="Recuadro"/>
            </w:pPr>
            <w:r>
              <w:t xml:space="preserve">c) Cuando parecen intuitivos, solemos usarlos a la inversa y empeorar el problema que tratamos de resolver</w:t>
            </w:r>
          </w:p>
        </w:tc>
      </w:tr>
    </w:tbl>
    <w:p>
      <w:pPr>
        <w:pStyle w:val="Heading3"/>
      </w:pPr>
      <w:r>
        <w:t xml:space="preserve">Lea la definición de la lámina 29</w:t>
      </w:r>
    </w:p>
    <w:p>
      <w:pPr>
        <w:pStyle w:val="Normal"/>
      </w:pPr>
      <w:r>
        <w:t xml:space="preserve">Son lugares donde un pequeño cambio en una parte produce grandes cambios en todo.</w:t>
      </w:r>
    </w:p>
    <w:p>
      <w:pPr>
        <w:pStyle w:val="Heading3"/>
      </w:pPr>
      <w:r>
        <w:t xml:space="preserve">Contraste la intuición</w:t>
      </w:r>
    </w:p>
    <w:p>
      <w:pPr>
        <w:pStyle w:val="Normal"/>
      </w:pPr>
      <w:r>
        <w:t xml:space="preserve">La lámina dice que no son intuitivos y que, si lo parecen, solemos usarlos al revés.</w:t>
      </w:r>
    </w:p>
    <w:p>
      <w:pPr>
        <w:pStyle w:val="Fuente"/>
      </w:pPr>
      <w:r>
        <w:t xml:space="preserve">Opciones descartadas: b).</w:t>
      </w:r>
    </w:p>
    <w:p>
      <w:pPr>
        <w:pStyle w:val="Heading3"/>
      </w:pPr>
      <w:r>
        <w:t xml:space="preserve">Ordene la lista de Meadows</w:t>
      </w:r>
    </w:p>
    <w:p>
      <w:pPr>
        <w:pStyle w:val="Normal"/>
      </w:pPr>
      <w:r>
        <w:t xml:space="preserve">Va en orden creciente de efectividad: las constantes y los parámetros, en el lugar 12, son lo menos efectivo.</w:t>
      </w:r>
    </w:p>
    <w:p>
      <w:pPr>
        <w:pStyle w:val="Fuente"/>
      </w:pPr>
      <w:r>
        <w:t xml:space="preserve">Opciones descartadas: d).</w:t>
      </w:r>
    </w:p>
    <w:p>
      <w:pPr>
        <w:pStyle w:val="Normal"/>
      </w:pPr>
      <w:r>
        <w:t xml:space="preserve">a) Son lugares de un sistema complejo donde un pequeño cambio en una parte puede producir grandes cambios en todo — Correcta: es la definición de la lámina 29 de la presentación 4b: «lugares dentro de un sistema complejo (una corporación, una economía, un organismo vivo, una ciudad, un ecosistema) donde un pequeño cambio en una parte puede producir grandes cambios en todo».</w:t>
      </w:r>
    </w:p>
    <w:p>
      <w:pPr>
        <w:pStyle w:val="Normal"/>
      </w:pPr>
      <w:r>
        <w:t xml:space="preserve">b) Suelen ser intuitivos: la experiencia basta para reconocerlos y usarlos en la dirección correcta — La misma lámina lo niega: «los puntos de apalancamiento no son intuitivos», porque «los sistemas complejos son contraintuitivos».</w:t>
      </w:r>
    </w:p>
    <w:p>
      <w:pPr>
        <w:pStyle w:val="Normal"/>
      </w:pPr>
      <w:r>
        <w:t xml:space="preserve">c) Cuando parecen intuitivos, solemos usarlos a la inversa y empeorar el problema que tratamos de resolver — Correcta: «O si lo están, los usamos intuitivamente a la inversa, empeorando sistemáticamente cualquier problema que estemos tratando de resolver».</w:t>
      </w:r>
    </w:p>
    <w:p>
      <w:pPr>
        <w:pStyle w:val="Normal"/>
      </w:pPr>
      <w:r>
        <w:t xml:space="preserve">d) Según Donella Meadows, los más efectivos son las constantes y los parámetros, como los subsidios y los impuestos — Es al revés: la lista de Meadows va «en orden creciente de efectividad», y las constantes, los parámetros y los números son el lugar 12, el menos efectivo; el más efectivo es el poder de trascender los paradigmas.</w:t>
      </w:r>
    </w:p>
    <w:p>
      <w:pPr>
        <w:pStyle w:val="Normal"/>
      </w:pPr>
      <w:r>
        <w:t xml:space="preserve">Criterio de resolución: La lámina 29 de la presentación 4b, «Explorando los puntos de apalancamiento», dice tres cosas: qué son, que no son intuitivos y dónde intervenir según Donella Meadows, en orden creciente de efectividad, desde las constantes y los parámetros (12) hasta el poder de trascender los paradigmas (1). Por eso el hábito 10 pide usar la comprensión de la estructura, y no la intuición, y la pregunta 8 de la evaluación no cuenta «la falta de intuición» entre lo que dificulta encontrarlos.</w:t>
      </w:r>
    </w:p>
    <w:p>
      <w:pPr>
        <w:pStyle w:val="Normal"/>
      </w:pPr>
      <w:r>
        <w:t xml:space="preserve">Defensa: Las dos correctas son frases de la lámina 29 de la presentación 4b; la segunda opción contradice esa lámina, y la cuarta invierte la lista de Meadows, que la misma lámina da en orden creciente de efectividad.</w:t>
      </w:r>
    </w:p>
    <w:p>
      <w:pPr>
        <w:pStyle w:val="Fuente"/>
      </w:pPr>
      <w:r>
        <w:t xml:space="preserve">Presentación 4b (C-4), láminas 25 y 29</w:t>
      </w:r>
    </w:p>
    <w:p>
      <w:pPr>
        <w:pStyle w:val="Heading3"/>
      </w:pPr>
      <w:bookmarkStart w:name="b_pregunta_p3v_16_que_ayuda_a_e_94a68108" w:id="5775"/>
      <w:r>
        <w:t xml:space="preserve">5.26 · Unidad 4 · 4.6 · Toma de decisiones: qué ayuda a encontrar la palanca</w:t>
      </w:r>
      <w:bookmarkEnd w:id="5775"/>
    </w:p>
    <w:p>
      <w:pPr>
        <w:pStyle w:val="Normal"/>
      </w:pPr>
      <w:r>
        <w:t xml:space="preserve">¿Cuáles de las siguientes acciones ayudan a identificar puntos de apalancamiento efectivos en un sistema?</w:t>
      </w:r>
    </w:p>
    <w:p>
      <w:pPr>
        <w:pStyle w:val="Fuente"/>
      </w:pPr>
      <w:r>
        <w:t xml:space="preserve">Ordinal de la fuente: 16 · variante editorial de la pregunta 8 de la evaluación.</w:t>
      </w:r>
    </w:p>
    <w:p>
      <w:pPr>
        <w:pStyle w:val="Normal"/>
      </w:pPr>
      <w:r>
        <w:t xml:space="preserve">a) Concentrarse en los síntomas más visibles del problema</w:t>
      </w:r>
    </w:p>
    <w:p>
      <w:pPr>
        <w:pStyle w:val="Normal"/>
      </w:pPr>
      <w:r>
        <w:t xml:space="preserve">b) Hacer un modelo visual del sistema, como un diagrama de ciclos causales</w:t>
      </w:r>
    </w:p>
    <w:p>
      <w:pPr>
        <w:pStyle w:val="Normal"/>
      </w:pPr>
      <w:r>
        <w:t xml:space="preserve">c) Comprender la estructura del sistema</w:t>
      </w:r>
    </w:p>
    <w:p>
      <w:pPr>
        <w:pStyle w:val="Normal"/>
      </w:pPr>
      <w:r>
        <w:t xml:space="preserve">d) Elegir la acción que alivia el problema más rápido</w:t>
      </w:r>
    </w:p>
    <w:p>
      <w:pPr>
        <w:pStyle w:val="Heading3"/>
      </w:pPr>
      <w:bookmarkStart w:name="b_solucion_p3v_16_que_ayuda_a_e_0f57cf7d" w:id="5776"/>
      <w:r>
        <w:t xml:space="preserve">Solución 5.26</w:t>
      </w:r>
      <w:bookmarkEnd w:id="5776"/>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b) Hacer un modelo visual del sistema, como un diagrama de ciclos causales</w:t>
            </w:r>
          </w:p>
          <w:p>
            <w:pPr>
              <w:pStyle w:val="Recuadro"/>
            </w:pPr>
            <w:r>
              <w:t xml:space="preserve">c) Comprender la estructura del sistema</w:t>
            </w:r>
          </w:p>
        </w:tc>
      </w:tr>
    </w:tbl>
    <w:p>
      <w:pPr>
        <w:pStyle w:val="Heading3"/>
      </w:pPr>
      <w:r>
        <w:t xml:space="preserve">Busque la lámina 25</w:t>
      </w:r>
    </w:p>
    <w:p>
      <w:pPr>
        <w:pStyle w:val="Normal"/>
      </w:pPr>
      <w:r>
        <w:t xml:space="preserve">Su título y su segundo párrafo dan las dos ayudas: comprender la estructura y hacer un modelo visual.</w:t>
      </w:r>
    </w:p>
    <w:p>
      <w:pPr>
        <w:pStyle w:val="Heading3"/>
      </w:pPr>
      <w:r>
        <w:t xml:space="preserve">Descarte las soluciones rápidas</w:t>
      </w:r>
    </w:p>
    <w:p>
      <w:pPr>
        <w:pStyle w:val="Normal"/>
      </w:pPr>
      <w:r>
        <w:t xml:space="preserve">Atender el síntoma más visible o lo que alivia más rápido es el arquetipo de las soluciones rápidas que fallan, de la lámina 5.</w:t>
      </w:r>
    </w:p>
    <w:p>
      <w:pPr>
        <w:pStyle w:val="Fuente"/>
      </w:pPr>
      <w:r>
        <w:t xml:space="preserve">Opciones descartadas: a), d).</w:t>
      </w:r>
    </w:p>
    <w:p>
      <w:pPr>
        <w:pStyle w:val="Normal"/>
      </w:pPr>
      <w:r>
        <w:t xml:space="preserve">a) Concentrarse en los síntomas más visibles del problema — Los síntomas son lo más visible, pero la palanca está en la estructura; actuar sobre ellos lleva a las soluciones sintomáticas.</w:t>
      </w:r>
    </w:p>
    <w:p>
      <w:pPr>
        <w:pStyle w:val="Normal"/>
      </w:pPr>
      <w:r>
        <w:t xml:space="preserve">b) Hacer un modelo visual del sistema, como un diagrama de ciclos causales — Correcta: la lámina 25 dice que «hacer un modelo visual del sistema puede ayudarlo a identificar acciones de apalancamiento (diagramas de ciclos causales)».</w:t>
      </w:r>
    </w:p>
    <w:p>
      <w:pPr>
        <w:pStyle w:val="Normal"/>
      </w:pPr>
      <w:r>
        <w:t xml:space="preserve">c) Comprender la estructura del sistema — Correcta: es el título de la lámina 25, «La comprensión de la estructura del sistema permite identificar acciones de apalancamiento», y el corazón del hábito 10.</w:t>
      </w:r>
    </w:p>
    <w:p>
      <w:pPr>
        <w:pStyle w:val="Normal"/>
      </w:pPr>
      <w:r>
        <w:t xml:space="preserve">d) Elegir la acción que alivia el problema más rápido — Es la lógica de las soluciones rápidas que fallan: alivia el síntoma, y sus consecuencias no intencionadas lo agravan.</w:t>
      </w:r>
    </w:p>
    <w:p>
      <w:pPr>
        <w:pStyle w:val="Normal"/>
      </w:pPr>
      <w:r>
        <w:t xml:space="preserve">Criterio de resolución: La pregunta 8 de la evaluación pedía lo que dificulta encontrar el apalancamiento; ésta pide lo contrario, y la respuesta está en la misma lámina. La lámina 25 de la presentación 4b se titula «La comprensión de la estructura del sistema permite identificar acciones de apalancamiento» y agrega que «hacer un modelo visual del sistema puede ayudarlo a identificar acciones de apalancamiento (diagramas de ciclos causales)».</w:t>
      </w:r>
    </w:p>
    <w:p>
      <w:pPr>
        <w:pStyle w:val="Normal"/>
      </w:pPr>
      <w:r>
        <w:t xml:space="preserve">Defensa: Las dos correctas reproducen la lámina 25 de la presentación 4b; las otras dos describen soluciones sintomáticas, que el curso presenta como un arquetipo que falla.</w:t>
      </w:r>
    </w:p>
    <w:p>
      <w:pPr>
        <w:pStyle w:val="Fuente"/>
      </w:pPr>
      <w:r>
        <w:t xml:space="preserve">Presentación 4b (C-4), láminas 5, 23 y 25</w:t>
      </w:r>
    </w:p>
    <w:p>
      <w:pPr>
        <w:pStyle w:val="Heading3"/>
      </w:pPr>
      <w:bookmarkStart w:name="b_pregunta_p3v_17_donde_esta_la_241da960" w:id="5777"/>
      <w:r>
        <w:t xml:space="preserve">5.27 · Unidad 4 · 4.6 · Toma de decisiones: dónde está la explicación</w:t>
      </w:r>
      <w:bookmarkEnd w:id="5777"/>
    </w:p>
    <w:p>
      <w:pPr>
        <w:pStyle w:val="Normal"/>
      </w:pPr>
      <w:r>
        <w:t xml:space="preserve">Si un sistema produce una y otra vez el mismo resultado no deseado, ¿dónde busca un pensador sistémico la explicación?</w:t>
      </w:r>
    </w:p>
    <w:p>
      <w:pPr>
        <w:pStyle w:val="Fuente"/>
      </w:pPr>
      <w:r>
        <w:t xml:space="preserve">Ordinal de la fuente: 17 · variante editorial de la pregunta 9 de la evaluación.</w:t>
      </w:r>
    </w:p>
    <w:p>
      <w:pPr>
        <w:pStyle w:val="Normal"/>
      </w:pPr>
      <w:r>
        <w:t xml:space="preserve">a) En el último evento que desencadenó el resultado</w:t>
      </w:r>
    </w:p>
    <w:p>
      <w:pPr>
        <w:pStyle w:val="Normal"/>
      </w:pPr>
      <w:r>
        <w:t xml:space="preserve">b) En la persona que tomó la última decisión</w:t>
      </w:r>
    </w:p>
    <w:p>
      <w:pPr>
        <w:pStyle w:val="Normal"/>
      </w:pPr>
      <w:r>
        <w:t xml:space="preserve">c) En la estructura del sistema: sus partes y las relaciones entre ellas</w:t>
      </w:r>
    </w:p>
    <w:p>
      <w:pPr>
        <w:pStyle w:val="Normal"/>
      </w:pPr>
      <w:r>
        <w:t xml:space="preserve">d) En factores externos que nadie puede controlar</w:t>
      </w:r>
    </w:p>
    <w:p>
      <w:pPr>
        <w:pStyle w:val="Heading3"/>
      </w:pPr>
      <w:bookmarkStart w:name="b_solucion_p3v_17_donde_esta_la_f0eeea47" w:id="5778"/>
      <w:r>
        <w:t xml:space="preserve">Solución 5.27</w:t>
      </w:r>
      <w:bookmarkEnd w:id="5778"/>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c) En la estructura del sistema: sus partes y las relaciones entre ellas</w:t>
            </w:r>
          </w:p>
        </w:tc>
      </w:tr>
    </w:tbl>
    <w:p>
      <w:pPr>
        <w:pStyle w:val="Heading3"/>
      </w:pPr>
      <w:r>
        <w:t xml:space="preserve">Recuerde qué genera el comportamiento</w:t>
      </w:r>
    </w:p>
    <w:p>
      <w:pPr>
        <w:pStyle w:val="Normal"/>
      </w:pPr>
      <w:r>
        <w:t xml:space="preserve">La estructura: las partes del sistema y sus relaciones.</w:t>
      </w:r>
    </w:p>
    <w:p>
      <w:pPr>
        <w:pStyle w:val="Heading3"/>
      </w:pPr>
      <w:r>
        <w:t xml:space="preserve">Cambie la pregunta</w:t>
      </w:r>
    </w:p>
    <w:p>
      <w:pPr>
        <w:pStyle w:val="Normal"/>
      </w:pPr>
      <w:r>
        <w:t xml:space="preserve">No «¿Cuáles son las causas de…?», sino «¿Cuál es el sistema que produce…?».</w:t>
      </w:r>
    </w:p>
    <w:p>
      <w:pPr>
        <w:pStyle w:val="Heading3"/>
      </w:pPr>
      <w:r>
        <w:t xml:space="preserve">Descarte los eventos y los culpables</w:t>
      </w:r>
    </w:p>
    <w:p>
      <w:pPr>
        <w:pStyle w:val="Normal"/>
      </w:pPr>
      <w:r>
        <w:t xml:space="preserve">El último evento, la persona y los factores externos no explican por qué el resultado se repite.</w:t>
      </w:r>
    </w:p>
    <w:p>
      <w:pPr>
        <w:pStyle w:val="Fuente"/>
      </w:pPr>
      <w:r>
        <w:t xml:space="preserve">Opciones descartadas: a), b), d).</w:t>
      </w:r>
    </w:p>
    <w:p>
      <w:pPr>
        <w:pStyle w:val="Normal"/>
      </w:pPr>
      <w:r>
        <w:t xml:space="preserve">a) En el último evento que desencadenó el resultado — Los eventos son la punta del iceberg: se ven, pero no explican por qué el resultado se repite.</w:t>
      </w:r>
    </w:p>
    <w:p>
      <w:pPr>
        <w:pStyle w:val="Normal"/>
      </w:pPr>
      <w:r>
        <w:t xml:space="preserve">b) En la persona que tomó la última decisión — Es buscar culpables, y en la clase 16 el profesor dijo que el objetivo del pensador sistémico «no es buscar culpables».</w:t>
      </w:r>
    </w:p>
    <w:p>
      <w:pPr>
        <w:pStyle w:val="Normal"/>
      </w:pPr>
      <w:r>
        <w:t xml:space="preserve">c) En la estructura del sistema: sus partes y las relaciones entre ellas — Correcta: «los sistemas están perfectamente diseñados para producir los resultados que obtienen»: la estructura genera el comportamiento.</w:t>
      </w:r>
    </w:p>
    <w:p>
      <w:pPr>
        <w:pStyle w:val="Normal"/>
      </w:pPr>
      <w:r>
        <w:t xml:space="preserve">d) En factores externos que nadie puede controlar — Atribuir el resultado a lo que nadie controla deja la estructura sin examinar; el pensador sistémico pregunta «¿Cuál es el sistema que produce…?».</w:t>
      </w:r>
    </w:p>
    <w:p>
      <w:pPr>
        <w:pStyle w:val="Normal"/>
      </w:pPr>
      <w:r>
        <w:t xml:space="preserve">Criterio de resolución: El hábito 3, «Reconoce que la estructura de un sistema genera su comportamiento», responde la pregunta: si el resultado se repite, lo produce la estructura. La presentación de la unidad 3 lo resume en que «los sistemas están perfectamente diseñados para producir los resultados que obtienen», y la lámina 24 de la presentación 4b cambia la pregunta causal, «¿Cuáles son las causas de…?», por la sistémica, «¿Cuál es el sistema que produce…?».</w:t>
      </w:r>
    </w:p>
    <w:p>
      <w:pPr>
        <w:pStyle w:val="Normal"/>
      </w:pPr>
      <w:r>
        <w:t xml:space="preserve">Defensa: Un resultado que se repite es un patrón, y el curso enseña que lo genera la estructura: lo dicen la presentación de la unidad 3, pág. 91, y la lámina 24 de la presentación 4b.</w:t>
      </w:r>
    </w:p>
    <w:p>
      <w:pPr>
        <w:pStyle w:val="Fuente"/>
      </w:pPr>
      <w:r>
        <w:t xml:space="preserve">Material de la unidad 3, págs. 90 y 91 · Presentación 4b (C-4), lámina 24 · Clase 16 · 00:21:29–00:21:55</w:t>
      </w:r>
    </w:p>
    <w:p>
      <w:pPr>
        <w:pStyle w:val="Heading3"/>
      </w:pPr>
      <w:bookmarkStart w:name="b_pregunta_p3v_18_el_problema_que_vuelve" w:id="5779"/>
      <w:r>
        <w:t xml:space="preserve">5.28 · Unidad 4 · 4.6 · Toma de decisiones: el problema que vuelve</w:t>
      </w:r>
      <w:bookmarkEnd w:id="5779"/>
    </w:p>
    <w:p>
      <w:pPr>
        <w:pStyle w:val="Normal"/>
      </w:pPr>
      <w:r>
        <w:t xml:space="preserve">Un problema vuelve a aparecer cada vez que se aplica la solución que lo alivia. ¿Qué hace un pensador sistémico?</w:t>
      </w:r>
    </w:p>
    <w:p>
      <w:pPr>
        <w:pStyle w:val="Fuente"/>
      </w:pPr>
      <w:r>
        <w:t xml:space="preserve">Ordinal de la fuente: 18 · variante editorial de la pregunta 9 de la evaluación.</w:t>
      </w:r>
    </w:p>
    <w:p>
      <w:pPr>
        <w:pStyle w:val="Normal"/>
      </w:pPr>
      <w:r>
        <w:t xml:space="preserve">a) Aplica la misma solución con más fuerza o con más frecuencia</w:t>
      </w:r>
    </w:p>
    <w:p>
      <w:pPr>
        <w:pStyle w:val="Normal"/>
      </w:pPr>
      <w:r>
        <w:t xml:space="preserve">b) Busca al responsable del problema para que no vuelva a pasar</w:t>
      </w:r>
    </w:p>
    <w:p>
      <w:pPr>
        <w:pStyle w:val="Normal"/>
      </w:pPr>
      <w:r>
        <w:t xml:space="preserve">c) Revisa las consecuencias no intencionadas de la solución y la estructura que mantiene el problema, y cambia las conexiones necesarias</w:t>
      </w:r>
    </w:p>
    <w:p>
      <w:pPr>
        <w:pStyle w:val="Normal"/>
      </w:pPr>
      <w:r>
        <w:t xml:space="preserve">d) Elimina el síntoma lo antes posible y deja el problema de fondo para después</w:t>
      </w:r>
    </w:p>
    <w:p>
      <w:pPr>
        <w:pStyle w:val="Heading3"/>
      </w:pPr>
      <w:bookmarkStart w:name="b_solucion_p3v_18_el_problema_que_vuelve" w:id="5780"/>
      <w:r>
        <w:t xml:space="preserve">Solución 5.28</w:t>
      </w:r>
      <w:bookmarkEnd w:id="5780"/>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c) Revisa las consecuencias no intencionadas de la solución y la estructura que mantiene el problema, y cambia las conexiones necesarias</w:t>
            </w:r>
          </w:p>
        </w:tc>
      </w:tr>
    </w:tbl>
    <w:p>
      <w:pPr>
        <w:pStyle w:val="Heading3"/>
      </w:pPr>
      <w:r>
        <w:t xml:space="preserve">Reconozca el arquetipo</w:t>
      </w:r>
    </w:p>
    <w:p>
      <w:pPr>
        <w:pStyle w:val="Normal"/>
      </w:pPr>
      <w:r>
        <w:t xml:space="preserve">Alivio inmediato y problema que vuelve: soluciones rápidas que fallan.</w:t>
      </w:r>
    </w:p>
    <w:p>
      <w:pPr>
        <w:pStyle w:val="Heading3"/>
      </w:pPr>
      <w:r>
        <w:t xml:space="preserve">Descarte los remedios que lo alimentan</w:t>
      </w:r>
    </w:p>
    <w:p>
      <w:pPr>
        <w:pStyle w:val="Normal"/>
      </w:pPr>
      <w:r>
        <w:t xml:space="preserve">Insistir en la solución agrava el problema, y posponer el fondo desplaza la solución fundamental.</w:t>
      </w:r>
    </w:p>
    <w:p>
      <w:pPr>
        <w:pStyle w:val="Fuente"/>
      </w:pPr>
      <w:r>
        <w:t xml:space="preserve">Opciones descartadas: a), d).</w:t>
      </w:r>
    </w:p>
    <w:p>
      <w:pPr>
        <w:pStyle w:val="Heading3"/>
      </w:pPr>
      <w:r>
        <w:t xml:space="preserve">Descarte la búsqueda de culpables</w:t>
      </w:r>
    </w:p>
    <w:p>
      <w:pPr>
        <w:pStyle w:val="Normal"/>
      </w:pPr>
      <w:r>
        <w:t xml:space="preserve">El pensador sistémico comprende la estructura antes de buscar responsables.</w:t>
      </w:r>
    </w:p>
    <w:p>
      <w:pPr>
        <w:pStyle w:val="Fuente"/>
      </w:pPr>
      <w:r>
        <w:t xml:space="preserve">Opciones descartadas: b).</w:t>
      </w:r>
    </w:p>
    <w:p>
      <w:pPr>
        <w:pStyle w:val="Normal"/>
      </w:pPr>
      <w:r>
        <w:t xml:space="preserve">a) Aplica la misma solución con más fuerza o con más frecuencia — Es el arquetipo «Soluciones rápidas que fallan»: el alivio es el ciclo de balance, y la consecuencia no intencionada, el refuerzo que agrava el problema.</w:t>
      </w:r>
    </w:p>
    <w:p>
      <w:pPr>
        <w:pStyle w:val="Normal"/>
      </w:pPr>
      <w:r>
        <w:t xml:space="preserve">b) Busca al responsable del problema para que no vuelva a pasar — Buscar culpables es pensamiento lineal: en la clase 16 el profesor dijo que el objetivo del pensador sistémico «no es buscar culpables».</w:t>
      </w:r>
    </w:p>
    <w:p>
      <w:pPr>
        <w:pStyle w:val="Normal"/>
      </w:pPr>
      <w:r>
        <w:t xml:space="preserve">c) Revisa las consecuencias no intencionadas de la solución y la estructura que mantiene el problema, y cambia las conexiones necesarias — Correcta: el problema que vuelve señala un ciclo que la propia solución alimenta, y el comportamiento se cambia cambiando la estructura.</w:t>
      </w:r>
    </w:p>
    <w:p>
      <w:pPr>
        <w:pStyle w:val="Normal"/>
      </w:pPr>
      <w:r>
        <w:t xml:space="preserve">d) Elimina el síntoma lo antes posible y deja el problema de fondo para después — Es el desplazamiento de la carga: la solución sintomática desplaza a la fundamental, que llega con demora.</w:t>
      </w:r>
    </w:p>
    <w:p>
      <w:pPr>
        <w:pStyle w:val="Normal"/>
      </w:pPr>
      <w:r>
        <w:t xml:space="preserve">Criterio de resolución: Un problema que reaparece tras cada alivio es la señal del arquetipo «Soluciones rápidas que fallan», de la lámina 5 de la presentación 4b: la solución alivia el síntoma a corto plazo, y su consecuencia no intencionada lo agrava a largo plazo, como lamerse los labios agrietados de la lámina 6. El pensador sistémico no insiste en el alivio ni busca culpables: identifica las conexiones que sostienen el problema y cambia las necesarias, como en la pregunta 9 de la evaluación.</w:t>
      </w:r>
    </w:p>
    <w:p>
      <w:pPr>
        <w:pStyle w:val="Normal"/>
      </w:pPr>
      <w:r>
        <w:t xml:space="preserve">Defensa: La lámina 5 de la presentación 4b describe el arquetipo de las soluciones rápidas que fallan, y la pregunta 9 de la evaluación da la regla: el comportamiento se cambia cambiando las conexiones del sistema.</w:t>
      </w:r>
    </w:p>
    <w:p>
      <w:pPr>
        <w:pStyle w:val="Fuente"/>
      </w:pPr>
      <w:r>
        <w:t xml:space="preserve">Presentación 4b (C-4), láminas 5, 6, 7 y 15 · Clase 16 · 00:21:29–00:21:55</w:t>
      </w:r>
    </w:p>
    <w:p>
      <w:pPr>
        <w:pStyle w:val="Heading3"/>
      </w:pPr>
      <w:bookmarkStart w:name="b_pregunta_p3v_19_saldo_lineal__03197c15" w:id="5781"/>
      <w:r>
        <w:t xml:space="preserve">5.29 · Unidad 4 · 4.2 · Flujos y niveles: el saldo que baja</w:t>
      </w:r>
      <w:bookmarkEnd w:id="5781"/>
    </w:p>
    <w:p>
      <w:pPr>
        <w:pStyle w:val="Normal"/>
      </w:pPr>
      <w:r>
        <w:t xml:space="preserve">Considerando el siguiente modelo de flujos y niveles sobre el saldo de una cuenta bancaria de ahorros, ¿qué patrón de comportamiento tiene el nivel del saldo cuando los depósitos son un valor constante de Q 50.00 al mes y los gastos son un valor constante de Q 100.00 al mes, para un saldo inicial de Q 1,000.00?</w:t>
      </w:r>
    </w:p>
    <w:p>
      <w:pPr>
        <w:pStyle w:val="Fuente"/>
      </w:pPr>
      <w:r>
        <w:t xml:space="preserve">Ordinal de la fuente: 19 · variante editorial de la pregunta 10 de la evaluación.</w:t>
      </w:r>
    </w:p>
    <w:p>
      <w:pPr>
        <w:keepNext/>
        <w:spacing w:after="40" w:before="150"/>
        <w:jc w:val="center"/>
      </w:pPr>
      <w:bookmarkStart w:name="b_figura_original_p3v_19_saldo__cb342764" w:id="5782"/>
      <w:bookmarkEnd w:id="5782"/>
      <w:r>
        <w:drawing>
          <wp:inline distT="0" distB="0" distL="0" distR="0">
            <wp:extent cx="5381625" cy="923925"/>
            <wp:effectExtent t="0" r="0" b="0" l="0"/>
            <wp:docPr id="258" name="p3v-19-saldo-lineal-decreciente-enunciado" descr="lectura L-16, pág. 12 · Presentación 4a (C-3), láminas 26 y 43" title="Unidad 4 · 4.2 · Flujos y niveles: el saldo que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21" cstate="none"/>
                    <a:srcRect/>
                    <a:stretch>
                      <a:fillRect/>
                    </a:stretch>
                  </pic:blipFill>
                  <pic:spPr bwMode="auto">
                    <a:xfrm>
                      <a:off x="0" y="0"/>
                      <a:ext cx="5381625" cy="923925"/>
                    </a:xfrm>
                    <a:prstGeom prst="rect">
                      <a:avLst/>
                    </a:prstGeom>
                  </pic:spPr>
                </pic:pic>
              </a:graphicData>
            </a:graphic>
          </wp:inline>
        </w:drawing>
      </w:r>
    </w:p>
    <w:p>
      <w:pPr>
        <w:pStyle w:val="PieFigura"/>
        <w:keepNext/>
      </w:pPr>
      <w:bookmarkStart w:name="b_fig_V5_3" w:id="5783"/>
      <w:r>
        <w:t xml:space="preserve">Figura V5.</w:t>
      </w:r>
      <w:fldSimple w:instr="SEQ Figura \n \* ARABIC">
        <w:r>
          <w:t xml:space="preserve">3</w:t>
        </w:r>
      </w:fldSimple>
      <w:r>
        <w:t xml:space="preserve"> · Unidad 4 · 4.2 · Flujos y niveles: el saldo que baja</w:t>
      </w:r>
      <w:bookmarkEnd w:id="5783"/>
    </w:p>
    <w:p>
      <w:pPr>
        <w:pStyle w:val="Fuente"/>
      </w:pPr>
      <w:r>
        <w:t xml:space="preserve">lectura L-16, pág. 12 · Presentación 4a (C-3), láminas 26 y 43</w:t>
      </w:r>
    </w:p>
    <w:p>
      <w:pPr>
        <w:pStyle w:val="Normal"/>
      </w:pPr>
      <w:r>
        <w:t xml:space="preserve">a) Lineal creciente</w:t>
      </w:r>
    </w:p>
    <w:p>
      <w:pPr>
        <w:pStyle w:val="Normal"/>
      </w:pPr>
      <w:r>
        <w:t xml:space="preserve">b) Exponencial decreciente</w:t>
      </w:r>
    </w:p>
    <w:p>
      <w:pPr>
        <w:pStyle w:val="Normal"/>
      </w:pPr>
      <w:r>
        <w:t xml:space="preserve">c) Lineal decreciente</w:t>
      </w:r>
    </w:p>
    <w:p>
      <w:pPr>
        <w:pStyle w:val="Normal"/>
      </w:pPr>
      <w:r>
        <w:t xml:space="preserve">d) Oscilatorio alrededor de Q 1,000.00</w:t>
      </w:r>
    </w:p>
    <w:p>
      <w:pPr>
        <w:pStyle w:val="Heading3"/>
      </w:pPr>
      <w:bookmarkStart w:name="b_solucion_p3v_19_saldo_lineal__4d0e66cf" w:id="5784"/>
      <w:r>
        <w:t xml:space="preserve">Solución 5.29</w:t>
      </w:r>
      <w:bookmarkEnd w:id="5784"/>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c) Lineal decreciente</w:t>
            </w:r>
          </w:p>
        </w:tc>
      </w:tr>
    </w:tbl>
    <w:p>
      <w:pPr>
        <w:pStyle w:val="Heading3"/>
      </w:pPr>
      <w:r>
        <w:t xml:space="preserve">Calcule el flujo neto</w:t>
      </w:r>
    </w:p>
    <w:p>
      <w:pPr>
        <w:pStyle w:val="Normal"/>
      </w:pPr>
      <w:r>
        <w:t xml:space="preserve">Entran 50 y salen 100 por mes: el saldo cambia −50 por mes, siempre lo mismo.</w:t>
      </w:r>
    </w:p>
    <w:p>
      <w:pPr>
        <w:pStyle w:val="Heading3"/>
      </w:pPr>
      <w:r>
        <w:t xml:space="preserve">Acumule en el tiempo</w:t>
      </w:r>
    </w:p>
    <w:p>
      <w:pPr>
        <w:pStyle w:val="Normal"/>
      </w:pPr>
      <w:r>
        <w:t xml:space="preserve">Saldo(t) = 1000 − 50t: una recta que baja hasta cero en el mes 20.</w:t>
      </w:r>
    </w:p>
    <w:p>
      <w:pPr>
        <w:pStyle w:val="Heading3"/>
      </w:pPr>
      <w:r>
        <w:t xml:space="preserve">Descarte las demás curvas</w:t>
      </w:r>
    </w:p>
    <w:p>
      <w:pPr>
        <w:pStyle w:val="Normal"/>
      </w:pPr>
      <w:r>
        <w:t xml:space="preserve">Para crecer harían falta más depósitos que gastos, y la exponencial y la oscilación necesitan un flujo que dependa del saldo; aquí ninguno depende.</w:t>
      </w:r>
    </w:p>
    <w:p>
      <w:pPr>
        <w:pStyle w:val="Fuente"/>
      </w:pPr>
      <w:r>
        <w:t xml:space="preserve">Opciones descartadas: a), b), d).</w:t>
      </w:r>
    </w:p>
    <w:p>
      <w:pPr>
        <w:pStyle w:val="Normal"/>
      </w:pPr>
      <w:r>
        <w:t xml:space="preserve">a) Lineal creciente — Sería lineal creciente si los depósitos superaran a los gastos, como en la pregunta 10 de la evaluación.</w:t>
      </w:r>
    </w:p>
    <w:p>
      <w:pPr>
        <w:pStyle w:val="Normal"/>
      </w:pPr>
      <w:r>
        <w:t xml:space="preserve">b) Exponencial decreciente — Un decrecimiento exponencial pide un flujo de salida proporcional al saldo; aquí los gastos son constantes.</w:t>
      </w:r>
    </w:p>
    <w:p>
      <w:pPr>
        <w:pStyle w:val="Normal"/>
      </w:pPr>
      <w:r>
        <w:t xml:space="preserve">c) Lineal decreciente — Correcta: el saldo baja 50 cada mes, Saldo(t) = 1000 − 50t, una recta de pendiente negativa constante.</w:t>
      </w:r>
    </w:p>
    <w:p>
      <w:pPr>
        <w:pStyle w:val="Normal"/>
      </w:pPr>
      <w:r>
        <w:t xml:space="preserve">d) Oscilatorio alrededor de Q 1,000.00 — Nada hace volver el saldo: con flujos constantes no hay un ciclo de balance ni una demora.</w:t>
      </w:r>
    </w:p>
    <w:p>
      <w:pPr>
        <w:pStyle w:val="Normal"/>
      </w:pPr>
      <w:r>
        <w:t xml:space="preserve">Criterio de resolución: El nivel acumula la diferencia entre lo que entra y lo que sale: dSaldo/dt = 50 − 100 = −50 quetzales por mes. Con el saldo inicial de 1,000, Saldo(t) = 1000 − 50t: 950 al primer mes, 400 al año y cero en el mes 20. Es el crecimiento simple de la lámina 43 de la presentación 4a, con el flujo neto negativo.</w:t>
      </w:r>
    </w:p>
    <w:p>
      <w:pPr>
        <w:pStyle w:val="Normal"/>
      </w:pPr>
      <w:r>
        <w:t xml:space="preserve">Defensa: Con flujos constantes el nivel cambia a ritmo constante; como salen 50 quetzales más de los que entran, el saldo decrece en línea recta.</w:t>
      </w:r>
    </w:p>
    <w:p>
      <w:pPr>
        <w:pStyle w:val="Fuente"/>
      </w:pPr>
      <w:r>
        <w:t xml:space="preserve">lectura L-16, pág. 12 · Presentación 4a (C-3), láminas 26 y 43</w:t>
      </w:r>
    </w:p>
    <w:p>
      <w:pPr>
        <w:pStyle w:val="Heading3"/>
      </w:pPr>
      <w:bookmarkStart w:name="b_pregunta_p3v_20_gastos_propor_900a830c" w:id="5785"/>
      <w:r>
        <w:t xml:space="preserve">5.30 · Unidad 4 · 4.2 · Flujos y niveles: gastos proporcionales al saldo</w:t>
      </w:r>
      <w:bookmarkEnd w:id="5785"/>
    </w:p>
    <w:p>
      <w:pPr>
        <w:pStyle w:val="Normal"/>
      </w:pPr>
      <w:r>
        <w:t xml:space="preserve">En una cuenta de ahorros con un saldo inicial de Q 1,000.00 ya no entran depósitos, y los gastos de cada mes son el 10 % del saldo de ese mes. ¿Qué patrón de comportamiento tiene el nivel del saldo?</w:t>
      </w:r>
    </w:p>
    <w:p>
      <w:pPr>
        <w:pStyle w:val="Fuente"/>
      </w:pPr>
      <w:r>
        <w:t xml:space="preserve">Ordinal de la fuente: 20 · variante editorial de la pregunta 10 de la evaluación.</w:t>
      </w:r>
    </w:p>
    <w:p>
      <w:pPr>
        <w:pStyle w:val="Normal"/>
      </w:pPr>
      <w:r>
        <w:t xml:space="preserve">a) Lineal decreciente</w:t>
      </w:r>
    </w:p>
    <w:p>
      <w:pPr>
        <w:pStyle w:val="Normal"/>
      </w:pPr>
      <w:r>
        <w:t xml:space="preserve">b) Oscilatorio alrededor de Q 1,000.00</w:t>
      </w:r>
    </w:p>
    <w:p>
      <w:pPr>
        <w:pStyle w:val="Normal"/>
      </w:pPr>
      <w:r>
        <w:t xml:space="preserve">c) Exponencial decreciente</w:t>
      </w:r>
    </w:p>
    <w:p>
      <w:pPr>
        <w:pStyle w:val="Normal"/>
      </w:pPr>
      <w:r>
        <w:t xml:space="preserve">d) Lineal creciente</w:t>
      </w:r>
    </w:p>
    <w:p>
      <w:pPr>
        <w:pStyle w:val="Heading3"/>
      </w:pPr>
      <w:bookmarkStart w:name="b_solucion_p3v_20_gastos_propor_19aa31e7" w:id="5786"/>
      <w:r>
        <w:t xml:space="preserve">Solución 5.30</w:t>
      </w:r>
      <w:bookmarkEnd w:id="5786"/>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c) Exponencial decreciente</w:t>
            </w:r>
          </w:p>
        </w:tc>
      </w:tr>
    </w:tbl>
    <w:p>
      <w:pPr>
        <w:pStyle w:val="Heading3"/>
      </w:pPr>
      <w:r>
        <w:t xml:space="preserve">Vea de qué depende el flujo</w:t>
      </w:r>
    </w:p>
    <w:p>
      <w:pPr>
        <w:pStyle w:val="Normal"/>
      </w:pPr>
      <w:r>
        <w:t xml:space="preserve">Los gastos son el 10 % del saldo: el flujo de salida depende del nivel, y hay realimentación.</w:t>
      </w:r>
    </w:p>
    <w:p>
      <w:pPr>
        <w:pStyle w:val="Heading3"/>
      </w:pPr>
      <w:r>
        <w:t xml:space="preserve">Calcule unos meses</w:t>
      </w:r>
    </w:p>
    <w:p>
      <w:pPr>
        <w:pStyle w:val="Normal"/>
      </w:pPr>
      <w:r>
        <w:t xml:space="preserve">1000, 900, 810, 729: cada mes se pierde el 10 % de lo que queda, cada vez menos quetzales.</w:t>
      </w:r>
    </w:p>
    <w:p>
      <w:pPr>
        <w:pStyle w:val="Heading3"/>
      </w:pPr>
      <w:r>
        <w:t xml:space="preserve">Descarte las rectas y la oscilación</w:t>
      </w:r>
    </w:p>
    <w:p>
      <w:pPr>
        <w:pStyle w:val="Normal"/>
      </w:pPr>
      <w:r>
        <w:t xml:space="preserve">Una recta pide flujos constantes, y la oscilación, una demora en el balance.</w:t>
      </w:r>
    </w:p>
    <w:p>
      <w:pPr>
        <w:pStyle w:val="Fuente"/>
      </w:pPr>
      <w:r>
        <w:t xml:space="preserve">Opciones descartadas: a), b), d).</w:t>
      </w:r>
    </w:p>
    <w:p>
      <w:pPr>
        <w:pStyle w:val="Normal"/>
      </w:pPr>
      <w:r>
        <w:t xml:space="preserve">a) Lineal decreciente — Sería lineal si los gastos fueran una cantidad fija; aquí bajan con el saldo, así que cada mes se gasta menos.</w:t>
      </w:r>
    </w:p>
    <w:p>
      <w:pPr>
        <w:pStyle w:val="Normal"/>
      </w:pPr>
      <w:r>
        <w:t xml:space="preserve">b) Oscilatorio alrededor de Q 1,000.00 — Una oscilación necesita un ciclo de balance con demora; aquí el saldo baja cada vez más despacio, sin pasarse ni volver.</w:t>
      </w:r>
    </w:p>
    <w:p>
      <w:pPr>
        <w:pStyle w:val="Normal"/>
      </w:pPr>
      <w:r>
        <w:t xml:space="preserve">c) Exponencial decreciente — Correcta: cada mes queda el 90 % del saldo anterior: 1000, 900, 810, 729…, una caída cada vez más lenta hacia cero.</w:t>
      </w:r>
    </w:p>
    <w:p>
      <w:pPr>
        <w:pStyle w:val="Normal"/>
      </w:pPr>
      <w:r>
        <w:t xml:space="preserve">d) Lineal creciente — Sin depósitos, nada hace crecer el saldo.</w:t>
      </w:r>
    </w:p>
    <w:p>
      <w:pPr>
        <w:pStyle w:val="Normal"/>
      </w:pPr>
      <w:r>
        <w:t xml:space="preserve">Criterio de resolución: Ahora el flujo de salida depende del nivel: Gastos = 0,1 × Saldo. Es un ciclo de balance que lleva el saldo hacia cero: cuanto menos queda, menos se gasta. Mes a mes, Saldo(t) = 1000 × 0,9^t, una curva exponencial decreciente como el decrecimiento con retroalimentación de la lámina 49 de la presentación 4a, donde la salida, proporcional al stock, supera a la entrada.</w:t>
      </w:r>
    </w:p>
    <w:p>
      <w:pPr>
        <w:pStyle w:val="Normal"/>
      </w:pPr>
      <w:r>
        <w:t xml:space="preserve">Defensa: Un flujo de salida proporcional al nivel produce un decrecimiento exponencial: la lámina 49 de la presentación 4a lo muestra con S(t) = 1000·e^(−0,01·t).</w:t>
      </w:r>
    </w:p>
    <w:p>
      <w:pPr>
        <w:pStyle w:val="Fuente"/>
        <w:sectPr>
          <w:headerReference w:type="default" r:id="rId294"/>
          <w:headerReference w:type="first" r:id="rId295"/>
          <w:headerReference w:type="even" r:id="rId296"/>
          <w:footerReference w:type="default" r:id="rId297"/>
          <w:footerReference w:type="first" r:id="rId298"/>
          <w:footerReference w:type="even" r:id="rId299"/>
          <w:type w:val="nextPage"/>
          <w:pgSz w:w="12240" w:h="15840" w:orient="portrait"/>
          <w:pgMar w:top="1361" w:right="1134" w:bottom="1361" w:left="1474" w:header="650" w:footer="680" w:gutter="0"/>
          <w:pgNumType/>
          <w:titlePg/>
          <w:docGrid w:linePitch="360"/>
        </w:sectPr>
      </w:pPr>
      <w:r>
        <w:t xml:space="preserve">Presentación 4a (C-3), láminas 42 y 49 · lectura L-16, pág. 12</w:t>
      </w:r>
    </w:p>
    <w:p>
      <w:pPr>
        <w:pStyle w:val="Heading2"/>
      </w:pPr>
      <w:bookmarkStart w:name="b_ex_d3" w:id="5787"/>
      <w:r>
        <w:t xml:space="preserve">Desarrollo del tercer parcial</w:t>
      </w:r>
      <w:bookmarkEnd w:id="5787"/>
    </w:p>
    <w:p>
      <w:pPr>
        <w:pStyle w:val="Normal"/>
      </w:pPr>
      <w:r>
        <w:t xml:space="preserve">Trece problemas editoriales con modelos, rúbrica y remisiones a las recetas reproducibles del apéndice.</w:t>
      </w:r>
    </w:p>
    <w:p>
      <w:pPr>
        <w:pStyle w:val="Heading3"/>
      </w:pPr>
      <w:r>
        <w:t xml:space="preserve">Clave rápida</w:t>
      </w:r>
    </w:p>
    <w:tbl>
      <w:tblPr>
        <w:tblW w:type="dxa" w:w="9632"/>
        <w:tblBorders>
          <w:top w:val="single" w:color="C5D5DB" w:sz="4"/>
          <w:left w:val="single" w:color="C5D5DB" w:sz="4"/>
          <w:bottom w:val="single" w:color="C5D5DB" w:sz="4"/>
          <w:right w:val="single" w:color="C5D5DB" w:sz="4"/>
          <w:insideH w:val="single" w:color="E4E9EB" w:sz="3"/>
          <w:insideV w:val="single" w:color="E4E9EB" w:sz="3"/>
        </w:tblBorders>
        <w:tblLayout w:type="fixed"/>
      </w:tblPr>
      <w:tblGrid>
        <w:gridCol w:w="4816"/>
        <w:gridCol w:w="4816"/>
      </w:tblGrid>
      <w:tr>
        <w:trPr>
          <w:cantSplit/>
          <w:tblHeader/>
        </w:trPr>
        <w:tc>
          <w:tcPr>
            <w:tcW w:type="dxa" w:w="4816"/>
            <w:shd w:fill="DFEAF0" w:val="clear"/>
            <w:tcMar>
              <w:top w:type="dxa" w:w="80"/>
              <w:left w:type="dxa" w:w="100"/>
              <w:bottom w:type="dxa" w:w="80"/>
              <w:right w:type="dxa" w:w="100"/>
            </w:tcMar>
          </w:tcPr>
          <w:p>
            <w:pPr>
              <w:pStyle w:val="Tabla"/>
            </w:pPr>
            <w:r>
              <w:rPr>
                <w:b/>
                <w:bCs/>
              </w:rPr>
              <w:t xml:space="preserve">Pregunta</w:t>
            </w:r>
          </w:p>
        </w:tc>
        <w:tc>
          <w:tcPr>
            <w:tcW w:type="dxa" w:w="4816"/>
            <w:shd w:fill="DFEAF0" w:val="clear"/>
            <w:tcMar>
              <w:top w:type="dxa" w:w="80"/>
              <w:left w:type="dxa" w:w="100"/>
              <w:bottom w:type="dxa" w:w="80"/>
              <w:right w:type="dxa" w:w="100"/>
            </w:tcMar>
          </w:tcPr>
          <w:p>
            <w:pPr>
              <w:pStyle w:val="Tabla"/>
            </w:pPr>
            <w:r>
              <w:rPr>
                <w:b/>
                <w:bCs/>
              </w:rPr>
              <w:t xml:space="preserve">Clave o tipo de respuesta</w:t>
            </w:r>
          </w:p>
        </w:tc>
      </w:tr>
      <w:tr>
        <w:trPr>
          <w:cantSplit/>
          <w:tblHeader w:val="off"/>
        </w:trPr>
        <w:tc>
          <w:tcPr>
            <w:tcW w:type="dxa" w:w="4816"/>
            <w:tcMar>
              <w:top w:type="dxa" w:w="80"/>
              <w:left w:type="dxa" w:w="100"/>
              <w:bottom w:type="dxa" w:w="80"/>
              <w:right w:type="dxa" w:w="100"/>
            </w:tcMar>
          </w:tcPr>
          <w:p>
            <w:pPr>
              <w:pStyle w:val="Tabla"/>
            </w:pPr>
            <w:r>
              <w:t xml:space="preserve">1</w:t>
            </w:r>
          </w:p>
        </w:tc>
        <w:tc>
          <w:tcPr>
            <w:tcW w:type="dxa" w:w="4816"/>
            <w:tcMar>
              <w:top w:type="dxa" w:w="80"/>
              <w:left w:type="dxa" w:w="100"/>
              <w:bottom w:type="dxa" w:w="80"/>
              <w:right w:type="dxa" w:w="100"/>
            </w:tcMar>
          </w:tcPr>
          <w:p>
            <w:pPr>
              <w:pStyle w:val="Tabla"/>
            </w:pPr>
            <w:r>
              <w:t xml:space="preserve">Desarrollo: respuesta modelo y rúbrica a continuación</w:t>
            </w:r>
          </w:p>
        </w:tc>
      </w:tr>
      <w:tr>
        <w:trPr>
          <w:cantSplit/>
          <w:tblHeader w:val="off"/>
        </w:trPr>
        <w:tc>
          <w:tcPr>
            <w:tcW w:type="dxa" w:w="4816"/>
            <w:tcMar>
              <w:top w:type="dxa" w:w="80"/>
              <w:left w:type="dxa" w:w="100"/>
              <w:bottom w:type="dxa" w:w="80"/>
              <w:right w:type="dxa" w:w="100"/>
            </w:tcMar>
          </w:tcPr>
          <w:p>
            <w:pPr>
              <w:pStyle w:val="Tabla"/>
            </w:pPr>
            <w:r>
              <w:t xml:space="preserve">2</w:t>
            </w:r>
          </w:p>
        </w:tc>
        <w:tc>
          <w:tcPr>
            <w:tcW w:type="dxa" w:w="4816"/>
            <w:tcMar>
              <w:top w:type="dxa" w:w="80"/>
              <w:left w:type="dxa" w:w="100"/>
              <w:bottom w:type="dxa" w:w="80"/>
              <w:right w:type="dxa" w:w="100"/>
            </w:tcMar>
          </w:tcPr>
          <w:p>
            <w:pPr>
              <w:pStyle w:val="Tabla"/>
            </w:pPr>
            <w:r>
              <w:t xml:space="preserve">Desarrollo: respuesta modelo y rúbrica a continuación</w:t>
            </w:r>
          </w:p>
        </w:tc>
      </w:tr>
      <w:tr>
        <w:trPr>
          <w:cantSplit/>
          <w:tblHeader w:val="off"/>
        </w:trPr>
        <w:tc>
          <w:tcPr>
            <w:tcW w:type="dxa" w:w="4816"/>
            <w:tcMar>
              <w:top w:type="dxa" w:w="80"/>
              <w:left w:type="dxa" w:w="100"/>
              <w:bottom w:type="dxa" w:w="80"/>
              <w:right w:type="dxa" w:w="100"/>
            </w:tcMar>
          </w:tcPr>
          <w:p>
            <w:pPr>
              <w:pStyle w:val="Tabla"/>
            </w:pPr>
            <w:r>
              <w:t xml:space="preserve">3</w:t>
            </w:r>
          </w:p>
        </w:tc>
        <w:tc>
          <w:tcPr>
            <w:tcW w:type="dxa" w:w="4816"/>
            <w:tcMar>
              <w:top w:type="dxa" w:w="80"/>
              <w:left w:type="dxa" w:w="100"/>
              <w:bottom w:type="dxa" w:w="80"/>
              <w:right w:type="dxa" w:w="100"/>
            </w:tcMar>
          </w:tcPr>
          <w:p>
            <w:pPr>
              <w:pStyle w:val="Tabla"/>
            </w:pPr>
            <w:r>
              <w:t xml:space="preserve">Desarrollo: respuesta modelo y rúbrica a continuación</w:t>
            </w:r>
          </w:p>
        </w:tc>
      </w:tr>
      <w:tr>
        <w:trPr>
          <w:cantSplit/>
          <w:tblHeader w:val="off"/>
        </w:trPr>
        <w:tc>
          <w:tcPr>
            <w:tcW w:type="dxa" w:w="4816"/>
            <w:tcMar>
              <w:top w:type="dxa" w:w="80"/>
              <w:left w:type="dxa" w:w="100"/>
              <w:bottom w:type="dxa" w:w="80"/>
              <w:right w:type="dxa" w:w="100"/>
            </w:tcMar>
          </w:tcPr>
          <w:p>
            <w:pPr>
              <w:pStyle w:val="Tabla"/>
            </w:pPr>
            <w:r>
              <w:t xml:space="preserve">4</w:t>
            </w:r>
          </w:p>
        </w:tc>
        <w:tc>
          <w:tcPr>
            <w:tcW w:type="dxa" w:w="4816"/>
            <w:tcMar>
              <w:top w:type="dxa" w:w="80"/>
              <w:left w:type="dxa" w:w="100"/>
              <w:bottom w:type="dxa" w:w="80"/>
              <w:right w:type="dxa" w:w="100"/>
            </w:tcMar>
          </w:tcPr>
          <w:p>
            <w:pPr>
              <w:pStyle w:val="Tabla"/>
            </w:pPr>
            <w:r>
              <w:t xml:space="preserve">Desarrollo: respuesta modelo y rúbrica a continuación</w:t>
            </w:r>
          </w:p>
        </w:tc>
      </w:tr>
      <w:tr>
        <w:trPr>
          <w:cantSplit/>
          <w:tblHeader w:val="off"/>
        </w:trPr>
        <w:tc>
          <w:tcPr>
            <w:tcW w:type="dxa" w:w="4816"/>
            <w:tcMar>
              <w:top w:type="dxa" w:w="80"/>
              <w:left w:type="dxa" w:w="100"/>
              <w:bottom w:type="dxa" w:w="80"/>
              <w:right w:type="dxa" w:w="100"/>
            </w:tcMar>
          </w:tcPr>
          <w:p>
            <w:pPr>
              <w:pStyle w:val="Tabla"/>
            </w:pPr>
            <w:r>
              <w:t xml:space="preserve">5</w:t>
            </w:r>
          </w:p>
        </w:tc>
        <w:tc>
          <w:tcPr>
            <w:tcW w:type="dxa" w:w="4816"/>
            <w:tcMar>
              <w:top w:type="dxa" w:w="80"/>
              <w:left w:type="dxa" w:w="100"/>
              <w:bottom w:type="dxa" w:w="80"/>
              <w:right w:type="dxa" w:w="100"/>
            </w:tcMar>
          </w:tcPr>
          <w:p>
            <w:pPr>
              <w:pStyle w:val="Tabla"/>
            </w:pPr>
            <w:r>
              <w:t xml:space="preserve">Desarrollo: respuesta modelo y rúbrica a continuación</w:t>
            </w:r>
          </w:p>
        </w:tc>
      </w:tr>
      <w:tr>
        <w:trPr>
          <w:cantSplit/>
          <w:tblHeader w:val="off"/>
        </w:trPr>
        <w:tc>
          <w:tcPr>
            <w:tcW w:type="dxa" w:w="4816"/>
            <w:tcMar>
              <w:top w:type="dxa" w:w="80"/>
              <w:left w:type="dxa" w:w="100"/>
              <w:bottom w:type="dxa" w:w="80"/>
              <w:right w:type="dxa" w:w="100"/>
            </w:tcMar>
          </w:tcPr>
          <w:p>
            <w:pPr>
              <w:pStyle w:val="Tabla"/>
            </w:pPr>
            <w:r>
              <w:t xml:space="preserve">6</w:t>
            </w:r>
          </w:p>
        </w:tc>
        <w:tc>
          <w:tcPr>
            <w:tcW w:type="dxa" w:w="4816"/>
            <w:tcMar>
              <w:top w:type="dxa" w:w="80"/>
              <w:left w:type="dxa" w:w="100"/>
              <w:bottom w:type="dxa" w:w="80"/>
              <w:right w:type="dxa" w:w="100"/>
            </w:tcMar>
          </w:tcPr>
          <w:p>
            <w:pPr>
              <w:pStyle w:val="Tabla"/>
            </w:pPr>
            <w:r>
              <w:t xml:space="preserve">Desarrollo: respuesta modelo y rúbrica a continuación</w:t>
            </w:r>
          </w:p>
        </w:tc>
      </w:tr>
      <w:tr>
        <w:trPr>
          <w:cantSplit/>
          <w:tblHeader w:val="off"/>
        </w:trPr>
        <w:tc>
          <w:tcPr>
            <w:tcW w:type="dxa" w:w="4816"/>
            <w:tcMar>
              <w:top w:type="dxa" w:w="80"/>
              <w:left w:type="dxa" w:w="100"/>
              <w:bottom w:type="dxa" w:w="80"/>
              <w:right w:type="dxa" w:w="100"/>
            </w:tcMar>
          </w:tcPr>
          <w:p>
            <w:pPr>
              <w:pStyle w:val="Tabla"/>
            </w:pPr>
            <w:r>
              <w:t xml:space="preserve">7</w:t>
            </w:r>
          </w:p>
        </w:tc>
        <w:tc>
          <w:tcPr>
            <w:tcW w:type="dxa" w:w="4816"/>
            <w:tcMar>
              <w:top w:type="dxa" w:w="80"/>
              <w:left w:type="dxa" w:w="100"/>
              <w:bottom w:type="dxa" w:w="80"/>
              <w:right w:type="dxa" w:w="100"/>
            </w:tcMar>
          </w:tcPr>
          <w:p>
            <w:pPr>
              <w:pStyle w:val="Tabla"/>
            </w:pPr>
            <w:r>
              <w:t xml:space="preserve">Desarrollo: respuesta modelo y rúbrica a continuación</w:t>
            </w:r>
          </w:p>
        </w:tc>
      </w:tr>
      <w:tr>
        <w:trPr>
          <w:cantSplit/>
          <w:tblHeader w:val="off"/>
        </w:trPr>
        <w:tc>
          <w:tcPr>
            <w:tcW w:type="dxa" w:w="4816"/>
            <w:tcMar>
              <w:top w:type="dxa" w:w="80"/>
              <w:left w:type="dxa" w:w="100"/>
              <w:bottom w:type="dxa" w:w="80"/>
              <w:right w:type="dxa" w:w="100"/>
            </w:tcMar>
          </w:tcPr>
          <w:p>
            <w:pPr>
              <w:pStyle w:val="Tabla"/>
            </w:pPr>
            <w:r>
              <w:t xml:space="preserve">8</w:t>
            </w:r>
          </w:p>
        </w:tc>
        <w:tc>
          <w:tcPr>
            <w:tcW w:type="dxa" w:w="4816"/>
            <w:tcMar>
              <w:top w:type="dxa" w:w="80"/>
              <w:left w:type="dxa" w:w="100"/>
              <w:bottom w:type="dxa" w:w="80"/>
              <w:right w:type="dxa" w:w="100"/>
            </w:tcMar>
          </w:tcPr>
          <w:p>
            <w:pPr>
              <w:pStyle w:val="Tabla"/>
            </w:pPr>
            <w:r>
              <w:t xml:space="preserve">Desarrollo: respuesta modelo y rúbrica a continuación</w:t>
            </w:r>
          </w:p>
        </w:tc>
      </w:tr>
      <w:tr>
        <w:trPr>
          <w:cantSplit/>
          <w:tblHeader w:val="off"/>
        </w:trPr>
        <w:tc>
          <w:tcPr>
            <w:tcW w:type="dxa" w:w="4816"/>
            <w:tcMar>
              <w:top w:type="dxa" w:w="80"/>
              <w:left w:type="dxa" w:w="100"/>
              <w:bottom w:type="dxa" w:w="80"/>
              <w:right w:type="dxa" w:w="100"/>
            </w:tcMar>
          </w:tcPr>
          <w:p>
            <w:pPr>
              <w:pStyle w:val="Tabla"/>
            </w:pPr>
            <w:r>
              <w:t xml:space="preserve">9</w:t>
            </w:r>
          </w:p>
        </w:tc>
        <w:tc>
          <w:tcPr>
            <w:tcW w:type="dxa" w:w="4816"/>
            <w:tcMar>
              <w:top w:type="dxa" w:w="80"/>
              <w:left w:type="dxa" w:w="100"/>
              <w:bottom w:type="dxa" w:w="80"/>
              <w:right w:type="dxa" w:w="100"/>
            </w:tcMar>
          </w:tcPr>
          <w:p>
            <w:pPr>
              <w:pStyle w:val="Tabla"/>
            </w:pPr>
            <w:r>
              <w:t xml:space="preserve">Desarrollo: respuesta modelo y rúbrica a continuación</w:t>
            </w:r>
          </w:p>
        </w:tc>
      </w:tr>
      <w:tr>
        <w:trPr>
          <w:cantSplit/>
          <w:tblHeader w:val="off"/>
        </w:trPr>
        <w:tc>
          <w:tcPr>
            <w:tcW w:type="dxa" w:w="4816"/>
            <w:tcMar>
              <w:top w:type="dxa" w:w="80"/>
              <w:left w:type="dxa" w:w="100"/>
              <w:bottom w:type="dxa" w:w="80"/>
              <w:right w:type="dxa" w:w="100"/>
            </w:tcMar>
          </w:tcPr>
          <w:p>
            <w:pPr>
              <w:pStyle w:val="Tabla"/>
            </w:pPr>
            <w:r>
              <w:t xml:space="preserve">10</w:t>
            </w:r>
          </w:p>
        </w:tc>
        <w:tc>
          <w:tcPr>
            <w:tcW w:type="dxa" w:w="4816"/>
            <w:tcMar>
              <w:top w:type="dxa" w:w="80"/>
              <w:left w:type="dxa" w:w="100"/>
              <w:bottom w:type="dxa" w:w="80"/>
              <w:right w:type="dxa" w:w="100"/>
            </w:tcMar>
          </w:tcPr>
          <w:p>
            <w:pPr>
              <w:pStyle w:val="Tabla"/>
            </w:pPr>
            <w:r>
              <w:t xml:space="preserve">Desarrollo: respuesta modelo y rúbrica a continuación</w:t>
            </w:r>
          </w:p>
        </w:tc>
      </w:tr>
      <w:tr>
        <w:trPr>
          <w:cantSplit/>
          <w:tblHeader w:val="off"/>
        </w:trPr>
        <w:tc>
          <w:tcPr>
            <w:tcW w:type="dxa" w:w="4816"/>
            <w:tcMar>
              <w:top w:type="dxa" w:w="80"/>
              <w:left w:type="dxa" w:w="100"/>
              <w:bottom w:type="dxa" w:w="80"/>
              <w:right w:type="dxa" w:w="100"/>
            </w:tcMar>
          </w:tcPr>
          <w:p>
            <w:pPr>
              <w:pStyle w:val="Tabla"/>
            </w:pPr>
            <w:r>
              <w:t xml:space="preserve">11</w:t>
            </w:r>
          </w:p>
        </w:tc>
        <w:tc>
          <w:tcPr>
            <w:tcW w:type="dxa" w:w="4816"/>
            <w:tcMar>
              <w:top w:type="dxa" w:w="80"/>
              <w:left w:type="dxa" w:w="100"/>
              <w:bottom w:type="dxa" w:w="80"/>
              <w:right w:type="dxa" w:w="100"/>
            </w:tcMar>
          </w:tcPr>
          <w:p>
            <w:pPr>
              <w:pStyle w:val="Tabla"/>
            </w:pPr>
            <w:r>
              <w:t xml:space="preserve">Desarrollo: respuesta modelo y rúbrica a continuación</w:t>
            </w:r>
          </w:p>
        </w:tc>
      </w:tr>
      <w:tr>
        <w:trPr>
          <w:cantSplit/>
          <w:tblHeader w:val="off"/>
        </w:trPr>
        <w:tc>
          <w:tcPr>
            <w:tcW w:type="dxa" w:w="4816"/>
            <w:tcMar>
              <w:top w:type="dxa" w:w="80"/>
              <w:left w:type="dxa" w:w="100"/>
              <w:bottom w:type="dxa" w:w="80"/>
              <w:right w:type="dxa" w:w="100"/>
            </w:tcMar>
          </w:tcPr>
          <w:p>
            <w:pPr>
              <w:pStyle w:val="Tabla"/>
            </w:pPr>
            <w:r>
              <w:t xml:space="preserve">12</w:t>
            </w:r>
          </w:p>
        </w:tc>
        <w:tc>
          <w:tcPr>
            <w:tcW w:type="dxa" w:w="4816"/>
            <w:tcMar>
              <w:top w:type="dxa" w:w="80"/>
              <w:left w:type="dxa" w:w="100"/>
              <w:bottom w:type="dxa" w:w="80"/>
              <w:right w:type="dxa" w:w="100"/>
            </w:tcMar>
          </w:tcPr>
          <w:p>
            <w:pPr>
              <w:pStyle w:val="Tabla"/>
            </w:pPr>
            <w:r>
              <w:t xml:space="preserve">Desarrollo: respuesta modelo y rúbrica a continuación</w:t>
            </w:r>
          </w:p>
        </w:tc>
      </w:tr>
      <w:tr>
        <w:trPr>
          <w:cantSplit/>
          <w:tblHeader w:val="off"/>
        </w:trPr>
        <w:tc>
          <w:tcPr>
            <w:tcW w:type="dxa" w:w="4816"/>
            <w:tcMar>
              <w:top w:type="dxa" w:w="80"/>
              <w:left w:type="dxa" w:w="100"/>
              <w:bottom w:type="dxa" w:w="80"/>
              <w:right w:type="dxa" w:w="100"/>
            </w:tcMar>
          </w:tcPr>
          <w:p>
            <w:pPr>
              <w:pStyle w:val="Tabla"/>
            </w:pPr>
            <w:r>
              <w:t xml:space="preserve">13</w:t>
            </w:r>
          </w:p>
        </w:tc>
        <w:tc>
          <w:tcPr>
            <w:tcW w:type="dxa" w:w="4816"/>
            <w:tcMar>
              <w:top w:type="dxa" w:w="80"/>
              <w:left w:type="dxa" w:w="100"/>
              <w:bottom w:type="dxa" w:w="80"/>
              <w:right w:type="dxa" w:w="100"/>
            </w:tcMar>
          </w:tcPr>
          <w:p>
            <w:pPr>
              <w:pStyle w:val="Tabla"/>
            </w:pPr>
            <w:r>
              <w:t xml:space="preserve">Desarrollo: respuesta modelo y rúbrica a continuación</w:t>
            </w:r>
          </w:p>
        </w:tc>
      </w:tr>
    </w:tbl>
    <w:p>
      <w:pPr>
        <w:pStyle w:val="Heading3"/>
      </w:pPr>
      <w:bookmarkStart w:name="b_pregunta_p3d_01_balance_en_su_3510d6ce" w:id="5788"/>
      <w:r>
        <w:t xml:space="preserve">6.1 · Unidad 4 · 4.1 · Arquetipos: contar los ciclos</w:t>
      </w:r>
      <w:bookmarkEnd w:id="5788"/>
    </w:p>
    <w:p>
      <w:pPr>
        <w:pStyle w:val="Normal"/>
      </w:pPr>
      <w:r>
        <w:t xml:space="preserve">El modelo de la figura es un arquetipo de la hoja de Pegasus sin las letras de sus ciclos. ¿Cuántos ciclos de balance tiene?</w:t>
      </w:r>
    </w:p>
    <w:p>
      <w:pPr>
        <w:pStyle w:val="Fuente"/>
      </w:pPr>
      <w:r>
        <w:t xml:space="preserve">Ordinal de la fuente: 1 · complemento editorial.</w:t>
      </w:r>
    </w:p>
    <w:p>
      <w:pPr>
        <w:keepNext/>
        <w:spacing w:after="40" w:before="150"/>
        <w:jc w:val="center"/>
      </w:pPr>
      <w:bookmarkStart w:name="b_figura_original_p3d_01_balanc_7323ab6f" w:id="5789"/>
      <w:bookmarkEnd w:id="5789"/>
      <w:r>
        <w:drawing>
          <wp:inline distT="0" distB="0" distL="0" distR="0">
            <wp:extent cx="5381625" cy="3771900"/>
            <wp:effectExtent t="0" r="0" b="0" l="0"/>
            <wp:docPr id="259" name="p3d-01-balance-en-subinversion-enunciado" descr="lectura L-17" title="Unidad 4 · 4.1 · Arquetipos: contar los cicl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22" cstate="none"/>
                    <a:srcRect/>
                    <a:stretch>
                      <a:fillRect/>
                    </a:stretch>
                  </pic:blipFill>
                  <pic:spPr bwMode="auto">
                    <a:xfrm>
                      <a:off x="0" y="0"/>
                      <a:ext cx="5381625" cy="3771900"/>
                    </a:xfrm>
                    <a:prstGeom prst="rect">
                      <a:avLst/>
                    </a:prstGeom>
                  </pic:spPr>
                </pic:pic>
              </a:graphicData>
            </a:graphic>
          </wp:inline>
        </w:drawing>
      </w:r>
    </w:p>
    <w:p>
      <w:pPr>
        <w:pStyle w:val="PieFigura"/>
        <w:keepNext/>
      </w:pPr>
      <w:bookmarkStart w:name="b_fig_V6_1" w:id="5790"/>
      <w:r>
        <w:t xml:space="preserve">Figura V6.</w:t>
      </w:r>
      <w:fldSimple w:instr="SEQ Figura \r 1 \* ARABIC">
        <w:r>
          <w:t xml:space="preserve">1</w:t>
        </w:r>
      </w:fldSimple>
      <w:r>
        <w:t xml:space="preserve"> · Unidad 4 · 4.1 · Arquetipos: contar los ciclos</w:t>
      </w:r>
      <w:bookmarkEnd w:id="5790"/>
    </w:p>
    <w:p>
      <w:pPr>
        <w:pStyle w:val="Fuente"/>
      </w:pPr>
      <w:r>
        <w:t xml:space="preserve">lectura L-17</w:t>
      </w:r>
    </w:p>
    <w:p>
      <w:pPr>
        <w:pStyle w:val="Heading3"/>
      </w:pPr>
      <w:bookmarkStart w:name="b_solucion_p3d_01_balance_en_su_b36b4ade" w:id="5791"/>
      <w:r>
        <w:t xml:space="preserve">Solución 6.1</w:t>
      </w:r>
      <w:bookmarkEnd w:id="5791"/>
    </w:p>
    <w:p>
      <w:pPr>
        <w:pStyle w:val="RecuadroTitulo"/>
      </w:pPr>
      <w:r>
        <w:t xml:space="preserve">Respuesta modelo</w:t>
      </w:r>
    </w:p>
    <w:p>
      <w:pPr>
        <w:pStyle w:val="Normal"/>
      </w:pPr>
      <w:r>
        <w:t xml:space="preserve">Tiene tres ciclos: uno de refuerzo y dos de balance. La acción creciente y la demanda se refuerzan, sin ninguna negativa (R1).</w:t>
      </w:r>
    </w:p>
    <w:p>
      <w:pPr>
        <w:pStyle w:val="Normal"/>
      </w:pPr>
      <w:r>
        <w:t xml:space="preserve">Demanda → desempeño (−) → demanda (+) tiene una negativa: balance (B2). Desempeño → necesidad percibida de inversión (−) → inversión en capacidad (+, con demora) → capacidad (+) → desempeño (+) también tiene una: balance (B3).</w:t>
      </w:r>
    </w:p>
    <w:p>
      <w:pPr>
        <w:pStyle w:val="Normal"/>
      </w:pPr>
      <w:r>
        <w:t xml:space="preserve">Es el crecimiento y subinversión: los límites del crecimiento (R1 y B2) más el ciclo de la inversión en capacidad, que la hoja marca B3. La respuesta es 2.</w:t>
      </w:r>
    </w:p>
    <w:p>
      <w:pPr>
        <w:pStyle w:val="Fuente"/>
      </w:pPr>
      <w:r>
        <w:t xml:space="preserve">Control numérico: 2.</w:t>
      </w:r>
    </w:p>
    <w:p>
      <w:pPr>
        <w:pStyle w:val="Normal"/>
      </w:pPr>
      <w:r>
        <w:t xml:space="preserve">Comprobación: No es la cifra. Recorra cada ciclo y cuente sus relaciones negativas: si son impares, es de balance.</w:t>
      </w:r>
    </w:p>
    <w:p>
      <w:pPr>
        <w:pStyle w:val="Heading3"/>
      </w:pPr>
      <w:r>
        <w:t xml:space="preserve">Criterios para una respuesta completa</w:t>
      </w:r>
    </w:p>
    <w:p>
      <w:pPr>
        <w:pStyle w:val="Normal"/>
        <w:numPr>
          <w:ilvl w:val="0"/>
          <w:numId w:val="2"/>
        </w:numPr>
      </w:pPr>
      <w:r>
        <w:t xml:space="preserve">Escribe 2.</w:t>
      </w:r>
    </w:p>
    <w:p>
      <w:pPr>
        <w:pStyle w:val="Normal"/>
        <w:numPr>
          <w:ilvl w:val="0"/>
          <w:numId w:val="2"/>
        </w:numPr>
      </w:pPr>
      <w:r>
        <w:t xml:space="preserve">Encuentra el ciclo de balance entre la demanda y el desempeño.</w:t>
      </w:r>
    </w:p>
    <w:p>
      <w:pPr>
        <w:pStyle w:val="Normal"/>
        <w:numPr>
          <w:ilvl w:val="0"/>
          <w:numId w:val="2"/>
        </w:numPr>
      </w:pPr>
      <w:r>
        <w:t xml:space="preserve">Encuentra el ciclo de balance que pasa por la inversión en capacidad, con su demora.</w:t>
      </w:r>
    </w:p>
    <w:p>
      <w:pPr>
        <w:pStyle w:val="Normal"/>
        <w:numPr>
          <w:ilvl w:val="0"/>
          <w:numId w:val="2"/>
        </w:numPr>
      </w:pPr>
      <w:r>
        <w:t xml:space="preserve">No cuenta como ciclo la flecha del estándar de desempeño, que viene de fuera y no regresa.</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9C620A" w:sz="20"/>
              <w:bottom w:val="nil"/>
              <w:right w:val="nil"/>
            </w:tcBorders>
            <w:shd w:fill="FBF3DF" w:val="clear"/>
            <w:tcMar>
              <w:top w:type="dxa" w:w="130"/>
              <w:left w:type="dxa" w:w="180"/>
              <w:bottom w:type="dxa" w:w="130"/>
              <w:right w:type="dxa" w:w="180"/>
            </w:tcMar>
          </w:tcPr>
          <w:p>
            <w:pPr>
              <w:pStyle w:val="RecuadroTitulo"/>
            </w:pPr>
            <w:r>
              <w:rPr>
                <w:b/>
                <w:bCs/>
                <w:color w:val="9C620A"/>
              </w:rPr>
              <w:t xml:space="preserve">Advertencia y límites</w:t>
            </w:r>
          </w:p>
          <w:p>
            <w:pPr>
              <w:pStyle w:val="Recuadro"/>
            </w:pPr>
            <w:r>
              <w:t xml:space="preserve">Contar la flecha del estándar de desempeño como parte de un ciclo: es una variable externa, ninguna flecha vuelve a ella.</w:t>
            </w:r>
          </w:p>
        </w:tc>
      </w:tr>
    </w:tbl>
    <w:p>
      <w:pPr>
        <w:pStyle w:val="Fuente"/>
      </w:pPr>
      <w:r>
        <w:t xml:space="preserve">lectura L-17</w:t>
      </w:r>
    </w:p>
    <w:p>
      <w:pPr>
        <w:pStyle w:val="Heading3"/>
      </w:pPr>
      <w:bookmarkStart w:name="b_pregunta_p3d_02_refuerzo_en_erosion" w:id="5792"/>
      <w:r>
        <w:t xml:space="preserve">6.2 · Unidad 4 · 4.1 · Arquetipos: contar los ciclos</w:t>
      </w:r>
      <w:bookmarkEnd w:id="5792"/>
    </w:p>
    <w:p>
      <w:pPr>
        <w:pStyle w:val="Normal"/>
      </w:pPr>
      <w:r>
        <w:t xml:space="preserve">La figura es la erosión de metas de la hoja de Pegasus, sin las letras de sus ciclos. ¿Cuántos ciclos de refuerzo tiene?</w:t>
      </w:r>
    </w:p>
    <w:p>
      <w:pPr>
        <w:pStyle w:val="Fuente"/>
      </w:pPr>
      <w:r>
        <w:t xml:space="preserve">Ordinal de la fuente: 2 · complemento editorial.</w:t>
      </w:r>
    </w:p>
    <w:p>
      <w:pPr>
        <w:keepNext/>
        <w:spacing w:after="40" w:before="150"/>
        <w:jc w:val="center"/>
      </w:pPr>
      <w:bookmarkStart w:name="b_figura_original_p3d_02_refuer_10c7b29b" w:id="5793"/>
      <w:bookmarkEnd w:id="5793"/>
      <w:r>
        <w:drawing>
          <wp:inline distT="0" distB="0" distL="0" distR="0">
            <wp:extent cx="5381625" cy="3933825"/>
            <wp:effectExtent t="0" r="0" b="0" l="0"/>
            <wp:docPr id="260" name="p3d-02-refuerzo-en-erosion-enunciado" descr="lectura L-17" title="Unidad 4 · 4.1 · Arquetipos: contar los cicl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23" cstate="none"/>
                    <a:srcRect/>
                    <a:stretch>
                      <a:fillRect/>
                    </a:stretch>
                  </pic:blipFill>
                  <pic:spPr bwMode="auto">
                    <a:xfrm>
                      <a:off x="0" y="0"/>
                      <a:ext cx="5381625" cy="3933825"/>
                    </a:xfrm>
                    <a:prstGeom prst="rect">
                      <a:avLst/>
                    </a:prstGeom>
                  </pic:spPr>
                </pic:pic>
              </a:graphicData>
            </a:graphic>
          </wp:inline>
        </w:drawing>
      </w:r>
    </w:p>
    <w:p>
      <w:pPr>
        <w:pStyle w:val="PieFigura"/>
        <w:keepNext/>
      </w:pPr>
      <w:bookmarkStart w:name="b_fig_V6_2" w:id="5794"/>
      <w:r>
        <w:t xml:space="preserve">Figura V6.</w:t>
      </w:r>
      <w:fldSimple w:instr="SEQ Figura \n \* ARABIC">
        <w:r>
          <w:t xml:space="preserve">2</w:t>
        </w:r>
      </w:fldSimple>
      <w:r>
        <w:t xml:space="preserve"> · Unidad 4 · 4.1 · Arquetipos: contar los ciclos</w:t>
      </w:r>
      <w:bookmarkEnd w:id="5794"/>
    </w:p>
    <w:p>
      <w:pPr>
        <w:pStyle w:val="Fuente"/>
      </w:pPr>
      <w:r>
        <w:t xml:space="preserve">lectura L-17</w:t>
      </w:r>
    </w:p>
    <w:p>
      <w:pPr>
        <w:pStyle w:val="Heading3"/>
      </w:pPr>
      <w:bookmarkStart w:name="b_solucion_p3d_02_refuerzo_en_erosion" w:id="5795"/>
      <w:r>
        <w:t xml:space="preserve">Solución 6.2</w:t>
      </w:r>
      <w:bookmarkEnd w:id="5795"/>
    </w:p>
    <w:p>
      <w:pPr>
        <w:pStyle w:val="RecuadroTitulo"/>
      </w:pPr>
      <w:r>
        <w:t xml:space="preserve">Respuesta modelo</w:t>
      </w:r>
    </w:p>
    <w:p>
      <w:pPr>
        <w:pStyle w:val="Normal"/>
      </w:pPr>
      <w:r>
        <w:t xml:space="preserve">Ninguno. Tiene dos ciclos y los dos son de balance: diferencia → acción correctiva → actual → diferencia, con una negativa en actual → diferencia (B1), y meta → diferencia → presión para reducir la meta → meta, con una negativa en la presión sobre la meta (B2).</w:t>
      </w:r>
    </w:p>
    <w:p>
      <w:pPr>
        <w:pStyle w:val="Normal"/>
      </w:pPr>
      <w:r>
        <w:t xml:space="preserve">La caída de la meta parece un círculo vicioso, pero la produce un ciclo de balance: B2 cierra la diferencia bajando la meta, y lo hace sin demora, mientras B1 tarda. La respuesta es 0.</w:t>
      </w:r>
    </w:p>
    <w:p>
      <w:pPr>
        <w:pStyle w:val="Fuente"/>
      </w:pPr>
      <w:r>
        <w:t xml:space="preserve">Control numérico: 0.</w:t>
      </w:r>
    </w:p>
    <w:p>
      <w:pPr>
        <w:pStyle w:val="Normal"/>
      </w:pPr>
      <w:r>
        <w:t xml:space="preserve">Comprobación: No es la cifra. Cuente las negativas de cada ciclo: la meta que baja no necesita un refuerzo.</w:t>
      </w:r>
    </w:p>
    <w:p>
      <w:pPr>
        <w:pStyle w:val="Heading3"/>
      </w:pPr>
      <w:r>
        <w:t xml:space="preserve">Criterios para una respuesta completa</w:t>
      </w:r>
    </w:p>
    <w:p>
      <w:pPr>
        <w:pStyle w:val="Normal"/>
        <w:numPr>
          <w:ilvl w:val="0"/>
          <w:numId w:val="2"/>
        </w:numPr>
      </w:pPr>
      <w:r>
        <w:t xml:space="preserve">Escribe 0.</w:t>
      </w:r>
    </w:p>
    <w:p>
      <w:pPr>
        <w:pStyle w:val="Normal"/>
        <w:numPr>
          <w:ilvl w:val="0"/>
          <w:numId w:val="2"/>
        </w:numPr>
      </w:pPr>
      <w:r>
        <w:t xml:space="preserve">Encuentra los dos ciclos y los clasifica como de balance.</w:t>
      </w:r>
    </w:p>
    <w:p>
      <w:pPr>
        <w:pStyle w:val="Normal"/>
        <w:numPr>
          <w:ilvl w:val="0"/>
          <w:numId w:val="2"/>
        </w:numPr>
      </w:pPr>
      <w:r>
        <w:t xml:space="preserve">Explica que la meta baja por el ciclo B2, que cierra la diferencia sin demora.</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9C620A" w:sz="20"/>
              <w:bottom w:val="nil"/>
              <w:right w:val="nil"/>
            </w:tcBorders>
            <w:shd w:fill="FBF3DF" w:val="clear"/>
            <w:tcMar>
              <w:top w:type="dxa" w:w="130"/>
              <w:left w:type="dxa" w:w="180"/>
              <w:bottom w:type="dxa" w:w="130"/>
              <w:right w:type="dxa" w:w="180"/>
            </w:tcMar>
          </w:tcPr>
          <w:p>
            <w:pPr>
              <w:pStyle w:val="RecuadroTitulo"/>
            </w:pPr>
            <w:r>
              <w:rPr>
                <w:b/>
                <w:bCs/>
                <w:color w:val="9C620A"/>
              </w:rPr>
              <w:t xml:space="preserve">Advertencia y límites</w:t>
            </w:r>
          </w:p>
          <w:p>
            <w:pPr>
              <w:pStyle w:val="Recuadro"/>
            </w:pPr>
            <w:r>
              <w:t xml:space="preserve">Contar un refuerzo porque el comportamiento empeora con el tiempo: el patrón de deterioro sale de dos balances, uno lento y otro inmediato.</w:t>
            </w:r>
          </w:p>
        </w:tc>
      </w:tr>
    </w:tbl>
    <w:p>
      <w:pPr>
        <w:pStyle w:val="Fuente"/>
      </w:pPr>
      <w:r>
        <w:t xml:space="preserve">lectura L-17</w:t>
      </w:r>
    </w:p>
    <w:p>
      <w:pPr>
        <w:pStyle w:val="Heading3"/>
      </w:pPr>
      <w:bookmarkStart w:name="b_pregunta_p3d_03_saldo_a_los_14_meses" w:id="5796"/>
      <w:r>
        <w:t xml:space="preserve">6.3 · Unidad 4 · 4.4 · Simulación con VENSIM: el préstamo bancario</w:t>
      </w:r>
      <w:bookmarkEnd w:id="5796"/>
    </w:p>
    <w:p>
      <w:pPr>
        <w:pStyle w:val="Normal"/>
      </w:pPr>
      <w:r>
        <w:t xml:space="preserve">En el ejercicio de la figura, el banco 1 presta $2,000.00 al 5 % mensual. Si no se hace ningún pago y el saldo se acumula, con interés compuesto cada mes y TIME STEP = 1, ¿cuál es el saldo a los 14 meses? Escriba la cifra con dos decimales y sin separador de miles.</w:t>
      </w:r>
    </w:p>
    <w:p>
      <w:pPr>
        <w:pStyle w:val="Fuente"/>
      </w:pPr>
      <w:r>
        <w:t xml:space="preserve">Ordinal de la fuente: 3 · complemento editorial.</w:t>
      </w:r>
    </w:p>
    <w:p>
      <w:pPr>
        <w:keepNext/>
        <w:spacing w:after="40" w:before="150"/>
        <w:jc w:val="center"/>
      </w:pPr>
      <w:bookmarkStart w:name="b_figura_original_p3d_03_saldo__173e735e" w:id="5797"/>
      <w:bookmarkEnd w:id="5797"/>
      <w:r>
        <w:drawing>
          <wp:inline distT="0" distB="0" distL="0" distR="0">
            <wp:extent cx="5381625" cy="3143250"/>
            <wp:effectExtent t="0" r="0" b="0" l="0"/>
            <wp:docPr id="261" name="p3d-03-saldo-a-los-14-meses-enunciado" descr="Presentación 4a (C-3), láminas 23 y 34" title="Unidad 4 · 4.4 · Simulación con VENSIM: el préstamo bancar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24" cstate="none"/>
                    <a:srcRect/>
                    <a:stretch>
                      <a:fillRect/>
                    </a:stretch>
                  </pic:blipFill>
                  <pic:spPr bwMode="auto">
                    <a:xfrm>
                      <a:off x="0" y="0"/>
                      <a:ext cx="5381625" cy="3143250"/>
                    </a:xfrm>
                    <a:prstGeom prst="rect">
                      <a:avLst/>
                    </a:prstGeom>
                  </pic:spPr>
                </pic:pic>
              </a:graphicData>
            </a:graphic>
          </wp:inline>
        </w:drawing>
      </w:r>
    </w:p>
    <w:p>
      <w:pPr>
        <w:pStyle w:val="PieFigura"/>
        <w:keepNext/>
      </w:pPr>
      <w:bookmarkStart w:name="b_fig_V6_3" w:id="5798"/>
      <w:r>
        <w:t xml:space="preserve">Figura V6.</w:t>
      </w:r>
      <w:fldSimple w:instr="SEQ Figura \n \* ARABIC">
        <w:r>
          <w:t xml:space="preserve">3</w:t>
        </w:r>
      </w:fldSimple>
      <w:r>
        <w:t xml:space="preserve"> · Unidad 4 · 4.4 · Simulación con VENSIM: el préstamo bancario</w:t>
      </w:r>
      <w:bookmarkEnd w:id="5798"/>
    </w:p>
    <w:p>
      <w:pPr>
        <w:pStyle w:val="LecturaFigura"/>
        <w:keepNext/>
      </w:pPr>
      <w:r>
        <w:rPr>
          <w:b/>
          <w:bCs/>
        </w:rPr>
        <w:t xml:space="preserve">Lectura del diagrama: </w:t>
      </w:r>
      <w:r>
        <w:t xml:space="preserve">Presentación 4a · pág. 23 · Ejercicio de modelación de simulación dinámica</w:t>
      </w:r>
    </w:p>
    <w:p>
      <w:pPr>
        <w:pStyle w:val="Fuente"/>
      </w:pPr>
      <w:r>
        <w:t xml:space="preserve">Presentación 4a (C-3), láminas 23 y 34</w:t>
      </w:r>
    </w:p>
    <w:p>
      <w:pPr>
        <w:pStyle w:val="Heading3"/>
      </w:pPr>
      <w:bookmarkStart w:name="b_solucion_p3d_03_saldo_a_los_14_meses" w:id="5799"/>
      <w:r>
        <w:t xml:space="preserve">Solución 6.3</w:t>
      </w:r>
      <w:bookmarkEnd w:id="5799"/>
    </w:p>
    <w:p>
      <w:pPr>
        <w:pStyle w:val="RecuadroTitulo"/>
      </w:pPr>
      <w:r>
        <w:t xml:space="preserve">Respuesta modelo</w:t>
      </w:r>
    </w:p>
    <w:p>
      <w:pPr>
        <w:pStyle w:val="Normal"/>
      </w:pPr>
      <w:r>
        <w:t xml:space="preserve">El saldo es un nivel que crece con el flujo Intereses = 0.05 · Saldo. Con pasos de un mes, cada mes se multiplica por 1.05: Saldo(14) = 2000 · 1.05^14 = 3,959.86.</w:t>
      </w:r>
    </w:p>
    <w:p>
      <w:pPr>
        <w:pStyle w:val="Normal"/>
      </w:pPr>
      <w:r>
        <w:t xml:space="preserve">En el banco 2, 1000 · 1.10^14 = 3,797.50: a los 14 meses todavía conviene el banco 2. Los saldos se igualan a los 14.90 meses y desde entonces conviene el banco 1.</w:t>
      </w:r>
    </w:p>
    <w:p>
      <w:pPr>
        <w:pStyle w:val="Fuente"/>
      </w:pPr>
      <w:r>
        <w:t xml:space="preserve">Control numérico: 3959.86 · tolerancia de práctica: ±0.5.</w:t>
      </w:r>
    </w:p>
    <w:p>
      <w:pPr>
        <w:pStyle w:val="Normal"/>
      </w:pPr>
      <w:r>
        <w:t xml:space="preserve">Comprobación: No es la cifra. Cada mes se suma el 5 % del saldo de ese mes, no del monto inicial.</w:t>
      </w:r>
    </w:p>
    <w:p>
      <w:pPr>
        <w:pStyle w:val="Heading3"/>
      </w:pPr>
      <w:r>
        <w:t xml:space="preserve">Criterios para una respuesta completa</w:t>
      </w:r>
    </w:p>
    <w:p>
      <w:pPr>
        <w:pStyle w:val="Normal"/>
        <w:numPr>
          <w:ilvl w:val="0"/>
          <w:numId w:val="2"/>
        </w:numPr>
      </w:pPr>
      <w:r>
        <w:t xml:space="preserve">Escribe 3959.86, o una cifra a menos de 50 centavos.</w:t>
      </w:r>
    </w:p>
    <w:p>
      <w:pPr>
        <w:pStyle w:val="Normal"/>
        <w:numPr>
          <w:ilvl w:val="0"/>
          <w:numId w:val="2"/>
        </w:numPr>
      </w:pPr>
      <w:r>
        <w:t xml:space="preserve">Plantea el saldo como un nivel y los intereses como su flujo, proporcional al saldo.</w:t>
      </w:r>
    </w:p>
    <w:p>
      <w:pPr>
        <w:pStyle w:val="Normal"/>
        <w:numPr>
          <w:ilvl w:val="0"/>
          <w:numId w:val="2"/>
        </w:numPr>
      </w:pPr>
      <w:r>
        <w:t xml:space="preserve">Usa interés compuesto: 2000 · 1.05^14.</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9C620A" w:sz="20"/>
              <w:bottom w:val="nil"/>
              <w:right w:val="nil"/>
            </w:tcBorders>
            <w:shd w:fill="FBF3DF" w:val="clear"/>
            <w:tcMar>
              <w:top w:type="dxa" w:w="130"/>
              <w:left w:type="dxa" w:w="180"/>
              <w:bottom w:type="dxa" w:w="130"/>
              <w:right w:type="dxa" w:w="180"/>
            </w:tcMar>
          </w:tcPr>
          <w:p>
            <w:pPr>
              <w:pStyle w:val="RecuadroTitulo"/>
            </w:pPr>
            <w:r>
              <w:rPr>
                <w:b/>
                <w:bCs/>
                <w:color w:val="9C620A"/>
              </w:rPr>
              <w:t xml:space="preserve">Advertencia y límites</w:t>
            </w:r>
          </w:p>
          <w:p>
            <w:pPr>
              <w:pStyle w:val="Recuadro"/>
            </w:pPr>
            <w:r>
              <w:t xml:space="preserve">Calcular interés simple, 2000 · (1 + 0.05 · 14) = 3,400.00: en el modelo el interés de cada mes se suma al saldo y genera intereses.</w:t>
            </w:r>
          </w:p>
        </w:tc>
      </w:tr>
    </w:tbl>
    <w:p>
      <w:pPr>
        <w:pStyle w:val="Fuente"/>
      </w:pPr>
      <w:r>
        <w:t xml:space="preserve">Presentación 4a (C-3), láminas 23 y 34</w:t>
      </w:r>
    </w:p>
    <w:p>
      <w:pPr>
        <w:pStyle w:val="Heading3"/>
      </w:pPr>
      <w:bookmarkStart w:name="b_pregunta_p3d_04_meses_de_los_telefonos" w:id="5800"/>
      <w:r>
        <w:t xml:space="preserve">6.4 · Unidad 4 · 4.5 · Ejemplos en VENSIM: los teléfonos del residencial</w:t>
      </w:r>
      <w:bookmarkEnd w:id="5800"/>
    </w:p>
    <w:p>
      <w:pPr>
        <w:pStyle w:val="Normal"/>
      </w:pPr>
      <w:r>
        <w:t xml:space="preserve">En un residencial de 300 casas, al inicio ninguna tiene teléfono, y cada mes lo instala el 9 % de las casas que todavía no lo tienen. Con pasos de un mes, ¿en qué mes falta por primera vez menos de una casa por tener teléfono?</w:t>
      </w:r>
    </w:p>
    <w:p>
      <w:pPr>
        <w:pStyle w:val="Fuente"/>
      </w:pPr>
      <w:r>
        <w:t xml:space="preserve">Ordinal de la fuente: 4 · complemento editorial.</w:t>
      </w:r>
    </w:p>
    <w:p>
      <w:pPr>
        <w:pStyle w:val="Heading3"/>
      </w:pPr>
      <w:bookmarkStart w:name="b_solucion_p3d_04_meses_de_los_telefonos" w:id="5801"/>
      <w:r>
        <w:t xml:space="preserve">Solución 6.4</w:t>
      </w:r>
      <w:bookmarkEnd w:id="5801"/>
    </w:p>
    <w:p>
      <w:pPr>
        <w:pStyle w:val="RecuadroTitulo"/>
      </w:pPr>
      <w:r>
        <w:t xml:space="preserve">Respuesta modelo</w:t>
      </w:r>
    </w:p>
    <w:p>
      <w:pPr>
        <w:pStyle w:val="Normal"/>
      </w:pPr>
      <w:r>
        <w:t xml:space="preserve">El nivel es Casas con teléfono y su flujo, Instalaciones = 0.09 · (300 − Casas con teléfono). Las casas sin teléfono pierden el 9 % cada mes: después de t meses quedan 300 · 0.91^t.</w:t>
      </w:r>
    </w:p>
    <w:p>
      <w:pPr>
        <w:pStyle w:val="Normal"/>
      </w:pPr>
      <w:r>
        <w:t xml:space="preserve">Quedan menos de una cuando 0.91^t &lt; 1/300, es decir, t &gt; ln 300 / (−ln 0.91) ≈ 60.5: en el mes 61. Con el mismo criterio, al 4 % se necesitan 140 meses y con 500 casas al 9 %, 66.</w:t>
      </w:r>
    </w:p>
    <w:p>
      <w:pPr>
        <w:pStyle w:val="Normal"/>
      </w:pPr>
      <w:r>
        <w:t xml:space="preserve">El nivel se acerca a 300 sin llegar nunca: por eso la pregunta tiene que decir cuándo se da por cubierto el residencial.</w:t>
      </w:r>
    </w:p>
    <w:p>
      <w:pPr>
        <w:pStyle w:val="Fuente"/>
      </w:pPr>
      <w:r>
        <w:t xml:space="preserve">Control numérico: 61.</w:t>
      </w:r>
    </w:p>
    <w:p>
      <w:pPr>
        <w:pStyle w:val="Normal"/>
      </w:pPr>
      <w:r>
        <w:t xml:space="preserve">Comprobación: No es la cifra. Las casas sin teléfono se multiplican por 0.91 cada mes: busque cuándo bajan de una.</w:t>
      </w:r>
    </w:p>
    <w:p>
      <w:pPr>
        <w:pStyle w:val="Heading3"/>
      </w:pPr>
      <w:r>
        <w:t xml:space="preserve">Criterios para una respuesta completa</w:t>
      </w:r>
    </w:p>
    <w:p>
      <w:pPr>
        <w:pStyle w:val="Normal"/>
        <w:numPr>
          <w:ilvl w:val="0"/>
          <w:numId w:val="2"/>
        </w:numPr>
      </w:pPr>
      <w:r>
        <w:t xml:space="preserve">Escribe 61.</w:t>
      </w:r>
    </w:p>
    <w:p>
      <w:pPr>
        <w:pStyle w:val="Normal"/>
        <w:numPr>
          <w:ilvl w:val="0"/>
          <w:numId w:val="2"/>
        </w:numPr>
      </w:pPr>
      <w:r>
        <w:t xml:space="preserve">Plantea la instalación como proporcional a las casas que todavía no tienen teléfono.</w:t>
      </w:r>
    </w:p>
    <w:p>
      <w:pPr>
        <w:pStyle w:val="Normal"/>
        <w:numPr>
          <w:ilvl w:val="0"/>
          <w:numId w:val="2"/>
        </w:numPr>
      </w:pPr>
      <w:r>
        <w:t xml:space="preserve">Declara el criterio para dar por cubiertas las casas.</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9C620A" w:sz="20"/>
              <w:bottom w:val="nil"/>
              <w:right w:val="nil"/>
            </w:tcBorders>
            <w:shd w:fill="FBF3DF" w:val="clear"/>
            <w:tcMar>
              <w:top w:type="dxa" w:w="130"/>
              <w:left w:type="dxa" w:w="180"/>
              <w:bottom w:type="dxa" w:w="130"/>
              <w:right w:type="dxa" w:w="180"/>
            </w:tcMar>
          </w:tcPr>
          <w:p>
            <w:pPr>
              <w:pStyle w:val="RecuadroTitulo"/>
            </w:pPr>
            <w:r>
              <w:rPr>
                <w:b/>
                <w:bCs/>
                <w:color w:val="9C620A"/>
              </w:rPr>
              <w:t xml:space="preserve">Advertencia y límites</w:t>
            </w:r>
          </w:p>
          <w:p>
            <w:pPr>
              <w:pStyle w:val="Recuadro"/>
            </w:pPr>
            <w:r>
              <w:t xml:space="preserve">La presentación no da las respuestas. Las del portal salen de la misma función que el laboratorio de la lección: 61, 140 y 66 meses. Usar la fórmula continua, 300 · e^(−0.09·t), que da 64 meses: con pasos de un mes, como en Vensim con TIME STEP = 1, se multiplica por 0.91.</w:t>
            </w:r>
          </w:p>
        </w:tc>
      </w:tr>
    </w:tbl>
    <w:p>
      <w:pPr>
        <w:pStyle w:val="Fuente"/>
      </w:pPr>
      <w:r>
        <w:t xml:space="preserve">Presentación 4a (C-3), lámina 37</w:t>
      </w:r>
    </w:p>
    <w:p>
      <w:pPr>
        <w:pStyle w:val="Heading3"/>
      </w:pPr>
      <w:bookmarkStart w:name="b_pregunta_p3d_05_tiempo_de_duplicacion" w:id="5802"/>
      <w:r>
        <w:t xml:space="preserve">6.5 · Unidad 4 · 4.5 · Ejemplos en VENSIM: crecimiento con doble retroalimentación</w:t>
      </w:r>
      <w:bookmarkEnd w:id="5802"/>
    </w:p>
    <w:p>
      <w:pPr>
        <w:pStyle w:val="Normal"/>
      </w:pPr>
      <w:r>
        <w:t xml:space="preserve">Un stock de 1000 tiene una entrada de 0,11·S y una salida de 0,1·S por hora. ¿En cuántas horas se duplica? Escriba la cifra con un decimal.</w:t>
      </w:r>
    </w:p>
    <w:p>
      <w:pPr>
        <w:pStyle w:val="Fuente"/>
      </w:pPr>
      <w:r>
        <w:t xml:space="preserve">Ordinal de la fuente: 5 · complemento editorial.</w:t>
      </w:r>
    </w:p>
    <w:p>
      <w:pPr>
        <w:pStyle w:val="Heading3"/>
      </w:pPr>
      <w:bookmarkStart w:name="b_solucion_p3d_05_tiempo_de_duplicacion" w:id="5803"/>
      <w:r>
        <w:t xml:space="preserve">Solución 6.5</w:t>
      </w:r>
      <w:bookmarkEnd w:id="5803"/>
    </w:p>
    <w:p>
      <w:pPr>
        <w:pStyle w:val="RecuadroTitulo"/>
      </w:pPr>
      <w:r>
        <w:t xml:space="preserve">Respuesta modelo</w:t>
      </w:r>
    </w:p>
    <w:p>
      <w:pPr>
        <w:pStyle w:val="Normal"/>
      </w:pPr>
      <w:r>
        <w:t xml:space="preserve">La tasa neta es 0,11 − 0,1 = 0,01 por hora: dS/dt = 0,01·S, cuya solución es S(t) = 1000·e^(0,01·t).</w:t>
      </w:r>
    </w:p>
    <w:p>
      <w:pPr>
        <w:pStyle w:val="Normal"/>
      </w:pPr>
      <w:r>
        <w:t xml:space="preserve">Se duplica cuando e^(0,01·t) = 2, es decir, t = ln 2 / 0,01 ≈ 69.3 horas, y se multiplica por diez a las 230.3 horas.</w:t>
      </w:r>
    </w:p>
    <w:p>
      <w:pPr>
        <w:pStyle w:val="Normal"/>
      </w:pPr>
      <w:r>
        <w:t xml:space="preserve">En Vensim, con TIME STEP = 1, el stock cruza 2000 entre las horas 69 y 70.</w:t>
      </w:r>
    </w:p>
    <w:p>
      <w:pPr>
        <w:pStyle w:val="Fuente"/>
      </w:pPr>
      <w:r>
        <w:t xml:space="preserve">Control numérico: 69.3 · tolerancia de práctica: ±0.5.</w:t>
      </w:r>
    </w:p>
    <w:p>
      <w:pPr>
        <w:pStyle w:val="Normal"/>
      </w:pPr>
      <w:r>
        <w:t xml:space="preserve">Comprobación: No es la cifra. Reste los flujos para obtener la tasa neta y despeje t en e^(tasa·t) = 2.</w:t>
      </w:r>
    </w:p>
    <w:p>
      <w:pPr>
        <w:pStyle w:val="Heading3"/>
      </w:pPr>
      <w:r>
        <w:t xml:space="preserve">Criterios para una respuesta completa</w:t>
      </w:r>
    </w:p>
    <w:p>
      <w:pPr>
        <w:pStyle w:val="Normal"/>
        <w:numPr>
          <w:ilvl w:val="0"/>
          <w:numId w:val="2"/>
        </w:numPr>
      </w:pPr>
      <w:r>
        <w:t xml:space="preserve">Escribe 69.3.</w:t>
      </w:r>
    </w:p>
    <w:p>
      <w:pPr>
        <w:pStyle w:val="Normal"/>
        <w:numPr>
          <w:ilvl w:val="0"/>
          <w:numId w:val="2"/>
        </w:numPr>
      </w:pPr>
      <w:r>
        <w:t xml:space="preserve">Obtiene la tasa neta restando la salida de la entrada.</w:t>
      </w:r>
    </w:p>
    <w:p>
      <w:pPr>
        <w:pStyle w:val="Normal"/>
        <w:numPr>
          <w:ilvl w:val="0"/>
          <w:numId w:val="2"/>
        </w:numPr>
      </w:pPr>
      <w:r>
        <w:t xml:space="preserve">Despeja t de la solución exponencial.</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9C620A" w:sz="20"/>
              <w:bottom w:val="nil"/>
              <w:right w:val="nil"/>
            </w:tcBorders>
            <w:shd w:fill="FBF3DF" w:val="clear"/>
            <w:tcMar>
              <w:top w:type="dxa" w:w="130"/>
              <w:left w:type="dxa" w:w="180"/>
              <w:bottom w:type="dxa" w:w="130"/>
              <w:right w:type="dxa" w:w="180"/>
            </w:tcMar>
          </w:tcPr>
          <w:p>
            <w:pPr>
              <w:pStyle w:val="RecuadroTitulo"/>
            </w:pPr>
            <w:r>
              <w:rPr>
                <w:b/>
                <w:bCs/>
                <w:color w:val="9C620A"/>
              </w:rPr>
              <w:t xml:space="preserve">Advertencia y límites</w:t>
            </w:r>
          </w:p>
          <w:p>
            <w:pPr>
              <w:pStyle w:val="Recuadro"/>
            </w:pPr>
            <w:r>
              <w:t xml:space="preserve">La solución impresa en la lámina 48 suma una constante de más: la correcta es S(t) = 1000·e^(0,01·t). Usar sólo la tasa de entrada, 0,11, que da 6,3 horas: el stock crece por la diferencia de sus dos flujos.</w:t>
            </w:r>
          </w:p>
        </w:tc>
      </w:tr>
    </w:tbl>
    <w:p>
      <w:pPr>
        <w:pStyle w:val="Fuente"/>
      </w:pPr>
      <w:r>
        <w:t xml:space="preserve">Presentación 4a (C-3), lámina 48</w:t>
      </w:r>
    </w:p>
    <w:p>
      <w:pPr>
        <w:pStyle w:val="Heading3"/>
      </w:pPr>
      <w:bookmarkStart w:name="b_pregunta_p3d_06_los_habitos_d_0d73d627" w:id="5804"/>
      <w:r>
        <w:t xml:space="preserve">6.6 · Unidad 4 · 4.7 · Hábitos: los de la unidad 4</w:t>
      </w:r>
      <w:bookmarkEnd w:id="5804"/>
    </w:p>
    <w:p>
      <w:pPr>
        <w:pStyle w:val="Normal"/>
      </w:pPr>
      <w:r>
        <w:t xml:space="preserve">En su lámina 4, la presentación 4a marca en rojo cinco hábitos del póster de la Waters Foundation: los que desarrolla la unidad 4. Escríbalos con su número en el póster.</w:t>
      </w:r>
    </w:p>
    <w:p>
      <w:pPr>
        <w:pStyle w:val="Fuente"/>
      </w:pPr>
      <w:r>
        <w:t xml:space="preserve">Ordinal de la fuente: 6 · complemento editorial.</w:t>
      </w:r>
    </w:p>
    <w:p>
      <w:pPr>
        <w:pStyle w:val="Heading3"/>
      </w:pPr>
      <w:bookmarkStart w:name="b_solucion_p3d_06_los_habitos_d_32fe3be7" w:id="5805"/>
      <w:r>
        <w:t xml:space="preserve">Solución 6.6</w:t>
      </w:r>
      <w:bookmarkEnd w:id="5805"/>
    </w:p>
    <w:p>
      <w:pPr>
        <w:pStyle w:val="RecuadroTitulo"/>
      </w:pPr>
      <w:r>
        <w:t xml:space="preserve">Respuesta modelo</w:t>
      </w:r>
    </w:p>
    <w:p>
      <w:pPr>
        <w:pStyle w:val="Normal"/>
      </w:pPr>
      <w:r>
        <w:t xml:space="preserve">8. Considera un tema completamente y resiste al impulso de llegar a una conclusión rápida.</w:t>
      </w:r>
    </w:p>
    <w:p>
      <w:pPr>
        <w:pStyle w:val="Normal"/>
      </w:pPr>
      <w:r>
        <w:t xml:space="preserve">10. Usa la comprensión de la estructura de un sistema para identificar posibles acciones de efecto apalancamiento.</w:t>
      </w:r>
    </w:p>
    <w:p>
      <w:pPr>
        <w:pStyle w:val="Normal"/>
      </w:pPr>
      <w:r>
        <w:t xml:space="preserve">11. Considera las consecuencias a corto plazo, a largo plazo, e inesperadas de las acciones.</w:t>
      </w:r>
    </w:p>
    <w:p>
      <w:pPr>
        <w:pStyle w:val="Normal"/>
      </w:pPr>
      <w:r>
        <w:t xml:space="preserve">12. Presta atención a las acumulaciones y sus tasas de cambio.</w:t>
      </w:r>
    </w:p>
    <w:p>
      <w:pPr>
        <w:pStyle w:val="Normal"/>
      </w:pPr>
      <w:r>
        <w:t xml:space="preserve">14. Examina los resultados y cambia las acciones si es necesario: «aproximación sucesiva».</w:t>
      </w:r>
    </w:p>
    <w:p>
      <w:pPr>
        <w:pStyle w:val="Normal"/>
      </w:pPr>
      <w:r>
        <w:t xml:space="preserve">Son los que acompañan la simulación y la toma de decisiones. La presentación 4b, en su lámina 2, marca sólo cuatro, los de la decisión: el 12 queda fuera. El número es el del póster, que no coincide con el orden de los cursos de hábitos del portal.</w:t>
      </w:r>
    </w:p>
    <w:p>
      <w:pPr>
        <w:pStyle w:val="Heading3"/>
      </w:pPr>
      <w:r>
        <w:t xml:space="preserve">Criterios para una respuesta completa</w:t>
      </w:r>
    </w:p>
    <w:p>
      <w:pPr>
        <w:pStyle w:val="Normal"/>
        <w:numPr>
          <w:ilvl w:val="0"/>
          <w:numId w:val="2"/>
        </w:numPr>
      </w:pPr>
      <w:r>
        <w:t xml:space="preserve">Nombra el hábito 8: «Considera un tema completamente y resiste al impulso de llegar a una conclusión rápida».</w:t>
      </w:r>
    </w:p>
    <w:p>
      <w:pPr>
        <w:pStyle w:val="Normal"/>
        <w:numPr>
          <w:ilvl w:val="0"/>
          <w:numId w:val="2"/>
        </w:numPr>
      </w:pPr>
      <w:r>
        <w:t xml:space="preserve">Nombra el hábito 10: «Usa la comprensión de la estructura de un sistema para identificar posibles acciones de efecto apalancamiento».</w:t>
      </w:r>
    </w:p>
    <w:p>
      <w:pPr>
        <w:pStyle w:val="Normal"/>
        <w:numPr>
          <w:ilvl w:val="0"/>
          <w:numId w:val="2"/>
        </w:numPr>
      </w:pPr>
      <w:r>
        <w:t xml:space="preserve">Nombra el hábito 11: «Considera las consecuencias a corto plazo, a largo plazo, e inesperadas de las acciones».</w:t>
      </w:r>
    </w:p>
    <w:p>
      <w:pPr>
        <w:pStyle w:val="Normal"/>
        <w:numPr>
          <w:ilvl w:val="0"/>
          <w:numId w:val="2"/>
        </w:numPr>
      </w:pPr>
      <w:r>
        <w:t xml:space="preserve">Nombra el hábito 12: «Presta atención a las acumulaciones y sus tasas de cambio».</w:t>
      </w:r>
    </w:p>
    <w:p>
      <w:pPr>
        <w:pStyle w:val="Normal"/>
        <w:numPr>
          <w:ilvl w:val="0"/>
          <w:numId w:val="2"/>
        </w:numPr>
      </w:pPr>
      <w:r>
        <w:t xml:space="preserve">Nombra el hábito 14: «Examina los resultados y cambia las acciones si es necesario: «aproximación sucesiva»».</w:t>
      </w:r>
    </w:p>
    <w:p>
      <w:pPr>
        <w:pStyle w:val="Normal"/>
        <w:numPr>
          <w:ilvl w:val="0"/>
          <w:numId w:val="2"/>
        </w:numPr>
      </w:pPr>
      <w:r>
        <w:t xml:space="preserve">Usa la numeración del póster.</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9C620A" w:sz="20"/>
              <w:bottom w:val="nil"/>
              <w:right w:val="nil"/>
            </w:tcBorders>
            <w:shd w:fill="FBF3DF" w:val="clear"/>
            <w:tcMar>
              <w:top w:type="dxa" w:w="130"/>
              <w:left w:type="dxa" w:w="180"/>
              <w:bottom w:type="dxa" w:w="130"/>
              <w:right w:type="dxa" w:w="180"/>
            </w:tcMar>
          </w:tcPr>
          <w:p>
            <w:pPr>
              <w:pStyle w:val="RecuadroTitulo"/>
            </w:pPr>
            <w:r>
              <w:rPr>
                <w:b/>
                <w:bCs/>
                <w:color w:val="9C620A"/>
              </w:rPr>
              <w:t xml:space="preserve">Advertencia y límites</w:t>
            </w:r>
          </w:p>
          <w:p>
            <w:pPr>
              <w:pStyle w:val="Recuadro"/>
            </w:pPr>
            <w:r>
              <w:t xml:space="preserve">Mezclarlos con los cinco que profundizan en las estructuras de la unidad 3, como «Reconoce el impacto de las demoras» (el 13).</w:t>
            </w:r>
          </w:p>
        </w:tc>
      </w:tr>
    </w:tbl>
    <w:p>
      <w:pPr>
        <w:pStyle w:val="Fuente"/>
      </w:pPr>
      <w:r>
        <w:t xml:space="preserve">Presentación 4a (C-3), láminas 3 y 4</w:t>
      </w:r>
    </w:p>
    <w:p>
      <w:pPr>
        <w:pStyle w:val="Heading3"/>
      </w:pPr>
      <w:bookmarkStart w:name="b_pregunta_p3d_07_resiliencia_sistemica" w:id="5806"/>
      <w:r>
        <w:t xml:space="preserve">6.7 · Unidad 4 · 4.7 · Hábitos: la resiliencia con enfoque sistémico</w:t>
      </w:r>
      <w:bookmarkEnd w:id="5806"/>
    </w:p>
    <w:p>
      <w:pPr>
        <w:pStyle w:val="Normal"/>
      </w:pPr>
      <w:r>
        <w:t xml:space="preserve">Explique la resiliencia con enfoque sistémico: nombre sus cuatro pilares y diga cómo el modelo del Hoy al Mañana los organiza.</w:t>
      </w:r>
    </w:p>
    <w:p>
      <w:pPr>
        <w:pStyle w:val="Fuente"/>
      </w:pPr>
      <w:r>
        <w:t xml:space="preserve">Ordinal de la fuente: 7 · complemento editorial.</w:t>
      </w:r>
    </w:p>
    <w:p>
      <w:pPr>
        <w:pStyle w:val="Heading3"/>
      </w:pPr>
      <w:bookmarkStart w:name="b_solucion_p3d_07_resiliencia_sistemica" w:id="5807"/>
      <w:r>
        <w:t xml:space="preserve">Solución 6.7</w:t>
      </w:r>
      <w:bookmarkEnd w:id="5807"/>
    </w:p>
    <w:p>
      <w:pPr>
        <w:pStyle w:val="RecuadroTitulo"/>
      </w:pPr>
      <w:r>
        <w:t xml:space="preserve">Respuesta modelo</w:t>
      </w:r>
    </w:p>
    <w:p>
      <w:pPr>
        <w:pStyle w:val="Normal"/>
      </w:pPr>
      <w:r>
        <w:t xml:space="preserve">Los cuatro pilares son: existencia de objetivos futuros; enfrentando la realidad; la búsqueda de sentido; la habilidad de hacer las cosas con los elementos que se tengan a mano.</w:t>
      </w:r>
    </w:p>
    <w:p>
      <w:pPr>
        <w:pStyle w:val="Normal"/>
      </w:pPr>
      <w:r>
        <w:t xml:space="preserve">El modelo los conecta: A) Dónde queremos estar: el Mañana; B) Cómo sabremos que hemos llegado: el feedback; C) Dónde estamos: el Hoy; D) El proceso: hacer las cosas con lo que tengamos a mano; E) El medio ambiente: el entorno. Los objetivos fijan el Mañana, enfrentar la realidad es conocer el Hoy, hacer las cosas con lo que se tiene es el proceso que lleva de uno a otro, y la búsqueda de sentido sostiene el feedback, unido a los valores.</w:t>
      </w:r>
    </w:p>
    <w:p>
      <w:pPr>
        <w:pStyle w:val="Normal"/>
      </w:pPr>
      <w:r>
        <w:t xml:space="preserve">Es sistémico porque es un ciclo: el feedback compara lo logrado con la meta y corrige el proceso, en un entorno que cambia y obliga a ajustar.</w:t>
      </w:r>
    </w:p>
    <w:p>
      <w:pPr>
        <w:pStyle w:val="Heading3"/>
      </w:pPr>
      <w:r>
        <w:t xml:space="preserve">Criterios para una respuesta completa</w:t>
      </w:r>
    </w:p>
    <w:p>
      <w:pPr>
        <w:pStyle w:val="Normal"/>
        <w:numPr>
          <w:ilvl w:val="0"/>
          <w:numId w:val="2"/>
        </w:numPr>
      </w:pPr>
      <w:r>
        <w:t xml:space="preserve">Nombra los cuatro pilares.</w:t>
      </w:r>
    </w:p>
    <w:p>
      <w:pPr>
        <w:pStyle w:val="Normal"/>
        <w:numPr>
          <w:ilvl w:val="0"/>
          <w:numId w:val="2"/>
        </w:numPr>
      </w:pPr>
      <w:r>
        <w:t xml:space="preserve">Distingue el Hoy (la realidad) del Mañana (los objetivos).</w:t>
      </w:r>
    </w:p>
    <w:p>
      <w:pPr>
        <w:pStyle w:val="Normal"/>
        <w:numPr>
          <w:ilvl w:val="0"/>
          <w:numId w:val="2"/>
        </w:numPr>
      </w:pPr>
      <w:r>
        <w:t xml:space="preserve">Explica el proceso como el uso de lo que se tiene a mano para ir del Hoy al Mañana.</w:t>
      </w:r>
    </w:p>
    <w:p>
      <w:pPr>
        <w:pStyle w:val="Normal"/>
        <w:numPr>
          <w:ilvl w:val="0"/>
          <w:numId w:val="2"/>
        </w:numPr>
      </w:pPr>
      <w:r>
        <w:t xml:space="preserve">Menciona el feedback unido a los valores y el entorno cambiante.</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9C620A" w:sz="20"/>
              <w:bottom w:val="nil"/>
              <w:right w:val="nil"/>
            </w:tcBorders>
            <w:shd w:fill="FBF3DF" w:val="clear"/>
            <w:tcMar>
              <w:top w:type="dxa" w:w="130"/>
              <w:left w:type="dxa" w:w="180"/>
              <w:bottom w:type="dxa" w:w="130"/>
              <w:right w:type="dxa" w:w="180"/>
            </w:tcMar>
          </w:tcPr>
          <w:p>
            <w:pPr>
              <w:pStyle w:val="RecuadroTitulo"/>
            </w:pPr>
            <w:r>
              <w:rPr>
                <w:b/>
                <w:bCs/>
                <w:color w:val="9C620A"/>
              </w:rPr>
              <w:t xml:space="preserve">Advertencia y límites</w:t>
            </w:r>
          </w:p>
          <w:p>
            <w:pPr>
              <w:pStyle w:val="Recuadro"/>
            </w:pPr>
            <w:r>
              <w:t xml:space="preserve">Confundir los pilares con las seis habilidades —positivos, concentrados, flexibles, organizados, proactivos y adaptables—, que son otra lista de la misma lectura.</w:t>
            </w:r>
          </w:p>
        </w:tc>
      </w:tr>
    </w:tbl>
    <w:p>
      <w:pPr>
        <w:pStyle w:val="Fuente"/>
      </w:pPr>
      <w:r>
        <w:t xml:space="preserve">lectura L-20, págs. 2 a 4 · Presentación 4b (C-4), láminas 37 y 38</w:t>
      </w:r>
    </w:p>
    <w:p>
      <w:pPr>
        <w:pStyle w:val="Heading3"/>
      </w:pPr>
      <w:bookmarkStart w:name="b_pregunta_p3d_08_convergencia__e33981c5" w:id="5808"/>
      <w:r>
        <w:t xml:space="preserve">6.8 · Unidad 4 · 4.5 · Ejemplos en VENSIM: convergencia a un valor</w:t>
      </w:r>
      <w:bookmarkEnd w:id="5808"/>
    </w:p>
    <w:p>
      <w:pPr>
        <w:pStyle w:val="Normal"/>
      </w:pPr>
      <w:r>
        <w:t xml:space="preserve">Un stock empieza en 1000. Su entrada corrige el error respecto de una referencia, ENTRADA = 0,2·(REFERENCIA − STOCK), y su salida es proporcional al stock, SALIDA = 0,1·STOCK. Con REFERENCIA = 5000, explique por qué el stock no llega a la referencia y dónde se estabiliza.</w:t>
      </w:r>
    </w:p>
    <w:p>
      <w:pPr>
        <w:pStyle w:val="Fuente"/>
      </w:pPr>
      <w:r>
        <w:t xml:space="preserve">Ordinal de la fuente: 8 · complemento editorial.</w:t>
      </w:r>
    </w:p>
    <w:p>
      <w:pPr>
        <w:pStyle w:val="Heading3"/>
      </w:pPr>
      <w:bookmarkStart w:name="b_solucion_p3d_08_convergencia__22a14444" w:id="5809"/>
      <w:r>
        <w:t xml:space="preserve">Solución 6.8</w:t>
      </w:r>
      <w:bookmarkEnd w:id="5809"/>
    </w:p>
    <w:p>
      <w:pPr>
        <w:pStyle w:val="RecuadroTitulo"/>
      </w:pPr>
      <w:r>
        <w:t xml:space="preserve">Respuesta modelo</w:t>
      </w:r>
    </w:p>
    <w:p>
      <w:pPr>
        <w:pStyle w:val="Normal"/>
      </w:pPr>
      <w:r>
        <w:t xml:space="preserve">El stock deja de cambiar cuando la entrada iguala a la salida: 0,2·(5000 − S) = 0,1·S, de donde S = 2·5000/3 ≈ 3333,3.</w:t>
      </w:r>
    </w:p>
    <w:p>
      <w:pPr>
        <w:pStyle w:val="Normal"/>
      </w:pPr>
      <w:r>
        <w:t xml:space="preserve">No llega a 5000 porque la salida sigue drenando: cuanto más se acerca a la referencia, menor es la corrección, y en 3333,3 la corrección apenas repone lo que sale. Se acerca a ese valor como S(t) = 3333,3 − 2333,3·e^(−0,3·t): una convergencia, el patrón del ciclo de balance.</w:t>
      </w:r>
    </w:p>
    <w:p>
      <w:pPr>
        <w:pStyle w:val="Heading3"/>
      </w:pPr>
      <w:r>
        <w:t xml:space="preserve">Criterios para una respuesta completa</w:t>
      </w:r>
    </w:p>
    <w:p>
      <w:pPr>
        <w:pStyle w:val="Normal"/>
        <w:numPr>
          <w:ilvl w:val="0"/>
          <w:numId w:val="2"/>
        </w:numPr>
      </w:pPr>
      <w:r>
        <w:t xml:space="preserve">Iguala la entrada con la salida para hallar el equilibrio.</w:t>
      </w:r>
    </w:p>
    <w:p>
      <w:pPr>
        <w:pStyle w:val="Normal"/>
        <w:numPr>
          <w:ilvl w:val="0"/>
          <w:numId w:val="2"/>
        </w:numPr>
      </w:pPr>
      <w:r>
        <w:t xml:space="preserve">Llega a 2R/3, unos 3333.</w:t>
      </w:r>
    </w:p>
    <w:p>
      <w:pPr>
        <w:pStyle w:val="Normal"/>
        <w:numPr>
          <w:ilvl w:val="0"/>
          <w:numId w:val="2"/>
        </w:numPr>
      </w:pPr>
      <w:r>
        <w:t xml:space="preserve">Explica que la salida impide alcanzar la referencia.</w:t>
      </w:r>
    </w:p>
    <w:p>
      <w:pPr>
        <w:pStyle w:val="Normal"/>
        <w:numPr>
          <w:ilvl w:val="0"/>
          <w:numId w:val="2"/>
        </w:numPr>
      </w:pPr>
      <w:r>
        <w:t xml:space="preserve">Nombra el patrón: convergencia a un valor.</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9C620A" w:sz="20"/>
              <w:bottom w:val="nil"/>
              <w:right w:val="nil"/>
            </w:tcBorders>
            <w:shd w:fill="FBF3DF" w:val="clear"/>
            <w:tcMar>
              <w:top w:type="dxa" w:w="130"/>
              <w:left w:type="dxa" w:w="180"/>
              <w:bottom w:type="dxa" w:w="130"/>
              <w:right w:type="dxa" w:w="180"/>
            </w:tcMar>
          </w:tcPr>
          <w:p>
            <w:pPr>
              <w:pStyle w:val="RecuadroTitulo"/>
            </w:pPr>
            <w:r>
              <w:rPr>
                <w:b/>
                <w:bCs/>
                <w:color w:val="9C620A"/>
              </w:rPr>
              <w:t xml:space="preserve">Advertencia y límites</w:t>
            </w:r>
          </w:p>
          <w:p>
            <w:pPr>
              <w:pStyle w:val="Recuadro"/>
            </w:pPr>
            <w:r>
              <w:t xml:space="preserve">La lámina 50 no dice cuánto vale la referencia; con la de la lámina 51, 5000, la curva se estabiliza en 3333, como en su gráfica. Suponer que una corrección hacia la referencia siempre la alcanza: lo haría sólo sin salida.</w:t>
            </w:r>
          </w:p>
        </w:tc>
      </w:tr>
    </w:tbl>
    <w:p>
      <w:pPr>
        <w:pStyle w:val="Fuente"/>
      </w:pPr>
      <w:r>
        <w:t xml:space="preserve">Presentación 4a (C-3), láminas 50 y 51</w:t>
      </w:r>
    </w:p>
    <w:p>
      <w:pPr>
        <w:pStyle w:val="Heading3"/>
      </w:pPr>
      <w:bookmarkStart w:name="b_pregunta_p3d_09_modelar_segun_el_uso" w:id="5810"/>
      <w:r>
        <w:t xml:space="preserve">6.9 · Unidad 4 · 4.4 · Simulación con VENSIM: modelado según su uso</w:t>
      </w:r>
      <w:bookmarkEnd w:id="5810"/>
    </w:p>
    <w:p>
      <w:pPr>
        <w:pStyle w:val="Normal"/>
      </w:pPr>
      <w:r>
        <w:t xml:space="preserve">Según el uso, la presentación 4a distingue tres modelados. Nómbrelos y dé de cada uno un ejemplo con el modelo del préstamo bancario.</w:t>
      </w:r>
    </w:p>
    <w:p>
      <w:pPr>
        <w:pStyle w:val="Fuente"/>
      </w:pPr>
      <w:r>
        <w:t xml:space="preserve">Ordinal de la fuente: 9 · complemento editorial.</w:t>
      </w:r>
    </w:p>
    <w:p>
      <w:pPr>
        <w:pStyle w:val="Heading3"/>
      </w:pPr>
      <w:bookmarkStart w:name="b_solucion_p3d_09_modelar_segun_el_uso" w:id="5811"/>
      <w:r>
        <w:t xml:space="preserve">Solución 6.9</w:t>
      </w:r>
      <w:bookmarkEnd w:id="5811"/>
    </w:p>
    <w:p>
      <w:pPr>
        <w:pStyle w:val="RecuadroTitulo"/>
      </w:pPr>
      <w:r>
        <w:t xml:space="preserve">Respuesta modelo</w:t>
      </w:r>
    </w:p>
    <w:p>
      <w:pPr>
        <w:pStyle w:val="Normal"/>
      </w:pPr>
      <w:r>
        <w:t xml:space="preserve">Modelado para el aprendizaje: lo real se percibe y forma un modelo mental; al formalizarlo y simularlo, la simulación reformula ese modelo mental. Al simular el préstamo se aprende que el banco 2, más barato al principio, termina siendo el más caro.</w:t>
      </w:r>
    </w:p>
    <w:p>
      <w:pPr>
        <w:pStyle w:val="Normal"/>
      </w:pPr>
      <w:r>
        <w:t xml:space="preserve">Modelado para la explicación: el modelo sirve para explicar a otros cómo funciona el sistema. Con la gráfica de los dos saldos se le explica a otra persona por qué la oferta de perdonar $1,000.00 conviene sólo en los primeros 14 meses.</w:t>
      </w:r>
    </w:p>
    <w:p>
      <w:pPr>
        <w:pStyle w:val="Normal"/>
      </w:pPr>
      <w:r>
        <w:t xml:space="preserve">Modelado para la intervención: el modelo es la referencia para actuar sobre la realidad. Con él se decide en qué banco pedir el préstamo o qué tasa negociar.</w:t>
      </w:r>
    </w:p>
    <w:p>
      <w:pPr>
        <w:pStyle w:val="Heading3"/>
      </w:pPr>
      <w:r>
        <w:t xml:space="preserve">Criterios para una respuesta completa</w:t>
      </w:r>
    </w:p>
    <w:p>
      <w:pPr>
        <w:pStyle w:val="Normal"/>
        <w:numPr>
          <w:ilvl w:val="0"/>
          <w:numId w:val="2"/>
        </w:numPr>
      </w:pPr>
      <w:r>
        <w:t xml:space="preserve">Nombra el modelado para el aprendizaje, para la explicación y para la intervención.</w:t>
      </w:r>
    </w:p>
    <w:p>
      <w:pPr>
        <w:pStyle w:val="Normal"/>
        <w:numPr>
          <w:ilvl w:val="0"/>
          <w:numId w:val="2"/>
        </w:numPr>
      </w:pPr>
      <w:r>
        <w:t xml:space="preserve">Explica el aprendizaje como la reformulación del modelo mental por la simulación.</w:t>
      </w:r>
    </w:p>
    <w:p>
      <w:pPr>
        <w:pStyle w:val="Normal"/>
        <w:numPr>
          <w:ilvl w:val="0"/>
          <w:numId w:val="2"/>
        </w:numPr>
      </w:pPr>
      <w:r>
        <w:t xml:space="preserve">Da un ejemplo de cada uno con el préstamo.</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9C620A" w:sz="20"/>
              <w:bottom w:val="nil"/>
              <w:right w:val="nil"/>
            </w:tcBorders>
            <w:shd w:fill="FBF3DF" w:val="clear"/>
            <w:tcMar>
              <w:top w:type="dxa" w:w="130"/>
              <w:left w:type="dxa" w:w="180"/>
              <w:bottom w:type="dxa" w:w="130"/>
              <w:right w:type="dxa" w:w="180"/>
            </w:tcMar>
          </w:tcPr>
          <w:p>
            <w:pPr>
              <w:pStyle w:val="RecuadroTitulo"/>
            </w:pPr>
            <w:r>
              <w:rPr>
                <w:b/>
                <w:bCs/>
                <w:color w:val="9C620A"/>
              </w:rPr>
              <w:t xml:space="preserve">Advertencia y límites</w:t>
            </w:r>
          </w:p>
          <w:p>
            <w:pPr>
              <w:pStyle w:val="Recuadro"/>
            </w:pPr>
            <w:r>
              <w:t xml:space="preserve">Confundirlos con los tipos de modelado de réplica, reconstrucción y construcción, que la presentación clasifica en otras láminas.</w:t>
            </w:r>
          </w:p>
        </w:tc>
      </w:tr>
    </w:tbl>
    <w:p>
      <w:pPr>
        <w:pStyle w:val="Fuente"/>
      </w:pPr>
      <w:r>
        <w:t xml:space="preserve">Presentación 4a (C-3), láminas 38, 39 y 40</w:t>
      </w:r>
    </w:p>
    <w:p>
      <w:pPr>
        <w:pStyle w:val="Heading3"/>
      </w:pPr>
      <w:bookmarkStart w:name="b_pregunta_p3d_10_capacidad_de_planta" w:id="5812"/>
      <w:r>
        <w:t xml:space="preserve">6.10 · Unidad 4 · 4.3 · De ciclos causales a flujos: el ejercicio 1</w:t>
      </w:r>
      <w:bookmarkEnd w:id="5812"/>
    </w:p>
    <w:p>
      <w:pPr>
        <w:pStyle w:val="Normal"/>
      </w:pPr>
      <w:r>
        <w:t xml:space="preserve">Convierta el diagrama de ciclos causales de la figura en un diagrama de flujos y niveles. Clasifique cada variable como nivel, flujo, auxiliar o constante y escriba la ecuación del nivel.</w:t>
      </w:r>
    </w:p>
    <w:p>
      <w:pPr>
        <w:pStyle w:val="Fuente"/>
      </w:pPr>
      <w:r>
        <w:t xml:space="preserve">Ordinal de la fuente: 10 · complemento editorial.</w:t>
      </w:r>
    </w:p>
    <w:p>
      <w:pPr>
        <w:keepNext/>
        <w:spacing w:after="40" w:before="150"/>
        <w:jc w:val="center"/>
      </w:pPr>
      <w:bookmarkStart w:name="b_figura_original_p3d_10_capaci_085960f5" w:id="5813"/>
      <w:bookmarkEnd w:id="5813"/>
      <w:r>
        <w:drawing>
          <wp:inline distT="0" distB="0" distL="0" distR="0">
            <wp:extent cx="5381625" cy="3143250"/>
            <wp:effectExtent t="0" r="0" b="0" l="0"/>
            <wp:docPr id="262" name="p3d-10-capacidad-de-planta-enunciado" descr="Presentación 4a (C-3), láminas 18, 19 y 20" title="Unidad 4 · 4.3 · De ciclos causales a flujos: el ejercici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25" cstate="none"/>
                    <a:srcRect/>
                    <a:stretch>
                      <a:fillRect/>
                    </a:stretch>
                  </pic:blipFill>
                  <pic:spPr bwMode="auto">
                    <a:xfrm>
                      <a:off x="0" y="0"/>
                      <a:ext cx="5381625" cy="3143250"/>
                    </a:xfrm>
                    <a:prstGeom prst="rect">
                      <a:avLst/>
                    </a:prstGeom>
                  </pic:spPr>
                </pic:pic>
              </a:graphicData>
            </a:graphic>
          </wp:inline>
        </w:drawing>
      </w:r>
    </w:p>
    <w:p>
      <w:pPr>
        <w:pStyle w:val="PieFigura"/>
        <w:keepNext/>
      </w:pPr>
      <w:bookmarkStart w:name="b_fig_V6_4" w:id="5814"/>
      <w:r>
        <w:t xml:space="preserve">Figura V6.</w:t>
      </w:r>
      <w:fldSimple w:instr="SEQ Figura \n \* ARABIC">
        <w:r>
          <w:t xml:space="preserve">4</w:t>
        </w:r>
      </w:fldSimple>
      <w:r>
        <w:t xml:space="preserve"> · Unidad 4 · 4.3 · De ciclos causales a flujos: el ejercicio 1</w:t>
      </w:r>
      <w:bookmarkEnd w:id="5814"/>
    </w:p>
    <w:p>
      <w:pPr>
        <w:pStyle w:val="LecturaFigura"/>
        <w:keepNext/>
      </w:pPr>
      <w:r>
        <w:rPr>
          <w:b/>
          <w:bCs/>
        </w:rPr>
        <w:t xml:space="preserve">Lectura del diagrama: </w:t>
      </w:r>
      <w:r>
        <w:t xml:space="preserve">Presentación 4a · pág. 19 · Ejercicio #1 de conversión de DCC a diagramas de flujo y niveles</w:t>
      </w:r>
    </w:p>
    <w:p>
      <w:pPr>
        <w:pStyle w:val="Fuente"/>
      </w:pPr>
      <w:r>
        <w:t xml:space="preserve">Presentación 4a (C-3), láminas 18, 19 y 20</w:t>
      </w:r>
    </w:p>
    <w:p>
      <w:pPr>
        <w:pStyle w:val="Heading3"/>
      </w:pPr>
      <w:bookmarkStart w:name="b_solucion_p3d_10_capacidad_de_planta" w:id="5815"/>
      <w:r>
        <w:t xml:space="preserve">Solución 6.10</w:t>
      </w:r>
      <w:bookmarkEnd w:id="5815"/>
    </w:p>
    <w:p>
      <w:pPr>
        <w:pStyle w:val="RecuadroTitulo"/>
      </w:pPr>
      <w:r>
        <w:t xml:space="preserve">Respuesta modelo</w:t>
      </w:r>
    </w:p>
    <w:p>
      <w:pPr>
        <w:pStyle w:val="Normal"/>
      </w:pPr>
      <w:r>
        <w:t xml:space="preserve">Capacidad de planta es el nivel: es lo que la planta tiene en un instante y se acumula con los ajustes.</w:t>
      </w:r>
    </w:p>
    <w:p>
      <w:pPr>
        <w:pStyle w:val="Normal"/>
      </w:pPr>
      <w:r>
        <w:t xml:space="preserve">Ajustes de capacidad es su flujo de entrada: es la única flecha que entra al nivel, con signo +. Viene de una nube, porque de dónde sale la capacidad nueva no interesa al modelo.</w:t>
      </w:r>
    </w:p>
    <w:p>
      <w:pPr>
        <w:pStyle w:val="Normal"/>
      </w:pPr>
      <w:r>
        <w:t xml:space="preserve">Falta de capacidad es una auxiliar: se calcula en cada instante como la diferencia entre la demanda y la capacidad. La demanda promedio de los clientes es una constante: ninguna flecha llega a ella.</w:t>
      </w:r>
    </w:p>
    <w:p>
      <w:pPr>
        <w:pStyle w:val="Normal"/>
      </w:pPr>
      <w:r>
        <w:t xml:space="preserve">Ecuación del nivel: d(Capacidad)/dt = Ajustes. Los ajustes dependen de la falta de capacidad (+), y la falta, de la capacidad (−) y de la demanda (+): el ciclo de balance del diagrama causal sigue ahí.</w:t>
      </w:r>
    </w:p>
    <w:p>
      <w:pPr>
        <w:keepNext/>
        <w:spacing w:after="40" w:before="150"/>
        <w:jc w:val="center"/>
      </w:pPr>
      <w:bookmarkStart w:name="b_figura_original_p3d_10_capaci_edceacbf" w:id="5816"/>
      <w:bookmarkEnd w:id="5816"/>
      <w:r>
        <w:drawing>
          <wp:inline distT="0" distB="0" distL="0" distR="0">
            <wp:extent cx="5381625" cy="1295400"/>
            <wp:effectExtent t="0" r="0" b="0" l="0"/>
            <wp:docPr id="263" name="p3d-10-capacidad-de-planta-modelo" descr="Presentación 4a (C-3), láminas 18, 19 y 20" title="Unidad 4 · 4.3 · De ciclos causales a flujos: el ejercici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26" cstate="none"/>
                    <a:srcRect/>
                    <a:stretch>
                      <a:fillRect/>
                    </a:stretch>
                  </pic:blipFill>
                  <pic:spPr bwMode="auto">
                    <a:xfrm>
                      <a:off x="0" y="0"/>
                      <a:ext cx="5381625" cy="1295400"/>
                    </a:xfrm>
                    <a:prstGeom prst="rect">
                      <a:avLst/>
                    </a:prstGeom>
                  </pic:spPr>
                </pic:pic>
              </a:graphicData>
            </a:graphic>
          </wp:inline>
        </w:drawing>
      </w:r>
    </w:p>
    <w:p>
      <w:pPr>
        <w:pStyle w:val="PieFigura"/>
        <w:keepNext/>
      </w:pPr>
      <w:bookmarkStart w:name="b_fig_V6_5" w:id="5817"/>
      <w:r>
        <w:t xml:space="preserve">Figura V6.</w:t>
      </w:r>
      <w:fldSimple w:instr="SEQ Figura \n \* ARABIC">
        <w:r>
          <w:t xml:space="preserve">5</w:t>
        </w:r>
      </w:fldSimple>
      <w:r>
        <w:t xml:space="preserve"> · Unidad 4 · 4.3 · De ciclos causales a flujos: el ejercicio 1</w:t>
      </w:r>
      <w:bookmarkEnd w:id="5817"/>
    </w:p>
    <w:p>
      <w:pPr>
        <w:pStyle w:val="Fuente"/>
      </w:pPr>
      <w:r>
        <w:t xml:space="preserve">Presentación 4a (C-3), láminas 18, 19 y 20</w:t>
      </w:r>
    </w:p>
    <w:p>
      <w:pPr>
        <w:pStyle w:val="Heading3"/>
      </w:pPr>
      <w:r>
        <w:t xml:space="preserve">Criterios para una respuesta completa</w:t>
      </w:r>
    </w:p>
    <w:p>
      <w:pPr>
        <w:pStyle w:val="Normal"/>
        <w:numPr>
          <w:ilvl w:val="0"/>
          <w:numId w:val="2"/>
        </w:numPr>
      </w:pPr>
      <w:r>
        <w:t xml:space="preserve">Pone la capacidad de planta como nivel.</w:t>
      </w:r>
    </w:p>
    <w:p>
      <w:pPr>
        <w:pStyle w:val="Normal"/>
        <w:numPr>
          <w:ilvl w:val="0"/>
          <w:numId w:val="2"/>
        </w:numPr>
      </w:pPr>
      <w:r>
        <w:t xml:space="preserve">Pone los ajustes como flujo de entrada, desde una nube.</w:t>
      </w:r>
    </w:p>
    <w:p>
      <w:pPr>
        <w:pStyle w:val="Normal"/>
        <w:numPr>
          <w:ilvl w:val="0"/>
          <w:numId w:val="2"/>
        </w:numPr>
      </w:pPr>
      <w:r>
        <w:t xml:space="preserve">Pone la falta de capacidad como auxiliar y la demanda como constante.</w:t>
      </w:r>
    </w:p>
    <w:p>
      <w:pPr>
        <w:pStyle w:val="Normal"/>
        <w:numPr>
          <w:ilvl w:val="0"/>
          <w:numId w:val="2"/>
        </w:numPr>
      </w:pPr>
      <w:r>
        <w:t xml:space="preserve">Escribe d(Capacidad)/dt = Ajustes.</w:t>
      </w:r>
    </w:p>
    <w:p>
      <w:pPr>
        <w:pStyle w:val="Normal"/>
        <w:numPr>
          <w:ilvl w:val="0"/>
          <w:numId w:val="2"/>
        </w:numPr>
      </w:pPr>
      <w:r>
        <w:t xml:space="preserve">Conserva el ciclo de balance del diagrama causal.</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9C620A" w:sz="20"/>
              <w:bottom w:val="nil"/>
              <w:right w:val="nil"/>
            </w:tcBorders>
            <w:shd w:fill="FBF3DF" w:val="clear"/>
            <w:tcMar>
              <w:top w:type="dxa" w:w="130"/>
              <w:left w:type="dxa" w:w="180"/>
              <w:bottom w:type="dxa" w:w="130"/>
              <w:right w:type="dxa" w:w="180"/>
            </w:tcMar>
          </w:tcPr>
          <w:p>
            <w:pPr>
              <w:pStyle w:val="RecuadroTitulo"/>
            </w:pPr>
            <w:r>
              <w:rPr>
                <w:b/>
                <w:bCs/>
                <w:color w:val="9C620A"/>
              </w:rPr>
              <w:t xml:space="preserve">Advertencia y límites</w:t>
            </w:r>
          </w:p>
          <w:p>
            <w:pPr>
              <w:pStyle w:val="Recuadro"/>
            </w:pPr>
            <w:r>
              <w:t xml:space="preserve">Hacer nivel a la falta de capacidad: no se acumula, se recalcula en cada instante desde la demanda y la capacidad.</w:t>
            </w:r>
          </w:p>
        </w:tc>
      </w:tr>
    </w:tbl>
    <w:p>
      <w:pPr>
        <w:pStyle w:val="Fuente"/>
      </w:pPr>
      <w:r>
        <w:t xml:space="preserve">Presentación 4a (C-3), láminas 18, 19 y 20</w:t>
      </w:r>
    </w:p>
    <w:p>
      <w:pPr>
        <w:pStyle w:val="Heading3"/>
      </w:pPr>
      <w:bookmarkStart w:name="b_pregunta_p3d_11_la_avenida_ampliada" w:id="5818"/>
      <w:r>
        <w:t xml:space="preserve">6.11 · Unidad 4 · 4.1 · Arquetipos: de la historia al diagrama</w:t>
      </w:r>
      <w:bookmarkEnd w:id="5818"/>
    </w:p>
    <w:p>
      <w:pPr>
        <w:pStyle w:val="Normal"/>
      </w:pPr>
      <w:r>
        <w:t xml:space="preserve">Para bajar el tráfico de una avenida, la municipalidad la amplía de dos a cuatro carriles. Los primeros meses el viaje es más rápido; como ahora es más cómodo, más personas dejan el bus y usan su carro, y en dos años la avenida está tan congestionada como antes. Identifique el arquetipo, dibuje su diagrama de ciclos causales con signos y letras, y proponga una acción de apalancamiento.</w:t>
      </w:r>
    </w:p>
    <w:p>
      <w:pPr>
        <w:pStyle w:val="Fuente"/>
      </w:pPr>
      <w:r>
        <w:t xml:space="preserve">Ordinal de la fuente: 11 · complemento editorial.</w:t>
      </w:r>
    </w:p>
    <w:p>
      <w:pPr>
        <w:pStyle w:val="Heading3"/>
      </w:pPr>
      <w:bookmarkStart w:name="b_solucion_p3d_11_la_avenida_ampliada" w:id="5819"/>
      <w:r>
        <w:t xml:space="preserve">Solución 6.11</w:t>
      </w:r>
      <w:bookmarkEnd w:id="5819"/>
    </w:p>
    <w:p>
      <w:pPr>
        <w:pStyle w:val="RecuadroTitulo"/>
      </w:pPr>
      <w:r>
        <w:t xml:space="preserve">Respuesta modelo</w:t>
      </w:r>
    </w:p>
    <w:p>
      <w:pPr>
        <w:pStyle w:val="Normal"/>
      </w:pPr>
      <w:r>
        <w:t xml:space="preserve">Es «Soluciones rápidas que fallan»: un síntoma (la congestión) exige solución, la solución (ampliar la avenida) lo alivia, pero sus consecuencias no intencionadas lo agudizan.</w:t>
      </w:r>
    </w:p>
    <w:p>
      <w:pPr>
        <w:pStyle w:val="Normal"/>
      </w:pPr>
      <w:r>
        <w:t xml:space="preserve">Ciclo B1: congestión → ampliación de carriles (+) → congestión (−). Ciclo R2: ampliación de carriles → comodidad de viajar en carro y uso del carro (+, con demora) → congestión (+); con una sola negativa en B1 y ninguna en R2, uno es de balance y el otro de refuerzo.</w:t>
      </w:r>
    </w:p>
    <w:p>
      <w:pPr>
        <w:pStyle w:val="Normal"/>
      </w:pPr>
      <w:r>
        <w:t xml:space="preserve">Siguiendo a Kim, la palanca no está en ampliar otra vez sino en las causas del síntoma: transporte público que compita con el carro, o cobrar el uso de la avenida, mientras se usa la ampliación sólo para ganar tiempo.</w:t>
      </w:r>
    </w:p>
    <w:p>
      <w:pPr>
        <w:keepNext/>
        <w:spacing w:after="40" w:before="150"/>
        <w:jc w:val="center"/>
      </w:pPr>
      <w:bookmarkStart w:name="b_figura_original_p3d_11_la_ave_5ec12a44" w:id="5820"/>
      <w:bookmarkEnd w:id="5820"/>
      <w:r>
        <w:drawing>
          <wp:inline distT="0" distB="0" distL="0" distR="0">
            <wp:extent cx="5381625" cy="4019550"/>
            <wp:effectExtent t="0" r="0" b="0" l="0"/>
            <wp:docPr id="264" name="p3d-11-la-avenida-ampliada-modelo" descr="lectura L-17 · lectura L-18 · Presentación 4b (C-4), láminas 5, 6 y 7" title="Unidad 4 · 4.1 · Arquetipos: de la historia al diagra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85" cstate="none"/>
                    <a:srcRect/>
                    <a:stretch>
                      <a:fillRect/>
                    </a:stretch>
                  </pic:blipFill>
                  <pic:spPr bwMode="auto">
                    <a:xfrm>
                      <a:off x="0" y="0"/>
                      <a:ext cx="5381625" cy="4019550"/>
                    </a:xfrm>
                    <a:prstGeom prst="rect">
                      <a:avLst/>
                    </a:prstGeom>
                  </pic:spPr>
                </pic:pic>
              </a:graphicData>
            </a:graphic>
          </wp:inline>
        </w:drawing>
      </w:r>
    </w:p>
    <w:p>
      <w:pPr>
        <w:pStyle w:val="PieFigura"/>
        <w:keepNext/>
      </w:pPr>
      <w:bookmarkStart w:name="b_fig_V6_6" w:id="5821"/>
      <w:r>
        <w:t xml:space="preserve">Figura V6.</w:t>
      </w:r>
      <w:fldSimple w:instr="SEQ Figura \n \* ARABIC">
        <w:r>
          <w:t xml:space="preserve">6</w:t>
        </w:r>
      </w:fldSimple>
      <w:r>
        <w:t xml:space="preserve"> · Unidad 4 · 4.1 · Arquetipos: de la historia al diagrama</w:t>
      </w:r>
      <w:bookmarkEnd w:id="5821"/>
    </w:p>
    <w:p>
      <w:pPr>
        <w:pStyle w:val="LecturaFigura"/>
        <w:keepNext/>
      </w:pPr>
      <w:r>
        <w:rPr>
          <w:b/>
          <w:bCs/>
        </w:rPr>
        <w:t xml:space="preserve">Lectura del diagrama: </w:t>
      </w:r>
      <w:r>
        <w:t xml:space="preserve">1 ciclo de refuerzo y 1 de balance. La solución alivia el síntoma (B1), pero sus consecuencias no intencionadas lo agudizan (R2): con el tiempo el síntoma vuelve, o vuelve peor.</w:t>
      </w:r>
    </w:p>
    <w:p>
      <w:pPr>
        <w:pStyle w:val="Fuente"/>
      </w:pPr>
      <w:r>
        <w:t xml:space="preserve">lectura L-17 · lectura L-18 · Presentación 4b (C-4), láminas 5, 6 y 7</w:t>
      </w:r>
    </w:p>
    <w:p>
      <w:pPr>
        <w:pStyle w:val="Heading3"/>
      </w:pPr>
      <w:r>
        <w:t xml:space="preserve">Criterios para una respuesta completa</w:t>
      </w:r>
    </w:p>
    <w:p>
      <w:pPr>
        <w:pStyle w:val="Normal"/>
        <w:numPr>
          <w:ilvl w:val="0"/>
          <w:numId w:val="2"/>
        </w:numPr>
      </w:pPr>
      <w:r>
        <w:t xml:space="preserve">Identifica «Soluciones rápidas que fallan».</w:t>
      </w:r>
    </w:p>
    <w:p>
      <w:pPr>
        <w:pStyle w:val="Normal"/>
        <w:numPr>
          <w:ilvl w:val="0"/>
          <w:numId w:val="2"/>
        </w:numPr>
      </w:pPr>
      <w:r>
        <w:t xml:space="preserve">Dibuja el ciclo de balance de la solución con su negativa.</w:t>
      </w:r>
    </w:p>
    <w:p>
      <w:pPr>
        <w:pStyle w:val="Normal"/>
        <w:numPr>
          <w:ilvl w:val="0"/>
          <w:numId w:val="2"/>
        </w:numPr>
      </w:pPr>
      <w:r>
        <w:t xml:space="preserve">Dibuja el ciclo de refuerzo de la consecuencia no intencionada, con su demora.</w:t>
      </w:r>
    </w:p>
    <w:p>
      <w:pPr>
        <w:pStyle w:val="Normal"/>
        <w:numPr>
          <w:ilvl w:val="0"/>
          <w:numId w:val="2"/>
        </w:numPr>
      </w:pPr>
      <w:r>
        <w:t xml:space="preserve">Propone una acción sobre las causas del síntoma y no repetir la solución.</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9C620A" w:sz="20"/>
              <w:bottom w:val="nil"/>
              <w:right w:val="nil"/>
            </w:tcBorders>
            <w:shd w:fill="FBF3DF" w:val="clear"/>
            <w:tcMar>
              <w:top w:type="dxa" w:w="130"/>
              <w:left w:type="dxa" w:w="180"/>
              <w:bottom w:type="dxa" w:w="130"/>
              <w:right w:type="dxa" w:w="180"/>
            </w:tcMar>
          </w:tcPr>
          <w:p>
            <w:pPr>
              <w:pStyle w:val="RecuadroTitulo"/>
            </w:pPr>
            <w:r>
              <w:rPr>
                <w:b/>
                <w:bCs/>
                <w:color w:val="9C620A"/>
              </w:rPr>
              <w:t xml:space="preserve">Advertencia y límites</w:t>
            </w:r>
          </w:p>
          <w:p>
            <w:pPr>
              <w:pStyle w:val="Recuadro"/>
            </w:pPr>
            <w:r>
              <w:t xml:space="preserve">Llamarlo límites del crecimiento: aquí no hay un crecimiento que encuentre un límite, sino una solución que crea el problema que alivia.</w:t>
            </w:r>
          </w:p>
        </w:tc>
      </w:tr>
    </w:tbl>
    <w:p>
      <w:pPr>
        <w:pStyle w:val="Fuente"/>
      </w:pPr>
      <w:r>
        <w:t xml:space="preserve">lectura L-17 · lectura L-18 · Presentación 4b (C-4), láminas 5, 6 y 7</w:t>
      </w:r>
    </w:p>
    <w:p>
      <w:pPr>
        <w:pStyle w:val="Heading3"/>
      </w:pPr>
      <w:bookmarkStart w:name="b_pregunta_p3d_12_prestamo_en_vensim" w:id="5822"/>
      <w:r>
        <w:t xml:space="preserve">6.12 · Unidad 4 · 4.4 · Simulación con VENSIM: el préstamo bancario</w:t>
      </w:r>
      <w:bookmarkEnd w:id="5822"/>
    </w:p>
    <w:p>
      <w:pPr>
        <w:pStyle w:val="Normal"/>
      </w:pPr>
      <w:r>
        <w:t xml:space="preserve">Arme en Vensim PLE el modelo del préstamo de la figura suponiendo que no se paga y el saldo se acumula, con los dos bancos en el mismo modelo, y responda las cuatro preguntas de la lámina.</w:t>
      </w:r>
    </w:p>
    <w:p>
      <w:pPr>
        <w:pStyle w:val="Fuente"/>
      </w:pPr>
      <w:r>
        <w:t xml:space="preserve">Ordinal de la fuente: 12 · complemento editorial.</w:t>
      </w:r>
    </w:p>
    <w:p>
      <w:pPr>
        <w:keepNext/>
        <w:spacing w:after="40" w:before="150"/>
        <w:jc w:val="center"/>
      </w:pPr>
      <w:bookmarkStart w:name="b_figura_original_p3d_12_presta_fe2e79c3" w:id="5823"/>
      <w:bookmarkEnd w:id="5823"/>
      <w:r>
        <w:drawing>
          <wp:inline distT="0" distB="0" distL="0" distR="0">
            <wp:extent cx="5381625" cy="3143250"/>
            <wp:effectExtent t="0" r="0" b="0" l="0"/>
            <wp:docPr id="265" name="p3d-12-prestamo-en-vensim-enunciado" descr="Presentación 4a (C-3), láminas 23, 30 y 34" title="Unidad 4 · 4.4 · Simulación con VENSIM: el préstamo bancar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24" cstate="none"/>
                    <a:srcRect/>
                    <a:stretch>
                      <a:fillRect/>
                    </a:stretch>
                  </pic:blipFill>
                  <pic:spPr bwMode="auto">
                    <a:xfrm>
                      <a:off x="0" y="0"/>
                      <a:ext cx="5381625" cy="3143250"/>
                    </a:xfrm>
                    <a:prstGeom prst="rect">
                      <a:avLst/>
                    </a:prstGeom>
                  </pic:spPr>
                </pic:pic>
              </a:graphicData>
            </a:graphic>
          </wp:inline>
        </w:drawing>
      </w:r>
    </w:p>
    <w:p>
      <w:pPr>
        <w:pStyle w:val="PieFigura"/>
        <w:keepNext/>
      </w:pPr>
      <w:bookmarkStart w:name="b_fig_V6_7" w:id="5824"/>
      <w:r>
        <w:t xml:space="preserve">Figura V6.</w:t>
      </w:r>
      <w:fldSimple w:instr="SEQ Figura \n \* ARABIC">
        <w:r>
          <w:t xml:space="preserve">7</w:t>
        </w:r>
      </w:fldSimple>
      <w:r>
        <w:t xml:space="preserve"> · Unidad 4 · 4.4 · Simulación con VENSIM: el préstamo bancario</w:t>
      </w:r>
      <w:bookmarkEnd w:id="5824"/>
    </w:p>
    <w:p>
      <w:pPr>
        <w:pStyle w:val="LecturaFigura"/>
        <w:keepNext/>
      </w:pPr>
      <w:r>
        <w:rPr>
          <w:b/>
          <w:bCs/>
        </w:rPr>
        <w:t xml:space="preserve">Lectura del diagrama: </w:t>
      </w:r>
      <w:r>
        <w:t xml:space="preserve">Presentación 4a · pág. 23 · Ejercicio de modelación de simulación dinámica</w:t>
      </w:r>
    </w:p>
    <w:p>
      <w:pPr>
        <w:pStyle w:val="Fuente"/>
      </w:pPr>
      <w:r>
        <w:t xml:space="preserve">Presentación 4a (C-3), láminas 23, 30 y 34</w:t>
      </w:r>
    </w:p>
    <w:p>
      <w:pPr>
        <w:pStyle w:val="Heading3"/>
      </w:pPr>
      <w:bookmarkStart w:name="b_solucion_p3d_12_prestamo_en_vensim" w:id="5825"/>
      <w:r>
        <w:t xml:space="preserve">Solución 6.12</w:t>
      </w:r>
      <w:bookmarkEnd w:id="5825"/>
    </w:p>
    <w:p>
      <w:pPr>
        <w:pStyle w:val="RecuadroTitulo"/>
      </w:pPr>
      <w:r>
        <w:t xml:space="preserve">Respuesta modelo</w:t>
      </w:r>
    </w:p>
    <w:p>
      <w:pPr>
        <w:pStyle w:val="Normal"/>
      </w:pPr>
      <w:r>
        <w:t xml:space="preserve">En Model › Settings: INITIAL TIME = 0, FINAL TIME = 24, TIME STEP = 1 y meses como unidad de tiempo. Dos niveles, Saldo banco 1 = INTEG(Intereses banco 1, 2000) y Saldo banco 2 = INTEG(Intereses banco 2, 1000); dos flujos, Intereses = Tasa · Saldo; dos constantes, 0.05 y 0.1.</w:t>
      </w:r>
    </w:p>
    <w:p>
      <w:pPr>
        <w:pStyle w:val="Normal"/>
      </w:pPr>
      <w:r>
        <w:t xml:space="preserve">En la tabla: a los 12 meses, 3,591.71 frente a 3,138.43, conviene el banco 2; a los 24, 6,450.20 frente a 9,849.73, conviene el banco 1; a los 14, 3,959.86 frente a 3,797.50, todavía el banco 2.</w:t>
      </w:r>
    </w:p>
    <w:p>
      <w:pPr>
        <w:pStyle w:val="Normal"/>
      </w:pPr>
      <w:r>
        <w:t xml:space="preserve">Con las tasas negociadas, 2 % y 4 %, a 24 meses: 3,216.87 frente a 2,563.30, conviene el banco 2.</w:t>
      </w:r>
    </w:p>
    <w:p>
      <w:pPr>
        <w:pStyle w:val="Heading3"/>
      </w:pPr>
      <w:r>
        <w:t xml:space="preserve">Criterios para una respuesta completa</w:t>
      </w:r>
    </w:p>
    <w:p>
      <w:pPr>
        <w:pStyle w:val="Normal"/>
        <w:numPr>
          <w:ilvl w:val="0"/>
          <w:numId w:val="2"/>
        </w:numPr>
      </w:pPr>
      <w:r>
        <w:t xml:space="preserve">Configura INITIAL TIME, FINAL TIME = 24 y TIME STEP = 1 en meses.</w:t>
      </w:r>
    </w:p>
    <w:p>
      <w:pPr>
        <w:pStyle w:val="Normal"/>
        <w:numPr>
          <w:ilvl w:val="0"/>
          <w:numId w:val="2"/>
        </w:numPr>
      </w:pPr>
      <w:r>
        <w:t xml:space="preserve">Modela cada saldo como nivel con INTEG y su monto inicial.</w:t>
      </w:r>
    </w:p>
    <w:p>
      <w:pPr>
        <w:pStyle w:val="Normal"/>
        <w:numPr>
          <w:ilvl w:val="0"/>
          <w:numId w:val="2"/>
        </w:numPr>
      </w:pPr>
      <w:r>
        <w:t xml:space="preserve">Modela los intereses como flujo proporcional al saldo, con la tasa como constante.</w:t>
      </w:r>
    </w:p>
    <w:p>
      <w:pPr>
        <w:pStyle w:val="Normal"/>
        <w:numPr>
          <w:ilvl w:val="0"/>
          <w:numId w:val="2"/>
        </w:numPr>
      </w:pPr>
      <w:r>
        <w:t xml:space="preserve">Lee en la tabla los saldos de los meses 12, 14 y 24 y dice qué banco conviene.</w:t>
      </w:r>
    </w:p>
    <w:p>
      <w:pPr>
        <w:pStyle w:val="Normal"/>
        <w:numPr>
          <w:ilvl w:val="0"/>
          <w:numId w:val="2"/>
        </w:numPr>
      </w:pPr>
      <w:r>
        <w:t xml:space="preserve">Cambia las tasas para responder la pregunta d.</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9C620A" w:sz="20"/>
              <w:bottom w:val="nil"/>
              <w:right w:val="nil"/>
            </w:tcBorders>
            <w:shd w:fill="FBF3DF" w:val="clear"/>
            <w:tcMar>
              <w:top w:type="dxa" w:w="130"/>
              <w:left w:type="dxa" w:w="180"/>
              <w:bottom w:type="dxa" w:w="130"/>
              <w:right w:type="dxa" w:w="180"/>
            </w:tcMar>
          </w:tcPr>
          <w:p>
            <w:pPr>
              <w:pStyle w:val="RecuadroTitulo"/>
            </w:pPr>
            <w:r>
              <w:rPr>
                <w:b/>
                <w:bCs/>
                <w:color w:val="9C620A"/>
              </w:rPr>
              <w:t xml:space="preserve">Advertencia y límites</w:t>
            </w:r>
          </w:p>
          <w:p>
            <w:pPr>
              <w:pStyle w:val="Recuadro"/>
            </w:pPr>
            <w:r>
              <w:t xml:space="preserve">Dejar TIME STEP en 0.25: Vensim cobraría el interés cuatro veces al mes y a los 12 meses daría 3,630.71 en el banco 1.</w:t>
            </w:r>
          </w:p>
        </w:tc>
      </w:tr>
    </w:tbl>
    <w:p>
      <w:pPr>
        <w:pStyle w:val="Fuente"/>
      </w:pPr>
      <w:r>
        <w:t xml:space="preserve">Véase </w:t>
      </w:r>
      <w:hyperlink w:history="1" w:anchor="b_receta_prestamo">
        <w:r>
          <w:rPr>
            <w:color w:val="156B70"/>
            <w:u w:val="single"/>
          </w:rPr>
          <w:t xml:space="preserve">receta de Vensim: prestamo</w:t>
        </w:r>
      </w:hyperlink>
      <w:r>
        <w:t xml:space="preserve">, pág. </w:t>
      </w:r>
      <w:r>
        <w:fldChar w:fldCharType="begin"/>
        <w:instrText xml:space="preserve">PAGEREF b_receta_prestamo \h</w:instrText>
        <w:fldChar w:fldCharType="separate"/>
        <w:t xml:space="preserve">1677</w:t>
        <w:fldChar w:fldCharType="end"/>
      </w:r>
      <w:r>
        <w:t xml:space="preserve">.</w:t>
      </w:r>
    </w:p>
    <w:p>
      <w:pPr>
        <w:pStyle w:val="Fuente"/>
      </w:pPr>
      <w:r>
        <w:t xml:space="preserve">Presentación 4a (C-3), láminas 23, 30 y 34</w:t>
      </w:r>
    </w:p>
    <w:p>
      <w:pPr>
        <w:pStyle w:val="Heading3"/>
      </w:pPr>
      <w:bookmarkStart w:name="b_pregunta_p3d_13_telefonos_en_vensim" w:id="5826"/>
      <w:r>
        <w:t xml:space="preserve">6.13 · Unidad 4 · 4.5 · Ejemplos en VENSIM: los teléfonos del residencial</w:t>
      </w:r>
      <w:bookmarkEnd w:id="5826"/>
    </w:p>
    <w:p>
      <w:pPr>
        <w:pStyle w:val="Normal"/>
      </w:pPr>
      <w:r>
        <w:t xml:space="preserve">Arme en Vensim PLE el modelo de los teléfonos del residencial de la figura y responda las tres preguntas. Diga qué criterio usa para dar por cubiertas todas las casas y dibuje el diagrama de ciclos causales.</w:t>
      </w:r>
    </w:p>
    <w:p>
      <w:pPr>
        <w:pStyle w:val="Fuente"/>
      </w:pPr>
      <w:r>
        <w:t xml:space="preserve">Ordinal de la fuente: 13 · complemento editorial.</w:t>
      </w:r>
    </w:p>
    <w:p>
      <w:pPr>
        <w:keepNext/>
        <w:spacing w:after="40" w:before="150"/>
        <w:jc w:val="center"/>
      </w:pPr>
      <w:bookmarkStart w:name="b_figura_original_p3d_13_telefo_68954272" w:id="5827"/>
      <w:bookmarkEnd w:id="5827"/>
      <w:r>
        <w:drawing>
          <wp:inline distT="0" distB="0" distL="0" distR="0">
            <wp:extent cx="5381625" cy="3143250"/>
            <wp:effectExtent t="0" r="0" b="0" l="0"/>
            <wp:docPr id="266" name="p3d-13-telefonos-en-vensim-enunciado" descr="Presentación 4a (C-3), lámina 37" title="Unidad 4 · 4.5 · Ejemplos en VENSIM: los teléfonos del residenci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27" cstate="none"/>
                    <a:srcRect/>
                    <a:stretch>
                      <a:fillRect/>
                    </a:stretch>
                  </pic:blipFill>
                  <pic:spPr bwMode="auto">
                    <a:xfrm>
                      <a:off x="0" y="0"/>
                      <a:ext cx="5381625" cy="3143250"/>
                    </a:xfrm>
                    <a:prstGeom prst="rect">
                      <a:avLst/>
                    </a:prstGeom>
                  </pic:spPr>
                </pic:pic>
              </a:graphicData>
            </a:graphic>
          </wp:inline>
        </w:drawing>
      </w:r>
    </w:p>
    <w:p>
      <w:pPr>
        <w:pStyle w:val="PieFigura"/>
        <w:keepNext/>
      </w:pPr>
      <w:bookmarkStart w:name="b_fig_V6_8" w:id="5828"/>
      <w:r>
        <w:t xml:space="preserve">Figura V6.</w:t>
      </w:r>
      <w:fldSimple w:instr="SEQ Figura \n \* ARABIC">
        <w:r>
          <w:t xml:space="preserve">8</w:t>
        </w:r>
      </w:fldSimple>
      <w:r>
        <w:t xml:space="preserve"> · Unidad 4 · 4.5 · Ejemplos en VENSIM: los teléfonos del residencial</w:t>
      </w:r>
      <w:bookmarkEnd w:id="5828"/>
    </w:p>
    <w:p>
      <w:pPr>
        <w:pStyle w:val="LecturaFigura"/>
        <w:keepNext/>
      </w:pPr>
      <w:r>
        <w:rPr>
          <w:b/>
          <w:bCs/>
        </w:rPr>
        <w:t xml:space="preserve">Lectura del diagrama: </w:t>
      </w:r>
      <w:r>
        <w:t xml:space="preserve">Presentación 4a · pág. 37 · Modelando un sistema con diagramas DCC (diagramas de ciclos causales): ejercicio 2</w:t>
      </w:r>
    </w:p>
    <w:p>
      <w:pPr>
        <w:pStyle w:val="Fuente"/>
      </w:pPr>
      <w:r>
        <w:t xml:space="preserve">Presentación 4a (C-3), lámina 37</w:t>
      </w:r>
    </w:p>
    <w:p>
      <w:pPr>
        <w:pStyle w:val="Heading3"/>
      </w:pPr>
      <w:bookmarkStart w:name="b_solucion_p3d_13_telefonos_en_vensim" w:id="5829"/>
      <w:r>
        <w:t xml:space="preserve">Solución 6.13</w:t>
      </w:r>
      <w:bookmarkEnd w:id="5829"/>
    </w:p>
    <w:p>
      <w:pPr>
        <w:pStyle w:val="RecuadroTitulo"/>
      </w:pPr>
      <w:r>
        <w:t xml:space="preserve">Respuesta modelo</w:t>
      </w:r>
    </w:p>
    <w:p>
      <w:pPr>
        <w:pStyle w:val="Normal"/>
      </w:pPr>
      <w:r>
        <w:t xml:space="preserve">En Model › Settings: INITIAL TIME = 0, FINAL TIME = 150, TIME STEP = 1, en meses. Nivel Casas con telefono = INTEG(Instalaciones, 0); flujo Instalaciones = Tasa de uso · (Casas construidas − Casas con telefono); constantes Tasa de uso = 0.09 y Casas construidas = 300.</w:t>
      </w:r>
    </w:p>
    <w:p>
      <w:pPr>
        <w:pStyle w:val="Normal"/>
      </w:pPr>
      <w:r>
        <w:t xml:space="preserve">Con el criterio de que falte menos de una casa: 61 meses; con el 4 %, 140; con 500 casas al 9 %, 66.</w:t>
      </w:r>
    </w:p>
    <w:p>
      <w:pPr>
        <w:pStyle w:val="Normal"/>
      </w:pPr>
      <w:r>
        <w:t xml:space="preserve">El diagrama causal es un ciclo de balance: más casas con teléfono, menos casas sin teléfono (−), menos instalaciones (+), y las instalaciones aumentan las casas con teléfono (+). Por eso el nivel converge a las casas construidas sin alcanzarlas.</w:t>
      </w:r>
    </w:p>
    <w:p>
      <w:pPr>
        <w:pStyle w:val="Heading3"/>
      </w:pPr>
      <w:r>
        <w:t xml:space="preserve">Criterios para una respuesta completa</w:t>
      </w:r>
    </w:p>
    <w:p>
      <w:pPr>
        <w:pStyle w:val="Normal"/>
        <w:numPr>
          <w:ilvl w:val="0"/>
          <w:numId w:val="2"/>
        </w:numPr>
      </w:pPr>
      <w:r>
        <w:t xml:space="preserve">Modela las casas con teléfono como nivel con INTEG y valor inicial 0.</w:t>
      </w:r>
    </w:p>
    <w:p>
      <w:pPr>
        <w:pStyle w:val="Normal"/>
        <w:numPr>
          <w:ilvl w:val="0"/>
          <w:numId w:val="2"/>
        </w:numPr>
      </w:pPr>
      <w:r>
        <w:t xml:space="preserve">Modela las instalaciones como proporcionales a las casas sin teléfono.</w:t>
      </w:r>
    </w:p>
    <w:p>
      <w:pPr>
        <w:pStyle w:val="Normal"/>
        <w:numPr>
          <w:ilvl w:val="0"/>
          <w:numId w:val="2"/>
        </w:numPr>
      </w:pPr>
      <w:r>
        <w:t xml:space="preserve">Declara el criterio para dar por cubierto el residencial.</w:t>
      </w:r>
    </w:p>
    <w:p>
      <w:pPr>
        <w:pStyle w:val="Normal"/>
        <w:numPr>
          <w:ilvl w:val="0"/>
          <w:numId w:val="2"/>
        </w:numPr>
      </w:pPr>
      <w:r>
        <w:t xml:space="preserve">Responde 61, 140 y 66 meses.</w:t>
      </w:r>
    </w:p>
    <w:p>
      <w:pPr>
        <w:pStyle w:val="Normal"/>
        <w:numPr>
          <w:ilvl w:val="0"/>
          <w:numId w:val="2"/>
        </w:numPr>
      </w:pPr>
      <w:r>
        <w:t xml:space="preserve">Dibuja el ciclo de balance y nombra el patrón de convergencia.</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9C620A" w:sz="20"/>
              <w:bottom w:val="nil"/>
              <w:right w:val="nil"/>
            </w:tcBorders>
            <w:shd w:fill="FBF3DF" w:val="clear"/>
            <w:tcMar>
              <w:top w:type="dxa" w:w="130"/>
              <w:left w:type="dxa" w:w="180"/>
              <w:bottom w:type="dxa" w:w="130"/>
              <w:right w:type="dxa" w:w="180"/>
            </w:tcMar>
          </w:tcPr>
          <w:p>
            <w:pPr>
              <w:pStyle w:val="RecuadroTitulo"/>
            </w:pPr>
            <w:r>
              <w:rPr>
                <w:b/>
                <w:bCs/>
                <w:color w:val="9C620A"/>
              </w:rPr>
              <w:t xml:space="preserve">Advertencia y límites</w:t>
            </w:r>
          </w:p>
          <w:p>
            <w:pPr>
              <w:pStyle w:val="Recuadro"/>
            </w:pPr>
            <w:r>
              <w:t xml:space="preserve">La presentación también llama «Ejercicio 2» a los huevos y las gallinas de la lámina 22; son ejercicios distintos. Dibujar un ciclo de refuerzo porque la historia dice que los vecinos influyen: con una tasa fija sobre las casas sin teléfono, la estructura es de balance.</w:t>
            </w:r>
          </w:p>
        </w:tc>
      </w:tr>
    </w:tbl>
    <w:p>
      <w:pPr>
        <w:pStyle w:val="Fuente"/>
      </w:pPr>
      <w:r>
        <w:t xml:space="preserve">Véase </w:t>
      </w:r>
      <w:hyperlink w:history="1" w:anchor="b_receta_telefonos">
        <w:r>
          <w:rPr>
            <w:color w:val="156B70"/>
            <w:u w:val="single"/>
          </w:rPr>
          <w:t xml:space="preserve">receta de Vensim: telefonos</w:t>
        </w:r>
      </w:hyperlink>
      <w:r>
        <w:t xml:space="preserve">, pág. </w:t>
      </w:r>
      <w:r>
        <w:fldChar w:fldCharType="begin"/>
        <w:instrText xml:space="preserve">PAGEREF b_receta_telefonos \h</w:instrText>
        <w:fldChar w:fldCharType="separate"/>
        <w:t xml:space="preserve">1678</w:t>
        <w:fldChar w:fldCharType="end"/>
      </w:r>
      <w:r>
        <w:t xml:space="preserve">.</w:t>
      </w:r>
    </w:p>
    <w:p>
      <w:pPr>
        <w:pStyle w:val="Fuente"/>
        <w:sectPr>
          <w:headerReference w:type="default" r:id="rId300"/>
          <w:headerReference w:type="first" r:id="rId301"/>
          <w:headerReference w:type="even" r:id="rId302"/>
          <w:footerReference w:type="default" r:id="rId303"/>
          <w:footerReference w:type="first" r:id="rId304"/>
          <w:footerReference w:type="even" r:id="rId305"/>
          <w:type w:val="nextPage"/>
          <w:pgSz w:w="12240" w:h="15840" w:orient="portrait"/>
          <w:pgMar w:top="1361" w:right="1134" w:bottom="1361" w:left="1474" w:header="650" w:footer="680" w:gutter="0"/>
          <w:pgNumType/>
          <w:titlePg/>
          <w:docGrid w:linePitch="360"/>
        </w:sectPr>
      </w:pPr>
      <w:r>
        <w:t xml:space="preserve">Presentación 4a (C-3), lámina 37</w:t>
      </w:r>
    </w:p>
    <w:p>
      <w:pPr>
        <w:pStyle w:val="Heading2"/>
      </w:pPr>
      <w:bookmarkStart w:name="b_ex_final" w:id="5830"/>
      <w:r>
        <w:t xml:space="preserve">Casos integradores del final</w:t>
      </w:r>
      <w:bookmarkEnd w:id="5830"/>
    </w:p>
    <w:p>
      <w:pPr>
        <w:pStyle w:val="Normal"/>
      </w:pPr>
      <w:r>
        <w:t xml:space="preserve">Quince casos editoriales: doce variantes de las cuatro familias del simulacro y tres complementos. No anticipan el examen oficial.</w:t>
      </w:r>
    </w:p>
    <w:p>
      <w:pPr>
        <w:pStyle w:val="Heading3"/>
      </w:pPr>
      <w:r>
        <w:t xml:space="preserve">Clave rápida</w:t>
      </w:r>
    </w:p>
    <w:tbl>
      <w:tblPr>
        <w:tblW w:type="dxa" w:w="9632"/>
        <w:tblBorders>
          <w:top w:val="single" w:color="C5D5DB" w:sz="4"/>
          <w:left w:val="single" w:color="C5D5DB" w:sz="4"/>
          <w:bottom w:val="single" w:color="C5D5DB" w:sz="4"/>
          <w:right w:val="single" w:color="C5D5DB" w:sz="4"/>
          <w:insideH w:val="single" w:color="E4E9EB" w:sz="3"/>
          <w:insideV w:val="single" w:color="E4E9EB" w:sz="3"/>
        </w:tblBorders>
        <w:tblLayout w:type="fixed"/>
      </w:tblPr>
      <w:tblGrid>
        <w:gridCol w:w="4816"/>
        <w:gridCol w:w="4816"/>
      </w:tblGrid>
      <w:tr>
        <w:trPr>
          <w:cantSplit/>
          <w:tblHeader/>
        </w:trPr>
        <w:tc>
          <w:tcPr>
            <w:tcW w:type="dxa" w:w="4816"/>
            <w:shd w:fill="DFEAF0" w:val="clear"/>
            <w:tcMar>
              <w:top w:type="dxa" w:w="80"/>
              <w:left w:type="dxa" w:w="100"/>
              <w:bottom w:type="dxa" w:w="80"/>
              <w:right w:type="dxa" w:w="100"/>
            </w:tcMar>
          </w:tcPr>
          <w:p>
            <w:pPr>
              <w:pStyle w:val="Tabla"/>
            </w:pPr>
            <w:r>
              <w:rPr>
                <w:b/>
                <w:bCs/>
              </w:rPr>
              <w:t xml:space="preserve">Pregunta</w:t>
            </w:r>
          </w:p>
        </w:tc>
        <w:tc>
          <w:tcPr>
            <w:tcW w:type="dxa" w:w="4816"/>
            <w:shd w:fill="DFEAF0" w:val="clear"/>
            <w:tcMar>
              <w:top w:type="dxa" w:w="80"/>
              <w:left w:type="dxa" w:w="100"/>
              <w:bottom w:type="dxa" w:w="80"/>
              <w:right w:type="dxa" w:w="100"/>
            </w:tcMar>
          </w:tcPr>
          <w:p>
            <w:pPr>
              <w:pStyle w:val="Tabla"/>
            </w:pPr>
            <w:r>
              <w:rPr>
                <w:b/>
                <w:bCs/>
              </w:rPr>
              <w:t xml:space="preserve">Clave o tipo de respuesta</w:t>
            </w:r>
          </w:p>
        </w:tc>
      </w:tr>
      <w:tr>
        <w:trPr>
          <w:cantSplit/>
          <w:tblHeader w:val="off"/>
        </w:trPr>
        <w:tc>
          <w:tcPr>
            <w:tcW w:type="dxa" w:w="4816"/>
            <w:tcMar>
              <w:top w:type="dxa" w:w="80"/>
              <w:left w:type="dxa" w:w="100"/>
              <w:bottom w:type="dxa" w:w="80"/>
              <w:right w:type="dxa" w:w="100"/>
            </w:tcMar>
          </w:tcPr>
          <w:p>
            <w:pPr>
              <w:pStyle w:val="Tabla"/>
            </w:pPr>
            <w:r>
              <w:t xml:space="preserve">1</w:t>
            </w:r>
          </w:p>
        </w:tc>
        <w:tc>
          <w:tcPr>
            <w:tcW w:type="dxa" w:w="4816"/>
            <w:tcMar>
              <w:top w:type="dxa" w:w="80"/>
              <w:left w:type="dxa" w:w="100"/>
              <w:bottom w:type="dxa" w:w="80"/>
              <w:right w:type="dxa" w:w="100"/>
            </w:tcMar>
          </w:tcPr>
          <w:p>
            <w:pPr>
              <w:pStyle w:val="Tabla"/>
            </w:pPr>
            <w:r>
              <w:t xml:space="preserve">Desarrollo: respuesta modelo y rúbrica a continuación</w:t>
            </w:r>
          </w:p>
        </w:tc>
      </w:tr>
      <w:tr>
        <w:trPr>
          <w:cantSplit/>
          <w:tblHeader w:val="off"/>
        </w:trPr>
        <w:tc>
          <w:tcPr>
            <w:tcW w:type="dxa" w:w="4816"/>
            <w:tcMar>
              <w:top w:type="dxa" w:w="80"/>
              <w:left w:type="dxa" w:w="100"/>
              <w:bottom w:type="dxa" w:w="80"/>
              <w:right w:type="dxa" w:w="100"/>
            </w:tcMar>
          </w:tcPr>
          <w:p>
            <w:pPr>
              <w:pStyle w:val="Tabla"/>
            </w:pPr>
            <w:r>
              <w:t xml:space="preserve">2</w:t>
            </w:r>
          </w:p>
        </w:tc>
        <w:tc>
          <w:tcPr>
            <w:tcW w:type="dxa" w:w="4816"/>
            <w:tcMar>
              <w:top w:type="dxa" w:w="80"/>
              <w:left w:type="dxa" w:w="100"/>
              <w:bottom w:type="dxa" w:w="80"/>
              <w:right w:type="dxa" w:w="100"/>
            </w:tcMar>
          </w:tcPr>
          <w:p>
            <w:pPr>
              <w:pStyle w:val="Tabla"/>
            </w:pPr>
            <w:r>
              <w:t xml:space="preserve">Desarrollo: respuesta modelo y rúbrica a continuación</w:t>
            </w:r>
          </w:p>
        </w:tc>
      </w:tr>
      <w:tr>
        <w:trPr>
          <w:cantSplit/>
          <w:tblHeader w:val="off"/>
        </w:trPr>
        <w:tc>
          <w:tcPr>
            <w:tcW w:type="dxa" w:w="4816"/>
            <w:tcMar>
              <w:top w:type="dxa" w:w="80"/>
              <w:left w:type="dxa" w:w="100"/>
              <w:bottom w:type="dxa" w:w="80"/>
              <w:right w:type="dxa" w:w="100"/>
            </w:tcMar>
          </w:tcPr>
          <w:p>
            <w:pPr>
              <w:pStyle w:val="Tabla"/>
            </w:pPr>
            <w:r>
              <w:t xml:space="preserve">3</w:t>
            </w:r>
          </w:p>
        </w:tc>
        <w:tc>
          <w:tcPr>
            <w:tcW w:type="dxa" w:w="4816"/>
            <w:tcMar>
              <w:top w:type="dxa" w:w="80"/>
              <w:left w:type="dxa" w:w="100"/>
              <w:bottom w:type="dxa" w:w="80"/>
              <w:right w:type="dxa" w:w="100"/>
            </w:tcMar>
          </w:tcPr>
          <w:p>
            <w:pPr>
              <w:pStyle w:val="Tabla"/>
            </w:pPr>
            <w:r>
              <w:t xml:space="preserve">Desarrollo: respuesta modelo y rúbrica a continuación</w:t>
            </w:r>
          </w:p>
        </w:tc>
      </w:tr>
      <w:tr>
        <w:trPr>
          <w:cantSplit/>
          <w:tblHeader w:val="off"/>
        </w:trPr>
        <w:tc>
          <w:tcPr>
            <w:tcW w:type="dxa" w:w="4816"/>
            <w:tcMar>
              <w:top w:type="dxa" w:w="80"/>
              <w:left w:type="dxa" w:w="100"/>
              <w:bottom w:type="dxa" w:w="80"/>
              <w:right w:type="dxa" w:w="100"/>
            </w:tcMar>
          </w:tcPr>
          <w:p>
            <w:pPr>
              <w:pStyle w:val="Tabla"/>
            </w:pPr>
            <w:r>
              <w:t xml:space="preserve">4</w:t>
            </w:r>
          </w:p>
        </w:tc>
        <w:tc>
          <w:tcPr>
            <w:tcW w:type="dxa" w:w="4816"/>
            <w:tcMar>
              <w:top w:type="dxa" w:w="80"/>
              <w:left w:type="dxa" w:w="100"/>
              <w:bottom w:type="dxa" w:w="80"/>
              <w:right w:type="dxa" w:w="100"/>
            </w:tcMar>
          </w:tcPr>
          <w:p>
            <w:pPr>
              <w:pStyle w:val="Tabla"/>
            </w:pPr>
            <w:r>
              <w:t xml:space="preserve">Desarrollo: respuesta modelo y rúbrica a continuación</w:t>
            </w:r>
          </w:p>
        </w:tc>
      </w:tr>
      <w:tr>
        <w:trPr>
          <w:cantSplit/>
          <w:tblHeader w:val="off"/>
        </w:trPr>
        <w:tc>
          <w:tcPr>
            <w:tcW w:type="dxa" w:w="4816"/>
            <w:tcMar>
              <w:top w:type="dxa" w:w="80"/>
              <w:left w:type="dxa" w:w="100"/>
              <w:bottom w:type="dxa" w:w="80"/>
              <w:right w:type="dxa" w:w="100"/>
            </w:tcMar>
          </w:tcPr>
          <w:p>
            <w:pPr>
              <w:pStyle w:val="Tabla"/>
            </w:pPr>
            <w:r>
              <w:t xml:space="preserve">5</w:t>
            </w:r>
          </w:p>
        </w:tc>
        <w:tc>
          <w:tcPr>
            <w:tcW w:type="dxa" w:w="4816"/>
            <w:tcMar>
              <w:top w:type="dxa" w:w="80"/>
              <w:left w:type="dxa" w:w="100"/>
              <w:bottom w:type="dxa" w:w="80"/>
              <w:right w:type="dxa" w:w="100"/>
            </w:tcMar>
          </w:tcPr>
          <w:p>
            <w:pPr>
              <w:pStyle w:val="Tabla"/>
            </w:pPr>
            <w:r>
              <w:t xml:space="preserve">Desarrollo: respuesta modelo y rúbrica a continuación</w:t>
            </w:r>
          </w:p>
        </w:tc>
      </w:tr>
      <w:tr>
        <w:trPr>
          <w:cantSplit/>
          <w:tblHeader w:val="off"/>
        </w:trPr>
        <w:tc>
          <w:tcPr>
            <w:tcW w:type="dxa" w:w="4816"/>
            <w:tcMar>
              <w:top w:type="dxa" w:w="80"/>
              <w:left w:type="dxa" w:w="100"/>
              <w:bottom w:type="dxa" w:w="80"/>
              <w:right w:type="dxa" w:w="100"/>
            </w:tcMar>
          </w:tcPr>
          <w:p>
            <w:pPr>
              <w:pStyle w:val="Tabla"/>
            </w:pPr>
            <w:r>
              <w:t xml:space="preserve">6</w:t>
            </w:r>
          </w:p>
        </w:tc>
        <w:tc>
          <w:tcPr>
            <w:tcW w:type="dxa" w:w="4816"/>
            <w:tcMar>
              <w:top w:type="dxa" w:w="80"/>
              <w:left w:type="dxa" w:w="100"/>
              <w:bottom w:type="dxa" w:w="80"/>
              <w:right w:type="dxa" w:w="100"/>
            </w:tcMar>
          </w:tcPr>
          <w:p>
            <w:pPr>
              <w:pStyle w:val="Tabla"/>
            </w:pPr>
            <w:r>
              <w:t xml:space="preserve">Desarrollo: respuesta modelo y rúbrica a continuación</w:t>
            </w:r>
          </w:p>
        </w:tc>
      </w:tr>
      <w:tr>
        <w:trPr>
          <w:cantSplit/>
          <w:tblHeader w:val="off"/>
        </w:trPr>
        <w:tc>
          <w:tcPr>
            <w:tcW w:type="dxa" w:w="4816"/>
            <w:tcMar>
              <w:top w:type="dxa" w:w="80"/>
              <w:left w:type="dxa" w:w="100"/>
              <w:bottom w:type="dxa" w:w="80"/>
              <w:right w:type="dxa" w:w="100"/>
            </w:tcMar>
          </w:tcPr>
          <w:p>
            <w:pPr>
              <w:pStyle w:val="Tabla"/>
            </w:pPr>
            <w:r>
              <w:t xml:space="preserve">7</w:t>
            </w:r>
          </w:p>
        </w:tc>
        <w:tc>
          <w:tcPr>
            <w:tcW w:type="dxa" w:w="4816"/>
            <w:tcMar>
              <w:top w:type="dxa" w:w="80"/>
              <w:left w:type="dxa" w:w="100"/>
              <w:bottom w:type="dxa" w:w="80"/>
              <w:right w:type="dxa" w:w="100"/>
            </w:tcMar>
          </w:tcPr>
          <w:p>
            <w:pPr>
              <w:pStyle w:val="Tabla"/>
            </w:pPr>
            <w:r>
              <w:t xml:space="preserve">Desarrollo: respuesta modelo y rúbrica a continuación</w:t>
            </w:r>
          </w:p>
        </w:tc>
      </w:tr>
      <w:tr>
        <w:trPr>
          <w:cantSplit/>
          <w:tblHeader w:val="off"/>
        </w:trPr>
        <w:tc>
          <w:tcPr>
            <w:tcW w:type="dxa" w:w="4816"/>
            <w:tcMar>
              <w:top w:type="dxa" w:w="80"/>
              <w:left w:type="dxa" w:w="100"/>
              <w:bottom w:type="dxa" w:w="80"/>
              <w:right w:type="dxa" w:w="100"/>
            </w:tcMar>
          </w:tcPr>
          <w:p>
            <w:pPr>
              <w:pStyle w:val="Tabla"/>
            </w:pPr>
            <w:r>
              <w:t xml:space="preserve">8</w:t>
            </w:r>
          </w:p>
        </w:tc>
        <w:tc>
          <w:tcPr>
            <w:tcW w:type="dxa" w:w="4816"/>
            <w:tcMar>
              <w:top w:type="dxa" w:w="80"/>
              <w:left w:type="dxa" w:w="100"/>
              <w:bottom w:type="dxa" w:w="80"/>
              <w:right w:type="dxa" w:w="100"/>
            </w:tcMar>
          </w:tcPr>
          <w:p>
            <w:pPr>
              <w:pStyle w:val="Tabla"/>
            </w:pPr>
            <w:r>
              <w:t xml:space="preserve">Desarrollo: respuesta modelo y rúbrica a continuación</w:t>
            </w:r>
          </w:p>
        </w:tc>
      </w:tr>
      <w:tr>
        <w:trPr>
          <w:cantSplit/>
          <w:tblHeader w:val="off"/>
        </w:trPr>
        <w:tc>
          <w:tcPr>
            <w:tcW w:type="dxa" w:w="4816"/>
            <w:tcMar>
              <w:top w:type="dxa" w:w="80"/>
              <w:left w:type="dxa" w:w="100"/>
              <w:bottom w:type="dxa" w:w="80"/>
              <w:right w:type="dxa" w:w="100"/>
            </w:tcMar>
          </w:tcPr>
          <w:p>
            <w:pPr>
              <w:pStyle w:val="Tabla"/>
            </w:pPr>
            <w:r>
              <w:t xml:space="preserve">9</w:t>
            </w:r>
          </w:p>
        </w:tc>
        <w:tc>
          <w:tcPr>
            <w:tcW w:type="dxa" w:w="4816"/>
            <w:tcMar>
              <w:top w:type="dxa" w:w="80"/>
              <w:left w:type="dxa" w:w="100"/>
              <w:bottom w:type="dxa" w:w="80"/>
              <w:right w:type="dxa" w:w="100"/>
            </w:tcMar>
          </w:tcPr>
          <w:p>
            <w:pPr>
              <w:pStyle w:val="Tabla"/>
            </w:pPr>
            <w:r>
              <w:t xml:space="preserve">Desarrollo: respuesta modelo y rúbrica a continuación</w:t>
            </w:r>
          </w:p>
        </w:tc>
      </w:tr>
      <w:tr>
        <w:trPr>
          <w:cantSplit/>
          <w:tblHeader w:val="off"/>
        </w:trPr>
        <w:tc>
          <w:tcPr>
            <w:tcW w:type="dxa" w:w="4816"/>
            <w:tcMar>
              <w:top w:type="dxa" w:w="80"/>
              <w:left w:type="dxa" w:w="100"/>
              <w:bottom w:type="dxa" w:w="80"/>
              <w:right w:type="dxa" w:w="100"/>
            </w:tcMar>
          </w:tcPr>
          <w:p>
            <w:pPr>
              <w:pStyle w:val="Tabla"/>
            </w:pPr>
            <w:r>
              <w:t xml:space="preserve">10</w:t>
            </w:r>
          </w:p>
        </w:tc>
        <w:tc>
          <w:tcPr>
            <w:tcW w:type="dxa" w:w="4816"/>
            <w:tcMar>
              <w:top w:type="dxa" w:w="80"/>
              <w:left w:type="dxa" w:w="100"/>
              <w:bottom w:type="dxa" w:w="80"/>
              <w:right w:type="dxa" w:w="100"/>
            </w:tcMar>
          </w:tcPr>
          <w:p>
            <w:pPr>
              <w:pStyle w:val="Tabla"/>
            </w:pPr>
            <w:r>
              <w:t xml:space="preserve">Desarrollo: respuesta modelo y rúbrica a continuación</w:t>
            </w:r>
          </w:p>
        </w:tc>
      </w:tr>
      <w:tr>
        <w:trPr>
          <w:cantSplit/>
          <w:tblHeader w:val="off"/>
        </w:trPr>
        <w:tc>
          <w:tcPr>
            <w:tcW w:type="dxa" w:w="4816"/>
            <w:tcMar>
              <w:top w:type="dxa" w:w="80"/>
              <w:left w:type="dxa" w:w="100"/>
              <w:bottom w:type="dxa" w:w="80"/>
              <w:right w:type="dxa" w:w="100"/>
            </w:tcMar>
          </w:tcPr>
          <w:p>
            <w:pPr>
              <w:pStyle w:val="Tabla"/>
            </w:pPr>
            <w:r>
              <w:t xml:space="preserve">11</w:t>
            </w:r>
          </w:p>
        </w:tc>
        <w:tc>
          <w:tcPr>
            <w:tcW w:type="dxa" w:w="4816"/>
            <w:tcMar>
              <w:top w:type="dxa" w:w="80"/>
              <w:left w:type="dxa" w:w="100"/>
              <w:bottom w:type="dxa" w:w="80"/>
              <w:right w:type="dxa" w:w="100"/>
            </w:tcMar>
          </w:tcPr>
          <w:p>
            <w:pPr>
              <w:pStyle w:val="Tabla"/>
            </w:pPr>
            <w:r>
              <w:t xml:space="preserve">Desarrollo: respuesta modelo y rúbrica a continuación</w:t>
            </w:r>
          </w:p>
        </w:tc>
      </w:tr>
      <w:tr>
        <w:trPr>
          <w:cantSplit/>
          <w:tblHeader w:val="off"/>
        </w:trPr>
        <w:tc>
          <w:tcPr>
            <w:tcW w:type="dxa" w:w="4816"/>
            <w:tcMar>
              <w:top w:type="dxa" w:w="80"/>
              <w:left w:type="dxa" w:w="100"/>
              <w:bottom w:type="dxa" w:w="80"/>
              <w:right w:type="dxa" w:w="100"/>
            </w:tcMar>
          </w:tcPr>
          <w:p>
            <w:pPr>
              <w:pStyle w:val="Tabla"/>
            </w:pPr>
            <w:r>
              <w:t xml:space="preserve">12</w:t>
            </w:r>
          </w:p>
        </w:tc>
        <w:tc>
          <w:tcPr>
            <w:tcW w:type="dxa" w:w="4816"/>
            <w:tcMar>
              <w:top w:type="dxa" w:w="80"/>
              <w:left w:type="dxa" w:w="100"/>
              <w:bottom w:type="dxa" w:w="80"/>
              <w:right w:type="dxa" w:w="100"/>
            </w:tcMar>
          </w:tcPr>
          <w:p>
            <w:pPr>
              <w:pStyle w:val="Tabla"/>
            </w:pPr>
            <w:r>
              <w:t xml:space="preserve">Desarrollo: respuesta modelo y rúbrica a continuación</w:t>
            </w:r>
          </w:p>
        </w:tc>
      </w:tr>
      <w:tr>
        <w:trPr>
          <w:cantSplit/>
          <w:tblHeader w:val="off"/>
        </w:trPr>
        <w:tc>
          <w:tcPr>
            <w:tcW w:type="dxa" w:w="4816"/>
            <w:tcMar>
              <w:top w:type="dxa" w:w="80"/>
              <w:left w:type="dxa" w:w="100"/>
              <w:bottom w:type="dxa" w:w="80"/>
              <w:right w:type="dxa" w:w="100"/>
            </w:tcMar>
          </w:tcPr>
          <w:p>
            <w:pPr>
              <w:pStyle w:val="Tabla"/>
            </w:pPr>
            <w:r>
              <w:t xml:space="preserve">13</w:t>
            </w:r>
          </w:p>
        </w:tc>
        <w:tc>
          <w:tcPr>
            <w:tcW w:type="dxa" w:w="4816"/>
            <w:tcMar>
              <w:top w:type="dxa" w:w="80"/>
              <w:left w:type="dxa" w:w="100"/>
              <w:bottom w:type="dxa" w:w="80"/>
              <w:right w:type="dxa" w:w="100"/>
            </w:tcMar>
          </w:tcPr>
          <w:p>
            <w:pPr>
              <w:pStyle w:val="Tabla"/>
            </w:pPr>
            <w:r>
              <w:t xml:space="preserve">Desarrollo: respuesta modelo y rúbrica a continuación</w:t>
            </w:r>
          </w:p>
        </w:tc>
      </w:tr>
      <w:tr>
        <w:trPr>
          <w:cantSplit/>
          <w:tblHeader w:val="off"/>
        </w:trPr>
        <w:tc>
          <w:tcPr>
            <w:tcW w:type="dxa" w:w="4816"/>
            <w:tcMar>
              <w:top w:type="dxa" w:w="80"/>
              <w:left w:type="dxa" w:w="100"/>
              <w:bottom w:type="dxa" w:w="80"/>
              <w:right w:type="dxa" w:w="100"/>
            </w:tcMar>
          </w:tcPr>
          <w:p>
            <w:pPr>
              <w:pStyle w:val="Tabla"/>
            </w:pPr>
            <w:r>
              <w:t xml:space="preserve">14</w:t>
            </w:r>
          </w:p>
        </w:tc>
        <w:tc>
          <w:tcPr>
            <w:tcW w:type="dxa" w:w="4816"/>
            <w:tcMar>
              <w:top w:type="dxa" w:w="80"/>
              <w:left w:type="dxa" w:w="100"/>
              <w:bottom w:type="dxa" w:w="80"/>
              <w:right w:type="dxa" w:w="100"/>
            </w:tcMar>
          </w:tcPr>
          <w:p>
            <w:pPr>
              <w:pStyle w:val="Tabla"/>
            </w:pPr>
            <w:r>
              <w:t xml:space="preserve">Desarrollo: respuesta modelo y rúbrica a continuación</w:t>
            </w:r>
          </w:p>
        </w:tc>
      </w:tr>
      <w:tr>
        <w:trPr>
          <w:cantSplit/>
          <w:tblHeader w:val="off"/>
        </w:trPr>
        <w:tc>
          <w:tcPr>
            <w:tcW w:type="dxa" w:w="4816"/>
            <w:tcMar>
              <w:top w:type="dxa" w:w="80"/>
              <w:left w:type="dxa" w:w="100"/>
              <w:bottom w:type="dxa" w:w="80"/>
              <w:right w:type="dxa" w:w="100"/>
            </w:tcMar>
          </w:tcPr>
          <w:p>
            <w:pPr>
              <w:pStyle w:val="Tabla"/>
            </w:pPr>
            <w:r>
              <w:t xml:space="preserve">15</w:t>
            </w:r>
          </w:p>
        </w:tc>
        <w:tc>
          <w:tcPr>
            <w:tcW w:type="dxa" w:w="4816"/>
            <w:tcMar>
              <w:top w:type="dxa" w:w="80"/>
              <w:left w:type="dxa" w:w="100"/>
              <w:bottom w:type="dxa" w:w="80"/>
              <w:right w:type="dxa" w:w="100"/>
            </w:tcMar>
          </w:tcPr>
          <w:p>
            <w:pPr>
              <w:pStyle w:val="Tabla"/>
            </w:pPr>
            <w:r>
              <w:t xml:space="preserve">Desarrollo: respuesta modelo y rúbrica a continuación</w:t>
            </w:r>
          </w:p>
        </w:tc>
      </w:tr>
    </w:tbl>
    <w:p>
      <w:pPr>
        <w:pStyle w:val="Heading3"/>
      </w:pPr>
      <w:bookmarkStart w:name="b_pregunta_final_sistemas_biblioteca" w:id="5831"/>
      <w:r>
        <w:t xml:space="preserve">7.1 · Sistemas y perspectivas · biblioteca</w:t>
      </w:r>
      <w:bookmarkEnd w:id="5831"/>
    </w:p>
    <w:p>
      <w:pPr>
        <w:pStyle w:val="Normal"/>
      </w:pPr>
      <w:r>
        <w:t xml:space="preserve">La biblioteca exige tres formularios porque cree que más registros significan más control. Las quejas y la espera aumentan mes a mes. Delimita el sistema y su contexto. Separa evento, patrón, estructura y modelo mental. Construye en papel un mapa DSRP con identidad/otro, partes/todo, relaciones y perspectivas de usuarios, bibliotecarios y dirección. Distingue datos e inferencias y explica qué propiedad emergente podría aparecer en la interacción de libros, préstamos y registros.</w:t>
      </w:r>
    </w:p>
    <w:p>
      <w:pPr>
        <w:pStyle w:val="Heading3"/>
      </w:pPr>
      <w:bookmarkStart w:name="b_solucion_final_sistemas_biblioteca" w:id="5832"/>
      <w:r>
        <w:t xml:space="preserve">Solución 7.1</w:t>
      </w:r>
      <w:bookmarkEnd w:id="5832"/>
    </w:p>
    <w:p>
      <w:pPr>
        <w:pStyle w:val="RecuadroTitulo"/>
      </w:pPr>
      <w:r>
        <w:t xml:space="preserve">Respuesta modelo</w:t>
      </w:r>
    </w:p>
    <w:p>
      <w:pPr>
        <w:pStyle w:val="Normal"/>
      </w:pPr>
      <w:r>
        <w:t xml:space="preserve">El sistema se delimita por la pregunta de calidad del servicio; incluye libros, préstamos y registros y sus relaciones, con usuarios, bibliotecarios y dirección como perspectivas relevantes. La frontera no elimina la influencia del contexto.</w:t>
      </w:r>
    </w:p>
    <w:p>
      <w:pPr>
        <w:pStyle w:val="Normal"/>
      </w:pPr>
      <w:r>
        <w:t xml:space="preserve">Una incidencia concreta es evento; el aumento sostenido es patrón; reglas de registro o incentivos forman la estructura; la creencia de éxito es modelo mental. Deben separarse medidas observadas de atribuciones sobre intención o capacidad.</w:t>
      </w:r>
    </w:p>
    <w:p>
      <w:pPr>
        <w:pStyle w:val="Normal"/>
      </w:pPr>
      <w:r>
        <w:t xml:space="preserve">El mapa distingue sistema y entorno, contiene partes dentro del todo, explicita relaciones y sitúa punto de vista y objeto observado. La coordinación y sus resultados emergen de las interacciones; no se infieren sumando capacidades individuales. Se contrastan hipótesis con datos y otras perspectivas.</w:t>
      </w:r>
    </w:p>
    <w:p>
      <w:pPr>
        <w:pStyle w:val="Heading3"/>
      </w:pPr>
      <w:r>
        <w:t xml:space="preserve">Criterios para una respuesta completa</w:t>
      </w:r>
    </w:p>
    <w:p>
      <w:pPr>
        <w:pStyle w:val="Normal"/>
        <w:numPr>
          <w:ilvl w:val="0"/>
          <w:numId w:val="2"/>
        </w:numPr>
      </w:pPr>
      <w:r>
        <w:t xml:space="preserve">Delimita frontera y contexto y declara supuestos pertinentes.</w:t>
      </w:r>
    </w:p>
    <w:p>
      <w:pPr>
        <w:pStyle w:val="Normal"/>
        <w:numPr>
          <w:ilvl w:val="0"/>
          <w:numId w:val="2"/>
        </w:numPr>
      </w:pPr>
      <w:r>
        <w:t xml:space="preserve">Distingue los cuatro niveles del iceberg con evidencia del caso.</w:t>
      </w:r>
    </w:p>
    <w:p>
      <w:pPr>
        <w:pStyle w:val="Normal"/>
        <w:numPr>
          <w:ilvl w:val="0"/>
          <w:numId w:val="2"/>
        </w:numPr>
      </w:pPr>
      <w:r>
        <w:t xml:space="preserve">Dibuja las cuatro reglas DSRP con sus pares y notación coherente.</w:t>
      </w:r>
    </w:p>
    <w:p>
      <w:pPr>
        <w:pStyle w:val="Normal"/>
        <w:numPr>
          <w:ilvl w:val="0"/>
          <w:numId w:val="2"/>
        </w:numPr>
      </w:pPr>
      <w:r>
        <w:t xml:space="preserve">Compara perspectivas y separa observación de inferencia.</w:t>
      </w:r>
    </w:p>
    <w:p>
      <w:pPr>
        <w:pStyle w:val="Normal"/>
        <w:numPr>
          <w:ilvl w:val="0"/>
          <w:numId w:val="2"/>
        </w:numPr>
      </w:pPr>
      <w:r>
        <w:t xml:space="preserve">Explica emergencia o sinergia mediante interacciones, sin atribuirla a una parte aislada.</w:t>
      </w:r>
    </w:p>
    <w:p>
      <w:pPr>
        <w:pStyle w:val="Fuente"/>
      </w:pPr>
      <w:r>
        <w:t xml:space="preserve">Unidades 1–2; clases 1–9; caso integrador editorial.</w:t>
      </w:r>
    </w:p>
    <w:p>
      <w:pPr>
        <w:pStyle w:val="Heading3"/>
      </w:pPr>
      <w:bookmarkStart w:name="b_pregunta_final_sistemas_universidad" w:id="5833"/>
      <w:r>
        <w:t xml:space="preserve">7.2 · Sistemas y perspectivas · universidad</w:t>
      </w:r>
      <w:bookmarkEnd w:id="5833"/>
    </w:p>
    <w:p>
      <w:pPr>
        <w:pStyle w:val="Normal"/>
      </w:pPr>
      <w:r>
        <w:t xml:space="preserve">Una universidad mide calidad por número de aprobados. Cada semestre crecen aprobaciones y reclamaciones sobre competencias insuficientes. Delimita el sistema y su contexto. Separa evento, patrón, estructura y modelo mental. Construye en papel un mapa DSRP con identidad/otro, partes/todo, relaciones y perspectivas de estudiantes, docentes y empleadores. Distingue datos e inferencias y explica qué propiedad emergente podría aparecer en la interacción de cursos, evaluaciones y competencias.</w:t>
      </w:r>
    </w:p>
    <w:p>
      <w:pPr>
        <w:pStyle w:val="Heading3"/>
      </w:pPr>
      <w:bookmarkStart w:name="b_solucion_final_sistemas_universidad" w:id="5834"/>
      <w:r>
        <w:t xml:space="preserve">Solución 7.2</w:t>
      </w:r>
      <w:bookmarkEnd w:id="5834"/>
    </w:p>
    <w:p>
      <w:pPr>
        <w:pStyle w:val="RecuadroTitulo"/>
      </w:pPr>
      <w:r>
        <w:t xml:space="preserve">Respuesta modelo</w:t>
      </w:r>
    </w:p>
    <w:p>
      <w:pPr>
        <w:pStyle w:val="Normal"/>
      </w:pPr>
      <w:r>
        <w:t xml:space="preserve">El sistema se delimita por la pregunta de calidad del servicio; incluye cursos, evaluaciones y competencias y sus relaciones, con estudiantes, docentes y empleadores como perspectivas relevantes. La frontera no elimina la influencia del contexto.</w:t>
      </w:r>
    </w:p>
    <w:p>
      <w:pPr>
        <w:pStyle w:val="Normal"/>
      </w:pPr>
      <w:r>
        <w:t xml:space="preserve">Una incidencia concreta es evento; el aumento sostenido es patrón; reglas de registro o incentivos forman la estructura; la creencia de éxito es modelo mental. Deben separarse medidas observadas de atribuciones sobre intención o capacidad.</w:t>
      </w:r>
    </w:p>
    <w:p>
      <w:pPr>
        <w:pStyle w:val="Normal"/>
      </w:pPr>
      <w:r>
        <w:t xml:space="preserve">El mapa distingue sistema y entorno, contiene partes dentro del todo, explicita relaciones y sitúa punto de vista y objeto observado. La coordinación y sus resultados emergen de las interacciones; no se infieren sumando capacidades individuales. Se contrastan hipótesis con datos y otras perspectivas.</w:t>
      </w:r>
    </w:p>
    <w:p>
      <w:pPr>
        <w:pStyle w:val="Heading3"/>
      </w:pPr>
      <w:r>
        <w:t xml:space="preserve">Criterios para una respuesta completa</w:t>
      </w:r>
    </w:p>
    <w:p>
      <w:pPr>
        <w:pStyle w:val="Normal"/>
        <w:numPr>
          <w:ilvl w:val="0"/>
          <w:numId w:val="2"/>
        </w:numPr>
      </w:pPr>
      <w:r>
        <w:t xml:space="preserve">Delimita frontera y contexto y declara supuestos pertinentes.</w:t>
      </w:r>
    </w:p>
    <w:p>
      <w:pPr>
        <w:pStyle w:val="Normal"/>
        <w:numPr>
          <w:ilvl w:val="0"/>
          <w:numId w:val="2"/>
        </w:numPr>
      </w:pPr>
      <w:r>
        <w:t xml:space="preserve">Distingue los cuatro niveles del iceberg con evidencia del caso.</w:t>
      </w:r>
    </w:p>
    <w:p>
      <w:pPr>
        <w:pStyle w:val="Normal"/>
        <w:numPr>
          <w:ilvl w:val="0"/>
          <w:numId w:val="2"/>
        </w:numPr>
      </w:pPr>
      <w:r>
        <w:t xml:space="preserve">Dibuja las cuatro reglas DSRP con sus pares y notación coherente.</w:t>
      </w:r>
    </w:p>
    <w:p>
      <w:pPr>
        <w:pStyle w:val="Normal"/>
        <w:numPr>
          <w:ilvl w:val="0"/>
          <w:numId w:val="2"/>
        </w:numPr>
      </w:pPr>
      <w:r>
        <w:t xml:space="preserve">Compara perspectivas y separa observación de inferencia.</w:t>
      </w:r>
    </w:p>
    <w:p>
      <w:pPr>
        <w:pStyle w:val="Normal"/>
        <w:numPr>
          <w:ilvl w:val="0"/>
          <w:numId w:val="2"/>
        </w:numPr>
      </w:pPr>
      <w:r>
        <w:t xml:space="preserve">Explica emergencia o sinergia mediante interacciones, sin atribuirla a una parte aislada.</w:t>
      </w:r>
    </w:p>
    <w:p>
      <w:pPr>
        <w:pStyle w:val="Fuente"/>
      </w:pPr>
      <w:r>
        <w:t xml:space="preserve">Unidades 1–2; clases 1–9; caso integrador editorial.</w:t>
      </w:r>
    </w:p>
    <w:p>
      <w:pPr>
        <w:pStyle w:val="Heading3"/>
      </w:pPr>
      <w:bookmarkStart w:name="b_pregunta_final_sistemas_soporte" w:id="5835"/>
      <w:r>
        <w:t xml:space="preserve">7.3 · Sistemas y perspectivas · soporte</w:t>
      </w:r>
      <w:bookmarkEnd w:id="5835"/>
    </w:p>
    <w:p>
      <w:pPr>
        <w:pStyle w:val="Normal"/>
      </w:pPr>
      <w:r>
        <w:t xml:space="preserve">Soporte considera que atender rápidamente equivale a resolver bien. Aumentan cierres diarios, reaperturas y usuarios que buscan ayuda externa. Delimita el sistema y su contexto. Separa evento, patrón, estructura y modelo mental. Construye en papel un mapa DSRP con identidad/otro, partes/todo, relaciones y perspectivas de usuarios, técnicos y coordinación. Distingue datos e inferencias y explica qué propiedad emergente podría aparecer en la interacción de solicitudes, técnicos y canales de atención.</w:t>
      </w:r>
    </w:p>
    <w:p>
      <w:pPr>
        <w:pStyle w:val="Heading3"/>
      </w:pPr>
      <w:bookmarkStart w:name="b_solucion_final_sistemas_soporte" w:id="5836"/>
      <w:r>
        <w:t xml:space="preserve">Solución 7.3</w:t>
      </w:r>
      <w:bookmarkEnd w:id="5836"/>
    </w:p>
    <w:p>
      <w:pPr>
        <w:pStyle w:val="RecuadroTitulo"/>
      </w:pPr>
      <w:r>
        <w:t xml:space="preserve">Respuesta modelo</w:t>
      </w:r>
    </w:p>
    <w:p>
      <w:pPr>
        <w:pStyle w:val="Normal"/>
      </w:pPr>
      <w:r>
        <w:t xml:space="preserve">El sistema se delimita por la pregunta de calidad del servicio; incluye solicitudes, técnicos y canales de atención y sus relaciones, con usuarios, técnicos y coordinación como perspectivas relevantes. La frontera no elimina la influencia del contexto.</w:t>
      </w:r>
    </w:p>
    <w:p>
      <w:pPr>
        <w:pStyle w:val="Normal"/>
      </w:pPr>
      <w:r>
        <w:t xml:space="preserve">Una incidencia concreta es evento; el aumento sostenido es patrón; reglas de registro o incentivos forman la estructura; la creencia de éxito es modelo mental. Deben separarse medidas observadas de atribuciones sobre intención o capacidad.</w:t>
      </w:r>
    </w:p>
    <w:p>
      <w:pPr>
        <w:pStyle w:val="Normal"/>
      </w:pPr>
      <w:r>
        <w:t xml:space="preserve">El mapa distingue sistema y entorno, contiene partes dentro del todo, explicita relaciones y sitúa punto de vista y objeto observado. La coordinación y sus resultados emergen de las interacciones; no se infieren sumando capacidades individuales. Se contrastan hipótesis con datos y otras perspectivas.</w:t>
      </w:r>
    </w:p>
    <w:p>
      <w:pPr>
        <w:pStyle w:val="Heading3"/>
      </w:pPr>
      <w:r>
        <w:t xml:space="preserve">Criterios para una respuesta completa</w:t>
      </w:r>
    </w:p>
    <w:p>
      <w:pPr>
        <w:pStyle w:val="Normal"/>
        <w:numPr>
          <w:ilvl w:val="0"/>
          <w:numId w:val="2"/>
        </w:numPr>
      </w:pPr>
      <w:r>
        <w:t xml:space="preserve">Delimita frontera y contexto y declara supuestos pertinentes.</w:t>
      </w:r>
    </w:p>
    <w:p>
      <w:pPr>
        <w:pStyle w:val="Normal"/>
        <w:numPr>
          <w:ilvl w:val="0"/>
          <w:numId w:val="2"/>
        </w:numPr>
      </w:pPr>
      <w:r>
        <w:t xml:space="preserve">Distingue los cuatro niveles del iceberg con evidencia del caso.</w:t>
      </w:r>
    </w:p>
    <w:p>
      <w:pPr>
        <w:pStyle w:val="Normal"/>
        <w:numPr>
          <w:ilvl w:val="0"/>
          <w:numId w:val="2"/>
        </w:numPr>
      </w:pPr>
      <w:r>
        <w:t xml:space="preserve">Dibuja las cuatro reglas DSRP con sus pares y notación coherente.</w:t>
      </w:r>
    </w:p>
    <w:p>
      <w:pPr>
        <w:pStyle w:val="Normal"/>
        <w:numPr>
          <w:ilvl w:val="0"/>
          <w:numId w:val="2"/>
        </w:numPr>
      </w:pPr>
      <w:r>
        <w:t xml:space="preserve">Compara perspectivas y separa observación de inferencia.</w:t>
      </w:r>
    </w:p>
    <w:p>
      <w:pPr>
        <w:pStyle w:val="Normal"/>
        <w:numPr>
          <w:ilvl w:val="0"/>
          <w:numId w:val="2"/>
        </w:numPr>
      </w:pPr>
      <w:r>
        <w:t xml:space="preserve">Explica emergencia o sinergia mediante interacciones, sin atribuirla a una parte aislada.</w:t>
      </w:r>
    </w:p>
    <w:p>
      <w:pPr>
        <w:pStyle w:val="Fuente"/>
      </w:pPr>
      <w:r>
        <w:t xml:space="preserve">Unidades 1–2; clases 1–9; caso integrador editorial.</w:t>
      </w:r>
    </w:p>
    <w:p>
      <w:pPr>
        <w:pStyle w:val="Heading3"/>
      </w:pPr>
      <w:bookmarkStart w:name="b_pregunta_final_causal_registro" w:id="5837"/>
      <w:r>
        <w:t xml:space="preserve">7.4 · Causalidad y demoras · registro</w:t>
      </w:r>
      <w:bookmarkEnd w:id="5837"/>
    </w:p>
    <w:p>
      <w:pPr>
        <w:pStyle w:val="Normal"/>
      </w:pPr>
      <w:r>
        <w:t xml:space="preserve">Al aumentar expedientes atrasados, se reduce capacitación; menos capacitación produce más errores de registro, que aumentan expedientes atrasados. La dirección añade horas extraordinarias: bajan los pendientes al principio, pero después la fatiga aumenta los errores. Dibuja y clasifica los recorridos cerrados, ubica una demora, reconoce un arquetipo y propone una intervención. Explica qué ocurriría si disminuyera inicialmente el atraso.</w:t>
      </w:r>
    </w:p>
    <w:p>
      <w:pPr>
        <w:pStyle w:val="Heading3"/>
      </w:pPr>
      <w:bookmarkStart w:name="b_solucion_final_causal_registro" w:id="5838"/>
      <w:r>
        <w:t xml:space="preserve">Solución 7.4</w:t>
      </w:r>
      <w:bookmarkEnd w:id="5838"/>
    </w:p>
    <w:p>
      <w:pPr>
        <w:pStyle w:val="RecuadroTitulo"/>
      </w:pPr>
      <w:r>
        <w:t xml:space="preserve">Respuesta modelo</w:t>
      </w:r>
    </w:p>
    <w:p>
      <w:pPr>
        <w:pStyle w:val="Normal"/>
      </w:pPr>
      <w:r>
        <w:t xml:space="preserve">El primer recorrido tiene signos −, −, +: es refuerzo. Menos expedientes atrasados permite más capacitación, menos errores de registro y menos atraso; el refuerzo puede amplificar mejora o deterioro.</w:t>
      </w:r>
    </w:p>
    <w:p>
      <w:pPr>
        <w:pStyle w:val="Normal"/>
      </w:pPr>
      <w:r>
        <w:t xml:space="preserve">Atraso → horas extra → atraso tiene signos +, −: balance. Atraso → horas extra → fatiga → errores → atraso es refuerzo demorado. La combinación corresponde a soluciones rápidas que fallan. No basta llamar negativo al resultado desagradable.</w:t>
      </w:r>
    </w:p>
    <w:p>
      <w:pPr>
        <w:pStyle w:val="Normal"/>
      </w:pPr>
      <w:r>
        <w:t xml:space="preserve">La demora está entre esfuerzo sostenido y fatiga/errores. Debe atenderse la causa y recuperar capacidad preventiva o de aprendizaje, con seguimiento de pendientes, entradas, salidas y calidad. Un DCC no fija por sí solo una curva numérica ni una duración.</w:t>
      </w:r>
    </w:p>
    <w:p>
      <w:pPr>
        <w:pStyle w:val="Heading3"/>
      </w:pPr>
      <w:r>
        <w:t xml:space="preserve">Criterios para una respuesta completa</w:t>
      </w:r>
    </w:p>
    <w:p>
      <w:pPr>
        <w:pStyle w:val="Normal"/>
        <w:numPr>
          <w:ilvl w:val="0"/>
          <w:numId w:val="2"/>
        </w:numPr>
      </w:pPr>
      <w:r>
        <w:t xml:space="preserve">Representa el primer recorrido cerrado con signos −, −, + y lo clasifica R.</w:t>
      </w:r>
    </w:p>
    <w:p>
      <w:pPr>
        <w:pStyle w:val="Normal"/>
        <w:numPr>
          <w:ilvl w:val="0"/>
          <w:numId w:val="2"/>
        </w:numPr>
      </w:pPr>
      <w:r>
        <w:t xml:space="preserve">Separa el balance inmediato del refuerzo adverso posterior.</w:t>
      </w:r>
    </w:p>
    <w:p>
      <w:pPr>
        <w:pStyle w:val="Normal"/>
        <w:numPr>
          <w:ilvl w:val="0"/>
          <w:numId w:val="2"/>
        </w:numPr>
      </w:pPr>
      <w:r>
        <w:t xml:space="preserve">Ubica una demora sin cambiar por ella la polaridad.</w:t>
      </w:r>
    </w:p>
    <w:p>
      <w:pPr>
        <w:pStyle w:val="Normal"/>
        <w:numPr>
          <w:ilvl w:val="0"/>
          <w:numId w:val="2"/>
        </w:numPr>
      </w:pPr>
      <w:r>
        <w:t xml:space="preserve">Justifica el arquetipo y una intervención sobre el mecanismo.</w:t>
      </w:r>
    </w:p>
    <w:p>
      <w:pPr>
        <w:pStyle w:val="Normal"/>
        <w:numPr>
          <w:ilvl w:val="0"/>
          <w:numId w:val="2"/>
        </w:numPr>
      </w:pPr>
      <w:r>
        <w:t xml:space="preserve">Relata el efecto de una disminución inicial y distingue estructura de trayectoria.</w:t>
      </w:r>
    </w:p>
    <w:p>
      <w:pPr>
        <w:pStyle w:val="Fuente"/>
      </w:pPr>
      <w:r>
        <w:t xml:space="preserve">Clases 14–16 y 22; L-17–L-19; caso editorial.</w:t>
      </w:r>
    </w:p>
    <w:p>
      <w:pPr>
        <w:pStyle w:val="Heading3"/>
      </w:pPr>
      <w:bookmarkStart w:name="b_pregunta_final_causal_mantenimiento" w:id="5839"/>
      <w:r>
        <w:t xml:space="preserve">7.5 · Causalidad y demoras · mantenimiento</w:t>
      </w:r>
      <w:bookmarkEnd w:id="5839"/>
    </w:p>
    <w:p>
      <w:pPr>
        <w:pStyle w:val="Normal"/>
      </w:pPr>
      <w:r>
        <w:t xml:space="preserve">Al aumentar averías pendientes, se reduce mantenimiento preventivo; menos mantenimiento preventivo produce más nuevas fallas, que aumentan averías pendientes. La dirección añade horas extraordinarias: bajan los pendientes al principio, pero después la fatiga aumenta los errores. Dibuja y clasifica los recorridos cerrados, ubica una demora, reconoce un arquetipo y propone una intervención. Explica qué ocurriría si disminuyera inicialmente el atraso.</w:t>
      </w:r>
    </w:p>
    <w:p>
      <w:pPr>
        <w:pStyle w:val="Heading3"/>
      </w:pPr>
      <w:bookmarkStart w:name="b_solucion_final_causal_mantenimiento" w:id="5840"/>
      <w:r>
        <w:t xml:space="preserve">Solución 7.5</w:t>
      </w:r>
      <w:bookmarkEnd w:id="5840"/>
    </w:p>
    <w:p>
      <w:pPr>
        <w:pStyle w:val="RecuadroTitulo"/>
      </w:pPr>
      <w:r>
        <w:t xml:space="preserve">Respuesta modelo</w:t>
      </w:r>
    </w:p>
    <w:p>
      <w:pPr>
        <w:pStyle w:val="Normal"/>
      </w:pPr>
      <w:r>
        <w:t xml:space="preserve">El primer recorrido tiene signos −, −, +: es refuerzo. Menos averías pendientes permite más mantenimiento preventivo, menos nuevas fallas y menos atraso; el refuerzo puede amplificar mejora o deterioro.</w:t>
      </w:r>
    </w:p>
    <w:p>
      <w:pPr>
        <w:pStyle w:val="Normal"/>
      </w:pPr>
      <w:r>
        <w:t xml:space="preserve">Atraso → horas extra → atraso tiene signos +, −: balance. Atraso → horas extra → fatiga → errores → atraso es refuerzo demorado. La combinación corresponde a soluciones rápidas que fallan. No basta llamar negativo al resultado desagradable.</w:t>
      </w:r>
    </w:p>
    <w:p>
      <w:pPr>
        <w:pStyle w:val="Normal"/>
      </w:pPr>
      <w:r>
        <w:t xml:space="preserve">La demora está entre esfuerzo sostenido y fatiga/errores. Debe atenderse la causa y recuperar capacidad preventiva o de aprendizaje, con seguimiento de pendientes, entradas, salidas y calidad. Un DCC no fija por sí solo una curva numérica ni una duración.</w:t>
      </w:r>
    </w:p>
    <w:p>
      <w:pPr>
        <w:pStyle w:val="Heading3"/>
      </w:pPr>
      <w:r>
        <w:t xml:space="preserve">Criterios para una respuesta completa</w:t>
      </w:r>
    </w:p>
    <w:p>
      <w:pPr>
        <w:pStyle w:val="Normal"/>
        <w:numPr>
          <w:ilvl w:val="0"/>
          <w:numId w:val="2"/>
        </w:numPr>
      </w:pPr>
      <w:r>
        <w:t xml:space="preserve">Representa el primer recorrido cerrado con signos −, −, + y lo clasifica R.</w:t>
      </w:r>
    </w:p>
    <w:p>
      <w:pPr>
        <w:pStyle w:val="Normal"/>
        <w:numPr>
          <w:ilvl w:val="0"/>
          <w:numId w:val="2"/>
        </w:numPr>
      </w:pPr>
      <w:r>
        <w:t xml:space="preserve">Separa el balance inmediato del refuerzo adverso posterior.</w:t>
      </w:r>
    </w:p>
    <w:p>
      <w:pPr>
        <w:pStyle w:val="Normal"/>
        <w:numPr>
          <w:ilvl w:val="0"/>
          <w:numId w:val="2"/>
        </w:numPr>
      </w:pPr>
      <w:r>
        <w:t xml:space="preserve">Ubica una demora sin cambiar por ella la polaridad.</w:t>
      </w:r>
    </w:p>
    <w:p>
      <w:pPr>
        <w:pStyle w:val="Normal"/>
        <w:numPr>
          <w:ilvl w:val="0"/>
          <w:numId w:val="2"/>
        </w:numPr>
      </w:pPr>
      <w:r>
        <w:t xml:space="preserve">Justifica el arquetipo y una intervención sobre el mecanismo.</w:t>
      </w:r>
    </w:p>
    <w:p>
      <w:pPr>
        <w:pStyle w:val="Normal"/>
        <w:numPr>
          <w:ilvl w:val="0"/>
          <w:numId w:val="2"/>
        </w:numPr>
      </w:pPr>
      <w:r>
        <w:t xml:space="preserve">Relata el efecto de una disminución inicial y distingue estructura de trayectoria.</w:t>
      </w:r>
    </w:p>
    <w:p>
      <w:pPr>
        <w:pStyle w:val="Fuente"/>
      </w:pPr>
      <w:r>
        <w:t xml:space="preserve">Clases 14–16 y 22; L-17–L-19; caso editorial.</w:t>
      </w:r>
    </w:p>
    <w:p>
      <w:pPr>
        <w:pStyle w:val="Heading3"/>
      </w:pPr>
      <w:bookmarkStart w:name="b_pregunta_final_causal_servicio" w:id="5841"/>
      <w:r>
        <w:t xml:space="preserve">7.6 · Causalidad y demoras · servicio</w:t>
      </w:r>
      <w:bookmarkEnd w:id="5841"/>
    </w:p>
    <w:p>
      <w:pPr>
        <w:pStyle w:val="Normal"/>
      </w:pPr>
      <w:r>
        <w:t xml:space="preserve">Al aumentar solicitudes pendientes, se reduce práctica autónoma; menos práctica autónoma produce más errores de atención, que aumentan solicitudes pendientes. La dirección añade horas extraordinarias: bajan los pendientes al principio, pero después la fatiga aumenta los errores. Dibuja y clasifica los recorridos cerrados, ubica una demora, reconoce un arquetipo y propone una intervención. Explica qué ocurriría si disminuyera inicialmente el atraso.</w:t>
      </w:r>
    </w:p>
    <w:p>
      <w:pPr>
        <w:pStyle w:val="Heading3"/>
      </w:pPr>
      <w:bookmarkStart w:name="b_solucion_final_causal_servicio" w:id="5842"/>
      <w:r>
        <w:t xml:space="preserve">Solución 7.6</w:t>
      </w:r>
      <w:bookmarkEnd w:id="5842"/>
    </w:p>
    <w:p>
      <w:pPr>
        <w:pStyle w:val="RecuadroTitulo"/>
      </w:pPr>
      <w:r>
        <w:t xml:space="preserve">Respuesta modelo</w:t>
      </w:r>
    </w:p>
    <w:p>
      <w:pPr>
        <w:pStyle w:val="Normal"/>
      </w:pPr>
      <w:r>
        <w:t xml:space="preserve">El primer recorrido tiene signos −, −, +: es refuerzo. Menos solicitudes pendientes permite más práctica autónoma, menos errores de atención y menos atraso; el refuerzo puede amplificar mejora o deterioro.</w:t>
      </w:r>
    </w:p>
    <w:p>
      <w:pPr>
        <w:pStyle w:val="Normal"/>
      </w:pPr>
      <w:r>
        <w:t xml:space="preserve">Atraso → horas extra → atraso tiene signos +, −: balance. Atraso → horas extra → fatiga → errores → atraso es refuerzo demorado. La combinación corresponde a soluciones rápidas que fallan. No basta llamar negativo al resultado desagradable.</w:t>
      </w:r>
    </w:p>
    <w:p>
      <w:pPr>
        <w:pStyle w:val="Normal"/>
      </w:pPr>
      <w:r>
        <w:t xml:space="preserve">La demora está entre esfuerzo sostenido y fatiga/errores. Debe atenderse la causa y recuperar capacidad preventiva o de aprendizaje, con seguimiento de pendientes, entradas, salidas y calidad. Un DCC no fija por sí solo una curva numérica ni una duración.</w:t>
      </w:r>
    </w:p>
    <w:p>
      <w:pPr>
        <w:pStyle w:val="Heading3"/>
      </w:pPr>
      <w:r>
        <w:t xml:space="preserve">Criterios para una respuesta completa</w:t>
      </w:r>
    </w:p>
    <w:p>
      <w:pPr>
        <w:pStyle w:val="Normal"/>
        <w:numPr>
          <w:ilvl w:val="0"/>
          <w:numId w:val="2"/>
        </w:numPr>
      </w:pPr>
      <w:r>
        <w:t xml:space="preserve">Representa el primer recorrido cerrado con signos −, −, + y lo clasifica R.</w:t>
      </w:r>
    </w:p>
    <w:p>
      <w:pPr>
        <w:pStyle w:val="Normal"/>
        <w:numPr>
          <w:ilvl w:val="0"/>
          <w:numId w:val="2"/>
        </w:numPr>
      </w:pPr>
      <w:r>
        <w:t xml:space="preserve">Separa el balance inmediato del refuerzo adverso posterior.</w:t>
      </w:r>
    </w:p>
    <w:p>
      <w:pPr>
        <w:pStyle w:val="Normal"/>
        <w:numPr>
          <w:ilvl w:val="0"/>
          <w:numId w:val="2"/>
        </w:numPr>
      </w:pPr>
      <w:r>
        <w:t xml:space="preserve">Ubica una demora sin cambiar por ella la polaridad.</w:t>
      </w:r>
    </w:p>
    <w:p>
      <w:pPr>
        <w:pStyle w:val="Normal"/>
        <w:numPr>
          <w:ilvl w:val="0"/>
          <w:numId w:val="2"/>
        </w:numPr>
      </w:pPr>
      <w:r>
        <w:t xml:space="preserve">Justifica el arquetipo y una intervención sobre el mecanismo.</w:t>
      </w:r>
    </w:p>
    <w:p>
      <w:pPr>
        <w:pStyle w:val="Normal"/>
        <w:numPr>
          <w:ilvl w:val="0"/>
          <w:numId w:val="2"/>
        </w:numPr>
      </w:pPr>
      <w:r>
        <w:t xml:space="preserve">Relata el efecto de una disminución inicial y distingue estructura de trayectoria.</w:t>
      </w:r>
    </w:p>
    <w:p>
      <w:pPr>
        <w:pStyle w:val="Fuente"/>
      </w:pPr>
      <w:r>
        <w:t xml:space="preserve">Clases 14–16 y 22; L-17–L-19; caso editorial.</w:t>
      </w:r>
    </w:p>
    <w:p>
      <w:pPr>
        <w:pStyle w:val="Heading3"/>
      </w:pPr>
      <w:bookmarkStart w:name="b_pregunta_final_modelo_agua" w:id="5843"/>
      <w:r>
        <w:t xml:space="preserve">7.7 · Modelación y cálculo · agua</w:t>
      </w:r>
      <w:bookmarkEnd w:id="5843"/>
    </w:p>
    <w:p>
      <w:pPr>
        <w:pStyle w:val="Normal"/>
      </w:pPr>
      <w:r>
        <w:t xml:space="preserve">Un nivel empieza en 120 litros. Entran 10 litros/minuto; sale la fracción 0.1 por minuto del nivel al inicio de cada paso. Dibuja el Forrester, escribe INTEG y unidades, calcula dos pasos de una unidad de tiempo y encuentra el equilibrio. Describe la curva esperada y cómo comprobarías sensibilidad al paso. Indica la cifra del segundo paso y justifica el procedimiento.</w:t>
      </w:r>
    </w:p>
    <w:p>
      <w:pPr>
        <w:pStyle w:val="Heading3"/>
      </w:pPr>
      <w:bookmarkStart w:name="b_solucion_final_modelo_agua" w:id="5844"/>
      <w:r>
        <w:t xml:space="preserve">Solución 7.7</w:t>
      </w:r>
      <w:bookmarkEnd w:id="5844"/>
    </w:p>
    <w:p>
      <w:pPr>
        <w:pStyle w:val="RecuadroTitulo"/>
      </w:pPr>
      <w:r>
        <w:t xml:space="preserve">Respuesta modelo</w:t>
      </w:r>
    </w:p>
    <w:p>
      <w:pPr>
        <w:pStyle w:val="Normal"/>
      </w:pPr>
      <w:r>
        <w:t xml:space="preserve">N = INTEG(Entrada − Salida, 120); Entrada = 10 litros/minuto; Salida = 0.1/minuto × N. El nivel informa la salida; la nube delimita fuentes y destinos.</w:t>
      </w:r>
    </w:p>
    <w:p>
      <w:pPr>
        <w:pStyle w:val="Normal"/>
      </w:pPr>
      <w:r>
        <w:t xml:space="preserve">Paso 1: 120 + (10 − 12) × 1 = 118. Paso 2: 118 + (10 − 11.8) × 1 = 116.2 litros. Se recalcula la salida con el estado vigente.</w:t>
      </w:r>
    </w:p>
    <w:p>
      <w:pPr>
        <w:pStyle w:val="Normal"/>
      </w:pPr>
      <w:r>
        <w:t xml:space="preserve">Equilibrio N* = 10/0.1 = 100 litros, por igualdad de flujos. La diferencia con el equilibrio se multiplica por 0.9 cada paso. La trayectoria converge; la solución continua usa exp(−0.1t). Comparar pasos 1, 0.5 y 0.25 al mismo tiempo final evalúa error numérico, sin cambiar la demora real.</w:t>
      </w:r>
    </w:p>
    <w:p>
      <w:pPr>
        <w:pStyle w:val="Normal"/>
      </w:pPr>
      <w:r>
        <w:t xml:space="preserve">La validación incluye unidades, valores iniciales, extremos, estructura y datos observados. Model is OK no prueba validez empírica.</w:t>
      </w:r>
    </w:p>
    <w:p>
      <w:pPr>
        <w:pStyle w:val="Fuente"/>
      </w:pPr>
      <w:r>
        <w:t xml:space="preserve">Control numérico: 116.2 · tolerancia de práctica: ±0.005.</w:t>
      </w:r>
    </w:p>
    <w:p>
      <w:pPr>
        <w:pStyle w:val="Heading3"/>
      </w:pPr>
      <w:r>
        <w:t xml:space="preserve">Criterios para una respuesta completa</w:t>
      </w:r>
    </w:p>
    <w:p>
      <w:pPr>
        <w:pStyle w:val="Normal"/>
        <w:numPr>
          <w:ilvl w:val="0"/>
          <w:numId w:val="2"/>
        </w:numPr>
      </w:pPr>
      <w:r>
        <w:t xml:space="preserve">Dibuja nivel, entrada, salida y conexión informativa hacia la salida.</w:t>
      </w:r>
    </w:p>
    <w:p>
      <w:pPr>
        <w:pStyle w:val="Normal"/>
        <w:numPr>
          <w:ilvl w:val="0"/>
          <w:numId w:val="2"/>
        </w:numPr>
      </w:pPr>
      <w:r>
        <w:t xml:space="preserve">Escribe INTEG, inicial y unidades coherentes.</w:t>
      </w:r>
    </w:p>
    <w:p>
      <w:pPr>
        <w:pStyle w:val="Normal"/>
        <w:numPr>
          <w:ilvl w:val="0"/>
          <w:numId w:val="2"/>
        </w:numPr>
      </w:pPr>
      <w:r>
        <w:t xml:space="preserve">Recalcula los dos pasos y obtiene la cifra con procedimiento.</w:t>
      </w:r>
    </w:p>
    <w:p>
      <w:pPr>
        <w:pStyle w:val="Normal"/>
        <w:numPr>
          <w:ilvl w:val="0"/>
          <w:numId w:val="2"/>
        </w:numPr>
      </w:pPr>
      <w:r>
        <w:t xml:space="preserve">Deriva el equilibrio igualando flujos y describe la convergencia.</w:t>
      </w:r>
    </w:p>
    <w:p>
      <w:pPr>
        <w:pStyle w:val="Normal"/>
        <w:numPr>
          <w:ilvl w:val="0"/>
          <w:numId w:val="2"/>
        </w:numPr>
      </w:pPr>
      <w:r>
        <w:t xml:space="preserve">Distingue sensibilidad numérica, cambio de supuestos y validación.</w:t>
      </w:r>
    </w:p>
    <w:p>
      <w:pPr>
        <w:pStyle w:val="Fuente"/>
      </w:pPr>
      <w:r>
        <w:t xml:space="preserve">Unidad 4, temas 4.2–4.5; valores editoriales.</w:t>
      </w:r>
    </w:p>
    <w:p>
      <w:pPr>
        <w:pStyle w:val="Heading3"/>
      </w:pPr>
      <w:bookmarkStart w:name="b_pregunta_final_modelo_inventario" w:id="5845"/>
      <w:r>
        <w:t xml:space="preserve">7.8 · Modelación y cálculo · inventario</w:t>
      </w:r>
      <w:bookmarkEnd w:id="5845"/>
    </w:p>
    <w:p>
      <w:pPr>
        <w:pStyle w:val="Normal"/>
      </w:pPr>
      <w:r>
        <w:t xml:space="preserve">Un nivel empieza en 200 unidades. Entran 30 unidades/día; sale la fracción 0.1 por día del nivel al inicio de cada paso. Dibuja el Forrester, escribe INTEG y unidades, calcula dos pasos de una unidad de tiempo y encuentra el equilibrio. Describe la curva esperada y cómo comprobarías sensibilidad al paso. Indica la cifra del segundo paso y justifica el procedimiento.</w:t>
      </w:r>
    </w:p>
    <w:p>
      <w:pPr>
        <w:pStyle w:val="Heading3"/>
      </w:pPr>
      <w:bookmarkStart w:name="b_solucion_final_modelo_inventario" w:id="5846"/>
      <w:r>
        <w:t xml:space="preserve">Solución 7.8</w:t>
      </w:r>
      <w:bookmarkEnd w:id="5846"/>
    </w:p>
    <w:p>
      <w:pPr>
        <w:pStyle w:val="RecuadroTitulo"/>
      </w:pPr>
      <w:r>
        <w:t xml:space="preserve">Respuesta modelo</w:t>
      </w:r>
    </w:p>
    <w:p>
      <w:pPr>
        <w:pStyle w:val="Normal"/>
      </w:pPr>
      <w:r>
        <w:t xml:space="preserve">N = INTEG(Entrada − Salida, 200); Entrada = 30 unidades/día; Salida = 0.1/día × N. El nivel informa la salida; la nube delimita fuentes y destinos.</w:t>
      </w:r>
    </w:p>
    <w:p>
      <w:pPr>
        <w:pStyle w:val="Normal"/>
      </w:pPr>
      <w:r>
        <w:t xml:space="preserve">Paso 1: 200 + (30 − 20) × 1 = 210. Paso 2: 210 + (30 − 21) × 1 = 219 unidades. Se recalcula la salida con el estado vigente.</w:t>
      </w:r>
    </w:p>
    <w:p>
      <w:pPr>
        <w:pStyle w:val="Normal"/>
      </w:pPr>
      <w:r>
        <w:t xml:space="preserve">Equilibrio N* = 30/0.1 = 300 unidades, por igualdad de flujos. La diferencia con el equilibrio se multiplica por 0.9 cada paso. La trayectoria converge; la solución continua usa exp(−0.1t). Comparar pasos 1, 0.5 y 0.25 al mismo tiempo final evalúa error numérico, sin cambiar la demora real.</w:t>
      </w:r>
    </w:p>
    <w:p>
      <w:pPr>
        <w:pStyle w:val="Normal"/>
      </w:pPr>
      <w:r>
        <w:t xml:space="preserve">La validación incluye unidades, valores iniciales, extremos, estructura y datos observados. Model is OK no prueba validez empírica.</w:t>
      </w:r>
    </w:p>
    <w:p>
      <w:pPr>
        <w:pStyle w:val="Fuente"/>
      </w:pPr>
      <w:r>
        <w:t xml:space="preserve">Control numérico: 219 · tolerancia de práctica: ±0.005.</w:t>
      </w:r>
    </w:p>
    <w:p>
      <w:pPr>
        <w:pStyle w:val="Heading3"/>
      </w:pPr>
      <w:r>
        <w:t xml:space="preserve">Criterios para una respuesta completa</w:t>
      </w:r>
    </w:p>
    <w:p>
      <w:pPr>
        <w:pStyle w:val="Normal"/>
        <w:numPr>
          <w:ilvl w:val="0"/>
          <w:numId w:val="2"/>
        </w:numPr>
      </w:pPr>
      <w:r>
        <w:t xml:space="preserve">Dibuja nivel, entrada, salida y conexión informativa hacia la salida.</w:t>
      </w:r>
    </w:p>
    <w:p>
      <w:pPr>
        <w:pStyle w:val="Normal"/>
        <w:numPr>
          <w:ilvl w:val="0"/>
          <w:numId w:val="2"/>
        </w:numPr>
      </w:pPr>
      <w:r>
        <w:t xml:space="preserve">Escribe INTEG, inicial y unidades coherentes.</w:t>
      </w:r>
    </w:p>
    <w:p>
      <w:pPr>
        <w:pStyle w:val="Normal"/>
        <w:numPr>
          <w:ilvl w:val="0"/>
          <w:numId w:val="2"/>
        </w:numPr>
      </w:pPr>
      <w:r>
        <w:t xml:space="preserve">Recalcula los dos pasos y obtiene la cifra con procedimiento.</w:t>
      </w:r>
    </w:p>
    <w:p>
      <w:pPr>
        <w:pStyle w:val="Normal"/>
        <w:numPr>
          <w:ilvl w:val="0"/>
          <w:numId w:val="2"/>
        </w:numPr>
      </w:pPr>
      <w:r>
        <w:t xml:space="preserve">Deriva el equilibrio igualando flujos y describe la convergencia.</w:t>
      </w:r>
    </w:p>
    <w:p>
      <w:pPr>
        <w:pStyle w:val="Normal"/>
        <w:numPr>
          <w:ilvl w:val="0"/>
          <w:numId w:val="2"/>
        </w:numPr>
      </w:pPr>
      <w:r>
        <w:t xml:space="preserve">Distingue sensibilidad numérica, cambio de supuestos y validación.</w:t>
      </w:r>
    </w:p>
    <w:p>
      <w:pPr>
        <w:pStyle w:val="Fuente"/>
      </w:pPr>
      <w:r>
        <w:t xml:space="preserve">Unidad 4, temas 4.2–4.5; valores editoriales.</w:t>
      </w:r>
    </w:p>
    <w:p>
      <w:pPr>
        <w:pStyle w:val="Heading3"/>
      </w:pPr>
      <w:bookmarkStart w:name="b_pregunta_final_modelo_pendientes" w:id="5847"/>
      <w:r>
        <w:t xml:space="preserve">7.9 · Modelación y cálculo · pendientes</w:t>
      </w:r>
      <w:bookmarkEnd w:id="5847"/>
    </w:p>
    <w:p>
      <w:pPr>
        <w:pStyle w:val="Normal"/>
      </w:pPr>
      <w:r>
        <w:t xml:space="preserve">Un nivel empieza en 80 solicitudes. Entran 12 solicitudes/día; sale la fracción 0.2 por día del nivel al inicio de cada paso. Dibuja el Forrester, escribe INTEG y unidades, calcula dos pasos de una unidad de tiempo y encuentra el equilibrio. Describe la curva esperada y cómo comprobarías sensibilidad al paso. Indica la cifra del segundo paso y justifica el procedimiento.</w:t>
      </w:r>
    </w:p>
    <w:p>
      <w:pPr>
        <w:pStyle w:val="Heading3"/>
      </w:pPr>
      <w:bookmarkStart w:name="b_solucion_final_modelo_pendientes" w:id="5848"/>
      <w:r>
        <w:t xml:space="preserve">Solución 7.9</w:t>
      </w:r>
      <w:bookmarkEnd w:id="5848"/>
    </w:p>
    <w:p>
      <w:pPr>
        <w:pStyle w:val="RecuadroTitulo"/>
      </w:pPr>
      <w:r>
        <w:t xml:space="preserve">Respuesta modelo</w:t>
      </w:r>
    </w:p>
    <w:p>
      <w:pPr>
        <w:pStyle w:val="Normal"/>
      </w:pPr>
      <w:r>
        <w:t xml:space="preserve">N = INTEG(Entrada − Salida, 80); Entrada = 12 solicitudes/día; Salida = 0.2/día × N. El nivel informa la salida; la nube delimita fuentes y destinos.</w:t>
      </w:r>
    </w:p>
    <w:p>
      <w:pPr>
        <w:pStyle w:val="Normal"/>
      </w:pPr>
      <w:r>
        <w:t xml:space="preserve">Paso 1: 80 + (12 − 16) × 1 = 76. Paso 2: 76 + (12 − 15.200000000000001) × 1 = 72.8 solicitudes. Se recalcula la salida con el estado vigente.</w:t>
      </w:r>
    </w:p>
    <w:p>
      <w:pPr>
        <w:pStyle w:val="Normal"/>
      </w:pPr>
      <w:r>
        <w:t xml:space="preserve">Equilibrio N* = 12/0.2 = 60 solicitudes, por igualdad de flujos. La diferencia con el equilibrio se multiplica por 0.8 cada paso. La trayectoria converge; la solución continua usa exp(−0.2t). Comparar pasos 1, 0.5 y 0.25 al mismo tiempo final evalúa error numérico, sin cambiar la demora real.</w:t>
      </w:r>
    </w:p>
    <w:p>
      <w:pPr>
        <w:pStyle w:val="Normal"/>
      </w:pPr>
      <w:r>
        <w:t xml:space="preserve">La validación incluye unidades, valores iniciales, extremos, estructura y datos observados. Model is OK no prueba validez empírica.</w:t>
      </w:r>
    </w:p>
    <w:p>
      <w:pPr>
        <w:pStyle w:val="Fuente"/>
      </w:pPr>
      <w:r>
        <w:t xml:space="preserve">Control numérico: 72.8 · tolerancia de práctica: ±0.005.</w:t>
      </w:r>
    </w:p>
    <w:p>
      <w:pPr>
        <w:pStyle w:val="Heading3"/>
      </w:pPr>
      <w:r>
        <w:t xml:space="preserve">Criterios para una respuesta completa</w:t>
      </w:r>
    </w:p>
    <w:p>
      <w:pPr>
        <w:pStyle w:val="Normal"/>
        <w:numPr>
          <w:ilvl w:val="0"/>
          <w:numId w:val="2"/>
        </w:numPr>
      </w:pPr>
      <w:r>
        <w:t xml:space="preserve">Dibuja nivel, entrada, salida y conexión informativa hacia la salida.</w:t>
      </w:r>
    </w:p>
    <w:p>
      <w:pPr>
        <w:pStyle w:val="Normal"/>
        <w:numPr>
          <w:ilvl w:val="0"/>
          <w:numId w:val="2"/>
        </w:numPr>
      </w:pPr>
      <w:r>
        <w:t xml:space="preserve">Escribe INTEG, inicial y unidades coherentes.</w:t>
      </w:r>
    </w:p>
    <w:p>
      <w:pPr>
        <w:pStyle w:val="Normal"/>
        <w:numPr>
          <w:ilvl w:val="0"/>
          <w:numId w:val="2"/>
        </w:numPr>
      </w:pPr>
      <w:r>
        <w:t xml:space="preserve">Recalcula los dos pasos y obtiene la cifra con procedimiento.</w:t>
      </w:r>
    </w:p>
    <w:p>
      <w:pPr>
        <w:pStyle w:val="Normal"/>
        <w:numPr>
          <w:ilvl w:val="0"/>
          <w:numId w:val="2"/>
        </w:numPr>
      </w:pPr>
      <w:r>
        <w:t xml:space="preserve">Deriva el equilibrio igualando flujos y describe la convergencia.</w:t>
      </w:r>
    </w:p>
    <w:p>
      <w:pPr>
        <w:pStyle w:val="Normal"/>
        <w:numPr>
          <w:ilvl w:val="0"/>
          <w:numId w:val="2"/>
        </w:numPr>
      </w:pPr>
      <w:r>
        <w:t xml:space="preserve">Distingue sensibilidad numérica, cambio de supuestos y validación.</w:t>
      </w:r>
    </w:p>
    <w:p>
      <w:pPr>
        <w:pStyle w:val="Fuente"/>
      </w:pPr>
      <w:r>
        <w:t xml:space="preserve">Unidad 4, temas 4.2–4.5; valores editoriales.</w:t>
      </w:r>
    </w:p>
    <w:p>
      <w:pPr>
        <w:pStyle w:val="Heading3"/>
      </w:pPr>
      <w:bookmarkStart w:name="b_pregunta_final_decision_biblioteca" w:id="5849"/>
      <w:r>
        <w:t xml:space="preserve">7.10 · Decidir, evaluar y adaptarse · biblioteca</w:t>
      </w:r>
      <w:bookmarkEnd w:id="5849"/>
    </w:p>
    <w:p>
      <w:pPr>
        <w:pStyle w:val="Normal"/>
      </w:pPr>
      <w:r>
        <w:t xml:space="preserve">En devoluciones y reservas, el tiempo promedio baja de 10 a 7 días, pero los errores por cada 100 casos suben de 4 a 9. Se quería reducir espera sin perjudicar calidad. Hay bonos por casos cerrados y una capacitación cuyos efectos tardan tres semanas. Evalúa el resultado, propone dos palancas distintas, define indicadores y revisión, y conecta las cuatro etapas de resolución con un proceso organizacional de resiliencia.</w:t>
      </w:r>
    </w:p>
    <w:p>
      <w:pPr>
        <w:pStyle w:val="Heading3"/>
      </w:pPr>
      <w:bookmarkStart w:name="b_solucion_final_decision_biblioteca" w:id="5850"/>
      <w:r>
        <w:t xml:space="preserve">Solución 7.10</w:t>
      </w:r>
      <w:bookmarkEnd w:id="5850"/>
    </w:p>
    <w:p>
      <w:pPr>
        <w:pStyle w:val="RecuadroTitulo"/>
      </w:pPr>
      <w:r>
        <w:t xml:space="preserve">Respuesta modelo</w:t>
      </w:r>
    </w:p>
    <w:p>
      <w:pPr>
        <w:pStyle w:val="Normal"/>
      </w:pPr>
      <w:r>
        <w:t xml:space="preserve">El objetivo completo no se ha cumplido: hay mejora de velocidad y deterioro de calidad. Comparar tasas por volumen evita confundir aumento de actividad con mejora del servicio.</w:t>
      </w:r>
    </w:p>
    <w:p>
      <w:pPr>
        <w:pStyle w:val="Normal"/>
      </w:pPr>
      <w:r>
        <w:t xml:space="preserve">Compartir información sobre reaperturas cambia información; modificar bonos cambia reglas/incentivos. Cambiar la definición de éxito modifica objetivos. Deben anticiparse cierres prematuros y otras consecuencias.</w:t>
      </w:r>
    </w:p>
    <w:p>
      <w:pPr>
        <w:pStyle w:val="Normal"/>
      </w:pPr>
      <w:r>
        <w:t xml:space="preserve">Conciencia: observar patrones; comprensión: investigar causas y perspectivas; planificar/actuar: decidir palancas e indicadores considerando tres semanas; revisión: comparar con la referencia y ajustar. El hábito 5 no recibe etapa en las láminas.</w:t>
      </w:r>
    </w:p>
    <w:p>
      <w:pPr>
        <w:pStyle w:val="Normal"/>
      </w:pPr>
      <w:r>
        <w:t xml:space="preserve">Resiliencia: diagnosticar, revisar valores, fijar objetivos y responsabilidades y diseñar seguimiento; después desarrollar habilidades, obtener feedback, analizar alternativas y entorno y acompañar ajustes. Mantener el sentido no exige repetir una acción ineficaz.</w:t>
      </w:r>
    </w:p>
    <w:p>
      <w:pPr>
        <w:pStyle w:val="Heading3"/>
      </w:pPr>
      <w:r>
        <w:t xml:space="preserve">Criterios para una respuesta completa</w:t>
      </w:r>
    </w:p>
    <w:p>
      <w:pPr>
        <w:pStyle w:val="Normal"/>
        <w:numPr>
          <w:ilvl w:val="0"/>
          <w:numId w:val="2"/>
        </w:numPr>
      </w:pPr>
      <w:r>
        <w:t xml:space="preserve">Evalúa conjuntamente tiempo y calidad usando indicadores comparables.</w:t>
      </w:r>
    </w:p>
    <w:p>
      <w:pPr>
        <w:pStyle w:val="Normal"/>
        <w:numPr>
          <w:ilvl w:val="0"/>
          <w:numId w:val="2"/>
        </w:numPr>
      </w:pPr>
      <w:r>
        <w:t xml:space="preserve">Propone dos intervenciones y explica sus mecanismos y efectos laterales.</w:t>
      </w:r>
    </w:p>
    <w:p>
      <w:pPr>
        <w:pStyle w:val="Normal"/>
        <w:numPr>
          <w:ilvl w:val="0"/>
          <w:numId w:val="2"/>
        </w:numPr>
      </w:pPr>
      <w:r>
        <w:t xml:space="preserve">Define referencia, demora y plazo de revisión sin prometer éxito.</w:t>
      </w:r>
    </w:p>
    <w:p>
      <w:pPr>
        <w:pStyle w:val="Normal"/>
        <w:numPr>
          <w:ilvl w:val="0"/>
          <w:numId w:val="2"/>
        </w:numPr>
      </w:pPr>
      <w:r>
        <w:t xml:space="preserve">Relaciona las cuatro etapas con las acciones concretas.</w:t>
      </w:r>
    </w:p>
    <w:p>
      <w:pPr>
        <w:pStyle w:val="Normal"/>
        <w:numPr>
          <w:ilvl w:val="0"/>
          <w:numId w:val="2"/>
        </w:numPr>
      </w:pPr>
      <w:r>
        <w:t xml:space="preserve">Conecta diseño e implementación de resiliencia con seguimiento y ajustes.</w:t>
      </w:r>
    </w:p>
    <w:p>
      <w:pPr>
        <w:pStyle w:val="Fuente"/>
      </w:pPr>
      <w:r>
        <w:t xml:space="preserve">Clases 22–24; presentación 4b; L-20, p. 7; caso editorial.</w:t>
      </w:r>
    </w:p>
    <w:p>
      <w:pPr>
        <w:pStyle w:val="Heading3"/>
      </w:pPr>
      <w:bookmarkStart w:name="b_pregunta_final_decision_soporte" w:id="5851"/>
      <w:r>
        <w:t xml:space="preserve">7.11 · Decidir, evaluar y adaptarse · soporte</w:t>
      </w:r>
      <w:bookmarkEnd w:id="5851"/>
    </w:p>
    <w:p>
      <w:pPr>
        <w:pStyle w:val="Normal"/>
      </w:pPr>
      <w:r>
        <w:t xml:space="preserve">En resolución de incidencias, el tiempo promedio baja de 8 a 5 días, pero los errores por cada 100 casos suben de 3 a 8. Se quería reducir espera sin perjudicar calidad. Hay bonos por casos cerrados y una capacitación cuyos efectos tardan tres semanas. Evalúa el resultado, propone dos palancas distintas, define indicadores y revisión, y conecta las cuatro etapas de resolución con un proceso organizacional de resiliencia.</w:t>
      </w:r>
    </w:p>
    <w:p>
      <w:pPr>
        <w:pStyle w:val="Heading3"/>
      </w:pPr>
      <w:bookmarkStart w:name="b_solucion_final_decision_soporte" w:id="5852"/>
      <w:r>
        <w:t xml:space="preserve">Solución 7.11</w:t>
      </w:r>
      <w:bookmarkEnd w:id="5852"/>
    </w:p>
    <w:p>
      <w:pPr>
        <w:pStyle w:val="RecuadroTitulo"/>
      </w:pPr>
      <w:r>
        <w:t xml:space="preserve">Respuesta modelo</w:t>
      </w:r>
    </w:p>
    <w:p>
      <w:pPr>
        <w:pStyle w:val="Normal"/>
      </w:pPr>
      <w:r>
        <w:t xml:space="preserve">El objetivo completo no se ha cumplido: hay mejora de velocidad y deterioro de calidad. Comparar tasas por volumen evita confundir aumento de actividad con mejora del servicio.</w:t>
      </w:r>
    </w:p>
    <w:p>
      <w:pPr>
        <w:pStyle w:val="Normal"/>
      </w:pPr>
      <w:r>
        <w:t xml:space="preserve">Compartir información sobre reaperturas cambia información; modificar bonos cambia reglas/incentivos. Cambiar la definición de éxito modifica objetivos. Deben anticiparse cierres prematuros y otras consecuencias.</w:t>
      </w:r>
    </w:p>
    <w:p>
      <w:pPr>
        <w:pStyle w:val="Normal"/>
      </w:pPr>
      <w:r>
        <w:t xml:space="preserve">Conciencia: observar patrones; comprensión: investigar causas y perspectivas; planificar/actuar: decidir palancas e indicadores considerando tres semanas; revisión: comparar con la referencia y ajustar. El hábito 5 no recibe etapa en las láminas.</w:t>
      </w:r>
    </w:p>
    <w:p>
      <w:pPr>
        <w:pStyle w:val="Normal"/>
      </w:pPr>
      <w:r>
        <w:t xml:space="preserve">Resiliencia: diagnosticar, revisar valores, fijar objetivos y responsabilidades y diseñar seguimiento; después desarrollar habilidades, obtener feedback, analizar alternativas y entorno y acompañar ajustes. Mantener el sentido no exige repetir una acción ineficaz.</w:t>
      </w:r>
    </w:p>
    <w:p>
      <w:pPr>
        <w:pStyle w:val="Heading3"/>
      </w:pPr>
      <w:r>
        <w:t xml:space="preserve">Criterios para una respuesta completa</w:t>
      </w:r>
    </w:p>
    <w:p>
      <w:pPr>
        <w:pStyle w:val="Normal"/>
        <w:numPr>
          <w:ilvl w:val="0"/>
          <w:numId w:val="2"/>
        </w:numPr>
      </w:pPr>
      <w:r>
        <w:t xml:space="preserve">Evalúa conjuntamente tiempo y calidad usando indicadores comparables.</w:t>
      </w:r>
    </w:p>
    <w:p>
      <w:pPr>
        <w:pStyle w:val="Normal"/>
        <w:numPr>
          <w:ilvl w:val="0"/>
          <w:numId w:val="2"/>
        </w:numPr>
      </w:pPr>
      <w:r>
        <w:t xml:space="preserve">Propone dos intervenciones y explica sus mecanismos y efectos laterales.</w:t>
      </w:r>
    </w:p>
    <w:p>
      <w:pPr>
        <w:pStyle w:val="Normal"/>
        <w:numPr>
          <w:ilvl w:val="0"/>
          <w:numId w:val="2"/>
        </w:numPr>
      </w:pPr>
      <w:r>
        <w:t xml:space="preserve">Define referencia, demora y plazo de revisión sin prometer éxito.</w:t>
      </w:r>
    </w:p>
    <w:p>
      <w:pPr>
        <w:pStyle w:val="Normal"/>
        <w:numPr>
          <w:ilvl w:val="0"/>
          <w:numId w:val="2"/>
        </w:numPr>
      </w:pPr>
      <w:r>
        <w:t xml:space="preserve">Relaciona las cuatro etapas con las acciones concretas.</w:t>
      </w:r>
    </w:p>
    <w:p>
      <w:pPr>
        <w:pStyle w:val="Normal"/>
        <w:numPr>
          <w:ilvl w:val="0"/>
          <w:numId w:val="2"/>
        </w:numPr>
      </w:pPr>
      <w:r>
        <w:t xml:space="preserve">Conecta diseño e implementación de resiliencia con seguimiento y ajustes.</w:t>
      </w:r>
    </w:p>
    <w:p>
      <w:pPr>
        <w:pStyle w:val="Fuente"/>
      </w:pPr>
      <w:r>
        <w:t xml:space="preserve">Clases 22–24; presentación 4b; L-20, p. 7; caso editorial.</w:t>
      </w:r>
    </w:p>
    <w:p>
      <w:pPr>
        <w:pStyle w:val="Heading3"/>
      </w:pPr>
      <w:bookmarkStart w:name="b_pregunta_final_decision_matr_cula" w:id="5853"/>
      <w:r>
        <w:t xml:space="preserve">7.12 · Decidir, evaluar y adaptarse · matrícula</w:t>
      </w:r>
      <w:bookmarkEnd w:id="5853"/>
    </w:p>
    <w:p>
      <w:pPr>
        <w:pStyle w:val="Normal"/>
      </w:pPr>
      <w:r>
        <w:t xml:space="preserve">En inscripción de estudiantes, el tiempo promedio baja de 6 a 4 días, pero los errores por cada 100 casos suben de 2 a 6. Se quería reducir espera sin perjudicar calidad. Hay bonos por casos cerrados y una capacitación cuyos efectos tardan tres semanas. Evalúa el resultado, propone dos palancas distintas, define indicadores y revisión, y conecta las cuatro etapas de resolución con un proceso organizacional de resiliencia.</w:t>
      </w:r>
    </w:p>
    <w:p>
      <w:pPr>
        <w:pStyle w:val="Heading3"/>
      </w:pPr>
      <w:bookmarkStart w:name="b_solucion_final_decision_matr_cula" w:id="5854"/>
      <w:r>
        <w:t xml:space="preserve">Solución 7.12</w:t>
      </w:r>
      <w:bookmarkEnd w:id="5854"/>
    </w:p>
    <w:p>
      <w:pPr>
        <w:pStyle w:val="RecuadroTitulo"/>
      </w:pPr>
      <w:r>
        <w:t xml:space="preserve">Respuesta modelo</w:t>
      </w:r>
    </w:p>
    <w:p>
      <w:pPr>
        <w:pStyle w:val="Normal"/>
      </w:pPr>
      <w:r>
        <w:t xml:space="preserve">El objetivo completo no se ha cumplido: hay mejora de velocidad y deterioro de calidad. Comparar tasas por volumen evita confundir aumento de actividad con mejora del servicio.</w:t>
      </w:r>
    </w:p>
    <w:p>
      <w:pPr>
        <w:pStyle w:val="Normal"/>
      </w:pPr>
      <w:r>
        <w:t xml:space="preserve">Compartir información sobre reaperturas cambia información; modificar bonos cambia reglas/incentivos. Cambiar la definición de éxito modifica objetivos. Deben anticiparse cierres prematuros y otras consecuencias.</w:t>
      </w:r>
    </w:p>
    <w:p>
      <w:pPr>
        <w:pStyle w:val="Normal"/>
      </w:pPr>
      <w:r>
        <w:t xml:space="preserve">Conciencia: observar patrones; comprensión: investigar causas y perspectivas; planificar/actuar: decidir palancas e indicadores considerando tres semanas; revisión: comparar con la referencia y ajustar. El hábito 5 no recibe etapa en las láminas.</w:t>
      </w:r>
    </w:p>
    <w:p>
      <w:pPr>
        <w:pStyle w:val="Normal"/>
      </w:pPr>
      <w:r>
        <w:t xml:space="preserve">Resiliencia: diagnosticar, revisar valores, fijar objetivos y responsabilidades y diseñar seguimiento; después desarrollar habilidades, obtener feedback, analizar alternativas y entorno y acompañar ajustes. Mantener el sentido no exige repetir una acción ineficaz.</w:t>
      </w:r>
    </w:p>
    <w:p>
      <w:pPr>
        <w:pStyle w:val="Heading3"/>
      </w:pPr>
      <w:r>
        <w:t xml:space="preserve">Criterios para una respuesta completa</w:t>
      </w:r>
    </w:p>
    <w:p>
      <w:pPr>
        <w:pStyle w:val="Normal"/>
        <w:numPr>
          <w:ilvl w:val="0"/>
          <w:numId w:val="2"/>
        </w:numPr>
      </w:pPr>
      <w:r>
        <w:t xml:space="preserve">Evalúa conjuntamente tiempo y calidad usando indicadores comparables.</w:t>
      </w:r>
    </w:p>
    <w:p>
      <w:pPr>
        <w:pStyle w:val="Normal"/>
        <w:numPr>
          <w:ilvl w:val="0"/>
          <w:numId w:val="2"/>
        </w:numPr>
      </w:pPr>
      <w:r>
        <w:t xml:space="preserve">Propone dos intervenciones y explica sus mecanismos y efectos laterales.</w:t>
      </w:r>
    </w:p>
    <w:p>
      <w:pPr>
        <w:pStyle w:val="Normal"/>
        <w:numPr>
          <w:ilvl w:val="0"/>
          <w:numId w:val="2"/>
        </w:numPr>
      </w:pPr>
      <w:r>
        <w:t xml:space="preserve">Define referencia, demora y plazo de revisión sin prometer éxito.</w:t>
      </w:r>
    </w:p>
    <w:p>
      <w:pPr>
        <w:pStyle w:val="Normal"/>
        <w:numPr>
          <w:ilvl w:val="0"/>
          <w:numId w:val="2"/>
        </w:numPr>
      </w:pPr>
      <w:r>
        <w:t xml:space="preserve">Relaciona las cuatro etapas con las acciones concretas.</w:t>
      </w:r>
    </w:p>
    <w:p>
      <w:pPr>
        <w:pStyle w:val="Normal"/>
        <w:numPr>
          <w:ilvl w:val="0"/>
          <w:numId w:val="2"/>
        </w:numPr>
      </w:pPr>
      <w:r>
        <w:t xml:space="preserve">Conecta diseño e implementación de resiliencia con seguimiento y ajustes.</w:t>
      </w:r>
    </w:p>
    <w:p>
      <w:pPr>
        <w:pStyle w:val="Fuente"/>
      </w:pPr>
      <w:r>
        <w:t xml:space="preserve">Clases 22–24; presentación 4b; L-20, p. 7; caso editorial.</w:t>
      </w:r>
    </w:p>
    <w:p>
      <w:pPr>
        <w:pStyle w:val="Heading3"/>
      </w:pPr>
      <w:bookmarkStart w:name="b_pregunta_final_repaso_modelos_dialogo" w:id="5855"/>
      <w:r>
        <w:t xml:space="preserve">7.13 · Una entrega tardía y dos modelos mentales</w:t>
      </w:r>
      <w:bookmarkEnd w:id="5855"/>
    </w:p>
    <w:p>
      <w:pPr>
        <w:pStyle w:val="Normal"/>
      </w:pPr>
      <w:r>
        <w:t xml:space="preserve">Una coordinadora observa que un informe llegó dos días tarde y concluye que el equipo no se compromete. El equipo afirma que esperó datos que la propia coordinadora debía confirmar. Reconstruye una escalera de inferencias separando dato, significado, supuesto, conclusión y acción. Explica qué cambia al usar el paradigma de sistemas como metaparadigma. Diseña una prueba de un modelo realista y útil, y un diálogo en el que cada parte haga visibles sus razones y escuche la perspectiva de la otra. Indica una condición que te haría revisar tu explicación.</w:t>
      </w:r>
    </w:p>
    <w:p>
      <w:pPr>
        <w:pStyle w:val="Heading3"/>
      </w:pPr>
      <w:bookmarkStart w:name="b_solucion_final_repaso_modelos_dialogo" w:id="5856"/>
      <w:r>
        <w:t xml:space="preserve">Solución 7.13</w:t>
      </w:r>
      <w:bookmarkEnd w:id="5856"/>
    </w:p>
    <w:p>
      <w:pPr>
        <w:pStyle w:val="RecuadroTitulo"/>
      </w:pPr>
      <w:r>
        <w:t xml:space="preserve">Respuesta modelo</w:t>
      </w:r>
    </w:p>
    <w:p>
      <w:pPr>
        <w:pStyle w:val="Normal"/>
      </w:pPr>
      <w:r>
        <w:t xml:space="preserve">El retraso es un dato; desinterés es una interpretación. La coordinadora puede suponer que la puntualidad depende sólo de la voluntad, concluir falta de compromiso y sancionar. El equipo puede suponer que no debe continuar sin confirmación y esperar. Son dos escaleras reconstruidas como hipótesis, no diagnósticos de las personas.</w:t>
      </w:r>
    </w:p>
    <w:p>
      <w:pPr>
        <w:pStyle w:val="Normal"/>
      </w:pPr>
      <w:r>
        <w:t xml:space="preserve">El paradigma de sistemas organiza otros modelos mediante partes, relaciones, entorno y propósito. Como metaparadigma cambia las reglas con que se construye la explicación: incorpora la dependencia entre confirmación, trabajo y entrega, sin declarar verdadero todo lo que se dibuje ni sustituir todos los modelos previos por uno definitivo.</w:t>
      </w:r>
    </w:p>
    <w:p>
      <w:pPr>
        <w:pStyle w:val="Normal"/>
      </w:pPr>
      <w:r>
        <w:t xml:space="preserve">Un modelo realista debe contrastarse con registros de solicitud, confirmación y entrega; uno útil debe ayudar a decidir cómo evitar el retraso. Si los registros muestran que la confirmación estaba disponible a tiempo, hay que revisar la hipótesis del bloqueo. Una solución verificable acuerda responsable, plazo y canal de confirmación y observa el resultado de otra entrega.</w:t>
      </w:r>
    </w:p>
    <w:p>
      <w:pPr>
        <w:pStyle w:val="Normal"/>
      </w:pPr>
      <w:r>
        <w:t xml:space="preserve">Cada parte expone lo que observó y cómo razonó, pregunta qué información le falta y suspende la atribución de intención. El diálogo combina las perspectivas para revisar el proceso; no exige que todos acepten de antemano la conclusión de quien coordina. La columna izquierda puede revelar el juicio que no se dijo y que estaba cerrando la conversación.</w:t>
      </w:r>
    </w:p>
    <w:p>
      <w:pPr>
        <w:pStyle w:val="Heading3"/>
      </w:pPr>
      <w:r>
        <w:t xml:space="preserve">Criterios para una respuesta completa</w:t>
      </w:r>
    </w:p>
    <w:p>
      <w:pPr>
        <w:pStyle w:val="Normal"/>
        <w:numPr>
          <w:ilvl w:val="0"/>
          <w:numId w:val="2"/>
        </w:numPr>
      </w:pPr>
      <w:r>
        <w:t xml:space="preserve">Separa observación e inferencia y reconstruye dos escaleras plausibles.</w:t>
      </w:r>
    </w:p>
    <w:p>
      <w:pPr>
        <w:pStyle w:val="Normal"/>
        <w:numPr>
          <w:ilvl w:val="0"/>
          <w:numId w:val="2"/>
        </w:numPr>
      </w:pPr>
      <w:r>
        <w:t xml:space="preserve">Explica el metaparadigma como regla para construir modelos sistémicos.</w:t>
      </w:r>
    </w:p>
    <w:p>
      <w:pPr>
        <w:pStyle w:val="Normal"/>
        <w:numPr>
          <w:ilvl w:val="0"/>
          <w:numId w:val="2"/>
        </w:numPr>
      </w:pPr>
      <w:r>
        <w:t xml:space="preserve">Distingue realismo y utilidad con una comprobación concreta de cada uno.</w:t>
      </w:r>
    </w:p>
    <w:p>
      <w:pPr>
        <w:pStyle w:val="Normal"/>
        <w:numPr>
          <w:ilvl w:val="0"/>
          <w:numId w:val="2"/>
        </w:numPr>
      </w:pPr>
      <w:r>
        <w:t xml:space="preserve">Propone un diálogo con exposición del razonamiento, indagación y suspensión del juicio.</w:t>
      </w:r>
    </w:p>
    <w:p>
      <w:pPr>
        <w:pStyle w:val="Normal"/>
        <w:numPr>
          <w:ilvl w:val="0"/>
          <w:numId w:val="2"/>
        </w:numPr>
      </w:pPr>
      <w:r>
        <w:t xml:space="preserve">Nombra evidencia que permitiría refutar o mejorar la explicación.</w:t>
      </w:r>
    </w:p>
    <w:p>
      <w:pPr>
        <w:pStyle w:val="Fuente"/>
      </w:pPr>
      <w:r>
        <w:t xml:space="preserve">Presentación de la unidad 1 (C-5), págs. 20, 27–30, 40–49 y 59–60. Caso y resolución editoriales.</w:t>
      </w:r>
    </w:p>
    <w:p>
      <w:pPr>
        <w:pStyle w:val="Heading3"/>
      </w:pPr>
      <w:bookmarkStart w:name="b_pregunta_final_repaso_bosque__8ae29a16" w:id="5857"/>
      <w:r>
        <w:t xml:space="preserve">7.14 · El bosque, su frontera y una decisión de conservación</w:t>
      </w:r>
      <w:bookmarkEnd w:id="5857"/>
    </w:p>
    <w:p>
      <w:pPr>
        <w:pStyle w:val="Normal"/>
      </w:pPr>
      <w:r>
        <w:t xml:space="preserve">Un equipo estudia un bosque para conservar su capacidad de recuperarse. Delimita una frontera y muestra cómo cambia el análisis al pasar de un árbol al bosque y al bioma. Nombra una propiedad que sólo pueda explicarse por interacciones, distingue complejidad de cantidad de piezas y propone dos caminos hacia el mismo objetivo. Explica cómo un ciclo de regulación puede sostener una condición del sistema, cómo conservar organización requiere intercambios con el entorno y qué precisión exige la segunda ley de la termodinámica. Usa los cuatro hábitos de modelos mentales para revisar la decisión con otras personas.</w:t>
      </w:r>
    </w:p>
    <w:p>
      <w:pPr>
        <w:pStyle w:val="Heading3"/>
      </w:pPr>
      <w:bookmarkStart w:name="b_solucion_final_repaso_bosque__f118a0d1" w:id="5858"/>
      <w:r>
        <w:t xml:space="preserve">Solución 7.14</w:t>
      </w:r>
      <w:bookmarkEnd w:id="5858"/>
    </w:p>
    <w:p>
      <w:pPr>
        <w:pStyle w:val="RecuadroTitulo"/>
      </w:pPr>
      <w:r>
        <w:t xml:space="preserve">Respuesta modelo</w:t>
      </w:r>
    </w:p>
    <w:p>
      <w:pPr>
        <w:pStyle w:val="Normal"/>
      </w:pPr>
      <w:r>
        <w:t xml:space="preserve">El nivel elegido depende de la pregunta. Un árbol puede ser sistema con raíces y hojas, parte del bosque y subsistema de un bioma; el bosque intercambia materia, energía e información con su entorno. Una frontera útil hace explícito qué se representa dentro, qué queda fuera y qué intercambios atraviesan el límite; no elimina las influencias externas.</w:t>
      </w:r>
    </w:p>
    <w:p>
      <w:pPr>
        <w:pStyle w:val="Normal"/>
      </w:pPr>
      <w:r>
        <w:t xml:space="preserve">La recuperación del conjunto depende, por ejemplo, de las relaciones entre vegetación, suelo, agua, descomponedores y dispersión de semillas. No se obtiene sumando capacidades de árboles aislados. Muchas piezas por sí solas no bastan para explicar complejidad: importan conectividad, no linealidad, retroalimentación y adaptación; no se puede deducir una predicción exacta del simple número de componentes.</w:t>
      </w:r>
    </w:p>
    <w:p>
      <w:pPr>
        <w:pStyle w:val="Normal"/>
      </w:pPr>
      <w:r>
        <w:t xml:space="preserve">Dos políticas de conservación pueden buscar el mismo objetivo mediante restauración de relaciones degradadas o reducción de una presión sobre el bosque. Ilustran equifinalidad sólo si se justifica cómo cada camino conduce al objetivo bajo sus propias condiciones. Deben contrastarse con datos; el caso no demuestra por sí solo la eficacia de una intervención ambiental concreta.</w:t>
      </w:r>
    </w:p>
    <w:p>
      <w:pPr>
        <w:pStyle w:val="Normal"/>
      </w:pPr>
      <w:r>
        <w:t xml:space="preserve">La homeostasis es regulación dinámica, no inmovilidad. Un balance contrarresta una desviación mediante retorno de información. Mantener organización en un sistema abierto requiere intercambios; en termodinámica un sistema cerrado puede intercambiar energía y uno aislado no intercambia materia ni energía. La restricción de aumento de entropía del total aislado no significa que la entropía de todo subsistema cerrado deba crecer siempre. La aplicación a organizaciones es una analogía que exige indicar qué orden o relaciones se están observando.</w:t>
      </w:r>
    </w:p>
    <w:p>
      <w:pPr>
        <w:pStyle w:val="Normal"/>
      </w:pPr>
      <w:r>
        <w:t xml:space="preserve">Se hacen visibles las creencias que influyen en la decisión, se prueban supuestos con evidencia, se incorporan perspectivas de quienes viven y gestionan el bosque y se revisa la película completa, incluyendo escalas y efectos a largo plazo. Esas prácticas corrigen la explicación; no garantizan que todos tengan los mismos objetivos.</w:t>
      </w:r>
    </w:p>
    <w:p>
      <w:pPr>
        <w:pStyle w:val="Heading3"/>
      </w:pPr>
      <w:r>
        <w:t xml:space="preserve">Criterios para una respuesta completa</w:t>
      </w:r>
    </w:p>
    <w:p>
      <w:pPr>
        <w:pStyle w:val="Normal"/>
        <w:numPr>
          <w:ilvl w:val="0"/>
          <w:numId w:val="2"/>
        </w:numPr>
      </w:pPr>
      <w:r>
        <w:t xml:space="preserve">Delimita frontera y tres niveles sin confundir parte con sistema absoluto.</w:t>
      </w:r>
    </w:p>
    <w:p>
      <w:pPr>
        <w:pStyle w:val="Normal"/>
        <w:numPr>
          <w:ilvl w:val="0"/>
          <w:numId w:val="2"/>
        </w:numPr>
      </w:pPr>
      <w:r>
        <w:t xml:space="preserve">Explica una propiedad emergente mediante relaciones concretas.</w:t>
      </w:r>
    </w:p>
    <w:p>
      <w:pPr>
        <w:pStyle w:val="Normal"/>
        <w:numPr>
          <w:ilvl w:val="0"/>
          <w:numId w:val="2"/>
        </w:numPr>
      </w:pPr>
      <w:r>
        <w:t xml:space="preserve">Distingue complejidad relacional de cantidad de piezas.</w:t>
      </w:r>
    </w:p>
    <w:p>
      <w:pPr>
        <w:pStyle w:val="Normal"/>
        <w:numPr>
          <w:ilvl w:val="0"/>
          <w:numId w:val="2"/>
        </w:numPr>
      </w:pPr>
      <w:r>
        <w:t xml:space="preserve">Justifica dos caminos al mismo objetivo y declara sus supuestos.</w:t>
      </w:r>
    </w:p>
    <w:p>
      <w:pPr>
        <w:pStyle w:val="Normal"/>
        <w:numPr>
          <w:ilvl w:val="0"/>
          <w:numId w:val="2"/>
        </w:numPr>
      </w:pPr>
      <w:r>
        <w:t xml:space="preserve">Distingue homeostasis, intercambio con el entorno y la precisión cerrado/aislado.</w:t>
      </w:r>
    </w:p>
    <w:p>
      <w:pPr>
        <w:pStyle w:val="Normal"/>
        <w:numPr>
          <w:ilvl w:val="0"/>
          <w:numId w:val="2"/>
        </w:numPr>
      </w:pPr>
      <w:r>
        <w:t xml:space="preserve">Aplica los cuatro hábitos a la revisión de la decisión.</w:t>
      </w:r>
    </w:p>
    <w:p>
      <w:pPr>
        <w:pStyle w:val="Fuente"/>
      </w:pPr>
      <w:r>
        <w:t xml:space="preserve">Presentación de la unidad 2 (C-6), págs. 31, 39, 43–58 y 61–64; presentación de la unidad 1 (C-5), págs. 23–36. Caso y resolución editoriales.</w:t>
      </w:r>
    </w:p>
    <w:p>
      <w:pPr>
        <w:pStyle w:val="Heading3"/>
      </w:pPr>
      <w:bookmarkStart w:name="b_pregunta_final_repaso_escrito_dsrp" w:id="5859"/>
      <w:r>
        <w:t xml:space="preserve">7.15 · Investigar y escribir con DSRP</w:t>
      </w:r>
      <w:bookmarkEnd w:id="5859"/>
    </w:p>
    <w:p>
      <w:pPr>
        <w:pStyle w:val="Normal"/>
      </w:pPr>
      <w:r>
        <w:t xml:space="preserve">Un equipo debe explicar por qué los usuarios abandonan un servicio. Usa DSRP para organizar un escrito con introducción, cuerpo y cierre. Añade una relación entre dos secciones y descompón esa relación en sus partes. Distingue los puntos de vista de usuarios, diseño y soporte, y muestra qué información faltaría si sólo se nombraran esas tres perspectivas. Explica el ciclo probar–retroalimentar–revisar y la expresión M = I × T sin tratarla como una operación numérica. Señala cómo conexiones, patrones, circularidad, estructura y demoras ayudan a mejorar la investigación.</w:t>
      </w:r>
    </w:p>
    <w:p>
      <w:pPr>
        <w:pStyle w:val="Heading3"/>
      </w:pPr>
      <w:bookmarkStart w:name="b_solucion_final_repaso_escrito_dsrp" w:id="5860"/>
      <w:r>
        <w:t xml:space="preserve">Solución 7.15</w:t>
      </w:r>
      <w:bookmarkEnd w:id="5860"/>
    </w:p>
    <w:p>
      <w:pPr>
        <w:pStyle w:val="RecuadroTitulo"/>
      </w:pPr>
      <w:r>
        <w:t xml:space="preserve">Respuesta modelo</w:t>
      </w:r>
    </w:p>
    <w:p>
      <w:pPr>
        <w:pStyle w:val="Normal"/>
      </w:pPr>
      <w:r>
        <w:t xml:space="preserve">Los conceptos nombrados son distinciones; introducción, cuerpo y cierre forman un todo con partes. Las secciones del cuerpo pueden organizar evidencia, explicación y alternativas. La referencia de una sección a la evidencia de otra es una relación entre partes, no una contención adicional ni necesariamente una relación causal.</w:t>
      </w:r>
    </w:p>
    <w:p>
      <w:pPr>
        <w:pStyle w:val="Normal"/>
      </w:pPr>
      <w:r>
        <w:t xml:space="preserve">La relación verificar una explicación puede distinguirse como objeto y sistematizarse en formular la hipótesis, elegir registros, contrastar y revisar. Eso aplica R, D y S a una relación; no obliga a dividirla sólo en acción y reacción. Un mapa real debe nombrar esas partes y mantener coherencia entre el texto y el dibujo.</w:t>
      </w:r>
    </w:p>
    <w:p>
      <w:pPr>
        <w:pStyle w:val="Normal"/>
      </w:pPr>
      <w:r>
        <w:t xml:space="preserve">Nombrar usuarios, diseño y soporte como puntos de vista distingue perspectivas. Un mapa de múltiples perspectivas añade qué observa cada una: dificultad de uso, decisiones de interfaz o solicitudes de ayuda, como hipótesis que deben investigarse. Ojo y punto del mismo color vinculan el punto con la vista; no se debe atribuir a un P-círculo sin ese detalle información que aún no muestra.</w:t>
      </w:r>
    </w:p>
    <w:p>
      <w:pPr>
        <w:pStyle w:val="Normal"/>
      </w:pPr>
      <w:r>
        <w:t xml:space="preserve">M = I × T relaciona la información y el pensamiento que la estructura para construir el modelo mental. No es una cuenta de ideas por flechas. El equipo prueba su explicación contra el servicio real, recibe información de retorno y revisa el modelo; datos nuevos y una estructura más cuidadosa pueden cambiarlo.</w:t>
      </w:r>
    </w:p>
    <w:p>
      <w:pPr>
        <w:pStyle w:val="Normal"/>
      </w:pPr>
      <w:r>
        <w:t xml:space="preserve">Conexiones evita estudiar secciones aisladas; patrones obliga a seguir abandono y uso a través del tiempo; circularidad busca retornos; estructura examina reglas y relaciones que generan el resultado; demoras evita descartar una mejora antes de observar su efecto. Transferir la explicación a otro servicio requiere comprobar que comparte las relaciones relevantes, en vez de asumir la misma curva por parecido de nombres.</w:t>
      </w:r>
    </w:p>
    <w:p>
      <w:pPr>
        <w:pStyle w:val="Heading3"/>
      </w:pPr>
      <w:r>
        <w:t xml:space="preserve">Criterios para una respuesta completa</w:t>
      </w:r>
    </w:p>
    <w:p>
      <w:pPr>
        <w:pStyle w:val="Normal"/>
        <w:numPr>
          <w:ilvl w:val="0"/>
          <w:numId w:val="2"/>
        </w:numPr>
      </w:pPr>
      <w:r>
        <w:t xml:space="preserve">Representa distinciones, contención, relaciones y perspectivas con notación coherente.</w:t>
      </w:r>
    </w:p>
    <w:p>
      <w:pPr>
        <w:pStyle w:val="Normal"/>
        <w:numPr>
          <w:ilvl w:val="0"/>
          <w:numId w:val="2"/>
        </w:numPr>
      </w:pPr>
      <w:r>
        <w:t xml:space="preserve">Sistematiza una relación en partes pertinentes sin imponer un reparto único.</w:t>
      </w:r>
    </w:p>
    <w:p>
      <w:pPr>
        <w:pStyle w:val="Normal"/>
        <w:numPr>
          <w:ilvl w:val="0"/>
          <w:numId w:val="2"/>
        </w:numPr>
      </w:pPr>
      <w:r>
        <w:t xml:space="preserve">Distingue nombrar perspectivas de detallar qué ve cada una.</w:t>
      </w:r>
    </w:p>
    <w:p>
      <w:pPr>
        <w:pStyle w:val="Normal"/>
        <w:numPr>
          <w:ilvl w:val="0"/>
          <w:numId w:val="2"/>
        </w:numPr>
      </w:pPr>
      <w:r>
        <w:t xml:space="preserve">Explica M = I × T y el ciclo de prueba sin convertirlos en una cuenta literal.</w:t>
      </w:r>
    </w:p>
    <w:p>
      <w:pPr>
        <w:pStyle w:val="Normal"/>
        <w:numPr>
          <w:ilvl w:val="0"/>
          <w:numId w:val="2"/>
        </w:numPr>
      </w:pPr>
      <w:r>
        <w:t xml:space="preserve">Aplica los cinco hábitos de la Unidad 3 y condiciona la transferencia a evidencia.</w:t>
      </w:r>
    </w:p>
    <w:p>
      <w:pPr>
        <w:pStyle w:val="Fuente"/>
        <w:sectPr>
          <w:headerReference w:type="default" r:id="rId306"/>
          <w:headerReference w:type="first" r:id="rId307"/>
          <w:headerReference w:type="even" r:id="rId308"/>
          <w:footerReference w:type="default" r:id="rId309"/>
          <w:footerReference w:type="first" r:id="rId310"/>
          <w:footerReference w:type="even" r:id="rId311"/>
          <w:type w:val="nextPage"/>
          <w:pgSz w:w="12240" w:h="15840" w:orient="portrait"/>
          <w:pgMar w:top="1361" w:right="1134" w:bottom="1361" w:left="1474" w:header="650" w:footer="680" w:gutter="0"/>
          <w:pgNumType/>
          <w:titlePg/>
          <w:docGrid w:linePitch="360"/>
        </w:sectPr>
      </w:pPr>
      <w:r>
        <w:t xml:space="preserve">Presentación de la unidad 3 (C-2), págs. 10–13, 19–30 y 33–42. Caso y resolución editoriales.</w:t>
      </w:r>
    </w:p>
    <w:p>
      <w:pPr>
        <w:pStyle w:val="Heading1"/>
      </w:pPr>
      <w:bookmarkStart w:name="b_simuladores" w:id="5861"/>
      <w:r>
        <w:t xml:space="preserve">Parte VI · Simuladores y bancos completos</w:t>
      </w:r>
      <w:bookmarkEnd w:id="5861"/>
    </w:p>
    <w:p>
      <w:pPr>
        <w:pStyle w:val="Normal"/>
      </w:pPr>
      <w:r>
        <w:t xml:space="preserve">Esta parte separa las preguntas de sus respuestas. Trabaje por tema o prepare un intento con tiempo; el solucionario cierra el capítulo de cada parcial. Las preguntas compartidas con los exámenes de la Parte V se remiten allí para no duplicarlas.</w:t>
      </w:r>
    </w:p>
    <w:p>
      <w:pPr>
        <w:pStyle w:val="Normal"/>
        <w:sectPr>
          <w:headerReference w:type="default" r:id="rId312"/>
          <w:headerReference w:type="first" r:id="rId313"/>
          <w:headerReference w:type="even" r:id="rId314"/>
          <w:footerReference w:type="default" r:id="rId315"/>
          <w:footerReference w:type="first" r:id="rId316"/>
          <w:footerReference w:type="even" r:id="rId317"/>
          <w:type w:val="nextPage"/>
          <w:pgSz w:w="12240" w:h="15840" w:orient="portrait"/>
          <w:pgMar w:top="1361" w:right="1134" w:bottom="1361" w:left="1474" w:header="650" w:footer="680" w:gutter="0"/>
          <w:pgNumType/>
          <w:titlePg/>
          <w:docGrid w:linePitch="360"/>
        </w:sectPr>
      </w:pPr>
      <w:r>
        <w:t xml:space="preserve">Los simulacros del portal utilizan 100 minutos y distribuciones editoriales. El documento externo de simulacro P1 declara 120 minutos y conserva ese dato en la Parte V. El final de práctica reúne una pregunta cerrada por cada uno de los 33 temas y cuatro casos; no representa un formato confirmado por la Facultad.</w:t>
      </w:r>
    </w:p>
    <w:p>
      <w:pPr>
        <w:pStyle w:val="Heading2"/>
      </w:pPr>
      <w:bookmarkStart w:name="b_banco_p1" w:id="5862"/>
      <w:r>
        <w:t xml:space="preserve">Banco completo del primer parcial</w:t>
      </w:r>
      <w:bookmarkEnd w:id="5862"/>
    </w:p>
    <w:p>
      <w:pPr>
        <w:pStyle w:val="Normal"/>
      </w:pPr>
      <w:r>
        <w:t xml:space="preserve">Intentos del portal de 10 preguntas y 100 minutos. Las 19 preguntas reconstruidas del parcial se estudian en la Parte V; aquí se incluyen las otras 144, sin repetirlas.</w:t>
      </w:r>
    </w:p>
    <w:p>
      <w:pPr>
        <w:pStyle w:val="Heading3"/>
      </w:pPr>
      <w:r>
        <w:t xml:space="preserve">Tema 1.1 · Paradigmas y modelos mentales</w:t>
      </w:r>
    </w:p>
    <w:p>
      <w:pPr>
        <w:pStyle w:val="Heading3"/>
      </w:pPr>
      <w:bookmarkStart w:name="b_pregunta_ec1_01_caracteristica_no" w:id="5863"/>
      <w:r>
        <w:t xml:space="preserve">S1-1 · 1.1 · Paradigmas y modelos mentales</w:t>
      </w:r>
      <w:bookmarkEnd w:id="5863"/>
    </w:p>
    <w:p>
      <w:pPr>
        <w:pStyle w:val="Normal"/>
      </w:pPr>
      <w:r>
        <w:t xml:space="preserve">¿Cuál de las siguientes no es una característica de un paradigma?</w:t>
      </w:r>
    </w:p>
    <w:p>
      <w:pPr>
        <w:pStyle w:val="Normal"/>
      </w:pPr>
      <w:r>
        <w:t xml:space="preserve">a) Son elegibles por el ser humano</w:t>
      </w:r>
    </w:p>
    <w:p>
      <w:pPr>
        <w:pStyle w:val="Normal"/>
      </w:pPr>
      <w:r>
        <w:t xml:space="preserve">b) Son flexibles</w:t>
      </w:r>
    </w:p>
    <w:p>
      <w:pPr>
        <w:pStyle w:val="Normal"/>
      </w:pPr>
      <w:r>
        <w:t xml:space="preserve">c) Son funcionales</w:t>
      </w:r>
    </w:p>
    <w:p>
      <w:pPr>
        <w:pStyle w:val="Normal"/>
      </w:pPr>
      <w:r>
        <w:t xml:space="preserve">d) Son comunes</w:t>
      </w:r>
    </w:p>
    <w:p>
      <w:pPr>
        <w:pStyle w:val="Heading3"/>
      </w:pPr>
      <w:bookmarkStart w:name="b_pregunta_ec1_02_pregunta_de_barker" w:id="5864"/>
      <w:r>
        <w:t xml:space="preserve">S1-2 · 1.1 · Paradigmas y modelos mentales</w:t>
      </w:r>
      <w:bookmarkEnd w:id="5864"/>
    </w:p>
    <w:p>
      <w:pPr>
        <w:pStyle w:val="Normal"/>
      </w:pPr>
      <w:r>
        <w:t xml:space="preserve">¿Para qué nos sirve la siguiente pregunta: «¿Qué es lo que resultaría imposible de hacer hoy en día en su empresa pero que de hacerlo cambiaría radicalmente lo que se hace?»?</w:t>
      </w:r>
    </w:p>
    <w:p>
      <w:pPr>
        <w:pStyle w:val="Normal"/>
      </w:pPr>
      <w:r>
        <w:t xml:space="preserve">a) Nos permite identificar las creencias base del paradigma de una empresa</w:t>
      </w:r>
    </w:p>
    <w:p>
      <w:pPr>
        <w:pStyle w:val="Normal"/>
      </w:pPr>
      <w:r>
        <w:t xml:space="preserve">b) Nos permite distinguir otra forma de entender el paradigma de una empresa</w:t>
      </w:r>
    </w:p>
    <w:p>
      <w:pPr>
        <w:pStyle w:val="Normal"/>
      </w:pPr>
      <w:r>
        <w:t xml:space="preserve">c) Nos permite evitar los cambios del paradigma de la empresa</w:t>
      </w:r>
    </w:p>
    <w:p>
      <w:pPr>
        <w:pStyle w:val="Normal"/>
      </w:pPr>
      <w:r>
        <w:t xml:space="preserve">d) Nos permite encontrar nuevos paradigmas en los márgenes del paradigma existente en una empresa</w:t>
      </w:r>
    </w:p>
    <w:p>
      <w:pPr>
        <w:pStyle w:val="Heading3"/>
      </w:pPr>
      <w:bookmarkStart w:name="b_pregunta_ec1_03_efecto_paradigma" w:id="5865"/>
      <w:r>
        <w:t xml:space="preserve">S1-3 · 1.1 · Paradigmas y modelos mentales</w:t>
      </w:r>
      <w:bookmarkEnd w:id="5865"/>
    </w:p>
    <w:p>
      <w:pPr>
        <w:pStyle w:val="Normal"/>
      </w:pPr>
      <w:r>
        <w:t xml:space="preserve">¿En qué consiste el efecto paradigma?</w:t>
      </w:r>
    </w:p>
    <w:p>
      <w:pPr>
        <w:pStyle w:val="Normal"/>
      </w:pPr>
      <w:r>
        <w:t xml:space="preserve">a) En la respuesta correcta que se espera para algún problema</w:t>
      </w:r>
    </w:p>
    <w:p>
      <w:pPr>
        <w:pStyle w:val="Normal"/>
      </w:pPr>
      <w:r>
        <w:t xml:space="preserve">b) Es lo mismo que la parálisis paradigmática</w:t>
      </w:r>
    </w:p>
    <w:p>
      <w:pPr>
        <w:pStyle w:val="Normal"/>
      </w:pPr>
      <w:r>
        <w:t xml:space="preserve">c) En que lo que es perfectamente obvio para una persona es imperceptible para otra persona</w:t>
      </w:r>
    </w:p>
    <w:p>
      <w:pPr>
        <w:pStyle w:val="Normal"/>
      </w:pPr>
      <w:r>
        <w:t xml:space="preserve">d) Consiste en el proceso por medio del cual aprendemos sobre cómo son las cosas</w:t>
      </w:r>
    </w:p>
    <w:p>
      <w:pPr>
        <w:pStyle w:val="Heading3"/>
      </w:pPr>
      <w:bookmarkStart w:name="b_pregunta_ec1_04_impide_ver" w:id="5866"/>
      <w:r>
        <w:t xml:space="preserve">S1-4 · 1.1 · Paradigmas y modelos mentales</w:t>
      </w:r>
      <w:bookmarkEnd w:id="5866"/>
    </w:p>
    <w:p>
      <w:pPr>
        <w:pStyle w:val="Normal"/>
      </w:pPr>
      <w:r>
        <w:t xml:space="preserve">¿Qué es lo que nos impide ver, aceptar y entender nuevas ideas?</w:t>
      </w:r>
    </w:p>
    <w:p>
      <w:pPr>
        <w:pStyle w:val="Normal"/>
      </w:pPr>
      <w:r>
        <w:t xml:space="preserve">a) Otros factores no indicados en el video</w:t>
      </w:r>
    </w:p>
    <w:p>
      <w:pPr>
        <w:pStyle w:val="Normal"/>
      </w:pPr>
      <w:r>
        <w:t xml:space="preserve">b) La complejidad</w:t>
      </w:r>
    </w:p>
    <w:p>
      <w:pPr>
        <w:pStyle w:val="Normal"/>
      </w:pPr>
      <w:r>
        <w:t xml:space="preserve">c) La falta de voluntad</w:t>
      </w:r>
    </w:p>
    <w:p>
      <w:pPr>
        <w:pStyle w:val="Normal"/>
      </w:pPr>
      <w:r>
        <w:t xml:space="preserve">d) Los paradigmas</w:t>
      </w:r>
    </w:p>
    <w:p>
      <w:pPr>
        <w:pStyle w:val="Heading3"/>
      </w:pPr>
      <w:bookmarkStart w:name="b_pregunta_ec1_06_vuelta_a_cero" w:id="5867"/>
      <w:r>
        <w:t xml:space="preserve">S1-5 · 1.1 · Paradigmas y modelos mentales</w:t>
      </w:r>
      <w:bookmarkEnd w:id="5867"/>
    </w:p>
    <w:p>
      <w:pPr>
        <w:pStyle w:val="Normal"/>
      </w:pPr>
      <w:r>
        <w:t xml:space="preserve">¿Qué significa la regla de vuelta a cero cuando cambian los paradigmas?</w:t>
      </w:r>
    </w:p>
    <w:p>
      <w:pPr>
        <w:pStyle w:val="Normal"/>
      </w:pPr>
      <w:r>
        <w:t xml:space="preserve">a) Lo que se cree sobre algo es el problema de no adaptarse al cambio</w:t>
      </w:r>
    </w:p>
    <w:p>
      <w:pPr>
        <w:pStyle w:val="Normal"/>
      </w:pPr>
      <w:r>
        <w:t xml:space="preserve">b) Los éxitos pasados no garantizan nada en el futuro</w:t>
      </w:r>
    </w:p>
    <w:p>
      <w:pPr>
        <w:pStyle w:val="Normal"/>
      </w:pPr>
      <w:r>
        <w:t xml:space="preserve">c) Lo que se ve no es lo que es</w:t>
      </w:r>
    </w:p>
    <w:p>
      <w:pPr>
        <w:pStyle w:val="Normal"/>
      </w:pPr>
      <w:r>
        <w:t xml:space="preserve">d) El éxito obtenido en el pasado significa éxito en el futuro</w:t>
      </w:r>
    </w:p>
    <w:p>
      <w:pPr>
        <w:pStyle w:val="Heading3"/>
      </w:pPr>
      <w:bookmarkStart w:name="b_pregunta_ec1_07_paralisis" w:id="5868"/>
      <w:r>
        <w:t xml:space="preserve">S1-6 · 1.1 · Paradigmas y modelos mentales</w:t>
      </w:r>
      <w:bookmarkEnd w:id="5868"/>
    </w:p>
    <w:p>
      <w:pPr>
        <w:pStyle w:val="Normal"/>
      </w:pPr>
      <w:r>
        <w:t xml:space="preserve">¿Cómo se llama el fenómeno de paradigmas en el que no vemos lo que otros ven de una misma realidad y consideramos que los otros están equivocados y son unos ignorantes, rehusándonos a tomar en consideración sus opiniones?</w:t>
      </w:r>
    </w:p>
    <w:p>
      <w:pPr>
        <w:pStyle w:val="Normal"/>
      </w:pPr>
      <w:r>
        <w:t xml:space="preserve">a) Parálisis paradigmática</w:t>
      </w:r>
    </w:p>
    <w:p>
      <w:pPr>
        <w:pStyle w:val="Normal"/>
      </w:pPr>
      <w:r>
        <w:t xml:space="preserve">b) Inducción paradigmática</w:t>
      </w:r>
    </w:p>
    <w:p>
      <w:pPr>
        <w:pStyle w:val="Normal"/>
      </w:pPr>
      <w:r>
        <w:t xml:space="preserve">c) Ninguna respuesta es correcta</w:t>
      </w:r>
    </w:p>
    <w:p>
      <w:pPr>
        <w:pStyle w:val="Normal"/>
      </w:pPr>
      <w:r>
        <w:t xml:space="preserve">d) Efecto paradigma</w:t>
      </w:r>
    </w:p>
    <w:p>
      <w:pPr>
        <w:pStyle w:val="Normal"/>
      </w:pPr>
      <w:r>
        <w:t xml:space="preserve">e) Distorsión paradigmática</w:t>
      </w:r>
    </w:p>
    <w:p>
      <w:pPr>
        <w:pStyle w:val="Heading3"/>
      </w:pPr>
      <w:bookmarkStart w:name="b_pregunta_ec1_08_observaciones_barker" w:id="5869"/>
      <w:r>
        <w:t xml:space="preserve">S1-7 · 1.1 · Paradigmas y modelos mentales</w:t>
      </w:r>
      <w:bookmarkEnd w:id="5869"/>
    </w:p>
    <w:p>
      <w:pPr>
        <w:pStyle w:val="Normal"/>
      </w:pPr>
      <w:r>
        <w:t xml:space="preserve">¿Cuál de los siguientes no forma parte de las observaciones principales de los paradigmas que enuncia Joel Barker en su video?</w:t>
      </w:r>
    </w:p>
    <w:p>
      <w:pPr>
        <w:pStyle w:val="Normal"/>
      </w:pPr>
      <w:r>
        <w:t xml:space="preserve">a) Los paradigmas no son comunes</w:t>
      </w:r>
    </w:p>
    <w:p>
      <w:pPr>
        <w:pStyle w:val="Normal"/>
      </w:pPr>
      <w:r>
        <w:t xml:space="preserve">b) Los paradigmas son útiles</w:t>
      </w:r>
    </w:p>
    <w:p>
      <w:pPr>
        <w:pStyle w:val="Normal"/>
      </w:pPr>
      <w:r>
        <w:t xml:space="preserve">c) La gente que crea nuevos paradigmas son foráneos</w:t>
      </w:r>
    </w:p>
    <w:p>
      <w:pPr>
        <w:pStyle w:val="Normal"/>
      </w:pPr>
      <w:r>
        <w:t xml:space="preserve">d) Los paradigmas pueden convertirse en la única manera de hacer algo</w:t>
      </w:r>
    </w:p>
    <w:p>
      <w:pPr>
        <w:pStyle w:val="Heading3"/>
      </w:pPr>
      <w:bookmarkStart w:name="b_pregunta_ec1_09_definiciones" w:id="5870"/>
      <w:r>
        <w:t xml:space="preserve">S1-8 · 1.1 · Paradigmas y modelos mentales</w:t>
      </w:r>
      <w:bookmarkEnd w:id="5870"/>
    </w:p>
    <w:p>
      <w:pPr>
        <w:pStyle w:val="Normal"/>
      </w:pPr>
      <w:r>
        <w:t xml:space="preserve">¿Cuáles de las siguientes son definiciones válidas de paradigmas?</w:t>
      </w:r>
    </w:p>
    <w:p>
      <w:pPr>
        <w:pStyle w:val="Normal"/>
      </w:pPr>
      <w:r>
        <w:t xml:space="preserve">a) Patrón o modelo</w:t>
      </w:r>
    </w:p>
    <w:p>
      <w:pPr>
        <w:pStyle w:val="Normal"/>
      </w:pPr>
      <w:r>
        <w:t xml:space="preserve">b) Cambios en las cosas que hacemos</w:t>
      </w:r>
    </w:p>
    <w:p>
      <w:pPr>
        <w:pStyle w:val="Normal"/>
      </w:pPr>
      <w:r>
        <w:t xml:space="preserve">c) Reglas y reglamentos que establecen límites y nos explican cómo resolver exitosamente problemas dentro de estos límites</w:t>
      </w:r>
    </w:p>
    <w:p>
      <w:pPr>
        <w:pStyle w:val="Normal"/>
      </w:pPr>
      <w:r>
        <w:t xml:space="preserve">d) Intensión o significado de las cosas</w:t>
      </w:r>
    </w:p>
    <w:p>
      <w:pPr>
        <w:pStyle w:val="Heading3"/>
      </w:pPr>
      <w:bookmarkStart w:name="b_pregunta_ec1_10_lo_que_se_ve" w:id="5871"/>
      <w:r>
        <w:t xml:space="preserve">S1-9 · 1.1 · Paradigmas y modelos mentales</w:t>
      </w:r>
      <w:bookmarkEnd w:id="5871"/>
    </w:p>
    <w:p>
      <w:pPr>
        <w:pStyle w:val="Normal"/>
      </w:pPr>
      <w:r>
        <w:t xml:space="preserve">¿Qué es lo que se ve con los paradigmas?</w:t>
      </w:r>
    </w:p>
    <w:p>
      <w:pPr>
        <w:pStyle w:val="Normal"/>
      </w:pPr>
      <w:r>
        <w:t xml:space="preserve">a) Lo que es verdad</w:t>
      </w:r>
    </w:p>
    <w:p>
      <w:pPr>
        <w:pStyle w:val="Normal"/>
      </w:pPr>
      <w:r>
        <w:t xml:space="preserve">b) Lo que se espera ver</w:t>
      </w:r>
    </w:p>
    <w:p>
      <w:pPr>
        <w:pStyle w:val="Normal"/>
      </w:pPr>
      <w:r>
        <w:t xml:space="preserve">c) Realmente los paradigmas solo nos dejan ver algo que no es real</w:t>
      </w:r>
    </w:p>
    <w:p>
      <w:pPr>
        <w:pStyle w:val="Normal"/>
      </w:pPr>
      <w:r>
        <w:t xml:space="preserve">d) La realidad</w:t>
      </w:r>
    </w:p>
    <w:p>
      <w:pPr>
        <w:pStyle w:val="Heading3"/>
      </w:pPr>
      <w:bookmarkStart w:name="b_pregunta_p1_modelo_decision" w:id="5872"/>
      <w:r>
        <w:t xml:space="preserve">S1-10 · 1.1 · Paradigmas y modelos mentales</w:t>
      </w:r>
      <w:bookmarkEnd w:id="5872"/>
    </w:p>
    <w:p>
      <w:pPr>
        <w:pStyle w:val="Normal"/>
      </w:pPr>
      <w:r>
        <w:t xml:space="preserve">¿Qué secuencia permite reconocer la influencia de un modelo mental en una decisión?</w:t>
      </w:r>
    </w:p>
    <w:p>
      <w:pPr>
        <w:pStyle w:val="Normal"/>
      </w:pPr>
      <w:r>
        <w:t xml:space="preserve">a) Creencia, selección de datos, interpretación y acción</w:t>
      </w:r>
    </w:p>
    <w:p>
      <w:pPr>
        <w:pStyle w:val="Normal"/>
      </w:pPr>
      <w:r>
        <w:t xml:space="preserve">b) Acción, demostración de que toda creencia es verdadera y cierre del diálogo</w:t>
      </w:r>
    </w:p>
    <w:p>
      <w:pPr>
        <w:pStyle w:val="Normal"/>
      </w:pPr>
      <w:r>
        <w:t xml:space="preserve">c) Número de opiniones, voto mayoritario y verdad garantizada</w:t>
      </w:r>
    </w:p>
    <w:p>
      <w:pPr>
        <w:pStyle w:val="Normal"/>
      </w:pPr>
      <w:r>
        <w:t xml:space="preserve">d) Personalidad, destino inevitable y ausencia de aprendizaje</w:t>
      </w:r>
    </w:p>
    <w:p>
      <w:pPr>
        <w:pStyle w:val="Heading3"/>
      </w:pPr>
      <w:bookmarkStart w:name="b_pregunta_p1_monos_variante" w:id="5873"/>
      <w:r>
        <w:t xml:space="preserve">S1-11 · 1.1 · Paradigmas y modelos mentales</w:t>
      </w:r>
      <w:bookmarkEnd w:id="5873"/>
    </w:p>
    <w:p>
      <w:pPr>
        <w:pStyle w:val="Normal"/>
      </w:pPr>
      <w:r>
        <w:t xml:space="preserve">En la variante de los monos proyectada en clase 4, ¿quién recibe el agua cuando uno sube por los plátanos?</w:t>
      </w:r>
    </w:p>
    <w:p>
      <w:pPr>
        <w:pStyle w:val="Normal"/>
      </w:pPr>
      <w:r>
        <w:t xml:space="preserve">a) Sólo el mono que está subiendo</w:t>
      </w:r>
    </w:p>
    <w:p>
      <w:pPr>
        <w:pStyle w:val="Normal"/>
      </w:pPr>
      <w:r>
        <w:t xml:space="preserve">b) Todos sin excepción, incluido el que sube</w:t>
      </w:r>
    </w:p>
    <w:p>
      <w:pPr>
        <w:pStyle w:val="Normal"/>
      </w:pPr>
      <w:r>
        <w:t xml:space="preserve">c) Los que permanecen abajo; la reacción colectiva frena los siguientes intentos</w:t>
      </w:r>
    </w:p>
    <w:p>
      <w:pPr>
        <w:pStyle w:val="Normal"/>
      </w:pPr>
      <w:r>
        <w:t xml:space="preserve">d) Ninguno, porque el agua nunca formó parte de la parábola</w:t>
      </w:r>
    </w:p>
    <w:p>
      <w:pPr>
        <w:pStyle w:val="Heading3"/>
      </w:pPr>
      <w:bookmarkStart w:name="b_pregunta_u1_01_tres_definiciones" w:id="5874"/>
      <w:r>
        <w:t xml:space="preserve">S1-12 · 1.1 · Paradigmas y modelos mentales</w:t>
      </w:r>
      <w:bookmarkEnd w:id="5874"/>
    </w:p>
    <w:p>
      <w:pPr>
        <w:pStyle w:val="Normal"/>
      </w:pPr>
      <w:r>
        <w:t xml:space="preserve">El curso recoge tres definiciones firmadas de paradigma —Adam Smith, Joel Barker y Willis Harmon— y las trata como equivalentes. ¿Por qué?</w:t>
      </w:r>
    </w:p>
    <w:p>
      <w:pPr>
        <w:pStyle w:val="Normal"/>
      </w:pPr>
      <w:r>
        <w:t xml:space="preserve">a) Porque las tres fueron escritas en la misma década</w:t>
      </w:r>
    </w:p>
    <w:p>
      <w:pPr>
        <w:pStyle w:val="Normal"/>
      </w:pPr>
      <w:r>
        <w:t xml:space="preserve">b) Porque las tres nombran el marco de reglas desde el que una persona interpreta y actúa, aunque cada autor lo formule distinto</w:t>
      </w:r>
    </w:p>
    <w:p>
      <w:pPr>
        <w:pStyle w:val="Normal"/>
      </w:pPr>
      <w:r>
        <w:t xml:space="preserve">c) Porque las tres describen el momento en que un paradigma se rompe</w:t>
      </w:r>
    </w:p>
    <w:p>
      <w:pPr>
        <w:pStyle w:val="Normal"/>
      </w:pPr>
      <w:r>
        <w:t xml:space="preserve">d) Porque las tres provienen de la física</w:t>
      </w:r>
    </w:p>
    <w:p>
      <w:pPr>
        <w:pStyle w:val="Heading3"/>
      </w:pPr>
      <w:bookmarkStart w:name="b_pregunta_u1_02_paralisis_vs_efecto" w:id="5875"/>
      <w:r>
        <w:t xml:space="preserve">S1-13 · 1.1 · Paradigmas y modelos mentales</w:t>
      </w:r>
      <w:bookmarkEnd w:id="5875"/>
    </w:p>
    <w:p>
      <w:pPr>
        <w:pStyle w:val="Normal"/>
      </w:pPr>
      <w:r>
        <w:t xml:space="preserve">Reparta cada situación según describa el efecto paradigma o la parálisis paradigmática.</w:t>
      </w:r>
    </w:p>
    <w:p>
      <w:pPr>
        <w:pStyle w:val="Normal"/>
      </w:pPr>
      <w:r>
        <w:t xml:space="preserve">a) Destinos: Efecto paradigma; Parálisis paradigmática</w:t>
      </w:r>
    </w:p>
    <w:p>
      <w:pPr>
        <w:pStyle w:val="Normal"/>
      </w:pPr>
      <w:r>
        <w:t xml:space="preserve">b) Dos analistas leen el mismo informe y uno no llega a notar el dato que al otro le salta a la vista</w:t>
      </w:r>
    </w:p>
    <w:p>
      <w:pPr>
        <w:pStyle w:val="Normal"/>
      </w:pPr>
      <w:r>
        <w:t xml:space="preserve">c) Un dato que no encaja con lo esperado se descarta sin llegar a la consciencia</w:t>
      </w:r>
    </w:p>
    <w:p>
      <w:pPr>
        <w:pStyle w:val="Normal"/>
      </w:pPr>
      <w:r>
        <w:t xml:space="preserve">d) Ante una propuesta que contradice su método, un jefe concluye que quien la trae no entiende el negocio y no la discute</w:t>
      </w:r>
    </w:p>
    <w:p>
      <w:pPr>
        <w:pStyle w:val="Normal"/>
      </w:pPr>
      <w:r>
        <w:t xml:space="preserve">e) Una empresa líder desestima la tecnología nueva porque su forma de hacer las cosas siempre le funcionó</w:t>
      </w:r>
    </w:p>
    <w:p>
      <w:pPr>
        <w:pStyle w:val="Heading3"/>
      </w:pPr>
      <w:bookmarkStart w:name="b_pregunta_u1_03_flexibilidad" w:id="5876"/>
      <w:r>
        <w:t xml:space="preserve">S1-14 · 1.1 · Paradigmas y modelos mentales</w:t>
      </w:r>
      <w:bookmarkEnd w:id="5876"/>
    </w:p>
    <w:p>
      <w:pPr>
        <w:pStyle w:val="Normal"/>
      </w:pPr>
      <w:r>
        <w:t xml:space="preserve">¿Qué es la flexibilidad de paradigmas, según el tratamiento del curso?</w:t>
      </w:r>
    </w:p>
    <w:p>
      <w:pPr>
        <w:pStyle w:val="Normal"/>
      </w:pPr>
      <w:r>
        <w:t xml:space="preserve">a) Una propiedad que todo paradigma tiene por definición</w:t>
      </w:r>
    </w:p>
    <w:p>
      <w:pPr>
        <w:pStyle w:val="Normal"/>
      </w:pPr>
      <w:r>
        <w:t xml:space="preserve">b) La disposición cultivada a considerar que las reglas actuales podrían no ser las únicas</w:t>
      </w:r>
    </w:p>
    <w:p>
      <w:pPr>
        <w:pStyle w:val="Normal"/>
      </w:pPr>
      <w:r>
        <w:t xml:space="preserve">c) La velocidad con que una empresa cambia de tecnología</w:t>
      </w:r>
    </w:p>
    <w:p>
      <w:pPr>
        <w:pStyle w:val="Normal"/>
      </w:pPr>
      <w:r>
        <w:t xml:space="preserve">d) Un sinónimo de efecto paradigma</w:t>
      </w:r>
    </w:p>
    <w:p>
      <w:pPr>
        <w:pStyle w:val="Heading3"/>
      </w:pPr>
      <w:r>
        <w:t xml:space="preserve">Tema 1.2 · Escalera de inferencias</w:t>
      </w:r>
    </w:p>
    <w:p>
      <w:pPr>
        <w:pStyle w:val="Heading3"/>
      </w:pPr>
      <w:bookmarkStart w:name="b_pregunta_cmp_01_escalera_arrastrar" w:id="5877"/>
      <w:r>
        <w:t xml:space="preserve">S1-15 · 1.2 · Escalera de inferencias</w:t>
      </w:r>
      <w:bookmarkEnd w:id="5877"/>
    </w:p>
    <w:p>
      <w:pPr>
        <w:pStyle w:val="Normal"/>
      </w:pPr>
      <w:r>
        <w:t xml:space="preserve">Ubique cada frase en el peldaño de la escalera al que corresponde.</w:t>
      </w:r>
    </w:p>
    <w:p>
      <w:pPr>
        <w:pStyle w:val="Normal"/>
      </w:pPr>
      <w:r>
        <w:t xml:space="preserve">a) Destinos: Datos observables; Hago supuestos; Saco conclusiones</w:t>
      </w:r>
    </w:p>
    <w:p>
      <w:pPr>
        <w:pStyle w:val="Normal"/>
      </w:pPr>
      <w:r>
        <w:t xml:space="preserve">b) «Llegó a las 8:15; la reunión empezaba a las 8:00»</w:t>
      </w:r>
    </w:p>
    <w:p>
      <w:pPr>
        <w:pStyle w:val="Normal"/>
      </w:pPr>
      <w:r>
        <w:t xml:space="preserve">c) «Entró sin saludar y se sentó al fondo»</w:t>
      </w:r>
    </w:p>
    <w:p>
      <w:pPr>
        <w:pStyle w:val="Normal"/>
      </w:pPr>
      <w:r>
        <w:t xml:space="preserve">d) «Seguro que este proyecto no le importa»</w:t>
      </w:r>
    </w:p>
    <w:p>
      <w:pPr>
        <w:pStyle w:val="Normal"/>
      </w:pPr>
      <w:r>
        <w:t xml:space="preserve">e) «Es una persona poco comprometida»</w:t>
      </w:r>
    </w:p>
    <w:p>
      <w:pPr>
        <w:pStyle w:val="Heading3"/>
      </w:pPr>
      <w:bookmarkStart w:name="b_pregunta_cmp_02_escalera_bajar" w:id="5878"/>
      <w:r>
        <w:t xml:space="preserve">S1-16 · 1.2 · Escalera de inferencias</w:t>
      </w:r>
      <w:bookmarkEnd w:id="5878"/>
    </w:p>
    <w:p>
      <w:pPr>
        <w:pStyle w:val="Normal"/>
      </w:pPr>
      <w:r>
        <w:t xml:space="preserve">¿En qué consiste «bajar la escalera» en una conversación difícil?</w:t>
      </w:r>
    </w:p>
    <w:p>
      <w:pPr>
        <w:pStyle w:val="Normal"/>
      </w:pPr>
      <w:r>
        <w:t xml:space="preserve">a) Rebajar el tono para evitar el conflicto</w:t>
      </w:r>
    </w:p>
    <w:p>
      <w:pPr>
        <w:pStyle w:val="Normal"/>
      </w:pPr>
      <w:r>
        <w:t xml:space="preserve">b) Volver a los datos observables y hacer explícito qué se seleccionó y qué se supuso para llegar a la conclusión</w:t>
      </w:r>
    </w:p>
    <w:p>
      <w:pPr>
        <w:pStyle w:val="Normal"/>
      </w:pPr>
      <w:r>
        <w:t xml:space="preserve">c) Ceder en la conclusión propia</w:t>
      </w:r>
    </w:p>
    <w:p>
      <w:pPr>
        <w:pStyle w:val="Normal"/>
      </w:pPr>
      <w:r>
        <w:t xml:space="preserve">d) Repetir el argumento con otras palabras</w:t>
      </w:r>
    </w:p>
    <w:p>
      <w:pPr>
        <w:pStyle w:val="Heading3"/>
      </w:pPr>
      <w:bookmarkStart w:name="b_pregunta_cmp_03_escalera_preconsciente" w:id="5879"/>
      <w:r>
        <w:t xml:space="preserve">S1-17 · 1.2 · Escalera de inferencias</w:t>
      </w:r>
      <w:bookmarkEnd w:id="5879"/>
    </w:p>
    <w:p>
      <w:pPr>
        <w:pStyle w:val="Normal"/>
      </w:pPr>
      <w:r>
        <w:t xml:space="preserve">¿Por qué la escalera se recorre casi siempre sin darse cuenta?</w:t>
      </w:r>
    </w:p>
    <w:p>
      <w:pPr>
        <w:pStyle w:val="Normal"/>
      </w:pPr>
      <w:r>
        <w:t xml:space="preserve">a) Porque la selección de datos es preconsciente: sólo entra en la atención lo que ya resulta relevante</w:t>
      </w:r>
    </w:p>
    <w:p>
      <w:pPr>
        <w:pStyle w:val="Normal"/>
      </w:pPr>
      <w:r>
        <w:t xml:space="preserve">b) Porque los peldaños intermedios son rapidísimos y la conclusión se experimenta como si fuera el dato</w:t>
      </w:r>
    </w:p>
    <w:p>
      <w:pPr>
        <w:pStyle w:val="Normal"/>
      </w:pPr>
      <w:r>
        <w:t xml:space="preserve">c) Porque los datos observables no existen</w:t>
      </w:r>
    </w:p>
    <w:p>
      <w:pPr>
        <w:pStyle w:val="Normal"/>
      </w:pPr>
      <w:r>
        <w:t xml:space="preserve">d) Porque actuar no requiere pensar</w:t>
      </w:r>
    </w:p>
    <w:p>
      <w:pPr>
        <w:pStyle w:val="Heading3"/>
      </w:pPr>
      <w:bookmarkStart w:name="b_pregunta_p1_columna_izquierda" w:id="5880"/>
      <w:r>
        <w:t xml:space="preserve">S1-18 · 1.2 · Escalera de inferencias</w:t>
      </w:r>
      <w:bookmarkEnd w:id="5880"/>
    </w:p>
    <w:p>
      <w:pPr>
        <w:pStyle w:val="Normal"/>
      </w:pPr>
      <w:r>
        <w:t xml:space="preserve">¿Cómo se usa la columna de la mano izquierda para investigar una conversación?</w:t>
      </w:r>
    </w:p>
    <w:p>
      <w:pPr>
        <w:pStyle w:val="Normal"/>
      </w:pPr>
      <w:r>
        <w:t xml:space="preserve">a) Se anotan sólo los errores del interlocutor</w:t>
      </w:r>
    </w:p>
    <w:p>
      <w:pPr>
        <w:pStyle w:val="Normal"/>
      </w:pPr>
      <w:r>
        <w:t xml:space="preserve">b) Se compara lo pensado y callado con lo dicho para descubrir supuestos</w:t>
      </w:r>
    </w:p>
    <w:p>
      <w:pPr>
        <w:pStyle w:val="Normal"/>
      </w:pPr>
      <w:r>
        <w:t xml:space="preserve">c) Se sustituyen los hechos por las intenciones que suponemos</w:t>
      </w:r>
    </w:p>
    <w:p>
      <w:pPr>
        <w:pStyle w:val="Normal"/>
      </w:pPr>
      <w:r>
        <w:t xml:space="preserve">d) Se redacta una respuesta para ganar la discusión</w:t>
      </w:r>
    </w:p>
    <w:p>
      <w:pPr>
        <w:pStyle w:val="Heading3"/>
      </w:pPr>
      <w:bookmarkStart w:name="b_pregunta_p1_tres_practicas" w:id="5881"/>
      <w:r>
        <w:t xml:space="preserve">S1-19 · 1.2 · Escalera de inferencias</w:t>
      </w:r>
      <w:bookmarkEnd w:id="5881"/>
    </w:p>
    <w:p>
      <w:pPr>
        <w:pStyle w:val="Normal"/>
      </w:pPr>
      <w:r>
        <w:t xml:space="preserve">Examino mi inferencia, pregunto por la del otro y expongo mi razonamiento a crítica. ¿Qué prácticas uso, en ese orden?</w:t>
      </w:r>
    </w:p>
    <w:p>
      <w:pPr>
        <w:pStyle w:val="Normal"/>
      </w:pPr>
      <w:r>
        <w:t xml:space="preserve">a) Indagación, argumentación y reflexión</w:t>
      </w:r>
    </w:p>
    <w:p>
      <w:pPr>
        <w:pStyle w:val="Normal"/>
      </w:pPr>
      <w:r>
        <w:t xml:space="preserve">b) Argumentación, eliminación y generalización</w:t>
      </w:r>
    </w:p>
    <w:p>
      <w:pPr>
        <w:pStyle w:val="Normal"/>
      </w:pPr>
      <w:r>
        <w:t xml:space="preserve">c) Reflexión, indagación y argumentación</w:t>
      </w:r>
    </w:p>
    <w:p>
      <w:pPr>
        <w:pStyle w:val="Normal"/>
      </w:pPr>
      <w:r>
        <w:t xml:space="preserve">d) Construcción, distorsión y eliminación</w:t>
      </w:r>
    </w:p>
    <w:p>
      <w:pPr>
        <w:pStyle w:val="Heading3"/>
      </w:pPr>
      <w:bookmarkStart w:name="b_pregunta_p1_triangulo_equilatero" w:id="5882"/>
      <w:r>
        <w:t xml:space="preserve">S1-20 · 1.2 · Escalera de inferencias</w:t>
      </w:r>
      <w:bookmarkEnd w:id="5882"/>
    </w:p>
    <w:p>
      <w:pPr>
        <w:pStyle w:val="Normal"/>
      </w:pPr>
      <w:r>
        <w:t xml:space="preserve">En el ejercicio de triángulos, ¿qué precisión requiere la expresión «tres lados iguales»?</w:t>
      </w:r>
    </w:p>
    <w:p>
      <w:pPr>
        <w:pStyle w:val="Normal"/>
      </w:pPr>
      <w:r>
        <w:t xml:space="preserve">a) Es la definición de todo triángulo</w:t>
      </w:r>
    </w:p>
    <w:p>
      <w:pPr>
        <w:pStyle w:val="Normal"/>
      </w:pPr>
      <w:r>
        <w:t xml:space="preserve">b) Prueba que cualquier conteo es matemáticamente correcto</w:t>
      </w:r>
    </w:p>
    <w:p>
      <w:pPr>
        <w:pStyle w:val="Normal"/>
      </w:pPr>
      <w:r>
        <w:t xml:space="preserve">c) Indica que el dibujo original y la reconstrucción del portal son idénticos</w:t>
      </w:r>
    </w:p>
    <w:p>
      <w:pPr>
        <w:pStyle w:val="Normal"/>
      </w:pPr>
      <w:r>
        <w:t xml:space="preserve">d) Describe un equilátero; un triángulo general no exige lados iguales</w:t>
      </w:r>
    </w:p>
    <w:p>
      <w:pPr>
        <w:pStyle w:val="Heading3"/>
      </w:pPr>
      <w:bookmarkStart w:name="b_pregunta_u1_04_escalera_orden" w:id="5883"/>
      <w:r>
        <w:t xml:space="preserve">S1-21 · 1.2 · Escalera de inferencias</w:t>
      </w:r>
      <w:bookmarkEnd w:id="5883"/>
    </w:p>
    <w:p>
      <w:pPr>
        <w:pStyle w:val="Normal"/>
      </w:pPr>
      <w:r>
        <w:t xml:space="preserve">Ordene los siete peldaños de la escalera de inferencias, del pie a la cima.</w:t>
      </w:r>
    </w:p>
    <w:p>
      <w:pPr>
        <w:pStyle w:val="Normal"/>
      </w:pPr>
      <w:r>
        <w:t xml:space="preserve">a) Añado significados</w:t>
      </w:r>
    </w:p>
    <w:p>
      <w:pPr>
        <w:pStyle w:val="Normal"/>
      </w:pPr>
      <w:r>
        <w:t xml:space="preserve">b) Datos observables</w:t>
      </w:r>
    </w:p>
    <w:p>
      <w:pPr>
        <w:pStyle w:val="Normal"/>
      </w:pPr>
      <w:r>
        <w:t xml:space="preserve">c) Adopto creencias</w:t>
      </w:r>
    </w:p>
    <w:p>
      <w:pPr>
        <w:pStyle w:val="Normal"/>
      </w:pPr>
      <w:r>
        <w:t xml:space="preserve">d) Hago supuestos</w:t>
      </w:r>
    </w:p>
    <w:p>
      <w:pPr>
        <w:pStyle w:val="Normal"/>
      </w:pPr>
      <w:r>
        <w:t xml:space="preserve">e) Selecciono datos</w:t>
      </w:r>
    </w:p>
    <w:p>
      <w:pPr>
        <w:pStyle w:val="Normal"/>
      </w:pPr>
      <w:r>
        <w:t xml:space="preserve">f) Actúo</w:t>
      </w:r>
    </w:p>
    <w:p>
      <w:pPr>
        <w:pStyle w:val="Normal"/>
      </w:pPr>
      <w:r>
        <w:t xml:space="preserve">g) Saco conclusiones</w:t>
      </w:r>
    </w:p>
    <w:p>
      <w:pPr>
        <w:pStyle w:val="Heading3"/>
      </w:pPr>
      <w:bookmarkStart w:name="b_pregunta_u1_05_escalera_pelda_f6e7a56f" w:id="5884"/>
      <w:r>
        <w:t xml:space="preserve">S1-22 · 1.2 · Escalera de inferencias</w:t>
      </w:r>
      <w:bookmarkEnd w:id="5884"/>
    </w:p>
    <w:p>
      <w:pPr>
        <w:pStyle w:val="Normal"/>
      </w:pPr>
      <w:r>
        <w:t xml:space="preserve">¿En qué peldaño de la escalera empieza a jugarse la interpretación, aunque quien la hace casi nunca se dé cuenta?</w:t>
      </w:r>
    </w:p>
    <w:p>
      <w:pPr>
        <w:pStyle w:val="Normal"/>
      </w:pPr>
      <w:r>
        <w:t xml:space="preserve">a) En «Datos observables», porque ya elegimos dónde mirar</w:t>
      </w:r>
    </w:p>
    <w:p>
      <w:pPr>
        <w:pStyle w:val="Normal"/>
      </w:pPr>
      <w:r>
        <w:t xml:space="preserve">b) En «Selecciono datos», porque de todo lo disponible retenemos unos pocos e ignoramos el resto</w:t>
      </w:r>
    </w:p>
    <w:p>
      <w:pPr>
        <w:pStyle w:val="Normal"/>
      </w:pPr>
      <w:r>
        <w:t xml:space="preserve">c) En «Actúo», porque ahí se ven las consecuencias</w:t>
      </w:r>
    </w:p>
    <w:p>
      <w:pPr>
        <w:pStyle w:val="Normal"/>
      </w:pPr>
      <w:r>
        <w:t xml:space="preserve">d) En «Adopto creencias», porque es el último peldaño antes de actuar</w:t>
      </w:r>
    </w:p>
    <w:p>
      <w:pPr>
        <w:pStyle w:val="Heading3"/>
      </w:pPr>
      <w:bookmarkStart w:name="b_pregunta_u1_06_escalera_ciclo" w:id="5885"/>
      <w:r>
        <w:t xml:space="preserve">S1-23 · 1.2 · Escalera de inferencias</w:t>
      </w:r>
      <w:bookmarkEnd w:id="5885"/>
    </w:p>
    <w:p>
      <w:pPr>
        <w:pStyle w:val="Normal"/>
      </w:pPr>
      <w:r>
        <w:t xml:space="preserve">¿Qué afirmaciones sobre el ciclo reflexivo de la escalera son correctas?</w:t>
      </w:r>
    </w:p>
    <w:p>
      <w:pPr>
        <w:pStyle w:val="Normal"/>
      </w:pPr>
      <w:r>
        <w:t xml:space="preserve">a) Las creencias adoptadas condicionan qué datos se seleccionarán la próxima vez</w:t>
      </w:r>
    </w:p>
    <w:p>
      <w:pPr>
        <w:pStyle w:val="Normal"/>
      </w:pPr>
      <w:r>
        <w:t xml:space="preserve">b) La escalera se recorre una sola vez por situación</w:t>
      </w:r>
    </w:p>
    <w:p>
      <w:pPr>
        <w:pStyle w:val="Normal"/>
      </w:pPr>
      <w:r>
        <w:t xml:space="preserve">c) Bajar la escalera consiste en volver a los datos observables y hacer explícitos los saltos</w:t>
      </w:r>
    </w:p>
    <w:p>
      <w:pPr>
        <w:pStyle w:val="Normal"/>
      </w:pPr>
      <w:r>
        <w:t xml:space="preserve">d) Los supuestos son datos verificables</w:t>
      </w:r>
    </w:p>
    <w:p>
      <w:pPr>
        <w:pStyle w:val="Heading3"/>
      </w:pPr>
      <w:r>
        <w:t xml:space="preserve">Tema 1.3 · El paradigma de sistemas</w:t>
      </w:r>
    </w:p>
    <w:p>
      <w:pPr>
        <w:pStyle w:val="Heading3"/>
      </w:pPr>
      <w:bookmarkStart w:name="b_pregunta_cmp_04_bertalanffy" w:id="5886"/>
      <w:r>
        <w:t xml:space="preserve">S1-24 · 1.3 · El paradigma de sistemas</w:t>
      </w:r>
      <w:bookmarkEnd w:id="5886"/>
    </w:p>
    <w:p>
      <w:pPr>
        <w:pStyle w:val="Normal"/>
      </w:pPr>
      <w:r>
        <w:t xml:space="preserve">¿Contra qué reacciona la Teoría General de Sistemas al proponerse como marco común?</w:t>
      </w:r>
    </w:p>
    <w:p>
      <w:pPr>
        <w:pStyle w:val="Normal"/>
      </w:pPr>
      <w:r>
        <w:t xml:space="preserve">a) Contra el uso de las matemáticas en biología</w:t>
      </w:r>
    </w:p>
    <w:p>
      <w:pPr>
        <w:pStyle w:val="Normal"/>
      </w:pPr>
      <w:r>
        <w:t xml:space="preserve">b) Contra la fragmentación disciplinaria, que estudia cada objeto con un lenguaje distinto y pierde lo que todos los sistemas comparten</w:t>
      </w:r>
    </w:p>
    <w:p>
      <w:pPr>
        <w:pStyle w:val="Normal"/>
      </w:pPr>
      <w:r>
        <w:t xml:space="preserve">c) Contra el método experimental</w:t>
      </w:r>
    </w:p>
    <w:p>
      <w:pPr>
        <w:pStyle w:val="Normal"/>
      </w:pPr>
      <w:r>
        <w:t xml:space="preserve">d) Contra la especialización profesional</w:t>
      </w:r>
    </w:p>
    <w:p>
      <w:pPr>
        <w:pStyle w:val="Heading3"/>
      </w:pPr>
      <w:bookmarkStart w:name="b_pregunta_cmp_05_metaparadigma" w:id="5887"/>
      <w:r>
        <w:t xml:space="preserve">S1-25 · 1.3 · El paradigma de sistemas</w:t>
      </w:r>
      <w:bookmarkEnd w:id="5887"/>
    </w:p>
    <w:p>
      <w:pPr>
        <w:pStyle w:val="Normal"/>
      </w:pPr>
      <w:r>
        <w:t xml:space="preserve">El curso llama al paradigma de sistemas un «metaparadigma». ¿Qué quiere decir?</w:t>
      </w:r>
    </w:p>
    <w:p>
      <w:pPr>
        <w:pStyle w:val="Normal"/>
      </w:pPr>
      <w:r>
        <w:t xml:space="preserve">a) Que es el paradigma más antiguo</w:t>
      </w:r>
    </w:p>
    <w:p>
      <w:pPr>
        <w:pStyle w:val="Normal"/>
      </w:pPr>
      <w:r>
        <w:t xml:space="preserve">b) Que es un paradigma sobre cómo construir y revisar paradigmas: se aplica a la propia manera de interpretar</w:t>
      </w:r>
    </w:p>
    <w:p>
      <w:pPr>
        <w:pStyle w:val="Normal"/>
      </w:pPr>
      <w:r>
        <w:t xml:space="preserve">c) Que sustituye a todos los demás</w:t>
      </w:r>
    </w:p>
    <w:p>
      <w:pPr>
        <w:pStyle w:val="Normal"/>
      </w:pPr>
      <w:r>
        <w:t xml:space="preserve">d) Que sólo lo usan los investigadores</w:t>
      </w:r>
    </w:p>
    <w:p>
      <w:pPr>
        <w:pStyle w:val="Heading3"/>
      </w:pPr>
      <w:bookmarkStart w:name="b_pregunta_cmp_06_realidad_como_sistemas" w:id="5888"/>
      <w:r>
        <w:t xml:space="preserve">S1-26 · 1.3 · El paradigma de sistemas</w:t>
      </w:r>
      <w:bookmarkEnd w:id="5888"/>
    </w:p>
    <w:p>
      <w:pPr>
        <w:pStyle w:val="Normal"/>
      </w:pPr>
      <w:r>
        <w:t xml:space="preserve">¿Qué implica interpretar la realidad «como sistemas»?</w:t>
      </w:r>
    </w:p>
    <w:p>
      <w:pPr>
        <w:pStyle w:val="Normal"/>
      </w:pPr>
      <w:r>
        <w:t xml:space="preserve">a) Que el recorte de lo que se estudia es una decisión del observador</w:t>
      </w:r>
    </w:p>
    <w:p>
      <w:pPr>
        <w:pStyle w:val="Normal"/>
      </w:pPr>
      <w:r>
        <w:t xml:space="preserve">b) Que las relaciones son parte del objeto de estudio, no un añadido</w:t>
      </w:r>
    </w:p>
    <w:p>
      <w:pPr>
        <w:pStyle w:val="Normal"/>
      </w:pPr>
      <w:r>
        <w:t xml:space="preserve">c) Que las partes dejan de importar</w:t>
      </w:r>
    </w:p>
    <w:p>
      <w:pPr>
        <w:pStyle w:val="Normal"/>
      </w:pPr>
      <w:r>
        <w:t xml:space="preserve">d) Que todo sistema es natural</w:t>
      </w:r>
    </w:p>
    <w:p>
      <w:pPr>
        <w:pStyle w:val="Heading3"/>
      </w:pPr>
      <w:bookmarkStart w:name="b_pregunta_p1_efectos_intervenir" w:id="5889"/>
      <w:r>
        <w:t xml:space="preserve">S1-27 · 1.3 · El paradigma de sistemas</w:t>
      </w:r>
      <w:bookmarkEnd w:id="5889"/>
    </w:p>
    <w:p>
      <w:pPr>
        <w:pStyle w:val="Normal"/>
      </w:pPr>
      <w:r>
        <w:t xml:space="preserve">¿Qué implica la incertidumbre al intervenir en un problema con muchos actores e interrelaciones?</w:t>
      </w:r>
    </w:p>
    <w:p>
      <w:pPr>
        <w:pStyle w:val="Normal"/>
      </w:pPr>
      <w:r>
        <w:t xml:space="preserve">a) Que acordar la acción garantiza prever sus efectos</w:t>
      </w:r>
    </w:p>
    <w:p>
      <w:pPr>
        <w:pStyle w:val="Normal"/>
      </w:pPr>
      <w:r>
        <w:t xml:space="preserve">b) No se conocen todos los efectos y hace falta explicitar lagunas y observar resultados</w:t>
      </w:r>
    </w:p>
    <w:p>
      <w:pPr>
        <w:pStyle w:val="Normal"/>
      </w:pPr>
      <w:r>
        <w:t xml:space="preserve">c) Que basta la información del actor con más recursos</w:t>
      </w:r>
    </w:p>
    <w:p>
      <w:pPr>
        <w:pStyle w:val="Normal"/>
      </w:pPr>
      <w:r>
        <w:t xml:space="preserve">d) Que toda intervención tiene el mismo resultado</w:t>
      </w:r>
    </w:p>
    <w:p>
      <w:pPr>
        <w:pStyle w:val="Heading3"/>
      </w:pPr>
      <w:bookmarkStart w:name="b_pregunta_p1_poder_problema" w:id="5890"/>
      <w:r>
        <w:t xml:space="preserve">S1-28 · 1.3 · El paradigma de sistemas</w:t>
      </w:r>
      <w:bookmarkEnd w:id="5890"/>
    </w:p>
    <w:p>
      <w:pPr>
        <w:pStyle w:val="Normal"/>
      </w:pPr>
      <w:r>
        <w:t xml:space="preserve">Una propuesta técnica recibe apoyo, pero quien controla el presupuesto la bloquea. ¿Qué relación debe incluir el modelo?</w:t>
      </w:r>
    </w:p>
    <w:p>
      <w:pPr>
        <w:pStyle w:val="Normal"/>
      </w:pPr>
      <w:r>
        <w:t xml:space="preserve">a) La distribución de poder para autorizar o impedir el cambio</w:t>
      </w:r>
    </w:p>
    <w:p>
      <w:pPr>
        <w:pStyle w:val="Normal"/>
      </w:pPr>
      <w:r>
        <w:t xml:space="preserve">b) Sólo la cantidad de piezas del sistema</w:t>
      </w:r>
    </w:p>
    <w:p>
      <w:pPr>
        <w:pStyle w:val="Normal"/>
      </w:pPr>
      <w:r>
        <w:t xml:space="preserve">c) La certeza de que el diagnóstico era falso</w:t>
      </w:r>
    </w:p>
    <w:p>
      <w:pPr>
        <w:pStyle w:val="Normal"/>
      </w:pPr>
      <w:r>
        <w:t xml:space="preserve">d) Únicamente la personalidad de quienes apoyaron</w:t>
      </w:r>
    </w:p>
    <w:p>
      <w:pPr>
        <w:pStyle w:val="Heading3"/>
      </w:pPr>
      <w:bookmarkStart w:name="b_pregunta_u1_07_paradigma_de_sistemas" w:id="5891"/>
      <w:r>
        <w:t xml:space="preserve">S1-29 · 1.3 · El paradigma de sistemas</w:t>
      </w:r>
      <w:bookmarkEnd w:id="5891"/>
    </w:p>
    <w:p>
      <w:pPr>
        <w:pStyle w:val="Normal"/>
      </w:pPr>
      <w:r>
        <w:t xml:space="preserve">¿Qué desplazamiento propone el paradigma de sistemas frente a la mirada tradicional?</w:t>
      </w:r>
    </w:p>
    <w:p>
      <w:pPr>
        <w:pStyle w:val="Normal"/>
      </w:pPr>
      <w:r>
        <w:t xml:space="preserve">a) Sustituir la observación por la intuición</w:t>
      </w:r>
    </w:p>
    <w:p>
      <w:pPr>
        <w:pStyle w:val="Normal"/>
      </w:pPr>
      <w:r>
        <w:t xml:space="preserve">b) Interpretar la realidad como conjuntos de elementos en relación, en vez de como objetos aislados</w:t>
      </w:r>
    </w:p>
    <w:p>
      <w:pPr>
        <w:pStyle w:val="Normal"/>
      </w:pPr>
      <w:r>
        <w:t xml:space="preserve">c) Renunciar a estudiar las partes</w:t>
      </w:r>
    </w:p>
    <w:p>
      <w:pPr>
        <w:pStyle w:val="Normal"/>
      </w:pPr>
      <w:r>
        <w:t xml:space="preserve">d) Aplicar sólo métodos cuantitativos</w:t>
      </w:r>
    </w:p>
    <w:p>
      <w:pPr>
        <w:pStyle w:val="Heading3"/>
      </w:pPr>
      <w:bookmarkStart w:name="b_pregunta_u1_08_paradigma_no_renuncia" w:id="5892"/>
      <w:r>
        <w:t xml:space="preserve">S1-30 · 1.3 · El paradigma de sistemas</w:t>
      </w:r>
      <w:bookmarkEnd w:id="5892"/>
    </w:p>
    <w:p>
      <w:pPr>
        <w:pStyle w:val="Normal"/>
      </w:pPr>
      <w:r>
        <w:t xml:space="preserve">«Adoptar el paradigma de sistemas obliga a abandonar el análisis.» ¿Qué tiene de incorrecta esta afirmación?</w:t>
      </w:r>
    </w:p>
    <w:p>
      <w:pPr>
        <w:pStyle w:val="Normal"/>
      </w:pPr>
      <w:r>
        <w:t xml:space="preserve">a) Nada, es exactamente lo que propone el curso</w:t>
      </w:r>
    </w:p>
    <w:p>
      <w:pPr>
        <w:pStyle w:val="Normal"/>
      </w:pPr>
      <w:r>
        <w:t xml:space="preserve">b) Que el análisis y la síntesis se necesitan mutuamente: el pensador sistémico mantiene el equilibrio entre ambas</w:t>
      </w:r>
    </w:p>
    <w:p>
      <w:pPr>
        <w:pStyle w:val="Normal"/>
      </w:pPr>
      <w:r>
        <w:t xml:space="preserve">c) Que el análisis sólo se aplica a sistemas naturales</w:t>
      </w:r>
    </w:p>
    <w:p>
      <w:pPr>
        <w:pStyle w:val="Normal"/>
      </w:pPr>
      <w:r>
        <w:t xml:space="preserve">d) Que el paradigma de sistemas es incompatible con la ciencia</w:t>
      </w:r>
    </w:p>
    <w:p>
      <w:pPr>
        <w:pStyle w:val="Heading3"/>
      </w:pPr>
      <w:r>
        <w:t xml:space="preserve">Tema 1.4 · Sistémico vs no sistémico</w:t>
      </w:r>
    </w:p>
    <w:p>
      <w:pPr>
        <w:pStyle w:val="Heading3"/>
      </w:pPr>
      <w:bookmarkStart w:name="b_pregunta_cmp_07_modelo_mental_ce0f688e" w:id="5893"/>
      <w:r>
        <w:t xml:space="preserve">S1-31 · 1.4 · Sistémico vs no sistémico</w:t>
      </w:r>
      <w:bookmarkEnd w:id="5893"/>
    </w:p>
    <w:p>
      <w:pPr>
        <w:pStyle w:val="Normal"/>
      </w:pPr>
      <w:r>
        <w:t xml:space="preserve">¿Por qué un modelo mental resulta difícil de cambiar mientras permanece implícito?</w:t>
      </w:r>
    </w:p>
    <w:p>
      <w:pPr>
        <w:pStyle w:val="Normal"/>
      </w:pPr>
      <w:r>
        <w:t xml:space="preserve">a) Porque los modelos implícitos son siempre falsos</w:t>
      </w:r>
    </w:p>
    <w:p>
      <w:pPr>
        <w:pStyle w:val="Normal"/>
      </w:pPr>
      <w:r>
        <w:t xml:space="preserve">b) Porque lo que no se ve no se puede poner en duda: el modelo se experimenta como la realidad misma, no como una interpretación de ella</w:t>
      </w:r>
    </w:p>
    <w:p>
      <w:pPr>
        <w:pStyle w:val="Normal"/>
      </w:pPr>
      <w:r>
        <w:t xml:space="preserve">c) Porque cambiar de opinión está mal visto</w:t>
      </w:r>
    </w:p>
    <w:p>
      <w:pPr>
        <w:pStyle w:val="Normal"/>
      </w:pPr>
      <w:r>
        <w:t xml:space="preserve">d) Porque los modelos implícitos no influyen en la acción</w:t>
      </w:r>
    </w:p>
    <w:p>
      <w:pPr>
        <w:pStyle w:val="Heading3"/>
      </w:pPr>
      <w:bookmarkStart w:name="b_pregunta_cmp_08_modelo_y_resultado" w:id="5894"/>
      <w:r>
        <w:t xml:space="preserve">S1-32 · 1.4 · Sistémico vs no sistémico</w:t>
      </w:r>
      <w:bookmarkEnd w:id="5894"/>
    </w:p>
    <w:p>
      <w:pPr>
        <w:pStyle w:val="Normal"/>
      </w:pPr>
      <w:r>
        <w:t xml:space="preserve">Ordene el ciclo por el que un modelo mental se corrige a sí mismo.</w:t>
      </w:r>
    </w:p>
    <w:p>
      <w:pPr>
        <w:pStyle w:val="Normal"/>
      </w:pPr>
      <w:r>
        <w:t xml:space="preserve">a) Se obtiene un resultado</w:t>
      </w:r>
    </w:p>
    <w:p>
      <w:pPr>
        <w:pStyle w:val="Normal"/>
      </w:pPr>
      <w:r>
        <w:t xml:space="preserve">b) El modelo mental orienta la interpretación</w:t>
      </w:r>
    </w:p>
    <w:p>
      <w:pPr>
        <w:pStyle w:val="Normal"/>
      </w:pPr>
      <w:r>
        <w:t xml:space="preserve">c) La información del resultado vuelve al modelo</w:t>
      </w:r>
    </w:p>
    <w:p>
      <w:pPr>
        <w:pStyle w:val="Normal"/>
      </w:pPr>
      <w:r>
        <w:t xml:space="preserve">d) Se decide y se actúa</w:t>
      </w:r>
    </w:p>
    <w:p>
      <w:pPr>
        <w:pStyle w:val="Normal"/>
      </w:pPr>
      <w:r>
        <w:t xml:space="preserve">e) El modelo se ajusta o se confirma</w:t>
      </w:r>
    </w:p>
    <w:p>
      <w:pPr>
        <w:pStyle w:val="Heading3"/>
      </w:pPr>
      <w:bookmarkStart w:name="b_pregunta_ec1_05_metacognitivo" w:id="5895"/>
      <w:r>
        <w:t xml:space="preserve">S1-33 · 1.4 · Sistémico vs no sistémico</w:t>
      </w:r>
      <w:bookmarkEnd w:id="5895"/>
    </w:p>
    <w:p>
      <w:pPr>
        <w:pStyle w:val="Normal"/>
      </w:pPr>
      <w:r>
        <w:t xml:space="preserve">¿Cómo se llama el tipo de pensamiento que nos permite tener consciencia de nuestros modelos mentales?</w:t>
      </w:r>
    </w:p>
    <w:p>
      <w:pPr>
        <w:pStyle w:val="Normal"/>
      </w:pPr>
      <w:r>
        <w:t xml:space="preserve">a) Pensamiento crítico</w:t>
      </w:r>
    </w:p>
    <w:p>
      <w:pPr>
        <w:pStyle w:val="Normal"/>
      </w:pPr>
      <w:r>
        <w:t xml:space="preserve">b) Pensamiento mágico</w:t>
      </w:r>
    </w:p>
    <w:p>
      <w:pPr>
        <w:pStyle w:val="Normal"/>
      </w:pPr>
      <w:r>
        <w:t xml:space="preserve">c) Pensamiento suave</w:t>
      </w:r>
    </w:p>
    <w:p>
      <w:pPr>
        <w:pStyle w:val="Normal"/>
      </w:pPr>
      <w:r>
        <w:t xml:space="preserve">d) Pensamiento analítico</w:t>
      </w:r>
    </w:p>
    <w:p>
      <w:pPr>
        <w:pStyle w:val="Normal"/>
      </w:pPr>
      <w:r>
        <w:t xml:space="preserve">e) Pensamiento metacognitivo</w:t>
      </w:r>
    </w:p>
    <w:p>
      <w:pPr>
        <w:pStyle w:val="Heading3"/>
      </w:pPr>
      <w:bookmarkStart w:name="b_pregunta_p1_entradas_contrastes" w:id="5896"/>
      <w:r>
        <w:t xml:space="preserve">S1-34 · 1.4 · Sistémico vs no sistémico</w:t>
      </w:r>
      <w:bookmarkEnd w:id="5896"/>
    </w:p>
    <w:p>
      <w:pPr>
        <w:pStyle w:val="Normal"/>
      </w:pPr>
      <w:r>
        <w:t xml:space="preserve">¿Cómo se relacionan las seis entradas y los nueve contrastes del modelo mental de clase 5?</w:t>
      </w:r>
    </w:p>
    <w:p>
      <w:pPr>
        <w:pStyle w:val="Normal"/>
      </w:pPr>
      <w:r>
        <w:t xml:space="preserve">a) Las entradas alimentan el modelo y los contrastes muestran cómo se trata la información</w:t>
      </w:r>
    </w:p>
    <w:p>
      <w:pPr>
        <w:pStyle w:val="Normal"/>
      </w:pPr>
      <w:r>
        <w:t xml:space="preserve">b) Son quince hábitos nuevos añadidos al catálogo</w:t>
      </w:r>
    </w:p>
    <w:p>
      <w:pPr>
        <w:pStyle w:val="Normal"/>
      </w:pPr>
      <w:r>
        <w:t xml:space="preserve">c) Son seis pasos seguidos obligatoriamente por nueve fases</w:t>
      </w:r>
    </w:p>
    <w:p>
      <w:pPr>
        <w:pStyle w:val="Normal"/>
      </w:pPr>
      <w:r>
        <w:t xml:space="preserve">d) Son quince fuentes que aseguran un modelo infalible</w:t>
      </w:r>
    </w:p>
    <w:p>
      <w:pPr>
        <w:pStyle w:val="Heading3"/>
      </w:pPr>
      <w:bookmarkStart w:name="b_pregunta_p1_mente_principiante" w:id="5897"/>
      <w:r>
        <w:t xml:space="preserve">S1-35 · 1.4 · Sistémico vs no sistémico</w:t>
      </w:r>
      <w:bookmarkEnd w:id="5897"/>
    </w:p>
    <w:p>
      <w:pPr>
        <w:pStyle w:val="Normal"/>
      </w:pPr>
      <w:r>
        <w:t xml:space="preserve">¿Qué conducta concreta expresa entrar a una situación con mente de principiante?</w:t>
      </w:r>
    </w:p>
    <w:p>
      <w:pPr>
        <w:pStyle w:val="Normal"/>
      </w:pPr>
      <w:r>
        <w:t xml:space="preserve">a) Descartar toda experiencia previa sin examinarla</w:t>
      </w:r>
    </w:p>
    <w:p>
      <w:pPr>
        <w:pStyle w:val="Normal"/>
      </w:pPr>
      <w:r>
        <w:t xml:space="preserve">b) Aplicar la primera explicación conocida para ahorrar tiempo</w:t>
      </w:r>
    </w:p>
    <w:p>
      <w:pPr>
        <w:pStyle w:val="Normal"/>
      </w:pPr>
      <w:r>
        <w:t xml:space="preserve">c) Ampliar la información y observar cómo se forma la interpretación antes de cerrarla</w:t>
      </w:r>
    </w:p>
    <w:p>
      <w:pPr>
        <w:pStyle w:val="Normal"/>
      </w:pPr>
      <w:r>
        <w:t xml:space="preserve">d) Aceptar sólo los datos que confirman la creencia</w:t>
      </w:r>
    </w:p>
    <w:p>
      <w:pPr>
        <w:pStyle w:val="Heading3"/>
      </w:pPr>
      <w:bookmarkStart w:name="b_pregunta_p1_realista_util" w:id="5898"/>
      <w:r>
        <w:t xml:space="preserve">S1-36 · 1.4 · Sistémico vs no sistémico</w:t>
      </w:r>
      <w:bookmarkEnd w:id="5898"/>
    </w:p>
    <w:p>
      <w:pPr>
        <w:pStyle w:val="Normal"/>
      </w:pPr>
      <w:r>
        <w:t xml:space="preserve">Un mapa reproduce fielmente calles pero no muestra rutas accesibles que necesitamos. ¿Cómo se juzga para ese propósito?</w:t>
      </w:r>
    </w:p>
    <w:p>
      <w:pPr>
        <w:pStyle w:val="Normal"/>
      </w:pPr>
      <w:r>
        <w:t xml:space="preserve">a) Es útil para todo propósito por ser fiel</w:t>
      </w:r>
    </w:p>
    <w:p>
      <w:pPr>
        <w:pStyle w:val="Normal"/>
      </w:pPr>
      <w:r>
        <w:t xml:space="preserve">b) No puede ser realista si no resuelve cualquier decisión</w:t>
      </w:r>
    </w:p>
    <w:p>
      <w:pPr>
        <w:pStyle w:val="Normal"/>
      </w:pPr>
      <w:r>
        <w:t xml:space="preserve">c) Su utilidad demuestra que representa todo el territorio</w:t>
      </w:r>
    </w:p>
    <w:p>
      <w:pPr>
        <w:pStyle w:val="Normal"/>
      </w:pPr>
      <w:r>
        <w:t xml:space="preserve">d) Puede ser realista y, a la vez, insuficientemente útil</w:t>
      </w:r>
    </w:p>
    <w:p>
      <w:pPr>
        <w:pStyle w:val="Heading3"/>
      </w:pPr>
      <w:bookmarkStart w:name="b_pregunta_u1_09_sistemico_vs_r_be13b811" w:id="5899"/>
      <w:r>
        <w:t xml:space="preserve">S1-37 · 1.4 · Sistémico vs no sistémico</w:t>
      </w:r>
      <w:bookmarkEnd w:id="5899"/>
    </w:p>
    <w:p>
      <w:pPr>
        <w:pStyle w:val="Normal"/>
      </w:pPr>
      <w:r>
        <w:t xml:space="preserve">Reparta cada manera de encarar un problema según sea reduccionista o sistémica.</w:t>
      </w:r>
    </w:p>
    <w:p>
      <w:pPr>
        <w:pStyle w:val="Normal"/>
      </w:pPr>
      <w:r>
        <w:t xml:space="preserve">a) Destinos: Modelo reduccionista; Modelo sistémico</w:t>
      </w:r>
    </w:p>
    <w:p>
      <w:pPr>
        <w:pStyle w:val="Normal"/>
      </w:pPr>
      <w:r>
        <w:t xml:space="preserve">b) Buscar al responsable individual de la falla y reemplazarlo</w:t>
      </w:r>
    </w:p>
    <w:p>
      <w:pPr>
        <w:pStyle w:val="Normal"/>
      </w:pPr>
      <w:r>
        <w:t xml:space="preserve">c) Explicar el comportamiento del todo por la pieza que falló</w:t>
      </w:r>
    </w:p>
    <w:p>
      <w:pPr>
        <w:pStyle w:val="Normal"/>
      </w:pPr>
      <w:r>
        <w:t xml:space="preserve">d) Preguntar qué relaciones del proceso hicieron probable esa falla</w:t>
      </w:r>
    </w:p>
    <w:p>
      <w:pPr>
        <w:pStyle w:val="Normal"/>
      </w:pPr>
      <w:r>
        <w:t xml:space="preserve">e) Rediseñar la estructura para que el error deje de repetirse con otra persona</w:t>
      </w:r>
    </w:p>
    <w:p>
      <w:pPr>
        <w:pStyle w:val="Heading3"/>
      </w:pPr>
      <w:bookmarkStart w:name="b_pregunta_u1_10_metacognicion" w:id="5900"/>
      <w:r>
        <w:t xml:space="preserve">S1-38 · 1.4 · Sistémico vs no sistémico</w:t>
      </w:r>
      <w:bookmarkEnd w:id="5900"/>
    </w:p>
    <w:p>
      <w:pPr>
        <w:pStyle w:val="Normal"/>
      </w:pPr>
      <w:r>
        <w:t xml:space="preserve">¿Por qué la metacognición es la puerta de entrada para cambiar un modelo mental?</w:t>
      </w:r>
    </w:p>
    <w:p>
      <w:pPr>
        <w:pStyle w:val="Normal"/>
      </w:pPr>
      <w:r>
        <w:t xml:space="preserve">a) Porque acelera la memorización</w:t>
      </w:r>
    </w:p>
    <w:p>
      <w:pPr>
        <w:pStyle w:val="Normal"/>
      </w:pPr>
      <w:r>
        <w:t xml:space="preserve">b) Porque permite observar el propio proceso de pensar y, por tanto, ver el modelo desde fuera</w:t>
      </w:r>
    </w:p>
    <w:p>
      <w:pPr>
        <w:pStyle w:val="Normal"/>
      </w:pPr>
      <w:r>
        <w:t xml:space="preserve">c) Porque sustituye al pensamiento crítico</w:t>
      </w:r>
    </w:p>
    <w:p>
      <w:pPr>
        <w:pStyle w:val="Normal"/>
      </w:pPr>
      <w:r>
        <w:t xml:space="preserve">d) Porque elimina los supuestos</w:t>
      </w:r>
    </w:p>
    <w:p>
      <w:pPr>
        <w:pStyle w:val="Heading3"/>
      </w:pPr>
      <w:r>
        <w:t xml:space="preserve">Tema 1.5 · Perspectivas</w:t>
      </w:r>
    </w:p>
    <w:p>
      <w:pPr>
        <w:pStyle w:val="Heading3"/>
      </w:pPr>
      <w:bookmarkStart w:name="b_pregunta_cmp_09_perspectivas_emparejar" w:id="5901"/>
      <w:r>
        <w:t xml:space="preserve">S1-39 · 1.5 · Perspectivas</w:t>
      </w:r>
      <w:bookmarkEnd w:id="5901"/>
    </w:p>
    <w:p>
      <w:pPr>
        <w:pStyle w:val="Normal"/>
      </w:pPr>
      <w:r>
        <w:t xml:space="preserve">Relacione cada término del par perspectiva con lo que designa.</w:t>
      </w:r>
    </w:p>
    <w:p>
      <w:pPr>
        <w:pStyle w:val="Normal"/>
      </w:pPr>
      <w:r>
        <w:t xml:space="preserve">a) Fila: Punto</w:t>
      </w:r>
    </w:p>
    <w:p>
      <w:pPr>
        <w:pStyle w:val="Normal"/>
      </w:pPr>
      <w:r>
        <w:t xml:space="preserve">b) Fila: Vista</w:t>
      </w:r>
    </w:p>
    <w:p>
      <w:pPr>
        <w:pStyle w:val="Normal"/>
      </w:pPr>
      <w:r>
        <w:t xml:space="preserve">c) a) El lugar o rol desde el que se observa</w:t>
      </w:r>
    </w:p>
    <w:p>
      <w:pPr>
        <w:pStyle w:val="Normal"/>
      </w:pPr>
      <w:r>
        <w:t xml:space="preserve">d) b) Lo que resulta visible desde ese lugar</w:t>
      </w:r>
    </w:p>
    <w:p>
      <w:pPr>
        <w:pStyle w:val="Normal"/>
      </w:pPr>
      <w:r>
        <w:t xml:space="preserve">e) c) Lo que es verdad con independencia de quien mire</w:t>
      </w:r>
    </w:p>
    <w:p>
      <w:pPr>
        <w:pStyle w:val="Heading3"/>
      </w:pPr>
      <w:bookmarkStart w:name="b_pregunta_cmp_10_perspectiva_por_rol" w:id="5902"/>
      <w:r>
        <w:t xml:space="preserve">S1-40 · 1.5 · Perspectivas</w:t>
      </w:r>
      <w:bookmarkEnd w:id="5902"/>
    </w:p>
    <w:p>
      <w:pPr>
        <w:pStyle w:val="Normal"/>
      </w:pPr>
      <w:r>
        <w:t xml:space="preserve">Un mismo retraso en una entrega lo describen el cliente, el operario y el gerente de forma distinta. ¿Qué conviene concluir?</w:t>
      </w:r>
    </w:p>
    <w:p>
      <w:pPr>
        <w:pStyle w:val="Normal"/>
      </w:pPr>
      <w:r>
        <w:t xml:space="preserve">a) Que dos de los tres se equivocan</w:t>
      </w:r>
    </w:p>
    <w:p>
      <w:pPr>
        <w:pStyle w:val="Normal"/>
      </w:pPr>
      <w:r>
        <w:t xml:space="preserve">b) Que cada descripción es fiel a su punto y que el sistema se comprende mejor integrándolas, sin uniformarlas</w:t>
      </w:r>
    </w:p>
    <w:p>
      <w:pPr>
        <w:pStyle w:val="Normal"/>
      </w:pPr>
      <w:r>
        <w:t xml:space="preserve">c) Que hace falta un cuarto observador imparcial</w:t>
      </w:r>
    </w:p>
    <w:p>
      <w:pPr>
        <w:pStyle w:val="Normal"/>
      </w:pPr>
      <w:r>
        <w:t xml:space="preserve">d) Que las perspectivas no aportan información útil</w:t>
      </w:r>
    </w:p>
    <w:p>
      <w:pPr>
        <w:pStyle w:val="Heading3"/>
      </w:pPr>
      <w:bookmarkStart w:name="b_pregunta_cmp_11_perspectiva_y_frontera" w:id="5903"/>
      <w:r>
        <w:t xml:space="preserve">S1-41 · 1.5 · Perspectivas</w:t>
      </w:r>
      <w:bookmarkEnd w:id="5903"/>
    </w:p>
    <w:p>
      <w:pPr>
        <w:pStyle w:val="Normal"/>
      </w:pPr>
      <w:r>
        <w:t xml:space="preserve">¿Qué cambia al cambiar de perspectiva sobre un sistema?</w:t>
      </w:r>
    </w:p>
    <w:p>
      <w:pPr>
        <w:pStyle w:val="Normal"/>
      </w:pPr>
      <w:r>
        <w:t xml:space="preserve">a) Qué elementos aparecen como relevantes</w:t>
      </w:r>
    </w:p>
    <w:p>
      <w:pPr>
        <w:pStyle w:val="Normal"/>
      </w:pPr>
      <w:r>
        <w:t xml:space="preserve">b) Qué relaciones se vuelven visibles</w:t>
      </w:r>
    </w:p>
    <w:p>
      <w:pPr>
        <w:pStyle w:val="Normal"/>
      </w:pPr>
      <w:r>
        <w:t xml:space="preserve">c) Los hechos verificables que ocurrieron</w:t>
      </w:r>
    </w:p>
    <w:p>
      <w:pPr>
        <w:pStyle w:val="Normal"/>
      </w:pPr>
      <w:r>
        <w:t xml:space="preserve">d) Dónde resulta razonable trazar la frontera</w:t>
      </w:r>
    </w:p>
    <w:p>
      <w:pPr>
        <w:pStyle w:val="Heading3"/>
      </w:pPr>
      <w:bookmarkStart w:name="b_pregunta_p1_bosque_cultura_clima" w:id="5904"/>
      <w:r>
        <w:t xml:space="preserve">S1-42 · 1.5 · Perspectivas</w:t>
      </w:r>
      <w:bookmarkEnd w:id="5904"/>
    </w:p>
    <w:p>
      <w:pPr>
        <w:pStyle w:val="Normal"/>
      </w:pPr>
      <w:r>
        <w:t xml:space="preserve">¿Qué aportes corresponden a las perspectivas cultural/indígena y climática del bosque?</w:t>
      </w:r>
    </w:p>
    <w:p>
      <w:pPr>
        <w:pStyle w:val="Normal"/>
      </w:pPr>
      <w:r>
        <w:t xml:space="preserve">a) Precio de la madera; únicamente cantidad de visitantes</w:t>
      </w:r>
    </w:p>
    <w:p>
      <w:pPr>
        <w:pStyle w:val="Normal"/>
      </w:pPr>
      <w:r>
        <w:t xml:space="preserve">b) Sólo conteo de árboles; sólo límites municipales</w:t>
      </w:r>
    </w:p>
    <w:p>
      <w:pPr>
        <w:pStyle w:val="Normal"/>
      </w:pPr>
      <w:r>
        <w:t xml:space="preserve">c) Las mismas variables y los mismos valores sin diferencia</w:t>
      </w:r>
    </w:p>
    <w:p>
      <w:pPr>
        <w:pStyle w:val="Normal"/>
      </w:pPr>
      <w:r>
        <w:t xml:space="preserve">d) Identidad y territorio sagrado; captura de carbono y regulación hídrica</w:t>
      </w:r>
    </w:p>
    <w:p>
      <w:pPr>
        <w:pStyle w:val="Heading3"/>
      </w:pPr>
      <w:bookmarkStart w:name="b_pregunta_p1_bosque_ecologia_economia" w:id="5905"/>
      <w:r>
        <w:t xml:space="preserve">S1-43 · 1.5 · Perspectivas</w:t>
      </w:r>
      <w:bookmarkEnd w:id="5905"/>
    </w:p>
    <w:p>
      <w:pPr>
        <w:pStyle w:val="Normal"/>
      </w:pPr>
      <w:r>
        <w:t xml:space="preserve">¿Qué contraste describe las perspectivas ecológica y económica del bosque?</w:t>
      </w:r>
    </w:p>
    <w:p>
      <w:pPr>
        <w:pStyle w:val="Normal"/>
      </w:pPr>
      <w:r>
        <w:t xml:space="preserve">a) La ecológica sólo cuenta madera; la económica sólo especies</w:t>
      </w:r>
    </w:p>
    <w:p>
      <w:pPr>
        <w:pStyle w:val="Normal"/>
      </w:pPr>
      <w:r>
        <w:t xml:space="preserve">b) Ambas excluyen relaciones de energía y materia</w:t>
      </w:r>
    </w:p>
    <w:p>
      <w:pPr>
        <w:pStyle w:val="Normal"/>
      </w:pPr>
      <w:r>
        <w:t xml:space="preserve">c) La ecológica estudia flujos que sostienen biodiversidad; la económica, recursos e ingresos</w:t>
      </w:r>
    </w:p>
    <w:p>
      <w:pPr>
        <w:pStyle w:val="Normal"/>
      </w:pPr>
      <w:r>
        <w:t xml:space="preserve">d) La económica demuestra que las otras perspectivas son falsas</w:t>
      </w:r>
    </w:p>
    <w:p>
      <w:pPr>
        <w:pStyle w:val="Heading3"/>
      </w:pPr>
      <w:bookmarkStart w:name="b_pregunta_p1_dialogo_supuestos_reglas" w:id="5906"/>
      <w:r>
        <w:t xml:space="preserve">S1-44 · 1.5 · Perspectivas</w:t>
      </w:r>
      <w:bookmarkEnd w:id="5906"/>
    </w:p>
    <w:p>
      <w:pPr>
        <w:pStyle w:val="Normal"/>
      </w:pPr>
      <w:r>
        <w:t xml:space="preserve">¿Para qué sirven los cinco supuestos y las diez reglas del diálogo trabajados en clase?</w:t>
      </w:r>
    </w:p>
    <w:p>
      <w:pPr>
        <w:pStyle w:val="Normal"/>
      </w:pPr>
      <w:r>
        <w:t xml:space="preserve">a) Asegurar que gane quien hable más tiempo</w:t>
      </w:r>
    </w:p>
    <w:p>
      <w:pPr>
        <w:pStyle w:val="Normal"/>
      </w:pPr>
      <w:r>
        <w:t xml:space="preserve">b) Crear condiciones de participación, escucha y examen de perspectivas sin represalias</w:t>
      </w:r>
    </w:p>
    <w:p>
      <w:pPr>
        <w:pStyle w:val="Normal"/>
      </w:pPr>
      <w:r>
        <w:t xml:space="preserve">c) Imponer una conclusión antes de escuchar</w:t>
      </w:r>
    </w:p>
    <w:p>
      <w:pPr>
        <w:pStyle w:val="Normal"/>
      </w:pPr>
      <w:r>
        <w:t xml:space="preserve">d) Convertir el diálogo en un monólogo de la autoridad</w:t>
      </w:r>
    </w:p>
    <w:p>
      <w:pPr>
        <w:pStyle w:val="Heading3"/>
      </w:pPr>
      <w:bookmarkStart w:name="b_pregunta_p1_elena_tom" w:id="5907"/>
      <w:r>
        <w:t xml:space="preserve">S1-45 · 1.5 · Perspectivas</w:t>
      </w:r>
      <w:bookmarkEnd w:id="5907"/>
    </w:p>
    <w:p>
      <w:pPr>
        <w:pStyle w:val="Normal"/>
      </w:pPr>
      <w:r>
        <w:t xml:space="preserve">Elena y Tom y la vendedora reciben el mismo informe técnico. ¿Qué permite negociar sin borrar sus diferencias?</w:t>
      </w:r>
    </w:p>
    <w:p>
      <w:pPr>
        <w:pStyle w:val="Normal"/>
      </w:pPr>
      <w:r>
        <w:t xml:space="preserve">a) Reconstruir los supuestos de cada parte y reconsiderar prioridades con el informe común</w:t>
      </w:r>
    </w:p>
    <w:p>
      <w:pPr>
        <w:pStyle w:val="Normal"/>
      </w:pPr>
      <w:r>
        <w:t xml:space="preserve">b) Dar por probado que una parte no sabe leer</w:t>
      </w:r>
    </w:p>
    <w:p>
      <w:pPr>
        <w:pStyle w:val="Normal"/>
      </w:pPr>
      <w:r>
        <w:t xml:space="preserve">c) Creer que el informe elimina automáticamente toda perspectiva</w:t>
      </w:r>
    </w:p>
    <w:p>
      <w:pPr>
        <w:pStyle w:val="Normal"/>
      </w:pPr>
      <w:r>
        <w:t xml:space="preserve">d) Suponer que los mismos datos obligan a la misma conclusión</w:t>
      </w:r>
    </w:p>
    <w:p>
      <w:pPr>
        <w:pStyle w:val="Heading3"/>
      </w:pPr>
      <w:bookmarkStart w:name="b_pregunta_p1_empatia_circular" w:id="5908"/>
      <w:r>
        <w:t xml:space="preserve">S1-46 · 1.5 · Perspectivas</w:t>
      </w:r>
      <w:bookmarkEnd w:id="5908"/>
    </w:p>
    <w:p>
      <w:pPr>
        <w:pStyle w:val="Normal"/>
      </w:pPr>
      <w:r>
        <w:t xml:space="preserve">¿Qué recorrido explica el carácter causal y circular de la empatía en la presentación?</w:t>
      </w:r>
    </w:p>
    <w:p>
      <w:pPr>
        <w:pStyle w:val="Normal"/>
      </w:pPr>
      <w:r>
        <w:t xml:space="preserve">a) Comprender obliga al otro a aceptar mi conclusión</w:t>
      </w:r>
    </w:p>
    <w:p>
      <w:pPr>
        <w:pStyle w:val="Normal"/>
      </w:pPr>
      <w:r>
        <w:t xml:space="preserve">b) Comprender y apoyar puede hacer que el otro se sienta cuidado y devuelva apoyo</w:t>
      </w:r>
    </w:p>
    <w:p>
      <w:pPr>
        <w:pStyle w:val="Normal"/>
      </w:pPr>
      <w:r>
        <w:t xml:space="preserve">c) El apoyo sólo puede circular en una dirección</w:t>
      </w:r>
    </w:p>
    <w:p>
      <w:pPr>
        <w:pStyle w:val="Normal"/>
      </w:pPr>
      <w:r>
        <w:t xml:space="preserve">d) La empatía elimina todos los conflictos y desacuerdos</w:t>
      </w:r>
    </w:p>
    <w:p>
      <w:pPr>
        <w:pStyle w:val="Heading3"/>
      </w:pPr>
      <w:bookmarkStart w:name="b_pregunta_u1_11_ciegos_elefante" w:id="5909"/>
      <w:r>
        <w:t xml:space="preserve">S1-47 · 1.5 · Perspectivas</w:t>
      </w:r>
      <w:bookmarkEnd w:id="5909"/>
    </w:p>
    <w:p>
      <w:pPr>
        <w:pStyle w:val="Normal"/>
      </w:pPr>
      <w:r>
        <w:t xml:space="preserve">En la fábula de los ciegos y el elefante, ¿cuál es el error de cada personaje?</w:t>
      </w:r>
    </w:p>
    <w:p>
      <w:pPr>
        <w:pStyle w:val="Normal"/>
      </w:pPr>
      <w:r>
        <w:t xml:space="preserve">a) Describir mal la parte que toca</w:t>
      </w:r>
    </w:p>
    <w:p>
      <w:pPr>
        <w:pStyle w:val="Normal"/>
      </w:pPr>
      <w:r>
        <w:t xml:space="preserve">b) Tomar la parte que toca por el todo</w:t>
      </w:r>
    </w:p>
    <w:p>
      <w:pPr>
        <w:pStyle w:val="Normal"/>
      </w:pPr>
      <w:r>
        <w:t xml:space="preserve">c) Negarse a tocar al elefante</w:t>
      </w:r>
    </w:p>
    <w:p>
      <w:pPr>
        <w:pStyle w:val="Normal"/>
      </w:pPr>
      <w:r>
        <w:t xml:space="preserve">d) Ponerse de acuerdo demasiado rápido</w:t>
      </w:r>
    </w:p>
    <w:p>
      <w:pPr>
        <w:pStyle w:val="Heading3"/>
      </w:pPr>
      <w:bookmarkStart w:name="b_pregunta_u1_12_punto_y_vista" w:id="5910"/>
      <w:r>
        <w:t xml:space="preserve">S1-48 · 1.5 · Perspectivas</w:t>
      </w:r>
      <w:bookmarkEnd w:id="5910"/>
    </w:p>
    <w:p>
      <w:pPr>
        <w:pStyle w:val="Normal"/>
      </w:pPr>
      <w:r>
        <w:t xml:space="preserve">¿Qué afirmaciones sobre el par punto/vista son correctas?</w:t>
      </w:r>
    </w:p>
    <w:p>
      <w:pPr>
        <w:pStyle w:val="Normal"/>
      </w:pPr>
      <w:r>
        <w:t xml:space="preserve">a) Cambiar el punto desde el que se observa cambia la vista</w:t>
      </w:r>
    </w:p>
    <w:p>
      <w:pPr>
        <w:pStyle w:val="Normal"/>
      </w:pPr>
      <w:r>
        <w:t xml:space="preserve">b) Dos vistas distintas de la misma cosa prueban que una de las dos miente</w:t>
      </w:r>
    </w:p>
    <w:p>
      <w:pPr>
        <w:pStyle w:val="Normal"/>
      </w:pPr>
      <w:r>
        <w:t xml:space="preserve">c) Una perspectiva puede ser fiel a su parte y errónea si pretende explicar el todo</w:t>
      </w:r>
    </w:p>
    <w:p>
      <w:pPr>
        <w:pStyle w:val="Normal"/>
      </w:pPr>
      <w:r>
        <w:t xml:space="preserve">d) La perspectiva es independiente de quién observa</w:t>
      </w:r>
    </w:p>
    <w:p>
      <w:pPr>
        <w:pStyle w:val="Heading3"/>
      </w:pPr>
      <w:r>
        <w:t xml:space="preserve">Tema 1.6 · Operaciones DSRP</w:t>
      </w:r>
    </w:p>
    <w:p>
      <w:pPr>
        <w:pStyle w:val="Heading3"/>
      </w:pPr>
      <w:bookmarkStart w:name="b_pregunta_cmp_12_dsrp_ordenar" w:id="5911"/>
      <w:r>
        <w:t xml:space="preserve">S1-49 · 1.6 · Operaciones DSRP</w:t>
      </w:r>
      <w:bookmarkEnd w:id="5911"/>
    </w:p>
    <w:p>
      <w:pPr>
        <w:pStyle w:val="Normal"/>
      </w:pPr>
      <w:r>
        <w:t xml:space="preserve">Ordene las cuatro operaciones DSRP tal como las nombra el acrónimo.</w:t>
      </w:r>
    </w:p>
    <w:p>
      <w:pPr>
        <w:pStyle w:val="Normal"/>
      </w:pPr>
      <w:r>
        <w:t xml:space="preserve">a) Relaciones</w:t>
      </w:r>
    </w:p>
    <w:p>
      <w:pPr>
        <w:pStyle w:val="Normal"/>
      </w:pPr>
      <w:r>
        <w:t xml:space="preserve">b) Distinciones</w:t>
      </w:r>
    </w:p>
    <w:p>
      <w:pPr>
        <w:pStyle w:val="Normal"/>
      </w:pPr>
      <w:r>
        <w:t xml:space="preserve">c) Perspectivas</w:t>
      </w:r>
    </w:p>
    <w:p>
      <w:pPr>
        <w:pStyle w:val="Normal"/>
      </w:pPr>
      <w:r>
        <w:t xml:space="preserve">d) Sistemas</w:t>
      </w:r>
    </w:p>
    <w:p>
      <w:pPr>
        <w:pStyle w:val="Heading3"/>
      </w:pPr>
      <w:bookmarkStart w:name="b_pregunta_cmp_13_dsrp_clasificar" w:id="5912"/>
      <w:r>
        <w:t xml:space="preserve">S1-50 · 1.6 · Operaciones DSRP</w:t>
      </w:r>
      <w:bookmarkEnd w:id="5912"/>
    </w:p>
    <w:p>
      <w:pPr>
        <w:pStyle w:val="Normal"/>
      </w:pPr>
      <w:r>
        <w:t xml:space="preserve">Reparta cada pregunta de trabajo entre las dos operaciones indicadas.</w:t>
      </w:r>
    </w:p>
    <w:p>
      <w:pPr>
        <w:pStyle w:val="Normal"/>
      </w:pPr>
      <w:r>
        <w:t xml:space="preserve">a) Destinos: Distinciones; Relaciones</w:t>
      </w:r>
    </w:p>
    <w:p>
      <w:pPr>
        <w:pStyle w:val="Normal"/>
      </w:pPr>
      <w:r>
        <w:t xml:space="preserve">b) ¿Qué es esto y qué no es?</w:t>
      </w:r>
    </w:p>
    <w:p>
      <w:pPr>
        <w:pStyle w:val="Normal"/>
      </w:pPr>
      <w:r>
        <w:t xml:space="preserve">c) ¿Dónde termina lo que estoy estudiando?</w:t>
      </w:r>
    </w:p>
    <w:p>
      <w:pPr>
        <w:pStyle w:val="Normal"/>
      </w:pPr>
      <w:r>
        <w:t xml:space="preserve">d) ¿Qué se conecta con qué y en qué dirección?</w:t>
      </w:r>
    </w:p>
    <w:p>
      <w:pPr>
        <w:pStyle w:val="Normal"/>
      </w:pPr>
      <w:r>
        <w:t xml:space="preserve">e) ¿Qué pasa aquí si cambia aquello?</w:t>
      </w:r>
    </w:p>
    <w:p>
      <w:pPr>
        <w:pStyle w:val="Heading3"/>
      </w:pPr>
      <w:bookmarkStart w:name="b_pregunta_cmp_14_dsrp_iterativo" w:id="5913"/>
      <w:r>
        <w:t xml:space="preserve">S1-51 · 1.6 · Operaciones DSRP</w:t>
      </w:r>
      <w:bookmarkEnd w:id="5913"/>
    </w:p>
    <w:p>
      <w:pPr>
        <w:pStyle w:val="Normal"/>
      </w:pPr>
      <w:r>
        <w:t xml:space="preserve">¿Por qué DSRP no se aplica como una lista de cuatro pasos que se recorre una vez?</w:t>
      </w:r>
    </w:p>
    <w:p>
      <w:pPr>
        <w:pStyle w:val="Normal"/>
      </w:pPr>
      <w:r>
        <w:t xml:space="preserve">a) Porque el orden correcto es el inverso</w:t>
      </w:r>
    </w:p>
    <w:p>
      <w:pPr>
        <w:pStyle w:val="Normal"/>
      </w:pPr>
      <w:r>
        <w:t xml:space="preserve">b) Porque cada operación modifica el resultado de las otras: cambiar la frontera cambia las partes, y cambiar de observador puede revelar un subsistema que antes no aparecía</w:t>
      </w:r>
    </w:p>
    <w:p>
      <w:pPr>
        <w:pStyle w:val="Normal"/>
      </w:pPr>
      <w:r>
        <w:t xml:space="preserve">c) Porque sólo se usan dos a la vez</w:t>
      </w:r>
    </w:p>
    <w:p>
      <w:pPr>
        <w:pStyle w:val="Normal"/>
      </w:pPr>
      <w:r>
        <w:t xml:space="preserve">d) Porque el método no admite repetición</w:t>
      </w:r>
    </w:p>
    <w:p>
      <w:pPr>
        <w:pStyle w:val="Heading3"/>
      </w:pPr>
      <w:bookmarkStart w:name="b_pregunta_p1_bosque_distincion" w:id="5914"/>
      <w:r>
        <w:t xml:space="preserve">S1-52 · 1.6 · Operaciones DSRP</w:t>
      </w:r>
      <w:bookmarkEnd w:id="5914"/>
    </w:p>
    <w:p>
      <w:pPr>
        <w:pStyle w:val="Normal"/>
      </w:pPr>
      <w:r>
        <w:t xml:space="preserve">¿Qué hace D al comenzar el modelo del bosque de la presentación?</w:t>
      </w:r>
    </w:p>
    <w:p>
      <w:pPr>
        <w:pStyle w:val="Normal"/>
      </w:pPr>
      <w:r>
        <w:t xml:space="preserve">a) Calcula automáticamente su valor monetario</w:t>
      </w:r>
    </w:p>
    <w:p>
      <w:pPr>
        <w:pStyle w:val="Normal"/>
      </w:pPr>
      <w:r>
        <w:t xml:space="preserve">b) Confunde toda la biosfera con una sola parte interna</w:t>
      </w:r>
    </w:p>
    <w:p>
      <w:pPr>
        <w:pStyle w:val="Normal"/>
      </w:pPr>
      <w:r>
        <w:t xml:space="preserve">c) Demuestra que no existe nada fuera de la frontera</w:t>
      </w:r>
    </w:p>
    <w:p>
      <w:pPr>
        <w:pStyle w:val="Normal"/>
      </w:pPr>
      <w:r>
        <w:t xml:space="preserve">d) Distingue un ecosistema terrestre de seres vivos interconectados con entorno común</w:t>
      </w:r>
    </w:p>
    <w:p>
      <w:pPr>
        <w:pStyle w:val="Heading3"/>
      </w:pPr>
      <w:bookmarkStart w:name="b_pregunta_p1_bosque_intercambios" w:id="5915"/>
      <w:r>
        <w:t xml:space="preserve">S1-53 · 1.6 · Operaciones DSRP</w:t>
      </w:r>
      <w:bookmarkEnd w:id="5915"/>
    </w:p>
    <w:p>
      <w:pPr>
        <w:pStyle w:val="Normal"/>
      </w:pPr>
      <w:r>
        <w:t xml:space="preserve">¿Qué lectura de entradas y salidas del bosque respeta el recorte de la lámina?</w:t>
      </w:r>
    </w:p>
    <w:p>
      <w:pPr>
        <w:pStyle w:val="Normal"/>
      </w:pPr>
      <w:r>
        <w:t xml:space="preserve">a) Entran sólo animales y no sale nada</w:t>
      </w:r>
    </w:p>
    <w:p>
      <w:pPr>
        <w:pStyle w:val="Normal"/>
      </w:pPr>
      <w:r>
        <w:t xml:space="preserve">b) Todos los efectos de regulación son corrientes de materia</w:t>
      </w:r>
    </w:p>
    <w:p>
      <w:pPr>
        <w:pStyle w:val="Normal"/>
      </w:pPr>
      <w:r>
        <w:t xml:space="preserve">c) Entran luz, lluvia, CO</w:t>
      </w:r>
      <w:r>
        <w:rPr>
          <w:vertAlign w:val="subscript"/>
        </w:rPr>
        <w:t xml:space="preserve">2</w:t>
      </w:r>
      <w:r>
        <w:t xml:space="preserve"> y nutrientes; se consideran oxígeno, biomasa y efectos de regulación como salidas</w:t>
      </w:r>
    </w:p>
    <w:p>
      <w:pPr>
        <w:pStyle w:val="Normal"/>
      </w:pPr>
      <w:r>
        <w:t xml:space="preserve">d) Bioma y ecosfera son flujos que entran por la frontera</w:t>
      </w:r>
    </w:p>
    <w:p>
      <w:pPr>
        <w:pStyle w:val="Heading3"/>
      </w:pPr>
      <w:bookmarkStart w:name="b_pregunta_p1_bosque_partes" w:id="5916"/>
      <w:r>
        <w:t xml:space="preserve">S1-54 · 1.6 · Operaciones DSRP</w:t>
      </w:r>
      <w:bookmarkEnd w:id="5916"/>
    </w:p>
    <w:p>
      <w:pPr>
        <w:pStyle w:val="Normal"/>
      </w:pPr>
      <w:r>
        <w:t xml:space="preserve">¿Qué inventario corresponde a las partes internas del bosque en la página 39?</w:t>
      </w:r>
    </w:p>
    <w:p>
      <w:pPr>
        <w:pStyle w:val="Normal"/>
      </w:pPr>
      <w:r>
        <w:t xml:space="preserve">a) Flora, fauna y microorganismos organizados en productores, consumidores y descomponedores</w:t>
      </w:r>
    </w:p>
    <w:p>
      <w:pPr>
        <w:pStyle w:val="Normal"/>
      </w:pPr>
      <w:r>
        <w:t xml:space="preserve">b) Atmósfera global, ciudades y bioma como únicos componentes internos</w:t>
      </w:r>
    </w:p>
    <w:p>
      <w:pPr>
        <w:pStyle w:val="Normal"/>
      </w:pPr>
      <w:r>
        <w:t xml:space="preserve">c) Sólo árboles, sin otros seres vivos ni relaciones</w:t>
      </w:r>
    </w:p>
    <w:p>
      <w:pPr>
        <w:pStyle w:val="Normal"/>
      </w:pPr>
      <w:r>
        <w:t xml:space="preserve">d) Únicamente las personas que obtienen ingresos</w:t>
      </w:r>
    </w:p>
    <w:p>
      <w:pPr>
        <w:pStyle w:val="Heading3"/>
      </w:pPr>
      <w:bookmarkStart w:name="b_pregunta_p1_bosque_relaciones" w:id="5917"/>
      <w:r>
        <w:t xml:space="preserve">S1-55 · 1.6 · Operaciones DSRP</w:t>
      </w:r>
      <w:bookmarkEnd w:id="5917"/>
    </w:p>
    <w:p>
      <w:pPr>
        <w:pStyle w:val="Normal"/>
      </w:pPr>
      <w:r>
        <w:t xml:space="preserve">¿Qué secuencia describe relaciones que cierran ciclos de materia en el bosque?</w:t>
      </w:r>
    </w:p>
    <w:p>
      <w:pPr>
        <w:pStyle w:val="Normal"/>
      </w:pPr>
      <w:r>
        <w:t xml:space="preserve">a) Producción sin consumo y desaparición de los nutrientes</w:t>
      </w:r>
    </w:p>
    <w:p>
      <w:pPr>
        <w:pStyle w:val="Normal"/>
      </w:pPr>
      <w:r>
        <w:t xml:space="preserve">b) Fotosíntesis, consumo por herbívoros y carnívoros, descomposición y retorno de nutrientes</w:t>
      </w:r>
    </w:p>
    <w:p>
      <w:pPr>
        <w:pStyle w:val="Normal"/>
      </w:pPr>
      <w:r>
        <w:t xml:space="preserve">c) Ingreso de energía y reciclaje completo de toda esa energía</w:t>
      </w:r>
    </w:p>
    <w:p>
      <w:pPr>
        <w:pStyle w:val="Normal"/>
      </w:pPr>
      <w:r>
        <w:t xml:space="preserve">d) Sólo enumerar flora, fauna y microorganismos</w:t>
      </w:r>
    </w:p>
    <w:p>
      <w:pPr>
        <w:pStyle w:val="Heading3"/>
      </w:pPr>
      <w:bookmarkStart w:name="b_pregunta_p1_editor_punto_vista" w:id="5918"/>
      <w:r>
        <w:t xml:space="preserve">S1-56 · 1.6 · Operaciones DSRP</w:t>
      </w:r>
      <w:bookmarkEnd w:id="5918"/>
    </w:p>
    <w:p>
      <w:pPr>
        <w:pStyle w:val="Normal"/>
      </w:pPr>
      <w:r>
        <w:t xml:space="preserve">Un editor evalúa un coloquialismo. ¿Cuál es la asignación correcta en P de DSRP?</w:t>
      </w:r>
    </w:p>
    <w:p>
      <w:pPr>
        <w:pStyle w:val="Normal"/>
      </w:pPr>
      <w:r>
        <w:t xml:space="preserve">a) Editor: vista; coloquialismo: punto</w:t>
      </w:r>
    </w:p>
    <w:p>
      <w:pPr>
        <w:pStyle w:val="Normal"/>
      </w:pPr>
      <w:r>
        <w:t xml:space="preserve">b) Ambos son el punto y nada es observado</w:t>
      </w:r>
    </w:p>
    <w:p>
      <w:pPr>
        <w:pStyle w:val="Normal"/>
      </w:pPr>
      <w:r>
        <w:t xml:space="preserve">c) Editor: punto; coloquialismo observado: vista</w:t>
      </w:r>
    </w:p>
    <w:p>
      <w:pPr>
        <w:pStyle w:val="Normal"/>
      </w:pPr>
      <w:r>
        <w:t xml:space="preserve">d) El punto es siempre una ubicación física y no un rol</w:t>
      </w:r>
    </w:p>
    <w:p>
      <w:pPr>
        <w:pStyle w:val="Heading3"/>
      </w:pPr>
      <w:bookmarkStart w:name="b_pregunta_p1_incognita_reconocida" w:id="5919"/>
      <w:r>
        <w:t xml:space="preserve">S1-57 · 1.6 · Operaciones DSRP</w:t>
      </w:r>
      <w:bookmarkEnd w:id="5919"/>
    </w:p>
    <w:p>
      <w:pPr>
        <w:pStyle w:val="Normal"/>
      </w:pPr>
      <w:r>
        <w:t xml:space="preserve">Sabemos que falta un factor en el modelo, pero ignoramos sus detalles. ¿Qué admite la clase 7?</w:t>
      </w:r>
    </w:p>
    <w:p>
      <w:pPr>
        <w:pStyle w:val="Normal"/>
      </w:pPr>
      <w:r>
        <w:t xml:space="preserve">a) Inventar sus valores para dar el modelo por terminado</w:t>
      </w:r>
    </w:p>
    <w:p>
      <w:pPr>
        <w:pStyle w:val="Normal"/>
      </w:pPr>
      <w:r>
        <w:t xml:space="preserve">b) Ocultarlo hasta tener certeza completa</w:t>
      </w:r>
    </w:p>
    <w:p>
      <w:pPr>
        <w:pStyle w:val="Normal"/>
      </w:pPr>
      <w:r>
        <w:t xml:space="preserve">c) Aplicar una fórmula cuantitativa de incertidumbre desarrollada en esa sesión</w:t>
      </w:r>
    </w:p>
    <w:p>
      <w:pPr>
        <w:pStyle w:val="Normal"/>
      </w:pPr>
      <w:r>
        <w:t xml:space="preserve">d) Representarlo como referencia general pendiente y recopilar datos para ampliar el modelo</w:t>
      </w:r>
    </w:p>
    <w:p>
      <w:pPr>
        <w:pStyle w:val="Heading3"/>
      </w:pPr>
      <w:bookmarkStart w:name="b_pregunta_u1_13_dsrp_emparejar" w:id="5920"/>
      <w:r>
        <w:t xml:space="preserve">S1-58 · 1.6 · Operaciones DSRP</w:t>
      </w:r>
      <w:bookmarkEnd w:id="5920"/>
    </w:p>
    <w:p>
      <w:pPr>
        <w:pStyle w:val="Normal"/>
      </w:pPr>
      <w:r>
        <w:t xml:space="preserve">Relacione cada operación de DSRP con la pregunta de trabajo que la activa.</w:t>
      </w:r>
    </w:p>
    <w:p>
      <w:pPr>
        <w:pStyle w:val="Normal"/>
      </w:pPr>
      <w:r>
        <w:t xml:space="preserve">a) Fila: Distinciones</w:t>
      </w:r>
    </w:p>
    <w:p>
      <w:pPr>
        <w:pStyle w:val="Normal"/>
      </w:pPr>
      <w:r>
        <w:t xml:space="preserve">b) Fila: Sistemas</w:t>
      </w:r>
    </w:p>
    <w:p>
      <w:pPr>
        <w:pStyle w:val="Normal"/>
      </w:pPr>
      <w:r>
        <w:t xml:space="preserve">c) Fila: Relaciones</w:t>
      </w:r>
    </w:p>
    <w:p>
      <w:pPr>
        <w:pStyle w:val="Normal"/>
      </w:pPr>
      <w:r>
        <w:t xml:space="preserve">d) Fila: Perspectivas</w:t>
      </w:r>
    </w:p>
    <w:p>
      <w:pPr>
        <w:pStyle w:val="Normal"/>
      </w:pPr>
      <w:r>
        <w:t xml:space="preserve">e) a) ¿Qué es esto y qué no es?</w:t>
      </w:r>
    </w:p>
    <w:p>
      <w:pPr>
        <w:pStyle w:val="Normal"/>
      </w:pPr>
      <w:r>
        <w:t xml:space="preserve">f) b) ¿De qué partes consta y de qué totalidad forma parte?</w:t>
      </w:r>
    </w:p>
    <w:p>
      <w:pPr>
        <w:pStyle w:val="Normal"/>
      </w:pPr>
      <w:r>
        <w:t xml:space="preserve">g) c) ¿Qué se conecta con qué y en qué dirección?</w:t>
      </w:r>
    </w:p>
    <w:p>
      <w:pPr>
        <w:pStyle w:val="Normal"/>
      </w:pPr>
      <w:r>
        <w:t xml:space="preserve">h) d) ¿Quién observa y desde dónde?</w:t>
      </w:r>
    </w:p>
    <w:p>
      <w:pPr>
        <w:pStyle w:val="Normal"/>
      </w:pPr>
      <w:r>
        <w:t xml:space="preserve">i) e) ¿Cuánto mide y con qué unidad se expresa?</w:t>
      </w:r>
    </w:p>
    <w:p>
      <w:pPr>
        <w:pStyle w:val="Heading3"/>
      </w:pPr>
      <w:bookmarkStart w:name="b_pregunta_u1_14_dsrp_emergente" w:id="5921"/>
      <w:r>
        <w:t xml:space="preserve">S1-59 · 1.6 · Operaciones DSRP</w:t>
      </w:r>
      <w:bookmarkEnd w:id="5921"/>
    </w:p>
    <w:p>
      <w:pPr>
        <w:pStyle w:val="Normal"/>
      </w:pPr>
      <w:r>
        <w:t xml:space="preserve">El curso presenta el pensamiento sistémico como una propiedad emergente de DSRP. ¿Qué significa eso?</w:t>
      </w:r>
    </w:p>
    <w:p>
      <w:pPr>
        <w:pStyle w:val="Normal"/>
      </w:pPr>
      <w:r>
        <w:t xml:space="preserve">a) Que basta con memorizar las cuatro reglas</w:t>
      </w:r>
    </w:p>
    <w:p>
      <w:pPr>
        <w:pStyle w:val="Normal"/>
      </w:pPr>
      <w:r>
        <w:t xml:space="preserve">b) Que aparece al aplicar reiteradamente las cuatro operaciones, y no está en ninguna de ellas por separado</w:t>
      </w:r>
    </w:p>
    <w:p>
      <w:pPr>
        <w:pStyle w:val="Normal"/>
      </w:pPr>
      <w:r>
        <w:t xml:space="preserve">c) Que DSRP sustituye al pensamiento sistémico</w:t>
      </w:r>
    </w:p>
    <w:p>
      <w:pPr>
        <w:pStyle w:val="Normal"/>
      </w:pPr>
      <w:r>
        <w:t xml:space="preserve">d) Que sólo emerge en sistemas naturales</w:t>
      </w:r>
    </w:p>
    <w:p>
      <w:pPr>
        <w:pStyle w:val="Heading3"/>
      </w:pPr>
      <w:r>
        <w:t xml:space="preserve">Tema 1.7 · Niveles — modelo del iceberg</w:t>
      </w:r>
    </w:p>
    <w:p>
      <w:pPr>
        <w:pStyle w:val="Heading3"/>
      </w:pPr>
      <w:bookmarkStart w:name="b_pregunta_cmp_15_iceberg_arrastrar" w:id="5922"/>
      <w:r>
        <w:t xml:space="preserve">S1-60 · 1.7 · Niveles — modelo del iceberg</w:t>
      </w:r>
      <w:bookmarkEnd w:id="5922"/>
    </w:p>
    <w:p>
      <w:pPr>
        <w:pStyle w:val="Normal"/>
      </w:pPr>
      <w:r>
        <w:t xml:space="preserve">Ubique cada observación en el nivel del iceberg que le corresponde.</w:t>
      </w:r>
    </w:p>
    <w:p>
      <w:pPr>
        <w:pStyle w:val="Normal"/>
      </w:pPr>
      <w:r>
        <w:t xml:space="preserve">a) Destinos: Eventos; Patrones y tendencias; Estructuras sistémicas; Modelos mentales</w:t>
      </w:r>
    </w:p>
    <w:p>
      <w:pPr>
        <w:pStyle w:val="Normal"/>
      </w:pPr>
      <w:r>
        <w:t xml:space="preserve">b) «Hoy falló la entrega del pedido»</w:t>
      </w:r>
    </w:p>
    <w:p>
      <w:pPr>
        <w:pStyle w:val="Normal"/>
      </w:pPr>
      <w:r>
        <w:t xml:space="preserve">c) «Falla cada fin de mes desde hace tres meses»</w:t>
      </w:r>
    </w:p>
    <w:p>
      <w:pPr>
        <w:pStyle w:val="Normal"/>
      </w:pPr>
      <w:r>
        <w:t xml:space="preserve">d) «El cierre contable y el pico de pedidos caen en la misma semana y compiten por el mismo equipo»</w:t>
      </w:r>
    </w:p>
    <w:p>
      <w:pPr>
        <w:pStyle w:val="Normal"/>
      </w:pPr>
      <w:r>
        <w:t xml:space="preserve">e) «Pedir ayuda a otra área es reconocer que no damos la talla»</w:t>
      </w:r>
    </w:p>
    <w:p>
      <w:pPr>
        <w:pStyle w:val="Normal"/>
      </w:pPr>
      <w:r>
        <w:t xml:space="preserve">f) «Los reclamos suben siempre en la semana del cierre»</w:t>
      </w:r>
    </w:p>
    <w:p>
      <w:pPr>
        <w:pStyle w:val="Heading3"/>
      </w:pPr>
      <w:bookmarkStart w:name="b_pregunta_cmp_16_iceberg_linea_4c7983c8" w:id="5923"/>
      <w:r>
        <w:t xml:space="preserve">S1-61 · 1.7 · Niveles — modelo del iceberg</w:t>
      </w:r>
      <w:bookmarkEnd w:id="5923"/>
    </w:p>
    <w:p>
      <w:pPr>
        <w:pStyle w:val="Normal"/>
      </w:pPr>
      <w:r>
        <w:t xml:space="preserve">¿Qué separa la línea de flotación del iceberg?</w:t>
      </w:r>
    </w:p>
    <w:p>
      <w:pPr>
        <w:pStyle w:val="Normal"/>
      </w:pPr>
      <w:r>
        <w:t xml:space="preserve">a) Lo importante de lo accesorio</w:t>
      </w:r>
    </w:p>
    <w:p>
      <w:pPr>
        <w:pStyle w:val="Normal"/>
      </w:pPr>
      <w:r>
        <w:t xml:space="preserve">b) Lo que se observa directamente de lo que hay que inferir a partir de varias observaciones</w:t>
      </w:r>
    </w:p>
    <w:p>
      <w:pPr>
        <w:pStyle w:val="Normal"/>
      </w:pPr>
      <w:r>
        <w:t xml:space="preserve">c) Lo urgente de lo que puede esperar</w:t>
      </w:r>
    </w:p>
    <w:p>
      <w:pPr>
        <w:pStyle w:val="Normal"/>
      </w:pPr>
      <w:r>
        <w:t xml:space="preserve">d) Lo cuantitativo de lo cualitativo</w:t>
      </w:r>
    </w:p>
    <w:p>
      <w:pPr>
        <w:pStyle w:val="Heading3"/>
      </w:pPr>
      <w:bookmarkStart w:name="b_pregunta_p1_instrumento_nivel" w:id="5924"/>
      <w:r>
        <w:t xml:space="preserve">S1-62 · 1.7 · Niveles — modelo del iceberg</w:t>
      </w:r>
      <w:bookmarkEnd w:id="5924"/>
    </w:p>
    <w:p>
      <w:pPr>
        <w:pStyle w:val="Normal"/>
      </w:pPr>
      <w:r>
        <w:t xml:space="preserve">¿Qué combinación de instrumentos corresponde al recorrido del iceberg de clase 4?</w:t>
      </w:r>
    </w:p>
    <w:p>
      <w:pPr>
        <w:pStyle w:val="Normal"/>
      </w:pPr>
      <w:r>
        <w:t xml:space="preserve">a) Eventos: cuantitativos; tendencias: mixtos; estructuras: cualitativos; modelos mentales: diálogo</w:t>
      </w:r>
    </w:p>
    <w:p>
      <w:pPr>
        <w:pStyle w:val="Normal"/>
      </w:pPr>
      <w:r>
        <w:t xml:space="preserve">b) Todos los niveles requieren sólo contar eventos</w:t>
      </w:r>
    </w:p>
    <w:p>
      <w:pPr>
        <w:pStyle w:val="Normal"/>
      </w:pPr>
      <w:r>
        <w:t xml:space="preserve">c) Modelos mentales: termómetro; estructuras: sólo votación</w:t>
      </w:r>
    </w:p>
    <w:p>
      <w:pPr>
        <w:pStyle w:val="Normal"/>
      </w:pPr>
      <w:r>
        <w:t xml:space="preserve">d) Eventos: únicamente creencias; tendencias: sin datos temporales</w:t>
      </w:r>
    </w:p>
    <w:p>
      <w:pPr>
        <w:pStyle w:val="Heading3"/>
      </w:pPr>
      <w:bookmarkStart w:name="b_pregunta_u1_15_iceberg_orden" w:id="5925"/>
      <w:r>
        <w:t xml:space="preserve">S1-63 · 1.7 · Niveles — modelo del iceberg</w:t>
      </w:r>
      <w:bookmarkEnd w:id="5925"/>
    </w:p>
    <w:p>
      <w:pPr>
        <w:pStyle w:val="Normal"/>
      </w:pPr>
      <w:r>
        <w:t xml:space="preserve">Ordene los cuatro niveles del iceberg, del más visible al más profundo.</w:t>
      </w:r>
    </w:p>
    <w:p>
      <w:pPr>
        <w:pStyle w:val="Normal"/>
      </w:pPr>
      <w:r>
        <w:t xml:space="preserve">a) Estructuras sistémicas</w:t>
      </w:r>
    </w:p>
    <w:p>
      <w:pPr>
        <w:pStyle w:val="Normal"/>
      </w:pPr>
      <w:r>
        <w:t xml:space="preserve">b) Eventos</w:t>
      </w:r>
    </w:p>
    <w:p>
      <w:pPr>
        <w:pStyle w:val="Normal"/>
      </w:pPr>
      <w:r>
        <w:t xml:space="preserve">c) Modelos mentales</w:t>
      </w:r>
    </w:p>
    <w:p>
      <w:pPr>
        <w:pStyle w:val="Normal"/>
      </w:pPr>
      <w:r>
        <w:t xml:space="preserve">d) Patrones y tendencias</w:t>
      </w:r>
    </w:p>
    <w:p>
      <w:pPr>
        <w:pStyle w:val="Heading3"/>
      </w:pPr>
      <w:bookmarkStart w:name="b_pregunta_u1_16_iceberg_posturas" w:id="5926"/>
      <w:r>
        <w:t xml:space="preserve">S1-64 · 1.7 · Niveles — modelo del iceberg</w:t>
      </w:r>
      <w:bookmarkEnd w:id="5926"/>
    </w:p>
    <w:p>
      <w:pPr>
        <w:pStyle w:val="Normal"/>
      </w:pPr>
      <w:r>
        <w:t xml:space="preserve">Relacione cada nivel del iceberg con la postura que habilita.</w:t>
      </w:r>
    </w:p>
    <w:p>
      <w:pPr>
        <w:pStyle w:val="Normal"/>
      </w:pPr>
      <w:r>
        <w:t xml:space="preserve">a) Fila: Eventos</w:t>
      </w:r>
    </w:p>
    <w:p>
      <w:pPr>
        <w:pStyle w:val="Normal"/>
      </w:pPr>
      <w:r>
        <w:t xml:space="preserve">b) Fila: Patrones y tendencias</w:t>
      </w:r>
    </w:p>
    <w:p>
      <w:pPr>
        <w:pStyle w:val="Normal"/>
      </w:pPr>
      <w:r>
        <w:t xml:space="preserve">c) Fila: Estructuras sistémicas</w:t>
      </w:r>
    </w:p>
    <w:p>
      <w:pPr>
        <w:pStyle w:val="Normal"/>
      </w:pPr>
      <w:r>
        <w:t xml:space="preserve">d) Fila: Modelos mentales</w:t>
      </w:r>
    </w:p>
    <w:p>
      <w:pPr>
        <w:pStyle w:val="Normal"/>
      </w:pPr>
      <w:r>
        <w:t xml:space="preserve">e) a) Reaccionar</w:t>
      </w:r>
    </w:p>
    <w:p>
      <w:pPr>
        <w:pStyle w:val="Normal"/>
      </w:pPr>
      <w:r>
        <w:t xml:space="preserve">f) b) Anticipar</w:t>
      </w:r>
    </w:p>
    <w:p>
      <w:pPr>
        <w:pStyle w:val="Normal"/>
      </w:pPr>
      <w:r>
        <w:t xml:space="preserve">g) c) Diseñar o rediseñar</w:t>
      </w:r>
    </w:p>
    <w:p>
      <w:pPr>
        <w:pStyle w:val="Normal"/>
      </w:pPr>
      <w:r>
        <w:t xml:space="preserve">h) d) Transformar</w:t>
      </w:r>
    </w:p>
    <w:p>
      <w:pPr>
        <w:pStyle w:val="Normal"/>
      </w:pPr>
      <w:r>
        <w:t xml:space="preserve">i) e) Delegar</w:t>
      </w:r>
    </w:p>
    <w:p>
      <w:pPr>
        <w:pStyle w:val="Heading3"/>
      </w:pPr>
      <w:bookmarkStart w:name="b_pregunta_u1_17_apalancamiento" w:id="5927"/>
      <w:r>
        <w:t xml:space="preserve">S1-65 · 1.7 · Niveles — modelo del iceberg</w:t>
      </w:r>
      <w:bookmarkEnd w:id="5927"/>
    </w:p>
    <w:p>
      <w:pPr>
        <w:pStyle w:val="Normal"/>
      </w:pPr>
      <w:r>
        <w:t xml:space="preserve">Un equipo lleva tres trimestres apagando la misma clase de incendio. ¿Qué indica eso en términos del iceberg?</w:t>
      </w:r>
    </w:p>
    <w:p>
      <w:pPr>
        <w:pStyle w:val="Normal"/>
      </w:pPr>
      <w:r>
        <w:t xml:space="preserve">a) Que el equipo es poco eficiente reaccionando</w:t>
      </w:r>
    </w:p>
    <w:p>
      <w:pPr>
        <w:pStyle w:val="Normal"/>
      </w:pPr>
      <w:r>
        <w:t xml:space="preserve">b) Que se está interviniendo en el nivel de los eventos mientras la estructura que los produce sigue intacta</w:t>
      </w:r>
    </w:p>
    <w:p>
      <w:pPr>
        <w:pStyle w:val="Normal"/>
      </w:pPr>
      <w:r>
        <w:t xml:space="preserve">c) Que los modelos mentales son correctos</w:t>
      </w:r>
    </w:p>
    <w:p>
      <w:pPr>
        <w:pStyle w:val="Normal"/>
      </w:pPr>
      <w:r>
        <w:t xml:space="preserve">d) Que hace falta más personal</w:t>
      </w:r>
    </w:p>
    <w:p>
      <w:pPr>
        <w:pStyle w:val="Heading3"/>
      </w:pPr>
      <w:r>
        <w:t xml:space="preserve">Tema 1.8 · Hábitos del pensador</w:t>
      </w:r>
    </w:p>
    <w:p>
      <w:pPr>
        <w:pStyle w:val="Heading3"/>
      </w:pPr>
      <w:bookmarkStart w:name="b_pregunta_cmp_17_habitos_emparejar" w:id="5928"/>
      <w:r>
        <w:t xml:space="preserve">S1-66 · 1.8 · Hábitos del pensador</w:t>
      </w:r>
      <w:bookmarkEnd w:id="5928"/>
    </w:p>
    <w:p>
      <w:pPr>
        <w:pStyle w:val="Normal"/>
      </w:pPr>
      <w:r>
        <w:t xml:space="preserve">Relacione cada hábito con la operación que propone.</w:t>
      </w:r>
    </w:p>
    <w:p>
      <w:pPr>
        <w:pStyle w:val="Normal"/>
      </w:pPr>
      <w:r>
        <w:t xml:space="preserve">a) Fila: Observa patrones en el tiempo</w:t>
      </w:r>
    </w:p>
    <w:p>
      <w:pPr>
        <w:pStyle w:val="Normal"/>
      </w:pPr>
      <w:r>
        <w:t xml:space="preserve">b) Fila: Reconoce las demoras</w:t>
      </w:r>
    </w:p>
    <w:p>
      <w:pPr>
        <w:pStyle w:val="Normal"/>
      </w:pPr>
      <w:r>
        <w:t xml:space="preserve">c) Fila: Atiende las acumulaciones</w:t>
      </w:r>
    </w:p>
    <w:p>
      <w:pPr>
        <w:pStyle w:val="Normal"/>
      </w:pPr>
      <w:r>
        <w:t xml:space="preserve">d) a) Mirar la serie completa en vez del último dato</w:t>
      </w:r>
    </w:p>
    <w:p>
      <w:pPr>
        <w:pStyle w:val="Normal"/>
      </w:pPr>
      <w:r>
        <w:t xml:space="preserve">e) b) Contar con que entre la acción y su efecto puede pasar bastante tiempo</w:t>
      </w:r>
    </w:p>
    <w:p>
      <w:pPr>
        <w:pStyle w:val="Normal"/>
      </w:pPr>
      <w:r>
        <w:t xml:space="preserve">f) c) Distinguir lo que se acumula de la velocidad a la que entra o sale</w:t>
      </w:r>
    </w:p>
    <w:p>
      <w:pPr>
        <w:pStyle w:val="Normal"/>
      </w:pPr>
      <w:r>
        <w:t xml:space="preserve">g) d) Buscar el acuerdo del grupo antes de decidir</w:t>
      </w:r>
    </w:p>
    <w:p>
      <w:pPr>
        <w:pStyle w:val="Heading3"/>
      </w:pPr>
      <w:bookmarkStart w:name="b_pregunta_cmp_18_habito_consecuencias" w:id="5929"/>
      <w:r>
        <w:t xml:space="preserve">S1-67 · 1.8 · Hábitos del pensador</w:t>
      </w:r>
      <w:bookmarkEnd w:id="5929"/>
    </w:p>
    <w:p>
      <w:pPr>
        <w:pStyle w:val="Normal"/>
      </w:pPr>
      <w:r>
        <w:t xml:space="preserve">¿Qué añade el hábito «considera las consecuencias de las acciones» a una decisión que ya parece buena?</w:t>
      </w:r>
    </w:p>
    <w:p>
      <w:pPr>
        <w:pStyle w:val="Normal"/>
      </w:pPr>
      <w:r>
        <w:t xml:space="preserve">a) Un cálculo de costo</w:t>
      </w:r>
    </w:p>
    <w:p>
      <w:pPr>
        <w:pStyle w:val="Normal"/>
      </w:pPr>
      <w:r>
        <w:t xml:space="preserve">b) La pregunta por los efectos no buscados y por los que aparecen más tarde o en otra parte del sistema</w:t>
      </w:r>
    </w:p>
    <w:p>
      <w:pPr>
        <w:pStyle w:val="Normal"/>
      </w:pPr>
      <w:r>
        <w:t xml:space="preserve">c) La aprobación de un superior</w:t>
      </w:r>
    </w:p>
    <w:p>
      <w:pPr>
        <w:pStyle w:val="Normal"/>
      </w:pPr>
      <w:r>
        <w:t xml:space="preserve">d) Un plan de comunicación</w:t>
      </w:r>
    </w:p>
    <w:p>
      <w:pPr>
        <w:pStyle w:val="Heading3"/>
      </w:pPr>
      <w:bookmarkStart w:name="b_pregunta_p1_cuatro_habitos" w:id="5930"/>
      <w:r>
        <w:t xml:space="preserve">S1-68 · 1.8 · Hábitos del pensador</w:t>
      </w:r>
      <w:bookmarkEnd w:id="5930"/>
    </w:p>
    <w:p>
      <w:pPr>
        <w:pStyle w:val="Normal"/>
      </w:pPr>
      <w:r>
        <w:t xml:space="preserve">¿Cuál es el núcleo de cuatro hábitos seleccionado en la Unidad 1?</w:t>
      </w:r>
    </w:p>
    <w:p>
      <w:pPr>
        <w:pStyle w:val="Normal"/>
      </w:pPr>
      <w:r>
        <w:t xml:space="preserve">a) Conexiones, demoras, acumulaciones y realimentación como único núcleo</w:t>
      </w:r>
    </w:p>
    <w:p>
      <w:pPr>
        <w:pStyle w:val="Normal"/>
      </w:pPr>
      <w:r>
        <w:t xml:space="preserve">b) Modelos mentales, probar supuestos, cambiar perspectivas y película completa</w:t>
      </w:r>
    </w:p>
    <w:p>
      <w:pPr>
        <w:pStyle w:val="Normal"/>
      </w:pPr>
      <w:r>
        <w:t xml:space="preserve">c) Quince hábitos, contando la introducción como uno más</w:t>
      </w:r>
    </w:p>
    <w:p>
      <w:pPr>
        <w:pStyle w:val="Normal"/>
      </w:pPr>
      <w:r>
        <w:t xml:space="preserve">d) Sólo modelos mentales, perspectivas y conexiones</w:t>
      </w:r>
    </w:p>
    <w:p>
      <w:pPr>
        <w:pStyle w:val="Heading3"/>
      </w:pPr>
      <w:bookmarkStart w:name="b_pregunta_p1_facilitar_modelos" w:id="5931"/>
      <w:r>
        <w:t xml:space="preserve">S1-69 · 1.8 · Hábitos del pensador</w:t>
      </w:r>
      <w:bookmarkEnd w:id="5931"/>
    </w:p>
    <w:p>
      <w:pPr>
        <w:pStyle w:val="Normal"/>
      </w:pPr>
      <w:r>
        <w:t xml:space="preserve">¿Qué pregunta ayuda a otra persona a reconocer la influencia de su modelo mental sobre una decisión?</w:t>
      </w:r>
    </w:p>
    <w:p>
      <w:pPr>
        <w:pStyle w:val="Normal"/>
      </w:pPr>
      <w:r>
        <w:t xml:space="preserve">a) ¿Por qué no aceptas que yo ya conozco tu verdadero motivo?</w:t>
      </w:r>
    </w:p>
    <w:p>
      <w:pPr>
        <w:pStyle w:val="Normal"/>
      </w:pPr>
      <w:r>
        <w:t xml:space="preserve">b) ¿Puedes repetir mi conclusión sin cuestionarla?</w:t>
      </w:r>
    </w:p>
    <w:p>
      <w:pPr>
        <w:pStyle w:val="Normal"/>
      </w:pPr>
      <w:r>
        <w:t xml:space="preserve">c) ¿Qué dato observaste, qué supusiste y cómo orientó eso tu decisión y sus resultados?</w:t>
      </w:r>
    </w:p>
    <w:p>
      <w:pPr>
        <w:pStyle w:val="Normal"/>
      </w:pPr>
      <w:r>
        <w:t xml:space="preserve">d) ¿Qué etiqueta de personalidad explica todo lo que haces?</w:t>
      </w:r>
    </w:p>
    <w:p>
      <w:pPr>
        <w:pStyle w:val="Heading3"/>
      </w:pPr>
      <w:bookmarkStart w:name="b_pregunta_p1_michael_patron" w:id="5932"/>
      <w:r>
        <w:t xml:space="preserve">S1-70 · 1.8 · Hábitos del pensador</w:t>
      </w:r>
      <w:bookmarkEnd w:id="5932"/>
    </w:p>
    <w:p>
      <w:pPr>
        <w:pStyle w:val="Normal"/>
      </w:pPr>
      <w:r>
        <w:t xml:space="preserve">Michael recibe una crítica negativa contra un mesero. ¿Qué hace para buscar la película completa?</w:t>
      </w:r>
    </w:p>
    <w:p>
      <w:pPr>
        <w:pStyle w:val="Normal"/>
      </w:pPr>
      <w:r>
        <w:t xml:space="preserve">a) Lo sanciona inmediatamente para mostrar autoridad</w:t>
      </w:r>
    </w:p>
    <w:p>
      <w:pPr>
        <w:pStyle w:val="Normal"/>
      </w:pPr>
      <w:r>
        <w:t xml:space="preserve">b) Ignora toda crítica porque es una sola opinión</w:t>
      </w:r>
    </w:p>
    <w:p>
      <w:pPr>
        <w:pStyle w:val="Normal"/>
      </w:pPr>
      <w:r>
        <w:t xml:space="preserve">c) Concluye que tres meses de antigüedad prueban que nunca falla</w:t>
      </w:r>
    </w:p>
    <w:p>
      <w:pPr>
        <w:pStyle w:val="Normal"/>
      </w:pPr>
      <w:r>
        <w:t xml:space="preserve">d) Comparte la queja e investiga si es un episodio o un patrón durante el período de trabajo</w:t>
      </w:r>
    </w:p>
    <w:p>
      <w:pPr>
        <w:pStyle w:val="Heading3"/>
      </w:pPr>
      <w:bookmarkStart w:name="b_pregunta_u1_18_habitos_modelo_eee2a9f6" w:id="5933"/>
      <w:r>
        <w:t xml:space="preserve">S1-71 · 1.8 · Hábitos del pensador</w:t>
      </w:r>
      <w:bookmarkEnd w:id="5933"/>
    </w:p>
    <w:p>
      <w:pPr>
        <w:pStyle w:val="Normal"/>
      </w:pPr>
      <w:r>
        <w:t xml:space="preserve">¿Cuáles de estos hábitos del pensador sistémico trabajan directamente sobre los modelos mentales?</w:t>
      </w:r>
    </w:p>
    <w:p>
      <w:pPr>
        <w:pStyle w:val="Normal"/>
      </w:pPr>
      <w:r>
        <w:t xml:space="preserve">a) Considera los modelos mentales</w:t>
      </w:r>
    </w:p>
    <w:p>
      <w:pPr>
        <w:pStyle w:val="Normal"/>
      </w:pPr>
      <w:r>
        <w:t xml:space="preserve">b) Revela y prueba supuestos</w:t>
      </w:r>
    </w:p>
    <w:p>
      <w:pPr>
        <w:pStyle w:val="Normal"/>
      </w:pPr>
      <w:r>
        <w:t xml:space="preserve">c) Reconoce las demoras</w:t>
      </w:r>
    </w:p>
    <w:p>
      <w:pPr>
        <w:pStyle w:val="Normal"/>
      </w:pPr>
      <w:r>
        <w:t xml:space="preserve">d) Cambia de perspectivas</w:t>
      </w:r>
    </w:p>
    <w:p>
      <w:pPr>
        <w:pStyle w:val="Heading3"/>
      </w:pPr>
      <w:bookmarkStart w:name="b_pregunta_u1_19_habito_estructura" w:id="5934"/>
      <w:r>
        <w:t xml:space="preserve">S1-72 · 1.8 · Hábitos del pensador</w:t>
      </w:r>
      <w:bookmarkEnd w:id="5934"/>
    </w:p>
    <w:p>
      <w:pPr>
        <w:pStyle w:val="Normal"/>
      </w:pPr>
      <w:r>
        <w:t xml:space="preserve">«La estructura genera el comportamiento.» ¿Qué exige este hábito al analizar un problema recurrente?</w:t>
      </w:r>
    </w:p>
    <w:p>
      <w:pPr>
        <w:pStyle w:val="Normal"/>
      </w:pPr>
      <w:r>
        <w:t xml:space="preserve">a) Identificar quién se equivocó</w:t>
      </w:r>
    </w:p>
    <w:p>
      <w:pPr>
        <w:pStyle w:val="Normal"/>
      </w:pPr>
      <w:r>
        <w:t xml:space="preserve">b) Buscar qué disposición de elementos y relaciones hace probable ese comportamiento</w:t>
      </w:r>
    </w:p>
    <w:p>
      <w:pPr>
        <w:pStyle w:val="Normal"/>
      </w:pPr>
      <w:r>
        <w:t xml:space="preserve">c) Esperar a que el patrón se repita más veces</w:t>
      </w:r>
    </w:p>
    <w:p>
      <w:pPr>
        <w:pStyle w:val="Normal"/>
      </w:pPr>
      <w:r>
        <w:t xml:space="preserve">d) Aumentar la supervisión</w:t>
      </w:r>
    </w:p>
    <w:p>
      <w:pPr>
        <w:pStyle w:val="Heading3"/>
      </w:pPr>
      <w:bookmarkStart w:name="b_pregunta_u1_20_habito_apalancamiento" w:id="5935"/>
      <w:r>
        <w:t xml:space="preserve">S1-73 · 1.8 · Hábitos del pensador</w:t>
      </w:r>
      <w:bookmarkEnd w:id="5935"/>
    </w:p>
    <w:p>
      <w:pPr>
        <w:pStyle w:val="Normal"/>
      </w:pPr>
      <w:r>
        <w:t xml:space="preserve">¿Qué busca el hábito «identifica el apalancamiento»?</w:t>
      </w:r>
    </w:p>
    <w:p>
      <w:pPr>
        <w:pStyle w:val="Normal"/>
      </w:pPr>
      <w:r>
        <w:t xml:space="preserve">a) La intervención más rápida de ejecutar</w:t>
      </w:r>
    </w:p>
    <w:p>
      <w:pPr>
        <w:pStyle w:val="Normal"/>
      </w:pPr>
      <w:r>
        <w:t xml:space="preserve">b) El punto donde un cambio pequeño produce un efecto grande y duradero</w:t>
      </w:r>
    </w:p>
    <w:p>
      <w:pPr>
        <w:pStyle w:val="Normal"/>
      </w:pPr>
      <w:r>
        <w:t xml:space="preserve">c) La solución que menos resistencia genera</w:t>
      </w:r>
    </w:p>
    <w:p>
      <w:pPr>
        <w:pStyle w:val="Normal"/>
      </w:pPr>
      <w:r>
        <w:t xml:space="preserve">d) El área con más presupuesto</w:t>
      </w:r>
    </w:p>
    <w:p>
      <w:pPr>
        <w:pStyle w:val="Heading3"/>
      </w:pPr>
      <w:r>
        <w:t xml:space="preserve">Tema 2.1 · Visión general</w:t>
      </w:r>
    </w:p>
    <w:p>
      <w:pPr>
        <w:pStyle w:val="Heading3"/>
      </w:pPr>
      <w:bookmarkStart w:name="b_pregunta_ec2_09_pensamiento_sistemico" w:id="5936"/>
      <w:r>
        <w:t xml:space="preserve">S1-74 · 2.1 · Visión general</w:t>
      </w:r>
      <w:bookmarkEnd w:id="5936"/>
    </w:p>
    <w:p>
      <w:pPr>
        <w:pStyle w:val="Normal"/>
      </w:pPr>
      <w:r>
        <w:t xml:space="preserve">Una descripción general de lo que es el pensamiento sistémico podría ser…</w:t>
      </w:r>
    </w:p>
    <w:p>
      <w:pPr>
        <w:pStyle w:val="Normal"/>
      </w:pPr>
      <w:r>
        <w:t xml:space="preserve">a) Percepción del mundo real en términos de relaciones para observarlas, comprenderlas y accionarlas (o actuar en ellas).</w:t>
      </w:r>
    </w:p>
    <w:p>
      <w:pPr>
        <w:pStyle w:val="Normal"/>
      </w:pPr>
      <w:r>
        <w:t xml:space="preserve">b) Percepción del mundo real en términos de partes independientes para observarlas, comprenderlas y accionarlas (o actuar en ellas).</w:t>
      </w:r>
    </w:p>
    <w:p>
      <w:pPr>
        <w:pStyle w:val="Normal"/>
      </w:pPr>
      <w:r>
        <w:t xml:space="preserve">c) Percepción del mundo real en términos de totalidades para observarlas, comprenderlas y accionarlas (o actuar en ellas).</w:t>
      </w:r>
    </w:p>
    <w:p>
      <w:pPr>
        <w:pStyle w:val="Normal"/>
      </w:pPr>
      <w:r>
        <w:t xml:space="preserve">d) Percepción del mundo real en términos de perspectivas para observarlas, comprenderlas y accionarlas (o actuar en ellas).</w:t>
      </w:r>
    </w:p>
    <w:p>
      <w:pPr>
        <w:pStyle w:val="Normal"/>
      </w:pPr>
      <w:r>
        <w:t xml:space="preserve">e) Percepción del mundo real en términos del análisis de las situaciones para observarlas, comprenderlas y accionarlas (o actuar en ellas).</w:t>
      </w:r>
    </w:p>
    <w:p>
      <w:pPr>
        <w:pStyle w:val="Heading3"/>
      </w:pPr>
      <w:bookmarkStart w:name="b_pregunta_p1_anomalia_profesional" w:id="5937"/>
      <w:r>
        <w:t xml:space="preserve">S1-75 · 2.1 · Visión general</w:t>
      </w:r>
      <w:bookmarkEnd w:id="5937"/>
    </w:p>
    <w:p>
      <w:pPr>
        <w:pStyle w:val="Normal"/>
      </w:pPr>
      <w:r>
        <w:t xml:space="preserve">¿Cómo formula sistémicamente un problema profesional la página 27?</w:t>
      </w:r>
    </w:p>
    <w:p>
      <w:pPr>
        <w:pStyle w:val="Normal"/>
      </w:pPr>
      <w:r>
        <w:t xml:space="preserve">a) Como defecto personal que explica todo sin estudiar relaciones</w:t>
      </w:r>
    </w:p>
    <w:p>
      <w:pPr>
        <w:pStyle w:val="Normal"/>
      </w:pPr>
      <w:r>
        <w:t xml:space="preserve">b) Como anomalía del funcionamiento ligada a interacciones entre elementos</w:t>
      </w:r>
    </w:p>
    <w:p>
      <w:pPr>
        <w:pStyle w:val="Normal"/>
      </w:pPr>
      <w:r>
        <w:t xml:space="preserve">c) Como cualquier diferencia de opinión sin referente de funcionamiento</w:t>
      </w:r>
    </w:p>
    <w:p>
      <w:pPr>
        <w:pStyle w:val="Normal"/>
      </w:pPr>
      <w:r>
        <w:t xml:space="preserve">d) Como una lista de piezas sin comparación entre lo esperado y lo observado</w:t>
      </w:r>
    </w:p>
    <w:p>
      <w:pPr>
        <w:pStyle w:val="Heading3"/>
      </w:pPr>
      <w:bookmarkStart w:name="b_pregunta_p1_holismo_holos" w:id="5938"/>
      <w:r>
        <w:t xml:space="preserve">S1-76 · 2.1 · Visión general</w:t>
      </w:r>
      <w:bookmarkEnd w:id="5938"/>
    </w:p>
    <w:p>
      <w:pPr>
        <w:pStyle w:val="Normal"/>
      </w:pPr>
      <w:r>
        <w:t xml:space="preserve">¿Qué significa holos y qué papel tiene el holismo en la presentación?</w:t>
      </w:r>
    </w:p>
    <w:p>
      <w:pPr>
        <w:pStyle w:val="Normal"/>
      </w:pPr>
      <w:r>
        <w:t xml:space="preserve">a) Entero; base filosófica para percibir totalidades con partes, relaciones y entorno</w:t>
      </w:r>
    </w:p>
    <w:p>
      <w:pPr>
        <w:pStyle w:val="Normal"/>
      </w:pPr>
      <w:r>
        <w:t xml:space="preserve">b) Pequeño; obligación de estudiar sólo componentes</w:t>
      </w:r>
    </w:p>
    <w:p>
      <w:pPr>
        <w:pStyle w:val="Normal"/>
      </w:pPr>
      <w:r>
        <w:t xml:space="preserve">c) Idéntico; demostración de que todos los modelos son iguales</w:t>
      </w:r>
    </w:p>
    <w:p>
      <w:pPr>
        <w:pStyle w:val="Normal"/>
      </w:pPr>
      <w:r>
        <w:t xml:space="preserve">d) Aislado; rechazo de cualquier relación con el entorno</w:t>
      </w:r>
    </w:p>
    <w:p>
      <w:pPr>
        <w:pStyle w:val="Heading3"/>
      </w:pPr>
      <w:bookmarkStart w:name="b_pregunta_p1_procedimiento_profesional" w:id="5939"/>
      <w:r>
        <w:t xml:space="preserve">S1-77 · 2.1 · Visión general</w:t>
      </w:r>
      <w:bookmarkEnd w:id="5939"/>
    </w:p>
    <w:p>
      <w:pPr>
        <w:pStyle w:val="Normal"/>
      </w:pPr>
      <w:r>
        <w:t xml:space="preserve">Ante entregas tardías, ¿qué secuencia sigue el procedimiento profesional de la presentación?</w:t>
      </w:r>
    </w:p>
    <w:p>
      <w:pPr>
        <w:pStyle w:val="Normal"/>
      </w:pPr>
      <w:r>
        <w:t xml:space="preserve">a) Comprar una solución, buscar culpables y definir el problema al final</w:t>
      </w:r>
    </w:p>
    <w:p>
      <w:pPr>
        <w:pStyle w:val="Normal"/>
      </w:pPr>
      <w:r>
        <w:t xml:space="preserve">b) Nombrar un sistema y omitir el contraste con su funcionamiento</w:t>
      </w:r>
    </w:p>
    <w:p>
      <w:pPr>
        <w:pStyle w:val="Normal"/>
      </w:pPr>
      <w:r>
        <w:t xml:space="preserve">c) Definir la anomalía, formular una solución con marco teórico y resolver pensando en sistemas</w:t>
      </w:r>
    </w:p>
    <w:p>
      <w:pPr>
        <w:pStyle w:val="Normal"/>
      </w:pPr>
      <w:r>
        <w:t xml:space="preserve">d) Elegir una parte al azar y suponer que cambiarla arregla todo</w:t>
      </w:r>
    </w:p>
    <w:p>
      <w:pPr>
        <w:pStyle w:val="Heading3"/>
      </w:pPr>
      <w:bookmarkStart w:name="b_pregunta_u2a_01_totalidades" w:id="5940"/>
      <w:r>
        <w:t xml:space="preserve">S1-78 · 2.1 · Visión general</w:t>
      </w:r>
      <w:bookmarkEnd w:id="5940"/>
    </w:p>
    <w:p>
      <w:pPr>
        <w:pStyle w:val="Normal"/>
      </w:pPr>
      <w:r>
        <w:t xml:space="preserve">De las siguientes formulaciones del pensamiento sistémico, ¿cuál usa la palabra que el curso da por decisiva?</w:t>
      </w:r>
    </w:p>
    <w:p>
      <w:pPr>
        <w:pStyle w:val="Normal"/>
      </w:pPr>
      <w:r>
        <w:t xml:space="preserve">a) Percepción del mundo real en términos de partes independientes</w:t>
      </w:r>
    </w:p>
    <w:p>
      <w:pPr>
        <w:pStyle w:val="Normal"/>
      </w:pPr>
      <w:r>
        <w:t xml:space="preserve">b) Percepción del mundo real en términos de totalidades</w:t>
      </w:r>
    </w:p>
    <w:p>
      <w:pPr>
        <w:pStyle w:val="Normal"/>
      </w:pPr>
      <w:r>
        <w:t xml:space="preserve">c) Percepción del mundo real en términos de mediciones</w:t>
      </w:r>
    </w:p>
    <w:p>
      <w:pPr>
        <w:pStyle w:val="Normal"/>
      </w:pPr>
      <w:r>
        <w:t xml:space="preserve">d) Percepción del mundo real en términos de causas únicas</w:t>
      </w:r>
    </w:p>
    <w:p>
      <w:pPr>
        <w:pStyle w:val="Heading3"/>
      </w:pPr>
      <w:bookmarkStart w:name="b_pregunta_u2a_02_holismo_no_es_vaguedad" w:id="5941"/>
      <w:r>
        <w:t xml:space="preserve">S1-79 · 2.1 · Visión general</w:t>
      </w:r>
      <w:bookmarkEnd w:id="5941"/>
    </w:p>
    <w:p>
      <w:pPr>
        <w:pStyle w:val="Normal"/>
      </w:pPr>
      <w:r>
        <w:t xml:space="preserve">«Pensar en totalidades significa hablar en general y evitar el detalle.» ¿Por qué es falso?</w:t>
      </w:r>
    </w:p>
    <w:p>
      <w:pPr>
        <w:pStyle w:val="Normal"/>
      </w:pPr>
      <w:r>
        <w:t xml:space="preserve">a) Porque el detalle no importa en teoría de sistemas</w:t>
      </w:r>
    </w:p>
    <w:p>
      <w:pPr>
        <w:pStyle w:val="Normal"/>
      </w:pPr>
      <w:r>
        <w:t xml:space="preserve">b) Porque comprender el todo exige distinguir sus partes y sus relaciones con precisión: la síntesis no sustituye al análisis, lo completa</w:t>
      </w:r>
    </w:p>
    <w:p>
      <w:pPr>
        <w:pStyle w:val="Normal"/>
      </w:pPr>
      <w:r>
        <w:t xml:space="preserve">c) Porque las totalidades sólo existen en sistemas naturales</w:t>
      </w:r>
    </w:p>
    <w:p>
      <w:pPr>
        <w:pStyle w:val="Normal"/>
      </w:pPr>
      <w:r>
        <w:t xml:space="preserve">d) Porque el pensamiento sistémico es únicamente cuantitativo</w:t>
      </w:r>
    </w:p>
    <w:p>
      <w:pPr>
        <w:pStyle w:val="Heading3"/>
      </w:pPr>
      <w:bookmarkStart w:name="b_pregunta_u2a_03_que_aporta" w:id="5942"/>
      <w:r>
        <w:t xml:space="preserve">S1-80 · 2.1 · Visión general</w:t>
      </w:r>
      <w:bookmarkEnd w:id="5942"/>
    </w:p>
    <w:p>
      <w:pPr>
        <w:pStyle w:val="Normal"/>
      </w:pPr>
      <w:r>
        <w:t xml:space="preserve">¿Qué aporta mirar una situación como sistema y no como una suma de problemas sueltos?</w:t>
      </w:r>
    </w:p>
    <w:p>
      <w:pPr>
        <w:pStyle w:val="Normal"/>
      </w:pPr>
      <w:r>
        <w:t xml:space="preserve">a) Explica por qué el mismo problema reaparece aunque se resuelva cada vez</w:t>
      </w:r>
    </w:p>
    <w:p>
      <w:pPr>
        <w:pStyle w:val="Normal"/>
      </w:pPr>
      <w:r>
        <w:t xml:space="preserve">b) Garantiza que la solución sea más barata</w:t>
      </w:r>
    </w:p>
    <w:p>
      <w:pPr>
        <w:pStyle w:val="Normal"/>
      </w:pPr>
      <w:r>
        <w:t xml:space="preserve">c) Hace visible que el comportamiento depende de la estructura de relaciones</w:t>
      </w:r>
    </w:p>
    <w:p>
      <w:pPr>
        <w:pStyle w:val="Normal"/>
      </w:pPr>
      <w:r>
        <w:t xml:space="preserve">d) Elimina la necesidad de datos</w:t>
      </w:r>
    </w:p>
    <w:p>
      <w:pPr>
        <w:pStyle w:val="Heading3"/>
      </w:pPr>
      <w:r>
        <w:t xml:space="preserve">Tema 2.2 · Conceptos de un sistema</w:t>
      </w:r>
    </w:p>
    <w:p>
      <w:pPr>
        <w:pStyle w:val="Heading3"/>
      </w:pPr>
      <w:bookmarkStart w:name="b_pregunta_cmp_19_elemento_vs_relacion" w:id="5943"/>
      <w:r>
        <w:t xml:space="preserve">S1-81 · 2.2 · Conceptos de un sistema</w:t>
      </w:r>
      <w:bookmarkEnd w:id="5943"/>
    </w:p>
    <w:p>
      <w:pPr>
        <w:pStyle w:val="Normal"/>
      </w:pPr>
      <w:r>
        <w:t xml:space="preserve">Dos equipos tienen exactamente las mismas personas y los mismos recursos, y rinden de forma muy distinta. ¿Qué explica la diferencia, en términos del curso?</w:t>
      </w:r>
    </w:p>
    <w:p>
      <w:pPr>
        <w:pStyle w:val="Normal"/>
      </w:pPr>
      <w:r>
        <w:t xml:space="preserve">a) La suerte</w:t>
      </w:r>
    </w:p>
    <w:p>
      <w:pPr>
        <w:pStyle w:val="Normal"/>
      </w:pPr>
      <w:r>
        <w:t xml:space="preserve">b) La estructura de relaciones entre las partes, que es lo que cambia cuando los elementos son iguales</w:t>
      </w:r>
    </w:p>
    <w:p>
      <w:pPr>
        <w:pStyle w:val="Normal"/>
      </w:pPr>
      <w:r>
        <w:t xml:space="preserve">c) El tamaño del equipo</w:t>
      </w:r>
    </w:p>
    <w:p>
      <w:pPr>
        <w:pStyle w:val="Normal"/>
      </w:pPr>
      <w:r>
        <w:t xml:space="preserve">d) Nada: si los elementos son iguales el resultado debe ser igual</w:t>
      </w:r>
    </w:p>
    <w:p>
      <w:pPr>
        <w:pStyle w:val="Heading3"/>
      </w:pPr>
      <w:bookmarkStart w:name="b_pregunta_cmp_20_proposito" w:id="5944"/>
      <w:r>
        <w:t xml:space="preserve">S1-82 · 2.2 · Conceptos de un sistema</w:t>
      </w:r>
      <w:bookmarkEnd w:id="5944"/>
    </w:p>
    <w:p>
      <w:pPr>
        <w:pStyle w:val="Normal"/>
      </w:pPr>
      <w:r>
        <w:t xml:space="preserve">¿Qué hace falta para describir un sistema, más allá de enumerar sus partes?</w:t>
      </w:r>
    </w:p>
    <w:p>
      <w:pPr>
        <w:pStyle w:val="Normal"/>
      </w:pPr>
      <w:r>
        <w:t xml:space="preserve">a) Declarar su frontera y qué queda en el entorno</w:t>
      </w:r>
    </w:p>
    <w:p>
      <w:pPr>
        <w:pStyle w:val="Normal"/>
      </w:pPr>
      <w:r>
        <w:t xml:space="preserve">b) Señalar las relaciones entre las partes</w:t>
      </w:r>
    </w:p>
    <w:p>
      <w:pPr>
        <w:pStyle w:val="Normal"/>
      </w:pPr>
      <w:r>
        <w:t xml:space="preserve">c) Indicar el propósito o la función que el observador le atribuye</w:t>
      </w:r>
    </w:p>
    <w:p>
      <w:pPr>
        <w:pStyle w:val="Normal"/>
      </w:pPr>
      <w:r>
        <w:t xml:space="preserve">d) Medir su peso total</w:t>
      </w:r>
    </w:p>
    <w:p>
      <w:pPr>
        <w:pStyle w:val="Heading3"/>
      </w:pPr>
      <w:bookmarkStart w:name="b_pregunta_ec2_01_monton" w:id="5945"/>
      <w:r>
        <w:t xml:space="preserve">S1-83 · 2.2 · Conceptos de un sistema</w:t>
      </w:r>
      <w:bookmarkEnd w:id="5945"/>
    </w:p>
    <w:p>
      <w:pPr>
        <w:pStyle w:val="Normal"/>
      </w:pPr>
      <w:r>
        <w:t xml:space="preserve">¿Cuáles de las siguientes características son propias de un montón y no de un sistema?</w:t>
      </w:r>
    </w:p>
    <w:p>
      <w:pPr>
        <w:pStyle w:val="Normal"/>
      </w:pPr>
      <w:r>
        <w:t xml:space="preserve">a) Cambia si se quitan o añaden piezas</w:t>
      </w:r>
    </w:p>
    <w:p>
      <w:pPr>
        <w:pStyle w:val="Normal"/>
      </w:pPr>
      <w:r>
        <w:t xml:space="preserve">b) Las partes funcionan por separado</w:t>
      </w:r>
    </w:p>
    <w:p>
      <w:pPr>
        <w:pStyle w:val="Normal"/>
      </w:pPr>
      <w:r>
        <w:t xml:space="preserve">c) Está constituido por una serie de partes</w:t>
      </w:r>
    </w:p>
    <w:p>
      <w:pPr>
        <w:pStyle w:val="Normal"/>
      </w:pPr>
      <w:r>
        <w:t xml:space="preserve">d) Su comportamiento depende de la estructura global</w:t>
      </w:r>
    </w:p>
    <w:p>
      <w:pPr>
        <w:pStyle w:val="Normal"/>
      </w:pPr>
      <w:r>
        <w:t xml:space="preserve">e) La disposición de los elementos es fundamental</w:t>
      </w:r>
    </w:p>
    <w:p>
      <w:pPr>
        <w:pStyle w:val="Heading3"/>
      </w:pPr>
      <w:bookmarkStart w:name="b_pregunta_p1_recorte_sistema" w:id="5946"/>
      <w:r>
        <w:t xml:space="preserve">S1-84 · 2.2 · Conceptos de un sistema</w:t>
      </w:r>
      <w:bookmarkEnd w:id="5946"/>
    </w:p>
    <w:p>
      <w:pPr>
        <w:pStyle w:val="Normal"/>
      </w:pPr>
      <w:r>
        <w:t xml:space="preserve">¿Qué falta si se presenta «cafetería» como modelo de un sistema sin más explicación?</w:t>
      </w:r>
    </w:p>
    <w:p>
      <w:pPr>
        <w:pStyle w:val="Normal"/>
      </w:pPr>
      <w:r>
        <w:t xml:space="preserve">a) Sustituir todas las relaciones por nombres de personas</w:t>
      </w:r>
    </w:p>
    <w:p>
      <w:pPr>
        <w:pStyle w:val="Normal"/>
      </w:pPr>
      <w:r>
        <w:t xml:space="preserve">b) Garantizar que ese único recorte sirve para toda pregunta</w:t>
      </w:r>
    </w:p>
    <w:p>
      <w:pPr>
        <w:pStyle w:val="Normal"/>
      </w:pPr>
      <w:r>
        <w:t xml:space="preserve">c) Eliminar el entorno para que el modelo sea sistémico</w:t>
      </w:r>
    </w:p>
    <w:p>
      <w:pPr>
        <w:pStyle w:val="Normal"/>
      </w:pPr>
      <w:r>
        <w:t xml:space="preserve">d) Declarar propósito, frontera, componentes, relaciones e intercambios pertinentes</w:t>
      </w:r>
    </w:p>
    <w:p>
      <w:pPr>
        <w:pStyle w:val="Heading3"/>
      </w:pPr>
      <w:bookmarkStart w:name="b_pregunta_u2a_04_sistema_vs_monton" w:id="5947"/>
      <w:r>
        <w:t xml:space="preserve">S1-85 · 2.2 · Conceptos de un sistema</w:t>
      </w:r>
      <w:bookmarkEnd w:id="5947"/>
    </w:p>
    <w:p>
      <w:pPr>
        <w:pStyle w:val="Normal"/>
      </w:pPr>
      <w:r>
        <w:t xml:space="preserve">Según la tabla que usa el curso, reparta cada rasgo entre sistema y montón.</w:t>
      </w:r>
    </w:p>
    <w:p>
      <w:pPr>
        <w:pStyle w:val="Normal"/>
      </w:pPr>
      <w:r>
        <w:t xml:space="preserve">a) Destinos: Sistema; Montón o conglomerado</w:t>
      </w:r>
    </w:p>
    <w:p>
      <w:pPr>
        <w:pStyle w:val="Normal"/>
      </w:pPr>
      <w:r>
        <w:t xml:space="preserve">b) Partes interconectadas que funcionan como un todo</w:t>
      </w:r>
    </w:p>
    <w:p>
      <w:pPr>
        <w:pStyle w:val="Normal"/>
      </w:pPr>
      <w:r>
        <w:t xml:space="preserve">c) La disposición de los elementos es fundamental</w:t>
      </w:r>
    </w:p>
    <w:p>
      <w:pPr>
        <w:pStyle w:val="Normal"/>
      </w:pPr>
      <w:r>
        <w:t xml:space="preserve">d) Sus propiedades esenciales no se alteran al quitar o añadir piezas</w:t>
      </w:r>
    </w:p>
    <w:p>
      <w:pPr>
        <w:pStyle w:val="Normal"/>
      </w:pPr>
      <w:r>
        <w:t xml:space="preserve">e) Las partes no están conectadas y funcionan por separado</w:t>
      </w:r>
    </w:p>
    <w:p>
      <w:pPr>
        <w:pStyle w:val="Normal"/>
      </w:pPr>
      <w:r>
        <w:t xml:space="preserve">f) Su comportamiento depende de su tamaño o número de piezas</w:t>
      </w:r>
    </w:p>
    <w:p>
      <w:pPr>
        <w:pStyle w:val="Heading3"/>
      </w:pPr>
      <w:bookmarkStart w:name="b_pregunta_u2a_05_frontera" w:id="5948"/>
      <w:r>
        <w:t xml:space="preserve">S1-86 · 2.2 · Conceptos de un sistema</w:t>
      </w:r>
      <w:bookmarkEnd w:id="5948"/>
    </w:p>
    <w:p>
      <w:pPr>
        <w:pStyle w:val="Normal"/>
      </w:pPr>
      <w:r>
        <w:t xml:space="preserve">¿Qué decide la frontera de un sistema?</w:t>
      </w:r>
    </w:p>
    <w:p>
      <w:pPr>
        <w:pStyle w:val="Normal"/>
      </w:pPr>
      <w:r>
        <w:t xml:space="preserve">a) El tamaño físico del objeto observado</w:t>
      </w:r>
    </w:p>
    <w:p>
      <w:pPr>
        <w:pStyle w:val="Normal"/>
      </w:pPr>
      <w:r>
        <w:t xml:space="preserve">b) Qué elementos quedan dentro del análisis y cuáles pasan a ser entorno</w:t>
      </w:r>
    </w:p>
    <w:p>
      <w:pPr>
        <w:pStyle w:val="Normal"/>
      </w:pPr>
      <w:r>
        <w:t xml:space="preserve">c) El número de partes que tiene</w:t>
      </w:r>
    </w:p>
    <w:p>
      <w:pPr>
        <w:pStyle w:val="Normal"/>
      </w:pPr>
      <w:r>
        <w:t xml:space="preserve">d) La disciplina científica de quien observa</w:t>
      </w:r>
    </w:p>
    <w:p>
      <w:pPr>
        <w:pStyle w:val="Heading3"/>
      </w:pPr>
      <w:bookmarkStart w:name="b_pregunta_u2a_06_entradas_salidas" w:id="5949"/>
      <w:r>
        <w:t xml:space="preserve">S1-87 · 2.2 · Conceptos de un sistema</w:t>
      </w:r>
      <w:bookmarkEnd w:id="5949"/>
    </w:p>
    <w:p>
      <w:pPr>
        <w:pStyle w:val="Normal"/>
      </w:pPr>
      <w:r>
        <w:t xml:space="preserve">Relacione cada término básico con lo que designa.</w:t>
      </w:r>
    </w:p>
    <w:p>
      <w:pPr>
        <w:pStyle w:val="Normal"/>
      </w:pPr>
      <w:r>
        <w:t xml:space="preserve">a) Fila: Entrada</w:t>
      </w:r>
    </w:p>
    <w:p>
      <w:pPr>
        <w:pStyle w:val="Normal"/>
      </w:pPr>
      <w:r>
        <w:t xml:space="preserve">b) Fila: Salida</w:t>
      </w:r>
    </w:p>
    <w:p>
      <w:pPr>
        <w:pStyle w:val="Normal"/>
      </w:pPr>
      <w:r>
        <w:t xml:space="preserve">c) Fila: Entorno</w:t>
      </w:r>
    </w:p>
    <w:p>
      <w:pPr>
        <w:pStyle w:val="Normal"/>
      </w:pPr>
      <w:r>
        <w:t xml:space="preserve">d) Fila: Retroalimentación</w:t>
      </w:r>
    </w:p>
    <w:p>
      <w:pPr>
        <w:pStyle w:val="Normal"/>
      </w:pPr>
      <w:r>
        <w:t xml:space="preserve">e) a) Lo que el sistema toma de su medio para operar</w:t>
      </w:r>
    </w:p>
    <w:p>
      <w:pPr>
        <w:pStyle w:val="Normal"/>
      </w:pPr>
      <w:r>
        <w:t xml:space="preserve">f) b) Lo que el sistema entrega a su medio</w:t>
      </w:r>
    </w:p>
    <w:p>
      <w:pPr>
        <w:pStyle w:val="Normal"/>
      </w:pPr>
      <w:r>
        <w:t xml:space="preserve">g) c) Lo que queda fuera de la frontera pero influye en el sistema</w:t>
      </w:r>
    </w:p>
    <w:p>
      <w:pPr>
        <w:pStyle w:val="Normal"/>
      </w:pPr>
      <w:r>
        <w:t xml:space="preserve">h) d) Información sobre la salida que vuelve y ajusta el proceso</w:t>
      </w:r>
    </w:p>
    <w:p>
      <w:pPr>
        <w:pStyle w:val="Normal"/>
      </w:pPr>
      <w:r>
        <w:t xml:space="preserve">i) e) Ordenamiento de los sistemas por niveles de inclusión</w:t>
      </w:r>
    </w:p>
    <w:p>
      <w:pPr>
        <w:pStyle w:val="Heading3"/>
      </w:pPr>
      <w:r>
        <w:t xml:space="preserve">Tema 2.3 · Estructura de los sistemas</w:t>
      </w:r>
    </w:p>
    <w:p>
      <w:pPr>
        <w:pStyle w:val="Heading3"/>
      </w:pPr>
      <w:bookmarkStart w:name="b_pregunta_cmp_21_retroalimenta_17162f24" w:id="5950"/>
      <w:r>
        <w:t xml:space="preserve">S1-88 · 2.3 · Estructura de los sistemas</w:t>
      </w:r>
      <w:bookmarkEnd w:id="5950"/>
    </w:p>
    <w:p>
      <w:pPr>
        <w:pStyle w:val="Normal"/>
      </w:pPr>
      <w:r>
        <w:t xml:space="preserve">Ordene los momentos de un ciclo de retroalimentación negativa, empezando por la perturbación.</w:t>
      </w:r>
    </w:p>
    <w:p>
      <w:pPr>
        <w:pStyle w:val="Normal"/>
      </w:pPr>
      <w:r>
        <w:t xml:space="preserve">a) El actuador corrige en sentido contrario</w:t>
      </w:r>
    </w:p>
    <w:p>
      <w:pPr>
        <w:pStyle w:val="Normal"/>
      </w:pPr>
      <w:r>
        <w:t xml:space="preserve">b) Una perturbación aleja la variable de su objetivo</w:t>
      </w:r>
    </w:p>
    <w:p>
      <w:pPr>
        <w:pStyle w:val="Normal"/>
      </w:pPr>
      <w:r>
        <w:t xml:space="preserve">c) La variable vuelve hacia el objetivo</w:t>
      </w:r>
    </w:p>
    <w:p>
      <w:pPr>
        <w:pStyle w:val="Normal"/>
      </w:pPr>
      <w:r>
        <w:t xml:space="preserve">d) El sensor mide el valor actual</w:t>
      </w:r>
    </w:p>
    <w:p>
      <w:pPr>
        <w:pStyle w:val="Normal"/>
      </w:pPr>
      <w:r>
        <w:t xml:space="preserve">e) Se compara con el punto de ajuste</w:t>
      </w:r>
    </w:p>
    <w:p>
      <w:pPr>
        <w:pStyle w:val="Heading3"/>
      </w:pPr>
      <w:bookmarkStart w:name="b_pregunta_cmp_22_positiva_vs_negativa" w:id="5951"/>
      <w:r>
        <w:t xml:space="preserve">S1-89 · 2.3 · Estructura de los sistemas</w:t>
      </w:r>
      <w:bookmarkEnd w:id="5951"/>
    </w:p>
    <w:p>
      <w:pPr>
        <w:pStyle w:val="Normal"/>
      </w:pPr>
      <w:r>
        <w:t xml:space="preserve">Reparta cada caso según el tipo de retroalimentación que describe.</w:t>
      </w:r>
    </w:p>
    <w:p>
      <w:pPr>
        <w:pStyle w:val="Normal"/>
      </w:pPr>
      <w:r>
        <w:t xml:space="preserve">a) Destinos: Retroalimentación negativa; Retroalimentación positiva</w:t>
      </w:r>
    </w:p>
    <w:p>
      <w:pPr>
        <w:pStyle w:val="Normal"/>
      </w:pPr>
      <w:r>
        <w:t xml:space="preserve">b) El termostato apaga el calefactor al alcanzar la temperatura</w:t>
      </w:r>
    </w:p>
    <w:p>
      <w:pPr>
        <w:pStyle w:val="Normal"/>
      </w:pPr>
      <w:r>
        <w:t xml:space="preserve">c) El cuerpo suda cuando la temperatura interna sube</w:t>
      </w:r>
    </w:p>
    <w:p>
      <w:pPr>
        <w:pStyle w:val="Normal"/>
      </w:pPr>
      <w:r>
        <w:t xml:space="preserve">d) Cuanta más gente repite un rumor, más creíble parece y más se repite</w:t>
      </w:r>
    </w:p>
    <w:p>
      <w:pPr>
        <w:pStyle w:val="Normal"/>
      </w:pPr>
      <w:r>
        <w:t xml:space="preserve">e) Más control genera menos confianza, y menos confianza pide más control</w:t>
      </w:r>
    </w:p>
    <w:p>
      <w:pPr>
        <w:pStyle w:val="Heading3"/>
      </w:pPr>
      <w:bookmarkStart w:name="b_pregunta_p1_bosque_entorno" w:id="5952"/>
      <w:r>
        <w:t xml:space="preserve">S1-90 · 2.3 · Estructura de los sistemas</w:t>
      </w:r>
      <w:bookmarkEnd w:id="5952"/>
    </w:p>
    <w:p>
      <w:pPr>
        <w:pStyle w:val="Normal"/>
      </w:pPr>
      <w:r>
        <w:t xml:space="preserve">¿Qué conjunto sitúa la lámina del bosque en su entorno, en lugar de enumerarlo como flora o fauna interna?</w:t>
      </w:r>
    </w:p>
    <w:p>
      <w:pPr>
        <w:pStyle w:val="Normal"/>
      </w:pPr>
      <w:r>
        <w:t xml:space="preserve">a) Sólo árboles, arbustos y mamíferos</w:t>
      </w:r>
    </w:p>
    <w:p>
      <w:pPr>
        <w:pStyle w:val="Normal"/>
      </w:pPr>
      <w:r>
        <w:t xml:space="preserve">b) Atmósfera, hidrósfera, suelo y sistemas agrícolas o urbanos circundantes</w:t>
      </w:r>
    </w:p>
    <w:p>
      <w:pPr>
        <w:pStyle w:val="Normal"/>
      </w:pPr>
      <w:r>
        <w:t xml:space="preserve">c) Únicamente productores, consumidores y descomponedores</w:t>
      </w:r>
    </w:p>
    <w:p>
      <w:pPr>
        <w:pStyle w:val="Normal"/>
      </w:pPr>
      <w:r>
        <w:t xml:space="preserve">d) Biomasa producida y oxígeno como únicos objetos del entorno</w:t>
      </w:r>
    </w:p>
    <w:p>
      <w:pPr>
        <w:pStyle w:val="Heading3"/>
      </w:pPr>
      <w:bookmarkStart w:name="b_pregunta_p1_endo_exo" w:id="5953"/>
      <w:r>
        <w:t xml:space="preserve">S1-91 · 2.3 · Estructura de los sistemas</w:t>
      </w:r>
      <w:bookmarkEnd w:id="5953"/>
    </w:p>
    <w:p>
      <w:pPr>
        <w:pStyle w:val="Normal"/>
      </w:pPr>
      <w:r>
        <w:t xml:space="preserve">Con una escuela como sistema focal, ¿qué relación es endoestructura y cuál exoestructura?</w:t>
      </w:r>
    </w:p>
    <w:p>
      <w:pPr>
        <w:pStyle w:val="Normal"/>
      </w:pPr>
      <w:r>
        <w:t xml:space="preserve">a) Docentes–dirección: endoestructura; escuela–proveedor externo: exoestructura</w:t>
      </w:r>
    </w:p>
    <w:p>
      <w:pPr>
        <w:pStyle w:val="Normal"/>
      </w:pPr>
      <w:r>
        <w:t xml:space="preserve">b) Docentes–dirección: exoestructura; escuela–proveedor externo: endoestructura</w:t>
      </w:r>
    </w:p>
    <w:p>
      <w:pPr>
        <w:pStyle w:val="Normal"/>
      </w:pPr>
      <w:r>
        <w:t xml:space="preserve">c) Ambas son sólo listas de objetos sin relaciones</w:t>
      </w:r>
    </w:p>
    <w:p>
      <w:pPr>
        <w:pStyle w:val="Normal"/>
      </w:pPr>
      <w:r>
        <w:t xml:space="preserve">d) Toda relación con el proveedor lo convierte necesariamente en parte interna</w:t>
      </w:r>
    </w:p>
    <w:p>
      <w:pPr>
        <w:pStyle w:val="Heading3"/>
      </w:pPr>
      <w:bookmarkStart w:name="b_pregunta_u2a_07_estructura_define" w:id="5954"/>
      <w:r>
        <w:t xml:space="preserve">S1-92 · 2.3 · Estructura de los sistemas</w:t>
      </w:r>
      <w:bookmarkEnd w:id="5954"/>
    </w:p>
    <w:p>
      <w:pPr>
        <w:pStyle w:val="Normal"/>
      </w:pPr>
      <w:r>
        <w:t xml:space="preserve">¿Qué es la estructura de un sistema?</w:t>
      </w:r>
    </w:p>
    <w:p>
      <w:pPr>
        <w:pStyle w:val="Normal"/>
      </w:pPr>
      <w:r>
        <w:t xml:space="preserve">a) El conjunto de sus partes</w:t>
      </w:r>
    </w:p>
    <w:p>
      <w:pPr>
        <w:pStyle w:val="Normal"/>
      </w:pPr>
      <w:r>
        <w:t xml:space="preserve">b) La disposición de las relaciones entre sus partes</w:t>
      </w:r>
    </w:p>
    <w:p>
      <w:pPr>
        <w:pStyle w:val="Normal"/>
      </w:pPr>
      <w:r>
        <w:t xml:space="preserve">c) Su tamaño total</w:t>
      </w:r>
    </w:p>
    <w:p>
      <w:pPr>
        <w:pStyle w:val="Normal"/>
      </w:pPr>
      <w:r>
        <w:t xml:space="preserve">d) El material del que está hecho</w:t>
      </w:r>
    </w:p>
    <w:p>
      <w:pPr>
        <w:pStyle w:val="Heading3"/>
      </w:pPr>
      <w:bookmarkStart w:name="b_pregunta_u2a_08_estructura_co_eca4575d" w:id="5955"/>
      <w:r>
        <w:t xml:space="preserve">S1-93 · 2.3 · Estructura de los sistemas</w:t>
      </w:r>
      <w:bookmarkEnd w:id="5955"/>
    </w:p>
    <w:p>
      <w:pPr>
        <w:pStyle w:val="Normal"/>
      </w:pPr>
      <w:r>
        <w:t xml:space="preserve">¿Qué se sigue de que la estructura genere el comportamiento?</w:t>
      </w:r>
    </w:p>
    <w:p>
      <w:pPr>
        <w:pStyle w:val="Normal"/>
      </w:pPr>
      <w:r>
        <w:t xml:space="preserve">a) Cambiar a las personas sin cambiar la estructura suele reproducir el mismo resultado</w:t>
      </w:r>
    </w:p>
    <w:p>
      <w:pPr>
        <w:pStyle w:val="Normal"/>
      </w:pPr>
      <w:r>
        <w:t xml:space="preserve">b) El comportamiento de un sistema se explica sumando el comportamiento de sus partes</w:t>
      </w:r>
    </w:p>
    <w:p>
      <w:pPr>
        <w:pStyle w:val="Normal"/>
      </w:pPr>
      <w:r>
        <w:t xml:space="preserve">c) Para cambiar un patrón recurrente hay que intervenir en las relaciones, no sólo en los elementos</w:t>
      </w:r>
    </w:p>
    <w:p>
      <w:pPr>
        <w:pStyle w:val="Normal"/>
      </w:pPr>
      <w:r>
        <w:t xml:space="preserve">d) La estructura sólo importa en sistemas físicos</w:t>
      </w:r>
    </w:p>
    <w:p>
      <w:pPr>
        <w:pStyle w:val="Heading3"/>
      </w:pPr>
      <w:bookmarkStart w:name="b_pregunta_u2a_09_relaciones_tipos" w:id="5956"/>
      <w:r>
        <w:t xml:space="preserve">S1-94 · 2.3 · Estructura de los sistemas</w:t>
      </w:r>
      <w:bookmarkEnd w:id="5956"/>
    </w:p>
    <w:p>
      <w:pPr>
        <w:pStyle w:val="Normal"/>
      </w:pPr>
      <w:r>
        <w:t xml:space="preserve">Reparta cada relación según sea lineal o circular.</w:t>
      </w:r>
    </w:p>
    <w:p>
      <w:pPr>
        <w:pStyle w:val="Normal"/>
      </w:pPr>
      <w:r>
        <w:t xml:space="preserve">a) Destinos: Relación lineal; Relación circular</w:t>
      </w:r>
    </w:p>
    <w:p>
      <w:pPr>
        <w:pStyle w:val="Normal"/>
      </w:pPr>
      <w:r>
        <w:t xml:space="preserve">b) Una causa produce un efecto que no vuelve sobre la causa</w:t>
      </w:r>
    </w:p>
    <w:p>
      <w:pPr>
        <w:pStyle w:val="Normal"/>
      </w:pPr>
      <w:r>
        <w:t xml:space="preserve">c) Una cadena de pasos que termina en un resultado final</w:t>
      </w:r>
    </w:p>
    <w:p>
      <w:pPr>
        <w:pStyle w:val="Normal"/>
      </w:pPr>
      <w:r>
        <w:t xml:space="preserve">d) La temperatura de la sala regula el calefactor, que a su vez cambia la temperatura</w:t>
      </w:r>
    </w:p>
    <w:p>
      <w:pPr>
        <w:pStyle w:val="Normal"/>
      </w:pPr>
      <w:r>
        <w:t xml:space="preserve">e) Menos confianza produce más control, y más control reduce todavía más la confianza</w:t>
      </w:r>
    </w:p>
    <w:p>
      <w:pPr>
        <w:pStyle w:val="Heading3"/>
      </w:pPr>
      <w:r>
        <w:t xml:space="preserve">Tema 2.4 · Sub y suprasistemas</w:t>
      </w:r>
    </w:p>
    <w:p>
      <w:pPr>
        <w:pStyle w:val="Heading3"/>
      </w:pPr>
      <w:bookmarkStart w:name="b_pregunta_cmp_23_niveles_arrastrar" w:id="5957"/>
      <w:r>
        <w:t xml:space="preserve">S1-95 · 2.4 · Sub y suprasistemas</w:t>
      </w:r>
      <w:bookmarkEnd w:id="5957"/>
    </w:p>
    <w:p>
      <w:pPr>
        <w:pStyle w:val="Normal"/>
      </w:pPr>
      <w:r>
        <w:t xml:space="preserve">Tomando el cuerpo humano como sistema de referencia, ubique cada elemento en su nivel.</w:t>
      </w:r>
    </w:p>
    <w:p>
      <w:pPr>
        <w:pStyle w:val="Normal"/>
      </w:pPr>
      <w:r>
        <w:t xml:space="preserve">a) Destinos: Subsistema; Sistema de referencia; Suprasistema</w:t>
      </w:r>
    </w:p>
    <w:p>
      <w:pPr>
        <w:pStyle w:val="Normal"/>
      </w:pPr>
      <w:r>
        <w:t xml:space="preserve">b) El sistema respiratorio</w:t>
      </w:r>
    </w:p>
    <w:p>
      <w:pPr>
        <w:pStyle w:val="Normal"/>
      </w:pPr>
      <w:r>
        <w:t xml:space="preserve">c) Una célula</w:t>
      </w:r>
    </w:p>
    <w:p>
      <w:pPr>
        <w:pStyle w:val="Normal"/>
      </w:pPr>
      <w:r>
        <w:t xml:space="preserve">d) El cuerpo humano</w:t>
      </w:r>
    </w:p>
    <w:p>
      <w:pPr>
        <w:pStyle w:val="Normal"/>
      </w:pPr>
      <w:r>
        <w:t xml:space="preserve">e) La familia</w:t>
      </w:r>
    </w:p>
    <w:p>
      <w:pPr>
        <w:pStyle w:val="Heading3"/>
      </w:pPr>
      <w:bookmarkStart w:name="b_pregunta_cmp_24_emergencia_por_nivel" w:id="5958"/>
      <w:r>
        <w:t xml:space="preserve">S1-96 · 2.4 · Sub y suprasistemas</w:t>
      </w:r>
      <w:bookmarkEnd w:id="5958"/>
    </w:p>
    <w:p>
      <w:pPr>
        <w:pStyle w:val="Normal"/>
      </w:pPr>
      <w:r>
        <w:t xml:space="preserve">¿Por qué una propiedad emergente sólo se reconoce si se declara el nivel de análisis?</w:t>
      </w:r>
    </w:p>
    <w:p>
      <w:pPr>
        <w:pStyle w:val="Normal"/>
      </w:pPr>
      <w:r>
        <w:t xml:space="preserve">a) Porque los niveles siempre son tres</w:t>
      </w:r>
    </w:p>
    <w:p>
      <w:pPr>
        <w:pStyle w:val="Normal"/>
      </w:pPr>
      <w:r>
        <w:t xml:space="preserve">b) Porque «emergente» significa que la propiedad pertenece al todo y no a las partes: sin saber qué es el todo, no se puede decir de quién es la propiedad</w:t>
      </w:r>
    </w:p>
    <w:p>
      <w:pPr>
        <w:pStyle w:val="Normal"/>
      </w:pPr>
      <w:r>
        <w:t xml:space="preserve">c) Porque las partes no tienen propiedades</w:t>
      </w:r>
    </w:p>
    <w:p>
      <w:pPr>
        <w:pStyle w:val="Normal"/>
      </w:pPr>
      <w:r>
        <w:t xml:space="preserve">d) Porque cada nivel tiene su propia unidad de medida</w:t>
      </w:r>
    </w:p>
    <w:p>
      <w:pPr>
        <w:pStyle w:val="Heading3"/>
      </w:pPr>
      <w:bookmarkStart w:name="b_pregunta_p1_bosque_pertenencia" w:id="5959"/>
      <w:r>
        <w:t xml:space="preserve">S1-97 · 2.4 · Sub y suprasistemas</w:t>
      </w:r>
      <w:bookmarkEnd w:id="5959"/>
    </w:p>
    <w:p>
      <w:pPr>
        <w:pStyle w:val="Normal"/>
      </w:pPr>
      <w:r>
        <w:t xml:space="preserve">¿Qué conjunto corresponde a sistemas mayores que contienen o sitúan al bosque según la presentación?</w:t>
      </w:r>
    </w:p>
    <w:p>
      <w:pPr>
        <w:pStyle w:val="Normal"/>
      </w:pPr>
      <w:r>
        <w:t xml:space="preserve">a) Productores, consumidores y descomponedores como únicos suprasistemas</w:t>
      </w:r>
    </w:p>
    <w:p>
      <w:pPr>
        <w:pStyle w:val="Normal"/>
      </w:pPr>
      <w:r>
        <w:t xml:space="preserve">b) Lluvia, CO</w:t>
      </w:r>
      <w:r>
        <w:rPr>
          <w:vertAlign w:val="subscript"/>
        </w:rPr>
        <w:t xml:space="preserve">2</w:t>
      </w:r>
      <w:r>
        <w:t xml:space="preserve"> y nutrientes como niveles de pertenencia</w:t>
      </w:r>
    </w:p>
    <w:p>
      <w:pPr>
        <w:pStyle w:val="Normal"/>
      </w:pPr>
      <w:r>
        <w:t xml:space="preserve">c) Bioma, ecosfera terrestre y sistema climático global</w:t>
      </w:r>
    </w:p>
    <w:p>
      <w:pPr>
        <w:pStyle w:val="Normal"/>
      </w:pPr>
      <w:r>
        <w:t xml:space="preserve">d) Madera y oxígeno como sistemas mayores contenedores</w:t>
      </w:r>
    </w:p>
    <w:p>
      <w:pPr>
        <w:pStyle w:val="Heading3"/>
      </w:pPr>
      <w:bookmarkStart w:name="b_pregunta_p1_composicion_descomponer" w:id="5960"/>
      <w:r>
        <w:t xml:space="preserve">S1-98 · 2.4 · Sub y suprasistemas</w:t>
      </w:r>
      <w:bookmarkEnd w:id="5960"/>
    </w:p>
    <w:p>
      <w:pPr>
        <w:pStyle w:val="Normal"/>
      </w:pPr>
      <w:r>
        <w:t xml:space="preserve">¿Qué relaciona composición y descomponibilidad con la escala de un sistema?</w:t>
      </w:r>
    </w:p>
    <w:p>
      <w:pPr>
        <w:pStyle w:val="Normal"/>
      </w:pPr>
      <w:r>
        <w:t xml:space="preserve">a) Suponer que desarmar un sistema siempre conserva su emergencia</w:t>
      </w:r>
    </w:p>
    <w:p>
      <w:pPr>
        <w:pStyle w:val="Normal"/>
      </w:pPr>
      <w:r>
        <w:t xml:space="preserve">b) Contar únicamente piezas sin atender niveles</w:t>
      </w:r>
    </w:p>
    <w:p>
      <w:pPr>
        <w:pStyle w:val="Normal"/>
      </w:pPr>
      <w:r>
        <w:t xml:space="preserve">c) Afirmar que todo nivel tiene un jefe externo y una secuencia obligatoria</w:t>
      </w:r>
    </w:p>
    <w:p>
      <w:pPr>
        <w:pStyle w:val="Normal"/>
      </w:pPr>
      <w:r>
        <w:t xml:space="preserve">d) Agrupar partes en unidades superiores y analizar subestructuras conservando sus relaciones</w:t>
      </w:r>
    </w:p>
    <w:p>
      <w:pPr>
        <w:pStyle w:val="Heading3"/>
      </w:pPr>
      <w:bookmarkStart w:name="b_pregunta_u2a_10_jerarquia" w:id="5961"/>
      <w:r>
        <w:t xml:space="preserve">S1-99 · 2.4 · Sub y suprasistemas</w:t>
      </w:r>
      <w:bookmarkEnd w:id="5961"/>
    </w:p>
    <w:p>
      <w:pPr>
        <w:pStyle w:val="Normal"/>
      </w:pPr>
      <w:r>
        <w:t xml:space="preserve">Ordene estos niveles del menor al mayor grado de inclusión, tomando como sistema de referencia una facultad.</w:t>
      </w:r>
    </w:p>
    <w:p>
      <w:pPr>
        <w:pStyle w:val="Normal"/>
      </w:pPr>
      <w:r>
        <w:t xml:space="preserve">a) La universidad</w:t>
      </w:r>
    </w:p>
    <w:p>
      <w:pPr>
        <w:pStyle w:val="Normal"/>
      </w:pPr>
      <w:r>
        <w:t xml:space="preserve">b) Un estudiante</w:t>
      </w:r>
    </w:p>
    <w:p>
      <w:pPr>
        <w:pStyle w:val="Normal"/>
      </w:pPr>
      <w:r>
        <w:t xml:space="preserve">c) La facultad</w:t>
      </w:r>
    </w:p>
    <w:p>
      <w:pPr>
        <w:pStyle w:val="Normal"/>
      </w:pPr>
      <w:r>
        <w:t xml:space="preserve">d) Un curso</w:t>
      </w:r>
    </w:p>
    <w:p>
      <w:pPr>
        <w:pStyle w:val="Heading3"/>
      </w:pPr>
      <w:bookmarkStart w:name="b_pregunta_u2a_11_suprasistema" w:id="5962"/>
      <w:r>
        <w:t xml:space="preserve">S1-100 · 2.4 · Sub y suprasistemas</w:t>
      </w:r>
      <w:bookmarkEnd w:id="5962"/>
    </w:p>
    <w:p>
      <w:pPr>
        <w:pStyle w:val="Normal"/>
      </w:pPr>
      <w:r>
        <w:t xml:space="preserve">Si tomamos un curso como sistema de referencia, ¿qué es la facultad?</w:t>
      </w:r>
    </w:p>
    <w:p>
      <w:pPr>
        <w:pStyle w:val="Normal"/>
      </w:pPr>
      <w:r>
        <w:t xml:space="preserve">a) Un subsistema del curso</w:t>
      </w:r>
    </w:p>
    <w:p>
      <w:pPr>
        <w:pStyle w:val="Normal"/>
      </w:pPr>
      <w:r>
        <w:t xml:space="preserve">b) El suprasistema que lo contiene</w:t>
      </w:r>
    </w:p>
    <w:p>
      <w:pPr>
        <w:pStyle w:val="Normal"/>
      </w:pPr>
      <w:r>
        <w:t xml:space="preserve">c) Un sistema sin relación con el curso</w:t>
      </w:r>
    </w:p>
    <w:p>
      <w:pPr>
        <w:pStyle w:val="Normal"/>
      </w:pPr>
      <w:r>
        <w:t xml:space="preserve">d) Una propiedad emergente del curso</w:t>
      </w:r>
    </w:p>
    <w:p>
      <w:pPr>
        <w:pStyle w:val="Heading3"/>
      </w:pPr>
      <w:bookmarkStart w:name="b_pregunta_u2a_12_nivel_de_analisis" w:id="5963"/>
      <w:r>
        <w:t xml:space="preserve">S1-101 · 2.4 · Sub y suprasistemas</w:t>
      </w:r>
      <w:bookmarkEnd w:id="5963"/>
    </w:p>
    <w:p>
      <w:pPr>
        <w:pStyle w:val="Normal"/>
      </w:pPr>
      <w:r>
        <w:t xml:space="preserve">¿Por qué el curso insiste en declarar el nivel de análisis antes de describir un sistema?</w:t>
      </w:r>
    </w:p>
    <w:p>
      <w:pPr>
        <w:pStyle w:val="Normal"/>
      </w:pPr>
      <w:r>
        <w:t xml:space="preserve">a) Porque es un requisito administrativo</w:t>
      </w:r>
    </w:p>
    <w:p>
      <w:pPr>
        <w:pStyle w:val="Normal"/>
      </w:pPr>
      <w:r>
        <w:t xml:space="preserve">b) Porque sin declararlo se confunden propiedades del todo con propiedades de las partes</w:t>
      </w:r>
    </w:p>
    <w:p>
      <w:pPr>
        <w:pStyle w:val="Normal"/>
      </w:pPr>
      <w:r>
        <w:t xml:space="preserve">c) Porque los niveles siempre son cuatro</w:t>
      </w:r>
    </w:p>
    <w:p>
      <w:pPr>
        <w:pStyle w:val="Normal"/>
      </w:pPr>
      <w:r>
        <w:t xml:space="preserve">d) Porque así se evita usar diagramas</w:t>
      </w:r>
    </w:p>
    <w:p>
      <w:pPr>
        <w:pStyle w:val="Heading3"/>
      </w:pPr>
      <w:r>
        <w:t xml:space="preserve">Tema 2.5 · Sinergia y emergencia</w:t>
      </w:r>
    </w:p>
    <w:p>
      <w:pPr>
        <w:pStyle w:val="Heading3"/>
      </w:pPr>
      <w:bookmarkStart w:name="b_pregunta_ec2_02_emergente_poblacion" w:id="5964"/>
      <w:r>
        <w:t xml:space="preserve">S1-102 · 2.5 · Sinergia y emergencia</w:t>
      </w:r>
      <w:bookmarkEnd w:id="5964"/>
    </w:p>
    <w:p>
      <w:pPr>
        <w:pStyle w:val="Normal"/>
      </w:pPr>
      <w:r>
        <w:t xml:space="preserve">¿Cuál de las siguientes es una propiedad emergente de la población de Guatemala?</w:t>
      </w:r>
    </w:p>
    <w:p>
      <w:pPr>
        <w:pStyle w:val="Normal"/>
      </w:pPr>
      <w:r>
        <w:t xml:space="preserve">a) Tasa de nacimientos anual</w:t>
      </w:r>
    </w:p>
    <w:p>
      <w:pPr>
        <w:pStyle w:val="Normal"/>
      </w:pPr>
      <w:r>
        <w:t xml:space="preserve">b) La dirección donde vive un artista reconocido</w:t>
      </w:r>
    </w:p>
    <w:p>
      <w:pPr>
        <w:pStyle w:val="Normal"/>
      </w:pPr>
      <w:r>
        <w:t xml:space="preserve">c) Cantidad de hijos en una familia</w:t>
      </w:r>
    </w:p>
    <w:p>
      <w:pPr>
        <w:pStyle w:val="Normal"/>
      </w:pPr>
      <w:r>
        <w:t xml:space="preserve">d) Edad de cada persona</w:t>
      </w:r>
    </w:p>
    <w:p>
      <w:pPr>
        <w:pStyle w:val="Heading3"/>
      </w:pPr>
      <w:bookmarkStart w:name="b_pregunta_ec2_03_diferenciacio_315d4368" w:id="5965"/>
      <w:r>
        <w:t xml:space="preserve">S1-103 · 2.5 · Sinergia y emergencia</w:t>
      </w:r>
      <w:bookmarkEnd w:id="5965"/>
    </w:p>
    <w:p>
      <w:pPr>
        <w:pStyle w:val="Normal"/>
      </w:pPr>
      <w:r>
        <w:t xml:space="preserve">Entre la diferenciación e integración (análisis y síntesis) que se puede encontrar en muchos sistemas complejos, ¿cuál es la más importante para el pensador sistémico?</w:t>
      </w:r>
    </w:p>
    <w:p>
      <w:pPr>
        <w:pStyle w:val="Normal"/>
      </w:pPr>
      <w:r>
        <w:t xml:space="preserve">a) Ambas son importantes y lo mejor es mantener un equilibrio entre ambas</w:t>
      </w:r>
    </w:p>
    <w:p>
      <w:pPr>
        <w:pStyle w:val="Normal"/>
      </w:pPr>
      <w:r>
        <w:t xml:space="preserve">b) Ninguna es importante, hay algo más importante que estas dos</w:t>
      </w:r>
    </w:p>
    <w:p>
      <w:pPr>
        <w:pStyle w:val="Normal"/>
      </w:pPr>
      <w:r>
        <w:t xml:space="preserve">c) La integración</w:t>
      </w:r>
    </w:p>
    <w:p>
      <w:pPr>
        <w:pStyle w:val="Normal"/>
      </w:pPr>
      <w:r>
        <w:t xml:space="preserve">d) La diferenciación</w:t>
      </w:r>
    </w:p>
    <w:p>
      <w:pPr>
        <w:pStyle w:val="Heading3"/>
      </w:pPr>
      <w:bookmarkStart w:name="b_pregunta_ec2_05_propiedades_emergentes" w:id="5966"/>
      <w:r>
        <w:t xml:space="preserve">S1-104 · 2.5 · Sinergia y emergencia</w:t>
      </w:r>
      <w:bookmarkEnd w:id="5966"/>
    </w:p>
    <w:p>
      <w:pPr>
        <w:pStyle w:val="Normal"/>
      </w:pPr>
      <w:r>
        <w:t xml:space="preserve">¿Qué se conoce en la Teoría de sistemas bajo el concepto de propiedades emergentes?</w:t>
      </w:r>
    </w:p>
    <w:p>
      <w:pPr>
        <w:pStyle w:val="Normal"/>
      </w:pPr>
      <w:r>
        <w:t xml:space="preserve">a) Aquellas propias del sistema pero no de sus partes individuales</w:t>
      </w:r>
    </w:p>
    <w:p>
      <w:pPr>
        <w:pStyle w:val="Normal"/>
      </w:pPr>
      <w:r>
        <w:t xml:space="preserve">b) Aquellas cuyo valor es proporcional a la complejidad del sistema</w:t>
      </w:r>
    </w:p>
    <w:p>
      <w:pPr>
        <w:pStyle w:val="Normal"/>
      </w:pPr>
      <w:r>
        <w:t xml:space="preserve">c) Aquellas independientes del tamaño del sistema</w:t>
      </w:r>
    </w:p>
    <w:p>
      <w:pPr>
        <w:pStyle w:val="Normal"/>
      </w:pPr>
      <w:r>
        <w:t xml:space="preserve">d) Aquellas que relacionan el sistema con su medio</w:t>
      </w:r>
    </w:p>
    <w:p>
      <w:pPr>
        <w:pStyle w:val="Heading3"/>
      </w:pPr>
      <w:bookmarkStart w:name="b_pregunta_ec2_07_sinergia" w:id="5967"/>
      <w:r>
        <w:t xml:space="preserve">S1-105 · 2.5 · Sinergia y emergencia</w:t>
      </w:r>
      <w:bookmarkEnd w:id="5967"/>
    </w:p>
    <w:p>
      <w:pPr>
        <w:pStyle w:val="Normal"/>
      </w:pPr>
      <w:r>
        <w:t xml:space="preserve">En la teoría de sistemas, ¿cómo se denomina la propiedad por la cual la capacidad de actuación de un sistema es superior a la de sus componentes sumados individualmente?</w:t>
      </w:r>
    </w:p>
    <w:p>
      <w:pPr>
        <w:pStyle w:val="Normal"/>
      </w:pPr>
      <w:r>
        <w:t xml:space="preserve">a) Homeostasis</w:t>
      </w:r>
    </w:p>
    <w:p>
      <w:pPr>
        <w:pStyle w:val="Normal"/>
      </w:pPr>
      <w:r>
        <w:t xml:space="preserve">b) Sinergia</w:t>
      </w:r>
    </w:p>
    <w:p>
      <w:pPr>
        <w:pStyle w:val="Normal"/>
      </w:pPr>
      <w:r>
        <w:t xml:space="preserve">c) Entropía</w:t>
      </w:r>
    </w:p>
    <w:p>
      <w:pPr>
        <w:pStyle w:val="Normal"/>
      </w:pPr>
      <w:r>
        <w:t xml:space="preserve">d) Emergencia</w:t>
      </w:r>
    </w:p>
    <w:p>
      <w:pPr>
        <w:pStyle w:val="Heading3"/>
      </w:pPr>
      <w:bookmarkStart w:name="b_pregunta_p1_mosaico_organizacion" w:id="5968"/>
      <w:r>
        <w:t xml:space="preserve">S1-106 · 2.5 · Sinergia y emergencia</w:t>
      </w:r>
      <w:bookmarkEnd w:id="5968"/>
    </w:p>
    <w:p>
      <w:pPr>
        <w:pStyle w:val="Normal"/>
      </w:pPr>
      <w:r>
        <w:t xml:space="preserve">Las mismas piezas dejan de mostrar una mariposa al dispersarse. ¿Qué cambió que importa para la emergencia?</w:t>
      </w:r>
    </w:p>
    <w:p>
      <w:pPr>
        <w:pStyle w:val="Normal"/>
      </w:pPr>
      <w:r>
        <w:t xml:space="preserve">a) Las relaciones y la organización del conjunto</w:t>
      </w:r>
    </w:p>
    <w:p>
      <w:pPr>
        <w:pStyle w:val="Normal"/>
      </w:pPr>
      <w:r>
        <w:t xml:space="preserve">b) La necesidad de analizar cualquier pieza</w:t>
      </w:r>
    </w:p>
    <w:p>
      <w:pPr>
        <w:pStyle w:val="Normal"/>
      </w:pPr>
      <w:r>
        <w:t xml:space="preserve">c) El número de colores demuestra que no hay sistema</w:t>
      </w:r>
    </w:p>
    <w:p>
      <w:pPr>
        <w:pStyle w:val="Normal"/>
      </w:pPr>
      <w:r>
        <w:t xml:space="preserve">d) Cada pieza perdió por sí sola una mariposa que contenía entera</w:t>
      </w:r>
    </w:p>
    <w:p>
      <w:pPr>
        <w:pStyle w:val="Heading3"/>
      </w:pPr>
      <w:bookmarkStart w:name="b_pregunta_u2a_13_sinergia_vs_emergencia" w:id="5969"/>
      <w:r>
        <w:t xml:space="preserve">S1-107 · 2.5 · Sinergia y emergencia</w:t>
      </w:r>
      <w:bookmarkEnd w:id="5969"/>
    </w:p>
    <w:p>
      <w:pPr>
        <w:pStyle w:val="Normal"/>
      </w:pPr>
      <w:r>
        <w:t xml:space="preserve">Relacione cada concepto con lo que designa.</w:t>
      </w:r>
    </w:p>
    <w:p>
      <w:pPr>
        <w:pStyle w:val="Normal"/>
      </w:pPr>
      <w:r>
        <w:t xml:space="preserve">a) Fila: Sinergia</w:t>
      </w:r>
    </w:p>
    <w:p>
      <w:pPr>
        <w:pStyle w:val="Normal"/>
      </w:pPr>
      <w:r>
        <w:t xml:space="preserve">b) Fila: Emergencia</w:t>
      </w:r>
    </w:p>
    <w:p>
      <w:pPr>
        <w:pStyle w:val="Normal"/>
      </w:pPr>
      <w:r>
        <w:t xml:space="preserve">c) Fila: Conglomerado</w:t>
      </w:r>
    </w:p>
    <w:p>
      <w:pPr>
        <w:pStyle w:val="Normal"/>
      </w:pPr>
      <w:r>
        <w:t xml:space="preserve">d) a) La capacidad del conjunto es superior a la suma de sus componentes</w:t>
      </w:r>
    </w:p>
    <w:p>
      <w:pPr>
        <w:pStyle w:val="Normal"/>
      </w:pPr>
      <w:r>
        <w:t xml:space="preserve">e) b) Aparece en el todo una propiedad que ninguna parte posee por separado</w:t>
      </w:r>
    </w:p>
    <w:p>
      <w:pPr>
        <w:pStyle w:val="Normal"/>
      </w:pPr>
      <w:r>
        <w:t xml:space="preserve">f) c) Serie de partes sin la sinergia de una totalidad</w:t>
      </w:r>
    </w:p>
    <w:p>
      <w:pPr>
        <w:pStyle w:val="Normal"/>
      </w:pPr>
      <w:r>
        <w:t xml:space="preserve">g) d) Equilibrio que el sistema mantiene con su medio</w:t>
      </w:r>
    </w:p>
    <w:p>
      <w:pPr>
        <w:pStyle w:val="Heading3"/>
      </w:pPr>
      <w:bookmarkStart w:name="b_pregunta_u2a_14_emergente_ejemplos" w:id="5970"/>
      <w:r>
        <w:t xml:space="preserve">S1-108 · 2.5 · Sinergia y emergencia</w:t>
      </w:r>
      <w:bookmarkEnd w:id="5970"/>
    </w:p>
    <w:p>
      <w:pPr>
        <w:pStyle w:val="Normal"/>
      </w:pPr>
      <w:r>
        <w:t xml:space="preserve">¿Cuáles de las siguientes son propiedades emergentes y no atributos de una parte?</w:t>
      </w:r>
    </w:p>
    <w:p>
      <w:pPr>
        <w:pStyle w:val="Normal"/>
      </w:pPr>
      <w:r>
        <w:t xml:space="preserve">a) La cultura de una organización</w:t>
      </w:r>
    </w:p>
    <w:p>
      <w:pPr>
        <w:pStyle w:val="Normal"/>
      </w:pPr>
      <w:r>
        <w:t xml:space="preserve">b) El salario de un empleado</w:t>
      </w:r>
    </w:p>
    <w:p>
      <w:pPr>
        <w:pStyle w:val="Normal"/>
      </w:pPr>
      <w:r>
        <w:t xml:space="preserve">c) La congestión de una avenida</w:t>
      </w:r>
    </w:p>
    <w:p>
      <w:pPr>
        <w:pStyle w:val="Normal"/>
      </w:pPr>
      <w:r>
        <w:t xml:space="preserve">d) La marca del vehículo de un conductor</w:t>
      </w:r>
    </w:p>
    <w:p>
      <w:pPr>
        <w:pStyle w:val="Heading3"/>
      </w:pPr>
      <w:bookmarkStart w:name="b_pregunta_u2a_15_analisis_sintesis" w:id="5971"/>
      <w:r>
        <w:t xml:space="preserve">S1-109 · 2.5 · Sinergia y emergencia</w:t>
      </w:r>
      <w:bookmarkEnd w:id="5971"/>
    </w:p>
    <w:p>
      <w:pPr>
        <w:pStyle w:val="Normal"/>
      </w:pPr>
      <w:r>
        <w:t xml:space="preserve">Relacione cada operación con lo que hace y con su otro nombre en la teoría de sistemas.</w:t>
      </w:r>
    </w:p>
    <w:p>
      <w:pPr>
        <w:pStyle w:val="Normal"/>
      </w:pPr>
      <w:r>
        <w:t xml:space="preserve">a) Fila: Análisis (diferenciación)</w:t>
      </w:r>
    </w:p>
    <w:p>
      <w:pPr>
        <w:pStyle w:val="Normal"/>
      </w:pPr>
      <w:r>
        <w:t xml:space="preserve">b) Fila: Síntesis (integración)</w:t>
      </w:r>
    </w:p>
    <w:p>
      <w:pPr>
        <w:pStyle w:val="Normal"/>
      </w:pPr>
      <w:r>
        <w:t xml:space="preserve">c) a) Separa el todo para conocer sus partes</w:t>
      </w:r>
    </w:p>
    <w:p>
      <w:pPr>
        <w:pStyle w:val="Normal"/>
      </w:pPr>
      <w:r>
        <w:t xml:space="preserve">d) b) Reúne las partes para comprender sus relaciones y el comportamiento del conjunto</w:t>
      </w:r>
    </w:p>
    <w:p>
      <w:pPr>
        <w:pStyle w:val="Normal"/>
      </w:pPr>
      <w:r>
        <w:t xml:space="preserve">e) c) Mide las variables del sistema en el tiempo</w:t>
      </w:r>
    </w:p>
    <w:p>
      <w:pPr>
        <w:pStyle w:val="Heading3"/>
      </w:pPr>
      <w:bookmarkStart w:name="b_pregunta_u2a_16_uno_mas_uno" w:id="5972"/>
      <w:r>
        <w:t xml:space="preserve">S1-110 · 2.5 · Sinergia y emergencia</w:t>
      </w:r>
      <w:bookmarkEnd w:id="5972"/>
    </w:p>
    <w:p>
      <w:pPr>
        <w:pStyle w:val="Normal"/>
      </w:pPr>
      <w:r>
        <w:t xml:space="preserve">¿Qué quiere decir la fórmula «1 + 1 = 3» con la que el curso ilustra la sinergia?</w:t>
      </w:r>
    </w:p>
    <w:p>
      <w:pPr>
        <w:pStyle w:val="Normal"/>
      </w:pPr>
      <w:r>
        <w:t xml:space="preserve">a) Que la aritmética no aplica a los sistemas</w:t>
      </w:r>
    </w:p>
    <w:p>
      <w:pPr>
        <w:pStyle w:val="Normal"/>
      </w:pPr>
      <w:r>
        <w:t xml:space="preserve">b) Que al interactuar, dos elementos generan una propiedad adicional que no es una tercera parte sino algo que emerge de su interacción</w:t>
      </w:r>
    </w:p>
    <w:p>
      <w:pPr>
        <w:pStyle w:val="Normal"/>
      </w:pPr>
      <w:r>
        <w:t xml:space="preserve">c) Que todo sistema tiene tres componentes</w:t>
      </w:r>
    </w:p>
    <w:p>
      <w:pPr>
        <w:pStyle w:val="Normal"/>
      </w:pPr>
      <w:r>
        <w:t xml:space="preserve">d) Que la sinergia siempre triplica el rendimiento</w:t>
      </w:r>
    </w:p>
    <w:p>
      <w:pPr>
        <w:pStyle w:val="Heading3"/>
      </w:pPr>
      <w:r>
        <w:t xml:space="preserve">Tema 2.6 · Complejidad sistémica</w:t>
      </w:r>
    </w:p>
    <w:p>
      <w:pPr>
        <w:pStyle w:val="Heading3"/>
      </w:pPr>
      <w:bookmarkStart w:name="b_pregunta_ec2_08_complejo_vs_adaptativo" w:id="5973"/>
      <w:r>
        <w:t xml:space="preserve">S1-111 · 2.6 · Complejidad sistémica</w:t>
      </w:r>
      <w:bookmarkEnd w:id="5973"/>
    </w:p>
    <w:p>
      <w:pPr>
        <w:pStyle w:val="Normal"/>
      </w:pPr>
      <w:r>
        <w:t xml:space="preserve">¿Cuáles de las siguientes características están presentes en un sistema adaptativo complejo y cuáles en un sistema complejo?</w:t>
      </w:r>
    </w:p>
    <w:p>
      <w:pPr>
        <w:pStyle w:val="Normal"/>
      </w:pPr>
      <w:r>
        <w:t xml:space="preserve">a) Destinos: Sistema complejo; Sistema adaptativo complejo</w:t>
      </w:r>
    </w:p>
    <w:p>
      <w:pPr>
        <w:pStyle w:val="Normal"/>
      </w:pPr>
      <w:r>
        <w:t xml:space="preserve">b) Diverso y conformado por múltiples elementos y relaciones</w:t>
      </w:r>
    </w:p>
    <w:p>
      <w:pPr>
        <w:pStyle w:val="Normal"/>
      </w:pPr>
      <w:r>
        <w:t xml:space="preserve">c) Tiene un número diverso de niveles o escalas que van de lo simple a lo complejo creando una estructura auto-organizada de niveles</w:t>
      </w:r>
    </w:p>
    <w:p>
      <w:pPr>
        <w:pStyle w:val="Normal"/>
      </w:pPr>
      <w:r>
        <w:t xml:space="preserve">d) Tiene la capacidad de cambiar y aprender de la experiencia</w:t>
      </w:r>
    </w:p>
    <w:p>
      <w:pPr>
        <w:pStyle w:val="Normal"/>
      </w:pPr>
      <w:r>
        <w:t xml:space="preserve">e) Contiene relaciones cíclicas de retroalimentación positivas o negativas que forman su comportamiento</w:t>
      </w:r>
    </w:p>
    <w:p>
      <w:pPr>
        <w:pStyle w:val="Normal"/>
      </w:pPr>
      <w:r>
        <w:t xml:space="preserve">f) Presentan homeostasis</w:t>
      </w:r>
    </w:p>
    <w:p>
      <w:pPr>
        <w:pStyle w:val="Heading3"/>
      </w:pPr>
      <w:bookmarkStart w:name="b_pregunta_p1_control_escala" w:id="5974"/>
      <w:r>
        <w:t xml:space="preserve">S1-112 · 2.6 · Complejidad sistémica</w:t>
      </w:r>
      <w:bookmarkEnd w:id="5974"/>
    </w:p>
    <w:p>
      <w:pPr>
        <w:pStyle w:val="Normal"/>
      </w:pPr>
      <w:r>
        <w:t xml:space="preserve">¿Qué lectura corresponde a «estructuras de control» en el eje de escala de la figura?</w:t>
      </w:r>
    </w:p>
    <w:p>
      <w:pPr>
        <w:pStyle w:val="Normal"/>
      </w:pPr>
      <w:r>
        <w:t xml:space="preserve">a) Son un sinónimo de contar componentes desconectados</w:t>
      </w:r>
    </w:p>
    <w:p>
      <w:pPr>
        <w:pStyle w:val="Normal"/>
      </w:pPr>
      <w:r>
        <w:t xml:space="preserve">b) Prueban que todos los sistemas siguen las mismas fases obligatorias</w:t>
      </w:r>
    </w:p>
    <w:p>
      <w:pPr>
        <w:pStyle w:val="Normal"/>
      </w:pPr>
      <w:r>
        <w:t xml:space="preserve">c) Indican que la autoorganización elimina toda relación entre partes</w:t>
      </w:r>
    </w:p>
    <w:p>
      <w:pPr>
        <w:pStyle w:val="Normal"/>
      </w:pPr>
      <w:r>
        <w:t xml:space="preserve">d) Coordinan o regulan partes, entre compuestos y autoorganización, sin exigir un jefe externo</w:t>
      </w:r>
    </w:p>
    <w:p>
      <w:pPr>
        <w:pStyle w:val="Heading3"/>
      </w:pPr>
      <w:bookmarkStart w:name="b_pregunta_p1_poder_incertidumbre" w:id="5975"/>
      <w:r>
        <w:t xml:space="preserve">S1-113 · 2.6 · Complejidad sistémica</w:t>
      </w:r>
      <w:bookmarkEnd w:id="5975"/>
    </w:p>
    <w:p>
      <w:pPr>
        <w:pStyle w:val="Normal"/>
      </w:pPr>
      <w:r>
        <w:t xml:space="preserve">¿Qué combinación debe incluir el estudio de una intervención compleja?</w:t>
      </w:r>
    </w:p>
    <w:p>
      <w:pPr>
        <w:pStyle w:val="Normal"/>
      </w:pPr>
      <w:r>
        <w:t xml:space="preserve">a) Sólo número de piezas y certeza sobre todos los efectos</w:t>
      </w:r>
    </w:p>
    <w:p>
      <w:pPr>
        <w:pStyle w:val="Normal"/>
      </w:pPr>
      <w:r>
        <w:t xml:space="preserve">b) Conflictos de expectativas, relaciones de poder e incertidumbre sobre efectos con información limitada</w:t>
      </w:r>
    </w:p>
    <w:p>
      <w:pPr>
        <w:pStyle w:val="Normal"/>
      </w:pPr>
      <w:r>
        <w:t xml:space="preserve">c) Sólo los intereses de quien puede pagar la intervención</w:t>
      </w:r>
    </w:p>
    <w:p>
      <w:pPr>
        <w:pStyle w:val="Normal"/>
      </w:pPr>
      <w:r>
        <w:t xml:space="preserve">d) Acuerdo sobre una acción como prueba de que no habrá consecuencias imprevistas</w:t>
      </w:r>
    </w:p>
    <w:p>
      <w:pPr>
        <w:pStyle w:val="Heading3"/>
      </w:pPr>
      <w:bookmarkStart w:name="b_pregunta_p1_resistencia_repentina" w:id="5976"/>
      <w:r>
        <w:t xml:space="preserve">S1-114 · 2.6 · Complejidad sistémica</w:t>
      </w:r>
      <w:bookmarkEnd w:id="5976"/>
    </w:p>
    <w:p>
      <w:pPr>
        <w:pStyle w:val="Normal"/>
      </w:pPr>
      <w:r>
        <w:t xml:space="preserve">¿Cómo puede una red resistir cambios locales y aun así transformarse de manera repentina?</w:t>
      </w:r>
    </w:p>
    <w:p>
      <w:pPr>
        <w:pStyle w:val="Normal"/>
      </w:pPr>
      <w:r>
        <w:t xml:space="preserve">a) La resistencia prueba que ningún cambio grande es posible</w:t>
      </w:r>
    </w:p>
    <w:p>
      <w:pPr>
        <w:pStyle w:val="Normal"/>
      </w:pPr>
      <w:r>
        <w:t xml:space="preserve">b) Toda transición brusca es sólo parálisis de una persona</w:t>
      </w:r>
    </w:p>
    <w:p>
      <w:pPr>
        <w:pStyle w:val="Normal"/>
      </w:pPr>
      <w:r>
        <w:t xml:space="preserve">c) Las interconexiones sostienen el estado y un cambio decisivo puede propagarse al conjunto</w:t>
      </w:r>
    </w:p>
    <w:p>
      <w:pPr>
        <w:pStyle w:val="Normal"/>
      </w:pPr>
      <w:r>
        <w:t xml:space="preserve">d) Cada parte cambia sin influir sobre ninguna otra</w:t>
      </w:r>
    </w:p>
    <w:p>
      <w:pPr>
        <w:pStyle w:val="Heading3"/>
      </w:pPr>
      <w:bookmarkStart w:name="b_pregunta_u2b_01_rasgos_complejo" w:id="5977"/>
      <w:r>
        <w:t xml:space="preserve">S1-115 · 2.6 · Complejidad sistémica</w:t>
      </w:r>
      <w:bookmarkEnd w:id="5977"/>
    </w:p>
    <w:p>
      <w:pPr>
        <w:pStyle w:val="Normal"/>
      </w:pPr>
      <w:r>
        <w:t xml:space="preserve">¿Qué rasgos caracterizan a un sistema complejo?</w:t>
      </w:r>
    </w:p>
    <w:p>
      <w:pPr>
        <w:pStyle w:val="Normal"/>
      </w:pPr>
      <w:r>
        <w:t xml:space="preserve">a) Muchos elementos y muchas relaciones entre ellos</w:t>
      </w:r>
    </w:p>
    <w:p>
      <w:pPr>
        <w:pStyle w:val="Normal"/>
      </w:pPr>
      <w:r>
        <w:t xml:space="preserve">b) Un único nivel de organización</w:t>
      </w:r>
    </w:p>
    <w:p>
      <w:pPr>
        <w:pStyle w:val="Normal"/>
      </w:pPr>
      <w:r>
        <w:t xml:space="preserve">c) Diversidad de niveles o escalas, de lo simple a lo complejo</w:t>
      </w:r>
    </w:p>
    <w:p>
      <w:pPr>
        <w:pStyle w:val="Normal"/>
      </w:pPr>
      <w:r>
        <w:t xml:space="preserve">d) Comportamiento siempre predecible a largo plazo</w:t>
      </w:r>
    </w:p>
    <w:p>
      <w:pPr>
        <w:pStyle w:val="Heading3"/>
      </w:pPr>
      <w:bookmarkStart w:name="b_pregunta_u2b_02_adaptativo_anade" w:id="5978"/>
      <w:r>
        <w:t xml:space="preserve">S1-116 · 2.6 · Complejidad sistémica</w:t>
      </w:r>
      <w:bookmarkEnd w:id="5978"/>
    </w:p>
    <w:p>
      <w:pPr>
        <w:pStyle w:val="Normal"/>
      </w:pPr>
      <w:r>
        <w:t xml:space="preserve">¿Qué añade el «adaptativo» a un sistema complejo?</w:t>
      </w:r>
    </w:p>
    <w:p>
      <w:pPr>
        <w:pStyle w:val="Normal"/>
      </w:pPr>
      <w:r>
        <w:t xml:space="preserve">a) Más elementos</w:t>
      </w:r>
    </w:p>
    <w:p>
      <w:pPr>
        <w:pStyle w:val="Normal"/>
      </w:pPr>
      <w:r>
        <w:t xml:space="preserve">b) La capacidad de cambiar y aprender de la experiencia</w:t>
      </w:r>
    </w:p>
    <w:p>
      <w:pPr>
        <w:pStyle w:val="Normal"/>
      </w:pPr>
      <w:r>
        <w:t xml:space="preserve">c) Una frontera más nítida</w:t>
      </w:r>
    </w:p>
    <w:p>
      <w:pPr>
        <w:pStyle w:val="Normal"/>
      </w:pPr>
      <w:r>
        <w:t xml:space="preserve">d) Ausencia de retroalimentación</w:t>
      </w:r>
    </w:p>
    <w:p>
      <w:pPr>
        <w:pStyle w:val="Heading3"/>
      </w:pPr>
      <w:bookmarkStart w:name="b_pregunta_u2b_03_complejo_no_e_62734dce" w:id="5979"/>
      <w:r>
        <w:t xml:space="preserve">S1-117 · 2.6 · Complejidad sistémica</w:t>
      </w:r>
      <w:bookmarkEnd w:id="5979"/>
    </w:p>
    <w:p>
      <w:pPr>
        <w:pStyle w:val="Normal"/>
      </w:pPr>
      <w:r>
        <w:t xml:space="preserve">Un reloj mecánico de mil piezas, ¿es un sistema complejo?</w:t>
      </w:r>
    </w:p>
    <w:p>
      <w:pPr>
        <w:pStyle w:val="Normal"/>
      </w:pPr>
      <w:r>
        <w:t xml:space="preserve">a) Sí, porque tiene muchas partes</w:t>
      </w:r>
    </w:p>
    <w:p>
      <w:pPr>
        <w:pStyle w:val="Normal"/>
      </w:pPr>
      <w:r>
        <w:t xml:space="preserve">b) No: es complicado. Tiene muchas piezas pero su comportamiento es predecible y no se autoorganiza ni aprende</w:t>
      </w:r>
    </w:p>
    <w:p>
      <w:pPr>
        <w:pStyle w:val="Normal"/>
      </w:pPr>
      <w:r>
        <w:t xml:space="preserve">c) Sí, porque sus piezas están conectadas</w:t>
      </w:r>
    </w:p>
    <w:p>
      <w:pPr>
        <w:pStyle w:val="Normal"/>
      </w:pPr>
      <w:r>
        <w:t xml:space="preserve">d) No, porque fue diseñado por humanos</w:t>
      </w:r>
    </w:p>
    <w:p>
      <w:pPr>
        <w:pStyle w:val="Heading3"/>
      </w:pPr>
      <w:bookmarkStart w:name="b_pregunta_u2b_04_parvada" w:id="5980"/>
      <w:r>
        <w:t xml:space="preserve">S1-118 · 2.6 · Complejidad sistémica</w:t>
      </w:r>
      <w:bookmarkEnd w:id="5980"/>
    </w:p>
    <w:p>
      <w:pPr>
        <w:pStyle w:val="Normal"/>
      </w:pPr>
      <w:r>
        <w:t xml:space="preserve">¿Por qué la parvada de pájaros sirve de ejemplo de sistema adaptativo complejo?</w:t>
      </w:r>
    </w:p>
    <w:p>
      <w:pPr>
        <w:pStyle w:val="Normal"/>
      </w:pPr>
      <w:r>
        <w:t xml:space="preserve">a) Porque un ave líder dirige a todas las demás</w:t>
      </w:r>
    </w:p>
    <w:p>
      <w:pPr>
        <w:pStyle w:val="Normal"/>
      </w:pPr>
      <w:r>
        <w:t xml:space="preserve">b) Porque el patrón del conjunto emerge de reglas locales simples que cada ave sigue, sin control centralizado</w:t>
      </w:r>
    </w:p>
    <w:p>
      <w:pPr>
        <w:pStyle w:val="Normal"/>
      </w:pPr>
      <w:r>
        <w:t xml:space="preserve">c) Porque las aves son sistemas naturales</w:t>
      </w:r>
    </w:p>
    <w:p>
      <w:pPr>
        <w:pStyle w:val="Normal"/>
      </w:pPr>
      <w:r>
        <w:t xml:space="preserve">d) Porque el número de aves es muy grande</w:t>
      </w:r>
    </w:p>
    <w:p>
      <w:pPr>
        <w:pStyle w:val="Heading3"/>
      </w:pPr>
      <w:r>
        <w:t xml:space="preserve">Tema 2.7 · El universo como sistemas</w:t>
      </w:r>
    </w:p>
    <w:p>
      <w:pPr>
        <w:pStyle w:val="Heading3"/>
      </w:pPr>
      <w:bookmarkStart w:name="b_pregunta_ec2_04_mapa_checkland" w:id="5981"/>
      <w:r>
        <w:t xml:space="preserve">S1-119 · 2.7 · El universo como sistemas</w:t>
      </w:r>
      <w:bookmarkEnd w:id="5981"/>
    </w:p>
    <w:p>
      <w:pPr>
        <w:pStyle w:val="Normal"/>
      </w:pPr>
      <w:r>
        <w:t xml:space="preserve">Relacione cada tipo de sistema existente en el mapa sistémico del universo con la definición, ejemplo o uso que podemos darles.</w:t>
      </w:r>
    </w:p>
    <w:p>
      <w:pPr>
        <w:pStyle w:val="Normal"/>
      </w:pPr>
      <w:r>
        <w:t xml:space="preserve">a) Fila: Herramientas individuales o sistemas automatizados</w:t>
      </w:r>
    </w:p>
    <w:p>
      <w:pPr>
        <w:pStyle w:val="Normal"/>
      </w:pPr>
      <w:r>
        <w:t xml:space="preserve">b) Fila: Sistemas de los cuales aprendemos</w:t>
      </w:r>
    </w:p>
    <w:p>
      <w:pPr>
        <w:pStyle w:val="Normal"/>
      </w:pPr>
      <w:r>
        <w:t xml:space="preserve">c) Fila: Ciudades, hogares, sistemas de comunicación, legales o de asistencia pública</w:t>
      </w:r>
    </w:p>
    <w:p>
      <w:pPr>
        <w:pStyle w:val="Normal"/>
      </w:pPr>
      <w:r>
        <w:t xml:space="preserve">d) Fila: Sistemas de conocimiento</w:t>
      </w:r>
    </w:p>
    <w:p>
      <w:pPr>
        <w:pStyle w:val="Normal"/>
      </w:pPr>
      <w:r>
        <w:t xml:space="preserve">e) a) Sistemas abstractos diseñados</w:t>
      </w:r>
    </w:p>
    <w:p>
      <w:pPr>
        <w:pStyle w:val="Normal"/>
      </w:pPr>
      <w:r>
        <w:t xml:space="preserve">f) b) Sistemas naturales</w:t>
      </w:r>
    </w:p>
    <w:p>
      <w:pPr>
        <w:pStyle w:val="Normal"/>
      </w:pPr>
      <w:r>
        <w:t xml:space="preserve">g) c) Sistemas galácticos</w:t>
      </w:r>
    </w:p>
    <w:p>
      <w:pPr>
        <w:pStyle w:val="Normal"/>
      </w:pPr>
      <w:r>
        <w:t xml:space="preserve">h) d) Sistemas físicos diseñados</w:t>
      </w:r>
    </w:p>
    <w:p>
      <w:pPr>
        <w:pStyle w:val="Normal"/>
      </w:pPr>
      <w:r>
        <w:t xml:space="preserve">i) e) Sistemas sociales</w:t>
      </w:r>
    </w:p>
    <w:p>
      <w:pPr>
        <w:pStyle w:val="Normal"/>
      </w:pPr>
      <w:r>
        <w:t xml:space="preserve">j) f) Sistemas de actividad humana</w:t>
      </w:r>
    </w:p>
    <w:p>
      <w:pPr>
        <w:pStyle w:val="Heading3"/>
      </w:pPr>
      <w:bookmarkStart w:name="b_pregunta_p1_concepto_modelo" w:id="5982"/>
      <w:r>
        <w:t xml:space="preserve">S1-120 · 2.7 · El universo como sistemas</w:t>
      </w:r>
      <w:bookmarkEnd w:id="5982"/>
    </w:p>
    <w:p>
      <w:pPr>
        <w:pStyle w:val="Normal"/>
      </w:pPr>
      <w:r>
        <w:t xml:space="preserve">¿En qué sentido la presentación considera el concepto de sistema más poderoso que un modelo aislado?</w:t>
      </w:r>
    </w:p>
    <w:p>
      <w:pPr>
        <w:pStyle w:val="Normal"/>
      </w:pPr>
      <w:r>
        <w:t xml:space="preserve">a) Convierte cualquier frase con la palabra sistema en una explicación verdadera</w:t>
      </w:r>
    </w:p>
    <w:p>
      <w:pPr>
        <w:pStyle w:val="Normal"/>
      </w:pPr>
      <w:r>
        <w:t xml:space="preserve">b) Vuelve innecesario contrastar modelos con datos</w:t>
      </w:r>
    </w:p>
    <w:p>
      <w:pPr>
        <w:pStyle w:val="Normal"/>
      </w:pPr>
      <w:r>
        <w:t xml:space="preserve">c) Organiza el contexto en el que pueden construirse y relacionarse modelos específicos</w:t>
      </w:r>
    </w:p>
    <w:p>
      <w:pPr>
        <w:pStyle w:val="Normal"/>
      </w:pPr>
      <w:r>
        <w:t xml:space="preserve">d) Demuestra que existe un único modelo completo de todo el universo</w:t>
      </w:r>
    </w:p>
    <w:p>
      <w:pPr>
        <w:pStyle w:val="Heading3"/>
      </w:pPr>
      <w:bookmarkStart w:name="b_pregunta_p1_objetivos_checkland" w:id="5983"/>
      <w:r>
        <w:t xml:space="preserve">S1-121 · 2.7 · El universo como sistemas</w:t>
      </w:r>
      <w:bookmarkEnd w:id="5983"/>
    </w:p>
    <w:p>
      <w:pPr>
        <w:pStyle w:val="Normal"/>
      </w:pPr>
      <w:r>
        <w:t xml:space="preserve">Según la premisa de la página 55, ¿qué cambia cuando los objetivos todavía no son definibles?</w:t>
      </w:r>
    </w:p>
    <w:p>
      <w:pPr>
        <w:pStyle w:val="Normal"/>
      </w:pPr>
      <w:r>
        <w:t xml:space="preserve">a) El enfoque ofrece un marco para debatir problemas relevantes, fines y criterios</w:t>
      </w:r>
    </w:p>
    <w:p>
      <w:pPr>
        <w:pStyle w:val="Normal"/>
      </w:pPr>
      <w:r>
        <w:t xml:space="preserve">b) Debe imponerse inmediatamente una solución técnica óptima</w:t>
      </w:r>
    </w:p>
    <w:p>
      <w:pPr>
        <w:pStyle w:val="Normal"/>
      </w:pPr>
      <w:r>
        <w:t xml:space="preserve">c) El enfoque deja de servir por completo</w:t>
      </w:r>
    </w:p>
    <w:p>
      <w:pPr>
        <w:pStyle w:val="Normal"/>
      </w:pPr>
      <w:r>
        <w:t xml:space="preserve">d) Ya no hace falta escuchar otras perspectivas</w:t>
      </w:r>
    </w:p>
    <w:p>
      <w:pPr>
        <w:pStyle w:val="Heading3"/>
      </w:pPr>
      <w:bookmarkStart w:name="b_pregunta_p1_preguntas_contexto" w:id="5984"/>
      <w:r>
        <w:t xml:space="preserve">S1-122 · 2.7 · El universo como sistemas</w:t>
      </w:r>
      <w:bookmarkEnd w:id="5984"/>
    </w:p>
    <w:p>
      <w:pPr>
        <w:pStyle w:val="Normal"/>
      </w:pPr>
      <w:r>
        <w:t xml:space="preserve">¿Qué preguntas metodológicas conservan el alcance multifacético del problema en la página 55?</w:t>
      </w:r>
    </w:p>
    <w:p>
      <w:pPr>
        <w:pStyle w:val="Normal"/>
      </w:pPr>
      <w:r>
        <w:t xml:space="preserve">a) Quién es culpable y cómo excluirlo sin estudiar nada más</w:t>
      </w:r>
    </w:p>
    <w:p>
      <w:pPr>
        <w:pStyle w:val="Normal"/>
      </w:pPr>
      <w:r>
        <w:t xml:space="preserve">b) En qué sistemas y subsistemas se sitúa y cómo podrían diseñarse o modificarse para resolverlo</w:t>
      </w:r>
    </w:p>
    <w:p>
      <w:pPr>
        <w:pStyle w:val="Normal"/>
      </w:pPr>
      <w:r>
        <w:t xml:space="preserve">c) Cuántas piezas hay y por qué las relaciones no importan</w:t>
      </w:r>
    </w:p>
    <w:p>
      <w:pPr>
        <w:pStyle w:val="Normal"/>
      </w:pPr>
      <w:r>
        <w:t xml:space="preserve">d) Cómo incluir todo el universo en un único modelo obligatorio</w:t>
      </w:r>
    </w:p>
    <w:p>
      <w:pPr>
        <w:pStyle w:val="Heading3"/>
      </w:pPr>
      <w:bookmarkStart w:name="b_pregunta_u2b_05_checkland_arrastrar" w:id="5985"/>
      <w:r>
        <w:t xml:space="preserve">S1-123 · 2.7 · El universo como sistemas</w:t>
      </w:r>
      <w:bookmarkEnd w:id="5985"/>
    </w:p>
    <w:p>
      <w:pPr>
        <w:pStyle w:val="Normal"/>
      </w:pPr>
      <w:r>
        <w:t xml:space="preserve">Ubique cada ejemplo del contexto cercano en su categoría del mapa sistémico del universo.</w:t>
      </w:r>
    </w:p>
    <w:p>
      <w:pPr>
        <w:pStyle w:val="Normal"/>
      </w:pPr>
      <w:r>
        <w:t xml:space="preserve">a) Destinos: Sistemas naturales; Sistemas de actividad humana; Sistemas físicos diseñados; Sistemas abstractos diseñados</w:t>
      </w:r>
    </w:p>
    <w:p>
      <w:pPr>
        <w:pStyle w:val="Normal"/>
      </w:pPr>
      <w:r>
        <w:t xml:space="preserve">b) El sistema respiratorio</w:t>
      </w:r>
    </w:p>
    <w:p>
      <w:pPr>
        <w:pStyle w:val="Normal"/>
      </w:pPr>
      <w:r>
        <w:t xml:space="preserve">c) El ciclo del agua</w:t>
      </w:r>
    </w:p>
    <w:p>
      <w:pPr>
        <w:pStyle w:val="Normal"/>
      </w:pPr>
      <w:r>
        <w:t xml:space="preserve">d) El servicio de una cafetería de la facultad</w:t>
      </w:r>
    </w:p>
    <w:p>
      <w:pPr>
        <w:pStyle w:val="Normal"/>
      </w:pPr>
      <w:r>
        <w:t xml:space="preserve">e) Un grupo de estudio para el parcial</w:t>
      </w:r>
    </w:p>
    <w:p>
      <w:pPr>
        <w:pStyle w:val="Normal"/>
      </w:pPr>
      <w:r>
        <w:t xml:space="preserve">f) Una computadora portátil</w:t>
      </w:r>
    </w:p>
    <w:p>
      <w:pPr>
        <w:pStyle w:val="Normal"/>
      </w:pPr>
      <w:r>
        <w:t xml:space="preserve">g) El sistema de iluminación de un cuarto</w:t>
      </w:r>
    </w:p>
    <w:p>
      <w:pPr>
        <w:pStyle w:val="Normal"/>
      </w:pPr>
      <w:r>
        <w:t xml:space="preserve">h) Un plan semanal de estudio</w:t>
      </w:r>
    </w:p>
    <w:p>
      <w:pPr>
        <w:pStyle w:val="Normal"/>
      </w:pPr>
      <w:r>
        <w:t xml:space="preserve">i) El modelo DSRP</w:t>
      </w:r>
    </w:p>
    <w:p>
      <w:pPr>
        <w:pStyle w:val="Heading3"/>
      </w:pPr>
      <w:bookmarkStart w:name="b_pregunta_u2b_06_checkland_usos" w:id="5986"/>
      <w:r>
        <w:t xml:space="preserve">S1-124 · 2.7 · El universo como sistemas</w:t>
      </w:r>
      <w:bookmarkEnd w:id="5986"/>
    </w:p>
    <w:p>
      <w:pPr>
        <w:pStyle w:val="Normal"/>
      </w:pPr>
      <w:r>
        <w:t xml:space="preserve">Relacione cada categoría del mapa con lo que la lámina propone hacer con ella.</w:t>
      </w:r>
    </w:p>
    <w:p>
      <w:pPr>
        <w:pStyle w:val="Normal"/>
      </w:pPr>
      <w:r>
        <w:t xml:space="preserve">a) Fila: Sistemas naturales</w:t>
      </w:r>
    </w:p>
    <w:p>
      <w:pPr>
        <w:pStyle w:val="Normal"/>
      </w:pPr>
      <w:r>
        <w:t xml:space="preserve">b) Fila: Sistemas diseñados, físicos y abstractos</w:t>
      </w:r>
    </w:p>
    <w:p>
      <w:pPr>
        <w:pStyle w:val="Normal"/>
      </w:pPr>
      <w:r>
        <w:t xml:space="preserve">c) Fila: Sistemas de actividad humana</w:t>
      </w:r>
    </w:p>
    <w:p>
      <w:pPr>
        <w:pStyle w:val="Normal"/>
      </w:pPr>
      <w:r>
        <w:t xml:space="preserve">d) a) Aprender de ellos</w:t>
      </w:r>
    </w:p>
    <w:p>
      <w:pPr>
        <w:pStyle w:val="Normal"/>
      </w:pPr>
      <w:r>
        <w:t xml:space="preserve">e) b) Usarlos como herramientas de apoyo</w:t>
      </w:r>
    </w:p>
    <w:p>
      <w:pPr>
        <w:pStyle w:val="Normal"/>
      </w:pPr>
      <w:r>
        <w:t xml:space="preserve">f) c) Buscar cómo ingeniarlos</w:t>
      </w:r>
    </w:p>
    <w:p>
      <w:pPr>
        <w:pStyle w:val="Normal"/>
      </w:pPr>
      <w:r>
        <w:t xml:space="preserve">g) d) Clasificarlos por su tamaño</w:t>
      </w:r>
    </w:p>
    <w:p>
      <w:pPr>
        <w:pStyle w:val="Heading3"/>
      </w:pPr>
      <w:bookmarkStart w:name="b_pregunta_u2b_07_frontera_categoria" w:id="5987"/>
      <w:r>
        <w:t xml:space="preserve">S1-125 · 2.7 · El universo como sistemas</w:t>
      </w:r>
      <w:bookmarkEnd w:id="5987"/>
    </w:p>
    <w:p>
      <w:pPr>
        <w:pStyle w:val="Normal"/>
      </w:pPr>
      <w:r>
        <w:t xml:space="preserve">El edificio de una facultad, el servicio de su personal y su horario, ¿en cuántas categorías del mapa caen?</w:t>
      </w:r>
    </w:p>
    <w:p>
      <w:pPr>
        <w:pStyle w:val="Normal"/>
      </w:pPr>
      <w:r>
        <w:t xml:space="preserve">a) En una sola, porque todo pertenece a la facultad</w:t>
      </w:r>
    </w:p>
    <w:p>
      <w:pPr>
        <w:pStyle w:val="Normal"/>
      </w:pPr>
      <w:r>
        <w:t xml:space="preserve">b) En tres distintas: físico diseñado, actividad humana y abstracto diseñado, según la parte que se observe</w:t>
      </w:r>
    </w:p>
    <w:p>
      <w:pPr>
        <w:pStyle w:val="Normal"/>
      </w:pPr>
      <w:r>
        <w:t xml:space="preserve">c) En ninguna, porque el mapa no cubre instituciones</w:t>
      </w:r>
    </w:p>
    <w:p>
      <w:pPr>
        <w:pStyle w:val="Normal"/>
      </w:pPr>
      <w:r>
        <w:t xml:space="preserve">d) En dos, porque el horario es parte del servicio</w:t>
      </w:r>
    </w:p>
    <w:p>
      <w:pPr>
        <w:pStyle w:val="Heading3"/>
      </w:pPr>
      <w:bookmarkStart w:name="b_pregunta_u2b_08_zoologico" w:id="5988"/>
      <w:r>
        <w:t xml:space="preserve">S1-126 · 2.7 · El universo como sistemas</w:t>
      </w:r>
      <w:bookmarkEnd w:id="5988"/>
    </w:p>
    <w:p>
      <w:pPr>
        <w:pStyle w:val="Normal"/>
      </w:pPr>
      <w:r>
        <w:t xml:space="preserve">¿Por qué un zoológico se clasifica como sistema de actividad humana pese a estar lleno de animales?</w:t>
      </w:r>
    </w:p>
    <w:p>
      <w:pPr>
        <w:pStyle w:val="Normal"/>
      </w:pPr>
      <w:r>
        <w:t xml:space="preserve">a) Porque los animales están en cautiverio</w:t>
      </w:r>
    </w:p>
    <w:p>
      <w:pPr>
        <w:pStyle w:val="Normal"/>
      </w:pPr>
      <w:r>
        <w:t xml:space="preserve">b) Porque lo que se observa como sistema es la organización de personas que lo hace funcionar; los animales son parte del contenido, no del criterio</w:t>
      </w:r>
    </w:p>
    <w:p>
      <w:pPr>
        <w:pStyle w:val="Normal"/>
      </w:pPr>
      <w:r>
        <w:t xml:space="preserve">c) Porque fue construido con materiales artificiales</w:t>
      </w:r>
    </w:p>
    <w:p>
      <w:pPr>
        <w:pStyle w:val="Normal"/>
      </w:pPr>
      <w:r>
        <w:t xml:space="preserve">d) Porque cobra entrada</w:t>
      </w:r>
    </w:p>
    <w:p>
      <w:pPr>
        <w:pStyle w:val="Heading3"/>
      </w:pPr>
      <w:r>
        <w:t xml:space="preserve">Tema 2.8 · Otros conceptos de la TGS</w:t>
      </w:r>
    </w:p>
    <w:p>
      <w:pPr>
        <w:pStyle w:val="Heading3"/>
      </w:pPr>
      <w:bookmarkStart w:name="b_pregunta_ec2_06_conceptos_tgs" w:id="5989"/>
      <w:r>
        <w:t xml:space="preserve">S1-127 · 2.8 · Otros conceptos de la TGS</w:t>
      </w:r>
      <w:bookmarkEnd w:id="5989"/>
    </w:p>
    <w:p>
      <w:pPr>
        <w:pStyle w:val="Normal"/>
      </w:pPr>
      <w:r>
        <w:t xml:space="preserve">Asocie a cada concepto de la teoría de sistemas la definición que le corresponde.</w:t>
      </w:r>
    </w:p>
    <w:p>
      <w:pPr>
        <w:pStyle w:val="Normal"/>
      </w:pPr>
      <w:r>
        <w:t xml:space="preserve">a) Fila: Homeostasis</w:t>
      </w:r>
    </w:p>
    <w:p>
      <w:pPr>
        <w:pStyle w:val="Normal"/>
      </w:pPr>
      <w:r>
        <w:t xml:space="preserve">b) Fila: Equifinalidad</w:t>
      </w:r>
    </w:p>
    <w:p>
      <w:pPr>
        <w:pStyle w:val="Normal"/>
      </w:pPr>
      <w:r>
        <w:t xml:space="preserve">c) Fila: Entropía</w:t>
      </w:r>
    </w:p>
    <w:p>
      <w:pPr>
        <w:pStyle w:val="Normal"/>
      </w:pPr>
      <w:r>
        <w:t xml:space="preserve">d) a) Equilibrio dinámico de los sistemas para adaptarse a su medio ambiente</w:t>
      </w:r>
    </w:p>
    <w:p>
      <w:pPr>
        <w:pStyle w:val="Normal"/>
      </w:pPr>
      <w:r>
        <w:t xml:space="preserve">e) b) Conseguir por caminos diferentes un mismo objetivo</w:t>
      </w:r>
    </w:p>
    <w:p>
      <w:pPr>
        <w:pStyle w:val="Normal"/>
      </w:pPr>
      <w:r>
        <w:t xml:space="preserve">f) c) Grado de desorden o caos de un sistema</w:t>
      </w:r>
    </w:p>
    <w:p>
      <w:pPr>
        <w:pStyle w:val="Normal"/>
      </w:pPr>
      <w:r>
        <w:t xml:space="preserve">g) d) Fuerza que se opone al desorden y conserva la organización</w:t>
      </w:r>
    </w:p>
    <w:p>
      <w:pPr>
        <w:pStyle w:val="Normal"/>
      </w:pPr>
      <w:r>
        <w:t xml:space="preserve">h) e) Capacidad del conjunto superior a la suma de sus partes</w:t>
      </w:r>
    </w:p>
    <w:p>
      <w:pPr>
        <w:pStyle w:val="Heading3"/>
      </w:pPr>
      <w:bookmarkStart w:name="b_pregunta_ec2_10_neguentropia" w:id="5990"/>
      <w:r>
        <w:t xml:space="preserve">S1-128 · 2.8 · Otros conceptos de la TGS</w:t>
      </w:r>
      <w:bookmarkEnd w:id="5990"/>
    </w:p>
    <w:p>
      <w:pPr>
        <w:pStyle w:val="Normal"/>
      </w:pPr>
      <w:r>
        <w:t xml:space="preserve">¿Cómo se denomina a la energía que se opone a la pérdida progresiva de las relaciones que forman un sistema?</w:t>
      </w:r>
    </w:p>
    <w:p>
      <w:pPr>
        <w:pStyle w:val="Normal"/>
      </w:pPr>
      <w:r>
        <w:t xml:space="preserve">a) Sinergia</w:t>
      </w:r>
    </w:p>
    <w:p>
      <w:pPr>
        <w:pStyle w:val="Normal"/>
      </w:pPr>
      <w:r>
        <w:t xml:space="preserve">b) Homeostasis</w:t>
      </w:r>
    </w:p>
    <w:p>
      <w:pPr>
        <w:pStyle w:val="Normal"/>
      </w:pPr>
      <w:r>
        <w:t xml:space="preserve">c) Conglomerado</w:t>
      </w:r>
    </w:p>
    <w:p>
      <w:pPr>
        <w:pStyle w:val="Normal"/>
      </w:pPr>
      <w:r>
        <w:t xml:space="preserve">d) Entropía</w:t>
      </w:r>
    </w:p>
    <w:p>
      <w:pPr>
        <w:pStyle w:val="Normal"/>
      </w:pPr>
      <w:r>
        <w:t xml:space="preserve">e) Neguentropía</w:t>
      </w:r>
    </w:p>
    <w:p>
      <w:pPr>
        <w:pStyle w:val="Heading3"/>
      </w:pPr>
      <w:bookmarkStart w:name="b_pregunta_p1_cerrado_aislado" w:id="5991"/>
      <w:r>
        <w:t xml:space="preserve">S1-129 · 2.8 · Otros conceptos de la TGS</w:t>
      </w:r>
      <w:bookmarkEnd w:id="5991"/>
    </w:p>
    <w:p>
      <w:pPr>
        <w:pStyle w:val="Normal"/>
      </w:pPr>
      <w:r>
        <w:t xml:space="preserve">Un recipiente sellado recibe calor de una fuente externa. ¿Cómo se clasifica con precisión física?</w:t>
      </w:r>
    </w:p>
    <w:p>
      <w:pPr>
        <w:pStyle w:val="Normal"/>
      </w:pPr>
      <w:r>
        <w:t xml:space="preserve">a) Aislado, porque una tapa impide cualquier intercambio energético</w:t>
      </w:r>
    </w:p>
    <w:p>
      <w:pPr>
        <w:pStyle w:val="Normal"/>
      </w:pPr>
      <w:r>
        <w:t xml:space="preserve">b) Abierto, porque toda entrada de calor transporta necesariamente materia</w:t>
      </w:r>
    </w:p>
    <w:p>
      <w:pPr>
        <w:pStyle w:val="Normal"/>
      </w:pPr>
      <w:r>
        <w:t xml:space="preserve">c) Imposible de clasificar sin conocer su forma geométrica</w:t>
      </w:r>
    </w:p>
    <w:p>
      <w:pPr>
        <w:pStyle w:val="Normal"/>
      </w:pPr>
      <w:r>
        <w:t xml:space="preserve">d) Cerrado, porque no intercambia materia, pero no aislado, porque intercambia energía</w:t>
      </w:r>
    </w:p>
    <w:p>
      <w:pPr>
        <w:pStyle w:val="Heading3"/>
      </w:pPr>
      <w:bookmarkStart w:name="b_pregunta_p1_segunda_ley_total" w:id="5992"/>
      <w:r>
        <w:t xml:space="preserve">S1-130 · 2.8 · Otros conceptos de la TGS</w:t>
      </w:r>
      <w:bookmarkEnd w:id="5992"/>
    </w:p>
    <w:p>
      <w:pPr>
        <w:pStyle w:val="Normal"/>
      </w:pPr>
      <w:r>
        <w:t xml:space="preserve">¿Qué afirmación expresa correctamente el alcance de la segunda ley?</w:t>
      </w:r>
    </w:p>
    <w:p>
      <w:pPr>
        <w:pStyle w:val="Normal"/>
      </w:pPr>
      <w:r>
        <w:t xml:space="preserve">a) La entropía del total aislado no disminuye; una parte puede disminuirla compensándola en el entorno</w:t>
      </w:r>
    </w:p>
    <w:p>
      <w:pPr>
        <w:pStyle w:val="Normal"/>
      </w:pPr>
      <w:r>
        <w:t xml:space="preserve">b) La entropía de cualquier sistema cerrado aumenta siempre aunque exporte calor</w:t>
      </w:r>
    </w:p>
    <w:p>
      <w:pPr>
        <w:pStyle w:val="Normal"/>
      </w:pPr>
      <w:r>
        <w:t xml:space="preserve">c) Un organismo organizado viola la segunda ley</w:t>
      </w:r>
    </w:p>
    <w:p>
      <w:pPr>
        <w:pStyle w:val="Normal"/>
      </w:pPr>
      <w:r>
        <w:t xml:space="preserve">d) La entropía mide sin distinción cualquier error o conflicto social</w:t>
      </w:r>
    </w:p>
    <w:p>
      <w:pPr>
        <w:pStyle w:val="Heading3"/>
      </w:pPr>
      <w:bookmarkStart w:name="b_pregunta_u2b_09_homeostasis" w:id="5993"/>
      <w:r>
        <w:t xml:space="preserve">S1-131 · 2.8 · Otros conceptos de la TGS</w:t>
      </w:r>
      <w:bookmarkEnd w:id="5993"/>
    </w:p>
    <w:p>
      <w:pPr>
        <w:pStyle w:val="Normal"/>
      </w:pPr>
      <w:r>
        <w:t xml:space="preserve">¿Por qué el equilibrio de la homeostasis se llama «dinámico»?</w:t>
      </w:r>
    </w:p>
    <w:p>
      <w:pPr>
        <w:pStyle w:val="Normal"/>
      </w:pPr>
      <w:r>
        <w:t xml:space="preserve">a) Porque el sistema se mueve constantemente</w:t>
      </w:r>
    </w:p>
    <w:p>
      <w:pPr>
        <w:pStyle w:val="Normal"/>
      </w:pPr>
      <w:r>
        <w:t xml:space="preserve">b) Porque el valor interno no es siempre el mismo: varía según lo que llega del medio, y el sistema lo va corrigiendo</w:t>
      </w:r>
    </w:p>
    <w:p>
      <w:pPr>
        <w:pStyle w:val="Normal"/>
      </w:pPr>
      <w:r>
        <w:t xml:space="preserve">c) Porque sólo ocurre en sistemas rápidos</w:t>
      </w:r>
    </w:p>
    <w:p>
      <w:pPr>
        <w:pStyle w:val="Normal"/>
      </w:pPr>
      <w:r>
        <w:t xml:space="preserve">d) Porque el equilibrio se pierde con el tiempo</w:t>
      </w:r>
    </w:p>
    <w:p>
      <w:pPr>
        <w:pStyle w:val="Heading3"/>
      </w:pPr>
      <w:bookmarkStart w:name="b_pregunta_u2b_10_entropia_relaciones" w:id="5994"/>
      <w:r>
        <w:t xml:space="preserve">S1-132 · 2.8 · Otros conceptos de la TGS</w:t>
      </w:r>
      <w:bookmarkEnd w:id="5994"/>
    </w:p>
    <w:p>
      <w:pPr>
        <w:pStyle w:val="Normal"/>
      </w:pPr>
      <w:r>
        <w:t xml:space="preserve">En la formulación que dio la clase, ¿el desorden que mide la entropía es desorden de qué?</w:t>
      </w:r>
    </w:p>
    <w:p>
      <w:pPr>
        <w:pStyle w:val="Normal"/>
      </w:pPr>
      <w:r>
        <w:t xml:space="preserve">a) De las partes tomadas una por una</w:t>
      </w:r>
    </w:p>
    <w:p>
      <w:pPr>
        <w:pStyle w:val="Normal"/>
      </w:pPr>
      <w:r>
        <w:t xml:space="preserve">b) De las interacciones y relaciones entre las partes</w:t>
      </w:r>
    </w:p>
    <w:p>
      <w:pPr>
        <w:pStyle w:val="Normal"/>
      </w:pPr>
      <w:r>
        <w:t xml:space="preserve">c) Del entorno del sistema</w:t>
      </w:r>
    </w:p>
    <w:p>
      <w:pPr>
        <w:pStyle w:val="Normal"/>
      </w:pPr>
      <w:r>
        <w:t xml:space="preserve">d) De la información almacenada</w:t>
      </w:r>
    </w:p>
    <w:p>
      <w:pPr>
        <w:pStyle w:val="Heading3"/>
      </w:pPr>
      <w:bookmarkStart w:name="b_pregunta_u2b_11_neguentropia_lecturas" w:id="5995"/>
      <w:r>
        <w:t xml:space="preserve">S1-133 · 2.8 · Otros conceptos de la TGS</w:t>
      </w:r>
      <w:bookmarkEnd w:id="5995"/>
    </w:p>
    <w:p>
      <w:pPr>
        <w:pStyle w:val="Normal"/>
      </w:pPr>
      <w:r>
        <w:t xml:space="preserve">¿De qué maneras presentó la clase la neguentropía?</w:t>
      </w:r>
    </w:p>
    <w:p>
      <w:pPr>
        <w:pStyle w:val="Normal"/>
      </w:pPr>
      <w:r>
        <w:t xml:space="preserve">a) Como una fuerza que produce mayores niveles de orden</w:t>
      </w:r>
    </w:p>
    <w:p>
      <w:pPr>
        <w:pStyle w:val="Normal"/>
      </w:pPr>
      <w:r>
        <w:t xml:space="preserve">b) Como energía que el sistema importa del ambiente para mantener su organización</w:t>
      </w:r>
    </w:p>
    <w:p>
      <w:pPr>
        <w:pStyle w:val="Normal"/>
      </w:pPr>
      <w:r>
        <w:t xml:space="preserve">c) Como un mecanismo autorregulador</w:t>
      </w:r>
    </w:p>
    <w:p>
      <w:pPr>
        <w:pStyle w:val="Normal"/>
      </w:pPr>
      <w:r>
        <w:t xml:space="preserve">d) Como la medida del desorden acumulado</w:t>
      </w:r>
    </w:p>
    <w:p>
      <w:pPr>
        <w:pStyle w:val="Heading3"/>
      </w:pPr>
      <w:bookmarkStart w:name="b_pregunta_u2b_12_mantenimiento" w:id="5996"/>
      <w:r>
        <w:t xml:space="preserve">S1-134 · 2.8 · Otros conceptos de la TGS</w:t>
      </w:r>
      <w:bookmarkEnd w:id="5996"/>
    </w:p>
    <w:p>
      <w:pPr>
        <w:pStyle w:val="Normal"/>
      </w:pPr>
      <w:r>
        <w:t xml:space="preserve">¿Por qué el mantenimiento de una computadora es un ejemplo de neguentropía?</w:t>
      </w:r>
    </w:p>
    <w:p>
      <w:pPr>
        <w:pStyle w:val="Normal"/>
      </w:pPr>
      <w:r>
        <w:t xml:space="preserve">a) Porque la computadora se limpia sola</w:t>
      </w:r>
    </w:p>
    <w:p>
      <w:pPr>
        <w:pStyle w:val="Normal"/>
      </w:pPr>
      <w:r>
        <w:t xml:space="preserve">b) Porque es una acción que repone orden y contrarresta el deterioro; la genera el sistema mayor usuario más máquina</w:t>
      </w:r>
    </w:p>
    <w:p>
      <w:pPr>
        <w:pStyle w:val="Normal"/>
      </w:pPr>
      <w:r>
        <w:t xml:space="preserve">c) Porque aumenta la entropía del equipo</w:t>
      </w:r>
    </w:p>
    <w:p>
      <w:pPr>
        <w:pStyle w:val="Normal"/>
      </w:pPr>
      <w:r>
        <w:t xml:space="preserve">d) Porque sustituye al sistema de control</w:t>
      </w:r>
    </w:p>
    <w:p>
      <w:pPr>
        <w:pStyle w:val="Heading3"/>
      </w:pPr>
      <w:bookmarkStart w:name="b_pregunta_u2b_13_abierto_cerrado" w:id="5997"/>
      <w:r>
        <w:t xml:space="preserve">S1-135 · 2.8 · Otros conceptos de la TGS</w:t>
      </w:r>
      <w:bookmarkEnd w:id="5997"/>
    </w:p>
    <w:p>
      <w:pPr>
        <w:pStyle w:val="Normal"/>
      </w:pPr>
      <w:r>
        <w:t xml:space="preserve">Reparta cada caso según se trate de un sistema abierto o de uno cerrado.</w:t>
      </w:r>
    </w:p>
    <w:p>
      <w:pPr>
        <w:pStyle w:val="Normal"/>
      </w:pPr>
      <w:r>
        <w:t xml:space="preserve">a) Destinos: Sistema abierto; Sistema cerrado</w:t>
      </w:r>
    </w:p>
    <w:p>
      <w:pPr>
        <w:pStyle w:val="Normal"/>
      </w:pPr>
      <w:r>
        <w:t xml:space="preserve">b) Una empresa que compra insumos y vende productos</w:t>
      </w:r>
    </w:p>
    <w:p>
      <w:pPr>
        <w:pStyle w:val="Normal"/>
      </w:pPr>
      <w:r>
        <w:t xml:space="preserve">c) El cuerpo humano intercambiando oxígeno con el ambiente</w:t>
      </w:r>
    </w:p>
    <w:p>
      <w:pPr>
        <w:pStyle w:val="Normal"/>
      </w:pPr>
      <w:r>
        <w:t xml:space="preserve">d) Un montaje de laboratorio del que se eliminan las interacciones con el medio para estudiarlo aislado</w:t>
      </w:r>
    </w:p>
    <w:p>
      <w:pPr>
        <w:pStyle w:val="Heading3"/>
      </w:pPr>
      <w:bookmarkStart w:name="b_pregunta_u2b_14_equifinalidad_caminos" w:id="5998"/>
      <w:r>
        <w:t xml:space="preserve">S1-136 · 2.8 · Otros conceptos de la TGS</w:t>
      </w:r>
      <w:bookmarkEnd w:id="5998"/>
    </w:p>
    <w:p>
      <w:pPr>
        <w:pStyle w:val="Normal"/>
      </w:pPr>
      <w:r>
        <w:t xml:space="preserve">Una empresa quiere aumentar utilidades y puede reducir costos, ampliar el margen o vender más. ¿Qué propiedad ilustra?</w:t>
      </w:r>
    </w:p>
    <w:p>
      <w:pPr>
        <w:pStyle w:val="Normal"/>
      </w:pPr>
      <w:r>
        <w:t xml:space="preserve">a) Homeostasis</w:t>
      </w:r>
    </w:p>
    <w:p>
      <w:pPr>
        <w:pStyle w:val="Normal"/>
      </w:pPr>
      <w:r>
        <w:t xml:space="preserve">b) Equifinalidad</w:t>
      </w:r>
    </w:p>
    <w:p>
      <w:pPr>
        <w:pStyle w:val="Normal"/>
      </w:pPr>
      <w:r>
        <w:t xml:space="preserve">c) Entropía</w:t>
      </w:r>
    </w:p>
    <w:p>
      <w:pPr>
        <w:pStyle w:val="Normal"/>
      </w:pPr>
      <w:r>
        <w:t xml:space="preserve">d) Sinergia</w:t>
      </w:r>
    </w:p>
    <w:p>
      <w:pPr>
        <w:pStyle w:val="Heading3"/>
      </w:pPr>
      <w:bookmarkStart w:name="b_pregunta_u2b_15_multifinalidad_estatus" w:id="5999"/>
      <w:r>
        <w:t xml:space="preserve">S1-137 · 2.8 · Otros conceptos de la TGS</w:t>
      </w:r>
      <w:bookmarkEnd w:id="5999"/>
    </w:p>
    <w:p>
      <w:pPr>
        <w:pStyle w:val="Normal"/>
      </w:pPr>
      <w:r>
        <w:t xml:space="preserve">¿Qué ocurrió con la multifinalidad en la clase 9?</w:t>
      </w:r>
    </w:p>
    <w:p>
      <w:pPr>
        <w:pStyle w:val="Normal"/>
      </w:pPr>
      <w:r>
        <w:t xml:space="preserve">a) Se definió con el mismo detalle que la equifinalidad</w:t>
      </w:r>
    </w:p>
    <w:p>
      <w:pPr>
        <w:pStyle w:val="Normal"/>
      </w:pPr>
      <w:r>
        <w:t xml:space="preserve">b) Se mencionó como concepto opuesto y quedó asignada como investigación, sin definirse</w:t>
      </w:r>
    </w:p>
    <w:p>
      <w:pPr>
        <w:pStyle w:val="Normal"/>
      </w:pPr>
      <w:r>
        <w:t xml:space="preserve">c) Se descartó por no pertenecer a la teoría de sistemas</w:t>
      </w:r>
    </w:p>
    <w:p>
      <w:pPr>
        <w:pStyle w:val="Normal"/>
      </w:pPr>
      <w:r>
        <w:t xml:space="preserve">d) Se explicó con tres ejemplos empresariales</w:t>
      </w:r>
    </w:p>
    <w:p>
      <w:pPr>
        <w:pStyle w:val="Heading3"/>
      </w:pPr>
      <w:bookmarkStart w:name="b_pregunta_u2b_16_conceptos_tgs_173b5b4d" w:id="6000"/>
      <w:r>
        <w:t xml:space="preserve">S1-138 · 2.8 · Otros conceptos de la TGS</w:t>
      </w:r>
      <w:bookmarkEnd w:id="6000"/>
    </w:p>
    <w:p>
      <w:pPr>
        <w:pStyle w:val="Normal"/>
      </w:pPr>
      <w:r>
        <w:t xml:space="preserve">Ubique cada enunciado bajo el concepto que describe.</w:t>
      </w:r>
    </w:p>
    <w:p>
      <w:pPr>
        <w:pStyle w:val="Normal"/>
      </w:pPr>
      <w:r>
        <w:t xml:space="preserve">a) Destinos: Homeostasis; Entropía; Neguentropía</w:t>
      </w:r>
    </w:p>
    <w:p>
      <w:pPr>
        <w:pStyle w:val="Normal"/>
      </w:pPr>
      <w:r>
        <w:t xml:space="preserve">b) El cuerpo sostiene su temperatura pese al frío de afuera</w:t>
      </w:r>
    </w:p>
    <w:p>
      <w:pPr>
        <w:pStyle w:val="Normal"/>
      </w:pPr>
      <w:r>
        <w:t xml:space="preserve">c) El huevo roto en el piso no se puede volver a componer</w:t>
      </w:r>
    </w:p>
    <w:p>
      <w:pPr>
        <w:pStyle w:val="Normal"/>
      </w:pPr>
      <w:r>
        <w:t xml:space="preserve">d) Todo sistema tiende al desorden conforme pasa el tiempo</w:t>
      </w:r>
    </w:p>
    <w:p>
      <w:pPr>
        <w:pStyle w:val="Normal"/>
      </w:pPr>
      <w:r>
        <w:t xml:space="preserve">e) El mantenimiento periódico devuelve orden al equipo</w:t>
      </w:r>
    </w:p>
    <w:p>
      <w:pPr>
        <w:pStyle w:val="Heading3"/>
      </w:pPr>
      <w:r>
        <w:t xml:space="preserve">Tema 2.9 · Introducción a los hábitos</w:t>
      </w:r>
    </w:p>
    <w:p>
      <w:pPr>
        <w:pStyle w:val="Heading3"/>
      </w:pPr>
      <w:bookmarkStart w:name="b_pregunta_cmp_25_habitos_y_conceptos" w:id="6001"/>
      <w:r>
        <w:t xml:space="preserve">S1-139 · 2.9 · Introducción a los hábitos</w:t>
      </w:r>
      <w:bookmarkEnd w:id="6001"/>
    </w:p>
    <w:p>
      <w:pPr>
        <w:pStyle w:val="Normal"/>
      </w:pPr>
      <w:r>
        <w:t xml:space="preserve">¿Qué relación guardan los hábitos del pensador sistémico con los conceptos de la unidad 2?</w:t>
      </w:r>
    </w:p>
    <w:p>
      <w:pPr>
        <w:pStyle w:val="Normal"/>
      </w:pPr>
      <w:r>
        <w:t xml:space="preserve">a) Son la misma lista con otros nombres</w:t>
      </w:r>
    </w:p>
    <w:p>
      <w:pPr>
        <w:pStyle w:val="Normal"/>
      </w:pPr>
      <w:r>
        <w:t xml:space="preserve">b) Los conceptos dicen qué mirar y los hábitos, cómo mirarlo de forma repetible</w:t>
      </w:r>
    </w:p>
    <w:p>
      <w:pPr>
        <w:pStyle w:val="Normal"/>
      </w:pPr>
      <w:r>
        <w:t xml:space="preserve">c) Los hábitos preceden a los conceptos y los sustituyen</w:t>
      </w:r>
    </w:p>
    <w:p>
      <w:pPr>
        <w:pStyle w:val="Normal"/>
      </w:pPr>
      <w:r>
        <w:t xml:space="preserve">d) No guardan relación: pertenecen a unidades distintas</w:t>
      </w:r>
    </w:p>
    <w:p>
      <w:pPr>
        <w:pStyle w:val="Heading3"/>
      </w:pPr>
      <w:bookmarkStart w:name="b_pregunta_cmp_26_perfil_pensador" w:id="6002"/>
      <w:r>
        <w:t xml:space="preserve">S1-140 · 2.9 · Introducción a los hábitos</w:t>
      </w:r>
      <w:bookmarkEnd w:id="6002"/>
    </w:p>
    <w:p>
      <w:pPr>
        <w:pStyle w:val="Normal"/>
      </w:pPr>
      <w:r>
        <w:t xml:space="preserve">Reparta cada conducta según corresponda o no al perfil del pensador sistémico que cerró la unidad.</w:t>
      </w:r>
    </w:p>
    <w:p>
      <w:pPr>
        <w:pStyle w:val="Normal"/>
      </w:pPr>
      <w:r>
        <w:t xml:space="preserve">a) Destinos: Propio del pensador sistémico; Ajeno a ese perfil</w:t>
      </w:r>
    </w:p>
    <w:p>
      <w:pPr>
        <w:pStyle w:val="Normal"/>
      </w:pPr>
      <w:r>
        <w:t xml:space="preserve">b) Construye modelos mentales sistémicos y los revisa</w:t>
      </w:r>
    </w:p>
    <w:p>
      <w:pPr>
        <w:pStyle w:val="Normal"/>
      </w:pPr>
      <w:r>
        <w:t xml:space="preserve">c) Maneja el paradigma de sistemas para pensar la realidad</w:t>
      </w:r>
    </w:p>
    <w:p>
      <w:pPr>
        <w:pStyle w:val="Normal"/>
      </w:pPr>
      <w:r>
        <w:t xml:space="preserve">d) Busca al responsable individual antes que la estructura</w:t>
      </w:r>
    </w:p>
    <w:p>
      <w:pPr>
        <w:pStyle w:val="Normal"/>
      </w:pPr>
      <w:r>
        <w:t xml:space="preserve">e) Se queda con la primera perspectiva que le resulta convincente</w:t>
      </w:r>
    </w:p>
    <w:p>
      <w:pPr>
        <w:pStyle w:val="Heading3"/>
      </w:pPr>
      <w:bookmarkStart w:name="b_pregunta_p1_catorce_introduccion" w:id="6003"/>
      <w:r>
        <w:t xml:space="preserve">S1-141 · 2.9 · Introducción a los hábitos</w:t>
      </w:r>
      <w:bookmarkEnd w:id="6003"/>
    </w:p>
    <w:p>
      <w:pPr>
        <w:pStyle w:val="Normal"/>
      </w:pPr>
      <w:r>
        <w:t xml:space="preserve">¿Cómo se cuenta correctamente el catálogo de hábitos del portal respecto del curso?</w:t>
      </w:r>
    </w:p>
    <w:p>
      <w:pPr>
        <w:pStyle w:val="Normal"/>
      </w:pPr>
      <w:r>
        <w:t xml:space="preserve">a) Quince hábitos del mismo rango, incluida la introducción</w:t>
      </w:r>
    </w:p>
    <w:p>
      <w:pPr>
        <w:pStyle w:val="Normal"/>
      </w:pPr>
      <w:r>
        <w:t xml:space="preserve">b) Catorce hábitos y un curso introductorio; la introducción no es un hábito quince</w:t>
      </w:r>
    </w:p>
    <w:p>
      <w:pPr>
        <w:pStyle w:val="Normal"/>
      </w:pPr>
      <w:r>
        <w:t xml:space="preserve">c) Cuatro hábitos en total y ningún otro en el catálogo</w:t>
      </w:r>
    </w:p>
    <w:p>
      <w:pPr>
        <w:pStyle w:val="Normal"/>
      </w:pPr>
      <w:r>
        <w:t xml:space="preserve">d) Catorce fases que deben practicarse siempre en el mismo orden</w:t>
      </w:r>
    </w:p>
    <w:p>
      <w:pPr>
        <w:pStyle w:val="Heading3"/>
      </w:pPr>
      <w:bookmarkStart w:name="b_pregunta_p1_perfil_practica" w:id="6004"/>
      <w:r>
        <w:t xml:space="preserve">S1-142 · 2.9 · Introducción a los hábitos</w:t>
      </w:r>
      <w:bookmarkEnd w:id="6004"/>
    </w:p>
    <w:p>
      <w:pPr>
        <w:pStyle w:val="Normal"/>
      </w:pPr>
      <w:r>
        <w:t xml:space="preserve">¿Qué evidencia se ajusta al perfil del pensador sistémico con que cierra la Unidad 2?</w:t>
      </w:r>
    </w:p>
    <w:p>
      <w:pPr>
        <w:pStyle w:val="Normal"/>
      </w:pPr>
      <w:r>
        <w:t xml:space="preserve">a) Recitar el catálogo sin aplicarlo a ninguna situación</w:t>
      </w:r>
    </w:p>
    <w:p>
      <w:pPr>
        <w:pStyle w:val="Normal"/>
      </w:pPr>
      <w:r>
        <w:t xml:space="preserve">b) Memorizar la palabra sistema y evitar datos que contradigan el modelo</w:t>
      </w:r>
    </w:p>
    <w:p>
      <w:pPr>
        <w:pStyle w:val="Normal"/>
      </w:pPr>
      <w:r>
        <w:t xml:space="preserve">c) Usar el paradigma para construir modelos, revisar relaciones y contrastar supuestos al decidir</w:t>
      </w:r>
    </w:p>
    <w:p>
      <w:pPr>
        <w:pStyle w:val="Normal"/>
      </w:pPr>
      <w:r>
        <w:t xml:space="preserve">d) Suponer que conocer la teoría hace innecesario modificar la interpretación</w:t>
      </w:r>
    </w:p>
    <w:p>
      <w:pPr>
        <w:pStyle w:val="Heading3"/>
      </w:pPr>
      <w:bookmarkStart w:name="b_pregunta_u2b_17_pensador_sistemico" w:id="6005"/>
      <w:r>
        <w:t xml:space="preserve">S1-143 · 2.9 · Introducción a los hábitos</w:t>
      </w:r>
      <w:bookmarkEnd w:id="6005"/>
    </w:p>
    <w:p>
      <w:pPr>
        <w:pStyle w:val="Normal"/>
      </w:pPr>
      <w:r>
        <w:t xml:space="preserve">Según el cierre de la unidad 2, ¿qué caracteriza a un pensador sistémico?</w:t>
      </w:r>
    </w:p>
    <w:p>
      <w:pPr>
        <w:pStyle w:val="Normal"/>
      </w:pPr>
      <w:r>
        <w:t xml:space="preserve">a) Maneja el paradigma de sistemas y lo usa para pensar la realidad</w:t>
      </w:r>
    </w:p>
    <w:p>
      <w:pPr>
        <w:pStyle w:val="Normal"/>
      </w:pPr>
      <w:r>
        <w:t xml:space="preserve">b) Busca construir modelos mentales sistémicos</w:t>
      </w:r>
    </w:p>
    <w:p>
      <w:pPr>
        <w:pStyle w:val="Normal"/>
      </w:pPr>
      <w:r>
        <w:t xml:space="preserve">c) Evita descomponer los problemas</w:t>
      </w:r>
    </w:p>
    <w:p>
      <w:pPr>
        <w:pStyle w:val="Normal"/>
      </w:pPr>
      <w:r>
        <w:t xml:space="preserve">d) Prescinde de las perspectivas ajenas</w:t>
      </w:r>
    </w:p>
    <w:p>
      <w:pPr>
        <w:pStyle w:val="Heading3"/>
      </w:pPr>
      <w:bookmarkStart w:name="b_pregunta_u2b_18_habitos_puente" w:id="6006"/>
      <w:r>
        <w:t xml:space="preserve">S1-144 · 2.9 · Introducción a los hábitos</w:t>
      </w:r>
      <w:bookmarkEnd w:id="6006"/>
    </w:p>
    <w:p>
      <w:pPr>
        <w:pStyle w:val="Normal"/>
      </w:pPr>
      <w:r>
        <w:t xml:space="preserve">¿Qué papel cumplen los hábitos del pensador sistémico respecto de la teoría?</w:t>
      </w:r>
    </w:p>
    <w:p>
      <w:pPr>
        <w:pStyle w:val="Normal"/>
      </w:pPr>
      <w:r>
        <w:t xml:space="preserve">a) Sustituyen a los conceptos de la teoría general de sistemas</w:t>
      </w:r>
    </w:p>
    <w:p>
      <w:pPr>
        <w:pStyle w:val="Normal"/>
      </w:pPr>
      <w:r>
        <w:t xml:space="preserve">b) Traducen la teoría en maneras concretas de mirar y actuar</w:t>
      </w:r>
    </w:p>
    <w:p>
      <w:pPr>
        <w:pStyle w:val="Normal"/>
      </w:pPr>
      <w:r>
        <w:t xml:space="preserve">c) Son una lista de definiciones que memorizar</w:t>
      </w:r>
    </w:p>
    <w:p>
      <w:pPr>
        <w:pStyle w:val="Normal"/>
      </w:pPr>
      <w:r>
        <w:t xml:space="preserve">d) Sólo aplican a sistemas naturales</w:t>
      </w:r>
    </w:p>
    <w:p>
      <w:pPr>
        <w:pStyle w:val="Fuente"/>
      </w:pPr>
      <w:r>
        <w:t xml:space="preserve">Véase </w:t>
      </w:r>
      <w:hyperlink w:history="1" w:anchor="b_pregunta_p1_01_familia_checkland">
        <w:r>
          <w:rPr>
            <w:color w:val="156B70"/>
            <w:u w:val="single"/>
          </w:rPr>
          <w:t xml:space="preserve">pregunta del primer parcial: Unidad 2 · 2.7 · El universo como conjunto de sistemas</w:t>
        </w:r>
      </w:hyperlink>
      <w:r>
        <w:t xml:space="preserve">, pág. </w:t>
      </w:r>
      <w:r>
        <w:fldChar w:fldCharType="begin"/>
        <w:instrText xml:space="preserve">PAGEREF b_pregunta_p1_01_familia_checkland \h</w:instrText>
        <w:fldChar w:fldCharType="separate"/>
        <w:t xml:space="preserve">978</w:t>
        <w:fldChar w:fldCharType="end"/>
      </w:r>
      <w:r>
        <w:t xml:space="preserve">.</w:t>
      </w:r>
    </w:p>
    <w:p>
      <w:pPr>
        <w:pStyle w:val="Fuente"/>
      </w:pPr>
      <w:r>
        <w:t xml:space="preserve">Véase </w:t>
      </w:r>
      <w:hyperlink w:history="1" w:anchor="b_pregunta_p1_03_tipo_de_pensam_aa6b3196">
        <w:r>
          <w:rPr>
            <w:color w:val="156B70"/>
            <w:u w:val="single"/>
          </w:rPr>
          <w:t xml:space="preserve">pregunta del primer parcial: Unidad 1 · Modelos mentales y metacognición</w:t>
        </w:r>
      </w:hyperlink>
      <w:r>
        <w:t xml:space="preserve">, pág. </w:t>
      </w:r>
      <w:r>
        <w:fldChar w:fldCharType="begin"/>
        <w:instrText xml:space="preserve">PAGEREF b_pregunta_p1_03_tipo_de_pensam_aa6b3196 \h</w:instrText>
        <w:fldChar w:fldCharType="separate"/>
        <w:t xml:space="preserve">980</w:t>
        <w:fldChar w:fldCharType="end"/>
      </w:r>
      <w:r>
        <w:t xml:space="preserve">.</w:t>
      </w:r>
    </w:p>
    <w:p>
      <w:pPr>
        <w:pStyle w:val="Fuente"/>
      </w:pPr>
      <w:r>
        <w:t xml:space="preserve">Véase </w:t>
      </w:r>
      <w:hyperlink w:history="1" w:anchor="b_pregunta_p1_04_caracteristica_db9bfe29">
        <w:r>
          <w:rPr>
            <w:color w:val="156B70"/>
            <w:u w:val="single"/>
          </w:rPr>
          <w:t xml:space="preserve">pregunta del primer parcial: Unidad 1 · 1.1 · Paradigmas</w:t>
        </w:r>
      </w:hyperlink>
      <w:r>
        <w:t xml:space="preserve">, pág. </w:t>
      </w:r>
      <w:r>
        <w:fldChar w:fldCharType="begin"/>
        <w:instrText xml:space="preserve">PAGEREF b_pregunta_p1_04_caracteristica_db9bfe29 \h</w:instrText>
        <w:fldChar w:fldCharType="separate"/>
        <w:t xml:space="preserve">982</w:t>
        <w:fldChar w:fldCharType="end"/>
      </w:r>
      <w:r>
        <w:t xml:space="preserve">.</w:t>
      </w:r>
    </w:p>
    <w:p>
      <w:pPr>
        <w:pStyle w:val="Fuente"/>
      </w:pPr>
      <w:r>
        <w:t xml:space="preserve">Véase </w:t>
      </w:r>
      <w:hyperlink w:history="1" w:anchor="b_pregunta_p1_05_apalancamiento_850d55a3">
        <w:r>
          <w:rPr>
            <w:color w:val="156B70"/>
            <w:u w:val="single"/>
          </w:rPr>
          <w:t xml:space="preserve">pregunta del primer parcial: Unidad 1 · 1.7 · Modelo del iceberg</w:t>
        </w:r>
      </w:hyperlink>
      <w:r>
        <w:t xml:space="preserve">, pág. </w:t>
      </w:r>
      <w:r>
        <w:fldChar w:fldCharType="begin"/>
        <w:instrText xml:space="preserve">PAGEREF b_pregunta_p1_05_apalancamiento_850d55a3 \h</w:instrText>
        <w:fldChar w:fldCharType="separate"/>
        <w:t xml:space="preserve">983</w:t>
        <w:fldChar w:fldCharType="end"/>
      </w:r>
      <w:r>
        <w:t xml:space="preserve">.</w:t>
      </w:r>
    </w:p>
    <w:p>
      <w:pPr>
        <w:pStyle w:val="Fuente"/>
      </w:pPr>
      <w:r>
        <w:t xml:space="preserve">Véase </w:t>
      </w:r>
      <w:hyperlink w:history="1" w:anchor="b_pregunta_p1_06_propiedad_emer_61f9d572">
        <w:r>
          <w:rPr>
            <w:color w:val="156B70"/>
            <w:u w:val="single"/>
          </w:rPr>
          <w:t xml:space="preserve">pregunta del primer parcial: Unidad 1 · 1.4–1.6 · Modelos mentales sistémicos y emergencia</w:t>
        </w:r>
      </w:hyperlink>
      <w:r>
        <w:t xml:space="preserve">, pág. </w:t>
      </w:r>
      <w:r>
        <w:fldChar w:fldCharType="begin"/>
        <w:instrText xml:space="preserve">PAGEREF b_pregunta_p1_06_propiedad_emer_61f9d572 \h</w:instrText>
        <w:fldChar w:fldCharType="separate"/>
        <w:t xml:space="preserve">984</w:t>
        <w:fldChar w:fldCharType="end"/>
      </w:r>
      <w:r>
        <w:t xml:space="preserve">.</w:t>
      </w:r>
    </w:p>
    <w:p>
      <w:pPr>
        <w:pStyle w:val="Fuente"/>
      </w:pPr>
      <w:r>
        <w:t xml:space="preserve">Véase </w:t>
      </w:r>
      <w:hyperlink w:history="1" w:anchor="b_pregunta_p1_07_pregunta_para__411e018b">
        <w:r>
          <w:rPr>
            <w:color w:val="156B70"/>
            <w:u w:val="single"/>
          </w:rPr>
          <w:t xml:space="preserve">pregunta del primer parcial: Unidad 1 · 1.8 · Hábitos del pensador sistémico</w:t>
        </w:r>
      </w:hyperlink>
      <w:r>
        <w:t xml:space="preserve">, pág. </w:t>
      </w:r>
      <w:r>
        <w:fldChar w:fldCharType="begin"/>
        <w:instrText xml:space="preserve">PAGEREF b_pregunta_p1_07_pregunta_para__411e018b \h</w:instrText>
        <w:fldChar w:fldCharType="separate"/>
        <w:t xml:space="preserve">985</w:t>
        <w:fldChar w:fldCharType="end"/>
      </w:r>
      <w:r>
        <w:t xml:space="preserve">.</w:t>
      </w:r>
    </w:p>
    <w:p>
      <w:pPr>
        <w:pStyle w:val="Fuente"/>
      </w:pPr>
      <w:r>
        <w:t xml:space="preserve">Véase </w:t>
      </w:r>
      <w:hyperlink w:history="1" w:anchor="b_pregunta_p1_09_equilibrio_dinamico">
        <w:r>
          <w:rPr>
            <w:color w:val="156B70"/>
            <w:u w:val="single"/>
          </w:rPr>
          <w:t xml:space="preserve">pregunta del primer parcial: Unidad 2 · 2.8 · Otros conceptos de la TGS</w:t>
        </w:r>
      </w:hyperlink>
      <w:r>
        <w:t xml:space="preserve">, pág. </w:t>
      </w:r>
      <w:r>
        <w:fldChar w:fldCharType="begin"/>
        <w:instrText xml:space="preserve">PAGEREF b_pregunta_p1_09_equilibrio_dinamico \h</w:instrText>
        <w:fldChar w:fldCharType="separate"/>
        <w:t xml:space="preserve">988</w:t>
        <w:fldChar w:fldCharType="end"/>
      </w:r>
      <w:r>
        <w:t xml:space="preserve">.</w:t>
      </w:r>
    </w:p>
    <w:p>
      <w:pPr>
        <w:pStyle w:val="Fuente"/>
      </w:pPr>
      <w:r>
        <w:t xml:space="preserve">Véase </w:t>
      </w:r>
      <w:hyperlink w:history="1" w:anchor="b_pregunta_p1_11_entrada_del_sistema">
        <w:r>
          <w:rPr>
            <w:color w:val="156B70"/>
            <w:u w:val="single"/>
          </w:rPr>
          <w:t xml:space="preserve">pregunta del primer parcial: Unidad 2 · 2.2–2.3 · Concepto y estructura del sistema</w:t>
        </w:r>
      </w:hyperlink>
      <w:r>
        <w:t xml:space="preserve">, pág. </w:t>
      </w:r>
      <w:r>
        <w:fldChar w:fldCharType="begin"/>
        <w:instrText xml:space="preserve">PAGEREF b_pregunta_p1_11_entrada_del_sistema \h</w:instrText>
        <w:fldChar w:fldCharType="separate"/>
        <w:t xml:space="preserve">990</w:t>
        <w:fldChar w:fldCharType="end"/>
      </w:r>
      <w:r>
        <w:t xml:space="preserve">.</w:t>
      </w:r>
    </w:p>
    <w:p>
      <w:pPr>
        <w:pStyle w:val="Fuente"/>
      </w:pPr>
      <w:r>
        <w:t xml:space="preserve">Véase </w:t>
      </w:r>
      <w:hyperlink w:history="1" w:anchor="b_pregunta_p1_12_nivel_que_expl_a22a1043">
        <w:r>
          <w:rPr>
            <w:color w:val="156B70"/>
            <w:u w:val="single"/>
          </w:rPr>
          <w:t xml:space="preserve">pregunta del primer parcial: Unidad 1 · 1.7 · Modelo del iceberg</w:t>
        </w:r>
      </w:hyperlink>
      <w:r>
        <w:t xml:space="preserve">, pág. </w:t>
      </w:r>
      <w:r>
        <w:fldChar w:fldCharType="begin"/>
        <w:instrText xml:space="preserve">PAGEREF b_pregunta_p1_12_nivel_que_expl_a22a1043 \h</w:instrText>
        <w:fldChar w:fldCharType="separate"/>
        <w:t xml:space="preserve">991</w:t>
        <w:fldChar w:fldCharType="end"/>
      </w:r>
      <w:r>
        <w:t xml:space="preserve">.</w:t>
      </w:r>
    </w:p>
    <w:p>
      <w:pPr>
        <w:pStyle w:val="Fuente"/>
      </w:pPr>
      <w:r>
        <w:t xml:space="preserve">Véase </w:t>
      </w:r>
      <w:hyperlink w:history="1" w:anchor="b_pregunta_p1_13_sistemas_proba_f255688b">
        <w:r>
          <w:rPr>
            <w:color w:val="156B70"/>
            <w:u w:val="single"/>
          </w:rPr>
          <w:t xml:space="preserve">pregunta del primer parcial: Unidad 2 · 2.8 · Clasificaciones adicionales</w:t>
        </w:r>
      </w:hyperlink>
      <w:r>
        <w:t xml:space="preserve">, pág. </w:t>
      </w:r>
      <w:r>
        <w:fldChar w:fldCharType="begin"/>
        <w:instrText xml:space="preserve">PAGEREF b_pregunta_p1_13_sistemas_proba_f255688b \h</w:instrText>
        <w:fldChar w:fldCharType="separate"/>
        <w:t xml:space="preserve">992</w:t>
        <w:fldChar w:fldCharType="end"/>
      </w:r>
      <w:r>
        <w:t xml:space="preserve">.</w:t>
      </w:r>
    </w:p>
    <w:p>
      <w:pPr>
        <w:pStyle w:val="Fuente"/>
      </w:pPr>
      <w:r>
        <w:t xml:space="preserve">Véase </w:t>
      </w:r>
      <w:hyperlink w:history="1" w:anchor="b_pregunta_p1_15_condiciones_in_fc0e8ced">
        <w:r>
          <w:rPr>
            <w:color w:val="156B70"/>
            <w:u w:val="single"/>
          </w:rPr>
          <w:t xml:space="preserve">pregunta del primer parcial: Unidad 2 · 2.8 · Principios de la TGS</w:t>
        </w:r>
      </w:hyperlink>
      <w:r>
        <w:t xml:space="preserve">, pág. </w:t>
      </w:r>
      <w:r>
        <w:fldChar w:fldCharType="begin"/>
        <w:instrText xml:space="preserve">PAGEREF b_pregunta_p1_15_condiciones_in_fc0e8ced \h</w:instrText>
        <w:fldChar w:fldCharType="separate"/>
        <w:t xml:space="preserve">994</w:t>
        <w:fldChar w:fldCharType="end"/>
      </w:r>
      <w:r>
        <w:t xml:space="preserve">.</w:t>
      </w:r>
    </w:p>
    <w:p>
      <w:pPr>
        <w:pStyle w:val="Fuente"/>
      </w:pPr>
      <w:r>
        <w:t xml:space="preserve">Véase </w:t>
      </w:r>
      <w:hyperlink w:history="1" w:anchor="b_pregunta_p1_17_aumentar_la_comprension">
        <w:r>
          <w:rPr>
            <w:color w:val="156B70"/>
            <w:u w:val="single"/>
          </w:rPr>
          <w:t xml:space="preserve">pregunta del primer parcial: Unidad 1 · 1.5 y 1.8 · Perspectivas y hábitos</w:t>
        </w:r>
      </w:hyperlink>
      <w:r>
        <w:t xml:space="preserve">, pág. </w:t>
      </w:r>
      <w:r>
        <w:fldChar w:fldCharType="begin"/>
        <w:instrText xml:space="preserve">PAGEREF b_pregunta_p1_17_aumentar_la_comprension \h</w:instrText>
        <w:fldChar w:fldCharType="separate"/>
        <w:t xml:space="preserve">997</w:t>
        <w:fldChar w:fldCharType="end"/>
      </w:r>
      <w:r>
        <w:t xml:space="preserve">.</w:t>
      </w:r>
    </w:p>
    <w:p>
      <w:pPr>
        <w:pStyle w:val="Fuente"/>
      </w:pPr>
      <w:r>
        <w:t xml:space="preserve">Véase </w:t>
      </w:r>
      <w:hyperlink w:history="1" w:anchor="b_pregunta_p1_19_objetos_para_modelar">
        <w:r>
          <w:rPr>
            <w:color w:val="156B70"/>
            <w:u w:val="single"/>
          </w:rPr>
          <w:t xml:space="preserve">pregunta del primer parcial: Unidad 1 · 1.3 · El paradigma de sistemas</w:t>
        </w:r>
      </w:hyperlink>
      <w:r>
        <w:t xml:space="preserve">, pág. </w:t>
      </w:r>
      <w:r>
        <w:fldChar w:fldCharType="begin"/>
        <w:instrText xml:space="preserve">PAGEREF b_pregunta_p1_19_objetos_para_modelar \h</w:instrText>
        <w:fldChar w:fldCharType="separate"/>
        <w:t xml:space="preserve">999</w:t>
        <w:fldChar w:fldCharType="end"/>
      </w:r>
      <w:r>
        <w:t xml:space="preserve">.</w:t>
      </w:r>
    </w:p>
    <w:p>
      <w:pPr>
        <w:pStyle w:val="Fuente"/>
      </w:pPr>
      <w:r>
        <w:t xml:space="preserve">Véase </w:t>
      </w:r>
      <w:hyperlink w:history="1" w:anchor="b_pregunta_p1_20_desde_donde_se_6415e5e8">
        <w:r>
          <w:rPr>
            <w:color w:val="156B70"/>
            <w:u w:val="single"/>
          </w:rPr>
          <w:t xml:space="preserve">pregunta del primer parcial: Unidad 1 · 1.1 · Paradigmas</w:t>
        </w:r>
      </w:hyperlink>
      <w:r>
        <w:t xml:space="preserve">, pág. </w:t>
      </w:r>
      <w:r>
        <w:fldChar w:fldCharType="begin"/>
        <w:instrText xml:space="preserve">PAGEREF b_pregunta_p1_20_desde_donde_se_6415e5e8 \h</w:instrText>
        <w:fldChar w:fldCharType="separate"/>
        <w:t xml:space="preserve">1000</w:t>
        <w:fldChar w:fldCharType="end"/>
      </w:r>
      <w:r>
        <w:t xml:space="preserve">.</w:t>
      </w:r>
    </w:p>
    <w:p>
      <w:pPr>
        <w:pStyle w:val="Fuente"/>
      </w:pPr>
      <w:r>
        <w:t xml:space="preserve">Véase </w:t>
      </w:r>
      <w:hyperlink w:history="1" w:anchor="b_pregunta_p1_22_perspectivas_q_682804d6">
        <w:r>
          <w:rPr>
            <w:color w:val="156B70"/>
            <w:u w:val="single"/>
          </w:rPr>
          <w:t xml:space="preserve">pregunta del primer parcial: Unidad 1 · 1.5 · Perspectivas</w:t>
        </w:r>
      </w:hyperlink>
      <w:r>
        <w:t xml:space="preserve">, pág. </w:t>
      </w:r>
      <w:r>
        <w:fldChar w:fldCharType="begin"/>
        <w:instrText xml:space="preserve">PAGEREF b_pregunta_p1_22_perspectivas_q_682804d6 \h</w:instrText>
        <w:fldChar w:fldCharType="separate"/>
        <w:t xml:space="preserve">1002</w:t>
        <w:fldChar w:fldCharType="end"/>
      </w:r>
      <w:r>
        <w:t xml:space="preserve">.</w:t>
      </w:r>
    </w:p>
    <w:p>
      <w:pPr>
        <w:pStyle w:val="Fuente"/>
      </w:pPr>
      <w:r>
        <w:t xml:space="preserve">Véase </w:t>
      </w:r>
      <w:hyperlink w:history="1" w:anchor="b_pregunta_p1_23_ciencia_de_la__ba6be327">
        <w:r>
          <w:rPr>
            <w:color w:val="156B70"/>
            <w:u w:val="single"/>
          </w:rPr>
          <w:t xml:space="preserve">pregunta del primer parcial: Unidad 2 · 2.8 · Cibernética y retroalimentación</w:t>
        </w:r>
      </w:hyperlink>
      <w:r>
        <w:t xml:space="preserve">, pág. </w:t>
      </w:r>
      <w:r>
        <w:fldChar w:fldCharType="begin"/>
        <w:instrText xml:space="preserve">PAGEREF b_pregunta_p1_23_ciencia_de_la__ba6be327 \h</w:instrText>
        <w:fldChar w:fldCharType="separate"/>
        <w:t xml:space="preserve">1003</w:t>
        <w:fldChar w:fldCharType="end"/>
      </w:r>
      <w:r>
        <w:t xml:space="preserve">.</w:t>
      </w:r>
    </w:p>
    <w:p>
      <w:pPr>
        <w:pStyle w:val="Fuente"/>
      </w:pPr>
      <w:r>
        <w:t xml:space="preserve">Véase </w:t>
      </w:r>
      <w:hyperlink w:history="1" w:anchor="b_pregunta_p1_24_habito_que_est_443e8496">
        <w:r>
          <w:rPr>
            <w:color w:val="156B70"/>
            <w:u w:val="single"/>
          </w:rPr>
          <w:t xml:space="preserve">pregunta del primer parcial: Unidad 1 · 1.8 · Hábitos del pensador sistémico</w:t>
        </w:r>
      </w:hyperlink>
      <w:r>
        <w:t xml:space="preserve">, pág. </w:t>
      </w:r>
      <w:r>
        <w:fldChar w:fldCharType="begin"/>
        <w:instrText xml:space="preserve">PAGEREF b_pregunta_p1_24_habito_que_est_443e8496 \h</w:instrText>
        <w:fldChar w:fldCharType="separate"/>
        <w:t xml:space="preserve">1004</w:t>
        <w:fldChar w:fldCharType="end"/>
      </w:r>
      <w:r>
        <w:t xml:space="preserve">.</w:t>
      </w:r>
    </w:p>
    <w:p>
      <w:pPr>
        <w:pStyle w:val="Fuente"/>
      </w:pPr>
      <w:r>
        <w:t xml:space="preserve">Véase </w:t>
      </w:r>
      <w:hyperlink w:history="1" w:anchor="b_pregunta_p1_25_pensamiento_po_dcba7b32">
        <w:r>
          <w:rPr>
            <w:color w:val="156B70"/>
            <w:u w:val="single"/>
          </w:rPr>
          <w:t xml:space="preserve">pregunta del primer parcial: Unidad 2 · 2.1 · Reduccionismo y pensamiento sistémico</w:t>
        </w:r>
      </w:hyperlink>
      <w:r>
        <w:t xml:space="preserve">, pág. </w:t>
      </w:r>
      <w:r>
        <w:fldChar w:fldCharType="begin"/>
        <w:instrText xml:space="preserve">PAGEREF b_pregunta_p1_25_pensamiento_po_dcba7b32 \h</w:instrText>
        <w:fldChar w:fldCharType="separate"/>
        <w:t xml:space="preserve">1005</w:t>
        <w:fldChar w:fldCharType="end"/>
      </w:r>
      <w:r>
        <w:t xml:space="preserve">.</w:t>
      </w:r>
    </w:p>
    <w:p>
      <w:pPr>
        <w:pStyle w:val="Fuente"/>
      </w:pPr>
      <w:r>
        <w:t xml:space="preserve">Véase </w:t>
      </w:r>
      <w:hyperlink w:history="1" w:anchor="b_pregunta_p1_27_sistema_a_conglomerado">
        <w:r>
          <w:rPr>
            <w:color w:val="156B70"/>
            <w:u w:val="single"/>
          </w:rPr>
          <w:t xml:space="preserve">pregunta del primer parcial: Unidad 2 · 2.5 y 2.8 · Sinergia, entropía y organización</w:t>
        </w:r>
      </w:hyperlink>
      <w:r>
        <w:t xml:space="preserve">, pág. </w:t>
      </w:r>
      <w:r>
        <w:fldChar w:fldCharType="begin"/>
        <w:instrText xml:space="preserve">PAGEREF b_pregunta_p1_27_sistema_a_conglomerado \h</w:instrText>
        <w:fldChar w:fldCharType="separate"/>
        <w:t xml:space="preserve">1008</w:t>
        <w:fldChar w:fldCharType="end"/>
      </w:r>
      <w:r>
        <w:t xml:space="preserve">.</w:t>
      </w:r>
    </w:p>
    <w:p>
      <w:pPr>
        <w:pStyle w:val="Heading3"/>
      </w:pPr>
      <w:bookmarkStart w:name="b_solucionario_banco_p1" w:id="6007"/>
      <w:r>
        <w:t xml:space="preserve">Solucionario del banco</w:t>
      </w:r>
      <w:bookmarkEnd w:id="6007"/>
    </w:p>
    <w:p>
      <w:pPr>
        <w:pStyle w:val="Heading3"/>
      </w:pPr>
      <w:bookmarkStart w:name="b_solucion_ec1_01_caracteristica_no" w:id="6008"/>
      <w:r>
        <w:t xml:space="preserve">Solución S1-1</w:t>
      </w:r>
      <w:bookmarkEnd w:id="6008"/>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b) Son flexibles</w:t>
            </w:r>
          </w:p>
        </w:tc>
      </w:tr>
    </w:tbl>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Retroalimentación oficial de la plataforma</w:t>
            </w:r>
          </w:p>
          <w:p>
            <w:pPr>
              <w:pStyle w:val="Recuadro"/>
            </w:pPr>
            <w:r>
              <w:t xml:space="preserve">La respuesta correcta es: son flexibles</w:t>
            </w:r>
          </w:p>
        </w:tc>
      </w:tr>
    </w:tbl>
    <w:p>
      <w:pPr>
        <w:pStyle w:val="Normal"/>
      </w:pPr>
      <w:r>
        <w:t xml:space="preserve">a) Son elegibles por el ser humano — Sí lo es: Barker sostiene que las personas pueden elegir cambiar de paradigma.</w:t>
      </w:r>
    </w:p>
    <w:p>
      <w:pPr>
        <w:pStyle w:val="Normal"/>
      </w:pPr>
      <w:r>
        <w:t xml:space="preserve">b) Son flexibles — Esta es la que sobra. La flexibilidad no es una propiedad del paradigma, sino una actitud que se cultiva frente a él.</w:t>
      </w:r>
    </w:p>
    <w:p>
      <w:pPr>
        <w:pStyle w:val="Normal"/>
      </w:pPr>
      <w:r>
        <w:t xml:space="preserve">c) Son funcionales — Sí lo es: el paradigma sirve para resolver problemas dentro de sus límites. El portal lo llama «útiles».</w:t>
      </w:r>
    </w:p>
    <w:p>
      <w:pPr>
        <w:pStyle w:val="Normal"/>
      </w:pPr>
      <w:r>
        <w:t xml:space="preserve">d) Son comunes — Sí lo es: todos usamos paradigmas todo el tiempo. El portal lo llama «universales».</w:t>
      </w:r>
    </w:p>
    <w:p>
      <w:pPr>
        <w:pStyle w:val="Normal"/>
      </w:pPr>
      <w:r>
        <w:t xml:space="preserve">Criterio de resolución: Un paradigma es común, útil y elegible, pero no flexible: la flexibilidad es la disposición del pensador a cambiarlo, no un rasgo del paradigma. Ojo al vocabulario: donde el examen dice «funcionales» y «comunes», la lección del portal dice «útiles» y «universales».</w:t>
      </w:r>
    </w:p>
    <w:p>
      <w:pPr>
        <w:pStyle w:val="Fuente"/>
      </w:pPr>
      <w:r>
        <w:t xml:space="preserve">Banco del portal; resolución editorial.</w:t>
      </w:r>
    </w:p>
    <w:p>
      <w:pPr>
        <w:pStyle w:val="Heading3"/>
      </w:pPr>
      <w:bookmarkStart w:name="b_solucion_ec1_02_pregunta_de_barker" w:id="6009"/>
      <w:r>
        <w:t xml:space="preserve">Solución S1-2</w:t>
      </w:r>
      <w:bookmarkEnd w:id="6009"/>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d) Nos permite encontrar nuevos paradigmas en los márgenes del paradigma existente en una empresa</w:t>
            </w:r>
          </w:p>
        </w:tc>
      </w:tr>
    </w:tbl>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Retroalimentación oficial de la plataforma</w:t>
            </w:r>
          </w:p>
          <w:p>
            <w:pPr>
              <w:pStyle w:val="Recuadro"/>
            </w:pPr>
            <w:r>
              <w:t xml:space="preserve">La respuesta correcta es: Nos permite encontrar nuevos paradigmas en los márgenes del paradigma existente en una empresa</w:t>
            </w:r>
          </w:p>
        </w:tc>
      </w:tr>
    </w:tbl>
    <w:p>
      <w:pPr>
        <w:pStyle w:val="Normal"/>
      </w:pPr>
      <w:r>
        <w:t xml:space="preserve">a) Nos permite identificar las creencias base del paradigma de una empresa — Se descarta por la clave; aplique el criterio de resolución común que se desarrolla después de esta lista.</w:t>
      </w:r>
    </w:p>
    <w:p>
      <w:pPr>
        <w:pStyle w:val="Normal"/>
      </w:pPr>
      <w:r>
        <w:t xml:space="preserve">b) Nos permite distinguir otra forma de entender el paradigma de una empresa — Se descarta por la clave; aplique el criterio de resolución común que se desarrolla después de esta lista.</w:t>
      </w:r>
    </w:p>
    <w:p>
      <w:pPr>
        <w:pStyle w:val="Normal"/>
      </w:pPr>
      <w:r>
        <w:t xml:space="preserve">c) Nos permite evitar los cambios del paradigma de la empresa — Se descarta por la clave; aplique el criterio de resolución común que se desarrolla después de esta lista.</w:t>
      </w:r>
    </w:p>
    <w:p>
      <w:pPr>
        <w:pStyle w:val="Normal"/>
      </w:pPr>
      <w:r>
        <w:t xml:space="preserve">d) Nos permite encontrar nuevos paradigmas en los márgenes del paradigma existente en una empresa — Se selecciona por la clave; aplique el criterio de resolución común que se desarrolla después de esta lista.</w:t>
      </w:r>
    </w:p>
    <w:p>
      <w:pPr>
        <w:pStyle w:val="Normal"/>
      </w:pPr>
      <w:r>
        <w:t xml:space="preserve">Criterio de resolución: Es la pregunta con la que Barker entrena la flexibilidad de paradigmas: apunta a lo que hoy queda fuera de los límites, y las reglas nuevas casi siempre se escriben en los márgenes del paradigma vigente.</w:t>
      </w:r>
    </w:p>
    <w:p>
      <w:pPr>
        <w:pStyle w:val="Fuente"/>
      </w:pPr>
      <w:r>
        <w:t xml:space="preserve">Banco del portal; resolución editorial.</w:t>
      </w:r>
    </w:p>
    <w:p>
      <w:pPr>
        <w:pStyle w:val="Heading3"/>
      </w:pPr>
      <w:bookmarkStart w:name="b_solucion_ec1_03_efecto_paradigma" w:id="6010"/>
      <w:r>
        <w:t xml:space="preserve">Solución S1-3</w:t>
      </w:r>
      <w:bookmarkEnd w:id="6010"/>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c) En que lo que es perfectamente obvio para una persona es imperceptible para otra persona</w:t>
            </w:r>
          </w:p>
        </w:tc>
      </w:tr>
    </w:tbl>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Retroalimentación oficial de la plataforma</w:t>
            </w:r>
          </w:p>
          <w:p>
            <w:pPr>
              <w:pStyle w:val="Recuadro"/>
            </w:pPr>
            <w:r>
              <w:t xml:space="preserve">La respuesta correcta es: En que lo que es perfectamente obvio para una persona es imperceptible para otra persona</w:t>
            </w:r>
          </w:p>
        </w:tc>
      </w:tr>
    </w:tbl>
    <w:p>
      <w:pPr>
        <w:pStyle w:val="Normal"/>
      </w:pPr>
      <w:r>
        <w:t xml:space="preserve">a) En la respuesta correcta que se espera para algún problema — Se descarta por la clave; aplique el criterio de resolución común que se desarrolla después de esta lista.</w:t>
      </w:r>
    </w:p>
    <w:p>
      <w:pPr>
        <w:pStyle w:val="Normal"/>
      </w:pPr>
      <w:r>
        <w:t xml:space="preserve">b) Es lo mismo que la parálisis paradigmática — Se descarta por la clave; aplique el criterio de resolución común que se desarrolla después de esta lista.</w:t>
      </w:r>
    </w:p>
    <w:p>
      <w:pPr>
        <w:pStyle w:val="Normal"/>
      </w:pPr>
      <w:r>
        <w:t xml:space="preserve">c) En que lo que es perfectamente obvio para una persona es imperceptible para otra persona — Se selecciona por la clave; aplique el criterio de resolución común que se desarrolla después de esta lista.</w:t>
      </w:r>
    </w:p>
    <w:p>
      <w:pPr>
        <w:pStyle w:val="Normal"/>
      </w:pPr>
      <w:r>
        <w:t xml:space="preserve">d) Consiste en el proceso por medio del cual aprendemos sobre cómo son las cosas — Se descarta por la clave; aplique el criterio de resolución común que se desarrolla después de esta lista.</w:t>
      </w:r>
    </w:p>
    <w:p>
      <w:pPr>
        <w:pStyle w:val="Normal"/>
      </w:pPr>
      <w:r>
        <w:t xml:space="preserve">Criterio de resolución: El efecto paradigma es el filtro: cada paradigma deja pasar unos datos y bloquea otros, de modo que dos personas miran lo mismo y una ve algo que la otra no puede ver. No confundirlo con la parálisis, que es negarse a cambiar.</w:t>
      </w:r>
    </w:p>
    <w:p>
      <w:pPr>
        <w:pStyle w:val="Fuente"/>
      </w:pPr>
      <w:r>
        <w:t xml:space="preserve">Banco del portal; resolución editorial.</w:t>
      </w:r>
    </w:p>
    <w:p>
      <w:pPr>
        <w:pStyle w:val="Heading3"/>
      </w:pPr>
      <w:bookmarkStart w:name="b_solucion_ec1_04_impide_ver" w:id="6011"/>
      <w:r>
        <w:t xml:space="preserve">Solución S1-4</w:t>
      </w:r>
      <w:bookmarkEnd w:id="6011"/>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d) Los paradigmas</w:t>
            </w:r>
          </w:p>
        </w:tc>
      </w:tr>
    </w:tbl>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Retroalimentación oficial de la plataforma</w:t>
            </w:r>
          </w:p>
          <w:p>
            <w:pPr>
              <w:pStyle w:val="Recuadro"/>
            </w:pPr>
            <w:r>
              <w:t xml:space="preserve">La respuesta correcta es: Los paradigmas</w:t>
            </w:r>
          </w:p>
        </w:tc>
      </w:tr>
    </w:tbl>
    <w:p>
      <w:pPr>
        <w:pStyle w:val="Normal"/>
      </w:pPr>
      <w:r>
        <w:t xml:space="preserve">a) Otros factores no indicados en el video — Se descarta por la clave; aplique el criterio de resolución común que se desarrolla después de esta lista.</w:t>
      </w:r>
    </w:p>
    <w:p>
      <w:pPr>
        <w:pStyle w:val="Normal"/>
      </w:pPr>
      <w:r>
        <w:t xml:space="preserve">b) La complejidad — Se descarta por la clave; aplique el criterio de resolución común que se desarrolla después de esta lista.</w:t>
      </w:r>
    </w:p>
    <w:p>
      <w:pPr>
        <w:pStyle w:val="Normal"/>
      </w:pPr>
      <w:r>
        <w:t xml:space="preserve">c) La falta de voluntad — Se descarta por la clave; aplique el criterio de resolución común que se desarrolla después de esta lista.</w:t>
      </w:r>
    </w:p>
    <w:p>
      <w:pPr>
        <w:pStyle w:val="Normal"/>
      </w:pPr>
      <w:r>
        <w:t xml:space="preserve">d) Los paradigmas — Se selecciona por la clave; aplique el criterio de resolución común que se desarrolla después de esta lista.</w:t>
      </w:r>
    </w:p>
    <w:p>
      <w:pPr>
        <w:pStyle w:val="Normal"/>
      </w:pPr>
      <w:r>
        <w:t xml:space="preserve">Criterio de resolución: No es falta de voluntad ni exceso de complejidad: es el propio paradigma, que filtra la experiencia y descarta lo que no encaja en sus reglas.</w:t>
      </w:r>
    </w:p>
    <w:p>
      <w:pPr>
        <w:pStyle w:val="Fuente"/>
      </w:pPr>
      <w:r>
        <w:t xml:space="preserve">Banco del portal; resolución editorial.</w:t>
      </w:r>
    </w:p>
    <w:p>
      <w:pPr>
        <w:pStyle w:val="Heading3"/>
      </w:pPr>
      <w:bookmarkStart w:name="b_solucion_ec1_06_vuelta_a_cero" w:id="6012"/>
      <w:r>
        <w:t xml:space="preserve">Solución S1-5</w:t>
      </w:r>
      <w:bookmarkEnd w:id="6012"/>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b) Los éxitos pasados no garantizan nada en el futuro</w:t>
            </w:r>
          </w:p>
        </w:tc>
      </w:tr>
    </w:tbl>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Retroalimentación oficial de la plataforma</w:t>
            </w:r>
          </w:p>
          <w:p>
            <w:pPr>
              <w:pStyle w:val="Recuadro"/>
            </w:pPr>
            <w:r>
              <w:t xml:space="preserve">La respuesta correcta es: Los éxitos pasados no garantizan nada en el futuro</w:t>
            </w:r>
          </w:p>
        </w:tc>
      </w:tr>
    </w:tbl>
    <w:p>
      <w:pPr>
        <w:pStyle w:val="Normal"/>
      </w:pPr>
      <w:r>
        <w:t xml:space="preserve">a) Lo que se cree sobre algo es el problema de no adaptarse al cambio — Se descarta por la clave; aplique el criterio de resolución común que se desarrolla después de esta lista.</w:t>
      </w:r>
    </w:p>
    <w:p>
      <w:pPr>
        <w:pStyle w:val="Normal"/>
      </w:pPr>
      <w:r>
        <w:t xml:space="preserve">b) Los éxitos pasados no garantizan nada en el futuro — Se selecciona por la clave; aplique el criterio de resolución común que se desarrolla después de esta lista.</w:t>
      </w:r>
    </w:p>
    <w:p>
      <w:pPr>
        <w:pStyle w:val="Normal"/>
      </w:pPr>
      <w:r>
        <w:t xml:space="preserve">c) Lo que se ve no es lo que es — Se descarta por la clave; aplique el criterio de resolución común que se desarrolla después de esta lista.</w:t>
      </w:r>
    </w:p>
    <w:p>
      <w:pPr>
        <w:pStyle w:val="Normal"/>
      </w:pPr>
      <w:r>
        <w:t xml:space="preserve">d) El éxito obtenido en el pasado significa éxito en el futuro — Se descarta por la clave; aplique el criterio de resolución común que se desarrolla después de esta lista.</w:t>
      </w:r>
    </w:p>
    <w:p>
      <w:pPr>
        <w:pStyle w:val="Normal"/>
      </w:pPr>
      <w:r>
        <w:t xml:space="preserve">Criterio de resolución: Cuando el paradigma cambia, el marcador se pone a cero para todos: la ventaja acumulada bajo las reglas viejas deja de contar. Por eso a las organizaciones dominantes les cuesta tanto un cambio de paradigma.</w:t>
      </w:r>
    </w:p>
    <w:p>
      <w:pPr>
        <w:pStyle w:val="Fuente"/>
      </w:pPr>
      <w:r>
        <w:t xml:space="preserve">Banco del portal; resolución editorial.</w:t>
      </w:r>
    </w:p>
    <w:p>
      <w:pPr>
        <w:pStyle w:val="Heading3"/>
      </w:pPr>
      <w:bookmarkStart w:name="b_solucion_ec1_07_paralisis" w:id="6013"/>
      <w:r>
        <w:t xml:space="preserve">Solución S1-6</w:t>
      </w:r>
      <w:bookmarkEnd w:id="6013"/>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a) Parálisis paradigmática</w:t>
            </w:r>
          </w:p>
        </w:tc>
      </w:tr>
    </w:tbl>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Retroalimentación oficial de la plataforma</w:t>
            </w:r>
          </w:p>
          <w:p>
            <w:pPr>
              <w:pStyle w:val="Recuadro"/>
            </w:pPr>
            <w:r>
              <w:t xml:space="preserve">Respuesta incorrecta. La respuesta correcta es: Parálisis paradigmática</w:t>
            </w:r>
          </w:p>
        </w:tc>
      </w:tr>
    </w:tbl>
    <w:p>
      <w:pPr>
        <w:pStyle w:val="Normal"/>
      </w:pPr>
      <w:r>
        <w:t xml:space="preserve">a) Parálisis paradigmática — Correcta. Barker la llama «una enfermedad terminal de certidumbre».</w:t>
      </w:r>
    </w:p>
    <w:p>
      <w:pPr>
        <w:pStyle w:val="Normal"/>
      </w:pPr>
      <w:r>
        <w:t xml:space="preserve">b) Inducción paradigmática — No existe con ese nombre en las observaciones de Barker.</w:t>
      </w:r>
    </w:p>
    <w:p>
      <w:pPr>
        <w:pStyle w:val="Normal"/>
      </w:pPr>
      <w:r>
        <w:t xml:space="preserve">c) Ninguna respuesta es correcta — Sí hay una correcta: la parálisis paradigmática.</w:t>
      </w:r>
    </w:p>
    <w:p>
      <w:pPr>
        <w:pStyle w:val="Normal"/>
      </w:pPr>
      <w:r>
        <w:t xml:space="preserve">d) Efecto paradigma — El efecto paradigma es el filtro que hace que uno no vea; la parálisis es negarse a considerar lo que el otro ve. Aquí lo decisivo es el rechazo, no la ceguera.</w:t>
      </w:r>
    </w:p>
    <w:p>
      <w:pPr>
        <w:pStyle w:val="Normal"/>
      </w:pPr>
      <w:r>
        <w:t xml:space="preserve">e) Distorsión paradigmática — No existe con ese nombre en las observaciones de Barker.</w:t>
      </w:r>
    </w:p>
    <w:p>
      <w:pPr>
        <w:pStyle w:val="Normal"/>
      </w:pPr>
      <w:r>
        <w:t xml:space="preserve">Criterio de resolución: La clave está en el desenlace: si sólo no se ve, es efecto paradigma; si además se descalifica a quien sí ve y se rehúsa considerarlo, es parálisis paradigmática. El enunciado describe lo segundo.</w:t>
      </w:r>
    </w:p>
    <w:p>
      <w:pPr>
        <w:pStyle w:val="Fuente"/>
      </w:pPr>
      <w:r>
        <w:t xml:space="preserve">Banco del portal; resolución editorial.</w:t>
      </w:r>
    </w:p>
    <w:p>
      <w:pPr>
        <w:pStyle w:val="Heading3"/>
      </w:pPr>
      <w:bookmarkStart w:name="b_solucion_ec1_08_observaciones_barker" w:id="6014"/>
      <w:r>
        <w:t xml:space="preserve">Solución S1-7</w:t>
      </w:r>
      <w:bookmarkEnd w:id="6014"/>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a) Los paradigmas no son comunes</w:t>
            </w:r>
          </w:p>
        </w:tc>
      </w:tr>
    </w:tbl>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Retroalimentación oficial de la plataforma</w:t>
            </w:r>
          </w:p>
          <w:p>
            <w:pPr>
              <w:pStyle w:val="Recuadro"/>
            </w:pPr>
            <w:r>
              <w:t xml:space="preserve">La respuesta correcta es: Los paradigmas no son comunes</w:t>
            </w:r>
          </w:p>
        </w:tc>
      </w:tr>
    </w:tbl>
    <w:p>
      <w:pPr>
        <w:pStyle w:val="Normal"/>
      </w:pPr>
      <w:r>
        <w:t xml:space="preserve">a) Los paradigmas no son comunes — Se selecciona por la clave; aplique el criterio de resolución común que se desarrolla después de esta lista.</w:t>
      </w:r>
    </w:p>
    <w:p>
      <w:pPr>
        <w:pStyle w:val="Normal"/>
      </w:pPr>
      <w:r>
        <w:t xml:space="preserve">b) Los paradigmas son útiles — Se descarta por la clave; aplique el criterio de resolución común que se desarrolla después de esta lista.</w:t>
      </w:r>
    </w:p>
    <w:p>
      <w:pPr>
        <w:pStyle w:val="Normal"/>
      </w:pPr>
      <w:r>
        <w:t xml:space="preserve">c) La gente que crea nuevos paradigmas son foráneos — Se descarta por la clave; aplique el criterio de resolución común que se desarrolla después de esta lista.</w:t>
      </w:r>
    </w:p>
    <w:p>
      <w:pPr>
        <w:pStyle w:val="Normal"/>
      </w:pPr>
      <w:r>
        <w:t xml:space="preserve">d) Los paradigmas pueden convertirse en la única manera de hacer algo — Se descarta por la clave; aplique el criterio de resolución común que se desarrolla después de esta lista.</w:t>
      </w:r>
    </w:p>
    <w:p>
      <w:pPr>
        <w:pStyle w:val="Normal"/>
      </w:pPr>
      <w:r>
        <w:t xml:space="preserve">Criterio de resolución: Barker afirma justo lo contrario: los paradigmas </w:t>
      </w:r>
      <w:r>
        <w:rPr>
          <w:b/>
          <w:bCs/>
        </w:rPr>
        <w:t xml:space="preserve">son</w:t>
      </w:r>
      <w:r>
        <w:t xml:space="preserve"> comunes, están en todas partes. Las otras tres sí son observaciones suyas.</w:t>
      </w:r>
    </w:p>
    <w:p>
      <w:pPr>
        <w:pStyle w:val="Fuente"/>
      </w:pPr>
      <w:r>
        <w:t xml:space="preserve">Banco del portal; resolución editorial.</w:t>
      </w:r>
    </w:p>
    <w:p>
      <w:pPr>
        <w:pStyle w:val="Heading3"/>
      </w:pPr>
      <w:bookmarkStart w:name="b_solucion_ec1_09_definiciones" w:id="6015"/>
      <w:r>
        <w:t xml:space="preserve">Solución S1-8</w:t>
      </w:r>
      <w:bookmarkEnd w:id="6015"/>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a) Patrón o modelo</w:t>
            </w:r>
          </w:p>
          <w:p>
            <w:pPr>
              <w:pStyle w:val="Recuadro"/>
            </w:pPr>
            <w:r>
              <w:t xml:space="preserve">c) Reglas y reglamentos que establecen límites y nos explican cómo resolver exitosamente problemas dentro de estos límites</w:t>
            </w:r>
          </w:p>
        </w:tc>
      </w:tr>
    </w:tbl>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Retroalimentación oficial de la plataforma</w:t>
            </w:r>
          </w:p>
          <w:p>
            <w:pPr>
              <w:pStyle w:val="Recuadro"/>
            </w:pPr>
            <w:r>
              <w:t xml:space="preserve">Las respuestas correctas son: Patrón o modelo, reglas y reglamentos que establecen límites y nos explican cómo resolver exitosamente problemas dentro de estos límites</w:t>
            </w:r>
          </w:p>
        </w:tc>
      </w:tr>
    </w:tbl>
    <w:p>
      <w:pPr>
        <w:pStyle w:val="Normal"/>
      </w:pPr>
      <w:r>
        <w:t xml:space="preserve">a) Patrón o modelo — Correcta: es la acepción del diccionario que Barker cita como punto de partida.</w:t>
      </w:r>
    </w:p>
    <w:p>
      <w:pPr>
        <w:pStyle w:val="Normal"/>
      </w:pPr>
      <w:r>
        <w:t xml:space="preserve">b) Cambios en las cosas que hacemos — No: el cambio de paradigma no es el paradigma.</w:t>
      </w:r>
    </w:p>
    <w:p>
      <w:pPr>
        <w:pStyle w:val="Normal"/>
      </w:pPr>
      <w:r>
        <w:t xml:space="preserve">c) Reglas y reglamentos que establecen límites y nos explican cómo resolver exitosamente problemas dentro de estos límites — Correcta: es la definición operativa de Barker, la que el curso usa.</w:t>
      </w:r>
    </w:p>
    <w:p>
      <w:pPr>
        <w:pStyle w:val="Normal"/>
      </w:pPr>
      <w:r>
        <w:t xml:space="preserve">d) Intensión o significado de las cosas — No: eso describe el significado, no el marco de reglas.</w:t>
      </w:r>
    </w:p>
    <w:p>
      <w:pPr>
        <w:pStyle w:val="Normal"/>
      </w:pPr>
      <w:r>
        <w:t xml:space="preserve">Criterio de resolución: Las dos definiciones que el curso da por buenas son la del diccionario —patrón o modelo— y la operativa de Barker, que hace dos cosas: fija límites y dice cómo tener éxito dentro de ellos.</w:t>
      </w:r>
    </w:p>
    <w:p>
      <w:pPr>
        <w:pStyle w:val="Fuente"/>
      </w:pPr>
      <w:r>
        <w:t xml:space="preserve">Banco del portal; resolución editorial.</w:t>
      </w:r>
    </w:p>
    <w:p>
      <w:pPr>
        <w:pStyle w:val="Heading3"/>
      </w:pPr>
      <w:bookmarkStart w:name="b_solucion_ec1_10_lo_que_se_ve" w:id="6016"/>
      <w:r>
        <w:t xml:space="preserve">Solución S1-9</w:t>
      </w:r>
      <w:bookmarkEnd w:id="6016"/>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b) Lo que se espera ver</w:t>
            </w:r>
          </w:p>
        </w:tc>
      </w:tr>
    </w:tbl>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Retroalimentación oficial de la plataforma</w:t>
            </w:r>
          </w:p>
          <w:p>
            <w:pPr>
              <w:pStyle w:val="Recuadro"/>
            </w:pPr>
            <w:r>
              <w:t xml:space="preserve">La respuesta correcta es: Lo que se espera ver</w:t>
            </w:r>
          </w:p>
        </w:tc>
      </w:tr>
    </w:tbl>
    <w:p>
      <w:pPr>
        <w:pStyle w:val="Normal"/>
      </w:pPr>
      <w:r>
        <w:t xml:space="preserve">a) Lo que es verdad — Se descarta por la clave; aplique el criterio de resolución común que se desarrolla después de esta lista.</w:t>
      </w:r>
    </w:p>
    <w:p>
      <w:pPr>
        <w:pStyle w:val="Normal"/>
      </w:pPr>
      <w:r>
        <w:t xml:space="preserve">b) Lo que se espera ver — Se selecciona por la clave; aplique el criterio de resolución común que se desarrolla después de esta lista.</w:t>
      </w:r>
    </w:p>
    <w:p>
      <w:pPr>
        <w:pStyle w:val="Normal"/>
      </w:pPr>
      <w:r>
        <w:t xml:space="preserve">c) Realmente los paradigmas solo nos dejan ver algo que no es real — Se descarta por la clave; aplique el criterio de resolución común que se desarrolla después de esta lista.</w:t>
      </w:r>
    </w:p>
    <w:p>
      <w:pPr>
        <w:pStyle w:val="Normal"/>
      </w:pPr>
      <w:r>
        <w:t xml:space="preserve">d) La realidad — Se descarta por la clave; aplique el criterio de resolución común que se desarrolla después de esta lista.</w:t>
      </w:r>
    </w:p>
    <w:p>
      <w:pPr>
        <w:pStyle w:val="Normal"/>
      </w:pPr>
      <w:r>
        <w:t xml:space="preserve">Criterio de resolución: El paradigma invierte la relación entre ver y creer: deja de valer «lo creeré cuando lo vea» y pasa a valer «lo veré cuando lo crea». No es que lo visto sea irreal; es que se ve lo que el marco permite esperar.</w:t>
      </w:r>
    </w:p>
    <w:p>
      <w:pPr>
        <w:pStyle w:val="Fuente"/>
      </w:pPr>
      <w:r>
        <w:t xml:space="preserve">Banco del portal; resolución editorial.</w:t>
      </w:r>
    </w:p>
    <w:p>
      <w:pPr>
        <w:pStyle w:val="Heading3"/>
      </w:pPr>
      <w:bookmarkStart w:name="b_solucion_p1_modelo_decision" w:id="6017"/>
      <w:r>
        <w:t xml:space="preserve">Solución S1-10</w:t>
      </w:r>
      <w:bookmarkEnd w:id="6017"/>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a) Creencia, selección de datos, interpretación y acción</w:t>
            </w:r>
          </w:p>
        </w:tc>
      </w:tr>
    </w:tbl>
    <w:p>
      <w:pPr>
        <w:pStyle w:val="Normal"/>
      </w:pPr>
      <w:r>
        <w:t xml:space="preserve">a) Creencia, selección de datos, interpretación y acción — Se selecciona por la clave; aplique el criterio de resolución común que se desarrolla después de esta lista.</w:t>
      </w:r>
    </w:p>
    <w:p>
      <w:pPr>
        <w:pStyle w:val="Normal"/>
      </w:pPr>
      <w:r>
        <w:t xml:space="preserve">b) Acción, demostración de que toda creencia es verdadera y cierre del diálogo — Se descarta por la clave; aplique el criterio de resolución común que se desarrolla después de esta lista.</w:t>
      </w:r>
    </w:p>
    <w:p>
      <w:pPr>
        <w:pStyle w:val="Normal"/>
      </w:pPr>
      <w:r>
        <w:t xml:space="preserve">c) Número de opiniones, voto mayoritario y verdad garantizada — Se descarta por la clave; aplique el criterio de resolución común que se desarrolla después de esta lista.</w:t>
      </w:r>
    </w:p>
    <w:p>
      <w:pPr>
        <w:pStyle w:val="Normal"/>
      </w:pPr>
      <w:r>
        <w:t xml:space="preserve">d) Personalidad, destino inevitable y ausencia de aprendizaje — Se descarta por la clave; aplique el criterio de resolución común que se desarrolla después de esta lista.</w:t>
      </w:r>
    </w:p>
    <w:p>
      <w:pPr>
        <w:pStyle w:val="Normal"/>
      </w:pPr>
      <w:r>
        <w:t xml:space="preserve">Criterio de resolución: Una creencia orienta qué información se selecciona y cómo se interpreta; esa interpretación influye en la acción. Reconstruir esa cadena permite contrastar el modelo con los resultados.</w:t>
      </w:r>
    </w:p>
    <w:p>
      <w:pPr>
        <w:pStyle w:val="Fuente"/>
      </w:pPr>
      <w:r>
        <w:t xml:space="preserve">Presentación de la unidad 1 (C-5), pág. 15 y 36</w:t>
      </w:r>
    </w:p>
    <w:p>
      <w:pPr>
        <w:pStyle w:val="Heading3"/>
      </w:pPr>
      <w:bookmarkStart w:name="b_solucion_p1_monos_variante" w:id="6018"/>
      <w:r>
        <w:t xml:space="preserve">Solución S1-11</w:t>
      </w:r>
      <w:bookmarkEnd w:id="6018"/>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c) Los que permanecen abajo; la reacción colectiva frena los siguientes intentos</w:t>
            </w:r>
          </w:p>
        </w:tc>
      </w:tr>
    </w:tbl>
    <w:p>
      <w:pPr>
        <w:pStyle w:val="Normal"/>
      </w:pPr>
      <w:r>
        <w:t xml:space="preserve">a) Sólo el mono que está subiendo — Se descarta por la clave; aplique el criterio de resolución común que se desarrolla después de esta lista.</w:t>
      </w:r>
    </w:p>
    <w:p>
      <w:pPr>
        <w:pStyle w:val="Normal"/>
      </w:pPr>
      <w:r>
        <w:t xml:space="preserve">b) Todos sin excepción, incluido el que sube — Se descarta por la clave; aplique el criterio de resolución común que se desarrolla después de esta lista.</w:t>
      </w:r>
    </w:p>
    <w:p>
      <w:pPr>
        <w:pStyle w:val="Normal"/>
      </w:pPr>
      <w:r>
        <w:t xml:space="preserve">c) Los que permanecen abajo; la reacción colectiva frena los siguientes intentos — Se selecciona por la clave; aplique el criterio de resolución común que se desarrolla después de esta lista.</w:t>
      </w:r>
    </w:p>
    <w:p>
      <w:pPr>
        <w:pStyle w:val="Normal"/>
      </w:pPr>
      <w:r>
        <w:t xml:space="preserve">d) Ninguno, porque el agua nunca formó parte de la parábola — Se descarta por la clave; aplique el criterio de resolución común que se desarrolla después de esta lista.</w:t>
      </w:r>
    </w:p>
    <w:p>
      <w:pPr>
        <w:pStyle w:val="Normal"/>
      </w:pPr>
      <w:r>
        <w:t xml:space="preserve">Criterio de resolución: La versión proyectada moja a quienes están abajo, no al que sube. El grupo aprende a impedir el intento y la norma persiste tras los relevos. Se usa como parábola del aprendizaje social y no como experimento histórico acreditado.</w:t>
      </w:r>
    </w:p>
    <w:p>
      <w:pPr>
        <w:pStyle w:val="Fuente"/>
      </w:pPr>
      <w:r>
        <w:t xml:space="preserve">Clase 4 · 01:02:49–01:04:14</w:t>
      </w:r>
    </w:p>
    <w:p>
      <w:pPr>
        <w:pStyle w:val="Heading3"/>
      </w:pPr>
      <w:bookmarkStart w:name="b_solucion_u1_01_tres_definiciones" w:id="6019"/>
      <w:r>
        <w:t xml:space="preserve">Solución S1-12</w:t>
      </w:r>
      <w:bookmarkEnd w:id="6019"/>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b) Porque las tres nombran el marco de reglas desde el que una persona interpreta y actúa, aunque cada autor lo formule distinto</w:t>
            </w:r>
          </w:p>
        </w:tc>
      </w:tr>
    </w:tbl>
    <w:p>
      <w:pPr>
        <w:pStyle w:val="Normal"/>
      </w:pPr>
      <w:r>
        <w:t xml:space="preserve">a) Porque las tres fueron escritas en la misma década — Se descarta por la clave; aplique el criterio de resolución común que se desarrolla después de esta lista.</w:t>
      </w:r>
    </w:p>
    <w:p>
      <w:pPr>
        <w:pStyle w:val="Normal"/>
      </w:pPr>
      <w:r>
        <w:t xml:space="preserve">b) Porque las tres nombran el marco de reglas desde el que una persona interpreta y actúa, aunque cada autor lo formule distinto — Se selecciona por la clave; aplique el criterio de resolución común que se desarrolla después de esta lista.</w:t>
      </w:r>
    </w:p>
    <w:p>
      <w:pPr>
        <w:pStyle w:val="Normal"/>
      </w:pPr>
      <w:r>
        <w:t xml:space="preserve">c) Porque las tres describen el momento en que un paradigma se rompe — Se descarta por la clave; aplique el criterio de resolución común que se desarrolla después de esta lista.</w:t>
      </w:r>
    </w:p>
    <w:p>
      <w:pPr>
        <w:pStyle w:val="Normal"/>
      </w:pPr>
      <w:r>
        <w:t xml:space="preserve">d) Porque las tres provienen de la física — Se descarta por la clave; aplique el criterio de resolución común que se desarrolla después de esta lista.</w:t>
      </w:r>
    </w:p>
    <w:p>
      <w:pPr>
        <w:pStyle w:val="Normal"/>
      </w:pPr>
      <w:r>
        <w:t xml:space="preserve">Criterio de resolución: Paradigma, modelo mental y sistema abstracto diseñado nombran la misma cosa; lo que cambia es quién la nombró y con qué palabras. Reconocer la equivalencia evita tratarlas como tres conceptos distintos.</w:t>
      </w:r>
    </w:p>
    <w:p>
      <w:pPr>
        <w:pStyle w:val="Fuente"/>
      </w:pPr>
      <w:r>
        <w:t xml:space="preserve">Banco del portal; resolución editorial.</w:t>
      </w:r>
    </w:p>
    <w:p>
      <w:pPr>
        <w:pStyle w:val="Heading3"/>
      </w:pPr>
      <w:bookmarkStart w:name="b_solucion_u1_02_paralisis_vs_efecto" w:id="6020"/>
      <w:r>
        <w:t xml:space="preserve">Solución S1-13</w:t>
      </w:r>
      <w:bookmarkEnd w:id="6020"/>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Efecto paradigma: Dos analistas leen el mismo informe y uno no llega a notar el dato que al otro le salta a la vista; Un dato que no encaja con lo esperado se descarta sin llegar a la consciencia</w:t>
            </w:r>
          </w:p>
          <w:p>
            <w:pPr>
              <w:pStyle w:val="Recuadro"/>
            </w:pPr>
            <w:r>
              <w:t xml:space="preserve">Parálisis paradigmática: Ante una propuesta que contradice su método, un jefe concluye que quien la trae no entiende el negocio y no la discute; Una empresa líder desestima la tecnología nueva porque su forma de hacer las cosas siempre le funcionó</w:t>
            </w:r>
          </w:p>
        </w:tc>
      </w:tr>
    </w:tbl>
    <w:p>
      <w:pPr>
        <w:pStyle w:val="Normal"/>
      </w:pPr>
      <w:r>
        <w:t xml:space="preserve">Criterio de resolución: El efecto paradigma es no ver; la parálisis es negarse a considerar lo que otro ve. La diferencia está en si hay rechazo activo, no sólo ceguera.</w:t>
      </w:r>
    </w:p>
    <w:p>
      <w:pPr>
        <w:pStyle w:val="Fuente"/>
      </w:pPr>
      <w:r>
        <w:t xml:space="preserve">Banco del portal; resolución editorial.</w:t>
      </w:r>
    </w:p>
    <w:p>
      <w:pPr>
        <w:pStyle w:val="Heading3"/>
      </w:pPr>
      <w:bookmarkStart w:name="b_solucion_u1_03_flexibilidad" w:id="6021"/>
      <w:r>
        <w:t xml:space="preserve">Solución S1-14</w:t>
      </w:r>
      <w:bookmarkEnd w:id="6021"/>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b) La disposición cultivada a considerar que las reglas actuales podrían no ser las únicas</w:t>
            </w:r>
          </w:p>
        </w:tc>
      </w:tr>
    </w:tbl>
    <w:p>
      <w:pPr>
        <w:pStyle w:val="Normal"/>
      </w:pPr>
      <w:r>
        <w:t xml:space="preserve">a) Una propiedad que todo paradigma tiene por definición — Se descarta por la clave; aplique el criterio de resolución común que se desarrolla después de esta lista.</w:t>
      </w:r>
    </w:p>
    <w:p>
      <w:pPr>
        <w:pStyle w:val="Normal"/>
      </w:pPr>
      <w:r>
        <w:t xml:space="preserve">b) La disposición cultivada a considerar que las reglas actuales podrían no ser las únicas — Se selecciona por la clave; aplique el criterio de resolución común que se desarrolla después de esta lista.</w:t>
      </w:r>
    </w:p>
    <w:p>
      <w:pPr>
        <w:pStyle w:val="Normal"/>
      </w:pPr>
      <w:r>
        <w:t xml:space="preserve">c) La velocidad con que una empresa cambia de tecnología — Se descarta por la clave; aplique el criterio de resolución común que se desarrolla después de esta lista.</w:t>
      </w:r>
    </w:p>
    <w:p>
      <w:pPr>
        <w:pStyle w:val="Normal"/>
      </w:pPr>
      <w:r>
        <w:t xml:space="preserve">d) Un sinónimo de efecto paradigma — Se descarta por la clave; aplique el criterio de resolución común que se desarrolla después de esta lista.</w:t>
      </w:r>
    </w:p>
    <w:p>
      <w:pPr>
        <w:pStyle w:val="Normal"/>
      </w:pPr>
      <w:r>
        <w:t xml:space="preserve">Criterio de resolución: Es una actitud del pensador, no un rasgo del paradigma. Por eso «son flexibles» es la opción que sobra cuando se enumeran las características de un paradigma.</w:t>
      </w:r>
    </w:p>
    <w:p>
      <w:pPr>
        <w:pStyle w:val="Fuente"/>
      </w:pPr>
      <w:r>
        <w:t xml:space="preserve">Banco del portal; resolución editorial.</w:t>
      </w:r>
    </w:p>
    <w:p>
      <w:pPr>
        <w:pStyle w:val="Heading3"/>
      </w:pPr>
      <w:bookmarkStart w:name="b_solucion_cmp_01_escalera_arrastrar" w:id="6022"/>
      <w:r>
        <w:t xml:space="preserve">Solución S1-15</w:t>
      </w:r>
      <w:bookmarkEnd w:id="6022"/>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Datos observables: «Llegó a las 8:15; la reunión empezaba a las 8:00»; «Entró sin saludar y se sentó al fondo»</w:t>
            </w:r>
          </w:p>
          <w:p>
            <w:pPr>
              <w:pStyle w:val="Recuadro"/>
            </w:pPr>
            <w:r>
              <w:t xml:space="preserve">Hago supuestos: «Seguro que este proyecto no le importa»</w:t>
            </w:r>
          </w:p>
          <w:p>
            <w:pPr>
              <w:pStyle w:val="Recuadro"/>
            </w:pPr>
            <w:r>
              <w:t xml:space="preserve">Saco conclusiones: «Es una persona poco comprometida»</w:t>
            </w:r>
          </w:p>
        </w:tc>
      </w:tr>
    </w:tbl>
    <w:p>
      <w:pPr>
        <w:pStyle w:val="Normal"/>
      </w:pPr>
      <w:r>
        <w:t xml:space="preserve">Criterio de resolución: Los dos primeros son verificables por cualquier observador; el tercero atribuye una intención que nadie vio, y el cuarto ya generaliza a un rasgo de carácter. Ese es el salto que la escalera hace visible.</w:t>
      </w:r>
    </w:p>
    <w:p>
      <w:pPr>
        <w:pStyle w:val="Fuente"/>
      </w:pPr>
      <w:r>
        <w:t xml:space="preserve">Banco del portal; resolución editorial.</w:t>
      </w:r>
    </w:p>
    <w:p>
      <w:pPr>
        <w:pStyle w:val="Heading3"/>
      </w:pPr>
      <w:bookmarkStart w:name="b_solucion_cmp_02_escalera_bajar" w:id="6023"/>
      <w:r>
        <w:t xml:space="preserve">Solución S1-16</w:t>
      </w:r>
      <w:bookmarkEnd w:id="6023"/>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b) Volver a los datos observables y hacer explícito qué se seleccionó y qué se supuso para llegar a la conclusión</w:t>
            </w:r>
          </w:p>
        </w:tc>
      </w:tr>
    </w:tbl>
    <w:p>
      <w:pPr>
        <w:pStyle w:val="Normal"/>
      </w:pPr>
      <w:r>
        <w:t xml:space="preserve">a) Rebajar el tono para evitar el conflicto — Se descarta por la clave; aplique el criterio de resolución común que se desarrolla después de esta lista.</w:t>
      </w:r>
    </w:p>
    <w:p>
      <w:pPr>
        <w:pStyle w:val="Normal"/>
      </w:pPr>
      <w:r>
        <w:t xml:space="preserve">b) Volver a los datos observables y hacer explícito qué se seleccionó y qué se supuso para llegar a la conclusión — Se selecciona por la clave; aplique el criterio de resolución común que se desarrolla después de esta lista.</w:t>
      </w:r>
    </w:p>
    <w:p>
      <w:pPr>
        <w:pStyle w:val="Normal"/>
      </w:pPr>
      <w:r>
        <w:t xml:space="preserve">c) Ceder en la conclusión propia — Se descarta por la clave; aplique el criterio de resolución común que se desarrolla después de esta lista.</w:t>
      </w:r>
    </w:p>
    <w:p>
      <w:pPr>
        <w:pStyle w:val="Normal"/>
      </w:pPr>
      <w:r>
        <w:t xml:space="preserve">d) Repetir el argumento con otras palabras — Se descarta por la clave; aplique el criterio de resolución común que se desarrolla después de esta lista.</w:t>
      </w:r>
    </w:p>
    <w:p>
      <w:pPr>
        <w:pStyle w:val="Normal"/>
      </w:pPr>
      <w:r>
        <w:t xml:space="preserve">Criterio de resolución: No es ceder ni suavizar: es mostrar el recorrido. Cuando dos personas exponen de qué datos partieron y qué supusieron, suele aparecer que discrepan en la selección, no en los hechos.</w:t>
      </w:r>
    </w:p>
    <w:p>
      <w:pPr>
        <w:pStyle w:val="Fuente"/>
      </w:pPr>
      <w:r>
        <w:t xml:space="preserve">Banco del portal; resolución editorial.</w:t>
      </w:r>
    </w:p>
    <w:p>
      <w:pPr>
        <w:pStyle w:val="Heading3"/>
      </w:pPr>
      <w:bookmarkStart w:name="b_solucion_cmp_03_escalera_preconsciente" w:id="6024"/>
      <w:r>
        <w:t xml:space="preserve">Solución S1-17</w:t>
      </w:r>
      <w:bookmarkEnd w:id="6024"/>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a) Porque la selección de datos es preconsciente: sólo entra en la atención lo que ya resulta relevante</w:t>
            </w:r>
          </w:p>
          <w:p>
            <w:pPr>
              <w:pStyle w:val="Recuadro"/>
            </w:pPr>
            <w:r>
              <w:t xml:space="preserve">b) Porque los peldaños intermedios son rapidísimos y la conclusión se experimenta como si fuera el dato</w:t>
            </w:r>
          </w:p>
        </w:tc>
      </w:tr>
    </w:tbl>
    <w:p>
      <w:pPr>
        <w:pStyle w:val="Normal"/>
      </w:pPr>
      <w:r>
        <w:t xml:space="preserve">a) Porque la selección de datos es preconsciente: sólo entra en la atención lo que ya resulta relevante — Se selecciona por la clave; aplique el criterio de resolución común que se desarrolla después de esta lista.</w:t>
      </w:r>
    </w:p>
    <w:p>
      <w:pPr>
        <w:pStyle w:val="Normal"/>
      </w:pPr>
      <w:r>
        <w:t xml:space="preserve">b) Porque los peldaños intermedios son rapidísimos y la conclusión se experimenta como si fuera el dato — Se selecciona por la clave; aplique el criterio de resolución común que se desarrolla después de esta lista.</w:t>
      </w:r>
    </w:p>
    <w:p>
      <w:pPr>
        <w:pStyle w:val="Normal"/>
      </w:pPr>
      <w:r>
        <w:t xml:space="preserve">c) Porque los datos observables no existen — Se descarta por la clave; aplique el criterio de resolución común que se desarrolla después de esta lista.</w:t>
      </w:r>
    </w:p>
    <w:p>
      <w:pPr>
        <w:pStyle w:val="Normal"/>
      </w:pPr>
      <w:r>
        <w:t xml:space="preserve">d) Porque actuar no requiere pensar — Se descarta por la clave; aplique el criterio de resolución común que se desarrolla después de esta lista.</w:t>
      </w:r>
    </w:p>
    <w:p>
      <w:pPr>
        <w:pStyle w:val="Normal"/>
      </w:pPr>
      <w:r>
        <w:t xml:space="preserve">Criterio de resolución: El problema no es que inferir esté mal —es inevitable—, sino que el proceso es tan veloz que la conclusión se vive como percepción directa y ya no se somete a revisión.</w:t>
      </w:r>
    </w:p>
    <w:p>
      <w:pPr>
        <w:pStyle w:val="Fuente"/>
      </w:pPr>
      <w:r>
        <w:t xml:space="preserve">Banco del portal; resolución editorial.</w:t>
      </w:r>
    </w:p>
    <w:p>
      <w:pPr>
        <w:pStyle w:val="Heading3"/>
      </w:pPr>
      <w:bookmarkStart w:name="b_solucion_p1_columna_izquierda" w:id="6025"/>
      <w:r>
        <w:t xml:space="preserve">Solución S1-18</w:t>
      </w:r>
      <w:bookmarkEnd w:id="6025"/>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b) Se compara lo pensado y callado con lo dicho para descubrir supuestos</w:t>
            </w:r>
          </w:p>
        </w:tc>
      </w:tr>
    </w:tbl>
    <w:p>
      <w:pPr>
        <w:pStyle w:val="Normal"/>
      </w:pPr>
      <w:r>
        <w:t xml:space="preserve">a) Se anotan sólo los errores del interlocutor — Se descarta por la clave; aplique el criterio de resolución común que se desarrolla después de esta lista.</w:t>
      </w:r>
    </w:p>
    <w:p>
      <w:pPr>
        <w:pStyle w:val="Normal"/>
      </w:pPr>
      <w:r>
        <w:t xml:space="preserve">b) Se compara lo pensado y callado con lo dicho para descubrir supuestos — Se selecciona por la clave; aplique el criterio de resolución común que se desarrolla después de esta lista.</w:t>
      </w:r>
    </w:p>
    <w:p>
      <w:pPr>
        <w:pStyle w:val="Normal"/>
      </w:pPr>
      <w:r>
        <w:t xml:space="preserve">c) Se sustituyen los hechos por las intenciones que suponemos — Se descarta por la clave; aplique el criterio de resolución común que se desarrolla después de esta lista.</w:t>
      </w:r>
    </w:p>
    <w:p>
      <w:pPr>
        <w:pStyle w:val="Normal"/>
      </w:pPr>
      <w:r>
        <w:t xml:space="preserve">d) Se redacta una respuesta para ganar la discusión — Se descarta por la clave; aplique el criterio de resolución común que se desarrolla después de esta lista.</w:t>
      </w:r>
    </w:p>
    <w:p>
      <w:pPr>
        <w:pStyle w:val="Normal"/>
      </w:pPr>
      <w:r>
        <w:t xml:space="preserve">Criterio de resolución: La columna izquierda hace visibles los pensamientos no expresados; la derecha recoge lo dicho. Compararlas permite distinguir observación e interpretación y poner a prueba lo que quedó tácito.</w:t>
      </w:r>
    </w:p>
    <w:p>
      <w:pPr>
        <w:pStyle w:val="Fuente"/>
      </w:pPr>
      <w:r>
        <w:t xml:space="preserve">Presentación de la unidad 1 (C-5), pág. 42 · Clase 4 · 01:20:50–01:22:50</w:t>
      </w:r>
    </w:p>
    <w:p>
      <w:pPr>
        <w:pStyle w:val="Heading3"/>
      </w:pPr>
      <w:bookmarkStart w:name="b_solucion_p1_tres_practicas" w:id="6026"/>
      <w:r>
        <w:t xml:space="preserve">Solución S1-19</w:t>
      </w:r>
      <w:bookmarkEnd w:id="6026"/>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c) Reflexión, indagación y argumentación</w:t>
            </w:r>
          </w:p>
        </w:tc>
      </w:tr>
    </w:tbl>
    <w:p>
      <w:pPr>
        <w:pStyle w:val="Normal"/>
      </w:pPr>
      <w:r>
        <w:t xml:space="preserve">a) Indagación, argumentación y reflexión — Se descarta por la clave; aplique el criterio de resolución común que se desarrolla después de esta lista.</w:t>
      </w:r>
    </w:p>
    <w:p>
      <w:pPr>
        <w:pStyle w:val="Normal"/>
      </w:pPr>
      <w:r>
        <w:t xml:space="preserve">b) Argumentación, eliminación y generalización — Se descarta por la clave; aplique el criterio de resolución común que se desarrolla después de esta lista.</w:t>
      </w:r>
    </w:p>
    <w:p>
      <w:pPr>
        <w:pStyle w:val="Normal"/>
      </w:pPr>
      <w:r>
        <w:t xml:space="preserve">c) Reflexión, indagación y argumentación — Se selecciona por la clave; aplique el criterio de resolución común que se desarrolla después de esta lista.</w:t>
      </w:r>
    </w:p>
    <w:p>
      <w:pPr>
        <w:pStyle w:val="Normal"/>
      </w:pPr>
      <w:r>
        <w:t xml:space="preserve">d) Construcción, distorsión y eliminación — Se descarta por la clave; aplique el criterio de resolución común que se desarrolla después de esta lista.</w:t>
      </w:r>
    </w:p>
    <w:p>
      <w:pPr>
        <w:pStyle w:val="Normal"/>
      </w:pPr>
      <w:r>
        <w:t xml:space="preserve">Criterio de resolución: Reflexionar examina el propio recorrido; indagar explora datos y supuestos propios o ajenos; argumentar hace visible el razonamiento para comprenderlo y criticarlo. No equivale a imponer una conclusión.</w:t>
      </w:r>
    </w:p>
    <w:p>
      <w:pPr>
        <w:pStyle w:val="Fuente"/>
      </w:pPr>
      <w:r>
        <w:t xml:space="preserve">Presentación de la unidad 1 (C-5), pág. 55 · Clase 5 · 01:16:17–01:17:39</w:t>
      </w:r>
    </w:p>
    <w:p>
      <w:pPr>
        <w:pStyle w:val="Heading3"/>
      </w:pPr>
      <w:bookmarkStart w:name="b_solucion_p1_triangulo_equilatero" w:id="6027"/>
      <w:r>
        <w:t xml:space="preserve">Solución S1-20</w:t>
      </w:r>
      <w:bookmarkEnd w:id="6027"/>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d) Describe un equilátero; un triángulo general no exige lados iguales</w:t>
            </w:r>
          </w:p>
        </w:tc>
      </w:tr>
    </w:tbl>
    <w:p>
      <w:pPr>
        <w:pStyle w:val="Normal"/>
      </w:pPr>
      <w:r>
        <w:t xml:space="preserve">a) Es la definición de todo triángulo — Se descarta por la clave; aplique el criterio de resolución común que se desarrolla después de esta lista.</w:t>
      </w:r>
    </w:p>
    <w:p>
      <w:pPr>
        <w:pStyle w:val="Normal"/>
      </w:pPr>
      <w:r>
        <w:t xml:space="preserve">b) Prueba que cualquier conteo es matemáticamente correcto — Se descarta por la clave; aplique el criterio de resolución común que se desarrolla después de esta lista.</w:t>
      </w:r>
    </w:p>
    <w:p>
      <w:pPr>
        <w:pStyle w:val="Normal"/>
      </w:pPr>
      <w:r>
        <w:t xml:space="preserve">c) Indica que el dibujo original y la reconstrucción del portal son idénticos — Se descarta por la clave; aplique el criterio de resolución común que se desarrolla después de esta lista.</w:t>
      </w:r>
    </w:p>
    <w:p>
      <w:pPr>
        <w:pStyle w:val="Normal"/>
      </w:pPr>
      <w:r>
        <w:t xml:space="preserve">d) Describe un equilátero; un triángulo general no exige lados iguales — Se selecciona por la clave; aplique el criterio de resolución común que se desarrolla después de esta lista.</w:t>
      </w:r>
    </w:p>
    <w:p>
      <w:pPr>
        <w:pStyle w:val="Normal"/>
      </w:pPr>
      <w:r>
        <w:t xml:space="preserve">Criterio de resolución: Tres lados iguales restringe la figura a los equiláteros. Un triángulo general es un polígono cerrado de tres segmentos rectos y vértices no colineales. La lección sobre filtros no elimina esa distinción geométrica.</w:t>
      </w:r>
    </w:p>
    <w:p>
      <w:pPr>
        <w:pStyle w:val="Fuente"/>
      </w:pPr>
      <w:r>
        <w:t xml:space="preserve">Clase 3 · 00:47:33–00:51:41 · Presentación de la unidad 1 (C-5), pág. 21</w:t>
      </w:r>
    </w:p>
    <w:p>
      <w:pPr>
        <w:pStyle w:val="Heading3"/>
      </w:pPr>
      <w:bookmarkStart w:name="b_solucion_u1_04_escalera_orden" w:id="6028"/>
      <w:r>
        <w:t xml:space="preserve">Solución S1-21</w:t>
      </w:r>
      <w:bookmarkEnd w:id="6028"/>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1. Datos observables</w:t>
            </w:r>
          </w:p>
          <w:p>
            <w:pPr>
              <w:pStyle w:val="Recuadro"/>
            </w:pPr>
            <w:r>
              <w:t xml:space="preserve">2. Selecciono datos</w:t>
            </w:r>
          </w:p>
          <w:p>
            <w:pPr>
              <w:pStyle w:val="Recuadro"/>
            </w:pPr>
            <w:r>
              <w:t xml:space="preserve">3. Añado significados</w:t>
            </w:r>
          </w:p>
          <w:p>
            <w:pPr>
              <w:pStyle w:val="Recuadro"/>
            </w:pPr>
            <w:r>
              <w:t xml:space="preserve">4. Hago supuestos</w:t>
            </w:r>
          </w:p>
          <w:p>
            <w:pPr>
              <w:pStyle w:val="Recuadro"/>
            </w:pPr>
            <w:r>
              <w:t xml:space="preserve">5. Saco conclusiones</w:t>
            </w:r>
          </w:p>
          <w:p>
            <w:pPr>
              <w:pStyle w:val="Recuadro"/>
            </w:pPr>
            <w:r>
              <w:t xml:space="preserve">6. Adopto creencias</w:t>
            </w:r>
          </w:p>
          <w:p>
            <w:pPr>
              <w:pStyle w:val="Recuadro"/>
            </w:pPr>
            <w:r>
              <w:t xml:space="preserve">7. Actúo</w:t>
            </w:r>
          </w:p>
        </w:tc>
      </w:tr>
    </w:tbl>
    <w:p>
      <w:pPr>
        <w:pStyle w:val="Normal"/>
      </w:pPr>
      <w:r>
        <w:t xml:space="preserve">Criterio de resolución: Del acervo observable se seleccionan unos pocos datos, se les añade significado, se hacen supuestos, se sacan conclusiones, se adoptan creencias y se actúa. Cada peldaño se aleja un paso más de lo verificable.</w:t>
      </w:r>
    </w:p>
    <w:p>
      <w:pPr>
        <w:pStyle w:val="Fuente"/>
      </w:pPr>
      <w:r>
        <w:t xml:space="preserve">Banco del portal; resolución editorial.</w:t>
      </w:r>
    </w:p>
    <w:p>
      <w:pPr>
        <w:pStyle w:val="Heading3"/>
      </w:pPr>
      <w:bookmarkStart w:name="b_solucion_u1_05_escalera_pelda_85ded5c1" w:id="6029"/>
      <w:r>
        <w:t xml:space="preserve">Solución S1-22</w:t>
      </w:r>
      <w:bookmarkEnd w:id="6029"/>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b) En «Selecciono datos», porque de todo lo disponible retenemos unos pocos e ignoramos el resto</w:t>
            </w:r>
          </w:p>
        </w:tc>
      </w:tr>
    </w:tbl>
    <w:p>
      <w:pPr>
        <w:pStyle w:val="Normal"/>
      </w:pPr>
      <w:r>
        <w:t xml:space="preserve">a) En «Datos observables», porque ya elegimos dónde mirar — Se descarta por la clave; aplique el criterio de resolución común que se desarrolla después de esta lista.</w:t>
      </w:r>
    </w:p>
    <w:p>
      <w:pPr>
        <w:pStyle w:val="Normal"/>
      </w:pPr>
      <w:r>
        <w:t xml:space="preserve">b) En «Selecciono datos», porque de todo lo disponible retenemos unos pocos e ignoramos el resto — Se selecciona por la clave; aplique el criterio de resolución común que se desarrolla después de esta lista.</w:t>
      </w:r>
    </w:p>
    <w:p>
      <w:pPr>
        <w:pStyle w:val="Normal"/>
      </w:pPr>
      <w:r>
        <w:t xml:space="preserve">c) En «Actúo», porque ahí se ven las consecuencias — Se descarta por la clave; aplique el criterio de resolución común que se desarrolla después de esta lista.</w:t>
      </w:r>
    </w:p>
    <w:p>
      <w:pPr>
        <w:pStyle w:val="Normal"/>
      </w:pPr>
      <w:r>
        <w:t xml:space="preserve">d) En «Adopto creencias», porque es el último peldaño antes de actuar — Se descarta por la clave; aplique el criterio de resolución común que se desarrolla después de esta lista.</w:t>
      </w:r>
    </w:p>
    <w:p>
      <w:pPr>
        <w:pStyle w:val="Normal"/>
      </w:pPr>
      <w:r>
        <w:t xml:space="preserve">Criterio de resolución: La selección es casi siempre preconsciente: sólo «cabe» en la atención lo que ya resulta relevante. Ahí empieza la inferencia, mucho antes de sacar conclusiones.</w:t>
      </w:r>
    </w:p>
    <w:p>
      <w:pPr>
        <w:pStyle w:val="Fuente"/>
      </w:pPr>
      <w:r>
        <w:t xml:space="preserve">Banco del portal; resolución editorial.</w:t>
      </w:r>
    </w:p>
    <w:p>
      <w:pPr>
        <w:pStyle w:val="Heading3"/>
      </w:pPr>
      <w:bookmarkStart w:name="b_solucion_u1_06_escalera_ciclo" w:id="6030"/>
      <w:r>
        <w:t xml:space="preserve">Solución S1-23</w:t>
      </w:r>
      <w:bookmarkEnd w:id="6030"/>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a) Las creencias adoptadas condicionan qué datos se seleccionarán la próxima vez</w:t>
            </w:r>
          </w:p>
          <w:p>
            <w:pPr>
              <w:pStyle w:val="Recuadro"/>
            </w:pPr>
            <w:r>
              <w:t xml:space="preserve">c) Bajar la escalera consiste en volver a los datos observables y hacer explícitos los saltos</w:t>
            </w:r>
          </w:p>
        </w:tc>
      </w:tr>
    </w:tbl>
    <w:p>
      <w:pPr>
        <w:pStyle w:val="Normal"/>
      </w:pPr>
      <w:r>
        <w:t xml:space="preserve">a) Las creencias adoptadas condicionan qué datos se seleccionarán la próxima vez — Se selecciona por la clave; aplique el criterio de resolución común que se desarrolla después de esta lista.</w:t>
      </w:r>
    </w:p>
    <w:p>
      <w:pPr>
        <w:pStyle w:val="Normal"/>
      </w:pPr>
      <w:r>
        <w:t xml:space="preserve">b) La escalera se recorre una sola vez por situación — Se descarta por la clave; aplique el criterio de resolución común que se desarrolla después de esta lista.</w:t>
      </w:r>
    </w:p>
    <w:p>
      <w:pPr>
        <w:pStyle w:val="Normal"/>
      </w:pPr>
      <w:r>
        <w:t xml:space="preserve">c) Bajar la escalera consiste en volver a los datos observables y hacer explícitos los saltos — Se selecciona por la clave; aplique el criterio de resolución común que se desarrolla después de esta lista.</w:t>
      </w:r>
    </w:p>
    <w:p>
      <w:pPr>
        <w:pStyle w:val="Normal"/>
      </w:pPr>
      <w:r>
        <w:t xml:space="preserve">d) Los supuestos son datos verificables — Se descarta por la clave; aplique el criterio de resolución común que se desarrolla después de esta lista.</w:t>
      </w:r>
    </w:p>
    <w:p>
      <w:pPr>
        <w:pStyle w:val="Normal"/>
      </w:pPr>
      <w:r>
        <w:t xml:space="preserve">Criterio de resolución: La escalera se realimenta: lo que creo hoy filtra lo que veré mañana. Bajarla —volver al dato y explicitar el salto— es la operación que rompe ese circuito.</w:t>
      </w:r>
    </w:p>
    <w:p>
      <w:pPr>
        <w:pStyle w:val="Fuente"/>
      </w:pPr>
      <w:r>
        <w:t xml:space="preserve">Banco del portal; resolución editorial.</w:t>
      </w:r>
    </w:p>
    <w:p>
      <w:pPr>
        <w:pStyle w:val="Heading3"/>
      </w:pPr>
      <w:bookmarkStart w:name="b_solucion_cmp_04_bertalanffy" w:id="6031"/>
      <w:r>
        <w:t xml:space="preserve">Solución S1-24</w:t>
      </w:r>
      <w:bookmarkEnd w:id="6031"/>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b) Contra la fragmentación disciplinaria, que estudia cada objeto con un lenguaje distinto y pierde lo que todos los sistemas comparten</w:t>
            </w:r>
          </w:p>
        </w:tc>
      </w:tr>
    </w:tbl>
    <w:p>
      <w:pPr>
        <w:pStyle w:val="Normal"/>
      </w:pPr>
      <w:r>
        <w:t xml:space="preserve">a) Contra el uso de las matemáticas en biología — Se descarta por la clave; aplique el criterio de resolución común que se desarrolla después de esta lista.</w:t>
      </w:r>
    </w:p>
    <w:p>
      <w:pPr>
        <w:pStyle w:val="Normal"/>
      </w:pPr>
      <w:r>
        <w:t xml:space="preserve">b) Contra la fragmentación disciplinaria, que estudia cada objeto con un lenguaje distinto y pierde lo que todos los sistemas comparten — Se selecciona por la clave; aplique el criterio de resolución común que se desarrolla después de esta lista.</w:t>
      </w:r>
    </w:p>
    <w:p>
      <w:pPr>
        <w:pStyle w:val="Normal"/>
      </w:pPr>
      <w:r>
        <w:t xml:space="preserve">c) Contra el método experimental — Se descarta por la clave; aplique el criterio de resolución común que se desarrolla después de esta lista.</w:t>
      </w:r>
    </w:p>
    <w:p>
      <w:pPr>
        <w:pStyle w:val="Normal"/>
      </w:pPr>
      <w:r>
        <w:t xml:space="preserve">d) Contra la especialización profesional — Se descarta por la clave; aplique el criterio de resolución común que se desarrolla después de esta lista.</w:t>
      </w:r>
    </w:p>
    <w:p>
      <w:pPr>
        <w:pStyle w:val="Normal"/>
      </w:pPr>
      <w:r>
        <w:t xml:space="preserve">Criterio de resolución: La apuesta es buscar principios comunes a una célula, un motor, una empresa y un ecosistema, y poder hablar de todos con el mismo lenguaje. No niega la especialización: niega que baste con ella.</w:t>
      </w:r>
    </w:p>
    <w:p>
      <w:pPr>
        <w:pStyle w:val="Fuente"/>
      </w:pPr>
      <w:r>
        <w:t xml:space="preserve">Banco del portal; resolución editorial.</w:t>
      </w:r>
    </w:p>
    <w:p>
      <w:pPr>
        <w:pStyle w:val="Heading3"/>
      </w:pPr>
      <w:bookmarkStart w:name="b_solucion_cmp_05_metaparadigma" w:id="6032"/>
      <w:r>
        <w:t xml:space="preserve">Solución S1-25</w:t>
      </w:r>
      <w:bookmarkEnd w:id="6032"/>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b) Que es un paradigma sobre cómo construir y revisar paradigmas: se aplica a la propia manera de interpretar</w:t>
            </w:r>
          </w:p>
        </w:tc>
      </w:tr>
    </w:tbl>
    <w:p>
      <w:pPr>
        <w:pStyle w:val="Normal"/>
      </w:pPr>
      <w:r>
        <w:t xml:space="preserve">a) Que es el paradigma más antiguo — Se descarta por la clave; aplique el criterio de resolución común que se desarrolla después de esta lista.</w:t>
      </w:r>
    </w:p>
    <w:p>
      <w:pPr>
        <w:pStyle w:val="Normal"/>
      </w:pPr>
      <w:r>
        <w:t xml:space="preserve">b) Que es un paradigma sobre cómo construir y revisar paradigmas: se aplica a la propia manera de interpretar — Se selecciona por la clave; aplique el criterio de resolución común que se desarrolla después de esta lista.</w:t>
      </w:r>
    </w:p>
    <w:p>
      <w:pPr>
        <w:pStyle w:val="Normal"/>
      </w:pPr>
      <w:r>
        <w:t xml:space="preserve">c) Que sustituye a todos los demás — Se descarta por la clave; aplique el criterio de resolución común que se desarrolla después de esta lista.</w:t>
      </w:r>
    </w:p>
    <w:p>
      <w:pPr>
        <w:pStyle w:val="Normal"/>
      </w:pPr>
      <w:r>
        <w:t xml:space="preserve">d) Que sólo lo usan los investigadores — Se descarta por la clave; aplique el criterio de resolución común que se desarrolla después de esta lista.</w:t>
      </w:r>
    </w:p>
    <w:p>
      <w:pPr>
        <w:pStyle w:val="Normal"/>
      </w:pPr>
      <w:r>
        <w:t xml:space="preserve">Criterio de resolución: Opera un nivel más arriba: no dice qué creer sobre un objeto, dice cómo mirar cualquier objeto. Por eso enlaza con la metacognición.</w:t>
      </w:r>
    </w:p>
    <w:p>
      <w:pPr>
        <w:pStyle w:val="Fuente"/>
      </w:pPr>
      <w:r>
        <w:t xml:space="preserve">Banco del portal; resolución editorial.</w:t>
      </w:r>
    </w:p>
    <w:p>
      <w:pPr>
        <w:pStyle w:val="Heading3"/>
      </w:pPr>
      <w:bookmarkStart w:name="b_solucion_cmp_06_realidad_como_sistemas" w:id="6033"/>
      <w:r>
        <w:t xml:space="preserve">Solución S1-26</w:t>
      </w:r>
      <w:bookmarkEnd w:id="6033"/>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a) Que el recorte de lo que se estudia es una decisión del observador</w:t>
            </w:r>
          </w:p>
          <w:p>
            <w:pPr>
              <w:pStyle w:val="Recuadro"/>
            </w:pPr>
            <w:r>
              <w:t xml:space="preserve">b) Que las relaciones son parte del objeto de estudio, no un añadido</w:t>
            </w:r>
          </w:p>
        </w:tc>
      </w:tr>
    </w:tbl>
    <w:p>
      <w:pPr>
        <w:pStyle w:val="Normal"/>
      </w:pPr>
      <w:r>
        <w:t xml:space="preserve">a) Que el recorte de lo que se estudia es una decisión del observador — Se selecciona por la clave; aplique el criterio de resolución común que se desarrolla después de esta lista.</w:t>
      </w:r>
    </w:p>
    <w:p>
      <w:pPr>
        <w:pStyle w:val="Normal"/>
      </w:pPr>
      <w:r>
        <w:t xml:space="preserve">b) Que las relaciones son parte del objeto de estudio, no un añadido — Se selecciona por la clave; aplique el criterio de resolución común que se desarrolla después de esta lista.</w:t>
      </w:r>
    </w:p>
    <w:p>
      <w:pPr>
        <w:pStyle w:val="Normal"/>
      </w:pPr>
      <w:r>
        <w:t xml:space="preserve">c) Que las partes dejan de importar — Se descarta por la clave; aplique el criterio de resolución común que se desarrolla después de esta lista.</w:t>
      </w:r>
    </w:p>
    <w:p>
      <w:pPr>
        <w:pStyle w:val="Normal"/>
      </w:pPr>
      <w:r>
        <w:t xml:space="preserve">d) Que todo sistema es natural — Se descarta por la clave; aplique el criterio de resolución común que se desarrolla después de esta lista.</w:t>
      </w:r>
    </w:p>
    <w:p>
      <w:pPr>
        <w:pStyle w:val="Normal"/>
      </w:pPr>
      <w:r>
        <w:t xml:space="preserve">Criterio de resolución: Sistema no es una propiedad del mundo esperando ser descubierta: es una forma de recortarlo. Y lo que se gana con ese recorte son las relaciones, que la mirada por objetos aislados deja fuera.</w:t>
      </w:r>
    </w:p>
    <w:p>
      <w:pPr>
        <w:pStyle w:val="Fuente"/>
      </w:pPr>
      <w:r>
        <w:t xml:space="preserve">Banco del portal; resolución editorial.</w:t>
      </w:r>
    </w:p>
    <w:p>
      <w:pPr>
        <w:pStyle w:val="Heading3"/>
      </w:pPr>
      <w:bookmarkStart w:name="b_solucion_p1_efectos_intervenir" w:id="6034"/>
      <w:r>
        <w:t xml:space="preserve">Solución S1-27</w:t>
      </w:r>
      <w:bookmarkEnd w:id="6034"/>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b) No se conocen todos los efectos y hace falta explicitar lagunas y observar resultados</w:t>
            </w:r>
          </w:p>
        </w:tc>
      </w:tr>
    </w:tbl>
    <w:p>
      <w:pPr>
        <w:pStyle w:val="Normal"/>
      </w:pPr>
      <w:r>
        <w:t xml:space="preserve">a) Que acordar la acción garantiza prever sus efectos — Se descarta por la clave; aplique el criterio de resolución común que se desarrolla después de esta lista.</w:t>
      </w:r>
    </w:p>
    <w:p>
      <w:pPr>
        <w:pStyle w:val="Normal"/>
      </w:pPr>
      <w:r>
        <w:t xml:space="preserve">b) No se conocen todos los efectos y hace falta explicitar lagunas y observar resultados — Se selecciona por la clave; aplique el criterio de resolución común que se desarrolla después de esta lista.</w:t>
      </w:r>
    </w:p>
    <w:p>
      <w:pPr>
        <w:pStyle w:val="Normal"/>
      </w:pPr>
      <w:r>
        <w:t xml:space="preserve">c) Que basta la información del actor con más recursos — Se descarta por la clave; aplique el criterio de resolución común que se desarrolla después de esta lista.</w:t>
      </w:r>
    </w:p>
    <w:p>
      <w:pPr>
        <w:pStyle w:val="Normal"/>
      </w:pPr>
      <w:r>
        <w:t xml:space="preserve">d) Que toda intervención tiene el mismo resultado — Se descarta por la clave; aplique el criterio de resolución común que se desarrolla después de esta lista.</w:t>
      </w:r>
    </w:p>
    <w:p>
      <w:pPr>
        <w:pStyle w:val="Normal"/>
      </w:pPr>
      <w:r>
        <w:t xml:space="preserve">Criterio de resolución: La complejidad aumenta desacuerdos y puede reducir la información confiable. Aun con acuerdo sobre una acción, persiste incertidumbre sobre sus consecuencias; por eso se explicitan lagunas y se revisan los efectos.</w:t>
      </w:r>
    </w:p>
    <w:p>
      <w:pPr>
        <w:pStyle w:val="Fuente"/>
      </w:pPr>
      <w:r>
        <w:t xml:space="preserve">Presentación de la unidad 1 (C-5), pág. 18</w:t>
      </w:r>
    </w:p>
    <w:p>
      <w:pPr>
        <w:pStyle w:val="Heading3"/>
      </w:pPr>
      <w:bookmarkStart w:name="b_solucion_p1_poder_problema" w:id="6035"/>
      <w:r>
        <w:t xml:space="preserve">Solución S1-28</w:t>
      </w:r>
      <w:bookmarkEnd w:id="6035"/>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a) La distribución de poder para autorizar o impedir el cambio</w:t>
            </w:r>
          </w:p>
        </w:tc>
      </w:tr>
    </w:tbl>
    <w:p>
      <w:pPr>
        <w:pStyle w:val="Normal"/>
      </w:pPr>
      <w:r>
        <w:t xml:space="preserve">a) La distribución de poder para autorizar o impedir el cambio — Se selecciona por la clave; aplique el criterio de resolución común que se desarrolla después de esta lista.</w:t>
      </w:r>
    </w:p>
    <w:p>
      <w:pPr>
        <w:pStyle w:val="Normal"/>
      </w:pPr>
      <w:r>
        <w:t xml:space="preserve">b) Sólo la cantidad de piezas del sistema — Se descarta por la clave; aplique el criterio de resolución común que se desarrolla después de esta lista.</w:t>
      </w:r>
    </w:p>
    <w:p>
      <w:pPr>
        <w:pStyle w:val="Normal"/>
      </w:pPr>
      <w:r>
        <w:t xml:space="preserve">c) La certeza de que el diagnóstico era falso — Se descarta por la clave; aplique el criterio de resolución común que se desarrolla después de esta lista.</w:t>
      </w:r>
    </w:p>
    <w:p>
      <w:pPr>
        <w:pStyle w:val="Normal"/>
      </w:pPr>
      <w:r>
        <w:t xml:space="preserve">d) Únicamente la personalidad de quienes apoyaron — Se descarta por la clave; aplique el criterio de resolución común que se desarrolla después de esta lista.</w:t>
      </w:r>
    </w:p>
    <w:p>
      <w:pPr>
        <w:pStyle w:val="Normal"/>
      </w:pPr>
      <w:r>
        <w:t xml:space="preserve">Criterio de resolución: Los desacuerdos no se refieren sólo a fines y medios. Controlar recursos, reglas o voz da una capacidad desigual para sostener o bloquear cambios; esa relación forma parte del problema complejo.</w:t>
      </w:r>
    </w:p>
    <w:p>
      <w:pPr>
        <w:pStyle w:val="Fuente"/>
      </w:pPr>
      <w:r>
        <w:t xml:space="preserve">Presentación de la unidad 1 (C-5), pág. 18</w:t>
      </w:r>
    </w:p>
    <w:p>
      <w:pPr>
        <w:pStyle w:val="Heading3"/>
      </w:pPr>
      <w:bookmarkStart w:name="b_solucion_u1_07_paradigma_de_sistemas" w:id="6036"/>
      <w:r>
        <w:t xml:space="preserve">Solución S1-29</w:t>
      </w:r>
      <w:bookmarkEnd w:id="6036"/>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b) Interpretar la realidad como conjuntos de elementos en relación, en vez de como objetos aislados</w:t>
            </w:r>
          </w:p>
        </w:tc>
      </w:tr>
    </w:tbl>
    <w:p>
      <w:pPr>
        <w:pStyle w:val="Normal"/>
      </w:pPr>
      <w:r>
        <w:t xml:space="preserve">a) Sustituir la observación por la intuición — Se descarta por la clave; aplique el criterio de resolución común que se desarrolla después de esta lista.</w:t>
      </w:r>
    </w:p>
    <w:p>
      <w:pPr>
        <w:pStyle w:val="Normal"/>
      </w:pPr>
      <w:r>
        <w:t xml:space="preserve">b) Interpretar la realidad como conjuntos de elementos en relación, en vez de como objetos aislados — Se selecciona por la clave; aplique el criterio de resolución común que se desarrolla después de esta lista.</w:t>
      </w:r>
    </w:p>
    <w:p>
      <w:pPr>
        <w:pStyle w:val="Normal"/>
      </w:pPr>
      <w:r>
        <w:t xml:space="preserve">c) Renunciar a estudiar las partes — Se descarta por la clave; aplique el criterio de resolución común que se desarrolla después de esta lista.</w:t>
      </w:r>
    </w:p>
    <w:p>
      <w:pPr>
        <w:pStyle w:val="Normal"/>
      </w:pPr>
      <w:r>
        <w:t xml:space="preserve">d) Aplicar sólo métodos cuantitativos — Se descarta por la clave; aplique el criterio de resolución común que se desarrolla después de esta lista.</w:t>
      </w:r>
    </w:p>
    <w:p>
      <w:pPr>
        <w:pStyle w:val="Normal"/>
      </w:pPr>
      <w:r>
        <w:t xml:space="preserve">Criterio de resolución: No se trata de dejar de mirar las partes, sino de dejar de mirarlas sueltas: el paradigma de sistemas pone las relaciones en el centro de la interpretación.</w:t>
      </w:r>
    </w:p>
    <w:p>
      <w:pPr>
        <w:pStyle w:val="Fuente"/>
      </w:pPr>
      <w:r>
        <w:t xml:space="preserve">Banco del portal; resolución editorial.</w:t>
      </w:r>
    </w:p>
    <w:p>
      <w:pPr>
        <w:pStyle w:val="Heading3"/>
      </w:pPr>
      <w:bookmarkStart w:name="b_solucion_u1_08_paradigma_no_renuncia" w:id="6037"/>
      <w:r>
        <w:t xml:space="preserve">Solución S1-30</w:t>
      </w:r>
      <w:bookmarkEnd w:id="6037"/>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b) Que el análisis y la síntesis se necesitan mutuamente: el pensador sistémico mantiene el equilibrio entre ambas</w:t>
            </w:r>
          </w:p>
        </w:tc>
      </w:tr>
    </w:tbl>
    <w:p>
      <w:pPr>
        <w:pStyle w:val="Normal"/>
      </w:pPr>
      <w:r>
        <w:t xml:space="preserve">a) Nada, es exactamente lo que propone el curso — Se descarta por la clave; aplique el criterio de resolución común que se desarrolla después de esta lista.</w:t>
      </w:r>
    </w:p>
    <w:p>
      <w:pPr>
        <w:pStyle w:val="Normal"/>
      </w:pPr>
      <w:r>
        <w:t xml:space="preserve">b) Que el análisis y la síntesis se necesitan mutuamente: el pensador sistémico mantiene el equilibrio entre ambas — Se selecciona por la clave; aplique el criterio de resolución común que se desarrolla después de esta lista.</w:t>
      </w:r>
    </w:p>
    <w:p>
      <w:pPr>
        <w:pStyle w:val="Normal"/>
      </w:pPr>
      <w:r>
        <w:t xml:space="preserve">c) Que el análisis sólo se aplica a sistemas naturales — Se descarta por la clave; aplique el criterio de resolución común que se desarrolla después de esta lista.</w:t>
      </w:r>
    </w:p>
    <w:p>
      <w:pPr>
        <w:pStyle w:val="Normal"/>
      </w:pPr>
      <w:r>
        <w:t xml:space="preserve">d) Que el paradigma de sistemas es incompatible con la ciencia — Se descarta por la clave; aplique el criterio de resolución común que se desarrolla después de esta lista.</w:t>
      </w:r>
    </w:p>
    <w:p>
      <w:pPr>
        <w:pStyle w:val="Normal"/>
      </w:pPr>
      <w:r>
        <w:t xml:space="preserve">Criterio de resolución: Es el mismo error que aparece en la pregunta de diferenciación e integración: descomponer sigue siendo necesario; lo que se añade es volver a reunir para comprender el conjunto.</w:t>
      </w:r>
    </w:p>
    <w:p>
      <w:pPr>
        <w:pStyle w:val="Fuente"/>
      </w:pPr>
      <w:r>
        <w:t xml:space="preserve">Banco del portal; resolución editorial.</w:t>
      </w:r>
    </w:p>
    <w:p>
      <w:pPr>
        <w:pStyle w:val="Heading3"/>
      </w:pPr>
      <w:bookmarkStart w:name="b_solucion_cmp_07_modelo_mental_17189d09" w:id="6038"/>
      <w:r>
        <w:t xml:space="preserve">Solución S1-31</w:t>
      </w:r>
      <w:bookmarkEnd w:id="6038"/>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b) Porque lo que no se ve no se puede poner en duda: el modelo se experimenta como la realidad misma, no como una interpretación de ella</w:t>
            </w:r>
          </w:p>
        </w:tc>
      </w:tr>
    </w:tbl>
    <w:p>
      <w:pPr>
        <w:pStyle w:val="Normal"/>
      </w:pPr>
      <w:r>
        <w:t xml:space="preserve">a) Porque los modelos implícitos son siempre falsos — Se descarta por la clave; aplique el criterio de resolución común que se desarrolla después de esta lista.</w:t>
      </w:r>
    </w:p>
    <w:p>
      <w:pPr>
        <w:pStyle w:val="Normal"/>
      </w:pPr>
      <w:r>
        <w:t xml:space="preserve">b) Porque lo que no se ve no se puede poner en duda: el modelo se experimenta como la realidad misma, no como una interpretación de ella — Se selecciona por la clave; aplique el criterio de resolución común que se desarrolla después de esta lista.</w:t>
      </w:r>
    </w:p>
    <w:p>
      <w:pPr>
        <w:pStyle w:val="Normal"/>
      </w:pPr>
      <w:r>
        <w:t xml:space="preserve">c) Porque cambiar de opinión está mal visto — Se descarta por la clave; aplique el criterio de resolución común que se desarrolla después de esta lista.</w:t>
      </w:r>
    </w:p>
    <w:p>
      <w:pPr>
        <w:pStyle w:val="Normal"/>
      </w:pPr>
      <w:r>
        <w:t xml:space="preserve">d) Porque los modelos implícitos no influyen en la acción — Se descarta por la clave; aplique el criterio de resolución común que se desarrolla después de esta lista.</w:t>
      </w:r>
    </w:p>
    <w:p>
      <w:pPr>
        <w:pStyle w:val="Normal"/>
      </w:pPr>
      <w:r>
        <w:t xml:space="preserve">Criterio de resolución: Un modelo mental hace su trabajo justo cuando nadie lo nota. Hacerlo explícito no lo corrige por sí solo, pero es el único paso que permite discutirlo.</w:t>
      </w:r>
    </w:p>
    <w:p>
      <w:pPr>
        <w:pStyle w:val="Fuente"/>
      </w:pPr>
      <w:r>
        <w:t xml:space="preserve">Banco del portal; resolución editorial.</w:t>
      </w:r>
    </w:p>
    <w:p>
      <w:pPr>
        <w:pStyle w:val="Heading3"/>
      </w:pPr>
      <w:bookmarkStart w:name="b_solucion_cmp_08_modelo_y_resultado" w:id="6039"/>
      <w:r>
        <w:t xml:space="preserve">Solución S1-32</w:t>
      </w:r>
      <w:bookmarkEnd w:id="6039"/>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1. El modelo mental orienta la interpretación</w:t>
            </w:r>
          </w:p>
          <w:p>
            <w:pPr>
              <w:pStyle w:val="Recuadro"/>
            </w:pPr>
            <w:r>
              <w:t xml:space="preserve">2. Se decide y se actúa</w:t>
            </w:r>
          </w:p>
          <w:p>
            <w:pPr>
              <w:pStyle w:val="Recuadro"/>
            </w:pPr>
            <w:r>
              <w:t xml:space="preserve">3. Se obtiene un resultado</w:t>
            </w:r>
          </w:p>
          <w:p>
            <w:pPr>
              <w:pStyle w:val="Recuadro"/>
            </w:pPr>
            <w:r>
              <w:t xml:space="preserve">4. La información del resultado vuelve al modelo</w:t>
            </w:r>
          </w:p>
          <w:p>
            <w:pPr>
              <w:pStyle w:val="Recuadro"/>
            </w:pPr>
            <w:r>
              <w:t xml:space="preserve">5. El modelo se ajusta o se confirma</w:t>
            </w:r>
          </w:p>
        </w:tc>
      </w:tr>
    </w:tbl>
    <w:p>
      <w:pPr>
        <w:pStyle w:val="Normal"/>
      </w:pPr>
      <w:r>
        <w:t xml:space="preserve">Criterio de resolución: Es el lazo que la clase 9 dibujó como retroalimentación: sin el retorno de la información, la acción se repite igual aunque el resultado diga lo contrario.</w:t>
      </w:r>
    </w:p>
    <w:p>
      <w:pPr>
        <w:pStyle w:val="Fuente"/>
      </w:pPr>
      <w:r>
        <w:t xml:space="preserve">Banco del portal; resolución editorial.</w:t>
      </w:r>
    </w:p>
    <w:p>
      <w:pPr>
        <w:pStyle w:val="Heading3"/>
      </w:pPr>
      <w:bookmarkStart w:name="b_solucion_ec1_05_metacognitivo" w:id="6040"/>
      <w:r>
        <w:t xml:space="preserve">Solución S1-33</w:t>
      </w:r>
      <w:bookmarkEnd w:id="6040"/>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e) Pensamiento metacognitivo</w:t>
            </w:r>
          </w:p>
        </w:tc>
      </w:tr>
    </w:tbl>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Retroalimentación oficial de la plataforma</w:t>
            </w:r>
          </w:p>
          <w:p>
            <w:pPr>
              <w:pStyle w:val="Recuadro"/>
            </w:pPr>
            <w:r>
              <w:t xml:space="preserve">La respuesta correcta es: Pensamiento metacognitivo</w:t>
            </w:r>
          </w:p>
        </w:tc>
      </w:tr>
    </w:tbl>
    <w:p>
      <w:pPr>
        <w:pStyle w:val="Normal"/>
      </w:pPr>
      <w:r>
        <w:t xml:space="preserve">a) Pensamiento crítico — Se descarta por la clave; aplique el criterio de resolución común que se desarrolla después de esta lista.</w:t>
      </w:r>
    </w:p>
    <w:p>
      <w:pPr>
        <w:pStyle w:val="Normal"/>
      </w:pPr>
      <w:r>
        <w:t xml:space="preserve">b) Pensamiento mágico — Se descarta por la clave; aplique el criterio de resolución común que se desarrolla después de esta lista.</w:t>
      </w:r>
    </w:p>
    <w:p>
      <w:pPr>
        <w:pStyle w:val="Normal"/>
      </w:pPr>
      <w:r>
        <w:t xml:space="preserve">c) Pensamiento suave — Se descarta por la clave; aplique el criterio de resolución común que se desarrolla después de esta lista.</w:t>
      </w:r>
    </w:p>
    <w:p>
      <w:pPr>
        <w:pStyle w:val="Normal"/>
      </w:pPr>
      <w:r>
        <w:t xml:space="preserve">d) Pensamiento analítico — Se descarta por la clave; aplique el criterio de resolución común que se desarrolla después de esta lista.</w:t>
      </w:r>
    </w:p>
    <w:p>
      <w:pPr>
        <w:pStyle w:val="Normal"/>
      </w:pPr>
      <w:r>
        <w:t xml:space="preserve">e) Pensamiento metacognitivo — Se selecciona por la clave; aplique el criterio de resolución común que se desarrolla después de esta lista.</w:t>
      </w:r>
    </w:p>
    <w:p>
      <w:pPr>
        <w:pStyle w:val="Normal"/>
      </w:pPr>
      <w:r>
        <w:t xml:space="preserve">Criterio de resolución: La metacognición es pensar sobre el propio pensar. Es el tipo de pensamiento que permite ver el modelo mental desde fuera y, por tanto, la puerta de entrada a cambiarlo.</w:t>
      </w:r>
    </w:p>
    <w:p>
      <w:pPr>
        <w:pStyle w:val="Fuente"/>
      </w:pPr>
      <w:r>
        <w:t xml:space="preserve">Banco del portal; resolución editorial.</w:t>
      </w:r>
    </w:p>
    <w:p>
      <w:pPr>
        <w:pStyle w:val="Heading3"/>
      </w:pPr>
      <w:bookmarkStart w:name="b_solucion_p1_entradas_contrastes" w:id="6041"/>
      <w:r>
        <w:t xml:space="preserve">Solución S1-34</w:t>
      </w:r>
      <w:bookmarkEnd w:id="6041"/>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a) Las entradas alimentan el modelo y los contrastes muestran cómo se trata la información</w:t>
            </w:r>
          </w:p>
        </w:tc>
      </w:tr>
    </w:tbl>
    <w:p>
      <w:pPr>
        <w:pStyle w:val="Normal"/>
      </w:pPr>
      <w:r>
        <w:t xml:space="preserve">a) Las entradas alimentan el modelo y los contrastes muestran cómo se trata la información — Se selecciona por la clave; aplique el criterio de resolución común que se desarrolla después de esta lista.</w:t>
      </w:r>
    </w:p>
    <w:p>
      <w:pPr>
        <w:pStyle w:val="Normal"/>
      </w:pPr>
      <w:r>
        <w:t xml:space="preserve">b) Son quince hábitos nuevos añadidos al catálogo — Se descarta por la clave; aplique el criterio de resolución común que se desarrolla después de esta lista.</w:t>
      </w:r>
    </w:p>
    <w:p>
      <w:pPr>
        <w:pStyle w:val="Normal"/>
      </w:pPr>
      <w:r>
        <w:t xml:space="preserve">c) Son seis pasos seguidos obligatoriamente por nueve fases — Se descarta por la clave; aplique el criterio de resolución común que se desarrolla después de esta lista.</w:t>
      </w:r>
    </w:p>
    <w:p>
      <w:pPr>
        <w:pStyle w:val="Normal"/>
      </w:pPr>
      <w:r>
        <w:t xml:space="preserve">d) Son quince fuentes que aseguran un modelo infalible — Se descarta por la clave; aplique el criterio de resolución común que se desarrolla después de esta lista.</w:t>
      </w:r>
    </w:p>
    <w:p>
      <w:pPr>
        <w:pStyle w:val="Normal"/>
      </w:pPr>
      <w:r>
        <w:t xml:space="preserve">Criterio de resolución: El esquema reúne seis entradas que nutren el modelo durante la vida. La tabla de nueve contrastes compara conductas limitadoras y sistémicas ante la información; no establece fases ni hábitos adicionales.</w:t>
      </w:r>
    </w:p>
    <w:p>
      <w:pPr>
        <w:pStyle w:val="Fuente"/>
      </w:pPr>
      <w:r>
        <w:t xml:space="preserve">Presentación de la unidad 1 (C-5), pág. 59 y 60 · Clase 5 · 01:31:56–01:33:29</w:t>
      </w:r>
    </w:p>
    <w:p>
      <w:pPr>
        <w:pStyle w:val="Heading3"/>
      </w:pPr>
      <w:bookmarkStart w:name="b_solucion_p1_mente_principiante" w:id="6042"/>
      <w:r>
        <w:t xml:space="preserve">Solución S1-35</w:t>
      </w:r>
      <w:bookmarkEnd w:id="6042"/>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c) Ampliar la información y observar cómo se forma la interpretación antes de cerrarla</w:t>
            </w:r>
          </w:p>
        </w:tc>
      </w:tr>
    </w:tbl>
    <w:p>
      <w:pPr>
        <w:pStyle w:val="Normal"/>
      </w:pPr>
      <w:r>
        <w:t xml:space="preserve">a) Descartar toda experiencia previa sin examinarla — Se descarta por la clave; aplique el criterio de resolución común que se desarrolla después de esta lista.</w:t>
      </w:r>
    </w:p>
    <w:p>
      <w:pPr>
        <w:pStyle w:val="Normal"/>
      </w:pPr>
      <w:r>
        <w:t xml:space="preserve">b) Aplicar la primera explicación conocida para ahorrar tiempo — Se descarta por la clave; aplique el criterio de resolución común que se desarrolla después de esta lista.</w:t>
      </w:r>
    </w:p>
    <w:p>
      <w:pPr>
        <w:pStyle w:val="Normal"/>
      </w:pPr>
      <w:r>
        <w:t xml:space="preserve">c) Ampliar la información y observar cómo se forma la interpretación antes de cerrarla — Se selecciona por la clave; aplique el criterio de resolución común que se desarrolla después de esta lista.</w:t>
      </w:r>
    </w:p>
    <w:p>
      <w:pPr>
        <w:pStyle w:val="Normal"/>
      </w:pPr>
      <w:r>
        <w:t xml:space="preserve">d) Aceptar sólo los datos que confirman la creencia — Se descarta por la clave; aplique el criterio de resolución común que se desarrolla después de esta lista.</w:t>
      </w:r>
    </w:p>
    <w:p>
      <w:pPr>
        <w:pStyle w:val="Normal"/>
      </w:pPr>
      <w:r>
        <w:t xml:space="preserve">Criterio de resolución: La disposición de principiante consiste en mantenerse flexible y consciente de la formación del propio modelo. Se reúne información amplia y se contrasta la explicación, sin tratarla como una verdad definitiva.</w:t>
      </w:r>
    </w:p>
    <w:p>
      <w:pPr>
        <w:pStyle w:val="Fuente"/>
      </w:pPr>
      <w:r>
        <w:t xml:space="preserve">Presentación de la unidad 1 (C-5), pág. 36</w:t>
      </w:r>
    </w:p>
    <w:p>
      <w:pPr>
        <w:pStyle w:val="Heading3"/>
      </w:pPr>
      <w:bookmarkStart w:name="b_solucion_p1_realista_util" w:id="6043"/>
      <w:r>
        <w:t xml:space="preserve">Solución S1-36</w:t>
      </w:r>
      <w:bookmarkEnd w:id="6043"/>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d) Puede ser realista y, a la vez, insuficientemente útil</w:t>
            </w:r>
          </w:p>
        </w:tc>
      </w:tr>
    </w:tbl>
    <w:p>
      <w:pPr>
        <w:pStyle w:val="Normal"/>
      </w:pPr>
      <w:r>
        <w:t xml:space="preserve">a) Es útil para todo propósito por ser fiel — Se descarta por la clave; aplique el criterio de resolución común que se desarrolla después de esta lista.</w:t>
      </w:r>
    </w:p>
    <w:p>
      <w:pPr>
        <w:pStyle w:val="Normal"/>
      </w:pPr>
      <w:r>
        <w:t xml:space="preserve">b) No puede ser realista si no resuelve cualquier decisión — Se descarta por la clave; aplique el criterio de resolución común que se desarrolla después de esta lista.</w:t>
      </w:r>
    </w:p>
    <w:p>
      <w:pPr>
        <w:pStyle w:val="Normal"/>
      </w:pPr>
      <w:r>
        <w:t xml:space="preserve">c) Su utilidad demuestra que representa todo el territorio — Se descarta por la clave; aplique el criterio de resolución común que se desarrolla después de esta lista.</w:t>
      </w:r>
    </w:p>
    <w:p>
      <w:pPr>
        <w:pStyle w:val="Normal"/>
      </w:pPr>
      <w:r>
        <w:t xml:space="preserve">d) Puede ser realista y, a la vez, insuficientemente útil — Se selecciona por la clave; aplique el criterio de resolución común que se desarrolla después de esta lista.</w:t>
      </w:r>
    </w:p>
    <w:p>
      <w:pPr>
        <w:pStyle w:val="Normal"/>
      </w:pPr>
      <w:r>
        <w:t xml:space="preserve">Criterio de resolución: Realista alude a correspondencia con lo observado; útil al apoyo que presta al propósito. Son dimensiones distintas: una representación fiel puede omitir información decisiva para una tarea concreta.</w:t>
      </w:r>
    </w:p>
    <w:p>
      <w:pPr>
        <w:pStyle w:val="Fuente"/>
      </w:pPr>
      <w:r>
        <w:t xml:space="preserve">Clase 4 · 01:17:35–01:20:39 · Presentación de la unidad 1 (C-5), pág. 60</w:t>
      </w:r>
    </w:p>
    <w:p>
      <w:pPr>
        <w:pStyle w:val="Heading3"/>
      </w:pPr>
      <w:bookmarkStart w:name="b_solucion_u1_09_sistemico_vs_r_c264be58" w:id="6044"/>
      <w:r>
        <w:t xml:space="preserve">Solución S1-37</w:t>
      </w:r>
      <w:bookmarkEnd w:id="6044"/>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Modelo reduccionista: Buscar al responsable individual de la falla y reemplazarlo; Explicar el comportamiento del todo por la pieza que falló</w:t>
            </w:r>
          </w:p>
          <w:p>
            <w:pPr>
              <w:pStyle w:val="Recuadro"/>
            </w:pPr>
            <w:r>
              <w:t xml:space="preserve">Modelo sistémico: Preguntar qué relaciones del proceso hicieron probable esa falla; Rediseñar la estructura para que el error deje de repetirse con otra persona</w:t>
            </w:r>
          </w:p>
        </w:tc>
      </w:tr>
    </w:tbl>
    <w:p>
      <w:pPr>
        <w:pStyle w:val="Normal"/>
      </w:pPr>
      <w:r>
        <w:t xml:space="preserve">Criterio de resolución: El reduccionismo explica el todo por una parte; la mirada sistémica busca la estructura de relaciones que produce el comportamiento. La prueba práctica: si cambiar a la persona no cambia el resultado, el problema era estructural.</w:t>
      </w:r>
    </w:p>
    <w:p>
      <w:pPr>
        <w:pStyle w:val="Fuente"/>
      </w:pPr>
      <w:r>
        <w:t xml:space="preserve">Banco del portal; resolución editorial.</w:t>
      </w:r>
    </w:p>
    <w:p>
      <w:pPr>
        <w:pStyle w:val="Heading3"/>
      </w:pPr>
      <w:bookmarkStart w:name="b_solucion_u1_10_metacognicion" w:id="6045"/>
      <w:r>
        <w:t xml:space="preserve">Solución S1-38</w:t>
      </w:r>
      <w:bookmarkEnd w:id="6045"/>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b) Porque permite observar el propio proceso de pensar y, por tanto, ver el modelo desde fuera</w:t>
            </w:r>
          </w:p>
        </w:tc>
      </w:tr>
    </w:tbl>
    <w:p>
      <w:pPr>
        <w:pStyle w:val="Normal"/>
      </w:pPr>
      <w:r>
        <w:t xml:space="preserve">a) Porque acelera la memorización — Se descarta por la clave; aplique el criterio de resolución común que se desarrolla después de esta lista.</w:t>
      </w:r>
    </w:p>
    <w:p>
      <w:pPr>
        <w:pStyle w:val="Normal"/>
      </w:pPr>
      <w:r>
        <w:t xml:space="preserve">b) Porque permite observar el propio proceso de pensar y, por tanto, ver el modelo desde fuera — Se selecciona por la clave; aplique el criterio de resolución común que se desarrolla después de esta lista.</w:t>
      </w:r>
    </w:p>
    <w:p>
      <w:pPr>
        <w:pStyle w:val="Normal"/>
      </w:pPr>
      <w:r>
        <w:t xml:space="preserve">c) Porque sustituye al pensamiento crítico — Se descarta por la clave; aplique el criterio de resolución común que se desarrolla después de esta lista.</w:t>
      </w:r>
    </w:p>
    <w:p>
      <w:pPr>
        <w:pStyle w:val="Normal"/>
      </w:pPr>
      <w:r>
        <w:t xml:space="preserve">d) Porque elimina los supuestos — Se descarta por la clave; aplique el criterio de resolución común que se desarrolla después de esta lista.</w:t>
      </w:r>
    </w:p>
    <w:p>
      <w:pPr>
        <w:pStyle w:val="Normal"/>
      </w:pPr>
      <w:r>
        <w:t xml:space="preserve">Criterio de resolución: Un modelo mental funciona mientras es invisible. Pensar sobre el propio pensar lo hace visible, y sólo lo que se ve se puede discutir y cambiar.</w:t>
      </w:r>
    </w:p>
    <w:p>
      <w:pPr>
        <w:pStyle w:val="Fuente"/>
      </w:pPr>
      <w:r>
        <w:t xml:space="preserve">Banco del portal; resolución editorial.</w:t>
      </w:r>
    </w:p>
    <w:p>
      <w:pPr>
        <w:pStyle w:val="Heading3"/>
      </w:pPr>
      <w:bookmarkStart w:name="b_solucion_cmp_09_perspectivas_emparejar" w:id="6046"/>
      <w:r>
        <w:t xml:space="preserve">Solución S1-39</w:t>
      </w:r>
      <w:bookmarkEnd w:id="6046"/>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Punto → El lugar o rol desde el que se observa</w:t>
            </w:r>
          </w:p>
          <w:p>
            <w:pPr>
              <w:pStyle w:val="Recuadro"/>
            </w:pPr>
            <w:r>
              <w:t xml:space="preserve">Vista → Lo que resulta visible desde ese lugar</w:t>
            </w:r>
          </w:p>
        </w:tc>
      </w:tr>
    </w:tbl>
    <w:p>
      <w:pPr>
        <w:pStyle w:val="Normal"/>
      </w:pPr>
      <w:r>
        <w:t xml:space="preserve">Distractor sin fila correspondiente: Lo que es verdad con independencia de quien mire.</w:t>
      </w:r>
    </w:p>
    <w:p>
      <w:pPr>
        <w:pStyle w:val="Normal"/>
      </w:pPr>
      <w:r>
        <w:t xml:space="preserve">Criterio de resolución: La P de DSRP se descompone en punto y vista. El distractor es justamente lo que una perspectiva no puede ofrecer: una mirada sin lugar.</w:t>
      </w:r>
    </w:p>
    <w:p>
      <w:pPr>
        <w:pStyle w:val="Fuente"/>
      </w:pPr>
      <w:r>
        <w:t xml:space="preserve">Banco del portal; resolución editorial.</w:t>
      </w:r>
    </w:p>
    <w:p>
      <w:pPr>
        <w:pStyle w:val="Heading3"/>
      </w:pPr>
      <w:bookmarkStart w:name="b_solucion_cmp_10_perspectiva_por_rol" w:id="6047"/>
      <w:r>
        <w:t xml:space="preserve">Solución S1-40</w:t>
      </w:r>
      <w:bookmarkEnd w:id="6047"/>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b) Que cada descripción es fiel a su punto y que el sistema se comprende mejor integrándolas, sin uniformarlas</w:t>
            </w:r>
          </w:p>
        </w:tc>
      </w:tr>
    </w:tbl>
    <w:p>
      <w:pPr>
        <w:pStyle w:val="Normal"/>
      </w:pPr>
      <w:r>
        <w:t xml:space="preserve">a) Que dos de los tres se equivocan — Se descarta por la clave; aplique el criterio de resolución común que se desarrolla después de esta lista.</w:t>
      </w:r>
    </w:p>
    <w:p>
      <w:pPr>
        <w:pStyle w:val="Normal"/>
      </w:pPr>
      <w:r>
        <w:t xml:space="preserve">b) Que cada descripción es fiel a su punto y que el sistema se comprende mejor integrándolas, sin uniformarlas — Se selecciona por la clave; aplique el criterio de resolución común que se desarrolla después de esta lista.</w:t>
      </w:r>
    </w:p>
    <w:p>
      <w:pPr>
        <w:pStyle w:val="Normal"/>
      </w:pPr>
      <w:r>
        <w:t xml:space="preserve">c) Que hace falta un cuarto observador imparcial — Se descarta por la clave; aplique el criterio de resolución común que se desarrolla después de esta lista.</w:t>
      </w:r>
    </w:p>
    <w:p>
      <w:pPr>
        <w:pStyle w:val="Normal"/>
      </w:pPr>
      <w:r>
        <w:t xml:space="preserve">d) Que las perspectivas no aportan información útil — Se descarta por la clave; aplique el criterio de resolución común que se desarrolla después de esta lista.</w:t>
      </w:r>
    </w:p>
    <w:p>
      <w:pPr>
        <w:pStyle w:val="Normal"/>
      </w:pPr>
      <w:r>
        <w:t xml:space="preserve">Criterio de resolución: Es la lección de los ciegos y el elefante trasladada a una organización: las vistas no compiten por ser la verdadera, se suman para explicar por qué el sistema se comporta así.</w:t>
      </w:r>
    </w:p>
    <w:p>
      <w:pPr>
        <w:pStyle w:val="Fuente"/>
      </w:pPr>
      <w:r>
        <w:t xml:space="preserve">Banco del portal; resolución editorial.</w:t>
      </w:r>
    </w:p>
    <w:p>
      <w:pPr>
        <w:pStyle w:val="Heading3"/>
      </w:pPr>
      <w:bookmarkStart w:name="b_solucion_cmp_11_perspectiva_y_frontera" w:id="6048"/>
      <w:r>
        <w:t xml:space="preserve">Solución S1-41</w:t>
      </w:r>
      <w:bookmarkEnd w:id="6048"/>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a) Qué elementos aparecen como relevantes</w:t>
            </w:r>
          </w:p>
          <w:p>
            <w:pPr>
              <w:pStyle w:val="Recuadro"/>
            </w:pPr>
            <w:r>
              <w:t xml:space="preserve">b) Qué relaciones se vuelven visibles</w:t>
            </w:r>
          </w:p>
          <w:p>
            <w:pPr>
              <w:pStyle w:val="Recuadro"/>
            </w:pPr>
            <w:r>
              <w:t xml:space="preserve">d) Dónde resulta razonable trazar la frontera</w:t>
            </w:r>
          </w:p>
        </w:tc>
      </w:tr>
    </w:tbl>
    <w:p>
      <w:pPr>
        <w:pStyle w:val="Normal"/>
      </w:pPr>
      <w:r>
        <w:t xml:space="preserve">a) Qué elementos aparecen como relevantes — Se selecciona por la clave; aplique el criterio de resolución común que se desarrolla después de esta lista.</w:t>
      </w:r>
    </w:p>
    <w:p>
      <w:pPr>
        <w:pStyle w:val="Normal"/>
      </w:pPr>
      <w:r>
        <w:t xml:space="preserve">b) Qué relaciones se vuelven visibles — Se selecciona por la clave; aplique el criterio de resolución común que se desarrolla después de esta lista.</w:t>
      </w:r>
    </w:p>
    <w:p>
      <w:pPr>
        <w:pStyle w:val="Normal"/>
      </w:pPr>
      <w:r>
        <w:t xml:space="preserve">c) Los hechos verificables que ocurrieron — Se descarta por la clave; aplique el criterio de resolución común que se desarrolla después de esta lista.</w:t>
      </w:r>
    </w:p>
    <w:p>
      <w:pPr>
        <w:pStyle w:val="Normal"/>
      </w:pPr>
      <w:r>
        <w:t xml:space="preserve">d) Dónde resulta razonable trazar la frontera — Se selecciona por la clave; aplique el criterio de resolución común que se desarrolla después de esta lista.</w:t>
      </w:r>
    </w:p>
    <w:p>
      <w:pPr>
        <w:pStyle w:val="Normal"/>
      </w:pPr>
      <w:r>
        <w:t xml:space="preserve">Criterio de resolución: Cambiar de perspectiva reordena lo que se destaca, lo que se conecta y hasta dónde llega el sistema. Lo que no cambia son los hechos: si cambiaran, no estaríamos ante perspectivas sino ante versiones incompatibles.</w:t>
      </w:r>
    </w:p>
    <w:p>
      <w:pPr>
        <w:pStyle w:val="Fuente"/>
      </w:pPr>
      <w:r>
        <w:t xml:space="preserve">Banco del portal; resolución editorial.</w:t>
      </w:r>
    </w:p>
    <w:p>
      <w:pPr>
        <w:pStyle w:val="Heading3"/>
      </w:pPr>
      <w:bookmarkStart w:name="b_solucion_p1_bosque_cultura_clima" w:id="6049"/>
      <w:r>
        <w:t xml:space="preserve">Solución S1-42</w:t>
      </w:r>
      <w:bookmarkEnd w:id="6049"/>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d) Identidad y territorio sagrado; captura de carbono y regulación hídrica</w:t>
            </w:r>
          </w:p>
        </w:tc>
      </w:tr>
    </w:tbl>
    <w:p>
      <w:pPr>
        <w:pStyle w:val="Normal"/>
      </w:pPr>
      <w:r>
        <w:t xml:space="preserve">a) Precio de la madera; únicamente cantidad de visitantes — Se descarta por la clave; aplique el criterio de resolución común que se desarrolla después de esta lista.</w:t>
      </w:r>
    </w:p>
    <w:p>
      <w:pPr>
        <w:pStyle w:val="Normal"/>
      </w:pPr>
      <w:r>
        <w:t xml:space="preserve">b) Sólo conteo de árboles; sólo límites municipales — Se descarta por la clave; aplique el criterio de resolución común que se desarrolla después de esta lista.</w:t>
      </w:r>
    </w:p>
    <w:p>
      <w:pPr>
        <w:pStyle w:val="Normal"/>
      </w:pPr>
      <w:r>
        <w:t xml:space="preserve">c) Las mismas variables y los mismos valores sin diferencia — Se descarta por la clave; aplique el criterio de resolución común que se desarrolla después de esta lista.</w:t>
      </w:r>
    </w:p>
    <w:p>
      <w:pPr>
        <w:pStyle w:val="Normal"/>
      </w:pPr>
      <w:r>
        <w:t xml:space="preserve">d) Identidad y territorio sagrado; captura de carbono y regulación hídrica — Se selecciona por la clave; aplique el criterio de resolución común que se desarrolla después de esta lista.</w:t>
      </w:r>
    </w:p>
    <w:p>
      <w:pPr>
        <w:pStyle w:val="Normal"/>
      </w:pPr>
      <w:r>
        <w:t xml:space="preserve">Criterio de resolución: La lectura cultural o indígena considera territorio, identidad y cosmovisión. La climática destaca sumidero de carbono y regulación del agua y clima. El detalle de ambas procede del deck; el audio sólo las nombra.</w:t>
      </w:r>
    </w:p>
    <w:p>
      <w:pPr>
        <w:pStyle w:val="Fuente"/>
      </w:pPr>
      <w:r>
        <w:t xml:space="preserve">Presentación de la unidad 2 (C-6), pág. 39</w:t>
      </w:r>
    </w:p>
    <w:p>
      <w:pPr>
        <w:pStyle w:val="Heading3"/>
      </w:pPr>
      <w:bookmarkStart w:name="b_solucion_p1_bosque_ecologia_economia" w:id="6050"/>
      <w:r>
        <w:t xml:space="preserve">Solución S1-43</w:t>
      </w:r>
      <w:bookmarkEnd w:id="6050"/>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c) La ecológica estudia flujos que sostienen biodiversidad; la económica, recursos e ingresos</w:t>
            </w:r>
          </w:p>
        </w:tc>
      </w:tr>
    </w:tbl>
    <w:p>
      <w:pPr>
        <w:pStyle w:val="Normal"/>
      </w:pPr>
      <w:r>
        <w:t xml:space="preserve">a) La ecológica sólo cuenta madera; la económica sólo especies — Se descarta por la clave; aplique el criterio de resolución común que se desarrolla después de esta lista.</w:t>
      </w:r>
    </w:p>
    <w:p>
      <w:pPr>
        <w:pStyle w:val="Normal"/>
      </w:pPr>
      <w:r>
        <w:t xml:space="preserve">b) Ambas excluyen relaciones de energía y materia — Se descarta por la clave; aplique el criterio de resolución común que se desarrolla después de esta lista.</w:t>
      </w:r>
    </w:p>
    <w:p>
      <w:pPr>
        <w:pStyle w:val="Normal"/>
      </w:pPr>
      <w:r>
        <w:t xml:space="preserve">c) La ecológica estudia flujos que sostienen biodiversidad; la económica, recursos e ingresos — Se selecciona por la clave; aplique el criterio de resolución común que se desarrolla después de esta lista.</w:t>
      </w:r>
    </w:p>
    <w:p>
      <w:pPr>
        <w:pStyle w:val="Normal"/>
      </w:pPr>
      <w:r>
        <w:t xml:space="preserve">d) La económica demuestra que las otras perspectivas son falsas — Se descarta por la clave; aplique el criterio de resolución común que se desarrolla después de esta lista.</w:t>
      </w:r>
    </w:p>
    <w:p>
      <w:pPr>
        <w:pStyle w:val="Normal"/>
      </w:pPr>
      <w:r>
        <w:t xml:space="preserve">Criterio de resolución: La ecológica destaca equilibrio dinámico y biodiversidad. La económica considera madera, medicina y turismo como recursos; la presentación añade su gestión sostenible. Mirar desde otro punto amplía lo que se reconoce.</w:t>
      </w:r>
    </w:p>
    <w:p>
      <w:pPr>
        <w:pStyle w:val="Fuente"/>
      </w:pPr>
      <w:r>
        <w:t xml:space="preserve">Presentación de la unidad 2 (C-6), pág. 39 · Clase 8 · 00:21:34–00:22:59</w:t>
      </w:r>
    </w:p>
    <w:p>
      <w:pPr>
        <w:pStyle w:val="Heading3"/>
      </w:pPr>
      <w:bookmarkStart w:name="b_solucion_p1_dialogo_supuestos_reglas" w:id="6051"/>
      <w:r>
        <w:t xml:space="preserve">Solución S1-44</w:t>
      </w:r>
      <w:bookmarkEnd w:id="6051"/>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b) Crear condiciones de participación, escucha y examen de perspectivas sin represalias</w:t>
            </w:r>
          </w:p>
        </w:tc>
      </w:tr>
    </w:tbl>
    <w:p>
      <w:pPr>
        <w:pStyle w:val="Normal"/>
      </w:pPr>
      <w:r>
        <w:t xml:space="preserve">a) Asegurar que gane quien hable más tiempo — Se descarta por la clave; aplique el criterio de resolución común que se desarrolla después de esta lista.</w:t>
      </w:r>
    </w:p>
    <w:p>
      <w:pPr>
        <w:pStyle w:val="Normal"/>
      </w:pPr>
      <w:r>
        <w:t xml:space="preserve">b) Crear condiciones de participación, escucha y examen de perspectivas sin represalias — Se selecciona por la clave; aplique el criterio de resolución común que se desarrolla después de esta lista.</w:t>
      </w:r>
    </w:p>
    <w:p>
      <w:pPr>
        <w:pStyle w:val="Normal"/>
      </w:pPr>
      <w:r>
        <w:t xml:space="preserve">c) Imponer una conclusión antes de escuchar — Se descarta por la clave; aplique el criterio de resolución común que se desarrolla después de esta lista.</w:t>
      </w:r>
    </w:p>
    <w:p>
      <w:pPr>
        <w:pStyle w:val="Normal"/>
      </w:pPr>
      <w:r>
        <w:t xml:space="preserve">d) Convertir el diálogo en un monólogo de la autoridad — Se descarta por la clave; aplique el criterio de resolución común que se desarrolla después de esta lista.</w:t>
      </w:r>
    </w:p>
    <w:p>
      <w:pPr>
        <w:pStyle w:val="Normal"/>
      </w:pPr>
      <w:r>
        <w:t xml:space="preserve">Criterio de resolución: La verdad repartida y el derecho a participar requieren condiciones concretas: pedir la palabra, escuchar sin interrumpir y respetar tiempos y roles. Las reglas hacen practicable la comunicación abierta y no sustituyen la indagación.</w:t>
      </w:r>
    </w:p>
    <w:p>
      <w:pPr>
        <w:pStyle w:val="Fuente"/>
      </w:pPr>
      <w:r>
        <w:t xml:space="preserve">Presentación de la unidad 1 (C-5), pág. 49 · Clase 5 · 00:25:09–00:35:11</w:t>
      </w:r>
    </w:p>
    <w:p>
      <w:pPr>
        <w:pStyle w:val="Heading3"/>
      </w:pPr>
      <w:bookmarkStart w:name="b_solucion_p1_elena_tom" w:id="6052"/>
      <w:r>
        <w:t xml:space="preserve">Solución S1-45</w:t>
      </w:r>
      <w:bookmarkEnd w:id="6052"/>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a) Reconstruir los supuestos de cada parte y reconsiderar prioridades con el informe común</w:t>
            </w:r>
          </w:p>
        </w:tc>
      </w:tr>
    </w:tbl>
    <w:p>
      <w:pPr>
        <w:pStyle w:val="Normal"/>
      </w:pPr>
      <w:r>
        <w:t xml:space="preserve">a) Reconstruir los supuestos de cada parte y reconsiderar prioridades con el informe común — Se selecciona por la clave; aplique el criterio de resolución común que se desarrolla después de esta lista.</w:t>
      </w:r>
    </w:p>
    <w:p>
      <w:pPr>
        <w:pStyle w:val="Normal"/>
      </w:pPr>
      <w:r>
        <w:t xml:space="preserve">b) Dar por probado que una parte no sabe leer — Se descarta por la clave; aplique el criterio de resolución común que se desarrolla después de esta lista.</w:t>
      </w:r>
    </w:p>
    <w:p>
      <w:pPr>
        <w:pStyle w:val="Normal"/>
      </w:pPr>
      <w:r>
        <w:t xml:space="preserve">c) Creer que el informe elimina automáticamente toda perspectiva — Se descarta por la clave; aplique el criterio de resolución común que se desarrolla después de esta lista.</w:t>
      </w:r>
    </w:p>
    <w:p>
      <w:pPr>
        <w:pStyle w:val="Normal"/>
      </w:pPr>
      <w:r>
        <w:t xml:space="preserve">d) Suponer que los mismos datos obligan a la misma conclusión — Se descarta por la clave; aplique el criterio de resolución común que se desarrolla después de esta lista.</w:t>
      </w:r>
    </w:p>
    <w:p>
      <w:pPr>
        <w:pStyle w:val="Normal"/>
      </w:pPr>
      <w:r>
        <w:t xml:space="preserve">Criterio de resolución: Los datos del informe son comunes, pero cada parte interpreta quién debe reparar desde expectativas distintas. Suspender temporalmente el juicio permite reconocer esas expectativas y negociar con mayor comprensión.</w:t>
      </w:r>
    </w:p>
    <w:p>
      <w:pPr>
        <w:pStyle w:val="Fuente"/>
      </w:pPr>
      <w:r>
        <w:t xml:space="preserve">Presentación de la unidad 1 (C-5), pág. 47 · Clase 5 · 00:11:32–00:16:28</w:t>
      </w:r>
    </w:p>
    <w:p>
      <w:pPr>
        <w:pStyle w:val="Heading3"/>
      </w:pPr>
      <w:bookmarkStart w:name="b_solucion_p1_empatia_circular" w:id="6053"/>
      <w:r>
        <w:t xml:space="preserve">Solución S1-46</w:t>
      </w:r>
      <w:bookmarkEnd w:id="6053"/>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b) Comprender y apoyar puede hacer que el otro se sienta cuidado y devuelva apoyo</w:t>
            </w:r>
          </w:p>
        </w:tc>
      </w:tr>
    </w:tbl>
    <w:p>
      <w:pPr>
        <w:pStyle w:val="Normal"/>
      </w:pPr>
      <w:r>
        <w:t xml:space="preserve">a) Comprender obliga al otro a aceptar mi conclusión — Se descarta por la clave; aplique el criterio de resolución común que se desarrolla después de esta lista.</w:t>
      </w:r>
    </w:p>
    <w:p>
      <w:pPr>
        <w:pStyle w:val="Normal"/>
      </w:pPr>
      <w:r>
        <w:t xml:space="preserve">b) Comprender y apoyar puede hacer que el otro se sienta cuidado y devuelva apoyo — Se selecciona por la clave; aplique el criterio de resolución común que se desarrolla después de esta lista.</w:t>
      </w:r>
    </w:p>
    <w:p>
      <w:pPr>
        <w:pStyle w:val="Normal"/>
      </w:pPr>
      <w:r>
        <w:t xml:space="preserve">c) El apoyo sólo puede circular en una dirección — Se descarta por la clave; aplique el criterio de resolución común que se desarrolla después de esta lista.</w:t>
      </w:r>
    </w:p>
    <w:p>
      <w:pPr>
        <w:pStyle w:val="Normal"/>
      </w:pPr>
      <w:r>
        <w:t xml:space="preserve">d) La empatía elimina todos los conflictos y desacuerdos — Se descarta por la clave; aplique el criterio de resolución común que se desarrolla después de esta lista.</w:t>
      </w:r>
    </w:p>
    <w:p>
      <w:pPr>
        <w:pStyle w:val="Normal"/>
      </w:pPr>
      <w:r>
        <w:t xml:space="preserve">Criterio de resolución: La comprensión expresada en escucha y apoyo puede producir apoyo percibido y una respuesta recíproca. Es una posibilidad de interacción circular, no una garantía ni un derecho a exigir reciprocidad.</w:t>
      </w:r>
    </w:p>
    <w:p>
      <w:pPr>
        <w:pStyle w:val="Fuente"/>
      </w:pPr>
      <w:r>
        <w:t xml:space="preserve">Presentación de la unidad 1 (C-5), pág. 46</w:t>
      </w:r>
    </w:p>
    <w:p>
      <w:pPr>
        <w:pStyle w:val="Heading3"/>
      </w:pPr>
      <w:bookmarkStart w:name="b_solucion_u1_11_ciegos_elefante" w:id="6054"/>
      <w:r>
        <w:t xml:space="preserve">Solución S1-47</w:t>
      </w:r>
      <w:bookmarkEnd w:id="6054"/>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b) Tomar la parte que toca por el todo</w:t>
            </w:r>
          </w:p>
        </w:tc>
      </w:tr>
    </w:tbl>
    <w:p>
      <w:pPr>
        <w:pStyle w:val="Normal"/>
      </w:pPr>
      <w:r>
        <w:t xml:space="preserve">a) Describir mal la parte que toca — Se descarta por la clave; aplique el criterio de resolución común que se desarrolla después de esta lista.</w:t>
      </w:r>
    </w:p>
    <w:p>
      <w:pPr>
        <w:pStyle w:val="Normal"/>
      </w:pPr>
      <w:r>
        <w:t xml:space="preserve">b) Tomar la parte que toca por el todo — Se selecciona por la clave; aplique el criterio de resolución común que se desarrolla después de esta lista.</w:t>
      </w:r>
    </w:p>
    <w:p>
      <w:pPr>
        <w:pStyle w:val="Normal"/>
      </w:pPr>
      <w:r>
        <w:t xml:space="preserve">c) Negarse a tocar al elefante — Se descarta por la clave; aplique el criterio de resolución común que se desarrolla después de esta lista.</w:t>
      </w:r>
    </w:p>
    <w:p>
      <w:pPr>
        <w:pStyle w:val="Normal"/>
      </w:pPr>
      <w:r>
        <w:t xml:space="preserve">d) Ponerse de acuerdo demasiado rápido — Se descarta por la clave; aplique el criterio de resolución común que se desarrolla después de esta lista.</w:t>
      </w:r>
    </w:p>
    <w:p>
      <w:pPr>
        <w:pStyle w:val="Normal"/>
      </w:pPr>
      <w:r>
        <w:t xml:space="preserve">Criterio de resolución: Cada descripción es fiel a su punto de contacto: el error no está en la observación sino en el salto de la parte al todo. Integrar las vistas no las uniforma, las sitúa.</w:t>
      </w:r>
    </w:p>
    <w:p>
      <w:pPr>
        <w:pStyle w:val="Fuente"/>
      </w:pPr>
      <w:r>
        <w:t xml:space="preserve">Banco del portal; resolución editorial.</w:t>
      </w:r>
    </w:p>
    <w:p>
      <w:pPr>
        <w:pStyle w:val="Heading3"/>
      </w:pPr>
      <w:bookmarkStart w:name="b_solucion_u1_12_punto_y_vista" w:id="6055"/>
      <w:r>
        <w:t xml:space="preserve">Solución S1-48</w:t>
      </w:r>
      <w:bookmarkEnd w:id="6055"/>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a) Cambiar el punto desde el que se observa cambia la vista</w:t>
            </w:r>
          </w:p>
          <w:p>
            <w:pPr>
              <w:pStyle w:val="Recuadro"/>
            </w:pPr>
            <w:r>
              <w:t xml:space="preserve">c) Una perspectiva puede ser fiel a su parte y errónea si pretende explicar el todo</w:t>
            </w:r>
          </w:p>
        </w:tc>
      </w:tr>
    </w:tbl>
    <w:p>
      <w:pPr>
        <w:pStyle w:val="Normal"/>
      </w:pPr>
      <w:r>
        <w:t xml:space="preserve">a) Cambiar el punto desde el que se observa cambia la vista — Se selecciona por la clave; aplique el criterio de resolución común que se desarrolla después de esta lista.</w:t>
      </w:r>
    </w:p>
    <w:p>
      <w:pPr>
        <w:pStyle w:val="Normal"/>
      </w:pPr>
      <w:r>
        <w:t xml:space="preserve">b) Dos vistas distintas de la misma cosa prueban que una de las dos miente — Se descarta por la clave; aplique el criterio de resolución común que se desarrolla después de esta lista.</w:t>
      </w:r>
    </w:p>
    <w:p>
      <w:pPr>
        <w:pStyle w:val="Normal"/>
      </w:pPr>
      <w:r>
        <w:t xml:space="preserve">c) Una perspectiva puede ser fiel a su parte y errónea si pretende explicar el todo — Se selecciona por la clave; aplique el criterio de resolución común que se desarrolla después de esta lista.</w:t>
      </w:r>
    </w:p>
    <w:p>
      <w:pPr>
        <w:pStyle w:val="Normal"/>
      </w:pPr>
      <w:r>
        <w:t xml:space="preserve">d) La perspectiva es independiente de quién observa — Se descarta por la clave; aplique el criterio de resolución común que se desarrolla después de esta lista.</w:t>
      </w:r>
    </w:p>
    <w:p>
      <w:pPr>
        <w:pStyle w:val="Normal"/>
      </w:pPr>
      <w:r>
        <w:t xml:space="preserve">Criterio de resolución: Punto y vista van juntos: el lugar desde el que se mira determina lo que se ve. Que dos vistas difieran no implica engaño; implica que hay más de un punto.</w:t>
      </w:r>
    </w:p>
    <w:p>
      <w:pPr>
        <w:pStyle w:val="Fuente"/>
      </w:pPr>
      <w:r>
        <w:t xml:space="preserve">Banco del portal; resolución editorial.</w:t>
      </w:r>
    </w:p>
    <w:p>
      <w:pPr>
        <w:pStyle w:val="Heading3"/>
      </w:pPr>
      <w:bookmarkStart w:name="b_solucion_cmp_12_dsrp_ordenar" w:id="6056"/>
      <w:r>
        <w:t xml:space="preserve">Solución S1-49</w:t>
      </w:r>
      <w:bookmarkEnd w:id="6056"/>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1. Distinciones</w:t>
            </w:r>
          </w:p>
          <w:p>
            <w:pPr>
              <w:pStyle w:val="Recuadro"/>
            </w:pPr>
            <w:r>
              <w:t xml:space="preserve">2. Sistemas</w:t>
            </w:r>
          </w:p>
          <w:p>
            <w:pPr>
              <w:pStyle w:val="Recuadro"/>
            </w:pPr>
            <w:r>
              <w:t xml:space="preserve">3. Relaciones</w:t>
            </w:r>
          </w:p>
          <w:p>
            <w:pPr>
              <w:pStyle w:val="Recuadro"/>
            </w:pPr>
            <w:r>
              <w:t xml:space="preserve">4. Perspectivas</w:t>
            </w:r>
          </w:p>
        </w:tc>
      </w:tr>
    </w:tbl>
    <w:p>
      <w:pPr>
        <w:pStyle w:val="Normal"/>
      </w:pPr>
      <w:r>
        <w:t xml:space="preserve">Criterio de resolución: D, S, R, P. Conviene aclarar que el orden del acrónimo no es un procedimiento obligatorio: las cuatro operaciones se usan de forma iterativa, y cambiar de perspectiva puede obligar a volver a distinguir.</w:t>
      </w:r>
    </w:p>
    <w:p>
      <w:pPr>
        <w:pStyle w:val="Fuente"/>
      </w:pPr>
      <w:r>
        <w:t xml:space="preserve">Banco del portal; resolución editorial.</w:t>
      </w:r>
    </w:p>
    <w:p>
      <w:pPr>
        <w:pStyle w:val="Heading3"/>
      </w:pPr>
      <w:bookmarkStart w:name="b_solucion_cmp_13_dsrp_clasificar" w:id="6057"/>
      <w:r>
        <w:t xml:space="preserve">Solución S1-50</w:t>
      </w:r>
      <w:bookmarkEnd w:id="6057"/>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Distinciones: ¿Qué es esto y qué no es?; ¿Dónde termina lo que estoy estudiando?</w:t>
            </w:r>
          </w:p>
          <w:p>
            <w:pPr>
              <w:pStyle w:val="Recuadro"/>
            </w:pPr>
            <w:r>
              <w:t xml:space="preserve">Relaciones: ¿Qué se conecta con qué y en qué dirección?; ¿Qué pasa aquí si cambia aquello?</w:t>
            </w:r>
          </w:p>
        </w:tc>
      </w:tr>
    </w:tbl>
    <w:p>
      <w:pPr>
        <w:pStyle w:val="Normal"/>
      </w:pPr>
      <w:r>
        <w:t xml:space="preserve">Criterio de resolución: Distinguir fija identidad y frontera; relacionar establece qué depende de qué. Son operaciones distintas y se estorban si se confunden: sin frontera clara, cualquier cosa parece estar relacionada con cualquier otra.</w:t>
      </w:r>
    </w:p>
    <w:p>
      <w:pPr>
        <w:pStyle w:val="Fuente"/>
      </w:pPr>
      <w:r>
        <w:t xml:space="preserve">Banco del portal; resolución editorial.</w:t>
      </w:r>
    </w:p>
    <w:p>
      <w:pPr>
        <w:pStyle w:val="Heading3"/>
      </w:pPr>
      <w:bookmarkStart w:name="b_solucion_cmp_14_dsrp_iterativo" w:id="6058"/>
      <w:r>
        <w:t xml:space="preserve">Solución S1-51</w:t>
      </w:r>
      <w:bookmarkEnd w:id="6058"/>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b) Porque cada operación modifica el resultado de las otras: cambiar la frontera cambia las partes, y cambiar de observador puede revelar un subsistema que antes no aparecía</w:t>
            </w:r>
          </w:p>
        </w:tc>
      </w:tr>
    </w:tbl>
    <w:p>
      <w:pPr>
        <w:pStyle w:val="Normal"/>
      </w:pPr>
      <w:r>
        <w:t xml:space="preserve">a) Porque el orden correcto es el inverso — Se descarta por la clave; aplique el criterio de resolución común que se desarrolla después de esta lista.</w:t>
      </w:r>
    </w:p>
    <w:p>
      <w:pPr>
        <w:pStyle w:val="Normal"/>
      </w:pPr>
      <w:r>
        <w:t xml:space="preserve">b) Porque cada operación modifica el resultado de las otras: cambiar la frontera cambia las partes, y cambiar de observador puede revelar un subsistema que antes no aparecía — Se selecciona por la clave; aplique el criterio de resolución común que se desarrolla después de esta lista.</w:t>
      </w:r>
    </w:p>
    <w:p>
      <w:pPr>
        <w:pStyle w:val="Normal"/>
      </w:pPr>
      <w:r>
        <w:t xml:space="preserve">c) Porque sólo se usan dos a la vez — Se descarta por la clave; aplique el criterio de resolución común que se desarrolla después de esta lista.</w:t>
      </w:r>
    </w:p>
    <w:p>
      <w:pPr>
        <w:pStyle w:val="Normal"/>
      </w:pPr>
      <w:r>
        <w:t xml:space="preserve">d) Porque el método no admite repetición — Se descarta por la clave; aplique el criterio de resolución común que se desarrolla después de esta lista.</w:t>
      </w:r>
    </w:p>
    <w:p>
      <w:pPr>
        <w:pStyle w:val="Normal"/>
      </w:pPr>
      <w:r>
        <w:t xml:space="preserve">Criterio de resolución: Es un ciclo de indagación, no un procedimiento lineal. Por eso el pensamiento sistémico aparece como propiedad emergente de aplicarlas reiteradamente, y no de haberlas ejecutado una vez en orden.</w:t>
      </w:r>
    </w:p>
    <w:p>
      <w:pPr>
        <w:pStyle w:val="Fuente"/>
      </w:pPr>
      <w:r>
        <w:t xml:space="preserve">Banco del portal; resolución editorial.</w:t>
      </w:r>
    </w:p>
    <w:p>
      <w:pPr>
        <w:pStyle w:val="Heading3"/>
      </w:pPr>
      <w:bookmarkStart w:name="b_solucion_p1_bosque_distincion" w:id="6059"/>
      <w:r>
        <w:t xml:space="preserve">Solución S1-52</w:t>
      </w:r>
      <w:bookmarkEnd w:id="6059"/>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d) Distingue un ecosistema terrestre de seres vivos interconectados con entorno común</w:t>
            </w:r>
          </w:p>
        </w:tc>
      </w:tr>
    </w:tbl>
    <w:p>
      <w:pPr>
        <w:pStyle w:val="Normal"/>
      </w:pPr>
      <w:r>
        <w:t xml:space="preserve">a) Calcula automáticamente su valor monetario — Se descarta por la clave; aplique el criterio de resolución común que se desarrolla después de esta lista.</w:t>
      </w:r>
    </w:p>
    <w:p>
      <w:pPr>
        <w:pStyle w:val="Normal"/>
      </w:pPr>
      <w:r>
        <w:t xml:space="preserve">b) Confunde toda la biosfera con una sola parte interna — Se descarta por la clave; aplique el criterio de resolución común que se desarrolla después de esta lista.</w:t>
      </w:r>
    </w:p>
    <w:p>
      <w:pPr>
        <w:pStyle w:val="Normal"/>
      </w:pPr>
      <w:r>
        <w:t xml:space="preserve">c) Demuestra que no existe nada fuera de la frontera — Se descarta por la clave; aplique el criterio de resolución común que se desarrolla después de esta lista.</w:t>
      </w:r>
    </w:p>
    <w:p>
      <w:pPr>
        <w:pStyle w:val="Normal"/>
      </w:pPr>
      <w:r>
        <w:t xml:space="preserve">d) Distingue un ecosistema terrestre de seres vivos interconectados con entorno común — Se selecciona por la clave; aplique el criterio de resolución común que se desarrolla después de esta lista.</w:t>
      </w:r>
    </w:p>
    <w:p>
      <w:pPr>
        <w:pStyle w:val="Normal"/>
      </w:pPr>
      <w:r>
        <w:t xml:space="preserve">Criterio de resolución: D fija identidad y otro: se declara qué se llama bosque y qué queda fuera de su frontera. Esa distinción permite luego organizar partes, relaciones y perspectivas sin confundir el objeto focal con todo su contexto.</w:t>
      </w:r>
    </w:p>
    <w:p>
      <w:pPr>
        <w:pStyle w:val="Fuente"/>
      </w:pPr>
      <w:r>
        <w:t xml:space="preserve">Presentación de la unidad 2 (C-6), pág. 39 · Clase 8 · 00:04:46–00:08:10</w:t>
      </w:r>
    </w:p>
    <w:p>
      <w:pPr>
        <w:pStyle w:val="Heading3"/>
      </w:pPr>
      <w:bookmarkStart w:name="b_solucion_p1_bosque_intercambios" w:id="6060"/>
      <w:r>
        <w:t xml:space="preserve">Solución S1-53</w:t>
      </w:r>
      <w:bookmarkEnd w:id="6060"/>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c) Entran luz, lluvia, CO</w:t>
            </w:r>
            <w:r>
              <w:rPr>
                <w:vertAlign w:val="subscript"/>
              </w:rPr>
              <w:t xml:space="preserve">2</w:t>
            </w:r>
            <w:r>
              <w:t xml:space="preserve"> y nutrientes; se consideran oxígeno, biomasa y efectos de regulación como salidas</w:t>
            </w:r>
          </w:p>
        </w:tc>
      </w:tr>
    </w:tbl>
    <w:p>
      <w:pPr>
        <w:pStyle w:val="Normal"/>
      </w:pPr>
      <w:r>
        <w:t xml:space="preserve">a) Entran sólo animales y no sale nada — Se descarta por la clave; aplique el criterio de resolución común que se desarrolla después de esta lista.</w:t>
      </w:r>
    </w:p>
    <w:p>
      <w:pPr>
        <w:pStyle w:val="Normal"/>
      </w:pPr>
      <w:r>
        <w:t xml:space="preserve">b) Todos los efectos de regulación son corrientes de materia — Se descarta por la clave; aplique el criterio de resolución común que se desarrolla después de esta lista.</w:t>
      </w:r>
    </w:p>
    <w:p>
      <w:pPr>
        <w:pStyle w:val="Normal"/>
      </w:pPr>
      <w:r>
        <w:t xml:space="preserve">c) Entran luz, lluvia, CO</w:t>
      </w:r>
      <w:r>
        <w:rPr>
          <w:vertAlign w:val="subscript"/>
        </w:rPr>
        <w:t xml:space="preserve">2</w:t>
      </w:r>
      <w:r>
        <w:t xml:space="preserve"> y nutrientes; se consideran oxígeno, biomasa y efectos de regulación como salidas — Se selecciona por la clave; aplique el criterio de resolución común que se desarrolla después de esta lista.</w:t>
      </w:r>
    </w:p>
    <w:p>
      <w:pPr>
        <w:pStyle w:val="Normal"/>
      </w:pPr>
      <w:r>
        <w:t xml:space="preserve">d) Bioma y ecosfera son flujos que entran por la frontera — Se descarta por la clave; aplique el criterio de resolución común que se desarrolla después de esta lista.</w:t>
      </w:r>
    </w:p>
    <w:p>
      <w:pPr>
        <w:pStyle w:val="Normal"/>
      </w:pPr>
      <w:r>
        <w:t xml:space="preserve">Criterio de resolución: El inventario distingue intercambios de materia y energía y efectos del sistema. Oxígeno y biomasa pueden ser salidas materiales; regulación hídrica y climática son servicios o efectos, no necesariamente corrientes materiales.</w:t>
      </w:r>
    </w:p>
    <w:p>
      <w:pPr>
        <w:pStyle w:val="Fuente"/>
      </w:pPr>
      <w:r>
        <w:t xml:space="preserve">Presentación de la unidad 2 (C-6), pág. 39</w:t>
      </w:r>
    </w:p>
    <w:p>
      <w:pPr>
        <w:pStyle w:val="Heading3"/>
      </w:pPr>
      <w:bookmarkStart w:name="b_solucion_p1_bosque_partes" w:id="6061"/>
      <w:r>
        <w:t xml:space="preserve">Solución S1-54</w:t>
      </w:r>
      <w:bookmarkEnd w:id="6061"/>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a) Flora, fauna y microorganismos organizados en productores, consumidores y descomponedores</w:t>
            </w:r>
          </w:p>
        </w:tc>
      </w:tr>
    </w:tbl>
    <w:p>
      <w:pPr>
        <w:pStyle w:val="Normal"/>
      </w:pPr>
      <w:r>
        <w:t xml:space="preserve">a) Flora, fauna y microorganismos organizados en productores, consumidores y descomponedores — Se selecciona por la clave; aplique el criterio de resolución común que se desarrolla después de esta lista.</w:t>
      </w:r>
    </w:p>
    <w:p>
      <w:pPr>
        <w:pStyle w:val="Normal"/>
      </w:pPr>
      <w:r>
        <w:t xml:space="preserve">b) Atmósfera global, ciudades y bioma como únicos componentes internos — Se descarta por la clave; aplique el criterio de resolución común que se desarrolla después de esta lista.</w:t>
      </w:r>
    </w:p>
    <w:p>
      <w:pPr>
        <w:pStyle w:val="Normal"/>
      </w:pPr>
      <w:r>
        <w:t xml:space="preserve">c) Sólo árboles, sin otros seres vivos ni relaciones — Se descarta por la clave; aplique el criterio de resolución común que se desarrolla después de esta lista.</w:t>
      </w:r>
    </w:p>
    <w:p>
      <w:pPr>
        <w:pStyle w:val="Normal"/>
      </w:pPr>
      <w:r>
        <w:t xml:space="preserve">d) Únicamente las personas que obtienen ingresos — Se descarta por la clave; aplique el criterio de resolución común que se desarrolla después de esta lista.</w:t>
      </w:r>
    </w:p>
    <w:p>
      <w:pPr>
        <w:pStyle w:val="Normal"/>
      </w:pPr>
      <w:r>
        <w:t xml:space="preserve">Criterio de resolución: La composición incluye plantas, animales y microorganismos. La organización trófica los vincula como productores, consumidores y descomponedores: una lista de árboles no representa por sí sola la estructura del bosque.</w:t>
      </w:r>
    </w:p>
    <w:p>
      <w:pPr>
        <w:pStyle w:val="Fuente"/>
      </w:pPr>
      <w:r>
        <w:t xml:space="preserve">Presentación de la unidad 2 (C-6), pág. 39</w:t>
      </w:r>
    </w:p>
    <w:p>
      <w:pPr>
        <w:pStyle w:val="Heading3"/>
      </w:pPr>
      <w:bookmarkStart w:name="b_solucion_p1_bosque_relaciones" w:id="6062"/>
      <w:r>
        <w:t xml:space="preserve">Solución S1-55</w:t>
      </w:r>
      <w:bookmarkEnd w:id="6062"/>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b) Fotosíntesis, consumo por herbívoros y carnívoros, descomposición y retorno de nutrientes</w:t>
            </w:r>
          </w:p>
        </w:tc>
      </w:tr>
    </w:tbl>
    <w:p>
      <w:pPr>
        <w:pStyle w:val="Normal"/>
      </w:pPr>
      <w:r>
        <w:t xml:space="preserve">a) Producción sin consumo y desaparición de los nutrientes — Se descarta por la clave; aplique el criterio de resolución común que se desarrolla después de esta lista.</w:t>
      </w:r>
    </w:p>
    <w:p>
      <w:pPr>
        <w:pStyle w:val="Normal"/>
      </w:pPr>
      <w:r>
        <w:t xml:space="preserve">b) Fotosíntesis, consumo por herbívoros y carnívoros, descomposición y retorno de nutrientes — Se selecciona por la clave; aplique el criterio de resolución común que se desarrolla después de esta lista.</w:t>
      </w:r>
    </w:p>
    <w:p>
      <w:pPr>
        <w:pStyle w:val="Normal"/>
      </w:pPr>
      <w:r>
        <w:t xml:space="preserve">c) Ingreso de energía y reciclaje completo de toda esa energía — Se descarta por la clave; aplique el criterio de resolución común que se desarrolla después de esta lista.</w:t>
      </w:r>
    </w:p>
    <w:p>
      <w:pPr>
        <w:pStyle w:val="Normal"/>
      </w:pPr>
      <w:r>
        <w:t xml:space="preserve">d) Sólo enumerar flora, fauna y microorganismos — Se descarta por la clave; aplique el criterio de resolución común que se desarrolla después de esta lista.</w:t>
      </w:r>
    </w:p>
    <w:p>
      <w:pPr>
        <w:pStyle w:val="Normal"/>
      </w:pPr>
      <w:r>
        <w:t xml:space="preserve">Criterio de resolución: Las plantas incorporan materia mediante fotosíntesis, los consumidores se alimentan y los descomponedores devuelven nutrientes al suelo. La materia puede recorrer ciclos; la energía fluye y no se recicla como la materia.</w:t>
      </w:r>
    </w:p>
    <w:p>
      <w:pPr>
        <w:pStyle w:val="Fuente"/>
      </w:pPr>
      <w:r>
        <w:t xml:space="preserve">Presentación de la unidad 2 (C-6), pág. 39</w:t>
      </w:r>
    </w:p>
    <w:p>
      <w:pPr>
        <w:pStyle w:val="Heading3"/>
      </w:pPr>
      <w:bookmarkStart w:name="b_solucion_p1_editor_punto_vista" w:id="6063"/>
      <w:r>
        <w:t xml:space="preserve">Solución S1-56</w:t>
      </w:r>
      <w:bookmarkEnd w:id="6063"/>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c) Editor: punto; coloquialismo observado: vista</w:t>
            </w:r>
          </w:p>
        </w:tc>
      </w:tr>
    </w:tbl>
    <w:p>
      <w:pPr>
        <w:pStyle w:val="Normal"/>
      </w:pPr>
      <w:r>
        <w:t xml:space="preserve">a) Editor: vista; coloquialismo: punto — Se descarta por la clave; aplique el criterio de resolución común que se desarrolla después de esta lista.</w:t>
      </w:r>
    </w:p>
    <w:p>
      <w:pPr>
        <w:pStyle w:val="Normal"/>
      </w:pPr>
      <w:r>
        <w:t xml:space="preserve">b) Ambos son el punto y nada es observado — Se descarta por la clave; aplique el criterio de resolución común que se desarrolla después de esta lista.</w:t>
      </w:r>
    </w:p>
    <w:p>
      <w:pPr>
        <w:pStyle w:val="Normal"/>
      </w:pPr>
      <w:r>
        <w:t xml:space="preserve">c) Editor: punto; coloquialismo observado: vista — Se selecciona por la clave; aplique el criterio de resolución común que se desarrolla después de esta lista.</w:t>
      </w:r>
    </w:p>
    <w:p>
      <w:pPr>
        <w:pStyle w:val="Normal"/>
      </w:pPr>
      <w:r>
        <w:t xml:space="preserve">d) El punto es siempre una ubicación física y no un rol — Se descarta por la clave; aplique el criterio de resolución común que se desarrolla después de esta lista.</w:t>
      </w:r>
    </w:p>
    <w:p>
      <w:pPr>
        <w:pStyle w:val="Normal"/>
      </w:pPr>
      <w:r>
        <w:t xml:space="preserve">Criterio de resolución: El punto es el lugar, posición o rol desde el que se mira y la vista es aquello observado. Por eso el editor ocupa el punto y el coloquialismo constituye la cosa vista; los rótulos no se invierten.</w:t>
      </w:r>
    </w:p>
    <w:p>
      <w:pPr>
        <w:pStyle w:val="Fuente"/>
      </w:pPr>
      <w:r>
        <w:t xml:space="preserve">Presentación de la unidad 2 (C-6), pág. 22 · Clase 7 · 00:58:26–01:00:26</w:t>
      </w:r>
    </w:p>
    <w:p>
      <w:pPr>
        <w:pStyle w:val="Heading3"/>
      </w:pPr>
      <w:bookmarkStart w:name="b_solucion_p1_incognita_reconocida" w:id="6064"/>
      <w:r>
        <w:t xml:space="preserve">Solución S1-57</w:t>
      </w:r>
      <w:bookmarkEnd w:id="6064"/>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d) Representarlo como referencia general pendiente y recopilar datos para ampliar el modelo</w:t>
            </w:r>
          </w:p>
        </w:tc>
      </w:tr>
    </w:tbl>
    <w:p>
      <w:pPr>
        <w:pStyle w:val="Normal"/>
      </w:pPr>
      <w:r>
        <w:t xml:space="preserve">a) Inventar sus valores para dar el modelo por terminado — Se descarta por la clave; aplique el criterio de resolución común que se desarrolla después de esta lista.</w:t>
      </w:r>
    </w:p>
    <w:p>
      <w:pPr>
        <w:pStyle w:val="Normal"/>
      </w:pPr>
      <w:r>
        <w:t xml:space="preserve">b) Ocultarlo hasta tener certeza completa — Se descarta por la clave; aplique el criterio de resolución común que se desarrolla después de esta lista.</w:t>
      </w:r>
    </w:p>
    <w:p>
      <w:pPr>
        <w:pStyle w:val="Normal"/>
      </w:pPr>
      <w:r>
        <w:t xml:space="preserve">c) Aplicar una fórmula cuantitativa de incertidumbre desarrollada en esa sesión — Se descarta por la clave; aplique el criterio de resolución común que se desarrolla después de esta lista.</w:t>
      </w:r>
    </w:p>
    <w:p>
      <w:pPr>
        <w:pStyle w:val="Normal"/>
      </w:pPr>
      <w:r>
        <w:t xml:space="preserve">d) Representarlo como referencia general pendiente y recopilar datos para ampliar el modelo — Se selecciona por la clave; aplique el criterio de resolución común que se desarrolla después de esta lista.</w:t>
      </w:r>
    </w:p>
    <w:p>
      <w:pPr>
        <w:pStyle w:val="Normal"/>
      </w:pPr>
      <w:r>
        <w:t xml:space="preserve">Criterio de resolución: Se reconoce una ausencia sin atribuirle detalles que no conocemos. La referencia general deja visible la incertidumbre; obtener datos reales y volver a aplicar las reglas amplía la representatividad. No se dictó allí un método cuantitativo.</w:t>
      </w:r>
    </w:p>
    <w:p>
      <w:pPr>
        <w:pStyle w:val="Fuente"/>
      </w:pPr>
      <w:r>
        <w:t xml:space="preserve">Clase 7 · 01:15:38–01:16:21</w:t>
      </w:r>
    </w:p>
    <w:p>
      <w:pPr>
        <w:pStyle w:val="Heading3"/>
      </w:pPr>
      <w:bookmarkStart w:name="b_solucion_u1_13_dsrp_emparejar" w:id="6065"/>
      <w:r>
        <w:t xml:space="preserve">Solución S1-58</w:t>
      </w:r>
      <w:bookmarkEnd w:id="6065"/>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Distinciones → ¿Qué es esto y qué no es?</w:t>
            </w:r>
          </w:p>
          <w:p>
            <w:pPr>
              <w:pStyle w:val="Recuadro"/>
            </w:pPr>
            <w:r>
              <w:t xml:space="preserve">Sistemas → ¿De qué partes consta y de qué totalidad forma parte?</w:t>
            </w:r>
          </w:p>
          <w:p>
            <w:pPr>
              <w:pStyle w:val="Recuadro"/>
            </w:pPr>
            <w:r>
              <w:t xml:space="preserve">Relaciones → ¿Qué se conecta con qué y en qué dirección?</w:t>
            </w:r>
          </w:p>
          <w:p>
            <w:pPr>
              <w:pStyle w:val="Recuadro"/>
            </w:pPr>
            <w:r>
              <w:t xml:space="preserve">Perspectivas → ¿Quién observa y desde dónde?</w:t>
            </w:r>
          </w:p>
        </w:tc>
      </w:tr>
    </w:tbl>
    <w:p>
      <w:pPr>
        <w:pStyle w:val="Normal"/>
      </w:pPr>
      <w:r>
        <w:t xml:space="preserve">Distractor sin fila correspondiente: ¿Cuánto mide y con qué unidad se expresa?.</w:t>
      </w:r>
    </w:p>
    <w:p>
      <w:pPr>
        <w:pStyle w:val="Normal"/>
      </w:pPr>
      <w:r>
        <w:t xml:space="preserve">Criterio de resolución: Las cuatro reglas son operaciones de observación, no etiquetas: distinguir, descomponer o agrupar, relacionar y cambiar de observador. La quinta opción no pertenece al método.</w:t>
      </w:r>
    </w:p>
    <w:p>
      <w:pPr>
        <w:pStyle w:val="Fuente"/>
      </w:pPr>
      <w:r>
        <w:t xml:space="preserve">Banco del portal; resolución editorial.</w:t>
      </w:r>
    </w:p>
    <w:p>
      <w:pPr>
        <w:pStyle w:val="Heading3"/>
      </w:pPr>
      <w:bookmarkStart w:name="b_solucion_u1_14_dsrp_emergente" w:id="6066"/>
      <w:r>
        <w:t xml:space="preserve">Solución S1-59</w:t>
      </w:r>
      <w:bookmarkEnd w:id="6066"/>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b) Que aparece al aplicar reiteradamente las cuatro operaciones, y no está en ninguna de ellas por separado</w:t>
            </w:r>
          </w:p>
        </w:tc>
      </w:tr>
    </w:tbl>
    <w:p>
      <w:pPr>
        <w:pStyle w:val="Normal"/>
      </w:pPr>
      <w:r>
        <w:t xml:space="preserve">a) Que basta con memorizar las cuatro reglas — Se descarta por la clave; aplique el criterio de resolución común que se desarrolla después de esta lista.</w:t>
      </w:r>
    </w:p>
    <w:p>
      <w:pPr>
        <w:pStyle w:val="Normal"/>
      </w:pPr>
      <w:r>
        <w:t xml:space="preserve">b) Que aparece al aplicar reiteradamente las cuatro operaciones, y no está en ninguna de ellas por separado — Se selecciona por la clave; aplique el criterio de resolución común que se desarrolla después de esta lista.</w:t>
      </w:r>
    </w:p>
    <w:p>
      <w:pPr>
        <w:pStyle w:val="Normal"/>
      </w:pPr>
      <w:r>
        <w:t xml:space="preserve">c) Que DSRP sustituye al pensamiento sistémico — Se descarta por la clave; aplique el criterio de resolución común que se desarrolla después de esta lista.</w:t>
      </w:r>
    </w:p>
    <w:p>
      <w:pPr>
        <w:pStyle w:val="Normal"/>
      </w:pPr>
      <w:r>
        <w:t xml:space="preserve">d) Que sólo emerge en sistemas naturales — Se descarta por la clave; aplique el criterio de resolución común que se desarrolla después de esta lista.</w:t>
      </w:r>
    </w:p>
    <w:p>
      <w:pPr>
        <w:pStyle w:val="Normal"/>
      </w:pPr>
      <w:r>
        <w:t xml:space="preserve">Criterio de resolución: Es la misma lógica de la emergencia: la capacidad pertenece al conjunto de las operaciones en interacción, no a cada regla aislada.</w:t>
      </w:r>
    </w:p>
    <w:p>
      <w:pPr>
        <w:pStyle w:val="Fuente"/>
      </w:pPr>
      <w:r>
        <w:t xml:space="preserve">Banco del portal; resolución editorial.</w:t>
      </w:r>
    </w:p>
    <w:p>
      <w:pPr>
        <w:pStyle w:val="Heading3"/>
      </w:pPr>
      <w:bookmarkStart w:name="b_solucion_cmp_15_iceberg_arrastrar" w:id="6067"/>
      <w:r>
        <w:t xml:space="preserve">Solución S1-60</w:t>
      </w:r>
      <w:bookmarkEnd w:id="6067"/>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Eventos: «Hoy falló la entrega del pedido»</w:t>
            </w:r>
          </w:p>
          <w:p>
            <w:pPr>
              <w:pStyle w:val="Recuadro"/>
            </w:pPr>
            <w:r>
              <w:t xml:space="preserve">Patrones y tendencias: «Falla cada fin de mes desde hace tres meses»; «Los reclamos suben siempre en la semana del cierre»</w:t>
            </w:r>
          </w:p>
          <w:p>
            <w:pPr>
              <w:pStyle w:val="Recuadro"/>
            </w:pPr>
            <w:r>
              <w:t xml:space="preserve">Estructuras sistémicas: «El cierre contable y el pico de pedidos caen en la misma semana y compiten por el mismo equipo»</w:t>
            </w:r>
          </w:p>
          <w:p>
            <w:pPr>
              <w:pStyle w:val="Recuadro"/>
            </w:pPr>
            <w:r>
              <w:t xml:space="preserve">Modelos mentales: «Pedir ayuda a otra área es reconocer que no damos la talla»</w:t>
            </w:r>
          </w:p>
        </w:tc>
      </w:tr>
    </w:tbl>
    <w:p>
      <w:pPr>
        <w:pStyle w:val="Normal"/>
      </w:pPr>
      <w:r>
        <w:t xml:space="preserve">Criterio de resolución: Un mismo problema se puede describir en los cuatro niveles. Cuanto más abajo se interviene, más caro cuesta y más duradero es el cambio: reponer el pedido resuelve hoy; cambiar la creencia resuelve el mes que viene.</w:t>
      </w:r>
    </w:p>
    <w:p>
      <w:pPr>
        <w:pStyle w:val="Fuente"/>
      </w:pPr>
      <w:r>
        <w:t xml:space="preserve">Banco del portal; resolución editorial.</w:t>
      </w:r>
    </w:p>
    <w:p>
      <w:pPr>
        <w:pStyle w:val="Heading3"/>
      </w:pPr>
      <w:bookmarkStart w:name="b_solucion_cmp_16_iceberg_linea_55672e8f" w:id="6068"/>
      <w:r>
        <w:t xml:space="preserve">Solución S1-61</w:t>
      </w:r>
      <w:bookmarkEnd w:id="6068"/>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b) Lo que se observa directamente de lo que hay que inferir a partir de varias observaciones</w:t>
            </w:r>
          </w:p>
        </w:tc>
      </w:tr>
    </w:tbl>
    <w:p>
      <w:pPr>
        <w:pStyle w:val="Normal"/>
      </w:pPr>
      <w:r>
        <w:t xml:space="preserve">a) Lo importante de lo accesorio — Se descarta por la clave; aplique el criterio de resolución común que se desarrolla después de esta lista.</w:t>
      </w:r>
    </w:p>
    <w:p>
      <w:pPr>
        <w:pStyle w:val="Normal"/>
      </w:pPr>
      <w:r>
        <w:t xml:space="preserve">b) Lo que se observa directamente de lo que hay que inferir a partir de varias observaciones — Se selecciona por la clave; aplique el criterio de resolución común que se desarrolla después de esta lista.</w:t>
      </w:r>
    </w:p>
    <w:p>
      <w:pPr>
        <w:pStyle w:val="Normal"/>
      </w:pPr>
      <w:r>
        <w:t xml:space="preserve">c) Lo urgente de lo que puede esperar — Se descarta por la clave; aplique el criterio de resolución común que se desarrolla después de esta lista.</w:t>
      </w:r>
    </w:p>
    <w:p>
      <w:pPr>
        <w:pStyle w:val="Normal"/>
      </w:pPr>
      <w:r>
        <w:t xml:space="preserve">d) Lo cuantitativo de lo cualitativo — Se descarta por la clave; aplique el criterio de resolución común que se desarrolla después de esta lista.</w:t>
      </w:r>
    </w:p>
    <w:p>
      <w:pPr>
        <w:pStyle w:val="Normal"/>
      </w:pPr>
      <w:r>
        <w:t xml:space="preserve">Criterio de resolución: Sobre la línea están los eventos, que se ven de una vez. Debajo hace falta comparar en el tiempo, reconstruir relaciones y preguntar por creencias: nada de eso se observa en un solo momento.</w:t>
      </w:r>
    </w:p>
    <w:p>
      <w:pPr>
        <w:pStyle w:val="Fuente"/>
      </w:pPr>
      <w:r>
        <w:t xml:space="preserve">Banco del portal; resolución editorial.</w:t>
      </w:r>
    </w:p>
    <w:p>
      <w:pPr>
        <w:pStyle w:val="Heading3"/>
      </w:pPr>
      <w:bookmarkStart w:name="b_solucion_p1_instrumento_nivel" w:id="6069"/>
      <w:r>
        <w:t xml:space="preserve">Solución S1-62</w:t>
      </w:r>
      <w:bookmarkEnd w:id="6069"/>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a) Eventos: cuantitativos; tendencias: mixtos; estructuras: cualitativos; modelos mentales: diálogo</w:t>
            </w:r>
          </w:p>
        </w:tc>
      </w:tr>
    </w:tbl>
    <w:p>
      <w:pPr>
        <w:pStyle w:val="Normal"/>
      </w:pPr>
      <w:r>
        <w:t xml:space="preserve">a) Eventos: cuantitativos; tendencias: mixtos; estructuras: cualitativos; modelos mentales: diálogo — Se selecciona por la clave; aplique el criterio de resolución común que se desarrolla después de esta lista.</w:t>
      </w:r>
    </w:p>
    <w:p>
      <w:pPr>
        <w:pStyle w:val="Normal"/>
      </w:pPr>
      <w:r>
        <w:t xml:space="preserve">b) Todos los niveles requieren sólo contar eventos — Se descarta por la clave; aplique el criterio de resolución común que se desarrolla después de esta lista.</w:t>
      </w:r>
    </w:p>
    <w:p>
      <w:pPr>
        <w:pStyle w:val="Normal"/>
      </w:pPr>
      <w:r>
        <w:t xml:space="preserve">c) Modelos mentales: termómetro; estructuras: sólo votación — Se descarta por la clave; aplique el criterio de resolución común que se desarrolla después de esta lista.</w:t>
      </w:r>
    </w:p>
    <w:p>
      <w:pPr>
        <w:pStyle w:val="Normal"/>
      </w:pPr>
      <w:r>
        <w:t xml:space="preserve">d) Eventos: únicamente creencias; tendencias: sin datos temporales — Se descarta por la clave; aplique el criterio de resolución común que se desarrolla después de esta lista.</w:t>
      </w:r>
    </w:p>
    <w:p>
      <w:pPr>
        <w:pStyle w:val="Normal"/>
      </w:pPr>
      <w:r>
        <w:t xml:space="preserve">Criterio de resolución: Cada nivel exige preguntas e instrumentos acordes. La tabla de la lámina tiene tres filas; el diálogo de modelos mentales es la cuarta fila, ampliada y rotulada desde la explicación de clase. Ningún nivel sustituye toda la investigación anterior.</w:t>
      </w:r>
    </w:p>
    <w:p>
      <w:pPr>
        <w:pStyle w:val="Fuente"/>
      </w:pPr>
      <w:r>
        <w:t xml:space="preserve">Presentación de la unidad 1 (C-5), pág. 39 · Clase 4 · 00:50:02–00:50:24</w:t>
      </w:r>
    </w:p>
    <w:p>
      <w:pPr>
        <w:pStyle w:val="Heading3"/>
      </w:pPr>
      <w:bookmarkStart w:name="b_solucion_u1_15_iceberg_orden" w:id="6070"/>
      <w:r>
        <w:t xml:space="preserve">Solución S1-63</w:t>
      </w:r>
      <w:bookmarkEnd w:id="6070"/>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1. Eventos</w:t>
            </w:r>
          </w:p>
          <w:p>
            <w:pPr>
              <w:pStyle w:val="Recuadro"/>
            </w:pPr>
            <w:r>
              <w:t xml:space="preserve">2. Patrones y tendencias</w:t>
            </w:r>
          </w:p>
          <w:p>
            <w:pPr>
              <w:pStyle w:val="Recuadro"/>
            </w:pPr>
            <w:r>
              <w:t xml:space="preserve">3. Estructuras sistémicas</w:t>
            </w:r>
          </w:p>
          <w:p>
            <w:pPr>
              <w:pStyle w:val="Recuadro"/>
            </w:pPr>
            <w:r>
              <w:t xml:space="preserve">4. Modelos mentales</w:t>
            </w:r>
          </w:p>
        </w:tc>
      </w:tr>
    </w:tbl>
    <w:p>
      <w:pPr>
        <w:pStyle w:val="Normal"/>
      </w:pPr>
      <w:r>
        <w:t xml:space="preserve">Criterio de resolución: Sobre la línea de flotación sólo se ven los eventos. Debajo están los patrones, la estructura que los produce y las creencias que sostienen esa estructura.</w:t>
      </w:r>
    </w:p>
    <w:p>
      <w:pPr>
        <w:pStyle w:val="Fuente"/>
      </w:pPr>
      <w:r>
        <w:t xml:space="preserve">Banco del portal; resolución editorial.</w:t>
      </w:r>
    </w:p>
    <w:p>
      <w:pPr>
        <w:pStyle w:val="Heading3"/>
      </w:pPr>
      <w:bookmarkStart w:name="b_solucion_u1_16_iceberg_posturas" w:id="6071"/>
      <w:r>
        <w:t xml:space="preserve">Solución S1-64</w:t>
      </w:r>
      <w:bookmarkEnd w:id="6071"/>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Eventos → Reaccionar</w:t>
            </w:r>
          </w:p>
          <w:p>
            <w:pPr>
              <w:pStyle w:val="Recuadro"/>
            </w:pPr>
            <w:r>
              <w:t xml:space="preserve">Patrones y tendencias → Anticipar</w:t>
            </w:r>
          </w:p>
          <w:p>
            <w:pPr>
              <w:pStyle w:val="Recuadro"/>
            </w:pPr>
            <w:r>
              <w:t xml:space="preserve">Estructuras sistémicas → Diseñar o rediseñar</w:t>
            </w:r>
          </w:p>
          <w:p>
            <w:pPr>
              <w:pStyle w:val="Recuadro"/>
            </w:pPr>
            <w:r>
              <w:t xml:space="preserve">Modelos mentales → Transformar</w:t>
            </w:r>
          </w:p>
        </w:tc>
      </w:tr>
    </w:tbl>
    <w:p>
      <w:pPr>
        <w:pStyle w:val="Normal"/>
      </w:pPr>
      <w:r>
        <w:t xml:space="preserve">Distractor sin fila correspondiente: Delegar.</w:t>
      </w:r>
    </w:p>
    <w:p>
      <w:pPr>
        <w:pStyle w:val="Normal"/>
      </w:pPr>
      <w:r>
        <w:t xml:space="preserve">Criterio de resolución: A mayor profundidad, mayor apalancamiento: reaccionar al evento cuesta poco y cambia poco; transformar el modelo mental cuesta mucho y cambia todo lo que hay encima.</w:t>
      </w:r>
    </w:p>
    <w:p>
      <w:pPr>
        <w:pStyle w:val="Fuente"/>
      </w:pPr>
      <w:r>
        <w:t xml:space="preserve">Banco del portal; resolución editorial.</w:t>
      </w:r>
    </w:p>
    <w:p>
      <w:pPr>
        <w:pStyle w:val="Heading3"/>
      </w:pPr>
      <w:bookmarkStart w:name="b_solucion_u1_17_apalancamiento" w:id="6072"/>
      <w:r>
        <w:t xml:space="preserve">Solución S1-65</w:t>
      </w:r>
      <w:bookmarkEnd w:id="6072"/>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b) Que se está interviniendo en el nivel de los eventos mientras la estructura que los produce sigue intacta</w:t>
            </w:r>
          </w:p>
        </w:tc>
      </w:tr>
    </w:tbl>
    <w:p>
      <w:pPr>
        <w:pStyle w:val="Normal"/>
      </w:pPr>
      <w:r>
        <w:t xml:space="preserve">a) Que el equipo es poco eficiente reaccionando — Se descarta por la clave; aplique el criterio de resolución común que se desarrolla después de esta lista.</w:t>
      </w:r>
    </w:p>
    <w:p>
      <w:pPr>
        <w:pStyle w:val="Normal"/>
      </w:pPr>
      <w:r>
        <w:t xml:space="preserve">b) Que se está interviniendo en el nivel de los eventos mientras la estructura que los produce sigue intacta — Se selecciona por la clave; aplique el criterio de resolución común que se desarrolla después de esta lista.</w:t>
      </w:r>
    </w:p>
    <w:p>
      <w:pPr>
        <w:pStyle w:val="Normal"/>
      </w:pPr>
      <w:r>
        <w:t xml:space="preserve">c) Que los modelos mentales son correctos — Se descarta por la clave; aplique el criterio de resolución común que se desarrolla después de esta lista.</w:t>
      </w:r>
    </w:p>
    <w:p>
      <w:pPr>
        <w:pStyle w:val="Normal"/>
      </w:pPr>
      <w:r>
        <w:t xml:space="preserve">d) Que hace falta más personal — Se descarta por la clave; aplique el criterio de resolución común que se desarrolla después de esta lista.</w:t>
      </w:r>
    </w:p>
    <w:p>
      <w:pPr>
        <w:pStyle w:val="Normal"/>
      </w:pPr>
      <w:r>
        <w:t xml:space="preserve">Criterio de resolución: La repetición es la señal de que hay un patrón, y el patrón remite a una estructura. Seguir en el nivel del evento garantiza volver a apagar el mismo incendio.</w:t>
      </w:r>
    </w:p>
    <w:p>
      <w:pPr>
        <w:pStyle w:val="Fuente"/>
      </w:pPr>
      <w:r>
        <w:t xml:space="preserve">Banco del portal; resolución editorial.</w:t>
      </w:r>
    </w:p>
    <w:p>
      <w:pPr>
        <w:pStyle w:val="Heading3"/>
      </w:pPr>
      <w:bookmarkStart w:name="b_solucion_cmp_17_habitos_emparejar" w:id="6073"/>
      <w:r>
        <w:t xml:space="preserve">Solución S1-66</w:t>
      </w:r>
      <w:bookmarkEnd w:id="6073"/>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Observa patrones en el tiempo → Mirar la serie completa en vez del último dato</w:t>
            </w:r>
          </w:p>
          <w:p>
            <w:pPr>
              <w:pStyle w:val="Recuadro"/>
            </w:pPr>
            <w:r>
              <w:t xml:space="preserve">Reconoce las demoras → Contar con que entre la acción y su efecto puede pasar bastante tiempo</w:t>
            </w:r>
          </w:p>
          <w:p>
            <w:pPr>
              <w:pStyle w:val="Recuadro"/>
            </w:pPr>
            <w:r>
              <w:t xml:space="preserve">Atiende las acumulaciones → Distinguir lo que se acumula de la velocidad a la que entra o sale</w:t>
            </w:r>
          </w:p>
        </w:tc>
      </w:tr>
    </w:tbl>
    <w:p>
      <w:pPr>
        <w:pStyle w:val="Normal"/>
      </w:pPr>
      <w:r>
        <w:t xml:space="preserve">Distractor sin fila correspondiente: Buscar el acuerdo del grupo antes de decidir.</w:t>
      </w:r>
    </w:p>
    <w:p>
      <w:pPr>
        <w:pStyle w:val="Normal"/>
      </w:pPr>
      <w:r>
        <w:t xml:space="preserve">Criterio de resolución: Los tres hábitos apuntan a errores distintos de lectura del tiempo. El distractor no es un hábito sistémico: es una regla de decisión de grupo.</w:t>
      </w:r>
    </w:p>
    <w:p>
      <w:pPr>
        <w:pStyle w:val="Fuente"/>
      </w:pPr>
      <w:r>
        <w:t xml:space="preserve">Banco del portal; resolución editorial.</w:t>
      </w:r>
    </w:p>
    <w:p>
      <w:pPr>
        <w:pStyle w:val="Heading3"/>
      </w:pPr>
      <w:bookmarkStart w:name="b_solucion_cmp_18_habito_consecuencias" w:id="6074"/>
      <w:r>
        <w:t xml:space="preserve">Solución S1-67</w:t>
      </w:r>
      <w:bookmarkEnd w:id="6074"/>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b) La pregunta por los efectos no buscados y por los que aparecen más tarde o en otra parte del sistema</w:t>
            </w:r>
          </w:p>
        </w:tc>
      </w:tr>
    </w:tbl>
    <w:p>
      <w:pPr>
        <w:pStyle w:val="Normal"/>
      </w:pPr>
      <w:r>
        <w:t xml:space="preserve">a) Un cálculo de costo — Se descarta por la clave; aplique el criterio de resolución común que se desarrolla después de esta lista.</w:t>
      </w:r>
    </w:p>
    <w:p>
      <w:pPr>
        <w:pStyle w:val="Normal"/>
      </w:pPr>
      <w:r>
        <w:t xml:space="preserve">b) La pregunta por los efectos no buscados y por los que aparecen más tarde o en otra parte del sistema — Se selecciona por la clave; aplique el criterio de resolución común que se desarrolla después de esta lista.</w:t>
      </w:r>
    </w:p>
    <w:p>
      <w:pPr>
        <w:pStyle w:val="Normal"/>
      </w:pPr>
      <w:r>
        <w:t xml:space="preserve">c) La aprobación de un superior — Se descarta por la clave; aplique el criterio de resolución común que se desarrolla después de esta lista.</w:t>
      </w:r>
    </w:p>
    <w:p>
      <w:pPr>
        <w:pStyle w:val="Normal"/>
      </w:pPr>
      <w:r>
        <w:t xml:space="preserve">d) Un plan de comunicación — Se descarta por la clave; aplique el criterio de resolución común que se desarrolla después de esta lista.</w:t>
      </w:r>
    </w:p>
    <w:p>
      <w:pPr>
        <w:pStyle w:val="Normal"/>
      </w:pPr>
      <w:r>
        <w:t xml:space="preserve">Criterio de resolución: Una decisión puede ser correcta en su ámbito y producir un efecto no deseado en otro, o llegar con demora. El hábito obliga a mirar más allá del efecto inmediato y local.</w:t>
      </w:r>
    </w:p>
    <w:p>
      <w:pPr>
        <w:pStyle w:val="Fuente"/>
      </w:pPr>
      <w:r>
        <w:t xml:space="preserve">Banco del portal; resolución editorial.</w:t>
      </w:r>
    </w:p>
    <w:p>
      <w:pPr>
        <w:pStyle w:val="Heading3"/>
      </w:pPr>
      <w:bookmarkStart w:name="b_solucion_p1_cuatro_habitos" w:id="6075"/>
      <w:r>
        <w:t xml:space="preserve">Solución S1-68</w:t>
      </w:r>
      <w:bookmarkEnd w:id="6075"/>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b) Modelos mentales, probar supuestos, cambiar perspectivas y película completa</w:t>
            </w:r>
          </w:p>
        </w:tc>
      </w:tr>
    </w:tbl>
    <w:p>
      <w:pPr>
        <w:pStyle w:val="Normal"/>
      </w:pPr>
      <w:r>
        <w:t xml:space="preserve">a) Conexiones, demoras, acumulaciones y realimentación como único núcleo — Se descarta por la clave; aplique el criterio de resolución común que se desarrolla después de esta lista.</w:t>
      </w:r>
    </w:p>
    <w:p>
      <w:pPr>
        <w:pStyle w:val="Normal"/>
      </w:pPr>
      <w:r>
        <w:t xml:space="preserve">b) Modelos mentales, probar supuestos, cambiar perspectivas y película completa — Se selecciona por la clave; aplique el criterio de resolución común que se desarrolla después de esta lista.</w:t>
      </w:r>
    </w:p>
    <w:p>
      <w:pPr>
        <w:pStyle w:val="Normal"/>
      </w:pPr>
      <w:r>
        <w:t xml:space="preserve">c) Quince hábitos, contando la introducción como uno más — Se descarta por la clave; aplique el criterio de resolución común que se desarrolla después de esta lista.</w:t>
      </w:r>
    </w:p>
    <w:p>
      <w:pPr>
        <w:pStyle w:val="Normal"/>
      </w:pPr>
      <w:r>
        <w:t xml:space="preserve">d) Sólo modelos mentales, perspectivas y conexiones — Se descarta por la clave; aplique el criterio de resolución común que se desarrolla después de esta lista.</w:t>
      </w:r>
    </w:p>
    <w:p>
      <w:pPr>
        <w:pStyle w:val="Normal"/>
      </w:pPr>
      <w:r>
        <w:t xml:space="preserve">Criterio de resolución: La selección del curso contiene cuatro hábitos relacionados con modelos mentales. Conexiones pertenece al catálogo general y puede servir como ampliación, pero no reemplaza probar supuestos ni película completa en ese núcleo.</w:t>
      </w:r>
    </w:p>
    <w:p>
      <w:pPr>
        <w:pStyle w:val="Fuente"/>
      </w:pPr>
      <w:r>
        <w:t xml:space="preserve">Presentación de la unidad 1 (C-5), pág. 23, 31, 32 y 61 · Clase 3 · 01:02:32–01:06:19</w:t>
      </w:r>
    </w:p>
    <w:p>
      <w:pPr>
        <w:pStyle w:val="Heading3"/>
      </w:pPr>
      <w:bookmarkStart w:name="b_solucion_p1_facilitar_modelos" w:id="6076"/>
      <w:r>
        <w:t xml:space="preserve">Solución S1-69</w:t>
      </w:r>
      <w:bookmarkEnd w:id="6076"/>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c) ¿Qué dato observaste, qué supusiste y cómo orientó eso tu decisión y sus resultados?</w:t>
            </w:r>
          </w:p>
        </w:tc>
      </w:tr>
    </w:tbl>
    <w:p>
      <w:pPr>
        <w:pStyle w:val="Normal"/>
      </w:pPr>
      <w:r>
        <w:t xml:space="preserve">a) ¿Por qué no aceptas que yo ya conozco tu verdadero motivo? — Se descarta por la clave; aplique el criterio de resolución común que se desarrolla después de esta lista.</w:t>
      </w:r>
    </w:p>
    <w:p>
      <w:pPr>
        <w:pStyle w:val="Normal"/>
      </w:pPr>
      <w:r>
        <w:t xml:space="preserve">b) ¿Puedes repetir mi conclusión sin cuestionarla? — Se descarta por la clave; aplique el criterio de resolución común que se desarrolla después de esta lista.</w:t>
      </w:r>
    </w:p>
    <w:p>
      <w:pPr>
        <w:pStyle w:val="Normal"/>
      </w:pPr>
      <w:r>
        <w:t xml:space="preserve">c) ¿Qué dato observaste, qué supusiste y cómo orientó eso tu decisión y sus resultados? — Se selecciona por la clave; aplique el criterio de resolución común que se desarrolla después de esta lista.</w:t>
      </w:r>
    </w:p>
    <w:p>
      <w:pPr>
        <w:pStyle w:val="Normal"/>
      </w:pPr>
      <w:r>
        <w:t xml:space="preserve">d) ¿Qué etiqueta de personalidad explica todo lo que haces? — Se descarta por la clave; aplique el criterio de resolución común que se desarrolla después de esta lista.</w:t>
      </w:r>
    </w:p>
    <w:p>
      <w:pPr>
        <w:pStyle w:val="Normal"/>
      </w:pPr>
      <w:r>
        <w:t xml:space="preserve">Criterio de resolución: Reconstruir juntos datos, supuestos y decisión permite que la persona advierta la influencia de su modelo y contraste sus efectos. Imponerle una interpretación externa puede repetir el mismo salto inferencial que se intenta revisar.</w:t>
      </w:r>
    </w:p>
    <w:p>
      <w:pPr>
        <w:pStyle w:val="Fuente"/>
      </w:pPr>
      <w:r>
        <w:t xml:space="preserve">Presentación de la unidad 1 (C-5), pág. 34 y 61</w:t>
      </w:r>
    </w:p>
    <w:p>
      <w:pPr>
        <w:pStyle w:val="Heading3"/>
      </w:pPr>
      <w:bookmarkStart w:name="b_solucion_p1_michael_patron" w:id="6077"/>
      <w:r>
        <w:t xml:space="preserve">Solución S1-70</w:t>
      </w:r>
      <w:bookmarkEnd w:id="6077"/>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d) Comparte la queja e investiga si es un episodio o un patrón durante el período de trabajo</w:t>
            </w:r>
          </w:p>
        </w:tc>
      </w:tr>
    </w:tbl>
    <w:p>
      <w:pPr>
        <w:pStyle w:val="Normal"/>
      </w:pPr>
      <w:r>
        <w:t xml:space="preserve">a) Lo sanciona inmediatamente para mostrar autoridad — Se descarta por la clave; aplique el criterio de resolución común que se desarrolla después de esta lista.</w:t>
      </w:r>
    </w:p>
    <w:p>
      <w:pPr>
        <w:pStyle w:val="Normal"/>
      </w:pPr>
      <w:r>
        <w:t xml:space="preserve">b) Ignora toda crítica porque es una sola opinión — Se descarta por la clave; aplique el criterio de resolución común que se desarrolla después de esta lista.</w:t>
      </w:r>
    </w:p>
    <w:p>
      <w:pPr>
        <w:pStyle w:val="Normal"/>
      </w:pPr>
      <w:r>
        <w:t xml:space="preserve">c) Concluye que tres meses de antigüedad prueban que nunca falla — Se descarta por la clave; aplique el criterio de resolución común que se desarrolla después de esta lista.</w:t>
      </w:r>
    </w:p>
    <w:p>
      <w:pPr>
        <w:pStyle w:val="Normal"/>
      </w:pPr>
      <w:r>
        <w:t xml:space="preserve">d) Comparte la queja e investiga si es un episodio o un patrón durante el período de trabajo — Se selecciona por la clave; aplique el criterio de resolución común que se desarrolla después de esta lista.</w:t>
      </w:r>
    </w:p>
    <w:p>
      <w:pPr>
        <w:pStyle w:val="Normal"/>
      </w:pPr>
      <w:r>
        <w:t xml:space="preserve">Criterio de resolución: El caso distingue reacción a un evento de investigación de un patrón. Michael amplía el horizonte temporal y conversa antes de concluir; la antigüedad ofrece datos que examinar, no una prueba automática de competencia.</w:t>
      </w:r>
    </w:p>
    <w:p>
      <w:pPr>
        <w:pStyle w:val="Fuente"/>
      </w:pPr>
      <w:r>
        <w:t xml:space="preserve">Presentación de la unidad 1 (C-5), pág. 58 · Clase 5 · 01:21:35–01:23:13</w:t>
      </w:r>
    </w:p>
    <w:p>
      <w:pPr>
        <w:pStyle w:val="Heading3"/>
      </w:pPr>
      <w:bookmarkStart w:name="b_solucion_u1_18_habitos_modelo_3ec7cabf" w:id="6078"/>
      <w:r>
        <w:t xml:space="preserve">Solución S1-71</w:t>
      </w:r>
      <w:bookmarkEnd w:id="6078"/>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a) Considera los modelos mentales</w:t>
            </w:r>
          </w:p>
          <w:p>
            <w:pPr>
              <w:pStyle w:val="Recuadro"/>
            </w:pPr>
            <w:r>
              <w:t xml:space="preserve">b) Revela y prueba supuestos</w:t>
            </w:r>
          </w:p>
          <w:p>
            <w:pPr>
              <w:pStyle w:val="Recuadro"/>
            </w:pPr>
            <w:r>
              <w:t xml:space="preserve">d) Cambia de perspectivas</w:t>
            </w:r>
          </w:p>
        </w:tc>
      </w:tr>
    </w:tbl>
    <w:p>
      <w:pPr>
        <w:pStyle w:val="Normal"/>
      </w:pPr>
      <w:r>
        <w:t xml:space="preserve">a) Considera los modelos mentales — Se selecciona por la clave; aplique el criterio de resolución común que se desarrolla después de esta lista.</w:t>
      </w:r>
    </w:p>
    <w:p>
      <w:pPr>
        <w:pStyle w:val="Normal"/>
      </w:pPr>
      <w:r>
        <w:t xml:space="preserve">b) Revela y prueba supuestos — Se selecciona por la clave; aplique el criterio de resolución común que se desarrolla después de esta lista.</w:t>
      </w:r>
    </w:p>
    <w:p>
      <w:pPr>
        <w:pStyle w:val="Normal"/>
      </w:pPr>
      <w:r>
        <w:t xml:space="preserve">c) Reconoce las demoras — Se descarta por la clave; aplique el criterio de resolución común que se desarrolla después de esta lista.</w:t>
      </w:r>
    </w:p>
    <w:p>
      <w:pPr>
        <w:pStyle w:val="Normal"/>
      </w:pPr>
      <w:r>
        <w:t xml:space="preserve">d) Cambia de perspectivas — Se selecciona por la clave; aplique el criterio de resolución común que se desarrolla después de esta lista.</w:t>
      </w:r>
    </w:p>
    <w:p>
      <w:pPr>
        <w:pStyle w:val="Normal"/>
      </w:pPr>
      <w:r>
        <w:t xml:space="preserve">Criterio de resolución: Considerar los modelos mentales, revelar y probar supuestos y cambiar de perspectivas actúan sobre cómo se piensa. Reconocer las demoras es un hábito sobre la dinámica del sistema, no sobre el modelo del observador.</w:t>
      </w:r>
    </w:p>
    <w:p>
      <w:pPr>
        <w:pStyle w:val="Fuente"/>
      </w:pPr>
      <w:r>
        <w:t xml:space="preserve">Banco del portal; resolución editorial.</w:t>
      </w:r>
    </w:p>
    <w:p>
      <w:pPr>
        <w:pStyle w:val="Heading3"/>
      </w:pPr>
      <w:bookmarkStart w:name="b_solucion_u1_19_habito_estructura" w:id="6079"/>
      <w:r>
        <w:t xml:space="preserve">Solución S1-72</w:t>
      </w:r>
      <w:bookmarkEnd w:id="6079"/>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b) Buscar qué disposición de elementos y relaciones hace probable ese comportamiento</w:t>
            </w:r>
          </w:p>
        </w:tc>
      </w:tr>
    </w:tbl>
    <w:p>
      <w:pPr>
        <w:pStyle w:val="Normal"/>
      </w:pPr>
      <w:r>
        <w:t xml:space="preserve">a) Identificar quién se equivocó — Se descarta por la clave; aplique el criterio de resolución común que se desarrolla después de esta lista.</w:t>
      </w:r>
    </w:p>
    <w:p>
      <w:pPr>
        <w:pStyle w:val="Normal"/>
      </w:pPr>
      <w:r>
        <w:t xml:space="preserve">b) Buscar qué disposición de elementos y relaciones hace probable ese comportamiento — Se selecciona por la clave; aplique el criterio de resolución común que se desarrolla después de esta lista.</w:t>
      </w:r>
    </w:p>
    <w:p>
      <w:pPr>
        <w:pStyle w:val="Normal"/>
      </w:pPr>
      <w:r>
        <w:t xml:space="preserve">c) Esperar a que el patrón se repita más veces — Se descarta por la clave; aplique el criterio de resolución común que se desarrolla después de esta lista.</w:t>
      </w:r>
    </w:p>
    <w:p>
      <w:pPr>
        <w:pStyle w:val="Normal"/>
      </w:pPr>
      <w:r>
        <w:t xml:space="preserve">d) Aumentar la supervisión — Se descarta por la clave; aplique el criterio de resolución común que se desarrolla después de esta lista.</w:t>
      </w:r>
    </w:p>
    <w:p>
      <w:pPr>
        <w:pStyle w:val="Normal"/>
      </w:pPr>
      <w:r>
        <w:t xml:space="preserve">Criterio de resolución: El hábito desplaza la pregunta de «quién» a «qué disposición». Si la estructura no cambia, el comportamiento vuelve aunque cambien las personas.</w:t>
      </w:r>
    </w:p>
    <w:p>
      <w:pPr>
        <w:pStyle w:val="Fuente"/>
      </w:pPr>
      <w:r>
        <w:t xml:space="preserve">Banco del portal; resolución editorial.</w:t>
      </w:r>
    </w:p>
    <w:p>
      <w:pPr>
        <w:pStyle w:val="Heading3"/>
      </w:pPr>
      <w:bookmarkStart w:name="b_solucion_u1_20_habito_apalancamiento" w:id="6080"/>
      <w:r>
        <w:t xml:space="preserve">Solución S1-73</w:t>
      </w:r>
      <w:bookmarkEnd w:id="6080"/>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b) El punto donde un cambio pequeño produce un efecto grande y duradero</w:t>
            </w:r>
          </w:p>
        </w:tc>
      </w:tr>
    </w:tbl>
    <w:p>
      <w:pPr>
        <w:pStyle w:val="Normal"/>
      </w:pPr>
      <w:r>
        <w:t xml:space="preserve">a) La intervención más rápida de ejecutar — Se descarta por la clave; aplique el criterio de resolución común que se desarrolla después de esta lista.</w:t>
      </w:r>
    </w:p>
    <w:p>
      <w:pPr>
        <w:pStyle w:val="Normal"/>
      </w:pPr>
      <w:r>
        <w:t xml:space="preserve">b) El punto donde un cambio pequeño produce un efecto grande y duradero — Se selecciona por la clave; aplique el criterio de resolución común que se desarrolla después de esta lista.</w:t>
      </w:r>
    </w:p>
    <w:p>
      <w:pPr>
        <w:pStyle w:val="Normal"/>
      </w:pPr>
      <w:r>
        <w:t xml:space="preserve">c) La solución que menos resistencia genera — Se descarta por la clave; aplique el criterio de resolución común que se desarrolla después de esta lista.</w:t>
      </w:r>
    </w:p>
    <w:p>
      <w:pPr>
        <w:pStyle w:val="Normal"/>
      </w:pPr>
      <w:r>
        <w:t xml:space="preserve">d) El área con más presupuesto — Se descarta por la clave; aplique el criterio de resolución común que se desarrolla después de esta lista.</w:t>
      </w:r>
    </w:p>
    <w:p>
      <w:pPr>
        <w:pStyle w:val="Normal"/>
      </w:pPr>
      <w:r>
        <w:t xml:space="preserve">Criterio de resolución: Apalancamiento no es facilidad ni velocidad: es dónde poner la fuerza para que el sistema se mueva. Suele estar en los niveles profundos del iceberg, que son los más costosos de tocar.</w:t>
      </w:r>
    </w:p>
    <w:p>
      <w:pPr>
        <w:pStyle w:val="Fuente"/>
      </w:pPr>
      <w:r>
        <w:t xml:space="preserve">Banco del portal; resolución editorial.</w:t>
      </w:r>
    </w:p>
    <w:p>
      <w:pPr>
        <w:pStyle w:val="Heading3"/>
      </w:pPr>
      <w:bookmarkStart w:name="b_solucion_ec2_09_pensamiento_sistemico" w:id="6081"/>
      <w:r>
        <w:t xml:space="preserve">Solución S1-74</w:t>
      </w:r>
      <w:bookmarkEnd w:id="6081"/>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c) Percepción del mundo real en términos de totalidades para observarlas, comprenderlas y accionarlas (o actuar en ellas).</w:t>
            </w:r>
          </w:p>
        </w:tc>
      </w:tr>
    </w:tbl>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Retroalimentación oficial de la plataforma</w:t>
            </w:r>
          </w:p>
          <w:p>
            <w:pPr>
              <w:pStyle w:val="Recuadro"/>
            </w:pPr>
            <w:r>
              <w:t xml:space="preserve">Su respuesta es incorrecta. La respuesta correcta es: Percepción del mundo real en términos de totalidades para observarlas, comprenderlas y accionarlas (o actuar en ellas).</w:t>
            </w:r>
          </w:p>
        </w:tc>
      </w:tr>
    </w:tbl>
    <w:p>
      <w:pPr>
        <w:pStyle w:val="Normal"/>
      </w:pPr>
      <w:r>
        <w:t xml:space="preserve">a) Percepción del mundo real en términos de relaciones para observarlas, comprenderlas y accionarlas (o actuar en ellas). — Las relaciones son parte del método, pero la palabra que el curso pide es otra.</w:t>
      </w:r>
    </w:p>
    <w:p>
      <w:pPr>
        <w:pStyle w:val="Normal"/>
      </w:pPr>
      <w:r>
        <w:t xml:space="preserve">b) Percepción del mundo real en términos de partes independientes para observarlas, comprenderlas y accionarlas (o actuar en ellas). — Justo lo contrario: las partes independientes son el enfoque reduccionista.</w:t>
      </w:r>
    </w:p>
    <w:p>
      <w:pPr>
        <w:pStyle w:val="Normal"/>
      </w:pPr>
      <w:r>
        <w:t xml:space="preserve">c) Percepción del mundo real en términos de totalidades para observarlas, comprenderlas y accionarlas (o actuar en ellas). — Correcta: la palabra decisiva es «totalidades».</w:t>
      </w:r>
    </w:p>
    <w:p>
      <w:pPr>
        <w:pStyle w:val="Normal"/>
      </w:pPr>
      <w:r>
        <w:t xml:space="preserve">d) Percepción del mundo real en términos de perspectivas para observarlas, comprenderlas y accionarlas (o actuar en ellas). — Las perspectivas son la P de DSRP, una operación dentro del método.</w:t>
      </w:r>
    </w:p>
    <w:p>
      <w:pPr>
        <w:pStyle w:val="Normal"/>
      </w:pPr>
      <w:r>
        <w:t xml:space="preserve">e) Percepción del mundo real en términos del análisis de las situaciones para observarlas, comprenderlas y accionarlas (o actuar en ellas). — El análisis es una de las dos operaciones; el pensamiento sistémico no se reduce a él.</w:t>
      </w:r>
    </w:p>
    <w:p>
      <w:pPr>
        <w:pStyle w:val="Normal"/>
      </w:pPr>
      <w:r>
        <w:t xml:space="preserve">Criterio de resolución: Las cinco opciones comparten la misma estructura y sólo cambian en una palabra: la que el curso da por buena es </w:t>
      </w:r>
      <w:r>
        <w:rPr>
          <w:b/>
          <w:bCs/>
        </w:rPr>
        <w:t xml:space="preserve">totalidades</w:t>
      </w:r>
      <w:r>
        <w:t xml:space="preserve">. Relaciones, perspectivas y análisis son verdaderas del pensamiento sistémico, pero no son la definición que se pide.</w:t>
      </w:r>
    </w:p>
    <w:p>
      <w:pPr>
        <w:pStyle w:val="Fuente"/>
      </w:pPr>
      <w:r>
        <w:t xml:space="preserve">Banco del portal; resolución editorial.</w:t>
      </w:r>
    </w:p>
    <w:p>
      <w:pPr>
        <w:pStyle w:val="Heading3"/>
      </w:pPr>
      <w:bookmarkStart w:name="b_solucion_p1_anomalia_profesional" w:id="6082"/>
      <w:r>
        <w:t xml:space="preserve">Solución S1-75</w:t>
      </w:r>
      <w:bookmarkEnd w:id="6082"/>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b) Como anomalía del funcionamiento ligada a interacciones entre elementos</w:t>
            </w:r>
          </w:p>
        </w:tc>
      </w:tr>
    </w:tbl>
    <w:p>
      <w:pPr>
        <w:pStyle w:val="Normal"/>
      </w:pPr>
      <w:r>
        <w:t xml:space="preserve">a) Como defecto personal que explica todo sin estudiar relaciones — Se descarta por la clave; aplique el criterio de resolución común que se desarrolla después de esta lista.</w:t>
      </w:r>
    </w:p>
    <w:p>
      <w:pPr>
        <w:pStyle w:val="Normal"/>
      </w:pPr>
      <w:r>
        <w:t xml:space="preserve">b) Como anomalía del funcionamiento ligada a interacciones entre elementos — Se selecciona por la clave; aplique el criterio de resolución común que se desarrolla después de esta lista.</w:t>
      </w:r>
    </w:p>
    <w:p>
      <w:pPr>
        <w:pStyle w:val="Normal"/>
      </w:pPr>
      <w:r>
        <w:t xml:space="preserve">c) Como cualquier diferencia de opinión sin referente de funcionamiento — Se descarta por la clave; aplique el criterio de resolución común que se desarrolla después de esta lista.</w:t>
      </w:r>
    </w:p>
    <w:p>
      <w:pPr>
        <w:pStyle w:val="Normal"/>
      </w:pPr>
      <w:r>
        <w:t xml:space="preserve">d) Como una lista de piezas sin comparación entre lo esperado y lo observado — Se descarta por la clave; aplique el criterio de resolución común que se desarrolla después de esta lista.</w:t>
      </w:r>
    </w:p>
    <w:p>
      <w:pPr>
        <w:pStyle w:val="Normal"/>
      </w:pPr>
      <w:r>
        <w:t xml:space="preserve">Criterio de resolución: Describir la anomalía exige declarar qué funcionamiento se esperaba, qué ocurre y qué interacciones contribuyen. Así el problema orienta la indagación y evita que culpar a una parte sustituya la explicación.</w:t>
      </w:r>
    </w:p>
    <w:p>
      <w:pPr>
        <w:pStyle w:val="Fuente"/>
      </w:pPr>
      <w:r>
        <w:t xml:space="preserve">Presentación de la unidad 2 (C-6), pág. 27</w:t>
      </w:r>
    </w:p>
    <w:p>
      <w:pPr>
        <w:pStyle w:val="Heading3"/>
      </w:pPr>
      <w:bookmarkStart w:name="b_solucion_p1_holismo_holos" w:id="6083"/>
      <w:r>
        <w:t xml:space="preserve">Solución S1-76</w:t>
      </w:r>
      <w:bookmarkEnd w:id="6083"/>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a) Entero; base filosófica para percibir totalidades con partes, relaciones y entorno</w:t>
            </w:r>
          </w:p>
        </w:tc>
      </w:tr>
    </w:tbl>
    <w:p>
      <w:pPr>
        <w:pStyle w:val="Normal"/>
      </w:pPr>
      <w:r>
        <w:t xml:space="preserve">a) Entero; base filosófica para percibir totalidades con partes, relaciones y entorno — Se selecciona por la clave; aplique el criterio de resolución común que se desarrolla después de esta lista.</w:t>
      </w:r>
    </w:p>
    <w:p>
      <w:pPr>
        <w:pStyle w:val="Normal"/>
      </w:pPr>
      <w:r>
        <w:t xml:space="preserve">b) Pequeño; obligación de estudiar sólo componentes — Se descarta por la clave; aplique el criterio de resolución común que se desarrolla después de esta lista.</w:t>
      </w:r>
    </w:p>
    <w:p>
      <w:pPr>
        <w:pStyle w:val="Normal"/>
      </w:pPr>
      <w:r>
        <w:t xml:space="preserve">c) Idéntico; demostración de que todos los modelos son iguales — Se descarta por la clave; aplique el criterio de resolución común que se desarrolla después de esta lista.</w:t>
      </w:r>
    </w:p>
    <w:p>
      <w:pPr>
        <w:pStyle w:val="Normal"/>
      </w:pPr>
      <w:r>
        <w:t xml:space="preserve">d) Aislado; rechazo de cualquier relación con el entorno — Se descarta por la clave; aplique el criterio de resolución común que se desarrolla después de esta lista.</w:t>
      </w:r>
    </w:p>
    <w:p>
      <w:pPr>
        <w:pStyle w:val="Normal"/>
      </w:pPr>
      <w:r>
        <w:t xml:space="preserve">Criterio de resolución: La página 17 relaciona holismo con holos, entero. El enfoque integra la totalidad y sus relaciones con el entorno; no consiste en acumular piezas desconectadas ni en prescindir de su análisis.</w:t>
      </w:r>
    </w:p>
    <w:p>
      <w:pPr>
        <w:pStyle w:val="Fuente"/>
      </w:pPr>
      <w:r>
        <w:t xml:space="preserve">Presentación de la unidad 2 (C-6), pág. 17</w:t>
      </w:r>
    </w:p>
    <w:p>
      <w:pPr>
        <w:pStyle w:val="Heading3"/>
      </w:pPr>
      <w:bookmarkStart w:name="b_solucion_p1_procedimiento_profesional" w:id="6084"/>
      <w:r>
        <w:t xml:space="preserve">Solución S1-77</w:t>
      </w:r>
      <w:bookmarkEnd w:id="6084"/>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c) Definir la anomalía, formular una solución con marco teórico y resolver pensando en sistemas</w:t>
            </w:r>
          </w:p>
        </w:tc>
      </w:tr>
    </w:tbl>
    <w:p>
      <w:pPr>
        <w:pStyle w:val="Normal"/>
      </w:pPr>
      <w:r>
        <w:t xml:space="preserve">a) Comprar una solución, buscar culpables y definir el problema al final — Se descarta por la clave; aplique el criterio de resolución común que se desarrolla después de esta lista.</w:t>
      </w:r>
    </w:p>
    <w:p>
      <w:pPr>
        <w:pStyle w:val="Normal"/>
      </w:pPr>
      <w:r>
        <w:t xml:space="preserve">b) Nombrar un sistema y omitir el contraste con su funcionamiento — Se descarta por la clave; aplique el criterio de resolución común que se desarrolla después de esta lista.</w:t>
      </w:r>
    </w:p>
    <w:p>
      <w:pPr>
        <w:pStyle w:val="Normal"/>
      </w:pPr>
      <w:r>
        <w:t xml:space="preserve">c) Definir la anomalía, formular una solución con marco teórico y resolver pensando en sistemas — Se selecciona por la clave; aplique el criterio de resolución común que se desarrolla después de esta lista.</w:t>
      </w:r>
    </w:p>
    <w:p>
      <w:pPr>
        <w:pStyle w:val="Normal"/>
      </w:pPr>
      <w:r>
        <w:t xml:space="preserve">d) Elegir una parte al azar y suponer que cambiarla arregla todo — Se descarta por la clave; aplique el criterio de resolución común que se desarrolla después de esta lista.</w:t>
      </w:r>
    </w:p>
    <w:p>
      <w:pPr>
        <w:pStyle w:val="Normal"/>
      </w:pPr>
      <w:r>
        <w:t xml:space="preserve">Criterio de resolución: Primero se identifica y define el problema; luego se propone una solución fundada en un marco teórico y se resuelve con mirada sistémica durante el proceso. La teoría hace explícitas las relaciones que se pretende modificar.</w:t>
      </w:r>
    </w:p>
    <w:p>
      <w:pPr>
        <w:pStyle w:val="Fuente"/>
      </w:pPr>
      <w:r>
        <w:t xml:space="preserve">Presentación de la unidad 2 (C-6), pág. 27</w:t>
      </w:r>
    </w:p>
    <w:p>
      <w:pPr>
        <w:pStyle w:val="Heading3"/>
      </w:pPr>
      <w:bookmarkStart w:name="b_solucion_u2a_01_totalidades" w:id="6085"/>
      <w:r>
        <w:t xml:space="preserve">Solución S1-78</w:t>
      </w:r>
      <w:bookmarkEnd w:id="6085"/>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b) Percepción del mundo real en términos de totalidades</w:t>
            </w:r>
          </w:p>
        </w:tc>
      </w:tr>
    </w:tbl>
    <w:p>
      <w:pPr>
        <w:pStyle w:val="Normal"/>
      </w:pPr>
      <w:r>
        <w:t xml:space="preserve">a) Percepción del mundo real en términos de partes independientes — Se descarta por la clave; aplique el criterio de resolución común que se desarrolla después de esta lista.</w:t>
      </w:r>
    </w:p>
    <w:p>
      <w:pPr>
        <w:pStyle w:val="Normal"/>
      </w:pPr>
      <w:r>
        <w:t xml:space="preserve">b) Percepción del mundo real en términos de totalidades — Se selecciona por la clave; aplique el criterio de resolución común que se desarrolla después de esta lista.</w:t>
      </w:r>
    </w:p>
    <w:p>
      <w:pPr>
        <w:pStyle w:val="Normal"/>
      </w:pPr>
      <w:r>
        <w:t xml:space="preserve">c) Percepción del mundo real en términos de mediciones — Se descarta por la clave; aplique el criterio de resolución común que se desarrolla después de esta lista.</w:t>
      </w:r>
    </w:p>
    <w:p>
      <w:pPr>
        <w:pStyle w:val="Normal"/>
      </w:pPr>
      <w:r>
        <w:t xml:space="preserve">d) Percepción del mundo real en términos de causas únicas — Se descarta por la clave; aplique el criterio de resolución común que se desarrolla después de esta lista.</w:t>
      </w:r>
    </w:p>
    <w:p>
      <w:pPr>
        <w:pStyle w:val="Normal"/>
      </w:pPr>
      <w:r>
        <w:t xml:space="preserve">Criterio de resolución: La palabra es «totalidades». Otras formulaciones del portal —propiedad emergente de DSRP, o paradigma que genera una perspectiva holística— también son válidas, pero la que el curso pide en esta definición es esa.</w:t>
      </w:r>
    </w:p>
    <w:p>
      <w:pPr>
        <w:pStyle w:val="Fuente"/>
      </w:pPr>
      <w:r>
        <w:t xml:space="preserve">Banco del portal; resolución editorial.</w:t>
      </w:r>
    </w:p>
    <w:p>
      <w:pPr>
        <w:pStyle w:val="Heading3"/>
      </w:pPr>
      <w:bookmarkStart w:name="b_solucion_u2a_02_holismo_no_es_vaguedad" w:id="6086"/>
      <w:r>
        <w:t xml:space="preserve">Solución S1-79</w:t>
      </w:r>
      <w:bookmarkEnd w:id="6086"/>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b) Porque comprender el todo exige distinguir sus partes y sus relaciones con precisión: la síntesis no sustituye al análisis, lo completa</w:t>
            </w:r>
          </w:p>
        </w:tc>
      </w:tr>
    </w:tbl>
    <w:p>
      <w:pPr>
        <w:pStyle w:val="Normal"/>
      </w:pPr>
      <w:r>
        <w:t xml:space="preserve">a) Porque el detalle no importa en teoría de sistemas — Se descarta por la clave; aplique el criterio de resolución común que se desarrolla después de esta lista.</w:t>
      </w:r>
    </w:p>
    <w:p>
      <w:pPr>
        <w:pStyle w:val="Normal"/>
      </w:pPr>
      <w:r>
        <w:t xml:space="preserve">b) Porque comprender el todo exige distinguir sus partes y sus relaciones con precisión: la síntesis no sustituye al análisis, lo completa — Se selecciona por la clave; aplique el criterio de resolución común que se desarrolla después de esta lista.</w:t>
      </w:r>
    </w:p>
    <w:p>
      <w:pPr>
        <w:pStyle w:val="Normal"/>
      </w:pPr>
      <w:r>
        <w:t xml:space="preserve">c) Porque las totalidades sólo existen en sistemas naturales — Se descarta por la clave; aplique el criterio de resolución común que se desarrolla después de esta lista.</w:t>
      </w:r>
    </w:p>
    <w:p>
      <w:pPr>
        <w:pStyle w:val="Normal"/>
      </w:pPr>
      <w:r>
        <w:t xml:space="preserve">d) Porque el pensamiento sistémico es únicamente cuantitativo — Se descarta por la clave; aplique el criterio de resolución común que se desarrolla después de esta lista.</w:t>
      </w:r>
    </w:p>
    <w:p>
      <w:pPr>
        <w:pStyle w:val="Normal"/>
      </w:pPr>
      <w:r>
        <w:t xml:space="preserve">Criterio de resolución: El holismo mal entendido se vuelve vaguedad. Ver el todo requiere haber distinguido partes, relaciones y fronteras; por eso análisis y síntesis van juntos.</w:t>
      </w:r>
    </w:p>
    <w:p>
      <w:pPr>
        <w:pStyle w:val="Fuente"/>
      </w:pPr>
      <w:r>
        <w:t xml:space="preserve">Banco del portal; resolución editorial.</w:t>
      </w:r>
    </w:p>
    <w:p>
      <w:pPr>
        <w:pStyle w:val="Heading3"/>
      </w:pPr>
      <w:bookmarkStart w:name="b_solucion_u2a_03_que_aporta" w:id="6087"/>
      <w:r>
        <w:t xml:space="preserve">Solución S1-80</w:t>
      </w:r>
      <w:bookmarkEnd w:id="6087"/>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a) Explica por qué el mismo problema reaparece aunque se resuelva cada vez</w:t>
            </w:r>
          </w:p>
          <w:p>
            <w:pPr>
              <w:pStyle w:val="Recuadro"/>
            </w:pPr>
            <w:r>
              <w:t xml:space="preserve">c) Hace visible que el comportamiento depende de la estructura de relaciones</w:t>
            </w:r>
          </w:p>
        </w:tc>
      </w:tr>
    </w:tbl>
    <w:p>
      <w:pPr>
        <w:pStyle w:val="Normal"/>
      </w:pPr>
      <w:r>
        <w:t xml:space="preserve">a) Explica por qué el mismo problema reaparece aunque se resuelva cada vez — Se selecciona por la clave; aplique el criterio de resolución común que se desarrolla después de esta lista.</w:t>
      </w:r>
    </w:p>
    <w:p>
      <w:pPr>
        <w:pStyle w:val="Normal"/>
      </w:pPr>
      <w:r>
        <w:t xml:space="preserve">b) Garantiza que la solución sea más barata — Se descarta por la clave; aplique el criterio de resolución común que se desarrolla después de esta lista.</w:t>
      </w:r>
    </w:p>
    <w:p>
      <w:pPr>
        <w:pStyle w:val="Normal"/>
      </w:pPr>
      <w:r>
        <w:t xml:space="preserve">c) Hace visible que el comportamiento depende de la estructura de relaciones — Se selecciona por la clave; aplique el criterio de resolución común que se desarrolla después de esta lista.</w:t>
      </w:r>
    </w:p>
    <w:p>
      <w:pPr>
        <w:pStyle w:val="Normal"/>
      </w:pPr>
      <w:r>
        <w:t xml:space="preserve">d) Elimina la necesidad de datos — Se descarta por la clave; aplique el criterio de resolución común que se desarrolla después de esta lista.</w:t>
      </w:r>
    </w:p>
    <w:p>
      <w:pPr>
        <w:pStyle w:val="Normal"/>
      </w:pPr>
      <w:r>
        <w:t xml:space="preserve">Criterio de resolución: La mirada sistémica no promete soluciones baratas ni ahorra datos: explica recurrencias y traslada la atención de las piezas a la disposición que las relaciona.</w:t>
      </w:r>
    </w:p>
    <w:p>
      <w:pPr>
        <w:pStyle w:val="Fuente"/>
      </w:pPr>
      <w:r>
        <w:t xml:space="preserve">Banco del portal; resolución editorial.</w:t>
      </w:r>
    </w:p>
    <w:p>
      <w:pPr>
        <w:pStyle w:val="Heading3"/>
      </w:pPr>
      <w:bookmarkStart w:name="b_solucion_cmp_19_elemento_vs_relacion" w:id="6088"/>
      <w:r>
        <w:t xml:space="preserve">Solución S1-81</w:t>
      </w:r>
      <w:bookmarkEnd w:id="6088"/>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b) La estructura de relaciones entre las partes, que es lo que cambia cuando los elementos son iguales</w:t>
            </w:r>
          </w:p>
        </w:tc>
      </w:tr>
    </w:tbl>
    <w:p>
      <w:pPr>
        <w:pStyle w:val="Normal"/>
      </w:pPr>
      <w:r>
        <w:t xml:space="preserve">a) La suerte — Se descarta por la clave; aplique el criterio de resolución común que se desarrolla después de esta lista.</w:t>
      </w:r>
    </w:p>
    <w:p>
      <w:pPr>
        <w:pStyle w:val="Normal"/>
      </w:pPr>
      <w:r>
        <w:t xml:space="preserve">b) La estructura de relaciones entre las partes, que es lo que cambia cuando los elementos son iguales — Se selecciona por la clave; aplique el criterio de resolución común que se desarrolla después de esta lista.</w:t>
      </w:r>
    </w:p>
    <w:p>
      <w:pPr>
        <w:pStyle w:val="Normal"/>
      </w:pPr>
      <w:r>
        <w:t xml:space="preserve">c) El tamaño del equipo — Se descarta por la clave; aplique el criterio de resolución común que se desarrolla después de esta lista.</w:t>
      </w:r>
    </w:p>
    <w:p>
      <w:pPr>
        <w:pStyle w:val="Normal"/>
      </w:pPr>
      <w:r>
        <w:t xml:space="preserve">d) Nada: si los elementos son iguales el resultado debe ser igual — Se descarta por la clave; aplique el criterio de resolución común que se desarrolla después de esta lista.</w:t>
      </w:r>
    </w:p>
    <w:p>
      <w:pPr>
        <w:pStyle w:val="Normal"/>
      </w:pPr>
      <w:r>
        <w:t xml:space="preserve">Criterio de resolución: Es la prueba práctica de que un sistema no es la suma de sus partes. Si los elementos coinciden y el comportamiento no, lo que difiere son las relaciones y su disposición.</w:t>
      </w:r>
    </w:p>
    <w:p>
      <w:pPr>
        <w:pStyle w:val="Fuente"/>
      </w:pPr>
      <w:r>
        <w:t xml:space="preserve">Banco del portal; resolución editorial.</w:t>
      </w:r>
    </w:p>
    <w:p>
      <w:pPr>
        <w:pStyle w:val="Heading3"/>
      </w:pPr>
      <w:bookmarkStart w:name="b_solucion_cmp_20_proposito" w:id="6089"/>
      <w:r>
        <w:t xml:space="preserve">Solución S1-82</w:t>
      </w:r>
      <w:bookmarkEnd w:id="6089"/>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a) Declarar su frontera y qué queda en el entorno</w:t>
            </w:r>
          </w:p>
          <w:p>
            <w:pPr>
              <w:pStyle w:val="Recuadro"/>
            </w:pPr>
            <w:r>
              <w:t xml:space="preserve">b) Señalar las relaciones entre las partes</w:t>
            </w:r>
          </w:p>
          <w:p>
            <w:pPr>
              <w:pStyle w:val="Recuadro"/>
            </w:pPr>
            <w:r>
              <w:t xml:space="preserve">c) Indicar el propósito o la función que el observador le atribuye</w:t>
            </w:r>
          </w:p>
        </w:tc>
      </w:tr>
    </w:tbl>
    <w:p>
      <w:pPr>
        <w:pStyle w:val="Normal"/>
      </w:pPr>
      <w:r>
        <w:t xml:space="preserve">a) Declarar su frontera y qué queda en el entorno — Se selecciona por la clave; aplique el criterio de resolución común que se desarrolla después de esta lista.</w:t>
      </w:r>
    </w:p>
    <w:p>
      <w:pPr>
        <w:pStyle w:val="Normal"/>
      </w:pPr>
      <w:r>
        <w:t xml:space="preserve">b) Señalar las relaciones entre las partes — Se selecciona por la clave; aplique el criterio de resolución común que se desarrolla después de esta lista.</w:t>
      </w:r>
    </w:p>
    <w:p>
      <w:pPr>
        <w:pStyle w:val="Normal"/>
      </w:pPr>
      <w:r>
        <w:t xml:space="preserve">c) Indicar el propósito o la función que el observador le atribuye — Se selecciona por la clave; aplique el criterio de resolución común que se desarrolla después de esta lista.</w:t>
      </w:r>
    </w:p>
    <w:p>
      <w:pPr>
        <w:pStyle w:val="Normal"/>
      </w:pPr>
      <w:r>
        <w:t xml:space="preserve">d) Medir su peso total — Se descarta por la clave; aplique el criterio de resolución común que se desarrolla después de esta lista.</w:t>
      </w:r>
    </w:p>
    <w:p>
      <w:pPr>
        <w:pStyle w:val="Normal"/>
      </w:pPr>
      <w:r>
        <w:t xml:space="preserve">Criterio de resolución: Frontera, relaciones y propósito son lo que convierte una lista de piezas en la descripción de un sistema. El peso es un dato que rara vez explica un comportamiento.</w:t>
      </w:r>
    </w:p>
    <w:p>
      <w:pPr>
        <w:pStyle w:val="Fuente"/>
      </w:pPr>
      <w:r>
        <w:t xml:space="preserve">Banco del portal; resolución editorial.</w:t>
      </w:r>
    </w:p>
    <w:p>
      <w:pPr>
        <w:pStyle w:val="Heading3"/>
      </w:pPr>
      <w:bookmarkStart w:name="b_solucion_ec2_01_monton" w:id="6090"/>
      <w:r>
        <w:t xml:space="preserve">Solución S1-83</w:t>
      </w:r>
      <w:bookmarkEnd w:id="6090"/>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b) Las partes funcionan por separado</w:t>
            </w:r>
          </w:p>
          <w:p>
            <w:pPr>
              <w:pStyle w:val="Recuadro"/>
            </w:pPr>
            <w:r>
              <w:t xml:space="preserve">c) Está constituido por una serie de partes</w:t>
            </w:r>
          </w:p>
        </w:tc>
      </w:tr>
    </w:tbl>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Retroalimentación oficial de la plataforma</w:t>
            </w:r>
          </w:p>
          <w:p>
            <w:pPr>
              <w:pStyle w:val="Recuadro"/>
            </w:pPr>
            <w:r>
              <w:t xml:space="preserve">Respuesta parcialmente correcta. Ha seleccionado correctamente 1. Las respuestas correctas son: Las partes funcionan por separado, Esta constituído por una serie de partes</w:t>
            </w:r>
          </w:p>
        </w:tc>
      </w:tr>
    </w:tbl>
    <w:p>
      <w:pPr>
        <w:pStyle w:val="Normal"/>
      </w:pPr>
      <w:r>
        <w:t xml:space="preserve">a) Cambia si se quitan o añaden piezas — Es del sistema: al montón puedes quitarle o añadirle piezas sin alterar sus propiedades esenciales.</w:t>
      </w:r>
    </w:p>
    <w:p>
      <w:pPr>
        <w:pStyle w:val="Normal"/>
      </w:pPr>
      <w:r>
        <w:t xml:space="preserve">b) Las partes funcionan por separado — Correcta: en el montón no hay relaciones que hagan trabajar juntas a las partes.</w:t>
      </w:r>
    </w:p>
    <w:p>
      <w:pPr>
        <w:pStyle w:val="Normal"/>
      </w:pPr>
      <w:r>
        <w:t xml:space="preserve">c) Está constituido por una serie de partes — Correcta según el criterio del curso: el montón es «una serie de partes», sin la sinergia de una totalidad.</w:t>
      </w:r>
    </w:p>
    <w:p>
      <w:pPr>
        <w:pStyle w:val="Normal"/>
      </w:pPr>
      <w:r>
        <w:t xml:space="preserve">d) Su comportamiento depende de la estructura global — Es del sistema: el montón depende de su tamaño o número de piezas, no de una estructura.</w:t>
      </w:r>
    </w:p>
    <w:p>
      <w:pPr>
        <w:pStyle w:val="Normal"/>
      </w:pPr>
      <w:r>
        <w:t xml:space="preserve">e) La disposición de los elementos es fundamental — Es del sistema: en el montón la disposición no importa.</w:t>
      </w:r>
    </w:p>
    <w:p>
      <w:pPr>
        <w:pStyle w:val="Normal"/>
      </w:pPr>
      <w:r>
        <w:t xml:space="preserve">Criterio de resolución: La tabla de O'Connor que usa el curso opone «serie de partes» a «partes interconectadas que funcionan como un todo», y ahí «serie de partes» cae del lado del montón. Conviene saber que la formulación es discutible —un sistema también consta de partes— y que lo que de verdad separa a uno de otro es si esas partes están relacionadas. Para el examen se responde con el criterio del curso: b y c.</w:t>
      </w:r>
    </w:p>
    <w:p>
      <w:pPr>
        <w:pStyle w:val="Fuente"/>
      </w:pPr>
      <w:r>
        <w:t xml:space="preserve">Banco del portal; resolución editorial.</w:t>
      </w:r>
    </w:p>
    <w:p>
      <w:pPr>
        <w:pStyle w:val="Heading3"/>
      </w:pPr>
      <w:bookmarkStart w:name="b_solucion_p1_recorte_sistema" w:id="6091"/>
      <w:r>
        <w:t xml:space="preserve">Solución S1-84</w:t>
      </w:r>
      <w:bookmarkEnd w:id="6091"/>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d) Declarar propósito, frontera, componentes, relaciones e intercambios pertinentes</w:t>
            </w:r>
          </w:p>
        </w:tc>
      </w:tr>
    </w:tbl>
    <w:p>
      <w:pPr>
        <w:pStyle w:val="Normal"/>
      </w:pPr>
      <w:r>
        <w:t xml:space="preserve">a) Sustituir todas las relaciones por nombres de personas — Se descarta por la clave; aplique el criterio de resolución común que se desarrolla después de esta lista.</w:t>
      </w:r>
    </w:p>
    <w:p>
      <w:pPr>
        <w:pStyle w:val="Normal"/>
      </w:pPr>
      <w:r>
        <w:t xml:space="preserve">b) Garantizar que ese único recorte sirve para toda pregunta — Se descarta por la clave; aplique el criterio de resolución común que se desarrolla después de esta lista.</w:t>
      </w:r>
    </w:p>
    <w:p>
      <w:pPr>
        <w:pStyle w:val="Normal"/>
      </w:pPr>
      <w:r>
        <w:t xml:space="preserve">c) Eliminar el entorno para que el modelo sea sistémico — Se descarta por la clave; aplique el criterio de resolución común que se desarrolla después de esta lista.</w:t>
      </w:r>
    </w:p>
    <w:p>
      <w:pPr>
        <w:pStyle w:val="Normal"/>
      </w:pPr>
      <w:r>
        <w:t xml:space="preserve">d) Declarar propósito, frontera, componentes, relaciones e intercambios pertinentes — Se selecciona por la clave; aplique el criterio de resolución común que se desarrolla después de esta lista.</w:t>
      </w:r>
    </w:p>
    <w:p>
      <w:pPr>
        <w:pStyle w:val="Normal"/>
      </w:pPr>
      <w:r>
        <w:t xml:space="preserve">Criterio de resolución: El nombre del objeto no declara un modelo. El concepto general orienta la selección de partes y relaciones y exige situarlas en una frontera y un entorno conforme al propósito del estudio.</w:t>
      </w:r>
    </w:p>
    <w:p>
      <w:pPr>
        <w:pStyle w:val="Fuente"/>
      </w:pPr>
      <w:r>
        <w:t xml:space="preserve">Presentación de la unidad 2 (C-6), pág. 5 y 6</w:t>
      </w:r>
    </w:p>
    <w:p>
      <w:pPr>
        <w:pStyle w:val="Heading3"/>
      </w:pPr>
      <w:bookmarkStart w:name="b_solucion_u2a_04_sistema_vs_monton" w:id="6092"/>
      <w:r>
        <w:t xml:space="preserve">Solución S1-85</w:t>
      </w:r>
      <w:bookmarkEnd w:id="6092"/>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Sistema: Partes interconectadas que funcionan como un todo; La disposición de los elementos es fundamental</w:t>
            </w:r>
          </w:p>
          <w:p>
            <w:pPr>
              <w:pStyle w:val="Recuadro"/>
            </w:pPr>
            <w:r>
              <w:t xml:space="preserve">Montón o conglomerado: Sus propiedades esenciales no se alteran al quitar o añadir piezas; Las partes no están conectadas y funcionan por separado; Su comportamiento depende de su tamaño o número de piezas</w:t>
            </w:r>
          </w:p>
        </w:tc>
      </w:tr>
    </w:tbl>
    <w:p>
      <w:pPr>
        <w:pStyle w:val="Normal"/>
      </w:pPr>
      <w:r>
        <w:t xml:space="preserve">Criterio de resolución: Lo que convierte un montón en sistema son las relaciones. Sin ellas no hay sinergia, y sin sinergia no hay propiedades del conjunto: sólo piezas acumuladas.</w:t>
      </w:r>
    </w:p>
    <w:p>
      <w:pPr>
        <w:pStyle w:val="Fuente"/>
      </w:pPr>
      <w:r>
        <w:t xml:space="preserve">Banco del portal; resolución editorial.</w:t>
      </w:r>
    </w:p>
    <w:p>
      <w:pPr>
        <w:pStyle w:val="Heading3"/>
      </w:pPr>
      <w:bookmarkStart w:name="b_solucion_u2a_05_frontera" w:id="6093"/>
      <w:r>
        <w:t xml:space="preserve">Solución S1-86</w:t>
      </w:r>
      <w:bookmarkEnd w:id="6093"/>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b) Qué elementos quedan dentro del análisis y cuáles pasan a ser entorno</w:t>
            </w:r>
          </w:p>
        </w:tc>
      </w:tr>
    </w:tbl>
    <w:p>
      <w:pPr>
        <w:pStyle w:val="Normal"/>
      </w:pPr>
      <w:r>
        <w:t xml:space="preserve">a) El tamaño físico del objeto observado — Se descarta por la clave; aplique el criterio de resolución común que se desarrolla después de esta lista.</w:t>
      </w:r>
    </w:p>
    <w:p>
      <w:pPr>
        <w:pStyle w:val="Normal"/>
      </w:pPr>
      <w:r>
        <w:t xml:space="preserve">b) Qué elementos quedan dentro del análisis y cuáles pasan a ser entorno — Se selecciona por la clave; aplique el criterio de resolución común que se desarrolla después de esta lista.</w:t>
      </w:r>
    </w:p>
    <w:p>
      <w:pPr>
        <w:pStyle w:val="Normal"/>
      </w:pPr>
      <w:r>
        <w:t xml:space="preserve">c) El número de partes que tiene — Se descarta por la clave; aplique el criterio de resolución común que se desarrolla después de esta lista.</w:t>
      </w:r>
    </w:p>
    <w:p>
      <w:pPr>
        <w:pStyle w:val="Normal"/>
      </w:pPr>
      <w:r>
        <w:t xml:space="preserve">d) La disciplina científica de quien observa — Se descarta por la clave; aplique el criterio de resolución común que se desarrolla después de esta lista.</w:t>
      </w:r>
    </w:p>
    <w:p>
      <w:pPr>
        <w:pStyle w:val="Normal"/>
      </w:pPr>
      <w:r>
        <w:t xml:space="preserve">Criterio de resolución: La frontera es una decisión del observador, no un rasgo del objeto. Moverla cambia el sistema: el edificio de una facultad, el servicio de su personal y su horario son tres sistemas distintos según dónde se trace.</w:t>
      </w:r>
    </w:p>
    <w:p>
      <w:pPr>
        <w:pStyle w:val="Fuente"/>
      </w:pPr>
      <w:r>
        <w:t xml:space="preserve">Banco del portal; resolución editorial.</w:t>
      </w:r>
    </w:p>
    <w:p>
      <w:pPr>
        <w:pStyle w:val="Heading3"/>
      </w:pPr>
      <w:bookmarkStart w:name="b_solucion_u2a_06_entradas_salidas" w:id="6094"/>
      <w:r>
        <w:t xml:space="preserve">Solución S1-87</w:t>
      </w:r>
      <w:bookmarkEnd w:id="6094"/>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Entrada → Lo que el sistema toma de su medio para operar</w:t>
            </w:r>
          </w:p>
          <w:p>
            <w:pPr>
              <w:pStyle w:val="Recuadro"/>
            </w:pPr>
            <w:r>
              <w:t xml:space="preserve">Salida → Lo que el sistema entrega a su medio</w:t>
            </w:r>
          </w:p>
          <w:p>
            <w:pPr>
              <w:pStyle w:val="Recuadro"/>
            </w:pPr>
            <w:r>
              <w:t xml:space="preserve">Entorno → Lo que queda fuera de la frontera pero influye en el sistema</w:t>
            </w:r>
          </w:p>
          <w:p>
            <w:pPr>
              <w:pStyle w:val="Recuadro"/>
            </w:pPr>
            <w:r>
              <w:t xml:space="preserve">Retroalimentación → Información sobre la salida que vuelve y ajusta el proceso</w:t>
            </w:r>
          </w:p>
        </w:tc>
      </w:tr>
    </w:tbl>
    <w:p>
      <w:pPr>
        <w:pStyle w:val="Normal"/>
      </w:pPr>
      <w:r>
        <w:t xml:space="preserve">Distractor sin fila correspondiente: Ordenamiento de los sistemas por niveles de inclusión.</w:t>
      </w:r>
    </w:p>
    <w:p>
      <w:pPr>
        <w:pStyle w:val="Normal"/>
      </w:pPr>
      <w:r>
        <w:t xml:space="preserve">Criterio de resolución: Entrada, salida, entorno y retroalimentación son el vocabulario mínimo para describir cualquier sistema abierto. El distractor define la jerarquía, que es otro concepto.</w:t>
      </w:r>
    </w:p>
    <w:p>
      <w:pPr>
        <w:pStyle w:val="Fuente"/>
      </w:pPr>
      <w:r>
        <w:t xml:space="preserve">Banco del portal; resolución editorial.</w:t>
      </w:r>
    </w:p>
    <w:p>
      <w:pPr>
        <w:pStyle w:val="Heading3"/>
      </w:pPr>
      <w:bookmarkStart w:name="b_solucion_cmp_21_retroalimenta_8302ebea" w:id="6095"/>
      <w:r>
        <w:t xml:space="preserve">Solución S1-88</w:t>
      </w:r>
      <w:bookmarkEnd w:id="6095"/>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1. Una perturbación aleja la variable de su objetivo</w:t>
            </w:r>
          </w:p>
          <w:p>
            <w:pPr>
              <w:pStyle w:val="Recuadro"/>
            </w:pPr>
            <w:r>
              <w:t xml:space="preserve">2. El sensor mide el valor actual</w:t>
            </w:r>
          </w:p>
          <w:p>
            <w:pPr>
              <w:pStyle w:val="Recuadro"/>
            </w:pPr>
            <w:r>
              <w:t xml:space="preserve">3. Se compara con el punto de ajuste</w:t>
            </w:r>
          </w:p>
          <w:p>
            <w:pPr>
              <w:pStyle w:val="Recuadro"/>
            </w:pPr>
            <w:r>
              <w:t xml:space="preserve">4. El actuador corrige en sentido contrario</w:t>
            </w:r>
          </w:p>
          <w:p>
            <w:pPr>
              <w:pStyle w:val="Recuadro"/>
            </w:pPr>
            <w:r>
              <w:t xml:space="preserve">5. La variable vuelve hacia el objetivo</w:t>
            </w:r>
          </w:p>
        </w:tc>
      </w:tr>
    </w:tbl>
    <w:p>
      <w:pPr>
        <w:pStyle w:val="Normal"/>
      </w:pPr>
      <w:r>
        <w:t xml:space="preserve">Criterio de resolución: Perturbación, medición, comparación, corrección y retorno. Es el lazo que sostiene la homeostasis: sin comparación con un punto de ajuste no hay corrección, sólo reacción.</w:t>
      </w:r>
    </w:p>
    <w:p>
      <w:pPr>
        <w:pStyle w:val="Fuente"/>
      </w:pPr>
      <w:r>
        <w:t xml:space="preserve">Banco del portal; resolución editorial.</w:t>
      </w:r>
    </w:p>
    <w:p>
      <w:pPr>
        <w:pStyle w:val="Heading3"/>
      </w:pPr>
      <w:bookmarkStart w:name="b_solucion_cmp_22_positiva_vs_negativa" w:id="6096"/>
      <w:r>
        <w:t xml:space="preserve">Solución S1-89</w:t>
      </w:r>
      <w:bookmarkEnd w:id="6096"/>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Retroalimentación negativa: El termostato apaga el calefactor al alcanzar la temperatura; El cuerpo suda cuando la temperatura interna sube</w:t>
            </w:r>
          </w:p>
          <w:p>
            <w:pPr>
              <w:pStyle w:val="Recuadro"/>
            </w:pPr>
            <w:r>
              <w:t xml:space="preserve">Retroalimentación positiva: Cuanta más gente repite un rumor, más creíble parece y más se repite; Más control genera menos confianza, y menos confianza pide más control</w:t>
            </w:r>
          </w:p>
        </w:tc>
      </w:tr>
    </w:tbl>
    <w:p>
      <w:pPr>
        <w:pStyle w:val="Normal"/>
      </w:pPr>
      <w:r>
        <w:t xml:space="preserve">Criterio de resolución: «Negativa» no significa mala: significa que corrige y estabiliza. «Positiva» no significa buena: significa que amplifica, y puede amplificar tanto un círculo virtuoso como uno vicioso.</w:t>
      </w:r>
    </w:p>
    <w:p>
      <w:pPr>
        <w:pStyle w:val="Fuente"/>
      </w:pPr>
      <w:r>
        <w:t xml:space="preserve">Banco del portal; resolución editorial.</w:t>
      </w:r>
    </w:p>
    <w:p>
      <w:pPr>
        <w:pStyle w:val="Heading3"/>
      </w:pPr>
      <w:bookmarkStart w:name="b_solucion_p1_bosque_entorno" w:id="6097"/>
      <w:r>
        <w:t xml:space="preserve">Solución S1-90</w:t>
      </w:r>
      <w:bookmarkEnd w:id="6097"/>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b) Atmósfera, hidrósfera, suelo y sistemas agrícolas o urbanos circundantes</w:t>
            </w:r>
          </w:p>
        </w:tc>
      </w:tr>
    </w:tbl>
    <w:p>
      <w:pPr>
        <w:pStyle w:val="Normal"/>
      </w:pPr>
      <w:r>
        <w:t xml:space="preserve">a) Sólo árboles, arbustos y mamíferos — Se descarta por la clave; aplique el criterio de resolución común que se desarrolla después de esta lista.</w:t>
      </w:r>
    </w:p>
    <w:p>
      <w:pPr>
        <w:pStyle w:val="Normal"/>
      </w:pPr>
      <w:r>
        <w:t xml:space="preserve">b) Atmósfera, hidrósfera, suelo y sistemas agrícolas o urbanos circundantes — Se selecciona por la clave; aplique el criterio de resolución común que se desarrolla después de esta lista.</w:t>
      </w:r>
    </w:p>
    <w:p>
      <w:pPr>
        <w:pStyle w:val="Normal"/>
      </w:pPr>
      <w:r>
        <w:t xml:space="preserve">c) Únicamente productores, consumidores y descomponedores — Se descarta por la clave; aplique el criterio de resolución común que se desarrolla después de esta lista.</w:t>
      </w:r>
    </w:p>
    <w:p>
      <w:pPr>
        <w:pStyle w:val="Normal"/>
      </w:pPr>
      <w:r>
        <w:t xml:space="preserve">d) Biomasa producida y oxígeno como únicos objetos del entorno — Se descarta por la clave; aplique el criterio de resolución común que se desarrolla después de esta lista.</w:t>
      </w:r>
    </w:p>
    <w:p>
      <w:pPr>
        <w:pStyle w:val="Normal"/>
      </w:pPr>
      <w:r>
        <w:t xml:space="preserve">Criterio de resolución: La página 39 diferencia partes internas y sistemas del entorno que aportan condiciones o intercambios. Otro propósito puede cambiar el recorte del suelo, pero debe explicitarlo; no se cambia silenciosamente la frontera de la lámina.</w:t>
      </w:r>
    </w:p>
    <w:p>
      <w:pPr>
        <w:pStyle w:val="Fuente"/>
      </w:pPr>
      <w:r>
        <w:t xml:space="preserve">Presentación de la unidad 2 (C-6), pág. 39</w:t>
      </w:r>
    </w:p>
    <w:p>
      <w:pPr>
        <w:pStyle w:val="Heading3"/>
      </w:pPr>
      <w:bookmarkStart w:name="b_solucion_p1_endo_exo" w:id="6098"/>
      <w:r>
        <w:t xml:space="preserve">Solución S1-91</w:t>
      </w:r>
      <w:bookmarkEnd w:id="6098"/>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a) Docentes–dirección: endoestructura; escuela–proveedor externo: exoestructura</w:t>
            </w:r>
          </w:p>
        </w:tc>
      </w:tr>
    </w:tbl>
    <w:p>
      <w:pPr>
        <w:pStyle w:val="Normal"/>
      </w:pPr>
      <w:r>
        <w:t xml:space="preserve">a) Docentes–dirección: endoestructura; escuela–proveedor externo: exoestructura — Se selecciona por la clave; aplique el criterio de resolución común que se desarrolla después de esta lista.</w:t>
      </w:r>
    </w:p>
    <w:p>
      <w:pPr>
        <w:pStyle w:val="Normal"/>
      </w:pPr>
      <w:r>
        <w:t xml:space="preserve">b) Docentes–dirección: exoestructura; escuela–proveedor externo: endoestructura — Se descarta por la clave; aplique el criterio de resolución común que se desarrolla después de esta lista.</w:t>
      </w:r>
    </w:p>
    <w:p>
      <w:pPr>
        <w:pStyle w:val="Normal"/>
      </w:pPr>
      <w:r>
        <w:t xml:space="preserve">c) Ambas son sólo listas de objetos sin relaciones — Se descarta por la clave; aplique el criterio de resolución común que se desarrolla después de esta lista.</w:t>
      </w:r>
    </w:p>
    <w:p>
      <w:pPr>
        <w:pStyle w:val="Normal"/>
      </w:pPr>
      <w:r>
        <w:t xml:space="preserve">d) Toda relación con el proveedor lo convierte necesariamente en parte interna — Se descarta por la clave; aplique el criterio de resolución común que se desarrolla después de esta lista.</w:t>
      </w:r>
    </w:p>
    <w:p>
      <w:pPr>
        <w:pStyle w:val="Normal"/>
      </w:pPr>
      <w:r>
        <w:t xml:space="preserve">Criterio de resolución: Endoestructura vincula componentes internos; exoestructura los vincula con objetos del entorno. Una relación externa no incorpora automáticamente al proveedor: la frontera declarada determina su clasificación.</w:t>
      </w:r>
    </w:p>
    <w:p>
      <w:pPr>
        <w:pStyle w:val="Fuente"/>
      </w:pPr>
      <w:r>
        <w:t xml:space="preserve">Presentación de la unidad 2 (C-6), pág. 27 y 30</w:t>
      </w:r>
    </w:p>
    <w:p>
      <w:pPr>
        <w:pStyle w:val="Heading3"/>
      </w:pPr>
      <w:bookmarkStart w:name="b_solucion_u2a_07_estructura_define" w:id="6099"/>
      <w:r>
        <w:t xml:space="preserve">Solución S1-92</w:t>
      </w:r>
      <w:bookmarkEnd w:id="6099"/>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b) La disposición de las relaciones entre sus partes</w:t>
            </w:r>
          </w:p>
        </w:tc>
      </w:tr>
    </w:tbl>
    <w:p>
      <w:pPr>
        <w:pStyle w:val="Normal"/>
      </w:pPr>
      <w:r>
        <w:t xml:space="preserve">a) El conjunto de sus partes — Se descarta por la clave; aplique el criterio de resolución común que se desarrolla después de esta lista.</w:t>
      </w:r>
    </w:p>
    <w:p>
      <w:pPr>
        <w:pStyle w:val="Normal"/>
      </w:pPr>
      <w:r>
        <w:t xml:space="preserve">b) La disposición de las relaciones entre sus partes — Se selecciona por la clave; aplique el criterio de resolución común que se desarrolla después de esta lista.</w:t>
      </w:r>
    </w:p>
    <w:p>
      <w:pPr>
        <w:pStyle w:val="Normal"/>
      </w:pPr>
      <w:r>
        <w:t xml:space="preserve">c) Su tamaño total — Se descarta por la clave; aplique el criterio de resolución común que se desarrolla después de esta lista.</w:t>
      </w:r>
    </w:p>
    <w:p>
      <w:pPr>
        <w:pStyle w:val="Normal"/>
      </w:pPr>
      <w:r>
        <w:t xml:space="preserve">d) El material del que está hecho — Se descarta por la clave; aplique el criterio de resolución común que se desarrolla después de esta lista.</w:t>
      </w:r>
    </w:p>
    <w:p>
      <w:pPr>
        <w:pStyle w:val="Normal"/>
      </w:pPr>
      <w:r>
        <w:t xml:space="preserve">Criterio de resolución: La estructura no son las piezas sino cómo están dispuestas y conectadas. Por eso dos sistemas con las mismas partes pueden comportarse de forma distinta.</w:t>
      </w:r>
    </w:p>
    <w:p>
      <w:pPr>
        <w:pStyle w:val="Fuente"/>
      </w:pPr>
      <w:r>
        <w:t xml:space="preserve">Banco del portal; resolución editorial.</w:t>
      </w:r>
    </w:p>
    <w:p>
      <w:pPr>
        <w:pStyle w:val="Heading3"/>
      </w:pPr>
      <w:bookmarkStart w:name="b_solucion_u2a_08_estructura_co_bd1dd43e" w:id="6100"/>
      <w:r>
        <w:t xml:space="preserve">Solución S1-93</w:t>
      </w:r>
      <w:bookmarkEnd w:id="6100"/>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a) Cambiar a las personas sin cambiar la estructura suele reproducir el mismo resultado</w:t>
            </w:r>
          </w:p>
          <w:p>
            <w:pPr>
              <w:pStyle w:val="Recuadro"/>
            </w:pPr>
            <w:r>
              <w:t xml:space="preserve">c) Para cambiar un patrón recurrente hay que intervenir en las relaciones, no sólo en los elementos</w:t>
            </w:r>
          </w:p>
        </w:tc>
      </w:tr>
    </w:tbl>
    <w:p>
      <w:pPr>
        <w:pStyle w:val="Normal"/>
      </w:pPr>
      <w:r>
        <w:t xml:space="preserve">a) Cambiar a las personas sin cambiar la estructura suele reproducir el mismo resultado — Se selecciona por la clave; aplique el criterio de resolución común que se desarrolla después de esta lista.</w:t>
      </w:r>
    </w:p>
    <w:p>
      <w:pPr>
        <w:pStyle w:val="Normal"/>
      </w:pPr>
      <w:r>
        <w:t xml:space="preserve">b) El comportamiento de un sistema se explica sumando el comportamiento de sus partes — Se descarta por la clave; aplique el criterio de resolución común que se desarrolla después de esta lista.</w:t>
      </w:r>
    </w:p>
    <w:p>
      <w:pPr>
        <w:pStyle w:val="Normal"/>
      </w:pPr>
      <w:r>
        <w:t xml:space="preserve">c) Para cambiar un patrón recurrente hay que intervenir en las relaciones, no sólo en los elementos — Se selecciona por la clave; aplique el criterio de resolución común que se desarrolla después de esta lista.</w:t>
      </w:r>
    </w:p>
    <w:p>
      <w:pPr>
        <w:pStyle w:val="Normal"/>
      </w:pPr>
      <w:r>
        <w:t xml:space="preserve">d) La estructura sólo importa en sistemas físicos — Se descarta por la clave; aplique el criterio de resolución común que se desarrolla después de esta lista.</w:t>
      </w:r>
    </w:p>
    <w:p>
      <w:pPr>
        <w:pStyle w:val="Normal"/>
      </w:pPr>
      <w:r>
        <w:t xml:space="preserve">Criterio de resolución: Si el patrón vuelve con otras personas, la causa era estructural. Es la lección práctica del nivel tres del iceberg.</w:t>
      </w:r>
    </w:p>
    <w:p>
      <w:pPr>
        <w:pStyle w:val="Fuente"/>
      </w:pPr>
      <w:r>
        <w:t xml:space="preserve">Banco del portal; resolución editorial.</w:t>
      </w:r>
    </w:p>
    <w:p>
      <w:pPr>
        <w:pStyle w:val="Heading3"/>
      </w:pPr>
      <w:bookmarkStart w:name="b_solucion_u2a_09_relaciones_tipos" w:id="6101"/>
      <w:r>
        <w:t xml:space="preserve">Solución S1-94</w:t>
      </w:r>
      <w:bookmarkEnd w:id="6101"/>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Relación lineal: Una causa produce un efecto que no vuelve sobre la causa; Una cadena de pasos que termina en un resultado final</w:t>
            </w:r>
          </w:p>
          <w:p>
            <w:pPr>
              <w:pStyle w:val="Recuadro"/>
            </w:pPr>
            <w:r>
              <w:t xml:space="preserve">Relación circular: La temperatura de la sala regula el calefactor, que a su vez cambia la temperatura; Menos confianza produce más control, y más control reduce todavía más la confianza</w:t>
            </w:r>
          </w:p>
        </w:tc>
      </w:tr>
    </w:tbl>
    <w:p>
      <w:pPr>
        <w:pStyle w:val="Normal"/>
      </w:pPr>
      <w:r>
        <w:t xml:space="preserve">Criterio de resolución: En la relación circular el efecto vuelve sobre su causa. Es la forma que toman la retroalimentación negativa —que estabiliza— y la positiva —que amplifica—.</w:t>
      </w:r>
    </w:p>
    <w:p>
      <w:pPr>
        <w:pStyle w:val="Fuente"/>
      </w:pPr>
      <w:r>
        <w:t xml:space="preserve">Banco del portal; resolución editorial.</w:t>
      </w:r>
    </w:p>
    <w:p>
      <w:pPr>
        <w:pStyle w:val="Heading3"/>
      </w:pPr>
      <w:bookmarkStart w:name="b_solucion_cmp_23_niveles_arrastrar" w:id="6102"/>
      <w:r>
        <w:t xml:space="preserve">Solución S1-95</w:t>
      </w:r>
      <w:bookmarkEnd w:id="6102"/>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Subsistema: El sistema respiratorio; Una célula</w:t>
            </w:r>
          </w:p>
          <w:p>
            <w:pPr>
              <w:pStyle w:val="Recuadro"/>
            </w:pPr>
            <w:r>
              <w:t xml:space="preserve">Sistema de referencia: El cuerpo humano</w:t>
            </w:r>
          </w:p>
          <w:p>
            <w:pPr>
              <w:pStyle w:val="Recuadro"/>
            </w:pPr>
            <w:r>
              <w:t xml:space="preserve">Suprasistema: La familia</w:t>
            </w:r>
          </w:p>
        </w:tc>
      </w:tr>
    </w:tbl>
    <w:p>
      <w:pPr>
        <w:pStyle w:val="Normal"/>
      </w:pPr>
      <w:r>
        <w:t xml:space="preserve">Criterio de resolución: Los tres niveles son relativos: si el sistema de referencia pasara a ser la familia, el cuerpo humano se volvería subsistema. Declarar el nivel evita atribuir al todo lo que es de la parte.</w:t>
      </w:r>
    </w:p>
    <w:p>
      <w:pPr>
        <w:pStyle w:val="Fuente"/>
      </w:pPr>
      <w:r>
        <w:t xml:space="preserve">Banco del portal; resolución editorial.</w:t>
      </w:r>
    </w:p>
    <w:p>
      <w:pPr>
        <w:pStyle w:val="Heading3"/>
      </w:pPr>
      <w:bookmarkStart w:name="b_solucion_cmp_24_emergencia_por_nivel" w:id="6103"/>
      <w:r>
        <w:t xml:space="preserve">Solución S1-96</w:t>
      </w:r>
      <w:bookmarkEnd w:id="6103"/>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b) Porque «emergente» significa que la propiedad pertenece al todo y no a las partes: sin saber qué es el todo, no se puede decir de quién es la propiedad</w:t>
            </w:r>
          </w:p>
        </w:tc>
      </w:tr>
    </w:tbl>
    <w:p>
      <w:pPr>
        <w:pStyle w:val="Normal"/>
      </w:pPr>
      <w:r>
        <w:t xml:space="preserve">a) Porque los niveles siempre son tres — Se descarta por la clave; aplique el criterio de resolución común que se desarrolla después de esta lista.</w:t>
      </w:r>
    </w:p>
    <w:p>
      <w:pPr>
        <w:pStyle w:val="Normal"/>
      </w:pPr>
      <w:r>
        <w:t xml:space="preserve">b) Porque «emergente» significa que la propiedad pertenece al todo y no a las partes: sin saber qué es el todo, no se puede decir de quién es la propiedad — Se selecciona por la clave; aplique el criterio de resolución común que se desarrolla después de esta lista.</w:t>
      </w:r>
    </w:p>
    <w:p>
      <w:pPr>
        <w:pStyle w:val="Normal"/>
      </w:pPr>
      <w:r>
        <w:t xml:space="preserve">c) Porque las partes no tienen propiedades — Se descarta por la clave; aplique el criterio de resolución común que se desarrolla después de esta lista.</w:t>
      </w:r>
    </w:p>
    <w:p>
      <w:pPr>
        <w:pStyle w:val="Normal"/>
      </w:pPr>
      <w:r>
        <w:t xml:space="preserve">d) Porque cada nivel tiene su propia unidad de medida — Se descarta por la clave; aplique el criterio de resolución común que se desarrolla después de esta lista.</w:t>
      </w:r>
    </w:p>
    <w:p>
      <w:pPr>
        <w:pStyle w:val="Normal"/>
      </w:pPr>
      <w:r>
        <w:t xml:space="preserve">Criterio de resolución: Es el error de la tasa de nacimientos frente a la edad de una persona: la misma lista de datos parece decir lo mismo hasta que se fija cuál es el sistema y cuáles sus partes.</w:t>
      </w:r>
    </w:p>
    <w:p>
      <w:pPr>
        <w:pStyle w:val="Fuente"/>
      </w:pPr>
      <w:r>
        <w:t xml:space="preserve">Banco del portal; resolución editorial.</w:t>
      </w:r>
    </w:p>
    <w:p>
      <w:pPr>
        <w:pStyle w:val="Heading3"/>
      </w:pPr>
      <w:bookmarkStart w:name="b_solucion_p1_bosque_pertenencia" w:id="6104"/>
      <w:r>
        <w:t xml:space="preserve">Solución S1-97</w:t>
      </w:r>
      <w:bookmarkEnd w:id="6104"/>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c) Bioma, ecosfera terrestre y sistema climático global</w:t>
            </w:r>
          </w:p>
        </w:tc>
      </w:tr>
    </w:tbl>
    <w:p>
      <w:pPr>
        <w:pStyle w:val="Normal"/>
      </w:pPr>
      <w:r>
        <w:t xml:space="preserve">a) Productores, consumidores y descomponedores como únicos suprasistemas — Se descarta por la clave; aplique el criterio de resolución común que se desarrolla después de esta lista.</w:t>
      </w:r>
    </w:p>
    <w:p>
      <w:pPr>
        <w:pStyle w:val="Normal"/>
      </w:pPr>
      <w:r>
        <w:t xml:space="preserve">b) Lluvia, CO</w:t>
      </w:r>
      <w:r>
        <w:rPr>
          <w:vertAlign w:val="subscript"/>
        </w:rPr>
        <w:t xml:space="preserve">2</w:t>
      </w:r>
      <w:r>
        <w:t xml:space="preserve"> y nutrientes como niveles de pertenencia — Se descarta por la clave; aplique el criterio de resolución común que se desarrolla después de esta lista.</w:t>
      </w:r>
    </w:p>
    <w:p>
      <w:pPr>
        <w:pStyle w:val="Normal"/>
      </w:pPr>
      <w:r>
        <w:t xml:space="preserve">c) Bioma, ecosfera terrestre y sistema climático global — Se selecciona por la clave; aplique el criterio de resolución común que se desarrolla después de esta lista.</w:t>
      </w:r>
    </w:p>
    <w:p>
      <w:pPr>
        <w:pStyle w:val="Normal"/>
      </w:pPr>
      <w:r>
        <w:t xml:space="preserve">d) Madera y oxígeno como sistemas mayores contenedores — Se descarta por la clave; aplique el criterio de resolución común que se desarrolla después de esta lista.</w:t>
      </w:r>
    </w:p>
    <w:p>
      <w:pPr>
        <w:pStyle w:val="Normal"/>
      </w:pPr>
      <w:r>
        <w:t xml:space="preserve">Criterio de resolución: La pertenencia sitúa al sistema focal en conjuntos de mayor escala. Bioma, ecosfera y sistema climático global amplían ese contexto; no son lo mismo que entradas materiales ni que partes internas.</w:t>
      </w:r>
    </w:p>
    <w:p>
      <w:pPr>
        <w:pStyle w:val="Fuente"/>
      </w:pPr>
      <w:r>
        <w:t xml:space="preserve">Presentación de la unidad 2 (C-6), pág. 39</w:t>
      </w:r>
    </w:p>
    <w:p>
      <w:pPr>
        <w:pStyle w:val="Heading3"/>
      </w:pPr>
      <w:bookmarkStart w:name="b_solucion_p1_composicion_descomponer" w:id="6105"/>
      <w:r>
        <w:t xml:space="preserve">Solución S1-98</w:t>
      </w:r>
      <w:bookmarkEnd w:id="6105"/>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d) Agrupar partes en unidades superiores y analizar subestructuras conservando sus relaciones</w:t>
            </w:r>
          </w:p>
        </w:tc>
      </w:tr>
    </w:tbl>
    <w:p>
      <w:pPr>
        <w:pStyle w:val="Normal"/>
      </w:pPr>
      <w:r>
        <w:t xml:space="preserve">a) Suponer que desarmar un sistema siempre conserva su emergencia — Se descarta por la clave; aplique el criterio de resolución común que se desarrolla después de esta lista.</w:t>
      </w:r>
    </w:p>
    <w:p>
      <w:pPr>
        <w:pStyle w:val="Normal"/>
      </w:pPr>
      <w:r>
        <w:t xml:space="preserve">b) Contar únicamente piezas sin atender niveles — Se descarta por la clave; aplique el criterio de resolución común que se desarrolla después de esta lista.</w:t>
      </w:r>
    </w:p>
    <w:p>
      <w:pPr>
        <w:pStyle w:val="Normal"/>
      </w:pPr>
      <w:r>
        <w:t xml:space="preserve">c) Afirmar que todo nivel tiene un jefe externo y una secuencia obligatoria — Se descarta por la clave; aplique el criterio de resolución común que se desarrolla después de esta lista.</w:t>
      </w:r>
    </w:p>
    <w:p>
      <w:pPr>
        <w:pStyle w:val="Normal"/>
      </w:pPr>
      <w:r>
        <w:t xml:space="preserve">d) Agrupar partes en unidades superiores y analizar subestructuras conservando sus relaciones — Se selecciona por la clave; aplique el criterio de resolución común que se desarrolla después de esta lista.</w:t>
      </w:r>
    </w:p>
    <w:p>
      <w:pPr>
        <w:pStyle w:val="Normal"/>
      </w:pPr>
      <w:r>
        <w:t xml:space="preserve">Criterio de resolución: La composición organiza partes en unidades y la descomponibilidad permite analizar subestructuras. Ese análisis debe conservar la atención a sus relaciones, porque aislar piezas puede hacer perder propiedades emergentes del conjunto.</w:t>
      </w:r>
    </w:p>
    <w:p>
      <w:pPr>
        <w:pStyle w:val="Fuente"/>
      </w:pPr>
      <w:r>
        <w:t xml:space="preserve">Presentación de la unidad 2 (C-6), pág. 54 y 58</w:t>
      </w:r>
    </w:p>
    <w:p>
      <w:pPr>
        <w:pStyle w:val="Heading3"/>
      </w:pPr>
      <w:bookmarkStart w:name="b_solucion_u2a_10_jerarquia" w:id="6106"/>
      <w:r>
        <w:t xml:space="preserve">Solución S1-99</w:t>
      </w:r>
      <w:bookmarkEnd w:id="6106"/>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1. Un estudiante</w:t>
            </w:r>
          </w:p>
          <w:p>
            <w:pPr>
              <w:pStyle w:val="Recuadro"/>
            </w:pPr>
            <w:r>
              <w:t xml:space="preserve">2. Un curso</w:t>
            </w:r>
          </w:p>
          <w:p>
            <w:pPr>
              <w:pStyle w:val="Recuadro"/>
            </w:pPr>
            <w:r>
              <w:t xml:space="preserve">3. La facultad</w:t>
            </w:r>
          </w:p>
          <w:p>
            <w:pPr>
              <w:pStyle w:val="Recuadro"/>
            </w:pPr>
            <w:r>
              <w:t xml:space="preserve">4. La universidad</w:t>
            </w:r>
          </w:p>
        </w:tc>
      </w:tr>
    </w:tbl>
    <w:p>
      <w:pPr>
        <w:pStyle w:val="Normal"/>
      </w:pPr>
      <w:r>
        <w:t xml:space="preserve">Criterio de resolución: El estudiante es parte del curso, el curso de la facultad y la facultad de la universidad. Subir o bajar en la jerarquía cambia qué es sistema y qué es entorno.</w:t>
      </w:r>
    </w:p>
    <w:p>
      <w:pPr>
        <w:pStyle w:val="Fuente"/>
      </w:pPr>
      <w:r>
        <w:t xml:space="preserve">Banco del portal; resolución editorial.</w:t>
      </w:r>
    </w:p>
    <w:p>
      <w:pPr>
        <w:pStyle w:val="Heading3"/>
      </w:pPr>
      <w:bookmarkStart w:name="b_solucion_u2a_11_suprasistema" w:id="6107"/>
      <w:r>
        <w:t xml:space="preserve">Solución S1-100</w:t>
      </w:r>
      <w:bookmarkEnd w:id="6107"/>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b) El suprasistema que lo contiene</w:t>
            </w:r>
          </w:p>
        </w:tc>
      </w:tr>
    </w:tbl>
    <w:p>
      <w:pPr>
        <w:pStyle w:val="Normal"/>
      </w:pPr>
      <w:r>
        <w:t xml:space="preserve">a) Un subsistema del curso — Se descarta por la clave; aplique el criterio de resolución común que se desarrolla después de esta lista.</w:t>
      </w:r>
    </w:p>
    <w:p>
      <w:pPr>
        <w:pStyle w:val="Normal"/>
      </w:pPr>
      <w:r>
        <w:t xml:space="preserve">b) El suprasistema que lo contiene — Se selecciona por la clave; aplique el criterio de resolución común que se desarrolla después de esta lista.</w:t>
      </w:r>
    </w:p>
    <w:p>
      <w:pPr>
        <w:pStyle w:val="Normal"/>
      </w:pPr>
      <w:r>
        <w:t xml:space="preserve">c) Un sistema sin relación con el curso — Se descarta por la clave; aplique el criterio de resolución común que se desarrolla después de esta lista.</w:t>
      </w:r>
    </w:p>
    <w:p>
      <w:pPr>
        <w:pStyle w:val="Normal"/>
      </w:pPr>
      <w:r>
        <w:t xml:space="preserve">d) Una propiedad emergente del curso — Se descarta por la clave; aplique el criterio de resolución común que se desarrolla después de esta lista.</w:t>
      </w:r>
    </w:p>
    <w:p>
      <w:pPr>
        <w:pStyle w:val="Normal"/>
      </w:pPr>
      <w:r>
        <w:t xml:space="preserve">Criterio de resolución: Subsistema y suprasistema son posiciones relativas al sistema de referencia que uno elija, no categorías fijas: el mismo objeto es una cosa u otra según desde dónde se mire.</w:t>
      </w:r>
    </w:p>
    <w:p>
      <w:pPr>
        <w:pStyle w:val="Fuente"/>
      </w:pPr>
      <w:r>
        <w:t xml:space="preserve">Banco del portal; resolución editorial.</w:t>
      </w:r>
    </w:p>
    <w:p>
      <w:pPr>
        <w:pStyle w:val="Heading3"/>
      </w:pPr>
      <w:bookmarkStart w:name="b_solucion_u2a_12_nivel_de_analisis" w:id="6108"/>
      <w:r>
        <w:t xml:space="preserve">Solución S1-101</w:t>
      </w:r>
      <w:bookmarkEnd w:id="6108"/>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b) Porque sin declararlo se confunden propiedades del todo con propiedades de las partes</w:t>
            </w:r>
          </w:p>
        </w:tc>
      </w:tr>
    </w:tbl>
    <w:p>
      <w:pPr>
        <w:pStyle w:val="Normal"/>
      </w:pPr>
      <w:r>
        <w:t xml:space="preserve">a) Porque es un requisito administrativo — Se descarta por la clave; aplique el criterio de resolución común que se desarrolla después de esta lista.</w:t>
      </w:r>
    </w:p>
    <w:p>
      <w:pPr>
        <w:pStyle w:val="Normal"/>
      </w:pPr>
      <w:r>
        <w:t xml:space="preserve">b) Porque sin declararlo se confunden propiedades del todo con propiedades de las partes — Se selecciona por la clave; aplique el criterio de resolución común que se desarrolla después de esta lista.</w:t>
      </w:r>
    </w:p>
    <w:p>
      <w:pPr>
        <w:pStyle w:val="Normal"/>
      </w:pPr>
      <w:r>
        <w:t xml:space="preserve">c) Porque los niveles siempre son cuatro — Se descarta por la clave; aplique el criterio de resolución común que se desarrolla después de esta lista.</w:t>
      </w:r>
    </w:p>
    <w:p>
      <w:pPr>
        <w:pStyle w:val="Normal"/>
      </w:pPr>
      <w:r>
        <w:t xml:space="preserve">d) Porque así se evita usar diagramas — Se descarta por la clave; aplique el criterio de resolución común que se desarrolla después de esta lista.</w:t>
      </w:r>
    </w:p>
    <w:p>
      <w:pPr>
        <w:pStyle w:val="Normal"/>
      </w:pPr>
      <w:r>
        <w:t xml:space="preserve">Criterio de resolución: Es el error de la propiedad emergente: la tasa de nacimientos es del sistema, la edad es de la parte. Sin declarar el nivel, cualquiera de las dos parece decir lo mismo.</w:t>
      </w:r>
    </w:p>
    <w:p>
      <w:pPr>
        <w:pStyle w:val="Fuente"/>
      </w:pPr>
      <w:r>
        <w:t xml:space="preserve">Banco del portal; resolución editorial.</w:t>
      </w:r>
    </w:p>
    <w:p>
      <w:pPr>
        <w:pStyle w:val="Heading3"/>
      </w:pPr>
      <w:bookmarkStart w:name="b_solucion_ec2_02_emergente_poblacion" w:id="6109"/>
      <w:r>
        <w:t xml:space="preserve">Solución S1-102</w:t>
      </w:r>
      <w:bookmarkEnd w:id="6109"/>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a) Tasa de nacimientos anual</w:t>
            </w:r>
          </w:p>
        </w:tc>
      </w:tr>
    </w:tbl>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Retroalimentación oficial de la plataforma</w:t>
            </w:r>
          </w:p>
          <w:p>
            <w:pPr>
              <w:pStyle w:val="Recuadro"/>
            </w:pPr>
            <w:r>
              <w:t xml:space="preserve">La respuesta correcta es: Tasa de nacimientos anual</w:t>
            </w:r>
          </w:p>
        </w:tc>
      </w:tr>
    </w:tbl>
    <w:p>
      <w:pPr>
        <w:pStyle w:val="Normal"/>
      </w:pPr>
      <w:r>
        <w:t xml:space="preserve">a) Tasa de nacimientos anual — Correcta: sólo existe al mirar la población entera; ninguna persona tiene una tasa de nacimientos.</w:t>
      </w:r>
    </w:p>
    <w:p>
      <w:pPr>
        <w:pStyle w:val="Normal"/>
      </w:pPr>
      <w:r>
        <w:t xml:space="preserve">b) La dirección donde vive un artista reconocido — Es un dato de un individuo, no del conjunto.</w:t>
      </w:r>
    </w:p>
    <w:p>
      <w:pPr>
        <w:pStyle w:val="Normal"/>
      </w:pPr>
      <w:r>
        <w:t xml:space="preserve">c) Cantidad de hijos en una familia — Es un dato de una familia, una parte del sistema.</w:t>
      </w:r>
    </w:p>
    <w:p>
      <w:pPr>
        <w:pStyle w:val="Normal"/>
      </w:pPr>
      <w:r>
        <w:t xml:space="preserve">d) Edad de cada persona — Es un atributo de cada persona por separado.</w:t>
      </w:r>
    </w:p>
    <w:p>
      <w:pPr>
        <w:pStyle w:val="Normal"/>
      </w:pPr>
      <w:r>
        <w:t xml:space="preserve">Criterio de resolución: Una propiedad emergente pertenece al sistema completo y no a ninguna de sus partes. La tasa de nacimientos sólo tiene sentido para la población; la edad, la dirección o el número de hijos son atributos de las partes.</w:t>
      </w:r>
    </w:p>
    <w:p>
      <w:pPr>
        <w:pStyle w:val="Fuente"/>
      </w:pPr>
      <w:r>
        <w:t xml:space="preserve">Banco del portal; resolución editorial.</w:t>
      </w:r>
    </w:p>
    <w:p>
      <w:pPr>
        <w:pStyle w:val="Heading3"/>
      </w:pPr>
      <w:bookmarkStart w:name="b_solucion_ec2_03_diferenciacio_ae220545" w:id="6110"/>
      <w:r>
        <w:t xml:space="preserve">Solución S1-103</w:t>
      </w:r>
      <w:bookmarkEnd w:id="6110"/>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a) Ambas son importantes y lo mejor es mantener un equilibrio entre ambas</w:t>
            </w:r>
          </w:p>
        </w:tc>
      </w:tr>
    </w:tbl>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Retroalimentación oficial de la plataforma</w:t>
            </w:r>
          </w:p>
          <w:p>
            <w:pPr>
              <w:pStyle w:val="Recuadro"/>
            </w:pPr>
            <w:r>
              <w:t xml:space="preserve">Su respuesta es incorrecta. La respuesta correcta es: Ambas son importantes y lo mejor es mantener un equilibrio entre ambas</w:t>
            </w:r>
          </w:p>
        </w:tc>
      </w:tr>
    </w:tbl>
    <w:p>
      <w:pPr>
        <w:pStyle w:val="Normal"/>
      </w:pPr>
      <w:r>
        <w:t xml:space="preserve">a) Ambas son importantes y lo mejor es mantener un equilibrio entre ambas — Correcta: el pensador sistémico separa para conocer las partes y reúne para comprender el conjunto, y no renuncia a ninguna de las dos.</w:t>
      </w:r>
    </w:p>
    <w:p>
      <w:pPr>
        <w:pStyle w:val="Normal"/>
      </w:pPr>
      <w:r>
        <w:t xml:space="preserve">b) Ninguna es importante, hay algo más importante que estas dos — No: el curso no propone una tercera operación por encima de estas.</w:t>
      </w:r>
    </w:p>
    <w:p>
      <w:pPr>
        <w:pStyle w:val="Normal"/>
      </w:pPr>
      <w:r>
        <w:t xml:space="preserve">c) La integración — Tentadora, porque el pensamiento sistémico se asocia al todo, pero quedarse sólo con la síntesis deja sin estudiar las partes.</w:t>
      </w:r>
    </w:p>
    <w:p>
      <w:pPr>
        <w:pStyle w:val="Normal"/>
      </w:pPr>
      <w:r>
        <w:t xml:space="preserve">d) La diferenciación — El análisis por sí solo es justo lo que el enfoque sistémico viene a corregir.</w:t>
      </w:r>
    </w:p>
    <w:p>
      <w:pPr>
        <w:pStyle w:val="Normal"/>
      </w:pPr>
      <w:r>
        <w:t xml:space="preserve">Criterio de resolución: Es el error más fácil de cometer: suponer que, como el pensamiento sistémico mira totalidades, la integración manda. La respuesta del curso es el equilibrio — diferenciación es análisis, integración es síntesis, y hacen falta las dos.</w:t>
      </w:r>
    </w:p>
    <w:p>
      <w:pPr>
        <w:pStyle w:val="Fuente"/>
      </w:pPr>
      <w:r>
        <w:t xml:space="preserve">Banco del portal; resolución editorial.</w:t>
      </w:r>
    </w:p>
    <w:p>
      <w:pPr>
        <w:pStyle w:val="Heading3"/>
      </w:pPr>
      <w:bookmarkStart w:name="b_solucion_ec2_05_propiedades_emergentes" w:id="6111"/>
      <w:r>
        <w:t xml:space="preserve">Solución S1-104</w:t>
      </w:r>
      <w:bookmarkEnd w:id="6111"/>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a) Aquellas propias del sistema pero no de sus partes individuales</w:t>
            </w:r>
          </w:p>
        </w:tc>
      </w:tr>
    </w:tbl>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Retroalimentación oficial de la plataforma</w:t>
            </w:r>
          </w:p>
          <w:p>
            <w:pPr>
              <w:pStyle w:val="Recuadro"/>
            </w:pPr>
            <w:r>
              <w:t xml:space="preserve">La respuesta correcta es: Aquellas propias del sistema pero no de sus partes individuales</w:t>
            </w:r>
          </w:p>
        </w:tc>
      </w:tr>
    </w:tbl>
    <w:p>
      <w:pPr>
        <w:pStyle w:val="Normal"/>
      </w:pPr>
      <w:r>
        <w:t xml:space="preserve">a) Aquellas propias del sistema pero no de sus partes individuales — Se selecciona por la clave; aplique el criterio de resolución común que se desarrolla después de esta lista.</w:t>
      </w:r>
    </w:p>
    <w:p>
      <w:pPr>
        <w:pStyle w:val="Normal"/>
      </w:pPr>
      <w:r>
        <w:t xml:space="preserve">b) Aquellas cuyo valor es proporcional a la complejidad del sistema — Se descarta por la clave; aplique el criterio de resolución común que se desarrolla después de esta lista.</w:t>
      </w:r>
    </w:p>
    <w:p>
      <w:pPr>
        <w:pStyle w:val="Normal"/>
      </w:pPr>
      <w:r>
        <w:t xml:space="preserve">c) Aquellas independientes del tamaño del sistema — Se descarta por la clave; aplique el criterio de resolución común que se desarrolla después de esta lista.</w:t>
      </w:r>
    </w:p>
    <w:p>
      <w:pPr>
        <w:pStyle w:val="Normal"/>
      </w:pPr>
      <w:r>
        <w:t xml:space="preserve">d) Aquellas que relacionan el sistema con su medio — Se descarta por la clave; aplique el criterio de resolución común que se desarrolla después de esta lista.</w:t>
      </w:r>
    </w:p>
    <w:p>
      <w:pPr>
        <w:pStyle w:val="Normal"/>
      </w:pPr>
      <w:r>
        <w:t xml:space="preserve">Criterio de resolución: La emergencia no depende del tamaño ni de la complejidad ni del vínculo con el entorno: es que la propiedad aparece en el conjunto y no está en ninguna parte por separado.</w:t>
      </w:r>
    </w:p>
    <w:p>
      <w:pPr>
        <w:pStyle w:val="Fuente"/>
      </w:pPr>
      <w:r>
        <w:t xml:space="preserve">Banco del portal; resolución editorial.</w:t>
      </w:r>
    </w:p>
    <w:p>
      <w:pPr>
        <w:pStyle w:val="Heading3"/>
      </w:pPr>
      <w:bookmarkStart w:name="b_solucion_ec2_07_sinergia" w:id="6112"/>
      <w:r>
        <w:t xml:space="preserve">Solución S1-105</w:t>
      </w:r>
      <w:bookmarkEnd w:id="6112"/>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b) Sinergia</w:t>
            </w:r>
          </w:p>
        </w:tc>
      </w:tr>
    </w:tbl>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Retroalimentación oficial de la plataforma</w:t>
            </w:r>
          </w:p>
          <w:p>
            <w:pPr>
              <w:pStyle w:val="Recuadro"/>
            </w:pPr>
            <w:r>
              <w:t xml:space="preserve">La respuesta correcta es: Sinergia</w:t>
            </w:r>
          </w:p>
        </w:tc>
      </w:tr>
    </w:tbl>
    <w:p>
      <w:pPr>
        <w:pStyle w:val="Normal"/>
      </w:pPr>
      <w:r>
        <w:t xml:space="preserve">a) Homeostasis — Homeostasis es mantener el equilibrio con el medio, no superar la suma.</w:t>
      </w:r>
    </w:p>
    <w:p>
      <w:pPr>
        <w:pStyle w:val="Normal"/>
      </w:pPr>
      <w:r>
        <w:t xml:space="preserve">b) Sinergia — Correcta: el todo supera la suma de las partes.</w:t>
      </w:r>
    </w:p>
    <w:p>
      <w:pPr>
        <w:pStyle w:val="Normal"/>
      </w:pPr>
      <w:r>
        <w:t xml:space="preserve">c) Entropía — Entropía es el grado de desorden.</w:t>
      </w:r>
    </w:p>
    <w:p>
      <w:pPr>
        <w:pStyle w:val="Normal"/>
      </w:pPr>
      <w:r>
        <w:t xml:space="preserve">d) Emergencia — Muy cercana, pero la emergencia es la aparición de una propiedad nueva; la sinergia es la ganancia de capacidad que la produce.</w:t>
      </w:r>
    </w:p>
    <w:p>
      <w:pPr>
        <w:pStyle w:val="Normal"/>
      </w:pPr>
      <w:r>
        <w:t xml:space="preserve">Criterio de resolución: Sinergia y emergencia van juntas pero no son lo mismo: la sinergia es que el conjunto rinda más que la suma de sus partes, y la emergencia es la propiedad nueva que aparece por esa interacción.</w:t>
      </w:r>
    </w:p>
    <w:p>
      <w:pPr>
        <w:pStyle w:val="Fuente"/>
      </w:pPr>
      <w:r>
        <w:t xml:space="preserve">Banco del portal; resolución editorial.</w:t>
      </w:r>
    </w:p>
    <w:p>
      <w:pPr>
        <w:pStyle w:val="Heading3"/>
      </w:pPr>
      <w:bookmarkStart w:name="b_solucion_p1_mosaico_organizacion" w:id="6113"/>
      <w:r>
        <w:t xml:space="preserve">Solución S1-106</w:t>
      </w:r>
      <w:bookmarkEnd w:id="6113"/>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a) Las relaciones y la organización del conjunto</w:t>
            </w:r>
          </w:p>
        </w:tc>
      </w:tr>
    </w:tbl>
    <w:p>
      <w:pPr>
        <w:pStyle w:val="Normal"/>
      </w:pPr>
      <w:r>
        <w:t xml:space="preserve">a) Las relaciones y la organización del conjunto — Se selecciona por la clave; aplique el criterio de resolución común que se desarrolla después de esta lista.</w:t>
      </w:r>
    </w:p>
    <w:p>
      <w:pPr>
        <w:pStyle w:val="Normal"/>
      </w:pPr>
      <w:r>
        <w:t xml:space="preserve">b) La necesidad de analizar cualquier pieza — Se descarta por la clave; aplique el criterio de resolución común que se desarrolla después de esta lista.</w:t>
      </w:r>
    </w:p>
    <w:p>
      <w:pPr>
        <w:pStyle w:val="Normal"/>
      </w:pPr>
      <w:r>
        <w:t xml:space="preserve">c) El número de colores demuestra que no hay sistema — Se descarta por la clave; aplique el criterio de resolución común que se desarrolla después de esta lista.</w:t>
      </w:r>
    </w:p>
    <w:p>
      <w:pPr>
        <w:pStyle w:val="Normal"/>
      </w:pPr>
      <w:r>
        <w:t xml:space="preserve">d) Cada pieza perdió por sí sola una mariposa que contenía entera — Se descarta por la clave; aplique el criterio de resolución común que se desarrolla después de esta lista.</w:t>
      </w:r>
    </w:p>
    <w:p>
      <w:pPr>
        <w:pStyle w:val="Normal"/>
      </w:pPr>
      <w:r>
        <w:t xml:space="preserve">Criterio de resolución: La figura reconocible es una propiedad del conjunto organizado. Tener las mismas piezas no garantiza conservarla si se alteran las relaciones espaciales que la hacen aparecer; por eso composición y organización se distinguen.</w:t>
      </w:r>
    </w:p>
    <w:p>
      <w:pPr>
        <w:pStyle w:val="Fuente"/>
      </w:pPr>
      <w:r>
        <w:t xml:space="preserve">Presentación de la unidad 2 (C-6), pág. 44 y 45</w:t>
      </w:r>
    </w:p>
    <w:p>
      <w:pPr>
        <w:pStyle w:val="Heading3"/>
      </w:pPr>
      <w:bookmarkStart w:name="b_solucion_u2a_13_sinergia_vs_emergencia" w:id="6114"/>
      <w:r>
        <w:t xml:space="preserve">Solución S1-107</w:t>
      </w:r>
      <w:bookmarkEnd w:id="6114"/>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Sinergia → La capacidad del conjunto es superior a la suma de sus componentes</w:t>
            </w:r>
          </w:p>
          <w:p>
            <w:pPr>
              <w:pStyle w:val="Recuadro"/>
            </w:pPr>
            <w:r>
              <w:t xml:space="preserve">Emergencia → Aparece en el todo una propiedad que ninguna parte posee por separado</w:t>
            </w:r>
          </w:p>
          <w:p>
            <w:pPr>
              <w:pStyle w:val="Recuadro"/>
            </w:pPr>
            <w:r>
              <w:t xml:space="preserve">Conglomerado → Serie de partes sin la sinergia de una totalidad</w:t>
            </w:r>
          </w:p>
        </w:tc>
      </w:tr>
    </w:tbl>
    <w:p>
      <w:pPr>
        <w:pStyle w:val="Normal"/>
      </w:pPr>
      <w:r>
        <w:t xml:space="preserve">Distractor sin fila correspondiente: Equilibrio que el sistema mantiene con su medio.</w:t>
      </w:r>
    </w:p>
    <w:p>
      <w:pPr>
        <w:pStyle w:val="Normal"/>
      </w:pPr>
      <w:r>
        <w:t xml:space="preserve">Criterio de resolución: Sinergia y emergencia son las dos caras del mismo hecho: la interacción rinde más que la suma, y eso hace aparecer una propiedad nueva. El distractor define la homeostasis.</w:t>
      </w:r>
    </w:p>
    <w:p>
      <w:pPr>
        <w:pStyle w:val="Fuente"/>
      </w:pPr>
      <w:r>
        <w:t xml:space="preserve">Banco del portal; resolución editorial.</w:t>
      </w:r>
    </w:p>
    <w:p>
      <w:pPr>
        <w:pStyle w:val="Heading3"/>
      </w:pPr>
      <w:bookmarkStart w:name="b_solucion_u2a_14_emergente_ejemplos" w:id="6115"/>
      <w:r>
        <w:t xml:space="preserve">Solución S1-108</w:t>
      </w:r>
      <w:bookmarkEnd w:id="6115"/>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a) La cultura de una organización</w:t>
            </w:r>
          </w:p>
          <w:p>
            <w:pPr>
              <w:pStyle w:val="Recuadro"/>
            </w:pPr>
            <w:r>
              <w:t xml:space="preserve">c) La congestión de una avenida</w:t>
            </w:r>
          </w:p>
        </w:tc>
      </w:tr>
    </w:tbl>
    <w:p>
      <w:pPr>
        <w:pStyle w:val="Normal"/>
      </w:pPr>
      <w:r>
        <w:t xml:space="preserve">a) La cultura de una organización — Se selecciona por la clave; aplique el criterio de resolución común que se desarrolla después de esta lista.</w:t>
      </w:r>
    </w:p>
    <w:p>
      <w:pPr>
        <w:pStyle w:val="Normal"/>
      </w:pPr>
      <w:r>
        <w:t xml:space="preserve">b) El salario de un empleado — Se descarta por la clave; aplique el criterio de resolución común que se desarrolla después de esta lista.</w:t>
      </w:r>
    </w:p>
    <w:p>
      <w:pPr>
        <w:pStyle w:val="Normal"/>
      </w:pPr>
      <w:r>
        <w:t xml:space="preserve">c) La congestión de una avenida — Se selecciona por la clave; aplique el criterio de resolución común que se desarrolla después de esta lista.</w:t>
      </w:r>
    </w:p>
    <w:p>
      <w:pPr>
        <w:pStyle w:val="Normal"/>
      </w:pPr>
      <w:r>
        <w:t xml:space="preserve">d) La marca del vehículo de un conductor — Se descarta por la clave; aplique el criterio de resolución común que se desarrolla después de esta lista.</w:t>
      </w:r>
    </w:p>
    <w:p>
      <w:pPr>
        <w:pStyle w:val="Normal"/>
      </w:pPr>
      <w:r>
        <w:t xml:space="preserve">Criterio de resolución: Ni la cultura ni la congestión existen en ningún individuo por separado: aparecen de la interacción. El salario y la marca del vehículo son atributos de partes.</w:t>
      </w:r>
    </w:p>
    <w:p>
      <w:pPr>
        <w:pStyle w:val="Fuente"/>
      </w:pPr>
      <w:r>
        <w:t xml:space="preserve">Banco del portal; resolución editorial.</w:t>
      </w:r>
    </w:p>
    <w:p>
      <w:pPr>
        <w:pStyle w:val="Heading3"/>
      </w:pPr>
      <w:bookmarkStart w:name="b_solucion_u2a_15_analisis_sintesis" w:id="6116"/>
      <w:r>
        <w:t xml:space="preserve">Solución S1-109</w:t>
      </w:r>
      <w:bookmarkEnd w:id="6116"/>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Análisis (diferenciación) → Separa el todo para conocer sus partes</w:t>
            </w:r>
          </w:p>
          <w:p>
            <w:pPr>
              <w:pStyle w:val="Recuadro"/>
            </w:pPr>
            <w:r>
              <w:t xml:space="preserve">Síntesis (integración) → Reúne las partes para comprender sus relaciones y el comportamiento del conjunto</w:t>
            </w:r>
          </w:p>
        </w:tc>
      </w:tr>
    </w:tbl>
    <w:p>
      <w:pPr>
        <w:pStyle w:val="Normal"/>
      </w:pPr>
      <w:r>
        <w:t xml:space="preserve">Distractor sin fila correspondiente: Mide las variables del sistema en el tiempo.</w:t>
      </w:r>
    </w:p>
    <w:p>
      <w:pPr>
        <w:pStyle w:val="Normal"/>
      </w:pPr>
      <w:r>
        <w:t xml:space="preserve">Criterio de resolución: Diferenciación e integración son los nombres que la teoría de sistemas da al análisis y la síntesis. Y la respuesta del curso a cuál importa más es: ambas, en equilibrio.</w:t>
      </w:r>
    </w:p>
    <w:p>
      <w:pPr>
        <w:pStyle w:val="Fuente"/>
      </w:pPr>
      <w:r>
        <w:t xml:space="preserve">Banco del portal; resolución editorial.</w:t>
      </w:r>
    </w:p>
    <w:p>
      <w:pPr>
        <w:pStyle w:val="Heading3"/>
      </w:pPr>
      <w:bookmarkStart w:name="b_solucion_u2a_16_uno_mas_uno" w:id="6117"/>
      <w:r>
        <w:t xml:space="preserve">Solución S1-110</w:t>
      </w:r>
      <w:bookmarkEnd w:id="6117"/>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b) Que al interactuar, dos elementos generan una propiedad adicional que no es una tercera parte sino algo que emerge de su interacción</w:t>
            </w:r>
          </w:p>
        </w:tc>
      </w:tr>
    </w:tbl>
    <w:p>
      <w:pPr>
        <w:pStyle w:val="Normal"/>
      </w:pPr>
      <w:r>
        <w:t xml:space="preserve">a) Que la aritmética no aplica a los sistemas — Se descarta por la clave; aplique el criterio de resolución común que se desarrolla después de esta lista.</w:t>
      </w:r>
    </w:p>
    <w:p>
      <w:pPr>
        <w:pStyle w:val="Normal"/>
      </w:pPr>
      <w:r>
        <w:t xml:space="preserve">b) Que al interactuar, dos elementos generan una propiedad adicional que no es una tercera parte sino algo que emerge de su interacción — Se selecciona por la clave; aplique el criterio de resolución común que se desarrolla después de esta lista.</w:t>
      </w:r>
    </w:p>
    <w:p>
      <w:pPr>
        <w:pStyle w:val="Normal"/>
      </w:pPr>
      <w:r>
        <w:t xml:space="preserve">c) Que todo sistema tiene tres componentes — Se descarta por la clave; aplique el criterio de resolución común que se desarrolla después de esta lista.</w:t>
      </w:r>
    </w:p>
    <w:p>
      <w:pPr>
        <w:pStyle w:val="Normal"/>
      </w:pPr>
      <w:r>
        <w:t xml:space="preserve">d) Que la sinergia siempre triplica el rendimiento — Se descarta por la clave; aplique el criterio de resolución común que se desarrolla después de esta lista.</w:t>
      </w:r>
    </w:p>
    <w:p>
      <w:pPr>
        <w:pStyle w:val="Normal"/>
      </w:pPr>
      <w:r>
        <w:t xml:space="preserve">Criterio de resolución: No es una igualdad matemática sino una imagen: lo que aparece de más no es otra pieza, es una propiedad del conjunto.</w:t>
      </w:r>
    </w:p>
    <w:p>
      <w:pPr>
        <w:pStyle w:val="Fuente"/>
      </w:pPr>
      <w:r>
        <w:t xml:space="preserve">Banco del portal; resolución editorial.</w:t>
      </w:r>
    </w:p>
    <w:p>
      <w:pPr>
        <w:pStyle w:val="Heading3"/>
      </w:pPr>
      <w:bookmarkStart w:name="b_solucion_ec2_08_complejo_vs_adaptativo" w:id="6118"/>
      <w:r>
        <w:t xml:space="preserve">Solución S1-111</w:t>
      </w:r>
      <w:bookmarkEnd w:id="6118"/>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Sistema complejo: Diverso y conformado por múltiples elementos y relaciones; Tiene un número diverso de niveles o escalas que van de lo simple a lo complejo creando una estructura auto-organizada de niveles</w:t>
            </w:r>
          </w:p>
          <w:p>
            <w:pPr>
              <w:pStyle w:val="Recuadro"/>
            </w:pPr>
            <w:r>
              <w:t xml:space="preserve">Sistema adaptativo complejo: Tiene la capacidad de cambiar y aprender de la experiencia; Contiene relaciones cíclicas de retroalimentación positivas o negativas que forman su comportamiento; Presentan homeostasis</w:t>
            </w:r>
          </w:p>
        </w:tc>
      </w:tr>
    </w:tbl>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Retroalimentación oficial de la plataforma</w:t>
            </w:r>
          </w:p>
          <w:p>
            <w:pPr>
              <w:pStyle w:val="Recuadro"/>
            </w:pPr>
            <w:r>
              <w:t xml:space="preserve">La respuesta correcta es: Diverso y conformado por múltiples elementos y relaciones. → Sistema complejo, Tiene un número diverso de niveles o escalas… → Sistema complejo, Tiene la capacidad de cambiar y aprender de la experiencia → Sistema adaptativo complejo, Contiene relaciones ciclicas de retroalimentación positivas o negativas… → Sistema adaptativo complejo, Presentan Homeostásis → Sistema adaptativo complejo</w:t>
            </w:r>
          </w:p>
        </w:tc>
      </w:tr>
    </w:tbl>
    <w:p>
      <w:pPr>
        <w:pStyle w:val="Normal"/>
      </w:pPr>
      <w:r>
        <w:t xml:space="preserve">Criterio de resolución: Todo sistema adaptativo complejo es complejo, pero no al revés. Lo que añade el «adaptativo» es aprender, cambiar, retroalimentarse y sostener su equilibrio: la palabra que lo distingue es adaptación.</w:t>
      </w:r>
    </w:p>
    <w:p>
      <w:pPr>
        <w:pStyle w:val="Fuente"/>
      </w:pPr>
      <w:r>
        <w:t xml:space="preserve">Banco del portal; resolución editorial.</w:t>
      </w:r>
    </w:p>
    <w:p>
      <w:pPr>
        <w:pStyle w:val="Heading3"/>
      </w:pPr>
      <w:bookmarkStart w:name="b_solucion_p1_control_escala" w:id="6119"/>
      <w:r>
        <w:t xml:space="preserve">Solución S1-112</w:t>
      </w:r>
      <w:bookmarkEnd w:id="6119"/>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d) Coordinan o regulan partes, entre compuestos y autoorganización, sin exigir un jefe externo</w:t>
            </w:r>
          </w:p>
        </w:tc>
      </w:tr>
    </w:tbl>
    <w:p>
      <w:pPr>
        <w:pStyle w:val="Normal"/>
      </w:pPr>
      <w:r>
        <w:t xml:space="preserve">a) Son un sinónimo de contar componentes desconectados — Se descarta por la clave; aplique el criterio de resolución común que se desarrolla después de esta lista.</w:t>
      </w:r>
    </w:p>
    <w:p>
      <w:pPr>
        <w:pStyle w:val="Normal"/>
      </w:pPr>
      <w:r>
        <w:t xml:space="preserve">b) Prueban que todos los sistemas siguen las mismas fases obligatorias — Se descarta por la clave; aplique el criterio de resolución común que se desarrolla después de esta lista.</w:t>
      </w:r>
    </w:p>
    <w:p>
      <w:pPr>
        <w:pStyle w:val="Normal"/>
      </w:pPr>
      <w:r>
        <w:t xml:space="preserve">c) Indican que la autoorganización elimina toda relación entre partes — Se descarta por la clave; aplique el criterio de resolución común que se desarrolla después de esta lista.</w:t>
      </w:r>
    </w:p>
    <w:p>
      <w:pPr>
        <w:pStyle w:val="Normal"/>
      </w:pPr>
      <w:r>
        <w:t xml:space="preserve">d) Coordinan o regulan partes, entre compuestos y autoorganización, sin exigir un jefe externo — Se selecciona por la clave; aplique el criterio de resolución común que se desarrolla después de esta lista.</w:t>
      </w:r>
    </w:p>
    <w:p>
      <w:pPr>
        <w:pStyle w:val="Normal"/>
      </w:pPr>
      <w:r>
        <w:t xml:space="preserve">Criterio de resolución: La figura sitúa control entre compuestos y autoorganización y lo relaciona con jerarquías y emergencia. Leer el eje exige explicar cómo se coordinan unidades; no es una receta evolutiva universal ni exige control externo.</w:t>
      </w:r>
    </w:p>
    <w:p>
      <w:pPr>
        <w:pStyle w:val="Fuente"/>
      </w:pPr>
      <w:r>
        <w:t xml:space="preserve">Presentación de la unidad 2 (C-6), pág. 54 y 58</w:t>
      </w:r>
    </w:p>
    <w:p>
      <w:pPr>
        <w:pStyle w:val="Heading3"/>
      </w:pPr>
      <w:bookmarkStart w:name="b_solucion_p1_poder_incertidumbre" w:id="6120"/>
      <w:r>
        <w:t xml:space="preserve">Solución S1-113</w:t>
      </w:r>
      <w:bookmarkEnd w:id="6120"/>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b) Conflictos de expectativas, relaciones de poder e incertidumbre sobre efectos con información limitada</w:t>
            </w:r>
          </w:p>
        </w:tc>
      </w:tr>
    </w:tbl>
    <w:p>
      <w:pPr>
        <w:pStyle w:val="Normal"/>
      </w:pPr>
      <w:r>
        <w:t xml:space="preserve">a) Sólo número de piezas y certeza sobre todos los efectos — Se descarta por la clave; aplique el criterio de resolución común que se desarrolla después de esta lista.</w:t>
      </w:r>
    </w:p>
    <w:p>
      <w:pPr>
        <w:pStyle w:val="Normal"/>
      </w:pPr>
      <w:r>
        <w:t xml:space="preserve">b) Conflictos de expectativas, relaciones de poder e incertidumbre sobre efectos con información limitada — Se selecciona por la clave; aplique el criterio de resolución común que se desarrolla después de esta lista.</w:t>
      </w:r>
    </w:p>
    <w:p>
      <w:pPr>
        <w:pStyle w:val="Normal"/>
      </w:pPr>
      <w:r>
        <w:t xml:space="preserve">c) Sólo los intereses de quien puede pagar la intervención — Se descarta por la clave; aplique el criterio de resolución común que se desarrolla después de esta lista.</w:t>
      </w:r>
    </w:p>
    <w:p>
      <w:pPr>
        <w:pStyle w:val="Normal"/>
      </w:pPr>
      <w:r>
        <w:t xml:space="preserve">d) Acuerdo sobre una acción como prueba de que no habrá consecuencias imprevistas — Se descarta por la clave; aplique el criterio de resolución común que se desarrolla después de esta lista.</w:t>
      </w:r>
    </w:p>
    <w:p>
      <w:pPr>
        <w:pStyle w:val="Normal"/>
      </w:pPr>
      <w:r>
        <w:t xml:space="preserve">Criterio de resolución: Los actores pueden discrepar sobre fines y medios y tener capacidad desigual de decidir. Más interrelaciones y menos información confiable dificultan prever efectos; acordar una intervención no elimina esa incertidumbre.</w:t>
      </w:r>
    </w:p>
    <w:p>
      <w:pPr>
        <w:pStyle w:val="Fuente"/>
      </w:pPr>
      <w:r>
        <w:t xml:space="preserve">Presentación de la unidad 1 (C-5), pág. 18</w:t>
      </w:r>
    </w:p>
    <w:p>
      <w:pPr>
        <w:pStyle w:val="Heading3"/>
      </w:pPr>
      <w:bookmarkStart w:name="b_solucion_p1_resistencia_repentina" w:id="6121"/>
      <w:r>
        <w:t xml:space="preserve">Solución S1-114</w:t>
      </w:r>
      <w:bookmarkEnd w:id="6121"/>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c) Las interconexiones sostienen el estado y un cambio decisivo puede propagarse al conjunto</w:t>
            </w:r>
          </w:p>
        </w:tc>
      </w:tr>
    </w:tbl>
    <w:p>
      <w:pPr>
        <w:pStyle w:val="Normal"/>
      </w:pPr>
      <w:r>
        <w:t xml:space="preserve">a) La resistencia prueba que ningún cambio grande es posible — Se descarta por la clave; aplique el criterio de resolución común que se desarrolla después de esta lista.</w:t>
      </w:r>
    </w:p>
    <w:p>
      <w:pPr>
        <w:pStyle w:val="Normal"/>
      </w:pPr>
      <w:r>
        <w:t xml:space="preserve">b) Toda transición brusca es sólo parálisis de una persona — Se descarta por la clave; aplique el criterio de resolución común que se desarrolla después de esta lista.</w:t>
      </w:r>
    </w:p>
    <w:p>
      <w:pPr>
        <w:pStyle w:val="Normal"/>
      </w:pPr>
      <w:r>
        <w:t xml:space="preserve">c) Las interconexiones sostienen el estado y un cambio decisivo puede propagarse al conjunto — Se selecciona por la clave; aplique el criterio de resolución común que se desarrolla después de esta lista.</w:t>
      </w:r>
    </w:p>
    <w:p>
      <w:pPr>
        <w:pStyle w:val="Normal"/>
      </w:pPr>
      <w:r>
        <w:t xml:space="preserve">d) Cada parte cambia sin influir sobre ninguna otra — Se descarta por la clave; aplique el criterio de resolución común que se desarrolla después de esta lista.</w:t>
      </w:r>
    </w:p>
    <w:p>
      <w:pPr>
        <w:pStyle w:val="Normal"/>
      </w:pPr>
      <w:r>
        <w:t xml:space="preserve">Criterio de resolución: La estructura puede compensar cambios locales y mantener el comportamiento. Alterar relaciones decisivas puede desencadenar una transformación amplia y rápida. Resistencia estructural y cambio repentino son compatibles.</w:t>
      </w:r>
    </w:p>
    <w:p>
      <w:pPr>
        <w:pStyle w:val="Fuente"/>
      </w:pPr>
      <w:r>
        <w:t xml:space="preserve">Presentación de la unidad 2 (C-6), pág. 51</w:t>
      </w:r>
    </w:p>
    <w:p>
      <w:pPr>
        <w:pStyle w:val="Heading3"/>
      </w:pPr>
      <w:bookmarkStart w:name="b_solucion_u2b_01_rasgos_complejo" w:id="6122"/>
      <w:r>
        <w:t xml:space="preserve">Solución S1-115</w:t>
      </w:r>
      <w:bookmarkEnd w:id="6122"/>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a) Muchos elementos y muchas relaciones entre ellos</w:t>
            </w:r>
          </w:p>
          <w:p>
            <w:pPr>
              <w:pStyle w:val="Recuadro"/>
            </w:pPr>
            <w:r>
              <w:t xml:space="preserve">c) Diversidad de niveles o escalas, de lo simple a lo complejo</w:t>
            </w:r>
          </w:p>
        </w:tc>
      </w:tr>
    </w:tbl>
    <w:p>
      <w:pPr>
        <w:pStyle w:val="Normal"/>
      </w:pPr>
      <w:r>
        <w:t xml:space="preserve">a) Muchos elementos y muchas relaciones entre ellos — Se selecciona por la clave; aplique el criterio de resolución común que se desarrolla después de esta lista.</w:t>
      </w:r>
    </w:p>
    <w:p>
      <w:pPr>
        <w:pStyle w:val="Normal"/>
      </w:pPr>
      <w:r>
        <w:t xml:space="preserve">b) Un único nivel de organización — Se descarta por la clave; aplique el criterio de resolución común que se desarrolla después de esta lista.</w:t>
      </w:r>
    </w:p>
    <w:p>
      <w:pPr>
        <w:pStyle w:val="Normal"/>
      </w:pPr>
      <w:r>
        <w:t xml:space="preserve">c) Diversidad de niveles o escalas, de lo simple a lo complejo — Se selecciona por la clave; aplique el criterio de resolución común que se desarrolla después de esta lista.</w:t>
      </w:r>
    </w:p>
    <w:p>
      <w:pPr>
        <w:pStyle w:val="Normal"/>
      </w:pPr>
      <w:r>
        <w:t xml:space="preserve">d) Comportamiento siempre predecible a largo plazo — Se descarta por la clave; aplique el criterio de resolución común que se desarrolla después de esta lista.</w:t>
      </w:r>
    </w:p>
    <w:p>
      <w:pPr>
        <w:pStyle w:val="Normal"/>
      </w:pPr>
      <w:r>
        <w:t xml:space="preserve">Criterio de resolución: Complejo no es sinónimo de grande ni de complicado: es multiplicidad de elementos, de relaciones y de escalas, con estructuras que se autoorganizan. La predictibilidad a largo plazo es justo lo que se pierde.</w:t>
      </w:r>
    </w:p>
    <w:p>
      <w:pPr>
        <w:pStyle w:val="Fuente"/>
      </w:pPr>
      <w:r>
        <w:t xml:space="preserve">Banco del portal; resolución editorial.</w:t>
      </w:r>
    </w:p>
    <w:p>
      <w:pPr>
        <w:pStyle w:val="Heading3"/>
      </w:pPr>
      <w:bookmarkStart w:name="b_solucion_u2b_02_adaptativo_anade" w:id="6123"/>
      <w:r>
        <w:t xml:space="preserve">Solución S1-116</w:t>
      </w:r>
      <w:bookmarkEnd w:id="6123"/>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b) La capacidad de cambiar y aprender de la experiencia</w:t>
            </w:r>
          </w:p>
        </w:tc>
      </w:tr>
    </w:tbl>
    <w:p>
      <w:pPr>
        <w:pStyle w:val="Normal"/>
      </w:pPr>
      <w:r>
        <w:t xml:space="preserve">a) Más elementos — Se descarta por la clave; aplique el criterio de resolución común que se desarrolla después de esta lista.</w:t>
      </w:r>
    </w:p>
    <w:p>
      <w:pPr>
        <w:pStyle w:val="Normal"/>
      </w:pPr>
      <w:r>
        <w:t xml:space="preserve">b) La capacidad de cambiar y aprender de la experiencia — Se selecciona por la clave; aplique el criterio de resolución común que se desarrolla después de esta lista.</w:t>
      </w:r>
    </w:p>
    <w:p>
      <w:pPr>
        <w:pStyle w:val="Normal"/>
      </w:pPr>
      <w:r>
        <w:t xml:space="preserve">c) Una frontera más nítida — Se descarta por la clave; aplique el criterio de resolución común que se desarrolla después de esta lista.</w:t>
      </w:r>
    </w:p>
    <w:p>
      <w:pPr>
        <w:pStyle w:val="Normal"/>
      </w:pPr>
      <w:r>
        <w:t xml:space="preserve">d) Ausencia de retroalimentación — Se descarta por la clave; aplique el criterio de resolución común que se desarrolla después de esta lista.</w:t>
      </w:r>
    </w:p>
    <w:p>
      <w:pPr>
        <w:pStyle w:val="Normal"/>
      </w:pPr>
      <w:r>
        <w:t xml:space="preserve">Criterio de resolución: Todo sistema adaptativo complejo es complejo, pero no al revés. La palabra que los distingue es adaptación: aprender, cambiar, retroalimentarse y sostener su equilibrio.</w:t>
      </w:r>
    </w:p>
    <w:p>
      <w:pPr>
        <w:pStyle w:val="Fuente"/>
      </w:pPr>
      <w:r>
        <w:t xml:space="preserve">Banco del portal; resolución editorial.</w:t>
      </w:r>
    </w:p>
    <w:p>
      <w:pPr>
        <w:pStyle w:val="Heading3"/>
      </w:pPr>
      <w:bookmarkStart w:name="b_solucion_u2b_03_complejo_no_e_53ab344d" w:id="6124"/>
      <w:r>
        <w:t xml:space="preserve">Solución S1-117</w:t>
      </w:r>
      <w:bookmarkEnd w:id="6124"/>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b) No: es complicado. Tiene muchas piezas pero su comportamiento es predecible y no se autoorganiza ni aprende</w:t>
            </w:r>
          </w:p>
        </w:tc>
      </w:tr>
    </w:tbl>
    <w:p>
      <w:pPr>
        <w:pStyle w:val="Normal"/>
      </w:pPr>
      <w:r>
        <w:t xml:space="preserve">a) Sí, porque tiene muchas partes — Se descarta por la clave; aplique el criterio de resolución común que se desarrolla después de esta lista.</w:t>
      </w:r>
    </w:p>
    <w:p>
      <w:pPr>
        <w:pStyle w:val="Normal"/>
      </w:pPr>
      <w:r>
        <w:t xml:space="preserve">b) No: es complicado. Tiene muchas piezas pero su comportamiento es predecible y no se autoorganiza ni aprende — Se selecciona por la clave; aplique el criterio de resolución común que se desarrolla después de esta lista.</w:t>
      </w:r>
    </w:p>
    <w:p>
      <w:pPr>
        <w:pStyle w:val="Normal"/>
      </w:pPr>
      <w:r>
        <w:t xml:space="preserve">c) Sí, porque sus piezas están conectadas — Se descarta por la clave; aplique el criterio de resolución común que se desarrolla después de esta lista.</w:t>
      </w:r>
    </w:p>
    <w:p>
      <w:pPr>
        <w:pStyle w:val="Normal"/>
      </w:pPr>
      <w:r>
        <w:t xml:space="preserve">d) No, porque fue diseñado por humanos — Se descarta por la clave; aplique el criterio de resolución común que se desarrolla después de esta lista.</w:t>
      </w:r>
    </w:p>
    <w:p>
      <w:pPr>
        <w:pStyle w:val="Normal"/>
      </w:pPr>
      <w:r>
        <w:t xml:space="preserve">Criterio de resolución: La distinción es la que el propio curso advierte: el concepto de complejidad no se aplica automáticamente a todo lo que parece complicado. Faltan no linealidad, autoorganización y adaptación.</w:t>
      </w:r>
    </w:p>
    <w:p>
      <w:pPr>
        <w:pStyle w:val="Fuente"/>
      </w:pPr>
      <w:r>
        <w:t xml:space="preserve">Banco del portal; resolución editorial.</w:t>
      </w:r>
    </w:p>
    <w:p>
      <w:pPr>
        <w:pStyle w:val="Heading3"/>
      </w:pPr>
      <w:bookmarkStart w:name="b_solucion_u2b_04_parvada" w:id="6125"/>
      <w:r>
        <w:t xml:space="preserve">Solución S1-118</w:t>
      </w:r>
      <w:bookmarkEnd w:id="6125"/>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b) Porque el patrón del conjunto emerge de reglas locales simples que cada ave sigue, sin control centralizado</w:t>
            </w:r>
          </w:p>
        </w:tc>
      </w:tr>
    </w:tbl>
    <w:p>
      <w:pPr>
        <w:pStyle w:val="Normal"/>
      </w:pPr>
      <w:r>
        <w:t xml:space="preserve">a) Porque un ave líder dirige a todas las demás — Se descarta por la clave; aplique el criterio de resolución común que se desarrolla después de esta lista.</w:t>
      </w:r>
    </w:p>
    <w:p>
      <w:pPr>
        <w:pStyle w:val="Normal"/>
      </w:pPr>
      <w:r>
        <w:t xml:space="preserve">b) Porque el patrón del conjunto emerge de reglas locales simples que cada ave sigue, sin control centralizado — Se selecciona por la clave; aplique el criterio de resolución común que se desarrolla después de esta lista.</w:t>
      </w:r>
    </w:p>
    <w:p>
      <w:pPr>
        <w:pStyle w:val="Normal"/>
      </w:pPr>
      <w:r>
        <w:t xml:space="preserve">c) Porque las aves son sistemas naturales — Se descarta por la clave; aplique el criterio de resolución común que se desarrolla después de esta lista.</w:t>
      </w:r>
    </w:p>
    <w:p>
      <w:pPr>
        <w:pStyle w:val="Normal"/>
      </w:pPr>
      <w:r>
        <w:t xml:space="preserve">d) Porque el número de aves es muy grande — Se descarta por la clave; aplique el criterio de resolución común que se desarrolla después de esta lista.</w:t>
      </w:r>
    </w:p>
    <w:p>
      <w:pPr>
        <w:pStyle w:val="Normal"/>
      </w:pPr>
      <w:r>
        <w:t xml:space="preserve">Criterio de resolución: No hay director: cada ave responde a sus vecinas y del conjunto emerge la formación. Es autoorganización, el rasgo que el video proyectado en clase pone en el centro.</w:t>
      </w:r>
    </w:p>
    <w:p>
      <w:pPr>
        <w:pStyle w:val="Fuente"/>
      </w:pPr>
      <w:r>
        <w:t xml:space="preserve">Banco del portal; resolución editorial.</w:t>
      </w:r>
    </w:p>
    <w:p>
      <w:pPr>
        <w:pStyle w:val="Heading3"/>
      </w:pPr>
      <w:bookmarkStart w:name="b_solucion_ec2_04_mapa_checkland" w:id="6126"/>
      <w:r>
        <w:t xml:space="preserve">Solución S1-119</w:t>
      </w:r>
      <w:bookmarkEnd w:id="6126"/>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Herramientas individuales o sistemas automatizados → Sistemas físicos diseñados</w:t>
            </w:r>
          </w:p>
          <w:p>
            <w:pPr>
              <w:pStyle w:val="Recuadro"/>
            </w:pPr>
            <w:r>
              <w:t xml:space="preserve">Sistemas de los cuales aprendemos → Sistemas naturales</w:t>
            </w:r>
          </w:p>
          <w:p>
            <w:pPr>
              <w:pStyle w:val="Recuadro"/>
            </w:pPr>
            <w:r>
              <w:t xml:space="preserve">Ciudades, hogares, sistemas de comunicación, legales o de asistencia pública → Sistemas de actividad humana</w:t>
            </w:r>
          </w:p>
          <w:p>
            <w:pPr>
              <w:pStyle w:val="Recuadro"/>
            </w:pPr>
            <w:r>
              <w:t xml:space="preserve">Sistemas de conocimiento → Sistemas abstractos diseñados</w:t>
            </w:r>
          </w:p>
        </w:tc>
      </w:tr>
    </w:tbl>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Retroalimentación oficial de la plataforma</w:t>
            </w:r>
          </w:p>
          <w:p>
            <w:pPr>
              <w:pStyle w:val="Recuadro"/>
            </w:pPr>
            <w:r>
              <w:t xml:space="preserve">La respuesta correcta es: Herramientas individuales o sistemas automatizados → Sistemas físicos diseñados, Sistemas de los cuales aprendemos → Sistemas naturales, Ciudades, hogares, sistemas de comunicación, legales o de asistencia pública → Sistemas de actividad humana, Sistemas de conocimiento → Sistemas abstractos diseñados</w:t>
            </w:r>
          </w:p>
        </w:tc>
      </w:tr>
    </w:tbl>
    <w:p>
      <w:pPr>
        <w:pStyle w:val="Normal"/>
      </w:pPr>
      <w:r>
        <w:t xml:space="preserve">Distractor sin fila correspondiente: Sistemas galácticos.</w:t>
      </w:r>
    </w:p>
    <w:p>
      <w:pPr>
        <w:pStyle w:val="Normal"/>
      </w:pPr>
      <w:r>
        <w:t xml:space="preserve">Distractor sin fila correspondiente: Sistemas sociales.</w:t>
      </w:r>
    </w:p>
    <w:p>
      <w:pPr>
        <w:pStyle w:val="Normal"/>
      </w:pPr>
      <w:r>
        <w:t xml:space="preserve">Criterio de resolución: El mapa de Checkland tiene cuatro categorías, no seis: «sistemas galácticos» y «sistemas sociales» son distractores del propio examen. De los naturales se aprende, los diseñados —físicos y abstractos— se usan como herramientas, y los de actividad humana son personas organizándose.</w:t>
      </w:r>
    </w:p>
    <w:p>
      <w:pPr>
        <w:pStyle w:val="Fuente"/>
      </w:pPr>
      <w:r>
        <w:t xml:space="preserve">Banco del portal; resolución editorial.</w:t>
      </w:r>
    </w:p>
    <w:p>
      <w:pPr>
        <w:pStyle w:val="Heading3"/>
      </w:pPr>
      <w:bookmarkStart w:name="b_solucion_p1_concepto_modelo" w:id="6127"/>
      <w:r>
        <w:t xml:space="preserve">Solución S1-120</w:t>
      </w:r>
      <w:bookmarkEnd w:id="6127"/>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c) Organiza el contexto en el que pueden construirse y relacionarse modelos específicos</w:t>
            </w:r>
          </w:p>
        </w:tc>
      </w:tr>
    </w:tbl>
    <w:p>
      <w:pPr>
        <w:pStyle w:val="Normal"/>
      </w:pPr>
      <w:r>
        <w:t xml:space="preserve">a) Convierte cualquier frase con la palabra sistema en una explicación verdadera — Se descarta por la clave; aplique el criterio de resolución común que se desarrolla después de esta lista.</w:t>
      </w:r>
    </w:p>
    <w:p>
      <w:pPr>
        <w:pStyle w:val="Normal"/>
      </w:pPr>
      <w:r>
        <w:t xml:space="preserve">b) Vuelve innecesario contrastar modelos con datos — Se descarta por la clave; aplique el criterio de resolución común que se desarrolla después de esta lista.</w:t>
      </w:r>
    </w:p>
    <w:p>
      <w:pPr>
        <w:pStyle w:val="Normal"/>
      </w:pPr>
      <w:r>
        <w:t xml:space="preserve">c) Organiza el contexto en el que pueden construirse y relacionarse modelos específicos — Se selecciona por la clave; aplique el criterio de resolución común que se desarrolla después de esta lista.</w:t>
      </w:r>
    </w:p>
    <w:p>
      <w:pPr>
        <w:pStyle w:val="Normal"/>
      </w:pPr>
      <w:r>
        <w:t xml:space="preserve">d) Demuestra que existe un único modelo completo de todo el universo — Se descarta por la clave; aplique el criterio de resolución común que se desarrolla después de esta lista.</w:t>
      </w:r>
    </w:p>
    <w:p>
      <w:pPr>
        <w:pStyle w:val="Normal"/>
      </w:pPr>
      <w:r>
        <w:t xml:space="preserve">Criterio de resolución: El alcance de la comparación es contextual: el concepto general ayuda a estructurar la situación y a situar modelos concretos. No es una superioridad automática de cualquier discurso ni una prueba de cómo es el mundo en sí.</w:t>
      </w:r>
    </w:p>
    <w:p>
      <w:pPr>
        <w:pStyle w:val="Fuente"/>
      </w:pPr>
      <w:r>
        <w:t xml:space="preserve">Presentación de la unidad 2 (C-6), pág. 55</w:t>
      </w:r>
    </w:p>
    <w:p>
      <w:pPr>
        <w:pStyle w:val="Heading3"/>
      </w:pPr>
      <w:bookmarkStart w:name="b_solucion_p1_objetivos_checkland" w:id="6128"/>
      <w:r>
        <w:t xml:space="preserve">Solución S1-121</w:t>
      </w:r>
      <w:bookmarkEnd w:id="6128"/>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a) El enfoque ofrece un marco para debatir problemas relevantes, fines y criterios</w:t>
            </w:r>
          </w:p>
        </w:tc>
      </w:tr>
    </w:tbl>
    <w:p>
      <w:pPr>
        <w:pStyle w:val="Normal"/>
      </w:pPr>
      <w:r>
        <w:t xml:space="preserve">a) El enfoque ofrece un marco para debatir problemas relevantes, fines y criterios — Se selecciona por la clave; aplique el criterio de resolución común que se desarrolla después de esta lista.</w:t>
      </w:r>
    </w:p>
    <w:p>
      <w:pPr>
        <w:pStyle w:val="Normal"/>
      </w:pPr>
      <w:r>
        <w:t xml:space="preserve">b) Debe imponerse inmediatamente una solución técnica óptima — Se descarta por la clave; aplique el criterio de resolución común que se desarrolla después de esta lista.</w:t>
      </w:r>
    </w:p>
    <w:p>
      <w:pPr>
        <w:pStyle w:val="Normal"/>
      </w:pPr>
      <w:r>
        <w:t xml:space="preserve">c) El enfoque deja de servir por completo — Se descarta por la clave; aplique el criterio de resolución común que se desarrolla después de esta lista.</w:t>
      </w:r>
    </w:p>
    <w:p>
      <w:pPr>
        <w:pStyle w:val="Normal"/>
      </w:pPr>
      <w:r>
        <w:t xml:space="preserve">d) Ya no hace falta escuchar otras perspectivas — Se descarta por la clave; aplique el criterio de resolución común que se desarrolla después de esta lista.</w:t>
      </w:r>
    </w:p>
    <w:p>
      <w:pPr>
        <w:pStyle w:val="Normal"/>
      </w:pPr>
      <w:r>
        <w:t xml:space="preserve">Criterio de resolución: Con objetivos definibles se intenta ingeniar el sistema para alcanzarlos. Cuando no lo son, la mirada de sistemas permite estructurar el debate sobre la situación; no inventa consenso ni un objetivo único.</w:t>
      </w:r>
    </w:p>
    <w:p>
      <w:pPr>
        <w:pStyle w:val="Fuente"/>
      </w:pPr>
      <w:r>
        <w:t xml:space="preserve">Presentación de la unidad 2 (C-6), pág. 55</w:t>
      </w:r>
    </w:p>
    <w:p>
      <w:pPr>
        <w:pStyle w:val="Heading3"/>
      </w:pPr>
      <w:bookmarkStart w:name="b_solucion_p1_preguntas_contexto" w:id="6129"/>
      <w:r>
        <w:t xml:space="preserve">Solución S1-122</w:t>
      </w:r>
      <w:bookmarkEnd w:id="6129"/>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b) En qué sistemas y subsistemas se sitúa y cómo podrían diseñarse o modificarse para resolverlo</w:t>
            </w:r>
          </w:p>
        </w:tc>
      </w:tr>
    </w:tbl>
    <w:p>
      <w:pPr>
        <w:pStyle w:val="Normal"/>
      </w:pPr>
      <w:r>
        <w:t xml:space="preserve">a) Quién es culpable y cómo excluirlo sin estudiar nada más — Se descarta por la clave; aplique el criterio de resolución común que se desarrolla después de esta lista.</w:t>
      </w:r>
    </w:p>
    <w:p>
      <w:pPr>
        <w:pStyle w:val="Normal"/>
      </w:pPr>
      <w:r>
        <w:t xml:space="preserve">b) En qué sistemas y subsistemas se sitúa y cómo podrían diseñarse o modificarse para resolverlo — Se selecciona por la clave; aplique el criterio de resolución común que se desarrolla después de esta lista.</w:t>
      </w:r>
    </w:p>
    <w:p>
      <w:pPr>
        <w:pStyle w:val="Normal"/>
      </w:pPr>
      <w:r>
        <w:t xml:space="preserve">c) Cuántas piezas hay y por qué las relaciones no importan — Se descarta por la clave; aplique el criterio de resolución común que se desarrolla después de esta lista.</w:t>
      </w:r>
    </w:p>
    <w:p>
      <w:pPr>
        <w:pStyle w:val="Normal"/>
      </w:pPr>
      <w:r>
        <w:t xml:space="preserve">d) Cómo incluir todo el universo en un único modelo obligatorio — Se descarta por la clave; aplique el criterio de resolución común que se desarrolla después de esta lista.</w:t>
      </w:r>
    </w:p>
    <w:p>
      <w:pPr>
        <w:pStyle w:val="Normal"/>
      </w:pPr>
      <w:r>
        <w:t xml:space="preserve">Criterio de resolución: Las preguntas ubican el problema y orientan la intervención sin distorsionarlo ni simplificarlo en exceso. No se exige un solo modelo que contenga todos los sistemas pertinentes; se organiza un contexto para modelos específicos.</w:t>
      </w:r>
    </w:p>
    <w:p>
      <w:pPr>
        <w:pStyle w:val="Fuente"/>
      </w:pPr>
      <w:r>
        <w:t xml:space="preserve">Presentación de la unidad 2 (C-6), pág. 55</w:t>
      </w:r>
    </w:p>
    <w:p>
      <w:pPr>
        <w:pStyle w:val="Heading3"/>
      </w:pPr>
      <w:bookmarkStart w:name="b_solucion_u2b_05_checkland_arrastrar" w:id="6130"/>
      <w:r>
        <w:t xml:space="preserve">Solución S1-123</w:t>
      </w:r>
      <w:bookmarkEnd w:id="6130"/>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Sistemas naturales: El sistema respiratorio; El ciclo del agua</w:t>
            </w:r>
          </w:p>
          <w:p>
            <w:pPr>
              <w:pStyle w:val="Recuadro"/>
            </w:pPr>
            <w:r>
              <w:t xml:space="preserve">Sistemas de actividad humana: El servicio de una cafetería de la facultad; Un grupo de estudio para el parcial</w:t>
            </w:r>
          </w:p>
          <w:p>
            <w:pPr>
              <w:pStyle w:val="Recuadro"/>
            </w:pPr>
            <w:r>
              <w:t xml:space="preserve">Sistemas físicos diseñados: Una computadora portátil; El sistema de iluminación de un cuarto</w:t>
            </w:r>
          </w:p>
          <w:p>
            <w:pPr>
              <w:pStyle w:val="Recuadro"/>
            </w:pPr>
            <w:r>
              <w:t xml:space="preserve">Sistemas abstractos diseñados: Un plan semanal de estudio; El modelo DSRP</w:t>
            </w:r>
          </w:p>
        </w:tc>
      </w:tr>
    </w:tbl>
    <w:p>
      <w:pPr>
        <w:pStyle w:val="Normal"/>
      </w:pPr>
      <w:r>
        <w:t xml:space="preserve">Criterio de resolución: La pregunta útil no es cómo se llama sino cómo surgió y qué parte se observa: lo natural no lo fabricó nadie, lo de actividad humana son personas coordinándose, y lo diseñado se divide en lo que se toca y lo que sólo existe como idea o regla.</w:t>
      </w:r>
    </w:p>
    <w:p>
      <w:pPr>
        <w:pStyle w:val="Fuente"/>
      </w:pPr>
      <w:r>
        <w:t xml:space="preserve">Banco del portal; resolución editorial.</w:t>
      </w:r>
    </w:p>
    <w:p>
      <w:pPr>
        <w:pStyle w:val="Heading3"/>
      </w:pPr>
      <w:bookmarkStart w:name="b_solucion_u2b_06_checkland_usos" w:id="6131"/>
      <w:r>
        <w:t xml:space="preserve">Solución S1-124</w:t>
      </w:r>
      <w:bookmarkEnd w:id="6131"/>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Sistemas naturales → Aprender de ellos</w:t>
            </w:r>
          </w:p>
          <w:p>
            <w:pPr>
              <w:pStyle w:val="Recuadro"/>
            </w:pPr>
            <w:r>
              <w:t xml:space="preserve">Sistemas diseñados, físicos y abstractos → Usarlos como herramientas de apoyo</w:t>
            </w:r>
          </w:p>
          <w:p>
            <w:pPr>
              <w:pStyle w:val="Recuadro"/>
            </w:pPr>
            <w:r>
              <w:t xml:space="preserve">Sistemas de actividad humana → Buscar cómo ingeniarlos</w:t>
            </w:r>
          </w:p>
        </w:tc>
      </w:tr>
    </w:tbl>
    <w:p>
      <w:pPr>
        <w:pStyle w:val="Normal"/>
      </w:pPr>
      <w:r>
        <w:t xml:space="preserve">Distractor sin fila correspondiente: Clasificarlos por su tamaño.</w:t>
      </w:r>
    </w:p>
    <w:p>
      <w:pPr>
        <w:pStyle w:val="Normal"/>
      </w:pPr>
      <w:r>
        <w:t xml:space="preserve">Criterio de resolución: La lámina no sólo clasifica: dice qué hacer con cada grupo. De los naturales se aprende, los diseñados se usan y los de actividad humana se intervienen.</w:t>
      </w:r>
    </w:p>
    <w:p>
      <w:pPr>
        <w:pStyle w:val="Fuente"/>
      </w:pPr>
      <w:r>
        <w:t xml:space="preserve">Banco del portal; resolución editorial.</w:t>
      </w:r>
    </w:p>
    <w:p>
      <w:pPr>
        <w:pStyle w:val="Heading3"/>
      </w:pPr>
      <w:bookmarkStart w:name="b_solucion_u2b_07_frontera_categoria" w:id="6132"/>
      <w:r>
        <w:t xml:space="preserve">Solución S1-125</w:t>
      </w:r>
      <w:bookmarkEnd w:id="6132"/>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b) En tres distintas: físico diseñado, actividad humana y abstracto diseñado, según la parte que se observe</w:t>
            </w:r>
          </w:p>
        </w:tc>
      </w:tr>
    </w:tbl>
    <w:p>
      <w:pPr>
        <w:pStyle w:val="Normal"/>
      </w:pPr>
      <w:r>
        <w:t xml:space="preserve">a) En una sola, porque todo pertenece a la facultad — Se descarta por la clave; aplique el criterio de resolución común que se desarrolla después de esta lista.</w:t>
      </w:r>
    </w:p>
    <w:p>
      <w:pPr>
        <w:pStyle w:val="Normal"/>
      </w:pPr>
      <w:r>
        <w:t xml:space="preserve">b) En tres distintas: físico diseñado, actividad humana y abstracto diseñado, según la parte que se observe — Se selecciona por la clave; aplique el criterio de resolución común que se desarrolla después de esta lista.</w:t>
      </w:r>
    </w:p>
    <w:p>
      <w:pPr>
        <w:pStyle w:val="Normal"/>
      </w:pPr>
      <w:r>
        <w:t xml:space="preserve">c) En ninguna, porque el mapa no cubre instituciones — Se descarta por la clave; aplique el criterio de resolución común que se desarrolla después de esta lista.</w:t>
      </w:r>
    </w:p>
    <w:p>
      <w:pPr>
        <w:pStyle w:val="Normal"/>
      </w:pPr>
      <w:r>
        <w:t xml:space="preserve">d) En dos, porque el horario es parte del servicio — Se descarta por la clave; aplique el criterio de resolución común que se desarrolla después de esta lista.</w:t>
      </w:r>
    </w:p>
    <w:p>
      <w:pPr>
        <w:pStyle w:val="Normal"/>
      </w:pPr>
      <w:r>
        <w:t xml:space="preserve">Criterio de resolución: Es la idea central del ejercicio de clasificación: una misma situación cambia de categoría según la frontera que se trace. La clasificación describe el recorte, no la cosa.</w:t>
      </w:r>
    </w:p>
    <w:p>
      <w:pPr>
        <w:pStyle w:val="Fuente"/>
      </w:pPr>
      <w:r>
        <w:t xml:space="preserve">Banco del portal; resolución editorial.</w:t>
      </w:r>
    </w:p>
    <w:p>
      <w:pPr>
        <w:pStyle w:val="Heading3"/>
      </w:pPr>
      <w:bookmarkStart w:name="b_solucion_u2b_08_zoologico" w:id="6133"/>
      <w:r>
        <w:t xml:space="preserve">Solución S1-126</w:t>
      </w:r>
      <w:bookmarkEnd w:id="6133"/>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b) Porque lo que se observa como sistema es la organización de personas que lo hace funcionar; los animales son parte del contenido, no del criterio</w:t>
            </w:r>
          </w:p>
        </w:tc>
      </w:tr>
    </w:tbl>
    <w:p>
      <w:pPr>
        <w:pStyle w:val="Normal"/>
      </w:pPr>
      <w:r>
        <w:t xml:space="preserve">a) Porque los animales están en cautiverio — Se descarta por la clave; aplique el criterio de resolución común que se desarrolla después de esta lista.</w:t>
      </w:r>
    </w:p>
    <w:p>
      <w:pPr>
        <w:pStyle w:val="Normal"/>
      </w:pPr>
      <w:r>
        <w:t xml:space="preserve">b) Porque lo que se observa como sistema es la organización de personas que lo hace funcionar; los animales son parte del contenido, no del criterio — Se selecciona por la clave; aplique el criterio de resolución común que se desarrolla después de esta lista.</w:t>
      </w:r>
    </w:p>
    <w:p>
      <w:pPr>
        <w:pStyle w:val="Normal"/>
      </w:pPr>
      <w:r>
        <w:t xml:space="preserve">c) Porque fue construido con materiales artificiales — Se descarta por la clave; aplique el criterio de resolución común que se desarrolla después de esta lista.</w:t>
      </w:r>
    </w:p>
    <w:p>
      <w:pPr>
        <w:pStyle w:val="Normal"/>
      </w:pPr>
      <w:r>
        <w:t xml:space="preserve">d) Porque cobra entrada — Se descarta por la clave; aplique el criterio de resolución común que se desarrolla después de esta lista.</w:t>
      </w:r>
    </w:p>
    <w:p>
      <w:pPr>
        <w:pStyle w:val="Normal"/>
      </w:pPr>
      <w:r>
        <w:t xml:space="preserve">Criterio de resolución: Fue el caso que la clase discutió: la categoría la fija qué se está observando. Si el recorte es la coordinación del personal, es actividad humana.</w:t>
      </w:r>
    </w:p>
    <w:p>
      <w:pPr>
        <w:pStyle w:val="Fuente"/>
      </w:pPr>
      <w:r>
        <w:t xml:space="preserve">Banco del portal; resolución editorial.</w:t>
      </w:r>
    </w:p>
    <w:p>
      <w:pPr>
        <w:pStyle w:val="Heading3"/>
      </w:pPr>
      <w:bookmarkStart w:name="b_solucion_ec2_06_conceptos_tgs" w:id="6134"/>
      <w:r>
        <w:t xml:space="preserve">Solución S1-127</w:t>
      </w:r>
      <w:bookmarkEnd w:id="6134"/>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Homeostasis → Equilibrio dinámico de los sistemas para adaptarse a su medio ambiente</w:t>
            </w:r>
          </w:p>
          <w:p>
            <w:pPr>
              <w:pStyle w:val="Recuadro"/>
            </w:pPr>
            <w:r>
              <w:t xml:space="preserve">Equifinalidad → Conseguir por caminos diferentes un mismo objetivo</w:t>
            </w:r>
          </w:p>
          <w:p>
            <w:pPr>
              <w:pStyle w:val="Recuadro"/>
            </w:pPr>
            <w:r>
              <w:t xml:space="preserve">Entropía → Grado de desorden o caos de un sistema</w:t>
            </w:r>
          </w:p>
        </w:tc>
      </w:tr>
    </w:tbl>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Retroalimentación oficial de la plataforma</w:t>
            </w:r>
          </w:p>
          <w:p>
            <w:pPr>
              <w:pStyle w:val="Recuadro"/>
            </w:pPr>
            <w:r>
              <w:t xml:space="preserve">La respuesta correcta es: Homeostasis → Equilibrio dinámico de los sistemas para adaptarse a su medio ambiente, Equifinalidad → Conseguir por caminos diferentes un mismo objetivo, Entropia → Grado de desorden o caos de un sistema</w:t>
            </w:r>
          </w:p>
        </w:tc>
      </w:tr>
    </w:tbl>
    <w:p>
      <w:pPr>
        <w:pStyle w:val="Normal"/>
      </w:pPr>
      <w:r>
        <w:t xml:space="preserve">Distractor sin fila correspondiente: Fuerza que se opone al desorden y conserva la organización.</w:t>
      </w:r>
    </w:p>
    <w:p>
      <w:pPr>
        <w:pStyle w:val="Normal"/>
      </w:pPr>
      <w:r>
        <w:t xml:space="preserve">Distractor sin fila correspondiente: Capacidad del conjunto superior a la suma de sus partes.</w:t>
      </w:r>
    </w:p>
    <w:p>
      <w:pPr>
        <w:pStyle w:val="Normal"/>
      </w:pPr>
      <w:r>
        <w:t xml:space="preserve">Criterio de resolución: Tres conceptos que se confunden con facilidad. Homeostasis es equilibrio; equifinalidad es mismo final por distintos caminos; entropía es desorden. Los dos distractores son las definiciones de neguentropía y de sinergia.</w:t>
      </w:r>
    </w:p>
    <w:p>
      <w:pPr>
        <w:pStyle w:val="Fuente"/>
      </w:pPr>
      <w:r>
        <w:t xml:space="preserve">Banco del portal; resolución editorial.</w:t>
      </w:r>
    </w:p>
    <w:p>
      <w:pPr>
        <w:pStyle w:val="Heading3"/>
      </w:pPr>
      <w:bookmarkStart w:name="b_solucion_ec2_10_neguentropia" w:id="6135"/>
      <w:r>
        <w:t xml:space="preserve">Solución S1-128</w:t>
      </w:r>
      <w:bookmarkEnd w:id="6135"/>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e) Neguentropía</w:t>
            </w:r>
          </w:p>
        </w:tc>
      </w:tr>
    </w:tbl>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6384D" w:sz="20"/>
              <w:bottom w:val="nil"/>
              <w:right w:val="nil"/>
            </w:tcBorders>
            <w:shd w:fill="EEF4F5" w:val="clear"/>
            <w:tcMar>
              <w:top w:type="dxa" w:w="130"/>
              <w:left w:type="dxa" w:w="180"/>
              <w:bottom w:type="dxa" w:w="130"/>
              <w:right w:type="dxa" w:w="180"/>
            </w:tcMar>
          </w:tcPr>
          <w:p>
            <w:pPr>
              <w:pStyle w:val="RecuadroTitulo"/>
            </w:pPr>
            <w:r>
              <w:rPr>
                <w:b/>
                <w:bCs/>
                <w:color w:val="16384D"/>
              </w:rPr>
              <w:t xml:space="preserve">Retroalimentación oficial de la plataforma</w:t>
            </w:r>
          </w:p>
          <w:p>
            <w:pPr>
              <w:pStyle w:val="Recuadro"/>
            </w:pPr>
            <w:r>
              <w:t xml:space="preserve">Su respuesta es incorrecta. La respuesta correcta es: Neguentropía</w:t>
            </w:r>
          </w:p>
        </w:tc>
      </w:tr>
    </w:tbl>
    <w:p>
      <w:pPr>
        <w:pStyle w:val="Normal"/>
      </w:pPr>
      <w:r>
        <w:t xml:space="preserve">a) Sinergia — Sinergia es que el todo supere la suma, no una fuerza contra el desorden.</w:t>
      </w:r>
    </w:p>
    <w:p>
      <w:pPr>
        <w:pStyle w:val="Normal"/>
      </w:pPr>
      <w:r>
        <w:t xml:space="preserve">b) Homeostasis — Homeostasis es mantener el equilibrio interno; no es la energía que repara las relaciones.</w:t>
      </w:r>
    </w:p>
    <w:p>
      <w:pPr>
        <w:pStyle w:val="Normal"/>
      </w:pPr>
      <w:r>
        <w:t xml:space="preserve">c) Conglomerado — Conglomerado es el montón, lo contrario de un sistema organizado.</w:t>
      </w:r>
    </w:p>
    <w:p>
      <w:pPr>
        <w:pStyle w:val="Normal"/>
      </w:pPr>
      <w:r>
        <w:t xml:space="preserve">d) Entropía — Entropía es exactamente la pérdida que hay que contrarrestar, no lo que la contrarresta.</w:t>
      </w:r>
    </w:p>
    <w:p>
      <w:pPr>
        <w:pStyle w:val="Normal"/>
      </w:pPr>
      <w:r>
        <w:t xml:space="preserve">e) Neguentropía — Correcta: la neguentropía es la fuerza, la energía importada o el mecanismo autorregulador que conserva la organización.</w:t>
      </w:r>
    </w:p>
    <w:p>
      <w:pPr>
        <w:pStyle w:val="Normal"/>
      </w:pPr>
      <w:r>
        <w:t xml:space="preserve">Criterio de resolución: El enunciado describe lo que se opone a la pérdida de relaciones, así que la entropía queda descartada por ser justamente esa pérdida. La homeostasis mantiene el equilibrio, pero la energía que repone el orden es la neguentropía.</w:t>
      </w:r>
    </w:p>
    <w:p>
      <w:pPr>
        <w:pStyle w:val="Fuente"/>
      </w:pPr>
      <w:r>
        <w:t xml:space="preserve">Banco del portal; resolución editorial.</w:t>
      </w:r>
    </w:p>
    <w:p>
      <w:pPr>
        <w:pStyle w:val="Heading3"/>
      </w:pPr>
      <w:bookmarkStart w:name="b_solucion_p1_cerrado_aislado" w:id="6136"/>
      <w:r>
        <w:t xml:space="preserve">Solución S1-129</w:t>
      </w:r>
      <w:bookmarkEnd w:id="6136"/>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d) Cerrado, porque no intercambia materia, pero no aislado, porque intercambia energía</w:t>
            </w:r>
          </w:p>
        </w:tc>
      </w:tr>
    </w:tbl>
    <w:p>
      <w:pPr>
        <w:pStyle w:val="Normal"/>
      </w:pPr>
      <w:r>
        <w:t xml:space="preserve">a) Aislado, porque una tapa impide cualquier intercambio energético — Se descarta por la clave; aplique el criterio de resolución común que se desarrolla después de esta lista.</w:t>
      </w:r>
    </w:p>
    <w:p>
      <w:pPr>
        <w:pStyle w:val="Normal"/>
      </w:pPr>
      <w:r>
        <w:t xml:space="preserve">b) Abierto, porque toda entrada de calor transporta necesariamente materia — Se descarta por la clave; aplique el criterio de resolución común que se desarrolla después de esta lista.</w:t>
      </w:r>
    </w:p>
    <w:p>
      <w:pPr>
        <w:pStyle w:val="Normal"/>
      </w:pPr>
      <w:r>
        <w:t xml:space="preserve">c) Imposible de clasificar sin conocer su forma geométrica — Se descarta por la clave; aplique el criterio de resolución común que se desarrolla después de esta lista.</w:t>
      </w:r>
    </w:p>
    <w:p>
      <w:pPr>
        <w:pStyle w:val="Normal"/>
      </w:pPr>
      <w:r>
        <w:t xml:space="preserve">d) Cerrado, porque no intercambia materia, pero no aislado, porque intercambia energía — Se selecciona por la clave; aplique el criterio de resolución común que se desarrolla después de esta lista.</w:t>
      </w:r>
    </w:p>
    <w:p>
      <w:pPr>
        <w:pStyle w:val="Normal"/>
      </w:pPr>
      <w:r>
        <w:t xml:space="preserve">Criterio de resolución: Cerrado restringe el intercambio de materia; aislado restringe materia y energía. El calor que atraviesa la frontera demuestra que el recipiente no está aislado aunque permanezca sellado.</w:t>
      </w:r>
    </w:p>
    <w:p>
      <w:pPr>
        <w:pStyle w:val="Fuente"/>
      </w:pPr>
      <w:r>
        <w:t xml:space="preserve">Presentación de la unidad 2 (C-6), pág. 62 · precisión física editorial</w:t>
      </w:r>
    </w:p>
    <w:p>
      <w:pPr>
        <w:pStyle w:val="Heading3"/>
      </w:pPr>
      <w:bookmarkStart w:name="b_solucion_p1_segunda_ley_total" w:id="6137"/>
      <w:r>
        <w:t xml:space="preserve">Solución S1-130</w:t>
      </w:r>
      <w:bookmarkEnd w:id="6137"/>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a) La entropía del total aislado no disminuye; una parte puede disminuirla compensándola en el entorno</w:t>
            </w:r>
          </w:p>
        </w:tc>
      </w:tr>
    </w:tbl>
    <w:p>
      <w:pPr>
        <w:pStyle w:val="Normal"/>
      </w:pPr>
      <w:r>
        <w:t xml:space="preserve">a) La entropía del total aislado no disminuye; una parte puede disminuirla compensándola en el entorno — Se selecciona por la clave; aplique el criterio de resolución común que se desarrolla después de esta lista.</w:t>
      </w:r>
    </w:p>
    <w:p>
      <w:pPr>
        <w:pStyle w:val="Normal"/>
      </w:pPr>
      <w:r>
        <w:t xml:space="preserve">b) La entropía de cualquier sistema cerrado aumenta siempre aunque exporte calor — Se descarta por la clave; aplique el criterio de resolución común que se desarrolla después de esta lista.</w:t>
      </w:r>
    </w:p>
    <w:p>
      <w:pPr>
        <w:pStyle w:val="Normal"/>
      </w:pPr>
      <w:r>
        <w:t xml:space="preserve">c) Un organismo organizado viola la segunda ley — Se descarta por la clave; aplique el criterio de resolución común que se desarrolla después de esta lista.</w:t>
      </w:r>
    </w:p>
    <w:p>
      <w:pPr>
        <w:pStyle w:val="Normal"/>
      </w:pPr>
      <w:r>
        <w:t xml:space="preserve">d) La entropía mide sin distinción cualquier error o conflicto social — Se descarta por la clave; aplique el criterio de resolución común que se desarrolla después de esta lista.</w:t>
      </w:r>
    </w:p>
    <w:p>
      <w:pPr>
        <w:pStyle w:val="Normal"/>
      </w:pPr>
      <w:r>
        <w:t xml:space="preserve">Criterio de resolución: La segunda ley se aplica al total aislado: la entropía aumenta en procesos irreversibles y se conserva en el límite reversible. Un sistema que intercambia energía puede disminuir su entropía local con compensación en el entorno.</w:t>
      </w:r>
    </w:p>
    <w:p>
      <w:pPr>
        <w:pStyle w:val="Fuente"/>
      </w:pPr>
      <w:r>
        <w:t xml:space="preserve">Presentación de la unidad 2 (C-6), pág. 62 · precisión física editorial</w:t>
      </w:r>
    </w:p>
    <w:p>
      <w:pPr>
        <w:pStyle w:val="Heading3"/>
      </w:pPr>
      <w:bookmarkStart w:name="b_solucion_u2b_09_homeostasis" w:id="6138"/>
      <w:r>
        <w:t xml:space="preserve">Solución S1-131</w:t>
      </w:r>
      <w:bookmarkEnd w:id="6138"/>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b) Porque el valor interno no es siempre el mismo: varía según lo que llega del medio, y el sistema lo va corrigiendo</w:t>
            </w:r>
          </w:p>
        </w:tc>
      </w:tr>
    </w:tbl>
    <w:p>
      <w:pPr>
        <w:pStyle w:val="Normal"/>
      </w:pPr>
      <w:r>
        <w:t xml:space="preserve">a) Porque el sistema se mueve constantemente — Se descarta por la clave; aplique el criterio de resolución común que se desarrolla después de esta lista.</w:t>
      </w:r>
    </w:p>
    <w:p>
      <w:pPr>
        <w:pStyle w:val="Normal"/>
      </w:pPr>
      <w:r>
        <w:t xml:space="preserve">b) Porque el valor interno no es siempre el mismo: varía según lo que llega del medio, y el sistema lo va corrigiendo — Se selecciona por la clave; aplique el criterio de resolución común que se desarrolla después de esta lista.</w:t>
      </w:r>
    </w:p>
    <w:p>
      <w:pPr>
        <w:pStyle w:val="Normal"/>
      </w:pPr>
      <w:r>
        <w:t xml:space="preserve">c) Porque sólo ocurre en sistemas rápidos — Se descarta por la clave; aplique el criterio de resolución común que se desarrolla después de esta lista.</w:t>
      </w:r>
    </w:p>
    <w:p>
      <w:pPr>
        <w:pStyle w:val="Normal"/>
      </w:pPr>
      <w:r>
        <w:t xml:space="preserve">d) Porque el equilibrio se pierde con el tiempo — Se descarta por la clave; aplique el criterio de resolución común que se desarrolla después de esta lista.</w:t>
      </w:r>
    </w:p>
    <w:p>
      <w:pPr>
        <w:pStyle w:val="Normal"/>
      </w:pPr>
      <w:r>
        <w:t xml:space="preserve">Criterio de resolución: Es la precisión que hizo el profesor: la temperatura del cuerpo no se queda en un número fijo, oscila según el ambiente y el sistema la devuelve a su rango. Equilibrio no es quietud.</w:t>
      </w:r>
    </w:p>
    <w:p>
      <w:pPr>
        <w:pStyle w:val="Fuente"/>
      </w:pPr>
      <w:r>
        <w:t xml:space="preserve">Banco del portal; resolución editorial.</w:t>
      </w:r>
    </w:p>
    <w:p>
      <w:pPr>
        <w:pStyle w:val="Heading3"/>
      </w:pPr>
      <w:bookmarkStart w:name="b_solucion_u2b_10_entropia_relaciones" w:id="6139"/>
      <w:r>
        <w:t xml:space="preserve">Solución S1-132</w:t>
      </w:r>
      <w:bookmarkEnd w:id="6139"/>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b) De las interacciones y relaciones entre las partes</w:t>
            </w:r>
          </w:p>
        </w:tc>
      </w:tr>
    </w:tbl>
    <w:p>
      <w:pPr>
        <w:pStyle w:val="Normal"/>
      </w:pPr>
      <w:r>
        <w:t xml:space="preserve">a) De las partes tomadas una por una — Se descarta por la clave; aplique el criterio de resolución común que se desarrolla después de esta lista.</w:t>
      </w:r>
    </w:p>
    <w:p>
      <w:pPr>
        <w:pStyle w:val="Normal"/>
      </w:pPr>
      <w:r>
        <w:t xml:space="preserve">b) De las interacciones y relaciones entre las partes — Se selecciona por la clave; aplique el criterio de resolución común que se desarrolla después de esta lista.</w:t>
      </w:r>
    </w:p>
    <w:p>
      <w:pPr>
        <w:pStyle w:val="Normal"/>
      </w:pPr>
      <w:r>
        <w:t xml:space="preserve">c) Del entorno del sistema — Se descarta por la clave; aplique el criterio de resolución común que se desarrolla después de esta lista.</w:t>
      </w:r>
    </w:p>
    <w:p>
      <w:pPr>
        <w:pStyle w:val="Normal"/>
      </w:pPr>
      <w:r>
        <w:t xml:space="preserve">d) De la información almacenada — Se descarta por la clave; aplique el criterio de resolución común que se desarrolla después de esta lista.</w:t>
      </w:r>
    </w:p>
    <w:p>
      <w:pPr>
        <w:pStyle w:val="Normal"/>
      </w:pPr>
      <w:r>
        <w:t xml:space="preserve">Criterio de resolución: El profesor lo dijo así: la entropía mide el grado de orden o desorden «que provocan sus interacciones, sus relaciones, las relaciones de las partes». Un sistema con entropía alta vuelve a ser conglomerado.</w:t>
      </w:r>
    </w:p>
    <w:p>
      <w:pPr>
        <w:pStyle w:val="Fuente"/>
      </w:pPr>
      <w:r>
        <w:t xml:space="preserve">Banco del portal; resolución editorial.</w:t>
      </w:r>
    </w:p>
    <w:p>
      <w:pPr>
        <w:pStyle w:val="Heading3"/>
      </w:pPr>
      <w:bookmarkStart w:name="b_solucion_u2b_11_neguentropia_lecturas" w:id="6140"/>
      <w:r>
        <w:t xml:space="preserve">Solución S1-133</w:t>
      </w:r>
      <w:bookmarkEnd w:id="6140"/>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a) Como una fuerza que produce mayores niveles de orden</w:t>
            </w:r>
          </w:p>
          <w:p>
            <w:pPr>
              <w:pStyle w:val="Recuadro"/>
            </w:pPr>
            <w:r>
              <w:t xml:space="preserve">b) Como energía que el sistema importa del ambiente para mantener su organización</w:t>
            </w:r>
          </w:p>
          <w:p>
            <w:pPr>
              <w:pStyle w:val="Recuadro"/>
            </w:pPr>
            <w:r>
              <w:t xml:space="preserve">c) Como un mecanismo autorregulador</w:t>
            </w:r>
          </w:p>
        </w:tc>
      </w:tr>
    </w:tbl>
    <w:p>
      <w:pPr>
        <w:pStyle w:val="Normal"/>
      </w:pPr>
      <w:r>
        <w:t xml:space="preserve">a) Como una fuerza que produce mayores niveles de orden — Se selecciona por la clave; aplique el criterio de resolución común que se desarrolla después de esta lista.</w:t>
      </w:r>
    </w:p>
    <w:p>
      <w:pPr>
        <w:pStyle w:val="Normal"/>
      </w:pPr>
      <w:r>
        <w:t xml:space="preserve">b) Como energía que el sistema importa del ambiente para mantener su organización — Se selecciona por la clave; aplique el criterio de resolución común que se desarrolla después de esta lista.</w:t>
      </w:r>
    </w:p>
    <w:p>
      <w:pPr>
        <w:pStyle w:val="Normal"/>
      </w:pPr>
      <w:r>
        <w:t xml:space="preserve">c) Como un mecanismo autorregulador — Se selecciona por la clave; aplique el criterio de resolución común que se desarrolla después de esta lista.</w:t>
      </w:r>
    </w:p>
    <w:p>
      <w:pPr>
        <w:pStyle w:val="Normal"/>
      </w:pPr>
      <w:r>
        <w:t xml:space="preserve">d) Como la medida del desorden acumulado — Se descarta por la clave; aplique el criterio de resolución común que se desarrolla después de esta lista.</w:t>
      </w:r>
    </w:p>
    <w:p>
      <w:pPr>
        <w:pStyle w:val="Normal"/>
      </w:pPr>
      <w:r>
        <w:t xml:space="preserve">Criterio de resolución: Las tres primeras son las tres lecturas que dio el profesor. La cuarta es la definición de entropía, es decir, justo lo contrario.</w:t>
      </w:r>
    </w:p>
    <w:p>
      <w:pPr>
        <w:pStyle w:val="Fuente"/>
      </w:pPr>
      <w:r>
        <w:t xml:space="preserve">Banco del portal; resolución editorial.</w:t>
      </w:r>
    </w:p>
    <w:p>
      <w:pPr>
        <w:pStyle w:val="Heading3"/>
      </w:pPr>
      <w:bookmarkStart w:name="b_solucion_u2b_12_mantenimiento" w:id="6141"/>
      <w:r>
        <w:t xml:space="preserve">Solución S1-134</w:t>
      </w:r>
      <w:bookmarkEnd w:id="6141"/>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b) Porque es una acción que repone orden y contrarresta el deterioro; la genera el sistema mayor usuario más máquina</w:t>
            </w:r>
          </w:p>
        </w:tc>
      </w:tr>
    </w:tbl>
    <w:p>
      <w:pPr>
        <w:pStyle w:val="Normal"/>
      </w:pPr>
      <w:r>
        <w:t xml:space="preserve">a) Porque la computadora se limpia sola — Se descarta por la clave; aplique el criterio de resolución común que se desarrolla después de esta lista.</w:t>
      </w:r>
    </w:p>
    <w:p>
      <w:pPr>
        <w:pStyle w:val="Normal"/>
      </w:pPr>
      <w:r>
        <w:t xml:space="preserve">b) Porque es una acción que repone orden y contrarresta el deterioro; la genera el sistema mayor usuario más máquina — Se selecciona por la clave; aplique el criterio de resolución común que se desarrolla después de esta lista.</w:t>
      </w:r>
    </w:p>
    <w:p>
      <w:pPr>
        <w:pStyle w:val="Normal"/>
      </w:pPr>
      <w:r>
        <w:t xml:space="preserve">c) Porque aumenta la entropía del equipo — Se descarta por la clave; aplique el criterio de resolución común que se desarrolla después de esta lista.</w:t>
      </w:r>
    </w:p>
    <w:p>
      <w:pPr>
        <w:pStyle w:val="Normal"/>
      </w:pPr>
      <w:r>
        <w:t xml:space="preserve">d) Porque sustituye al sistema de control — Se descarta por la clave; aplique el criterio de resolución común que se desarrolla después de esta lista.</w:t>
      </w:r>
    </w:p>
    <w:p>
      <w:pPr>
        <w:pStyle w:val="Normal"/>
      </w:pPr>
      <w:r>
        <w:t xml:space="preserve">Criterio de resolución: El profesor subrayó que la computadora no puede autolimpiarse: la neguentropía la aporta el sistema mayor que la incluye. Sin esa acción, la ley natural del desorden sigue su curso.</w:t>
      </w:r>
    </w:p>
    <w:p>
      <w:pPr>
        <w:pStyle w:val="Fuente"/>
      </w:pPr>
      <w:r>
        <w:t xml:space="preserve">Banco del portal; resolución editorial.</w:t>
      </w:r>
    </w:p>
    <w:p>
      <w:pPr>
        <w:pStyle w:val="Heading3"/>
      </w:pPr>
      <w:bookmarkStart w:name="b_solucion_u2b_13_abierto_cerrado" w:id="6142"/>
      <w:r>
        <w:t xml:space="preserve">Solución S1-135</w:t>
      </w:r>
      <w:bookmarkEnd w:id="6142"/>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Sistema abierto: Una empresa que compra insumos y vende productos; El cuerpo humano intercambiando oxígeno con el ambiente</w:t>
            </w:r>
          </w:p>
          <w:p>
            <w:pPr>
              <w:pStyle w:val="Recuadro"/>
            </w:pPr>
            <w:r>
              <w:t xml:space="preserve">Sistema cerrado: Un montaje de laboratorio del que se eliminan las interacciones con el medio para estudiarlo aislado</w:t>
            </w:r>
          </w:p>
        </w:tc>
      </w:tr>
    </w:tbl>
    <w:p>
      <w:pPr>
        <w:pStyle w:val="Normal"/>
      </w:pPr>
      <w:r>
        <w:t xml:space="preserve">Criterio de resolución: La distinción es la interacción con el medio. La clase fue explícita: casi todos los sistemas son abiertos, y el cerrado es esencialmente artificial, construido por científicos con fines de estudio.</w:t>
      </w:r>
    </w:p>
    <w:p>
      <w:pPr>
        <w:pStyle w:val="Fuente"/>
      </w:pPr>
      <w:r>
        <w:t xml:space="preserve">Banco del portal; resolución editorial.</w:t>
      </w:r>
    </w:p>
    <w:p>
      <w:pPr>
        <w:pStyle w:val="Heading3"/>
      </w:pPr>
      <w:bookmarkStart w:name="b_solucion_u2b_14_equifinalidad_caminos" w:id="6143"/>
      <w:r>
        <w:t xml:space="preserve">Solución S1-136</w:t>
      </w:r>
      <w:bookmarkEnd w:id="6143"/>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b) Equifinalidad</w:t>
            </w:r>
          </w:p>
        </w:tc>
      </w:tr>
    </w:tbl>
    <w:p>
      <w:pPr>
        <w:pStyle w:val="Normal"/>
      </w:pPr>
      <w:r>
        <w:t xml:space="preserve">a) Homeostasis — Se descarta por la clave; aplique el criterio de resolución común que se desarrolla después de esta lista.</w:t>
      </w:r>
    </w:p>
    <w:p>
      <w:pPr>
        <w:pStyle w:val="Normal"/>
      </w:pPr>
      <w:r>
        <w:t xml:space="preserve">b) Equifinalidad — Se selecciona por la clave; aplique el criterio de resolución común que se desarrolla después de esta lista.</w:t>
      </w:r>
    </w:p>
    <w:p>
      <w:pPr>
        <w:pStyle w:val="Normal"/>
      </w:pPr>
      <w:r>
        <w:t xml:space="preserve">c) Entropía — Se descarta por la clave; aplique el criterio de resolución común que se desarrolla después de esta lista.</w:t>
      </w:r>
    </w:p>
    <w:p>
      <w:pPr>
        <w:pStyle w:val="Normal"/>
      </w:pPr>
      <w:r>
        <w:t xml:space="preserve">d) Sinergia — Se descarta por la clave; aplique el criterio de resolución común que se desarrolla después de esta lista.</w:t>
      </w:r>
    </w:p>
    <w:p>
      <w:pPr>
        <w:pStyle w:val="Normal"/>
      </w:pPr>
      <w:r>
        <w:t xml:space="preserve">Criterio de resolución: Es el ejemplo literal de la lámina: el mismo objetivo alcanzado por caminos muy diferentes, con independencia de las condiciones individuales del sistema.</w:t>
      </w:r>
    </w:p>
    <w:p>
      <w:pPr>
        <w:pStyle w:val="Fuente"/>
      </w:pPr>
      <w:r>
        <w:t xml:space="preserve">Banco del portal; resolución editorial.</w:t>
      </w:r>
    </w:p>
    <w:p>
      <w:pPr>
        <w:pStyle w:val="Heading3"/>
      </w:pPr>
      <w:bookmarkStart w:name="b_solucion_u2b_15_multifinalidad_estatus" w:id="6144"/>
      <w:r>
        <w:t xml:space="preserve">Solución S1-137</w:t>
      </w:r>
      <w:bookmarkEnd w:id="6144"/>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b) Se mencionó como concepto opuesto y quedó asignada como investigación, sin definirse</w:t>
            </w:r>
          </w:p>
        </w:tc>
      </w:tr>
    </w:tbl>
    <w:p>
      <w:pPr>
        <w:pStyle w:val="Normal"/>
      </w:pPr>
      <w:r>
        <w:t xml:space="preserve">a) Se definió con el mismo detalle que la equifinalidad — Se descarta por la clave; aplique el criterio de resolución común que se desarrolla después de esta lista.</w:t>
      </w:r>
    </w:p>
    <w:p>
      <w:pPr>
        <w:pStyle w:val="Normal"/>
      </w:pPr>
      <w:r>
        <w:t xml:space="preserve">b) Se mencionó como concepto opuesto y quedó asignada como investigación, sin definirse — Se selecciona por la clave; aplique el criterio de resolución común que se desarrolla después de esta lista.</w:t>
      </w:r>
    </w:p>
    <w:p>
      <w:pPr>
        <w:pStyle w:val="Normal"/>
      </w:pPr>
      <w:r>
        <w:t xml:space="preserve">c) Se descartó por no pertenecer a la teoría de sistemas — Se descarta por la clave; aplique el criterio de resolución común que se desarrolla después de esta lista.</w:t>
      </w:r>
    </w:p>
    <w:p>
      <w:pPr>
        <w:pStyle w:val="Normal"/>
      </w:pPr>
      <w:r>
        <w:t xml:space="preserve">d) Se explicó con tres ejemplos empresariales — Se descarta por la clave; aplique el criterio de resolución común que se desarrolla después de esta lista.</w:t>
      </w:r>
    </w:p>
    <w:p>
      <w:pPr>
        <w:pStyle w:val="Normal"/>
      </w:pPr>
      <w:r>
        <w:t xml:space="preserve">Criterio de resolución: El profesor sólo dijo que es «la opuesta», «muy similar a la equifinalidad» y «fácil de derivar», y la dejó de tarea. El portal no le atribuye una definición que no dio.</w:t>
      </w:r>
    </w:p>
    <w:p>
      <w:pPr>
        <w:pStyle w:val="Fuente"/>
      </w:pPr>
      <w:r>
        <w:t xml:space="preserve">Banco del portal; resolución editorial.</w:t>
      </w:r>
    </w:p>
    <w:p>
      <w:pPr>
        <w:pStyle w:val="Heading3"/>
      </w:pPr>
      <w:bookmarkStart w:name="b_solucion_u2b_16_conceptos_tgs_bd65c15d" w:id="6145"/>
      <w:r>
        <w:t xml:space="preserve">Solución S1-138</w:t>
      </w:r>
      <w:bookmarkEnd w:id="6145"/>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Homeostasis: El cuerpo sostiene su temperatura pese al frío de afuera</w:t>
            </w:r>
          </w:p>
          <w:p>
            <w:pPr>
              <w:pStyle w:val="Recuadro"/>
            </w:pPr>
            <w:r>
              <w:t xml:space="preserve">Entropía: El huevo roto en el piso no se puede volver a componer; Todo sistema tiende al desorden conforme pasa el tiempo</w:t>
            </w:r>
          </w:p>
          <w:p>
            <w:pPr>
              <w:pStyle w:val="Recuadro"/>
            </w:pPr>
            <w:r>
              <w:t xml:space="preserve">Neguentropía: El mantenimiento periódico devuelve orden al equipo</w:t>
            </w:r>
          </w:p>
        </w:tc>
      </w:tr>
    </w:tbl>
    <w:p>
      <w:pPr>
        <w:pStyle w:val="Normal"/>
      </w:pPr>
      <w:r>
        <w:t xml:space="preserve">Criterio de resolución: Homeostasis sostiene un valor dentro de un rango; entropía es la deriva al desorden; neguentropía es lo que la contrarresta. Los tres ejemplos son los que usó la clase.</w:t>
      </w:r>
    </w:p>
    <w:p>
      <w:pPr>
        <w:pStyle w:val="Fuente"/>
      </w:pPr>
      <w:r>
        <w:t xml:space="preserve">Banco del portal; resolución editorial.</w:t>
      </w:r>
    </w:p>
    <w:p>
      <w:pPr>
        <w:pStyle w:val="Heading3"/>
      </w:pPr>
      <w:bookmarkStart w:name="b_solucion_cmp_25_habitos_y_conceptos" w:id="6146"/>
      <w:r>
        <w:t xml:space="preserve">Solución S1-139</w:t>
      </w:r>
      <w:bookmarkEnd w:id="6146"/>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b) Los conceptos dicen qué mirar y los hábitos, cómo mirarlo de forma repetible</w:t>
            </w:r>
          </w:p>
        </w:tc>
      </w:tr>
    </w:tbl>
    <w:p>
      <w:pPr>
        <w:pStyle w:val="Normal"/>
      </w:pPr>
      <w:r>
        <w:t xml:space="preserve">a) Son la misma lista con otros nombres — Se descarta por la clave; aplique el criterio de resolución común que se desarrolla después de esta lista.</w:t>
      </w:r>
    </w:p>
    <w:p>
      <w:pPr>
        <w:pStyle w:val="Normal"/>
      </w:pPr>
      <w:r>
        <w:t xml:space="preserve">b) Los conceptos dicen qué mirar y los hábitos, cómo mirarlo de forma repetible — Se selecciona por la clave; aplique el criterio de resolución común que se desarrolla después de esta lista.</w:t>
      </w:r>
    </w:p>
    <w:p>
      <w:pPr>
        <w:pStyle w:val="Normal"/>
      </w:pPr>
      <w:r>
        <w:t xml:space="preserve">c) Los hábitos preceden a los conceptos y los sustituyen — Se descarta por la clave; aplique el criterio de resolución común que se desarrolla después de esta lista.</w:t>
      </w:r>
    </w:p>
    <w:p>
      <w:pPr>
        <w:pStyle w:val="Normal"/>
      </w:pPr>
      <w:r>
        <w:t xml:space="preserve">d) No guardan relación: pertenecen a unidades distintas — Se descarta por la clave; aplique el criterio de resolución común que se desarrolla después de esta lista.</w:t>
      </w:r>
    </w:p>
    <w:p>
      <w:pPr>
        <w:pStyle w:val="Normal"/>
      </w:pPr>
      <w:r>
        <w:t xml:space="preserve">Criterio de resolución: Homeostasis, entropía o emergencia nombran fenómenos; los hábitos nombran operaciones de observación. Saber el concepto sin el hábito deja la teoría sin uso.</w:t>
      </w:r>
    </w:p>
    <w:p>
      <w:pPr>
        <w:pStyle w:val="Fuente"/>
      </w:pPr>
      <w:r>
        <w:t xml:space="preserve">Banco del portal; resolución editorial.</w:t>
      </w:r>
    </w:p>
    <w:p>
      <w:pPr>
        <w:pStyle w:val="Heading3"/>
      </w:pPr>
      <w:bookmarkStart w:name="b_solucion_cmp_26_perfil_pensador" w:id="6147"/>
      <w:r>
        <w:t xml:space="preserve">Solución S1-140</w:t>
      </w:r>
      <w:bookmarkEnd w:id="6147"/>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Propio del pensador sistémico: Construye modelos mentales sistémicos y los revisa; Maneja el paradigma de sistemas para pensar la realidad</w:t>
            </w:r>
          </w:p>
          <w:p>
            <w:pPr>
              <w:pStyle w:val="Recuadro"/>
            </w:pPr>
            <w:r>
              <w:t xml:space="preserve">Ajeno a ese perfil: Busca al responsable individual antes que la estructura; Se queda con la primera perspectiva que le resulta convincente</w:t>
            </w:r>
          </w:p>
        </w:tc>
      </w:tr>
    </w:tbl>
    <w:p>
      <w:pPr>
        <w:pStyle w:val="Normal"/>
      </w:pPr>
      <w:r>
        <w:t xml:space="preserve">Criterio de resolución: El perfil que sintetizó la clase 9 tiene dos rasgos: usar el paradigma de sistemas y construir modelos mentales sistémicos. Las otras dos conductas son justamente los hábitos que el curso viene a corregir.</w:t>
      </w:r>
    </w:p>
    <w:p>
      <w:pPr>
        <w:pStyle w:val="Fuente"/>
      </w:pPr>
      <w:r>
        <w:t xml:space="preserve">Banco del portal; resolución editorial.</w:t>
      </w:r>
    </w:p>
    <w:p>
      <w:pPr>
        <w:pStyle w:val="Heading3"/>
      </w:pPr>
      <w:bookmarkStart w:name="b_solucion_p1_catorce_introduccion" w:id="6148"/>
      <w:r>
        <w:t xml:space="preserve">Solución S1-141</w:t>
      </w:r>
      <w:bookmarkEnd w:id="6148"/>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b) Catorce hábitos y un curso introductorio; la introducción no es un hábito quince</w:t>
            </w:r>
          </w:p>
        </w:tc>
      </w:tr>
    </w:tbl>
    <w:p>
      <w:pPr>
        <w:pStyle w:val="Normal"/>
      </w:pPr>
      <w:r>
        <w:t xml:space="preserve">a) Quince hábitos del mismo rango, incluida la introducción — Se descarta por la clave; aplique el criterio de resolución común que se desarrolla después de esta lista.</w:t>
      </w:r>
    </w:p>
    <w:p>
      <w:pPr>
        <w:pStyle w:val="Normal"/>
      </w:pPr>
      <w:r>
        <w:t xml:space="preserve">b) Catorce hábitos y un curso introductorio; la introducción no es un hábito quince — Se selecciona por la clave; aplique el criterio de resolución común que se desarrolla después de esta lista.</w:t>
      </w:r>
    </w:p>
    <w:p>
      <w:pPr>
        <w:pStyle w:val="Normal"/>
      </w:pPr>
      <w:r>
        <w:t xml:space="preserve">c) Cuatro hábitos en total y ningún otro en el catálogo — Se descarta por la clave; aplique el criterio de resolución común que se desarrolla después de esta lista.</w:t>
      </w:r>
    </w:p>
    <w:p>
      <w:pPr>
        <w:pStyle w:val="Normal"/>
      </w:pPr>
      <w:r>
        <w:t xml:space="preserve">d) Catorce fases que deben practicarse siempre en el mismo orden — Se descarta por la clave; aplique el criterio de resolución común que se desarrolla después de esta lista.</w:t>
      </w:r>
    </w:p>
    <w:p>
      <w:pPr>
        <w:pStyle w:val="Normal"/>
      </w:pPr>
      <w:r>
        <w:t xml:space="preserve">Criterio de resolución: El modelo de Waters identifica catorce hábitos. El catálogo añade una introducción como curso de entrada y el tramo inicial selecciona cuatro; ni la introducción ni las ampliaciones cambian ese número de hábitos.</w:t>
      </w:r>
    </w:p>
    <w:p>
      <w:pPr>
        <w:pStyle w:val="Fuente"/>
      </w:pPr>
      <w:r>
        <w:t xml:space="preserve">Presentación de la unidad 1 (C-5), pág. 22 y 23 · Clase 3 · 01:01:27–01:03:33</w:t>
      </w:r>
    </w:p>
    <w:p>
      <w:pPr>
        <w:pStyle w:val="Heading3"/>
      </w:pPr>
      <w:bookmarkStart w:name="b_solucion_p1_perfil_practica" w:id="6149"/>
      <w:r>
        <w:t xml:space="preserve">Solución S1-142</w:t>
      </w:r>
      <w:bookmarkEnd w:id="6149"/>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c) Usar el paradigma para construir modelos, revisar relaciones y contrastar supuestos al decidir</w:t>
            </w:r>
          </w:p>
        </w:tc>
      </w:tr>
    </w:tbl>
    <w:p>
      <w:pPr>
        <w:pStyle w:val="Normal"/>
      </w:pPr>
      <w:r>
        <w:t xml:space="preserve">a) Recitar el catálogo sin aplicarlo a ninguna situación — Se descarta por la clave; aplique el criterio de resolución común que se desarrolla después de esta lista.</w:t>
      </w:r>
    </w:p>
    <w:p>
      <w:pPr>
        <w:pStyle w:val="Normal"/>
      </w:pPr>
      <w:r>
        <w:t xml:space="preserve">b) Memorizar la palabra sistema y evitar datos que contradigan el modelo — Se descarta por la clave; aplique el criterio de resolución común que se desarrolla después de esta lista.</w:t>
      </w:r>
    </w:p>
    <w:p>
      <w:pPr>
        <w:pStyle w:val="Normal"/>
      </w:pPr>
      <w:r>
        <w:t xml:space="preserve">c) Usar el paradigma para construir modelos, revisar relaciones y contrastar supuestos al decidir — Se selecciona por la clave; aplique el criterio de resolución común que se desarrolla después de esta lista.</w:t>
      </w:r>
    </w:p>
    <w:p>
      <w:pPr>
        <w:pStyle w:val="Normal"/>
      </w:pPr>
      <w:r>
        <w:t xml:space="preserve">d) Suponer que conocer la teoría hace innecesario modificar la interpretación — Se descarta por la clave; aplique el criterio de resolución común que se desarrolla después de esta lista.</w:t>
      </w:r>
    </w:p>
    <w:p>
      <w:pPr>
        <w:pStyle w:val="Normal"/>
      </w:pPr>
      <w:r>
        <w:t xml:space="preserve">Criterio de resolución: El cierre reúne manejar el paradigma de sistemas y construir modelos mentales sistémicos con sus conceptos. Los hábitos se reconocen como comportamientos repetidos de observación, relación, contraste y revisión, no sólo como nombres aprendidos.</w:t>
      </w:r>
    </w:p>
    <w:p>
      <w:pPr>
        <w:pStyle w:val="Fuente"/>
      </w:pPr>
      <w:r>
        <w:t xml:space="preserve">Clase 9 · 01:10:06–01:11:48 · Presentación de la unidad 2 (C-6), pág. 16</w:t>
      </w:r>
    </w:p>
    <w:p>
      <w:pPr>
        <w:pStyle w:val="Heading3"/>
      </w:pPr>
      <w:bookmarkStart w:name="b_solucion_u2b_17_pensador_sistemico" w:id="6150"/>
      <w:r>
        <w:t xml:space="preserve">Solución S1-143</w:t>
      </w:r>
      <w:bookmarkEnd w:id="6150"/>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a) Maneja el paradigma de sistemas y lo usa para pensar la realidad</w:t>
            </w:r>
          </w:p>
          <w:p>
            <w:pPr>
              <w:pStyle w:val="Recuadro"/>
            </w:pPr>
            <w:r>
              <w:t xml:space="preserve">b) Busca construir modelos mentales sistémicos</w:t>
            </w:r>
          </w:p>
        </w:tc>
      </w:tr>
    </w:tbl>
    <w:p>
      <w:pPr>
        <w:pStyle w:val="Normal"/>
      </w:pPr>
      <w:r>
        <w:t xml:space="preserve">a) Maneja el paradigma de sistemas y lo usa para pensar la realidad — Se selecciona por la clave; aplique el criterio de resolución común que se desarrolla después de esta lista.</w:t>
      </w:r>
    </w:p>
    <w:p>
      <w:pPr>
        <w:pStyle w:val="Normal"/>
      </w:pPr>
      <w:r>
        <w:t xml:space="preserve">b) Busca construir modelos mentales sistémicos — Se selecciona por la clave; aplique el criterio de resolución común que se desarrolla después de esta lista.</w:t>
      </w:r>
    </w:p>
    <w:p>
      <w:pPr>
        <w:pStyle w:val="Normal"/>
      </w:pPr>
      <w:r>
        <w:t xml:space="preserve">c) Evita descomponer los problemas — Se descarta por la clave; aplique el criterio de resolución común que se desarrolla después de esta lista.</w:t>
      </w:r>
    </w:p>
    <w:p>
      <w:pPr>
        <w:pStyle w:val="Normal"/>
      </w:pPr>
      <w:r>
        <w:t xml:space="preserve">d) Prescinde de las perspectivas ajenas — Se descarta por la clave; aplique el criterio de resolución común que se desarrolla después de esta lista.</w:t>
      </w:r>
    </w:p>
    <w:p>
      <w:pPr>
        <w:pStyle w:val="Normal"/>
      </w:pPr>
      <w:r>
        <w:t xml:space="preserve">Criterio de resolución: Es la síntesis con la que el profesor cerró la unidad. Las otras dos contradicen el método: el pensador sistémico analiza y además cambia de perspectiva.</w:t>
      </w:r>
    </w:p>
    <w:p>
      <w:pPr>
        <w:pStyle w:val="Fuente"/>
      </w:pPr>
      <w:r>
        <w:t xml:space="preserve">Banco del portal; resolución editorial.</w:t>
      </w:r>
    </w:p>
    <w:p>
      <w:pPr>
        <w:pStyle w:val="Heading3"/>
      </w:pPr>
      <w:bookmarkStart w:name="b_solucion_u2b_18_habitos_puente" w:id="6151"/>
      <w:r>
        <w:t xml:space="preserve">Solución S1-144</w:t>
      </w:r>
      <w:bookmarkEnd w:id="6151"/>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b) Traducen la teoría en maneras concretas de mirar y actuar</w:t>
            </w:r>
          </w:p>
        </w:tc>
      </w:tr>
    </w:tbl>
    <w:p>
      <w:pPr>
        <w:pStyle w:val="Normal"/>
      </w:pPr>
      <w:r>
        <w:t xml:space="preserve">a) Sustituyen a los conceptos de la teoría general de sistemas — Se descarta por la clave; aplique el criterio de resolución común que se desarrolla después de esta lista.</w:t>
      </w:r>
    </w:p>
    <w:p>
      <w:pPr>
        <w:pStyle w:val="Normal"/>
      </w:pPr>
      <w:r>
        <w:t xml:space="preserve">b) Traducen la teoría en maneras concretas de mirar y actuar — Se selecciona por la clave; aplique el criterio de resolución común que se desarrolla después de esta lista.</w:t>
      </w:r>
    </w:p>
    <w:p>
      <w:pPr>
        <w:pStyle w:val="Normal"/>
      </w:pPr>
      <w:r>
        <w:t xml:space="preserve">c) Son una lista de definiciones que memorizar — Se descarta por la clave; aplique el criterio de resolución común que se desarrolla después de esta lista.</w:t>
      </w:r>
    </w:p>
    <w:p>
      <w:pPr>
        <w:pStyle w:val="Normal"/>
      </w:pPr>
      <w:r>
        <w:t xml:space="preserve">d) Sólo aplican a sistemas naturales — Se descarta por la clave; aplique el criterio de resolución común que se desarrolla después de esta lista.</w:t>
      </w:r>
    </w:p>
    <w:p>
      <w:pPr>
        <w:pStyle w:val="Normal"/>
      </w:pPr>
      <w:r>
        <w:t xml:space="preserve">Criterio de resolución: Son el puente entre saber la teoría y usarla: cada hábito nombra una operación de observación repetible, no un concepto más que aprender de memoria.</w:t>
      </w:r>
    </w:p>
    <w:p>
      <w:pPr>
        <w:pStyle w:val="Fuente"/>
        <w:sectPr>
          <w:headerReference w:type="default" r:id="rId318"/>
          <w:headerReference w:type="first" r:id="rId319"/>
          <w:headerReference w:type="even" r:id="rId320"/>
          <w:footerReference w:type="default" r:id="rId321"/>
          <w:footerReference w:type="first" r:id="rId322"/>
          <w:footerReference w:type="even" r:id="rId323"/>
          <w:type w:val="nextPage"/>
          <w:pgSz w:w="12240" w:h="15840" w:orient="portrait"/>
          <w:pgMar w:top="1361" w:right="1134" w:bottom="1361" w:left="1474" w:header="650" w:footer="680" w:gutter="0"/>
          <w:pgNumType/>
          <w:titlePg/>
          <w:docGrid w:linePitch="360"/>
        </w:sectPr>
      </w:pPr>
      <w:r>
        <w:t xml:space="preserve">Banco del portal; resolución editorial.</w:t>
      </w:r>
    </w:p>
    <w:p>
      <w:pPr>
        <w:pStyle w:val="Heading2"/>
      </w:pPr>
      <w:bookmarkStart w:name="b_banco_p2" w:id="6152"/>
      <w:r>
        <w:t xml:space="preserve">Banco completo del segundo parcial</w:t>
      </w:r>
      <w:bookmarkEnd w:id="6152"/>
    </w:p>
    <w:p>
      <w:pPr>
        <w:pStyle w:val="Normal"/>
      </w:pPr>
      <w:r>
        <w:t xml:space="preserve">205 preguntas por tema. El simulacro mixto del portal dispone de 100 minutos: 19 cerradas y 11 abiertas, con reparto editorial.</w:t>
      </w:r>
    </w:p>
    <w:p>
      <w:pPr>
        <w:pStyle w:val="Heading3"/>
      </w:pPr>
      <w:r>
        <w:t xml:space="preserve">Tema 3.1 · Mapas sistémicos</w:t>
      </w:r>
    </w:p>
    <w:p>
      <w:pPr>
        <w:pStyle w:val="Heading3"/>
      </w:pPr>
      <w:bookmarkStart w:name="b_pregunta_p2l_transferencia" w:id="6153"/>
      <w:r>
        <w:t xml:space="preserve">S2-1 · 3.1 · Mapas sistémicos</w:t>
      </w:r>
      <w:bookmarkEnd w:id="6153"/>
    </w:p>
    <w:p>
      <w:pPr>
        <w:pStyle w:val="Normal"/>
      </w:pPr>
      <w:r>
        <w:t xml:space="preserve">¿Qué permite concluir la comparación de oferta/demanda con presa/depredador de C-2, página 40?</w:t>
      </w:r>
    </w:p>
    <w:p>
      <w:pPr>
        <w:pStyle w:val="Normal"/>
      </w:pPr>
      <w:r>
        <w:t xml:space="preserve">a) Una posible analogía que exige comprobar mecanismos y condiciones; el gráfico económico no muestra una oscilación temporal</w:t>
      </w:r>
    </w:p>
    <w:p>
      <w:pPr>
        <w:pStyle w:val="Normal"/>
      </w:pPr>
      <w:r>
        <w:t xml:space="preserve">b) Que todos los mercados oscilan igual que todas las poblaciones</w:t>
      </w:r>
    </w:p>
    <w:p>
      <w:pPr>
        <w:pStyle w:val="Normal"/>
      </w:pPr>
      <w:r>
        <w:t xml:space="preserve">c) Que un gráfico de precio y cantidad tiene necesariamente tiempo en el eje horizontal</w:t>
      </w:r>
    </w:p>
    <w:p>
      <w:pPr>
        <w:pStyle w:val="Normal"/>
      </w:pPr>
      <w:r>
        <w:t xml:space="preserve">d) Que la transferencia permite omitir tasas y demoras</w:t>
      </w:r>
    </w:p>
    <w:p>
      <w:pPr>
        <w:pStyle w:val="Heading3"/>
      </w:pPr>
      <w:bookmarkStart w:name="b_pregunta_p2m_01_que_es_mapa_sistemico" w:id="6154"/>
      <w:r>
        <w:t xml:space="preserve">S2-2 · 3.1 · Mapas sistémicos</w:t>
      </w:r>
      <w:bookmarkEnd w:id="6154"/>
    </w:p>
    <w:p>
      <w:pPr>
        <w:pStyle w:val="Normal"/>
      </w:pPr>
      <w:r>
        <w:t xml:space="preserve">¿Qué es un mapa sistémico, según como lo presentó la clase?</w:t>
      </w:r>
    </w:p>
    <w:p>
      <w:pPr>
        <w:pStyle w:val="Normal"/>
      </w:pPr>
      <w:r>
        <w:t xml:space="preserve">a) Un dibujo libre que ilustra un sistema para hacer más atractiva una presentación</w:t>
      </w:r>
    </w:p>
    <w:p>
      <w:pPr>
        <w:pStyle w:val="Normal"/>
      </w:pPr>
      <w:r>
        <w:t xml:space="preserve">b) Una representación gráfica de los comportamientos sistémicos: un modelo con una sintaxis que se aprende a hacer, a interpretar y a utilizar</w:t>
      </w:r>
    </w:p>
    <w:p>
      <w:pPr>
        <w:pStyle w:val="Normal"/>
      </w:pPr>
      <w:r>
        <w:t xml:space="preserve">c) Un inventario ordenado de todas las partes que componen un sistema</w:t>
      </w:r>
    </w:p>
    <w:p>
      <w:pPr>
        <w:pStyle w:val="Normal"/>
      </w:pPr>
      <w:r>
        <w:t xml:space="preserve">d) La fotografía exacta del sistema real, sin pérdida de información</w:t>
      </w:r>
    </w:p>
    <w:p>
      <w:pPr>
        <w:pStyle w:val="Heading3"/>
      </w:pPr>
      <w:bookmarkStart w:name="b_pregunta_p2m_02_dos_familias_de_mapa" w:id="6155"/>
      <w:r>
        <w:t xml:space="preserve">S2-3 · 3.1 · Mapas sistémicos</w:t>
      </w:r>
      <w:bookmarkEnd w:id="6155"/>
    </w:p>
    <w:p>
      <w:pPr>
        <w:pStyle w:val="Normal"/>
      </w:pPr>
      <w:r>
        <w:t xml:space="preserve">¿En qué se diferencian un mapa DSRP y un diagrama de ciclos causales?</w:t>
      </w:r>
    </w:p>
    <w:p>
      <w:pPr>
        <w:pStyle w:val="Normal"/>
      </w:pPr>
      <w:r>
        <w:t xml:space="preserve">a) El mapa DSRP se dibuja a mano y el diagrama de ciclos causales requiere software</w:t>
      </w:r>
    </w:p>
    <w:p>
      <w:pPr>
        <w:pStyle w:val="Normal"/>
      </w:pPr>
      <w:r>
        <w:t xml:space="preserve">b) El mapa DSRP expresa las cuatro operaciones del pensamiento sistémico; el diagrama de ciclos causales concentra el énfasis en las relaciones y su dinámica en el tiempo</w:t>
      </w:r>
    </w:p>
    <w:p>
      <w:pPr>
        <w:pStyle w:val="Normal"/>
      </w:pPr>
      <w:r>
        <w:t xml:space="preserve">c) El mapa DSRP sirve para sistemas naturales y el diagrama de ciclos causales para sistemas de actividad humana</w:t>
      </w:r>
    </w:p>
    <w:p>
      <w:pPr>
        <w:pStyle w:val="Normal"/>
      </w:pPr>
      <w:r>
        <w:t xml:space="preserve">d) No se diferencian: son dos nombres de la misma herramienta</w:t>
      </w:r>
    </w:p>
    <w:p>
      <w:pPr>
        <w:pStyle w:val="Heading3"/>
      </w:pPr>
      <w:bookmarkStart w:name="b_pregunta_p2m_03_nivel_del_iceberg" w:id="6156"/>
      <w:r>
        <w:t xml:space="preserve">S2-4 · 3.1 · Mapas sistémicos</w:t>
      </w:r>
      <w:bookmarkEnd w:id="6156"/>
    </w:p>
    <w:p>
      <w:pPr>
        <w:pStyle w:val="Normal"/>
      </w:pPr>
      <w:r>
        <w:t xml:space="preserve">En el modelo del iceberg, ¿sobre qué nivel trabaja principalmente un diagrama de ciclos causales?</w:t>
      </w:r>
    </w:p>
    <w:p>
      <w:pPr>
        <w:pStyle w:val="Normal"/>
      </w:pPr>
      <w:r>
        <w:t xml:space="preserve">a) Sobre los eventos: qué pasó</w:t>
      </w:r>
    </w:p>
    <w:p>
      <w:pPr>
        <w:pStyle w:val="Normal"/>
      </w:pPr>
      <w:r>
        <w:t xml:space="preserve">b) Sobre los patrones de comportamiento: qué ha venido pasando</w:t>
      </w:r>
    </w:p>
    <w:p>
      <w:pPr>
        <w:pStyle w:val="Normal"/>
      </w:pPr>
      <w:r>
        <w:t xml:space="preserve">c) Sobre las estructuras subyacentes: qué relaciones producen lo que pasa</w:t>
      </w:r>
    </w:p>
    <w:p>
      <w:pPr>
        <w:pStyle w:val="Normal"/>
      </w:pPr>
      <w:r>
        <w:t xml:space="preserve">d) Sobre los modelos mentales: qué creencias sostienen el sistema</w:t>
      </w:r>
    </w:p>
    <w:p>
      <w:pPr>
        <w:pStyle w:val="Heading3"/>
      </w:pPr>
      <w:bookmarkStart w:name="b_pregunta_p2m_04_mapa_es_teoria" w:id="6157"/>
      <w:r>
        <w:t xml:space="preserve">S2-5 · 3.1 · Mapas sistémicos</w:t>
      </w:r>
      <w:bookmarkEnd w:id="6157"/>
    </w:p>
    <w:p>
      <w:pPr>
        <w:pStyle w:val="Normal"/>
      </w:pPr>
      <w:r>
        <w:t xml:space="preserve">¿Qué representa el mapa que construye un modelador?</w:t>
      </w:r>
    </w:p>
    <w:p>
      <w:pPr>
        <w:pStyle w:val="Normal"/>
      </w:pPr>
      <w:r>
        <w:t xml:space="preserve">a) La única descripción correcta del sistema, si aplica bien la sintaxis</w:t>
      </w:r>
    </w:p>
    <w:p>
      <w:pPr>
        <w:pStyle w:val="Normal"/>
      </w:pPr>
      <w:r>
        <w:t xml:space="preserve">b) Una teoría personal: lo que ese modelador comprende y concibe del sistema que mapea</w:t>
      </w:r>
    </w:p>
    <w:p>
      <w:pPr>
        <w:pStyle w:val="Normal"/>
      </w:pPr>
      <w:r>
        <w:t xml:space="preserve">c) Un resumen neutral, independiente de quién lo dibuje</w:t>
      </w:r>
    </w:p>
    <w:p>
      <w:pPr>
        <w:pStyle w:val="Normal"/>
      </w:pPr>
      <w:r>
        <w:t xml:space="preserve">d) Una lista de requisitos que el sistema debe cumplir</w:t>
      </w:r>
    </w:p>
    <w:p>
      <w:pPr>
        <w:pStyle w:val="Heading3"/>
      </w:pPr>
      <w:bookmarkStart w:name="b_pregunta_p2m_05_medio_indiferente" w:id="6158"/>
      <w:r>
        <w:t xml:space="preserve">S2-6 · 3.1 · Mapas sistémicos</w:t>
      </w:r>
      <w:bookmarkEnd w:id="6158"/>
    </w:p>
    <w:p>
      <w:pPr>
        <w:pStyle w:val="Normal"/>
      </w:pPr>
      <w:r>
        <w:t xml:space="preserve">Un estudiante entrega su mapa dibujado a mano en una hoja en vez de hacerlo en la herramienta en línea. ¿Qué corresponde según el criterio de la clase?</w:t>
      </w:r>
    </w:p>
    <w:p>
      <w:pPr>
        <w:pStyle w:val="Normal"/>
      </w:pPr>
      <w:r>
        <w:t xml:space="preserve">a) Está mal: el mapa sólo es válido si se construye en la herramienta de software</w:t>
      </w:r>
    </w:p>
    <w:p>
      <w:pPr>
        <w:pStyle w:val="Normal"/>
      </w:pPr>
      <w:r>
        <w:t xml:space="preserve">b) Está bien: el medio es indiferente mientras la sintaxis gráfica sea la correcta</w:t>
      </w:r>
    </w:p>
    <w:p>
      <w:pPr>
        <w:pStyle w:val="Normal"/>
      </w:pPr>
      <w:r>
        <w:t xml:space="preserve">c) Está bien, pero sólo si además lo pasa después a la herramienta</w:t>
      </w:r>
    </w:p>
    <w:p>
      <w:pPr>
        <w:pStyle w:val="Normal"/>
      </w:pPr>
      <w:r>
        <w:t xml:space="preserve">d) Está mal: a mano no se pueden representar perspectivas</w:t>
      </w:r>
    </w:p>
    <w:p>
      <w:pPr>
        <w:pStyle w:val="Heading3"/>
      </w:pPr>
      <w:bookmarkStart w:name="b_pregunta_p2m_18_modelo_mental_formula" w:id="6159"/>
      <w:r>
        <w:t xml:space="preserve">S2-7 · 3.1 · Mapas sistémicos</w:t>
      </w:r>
      <w:bookmarkEnd w:id="6159"/>
    </w:p>
    <w:p>
      <w:pPr>
        <w:pStyle w:val="Normal"/>
      </w:pPr>
      <w:r>
        <w:t xml:space="preserve">La lámina de los modelos mentales sistémicos plantea que «Información y Estructura = Modelo Mental». ¿Qué aporta cada término?</w:t>
      </w:r>
    </w:p>
    <w:p>
      <w:pPr>
        <w:pStyle w:val="Normal"/>
      </w:pPr>
      <w:r>
        <w:t xml:space="preserve">a) La información aporta los datos y la estructura aporta el formato visual del mapa</w:t>
      </w:r>
    </w:p>
    <w:p>
      <w:pPr>
        <w:pStyle w:val="Normal"/>
      </w:pPr>
      <w:r>
        <w:t xml:space="preserve">b) La información es todo el material y los datos que contribuyen al significado; la estructura es la organización contextual oculta que también contribuye a él</w:t>
      </w:r>
    </w:p>
    <w:p>
      <w:pPr>
        <w:pStyle w:val="Normal"/>
      </w:pPr>
      <w:r>
        <w:t xml:space="preserve">c) La información es lo que se ve y la estructura es lo que el autor decide ocultar</w:t>
      </w:r>
    </w:p>
    <w:p>
      <w:pPr>
        <w:pStyle w:val="Normal"/>
      </w:pPr>
      <w:r>
        <w:t xml:space="preserve">d) La información pertenece al sistema real y la estructura al modelador</w:t>
      </w:r>
    </w:p>
    <w:p>
      <w:pPr>
        <w:pStyle w:val="Heading3"/>
      </w:pPr>
      <w:bookmarkStart w:name="b_pregunta_p2m_19_st_loop" w:id="6160"/>
      <w:r>
        <w:t xml:space="preserve">S2-8 · 3.1 · Mapas sistémicos</w:t>
      </w:r>
      <w:bookmarkEnd w:id="6160"/>
    </w:p>
    <w:p>
      <w:pPr>
        <w:pStyle w:val="Normal"/>
      </w:pPr>
      <w:r>
        <w:t xml:space="preserve">Ordene el ciclo con que la lámina del ST LOOP describe cómo se mejora un modelo mental.</w:t>
      </w:r>
    </w:p>
    <w:p>
      <w:pPr>
        <w:pStyle w:val="Normal"/>
      </w:pPr>
      <w:r>
        <w:t xml:space="preserve">a) Se incorpora esa información y se repite el ciclo, acercando el modelo al sistema</w:t>
      </w:r>
    </w:p>
    <w:p>
      <w:pPr>
        <w:pStyle w:val="Normal"/>
      </w:pPr>
      <w:r>
        <w:t xml:space="preserve">b) Se prueba ese modelo contra el sistema del mundo real</w:t>
      </w:r>
    </w:p>
    <w:p>
      <w:pPr>
        <w:pStyle w:val="Normal"/>
      </w:pPr>
      <w:r>
        <w:t xml:space="preserve">c) Se tiene un modelo mental del sistema, formado por información y estructura</w:t>
      </w:r>
    </w:p>
    <w:p>
      <w:pPr>
        <w:pStyle w:val="Normal"/>
      </w:pPr>
      <w:r>
        <w:t xml:space="preserve">d) La prueba devuelve retroalimentación en forma de información</w:t>
      </w:r>
    </w:p>
    <w:p>
      <w:pPr>
        <w:pStyle w:val="Heading3"/>
      </w:pPr>
      <w:bookmarkStart w:name="b_pregunta_p2m_20_m_igual_i_por_t" w:id="6161"/>
      <w:r>
        <w:t xml:space="preserve">S2-9 · 3.1 · Mapas sistémicos</w:t>
      </w:r>
      <w:bookmarkEnd w:id="6161"/>
    </w:p>
    <w:p>
      <w:pPr>
        <w:pStyle w:val="Normal"/>
      </w:pPr>
      <w:r>
        <w:t xml:space="preserve">La expresión M = I × T de la lámina del pensamiento sistémico en síntesis quiere decir que…</w:t>
      </w:r>
    </w:p>
    <w:p>
      <w:pPr>
        <w:pStyle w:val="Normal"/>
      </w:pPr>
      <w:r>
        <w:t xml:space="preserve">a) El modelo mental es el producto de la información recibida por el pensamiento que la estructura</w:t>
      </w:r>
    </w:p>
    <w:p>
      <w:pPr>
        <w:pStyle w:val="Normal"/>
      </w:pPr>
      <w:r>
        <w:t xml:space="preserve">b) La memoria es el producto de la inteligencia por el tiempo de estudio</w:t>
      </w:r>
    </w:p>
    <w:p>
      <w:pPr>
        <w:pStyle w:val="Normal"/>
      </w:pPr>
      <w:r>
        <w:t xml:space="preserve">c) El modelo se mide multiplicando el número de ideas por el número de relaciones</w:t>
      </w:r>
    </w:p>
    <w:p>
      <w:pPr>
        <w:pStyle w:val="Normal"/>
      </w:pPr>
      <w:r>
        <w:t xml:space="preserve">d) La información y el pensamiento son intercambiables en la construcción de un modelo</w:t>
      </w:r>
    </w:p>
    <w:p>
      <w:pPr>
        <w:pStyle w:val="Heading3"/>
      </w:pPr>
      <w:bookmarkStart w:name="b_pregunta_p2m_23_bits_emergencia" w:id="6162"/>
      <w:r>
        <w:t xml:space="preserve">S2-10 · 3.1 · Mapas sistémicos</w:t>
      </w:r>
      <w:bookmarkEnd w:id="6162"/>
    </w:p>
    <w:p>
      <w:pPr>
        <w:pStyle w:val="Normal"/>
      </w:pPr>
      <w:r>
        <w:t xml:space="preserve">La lámina del banco de peces compara un cardumen con el pensamiento sistémico. ¿Qué afirma esa analogía?</w:t>
      </w:r>
    </w:p>
    <w:p>
      <w:pPr>
        <w:pStyle w:val="Normal"/>
      </w:pPr>
      <w:r>
        <w:t xml:space="preserve">a) Que los sistemas naturales son más complejos que los sistemas abstractos</w:t>
      </w:r>
    </w:p>
    <w:p>
      <w:pPr>
        <w:pStyle w:val="Normal"/>
      </w:pPr>
      <w:r>
        <w:t xml:space="preserve">b) Que el pensamiento sistémico emerge de aplicar reiteradamente reglas simples sobre pequeñas unidades de información, igual que el comportamiento del cardumen emerge de reglas simples entre peces</w:t>
      </w:r>
    </w:p>
    <w:p>
      <w:pPr>
        <w:pStyle w:val="Normal"/>
      </w:pPr>
      <w:r>
        <w:t xml:space="preserve">c) Que conviene estudiar biología antes que teoría de sistemas</w:t>
      </w:r>
    </w:p>
    <w:p>
      <w:pPr>
        <w:pStyle w:val="Normal"/>
      </w:pPr>
      <w:r>
        <w:t xml:space="preserve">d) Que un grupo de personas piensa mejor que una sola</w:t>
      </w:r>
    </w:p>
    <w:p>
      <w:pPr>
        <w:pStyle w:val="Heading3"/>
      </w:pPr>
      <w:bookmarkStart w:name="b_pregunta_p2m_25_relaciones_no_visibles" w:id="6163"/>
      <w:r>
        <w:t xml:space="preserve">S2-11 · 3.1 · Mapas sistémicos</w:t>
      </w:r>
      <w:bookmarkEnd w:id="6163"/>
    </w:p>
    <w:p>
      <w:pPr>
        <w:pStyle w:val="Normal"/>
      </w:pPr>
      <w:r>
        <w:t xml:space="preserve">El reportaje sobre la red de hongos que conecta las raíces de los árboles de un bosque sirvió en clase para sostener que…</w:t>
      </w:r>
    </w:p>
    <w:p>
      <w:pPr>
        <w:pStyle w:val="Normal"/>
      </w:pPr>
      <w:r>
        <w:t xml:space="preserve">a) Los sistemas naturales no pueden modelarse con mapas</w:t>
      </w:r>
    </w:p>
    <w:p>
      <w:pPr>
        <w:pStyle w:val="Normal"/>
      </w:pPr>
      <w:r>
        <w:t xml:space="preserve">b) Existen relaciones que no son perceptibles a simple vista y que, sin embargo, explican el comportamiento del sistema</w:t>
      </w:r>
    </w:p>
    <w:p>
      <w:pPr>
        <w:pStyle w:val="Normal"/>
      </w:pPr>
      <w:r>
        <w:t xml:space="preserve">c) Los árboles compiten y nunca cooperan</w:t>
      </w:r>
    </w:p>
    <w:p>
      <w:pPr>
        <w:pStyle w:val="Normal"/>
      </w:pPr>
      <w:r>
        <w:t xml:space="preserve">d) Todo sistema tiene exactamente un ciclo de retroalimentación</w:t>
      </w:r>
    </w:p>
    <w:p>
      <w:pPr>
        <w:pStyle w:val="Heading3"/>
      </w:pPr>
      <w:bookmarkStart w:name="b_pregunta_p2m_26_transferencia" w:id="6164"/>
      <w:r>
        <w:t xml:space="preserve">S2-12 · 3.1 · Mapas sistémicos</w:t>
      </w:r>
      <w:bookmarkEnd w:id="6164"/>
    </w:p>
    <w:p>
      <w:pPr>
        <w:pStyle w:val="Normal"/>
      </w:pPr>
      <w:r>
        <w:t xml:space="preserve">¿Qué significa que un pensador sistémico desarrolle capacidad de transferencia?</w:t>
      </w:r>
    </w:p>
    <w:p>
      <w:pPr>
        <w:pStyle w:val="Normal"/>
      </w:pPr>
      <w:r>
        <w:t xml:space="preserve">a) Que puede explicar un sistema a personas de otras disciplinas</w:t>
      </w:r>
    </w:p>
    <w:p>
      <w:pPr>
        <w:pStyle w:val="Normal"/>
      </w:pPr>
      <w:r>
        <w:t xml:space="preserve">b) Que puede aplicar la comprensión de un sistema a otro sistema distinto que se comporta de manera similar</w:t>
      </w:r>
    </w:p>
    <w:p>
      <w:pPr>
        <w:pStyle w:val="Normal"/>
      </w:pPr>
      <w:r>
        <w:t xml:space="preserve">c) Que puede cambiar de perspectiva dentro del mismo sistema</w:t>
      </w:r>
    </w:p>
    <w:p>
      <w:pPr>
        <w:pStyle w:val="Normal"/>
      </w:pPr>
      <w:r>
        <w:t xml:space="preserve">d) Que puede convertir un mapa DSRP en un diagrama causal</w:t>
      </w:r>
    </w:p>
    <w:p>
      <w:pPr>
        <w:pStyle w:val="Heading3"/>
      </w:pPr>
      <w:r>
        <w:t xml:space="preserve">Tema 3.2 · Mapas DSRP generales</w:t>
      </w:r>
    </w:p>
    <w:p>
      <w:pPr>
        <w:pStyle w:val="Heading3"/>
      </w:pPr>
      <w:bookmarkStart w:name="b_pregunta_p2l_barra" w:id="6165"/>
      <w:r>
        <w:t xml:space="preserve">S2-13 · 3.2 · Mapas DSRP generales</w:t>
      </w:r>
      <w:bookmarkEnd w:id="6165"/>
    </w:p>
    <w:p>
      <w:pPr>
        <w:pStyle w:val="Normal"/>
      </w:pPr>
      <w:r>
        <w:t xml:space="preserve">Al sistematizar la relación «comprar», ¿cuál es una descomposición compatible con R→D→S?</w:t>
      </w:r>
    </w:p>
    <w:p>
      <w:pPr>
        <w:pStyle w:val="Normal"/>
      </w:pPr>
      <w:r>
        <w:t xml:space="preserve">a) Únicamente acción y reacción; está prohibido añadir partes</w:t>
      </w:r>
    </w:p>
    <w:p>
      <w:pPr>
        <w:pStyle w:val="Normal"/>
      </w:pPr>
      <w:r>
        <w:t xml:space="preserve">b) Un ojo sin ninguna vista</w:t>
      </w:r>
    </w:p>
    <w:p>
      <w:pPr>
        <w:pStyle w:val="Normal"/>
      </w:pPr>
      <w:r>
        <w:t xml:space="preserve">c) Solicitud, confirmación, pago y producto como partes de la relación distinguida</w:t>
      </w:r>
    </w:p>
    <w:p>
      <w:pPr>
        <w:pStyle w:val="Normal"/>
      </w:pPr>
      <w:r>
        <w:t xml:space="preserve">d) Cuatro perspectivas que sustituyen toda relación</w:t>
      </w:r>
    </w:p>
    <w:p>
      <w:pPr>
        <w:pStyle w:val="Heading3"/>
      </w:pPr>
      <w:bookmarkStart w:name="b_pregunta_p2l_epidemia" w:id="6166"/>
      <w:r>
        <w:t xml:space="preserve">S2-14 · 3.2 · Mapas DSRP generales</w:t>
      </w:r>
      <w:bookmarkEnd w:id="6166"/>
    </w:p>
    <w:p>
      <w:pPr>
        <w:pStyle w:val="Normal"/>
      </w:pPr>
      <w:r>
        <w:t xml:space="preserve">En el mapa de la epidemia, ¿qué conjunto corresponde al ojo de política gubernamental?</w:t>
      </w:r>
    </w:p>
    <w:p>
      <w:pPr>
        <w:pStyle w:val="Normal"/>
      </w:pPr>
      <w:r>
        <w:t xml:space="preserve">a) Control de infección, contagio y seguimiento</w:t>
      </w:r>
    </w:p>
    <w:p>
      <w:pPr>
        <w:pStyle w:val="Normal"/>
      </w:pPr>
      <w:r>
        <w:t xml:space="preserve">b) Prácticas sexuales, estigma y normas religiosas</w:t>
      </w:r>
    </w:p>
    <w:p>
      <w:pPr>
        <w:pStyle w:val="Normal"/>
      </w:pPr>
      <w:r>
        <w:t xml:space="preserve">c) Ministerio de Salud, OMS y gobiernos tribales</w:t>
      </w:r>
    </w:p>
    <w:p>
      <w:pPr>
        <w:pStyle w:val="Normal"/>
      </w:pPr>
      <w:r>
        <w:t xml:space="preserve">d) Dolor, felicidad y bebé</w:t>
      </w:r>
    </w:p>
    <w:p>
      <w:pPr>
        <w:pStyle w:val="Heading3"/>
      </w:pPr>
      <w:bookmarkStart w:name="b_pregunta_p2l_escrito_partes" w:id="6167"/>
      <w:r>
        <w:t xml:space="preserve">S2-15 · 3.2 · Mapas DSRP generales</w:t>
      </w:r>
      <w:bookmarkEnd w:id="6167"/>
    </w:p>
    <w:p>
      <w:pPr>
        <w:pStyle w:val="Normal"/>
      </w:pPr>
      <w:r>
        <w:t xml:space="preserve">En el bosquejo del escrito, ¿qué significa que Introducción contenga las secciones 1 y 2?</w:t>
      </w:r>
    </w:p>
    <w:p>
      <w:pPr>
        <w:pStyle w:val="Normal"/>
      </w:pPr>
      <w:r>
        <w:t xml:space="preserve">a) Que Introducción causa siempre mayor longitud de la sección 1</w:t>
      </w:r>
    </w:p>
    <w:p>
      <w:pPr>
        <w:pStyle w:val="Normal"/>
      </w:pPr>
      <w:r>
        <w:t xml:space="preserve">b) Que las dos secciones son perspectivas sin punto</w:t>
      </w:r>
    </w:p>
    <w:p>
      <w:pPr>
        <w:pStyle w:val="Normal"/>
      </w:pPr>
      <w:r>
        <w:t xml:space="preserve">c) Una relación parte–todo expresada por contención</w:t>
      </w:r>
    </w:p>
    <w:p>
      <w:pPr>
        <w:pStyle w:val="Normal"/>
      </w:pPr>
      <w:r>
        <w:t xml:space="preserve">d) Que las transiciones no pertenecen al texto</w:t>
      </w:r>
    </w:p>
    <w:p>
      <w:pPr>
        <w:pStyle w:val="Heading3"/>
      </w:pPr>
      <w:bookmarkStart w:name="b_pregunta_p2l_escrito_vinculos" w:id="6168"/>
      <w:r>
        <w:t xml:space="preserve">S2-16 · 3.2 · Mapas DSRP generales</w:t>
      </w:r>
      <w:bookmarkEnd w:id="6168"/>
    </w:p>
    <w:p>
      <w:pPr>
        <w:pStyle w:val="Normal"/>
      </w:pPr>
      <w:r>
        <w:t xml:space="preserve">¿Qué distingue las curvas entre secciones y resumen de los ojos y puntos del bosquejo?</w:t>
      </w:r>
    </w:p>
    <w:p>
      <w:pPr>
        <w:pStyle w:val="Normal"/>
      </w:pPr>
      <w:r>
        <w:t xml:space="preserve">a) Ambas marcas indican automáticamente un ciclo de refuerzo</w:t>
      </w:r>
    </w:p>
    <w:p>
      <w:pPr>
        <w:pStyle w:val="Normal"/>
      </w:pPr>
      <w:r>
        <w:t xml:space="preserve">b) Los ojos señalan una demora temporal</w:t>
      </w:r>
    </w:p>
    <w:p>
      <w:pPr>
        <w:pStyle w:val="Normal"/>
      </w:pPr>
      <w:r>
        <w:t xml:space="preserve">c) Las curvas reemplazan la contención de todas las partes</w:t>
      </w:r>
    </w:p>
    <w:p>
      <w:pPr>
        <w:pStyle w:val="Normal"/>
      </w:pPr>
      <w:r>
        <w:t xml:space="preserve">d) Las curvas conectan partes del texto; ojo y punto explicitan desde dónde se mira y qué bloque se considera</w:t>
      </w:r>
    </w:p>
    <w:p>
      <w:pPr>
        <w:pStyle w:val="Heading3"/>
      </w:pPr>
      <w:bookmarkStart w:name="b_pregunta_p2l_iphone" w:id="6169"/>
      <w:r>
        <w:t xml:space="preserve">S2-17 · 3.2 · Mapas DSRP generales</w:t>
      </w:r>
      <w:bookmarkEnd w:id="6169"/>
    </w:p>
    <w:p>
      <w:pPr>
        <w:pStyle w:val="Normal"/>
      </w:pPr>
      <w:r>
        <w:t xml:space="preserve">¿Cuál es la correspondencia que dibuja el autor en el ejemplo del iPhone?</w:t>
      </w:r>
    </w:p>
    <w:p>
      <w:pPr>
        <w:pStyle w:val="Normal"/>
      </w:pPr>
      <w:r>
        <w:t xml:space="preserve">a) Diseñador: gobiernos tribales y contagio</w:t>
      </w:r>
    </w:p>
    <w:p>
      <w:pPr>
        <w:pStyle w:val="Normal"/>
      </w:pPr>
      <w:r>
        <w:t xml:space="preserve">b) Psicólogo: únicamente el precio del teléfono</w:t>
      </w:r>
    </w:p>
    <w:p>
      <w:pPr>
        <w:pStyle w:val="Normal"/>
      </w:pPr>
      <w:r>
        <w:t xml:space="preserve">c) Todo cliente debe ver exactamente las mismas partes</w:t>
      </w:r>
    </w:p>
    <w:p>
      <w:pPr>
        <w:pStyle w:val="Normal"/>
      </w:pPr>
      <w:r>
        <w:t xml:space="preserve">d) Cliente: información reunida, costo y facilidad de uso</w:t>
      </w:r>
    </w:p>
    <w:p>
      <w:pPr>
        <w:pStyle w:val="Heading3"/>
      </w:pPr>
      <w:bookmarkStart w:name="b_pregunta_p2l_nacimiento" w:id="6170"/>
      <w:r>
        <w:t xml:space="preserve">S2-18 · 3.2 · Mapas DSRP generales</w:t>
      </w:r>
      <w:bookmarkEnd w:id="6170"/>
    </w:p>
    <w:p>
      <w:pPr>
        <w:pStyle w:val="Normal"/>
      </w:pPr>
      <w:r>
        <w:t xml:space="preserve">¿Qué enseña que «bebé» figure en las vistas de madre y familia del mapa del nacimiento?</w:t>
      </w:r>
    </w:p>
    <w:p>
      <w:pPr>
        <w:pStyle w:val="Normal"/>
      </w:pPr>
      <w:r>
        <w:t xml:space="preserve">a) Que distintos puntos pueden seleccionar una misma parte de la vista</w:t>
      </w:r>
    </w:p>
    <w:p>
      <w:pPr>
        <w:pStyle w:val="Normal"/>
      </w:pPr>
      <w:r>
        <w:t xml:space="preserve">b) Que toda vista debe excluir lo que otra ya observó</w:t>
      </w:r>
    </w:p>
    <w:p>
      <w:pPr>
        <w:pStyle w:val="Normal"/>
      </w:pPr>
      <w:r>
        <w:t xml:space="preserve">c) Que las perspectivas son flechas de polaridad negativa</w:t>
      </w:r>
    </w:p>
    <w:p>
      <w:pPr>
        <w:pStyle w:val="Normal"/>
      </w:pPr>
      <w:r>
        <w:t xml:space="preserve">d) Que el mapa demuestra cómo se siente toda familia</w:t>
      </w:r>
    </w:p>
    <w:p>
      <w:pPr>
        <w:pStyle w:val="Heading3"/>
      </w:pPr>
      <w:bookmarkStart w:name="b_pregunta_p2l_once_septiembre" w:id="6171"/>
      <w:r>
        <w:t xml:space="preserve">S2-19 · 3.2 · Mapas DSRP generales</w:t>
      </w:r>
      <w:bookmarkEnd w:id="6171"/>
    </w:p>
    <w:p>
      <w:pPr>
        <w:pStyle w:val="Normal"/>
      </w:pPr>
      <w:r>
        <w:t xml:space="preserve">¿Cómo debe leerse la asignación de emociones del mapa del 11 de septiembre?</w:t>
      </w:r>
    </w:p>
    <w:p>
      <w:pPr>
        <w:pStyle w:val="Normal"/>
      </w:pPr>
      <w:r>
        <w:t xml:space="preserve">a) Como una ley sobre lo que siente cada persona de una religión</w:t>
      </w:r>
    </w:p>
    <w:p>
      <w:pPr>
        <w:pStyle w:val="Normal"/>
      </w:pPr>
      <w:r>
        <w:t xml:space="preserve">b) Como una selección del autor que se puede discutir, sin generalizarla a todos los integrantes de esos grupos</w:t>
      </w:r>
    </w:p>
    <w:p>
      <w:pPr>
        <w:pStyle w:val="Normal"/>
      </w:pPr>
      <w:r>
        <w:t xml:space="preserve">c) Como una medición temporal de emociones con tasas verificadas</w:t>
      </w:r>
    </w:p>
    <w:p>
      <w:pPr>
        <w:pStyle w:val="Normal"/>
      </w:pPr>
      <w:r>
        <w:t xml:space="preserve">d) Como una razón para eliminar la regla de perspectivas</w:t>
      </w:r>
    </w:p>
    <w:p>
      <w:pPr>
        <w:pStyle w:val="Heading3"/>
      </w:pPr>
      <w:bookmarkStart w:name="b_pregunta_p2l_pcirculo" w:id="6172"/>
      <w:r>
        <w:t xml:space="preserve">S2-20 · 3.2 · Mapas DSRP generales</w:t>
      </w:r>
      <w:bookmarkEnd w:id="6172"/>
    </w:p>
    <w:p>
      <w:pPr>
        <w:pStyle w:val="Normal"/>
      </w:pPr>
      <w:r>
        <w:t xml:space="preserve">¿Qué explicita el P-círculo de inseguridad alimentaria mostrado en clase 10?</w:t>
      </w:r>
    </w:p>
    <w:p>
      <w:pPr>
        <w:pStyle w:val="Normal"/>
      </w:pPr>
      <w:r>
        <w:t xml:space="preserve">a) Todas las ideas distintas que ve cada perspectiva</w:t>
      </w:r>
    </w:p>
    <w:p>
      <w:pPr>
        <w:pStyle w:val="Normal"/>
      </w:pPr>
      <w:r>
        <w:t xml:space="preserve">b) Desde qué perspectivas se mira el asunto, sin detallar todavía qué observa cada una</w:t>
      </w:r>
    </w:p>
    <w:p>
      <w:pPr>
        <w:pStyle w:val="Normal"/>
      </w:pPr>
      <w:r>
        <w:t xml:space="preserve">c) Las polaridades de tres ciclos causales</w:t>
      </w:r>
    </w:p>
    <w:p>
      <w:pPr>
        <w:pStyle w:val="Normal"/>
      </w:pPr>
      <w:r>
        <w:t xml:space="preserve">d) El mecanismo que demuestra una única perspectiva correcta</w:t>
      </w:r>
    </w:p>
    <w:p>
      <w:pPr>
        <w:pStyle w:val="Heading3"/>
      </w:pPr>
      <w:bookmarkStart w:name="b_pregunta_p2l_poderes" w:id="6173"/>
      <w:r>
        <w:t xml:space="preserve">S2-21 · 3.2 · Mapas DSRP generales</w:t>
      </w:r>
      <w:bookmarkEnd w:id="6173"/>
    </w:p>
    <w:p>
      <w:pPr>
        <w:pStyle w:val="Normal"/>
      </w:pPr>
      <w:r>
        <w:t xml:space="preserve">¿Cómo se interpreta una propuesta de nombre para las barras con «???» de la red de poderes?</w:t>
      </w:r>
    </w:p>
    <w:p>
      <w:pPr>
        <w:pStyle w:val="Normal"/>
      </w:pPr>
      <w:r>
        <w:t xml:space="preserve">a) Como una hipótesis editorial sobre relaciones que debe discutirse y contrastarse en su contexto</w:t>
      </w:r>
    </w:p>
    <w:p>
      <w:pPr>
        <w:pStyle w:val="Normal"/>
      </w:pPr>
      <w:r>
        <w:t xml:space="preserve">b) Como la respuesta oficial escrita en la figura</w:t>
      </w:r>
    </w:p>
    <w:p>
      <w:pPr>
        <w:pStyle w:val="Normal"/>
      </w:pPr>
      <w:r>
        <w:t xml:space="preserve">c) Como prueba de una ley jurídica idéntica en todos los países</w:t>
      </w:r>
    </w:p>
    <w:p>
      <w:pPr>
        <w:pStyle w:val="Normal"/>
      </w:pPr>
      <w:r>
        <w:t xml:space="preserve">d) Como un ciclo causal B aunque no haya signos</w:t>
      </w:r>
    </w:p>
    <w:p>
      <w:pPr>
        <w:pStyle w:val="Heading3"/>
      </w:pPr>
      <w:bookmarkStart w:name="b_pregunta_p2l_red_educativa" w:id="6174"/>
      <w:r>
        <w:t xml:space="preserve">S2-22 · 3.2 · Mapas DSRP generales</w:t>
      </w:r>
      <w:bookmarkEnd w:id="6174"/>
    </w:p>
    <w:p>
      <w:pPr>
        <w:pStyle w:val="Normal"/>
      </w:pPr>
      <w:r>
        <w:t xml:space="preserve">¿Qué barras de C-2, página 24, relacionan a los padres con estudiante, maestra y temario?</w:t>
      </w:r>
    </w:p>
    <w:p>
      <w:pPr>
        <w:pStyle w:val="Normal"/>
      </w:pPr>
      <w:r>
        <w:t xml:space="preserve">a) Ventas, demanda y órdenes de producción</w:t>
      </w:r>
    </w:p>
    <w:p>
      <w:pPr>
        <w:pStyle w:val="Normal"/>
      </w:pPr>
      <w:r>
        <w:t xml:space="preserve">b) Tres relaciones sin nombre en la red educativa</w:t>
      </w:r>
    </w:p>
    <w:p>
      <w:pPr>
        <w:pStyle w:val="Normal"/>
      </w:pPr>
      <w:r>
        <w:t xml:space="preserve">c) Homeostasis, entropía y neguentropía</w:t>
      </w:r>
    </w:p>
    <w:p>
      <w:pPr>
        <w:pStyle w:val="Normal"/>
      </w:pPr>
      <w:r>
        <w:t xml:space="preserve">d) Guía/soporte, expectativas y cuestionamiento/validación, respectivamente</w:t>
      </w:r>
    </w:p>
    <w:p>
      <w:pPr>
        <w:pStyle w:val="Heading3"/>
      </w:pPr>
      <w:bookmarkStart w:name="b_pregunta_p2l_tgs" w:id="6175"/>
      <w:r>
        <w:t xml:space="preserve">S2-23 · 3.2 · Mapas DSRP generales</w:t>
      </w:r>
      <w:bookmarkEnd w:id="6175"/>
    </w:p>
    <w:p>
      <w:pPr>
        <w:pStyle w:val="Normal"/>
      </w:pPr>
      <w:r>
        <w:t xml:space="preserve">En el mapa de la TGS, ¿qué indica el punto verde situado en «Partes»?</w:t>
      </w:r>
    </w:p>
    <w:p>
      <w:pPr>
        <w:pStyle w:val="Normal"/>
      </w:pPr>
      <w:r>
        <w:t xml:space="preserve">a) Que Partes causa necesariamente la perspectiva genética</w:t>
      </w:r>
    </w:p>
    <w:p>
      <w:pPr>
        <w:pStyle w:val="Normal"/>
      </w:pPr>
      <w:r>
        <w:t xml:space="preserve">b) Que «Partes» es observada desde la perspectiva estructural/ontológica cuyo ojo es verde</w:t>
      </w:r>
    </w:p>
    <w:p>
      <w:pPr>
        <w:pStyle w:val="Normal"/>
      </w:pPr>
      <w:r>
        <w:t xml:space="preserve">c) Que el color verde sustituye la contención</w:t>
      </w:r>
    </w:p>
    <w:p>
      <w:pPr>
        <w:pStyle w:val="Normal"/>
      </w:pPr>
      <w:r>
        <w:t xml:space="preserve">d) Que Partes queda fuera del Universo de sistemas</w:t>
      </w:r>
    </w:p>
    <w:p>
      <w:pPr>
        <w:pStyle w:val="Heading3"/>
      </w:pPr>
      <w:bookmarkStart w:name="b_pregunta_p2m_06_cuatro_reglas_b8cd407e" w:id="6176"/>
      <w:r>
        <w:t xml:space="preserve">S2-24 · 3.2 · Mapas DSRP generales</w:t>
      </w:r>
      <w:bookmarkEnd w:id="6176"/>
    </w:p>
    <w:p>
      <w:pPr>
        <w:pStyle w:val="Normal"/>
      </w:pPr>
      <w:r>
        <w:t xml:space="preserve">Relacione cada regla del pensamiento sistémico con el par de elementos que la define.</w:t>
      </w:r>
    </w:p>
    <w:p>
      <w:pPr>
        <w:pStyle w:val="Normal"/>
      </w:pPr>
      <w:r>
        <w:t xml:space="preserve">a) Fila: Distinción (D)</w:t>
      </w:r>
    </w:p>
    <w:p>
      <w:pPr>
        <w:pStyle w:val="Normal"/>
      </w:pPr>
      <w:r>
        <w:t xml:space="preserve">b) Fila: Sistema (S)</w:t>
      </w:r>
    </w:p>
    <w:p>
      <w:pPr>
        <w:pStyle w:val="Normal"/>
      </w:pPr>
      <w:r>
        <w:t xml:space="preserve">c) Fila: Relación (R)</w:t>
      </w:r>
    </w:p>
    <w:p>
      <w:pPr>
        <w:pStyle w:val="Normal"/>
      </w:pPr>
      <w:r>
        <w:t xml:space="preserve">d) Fila: Perspectiva (P)</w:t>
      </w:r>
    </w:p>
    <w:p>
      <w:pPr>
        <w:pStyle w:val="Normal"/>
      </w:pPr>
      <w:r>
        <w:t xml:space="preserve">e) a) cosa / otro</w:t>
      </w:r>
    </w:p>
    <w:p>
      <w:pPr>
        <w:pStyle w:val="Normal"/>
      </w:pPr>
      <w:r>
        <w:t xml:space="preserve">f) b) parte / todo</w:t>
      </w:r>
    </w:p>
    <w:p>
      <w:pPr>
        <w:pStyle w:val="Normal"/>
      </w:pPr>
      <w:r>
        <w:t xml:space="preserve">g) c) acción / reacción</w:t>
      </w:r>
    </w:p>
    <w:p>
      <w:pPr>
        <w:pStyle w:val="Normal"/>
      </w:pPr>
      <w:r>
        <w:t xml:space="preserve">h) d) punto / vista</w:t>
      </w:r>
    </w:p>
    <w:p>
      <w:pPr>
        <w:pStyle w:val="Normal"/>
      </w:pPr>
      <w:r>
        <w:t xml:space="preserve">i) e) causa / efecto</w:t>
      </w:r>
    </w:p>
    <w:p>
      <w:pPr>
        <w:pStyle w:val="Normal"/>
      </w:pPr>
      <w:r>
        <w:t xml:space="preserve">j) f) entrada / salida</w:t>
      </w:r>
    </w:p>
    <w:p>
      <w:pPr>
        <w:pStyle w:val="Heading3"/>
      </w:pPr>
      <w:bookmarkStart w:name="b_pregunta_p2m_07_regla_distinc_58851d2a" w:id="6177"/>
      <w:r>
        <w:t xml:space="preserve">S2-25 · 3.2 · Mapas DSRP generales</w:t>
      </w:r>
      <w:bookmarkEnd w:id="6177"/>
    </w:p>
    <w:p>
      <w:pPr>
        <w:pStyle w:val="Normal"/>
      </w:pPr>
      <w:r>
        <w:t xml:space="preserve">«Las distinciones son límites, no cosas» significa que…</w:t>
      </w:r>
    </w:p>
    <w:p>
      <w:pPr>
        <w:pStyle w:val="Normal"/>
      </w:pPr>
      <w:r>
        <w:t xml:space="preserve">a) Sólo se pueden distinguir objetos físicos que tengan un contorno visible</w:t>
      </w:r>
    </w:p>
    <w:p>
      <w:pPr>
        <w:pStyle w:val="Normal"/>
      </w:pPr>
      <w:r>
        <w:t xml:space="preserve">b) Distinguir consiste en trazar una frontera entre algo y lo que ese algo no es, y esa frontera opera en las dos direcciones</w:t>
      </w:r>
    </w:p>
    <w:p>
      <w:pPr>
        <w:pStyle w:val="Normal"/>
      </w:pPr>
      <w:r>
        <w:t xml:space="preserve">c) Cada distinción debe dibujarse con una línea punteada en el mapa</w:t>
      </w:r>
    </w:p>
    <w:p>
      <w:pPr>
        <w:pStyle w:val="Normal"/>
      </w:pPr>
      <w:r>
        <w:t xml:space="preserve">d) Las distinciones separan el sistema de su medio ambiente y nada más</w:t>
      </w:r>
    </w:p>
    <w:p>
      <w:pPr>
        <w:pStyle w:val="Heading3"/>
      </w:pPr>
      <w:bookmarkStart w:name="b_pregunta_p2m_08_contexto_define" w:id="6178"/>
      <w:r>
        <w:t xml:space="preserve">S2-26 · 3.2 · Mapas DSRP generales</w:t>
      </w:r>
      <w:bookmarkEnd w:id="6178"/>
    </w:p>
    <w:p>
      <w:pPr>
        <w:pStyle w:val="Normal"/>
      </w:pPr>
      <w:r>
        <w:t xml:space="preserve">En la lámina de la regla de distinción aparecen dos círculos amarillos del mismo tamaño que parecen distintos porque los rodean círculos grandes o pequeños. ¿Qué ilustra ese ejemplo?</w:t>
      </w:r>
    </w:p>
    <w:p>
      <w:pPr>
        <w:pStyle w:val="Normal"/>
      </w:pPr>
      <w:r>
        <w:t xml:space="preserve">a) Que la percepción visual humana es poco fiable para medir tamaños</w:t>
      </w:r>
    </w:p>
    <w:p>
      <w:pPr>
        <w:pStyle w:val="Normal"/>
      </w:pPr>
      <w:r>
        <w:t xml:space="preserve">b) Que las cosas quedan definidas por las cosas que las rodean, es decir, por su contexto</w:t>
      </w:r>
    </w:p>
    <w:p>
      <w:pPr>
        <w:pStyle w:val="Normal"/>
      </w:pPr>
      <w:r>
        <w:t xml:space="preserve">c) Que un mapa debe dibujarse siempre a escala</w:t>
      </w:r>
    </w:p>
    <w:p>
      <w:pPr>
        <w:pStyle w:val="Normal"/>
      </w:pPr>
      <w:r>
        <w:t xml:space="preserve">d) Que dos distinciones nunca pueden tener el mismo tamaño en un mapa</w:t>
      </w:r>
    </w:p>
    <w:p>
      <w:pPr>
        <w:pStyle w:val="Heading3"/>
      </w:pPr>
      <w:bookmarkStart w:name="b_pregunta_p2m_09_regla_sistemas" w:id="6179"/>
      <w:r>
        <w:t xml:space="preserve">S2-27 · 3.2 · Mapas DSRP generales</w:t>
      </w:r>
      <w:bookmarkEnd w:id="6179"/>
    </w:p>
    <w:p>
      <w:pPr>
        <w:pStyle w:val="Normal"/>
      </w:pPr>
      <w:r>
        <w:t xml:space="preserve">¿Qué afirma la regla de sistemas y cómo se representa en un mapa DSRP?</w:t>
      </w:r>
    </w:p>
    <w:p>
      <w:pPr>
        <w:pStyle w:val="Normal"/>
      </w:pPr>
      <w:r>
        <w:t xml:space="preserve">a) Que todo sistema tiene entradas y salidas; se representa con flechas que cruzan la frontera</w:t>
      </w:r>
    </w:p>
    <w:p>
      <w:pPr>
        <w:pStyle w:val="Normal"/>
      </w:pPr>
      <w:r>
        <w:t xml:space="preserve">b) Que cualquier idea o cosa puede dividirse en partes o construirse dentro de un todo; se representa con la contención de unos recuadros dentro de otros</w:t>
      </w:r>
    </w:p>
    <w:p>
      <w:pPr>
        <w:pStyle w:val="Normal"/>
      </w:pPr>
      <w:r>
        <w:t xml:space="preserve">c) Que todo sistema busca un objetivo; se representa con la letra B en el centro</w:t>
      </w:r>
    </w:p>
    <w:p>
      <w:pPr>
        <w:pStyle w:val="Normal"/>
      </w:pPr>
      <w:r>
        <w:t xml:space="preserve">d) Que las partes de un sistema interactúan; se representa con líneas entre recuadros</w:t>
      </w:r>
    </w:p>
    <w:p>
      <w:pPr>
        <w:pStyle w:val="Heading3"/>
      </w:pPr>
      <w:bookmarkStart w:name="b_pregunta_p2m_10_notacion_clasificar" w:id="6180"/>
      <w:r>
        <w:t xml:space="preserve">S2-28 · 3.2 · Mapas DSRP generales</w:t>
      </w:r>
      <w:bookmarkEnd w:id="6180"/>
    </w:p>
    <w:p>
      <w:pPr>
        <w:pStyle w:val="Normal"/>
      </w:pPr>
      <w:r>
        <w:t xml:space="preserve">Clasifique cada marca gráfica según pertenezca a la notación de los mapas DSRP o a la de los diagramas de ciclos causales.</w:t>
      </w:r>
    </w:p>
    <w:p>
      <w:pPr>
        <w:pStyle w:val="Normal"/>
      </w:pPr>
      <w:r>
        <w:t xml:space="preserve">a) Destinos: Notación de mapas DSRP; Notación de diagramas de ciclos causales</w:t>
      </w:r>
    </w:p>
    <w:p>
      <w:pPr>
        <w:pStyle w:val="Normal"/>
      </w:pPr>
      <w:r>
        <w:t xml:space="preserve">b) Un recuadro dentro de otro para expresar todo y partes</w:t>
      </w:r>
    </w:p>
    <w:p>
      <w:pPr>
        <w:pStyle w:val="Normal"/>
      </w:pPr>
      <w:r>
        <w:t xml:space="preserve">c) El ícono del ojo y el punto del mismo color</w:t>
      </w:r>
    </w:p>
    <w:p>
      <w:pPr>
        <w:pStyle w:val="Normal"/>
      </w:pPr>
      <w:r>
        <w:t xml:space="preserve">d) El signo + o − junto a la punta de la flecha</w:t>
      </w:r>
    </w:p>
    <w:p>
      <w:pPr>
        <w:pStyle w:val="Normal"/>
      </w:pPr>
      <w:r>
        <w:t xml:space="preserve">e) La letra R o B encerrada en el centro del bucle</w:t>
      </w:r>
    </w:p>
    <w:p>
      <w:pPr>
        <w:pStyle w:val="Normal"/>
      </w:pPr>
      <w:r>
        <w:t xml:space="preserve">f) Dos rayas paralelas cruzando una flecha</w:t>
      </w:r>
    </w:p>
    <w:p>
      <w:pPr>
        <w:pStyle w:val="Heading3"/>
      </w:pPr>
      <w:bookmarkStart w:name="b_pregunta_p2m_11_perspectiva_incompleta" w:id="6181"/>
      <w:r>
        <w:t xml:space="preserve">S2-29 · 3.2 · Mapas DSRP generales</w:t>
      </w:r>
      <w:bookmarkEnd w:id="6181"/>
    </w:p>
    <w:p>
      <w:pPr>
        <w:pStyle w:val="Normal"/>
      </w:pPr>
      <w:r>
        <w:t xml:space="preserve">Un mapa lleva el ícono del ojo sobre el recuadro «Gobierno», pero ningún punto en ningún otro recuadro. ¿Qué le falta?</w:t>
      </w:r>
    </w:p>
    <w:p>
      <w:pPr>
        <w:pStyle w:val="Normal"/>
      </w:pPr>
      <w:r>
        <w:t xml:space="preserve">a) Nada: basta con señalar desde dónde se mira</w:t>
      </w:r>
    </w:p>
    <w:p>
      <w:pPr>
        <w:pStyle w:val="Normal"/>
      </w:pPr>
      <w:r>
        <w:t xml:space="preserve">b) Falta el punto: sin él se declara desde dónde se mira pero no qué se ve, como poner una causa y una flecha que no apunta a nada</w:t>
      </w:r>
    </w:p>
    <w:p>
      <w:pPr>
        <w:pStyle w:val="Normal"/>
      </w:pPr>
      <w:r>
        <w:t xml:space="preserve">c) Falta repetir el ojo en todos los recuadros relacionados</w:t>
      </w:r>
    </w:p>
    <w:p>
      <w:pPr>
        <w:pStyle w:val="Normal"/>
      </w:pPr>
      <w:r>
        <w:t xml:space="preserve">d) Falta cambiar el color del ojo a rojo, que es el color de las perspectivas</w:t>
      </w:r>
    </w:p>
    <w:p>
      <w:pPr>
        <w:pStyle w:val="Heading3"/>
      </w:pPr>
      <w:bookmarkStart w:name="b_pregunta_p2m_12_perspectiva_implicita" w:id="6182"/>
      <w:r>
        <w:t xml:space="preserve">S2-30 · 3.2 · Mapas DSRP generales</w:t>
      </w:r>
      <w:bookmarkEnd w:id="6182"/>
    </w:p>
    <w:p>
      <w:pPr>
        <w:pStyle w:val="Normal"/>
      </w:pPr>
      <w:r>
        <w:t xml:space="preserve">Si un mapa no usa ningún ícono de ojo ni de punto, ¿cuántas perspectivas contiene?</w:t>
      </w:r>
    </w:p>
    <w:p>
      <w:pPr>
        <w:pStyle w:val="Normal"/>
      </w:pPr>
      <w:r>
        <w:t xml:space="preserve">a) Ninguna: sin símbolos no hay perspectiva en el mapa</w:t>
      </w:r>
    </w:p>
    <w:p>
      <w:pPr>
        <w:pStyle w:val="Normal"/>
      </w:pPr>
      <w:r>
        <w:t xml:space="preserve">b) Una: la perspectiva implícita del autor, desde la cual está hecho el mapa</w:t>
      </w:r>
    </w:p>
    <w:p>
      <w:pPr>
        <w:pStyle w:val="Normal"/>
      </w:pPr>
      <w:r>
        <w:t xml:space="preserve">c) Tantas como recuadros tenga, porque cada concepto es un punto de vista</w:t>
      </w:r>
    </w:p>
    <w:p>
      <w:pPr>
        <w:pStyle w:val="Normal"/>
      </w:pPr>
      <w:r>
        <w:t xml:space="preserve">d) Es imposible saberlo sin preguntarle al autor</w:t>
      </w:r>
    </w:p>
    <w:p>
      <w:pPr>
        <w:pStyle w:val="Heading3"/>
      </w:pPr>
      <w:bookmarkStart w:name="b_pregunta_p2m_13_error_sintaxi_fa61a3f4" w:id="6183"/>
      <w:r>
        <w:t xml:space="preserve">S2-31 · 3.2 · Mapas DSRP generales</w:t>
      </w:r>
      <w:bookmarkEnd w:id="6183"/>
    </w:p>
    <w:p>
      <w:pPr>
        <w:pStyle w:val="Normal"/>
      </w:pPr>
      <w:r>
        <w:t xml:space="preserve">Un mapa de la universidad agrupa sus recuadros en cuatro bloques titulados «Distinciones», «Sistemas», «Relaciones» y «Perspectivas». ¿Qué falla?</w:t>
      </w:r>
    </w:p>
    <w:p>
      <w:pPr>
        <w:pStyle w:val="Normal"/>
      </w:pPr>
      <w:r>
        <w:t xml:space="preserve">a) Nada: así se demuestra que se aplicaron las cuatro reglas</w:t>
      </w:r>
    </w:p>
    <w:p>
      <w:pPr>
        <w:pStyle w:val="Normal"/>
      </w:pPr>
      <w:r>
        <w:t xml:space="preserve">b) Que usa los nombres de las operaciones como contenido del mapa, cuando deben quedar inmersos en la estructura: «docente» va dentro de «Universidad», no dentro de una caja llamada «Distinciones»</w:t>
      </w:r>
    </w:p>
    <w:p>
      <w:pPr>
        <w:pStyle w:val="Normal"/>
      </w:pPr>
      <w:r>
        <w:t xml:space="preserve">c) Que el orden de los bloques debería ser P, R, S, D</w:t>
      </w:r>
    </w:p>
    <w:p>
      <w:pPr>
        <w:pStyle w:val="Normal"/>
      </w:pPr>
      <w:r>
        <w:t xml:space="preserve">d) Que faltaría un quinto bloque para las demoras</w:t>
      </w:r>
    </w:p>
    <w:p>
      <w:pPr>
        <w:pStyle w:val="Heading3"/>
      </w:pPr>
      <w:bookmarkStart w:name="b_pregunta_p2m_14_evidencia_de_reglas" w:id="6184"/>
      <w:r>
        <w:t xml:space="preserve">S2-32 · 3.2 · Mapas DSRP generales</w:t>
      </w:r>
      <w:bookmarkEnd w:id="6184"/>
    </w:p>
    <w:p>
      <w:pPr>
        <w:pStyle w:val="Normal"/>
      </w:pPr>
      <w:r>
        <w:t xml:space="preserve">Relacione cada cosa que se ve en un mapa DSRP con la regla que evidencia.</w:t>
      </w:r>
    </w:p>
    <w:p>
      <w:pPr>
        <w:pStyle w:val="Normal"/>
      </w:pPr>
      <w:r>
        <w:t xml:space="preserve">a) Fila: Un recuadro mayor con recuadros dentro</w:t>
      </w:r>
    </w:p>
    <w:p>
      <w:pPr>
        <w:pStyle w:val="Normal"/>
      </w:pPr>
      <w:r>
        <w:t xml:space="preserve">b) Fila: Una flecha etiquetada entre dos conceptos</w:t>
      </w:r>
    </w:p>
    <w:p>
      <w:pPr>
        <w:pStyle w:val="Normal"/>
      </w:pPr>
      <w:r>
        <w:t xml:space="preserve">c) Fila: Un ojo de un color y puntos del mismo color en otros conceptos</w:t>
      </w:r>
    </w:p>
    <w:p>
      <w:pPr>
        <w:pStyle w:val="Normal"/>
      </w:pPr>
      <w:r>
        <w:t xml:space="preserve">d) Fila: Cualquier recuadro con el nombre de un concepto</w:t>
      </w:r>
    </w:p>
    <w:p>
      <w:pPr>
        <w:pStyle w:val="Normal"/>
      </w:pPr>
      <w:r>
        <w:t xml:space="preserve">e) a) Regla de distinciones</w:t>
      </w:r>
    </w:p>
    <w:p>
      <w:pPr>
        <w:pStyle w:val="Normal"/>
      </w:pPr>
      <w:r>
        <w:t xml:space="preserve">f) b) Regla de sistemas</w:t>
      </w:r>
    </w:p>
    <w:p>
      <w:pPr>
        <w:pStyle w:val="Normal"/>
      </w:pPr>
      <w:r>
        <w:t xml:space="preserve">g) c) Regla de relaciones</w:t>
      </w:r>
    </w:p>
    <w:p>
      <w:pPr>
        <w:pStyle w:val="Normal"/>
      </w:pPr>
      <w:r>
        <w:t xml:space="preserve">h) d) Regla de perspectivas</w:t>
      </w:r>
    </w:p>
    <w:p>
      <w:pPr>
        <w:pStyle w:val="Normal"/>
      </w:pPr>
      <w:r>
        <w:t xml:space="preserve">i) e) Regla de demoras</w:t>
      </w:r>
    </w:p>
    <w:p>
      <w:pPr>
        <w:pStyle w:val="Normal"/>
      </w:pPr>
      <w:r>
        <w:t xml:space="preserve">j) f) Regla de polaridad</w:t>
      </w:r>
    </w:p>
    <w:p>
      <w:pPr>
        <w:pStyle w:val="Heading3"/>
      </w:pPr>
      <w:bookmarkStart w:name="b_pregunta_p2m_15_linea_vs_flecha" w:id="6185"/>
      <w:r>
        <w:t xml:space="preserve">S2-33 · 3.2 · Mapas DSRP generales</w:t>
      </w:r>
      <w:bookmarkEnd w:id="6185"/>
    </w:p>
    <w:p>
      <w:pPr>
        <w:pStyle w:val="Normal"/>
      </w:pPr>
      <w:r>
        <w:t xml:space="preserve">En la regla de relaciones, ¿qué diferencia hay entre unir dos conceptos con una línea simple y unirlos con una flecha?</w:t>
      </w:r>
    </w:p>
    <w:p>
      <w:pPr>
        <w:pStyle w:val="Normal"/>
      </w:pPr>
      <w:r>
        <w:t xml:space="preserve">a) Ninguna: la flecha es sólo una línea mejor dibujada</w:t>
      </w:r>
    </w:p>
    <w:p>
      <w:pPr>
        <w:pStyle w:val="Normal"/>
      </w:pPr>
      <w:r>
        <w:t xml:space="preserve">b) La línea declara que hay una relación sin decir cómo se comporta; la flecha añade la dirección, con la causa en la cola y el efecto en la punta</w:t>
      </w:r>
    </w:p>
    <w:p>
      <w:pPr>
        <w:pStyle w:val="Normal"/>
      </w:pPr>
      <w:r>
        <w:t xml:space="preserve">c) La línea indica una relación débil y la flecha una relación fuerte</w:t>
      </w:r>
    </w:p>
    <w:p>
      <w:pPr>
        <w:pStyle w:val="Normal"/>
      </w:pPr>
      <w:r>
        <w:t xml:space="preserve">d) La línea se usa entre partes del mismo sistema y la flecha entre sistemas distintos</w:t>
      </w:r>
    </w:p>
    <w:p>
      <w:pPr>
        <w:pStyle w:val="Heading3"/>
      </w:pPr>
      <w:bookmarkStart w:name="b_pregunta_p2m_16_interdependencia" w:id="6186"/>
      <w:r>
        <w:t xml:space="preserve">S2-34 · 3.2 · Mapas DSRP generales</w:t>
      </w:r>
      <w:bookmarkEnd w:id="6186"/>
    </w:p>
    <w:p>
      <w:pPr>
        <w:pStyle w:val="Normal"/>
      </w:pPr>
      <w:r>
        <w:t xml:space="preserve">Dos conceptos de un mapa están unidos por dos flechas que apuntan en sentidos opuestos. ¿Qué expresa esa figura?</w:t>
      </w:r>
    </w:p>
    <w:p>
      <w:pPr>
        <w:pStyle w:val="Normal"/>
      </w:pPr>
      <w:r>
        <w:t xml:space="preserve">a) Un error de dibujo: hay que quedarse con una sola dirección</w:t>
      </w:r>
    </w:p>
    <w:p>
      <w:pPr>
        <w:pStyle w:val="Normal"/>
      </w:pPr>
      <w:r>
        <w:t xml:space="preserve">b) Una interdependencia, es decir, un comportamiento que puede llamarse circular</w:t>
      </w:r>
    </w:p>
    <w:p>
      <w:pPr>
        <w:pStyle w:val="Normal"/>
      </w:pPr>
      <w:r>
        <w:t xml:space="preserve">c) Que los dos conceptos son sinónimos</w:t>
      </w:r>
    </w:p>
    <w:p>
      <w:pPr>
        <w:pStyle w:val="Normal"/>
      </w:pPr>
      <w:r>
        <w:t xml:space="preserve">d) Que uno de los dos conceptos es un subsistema del otro</w:t>
      </w:r>
    </w:p>
    <w:p>
      <w:pPr>
        <w:pStyle w:val="Heading3"/>
      </w:pPr>
      <w:bookmarkStart w:name="b_pregunta_p2m_17_mapa_cliente_empresa" w:id="6187"/>
      <w:r>
        <w:t xml:space="preserve">S2-35 · 3.2 · Mapas DSRP generales</w:t>
      </w:r>
      <w:bookmarkEnd w:id="6187"/>
    </w:p>
    <w:p>
      <w:pPr>
        <w:pStyle w:val="Normal"/>
      </w:pPr>
      <w:r>
        <w:t xml:space="preserve">Ordene los pasos con que se construyó en clase el mapa DSRP de la relación entre una empresa y su cliente.</w:t>
      </w:r>
    </w:p>
    <w:p>
      <w:pPr>
        <w:pStyle w:val="Normal"/>
      </w:pPr>
      <w:r>
        <w:t xml:space="preserve">a) Añadir perspectivas sobre la empresa: la del cliente, la del proveedor y la del inversionista</w:t>
      </w:r>
    </w:p>
    <w:p>
      <w:pPr>
        <w:pStyle w:val="Normal"/>
      </w:pPr>
      <w:r>
        <w:t xml:space="preserve">b) Unirlos con una flecha etiquetada «vende» y otra etiquetada «compra», que crean la interdependencia</w:t>
      </w:r>
    </w:p>
    <w:p>
      <w:pPr>
        <w:pStyle w:val="Normal"/>
      </w:pPr>
      <w:r>
        <w:t xml:space="preserve">c) Distinguir los conceptos «cliente» y «empresa» con un recuadro y su nombre</w:t>
      </w:r>
    </w:p>
    <w:p>
      <w:pPr>
        <w:pStyle w:val="Normal"/>
      </w:pPr>
      <w:r>
        <w:t xml:space="preserve">d) Aplicar la regla de sistemas dentro de «empresa»: atención al cliente, producción, contabilidad y administración</w:t>
      </w:r>
    </w:p>
    <w:p>
      <w:pPr>
        <w:pStyle w:val="Normal"/>
      </w:pPr>
      <w:r>
        <w:t xml:space="preserve">e) Descomponer la relación «comprar» en sus pasos: solicitud, confirmación, pago y recepción del producto</w:t>
      </w:r>
    </w:p>
    <w:p>
      <w:pPr>
        <w:pStyle w:val="Heading3"/>
      </w:pPr>
      <w:bookmarkStart w:name="b_pregunta_p2m_21_analogia_metafora" w:id="6188"/>
      <w:r>
        <w:t xml:space="preserve">S2-36 · 3.2 · Mapas DSRP generales</w:t>
      </w:r>
      <w:bookmarkEnd w:id="6188"/>
    </w:p>
    <w:p>
      <w:pPr>
        <w:pStyle w:val="Normal"/>
      </w:pPr>
      <w:r>
        <w:t xml:space="preserve">La lámina de analogías aplica la regla de sistemas para comparar dos totalidades. Relacione cada figura con lo que enlaza.</w:t>
      </w:r>
    </w:p>
    <w:p>
      <w:pPr>
        <w:pStyle w:val="Normal"/>
      </w:pPr>
      <w:r>
        <w:t xml:space="preserve">a) Fila: Analogía</w:t>
      </w:r>
    </w:p>
    <w:p>
      <w:pPr>
        <w:pStyle w:val="Normal"/>
      </w:pPr>
      <w:r>
        <w:t xml:space="preserve">b) Fila: Símil</w:t>
      </w:r>
    </w:p>
    <w:p>
      <w:pPr>
        <w:pStyle w:val="Normal"/>
      </w:pPr>
      <w:r>
        <w:t xml:space="preserve">c) Fila: Metáfora</w:t>
      </w:r>
    </w:p>
    <w:p>
      <w:pPr>
        <w:pStyle w:val="Normal"/>
      </w:pPr>
      <w:r>
        <w:t xml:space="preserve">d) a) Une dos sistemas con «es como» y además hace corresponder sus partes entre sí</w:t>
      </w:r>
    </w:p>
    <w:p>
      <w:pPr>
        <w:pStyle w:val="Normal"/>
      </w:pPr>
      <w:r>
        <w:t xml:space="preserve">e) b) Une dos conceptos con «es como», sin desplegar las partes</w:t>
      </w:r>
    </w:p>
    <w:p>
      <w:pPr>
        <w:pStyle w:val="Normal"/>
      </w:pPr>
      <w:r>
        <w:t xml:space="preserve">f) c) Une dos conceptos afirmando directamente que uno «es» el otro</w:t>
      </w:r>
    </w:p>
    <w:p>
      <w:pPr>
        <w:pStyle w:val="Normal"/>
      </w:pPr>
      <w:r>
        <w:t xml:space="preserve">g) d) Declara que un concepto contiene al otro</w:t>
      </w:r>
    </w:p>
    <w:p>
      <w:pPr>
        <w:pStyle w:val="Normal"/>
      </w:pPr>
      <w:r>
        <w:t xml:space="preserve">h) e) Declara que un concepto causa al otro</w:t>
      </w:r>
    </w:p>
    <w:p>
      <w:pPr>
        <w:pStyle w:val="Heading3"/>
      </w:pPr>
      <w:bookmarkStart w:name="b_pregunta_p2m_22_subperspectivas" w:id="6189"/>
      <w:r>
        <w:t xml:space="preserve">S2-37 · 3.2 · Mapas DSRP generales</w:t>
      </w:r>
      <w:bookmarkEnd w:id="6189"/>
    </w:p>
    <w:p>
      <w:pPr>
        <w:pStyle w:val="Normal"/>
      </w:pPr>
      <w:r>
        <w:t xml:space="preserve">En la lámina de sub-perspectivas, la perspectiva «Accidente automovilístico» se despliega en conductor A, conductor B y aseguradora, todas mirando hacia «Culpabilidad». ¿Qué muestra esa construcción?</w:t>
      </w:r>
    </w:p>
    <w:p>
      <w:pPr>
        <w:pStyle w:val="Normal"/>
      </w:pPr>
      <w:r>
        <w:t xml:space="preserve">a) Que una perspectiva es a su vez un todo con partes, y por eso puede contener otras perspectivas</w:t>
      </w:r>
    </w:p>
    <w:p>
      <w:pPr>
        <w:pStyle w:val="Normal"/>
      </w:pPr>
      <w:r>
        <w:t xml:space="preserve">b) Que la culpabilidad sólo puede establecerla la aseguradora</w:t>
      </w:r>
    </w:p>
    <w:p>
      <w:pPr>
        <w:pStyle w:val="Normal"/>
      </w:pPr>
      <w:r>
        <w:t xml:space="preserve">c) Que tres perspectivas distintas siempre producen la misma conclusión</w:t>
      </w:r>
    </w:p>
    <w:p>
      <w:pPr>
        <w:pStyle w:val="Normal"/>
      </w:pPr>
      <w:r>
        <w:t xml:space="preserve">d) Que las perspectivas deben ser siempre exactamente tres</w:t>
      </w:r>
    </w:p>
    <w:p>
      <w:pPr>
        <w:pStyle w:val="Heading3"/>
      </w:pPr>
      <w:bookmarkStart w:name="b_pregunta_p2m_24_expandido_colapsado" w:id="6190"/>
      <w:r>
        <w:t xml:space="preserve">S2-38 · 3.2 · Mapas DSRP generales</w:t>
      </w:r>
      <w:bookmarkEnd w:id="6190"/>
    </w:p>
    <w:p>
      <w:pPr>
        <w:pStyle w:val="Normal"/>
      </w:pPr>
      <w:r>
        <w:t xml:space="preserve">¿Para qué sirve poder colapsar y expandir un recuadro que contiene partes?</w:t>
      </w:r>
    </w:p>
    <w:p>
      <w:pPr>
        <w:pStyle w:val="Normal"/>
      </w:pPr>
      <w:r>
        <w:t xml:space="preserve">a) Para reducir el tamaño del archivo del mapa</w:t>
      </w:r>
    </w:p>
    <w:p>
      <w:pPr>
        <w:pStyle w:val="Normal"/>
      </w:pPr>
      <w:r>
        <w:t xml:space="preserve">b) Para expresar el mismo modelo mental en distintos niveles de detalle según lo que se quiera comunicar</w:t>
      </w:r>
    </w:p>
    <w:p>
      <w:pPr>
        <w:pStyle w:val="Normal"/>
      </w:pPr>
      <w:r>
        <w:t xml:space="preserve">c) Para ocultar los errores del mapa antes de entregarlo</w:t>
      </w:r>
    </w:p>
    <w:p>
      <w:pPr>
        <w:pStyle w:val="Normal"/>
      </w:pPr>
      <w:r>
        <w:t xml:space="preserve">d) Para convertir un mapa DSRP en un diagrama de ciclos causales</w:t>
      </w:r>
    </w:p>
    <w:p>
      <w:pPr>
        <w:pStyle w:val="Heading3"/>
      </w:pPr>
      <w:bookmarkStart w:name="b_pregunta_p2m_27_barra_relacion_abierta" w:id="6191"/>
      <w:r>
        <w:t xml:space="preserve">S2-39 · 3.2 · Mapas DSRP generales</w:t>
      </w:r>
      <w:bookmarkEnd w:id="6191"/>
    </w:p>
    <w:p>
      <w:pPr>
        <w:pStyle w:val="Normal"/>
      </w:pPr>
      <w:r>
        <w:t xml:space="preserve">En la lámina «Barras: la regla de relaciones aplicada», una barra une dos ideas: tratamiento y resultado, niño y perro, empatía y compasión. ¿Qué expresa la barra y cuál es el paso siguiente que la lámina propone?</w:t>
      </w:r>
    </w:p>
    <w:p>
      <w:pPr>
        <w:pStyle w:val="Normal"/>
      </w:pPr>
      <w:r>
        <w:t xml:space="preserve">a) Que las dos ideas son partes de un mismo todo; el paso siguiente es encerrarlas en un contenedor</w:t>
      </w:r>
    </w:p>
    <w:p>
      <w:pPr>
        <w:pStyle w:val="Normal"/>
      </w:pPr>
      <w:r>
        <w:t xml:space="preserve">b) Una relación entre dos distinciones; se distingue y nombra la relación y luego se organiza como sistema con partes; si hay reciprocidad, se representan sus dos direcciones</w:t>
      </w:r>
    </w:p>
    <w:p>
      <w:pPr>
        <w:pStyle w:val="Normal"/>
      </w:pPr>
      <w:r>
        <w:t xml:space="preserve">c) Una perspectiva: la idea de la izquierda mira a la de la derecha, y el paso siguiente es poner el ojo</w:t>
      </w:r>
    </w:p>
    <w:p>
      <w:pPr>
        <w:pStyle w:val="Normal"/>
      </w:pPr>
      <w:r>
        <w:t xml:space="preserve">d) Una jerarquía: la idea de arriba manda sobre la de abajo, y el paso siguiente es apilar más niveles</w:t>
      </w:r>
    </w:p>
    <w:p>
      <w:pPr>
        <w:pStyle w:val="Heading3"/>
      </w:pPr>
      <w:bookmarkStart w:name="b_pregunta_p2m_28_p_circulo_ins_fa3f15f4" w:id="6192"/>
      <w:r>
        <w:t xml:space="preserve">S2-40 · 3.2 · Mapas DSRP generales</w:t>
      </w:r>
      <w:bookmarkEnd w:id="6192"/>
    </w:p>
    <w:p>
      <w:pPr>
        <w:pStyle w:val="Normal"/>
      </w:pPr>
      <w:r>
        <w:t xml:space="preserve">En los P-círculos de la clase 10, la inseguridad alimentaria se miró desde el medio ambiente, la política y la economía. ¿Qué representa cada P-círculo?</w:t>
      </w:r>
    </w:p>
    <w:p>
      <w:pPr>
        <w:pStyle w:val="Normal"/>
      </w:pPr>
      <w:r>
        <w:t xml:space="preserve">a) Un ciclo causal cerrado: las tres áreas se refuerzan entre sí</w:t>
      </w:r>
    </w:p>
    <w:p>
      <w:pPr>
        <w:pStyle w:val="Normal"/>
      </w:pPr>
      <w:r>
        <w:t xml:space="preserve">b) El sistema completo de la inseguridad alimentaria, con las tres áreas como partes</w:t>
      </w:r>
    </w:p>
    <w:p>
      <w:pPr>
        <w:pStyle w:val="Normal"/>
      </w:pPr>
      <w:r>
        <w:t xml:space="preserve">c) Un punto de vista sobre el mismo asunto: el ejemplo distingue las perspectivas ambiental, política y económica, sin detallar todavía qué ve cada una</w:t>
      </w:r>
    </w:p>
    <w:p>
      <w:pPr>
        <w:pStyle w:val="Normal"/>
      </w:pPr>
      <w:r>
        <w:t xml:space="preserve">d) Una analogía entre tres problemas parecidos</w:t>
      </w:r>
    </w:p>
    <w:p>
      <w:pPr>
        <w:pStyle w:val="Heading3"/>
      </w:pPr>
      <w:bookmarkStart w:name="b_pregunta_p2m_29_sub_perspectivas_regla" w:id="6193"/>
      <w:r>
        <w:t xml:space="preserve">S2-41 · 3.2 · Mapas DSRP generales</w:t>
      </w:r>
      <w:bookmarkEnd w:id="6193"/>
    </w:p>
    <w:p>
      <w:pPr>
        <w:pStyle w:val="Normal"/>
      </w:pPr>
      <w:r>
        <w:t xml:space="preserve">La lámina «Sub-perspectivas» descompone la estrategia en global y local, y un accidente en lo que ven los dos conductores y la aseguradora. ¿Qué regla DSRP se está aplicando sobre la perspectiva?</w:t>
      </w:r>
    </w:p>
    <w:p>
      <w:pPr>
        <w:pStyle w:val="Normal"/>
      </w:pPr>
      <w:r>
        <w:t xml:space="preserve">a) La regla de distinciones: cada sub-perspectiva es lo contrario de la anterior</w:t>
      </w:r>
    </w:p>
    <w:p>
      <w:pPr>
        <w:pStyle w:val="Normal"/>
      </w:pPr>
      <w:r>
        <w:t xml:space="preserve">b) La regla de sistemas: la perspectiva se trata como un todo que tiene partes, y cada parte es una perspectiva más fina</w:t>
      </w:r>
    </w:p>
    <w:p>
      <w:pPr>
        <w:pStyle w:val="Normal"/>
      </w:pPr>
      <w:r>
        <w:t xml:space="preserve">c) La regla de relaciones: las sub-perspectivas se conectan con flechas</w:t>
      </w:r>
    </w:p>
    <w:p>
      <w:pPr>
        <w:pStyle w:val="Normal"/>
      </w:pPr>
      <w:r>
        <w:t xml:space="preserve">d) Ninguna: las sub-perspectivas no forman parte de la sintaxis DSRP</w:t>
      </w:r>
    </w:p>
    <w:p>
      <w:pPr>
        <w:pStyle w:val="Heading3"/>
      </w:pPr>
      <w:bookmarkStart w:name="b_pregunta_p2m_30_analogia_meta_87ddf7a3" w:id="6194"/>
      <w:r>
        <w:t xml:space="preserve">S2-42 · 3.2 · Mapas DSRP generales</w:t>
      </w:r>
      <w:bookmarkEnd w:id="6194"/>
    </w:p>
    <w:p>
      <w:pPr>
        <w:pStyle w:val="Normal"/>
      </w:pPr>
      <w:r>
        <w:t xml:space="preserve">Clasifique cada rasgo según corresponda a una analogía o a una metáfora, tal como la lámina de la clase 11 mapeó la frase de Shakespeare sobre el mundo y el escenario.</w:t>
      </w:r>
    </w:p>
    <w:p>
      <w:pPr>
        <w:pStyle w:val="Normal"/>
      </w:pPr>
      <w:r>
        <w:t xml:space="preserve">a) Destinos: Analogía; Metáfora</w:t>
      </w:r>
    </w:p>
    <w:p>
      <w:pPr>
        <w:pStyle w:val="Normal"/>
      </w:pPr>
      <w:r>
        <w:t xml:space="preserve">b) Aparea también las partes de las dos totalidades: los actores con las personas, las escenas con las etapas de la vida</w:t>
      </w:r>
    </w:p>
    <w:p>
      <w:pPr>
        <w:pStyle w:val="Normal"/>
      </w:pPr>
      <w:r>
        <w:t xml:space="preserve">c) Sirve para razonar sobre un sistema a partir de otro, parte por parte</w:t>
      </w:r>
    </w:p>
    <w:p>
      <w:pPr>
        <w:pStyle w:val="Normal"/>
      </w:pPr>
      <w:r>
        <w:t xml:space="preserve">d) Afirma que una totalidad es la otra: «el mundo es un escenario»</w:t>
      </w:r>
    </w:p>
    <w:p>
      <w:pPr>
        <w:pStyle w:val="Normal"/>
      </w:pPr>
      <w:r>
        <w:t xml:space="preserve">e) Sustituye una totalidad por la otra sin aparear sus partes</w:t>
      </w:r>
    </w:p>
    <w:p>
      <w:pPr>
        <w:pStyle w:val="Heading3"/>
      </w:pPr>
      <w:r>
        <w:t xml:space="preserve">Tema 3.3 · Diagramas de ciclos causales</w:t>
      </w:r>
    </w:p>
    <w:p>
      <w:pPr>
        <w:pStyle w:val="Heading3"/>
      </w:pPr>
      <w:bookmarkStart w:name="b_pregunta_p2c_01_que_es_variable" w:id="6195"/>
      <w:r>
        <w:t xml:space="preserve">S2-43 · 3.3 · Diagramas de ciclos causales</w:t>
      </w:r>
      <w:bookmarkEnd w:id="6195"/>
    </w:p>
    <w:p>
      <w:pPr>
        <w:pStyle w:val="Normal"/>
      </w:pPr>
      <w:r>
        <w:t xml:space="preserve">En un diagrama de ciclos causales, ¿por qué a los elementos se les llama variables?</w:t>
      </w:r>
    </w:p>
    <w:p>
      <w:pPr>
        <w:pStyle w:val="Normal"/>
      </w:pPr>
      <w:r>
        <w:t xml:space="preserve">a) Porque su nombre puede variar según quien dibuje el mapa</w:t>
      </w:r>
    </w:p>
    <w:p>
      <w:pPr>
        <w:pStyle w:val="Normal"/>
      </w:pPr>
      <w:r>
        <w:t xml:space="preserve">b) Porque son distinciones del sistema cuyo valor puede cambiar con el tiempo, como el número de abejas o de flores</w:t>
      </w:r>
    </w:p>
    <w:p>
      <w:pPr>
        <w:pStyle w:val="Normal"/>
      </w:pPr>
      <w:r>
        <w:t xml:space="preserve">c) Porque se pueden sustituir por letras para simplificar el diagrama</w:t>
      </w:r>
    </w:p>
    <w:p>
      <w:pPr>
        <w:pStyle w:val="Normal"/>
      </w:pPr>
      <w:r>
        <w:t xml:space="preserve">d) Porque varían de un diagrama a otro aunque el sistema sea el mismo</w:t>
      </w:r>
    </w:p>
    <w:p>
      <w:pPr>
        <w:pStyle w:val="Heading3"/>
      </w:pPr>
      <w:bookmarkStart w:name="b_pregunta_p2c_02_cola_y_punta" w:id="6196"/>
      <w:r>
        <w:t xml:space="preserve">S2-44 · 3.3 · Diagramas de ciclos causales</w:t>
      </w:r>
      <w:bookmarkEnd w:id="6196"/>
    </w:p>
    <w:p>
      <w:pPr>
        <w:pStyle w:val="Normal"/>
      </w:pPr>
      <w:r>
        <w:t xml:space="preserve">En la flecha «Presión para cumplir el cronograma → Trabajo extra», ¿qué es cada extremo?</w:t>
      </w:r>
    </w:p>
    <w:p>
      <w:pPr>
        <w:pStyle w:val="Normal"/>
      </w:pPr>
      <w:r>
        <w:t xml:space="preserve">a) La presión es el efecto y el trabajo extra la causa</w:t>
      </w:r>
    </w:p>
    <w:p>
      <w:pPr>
        <w:pStyle w:val="Normal"/>
      </w:pPr>
      <w:r>
        <w:t xml:space="preserve">b) La presión es la causa, porque está en la cola, y el trabajo extra el efecto, porque está en la punta</w:t>
      </w:r>
    </w:p>
    <w:p>
      <w:pPr>
        <w:pStyle w:val="Normal"/>
      </w:pPr>
      <w:r>
        <w:t xml:space="preserve">c) Ambos son causa y efecto a la vez, porque toda relación es circular</w:t>
      </w:r>
    </w:p>
    <w:p>
      <w:pPr>
        <w:pStyle w:val="Normal"/>
      </w:pPr>
      <w:r>
        <w:t xml:space="preserve">d) Depende de la polaridad que lleve la flecha</w:t>
      </w:r>
    </w:p>
    <w:p>
      <w:pPr>
        <w:pStyle w:val="Heading3"/>
      </w:pPr>
      <w:bookmarkStart w:name="b_pregunta_p2c_06_hervir_agua_ordenar" w:id="6197"/>
      <w:r>
        <w:t xml:space="preserve">S2-45 · 3.3 · Diagramas de ciclos causales</w:t>
      </w:r>
      <w:bookmarkEnd w:id="6197"/>
    </w:p>
    <w:p>
      <w:pPr>
        <w:pStyle w:val="Normal"/>
      </w:pPr>
      <w:r>
        <w:t xml:space="preserve">Ordene el recorrido del ciclo con que la clase modeló el proceso de hervir agua, empezando por el objetivo.</w:t>
      </w:r>
    </w:p>
    <w:p>
      <w:pPr>
        <w:pStyle w:val="Normal"/>
      </w:pPr>
      <w:r>
        <w:t xml:space="preserve">a) Nivel actual de temperatura</w:t>
      </w:r>
    </w:p>
    <w:p>
      <w:pPr>
        <w:pStyle w:val="Normal"/>
      </w:pPr>
      <w:r>
        <w:t xml:space="preserve">b) Brecha percibida</w:t>
      </w:r>
    </w:p>
    <w:p>
      <w:pPr>
        <w:pStyle w:val="Normal"/>
      </w:pPr>
      <w:r>
        <w:t xml:space="preserve">c) Objetivo: agua hervida</w:t>
      </w:r>
    </w:p>
    <w:p>
      <w:pPr>
        <w:pStyle w:val="Normal"/>
      </w:pPr>
      <w:r>
        <w:t xml:space="preserve">d) Posición de la llave en el fogón</w:t>
      </w:r>
    </w:p>
    <w:p>
      <w:pPr>
        <w:pStyle w:val="Normal"/>
      </w:pPr>
      <w:r>
        <w:t xml:space="preserve">e) Flujo de fuego</w:t>
      </w:r>
    </w:p>
    <w:p>
      <w:pPr>
        <w:pStyle w:val="Heading3"/>
      </w:pPr>
      <w:bookmarkStart w:name="b_pregunta_p2c_07_vaso_de_agua" w:id="6198"/>
      <w:r>
        <w:t xml:space="preserve">S2-46 · 3.3 · Diagramas de ciclos causales</w:t>
      </w:r>
      <w:bookmarkEnd w:id="6198"/>
    </w:p>
    <w:p>
      <w:pPr>
        <w:pStyle w:val="Normal"/>
      </w:pPr>
      <w:r>
        <w:t xml:space="preserve">En el ciclo del vaso de agua, ¿qué papel cumple la variable «brecha percibida»?</w:t>
      </w:r>
    </w:p>
    <w:p>
      <w:pPr>
        <w:pStyle w:val="Normal"/>
      </w:pPr>
      <w:r>
        <w:t xml:space="preserve">a) Es el objetivo que el sistema quiere alcanzar</w:t>
      </w:r>
    </w:p>
    <w:p>
      <w:pPr>
        <w:pStyle w:val="Normal"/>
      </w:pPr>
      <w:r>
        <w:t xml:space="preserve">b) Es la diferencia entre el nivel actual y el nivel deseado, y es lo que hace mover la mano sobre el grifo</w:t>
      </w:r>
    </w:p>
    <w:p>
      <w:pPr>
        <w:pStyle w:val="Normal"/>
      </w:pPr>
      <w:r>
        <w:t xml:space="preserve">c) Es la cantidad de agua que sale del grifo por segundo</w:t>
      </w:r>
    </w:p>
    <w:p>
      <w:pPr>
        <w:pStyle w:val="Normal"/>
      </w:pPr>
      <w:r>
        <w:t xml:space="preserve">d) Es una variable externa que no pertenece al ciclo</w:t>
      </w:r>
    </w:p>
    <w:p>
      <w:pPr>
        <w:pStyle w:val="Heading3"/>
      </w:pPr>
      <w:bookmarkStart w:name="b_pregunta_p2c_11_contar_la_historia" w:id="6199"/>
      <w:r>
        <w:t xml:space="preserve">S2-47 · 3.3 · Diagramas de ciclos causales</w:t>
      </w:r>
      <w:bookmarkEnd w:id="6199"/>
    </w:p>
    <w:p>
      <w:pPr>
        <w:pStyle w:val="Normal"/>
      </w:pPr>
      <w:r>
        <w:t xml:space="preserve">Ordene las recomendaciones para contar la historia de un ciclo, según la lámina que las recoge.</w:t>
      </w:r>
    </w:p>
    <w:p>
      <w:pPr>
        <w:pStyle w:val="Normal"/>
      </w:pPr>
      <w:r>
        <w:t xml:space="preserve">a) Infundirle vida con ilustraciones y anécdotas para que los demás la comprendan</w:t>
      </w:r>
    </w:p>
    <w:p>
      <w:pPr>
        <w:pStyle w:val="Normal"/>
      </w:pPr>
      <w:r>
        <w:t xml:space="preserve">b) Describir cómo se mueve ese elemento con verbos de movimiento: crece, decrece, aumenta, disminuye</w:t>
      </w:r>
    </w:p>
    <w:p>
      <w:pPr>
        <w:pStyle w:val="Normal"/>
      </w:pPr>
      <w:r>
        <w:t xml:space="preserve">c) Comenzar por cualquier elemento, por ejemplo el que más preocupa, sin explicar todavía por qué ocurre</w:t>
      </w:r>
    </w:p>
    <w:p>
      <w:pPr>
        <w:pStyle w:val="Normal"/>
      </w:pPr>
      <w:r>
        <w:t xml:space="preserve">d) Describir la repercusión de ese movimiento sobre el elemento contiguo</w:t>
      </w:r>
    </w:p>
    <w:p>
      <w:pPr>
        <w:pStyle w:val="Normal"/>
      </w:pPr>
      <w:r>
        <w:t xml:space="preserve">e) Continuar la historia hasta volver al punto de partida usando frases de interrelación causal</w:t>
      </w:r>
    </w:p>
    <w:p>
      <w:pPr>
        <w:pStyle w:val="Heading3"/>
      </w:pPr>
      <w:bookmarkStart w:name="b_pregunta_p2c_12_solo_variable_d173f572" w:id="6200"/>
      <w:r>
        <w:t xml:space="preserve">S2-48 · 3.3 · Diagramas de ciclos causales</w:t>
      </w:r>
      <w:bookmarkEnd w:id="6200"/>
    </w:p>
    <w:p>
      <w:pPr>
        <w:pStyle w:val="Normal"/>
      </w:pPr>
      <w:r>
        <w:t xml:space="preserve">Al modelar una historia que le entregan por escrito, ¿qué variables debe incluir el diagrama?</w:t>
      </w:r>
    </w:p>
    <w:p>
      <w:pPr>
        <w:pStyle w:val="Normal"/>
      </w:pPr>
      <w:r>
        <w:t xml:space="preserve">a) Todas las que se le ocurran, cuantas más mejor</w:t>
      </w:r>
    </w:p>
    <w:p>
      <w:pPr>
        <w:pStyle w:val="Normal"/>
      </w:pPr>
      <w:r>
        <w:t xml:space="preserve">b) Sólo las que están en la historia contada, sin inventar ni distinguir variables de fuera</w:t>
      </w:r>
    </w:p>
    <w:p>
      <w:pPr>
        <w:pStyle w:val="Normal"/>
      </w:pPr>
      <w:r>
        <w:t xml:space="preserve">c) Únicamente las que aparecen en las láminas del curso</w:t>
      </w:r>
    </w:p>
    <w:p>
      <w:pPr>
        <w:pStyle w:val="Normal"/>
      </w:pPr>
      <w:r>
        <w:t xml:space="preserve">d) Las de la historia más, obligatoriamente, una variable externa</w:t>
      </w:r>
    </w:p>
    <w:p>
      <w:pPr>
        <w:pStyle w:val="Heading3"/>
      </w:pPr>
      <w:bookmarkStart w:name="b_pregunta_p2c_18_inventario_multiple" w:id="6201"/>
      <w:r>
        <w:t xml:space="preserve">S2-49 · 3.3 · Diagramas de ciclos causales</w:t>
      </w:r>
      <w:bookmarkEnd w:id="6201"/>
    </w:p>
    <w:p>
      <w:pPr>
        <w:pStyle w:val="Normal"/>
      </w:pPr>
      <w:r>
        <w:t xml:space="preserve">¿Cuáles de estos nombres sirven como variable de un diagrama de ciclos causales?</w:t>
      </w:r>
    </w:p>
    <w:p>
      <w:pPr>
        <w:pStyle w:val="Normal"/>
      </w:pPr>
      <w:r>
        <w:t xml:space="preserve">a) Nivel de inventario</w:t>
      </w:r>
    </w:p>
    <w:p>
      <w:pPr>
        <w:pStyle w:val="Normal"/>
      </w:pPr>
      <w:r>
        <w:t xml:space="preserve">b) Emitir la orden de compra</w:t>
      </w:r>
    </w:p>
    <w:p>
      <w:pPr>
        <w:pStyle w:val="Normal"/>
      </w:pPr>
      <w:r>
        <w:t xml:space="preserve">c) Presión para cumplir el cronograma</w:t>
      </w:r>
    </w:p>
    <w:p>
      <w:pPr>
        <w:pStyle w:val="Normal"/>
      </w:pPr>
      <w:r>
        <w:t xml:space="preserve">d) Apagar el fogón</w:t>
      </w:r>
    </w:p>
    <w:p>
      <w:pPr>
        <w:pStyle w:val="Normal"/>
      </w:pPr>
      <w:r>
        <w:t xml:space="preserve">e) Tasa de terminación del trabajo</w:t>
      </w:r>
    </w:p>
    <w:p>
      <w:pPr>
        <w:pStyle w:val="Heading3"/>
      </w:pPr>
      <w:bookmarkStart w:name="b_pregunta_p2c_19_termino_intermedio" w:id="6202"/>
      <w:r>
        <w:t xml:space="preserve">S2-50 · 3.3 · Diagramas de ciclos causales</w:t>
      </w:r>
      <w:bookmarkEnd w:id="6202"/>
    </w:p>
    <w:p>
      <w:pPr>
        <w:pStyle w:val="Normal"/>
      </w:pPr>
      <w:r>
        <w:t xml:space="preserve">Una relación «Demanda → Calidad» necesita muchas explicaciones para entenderse. ¿Qué recomienda la lista de lineamientos para construir diagramas?</w:t>
      </w:r>
    </w:p>
    <w:p>
      <w:pPr>
        <w:pStyle w:val="Normal"/>
      </w:pPr>
      <w:r>
        <w:t xml:space="preserve">a) Eliminar la relación, porque no es evidente</w:t>
      </w:r>
    </w:p>
    <w:p>
      <w:pPr>
        <w:pStyle w:val="Normal"/>
      </w:pPr>
      <w:r>
        <w:t xml:space="preserve">b) Redefinir las variables o insertar un término intermedio, por ejemplo «Presión para producir» entre ambas</w:t>
      </w:r>
    </w:p>
    <w:p>
      <w:pPr>
        <w:pStyle w:val="Normal"/>
      </w:pPr>
      <w:r>
        <w:t xml:space="preserve">c) Marcar la relación con una demora</w:t>
      </w:r>
    </w:p>
    <w:p>
      <w:pPr>
        <w:pStyle w:val="Normal"/>
      </w:pPr>
      <w:r>
        <w:t xml:space="preserve">d) Cambiar la polaridad hasta que la lectura funcione</w:t>
      </w:r>
    </w:p>
    <w:p>
      <w:pPr>
        <w:pStyle w:val="Heading3"/>
      </w:pPr>
      <w:bookmarkStart w:name="b_pregunta_p2c_20_micr_fono_bocina" w:id="6203"/>
      <w:r>
        <w:t xml:space="preserve">S2-51 · 3.3 · Diagramas de ciclos causales</w:t>
      </w:r>
      <w:bookmarkEnd w:id="6203"/>
    </w:p>
    <w:p>
      <w:pPr>
        <w:pStyle w:val="Normal"/>
      </w:pPr>
      <w:r>
        <w:t xml:space="preserve">El ciclo «Voz → Sonido de voz en micrófono → Sonido de bocina → Sonido de voz en micrófono» explica el chillido del acople. ¿Qué lo caracteriza?</w:t>
      </w:r>
    </w:p>
    <w:p>
      <w:pPr>
        <w:pStyle w:val="Normal"/>
      </w:pPr>
      <w:r>
        <w:t xml:space="preserve">a) Que todas sus relaciones son positivas, de modo que la amplitud crece sin que nada la detenga</w:t>
      </w:r>
    </w:p>
    <w:p>
      <w:pPr>
        <w:pStyle w:val="Normal"/>
      </w:pPr>
      <w:r>
        <w:t xml:space="preserve">b) Que tiene una relación negativa que lo estabiliza</w:t>
      </w:r>
    </w:p>
    <w:p>
      <w:pPr>
        <w:pStyle w:val="Normal"/>
      </w:pPr>
      <w:r>
        <w:t xml:space="preserve">c) Que contiene una demora larga entre la voz y la bocina</w:t>
      </w:r>
    </w:p>
    <w:p>
      <w:pPr>
        <w:pStyle w:val="Normal"/>
      </w:pPr>
      <w:r>
        <w:t xml:space="preserve">d) Que es un ciclo de balance con objetivo implícito</w:t>
      </w:r>
    </w:p>
    <w:p>
      <w:pPr>
        <w:pStyle w:val="Heading3"/>
      </w:pPr>
      <w:bookmarkStart w:name="b_pregunta_p2c_21_emparejar_cas_995d076e" w:id="6204"/>
      <w:r>
        <w:t xml:space="preserve">S2-52 · 3.3 · Diagramas de ciclos causales</w:t>
      </w:r>
      <w:bookmarkEnd w:id="6204"/>
    </w:p>
    <w:p>
      <w:pPr>
        <w:pStyle w:val="Normal"/>
      </w:pPr>
      <w:r>
        <w:t xml:space="preserve">Relacione cada caso trabajado en clase con la variable que cierra su ciclo devolviendo la influencia al punto de partida.</w:t>
      </w:r>
    </w:p>
    <w:p>
      <w:pPr>
        <w:pStyle w:val="Normal"/>
      </w:pPr>
      <w:r>
        <w:t xml:space="preserve">a) Fila: Llenar un vaso de agua</w:t>
      </w:r>
    </w:p>
    <w:p>
      <w:pPr>
        <w:pStyle w:val="Normal"/>
      </w:pPr>
      <w:r>
        <w:t xml:space="preserve">b) Fila: Refrescos azucarados y caries</w:t>
      </w:r>
    </w:p>
    <w:p>
      <w:pPr>
        <w:pStyle w:val="Normal"/>
      </w:pPr>
      <w:r>
        <w:t xml:space="preserve">c) Fila: El cronograma de Ana</w:t>
      </w:r>
    </w:p>
    <w:p>
      <w:pPr>
        <w:pStyle w:val="Normal"/>
      </w:pPr>
      <w:r>
        <w:t xml:space="preserve">d) Fila: Notas y confianza del estudiante</w:t>
      </w:r>
    </w:p>
    <w:p>
      <w:pPr>
        <w:pStyle w:val="Normal"/>
      </w:pPr>
      <w:r>
        <w:t xml:space="preserve">e) a) Brecha percibida entre el nivel actual y el deseado</w:t>
      </w:r>
    </w:p>
    <w:p>
      <w:pPr>
        <w:pStyle w:val="Normal"/>
      </w:pPr>
      <w:r>
        <w:t xml:space="preserve">f) b) Conciencia del daño que hacen los refrescos</w:t>
      </w:r>
    </w:p>
    <w:p>
      <w:pPr>
        <w:pStyle w:val="Normal"/>
      </w:pPr>
      <w:r>
        <w:t xml:space="preserve">g) c) Trabajo pendiente</w:t>
      </w:r>
    </w:p>
    <w:p>
      <w:pPr>
        <w:pStyle w:val="Normal"/>
      </w:pPr>
      <w:r>
        <w:t xml:space="preserve">h) d) Confianza en uno mismo</w:t>
      </w:r>
    </w:p>
    <w:p>
      <w:pPr>
        <w:pStyle w:val="Normal"/>
      </w:pPr>
      <w:r>
        <w:t xml:space="preserve">i) e) Fatiga acumulada</w:t>
      </w:r>
    </w:p>
    <w:p>
      <w:pPr>
        <w:pStyle w:val="Normal"/>
      </w:pPr>
      <w:r>
        <w:t xml:space="preserve">j) f) Frecuencia de cepillado adecuado</w:t>
      </w:r>
    </w:p>
    <w:p>
      <w:pPr>
        <w:pStyle w:val="Heading3"/>
      </w:pPr>
      <w:bookmarkStart w:name="b_pregunta_p2c_24_identificador_2400bce7" w:id="6205"/>
      <w:r>
        <w:t xml:space="preserve">S2-53 · 3.3 · Diagramas de ciclos causales</w:t>
      </w:r>
      <w:bookmarkEnd w:id="6205"/>
    </w:p>
    <w:p>
      <w:pPr>
        <w:pStyle w:val="Normal"/>
      </w:pPr>
      <w:r>
        <w:t xml:space="preserve">Al corregir los diagramas entregados, ¿qué pidió expresamente el profesor que se añadiera al centro de cada ciclo?</w:t>
      </w:r>
    </w:p>
    <w:p>
      <w:pPr>
        <w:pStyle w:val="Normal"/>
      </w:pPr>
      <w:r>
        <w:t xml:space="preserve">a) El nombre del autor del diagrama</w:t>
      </w:r>
    </w:p>
    <w:p>
      <w:pPr>
        <w:pStyle w:val="Normal"/>
      </w:pPr>
      <w:r>
        <w:t xml:space="preserve">b) El identificador del ciclo: una B de balance, una C de compensación, una balanza, o una bola de nieve si es de refuerzo</w:t>
      </w:r>
    </w:p>
    <w:p>
      <w:pPr>
        <w:pStyle w:val="Normal"/>
      </w:pPr>
      <w:r>
        <w:t xml:space="preserve">c) El número de variables que contiene</w:t>
      </w:r>
    </w:p>
    <w:p>
      <w:pPr>
        <w:pStyle w:val="Normal"/>
      </w:pPr>
      <w:r>
        <w:t xml:space="preserve">d) La fecha en que se dibujó</w:t>
      </w:r>
    </w:p>
    <w:p>
      <w:pPr>
        <w:pStyle w:val="Heading3"/>
      </w:pPr>
      <w:bookmarkStart w:name="b_pregunta_p2c_25_errores_tipicos" w:id="6206"/>
      <w:r>
        <w:t xml:space="preserve">S2-54 · 3.3 · Diagramas de ciclos causales</w:t>
      </w:r>
      <w:bookmarkEnd w:id="6206"/>
    </w:p>
    <w:p>
      <w:pPr>
        <w:pStyle w:val="Normal"/>
      </w:pPr>
      <w:r>
        <w:t xml:space="preserve">¿Cuáles de estos fueron errores señalados por el profesor al revisar públicamente los diagramas de ciclos causales entregados?</w:t>
      </w:r>
    </w:p>
    <w:p>
      <w:pPr>
        <w:pStyle w:val="Normal"/>
      </w:pPr>
      <w:r>
        <w:t xml:space="preserve">a) Dibujar flechas sin cabeza, de modo que no se sabe qué es causa y qué efecto</w:t>
      </w:r>
    </w:p>
    <w:p>
      <w:pPr>
        <w:pStyle w:val="Normal"/>
      </w:pPr>
      <w:r>
        <w:t xml:space="preserve">b) Presentar como ciclo un conjunto de flechas que no se cierra</w:t>
      </w:r>
    </w:p>
    <w:p>
      <w:pPr>
        <w:pStyle w:val="Normal"/>
      </w:pPr>
      <w:r>
        <w:t xml:space="preserve">c) Usar rectángulos en lugar de círculos para las variables</w:t>
      </w:r>
    </w:p>
    <w:p>
      <w:pPr>
        <w:pStyle w:val="Normal"/>
      </w:pPr>
      <w:r>
        <w:t xml:space="preserve">d) Omitir el identificador B o R en el centro del bucle</w:t>
      </w:r>
    </w:p>
    <w:p>
      <w:pPr>
        <w:pStyle w:val="Normal"/>
      </w:pPr>
      <w:r>
        <w:t xml:space="preserve">e) No marcar la demora donde el efecto tarda en aparecer</w:t>
      </w:r>
    </w:p>
    <w:p>
      <w:pPr>
        <w:pStyle w:val="Heading3"/>
      </w:pPr>
      <w:bookmarkStart w:name="b_pregunta_p2c_26_no_hay_diagrama_unico" w:id="6207"/>
      <w:r>
        <w:t xml:space="preserve">S2-55 · 3.3 · Diagramas de ciclos causales</w:t>
      </w:r>
      <w:bookmarkEnd w:id="6207"/>
    </w:p>
    <w:p>
      <w:pPr>
        <w:pStyle w:val="Normal"/>
      </w:pPr>
      <w:r>
        <w:t xml:space="preserve">Dos estudiantes entregan diagramas distintos del mismo caso y ambos son aceptados. ¿Con qué criterio se juzga entonces si un diagrama está bien?</w:t>
      </w:r>
    </w:p>
    <w:p>
      <w:pPr>
        <w:pStyle w:val="Normal"/>
      </w:pPr>
      <w:r>
        <w:t xml:space="preserve">a) Se compara con el diagrama del profesor y se cuentan las diferencias</w:t>
      </w:r>
    </w:p>
    <w:p>
      <w:pPr>
        <w:pStyle w:val="Normal"/>
      </w:pPr>
      <w:r>
        <w:t xml:space="preserve">b) Se comprueba si la historia que cuenta la sintaxis del diagrama coincide con el planteamiento del sistema que se pidió modelar</w:t>
      </w:r>
    </w:p>
    <w:p>
      <w:pPr>
        <w:pStyle w:val="Normal"/>
      </w:pPr>
      <w:r>
        <w:t xml:space="preserve">c) Se cuenta el número de variables: gana el que tenga más</w:t>
      </w:r>
    </w:p>
    <w:p>
      <w:pPr>
        <w:pStyle w:val="Normal"/>
      </w:pPr>
      <w:r>
        <w:t xml:space="preserve">d) Se acepta cualquier diagrama, porque todos los modelos son válidos</w:t>
      </w:r>
    </w:p>
    <w:p>
      <w:pPr>
        <w:pStyle w:val="Heading3"/>
      </w:pPr>
      <w:bookmarkStart w:name="b_pregunta_p2c_28_dcc_como_oraciones" w:id="6208"/>
      <w:r>
        <w:t xml:space="preserve">S2-56 · 3.3 · Diagramas de ciclos causales</w:t>
      </w:r>
      <w:bookmarkEnd w:id="6208"/>
    </w:p>
    <w:p>
      <w:pPr>
        <w:pStyle w:val="Normal"/>
      </w:pPr>
      <w:r>
        <w:t xml:space="preserve">La lámina de los diagramas de ciclos causales los compara con oraciones. ¿Qué quiere decir esa comparación?</w:t>
      </w:r>
    </w:p>
    <w:p>
      <w:pPr>
        <w:pStyle w:val="Normal"/>
      </w:pPr>
      <w:r>
        <w:t xml:space="preserve">a) Que cada diagrama debe ir acompañado de un texto explicativo</w:t>
      </w:r>
    </w:p>
    <w:p>
      <w:pPr>
        <w:pStyle w:val="Normal"/>
      </w:pPr>
      <w:r>
        <w:t xml:space="preserve">b) Que un diagrama se construye conectando variables clave e indicando la relación causal entre ellas, y que encadenando varios ciclos se obtiene una historia coherente</w:t>
      </w:r>
    </w:p>
    <w:p>
      <w:pPr>
        <w:pStyle w:val="Normal"/>
      </w:pPr>
      <w:r>
        <w:t xml:space="preserve">c) Que las variables deben escribirse en forma de frase completa</w:t>
      </w:r>
    </w:p>
    <w:p>
      <w:pPr>
        <w:pStyle w:val="Normal"/>
      </w:pPr>
      <w:r>
        <w:t xml:space="preserve">d) Que los diagramas sustituyen a la escritura académica</w:t>
      </w:r>
    </w:p>
    <w:p>
      <w:pPr>
        <w:pStyle w:val="Heading3"/>
      </w:pPr>
      <w:bookmarkStart w:name="b_pregunta_p2c_29_kim_nombres_d_50c3661b" w:id="6209"/>
      <w:r>
        <w:t xml:space="preserve">S2-57 · 3.3 · Diagramas de ciclos causales</w:t>
      </w:r>
      <w:bookmarkEnd w:id="6209"/>
    </w:p>
    <w:p>
      <w:pPr>
        <w:pStyle w:val="Normal"/>
      </w:pPr>
      <w:r>
        <w:t xml:space="preserve">Según los lineamientos de Daniel H. Kim para dibujar diagramas de ciclos causales, ¿cuáles de estos nombres de variable están bien elegidos?</w:t>
      </w:r>
    </w:p>
    <w:p>
      <w:pPr>
        <w:pStyle w:val="Normal"/>
      </w:pPr>
      <w:r>
        <w:t xml:space="preserve">a) Costos</w:t>
      </w:r>
    </w:p>
    <w:p>
      <w:pPr>
        <w:pStyle w:val="Normal"/>
      </w:pPr>
      <w:r>
        <w:t xml:space="preserve">b) Incremento en costos</w:t>
      </w:r>
    </w:p>
    <w:p>
      <w:pPr>
        <w:pStyle w:val="Normal"/>
      </w:pPr>
      <w:r>
        <w:t xml:space="preserve">c) Felicidad</w:t>
      </w:r>
    </w:p>
    <w:p>
      <w:pPr>
        <w:pStyle w:val="Normal"/>
      </w:pPr>
      <w:r>
        <w:t xml:space="preserve">d) Estado de ánimo</w:t>
      </w:r>
    </w:p>
    <w:p>
      <w:pPr>
        <w:pStyle w:val="Normal"/>
      </w:pPr>
      <w:r>
        <w:t xml:space="preserve">e) Crecimiento</w:t>
      </w:r>
    </w:p>
    <w:p>
      <w:pPr>
        <w:pStyle w:val="Normal"/>
      </w:pPr>
      <w:r>
        <w:t xml:space="preserve">f) Contracción</w:t>
      </w:r>
    </w:p>
    <w:p>
      <w:pPr>
        <w:pStyle w:val="Heading3"/>
      </w:pPr>
      <w:bookmarkStart w:name="b_pregunta_p2c_30_kim_objetivo_explicito" w:id="6210"/>
      <w:r>
        <w:t xml:space="preserve">S2-58 · 3.3 · Diagramas de ciclos causales</w:t>
      </w:r>
      <w:bookmarkEnd w:id="6210"/>
    </w:p>
    <w:p>
      <w:pPr>
        <w:pStyle w:val="Normal"/>
      </w:pPr>
      <w:r>
        <w:t xml:space="preserve">Un ciclo de balance dice: Calidad → (−) Acciones para mejorar la calidad → (+) Calidad, y alguien pregunta por qué un aumento de calidad reduce las acciones de mejora. ¿Qué lineamiento de Kim resuelve la duda?</w:t>
      </w:r>
    </w:p>
    <w:p>
      <w:pPr>
        <w:pStyle w:val="Normal"/>
      </w:pPr>
      <w:r>
        <w:t xml:space="preserve">a) Cambiar el signo de la primera flecha para que el ciclo quede en refuerzo</w:t>
      </w:r>
    </w:p>
    <w:p>
      <w:pPr>
        <w:pStyle w:val="Normal"/>
      </w:pPr>
      <w:r>
        <w:t xml:space="preserve">b) Hacer explícito el objetivo: al agregar «Calidad deseada» y «Diferencia en calidad», se ve que es la diferencia la que controla las acciones de mejora</w:t>
      </w:r>
    </w:p>
    <w:p>
      <w:pPr>
        <w:pStyle w:val="Normal"/>
      </w:pPr>
      <w:r>
        <w:t xml:space="preserve">c) Eliminar la variable «Calidad» y dejar sólo las acciones</w:t>
      </w:r>
    </w:p>
    <w:p>
      <w:pPr>
        <w:pStyle w:val="Normal"/>
      </w:pPr>
      <w:r>
        <w:t xml:space="preserve">d) Añadir una demora sobre la flecha para justificar la relación</w:t>
      </w:r>
    </w:p>
    <w:p>
      <w:pPr>
        <w:pStyle w:val="Heading3"/>
      </w:pPr>
      <w:bookmarkStart w:name="b_pregunta_p2c_31_kim_real_y_percibido" w:id="6211"/>
      <w:r>
        <w:t xml:space="preserve">S2-59 · 3.3 · Diagramas de ciclos causales</w:t>
      </w:r>
      <w:bookmarkEnd w:id="6211"/>
    </w:p>
    <w:p>
      <w:pPr>
        <w:pStyle w:val="Normal"/>
      </w:pPr>
      <w:r>
        <w:t xml:space="preserve">Kim distingue en el diagrama «Calidad» de «Calidad percibida». ¿Por qué conviene dibujarlas como dos variables?</w:t>
      </w:r>
    </w:p>
    <w:p>
      <w:pPr>
        <w:pStyle w:val="Normal"/>
      </w:pPr>
      <w:r>
        <w:t xml:space="preserve">a) Porque son sinónimos y el diagrama queda más completo con más variables</w:t>
      </w:r>
    </w:p>
    <w:p>
      <w:pPr>
        <w:pStyle w:val="Normal"/>
      </w:pPr>
      <w:r>
        <w:t xml:space="preserve">b) Porque las percepciones cambian más lentamente que la realidad, y suponer que la percepción es la realidad puede llevar a resultados no deseados</w:t>
      </w:r>
    </w:p>
    <w:p>
      <w:pPr>
        <w:pStyle w:val="Normal"/>
      </w:pPr>
      <w:r>
        <w:t xml:space="preserve">c) Porque la calidad percibida sólo importa en los ciclos de refuerzo</w:t>
      </w:r>
    </w:p>
    <w:p>
      <w:pPr>
        <w:pStyle w:val="Normal"/>
      </w:pPr>
      <w:r>
        <w:t xml:space="preserve">d) Porque así el ciclo tiene un número par de signos negativos</w:t>
      </w:r>
    </w:p>
    <w:p>
      <w:pPr>
        <w:pStyle w:val="Heading3"/>
      </w:pPr>
      <w:bookmarkStart w:name="b_pregunta_p2c_32_kim_corto_y_l_fe453147" w:id="6212"/>
      <w:r>
        <w:t xml:space="preserve">S2-60 · 3.3 · Diagramas de ciclos causales</w:t>
      </w:r>
      <w:bookmarkEnd w:id="6212"/>
    </w:p>
    <w:p>
      <w:pPr>
        <w:pStyle w:val="Normal"/>
      </w:pPr>
      <w:r>
        <w:t xml:space="preserve">En el ejemplo de Kim, el ciclo B1 muestra que el alcohol alivia el estrés a corto plazo y el ciclo R2 muestra que a largo plazo lo aumenta. ¿Qué recomienda Kim para dibujar esa diferencia?</w:t>
      </w:r>
    </w:p>
    <w:p>
      <w:pPr>
        <w:pStyle w:val="Normal"/>
      </w:pPr>
      <w:r>
        <w:t xml:space="preserve">a) Dibujar ciclos más grandes para los procesos más lentos, de modo que las consecuencias de largo plazo se vean como un ciclo mayor que envuelve al de corto plazo</w:t>
      </w:r>
    </w:p>
    <w:p>
      <w:pPr>
        <w:pStyle w:val="Normal"/>
      </w:pPr>
      <w:r>
        <w:t xml:space="preserve">b) Dibujar sólo el ciclo de corto plazo, porque el de largo plazo no se puede verificar</w:t>
      </w:r>
    </w:p>
    <w:p>
      <w:pPr>
        <w:pStyle w:val="Normal"/>
      </w:pPr>
      <w:r>
        <w:t xml:space="preserve">c) Poner una demora en todas las flechas del diagrama</w:t>
      </w:r>
    </w:p>
    <w:p>
      <w:pPr>
        <w:pStyle w:val="Normal"/>
      </w:pPr>
      <w:r>
        <w:t xml:space="preserve">d) Reunir los dos ciclos en uno solo con signo positivo</w:t>
      </w:r>
    </w:p>
    <w:p>
      <w:pPr>
        <w:pStyle w:val="Heading3"/>
      </w:pPr>
      <w:bookmarkStart w:name="b_pregunta_p2l_banco_variante" w:id="6213"/>
      <w:r>
        <w:t xml:space="preserve">S2-61 · 3.3 · Diagramas de ciclos causales</w:t>
      </w:r>
      <w:bookmarkEnd w:id="6213"/>
    </w:p>
    <w:p>
      <w:pPr>
        <w:pStyle w:val="Normal"/>
      </w:pPr>
      <w:r>
        <w:t xml:space="preserve">¿Por qué el banco canónico de cuatro negativas y la variante de tres variables con dos negativas son R?</w:t>
      </w:r>
    </w:p>
    <w:p>
      <w:pPr>
        <w:pStyle w:val="Normal"/>
      </w:pPr>
      <w:r>
        <w:t xml:space="preserve">a) Porque cualquier negativa produce balance</w:t>
      </w:r>
    </w:p>
    <w:p>
      <w:pPr>
        <w:pStyle w:val="Normal"/>
      </w:pPr>
      <w:r>
        <w:t xml:space="preserve">b) Porque perseguir un objetivo decide la polaridad</w:t>
      </w:r>
    </w:p>
    <w:p>
      <w:pPr>
        <w:pStyle w:val="Normal"/>
      </w:pPr>
      <w:r>
        <w:t xml:space="preserve">c) Porque deben tener el mismo número de variables</w:t>
      </w:r>
    </w:p>
    <w:p>
      <w:pPr>
        <w:pStyle w:val="Normal"/>
      </w:pPr>
      <w:r>
        <w:t xml:space="preserve">d) Porque ambos recorridos tienen un número par de relaciones negativas</w:t>
      </w:r>
    </w:p>
    <w:p>
      <w:pPr>
        <w:pStyle w:val="Heading3"/>
      </w:pPr>
      <w:bookmarkStart w:name="b_pregunta_p2l_derivada" w:id="6214"/>
      <w:r>
        <w:t xml:space="preserve">S2-62 · 3.3 · Diagramas de ciclos causales</w:t>
      </w:r>
      <w:bookmarkEnd w:id="6214"/>
    </w:p>
    <w:p>
      <w:pPr>
        <w:pStyle w:val="Normal"/>
      </w:pPr>
      <w:r>
        <w:t xml:space="preserve">¿Qué afirma ∂Y/∂X &lt; 0 en la notación de C-2, página 79?</w:t>
      </w:r>
    </w:p>
    <w:p>
      <w:pPr>
        <w:pStyle w:val="Normal"/>
      </w:pPr>
      <w:r>
        <w:t xml:space="preserve">a) Que aumentar X reduce Y respecto de lo que habría ocurrido con las demás causas constantes</w:t>
      </w:r>
    </w:p>
    <w:p>
      <w:pPr>
        <w:pStyle w:val="Normal"/>
      </w:pPr>
      <w:r>
        <w:t xml:space="preserve">b) Que Y siempre disminuye con el tiempo</w:t>
      </w:r>
    </w:p>
    <w:p>
      <w:pPr>
        <w:pStyle w:val="Normal"/>
      </w:pPr>
      <w:r>
        <w:t xml:space="preserve">c) Que X e Y no están relacionados</w:t>
      </w:r>
    </w:p>
    <w:p>
      <w:pPr>
        <w:pStyle w:val="Normal"/>
      </w:pPr>
      <w:r>
        <w:t xml:space="preserve">d) Que todo ciclo que incluya esa flecha es B</w:t>
      </w:r>
    </w:p>
    <w:p>
      <w:pPr>
        <w:pStyle w:val="Heading3"/>
      </w:pPr>
      <w:bookmarkStart w:name="b_pregunta_p2l_frustracion" w:id="6215"/>
      <w:r>
        <w:t xml:space="preserve">S2-63 · 3.3 · Diagramas de ciclos causales</w:t>
      </w:r>
      <w:bookmarkEnd w:id="6215"/>
    </w:p>
    <w:p>
      <w:pPr>
        <w:pStyle w:val="Normal"/>
      </w:pPr>
      <w:r>
        <w:t xml:space="preserve">¿Cómo se lee frustración →− resultados sin confundir polaridad con trayectoria?</w:t>
      </w:r>
    </w:p>
    <w:p>
      <w:pPr>
        <w:pStyle w:val="Normal"/>
      </w:pPr>
      <w:r>
        <w:t xml:space="preserve">a) Los resultados deben caer en todo periodo sin importar otras causas</w:t>
      </w:r>
    </w:p>
    <w:p>
      <w:pPr>
        <w:pStyle w:val="Normal"/>
      </w:pPr>
      <w:r>
        <w:t xml:space="preserve">b) Más frustración tiende a reducir resultados frente al caso comparable, aunque otras causas pueden compensar el efecto</w:t>
      </w:r>
    </w:p>
    <w:p>
      <w:pPr>
        <w:pStyle w:val="Normal"/>
      </w:pPr>
      <w:r>
        <w:t xml:space="preserve">c) La frustración es siempre una constante</w:t>
      </w:r>
    </w:p>
    <w:p>
      <w:pPr>
        <w:pStyle w:val="Normal"/>
      </w:pPr>
      <w:r>
        <w:t xml:space="preserve">d) Una relación negativa significa que ambas variables disminuyen juntas</w:t>
      </w:r>
    </w:p>
    <w:p>
      <w:pPr>
        <w:pStyle w:val="Heading3"/>
      </w:pPr>
      <w:bookmarkStart w:name="b_pregunta_p2l_linea" w:id="6216"/>
      <w:r>
        <w:t xml:space="preserve">S2-64 · 3.3 · Diagramas de ciclos causales</w:t>
      </w:r>
      <w:bookmarkEnd w:id="6216"/>
    </w:p>
    <w:p>
      <w:pPr>
        <w:pStyle w:val="Normal"/>
      </w:pPr>
      <w:r>
        <w:t xml:space="preserve">¿Qué afirma una línea entre dos conceptos cuando no tiene cabeza de flecha?</w:t>
      </w:r>
    </w:p>
    <w:p>
      <w:pPr>
        <w:pStyle w:val="Normal"/>
      </w:pPr>
      <w:r>
        <w:t xml:space="preserve">a) Que no existe ninguna relación</w:t>
      </w:r>
    </w:p>
    <w:p>
      <w:pPr>
        <w:pStyle w:val="Normal"/>
      </w:pPr>
      <w:r>
        <w:t xml:space="preserve">b) Que los dos forman necesariamente un ciclo de balance</w:t>
      </w:r>
    </w:p>
    <w:p>
      <w:pPr>
        <w:pStyle w:val="Normal"/>
      </w:pPr>
      <w:r>
        <w:t xml:space="preserve">c) Que se relacionan, dejando indeterminada la dirección causal</w:t>
      </w:r>
    </w:p>
    <w:p>
      <w:pPr>
        <w:pStyle w:val="Normal"/>
      </w:pPr>
      <w:r>
        <w:t xml:space="preserve">d) Que el concepto izquierdo causa al derecho por su posición</w:t>
      </w:r>
    </w:p>
    <w:p>
      <w:pPr>
        <w:pStyle w:val="Heading3"/>
      </w:pPr>
      <w:r>
        <w:t xml:space="preserve">Tema 3.4 · Interdependencias sistémicas</w:t>
      </w:r>
    </w:p>
    <w:p>
      <w:pPr>
        <w:pStyle w:val="Heading3"/>
      </w:pPr>
      <w:bookmarkStart w:name="b_pregunta_p2c_03_cuando_hay_ciclo" w:id="6217"/>
      <w:r>
        <w:t xml:space="preserve">S2-65 · 3.4 · Interdependencias sistémicas</w:t>
      </w:r>
      <w:bookmarkEnd w:id="6217"/>
    </w:p>
    <w:p>
      <w:pPr>
        <w:pStyle w:val="Normal"/>
      </w:pPr>
      <w:r>
        <w:t xml:space="preserve">¿Cuándo una cadena de relaciones causales forma un ciclo?</w:t>
      </w:r>
    </w:p>
    <w:p>
      <w:pPr>
        <w:pStyle w:val="Normal"/>
      </w:pPr>
      <w:r>
        <w:t xml:space="preserve">a) Cuando tiene al menos cuatro variables</w:t>
      </w:r>
    </w:p>
    <w:p>
      <w:pPr>
        <w:pStyle w:val="Normal"/>
      </w:pPr>
      <w:r>
        <w:t xml:space="preserve">b) Cuando, partiendo de una variable y recorriendo relaciones, en algún momento se vuelve a esa misma variable</w:t>
      </w:r>
    </w:p>
    <w:p>
      <w:pPr>
        <w:pStyle w:val="Normal"/>
      </w:pPr>
      <w:r>
        <w:t xml:space="preserve">c) Cuando todas sus relaciones tienen la misma polaridad</w:t>
      </w:r>
    </w:p>
    <w:p>
      <w:pPr>
        <w:pStyle w:val="Normal"/>
      </w:pPr>
      <w:r>
        <w:t xml:space="preserve">d) Cuando el diagrama se dibuja en forma de círculo</w:t>
      </w:r>
    </w:p>
    <w:p>
      <w:pPr>
        <w:pStyle w:val="Heading3"/>
      </w:pPr>
      <w:bookmarkStart w:name="b_pregunta_p2c_04_lazo_no_cerrado" w:id="6218"/>
      <w:r>
        <w:t xml:space="preserve">S2-66 · 3.4 · Interdependencias sistémicas</w:t>
      </w:r>
      <w:bookmarkEnd w:id="6218"/>
    </w:p>
    <w:p>
      <w:pPr>
        <w:pStyle w:val="Normal"/>
      </w:pPr>
      <w:r>
        <w:t xml:space="preserve">Un diagrama muestra «Dulces → Caries» y «Dulces → Tiempo en la silla del dentista», sin ninguna flecha que regrese a «Dulces». ¿Qué corresponde decir?</w:t>
      </w:r>
    </w:p>
    <w:p>
      <w:pPr>
        <w:pStyle w:val="Normal"/>
      </w:pPr>
      <w:r>
        <w:t xml:space="preserve">a) Que hay dos ciclos, uno por cada flecha</w:t>
      </w:r>
    </w:p>
    <w:p>
      <w:pPr>
        <w:pStyle w:val="Normal"/>
      </w:pPr>
      <w:r>
        <w:t xml:space="preserve">b) Que no hay ciclo: «Dulces» sólo actúa como causa de dos consecuencias y nada vuelve sobre ella</w:t>
      </w:r>
    </w:p>
    <w:p>
      <w:pPr>
        <w:pStyle w:val="Normal"/>
      </w:pPr>
      <w:r>
        <w:t xml:space="preserve">c) Que hay un ciclo porque las dos flechas salen de la misma variable</w:t>
      </w:r>
    </w:p>
    <w:p>
      <w:pPr>
        <w:pStyle w:val="Normal"/>
      </w:pPr>
      <w:r>
        <w:t xml:space="preserve">d) Que hay un ciclo de refuerzo, porque las dos relaciones son positivas</w:t>
      </w:r>
    </w:p>
    <w:p>
      <w:pPr>
        <w:pStyle w:val="Heading3"/>
      </w:pPr>
      <w:bookmarkStart w:name="b_pregunta_p2c_05_proceso_vs_sistemico" w:id="6219"/>
      <w:r>
        <w:t xml:space="preserve">S2-67 · 3.4 · Interdependencias sistémicas</w:t>
      </w:r>
      <w:bookmarkEnd w:id="6219"/>
    </w:p>
    <w:p>
      <w:pPr>
        <w:pStyle w:val="Normal"/>
      </w:pPr>
      <w:r>
        <w:t xml:space="preserve">Clasifique cada rasgo según corresponda a un diagrama de proceso o a un diagrama sistémico.</w:t>
      </w:r>
    </w:p>
    <w:p>
      <w:pPr>
        <w:pStyle w:val="Normal"/>
      </w:pPr>
      <w:r>
        <w:t xml:space="preserve">a) Destinos: Diagrama de proceso; Diagrama sistémico</w:t>
      </w:r>
    </w:p>
    <w:p>
      <w:pPr>
        <w:pStyle w:val="Normal"/>
      </w:pPr>
      <w:r>
        <w:t xml:space="preserve">b) Sus nodos se nombran con verbos: encender, hervir, apagar</w:t>
      </w:r>
    </w:p>
    <w:p>
      <w:pPr>
        <w:pStyle w:val="Normal"/>
      </w:pPr>
      <w:r>
        <w:t xml:space="preserve">c) Las flechas indican secuencia y cronología</w:t>
      </w:r>
    </w:p>
    <w:p>
      <w:pPr>
        <w:pStyle w:val="Normal"/>
      </w:pPr>
      <w:r>
        <w:t xml:space="preserve">d) Es un diagrama lineal, propio del pensamiento lineal</w:t>
      </w:r>
    </w:p>
    <w:p>
      <w:pPr>
        <w:pStyle w:val="Normal"/>
      </w:pPr>
      <w:r>
        <w:t xml:space="preserve">e) Sus nodos se nombran con sustantivos: nivel de temperatura, brecha percibida</w:t>
      </w:r>
    </w:p>
    <w:p>
      <w:pPr>
        <w:pStyle w:val="Normal"/>
      </w:pPr>
      <w:r>
        <w:t xml:space="preserve">f) Las flechas indican relación de influencia, no orden</w:t>
      </w:r>
    </w:p>
    <w:p>
      <w:pPr>
        <w:pStyle w:val="Normal"/>
      </w:pPr>
      <w:r>
        <w:t xml:space="preserve">g) Es un diagrama circular: hay causa y efecto, no secuencia</w:t>
      </w:r>
    </w:p>
    <w:p>
      <w:pPr>
        <w:pStyle w:val="Heading3"/>
      </w:pPr>
      <w:bookmarkStart w:name="b_pregunta_p2c_08_atleta" w:id="6220"/>
      <w:r>
        <w:t xml:space="preserve">S2-68 · 3.4 · Interdependencias sistémicas</w:t>
      </w:r>
      <w:bookmarkEnd w:id="6220"/>
    </w:p>
    <w:p>
      <w:pPr>
        <w:pStyle w:val="Normal"/>
      </w:pPr>
      <w:r>
        <w:t xml:space="preserve">La lámina del atleta muestra primero «Partir → Correr → Llegar» y después un ciclo con objetivo, brecha percibida, velocidad de competencia y situación actual. ¿Qué demuestra el contraste?</w:t>
      </w:r>
    </w:p>
    <w:p>
      <w:pPr>
        <w:pStyle w:val="Normal"/>
      </w:pPr>
      <w:r>
        <w:t xml:space="preserve">a) Que el diagrama de bloques es incorrecto y hay que descartarlo</w:t>
      </w:r>
    </w:p>
    <w:p>
      <w:pPr>
        <w:pStyle w:val="Normal"/>
      </w:pPr>
      <w:r>
        <w:t xml:space="preserve">b) Que una situación que parece puramente lineal esconde un circuito de regulación cuando se la mira como sistema</w:t>
      </w:r>
    </w:p>
    <w:p>
      <w:pPr>
        <w:pStyle w:val="Normal"/>
      </w:pPr>
      <w:r>
        <w:t xml:space="preserve">c) Que correr cien metros no es un sistema</w:t>
      </w:r>
    </w:p>
    <w:p>
      <w:pPr>
        <w:pStyle w:val="Normal"/>
      </w:pPr>
      <w:r>
        <w:t xml:space="preserve">d) Que el atleta debe cambiar su estrategia de carrera</w:t>
      </w:r>
    </w:p>
    <w:p>
      <w:pPr>
        <w:pStyle w:val="Heading3"/>
      </w:pPr>
      <w:bookmarkStart w:name="b_pregunta_p2c_09_ciclo_de_la_planta" w:id="6221"/>
      <w:r>
        <w:t xml:space="preserve">S2-69 · 3.4 · Interdependencias sistémicas</w:t>
      </w:r>
      <w:bookmarkEnd w:id="6221"/>
    </w:p>
    <w:p>
      <w:pPr>
        <w:pStyle w:val="Normal"/>
      </w:pPr>
      <w:r>
        <w:t xml:space="preserve">Ordene el ciclo de vida de la planta tal como la clase lo cerró con las respuestas del grupo, empezando por la semilla.</w:t>
      </w:r>
    </w:p>
    <w:p>
      <w:pPr>
        <w:pStyle w:val="Normal"/>
      </w:pPr>
      <w:r>
        <w:t xml:space="preserve">a) El fruto</w:t>
      </w:r>
    </w:p>
    <w:p>
      <w:pPr>
        <w:pStyle w:val="Normal"/>
      </w:pPr>
      <w:r>
        <w:t xml:space="preserve">b) Las raíces</w:t>
      </w:r>
    </w:p>
    <w:p>
      <w:pPr>
        <w:pStyle w:val="Normal"/>
      </w:pPr>
      <w:r>
        <w:t xml:space="preserve">c) Las semillas</w:t>
      </w:r>
    </w:p>
    <w:p>
      <w:pPr>
        <w:pStyle w:val="Normal"/>
      </w:pPr>
      <w:r>
        <w:t xml:space="preserve">d) El tallo y las ramas</w:t>
      </w:r>
    </w:p>
    <w:p>
      <w:pPr>
        <w:pStyle w:val="Normal"/>
      </w:pPr>
      <w:r>
        <w:t xml:space="preserve">e) Las hojas y las flores</w:t>
      </w:r>
    </w:p>
    <w:p>
      <w:pPr>
        <w:pStyle w:val="Heading3"/>
      </w:pPr>
      <w:bookmarkStart w:name="b_pregunta_p2c_10_tiempo_circular" w:id="6222"/>
      <w:r>
        <w:t xml:space="preserve">S2-70 · 3.4 · Interdependencias sistémicas</w:t>
      </w:r>
      <w:bookmarkEnd w:id="6222"/>
    </w:p>
    <w:p>
      <w:pPr>
        <w:pStyle w:val="Normal"/>
      </w:pPr>
      <w:r>
        <w:t xml:space="preserve">«Si me proyecto quedándome sin inventario en tres días, hoy emito la orden de compra». ¿Qué estructura ilustra esa frase?</w:t>
      </w:r>
    </w:p>
    <w:p>
      <w:pPr>
        <w:pStyle w:val="Normal"/>
      </w:pPr>
      <w:r>
        <w:t xml:space="preserve">a) Una cadena lineal pasado → presente → futuro</w:t>
      </w:r>
    </w:p>
    <w:p>
      <w:pPr>
        <w:pStyle w:val="Normal"/>
      </w:pPr>
      <w:r>
        <w:t xml:space="preserve">b) Una estructura circular en la que el futuro proyectado influye sobre la acción presente</w:t>
      </w:r>
    </w:p>
    <w:p>
      <w:pPr>
        <w:pStyle w:val="Normal"/>
      </w:pPr>
      <w:r>
        <w:t xml:space="preserve">c) Una relación sin polaridad definida</w:t>
      </w:r>
    </w:p>
    <w:p>
      <w:pPr>
        <w:pStyle w:val="Normal"/>
      </w:pPr>
      <w:r>
        <w:t xml:space="preserve">d) Un ciclo de refuerzo entre inventario y ventas</w:t>
      </w:r>
    </w:p>
    <w:p>
      <w:pPr>
        <w:pStyle w:val="Heading3"/>
      </w:pPr>
      <w:bookmarkStart w:name="b_pregunta_p2c_13_reduccionista_2b1686d3" w:id="6223"/>
      <w:r>
        <w:t xml:space="preserve">S2-71 · 3.4 · Interdependencias sistémicas</w:t>
      </w:r>
      <w:bookmarkEnd w:id="6223"/>
    </w:p>
    <w:p>
      <w:pPr>
        <w:pStyle w:val="Normal"/>
      </w:pPr>
      <w:r>
        <w:t xml:space="preserve">La lámina «El pensamiento sistémico busca no ser reduccionista» contrapone dos columnas. Clasifique cada rasgo.</w:t>
      </w:r>
    </w:p>
    <w:p>
      <w:pPr>
        <w:pStyle w:val="Normal"/>
      </w:pPr>
      <w:r>
        <w:t xml:space="preserve">a) Destinos: Pensamiento reduccionista; Pensamiento sistémico</w:t>
      </w:r>
    </w:p>
    <w:p>
      <w:pPr>
        <w:pStyle w:val="Normal"/>
      </w:pPr>
      <w:r>
        <w:t xml:space="preserve">b) Visión parcial</w:t>
      </w:r>
    </w:p>
    <w:p>
      <w:pPr>
        <w:pStyle w:val="Normal"/>
      </w:pPr>
      <w:r>
        <w:t xml:space="preserve">c) Rígido; deriva en parálisis paradigmática</w:t>
      </w:r>
    </w:p>
    <w:p>
      <w:pPr>
        <w:pStyle w:val="Normal"/>
      </w:pPr>
      <w:r>
        <w:t xml:space="preserve">d) Busca el comportamiento en las partes</w:t>
      </w:r>
    </w:p>
    <w:p>
      <w:pPr>
        <w:pStyle w:val="Normal"/>
      </w:pPr>
      <w:r>
        <w:t xml:space="preserve">e) Es simple, rápido y fácil de entender</w:t>
      </w:r>
    </w:p>
    <w:p>
      <w:pPr>
        <w:pStyle w:val="Normal"/>
      </w:pPr>
      <w:r>
        <w:t xml:space="preserve">f) Visión total, holística</w:t>
      </w:r>
    </w:p>
    <w:p>
      <w:pPr>
        <w:pStyle w:val="Normal"/>
      </w:pPr>
      <w:r>
        <w:t xml:space="preserve">g) Identifica el comportamiento en las propiedades emergentes</w:t>
      </w:r>
    </w:p>
    <w:p>
      <w:pPr>
        <w:pStyle w:val="Normal"/>
      </w:pPr>
      <w:r>
        <w:t xml:space="preserve">h) Pone el énfasis en las relaciones e interrelaciones</w:t>
      </w:r>
    </w:p>
    <w:p>
      <w:pPr>
        <w:pStyle w:val="Normal"/>
      </w:pPr>
      <w:r>
        <w:t xml:space="preserve">i) Trabaja con relaciones de causa y efecto no lineales</w:t>
      </w:r>
    </w:p>
    <w:p>
      <w:pPr>
        <w:pStyle w:val="Heading3"/>
      </w:pPr>
      <w:bookmarkStart w:name="b_pregunta_p2c_14_abeja_flor" w:id="6224"/>
      <w:r>
        <w:t xml:space="preserve">S2-72 · 3.4 · Interdependencias sistémicas</w:t>
      </w:r>
      <w:bookmarkEnd w:id="6224"/>
    </w:p>
    <w:p>
      <w:pPr>
        <w:pStyle w:val="Normal"/>
      </w:pPr>
      <w:r>
        <w:t xml:space="preserve">El par abeja-flor se usó como primer ejemplo del hábito de la causalidad circular. ¿Por qué es circular esa relación?</w:t>
      </w:r>
    </w:p>
    <w:p>
      <w:pPr>
        <w:pStyle w:val="Normal"/>
      </w:pPr>
      <w:r>
        <w:t xml:space="preserve">a) Porque la abeja y la flor están físicamente próximas</w:t>
      </w:r>
    </w:p>
    <w:p>
      <w:pPr>
        <w:pStyle w:val="Normal"/>
      </w:pPr>
      <w:r>
        <w:t xml:space="preserve">b) Porque la abeja afecta a la flor al polinizarla y la flor afecta a la abeja al alimentarla: cada una es causa y efecto de la otra</w:t>
      </w:r>
    </w:p>
    <w:p>
      <w:pPr>
        <w:pStyle w:val="Normal"/>
      </w:pPr>
      <w:r>
        <w:t xml:space="preserve">c) Porque hay muchas abejas y muchas flores</w:t>
      </w:r>
    </w:p>
    <w:p>
      <w:pPr>
        <w:pStyle w:val="Normal"/>
      </w:pPr>
      <w:r>
        <w:t xml:space="preserve">d) Porque la relación se repite todos los años</w:t>
      </w:r>
    </w:p>
    <w:p>
      <w:pPr>
        <w:pStyle w:val="Heading3"/>
      </w:pPr>
      <w:bookmarkStart w:name="b_pregunta_p2c_15_conversacion" w:id="6225"/>
      <w:r>
        <w:t xml:space="preserve">S2-73 · 3.4 · Interdependencias sistémicas</w:t>
      </w:r>
      <w:bookmarkEnd w:id="6225"/>
    </w:p>
    <w:p>
      <w:pPr>
        <w:pStyle w:val="Normal"/>
      </w:pPr>
      <w:r>
        <w:t xml:space="preserve">«Pregunto, me responden, esa respuesta me da información nueva y con ella formulo otra pregunta». ¿Qué ilustra este ejemplo?</w:t>
      </w:r>
    </w:p>
    <w:p>
      <w:pPr>
        <w:pStyle w:val="Normal"/>
      </w:pPr>
      <w:r>
        <w:t xml:space="preserve">a) Un proceso lineal de tres pasos</w:t>
      </w:r>
    </w:p>
    <w:p>
      <w:pPr>
        <w:pStyle w:val="Normal"/>
      </w:pPr>
      <w:r>
        <w:t xml:space="preserve">b) Una estructura A → B → A: la reacción vuelve sobre quien inició la cadena</w:t>
      </w:r>
    </w:p>
    <w:p>
      <w:pPr>
        <w:pStyle w:val="Normal"/>
      </w:pPr>
      <w:r>
        <w:t xml:space="preserve">c) Una relación de contención entre pregunta y respuesta</w:t>
      </w:r>
    </w:p>
    <w:p>
      <w:pPr>
        <w:pStyle w:val="Normal"/>
      </w:pPr>
      <w:r>
        <w:t xml:space="preserve">d) Una demora entre causa y efecto</w:t>
      </w:r>
    </w:p>
    <w:p>
      <w:pPr>
        <w:pStyle w:val="Heading3"/>
      </w:pPr>
      <w:bookmarkStart w:name="b_pregunta_p2c_16_algoritmos" w:id="6226"/>
      <w:r>
        <w:t xml:space="preserve">S2-74 · 3.4 · Interdependencias sistémicas</w:t>
      </w:r>
      <w:bookmarkEnd w:id="6226"/>
    </w:p>
    <w:p>
      <w:pPr>
        <w:pStyle w:val="Normal"/>
      </w:pPr>
      <w:r>
        <w:t xml:space="preserve">¿Por qué la clase comparó los algoritmos con cadenas de relaciones causales?</w:t>
      </w:r>
    </w:p>
    <w:p>
      <w:pPr>
        <w:pStyle w:val="Normal"/>
      </w:pPr>
      <w:r>
        <w:t xml:space="preserve">a) Porque todo algoritmo describe un sistema informático</w:t>
      </w:r>
    </w:p>
    <w:p>
      <w:pPr>
        <w:pStyle w:val="Normal"/>
      </w:pPr>
      <w:r>
        <w:t xml:space="preserve">b) Porque cada paso depende del anterior y genera el siguiente, y cuando aparecen estructuras repetitivas se ve la estructura de los sistemas más complejos</w:t>
      </w:r>
    </w:p>
    <w:p>
      <w:pPr>
        <w:pStyle w:val="Normal"/>
      </w:pPr>
      <w:r>
        <w:t xml:space="preserve">c) Porque los algoritmos se dibujan con flechas</w:t>
      </w:r>
    </w:p>
    <w:p>
      <w:pPr>
        <w:pStyle w:val="Normal"/>
      </w:pPr>
      <w:r>
        <w:t xml:space="preserve">d) Porque un algoritmo siempre tiene un ciclo de refuerzo</w:t>
      </w:r>
    </w:p>
    <w:p>
      <w:pPr>
        <w:pStyle w:val="Heading3"/>
      </w:pPr>
      <w:bookmarkStart w:name="b_pregunta_p2c_17_telarana" w:id="6227"/>
      <w:r>
        <w:t xml:space="preserve">S2-75 · 3.4 · Interdependencias sistémicas</w:t>
      </w:r>
      <w:bookmarkEnd w:id="6227"/>
    </w:p>
    <w:p>
      <w:pPr>
        <w:pStyle w:val="Normal"/>
      </w:pPr>
      <w:r>
        <w:t xml:space="preserve">El mapa del jardín con el comedero de pájaros se proyectó para mostrar que…</w:t>
      </w:r>
    </w:p>
    <w:p>
      <w:pPr>
        <w:pStyle w:val="Normal"/>
      </w:pPr>
      <w:r>
        <w:t xml:space="preserve">a) Un sistema real contiene muchos ciclos entrelazados, no uno solo</w:t>
      </w:r>
    </w:p>
    <w:p>
      <w:pPr>
        <w:pStyle w:val="Normal"/>
      </w:pPr>
      <w:r>
        <w:t xml:space="preserve">b) Los comederos de pájaros perjudican el jardín</w:t>
      </w:r>
    </w:p>
    <w:p>
      <w:pPr>
        <w:pStyle w:val="Normal"/>
      </w:pPr>
      <w:r>
        <w:t xml:space="preserve">c) Los mapas deben tener siempre menos de diez variables</w:t>
      </w:r>
    </w:p>
    <w:p>
      <w:pPr>
        <w:pStyle w:val="Normal"/>
      </w:pPr>
      <w:r>
        <w:t xml:space="preserve">d) Sólo los sistemas naturales tienen ciclos</w:t>
      </w:r>
    </w:p>
    <w:p>
      <w:pPr>
        <w:pStyle w:val="Heading3"/>
      </w:pPr>
      <w:bookmarkStart w:name="b_pregunta_p2c_22_variable_externa" w:id="6228"/>
      <w:r>
        <w:t xml:space="preserve">S2-76 · 3.4 · Interdependencias sistémicas</w:t>
      </w:r>
      <w:bookmarkEnd w:id="6228"/>
    </w:p>
    <w:p>
      <w:pPr>
        <w:pStyle w:val="Normal"/>
      </w:pPr>
      <w:r>
        <w:t xml:space="preserve">En el modelo del caso de Ana, «Tiempo disponible para ejecutar las actividades» aparece rotulada como variable externa al ciclo. ¿Qué significa eso?</w:t>
      </w:r>
    </w:p>
    <w:p>
      <w:pPr>
        <w:pStyle w:val="Normal"/>
      </w:pPr>
      <w:r>
        <w:t xml:space="preserve">a) Que no influye sobre ninguna variable del modelo</w:t>
      </w:r>
    </w:p>
    <w:p>
      <w:pPr>
        <w:pStyle w:val="Normal"/>
      </w:pPr>
      <w:r>
        <w:t xml:space="preserve">b) Que influye sobre la presión del cronograma pero no recibe ninguna flecha de retorno, así que no forma parte del bucle</w:t>
      </w:r>
    </w:p>
    <w:p>
      <w:pPr>
        <w:pStyle w:val="Normal"/>
      </w:pPr>
      <w:r>
        <w:t xml:space="preserve">c) Que debe dibujarse fuera del papel</w:t>
      </w:r>
    </w:p>
    <w:p>
      <w:pPr>
        <w:pStyle w:val="Normal"/>
      </w:pPr>
      <w:r>
        <w:t xml:space="preserve">d) Que su polaridad no puede determinarse</w:t>
      </w:r>
    </w:p>
    <w:p>
      <w:pPr>
        <w:pStyle w:val="Heading3"/>
      </w:pPr>
      <w:bookmarkStart w:name="b_pregunta_p2c_23_conectividad_niveles" w:id="6229"/>
      <w:r>
        <w:t xml:space="preserve">S2-77 · 3.4 · Interdependencias sistémicas</w:t>
      </w:r>
      <w:bookmarkEnd w:id="6229"/>
    </w:p>
    <w:p>
      <w:pPr>
        <w:pStyle w:val="Normal"/>
      </w:pPr>
      <w:r>
        <w:t xml:space="preserve">Al hablar de que «todo está conectado de alguna manera con todo», la clase describió una jerarquía. ¿Cuál?</w:t>
      </w:r>
    </w:p>
    <w:p>
      <w:pPr>
        <w:pStyle w:val="Normal"/>
      </w:pPr>
      <w:r>
        <w:t xml:space="preserve">a) Eventos, patrones, estructuras y modelos mentales</w:t>
      </w:r>
    </w:p>
    <w:p>
      <w:pPr>
        <w:pStyle w:val="Normal"/>
      </w:pPr>
      <w:r>
        <w:t xml:space="preserve">b) Subsistemas que se conectan por sistemas, y sistemas que se conectan con otros de su medio formando supra y megasistemas: una telaraña de relaciones causales</w:t>
      </w:r>
    </w:p>
    <w:p>
      <w:pPr>
        <w:pStyle w:val="Normal"/>
      </w:pPr>
      <w:r>
        <w:t xml:space="preserve">c) Distinciones, sistemas, relaciones y perspectivas</w:t>
      </w:r>
    </w:p>
    <w:p>
      <w:pPr>
        <w:pStyle w:val="Normal"/>
      </w:pPr>
      <w:r>
        <w:t xml:space="preserve">d) Entradas, procesos y salidas</w:t>
      </w:r>
    </w:p>
    <w:p>
      <w:pPr>
        <w:pStyle w:val="Heading3"/>
      </w:pPr>
      <w:bookmarkStart w:name="b_pregunta_p2c_27_telarana_arrastrar" w:id="6230"/>
      <w:r>
        <w:t xml:space="preserve">S2-78 · 3.4 · Interdependencias sistémicas</w:t>
      </w:r>
      <w:bookmarkEnd w:id="6230"/>
    </w:p>
    <w:p>
      <w:pPr>
        <w:pStyle w:val="Normal"/>
      </w:pPr>
      <w:r>
        <w:t xml:space="preserve">Reparta cada elemento del vocabulario en la notación a la que pertenece.</w:t>
      </w:r>
    </w:p>
    <w:p>
      <w:pPr>
        <w:pStyle w:val="Normal"/>
      </w:pPr>
      <w:r>
        <w:t xml:space="preserve">a) Destinos: Es una variable; Es una marca sobre la relación; Es una marca del ciclo completo</w:t>
      </w:r>
    </w:p>
    <w:p>
      <w:pPr>
        <w:pStyle w:val="Normal"/>
      </w:pPr>
      <w:r>
        <w:t xml:space="preserve">b) Brecha percibida</w:t>
      </w:r>
    </w:p>
    <w:p>
      <w:pPr>
        <w:pStyle w:val="Normal"/>
      </w:pPr>
      <w:r>
        <w:t xml:space="preserve">c) Trabajo pendiente</w:t>
      </w:r>
    </w:p>
    <w:p>
      <w:pPr>
        <w:pStyle w:val="Normal"/>
      </w:pPr>
      <w:r>
        <w:t xml:space="preserve">d) El signo + o −</w:t>
      </w:r>
    </w:p>
    <w:p>
      <w:pPr>
        <w:pStyle w:val="Normal"/>
      </w:pPr>
      <w:r>
        <w:t xml:space="preserve">e) Las dos rayas paralelas</w:t>
      </w:r>
    </w:p>
    <w:p>
      <w:pPr>
        <w:pStyle w:val="Normal"/>
      </w:pPr>
      <w:r>
        <w:t xml:space="preserve">f) La cabeza de flecha</w:t>
      </w:r>
    </w:p>
    <w:p>
      <w:pPr>
        <w:pStyle w:val="Normal"/>
      </w:pPr>
      <w:r>
        <w:t xml:space="preserve">g) La letra R o B en el centro</w:t>
      </w:r>
    </w:p>
    <w:p>
      <w:pPr>
        <w:pStyle w:val="Normal"/>
      </w:pPr>
      <w:r>
        <w:t xml:space="preserve">h) La bola de nieve bajando por la montaña</w:t>
      </w:r>
    </w:p>
    <w:p>
      <w:pPr>
        <w:pStyle w:val="Heading3"/>
      </w:pPr>
      <w:bookmarkStart w:name="b_pregunta_p2c_33_causalidad_li_6bf2aebd" w:id="6231"/>
      <w:r>
        <w:t xml:space="preserve">S2-79 · 3.4 · Interdependencias sistémicas</w:t>
      </w:r>
      <w:bookmarkEnd w:id="6231"/>
    </w:p>
    <w:p>
      <w:pPr>
        <w:pStyle w:val="Normal"/>
      </w:pPr>
      <w:r>
        <w:t xml:space="preserve">Echeverri y Franco oponen dos enfoques sobre la causalidad. Clasifique cada afirmación según el enfoque al que pertenece.</w:t>
      </w:r>
    </w:p>
    <w:p>
      <w:pPr>
        <w:pStyle w:val="Normal"/>
      </w:pPr>
      <w:r>
        <w:t xml:space="preserve">a) Destinos: Enfoque lineal; Enfoque sistémico</w:t>
      </w:r>
    </w:p>
    <w:p>
      <w:pPr>
        <w:pStyle w:val="Normal"/>
      </w:pPr>
      <w:r>
        <w:t xml:space="preserve">b) Primero está la causa y luego el efecto; la causa es independiente del efecto</w:t>
      </w:r>
    </w:p>
    <w:p>
      <w:pPr>
        <w:pStyle w:val="Normal"/>
      </w:pPr>
      <w:r>
        <w:t xml:space="preserve">c) Encontrar la causa preguntando «¿por qué?» una y otra vez, en cadena</w:t>
      </w:r>
    </w:p>
    <w:p>
      <w:pPr>
        <w:pStyle w:val="Normal"/>
      </w:pPr>
      <w:r>
        <w:t xml:space="preserve">d) Pasado, presente y futuro se siguen en una recta</w:t>
      </w:r>
    </w:p>
    <w:p>
      <w:pPr>
        <w:pStyle w:val="Normal"/>
      </w:pPr>
      <w:r>
        <w:t xml:space="preserve">e) Hay producción porque hay consumo, y consumo porque hay producción: ambos se afectan</w:t>
      </w:r>
    </w:p>
    <w:p>
      <w:pPr>
        <w:pStyle w:val="Normal"/>
      </w:pPr>
      <w:r>
        <w:t xml:space="preserve">f) El fracaso conduce al éxito y el éxito conduce al fracaso</w:t>
      </w:r>
    </w:p>
    <w:p>
      <w:pPr>
        <w:pStyle w:val="Normal"/>
      </w:pPr>
      <w:r>
        <w:t xml:space="preserve">g) El futuro influye sobre el pasado: el atleta sueña el título y entrena hasta lograrlo</w:t>
      </w:r>
    </w:p>
    <w:p>
      <w:pPr>
        <w:pStyle w:val="Heading3"/>
      </w:pPr>
      <w:bookmarkStart w:name="b_pregunta_p2c_34_causa_lejos_e_8248c62f" w:id="6232"/>
      <w:r>
        <w:t xml:space="preserve">S2-80 · 3.4 · Interdependencias sistémicas</w:t>
      </w:r>
      <w:bookmarkEnd w:id="6232"/>
    </w:p>
    <w:p>
      <w:pPr>
        <w:pStyle w:val="Normal"/>
      </w:pPr>
      <w:r>
        <w:t xml:space="preserve">Echeverri y Franco recuerdan una ley del pensamiento sistémico según Senge: la causa y el efecto no están próximos en el espacio y el tiempo. ¿Qué error del pensamiento lineal ilustran con los directivos?</w:t>
      </w:r>
    </w:p>
    <w:p>
      <w:pPr>
        <w:pStyle w:val="Normal"/>
      </w:pPr>
      <w:r>
        <w:t xml:space="preserve">a) Buscar la causa donde aparece el problema y actuar sobre el síntoma: si falla la línea de producción se busca en producción, si las viviendas son inadecuadas se construyen más casas, si la alimentación es insuficiente se entrega más comida</w:t>
      </w:r>
    </w:p>
    <w:p>
      <w:pPr>
        <w:pStyle w:val="Normal"/>
      </w:pPr>
      <w:r>
        <w:t xml:space="preserve">b) Esperar demasiado antes de actuar, hasta que el problema desaparece solo</w:t>
      </w:r>
    </w:p>
    <w:p>
      <w:pPr>
        <w:pStyle w:val="Normal"/>
      </w:pPr>
      <w:r>
        <w:t xml:space="preserve">c) Culpar al pasado en vez de al futuro</w:t>
      </w:r>
    </w:p>
    <w:p>
      <w:pPr>
        <w:pStyle w:val="Normal"/>
      </w:pPr>
      <w:r>
        <w:t xml:space="preserve">d) Confundir el efecto con la causa porque el efecto es menos visible</w:t>
      </w:r>
    </w:p>
    <w:p>
      <w:pPr>
        <w:pStyle w:val="Heading3"/>
      </w:pPr>
      <w:bookmarkStart w:name="b_pregunta_p2l_corcho" w:id="6233"/>
      <w:r>
        <w:t xml:space="preserve">S2-81 · 3.4 · Interdependencias sistémicas</w:t>
      </w:r>
      <w:bookmarkEnd w:id="6233"/>
    </w:p>
    <w:p>
      <w:pPr>
        <w:pStyle w:val="Normal"/>
      </w:pPr>
      <w:r>
        <w:t xml:space="preserve">¿Cuándo es defendible estimar la posición del corcho con velocidad constante?</w:t>
      </w:r>
    </w:p>
    <w:p>
      <w:pPr>
        <w:pStyle w:val="Normal"/>
      </w:pPr>
      <w:r>
        <w:t xml:space="preserve">a) Cuando el río ideal y el flujo satisfacen los supuestos, y se reconocen las interferencias excluidas</w:t>
      </w:r>
    </w:p>
    <w:p>
      <w:pPr>
        <w:pStyle w:val="Normal"/>
      </w:pPr>
      <w:r>
        <w:t xml:space="preserve">b) En cualquier río real sin revisar sus condiciones</w:t>
      </w:r>
    </w:p>
    <w:p>
      <w:pPr>
        <w:pStyle w:val="Normal"/>
      </w:pPr>
      <w:r>
        <w:t xml:space="preserve">c) Sólo porque el caudal y la velocidad son siempre idénticos</w:t>
      </w:r>
    </w:p>
    <w:p>
      <w:pPr>
        <w:pStyle w:val="Normal"/>
      </w:pPr>
      <w:r>
        <w:t xml:space="preserve">d) Cuando se ignoran deliberadamente cambios de viento y obstáculos aun si son relevantes</w:t>
      </w:r>
    </w:p>
    <w:p>
      <w:pPr>
        <w:pStyle w:val="Heading3"/>
      </w:pPr>
      <w:r>
        <w:t xml:space="preserve">Tema 3.5 · Refuerzo y compensación</w:t>
      </w:r>
    </w:p>
    <w:p>
      <w:pPr>
        <w:pStyle w:val="Heading3"/>
      </w:pPr>
      <w:bookmarkStart w:name="b_pregunta_p2e_10_proalimentaci_162f467d" w:id="6234"/>
      <w:r>
        <w:t xml:space="preserve">S2-82 · 3.5 · Refuerzo y compensación</w:t>
      </w:r>
      <w:bookmarkEnd w:id="6234"/>
    </w:p>
    <w:p>
      <w:pPr>
        <w:pStyle w:val="Normal"/>
      </w:pPr>
      <w:r>
        <w:t xml:space="preserve">¿Qué es la proalimentación?</w:t>
      </w:r>
    </w:p>
    <w:p>
      <w:pPr>
        <w:pStyle w:val="Normal"/>
      </w:pPr>
      <w:r>
        <w:t xml:space="preserve">a) La retroalimentación que llega con retraso</w:t>
      </w:r>
    </w:p>
    <w:p>
      <w:pPr>
        <w:pStyle w:val="Normal"/>
      </w:pPr>
      <w:r>
        <w:t xml:space="preserve">b) Cuando el efecto anticipado de un futuro que todavía no ha ocurrido genera la causa del presente que, de no ser así, no se habría producido</w:t>
      </w:r>
    </w:p>
    <w:p>
      <w:pPr>
        <w:pStyle w:val="Normal"/>
      </w:pPr>
      <w:r>
        <w:t xml:space="preserve">c) La suma de dos ciclos de refuerzo</w:t>
      </w:r>
    </w:p>
    <w:p>
      <w:pPr>
        <w:pStyle w:val="Normal"/>
      </w:pPr>
      <w:r>
        <w:t xml:space="preserve">d) La retroalimentación entre dos sistemas distintos</w:t>
      </w:r>
    </w:p>
    <w:p>
      <w:pPr>
        <w:pStyle w:val="Heading3"/>
      </w:pPr>
      <w:bookmarkStart w:name="b_pregunta_p2e_11_proalimentacion_tipos" w:id="6235"/>
      <w:r>
        <w:t xml:space="preserve">S2-83 · 3.5 · Refuerzo y compensación</w:t>
      </w:r>
      <w:bookmarkEnd w:id="6235"/>
    </w:p>
    <w:p>
      <w:pPr>
        <w:pStyle w:val="Normal"/>
      </w:pPr>
      <w:r>
        <w:t xml:space="preserve">Relacione cada tipo de proalimentación con lo que le ocurre a la predicción.</w:t>
      </w:r>
    </w:p>
    <w:p>
      <w:pPr>
        <w:pStyle w:val="Normal"/>
      </w:pPr>
      <w:r>
        <w:t xml:space="preserve">a) Fila: Proalimentación de compensación</w:t>
      </w:r>
    </w:p>
    <w:p>
      <w:pPr>
        <w:pStyle w:val="Normal"/>
      </w:pPr>
      <w:r>
        <w:t xml:space="preserve">b) Fila: Proalimentación de refuerzo</w:t>
      </w:r>
    </w:p>
    <w:p>
      <w:pPr>
        <w:pStyle w:val="Normal"/>
      </w:pPr>
      <w:r>
        <w:t xml:space="preserve">c) a) La anticipación conduce al sistema hacia el estado predicho: la predicción se cumple</w:t>
      </w:r>
    </w:p>
    <w:p>
      <w:pPr>
        <w:pStyle w:val="Normal"/>
      </w:pPr>
      <w:r>
        <w:t xml:space="preserve">d) b) La anticipación aparta al sistema del estado predicho: se produce una profecía contraproducente</w:t>
      </w:r>
    </w:p>
    <w:p>
      <w:pPr>
        <w:pStyle w:val="Normal"/>
      </w:pPr>
      <w:r>
        <w:t xml:space="preserve">e) c) La anticipación no modifica el comportamiento del sistema</w:t>
      </w:r>
    </w:p>
    <w:p>
      <w:pPr>
        <w:pStyle w:val="Normal"/>
      </w:pPr>
      <w:r>
        <w:t xml:space="preserve">f) d) La anticipación produce el efecto sólo después de una demora</w:t>
      </w:r>
    </w:p>
    <w:p>
      <w:pPr>
        <w:pStyle w:val="Heading3"/>
      </w:pPr>
      <w:bookmarkStart w:name="b_pregunta_p2e_12_seis_categorias" w:id="6236"/>
      <w:r>
        <w:t xml:space="preserve">S2-84 · 3.5 · Refuerzo y compensación</w:t>
      </w:r>
      <w:bookmarkEnd w:id="6236"/>
    </w:p>
    <w:p>
      <w:pPr>
        <w:pStyle w:val="Normal"/>
      </w:pPr>
      <w:r>
        <w:t xml:space="preserve">¿Cuáles de estas son categorías de comportamiento circular que la clase enumeró al cerrar el tema?</w:t>
      </w:r>
    </w:p>
    <w:p>
      <w:pPr>
        <w:pStyle w:val="Normal"/>
      </w:pPr>
      <w:r>
        <w:t xml:space="preserve">a) Ciclo de retroalimentación de refuerzo</w:t>
      </w:r>
    </w:p>
    <w:p>
      <w:pPr>
        <w:pStyle w:val="Normal"/>
      </w:pPr>
      <w:r>
        <w:t xml:space="preserve">b) Ciclo de retroalimentación de compensación</w:t>
      </w:r>
    </w:p>
    <w:p>
      <w:pPr>
        <w:pStyle w:val="Normal"/>
      </w:pPr>
      <w:r>
        <w:t xml:space="preserve">c) Ciclo virtuoso y ciclo vicioso</w:t>
      </w:r>
    </w:p>
    <w:p>
      <w:pPr>
        <w:pStyle w:val="Normal"/>
      </w:pPr>
      <w:r>
        <w:t xml:space="preserve">d) Proalimentación de refuerzo y de compensación</w:t>
      </w:r>
    </w:p>
    <w:p>
      <w:pPr>
        <w:pStyle w:val="Normal"/>
      </w:pPr>
      <w:r>
        <w:t xml:space="preserve">e) Ciclo de entropía</w:t>
      </w:r>
    </w:p>
    <w:p>
      <w:pPr>
        <w:pStyle w:val="Heading3"/>
      </w:pPr>
      <w:bookmarkStart w:name="b_pregunta_p2l_confianza" w:id="6237"/>
      <w:r>
        <w:t xml:space="preserve">S2-85 · 3.5 · Refuerzo y compensación</w:t>
      </w:r>
      <w:bookmarkEnd w:id="6237"/>
    </w:p>
    <w:p>
      <w:pPr>
        <w:pStyle w:val="Normal"/>
      </w:pPr>
      <w:r>
        <w:t xml:space="preserve">Si el ciclo de confianza persigue un objetivo pero tiene cuatro influencias positivas, ¿qué tipo tiene?</w:t>
      </w:r>
    </w:p>
    <w:p>
      <w:pPr>
        <w:pStyle w:val="Normal"/>
      </w:pPr>
      <w:r>
        <w:t xml:space="preserve">a) Balance por el simple hecho de tener objetivo</w:t>
      </w:r>
    </w:p>
    <w:p>
      <w:pPr>
        <w:pStyle w:val="Normal"/>
      </w:pPr>
      <w:r>
        <w:t xml:space="preserve">b) Indeterminado porque cuatro positivas equivalen a una negativa</w:t>
      </w:r>
    </w:p>
    <w:p>
      <w:pPr>
        <w:pStyle w:val="Normal"/>
      </w:pPr>
      <w:r>
        <w:t xml:space="preserve">c) No es un ciclo aunque el recorrido cierre</w:t>
      </w:r>
    </w:p>
    <w:p>
      <w:pPr>
        <w:pStyle w:val="Normal"/>
      </w:pPr>
      <w:r>
        <w:t xml:space="preserve">d) Refuerzo: el objetivo no sustituye el conteo de signos</w:t>
      </w:r>
    </w:p>
    <w:p>
      <w:pPr>
        <w:pStyle w:val="Heading3"/>
      </w:pPr>
      <w:bookmarkStart w:name="b_pregunta_p2l_reservorio" w:id="6238"/>
      <w:r>
        <w:t xml:space="preserve">S2-86 · 3.5 · Refuerzo y compensación</w:t>
      </w:r>
      <w:bookmarkEnd w:id="6238"/>
    </w:p>
    <w:p>
      <w:pPr>
        <w:pStyle w:val="Normal"/>
      </w:pPr>
      <w:r>
        <w:t xml:space="preserve">¿Qué reduce el flujo entre reservorio y estanque comunicados al acercarse al equilibrio?</w:t>
      </w:r>
    </w:p>
    <w:p>
      <w:pPr>
        <w:pStyle w:val="Normal"/>
      </w:pPr>
      <w:r>
        <w:t xml:space="preserve">a) Un controlador con meta que la figura dibuja explícitamente</w:t>
      </w:r>
    </w:p>
    <w:p>
      <w:pPr>
        <w:pStyle w:val="Normal"/>
      </w:pPr>
      <w:r>
        <w:t xml:space="preserve">b) La disminución de la diferencia entre sus niveles</w:t>
      </w:r>
    </w:p>
    <w:p>
      <w:pPr>
        <w:pStyle w:val="Normal"/>
      </w:pPr>
      <w:r>
        <w:t xml:space="preserve">c) El aumento ilimitado de la diferencia de niveles</w:t>
      </w:r>
    </w:p>
    <w:p>
      <w:pPr>
        <w:pStyle w:val="Normal"/>
      </w:pPr>
      <w:r>
        <w:t xml:space="preserve">d) La ausencia de conexión entre ambos recipientes</w:t>
      </w:r>
    </w:p>
    <w:p>
      <w:pPr>
        <w:pStyle w:val="Heading3"/>
      </w:pPr>
      <w:bookmarkStart w:name="b_pregunta_p2l_sobrecarga" w:id="6239"/>
      <w:r>
        <w:t xml:space="preserve">S2-87 · 3.5 · Refuerzo y compensación</w:t>
      </w:r>
      <w:bookmarkEnd w:id="6239"/>
    </w:p>
    <w:p>
      <w:pPr>
        <w:pStyle w:val="Normal"/>
      </w:pPr>
      <w:r>
        <w:t xml:space="preserve">¿Por qué sobrecarga → falta de atención → trabajo sin hacer → problemas → sobrecarga es R?</w:t>
      </w:r>
    </w:p>
    <w:p>
      <w:pPr>
        <w:pStyle w:val="Normal"/>
      </w:pPr>
      <w:r>
        <w:t xml:space="preserve">a) Porque todo problema define automáticamente un B</w:t>
      </w:r>
    </w:p>
    <w:p>
      <w:pPr>
        <w:pStyle w:val="Normal"/>
      </w:pPr>
      <w:r>
        <w:t xml:space="preserve">b) Porque el recorrido nunca vuelve al inicio</w:t>
      </w:r>
    </w:p>
    <w:p>
      <w:pPr>
        <w:pStyle w:val="Normal"/>
      </w:pPr>
      <w:r>
        <w:t xml:space="preserve">c) Porque las influencias del recorrido son positivas y el retorno amplifica la sobrecarga inicial</w:t>
      </w:r>
    </w:p>
    <w:p>
      <w:pPr>
        <w:pStyle w:val="Normal"/>
      </w:pPr>
      <w:r>
        <w:t xml:space="preserve">d) Porque hay una sola relación negativa</w:t>
      </w:r>
    </w:p>
    <w:p>
      <w:pPr>
        <w:pStyle w:val="Heading3"/>
      </w:pPr>
      <w:bookmarkStart w:name="b_pregunta_p2p_01_signo_mas" w:id="6240"/>
      <w:r>
        <w:t xml:space="preserve">S2-88 · 3.5 · Refuerzo y compensación</w:t>
      </w:r>
      <w:bookmarkEnd w:id="6240"/>
    </w:p>
    <w:p>
      <w:pPr>
        <w:pStyle w:val="Normal"/>
      </w:pPr>
      <w:r>
        <w:t xml:space="preserve">¿Qué afirma una flecha con signo + entre dos variables?</w:t>
      </w:r>
    </w:p>
    <w:p>
      <w:pPr>
        <w:pStyle w:val="Normal"/>
      </w:pPr>
      <w:r>
        <w:t xml:space="preserve">a) Que la relación es beneficiosa para el sistema</w:t>
      </w:r>
    </w:p>
    <w:p>
      <w:pPr>
        <w:pStyle w:val="Normal"/>
      </w:pPr>
      <w:r>
        <w:t xml:space="preserve">b) Que si la causa aumenta el efecto aumenta, y si la causa disminuye el efecto disminuye: las dos se mueven en el mismo sentido</w:t>
      </w:r>
    </w:p>
    <w:p>
      <w:pPr>
        <w:pStyle w:val="Normal"/>
      </w:pPr>
      <w:r>
        <w:t xml:space="preserve">c) Que la relación es más fuerte que una con signo −</w:t>
      </w:r>
    </w:p>
    <w:p>
      <w:pPr>
        <w:pStyle w:val="Normal"/>
      </w:pPr>
      <w:r>
        <w:t xml:space="preserve">d) Que la variable de la punta siempre crece</w:t>
      </w:r>
    </w:p>
    <w:p>
      <w:pPr>
        <w:pStyle w:val="Heading3"/>
      </w:pPr>
      <w:bookmarkStart w:name="b_pregunta_p2p_02_signo_menos" w:id="6241"/>
      <w:r>
        <w:t xml:space="preserve">S2-89 · 3.5 · Refuerzo y compensación</w:t>
      </w:r>
      <w:bookmarkEnd w:id="6241"/>
    </w:p>
    <w:p>
      <w:pPr>
        <w:pStyle w:val="Normal"/>
      </w:pPr>
      <w:r>
        <w:t xml:space="preserve">¿Y una flecha con signo −?</w:t>
      </w:r>
    </w:p>
    <w:p>
      <w:pPr>
        <w:pStyle w:val="Normal"/>
      </w:pPr>
      <w:r>
        <w:t xml:space="preserve">a) Que la relación perjudica al sistema</w:t>
      </w:r>
    </w:p>
    <w:p>
      <w:pPr>
        <w:pStyle w:val="Normal"/>
      </w:pPr>
      <w:r>
        <w:t xml:space="preserve">b) Que la causa y el efecto se mueven en sentidos opuestos: si una sube, la otra baja</w:t>
      </w:r>
    </w:p>
    <w:p>
      <w:pPr>
        <w:pStyle w:val="Normal"/>
      </w:pPr>
      <w:r>
        <w:t xml:space="preserve">c) Que la relación no siempre se cumple</w:t>
      </w:r>
    </w:p>
    <w:p>
      <w:pPr>
        <w:pStyle w:val="Normal"/>
      </w:pPr>
      <w:r>
        <w:t xml:space="preserve">d) Que la variable de la punta disminuye siempre</w:t>
      </w:r>
    </w:p>
    <w:p>
      <w:pPr>
        <w:pStyle w:val="Heading3"/>
      </w:pPr>
      <w:bookmarkStart w:name="b_pregunta_p2p_03_regla_par_impar" w:id="6242"/>
      <w:r>
        <w:t xml:space="preserve">S2-90 · 3.5 · Refuerzo y compensación</w:t>
      </w:r>
      <w:bookmarkEnd w:id="6242"/>
    </w:p>
    <w:p>
      <w:pPr>
        <w:pStyle w:val="Normal"/>
      </w:pPr>
      <w:r>
        <w:t xml:space="preserve">Un ciclo cerrado tiene tres relaciones negativas y dos positivas. ¿De qué tipo es?</w:t>
      </w:r>
    </w:p>
    <w:p>
      <w:pPr>
        <w:pStyle w:val="Normal"/>
      </w:pPr>
      <w:r>
        <w:t xml:space="preserve">a) De refuerzo, porque hay más positivas que negativas en términos de efecto</w:t>
      </w:r>
    </w:p>
    <w:p>
      <w:pPr>
        <w:pStyle w:val="Normal"/>
      </w:pPr>
      <w:r>
        <w:t xml:space="preserve">b) De balance, porque el número de relaciones negativas es impar</w:t>
      </w:r>
    </w:p>
    <w:p>
      <w:pPr>
        <w:pStyle w:val="Normal"/>
      </w:pPr>
      <w:r>
        <w:t xml:space="preserve">c) De refuerzo, porque el número total de relaciones es impar</w:t>
      </w:r>
    </w:p>
    <w:p>
      <w:pPr>
        <w:pStyle w:val="Normal"/>
      </w:pPr>
      <w:r>
        <w:t xml:space="preserve">d) No se puede saber sin conocer los nombres de las variables</w:t>
      </w:r>
    </w:p>
    <w:p>
      <w:pPr>
        <w:pStyle w:val="Heading3"/>
      </w:pPr>
      <w:bookmarkStart w:name="b_pregunta_p2p_04_dos_negativas_0d93dc3d" w:id="6243"/>
      <w:r>
        <w:t xml:space="preserve">S2-91 · 3.5 · Refuerzo y compensación</w:t>
      </w:r>
      <w:bookmarkEnd w:id="6243"/>
    </w:p>
    <w:p>
      <w:pPr>
        <w:pStyle w:val="Normal"/>
      </w:pPr>
      <w:r>
        <w:t xml:space="preserve">«A mayor desarrollo, menos pobreza; a menos pobreza, más oferta de energía». ¿Qué tipo de influencia global producen esas dos relaciones negativas encadenadas?</w:t>
      </w:r>
    </w:p>
    <w:p>
      <w:pPr>
        <w:pStyle w:val="Normal"/>
      </w:pPr>
      <w:r>
        <w:t xml:space="preserve">a) Una influencia negativa, porque se suman dos signos menos</w:t>
      </w:r>
    </w:p>
    <w:p>
      <w:pPr>
        <w:pStyle w:val="Normal"/>
      </w:pPr>
      <w:r>
        <w:t xml:space="preserve">b) Una influencia positiva de refuerzo: las dos compensaciones se anulan entre sí</w:t>
      </w:r>
    </w:p>
    <w:p>
      <w:pPr>
        <w:pStyle w:val="Normal"/>
      </w:pPr>
      <w:r>
        <w:t xml:space="preserve">c) Ninguna influencia: se cancelan y la cadena queda neutra</w:t>
      </w:r>
    </w:p>
    <w:p>
      <w:pPr>
        <w:pStyle w:val="Normal"/>
      </w:pPr>
      <w:r>
        <w:t xml:space="preserve">d) Depende de cuál de las dos relaciones sea más intensa</w:t>
      </w:r>
    </w:p>
    <w:p>
      <w:pPr>
        <w:pStyle w:val="Heading3"/>
      </w:pPr>
      <w:bookmarkStart w:name="b_pregunta_p2p_05_banco_cuatro_negativas" w:id="6244"/>
      <w:r>
        <w:t xml:space="preserve">S2-92 · 3.5 · Refuerzo y compensación</w:t>
      </w:r>
      <w:bookmarkEnd w:id="6244"/>
    </w:p>
    <w:p>
      <w:pPr>
        <w:pStyle w:val="Normal"/>
      </w:pPr>
      <w:r>
        <w:t xml:space="preserve">El ciclo «Fallas del banco →− Confianza de los inversionistas →− Retiros del banco →− Solvencia →− Fallas del banco» tiene cuatro relaciones negativas. ¿Qué tipo de ciclo es y qué describe?</w:t>
      </w:r>
    </w:p>
    <w:p>
      <w:pPr>
        <w:pStyle w:val="Normal"/>
      </w:pPr>
      <w:r>
        <w:t xml:space="preserve">a) De balance: las cuatro negativas estabilizan el banco</w:t>
      </w:r>
    </w:p>
    <w:p>
      <w:pPr>
        <w:pStyle w:val="Normal"/>
      </w:pPr>
      <w:r>
        <w:t xml:space="preserve">b) De refuerzo: cuatro es par, y la historia describe una espiral que puede llevar a la quiebra o, al revés, a consolidar la solidez</w:t>
      </w:r>
    </w:p>
    <w:p>
      <w:pPr>
        <w:pStyle w:val="Normal"/>
      </w:pPr>
      <w:r>
        <w:t xml:space="preserve">c) De balance, porque toda estructura financiera busca el equilibrio</w:t>
      </w:r>
    </w:p>
    <w:p>
      <w:pPr>
        <w:pStyle w:val="Normal"/>
      </w:pPr>
      <w:r>
        <w:t xml:space="preserve">d) No es un ciclo, porque la solvencia es una variable externa</w:t>
      </w:r>
    </w:p>
    <w:p>
      <w:pPr>
        <w:pStyle w:val="Heading3"/>
      </w:pPr>
      <w:bookmarkStart w:name="b_pregunta_p2p_06_simplificar_c_5a58cd09" w:id="6245"/>
      <w:r>
        <w:t xml:space="preserve">S2-93 · 3.5 · Refuerzo y compensación</w:t>
      </w:r>
      <w:bookmarkEnd w:id="6245"/>
    </w:p>
    <w:p>
      <w:pPr>
        <w:pStyle w:val="Normal"/>
      </w:pPr>
      <w:r>
        <w:t xml:space="preserve">Si del ciclo del banco se eliminan las variables intermedias y queda «Fallas del banco →+ Retiros →+ Fallas del banco», ¿qué ha cambiado?</w:t>
      </w:r>
    </w:p>
    <w:p>
      <w:pPr>
        <w:pStyle w:val="Normal"/>
      </w:pPr>
      <w:r>
        <w:t xml:space="preserve">a) El tipo de ciclo: pasa de refuerzo a balance</w:t>
      </w:r>
    </w:p>
    <w:p>
      <w:pPr>
        <w:pStyle w:val="Normal"/>
      </w:pPr>
      <w:r>
        <w:t xml:space="preserve">b) Nada en el efecto global, que sigue siendo de refuerzo, pero se pierde el detalle de por qué ocurre esa relación causal</w:t>
      </w:r>
    </w:p>
    <w:p>
      <w:pPr>
        <w:pStyle w:val="Normal"/>
      </w:pPr>
      <w:r>
        <w:t xml:space="preserve">c) El modelo queda mal, porque un ciclo necesita al menos cuatro variables</w:t>
      </w:r>
    </w:p>
    <w:p>
      <w:pPr>
        <w:pStyle w:val="Normal"/>
      </w:pPr>
      <w:r>
        <w:t xml:space="preserve">d) Se vuelve un ciclo con demora</w:t>
      </w:r>
    </w:p>
    <w:p>
      <w:pPr>
        <w:pStyle w:val="Heading3"/>
      </w:pPr>
      <w:bookmarkStart w:name="b_pregunta_p2p_07_balance_busca_objetivo" w:id="6246"/>
      <w:r>
        <w:t xml:space="preserve">S2-94 · 3.5 · Refuerzo y compensación</w:t>
      </w:r>
      <w:bookmarkEnd w:id="6246"/>
    </w:p>
    <w:p>
      <w:pPr>
        <w:pStyle w:val="Normal"/>
      </w:pPr>
      <w:r>
        <w:t xml:space="preserve">¿Cuál es la propiedad emergente de un ciclo de balance, según como lo formuló la clase?</w:t>
      </w:r>
    </w:p>
    <w:p>
      <w:pPr>
        <w:pStyle w:val="Normal"/>
      </w:pPr>
      <w:r>
        <w:t xml:space="preserve">a) Que crece cada vez más rápido</w:t>
      </w:r>
    </w:p>
    <w:p>
      <w:pPr>
        <w:pStyle w:val="Normal"/>
      </w:pPr>
      <w:r>
        <w:t xml:space="preserve">b) Que alcanza una meta u objetivo y se mantiene ahí, en un rango estable de valores</w:t>
      </w:r>
    </w:p>
    <w:p>
      <w:pPr>
        <w:pStyle w:val="Normal"/>
      </w:pPr>
      <w:r>
        <w:t xml:space="preserve">c) Que desaparece después de unas cuantas vueltas</w:t>
      </w:r>
    </w:p>
    <w:p>
      <w:pPr>
        <w:pStyle w:val="Normal"/>
      </w:pPr>
      <w:r>
        <w:t xml:space="preserve">d) Que invierte su polaridad periódicamente</w:t>
      </w:r>
    </w:p>
    <w:p>
      <w:pPr>
        <w:pStyle w:val="Heading3"/>
      </w:pPr>
      <w:bookmarkStart w:name="b_pregunta_p2p_08_refuerzo_sin_objetivo" w:id="6247"/>
      <w:r>
        <w:t xml:space="preserve">S2-95 · 3.5 · Refuerzo y compensación</w:t>
      </w:r>
      <w:bookmarkEnd w:id="6247"/>
    </w:p>
    <w:p>
      <w:pPr>
        <w:pStyle w:val="Normal"/>
      </w:pPr>
      <w:r>
        <w:t xml:space="preserve">¿Y cuál es el comportamiento de un ciclo de refuerzo?</w:t>
      </w:r>
    </w:p>
    <w:p>
      <w:pPr>
        <w:pStyle w:val="Normal"/>
      </w:pPr>
      <w:r>
        <w:t xml:space="preserve">a) Buscar un objetivo implícito y mantenerse cerca de él</w:t>
      </w:r>
    </w:p>
    <w:p>
      <w:pPr>
        <w:pStyle w:val="Normal"/>
      </w:pPr>
      <w:r>
        <w:t xml:space="preserve">b) Amplificar el cambio inicial: las variables crecen o decrecen indefinidamente mientras nada lo restrinja</w:t>
      </w:r>
    </w:p>
    <w:p>
      <w:pPr>
        <w:pStyle w:val="Normal"/>
      </w:pPr>
      <w:r>
        <w:t xml:space="preserve">c) Oscilar alrededor de un valor medio</w:t>
      </w:r>
    </w:p>
    <w:p>
      <w:pPr>
        <w:pStyle w:val="Normal"/>
      </w:pPr>
      <w:r>
        <w:t xml:space="preserve">d) Mantener las variables constantes</w:t>
      </w:r>
    </w:p>
    <w:p>
      <w:pPr>
        <w:pStyle w:val="Heading3"/>
      </w:pPr>
      <w:bookmarkStart w:name="b_pregunta_p2p_09_virtuoso_vicioso" w:id="6248"/>
      <w:r>
        <w:t xml:space="preserve">S2-96 · 3.5 · Refuerzo y compensación</w:t>
      </w:r>
      <w:bookmarkEnd w:id="6248"/>
    </w:p>
    <w:p>
      <w:pPr>
        <w:pStyle w:val="Normal"/>
      </w:pPr>
      <w:r>
        <w:t xml:space="preserve">¿Qué distingue un círculo virtuoso de un círculo vicioso?</w:t>
      </w:r>
    </w:p>
    <w:p>
      <w:pPr>
        <w:pStyle w:val="Normal"/>
      </w:pPr>
      <w:r>
        <w:t xml:space="preserve">a) El virtuoso es de refuerzo y el vicioso es de balance</w:t>
      </w:r>
    </w:p>
    <w:p>
      <w:pPr>
        <w:pStyle w:val="Normal"/>
      </w:pPr>
      <w:r>
        <w:t xml:space="preserve">b) Nada en su estructura: los dos son ciclos de refuerzo y la diferencia está en la valoración de las consecuencias</w:t>
      </w:r>
    </w:p>
    <w:p>
      <w:pPr>
        <w:pStyle w:val="Normal"/>
      </w:pPr>
      <w:r>
        <w:t xml:space="preserve">c) El virtuoso tiene signos positivos y el vicioso, negativos</w:t>
      </w:r>
    </w:p>
    <w:p>
      <w:pPr>
        <w:pStyle w:val="Normal"/>
      </w:pPr>
      <w:r>
        <w:t xml:space="preserve">d) El virtuoso ocurre en sistemas naturales y el vicioso en sistemas humanos</w:t>
      </w:r>
    </w:p>
    <w:p>
      <w:pPr>
        <w:pStyle w:val="Heading3"/>
      </w:pPr>
      <w:bookmarkStart w:name="b_pregunta_p2p_10_sed" w:id="6249"/>
      <w:r>
        <w:t xml:space="preserve">S2-97 · 3.5 · Refuerzo y compensación</w:t>
      </w:r>
      <w:bookmarkEnd w:id="6249"/>
    </w:p>
    <w:p>
      <w:pPr>
        <w:pStyle w:val="Normal"/>
      </w:pPr>
      <w:r>
        <w:t xml:space="preserve">En el ciclo «Sed →+ Tomar agua →+ Contenido de agua en el cuerpo →? Sed», ¿qué polaridad lleva la última flecha y qué tipo de ciclo resulta?</w:t>
      </w:r>
    </w:p>
    <w:p>
      <w:pPr>
        <w:pStyle w:val="Normal"/>
      </w:pPr>
      <w:r>
        <w:t xml:space="preserve">a) Positiva; ciclo de refuerzo</w:t>
      </w:r>
    </w:p>
    <w:p>
      <w:pPr>
        <w:pStyle w:val="Normal"/>
      </w:pPr>
      <w:r>
        <w:t xml:space="preserve">b) Negativa; ciclo de balance, porque una sola relación negativa es un número impar</w:t>
      </w:r>
    </w:p>
    <w:p>
      <w:pPr>
        <w:pStyle w:val="Normal"/>
      </w:pPr>
      <w:r>
        <w:t xml:space="preserve">c) Negativa; ciclo de refuerzo</w:t>
      </w:r>
    </w:p>
    <w:p>
      <w:pPr>
        <w:pStyle w:val="Normal"/>
      </w:pPr>
      <w:r>
        <w:t xml:space="preserve">d) Positiva; ciclo de balance</w:t>
      </w:r>
    </w:p>
    <w:p>
      <w:pPr>
        <w:pStyle w:val="Heading3"/>
      </w:pPr>
      <w:bookmarkStart w:name="b_pregunta_p2p_11_valvula_de_flote" w:id="6250"/>
      <w:r>
        <w:t xml:space="preserve">S2-98 · 3.5 · Refuerzo y compensación</w:t>
      </w:r>
      <w:bookmarkEnd w:id="6250"/>
    </w:p>
    <w:p>
      <w:pPr>
        <w:pStyle w:val="Normal"/>
      </w:pPr>
      <w:r>
        <w:t xml:space="preserve">En el tanque con válvula de flote, ¿qué polaridad tiene la relación «Nivel de la válvula de flote → Flujo de agua», y por qué?</w:t>
      </w:r>
    </w:p>
    <w:p>
      <w:pPr>
        <w:pStyle w:val="Normal"/>
      </w:pPr>
      <w:r>
        <w:t xml:space="preserve">a) Positiva: cuanto más sube la válvula, más agua entra</w:t>
      </w:r>
    </w:p>
    <w:p>
      <w:pPr>
        <w:pStyle w:val="Normal"/>
      </w:pPr>
      <w:r>
        <w:t xml:space="preserve">b) Negativa: al subir la válvula el flujo se cierra, y al bajar la válvula el flujo se abre</w:t>
      </w:r>
    </w:p>
    <w:p>
      <w:pPr>
        <w:pStyle w:val="Normal"/>
      </w:pPr>
      <w:r>
        <w:t xml:space="preserve">c) No tiene polaridad: es una relación mecánica</w:t>
      </w:r>
    </w:p>
    <w:p>
      <w:pPr>
        <w:pStyle w:val="Normal"/>
      </w:pPr>
      <w:r>
        <w:t xml:space="preserve">d) Depende de la presión del agua</w:t>
      </w:r>
    </w:p>
    <w:p>
      <w:pPr>
        <w:pStyle w:val="Heading3"/>
      </w:pPr>
      <w:bookmarkStart w:name="b_pregunta_p2p_12_cuenta_bancaria" w:id="6251"/>
      <w:r>
        <w:t xml:space="preserve">S2-99 · 3.5 · Refuerzo y compensación</w:t>
      </w:r>
      <w:bookmarkEnd w:id="6251"/>
    </w:p>
    <w:p>
      <w:pPr>
        <w:pStyle w:val="Normal"/>
      </w:pPr>
      <w:r>
        <w:t xml:space="preserve">El ciclo «Ahorros →+ Interés →+ Ahorros» describe el crecimiento de una cuenta. ¿Qué tipo de ciclo es y qué comportamiento produce?</w:t>
      </w:r>
    </w:p>
    <w:p>
      <w:pPr>
        <w:pStyle w:val="Normal"/>
      </w:pPr>
      <w:r>
        <w:t xml:space="preserve">a) De balance: los ahorros se estabilizan en un valor</w:t>
      </w:r>
    </w:p>
    <w:p>
      <w:pPr>
        <w:pStyle w:val="Normal"/>
      </w:pPr>
      <w:r>
        <w:t xml:space="preserve">b) De refuerzo: sin negativas, el saldo crece cada vez más rápido, con forma exponencial</w:t>
      </w:r>
    </w:p>
    <w:p>
      <w:pPr>
        <w:pStyle w:val="Normal"/>
      </w:pPr>
      <w:r>
        <w:t xml:space="preserve">c) De refuerzo, pero el crecimiento es lineal</w:t>
      </w:r>
    </w:p>
    <w:p>
      <w:pPr>
        <w:pStyle w:val="Normal"/>
      </w:pPr>
      <w:r>
        <w:t xml:space="preserve">d) No es un ciclo: el interés depende del banco, no del saldo</w:t>
      </w:r>
    </w:p>
    <w:p>
      <w:pPr>
        <w:pStyle w:val="Heading3"/>
      </w:pPr>
      <w:bookmarkStart w:name="b_pregunta_p2p_13_hambre" w:id="6252"/>
      <w:r>
        <w:t xml:space="preserve">S2-100 · 3.5 · Refuerzo y compensación</w:t>
      </w:r>
      <w:bookmarkEnd w:id="6252"/>
    </w:p>
    <w:p>
      <w:pPr>
        <w:pStyle w:val="Normal"/>
      </w:pPr>
      <w:r>
        <w:t xml:space="preserve">El ciclo «Hambre →+ Consumo de alimentos →− Hambre» lleva una B en el centro. ¿Qué describe esa B?</w:t>
      </w:r>
    </w:p>
    <w:p>
      <w:pPr>
        <w:pStyle w:val="Normal"/>
      </w:pPr>
      <w:r>
        <w:t xml:space="preserve">a) Que es un ciclo de balance: el sistema alcanza un estado estable de saciedad y ahí se detiene</w:t>
      </w:r>
    </w:p>
    <w:p>
      <w:pPr>
        <w:pStyle w:val="Normal"/>
      </w:pPr>
      <w:r>
        <w:t xml:space="preserve">b) Que la relación es biológica</w:t>
      </w:r>
    </w:p>
    <w:p>
      <w:pPr>
        <w:pStyle w:val="Normal"/>
      </w:pPr>
      <w:r>
        <w:t xml:space="preserve">c) Que la variable principal es el hambre</w:t>
      </w:r>
    </w:p>
    <w:p>
      <w:pPr>
        <w:pStyle w:val="Normal"/>
      </w:pPr>
      <w:r>
        <w:t xml:space="preserve">d) Que el ciclo se repite una vez al día</w:t>
      </w:r>
    </w:p>
    <w:p>
      <w:pPr>
        <w:pStyle w:val="Heading3"/>
      </w:pPr>
      <w:bookmarkStart w:name="b_pregunta_p2p_14_caida_libre" w:id="6253"/>
      <w:r>
        <w:t xml:space="preserve">S2-101 · 3.5 · Refuerzo y compensación</w:t>
      </w:r>
      <w:bookmarkEnd w:id="6253"/>
    </w:p>
    <w:p>
      <w:pPr>
        <w:pStyle w:val="Normal"/>
      </w:pPr>
      <w:r>
        <w:t xml:space="preserve">En el ciclo de la caída libre —«Velocidad del objeto →+ Resistencia del aire →− Velocidad del objeto»—, con la aceleración gravitacional entrando desde fuera, ¿qué comportamiento se produce?</w:t>
      </w:r>
    </w:p>
    <w:p>
      <w:pPr>
        <w:pStyle w:val="Normal"/>
      </w:pPr>
      <w:r>
        <w:t xml:space="preserve">a) La velocidad crece sin límite mientras el objeto caiga</w:t>
      </w:r>
    </w:p>
    <w:p>
      <w:pPr>
        <w:pStyle w:val="Normal"/>
      </w:pPr>
      <w:r>
        <w:t xml:space="preserve">b) La velocidad crece hasta estabilizarse en un valor, porque la resistencia del aire compensa la aceleración</w:t>
      </w:r>
    </w:p>
    <w:p>
      <w:pPr>
        <w:pStyle w:val="Normal"/>
      </w:pPr>
      <w:r>
        <w:t xml:space="preserve">c) La velocidad oscila entre dos valores</w:t>
      </w:r>
    </w:p>
    <w:p>
      <w:pPr>
        <w:pStyle w:val="Normal"/>
      </w:pPr>
      <w:r>
        <w:t xml:space="preserve">d) El objeto se detiene en el aire</w:t>
      </w:r>
    </w:p>
    <w:p>
      <w:pPr>
        <w:pStyle w:val="Heading3"/>
      </w:pPr>
      <w:bookmarkStart w:name="b_pregunta_p2p_15_poblacion_dos_ciclos" w:id="6254"/>
      <w:r>
        <w:t xml:space="preserve">S2-102 · 3.5 · Refuerzo y compensación</w:t>
      </w:r>
      <w:bookmarkEnd w:id="6254"/>
    </w:p>
    <w:p>
      <w:pPr>
        <w:pStyle w:val="Normal"/>
      </w:pPr>
      <w:r>
        <w:t xml:space="preserve">El diagrama clásico de la población tiene dos ciclos: nacimientos y muertes. ¿Cómo se clasifican?</w:t>
      </w:r>
    </w:p>
    <w:p>
      <w:pPr>
        <w:pStyle w:val="Normal"/>
      </w:pPr>
      <w:r>
        <w:t xml:space="preserve">a) Los dos son de refuerzo</w:t>
      </w:r>
    </w:p>
    <w:p>
      <w:pPr>
        <w:pStyle w:val="Normal"/>
      </w:pPr>
      <w:r>
        <w:t xml:space="preserve">b) Nacimientos es de refuerzo —más población, más nacimientos, más población— y muertes es de balance, porque más muertes reducen la población</w:t>
      </w:r>
    </w:p>
    <w:p>
      <w:pPr>
        <w:pStyle w:val="Normal"/>
      </w:pPr>
      <w:r>
        <w:t xml:space="preserve">c) Los dos son de balance</w:t>
      </w:r>
    </w:p>
    <w:p>
      <w:pPr>
        <w:pStyle w:val="Normal"/>
      </w:pPr>
      <w:r>
        <w:t xml:space="preserve">d) Nacimientos es de balance y muertes de refuerzo</w:t>
      </w:r>
    </w:p>
    <w:p>
      <w:pPr>
        <w:pStyle w:val="Heading3"/>
      </w:pPr>
      <w:bookmarkStart w:name="b_pregunta_p2p_16_ballenas" w:id="6255"/>
      <w:r>
        <w:t xml:space="preserve">S2-103 · 3.5 · Refuerzo y compensación</w:t>
      </w:r>
      <w:bookmarkEnd w:id="6255"/>
    </w:p>
    <w:p>
      <w:pPr>
        <w:pStyle w:val="Normal"/>
      </w:pPr>
      <w:r>
        <w:t xml:space="preserve">En el modelo de la población de ballenas hay tres lazos. Relacione cada uno con su tipo y su razón.</w:t>
      </w:r>
    </w:p>
    <w:p>
      <w:pPr>
        <w:pStyle w:val="Normal"/>
      </w:pPr>
      <w:r>
        <w:t xml:space="preserve">a) Fila: Población </w:t>
      </w:r>
      <w:r>
        <w:rPr>
          <w:rFonts w:ascii="DejaVu Serif" w:cs="DejaVu Serif" w:eastAsia="DejaVu Serif" w:hAnsi="DejaVu Serif"/>
        </w:rPr>
        <w:t xml:space="preserve">↔</w:t>
      </w:r>
      <w:r>
        <w:t xml:space="preserve"> Nacimientos</w:t>
      </w:r>
    </w:p>
    <w:p>
      <w:pPr>
        <w:pStyle w:val="Normal"/>
      </w:pPr>
      <w:r>
        <w:t xml:space="preserve">b) Fila: Población </w:t>
      </w:r>
      <w:r>
        <w:rPr>
          <w:rFonts w:ascii="DejaVu Serif" w:cs="DejaVu Serif" w:eastAsia="DejaVu Serif" w:hAnsi="DejaVu Serif"/>
        </w:rPr>
        <w:t xml:space="preserve">↔</w:t>
      </w:r>
      <w:r>
        <w:t xml:space="preserve"> Muertes naturales</w:t>
      </w:r>
    </w:p>
    <w:p>
      <w:pPr>
        <w:pStyle w:val="Normal"/>
      </w:pPr>
      <w:r>
        <w:t xml:space="preserve">c) Fila: Población </w:t>
      </w:r>
      <w:r>
        <w:rPr>
          <w:rFonts w:ascii="DejaVu Serif" w:cs="DejaVu Serif" w:eastAsia="DejaVu Serif" w:hAnsi="DejaVu Serif"/>
        </w:rPr>
        <w:t xml:space="preserve">↔</w:t>
      </w:r>
      <w:r>
        <w:t xml:space="preserve"> Pesca</w:t>
      </w:r>
    </w:p>
    <w:p>
      <w:pPr>
        <w:pStyle w:val="Normal"/>
      </w:pPr>
      <w:r>
        <w:t xml:space="preserve">d) a) Refuerzo: las dos relaciones son positivas y la población se amplifica</w:t>
      </w:r>
    </w:p>
    <w:p>
      <w:pPr>
        <w:pStyle w:val="Normal"/>
      </w:pPr>
      <w:r>
        <w:t xml:space="preserve">e) b) Balance: más población produce más muertes, y más muertes reducen la población</w:t>
      </w:r>
    </w:p>
    <w:p>
      <w:pPr>
        <w:pStyle w:val="Normal"/>
      </w:pPr>
      <w:r>
        <w:t xml:space="preserve">f) c) Balance: más población atrae más pesca, y más pesca reduce la población</w:t>
      </w:r>
    </w:p>
    <w:p>
      <w:pPr>
        <w:pStyle w:val="Normal"/>
      </w:pPr>
      <w:r>
        <w:t xml:space="preserve">g) d) Refuerzo: más pesca aumenta la población disponible</w:t>
      </w:r>
    </w:p>
    <w:p>
      <w:pPr>
        <w:pStyle w:val="Normal"/>
      </w:pPr>
      <w:r>
        <w:t xml:space="preserve">h) e) No forma ciclo: sólo hay una flecha</w:t>
      </w:r>
    </w:p>
    <w:p>
      <w:pPr>
        <w:pStyle w:val="Heading3"/>
      </w:pPr>
      <w:bookmarkStart w:name="b_pregunta_p2p_17_ejercicio_ene_f53df754" w:id="6256"/>
      <w:r>
        <w:t xml:space="preserve">S2-104 · 3.5 · Refuerzo y compensación</w:t>
      </w:r>
      <w:bookmarkEnd w:id="6256"/>
    </w:p>
    <w:p>
      <w:pPr>
        <w:pStyle w:val="Normal"/>
      </w:pPr>
      <w:r>
        <w:t xml:space="preserve">En el ejercicio de oferta de energía, desarrollo, demanda, pobreza y condiciones ambientales, ¿cuántos ciclos de retroalimentación se identificaron y cómo se repartieron?</w:t>
      </w:r>
    </w:p>
    <w:p>
      <w:pPr>
        <w:pStyle w:val="Normal"/>
      </w:pPr>
      <w:r>
        <w:t xml:space="preserve">a) Cuatro: dos de refuerzo y dos de balance</w:t>
      </w:r>
    </w:p>
    <w:p>
      <w:pPr>
        <w:pStyle w:val="Normal"/>
      </w:pPr>
      <w:r>
        <w:t xml:space="preserve">b) Seis: tres de refuerzo y tres de balance</w:t>
      </w:r>
    </w:p>
    <w:p>
      <w:pPr>
        <w:pStyle w:val="Normal"/>
      </w:pPr>
      <w:r>
        <w:t xml:space="preserve">c) Cinco: uno por cada variable</w:t>
      </w:r>
    </w:p>
    <w:p>
      <w:pPr>
        <w:pStyle w:val="Normal"/>
      </w:pPr>
      <w:r>
        <w:t xml:space="preserve">d) Ocho: cuatro de cada tipo</w:t>
      </w:r>
    </w:p>
    <w:p>
      <w:pPr>
        <w:pStyle w:val="Heading3"/>
      </w:pPr>
      <w:bookmarkStart w:name="b_pregunta_p2p_18_identificador_a94a611d" w:id="6257"/>
      <w:r>
        <w:t xml:space="preserve">S2-105 · 3.5 · Refuerzo y compensación</w:t>
      </w:r>
      <w:bookmarkEnd w:id="6257"/>
    </w:p>
    <w:p>
      <w:pPr>
        <w:pStyle w:val="Normal"/>
      </w:pPr>
      <w:r>
        <w:t xml:space="preserve">Relacione cada marca que puede aparecer en el centro de un bucle con lo que declara.</w:t>
      </w:r>
    </w:p>
    <w:p>
      <w:pPr>
        <w:pStyle w:val="Normal"/>
      </w:pPr>
      <w:r>
        <w:t xml:space="preserve">a) Fila: La letra B</w:t>
      </w:r>
    </w:p>
    <w:p>
      <w:pPr>
        <w:pStyle w:val="Normal"/>
      </w:pPr>
      <w:r>
        <w:t xml:space="preserve">b) Fila: La letra R</w:t>
      </w:r>
    </w:p>
    <w:p>
      <w:pPr>
        <w:pStyle w:val="Normal"/>
      </w:pPr>
      <w:r>
        <w:t xml:space="preserve">c) Fila: El dibujo de una balanza</w:t>
      </w:r>
    </w:p>
    <w:p>
      <w:pPr>
        <w:pStyle w:val="Normal"/>
      </w:pPr>
      <w:r>
        <w:t xml:space="preserve">d) Fila: El dibujo de una bola de nieve bajando por la montaña</w:t>
      </w:r>
    </w:p>
    <w:p>
      <w:pPr>
        <w:pStyle w:val="Normal"/>
      </w:pPr>
      <w:r>
        <w:t xml:space="preserve">e) a) Ciclo de balance o compensación</w:t>
      </w:r>
    </w:p>
    <w:p>
      <w:pPr>
        <w:pStyle w:val="Normal"/>
      </w:pPr>
      <w:r>
        <w:t xml:space="preserve">f) b) Ciclo de refuerzo</w:t>
      </w:r>
    </w:p>
    <w:p>
      <w:pPr>
        <w:pStyle w:val="Normal"/>
      </w:pPr>
      <w:r>
        <w:t xml:space="preserve">g) c) Demora entre causa y efecto</w:t>
      </w:r>
    </w:p>
    <w:p>
      <w:pPr>
        <w:pStyle w:val="Normal"/>
      </w:pPr>
      <w:r>
        <w:t xml:space="preserve">h) d) Variable externa al ciclo</w:t>
      </w:r>
    </w:p>
    <w:p>
      <w:pPr>
        <w:pStyle w:val="Heading3"/>
      </w:pPr>
      <w:bookmarkStart w:name="b_pregunta_p2p_19_negativo_no_e_99f78292" w:id="6258"/>
      <w:r>
        <w:t xml:space="preserve">S2-106 · 3.5 · Refuerzo y compensación</w:t>
      </w:r>
      <w:bookmarkEnd w:id="6258"/>
    </w:p>
    <w:p>
      <w:pPr>
        <w:pStyle w:val="Normal"/>
      </w:pPr>
      <w:r>
        <w:t xml:space="preserve">El profesor advirtió que llamar «negativo» a un ciclo de compensación «no tiene nada que ver con el uso de más y menos en la aritmética». ¿Qué quiso decir?</w:t>
      </w:r>
    </w:p>
    <w:p>
      <w:pPr>
        <w:pStyle w:val="Normal"/>
      </w:pPr>
      <w:r>
        <w:t xml:space="preserve">a) Que los signos de las flechas no deben escribirse con símbolos matemáticos</w:t>
      </w:r>
    </w:p>
    <w:p>
      <w:pPr>
        <w:pStyle w:val="Normal"/>
      </w:pPr>
      <w:r>
        <w:t xml:space="preserve">b) Que «negativo» nombra la presencia de una relación que invierte el sentido, no una cantidad menor ni un juicio desfavorable</w:t>
      </w:r>
    </w:p>
    <w:p>
      <w:pPr>
        <w:pStyle w:val="Normal"/>
      </w:pPr>
      <w:r>
        <w:t xml:space="preserve">c) Que no se pueden sumar los signos de un ciclo</w:t>
      </w:r>
    </w:p>
    <w:p>
      <w:pPr>
        <w:pStyle w:val="Normal"/>
      </w:pPr>
      <w:r>
        <w:t xml:space="preserve">d) Que la notación proviene de la biología y no de las matemáticas</w:t>
      </w:r>
    </w:p>
    <w:p>
      <w:pPr>
        <w:pStyle w:val="Heading3"/>
      </w:pPr>
      <w:bookmarkStart w:name="b_pregunta_p2p_20_color_convencion" w:id="6259"/>
      <w:r>
        <w:t xml:space="preserve">S2-107 · 3.5 · Refuerzo y compensación</w:t>
      </w:r>
      <w:bookmarkEnd w:id="6259"/>
    </w:p>
    <w:p>
      <w:pPr>
        <w:pStyle w:val="Normal"/>
      </w:pPr>
      <w:r>
        <w:t xml:space="preserve">Sobre el uso del color rojo para las relaciones de compensación, ¿qué dijo la clase?</w:t>
      </w:r>
    </w:p>
    <w:p>
      <w:pPr>
        <w:pStyle w:val="Normal"/>
      </w:pPr>
      <w:r>
        <w:t xml:space="preserve">a) Que es obligatorio en todo diagrama</w:t>
      </w:r>
    </w:p>
    <w:p>
      <w:pPr>
        <w:pStyle w:val="Normal"/>
      </w:pPr>
      <w:r>
        <w:t xml:space="preserve">b) Que puede usarse, pero no es una convención tan estandarizada</w:t>
      </w:r>
    </w:p>
    <w:p>
      <w:pPr>
        <w:pStyle w:val="Normal"/>
      </w:pPr>
      <w:r>
        <w:t xml:space="preserve">c) Que el rojo se reserva para las demoras</w:t>
      </w:r>
    </w:p>
    <w:p>
      <w:pPr>
        <w:pStyle w:val="Normal"/>
      </w:pPr>
      <w:r>
        <w:t xml:space="preserve">d) Que el color sustituye a los signos + y −</w:t>
      </w:r>
    </w:p>
    <w:p>
      <w:pPr>
        <w:pStyle w:val="Heading3"/>
      </w:pPr>
      <w:bookmarkStart w:name="b_pregunta_p2p_21_caries_ciclo" w:id="6260"/>
      <w:r>
        <w:t xml:space="preserve">S2-108 · 3.5 · Refuerzo y compensación</w:t>
      </w:r>
      <w:bookmarkEnd w:id="6260"/>
    </w:p>
    <w:p>
      <w:pPr>
        <w:pStyle w:val="Normal"/>
      </w:pPr>
      <w:r>
        <w:t xml:space="preserve">En el caso de los refrescos y las caries, el ciclo pasa por consumo, caries dental, dolor de muelas, tiempo en el dentista y conciencia del daño. ¿Qué polaridad tiene la relación que cierra el ciclo y de qué tipo es el bucle?</w:t>
      </w:r>
    </w:p>
    <w:p>
      <w:pPr>
        <w:pStyle w:val="Normal"/>
      </w:pPr>
      <w:r>
        <w:t xml:space="preserve">a) Positiva; ciclo de refuerzo</w:t>
      </w:r>
    </w:p>
    <w:p>
      <w:pPr>
        <w:pStyle w:val="Normal"/>
      </w:pPr>
      <w:r>
        <w:t xml:space="preserve">b) Negativa —a más conciencia del daño, menos consumo de refrescos—; ciclo de balance con demora</w:t>
      </w:r>
    </w:p>
    <w:p>
      <w:pPr>
        <w:pStyle w:val="Normal"/>
      </w:pPr>
      <w:r>
        <w:t xml:space="preserve">c) Negativa; ciclo de refuerzo</w:t>
      </w:r>
    </w:p>
    <w:p>
      <w:pPr>
        <w:pStyle w:val="Normal"/>
      </w:pPr>
      <w:r>
        <w:t xml:space="preserve">d) No cierra ciclo: la conciencia es una variable externa</w:t>
      </w:r>
    </w:p>
    <w:p>
      <w:pPr>
        <w:pStyle w:val="Heading3"/>
      </w:pPr>
      <w:bookmarkStart w:name="b_pregunta_p2p_22_ana_ciclo" w:id="6261"/>
      <w:r>
        <w:t xml:space="preserve">S2-109 · 3.5 · Refuerzo y compensación</w:t>
      </w:r>
      <w:bookmarkEnd w:id="6261"/>
    </w:p>
    <w:p>
      <w:pPr>
        <w:pStyle w:val="Normal"/>
      </w:pPr>
      <w:r>
        <w:t xml:space="preserve">El ciclo «Presión por el cronograma →+ Trabajo extra →+ Tasa de terminación →− Trabajo pendiente →+ Presión» del caso de Ana es de balance. ¿Qué lo hace serlo?</w:t>
      </w:r>
    </w:p>
    <w:p>
      <w:pPr>
        <w:pStyle w:val="Normal"/>
      </w:pPr>
      <w:r>
        <w:t xml:space="preserve">a) Que tiene cuatro variables</w:t>
      </w:r>
    </w:p>
    <w:p>
      <w:pPr>
        <w:pStyle w:val="Normal"/>
      </w:pPr>
      <w:r>
        <w:t xml:space="preserve">b) Que tiene una sola relación negativa, la que va de la tasa de terminación al trabajo pendiente</w:t>
      </w:r>
    </w:p>
    <w:p>
      <w:pPr>
        <w:pStyle w:val="Normal"/>
      </w:pPr>
      <w:r>
        <w:t xml:space="preserve">c) Que el tiempo disponible es una variable externa</w:t>
      </w:r>
    </w:p>
    <w:p>
      <w:pPr>
        <w:pStyle w:val="Normal"/>
      </w:pPr>
      <w:r>
        <w:t xml:space="preserve">d) Que la protagonista trabaja fuera de horario</w:t>
      </w:r>
    </w:p>
    <w:p>
      <w:pPr>
        <w:pStyle w:val="Heading3"/>
      </w:pPr>
      <w:bookmarkStart w:name="b_pregunta_p2p_23_notacion_vinculos" w:id="6262"/>
      <w:r>
        <w:t xml:space="preserve">S2-110 · 3.5 · Refuerzo y compensación</w:t>
      </w:r>
      <w:bookmarkEnd w:id="6262"/>
    </w:p>
    <w:p>
      <w:pPr>
        <w:pStyle w:val="Normal"/>
      </w:pPr>
      <w:r>
        <w:t xml:space="preserve">La lámina de notación de vínculos causales define el vínculo positivo diciendo que, si la causa se incrementa, el efecto se incrementa «por encima de lo que podría haber ocurrido en otro caso». ¿Por qué esa formulación?</w:t>
      </w:r>
    </w:p>
    <w:p>
      <w:pPr>
        <w:pStyle w:val="Normal"/>
      </w:pPr>
      <w:r>
        <w:t xml:space="preserve">a) Porque el efecto siempre termina siendo mayor que la causa</w:t>
      </w:r>
    </w:p>
    <w:p>
      <w:pPr>
        <w:pStyle w:val="Normal"/>
      </w:pPr>
      <w:r>
        <w:t xml:space="preserve">b) Porque la relación se afirma respecto de lo que habría pasado sin ese cambio, con todo lo demás igual, y no como una promesa de crecimiento absoluto</w:t>
      </w:r>
    </w:p>
    <w:p>
      <w:pPr>
        <w:pStyle w:val="Normal"/>
      </w:pPr>
      <w:r>
        <w:t xml:space="preserve">c) Porque los efectos tardan en aparecer</w:t>
      </w:r>
    </w:p>
    <w:p>
      <w:pPr>
        <w:pStyle w:val="Normal"/>
      </w:pPr>
      <w:r>
        <w:t xml:space="preserve">d) Porque la relación sólo vale si hay acumulación</w:t>
      </w:r>
    </w:p>
    <w:p>
      <w:pPr>
        <w:pStyle w:val="Heading3"/>
      </w:pPr>
      <w:bookmarkStart w:name="b_pregunta_p2p_24_clasificar_casos" w:id="6263"/>
      <w:r>
        <w:t xml:space="preserve">S2-111 · 3.5 · Refuerzo y compensación</w:t>
      </w:r>
      <w:bookmarkEnd w:id="6263"/>
    </w:p>
    <w:p>
      <w:pPr>
        <w:pStyle w:val="Normal"/>
      </w:pPr>
      <w:r>
        <w:t xml:space="preserve">Clasifique cada caso trabajado en clase según el tipo de ciclo que lo describe.</w:t>
      </w:r>
    </w:p>
    <w:p>
      <w:pPr>
        <w:pStyle w:val="Normal"/>
      </w:pPr>
      <w:r>
        <w:t xml:space="preserve">a) Destinos: Ciclo de refuerzo; Ciclo de balance</w:t>
      </w:r>
    </w:p>
    <w:p>
      <w:pPr>
        <w:pStyle w:val="Normal"/>
      </w:pPr>
      <w:r>
        <w:t xml:space="preserve">b) El chillido del micrófono frente a la bocina</w:t>
      </w:r>
    </w:p>
    <w:p>
      <w:pPr>
        <w:pStyle w:val="Normal"/>
      </w:pPr>
      <w:r>
        <w:t xml:space="preserve">c) El interés compuesto de una cuenta de ahorro</w:t>
      </w:r>
    </w:p>
    <w:p>
      <w:pPr>
        <w:pStyle w:val="Normal"/>
      </w:pPr>
      <w:r>
        <w:t xml:space="preserve">d) Malas notas que reducen la confianza y llevan a estudiar menos</w:t>
      </w:r>
    </w:p>
    <w:p>
      <w:pPr>
        <w:pStyle w:val="Normal"/>
      </w:pPr>
      <w:r>
        <w:t xml:space="preserve">e) La sed que se sacia al beber agua</w:t>
      </w:r>
    </w:p>
    <w:p>
      <w:pPr>
        <w:pStyle w:val="Normal"/>
      </w:pPr>
      <w:r>
        <w:t xml:space="preserve">f) El tanque que deja de llenarse cuando sube el flotador</w:t>
      </w:r>
    </w:p>
    <w:p>
      <w:pPr>
        <w:pStyle w:val="Normal"/>
      </w:pPr>
      <w:r>
        <w:t xml:space="preserve">g) El termostato que apaga la calefacción al alcanzar la temperatura</w:t>
      </w:r>
    </w:p>
    <w:p>
      <w:pPr>
        <w:pStyle w:val="Heading3"/>
      </w:pPr>
      <w:bookmarkStart w:name="b_pregunta_p2p_25_arrastrar_polaridades" w:id="6264"/>
      <w:r>
        <w:t xml:space="preserve">S2-112 · 3.5 · Refuerzo y compensación</w:t>
      </w:r>
      <w:bookmarkEnd w:id="6264"/>
    </w:p>
    <w:p>
      <w:pPr>
        <w:pStyle w:val="Normal"/>
      </w:pPr>
      <w:r>
        <w:t xml:space="preserve">Asigne a cada relación la polaridad que le corresponde según los casos trabajados en clase.</w:t>
      </w:r>
    </w:p>
    <w:p>
      <w:pPr>
        <w:pStyle w:val="Normal"/>
      </w:pPr>
      <w:r>
        <w:t xml:space="preserve">a) Destinos: Polaridad positiva (+); Polaridad negativa (−)</w:t>
      </w:r>
    </w:p>
    <w:p>
      <w:pPr>
        <w:pStyle w:val="Normal"/>
      </w:pPr>
      <w:r>
        <w:t xml:space="preserve">b) Sed → Tomar agua</w:t>
      </w:r>
    </w:p>
    <w:p>
      <w:pPr>
        <w:pStyle w:val="Normal"/>
      </w:pPr>
      <w:r>
        <w:t xml:space="preserve">c) Contenido de agua en el cuerpo → Sed</w:t>
      </w:r>
    </w:p>
    <w:p>
      <w:pPr>
        <w:pStyle w:val="Normal"/>
      </w:pPr>
      <w:r>
        <w:t xml:space="preserve">d) Presión por el cronograma → Trabajo extra</w:t>
      </w:r>
    </w:p>
    <w:p>
      <w:pPr>
        <w:pStyle w:val="Normal"/>
      </w:pPr>
      <w:r>
        <w:t xml:space="preserve">e) Tasa de terminación → Trabajo pendiente</w:t>
      </w:r>
    </w:p>
    <w:p>
      <w:pPr>
        <w:pStyle w:val="Normal"/>
      </w:pPr>
      <w:r>
        <w:t xml:space="preserve">f) Población → Tasa de muertes</w:t>
      </w:r>
    </w:p>
    <w:p>
      <w:pPr>
        <w:pStyle w:val="Normal"/>
      </w:pPr>
      <w:r>
        <w:t xml:space="preserve">g) Tasa de muertes → Población</w:t>
      </w:r>
    </w:p>
    <w:p>
      <w:pPr>
        <w:pStyle w:val="Heading3"/>
      </w:pPr>
      <w:bookmarkStart w:name="b_pregunta_p2p_26_leer_antes_de_1e05a6b8" w:id="6265"/>
      <w:r>
        <w:t xml:space="preserve">S2-113 · 3.5 · Refuerzo y compensación</w:t>
      </w:r>
      <w:bookmarkEnd w:id="6265"/>
    </w:p>
    <w:p>
      <w:pPr>
        <w:pStyle w:val="Normal"/>
      </w:pPr>
      <w:r>
        <w:t xml:space="preserve">Después de aplicar la regla del conteo y escribir R o B en el centro del ciclo, ¿qué recomienda expresamente el lineamiento?</w:t>
      </w:r>
    </w:p>
    <w:p>
      <w:pPr>
        <w:pStyle w:val="Normal"/>
      </w:pPr>
      <w:r>
        <w:t xml:space="preserve">a) Verificar el número de variables</w:t>
      </w:r>
    </w:p>
    <w:p>
      <w:pPr>
        <w:pStyle w:val="Normal"/>
      </w:pPr>
      <w:r>
        <w:t xml:space="preserve">b) Releer el ciclo varias veces para estar seguro de que efectivamente es R o B</w:t>
      </w:r>
    </w:p>
    <w:p>
      <w:pPr>
        <w:pStyle w:val="Normal"/>
      </w:pPr>
      <w:r>
        <w:t xml:space="preserve">c) Cambiar el color de las flechas</w:t>
      </w:r>
    </w:p>
    <w:p>
      <w:pPr>
        <w:pStyle w:val="Normal"/>
      </w:pPr>
      <w:r>
        <w:t xml:space="preserve">d) Anotar la fecha de revisión</w:t>
      </w:r>
    </w:p>
    <w:p>
      <w:pPr>
        <w:pStyle w:val="Heading3"/>
      </w:pPr>
      <w:bookmarkStart w:name="b_pregunta_p2p_27_arquetipos_basicos" w:id="6266"/>
      <w:r>
        <w:t xml:space="preserve">S2-114 · 3.5 · Refuerzo y compensación</w:t>
      </w:r>
      <w:bookmarkEnd w:id="6266"/>
    </w:p>
    <w:p>
      <w:pPr>
        <w:pStyle w:val="Normal"/>
      </w:pPr>
      <w:r>
        <w:t xml:space="preserve">¿Por qué la clase llamó «arquetipos sistémicos básicos» a los ciclos de refuerzo y de compensación?</w:t>
      </w:r>
    </w:p>
    <w:p>
      <w:pPr>
        <w:pStyle w:val="Normal"/>
      </w:pPr>
      <w:r>
        <w:t xml:space="preserve">a) Porque son los dos únicos ciclos que existen en la naturaleza</w:t>
      </w:r>
    </w:p>
    <w:p>
      <w:pPr>
        <w:pStyle w:val="Normal"/>
      </w:pPr>
      <w:r>
        <w:t xml:space="preserve">b) Porque son los dos patrones de comportamiento que pueden encontrarse en la estructura de cualquier sistema</w:t>
      </w:r>
    </w:p>
    <w:p>
      <w:pPr>
        <w:pStyle w:val="Normal"/>
      </w:pPr>
      <w:r>
        <w:t xml:space="preserve">c) Porque los definió Peter Senge en su libro</w:t>
      </w:r>
    </w:p>
    <w:p>
      <w:pPr>
        <w:pStyle w:val="Normal"/>
      </w:pPr>
      <w:r>
        <w:t xml:space="preserve">d) Porque son los más difíciles de identificar</w:t>
      </w:r>
    </w:p>
    <w:p>
      <w:pPr>
        <w:pStyle w:val="Heading3"/>
      </w:pPr>
      <w:bookmarkStart w:name="b_pregunta_p2p_28_solucion_rapida" w:id="6267"/>
      <w:r>
        <w:t xml:space="preserve">S2-115 · 3.5 · Refuerzo y compensación</w:t>
      </w:r>
      <w:bookmarkEnd w:id="6267"/>
    </w:p>
    <w:p>
      <w:pPr>
        <w:pStyle w:val="Normal"/>
      </w:pPr>
      <w:r>
        <w:t xml:space="preserve">El ciclo «Dolor →+ Tomar medicina →− Dolor» se comentó en clase como «una solución rápida». ¿Qué tiene de particular?</w:t>
      </w:r>
    </w:p>
    <w:p>
      <w:pPr>
        <w:pStyle w:val="Normal"/>
      </w:pPr>
      <w:r>
        <w:t xml:space="preserve">a) Que no es realmente un ciclo</w:t>
      </w:r>
    </w:p>
    <w:p>
      <w:pPr>
        <w:pStyle w:val="Normal"/>
      </w:pPr>
      <w:r>
        <w:t xml:space="preserve">b) Que es un ciclo de balance que alivia el síntoma, y que por eso puede convivir con la causa de fondo sin resolverla</w:t>
      </w:r>
    </w:p>
    <w:p>
      <w:pPr>
        <w:pStyle w:val="Normal"/>
      </w:pPr>
      <w:r>
        <w:t xml:space="preserve">c) Que es un ciclo de refuerzo del consumo de medicinas</w:t>
      </w:r>
    </w:p>
    <w:p>
      <w:pPr>
        <w:pStyle w:val="Normal"/>
      </w:pPr>
      <w:r>
        <w:t xml:space="preserve">d) Que carece de demora</w:t>
      </w:r>
    </w:p>
    <w:p>
      <w:pPr>
        <w:pStyle w:val="Heading3"/>
      </w:pPr>
      <w:bookmarkStart w:name="b_pregunta_p2p_29_todas_mismo_sentido" w:id="6268"/>
      <w:r>
        <w:t xml:space="preserve">S2-116 · 3.5 · Refuerzo y compensación</w:t>
      </w:r>
      <w:bookmarkEnd w:id="6268"/>
    </w:p>
    <w:p>
      <w:pPr>
        <w:pStyle w:val="Normal"/>
      </w:pPr>
      <w:r>
        <w:t xml:space="preserve">Si en un ciclo cerrado todas las relaciones son positivas, ¿qué se puede afirmar de su comportamiento?</w:t>
      </w:r>
    </w:p>
    <w:p>
      <w:pPr>
        <w:pStyle w:val="Normal"/>
      </w:pPr>
      <w:r>
        <w:t xml:space="preserve">a) Que las variables tienden todas en un mismo sentido y el ciclo se mueve indefinidamente en esa dirección hasta que algo lo interrumpa</w:t>
      </w:r>
    </w:p>
    <w:p>
      <w:pPr>
        <w:pStyle w:val="Normal"/>
      </w:pPr>
      <w:r>
        <w:t xml:space="preserve">b) Que el ciclo se estabiliza rápido</w:t>
      </w:r>
    </w:p>
    <w:p>
      <w:pPr>
        <w:pStyle w:val="Normal"/>
      </w:pPr>
      <w:r>
        <w:t xml:space="preserve">c) Que el ciclo es virtuoso</w:t>
      </w:r>
    </w:p>
    <w:p>
      <w:pPr>
        <w:pStyle w:val="Normal"/>
      </w:pPr>
      <w:r>
        <w:t xml:space="preserve">d) Que faltan signos por asignar</w:t>
      </w:r>
    </w:p>
    <w:p>
      <w:pPr>
        <w:pStyle w:val="Heading3"/>
      </w:pPr>
      <w:bookmarkStart w:name="b_pregunta_p2p_30_ciclos_conviven" w:id="6269"/>
      <w:r>
        <w:t xml:space="preserve">S2-117 · 3.5 · Refuerzo y compensación</w:t>
      </w:r>
      <w:bookmarkEnd w:id="6269"/>
    </w:p>
    <w:p>
      <w:pPr>
        <w:pStyle w:val="Normal"/>
      </w:pPr>
      <w:r>
        <w:t xml:space="preserve">¿Qué ocurre cuando en un mismo sistema conviven ciclos de refuerzo y de balance?</w:t>
      </w:r>
    </w:p>
    <w:p>
      <w:pPr>
        <w:pStyle w:val="Normal"/>
      </w:pPr>
      <w:r>
        <w:t xml:space="preserve">a) Se anulan y el sistema queda inmóvil</w:t>
      </w:r>
    </w:p>
    <w:p>
      <w:pPr>
        <w:pStyle w:val="Normal"/>
      </w:pPr>
      <w:r>
        <w:t xml:space="preserve">b) El comportamiento observable resulta de su combinación: el de balance puede frenar al de refuerzo, y el acoplamiento de ambos puede producir oscilación</w:t>
      </w:r>
    </w:p>
    <w:p>
      <w:pPr>
        <w:pStyle w:val="Normal"/>
      </w:pPr>
      <w:r>
        <w:t xml:space="preserve">c) Siempre gana el de refuerzo</w:t>
      </w:r>
    </w:p>
    <w:p>
      <w:pPr>
        <w:pStyle w:val="Normal"/>
      </w:pPr>
      <w:r>
        <w:t xml:space="preserve">d) El modelo está mal construido y hay que quedarse con uno</w:t>
      </w:r>
    </w:p>
    <w:p>
      <w:pPr>
        <w:pStyle w:val="Heading3"/>
      </w:pPr>
      <w:bookmarkStart w:name="b_pregunta_p2p_31_autopistas_bu_104312ae" w:id="6270"/>
      <w:r>
        <w:t xml:space="preserve">S2-118 · 3.5 · Refuerzo y compensación</w:t>
      </w:r>
      <w:bookmarkEnd w:id="6270"/>
    </w:p>
    <w:p>
      <w:pPr>
        <w:pStyle w:val="Normal"/>
      </w:pPr>
      <w:r>
        <w:t xml:space="preserve">En la sesión de aprendizaje sobre sistemas de primer orden, las Autopistas crecen con la Construcción de autopistas; la construcción crece con los Ingresos de autopistas, y los ingresos varían directamente con las Autopistas. ¿Qué bucle forman y qué comportamiento produce?</w:t>
      </w:r>
    </w:p>
    <w:p>
      <w:pPr>
        <w:pStyle w:val="Normal"/>
      </w:pPr>
      <w:r>
        <w:t xml:space="preserve">a) Un bucle de realimentación negativa: la construcción compensa el desgaste de las autopistas</w:t>
      </w:r>
    </w:p>
    <w:p>
      <w:pPr>
        <w:pStyle w:val="Normal"/>
      </w:pPr>
      <w:r>
        <w:t xml:space="preserve">b) Un bucle de realimentación positiva o de refuerzo: todas las influencias son positivas, así que el crecimiento se arrastra a sí mismo, el efecto bola de nieve</w:t>
      </w:r>
    </w:p>
    <w:p>
      <w:pPr>
        <w:pStyle w:val="Normal"/>
      </w:pPr>
      <w:r>
        <w:t xml:space="preserve">c) No es un bucle, porque el abandono de autopistas es una constante</w:t>
      </w:r>
    </w:p>
    <w:p>
      <w:pPr>
        <w:pStyle w:val="Normal"/>
      </w:pPr>
      <w:r>
        <w:t xml:space="preserve">d) Un bucle de balance con objetivo implícito</w:t>
      </w:r>
    </w:p>
    <w:p>
      <w:pPr>
        <w:pStyle w:val="Heading3"/>
      </w:pPr>
      <w:bookmarkStart w:name="b_pregunta_p2p_32_deposito_obje_162816c2" w:id="6271"/>
      <w:r>
        <w:t xml:space="preserve">S2-119 · 3.5 · Refuerzo y compensación</w:t>
      </w:r>
      <w:bookmarkEnd w:id="6271"/>
    </w:p>
    <w:p>
      <w:pPr>
        <w:pStyle w:val="Normal"/>
      </w:pPr>
      <w:r>
        <w:t xml:space="preserve">En el depósito de agua de la sesión, un control automático regula el flujo de entrada según la discrepancia entre la altura real —cinco pies al inicio— y la deseada —veinticinco pies—, mientras la salida hacia la ciudad es constante. ¿Qué tipo de bucle es y qué papel juega la altura deseada?</w:t>
      </w:r>
    </w:p>
    <w:p>
      <w:pPr>
        <w:pStyle w:val="Normal"/>
      </w:pPr>
      <w:r>
        <w:t xml:space="preserve">a) Un bucle de refuerzo: mientras más agua entra, más discrepancia hay</w:t>
      </w:r>
    </w:p>
    <w:p>
      <w:pPr>
        <w:pStyle w:val="Normal"/>
      </w:pPr>
      <w:r>
        <w:t xml:space="preserve">b) Un bucle de realimentación negativa o de balance: el sistema actúa para contrarrestar la discrepancia, y la altura deseada es el objetivo, fijado desde fuera, una variable exógena</w:t>
      </w:r>
    </w:p>
    <w:p>
      <w:pPr>
        <w:pStyle w:val="Normal"/>
      </w:pPr>
      <w:r>
        <w:t xml:space="preserve">c) Un bucle de refuerzo con demora, porque el control tarda diez minutos</w:t>
      </w:r>
    </w:p>
    <w:p>
      <w:pPr>
        <w:pStyle w:val="Normal"/>
      </w:pPr>
      <w:r>
        <w:t xml:space="preserve">d) Dos bucles de refuerzo, uno de entrada y otro de salida</w:t>
      </w:r>
    </w:p>
    <w:p>
      <w:pPr>
        <w:pStyle w:val="Heading3"/>
      </w:pPr>
      <w:bookmarkStart w:name="b_pregunta_p2p_33_influencias_a_mas" w:id="6272"/>
      <w:r>
        <w:t xml:space="preserve">S2-120 · 3.5 · Refuerzo y compensación</w:t>
      </w:r>
      <w:bookmarkEnd w:id="6272"/>
    </w:p>
    <w:p>
      <w:pPr>
        <w:pStyle w:val="Normal"/>
      </w:pPr>
      <w:r>
        <w:t xml:space="preserve">La sesión de aprendizaje fija una convención: para leer una influencia se parte siempre de «a más…» y se mira si el efecto es más o menos. Clasifique cada influencia.</w:t>
      </w:r>
    </w:p>
    <w:p>
      <w:pPr>
        <w:pStyle w:val="Normal"/>
      </w:pPr>
      <w:r>
        <w:t xml:space="preserve">a) Destinos: Influencia positiva (+); Influencia negativa (−)</w:t>
      </w:r>
    </w:p>
    <w:p>
      <w:pPr>
        <w:pStyle w:val="Normal"/>
      </w:pPr>
      <w:r>
        <w:t xml:space="preserve">b) A más oferta, más demanda</w:t>
      </w:r>
    </w:p>
    <w:p>
      <w:pPr>
        <w:pStyle w:val="Normal"/>
      </w:pPr>
      <w:r>
        <w:t xml:space="preserve">c) A más ahorro en el banco, más ganancias</w:t>
      </w:r>
    </w:p>
    <w:p>
      <w:pPr>
        <w:pStyle w:val="Normal"/>
      </w:pPr>
      <w:r>
        <w:t xml:space="preserve">d) A más alimentación, más peso</w:t>
      </w:r>
    </w:p>
    <w:p>
      <w:pPr>
        <w:pStyle w:val="Normal"/>
      </w:pPr>
      <w:r>
        <w:t xml:space="preserve">e) A más precio, menos demanda</w:t>
      </w:r>
    </w:p>
    <w:p>
      <w:pPr>
        <w:pStyle w:val="Normal"/>
      </w:pPr>
      <w:r>
        <w:t xml:space="preserve">f) A más muertes, menos población</w:t>
      </w:r>
    </w:p>
    <w:p>
      <w:pPr>
        <w:pStyle w:val="Normal"/>
      </w:pPr>
      <w:r>
        <w:t xml:space="preserve">g) A menos técnicas de estudio, menos aprendizaje</w:t>
      </w:r>
    </w:p>
    <w:p>
      <w:pPr>
        <w:pStyle w:val="Heading3"/>
      </w:pPr>
      <w:bookmarkStart w:name="b_pregunta_p2p_34_retroalimenta_ad45e6c0" w:id="6273"/>
      <w:r>
        <w:t xml:space="preserve">S2-121 · 3.5 · Refuerzo y compensación</w:t>
      </w:r>
      <w:bookmarkEnd w:id="6273"/>
    </w:p>
    <w:p>
      <w:pPr>
        <w:pStyle w:val="Normal"/>
      </w:pPr>
      <w:r>
        <w:t xml:space="preserve">Echeverri y Franco separan la retroalimentación de la teoría tradicional de sistemas de la realimentación del pensamiento sistémico. Relacione cada rasgo con el concepto que describe.</w:t>
      </w:r>
    </w:p>
    <w:p>
      <w:pPr>
        <w:pStyle w:val="Normal"/>
      </w:pPr>
      <w:r>
        <w:t xml:space="preserve">a) Fila: Aparece al final del proceso, como corrección y reproceso</w:t>
      </w:r>
    </w:p>
    <w:p>
      <w:pPr>
        <w:pStyle w:val="Normal"/>
      </w:pPr>
      <w:r>
        <w:t xml:space="preserve">b) Fila: Es todo el sistema: no hay una línea que muestre dónde está</w:t>
      </w:r>
    </w:p>
    <w:p>
      <w:pPr>
        <w:pStyle w:val="Normal"/>
      </w:pPr>
      <w:r>
        <w:t xml:space="preserve">c) Fila: Opinión, evaluación, corrección y mejoramiento</w:t>
      </w:r>
    </w:p>
    <w:p>
      <w:pPr>
        <w:pStyle w:val="Normal"/>
      </w:pPr>
      <w:r>
        <w:t xml:space="preserve">d) Fila: Pautas de conducta que crecen o decrecen por sí mismas por la influencia de unas variables sobre otras</w:t>
      </w:r>
    </w:p>
    <w:p>
      <w:pPr>
        <w:pStyle w:val="Normal"/>
      </w:pPr>
      <w:r>
        <w:t xml:space="preserve">e) a) Retroalimentación (enfoque tradicional de sistemas)</w:t>
      </w:r>
    </w:p>
    <w:p>
      <w:pPr>
        <w:pStyle w:val="Normal"/>
      </w:pPr>
      <w:r>
        <w:t xml:space="preserve">f) b) Realimentación (pensamiento sistémico)</w:t>
      </w:r>
    </w:p>
    <w:p>
      <w:pPr>
        <w:pStyle w:val="Normal"/>
      </w:pPr>
      <w:r>
        <w:t xml:space="preserve">g) c) Proalimentación (anticipación de un cambio)</w:t>
      </w:r>
    </w:p>
    <w:p>
      <w:pPr>
        <w:pStyle w:val="Heading3"/>
      </w:pPr>
      <w:bookmarkStart w:name="b_pregunta_p2p_35_realimentacio_4d93e02c" w:id="6274"/>
      <w:r>
        <w:t xml:space="preserve">S2-122 · 3.5 · Refuerzo y compensación</w:t>
      </w:r>
      <w:bookmarkEnd w:id="6274"/>
    </w:p>
    <w:p>
      <w:pPr>
        <w:pStyle w:val="Normal"/>
      </w:pPr>
      <w:r>
        <w:t xml:space="preserve">En el ciclo Comentarios positivos → Ventas → Clientes satisfechos → Comentarios positivos, ¿dónde está la realimentación según Echeverri y Franco?</w:t>
      </w:r>
    </w:p>
    <w:p>
      <w:pPr>
        <w:pStyle w:val="Normal"/>
      </w:pPr>
      <w:r>
        <w:t xml:space="preserve">a) En la flecha que vuelve de clientes satisfechos a comentarios positivos: esa es la retroalimentación</w:t>
      </w:r>
    </w:p>
    <w:p>
      <w:pPr>
        <w:pStyle w:val="Normal"/>
      </w:pPr>
      <w:r>
        <w:t xml:space="preserve">b) En todo el círculo: es inherente al proceso, aquí refuerza en vez de corregir, y existe igual en los ciclos compensadores</w:t>
      </w:r>
    </w:p>
    <w:p>
      <w:pPr>
        <w:pStyle w:val="Normal"/>
      </w:pPr>
      <w:r>
        <w:t xml:space="preserve">c) En ninguna parte, porque el ciclo no tiene un resultado deseado con el cual comparar</w:t>
      </w:r>
    </w:p>
    <w:p>
      <w:pPr>
        <w:pStyle w:val="Normal"/>
      </w:pPr>
      <w:r>
        <w:t xml:space="preserve">d) Sólo en las ventas, que son el producto del proceso</w:t>
      </w:r>
    </w:p>
    <w:p>
      <w:pPr>
        <w:pStyle w:val="Heading3"/>
      </w:pPr>
      <w:r>
        <w:t xml:space="preserve">Tema 3.6 · Modelación dinámica</w:t>
      </w:r>
    </w:p>
    <w:p>
      <w:pPr>
        <w:pStyle w:val="Heading3"/>
      </w:pPr>
      <w:bookmarkStart w:name="b_pregunta_p2e_01_principio_estructura" w:id="6275"/>
      <w:r>
        <w:t xml:space="preserve">S2-123 · 3.6 · Modelación dinámica</w:t>
      </w:r>
      <w:bookmarkEnd w:id="6275"/>
    </w:p>
    <w:p>
      <w:pPr>
        <w:pStyle w:val="Normal"/>
      </w:pPr>
      <w:r>
        <w:t xml:space="preserve">¿Qué afirma el principio sistémico central que desarrolla el tercer hábito de esta unidad?</w:t>
      </w:r>
    </w:p>
    <w:p>
      <w:pPr>
        <w:pStyle w:val="Normal"/>
      </w:pPr>
      <w:r>
        <w:t xml:space="preserve">a) Que todo sistema tiende al desorden si no se lo mantiene</w:t>
      </w:r>
    </w:p>
    <w:p>
      <w:pPr>
        <w:pStyle w:val="Normal"/>
      </w:pPr>
      <w:r>
        <w:t xml:space="preserve">b) Que la estructura del sistema genera el comportamiento del sistema</w:t>
      </w:r>
    </w:p>
    <w:p>
      <w:pPr>
        <w:pStyle w:val="Normal"/>
      </w:pPr>
      <w:r>
        <w:t xml:space="preserve">c) Que el comportamiento de un sistema depende de la calidad de sus partes</w:t>
      </w:r>
    </w:p>
    <w:p>
      <w:pPr>
        <w:pStyle w:val="Normal"/>
      </w:pPr>
      <w:r>
        <w:t xml:space="preserve">d) Que un sistema se comprende enumerando sus componentes</w:t>
      </w:r>
    </w:p>
    <w:p>
      <w:pPr>
        <w:pStyle w:val="Heading3"/>
      </w:pPr>
      <w:bookmarkStart w:name="b_pregunta_p2e_02_perfectamente_2083d1a0" w:id="6276"/>
      <w:r>
        <w:t xml:space="preserve">S2-124 · 3.6 · Modelación dinámica</w:t>
      </w:r>
      <w:bookmarkEnd w:id="6276"/>
    </w:p>
    <w:p>
      <w:pPr>
        <w:pStyle w:val="Normal"/>
      </w:pPr>
      <w:r>
        <w:t xml:space="preserve">«Los sistemas están perfectamente diseñados para producir los resultados que obtienen». ¿Cómo debe leerse esa frase?</w:t>
      </w:r>
    </w:p>
    <w:p>
      <w:pPr>
        <w:pStyle w:val="Normal"/>
      </w:pPr>
      <w:r>
        <w:t xml:space="preserve">a) Como un elogio: los sistemas suelen estar bien diseñados</w:t>
      </w:r>
    </w:p>
    <w:p>
      <w:pPr>
        <w:pStyle w:val="Normal"/>
      </w:pPr>
      <w:r>
        <w:t xml:space="preserve">b) Como una constatación: si un sistema produce un resultado indeseado, su estructura actual es exactamente la que lo produce, y por eso hay que mirar la estructura y no buscar culpables</w:t>
      </w:r>
    </w:p>
    <w:p>
      <w:pPr>
        <w:pStyle w:val="Normal"/>
      </w:pPr>
      <w:r>
        <w:t xml:space="preserve">c) Como una crítica a quienes diseñan sistemas</w:t>
      </w:r>
    </w:p>
    <w:p>
      <w:pPr>
        <w:pStyle w:val="Normal"/>
      </w:pPr>
      <w:r>
        <w:t xml:space="preserve">d) Como una advertencia sobre la imposibilidad de cambiar un sistema</w:t>
      </w:r>
    </w:p>
    <w:p>
      <w:pPr>
        <w:pStyle w:val="Heading3"/>
      </w:pPr>
      <w:bookmarkStart w:name="b_pregunta_p2e_03_buscar_culpables" w:id="6277"/>
      <w:r>
        <w:t xml:space="preserve">S2-125 · 3.6 · Modelación dinámica</w:t>
      </w:r>
      <w:bookmarkEnd w:id="6277"/>
    </w:p>
    <w:p>
      <w:pPr>
        <w:pStyle w:val="Normal"/>
      </w:pPr>
      <w:r>
        <w:t xml:space="preserve">¿Por qué la búsqueda de culpables se considera una estrategia propia del pensamiento no sistémico?</w:t>
      </w:r>
    </w:p>
    <w:p>
      <w:pPr>
        <w:pStyle w:val="Normal"/>
      </w:pPr>
      <w:r>
        <w:t xml:space="preserve">a) Porque siempre es injusta con las personas señaladas</w:t>
      </w:r>
    </w:p>
    <w:p>
      <w:pPr>
        <w:pStyle w:val="Normal"/>
      </w:pPr>
      <w:r>
        <w:t xml:space="preserve">b) Porque supone que las estructuras son lineales y que existe una última causa responsable del efecto, que basta con eliminar</w:t>
      </w:r>
    </w:p>
    <w:p>
      <w:pPr>
        <w:pStyle w:val="Normal"/>
      </w:pPr>
      <w:r>
        <w:t xml:space="preserve">c) Porque consume demasiado tiempo</w:t>
      </w:r>
    </w:p>
    <w:p>
      <w:pPr>
        <w:pStyle w:val="Normal"/>
      </w:pPr>
      <w:r>
        <w:t xml:space="preserve">d) Porque impide aplicar la regla de perspectivas</w:t>
      </w:r>
    </w:p>
    <w:p>
      <w:pPr>
        <w:pStyle w:val="Heading3"/>
      </w:pPr>
      <w:bookmarkStart w:name="b_pregunta_p2e_04_ciclo_de_la_culpa" w:id="6278"/>
      <w:r>
        <w:t xml:space="preserve">S2-126 · 3.6 · Modelación dinámica</w:t>
      </w:r>
      <w:bookmarkEnd w:id="6278"/>
    </w:p>
    <w:p>
      <w:pPr>
        <w:pStyle w:val="Normal"/>
      </w:pPr>
      <w:r>
        <w:t xml:space="preserve">El modelo de los ciclos de refuerzo de la culpa termina produciendo más errores de los que había. ¿Cómo ocurre?</w:t>
      </w:r>
    </w:p>
    <w:p>
      <w:pPr>
        <w:pStyle w:val="Normal"/>
      </w:pPr>
      <w:r>
        <w:t xml:space="preserve">a) Porque las personas culpadas renuncian</w:t>
      </w:r>
    </w:p>
    <w:p>
      <w:pPr>
        <w:pStyle w:val="Normal"/>
      </w:pPr>
      <w:r>
        <w:t xml:space="preserve">b) Porque la culpa genera miedo, el miedo aumenta los encubrimientos, los encubrimientos reducen el flujo de información y sin información se resuelven peor los problemas, lo que produce más errores</w:t>
      </w:r>
    </w:p>
    <w:p>
      <w:pPr>
        <w:pStyle w:val="Normal"/>
      </w:pPr>
      <w:r>
        <w:t xml:space="preserve">c) Porque se pierde tiempo en discutir responsabilidades</w:t>
      </w:r>
    </w:p>
    <w:p>
      <w:pPr>
        <w:pStyle w:val="Normal"/>
      </w:pPr>
      <w:r>
        <w:t xml:space="preserve">d) Porque el sistema deja de registrar los errores</w:t>
      </w:r>
    </w:p>
    <w:p>
      <w:pPr>
        <w:pStyle w:val="Heading3"/>
      </w:pPr>
      <w:bookmarkStart w:name="b_pregunta_p2e_05_cometa_molinete" w:id="6279"/>
      <w:r>
        <w:t xml:space="preserve">S2-127 · 3.6 · Modelación dinámica</w:t>
      </w:r>
      <w:bookmarkEnd w:id="6279"/>
    </w:p>
    <w:p>
      <w:pPr>
        <w:pStyle w:val="Normal"/>
      </w:pPr>
      <w:r>
        <w:t xml:space="preserve">La cometa vuela y el molinete gira, los dos movidos por el mismo viento. ¿Qué ilustra esa pareja?</w:t>
      </w:r>
    </w:p>
    <w:p>
      <w:pPr>
        <w:pStyle w:val="Normal"/>
      </w:pPr>
      <w:r>
        <w:t xml:space="preserve">a) Que el entorno determina el comportamiento de un sistema</w:t>
      </w:r>
    </w:p>
    <w:p>
      <w:pPr>
        <w:pStyle w:val="Normal"/>
      </w:pPr>
      <w:r>
        <w:t xml:space="preserve">b) Que con el mismo entorno, la estructura de cada objeto es la que decide qué comportamiento aparece</w:t>
      </w:r>
    </w:p>
    <w:p>
      <w:pPr>
        <w:pStyle w:val="Normal"/>
      </w:pPr>
      <w:r>
        <w:t xml:space="preserve">c) Que los juguetes son sistemas simples</w:t>
      </w:r>
    </w:p>
    <w:p>
      <w:pPr>
        <w:pStyle w:val="Normal"/>
      </w:pPr>
      <w:r>
        <w:t xml:space="preserve">d) Que hace falta viento para que un sistema funcione</w:t>
      </w:r>
    </w:p>
    <w:p>
      <w:pPr>
        <w:pStyle w:val="Heading3"/>
      </w:pPr>
      <w:bookmarkStart w:name="b_pregunta_p2e_06_aula_estructura" w:id="6280"/>
      <w:r>
        <w:t xml:space="preserve">S2-128 · 3.6 · Modelación dinámica</w:t>
      </w:r>
      <w:bookmarkEnd w:id="6280"/>
    </w:p>
    <w:p>
      <w:pPr>
        <w:pStyle w:val="Normal"/>
      </w:pPr>
      <w:r>
        <w:t xml:space="preserve">Cuando se propone un trabajo en grupo en un aula con los escritorios en filas mirando al frente, los estudiantes tienden a mover los escritorios. ¿Qué muestra esa reacción?</w:t>
      </w:r>
    </w:p>
    <w:p>
      <w:pPr>
        <w:pStyle w:val="Normal"/>
      </w:pPr>
      <w:r>
        <w:t xml:space="preserve">a) Que los estudiantes prefieren el desorden</w:t>
      </w:r>
    </w:p>
    <w:p>
      <w:pPr>
        <w:pStyle w:val="Normal"/>
      </w:pPr>
      <w:r>
        <w:t xml:space="preserve">b) Que rompen la estructura del salón porque el comportamiento esperado ya no es el que esa estructura genera</w:t>
      </w:r>
    </w:p>
    <w:p>
      <w:pPr>
        <w:pStyle w:val="Normal"/>
      </w:pPr>
      <w:r>
        <w:t xml:space="preserve">c) Que el mobiliario del aula es inadecuado</w:t>
      </w:r>
    </w:p>
    <w:p>
      <w:pPr>
        <w:pStyle w:val="Normal"/>
      </w:pPr>
      <w:r>
        <w:t xml:space="preserve">d) Que el trabajo en grupo no funciona en aulas tradicionales</w:t>
      </w:r>
    </w:p>
    <w:p>
      <w:pPr>
        <w:pStyle w:val="Heading3"/>
      </w:pPr>
      <w:bookmarkStart w:name="b_pregunta_p2e_07_del_comportam_3f560b28" w:id="6281"/>
      <w:r>
        <w:t xml:space="preserve">S2-129 · 3.6 · Modelación dinámica</w:t>
      </w:r>
      <w:bookmarkEnd w:id="6281"/>
    </w:p>
    <w:p>
      <w:pPr>
        <w:pStyle w:val="Normal"/>
      </w:pPr>
      <w:r>
        <w:t xml:space="preserve">Al diseñar un sistema, ¿en qué dirección recomienda trabajar la clase?</w:t>
      </w:r>
    </w:p>
    <w:p>
      <w:pPr>
        <w:pStyle w:val="Normal"/>
      </w:pPr>
      <w:r>
        <w:t xml:space="preserve">a) Diseñar primero la estructura y ver después qué comportamiento produce</w:t>
      </w:r>
    </w:p>
    <w:p>
      <w:pPr>
        <w:pStyle w:val="Normal"/>
      </w:pPr>
      <w:r>
        <w:t xml:space="preserve">b) Partir del comportamiento emergente que se desea y desde ahí decidir la estructura que puede generarlo</w:t>
      </w:r>
    </w:p>
    <w:p>
      <w:pPr>
        <w:pStyle w:val="Normal"/>
      </w:pPr>
      <w:r>
        <w:t xml:space="preserve">c) Copiar la estructura de un sistema parecido</w:t>
      </w:r>
    </w:p>
    <w:p>
      <w:pPr>
        <w:pStyle w:val="Normal"/>
      </w:pPr>
      <w:r>
        <w:t xml:space="preserve">d) Empezar por los recursos disponibles</w:t>
      </w:r>
    </w:p>
    <w:p>
      <w:pPr>
        <w:pStyle w:val="Heading3"/>
      </w:pPr>
      <w:bookmarkStart w:name="b_pregunta_p2e_08_contar_ciclos" w:id="6282"/>
      <w:r>
        <w:t xml:space="preserve">S2-130 · 3.6 · Modelación dinámica</w:t>
      </w:r>
      <w:bookmarkEnd w:id="6282"/>
    </w:p>
    <w:p>
      <w:pPr>
        <w:pStyle w:val="Normal"/>
      </w:pPr>
      <w:r>
        <w:t xml:space="preserve">En el modelo completo de trazabilidad de frutas se contaron diez ciclos. ¿Qué indica la cantidad de ciclos de un modelo?</w:t>
      </w:r>
    </w:p>
    <w:p>
      <w:pPr>
        <w:pStyle w:val="Normal"/>
      </w:pPr>
      <w:r>
        <w:t xml:space="preserve">a) El grado de complejidad del sistema modelado, junto con el comportamiento y las bifurcaciones que se dan entre esas relaciones</w:t>
      </w:r>
    </w:p>
    <w:p>
      <w:pPr>
        <w:pStyle w:val="Normal"/>
      </w:pPr>
      <w:r>
        <w:t xml:space="preserve">b) La calidad del trabajo del modelador</w:t>
      </w:r>
    </w:p>
    <w:p>
      <w:pPr>
        <w:pStyle w:val="Normal"/>
      </w:pPr>
      <w:r>
        <w:t xml:space="preserve">c) El número de variables que tiene el sistema</w:t>
      </w:r>
    </w:p>
    <w:p>
      <w:pPr>
        <w:pStyle w:val="Normal"/>
      </w:pPr>
      <w:r>
        <w:t xml:space="preserve">d) Cuántas perspectivas se han considerado</w:t>
      </w:r>
    </w:p>
    <w:p>
      <w:pPr>
        <w:pStyle w:val="Heading3"/>
      </w:pPr>
      <w:bookmarkStart w:name="b_pregunta_p2e_09_presa_depredador" w:id="6283"/>
      <w:r>
        <w:t xml:space="preserve">S2-131 · 3.6 · Modelación dinámica</w:t>
      </w:r>
      <w:bookmarkEnd w:id="6283"/>
    </w:p>
    <w:p>
      <w:pPr>
        <w:pStyle w:val="Normal"/>
      </w:pPr>
      <w:r>
        <w:t xml:space="preserve">En el modelo de conejos y zorros, ¿por qué el resultado es una oscilación y no la extinción de los conejos?</w:t>
      </w:r>
    </w:p>
    <w:p>
      <w:pPr>
        <w:pStyle w:val="Normal"/>
      </w:pPr>
      <w:r>
        <w:t xml:space="preserve">a) Porque los zorros no comen todos los conejos por decisión propia</w:t>
      </w:r>
    </w:p>
    <w:p>
      <w:pPr>
        <w:pStyle w:val="Normal"/>
      </w:pPr>
      <w:r>
        <w:t xml:space="preserve">b) Porque conviven ciclos de refuerzo —los nacimientos de cada especie— con ciclos de balance —las muertes— y el acoplamiento entre ambas poblaciones hace que cada una frene y relance a la otra</w:t>
      </w:r>
    </w:p>
    <w:p>
      <w:pPr>
        <w:pStyle w:val="Normal"/>
      </w:pPr>
      <w:r>
        <w:t xml:space="preserve">c) Porque el número de zorros es siempre menor</w:t>
      </w:r>
    </w:p>
    <w:p>
      <w:pPr>
        <w:pStyle w:val="Normal"/>
      </w:pPr>
      <w:r>
        <w:t xml:space="preserve">d) Porque la simulación se detiene antes</w:t>
      </w:r>
    </w:p>
    <w:p>
      <w:pPr>
        <w:pStyle w:val="Heading3"/>
      </w:pPr>
      <w:bookmarkStart w:name="b_pregunta_p2e_18_midnight_oil" w:id="6284"/>
      <w:r>
        <w:t xml:space="preserve">S2-132 · 3.6 · Modelación dinámica</w:t>
      </w:r>
      <w:bookmarkEnd w:id="6284"/>
    </w:p>
    <w:p>
      <w:pPr>
        <w:pStyle w:val="Normal"/>
      </w:pPr>
      <w:r>
        <w:t xml:space="preserve">Al ampliar el caso de Ana aparecen cuatro ciclos: B1 «Midnight Oil», B2 «Atajos», R1 «Explosión» y R2. ¿Qué añade el ciclo R1 a la historia?</w:t>
      </w:r>
    </w:p>
    <w:p>
      <w:pPr>
        <w:pStyle w:val="Normal"/>
      </w:pPr>
      <w:r>
        <w:t xml:space="preserve">a) Que el trabajo extra aumenta la fatiga —con demora—, la fatiga reduce la productividad y con ello cae la tasa de terminación</w:t>
      </w:r>
    </w:p>
    <w:p>
      <w:pPr>
        <w:pStyle w:val="Normal"/>
      </w:pPr>
      <w:r>
        <w:t xml:space="preserve">b) Que los atajos reducen el tiempo por tarea</w:t>
      </w:r>
    </w:p>
    <w:p>
      <w:pPr>
        <w:pStyle w:val="Normal"/>
      </w:pPr>
      <w:r>
        <w:t xml:space="preserve">c) Que el trabajo pendiente aumenta la presión</w:t>
      </w:r>
    </w:p>
    <w:p>
      <w:pPr>
        <w:pStyle w:val="Normal"/>
      </w:pPr>
      <w:r>
        <w:t xml:space="preserve">d) Que el tiempo disponible es una variable externa</w:t>
      </w:r>
    </w:p>
    <w:p>
      <w:pPr>
        <w:pStyle w:val="Heading3"/>
      </w:pPr>
      <w:bookmarkStart w:name="b_pregunta_p2e_19_apalancamiento" w:id="6285"/>
      <w:r>
        <w:t xml:space="preserve">S2-133 · 3.6 · Modelación dinámica</w:t>
      </w:r>
      <w:bookmarkEnd w:id="6285"/>
    </w:p>
    <w:p>
      <w:pPr>
        <w:pStyle w:val="Normal"/>
      </w:pPr>
      <w:r>
        <w:t xml:space="preserve">El caso de la empresa ACME se usó para introducir un concepto que se desarrollará en la unidad siguiente. ¿Cuál?</w:t>
      </w:r>
    </w:p>
    <w:p>
      <w:pPr>
        <w:pStyle w:val="Normal"/>
      </w:pPr>
      <w:r>
        <w:t xml:space="preserve">a) La entropía</w:t>
      </w:r>
    </w:p>
    <w:p>
      <w:pPr>
        <w:pStyle w:val="Normal"/>
      </w:pPr>
      <w:r>
        <w:t xml:space="preserve">b) Los puntos de apalancamiento: los lugares de la estructura donde una intervención pequeña produce un cambio grande</w:t>
      </w:r>
    </w:p>
    <w:p>
      <w:pPr>
        <w:pStyle w:val="Normal"/>
      </w:pPr>
      <w:r>
        <w:t xml:space="preserve">c) La equifinalidad</w:t>
      </w:r>
    </w:p>
    <w:p>
      <w:pPr>
        <w:pStyle w:val="Normal"/>
      </w:pPr>
      <w:r>
        <w:t xml:space="preserve">d) La sistematografía</w:t>
      </w:r>
    </w:p>
    <w:p>
      <w:pPr>
        <w:pStyle w:val="Heading3"/>
      </w:pPr>
      <w:bookmarkStart w:name="b_pregunta_p2e_20_estructuras_i_66906253" w:id="6286"/>
      <w:r>
        <w:t xml:space="preserve">S2-134 · 3.6 · Modelación dinámica</w:t>
      </w:r>
      <w:bookmarkEnd w:id="6286"/>
    </w:p>
    <w:p>
      <w:pPr>
        <w:pStyle w:val="Normal"/>
      </w:pPr>
      <w:r>
        <w:t xml:space="preserve">Según la lámina sobre estructuras sistémicas, ¿qué puede funcionar como estructura de un sistema?</w:t>
      </w:r>
    </w:p>
    <w:p>
      <w:pPr>
        <w:pStyle w:val="Normal"/>
      </w:pPr>
      <w:r>
        <w:t xml:space="preserve">a) Estructuras físicas, como la disposición de un espacio</w:t>
      </w:r>
    </w:p>
    <w:p>
      <w:pPr>
        <w:pStyle w:val="Normal"/>
      </w:pPr>
      <w:r>
        <w:t xml:space="preserve">b) Leyes y políticas</w:t>
      </w:r>
    </w:p>
    <w:p>
      <w:pPr>
        <w:pStyle w:val="Normal"/>
      </w:pPr>
      <w:r>
        <w:t xml:space="preserve">c) Estructuras sociales como tradiciones y rutinas</w:t>
      </w:r>
    </w:p>
    <w:p>
      <w:pPr>
        <w:pStyle w:val="Normal"/>
      </w:pPr>
      <w:r>
        <w:t xml:space="preserve">d) Únicamente los elementos materiales del sistema</w:t>
      </w:r>
    </w:p>
    <w:p>
      <w:pPr>
        <w:pStyle w:val="Heading3"/>
      </w:pPr>
      <w:bookmarkStart w:name="b_pregunta_p2e_21_iceberg_cuatro_niveles" w:id="6287"/>
      <w:r>
        <w:t xml:space="preserve">S2-135 · 3.6 · Modelación dinámica</w:t>
      </w:r>
      <w:bookmarkEnd w:id="6287"/>
    </w:p>
    <w:p>
      <w:pPr>
        <w:pStyle w:val="Normal"/>
      </w:pPr>
      <w:r>
        <w:t xml:space="preserve">Ordene los cuatro niveles del iceberg desde el más visible hasta el más profundo.</w:t>
      </w:r>
    </w:p>
    <w:p>
      <w:pPr>
        <w:pStyle w:val="Normal"/>
      </w:pPr>
      <w:r>
        <w:t xml:space="preserve">a) Modelos mentales: ¿qué supuestos, creencias y valores tiene la gente sobre el sistema?</w:t>
      </w:r>
    </w:p>
    <w:p>
      <w:pPr>
        <w:pStyle w:val="Normal"/>
      </w:pPr>
      <w:r>
        <w:t xml:space="preserve">b) Patrones de comportamiento: ¿qué ha venido sucediendo? ¿cuáles son las tendencias?</w:t>
      </w:r>
    </w:p>
    <w:p>
      <w:pPr>
        <w:pStyle w:val="Normal"/>
      </w:pPr>
      <w:r>
        <w:t xml:space="preserve">c) Eventos: ¿qué pasó?</w:t>
      </w:r>
    </w:p>
    <w:p>
      <w:pPr>
        <w:pStyle w:val="Normal"/>
      </w:pPr>
      <w:r>
        <w:t xml:space="preserve">d) Estructuras subyacentes: ¿qué ha influido en los patrones? ¿cuáles son las relaciones entre las partes?</w:t>
      </w:r>
    </w:p>
    <w:p>
      <w:pPr>
        <w:pStyle w:val="Heading3"/>
      </w:pPr>
      <w:bookmarkStart w:name="b_pregunta_p2e_22_pregunta_clave" w:id="6288"/>
      <w:r>
        <w:t xml:space="preserve">S2-136 · 3.6 · Modelación dinámica</w:t>
      </w:r>
      <w:bookmarkEnd w:id="6288"/>
    </w:p>
    <w:p>
      <w:pPr>
        <w:pStyle w:val="Normal"/>
      </w:pPr>
      <w:r>
        <w:t xml:space="preserve">Al abordar un problema en grupo, la lámina propone una pregunta para enfocar la conversación y evitar la culpa. ¿Cuál?</w:t>
      </w:r>
    </w:p>
    <w:p>
      <w:pPr>
        <w:pStyle w:val="Normal"/>
      </w:pPr>
      <w:r>
        <w:t xml:space="preserve">a) ¿Quién es responsable de esto?</w:t>
      </w:r>
    </w:p>
    <w:p>
      <w:pPr>
        <w:pStyle w:val="Normal"/>
      </w:pPr>
      <w:r>
        <w:t xml:space="preserve">b) ¿Qué tiene este problema que no entendemos?</w:t>
      </w:r>
    </w:p>
    <w:p>
      <w:pPr>
        <w:pStyle w:val="Normal"/>
      </w:pPr>
      <w:r>
        <w:t xml:space="preserve">c) ¿Cuánto nos costará resolverlo?</w:t>
      </w:r>
    </w:p>
    <w:p>
      <w:pPr>
        <w:pStyle w:val="Normal"/>
      </w:pPr>
      <w:r>
        <w:t xml:space="preserve">d) ¿Cuándo empezó a ocurrir?</w:t>
      </w:r>
    </w:p>
    <w:p>
      <w:pPr>
        <w:pStyle w:val="Heading3"/>
      </w:pPr>
      <w:bookmarkStart w:name="b_pregunta_p2e_25_preguntas_hab_0e6c0dce" w:id="6289"/>
      <w:r>
        <w:t xml:space="preserve">S2-137 · 3.6 · Modelación dinámica</w:t>
      </w:r>
      <w:bookmarkEnd w:id="6289"/>
    </w:p>
    <w:p>
      <w:pPr>
        <w:pStyle w:val="Normal"/>
      </w:pPr>
      <w:r>
        <w:t xml:space="preserve">Relacione cada pregunta guía con el hábito del pensador sistémico complejo al que pertenece.</w:t>
      </w:r>
    </w:p>
    <w:p>
      <w:pPr>
        <w:pStyle w:val="Normal"/>
      </w:pPr>
      <w:r>
        <w:t xml:space="preserve">a) Fila: «¿Cómo la organización e interacción de las partes crean el comportamiento que aparece?»</w:t>
      </w:r>
    </w:p>
    <w:p>
      <w:pPr>
        <w:pStyle w:val="Normal"/>
      </w:pPr>
      <w:r>
        <w:t xml:space="preserve">b) Fila: «Si hacemos un cambio al sistema, ¿cuánto tiempo pasará antes de ver los resultados deseados?»</w:t>
      </w:r>
    </w:p>
    <w:p>
      <w:pPr>
        <w:pStyle w:val="Normal"/>
      </w:pPr>
      <w:r>
        <w:t xml:space="preserve">c) Fila: «¿En dónde aparece la retroalimentación de la causalidad circular?»</w:t>
      </w:r>
    </w:p>
    <w:p>
      <w:pPr>
        <w:pStyle w:val="Normal"/>
      </w:pPr>
      <w:r>
        <w:t xml:space="preserve">d) Fila: «¿Qué patrones o tendencias han aparecido a través del tiempo?»</w:t>
      </w:r>
    </w:p>
    <w:p>
      <w:pPr>
        <w:pStyle w:val="Normal"/>
      </w:pPr>
      <w:r>
        <w:t xml:space="preserve">e) a) Reconoce que la estructura de un sistema genera su comportamiento</w:t>
      </w:r>
    </w:p>
    <w:p>
      <w:pPr>
        <w:pStyle w:val="Normal"/>
      </w:pPr>
      <w:r>
        <w:t xml:space="preserve">f) b) Reconoce el impacto de las demoras</w:t>
      </w:r>
    </w:p>
    <w:p>
      <w:pPr>
        <w:pStyle w:val="Normal"/>
      </w:pPr>
      <w:r>
        <w:t xml:space="preserve">g) c) Identifica la naturaleza circular de las relaciones complejas</w:t>
      </w:r>
    </w:p>
    <w:p>
      <w:pPr>
        <w:pStyle w:val="Normal"/>
      </w:pPr>
      <w:r>
        <w:t xml:space="preserve">h) d) Observa cómo los elementos cambian a través del tiempo</w:t>
      </w:r>
    </w:p>
    <w:p>
      <w:pPr>
        <w:pStyle w:val="Normal"/>
      </w:pPr>
      <w:r>
        <w:t xml:space="preserve">i) e) Hace conexiones significativas dentro y entre sistemas</w:t>
      </w:r>
    </w:p>
    <w:p>
      <w:pPr>
        <w:pStyle w:val="Normal"/>
      </w:pPr>
      <w:r>
        <w:t xml:space="preserve">j) f) Cambia las perspectivas para aumentar la comprensión</w:t>
      </w:r>
    </w:p>
    <w:p>
      <w:pPr>
        <w:pStyle w:val="Heading3"/>
      </w:pPr>
      <w:bookmarkStart w:name="b_pregunta_p2e_26_modelador_limite" w:id="6290"/>
      <w:r>
        <w:t xml:space="preserve">S2-138 · 3.6 · Modelación dinámica</w:t>
      </w:r>
      <w:bookmarkEnd w:id="6290"/>
    </w:p>
    <w:p>
      <w:pPr>
        <w:pStyle w:val="Normal"/>
      </w:pPr>
      <w:r>
        <w:t xml:space="preserve">«Un pensador sistémico nunca considera que tiene toda la comprensión de los sistemas». ¿Qué consecuencia tiene esa afirmación para la modelación?</w:t>
      </w:r>
    </w:p>
    <w:p>
      <w:pPr>
        <w:pStyle w:val="Normal"/>
      </w:pPr>
      <w:r>
        <w:t xml:space="preserve">a) Que no vale la pena modelar, porque el modelo será incompleto</w:t>
      </w:r>
    </w:p>
    <w:p>
      <w:pPr>
        <w:pStyle w:val="Normal"/>
      </w:pPr>
      <w:r>
        <w:t xml:space="preserve">b) Que todo modelo queda abierto a nuevas perspectivas y a revisión, porque siempre puede haber más de lo que se alcanzó a percibir</w:t>
      </w:r>
    </w:p>
    <w:p>
      <w:pPr>
        <w:pStyle w:val="Normal"/>
      </w:pPr>
      <w:r>
        <w:t xml:space="preserve">c) Que hay que pedir siempre la opinión del profesor</w:t>
      </w:r>
    </w:p>
    <w:p>
      <w:pPr>
        <w:pStyle w:val="Normal"/>
      </w:pPr>
      <w:r>
        <w:t xml:space="preserve">d) Que los modelos deben tener el mayor número posible de variables</w:t>
      </w:r>
    </w:p>
    <w:p>
      <w:pPr>
        <w:pStyle w:val="Heading3"/>
      </w:pPr>
      <w:bookmarkStart w:name="b_pregunta_p2e_30_flujo_o_acopio" w:id="6291"/>
      <w:r>
        <w:t xml:space="preserve">S2-139 · 3.6 · Modelación dinámica</w:t>
      </w:r>
      <w:bookmarkEnd w:id="6291"/>
    </w:p>
    <w:p>
      <w:pPr>
        <w:pStyle w:val="Normal"/>
      </w:pPr>
      <w:r>
        <w:t xml:space="preserve">Echeverri y Franco enumeran pares en los que la primera variable es un flujo y la segunda un acopio. Clasifique cada variable.</w:t>
      </w:r>
    </w:p>
    <w:p>
      <w:pPr>
        <w:pStyle w:val="Normal"/>
      </w:pPr>
      <w:r>
        <w:t xml:space="preserve">a) Destinos: Flujo; Acopio (nivel)</w:t>
      </w:r>
    </w:p>
    <w:p>
      <w:pPr>
        <w:pStyle w:val="Normal"/>
      </w:pPr>
      <w:r>
        <w:t xml:space="preserve">b) El agua que entra cada minuto a la piscina</w:t>
      </w:r>
    </w:p>
    <w:p>
      <w:pPr>
        <w:pStyle w:val="Normal"/>
      </w:pPr>
      <w:r>
        <w:t xml:space="preserve">c) El agua acumulada en la piscina</w:t>
      </w:r>
    </w:p>
    <w:p>
      <w:pPr>
        <w:pStyle w:val="Normal"/>
      </w:pPr>
      <w:r>
        <w:t xml:space="preserve">d) Los intereses del mes</w:t>
      </w:r>
    </w:p>
    <w:p>
      <w:pPr>
        <w:pStyle w:val="Normal"/>
      </w:pPr>
      <w:r>
        <w:t xml:space="preserve">e) La deuda</w:t>
      </w:r>
    </w:p>
    <w:p>
      <w:pPr>
        <w:pStyle w:val="Normal"/>
      </w:pPr>
      <w:r>
        <w:t xml:space="preserve">f) El déficit fiscal de cada año</w:t>
      </w:r>
    </w:p>
    <w:p>
      <w:pPr>
        <w:pStyle w:val="Normal"/>
      </w:pPr>
      <w:r>
        <w:t xml:space="preserve">g) La deuda nacional</w:t>
      </w:r>
    </w:p>
    <w:p>
      <w:pPr>
        <w:pStyle w:val="Normal"/>
      </w:pPr>
      <w:r>
        <w:t xml:space="preserve">h) Las notas parciales</w:t>
      </w:r>
    </w:p>
    <w:p>
      <w:pPr>
        <w:pStyle w:val="Normal"/>
      </w:pPr>
      <w:r>
        <w:t xml:space="preserve">i) La nota definitiva</w:t>
      </w:r>
    </w:p>
    <w:p>
      <w:pPr>
        <w:pStyle w:val="Heading3"/>
      </w:pPr>
      <w:bookmarkStart w:name="b_pregunta_p2e_31_deficit_deuda_banera" w:id="6292"/>
      <w:r>
        <w:t xml:space="preserve">S2-140 · 3.6 · Modelación dinámica</w:t>
      </w:r>
      <w:bookmarkEnd w:id="6292"/>
    </w:p>
    <w:p>
      <w:pPr>
        <w:pStyle w:val="Normal"/>
      </w:pPr>
      <w:r>
        <w:t xml:space="preserve">Sterman, citado por Echeverri y Franco: un gobierno anuncia que redujo el déficit. ¿Qué pasa con la deuda nacional?</w:t>
      </w:r>
    </w:p>
    <w:p>
      <w:pPr>
        <w:pStyle w:val="Normal"/>
      </w:pPr>
      <w:r>
        <w:t xml:space="preserve">a) Disminuye en la misma proporción en que se redujo el déficit</w:t>
      </w:r>
    </w:p>
    <w:p>
      <w:pPr>
        <w:pStyle w:val="Normal"/>
      </w:pPr>
      <w:r>
        <w:t xml:space="preserve">b) Sigue creciendo, sólo que a menor ritmo: el déficit es el flujo y la deuda el depósito, y la deuda sólo baja si se recauda más de lo que se gasta, como la bañera sólo baja si sale más agua de la que entra</w:t>
      </w:r>
    </w:p>
    <w:p>
      <w:pPr>
        <w:pStyle w:val="Normal"/>
      </w:pPr>
      <w:r>
        <w:t xml:space="preserve">c) Se mantiene igual, porque déficit y deuda son el mismo concepto</w:t>
      </w:r>
    </w:p>
    <w:p>
      <w:pPr>
        <w:pStyle w:val="Normal"/>
      </w:pPr>
      <w:r>
        <w:t xml:space="preserve">d) Desaparece cuando el déficit llega a cero</w:t>
      </w:r>
    </w:p>
    <w:p>
      <w:pPr>
        <w:pStyle w:val="Heading3"/>
      </w:pPr>
      <w:bookmarkStart w:name="b_pregunta_p2e_32_elementos_acopio_flujo" w:id="6293"/>
      <w:r>
        <w:t xml:space="preserve">S2-141 · 3.6 · Modelación dinámica</w:t>
      </w:r>
      <w:bookmarkEnd w:id="6293"/>
    </w:p>
    <w:p>
      <w:pPr>
        <w:pStyle w:val="Normal"/>
      </w:pPr>
      <w:r>
        <w:t xml:space="preserve">Relacione cada elemento de un diagrama de acopio y flujo, según Senge en «Escuelas que aprenden», con su descripción.</w:t>
      </w:r>
    </w:p>
    <w:p>
      <w:pPr>
        <w:pStyle w:val="Normal"/>
      </w:pPr>
      <w:r>
        <w:t xml:space="preserve">a) Fila: Acopio (stock)</w:t>
      </w:r>
    </w:p>
    <w:p>
      <w:pPr>
        <w:pStyle w:val="Normal"/>
      </w:pPr>
      <w:r>
        <w:t xml:space="preserve">b) Fila: Flujo</w:t>
      </w:r>
    </w:p>
    <w:p>
      <w:pPr>
        <w:pStyle w:val="Normal"/>
      </w:pPr>
      <w:r>
        <w:t xml:space="preserve">c) Fila: Convertidor</w:t>
      </w:r>
    </w:p>
    <w:p>
      <w:pPr>
        <w:pStyle w:val="Normal"/>
      </w:pPr>
      <w:r>
        <w:t xml:space="preserve">d) Fila: Nube</w:t>
      </w:r>
    </w:p>
    <w:p>
      <w:pPr>
        <w:pStyle w:val="Normal"/>
      </w:pPr>
      <w:r>
        <w:t xml:space="preserve">e) a) Una acumulación de alguna cantidad, medible o no; se representa con un rectángulo</w:t>
      </w:r>
    </w:p>
    <w:p>
      <w:pPr>
        <w:pStyle w:val="Normal"/>
      </w:pPr>
      <w:r>
        <w:t xml:space="preserve">f) b) La velocidad con que las cantidades entran o salen; como una llave de paso, se dibuja con una flecha y una válvula</w:t>
      </w:r>
    </w:p>
    <w:p>
      <w:pPr>
        <w:pStyle w:val="Normal"/>
      </w:pPr>
      <w:r>
        <w:t xml:space="preserve">g) c) Cantidades que tienen impacto sobre los acopios y los flujos</w:t>
      </w:r>
    </w:p>
    <w:p>
      <w:pPr>
        <w:pStyle w:val="Normal"/>
      </w:pPr>
      <w:r>
        <w:t xml:space="preserve">h) d) Áreas fuera del sistema donde un flujo se origina o desemboca</w:t>
      </w:r>
    </w:p>
    <w:p>
      <w:pPr>
        <w:pStyle w:val="Normal"/>
      </w:pPr>
      <w:r>
        <w:t xml:space="preserve">i) e) Flechas que interrelacionan los elementos; cada una lleva una fórmula</w:t>
      </w:r>
    </w:p>
    <w:p>
      <w:pPr>
        <w:pStyle w:val="Heading3"/>
      </w:pPr>
      <w:bookmarkStart w:name="b_pregunta_p2l_cocinas" w:id="6294"/>
      <w:r>
        <w:t xml:space="preserve">S2-142 · 3.6 · Modelación dinámica</w:t>
      </w:r>
      <w:bookmarkEnd w:id="6294"/>
    </w:p>
    <w:p>
      <w:pPr>
        <w:pStyle w:val="Normal"/>
      </w:pPr>
      <w:r>
        <w:t xml:space="preserve">¿Por qué cocinas comercial y familiar pueden tener distinta disposición aunque ambas preparen alimentos?</w:t>
      </w:r>
    </w:p>
    <w:p>
      <w:pPr>
        <w:pStyle w:val="Normal"/>
      </w:pPr>
      <w:r>
        <w:t xml:space="preserve">a) Porque la estructura nunca influye en la preparación</w:t>
      </w:r>
    </w:p>
    <w:p>
      <w:pPr>
        <w:pStyle w:val="Normal"/>
      </w:pPr>
      <w:r>
        <w:t xml:space="preserve">b) Porque toda cocina familiar debe copiar una comercial</w:t>
      </w:r>
    </w:p>
    <w:p>
      <w:pPr>
        <w:pStyle w:val="Normal"/>
      </w:pPr>
      <w:r>
        <w:t xml:space="preserve">c) Porque sólo el nombre del edificio produce el comportamiento</w:t>
      </w:r>
    </w:p>
    <w:p>
      <w:pPr>
        <w:pStyle w:val="Normal"/>
      </w:pPr>
      <w:r>
        <w:t xml:space="preserve">d) Porque volumen, rapidez y convivencia deseados exigen distintas relaciones entre puestos, personas y procesos</w:t>
      </w:r>
    </w:p>
    <w:p>
      <w:pPr>
        <w:pStyle w:val="Heading3"/>
      </w:pPr>
      <w:bookmarkStart w:name="b_pregunta_p2l_comedero_ardillas" w:id="6295"/>
      <w:r>
        <w:t xml:space="preserve">S2-143 · 3.6 · Modelación dinámica</w:t>
      </w:r>
      <w:bookmarkEnd w:id="6295"/>
    </w:p>
    <w:p>
      <w:pPr>
        <w:pStyle w:val="Normal"/>
      </w:pPr>
      <w:r>
        <w:t xml:space="preserve">¿Qué dos mecanismos de las ardillas aumentan las compras de alimento?</w:t>
      </w:r>
    </w:p>
    <w:p>
      <w:pPr>
        <w:pStyle w:val="Normal"/>
      </w:pPr>
      <w:r>
        <w:t xml:space="preserve">a) Reducen a cero consumo y derrame</w:t>
      </w:r>
    </w:p>
    <w:p>
      <w:pPr>
        <w:pStyle w:val="Normal"/>
      </w:pPr>
      <w:r>
        <w:t xml:space="preserve">b) Consumen alimento y provocan derrame; además pueden desplazar aves, con valoración dependiente del observador</w:t>
      </w:r>
    </w:p>
    <w:p>
      <w:pPr>
        <w:pStyle w:val="Normal"/>
      </w:pPr>
      <w:r>
        <w:t xml:space="preserve">c) Sólo mejoran el agrado para todo observador sin excepción</w:t>
      </w:r>
    </w:p>
    <w:p>
      <w:pPr>
        <w:pStyle w:val="Normal"/>
      </w:pPr>
      <w:r>
        <w:t xml:space="preserve">d) Sólo cambian el color de los pájaros</w:t>
      </w:r>
    </w:p>
    <w:p>
      <w:pPr>
        <w:pStyle w:val="Heading3"/>
      </w:pPr>
      <w:bookmarkStart w:name="b_pregunta_p2l_comedero_compras" w:id="6296"/>
      <w:r>
        <w:t xml:space="preserve">S2-144 · 3.6 · Modelación dinámica</w:t>
      </w:r>
      <w:bookmarkEnd w:id="6296"/>
    </w:p>
    <w:p>
      <w:pPr>
        <w:pStyle w:val="Normal"/>
      </w:pPr>
      <w:r>
        <w:t xml:space="preserve">¿Qué ruta explica por qué atraer más aves puede aumentar la frustración?</w:t>
      </w:r>
    </w:p>
    <w:p>
      <w:pPr>
        <w:pStyle w:val="Normal"/>
      </w:pPr>
      <w:r>
        <w:t xml:space="preserve">a) Más aves elimina toda compra de alimento</w:t>
      </w:r>
    </w:p>
    <w:p>
      <w:pPr>
        <w:pStyle w:val="Normal"/>
      </w:pPr>
      <w:r>
        <w:t xml:space="preserve">b) La frustración sólo existe si desaparece el comedero</w:t>
      </w:r>
    </w:p>
    <w:p>
      <w:pPr>
        <w:pStyle w:val="Normal"/>
      </w:pPr>
      <w:r>
        <w:t xml:space="preserve">c) El gasto es ajeno a cualquier resultado de la intervención</w:t>
      </w:r>
    </w:p>
    <w:p>
      <w:pPr>
        <w:pStyle w:val="Normal"/>
      </w:pPr>
      <w:r>
        <w:t xml:space="preserve">d) Más aves → más alimento por comprar → gasto imprevisto → frustración; importa estimar cantidad y costo</w:t>
      </w:r>
    </w:p>
    <w:p>
      <w:pPr>
        <w:pStyle w:val="Heading3"/>
      </w:pPr>
      <w:bookmarkStart w:name="b_pregunta_p2l_comedero_derrame" w:id="6297"/>
      <w:r>
        <w:t xml:space="preserve">S2-145 · 3.6 · Modelación dinámica</w:t>
      </w:r>
      <w:bookmarkEnd w:id="6297"/>
    </w:p>
    <w:p>
      <w:pPr>
        <w:pStyle w:val="Normal"/>
      </w:pPr>
      <w:r>
        <w:t xml:space="preserve">¿Cómo vuelve el derrame de alimento sobre el resultado buscado?</w:t>
      </w:r>
    </w:p>
    <w:p>
      <w:pPr>
        <w:pStyle w:val="Normal"/>
      </w:pPr>
      <w:r>
        <w:t xml:space="preserve">a) Más aves producen derrame; reponer alimento aumenta compras y frustración, reduciendo el agrado de la mañana</w:t>
      </w:r>
    </w:p>
    <w:p>
      <w:pPr>
        <w:pStyle w:val="Normal"/>
      </w:pPr>
      <w:r>
        <w:t xml:space="preserve">b) El derrame siempre reduce la compra y aumenta agrado</w:t>
      </w:r>
    </w:p>
    <w:p>
      <w:pPr>
        <w:pStyle w:val="Normal"/>
      </w:pPr>
      <w:r>
        <w:t xml:space="preserve">c) El derrame carece de conexión con las aves</w:t>
      </w:r>
    </w:p>
    <w:p>
      <w:pPr>
        <w:pStyle w:val="Normal"/>
      </w:pPr>
      <w:r>
        <w:t xml:space="preserve">d) El derrame mide una perspectiva de la OMS</w:t>
      </w:r>
    </w:p>
    <w:p>
      <w:pPr>
        <w:pStyle w:val="Heading3"/>
      </w:pPr>
      <w:bookmarkStart w:name="b_pregunta_p2l_comedero_efectos" w:id="6298"/>
      <w:r>
        <w:t xml:space="preserve">S2-146 · 3.6 · Modelación dinámica</w:t>
      </w:r>
      <w:bookmarkEnd w:id="6298"/>
    </w:p>
    <w:p>
      <w:pPr>
        <w:pStyle w:val="Normal"/>
      </w:pPr>
      <w:r>
        <w:t xml:space="preserve">¿Qué cadenas secundarias elevan frustración en el mapa completo del comedero?</w:t>
      </w:r>
    </w:p>
    <w:p>
      <w:pPr>
        <w:pStyle w:val="Normal"/>
      </w:pPr>
      <w:r>
        <w:t xml:space="preserve">a) Derrame → menos roedores y ausencia de vegetación</w:t>
      </w:r>
    </w:p>
    <w:p>
      <w:pPr>
        <w:pStyle w:val="Normal"/>
      </w:pPr>
      <w:r>
        <w:t xml:space="preserve">b) Pájaros → desaparición de todo desecho</w:t>
      </w:r>
    </w:p>
    <w:p>
      <w:pPr>
        <w:pStyle w:val="Normal"/>
      </w:pPr>
      <w:r>
        <w:t xml:space="preserve">c) Derrame → roedores; derrame → crecimiento antiestético; pájaros → desechos de aves</w:t>
      </w:r>
    </w:p>
    <w:p>
      <w:pPr>
        <w:pStyle w:val="Normal"/>
      </w:pPr>
      <w:r>
        <w:t xml:space="preserve">d) Frustración → menor gasto sin mediaciones</w:t>
      </w:r>
    </w:p>
    <w:p>
      <w:pPr>
        <w:pStyle w:val="Heading3"/>
      </w:pPr>
      <w:bookmarkStart w:name="b_pregunta_p2l_comedero_frustracion" w:id="6299"/>
      <w:r>
        <w:t xml:space="preserve">S2-147 · 3.6 · Modelación dinámica</w:t>
      </w:r>
      <w:bookmarkEnd w:id="6299"/>
    </w:p>
    <w:p>
      <w:pPr>
        <w:pStyle w:val="Normal"/>
      </w:pPr>
      <w:r>
        <w:t xml:space="preserve">Si agrado y frustración se inhiben mutuamente, ¿qué expresa el recorrido de dos negativas?</w:t>
      </w:r>
    </w:p>
    <w:p>
      <w:pPr>
        <w:pStyle w:val="Normal"/>
      </w:pPr>
      <w:r>
        <w:t xml:space="preserve">a) Un balance sólo porque aparece una relación negativa</w:t>
      </w:r>
    </w:p>
    <w:p>
      <w:pPr>
        <w:pStyle w:val="Normal"/>
      </w:pPr>
      <w:r>
        <w:t xml:space="preserve">b) Una cadena abierta sin retorno</w:t>
      </w:r>
    </w:p>
    <w:p>
      <w:pPr>
        <w:pStyle w:val="Normal"/>
      </w:pPr>
      <w:r>
        <w:t xml:space="preserve">c) Un refuerzo: más frustración reduce agrado, lo que deja menos ayuda para reducir frustración</w:t>
      </w:r>
    </w:p>
    <w:p>
      <w:pPr>
        <w:pStyle w:val="Normal"/>
      </w:pPr>
      <w:r>
        <w:t xml:space="preserve">d) Dos variables que siempre aumentan juntas</w:t>
      </w:r>
    </w:p>
    <w:p>
      <w:pPr>
        <w:pStyle w:val="Heading3"/>
      </w:pPr>
      <w:bookmarkStart w:name="b_pregunta_p2l_comedero_inicio" w:id="6300"/>
      <w:r>
        <w:t xml:space="preserve">S2-148 · 3.6 · Modelación dinámica</w:t>
      </w:r>
      <w:bookmarkEnd w:id="6300"/>
    </w:p>
    <w:p>
      <w:pPr>
        <w:pStyle w:val="Normal"/>
      </w:pPr>
      <w:r>
        <w:t xml:space="preserve">¿Qué recorrido cierra la intención inicial del comedero?</w:t>
      </w:r>
    </w:p>
    <w:p>
      <w:pPr>
        <w:pStyle w:val="Normal"/>
      </w:pPr>
      <w:r>
        <w:t xml:space="preserve">a) Mañana agradable → comedero → pájaros → mañana agradable</w:t>
      </w:r>
    </w:p>
    <w:p>
      <w:pPr>
        <w:pStyle w:val="Normal"/>
      </w:pPr>
      <w:r>
        <w:t xml:space="preserve">b) Comedero → pájaros sin ningún retorno</w:t>
      </w:r>
    </w:p>
    <w:p>
      <w:pPr>
        <w:pStyle w:val="Normal"/>
      </w:pPr>
      <w:r>
        <w:t xml:space="preserve">c) Compra → gasto → frustración, sin relación con la mañana</w:t>
      </w:r>
    </w:p>
    <w:p>
      <w:pPr>
        <w:pStyle w:val="Normal"/>
      </w:pPr>
      <w:r>
        <w:t xml:space="preserve">d) Roedores → luz → caudal → roedores</w:t>
      </w:r>
    </w:p>
    <w:p>
      <w:pPr>
        <w:pStyle w:val="Heading3"/>
      </w:pPr>
      <w:bookmarkStart w:name="b_pregunta_p2l_comedero_jardin" w:id="6301"/>
      <w:r>
        <w:t xml:space="preserve">S2-149 · 3.6 · Modelación dinámica</w:t>
      </w:r>
      <w:bookmarkEnd w:id="6301"/>
    </w:p>
    <w:p>
      <w:pPr>
        <w:pStyle w:val="Normal"/>
      </w:pPr>
      <w:r>
        <w:t xml:space="preserve">¿Qué añade el atractivo del jardín a la historia del comedero?</w:t>
      </w:r>
    </w:p>
    <w:p>
      <w:pPr>
        <w:pStyle w:val="Normal"/>
      </w:pPr>
      <w:r>
        <w:t xml:space="preserve">a) Reduce necesariamente los pájaros y no afecta la mañana</w:t>
      </w:r>
    </w:p>
    <w:p>
      <w:pPr>
        <w:pStyle w:val="Normal"/>
      </w:pPr>
      <w:r>
        <w:t xml:space="preserve">b) Los pájaros lo aumentan, éste atrae más pájaros y también mejora la mañana</w:t>
      </w:r>
    </w:p>
    <w:p>
      <w:pPr>
        <w:pStyle w:val="Normal"/>
      </w:pPr>
      <w:r>
        <w:t xml:space="preserve">c) Es un nodo aislado sin influencias</w:t>
      </w:r>
    </w:p>
    <w:p>
      <w:pPr>
        <w:pStyle w:val="Normal"/>
      </w:pPr>
      <w:r>
        <w:t xml:space="preserve">d) Sustituye por completo a la necesidad de alimento</w:t>
      </w:r>
    </w:p>
    <w:p>
      <w:pPr>
        <w:pStyle w:val="Heading3"/>
      </w:pPr>
      <w:bookmarkStart w:name="b_pregunta_p2l_espacios" w:id="6302"/>
      <w:r>
        <w:t xml:space="preserve">S2-150 · 3.6 · Modelación dinámica</w:t>
      </w:r>
      <w:bookmarkEnd w:id="6302"/>
    </w:p>
    <w:p>
      <w:pPr>
        <w:pStyle w:val="Normal"/>
      </w:pPr>
      <w:r>
        <w:t xml:space="preserve">¿Qué inventario ayuda a analizar cómo un espacio facilita interacciones?</w:t>
      </w:r>
    </w:p>
    <w:p>
      <w:pPr>
        <w:pStyle w:val="Normal"/>
      </w:pPr>
      <w:r>
        <w:t xml:space="preserve">a) Distribución, muebles, iluminación y acústica, relacionados con la conducta buscada</w:t>
      </w:r>
    </w:p>
    <w:p>
      <w:pPr>
        <w:pStyle w:val="Normal"/>
      </w:pPr>
      <w:r>
        <w:t xml:space="preserve">b) Sólo contar cuántas personas caben sin estudiar sus interacciones</w:t>
      </w:r>
    </w:p>
    <w:p>
      <w:pPr>
        <w:pStyle w:val="Normal"/>
      </w:pPr>
      <w:r>
        <w:t xml:space="preserve">c) Mirar el edificio sin preguntar su propósito</w:t>
      </w:r>
    </w:p>
    <w:p>
      <w:pPr>
        <w:pStyle w:val="Normal"/>
      </w:pPr>
      <w:r>
        <w:t xml:space="preserve">d) Elegir exclusivamente el color más agradable</w:t>
      </w:r>
    </w:p>
    <w:p>
      <w:pPr>
        <w:pStyle w:val="Heading3"/>
      </w:pPr>
      <w:bookmarkStart w:name="b_pregunta_p2l_familias" w:id="6303"/>
      <w:r>
        <w:t xml:space="preserve">S2-151 · 3.6 · Modelación dinámica</w:t>
      </w:r>
      <w:bookmarkEnd w:id="6303"/>
    </w:p>
    <w:p>
      <w:pPr>
        <w:pStyle w:val="Normal"/>
      </w:pPr>
      <w:r>
        <w:t xml:space="preserve">¿Qué lectura corresponde al ejemplo de reglas familiares de C-2, página 91?</w:t>
      </w:r>
    </w:p>
    <w:p>
      <w:pPr>
        <w:pStyle w:val="Normal"/>
      </w:pPr>
      <w:r>
        <w:t xml:space="preserve">a) Las reglas rígidas benefician por igual a todo niño</w:t>
      </w:r>
    </w:p>
    <w:p>
      <w:pPr>
        <w:pStyle w:val="Normal"/>
      </w:pPr>
      <w:r>
        <w:t xml:space="preserve">b) Su efecto depende de la interacción con personalidad y contexto; la previsibilidad puede apoyar o limitar según el caso</w:t>
      </w:r>
    </w:p>
    <w:p>
      <w:pPr>
        <w:pStyle w:val="Normal"/>
      </w:pPr>
      <w:r>
        <w:t xml:space="preserve">c) Las reglas flexibles causan siempre el mismo resultado</w:t>
      </w:r>
    </w:p>
    <w:p>
      <w:pPr>
        <w:pStyle w:val="Normal"/>
      </w:pPr>
      <w:r>
        <w:t xml:space="preserve">d) La personalidad hace irrelevante toda estructura</w:t>
      </w:r>
    </w:p>
    <w:p>
      <w:pPr>
        <w:pStyle w:val="Heading3"/>
      </w:pPr>
      <w:bookmarkStart w:name="b_pregunta_p2l_frutas_aprendizaje" w:id="6304"/>
      <w:r>
        <w:t xml:space="preserve">S2-152 · 3.6 · Modelación dinámica</w:t>
      </w:r>
      <w:bookmarkEnd w:id="6304"/>
    </w:p>
    <w:p>
      <w:pPr>
        <w:pStyle w:val="Normal"/>
      </w:pPr>
      <w:r>
        <w:t xml:space="preserve">¿Cómo se clasifica B5 de productividad, aprendizaje y conocimiento en la figura?</w:t>
      </w:r>
    </w:p>
    <w:p>
      <w:pPr>
        <w:pStyle w:val="Normal"/>
      </w:pPr>
      <w:r>
        <w:t xml:space="preserve">a) Balance por sus tres negativas; la demora de productividad a aprendizaje retrasa el efecto sin cambiar la paridad</w:t>
      </w:r>
    </w:p>
    <w:p>
      <w:pPr>
        <w:pStyle w:val="Normal"/>
      </w:pPr>
      <w:r>
        <w:t xml:space="preserve">b) Refuerzo porque conocimiento siempre es una palabra positiva</w:t>
      </w:r>
    </w:p>
    <w:p>
      <w:pPr>
        <w:pStyle w:val="Normal"/>
      </w:pPr>
      <w:r>
        <w:t xml:space="preserve">c) Balance porque toda demora añade un signo negativo</w:t>
      </w:r>
    </w:p>
    <w:p>
      <w:pPr>
        <w:pStyle w:val="Normal"/>
      </w:pPr>
      <w:r>
        <w:t xml:space="preserve">d) Refuerzo porque sólo se cuenta la primera flecha</w:t>
      </w:r>
    </w:p>
    <w:p>
      <w:pPr>
        <w:pStyle w:val="Heading3"/>
      </w:pPr>
      <w:bookmarkStart w:name="b_pregunta_p2l_frutas_capacidad" w:id="6305"/>
      <w:r>
        <w:t xml:space="preserve">S2-153 · 3.6 · Modelación dinámica</w:t>
      </w:r>
      <w:bookmarkEnd w:id="6305"/>
    </w:p>
    <w:p>
      <w:pPr>
        <w:pStyle w:val="Normal"/>
      </w:pPr>
      <w:r>
        <w:t xml:space="preserve">¿Qué comparten R3 y R4 en el modelo de frutas?</w:t>
      </w:r>
    </w:p>
    <w:p>
      <w:pPr>
        <w:pStyle w:val="Normal"/>
      </w:pPr>
      <w:r>
        <w:t xml:space="preserve">a) Sólo la palabra tecnología sin ninguna variable común</w:t>
      </w:r>
    </w:p>
    <w:p>
      <w:pPr>
        <w:pStyle w:val="Normal"/>
      </w:pPr>
      <w:r>
        <w:t xml:space="preserve">b) Un número impar de negativas en ambos recorridos</w:t>
      </w:r>
    </w:p>
    <w:p>
      <w:pPr>
        <w:pStyle w:val="Normal"/>
      </w:pPr>
      <w:r>
        <w:t xml:space="preserve">c) Capacidad productiva; se refuerza con productividad laboral en R3 y con infraestructura en R4</w:t>
      </w:r>
    </w:p>
    <w:p>
      <w:pPr>
        <w:pStyle w:val="Normal"/>
      </w:pPr>
      <w:r>
        <w:t xml:space="preserve">d) Una ausencia de retorno entre sus variables</w:t>
      </w:r>
    </w:p>
    <w:p>
      <w:pPr>
        <w:pStyle w:val="Heading3"/>
      </w:pPr>
      <w:bookmarkStart w:name="b_pregunta_p2l_frutas_comercial" w:id="6306"/>
      <w:r>
        <w:t xml:space="preserve">S2-154 · 3.6 · Modelación dinámica</w:t>
      </w:r>
      <w:bookmarkEnd w:id="6306"/>
    </w:p>
    <w:p>
      <w:pPr>
        <w:pStyle w:val="Normal"/>
      </w:pPr>
      <w:r>
        <w:t xml:space="preserve">¿Qué recorrido comercial forma R2 en la trazabilidad de frutas?</w:t>
      </w:r>
    </w:p>
    <w:p>
      <w:pPr>
        <w:pStyle w:val="Normal"/>
      </w:pPr>
      <w:r>
        <w:t xml:space="preserve">a) Procesamiento → ventas → demanda → órdenes de producción → procesamiento, con influencias positivas</w:t>
      </w:r>
    </w:p>
    <w:p>
      <w:pPr>
        <w:pStyle w:val="Normal"/>
      </w:pPr>
      <w:r>
        <w:t xml:space="preserve">b) Productividad → aprendizaje → conocimiento → productividad</w:t>
      </w:r>
    </w:p>
    <w:p>
      <w:pPr>
        <w:pStyle w:val="Normal"/>
      </w:pPr>
      <w:r>
        <w:t xml:space="preserve">c) Especificaciones → proveedor sin retorno</w:t>
      </w:r>
    </w:p>
    <w:p>
      <w:pPr>
        <w:pStyle w:val="Normal"/>
      </w:pPr>
      <w:r>
        <w:t xml:space="preserve">d) Una secuencia temporal sin ninguna relación de retorno</w:t>
      </w:r>
    </w:p>
    <w:p>
      <w:pPr>
        <w:pStyle w:val="Heading3"/>
      </w:pPr>
      <w:bookmarkStart w:name="b_pregunta_p2l_frutas_producto" w:id="6307"/>
      <w:r>
        <w:t xml:space="preserve">S2-155 · 3.6 · Modelación dinámica</w:t>
      </w:r>
      <w:bookmarkEnd w:id="6307"/>
    </w:p>
    <w:p>
      <w:pPr>
        <w:pStyle w:val="Normal"/>
      </w:pPr>
      <w:r>
        <w:t xml:space="preserve">¿Por qué B1 y B4 son de balance en la zona de especificaciones y riesgo de frutas?</w:t>
      </w:r>
    </w:p>
    <w:p>
      <w:pPr>
        <w:pStyle w:val="Normal"/>
      </w:pPr>
      <w:r>
        <w:t xml:space="preserve">a) Porque tiene cuatro negativas</w:t>
      </w:r>
    </w:p>
    <w:p>
      <w:pPr>
        <w:pStyle w:val="Normal"/>
      </w:pPr>
      <w:r>
        <w:t xml:space="preserve">b) Cada recorrido tiene una negativa: especificaciones → trazabilidad en B1 y especificaciones → proveedor en B4</w:t>
      </w:r>
    </w:p>
    <w:p>
      <w:pPr>
        <w:pStyle w:val="Normal"/>
      </w:pPr>
      <w:r>
        <w:t xml:space="preserve">c) Porque cualquier referencia a riesgo fija el tipo B</w:t>
      </w:r>
    </w:p>
    <w:p>
      <w:pPr>
        <w:pStyle w:val="Normal"/>
      </w:pPr>
      <w:r>
        <w:t xml:space="preserve">d) Porque especificaciones y materia prima no están relacionadas</w:t>
      </w:r>
    </w:p>
    <w:p>
      <w:pPr>
        <w:pStyle w:val="Heading3"/>
      </w:pPr>
      <w:bookmarkStart w:name="b_pregunta_p2l_frutas_tecnologia" w:id="6308"/>
      <w:r>
        <w:t xml:space="preserve">S2-156 · 3.6 · Modelación dinámica</w:t>
      </w:r>
      <w:bookmarkEnd w:id="6308"/>
    </w:p>
    <w:p>
      <w:pPr>
        <w:pStyle w:val="Normal"/>
      </w:pPr>
      <w:r>
        <w:t xml:space="preserve">¿Qué distingue B2 y B3 de R5 en la zona tecnológica de frutas?</w:t>
      </w:r>
    </w:p>
    <w:p>
      <w:pPr>
        <w:pStyle w:val="Normal"/>
      </w:pPr>
      <w:r>
        <w:t xml:space="preserve">a) Los tres son R porque usan tecnología</w:t>
      </w:r>
    </w:p>
    <w:p>
      <w:pPr>
        <w:pStyle w:val="Normal"/>
      </w:pPr>
      <w:r>
        <w:t xml:space="preserve">b) Las demoras hacen imposible clasificar por paridad</w:t>
      </w:r>
    </w:p>
    <w:p>
      <w:pPr>
        <w:pStyle w:val="Normal"/>
      </w:pPr>
      <w:r>
        <w:t xml:space="preserve">c) B2 y B3 no regresan a ninguna variable inicial</w:t>
      </w:r>
    </w:p>
    <w:p>
      <w:pPr>
        <w:pStyle w:val="Normal"/>
      </w:pPr>
      <w:r>
        <w:t xml:space="preserve">d) B2 y B3 tienen una negativa y una relación demorada; R5 enlaza infraestructura e implementación con dos positivas</w:t>
      </w:r>
    </w:p>
    <w:p>
      <w:pPr>
        <w:pStyle w:val="Heading3"/>
      </w:pPr>
      <w:bookmarkStart w:name="b_pregunta_p2l_implementadores" w:id="6309"/>
      <w:r>
        <w:t xml:space="preserve">S2-157 · 3.6 · Modelación dinámica</w:t>
      </w:r>
      <w:bookmarkEnd w:id="6309"/>
    </w:p>
    <w:p>
      <w:pPr>
        <w:pStyle w:val="Normal"/>
      </w:pPr>
      <w:r>
        <w:t xml:space="preserve">¿Por qué incluir a quienes implementarán la solución al explorar estructuras?</w:t>
      </w:r>
    </w:p>
    <w:p>
      <w:pPr>
        <w:pStyle w:val="Normal"/>
      </w:pPr>
      <w:r>
        <w:t xml:space="preserve">a) Porque su participación garantiza resultados idénticos en cualquier contexto</w:t>
      </w:r>
    </w:p>
    <w:p>
      <w:pPr>
        <w:pStyle w:val="Normal"/>
      </w:pPr>
      <w:r>
        <w:t xml:space="preserve">b) Porque reemplaza la necesidad de comprender relaciones</w:t>
      </w:r>
    </w:p>
    <w:p>
      <w:pPr>
        <w:pStyle w:val="Normal"/>
      </w:pPr>
      <w:r>
        <w:t xml:space="preserve">c) Porque sólo deben opinar quienes diseñan desde fuera</w:t>
      </w:r>
    </w:p>
    <w:p>
      <w:pPr>
        <w:pStyle w:val="Normal"/>
      </w:pPr>
      <w:r>
        <w:t xml:space="preserve">d) Aportan restricciones y perspectivas útiles y su participación puede favorecer aceptación y adaptación</w:t>
      </w:r>
    </w:p>
    <w:p>
      <w:pPr>
        <w:pStyle w:val="Heading3"/>
      </w:pPr>
      <w:bookmarkStart w:name="b_pregunta_p2l_replicar" w:id="6310"/>
      <w:r>
        <w:t xml:space="preserve">S2-158 · 3.6 · Modelación dinámica</w:t>
      </w:r>
      <w:bookmarkEnd w:id="6310"/>
    </w:p>
    <w:p>
      <w:pPr>
        <w:pStyle w:val="Normal"/>
      </w:pPr>
      <w:r>
        <w:t xml:space="preserve">¿Qué exige replicar una mejora en otro sistema?</w:t>
      </w:r>
    </w:p>
    <w:p>
      <w:pPr>
        <w:pStyle w:val="Normal"/>
      </w:pPr>
      <w:r>
        <w:t xml:space="preserve">a) Copiar todos los detalles suponiendo el mismo comportamiento</w:t>
      </w:r>
    </w:p>
    <w:p>
      <w:pPr>
        <w:pStyle w:val="Normal"/>
      </w:pPr>
      <w:r>
        <w:t xml:space="preserve">b) Suprimir a quienes conocen las condiciones locales</w:t>
      </w:r>
    </w:p>
    <w:p>
      <w:pPr>
        <w:pStyle w:val="Normal"/>
      </w:pPr>
      <w:r>
        <w:t xml:space="preserve">c) Examinar cualidades, historia y capacidades del receptor y adaptar la estructura</w:t>
      </w:r>
    </w:p>
    <w:p>
      <w:pPr>
        <w:pStyle w:val="Normal"/>
      </w:pPr>
      <w:r>
        <w:t xml:space="preserve">d) Cambiar sólo el nombre del modelo</w:t>
      </w:r>
    </w:p>
    <w:p>
      <w:pPr>
        <w:pStyle w:val="Heading3"/>
      </w:pPr>
      <w:r>
        <w:t xml:space="preserve">Tema 3.7 · Demoras de tiempo</w:t>
      </w:r>
    </w:p>
    <w:p>
      <w:pPr>
        <w:pStyle w:val="Heading3"/>
      </w:pPr>
      <w:bookmarkStart w:name="b_pregunta_p2e_13_notacion_demora" w:id="6311"/>
      <w:r>
        <w:t xml:space="preserve">S2-159 · 3.7 · Demoras de tiempo</w:t>
      </w:r>
      <w:bookmarkEnd w:id="6311"/>
    </w:p>
    <w:p>
      <w:pPr>
        <w:pStyle w:val="Normal"/>
      </w:pPr>
      <w:r>
        <w:t xml:space="preserve">¿Cómo se marca una demora en un diagrama de ciclos causales?</w:t>
      </w:r>
    </w:p>
    <w:p>
      <w:pPr>
        <w:pStyle w:val="Normal"/>
      </w:pPr>
      <w:r>
        <w:t xml:space="preserve">a) Con una línea punteada en lugar de continua</w:t>
      </w:r>
    </w:p>
    <w:p>
      <w:pPr>
        <w:pStyle w:val="Normal"/>
      </w:pPr>
      <w:r>
        <w:t xml:space="preserve">b) Con dos líneas paralelas cruzando la flecha, y opcionalmente la palabra «demora» o el dibujo de un reloj</w:t>
      </w:r>
    </w:p>
    <w:p>
      <w:pPr>
        <w:pStyle w:val="Normal"/>
      </w:pPr>
      <w:r>
        <w:t xml:space="preserve">c) Con un signo de interrogación junto a la flecha</w:t>
      </w:r>
    </w:p>
    <w:p>
      <w:pPr>
        <w:pStyle w:val="Normal"/>
      </w:pPr>
      <w:r>
        <w:t xml:space="preserve">d) Escribiendo el número de días sobre la variable</w:t>
      </w:r>
    </w:p>
    <w:p>
      <w:pPr>
        <w:pStyle w:val="Heading3"/>
      </w:pPr>
      <w:bookmarkStart w:name="b_pregunta_p2e_14_que_implica_demora" w:id="6312"/>
      <w:r>
        <w:t xml:space="preserve">S2-160 · 3.7 · Demoras de tiempo</w:t>
      </w:r>
      <w:bookmarkEnd w:id="6312"/>
    </w:p>
    <w:p>
      <w:pPr>
        <w:pStyle w:val="Normal"/>
      </w:pPr>
      <w:r>
        <w:t xml:space="preserve">¿Cuál es la consecuencia práctica de que una relación causal tenga una demora larga?</w:t>
      </w:r>
    </w:p>
    <w:p>
      <w:pPr>
        <w:pStyle w:val="Normal"/>
      </w:pPr>
      <w:r>
        <w:t xml:space="preserve">a) Que la relación deja de existir</w:t>
      </w:r>
    </w:p>
    <w:p>
      <w:pPr>
        <w:pStyle w:val="Normal"/>
      </w:pPr>
      <w:r>
        <w:t xml:space="preserve">b) Que quien observa el sistema puede no ver esa relación durante un periodo, suponer que no existe y desistir antes de tiempo</w:t>
      </w:r>
    </w:p>
    <w:p>
      <w:pPr>
        <w:pStyle w:val="Normal"/>
      </w:pPr>
      <w:r>
        <w:t xml:space="preserve">c) Que el ciclo cambia de polaridad</w:t>
      </w:r>
    </w:p>
    <w:p>
      <w:pPr>
        <w:pStyle w:val="Normal"/>
      </w:pPr>
      <w:r>
        <w:t xml:space="preserve">d) Que hay que dibujar el diagrama en dos partes</w:t>
      </w:r>
    </w:p>
    <w:p>
      <w:pPr>
        <w:pStyle w:val="Heading3"/>
      </w:pPr>
      <w:bookmarkStart w:name="b_pregunta_p2e_15_ejercicio_con_098f75e5" w:id="6313"/>
      <w:r>
        <w:t xml:space="preserve">S2-161 · 3.7 · Demoras de tiempo</w:t>
      </w:r>
      <w:bookmarkEnd w:id="6313"/>
    </w:p>
    <w:p>
      <w:pPr>
        <w:pStyle w:val="Normal"/>
      </w:pPr>
      <w:r>
        <w:t xml:space="preserve">En el ciclo «Ejercicio →+ Nivel de condición física →+ Satisfacción personal →+ Ejercicio», ¿dónde va la marca de demora y por qué?</w:t>
      </w:r>
    </w:p>
    <w:p>
      <w:pPr>
        <w:pStyle w:val="Normal"/>
      </w:pPr>
      <w:r>
        <w:t xml:space="preserve">a) Entre satisfacción personal y ejercicio, porque la motivación tarda en llegar</w:t>
      </w:r>
    </w:p>
    <w:p>
      <w:pPr>
        <w:pStyle w:val="Normal"/>
      </w:pPr>
      <w:r>
        <w:t xml:space="preserve">b) Entre ejercicio y nivel de condición física, porque la mejora del estado físico no aparece de un día para otro</w:t>
      </w:r>
    </w:p>
    <w:p>
      <w:pPr>
        <w:pStyle w:val="Normal"/>
      </w:pPr>
      <w:r>
        <w:t xml:space="preserve">c) En las tres flechas, porque todo el ciclo es lento</w:t>
      </w:r>
    </w:p>
    <w:p>
      <w:pPr>
        <w:pStyle w:val="Normal"/>
      </w:pPr>
      <w:r>
        <w:t xml:space="preserve">d) No lleva demora: es un ciclo de refuerzo</w:t>
      </w:r>
    </w:p>
    <w:p>
      <w:pPr>
        <w:pStyle w:val="Heading3"/>
      </w:pPr>
      <w:bookmarkStart w:name="b_pregunta_p2e_16_caries_demora" w:id="6314"/>
      <w:r>
        <w:t xml:space="preserve">S2-162 · 3.7 · Demoras de tiempo</w:t>
      </w:r>
      <w:bookmarkEnd w:id="6314"/>
    </w:p>
    <w:p>
      <w:pPr>
        <w:pStyle w:val="Normal"/>
      </w:pPr>
      <w:r>
        <w:t xml:space="preserve">En el caso de los refrescos y las caries, ¿qué efecto tiene la demora sobre el comportamiento de la persona?</w:t>
      </w:r>
    </w:p>
    <w:p>
      <w:pPr>
        <w:pStyle w:val="Normal"/>
      </w:pPr>
      <w:r>
        <w:t xml:space="preserve">a) Hace que el daño dental sea menor</w:t>
      </w:r>
    </w:p>
    <w:p>
      <w:pPr>
        <w:pStyle w:val="Normal"/>
      </w:pPr>
      <w:r>
        <w:t xml:space="preserve">b) Dificulta asociar el dolor de muelas con el consumo previo, y por eso retrasa o debilita la respuesta que reduciría ese consumo</w:t>
      </w:r>
    </w:p>
    <w:p>
      <w:pPr>
        <w:pStyle w:val="Normal"/>
      </w:pPr>
      <w:r>
        <w:t xml:space="preserve">c) Impide que el ciclo se cierre</w:t>
      </w:r>
    </w:p>
    <w:p>
      <w:pPr>
        <w:pStyle w:val="Normal"/>
      </w:pPr>
      <w:r>
        <w:t xml:space="preserve">d) Convierte el ciclo en uno de refuerzo</w:t>
      </w:r>
    </w:p>
    <w:p>
      <w:pPr>
        <w:pStyle w:val="Heading3"/>
      </w:pPr>
      <w:bookmarkStart w:name="b_pregunta_p2e_17_aerolineas" w:id="6315"/>
      <w:r>
        <w:t xml:space="preserve">S2-163 · 3.7 · Demoras de tiempo</w:t>
      </w:r>
      <w:bookmarkEnd w:id="6315"/>
    </w:p>
    <w:p>
      <w:pPr>
        <w:pStyle w:val="Normal"/>
      </w:pPr>
      <w:r>
        <w:t xml:space="preserve">Dos aerolíneas se fusionan para aumentar las ganancias y al principio la rentabilidad baja. ¿Cómo se llama ese tramo y qué recomienda hacer la lámina?</w:t>
      </w:r>
    </w:p>
    <w:p>
      <w:pPr>
        <w:pStyle w:val="Normal"/>
      </w:pPr>
      <w:r>
        <w:t xml:space="preserve">a) Se llama pérdida estructural y obliga a revertir la fusión</w:t>
      </w:r>
    </w:p>
    <w:p>
      <w:pPr>
        <w:pStyle w:val="Normal"/>
      </w:pPr>
      <w:r>
        <w:t xml:space="preserve">b) Se llama caída del rendimiento: es el periodo en que las personas están aprendiendo a hacer algo nuevo, y lo que corresponde es monitorear las tendencias y hacer ajustes en el camino</w:t>
      </w:r>
    </w:p>
    <w:p>
      <w:pPr>
        <w:pStyle w:val="Normal"/>
      </w:pPr>
      <w:r>
        <w:t xml:space="preserve">c) Se llama entropía de la fusión y se corrige contratando personal</w:t>
      </w:r>
    </w:p>
    <w:p>
      <w:pPr>
        <w:pStyle w:val="Normal"/>
      </w:pPr>
      <w:r>
        <w:t xml:space="preserve">d) Se llama demora de mercado y desaparece sola en un mes</w:t>
      </w:r>
    </w:p>
    <w:p>
      <w:pPr>
        <w:pStyle w:val="Heading3"/>
      </w:pPr>
      <w:bookmarkStart w:name="b_pregunta_p2e_23_demora_clasificar" w:id="6316"/>
      <w:r>
        <w:t xml:space="preserve">S2-164 · 3.7 · Demoras de tiempo</w:t>
      </w:r>
      <w:bookmarkEnd w:id="6316"/>
    </w:p>
    <w:p>
      <w:pPr>
        <w:pStyle w:val="Normal"/>
      </w:pPr>
      <w:r>
        <w:t xml:space="preserve">Clasifique cada relación según convenga o no marcarle una demora en el diagrama.</w:t>
      </w:r>
    </w:p>
    <w:p>
      <w:pPr>
        <w:pStyle w:val="Normal"/>
      </w:pPr>
      <w:r>
        <w:t xml:space="preserve">a) Destinos: Conviene marcar demora; No hace falta marcar demora</w:t>
      </w:r>
    </w:p>
    <w:p>
      <w:pPr>
        <w:pStyle w:val="Normal"/>
      </w:pPr>
      <w:r>
        <w:t xml:space="preserve">b) Consumo de refrescos azucarados → Caries dental</w:t>
      </w:r>
    </w:p>
    <w:p>
      <w:pPr>
        <w:pStyle w:val="Normal"/>
      </w:pPr>
      <w:r>
        <w:t xml:space="preserve">c) Ejercicio → Nivel de condición física</w:t>
      </w:r>
    </w:p>
    <w:p>
      <w:pPr>
        <w:pStyle w:val="Normal"/>
      </w:pPr>
      <w:r>
        <w:t xml:space="preserve">d) Fusión de dos aerolíneas → Aumento de las ganancias</w:t>
      </w:r>
    </w:p>
    <w:p>
      <w:pPr>
        <w:pStyle w:val="Normal"/>
      </w:pPr>
      <w:r>
        <w:t xml:space="preserve">e) Posición del grifo → Flujo de agua</w:t>
      </w:r>
    </w:p>
    <w:p>
      <w:pPr>
        <w:pStyle w:val="Normal"/>
      </w:pPr>
      <w:r>
        <w:t xml:space="preserve">f) Sonido de la bocina → Sonido de voz en el micrófono</w:t>
      </w:r>
    </w:p>
    <w:p>
      <w:pPr>
        <w:pStyle w:val="Heading3"/>
      </w:pPr>
      <w:bookmarkStart w:name="b_pregunta_p2e_24_monitorear" w:id="6317"/>
      <w:r>
        <w:t xml:space="preserve">S2-165 · 3.7 · Demoras de tiempo</w:t>
      </w:r>
      <w:bookmarkEnd w:id="6317"/>
    </w:p>
    <w:p>
      <w:pPr>
        <w:pStyle w:val="Normal"/>
      </w:pPr>
      <w:r>
        <w:t xml:space="preserve">¿Qué hace un pensador sistémico cuando introduce un cambio cuyo efecto tardará en verse?</w:t>
      </w:r>
    </w:p>
    <w:p>
      <w:pPr>
        <w:pStyle w:val="Normal"/>
      </w:pPr>
      <w:r>
        <w:t xml:space="preserve">a) Espera sin medir hasta el plazo previsto</w:t>
      </w:r>
    </w:p>
    <w:p>
      <w:pPr>
        <w:pStyle w:val="Normal"/>
      </w:pPr>
      <w:r>
        <w:t xml:space="preserve">b) Reconoce la necesidad de monitorear los resultados, considera el impacto de los retrasos y hace pequeños ajustes antes de descartar la idea</w:t>
      </w:r>
    </w:p>
    <w:p>
      <w:pPr>
        <w:pStyle w:val="Normal"/>
      </w:pPr>
      <w:r>
        <w:t xml:space="preserve">c) Descarta el cambio y prueba otro</w:t>
      </w:r>
    </w:p>
    <w:p>
      <w:pPr>
        <w:pStyle w:val="Normal"/>
      </w:pPr>
      <w:r>
        <w:t xml:space="preserve">d) Aumenta la intensidad del cambio para acelerar el efecto</w:t>
      </w:r>
    </w:p>
    <w:p>
      <w:pPr>
        <w:pStyle w:val="Heading3"/>
      </w:pPr>
      <w:bookmarkStart w:name="b_pregunta_p2e_27_ducha_compens_f48874c7" w:id="6318"/>
      <w:r>
        <w:t xml:space="preserve">S2-166 · 3.7 · Demoras de tiempo</w:t>
      </w:r>
      <w:bookmarkEnd w:id="6318"/>
    </w:p>
    <w:p>
      <w:pPr>
        <w:pStyle w:val="Normal"/>
      </w:pPr>
      <w:r>
        <w:t xml:space="preserve">O’Connor y McDermott describen la ducha ingrata: el agua abrasa, abrimos la fría y sigue abrasando, abrimos más y se pone helada, volvemos a la caliente y a los pocos segundos nos abrasamos otra vez. ¿Qué estructura produce ese vaivén?</w:t>
      </w:r>
    </w:p>
    <w:p>
      <w:pPr>
        <w:pStyle w:val="Normal"/>
      </w:pPr>
      <w:r>
        <w:t xml:space="preserve">a) Un bucle de refuerzo: cada ajuste amplifica el anterior hasta que el sistema se dispara</w:t>
      </w:r>
    </w:p>
    <w:p>
      <w:pPr>
        <w:pStyle w:val="Normal"/>
      </w:pPr>
      <w:r>
        <w:t xml:space="preserve">b) Un bucle de compensación con un periodo de desfase: cada corrección llega tarde o con demasiada intensidad, y la temperatura oscila alrededor del nivel adecuado</w:t>
      </w:r>
    </w:p>
    <w:p>
      <w:pPr>
        <w:pStyle w:val="Normal"/>
      </w:pPr>
      <w:r>
        <w:t xml:space="preserve">c) Dos bucles de refuerzo acoplados, uno del agua fría y otro de la caliente</w:t>
      </w:r>
    </w:p>
    <w:p>
      <w:pPr>
        <w:pStyle w:val="Normal"/>
      </w:pPr>
      <w:r>
        <w:t xml:space="preserve">d) Ninguna estructura: la ducha se comporta al azar</w:t>
      </w:r>
    </w:p>
    <w:p>
      <w:pPr>
        <w:pStyle w:val="Heading3"/>
      </w:pPr>
      <w:bookmarkStart w:name="b_pregunta_p2e_28_memoria_del_sistema" w:id="6319"/>
      <w:r>
        <w:t xml:space="preserve">S2-167 · 3.7 · Demoras de tiempo</w:t>
      </w:r>
      <w:bookmarkEnd w:id="6319"/>
    </w:p>
    <w:p>
      <w:pPr>
        <w:pStyle w:val="Normal"/>
      </w:pPr>
      <w:r>
        <w:t xml:space="preserve">«La manguera es el sistema y recuerda lo hecho previamente»: abrimos el grifo, no sale nada, abrimos más, y cuando cerramos el agua sigue saliendo con fuerza. ¿A qué llaman O’Connor y McDermott la «memoria» del sistema?</w:t>
      </w:r>
    </w:p>
    <w:p>
      <w:pPr>
        <w:pStyle w:val="Normal"/>
      </w:pPr>
      <w:r>
        <w:t xml:space="preserve">a) Al registro escrito de las decisiones que se tomaron sobre el sistema</w:t>
      </w:r>
    </w:p>
    <w:p>
      <w:pPr>
        <w:pStyle w:val="Normal"/>
      </w:pPr>
      <w:r>
        <w:t xml:space="preserve">b) Al tiempo que tarda la realimentación en recorrer todo el sistema y volver a nosotros: el intervalo entre causa y efecto en el que creemos que no está pasando nada</w:t>
      </w:r>
    </w:p>
    <w:p>
      <w:pPr>
        <w:pStyle w:val="Normal"/>
      </w:pPr>
      <w:r>
        <w:t xml:space="preserve">c) A la capacidad del sistema de repetir su comportamiento cuando se le da la misma entrada</w:t>
      </w:r>
    </w:p>
    <w:p>
      <w:pPr>
        <w:pStyle w:val="Normal"/>
      </w:pPr>
      <w:r>
        <w:t xml:space="preserve">d) Al punto más rápido del sistema, que determina su velocidad</w:t>
      </w:r>
    </w:p>
    <w:p>
      <w:pPr>
        <w:pStyle w:val="Heading3"/>
      </w:pPr>
      <w:bookmarkStart w:name="b_pregunta_p2e_29_no_aprendemos_38196aec" w:id="6320"/>
      <w:r>
        <w:t xml:space="preserve">S2-168 · 3.7 · Demoras de tiempo</w:t>
      </w:r>
      <w:bookmarkEnd w:id="6320"/>
    </w:p>
    <w:p>
      <w:pPr>
        <w:pStyle w:val="Normal"/>
      </w:pPr>
      <w:r>
        <w:t xml:space="preserve">Según O’Connor y McDermott, aprendemos de la experiencia cuando la realimentación conecta claramente el efecto con su causa. ¿Cuándo, entonces, no aprendemos de la experiencia?</w:t>
      </w:r>
    </w:p>
    <w:p>
      <w:pPr>
        <w:pStyle w:val="Normal"/>
      </w:pPr>
      <w:r>
        <w:t xml:space="preserve">a) Cuando el efecto es inmediato, como el dolor al tocar un infiernillo</w:t>
      </w:r>
    </w:p>
    <w:p>
      <w:pPr>
        <w:pStyle w:val="Normal"/>
      </w:pPr>
      <w:r>
        <w:t xml:space="preserve">b) Cuando hay una diferencia de tiempo grande entre la acción y su efecto, o cuando el efecto se produce en otro lugar: creemos que no hay ningún efecto y no aprendemos nada</w:t>
      </w:r>
    </w:p>
    <w:p>
      <w:pPr>
        <w:pStyle w:val="Normal"/>
      </w:pPr>
      <w:r>
        <w:t xml:space="preserve">c) Cuando el sistema es pequeño y sus conexiones son pocas</w:t>
      </w:r>
    </w:p>
    <w:p>
      <w:pPr>
        <w:pStyle w:val="Normal"/>
      </w:pPr>
      <w:r>
        <w:t xml:space="preserve">d) Cuando el efecto es agradable en vez de doloroso</w:t>
      </w:r>
    </w:p>
    <w:p>
      <w:pPr>
        <w:pStyle w:val="Heading3"/>
      </w:pPr>
      <w:bookmarkStart w:name="b_pregunta_p2l_ana_demoras" w:id="6321"/>
      <w:r>
        <w:t xml:space="preserve">S2-169 · 3.7 · Demoras de tiempo</w:t>
      </w:r>
      <w:bookmarkEnd w:id="6321"/>
    </w:p>
    <w:p>
      <w:pPr>
        <w:pStyle w:val="Normal"/>
      </w:pPr>
      <w:r>
        <w:t xml:space="preserve">¿Dónde están las dos demoras dibujadas en la ampliación de Ana?</w:t>
      </w:r>
    </w:p>
    <w:p>
      <w:pPr>
        <w:pStyle w:val="Normal"/>
      </w:pPr>
      <w:r>
        <w:t xml:space="preserve">a) Fatiga → Productividad y Tasa de error → Productividad</w:t>
      </w:r>
    </w:p>
    <w:p>
      <w:pPr>
        <w:pStyle w:val="Normal"/>
      </w:pPr>
      <w:r>
        <w:t xml:space="preserve">b) Trabajo extra → Fatiga y Tasa de error → Productividad</w:t>
      </w:r>
    </w:p>
    <w:p>
      <w:pPr>
        <w:pStyle w:val="Normal"/>
      </w:pPr>
      <w:r>
        <w:t xml:space="preserve">c) Trabajo pendiente → Presión y Presión → Trabajo extra</w:t>
      </w:r>
    </w:p>
    <w:p>
      <w:pPr>
        <w:pStyle w:val="Normal"/>
      </w:pPr>
      <w:r>
        <w:t xml:space="preserve">d) En todas las flechas positivas sin excepción</w:t>
      </w:r>
    </w:p>
    <w:p>
      <w:pPr>
        <w:pStyle w:val="Heading3"/>
      </w:pPr>
      <w:bookmarkStart w:name="b_pregunta_p2l_tarjeta_demoras" w:id="6322"/>
      <w:r>
        <w:t xml:space="preserve">S2-170 · 3.7 · Demoras de tiempo</w:t>
      </w:r>
      <w:bookmarkEnd w:id="6322"/>
    </w:p>
    <w:p>
      <w:pPr>
        <w:pStyle w:val="Normal"/>
      </w:pPr>
      <w:r>
        <w:t xml:space="preserve">¿Qué conjunto recoge las tres preguntas de la tarjeta de demoras?</w:t>
      </w:r>
    </w:p>
    <w:p>
      <w:pPr>
        <w:pStyle w:val="Normal"/>
      </w:pPr>
      <w:r>
        <w:t xml:space="preserve">a) Sólo quién es culpable y quién debe reemplazarlo</w:t>
      </w:r>
    </w:p>
    <w:p>
      <w:pPr>
        <w:pStyle w:val="Normal"/>
      </w:pPr>
      <w:r>
        <w:t xml:space="preserve">b) Únicamente cuánto cuesta actuar</w:t>
      </w:r>
    </w:p>
    <w:p>
      <w:pPr>
        <w:pStyle w:val="Normal"/>
      </w:pPr>
      <w:r>
        <w:t xml:space="preserve">c) Cuánto esperar, dónde interviene la demora y si el resultado será inmediato o tardío</w:t>
      </w:r>
    </w:p>
    <w:p>
      <w:pPr>
        <w:pStyle w:val="Normal"/>
      </w:pPr>
      <w:r>
        <w:t xml:space="preserve">d) Qué color tiene la curva, qué nombre tiene la persona y cuántos muebles hay</w:t>
      </w:r>
    </w:p>
    <w:p>
      <w:pPr>
        <w:pStyle w:val="Heading3"/>
      </w:pPr>
      <w:r>
        <w:t xml:space="preserve">Tema 3.8 · Patrones y tendencias</w:t>
      </w:r>
    </w:p>
    <w:p>
      <w:pPr>
        <w:pStyle w:val="Heading3"/>
      </w:pPr>
      <w:bookmarkStart w:name="b_pregunta_p2l_agua" w:id="6323"/>
      <w:r>
        <w:t xml:space="preserve">S2-171 · 3.8 · Patrones y tendencias</w:t>
      </w:r>
      <w:bookmarkEnd w:id="6323"/>
    </w:p>
    <w:p>
      <w:pPr>
        <w:pStyle w:val="Normal"/>
      </w:pPr>
      <w:r>
        <w:t xml:space="preserve">¿Qué recorrido interpreta las flechas del ciclo del agua de C-2, página 121?</w:t>
      </w:r>
    </w:p>
    <w:p>
      <w:pPr>
        <w:pStyle w:val="Normal"/>
      </w:pPr>
      <w:r>
        <w:t xml:space="preserve">a) Condensación → ventas → demanda → órdenes de producción</w:t>
      </w:r>
    </w:p>
    <w:p>
      <w:pPr>
        <w:pStyle w:val="Normal"/>
      </w:pPr>
      <w:r>
        <w:t xml:space="preserve">b) Evaporación/transpiración → condensación → precipitación → retornos por escorrentía o agua subterránea</w:t>
      </w:r>
    </w:p>
    <w:p>
      <w:pPr>
        <w:pStyle w:val="Normal"/>
      </w:pPr>
      <w:r>
        <w:t xml:space="preserve">c) Un DCC donde cada flecha debe ser positiva porque el agua es útil</w:t>
      </w:r>
    </w:p>
    <w:p>
      <w:pPr>
        <w:pStyle w:val="Normal"/>
      </w:pPr>
      <w:r>
        <w:t xml:space="preserve">d) Una secuencia sin depósitos ni retornos</w:t>
      </w:r>
    </w:p>
    <w:p>
      <w:pPr>
        <w:pStyle w:val="Heading3"/>
      </w:pPr>
      <w:bookmarkStart w:name="b_pregunta_p2l_costo_cambios" w:id="6324"/>
      <w:r>
        <w:t xml:space="preserve">S2-172 · 3.8 · Patrones y tendencias</w:t>
      </w:r>
      <w:bookmarkEnd w:id="6324"/>
    </w:p>
    <w:p>
      <w:pPr>
        <w:pStyle w:val="Normal"/>
      </w:pPr>
      <w:r>
        <w:t xml:space="preserve">¿Qué comparación propone el gráfico final de proyectos de C-2, página 120?</w:t>
      </w:r>
    </w:p>
    <w:p>
      <w:pPr>
        <w:pStyle w:val="Normal"/>
      </w:pPr>
      <w:r>
        <w:t xml:space="preserve">a) El costo de cambiar cae a cero al cierre en todos los proyectos</w:t>
      </w:r>
    </w:p>
    <w:p>
      <w:pPr>
        <w:pStyle w:val="Normal"/>
      </w:pPr>
      <w:r>
        <w:t xml:space="preserve">b) Riesgo e incertidumbre crecen idénticamente al costo en cualquier proyecto</w:t>
      </w:r>
    </w:p>
    <w:p>
      <w:pPr>
        <w:pStyle w:val="Normal"/>
      </w:pPr>
      <w:r>
        <w:t xml:space="preserve">c) Las dos líneas prueban un ciclo R sin otras variables</w:t>
      </w:r>
    </w:p>
    <w:p>
      <w:pPr>
        <w:pStyle w:val="Normal"/>
      </w:pPr>
      <w:r>
        <w:t xml:space="preserve">d) Riesgo, incertidumbre e influencia de interesados disminuyen mientras el costo de cambiar aumenta</w:t>
      </w:r>
    </w:p>
    <w:p>
      <w:pPr>
        <w:pStyle w:val="Heading3"/>
      </w:pPr>
      <w:bookmarkStart w:name="b_pregunta_p2l_curvas" w:id="6325"/>
      <w:r>
        <w:t xml:space="preserve">S2-173 · 3.8 · Patrones y tendencias</w:t>
      </w:r>
      <w:bookmarkEnd w:id="6325"/>
    </w:p>
    <w:p>
      <w:pPr>
        <w:pStyle w:val="Normal"/>
      </w:pPr>
      <w:r>
        <w:t xml:space="preserve">Sin ecuaciones, tasas ni demoras, ¿qué curva garantiza la sola etiqueta R o B?</w:t>
      </w:r>
    </w:p>
    <w:p>
      <w:pPr>
        <w:pStyle w:val="Normal"/>
      </w:pPr>
      <w:r>
        <w:t xml:space="preserve">a) B siempre exponencial y R+B siempre oscilatorio</w:t>
      </w:r>
    </w:p>
    <w:p>
      <w:pPr>
        <w:pStyle w:val="Normal"/>
      </w:pPr>
      <w:r>
        <w:t xml:space="preserve">b) Todo R es lineal y todo B es logístico</w:t>
      </w:r>
    </w:p>
    <w:p>
      <w:pPr>
        <w:pStyle w:val="Normal"/>
      </w:pPr>
      <w:r>
        <w:t xml:space="preserve">c) Una única trayectoria independiente del estado inicial</w:t>
      </w:r>
    </w:p>
    <w:p>
      <w:pPr>
        <w:pStyle w:val="Normal"/>
      </w:pPr>
      <w:r>
        <w:t xml:space="preserve">d) Ninguna curva única: hacen falta supuestos adicionales del modelo</w:t>
      </w:r>
    </w:p>
    <w:p>
      <w:pPr>
        <w:pStyle w:val="Heading3"/>
      </w:pPr>
      <w:bookmarkStart w:name="b_pregunta_p2l_etapas_proyectos" w:id="6326"/>
      <w:r>
        <w:t xml:space="preserve">S2-174 · 3.8 · Patrones y tendencias</w:t>
      </w:r>
      <w:bookmarkEnd w:id="6326"/>
    </w:p>
    <w:p>
      <w:pPr>
        <w:pStyle w:val="Normal"/>
      </w:pPr>
      <w:r>
        <w:t xml:space="preserve">¿Cuál secuencia corresponde al ejemplo de sistemas informáticos de C-2, página 120?</w:t>
      </w:r>
    </w:p>
    <w:p>
      <w:pPr>
        <w:pStyle w:val="Normal"/>
      </w:pPr>
      <w:r>
        <w:t xml:space="preserve">a) Huevo, oruga, crisálida y adulto</w:t>
      </w:r>
    </w:p>
    <w:p>
      <w:pPr>
        <w:pStyle w:val="Normal"/>
      </w:pPr>
      <w:r>
        <w:t xml:space="preserve">b) Idea, perfil, prefactibilidad, factibilidad, inversión y operación</w:t>
      </w:r>
    </w:p>
    <w:p>
      <w:pPr>
        <w:pStyle w:val="Normal"/>
      </w:pPr>
      <w:r>
        <w:t xml:space="preserve">c) Análisis, diseño, codificación, pruebas, instalación, conversión y operación</w:t>
      </w:r>
    </w:p>
    <w:p>
      <w:pPr>
        <w:pStyle w:val="Normal"/>
      </w:pPr>
      <w:r>
        <w:t xml:space="preserve">d) Factibilidad, planificación, diseño, producción y lanzamiento</w:t>
      </w:r>
    </w:p>
    <w:p>
      <w:pPr>
        <w:pStyle w:val="Heading3"/>
      </w:pPr>
      <w:bookmarkStart w:name="b_pregunta_p2l_mariposa" w:id="6327"/>
      <w:r>
        <w:t xml:space="preserve">S2-175 · 3.8 · Patrones y tendencias</w:t>
      </w:r>
      <w:bookmarkEnd w:id="6327"/>
    </w:p>
    <w:p>
      <w:pPr>
        <w:pStyle w:val="Normal"/>
      </w:pPr>
      <w:r>
        <w:t xml:space="preserve">¿Cómo vuelve el ciclo de vida de la mariposa a su inicio?</w:t>
      </w:r>
    </w:p>
    <w:p>
      <w:pPr>
        <w:pStyle w:val="Normal"/>
      </w:pPr>
      <w:r>
        <w:t xml:space="preserve">a) Huevo → oruga → crisálida → adulto, que mediante reproducción da lugar a nuevos huevos</w:t>
      </w:r>
    </w:p>
    <w:p>
      <w:pPr>
        <w:pStyle w:val="Normal"/>
      </w:pPr>
      <w:r>
        <w:t xml:space="preserve">b) Adulto → adulto sin reproducción ni etapas</w:t>
      </w:r>
    </w:p>
    <w:p>
      <w:pPr>
        <w:pStyle w:val="Normal"/>
      </w:pPr>
      <w:r>
        <w:t xml:space="preserve">c) Crisálida → agua subterránea → huevo</w:t>
      </w:r>
    </w:p>
    <w:p>
      <w:pPr>
        <w:pStyle w:val="Normal"/>
      </w:pPr>
      <w:r>
        <w:t xml:space="preserve">d) Sólo por una influencia causal negativa entre huevo y adulto</w:t>
      </w:r>
    </w:p>
    <w:p>
      <w:pPr>
        <w:pStyle w:val="Heading3"/>
      </w:pPr>
      <w:bookmarkStart w:name="b_pregunta_p2l_producto_decisiones" w:id="6328"/>
      <w:r>
        <w:t xml:space="preserve">S2-176 · 3.8 · Patrones y tendencias</w:t>
      </w:r>
      <w:bookmarkEnd w:id="6328"/>
    </w:p>
    <w:p>
      <w:pPr>
        <w:pStyle w:val="Normal"/>
      </w:pPr>
      <w:r>
        <w:t xml:space="preserve">¿Cómo se emparejan decisiones y etapas del producto en C-2, página 120?</w:t>
      </w:r>
    </w:p>
    <w:p>
      <w:pPr>
        <w:pStyle w:val="Normal"/>
      </w:pPr>
      <w:r>
        <w:t xml:space="preserve">a) Concepción–evaluación de inversión; crecimiento–expansión; maduración–diversificación; declinación–reestructuración; retiro–desinversión</w:t>
      </w:r>
    </w:p>
    <w:p>
      <w:pPr>
        <w:pStyle w:val="Normal"/>
      </w:pPr>
      <w:r>
        <w:t xml:space="preserve">b) Concepción–retiro; crecimiento–desinversión; maduración–inicio</w:t>
      </w:r>
    </w:p>
    <w:p>
      <w:pPr>
        <w:pStyle w:val="Normal"/>
      </w:pPr>
      <w:r>
        <w:t xml:space="preserve">c) Todas las decisiones aparecen exclusivamente después del retiro</w:t>
      </w:r>
    </w:p>
    <w:p>
      <w:pPr>
        <w:pStyle w:val="Normal"/>
      </w:pPr>
      <w:r>
        <w:t xml:space="preserve">d) La curva fija el precio de venta exacto de cualquier producto</w:t>
      </w:r>
    </w:p>
    <w:p>
      <w:pPr>
        <w:pStyle w:val="Heading3"/>
      </w:pPr>
      <w:bookmarkStart w:name="b_pregunta_p2l_proyecto" w:id="6329"/>
      <w:r>
        <w:t xml:space="preserve">S2-177 · 3.8 · Patrones y tendencias</w:t>
      </w:r>
      <w:bookmarkEnd w:id="6329"/>
    </w:p>
    <w:p>
      <w:pPr>
        <w:pStyle w:val="Normal"/>
      </w:pPr>
      <w:r>
        <w:t xml:space="preserve">¿Qué distingue las cuatro fases del proyecto de su curva de costo/personal?</w:t>
      </w:r>
    </w:p>
    <w:p>
      <w:pPr>
        <w:pStyle w:val="Normal"/>
      </w:pPr>
      <w:r>
        <w:t xml:space="preserve">a) Las fases son signos negativos y la curva es un ojo</w:t>
      </w:r>
    </w:p>
    <w:p>
      <w:pPr>
        <w:pStyle w:val="Normal"/>
      </w:pPr>
      <w:r>
        <w:t xml:space="preserve">b) Las fases organizan inicio, preparación, ejecución y cierre; la curva muestra intensidad de recursos y se acompaña de salidas documentales</w:t>
      </w:r>
    </w:p>
    <w:p>
      <w:pPr>
        <w:pStyle w:val="Normal"/>
      </w:pPr>
      <w:r>
        <w:t xml:space="preserve">c) La curva enumera todas las tareas sin dimensión temporal</w:t>
      </w:r>
    </w:p>
    <w:p>
      <w:pPr>
        <w:pStyle w:val="Normal"/>
      </w:pPr>
      <w:r>
        <w:t xml:space="preserve">d) El proyecto sólo tiene las mismas etapas que una mariposa</w:t>
      </w:r>
    </w:p>
    <w:p>
      <w:pPr>
        <w:pStyle w:val="Heading3"/>
      </w:pPr>
      <w:bookmarkStart w:name="b_pregunta_p2t_01_botg_ejes" w:id="6330"/>
      <w:r>
        <w:t xml:space="preserve">S2-178 · 3.8 · Patrones y tendencias</w:t>
      </w:r>
      <w:bookmarkEnd w:id="6330"/>
    </w:p>
    <w:p>
      <w:pPr>
        <w:pStyle w:val="Normal"/>
      </w:pPr>
      <w:r>
        <w:t xml:space="preserve">En un gráfico de comportamiento a lo largo del tiempo, ¿qué va en cada eje?</w:t>
      </w:r>
    </w:p>
    <w:p>
      <w:pPr>
        <w:pStyle w:val="Normal"/>
      </w:pPr>
      <w:r>
        <w:t xml:space="preserve">a) La variable en el eje X y el tiempo en el eje Y</w:t>
      </w:r>
    </w:p>
    <w:p>
      <w:pPr>
        <w:pStyle w:val="Normal"/>
      </w:pPr>
      <w:r>
        <w:t xml:space="preserve">b) El tiempo siempre en el eje X u horizontal, y el elemento que cambia en el eje Y o vertical</w:t>
      </w:r>
    </w:p>
    <w:p>
      <w:pPr>
        <w:pStyle w:val="Normal"/>
      </w:pPr>
      <w:r>
        <w:t xml:space="preserve">c) El tiempo en cualquiera de los dos, según convenga</w:t>
      </w:r>
    </w:p>
    <w:p>
      <w:pPr>
        <w:pStyle w:val="Normal"/>
      </w:pPr>
      <w:r>
        <w:t xml:space="preserve">d) Las causas en el eje X y los efectos en el eje Y</w:t>
      </w:r>
    </w:p>
    <w:p>
      <w:pPr>
        <w:pStyle w:val="Heading3"/>
      </w:pPr>
      <w:bookmarkStart w:name="b_pregunta_p2t_02_patron_por_ti_d8036241" w:id="6331"/>
      <w:r>
        <w:t xml:space="preserve">S2-179 · 3.8 · Patrones y tendencias</w:t>
      </w:r>
      <w:bookmarkEnd w:id="6331"/>
    </w:p>
    <w:p>
      <w:pPr>
        <w:pStyle w:val="Normal"/>
      </w:pPr>
      <w:r>
        <w:t xml:space="preserve">Relacione cada estructura con el patrón de comportamiento que produce.</w:t>
      </w:r>
    </w:p>
    <w:p>
      <w:pPr>
        <w:pStyle w:val="Normal"/>
      </w:pPr>
      <w:r>
        <w:t xml:space="preserve">a) Fila: Un ciclo de balance o compensación</w:t>
      </w:r>
    </w:p>
    <w:p>
      <w:pPr>
        <w:pStyle w:val="Normal"/>
      </w:pPr>
      <w:r>
        <w:t xml:space="preserve">b) Fila: Un ciclo de refuerzo</w:t>
      </w:r>
    </w:p>
    <w:p>
      <w:pPr>
        <w:pStyle w:val="Normal"/>
      </w:pPr>
      <w:r>
        <w:t xml:space="preserve">c) Fila: Un ciclo de refuerzo acoplado con uno de balance, como en presa-depredador</w:t>
      </w:r>
    </w:p>
    <w:p>
      <w:pPr>
        <w:pStyle w:val="Normal"/>
      </w:pPr>
      <w:r>
        <w:t xml:space="preserve">d) Fila: Una variable que el modelo trata como parámetro</w:t>
      </w:r>
    </w:p>
    <w:p>
      <w:pPr>
        <w:pStyle w:val="Normal"/>
      </w:pPr>
      <w:r>
        <w:t xml:space="preserve">e) a) Crecimiento exponencial acotado: sube y se aplana contra un límite</w:t>
      </w:r>
    </w:p>
    <w:p>
      <w:pPr>
        <w:pStyle w:val="Normal"/>
      </w:pPr>
      <w:r>
        <w:t xml:space="preserve">f) b) Crecimiento —o decrecimiento— exponencial sin cota</w:t>
      </w:r>
    </w:p>
    <w:p>
      <w:pPr>
        <w:pStyle w:val="Normal"/>
      </w:pPr>
      <w:r>
        <w:t xml:space="preserve">g) c) Oscilación: sube y baja alternadamente</w:t>
      </w:r>
    </w:p>
    <w:p>
      <w:pPr>
        <w:pStyle w:val="Normal"/>
      </w:pPr>
      <w:r>
        <w:t xml:space="preserve">h) d) Línea horizontal: la variable se mantiene</w:t>
      </w:r>
    </w:p>
    <w:p>
      <w:pPr>
        <w:pStyle w:val="Normal"/>
      </w:pPr>
      <w:r>
        <w:t xml:space="preserve">i) e) Escalones discretos entre dos valores</w:t>
      </w:r>
    </w:p>
    <w:p>
      <w:pPr>
        <w:pStyle w:val="Heading3"/>
      </w:pPr>
      <w:bookmarkStart w:name="b_pregunta_p2t_03_ocho_patrones" w:id="6332"/>
      <w:r>
        <w:t xml:space="preserve">S2-180 · 3.8 · Patrones y tendencias</w:t>
      </w:r>
      <w:bookmarkEnd w:id="6332"/>
    </w:p>
    <w:p>
      <w:pPr>
        <w:pStyle w:val="Normal"/>
      </w:pPr>
      <w:r>
        <w:t xml:space="preserve">¿Cuáles de estos figuran entre los patrones genéricos que recoge la lámina de gráficos de comportamiento?</w:t>
      </w:r>
    </w:p>
    <w:p>
      <w:pPr>
        <w:pStyle w:val="Normal"/>
      </w:pPr>
      <w:r>
        <w:t xml:space="preserve">a) Crecimiento en forma de S</w:t>
      </w:r>
    </w:p>
    <w:p>
      <w:pPr>
        <w:pStyle w:val="Normal"/>
      </w:pPr>
      <w:r>
        <w:t xml:space="preserve">b) Oscilación</w:t>
      </w:r>
    </w:p>
    <w:p>
      <w:pPr>
        <w:pStyle w:val="Normal"/>
      </w:pPr>
      <w:r>
        <w:t xml:space="preserve">c) Búsqueda de objetivo</w:t>
      </w:r>
    </w:p>
    <w:p>
      <w:pPr>
        <w:pStyle w:val="Normal"/>
      </w:pPr>
      <w:r>
        <w:t xml:space="preserve">d) Estado estable</w:t>
      </w:r>
    </w:p>
    <w:p>
      <w:pPr>
        <w:pStyle w:val="Normal"/>
      </w:pPr>
      <w:r>
        <w:t xml:space="preserve">e) Crecimiento en espiral tridimensional</w:t>
      </w:r>
    </w:p>
    <w:p>
      <w:pPr>
        <w:pStyle w:val="Heading3"/>
      </w:pPr>
      <w:bookmarkStart w:name="b_pregunta_p2t_04_forma_sobre_puntos" w:id="6333"/>
      <w:r>
        <w:t xml:space="preserve">S2-181 · 3.8 · Patrones y tendencias</w:t>
      </w:r>
      <w:bookmarkEnd w:id="6333"/>
    </w:p>
    <w:p>
      <w:pPr>
        <w:pStyle w:val="Normal"/>
      </w:pPr>
      <w:r>
        <w:t xml:space="preserve">Al leer un gráfico de tendencias, ¿qué importa más según la lámina?</w:t>
      </w:r>
    </w:p>
    <w:p>
      <w:pPr>
        <w:pStyle w:val="Normal"/>
      </w:pPr>
      <w:r>
        <w:t xml:space="preserve">a) El valor exacto de cada punto en cada momento</w:t>
      </w:r>
    </w:p>
    <w:p>
      <w:pPr>
        <w:pStyle w:val="Normal"/>
      </w:pPr>
      <w:r>
        <w:t xml:space="preserve">b) La forma de la línea, es decir, el patrón que dibuja a lo largo del tiempo</w:t>
      </w:r>
    </w:p>
    <w:p>
      <w:pPr>
        <w:pStyle w:val="Normal"/>
      </w:pPr>
      <w:r>
        <w:t xml:space="preserve">c) El número de mediciones tomadas</w:t>
      </w:r>
    </w:p>
    <w:p>
      <w:pPr>
        <w:pStyle w:val="Normal"/>
      </w:pPr>
      <w:r>
        <w:t xml:space="preserve">d) La escala elegida para el eje vertical</w:t>
      </w:r>
    </w:p>
    <w:p>
      <w:pPr>
        <w:pStyle w:val="Heading3"/>
      </w:pPr>
      <w:bookmarkStart w:name="b_pregunta_p2t_05_nenufar" w:id="6334"/>
      <w:r>
        <w:t xml:space="preserve">S2-182 · 3.8 · Patrones y tendencias</w:t>
      </w:r>
      <w:bookmarkEnd w:id="6334"/>
    </w:p>
    <w:p>
      <w:pPr>
        <w:pStyle w:val="Normal"/>
      </w:pPr>
      <w:r>
        <w:t xml:space="preserve">Un nenúfar duplica su tamaño cada día y a los 30 días cubre la mitad del estanque. ¿Cuándo lo cubrirá por completo?</w:t>
      </w:r>
    </w:p>
    <w:p>
      <w:pPr>
        <w:pStyle w:val="Normal"/>
      </w:pPr>
      <w:r>
        <w:t xml:space="preserve">a) El día 60, porque falta la otra mitad</w:t>
      </w:r>
    </w:p>
    <w:p>
      <w:pPr>
        <w:pStyle w:val="Normal"/>
      </w:pPr>
      <w:r>
        <w:t xml:space="preserve">b) El día 31, porque al duplicarse pasa de la mitad al total en un solo día</w:t>
      </w:r>
    </w:p>
    <w:p>
      <w:pPr>
        <w:pStyle w:val="Normal"/>
      </w:pPr>
      <w:r>
        <w:t xml:space="preserve">c) El día 45, a mitad de camino entre ambos</w:t>
      </w:r>
    </w:p>
    <w:p>
      <w:pPr>
        <w:pStyle w:val="Normal"/>
      </w:pPr>
      <w:r>
        <w:t xml:space="preserve">d) No puede saberse sin conocer el tamaño del estanque</w:t>
      </w:r>
    </w:p>
    <w:p>
      <w:pPr>
        <w:pStyle w:val="Heading3"/>
      </w:pPr>
      <w:bookmarkStart w:name="b_pregunta_p2t_06_esperanza_y_miedo" w:id="6335"/>
      <w:r>
        <w:t xml:space="preserve">S2-183 · 3.8 · Patrones y tendencias</w:t>
      </w:r>
      <w:bookmarkEnd w:id="6335"/>
    </w:p>
    <w:p>
      <w:pPr>
        <w:pStyle w:val="Normal"/>
      </w:pPr>
      <w:r>
        <w:t xml:space="preserve">Un gráfico de comportamiento traza el número de clientes de una empresa nueva, con una línea vertical rotulada «hoy» y dos curvas después de ella. ¿Qué representan?</w:t>
      </w:r>
    </w:p>
    <w:p>
      <w:pPr>
        <w:pStyle w:val="Normal"/>
      </w:pPr>
      <w:r>
        <w:t xml:space="preserve">a) El mejor y el peor escenario medidos con datos reales</w:t>
      </w:r>
    </w:p>
    <w:p>
      <w:pPr>
        <w:pStyle w:val="Normal"/>
      </w:pPr>
      <w:r>
        <w:t xml:space="preserve">b) La esperanza y el miedo del grupo sobre cómo podría cambiar ese elemento en el futuro</w:t>
      </w:r>
    </w:p>
    <w:p>
      <w:pPr>
        <w:pStyle w:val="Normal"/>
      </w:pPr>
      <w:r>
        <w:t xml:space="preserve">c) Dos mediciones de fuentes distintas</w:t>
      </w:r>
    </w:p>
    <w:p>
      <w:pPr>
        <w:pStyle w:val="Normal"/>
      </w:pPr>
      <w:r>
        <w:t xml:space="preserve">d) El margen de error de la proyección</w:t>
      </w:r>
    </w:p>
    <w:p>
      <w:pPr>
        <w:pStyle w:val="Heading3"/>
      </w:pPr>
      <w:bookmarkStart w:name="b_pregunta_p2t_07_medida_del_cambio" w:id="6336"/>
      <w:r>
        <w:t xml:space="preserve">S2-184 · 3.8 · Patrones y tendencias</w:t>
      </w:r>
      <w:bookmarkEnd w:id="6336"/>
    </w:p>
    <w:p>
      <w:pPr>
        <w:pStyle w:val="Normal"/>
      </w:pPr>
      <w:r>
        <w:t xml:space="preserve">Según la lámina sobre la medida del cambio, ¿puede graficarse algo que no sea una cantidad medible?</w:t>
      </w:r>
    </w:p>
    <w:p>
      <w:pPr>
        <w:pStyle w:val="Normal"/>
      </w:pPr>
      <w:r>
        <w:t xml:space="preserve">a) No: sólo se grafican magnitudes numéricas</w:t>
      </w:r>
    </w:p>
    <w:p>
      <w:pPr>
        <w:pStyle w:val="Normal"/>
      </w:pPr>
      <w:r>
        <w:t xml:space="preserve">b) Sí: el cambio también puede documentarse desde un punto de vista particular, como el temperamento o el nivel de independencia de un adolescente</w:t>
      </w:r>
    </w:p>
    <w:p>
      <w:pPr>
        <w:pStyle w:val="Normal"/>
      </w:pPr>
      <w:r>
        <w:t xml:space="preserve">c) Sí, pero sólo si se convierte antes en una escala numérica oficial</w:t>
      </w:r>
    </w:p>
    <w:p>
      <w:pPr>
        <w:pStyle w:val="Normal"/>
      </w:pPr>
      <w:r>
        <w:t xml:space="preserve">d) No, porque el eje vertical exige unidades</w:t>
      </w:r>
    </w:p>
    <w:p>
      <w:pPr>
        <w:pStyle w:val="Heading3"/>
      </w:pPr>
      <w:bookmarkStart w:name="b_pregunta_p2t_08_ciclos_de_vida" w:id="6337"/>
      <w:r>
        <w:t xml:space="preserve">S2-185 · 3.8 · Patrones y tendencias</w:t>
      </w:r>
      <w:bookmarkEnd w:id="6337"/>
    </w:p>
    <w:p>
      <w:pPr>
        <w:pStyle w:val="Normal"/>
      </w:pPr>
      <w:r>
        <w:t xml:space="preserve">Las láminas de ciclos de vida muestran la curva de un producto, la de un proyecto según el PMBOK, la metamorfosis de la mariposa, las fases de la luna y el ciclo del agua. ¿Qué tienen en común?</w:t>
      </w:r>
    </w:p>
    <w:p>
      <w:pPr>
        <w:pStyle w:val="Normal"/>
      </w:pPr>
      <w:r>
        <w:t xml:space="preserve">a) Que todos son sistemas naturales</w:t>
      </w:r>
    </w:p>
    <w:p>
      <w:pPr>
        <w:pStyle w:val="Normal"/>
      </w:pPr>
      <w:r>
        <w:t xml:space="preserve">b) Que son modelos de cómo se comportan los sistemas a lo largo del tiempo, dando nombre a las etapas por las que pasan sus elementos</w:t>
      </w:r>
    </w:p>
    <w:p>
      <w:pPr>
        <w:pStyle w:val="Normal"/>
      </w:pPr>
      <w:r>
        <w:t xml:space="preserve">c) Que todos producen crecimiento exponencial</w:t>
      </w:r>
    </w:p>
    <w:p>
      <w:pPr>
        <w:pStyle w:val="Normal"/>
      </w:pPr>
      <w:r>
        <w:t xml:space="preserve">d) Que todos duran exactamente un año</w:t>
      </w:r>
    </w:p>
    <w:p>
      <w:pPr>
        <w:pStyle w:val="Heading3"/>
      </w:pPr>
      <w:bookmarkStart w:name="b_pregunta_p2t_09_parametro" w:id="6338"/>
      <w:r>
        <w:t xml:space="preserve">S2-186 · 3.8 · Patrones y tendencias</w:t>
      </w:r>
      <w:bookmarkEnd w:id="6338"/>
    </w:p>
    <w:p>
      <w:pPr>
        <w:pStyle w:val="Normal"/>
      </w:pPr>
      <w:r>
        <w:t xml:space="preserve">En un gráfico de comportamiento, una línea horizontal perfecta indica que…</w:t>
      </w:r>
    </w:p>
    <w:p>
      <w:pPr>
        <w:pStyle w:val="Normal"/>
      </w:pPr>
      <w:r>
        <w:t xml:space="preserve">a) No se tomaron mediciones suficientes</w:t>
      </w:r>
    </w:p>
    <w:p>
      <w:pPr>
        <w:pStyle w:val="Normal"/>
      </w:pPr>
      <w:r>
        <w:t xml:space="preserve">b) La variable se mantiene sin cambios: es lo que en los sistemas se llama un parámetro</w:t>
      </w:r>
    </w:p>
    <w:p>
      <w:pPr>
        <w:pStyle w:val="Normal"/>
      </w:pPr>
      <w:r>
        <w:t xml:space="preserve">c) El sistema ha colapsado</w:t>
      </w:r>
    </w:p>
    <w:p>
      <w:pPr>
        <w:pStyle w:val="Normal"/>
      </w:pPr>
      <w:r>
        <w:t xml:space="preserve">d) El ciclo que la gobierna es de refuerzo</w:t>
      </w:r>
    </w:p>
    <w:p>
      <w:pPr>
        <w:pStyle w:val="Heading3"/>
      </w:pPr>
      <w:bookmarkStart w:name="b_pregunta_p2t_18_tendencias_en_81e72923" w:id="6339"/>
      <w:r>
        <w:t xml:space="preserve">S2-187 · 3.8 · Patrones y tendencias</w:t>
      </w:r>
      <w:bookmarkEnd w:id="6339"/>
    </w:p>
    <w:p>
      <w:pPr>
        <w:pStyle w:val="Normal"/>
      </w:pPr>
      <w:r>
        <w:t xml:space="preserve">¿Qué tipo de cosas menciona la lámina como seguibles mediante gráficos de tendencia?</w:t>
      </w:r>
    </w:p>
    <w:p>
      <w:pPr>
        <w:pStyle w:val="Normal"/>
      </w:pPr>
      <w:r>
        <w:t xml:space="preserve">a) Ganancias y pérdidas trimestrales</w:t>
      </w:r>
    </w:p>
    <w:p>
      <w:pPr>
        <w:pStyle w:val="Normal"/>
      </w:pPr>
      <w:r>
        <w:t xml:space="preserve">b) Datos de rendimiento estudiantil</w:t>
      </w:r>
    </w:p>
    <w:p>
      <w:pPr>
        <w:pStyle w:val="Normal"/>
      </w:pPr>
      <w:r>
        <w:t xml:space="preserve">c) Calificaciones de satisfacción del cliente</w:t>
      </w:r>
    </w:p>
    <w:p>
      <w:pPr>
        <w:pStyle w:val="Normal"/>
      </w:pPr>
      <w:r>
        <w:t xml:space="preserve">d) El movimiento hacia una meta personal, como pasos caminados cada día</w:t>
      </w:r>
    </w:p>
    <w:p>
      <w:pPr>
        <w:pStyle w:val="Normal"/>
      </w:pPr>
      <w:r>
        <w:t xml:space="preserve">e) La polaridad de las relaciones de un diagrama</w:t>
      </w:r>
    </w:p>
    <w:p>
      <w:pPr>
        <w:pStyle w:val="Heading3"/>
      </w:pPr>
      <w:bookmarkStart w:name="b_pregunta_p2t_19_de_estructura_a_curva" w:id="6340"/>
      <w:r>
        <w:t xml:space="preserve">S2-188 · 3.8 · Patrones y tendencias</w:t>
      </w:r>
      <w:bookmarkEnd w:id="6340"/>
    </w:p>
    <w:p>
      <w:pPr>
        <w:pStyle w:val="Normal"/>
      </w:pPr>
      <w:r>
        <w:t xml:space="preserve">Un modelo tiene un único ciclo de balance con un objetivo declarado. ¿Qué curva cabe esperar de su variable principal?</w:t>
      </w:r>
    </w:p>
    <w:p>
      <w:pPr>
        <w:pStyle w:val="Normal"/>
      </w:pPr>
      <w:r>
        <w:t xml:space="preserve">a) Una recta ascendente sin límite</w:t>
      </w:r>
    </w:p>
    <w:p>
      <w:pPr>
        <w:pStyle w:val="Normal"/>
      </w:pPr>
      <w:r>
        <w:t xml:space="preserve">b) Una curva que crece y se aplana al acercarse al objetivo, sin superarlo de forma sostenida</w:t>
      </w:r>
    </w:p>
    <w:p>
      <w:pPr>
        <w:pStyle w:val="Normal"/>
      </w:pPr>
      <w:r>
        <w:t xml:space="preserve">c) Una oscilación de amplitud creciente</w:t>
      </w:r>
    </w:p>
    <w:p>
      <w:pPr>
        <w:pStyle w:val="Normal"/>
      </w:pPr>
      <w:r>
        <w:t xml:space="preserve">d) Una línea horizontal desde el inicio</w:t>
      </w:r>
    </w:p>
    <w:p>
      <w:pPr>
        <w:pStyle w:val="Heading3"/>
      </w:pPr>
      <w:bookmarkStart w:name="b_pregunta_p2t_20_de_refuerzo_a_curva" w:id="6341"/>
      <w:r>
        <w:t xml:space="preserve">S2-189 · 3.8 · Patrones y tendencias</w:t>
      </w:r>
      <w:bookmarkEnd w:id="6341"/>
    </w:p>
    <w:p>
      <w:pPr>
        <w:pStyle w:val="Normal"/>
      </w:pPr>
      <w:r>
        <w:t xml:space="preserve">¿Y qué curva produce un ciclo de refuerzo al que nada frena?</w:t>
      </w:r>
    </w:p>
    <w:p>
      <w:pPr>
        <w:pStyle w:val="Normal"/>
      </w:pPr>
      <w:r>
        <w:t xml:space="preserve">a) Una exponencial sin cota, que crece —o decrece— cada vez más rápido</w:t>
      </w:r>
    </w:p>
    <w:p>
      <w:pPr>
        <w:pStyle w:val="Normal"/>
      </w:pPr>
      <w:r>
        <w:t xml:space="preserve">b) Una curva en S</w:t>
      </w:r>
    </w:p>
    <w:p>
      <w:pPr>
        <w:pStyle w:val="Normal"/>
      </w:pPr>
      <w:r>
        <w:t xml:space="preserve">c) Una oscilación regular</w:t>
      </w:r>
    </w:p>
    <w:p>
      <w:pPr>
        <w:pStyle w:val="Normal"/>
      </w:pPr>
      <w:r>
        <w:t xml:space="preserve">d) Un estado estable</w:t>
      </w:r>
    </w:p>
    <w:p>
      <w:pPr>
        <w:pStyle w:val="Heading3"/>
      </w:pPr>
      <w:bookmarkStart w:name="b_pregunta_p2t_21_arrastrar_curvas" w:id="6342"/>
      <w:r>
        <w:t xml:space="preserve">S2-190 · 3.8 · Patrones y tendencias</w:t>
      </w:r>
      <w:bookmarkEnd w:id="6342"/>
    </w:p>
    <w:p>
      <w:pPr>
        <w:pStyle w:val="Normal"/>
      </w:pPr>
      <w:r>
        <w:t xml:space="preserve">Reparta las situaciones idealizadas según la curva compatible con los supuestos indicados; las letras R/B por sí solas no fijan una curva.</w:t>
      </w:r>
    </w:p>
    <w:p>
      <w:pPr>
        <w:pStyle w:val="Normal"/>
      </w:pPr>
      <w:r>
        <w:t xml:space="preserve">a) Destinos: Crecimiento exponencial sin cota; Búsqueda de objetivo; Oscilación</w:t>
      </w:r>
    </w:p>
    <w:p>
      <w:pPr>
        <w:pStyle w:val="Normal"/>
      </w:pPr>
      <w:r>
        <w:t xml:space="preserve">b) El nenúfar que duplica su tamaño cada día</w:t>
      </w:r>
    </w:p>
    <w:p>
      <w:pPr>
        <w:pStyle w:val="Normal"/>
      </w:pPr>
      <w:r>
        <w:t xml:space="preserve">c) El saldo de una cuenta con interés compuesto y sin retiros</w:t>
      </w:r>
    </w:p>
    <w:p>
      <w:pPr>
        <w:pStyle w:val="Normal"/>
      </w:pPr>
      <w:r>
        <w:t xml:space="preserve">d) El nivel de un tanque con meta fija, válvula de flote y respuesta estable sin retardo relevante</w:t>
      </w:r>
    </w:p>
    <w:p>
      <w:pPr>
        <w:pStyle w:val="Normal"/>
      </w:pPr>
      <w:r>
        <w:t xml:space="preserve">e) La velocidad en caída con resistencia creciente y condiciones constantes, aproximándose a velocidad terminal</w:t>
      </w:r>
    </w:p>
    <w:p>
      <w:pPr>
        <w:pStyle w:val="Normal"/>
      </w:pPr>
      <w:r>
        <w:t xml:space="preserve">f) Poblaciones de conejos y zorros en el modelo idealizado con tasas y condiciones que generan oscilaciones</w:t>
      </w:r>
    </w:p>
    <w:p>
      <w:pPr>
        <w:pStyle w:val="Normal"/>
      </w:pPr>
      <w:r>
        <w:t xml:space="preserve">g) Un modelo de inventario y demanda con corrección retardada y parámetros que producen oscilaciones</w:t>
      </w:r>
    </w:p>
    <w:p>
      <w:pPr>
        <w:pStyle w:val="Heading3"/>
      </w:pPr>
      <w:bookmarkStart w:name="b_pregunta_p2t_23_estructura_vs_patron" w:id="6343"/>
      <w:r>
        <w:t xml:space="preserve">S2-191 · 3.8 · Patrones y tendencias</w:t>
      </w:r>
      <w:bookmarkEnd w:id="6343"/>
    </w:p>
    <w:p>
      <w:pPr>
        <w:pStyle w:val="Normal"/>
      </w:pPr>
      <w:r>
        <w:t xml:space="preserve">¿Qué relación hay entre el nivel de patrones y el nivel de estructuras del iceberg?</w:t>
      </w:r>
    </w:p>
    <w:p>
      <w:pPr>
        <w:pStyle w:val="Normal"/>
      </w:pPr>
      <w:r>
        <w:t xml:space="preserve">a) Son dos formas de decir lo mismo</w:t>
      </w:r>
    </w:p>
    <w:p>
      <w:pPr>
        <w:pStyle w:val="Normal"/>
      </w:pPr>
      <w:r>
        <w:t xml:space="preserve">b) La estructura genera las tendencias: lo que se ve como patrón en el nivel superior procede de la red de relaciones del nivel inferior</w:t>
      </w:r>
    </w:p>
    <w:p>
      <w:pPr>
        <w:pStyle w:val="Normal"/>
      </w:pPr>
      <w:r>
        <w:t xml:space="preserve">c) Los patrones son más profundos que las estructuras</w:t>
      </w:r>
    </w:p>
    <w:p>
      <w:pPr>
        <w:pStyle w:val="Normal"/>
      </w:pPr>
      <w:r>
        <w:t xml:space="preserve">d) Los patrones pertenecen a los sistemas naturales y las estructuras a los humanos</w:t>
      </w:r>
    </w:p>
    <w:p>
      <w:pPr>
        <w:pStyle w:val="Heading3"/>
      </w:pPr>
      <w:r>
        <w:t xml:space="preserve">Tema 3.9 · Hábitos (complejo)</w:t>
      </w:r>
    </w:p>
    <w:p>
      <w:pPr>
        <w:pStyle w:val="Heading3"/>
      </w:pPr>
      <w:bookmarkStart w:name="b_pregunta_p2l_cinco_habitos" w:id="6344"/>
      <w:r>
        <w:t xml:space="preserve">S2-192 · 3.9 · Hábitos (complejo)</w:t>
      </w:r>
      <w:bookmarkEnd w:id="6344"/>
    </w:p>
    <w:p>
      <w:pPr>
        <w:pStyle w:val="Normal"/>
      </w:pPr>
      <w:r>
        <w:t xml:space="preserve">¿Qué lista corresponde a los cinco hábitos seleccionados para Unidad 3?</w:t>
      </w:r>
    </w:p>
    <w:p>
      <w:pPr>
        <w:pStyle w:val="Normal"/>
      </w:pPr>
      <w:r>
        <w:t xml:space="preserve">a) Sólo estructura, circularidad y demoras</w:t>
      </w:r>
    </w:p>
    <w:p>
      <w:pPr>
        <w:pStyle w:val="Normal"/>
      </w:pPr>
      <w:r>
        <w:t xml:space="preserve">b) Los catorce hábitos más una introducción contada como hábito adicional</w:t>
      </w:r>
    </w:p>
    <w:p>
      <w:pPr>
        <w:pStyle w:val="Normal"/>
      </w:pPr>
      <w:r>
        <w:t xml:space="preserve">c) Patrones, conexiones, causalidad circular, estructura que genera comportamiento y demoras</w:t>
      </w:r>
    </w:p>
    <w:p>
      <w:pPr>
        <w:pStyle w:val="Normal"/>
      </w:pPr>
      <w:r>
        <w:t xml:space="preserve">d) Consecuencias, simulación, codificación, pruebas e instalación</w:t>
      </w:r>
    </w:p>
    <w:p>
      <w:pPr>
        <w:pStyle w:val="Heading3"/>
      </w:pPr>
      <w:bookmarkStart w:name="b_pregunta_p2t_10_nueve_habitos_61b37dbb" w:id="6345"/>
      <w:r>
        <w:t xml:space="preserve">S2-193 · 3.9 · Hábitos (complejo)</w:t>
      </w:r>
      <w:bookmarkEnd w:id="6345"/>
    </w:p>
    <w:p>
      <w:pPr>
        <w:pStyle w:val="Normal"/>
      </w:pPr>
      <w:r>
        <w:t xml:space="preserve">El póster de hábitos tiene dos bandas. Clasifique cada hábito según la banda a la que pertenece.</w:t>
      </w:r>
    </w:p>
    <w:p>
      <w:pPr>
        <w:pStyle w:val="Normal"/>
      </w:pPr>
      <w:r>
        <w:t xml:space="preserve">a) Destinos: Hábitos básicos; Profundizando en las estructuras sistémicas</w:t>
      </w:r>
    </w:p>
    <w:p>
      <w:pPr>
        <w:pStyle w:val="Normal"/>
      </w:pPr>
      <w:r>
        <w:t xml:space="preserve">b) Considera cómo los modelos mentales afectan la realidad actual y el futuro</w:t>
      </w:r>
    </w:p>
    <w:p>
      <w:pPr>
        <w:pStyle w:val="Normal"/>
      </w:pPr>
      <w:r>
        <w:t xml:space="preserve">c) Reconoce y prueba suposiciones</w:t>
      </w:r>
    </w:p>
    <w:p>
      <w:pPr>
        <w:pStyle w:val="Normal"/>
      </w:pPr>
      <w:r>
        <w:t xml:space="preserve">d) Cambia las perspectivas para aumentar la comprensión</w:t>
      </w:r>
    </w:p>
    <w:p>
      <w:pPr>
        <w:pStyle w:val="Normal"/>
      </w:pPr>
      <w:r>
        <w:t xml:space="preserve">e) Intenta entender la película completa</w:t>
      </w:r>
    </w:p>
    <w:p>
      <w:pPr>
        <w:pStyle w:val="Normal"/>
      </w:pPr>
      <w:r>
        <w:t xml:space="preserve">f) Observa cómo los elementos cambian a través del tiempo, generando patrones y tendencias</w:t>
      </w:r>
    </w:p>
    <w:p>
      <w:pPr>
        <w:pStyle w:val="Normal"/>
      </w:pPr>
      <w:r>
        <w:t xml:space="preserve">g) Hace conexiones significativas dentro y entre sistemas</w:t>
      </w:r>
    </w:p>
    <w:p>
      <w:pPr>
        <w:pStyle w:val="Normal"/>
      </w:pPr>
      <w:r>
        <w:t xml:space="preserve">h) Identifica la naturaleza circular de las relaciones complejas entre causa y efecto</w:t>
      </w:r>
    </w:p>
    <w:p>
      <w:pPr>
        <w:pStyle w:val="Normal"/>
      </w:pPr>
      <w:r>
        <w:t xml:space="preserve">i) Reconoce que la estructura de un sistema genera su comportamiento</w:t>
      </w:r>
    </w:p>
    <w:p>
      <w:pPr>
        <w:pStyle w:val="Normal"/>
      </w:pPr>
      <w:r>
        <w:t xml:space="preserve">j) Reconoce el impacto de las demoras</w:t>
      </w:r>
    </w:p>
    <w:p>
      <w:pPr>
        <w:pStyle w:val="Heading3"/>
      </w:pPr>
      <w:bookmarkStart w:name="b_pregunta_p2t_11_conexiones_si_2a627332" w:id="6346"/>
      <w:r>
        <w:t xml:space="preserve">S2-194 · 3.9 · Hábitos (complejo)</w:t>
      </w:r>
      <w:bookmarkEnd w:id="6346"/>
    </w:p>
    <w:p>
      <w:pPr>
        <w:pStyle w:val="Normal"/>
      </w:pPr>
      <w:r>
        <w:t xml:space="preserve">¿Qué hace un pensador sistémico según el hábito de las conexiones significativas?</w:t>
      </w:r>
    </w:p>
    <w:p>
      <w:pPr>
        <w:pStyle w:val="Normal"/>
      </w:pPr>
      <w:r>
        <w:t xml:space="preserve">a) Establece el mayor número de relaciones posible entre todas las variables</w:t>
      </w:r>
    </w:p>
    <w:p>
      <w:pPr>
        <w:pStyle w:val="Normal"/>
      </w:pPr>
      <w:r>
        <w:t xml:space="preserve">b) Ve cómo conceptos, hechos e ideas se enlazan entre sí, lo que puede conducir a nuevos aprendizajes, descubrimientos e innovaciones</w:t>
      </w:r>
    </w:p>
    <w:p>
      <w:pPr>
        <w:pStyle w:val="Normal"/>
      </w:pPr>
      <w:r>
        <w:t xml:space="preserve">c) Conecta sistemas del mismo tipo entre sí</w:t>
      </w:r>
    </w:p>
    <w:p>
      <w:pPr>
        <w:pStyle w:val="Normal"/>
      </w:pPr>
      <w:r>
        <w:t xml:space="preserve">d) Busca relaciones sólo dentro del sistema que estudia</w:t>
      </w:r>
    </w:p>
    <w:p>
      <w:pPr>
        <w:pStyle w:val="Heading3"/>
      </w:pPr>
      <w:bookmarkStart w:name="b_pregunta_p2t_12_mentalidad_de_cc91c5b9" w:id="6347"/>
      <w:r>
        <w:t xml:space="preserve">S2-195 · 3.9 · Hábitos (complejo)</w:t>
      </w:r>
      <w:bookmarkEnd w:id="6347"/>
    </w:p>
    <w:p>
      <w:pPr>
        <w:pStyle w:val="Normal"/>
      </w:pPr>
      <w:r>
        <w:t xml:space="preserve">¿Qué es una mentalidad de crecimiento según la lámina?</w:t>
      </w:r>
    </w:p>
    <w:p>
      <w:pPr>
        <w:pStyle w:val="Normal"/>
      </w:pPr>
      <w:r>
        <w:t xml:space="preserve">a) La ambición de aumentar los resultados cada período</w:t>
      </w:r>
    </w:p>
    <w:p>
      <w:pPr>
        <w:pStyle w:val="Normal"/>
      </w:pPr>
      <w:r>
        <w:t xml:space="preserve">b) La creencia de que la inteligencia no es puramente innata, sino que puede desarrollarse a través del esfuerzo</w:t>
      </w:r>
    </w:p>
    <w:p>
      <w:pPr>
        <w:pStyle w:val="Normal"/>
      </w:pPr>
      <w:r>
        <w:t xml:space="preserve">c) La disposición a aceptar cualquier cambio</w:t>
      </w:r>
    </w:p>
    <w:p>
      <w:pPr>
        <w:pStyle w:val="Normal"/>
      </w:pPr>
      <w:r>
        <w:t xml:space="preserve">d) El hábito de fijarse metas difíciles</w:t>
      </w:r>
    </w:p>
    <w:p>
      <w:pPr>
        <w:pStyle w:val="Heading3"/>
      </w:pPr>
      <w:bookmarkStart w:name="b_pregunta_p2t_13_transferencia_lobos" w:id="6348"/>
      <w:r>
        <w:t xml:space="preserve">S2-196 · 3.9 · Hábitos (complejo)</w:t>
      </w:r>
      <w:bookmarkEnd w:id="6348"/>
    </w:p>
    <w:p>
      <w:pPr>
        <w:pStyle w:val="Normal"/>
      </w:pPr>
      <w:r>
        <w:t xml:space="preserve">La lámina sobre transferencia compara la oferta y la demanda de un producto con la relación entre lobos y alces. ¿Qué justifica esa comparación?</w:t>
      </w:r>
    </w:p>
    <w:p>
      <w:pPr>
        <w:pStyle w:val="Normal"/>
      </w:pPr>
      <w:r>
        <w:t xml:space="preserve">a) Que ambos fenómenos ocurren en la misma escala de tiempo</w:t>
      </w:r>
    </w:p>
    <w:p>
      <w:pPr>
        <w:pStyle w:val="Normal"/>
      </w:pPr>
      <w:r>
        <w:t xml:space="preserve">b) Que dos sistemas distintos pueden compartir una estructura, si se comprueban mecanismos y condiciones compatibles</w:t>
      </w:r>
    </w:p>
    <w:p>
      <w:pPr>
        <w:pStyle w:val="Normal"/>
      </w:pPr>
      <w:r>
        <w:t xml:space="preserve">c) Que ambos dependen del clima</w:t>
      </w:r>
    </w:p>
    <w:p>
      <w:pPr>
        <w:pStyle w:val="Normal"/>
      </w:pPr>
      <w:r>
        <w:t xml:space="preserve">d) Que los dos son sistemas naturales</w:t>
      </w:r>
    </w:p>
    <w:p>
      <w:pPr>
        <w:pStyle w:val="Heading3"/>
      </w:pPr>
      <w:bookmarkStart w:name="b_pregunta_p2t_14_quinto_habito_nivel" w:id="6349"/>
      <w:r>
        <w:t xml:space="preserve">S2-197 · 3.9 · Hábitos (complejo)</w:t>
      </w:r>
      <w:bookmarkEnd w:id="6349"/>
    </w:p>
    <w:p>
      <w:pPr>
        <w:pStyle w:val="Normal"/>
      </w:pPr>
      <w:r>
        <w:t xml:space="preserve">El profesor dejó el hábito de los patrones y tendencias para el final de la unidad. ¿Con qué razón?</w:t>
      </w:r>
    </w:p>
    <w:p>
      <w:pPr>
        <w:pStyle w:val="Normal"/>
      </w:pPr>
      <w:r>
        <w:t xml:space="preserve">a) Porque es el más sencillo de los cinco</w:t>
      </w:r>
    </w:p>
    <w:p>
      <w:pPr>
        <w:pStyle w:val="Normal"/>
      </w:pPr>
      <w:r>
        <w:t xml:space="preserve">b) Porque las tendencias son el nivel superior que emerge de la estructura, y convenía entender primero la estructura que las produce</w:t>
      </w:r>
    </w:p>
    <w:p>
      <w:pPr>
        <w:pStyle w:val="Normal"/>
      </w:pPr>
      <w:r>
        <w:t xml:space="preserve">c) Porque requiere herramientas de software</w:t>
      </w:r>
    </w:p>
    <w:p>
      <w:pPr>
        <w:pStyle w:val="Normal"/>
      </w:pPr>
      <w:r>
        <w:t xml:space="preserve">d) Porque no entra en la evaluación</w:t>
      </w:r>
    </w:p>
    <w:p>
      <w:pPr>
        <w:pStyle w:val="Heading3"/>
      </w:pPr>
      <w:bookmarkStart w:name="b_pregunta_p2t_15_ordenar_habitos_unidad" w:id="6350"/>
      <w:r>
        <w:t xml:space="preserve">S2-198 · 3.9 · Hábitos (complejo)</w:t>
      </w:r>
      <w:bookmarkEnd w:id="6350"/>
    </w:p>
    <w:p>
      <w:pPr>
        <w:pStyle w:val="Normal"/>
      </w:pPr>
      <w:r>
        <w:t xml:space="preserve">Ordene los cinco hábitos de estructuras sistémicas según el orden en que la unidad los desarrolló.</w:t>
      </w:r>
    </w:p>
    <w:p>
      <w:pPr>
        <w:pStyle w:val="Normal"/>
      </w:pPr>
      <w:r>
        <w:t xml:space="preserve">a) Observa cómo los elementos cambian a través del tiempo</w:t>
      </w:r>
    </w:p>
    <w:p>
      <w:pPr>
        <w:pStyle w:val="Normal"/>
      </w:pPr>
      <w:r>
        <w:t xml:space="preserve">b) Identifica la naturaleza circular de las relaciones complejas</w:t>
      </w:r>
    </w:p>
    <w:p>
      <w:pPr>
        <w:pStyle w:val="Normal"/>
      </w:pPr>
      <w:r>
        <w:t xml:space="preserve">c) Hace conexiones significativas dentro y entre sistemas</w:t>
      </w:r>
    </w:p>
    <w:p>
      <w:pPr>
        <w:pStyle w:val="Normal"/>
      </w:pPr>
      <w:r>
        <w:t xml:space="preserve">d) Reconoce que la estructura de un sistema genera su comportamiento</w:t>
      </w:r>
    </w:p>
    <w:p>
      <w:pPr>
        <w:pStyle w:val="Normal"/>
      </w:pPr>
      <w:r>
        <w:t xml:space="preserve">e) Reconoce el impacto de las demoras</w:t>
      </w:r>
    </w:p>
    <w:p>
      <w:pPr>
        <w:pStyle w:val="Heading3"/>
      </w:pPr>
      <w:bookmarkStart w:name="b_pregunta_p2t_16_pregunta_conexiones" w:id="6351"/>
      <w:r>
        <w:t xml:space="preserve">S2-199 · 3.9 · Hábitos (complejo)</w:t>
      </w:r>
      <w:bookmarkEnd w:id="6351"/>
    </w:p>
    <w:p>
      <w:pPr>
        <w:pStyle w:val="Normal"/>
      </w:pPr>
      <w:r>
        <w:t xml:space="preserve">«¿Cómo transfiere la comprensión de un sistema a otro sistema?» es una de las preguntas guía de…</w:t>
      </w:r>
    </w:p>
    <w:p>
      <w:pPr>
        <w:pStyle w:val="Normal"/>
      </w:pPr>
      <w:r>
        <w:t xml:space="preserve">a) El hábito de reconocer y probar suposiciones</w:t>
      </w:r>
    </w:p>
    <w:p>
      <w:pPr>
        <w:pStyle w:val="Normal"/>
      </w:pPr>
      <w:r>
        <w:t xml:space="preserve">b) El hábito de hacer conexiones significativas dentro y entre sistemas</w:t>
      </w:r>
    </w:p>
    <w:p>
      <w:pPr>
        <w:pStyle w:val="Normal"/>
      </w:pPr>
      <w:r>
        <w:t xml:space="preserve">c) El hábito de reconocer el impacto de las demoras</w:t>
      </w:r>
    </w:p>
    <w:p>
      <w:pPr>
        <w:pStyle w:val="Normal"/>
      </w:pPr>
      <w:r>
        <w:t xml:space="preserve">d) El hábito de cambiar de perspectivas</w:t>
      </w:r>
    </w:p>
    <w:p>
      <w:pPr>
        <w:pStyle w:val="Heading3"/>
      </w:pPr>
      <w:bookmarkStart w:name="b_pregunta_p2t_17_conexiones_humanas" w:id="6352"/>
      <w:r>
        <w:t xml:space="preserve">S2-200 · 3.9 · Hábitos (complejo)</w:t>
      </w:r>
      <w:bookmarkEnd w:id="6352"/>
    </w:p>
    <w:p>
      <w:pPr>
        <w:pStyle w:val="Normal"/>
      </w:pPr>
      <w:r>
        <w:t xml:space="preserve">La lámina sobre conexiones en los sistemas humanos cita un estudio: estar con otras personas nos hace más felices, la felicidad mejora las relaciones y eso aumenta el tiempo que elegimos pasar acompañados. ¿Qué estructura describe ese párrafo?</w:t>
      </w:r>
    </w:p>
    <w:p>
      <w:pPr>
        <w:pStyle w:val="Normal"/>
      </w:pPr>
      <w:r>
        <w:t xml:space="preserve">a) Un ciclo de balance que estabiliza la sociabilidad</w:t>
      </w:r>
    </w:p>
    <w:p>
      <w:pPr>
        <w:pStyle w:val="Normal"/>
      </w:pPr>
      <w:r>
        <w:t xml:space="preserve">b) Un ciclo de refuerzo: cada vuelta amplifica el efecto de la anterior</w:t>
      </w:r>
    </w:p>
    <w:p>
      <w:pPr>
        <w:pStyle w:val="Normal"/>
      </w:pPr>
      <w:r>
        <w:t xml:space="preserve">c) Una cadena lineal de tres pasos</w:t>
      </w:r>
    </w:p>
    <w:p>
      <w:pPr>
        <w:pStyle w:val="Normal"/>
      </w:pPr>
      <w:r>
        <w:t xml:space="preserve">d) Una proalimentación de compensación</w:t>
      </w:r>
    </w:p>
    <w:p>
      <w:pPr>
        <w:pStyle w:val="Heading3"/>
      </w:pPr>
      <w:bookmarkStart w:name="b_pregunta_p2t_22_tipos_de_relacion" w:id="6353"/>
      <w:r>
        <w:t xml:space="preserve">S2-201 · 3.9 · Hábitos (complejo)</w:t>
      </w:r>
      <w:bookmarkEnd w:id="6353"/>
    </w:p>
    <w:p>
      <w:pPr>
        <w:pStyle w:val="Normal"/>
      </w:pPr>
      <w:r>
        <w:t xml:space="preserve">Al desarrollar el hábito de las conexiones, ¿qué tipos de relación enumeró la clase entre personas y en la naturaleza?</w:t>
      </w:r>
    </w:p>
    <w:p>
      <w:pPr>
        <w:pStyle w:val="Normal"/>
      </w:pPr>
      <w:r>
        <w:t xml:space="preserve">a) De comunicación y de trabajo en equipo</w:t>
      </w:r>
    </w:p>
    <w:p>
      <w:pPr>
        <w:pStyle w:val="Normal"/>
      </w:pPr>
      <w:r>
        <w:t xml:space="preserve">b) De tipo familiar y sentimental</w:t>
      </w:r>
    </w:p>
    <w:p>
      <w:pPr>
        <w:pStyle w:val="Normal"/>
      </w:pPr>
      <w:r>
        <w:t xml:space="preserve">c) Físicas, químicas y de alimentación</w:t>
      </w:r>
    </w:p>
    <w:p>
      <w:pPr>
        <w:pStyle w:val="Normal"/>
      </w:pPr>
      <w:r>
        <w:t xml:space="preserve">d) De enseñanza y aprendizaje</w:t>
      </w:r>
    </w:p>
    <w:p>
      <w:pPr>
        <w:pStyle w:val="Normal"/>
      </w:pPr>
      <w:r>
        <w:t xml:space="preserve">e) De propiedad intelectual</w:t>
      </w:r>
    </w:p>
    <w:p>
      <w:pPr>
        <w:pStyle w:val="Heading3"/>
      </w:pPr>
      <w:bookmarkStart w:name="b_pregunta_p2t_24_logistica_seg_9fb31ad7" w:id="6354"/>
      <w:r>
        <w:t xml:space="preserve">S2-202 · 3.9 · Hábitos (complejo)</w:t>
      </w:r>
      <w:bookmarkEnd w:id="6354"/>
    </w:p>
    <w:p>
      <w:pPr>
        <w:pStyle w:val="Normal"/>
      </w:pPr>
      <w:r>
        <w:t xml:space="preserve">Según lo anunciado en clase, ¿qué formato tiene la segunda evaluación parcial?</w:t>
      </w:r>
    </w:p>
    <w:p>
      <w:pPr>
        <w:pStyle w:val="Normal"/>
      </w:pPr>
      <w:r>
        <w:t xml:space="preserve">a) Virtual en la plataforma, con preguntas de selección múltiple</w:t>
      </w:r>
    </w:p>
    <w:p>
      <w:pPr>
        <w:pStyle w:val="Normal"/>
      </w:pPr>
      <w:r>
        <w:t xml:space="preserve">b) Presencial, a lápiz y papel, con preguntas sobre la temática y modelos que se entregan hechos para interpretarlos o se plantean como historia para diagramarlos</w:t>
      </w:r>
    </w:p>
    <w:p>
      <w:pPr>
        <w:pStyle w:val="Normal"/>
      </w:pPr>
      <w:r>
        <w:t xml:space="preserve">c) Una entrega de un mapa construido en casa</w:t>
      </w:r>
    </w:p>
    <w:p>
      <w:pPr>
        <w:pStyle w:val="Normal"/>
      </w:pPr>
      <w:r>
        <w:t xml:space="preserve">d) Oral, por videollamada</w:t>
      </w:r>
    </w:p>
    <w:p>
      <w:pPr>
        <w:pStyle w:val="Heading3"/>
      </w:pPr>
      <w:bookmarkStart w:name="b_pregunta_p2t_25_cinco_habitos_complejo" w:id="6355"/>
      <w:r>
        <w:t xml:space="preserve">S2-203 · 3.9 · Hábitos (complejo)</w:t>
      </w:r>
      <w:bookmarkEnd w:id="6355"/>
    </w:p>
    <w:p>
      <w:pPr>
        <w:pStyle w:val="Normal"/>
      </w:pPr>
      <w:r>
        <w:t xml:space="preserve">¿Cuáles de estos hábitos forman la banda de «estructuras sistémicas», los cinco que el curso presentó como hábitos del pensador sistémico complejo?</w:t>
      </w:r>
    </w:p>
    <w:p>
      <w:pPr>
        <w:pStyle w:val="Normal"/>
      </w:pPr>
      <w:r>
        <w:t xml:space="preserve">a) Observa cómo los elementos cambian en el tiempo, generando patrones y tendencias</w:t>
      </w:r>
    </w:p>
    <w:p>
      <w:pPr>
        <w:pStyle w:val="Normal"/>
      </w:pPr>
      <w:r>
        <w:t xml:space="preserve">b) Hace conexiones significativas dentro y entre sistemas</w:t>
      </w:r>
    </w:p>
    <w:p>
      <w:pPr>
        <w:pStyle w:val="Normal"/>
      </w:pPr>
      <w:r>
        <w:t xml:space="preserve">c) Cambia de perspectivas para aumentar la comprensión</w:t>
      </w:r>
    </w:p>
    <w:p>
      <w:pPr>
        <w:pStyle w:val="Normal"/>
      </w:pPr>
      <w:r>
        <w:t xml:space="preserve">d) Identifica la naturaleza circular de las relaciones de causa y efecto</w:t>
      </w:r>
    </w:p>
    <w:p>
      <w:pPr>
        <w:pStyle w:val="Normal"/>
      </w:pPr>
      <w:r>
        <w:t xml:space="preserve">e) Reconoce que la estructura de un sistema genera su comportamiento</w:t>
      </w:r>
    </w:p>
    <w:p>
      <w:pPr>
        <w:pStyle w:val="Normal"/>
      </w:pPr>
      <w:r>
        <w:t xml:space="preserve">f) Reconoce el impacto de las demoras de tiempo</w:t>
      </w:r>
    </w:p>
    <w:p>
      <w:pPr>
        <w:pStyle w:val="Normal"/>
      </w:pPr>
      <w:r>
        <w:t xml:space="preserve">g) Identifica dónde una pequeña acción produce un cambio grande: el apalancamiento</w:t>
      </w:r>
    </w:p>
    <w:p>
      <w:pPr>
        <w:pStyle w:val="Heading3"/>
      </w:pPr>
      <w:bookmarkStart w:name="b_pregunta_p2t_26_explorar_estr_0a7b20b4" w:id="6356"/>
      <w:r>
        <w:t xml:space="preserve">S2-204 · 3.9 · Hábitos (complejo)</w:t>
      </w:r>
      <w:bookmarkEnd w:id="6356"/>
    </w:p>
    <w:p>
      <w:pPr>
        <w:pStyle w:val="Normal"/>
      </w:pPr>
      <w:r>
        <w:t xml:space="preserve">Un equipo se reúne porque el proyecto se atrasó y la conversación empieza por decidir quién tuvo la culpa. Según el hábito de explorar estructuras sistémicas que el profesor desarrolló en la clase 16, ¿cómo debería reconducirse la reunión?</w:t>
      </w:r>
    </w:p>
    <w:p>
      <w:pPr>
        <w:pStyle w:val="Normal"/>
      </w:pPr>
      <w:r>
        <w:t xml:space="preserve">a) Fijar primero al responsable, porque sin culpable no hay corrección posible</w:t>
      </w:r>
    </w:p>
    <w:p>
      <w:pPr>
        <w:pStyle w:val="Normal"/>
      </w:pPr>
      <w:r>
        <w:t xml:space="preserve">b) Dejar la culpa a un lado, preguntar qué tiene el problema que todavía no entendemos, describirlo en los tres niveles del iceberg y recoger las perspectivas de las distintas áreas</w:t>
      </w:r>
    </w:p>
    <w:p>
      <w:pPr>
        <w:pStyle w:val="Normal"/>
      </w:pPr>
      <w:r>
        <w:t xml:space="preserve">c) Cerrar la reunión hasta tener los datos del último mes</w:t>
      </w:r>
    </w:p>
    <w:p>
      <w:pPr>
        <w:pStyle w:val="Normal"/>
      </w:pPr>
      <w:r>
        <w:t xml:space="preserve">d) Reemplazar la conversación por un diagrama que alguien dibuje a solas</w:t>
      </w:r>
    </w:p>
    <w:p>
      <w:pPr>
        <w:pStyle w:val="Heading3"/>
      </w:pPr>
      <w:bookmarkStart w:name="b_pregunta_p2t_27_habitos_empar_8b3e2440" w:id="6357"/>
      <w:r>
        <w:t xml:space="preserve">S2-205 · 3.9 · Hábitos (complejo)</w:t>
      </w:r>
      <w:bookmarkEnd w:id="6357"/>
    </w:p>
    <w:p>
      <w:pPr>
        <w:pStyle w:val="Normal"/>
      </w:pPr>
      <w:r>
        <w:t xml:space="preserve">Relacione cada decisión con el hábito del pensador sistémico complejo que la guía.</w:t>
      </w:r>
    </w:p>
    <w:p>
      <w:pPr>
        <w:pStyle w:val="Normal"/>
      </w:pPr>
      <w:r>
        <w:t xml:space="preserve">a) Fila: No descartar la campaña porque en un mes no subieron las ventas: esperar el tiempo que tarda el efecto</w:t>
      </w:r>
    </w:p>
    <w:p>
      <w:pPr>
        <w:pStyle w:val="Normal"/>
      </w:pPr>
      <w:r>
        <w:t xml:space="preserve">b) Fila: Graficar las quejas mes a mes en vez de reaccionar sólo a la queja de hoy</w:t>
      </w:r>
    </w:p>
    <w:p>
      <w:pPr>
        <w:pStyle w:val="Normal"/>
      </w:pPr>
      <w:r>
        <w:t xml:space="preserve">c) Fila: Preguntar qué diseño del sistema hace que siempre falte personal a fin de mes, en lugar de culpar al turno</w:t>
      </w:r>
    </w:p>
    <w:p>
      <w:pPr>
        <w:pStyle w:val="Normal"/>
      </w:pPr>
      <w:r>
        <w:t xml:space="preserve">d) Fila: Mostrar que las ventas alimentan los comentarios que, a su vez, traen más ventas</w:t>
      </w:r>
    </w:p>
    <w:p>
      <w:pPr>
        <w:pStyle w:val="Normal"/>
      </w:pPr>
      <w:r>
        <w:t xml:space="preserve">e) a) Observa patrones y tendencias en el tiempo</w:t>
      </w:r>
    </w:p>
    <w:p>
      <w:pPr>
        <w:pStyle w:val="Normal"/>
      </w:pPr>
      <w:r>
        <w:t xml:space="preserve">f) b) Hace conexiones significativas</w:t>
      </w:r>
    </w:p>
    <w:p>
      <w:pPr>
        <w:pStyle w:val="Normal"/>
      </w:pPr>
      <w:r>
        <w:t xml:space="preserve">g) c) Identifica la causalidad circular</w:t>
      </w:r>
    </w:p>
    <w:p>
      <w:pPr>
        <w:pStyle w:val="Normal"/>
      </w:pPr>
      <w:r>
        <w:t xml:space="preserve">h) d) Reconoce que la estructura genera el comportamiento</w:t>
      </w:r>
    </w:p>
    <w:p>
      <w:pPr>
        <w:pStyle w:val="Normal"/>
      </w:pPr>
      <w:r>
        <w:t xml:space="preserve">i) e) Reconoce el impacto de las demoras</w:t>
      </w:r>
    </w:p>
    <w:p>
      <w:pPr>
        <w:pStyle w:val="Heading3"/>
      </w:pPr>
      <w:bookmarkStart w:name="b_solucionario_banco_p2" w:id="6358"/>
      <w:r>
        <w:t xml:space="preserve">Solucionario del banco</w:t>
      </w:r>
      <w:bookmarkEnd w:id="6358"/>
    </w:p>
    <w:p>
      <w:pPr>
        <w:pStyle w:val="Heading3"/>
      </w:pPr>
      <w:bookmarkStart w:name="b_solucion_p2l_transferencia" w:id="6359"/>
      <w:r>
        <w:t xml:space="preserve">Solución S2-1</w:t>
      </w:r>
      <w:bookmarkEnd w:id="6359"/>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a) Una posible analogía que exige comprobar mecanismos y condiciones; el gráfico económico no muestra una oscilación temporal</w:t>
            </w:r>
          </w:p>
        </w:tc>
      </w:tr>
    </w:tbl>
    <w:p>
      <w:pPr>
        <w:pStyle w:val="Normal"/>
      </w:pPr>
      <w:r>
        <w:t xml:space="preserve">a) Una posible analogía que exige comprobar mecanismos y condiciones; el gráfico económico no muestra una oscilación temporal — Se selecciona por la clave; aplique el criterio de resolución común que se desarrolla después de esta lista.</w:t>
      </w:r>
    </w:p>
    <w:p>
      <w:pPr>
        <w:pStyle w:val="Normal"/>
      </w:pPr>
      <w:r>
        <w:t xml:space="preserve">b) Que todos los mercados oscilan igual que todas las poblaciones — Se descarta por la clave; aplique el criterio de resolución común que se desarrolla después de esta lista.</w:t>
      </w:r>
    </w:p>
    <w:p>
      <w:pPr>
        <w:pStyle w:val="Normal"/>
      </w:pPr>
      <w:r>
        <w:t xml:space="preserve">c) Que un gráfico de precio y cantidad tiene necesariamente tiempo en el eje horizontal — Se descarta por la clave; aplique el criterio de resolución común que se desarrolla después de esta lista.</w:t>
      </w:r>
    </w:p>
    <w:p>
      <w:pPr>
        <w:pStyle w:val="Normal"/>
      </w:pPr>
      <w:r>
        <w:t xml:space="preserve">d) Que la transferencia permite omitir tasas y demoras — Se descarta por la clave; aplique el criterio de resolución común que se desarrolla después de esta lista.</w:t>
      </w:r>
    </w:p>
    <w:p>
      <w:pPr>
        <w:pStyle w:val="Normal"/>
      </w:pPr>
      <w:r>
        <w:t xml:space="preserve">Criterio de resolución: Una posible analogía que exige comprobar mecanismos y condiciones; el gráfico económico no muestra una oscilación temporal</w:t>
      </w:r>
    </w:p>
    <w:p>
      <w:pPr>
        <w:pStyle w:val="Fuente"/>
      </w:pPr>
      <w:r>
        <w:t xml:space="preserve">Presentación de la unidad 3 (C-2), pág. 40 · Clase 12 · 01:33:18–01:36:48</w:t>
      </w:r>
    </w:p>
    <w:p>
      <w:pPr>
        <w:pStyle w:val="Heading3"/>
      </w:pPr>
      <w:bookmarkStart w:name="b_solucion_p2m_01_que_es_mapa_sistemico" w:id="6360"/>
      <w:r>
        <w:t xml:space="preserve">Solución S2-2</w:t>
      </w:r>
      <w:bookmarkEnd w:id="6360"/>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b) Una representación gráfica de los comportamientos sistémicos: un modelo con una sintaxis que se aprende a hacer, a interpretar y a utilizar</w:t>
            </w:r>
          </w:p>
        </w:tc>
      </w:tr>
    </w:tbl>
    <w:p>
      <w:pPr>
        <w:pStyle w:val="Normal"/>
      </w:pPr>
      <w:r>
        <w:t xml:space="preserve">a) Un dibujo libre que ilustra un sistema para hacer más atractiva una presentación — No: el mapa no es decoración. Tiene una sintaxis y se usa para estudiar el comportamiento del sistema.</w:t>
      </w:r>
    </w:p>
    <w:p>
      <w:pPr>
        <w:pStyle w:val="Normal"/>
      </w:pPr>
      <w:r>
        <w:t xml:space="preserve">b) Una representación gráfica de los comportamientos sistémicos: un modelo con una sintaxis que se aprende a hacer, a interpretar y a utilizar — Correcta: es la definición que abrió la unidad 3, y las tres palabras que importan son «modelo», «sintaxis» y «comportamientos».</w:t>
      </w:r>
    </w:p>
    <w:p>
      <w:pPr>
        <w:pStyle w:val="Normal"/>
      </w:pPr>
      <w:r>
        <w:t xml:space="preserve">c) Un inventario ordenado de todas las partes que componen un sistema — Un inventario enumera partes; el mapa muestra además cómo se relacionan y qué comportamiento producen.</w:t>
      </w:r>
    </w:p>
    <w:p>
      <w:pPr>
        <w:pStyle w:val="Normal"/>
      </w:pPr>
      <w:r>
        <w:t xml:space="preserve">d) La fotografía exacta del sistema real, sin pérdida de información — Justo lo contrario: un mapa es un modelo, y un modelo nunca es la realidad completa.</w:t>
      </w:r>
    </w:p>
    <w:p>
      <w:pPr>
        <w:pStyle w:val="Normal"/>
      </w:pPr>
      <w:r>
        <w:t xml:space="preserve">Criterio de resolución: El mapa sistémico se presentó como un tipo de modelo que, con cierta sintaxis gráfica, sirve para estudiar los comportamientos sistémicos. Las tres cosas que se aprenden son hacerlo, interpretarlo y usarlo; ninguna es decorarlo.</w:t>
      </w:r>
    </w:p>
    <w:p>
      <w:pPr>
        <w:pStyle w:val="Fuente"/>
      </w:pPr>
      <w:r>
        <w:t xml:space="preserve">Clase 10 · 00:12:38–00:13:30 · lámina 1</w:t>
      </w:r>
    </w:p>
    <w:p>
      <w:pPr>
        <w:pStyle w:val="Heading3"/>
      </w:pPr>
      <w:bookmarkStart w:name="b_solucion_p2m_02_dos_familias_de_mapa" w:id="6361"/>
      <w:r>
        <w:t xml:space="preserve">Solución S2-3</w:t>
      </w:r>
      <w:bookmarkEnd w:id="6361"/>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b) El mapa DSRP expresa las cuatro operaciones del pensamiento sistémico; el diagrama de ciclos causales concentra el énfasis en las relaciones y su dinámica en el tiempo</w:t>
            </w:r>
          </w:p>
        </w:tc>
      </w:tr>
    </w:tbl>
    <w:p>
      <w:pPr>
        <w:pStyle w:val="Normal"/>
      </w:pPr>
      <w:r>
        <w:t xml:space="preserve">a) El mapa DSRP se dibuja a mano y el diagrama de ciclos causales requiere software — El medio es indiferente: los dos pueden hacerse en papel, en pizarra o en software.</w:t>
      </w:r>
    </w:p>
    <w:p>
      <w:pPr>
        <w:pStyle w:val="Normal"/>
      </w:pPr>
      <w:r>
        <w:t xml:space="preserve">b) El mapa DSRP expresa las cuatro operaciones del pensamiento sistémico; el diagrama de ciclos causales concentra el énfasis en las relaciones y su dinámica en el tiempo — Correcta: el mapa DSRP tiene más simbología —contención, ojo y punto— para expresar sistemas y perspectivas; el diagrama causal renuncia a casi toda ella para enfocarse en las relaciones.</w:t>
      </w:r>
    </w:p>
    <w:p>
      <w:pPr>
        <w:pStyle w:val="Normal"/>
      </w:pPr>
      <w:r>
        <w:t xml:space="preserve">c) El mapa DSRP sirve para sistemas naturales y el diagrama de ciclos causales para sistemas de actividad humana — Ninguno de los dos está reservado a un tipo de sistema.</w:t>
      </w:r>
    </w:p>
    <w:p>
      <w:pPr>
        <w:pStyle w:val="Normal"/>
      </w:pPr>
      <w:r>
        <w:t xml:space="preserve">d) No se diferencian: son dos nombres de la misma herramienta — Son distintos: el diagrama causal es, en la práctica, un mapa reducido a distinciones y relaciones.</w:t>
      </w:r>
    </w:p>
    <w:p>
      <w:pPr>
        <w:pStyle w:val="Normal"/>
      </w:pPr>
      <w:r>
        <w:t xml:space="preserve">Criterio de resolución: El mapa DSRP dispone de más simbología para expresar la estructura de subsistemas y las perspectivas. El diagrama de ciclos causales usa sólo distinciones y flechas con polaridad, y a cambio permite enfocarse en las estructuras dinámicas a lo largo del tiempo.</w:t>
      </w:r>
    </w:p>
    <w:p>
      <w:pPr>
        <w:pStyle w:val="Fuente"/>
      </w:pPr>
      <w:r>
        <w:t xml:space="preserve">Clase 14 · 00:53:30–00:55:10</w:t>
      </w:r>
    </w:p>
    <w:p>
      <w:pPr>
        <w:pStyle w:val="Heading3"/>
      </w:pPr>
      <w:bookmarkStart w:name="b_solucion_p2m_03_nivel_del_iceberg" w:id="6362"/>
      <w:r>
        <w:t xml:space="preserve">Solución S2-4</w:t>
      </w:r>
      <w:bookmarkEnd w:id="6362"/>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c) Sobre las estructuras subyacentes: qué relaciones producen lo que pasa</w:t>
            </w:r>
          </w:p>
        </w:tc>
      </w:tr>
    </w:tbl>
    <w:p>
      <w:pPr>
        <w:pStyle w:val="Normal"/>
      </w:pPr>
      <w:r>
        <w:t xml:space="preserve">a) Sobre los eventos: qué pasó — Los eventos son el nivel visible; el diagrama causal existe justamente para bajar de ahí.</w:t>
      </w:r>
    </w:p>
    <w:p>
      <w:pPr>
        <w:pStyle w:val="Normal"/>
      </w:pPr>
      <w:r>
        <w:t xml:space="preserve">b) Sobre los patrones de comportamiento: qué ha venido pasando — Ese es el nivel donde se leen las tendencias y los gráficos de comportamiento, no donde se dibuja la estructura.</w:t>
      </w:r>
    </w:p>
    <w:p>
      <w:pPr>
        <w:pStyle w:val="Normal"/>
      </w:pPr>
      <w:r>
        <w:t xml:space="preserve">c) Sobre las estructuras subyacentes: qué relaciones producen lo que pasa — Correcta: el diagrama causal modela la red de relaciones que genera los patrones observados.</w:t>
      </w:r>
    </w:p>
    <w:p>
      <w:pPr>
        <w:pStyle w:val="Normal"/>
      </w:pPr>
      <w:r>
        <w:t xml:space="preserve">d) Sobre los modelos mentales: qué creencias sostienen el sistema — Los modelos mentales son el nivel más profundo; el diagrama causal puede revelarlos, pero no es el nivel que dibuja.</w:t>
      </w:r>
    </w:p>
    <w:p>
      <w:pPr>
        <w:pStyle w:val="Normal"/>
      </w:pPr>
      <w:r>
        <w:t xml:space="preserve">Criterio de resolución: La clase ubicó los diagramas de ciclos causales en el tercer nivel del iceberg, el de las estructuras subyacentes. Ese nivel es el que genera las tendencias que se ven en el nivel de patrones.</w:t>
      </w:r>
    </w:p>
    <w:p>
      <w:pPr>
        <w:pStyle w:val="Fuente"/>
      </w:pPr>
      <w:r>
        <w:t xml:space="preserve">Clase 10 · 00:13:30–00:15:24 · Clase 14 · 01:08:59–01:11:03</w:t>
      </w:r>
    </w:p>
    <w:p>
      <w:pPr>
        <w:pStyle w:val="Heading3"/>
      </w:pPr>
      <w:bookmarkStart w:name="b_solucion_p2m_04_mapa_es_teoria" w:id="6363"/>
      <w:r>
        <w:t xml:space="preserve">Solución S2-5</w:t>
      </w:r>
      <w:bookmarkEnd w:id="6363"/>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b) Una teoría personal: lo que ese modelador comprende y concibe del sistema que mapea</w:t>
            </w:r>
          </w:p>
        </w:tc>
      </w:tr>
    </w:tbl>
    <w:p>
      <w:pPr>
        <w:pStyle w:val="Normal"/>
      </w:pPr>
      <w:r>
        <w:t xml:space="preserve">a) La única descripción correcta del sistema, si aplica bien la sintaxis — No existe un diagrama ideal único: dos personas pueden modelar el mismo sistema de forma distinta y ambas ser defendibles.</w:t>
      </w:r>
    </w:p>
    <w:p>
      <w:pPr>
        <w:pStyle w:val="Normal"/>
      </w:pPr>
      <w:r>
        <w:t xml:space="preserve">b) Una teoría personal: lo que ese modelador comprende y concibe del sistema que mapea — Correcta: cada mapa sintetiza una teoría del creador del mapa, es decir, el conjunto de supuestos y creencias que asume sobre el sistema.</w:t>
      </w:r>
    </w:p>
    <w:p>
      <w:pPr>
        <w:pStyle w:val="Normal"/>
      </w:pPr>
      <w:r>
        <w:t xml:space="preserve">c) Un resumen neutral, independiente de quién lo dibuje — La modelación no es neutral: la perspectiva del modelador decide qué se distingue y dónde va la frontera.</w:t>
      </w:r>
    </w:p>
    <w:p>
      <w:pPr>
        <w:pStyle w:val="Normal"/>
      </w:pPr>
      <w:r>
        <w:t xml:space="preserve">d) Una lista de requisitos que el sistema debe cumplir — Un mapa describe cómo funciona algo, no qué debería cumplir.</w:t>
      </w:r>
    </w:p>
    <w:p>
      <w:pPr>
        <w:pStyle w:val="Normal"/>
      </w:pPr>
      <w:r>
        <w:t xml:space="preserve">Criterio de resolución: La clase insistió en que cada mapa refleja en forma sintetizada una teoría personal del creador. Por eso la corrección de un mapa no se juzga comparándolo con un modelo ideal, sino comprobando si la historia que cuenta su sintaxis coincide con el sistema planteado.</w:t>
      </w:r>
    </w:p>
    <w:p>
      <w:pPr>
        <w:pStyle w:val="Fuente"/>
      </w:pPr>
      <w:r>
        <w:t xml:space="preserve">Clase 12 · 00:17:36–00:18:45 · Clase 16 · 01:34:26–01:35:03</w:t>
      </w:r>
    </w:p>
    <w:p>
      <w:pPr>
        <w:pStyle w:val="Heading3"/>
      </w:pPr>
      <w:bookmarkStart w:name="b_solucion_p2m_05_medio_indiferente" w:id="6364"/>
      <w:r>
        <w:t xml:space="preserve">Solución S2-6</w:t>
      </w:r>
      <w:bookmarkEnd w:id="6364"/>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b) Está bien: el medio es indiferente mientras la sintaxis gráfica sea la correcta</w:t>
            </w:r>
          </w:p>
        </w:tc>
      </w:tr>
    </w:tbl>
    <w:p>
      <w:pPr>
        <w:pStyle w:val="Normal"/>
      </w:pPr>
      <w:r>
        <w:t xml:space="preserve">a) Está mal: el mapa sólo es válido si se construye en la herramienta de software — La lámina de la clase 11 enumera el papel, la pizarra, las notas adhesivas y hasta la propia cabeza como medios legítimos.</w:t>
      </w:r>
    </w:p>
    <w:p>
      <w:pPr>
        <w:pStyle w:val="Normal"/>
      </w:pPr>
      <w:r>
        <w:t xml:space="preserve">b) Está bien: el medio es indiferente mientras la sintaxis gráfica sea la correcta — Correcta: lo que se evalúa es el lenguaje visual, no la herramienta.</w:t>
      </w:r>
    </w:p>
    <w:p>
      <w:pPr>
        <w:pStyle w:val="Normal"/>
      </w:pPr>
      <w:r>
        <w:t xml:space="preserve">c) Está bien, pero sólo si además lo pasa después a la herramienta — No hace falta: el medio no añade ni quita validez al modelo.</w:t>
      </w:r>
    </w:p>
    <w:p>
      <w:pPr>
        <w:pStyle w:val="Normal"/>
      </w:pPr>
      <w:r>
        <w:t xml:space="preserve">d) Está mal: a mano no se pueden representar perspectivas — El ojo y el punto se pueden dibujar a mano; el profesor lo confirmó al describir el formato del examen.</w:t>
      </w:r>
    </w:p>
    <w:p>
      <w:pPr>
        <w:pStyle w:val="Normal"/>
      </w:pPr>
      <w:r>
        <w:t xml:space="preserve">Criterio de resolución: La clase distinguió expresamente el medio que se usa del mapeo que se hace. Papel, pizarra, notas adhesivas o software son soportes; lo que constituye el pensamiento sistémico aplicado es el lenguaje visual.</w:t>
      </w:r>
    </w:p>
    <w:p>
      <w:pPr>
        <w:pStyle w:val="Fuente"/>
      </w:pPr>
      <w:r>
        <w:t xml:space="preserve">Clase 11 · 00:21:11–00:24:08 · lámina 6 · Clase 16 · 01:45:42</w:t>
      </w:r>
    </w:p>
    <w:p>
      <w:pPr>
        <w:pStyle w:val="Heading3"/>
      </w:pPr>
      <w:bookmarkStart w:name="b_solucion_p2m_18_modelo_mental_formula" w:id="6365"/>
      <w:r>
        <w:t xml:space="preserve">Solución S2-7</w:t>
      </w:r>
      <w:bookmarkEnd w:id="6365"/>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b) La información es todo el material y los datos que contribuyen al significado; la estructura es la organización contextual oculta que también contribuye a él</w:t>
            </w:r>
          </w:p>
        </w:tc>
      </w:tr>
    </w:tbl>
    <w:p>
      <w:pPr>
        <w:pStyle w:val="Normal"/>
      </w:pPr>
      <w:r>
        <w:t xml:space="preserve">a) La información aporta los datos y la estructura aporta el formato visual del mapa — La estructura no es un asunto de presentación: aporta significado por sí misma.</w:t>
      </w:r>
    </w:p>
    <w:p>
      <w:pPr>
        <w:pStyle w:val="Normal"/>
      </w:pPr>
      <w:r>
        <w:t xml:space="preserve">b) La información es todo el material y los datos que contribuyen al significado; la estructura es la organización contextual oculta que también contribuye a él — Correcta: son las dos definiciones literales de la lámina, y la razón de que un mapa DSRP se considere «balanceado».</w:t>
      </w:r>
    </w:p>
    <w:p>
      <w:pPr>
        <w:pStyle w:val="Normal"/>
      </w:pPr>
      <w:r>
        <w:t xml:space="preserve">c) La información es lo que se ve y la estructura es lo que el autor decide ocultar — La estructura no está oculta por decisión del autor: está implícita hasta que el mapa la hace visible.</w:t>
      </w:r>
    </w:p>
    <w:p>
      <w:pPr>
        <w:pStyle w:val="Normal"/>
      </w:pPr>
      <w:r>
        <w:t xml:space="preserve">d) La información pertenece al sistema real y la estructura al modelador — Los dos términos describen el modelo mental, no el reparto entre realidad y modelador.</w:t>
      </w:r>
    </w:p>
    <w:p>
      <w:pPr>
        <w:pStyle w:val="Normal"/>
      </w:pPr>
      <w:r>
        <w:t xml:space="preserve">Criterio de resolución: Un modelo mental no es sólo el contenido que se recibe: es ese contenido más la organización que le da sentido. La balanza de la lámina representa ese equilibrio entre contenido informativo y estructura cognitiva, que es lo que el mapa DSRP busca mantener.</w:t>
      </w:r>
    </w:p>
    <w:p>
      <w:pPr>
        <w:pStyle w:val="Fuente"/>
      </w:pPr>
      <w:r>
        <w:t xml:space="preserve">Clase 10 · 01:29:47–01:32:06 · lámina 22</w:t>
      </w:r>
    </w:p>
    <w:p>
      <w:pPr>
        <w:pStyle w:val="Heading3"/>
      </w:pPr>
      <w:bookmarkStart w:name="b_solucion_p2m_19_st_loop" w:id="6366"/>
      <w:r>
        <w:t xml:space="preserve">Solución S2-8</w:t>
      </w:r>
      <w:bookmarkEnd w:id="6366"/>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1. Se tiene un modelo mental del sistema, formado por información y estructura</w:t>
            </w:r>
          </w:p>
          <w:p>
            <w:pPr>
              <w:pStyle w:val="Recuadro"/>
            </w:pPr>
            <w:r>
              <w:t xml:space="preserve">2. Se prueba ese modelo contra el sistema del mundo real</w:t>
            </w:r>
          </w:p>
          <w:p>
            <w:pPr>
              <w:pStyle w:val="Recuadro"/>
            </w:pPr>
            <w:r>
              <w:t xml:space="preserve">3. La prueba devuelve retroalimentación en forma de información</w:t>
            </w:r>
          </w:p>
          <w:p>
            <w:pPr>
              <w:pStyle w:val="Recuadro"/>
            </w:pPr>
            <w:r>
              <w:t xml:space="preserve">4. Se incorpora esa información y se repite el ciclo, acercando el modelo al sistema</w:t>
            </w:r>
          </w:p>
        </w:tc>
      </w:tr>
    </w:tbl>
    <w:p>
      <w:pPr>
        <w:pStyle w:val="Normal"/>
      </w:pPr>
      <w:r>
        <w:t xml:space="preserve">Criterio de resolución: La tesis de la lámina es que todos los modelos mentales son erróneos pero algunos son útiles, y que su utilidad depende del grado de aproximación al mundo real. Esa aproximación no se declara: se consigue probando el modelo y volviendo a empezar con lo que la prueba devuelve.</w:t>
      </w:r>
    </w:p>
    <w:p>
      <w:pPr>
        <w:pStyle w:val="Fuente"/>
      </w:pPr>
      <w:r>
        <w:t xml:space="preserve">Clase 11 · 00:24:08–00:29:30 · lámina 7</w:t>
      </w:r>
    </w:p>
    <w:p>
      <w:pPr>
        <w:pStyle w:val="Heading3"/>
      </w:pPr>
      <w:bookmarkStart w:name="b_solucion_p2m_20_m_igual_i_por_t" w:id="6367"/>
      <w:r>
        <w:t xml:space="preserve">Solución S2-9</w:t>
      </w:r>
      <w:bookmarkEnd w:id="6367"/>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a) El modelo mental es el producto de la información recibida por el pensamiento que la estructura</w:t>
            </w:r>
          </w:p>
        </w:tc>
      </w:tr>
    </w:tbl>
    <w:p>
      <w:pPr>
        <w:pStyle w:val="Normal"/>
      </w:pPr>
      <w:r>
        <w:t xml:space="preserve">a) El modelo mental es el producto de la información recibida por el pensamiento que la estructura — Correcta: M es el modelo mental, I la información que llega del mundo real y T el pensamiento, es decir, los patrones DSRP que la organizan.</w:t>
      </w:r>
    </w:p>
    <w:p>
      <w:pPr>
        <w:pStyle w:val="Normal"/>
      </w:pPr>
      <w:r>
        <w:t xml:space="preserve">b) La memoria es el producto de la inteligencia por el tiempo de estudio — No hay ninguna lectura sobre memoria ni tiempo de estudio en la lámina.</w:t>
      </w:r>
    </w:p>
    <w:p>
      <w:pPr>
        <w:pStyle w:val="Normal"/>
      </w:pPr>
      <w:r>
        <w:t xml:space="preserve">c) El modelo se mide multiplicando el número de ideas por el número de relaciones — No es una fórmula de conteo; es una manera de decir que hacen falta las dos cosas.</w:t>
      </w:r>
    </w:p>
    <w:p>
      <w:pPr>
        <w:pStyle w:val="Normal"/>
      </w:pPr>
      <w:r>
        <w:t xml:space="preserve">d) La información y el pensamiento son intercambiables en la construcción de un modelo — No son intercambiables: son factores distintos y ninguno basta por sí solo.</w:t>
      </w:r>
    </w:p>
    <w:p>
      <w:pPr>
        <w:pStyle w:val="Normal"/>
      </w:pPr>
      <w:r>
        <w:t xml:space="preserve">Criterio de resolución: Que sea un producto y no una suma es lo que importa: sin información no hay qué estructurar, y sin pensamiento la información no llega a formar un modelo. Los patrones universales que hacen de T son precisamente las cuatro reglas.</w:t>
      </w:r>
    </w:p>
    <w:p>
      <w:pPr>
        <w:pStyle w:val="Fuente"/>
      </w:pPr>
      <w:r>
        <w:t xml:space="preserve">Clase 11 · 00:28:04–00:29:33 · lámina 7</w:t>
      </w:r>
    </w:p>
    <w:p>
      <w:pPr>
        <w:pStyle w:val="Heading3"/>
      </w:pPr>
      <w:bookmarkStart w:name="b_solucion_p2m_23_bits_emergencia" w:id="6368"/>
      <w:r>
        <w:t xml:space="preserve">Solución S2-10</w:t>
      </w:r>
      <w:bookmarkEnd w:id="6368"/>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b) Que el pensamiento sistémico emerge de aplicar reiteradamente reglas simples sobre pequeñas unidades de información, igual que el comportamiento del cardumen emerge de reglas simples entre peces</w:t>
            </w:r>
          </w:p>
        </w:tc>
      </w:tr>
    </w:tbl>
    <w:p>
      <w:pPr>
        <w:pStyle w:val="Normal"/>
      </w:pPr>
      <w:r>
        <w:t xml:space="preserve">a) Que los sistemas naturales son más complejos que los sistemas abstractos — La lámina no compara complejidades: compara mecanismos de emergencia.</w:t>
      </w:r>
    </w:p>
    <w:p>
      <w:pPr>
        <w:pStyle w:val="Normal"/>
      </w:pPr>
      <w:r>
        <w:t xml:space="preserve">b) Que el pensamiento sistémico emerge de aplicar reiteradamente reglas simples sobre pequeñas unidades de información, igual que el comportamiento del cardumen emerge de reglas simples entre peces — Correcta: en los dos casos hay agentes que siguen reglas simples y una propiedad del conjunto que ninguno de ellos tiene por separado.</w:t>
      </w:r>
    </w:p>
    <w:p>
      <w:pPr>
        <w:pStyle w:val="Normal"/>
      </w:pPr>
      <w:r>
        <w:t xml:space="preserve">c) Que conviene estudiar biología antes que teoría de sistemas — No hay ninguna recomendación de ese tipo.</w:t>
      </w:r>
    </w:p>
    <w:p>
      <w:pPr>
        <w:pStyle w:val="Normal"/>
      </w:pPr>
      <w:r>
        <w:t xml:space="preserve">d) Que un grupo de personas piensa mejor que una sola — La analogía no trata de trabajo en grupo sino de cómo surge una propiedad del conjunto.</w:t>
      </w:r>
    </w:p>
    <w:p>
      <w:pPr>
        <w:pStyle w:val="Normal"/>
      </w:pPr>
      <w:r>
        <w:t xml:space="preserve">Criterio de resolución: El paralelo es exacto: los peces siguiendo reglas simples producen un superorganismo, y las unidades de información siguiendo las cuatro reglas DSRP producen pensamiento sistémico. En ambos casos se trata de una propiedad emergente de un sistema adaptativo complejo.</w:t>
      </w:r>
    </w:p>
    <w:p>
      <w:pPr>
        <w:pStyle w:val="Fuente"/>
      </w:pPr>
      <w:r>
        <w:t xml:space="preserve">Clase 10 · 00:21:30–00:24:52 · láminas 3 y 4</w:t>
      </w:r>
    </w:p>
    <w:p>
      <w:pPr>
        <w:pStyle w:val="Heading3"/>
      </w:pPr>
      <w:bookmarkStart w:name="b_solucion_p2m_25_relaciones_no_visibles" w:id="6369"/>
      <w:r>
        <w:t xml:space="preserve">Solución S2-11</w:t>
      </w:r>
      <w:bookmarkEnd w:id="6369"/>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b) Existen relaciones que no son perceptibles a simple vista y que, sin embargo, explican el comportamiento del sistema</w:t>
            </w:r>
          </w:p>
        </w:tc>
      </w:tr>
    </w:tbl>
    <w:p>
      <w:pPr>
        <w:pStyle w:val="Normal"/>
      </w:pPr>
      <w:r>
        <w:t xml:space="preserve">a) Los sistemas naturales no pueden modelarse con mapas — Al contrario: el bosque se usó como ejemplo de sistema que conviene mapear.</w:t>
      </w:r>
    </w:p>
    <w:p>
      <w:pPr>
        <w:pStyle w:val="Normal"/>
      </w:pPr>
      <w:r>
        <w:t xml:space="preserve">b) Existen relaciones que no son perceptibles a simple vista y que, sin embargo, explican el comportamiento del sistema — Correcta: por eso el modelador necesita instrumentos, evidencia y perspectivas ajenas, no sólo su observación directa.</w:t>
      </w:r>
    </w:p>
    <w:p>
      <w:pPr>
        <w:pStyle w:val="Normal"/>
      </w:pPr>
      <w:r>
        <w:t xml:space="preserve">c) Los árboles compiten y nunca cooperan — El reportaje muestra intercambio de azúcares además de competencia.</w:t>
      </w:r>
    </w:p>
    <w:p>
      <w:pPr>
        <w:pStyle w:val="Normal"/>
      </w:pPr>
      <w:r>
        <w:t xml:space="preserve">d) Todo sistema tiene exactamente un ciclo de retroalimentación — El número de ciclos depende del sistema; no hay una cifra fija.</w:t>
      </w:r>
    </w:p>
    <w:p>
      <w:pPr>
        <w:pStyle w:val="Normal"/>
      </w:pPr>
      <w:r>
        <w:t xml:space="preserve">Criterio de resolución: Hacer conexiones significativas exige contar con relaciones que la mirada directa no alcanza. Es el mismo argumento que justifica usar microscopio o telescopio: el mapa debe incluir lo que la evidencia sostiene, no sólo lo que se ve.</w:t>
      </w:r>
    </w:p>
    <w:p>
      <w:pPr>
        <w:pStyle w:val="Fuente"/>
      </w:pPr>
      <w:r>
        <w:t xml:space="preserve">Clase 12 · 01:14:41–01:21:19</w:t>
      </w:r>
    </w:p>
    <w:p>
      <w:pPr>
        <w:pStyle w:val="Heading3"/>
      </w:pPr>
      <w:bookmarkStart w:name="b_solucion_p2m_26_transferencia" w:id="6370"/>
      <w:r>
        <w:t xml:space="preserve">Solución S2-12</w:t>
      </w:r>
      <w:bookmarkEnd w:id="6370"/>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b) Que puede aplicar la comprensión de un sistema a otro sistema distinto que se comporta de manera similar</w:t>
            </w:r>
          </w:p>
        </w:tc>
      </w:tr>
    </w:tbl>
    <w:p>
      <w:pPr>
        <w:pStyle w:val="Normal"/>
      </w:pPr>
      <w:r>
        <w:t xml:space="preserve">a) Que puede explicar un sistema a personas de otras disciplinas — Comunicar es útil, pero la transferencia es sobre la estructura, no sobre el público.</w:t>
      </w:r>
    </w:p>
    <w:p>
      <w:pPr>
        <w:pStyle w:val="Normal"/>
      </w:pPr>
      <w:r>
        <w:t xml:space="preserve">b) Que puede aplicar la comprensión de un sistema a otro sistema distinto que se comporta de manera similar — Correcta: se transfiere comprensión cuando se verifica una estructura compatible. C-2, pág. 40, propone la analogía; el gráfico económico no prueba una oscilación temporal.</w:t>
      </w:r>
    </w:p>
    <w:p>
      <w:pPr>
        <w:pStyle w:val="Normal"/>
      </w:pPr>
      <w:r>
        <w:t xml:space="preserve">c) Que puede cambiar de perspectiva dentro del mismo sistema — Cambiar de perspectiva es otro hábito, el tercero de los básicos.</w:t>
      </w:r>
    </w:p>
    <w:p>
      <w:pPr>
        <w:pStyle w:val="Normal"/>
      </w:pPr>
      <w:r>
        <w:t xml:space="preserve">d) Que puede convertir un mapa DSRP en un diagrama causal — Eso es una conversión de notación, no transferencia de comprensión.</w:t>
      </w:r>
    </w:p>
    <w:p>
      <w:pPr>
        <w:pStyle w:val="Normal"/>
      </w:pPr>
      <w:r>
        <w:t xml:space="preserve">Criterio de resolución: La transferencia se apoya en que dos sistemas muy distintos pueden compartir estructura. Quien reconoce esa estructura puede llevar lo aprendido de uno al otro, como el estudiante de piano que adquiere más rápido un segundo instrumento.</w:t>
      </w:r>
    </w:p>
    <w:p>
      <w:pPr>
        <w:pStyle w:val="Fuente"/>
      </w:pPr>
      <w:r>
        <w:t xml:space="preserve">Clase 12 · 01:24:44–01:36:30 · láminas 7 y 8</w:t>
      </w:r>
    </w:p>
    <w:p>
      <w:pPr>
        <w:pStyle w:val="Heading3"/>
      </w:pPr>
      <w:bookmarkStart w:name="b_solucion_p2l_barra" w:id="6371"/>
      <w:r>
        <w:t xml:space="preserve">Solución S2-13</w:t>
      </w:r>
      <w:bookmarkEnd w:id="6371"/>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c) Solicitud, confirmación, pago y producto como partes de la relación distinguida</w:t>
            </w:r>
          </w:p>
        </w:tc>
      </w:tr>
    </w:tbl>
    <w:p>
      <w:pPr>
        <w:pStyle w:val="Normal"/>
      </w:pPr>
      <w:r>
        <w:t xml:space="preserve">a) Únicamente acción y reacción; está prohibido añadir partes — Se descarta por la clave; aplique el criterio de resolución común que se desarrolla después de esta lista.</w:t>
      </w:r>
    </w:p>
    <w:p>
      <w:pPr>
        <w:pStyle w:val="Normal"/>
      </w:pPr>
      <w:r>
        <w:t xml:space="preserve">b) Un ojo sin ninguna vista — Se descarta por la clave; aplique el criterio de resolución común que se desarrolla después de esta lista.</w:t>
      </w:r>
    </w:p>
    <w:p>
      <w:pPr>
        <w:pStyle w:val="Normal"/>
      </w:pPr>
      <w:r>
        <w:t xml:space="preserve">c) Solicitud, confirmación, pago y producto como partes de la relación distinguida — Se selecciona por la clave; aplique el criterio de resolución común que se desarrolla después de esta lista.</w:t>
      </w:r>
    </w:p>
    <w:p>
      <w:pPr>
        <w:pStyle w:val="Normal"/>
      </w:pPr>
      <w:r>
        <w:t xml:space="preserve">d) Cuatro perspectivas que sustituyen toda relación — Se descarta por la clave; aplique el criterio de resolución común que se desarrolla después de esta lista.</w:t>
      </w:r>
    </w:p>
    <w:p>
      <w:pPr>
        <w:pStyle w:val="Normal"/>
      </w:pPr>
      <w:r>
        <w:t xml:space="preserve">Criterio de resolución: Solicitud, confirmación, pago y producto como partes de la relación distinguida</w:t>
      </w:r>
    </w:p>
    <w:p>
      <w:pPr>
        <w:pStyle w:val="Fuente"/>
      </w:pPr>
      <w:r>
        <w:t xml:space="preserve">Presentación de la unidad 3 (C-2), pág. 10, 12 y 24 · Clase 10 · 01:25:44–01:26:25 · Clase 11 · 00:29:27–00:37:29</w:t>
      </w:r>
    </w:p>
    <w:p>
      <w:pPr>
        <w:pStyle w:val="Heading3"/>
      </w:pPr>
      <w:bookmarkStart w:name="b_solucion_p2l_epidemia" w:id="6372"/>
      <w:r>
        <w:t xml:space="preserve">Solución S2-14</w:t>
      </w:r>
      <w:bookmarkEnd w:id="6372"/>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c) Ministerio de Salud, OMS y gobiernos tribales</w:t>
            </w:r>
          </w:p>
        </w:tc>
      </w:tr>
    </w:tbl>
    <w:p>
      <w:pPr>
        <w:pStyle w:val="Normal"/>
      </w:pPr>
      <w:r>
        <w:t xml:space="preserve">a) Control de infección, contagio y seguimiento — Se descarta por la clave; aplique el criterio de resolución común que se desarrolla después de esta lista.</w:t>
      </w:r>
    </w:p>
    <w:p>
      <w:pPr>
        <w:pStyle w:val="Normal"/>
      </w:pPr>
      <w:r>
        <w:t xml:space="preserve">b) Prácticas sexuales, estigma y normas religiosas — Se descarta por la clave; aplique el criterio de resolución común que se desarrolla después de esta lista.</w:t>
      </w:r>
    </w:p>
    <w:p>
      <w:pPr>
        <w:pStyle w:val="Normal"/>
      </w:pPr>
      <w:r>
        <w:t xml:space="preserve">c) Ministerio de Salud, OMS y gobiernos tribales — Se selecciona por la clave; aplique el criterio de resolución común que se desarrolla después de esta lista.</w:t>
      </w:r>
    </w:p>
    <w:p>
      <w:pPr>
        <w:pStyle w:val="Normal"/>
      </w:pPr>
      <w:r>
        <w:t xml:space="preserve">d) Dolor, felicidad y bebé — Se descarta por la clave; aplique el criterio de resolución común que se desarrolla después de esta lista.</w:t>
      </w:r>
    </w:p>
    <w:p>
      <w:pPr>
        <w:pStyle w:val="Normal"/>
      </w:pPr>
      <w:r>
        <w:t xml:space="preserve">Criterio de resolución: El ojo azul de política se corresponde con esos tres puntos azules de la vista; epidemiología y factores socioculturales seleccionan otras partes.</w:t>
      </w:r>
    </w:p>
    <w:p>
      <w:pPr>
        <w:pStyle w:val="Fuente"/>
      </w:pPr>
      <w:r>
        <w:t xml:space="preserve">Presentación de la unidad 3 (C-2), pág. 13, 26 y 27 · Clase 10 · 01:26:25</w:t>
      </w:r>
    </w:p>
    <w:p>
      <w:pPr>
        <w:pStyle w:val="Heading3"/>
      </w:pPr>
      <w:bookmarkStart w:name="b_solucion_p2l_escrito_partes" w:id="6373"/>
      <w:r>
        <w:t xml:space="preserve">Solución S2-15</w:t>
      </w:r>
      <w:bookmarkEnd w:id="6373"/>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c) Una relación parte–todo expresada por contención</w:t>
            </w:r>
          </w:p>
        </w:tc>
      </w:tr>
    </w:tbl>
    <w:p>
      <w:pPr>
        <w:pStyle w:val="Normal"/>
      </w:pPr>
      <w:r>
        <w:t xml:space="preserve">a) Que Introducción causa siempre mayor longitud de la sección 1 — Se descarta por la clave; aplique el criterio de resolución común que se desarrolla después de esta lista.</w:t>
      </w:r>
    </w:p>
    <w:p>
      <w:pPr>
        <w:pStyle w:val="Normal"/>
      </w:pPr>
      <w:r>
        <w:t xml:space="preserve">b) Que las dos secciones son perspectivas sin punto — Se descarta por la clave; aplique el criterio de resolución común que se desarrolla después de esta lista.</w:t>
      </w:r>
    </w:p>
    <w:p>
      <w:pPr>
        <w:pStyle w:val="Normal"/>
      </w:pPr>
      <w:r>
        <w:t xml:space="preserve">c) Una relación parte–todo expresada por contención — Se selecciona por la clave; aplique el criterio de resolución común que se desarrolla después de esta lista.</w:t>
      </w:r>
    </w:p>
    <w:p>
      <w:pPr>
        <w:pStyle w:val="Normal"/>
      </w:pPr>
      <w:r>
        <w:t xml:space="preserve">d) Que las transiciones no pertenecen al texto — Se descarta por la clave; aplique el criterio de resolución común que se desarrolla después de esta lista.</w:t>
      </w:r>
    </w:p>
    <w:p>
      <w:pPr>
        <w:pStyle w:val="Normal"/>
      </w:pPr>
      <w:r>
        <w:t xml:space="preserve">Criterio de resolución: El contenedor Introducción organiza las secciones 1 y 2 como partes. Una curva de conexión tendría otra función y no es necesaria para expresar pertenencia.</w:t>
      </w:r>
    </w:p>
    <w:p>
      <w:pPr>
        <w:pStyle w:val="Fuente"/>
      </w:pPr>
      <w:r>
        <w:t xml:space="preserve">Presentación de la unidad 3 (C-2), pág. 30 · Clase 11 · 00:48:19–00:49:09 (organización y relaciones)</w:t>
      </w:r>
    </w:p>
    <w:p>
      <w:pPr>
        <w:pStyle w:val="Heading3"/>
      </w:pPr>
      <w:bookmarkStart w:name="b_solucion_p2l_escrito_vinculos" w:id="6374"/>
      <w:r>
        <w:t xml:space="preserve">Solución S2-16</w:t>
      </w:r>
      <w:bookmarkEnd w:id="6374"/>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d) Las curvas conectan partes del texto; ojo y punto explicitan desde dónde se mira y qué bloque se considera</w:t>
            </w:r>
          </w:p>
        </w:tc>
      </w:tr>
    </w:tbl>
    <w:p>
      <w:pPr>
        <w:pStyle w:val="Normal"/>
      </w:pPr>
      <w:r>
        <w:t xml:space="preserve">a) Ambas marcas indican automáticamente un ciclo de refuerzo — Se descarta por la clave; aplique el criterio de resolución común que se desarrolla después de esta lista.</w:t>
      </w:r>
    </w:p>
    <w:p>
      <w:pPr>
        <w:pStyle w:val="Normal"/>
      </w:pPr>
      <w:r>
        <w:t xml:space="preserve">b) Los ojos señalan una demora temporal — Se descarta por la clave; aplique el criterio de resolución común que se desarrolla después de esta lista.</w:t>
      </w:r>
    </w:p>
    <w:p>
      <w:pPr>
        <w:pStyle w:val="Normal"/>
      </w:pPr>
      <w:r>
        <w:t xml:space="preserve">c) Las curvas reemplazan la contención de todas las partes — Se descarta por la clave; aplique el criterio de resolución común que se desarrolla después de esta lista.</w:t>
      </w:r>
    </w:p>
    <w:p>
      <w:pPr>
        <w:pStyle w:val="Normal"/>
      </w:pPr>
      <w:r>
        <w:t xml:space="preserve">d) Las curvas conectan partes del texto; ojo y punto explicitan desde dónde se mira y qué bloque se considera — Se selecciona por la clave; aplique el criterio de resolución común que se desarrolla después de esta lista.</w:t>
      </w:r>
    </w:p>
    <w:p>
      <w:pPr>
        <w:pStyle w:val="Normal"/>
      </w:pPr>
      <w:r>
        <w:t xml:space="preserve">Criterio de resolución: Las curvas conectan partes del texto; ojo y punto explicitan desde dónde se mira y qué bloque se considera</w:t>
      </w:r>
    </w:p>
    <w:p>
      <w:pPr>
        <w:pStyle w:val="Fuente"/>
      </w:pPr>
      <w:r>
        <w:t xml:space="preserve">Presentación de la unidad 3 (C-2), pág. 30 · Clase 11 · 00:48:19–00:49:09 (organización y relaciones)</w:t>
      </w:r>
    </w:p>
    <w:p>
      <w:pPr>
        <w:pStyle w:val="Heading3"/>
      </w:pPr>
      <w:bookmarkStart w:name="b_solucion_p2l_iphone" w:id="6375"/>
      <w:r>
        <w:t xml:space="preserve">Solución S2-17</w:t>
      </w:r>
      <w:bookmarkEnd w:id="6375"/>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d) Cliente: información reunida, costo y facilidad de uso</w:t>
            </w:r>
          </w:p>
        </w:tc>
      </w:tr>
    </w:tbl>
    <w:p>
      <w:pPr>
        <w:pStyle w:val="Normal"/>
      </w:pPr>
      <w:r>
        <w:t xml:space="preserve">a) Diseñador: gobiernos tribales y contagio — Se descarta por la clave; aplique el criterio de resolución común que se desarrolla después de esta lista.</w:t>
      </w:r>
    </w:p>
    <w:p>
      <w:pPr>
        <w:pStyle w:val="Normal"/>
      </w:pPr>
      <w:r>
        <w:t xml:space="preserve">b) Psicólogo: únicamente el precio del teléfono — Se descarta por la clave; aplique el criterio de resolución común que se desarrolla después de esta lista.</w:t>
      </w:r>
    </w:p>
    <w:p>
      <w:pPr>
        <w:pStyle w:val="Normal"/>
      </w:pPr>
      <w:r>
        <w:t xml:space="preserve">c) Todo cliente debe ver exactamente las mismas partes — Se descarta por la clave; aplique el criterio de resolución común que se desarrolla después de esta lista.</w:t>
      </w:r>
    </w:p>
    <w:p>
      <w:pPr>
        <w:pStyle w:val="Normal"/>
      </w:pPr>
      <w:r>
        <w:t xml:space="preserve">d) Cliente: información reunida, costo y facilidad de uso — Se selecciona por la clave; aplique el criterio de resolución común que se desarrolla después de esta lista.</w:t>
      </w:r>
    </w:p>
    <w:p>
      <w:pPr>
        <w:pStyle w:val="Normal"/>
      </w:pPr>
      <w:r>
        <w:t xml:space="preserve">Criterio de resolución: La vista verde del cliente reúne información, costo y facilidad de uso. Es la selección del autor; no obliga a toda persona a ver lo mismo.</w:t>
      </w:r>
    </w:p>
    <w:p>
      <w:pPr>
        <w:pStyle w:val="Fuente"/>
      </w:pPr>
      <w:r>
        <w:t xml:space="preserve">Presentación de la unidad 3 (C-2), pág. 13, 26 y 27 · Clase 10 · 01:26:25</w:t>
      </w:r>
    </w:p>
    <w:p>
      <w:pPr>
        <w:pStyle w:val="Heading3"/>
      </w:pPr>
      <w:bookmarkStart w:name="b_solucion_p2l_nacimiento" w:id="6376"/>
      <w:r>
        <w:t xml:space="preserve">Solución S2-18</w:t>
      </w:r>
      <w:bookmarkEnd w:id="6376"/>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a) Que distintos puntos pueden seleccionar una misma parte de la vista</w:t>
            </w:r>
          </w:p>
        </w:tc>
      </w:tr>
    </w:tbl>
    <w:p>
      <w:pPr>
        <w:pStyle w:val="Normal"/>
      </w:pPr>
      <w:r>
        <w:t xml:space="preserve">a) Que distintos puntos pueden seleccionar una misma parte de la vista — Se selecciona por la clave; aplique el criterio de resolución común que se desarrolla después de esta lista.</w:t>
      </w:r>
    </w:p>
    <w:p>
      <w:pPr>
        <w:pStyle w:val="Normal"/>
      </w:pPr>
      <w:r>
        <w:t xml:space="preserve">b) Que toda vista debe excluir lo que otra ya observó — Se descarta por la clave; aplique el criterio de resolución común que se desarrolla después de esta lista.</w:t>
      </w:r>
    </w:p>
    <w:p>
      <w:pPr>
        <w:pStyle w:val="Normal"/>
      </w:pPr>
      <w:r>
        <w:t xml:space="preserve">c) Que las perspectivas son flechas de polaridad negativa — Se descarta por la clave; aplique el criterio de resolución común que se desarrolla después de esta lista.</w:t>
      </w:r>
    </w:p>
    <w:p>
      <w:pPr>
        <w:pStyle w:val="Normal"/>
      </w:pPr>
      <w:r>
        <w:t xml:space="preserve">d) Que el mapa demuestra cómo se siente toda familia — Se descarta por la clave; aplique el criterio de resolución común que se desarrolla después de esta lista.</w:t>
      </w:r>
    </w:p>
    <w:p>
      <w:pPr>
        <w:pStyle w:val="Normal"/>
      </w:pPr>
      <w:r>
        <w:t xml:space="preserve">Criterio de resolución: Que distintos puntos pueden seleccionar una misma parte de la vista</w:t>
      </w:r>
    </w:p>
    <w:p>
      <w:pPr>
        <w:pStyle w:val="Fuente"/>
      </w:pPr>
      <w:r>
        <w:t xml:space="preserve">Presentación de la unidad 3 (C-2), pág. 13, 26 y 27 · Clase 10 · 01:26:25</w:t>
      </w:r>
    </w:p>
    <w:p>
      <w:pPr>
        <w:pStyle w:val="Heading3"/>
      </w:pPr>
      <w:bookmarkStart w:name="b_solucion_p2l_once_septiembre" w:id="6377"/>
      <w:r>
        <w:t xml:space="preserve">Solución S2-19</w:t>
      </w:r>
      <w:bookmarkEnd w:id="6377"/>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b) Como una selección del autor que se puede discutir, sin generalizarla a todos los integrantes de esos grupos</w:t>
            </w:r>
          </w:p>
        </w:tc>
      </w:tr>
    </w:tbl>
    <w:p>
      <w:pPr>
        <w:pStyle w:val="Normal"/>
      </w:pPr>
      <w:r>
        <w:t xml:space="preserve">a) Como una ley sobre lo que siente cada persona de una religión — Se descarta por la clave; aplique el criterio de resolución común que se desarrolla después de esta lista.</w:t>
      </w:r>
    </w:p>
    <w:p>
      <w:pPr>
        <w:pStyle w:val="Normal"/>
      </w:pPr>
      <w:r>
        <w:t xml:space="preserve">b) Como una selección del autor que se puede discutir, sin generalizarla a todos los integrantes de esos grupos — Se selecciona por la clave; aplique el criterio de resolución común que se desarrolla después de esta lista.</w:t>
      </w:r>
    </w:p>
    <w:p>
      <w:pPr>
        <w:pStyle w:val="Normal"/>
      </w:pPr>
      <w:r>
        <w:t xml:space="preserve">c) Como una medición temporal de emociones con tasas verificadas — Se descarta por la clave; aplique el criterio de resolución común que se desarrolla después de esta lista.</w:t>
      </w:r>
    </w:p>
    <w:p>
      <w:pPr>
        <w:pStyle w:val="Normal"/>
      </w:pPr>
      <w:r>
        <w:t xml:space="preserve">d) Como una razón para eliminar la regla de perspectivas — Se descarta por la clave; aplique el criterio de resolución común que se desarrolla después de esta lista.</w:t>
      </w:r>
    </w:p>
    <w:p>
      <w:pPr>
        <w:pStyle w:val="Normal"/>
      </w:pPr>
      <w:r>
        <w:t xml:space="preserve">Criterio de resolución: Como una selección del autor que se puede discutir, sin generalizarla a todos los integrantes de esos grupos</w:t>
      </w:r>
    </w:p>
    <w:p>
      <w:pPr>
        <w:pStyle w:val="Fuente"/>
      </w:pPr>
      <w:r>
        <w:t xml:space="preserve">Presentación de la unidad 3 (C-2), pág. 13, 26 y 27 · Clase 10 · 01:26:25</w:t>
      </w:r>
    </w:p>
    <w:p>
      <w:pPr>
        <w:pStyle w:val="Heading3"/>
      </w:pPr>
      <w:bookmarkStart w:name="b_solucion_p2l_pcirculo" w:id="6378"/>
      <w:r>
        <w:t xml:space="preserve">Solución S2-20</w:t>
      </w:r>
      <w:bookmarkEnd w:id="6378"/>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b) Desde qué perspectivas se mira el asunto, sin detallar todavía qué observa cada una</w:t>
            </w:r>
          </w:p>
        </w:tc>
      </w:tr>
    </w:tbl>
    <w:p>
      <w:pPr>
        <w:pStyle w:val="Normal"/>
      </w:pPr>
      <w:r>
        <w:t xml:space="preserve">a) Todas las ideas distintas que ve cada perspectiva — Se descarta por la clave; aplique el criterio de resolución común que se desarrolla después de esta lista.</w:t>
      </w:r>
    </w:p>
    <w:p>
      <w:pPr>
        <w:pStyle w:val="Normal"/>
      </w:pPr>
      <w:r>
        <w:t xml:space="preserve">b) Desde qué perspectivas se mira el asunto, sin detallar todavía qué observa cada una — Se selecciona por la clave; aplique el criterio de resolución común que se desarrolla después de esta lista.</w:t>
      </w:r>
    </w:p>
    <w:p>
      <w:pPr>
        <w:pStyle w:val="Normal"/>
      </w:pPr>
      <w:r>
        <w:t xml:space="preserve">c) Las polaridades de tres ciclos causales — Se descarta por la clave; aplique el criterio de resolución común que se desarrolla después de esta lista.</w:t>
      </w:r>
    </w:p>
    <w:p>
      <w:pPr>
        <w:pStyle w:val="Normal"/>
      </w:pPr>
      <w:r>
        <w:t xml:space="preserve">d) El mecanismo que demuestra una única perspectiva correcta — Se descarta por la clave; aplique el criterio de resolución común que se desarrolla después de esta lista.</w:t>
      </w:r>
    </w:p>
    <w:p>
      <w:pPr>
        <w:pStyle w:val="Normal"/>
      </w:pPr>
      <w:r>
        <w:t xml:space="preserve">Criterio de resolución: Desde qué perspectivas se mira el asunto, sin detallar todavía qué observa cada una</w:t>
      </w:r>
    </w:p>
    <w:p>
      <w:pPr>
        <w:pStyle w:val="Fuente"/>
      </w:pPr>
      <w:r>
        <w:t xml:space="preserve">Presentación de la unidad 3 (C-2), pág. 10, 12 y 24 · Clase 10 · 01:25:44–01:26:25 · Clase 11 · 00:29:27–00:37:29</w:t>
      </w:r>
    </w:p>
    <w:p>
      <w:pPr>
        <w:pStyle w:val="Heading3"/>
      </w:pPr>
      <w:bookmarkStart w:name="b_solucion_p2l_poderes" w:id="6379"/>
      <w:r>
        <w:t xml:space="preserve">Solución S2-21</w:t>
      </w:r>
      <w:bookmarkEnd w:id="6379"/>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a) Como una hipótesis editorial sobre relaciones que debe discutirse y contrastarse en su contexto</w:t>
            </w:r>
          </w:p>
        </w:tc>
      </w:tr>
    </w:tbl>
    <w:p>
      <w:pPr>
        <w:pStyle w:val="Normal"/>
      </w:pPr>
      <w:r>
        <w:t xml:space="preserve">a) Como una hipótesis editorial sobre relaciones que debe discutirse y contrastarse en su contexto — Se selecciona por la clave; aplique el criterio de resolución común que se desarrolla después de esta lista.</w:t>
      </w:r>
    </w:p>
    <w:p>
      <w:pPr>
        <w:pStyle w:val="Normal"/>
      </w:pPr>
      <w:r>
        <w:t xml:space="preserve">b) Como la respuesta oficial escrita en la figura — Se descarta por la clave; aplique el criterio de resolución común que se desarrolla después de esta lista.</w:t>
      </w:r>
    </w:p>
    <w:p>
      <w:pPr>
        <w:pStyle w:val="Normal"/>
      </w:pPr>
      <w:r>
        <w:t xml:space="preserve">c) Como prueba de una ley jurídica idéntica en todos los países — Se descarta por la clave; aplique el criterio de resolución común que se desarrolla después de esta lista.</w:t>
      </w:r>
    </w:p>
    <w:p>
      <w:pPr>
        <w:pStyle w:val="Normal"/>
      </w:pPr>
      <w:r>
        <w:t xml:space="preserve">d) Como un ciclo causal B aunque no haya signos — Se descarta por la clave; aplique el criterio de resolución común que se desarrolla después de esta lista.</w:t>
      </w:r>
    </w:p>
    <w:p>
      <w:pPr>
        <w:pStyle w:val="Normal"/>
      </w:pPr>
      <w:r>
        <w:t xml:space="preserve">Criterio de resolución: Como una hipótesis editorial sobre relaciones que debe discutirse y contrastarse en su contexto</w:t>
      </w:r>
    </w:p>
    <w:p>
      <w:pPr>
        <w:pStyle w:val="Fuente"/>
      </w:pPr>
      <w:r>
        <w:t xml:space="preserve">Presentación de la unidad 3 (C-2), pág. 10, 12 y 24 · Clase 10 · 01:25:44–01:26:25 · Clase 11 · 00:29:27–00:37:29</w:t>
      </w:r>
    </w:p>
    <w:p>
      <w:pPr>
        <w:pStyle w:val="Heading3"/>
      </w:pPr>
      <w:bookmarkStart w:name="b_solucion_p2l_red_educativa" w:id="6380"/>
      <w:r>
        <w:t xml:space="preserve">Solución S2-22</w:t>
      </w:r>
      <w:bookmarkEnd w:id="6380"/>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d) Guía/soporte, expectativas y cuestionamiento/validación, respectivamente</w:t>
            </w:r>
          </w:p>
        </w:tc>
      </w:tr>
    </w:tbl>
    <w:p>
      <w:pPr>
        <w:pStyle w:val="Normal"/>
      </w:pPr>
      <w:r>
        <w:t xml:space="preserve">a) Ventas, demanda y órdenes de producción — Se descarta por la clave; aplique el criterio de resolución común que se desarrolla después de esta lista.</w:t>
      </w:r>
    </w:p>
    <w:p>
      <w:pPr>
        <w:pStyle w:val="Normal"/>
      </w:pPr>
      <w:r>
        <w:t xml:space="preserve">b) Tres relaciones sin nombre en la red educativa — Se descarta por la clave; aplique el criterio de resolución común que se desarrolla después de esta lista.</w:t>
      </w:r>
    </w:p>
    <w:p>
      <w:pPr>
        <w:pStyle w:val="Normal"/>
      </w:pPr>
      <w:r>
        <w:t xml:space="preserve">c) Homeostasis, entropía y neguentropía — Se descarta por la clave; aplique el criterio de resolución común que se desarrolla después de esta lista.</w:t>
      </w:r>
    </w:p>
    <w:p>
      <w:pPr>
        <w:pStyle w:val="Normal"/>
      </w:pPr>
      <w:r>
        <w:t xml:space="preserve">d) Guía/soporte, expectativas y cuestionamiento/validación, respectivamente — Se selecciona por la clave; aplique el criterio de resolución común que se desarrolla después de esta lista.</w:t>
      </w:r>
    </w:p>
    <w:p>
      <w:pPr>
        <w:pStyle w:val="Normal"/>
      </w:pPr>
      <w:r>
        <w:t xml:space="preserve">Criterio de resolución: Guía/soporte, expectativas y cuestionamiento/validación, respectivamente</w:t>
      </w:r>
    </w:p>
    <w:p>
      <w:pPr>
        <w:pStyle w:val="Fuente"/>
      </w:pPr>
      <w:r>
        <w:t xml:space="preserve">Presentación de la unidad 3 (C-2), pág. 10, 12 y 24 · Clase 10 · 01:25:44–01:26:25 · Clase 11 · 00:29:27–00:37:29</w:t>
      </w:r>
    </w:p>
    <w:p>
      <w:pPr>
        <w:pStyle w:val="Heading3"/>
      </w:pPr>
      <w:bookmarkStart w:name="b_solucion_p2l_tgs" w:id="6381"/>
      <w:r>
        <w:t xml:space="preserve">Solución S2-23</w:t>
      </w:r>
      <w:bookmarkEnd w:id="6381"/>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b) Que «Partes» es observada desde la perspectiva estructural/ontológica cuyo ojo es verde</w:t>
            </w:r>
          </w:p>
        </w:tc>
      </w:tr>
    </w:tbl>
    <w:p>
      <w:pPr>
        <w:pStyle w:val="Normal"/>
      </w:pPr>
      <w:r>
        <w:t xml:space="preserve">a) Que Partes causa necesariamente la perspectiva genética — Se descarta por la clave; aplique el criterio de resolución común que se desarrolla después de esta lista.</w:t>
      </w:r>
    </w:p>
    <w:p>
      <w:pPr>
        <w:pStyle w:val="Normal"/>
      </w:pPr>
      <w:r>
        <w:t xml:space="preserve">b) Que «Partes» es observada desde la perspectiva estructural/ontológica cuyo ojo es verde — Se selecciona por la clave; aplique el criterio de resolución común que se desarrolla después de esta lista.</w:t>
      </w:r>
    </w:p>
    <w:p>
      <w:pPr>
        <w:pStyle w:val="Normal"/>
      </w:pPr>
      <w:r>
        <w:t xml:space="preserve">c) Que el color verde sustituye la contención — Se descarta por la clave; aplique el criterio de resolución común que se desarrolla después de esta lista.</w:t>
      </w:r>
    </w:p>
    <w:p>
      <w:pPr>
        <w:pStyle w:val="Normal"/>
      </w:pPr>
      <w:r>
        <w:t xml:space="preserve">d) Que Partes queda fuera del Universo de sistemas — Se descarta por la clave; aplique el criterio de resolución común que se desarrolla después de esta lista.</w:t>
      </w:r>
    </w:p>
    <w:p>
      <w:pPr>
        <w:pStyle w:val="Normal"/>
      </w:pPr>
      <w:r>
        <w:t xml:space="preserve">Criterio de resolución: Que «Partes» es observada desde la perspectiva estructural/ontológica cuyo ojo es verde</w:t>
      </w:r>
    </w:p>
    <w:p>
      <w:pPr>
        <w:pStyle w:val="Fuente"/>
      </w:pPr>
      <w:r>
        <w:t xml:space="preserve">Presentación de la unidad 3 (C-2), pág. 18 · Clase 10 · 01:34:27–01:36:26</w:t>
      </w:r>
    </w:p>
    <w:p>
      <w:pPr>
        <w:pStyle w:val="Heading3"/>
      </w:pPr>
      <w:bookmarkStart w:name="b_solucion_p2m_06_cuatro_reglas_282f1cb1" w:id="6382"/>
      <w:r>
        <w:t xml:space="preserve">Solución S2-24</w:t>
      </w:r>
      <w:bookmarkEnd w:id="6382"/>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Distinción (D) → cosa / otro</w:t>
            </w:r>
          </w:p>
          <w:p>
            <w:pPr>
              <w:pStyle w:val="Recuadro"/>
            </w:pPr>
            <w:r>
              <w:t xml:space="preserve">Sistema (S) → parte / todo</w:t>
            </w:r>
          </w:p>
          <w:p>
            <w:pPr>
              <w:pStyle w:val="Recuadro"/>
            </w:pPr>
            <w:r>
              <w:t xml:space="preserve">Relación (R) → acción / reacción</w:t>
            </w:r>
          </w:p>
          <w:p>
            <w:pPr>
              <w:pStyle w:val="Recuadro"/>
            </w:pPr>
            <w:r>
              <w:t xml:space="preserve">Perspectiva (P) → punto / vista</w:t>
            </w:r>
          </w:p>
        </w:tc>
      </w:tr>
    </w:tbl>
    <w:p>
      <w:pPr>
        <w:pStyle w:val="Normal"/>
      </w:pPr>
      <w:r>
        <w:t xml:space="preserve">Distractor sin fila correspondiente: causa / efecto.</w:t>
      </w:r>
    </w:p>
    <w:p>
      <w:pPr>
        <w:pStyle w:val="Normal"/>
      </w:pPr>
      <w:r>
        <w:t xml:space="preserve">Distractor sin fila correspondiente: entrada / salida.</w:t>
      </w:r>
    </w:p>
    <w:p>
      <w:pPr>
        <w:pStyle w:val="Normal"/>
      </w:pPr>
      <w:r>
        <w:t xml:space="preserve">Criterio de resolución: Cada regla se define por dos elementos complementarios: distinguir opone una cosa a lo que no es; sistematizar opone la parte al todo; relacionar opone la acción a la reacción; y tomar perspectiva opone el punto desde donde se mira a lo que se ve. «Causa / efecto» y «entrada / salida» son vocabulario de otras láminas y no definen ninguna de las cuatro reglas.</w:t>
      </w:r>
    </w:p>
    <w:p>
      <w:pPr>
        <w:pStyle w:val="Fuente"/>
      </w:pPr>
      <w:r>
        <w:t xml:space="preserve">Clase 10 · 00:20:36–00:22:30 · lámina 3</w:t>
      </w:r>
    </w:p>
    <w:p>
      <w:pPr>
        <w:pStyle w:val="Heading3"/>
      </w:pPr>
      <w:bookmarkStart w:name="b_solucion_p2m_07_regla_distinc_ff6f489e" w:id="6383"/>
      <w:r>
        <w:t xml:space="preserve">Solución S2-25</w:t>
      </w:r>
      <w:bookmarkEnd w:id="6383"/>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b) Distinguir consiste en trazar una frontera entre algo y lo que ese algo no es, y esa frontera opera en las dos direcciones</w:t>
            </w:r>
          </w:p>
        </w:tc>
      </w:tr>
    </w:tbl>
    <w:p>
      <w:pPr>
        <w:pStyle w:val="Normal"/>
      </w:pPr>
      <w:r>
        <w:t xml:space="preserve">a) Sólo se pueden distinguir objetos físicos que tengan un contorno visible — La regla vale para cualquier idea o cosa, tenga o no contorno físico.</w:t>
      </w:r>
    </w:p>
    <w:p>
      <w:pPr>
        <w:pStyle w:val="Normal"/>
      </w:pPr>
      <w:r>
        <w:t xml:space="preserve">b) Distinguir consiste en trazar una frontera entre algo y lo que ese algo no es, y esa frontera opera en las dos direcciones — Correcta: definir una taza de té es a la vez decir qué es y qué no es; el límite crea los dos lados al mismo tiempo.</w:t>
      </w:r>
    </w:p>
    <w:p>
      <w:pPr>
        <w:pStyle w:val="Normal"/>
      </w:pPr>
      <w:r>
        <w:t xml:space="preserve">c) Cada distinción debe dibujarse con una línea punteada en el mapa — El estilo de línea es una convención de dibujo, no el contenido de la regla.</w:t>
      </w:r>
    </w:p>
    <w:p>
      <w:pPr>
        <w:pStyle w:val="Normal"/>
      </w:pPr>
      <w:r>
        <w:t xml:space="preserve">d) Las distinciones separan el sistema de su medio ambiente y nada más — La frontera del sistema es un caso particular; la regla de distinción es más general.</w:t>
      </w:r>
    </w:p>
    <w:p>
      <w:pPr>
        <w:pStyle w:val="Normal"/>
      </w:pPr>
      <w:r>
        <w:t xml:space="preserve">Criterio de resolución: La lámina de la regla de distinción muestra el límite como lo que produce simultáneamente la cosa y lo otro. Por eso el ejemplo de la taza tiene dos caras —«una taza de té es…» y «una taza de té no es…»— y por eso la distinción opera en ambas direcciones.</w:t>
      </w:r>
    </w:p>
    <w:p>
      <w:pPr>
        <w:pStyle w:val="Fuente"/>
      </w:pPr>
      <w:r>
        <w:t xml:space="preserve">Clase 10 · 00:40:51–00:47:20 · láminas 7 y 9</w:t>
      </w:r>
    </w:p>
    <w:p>
      <w:pPr>
        <w:pStyle w:val="Heading3"/>
      </w:pPr>
      <w:bookmarkStart w:name="b_solucion_p2m_08_contexto_define" w:id="6384"/>
      <w:r>
        <w:t xml:space="preserve">Solución S2-26</w:t>
      </w:r>
      <w:bookmarkEnd w:id="6384"/>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b) Que las cosas quedan definidas por las cosas que las rodean, es decir, por su contexto</w:t>
            </w:r>
          </w:p>
        </w:tc>
      </w:tr>
    </w:tbl>
    <w:p>
      <w:pPr>
        <w:pStyle w:val="Normal"/>
      </w:pPr>
      <w:r>
        <w:t xml:space="preserve">a) Que la percepción visual humana es poco fiable para medir tamaños — La lectura es sistémica, no óptica: el punto no es el error de medición sino la dependencia del contexto.</w:t>
      </w:r>
    </w:p>
    <w:p>
      <w:pPr>
        <w:pStyle w:val="Normal"/>
      </w:pPr>
      <w:r>
        <w:t xml:space="preserve">b) Que las cosas quedan definidas por las cosas que las rodean, es decir, por su contexto — Correcta: es el pie literal de la lámina, y la razón de que una distinción cambie de sentido al cambiar lo que la acompaña.</w:t>
      </w:r>
    </w:p>
    <w:p>
      <w:pPr>
        <w:pStyle w:val="Normal"/>
      </w:pPr>
      <w:r>
        <w:t xml:space="preserve">c) Que un mapa debe dibujarse siempre a escala — La escala no interviene en ninguna de las cuatro reglas.</w:t>
      </w:r>
    </w:p>
    <w:p>
      <w:pPr>
        <w:pStyle w:val="Normal"/>
      </w:pPr>
      <w:r>
        <w:t xml:space="preserve">d) Que dos distinciones nunca pueden tener el mismo tamaño en un mapa — El tamaño de los recuadros no significa nada en la notación DSRP.</w:t>
      </w:r>
    </w:p>
    <w:p>
      <w:pPr>
        <w:pStyle w:val="Normal"/>
      </w:pPr>
      <w:r>
        <w:t xml:space="preserve">Criterio de resolución: La ilusión sirve para fijar que una distinción no vive aislada: lo que la rodea forma parte de lo que significa. Cambiar el contexto cambia el concepto, aunque el objeto no haya cambiado.</w:t>
      </w:r>
    </w:p>
    <w:p>
      <w:pPr>
        <w:pStyle w:val="Fuente"/>
      </w:pPr>
      <w:r>
        <w:t xml:space="preserve">Clase 10 · 00:45:19–00:45:30 · lámina 7</w:t>
      </w:r>
    </w:p>
    <w:p>
      <w:pPr>
        <w:pStyle w:val="Heading3"/>
      </w:pPr>
      <w:bookmarkStart w:name="b_solucion_p2m_09_regla_sistemas" w:id="6385"/>
      <w:r>
        <w:t xml:space="preserve">Solución S2-27</w:t>
      </w:r>
      <w:bookmarkEnd w:id="6385"/>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b) Que cualquier idea o cosa puede dividirse en partes o construirse dentro de un todo; se representa con la contención de unos recuadros dentro de otros</w:t>
            </w:r>
          </w:p>
        </w:tc>
      </w:tr>
    </w:tbl>
    <w:p>
      <w:pPr>
        <w:pStyle w:val="Normal"/>
      </w:pPr>
      <w:r>
        <w:t xml:space="preserve">a) Que todo sistema tiene entradas y salidas; se representa con flechas que cruzan la frontera — Entradas y salidas son vocabulario de la perspectiva funcional de la unidad 2, no la regla S.</w:t>
      </w:r>
    </w:p>
    <w:p>
      <w:pPr>
        <w:pStyle w:val="Normal"/>
      </w:pPr>
      <w:r>
        <w:t xml:space="preserve">b) Que cualquier idea o cosa puede dividirse en partes o construirse dentro de un todo; se representa con la contención de unos recuadros dentro de otros — Correcta: la regla es la de todo-parte, y su marca gráfica es la contención, no la flecha.</w:t>
      </w:r>
    </w:p>
    <w:p>
      <w:pPr>
        <w:pStyle w:val="Normal"/>
      </w:pPr>
      <w:r>
        <w:t xml:space="preserve">c) Que todo sistema busca un objetivo; se representa con la letra B en el centro — El identificador B pertenece a los diagramas de ciclos causales, no a la notación DSRP.</w:t>
      </w:r>
    </w:p>
    <w:p>
      <w:pPr>
        <w:pStyle w:val="Normal"/>
      </w:pPr>
      <w:r>
        <w:t xml:space="preserve">d) Que las partes de un sistema interactúan; se representa con líneas entre recuadros — Eso es la regla de relaciones; las líneas se reservan exclusivamente para ella.</w:t>
      </w:r>
    </w:p>
    <w:p>
      <w:pPr>
        <w:pStyle w:val="Normal"/>
      </w:pPr>
      <w:r>
        <w:t xml:space="preserve">Criterio de resolución: La regla de sistemas es la de todo y partes, y funciona en las dos direcciones: se puede descomponer un todo o construir un todo mayor a partir de lo que se tiene. En el mapa se ve como recuadros anidados, nunca como flechas.</w:t>
      </w:r>
    </w:p>
    <w:p>
      <w:pPr>
        <w:pStyle w:val="Fuente"/>
      </w:pPr>
      <w:r>
        <w:t xml:space="preserve">Clase 10 · 00:47:29–00:52:20 · láminas 10 y 24</w:t>
      </w:r>
    </w:p>
    <w:p>
      <w:pPr>
        <w:pStyle w:val="Heading3"/>
      </w:pPr>
      <w:bookmarkStart w:name="b_solucion_p2m_10_notacion_clasificar" w:id="6386"/>
      <w:r>
        <w:t xml:space="preserve">Solución S2-28</w:t>
      </w:r>
      <w:bookmarkEnd w:id="6386"/>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Notación de mapas DSRP: Un recuadro dentro de otro para expresar todo y partes; El ícono del ojo y el punto del mismo color</w:t>
            </w:r>
          </w:p>
          <w:p>
            <w:pPr>
              <w:pStyle w:val="Recuadro"/>
            </w:pPr>
            <w:r>
              <w:t xml:space="preserve">Notación de diagramas de ciclos causales: El signo + o − junto a la punta de la flecha; La letra R o B encerrada en el centro del bucle; Dos rayas paralelas cruzando una flecha</w:t>
            </w:r>
          </w:p>
        </w:tc>
      </w:tr>
    </w:tbl>
    <w:p>
      <w:pPr>
        <w:pStyle w:val="Normal"/>
      </w:pPr>
      <w:r>
        <w:t xml:space="preserve">Criterio de resolución: La notación DSRP se apoya en el recuadro, la contención, la línea y el par ojo-punto. El diagrama causal añade en cambio la polaridad de cada flecha, el identificador del ciclo y la marca de demora, y renuncia a la contención y a las perspectivas explícitas.</w:t>
      </w:r>
    </w:p>
    <w:p>
      <w:pPr>
        <w:pStyle w:val="Fuente"/>
      </w:pPr>
      <w:r>
        <w:t xml:space="preserve">Clase 10 · lámina 24 · Clase 15 · 00:18:01–00:20:55 · lámina 6</w:t>
      </w:r>
    </w:p>
    <w:p>
      <w:pPr>
        <w:pStyle w:val="Heading3"/>
      </w:pPr>
      <w:bookmarkStart w:name="b_solucion_p2m_11_perspectiva_incompleta" w:id="6387"/>
      <w:r>
        <w:t xml:space="preserve">Solución S2-29</w:t>
      </w:r>
      <w:bookmarkEnd w:id="6387"/>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b) Falta el punto: sin él se declara desde dónde se mira pero no qué se ve, como poner una causa y una flecha que no apunta a nada</w:t>
            </w:r>
          </w:p>
        </w:tc>
      </w:tr>
    </w:tbl>
    <w:p>
      <w:pPr>
        <w:pStyle w:val="Normal"/>
      </w:pPr>
      <w:r>
        <w:t xml:space="preserve">a) Nada: basta con señalar desde dónde se mira — La regla de perspectivas tiene dos componentes obligatorios y este mapa sólo trae uno.</w:t>
      </w:r>
    </w:p>
    <w:p>
      <w:pPr>
        <w:pStyle w:val="Normal"/>
      </w:pPr>
      <w:r>
        <w:t xml:space="preserve">b) Falta el punto: sin él se declara desde dónde se mira pero no qué se ve, como poner una causa y una flecha que no apunta a nada — Correcta: es la advertencia literal de la clase 10 al presentar la regla.</w:t>
      </w:r>
    </w:p>
    <w:p>
      <w:pPr>
        <w:pStyle w:val="Normal"/>
      </w:pPr>
      <w:r>
        <w:t xml:space="preserve">c) Falta repetir el ojo en todos los recuadros relacionados — El ojo se pone una sola vez, en el punto desde donde se mira.</w:t>
      </w:r>
    </w:p>
    <w:p>
      <w:pPr>
        <w:pStyle w:val="Normal"/>
      </w:pPr>
      <w:r>
        <w:t xml:space="preserve">d) Falta cambiar el color del ojo a rojo, que es el color de las perspectivas — El color sólo sirve para aparear un ojo con sus puntos; no hay un color obligatorio.</w:t>
      </w:r>
    </w:p>
    <w:p>
      <w:pPr>
        <w:pStyle w:val="Normal"/>
      </w:pPr>
      <w:r>
        <w:t xml:space="preserve">Criterio de resolución: La perspectiva se compone del punto de vista —el ojo— y de lo que se ve —el punto—. Si falta el punto, el mapa no dice qué mira esa perspectiva y la regla queda a medias.</w:t>
      </w:r>
    </w:p>
    <w:p>
      <w:pPr>
        <w:pStyle w:val="Fuente"/>
      </w:pPr>
      <w:r>
        <w:t xml:space="preserve">Clase 10 · 01:16:28–01:24:10 · lámina 15</w:t>
      </w:r>
    </w:p>
    <w:p>
      <w:pPr>
        <w:pStyle w:val="Heading3"/>
      </w:pPr>
      <w:bookmarkStart w:name="b_solucion_p2m_12_perspectiva_implicita" w:id="6388"/>
      <w:r>
        <w:t xml:space="preserve">Solución S2-30</w:t>
      </w:r>
      <w:bookmarkEnd w:id="6388"/>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b) Una: la perspectiva implícita del autor, desde la cual está hecho el mapa</w:t>
            </w:r>
          </w:p>
        </w:tc>
      </w:tr>
    </w:tbl>
    <w:p>
      <w:pPr>
        <w:pStyle w:val="Normal"/>
      </w:pPr>
      <w:r>
        <w:t xml:space="preserve">a) Ninguna: sin símbolos no hay perspectiva en el mapa — Un mapa siempre se hace desde algún lugar; no marcarlo no lo elimina.</w:t>
      </w:r>
    </w:p>
    <w:p>
      <w:pPr>
        <w:pStyle w:val="Normal"/>
      </w:pPr>
      <w:r>
        <w:t xml:space="preserve">b) Una: la perspectiva implícita del autor, desde la cual está hecho el mapa — Correcta: lo que hace la regla de perspectivas es volver explícito lo que de otro modo queda inmerso y sin declarar.</w:t>
      </w:r>
    </w:p>
    <w:p>
      <w:pPr>
        <w:pStyle w:val="Normal"/>
      </w:pPr>
      <w:r>
        <w:t xml:space="preserve">c) Tantas como recuadros tenga, porque cada concepto es un punto de vista — Un recuadro es una distinción; sólo es perspectiva si lleva el ojo.</w:t>
      </w:r>
    </w:p>
    <w:p>
      <w:pPr>
        <w:pStyle w:val="Normal"/>
      </w:pPr>
      <w:r>
        <w:t xml:space="preserve">d) Es imposible saberlo sin preguntarle al autor — Sí se sabe: toda modelación conlleva la perspectiva de quien modela.</w:t>
      </w:r>
    </w:p>
    <w:p>
      <w:pPr>
        <w:pStyle w:val="Normal"/>
      </w:pPr>
      <w:r>
        <w:t xml:space="preserve">Criterio de resolución: La clase lo formuló con precisión: si no se aplica la regla de perspectivas, el diagrama conserva una única perspectiva, la implícita del autor. La regla no crea la perspectiva, la hace visible.</w:t>
      </w:r>
    </w:p>
    <w:p>
      <w:pPr>
        <w:pStyle w:val="Fuente"/>
      </w:pPr>
      <w:r>
        <w:t xml:space="preserve">Clase 11 · 00:15:54–00:18:33</w:t>
      </w:r>
    </w:p>
    <w:p>
      <w:pPr>
        <w:pStyle w:val="Heading3"/>
      </w:pPr>
      <w:bookmarkStart w:name="b_solucion_p2m_13_error_sintaxi_46112d74" w:id="6389"/>
      <w:r>
        <w:t xml:space="preserve">Solución S2-31</w:t>
      </w:r>
      <w:bookmarkEnd w:id="6389"/>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b) Que usa los nombres de las operaciones como contenido del mapa, cuando deben quedar inmersos en la estructura: «docente» va dentro de «Universidad», no dentro de una caja llamada «Distinciones»</w:t>
            </w:r>
          </w:p>
        </w:tc>
      </w:tr>
    </w:tbl>
    <w:p>
      <w:pPr>
        <w:pStyle w:val="Normal"/>
      </w:pPr>
      <w:r>
        <w:t xml:space="preserve">a) Nada: así se demuestra que se aplicaron las cuatro reglas — Es el error más repetido y el que el profesor corrigió en vivo: agrupar por reglas no demuestra haberlas aplicado.</w:t>
      </w:r>
    </w:p>
    <w:p>
      <w:pPr>
        <w:pStyle w:val="Normal"/>
      </w:pPr>
      <w:r>
        <w:t xml:space="preserve">b) Que usa los nombres de las operaciones como contenido del mapa, cuando deben quedar inmersos en la estructura: «docente» va dentro de «Universidad», no dentro de una caja llamada «Distinciones» — Correcta: la estructura sistémica va inmersa en el contenido informacional del sistema que se modela.</w:t>
      </w:r>
    </w:p>
    <w:p>
      <w:pPr>
        <w:pStyle w:val="Normal"/>
      </w:pPr>
      <w:r>
        <w:t xml:space="preserve">c) Que el orden de los bloques debería ser P, R, S, D — No hay un orden obligatorio de aplicación; las reglas se combinan y se repiten en cualquier orden.</w:t>
      </w:r>
    </w:p>
    <w:p>
      <w:pPr>
        <w:pStyle w:val="Normal"/>
      </w:pPr>
      <w:r>
        <w:t xml:space="preserve">d) Que faltaría un quinto bloque para las demoras — Las demoras pertenecen a los diagramas causales y no son una quinta regla DSRP.</w:t>
      </w:r>
    </w:p>
    <w:p>
      <w:pPr>
        <w:pStyle w:val="Normal"/>
      </w:pPr>
      <w:r>
        <w:t xml:space="preserve">Criterio de resolución: Las cuatro operaciones se evidencian por la sintaxis: los recuadros anidados muestran la descomposición, las flechas muestran las relaciones y el par ojo-punto muestra las perspectivas. Escribir las palabras «distinción» o «relación» como si fueran conceptos del sistema es confundir la gramática con lo que se cuenta.</w:t>
      </w:r>
    </w:p>
    <w:p>
      <w:pPr>
        <w:pStyle w:val="Fuente"/>
      </w:pPr>
      <w:r>
        <w:t xml:space="preserve">Clase 11 · 01:00:00–01:12:12 · Clase 12 · 00:13:40–00:28:10</w:t>
      </w:r>
    </w:p>
    <w:p>
      <w:pPr>
        <w:pStyle w:val="Heading3"/>
      </w:pPr>
      <w:bookmarkStart w:name="b_solucion_p2m_14_evidencia_de_reglas" w:id="6390"/>
      <w:r>
        <w:t xml:space="preserve">Solución S2-32</w:t>
      </w:r>
      <w:bookmarkEnd w:id="6390"/>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Un recuadro mayor con recuadros dentro → Regla de sistemas</w:t>
            </w:r>
          </w:p>
          <w:p>
            <w:pPr>
              <w:pStyle w:val="Recuadro"/>
            </w:pPr>
            <w:r>
              <w:t xml:space="preserve">Una flecha etiquetada entre dos conceptos → Regla de relaciones</w:t>
            </w:r>
          </w:p>
          <w:p>
            <w:pPr>
              <w:pStyle w:val="Recuadro"/>
            </w:pPr>
            <w:r>
              <w:t xml:space="preserve">Un ojo de un color y puntos del mismo color en otros conceptos → Regla de perspectivas</w:t>
            </w:r>
          </w:p>
          <w:p>
            <w:pPr>
              <w:pStyle w:val="Recuadro"/>
            </w:pPr>
            <w:r>
              <w:t xml:space="preserve">Cualquier recuadro con el nombre de un concepto → Regla de distinciones</w:t>
            </w:r>
          </w:p>
        </w:tc>
      </w:tr>
    </w:tbl>
    <w:p>
      <w:pPr>
        <w:pStyle w:val="Normal"/>
      </w:pPr>
      <w:r>
        <w:t xml:space="preserve">Distractor sin fila correspondiente: Regla de demoras.</w:t>
      </w:r>
    </w:p>
    <w:p>
      <w:pPr>
        <w:pStyle w:val="Normal"/>
      </w:pPr>
      <w:r>
        <w:t xml:space="preserve">Distractor sin fila correspondiente: Regla de polaridad.</w:t>
      </w:r>
    </w:p>
    <w:p>
      <w:pPr>
        <w:pStyle w:val="Normal"/>
      </w:pPr>
      <w:r>
        <w:t xml:space="preserve">Criterio de resolución: La clase enumeró exactamente esta correspondencia al revisar los mapas entregados. La regla de distinciones es la que está implícita en todo el mapa: allí donde hay un nombre asociado a un concepto, hay una distinción. «Demoras» y «polaridad» no son reglas DSRP: pertenecen a los diagramas de ciclos causales.</w:t>
      </w:r>
    </w:p>
    <w:p>
      <w:pPr>
        <w:pStyle w:val="Fuente"/>
      </w:pPr>
      <w:r>
        <w:t xml:space="preserve">Clase 12 · 00:26:33–00:28:10</w:t>
      </w:r>
    </w:p>
    <w:p>
      <w:pPr>
        <w:pStyle w:val="Heading3"/>
      </w:pPr>
      <w:bookmarkStart w:name="b_solucion_p2m_15_linea_vs_flecha" w:id="6391"/>
      <w:r>
        <w:t xml:space="preserve">Solución S2-33</w:t>
      </w:r>
      <w:bookmarkEnd w:id="6391"/>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b) La línea declara que hay una relación sin decir cómo se comporta; la flecha añade la dirección, con la causa en la cola y el efecto en la punta</w:t>
            </w:r>
          </w:p>
        </w:tc>
      </w:tr>
    </w:tbl>
    <w:p>
      <w:pPr>
        <w:pStyle w:val="Normal"/>
      </w:pPr>
      <w:r>
        <w:t xml:space="preserve">a) Ninguna: la flecha es sólo una línea mejor dibujada — La cabeza de la flecha añade información que la línea no tiene.</w:t>
      </w:r>
    </w:p>
    <w:p>
      <w:pPr>
        <w:pStyle w:val="Normal"/>
      </w:pPr>
      <w:r>
        <w:t xml:space="preserve">b) La línea declara que hay una relación sin decir cómo se comporta; la flecha añade la dirección, con la causa en la cola y el efecto en la punta — Correcta: es la lectura que el profesor repitió en la clase 10 y volvió a exigir al corregir las tareas en la clase 16.</w:t>
      </w:r>
    </w:p>
    <w:p>
      <w:pPr>
        <w:pStyle w:val="Normal"/>
      </w:pPr>
      <w:r>
        <w:t xml:space="preserve">c) La línea indica una relación débil y la flecha una relación fuerte — La notación no codifica intensidad de la relación.</w:t>
      </w:r>
    </w:p>
    <w:p>
      <w:pPr>
        <w:pStyle w:val="Normal"/>
      </w:pPr>
      <w:r>
        <w:t xml:space="preserve">d) La línea se usa entre partes del mismo sistema y la flecha entre sistemas distintos — No existe esa convención.</w:t>
      </w:r>
    </w:p>
    <w:p>
      <w:pPr>
        <w:pStyle w:val="Normal"/>
      </w:pPr>
      <w:r>
        <w:t xml:space="preserve">Criterio de resolución: Una línea afirma que dos conceptos están relacionados pero no dice en qué sentido. Al añadir la cabeza de flecha se declara cuál es la causa y cuál el efecto. Por eso un diagrama con flechas sin cabeza fue el error más grave de los trabajos revisados: no se puede saber qué produce qué.</w:t>
      </w:r>
    </w:p>
    <w:p>
      <w:pPr>
        <w:pStyle w:val="Fuente"/>
      </w:pPr>
      <w:r>
        <w:t xml:space="preserve">Clase 10 · 00:52:43–00:56:10 · Clase 16 · 01:24:39–01:26:22</w:t>
      </w:r>
    </w:p>
    <w:p>
      <w:pPr>
        <w:pStyle w:val="Heading3"/>
      </w:pPr>
      <w:bookmarkStart w:name="b_solucion_p2m_16_interdependencia" w:id="6392"/>
      <w:r>
        <w:t xml:space="preserve">Solución S2-34</w:t>
      </w:r>
      <w:bookmarkEnd w:id="6392"/>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b) Una interdependencia, es decir, un comportamiento que puede llamarse circular</w:t>
            </w:r>
          </w:p>
        </w:tc>
      </w:tr>
    </w:tbl>
    <w:p>
      <w:pPr>
        <w:pStyle w:val="Normal"/>
      </w:pPr>
      <w:r>
        <w:t xml:space="preserve">a) Un error de dibujo: hay que quedarse con una sola dirección — No es un error: la doble dirección es una figura legítima y muy informativa.</w:t>
      </w:r>
    </w:p>
    <w:p>
      <w:pPr>
        <w:pStyle w:val="Normal"/>
      </w:pPr>
      <w:r>
        <w:t xml:space="preserve">b) Una interdependencia, es decir, un comportamiento que puede llamarse circular — Correcta: cada uno actúa sobre el otro, y de ahí sale la circularidad que la unidad estudia después como ciclo de retroalimentación.</w:t>
      </w:r>
    </w:p>
    <w:p>
      <w:pPr>
        <w:pStyle w:val="Normal"/>
      </w:pPr>
      <w:r>
        <w:t xml:space="preserve">c) Que los dos conceptos son sinónimos — La relación no dice nada sobre sinonimia.</w:t>
      </w:r>
    </w:p>
    <w:p>
      <w:pPr>
        <w:pStyle w:val="Normal"/>
      </w:pPr>
      <w:r>
        <w:t xml:space="preserve">d) Que uno de los dos conceptos es un subsistema del otro — La pertenencia se expresa con contención, no con flechas.</w:t>
      </w:r>
    </w:p>
    <w:p>
      <w:pPr>
        <w:pStyle w:val="Normal"/>
      </w:pPr>
      <w:r>
        <w:t xml:space="preserve">Criterio de resolución: Cuando hay flechas en los dos sentidos hay interdependencia, y las estructuras interdependientes son precisamente las que después se nombran ciclos de retroalimentación. Ahí aparecen la complejidad y el sistema de control del sistema.</w:t>
      </w:r>
    </w:p>
    <w:p>
      <w:pPr>
        <w:pStyle w:val="Fuente"/>
      </w:pPr>
      <w:r>
        <w:t xml:space="preserve">Clase 10 · 00:55:22–00:56:15 y 01:15:36</w:t>
      </w:r>
    </w:p>
    <w:p>
      <w:pPr>
        <w:pStyle w:val="Heading3"/>
      </w:pPr>
      <w:bookmarkStart w:name="b_solucion_p2m_17_mapa_cliente_empresa" w:id="6393"/>
      <w:r>
        <w:t xml:space="preserve">Solución S2-35</w:t>
      </w:r>
      <w:bookmarkEnd w:id="6393"/>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1. Distinguir los conceptos «cliente» y «empresa» con un recuadro y su nombre</w:t>
            </w:r>
          </w:p>
          <w:p>
            <w:pPr>
              <w:pStyle w:val="Recuadro"/>
            </w:pPr>
            <w:r>
              <w:t xml:space="preserve">2. Unirlos con una flecha etiquetada «vende» y otra etiquetada «compra», que crean la interdependencia</w:t>
            </w:r>
          </w:p>
          <w:p>
            <w:pPr>
              <w:pStyle w:val="Recuadro"/>
            </w:pPr>
            <w:r>
              <w:t xml:space="preserve">3. Aplicar la regla de sistemas dentro de «empresa»: atención al cliente, producción, contabilidad y administración</w:t>
            </w:r>
          </w:p>
          <w:p>
            <w:pPr>
              <w:pStyle w:val="Recuadro"/>
            </w:pPr>
            <w:r>
              <w:t xml:space="preserve">4. Descomponer la relación «comprar» en sus pasos: solicitud, confirmación, pago y recepción del producto</w:t>
            </w:r>
          </w:p>
          <w:p>
            <w:pPr>
              <w:pStyle w:val="Recuadro"/>
            </w:pPr>
            <w:r>
              <w:t xml:space="preserve">5. Añadir perspectivas sobre la empresa: la del cliente, la del proveedor y la del inversionista</w:t>
            </w:r>
          </w:p>
        </w:tc>
      </w:tr>
    </w:tbl>
    <w:p>
      <w:pPr>
        <w:pStyle w:val="Normal"/>
      </w:pPr>
      <w:r>
        <w:t xml:space="preserve">Criterio de resolución: El ejemplo central de la clase 10 avanzó en ese orden: primero distinguir, después relacionar, luego descomponer el todo en partes, después detallar la propia relación como un sistema de pasos y finalmente hacer explícitas las perspectivas. Las reglas pueden aplicarse en cualquier orden, pero este recorrido muestra cómo se combinan para enriquecer un mismo mapa.</w:t>
      </w:r>
    </w:p>
    <w:p>
      <w:pPr>
        <w:pStyle w:val="Fuente"/>
      </w:pPr>
      <w:r>
        <w:t xml:space="preserve">Clase 10 · 00:56:15–01:14:34 y 01:21:13 · lámina 13</w:t>
      </w:r>
    </w:p>
    <w:p>
      <w:pPr>
        <w:pStyle w:val="Heading3"/>
      </w:pPr>
      <w:bookmarkStart w:name="b_solucion_p2m_21_analogia_metafora" w:id="6394"/>
      <w:r>
        <w:t xml:space="preserve">Solución S2-36</w:t>
      </w:r>
      <w:bookmarkEnd w:id="6394"/>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Analogía → Une dos sistemas con «es como» y además hace corresponder sus partes entre sí</w:t>
            </w:r>
          </w:p>
          <w:p>
            <w:pPr>
              <w:pStyle w:val="Recuadro"/>
            </w:pPr>
            <w:r>
              <w:t xml:space="preserve">Símil → Une dos conceptos con «es como», sin desplegar las partes</w:t>
            </w:r>
          </w:p>
          <w:p>
            <w:pPr>
              <w:pStyle w:val="Recuadro"/>
            </w:pPr>
            <w:r>
              <w:t xml:space="preserve">Metáfora → Une dos conceptos afirmando directamente que uno «es» el otro</w:t>
            </w:r>
          </w:p>
        </w:tc>
      </w:tr>
    </w:tbl>
    <w:p>
      <w:pPr>
        <w:pStyle w:val="Normal"/>
      </w:pPr>
      <w:r>
        <w:t xml:space="preserve">Distractor sin fila correspondiente: Declara que un concepto contiene al otro.</w:t>
      </w:r>
    </w:p>
    <w:p>
      <w:pPr>
        <w:pStyle w:val="Normal"/>
      </w:pPr>
      <w:r>
        <w:t xml:space="preserve">Distractor sin fila correspondiente: Declara que un concepto causa al otro.</w:t>
      </w:r>
    </w:p>
    <w:p>
      <w:pPr>
        <w:pStyle w:val="Normal"/>
      </w:pPr>
      <w:r>
        <w:t xml:space="preserve">Criterio de resolución: El ejemplo de la lámina es la frase de Shakespeare: como analogía, el mundo y el escenario se comparan y además se aparean sus partes —hombres y mujeres con actores, muertes y nacimientos con salidas y entradas—; como metáfora, se afirma sin más que el mundo es un escenario. «Contiene» y «causa» corresponden a las reglas de sistemas y de relaciones.</w:t>
      </w:r>
    </w:p>
    <w:p>
      <w:pPr>
        <w:pStyle w:val="Fuente"/>
      </w:pPr>
      <w:r>
        <w:t xml:space="preserve">Clase 11 · 00:45:18–00:48:18 · lámina 15</w:t>
      </w:r>
    </w:p>
    <w:p>
      <w:pPr>
        <w:pStyle w:val="Heading3"/>
      </w:pPr>
      <w:bookmarkStart w:name="b_solucion_p2m_22_subperspectivas" w:id="6395"/>
      <w:r>
        <w:t xml:space="preserve">Solución S2-37</w:t>
      </w:r>
      <w:bookmarkEnd w:id="6395"/>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a) Que una perspectiva es a su vez un todo con partes, y por eso puede contener otras perspectivas</w:t>
            </w:r>
          </w:p>
        </w:tc>
      </w:tr>
    </w:tbl>
    <w:p>
      <w:pPr>
        <w:pStyle w:val="Normal"/>
      </w:pPr>
      <w:r>
        <w:t xml:space="preserve">a) Que una perspectiva es a su vez un todo con partes, y por eso puede contener otras perspectivas — Correcta: el pie de la lámina lo dice literalmente, «los puntos son todos con partes», y por eso una perspectiva admite sub-perspectivas.</w:t>
      </w:r>
    </w:p>
    <w:p>
      <w:pPr>
        <w:pStyle w:val="Normal"/>
      </w:pPr>
      <w:r>
        <w:t xml:space="preserve">b) Que la culpabilidad sólo puede establecerla la aseguradora — El mapa no adjudica la culpa a nadie: muestra que cada rol la ve distinta.</w:t>
      </w:r>
    </w:p>
    <w:p>
      <w:pPr>
        <w:pStyle w:val="Normal"/>
      </w:pPr>
      <w:r>
        <w:t xml:space="preserve">c) Que tres perspectivas distintas siempre producen la misma conclusión — Justo al revés: cada rol ve elementos diferentes del mismo hecho.</w:t>
      </w:r>
    </w:p>
    <w:p>
      <w:pPr>
        <w:pStyle w:val="Normal"/>
      </w:pPr>
      <w:r>
        <w:t xml:space="preserve">d) Que las perspectivas deben ser siempre exactamente tres — El número de perspectivas depende del caso, no de una regla.</w:t>
      </w:r>
    </w:p>
    <w:p>
      <w:pPr>
        <w:pStyle w:val="Normal"/>
      </w:pPr>
      <w:r>
        <w:t xml:space="preserve">Criterio de resolución: Las reglas se aplican unas sobre otras: una perspectiva puede descomponerse con la regla de sistemas en sub-perspectivas. Eso es lo que permite pasar de «viajar» a llegar en avión, en coche o en tren, o de un accidente a los tres roles que discuten la culpa.</w:t>
      </w:r>
    </w:p>
    <w:p>
      <w:pPr>
        <w:pStyle w:val="Fuente"/>
      </w:pPr>
      <w:r>
        <w:t xml:space="preserve">Clase 11 · 00:40:50–00:45:18 · láminas 13 y 14</w:t>
      </w:r>
    </w:p>
    <w:p>
      <w:pPr>
        <w:pStyle w:val="Heading3"/>
      </w:pPr>
      <w:bookmarkStart w:name="b_solucion_p2m_24_expandido_colapsado" w:id="6396"/>
      <w:r>
        <w:t xml:space="preserve">Solución S2-38</w:t>
      </w:r>
      <w:bookmarkEnd w:id="6396"/>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b) Para expresar el mismo modelo mental en distintos niveles de detalle según lo que se quiera comunicar</w:t>
            </w:r>
          </w:p>
        </w:tc>
      </w:tr>
    </w:tbl>
    <w:p>
      <w:pPr>
        <w:pStyle w:val="Normal"/>
      </w:pPr>
      <w:r>
        <w:t xml:space="preserve">a) Para reducir el tamaño del archivo del mapa — El peso del archivo no es una consideración del método.</w:t>
      </w:r>
    </w:p>
    <w:p>
      <w:pPr>
        <w:pStyle w:val="Normal"/>
      </w:pPr>
      <w:r>
        <w:t xml:space="preserve">b) Para expresar el mismo modelo mental en distintos niveles de detalle según lo que se quiera comunicar — Correcta: expandido y colapsado son dos vistas del mismo mapa, y la elección depende del nivel al que se quiera hablar.</w:t>
      </w:r>
    </w:p>
    <w:p>
      <w:pPr>
        <w:pStyle w:val="Normal"/>
      </w:pPr>
      <w:r>
        <w:t xml:space="preserve">c) Para ocultar los errores del mapa antes de entregarlo — Colapsar no elimina nada: el contenido sigue ahí.</w:t>
      </w:r>
    </w:p>
    <w:p>
      <w:pPr>
        <w:pStyle w:val="Normal"/>
      </w:pPr>
      <w:r>
        <w:t xml:space="preserve">d) Para convertir un mapa DSRP en un diagrama de ciclos causales — Son dos notaciones distintas; colapsar no transforma una en otra.</w:t>
      </w:r>
    </w:p>
    <w:p>
      <w:pPr>
        <w:pStyle w:val="Normal"/>
      </w:pPr>
      <w:r>
        <w:t xml:space="preserve">Criterio de resolución: La lámina muestra el mismo todo con sus partes desplegadas y recogidas. Poder moverse entre niveles es parte de modelar: se elige cuánto detalle hace falta para la conversación que se quiere tener, sin perder el resto.</w:t>
      </w:r>
    </w:p>
    <w:p>
      <w:pPr>
        <w:pStyle w:val="Fuente"/>
      </w:pPr>
      <w:r>
        <w:t xml:space="preserve">Clase 10 · 01:32:12–01:32:56 · lámina 23</w:t>
      </w:r>
    </w:p>
    <w:p>
      <w:pPr>
        <w:pStyle w:val="Heading3"/>
      </w:pPr>
      <w:bookmarkStart w:name="b_solucion_p2m_27_barra_relacion_abierta" w:id="6397"/>
      <w:r>
        <w:t xml:space="preserve">Solución S2-39</w:t>
      </w:r>
      <w:bookmarkEnd w:id="6397"/>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b) Una relación entre dos distinciones; se distingue y nombra la relación y luego se organiza como sistema con partes; si hay reciprocidad, se representan sus dos direcciones</w:t>
            </w:r>
          </w:p>
        </w:tc>
      </w:tr>
    </w:tbl>
    <w:p>
      <w:pPr>
        <w:pStyle w:val="Normal"/>
      </w:pPr>
      <w:r>
        <w:t xml:space="preserve">a) Que las dos ideas son partes de un mismo todo; el paso siguiente es encerrarlas en un contenedor — La contención expresa partes y todo; la barra es una línea entre dos ideas, es decir, una relación.</w:t>
      </w:r>
    </w:p>
    <w:p>
      <w:pPr>
        <w:pStyle w:val="Normal"/>
      </w:pPr>
      <w:r>
        <w:t xml:space="preserve">b) Una relación entre dos distinciones; se distingue y nombra la relación y luego se organiza como sistema con partes; si hay reciprocidad, se representan sus dos direcciones — Correcta: la barra es la regla R en su forma mínima, y la lámina muestra cómo se abre en partes y cómo dos arcos cerrados representan la retroalimentación.</w:t>
      </w:r>
    </w:p>
    <w:p>
      <w:pPr>
        <w:pStyle w:val="Normal"/>
      </w:pPr>
      <w:r>
        <w:t xml:space="preserve">c) Una perspectiva: la idea de la izquierda mira a la de la derecha, y el paso siguiente es poner el ojo — La perspectiva se marca con ojo y punto, no con una línea entre dos ideas.</w:t>
      </w:r>
    </w:p>
    <w:p>
      <w:pPr>
        <w:pStyle w:val="Normal"/>
      </w:pPr>
      <w:r>
        <w:t xml:space="preserve">d) Una jerarquía: la idea de arriba manda sobre la de abajo, y el paso siguiente es apilar más niveles — La barra no ordena ni jerarquiza: relaciona.</w:t>
      </w:r>
    </w:p>
    <w:p>
      <w:pPr>
        <w:pStyle w:val="Normal"/>
      </w:pPr>
      <w:r>
        <w:t xml:space="preserve">Criterio de resolución: La barra es la relación desnuda entre dos distinciones. La lámina de la clase 10 la usa para mostrar tres cosas: que una relación puede convertirse en un sistema con partes —comprar se despliega en solicitud, confirmación, pago y producto—, que las partes de una relación son a su vez distinciones, y que cuando las dos ideas se afectan mutuamente la barra se cierra en dos arcos de retroalimentación.</w:t>
      </w:r>
    </w:p>
    <w:p>
      <w:pPr>
        <w:pStyle w:val="Fuente"/>
      </w:pPr>
      <w:r>
        <w:t xml:space="preserve">Clase 10 · 01:12:24 · lámina 14</w:t>
      </w:r>
    </w:p>
    <w:p>
      <w:pPr>
        <w:pStyle w:val="Heading3"/>
      </w:pPr>
      <w:bookmarkStart w:name="b_solucion_p2m_28_p_circulo_ins_3274a51f" w:id="6398"/>
      <w:r>
        <w:t xml:space="preserve">Solución S2-40</w:t>
      </w:r>
      <w:bookmarkEnd w:id="6398"/>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c) Un punto de vista sobre el mismo asunto: el ejemplo distingue las perspectivas ambiental, política y económica, sin detallar todavía qué ve cada una</w:t>
            </w:r>
          </w:p>
        </w:tc>
      </w:tr>
    </w:tbl>
    <w:p>
      <w:pPr>
        <w:pStyle w:val="Normal"/>
      </w:pPr>
      <w:r>
        <w:t xml:space="preserve">a) Un ciclo causal cerrado: las tres áreas se refuerzan entre sí — No hay flechas con polaridad ni recorrido: es la regla P, no un ciclo causal.</w:t>
      </w:r>
    </w:p>
    <w:p>
      <w:pPr>
        <w:pStyle w:val="Normal"/>
      </w:pPr>
      <w:r>
        <w:t xml:space="preserve">b) El sistema completo de la inseguridad alimentaria, con las tres áreas como partes — Un P-círculo no es el todo con sus partes; es lo que se ve desde un punto de vista, y por eso cambia al cambiar de ojo.</w:t>
      </w:r>
    </w:p>
    <w:p>
      <w:pPr>
        <w:pStyle w:val="Normal"/>
      </w:pPr>
      <w:r>
        <w:t xml:space="preserve">c) Un punto de vista sobre el mismo asunto: el ejemplo distingue las perspectivas ambiental, política y económica, sin detallar todavía qué ve cada una — Correcta: se distinguen los puntos de vista; el profesor aclara que el contenido diferente de cada vista todavía no se ha desplegado.</w:t>
      </w:r>
    </w:p>
    <w:p>
      <w:pPr>
        <w:pStyle w:val="Normal"/>
      </w:pPr>
      <w:r>
        <w:t xml:space="preserve">d) Una analogía entre tres problemas parecidos — La analogía aparea las partes de dos totalidades; aquí hay un solo problema mirado desde tres lugares.</w:t>
      </w:r>
    </w:p>
    <w:p>
      <w:pPr>
        <w:pStyle w:val="Normal"/>
      </w:pPr>
      <w:r>
        <w:t xml:space="preserve">Criterio de resolución: El P-círculo combina punto y vista. En el ejemplo de inseguridad alimentaria sólo se distinguen las perspectivas ambiental, política y económica; no se detallan aún las ideas que ve cada una. Clase 10 lo aclara en 01:25:44–01:26:13 (cues 866–872), antes del mapa de múltiples perspectivas desde 01:26:25.</w:t>
      </w:r>
    </w:p>
    <w:p>
      <w:pPr>
        <w:pStyle w:val="Fuente"/>
      </w:pPr>
      <w:r>
        <w:t xml:space="preserve">Presentación de la unidad 3 (C-2), págs. 12 y 25 · Clase 10 · 01:25:44–01:26:25</w:t>
      </w:r>
    </w:p>
    <w:p>
      <w:pPr>
        <w:pStyle w:val="Heading3"/>
      </w:pPr>
      <w:bookmarkStart w:name="b_solucion_p2m_29_sub_perspectivas_regla" w:id="6399"/>
      <w:r>
        <w:t xml:space="preserve">Solución S2-41</w:t>
      </w:r>
      <w:bookmarkEnd w:id="6399"/>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b) La regla de sistemas: la perspectiva se trata como un todo que tiene partes, y cada parte es una perspectiva más fina</w:t>
            </w:r>
          </w:p>
        </w:tc>
      </w:tr>
    </w:tbl>
    <w:p>
      <w:pPr>
        <w:pStyle w:val="Normal"/>
      </w:pPr>
      <w:r>
        <w:t xml:space="preserve">a) La regla de distinciones: cada sub-perspectiva es lo contrario de la anterior — Distinguir separa una idea de lo que no es; aquí se está partiendo una perspectiva en varias, no oponiéndola a otra.</w:t>
      </w:r>
    </w:p>
    <w:p>
      <w:pPr>
        <w:pStyle w:val="Normal"/>
      </w:pPr>
      <w:r>
        <w:t xml:space="preserve">b) La regla de sistemas: la perspectiva se trata como un todo que tiene partes, y cada parte es una perspectiva más fina — Correcta: las reglas se combinan, y una perspectiva puede ser a su vez un sistema con sub-perspectivas.</w:t>
      </w:r>
    </w:p>
    <w:p>
      <w:pPr>
        <w:pStyle w:val="Normal"/>
      </w:pPr>
      <w:r>
        <w:t xml:space="preserve">c) La regla de relaciones: las sub-perspectivas se conectan con flechas — Las sub-perspectivas se contienen, no se relacionan con flechas.</w:t>
      </w:r>
    </w:p>
    <w:p>
      <w:pPr>
        <w:pStyle w:val="Normal"/>
      </w:pPr>
      <w:r>
        <w:t xml:space="preserve">d) Ninguna: las sub-perspectivas no forman parte de la sintaxis DSRP — Sí forman parte: son la regla S aplicada a la regla P, y la lámina les dedica cuatro paneles.</w:t>
      </w:r>
    </w:p>
    <w:p>
      <w:pPr>
        <w:pStyle w:val="Normal"/>
      </w:pPr>
      <w:r>
        <w:t xml:space="preserve">Criterio de resolución: Las cuatro reglas se aplican unas sobre otras. Cuando una perspectiva se descompone —global y local; conservadora, moderada y radical; avión, coche o tren; los dos conductores y la aseguradora— se está aplicando la regla de sistemas a una perspectiva: el punto de vista es un todo y sus sub-perspectivas son las partes.</w:t>
      </w:r>
    </w:p>
    <w:p>
      <w:pPr>
        <w:pStyle w:val="Fuente"/>
      </w:pPr>
      <w:r>
        <w:t xml:space="preserve">Clase 11 · 00:40:50 · lámina 13</w:t>
      </w:r>
    </w:p>
    <w:p>
      <w:pPr>
        <w:pStyle w:val="Heading3"/>
      </w:pPr>
      <w:bookmarkStart w:name="b_solucion_p2m_30_analogia_meta_4f1a7fd6" w:id="6400"/>
      <w:r>
        <w:t xml:space="preserve">Solución S2-42</w:t>
      </w:r>
      <w:bookmarkEnd w:id="6400"/>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Analogía: Aparea también las partes de las dos totalidades: los actores con las personas, las escenas con las etapas de la vida; Sirve para razonar sobre un sistema a partir de otro, parte por parte</w:t>
            </w:r>
          </w:p>
          <w:p>
            <w:pPr>
              <w:pStyle w:val="Recuadro"/>
            </w:pPr>
            <w:r>
              <w:t xml:space="preserve">Metáfora: Afirma que una totalidad es la otra: «el mundo es un escenario»; Sustituye una totalidad por la otra sin aparear sus partes</w:t>
            </w:r>
          </w:p>
        </w:tc>
      </w:tr>
    </w:tbl>
    <w:p>
      <w:pPr>
        <w:pStyle w:val="Normal"/>
      </w:pPr>
      <w:r>
        <w:t xml:space="preserve">Criterio de resolución: La lámina aplica la regla de sistemas a la comparación entre dos totalidades. Como analogía, el mundo y el escenario se comparan parte por parte —actores y personas, escenas y etapas—; como metáfora, se afirma que uno es el otro y la comparación queda en las totalidades. En los dos casos el mapa DSRP muestra dos sistemas; lo que cambia es si las partes se aparean o no.</w:t>
      </w:r>
    </w:p>
    <w:p>
      <w:pPr>
        <w:pStyle w:val="Fuente"/>
      </w:pPr>
      <w:r>
        <w:t xml:space="preserve">Clase 11 · 00:45:18 · lámina 15</w:t>
      </w:r>
    </w:p>
    <w:p>
      <w:pPr>
        <w:pStyle w:val="Heading3"/>
      </w:pPr>
      <w:bookmarkStart w:name="b_solucion_p2c_01_que_es_variable" w:id="6401"/>
      <w:r>
        <w:t xml:space="preserve">Solución S2-43</w:t>
      </w:r>
      <w:bookmarkEnd w:id="6401"/>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b) Porque son distinciones del sistema cuyo valor puede cambiar con el tiempo, como el número de abejas o de flores</w:t>
            </w:r>
          </w:p>
        </w:tc>
      </w:tr>
    </w:tbl>
    <w:p>
      <w:pPr>
        <w:pStyle w:val="Normal"/>
      </w:pPr>
      <w:r>
        <w:t xml:space="preserve">a) Porque su nombre puede variar según quien dibuje el mapa — El nombre debe ser estable y claro; la variabilidad está en la magnitud, no en la etiqueta.</w:t>
      </w:r>
    </w:p>
    <w:p>
      <w:pPr>
        <w:pStyle w:val="Normal"/>
      </w:pPr>
      <w:r>
        <w:t xml:space="preserve">b) Porque son distinciones del sistema cuyo valor puede cambiar con el tiempo, como el número de abejas o de flores — Correcta: es la definición literal de la lámina que introdujo el vocabulario.</w:t>
      </w:r>
    </w:p>
    <w:p>
      <w:pPr>
        <w:pStyle w:val="Normal"/>
      </w:pPr>
      <w:r>
        <w:t xml:space="preserve">c) Porque se pueden sustituir por letras para simplificar el diagrama — Nadie sustituye variables por letras en esta notación.</w:t>
      </w:r>
    </w:p>
    <w:p>
      <w:pPr>
        <w:pStyle w:val="Normal"/>
      </w:pPr>
      <w:r>
        <w:t xml:space="preserve">d) Porque varían de un diagrama a otro aunque el sistema sea el mismo — El diagrama puede cambiar con el modelador, pero eso no es lo que nombra la palabra «variable».</w:t>
      </w:r>
    </w:p>
    <w:p>
      <w:pPr>
        <w:pStyle w:val="Normal"/>
      </w:pPr>
      <w:r>
        <w:t xml:space="preserve">Criterio de resolución: Una variable es una distinción conceptual del sistema que sirve para identificar relaciones y cuya magnitud sube o baja en el tiempo. Por eso los nombres se escriben como sustantivos que admiten más y menos, no como acciones.</w:t>
      </w:r>
    </w:p>
    <w:p>
      <w:pPr>
        <w:pStyle w:val="Fuente"/>
      </w:pPr>
      <w:r>
        <w:t xml:space="preserve">Clase 13 · 00:37:21–00:40:04 · lámina 5 · Clase 14 · 00:09:02</w:t>
      </w:r>
    </w:p>
    <w:p>
      <w:pPr>
        <w:pStyle w:val="Heading3"/>
      </w:pPr>
      <w:bookmarkStart w:name="b_solucion_p2c_02_cola_y_punta" w:id="6402"/>
      <w:r>
        <w:t xml:space="preserve">Solución S2-44</w:t>
      </w:r>
      <w:bookmarkEnd w:id="6402"/>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b) La presión es la causa, porque está en la cola, y el trabajo extra el efecto, porque está en la punta</w:t>
            </w:r>
          </w:p>
        </w:tc>
      </w:tr>
    </w:tbl>
    <w:p>
      <w:pPr>
        <w:pStyle w:val="Normal"/>
      </w:pPr>
      <w:r>
        <w:t xml:space="preserve">a) La presión es el efecto y el trabajo extra la causa — Está al revés: la cabeza señala hacia lo que resulta afectado.</w:t>
      </w:r>
    </w:p>
    <w:p>
      <w:pPr>
        <w:pStyle w:val="Normal"/>
      </w:pPr>
      <w:r>
        <w:t xml:space="preserve">b) La presión es la causa, porque está en la cola, y el trabajo extra el efecto, porque está en la punta — Correcta: la regla se repitió en la clase 10 al presentar la regla de relaciones y volvió a exigirse al corregir las tareas.</w:t>
      </w:r>
    </w:p>
    <w:p>
      <w:pPr>
        <w:pStyle w:val="Normal"/>
      </w:pPr>
      <w:r>
        <w:t xml:space="preserve">c) Ambos son causa y efecto a la vez, porque toda relación es circular — La circularidad aparece cuando la cadena se cierra, no dentro de una sola flecha.</w:t>
      </w:r>
    </w:p>
    <w:p>
      <w:pPr>
        <w:pStyle w:val="Normal"/>
      </w:pPr>
      <w:r>
        <w:t xml:space="preserve">d) Depende de la polaridad que lleve la flecha — La polaridad dice en qué sentido cambia el efecto, no cuál de los dos lo es.</w:t>
      </w:r>
    </w:p>
    <w:p>
      <w:pPr>
        <w:pStyle w:val="Normal"/>
      </w:pPr>
      <w:r>
        <w:t xml:space="preserve">Criterio de resolución: La variable de la cola es la causante y la de la punta es el efecto. Por eso una flecha sin cabeza deja el diagrama ambiguo: no se puede saber qué produce qué, que fue el error más grave de los trabajos revisados en clase.</w:t>
      </w:r>
    </w:p>
    <w:p>
      <w:pPr>
        <w:pStyle w:val="Fuente"/>
      </w:pPr>
      <w:r>
        <w:t xml:space="preserve">Clase 14 · 00:26:53–00:27:30 · Clase 16 · 01:24:39–01:26:22</w:t>
      </w:r>
    </w:p>
    <w:p>
      <w:pPr>
        <w:pStyle w:val="Heading3"/>
      </w:pPr>
      <w:bookmarkStart w:name="b_solucion_p2c_06_hervir_agua_ordenar" w:id="6403"/>
      <w:r>
        <w:t xml:space="preserve">Solución S2-45</w:t>
      </w:r>
      <w:bookmarkEnd w:id="6403"/>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1. Objetivo: agua hervida</w:t>
            </w:r>
          </w:p>
          <w:p>
            <w:pPr>
              <w:pStyle w:val="Recuadro"/>
            </w:pPr>
            <w:r>
              <w:t xml:space="preserve">2. Brecha percibida</w:t>
            </w:r>
          </w:p>
          <w:p>
            <w:pPr>
              <w:pStyle w:val="Recuadro"/>
            </w:pPr>
            <w:r>
              <w:t xml:space="preserve">3. Posición de la llave en el fogón</w:t>
            </w:r>
          </w:p>
          <w:p>
            <w:pPr>
              <w:pStyle w:val="Recuadro"/>
            </w:pPr>
            <w:r>
              <w:t xml:space="preserve">4. Flujo de fuego</w:t>
            </w:r>
          </w:p>
          <w:p>
            <w:pPr>
              <w:pStyle w:val="Recuadro"/>
            </w:pPr>
            <w:r>
              <w:t xml:space="preserve">5. Nivel actual de temperatura</w:t>
            </w:r>
          </w:p>
        </w:tc>
      </w:tr>
    </w:tbl>
    <w:p>
      <w:pPr>
        <w:pStyle w:val="Normal"/>
      </w:pPr>
      <w:r>
        <w:t xml:space="preserve">Criterio de resolución: El objetivo alimenta la brecha percibida; la brecha mueve la llave del fogón; la llave regula el flujo de fuego; el fuego sube el nivel de temperatura, y el nivel vuelve sobre la brecha cerrando el bucle. Es la misma estructura del vaso de agua, con otra escala de tiempo.</w:t>
      </w:r>
    </w:p>
    <w:p>
      <w:pPr>
        <w:pStyle w:val="Fuente"/>
      </w:pPr>
      <w:r>
        <w:t xml:space="preserve">Clase 13 · 01:19:04–01:25:19 · lámina 8</w:t>
      </w:r>
    </w:p>
    <w:p>
      <w:pPr>
        <w:pStyle w:val="Heading3"/>
      </w:pPr>
      <w:bookmarkStart w:name="b_solucion_p2c_07_vaso_de_agua" w:id="6404"/>
      <w:r>
        <w:t xml:space="preserve">Solución S2-46</w:t>
      </w:r>
      <w:bookmarkEnd w:id="6404"/>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b) Es la diferencia entre el nivel actual y el nivel deseado, y es lo que hace mover la mano sobre el grifo</w:t>
            </w:r>
          </w:p>
        </w:tc>
      </w:tr>
    </w:tbl>
    <w:p>
      <w:pPr>
        <w:pStyle w:val="Normal"/>
      </w:pPr>
      <w:r>
        <w:t xml:space="preserve">a) Es el objetivo que el sistema quiere alcanzar — El objetivo es el nivel de agua deseado; la brecha es la distancia hasta él.</w:t>
      </w:r>
    </w:p>
    <w:p>
      <w:pPr>
        <w:pStyle w:val="Normal"/>
      </w:pPr>
      <w:r>
        <w:t xml:space="preserve">b) Es la diferencia entre el nivel actual y el nivel deseado, y es lo que hace mover la mano sobre el grifo — Correcta: percibir la brecha es lo que desencadena la acción de control, y su reducción es lo que la detiene.</w:t>
      </w:r>
    </w:p>
    <w:p>
      <w:pPr>
        <w:pStyle w:val="Normal"/>
      </w:pPr>
      <w:r>
        <w:t xml:space="preserve">c) Es la cantidad de agua que sale del grifo por segundo — Ese es el flujo de agua, otra variable del mismo ciclo.</w:t>
      </w:r>
    </w:p>
    <w:p>
      <w:pPr>
        <w:pStyle w:val="Normal"/>
      </w:pPr>
      <w:r>
        <w:t xml:space="preserve">d) Es una variable externa que no pertenece al ciclo — Está dentro del ciclo: es la variable que cierra el lazo sobre la posición del grifo.</w:t>
      </w:r>
    </w:p>
    <w:p>
      <w:pPr>
        <w:pStyle w:val="Normal"/>
      </w:pPr>
      <w:r>
        <w:t xml:space="preserve">Criterio de resolución: La brecha percibida es la comparación entre lo que hay y lo que se busca. Todo ciclo de control funciona igual: hay un objetivo, se mide la distancia hasta él y la acción se ajusta en función de esa distancia hasta que la brecha se acerca a cero.</w:t>
      </w:r>
    </w:p>
    <w:p>
      <w:pPr>
        <w:pStyle w:val="Fuente"/>
      </w:pPr>
      <w:r>
        <w:t xml:space="preserve">Clase 13 · 00:43:56–00:49:39 · lámina 6</w:t>
      </w:r>
    </w:p>
    <w:p>
      <w:pPr>
        <w:pStyle w:val="Heading3"/>
      </w:pPr>
      <w:bookmarkStart w:name="b_solucion_p2c_11_contar_la_historia" w:id="6405"/>
      <w:r>
        <w:t xml:space="preserve">Solución S2-47</w:t>
      </w:r>
      <w:bookmarkEnd w:id="6405"/>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1. Comenzar por cualquier elemento, por ejemplo el que más preocupa, sin explicar todavía por qué ocurre</w:t>
            </w:r>
          </w:p>
          <w:p>
            <w:pPr>
              <w:pStyle w:val="Recuadro"/>
            </w:pPr>
            <w:r>
              <w:t xml:space="preserve">2. Describir cómo se mueve ese elemento con verbos de movimiento: crece, decrece, aumenta, disminuye</w:t>
            </w:r>
          </w:p>
          <w:p>
            <w:pPr>
              <w:pStyle w:val="Recuadro"/>
            </w:pPr>
            <w:r>
              <w:t xml:space="preserve">3. Describir la repercusión de ese movimiento sobre el elemento contiguo</w:t>
            </w:r>
          </w:p>
          <w:p>
            <w:pPr>
              <w:pStyle w:val="Recuadro"/>
            </w:pPr>
            <w:r>
              <w:t xml:space="preserve">4. Continuar la historia hasta volver al punto de partida usando frases de interrelación causal</w:t>
            </w:r>
          </w:p>
          <w:p>
            <w:pPr>
              <w:pStyle w:val="Recuadro"/>
            </w:pPr>
            <w:r>
              <w:t xml:space="preserve">5. Infundirle vida con ilustraciones y anécdotas para que los demás la comprendan</w:t>
            </w:r>
          </w:p>
        </w:tc>
      </w:tr>
    </w:tbl>
    <w:p>
      <w:pPr>
        <w:pStyle w:val="Normal"/>
      </w:pPr>
      <w:r>
        <w:t xml:space="preserve">Criterio de resolución: Son cinco recomendaciones de la lámina de historias circulares, que el profesor recomendó estudiar: Presentación de la unidad 3 (C-2), pág. 54. El orden importa: resistir la tentación de explicar la causa al principio es lo que permite que la explicación emerja al cerrar el recorrido.</w:t>
      </w:r>
    </w:p>
    <w:p>
      <w:pPr>
        <w:pStyle w:val="Fuente"/>
      </w:pPr>
      <w:r>
        <w:t xml:space="preserve">Clase 13 · 01:35:48–01:38:26 · lámina 11</w:t>
      </w:r>
    </w:p>
    <w:p>
      <w:pPr>
        <w:pStyle w:val="Heading3"/>
      </w:pPr>
      <w:bookmarkStart w:name="b_solucion_p2c_12_solo_variable_c33e5d0b" w:id="6406"/>
      <w:r>
        <w:t xml:space="preserve">Solución S2-48</w:t>
      </w:r>
      <w:bookmarkEnd w:id="6406"/>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b) Sólo las que están en la historia contada, sin inventar ni distinguir variables de fuera</w:t>
            </w:r>
          </w:p>
        </w:tc>
      </w:tr>
    </w:tbl>
    <w:p>
      <w:pPr>
        <w:pStyle w:val="Normal"/>
      </w:pPr>
      <w:r>
        <w:t xml:space="preserve">a) Todas las que se le ocurran, cuantas más mejor — Añadir variables ajenas convierte el ejercicio en otro modelo y deja de responder lo que se pidió.</w:t>
      </w:r>
    </w:p>
    <w:p>
      <w:pPr>
        <w:pStyle w:val="Normal"/>
      </w:pPr>
      <w:r>
        <w:t xml:space="preserve">b) Sólo las que están en la historia contada, sin inventar ni distinguir variables de fuera — Correcta: es la instrucción expresa que el profesor dio al resolver los casos entregados.</w:t>
      </w:r>
    </w:p>
    <w:p>
      <w:pPr>
        <w:pStyle w:val="Normal"/>
      </w:pPr>
      <w:r>
        <w:t xml:space="preserve">c) Únicamente las que aparecen en las láminas del curso — Las láminas dan ejemplos, no un vocabulario obligatorio.</w:t>
      </w:r>
    </w:p>
    <w:p>
      <w:pPr>
        <w:pStyle w:val="Normal"/>
      </w:pPr>
      <w:r>
        <w:t xml:space="preserve">d) Las de la historia más, obligatoriamente, una variable externa — La variable externa aparece si la historia la menciona, como el tiempo disponible en el caso de Ana; no es un requisito.</w:t>
      </w:r>
    </w:p>
    <w:p>
      <w:pPr>
        <w:pStyle w:val="Normal"/>
      </w:pPr>
      <w:r>
        <w:t xml:space="preserve">Criterio de resolución: El criterio de corrección es que la historia que cuenta la sintaxis del diagrama coincida con el planteamiento entregado. Sumar variables que la historia no nombra rompe esa correspondencia, aunque el modelo resultante sea interesante.</w:t>
      </w:r>
    </w:p>
    <w:p>
      <w:pPr>
        <w:pStyle w:val="Fuente"/>
      </w:pPr>
      <w:r>
        <w:t xml:space="preserve">Clase 16 · 01:35:03–01:35:40</w:t>
      </w:r>
    </w:p>
    <w:p>
      <w:pPr>
        <w:pStyle w:val="Heading3"/>
      </w:pPr>
      <w:bookmarkStart w:name="b_solucion_p2c_18_inventario_multiple" w:id="6407"/>
      <w:r>
        <w:t xml:space="preserve">Solución S2-49</w:t>
      </w:r>
      <w:bookmarkEnd w:id="6407"/>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a) Nivel de inventario</w:t>
            </w:r>
          </w:p>
          <w:p>
            <w:pPr>
              <w:pStyle w:val="Recuadro"/>
            </w:pPr>
            <w:r>
              <w:t xml:space="preserve">c) Presión para cumplir el cronograma</w:t>
            </w:r>
          </w:p>
          <w:p>
            <w:pPr>
              <w:pStyle w:val="Recuadro"/>
            </w:pPr>
            <w:r>
              <w:t xml:space="preserve">e) Tasa de terminación del trabajo</w:t>
            </w:r>
          </w:p>
        </w:tc>
      </w:tr>
    </w:tbl>
    <w:p>
      <w:pPr>
        <w:pStyle w:val="Normal"/>
      </w:pPr>
      <w:r>
        <w:t xml:space="preserve">a) Nivel de inventario — Sirve: es una magnitud que sube y baja.</w:t>
      </w:r>
    </w:p>
    <w:p>
      <w:pPr>
        <w:pStyle w:val="Normal"/>
      </w:pPr>
      <w:r>
        <w:t xml:space="preserve">b) Emitir la orden de compra — No sirve tal cual: es una acción en infinitivo, propia de un diagrama de proceso.</w:t>
      </w:r>
    </w:p>
    <w:p>
      <w:pPr>
        <w:pStyle w:val="Normal"/>
      </w:pPr>
      <w:r>
        <w:t xml:space="preserve">c) Presión para cumplir el cronograma — Sirve: la presión puede ser mayor o menor.</w:t>
      </w:r>
    </w:p>
    <w:p>
      <w:pPr>
        <w:pStyle w:val="Normal"/>
      </w:pPr>
      <w:r>
        <w:t xml:space="preserve">d) Apagar el fogón — No sirve: es un verbo, y describe un paso, no una magnitud.</w:t>
      </w:r>
    </w:p>
    <w:p>
      <w:pPr>
        <w:pStyle w:val="Normal"/>
      </w:pPr>
      <w:r>
        <w:t xml:space="preserve">e) Tasa de terminación del trabajo — Sirve: es una tasa, es decir, algo medible que varía.</w:t>
      </w:r>
    </w:p>
    <w:p>
      <w:pPr>
        <w:pStyle w:val="Normal"/>
      </w:pPr>
      <w:r>
        <w:t xml:space="preserve">Criterio de resolución: El criterio es que la variable admita más y menos. Los verbos describen acciones y pertenecen a los diagramas de proceso; para pasarlos al lenguaje sistémico hay que convertirlos en sustantivos que nombren una magnitud.</w:t>
      </w:r>
    </w:p>
    <w:p>
      <w:pPr>
        <w:pStyle w:val="Fuente"/>
      </w:pPr>
      <w:r>
        <w:t xml:space="preserve">Clase 13 · 01:31:47–01:33:03 · lámina 8</w:t>
      </w:r>
    </w:p>
    <w:p>
      <w:pPr>
        <w:pStyle w:val="Heading3"/>
      </w:pPr>
      <w:bookmarkStart w:name="b_solucion_p2c_19_termino_intermedio" w:id="6408"/>
      <w:r>
        <w:t xml:space="preserve">Solución S2-50</w:t>
      </w:r>
      <w:bookmarkEnd w:id="6408"/>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b) Redefinir las variables o insertar un término intermedio, por ejemplo «Presión para producir» entre ambas</w:t>
            </w:r>
          </w:p>
        </w:tc>
      </w:tr>
    </w:tbl>
    <w:p>
      <w:pPr>
        <w:pStyle w:val="Normal"/>
      </w:pPr>
      <w:r>
        <w:t xml:space="preserve">a) Eliminar la relación, porque no es evidente — La relación existe; lo que falla es que el salto entre las dos variables es demasiado largo.</w:t>
      </w:r>
    </w:p>
    <w:p>
      <w:pPr>
        <w:pStyle w:val="Normal"/>
      </w:pPr>
      <w:r>
        <w:t xml:space="preserve">b) Redefinir las variables o insertar un término intermedio, por ejemplo «Presión para producir» entre ambas — Correcta: es el noveno lineamiento, con ese ejemplo exacto.</w:t>
      </w:r>
    </w:p>
    <w:p>
      <w:pPr>
        <w:pStyle w:val="Normal"/>
      </w:pPr>
      <w:r>
        <w:t xml:space="preserve">c) Marcar la relación con una demora — La demora es otra cosa: dice que el efecto tarda, no que falte un eslabón.</w:t>
      </w:r>
    </w:p>
    <w:p>
      <w:pPr>
        <w:pStyle w:val="Normal"/>
      </w:pPr>
      <w:r>
        <w:t xml:space="preserve">d) Cambiar la polaridad hasta que la lectura funcione — Manipular el signo para que encaje la lectura invierte el método.</w:t>
      </w:r>
    </w:p>
    <w:p>
      <w:pPr>
        <w:pStyle w:val="Normal"/>
      </w:pPr>
      <w:r>
        <w:t xml:space="preserve">Criterio de resolución: Si un vínculo exige un párrafo de explicación, el modelo está escondiendo un paso. Insertar la variable intermedia hace explícito ese paso y deja el diagrama legible sin texto acompañante.</w:t>
      </w:r>
    </w:p>
    <w:p>
      <w:pPr>
        <w:pStyle w:val="Fuente"/>
      </w:pPr>
      <w:r>
        <w:t xml:space="preserve">Clase 16 · 00:41:57–00:42:41 · lámina 6</w:t>
      </w:r>
    </w:p>
    <w:p>
      <w:pPr>
        <w:pStyle w:val="Heading3"/>
      </w:pPr>
      <w:bookmarkStart w:name="b_solucion_p2c_20_micr_fono_bocina" w:id="6409"/>
      <w:r>
        <w:t xml:space="preserve">Solución S2-51</w:t>
      </w:r>
      <w:bookmarkEnd w:id="6409"/>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a) Que todas sus relaciones son positivas, de modo que la amplitud crece sin que nada la detenga</w:t>
            </w:r>
          </w:p>
        </w:tc>
      </w:tr>
    </w:tbl>
    <w:p>
      <w:pPr>
        <w:pStyle w:val="Normal"/>
      </w:pPr>
      <w:r>
        <w:t xml:space="preserve">a) Que todas sus relaciones son positivas, de modo que la amplitud crece sin que nada la detenga — Correcta: sin ninguna compensación, cada vuelta aumenta el sonido y el sistema se dispara.</w:t>
      </w:r>
    </w:p>
    <w:p>
      <w:pPr>
        <w:pStyle w:val="Normal"/>
      </w:pPr>
      <w:r>
        <w:t xml:space="preserve">b) Que tiene una relación negativa que lo estabiliza — Si la hubiera, el acople se detendría solo.</w:t>
      </w:r>
    </w:p>
    <w:p>
      <w:pPr>
        <w:pStyle w:val="Normal"/>
      </w:pPr>
      <w:r>
        <w:t xml:space="preserve">c) Que contiene una demora larga entre la voz y la bocina — El efecto es prácticamente instantáneo; por eso el chillido aparece de golpe.</w:t>
      </w:r>
    </w:p>
    <w:p>
      <w:pPr>
        <w:pStyle w:val="Normal"/>
      </w:pPr>
      <w:r>
        <w:t xml:space="preserve">d) Que es un ciclo de balance con objetivo implícito — No busca ningún objetivo: crece hasta que alguien separa el micrófono de la bocina.</w:t>
      </w:r>
    </w:p>
    <w:p>
      <w:pPr>
        <w:pStyle w:val="Normal"/>
      </w:pPr>
      <w:r>
        <w:t xml:space="preserve">Criterio de resolución: El acople es el ejemplo de manual del ciclo de refuerzo: la salida vuelve a la entrada amplificándola. Se corta rompiendo el lazo —alejando el micrófono— y no ajustando ninguna variable dentro de él.</w:t>
      </w:r>
    </w:p>
    <w:p>
      <w:pPr>
        <w:pStyle w:val="Fuente"/>
      </w:pPr>
      <w:r>
        <w:t xml:space="preserve">Clase 14 · 00:42:20–00:53:05 · lámina 8</w:t>
      </w:r>
    </w:p>
    <w:p>
      <w:pPr>
        <w:pStyle w:val="Heading3"/>
      </w:pPr>
      <w:bookmarkStart w:name="b_solucion_p2c_21_emparejar_cas_fc0a2309" w:id="6410"/>
      <w:r>
        <w:t xml:space="preserve">Solución S2-52</w:t>
      </w:r>
      <w:bookmarkEnd w:id="6410"/>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Llenar un vaso de agua → Brecha percibida entre el nivel actual y el deseado</w:t>
            </w:r>
          </w:p>
          <w:p>
            <w:pPr>
              <w:pStyle w:val="Recuadro"/>
            </w:pPr>
            <w:r>
              <w:t xml:space="preserve">Refrescos azucarados y caries → Conciencia del daño que hacen los refrescos</w:t>
            </w:r>
          </w:p>
          <w:p>
            <w:pPr>
              <w:pStyle w:val="Recuadro"/>
            </w:pPr>
            <w:r>
              <w:t xml:space="preserve">El cronograma de Ana → Trabajo pendiente</w:t>
            </w:r>
          </w:p>
          <w:p>
            <w:pPr>
              <w:pStyle w:val="Recuadro"/>
            </w:pPr>
            <w:r>
              <w:t xml:space="preserve">Notas y confianza del estudiante → Confianza en uno mismo</w:t>
            </w:r>
          </w:p>
        </w:tc>
      </w:tr>
    </w:tbl>
    <w:p>
      <w:pPr>
        <w:pStyle w:val="Normal"/>
      </w:pPr>
      <w:r>
        <w:t xml:space="preserve">Distractor sin fila correspondiente: Fatiga acumulada.</w:t>
      </w:r>
    </w:p>
    <w:p>
      <w:pPr>
        <w:pStyle w:val="Normal"/>
      </w:pPr>
      <w:r>
        <w:t xml:space="preserve">Distractor sin fila correspondiente: Frecuencia de cepillado adecuado.</w:t>
      </w:r>
    </w:p>
    <w:p>
      <w:pPr>
        <w:pStyle w:val="Normal"/>
      </w:pPr>
      <w:r>
        <w:t xml:space="preserve">Criterio de resolución: En cada caso hay una variable que devuelve la influencia al inicio y cierra el bucle. «Fatiga» pertenece a la ampliación del caso de Ana pero cierra otro ciclo, y «frecuencia de cepillado» es una variable externa al ciclo de las caries: influye sobre él sin recibir retorno.</w:t>
      </w:r>
    </w:p>
    <w:p>
      <w:pPr>
        <w:pStyle w:val="Fuente"/>
      </w:pPr>
      <w:r>
        <w:t xml:space="preserve">Clase 13 · lámina 6 · Clase 14 · lámina 15 · Clase 16 · láminas 25 y 26</w:t>
      </w:r>
    </w:p>
    <w:p>
      <w:pPr>
        <w:pStyle w:val="Heading3"/>
      </w:pPr>
      <w:bookmarkStart w:name="b_solucion_p2c_24_identificador_ecc04550" w:id="6411"/>
      <w:r>
        <w:t xml:space="preserve">Solución S2-53</w:t>
      </w:r>
      <w:bookmarkEnd w:id="6411"/>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b) El identificador del ciclo: una B de balance, una C de compensación, una balanza, o una bola de nieve si es de refuerzo</w:t>
            </w:r>
          </w:p>
        </w:tc>
      </w:tr>
    </w:tbl>
    <w:p>
      <w:pPr>
        <w:pStyle w:val="Normal"/>
      </w:pPr>
      <w:r>
        <w:t xml:space="preserve">a) El nombre del autor del diagrama — La autoría no forma parte de la notación.</w:t>
      </w:r>
    </w:p>
    <w:p>
      <w:pPr>
        <w:pStyle w:val="Normal"/>
      </w:pPr>
      <w:r>
        <w:t xml:space="preserve">b) El identificador del ciclo: una B de balance, una C de compensación, una balanza, o una bola de nieve si es de refuerzo — Correcta: lo enumeró así al devolver las tareas, y la falta de ese identificador fue el fallo más repetido.</w:t>
      </w:r>
    </w:p>
    <w:p>
      <w:pPr>
        <w:pStyle w:val="Normal"/>
      </w:pPr>
      <w:r>
        <w:t xml:space="preserve">c) El número de variables que contiene — El recuento no se anota en el diagrama.</w:t>
      </w:r>
    </w:p>
    <w:p>
      <w:pPr>
        <w:pStyle w:val="Normal"/>
      </w:pPr>
      <w:r>
        <w:t xml:space="preserve">d) La fecha en que se dibujó — Tampoco.</w:t>
      </w:r>
    </w:p>
    <w:p>
      <w:pPr>
        <w:pStyle w:val="Normal"/>
      </w:pPr>
      <w:r>
        <w:t xml:space="preserve">Criterio de resolución: El identificador hace explícito el tipo de comportamiento del bucle y evita que el lector tenga que deducirlo. Es lo que convierte un dibujo de flechas en un modelo que afirma algo sobre la dinámica del sistema.</w:t>
      </w:r>
    </w:p>
    <w:p>
      <w:pPr>
        <w:pStyle w:val="Fuente"/>
      </w:pPr>
      <w:r>
        <w:t xml:space="preserve">Clase 16 · 01:16:35–01:17:00</w:t>
      </w:r>
    </w:p>
    <w:p>
      <w:pPr>
        <w:pStyle w:val="Heading3"/>
      </w:pPr>
      <w:bookmarkStart w:name="b_solucion_p2c_25_errores_tipicos" w:id="6412"/>
      <w:r>
        <w:t xml:space="preserve">Solución S2-54</w:t>
      </w:r>
      <w:bookmarkEnd w:id="6412"/>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a) Dibujar flechas sin cabeza, de modo que no se sabe qué es causa y qué efecto</w:t>
            </w:r>
          </w:p>
          <w:p>
            <w:pPr>
              <w:pStyle w:val="Recuadro"/>
            </w:pPr>
            <w:r>
              <w:t xml:space="preserve">b) Presentar como ciclo un conjunto de flechas que no se cierra</w:t>
            </w:r>
          </w:p>
          <w:p>
            <w:pPr>
              <w:pStyle w:val="Recuadro"/>
            </w:pPr>
            <w:r>
              <w:t xml:space="preserve">d) Omitir el identificador B o R en el centro del bucle</w:t>
            </w:r>
          </w:p>
          <w:p>
            <w:pPr>
              <w:pStyle w:val="Recuadro"/>
            </w:pPr>
            <w:r>
              <w:t xml:space="preserve">e) No marcar la demora donde el efecto tarda en aparecer</w:t>
            </w:r>
          </w:p>
        </w:tc>
      </w:tr>
    </w:tbl>
    <w:p>
      <w:pPr>
        <w:pStyle w:val="Normal"/>
      </w:pPr>
      <w:r>
        <w:t xml:space="preserve">a) Dibujar flechas sin cabeza, de modo que no se sabe qué es causa y qué efecto — Error grave: deja el diagrama ambiguo.</w:t>
      </w:r>
    </w:p>
    <w:p>
      <w:pPr>
        <w:pStyle w:val="Normal"/>
      </w:pPr>
      <w:r>
        <w:t xml:space="preserve">b) Presentar como ciclo un conjunto de flechas que no se cierra — Error: sin retorno no hay ciclo.</w:t>
      </w:r>
    </w:p>
    <w:p>
      <w:pPr>
        <w:pStyle w:val="Normal"/>
      </w:pPr>
      <w:r>
        <w:t xml:space="preserve">c) Usar rectángulos en lugar de círculos para las variables — No es error: el profesor dijo expresamente que la figura es indiferente.</w:t>
      </w:r>
    </w:p>
    <w:p>
      <w:pPr>
        <w:pStyle w:val="Normal"/>
      </w:pPr>
      <w:r>
        <w:t xml:space="preserve">d) Omitir el identificador B o R en el centro del bucle — Error: el tipo de ciclo debe quedar declarado.</w:t>
      </w:r>
    </w:p>
    <w:p>
      <w:pPr>
        <w:pStyle w:val="Normal"/>
      </w:pPr>
      <w:r>
        <w:t xml:space="preserve">e) No marcar la demora donde el efecto tarda en aparecer — Error en este caso, donde la demora es el núcleo de la historia.</w:t>
      </w:r>
    </w:p>
    <w:p>
      <w:pPr>
        <w:pStyle w:val="Normal"/>
      </w:pPr>
      <w:r>
        <w:t xml:space="preserve">Criterio de resolución: La forma de la figura que encierra la variable no importa; lo que importa es que la sintaxis permita leer la historia: dirección de cada flecha, cierre del lazo, tipo de ciclo y demoras donde las haya.</w:t>
      </w:r>
    </w:p>
    <w:p>
      <w:pPr>
        <w:pStyle w:val="Fuente"/>
      </w:pPr>
      <w:r>
        <w:t xml:space="preserve">Clase 16 · 01:13:41–01:29:35</w:t>
      </w:r>
    </w:p>
    <w:p>
      <w:pPr>
        <w:pStyle w:val="Heading3"/>
      </w:pPr>
      <w:bookmarkStart w:name="b_solucion_p2c_26_no_hay_diagrama_unico" w:id="6413"/>
      <w:r>
        <w:t xml:space="preserve">Solución S2-55</w:t>
      </w:r>
      <w:bookmarkEnd w:id="6413"/>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b) Se comprueba si la historia que cuenta la sintaxis del diagrama coincide con el planteamiento del sistema que se pidió modelar</w:t>
            </w:r>
          </w:p>
        </w:tc>
      </w:tr>
    </w:tbl>
    <w:p>
      <w:pPr>
        <w:pStyle w:val="Normal"/>
      </w:pPr>
      <w:r>
        <w:t xml:space="preserve">a) Se compara con el diagrama del profesor y se cuentan las diferencias — No existe un diagrama ideal único con el que comparar.</w:t>
      </w:r>
    </w:p>
    <w:p>
      <w:pPr>
        <w:pStyle w:val="Normal"/>
      </w:pPr>
      <w:r>
        <w:t xml:space="preserve">b) Se comprueba si la historia que cuenta la sintaxis del diagrama coincide con el planteamiento del sistema que se pidió modelar — Correcta: es el criterio que el profesor formuló al devolver los trabajos.</w:t>
      </w:r>
    </w:p>
    <w:p>
      <w:pPr>
        <w:pStyle w:val="Normal"/>
      </w:pPr>
      <w:r>
        <w:t xml:space="preserve">c) Se cuenta el número de variables: gana el que tenga más — Más variables no es mejor modelo.</w:t>
      </w:r>
    </w:p>
    <w:p>
      <w:pPr>
        <w:pStyle w:val="Normal"/>
      </w:pPr>
      <w:r>
        <w:t xml:space="preserve">d) Se acepta cualquier diagrama, porque todos los modelos son válidos — Tampoco vale todo: un diagrama que cuenta otra historia, o que no la cuenta, está mal.</w:t>
      </w:r>
    </w:p>
    <w:p>
      <w:pPr>
        <w:pStyle w:val="Normal"/>
      </w:pPr>
      <w:r>
        <w:t xml:space="preserve">Criterio de resolución: Que no haya una única respuesta correcta no significa que cualquiera valga. El modelo se valida leyéndolo: si al recorrer sus flechas y sus signos sale la historia planteada, funciona; si sale otra, no.</w:t>
      </w:r>
    </w:p>
    <w:p>
      <w:pPr>
        <w:pStyle w:val="Fuente"/>
      </w:pPr>
      <w:r>
        <w:t xml:space="preserve">Clase 16 · 01:34:26–01:35:03</w:t>
      </w:r>
    </w:p>
    <w:p>
      <w:pPr>
        <w:pStyle w:val="Heading3"/>
      </w:pPr>
      <w:bookmarkStart w:name="b_solucion_p2c_28_dcc_como_oraciones" w:id="6414"/>
      <w:r>
        <w:t xml:space="preserve">Solución S2-56</w:t>
      </w:r>
      <w:bookmarkEnd w:id="6414"/>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b) Que un diagrama se construye conectando variables clave e indicando la relación causal entre ellas, y que encadenando varios ciclos se obtiene una historia coherente</w:t>
            </w:r>
          </w:p>
        </w:tc>
      </w:tr>
    </w:tbl>
    <w:p>
      <w:pPr>
        <w:pStyle w:val="Normal"/>
      </w:pPr>
      <w:r>
        <w:t xml:space="preserve">a) Que cada diagrama debe ir acompañado de un texto explicativo — El diagrama debería poder leerse solo; si necesita párrafos, algo falta en él.</w:t>
      </w:r>
    </w:p>
    <w:p>
      <w:pPr>
        <w:pStyle w:val="Normal"/>
      </w:pPr>
      <w:r>
        <w:t xml:space="preserve">b) Que un diagrama se construye conectando variables clave e indicando la relación causal entre ellas, y que encadenando varios ciclos se obtiene una historia coherente — Correcta: es la formulación literal de la lámina, y la razón de que a los ciclos se los pueda «contar».</w:t>
      </w:r>
    </w:p>
    <w:p>
      <w:pPr>
        <w:pStyle w:val="Normal"/>
      </w:pPr>
      <w:r>
        <w:t xml:space="preserve">c) Que las variables deben escribirse en forma de frase completa — Las variables se nombran con sustantivos breves, no con frases.</w:t>
      </w:r>
    </w:p>
    <w:p>
      <w:pPr>
        <w:pStyle w:val="Normal"/>
      </w:pPr>
      <w:r>
        <w:t xml:space="preserve">d) Que los diagramas sustituyen a la escritura académica — No sustituyen nada: son otro lenguaje para articular la misma comprensión.</w:t>
      </w:r>
    </w:p>
    <w:p>
      <w:pPr>
        <w:pStyle w:val="Normal"/>
      </w:pPr>
      <w:r>
        <w:t xml:space="preserve">Criterio de resolución: Pensar el diagrama como lenguaje explica por qué se exige sintaxis: igual que una oración mal construida no se entiende, un diagrama sin cabezas de flecha ni polaridad no dice nada. Y varios ciclos encadenados forman el relato completo de un problema.</w:t>
      </w:r>
    </w:p>
    <w:p>
      <w:pPr>
        <w:pStyle w:val="Fuente"/>
      </w:pPr>
      <w:r>
        <w:t xml:space="preserve">Clase 15 · 00:16:58–00:18:40 · lámina 5</w:t>
      </w:r>
    </w:p>
    <w:p>
      <w:pPr>
        <w:pStyle w:val="Heading3"/>
      </w:pPr>
      <w:bookmarkStart w:name="b_solucion_p2c_29_kim_nombres_d_ea2774a6" w:id="6415"/>
      <w:r>
        <w:t xml:space="preserve">Solución S2-57</w:t>
      </w:r>
      <w:bookmarkEnd w:id="6415"/>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a) Costos</w:t>
            </w:r>
          </w:p>
          <w:p>
            <w:pPr>
              <w:pStyle w:val="Recuadro"/>
            </w:pPr>
            <w:r>
              <w:t xml:space="preserve">c) Felicidad</w:t>
            </w:r>
          </w:p>
          <w:p>
            <w:pPr>
              <w:pStyle w:val="Recuadro"/>
            </w:pPr>
            <w:r>
              <w:t xml:space="preserve">e) Crecimiento</w:t>
            </w:r>
          </w:p>
        </w:tc>
      </w:tr>
    </w:tbl>
    <w:p>
      <w:pPr>
        <w:pStyle w:val="Normal"/>
      </w:pPr>
      <w:r>
        <w:t xml:space="preserve">a) Costos — Sí: un sustantivo que sube y baja; la acción va implícita en las flechas.</w:t>
      </w:r>
    </w:p>
    <w:p>
      <w:pPr>
        <w:pStyle w:val="Normal"/>
      </w:pPr>
      <w:r>
        <w:t xml:space="preserve">b) Incremento en costos — No: «un decremento en incremento en costos» resulta confuso; el signo de la flecha ya dice si los costos suben o bajan.</w:t>
      </w:r>
    </w:p>
    <w:p>
      <w:pPr>
        <w:pStyle w:val="Normal"/>
      </w:pPr>
      <w:r>
        <w:t xml:space="preserve">c) Felicidad — Sí: la felicidad puede variar en el tiempo.</w:t>
      </w:r>
    </w:p>
    <w:p>
      <w:pPr>
        <w:pStyle w:val="Normal"/>
      </w:pPr>
      <w:r>
        <w:t xml:space="preserve">d) Estado de ánimo — No: no tiene sentido decir que el estado de ánimo se incrementa o decrece.</w:t>
      </w:r>
    </w:p>
    <w:p>
      <w:pPr>
        <w:pStyle w:val="Normal"/>
      </w:pPr>
      <w:r>
        <w:t xml:space="preserve">e) Crecimiento — Sí: cuando hace falta un verbo, se usa el sentido positivo de la variable.</w:t>
      </w:r>
    </w:p>
    <w:p>
      <w:pPr>
        <w:pStyle w:val="Normal"/>
      </w:pPr>
      <w:r>
        <w:t xml:space="preserve">f) Contracción — No: hablar de un incremento o disminución en la contracción es menos claro que hablar de crecimiento.</w:t>
      </w:r>
    </w:p>
    <w:p>
      <w:pPr>
        <w:pStyle w:val="Normal"/>
      </w:pPr>
      <w:r>
        <w:t xml:space="preserve">Criterio de resolución: Los tres primeros lineamientos de Kim tratan de cómo nombrar variables: usar sustantivos y evitar verbos y frases de acción, porque las acciones están implícitas en las flechas; usar cantidades que puedan variar en el tiempo; y, si hace falta un verbo, elegir el sentido positivo. El profesor mostró la lista en la clase 16 y la lectura completa quedó publicada como L-9.</w:t>
      </w:r>
    </w:p>
    <w:p>
      <w:pPr>
        <w:pStyle w:val="Fuente"/>
      </w:pPr>
      <w:r>
        <w:t xml:space="preserve">Clase 16 · 00:41:57 · lámina 6 · lectura L-9, lineamientos 1 a 3</w:t>
      </w:r>
    </w:p>
    <w:p>
      <w:pPr>
        <w:pStyle w:val="Heading3"/>
      </w:pPr>
      <w:bookmarkStart w:name="b_solucion_p2c_30_kim_objetivo_explicito" w:id="6416"/>
      <w:r>
        <w:t xml:space="preserve">Solución S2-58</w:t>
      </w:r>
      <w:bookmarkEnd w:id="6416"/>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b) Hacer explícito el objetivo: al agregar «Calidad deseada» y «Diferencia en calidad», se ve que es la diferencia la que controla las acciones de mejora</w:t>
            </w:r>
          </w:p>
        </w:tc>
      </w:tr>
    </w:tbl>
    <w:p>
      <w:pPr>
        <w:pStyle w:val="Normal"/>
      </w:pPr>
      <w:r>
        <w:t xml:space="preserve">a) Cambiar el signo de la primera flecha para que el ciclo quede en refuerzo — El ciclo es de balance y está bien: lo que falta es la meta que lo gobierna, no otro signo.</w:t>
      </w:r>
    </w:p>
    <w:p>
      <w:pPr>
        <w:pStyle w:val="Normal"/>
      </w:pPr>
      <w:r>
        <w:t xml:space="preserve">b) Hacer explícito el objetivo: al agregar «Calidad deseada» y «Diferencia en calidad», se ve que es la diferencia la que controla las acciones de mejora — Correcta: todos los ciclos de balance buscan un objetivo, y Kim recomienda dibujarlo.</w:t>
      </w:r>
    </w:p>
    <w:p>
      <w:pPr>
        <w:pStyle w:val="Normal"/>
      </w:pPr>
      <w:r>
        <w:t xml:space="preserve">c) Eliminar la variable «Calidad» y dejar sólo las acciones — Sin la variable de estado no hay nada que comparar con la meta.</w:t>
      </w:r>
    </w:p>
    <w:p>
      <w:pPr>
        <w:pStyle w:val="Normal"/>
      </w:pPr>
      <w:r>
        <w:t xml:space="preserve">d) Añadir una demora sobre la flecha para justificar la relación — La demora explica retrasos, no por qué la calidad frena las acciones.</w:t>
      </w:r>
    </w:p>
    <w:p>
      <w:pPr>
        <w:pStyle w:val="Normal"/>
      </w:pPr>
      <w:r>
        <w:t xml:space="preserve">Criterio de resolución: Lineamiento 5: todos los ciclos de balance son procesos que buscan un objetivo; conviene hacer explícitos los objetivos que controlan el ciclo. Con la calidad deseada en el diagrama, la diferencia entre lo deseado y lo actual es la que mueve las acciones de mejora, y la relación deja de parecer extraña. Es la misma estructura de brecha y objetivo del vaso de agua y del termostato de la clase.</w:t>
      </w:r>
    </w:p>
    <w:p>
      <w:pPr>
        <w:pStyle w:val="Fuente"/>
      </w:pPr>
      <w:r>
        <w:t xml:space="preserve">Clase 16 · 00:41:57 · lámina 6 · lectura L-9, lineamiento 5</w:t>
      </w:r>
    </w:p>
    <w:p>
      <w:pPr>
        <w:pStyle w:val="Heading3"/>
      </w:pPr>
      <w:bookmarkStart w:name="b_solucion_p2c_31_kim_real_y_percibido" w:id="6417"/>
      <w:r>
        <w:t xml:space="preserve">Solución S2-59</w:t>
      </w:r>
      <w:bookmarkEnd w:id="6417"/>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b) Porque las percepciones cambian más lentamente que la realidad, y suponer que la percepción es la realidad puede llevar a resultados no deseados</w:t>
            </w:r>
          </w:p>
        </w:tc>
      </w:tr>
    </w:tbl>
    <w:p>
      <w:pPr>
        <w:pStyle w:val="Normal"/>
      </w:pPr>
      <w:r>
        <w:t xml:space="preserve">a) Porque son sinónimos y el diagrama queda más completo con más variables — No son sinónimos: la percepción va detrás de la realidad, y esa distancia es una demora.</w:t>
      </w:r>
    </w:p>
    <w:p>
      <w:pPr>
        <w:pStyle w:val="Normal"/>
      </w:pPr>
      <w:r>
        <w:t xml:space="preserve">b) Porque las percepciones cambian más lentamente que la realidad, y suponer que la percepción es la realidad puede llevar a resultados no deseados — Correcta: es el lineamiento 6, y la brecha entre ambas explica muchas decisiones tomadas tarde.</w:t>
      </w:r>
    </w:p>
    <w:p>
      <w:pPr>
        <w:pStyle w:val="Normal"/>
      </w:pPr>
      <w:r>
        <w:t xml:space="preserve">c) Porque la calidad percibida sólo importa en los ciclos de refuerzo — La distinción vale en cualquier ciclo: lo que se decide se decide sobre lo percibido.</w:t>
      </w:r>
    </w:p>
    <w:p>
      <w:pPr>
        <w:pStyle w:val="Normal"/>
      </w:pPr>
      <w:r>
        <w:t xml:space="preserve">d) Porque así el ciclo tiene un número par de signos negativos — El número de signos se cuenta después de dibujar bien las variables; no se ajusta añadiéndolas.</w:t>
      </w:r>
    </w:p>
    <w:p>
      <w:pPr>
        <w:pStyle w:val="Normal"/>
      </w:pPr>
      <w:r>
        <w:t xml:space="preserve">Criterio de resolución: Lineamiento 6: distinguir entre los estados reales y los percibidos. Las percepciones cambian con retraso respecto a la realidad; si el diagrama las funde en una sola variable, esconde esa demora y sugiere que las acciones responden al estado real cuando en verdad responden al percibido. Es la misma idea que la «brecha percibida» de los ciclos de la clase 13.</w:t>
      </w:r>
    </w:p>
    <w:p>
      <w:pPr>
        <w:pStyle w:val="Fuente"/>
      </w:pPr>
      <w:r>
        <w:t xml:space="preserve">Clase 16 · 00:41:57 · lámina 6 · lectura L-9, lineamiento 6</w:t>
      </w:r>
    </w:p>
    <w:p>
      <w:pPr>
        <w:pStyle w:val="Heading3"/>
      </w:pPr>
      <w:bookmarkStart w:name="b_solucion_p2c_32_kim_corto_y_l_3e32b601" w:id="6418"/>
      <w:r>
        <w:t xml:space="preserve">Solución S2-60</w:t>
      </w:r>
      <w:bookmarkEnd w:id="6418"/>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a) Dibujar ciclos más grandes para los procesos más lentos, de modo que las consecuencias de largo plazo se vean como un ciclo mayor que envuelve al de corto plazo</w:t>
            </w:r>
          </w:p>
        </w:tc>
      </w:tr>
    </w:tbl>
    <w:p>
      <w:pPr>
        <w:pStyle w:val="Normal"/>
      </w:pPr>
      <w:r>
        <w:t xml:space="preserve">a) Dibujar ciclos más grandes para los procesos más lentos, de modo que las consecuencias de largo plazo se vean como un ciclo mayor que envuelve al de corto plazo — Correcta: lineamiento 8, las acciones casi siempre tienen consecuencias de corto y largo plazo, y el tamaño del ciclo comunica su lentitud.</w:t>
      </w:r>
    </w:p>
    <w:p>
      <w:pPr>
        <w:pStyle w:val="Normal"/>
      </w:pPr>
      <w:r>
        <w:t xml:space="preserve">b) Dibujar sólo el ciclo de corto plazo, porque el de largo plazo no se puede verificar — El ciclo lento es justo el que suele explicar por qué la solución rápida empeora el problema.</w:t>
      </w:r>
    </w:p>
    <w:p>
      <w:pPr>
        <w:pStyle w:val="Normal"/>
      </w:pPr>
      <w:r>
        <w:t xml:space="preserve">c) Poner una demora en todas las flechas del diagrama — La demora se marca donde existe; el tamaño del ciclo comunica la escala de tiempo del proceso completo.</w:t>
      </w:r>
    </w:p>
    <w:p>
      <w:pPr>
        <w:pStyle w:val="Normal"/>
      </w:pPr>
      <w:r>
        <w:t xml:space="preserve">d) Reunir los dos ciclos en uno solo con signo positivo — Son dos procesos distintos, uno de balance y otro de refuerzo; fundirlos borra la historia.</w:t>
      </w:r>
    </w:p>
    <w:p>
      <w:pPr>
        <w:pStyle w:val="Normal"/>
      </w:pPr>
      <w:r>
        <w:t xml:space="preserve">Criterio de resolución: Lineamiento 8: las acciones casi siempre tienen consecuencias de corto y de largo plazo, y los ciclos más grandes representan los procesos más lentos. En el ejemplo, B1 —estrés, alcohol, alivio— es el comportamiento rápido, y R2 —el alcohol que a la larga incrementa el estrés— es el ciclo lento que lo envuelve. Junto con el lineamiento 4, sobre las consecuencias no intencionadas, es la forma de que el diagrama cuente la historia completa y no sólo la parte que se siente primero.</w:t>
      </w:r>
    </w:p>
    <w:p>
      <w:pPr>
        <w:pStyle w:val="Fuente"/>
      </w:pPr>
      <w:r>
        <w:t xml:space="preserve">Clase 16 · 00:41:57 · lámina 6 · lectura L-9, lineamientos 4 y 8</w:t>
      </w:r>
    </w:p>
    <w:p>
      <w:pPr>
        <w:pStyle w:val="Heading3"/>
      </w:pPr>
      <w:bookmarkStart w:name="b_solucion_p2l_banco_variante" w:id="6419"/>
      <w:r>
        <w:t xml:space="preserve">Solución S2-61</w:t>
      </w:r>
      <w:bookmarkEnd w:id="6419"/>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d) Porque ambos recorridos tienen un número par de relaciones negativas</w:t>
            </w:r>
          </w:p>
        </w:tc>
      </w:tr>
    </w:tbl>
    <w:p>
      <w:pPr>
        <w:pStyle w:val="Normal"/>
      </w:pPr>
      <w:r>
        <w:t xml:space="preserve">a) Porque cualquier negativa produce balance — Se descarta por la clave; aplique el criterio de resolución común que se desarrolla después de esta lista.</w:t>
      </w:r>
    </w:p>
    <w:p>
      <w:pPr>
        <w:pStyle w:val="Normal"/>
      </w:pPr>
      <w:r>
        <w:t xml:space="preserve">b) Porque perseguir un objetivo decide la polaridad — Se descarta por la clave; aplique el criterio de resolución común que se desarrolla después de esta lista.</w:t>
      </w:r>
    </w:p>
    <w:p>
      <w:pPr>
        <w:pStyle w:val="Normal"/>
      </w:pPr>
      <w:r>
        <w:t xml:space="preserve">c) Porque deben tener el mismo número de variables — Se descarta por la clave; aplique el criterio de resolución común que se desarrolla después de esta lista.</w:t>
      </w:r>
    </w:p>
    <w:p>
      <w:pPr>
        <w:pStyle w:val="Normal"/>
      </w:pPr>
      <w:r>
        <w:t xml:space="preserve">d) Porque ambos recorridos tienen un número par de relaciones negativas — Se selecciona por la clave; aplique el criterio de resolución común que se desarrolla después de esta lista.</w:t>
      </w:r>
    </w:p>
    <w:p>
      <w:pPr>
        <w:pStyle w:val="Normal"/>
      </w:pPr>
      <w:r>
        <w:t xml:space="preserve">Criterio de resolución: Porque ambos recorridos tienen un número par de relaciones negativas</w:t>
      </w:r>
    </w:p>
    <w:p>
      <w:pPr>
        <w:pStyle w:val="Fuente"/>
      </w:pPr>
      <w:r>
        <w:t xml:space="preserve">Presentación de la unidad 3 (C-2), pág. 79 y 101 · Clase 16 · 00:47:21–00:48:23</w:t>
      </w:r>
    </w:p>
    <w:p>
      <w:pPr>
        <w:pStyle w:val="Heading3"/>
      </w:pPr>
      <w:bookmarkStart w:name="b_solucion_p2l_derivada" w:id="6420"/>
      <w:r>
        <w:t xml:space="preserve">Solución S2-62</w:t>
      </w:r>
      <w:bookmarkEnd w:id="6420"/>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a) Que aumentar X reduce Y respecto de lo que habría ocurrido con las demás causas constantes</w:t>
            </w:r>
          </w:p>
        </w:tc>
      </w:tr>
    </w:tbl>
    <w:p>
      <w:pPr>
        <w:pStyle w:val="Normal"/>
      </w:pPr>
      <w:r>
        <w:t xml:space="preserve">a) Que aumentar X reduce Y respecto de lo que habría ocurrido con las demás causas constantes — Se selecciona por la clave; aplique el criterio de resolución común que se desarrolla después de esta lista.</w:t>
      </w:r>
    </w:p>
    <w:p>
      <w:pPr>
        <w:pStyle w:val="Normal"/>
      </w:pPr>
      <w:r>
        <w:t xml:space="preserve">b) Que Y siempre disminuye con el tiempo — Se descarta por la clave; aplique el criterio de resolución común que se desarrolla después de esta lista.</w:t>
      </w:r>
    </w:p>
    <w:p>
      <w:pPr>
        <w:pStyle w:val="Normal"/>
      </w:pPr>
      <w:r>
        <w:t xml:space="preserve">c) Que X e Y no están relacionados — Se descarta por la clave; aplique el criterio de resolución común que se desarrolla después de esta lista.</w:t>
      </w:r>
    </w:p>
    <w:p>
      <w:pPr>
        <w:pStyle w:val="Normal"/>
      </w:pPr>
      <w:r>
        <w:t xml:space="preserve">d) Que todo ciclo que incluya esa flecha es B — Se descarta por la clave; aplique el criterio de resolución común que se desarrolla después de esta lista.</w:t>
      </w:r>
    </w:p>
    <w:p>
      <w:pPr>
        <w:pStyle w:val="Normal"/>
      </w:pPr>
      <w:r>
        <w:t xml:space="preserve">Criterio de resolución: Que aumentar X reduce Y respecto de lo que habría ocurrido con las demás causas constantes</w:t>
      </w:r>
    </w:p>
    <w:p>
      <w:pPr>
        <w:pStyle w:val="Fuente"/>
      </w:pPr>
      <w:r>
        <w:t xml:space="preserve">Presentación de la unidad 3 (C-2), pág. 79 y 101 · Clase 16 · 00:47:21–00:48:23</w:t>
      </w:r>
    </w:p>
    <w:p>
      <w:pPr>
        <w:pStyle w:val="Heading3"/>
      </w:pPr>
      <w:bookmarkStart w:name="b_solucion_p2l_frustracion" w:id="6421"/>
      <w:r>
        <w:t xml:space="preserve">Solución S2-63</w:t>
      </w:r>
      <w:bookmarkEnd w:id="6421"/>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b) Más frustración tiende a reducir resultados frente al caso comparable, aunque otras causas pueden compensar el efecto</w:t>
            </w:r>
          </w:p>
        </w:tc>
      </w:tr>
    </w:tbl>
    <w:p>
      <w:pPr>
        <w:pStyle w:val="Normal"/>
      </w:pPr>
      <w:r>
        <w:t xml:space="preserve">a) Los resultados deben caer en todo periodo sin importar otras causas — Se descarta por la clave; aplique el criterio de resolución común que se desarrolla después de esta lista.</w:t>
      </w:r>
    </w:p>
    <w:p>
      <w:pPr>
        <w:pStyle w:val="Normal"/>
      </w:pPr>
      <w:r>
        <w:t xml:space="preserve">b) Más frustración tiende a reducir resultados frente al caso comparable, aunque otras causas pueden compensar el efecto — Se selecciona por la clave; aplique el criterio de resolución común que se desarrolla después de esta lista.</w:t>
      </w:r>
    </w:p>
    <w:p>
      <w:pPr>
        <w:pStyle w:val="Normal"/>
      </w:pPr>
      <w:r>
        <w:t xml:space="preserve">c) La frustración es siempre una constante — Se descarta por la clave; aplique el criterio de resolución común que se desarrolla después de esta lista.</w:t>
      </w:r>
    </w:p>
    <w:p>
      <w:pPr>
        <w:pStyle w:val="Normal"/>
      </w:pPr>
      <w:r>
        <w:t xml:space="preserve">d) Una relación negativa significa que ambas variables disminuyen juntas — Se descarta por la clave; aplique el criterio de resolución común que se desarrolla después de esta lista.</w:t>
      </w:r>
    </w:p>
    <w:p>
      <w:pPr>
        <w:pStyle w:val="Normal"/>
      </w:pPr>
      <w:r>
        <w:t xml:space="preserve">Criterio de resolución: Más frustración tiende a reducir resultados frente al caso comparable, aunque otras causas pueden compensar el efecto</w:t>
      </w:r>
    </w:p>
    <w:p>
      <w:pPr>
        <w:pStyle w:val="Fuente"/>
      </w:pPr>
      <w:r>
        <w:t xml:space="preserve">Presentación de la unidad 3 (C-2), pág. 79 y 101 · Clase 16 · 00:47:21–00:48:23</w:t>
      </w:r>
    </w:p>
    <w:p>
      <w:pPr>
        <w:pStyle w:val="Heading3"/>
      </w:pPr>
      <w:bookmarkStart w:name="b_solucion_p2l_linea" w:id="6422"/>
      <w:r>
        <w:t xml:space="preserve">Solución S2-64</w:t>
      </w:r>
      <w:bookmarkEnd w:id="6422"/>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c) Que se relacionan, dejando indeterminada la dirección causal</w:t>
            </w:r>
          </w:p>
        </w:tc>
      </w:tr>
    </w:tbl>
    <w:p>
      <w:pPr>
        <w:pStyle w:val="Normal"/>
      </w:pPr>
      <w:r>
        <w:t xml:space="preserve">a) Que no existe ninguna relación — Se descarta por la clave; aplique el criterio de resolución común que se desarrolla después de esta lista.</w:t>
      </w:r>
    </w:p>
    <w:p>
      <w:pPr>
        <w:pStyle w:val="Normal"/>
      </w:pPr>
      <w:r>
        <w:t xml:space="preserve">b) Que los dos forman necesariamente un ciclo de balance — Se descarta por la clave; aplique el criterio de resolución común que se desarrolla después de esta lista.</w:t>
      </w:r>
    </w:p>
    <w:p>
      <w:pPr>
        <w:pStyle w:val="Normal"/>
      </w:pPr>
      <w:r>
        <w:t xml:space="preserve">c) Que se relacionan, dejando indeterminada la dirección causal — Se selecciona por la clave; aplique el criterio de resolución común que se desarrolla después de esta lista.</w:t>
      </w:r>
    </w:p>
    <w:p>
      <w:pPr>
        <w:pStyle w:val="Normal"/>
      </w:pPr>
      <w:r>
        <w:t xml:space="preserve">d) Que el concepto izquierdo causa al derecho por su posición — Se descarta por la clave; aplique el criterio de resolución común que se desarrolla después de esta lista.</w:t>
      </w:r>
    </w:p>
    <w:p>
      <w:pPr>
        <w:pStyle w:val="Normal"/>
      </w:pPr>
      <w:r>
        <w:t xml:space="preserve">Criterio de resolución: Una línea evidencia R. La cabeza permite leer causa y efecto; omitirla deja esa dirección sin determinar, sin borrar la conexión.</w:t>
      </w:r>
    </w:p>
    <w:p>
      <w:pPr>
        <w:pStyle w:val="Fuente"/>
      </w:pPr>
      <w:r>
        <w:t xml:space="preserve">Presentación de la unidad 3 (C-2), pág. 79 y 101 · Clase 16 · 00:47:21–00:48:23</w:t>
      </w:r>
    </w:p>
    <w:p>
      <w:pPr>
        <w:pStyle w:val="Heading3"/>
      </w:pPr>
      <w:bookmarkStart w:name="b_solucion_p2c_03_cuando_hay_ciclo" w:id="6423"/>
      <w:r>
        <w:t xml:space="preserve">Solución S2-65</w:t>
      </w:r>
      <w:bookmarkEnd w:id="6423"/>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b) Cuando, partiendo de una variable y recorriendo relaciones, en algún momento se vuelve a esa misma variable</w:t>
            </w:r>
          </w:p>
        </w:tc>
      </w:tr>
    </w:tbl>
    <w:p>
      <w:pPr>
        <w:pStyle w:val="Normal"/>
      </w:pPr>
      <w:r>
        <w:t xml:space="preserve">a) Cuando tiene al menos cuatro variables — Dos variables bastan: el ciclo de la sed y el del interés compuesto tienen dos.</w:t>
      </w:r>
    </w:p>
    <w:p>
      <w:pPr>
        <w:pStyle w:val="Normal"/>
      </w:pPr>
      <w:r>
        <w:t xml:space="preserve">b) Cuando, partiendo de una variable y recorriendo relaciones, en algún momento se vuelve a esa misma variable — Correcta: y como el recorrido siempre regresa, da igual en qué variable se empiece a contar.</w:t>
      </w:r>
    </w:p>
    <w:p>
      <w:pPr>
        <w:pStyle w:val="Normal"/>
      </w:pPr>
      <w:r>
        <w:t xml:space="preserve">c) Cuando todas sus relaciones tienen la misma polaridad — La polaridad decide el tipo de ciclo, no si lo hay.</w:t>
      </w:r>
    </w:p>
    <w:p>
      <w:pPr>
        <w:pStyle w:val="Normal"/>
      </w:pPr>
      <w:r>
        <w:t xml:space="preserve">d) Cuando el diagrama se dibuja en forma de círculo — La disposición sobre el papel no decide nada: un lazo dibujado en línea recta sigue siendo un ciclo si se cierra.</w:t>
      </w:r>
    </w:p>
    <w:p>
      <w:pPr>
        <w:pStyle w:val="Normal"/>
      </w:pPr>
      <w:r>
        <w:t xml:space="preserve">Criterio de resolución: La definición que dio la clase es operativa: si es ciclo, siempre regresará, no importa en qué variable se empiece. Lo decisivo es que la cadena se cierre, no su forma ni su longitud.</w:t>
      </w:r>
    </w:p>
    <w:p>
      <w:pPr>
        <w:pStyle w:val="Fuente"/>
      </w:pPr>
      <w:r>
        <w:t xml:space="preserve">Clase 15 · 01:07:02–01:07:30</w:t>
      </w:r>
    </w:p>
    <w:p>
      <w:pPr>
        <w:pStyle w:val="Heading3"/>
      </w:pPr>
      <w:bookmarkStart w:name="b_solucion_p2c_04_lazo_no_cerrado" w:id="6424"/>
      <w:r>
        <w:t xml:space="preserve">Solución S2-66</w:t>
      </w:r>
      <w:bookmarkEnd w:id="6424"/>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b) Que no hay ciclo: «Dulces» sólo actúa como causa de dos consecuencias y nada vuelve sobre ella</w:t>
            </w:r>
          </w:p>
        </w:tc>
      </w:tr>
    </w:tbl>
    <w:p>
      <w:pPr>
        <w:pStyle w:val="Normal"/>
      </w:pPr>
      <w:r>
        <w:t xml:space="preserve">a) Que hay dos ciclos, uno por cada flecha — Una flecha suelta no es un ciclo; hacen falta al menos dos que se cierren.</w:t>
      </w:r>
    </w:p>
    <w:p>
      <w:pPr>
        <w:pStyle w:val="Normal"/>
      </w:pPr>
      <w:r>
        <w:t xml:space="preserve">b) Que no hay ciclo: «Dulces» sólo actúa como causa de dos consecuencias y nada vuelve sobre ella — Correcta: es exactamente la corrección que el profesor hizo en vivo al revisar un trabajo entregado.</w:t>
      </w:r>
    </w:p>
    <w:p>
      <w:pPr>
        <w:pStyle w:val="Normal"/>
      </w:pPr>
      <w:r>
        <w:t xml:space="preserve">c) Que hay un ciclo porque las dos flechas salen de la misma variable — Compartir origen no cierra nada.</w:t>
      </w:r>
    </w:p>
    <w:p>
      <w:pPr>
        <w:pStyle w:val="Normal"/>
      </w:pPr>
      <w:r>
        <w:t xml:space="preserve">d) Que hay un ciclo de refuerzo, porque las dos relaciones son positivas — La polaridad sólo clasifica ciclos existentes; aquí no hay ninguno.</w:t>
      </w:r>
    </w:p>
    <w:p>
      <w:pPr>
        <w:pStyle w:val="Normal"/>
      </w:pPr>
      <w:r>
        <w:t xml:space="preserve">Criterio de resolución: Para que haya ciclo tiene que existir un retorno. Una variable que sólo actúa como causa de varias consecuencias produce un abanico, no un bucle, y no admite identificador R ni B.</w:t>
      </w:r>
    </w:p>
    <w:p>
      <w:pPr>
        <w:pStyle w:val="Fuente"/>
      </w:pPr>
      <w:r>
        <w:t xml:space="preserve">Clase 16 · 01:20:09–01:22:12</w:t>
      </w:r>
    </w:p>
    <w:p>
      <w:pPr>
        <w:pStyle w:val="Heading3"/>
      </w:pPr>
      <w:bookmarkStart w:name="b_solucion_p2c_05_proceso_vs_sistemico" w:id="6425"/>
      <w:r>
        <w:t xml:space="preserve">Solución S2-67</w:t>
      </w:r>
      <w:bookmarkEnd w:id="6425"/>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Diagrama de proceso: Sus nodos se nombran con verbos: encender, hervir, apagar; Las flechas indican secuencia y cronología; Es un diagrama lineal, propio del pensamiento lineal</w:t>
            </w:r>
          </w:p>
          <w:p>
            <w:pPr>
              <w:pStyle w:val="Recuadro"/>
            </w:pPr>
            <w:r>
              <w:t xml:space="preserve">Diagrama sistémico: Sus nodos se nombran con sustantivos: nivel de temperatura, brecha percibida; Las flechas indican relación de influencia, no orden; Es un diagrama circular: hay causa y efecto, no secuencia</w:t>
            </w:r>
          </w:p>
        </w:tc>
      </w:tr>
    </w:tbl>
    <w:p>
      <w:pPr>
        <w:pStyle w:val="Normal"/>
      </w:pPr>
      <w:r>
        <w:t xml:space="preserve">Criterio de resolución: La tabla de la clase 13 opone los dos diagramas fila por fila. Traducir un proceso a un diagrama sistémico exige dos conversiones: cambiar los verbos por sustantivos que puedan subir y bajar, y cambiar el orden temporal por influencia causal.</w:t>
      </w:r>
    </w:p>
    <w:p>
      <w:pPr>
        <w:pStyle w:val="Fuente"/>
      </w:pPr>
      <w:r>
        <w:t xml:space="preserve">Clase 13 · 01:31:47–01:33:03 · lámina 8</w:t>
      </w:r>
    </w:p>
    <w:p>
      <w:pPr>
        <w:pStyle w:val="Heading3"/>
      </w:pPr>
      <w:bookmarkStart w:name="b_solucion_p2c_08_atleta" w:id="6426"/>
      <w:r>
        <w:t xml:space="preserve">Solución S2-68</w:t>
      </w:r>
      <w:bookmarkEnd w:id="6426"/>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b) Que una situación que parece puramente lineal esconde un circuito de regulación cuando se la mira como sistema</w:t>
            </w:r>
          </w:p>
        </w:tc>
      </w:tr>
    </w:tbl>
    <w:p>
      <w:pPr>
        <w:pStyle w:val="Normal"/>
      </w:pPr>
      <w:r>
        <w:t xml:space="preserve">a) Que el diagrama de bloques es incorrecto y hay que descartarlo — El diagrama de bloques describe bien la secuencia; lo que no describe es la regulación.</w:t>
      </w:r>
    </w:p>
    <w:p>
      <w:pPr>
        <w:pStyle w:val="Normal"/>
      </w:pPr>
      <w:r>
        <w:t xml:space="preserve">b) Que una situación que parece puramente lineal esconde un circuito de regulación cuando se la mira como sistema — Correcta: la línea recta de la pista sugiere linealidad, pero el corredor compara continuamente lo recorrido con la meta y ajusta el ritmo.</w:t>
      </w:r>
    </w:p>
    <w:p>
      <w:pPr>
        <w:pStyle w:val="Normal"/>
      </w:pPr>
      <w:r>
        <w:t xml:space="preserve">c) Que correr cien metros no es un sistema — Sí lo es, y el propio ejemplo lo modela como tal.</w:t>
      </w:r>
    </w:p>
    <w:p>
      <w:pPr>
        <w:pStyle w:val="Normal"/>
      </w:pPr>
      <w:r>
        <w:t xml:space="preserve">d) Que el atleta debe cambiar su estrategia de carrera — La lámina no da consejos de entrenamiento.</w:t>
      </w:r>
    </w:p>
    <w:p>
      <w:pPr>
        <w:pStyle w:val="Normal"/>
      </w:pPr>
      <w:r>
        <w:t xml:space="preserve">Criterio de resolución: El ritmo es la variable clave del circuito: mientras no se llega a la meta hay brecha percibida, y esa brecha regula la velocidad. Ver el ciclo donde se veía una recta es justamente el cambio de mirada que la unidad pide.</w:t>
      </w:r>
    </w:p>
    <w:p>
      <w:pPr>
        <w:pStyle w:val="Fuente"/>
      </w:pPr>
      <w:r>
        <w:t xml:space="preserve">Clase 13 · lámina 10</w:t>
      </w:r>
    </w:p>
    <w:p>
      <w:pPr>
        <w:pStyle w:val="Heading3"/>
      </w:pPr>
      <w:bookmarkStart w:name="b_solucion_p2c_09_ciclo_de_la_planta" w:id="6427"/>
      <w:r>
        <w:t xml:space="preserve">Solución S2-69</w:t>
      </w:r>
      <w:bookmarkEnd w:id="6427"/>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1. Las semillas</w:t>
            </w:r>
          </w:p>
          <w:p>
            <w:pPr>
              <w:pStyle w:val="Recuadro"/>
            </w:pPr>
            <w:r>
              <w:t xml:space="preserve">2. Las raíces</w:t>
            </w:r>
          </w:p>
          <w:p>
            <w:pPr>
              <w:pStyle w:val="Recuadro"/>
            </w:pPr>
            <w:r>
              <w:t xml:space="preserve">3. El tallo y las ramas</w:t>
            </w:r>
          </w:p>
          <w:p>
            <w:pPr>
              <w:pStyle w:val="Recuadro"/>
            </w:pPr>
            <w:r>
              <w:t xml:space="preserve">4. Las hojas y las flores</w:t>
            </w:r>
          </w:p>
          <w:p>
            <w:pPr>
              <w:pStyle w:val="Recuadro"/>
            </w:pPr>
            <w:r>
              <w:t xml:space="preserve">5. El fruto</w:t>
            </w:r>
          </w:p>
        </w:tc>
      </w:tr>
    </w:tbl>
    <w:p>
      <w:pPr>
        <w:pStyle w:val="Normal"/>
      </w:pPr>
      <w:r>
        <w:t xml:space="preserve">Criterio de resolución: El fruto vuelve a producir semillas y ahí se cierra el círculo: lo que parecía una secuencia resulta un ciclo de vida repetitivo. Fue el primer diagrama de ciclos causales que construyó el curso, y se hizo preguntando al grupo hacia dónde apuntaba cada flecha.</w:t>
      </w:r>
    </w:p>
    <w:p>
      <w:pPr>
        <w:pStyle w:val="Fuente"/>
      </w:pPr>
      <w:r>
        <w:t xml:space="preserve">Clase 12 · 00:53:28–01:08:23 · láminas 4 y 5</w:t>
      </w:r>
    </w:p>
    <w:p>
      <w:pPr>
        <w:pStyle w:val="Heading3"/>
      </w:pPr>
      <w:bookmarkStart w:name="b_solucion_p2c_10_tiempo_circular" w:id="6428"/>
      <w:r>
        <w:t xml:space="preserve">Solución S2-70</w:t>
      </w:r>
      <w:bookmarkEnd w:id="6428"/>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b) Una estructura circular en la que el futuro proyectado influye sobre la acción presente</w:t>
            </w:r>
          </w:p>
        </w:tc>
      </w:tr>
    </w:tbl>
    <w:p>
      <w:pPr>
        <w:pStyle w:val="Normal"/>
      </w:pPr>
      <w:r>
        <w:t xml:space="preserve">a) Una cadena lineal pasado → presente → futuro — La versión lineal sería «no pedí a tiempo y por eso me quedé sin producto», que mira sólo hacia atrás.</w:t>
      </w:r>
    </w:p>
    <w:p>
      <w:pPr>
        <w:pStyle w:val="Normal"/>
      </w:pPr>
      <w:r>
        <w:t xml:space="preserve">b) Una estructura circular en la que el futuro proyectado influye sobre la acción presente — Correcta: es el ejemplo con el que la clase mostró que el futuro anticipado puede ser causa del presente.</w:t>
      </w:r>
    </w:p>
    <w:p>
      <w:pPr>
        <w:pStyle w:val="Normal"/>
      </w:pPr>
      <w:r>
        <w:t xml:space="preserve">c) Una relación sin polaridad definida — La frase describe una estructura temporal, no un problema de signos.</w:t>
      </w:r>
    </w:p>
    <w:p>
      <w:pPr>
        <w:pStyle w:val="Normal"/>
      </w:pPr>
      <w:r>
        <w:t xml:space="preserve">d) Un ciclo de refuerzo entre inventario y ventas — El caso no trata de amplificación sino de anticipación.</w:t>
      </w:r>
    </w:p>
    <w:p>
      <w:pPr>
        <w:pStyle w:val="Normal"/>
      </w:pPr>
      <w:r>
        <w:t xml:space="preserve">Criterio de resolución: La lámina contrapone el tiempo lineal, donde el pasado empuja al futuro, con el tiempo circular, donde la representación del futuro mueve la acción de hoy. Es la puerta de entrada a la proalimentación que se estudia al cerrar la unidad.</w:t>
      </w:r>
    </w:p>
    <w:p>
      <w:pPr>
        <w:pStyle w:val="Fuente"/>
      </w:pPr>
      <w:r>
        <w:t xml:space="preserve">Clase 13 · 00:53:59–01:05:59 · lámina 7</w:t>
      </w:r>
    </w:p>
    <w:p>
      <w:pPr>
        <w:pStyle w:val="Heading3"/>
      </w:pPr>
      <w:bookmarkStart w:name="b_solucion_p2c_13_reduccionista_c6e32297" w:id="6429"/>
      <w:r>
        <w:t xml:space="preserve">Solución S2-71</w:t>
      </w:r>
      <w:bookmarkEnd w:id="6429"/>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Pensamiento reduccionista: Visión parcial; Rígido; deriva en parálisis paradigmática; Busca el comportamiento en las partes; Es simple, rápido y fácil de entender</w:t>
            </w:r>
          </w:p>
          <w:p>
            <w:pPr>
              <w:pStyle w:val="Recuadro"/>
            </w:pPr>
            <w:r>
              <w:t xml:space="preserve">Pensamiento sistémico: Visión total, holística; Identifica el comportamiento en las propiedades emergentes; Pone el énfasis en las relaciones e interrelaciones; Trabaja con relaciones de causa y efecto no lineales</w:t>
            </w:r>
          </w:p>
        </w:tc>
      </w:tr>
    </w:tbl>
    <w:p>
      <w:pPr>
        <w:pStyle w:val="Normal"/>
      </w:pPr>
      <w:r>
        <w:t xml:space="preserve">Criterio de resolución: La tabla no descalifica el reduccionismo: reconoce que es simple, rápido y fácil. Lo que señala es su límite, que aparece cuando el comportamiento depende de las relaciones y no de las partes por separado.</w:t>
      </w:r>
    </w:p>
    <w:p>
      <w:pPr>
        <w:pStyle w:val="Fuente"/>
      </w:pPr>
      <w:r>
        <w:t xml:space="preserve">Clase 13 · 01:31:47–01:33:20 · lámina 9</w:t>
      </w:r>
    </w:p>
    <w:p>
      <w:pPr>
        <w:pStyle w:val="Heading3"/>
      </w:pPr>
      <w:bookmarkStart w:name="b_solucion_p2c_14_abeja_flor" w:id="6430"/>
      <w:r>
        <w:t xml:space="preserve">Solución S2-72</w:t>
      </w:r>
      <w:bookmarkEnd w:id="6430"/>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b) Porque la abeja afecta a la flor al polinizarla y la flor afecta a la abeja al alimentarla: cada una es causa y efecto de la otra</w:t>
            </w:r>
          </w:p>
        </w:tc>
      </w:tr>
    </w:tbl>
    <w:p>
      <w:pPr>
        <w:pStyle w:val="Normal"/>
      </w:pPr>
      <w:r>
        <w:t xml:space="preserve">a) Porque la abeja y la flor están físicamente próximas — La proximidad no crea circularidad.</w:t>
      </w:r>
    </w:p>
    <w:p>
      <w:pPr>
        <w:pStyle w:val="Normal"/>
      </w:pPr>
      <w:r>
        <w:t xml:space="preserve">b) Porque la abeja afecta a la flor al polinizarla y la flor afecta a la abeja al alimentarla: cada una es causa y efecto de la otra — Correcta: el efecto vuelve sobre quien lo originó, que es la definición de retroalimentación.</w:t>
      </w:r>
    </w:p>
    <w:p>
      <w:pPr>
        <w:pStyle w:val="Normal"/>
      </w:pPr>
      <w:r>
        <w:t xml:space="preserve">c) Porque hay muchas abejas y muchas flores — La cantidad no decide la estructura.</w:t>
      </w:r>
    </w:p>
    <w:p>
      <w:pPr>
        <w:pStyle w:val="Normal"/>
      </w:pPr>
      <w:r>
        <w:t xml:space="preserve">d) Porque la relación se repite todos los años — La repetición en el tiempo es consecuencia del ciclo, no su causa.</w:t>
      </w:r>
    </w:p>
    <w:p>
      <w:pPr>
        <w:pStyle w:val="Normal"/>
      </w:pPr>
      <w:r>
        <w:t xml:space="preserve">Criterio de resolución: Hay causalidad circular cuando la acción provoca una reacción que vuelve a afectar al elemento que la originó. Abeja y flor son el caso mínimo: dos variables, dos flechas y un bucle cerrado.</w:t>
      </w:r>
    </w:p>
    <w:p>
      <w:pPr>
        <w:pStyle w:val="Fuente"/>
      </w:pPr>
      <w:r>
        <w:t xml:space="preserve">Clase 13 · 00:38:39–00:40:04 · lámina 5</w:t>
      </w:r>
    </w:p>
    <w:p>
      <w:pPr>
        <w:pStyle w:val="Heading3"/>
      </w:pPr>
      <w:bookmarkStart w:name="b_solucion_p2c_15_conversacion" w:id="6431"/>
      <w:r>
        <w:t xml:space="preserve">Solución S2-73</w:t>
      </w:r>
      <w:bookmarkEnd w:id="6431"/>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b) Una estructura A → B → A: la reacción vuelve sobre quien inició la cadena</w:t>
            </w:r>
          </w:p>
        </w:tc>
      </w:tr>
    </w:tbl>
    <w:p>
      <w:pPr>
        <w:pStyle w:val="Normal"/>
      </w:pPr>
      <w:r>
        <w:t xml:space="preserve">a) Un proceso lineal de tres pasos — Si fuera lineal, la conversación terminaría en la respuesta.</w:t>
      </w:r>
    </w:p>
    <w:p>
      <w:pPr>
        <w:pStyle w:val="Normal"/>
      </w:pPr>
      <w:r>
        <w:t xml:space="preserve">b) Una estructura A → B → A: la reacción vuelve sobre quien inició la cadena — Correcta: es el esquema mínimo de causalidad circular con que la clase abrió el hábito.</w:t>
      </w:r>
    </w:p>
    <w:p>
      <w:pPr>
        <w:pStyle w:val="Normal"/>
      </w:pPr>
      <w:r>
        <w:t xml:space="preserve">c) Una relación de contención entre pregunta y respuesta — No hay ninguna relación todo-parte en juego.</w:t>
      </w:r>
    </w:p>
    <w:p>
      <w:pPr>
        <w:pStyle w:val="Normal"/>
      </w:pPr>
      <w:r>
        <w:t xml:space="preserve">d) Una demora entre causa y efecto — No hay demora apreciable: la respuesta llega de inmediato.</w:t>
      </w:r>
    </w:p>
    <w:p>
      <w:pPr>
        <w:pStyle w:val="Normal"/>
      </w:pPr>
      <w:r>
        <w:t xml:space="preserve">Criterio de resolución: La conversación sirve porque es familiar y porque el retorno es evidente: lo que el otro dice modifica lo que uno preguntará después. Esa vuelta es lo que convierte una secuencia en un ciclo.</w:t>
      </w:r>
    </w:p>
    <w:p>
      <w:pPr>
        <w:pStyle w:val="Fuente"/>
      </w:pPr>
      <w:r>
        <w:t xml:space="preserve">Clase 13 · 00:27:02–00:29:25</w:t>
      </w:r>
    </w:p>
    <w:p>
      <w:pPr>
        <w:pStyle w:val="Heading3"/>
      </w:pPr>
      <w:bookmarkStart w:name="b_solucion_p2c_16_algoritmos" w:id="6432"/>
      <w:r>
        <w:t xml:space="preserve">Solución S2-74</w:t>
      </w:r>
      <w:bookmarkEnd w:id="6432"/>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b) Porque cada paso depende del anterior y genera el siguiente, y cuando aparecen estructuras repetitivas se ve la estructura de los sistemas más complejos</w:t>
            </w:r>
          </w:p>
        </w:tc>
      </w:tr>
    </w:tbl>
    <w:p>
      <w:pPr>
        <w:pStyle w:val="Normal"/>
      </w:pPr>
      <w:r>
        <w:t xml:space="preserve">a) Porque todo algoritmo describe un sistema informático — La comparación es estructural y vale para cualquier procedimiento, informático o no.</w:t>
      </w:r>
    </w:p>
    <w:p>
      <w:pPr>
        <w:pStyle w:val="Normal"/>
      </w:pPr>
      <w:r>
        <w:t xml:space="preserve">b) Porque cada paso depende del anterior y genera el siguiente, y cuando aparecen estructuras repetitivas se ve la estructura de los sistemas más complejos — Correcta: el interés está en las estructuras cíclicas, no en la secuencia.</w:t>
      </w:r>
    </w:p>
    <w:p>
      <w:pPr>
        <w:pStyle w:val="Normal"/>
      </w:pPr>
      <w:r>
        <w:t xml:space="preserve">c) Porque los algoritmos se dibujan con flechas — El parecido gráfico no es el argumento.</w:t>
      </w:r>
    </w:p>
    <w:p>
      <w:pPr>
        <w:pStyle w:val="Normal"/>
      </w:pPr>
      <w:r>
        <w:t xml:space="preserve">d) Porque un algoritmo siempre tiene un ciclo de refuerzo — La repetición de un algoritmo no es un ciclo de refuerzo: no amplifica ninguna variable.</w:t>
      </w:r>
    </w:p>
    <w:p>
      <w:pPr>
        <w:pStyle w:val="Normal"/>
      </w:pPr>
      <w:r>
        <w:t xml:space="preserve">Criterio de resolución: Un algoritmo lineal es una cadena causal; lo interesante llega cuando incorpora estructuras repetitivas, porque ahí se parece a los sistemas reales. Aun así, un bucle de programa y un ciclo de retroalimentación no son lo mismo: el primero repite pasos, el segundo devuelve influencia sobre una variable.</w:t>
      </w:r>
    </w:p>
    <w:p>
      <w:pPr>
        <w:pStyle w:val="Fuente"/>
      </w:pPr>
      <w:r>
        <w:t xml:space="preserve">Clase 13 · 00:20:14–00:22:22</w:t>
      </w:r>
    </w:p>
    <w:p>
      <w:pPr>
        <w:pStyle w:val="Heading3"/>
      </w:pPr>
      <w:bookmarkStart w:name="b_solucion_p2c_17_telarana" w:id="6433"/>
      <w:r>
        <w:t xml:space="preserve">Solución S2-75</w:t>
      </w:r>
      <w:bookmarkEnd w:id="6433"/>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a) Un sistema real contiene muchos ciclos entrelazados, no uno solo</w:t>
            </w:r>
          </w:p>
        </w:tc>
      </w:tr>
    </w:tbl>
    <w:p>
      <w:pPr>
        <w:pStyle w:val="Normal"/>
      </w:pPr>
      <w:r>
        <w:t xml:space="preserve">a) Un sistema real contiene muchos ciclos entrelazados, no uno solo — Correcta: el profesor contó entre once y doce estructuras circulares en ese único mapa.</w:t>
      </w:r>
    </w:p>
    <w:p>
      <w:pPr>
        <w:pStyle w:val="Normal"/>
      </w:pPr>
      <w:r>
        <w:t xml:space="preserve">b) Los comederos de pájaros perjudican el jardín — El mapa no emite ese juicio: muestra ventajas y molestias entrelazadas.</w:t>
      </w:r>
    </w:p>
    <w:p>
      <w:pPr>
        <w:pStyle w:val="Normal"/>
      </w:pPr>
      <w:r>
        <w:t xml:space="preserve">c) Los mapas deben tener siempre menos de diez variables — No hay ningún límite de variables.</w:t>
      </w:r>
    </w:p>
    <w:p>
      <w:pPr>
        <w:pStyle w:val="Normal"/>
      </w:pPr>
      <w:r>
        <w:t xml:space="preserve">d) Sólo los sistemas naturales tienen ciclos — Los sistemas de actividad humana también los tienen, como muestran los casos de proyectos y de bancos.</w:t>
      </w:r>
    </w:p>
    <w:p>
      <w:pPr>
        <w:pStyle w:val="Normal"/>
      </w:pPr>
      <w:r>
        <w:t xml:space="preserve">Criterio de resolución: Una sola acción pensada de forma aislada ignora los efectos que dispara. La telaraña del jardín es la imagen de esa advertencia: poner un comedero mejora la mañana y a la vez atrae ardillas, derrama alimento y obliga a comprar más semilla.</w:t>
      </w:r>
    </w:p>
    <w:p>
      <w:pPr>
        <w:pStyle w:val="Fuente"/>
      </w:pPr>
      <w:r>
        <w:t xml:space="preserve">Clase 13 · 01:38:26–01:41:53 · lámina 12 · Clase 14 · 00:05:39–00:08:00</w:t>
      </w:r>
    </w:p>
    <w:p>
      <w:pPr>
        <w:pStyle w:val="Heading3"/>
      </w:pPr>
      <w:bookmarkStart w:name="b_solucion_p2c_22_variable_externa" w:id="6434"/>
      <w:r>
        <w:t xml:space="preserve">Solución S2-76</w:t>
      </w:r>
      <w:bookmarkEnd w:id="6434"/>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b) Que influye sobre la presión del cronograma pero no recibe ninguna flecha de retorno, así que no forma parte del bucle</w:t>
            </w:r>
          </w:p>
        </w:tc>
      </w:tr>
    </w:tbl>
    <w:p>
      <w:pPr>
        <w:pStyle w:val="Normal"/>
      </w:pPr>
      <w:r>
        <w:t xml:space="preserve">a) Que no influye sobre ninguna variable del modelo — Sí influye: de hecho es la causa de la presión inicial.</w:t>
      </w:r>
    </w:p>
    <w:p>
      <w:pPr>
        <w:pStyle w:val="Normal"/>
      </w:pPr>
      <w:r>
        <w:t xml:space="preserve">b) Que influye sobre la presión del cronograma pero no recibe ninguna flecha de retorno, así que no forma parte del bucle — Correcta: entra al ciclo pero el ciclo no vuelve sobre ella, y por eso queda fuera del recuento de relaciones del bucle.</w:t>
      </w:r>
    </w:p>
    <w:p>
      <w:pPr>
        <w:pStyle w:val="Normal"/>
      </w:pPr>
      <w:r>
        <w:t xml:space="preserve">c) Que debe dibujarse fuera del papel — Se dibuja en el mismo diagrama, sólo que sin cerrar lazo.</w:t>
      </w:r>
    </w:p>
    <w:p>
      <w:pPr>
        <w:pStyle w:val="Normal"/>
      </w:pPr>
      <w:r>
        <w:t xml:space="preserve">d) Que su polaridad no puede determinarse — Su polaridad es negativa y está declarada: a menos tiempo disponible, más presión.</w:t>
      </w:r>
    </w:p>
    <w:p>
      <w:pPr>
        <w:pStyle w:val="Normal"/>
      </w:pPr>
      <w:r>
        <w:t xml:space="preserve">Criterio de resolución: Una variable externa condiciona el sistema sin quedar condicionada por él dentro de la frontera elegida. Distinguirla importa al contar los signos del ciclo: sólo se cuentan las relaciones que forman parte del lazo cerrado.</w:t>
      </w:r>
    </w:p>
    <w:p>
      <w:pPr>
        <w:pStyle w:val="Fuente"/>
      </w:pPr>
      <w:r>
        <w:t xml:space="preserve">Clase 16 · 01:42:53–01:44:55 · lámina 25</w:t>
      </w:r>
    </w:p>
    <w:p>
      <w:pPr>
        <w:pStyle w:val="Heading3"/>
      </w:pPr>
      <w:bookmarkStart w:name="b_solucion_p2c_23_conectividad_niveles" w:id="6435"/>
      <w:r>
        <w:t xml:space="preserve">Solución S2-77</w:t>
      </w:r>
      <w:bookmarkEnd w:id="6435"/>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b) Subsistemas que se conectan por sistemas, y sistemas que se conectan con otros de su medio formando supra y megasistemas: una telaraña de relaciones causales</w:t>
            </w:r>
          </w:p>
        </w:tc>
      </w:tr>
    </w:tbl>
    <w:p>
      <w:pPr>
        <w:pStyle w:val="Normal"/>
      </w:pPr>
      <w:r>
        <w:t xml:space="preserve">a) Eventos, patrones, estructuras y modelos mentales — Esos son los niveles del iceberg, otro esquema distinto.</w:t>
      </w:r>
    </w:p>
    <w:p>
      <w:pPr>
        <w:pStyle w:val="Normal"/>
      </w:pPr>
      <w:r>
        <w:t xml:space="preserve">b) Subsistemas que se conectan por sistemas, y sistemas que se conectan con otros de su medio formando supra y megasistemas: una telaraña de relaciones causales — Correcta: es la escala de sistemas anidados que sostiene la idea de telaraña.</w:t>
      </w:r>
    </w:p>
    <w:p>
      <w:pPr>
        <w:pStyle w:val="Normal"/>
      </w:pPr>
      <w:r>
        <w:t xml:space="preserve">c) Distinciones, sistemas, relaciones y perspectivas — Son las cuatro operaciones del pensamiento, no una jerarquía de sistemas.</w:t>
      </w:r>
    </w:p>
    <w:p>
      <w:pPr>
        <w:pStyle w:val="Normal"/>
      </w:pPr>
      <w:r>
        <w:t xml:space="preserve">d) Entradas, procesos y salidas — Es la descripción funcional de un sistema, no su encadenamiento por niveles.</w:t>
      </w:r>
    </w:p>
    <w:p>
      <w:pPr>
        <w:pStyle w:val="Normal"/>
      </w:pPr>
      <w:r>
        <w:t xml:space="preserve">Criterio de resolución: La conectividad opera a todo nivel: hacia abajo en subsistemas y hacia arriba en sistemas mayores. Esa red de relaciones causales entrelazadas es lo que hace que una intervención local tenga efectos que el análisis aislado no anticipa.</w:t>
      </w:r>
    </w:p>
    <w:p>
      <w:pPr>
        <w:pStyle w:val="Fuente"/>
      </w:pPr>
      <w:r>
        <w:t xml:space="preserve">Clase 13 · 00:17:30–00:18:31</w:t>
      </w:r>
    </w:p>
    <w:p>
      <w:pPr>
        <w:pStyle w:val="Heading3"/>
      </w:pPr>
      <w:bookmarkStart w:name="b_solucion_p2c_27_telarana_arrastrar" w:id="6436"/>
      <w:r>
        <w:t xml:space="preserve">Solución S2-78</w:t>
      </w:r>
      <w:bookmarkEnd w:id="6436"/>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Es una variable: Brecha percibida; Trabajo pendiente</w:t>
            </w:r>
          </w:p>
          <w:p>
            <w:pPr>
              <w:pStyle w:val="Recuadro"/>
            </w:pPr>
            <w:r>
              <w:t xml:space="preserve">Es una marca sobre la relación: El signo + o −; Las dos rayas paralelas; La cabeza de flecha</w:t>
            </w:r>
          </w:p>
          <w:p>
            <w:pPr>
              <w:pStyle w:val="Recuadro"/>
            </w:pPr>
            <w:r>
              <w:t xml:space="preserve">Es una marca del ciclo completo: La letra R o B en el centro; La bola de nieve bajando por la montaña</w:t>
            </w:r>
          </w:p>
        </w:tc>
      </w:tr>
    </w:tbl>
    <w:p>
      <w:pPr>
        <w:pStyle w:val="Normal"/>
      </w:pPr>
      <w:r>
        <w:t xml:space="preserve">Criterio de resolución: Conviene tener clara la jerarquía de la notación: las variables son los nodos, la polaridad, la cabeza y la demora son propiedades de cada flecha, y el identificador describe el comportamiento del bucle entero. Confundir los niveles lleva a poner un signo en el centro del ciclo o una letra sobre una flecha.</w:t>
      </w:r>
    </w:p>
    <w:p>
      <w:pPr>
        <w:pStyle w:val="Fuente"/>
      </w:pPr>
      <w:r>
        <w:t xml:space="preserve">Clase 15 · 00:18:01–00:20:55 y 01:33:01 · láminas 6 y 18</w:t>
      </w:r>
    </w:p>
    <w:p>
      <w:pPr>
        <w:pStyle w:val="Heading3"/>
      </w:pPr>
      <w:bookmarkStart w:name="b_solucion_p2c_33_causalidad_li_61440a52" w:id="6437"/>
      <w:r>
        <w:t xml:space="preserve">Solución S2-79</w:t>
      </w:r>
      <w:bookmarkEnd w:id="6437"/>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Enfoque lineal: Primero está la causa y luego el efecto; la causa es independiente del efecto; Encontrar la causa preguntando «¿por qué?» una y otra vez, en cadena; Pasado, presente y futuro se siguen en una recta</w:t>
            </w:r>
          </w:p>
          <w:p>
            <w:pPr>
              <w:pStyle w:val="Recuadro"/>
            </w:pPr>
            <w:r>
              <w:t xml:space="preserve">Enfoque sistémico: Hay producción porque hay consumo, y consumo porque hay producción: ambos se afectan; El fracaso conduce al éxito y el éxito conduce al fracaso; El futuro influye sobre el pasado: el atleta sueña el título y entrena hasta lograrlo</w:t>
            </w:r>
          </w:p>
        </w:tc>
      </w:tr>
    </w:tbl>
    <w:p>
      <w:pPr>
        <w:pStyle w:val="Normal"/>
      </w:pPr>
      <w:r>
        <w:t xml:space="preserve">Criterio de resolución: El enfoque lineal, en el que fuimos formados, ve rectas: causa → efecto, principio → fin, problema → solución; la técnica de los porqués es su versión práctica y, según los autores, un callejón sin salida, porque siempre hay una causa más atrás. El enfoque sistémico ve círculos: el efecto vuelve sobre la causa, el éxito y el fracaso se producen mutuamente, y hasta el tiempo se dibuja como un círculo entre pasado y futuro.</w:t>
      </w:r>
    </w:p>
    <w:p>
      <w:pPr>
        <w:pStyle w:val="Fuente"/>
      </w:pPr>
      <w:r>
        <w:t xml:space="preserve">lectura L-12 · Echeverri y Franco, capítulo II, pp. 21–31</w:t>
      </w:r>
    </w:p>
    <w:p>
      <w:pPr>
        <w:pStyle w:val="Heading3"/>
      </w:pPr>
      <w:bookmarkStart w:name="b_solucion_p2c_34_causa_lejos_e_6c5538ee" w:id="6438"/>
      <w:r>
        <w:t xml:space="preserve">Solución S2-80</w:t>
      </w:r>
      <w:bookmarkEnd w:id="6438"/>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a) Buscar la causa donde aparece el problema y actuar sobre el síntoma: si falla la línea de producción se busca en producción, si las viviendas son inadecuadas se construyen más casas, si la alimentación es insuficiente se entrega más comida</w:t>
            </w:r>
          </w:p>
        </w:tc>
      </w:tr>
    </w:tbl>
    <w:p>
      <w:pPr>
        <w:pStyle w:val="Normal"/>
      </w:pPr>
      <w:r>
        <w:t xml:space="preserve">a) Buscar la causa donde aparece el problema y actuar sobre el síntoma: si falla la línea de producción se busca en producción, si las viviendas son inadecuadas se construyen más casas, si la alimentación es insuficiente se entrega más comida — Correcta: en la infancia los problemas estaban cerca de las soluciones; como directivos seguimos creyendo que el mundo funciona así, y no funciona.</w:t>
      </w:r>
    </w:p>
    <w:p>
      <w:pPr>
        <w:pStyle w:val="Normal"/>
      </w:pPr>
      <w:r>
        <w:t xml:space="preserve">b) Esperar demasiado antes de actuar, hasta que el problema desaparece solo — El error no es la espera sino el lugar donde se busca la causa.</w:t>
      </w:r>
    </w:p>
    <w:p>
      <w:pPr>
        <w:pStyle w:val="Normal"/>
      </w:pPr>
      <w:r>
        <w:t xml:space="preserve">c) Culpar al pasado en vez de al futuro — Los autores no oponen pasado y futuro en este pasaje, sino cercanía y lejanía entre causa y efecto.</w:t>
      </w:r>
    </w:p>
    <w:p>
      <w:pPr>
        <w:pStyle w:val="Normal"/>
      </w:pPr>
      <w:r>
        <w:t xml:space="preserve">d) Confundir el efecto con la causa porque el efecto es menos visible — Al contrario: el efecto es lo visible; lo que se esconde es la causa.</w:t>
      </w:r>
    </w:p>
    <w:p>
      <w:pPr>
        <w:pStyle w:val="Normal"/>
      </w:pPr>
      <w:r>
        <w:t xml:space="preserve">Criterio de resolución: Los autores parafrasean a Serra: no existen causas únicas ni lineales; la causalidad, más que una cadena de acontecimientos, es una figura compleja donde efectos y causas están entretejidos. Por eso las soluciones que se buscan junto al síntoma —más casas, más comida, más incentivos de venta— suelen fallar: la causa está en otra parte del sistema y en otro momento.</w:t>
      </w:r>
    </w:p>
    <w:p>
      <w:pPr>
        <w:pStyle w:val="Fuente"/>
      </w:pPr>
      <w:r>
        <w:t xml:space="preserve">lectura L-12 · Echeverri y Franco, capítulo II, pp. 28–29</w:t>
      </w:r>
    </w:p>
    <w:p>
      <w:pPr>
        <w:pStyle w:val="Heading3"/>
      </w:pPr>
      <w:bookmarkStart w:name="b_solucion_p2l_corcho" w:id="6439"/>
      <w:r>
        <w:t xml:space="preserve">Solución S2-81</w:t>
      </w:r>
      <w:bookmarkEnd w:id="6439"/>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a) Cuando el río ideal y el flujo satisfacen los supuestos, y se reconocen las interferencias excluidas</w:t>
            </w:r>
          </w:p>
        </w:tc>
      </w:tr>
    </w:tbl>
    <w:p>
      <w:pPr>
        <w:pStyle w:val="Normal"/>
      </w:pPr>
      <w:r>
        <w:t xml:space="preserve">a) Cuando el río ideal y el flujo satisfacen los supuestos, y se reconocen las interferencias excluidas — Se selecciona por la clave; aplique el criterio de resolución común que se desarrolla después de esta lista.</w:t>
      </w:r>
    </w:p>
    <w:p>
      <w:pPr>
        <w:pStyle w:val="Normal"/>
      </w:pPr>
      <w:r>
        <w:t xml:space="preserve">b) En cualquier río real sin revisar sus condiciones — Se descarta por la clave; aplique el criterio de resolución común que se desarrolla después de esta lista.</w:t>
      </w:r>
    </w:p>
    <w:p>
      <w:pPr>
        <w:pStyle w:val="Normal"/>
      </w:pPr>
      <w:r>
        <w:t xml:space="preserve">c) Sólo porque el caudal y la velocidad son siempre idénticos — Se descarta por la clave; aplique el criterio de resolución común que se desarrolla después de esta lista.</w:t>
      </w:r>
    </w:p>
    <w:p>
      <w:pPr>
        <w:pStyle w:val="Normal"/>
      </w:pPr>
      <w:r>
        <w:t xml:space="preserve">d) Cuando se ignoran deliberadamente cambios de viento y obstáculos aun si son relevantes — Se descarta por la clave; aplique el criterio de resolución común que se desarrolla después de esta lista.</w:t>
      </w:r>
    </w:p>
    <w:p>
      <w:pPr>
        <w:pStyle w:val="Normal"/>
      </w:pPr>
      <w:r>
        <w:t xml:space="preserve">Criterio de resolución: Cuando el río ideal y el flujo satisfacen los supuestos, y se reconocen las interferencias excluidas</w:t>
      </w:r>
    </w:p>
    <w:p>
      <w:pPr>
        <w:pStyle w:val="Fuente"/>
      </w:pPr>
      <w:r>
        <w:t xml:space="preserve">Presentación de la unidad 3 (C-2), pág. 42 y 47 · Clase 13 · 00:55:50</w:t>
      </w:r>
    </w:p>
    <w:p>
      <w:pPr>
        <w:pStyle w:val="Heading3"/>
      </w:pPr>
      <w:bookmarkStart w:name="b_solucion_p2e_10_proalimentaci_5f32c26b" w:id="6440"/>
      <w:r>
        <w:t xml:space="preserve">Solución S2-82</w:t>
      </w:r>
      <w:bookmarkEnd w:id="6440"/>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b) Cuando el efecto anticipado de un futuro que todavía no ha ocurrido genera la causa del presente que, de no ser así, no se habría producido</w:t>
            </w:r>
          </w:p>
        </w:tc>
      </w:tr>
    </w:tbl>
    <w:p>
      <w:pPr>
        <w:pStyle w:val="Normal"/>
      </w:pPr>
      <w:r>
        <w:t xml:space="preserve">a) La retroalimentación que llega con retraso — Una demora no cambia el sentido temporal de la influencia.</w:t>
      </w:r>
    </w:p>
    <w:p>
      <w:pPr>
        <w:pStyle w:val="Normal"/>
      </w:pPr>
      <w:r>
        <w:t xml:space="preserve">b) Cuando el efecto anticipado de un futuro que todavía no ha ocurrido genera la causa del presente que, de no ser así, no se habría producido — Correcta: es la definición literal de la lámina, tomada de la lectura de O'Connor.</w:t>
      </w:r>
    </w:p>
    <w:p>
      <w:pPr>
        <w:pStyle w:val="Normal"/>
      </w:pPr>
      <w:r>
        <w:t xml:space="preserve">c) La suma de dos ciclos de refuerzo — No es una suma de ciclos.</w:t>
      </w:r>
    </w:p>
    <w:p>
      <w:pPr>
        <w:pStyle w:val="Normal"/>
      </w:pPr>
      <w:r>
        <w:t xml:space="preserve">d) La retroalimentación entre dos sistemas distintos — No es una cuestión de frontera entre sistemas.</w:t>
      </w:r>
    </w:p>
    <w:p>
      <w:pPr>
        <w:pStyle w:val="Normal"/>
      </w:pPr>
      <w:r>
        <w:t xml:space="preserve">Criterio de resolución: En la retroalimentación el pasado vuelve sobre el presente; en la proalimentación es la expectativa de lo que va a pasar la que mueve la acción de hoy. Es la formalización del tiempo circular que la clase 13 había anticipado.</w:t>
      </w:r>
    </w:p>
    <w:p>
      <w:pPr>
        <w:pStyle w:val="Fuente"/>
      </w:pPr>
      <w:r>
        <w:t xml:space="preserve">Clase 16 · 00:49:47–00:53:20 · lámina 8</w:t>
      </w:r>
    </w:p>
    <w:p>
      <w:pPr>
        <w:pStyle w:val="Heading3"/>
      </w:pPr>
      <w:bookmarkStart w:name="b_solucion_p2e_11_proalimentacion_tipos" w:id="6441"/>
      <w:r>
        <w:t xml:space="preserve">Solución S2-83</w:t>
      </w:r>
      <w:bookmarkEnd w:id="6441"/>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Proalimentación de compensación → La anticipación conduce al sistema hacia el estado predicho: la predicción se cumple</w:t>
            </w:r>
          </w:p>
          <w:p>
            <w:pPr>
              <w:pStyle w:val="Recuadro"/>
            </w:pPr>
            <w:r>
              <w:t xml:space="preserve">Proalimentación de refuerzo → La anticipación aparta al sistema del estado predicho: se produce una profecía contraproducente</w:t>
            </w:r>
          </w:p>
        </w:tc>
      </w:tr>
    </w:tbl>
    <w:p>
      <w:pPr>
        <w:pStyle w:val="Normal"/>
      </w:pPr>
      <w:r>
        <w:t xml:space="preserve">Distractor sin fila correspondiente: La anticipación no modifica el comportamiento del sistema.</w:t>
      </w:r>
    </w:p>
    <w:p>
      <w:pPr>
        <w:pStyle w:val="Normal"/>
      </w:pPr>
      <w:r>
        <w:t xml:space="preserve">Distractor sin fila correspondiente: La anticipación produce el efecto sólo después de una demora.</w:t>
      </w:r>
    </w:p>
    <w:p>
      <w:pPr>
        <w:pStyle w:val="Normal"/>
      </w:pPr>
      <w:r>
        <w:t xml:space="preserve">Criterio de resolución: El rumor de escasez de gasolina es de compensación: al comprar más de lo normal, las gasolineras se quedan desabastecidas y la escasez anunciada acaba ocurriendo. El atleta al que le dicen que va a perder es de refuerzo: la predicción lo afianza en su esfuerzo y termina ganando.</w:t>
      </w:r>
    </w:p>
    <w:p>
      <w:pPr>
        <w:pStyle w:val="Fuente"/>
      </w:pPr>
      <w:r>
        <w:t xml:space="preserve">Clase 16 · 00:53:20–01:01:30 · lámina 8</w:t>
      </w:r>
    </w:p>
    <w:p>
      <w:pPr>
        <w:pStyle w:val="Heading3"/>
      </w:pPr>
      <w:bookmarkStart w:name="b_solucion_p2e_12_seis_categorias" w:id="6442"/>
      <w:r>
        <w:t xml:space="preserve">Solución S2-84</w:t>
      </w:r>
      <w:bookmarkEnd w:id="6442"/>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a) Ciclo de retroalimentación de refuerzo</w:t>
            </w:r>
          </w:p>
          <w:p>
            <w:pPr>
              <w:pStyle w:val="Recuadro"/>
            </w:pPr>
            <w:r>
              <w:t xml:space="preserve">b) Ciclo de retroalimentación de compensación</w:t>
            </w:r>
          </w:p>
          <w:p>
            <w:pPr>
              <w:pStyle w:val="Recuadro"/>
            </w:pPr>
            <w:r>
              <w:t xml:space="preserve">c) Ciclo virtuoso y ciclo vicioso</w:t>
            </w:r>
          </w:p>
          <w:p>
            <w:pPr>
              <w:pStyle w:val="Recuadro"/>
            </w:pPr>
            <w:r>
              <w:t xml:space="preserve">d) Proalimentación de refuerzo y de compensación</w:t>
            </w:r>
          </w:p>
        </w:tc>
      </w:tr>
    </w:tbl>
    <w:p>
      <w:pPr>
        <w:pStyle w:val="Normal"/>
      </w:pPr>
      <w:r>
        <w:t xml:space="preserve">a) Ciclo de retroalimentación de refuerzo — Sí: es una de las dos formas básicas.</w:t>
      </w:r>
    </w:p>
    <w:p>
      <w:pPr>
        <w:pStyle w:val="Normal"/>
      </w:pPr>
      <w:r>
        <w:t xml:space="preserve">b) Ciclo de retroalimentación de compensación — Sí: la otra forma básica.</w:t>
      </w:r>
    </w:p>
    <w:p>
      <w:pPr>
        <w:pStyle w:val="Normal"/>
      </w:pPr>
      <w:r>
        <w:t xml:space="preserve">c) Ciclo virtuoso y ciclo vicioso — Sí: son los dos matices del ciclo de refuerzo según se valore el resultado.</w:t>
      </w:r>
    </w:p>
    <w:p>
      <w:pPr>
        <w:pStyle w:val="Normal"/>
      </w:pPr>
      <w:r>
        <w:t xml:space="preserve">d) Proalimentación de refuerzo y de compensación — Sí: las dos formas en que el futuro anticipado actúa sobre el presente.</w:t>
      </w:r>
    </w:p>
    <w:p>
      <w:pPr>
        <w:pStyle w:val="Normal"/>
      </w:pPr>
      <w:r>
        <w:t xml:space="preserve">e) Ciclo de entropía — No existe esa categoría: la entropía es un concepto de la unidad 2.</w:t>
      </w:r>
    </w:p>
    <w:p>
      <w:pPr>
        <w:pStyle w:val="Normal"/>
      </w:pPr>
      <w:r>
        <w:t xml:space="preserve">Criterio de resolución: El recuento que hizo el profesor llega a seis comportamientos: refuerzo, compensación, virtuoso, vicioso, proalimentación de refuerzo y proalimentación de compensación. Los cuatro primeros son retroalimentación; los dos últimos invierten el sentido temporal.</w:t>
      </w:r>
    </w:p>
    <w:p>
      <w:pPr>
        <w:pStyle w:val="Fuente"/>
      </w:pPr>
      <w:r>
        <w:t xml:space="preserve">Clase 16 · 01:01:32–01:02:36</w:t>
      </w:r>
    </w:p>
    <w:p>
      <w:pPr>
        <w:pStyle w:val="Heading3"/>
      </w:pPr>
      <w:bookmarkStart w:name="b_solucion_p2l_confianza" w:id="6443"/>
      <w:r>
        <w:t xml:space="preserve">Solución S2-85</w:t>
      </w:r>
      <w:bookmarkEnd w:id="6443"/>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d) Refuerzo: el objetivo no sustituye el conteo de signos</w:t>
            </w:r>
          </w:p>
        </w:tc>
      </w:tr>
    </w:tbl>
    <w:p>
      <w:pPr>
        <w:pStyle w:val="Normal"/>
      </w:pPr>
      <w:r>
        <w:t xml:space="preserve">a) Balance por el simple hecho de tener objetivo — Se descarta por la clave; aplique el criterio de resolución común que se desarrolla después de esta lista.</w:t>
      </w:r>
    </w:p>
    <w:p>
      <w:pPr>
        <w:pStyle w:val="Normal"/>
      </w:pPr>
      <w:r>
        <w:t xml:space="preserve">b) Indeterminado porque cuatro positivas equivalen a una negativa — Se descarta por la clave; aplique el criterio de resolución común que se desarrolla después de esta lista.</w:t>
      </w:r>
    </w:p>
    <w:p>
      <w:pPr>
        <w:pStyle w:val="Normal"/>
      </w:pPr>
      <w:r>
        <w:t xml:space="preserve">c) No es un ciclo aunque el recorrido cierre — Se descarta por la clave; aplique el criterio de resolución común que se desarrolla después de esta lista.</w:t>
      </w:r>
    </w:p>
    <w:p>
      <w:pPr>
        <w:pStyle w:val="Normal"/>
      </w:pPr>
      <w:r>
        <w:t xml:space="preserve">d) Refuerzo: el objetivo no sustituye el conteo de signos — Se selecciona por la clave; aplique el criterio de resolución común que se desarrolla después de esta lista.</w:t>
      </w:r>
    </w:p>
    <w:p>
      <w:pPr>
        <w:pStyle w:val="Normal"/>
      </w:pPr>
      <w:r>
        <w:t xml:space="preserve">Criterio de resolución: El recorrido tiene cuatro influencias positivas, por lo que su retorno es de refuerzo. El objetivo invocado oralmente no cambia esa polaridad.</w:t>
      </w:r>
    </w:p>
    <w:p>
      <w:pPr>
        <w:pStyle w:val="Fuente"/>
      </w:pPr>
      <w:r>
        <w:t xml:space="preserve">Presentación de la unidad 3 (C-2), pág. 74 y 80 · Clase 13 · 01:07:08 · Clase 16 · 00:53:20–01:01:30</w:t>
      </w:r>
    </w:p>
    <w:p>
      <w:pPr>
        <w:pStyle w:val="Heading3"/>
      </w:pPr>
      <w:bookmarkStart w:name="b_solucion_p2l_reservorio" w:id="6444"/>
      <w:r>
        <w:t xml:space="preserve">Solución S2-86</w:t>
      </w:r>
      <w:bookmarkEnd w:id="6444"/>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b) La disminución de la diferencia entre sus niveles</w:t>
            </w:r>
          </w:p>
        </w:tc>
      </w:tr>
    </w:tbl>
    <w:p>
      <w:pPr>
        <w:pStyle w:val="Normal"/>
      </w:pPr>
      <w:r>
        <w:t xml:space="preserve">a) Un controlador con meta que la figura dibuja explícitamente — Se descarta por la clave; aplique el criterio de resolución común que se desarrolla después de esta lista.</w:t>
      </w:r>
    </w:p>
    <w:p>
      <w:pPr>
        <w:pStyle w:val="Normal"/>
      </w:pPr>
      <w:r>
        <w:t xml:space="preserve">b) La disminución de la diferencia entre sus niveles — Se selecciona por la clave; aplique el criterio de resolución común que se desarrolla después de esta lista.</w:t>
      </w:r>
    </w:p>
    <w:p>
      <w:pPr>
        <w:pStyle w:val="Normal"/>
      </w:pPr>
      <w:r>
        <w:t xml:space="preserve">c) El aumento ilimitado de la diferencia de niveles — Se descarta por la clave; aplique el criterio de resolución común que se desarrolla después de esta lista.</w:t>
      </w:r>
    </w:p>
    <w:p>
      <w:pPr>
        <w:pStyle w:val="Normal"/>
      </w:pPr>
      <w:r>
        <w:t xml:space="preserve">d) La ausencia de conexión entre ambos recipientes — Se descarta por la clave; aplique el criterio de resolución común que se desarrolla después de esta lista.</w:t>
      </w:r>
    </w:p>
    <w:p>
      <w:pPr>
        <w:pStyle w:val="Normal"/>
      </w:pPr>
      <w:r>
        <w:t xml:space="preserve">Criterio de resolución: El flujo reduce la diferencia de niveles que lo impulsa; al atenuarse ésta, el flujo se reduce. No hace falta añadir un controlador ausente de la figura.</w:t>
      </w:r>
    </w:p>
    <w:p>
      <w:pPr>
        <w:pStyle w:val="Fuente"/>
      </w:pPr>
      <w:r>
        <w:t xml:space="preserve">Presentación de la unidad 3 (C-2), pág. 74 y 80 · Clase 13 · 01:07:08 · Clase 16 · 00:53:20–01:01:30</w:t>
      </w:r>
    </w:p>
    <w:p>
      <w:pPr>
        <w:pStyle w:val="Heading3"/>
      </w:pPr>
      <w:bookmarkStart w:name="b_solucion_p2l_sobrecarga" w:id="6445"/>
      <w:r>
        <w:t xml:space="preserve">Solución S2-87</w:t>
      </w:r>
      <w:bookmarkEnd w:id="6445"/>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c) Porque las influencias del recorrido son positivas y el retorno amplifica la sobrecarga inicial</w:t>
            </w:r>
          </w:p>
        </w:tc>
      </w:tr>
    </w:tbl>
    <w:p>
      <w:pPr>
        <w:pStyle w:val="Normal"/>
      </w:pPr>
      <w:r>
        <w:t xml:space="preserve">a) Porque todo problema define automáticamente un B — Se descarta por la clave; aplique el criterio de resolución común que se desarrolla después de esta lista.</w:t>
      </w:r>
    </w:p>
    <w:p>
      <w:pPr>
        <w:pStyle w:val="Normal"/>
      </w:pPr>
      <w:r>
        <w:t xml:space="preserve">b) Porque el recorrido nunca vuelve al inicio — Se descarta por la clave; aplique el criterio de resolución común que se desarrolla después de esta lista.</w:t>
      </w:r>
    </w:p>
    <w:p>
      <w:pPr>
        <w:pStyle w:val="Normal"/>
      </w:pPr>
      <w:r>
        <w:t xml:space="preserve">c) Porque las influencias del recorrido son positivas y el retorno amplifica la sobrecarga inicial — Se selecciona por la clave; aplique el criterio de resolución común que se desarrolla después de esta lista.</w:t>
      </w:r>
    </w:p>
    <w:p>
      <w:pPr>
        <w:pStyle w:val="Normal"/>
      </w:pPr>
      <w:r>
        <w:t xml:space="preserve">d) Porque hay una sola relación negativa — Se descarta por la clave; aplique el criterio de resolución común que se desarrolla después de esta lista.</w:t>
      </w:r>
    </w:p>
    <w:p>
      <w:pPr>
        <w:pStyle w:val="Normal"/>
      </w:pPr>
      <w:r>
        <w:t xml:space="preserve">Criterio de resolución: Porque las influencias del recorrido son positivas y el retorno amplifica la sobrecarga inicial</w:t>
      </w:r>
    </w:p>
    <w:p>
      <w:pPr>
        <w:pStyle w:val="Fuente"/>
      </w:pPr>
      <w:r>
        <w:t xml:space="preserve">Presentación de la unidad 3 (C-2), pág. 74 y 80 · Clase 13 · 01:07:08 · Clase 16 · 00:53:20–01:01:30</w:t>
      </w:r>
    </w:p>
    <w:p>
      <w:pPr>
        <w:pStyle w:val="Heading3"/>
      </w:pPr>
      <w:bookmarkStart w:name="b_solucion_p2p_01_signo_mas" w:id="6446"/>
      <w:r>
        <w:t xml:space="preserve">Solución S2-88</w:t>
      </w:r>
      <w:bookmarkEnd w:id="6446"/>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b) Que si la causa aumenta el efecto aumenta, y si la causa disminuye el efecto disminuye: las dos se mueven en el mismo sentido</w:t>
            </w:r>
          </w:p>
        </w:tc>
      </w:tr>
    </w:tbl>
    <w:p>
      <w:pPr>
        <w:pStyle w:val="Normal"/>
      </w:pPr>
      <w:r>
        <w:t xml:space="preserve">a) Que la relación es beneficiosa para el sistema — El signo no es un juicio de valor: un ciclo vicioso está lleno de signos positivos.</w:t>
      </w:r>
    </w:p>
    <w:p>
      <w:pPr>
        <w:pStyle w:val="Normal"/>
      </w:pPr>
      <w:r>
        <w:t xml:space="preserve">b) Que si la causa aumenta el efecto aumenta, y si la causa disminuye el efecto disminuye: las dos se mueven en el mismo sentido — Correcta: el signo describe el sentido del cambio, en las dos direcciones.</w:t>
      </w:r>
    </w:p>
    <w:p>
      <w:pPr>
        <w:pStyle w:val="Normal"/>
      </w:pPr>
      <w:r>
        <w:t xml:space="preserve">c) Que la relación es más fuerte que una con signo − — La notación no codifica intensidad.</w:t>
      </w:r>
    </w:p>
    <w:p>
      <w:pPr>
        <w:pStyle w:val="Normal"/>
      </w:pPr>
      <w:r>
        <w:t xml:space="preserve">d) Que la variable de la punta siempre crece — Sólo crece si crece la causa; si la causa baja, el efecto baja.</w:t>
      </w:r>
    </w:p>
    <w:p>
      <w:pPr>
        <w:pStyle w:val="Normal"/>
      </w:pPr>
      <w:r>
        <w:t xml:space="preserve">Criterio de resolución: El signo positivo dice que causa y efecto se mueven en el mismo sentido. Conviene enunciarlo siempre en las dos direcciones, porque es la comprobación que evita confundir «positivo» con «bueno».</w:t>
      </w:r>
    </w:p>
    <w:p>
      <w:pPr>
        <w:pStyle w:val="Fuente"/>
      </w:pPr>
      <w:r>
        <w:t xml:space="preserve">Clase 14 · 00:24:21–00:26:34 · Clase 15 · 00:19:00</w:t>
      </w:r>
    </w:p>
    <w:p>
      <w:pPr>
        <w:pStyle w:val="Heading3"/>
      </w:pPr>
      <w:bookmarkStart w:name="b_solucion_p2p_02_signo_menos" w:id="6447"/>
      <w:r>
        <w:t xml:space="preserve">Solución S2-89</w:t>
      </w:r>
      <w:bookmarkEnd w:id="6447"/>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b) Que la causa y el efecto se mueven en sentidos opuestos: si una sube, la otra baja</w:t>
            </w:r>
          </w:p>
        </w:tc>
      </w:tr>
    </w:tbl>
    <w:p>
      <w:pPr>
        <w:pStyle w:val="Normal"/>
      </w:pPr>
      <w:r>
        <w:t xml:space="preserve">a) Que la relación perjudica al sistema — «Negativo» no significa dañino: la relación que sacia la sed es negativa y es la que resuelve el problema.</w:t>
      </w:r>
    </w:p>
    <w:p>
      <w:pPr>
        <w:pStyle w:val="Normal"/>
      </w:pPr>
      <w:r>
        <w:t xml:space="preserve">b) Que la causa y el efecto se mueven en sentidos opuestos: si una sube, la otra baja — Correcta: es un efecto inverso a la tendencia de la variable que provoca la reacción.</w:t>
      </w:r>
    </w:p>
    <w:p>
      <w:pPr>
        <w:pStyle w:val="Normal"/>
      </w:pPr>
      <w:r>
        <w:t xml:space="preserve">c) Que la relación no siempre se cumple — La polaridad no expresa probabilidad.</w:t>
      </w:r>
    </w:p>
    <w:p>
      <w:pPr>
        <w:pStyle w:val="Normal"/>
      </w:pPr>
      <w:r>
        <w:t xml:space="preserve">d) Que la variable de la punta disminuye siempre — Baja si la causa sube; si la causa baja, el efecto sube.</w:t>
      </w:r>
    </w:p>
    <w:p>
      <w:pPr>
        <w:pStyle w:val="Normal"/>
      </w:pPr>
      <w:r>
        <w:t xml:space="preserve">Criterio de resolución: El signo negativo marca la inversión de sentido. Es la pieza que produce compensación: cuando una variable se aleja, otra la empuja de vuelta.</w:t>
      </w:r>
    </w:p>
    <w:p>
      <w:pPr>
        <w:pStyle w:val="Fuente"/>
      </w:pPr>
      <w:r>
        <w:t xml:space="preserve">Clase 14 · 00:26:34–00:26:53</w:t>
      </w:r>
    </w:p>
    <w:p>
      <w:pPr>
        <w:pStyle w:val="Heading3"/>
      </w:pPr>
      <w:bookmarkStart w:name="b_solucion_p2p_03_regla_par_impar" w:id="6448"/>
      <w:r>
        <w:t xml:space="preserve">Solución S2-90</w:t>
      </w:r>
      <w:bookmarkEnd w:id="6448"/>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b) De balance, porque el número de relaciones negativas es impar</w:t>
            </w:r>
          </w:p>
        </w:tc>
      </w:tr>
    </w:tbl>
    <w:p>
      <w:pPr>
        <w:pStyle w:val="Normal"/>
      </w:pPr>
      <w:r>
        <w:t xml:space="preserve">a) De refuerzo, porque hay más positivas que negativas en términos de efecto — No se comparan cantidades de signos: se cuenta la paridad de los negativos.</w:t>
      </w:r>
    </w:p>
    <w:p>
      <w:pPr>
        <w:pStyle w:val="Normal"/>
      </w:pPr>
      <w:r>
        <w:t xml:space="preserve">b) De balance, porque el número de relaciones negativas es impar — Correcta: número impar de negativas, ciclo de compensación o balance.</w:t>
      </w:r>
    </w:p>
    <w:p>
      <w:pPr>
        <w:pStyle w:val="Normal"/>
      </w:pPr>
      <w:r>
        <w:t xml:space="preserve">c) De refuerzo, porque el número total de relaciones es impar — El total de relaciones es irrelevante; sólo cuentan las negativas.</w:t>
      </w:r>
    </w:p>
    <w:p>
      <w:pPr>
        <w:pStyle w:val="Normal"/>
      </w:pPr>
      <w:r>
        <w:t xml:space="preserve">d) No se puede saber sin conocer los nombres de las variables — La regla es formal y se aplica sin leer los nombres, aunque después conviene releer la historia para confirmarla.</w:t>
      </w:r>
    </w:p>
    <w:p>
      <w:pPr>
        <w:pStyle w:val="Normal"/>
      </w:pPr>
      <w:r>
        <w:t xml:space="preserve">Criterio de resolución: La regla rápida es contar los signos negativos del recorrido cerrado: un número impar da un ciclo de balance y un número par —incluido cero— da uno de refuerzo. El profesor añadió la advertencia de releer el ciclo varias veces después de asignarle la letra.</w:t>
      </w:r>
    </w:p>
    <w:p>
      <w:pPr>
        <w:pStyle w:val="Fuente"/>
      </w:pPr>
      <w:r>
        <w:t xml:space="preserve">Clase 15 · 01:10:48–01:15:17 · Clase 16 · 00:41:57 · lámina 6</w:t>
      </w:r>
    </w:p>
    <w:p>
      <w:pPr>
        <w:pStyle w:val="Heading3"/>
      </w:pPr>
      <w:bookmarkStart w:name="b_solucion_p2p_04_dos_negativas_dbdcdf16" w:id="6449"/>
      <w:r>
        <w:t xml:space="preserve">Solución S2-91</w:t>
      </w:r>
      <w:bookmarkEnd w:id="6449"/>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b) Una influencia positiva de refuerzo: las dos compensaciones se anulan entre sí</w:t>
            </w:r>
          </w:p>
        </w:tc>
      </w:tr>
    </w:tbl>
    <w:p>
      <w:pPr>
        <w:pStyle w:val="Normal"/>
      </w:pPr>
      <w:r>
        <w:t xml:space="preserve">a) Una influencia negativa, porque se suman dos signos menos — Los signos no se suman, se componen: dos inversiones devuelven el sentido original.</w:t>
      </w:r>
    </w:p>
    <w:p>
      <w:pPr>
        <w:pStyle w:val="Normal"/>
      </w:pPr>
      <w:r>
        <w:t xml:space="preserve">b) Una influencia positiva de refuerzo: las dos compensaciones se anulan entre sí — Correcta: más desarrollo termina produciendo más oferta de energía, aunque el camino pase por dos negaciones.</w:t>
      </w:r>
    </w:p>
    <w:p>
      <w:pPr>
        <w:pStyle w:val="Normal"/>
      </w:pPr>
      <w:r>
        <w:t xml:space="preserve">c) Ninguna influencia: se cancelan y la cadena queda neutra — No se cancela la influencia, se cancela la inversión: la influencia sigue existiendo y es positiva.</w:t>
      </w:r>
    </w:p>
    <w:p>
      <w:pPr>
        <w:pStyle w:val="Normal"/>
      </w:pPr>
      <w:r>
        <w:t xml:space="preserve">d) Depende de cuál de las dos relaciones sea más intensa — La intensidad no se modela en un diagrama causal.</w:t>
      </w:r>
    </w:p>
    <w:p>
      <w:pPr>
        <w:pStyle w:val="Normal"/>
      </w:pPr>
      <w:r>
        <w:t xml:space="preserve">Criterio de resolución: Encadenar dos relaciones negativas equivale a una positiva, exactamente como negar dos veces una frase. Ese es el mecanismo que explica la regla de la paridad y por qué un ciclo con cuatro negativas es de refuerzo.</w:t>
      </w:r>
    </w:p>
    <w:p>
      <w:pPr>
        <w:pStyle w:val="Fuente"/>
      </w:pPr>
      <w:r>
        <w:t xml:space="preserve">Clase 15 · 01:10:48–01:15:17 · Clase 16 · 00:42:41–00:47:55</w:t>
      </w:r>
    </w:p>
    <w:p>
      <w:pPr>
        <w:pStyle w:val="Heading3"/>
      </w:pPr>
      <w:bookmarkStart w:name="b_solucion_p2p_05_banco_cuatro_negativas" w:id="6450"/>
      <w:r>
        <w:t xml:space="preserve">Solución S2-92</w:t>
      </w:r>
      <w:bookmarkEnd w:id="6450"/>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b) De refuerzo: cuatro es par, y la historia describe una espiral que puede llevar a la quiebra o, al revés, a consolidar la solidez</w:t>
            </w:r>
          </w:p>
        </w:tc>
      </w:tr>
    </w:tbl>
    <w:p>
      <w:pPr>
        <w:pStyle w:val="Normal"/>
      </w:pPr>
      <w:r>
        <w:t xml:space="preserve">a) De balance: las cuatro negativas estabilizan el banco — Cuatro negativas no estabilizan: se anulan de dos en dos y dejan un efecto amplificador.</w:t>
      </w:r>
    </w:p>
    <w:p>
      <w:pPr>
        <w:pStyle w:val="Normal"/>
      </w:pPr>
      <w:r>
        <w:t xml:space="preserve">b) De refuerzo: cuatro es par, y la historia describe una espiral que puede llevar a la quiebra o, al revés, a consolidar la solidez — Correcta: es el ejemplo con que la lámina ilustra la regla, y admite lectura viciosa y virtuosa.</w:t>
      </w:r>
    </w:p>
    <w:p>
      <w:pPr>
        <w:pStyle w:val="Normal"/>
      </w:pPr>
      <w:r>
        <w:t xml:space="preserve">c) De balance, porque toda estructura financiera busca el equilibrio — Que el sistema tenga metas no decide la polaridad del bucle.</w:t>
      </w:r>
    </w:p>
    <w:p>
      <w:pPr>
        <w:pStyle w:val="Normal"/>
      </w:pPr>
      <w:r>
        <w:t xml:space="preserve">d) No es un ciclo, porque la solvencia es una variable externa — La solvencia forma parte del lazo: recibe y devuelve influencia.</w:t>
      </w:r>
    </w:p>
    <w:p>
      <w:pPr>
        <w:pStyle w:val="Normal"/>
      </w:pPr>
      <w:r>
        <w:t xml:space="preserve">Criterio de resolución: Leído como espiral viciosa: más fallas, menos confianza, más retiros, menos solvencia, más fallas. Leído al revés es virtuoso: pocas fallas, más confianza, menos retiros, más solvencia. La estructura es la misma; cambia hacia dónde se dispara.</w:t>
      </w:r>
    </w:p>
    <w:p>
      <w:pPr>
        <w:pStyle w:val="Fuente"/>
      </w:pPr>
      <w:r>
        <w:t xml:space="preserve">Clase 16 · 00:42:41–00:49:40 · lámina 6</w:t>
      </w:r>
    </w:p>
    <w:p>
      <w:pPr>
        <w:pStyle w:val="Heading3"/>
      </w:pPr>
      <w:bookmarkStart w:name="b_solucion_p2p_06_simplificar_c_4664903c" w:id="6451"/>
      <w:r>
        <w:t xml:space="preserve">Solución S2-93</w:t>
      </w:r>
      <w:bookmarkEnd w:id="6451"/>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b) Nada en el efecto global, que sigue siendo de refuerzo, pero se pierde el detalle de por qué ocurre esa relación causal</w:t>
            </w:r>
          </w:p>
        </w:tc>
      </w:tr>
    </w:tbl>
    <w:p>
      <w:pPr>
        <w:pStyle w:val="Normal"/>
      </w:pPr>
      <w:r>
        <w:t xml:space="preserve">a) El tipo de ciclo: pasa de refuerzo a balance — El comportamiento global se conserva; es lo que la demostración quería mostrar.</w:t>
      </w:r>
    </w:p>
    <w:p>
      <w:pPr>
        <w:pStyle w:val="Normal"/>
      </w:pPr>
      <w:r>
        <w:t xml:space="preserve">b) Nada en el efecto global, que sigue siendo de refuerzo, pero se pierde el detalle de por qué ocurre esa relación causal — Correcta: modelar con más o menos detalle cambia las relaciones visibles, no el efecto del ciclo.</w:t>
      </w:r>
    </w:p>
    <w:p>
      <w:pPr>
        <w:pStyle w:val="Normal"/>
      </w:pPr>
      <w:r>
        <w:t xml:space="preserve">c) El modelo queda mal, porque un ciclo necesita al menos cuatro variables — Dos variables bastan para formar un ciclo.</w:t>
      </w:r>
    </w:p>
    <w:p>
      <w:pPr>
        <w:pStyle w:val="Normal"/>
      </w:pPr>
      <w:r>
        <w:t xml:space="preserve">d) Se vuelve un ciclo con demora — No aparece ninguna demora al simplificar.</w:t>
      </w:r>
    </w:p>
    <w:p>
      <w:pPr>
        <w:pStyle w:val="Normal"/>
      </w:pPr>
      <w:r>
        <w:t xml:space="preserve">Criterio de resolución: El profesor lo dibujó en vivo: al comprimir cuatro negativas en dos positivas, la historia sigue siendo la misma espiral. Lo que se pierde es la explicación intermedia —por qué los retiros aumentan— y esa pérdida es una decisión del modelador, no un error.</w:t>
      </w:r>
    </w:p>
    <w:p>
      <w:pPr>
        <w:pStyle w:val="Fuente"/>
      </w:pPr>
      <w:r>
        <w:t xml:space="preserve">Clase 16 · 00:45:49–00:48:31</w:t>
      </w:r>
    </w:p>
    <w:p>
      <w:pPr>
        <w:pStyle w:val="Heading3"/>
      </w:pPr>
      <w:bookmarkStart w:name="b_solucion_p2p_07_balance_busca_objetivo" w:id="6452"/>
      <w:r>
        <w:t xml:space="preserve">Solución S2-94</w:t>
      </w:r>
      <w:bookmarkEnd w:id="6452"/>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b) Que alcanza una meta u objetivo y se mantiene ahí, en un rango estable de valores</w:t>
            </w:r>
          </w:p>
        </w:tc>
      </w:tr>
    </w:tbl>
    <w:p>
      <w:pPr>
        <w:pStyle w:val="Normal"/>
      </w:pPr>
      <w:r>
        <w:t xml:space="preserve">a) Que crece cada vez más rápido — Ese es el comportamiento del ciclo de refuerzo.</w:t>
      </w:r>
    </w:p>
    <w:p>
      <w:pPr>
        <w:pStyle w:val="Normal"/>
      </w:pPr>
      <w:r>
        <w:t xml:space="preserve">b) Que alcanza una meta u objetivo y se mantiene ahí, en un rango estable de valores — Correcta: no hay crecimiento ni decrecimiento infinito; hay convergencia hacia un valor.</w:t>
      </w:r>
    </w:p>
    <w:p>
      <w:pPr>
        <w:pStyle w:val="Normal"/>
      </w:pPr>
      <w:r>
        <w:t xml:space="preserve">c) Que desaparece después de unas cuantas vueltas — El ciclo persiste mientras exista la estructura.</w:t>
      </w:r>
    </w:p>
    <w:p>
      <w:pPr>
        <w:pStyle w:val="Normal"/>
      </w:pPr>
      <w:r>
        <w:t xml:space="preserve">d) Que invierte su polaridad periódicamente — La polaridad de las relaciones no cambia sola.</w:t>
      </w:r>
    </w:p>
    <w:p>
      <w:pPr>
        <w:pStyle w:val="Normal"/>
      </w:pPr>
      <w:r>
        <w:t xml:space="preserve">Criterio de resolución: El ciclo de balance no deja que las variables tiendan todas en el mismo sentido: alguna revierte la tendencia. Globalmente eso produce equilibrio, y por eso también se le llama ciclo de control: el sistema tiende a un estado estable y ahí se queda.</w:t>
      </w:r>
    </w:p>
    <w:p>
      <w:pPr>
        <w:pStyle w:val="Fuente"/>
      </w:pPr>
      <w:r>
        <w:t xml:space="preserve">Clase 14 · 00:39:43–00:41:20 · Clase 15 · 00:23:41–00:26:01</w:t>
      </w:r>
    </w:p>
    <w:p>
      <w:pPr>
        <w:pStyle w:val="Heading3"/>
      </w:pPr>
      <w:bookmarkStart w:name="b_solucion_p2p_08_refuerzo_sin_objetivo" w:id="6453"/>
      <w:r>
        <w:t xml:space="preserve">Solución S2-95</w:t>
      </w:r>
      <w:bookmarkEnd w:id="6453"/>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b) Amplificar el cambio inicial: las variables crecen o decrecen indefinidamente mientras nada lo restrinja</w:t>
            </w:r>
          </w:p>
        </w:tc>
      </w:tr>
    </w:tbl>
    <w:p>
      <w:pPr>
        <w:pStyle w:val="Normal"/>
      </w:pPr>
      <w:r>
        <w:t xml:space="preserve">a) Buscar un objetivo implícito y mantenerse cerca de él — No busca objetivo: es justamente lo que lo distingue del de balance.</w:t>
      </w:r>
    </w:p>
    <w:p>
      <w:pPr>
        <w:pStyle w:val="Normal"/>
      </w:pPr>
      <w:r>
        <w:t xml:space="preserve">b) Amplificar el cambio inicial: las variables crecen o decrecen indefinidamente mientras nada lo restrinja — Correcta: crece o decrece sin restricción hasta que otro ciclo o una variable externa lo detenga.</w:t>
      </w:r>
    </w:p>
    <w:p>
      <w:pPr>
        <w:pStyle w:val="Normal"/>
      </w:pPr>
      <w:r>
        <w:t xml:space="preserve">c) Oscilar alrededor de un valor medio — La oscilación aparece cuando se acoplan un refuerzo y un balance, no en un refuerzo solo.</w:t>
      </w:r>
    </w:p>
    <w:p>
      <w:pPr>
        <w:pStyle w:val="Normal"/>
      </w:pPr>
      <w:r>
        <w:t xml:space="preserve">d) Mantener las variables constantes — Un ciclo que mantiene constante una variable es de balance.</w:t>
      </w:r>
    </w:p>
    <w:p>
      <w:pPr>
        <w:pStyle w:val="Normal"/>
      </w:pPr>
      <w:r>
        <w:t xml:space="preserve">Criterio de resolución: En un ciclo de refuerzo todas las variables tienden en un mismo sentido de influencia. Puede ser hacia arriba o hacia abajo: un desplome también es refuerzo, porque el cambio se amplifica a sí mismo.</w:t>
      </w:r>
    </w:p>
    <w:p>
      <w:pPr>
        <w:pStyle w:val="Fuente"/>
      </w:pPr>
      <w:r>
        <w:t xml:space="preserve">Clase 14 · 00:41:47–00:42:20 y 00:51:57</w:t>
      </w:r>
    </w:p>
    <w:p>
      <w:pPr>
        <w:pStyle w:val="Heading3"/>
      </w:pPr>
      <w:bookmarkStart w:name="b_solucion_p2p_09_virtuoso_vicioso" w:id="6454"/>
      <w:r>
        <w:t xml:space="preserve">Solución S2-96</w:t>
      </w:r>
      <w:bookmarkEnd w:id="6454"/>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b) Nada en su estructura: los dos son ciclos de refuerzo y la diferencia está en la valoración de las consecuencias</w:t>
            </w:r>
          </w:p>
        </w:tc>
      </w:tr>
    </w:tbl>
    <w:p>
      <w:pPr>
        <w:pStyle w:val="Normal"/>
      </w:pPr>
      <w:r>
        <w:t xml:space="preserve">a) El virtuoso es de refuerzo y el vicioso es de balance — Los dos son de refuerzo.</w:t>
      </w:r>
    </w:p>
    <w:p>
      <w:pPr>
        <w:pStyle w:val="Normal"/>
      </w:pPr>
      <w:r>
        <w:t xml:space="preserve">b) Nada en su estructura: los dos son ciclos de refuerzo y la diferencia está en la valoración de las consecuencias — Correcta: es la definición que la clase discutió y dio por buena, y explica por qué el mismo diagrama sirve para ambos.</w:t>
      </w:r>
    </w:p>
    <w:p>
      <w:pPr>
        <w:pStyle w:val="Normal"/>
      </w:pPr>
      <w:r>
        <w:t xml:space="preserve">c) El virtuoso tiene signos positivos y el vicioso, negativos — Los signos pueden ser idénticos en los dos casos.</w:t>
      </w:r>
    </w:p>
    <w:p>
      <w:pPr>
        <w:pStyle w:val="Normal"/>
      </w:pPr>
      <w:r>
        <w:t xml:space="preserve">d) El virtuoso ocurre en sistemas naturales y el vicioso en sistemas humanos — No hay tal reparto.</w:t>
      </w:r>
    </w:p>
    <w:p>
      <w:pPr>
        <w:pStyle w:val="Normal"/>
      </w:pPr>
      <w:r>
        <w:t xml:space="preserve">Criterio de resolución: Un ciclo virtuoso amplifica resultados que se consideran favorables y uno vicioso amplifica resultados desfavorables. La estructura es la misma; lo que cambia es el juicio sobre hacia dónde se dispara.</w:t>
      </w:r>
    </w:p>
    <w:p>
      <w:pPr>
        <w:pStyle w:val="Fuente"/>
      </w:pPr>
      <w:r>
        <w:t xml:space="preserve">Clase 14 · 01:26:29–01:33:30 y 01:36:24 · lámina 14</w:t>
      </w:r>
    </w:p>
    <w:p>
      <w:pPr>
        <w:pStyle w:val="Heading3"/>
      </w:pPr>
      <w:bookmarkStart w:name="b_solucion_p2p_10_sed" w:id="6455"/>
      <w:r>
        <w:t xml:space="preserve">Solución S2-97</w:t>
      </w:r>
      <w:bookmarkEnd w:id="6455"/>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b) Negativa; ciclo de balance, porque una sola relación negativa es un número impar</w:t>
            </w:r>
          </w:p>
        </w:tc>
      </w:tr>
    </w:tbl>
    <w:p>
      <w:pPr>
        <w:pStyle w:val="Normal"/>
      </w:pPr>
      <w:r>
        <w:t xml:space="preserve">a) Positiva; ciclo de refuerzo — Si fuera positiva, beber agua daría más sed y nadie dejaría de beber nunca.</w:t>
      </w:r>
    </w:p>
    <w:p>
      <w:pPr>
        <w:pStyle w:val="Normal"/>
      </w:pPr>
      <w:r>
        <w:t xml:space="preserve">b) Negativa; ciclo de balance, porque una sola relación negativa es un número impar — Correcta: al subir el contenido de agua baja la sed, y esa única negativa convierte el bucle en compensador.</w:t>
      </w:r>
    </w:p>
    <w:p>
      <w:pPr>
        <w:pStyle w:val="Normal"/>
      </w:pPr>
      <w:r>
        <w:t xml:space="preserve">c) Negativa; ciclo de refuerzo — La polaridad es negativa, pero entonces el ciclo no puede ser de refuerzo.</w:t>
      </w:r>
    </w:p>
    <w:p>
      <w:pPr>
        <w:pStyle w:val="Normal"/>
      </w:pPr>
      <w:r>
        <w:t xml:space="preserve">d) Positiva; ciclo de balance — La polaridad no es positiva.</w:t>
      </w:r>
    </w:p>
    <w:p>
      <w:pPr>
        <w:pStyle w:val="Normal"/>
      </w:pPr>
      <w:r>
        <w:t xml:space="preserve">Criterio de resolución: La relación que cierra el ciclo invierte el sentido: más agua en el cuerpo, menos sed. Esa inversión es la que devuelve el sistema a su estado estable y detiene la acción de beber.</w:t>
      </w:r>
    </w:p>
    <w:p>
      <w:pPr>
        <w:pStyle w:val="Fuente"/>
      </w:pPr>
      <w:r>
        <w:t xml:space="preserve">Clase 14 · 00:09:38–00:16:40 · lámina 4</w:t>
      </w:r>
    </w:p>
    <w:p>
      <w:pPr>
        <w:pStyle w:val="Heading3"/>
      </w:pPr>
      <w:bookmarkStart w:name="b_solucion_p2p_11_valvula_de_flote" w:id="6456"/>
      <w:r>
        <w:t xml:space="preserve">Solución S2-98</w:t>
      </w:r>
      <w:bookmarkEnd w:id="6456"/>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b) Negativa: al subir la válvula el flujo se cierra, y al bajar la válvula el flujo se abre</w:t>
            </w:r>
          </w:p>
        </w:tc>
      </w:tr>
    </w:tbl>
    <w:p>
      <w:pPr>
        <w:pStyle w:val="Normal"/>
      </w:pPr>
      <w:r>
        <w:t xml:space="preserve">a) Positiva: cuanto más sube la válvula, más agua entra — Fue la respuesta que dio un estudiante en clase y que el profesor corrigió: la válvula que sube cierra el paso.</w:t>
      </w:r>
    </w:p>
    <w:p>
      <w:pPr>
        <w:pStyle w:val="Normal"/>
      </w:pPr>
      <w:r>
        <w:t xml:space="preserve">b) Negativa: al subir la válvula el flujo se cierra, y al bajar la válvula el flujo se abre — Correcta: es la relación que invierte el sentido y convierte el llenado en un ciclo de control.</w:t>
      </w:r>
    </w:p>
    <w:p>
      <w:pPr>
        <w:pStyle w:val="Normal"/>
      </w:pPr>
      <w:r>
        <w:t xml:space="preserve">c) No tiene polaridad: es una relación mecánica — Toda relación causal de un diagrama lleva polaridad.</w:t>
      </w:r>
    </w:p>
    <w:p>
      <w:pPr>
        <w:pStyle w:val="Normal"/>
      </w:pPr>
      <w:r>
        <w:t xml:space="preserve">d) Depende de la presión del agua — La presión no altera el sentido del cambio.</w:t>
      </w:r>
    </w:p>
    <w:p>
      <w:pPr>
        <w:pStyle w:val="Normal"/>
      </w:pPr>
      <w:r>
        <w:t xml:space="preserve">Criterio de resolución: El flotador sube con el nivel y al subir cierra la entrada; al vaciarse el tanque baja y vuelve a abrirla. Esa inversión es la que hace que el tanque se llene solo hasta un punto y se detenga.</w:t>
      </w:r>
    </w:p>
    <w:p>
      <w:pPr>
        <w:pStyle w:val="Fuente"/>
      </w:pPr>
      <w:r>
        <w:t xml:space="preserve">Clase 14 · 00:17:00–00:22:00 y 00:34:25–00:39:40 · lámina 4</w:t>
      </w:r>
    </w:p>
    <w:p>
      <w:pPr>
        <w:pStyle w:val="Heading3"/>
      </w:pPr>
      <w:bookmarkStart w:name="b_solucion_p2p_12_cuenta_bancaria" w:id="6457"/>
      <w:r>
        <w:t xml:space="preserve">Solución S2-99</w:t>
      </w:r>
      <w:bookmarkEnd w:id="6457"/>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b) De refuerzo: sin negativas, el saldo crece cada vez más rápido, con forma exponencial</w:t>
            </w:r>
          </w:p>
        </w:tc>
      </w:tr>
    </w:tbl>
    <w:p>
      <w:pPr>
        <w:pStyle w:val="Normal"/>
      </w:pPr>
      <w:r>
        <w:t xml:space="preserve">a) De balance: los ahorros se estabilizan en un valor — Nada en el ciclo frena el crecimiento.</w:t>
      </w:r>
    </w:p>
    <w:p>
      <w:pPr>
        <w:pStyle w:val="Normal"/>
      </w:pPr>
      <w:r>
        <w:t xml:space="preserve">b) De refuerzo: sin negativas, el saldo crece cada vez más rápido, con forma exponencial — Correcta: cero negativas es número par, y el interés compuesto es el caso clásico de refuerzo.</w:t>
      </w:r>
    </w:p>
    <w:p>
      <w:pPr>
        <w:pStyle w:val="Normal"/>
      </w:pPr>
      <w:r>
        <w:t xml:space="preserve">c) De refuerzo, pero el crecimiento es lineal — El crecimiento no es lineal: cada vuelta parte de un saldo mayor.</w:t>
      </w:r>
    </w:p>
    <w:p>
      <w:pPr>
        <w:pStyle w:val="Normal"/>
      </w:pPr>
      <w:r>
        <w:t xml:space="preserve">d) No es un ciclo: el interés depende del banco, no del saldo — El interés generado sí depende del saldo, y por eso el lazo se cierra.</w:t>
      </w:r>
    </w:p>
    <w:p>
      <w:pPr>
        <w:pStyle w:val="Normal"/>
      </w:pPr>
      <w:r>
        <w:t xml:space="preserve">Criterio de resolución: Mientras mayor es el saldo, mayor es el interés, y ese interés se incorpora al saldo. El profesor señaló que un retiro periódico introduciría otro ciclo capaz de alterar esa tendencia.</w:t>
      </w:r>
    </w:p>
    <w:p>
      <w:pPr>
        <w:pStyle w:val="Fuente"/>
      </w:pPr>
      <w:r>
        <w:t xml:space="preserve">Clase 15 · 00:11:16–00:15:55 · láminas 3 y 4</w:t>
      </w:r>
    </w:p>
    <w:p>
      <w:pPr>
        <w:pStyle w:val="Heading3"/>
      </w:pPr>
      <w:bookmarkStart w:name="b_solucion_p2p_13_hambre" w:id="6458"/>
      <w:r>
        <w:t xml:space="preserve">Solución S2-100</w:t>
      </w:r>
      <w:bookmarkEnd w:id="6458"/>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a) Que es un ciclo de balance: el sistema alcanza un estado estable de saciedad y ahí se detiene</w:t>
            </w:r>
          </w:p>
        </w:tc>
      </w:tr>
    </w:tbl>
    <w:p>
      <w:pPr>
        <w:pStyle w:val="Normal"/>
      </w:pPr>
      <w:r>
        <w:t xml:space="preserve">a) Que es un ciclo de balance: el sistema alcanza un estado estable de saciedad y ahí se detiene — Correcta: una sola negativa, número impar, ciclo compensador con estado estable.</w:t>
      </w:r>
    </w:p>
    <w:p>
      <w:pPr>
        <w:pStyle w:val="Normal"/>
      </w:pPr>
      <w:r>
        <w:t xml:space="preserve">b) Que la relación es biológica — La letra no describe la disciplina del ejemplo.</w:t>
      </w:r>
    </w:p>
    <w:p>
      <w:pPr>
        <w:pStyle w:val="Normal"/>
      </w:pPr>
      <w:r>
        <w:t xml:space="preserve">c) Que la variable principal es el hambre — El identificador no marca variable principal alguna.</w:t>
      </w:r>
    </w:p>
    <w:p>
      <w:pPr>
        <w:pStyle w:val="Normal"/>
      </w:pPr>
      <w:r>
        <w:t xml:space="preserve">d) Que el ciclo se repite una vez al día — La frecuencia no se anota en la notación.</w:t>
      </w:r>
    </w:p>
    <w:p>
      <w:pPr>
        <w:pStyle w:val="Normal"/>
      </w:pPr>
      <w:r>
        <w:t xml:space="preserve">Criterio de resolución: El comer reduce el hambre y con ello reduce el impulso de seguir comiendo. La estabilidad alcanzada no es definitiva: se pierde con el paso de las horas, que es cuando el ciclo vuelve a activarse.</w:t>
      </w:r>
    </w:p>
    <w:p>
      <w:pPr>
        <w:pStyle w:val="Fuente"/>
      </w:pPr>
      <w:r>
        <w:t xml:space="preserve">Clase 15 · 00:20:58–00:26:00 · láminas 7 y 8</w:t>
      </w:r>
    </w:p>
    <w:p>
      <w:pPr>
        <w:pStyle w:val="Heading3"/>
      </w:pPr>
      <w:bookmarkStart w:name="b_solucion_p2p_14_caida_libre" w:id="6459"/>
      <w:r>
        <w:t xml:space="preserve">Solución S2-101</w:t>
      </w:r>
      <w:bookmarkEnd w:id="6459"/>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b) La velocidad crece hasta estabilizarse en un valor, porque la resistencia del aire compensa la aceleración</w:t>
            </w:r>
          </w:p>
        </w:tc>
      </w:tr>
    </w:tbl>
    <w:p>
      <w:pPr>
        <w:pStyle w:val="Normal"/>
      </w:pPr>
      <w:r>
        <w:t xml:space="preserve">a) La velocidad crece sin límite mientras el objeto caiga — Si no hubiera resistencia sería así, pero la relación negativa lo impide.</w:t>
      </w:r>
    </w:p>
    <w:p>
      <w:pPr>
        <w:pStyle w:val="Normal"/>
      </w:pPr>
      <w:r>
        <w:t xml:space="preserve">b) La velocidad crece hasta estabilizarse en un valor, porque la resistencia del aire compensa la aceleración — Correcta: es un ciclo de control, y su resultado es la velocidad terminal.</w:t>
      </w:r>
    </w:p>
    <w:p>
      <w:pPr>
        <w:pStyle w:val="Normal"/>
      </w:pPr>
      <w:r>
        <w:t xml:space="preserve">c) La velocidad oscila entre dos valores — No hay oscilación: la convergencia es monótona.</w:t>
      </w:r>
    </w:p>
    <w:p>
      <w:pPr>
        <w:pStyle w:val="Normal"/>
      </w:pPr>
      <w:r>
        <w:t xml:space="preserve">d) El objeto se detiene en el aire — Detenerse exigiría que la resistencia superara la gravedad, no sólo que la igualara.</w:t>
      </w:r>
    </w:p>
    <w:p>
      <w:pPr>
        <w:pStyle w:val="Normal"/>
      </w:pPr>
      <w:r>
        <w:t xml:space="preserve">Criterio de resolución: A más velocidad, más resistencia; y a más resistencia, menos velocidad. Ese único signo negativo produce un ciclo de balance cuyo estado estable es la velocidad terminal, con la gravedad actuando como variable externa de empuje constante.</w:t>
      </w:r>
    </w:p>
    <w:p>
      <w:pPr>
        <w:pStyle w:val="Fuente"/>
      </w:pPr>
      <w:r>
        <w:t xml:space="preserve">Clase 15 · 00:26:03–00:29:40 · láminas 7 y 8</w:t>
      </w:r>
    </w:p>
    <w:p>
      <w:pPr>
        <w:pStyle w:val="Heading3"/>
      </w:pPr>
      <w:bookmarkStart w:name="b_solucion_p2p_15_poblacion_dos_ciclos" w:id="6460"/>
      <w:r>
        <w:t xml:space="preserve">Solución S2-102</w:t>
      </w:r>
      <w:bookmarkEnd w:id="6460"/>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b) Nacimientos es de refuerzo —más población, más nacimientos, más población— y muertes es de balance, porque más muertes reducen la población</w:t>
            </w:r>
          </w:p>
        </w:tc>
      </w:tr>
    </w:tbl>
    <w:p>
      <w:pPr>
        <w:pStyle w:val="Normal"/>
      </w:pPr>
      <w:r>
        <w:t xml:space="preserve">a) Los dos son de refuerzo — El de muertes contiene una relación negativa.</w:t>
      </w:r>
    </w:p>
    <w:p>
      <w:pPr>
        <w:pStyle w:val="Normal"/>
      </w:pPr>
      <w:r>
        <w:t xml:space="preserve">b) Nacimientos es de refuerzo —más población, más nacimientos, más población— y muertes es de balance, porque más muertes reducen la población — Correcta: es el diagrama que la clase usó para introducir las letras R y B.</w:t>
      </w:r>
    </w:p>
    <w:p>
      <w:pPr>
        <w:pStyle w:val="Normal"/>
      </w:pPr>
      <w:r>
        <w:t xml:space="preserve">c) Los dos son de balance — El de nacimientos no tiene ninguna negativa.</w:t>
      </w:r>
    </w:p>
    <w:p>
      <w:pPr>
        <w:pStyle w:val="Normal"/>
      </w:pPr>
      <w:r>
        <w:t xml:space="preserve">d) Nacimientos es de balance y muertes de refuerzo — Está invertido.</w:t>
      </w:r>
    </w:p>
    <w:p>
      <w:pPr>
        <w:pStyle w:val="Normal"/>
      </w:pPr>
      <w:r>
        <w:t xml:space="preserve">Criterio de resolución: Los dos ciclos conviven y la población crece sólo mientras la tasa de muertes se mantenga por debajo de la de nacimientos. Si la supera, la tendencia se revierte. La esperanza de vida entra como variable externa con signo negativo sobre la tasa de muertes.</w:t>
      </w:r>
    </w:p>
    <w:p>
      <w:pPr>
        <w:pStyle w:val="Fuente"/>
      </w:pPr>
      <w:r>
        <w:t xml:space="preserve">Clase 14 · 00:55:36–01:03:30 · lámina 9</w:t>
      </w:r>
    </w:p>
    <w:p>
      <w:pPr>
        <w:pStyle w:val="Heading3"/>
      </w:pPr>
      <w:bookmarkStart w:name="b_solucion_p2p_16_ballenas" w:id="6461"/>
      <w:r>
        <w:t xml:space="preserve">Solución S2-103</w:t>
      </w:r>
      <w:bookmarkEnd w:id="6461"/>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Población </w:t>
            </w:r>
            <w:r>
              <w:rPr>
                <w:rFonts w:ascii="DejaVu Serif" w:cs="DejaVu Serif" w:eastAsia="DejaVu Serif" w:hAnsi="DejaVu Serif"/>
              </w:rPr>
              <w:t xml:space="preserve">↔</w:t>
            </w:r>
            <w:r>
              <w:t xml:space="preserve"> Nacimientos → Refuerzo: las dos relaciones son positivas y la población se amplifica</w:t>
            </w:r>
          </w:p>
          <w:p>
            <w:pPr>
              <w:pStyle w:val="Recuadro"/>
            </w:pPr>
            <w:r>
              <w:t xml:space="preserve">Población </w:t>
            </w:r>
            <w:r>
              <w:rPr>
                <w:rFonts w:ascii="DejaVu Serif" w:cs="DejaVu Serif" w:eastAsia="DejaVu Serif" w:hAnsi="DejaVu Serif"/>
              </w:rPr>
              <w:t xml:space="preserve">↔</w:t>
            </w:r>
            <w:r>
              <w:t xml:space="preserve"> Muertes naturales → Balance: más población produce más muertes, y más muertes reducen la población</w:t>
            </w:r>
          </w:p>
          <w:p>
            <w:pPr>
              <w:pStyle w:val="Recuadro"/>
            </w:pPr>
            <w:r>
              <w:t xml:space="preserve">Población </w:t>
            </w:r>
            <w:r>
              <w:rPr>
                <w:rFonts w:ascii="DejaVu Serif" w:cs="DejaVu Serif" w:eastAsia="DejaVu Serif" w:hAnsi="DejaVu Serif"/>
              </w:rPr>
              <w:t xml:space="preserve">↔</w:t>
            </w:r>
            <w:r>
              <w:t xml:space="preserve"> Pesca → Balance: más población atrae más pesca, y más pesca reduce la población</w:t>
            </w:r>
          </w:p>
        </w:tc>
      </w:tr>
    </w:tbl>
    <w:p>
      <w:pPr>
        <w:pStyle w:val="Normal"/>
      </w:pPr>
      <w:r>
        <w:t xml:space="preserve">Distractor sin fila correspondiente: Refuerzo: más pesca aumenta la población disponible.</w:t>
      </w:r>
    </w:p>
    <w:p>
      <w:pPr>
        <w:pStyle w:val="Normal"/>
      </w:pPr>
      <w:r>
        <w:t xml:space="preserve">Distractor sin fila correspondiente: No forma ciclo: sólo hay una flecha.</w:t>
      </w:r>
    </w:p>
    <w:p>
      <w:pPr>
        <w:pStyle w:val="Normal"/>
      </w:pPr>
      <w:r>
        <w:t xml:space="preserve">Criterio de resolución: Los tres lazos comparten la variable «población». El de nacimientos la empuja hacia arriba sin freno; los de muertes y pesca la frenan, cada uno con una relación negativa de retorno. Habrá más ballenas sólo si los dos ciclos de balance no superan al de refuerzo.</w:t>
      </w:r>
    </w:p>
    <w:p>
      <w:pPr>
        <w:pStyle w:val="Fuente"/>
      </w:pPr>
      <w:r>
        <w:t xml:space="preserve">Clase 14 · 01:03:33–01:07:50 · láminas 10 y 11</w:t>
      </w:r>
    </w:p>
    <w:p>
      <w:pPr>
        <w:pStyle w:val="Heading3"/>
      </w:pPr>
      <w:bookmarkStart w:name="b_solucion_p2p_17_ejercicio_ene_4ec93a53" w:id="6462"/>
      <w:r>
        <w:t xml:space="preserve">Solución S2-104</w:t>
      </w:r>
      <w:bookmarkEnd w:id="6462"/>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b) Seis: tres de refuerzo y tres de balance</w:t>
            </w:r>
          </w:p>
        </w:tc>
      </w:tr>
    </w:tbl>
    <w:p>
      <w:pPr>
        <w:pStyle w:val="Normal"/>
      </w:pPr>
      <w:r>
        <w:t xml:space="preserve">a) Cuatro: dos de refuerzo y dos de balance — Se contaron más de cuatro recorridos cerrados.</w:t>
      </w:r>
    </w:p>
    <w:p>
      <w:pPr>
        <w:pStyle w:val="Normal"/>
      </w:pPr>
      <w:r>
        <w:t xml:space="preserve">b) Seis: tres de refuerzo y tres de balance — Correcta: la lámina de respuesta los enumera uno por uno con su clasificación.</w:t>
      </w:r>
    </w:p>
    <w:p>
      <w:pPr>
        <w:pStyle w:val="Normal"/>
      </w:pPr>
      <w:r>
        <w:t xml:space="preserve">c) Cinco: uno por cada variable — El número de ciclos no coincide con el de variables.</w:t>
      </w:r>
    </w:p>
    <w:p>
      <w:pPr>
        <w:pStyle w:val="Normal"/>
      </w:pPr>
      <w:r>
        <w:t xml:space="preserve">d) Ocho: cuatro de cada tipo — No se llegó a ocho.</w:t>
      </w:r>
    </w:p>
    <w:p>
      <w:pPr>
        <w:pStyle w:val="Normal"/>
      </w:pPr>
      <w:r>
        <w:t xml:space="preserve">Criterio de resolución: Los seis recorridos se nombran por las variables que atraviesan. Los tres que pasan por condiciones ambientales resultan de balance, porque incorporan la relación negativa entre oferta de energía y condiciones ambientales sin que otra negativa la compense.</w:t>
      </w:r>
    </w:p>
    <w:p>
      <w:pPr>
        <w:pStyle w:val="Fuente"/>
      </w:pPr>
      <w:r>
        <w:t xml:space="preserve">Clase 15 · 01:01:42–01:25:40 · láminas 14, 15 y 16</w:t>
      </w:r>
    </w:p>
    <w:p>
      <w:pPr>
        <w:pStyle w:val="Heading3"/>
      </w:pPr>
      <w:bookmarkStart w:name="b_solucion_p2p_18_identificador_7af673ce" w:id="6463"/>
      <w:r>
        <w:t xml:space="preserve">Solución S2-105</w:t>
      </w:r>
      <w:bookmarkEnd w:id="6463"/>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La letra B → Ciclo de balance o compensación</w:t>
            </w:r>
          </w:p>
          <w:p>
            <w:pPr>
              <w:pStyle w:val="Recuadro"/>
            </w:pPr>
            <w:r>
              <w:t xml:space="preserve">La letra R → Ciclo de refuerzo</w:t>
            </w:r>
          </w:p>
          <w:p>
            <w:pPr>
              <w:pStyle w:val="Recuadro"/>
            </w:pPr>
            <w:r>
              <w:t xml:space="preserve">El dibujo de una balanza → Ciclo de balance o compensación</w:t>
            </w:r>
          </w:p>
          <w:p>
            <w:pPr>
              <w:pStyle w:val="Recuadro"/>
            </w:pPr>
            <w:r>
              <w:t xml:space="preserve">El dibujo de una bola de nieve bajando por la montaña → Ciclo de refuerzo</w:t>
            </w:r>
          </w:p>
        </w:tc>
      </w:tr>
    </w:tbl>
    <w:p>
      <w:pPr>
        <w:pStyle w:val="Normal"/>
      </w:pPr>
      <w:r>
        <w:t xml:space="preserve">Distractor sin fila correspondiente: Demora entre causa y efecto.</w:t>
      </w:r>
    </w:p>
    <w:p>
      <w:pPr>
        <w:pStyle w:val="Normal"/>
      </w:pPr>
      <w:r>
        <w:t xml:space="preserve">Distractor sin fila correspondiente: Variable externa al ciclo.</w:t>
      </w:r>
    </w:p>
    <w:p>
      <w:pPr>
        <w:pStyle w:val="Normal"/>
      </w:pPr>
      <w:r>
        <w:t xml:space="preserve">Criterio de resolución: Los dos comportamientos admiten varias marcas equivalentes: letra, signo o pictograma. La balanza evoca el equilibrio entre variables y la bola de nieve, la amplificación. La demora y la variable externa se anotan en otro sitio: sobre la flecha y junto al nodo, respectivamente.</w:t>
      </w:r>
    </w:p>
    <w:p>
      <w:pPr>
        <w:pStyle w:val="Fuente"/>
      </w:pPr>
      <w:r>
        <w:t xml:space="preserve">Clase 15 · 00:18:01–00:18:40 · Clase 16 · 01:16:35</w:t>
      </w:r>
    </w:p>
    <w:p>
      <w:pPr>
        <w:pStyle w:val="Heading3"/>
      </w:pPr>
      <w:bookmarkStart w:name="b_solucion_p2p_19_negativo_no_e_19aea06c" w:id="6464"/>
      <w:r>
        <w:t xml:space="preserve">Solución S2-106</w:t>
      </w:r>
      <w:bookmarkEnd w:id="6464"/>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b) Que «negativo» nombra la presencia de una relación que invierte el sentido, no una cantidad menor ni un juicio desfavorable</w:t>
            </w:r>
          </w:p>
        </w:tc>
      </w:tr>
    </w:tbl>
    <w:p>
      <w:pPr>
        <w:pStyle w:val="Normal"/>
      </w:pPr>
      <w:r>
        <w:t xml:space="preserve">a) Que los signos de las flechas no deben escribirse con símbolos matemáticos — Los símbolos + y − sí se usan; la advertencia es sobre su significado.</w:t>
      </w:r>
    </w:p>
    <w:p>
      <w:pPr>
        <w:pStyle w:val="Normal"/>
      </w:pPr>
      <w:r>
        <w:t xml:space="preserve">b) Que «negativo» nombra la presencia de una relación que invierte el sentido, no una cantidad menor ni un juicio desfavorable — Correcta: lo negativo es la inversión de tendencia, y lo positivo es el movimiento en el mismo sentido.</w:t>
      </w:r>
    </w:p>
    <w:p>
      <w:pPr>
        <w:pStyle w:val="Normal"/>
      </w:pPr>
      <w:r>
        <w:t xml:space="preserve">c) Que no se pueden sumar los signos de un ciclo — De hecho la regla práctica consiste en contarlos.</w:t>
      </w:r>
    </w:p>
    <w:p>
      <w:pPr>
        <w:pStyle w:val="Normal"/>
      </w:pPr>
      <w:r>
        <w:t xml:space="preserve">d) Que la notación proviene de la biología y no de las matemáticas — El origen no fue el punto de la advertencia.</w:t>
      </w:r>
    </w:p>
    <w:p>
      <w:pPr>
        <w:pStyle w:val="Normal"/>
      </w:pPr>
      <w:r>
        <w:t xml:space="preserve">Criterio de resolución: El vocabulario induce a error: un ciclo negativo puede ser deseable —mantiene la temperatura del cuerpo— y uno positivo puede ser catastrófico —el pánico bancario—. Los términos describen el mecanismo, no la conveniencia.</w:t>
      </w:r>
    </w:p>
    <w:p>
      <w:pPr>
        <w:pStyle w:val="Fuente"/>
      </w:pPr>
      <w:r>
        <w:t xml:space="preserve">Clase 13 · 01:43:03–01:44:10 · Clase 14 · 00:08:02</w:t>
      </w:r>
    </w:p>
    <w:p>
      <w:pPr>
        <w:pStyle w:val="Heading3"/>
      </w:pPr>
      <w:bookmarkStart w:name="b_solucion_p2p_20_color_convencion" w:id="6465"/>
      <w:r>
        <w:t xml:space="preserve">Solución S2-107</w:t>
      </w:r>
      <w:bookmarkEnd w:id="6465"/>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b) Que puede usarse, pero no es una convención tan estandarizada</w:t>
            </w:r>
          </w:p>
        </w:tc>
      </w:tr>
    </w:tbl>
    <w:p>
      <w:pPr>
        <w:pStyle w:val="Normal"/>
      </w:pPr>
      <w:r>
        <w:t xml:space="preserve">a) Que es obligatorio en todo diagrama — No es obligatorio; el mapa del jardín lo usa y otros diagramas del curso no.</w:t>
      </w:r>
    </w:p>
    <w:p>
      <w:pPr>
        <w:pStyle w:val="Normal"/>
      </w:pPr>
      <w:r>
        <w:t xml:space="preserve">b) Que puede usarse, pero no es una convención tan estandarizada — Correcta: es una ayuda de lectura, no parte del contrato de la notación.</w:t>
      </w:r>
    </w:p>
    <w:p>
      <w:pPr>
        <w:pStyle w:val="Normal"/>
      </w:pPr>
      <w:r>
        <w:t xml:space="preserve">c) Que el rojo se reserva para las demoras — Las demoras se marcan con dos rayas, no con color.</w:t>
      </w:r>
    </w:p>
    <w:p>
      <w:pPr>
        <w:pStyle w:val="Normal"/>
      </w:pPr>
      <w:r>
        <w:t xml:space="preserve">d) Que el color sustituye a los signos + y − — El color nunca sustituye a la polaridad escrita.</w:t>
      </w:r>
    </w:p>
    <w:p>
      <w:pPr>
        <w:pStyle w:val="Normal"/>
      </w:pPr>
      <w:r>
        <w:t xml:space="preserve">Criterio de resolución: Conviene no apoyarse sólo en el color: un diagrama impreso en blanco y negro debe seguir siendo legible. Los signos y el identificador del ciclo son la información que no puede faltar.</w:t>
      </w:r>
    </w:p>
    <w:p>
      <w:pPr>
        <w:pStyle w:val="Fuente"/>
      </w:pPr>
      <w:r>
        <w:t xml:space="preserve">Clase 14 · 00:07:29–00:08:02 · Clase 15 · 00:19:28</w:t>
      </w:r>
    </w:p>
    <w:p>
      <w:pPr>
        <w:pStyle w:val="Heading3"/>
      </w:pPr>
      <w:bookmarkStart w:name="b_solucion_p2p_21_caries_ciclo" w:id="6466"/>
      <w:r>
        <w:t xml:space="preserve">Solución S2-108</w:t>
      </w:r>
      <w:bookmarkEnd w:id="6466"/>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b) Negativa —a más conciencia del daño, menos consumo de refrescos—; ciclo de balance con demora</w:t>
            </w:r>
          </w:p>
        </w:tc>
      </w:tr>
    </w:tbl>
    <w:p>
      <w:pPr>
        <w:pStyle w:val="Normal"/>
      </w:pPr>
      <w:r>
        <w:t xml:space="preserve">a) Positiva; ciclo de refuerzo — Si fuera positiva, tomar conciencia del daño llevaría a beber más.</w:t>
      </w:r>
    </w:p>
    <w:p>
      <w:pPr>
        <w:pStyle w:val="Normal"/>
      </w:pPr>
      <w:r>
        <w:t xml:space="preserve">b) Negativa —a más conciencia del daño, menos consumo de refrescos—; ciclo de balance con demora — Correcta: cuatro relaciones positivas y una negativa dan un número impar, y la demora está entre el consumo y la aparición de la caries.</w:t>
      </w:r>
    </w:p>
    <w:p>
      <w:pPr>
        <w:pStyle w:val="Normal"/>
      </w:pPr>
      <w:r>
        <w:t xml:space="preserve">c) Negativa; ciclo de refuerzo — Con una negativa el ciclo no puede ser de refuerzo.</w:t>
      </w:r>
    </w:p>
    <w:p>
      <w:pPr>
        <w:pStyle w:val="Normal"/>
      </w:pPr>
      <w:r>
        <w:t xml:space="preserve">d) No cierra ciclo: la conciencia es una variable externa — La conciencia sí devuelve influencia al consumo; la variable externa es la frecuencia de cepillado.</w:t>
      </w:r>
    </w:p>
    <w:p>
      <w:pPr>
        <w:pStyle w:val="Normal"/>
      </w:pPr>
      <w:r>
        <w:t xml:space="preserve">Criterio de resolución: El supuesto que cierra el ciclo es que la experiencia en el dentista aumenta la conciencia y que esa conciencia reduce el consumo. Si no se reconoce esa relación, el ciclo se debilita y el comportamiento sigue.</w:t>
      </w:r>
    </w:p>
    <w:p>
      <w:pPr>
        <w:pStyle w:val="Fuente"/>
      </w:pPr>
      <w:r>
        <w:t xml:space="preserve">Clase 14 · 01:34:39–01:37:24 · lámina 15 · Clase 16 · 01:13:41–01:20:09</w:t>
      </w:r>
    </w:p>
    <w:p>
      <w:pPr>
        <w:pStyle w:val="Heading3"/>
      </w:pPr>
      <w:bookmarkStart w:name="b_solucion_p2p_22_ana_ciclo" w:id="6467"/>
      <w:r>
        <w:t xml:space="preserve">Solución S2-109</w:t>
      </w:r>
      <w:bookmarkEnd w:id="6467"/>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b) Que tiene una sola relación negativa, la que va de la tasa de terminación al trabajo pendiente</w:t>
            </w:r>
          </w:p>
        </w:tc>
      </w:tr>
    </w:tbl>
    <w:p>
      <w:pPr>
        <w:pStyle w:val="Normal"/>
      </w:pPr>
      <w:r>
        <w:t xml:space="preserve">a) Que tiene cuatro variables — El número de variables no decide el tipo.</w:t>
      </w:r>
    </w:p>
    <w:p>
      <w:pPr>
        <w:pStyle w:val="Normal"/>
      </w:pPr>
      <w:r>
        <w:t xml:space="preserve">b) Que tiene una sola relación negativa, la que va de la tasa de terminación al trabajo pendiente — Correcta: tres positivas y una negativa, número impar, ciclo compensador.</w:t>
      </w:r>
    </w:p>
    <w:p>
      <w:pPr>
        <w:pStyle w:val="Normal"/>
      </w:pPr>
      <w:r>
        <w:t xml:space="preserve">c) Que el tiempo disponible es una variable externa — La variable externa influye sobre el ciclo pero no interviene en el recuento de sus signos.</w:t>
      </w:r>
    </w:p>
    <w:p>
      <w:pPr>
        <w:pStyle w:val="Normal"/>
      </w:pPr>
      <w:r>
        <w:t xml:space="preserve">d) Que la protagonista trabaja fuera de horario — El contenido de la historia no decide la polaridad.</w:t>
      </w:r>
    </w:p>
    <w:p>
      <w:pPr>
        <w:pStyle w:val="Normal"/>
      </w:pPr>
      <w:r>
        <w:t xml:space="preserve">Criterio de resolución: El ciclo compensa el cambio inicial: más presión produce más trabajo extra, que termina más actividades, que reducen lo pendiente y con ello la presión. Por eso el modelo básico se llama «Midnight Oil»: funciona, pero sólo unos días.</w:t>
      </w:r>
    </w:p>
    <w:p>
      <w:pPr>
        <w:pStyle w:val="Fuente"/>
      </w:pPr>
      <w:r>
        <w:t xml:space="preserve">Clase 16 · 01:42:53–01:44:55 · lámina 25</w:t>
      </w:r>
    </w:p>
    <w:p>
      <w:pPr>
        <w:pStyle w:val="Heading3"/>
      </w:pPr>
      <w:bookmarkStart w:name="b_solucion_p2p_23_notacion_vinculos" w:id="6468"/>
      <w:r>
        <w:t xml:space="preserve">Solución S2-110</w:t>
      </w:r>
      <w:bookmarkEnd w:id="6468"/>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b) Porque la relación se afirma respecto de lo que habría pasado sin ese cambio, con todo lo demás igual, y no como una promesa de crecimiento absoluto</w:t>
            </w:r>
          </w:p>
        </w:tc>
      </w:tr>
    </w:tbl>
    <w:p>
      <w:pPr>
        <w:pStyle w:val="Normal"/>
      </w:pPr>
      <w:r>
        <w:t xml:space="preserve">a) Porque el efecto siempre termina siendo mayor que la causa — No se comparan magnitudes entre causa y efecto.</w:t>
      </w:r>
    </w:p>
    <w:p>
      <w:pPr>
        <w:pStyle w:val="Normal"/>
      </w:pPr>
      <w:r>
        <w:t xml:space="preserve">b) Porque la relación se afirma respecto de lo que habría pasado sin ese cambio, con todo lo demás igual, y no como una promesa de crecimiento absoluto — Correcta: la cláusula «si todo lo demás permanece igual» es la que da precisión a la afirmación.</w:t>
      </w:r>
    </w:p>
    <w:p>
      <w:pPr>
        <w:pStyle w:val="Normal"/>
      </w:pPr>
      <w:r>
        <w:t xml:space="preserve">c) Porque los efectos tardan en aparecer — La demora es otro asunto y se marca aparte.</w:t>
      </w:r>
    </w:p>
    <w:p>
      <w:pPr>
        <w:pStyle w:val="Normal"/>
      </w:pPr>
      <w:r>
        <w:t xml:space="preserve">d) Porque la relación sólo vale si hay acumulación — La lámina contempla también el caso de las acumulaciones, pero la formulación general no depende de ellas.</w:t>
      </w:r>
    </w:p>
    <w:p>
      <w:pPr>
        <w:pStyle w:val="Normal"/>
      </w:pPr>
      <w:r>
        <w:t xml:space="preserve">Criterio de resolución: Un vínculo causal no promete que la variable suba: promete que subirá más de lo que habría subido sin ese empujón. Es lo que permite mantener la afirmación aunque otros ciclos estén tirando en sentido contrario.</w:t>
      </w:r>
    </w:p>
    <w:p>
      <w:pPr>
        <w:pStyle w:val="Fuente"/>
      </w:pPr>
      <w:r>
        <w:t xml:space="preserve">Clase 14 · 01:11:03–01:18:40 · lámina 12</w:t>
      </w:r>
    </w:p>
    <w:p>
      <w:pPr>
        <w:pStyle w:val="Heading3"/>
      </w:pPr>
      <w:bookmarkStart w:name="b_solucion_p2p_24_clasificar_casos" w:id="6469"/>
      <w:r>
        <w:t xml:space="preserve">Solución S2-111</w:t>
      </w:r>
      <w:bookmarkEnd w:id="6469"/>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Ciclo de refuerzo: El chillido del micrófono frente a la bocina; El interés compuesto de una cuenta de ahorro; Malas notas que reducen la confianza y llevan a estudiar menos</w:t>
            </w:r>
          </w:p>
          <w:p>
            <w:pPr>
              <w:pStyle w:val="Recuadro"/>
            </w:pPr>
            <w:r>
              <w:t xml:space="preserve">Ciclo de balance: La sed que se sacia al beber agua; El tanque que deja de llenarse cuando sube el flotador; El termostato que apaga la calefacción al alcanzar la temperatura</w:t>
            </w:r>
          </w:p>
        </w:tc>
      </w:tr>
    </w:tbl>
    <w:p>
      <w:pPr>
        <w:pStyle w:val="Normal"/>
      </w:pPr>
      <w:r>
        <w:t xml:space="preserve">Criterio de resolución: El criterio es si hay alguna relación que invierta la tendencia. Los tres primeros amplifican el cambio inicial sin freno interno; los tres últimos contienen una variable que empuja de vuelta hacia un objetivo.</w:t>
      </w:r>
    </w:p>
    <w:p>
      <w:pPr>
        <w:pStyle w:val="Fuente"/>
      </w:pPr>
      <w:r>
        <w:t xml:space="preserve">Clase 14 · láminas 3, 4 y 6 · Clase 15 · lámina 3</w:t>
      </w:r>
    </w:p>
    <w:p>
      <w:pPr>
        <w:pStyle w:val="Heading3"/>
      </w:pPr>
      <w:bookmarkStart w:name="b_solucion_p2p_25_arrastrar_polaridades" w:id="6470"/>
      <w:r>
        <w:t xml:space="preserve">Solución S2-112</w:t>
      </w:r>
      <w:bookmarkEnd w:id="6470"/>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Polaridad positiva (+): Sed → Tomar agua; Presión por el cronograma → Trabajo extra; Población → Tasa de muertes</w:t>
            </w:r>
          </w:p>
          <w:p>
            <w:pPr>
              <w:pStyle w:val="Recuadro"/>
            </w:pPr>
            <w:r>
              <w:t xml:space="preserve">Polaridad negativa (−): Contenido de agua en el cuerpo → Sed; Tasa de terminación → Trabajo pendiente; Tasa de muertes → Población</w:t>
            </w:r>
          </w:p>
        </w:tc>
      </w:tr>
    </w:tbl>
    <w:p>
      <w:pPr>
        <w:pStyle w:val="Normal"/>
      </w:pPr>
      <w:r>
        <w:t xml:space="preserve">Criterio de resolución: Fíjese en los pares: en los tres casos la ida es positiva y la vuelta es negativa, y eso es lo que produce compensación. Cuando hay más población hay más muertes —positiva—, pero más muertes dejan menos población —negativa—.</w:t>
      </w:r>
    </w:p>
    <w:p>
      <w:pPr>
        <w:pStyle w:val="Fuente"/>
      </w:pPr>
      <w:r>
        <w:t xml:space="preserve">Clase 14 · 00:09:38–00:16:40 y 00:55:36–01:03:30 · Clase 16 · lámina 25</w:t>
      </w:r>
    </w:p>
    <w:p>
      <w:pPr>
        <w:pStyle w:val="Heading3"/>
      </w:pPr>
      <w:bookmarkStart w:name="b_solucion_p2p_26_leer_antes_de_d44e37e9" w:id="6471"/>
      <w:r>
        <w:t xml:space="preserve">Solución S2-113</w:t>
      </w:r>
      <w:bookmarkEnd w:id="6471"/>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b) Releer el ciclo varias veces para estar seguro de que efectivamente es R o B</w:t>
            </w:r>
          </w:p>
        </w:tc>
      </w:tr>
    </w:tbl>
    <w:p>
      <w:pPr>
        <w:pStyle w:val="Normal"/>
      </w:pPr>
      <w:r>
        <w:t xml:space="preserve">a) Verificar el número de variables — El recuento de variables no comprueba nada.</w:t>
      </w:r>
    </w:p>
    <w:p>
      <w:pPr>
        <w:pStyle w:val="Normal"/>
      </w:pPr>
      <w:r>
        <w:t xml:space="preserve">b) Releer el ciclo varias veces para estar seguro de que efectivamente es R o B — Correcta: el lineamiento incluye esa advertencia en mayúsculas, como un «cuidado».</w:t>
      </w:r>
    </w:p>
    <w:p>
      <w:pPr>
        <w:pStyle w:val="Normal"/>
      </w:pPr>
      <w:r>
        <w:t xml:space="preserve">c) Cambiar el color de las flechas — El color es opcional.</w:t>
      </w:r>
    </w:p>
    <w:p>
      <w:pPr>
        <w:pStyle w:val="Normal"/>
      </w:pPr>
      <w:r>
        <w:t xml:space="preserve">d) Anotar la fecha de revisión — No forma parte del método.</w:t>
      </w:r>
    </w:p>
    <w:p>
      <w:pPr>
        <w:pStyle w:val="Normal"/>
      </w:pPr>
      <w:r>
        <w:t xml:space="preserve">Criterio de resolución: La regla del conteo es rápida y por eso es fácil aplicarla sobre un diagrama que tiene un signo mal puesto. Releer la historia es la comprobación independiente: si al contarla no se comporta como dice la letra, el error está en algún signo.</w:t>
      </w:r>
    </w:p>
    <w:p>
      <w:pPr>
        <w:pStyle w:val="Fuente"/>
      </w:pPr>
      <w:r>
        <w:t xml:space="preserve">Clase 16 · 00:41:57–00:45:45 · lámina 6</w:t>
      </w:r>
    </w:p>
    <w:p>
      <w:pPr>
        <w:pStyle w:val="Heading3"/>
      </w:pPr>
      <w:bookmarkStart w:name="b_solucion_p2p_27_arquetipos_basicos" w:id="6472"/>
      <w:r>
        <w:t xml:space="preserve">Solución S2-114</w:t>
      </w:r>
      <w:bookmarkEnd w:id="6472"/>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b) Porque son los dos patrones de comportamiento que pueden encontrarse en la estructura de cualquier sistema</w:t>
            </w:r>
          </w:p>
        </w:tc>
      </w:tr>
    </w:tbl>
    <w:p>
      <w:pPr>
        <w:pStyle w:val="Normal"/>
      </w:pPr>
      <w:r>
        <w:t xml:space="preserve">a) Porque son los dos únicos ciclos que existen en la naturaleza — No es una afirmación sobre la naturaleza sino sobre los patrones de modelación.</w:t>
      </w:r>
    </w:p>
    <w:p>
      <w:pPr>
        <w:pStyle w:val="Normal"/>
      </w:pPr>
      <w:r>
        <w:t xml:space="preserve">b) Porque son los dos patrones de comportamiento que pueden encontrarse en la estructura de cualquier sistema — Correcta: son las dos formas elementales con las que se construye cualquier estructura más compleja.</w:t>
      </w:r>
    </w:p>
    <w:p>
      <w:pPr>
        <w:pStyle w:val="Normal"/>
      </w:pPr>
      <w:r>
        <w:t xml:space="preserve">c) Porque los definió Peter Senge en su libro — Senge se citó por otras razones; la clase no atribuyó ahí la denominación.</w:t>
      </w:r>
    </w:p>
    <w:p>
      <w:pPr>
        <w:pStyle w:val="Normal"/>
      </w:pPr>
      <w:r>
        <w:t xml:space="preserve">d) Porque son los más difíciles de identificar — Son los más elementales, no los más difíciles.</w:t>
      </w:r>
    </w:p>
    <w:p>
      <w:pPr>
        <w:pStyle w:val="Normal"/>
      </w:pPr>
      <w:r>
        <w:t xml:space="preserve">Criterio de resolución: Los arquetipos más elaborados que se anuncian para la unidad siguiente se construyen combinando estos dos. Por eso conviene dominarlos: son el alfabeto con el que se escriben las estructuras compuestas.</w:t>
      </w:r>
    </w:p>
    <w:p>
      <w:pPr>
        <w:pStyle w:val="Fuente"/>
      </w:pPr>
      <w:r>
        <w:t xml:space="preserve">Clase 15 · 00:18:40–00:19:00</w:t>
      </w:r>
    </w:p>
    <w:p>
      <w:pPr>
        <w:pStyle w:val="Heading3"/>
      </w:pPr>
      <w:bookmarkStart w:name="b_solucion_p2p_28_solucion_rapida" w:id="6473"/>
      <w:r>
        <w:t xml:space="preserve">Solución S2-115</w:t>
      </w:r>
      <w:bookmarkEnd w:id="6473"/>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b) Que es un ciclo de balance que alivia el síntoma, y que por eso puede convivir con la causa de fondo sin resolverla</w:t>
            </w:r>
          </w:p>
        </w:tc>
      </w:tr>
    </w:tbl>
    <w:p>
      <w:pPr>
        <w:pStyle w:val="Normal"/>
      </w:pPr>
      <w:r>
        <w:t xml:space="preserve">a) Que no es realmente un ciclo — Sí lo es: el dolor provoca la acción y la acción reduce el dolor.</w:t>
      </w:r>
    </w:p>
    <w:p>
      <w:pPr>
        <w:pStyle w:val="Normal"/>
      </w:pPr>
      <w:r>
        <w:t xml:space="preserve">b) Que es un ciclo de balance que alivia el síntoma, y que por eso puede convivir con la causa de fondo sin resolverla — Correcta: compensa la desviación, que es lo que lo vuelve atractivo y a la vez insuficiente.</w:t>
      </w:r>
    </w:p>
    <w:p>
      <w:pPr>
        <w:pStyle w:val="Normal"/>
      </w:pPr>
      <w:r>
        <w:t xml:space="preserve">c) Que es un ciclo de refuerzo del consumo de medicinas — Tal como está dibujado, con una negativa, es de balance.</w:t>
      </w:r>
    </w:p>
    <w:p>
      <w:pPr>
        <w:pStyle w:val="Normal"/>
      </w:pPr>
      <w:r>
        <w:t xml:space="preserve">d) Que carece de demora — Puede haberla o no; no es lo característico del caso.</w:t>
      </w:r>
    </w:p>
    <w:p>
      <w:pPr>
        <w:pStyle w:val="Normal"/>
      </w:pPr>
      <w:r>
        <w:t xml:space="preserve">Criterio de resolución: Es el germen del arquetipo que la unidad siguiente estudiará como desplazamiento de la carga: una solución sintomática eficaz a corto plazo que reduce la presión por buscar la solución de fondo.</w:t>
      </w:r>
    </w:p>
    <w:p>
      <w:pPr>
        <w:pStyle w:val="Fuente"/>
      </w:pPr>
      <w:r>
        <w:t xml:space="preserve">Clase 14 · 00:22:12–00:23:24 · lámina 4</w:t>
      </w:r>
    </w:p>
    <w:p>
      <w:pPr>
        <w:pStyle w:val="Heading3"/>
      </w:pPr>
      <w:bookmarkStart w:name="b_solucion_p2p_29_todas_mismo_sentido" w:id="6474"/>
      <w:r>
        <w:t xml:space="preserve">Solución S2-116</w:t>
      </w:r>
      <w:bookmarkEnd w:id="6474"/>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a) Que las variables tienden todas en un mismo sentido y el ciclo se mueve indefinidamente en esa dirección hasta que algo lo interrumpa</w:t>
            </w:r>
          </w:p>
        </w:tc>
      </w:tr>
    </w:tbl>
    <w:p>
      <w:pPr>
        <w:pStyle w:val="Normal"/>
      </w:pPr>
      <w:r>
        <w:t xml:space="preserve">a) Que las variables tienden todas en un mismo sentido y el ciclo se mueve indefinidamente en esa dirección hasta que algo lo interrumpa — Correcta: cero negativas es número par y el bucle amplifica.</w:t>
      </w:r>
    </w:p>
    <w:p>
      <w:pPr>
        <w:pStyle w:val="Normal"/>
      </w:pPr>
      <w:r>
        <w:t xml:space="preserve">b) Que el ciclo se estabiliza rápido — Nada dentro del ciclo lo estabiliza.</w:t>
      </w:r>
    </w:p>
    <w:p>
      <w:pPr>
        <w:pStyle w:val="Normal"/>
      </w:pPr>
      <w:r>
        <w:t xml:space="preserve">c) Que el ciclo es virtuoso — Puede ser virtuoso o vicioso según hacia dónde se dispare y cómo se valore.</w:t>
      </w:r>
    </w:p>
    <w:p>
      <w:pPr>
        <w:pStyle w:val="Normal"/>
      </w:pPr>
      <w:r>
        <w:t xml:space="preserve">d) Que faltan signos por asignar — Un ciclo puede legítimamente tener todas sus relaciones positivas.</w:t>
      </w:r>
    </w:p>
    <w:p>
      <w:pPr>
        <w:pStyle w:val="Normal"/>
      </w:pPr>
      <w:r>
        <w:t xml:space="preserve">Criterio de resolución: Sin ninguna relación de compensación, todo el bucle empuja en la misma dirección. El acople del micrófono y el interés compuesto son los dos casos que la clase usó para fijarlo.</w:t>
      </w:r>
    </w:p>
    <w:p>
      <w:pPr>
        <w:pStyle w:val="Fuente"/>
      </w:pPr>
      <w:r>
        <w:t xml:space="preserve">Clase 14 · 00:51:57–00:53:05</w:t>
      </w:r>
    </w:p>
    <w:p>
      <w:pPr>
        <w:pStyle w:val="Heading3"/>
      </w:pPr>
      <w:bookmarkStart w:name="b_solucion_p2p_30_ciclos_conviven" w:id="6475"/>
      <w:r>
        <w:t xml:space="preserve">Solución S2-117</w:t>
      </w:r>
      <w:bookmarkEnd w:id="6475"/>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b) El comportamiento observable resulta de su combinación: el de balance puede frenar al de refuerzo, y el acoplamiento de ambos puede producir oscilación</w:t>
            </w:r>
          </w:p>
        </w:tc>
      </w:tr>
    </w:tbl>
    <w:p>
      <w:pPr>
        <w:pStyle w:val="Normal"/>
      </w:pPr>
      <w:r>
        <w:t xml:space="preserve">a) Se anulan y el sistema queda inmóvil — No se anulan: interactúan.</w:t>
      </w:r>
    </w:p>
    <w:p>
      <w:pPr>
        <w:pStyle w:val="Normal"/>
      </w:pPr>
      <w:r>
        <w:t xml:space="preserve">b) El comportamiento observable resulta de su combinación: el de balance puede frenar al de refuerzo, y el acoplamiento de ambos puede producir oscilación — Correcta: es lo que muestran la población con nacimientos y muertes, y el modelo presa-depredador con su oscilación.</w:t>
      </w:r>
    </w:p>
    <w:p>
      <w:pPr>
        <w:pStyle w:val="Normal"/>
      </w:pPr>
      <w:r>
        <w:t xml:space="preserve">c) Siempre gana el de refuerzo — El de balance puede imponerse, como en el caso de las ballenas llevadas a la extinción.</w:t>
      </w:r>
    </w:p>
    <w:p>
      <w:pPr>
        <w:pStyle w:val="Normal"/>
      </w:pPr>
      <w:r>
        <w:t xml:space="preserve">d) El modelo está mal construido y hay que quedarse con uno — Los sistemas reales tienen muchos ciclos a la vez; eso no es un defecto del modelo.</w:t>
      </w:r>
    </w:p>
    <w:p>
      <w:pPr>
        <w:pStyle w:val="Normal"/>
      </w:pPr>
      <w:r>
        <w:t xml:space="preserve">Criterio de resolución: Los procesos de refuerzo y balance se combinan de infinitas maneras, según dice la lámina. Contar los ciclos de un modelo y clasificarlos uno por uno es justamente el ejercicio que prepara para leer esa combinación.</w:t>
      </w:r>
    </w:p>
    <w:p>
      <w:pPr>
        <w:pStyle w:val="Fuente"/>
      </w:pPr>
      <w:r>
        <w:t xml:space="preserve">Clase 15 · 00:16:58–00:18:40 · Clase 16 · 01:02:36–01:06:15</w:t>
      </w:r>
    </w:p>
    <w:p>
      <w:pPr>
        <w:pStyle w:val="Heading3"/>
      </w:pPr>
      <w:bookmarkStart w:name="b_solucion_p2p_31_autopistas_bu_80c419c5" w:id="6476"/>
      <w:r>
        <w:t xml:space="preserve">Solución S2-118</w:t>
      </w:r>
      <w:bookmarkEnd w:id="6476"/>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b) Un bucle de realimentación positiva o de refuerzo: todas las influencias son positivas, así que el crecimiento se arrastra a sí mismo, el efecto bola de nieve</w:t>
            </w:r>
          </w:p>
        </w:tc>
      </w:tr>
    </w:tbl>
    <w:p>
      <w:pPr>
        <w:pStyle w:val="Normal"/>
      </w:pPr>
      <w:r>
        <w:t xml:space="preserve">a) Un bucle de realimentación negativa: la construcción compensa el desgaste de las autopistas — Con cero influencias negativas el bucle no puede ser negativo.</w:t>
      </w:r>
    </w:p>
    <w:p>
      <w:pPr>
        <w:pStyle w:val="Normal"/>
      </w:pPr>
      <w:r>
        <w:t xml:space="preserve">b) Un bucle de realimentación positiva o de refuerzo: todas las influencias son positivas, así que el crecimiento se arrastra a sí mismo, el efecto bola de nieve — Correcta: la sesión lo llama también efecto de arrastre, bola de nieve o círculo vicioso.</w:t>
      </w:r>
    </w:p>
    <w:p>
      <w:pPr>
        <w:pStyle w:val="Normal"/>
      </w:pPr>
      <w:r>
        <w:t xml:space="preserve">c) No es un bucle, porque el abandono de autopistas es una constante — El abandono es una influencia externa constante; el recorrido Autopistas → Ingresos → Construcción → Autopistas sí se cierra.</w:t>
      </w:r>
    </w:p>
    <w:p>
      <w:pPr>
        <w:pStyle w:val="Normal"/>
      </w:pPr>
      <w:r>
        <w:t xml:space="preserve">d) Un bucle de balance con objetivo implícito — Los bucles de balance exigen un número impar de negativos y un objetivo; aquí no hay ninguno.</w:t>
      </w:r>
    </w:p>
    <w:p>
      <w:pPr>
        <w:pStyle w:val="Normal"/>
      </w:pPr>
      <w:r>
        <w:t xml:space="preserve">Criterio de resolución: Regla práctica de la sesión: sólo influencias positivas, o un número par de negativas, dan un bucle positivo; un número impar da uno negativo. El modelo de las autopistas es un sistema de primer orden con realimentación positiva: una variable se realimenta a sí misma para reforzar su propio crecimiento, y cualquier cambio inducido sólo puede acelerar el cambio inicial. Los costes de construcción y el abandono son influencias externas que frenan, pero no cierran otro bucle.</w:t>
      </w:r>
    </w:p>
    <w:p>
      <w:pPr>
        <w:pStyle w:val="Fuente"/>
      </w:pPr>
      <w:r>
        <w:t xml:space="preserve">lectura L-10 · sesión de aprendizaje 2, ejemplo 1</w:t>
      </w:r>
    </w:p>
    <w:p>
      <w:pPr>
        <w:pStyle w:val="Heading3"/>
      </w:pPr>
      <w:bookmarkStart w:name="b_solucion_p2p_32_deposito_obje_2c4bc67c" w:id="6477"/>
      <w:r>
        <w:t xml:space="preserve">Solución S2-119</w:t>
      </w:r>
      <w:bookmarkEnd w:id="6477"/>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b) Un bucle de realimentación negativa o de balance: el sistema actúa para contrarrestar la discrepancia, y la altura deseada es el objetivo, fijado desde fuera, una variable exógena</w:t>
            </w:r>
          </w:p>
        </w:tc>
      </w:tr>
    </w:tbl>
    <w:p>
      <w:pPr>
        <w:pStyle w:val="Normal"/>
      </w:pPr>
      <w:r>
        <w:t xml:space="preserve">a) Un bucle de refuerzo: mientras más agua entra, más discrepancia hay — Al entrar agua la discrepancia baja, no sube: la influencia es negativa y el bucle, de balance.</w:t>
      </w:r>
    </w:p>
    <w:p>
      <w:pPr>
        <w:pStyle w:val="Normal"/>
      </w:pPr>
      <w:r>
        <w:t xml:space="preserve">b) Un bucle de realimentación negativa o de balance: el sistema actúa para contrarrestar la discrepancia, y la altura deseada es el objetivo, fijado desde fuera, una variable exógena — Correcta: los sistemas de realimentación negativa se llaman también autorreguladores u homeostáticos, y su objetivo se determina externamente.</w:t>
      </w:r>
    </w:p>
    <w:p>
      <w:pPr>
        <w:pStyle w:val="Normal"/>
      </w:pPr>
      <w:r>
        <w:t xml:space="preserve">c) Un bucle de refuerzo con demora, porque el control tarda diez minutos — La constante de tiempo modula la rapidez de la corrección; no cambia el tipo de bucle.</w:t>
      </w:r>
    </w:p>
    <w:p>
      <w:pPr>
        <w:pStyle w:val="Normal"/>
      </w:pPr>
      <w:r>
        <w:t xml:space="preserve">d) Dos bucles de refuerzo, uno de entrada y otro de salida — La salida constante no forma bucle: es un flujo fijo hacia la red de distribución.</w:t>
      </w:r>
    </w:p>
    <w:p>
      <w:pPr>
        <w:pStyle w:val="Normal"/>
      </w:pPr>
      <w:r>
        <w:t xml:space="preserve">Criterio de resolución: La sesión caracteriza la realimentación negativa de primer orden por un comportamiento determinado por un objetivo, que se fija desde fuera y por eso es una variable exógena. El nivel —la altura del agua— es el objeto de control, la acumulación de todas las acciones pasadas, y sólo puede cambiar por medio del flujo. Es la misma estructura de brecha y objetivo del vaso de agua de la clase 13, ahora con un control automático.</w:t>
      </w:r>
    </w:p>
    <w:p>
      <w:pPr>
        <w:pStyle w:val="Fuente"/>
      </w:pPr>
      <w:r>
        <w:t xml:space="preserve">lectura L-10 · sesión de aprendizaje 2, caso 2</w:t>
      </w:r>
    </w:p>
    <w:p>
      <w:pPr>
        <w:pStyle w:val="Heading3"/>
      </w:pPr>
      <w:bookmarkStart w:name="b_solucion_p2p_33_influencias_a_mas" w:id="6478"/>
      <w:r>
        <w:t xml:space="preserve">Solución S2-120</w:t>
      </w:r>
      <w:bookmarkEnd w:id="6478"/>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Influencia positiva (+): A más oferta, más demanda; A más ahorro en el banco, más ganancias; A más alimentación, más peso; A menos técnicas de estudio, menos aprendizaje</w:t>
            </w:r>
          </w:p>
          <w:p>
            <w:pPr>
              <w:pStyle w:val="Recuadro"/>
            </w:pPr>
            <w:r>
              <w:t xml:space="preserve">Influencia negativa (−): A más precio, menos demanda; A más muertes, menos población</w:t>
            </w:r>
          </w:p>
        </w:tc>
      </w:tr>
    </w:tbl>
    <w:p>
      <w:pPr>
        <w:pStyle w:val="Normal"/>
      </w:pPr>
      <w:r>
        <w:t xml:space="preserve">Criterio de resolución: Una influencia es positiva cuando una variable causa un efecto directamente proporcional en la otra, y negativa cuando el efecto es inverso. La trampa está en «a menos técnicas de estudio, menos aprendizaje»: las dos bajan juntas, así que la influencia es positiva; leída desde «a más», dice que a más técnicas, más aprendizaje. El signo describe el sentido del cambio, nunca si el resultado es bueno o malo.</w:t>
      </w:r>
    </w:p>
    <w:p>
      <w:pPr>
        <w:pStyle w:val="Fuente"/>
      </w:pPr>
      <w:r>
        <w:t xml:space="preserve">lectura L-10 · sesión de aprendizaje 2, influencias entre variables</w:t>
      </w:r>
    </w:p>
    <w:p>
      <w:pPr>
        <w:pStyle w:val="Heading3"/>
      </w:pPr>
      <w:bookmarkStart w:name="b_solucion_p2p_34_retroalimenta_74b44e9c" w:id="6479"/>
      <w:r>
        <w:t xml:space="preserve">Solución S2-121</w:t>
      </w:r>
      <w:bookmarkEnd w:id="6479"/>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Aparece al final del proceso, como corrección y reproceso → Retroalimentación (enfoque tradicional de sistemas)</w:t>
            </w:r>
          </w:p>
          <w:p>
            <w:pPr>
              <w:pStyle w:val="Recuadro"/>
            </w:pPr>
            <w:r>
              <w:t xml:space="preserve">Es todo el sistema: no hay una línea que muestre dónde está → Realimentación (pensamiento sistémico)</w:t>
            </w:r>
          </w:p>
          <w:p>
            <w:pPr>
              <w:pStyle w:val="Recuadro"/>
            </w:pPr>
            <w:r>
              <w:t xml:space="preserve">Opinión, evaluación, corrección y mejoramiento → Retroalimentación (enfoque tradicional de sistemas)</w:t>
            </w:r>
          </w:p>
          <w:p>
            <w:pPr>
              <w:pStyle w:val="Recuadro"/>
            </w:pPr>
            <w:r>
              <w:t xml:space="preserve">Pautas de conducta que crecen o decrecen por sí mismas por la influencia de unas variables sobre otras → Realimentación (pensamiento sistémico)</w:t>
            </w:r>
          </w:p>
        </w:tc>
      </w:tr>
    </w:tbl>
    <w:p>
      <w:pPr>
        <w:pStyle w:val="Normal"/>
      </w:pPr>
      <w:r>
        <w:t xml:space="preserve">Distractor sin fila correspondiente: Proalimentación (anticipación de un cambio).</w:t>
      </w:r>
    </w:p>
    <w:p>
      <w:pPr>
        <w:pStyle w:val="Normal"/>
      </w:pPr>
      <w:r>
        <w:t xml:space="preserve">Criterio de resolución: La tabla del capítulo VIII opone los dos conceptos fila por fila: enfoque tradicional frente a pensamiento sistémico; secuencia y cronología frente a influencia; parte del sistema frente al sistema como tal; opinión, evaluación y corrección frente a pautas de conducta; información de retorno frente a dinámica del sistema. La retroalimentación se da al final, después del producto; la realimentación es permanente y no espera a alcanzar el objetivo. La proalimentación, de O’Connor, queda como distractor.</w:t>
      </w:r>
    </w:p>
    <w:p>
      <w:pPr>
        <w:pStyle w:val="Fuente"/>
      </w:pPr>
      <w:r>
        <w:t xml:space="preserve">lectura L-13 · Echeverri y Franco, capítulo VIII, pp. 66–71</w:t>
      </w:r>
    </w:p>
    <w:p>
      <w:pPr>
        <w:pStyle w:val="Heading3"/>
      </w:pPr>
      <w:bookmarkStart w:name="b_solucion_p2p_35_realimentacio_a64aa4e1" w:id="6480"/>
      <w:r>
        <w:t xml:space="preserve">Solución S2-122</w:t>
      </w:r>
      <w:bookmarkEnd w:id="6480"/>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b) En todo el círculo: es inherente al proceso, aquí refuerza en vez de corregir, y existe igual en los ciclos compensadores</w:t>
            </w:r>
          </w:p>
        </w:tc>
      </w:tr>
    </w:tbl>
    <w:p>
      <w:pPr>
        <w:pStyle w:val="Normal"/>
      </w:pPr>
      <w:r>
        <w:t xml:space="preserve">a) En la flecha que vuelve de clientes satisfechos a comentarios positivos: esa es la retroalimentación — Esa lectura es la del enfoque tradicional: una línea que devuelve información al inicio. En el pensamiento sistémico no hay una flecha especial.</w:t>
      </w:r>
    </w:p>
    <w:p>
      <w:pPr>
        <w:pStyle w:val="Normal"/>
      </w:pPr>
      <w:r>
        <w:t xml:space="preserve">b) En todo el círculo: es inherente al proceso, aquí refuerza en vez de corregir, y existe igual en los ciclos compensadores — Correcta: la realimentación es el círculo entero o, si se quiere, las flechas de influencia que se repiten una y otra vez.</w:t>
      </w:r>
    </w:p>
    <w:p>
      <w:pPr>
        <w:pStyle w:val="Normal"/>
      </w:pPr>
      <w:r>
        <w:t xml:space="preserve">c) En ninguna parte, porque el ciclo no tiene un resultado deseado con el cual comparar — El resultado deseado es un elemento del enfoque tradicional; la realimentación sistémica no lo necesita.</w:t>
      </w:r>
    </w:p>
    <w:p>
      <w:pPr>
        <w:pStyle w:val="Normal"/>
      </w:pPr>
      <w:r>
        <w:t xml:space="preserve">d) Sólo en las ventas, que son el producto del proceso — Ninguna variable la contiene: está en las relaciones entre todas.</w:t>
      </w:r>
    </w:p>
    <w:p>
      <w:pPr>
        <w:pStyle w:val="Normal"/>
      </w:pPr>
      <w:r>
        <w:t xml:space="preserve">Criterio de resolución: En el diagrama tradicional del enfoque de sistemas —entrada, proceso, producto y una flecha de retroalimentación— la corrección existe sólo al final y en una parte del proceso. En el ciclo reforzador de las ventas, en cambio, no existe una línea que muestre dónde está la realimentación: está dentro de la unidad, y en este caso refuerza el sistema en vez de corregirlo. Lo mismo vale para un ciclo compensador, con la diferencia de que allí la realimentación compensa.</w:t>
      </w:r>
    </w:p>
    <w:p>
      <w:pPr>
        <w:pStyle w:val="Fuente"/>
      </w:pPr>
      <w:r>
        <w:t xml:space="preserve">lectura L-13 · Echeverri y Franco, capítulo VIII, pp. 68–69</w:t>
      </w:r>
    </w:p>
    <w:p>
      <w:pPr>
        <w:pStyle w:val="Heading3"/>
      </w:pPr>
      <w:bookmarkStart w:name="b_solucion_p2e_01_principio_estructura" w:id="6481"/>
      <w:r>
        <w:t xml:space="preserve">Solución S2-123</w:t>
      </w:r>
      <w:bookmarkEnd w:id="6481"/>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b) Que la estructura del sistema genera el comportamiento del sistema</w:t>
            </w:r>
          </w:p>
        </w:tc>
      </w:tr>
    </w:tbl>
    <w:p>
      <w:pPr>
        <w:pStyle w:val="Normal"/>
      </w:pPr>
      <w:r>
        <w:t xml:space="preserve">a) Que todo sistema tiende al desorden si no se lo mantiene — Eso es la entropía, concepto de la unidad anterior.</w:t>
      </w:r>
    </w:p>
    <w:p>
      <w:pPr>
        <w:pStyle w:val="Normal"/>
      </w:pPr>
      <w:r>
        <w:t xml:space="preserve">b) Que la estructura del sistema genera el comportamiento del sistema — Correcta: y está directamente asociado al concepto de emergencia.</w:t>
      </w:r>
    </w:p>
    <w:p>
      <w:pPr>
        <w:pStyle w:val="Normal"/>
      </w:pPr>
      <w:r>
        <w:t xml:space="preserve">c) Que el comportamiento de un sistema depende de la calidad de sus partes — Justo lo contrario: partes iguales en estructuras distintas dan comportamientos distintos.</w:t>
      </w:r>
    </w:p>
    <w:p>
      <w:pPr>
        <w:pStyle w:val="Normal"/>
      </w:pPr>
      <w:r>
        <w:t xml:space="preserve">d) Que un sistema se comprende enumerando sus componentes — Enumerar componentes es análisis; el principio habla de la organización entre ellos.</w:t>
      </w:r>
    </w:p>
    <w:p>
      <w:pPr>
        <w:pStyle w:val="Normal"/>
      </w:pPr>
      <w:r>
        <w:t xml:space="preserve">Criterio de resolución: El comportamiento emergente de un sistema surge de la estructura dinámica de sus relaciones de causa y efecto. Por eso, para cambiar lo que un sistema produce hay que cambiar su estructura, no exhortar a sus partes.</w:t>
      </w:r>
    </w:p>
    <w:p>
      <w:pPr>
        <w:pStyle w:val="Fuente"/>
      </w:pPr>
      <w:r>
        <w:t xml:space="preserve">Clase 15 · 00:29:44–00:31:46 · lámina 9</w:t>
      </w:r>
    </w:p>
    <w:p>
      <w:pPr>
        <w:pStyle w:val="Heading3"/>
      </w:pPr>
      <w:bookmarkStart w:name="b_solucion_p2e_02_perfectamente_11b4c2ed" w:id="6482"/>
      <w:r>
        <w:t xml:space="preserve">Solución S2-124</w:t>
      </w:r>
      <w:bookmarkEnd w:id="6482"/>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b) Como una constatación: si un sistema produce un resultado indeseado, su estructura actual es exactamente la que lo produce, y por eso hay que mirar la estructura y no buscar culpables</w:t>
            </w:r>
          </w:p>
        </w:tc>
      </w:tr>
    </w:tbl>
    <w:p>
      <w:pPr>
        <w:pStyle w:val="Normal"/>
      </w:pPr>
      <w:r>
        <w:t xml:space="preserve">a) Como un elogio: los sistemas suelen estar bien diseñados — No afirma que el diseño sea bueno, sino que es coherente con lo que sale de él.</w:t>
      </w:r>
    </w:p>
    <w:p>
      <w:pPr>
        <w:pStyle w:val="Normal"/>
      </w:pPr>
      <w:r>
        <w:t xml:space="preserve">b) Como una constatación: si un sistema produce un resultado indeseado, su estructura actual es exactamente la que lo produce, y por eso hay que mirar la estructura y no buscar culpables — Correcta: es la formulación que la clase dio como regla, y su consecuencia práctica es dónde mirar.</w:t>
      </w:r>
    </w:p>
    <w:p>
      <w:pPr>
        <w:pStyle w:val="Normal"/>
      </w:pPr>
      <w:r>
        <w:t xml:space="preserve">c) Como una crítica a quienes diseñan sistemas — No señala responsables; justamente desplaza la pregunta desde las personas hacia la organización.</w:t>
      </w:r>
    </w:p>
    <w:p>
      <w:pPr>
        <w:pStyle w:val="Normal"/>
      </w:pPr>
      <w:r>
        <w:t xml:space="preserve">d) Como una advertencia sobre la imposibilidad de cambiar un sistema — Al contrario: si la estructura produce el resultado, cambiar la estructura cambia el resultado.</w:t>
      </w:r>
    </w:p>
    <w:p>
      <w:pPr>
        <w:pStyle w:val="Normal"/>
      </w:pPr>
      <w:r>
        <w:t xml:space="preserve">Criterio de resolución: La frase invierte la pregunta habitual. En vez de «quién falló», propone «qué organización de partes y relaciones hace que este resultado sea el esperable». Es la puerta de entrada a buscar puntos de apalancamiento.</w:t>
      </w:r>
    </w:p>
    <w:p>
      <w:pPr>
        <w:pStyle w:val="Fuente"/>
      </w:pPr>
      <w:r>
        <w:t xml:space="preserve">Clase 15 · 00:54:16–00:58:20 · lámina 12</w:t>
      </w:r>
    </w:p>
    <w:p>
      <w:pPr>
        <w:pStyle w:val="Heading3"/>
      </w:pPr>
      <w:bookmarkStart w:name="b_solucion_p2e_03_buscar_culpables" w:id="6483"/>
      <w:r>
        <w:t xml:space="preserve">Solución S2-125</w:t>
      </w:r>
      <w:bookmarkEnd w:id="6483"/>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b) Porque supone que las estructuras son lineales y que existe una última causa responsable del efecto, que basta con eliminar</w:t>
            </w:r>
          </w:p>
        </w:tc>
      </w:tr>
    </w:tbl>
    <w:p>
      <w:pPr>
        <w:pStyle w:val="Normal"/>
      </w:pPr>
      <w:r>
        <w:t xml:space="preserve">a) Porque siempre es injusta con las personas señaladas — La objeción no es moral sino estructural: en una red de relaciones no hay una última causa.</w:t>
      </w:r>
    </w:p>
    <w:p>
      <w:pPr>
        <w:pStyle w:val="Normal"/>
      </w:pPr>
      <w:r>
        <w:t xml:space="preserve">b) Porque supone que las estructuras son lineales y que existe una última causa responsable del efecto, que basta con eliminar — Correcta: si sólo hubiera linealidad, buscar al culpable sería razonable; es la circularidad lo que lo invalida.</w:t>
      </w:r>
    </w:p>
    <w:p>
      <w:pPr>
        <w:pStyle w:val="Normal"/>
      </w:pPr>
      <w:r>
        <w:t xml:space="preserve">c) Porque consume demasiado tiempo — El problema no es el coste sino la validez del supuesto.</w:t>
      </w:r>
    </w:p>
    <w:p>
      <w:pPr>
        <w:pStyle w:val="Normal"/>
      </w:pPr>
      <w:r>
        <w:t xml:space="preserve">d) Porque impide aplicar la regla de perspectivas — Puede convivir con cambios de perspectiva y seguir siendo igual de lineal.</w:t>
      </w:r>
    </w:p>
    <w:p>
      <w:pPr>
        <w:pStyle w:val="Normal"/>
      </w:pPr>
      <w:r>
        <w:t xml:space="preserve">Criterio de resolución: En una estructura circular, cada variable es causa y efecto a la vez, de modo que la pregunta por el responsable último no tiene respuesta. Las preguntas que la sustituyen son cómo se afectan las partes entre sí y cómo su organización crea el comportamiento.</w:t>
      </w:r>
    </w:p>
    <w:p>
      <w:pPr>
        <w:pStyle w:val="Fuente"/>
      </w:pPr>
      <w:r>
        <w:t xml:space="preserve">Clase 15 · 00:31:46–00:35:23 · Clase 16 · 00:21:29–00:26:23</w:t>
      </w:r>
    </w:p>
    <w:p>
      <w:pPr>
        <w:pStyle w:val="Heading3"/>
      </w:pPr>
      <w:bookmarkStart w:name="b_solucion_p2e_04_ciclo_de_la_culpa" w:id="6484"/>
      <w:r>
        <w:t xml:space="preserve">Solución S2-126</w:t>
      </w:r>
      <w:bookmarkEnd w:id="6484"/>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b) Porque la culpa genera miedo, el miedo aumenta los encubrimientos, los encubrimientos reducen el flujo de información y sin información se resuelven peor los problemas, lo que produce más errores</w:t>
            </w:r>
          </w:p>
        </w:tc>
      </w:tr>
    </w:tbl>
    <w:p>
      <w:pPr>
        <w:pStyle w:val="Normal"/>
      </w:pPr>
      <w:r>
        <w:t xml:space="preserve">a) Porque las personas culpadas renuncian — La renuncia no forma parte del modelo proyectado.</w:t>
      </w:r>
    </w:p>
    <w:p>
      <w:pPr>
        <w:pStyle w:val="Normal"/>
      </w:pPr>
      <w:r>
        <w:t xml:space="preserve">b) Porque la culpa genera miedo, el miedo aumenta los encubrimientos, los encubrimientos reducen el flujo de información y sin información se resuelven peor los problemas, lo que produce más errores — Correcta: es el recorrido del ciclo R1, que el profesor leyó variable por variable.</w:t>
      </w:r>
    </w:p>
    <w:p>
      <w:pPr>
        <w:pStyle w:val="Normal"/>
      </w:pPr>
      <w:r>
        <w:t xml:space="preserve">c) Porque se pierde tiempo en discutir responsabilidades — El coste de tiempo no es lo que cierra el bucle.</w:t>
      </w:r>
    </w:p>
    <w:p>
      <w:pPr>
        <w:pStyle w:val="Normal"/>
      </w:pPr>
      <w:r>
        <w:t xml:space="preserve">d) Porque el sistema deja de registrar los errores — Los encubrimientos reducen la información disponible, que no es lo mismo que dejar de registrar.</w:t>
      </w:r>
    </w:p>
    <w:p>
      <w:pPr>
        <w:pStyle w:val="Normal"/>
      </w:pPr>
      <w:r>
        <w:t xml:space="preserve">Criterio de resolución: Es el ejemplo de contraintuición de la unidad: una estrategia adoptada para reducir errores termina multiplicándolos. El segundo ciclo lo agrava: el miedo reduce la toma de riesgos y con ella la capacidad de innovar.</w:t>
      </w:r>
    </w:p>
    <w:p>
      <w:pPr>
        <w:pStyle w:val="Fuente"/>
      </w:pPr>
      <w:r>
        <w:t xml:space="preserve">Clase 16 · 00:29:48–00:41:55 · lámina 4</w:t>
      </w:r>
    </w:p>
    <w:p>
      <w:pPr>
        <w:pStyle w:val="Heading3"/>
      </w:pPr>
      <w:bookmarkStart w:name="b_solucion_p2e_05_cometa_molinete" w:id="6485"/>
      <w:r>
        <w:t xml:space="preserve">Solución S2-127</w:t>
      </w:r>
      <w:bookmarkEnd w:id="6485"/>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b) Que con el mismo entorno, la estructura de cada objeto es la que decide qué comportamiento aparece</w:t>
            </w:r>
          </w:p>
        </w:tc>
      </w:tr>
    </w:tbl>
    <w:p>
      <w:pPr>
        <w:pStyle w:val="Normal"/>
      </w:pPr>
      <w:r>
        <w:t xml:space="preserve">a) Que el entorno determina el comportamiento de un sistema — Si el entorno bastara, los dos objetos harían lo mismo.</w:t>
      </w:r>
    </w:p>
    <w:p>
      <w:pPr>
        <w:pStyle w:val="Normal"/>
      </w:pPr>
      <w:r>
        <w:t xml:space="preserve">b) Que con el mismo entorno, la estructura de cada objeto es la que decide qué comportamiento aparece — Correcta: el viento es común; lo que cambia es el marco, la cola, la cuerda o el papel doblado y clavado.</w:t>
      </w:r>
    </w:p>
    <w:p>
      <w:pPr>
        <w:pStyle w:val="Normal"/>
      </w:pPr>
      <w:r>
        <w:t xml:space="preserve">c) Que los juguetes son sistemas simples — La simplicidad no es el punto de la lámina.</w:t>
      </w:r>
    </w:p>
    <w:p>
      <w:pPr>
        <w:pStyle w:val="Normal"/>
      </w:pPr>
      <w:r>
        <w:t xml:space="preserve">d) Que hace falta viento para que un sistema funcione — El viento es condición, no explicación del comportamiento distinto.</w:t>
      </w:r>
    </w:p>
    <w:p>
      <w:pPr>
        <w:pStyle w:val="Normal"/>
      </w:pPr>
      <w:r>
        <w:t xml:space="preserve">Criterio de resolución: La lámina lo dice con precisión: no es sólo el viento, sino la estructura de cada juguete la que genera su comportamiento. Es la versión más económica del principio de la unidad.</w:t>
      </w:r>
    </w:p>
    <w:p>
      <w:pPr>
        <w:pStyle w:val="Fuente"/>
      </w:pPr>
      <w:r>
        <w:t xml:space="preserve">Clase 15 · 00:37:17–00:39:08 · lámina 10</w:t>
      </w:r>
    </w:p>
    <w:p>
      <w:pPr>
        <w:pStyle w:val="Heading3"/>
      </w:pPr>
      <w:bookmarkStart w:name="b_solucion_p2e_06_aula_estructura" w:id="6486"/>
      <w:r>
        <w:t xml:space="preserve">Solución S2-128</w:t>
      </w:r>
      <w:bookmarkEnd w:id="6486"/>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b) Que rompen la estructura del salón porque el comportamiento esperado ya no es el que esa estructura genera</w:t>
            </w:r>
          </w:p>
        </w:tc>
      </w:tr>
    </w:tbl>
    <w:p>
      <w:pPr>
        <w:pStyle w:val="Normal"/>
      </w:pPr>
      <w:r>
        <w:t xml:space="preserve">a) Que los estudiantes prefieren el desorden — No es una preferencia: es una adaptación a lo que la tarea exige.</w:t>
      </w:r>
    </w:p>
    <w:p>
      <w:pPr>
        <w:pStyle w:val="Normal"/>
      </w:pPr>
      <w:r>
        <w:t xml:space="preserve">b) Que rompen la estructura del salón porque el comportamiento esperado ya no es el que esa estructura genera — Correcta: fue la respuesta de un estudiante y el profesor la tomó como confirmación del principio.</w:t>
      </w:r>
    </w:p>
    <w:p>
      <w:pPr>
        <w:pStyle w:val="Normal"/>
      </w:pPr>
      <w:r>
        <w:t xml:space="preserve">c) Que el mobiliario del aula es inadecuado — El mobiliario es adecuado para exponer y tomar notas; el problema es el ajuste entre estructura y objetivo.</w:t>
      </w:r>
    </w:p>
    <w:p>
      <w:pPr>
        <w:pStyle w:val="Normal"/>
      </w:pPr>
      <w:r>
        <w:t xml:space="preserve">d) Que el trabajo en grupo no funciona en aulas tradicionales — Funciona si se cambia la disposición, que es justamente lo que ocurre.</w:t>
      </w:r>
    </w:p>
    <w:p>
      <w:pPr>
        <w:pStyle w:val="Normal"/>
      </w:pPr>
      <w:r>
        <w:t xml:space="preserve">Criterio de resolución: Las filas orientadas al frente producen exposición unidireccional; las mesas agrupadas producen conversación. Cambiar el comportamiento deseado obliga a cambiar la estructura, y eso vale también para leyes, políticas y rutinas.</w:t>
      </w:r>
    </w:p>
    <w:p>
      <w:pPr>
        <w:pStyle w:val="Fuente"/>
      </w:pPr>
      <w:r>
        <w:t xml:space="preserve">Clase 15 · 00:43:37–00:48:40 · lámina 11</w:t>
      </w:r>
    </w:p>
    <w:p>
      <w:pPr>
        <w:pStyle w:val="Heading3"/>
      </w:pPr>
      <w:bookmarkStart w:name="b_solucion_p2e_07_del_comportam_1dd67efe" w:id="6487"/>
      <w:r>
        <w:t xml:space="preserve">Solución S2-129</w:t>
      </w:r>
      <w:bookmarkEnd w:id="6487"/>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b) Partir del comportamiento emergente que se desea y desde ahí decidir la estructura que puede generarlo</w:t>
            </w:r>
          </w:p>
        </w:tc>
      </w:tr>
    </w:tbl>
    <w:p>
      <w:pPr>
        <w:pStyle w:val="Normal"/>
      </w:pPr>
      <w:r>
        <w:t xml:space="preserve">a) Diseñar primero la estructura y ver después qué comportamiento produce — Es el orden que produce sorpresas: el sistema hace lo que su estructura permite, no lo que se esperaba.</w:t>
      </w:r>
    </w:p>
    <w:p>
      <w:pPr>
        <w:pStyle w:val="Normal"/>
      </w:pPr>
      <w:r>
        <w:t xml:space="preserve">b) Partir del comportamiento emergente que se desea y desde ahí decidir la estructura que puede generarlo — Correcta: es la regla que el profesor formuló al hablar de requisitos de software y de la perspectiva del usuario.</w:t>
      </w:r>
    </w:p>
    <w:p>
      <w:pPr>
        <w:pStyle w:val="Normal"/>
      </w:pPr>
      <w:r>
        <w:t xml:space="preserve">c) Copiar la estructura de un sistema parecido — Copiar sin entender el comportamiento buscado repite el mismo problema.</w:t>
      </w:r>
    </w:p>
    <w:p>
      <w:pPr>
        <w:pStyle w:val="Normal"/>
      </w:pPr>
      <w:r>
        <w:t xml:space="preserve">d) Empezar por los recursos disponibles — Los recursos condicionan, pero no fijan el comportamiento deseado.</w:t>
      </w:r>
    </w:p>
    <w:p>
      <w:pPr>
        <w:pStyle w:val="Normal"/>
      </w:pPr>
      <w:r>
        <w:t xml:space="preserve">Criterio de resolución: El ejemplo fue el requisito mal definido: si no se declara el comportamiento esperado, quien acaba definiéndolo es la perspectiva del programador, que puede no coincidir con la del usuario. El comportamiento deseado va primero.</w:t>
      </w:r>
    </w:p>
    <w:p>
      <w:pPr>
        <w:pStyle w:val="Fuente"/>
      </w:pPr>
      <w:r>
        <w:t xml:space="preserve">Clase 15 · 00:48:38–00:54:16</w:t>
      </w:r>
    </w:p>
    <w:p>
      <w:pPr>
        <w:pStyle w:val="Heading3"/>
      </w:pPr>
      <w:bookmarkStart w:name="b_solucion_p2e_08_contar_ciclos" w:id="6488"/>
      <w:r>
        <w:t xml:space="preserve">Solución S2-130</w:t>
      </w:r>
      <w:bookmarkEnd w:id="6488"/>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a) El grado de complejidad del sistema modelado, junto con el comportamiento y las bifurcaciones que se dan entre esas relaciones</w:t>
            </w:r>
          </w:p>
        </w:tc>
      </w:tr>
    </w:tbl>
    <w:p>
      <w:pPr>
        <w:pStyle w:val="Normal"/>
      </w:pPr>
      <w:r>
        <w:t xml:space="preserve">a) El grado de complejidad del sistema modelado, junto con el comportamiento y las bifurcaciones que se dan entre esas relaciones — Correcta: es la respuesta que dio el profesor al preguntarse qué hace complejo a un sistema.</w:t>
      </w:r>
    </w:p>
    <w:p>
      <w:pPr>
        <w:pStyle w:val="Normal"/>
      </w:pPr>
      <w:r>
        <w:t xml:space="preserve">b) La calidad del trabajo del modelador — Un modelo con más ciclos no es mejor: es el de un sistema con más interdependencias.</w:t>
      </w:r>
    </w:p>
    <w:p>
      <w:pPr>
        <w:pStyle w:val="Normal"/>
      </w:pPr>
      <w:r>
        <w:t xml:space="preserve">c) El número de variables que tiene el sistema — Un mismo conjunto de variables admite muchos o pocos ciclos según cómo se relacionen.</w:t>
      </w:r>
    </w:p>
    <w:p>
      <w:pPr>
        <w:pStyle w:val="Normal"/>
      </w:pPr>
      <w:r>
        <w:t xml:space="preserve">d) Cuántas perspectivas se han considerado — Las perspectivas pertenecen a la notación DSRP, no al recuento de bucles.</w:t>
      </w:r>
    </w:p>
    <w:p>
      <w:pPr>
        <w:pStyle w:val="Normal"/>
      </w:pPr>
      <w:r>
        <w:t xml:space="preserve">Criterio de resolución: Lo que hace complejo a un sistema es la cantidad de ciclos identificables, su comportamiento y la dinámica que surge de recorrer los distintos caminos. Por eso contar y nombrar los ciclos es el primer paso para leer un modelo ajeno.</w:t>
      </w:r>
    </w:p>
    <w:p>
      <w:pPr>
        <w:pStyle w:val="Fuente"/>
      </w:pPr>
      <w:r>
        <w:t xml:space="preserve">Clase 15 · 00:58:27–01:01:40 · lámina 13 · Clase 16 · 00:14:51</w:t>
      </w:r>
    </w:p>
    <w:p>
      <w:pPr>
        <w:pStyle w:val="Heading3"/>
      </w:pPr>
      <w:bookmarkStart w:name="b_solucion_p2e_09_presa_depredador" w:id="6489"/>
      <w:r>
        <w:t xml:space="preserve">Solución S2-131</w:t>
      </w:r>
      <w:bookmarkEnd w:id="6489"/>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b) Porque conviven ciclos de refuerzo —los nacimientos de cada especie— con ciclos de balance —las muertes— y el acoplamiento entre ambas poblaciones hace que cada una frene y relance a la otra</w:t>
            </w:r>
          </w:p>
        </w:tc>
      </w:tr>
    </w:tbl>
    <w:p>
      <w:pPr>
        <w:pStyle w:val="Normal"/>
      </w:pPr>
      <w:r>
        <w:t xml:space="preserve">a) Porque los zorros no comen todos los conejos por decisión propia — No hay decisión: el comportamiento sale de la estructura.</w:t>
      </w:r>
    </w:p>
    <w:p>
      <w:pPr>
        <w:pStyle w:val="Normal"/>
      </w:pPr>
      <w:r>
        <w:t xml:space="preserve">b) Porque conviven ciclos de refuerzo —los nacimientos de cada especie— con ciclos de balance —las muertes— y el acoplamiento entre ambas poblaciones hace que cada una frene y relance a la otra — Correcta: menos conejos dejan menos alimento, bajan los zorros, y al bajar los zorros los conejos vuelven a crecer.</w:t>
      </w:r>
    </w:p>
    <w:p>
      <w:pPr>
        <w:pStyle w:val="Normal"/>
      </w:pPr>
      <w:r>
        <w:t xml:space="preserve">c) Porque el número de zorros es siempre menor — La proporción varía a lo largo del tiempo; no es una constante.</w:t>
      </w:r>
    </w:p>
    <w:p>
      <w:pPr>
        <w:pStyle w:val="Normal"/>
      </w:pPr>
      <w:r>
        <w:t xml:space="preserve">d) Porque la simulación se detiene antes — La oscilación es el resultado del modelo, no un artefacto de su duración.</w:t>
      </w:r>
    </w:p>
    <w:p>
      <w:pPr>
        <w:pStyle w:val="Normal"/>
      </w:pPr>
      <w:r>
        <w:t xml:space="preserve">Criterio de resolución: Pensar que muchos zorros acabarán con todos los conejos es una lectura lineal. La estructura acoplada produce un vaivén en grandes unidades de tiempo, que es el patrón oscilante característico de estos modelos.</w:t>
      </w:r>
    </w:p>
    <w:p>
      <w:pPr>
        <w:pStyle w:val="Fuente"/>
      </w:pPr>
      <w:r>
        <w:t xml:space="preserve">Clase 16 · 01:02:36–01:06:15 · lámina 9</w:t>
      </w:r>
    </w:p>
    <w:p>
      <w:pPr>
        <w:pStyle w:val="Heading3"/>
      </w:pPr>
      <w:bookmarkStart w:name="b_solucion_p2e_18_midnight_oil" w:id="6490"/>
      <w:r>
        <w:t xml:space="preserve">Solución S2-132</w:t>
      </w:r>
      <w:bookmarkEnd w:id="6490"/>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a) Que el trabajo extra aumenta la fatiga —con demora—, la fatiga reduce la productividad y con ello cae la tasa de terminación</w:t>
            </w:r>
          </w:p>
        </w:tc>
      </w:tr>
    </w:tbl>
    <w:p>
      <w:pPr>
        <w:pStyle w:val="Normal"/>
      </w:pPr>
      <w:r>
        <w:t xml:space="preserve">a) Que el trabajo extra aumenta la fatiga —con demora—, la fatiga reduce la productividad y con ello cae la tasa de terminación — Correcta: es el bucle que explica el agotamiento y por qué la solución deja de funcionar.</w:t>
      </w:r>
    </w:p>
    <w:p>
      <w:pPr>
        <w:pStyle w:val="Normal"/>
      </w:pPr>
      <w:r>
        <w:t xml:space="preserve">b) Que los atajos reducen el tiempo por tarea — Eso corresponde a B2, el ciclo de los atajos.</w:t>
      </w:r>
    </w:p>
    <w:p>
      <w:pPr>
        <w:pStyle w:val="Normal"/>
      </w:pPr>
      <w:r>
        <w:t xml:space="preserve">c) Que el trabajo pendiente aumenta la presión — Esa relación pertenece al ciclo básico B1.</w:t>
      </w:r>
    </w:p>
    <w:p>
      <w:pPr>
        <w:pStyle w:val="Normal"/>
      </w:pPr>
      <w:r>
        <w:t xml:space="preserve">d) Que el tiempo disponible es una variable externa — Es una observación sobre el modelo, no el contenido de R1.</w:t>
      </w:r>
    </w:p>
    <w:p>
      <w:pPr>
        <w:pStyle w:val="Normal"/>
      </w:pPr>
      <w:r>
        <w:t xml:space="preserve">Criterio de resolución: El modelo básico sugiere que trabajar más resuelve la presión. La ampliación muestra el precio: la fatiga acumulada, que llega con demora, erosiona la productividad y termina reduciendo lo que se alcanza a terminar.</w:t>
      </w:r>
    </w:p>
    <w:p>
      <w:pPr>
        <w:pStyle w:val="Fuente"/>
      </w:pPr>
      <w:r>
        <w:t xml:space="preserve">Clase 16 · 01:44:55–01:46:45 · lámina 26</w:t>
      </w:r>
    </w:p>
    <w:p>
      <w:pPr>
        <w:pStyle w:val="Heading3"/>
      </w:pPr>
      <w:bookmarkStart w:name="b_solucion_p2e_19_apalancamiento" w:id="6491"/>
      <w:r>
        <w:t xml:space="preserve">Solución S2-133</w:t>
      </w:r>
      <w:bookmarkEnd w:id="6491"/>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b) Los puntos de apalancamiento: los lugares de la estructura donde una intervención pequeña produce un cambio grande</w:t>
            </w:r>
          </w:p>
        </w:tc>
      </w:tr>
    </w:tbl>
    <w:p>
      <w:pPr>
        <w:pStyle w:val="Normal"/>
      </w:pPr>
      <w:r>
        <w:t xml:space="preserve">a) La entropía — La entropía pertenece a la unidad 2.</w:t>
      </w:r>
    </w:p>
    <w:p>
      <w:pPr>
        <w:pStyle w:val="Normal"/>
      </w:pPr>
      <w:r>
        <w:t xml:space="preserve">b) Los puntos de apalancamiento: los lugares de la estructura donde una intervención pequeña produce un cambio grande — Correcta: el profesor lo anunció expresamente como tema de la próxima unidad.</w:t>
      </w:r>
    </w:p>
    <w:p>
      <w:pPr>
        <w:pStyle w:val="Normal"/>
      </w:pPr>
      <w:r>
        <w:t xml:space="preserve">c) La equifinalidad — La equifinalidad se mencionó, pero en otro punto y por otra razón.</w:t>
      </w:r>
    </w:p>
    <w:p>
      <w:pPr>
        <w:pStyle w:val="Normal"/>
      </w:pPr>
      <w:r>
        <w:t xml:space="preserve">d) La sistematografía — También es vocabulario de la unidad anterior.</w:t>
      </w:r>
    </w:p>
    <w:p>
      <w:pPr>
        <w:pStyle w:val="Normal"/>
      </w:pPr>
      <w:r>
        <w:t xml:space="preserve">Criterio de resolución: Al analizar la caída de ventas de ACME aparece la interdependencia entre ventas, producción y atención al cliente, y con ella el lugar donde conviene intervenir. Encontrar esos puntos es lo que la unidad 4 estudiará en detalle.</w:t>
      </w:r>
    </w:p>
    <w:p>
      <w:pPr>
        <w:pStyle w:val="Fuente"/>
      </w:pPr>
      <w:r>
        <w:t xml:space="preserve">Clase 15 · 00:35:23–00:37:17 y 00:56:33 · Clase 16 · 00:26:23–00:29:48</w:t>
      </w:r>
    </w:p>
    <w:p>
      <w:pPr>
        <w:pStyle w:val="Heading3"/>
      </w:pPr>
      <w:bookmarkStart w:name="b_solucion_p2e_20_estructuras_i_c35d7898" w:id="6492"/>
      <w:r>
        <w:t xml:space="preserve">Solución S2-134</w:t>
      </w:r>
      <w:bookmarkEnd w:id="6492"/>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a) Estructuras físicas, como la disposición de un espacio</w:t>
            </w:r>
          </w:p>
          <w:p>
            <w:pPr>
              <w:pStyle w:val="Recuadro"/>
            </w:pPr>
            <w:r>
              <w:t xml:space="preserve">b) Leyes y políticas</w:t>
            </w:r>
          </w:p>
          <w:p>
            <w:pPr>
              <w:pStyle w:val="Recuadro"/>
            </w:pPr>
            <w:r>
              <w:t xml:space="preserve">c) Estructuras sociales como tradiciones y rutinas</w:t>
            </w:r>
          </w:p>
        </w:tc>
      </w:tr>
    </w:tbl>
    <w:p>
      <w:pPr>
        <w:pStyle w:val="Normal"/>
      </w:pPr>
      <w:r>
        <w:t xml:space="preserve">a) Estructuras físicas, como la disposición de un espacio — Sí: el aula y la cocina son los ejemplos de la lámina.</w:t>
      </w:r>
    </w:p>
    <w:p>
      <w:pPr>
        <w:pStyle w:val="Normal"/>
      </w:pPr>
      <w:r>
        <w:t xml:space="preserve">b) Leyes y políticas — Sí: la lámina las menciona expresamente al hablar del gobierno.</w:t>
      </w:r>
    </w:p>
    <w:p>
      <w:pPr>
        <w:pStyle w:val="Normal"/>
      </w:pPr>
      <w:r>
        <w:t xml:space="preserve">c) Estructuras sociales como tradiciones y rutinas — Sí: el sistema familiar se describe por tradiciones, reglas, valores y expectativas.</w:t>
      </w:r>
    </w:p>
    <w:p>
      <w:pPr>
        <w:pStyle w:val="Normal"/>
      </w:pPr>
      <w:r>
        <w:t xml:space="preserve">d) Únicamente los elementos materiales del sistema — No: reducirlo a lo material dejaría fuera la mitad de los ejemplos.</w:t>
      </w:r>
    </w:p>
    <w:p>
      <w:pPr>
        <w:pStyle w:val="Normal"/>
      </w:pPr>
      <w:r>
        <w:t xml:space="preserve">Criterio de resolución: La estructura no es sólo lo que se puede tocar. Una rutina diaria, un estado de ánimo o una expectativa compartida organizan el comportamiento igual que un tabique, y por eso cuentan como estructura del sistema.</w:t>
      </w:r>
    </w:p>
    <w:p>
      <w:pPr>
        <w:pStyle w:val="Fuente"/>
      </w:pPr>
      <w:r>
        <w:t xml:space="preserve">Clase 15 · 00:39:08–00:43:37 y 00:48:40–00:58:20 · láminas 11 y 12</w:t>
      </w:r>
    </w:p>
    <w:p>
      <w:pPr>
        <w:pStyle w:val="Heading3"/>
      </w:pPr>
      <w:bookmarkStart w:name="b_solucion_p2e_21_iceberg_cuatro_niveles" w:id="6493"/>
      <w:r>
        <w:t xml:space="preserve">Solución S2-135</w:t>
      </w:r>
      <w:bookmarkEnd w:id="6493"/>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1. Eventos: ¿qué pasó?</w:t>
            </w:r>
          </w:p>
          <w:p>
            <w:pPr>
              <w:pStyle w:val="Recuadro"/>
            </w:pPr>
            <w:r>
              <w:t xml:space="preserve">2. Patrones de comportamiento: ¿qué ha venido sucediendo? ¿cuáles son las tendencias?</w:t>
            </w:r>
          </w:p>
          <w:p>
            <w:pPr>
              <w:pStyle w:val="Recuadro"/>
            </w:pPr>
            <w:r>
              <w:t xml:space="preserve">3. Estructuras subyacentes: ¿qué ha influido en los patrones? ¿cuáles son las relaciones entre las partes?</w:t>
            </w:r>
          </w:p>
          <w:p>
            <w:pPr>
              <w:pStyle w:val="Recuadro"/>
            </w:pPr>
            <w:r>
              <w:t xml:space="preserve">4. Modelos mentales: ¿qué supuestos, creencias y valores tiene la gente sobre el sistema?</w:t>
            </w:r>
          </w:p>
        </w:tc>
      </w:tr>
    </w:tbl>
    <w:p>
      <w:pPr>
        <w:pStyle w:val="Normal"/>
      </w:pPr>
      <w:r>
        <w:t xml:space="preserve">Criterio de resolución: La lámina marca con ojos abiertos lo que se ve —los eventos— y con ojos cerrados lo que generalmente no se ve. A medida que se desciende aumentan tanto el aprendizaje como el apalancamiento, que son las dos flechas dibujadas al costado.</w:t>
      </w:r>
    </w:p>
    <w:p>
      <w:pPr>
        <w:pStyle w:val="Fuente"/>
      </w:pPr>
      <w:r>
        <w:t xml:space="preserve">Clase 16 · 00:17:44–00:21:30 · lámina 2</w:t>
      </w:r>
    </w:p>
    <w:p>
      <w:pPr>
        <w:pStyle w:val="Heading3"/>
      </w:pPr>
      <w:bookmarkStart w:name="b_solucion_p2e_22_pregunta_clave" w:id="6494"/>
      <w:r>
        <w:t xml:space="preserve">Solución S2-136</w:t>
      </w:r>
      <w:bookmarkEnd w:id="6494"/>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b) ¿Qué tiene este problema que no entendemos?</w:t>
            </w:r>
          </w:p>
        </w:tc>
      </w:tr>
    </w:tbl>
    <w:p>
      <w:pPr>
        <w:pStyle w:val="Normal"/>
      </w:pPr>
      <w:r>
        <w:t xml:space="preserve">a) ¿Quién es responsable de esto? — Es justamente la pregunta que la lámina pide evitar.</w:t>
      </w:r>
    </w:p>
    <w:p>
      <w:pPr>
        <w:pStyle w:val="Normal"/>
      </w:pPr>
      <w:r>
        <w:t xml:space="preserve">b) ¿Qué tiene este problema que no entendemos? — Correcta: desplaza la conversación desde las personas hacia lo que falta comprender.</w:t>
      </w:r>
    </w:p>
    <w:p>
      <w:pPr>
        <w:pStyle w:val="Normal"/>
      </w:pPr>
      <w:r>
        <w:t xml:space="preserve">c) ¿Cuánto nos costará resolverlo? — El coste es una consideración posterior.</w:t>
      </w:r>
    </w:p>
    <w:p>
      <w:pPr>
        <w:pStyle w:val="Normal"/>
      </w:pPr>
      <w:r>
        <w:t xml:space="preserve">d) ¿Cuándo empezó a ocurrir? — La cronología ayuda, pero no es la pregunta que propone la lámina.</w:t>
      </w:r>
    </w:p>
    <w:p>
      <w:pPr>
        <w:pStyle w:val="Normal"/>
      </w:pPr>
      <w:r>
        <w:t xml:space="preserve">Criterio de resolución: La pregunta despierta curiosidad sobre el problema en lugar de repartir responsabilidades. La lámina la acompaña de dos recomendaciones: describir el problema desde los tres ángulos del iceberg y recoger perspectivas de distintas áreas.</w:t>
      </w:r>
    </w:p>
    <w:p>
      <w:pPr>
        <w:pStyle w:val="Fuente"/>
      </w:pPr>
      <w:r>
        <w:t xml:space="preserve">Clase 16 · 00:21:29–00:29:45 · lámina 3</w:t>
      </w:r>
    </w:p>
    <w:p>
      <w:pPr>
        <w:pStyle w:val="Heading3"/>
      </w:pPr>
      <w:bookmarkStart w:name="b_solucion_p2e_25_preguntas_hab_e8e62cef" w:id="6495"/>
      <w:r>
        <w:t xml:space="preserve">Solución S2-137</w:t>
      </w:r>
      <w:bookmarkEnd w:id="6495"/>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«¿Cómo la organización e interacción de las partes crean el comportamiento que aparece?» → Reconoce que la estructura de un sistema genera su comportamiento</w:t>
            </w:r>
          </w:p>
          <w:p>
            <w:pPr>
              <w:pStyle w:val="Recuadro"/>
            </w:pPr>
            <w:r>
              <w:t xml:space="preserve">«Si hacemos un cambio al sistema, ¿cuánto tiempo pasará antes de ver los resultados deseados?» → Reconoce el impacto de las demoras</w:t>
            </w:r>
          </w:p>
          <w:p>
            <w:pPr>
              <w:pStyle w:val="Recuadro"/>
            </w:pPr>
            <w:r>
              <w:t xml:space="preserve">«¿En dónde aparece la retroalimentación de la causalidad circular?» → Identifica la naturaleza circular de las relaciones complejas</w:t>
            </w:r>
          </w:p>
          <w:p>
            <w:pPr>
              <w:pStyle w:val="Recuadro"/>
            </w:pPr>
            <w:r>
              <w:t xml:space="preserve">«¿Qué patrones o tendencias han aparecido a través del tiempo?» → Observa cómo los elementos cambian a través del tiempo</w:t>
            </w:r>
          </w:p>
        </w:tc>
      </w:tr>
    </w:tbl>
    <w:p>
      <w:pPr>
        <w:pStyle w:val="Normal"/>
      </w:pPr>
      <w:r>
        <w:t xml:space="preserve">Distractor sin fila correspondiente: Hace conexiones significativas dentro y entre sistemas.</w:t>
      </w:r>
    </w:p>
    <w:p>
      <w:pPr>
        <w:pStyle w:val="Normal"/>
      </w:pPr>
      <w:r>
        <w:t xml:space="preserve">Distractor sin fila correspondiente: Cambia las perspectivas para aumentar la comprensión.</w:t>
      </w:r>
    </w:p>
    <w:p>
      <w:pPr>
        <w:pStyle w:val="Normal"/>
      </w:pPr>
      <w:r>
        <w:t xml:space="preserve">Criterio de resolución: Cada tarjeta trae su propio juego de preguntas, y reconocerlas es la forma más directa de identificar el hábito. «Conexiones significativas» pertenece al grupo de cinco hábitos complejos y «cambiar perspectivas» pertenece a los cuatro hábitos básicos de la unidad anterior.</w:t>
      </w:r>
    </w:p>
    <w:p>
      <w:pPr>
        <w:pStyle w:val="Fuente"/>
      </w:pPr>
      <w:r>
        <w:t xml:space="preserve">Clase 15 · láminas 9 y 17 · Clase 16 · lámina 13 · Clase 13 · lámina 3</w:t>
      </w:r>
    </w:p>
    <w:p>
      <w:pPr>
        <w:pStyle w:val="Heading3"/>
      </w:pPr>
      <w:bookmarkStart w:name="b_solucion_p2e_26_modelador_limite" w:id="6496"/>
      <w:r>
        <w:t xml:space="preserve">Solución S2-138</w:t>
      </w:r>
      <w:bookmarkEnd w:id="6496"/>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b) Que todo modelo queda abierto a nuevas perspectivas y a revisión, porque siempre puede haber más de lo que se alcanzó a percibir</w:t>
            </w:r>
          </w:p>
        </w:tc>
      </w:tr>
    </w:tbl>
    <w:p>
      <w:pPr>
        <w:pStyle w:val="Normal"/>
      </w:pPr>
      <w:r>
        <w:t xml:space="preserve">a) Que no vale la pena modelar, porque el modelo será incompleto — La conclusión no es renunciar sino declarar los límites del modelo.</w:t>
      </w:r>
    </w:p>
    <w:p>
      <w:pPr>
        <w:pStyle w:val="Normal"/>
      </w:pPr>
      <w:r>
        <w:t xml:space="preserve">b) Que todo modelo queda abierto a nuevas perspectivas y a revisión, porque siempre puede haber más de lo que se alcanzó a percibir — Correcta: por eso la regla de perspectivas es la que más enriquece un modelo inicial.</w:t>
      </w:r>
    </w:p>
    <w:p>
      <w:pPr>
        <w:pStyle w:val="Normal"/>
      </w:pPr>
      <w:r>
        <w:t xml:space="preserve">c) Que hay que pedir siempre la opinión del profesor — La revisión puede venir de cualquier perspectiva pertinente.</w:t>
      </w:r>
    </w:p>
    <w:p>
      <w:pPr>
        <w:pStyle w:val="Normal"/>
      </w:pPr>
      <w:r>
        <w:t xml:space="preserve">d) Que los modelos deben tener el mayor número posible de variables — Más variables no equivale a más comprensión.</w:t>
      </w:r>
    </w:p>
    <w:p>
      <w:pPr>
        <w:pStyle w:val="Normal"/>
      </w:pPr>
      <w:r>
        <w:t xml:space="preserve">Criterio de resolución: Reconocer el límite es parte del método, no una debilidad: obliga a explicitar qué frontera se eligió, qué quedó fuera y desde qué perspectiva se modeló. Esa es la diferencia entre un modelo defendible y uno que se presenta como la realidad.</w:t>
      </w:r>
    </w:p>
    <w:p>
      <w:pPr>
        <w:pStyle w:val="Fuente"/>
      </w:pPr>
      <w:r>
        <w:t xml:space="preserve">Clase 15 · 01:32:36–01:33:00</w:t>
      </w:r>
    </w:p>
    <w:p>
      <w:pPr>
        <w:pStyle w:val="Heading3"/>
      </w:pPr>
      <w:bookmarkStart w:name="b_solucion_p2e_30_flujo_o_acopio" w:id="6497"/>
      <w:r>
        <w:t xml:space="preserve">Solución S2-139</w:t>
      </w:r>
      <w:bookmarkEnd w:id="6497"/>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Flujo: El agua que entra cada minuto a la piscina; Los intereses del mes; El déficit fiscal de cada año; Las notas parciales</w:t>
            </w:r>
          </w:p>
          <w:p>
            <w:pPr>
              <w:pStyle w:val="Recuadro"/>
            </w:pPr>
            <w:r>
              <w:t xml:space="preserve">Acopio (nivel): El agua acumulada en la piscina; La deuda; La deuda nacional; La nota definitiva</w:t>
            </w:r>
          </w:p>
        </w:tc>
      </w:tr>
    </w:tbl>
    <w:p>
      <w:pPr>
        <w:pStyle w:val="Normal"/>
      </w:pPr>
      <w:r>
        <w:t xml:space="preserve">Criterio de resolución: El acopio es la cantidad que se acumula y se dibuja como un rectángulo; el flujo es la velocidad con que esa cantidad entra o sale, y se dibuja como una flecha con válvula, como la llave de paso de una tubería. Sterman lo resume con el déficit y la deuda: el déficit es el flujo de dinero prestado cada año y la deuda es el depósito donde se acumula; por eso reducir el déficit no reduce la deuda, sólo la hace crecer más despacio.</w:t>
      </w:r>
    </w:p>
    <w:p>
      <w:pPr>
        <w:pStyle w:val="Fuente"/>
      </w:pPr>
      <w:r>
        <w:t xml:space="preserve">lectura L-13 · Echeverri y Franco, capítulo VI, pp. 56–59</w:t>
      </w:r>
    </w:p>
    <w:p>
      <w:pPr>
        <w:pStyle w:val="Heading3"/>
      </w:pPr>
      <w:bookmarkStart w:name="b_solucion_p2e_31_deficit_deuda_banera" w:id="6498"/>
      <w:r>
        <w:t xml:space="preserve">Solución S2-140</w:t>
      </w:r>
      <w:bookmarkEnd w:id="6498"/>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b) Sigue creciendo, sólo que a menor ritmo: el déficit es el flujo y la deuda el depósito, y la deuda sólo baja si se recauda más de lo que se gasta, como la bañera sólo baja si sale más agua de la que entra</w:t>
            </w:r>
          </w:p>
        </w:tc>
      </w:tr>
    </w:tbl>
    <w:p>
      <w:pPr>
        <w:pStyle w:val="Normal"/>
      </w:pPr>
      <w:r>
        <w:t xml:space="preserve">a) Disminuye en la misma proporción en que se redujo el déficit — Reducir un flujo de entrada no vacía el depósito; sólo lo llena más despacio.</w:t>
      </w:r>
    </w:p>
    <w:p>
      <w:pPr>
        <w:pStyle w:val="Normal"/>
      </w:pPr>
      <w:r>
        <w:t xml:space="preserve">b) Sigue creciendo, sólo que a menor ritmo: el déficit es el flujo y la deuda el depósito, y la deuda sólo baja si se recauda más de lo que se gasta, como la bañera sólo baja si sale más agua de la que entra — Correcta: es la relación entre flujo y acopio que Sterman ilustra con la bañera.</w:t>
      </w:r>
    </w:p>
    <w:p>
      <w:pPr>
        <w:pStyle w:val="Normal"/>
      </w:pPr>
      <w:r>
        <w:t xml:space="preserve">c) Se mantiene igual, porque déficit y deuda son el mismo concepto — No son lo mismo: el déficit es una corriente anual y la deuda es la acumulación de todas las corrientes pasadas.</w:t>
      </w:r>
    </w:p>
    <w:p>
      <w:pPr>
        <w:pStyle w:val="Normal"/>
      </w:pPr>
      <w:r>
        <w:t xml:space="preserve">d) Desaparece cuando el déficit llega a cero — Con déficit cero la deuda deja de crecer, pero no desaparece: hace falta superávit para reducirla.</w:t>
      </w:r>
    </w:p>
    <w:p>
      <w:pPr>
        <w:pStyle w:val="Normal"/>
      </w:pPr>
      <w:r>
        <w:t xml:space="preserve">Criterio de resolución: La relación entre depósitos y flujos es, según Sterman, uno de los conceptos centrales de la dinámica de sistemas: los depósitos son responsables de las demoras, otorgan memoria e inercia a los sistemas y pueden amplificar o atenuar los disturbios. Mucha gente informada confunde deuda y déficit porque piensa en eventos y no en acumulaciones.</w:t>
      </w:r>
    </w:p>
    <w:p>
      <w:pPr>
        <w:pStyle w:val="Fuente"/>
      </w:pPr>
      <w:r>
        <w:t xml:space="preserve">lectura L-13 · Echeverri y Franco, capítulo VI, p. 59</w:t>
      </w:r>
    </w:p>
    <w:p>
      <w:pPr>
        <w:pStyle w:val="Heading3"/>
      </w:pPr>
      <w:bookmarkStart w:name="b_solucion_p2e_32_elementos_acopio_flujo" w:id="6499"/>
      <w:r>
        <w:t xml:space="preserve">Solución S2-141</w:t>
      </w:r>
      <w:bookmarkEnd w:id="6499"/>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Acopio (stock) → Una acumulación de alguna cantidad, medible o no; se representa con un rectángulo</w:t>
            </w:r>
          </w:p>
          <w:p>
            <w:pPr>
              <w:pStyle w:val="Recuadro"/>
            </w:pPr>
            <w:r>
              <w:t xml:space="preserve">Flujo → La velocidad con que las cantidades entran o salen; como una llave de paso, se dibuja con una flecha y una válvula</w:t>
            </w:r>
          </w:p>
          <w:p>
            <w:pPr>
              <w:pStyle w:val="Recuadro"/>
            </w:pPr>
            <w:r>
              <w:t xml:space="preserve">Convertidor → Cantidades que tienen impacto sobre los acopios y los flujos</w:t>
            </w:r>
          </w:p>
          <w:p>
            <w:pPr>
              <w:pStyle w:val="Recuadro"/>
            </w:pPr>
            <w:r>
              <w:t xml:space="preserve">Nube → Áreas fuera del sistema donde un flujo se origina o desemboca</w:t>
            </w:r>
          </w:p>
        </w:tc>
      </w:tr>
    </w:tbl>
    <w:p>
      <w:pPr>
        <w:pStyle w:val="Normal"/>
      </w:pPr>
      <w:r>
        <w:t xml:space="preserve">Distractor sin fila correspondiente: Flechas que interrelacionan los elementos; cada una lleva una fórmula.</w:t>
      </w:r>
    </w:p>
    <w:p>
      <w:pPr>
        <w:pStyle w:val="Normal"/>
      </w:pPr>
      <w:r>
        <w:t xml:space="preserve">Criterio de resolución: Los cinco tipos de entidad de Senge traducen cualquier situación —hasta la más cualitativa— a un lenguaje que se puede simular: el acopio guarda, el flujo mueve, el convertidor ajusta, el conector enlaza con una fórmula y la nube marca la frontera del sistema. El conector queda como distractor: interrelaciona los otros elementos.</w:t>
      </w:r>
    </w:p>
    <w:p>
      <w:pPr>
        <w:pStyle w:val="Fuente"/>
      </w:pPr>
      <w:r>
        <w:t xml:space="preserve">lectura L-13 · Echeverri y Franco, capítulo VI, p. 57</w:t>
      </w:r>
    </w:p>
    <w:p>
      <w:pPr>
        <w:pStyle w:val="Heading3"/>
      </w:pPr>
      <w:bookmarkStart w:name="b_solucion_p2l_cocinas" w:id="6500"/>
      <w:r>
        <w:t xml:space="preserve">Solución S2-142</w:t>
      </w:r>
      <w:bookmarkEnd w:id="6500"/>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d) Porque volumen, rapidez y convivencia deseados exigen distintas relaciones entre puestos, personas y procesos</w:t>
            </w:r>
          </w:p>
        </w:tc>
      </w:tr>
    </w:tbl>
    <w:p>
      <w:pPr>
        <w:pStyle w:val="Normal"/>
      </w:pPr>
      <w:r>
        <w:t xml:space="preserve">a) Porque la estructura nunca influye en la preparación — Se descarta por la clave; aplique el criterio de resolución común que se desarrolla después de esta lista.</w:t>
      </w:r>
    </w:p>
    <w:p>
      <w:pPr>
        <w:pStyle w:val="Normal"/>
      </w:pPr>
      <w:r>
        <w:t xml:space="preserve">b) Porque toda cocina familiar debe copiar una comercial — Se descarta por la clave; aplique el criterio de resolución común que se desarrolla después de esta lista.</w:t>
      </w:r>
    </w:p>
    <w:p>
      <w:pPr>
        <w:pStyle w:val="Normal"/>
      </w:pPr>
      <w:r>
        <w:t xml:space="preserve">c) Porque sólo el nombre del edificio produce el comportamiento — Se descarta por la clave; aplique el criterio de resolución común que se desarrolla después de esta lista.</w:t>
      </w:r>
    </w:p>
    <w:p>
      <w:pPr>
        <w:pStyle w:val="Normal"/>
      </w:pPr>
      <w:r>
        <w:t xml:space="preserve">d) Porque volumen, rapidez y convivencia deseados exigen distintas relaciones entre puestos, personas y procesos — Se selecciona por la clave; aplique el criterio de resolución común que se desarrolla después de esta lista.</w:t>
      </w:r>
    </w:p>
    <w:p>
      <w:pPr>
        <w:pStyle w:val="Normal"/>
      </w:pPr>
      <w:r>
        <w:t xml:space="preserve">Criterio de resolución: Porque volumen, rapidez y convivencia deseados exigen distintas relaciones entre puestos, personas y procesos</w:t>
      </w:r>
    </w:p>
    <w:p>
      <w:pPr>
        <w:pStyle w:val="Fuente"/>
      </w:pPr>
      <w:r>
        <w:t xml:space="preserve">Presentación de la unidad 3 (C-2), pág. 89, 91 y 99 · Clase 15 · 00:41:06–00:42:21</w:t>
      </w:r>
    </w:p>
    <w:p>
      <w:pPr>
        <w:pStyle w:val="Heading3"/>
      </w:pPr>
      <w:bookmarkStart w:name="b_solucion_p2l_comedero_ardillas" w:id="6501"/>
      <w:r>
        <w:t xml:space="preserve">Solución S2-143</w:t>
      </w:r>
      <w:bookmarkEnd w:id="6501"/>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b) Consumen alimento y provocan derrame; además pueden desplazar aves, con valoración dependiente del observador</w:t>
            </w:r>
          </w:p>
        </w:tc>
      </w:tr>
    </w:tbl>
    <w:p>
      <w:pPr>
        <w:pStyle w:val="Normal"/>
      </w:pPr>
      <w:r>
        <w:t xml:space="preserve">a) Reducen a cero consumo y derrame — Se descarta por la clave; aplique el criterio de resolución común que se desarrolla después de esta lista.</w:t>
      </w:r>
    </w:p>
    <w:p>
      <w:pPr>
        <w:pStyle w:val="Normal"/>
      </w:pPr>
      <w:r>
        <w:t xml:space="preserve">b) Consumen alimento y provocan derrame; además pueden desplazar aves, con valoración dependiente del observador — Se selecciona por la clave; aplique el criterio de resolución común que se desarrolla después de esta lista.</w:t>
      </w:r>
    </w:p>
    <w:p>
      <w:pPr>
        <w:pStyle w:val="Normal"/>
      </w:pPr>
      <w:r>
        <w:t xml:space="preserve">c) Sólo mejoran el agrado para todo observador sin excepción — Se descarta por la clave; aplique el criterio de resolución común que se desarrolla después de esta lista.</w:t>
      </w:r>
    </w:p>
    <w:p>
      <w:pPr>
        <w:pStyle w:val="Normal"/>
      </w:pPr>
      <w:r>
        <w:t xml:space="preserve">d) Sólo cambian el color de los pájaros — Se descarta por la clave; aplique el criterio de resolución común que se desarrolla después de esta lista.</w:t>
      </w:r>
    </w:p>
    <w:p>
      <w:pPr>
        <w:pStyle w:val="Normal"/>
      </w:pPr>
      <w:r>
        <w:t xml:space="preserve">Criterio de resolución: Consumen alimento y provocan derrame; además pueden desplazar aves, con valoración dependiente del observador</w:t>
      </w:r>
    </w:p>
    <w:p>
      <w:pPr>
        <w:pStyle w:val="Fuente"/>
      </w:pPr>
      <w:r>
        <w:t xml:space="preserve">Presentación de la unidad 3 (C-2), pág. 55–71 y 73 · Clase 14 · 00:07:06–00:07:31 (alcance oral)</w:t>
      </w:r>
    </w:p>
    <w:p>
      <w:pPr>
        <w:pStyle w:val="Heading3"/>
      </w:pPr>
      <w:bookmarkStart w:name="b_solucion_p2l_comedero_compras" w:id="6502"/>
      <w:r>
        <w:t xml:space="preserve">Solución S2-144</w:t>
      </w:r>
      <w:bookmarkEnd w:id="6502"/>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d) Más aves → más alimento por comprar → gasto imprevisto → frustración; importa estimar cantidad y costo</w:t>
            </w:r>
          </w:p>
        </w:tc>
      </w:tr>
    </w:tbl>
    <w:p>
      <w:pPr>
        <w:pStyle w:val="Normal"/>
      </w:pPr>
      <w:r>
        <w:t xml:space="preserve">a) Más aves elimina toda compra de alimento — Se descarta por la clave; aplique el criterio de resolución común que se desarrolla después de esta lista.</w:t>
      </w:r>
    </w:p>
    <w:p>
      <w:pPr>
        <w:pStyle w:val="Normal"/>
      </w:pPr>
      <w:r>
        <w:t xml:space="preserve">b) La frustración sólo existe si desaparece el comedero — Se descarta por la clave; aplique el criterio de resolución común que se desarrolla después de esta lista.</w:t>
      </w:r>
    </w:p>
    <w:p>
      <w:pPr>
        <w:pStyle w:val="Normal"/>
      </w:pPr>
      <w:r>
        <w:t xml:space="preserve">c) El gasto es ajeno a cualquier resultado de la intervención — Se descarta por la clave; aplique el criterio de resolución común que se desarrolla después de esta lista.</w:t>
      </w:r>
    </w:p>
    <w:p>
      <w:pPr>
        <w:pStyle w:val="Normal"/>
      </w:pPr>
      <w:r>
        <w:t xml:space="preserve">d) Más aves → más alimento por comprar → gasto imprevisto → frustración; importa estimar cantidad y costo — Se selecciona por la clave; aplique el criterio de resolución común que se desarrolla después de esta lista.</w:t>
      </w:r>
    </w:p>
    <w:p>
      <w:pPr>
        <w:pStyle w:val="Normal"/>
      </w:pPr>
      <w:r>
        <w:t xml:space="preserve">Criterio de resolución: Más aves → más alimento por comprar → gasto imprevisto → frustración; importa estimar cantidad y costo</w:t>
      </w:r>
    </w:p>
    <w:p>
      <w:pPr>
        <w:pStyle w:val="Fuente"/>
      </w:pPr>
      <w:r>
        <w:t xml:space="preserve">Presentación de la unidad 3 (C-2), pág. 55–71 y 73 · Clase 14 · 00:07:06–00:07:31 (alcance oral)</w:t>
      </w:r>
    </w:p>
    <w:p>
      <w:pPr>
        <w:pStyle w:val="Heading3"/>
      </w:pPr>
      <w:bookmarkStart w:name="b_solucion_p2l_comedero_derrame" w:id="6503"/>
      <w:r>
        <w:t xml:space="preserve">Solución S2-145</w:t>
      </w:r>
      <w:bookmarkEnd w:id="6503"/>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a) Más aves producen derrame; reponer alimento aumenta compras y frustración, reduciendo el agrado de la mañana</w:t>
            </w:r>
          </w:p>
        </w:tc>
      </w:tr>
    </w:tbl>
    <w:p>
      <w:pPr>
        <w:pStyle w:val="Normal"/>
      </w:pPr>
      <w:r>
        <w:t xml:space="preserve">a) Más aves producen derrame; reponer alimento aumenta compras y frustración, reduciendo el agrado de la mañana — Se selecciona por la clave; aplique el criterio de resolución común que se desarrolla después de esta lista.</w:t>
      </w:r>
    </w:p>
    <w:p>
      <w:pPr>
        <w:pStyle w:val="Normal"/>
      </w:pPr>
      <w:r>
        <w:t xml:space="preserve">b) El derrame siempre reduce la compra y aumenta agrado — Se descarta por la clave; aplique el criterio de resolución común que se desarrolla después de esta lista.</w:t>
      </w:r>
    </w:p>
    <w:p>
      <w:pPr>
        <w:pStyle w:val="Normal"/>
      </w:pPr>
      <w:r>
        <w:t xml:space="preserve">c) El derrame carece de conexión con las aves — Se descarta por la clave; aplique el criterio de resolución común que se desarrolla después de esta lista.</w:t>
      </w:r>
    </w:p>
    <w:p>
      <w:pPr>
        <w:pStyle w:val="Normal"/>
      </w:pPr>
      <w:r>
        <w:t xml:space="preserve">d) El derrame mide una perspectiva de la OMS — Se descarta por la clave; aplique el criterio de resolución común que se desarrolla después de esta lista.</w:t>
      </w:r>
    </w:p>
    <w:p>
      <w:pPr>
        <w:pStyle w:val="Normal"/>
      </w:pPr>
      <w:r>
        <w:t xml:space="preserve">Criterio de resolución: Más aves producen derrame; reponer alimento aumenta compras y frustración, reduciendo el agrado de la mañana</w:t>
      </w:r>
    </w:p>
    <w:p>
      <w:pPr>
        <w:pStyle w:val="Fuente"/>
      </w:pPr>
      <w:r>
        <w:t xml:space="preserve">Presentación de la unidad 3 (C-2), pág. 55–71 y 73 · Clase 14 · 00:07:06–00:07:31 (alcance oral)</w:t>
      </w:r>
    </w:p>
    <w:p>
      <w:pPr>
        <w:pStyle w:val="Heading3"/>
      </w:pPr>
      <w:bookmarkStart w:name="b_solucion_p2l_comedero_efectos" w:id="6504"/>
      <w:r>
        <w:t xml:space="preserve">Solución S2-146</w:t>
      </w:r>
      <w:bookmarkEnd w:id="6504"/>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c) Derrame → roedores; derrame → crecimiento antiestético; pájaros → desechos de aves</w:t>
            </w:r>
          </w:p>
        </w:tc>
      </w:tr>
    </w:tbl>
    <w:p>
      <w:pPr>
        <w:pStyle w:val="Normal"/>
      </w:pPr>
      <w:r>
        <w:t xml:space="preserve">a) Derrame → menos roedores y ausencia de vegetación — Se descarta por la clave; aplique el criterio de resolución común que se desarrolla después de esta lista.</w:t>
      </w:r>
    </w:p>
    <w:p>
      <w:pPr>
        <w:pStyle w:val="Normal"/>
      </w:pPr>
      <w:r>
        <w:t xml:space="preserve">b) Pájaros → desaparición de todo desecho — Se descarta por la clave; aplique el criterio de resolución común que se desarrolla después de esta lista.</w:t>
      </w:r>
    </w:p>
    <w:p>
      <w:pPr>
        <w:pStyle w:val="Normal"/>
      </w:pPr>
      <w:r>
        <w:t xml:space="preserve">c) Derrame → roedores; derrame → crecimiento antiestético; pájaros → desechos de aves — Se selecciona por la clave; aplique el criterio de resolución común que se desarrolla después de esta lista.</w:t>
      </w:r>
    </w:p>
    <w:p>
      <w:pPr>
        <w:pStyle w:val="Normal"/>
      </w:pPr>
      <w:r>
        <w:t xml:space="preserve">d) Frustración → menor gasto sin mediaciones — Se descarta por la clave; aplique el criterio de resolución común que se desarrolla después de esta lista.</w:t>
      </w:r>
    </w:p>
    <w:p>
      <w:pPr>
        <w:pStyle w:val="Normal"/>
      </w:pPr>
      <w:r>
        <w:t xml:space="preserve">Criterio de resolución: Derrame → roedores; derrame → crecimiento antiestético; pájaros → desechos de aves</w:t>
      </w:r>
    </w:p>
    <w:p>
      <w:pPr>
        <w:pStyle w:val="Fuente"/>
      </w:pPr>
      <w:r>
        <w:t xml:space="preserve">Presentación de la unidad 3 (C-2), pág. 55–71 y 73 · Clase 14 · 00:07:06–00:07:31 (alcance oral)</w:t>
      </w:r>
    </w:p>
    <w:p>
      <w:pPr>
        <w:pStyle w:val="Heading3"/>
      </w:pPr>
      <w:bookmarkStart w:name="b_solucion_p2l_comedero_frustracion" w:id="6505"/>
      <w:r>
        <w:t xml:space="preserve">Solución S2-147</w:t>
      </w:r>
      <w:bookmarkEnd w:id="6505"/>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c) Un refuerzo: más frustración reduce agrado, lo que deja menos ayuda para reducir frustración</w:t>
            </w:r>
          </w:p>
        </w:tc>
      </w:tr>
    </w:tbl>
    <w:p>
      <w:pPr>
        <w:pStyle w:val="Normal"/>
      </w:pPr>
      <w:r>
        <w:t xml:space="preserve">a) Un balance sólo porque aparece una relación negativa — Se descarta por la clave; aplique el criterio de resolución común que se desarrolla después de esta lista.</w:t>
      </w:r>
    </w:p>
    <w:p>
      <w:pPr>
        <w:pStyle w:val="Normal"/>
      </w:pPr>
      <w:r>
        <w:t xml:space="preserve">b) Una cadena abierta sin retorno — Se descarta por la clave; aplique el criterio de resolución común que se desarrolla después de esta lista.</w:t>
      </w:r>
    </w:p>
    <w:p>
      <w:pPr>
        <w:pStyle w:val="Normal"/>
      </w:pPr>
      <w:r>
        <w:t xml:space="preserve">c) Un refuerzo: más frustración reduce agrado, lo que deja menos ayuda para reducir frustración — Se selecciona por la clave; aplique el criterio de resolución común que se desarrolla después de esta lista.</w:t>
      </w:r>
    </w:p>
    <w:p>
      <w:pPr>
        <w:pStyle w:val="Normal"/>
      </w:pPr>
      <w:r>
        <w:t xml:space="preserve">d) Dos variables que siempre aumentan juntas — Se descarta por la clave; aplique el criterio de resolución común que se desarrolla después de esta lista.</w:t>
      </w:r>
    </w:p>
    <w:p>
      <w:pPr>
        <w:pStyle w:val="Normal"/>
      </w:pPr>
      <w:r>
        <w:t xml:space="preserve">Criterio de resolución: Un refuerzo: más frustración reduce agrado, lo que deja menos ayuda para reducir frustración</w:t>
      </w:r>
    </w:p>
    <w:p>
      <w:pPr>
        <w:pStyle w:val="Fuente"/>
      </w:pPr>
      <w:r>
        <w:t xml:space="preserve">Presentación de la unidad 3 (C-2), pág. 55–71 y 73 · Clase 14 · 00:07:06–00:07:31 (alcance oral)</w:t>
      </w:r>
    </w:p>
    <w:p>
      <w:pPr>
        <w:pStyle w:val="Heading3"/>
      </w:pPr>
      <w:bookmarkStart w:name="b_solucion_p2l_comedero_inicio" w:id="6506"/>
      <w:r>
        <w:t xml:space="preserve">Solución S2-148</w:t>
      </w:r>
      <w:bookmarkEnd w:id="6506"/>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a) Mañana agradable → comedero → pájaros → mañana agradable</w:t>
            </w:r>
          </w:p>
        </w:tc>
      </w:tr>
    </w:tbl>
    <w:p>
      <w:pPr>
        <w:pStyle w:val="Normal"/>
      </w:pPr>
      <w:r>
        <w:t xml:space="preserve">a) Mañana agradable → comedero → pájaros → mañana agradable — Se selecciona por la clave; aplique el criterio de resolución común que se desarrolla después de esta lista.</w:t>
      </w:r>
    </w:p>
    <w:p>
      <w:pPr>
        <w:pStyle w:val="Normal"/>
      </w:pPr>
      <w:r>
        <w:t xml:space="preserve">b) Comedero → pájaros sin ningún retorno — Se descarta por la clave; aplique el criterio de resolución común que se desarrolla después de esta lista.</w:t>
      </w:r>
    </w:p>
    <w:p>
      <w:pPr>
        <w:pStyle w:val="Normal"/>
      </w:pPr>
      <w:r>
        <w:t xml:space="preserve">c) Compra → gasto → frustración, sin relación con la mañana — Se descarta por la clave; aplique el criterio de resolución común que se desarrolla después de esta lista.</w:t>
      </w:r>
    </w:p>
    <w:p>
      <w:pPr>
        <w:pStyle w:val="Normal"/>
      </w:pPr>
      <w:r>
        <w:t xml:space="preserve">d) Roedores → luz → caudal → roedores — Se descarta por la clave; aplique el criterio de resolución común que se desarrolla después de esta lista.</w:t>
      </w:r>
    </w:p>
    <w:p>
      <w:pPr>
        <w:pStyle w:val="Normal"/>
      </w:pPr>
      <w:r>
        <w:t xml:space="preserve">Criterio de resolución: La mañana agradable motiva el comedero, éste atrae pájaros y éstos mejoran la mañana. Volver a la variable inicial cierra el retorno de la intención.</w:t>
      </w:r>
    </w:p>
    <w:p>
      <w:pPr>
        <w:pStyle w:val="Fuente"/>
      </w:pPr>
      <w:r>
        <w:t xml:space="preserve">Presentación de la unidad 3 (C-2), pág. 55–71 y 73 · Clase 14 · 00:07:06–00:07:31 (alcance oral)</w:t>
      </w:r>
    </w:p>
    <w:p>
      <w:pPr>
        <w:pStyle w:val="Heading3"/>
      </w:pPr>
      <w:bookmarkStart w:name="b_solucion_p2l_comedero_jardin" w:id="6507"/>
      <w:r>
        <w:t xml:space="preserve">Solución S2-149</w:t>
      </w:r>
      <w:bookmarkEnd w:id="6507"/>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b) Los pájaros lo aumentan, éste atrae más pájaros y también mejora la mañana</w:t>
            </w:r>
          </w:p>
        </w:tc>
      </w:tr>
    </w:tbl>
    <w:p>
      <w:pPr>
        <w:pStyle w:val="Normal"/>
      </w:pPr>
      <w:r>
        <w:t xml:space="preserve">a) Reduce necesariamente los pájaros y no afecta la mañana — Se descarta por la clave; aplique el criterio de resolución común que se desarrolla después de esta lista.</w:t>
      </w:r>
    </w:p>
    <w:p>
      <w:pPr>
        <w:pStyle w:val="Normal"/>
      </w:pPr>
      <w:r>
        <w:t xml:space="preserve">b) Los pájaros lo aumentan, éste atrae más pájaros y también mejora la mañana — Se selecciona por la clave; aplique el criterio de resolución común que se desarrolla después de esta lista.</w:t>
      </w:r>
    </w:p>
    <w:p>
      <w:pPr>
        <w:pStyle w:val="Normal"/>
      </w:pPr>
      <w:r>
        <w:t xml:space="preserve">c) Es un nodo aislado sin influencias — Se descarta por la clave; aplique el criterio de resolución común que se desarrolla después de esta lista.</w:t>
      </w:r>
    </w:p>
    <w:p>
      <w:pPr>
        <w:pStyle w:val="Normal"/>
      </w:pPr>
      <w:r>
        <w:t xml:space="preserve">d) Sustituye por completo a la necesidad de alimento — Se descarta por la clave; aplique el criterio de resolución común que se desarrolla después de esta lista.</w:t>
      </w:r>
    </w:p>
    <w:p>
      <w:pPr>
        <w:pStyle w:val="Normal"/>
      </w:pPr>
      <w:r>
        <w:t xml:space="preserve">Criterio de resolución: Los pájaros lo aumentan, éste atrae más pájaros y también mejora la mañana</w:t>
      </w:r>
    </w:p>
    <w:p>
      <w:pPr>
        <w:pStyle w:val="Fuente"/>
      </w:pPr>
      <w:r>
        <w:t xml:space="preserve">Presentación de la unidad 3 (C-2), pág. 55–71 y 73 · Clase 14 · 00:07:06–00:07:31 (alcance oral)</w:t>
      </w:r>
    </w:p>
    <w:p>
      <w:pPr>
        <w:pStyle w:val="Heading3"/>
      </w:pPr>
      <w:bookmarkStart w:name="b_solucion_p2l_espacios" w:id="6508"/>
      <w:r>
        <w:t xml:space="preserve">Solución S2-150</w:t>
      </w:r>
      <w:bookmarkEnd w:id="6508"/>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a) Distribución, muebles, iluminación y acústica, relacionados con la conducta buscada</w:t>
            </w:r>
          </w:p>
        </w:tc>
      </w:tr>
    </w:tbl>
    <w:p>
      <w:pPr>
        <w:pStyle w:val="Normal"/>
      </w:pPr>
      <w:r>
        <w:t xml:space="preserve">a) Distribución, muebles, iluminación y acústica, relacionados con la conducta buscada — Se selecciona por la clave; aplique el criterio de resolución común que se desarrolla después de esta lista.</w:t>
      </w:r>
    </w:p>
    <w:p>
      <w:pPr>
        <w:pStyle w:val="Normal"/>
      </w:pPr>
      <w:r>
        <w:t xml:space="preserve">b) Sólo contar cuántas personas caben sin estudiar sus interacciones — Se descarta por la clave; aplique el criterio de resolución común que se desarrolla después de esta lista.</w:t>
      </w:r>
    </w:p>
    <w:p>
      <w:pPr>
        <w:pStyle w:val="Normal"/>
      </w:pPr>
      <w:r>
        <w:t xml:space="preserve">c) Mirar el edificio sin preguntar su propósito — Se descarta por la clave; aplique el criterio de resolución común que se desarrolla después de esta lista.</w:t>
      </w:r>
    </w:p>
    <w:p>
      <w:pPr>
        <w:pStyle w:val="Normal"/>
      </w:pPr>
      <w:r>
        <w:t xml:space="preserve">d) Elegir exclusivamente el color más agradable — Se descarta por la clave; aplique el criterio de resolución común que se desarrolla después de esta lista.</w:t>
      </w:r>
    </w:p>
    <w:p>
      <w:pPr>
        <w:pStyle w:val="Normal"/>
      </w:pPr>
      <w:r>
        <w:t xml:space="preserve">Criterio de resolución: Distribución, muebles, iluminación y acústica, relacionados con la conducta buscada</w:t>
      </w:r>
    </w:p>
    <w:p>
      <w:pPr>
        <w:pStyle w:val="Fuente"/>
      </w:pPr>
      <w:r>
        <w:t xml:space="preserve">Presentación de la unidad 3 (C-2), pág. 89, 91 y 99 · Clase 15 · 00:41:06–00:42:21</w:t>
      </w:r>
    </w:p>
    <w:p>
      <w:pPr>
        <w:pStyle w:val="Heading3"/>
      </w:pPr>
      <w:bookmarkStart w:name="b_solucion_p2l_familias" w:id="6509"/>
      <w:r>
        <w:t xml:space="preserve">Solución S2-151</w:t>
      </w:r>
      <w:bookmarkEnd w:id="6509"/>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b) Su efecto depende de la interacción con personalidad y contexto; la previsibilidad puede apoyar o limitar según el caso</w:t>
            </w:r>
          </w:p>
        </w:tc>
      </w:tr>
    </w:tbl>
    <w:p>
      <w:pPr>
        <w:pStyle w:val="Normal"/>
      </w:pPr>
      <w:r>
        <w:t xml:space="preserve">a) Las reglas rígidas benefician por igual a todo niño — Se descarta por la clave; aplique el criterio de resolución común que se desarrolla después de esta lista.</w:t>
      </w:r>
    </w:p>
    <w:p>
      <w:pPr>
        <w:pStyle w:val="Normal"/>
      </w:pPr>
      <w:r>
        <w:t xml:space="preserve">b) Su efecto depende de la interacción con personalidad y contexto; la previsibilidad puede apoyar o limitar según el caso — Se selecciona por la clave; aplique el criterio de resolución común que se desarrolla después de esta lista.</w:t>
      </w:r>
    </w:p>
    <w:p>
      <w:pPr>
        <w:pStyle w:val="Normal"/>
      </w:pPr>
      <w:r>
        <w:t xml:space="preserve">c) Las reglas flexibles causan siempre el mismo resultado — Se descarta por la clave; aplique el criterio de resolución común que se desarrolla después de esta lista.</w:t>
      </w:r>
    </w:p>
    <w:p>
      <w:pPr>
        <w:pStyle w:val="Normal"/>
      </w:pPr>
      <w:r>
        <w:t xml:space="preserve">d) La personalidad hace irrelevante toda estructura — Se descarta por la clave; aplique el criterio de resolución común que se desarrolla después de esta lista.</w:t>
      </w:r>
    </w:p>
    <w:p>
      <w:pPr>
        <w:pStyle w:val="Normal"/>
      </w:pPr>
      <w:r>
        <w:t xml:space="preserve">Criterio de resolución: Su efecto depende de la interacción con personalidad y contexto; la previsibilidad puede apoyar o limitar según el caso</w:t>
      </w:r>
    </w:p>
    <w:p>
      <w:pPr>
        <w:pStyle w:val="Fuente"/>
      </w:pPr>
      <w:r>
        <w:t xml:space="preserve">Presentación de la unidad 3 (C-2), pág. 89, 91 y 99 · Clase 15 · 00:41:06–00:42:21</w:t>
      </w:r>
    </w:p>
    <w:p>
      <w:pPr>
        <w:pStyle w:val="Heading3"/>
      </w:pPr>
      <w:bookmarkStart w:name="b_solucion_p2l_frutas_aprendizaje" w:id="6510"/>
      <w:r>
        <w:t xml:space="preserve">Solución S2-152</w:t>
      </w:r>
      <w:bookmarkEnd w:id="6510"/>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a) Balance por sus tres negativas; la demora de productividad a aprendizaje retrasa el efecto sin cambiar la paridad</w:t>
            </w:r>
          </w:p>
        </w:tc>
      </w:tr>
    </w:tbl>
    <w:p>
      <w:pPr>
        <w:pStyle w:val="Normal"/>
      </w:pPr>
      <w:r>
        <w:t xml:space="preserve">a) Balance por sus tres negativas; la demora de productividad a aprendizaje retrasa el efecto sin cambiar la paridad — Se selecciona por la clave; aplique el criterio de resolución común que se desarrolla después de esta lista.</w:t>
      </w:r>
    </w:p>
    <w:p>
      <w:pPr>
        <w:pStyle w:val="Normal"/>
      </w:pPr>
      <w:r>
        <w:t xml:space="preserve">b) Refuerzo porque conocimiento siempre es una palabra positiva — Se descarta por la clave; aplique el criterio de resolución común que se desarrolla después de esta lista.</w:t>
      </w:r>
    </w:p>
    <w:p>
      <w:pPr>
        <w:pStyle w:val="Normal"/>
      </w:pPr>
      <w:r>
        <w:t xml:space="preserve">c) Balance porque toda demora añade un signo negativo — Se descarta por la clave; aplique el criterio de resolución común que se desarrolla después de esta lista.</w:t>
      </w:r>
    </w:p>
    <w:p>
      <w:pPr>
        <w:pStyle w:val="Normal"/>
      </w:pPr>
      <w:r>
        <w:t xml:space="preserve">d) Refuerzo porque sólo se cuenta la primera flecha — Se descarta por la clave; aplique el criterio de resolución común que se desarrolla después de esta lista.</w:t>
      </w:r>
    </w:p>
    <w:p>
      <w:pPr>
        <w:pStyle w:val="Normal"/>
      </w:pPr>
      <w:r>
        <w:t xml:space="preserve">Criterio de resolución: Balance por sus tres negativas; la demora de productividad a aprendizaje retrasa el efecto sin cambiar la paridad</w:t>
      </w:r>
    </w:p>
    <w:p>
      <w:pPr>
        <w:pStyle w:val="Fuente"/>
      </w:pPr>
      <w:r>
        <w:t xml:space="preserve">Presentación de la unidad 3 (C-2), pág. 92 · Clase 15 · 00:58:20–01:05:12 (conteo de ciclos)</w:t>
      </w:r>
    </w:p>
    <w:p>
      <w:pPr>
        <w:pStyle w:val="Heading3"/>
      </w:pPr>
      <w:bookmarkStart w:name="b_solucion_p2l_frutas_capacidad" w:id="6511"/>
      <w:r>
        <w:t xml:space="preserve">Solución S2-153</w:t>
      </w:r>
      <w:bookmarkEnd w:id="6511"/>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c) Capacidad productiva; se refuerza con productividad laboral en R3 y con infraestructura en R4</w:t>
            </w:r>
          </w:p>
        </w:tc>
      </w:tr>
    </w:tbl>
    <w:p>
      <w:pPr>
        <w:pStyle w:val="Normal"/>
      </w:pPr>
      <w:r>
        <w:t xml:space="preserve">a) Sólo la palabra tecnología sin ninguna variable común — Se descarta por la clave; aplique el criterio de resolución común que se desarrolla después de esta lista.</w:t>
      </w:r>
    </w:p>
    <w:p>
      <w:pPr>
        <w:pStyle w:val="Normal"/>
      </w:pPr>
      <w:r>
        <w:t xml:space="preserve">b) Un número impar de negativas en ambos recorridos — Se descarta por la clave; aplique el criterio de resolución común que se desarrolla después de esta lista.</w:t>
      </w:r>
    </w:p>
    <w:p>
      <w:pPr>
        <w:pStyle w:val="Normal"/>
      </w:pPr>
      <w:r>
        <w:t xml:space="preserve">c) Capacidad productiva; se refuerza con productividad laboral en R3 y con infraestructura en R4 — Se selecciona por la clave; aplique el criterio de resolución común que se desarrolla después de esta lista.</w:t>
      </w:r>
    </w:p>
    <w:p>
      <w:pPr>
        <w:pStyle w:val="Normal"/>
      </w:pPr>
      <w:r>
        <w:t xml:space="preserve">d) Una ausencia de retorno entre sus variables — Se descarta por la clave; aplique el criterio de resolución común que se desarrolla después de esta lista.</w:t>
      </w:r>
    </w:p>
    <w:p>
      <w:pPr>
        <w:pStyle w:val="Normal"/>
      </w:pPr>
      <w:r>
        <w:t xml:space="preserve">Criterio de resolución: Capacidad productiva; se refuerza con productividad laboral en R3 y con infraestructura en R4</w:t>
      </w:r>
    </w:p>
    <w:p>
      <w:pPr>
        <w:pStyle w:val="Fuente"/>
      </w:pPr>
      <w:r>
        <w:t xml:space="preserve">Presentación de la unidad 3 (C-2), pág. 92 · Clase 15 · 00:58:20–01:05:12 (conteo de ciclos)</w:t>
      </w:r>
    </w:p>
    <w:p>
      <w:pPr>
        <w:pStyle w:val="Heading3"/>
      </w:pPr>
      <w:bookmarkStart w:name="b_solucion_p2l_frutas_comercial" w:id="6512"/>
      <w:r>
        <w:t xml:space="preserve">Solución S2-154</w:t>
      </w:r>
      <w:bookmarkEnd w:id="6512"/>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a) Procesamiento → ventas → demanda → órdenes de producción → procesamiento, con influencias positivas</w:t>
            </w:r>
          </w:p>
        </w:tc>
      </w:tr>
    </w:tbl>
    <w:p>
      <w:pPr>
        <w:pStyle w:val="Normal"/>
      </w:pPr>
      <w:r>
        <w:t xml:space="preserve">a) Procesamiento → ventas → demanda → órdenes de producción → procesamiento, con influencias positivas — Se selecciona por la clave; aplique el criterio de resolución común que se desarrolla después de esta lista.</w:t>
      </w:r>
    </w:p>
    <w:p>
      <w:pPr>
        <w:pStyle w:val="Normal"/>
      </w:pPr>
      <w:r>
        <w:t xml:space="preserve">b) Productividad → aprendizaje → conocimiento → productividad — Se descarta por la clave; aplique el criterio de resolución común que se desarrolla después de esta lista.</w:t>
      </w:r>
    </w:p>
    <w:p>
      <w:pPr>
        <w:pStyle w:val="Normal"/>
      </w:pPr>
      <w:r>
        <w:t xml:space="preserve">c) Especificaciones → proveedor sin retorno — Se descarta por la clave; aplique el criterio de resolución común que se desarrolla después de esta lista.</w:t>
      </w:r>
    </w:p>
    <w:p>
      <w:pPr>
        <w:pStyle w:val="Normal"/>
      </w:pPr>
      <w:r>
        <w:t xml:space="preserve">d) Una secuencia temporal sin ninguna relación de retorno — Se descarta por la clave; aplique el criterio de resolución común que se desarrolla después de esta lista.</w:t>
      </w:r>
    </w:p>
    <w:p>
      <w:pPr>
        <w:pStyle w:val="Normal"/>
      </w:pPr>
      <w:r>
        <w:t xml:space="preserve">Criterio de resolución: Procesamiento → ventas → demanda → órdenes de producción → procesamiento, con influencias positivas</w:t>
      </w:r>
    </w:p>
    <w:p>
      <w:pPr>
        <w:pStyle w:val="Fuente"/>
      </w:pPr>
      <w:r>
        <w:t xml:space="preserve">Presentación de la unidad 3 (C-2), pág. 92 · Clase 15 · 00:58:20–01:05:12 (conteo de ciclos)</w:t>
      </w:r>
    </w:p>
    <w:p>
      <w:pPr>
        <w:pStyle w:val="Heading3"/>
      </w:pPr>
      <w:bookmarkStart w:name="b_solucion_p2l_frutas_producto" w:id="6513"/>
      <w:r>
        <w:t xml:space="preserve">Solución S2-155</w:t>
      </w:r>
      <w:bookmarkEnd w:id="6513"/>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b) Cada recorrido tiene una negativa: especificaciones → trazabilidad en B1 y especificaciones → proveedor en B4</w:t>
            </w:r>
          </w:p>
        </w:tc>
      </w:tr>
    </w:tbl>
    <w:p>
      <w:pPr>
        <w:pStyle w:val="Normal"/>
      </w:pPr>
      <w:r>
        <w:t xml:space="preserve">a) Porque tiene cuatro negativas — Se descarta por la clave; aplique el criterio de resolución común que se desarrolla después de esta lista.</w:t>
      </w:r>
    </w:p>
    <w:p>
      <w:pPr>
        <w:pStyle w:val="Normal"/>
      </w:pPr>
      <w:r>
        <w:t xml:space="preserve">b) Cada recorrido tiene una negativa: especificaciones → trazabilidad en B1 y especificaciones → proveedor en B4 — Se selecciona por la clave; aplique el criterio de resolución común que se desarrolla después de esta lista.</w:t>
      </w:r>
    </w:p>
    <w:p>
      <w:pPr>
        <w:pStyle w:val="Normal"/>
      </w:pPr>
      <w:r>
        <w:t xml:space="preserve">c) Porque cualquier referencia a riesgo fija el tipo B — Se descarta por la clave; aplique el criterio de resolución común que se desarrolla después de esta lista.</w:t>
      </w:r>
    </w:p>
    <w:p>
      <w:pPr>
        <w:pStyle w:val="Normal"/>
      </w:pPr>
      <w:r>
        <w:t xml:space="preserve">d) Porque especificaciones y materia prima no están relacionadas — Se descarta por la clave; aplique el criterio de resolución común que se desarrolla después de esta lista.</w:t>
      </w:r>
    </w:p>
    <w:p>
      <w:pPr>
        <w:pStyle w:val="Normal"/>
      </w:pPr>
      <w:r>
        <w:t xml:space="preserve">Criterio de resolución: Cada recorrido tiene una negativa: especificaciones → trazabilidad en B1 y especificaciones → proveedor en B4</w:t>
      </w:r>
    </w:p>
    <w:p>
      <w:pPr>
        <w:pStyle w:val="Fuente"/>
      </w:pPr>
      <w:r>
        <w:t xml:space="preserve">Presentación de la unidad 3 (C-2), pág. 92 · Clase 15 · 00:58:20–01:05:12 (conteo de ciclos)</w:t>
      </w:r>
    </w:p>
    <w:p>
      <w:pPr>
        <w:pStyle w:val="Heading3"/>
      </w:pPr>
      <w:bookmarkStart w:name="b_solucion_p2l_frutas_tecnologia" w:id="6514"/>
      <w:r>
        <w:t xml:space="preserve">Solución S2-156</w:t>
      </w:r>
      <w:bookmarkEnd w:id="6514"/>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d) B2 y B3 tienen una negativa y una relación demorada; R5 enlaza infraestructura e implementación con dos positivas</w:t>
            </w:r>
          </w:p>
        </w:tc>
      </w:tr>
    </w:tbl>
    <w:p>
      <w:pPr>
        <w:pStyle w:val="Normal"/>
      </w:pPr>
      <w:r>
        <w:t xml:space="preserve">a) Los tres son R porque usan tecnología — Se descarta por la clave; aplique el criterio de resolución común que se desarrolla después de esta lista.</w:t>
      </w:r>
    </w:p>
    <w:p>
      <w:pPr>
        <w:pStyle w:val="Normal"/>
      </w:pPr>
      <w:r>
        <w:t xml:space="preserve">b) Las demoras hacen imposible clasificar por paridad — Se descarta por la clave; aplique el criterio de resolución común que se desarrolla después de esta lista.</w:t>
      </w:r>
    </w:p>
    <w:p>
      <w:pPr>
        <w:pStyle w:val="Normal"/>
      </w:pPr>
      <w:r>
        <w:t xml:space="preserve">c) B2 y B3 no regresan a ninguna variable inicial — Se descarta por la clave; aplique el criterio de resolución común que se desarrolla después de esta lista.</w:t>
      </w:r>
    </w:p>
    <w:p>
      <w:pPr>
        <w:pStyle w:val="Normal"/>
      </w:pPr>
      <w:r>
        <w:t xml:space="preserve">d) B2 y B3 tienen una negativa y una relación demorada; R5 enlaza infraestructura e implementación con dos positivas — Se selecciona por la clave; aplique el criterio de resolución común que se desarrolla después de esta lista.</w:t>
      </w:r>
    </w:p>
    <w:p>
      <w:pPr>
        <w:pStyle w:val="Normal"/>
      </w:pPr>
      <w:r>
        <w:t xml:space="preserve">Criterio de resolución: B2 y B3 tienen una negativa y una relación demorada; R5 enlaza infraestructura e implementación con dos positivas</w:t>
      </w:r>
    </w:p>
    <w:p>
      <w:pPr>
        <w:pStyle w:val="Fuente"/>
      </w:pPr>
      <w:r>
        <w:t xml:space="preserve">Presentación de la unidad 3 (C-2), pág. 92 · Clase 15 · 00:58:20–01:05:12 (conteo de ciclos)</w:t>
      </w:r>
    </w:p>
    <w:p>
      <w:pPr>
        <w:pStyle w:val="Heading3"/>
      </w:pPr>
      <w:bookmarkStart w:name="b_solucion_p2l_implementadores" w:id="6515"/>
      <w:r>
        <w:t xml:space="preserve">Solución S2-157</w:t>
      </w:r>
      <w:bookmarkEnd w:id="6515"/>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d) Aportan restricciones y perspectivas útiles y su participación puede favorecer aceptación y adaptación</w:t>
            </w:r>
          </w:p>
        </w:tc>
      </w:tr>
    </w:tbl>
    <w:p>
      <w:pPr>
        <w:pStyle w:val="Normal"/>
      </w:pPr>
      <w:r>
        <w:t xml:space="preserve">a) Porque su participación garantiza resultados idénticos en cualquier contexto — Se descarta por la clave; aplique el criterio de resolución común que se desarrolla después de esta lista.</w:t>
      </w:r>
    </w:p>
    <w:p>
      <w:pPr>
        <w:pStyle w:val="Normal"/>
      </w:pPr>
      <w:r>
        <w:t xml:space="preserve">b) Porque reemplaza la necesidad de comprender relaciones — Se descarta por la clave; aplique el criterio de resolución común que se desarrolla después de esta lista.</w:t>
      </w:r>
    </w:p>
    <w:p>
      <w:pPr>
        <w:pStyle w:val="Normal"/>
      </w:pPr>
      <w:r>
        <w:t xml:space="preserve">c) Porque sólo deben opinar quienes diseñan desde fuera — Se descarta por la clave; aplique el criterio de resolución común que se desarrolla después de esta lista.</w:t>
      </w:r>
    </w:p>
    <w:p>
      <w:pPr>
        <w:pStyle w:val="Normal"/>
      </w:pPr>
      <w:r>
        <w:t xml:space="preserve">d) Aportan restricciones y perspectivas útiles y su participación puede favorecer aceptación y adaptación — Se selecciona por la clave; aplique el criterio de resolución común que se desarrolla después de esta lista.</w:t>
      </w:r>
    </w:p>
    <w:p>
      <w:pPr>
        <w:pStyle w:val="Normal"/>
      </w:pPr>
      <w:r>
        <w:t xml:space="preserve">Criterio de resolución: Aportan restricciones y perspectivas útiles y su participación puede favorecer aceptación y adaptación</w:t>
      </w:r>
    </w:p>
    <w:p>
      <w:pPr>
        <w:pStyle w:val="Fuente"/>
      </w:pPr>
      <w:r>
        <w:t xml:space="preserve">Presentación de la unidad 3 (C-2), pág. 89, 91 y 99 · Clase 15 · 00:41:06–00:42:21</w:t>
      </w:r>
    </w:p>
    <w:p>
      <w:pPr>
        <w:pStyle w:val="Heading3"/>
      </w:pPr>
      <w:bookmarkStart w:name="b_solucion_p2l_replicar" w:id="6516"/>
      <w:r>
        <w:t xml:space="preserve">Solución S2-158</w:t>
      </w:r>
      <w:bookmarkEnd w:id="6516"/>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c) Examinar cualidades, historia y capacidades del receptor y adaptar la estructura</w:t>
            </w:r>
          </w:p>
        </w:tc>
      </w:tr>
    </w:tbl>
    <w:p>
      <w:pPr>
        <w:pStyle w:val="Normal"/>
      </w:pPr>
      <w:r>
        <w:t xml:space="preserve">a) Copiar todos los detalles suponiendo el mismo comportamiento — Se descarta por la clave; aplique el criterio de resolución común que se desarrolla después de esta lista.</w:t>
      </w:r>
    </w:p>
    <w:p>
      <w:pPr>
        <w:pStyle w:val="Normal"/>
      </w:pPr>
      <w:r>
        <w:t xml:space="preserve">b) Suprimir a quienes conocen las condiciones locales — Se descarta por la clave; aplique el criterio de resolución común que se desarrolla después de esta lista.</w:t>
      </w:r>
    </w:p>
    <w:p>
      <w:pPr>
        <w:pStyle w:val="Normal"/>
      </w:pPr>
      <w:r>
        <w:t xml:space="preserve">c) Examinar cualidades, historia y capacidades del receptor y adaptar la estructura — Se selecciona por la clave; aplique el criterio de resolución común que se desarrolla después de esta lista.</w:t>
      </w:r>
    </w:p>
    <w:p>
      <w:pPr>
        <w:pStyle w:val="Normal"/>
      </w:pPr>
      <w:r>
        <w:t xml:space="preserve">d) Cambiar sólo el nombre del modelo — Se descarta por la clave; aplique el criterio de resolución común que se desarrolla después de esta lista.</w:t>
      </w:r>
    </w:p>
    <w:p>
      <w:pPr>
        <w:pStyle w:val="Normal"/>
      </w:pPr>
      <w:r>
        <w:t xml:space="preserve">Criterio de resolución: Examinar cualidades, historia y capacidades del receptor y adaptar la estructura</w:t>
      </w:r>
    </w:p>
    <w:p>
      <w:pPr>
        <w:pStyle w:val="Fuente"/>
      </w:pPr>
      <w:r>
        <w:t xml:space="preserve">Presentación de la unidad 3 (C-2), pág. 89, 91 y 99 · Clase 15 · 00:41:06–00:42:21</w:t>
      </w:r>
    </w:p>
    <w:p>
      <w:pPr>
        <w:pStyle w:val="Heading3"/>
      </w:pPr>
      <w:bookmarkStart w:name="b_solucion_p2e_13_notacion_demora" w:id="6517"/>
      <w:r>
        <w:t xml:space="preserve">Solución S2-159</w:t>
      </w:r>
      <w:bookmarkEnd w:id="6517"/>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b) Con dos líneas paralelas cruzando la flecha, y opcionalmente la palabra «demora» o el dibujo de un reloj</w:t>
            </w:r>
          </w:p>
        </w:tc>
      </w:tr>
    </w:tbl>
    <w:p>
      <w:pPr>
        <w:pStyle w:val="Normal"/>
      </w:pPr>
      <w:r>
        <w:t xml:space="preserve">a) Con una línea punteada en lugar de continua — El punteado se usa a veces por color o estilo, pero no es la marca de demora.</w:t>
      </w:r>
    </w:p>
    <w:p>
      <w:pPr>
        <w:pStyle w:val="Normal"/>
      </w:pPr>
      <w:r>
        <w:t xml:space="preserve">b) Con dos líneas paralelas cruzando la flecha, y opcionalmente la palabra «demora» o el dibujo de un reloj — Correcta: son las dos rayas sobre la flecha; algunos autores ponen un relojito de arena o con agujas.</w:t>
      </w:r>
    </w:p>
    <w:p>
      <w:pPr>
        <w:pStyle w:val="Normal"/>
      </w:pPr>
      <w:r>
        <w:t xml:space="preserve">c) Con un signo de interrogación junto a la flecha — No existe esa convención.</w:t>
      </w:r>
    </w:p>
    <w:p>
      <w:pPr>
        <w:pStyle w:val="Normal"/>
      </w:pPr>
      <w:r>
        <w:t xml:space="preserve">d) Escribiendo el número de días sobre la variable — La duración no se cuantifica en el diagrama.</w:t>
      </w:r>
    </w:p>
    <w:p>
      <w:pPr>
        <w:pStyle w:val="Normal"/>
      </w:pPr>
      <w:r>
        <w:t xml:space="preserve">Criterio de resolución: Las dos rayas avisan al lector de que esa relación tarda en manifestarse. No dicen cuánto: sólo que hay que considerar el impacto del retraso al interpretar el modelo.</w:t>
      </w:r>
    </w:p>
    <w:p>
      <w:pPr>
        <w:pStyle w:val="Fuente"/>
      </w:pPr>
      <w:r>
        <w:t xml:space="preserve">Clase 15 · 01:33:01–01:33:53 · lámina 18</w:t>
      </w:r>
    </w:p>
    <w:p>
      <w:pPr>
        <w:pStyle w:val="Heading3"/>
      </w:pPr>
      <w:bookmarkStart w:name="b_solucion_p2e_14_que_implica_demora" w:id="6518"/>
      <w:r>
        <w:t xml:space="preserve">Solución S2-160</w:t>
      </w:r>
      <w:bookmarkEnd w:id="6518"/>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b) Que quien observa el sistema puede no ver esa relación durante un periodo, suponer que no existe y desistir antes de tiempo</w:t>
            </w:r>
          </w:p>
        </w:tc>
      </w:tr>
    </w:tbl>
    <w:p>
      <w:pPr>
        <w:pStyle w:val="Normal"/>
      </w:pPr>
      <w:r>
        <w:t xml:space="preserve">a) Que la relación deja de existir — La relación existe; lo que falla es la percepción de quien la busca.</w:t>
      </w:r>
    </w:p>
    <w:p>
      <w:pPr>
        <w:pStyle w:val="Normal"/>
      </w:pPr>
      <w:r>
        <w:t xml:space="preserve">b) Que quien observa el sistema puede no ver esa relación durante un periodo, suponer que no existe y desistir antes de tiempo — Correcta: es el riesgo que el hábito de las demoras viene a prevenir.</w:t>
      </w:r>
    </w:p>
    <w:p>
      <w:pPr>
        <w:pStyle w:val="Normal"/>
      </w:pPr>
      <w:r>
        <w:t xml:space="preserve">c) Que el ciclo cambia de polaridad — La demora no altera los signos.</w:t>
      </w:r>
    </w:p>
    <w:p>
      <w:pPr>
        <w:pStyle w:val="Normal"/>
      </w:pPr>
      <w:r>
        <w:t xml:space="preserve">d) Que hay que dibujar el diagrama en dos partes — El diagrama se mantiene entero, con la marca sobre la flecha.</w:t>
      </w:r>
    </w:p>
    <w:p>
      <w:pPr>
        <w:pStyle w:val="Normal"/>
      </w:pPr>
      <w:r>
        <w:t xml:space="preserve">Criterio de resolución: Quien no comprende las demoras parte del supuesto de que las relaciones causales no existen cuando el efecto no aparece pronto. Por eso descarta ideas valiosas antes de que hayan podido manifestarse.</w:t>
      </w:r>
    </w:p>
    <w:p>
      <w:pPr>
        <w:pStyle w:val="Fuente"/>
      </w:pPr>
      <w:r>
        <w:t xml:space="preserve">Clase 15 · 01:33:33–01:34:00 · Clase 16 · 01:06:16–01:08:49</w:t>
      </w:r>
    </w:p>
    <w:p>
      <w:pPr>
        <w:pStyle w:val="Heading3"/>
      </w:pPr>
      <w:bookmarkStart w:name="b_solucion_p2e_15_ejercicio_con_1cfcf729" w:id="6519"/>
      <w:r>
        <w:t xml:space="preserve">Solución S2-161</w:t>
      </w:r>
      <w:bookmarkEnd w:id="6519"/>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b) Entre ejercicio y nivel de condición física, porque la mejora del estado físico no aparece de un día para otro</w:t>
            </w:r>
          </w:p>
        </w:tc>
      </w:tr>
    </w:tbl>
    <w:p>
      <w:pPr>
        <w:pStyle w:val="Normal"/>
      </w:pPr>
      <w:r>
        <w:t xml:space="preserve">a) Entre satisfacción personal y ejercicio, porque la motivación tarda en llegar — La satisfacción sí responde con rapidez a la condición física percibida.</w:t>
      </w:r>
    </w:p>
    <w:p>
      <w:pPr>
        <w:pStyle w:val="Normal"/>
      </w:pPr>
      <w:r>
        <w:t xml:space="preserve">b) Entre ejercicio y nivel de condición física, porque la mejora del estado físico no aparece de un día para otro — Correcta: es la flecha marcada en la lámina, y el profesor lo resumió diciendo que levantar pesas hoy no da músculos mañana.</w:t>
      </w:r>
    </w:p>
    <w:p>
      <w:pPr>
        <w:pStyle w:val="Normal"/>
      </w:pPr>
      <w:r>
        <w:t xml:space="preserve">c) En las tres flechas, porque todo el ciclo es lento — Marcar todas las flechas vaciaría de sentido la notación.</w:t>
      </w:r>
    </w:p>
    <w:p>
      <w:pPr>
        <w:pStyle w:val="Normal"/>
      </w:pPr>
      <w:r>
        <w:t xml:space="preserve">d) No lleva demora: es un ciclo de refuerzo — Es de refuerzo y además lleva demora: las dos cosas son compatibles.</w:t>
      </w:r>
    </w:p>
    <w:p>
      <w:pPr>
        <w:pStyle w:val="Normal"/>
      </w:pPr>
      <w:r>
        <w:t xml:space="preserve">Criterio de resolución: El ciclo se refuerza a sí mismo pero su primera relación tarda. Esa combinación es la que explica el abandono: la persona no ve resultados en el plazo que esperaba y deja de ejercitarse antes de que el bucle empiece a girar.</w:t>
      </w:r>
    </w:p>
    <w:p>
      <w:pPr>
        <w:pStyle w:val="Fuente"/>
      </w:pPr>
      <w:r>
        <w:t xml:space="preserve">Clase 15 · 01:33:53–01:38:30 · lámina 18</w:t>
      </w:r>
    </w:p>
    <w:p>
      <w:pPr>
        <w:pStyle w:val="Heading3"/>
      </w:pPr>
      <w:bookmarkStart w:name="b_solucion_p2e_16_caries_demora" w:id="6520"/>
      <w:r>
        <w:t xml:space="preserve">Solución S2-162</w:t>
      </w:r>
      <w:bookmarkEnd w:id="6520"/>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b) Dificulta asociar el dolor de muelas con el consumo previo, y por eso retrasa o debilita la respuesta que reduciría ese consumo</w:t>
            </w:r>
          </w:p>
        </w:tc>
      </w:tr>
    </w:tbl>
    <w:p>
      <w:pPr>
        <w:pStyle w:val="Normal"/>
      </w:pPr>
      <w:r>
        <w:t xml:space="preserve">a) Hace que el daño dental sea menor — La demora no reduce el daño: sólo lo separa en el tiempo de su causa.</w:t>
      </w:r>
    </w:p>
    <w:p>
      <w:pPr>
        <w:pStyle w:val="Normal"/>
      </w:pPr>
      <w:r>
        <w:t xml:space="preserve">b) Dificulta asociar el dolor de muelas con el consumo previo, y por eso retrasa o debilita la respuesta que reduciría ese consumo — Correcta: es exactamente lo que la lámina señala como dificultad para ver la conexión.</w:t>
      </w:r>
    </w:p>
    <w:p>
      <w:pPr>
        <w:pStyle w:val="Normal"/>
      </w:pPr>
      <w:r>
        <w:t xml:space="preserve">c) Impide que el ciclo se cierre — El ciclo se cierra igual, sólo que con retraso.</w:t>
      </w:r>
    </w:p>
    <w:p>
      <w:pPr>
        <w:pStyle w:val="Normal"/>
      </w:pPr>
      <w:r>
        <w:t xml:space="preserve">d) Convierte el ciclo en uno de refuerzo — El tipo de ciclo lo decide la paridad de los signos, que no cambia.</w:t>
      </w:r>
    </w:p>
    <w:p>
      <w:pPr>
        <w:pStyle w:val="Normal"/>
      </w:pPr>
      <w:r>
        <w:t xml:space="preserve">Criterio de resolución: Causa y efecto quedan separados por el tiempo, y esa separación vuelve poco obvia la conexión entre beber el refresco y sentarse en la silla del dentista. Lo que la demora ataca no es el daño, sino la capacidad de aprender de él.</w:t>
      </w:r>
    </w:p>
    <w:p>
      <w:pPr>
        <w:pStyle w:val="Fuente"/>
      </w:pPr>
      <w:r>
        <w:t xml:space="preserve">Clase 14 · lámina 15 · Clase 16 · 01:13:41–01:13:55</w:t>
      </w:r>
    </w:p>
    <w:p>
      <w:pPr>
        <w:pStyle w:val="Heading3"/>
      </w:pPr>
      <w:bookmarkStart w:name="b_solucion_p2e_17_aerolineas" w:id="6521"/>
      <w:r>
        <w:t xml:space="preserve">Solución S2-163</w:t>
      </w:r>
      <w:bookmarkEnd w:id="6521"/>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b) Se llama caída del rendimiento: es el periodo en que las personas están aprendiendo a hacer algo nuevo, y lo que corresponde es monitorear las tendencias y hacer ajustes en el camino</w:t>
            </w:r>
          </w:p>
        </w:tc>
      </w:tr>
    </w:tbl>
    <w:p>
      <w:pPr>
        <w:pStyle w:val="Normal"/>
      </w:pPr>
      <w:r>
        <w:t xml:space="preserve">a) Se llama pérdida estructural y obliga a revertir la fusión — La lámina dice lo contrario: la demora es una parte esperada de hacer negocios.</w:t>
      </w:r>
    </w:p>
    <w:p>
      <w:pPr>
        <w:pStyle w:val="Normal"/>
      </w:pPr>
      <w:r>
        <w:t xml:space="preserve">b) Se llama caída del rendimiento: es el periodo en que las personas están aprendiendo a hacer algo nuevo, y lo que corresponde es monitorear las tendencias y hacer ajustes en el camino — Correcta: y el pensador sistémico hace pequeños ajustes antes de descartar una idea potencialmente valiosa.</w:t>
      </w:r>
    </w:p>
    <w:p>
      <w:pPr>
        <w:pStyle w:val="Normal"/>
      </w:pPr>
      <w:r>
        <w:t xml:space="preserve">c) Se llama entropía de la fusión y se corrige contratando personal — No hay tal concepto en el material.</w:t>
      </w:r>
    </w:p>
    <w:p>
      <w:pPr>
        <w:pStyle w:val="Normal"/>
      </w:pPr>
      <w:r>
        <w:t xml:space="preserve">d) Se llama demora de mercado y desaparece sola en un mes — El plazo no está fijado y el mensaje no es esperar pasivamente.</w:t>
      </w:r>
    </w:p>
    <w:p>
      <w:pPr>
        <w:pStyle w:val="Normal"/>
      </w:pPr>
      <w:r>
        <w:t xml:space="preserve">Criterio de resolución: La caída del rendimiento es el bache inicial de cualquier cambio importante. Reconocerla evita dos errores simétricos: cancelar la iniciativa demasiado pronto y esperar indefinidamente sin medir nada.</w:t>
      </w:r>
    </w:p>
    <w:p>
      <w:pPr>
        <w:pStyle w:val="Fuente"/>
      </w:pPr>
      <w:r>
        <w:t xml:space="preserve">Clase 16 · 01:08:49–01:13:40 · lámina 11</w:t>
      </w:r>
    </w:p>
    <w:p>
      <w:pPr>
        <w:pStyle w:val="Heading3"/>
      </w:pPr>
      <w:bookmarkStart w:name="b_solucion_p2e_23_demora_clasificar" w:id="6522"/>
      <w:r>
        <w:t xml:space="preserve">Solución S2-164</w:t>
      </w:r>
      <w:bookmarkEnd w:id="6522"/>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Conviene marcar demora: Consumo de refrescos azucarados → Caries dental; Ejercicio → Nivel de condición física; Fusión de dos aerolíneas → Aumento de las ganancias</w:t>
            </w:r>
          </w:p>
          <w:p>
            <w:pPr>
              <w:pStyle w:val="Recuadro"/>
            </w:pPr>
            <w:r>
              <w:t xml:space="preserve">No hace falta marcar demora: Posición del grifo → Flujo de agua; Sonido de la bocina → Sonido de voz en el micrófono</w:t>
            </w:r>
          </w:p>
        </w:tc>
      </w:tr>
    </w:tbl>
    <w:p>
      <w:pPr>
        <w:pStyle w:val="Normal"/>
      </w:pPr>
      <w:r>
        <w:t xml:space="preserve">Criterio de resolución: La demora se marca cuando el efecto tarda lo bastante como para que el observador pueda dejar de relacionarlo con su causa. Abrir el grifo cambia el flujo al instante y el acople se dispara en milisegundos: ahí la marca sobraría.</w:t>
      </w:r>
    </w:p>
    <w:p>
      <w:pPr>
        <w:pStyle w:val="Fuente"/>
      </w:pPr>
      <w:r>
        <w:t xml:space="preserve">Clase 15 · 01:33:01–01:38:30 · Clase 16 · 01:08:49–01:13:55</w:t>
      </w:r>
    </w:p>
    <w:p>
      <w:pPr>
        <w:pStyle w:val="Heading3"/>
      </w:pPr>
      <w:bookmarkStart w:name="b_solucion_p2e_24_monitorear" w:id="6523"/>
      <w:r>
        <w:t xml:space="preserve">Solución S2-165</w:t>
      </w:r>
      <w:bookmarkEnd w:id="6523"/>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b) Reconoce la necesidad de monitorear los resultados, considera el impacto de los retrasos y hace pequeños ajustes antes de descartar la idea</w:t>
            </w:r>
          </w:p>
        </w:tc>
      </w:tr>
    </w:tbl>
    <w:p>
      <w:pPr>
        <w:pStyle w:val="Normal"/>
      </w:pPr>
      <w:r>
        <w:t xml:space="preserve">a) Espera sin medir hasta el plazo previsto — Esperar sin medir impide corregir a tiempo.</w:t>
      </w:r>
    </w:p>
    <w:p>
      <w:pPr>
        <w:pStyle w:val="Normal"/>
      </w:pPr>
      <w:r>
        <w:t xml:space="preserve">b) Reconoce la necesidad de monitorear los resultados, considera el impacto de los retrasos y hace pequeños ajustes antes de descartar la idea — Correcta: es la conclusión literal de la lámina sobre demoras.</w:t>
      </w:r>
    </w:p>
    <w:p>
      <w:pPr>
        <w:pStyle w:val="Normal"/>
      </w:pPr>
      <w:r>
        <w:t xml:space="preserve">c) Descarta el cambio y prueba otro — Descartar antes de tiempo es el error que la lámina previene.</w:t>
      </w:r>
    </w:p>
    <w:p>
      <w:pPr>
        <w:pStyle w:val="Normal"/>
      </w:pPr>
      <w:r>
        <w:t xml:space="preserve">d) Aumenta la intensidad del cambio para acelerar el efecto — Forzar el cambio suele activar otros ciclos, como muestra el caso de Ana.</w:t>
      </w:r>
    </w:p>
    <w:p>
      <w:pPr>
        <w:pStyle w:val="Normal"/>
      </w:pPr>
      <w:r>
        <w:t xml:space="preserve">Criterio de resolución: La tarjeta contiene tres preguntas: cuánto esperar por el resultado deseado, dónde identificar el papel de una demora, y si el cambio dará resultados inmediatos o tardíos. Anticiparlas ayuda a evaluar con información pertinente. Fuente: Presentación de la unidad 3 (C-2), pág. 95.</w:t>
      </w:r>
    </w:p>
    <w:p>
      <w:pPr>
        <w:pStyle w:val="Fuente"/>
      </w:pPr>
      <w:r>
        <w:t xml:space="preserve">Clase 16 · 01:08:49–01:13:40 · Clase 15 · lámina 17</w:t>
      </w:r>
    </w:p>
    <w:p>
      <w:pPr>
        <w:pStyle w:val="Heading3"/>
      </w:pPr>
      <w:bookmarkStart w:name="b_solucion_p2e_27_ducha_compens_29c95c26" w:id="6524"/>
      <w:r>
        <w:t xml:space="preserve">Solución S2-166</w:t>
      </w:r>
      <w:bookmarkEnd w:id="6524"/>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b) Un bucle de compensación con un periodo de desfase: cada corrección llega tarde o con demasiada intensidad, y la temperatura oscila alrededor del nivel adecuado</w:t>
            </w:r>
          </w:p>
        </w:tc>
      </w:tr>
    </w:tbl>
    <w:p>
      <w:pPr>
        <w:pStyle w:val="Normal"/>
      </w:pPr>
      <w:r>
        <w:t xml:space="preserve">a) Un bucle de refuerzo: cada ajuste amplifica el anterior hasta que el sistema se dispara — El refuerzo aleja del punto de partida sin volver; aquí la temperatura cruza una y otra vez el nivel adecuado.</w:t>
      </w:r>
    </w:p>
    <w:p>
      <w:pPr>
        <w:pStyle w:val="Normal"/>
      </w:pPr>
      <w:r>
        <w:t xml:space="preserve">b) Un bucle de compensación con un periodo de desfase: cada corrección llega tarde o con demasiada intensidad, y la temperatura oscila alrededor del nivel adecuado — Correcta: la lectura llama a ese patrón «el martirio de helarse y abrasarse» y lo atribuye a un bucle de compensación con desfase.</w:t>
      </w:r>
    </w:p>
    <w:p>
      <w:pPr>
        <w:pStyle w:val="Normal"/>
      </w:pPr>
      <w:r>
        <w:t xml:space="preserve">c) Dos bucles de refuerzo acoplados, uno del agua fría y otro de la caliente — No hay dos bucles: hay uno solo que persigue la temperatura adecuada y un retraso entre girar la llave y sentir el cambio.</w:t>
      </w:r>
    </w:p>
    <w:p>
      <w:pPr>
        <w:pStyle w:val="Normal"/>
      </w:pPr>
      <w:r>
        <w:t xml:space="preserve">d) Ninguna estructura: la ducha se comporta al azar — El patrón es regular y previsible: una oscilación que se amortigua a medida que aprendemos a esperar.</w:t>
      </w:r>
    </w:p>
    <w:p>
      <w:pPr>
        <w:pStyle w:val="Normal"/>
      </w:pPr>
      <w:r>
        <w:t xml:space="preserve">Criterio de resolución: La ducha es un bucle de compensación: la diferencia entre la temperatura que sentimos y la que queremos mueve la llave. Lo que lo vuelve un martirio es el desfase: el agua tarda unos segundos en llegar, así que corregimos sobre una temperatura que ya cambió, nos pasamos y corregimos de nuevo en sentido contrario. La lectura generaliza el patrón a las subidas y bajadas del mercado y a la inflación y la deflación: siempre que aparece, hay detrás un bucle de compensación con demora.</w:t>
      </w:r>
    </w:p>
    <w:p>
      <w:pPr>
        <w:pStyle w:val="Fuente"/>
      </w:pPr>
      <w:r>
        <w:t xml:space="preserve">lectura L-11 · O’Connor y McDermott, pp. 80–81</w:t>
      </w:r>
    </w:p>
    <w:p>
      <w:pPr>
        <w:pStyle w:val="Heading3"/>
      </w:pPr>
      <w:bookmarkStart w:name="b_solucion_p2e_28_memoria_del_sistema" w:id="6525"/>
      <w:r>
        <w:t xml:space="preserve">Solución S2-167</w:t>
      </w:r>
      <w:bookmarkEnd w:id="6525"/>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b) Al tiempo que tarda la realimentación en recorrer todo el sistema y volver a nosotros: el intervalo entre causa y efecto en el que creemos que no está pasando nada</w:t>
            </w:r>
          </w:p>
        </w:tc>
      </w:tr>
    </w:tbl>
    <w:p>
      <w:pPr>
        <w:pStyle w:val="Normal"/>
      </w:pPr>
      <w:r>
        <w:t xml:space="preserve">a) Al registro escrito de las decisiones que se tomaron sobre el sistema — No es un archivo: es un intervalo de tiempo que el sistema guarda, aquí en forma de agua acumulada en la manguera.</w:t>
      </w:r>
    </w:p>
    <w:p>
      <w:pPr>
        <w:pStyle w:val="Normal"/>
      </w:pPr>
      <w:r>
        <w:t xml:space="preserve">b) Al tiempo que tarda la realimentación en recorrer todo el sistema y volver a nosotros: el intervalo entre causa y efecto en el que creemos que no está pasando nada — Correcta: ese desfase es la memoria del sistema, y no percibirlo nos lleva a actuar de más.</w:t>
      </w:r>
    </w:p>
    <w:p>
      <w:pPr>
        <w:pStyle w:val="Normal"/>
      </w:pPr>
      <w:r>
        <w:t xml:space="preserve">c) A la capacidad del sistema de repetir su comportamiento cuando se le da la misma entrada — La memoria no es repetición sino retraso: lo que hicimos sigue actuando aunque ya hayamos cambiado de acción.</w:t>
      </w:r>
    </w:p>
    <w:p>
      <w:pPr>
        <w:pStyle w:val="Normal"/>
      </w:pPr>
      <w:r>
        <w:t xml:space="preserve">d) Al punto más rápido del sistema, que determina su velocidad — La velocidad de un sistema la determina su punto más lento, no el más rápido.</w:t>
      </w:r>
    </w:p>
    <w:p>
      <w:pPr>
        <w:pStyle w:val="Normal"/>
      </w:pPr>
      <w:r>
        <w:t xml:space="preserve">Criterio de resolución: Cuanto mayor es la complejidad dinámica de un sistema, más tarda la realimentación en recorrer la red entera de conexiones, y la velocidad del conjunto la fija su punto más lento. Ese tiempo de recorrido es la memoria del sistema: un intervalo que no percibimos entre causa y efecto y que nos hace creer que no pasa nada. Por eso, cuando el efecto aparece de golpe, sorprende y dura tanto como la causa que lo originó.</w:t>
      </w:r>
    </w:p>
    <w:p>
      <w:pPr>
        <w:pStyle w:val="Fuente"/>
      </w:pPr>
      <w:r>
        <w:t xml:space="preserve">lectura L-11 · O’Connor y McDermott, p. 80</w:t>
      </w:r>
    </w:p>
    <w:p>
      <w:pPr>
        <w:pStyle w:val="Heading3"/>
      </w:pPr>
      <w:bookmarkStart w:name="b_solucion_p2e_29_no_aprendemos_3ee135cc" w:id="6526"/>
      <w:r>
        <w:t xml:space="preserve">Solución S2-168</w:t>
      </w:r>
      <w:bookmarkEnd w:id="6526"/>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b) Cuando hay una diferencia de tiempo grande entre la acción y su efecto, o cuando el efecto se produce en otro lugar: creemos que no hay ningún efecto y no aprendemos nada</w:t>
            </w:r>
          </w:p>
        </w:tc>
      </w:tr>
    </w:tbl>
    <w:p>
      <w:pPr>
        <w:pStyle w:val="Normal"/>
      </w:pPr>
      <w:r>
        <w:t xml:space="preserve">a) Cuando el efecto es inmediato, como el dolor al tocar un infiernillo — Justo al revés: el infiernillo enseña rápido porque la realimentación es inmediata.</w:t>
      </w:r>
    </w:p>
    <w:p>
      <w:pPr>
        <w:pStyle w:val="Normal"/>
      </w:pPr>
      <w:r>
        <w:t xml:space="preserve">b) Cuando hay una diferencia de tiempo grande entre la acción y su efecto, o cuando el efecto se produce en otro lugar: creemos que no hay ningún efecto y no aprendemos nada — Correcta: las alergias, las agujetas, los efectos de un fármaco o los CFC en la capa de ozono llegan tan tarde —o tan lejos— que no los conectamos con su causa.</w:t>
      </w:r>
    </w:p>
    <w:p>
      <w:pPr>
        <w:pStyle w:val="Normal"/>
      </w:pPr>
      <w:r>
        <w:t xml:space="preserve">c) Cuando el sistema es pequeño y sus conexiones son pocas — En un sistema pequeño la realimentación vuelve pronto y se aprende con facilidad.</w:t>
      </w:r>
    </w:p>
    <w:p>
      <w:pPr>
        <w:pStyle w:val="Normal"/>
      </w:pPr>
      <w:r>
        <w:t xml:space="preserve">d) Cuando el efecto es agradable en vez de doloroso — Lo que importa es la conexión entre causa y efecto, no si el efecto gusta.</w:t>
      </w:r>
    </w:p>
    <w:p>
      <w:pPr>
        <w:pStyle w:val="Normal"/>
      </w:pPr>
      <w:r>
        <w:t xml:space="preserve">Criterio de resolución: La lectura pone el ejemplo de los clorofluorocarbonos: los primeros informes son de 1974, las pruebas claras del agujero de ozono de 1985, y una molécula tarda quince años en llegar a la estratosfera, así que las mediciones de 1985 mostraban los efectos de lo liberado en 1970. Cuando no tenemos en cuenta los desfases, evaluamos demasiado pronto el éxito de una estrategia y atribuimos sus consecuencias reales a otros factores.</w:t>
      </w:r>
    </w:p>
    <w:p>
      <w:pPr>
        <w:pStyle w:val="Fuente"/>
      </w:pPr>
      <w:r>
        <w:t xml:space="preserve">lectura L-11 · O’Connor y McDermott, pp. 77–79</w:t>
      </w:r>
    </w:p>
    <w:p>
      <w:pPr>
        <w:pStyle w:val="Heading3"/>
      </w:pPr>
      <w:bookmarkStart w:name="b_solucion_p2l_ana_demoras" w:id="6527"/>
      <w:r>
        <w:t xml:space="preserve">Solución S2-169</w:t>
      </w:r>
      <w:bookmarkEnd w:id="6527"/>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b) Trabajo extra → Fatiga y Tasa de error → Productividad</w:t>
            </w:r>
          </w:p>
        </w:tc>
      </w:tr>
    </w:tbl>
    <w:p>
      <w:pPr>
        <w:pStyle w:val="Normal"/>
      </w:pPr>
      <w:r>
        <w:t xml:space="preserve">a) Fatiga → Productividad y Tasa de error → Productividad — Se descarta por la clave; aplique el criterio de resolución común que se desarrolla después de esta lista.</w:t>
      </w:r>
    </w:p>
    <w:p>
      <w:pPr>
        <w:pStyle w:val="Normal"/>
      </w:pPr>
      <w:r>
        <w:t xml:space="preserve">b) Trabajo extra → Fatiga y Tasa de error → Productividad — Se selecciona por la clave; aplique el criterio de resolución común que se desarrolla después de esta lista.</w:t>
      </w:r>
    </w:p>
    <w:p>
      <w:pPr>
        <w:pStyle w:val="Normal"/>
      </w:pPr>
      <w:r>
        <w:t xml:space="preserve">c) Trabajo pendiente → Presión y Presión → Trabajo extra — Se descarta por la clave; aplique el criterio de resolución común que se desarrolla después de esta lista.</w:t>
      </w:r>
    </w:p>
    <w:p>
      <w:pPr>
        <w:pStyle w:val="Normal"/>
      </w:pPr>
      <w:r>
        <w:t xml:space="preserve">d) En todas las flechas positivas sin excepción — Se descarta por la clave; aplique el criterio de resolución común que se desarrolla después de esta lista.</w:t>
      </w:r>
    </w:p>
    <w:p>
      <w:pPr>
        <w:pStyle w:val="Normal"/>
      </w:pPr>
      <w:r>
        <w:t xml:space="preserve">Criterio de resolución: Las dos marcas están en Trabajo extra → Fatiga y Tasa de error → Productividad. La primera no se encuentra en Fatiga → Productividad.</w:t>
      </w:r>
    </w:p>
    <w:p>
      <w:pPr>
        <w:pStyle w:val="Fuente"/>
      </w:pPr>
      <w:r>
        <w:t xml:space="preserve">Presentación de la unidad 3 (C-2), pág. 95, 127 y 129 · Clase 15 · 01:33:01–01:38:30 · Clase 16 · 01:08:49–01:13:55</w:t>
      </w:r>
    </w:p>
    <w:p>
      <w:pPr>
        <w:pStyle w:val="Heading3"/>
      </w:pPr>
      <w:bookmarkStart w:name="b_solucion_p2l_tarjeta_demoras" w:id="6528"/>
      <w:r>
        <w:t xml:space="preserve">Solución S2-170</w:t>
      </w:r>
      <w:bookmarkEnd w:id="6528"/>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c) Cuánto esperar, dónde interviene la demora y si el resultado será inmediato o tardío</w:t>
            </w:r>
          </w:p>
        </w:tc>
      </w:tr>
    </w:tbl>
    <w:p>
      <w:pPr>
        <w:pStyle w:val="Normal"/>
      </w:pPr>
      <w:r>
        <w:t xml:space="preserve">a) Sólo quién es culpable y quién debe reemplazarlo — Se descarta por la clave; aplique el criterio de resolución común que se desarrolla después de esta lista.</w:t>
      </w:r>
    </w:p>
    <w:p>
      <w:pPr>
        <w:pStyle w:val="Normal"/>
      </w:pPr>
      <w:r>
        <w:t xml:space="preserve">b) Únicamente cuánto cuesta actuar — Se descarta por la clave; aplique el criterio de resolución común que se desarrolla después de esta lista.</w:t>
      </w:r>
    </w:p>
    <w:p>
      <w:pPr>
        <w:pStyle w:val="Normal"/>
      </w:pPr>
      <w:r>
        <w:t xml:space="preserve">c) Cuánto esperar, dónde interviene la demora y si el resultado será inmediato o tardío — Se selecciona por la clave; aplique el criterio de resolución común que se desarrolla después de esta lista.</w:t>
      </w:r>
    </w:p>
    <w:p>
      <w:pPr>
        <w:pStyle w:val="Normal"/>
      </w:pPr>
      <w:r>
        <w:t xml:space="preserve">d) Qué color tiene la curva, qué nombre tiene la persona y cuántos muebles hay — Se descarta por la clave; aplique el criterio de resolución común que se desarrolla después de esta lista.</w:t>
      </w:r>
    </w:p>
    <w:p>
      <w:pPr>
        <w:pStyle w:val="Normal"/>
      </w:pPr>
      <w:r>
        <w:t xml:space="preserve">Criterio de resolución: Cuánto esperar, dónde interviene la demora y si el resultado será inmediato o tardío</w:t>
      </w:r>
    </w:p>
    <w:p>
      <w:pPr>
        <w:pStyle w:val="Fuente"/>
      </w:pPr>
      <w:r>
        <w:t xml:space="preserve">Presentación de la unidad 3 (C-2), pág. 95, 127 y 129 · Clase 15 · 01:33:01–01:38:30 · Clase 16 · 01:08:49–01:13:55</w:t>
      </w:r>
    </w:p>
    <w:p>
      <w:pPr>
        <w:pStyle w:val="Heading3"/>
      </w:pPr>
      <w:bookmarkStart w:name="b_solucion_p2l_agua" w:id="6529"/>
      <w:r>
        <w:t xml:space="preserve">Solución S2-171</w:t>
      </w:r>
      <w:bookmarkEnd w:id="6529"/>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b) Evaporación/transpiración → condensación → precipitación → retornos por escorrentía o agua subterránea</w:t>
            </w:r>
          </w:p>
        </w:tc>
      </w:tr>
    </w:tbl>
    <w:p>
      <w:pPr>
        <w:pStyle w:val="Normal"/>
      </w:pPr>
      <w:r>
        <w:t xml:space="preserve">a) Condensación → ventas → demanda → órdenes de producción — Se descarta por la clave; aplique el criterio de resolución común que se desarrolla después de esta lista.</w:t>
      </w:r>
    </w:p>
    <w:p>
      <w:pPr>
        <w:pStyle w:val="Normal"/>
      </w:pPr>
      <w:r>
        <w:t xml:space="preserve">b) Evaporación/transpiración → condensación → precipitación → retornos por escorrentía o agua subterránea — Se selecciona por la clave; aplique el criterio de resolución común que se desarrolla después de esta lista.</w:t>
      </w:r>
    </w:p>
    <w:p>
      <w:pPr>
        <w:pStyle w:val="Normal"/>
      </w:pPr>
      <w:r>
        <w:t xml:space="preserve">c) Un DCC donde cada flecha debe ser positiva porque el agua es útil — Se descarta por la clave; aplique el criterio de resolución común que se desarrolla después de esta lista.</w:t>
      </w:r>
    </w:p>
    <w:p>
      <w:pPr>
        <w:pStyle w:val="Normal"/>
      </w:pPr>
      <w:r>
        <w:t xml:space="preserve">d) Una secuencia sin depósitos ni retornos — Se descarta por la clave; aplique el criterio de resolución común que se desarrolla después de esta lista.</w:t>
      </w:r>
    </w:p>
    <w:p>
      <w:pPr>
        <w:pStyle w:val="Normal"/>
      </w:pPr>
      <w:r>
        <w:t xml:space="preserve">Criterio de resolución: Evaporación/transpiración → condensación → precipitación → retornos por escorrentía o agua subterránea</w:t>
      </w:r>
    </w:p>
    <w:p>
      <w:pPr>
        <w:pStyle w:val="Fuente"/>
      </w:pPr>
      <w:r>
        <w:t xml:space="preserve">Presentación de la unidad 3 (C-2), pág. 107, 120 y 121 · Clase 16 · 01:36:18–01:40:29</w:t>
      </w:r>
    </w:p>
    <w:p>
      <w:pPr>
        <w:pStyle w:val="Heading3"/>
      </w:pPr>
      <w:bookmarkStart w:name="b_solucion_p2l_costo_cambios" w:id="6530"/>
      <w:r>
        <w:t xml:space="preserve">Solución S2-172</w:t>
      </w:r>
      <w:bookmarkEnd w:id="6530"/>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d) Riesgo, incertidumbre e influencia de interesados disminuyen mientras el costo de cambiar aumenta</w:t>
            </w:r>
          </w:p>
        </w:tc>
      </w:tr>
    </w:tbl>
    <w:p>
      <w:pPr>
        <w:pStyle w:val="Normal"/>
      </w:pPr>
      <w:r>
        <w:t xml:space="preserve">a) El costo de cambiar cae a cero al cierre en todos los proyectos — Se descarta por la clave; aplique el criterio de resolución común que se desarrolla después de esta lista.</w:t>
      </w:r>
    </w:p>
    <w:p>
      <w:pPr>
        <w:pStyle w:val="Normal"/>
      </w:pPr>
      <w:r>
        <w:t xml:space="preserve">b) Riesgo e incertidumbre crecen idénticamente al costo en cualquier proyecto — Se descarta por la clave; aplique el criterio de resolución común que se desarrolla después de esta lista.</w:t>
      </w:r>
    </w:p>
    <w:p>
      <w:pPr>
        <w:pStyle w:val="Normal"/>
      </w:pPr>
      <w:r>
        <w:t xml:space="preserve">c) Las dos líneas prueban un ciclo R sin otras variables — Se descarta por la clave; aplique el criterio de resolución común que se desarrolla después de esta lista.</w:t>
      </w:r>
    </w:p>
    <w:p>
      <w:pPr>
        <w:pStyle w:val="Normal"/>
      </w:pPr>
      <w:r>
        <w:t xml:space="preserve">d) Riesgo, incertidumbre e influencia de interesados disminuyen mientras el costo de cambiar aumenta — Se selecciona por la clave; aplique el criterio de resolución común que se desarrolla después de esta lista.</w:t>
      </w:r>
    </w:p>
    <w:p>
      <w:pPr>
        <w:pStyle w:val="Normal"/>
      </w:pPr>
      <w:r>
        <w:t xml:space="preserve">Criterio de resolución: Riesgo, incertidumbre e influencia de interesados disminuyen mientras el costo de cambiar aumenta</w:t>
      </w:r>
    </w:p>
    <w:p>
      <w:pPr>
        <w:pStyle w:val="Fuente"/>
      </w:pPr>
      <w:r>
        <w:t xml:space="preserve">Presentación de la unidad 3 (C-2), pág. 107, 120 y 121 · Clase 16 · 01:36:18–01:40:29</w:t>
      </w:r>
    </w:p>
    <w:p>
      <w:pPr>
        <w:pStyle w:val="Heading3"/>
      </w:pPr>
      <w:bookmarkStart w:name="b_solucion_p2l_curvas" w:id="6531"/>
      <w:r>
        <w:t xml:space="preserve">Solución S2-173</w:t>
      </w:r>
      <w:bookmarkEnd w:id="6531"/>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d) Ninguna curva única: hacen falta supuestos adicionales del modelo</w:t>
            </w:r>
          </w:p>
        </w:tc>
      </w:tr>
    </w:tbl>
    <w:p>
      <w:pPr>
        <w:pStyle w:val="Normal"/>
      </w:pPr>
      <w:r>
        <w:t xml:space="preserve">a) B siempre exponencial y R+B siempre oscilatorio — Se descarta por la clave; aplique el criterio de resolución común que se desarrolla después de esta lista.</w:t>
      </w:r>
    </w:p>
    <w:p>
      <w:pPr>
        <w:pStyle w:val="Normal"/>
      </w:pPr>
      <w:r>
        <w:t xml:space="preserve">b) Todo R es lineal y todo B es logístico — Se descarta por la clave; aplique el criterio de resolución común que se desarrolla después de esta lista.</w:t>
      </w:r>
    </w:p>
    <w:p>
      <w:pPr>
        <w:pStyle w:val="Normal"/>
      </w:pPr>
      <w:r>
        <w:t xml:space="preserve">c) Una única trayectoria independiente del estado inicial — Se descarta por la clave; aplique el criterio de resolución común que se desarrolla después de esta lista.</w:t>
      </w:r>
    </w:p>
    <w:p>
      <w:pPr>
        <w:pStyle w:val="Normal"/>
      </w:pPr>
      <w:r>
        <w:t xml:space="preserve">d) Ninguna curva única: hacen falta supuestos adicionales del modelo — Se selecciona por la clave; aplique el criterio de resolución común que se desarrolla después de esta lista.</w:t>
      </w:r>
    </w:p>
    <w:p>
      <w:pPr>
        <w:pStyle w:val="Normal"/>
      </w:pPr>
      <w:r>
        <w:t xml:space="preserve">Criterio de resolución: Ninguna curva única: hacen falta supuestos adicionales del modelo</w:t>
      </w:r>
    </w:p>
    <w:p>
      <w:pPr>
        <w:pStyle w:val="Fuente"/>
      </w:pPr>
      <w:r>
        <w:t xml:space="preserve">Presentación de la unidad 3 (C-2), pág. 107, 120 y 121 · Clase 16 · 01:36:18–01:40:29</w:t>
      </w:r>
    </w:p>
    <w:p>
      <w:pPr>
        <w:pStyle w:val="Heading3"/>
      </w:pPr>
      <w:bookmarkStart w:name="b_solucion_p2l_etapas_proyectos" w:id="6532"/>
      <w:r>
        <w:t xml:space="preserve">Solución S2-174</w:t>
      </w:r>
      <w:bookmarkEnd w:id="6532"/>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c) Análisis, diseño, codificación, pruebas, instalación, conversión y operación</w:t>
            </w:r>
          </w:p>
        </w:tc>
      </w:tr>
    </w:tbl>
    <w:p>
      <w:pPr>
        <w:pStyle w:val="Normal"/>
      </w:pPr>
      <w:r>
        <w:t xml:space="preserve">a) Huevo, oruga, crisálida y adulto — Se descarta por la clave; aplique el criterio de resolución común que se desarrolla después de esta lista.</w:t>
      </w:r>
    </w:p>
    <w:p>
      <w:pPr>
        <w:pStyle w:val="Normal"/>
      </w:pPr>
      <w:r>
        <w:t xml:space="preserve">b) Idea, perfil, prefactibilidad, factibilidad, inversión y operación — Se descarta por la clave; aplique el criterio de resolución común que se desarrolla después de esta lista.</w:t>
      </w:r>
    </w:p>
    <w:p>
      <w:pPr>
        <w:pStyle w:val="Normal"/>
      </w:pPr>
      <w:r>
        <w:t xml:space="preserve">c) Análisis, diseño, codificación, pruebas, instalación, conversión y operación — Se selecciona por la clave; aplique el criterio de resolución común que se desarrolla después de esta lista.</w:t>
      </w:r>
    </w:p>
    <w:p>
      <w:pPr>
        <w:pStyle w:val="Normal"/>
      </w:pPr>
      <w:r>
        <w:t xml:space="preserve">d) Factibilidad, planificación, diseño, producción y lanzamiento — Se descarta por la clave; aplique el criterio de resolución común que se desarrolla después de esta lista.</w:t>
      </w:r>
    </w:p>
    <w:p>
      <w:pPr>
        <w:pStyle w:val="Normal"/>
      </w:pPr>
      <w:r>
        <w:t xml:space="preserve">Criterio de resolución: Análisis, diseño, codificación, pruebas, instalación, conversión y operación</w:t>
      </w:r>
    </w:p>
    <w:p>
      <w:pPr>
        <w:pStyle w:val="Fuente"/>
      </w:pPr>
      <w:r>
        <w:t xml:space="preserve">Presentación de la unidad 3 (C-2), pág. 107, 120 y 121 · Clase 16 · 01:36:18–01:40:29</w:t>
      </w:r>
    </w:p>
    <w:p>
      <w:pPr>
        <w:pStyle w:val="Heading3"/>
      </w:pPr>
      <w:bookmarkStart w:name="b_solucion_p2l_mariposa" w:id="6533"/>
      <w:r>
        <w:t xml:space="preserve">Solución S2-175</w:t>
      </w:r>
      <w:bookmarkEnd w:id="6533"/>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a) Huevo → oruga → crisálida → adulto, que mediante reproducción da lugar a nuevos huevos</w:t>
            </w:r>
          </w:p>
        </w:tc>
      </w:tr>
    </w:tbl>
    <w:p>
      <w:pPr>
        <w:pStyle w:val="Normal"/>
      </w:pPr>
      <w:r>
        <w:t xml:space="preserve">a) Huevo → oruga → crisálida → adulto, que mediante reproducción da lugar a nuevos huevos — Se selecciona por la clave; aplique el criterio de resolución común que se desarrolla después de esta lista.</w:t>
      </w:r>
    </w:p>
    <w:p>
      <w:pPr>
        <w:pStyle w:val="Normal"/>
      </w:pPr>
      <w:r>
        <w:t xml:space="preserve">b) Adulto → adulto sin reproducción ni etapas — Se descarta por la clave; aplique el criterio de resolución común que se desarrolla después de esta lista.</w:t>
      </w:r>
    </w:p>
    <w:p>
      <w:pPr>
        <w:pStyle w:val="Normal"/>
      </w:pPr>
      <w:r>
        <w:t xml:space="preserve">c) Crisálida → agua subterránea → huevo — Se descarta por la clave; aplique el criterio de resolución común que se desarrolla después de esta lista.</w:t>
      </w:r>
    </w:p>
    <w:p>
      <w:pPr>
        <w:pStyle w:val="Normal"/>
      </w:pPr>
      <w:r>
        <w:t xml:space="preserve">d) Sólo por una influencia causal negativa entre huevo y adulto — Se descarta por la clave; aplique el criterio de resolución común que se desarrolla después de esta lista.</w:t>
      </w:r>
    </w:p>
    <w:p>
      <w:pPr>
        <w:pStyle w:val="Normal"/>
      </w:pPr>
      <w:r>
        <w:t xml:space="preserve">Criterio de resolución: Huevo → oruga → crisálida → adulto, que mediante reproducción da lugar a nuevos huevos</w:t>
      </w:r>
    </w:p>
    <w:p>
      <w:pPr>
        <w:pStyle w:val="Fuente"/>
      </w:pPr>
      <w:r>
        <w:t xml:space="preserve">Presentación de la unidad 3 (C-2), pág. 107, 120 y 121 · Clase 16 · 01:36:18–01:40:29</w:t>
      </w:r>
    </w:p>
    <w:p>
      <w:pPr>
        <w:pStyle w:val="Heading3"/>
      </w:pPr>
      <w:bookmarkStart w:name="b_solucion_p2l_producto_decisiones" w:id="6534"/>
      <w:r>
        <w:t xml:space="preserve">Solución S2-176</w:t>
      </w:r>
      <w:bookmarkEnd w:id="6534"/>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a) Concepción–evaluación de inversión; crecimiento–expansión; maduración–diversificación; declinación–reestructuración; retiro–desinversión</w:t>
            </w:r>
          </w:p>
        </w:tc>
      </w:tr>
    </w:tbl>
    <w:p>
      <w:pPr>
        <w:pStyle w:val="Normal"/>
      </w:pPr>
      <w:r>
        <w:t xml:space="preserve">a) Concepción–evaluación de inversión; crecimiento–expansión; maduración–diversificación; declinación–reestructuración; retiro–desinversión — Se selecciona por la clave; aplique el criterio de resolución común que se desarrolla después de esta lista.</w:t>
      </w:r>
    </w:p>
    <w:p>
      <w:pPr>
        <w:pStyle w:val="Normal"/>
      </w:pPr>
      <w:r>
        <w:t xml:space="preserve">b) Concepción–retiro; crecimiento–desinversión; maduración–inicio — Se descarta por la clave; aplique el criterio de resolución común que se desarrolla después de esta lista.</w:t>
      </w:r>
    </w:p>
    <w:p>
      <w:pPr>
        <w:pStyle w:val="Normal"/>
      </w:pPr>
      <w:r>
        <w:t xml:space="preserve">c) Todas las decisiones aparecen exclusivamente después del retiro — Se descarta por la clave; aplique el criterio de resolución común que se desarrolla después de esta lista.</w:t>
      </w:r>
    </w:p>
    <w:p>
      <w:pPr>
        <w:pStyle w:val="Normal"/>
      </w:pPr>
      <w:r>
        <w:t xml:space="preserve">d) La curva fija el precio de venta exacto de cualquier producto — Se descarta por la clave; aplique el criterio de resolución común que se desarrolla después de esta lista.</w:t>
      </w:r>
    </w:p>
    <w:p>
      <w:pPr>
        <w:pStyle w:val="Normal"/>
      </w:pPr>
      <w:r>
        <w:t xml:space="preserve">Criterio de resolución: Concepción–evaluación de inversión; crecimiento–expansión; maduración–diversificación; declinación–reestructuración; retiro–desinversión</w:t>
      </w:r>
    </w:p>
    <w:p>
      <w:pPr>
        <w:pStyle w:val="Fuente"/>
      </w:pPr>
      <w:r>
        <w:t xml:space="preserve">Presentación de la unidad 3 (C-2), pág. 107, 120 y 121 · Clase 16 · 01:36:18–01:40:29</w:t>
      </w:r>
    </w:p>
    <w:p>
      <w:pPr>
        <w:pStyle w:val="Heading3"/>
      </w:pPr>
      <w:bookmarkStart w:name="b_solucion_p2l_proyecto" w:id="6535"/>
      <w:r>
        <w:t xml:space="preserve">Solución S2-177</w:t>
      </w:r>
      <w:bookmarkEnd w:id="6535"/>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b) Las fases organizan inicio, preparación, ejecución y cierre; la curva muestra intensidad de recursos y se acompaña de salidas documentales</w:t>
            </w:r>
          </w:p>
        </w:tc>
      </w:tr>
    </w:tbl>
    <w:p>
      <w:pPr>
        <w:pStyle w:val="Normal"/>
      </w:pPr>
      <w:r>
        <w:t xml:space="preserve">a) Las fases son signos negativos y la curva es un ojo — Se descarta por la clave; aplique el criterio de resolución común que se desarrolla después de esta lista.</w:t>
      </w:r>
    </w:p>
    <w:p>
      <w:pPr>
        <w:pStyle w:val="Normal"/>
      </w:pPr>
      <w:r>
        <w:t xml:space="preserve">b) Las fases organizan inicio, preparación, ejecución y cierre; la curva muestra intensidad de recursos y se acompaña de salidas documentales — Se selecciona por la clave; aplique el criterio de resolución común que se desarrolla después de esta lista.</w:t>
      </w:r>
    </w:p>
    <w:p>
      <w:pPr>
        <w:pStyle w:val="Normal"/>
      </w:pPr>
      <w:r>
        <w:t xml:space="preserve">c) La curva enumera todas las tareas sin dimensión temporal — Se descarta por la clave; aplique el criterio de resolución común que se desarrolla después de esta lista.</w:t>
      </w:r>
    </w:p>
    <w:p>
      <w:pPr>
        <w:pStyle w:val="Normal"/>
      </w:pPr>
      <w:r>
        <w:t xml:space="preserve">d) El proyecto sólo tiene las mismas etapas que una mariposa — Se descarta por la clave; aplique el criterio de resolución común que se desarrolla después de esta lista.</w:t>
      </w:r>
    </w:p>
    <w:p>
      <w:pPr>
        <w:pStyle w:val="Normal"/>
      </w:pPr>
      <w:r>
        <w:t xml:space="preserve">Criterio de resolución: Las fases organizan inicio, preparación, ejecución y cierre; la curva muestra intensidad de recursos y se acompaña de salidas documentales</w:t>
      </w:r>
    </w:p>
    <w:p>
      <w:pPr>
        <w:pStyle w:val="Fuente"/>
      </w:pPr>
      <w:r>
        <w:t xml:space="preserve">Presentación de la unidad 3 (C-2), pág. 107, 120 y 121 · Clase 16 · 01:36:18–01:40:29</w:t>
      </w:r>
    </w:p>
    <w:p>
      <w:pPr>
        <w:pStyle w:val="Heading3"/>
      </w:pPr>
      <w:bookmarkStart w:name="b_solucion_p2t_01_botg_ejes" w:id="6536"/>
      <w:r>
        <w:t xml:space="preserve">Solución S2-178</w:t>
      </w:r>
      <w:bookmarkEnd w:id="6536"/>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b) El tiempo siempre en el eje X u horizontal, y el elemento que cambia en el eje Y o vertical</w:t>
            </w:r>
          </w:p>
        </w:tc>
      </w:tr>
    </w:tbl>
    <w:p>
      <w:pPr>
        <w:pStyle w:val="Normal"/>
      </w:pPr>
      <w:r>
        <w:t xml:space="preserve">a) La variable en el eje X y el tiempo en el eje Y — Está invertido.</w:t>
      </w:r>
    </w:p>
    <w:p>
      <w:pPr>
        <w:pStyle w:val="Normal"/>
      </w:pPr>
      <w:r>
        <w:t xml:space="preserve">b) El tiempo siempre en el eje X u horizontal, y el elemento que cambia en el eje Y o vertical — Correcta: la lámina lo fija con esas palabras, sin admitir alternativa.</w:t>
      </w:r>
    </w:p>
    <w:p>
      <w:pPr>
        <w:pStyle w:val="Normal"/>
      </w:pPr>
      <w:r>
        <w:t xml:space="preserve">c) El tiempo en cualquiera de los dos, según convenga — No es opcional: es una convención fija.</w:t>
      </w:r>
    </w:p>
    <w:p>
      <w:pPr>
        <w:pStyle w:val="Normal"/>
      </w:pPr>
      <w:r>
        <w:t xml:space="preserve">d) Las causas en el eje X y los efectos en el eje Y — Un gráfico de comportamiento no representa causas ni efectos, sino una magnitud en el tiempo.</w:t>
      </w:r>
    </w:p>
    <w:p>
      <w:pPr>
        <w:pStyle w:val="Normal"/>
      </w:pPr>
      <w:r>
        <w:t xml:space="preserve">Criterio de resolución: La convención es rígida porque permite comparar gráficos de un vistazo. Lo que se dibuja es cómo cambia una magnitud del sistema, no su relación con otra.</w:t>
      </w:r>
    </w:p>
    <w:p>
      <w:pPr>
        <w:pStyle w:val="Fuente"/>
      </w:pPr>
      <w:r>
        <w:t xml:space="preserve">Clase 16 · 01:36:18–01:37:00 · lámina 17</w:t>
      </w:r>
    </w:p>
    <w:p>
      <w:pPr>
        <w:pStyle w:val="Heading3"/>
      </w:pPr>
      <w:bookmarkStart w:name="b_solucion_p2t_02_patron_por_ti_03e01ab3" w:id="6537"/>
      <w:r>
        <w:t xml:space="preserve">Solución S2-179</w:t>
      </w:r>
      <w:bookmarkEnd w:id="6537"/>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Un ciclo de balance o compensación → Crecimiento exponencial acotado: sube y se aplana contra un límite</w:t>
            </w:r>
          </w:p>
          <w:p>
            <w:pPr>
              <w:pStyle w:val="Recuadro"/>
            </w:pPr>
            <w:r>
              <w:t xml:space="preserve">Un ciclo de refuerzo → Crecimiento —o decrecimiento— exponencial sin cota</w:t>
            </w:r>
          </w:p>
          <w:p>
            <w:pPr>
              <w:pStyle w:val="Recuadro"/>
            </w:pPr>
            <w:r>
              <w:t xml:space="preserve">Un ciclo de refuerzo acoplado con uno de balance, como en presa-depredador → Oscilación: sube y baja alternadamente</w:t>
            </w:r>
          </w:p>
          <w:p>
            <w:pPr>
              <w:pStyle w:val="Recuadro"/>
            </w:pPr>
            <w:r>
              <w:t xml:space="preserve">Una variable que el modelo trata como parámetro → Línea horizontal: la variable se mantiene</w:t>
            </w:r>
          </w:p>
        </w:tc>
      </w:tr>
    </w:tbl>
    <w:p>
      <w:pPr>
        <w:pStyle w:val="Normal"/>
      </w:pPr>
      <w:r>
        <w:t xml:space="preserve">Distractor sin fila correspondiente: Escalones discretos entre dos valores.</w:t>
      </w:r>
    </w:p>
    <w:p>
      <w:pPr>
        <w:pStyle w:val="Normal"/>
      </w:pPr>
      <w:r>
        <w:t xml:space="preserve">Criterio de resolución: Es la traducción entre los dos niveles del iceberg: la estructura de abajo produce la tendencia de arriba. Por eso, ante un gráfico, se puede conjeturar qué estructura lo genera, y ante una estructura se puede anticipar la curva.</w:t>
      </w:r>
    </w:p>
    <w:p>
      <w:pPr>
        <w:pStyle w:val="Fuente"/>
      </w:pPr>
      <w:r>
        <w:t xml:space="preserve">Clase 16 · 01:37:54–01:40:29 · láminas 19, 20 y 21</w:t>
      </w:r>
    </w:p>
    <w:p>
      <w:pPr>
        <w:pStyle w:val="Heading3"/>
      </w:pPr>
      <w:bookmarkStart w:name="b_solucion_p2t_03_ocho_patrones" w:id="6538"/>
      <w:r>
        <w:t xml:space="preserve">Solución S2-180</w:t>
      </w:r>
      <w:bookmarkEnd w:id="6538"/>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a) Crecimiento en forma de S</w:t>
            </w:r>
          </w:p>
          <w:p>
            <w:pPr>
              <w:pStyle w:val="Recuadro"/>
            </w:pPr>
            <w:r>
              <w:t xml:space="preserve">b) Oscilación</w:t>
            </w:r>
          </w:p>
          <w:p>
            <w:pPr>
              <w:pStyle w:val="Recuadro"/>
            </w:pPr>
            <w:r>
              <w:t xml:space="preserve">c) Búsqueda de objetivo</w:t>
            </w:r>
          </w:p>
          <w:p>
            <w:pPr>
              <w:pStyle w:val="Recuadro"/>
            </w:pPr>
            <w:r>
              <w:t xml:space="preserve">d) Estado estable</w:t>
            </w:r>
          </w:p>
        </w:tc>
      </w:tr>
    </w:tbl>
    <w:p>
      <w:pPr>
        <w:pStyle w:val="Normal"/>
      </w:pPr>
      <w:r>
        <w:t xml:space="preserve">a) Crecimiento en forma de S — Sí: el crecimiento sigmoide es uno de los ocho.</w:t>
      </w:r>
    </w:p>
    <w:p>
      <w:pPr>
        <w:pStyle w:val="Normal"/>
      </w:pPr>
      <w:r>
        <w:t xml:space="preserve">b) Oscilación — Sí: la onda que sube y baja.</w:t>
      </w:r>
    </w:p>
    <w:p>
      <w:pPr>
        <w:pStyle w:val="Normal"/>
      </w:pPr>
      <w:r>
        <w:t xml:space="preserve">c) Búsqueda de objetivo — Sí: la curva que se acerca a una asíntota, típica del ciclo de balance.</w:t>
      </w:r>
    </w:p>
    <w:p>
      <w:pPr>
        <w:pStyle w:val="Normal"/>
      </w:pPr>
      <w:r>
        <w:t xml:space="preserve">d) Estado estable — Sí: la línea horizontal.</w:t>
      </w:r>
    </w:p>
    <w:p>
      <w:pPr>
        <w:pStyle w:val="Normal"/>
      </w:pPr>
      <w:r>
        <w:t xml:space="preserve">e) Crecimiento en espiral tridimensional — No existe ese patrón en la lámina.</w:t>
      </w:r>
    </w:p>
    <w:p>
      <w:pPr>
        <w:pStyle w:val="Normal"/>
      </w:pPr>
      <w:r>
        <w:t xml:space="preserve">Criterio de resolución: Los ocho son crecimiento lineal, declive lineal, crecimiento exponencial, crecimiento en S, oscilación, estado estable, búsqueda de objetivo y crecimiento decreciente. Sirven como vocabulario común para describir lo que hace una variable.</w:t>
      </w:r>
    </w:p>
    <w:p>
      <w:pPr>
        <w:pStyle w:val="Fuente"/>
      </w:pPr>
      <w:r>
        <w:t xml:space="preserve">Clase 16 · lámina 19</w:t>
      </w:r>
    </w:p>
    <w:p>
      <w:pPr>
        <w:pStyle w:val="Heading3"/>
      </w:pPr>
      <w:bookmarkStart w:name="b_solucion_p2t_04_forma_sobre_puntos" w:id="6539"/>
      <w:r>
        <w:t xml:space="preserve">Solución S2-181</w:t>
      </w:r>
      <w:bookmarkEnd w:id="6539"/>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b) La forma de la línea, es decir, el patrón que dibuja a lo largo del tiempo</w:t>
            </w:r>
          </w:p>
        </w:tc>
      </w:tr>
    </w:tbl>
    <w:p>
      <w:pPr>
        <w:pStyle w:val="Normal"/>
      </w:pPr>
      <w:r>
        <w:t xml:space="preserve">a) El valor exacto de cada punto en cada momento — La lámina afirma expresamente que los puntos específicos no son tan importantes.</w:t>
      </w:r>
    </w:p>
    <w:p>
      <w:pPr>
        <w:pStyle w:val="Normal"/>
      </w:pPr>
      <w:r>
        <w:t xml:space="preserve">b) La forma de la línea, es decir, el patrón que dibuja a lo largo del tiempo — Correcta: la forma es lo que revela la estructura que hay debajo.</w:t>
      </w:r>
    </w:p>
    <w:p>
      <w:pPr>
        <w:pStyle w:val="Normal"/>
      </w:pPr>
      <w:r>
        <w:t xml:space="preserve">c) El número de mediciones tomadas — La cantidad de datos no es lo que se interpreta.</w:t>
      </w:r>
    </w:p>
    <w:p>
      <w:pPr>
        <w:pStyle w:val="Normal"/>
      </w:pPr>
      <w:r>
        <w:t xml:space="preserve">d) La escala elegida para el eje vertical — La escala afecta la apariencia, pero no es lo que se lee.</w:t>
      </w:r>
    </w:p>
    <w:p>
      <w:pPr>
        <w:pStyle w:val="Normal"/>
      </w:pPr>
      <w:r>
        <w:t xml:space="preserve">Criterio de resolución: Un gráfico de comportamiento no es una tabla de datos: es una manera de ver el patrón. Por eso puede dibujarse a mano y sigue siendo útil, incluso cuando recoge percepciones y no mediciones.</w:t>
      </w:r>
    </w:p>
    <w:p>
      <w:pPr>
        <w:pStyle w:val="Fuente"/>
      </w:pPr>
      <w:r>
        <w:t xml:space="preserve">Clase 16 · lámina 19</w:t>
      </w:r>
    </w:p>
    <w:p>
      <w:pPr>
        <w:pStyle w:val="Heading3"/>
      </w:pPr>
      <w:bookmarkStart w:name="b_solucion_p2t_05_nenufar" w:id="6540"/>
      <w:r>
        <w:t xml:space="preserve">Solución S2-182</w:t>
      </w:r>
      <w:bookmarkEnd w:id="6540"/>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b) El día 31, porque al duplicarse pasa de la mitad al total en un solo día</w:t>
            </w:r>
          </w:p>
        </w:tc>
      </w:tr>
    </w:tbl>
    <w:p>
      <w:pPr>
        <w:pStyle w:val="Normal"/>
      </w:pPr>
      <w:r>
        <w:t xml:space="preserve">a) El día 60, porque falta la otra mitad — Duplicar no es sumar: no hacen falta otros 30 días.</w:t>
      </w:r>
    </w:p>
    <w:p>
      <w:pPr>
        <w:pStyle w:val="Normal"/>
      </w:pPr>
      <w:r>
        <w:t xml:space="preserve">b) El día 31, porque al duplicarse pasa de la mitad al total en un solo día — Correcta: es la propiedad del crecimiento exponencial, y lo que hace el caso contraintuitivo.</w:t>
      </w:r>
    </w:p>
    <w:p>
      <w:pPr>
        <w:pStyle w:val="Normal"/>
      </w:pPr>
      <w:r>
        <w:t xml:space="preserve">c) El día 45, a mitad de camino entre ambos — No hay proporcionalidad lineal que justifique ese punto medio.</w:t>
      </w:r>
    </w:p>
    <w:p>
      <w:pPr>
        <w:pStyle w:val="Normal"/>
      </w:pPr>
      <w:r>
        <w:t xml:space="preserve">d) No puede saberse sin conocer el tamaño del estanque — El tamaño del estanque no interviene: basta con la tasa de duplicación.</w:t>
      </w:r>
    </w:p>
    <w:p>
      <w:pPr>
        <w:pStyle w:val="Normal"/>
      </w:pPr>
      <w:r>
        <w:t xml:space="preserve">Criterio de resolución: El ejemplo sirve para fijar el patrón exponencial: durante casi todo el proceso el nenúfar parece insignificante y el salto decisivo ocurre en la última vuelta. Es el mismo comportamiento de cualquier ciclo de refuerzo sin freno.</w:t>
      </w:r>
    </w:p>
    <w:p>
      <w:pPr>
        <w:pStyle w:val="Fuente"/>
      </w:pPr>
      <w:r>
        <w:t xml:space="preserve">Clase 16 · 01:31:27–01:32:35 · lámina 15</w:t>
      </w:r>
    </w:p>
    <w:p>
      <w:pPr>
        <w:pStyle w:val="Heading3"/>
      </w:pPr>
      <w:bookmarkStart w:name="b_solucion_p2t_06_esperanza_y_miedo" w:id="6541"/>
      <w:r>
        <w:t xml:space="preserve">Solución S2-183</w:t>
      </w:r>
      <w:bookmarkEnd w:id="6541"/>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b) La esperanza y el miedo del grupo sobre cómo podría cambiar ese elemento en el futuro</w:t>
            </w:r>
          </w:p>
        </w:tc>
      </w:tr>
    </w:tbl>
    <w:p>
      <w:pPr>
        <w:pStyle w:val="Normal"/>
      </w:pPr>
      <w:r>
        <w:t xml:space="preserve">a) El mejor y el peor escenario medidos con datos reales — No son datos: el futuro todavía no ha ocurrido.</w:t>
      </w:r>
    </w:p>
    <w:p>
      <w:pPr>
        <w:pStyle w:val="Normal"/>
      </w:pPr>
      <w:r>
        <w:t xml:space="preserve">b) La esperanza y el miedo del grupo sobre cómo podría cambiar ese elemento en el futuro — Correcta: el guion de trabajo grupal que describe la lámina pide dibujar la esperanza y el miedo sobre el mismo elemento.</w:t>
      </w:r>
    </w:p>
    <w:p>
      <w:pPr>
        <w:pStyle w:val="Normal"/>
      </w:pPr>
      <w:r>
        <w:t xml:space="preserve">c) Dos mediciones de fuentes distintas — La lámina no habla de fuentes alternativas.</w:t>
      </w:r>
    </w:p>
    <w:p>
      <w:pPr>
        <w:pStyle w:val="Normal"/>
      </w:pPr>
      <w:r>
        <w:t xml:space="preserve">d) El margen de error de la proyección — No es un intervalo estadístico.</w:t>
      </w:r>
    </w:p>
    <w:p>
      <w:pPr>
        <w:pStyle w:val="Normal"/>
      </w:pPr>
      <w:r>
        <w:t xml:space="preserve">Criterio de resolución: Incorporar el futuro al gráfico hace visibles los modelos mentales del grupo: al dibujar lo que se espera y lo que se teme, las conversaciones sacan a la luz supuestos que de otro modo quedarían implícitos.</w:t>
      </w:r>
    </w:p>
    <w:p>
      <w:pPr>
        <w:pStyle w:val="Fuente"/>
      </w:pPr>
      <w:r>
        <w:t xml:space="preserve">Clase 16 · 01:37:00–01:37:50 · lámina 18</w:t>
      </w:r>
    </w:p>
    <w:p>
      <w:pPr>
        <w:pStyle w:val="Heading3"/>
      </w:pPr>
      <w:bookmarkStart w:name="b_solucion_p2t_07_medida_del_cambio" w:id="6542"/>
      <w:r>
        <w:t xml:space="preserve">Solución S2-184</w:t>
      </w:r>
      <w:bookmarkEnd w:id="6542"/>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b) Sí: el cambio también puede documentarse desde un punto de vista particular, como el temperamento o el nivel de independencia de un adolescente</w:t>
            </w:r>
          </w:p>
        </w:tc>
      </w:tr>
    </w:tbl>
    <w:p>
      <w:pPr>
        <w:pStyle w:val="Normal"/>
      </w:pPr>
      <w:r>
        <w:t xml:space="preserve">a) No: sólo se grafican magnitudes numéricas — La lámina contempla expresamente los dos casos.</w:t>
      </w:r>
    </w:p>
    <w:p>
      <w:pPr>
        <w:pStyle w:val="Normal"/>
      </w:pPr>
      <w:r>
        <w:t xml:space="preserve">b) Sí: el cambio también puede documentarse desde un punto de vista particular, como el temperamento o el nivel de independencia de un adolescente — Correcta: y añade que padre e hija pueden graficar el mismo cambio de maneras distintas.</w:t>
      </w:r>
    </w:p>
    <w:p>
      <w:pPr>
        <w:pStyle w:val="Normal"/>
      </w:pPr>
      <w:r>
        <w:t xml:space="preserve">c) Sí, pero sólo si se convierte antes en una escala numérica oficial — No se exige una escala oficial; basta una valoración coherente.</w:t>
      </w:r>
    </w:p>
    <w:p>
      <w:pPr>
        <w:pStyle w:val="Normal"/>
      </w:pPr>
      <w:r>
        <w:t xml:space="preserve">d) No, porque el eje vertical exige unidades — El eje vertical admite una magnitud percibida.</w:t>
      </w:r>
    </w:p>
    <w:p>
      <w:pPr>
        <w:pStyle w:val="Normal"/>
      </w:pPr>
      <w:r>
        <w:t xml:space="preserve">Criterio de resolución: El ejemplo de la lámina es preciso: un padre puede ver los intentos de independencia de su hija como rebeldía creciente, y la hija verlos como madurez. Lo graficado es el mismo cambio visto desde perspectivas distintas.</w:t>
      </w:r>
    </w:p>
    <w:p>
      <w:pPr>
        <w:pStyle w:val="Fuente"/>
      </w:pPr>
      <w:r>
        <w:t xml:space="preserve">Clase 16 · 01:32:36–01:36:15 · lámina 16</w:t>
      </w:r>
    </w:p>
    <w:p>
      <w:pPr>
        <w:pStyle w:val="Heading3"/>
      </w:pPr>
      <w:bookmarkStart w:name="b_solucion_p2t_08_ciclos_de_vida" w:id="6543"/>
      <w:r>
        <w:t xml:space="preserve">Solución S2-185</w:t>
      </w:r>
      <w:bookmarkEnd w:id="6543"/>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b) Que son modelos de cómo se comportan los sistemas a lo largo del tiempo, dando nombre a las etapas por las que pasan sus elementos</w:t>
            </w:r>
          </w:p>
        </w:tc>
      </w:tr>
    </w:tbl>
    <w:p>
      <w:pPr>
        <w:pStyle w:val="Normal"/>
      </w:pPr>
      <w:r>
        <w:t xml:space="preserve">a) Que todos son sistemas naturales — El producto y el proyecto son sistemas de actividad humana.</w:t>
      </w:r>
    </w:p>
    <w:p>
      <w:pPr>
        <w:pStyle w:val="Normal"/>
      </w:pPr>
      <w:r>
        <w:t xml:space="preserve">b) Que son modelos de cómo se comportan los sistemas a lo largo del tiempo, dando nombre a las etapas por las que pasan sus elementos — Correcta: es el título literal de la lámina.</w:t>
      </w:r>
    </w:p>
    <w:p>
      <w:pPr>
        <w:pStyle w:val="Normal"/>
      </w:pPr>
      <w:r>
        <w:t xml:space="preserve">c) Que todos producen crecimiento exponencial — La curva del producto es una campana y la de la luna es cíclica.</w:t>
      </w:r>
    </w:p>
    <w:p>
      <w:pPr>
        <w:pStyle w:val="Normal"/>
      </w:pPr>
      <w:r>
        <w:t xml:space="preserve">d) Que todos duran exactamente un año — Las duraciones son muy distintas entre sí.</w:t>
      </w:r>
    </w:p>
    <w:p>
      <w:pPr>
        <w:pStyle w:val="Normal"/>
      </w:pPr>
      <w:r>
        <w:t xml:space="preserve">Criterio de resolución: Nombrar las etapas es una forma de describir una tendencia: concepción, crecimiento, maduración, declinación y retiro dicen de un producto lo mismo que una curva en campana, pero con vocabulario que permite decidir qué hacer en cada tramo.</w:t>
      </w:r>
    </w:p>
    <w:p>
      <w:pPr>
        <w:pStyle w:val="Fuente"/>
      </w:pPr>
      <w:r>
        <w:t xml:space="preserve">Clase 16 · 01:40:29–01:42:05 · láminas 22 y 23</w:t>
      </w:r>
    </w:p>
    <w:p>
      <w:pPr>
        <w:pStyle w:val="Heading3"/>
      </w:pPr>
      <w:bookmarkStart w:name="b_solucion_p2t_09_parametro" w:id="6544"/>
      <w:r>
        <w:t xml:space="preserve">Solución S2-186</w:t>
      </w:r>
      <w:bookmarkEnd w:id="6544"/>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b) La variable se mantiene sin cambios: es lo que en los sistemas se llama un parámetro</w:t>
            </w:r>
          </w:p>
        </w:tc>
      </w:tr>
    </w:tbl>
    <w:p>
      <w:pPr>
        <w:pStyle w:val="Normal"/>
      </w:pPr>
      <w:r>
        <w:t xml:space="preserve">a) No se tomaron mediciones suficientes — La ausencia de cambio es un dato, no una falta de datos.</w:t>
      </w:r>
    </w:p>
    <w:p>
      <w:pPr>
        <w:pStyle w:val="Normal"/>
      </w:pPr>
      <w:r>
        <w:t xml:space="preserve">b) La variable se mantiene sin cambios: es lo que en los sistemas se llama un parámetro — Correcta: el profesor lo nombró así al recorrer el catálogo de patrones.</w:t>
      </w:r>
    </w:p>
    <w:p>
      <w:pPr>
        <w:pStyle w:val="Normal"/>
      </w:pPr>
      <w:r>
        <w:t xml:space="preserve">c) El sistema ha colapsado — Un colapso dibujaría una caída, no una recta.</w:t>
      </w:r>
    </w:p>
    <w:p>
      <w:pPr>
        <w:pStyle w:val="Normal"/>
      </w:pPr>
      <w:r>
        <w:t xml:space="preserve">d) El ciclo que la gobierna es de refuerzo — Un ciclo de refuerzo produce justamente lo contrario.</w:t>
      </w:r>
    </w:p>
    <w:p>
      <w:pPr>
        <w:pStyle w:val="Normal"/>
      </w:pPr>
      <w:r>
        <w:t xml:space="preserve">Criterio de resolución: Distinguir variables de parámetros importa al modelar: los parámetros se fijan y las variables se observan. Una constante en el gráfico es candidata a tratarse como parámetro del modelo.</w:t>
      </w:r>
    </w:p>
    <w:p>
      <w:pPr>
        <w:pStyle w:val="Fuente"/>
      </w:pPr>
      <w:r>
        <w:t xml:space="preserve">Clase 16 · 01:37:31–01:37:54</w:t>
      </w:r>
    </w:p>
    <w:p>
      <w:pPr>
        <w:pStyle w:val="Heading3"/>
      </w:pPr>
      <w:bookmarkStart w:name="b_solucion_p2t_18_tendencias_en_41f975c7" w:id="6545"/>
      <w:r>
        <w:t xml:space="preserve">Solución S2-187</w:t>
      </w:r>
      <w:bookmarkEnd w:id="6545"/>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a) Ganancias y pérdidas trimestrales</w:t>
            </w:r>
          </w:p>
          <w:p>
            <w:pPr>
              <w:pStyle w:val="Recuadro"/>
            </w:pPr>
            <w:r>
              <w:t xml:space="preserve">b) Datos de rendimiento estudiantil</w:t>
            </w:r>
          </w:p>
          <w:p>
            <w:pPr>
              <w:pStyle w:val="Recuadro"/>
            </w:pPr>
            <w:r>
              <w:t xml:space="preserve">c) Calificaciones de satisfacción del cliente</w:t>
            </w:r>
          </w:p>
          <w:p>
            <w:pPr>
              <w:pStyle w:val="Recuadro"/>
            </w:pPr>
            <w:r>
              <w:t xml:space="preserve">d) El movimiento hacia una meta personal, como pasos caminados cada día</w:t>
            </w:r>
          </w:p>
        </w:tc>
      </w:tr>
    </w:tbl>
    <w:p>
      <w:pPr>
        <w:pStyle w:val="Normal"/>
      </w:pPr>
      <w:r>
        <w:t xml:space="preserve">a) Ganancias y pérdidas trimestrales — Sí, figura en la lámina.</w:t>
      </w:r>
    </w:p>
    <w:p>
      <w:pPr>
        <w:pStyle w:val="Normal"/>
      </w:pPr>
      <w:r>
        <w:t xml:space="preserve">b) Datos de rendimiento estudiantil — Sí.</w:t>
      </w:r>
    </w:p>
    <w:p>
      <w:pPr>
        <w:pStyle w:val="Normal"/>
      </w:pPr>
      <w:r>
        <w:t xml:space="preserve">c) Calificaciones de satisfacción del cliente — Sí, y además sirve para dar sentido a percepciones.</w:t>
      </w:r>
    </w:p>
    <w:p>
      <w:pPr>
        <w:pStyle w:val="Normal"/>
      </w:pPr>
      <w:r>
        <w:t xml:space="preserve">d) El movimiento hacia una meta personal, como pasos caminados cada día — Sí: puntajes de golf, libras perdidas o pasos caminados.</w:t>
      </w:r>
    </w:p>
    <w:p>
      <w:pPr>
        <w:pStyle w:val="Normal"/>
      </w:pPr>
      <w:r>
        <w:t xml:space="preserve">e) La polaridad de las relaciones de un diagrama — No: la polaridad es una propiedad del diagrama causal, no una magnitud que evolucione en el tiempo.</w:t>
      </w:r>
    </w:p>
    <w:p>
      <w:pPr>
        <w:pStyle w:val="Normal"/>
      </w:pPr>
      <w:r>
        <w:t xml:space="preserve">Criterio de resolución: Los gráficos de tendencia admiten tanto datos duros como percepciones. Lo que no admiten es representar la estructura: para eso está el diagrama causal, que vive un nivel más abajo en el iceberg.</w:t>
      </w:r>
    </w:p>
    <w:p>
      <w:pPr>
        <w:pStyle w:val="Fuente"/>
      </w:pPr>
      <w:r>
        <w:t xml:space="preserve">Clase 16 · lámina 19</w:t>
      </w:r>
    </w:p>
    <w:p>
      <w:pPr>
        <w:pStyle w:val="Heading3"/>
      </w:pPr>
      <w:bookmarkStart w:name="b_solucion_p2t_19_de_estructura_a_curva" w:id="6546"/>
      <w:r>
        <w:t xml:space="preserve">Solución S2-188</w:t>
      </w:r>
      <w:bookmarkEnd w:id="6546"/>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b) Una curva que crece y se aplana al acercarse al objetivo, sin superarlo de forma sostenida</w:t>
            </w:r>
          </w:p>
        </w:tc>
      </w:tr>
    </w:tbl>
    <w:p>
      <w:pPr>
        <w:pStyle w:val="Normal"/>
      </w:pPr>
      <w:r>
        <w:t xml:space="preserve">a) Una recta ascendente sin límite — Eso corresponde a un ciclo de refuerzo.</w:t>
      </w:r>
    </w:p>
    <w:p>
      <w:pPr>
        <w:pStyle w:val="Normal"/>
      </w:pPr>
      <w:r>
        <w:t xml:space="preserve">b) Una curva que crece y se aplana al acercarse al objetivo, sin superarlo de forma sostenida — Correcta: es el comportamiento exponencial acotado, también llamado búsqueda de objetivo.</w:t>
      </w:r>
    </w:p>
    <w:p>
      <w:pPr>
        <w:pStyle w:val="Normal"/>
      </w:pPr>
      <w:r>
        <w:t xml:space="preserve">c) Una oscilación de amplitud creciente — La amplitud creciente exigiría un refuerzo dominante.</w:t>
      </w:r>
    </w:p>
    <w:p>
      <w:pPr>
        <w:pStyle w:val="Normal"/>
      </w:pPr>
      <w:r>
        <w:t xml:space="preserve">d) Una línea horizontal desde el inicio — La horizontal describe un parámetro, no una variable regulada que parte lejos de su meta.</w:t>
      </w:r>
    </w:p>
    <w:p>
      <w:pPr>
        <w:pStyle w:val="Normal"/>
      </w:pPr>
      <w:r>
        <w:t xml:space="preserve">Criterio de resolución: El ciclo de balance corrige la desviación: cuanto más cerca está la variable del objetivo, menor es la brecha y menor la acción correctora. De ahí la curva que se acerca a la meta y se aplana contra ella.</w:t>
      </w:r>
    </w:p>
    <w:p>
      <w:pPr>
        <w:pStyle w:val="Fuente"/>
      </w:pPr>
      <w:r>
        <w:t xml:space="preserve">Clase 16 · 01:37:54–01:39:02 · lámina 20</w:t>
      </w:r>
    </w:p>
    <w:p>
      <w:pPr>
        <w:pStyle w:val="Heading3"/>
      </w:pPr>
      <w:bookmarkStart w:name="b_solucion_p2t_20_de_refuerzo_a_curva" w:id="6547"/>
      <w:r>
        <w:t xml:space="preserve">Solución S2-189</w:t>
      </w:r>
      <w:bookmarkEnd w:id="6547"/>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a) Una exponencial sin cota, que crece —o decrece— cada vez más rápido</w:t>
            </w:r>
          </w:p>
        </w:tc>
      </w:tr>
    </w:tbl>
    <w:p>
      <w:pPr>
        <w:pStyle w:val="Normal"/>
      </w:pPr>
      <w:r>
        <w:t xml:space="preserve">a) Una exponencial sin cota, que crece —o decrece— cada vez más rápido — Correcta: empieza en un valor y crece sin que nada lo detenga, salvo que aparezca otro ciclo.</w:t>
      </w:r>
    </w:p>
    <w:p>
      <w:pPr>
        <w:pStyle w:val="Normal"/>
      </w:pPr>
      <w:r>
        <w:t xml:space="preserve">b) Una curva en S — La S aparece cuando un ciclo de balance entra en juego y frena el crecimiento.</w:t>
      </w:r>
    </w:p>
    <w:p>
      <w:pPr>
        <w:pStyle w:val="Normal"/>
      </w:pPr>
      <w:r>
        <w:t xml:space="preserve">c) Una oscilación regular — La oscilación requiere acoplar dos tipos de ciclo.</w:t>
      </w:r>
    </w:p>
    <w:p>
      <w:pPr>
        <w:pStyle w:val="Normal"/>
      </w:pPr>
      <w:r>
        <w:t xml:space="preserve">d) Un estado estable — El estado estable es propio de un parámetro o de un balance ya convergido.</w:t>
      </w:r>
    </w:p>
    <w:p>
      <w:pPr>
        <w:pStyle w:val="Normal"/>
      </w:pPr>
      <w:r>
        <w:t xml:space="preserve">Criterio de resolución: La lámina lo dice con esas palabras: crece, crece, crece y nada lo detiene si no hubiera otro ciclo. Y añade que puede ser al revés, un decrecimiento exponencial, porque el refuerzo amplifica en cualquier dirección.</w:t>
      </w:r>
    </w:p>
    <w:p>
      <w:pPr>
        <w:pStyle w:val="Fuente"/>
      </w:pPr>
      <w:r>
        <w:t xml:space="preserve">Clase 16 · 01:39:03–01:40:25 · lámina 21</w:t>
      </w:r>
    </w:p>
    <w:p>
      <w:pPr>
        <w:pStyle w:val="Heading3"/>
      </w:pPr>
      <w:bookmarkStart w:name="b_solucion_p2t_21_arrastrar_curvas" w:id="6548"/>
      <w:r>
        <w:t xml:space="preserve">Solución S2-190</w:t>
      </w:r>
      <w:bookmarkEnd w:id="6548"/>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Crecimiento exponencial sin cota: El nenúfar que duplica su tamaño cada día; El saldo de una cuenta con interés compuesto y sin retiros</w:t>
            </w:r>
          </w:p>
          <w:p>
            <w:pPr>
              <w:pStyle w:val="Recuadro"/>
            </w:pPr>
            <w:r>
              <w:t xml:space="preserve">Búsqueda de objetivo: El nivel de un tanque con meta fija, válvula de flote y respuesta estable sin retardo relevante; La velocidad en caída con resistencia creciente y condiciones constantes, aproximándose a velocidad terminal</w:t>
            </w:r>
          </w:p>
          <w:p>
            <w:pPr>
              <w:pStyle w:val="Recuadro"/>
            </w:pPr>
            <w:r>
              <w:t xml:space="preserve">Oscilación: Poblaciones de conejos y zorros en el modelo idealizado con tasas y condiciones que generan oscilaciones; Un modelo de inventario y demanda con corrección retardada y parámetros que producen oscilaciones</w:t>
            </w:r>
          </w:p>
        </w:tc>
      </w:tr>
    </w:tbl>
    <w:p>
      <w:pPr>
        <w:pStyle w:val="Normal"/>
      </w:pPr>
      <w:r>
        <w:t xml:space="preserve">Criterio de resolución: Los primeros casos suponen duplicación o interés proporcional constante y ausencia de restricciones. Los de objetivo suponen un balance estable; los de oscilación declaran parámetros y retardos que producen vaivén. B con retardo puede oscilar y R+B puede ser logístico: sus etiquetas no bastan para deducir una curva.</w:t>
      </w:r>
    </w:p>
    <w:p>
      <w:pPr>
        <w:pStyle w:val="Fuente"/>
      </w:pPr>
      <w:r>
        <w:t xml:space="preserve">Clase 16 · láminas 9, 15 y 19 · Clase 12 · lámina 8 · Clase 15 · lámina 7</w:t>
      </w:r>
    </w:p>
    <w:p>
      <w:pPr>
        <w:pStyle w:val="Heading3"/>
      </w:pPr>
      <w:bookmarkStart w:name="b_solucion_p2t_23_estructura_vs_patron" w:id="6549"/>
      <w:r>
        <w:t xml:space="preserve">Solución S2-191</w:t>
      </w:r>
      <w:bookmarkEnd w:id="6549"/>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b) La estructura genera las tendencias: lo que se ve como patrón en el nivel superior procede de la red de relaciones del nivel inferior</w:t>
            </w:r>
          </w:p>
        </w:tc>
      </w:tr>
    </w:tbl>
    <w:p>
      <w:pPr>
        <w:pStyle w:val="Normal"/>
      </w:pPr>
      <w:r>
        <w:t xml:space="preserve">a) Son dos formas de decir lo mismo — Son niveles distintos, con preguntas distintas.</w:t>
      </w:r>
    </w:p>
    <w:p>
      <w:pPr>
        <w:pStyle w:val="Normal"/>
      </w:pPr>
      <w:r>
        <w:t xml:space="preserve">b) La estructura genera las tendencias: lo que se ve como patrón en el nivel superior procede de la red de relaciones del nivel inferior — Correcta: por eso los gráficos de comportamiento son la manifestación observable de la estructura.</w:t>
      </w:r>
    </w:p>
    <w:p>
      <w:pPr>
        <w:pStyle w:val="Normal"/>
      </w:pPr>
      <w:r>
        <w:t xml:space="preserve">c) Los patrones son más profundos que las estructuras — Está invertido: las estructuras están por debajo.</w:t>
      </w:r>
    </w:p>
    <w:p>
      <w:pPr>
        <w:pStyle w:val="Normal"/>
      </w:pPr>
      <w:r>
        <w:t xml:space="preserve">d) Los patrones pertenecen a los sistemas naturales y las estructuras a los humanos — No hay tal reparto.</w:t>
      </w:r>
    </w:p>
    <w:p>
      <w:pPr>
        <w:pStyle w:val="Normal"/>
      </w:pPr>
      <w:r>
        <w:t xml:space="preserve">Criterio de resolución: La lectura del iceberg funciona en las dos direcciones. Desde arriba, una tendencia anómala invita a buscar la estructura que la produce; desde abajo, una estructura conocida permite anticipar la curva que va a aparecer.</w:t>
      </w:r>
    </w:p>
    <w:p>
      <w:pPr>
        <w:pStyle w:val="Fuente"/>
      </w:pPr>
      <w:r>
        <w:t xml:space="preserve">Clase 14 · 01:08:59–01:11:03 · Clase 16 · 01:29:40–01:31:25</w:t>
      </w:r>
    </w:p>
    <w:p>
      <w:pPr>
        <w:pStyle w:val="Heading3"/>
      </w:pPr>
      <w:bookmarkStart w:name="b_solucion_p2l_cinco_habitos" w:id="6550"/>
      <w:r>
        <w:t xml:space="preserve">Solución S2-192</w:t>
      </w:r>
      <w:bookmarkEnd w:id="6550"/>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c) Patrones, conexiones, causalidad circular, estructura que genera comportamiento y demoras</w:t>
            </w:r>
          </w:p>
        </w:tc>
      </w:tr>
    </w:tbl>
    <w:p>
      <w:pPr>
        <w:pStyle w:val="Normal"/>
      </w:pPr>
      <w:r>
        <w:t xml:space="preserve">a) Sólo estructura, circularidad y demoras — Se descarta por la clave; aplique el criterio de resolución común que se desarrolla después de esta lista.</w:t>
      </w:r>
    </w:p>
    <w:p>
      <w:pPr>
        <w:pStyle w:val="Normal"/>
      </w:pPr>
      <w:r>
        <w:t xml:space="preserve">b) Los catorce hábitos más una introducción contada como hábito adicional — Se descarta por la clave; aplique el criterio de resolución común que se desarrolla después de esta lista.</w:t>
      </w:r>
    </w:p>
    <w:p>
      <w:pPr>
        <w:pStyle w:val="Normal"/>
      </w:pPr>
      <w:r>
        <w:t xml:space="preserve">c) Patrones, conexiones, causalidad circular, estructura que genera comportamiento y demoras — Se selecciona por la clave; aplique el criterio de resolución común que se desarrolla después de esta lista.</w:t>
      </w:r>
    </w:p>
    <w:p>
      <w:pPr>
        <w:pStyle w:val="Normal"/>
      </w:pPr>
      <w:r>
        <w:t xml:space="preserve">d) Consecuencias, simulación, codificación, pruebas e instalación — Se descarta por la clave; aplique el criterio de resolución común que se desarrolla después de esta lista.</w:t>
      </w:r>
    </w:p>
    <w:p>
      <w:pPr>
        <w:pStyle w:val="Normal"/>
      </w:pPr>
      <w:r>
        <w:t xml:space="preserve">Criterio de resolución: Patrones, conexiones, causalidad circular, estructura que genera comportamiento y demoras</w:t>
      </w:r>
    </w:p>
    <w:p>
      <w:pPr>
        <w:pStyle w:val="Fuente"/>
      </w:pPr>
      <w:r>
        <w:t xml:space="preserve">Presentación de la unidad 3 (C-2), pág. 33, 41, 72, 82 y 97 · Clase 15 · 00:08:30–00:09:06 · Clase 16 · 00:12:41–00:17:41</w:t>
      </w:r>
    </w:p>
    <w:p>
      <w:pPr>
        <w:pStyle w:val="Heading3"/>
      </w:pPr>
      <w:bookmarkStart w:name="b_solucion_p2t_10_nueve_habitos_bf14e328" w:id="6551"/>
      <w:r>
        <w:t xml:space="preserve">Solución S2-193</w:t>
      </w:r>
      <w:bookmarkEnd w:id="6551"/>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Hábitos básicos: Considera cómo los modelos mentales afectan la realidad actual y el futuro; Reconoce y prueba suposiciones; Cambia las perspectivas para aumentar la comprensión; Intenta entender la película completa</w:t>
            </w:r>
          </w:p>
          <w:p>
            <w:pPr>
              <w:pStyle w:val="Recuadro"/>
            </w:pPr>
            <w:r>
              <w:t xml:space="preserve">Profundizando en las estructuras sistémicas: Observa cómo los elementos cambian a través del tiempo, generando patrones y tendencias; Hace conexiones significativas dentro y entre sistemas; Identifica la naturaleza circular de las relaciones complejas entre causa y efecto; Reconoce que la estructura de un sistema genera su comportamiento; Reconoce el impacto de las demoras</w:t>
            </w:r>
          </w:p>
        </w:tc>
      </w:tr>
    </w:tbl>
    <w:p>
      <w:pPr>
        <w:pStyle w:val="Normal"/>
      </w:pPr>
      <w:r>
        <w:t xml:space="preserve">Criterio de resolución: Los cuatro básicos se trabajaron en la unidad 1, ligados a los modelos mentales. Los cinco de la segunda banda son los que estructuran esta unidad, y el profesor los recorrió en un orden propio: dejó los patrones para el final, después de haber entendido la estructura.</w:t>
      </w:r>
    </w:p>
    <w:p>
      <w:pPr>
        <w:pStyle w:val="Fuente"/>
      </w:pPr>
      <w:r>
        <w:t xml:space="preserve">Clase 11 · 00:51:24–00:55:20 · lámina 19 · Clase 15 · lámina 1</w:t>
      </w:r>
    </w:p>
    <w:p>
      <w:pPr>
        <w:pStyle w:val="Heading3"/>
      </w:pPr>
      <w:bookmarkStart w:name="b_solucion_p2t_11_conexiones_si_33b20f43" w:id="6552"/>
      <w:r>
        <w:t xml:space="preserve">Solución S2-194</w:t>
      </w:r>
      <w:bookmarkEnd w:id="6552"/>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b) Ve cómo conceptos, hechos e ideas se enlazan entre sí, lo que puede conducir a nuevos aprendizajes, descubrimientos e innovaciones</w:t>
            </w:r>
          </w:p>
        </w:tc>
      </w:tr>
    </w:tbl>
    <w:p>
      <w:pPr>
        <w:pStyle w:val="Normal"/>
      </w:pPr>
      <w:r>
        <w:t xml:space="preserve">a) Establece el mayor número de relaciones posible entre todas las variables — La lámina advierte contra trivializar la noción de que todo está conectado.</w:t>
      </w:r>
    </w:p>
    <w:p>
      <w:pPr>
        <w:pStyle w:val="Normal"/>
      </w:pPr>
      <w:r>
        <w:t xml:space="preserve">b) Ve cómo conceptos, hechos e ideas se enlazan entre sí, lo que puede conducir a nuevos aprendizajes, descubrimientos e innovaciones — Correcta: es el texto literal de la tarjeta del hábito.</w:t>
      </w:r>
    </w:p>
    <w:p>
      <w:pPr>
        <w:pStyle w:val="Normal"/>
      </w:pPr>
      <w:r>
        <w:t xml:space="preserve">c) Conecta sistemas del mismo tipo entre sí — El hábito incluye conectar sistemas muy distintos que se comportan de forma parecida.</w:t>
      </w:r>
    </w:p>
    <w:p>
      <w:pPr>
        <w:pStyle w:val="Normal"/>
      </w:pPr>
      <w:r>
        <w:t xml:space="preserve">d) Busca relaciones sólo dentro del sistema que estudia — El hábito habla de conexiones dentro y entre sistemas.</w:t>
      </w:r>
    </w:p>
    <w:p>
      <w:pPr>
        <w:pStyle w:val="Normal"/>
      </w:pPr>
      <w:r>
        <w:t xml:space="preserve">Criterio de resolución: La palabra que hace el trabajo es «significativas»: no se trata de enlazar todo con todo, sino de encontrar las conexiones que producen comprensión. De ahí salen la transferencia y el aprendizaje.</w:t>
      </w:r>
    </w:p>
    <w:p>
      <w:pPr>
        <w:pStyle w:val="Fuente"/>
      </w:pPr>
      <w:r>
        <w:t xml:space="preserve">Clase 11 · 00:55:27–00:58:45 · Clase 12 · 00:43:42–00:53:28 · lámina 3</w:t>
      </w:r>
    </w:p>
    <w:p>
      <w:pPr>
        <w:pStyle w:val="Heading3"/>
      </w:pPr>
      <w:bookmarkStart w:name="b_solucion_p2t_12_mentalidad_de_21cd8a72" w:id="6553"/>
      <w:r>
        <w:t xml:space="preserve">Solución S2-195</w:t>
      </w:r>
      <w:bookmarkEnd w:id="6553"/>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b) La creencia de que la inteligencia no es puramente innata, sino que puede desarrollarse a través del esfuerzo</w:t>
            </w:r>
          </w:p>
        </w:tc>
      </w:tr>
    </w:tbl>
    <w:p>
      <w:pPr>
        <w:pStyle w:val="Normal"/>
      </w:pPr>
      <w:r>
        <w:t xml:space="preserve">a) La ambición de aumentar los resultados cada período — No es una meta de rendimiento.</w:t>
      </w:r>
    </w:p>
    <w:p>
      <w:pPr>
        <w:pStyle w:val="Normal"/>
      </w:pPr>
      <w:r>
        <w:t xml:space="preserve">b) La creencia de que la inteligencia no es puramente innata, sino que puede desarrollarse a través del esfuerzo — Correcta: es la definición literal, y la lámina la compara con sembrar conocimiento en una mente preparada.</w:t>
      </w:r>
    </w:p>
    <w:p>
      <w:pPr>
        <w:pStyle w:val="Normal"/>
      </w:pPr>
      <w:r>
        <w:t xml:space="preserve">c) La disposición a aceptar cualquier cambio — Aceptar cambios no es lo que define el concepto.</w:t>
      </w:r>
    </w:p>
    <w:p>
      <w:pPr>
        <w:pStyle w:val="Normal"/>
      </w:pPr>
      <w:r>
        <w:t xml:space="preserve">d) El hábito de fijarse metas difíciles — Las metas son otra cosa.</w:t>
      </w:r>
    </w:p>
    <w:p>
      <w:pPr>
        <w:pStyle w:val="Normal"/>
      </w:pPr>
      <w:r>
        <w:t xml:space="preserve">Criterio de resolución: La analogía de la lámina es agrícola: el agricultor cultiva cosechas y el pensador sistémico cultiva conexiones que promueven el aprendizaje. La curiosidad, un maestro inspirador o un buen libro hacen de sol, agua y suelo.</w:t>
      </w:r>
    </w:p>
    <w:p>
      <w:pPr>
        <w:pStyle w:val="Fuente"/>
      </w:pPr>
      <w:r>
        <w:t xml:space="preserve">Clase 12 · 01:25:45–01:33:20 · lámina 7</w:t>
      </w:r>
    </w:p>
    <w:p>
      <w:pPr>
        <w:pStyle w:val="Heading3"/>
      </w:pPr>
      <w:bookmarkStart w:name="b_solucion_p2t_13_transferencia_lobos" w:id="6554"/>
      <w:r>
        <w:t xml:space="preserve">Solución S2-196</w:t>
      </w:r>
      <w:bookmarkEnd w:id="6554"/>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b) Que dos sistemas distintos pueden compartir una estructura, si se comprueban mecanismos y condiciones compatibles</w:t>
            </w:r>
          </w:p>
        </w:tc>
      </w:tr>
    </w:tbl>
    <w:p>
      <w:pPr>
        <w:pStyle w:val="Normal"/>
      </w:pPr>
      <w:r>
        <w:t xml:space="preserve">a) Que ambos fenómenos ocurren en la misma escala de tiempo — Las escalas son distintas y no es lo que se compara.</w:t>
      </w:r>
    </w:p>
    <w:p>
      <w:pPr>
        <w:pStyle w:val="Normal"/>
      </w:pPr>
      <w:r>
        <w:t xml:space="preserve">b) Que dos sistemas distintos pueden compartir una estructura, si se comprueban mecanismos y condiciones compatibles — Correcta: la analogía es una hipótesis estructural condicionada; el gráfico económico no es temporal.</w:t>
      </w:r>
    </w:p>
    <w:p>
      <w:pPr>
        <w:pStyle w:val="Normal"/>
      </w:pPr>
      <w:r>
        <w:t xml:space="preserve">c) Que ambos dependen del clima — El clima no interviene en el argumento.</w:t>
      </w:r>
    </w:p>
    <w:p>
      <w:pPr>
        <w:pStyle w:val="Normal"/>
      </w:pPr>
      <w:r>
        <w:t xml:space="preserve">d) Que los dos son sistemas naturales — La oferta y la demanda son de un sistema económico.</w:t>
      </w:r>
    </w:p>
    <w:p>
      <w:pPr>
        <w:pStyle w:val="Normal"/>
      </w:pPr>
      <w:r>
        <w:t xml:space="preserve">Criterio de resolución: La transferencia busca estructuras comparables; no demuestra por semejanza que todo mercado y toda población produzcan la misma curva. El gráfico económico de C-2, pág. 40, muestra precio y cantidades, no oscilación temporal. Para transferir conclusiones se comprueban mecanismos, tasas, retardos y condiciones.</w:t>
      </w:r>
    </w:p>
    <w:p>
      <w:pPr>
        <w:pStyle w:val="Fuente"/>
      </w:pPr>
      <w:r>
        <w:t xml:space="preserve">Presentación de la unidad 3 (C-2), pág. 40 · Clase 12 · 01:33:18–01:36:48</w:t>
      </w:r>
    </w:p>
    <w:p>
      <w:pPr>
        <w:pStyle w:val="Heading3"/>
      </w:pPr>
      <w:bookmarkStart w:name="b_solucion_p2t_14_quinto_habito_nivel" w:id="6555"/>
      <w:r>
        <w:t xml:space="preserve">Solución S2-197</w:t>
      </w:r>
      <w:bookmarkEnd w:id="6555"/>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b) Porque las tendencias son el nivel superior que emerge de la estructura, y convenía entender primero la estructura que las produce</w:t>
            </w:r>
          </w:p>
        </w:tc>
      </w:tr>
    </w:tbl>
    <w:p>
      <w:pPr>
        <w:pStyle w:val="Normal"/>
      </w:pPr>
      <w:r>
        <w:t xml:space="preserve">a) Porque es el más sencillo de los cinco — No lo presentó como el más sencillo.</w:t>
      </w:r>
    </w:p>
    <w:p>
      <w:pPr>
        <w:pStyle w:val="Normal"/>
      </w:pPr>
      <w:r>
        <w:t xml:space="preserve">b) Porque las tendencias son el nivel superior que emerge de la estructura, y convenía entender primero la estructura que las produce — Correcta: lo anunció así en la clase 11 y lo cumplió en la 16.</w:t>
      </w:r>
    </w:p>
    <w:p>
      <w:pPr>
        <w:pStyle w:val="Normal"/>
      </w:pPr>
      <w:r>
        <w:t xml:space="preserve">c) Porque requiere herramientas de software — Los gráficos se dibujan a mano.</w:t>
      </w:r>
    </w:p>
    <w:p>
      <w:pPr>
        <w:pStyle w:val="Normal"/>
      </w:pPr>
      <w:r>
        <w:t xml:space="preserve">d) Porque no entra en la evaluación — La evaluación cubre la unidad 3 completa.</w:t>
      </w:r>
    </w:p>
    <w:p>
      <w:pPr>
        <w:pStyle w:val="Normal"/>
      </w:pPr>
      <w:r>
        <w:t xml:space="preserve">Criterio de resolución: El orden es deliberado: primero las conexiones, después la circularidad, luego la estructura y las demoras, y al final las tendencias. Así el patrón observado se explica por la estructura ya comprendida, y no al revés.</w:t>
      </w:r>
    </w:p>
    <w:p>
      <w:pPr>
        <w:pStyle w:val="Fuente"/>
      </w:pPr>
      <w:r>
        <w:t xml:space="preserve">Clase 11 · 00:55:01 · Clase 16 · 01:29:40–01:31:27</w:t>
      </w:r>
    </w:p>
    <w:p>
      <w:pPr>
        <w:pStyle w:val="Heading3"/>
      </w:pPr>
      <w:bookmarkStart w:name="b_solucion_p2t_15_ordenar_habitos_unidad" w:id="6556"/>
      <w:r>
        <w:t xml:space="preserve">Solución S2-198</w:t>
      </w:r>
      <w:bookmarkEnd w:id="6556"/>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1. Hace conexiones significativas dentro y entre sistemas</w:t>
            </w:r>
          </w:p>
          <w:p>
            <w:pPr>
              <w:pStyle w:val="Recuadro"/>
            </w:pPr>
            <w:r>
              <w:t xml:space="preserve">2. Identifica la naturaleza circular de las relaciones complejas</w:t>
            </w:r>
          </w:p>
          <w:p>
            <w:pPr>
              <w:pStyle w:val="Recuadro"/>
            </w:pPr>
            <w:r>
              <w:t xml:space="preserve">3. Reconoce que la estructura de un sistema genera su comportamiento</w:t>
            </w:r>
          </w:p>
          <w:p>
            <w:pPr>
              <w:pStyle w:val="Recuadro"/>
            </w:pPr>
            <w:r>
              <w:t xml:space="preserve">4. Reconoce el impacto de las demoras</w:t>
            </w:r>
          </w:p>
          <w:p>
            <w:pPr>
              <w:pStyle w:val="Recuadro"/>
            </w:pPr>
            <w:r>
              <w:t xml:space="preserve">5. Observa cómo los elementos cambian a través del tiempo</w:t>
            </w:r>
          </w:p>
        </w:tc>
      </w:tr>
    </w:tbl>
    <w:p>
      <w:pPr>
        <w:pStyle w:val="Normal"/>
      </w:pPr>
      <w:r>
        <w:t xml:space="preserve">Criterio de resolución: Las conexiones abren la unidad en la clase 11 y se trabajan con el ciclo de la planta; la circularidad llega con el vaso de agua y el fogón; la estructura y las demoras ocupan la clase 15, y los patrones cierran la unidad en la última sesión.</w:t>
      </w:r>
    </w:p>
    <w:p>
      <w:pPr>
        <w:pStyle w:val="Fuente"/>
      </w:pPr>
      <w:r>
        <w:t xml:space="preserve">Clases 11 a 16 · láminas de hábitos</w:t>
      </w:r>
    </w:p>
    <w:p>
      <w:pPr>
        <w:pStyle w:val="Heading3"/>
      </w:pPr>
      <w:bookmarkStart w:name="b_solucion_p2t_16_pregunta_conexiones" w:id="6557"/>
      <w:r>
        <w:t xml:space="preserve">Solución S2-199</w:t>
      </w:r>
      <w:bookmarkEnd w:id="6557"/>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b) El hábito de hacer conexiones significativas dentro y entre sistemas</w:t>
            </w:r>
          </w:p>
        </w:tc>
      </w:tr>
    </w:tbl>
    <w:p>
      <w:pPr>
        <w:pStyle w:val="Normal"/>
      </w:pPr>
      <w:r>
        <w:t xml:space="preserve">a) El hábito de reconocer y probar suposiciones — Ese hábito pregunta por la correspondencia entre la teoría y el comportamiento observado.</w:t>
      </w:r>
    </w:p>
    <w:p>
      <w:pPr>
        <w:pStyle w:val="Normal"/>
      </w:pPr>
      <w:r>
        <w:t xml:space="preserve">b) El hábito de hacer conexiones significativas dentro y entre sistemas — Correcta: es la tercera de las tres preguntas que trae esa tarjeta.</w:t>
      </w:r>
    </w:p>
    <w:p>
      <w:pPr>
        <w:pStyle w:val="Normal"/>
      </w:pPr>
      <w:r>
        <w:t xml:space="preserve">c) El hábito de reconocer el impacto de las demoras — Las preguntas de las demoras se refieren al tiempo de aparición de los resultados.</w:t>
      </w:r>
    </w:p>
    <w:p>
      <w:pPr>
        <w:pStyle w:val="Normal"/>
      </w:pPr>
      <w:r>
        <w:t xml:space="preserve">d) El hábito de cambiar de perspectivas — Las de perspectivas preguntan por otros puntos de vista.</w:t>
      </w:r>
    </w:p>
    <w:p>
      <w:pPr>
        <w:pStyle w:val="Normal"/>
      </w:pPr>
      <w:r>
        <w:t xml:space="preserve">Criterio de resolución: Las otras dos preguntas de la misma tarjeta son cuáles son las relaciones entre las piezas del sistema y cómo perspectivas diferentes pueden funcionar juntas para beneficiar al conjunto. Las tres apuntan a lo mismo: enlazar para comprender.</w:t>
      </w:r>
    </w:p>
    <w:p>
      <w:pPr>
        <w:pStyle w:val="Fuente"/>
      </w:pPr>
      <w:r>
        <w:t xml:space="preserve">Clase 11 · lámina 20 · Clase 12 · lámina 2</w:t>
      </w:r>
    </w:p>
    <w:p>
      <w:pPr>
        <w:pStyle w:val="Heading3"/>
      </w:pPr>
      <w:bookmarkStart w:name="b_solucion_p2t_17_conexiones_humanas" w:id="6558"/>
      <w:r>
        <w:t xml:space="preserve">Solución S2-200</w:t>
      </w:r>
      <w:bookmarkEnd w:id="6558"/>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b) Un ciclo de refuerzo: cada vuelta amplifica el efecto de la anterior</w:t>
            </w:r>
          </w:p>
        </w:tc>
      </w:tr>
    </w:tbl>
    <w:p>
      <w:pPr>
        <w:pStyle w:val="Normal"/>
      </w:pPr>
      <w:r>
        <w:t xml:space="preserve">a) Un ciclo de balance que estabiliza la sociabilidad — No hay ninguna relación que invierta el sentido.</w:t>
      </w:r>
    </w:p>
    <w:p>
      <w:pPr>
        <w:pStyle w:val="Normal"/>
      </w:pPr>
      <w:r>
        <w:t xml:space="preserve">b) Un ciclo de refuerzo: cada vuelta amplifica el efecto de la anterior — Correcta: conexión, felicidad, mejores relaciones y más tiempo juntos se empujan mutuamente en el mismo sentido.</w:t>
      </w:r>
    </w:p>
    <w:p>
      <w:pPr>
        <w:pStyle w:val="Normal"/>
      </w:pPr>
      <w:r>
        <w:t xml:space="preserve">c) Una cadena lineal de tres pasos — La cadena se cierra sobre sí misma, así que no es lineal.</w:t>
      </w:r>
    </w:p>
    <w:p>
      <w:pPr>
        <w:pStyle w:val="Normal"/>
      </w:pPr>
      <w:r>
        <w:t xml:space="preserve">d) Una proalimentación de compensación — No interviene ninguna anticipación del futuro.</w:t>
      </w:r>
    </w:p>
    <w:p>
      <w:pPr>
        <w:pStyle w:val="Normal"/>
      </w:pPr>
      <w:r>
        <w:t xml:space="preserve">Criterio de resolución: Es un buen ejercicio de lectura: el texto no dibuja ningún diagrama, pero su encadenamiento es un bucle de refuerzo. Detectar ciclos en prosa es justamente lo que el hábito de la causalidad circular entrena.</w:t>
      </w:r>
    </w:p>
    <w:p>
      <w:pPr>
        <w:pStyle w:val="Fuente"/>
      </w:pPr>
      <w:r>
        <w:t xml:space="preserve">Clase 13 · 00:24:02–00:25:23 · lámina 2</w:t>
      </w:r>
    </w:p>
    <w:p>
      <w:pPr>
        <w:pStyle w:val="Heading3"/>
      </w:pPr>
      <w:bookmarkStart w:name="b_solucion_p2t_22_tipos_de_relacion" w:id="6559"/>
      <w:r>
        <w:t xml:space="preserve">Solución S2-201</w:t>
      </w:r>
      <w:bookmarkEnd w:id="6559"/>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a) De comunicación y de trabajo en equipo</w:t>
            </w:r>
          </w:p>
          <w:p>
            <w:pPr>
              <w:pStyle w:val="Recuadro"/>
            </w:pPr>
            <w:r>
              <w:t xml:space="preserve">b) De tipo familiar y sentimental</w:t>
            </w:r>
          </w:p>
          <w:p>
            <w:pPr>
              <w:pStyle w:val="Recuadro"/>
            </w:pPr>
            <w:r>
              <w:t xml:space="preserve">c) Físicas, químicas y de alimentación</w:t>
            </w:r>
          </w:p>
          <w:p>
            <w:pPr>
              <w:pStyle w:val="Recuadro"/>
            </w:pPr>
            <w:r>
              <w:t xml:space="preserve">d) De enseñanza y aprendizaje</w:t>
            </w:r>
          </w:p>
        </w:tc>
      </w:tr>
    </w:tbl>
    <w:p>
      <w:pPr>
        <w:pStyle w:val="Normal"/>
      </w:pPr>
      <w:r>
        <w:t xml:space="preserve">a) De comunicación y de trabajo en equipo — Sí: encabeza la enumeración.</w:t>
      </w:r>
    </w:p>
    <w:p>
      <w:pPr>
        <w:pStyle w:val="Normal"/>
      </w:pPr>
      <w:r>
        <w:t xml:space="preserve">b) De tipo familiar y sentimental — Sí: figuran entre las relaciones humanas.</w:t>
      </w:r>
    </w:p>
    <w:p>
      <w:pPr>
        <w:pStyle w:val="Normal"/>
      </w:pPr>
      <w:r>
        <w:t xml:space="preserve">c) Físicas, químicas y de alimentación — Sí: son las que menciona al hablar de la naturaleza.</w:t>
      </w:r>
    </w:p>
    <w:p>
      <w:pPr>
        <w:pStyle w:val="Normal"/>
      </w:pPr>
      <w:r>
        <w:t xml:space="preserve">d) De enseñanza y aprendizaje — Sí: la nombró como la relación que ocurre en la propia clase.</w:t>
      </w:r>
    </w:p>
    <w:p>
      <w:pPr>
        <w:pStyle w:val="Normal"/>
      </w:pPr>
      <w:r>
        <w:t xml:space="preserve">e) De propiedad intelectual — No aparece en la enumeración.</w:t>
      </w:r>
    </w:p>
    <w:p>
      <w:pPr>
        <w:pStyle w:val="Normal"/>
      </w:pPr>
      <w:r>
        <w:t xml:space="preserve">Criterio de resolución: Ampliar el repertorio de tipos de relación ayuda a modelar: quien sólo ve relaciones de causa material se pierde las de información, las emocionales y las de aprendizaje, que en sistemas humanos suelen ser las decisivas.</w:t>
      </w:r>
    </w:p>
    <w:p>
      <w:pPr>
        <w:pStyle w:val="Fuente"/>
      </w:pPr>
      <w:r>
        <w:t xml:space="preserve">Clase 12 · 00:47:10–00:48:55 · Clase 13 · 00:18:31–00:20:14</w:t>
      </w:r>
    </w:p>
    <w:p>
      <w:pPr>
        <w:pStyle w:val="Heading3"/>
      </w:pPr>
      <w:bookmarkStart w:name="b_solucion_p2t_24_logistica_seg_c67ace06" w:id="6560"/>
      <w:r>
        <w:t xml:space="preserve">Solución S2-202</w:t>
      </w:r>
      <w:bookmarkEnd w:id="6560"/>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b) Presencial, a lápiz y papel, con preguntas sobre la temática y modelos que se entregan hechos para interpretarlos o se plantean como historia para diagramarlos</w:t>
            </w:r>
          </w:p>
        </w:tc>
      </w:tr>
    </w:tbl>
    <w:p>
      <w:pPr>
        <w:pStyle w:val="Normal"/>
      </w:pPr>
      <w:r>
        <w:t xml:space="preserve">a) Virtual en la plataforma, con preguntas de selección múltiple — La recuperación del primer parcial fue virtual; el parcial en sí no.</w:t>
      </w:r>
    </w:p>
    <w:p>
      <w:pPr>
        <w:pStyle w:val="Normal"/>
      </w:pPr>
      <w:r>
        <w:t xml:space="preserve">b) Presencial, a lápiz y papel, con preguntas sobre la temática y modelos que se entregan hechos para interpretarlos o se plantean como historia para diagramarlos — Correcta: el profesor lo describió así al responder una pregunta del chat en la última clase.</w:t>
      </w:r>
    </w:p>
    <w:p>
      <w:pPr>
        <w:pStyle w:val="Normal"/>
      </w:pPr>
      <w:r>
        <w:t xml:space="preserve">c) Una entrega de un mapa construido en casa — No se anunció ninguna entrega domiciliaria.</w:t>
      </w:r>
    </w:p>
    <w:p>
      <w:pPr>
        <w:pStyle w:val="Normal"/>
      </w:pPr>
      <w:r>
        <w:t xml:space="preserve">d) Oral, por videollamada — Tampoco.</w:t>
      </w:r>
    </w:p>
    <w:p>
      <w:pPr>
        <w:pStyle w:val="Normal"/>
      </w:pPr>
      <w:r>
        <w:t xml:space="preserve">Criterio de resolución: El formato se mantiene igual que en el primer parcial: papel y lápiz, sin computadora. Si se pide un mapa, se dibuja a mano con la misma sintaxis, incluidos los signos de polaridad y, si hace falta, el ojo y el punto de un mapa DSRP.</w:t>
      </w:r>
    </w:p>
    <w:p>
      <w:pPr>
        <w:pStyle w:val="Fuente"/>
      </w:pPr>
      <w:r>
        <w:t xml:space="preserve">Clase 16 · 01:45:42–01:47:22</w:t>
      </w:r>
    </w:p>
    <w:p>
      <w:pPr>
        <w:pStyle w:val="Heading3"/>
      </w:pPr>
      <w:bookmarkStart w:name="b_solucion_p2t_25_cinco_habitos_complejo" w:id="6561"/>
      <w:r>
        <w:t xml:space="preserve">Solución S2-203</w:t>
      </w:r>
      <w:bookmarkEnd w:id="6561"/>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a) Observa cómo los elementos cambian en el tiempo, generando patrones y tendencias</w:t>
            </w:r>
          </w:p>
          <w:p>
            <w:pPr>
              <w:pStyle w:val="Recuadro"/>
            </w:pPr>
            <w:r>
              <w:t xml:space="preserve">b) Hace conexiones significativas dentro y entre sistemas</w:t>
            </w:r>
          </w:p>
          <w:p>
            <w:pPr>
              <w:pStyle w:val="Recuadro"/>
            </w:pPr>
            <w:r>
              <w:t xml:space="preserve">d) Identifica la naturaleza circular de las relaciones de causa y efecto</w:t>
            </w:r>
          </w:p>
          <w:p>
            <w:pPr>
              <w:pStyle w:val="Recuadro"/>
            </w:pPr>
            <w:r>
              <w:t xml:space="preserve">e) Reconoce que la estructura de un sistema genera su comportamiento</w:t>
            </w:r>
          </w:p>
          <w:p>
            <w:pPr>
              <w:pStyle w:val="Recuadro"/>
            </w:pPr>
            <w:r>
              <w:t xml:space="preserve">f) Reconoce el impacto de las demoras de tiempo</w:t>
            </w:r>
          </w:p>
        </w:tc>
      </w:tr>
    </w:tbl>
    <w:p>
      <w:pPr>
        <w:pStyle w:val="Normal"/>
      </w:pPr>
      <w:r>
        <w:t xml:space="preserve">a) Observa cómo los elementos cambian en el tiempo, generando patrones y tendencias — Sí: patrones y tendencias es la primera tarjeta de la banda.</w:t>
      </w:r>
    </w:p>
    <w:p>
      <w:pPr>
        <w:pStyle w:val="Normal"/>
      </w:pPr>
      <w:r>
        <w:t xml:space="preserve">b) Hace conexiones significativas dentro y entre sistemas — Sí: conexiones significativas.</w:t>
      </w:r>
    </w:p>
    <w:p>
      <w:pPr>
        <w:pStyle w:val="Normal"/>
      </w:pPr>
      <w:r>
        <w:t xml:space="preserve">c) Cambia de perspectivas para aumentar la comprensión — No: cambiar de perspectivas está entre los nueve hábitos del pensador sistémico, no en la banda de los cinco del pensamiento complejo.</w:t>
      </w:r>
    </w:p>
    <w:p>
      <w:pPr>
        <w:pStyle w:val="Normal"/>
      </w:pPr>
      <w:r>
        <w:t xml:space="preserve">d) Identifica la naturaleza circular de las relaciones de causa y efecto — Sí: causalidad circular.</w:t>
      </w:r>
    </w:p>
    <w:p>
      <w:pPr>
        <w:pStyle w:val="Normal"/>
      </w:pPr>
      <w:r>
        <w:t xml:space="preserve">e) Reconoce que la estructura de un sistema genera su comportamiento — Sí: la estructura genera el comportamiento.</w:t>
      </w:r>
    </w:p>
    <w:p>
      <w:pPr>
        <w:pStyle w:val="Normal"/>
      </w:pPr>
      <w:r>
        <w:t xml:space="preserve">f) Reconoce el impacto de las demoras de tiempo — Sí: el impacto de las demoras.</w:t>
      </w:r>
    </w:p>
    <w:p>
      <w:pPr>
        <w:pStyle w:val="Normal"/>
      </w:pPr>
      <w:r>
        <w:t xml:space="preserve">g) Identifica dónde una pequeña acción produce un cambio grande: el apalancamiento — No: el apalancamiento pertenece a los hábitos de toma de decisiones, fuera de la banda de estructuras.</w:t>
      </w:r>
    </w:p>
    <w:p>
      <w:pPr>
        <w:pStyle w:val="Normal"/>
      </w:pPr>
      <w:r>
        <w:t xml:space="preserve">Criterio de resolución: La lámina de la clase 15 reúne las cinco tarjetas de la banda de estructuras sistémicas: patrones y tendencias, conexiones significativas, causalidad circular, la estructura que genera el comportamiento y el impacto de las demoras. Son los cinco hábitos del tema 3.9; los demás hábitos del pensador sistémico se estudian en otros temas del curso.</w:t>
      </w:r>
    </w:p>
    <w:p>
      <w:pPr>
        <w:pStyle w:val="Fuente"/>
      </w:pPr>
      <w:r>
        <w:t xml:space="preserve">Clase 15 · 00:07:41 · lámina 1</w:t>
      </w:r>
    </w:p>
    <w:p>
      <w:pPr>
        <w:pStyle w:val="Heading3"/>
      </w:pPr>
      <w:bookmarkStart w:name="b_solucion_p2t_26_explorar_estr_d8907f2a" w:id="6562"/>
      <w:r>
        <w:t xml:space="preserve">Solución S2-204</w:t>
      </w:r>
      <w:bookmarkEnd w:id="6562"/>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b) Dejar la culpa a un lado, preguntar qué tiene el problema que todavía no entendemos, describirlo en los tres niveles del iceberg y recoger las perspectivas de las distintas áreas</w:t>
            </w:r>
          </w:p>
        </w:tc>
      </w:tr>
    </w:tbl>
    <w:p>
      <w:pPr>
        <w:pStyle w:val="Normal"/>
      </w:pPr>
      <w:r>
        <w:t xml:space="preserve">a) Fijar primero al responsable, porque sin culpable no hay corrección posible — Asignar culpa es justo lo que la lámina recomienda evitar: desplaza la atención de la estructura a las personas.</w:t>
      </w:r>
    </w:p>
    <w:p>
      <w:pPr>
        <w:pStyle w:val="Normal"/>
      </w:pPr>
      <w:r>
        <w:t xml:space="preserve">b) Dejar la culpa a un lado, preguntar qué tiene el problema que todavía no entendemos, describirlo en los tres niveles del iceberg y recoger las perspectivas de las distintas áreas — Correcta: son los cuatro movimientos de la lámina: evitar la culpa, enfocar con la pregunta, mirar los tres ángulos del iceberg y sumar perspectivas.</w:t>
      </w:r>
    </w:p>
    <w:p>
      <w:pPr>
        <w:pStyle w:val="Normal"/>
      </w:pPr>
      <w:r>
        <w:t xml:space="preserve">c) Cerrar la reunión hasta tener los datos del último mes — Los datos ayudan a ver patrones, pero la recomendación no es posponer, sino cambiar la pregunta.</w:t>
      </w:r>
    </w:p>
    <w:p>
      <w:pPr>
        <w:pStyle w:val="Normal"/>
      </w:pPr>
      <w:r>
        <w:t xml:space="preserve">d) Reemplazar la conversación por un diagrama que alguien dibuje a solas — El hábito busca precisamente conversar desde varias perspectivas; un diagrama a solas pierde esa parte.</w:t>
      </w:r>
    </w:p>
    <w:p>
      <w:pPr>
        <w:pStyle w:val="Normal"/>
      </w:pPr>
      <w:r>
        <w:t xml:space="preserve">Criterio de resolución: Explorar estructuras sistémicas empieza por renunciar a la pregunta «¿quién tuvo la culpa?» y sustituirla por «¿qué tiene este problema que no entendemos?». Después se describe el problema desde los eventos, los patrones y la estructura del iceberg, y se recogen las perspectivas de las áreas involucradas: la estructura que produce el atraso rara vez se ve desde una sola silla.</w:t>
      </w:r>
    </w:p>
    <w:p>
      <w:pPr>
        <w:pStyle w:val="Fuente"/>
      </w:pPr>
      <w:r>
        <w:t xml:space="preserve">Clase 16 · 00:21:29 · lámina 3</w:t>
      </w:r>
    </w:p>
    <w:p>
      <w:pPr>
        <w:pStyle w:val="Heading3"/>
      </w:pPr>
      <w:bookmarkStart w:name="b_solucion_p2t_27_habitos_empar_8ca4dbd1" w:id="6563"/>
      <w:r>
        <w:t xml:space="preserve">Solución S2-205</w:t>
      </w:r>
      <w:bookmarkEnd w:id="6563"/>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No descartar la campaña porque en un mes no subieron las ventas: esperar el tiempo que tarda el efecto → Reconoce el impacto de las demoras</w:t>
            </w:r>
          </w:p>
          <w:p>
            <w:pPr>
              <w:pStyle w:val="Recuadro"/>
            </w:pPr>
            <w:r>
              <w:t xml:space="preserve">Graficar las quejas mes a mes en vez de reaccionar sólo a la queja de hoy → Observa patrones y tendencias en el tiempo</w:t>
            </w:r>
          </w:p>
          <w:p>
            <w:pPr>
              <w:pStyle w:val="Recuadro"/>
            </w:pPr>
            <w:r>
              <w:t xml:space="preserve">Preguntar qué diseño del sistema hace que siempre falte personal a fin de mes, en lugar de culpar al turno → Reconoce que la estructura genera el comportamiento</w:t>
            </w:r>
          </w:p>
          <w:p>
            <w:pPr>
              <w:pStyle w:val="Recuadro"/>
            </w:pPr>
            <w:r>
              <w:t xml:space="preserve">Mostrar que las ventas alimentan los comentarios que, a su vez, traen más ventas → Identifica la causalidad circular</w:t>
            </w:r>
          </w:p>
        </w:tc>
      </w:tr>
    </w:tbl>
    <w:p>
      <w:pPr>
        <w:pStyle w:val="Normal"/>
      </w:pPr>
      <w:r>
        <w:t xml:space="preserve">Distractor sin fila correspondiente: Hace conexiones significativas.</w:t>
      </w:r>
    </w:p>
    <w:p>
      <w:pPr>
        <w:pStyle w:val="Normal"/>
      </w:pPr>
      <w:r>
        <w:t xml:space="preserve">Criterio de resolución: Cada hábito cambia una decisión concreta: esperar el efecto antes de juzgar es reconocer la demora; mirar la serie de quejas es buscar el patrón; preguntar por el diseño del sistema es asumir que la estructura genera el comportamiento; y cerrar el lazo entre ventas y comentarios es ver la causalidad circular. «Hace conexiones significativas» queda como distractor: conecta partes y sistemas, pero no es lo que guía ninguna de las cuatro decisiones.</w:t>
      </w:r>
    </w:p>
    <w:p>
      <w:pPr>
        <w:pStyle w:val="Fuente"/>
        <w:sectPr>
          <w:headerReference w:type="default" r:id="rId324"/>
          <w:headerReference w:type="first" r:id="rId325"/>
          <w:headerReference w:type="even" r:id="rId326"/>
          <w:footerReference w:type="default" r:id="rId327"/>
          <w:footerReference w:type="first" r:id="rId328"/>
          <w:footerReference w:type="even" r:id="rId329"/>
          <w:type w:val="nextPage"/>
          <w:pgSz w:w="12240" w:h="15840" w:orient="portrait"/>
          <w:pgMar w:top="1361" w:right="1134" w:bottom="1361" w:left="1474" w:header="650" w:footer="680" w:gutter="0"/>
          <w:pgNumType/>
          <w:titlePg/>
          <w:docGrid w:linePitch="360"/>
        </w:sectPr>
      </w:pPr>
      <w:r>
        <w:t xml:space="preserve">Clase 15 · 00:07:41 · lámina 1 · Clase 16 · lámina 3</w:t>
      </w:r>
    </w:p>
    <w:p>
      <w:pPr>
        <w:pStyle w:val="Heading2"/>
      </w:pPr>
      <w:bookmarkStart w:name="b_banco_p3" w:id="6564"/>
      <w:r>
        <w:t xml:space="preserve">Banco completo del tercer parcial</w:t>
      </w:r>
      <w:bookmarkEnd w:id="6564"/>
    </w:p>
    <w:p>
      <w:pPr>
        <w:pStyle w:val="Normal"/>
      </w:pPr>
      <w:r>
        <w:t xml:space="preserve">94 preguntas editoriales. Un intento del simulador sortea 20 en 100 minutos; la evaluación y sus variantes están resueltas en la Parte V. El simulacro escrito añade siete abiertas a 14 cerradas, con reparto editorial.</w:t>
      </w:r>
    </w:p>
    <w:p>
      <w:pPr>
        <w:pStyle w:val="Heading3"/>
      </w:pPr>
      <w:r>
        <w:t xml:space="preserve">Tema 4.1 · Arquetipos sistémicos</w:t>
      </w:r>
    </w:p>
    <w:p>
      <w:pPr>
        <w:pStyle w:val="Heading3"/>
      </w:pPr>
      <w:bookmarkStart w:name="b_pregunta_p3c_01_origen_de_los_2fe0bc28" w:id="6565"/>
      <w:r>
        <w:t xml:space="preserve">S3-1 · Unidad 4 · 4.1 · Arquetipos: de dónde vienen</w:t>
      </w:r>
      <w:bookmarkEnd w:id="6565"/>
    </w:p>
    <w:p>
      <w:pPr>
        <w:pStyle w:val="Normal"/>
      </w:pPr>
      <w:r>
        <w:t xml:space="preserve">Según la lectura de Valentini, ¿cuáles de las siguientes afirmaciones sobre el origen de los arquetipos sistémicos son correctas?</w:t>
      </w:r>
    </w:p>
    <w:p>
      <w:pPr>
        <w:pStyle w:val="Fuente"/>
      </w:pPr>
      <w:r>
        <w:t xml:space="preserve">Ordinal de la fuente: 1 · complemento editorial.</w:t>
      </w:r>
    </w:p>
    <w:p>
      <w:pPr>
        <w:pStyle w:val="Normal"/>
      </w:pPr>
      <w:r>
        <w:t xml:space="preserve">a) La palabra viene del griego Archetypos, que significa «modelo primitivo u original»</w:t>
      </w:r>
    </w:p>
    <w:p>
      <w:pPr>
        <w:pStyle w:val="Normal"/>
      </w:pPr>
      <w:r>
        <w:t xml:space="preserve">b) Fueron desarrollados en Innovation Associates a mediados de los años ochenta</w:t>
      </w:r>
    </w:p>
    <w:p>
      <w:pPr>
        <w:pStyle w:val="Normal"/>
      </w:pPr>
      <w:r>
        <w:t xml:space="preserve">c) Jay Forrester dibujó los ocho diagramas originales en los años sesenta</w:t>
      </w:r>
    </w:p>
    <w:p>
      <w:pPr>
        <w:pStyle w:val="Normal"/>
      </w:pPr>
      <w:r>
        <w:t xml:space="preserve">d) Algunos, como «Límites del crecimiento» y «Desplazamiento de la carga», son traducciones de las «estructuras genéricas» de Forrester</w:t>
      </w:r>
    </w:p>
    <w:p>
      <w:pPr>
        <w:pStyle w:val="Normal"/>
      </w:pPr>
      <w:r>
        <w:t xml:space="preserve">e) La lista de Valentini trae ocho arquetipos, los mismos de la hoja de Pegasus</w:t>
      </w:r>
    </w:p>
    <w:p>
      <w:pPr>
        <w:pStyle w:val="Heading3"/>
      </w:pPr>
      <w:bookmarkStart w:name="b_pregunta_p3c_02_los_dos_de_valentini" w:id="6566"/>
      <w:r>
        <w:t xml:space="preserve">S3-2 · Unidad 4 · 4.1 · Arquetipos: las dos fuentes del curso</w:t>
      </w:r>
      <w:bookmarkEnd w:id="6566"/>
    </w:p>
    <w:p>
      <w:pPr>
        <w:pStyle w:val="Normal"/>
      </w:pPr>
      <w:r>
        <w:t xml:space="preserve">La presentación 4b reúne diez arquetipos. ¿Cuáles de ellos NO están en la hoja «Arquetipos sistémicos de un vistazo» de Pegasus y vienen de la lectura de Valentini?</w:t>
      </w:r>
    </w:p>
    <w:p>
      <w:pPr>
        <w:pStyle w:val="Fuente"/>
      </w:pPr>
      <w:r>
        <w:t xml:space="preserve">Ordinal de la fuente: 2 · complemento editorial.</w:t>
      </w:r>
    </w:p>
    <w:p>
      <w:pPr>
        <w:pStyle w:val="Normal"/>
      </w:pPr>
      <w:r>
        <w:t xml:space="preserve">a) Compensación entre proceso y demora</w:t>
      </w:r>
    </w:p>
    <w:p>
      <w:pPr>
        <w:pStyle w:val="Normal"/>
      </w:pPr>
      <w:r>
        <w:t xml:space="preserve">b) Erosión de metas</w:t>
      </w:r>
    </w:p>
    <w:p>
      <w:pPr>
        <w:pStyle w:val="Normal"/>
      </w:pPr>
      <w:r>
        <w:t xml:space="preserve">c) Desplazamiento de la carga hacia la intervención</w:t>
      </w:r>
    </w:p>
    <w:p>
      <w:pPr>
        <w:pStyle w:val="Normal"/>
      </w:pPr>
      <w:r>
        <w:t xml:space="preserve">d) Crecimiento y subinversión</w:t>
      </w:r>
    </w:p>
    <w:p>
      <w:pPr>
        <w:pStyle w:val="Normal"/>
      </w:pPr>
      <w:r>
        <w:t xml:space="preserve">e) Éxito para quien tiene éxito</w:t>
      </w:r>
    </w:p>
    <w:p>
      <w:pPr>
        <w:pStyle w:val="Heading3"/>
      </w:pPr>
      <w:bookmarkStart w:name="b_pregunta_p3c_03_sintomas_de_a_ae16361e" w:id="6567"/>
      <w:r>
        <w:t xml:space="preserve">S3-3 · Unidad 4 · 4.1 · Arquetipos: síntomas de advertencia</w:t>
      </w:r>
      <w:bookmarkEnd w:id="6567"/>
    </w:p>
    <w:p>
      <w:pPr>
        <w:pStyle w:val="Normal"/>
      </w:pPr>
      <w:r>
        <w:t xml:space="preserve">La lectura de Valentini acompaña cada arquetipo con un «síntoma de advertencia», una frase que se oye cuando el arquetipo está actuando. Empareje cada frase con su arquetipo.</w:t>
      </w:r>
    </w:p>
    <w:p>
      <w:pPr>
        <w:pStyle w:val="Fuente"/>
      </w:pPr>
      <w:r>
        <w:t xml:space="preserve">Ordinal de la fuente: 3 · complemento editorial.</w:t>
      </w:r>
    </w:p>
    <w:p>
      <w:pPr>
        <w:pStyle w:val="Normal"/>
      </w:pPr>
      <w:r>
        <w:t xml:space="preserve">a) Fila: «Siempre funcionó antes. ¿Por qué no funciona ahora?»</w:t>
      </w:r>
    </w:p>
    <w:p>
      <w:pPr>
        <w:pStyle w:val="Normal"/>
      </w:pPr>
      <w:r>
        <w:t xml:space="preserve">b) Fila: «No importa que nuestras pautas de desempeño se deterioren un poco, sólo hasta que termine la crisis»</w:t>
      </w:r>
    </w:p>
    <w:p>
      <w:pPr>
        <w:pStyle w:val="Normal"/>
      </w:pPr>
      <w:r>
        <w:t xml:space="preserve">c) Fila: «Si nuestro oponente se aplacara, podríamos dejar de librar esta batalla para hacer otras cosas»</w:t>
      </w:r>
    </w:p>
    <w:p>
      <w:pPr>
        <w:pStyle w:val="Normal"/>
      </w:pPr>
      <w:r>
        <w:t xml:space="preserve">d) Fila: «¡Esta solución ha funcionado hasta ahora! ¿Quién dice que nos esperan problemas?»</w:t>
      </w:r>
    </w:p>
    <w:p>
      <w:pPr>
        <w:pStyle w:val="Normal"/>
      </w:pPr>
      <w:r>
        <w:t xml:space="preserve">e) Fila: «Bien, éramos los mejores, y lo seremos de nuevo, pero ahora tenemos que conservar los recursos y no invertir en exceso»</w:t>
      </w:r>
    </w:p>
    <w:p>
      <w:pPr>
        <w:pStyle w:val="Normal"/>
      </w:pPr>
      <w:r>
        <w:t xml:space="preserve">f) a) Soluciones rápidas que fallan</w:t>
      </w:r>
    </w:p>
    <w:p>
      <w:pPr>
        <w:pStyle w:val="Normal"/>
      </w:pPr>
      <w:r>
        <w:t xml:space="preserve">g) b) Erosión de metas</w:t>
      </w:r>
    </w:p>
    <w:p>
      <w:pPr>
        <w:pStyle w:val="Normal"/>
      </w:pPr>
      <w:r>
        <w:t xml:space="preserve">h) c) Escalada</w:t>
      </w:r>
    </w:p>
    <w:p>
      <w:pPr>
        <w:pStyle w:val="Normal"/>
      </w:pPr>
      <w:r>
        <w:t xml:space="preserve">i) d) Desplazamiento de la carga</w:t>
      </w:r>
    </w:p>
    <w:p>
      <w:pPr>
        <w:pStyle w:val="Normal"/>
      </w:pPr>
      <w:r>
        <w:t xml:space="preserve">j) e) Crecimiento y subinversión</w:t>
      </w:r>
    </w:p>
    <w:p>
      <w:pPr>
        <w:pStyle w:val="Normal"/>
      </w:pPr>
      <w:r>
        <w:t xml:space="preserve">k) f) Límites del crecimiento</w:t>
      </w:r>
    </w:p>
    <w:p>
      <w:pPr>
        <w:pStyle w:val="Normal"/>
      </w:pPr>
      <w:r>
        <w:t xml:space="preserve">l) g) Tragedia del terreno común</w:t>
      </w:r>
    </w:p>
    <w:p>
      <w:pPr>
        <w:pStyle w:val="Heading3"/>
      </w:pPr>
      <w:bookmarkStart w:name="b_pregunta_p3c_04_principios_ad_7feb9ec8" w:id="6568"/>
      <w:r>
        <w:t xml:space="preserve">S3-4 · Unidad 4 · 4.1 · Arquetipos: principios administrativos</w:t>
      </w:r>
      <w:bookmarkEnd w:id="6568"/>
    </w:p>
    <w:p>
      <w:pPr>
        <w:pStyle w:val="Normal"/>
      </w:pPr>
      <w:r>
        <w:t xml:space="preserve">Empareje cada «principio administrativo» de la lectura de Valentini con el arquetipo al que corresponde.</w:t>
      </w:r>
    </w:p>
    <w:p>
      <w:pPr>
        <w:pStyle w:val="Fuente"/>
      </w:pPr>
      <w:r>
        <w:t xml:space="preserve">Ordinal de la fuente: 4 · complemento editorial.</w:t>
      </w:r>
    </w:p>
    <w:p>
      <w:pPr>
        <w:pStyle w:val="Normal"/>
      </w:pPr>
      <w:r>
        <w:t xml:space="preserve">a) Fila: «No presiones el proceso reforzador (de crecimiento); elimina (o debilita) el factor limitativo.»</w:t>
      </w:r>
    </w:p>
    <w:p>
      <w:pPr>
        <w:pStyle w:val="Normal"/>
      </w:pPr>
      <w:r>
        <w:t xml:space="preserve">b) Fila: «Sostén la visión.»</w:t>
      </w:r>
    </w:p>
    <w:p>
      <w:pPr>
        <w:pStyle w:val="Normal"/>
      </w:pPr>
      <w:r>
        <w:t xml:space="preserve">c) Fila: «Enseña a la gente a pescar, en vez de darle pescado»</w:t>
      </w:r>
    </w:p>
    <w:p>
      <w:pPr>
        <w:pStyle w:val="Normal"/>
      </w:pPr>
      <w:r>
        <w:t xml:space="preserve">d) Fila: «En un sistema lento, la agresividad produce inestabilidad. Debes ser paciente o lograr que el sistema reaccione mejor.»</w:t>
      </w:r>
    </w:p>
    <w:p>
      <w:pPr>
        <w:pStyle w:val="Normal"/>
      </w:pPr>
      <w:r>
        <w:t xml:space="preserve">e) Fila: Administrar el terreno común educando a todos y creando formas de autorregulación y presiones de pares, o mediante un mecanismo de regulación oficial</w:t>
      </w:r>
    </w:p>
    <w:p>
      <w:pPr>
        <w:pStyle w:val="Normal"/>
      </w:pPr>
      <w:r>
        <w:t xml:space="preserve">f) a) Límites del crecimiento</w:t>
      </w:r>
    </w:p>
    <w:p>
      <w:pPr>
        <w:pStyle w:val="Normal"/>
      </w:pPr>
      <w:r>
        <w:t xml:space="preserve">g) b) Erosión de metas</w:t>
      </w:r>
    </w:p>
    <w:p>
      <w:pPr>
        <w:pStyle w:val="Normal"/>
      </w:pPr>
      <w:r>
        <w:t xml:space="preserve">h) c) Desplazamiento de la carga hacia la intervención</w:t>
      </w:r>
    </w:p>
    <w:p>
      <w:pPr>
        <w:pStyle w:val="Normal"/>
      </w:pPr>
      <w:r>
        <w:t xml:space="preserve">i) d) Compensación entre proceso y demora</w:t>
      </w:r>
    </w:p>
    <w:p>
      <w:pPr>
        <w:pStyle w:val="Normal"/>
      </w:pPr>
      <w:r>
        <w:t xml:space="preserve">j) e) Tragedia del terreno común</w:t>
      </w:r>
    </w:p>
    <w:p>
      <w:pPr>
        <w:pStyle w:val="Normal"/>
      </w:pPr>
      <w:r>
        <w:t xml:space="preserve">k) f) Éxito para quien tiene éxito</w:t>
      </w:r>
    </w:p>
    <w:p>
      <w:pPr>
        <w:pStyle w:val="Normal"/>
      </w:pPr>
      <w:r>
        <w:t xml:space="preserve">l) g) Escalada</w:t>
      </w:r>
    </w:p>
    <w:p>
      <w:pPr>
        <w:pStyle w:val="Heading3"/>
      </w:pPr>
      <w:bookmarkStart w:name="b_pregunta_p3c_05_diagrama_desp_bc08f3f6" w:id="6569"/>
      <w:r>
        <w:t xml:space="preserve">S3-5 · Unidad 4 · 4.1 · Arquetipos: leer un diagrama de Pegasus</w:t>
      </w:r>
      <w:bookmarkEnd w:id="6569"/>
    </w:p>
    <w:p>
      <w:pPr>
        <w:pStyle w:val="Normal"/>
      </w:pPr>
      <w:r>
        <w:t xml:space="preserve">La figura muestra el diagrama de un arquetipo de la hoja de Pegasus sin las letras de sus ciclos. ¿Qué afirmaciones son correctas?</w:t>
      </w:r>
    </w:p>
    <w:p>
      <w:pPr>
        <w:pStyle w:val="Fuente"/>
      </w:pPr>
      <w:r>
        <w:t xml:space="preserve">Ordinal de la fuente: 5 · complemento editorial.</w:t>
      </w:r>
    </w:p>
    <w:p>
      <w:pPr>
        <w:keepNext/>
        <w:spacing w:after="40" w:before="150"/>
        <w:jc w:val="center"/>
      </w:pPr>
      <w:bookmarkStart w:name="b_figura_original_p3c_05_diagra_19d8e6cb" w:id="6570"/>
      <w:bookmarkEnd w:id="6570"/>
      <w:r>
        <w:drawing>
          <wp:inline distT="0" distB="0" distL="0" distR="0">
            <wp:extent cx="5381625" cy="4410075"/>
            <wp:effectExtent t="0" r="0" b="0" l="0"/>
            <wp:docPr id="267" name="p3c-05-diagrama-desplazamiento-enunciado" descr="lectura L-17 · Presentación 4b (C-4), láminas 15 y 16" title="Unidad 4 · 4.1 · Arquetipos: leer un diagrama de Pegas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28" cstate="none"/>
                    <a:srcRect/>
                    <a:stretch>
                      <a:fillRect/>
                    </a:stretch>
                  </pic:blipFill>
                  <pic:spPr bwMode="auto">
                    <a:xfrm>
                      <a:off x="0" y="0"/>
                      <a:ext cx="5381625" cy="4410075"/>
                    </a:xfrm>
                    <a:prstGeom prst="rect">
                      <a:avLst/>
                    </a:prstGeom>
                  </pic:spPr>
                </pic:pic>
              </a:graphicData>
            </a:graphic>
          </wp:inline>
        </w:drawing>
      </w:r>
    </w:p>
    <w:p>
      <w:pPr>
        <w:pStyle w:val="PieFigura"/>
        <w:keepNext/>
      </w:pPr>
      <w:bookmarkStart w:name="b_fig_S3_1" w:id="6571"/>
      <w:r>
        <w:t xml:space="preserve">Figura S3.</w:t>
      </w:r>
      <w:fldSimple w:instr="SEQ Figura \r 1 \* ARABIC">
        <w:r>
          <w:t xml:space="preserve">1</w:t>
        </w:r>
      </w:fldSimple>
      <w:r>
        <w:t xml:space="preserve"> · Unidad 4 · 4.1 · Arquetipos: leer un diagrama de Pegasus</w:t>
      </w:r>
      <w:bookmarkEnd w:id="6571"/>
    </w:p>
    <w:p>
      <w:pPr>
        <w:pStyle w:val="Fuente"/>
      </w:pPr>
      <w:r>
        <w:t xml:space="preserve">lectura L-17 · Presentación 4b (C-4), láminas 15 y 16</w:t>
      </w:r>
    </w:p>
    <w:p>
      <w:pPr>
        <w:pStyle w:val="Normal"/>
      </w:pPr>
      <w:r>
        <w:t xml:space="preserve">a) Es el arquetipo «Desplazamiento de la carga»</w:t>
      </w:r>
    </w:p>
    <w:p>
      <w:pPr>
        <w:pStyle w:val="Normal"/>
      </w:pPr>
      <w:r>
        <w:t xml:space="preserve">b) Tiene dos ciclos de balance y uno de refuerzo</w:t>
      </w:r>
    </w:p>
    <w:p>
      <w:pPr>
        <w:pStyle w:val="Normal"/>
      </w:pPr>
      <w:r>
        <w:t xml:space="preserve">c) Es «Soluciones rápidas que fallan»: la solución sintomática agudiza el síntoma</w:t>
      </w:r>
    </w:p>
    <w:p>
      <w:pPr>
        <w:pStyle w:val="Normal"/>
      </w:pPr>
      <w:r>
        <w:t xml:space="preserve">d) La demora está en la solución del síntoma, y por eso alivia tan rápido</w:t>
      </w:r>
    </w:p>
    <w:p>
      <w:pPr>
        <w:pStyle w:val="Normal"/>
      </w:pPr>
      <w:r>
        <w:t xml:space="preserve">e) El efecto lateral fortalece la solución fundamental</w:t>
      </w:r>
    </w:p>
    <w:p>
      <w:pPr>
        <w:pStyle w:val="Heading3"/>
      </w:pPr>
      <w:bookmarkStart w:name="b_pregunta_p3c_06_contar_ciclos_tragedia" w:id="6572"/>
      <w:r>
        <w:t xml:space="preserve">S3-6 · Unidad 4 · 4.1 · Arquetipos: contar los ciclos</w:t>
      </w:r>
      <w:bookmarkEnd w:id="6572"/>
    </w:p>
    <w:p>
      <w:pPr>
        <w:pStyle w:val="Normal"/>
      </w:pPr>
      <w:r>
        <w:t xml:space="preserve">El modelo de la figura es el de un arquetipo de la hoja de Pegasus, sin las letras de sus ciclos. ¿Cuántos ciclos de cada tipo tiene?</w:t>
      </w:r>
    </w:p>
    <w:p>
      <w:pPr>
        <w:pStyle w:val="Fuente"/>
      </w:pPr>
      <w:r>
        <w:t xml:space="preserve">Ordinal de la fuente: 6 · complemento editorial.</w:t>
      </w:r>
    </w:p>
    <w:p>
      <w:pPr>
        <w:keepNext/>
        <w:spacing w:after="40" w:before="150"/>
        <w:jc w:val="center"/>
      </w:pPr>
      <w:bookmarkStart w:name="b_figura_original_p3c_06_contar_4c29aa69" w:id="6573"/>
      <w:bookmarkEnd w:id="6573"/>
      <w:r>
        <w:drawing>
          <wp:inline distT="0" distB="0" distL="0" distR="0">
            <wp:extent cx="5381625" cy="3962400"/>
            <wp:effectExtent t="0" r="0" b="0" l="0"/>
            <wp:docPr id="268" name="p3c-06-contar-ciclos-tragedia-enunciado" descr="lectura L-17" title="Unidad 4 · 4.1 · Arquetipos: contar los cicl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29" cstate="none"/>
                    <a:srcRect/>
                    <a:stretch>
                      <a:fillRect/>
                    </a:stretch>
                  </pic:blipFill>
                  <pic:spPr bwMode="auto">
                    <a:xfrm>
                      <a:off x="0" y="0"/>
                      <a:ext cx="5381625" cy="3962400"/>
                    </a:xfrm>
                    <a:prstGeom prst="rect">
                      <a:avLst/>
                    </a:prstGeom>
                  </pic:spPr>
                </pic:pic>
              </a:graphicData>
            </a:graphic>
          </wp:inline>
        </w:drawing>
      </w:r>
    </w:p>
    <w:p>
      <w:pPr>
        <w:pStyle w:val="PieFigura"/>
        <w:keepNext/>
      </w:pPr>
      <w:bookmarkStart w:name="b_fig_S3_2" w:id="6574"/>
      <w:r>
        <w:t xml:space="preserve">Figura S3.</w:t>
      </w:r>
      <w:fldSimple w:instr="SEQ Figura \n \* ARABIC">
        <w:r>
          <w:t xml:space="preserve">2</w:t>
        </w:r>
      </w:fldSimple>
      <w:r>
        <w:t xml:space="preserve"> · Unidad 4 · 4.1 · Arquetipos: contar los ciclos</w:t>
      </w:r>
      <w:bookmarkEnd w:id="6574"/>
    </w:p>
    <w:p>
      <w:pPr>
        <w:pStyle w:val="Fuente"/>
      </w:pPr>
      <w:r>
        <w:t xml:space="preserve">lectura L-17</w:t>
      </w:r>
    </w:p>
    <w:p>
      <w:pPr>
        <w:pStyle w:val="Normal"/>
      </w:pPr>
      <w:r>
        <w:t xml:space="preserve">a) Dos de refuerzo y dos de balance</w:t>
      </w:r>
    </w:p>
    <w:p>
      <w:pPr>
        <w:pStyle w:val="Normal"/>
      </w:pPr>
      <w:r>
        <w:t xml:space="preserve">b) Uno de refuerzo y tres de balance</w:t>
      </w:r>
    </w:p>
    <w:p>
      <w:pPr>
        <w:pStyle w:val="Normal"/>
      </w:pPr>
      <w:r>
        <w:t xml:space="preserve">c) Cuatro de balance</w:t>
      </w:r>
    </w:p>
    <w:p>
      <w:pPr>
        <w:pStyle w:val="Normal"/>
      </w:pPr>
      <w:r>
        <w:t xml:space="preserve">d) Dos de refuerzo y uno de balance</w:t>
      </w:r>
    </w:p>
    <w:p>
      <w:pPr>
        <w:pStyle w:val="Normal"/>
      </w:pPr>
      <w:r>
        <w:t xml:space="preserve">e) Uno de refuerzo y uno de balance</w:t>
      </w:r>
    </w:p>
    <w:p>
      <w:pPr>
        <w:pStyle w:val="Heading3"/>
      </w:pPr>
      <w:bookmarkStart w:name="b_pregunta_p3c_07_escalada_figura_de_8" w:id="6575"/>
      <w:r>
        <w:t xml:space="preserve">S3-7 · Unidad 4 · 4.1 · Arquetipos: la escalada</w:t>
      </w:r>
      <w:bookmarkEnd w:id="6575"/>
    </w:p>
    <w:p>
      <w:pPr>
        <w:pStyle w:val="Normal"/>
      </w:pPr>
      <w:r>
        <w:t xml:space="preserve">La figura es el diagrama de la escalada de la hoja de Pegasus, sin letras. ¿Qué afirmaciones son correctas?</w:t>
      </w:r>
    </w:p>
    <w:p>
      <w:pPr>
        <w:pStyle w:val="Fuente"/>
      </w:pPr>
      <w:r>
        <w:t xml:space="preserve">Ordinal de la fuente: 7 · complemento editorial.</w:t>
      </w:r>
    </w:p>
    <w:p>
      <w:pPr>
        <w:keepNext/>
        <w:spacing w:after="40" w:before="150"/>
        <w:jc w:val="center"/>
      </w:pPr>
      <w:bookmarkStart w:name="b_figura_original_p3c_07_escala_03205aed" w:id="6576"/>
      <w:bookmarkEnd w:id="6576"/>
      <w:r>
        <w:drawing>
          <wp:inline distT="0" distB="0" distL="0" distR="0">
            <wp:extent cx="5381625" cy="3276600"/>
            <wp:effectExtent t="0" r="0" b="0" l="0"/>
            <wp:docPr id="269" name="p3c-07-escalada-figura-de-8-enunciado" descr="lectura L-17 · lectura L-18 · lectura L-19, pág. 4" title="Unidad 4 · 4.1 · Arquetipos: la escala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30" cstate="none"/>
                    <a:srcRect/>
                    <a:stretch>
                      <a:fillRect/>
                    </a:stretch>
                  </pic:blipFill>
                  <pic:spPr bwMode="auto">
                    <a:xfrm>
                      <a:off x="0" y="0"/>
                      <a:ext cx="5381625" cy="3276600"/>
                    </a:xfrm>
                    <a:prstGeom prst="rect">
                      <a:avLst/>
                    </a:prstGeom>
                  </pic:spPr>
                </pic:pic>
              </a:graphicData>
            </a:graphic>
          </wp:inline>
        </w:drawing>
      </w:r>
    </w:p>
    <w:p>
      <w:pPr>
        <w:pStyle w:val="PieFigura"/>
        <w:keepNext/>
      </w:pPr>
      <w:bookmarkStart w:name="b_fig_S3_3" w:id="6577"/>
      <w:r>
        <w:t xml:space="preserve">Figura S3.</w:t>
      </w:r>
      <w:fldSimple w:instr="SEQ Figura \n \* ARABIC">
        <w:r>
          <w:t xml:space="preserve">3</w:t>
        </w:r>
      </w:fldSimple>
      <w:r>
        <w:t xml:space="preserve"> · Unidad 4 · 4.1 · Arquetipos: la escalada</w:t>
      </w:r>
      <w:bookmarkEnd w:id="6577"/>
    </w:p>
    <w:p>
      <w:pPr>
        <w:pStyle w:val="Fuente"/>
      </w:pPr>
      <w:r>
        <w:t xml:space="preserve">lectura L-17 · lectura L-18 · lectura L-19, pág. 4</w:t>
      </w:r>
    </w:p>
    <w:p>
      <w:pPr>
        <w:pStyle w:val="Normal"/>
      </w:pPr>
      <w:r>
        <w:t xml:space="preserve">a) Tiene dos ciclos de balance, uno por cada parte</w:t>
      </w:r>
    </w:p>
    <w:p>
      <w:pPr>
        <w:pStyle w:val="Normal"/>
      </w:pPr>
      <w:r>
        <w:t xml:space="preserve">b) El refuerzo se advierte siguiendo la figura de 8 que forman los dos ciclos de balance</w:t>
      </w:r>
    </w:p>
    <w:p>
      <w:pPr>
        <w:pStyle w:val="Normal"/>
      </w:pPr>
      <w:r>
        <w:t xml:space="preserve">c) Tiene un tercer ciclo, de refuerzo, que la hoja marca con su propia letra</w:t>
      </w:r>
    </w:p>
    <w:p>
      <w:pPr>
        <w:pStyle w:val="Normal"/>
      </w:pPr>
      <w:r>
        <w:t xml:space="preserve">d) Cada parte reacciona a su resultado absoluto, sin compararse con la otra</w:t>
      </w:r>
    </w:p>
    <w:p>
      <w:pPr>
        <w:pStyle w:val="Normal"/>
      </w:pPr>
      <w:r>
        <w:t xml:space="preserve">e) La guía de Kim propone romperla aumentando la amenaza hasta que la otra parte ceda</w:t>
      </w:r>
    </w:p>
    <w:p>
      <w:pPr>
        <w:pStyle w:val="Heading3"/>
      </w:pPr>
      <w:bookmarkStart w:name="b_pregunta_p3c_08_erosion_instantanea" w:id="6578"/>
      <w:r>
        <w:t xml:space="preserve">S3-8 · Unidad 4 · 4.1 · Arquetipos: erosión de metas</w:t>
      </w:r>
      <w:bookmarkEnd w:id="6578"/>
    </w:p>
    <w:p>
      <w:pPr>
        <w:pStyle w:val="Normal"/>
      </w:pPr>
      <w:r>
        <w:t xml:space="preserve">Según la hoja «Arquetipos sistémicos de un vistazo», en la erosión de metas bajar la meta cierra de forma instantánea la diferencia, mientras que las acciones correctivas usualmente toman tiempo.</w:t>
      </w:r>
    </w:p>
    <w:p>
      <w:pPr>
        <w:pStyle w:val="Fuente"/>
      </w:pPr>
      <w:r>
        <w:t xml:space="preserve">Ordinal de la fuente: 8 · complemento editorial.</w:t>
      </w:r>
    </w:p>
    <w:p>
      <w:pPr>
        <w:pStyle w:val="Normal"/>
      </w:pPr>
      <w:r>
        <w:t xml:space="preserve">a) Verdadero</w:t>
      </w:r>
    </w:p>
    <w:p>
      <w:pPr>
        <w:pStyle w:val="Normal"/>
      </w:pPr>
      <w:r>
        <w:t xml:space="preserve">b) Falso</w:t>
      </w:r>
    </w:p>
    <w:p>
      <w:pPr>
        <w:pStyle w:val="Heading3"/>
      </w:pPr>
      <w:bookmarkStart w:name="b_pregunta_p3c_09_caso_cafeteria" w:id="6579"/>
      <w:r>
        <w:t xml:space="preserve">S3-9 · Unidad 4 · 4.1 · Arquetipos: diagnosticar un caso</w:t>
      </w:r>
      <w:bookmarkEnd w:id="6579"/>
    </w:p>
    <w:p>
      <w:pPr>
        <w:pStyle w:val="Normal"/>
      </w:pPr>
      <w:r>
        <w:t xml:space="preserve">La cafetería de una facultad se vuelve popular y cada mes llegan más clientes. Con una sola cafetera y dos empleados, la fila crece, el servicio se vuelve lento y algunos clientes dejan de llegar. La dueña concluye que la demanda bajó y que no vale la pena comprar otra cafetera ni contratar a nadie. ¿Qué arquetipo describe mejor la situación?</w:t>
      </w:r>
    </w:p>
    <w:p>
      <w:pPr>
        <w:pStyle w:val="Fuente"/>
      </w:pPr>
      <w:r>
        <w:t xml:space="preserve">Ordinal de la fuente: 9 · complemento editorial.</w:t>
      </w:r>
    </w:p>
    <w:p>
      <w:pPr>
        <w:pStyle w:val="Normal"/>
      </w:pPr>
      <w:r>
        <w:t xml:space="preserve">a) Crecimiento y subinversión</w:t>
      </w:r>
    </w:p>
    <w:p>
      <w:pPr>
        <w:pStyle w:val="Normal"/>
      </w:pPr>
      <w:r>
        <w:t xml:space="preserve">b) Límites del crecimiento</w:t>
      </w:r>
    </w:p>
    <w:p>
      <w:pPr>
        <w:pStyle w:val="Normal"/>
      </w:pPr>
      <w:r>
        <w:t xml:space="preserve">c) Erosión de metas</w:t>
      </w:r>
    </w:p>
    <w:p>
      <w:pPr>
        <w:pStyle w:val="Normal"/>
      </w:pPr>
      <w:r>
        <w:t xml:space="preserve">d) Éxito para quien tiene éxito</w:t>
      </w:r>
    </w:p>
    <w:p>
      <w:pPr>
        <w:pStyle w:val="Normal"/>
      </w:pPr>
      <w:r>
        <w:t xml:space="preserve">e) Soluciones rápidas que fallan</w:t>
      </w:r>
    </w:p>
    <w:p>
      <w:pPr>
        <w:pStyle w:val="Heading3"/>
      </w:pPr>
      <w:bookmarkStart w:name="b_pregunta_p3c_10_caso_ayuda_externa" w:id="6580"/>
      <w:r>
        <w:t xml:space="preserve">S3-10 · Unidad 4 · 4.1 · Arquetipos: el caso especial de la intervención</w:t>
      </w:r>
      <w:bookmarkEnd w:id="6580"/>
    </w:p>
    <w:p>
      <w:pPr>
        <w:pStyle w:val="Normal"/>
      </w:pPr>
      <w:r>
        <w:t xml:space="preserve">Tras una sequía, una organización externa reparte cada año semillas y víveres en una aldea. El hambre se alivia de inmediato; con los años, los agricultores dejan de guardar semilla propia y de mantener el sistema de riego, y cada temporada esperan el reparto. ¿Qué arquetipos de la lectura de Valentini describen esta estructura?</w:t>
      </w:r>
    </w:p>
    <w:p>
      <w:pPr>
        <w:pStyle w:val="Fuente"/>
      </w:pPr>
      <w:r>
        <w:t xml:space="preserve">Ordinal de la fuente: 10 · complemento editorial.</w:t>
      </w:r>
    </w:p>
    <w:p>
      <w:pPr>
        <w:pStyle w:val="Normal"/>
      </w:pPr>
      <w:r>
        <w:t xml:space="preserve">a) Desplazamiento de la carga hacia la intervención</w:t>
      </w:r>
    </w:p>
    <w:p>
      <w:pPr>
        <w:pStyle w:val="Normal"/>
      </w:pPr>
      <w:r>
        <w:t xml:space="preserve">b) Desplazamiento de la carga</w:t>
      </w:r>
    </w:p>
    <w:p>
      <w:pPr>
        <w:pStyle w:val="Normal"/>
      </w:pPr>
      <w:r>
        <w:t xml:space="preserve">c) Tragedia del terreno común</w:t>
      </w:r>
    </w:p>
    <w:p>
      <w:pPr>
        <w:pStyle w:val="Normal"/>
      </w:pPr>
      <w:r>
        <w:t xml:space="preserve">d) Compensación entre proceso y demora</w:t>
      </w:r>
    </w:p>
    <w:p>
      <w:pPr>
        <w:pStyle w:val="Normal"/>
      </w:pPr>
      <w:r>
        <w:t xml:space="preserve">e) Éxito para quien tiene éxito</w:t>
      </w:r>
    </w:p>
    <w:p>
      <w:pPr>
        <w:pStyle w:val="Heading3"/>
      </w:pPr>
      <w:bookmarkStart w:name="b_pregunta_p3c_11_caso_laboratorios" w:id="6581"/>
      <w:r>
        <w:t xml:space="preserve">S3-11 · Unidad 4 · 4.1 · Arquetipos: diagnosticar un caso</w:t>
      </w:r>
      <w:bookmarkEnd w:id="6581"/>
    </w:p>
    <w:p>
      <w:pPr>
        <w:pStyle w:val="Normal"/>
      </w:pPr>
      <w:r>
        <w:t xml:space="preserve">Dos laboratorios de cómputo de una facultad reciben al inicio el mismo presupuesto. Un semestre, uno estrena equipo y se llena; como tiene más usuarios, la dirección le asigna la mayor parte del presupuesto siguiente. El otro, con equipo cada vez más viejo, pierde usuarios y recibe todavía menos. ¿Qué arquetipo describe la situación?</w:t>
      </w:r>
    </w:p>
    <w:p>
      <w:pPr>
        <w:pStyle w:val="Fuente"/>
      </w:pPr>
      <w:r>
        <w:t xml:space="preserve">Ordinal de la fuente: 11 · complemento editorial.</w:t>
      </w:r>
    </w:p>
    <w:p>
      <w:pPr>
        <w:pStyle w:val="Normal"/>
      </w:pPr>
      <w:r>
        <w:t xml:space="preserve">a) Éxito para quien tiene éxito</w:t>
      </w:r>
    </w:p>
    <w:p>
      <w:pPr>
        <w:pStyle w:val="Normal"/>
      </w:pPr>
      <w:r>
        <w:t xml:space="preserve">b) Tragedia del terreno común</w:t>
      </w:r>
    </w:p>
    <w:p>
      <w:pPr>
        <w:pStyle w:val="Normal"/>
      </w:pPr>
      <w:r>
        <w:t xml:space="preserve">c) Escalada</w:t>
      </w:r>
    </w:p>
    <w:p>
      <w:pPr>
        <w:pStyle w:val="Normal"/>
      </w:pPr>
      <w:r>
        <w:t xml:space="preserve">d) Límites del crecimiento</w:t>
      </w:r>
    </w:p>
    <w:p>
      <w:pPr>
        <w:pStyle w:val="Normal"/>
      </w:pPr>
      <w:r>
        <w:t xml:space="preserve">e) Erosión de metas</w:t>
      </w:r>
    </w:p>
    <w:p>
      <w:pPr>
        <w:pStyle w:val="Heading3"/>
      </w:pPr>
      <w:bookmarkStart w:name="b_pregunta_p3c_12_pasos_de_kim" w:id="6582"/>
      <w:r>
        <w:t xml:space="preserve">S3-12 · Unidad 4 · 4.1 · Arquetipos: los pasos de la guía de Kim</w:t>
      </w:r>
      <w:bookmarkEnd w:id="6582"/>
    </w:p>
    <w:p>
      <w:pPr>
        <w:pStyle w:val="Normal"/>
      </w:pPr>
      <w:r>
        <w:t xml:space="preserve">La guía práctica de Kim propone siete pasos para usar el arquetipo «Soluciones rápidas que fallan» en la solución de problemas. Ordénelos.</w:t>
      </w:r>
    </w:p>
    <w:p>
      <w:pPr>
        <w:pStyle w:val="Fuente"/>
      </w:pPr>
      <w:r>
        <w:t xml:space="preserve">Ordinal de la fuente: 12 · complemento editorial.</w:t>
      </w:r>
    </w:p>
    <w:p>
      <w:pPr>
        <w:pStyle w:val="Normal"/>
      </w:pPr>
      <w:r>
        <w:t xml:space="preserve">a) Identifique causas fundamentales de los síntomas del problema.</w:t>
      </w:r>
    </w:p>
    <w:p>
      <w:pPr>
        <w:pStyle w:val="Normal"/>
      </w:pPr>
      <w:r>
        <w:t xml:space="preserve">b) Identifique el síntoma del problema.</w:t>
      </w:r>
    </w:p>
    <w:p>
      <w:pPr>
        <w:pStyle w:val="Normal"/>
      </w:pPr>
      <w:r>
        <w:t xml:space="preserve">c) Identifique intervenciones de alto apalancamiento.</w:t>
      </w:r>
    </w:p>
    <w:p>
      <w:pPr>
        <w:pStyle w:val="Normal"/>
      </w:pPr>
      <w:r>
        <w:t xml:space="preserve">d) Verifique consecuencias no intencionadas de las intervenciones.</w:t>
      </w:r>
    </w:p>
    <w:p>
      <w:pPr>
        <w:pStyle w:val="Normal"/>
      </w:pPr>
      <w:r>
        <w:t xml:space="preserve">e) Identifique efectos laterales potenciales para cada intervención.</w:t>
      </w:r>
    </w:p>
    <w:p>
      <w:pPr>
        <w:pStyle w:val="Normal"/>
      </w:pPr>
      <w:r>
        <w:t xml:space="preserve">f) Verifique las intervenciones actuales y cómo se esperaba que rectificaran el problema.</w:t>
      </w:r>
    </w:p>
    <w:p>
      <w:pPr>
        <w:pStyle w:val="Normal"/>
      </w:pPr>
      <w:r>
        <w:t xml:space="preserve">g) Encuentre relaciones entre ambos conjuntos de ciclos.</w:t>
      </w:r>
    </w:p>
    <w:p>
      <w:pPr>
        <w:pStyle w:val="Heading3"/>
      </w:pPr>
      <w:bookmarkStart w:name="b_pregunta_p3c_13_lineamientos_tragedia" w:id="6583"/>
      <w:r>
        <w:t xml:space="preserve">S3-13 · Unidad 4 · 4.1 · Arquetipos: lineamientos de la hoja de Pegasus</w:t>
      </w:r>
      <w:bookmarkEnd w:id="6583"/>
    </w:p>
    <w:p>
      <w:pPr>
        <w:pStyle w:val="Normal"/>
      </w:pPr>
      <w:r>
        <w:t xml:space="preserve">¿Cuáles de los siguientes lineamientos da la hoja «Arquetipos sistémicos de un vistazo» para la «Tragedia de los Comunes»?</w:t>
      </w:r>
    </w:p>
    <w:p>
      <w:pPr>
        <w:pStyle w:val="Fuente"/>
      </w:pPr>
      <w:r>
        <w:t xml:space="preserve">Ordinal de la fuente: 13 · complemento editorial.</w:t>
      </w:r>
    </w:p>
    <w:p>
      <w:pPr>
        <w:pStyle w:val="Normal"/>
      </w:pPr>
      <w:r>
        <w:t xml:space="preserve">a) Las soluciones efectivas para un escenario de «Tragedia de los Comunes» nunca se encuentran en el nivel individual.</w:t>
      </w:r>
    </w:p>
    <w:p>
      <w:pPr>
        <w:pStyle w:val="Normal"/>
      </w:pPr>
      <w:r>
        <w:t xml:space="preserve">b) Corte el arquetipo a la mitad, enfocando los esfuerzos en un grupo, en lugar de crear una competencia en la que «el ganador toma todo».</w:t>
      </w:r>
    </w:p>
    <w:p>
      <w:pPr>
        <w:pStyle w:val="Normal"/>
      </w:pPr>
      <w:r>
        <w:t xml:space="preserve">c) Busque maneras de reconciliar las recompensas individuales de corto plazo con las consecuencias acumuladas de largo plazo.</w:t>
      </w:r>
    </w:p>
    <w:p>
      <w:pPr>
        <w:pStyle w:val="Normal"/>
      </w:pPr>
      <w:r>
        <w:t xml:space="preserve">d) Las metas fijadas fuera del sistema serán menos susceptibles a presiones de erosión de metas.</w:t>
      </w:r>
    </w:p>
    <w:p>
      <w:pPr>
        <w:pStyle w:val="Normal"/>
      </w:pPr>
      <w:r>
        <w:t xml:space="preserve">e) Busque maneras de liberar la presión o eliminar los límites antes de que explote la unión en la organización.</w:t>
      </w:r>
    </w:p>
    <w:p>
      <w:pPr>
        <w:pStyle w:val="Heading3"/>
      </w:pPr>
      <w:bookmarkStart w:name="b_pregunta_p3c_14_limites_del_c_8e3d37ae" w:id="6584"/>
      <w:r>
        <w:t xml:space="preserve">S3-14 · Unidad 4 · 4.1 · Arquetipos: límites del crecimiento</w:t>
      </w:r>
      <w:bookmarkEnd w:id="6584"/>
    </w:p>
    <w:p>
      <w:pPr>
        <w:pStyle w:val="Normal"/>
      </w:pPr>
      <w:r>
        <w:t xml:space="preserve">¿Qué afirmaciones sobre el arquetipo «Límites del crecimiento» son correctas según las lecturas del curso?</w:t>
      </w:r>
    </w:p>
    <w:p>
      <w:pPr>
        <w:pStyle w:val="Fuente"/>
      </w:pPr>
      <w:r>
        <w:t xml:space="preserve">Ordinal de la fuente: 14 · complemento editorial.</w:t>
      </w:r>
    </w:p>
    <w:p>
      <w:pPr>
        <w:pStyle w:val="Normal"/>
      </w:pPr>
      <w:r>
        <w:t xml:space="preserve">a) Inicialmente los esfuerzos continuados llevan a un desempeño mejorado, en un ciclo de refuerzo</w:t>
      </w:r>
    </w:p>
    <w:p>
      <w:pPr>
        <w:pStyle w:val="Normal"/>
      </w:pPr>
      <w:r>
        <w:t xml:space="preserve">b) Con el tiempo el sistema encuentra un límite que hace que el desempeño baje, aun cuando el esfuerzo siga aumentando</w:t>
      </w:r>
    </w:p>
    <w:p>
      <w:pPr>
        <w:pStyle w:val="Normal"/>
      </w:pPr>
      <w:r>
        <w:t xml:space="preserve">c) Su principio administrativo es presionar más el proceso reforzador para superar el límite</w:t>
      </w:r>
    </w:p>
    <w:p>
      <w:pPr>
        <w:pStyle w:val="Normal"/>
      </w:pPr>
      <w:r>
        <w:t xml:space="preserve">d) La guía de Kim pide determinar el tiempo de duplicación de los procesos de crecimiento</w:t>
      </w:r>
    </w:p>
    <w:p>
      <w:pPr>
        <w:pStyle w:val="Normal"/>
      </w:pPr>
      <w:r>
        <w:t xml:space="preserve">e) Sólo sirve para explicar un colapso después de que ocurrió</w:t>
      </w:r>
    </w:p>
    <w:p>
      <w:pPr>
        <w:pStyle w:val="Heading3"/>
      </w:pPr>
      <w:bookmarkStart w:name="b_pregunta_p3c_15_compensacion_demora" w:id="6585"/>
      <w:r>
        <w:t xml:space="preserve">S3-15 · Unidad 4 · 4.1 · Arquetipos: compensación entre proceso y demora</w:t>
      </w:r>
      <w:bookmarkEnd w:id="6585"/>
    </w:p>
    <w:p>
      <w:pPr>
        <w:pStyle w:val="Normal"/>
      </w:pPr>
      <w:r>
        <w:t xml:space="preserve">En una ducha, el agua caliente tarda en responder al grifo: se abre más, sale hirviendo, se cierra de golpe y vuelve a salir fría. ¿Qué afirmaciones sobre el arquetipo que ilustra son correctas?</w:t>
      </w:r>
    </w:p>
    <w:p>
      <w:pPr>
        <w:pStyle w:val="Fuente"/>
      </w:pPr>
      <w:r>
        <w:t xml:space="preserve">Ordinal de la fuente: 15 · complemento editorial.</w:t>
      </w:r>
    </w:p>
    <w:p>
      <w:pPr>
        <w:pStyle w:val="Normal"/>
      </w:pPr>
      <w:r>
        <w:t xml:space="preserve">a) Quien actúa adapta su conducta en respuesta a una realimentación demorada</w:t>
      </w:r>
    </w:p>
    <w:p>
      <w:pPr>
        <w:pStyle w:val="Normal"/>
      </w:pPr>
      <w:r>
        <w:t xml:space="preserve">b) Si no es consciente de la demora, realiza más acciones correctivas de las necesarias</w:t>
      </w:r>
    </w:p>
    <w:p>
      <w:pPr>
        <w:pStyle w:val="Normal"/>
      </w:pPr>
      <w:r>
        <w:t xml:space="preserve">c) En un sistema lento conviene actuar con más agresividad para compensar la demora</w:t>
      </w:r>
    </w:p>
    <w:p>
      <w:pPr>
        <w:pStyle w:val="Normal"/>
      </w:pPr>
      <w:r>
        <w:t xml:space="preserve">d) Su estructura son dos ciclos de refuerzo encadenados</w:t>
      </w:r>
    </w:p>
    <w:p>
      <w:pPr>
        <w:pStyle w:val="Normal"/>
      </w:pPr>
      <w:r>
        <w:t xml:space="preserve">e) Su comportamiento típico es un crecimiento exponencial sostenido</w:t>
      </w:r>
    </w:p>
    <w:p>
      <w:pPr>
        <w:pStyle w:val="Heading3"/>
      </w:pPr>
      <w:bookmarkStart w:name="b_pregunta_p3c_16_soluciones_fr_0d719cea" w:id="6586"/>
      <w:r>
        <w:t xml:space="preserve">S3-16 · Unidad 4 · 4.1 · Arquetipos: dos arquetipos que se confunden</w:t>
      </w:r>
      <w:bookmarkEnd w:id="6586"/>
    </w:p>
    <w:p>
      <w:pPr>
        <w:pStyle w:val="Normal"/>
      </w:pPr>
      <w:r>
        <w:t xml:space="preserve">Las soluciones rápidas que fallan y el desplazamiento de la carga se confunden a menudo. ¿Qué afirmaciones los describen correctamente?</w:t>
      </w:r>
    </w:p>
    <w:p>
      <w:pPr>
        <w:pStyle w:val="Fuente"/>
      </w:pPr>
      <w:r>
        <w:t xml:space="preserve">Ordinal de la fuente: 16 · complemento editorial.</w:t>
      </w:r>
    </w:p>
    <w:p>
      <w:pPr>
        <w:pStyle w:val="Normal"/>
      </w:pPr>
      <w:r>
        <w:t xml:space="preserve">a) En el desplazamiento de la carga hay una solución fundamental, con demora, que se aplica cada vez menos mientras se usa la sintomática</w:t>
      </w:r>
    </w:p>
    <w:p>
      <w:pPr>
        <w:pStyle w:val="Normal"/>
      </w:pPr>
      <w:r>
        <w:t xml:space="preserve">b) En las soluciones rápidas que fallan, las consecuencias no intencionadas de la solución agudizan el mismo síntoma</w:t>
      </w:r>
    </w:p>
    <w:p>
      <w:pPr>
        <w:pStyle w:val="Normal"/>
      </w:pPr>
      <w:r>
        <w:t xml:space="preserve">c) Sólo las soluciones rápidas que fallan tienen un ciclo de balance que alivia el síntoma</w:t>
      </w:r>
    </w:p>
    <w:p>
      <w:pPr>
        <w:pStyle w:val="Normal"/>
      </w:pPr>
      <w:r>
        <w:t xml:space="preserve">d) El desplazamiento de la carga no tiene ningún ciclo de refuerzo</w:t>
      </w:r>
    </w:p>
    <w:p>
      <w:pPr>
        <w:pStyle w:val="Normal"/>
      </w:pPr>
      <w:r>
        <w:t xml:space="preserve">e) En los dos arquetipos la solución del síntoma tiene una demora larga</w:t>
      </w:r>
    </w:p>
    <w:p>
      <w:pPr>
        <w:pStyle w:val="Heading3"/>
      </w:pPr>
      <w:bookmarkStart w:name="b_pregunta_p3c_17_notacion_de_valentini" w:id="6587"/>
      <w:r>
        <w:t xml:space="preserve">S3-17 · Unidad 4 · 4.1 · Arquetipos: dos notaciones</w:t>
      </w:r>
      <w:bookmarkEnd w:id="6587"/>
    </w:p>
    <w:p>
      <w:pPr>
        <w:pStyle w:val="Normal"/>
      </w:pPr>
      <w:r>
        <w:t xml:space="preserve">En la lectura de Valentini, cada arquetipo se dibuja con el signo + o − en cada flecha y las letras R y B en cada ciclo, igual que en la hoja de Pegasus.</w:t>
      </w:r>
    </w:p>
    <w:p>
      <w:pPr>
        <w:pStyle w:val="Fuente"/>
      </w:pPr>
      <w:r>
        <w:t xml:space="preserve">Ordinal de la fuente: 17 · complemento editorial.</w:t>
      </w:r>
    </w:p>
    <w:p>
      <w:pPr>
        <w:pStyle w:val="Normal"/>
      </w:pPr>
      <w:r>
        <w:t xml:space="preserve">a) Verdadero</w:t>
      </w:r>
    </w:p>
    <w:p>
      <w:pPr>
        <w:pStyle w:val="Normal"/>
      </w:pPr>
      <w:r>
        <w:t xml:space="preserve">b) Falso</w:t>
      </w:r>
    </w:p>
    <w:p>
      <w:pPr>
        <w:pStyle w:val="Heading3"/>
      </w:pPr>
      <w:bookmarkStart w:name="b_pregunta_p3c_18_estructura_su_8ccc8c44" w:id="6588"/>
      <w:r>
        <w:t xml:space="preserve">S3-18 · Unidad 4 · 4.1 · Arquetipos: crecimiento y subinversión</w:t>
      </w:r>
      <w:bookmarkEnd w:id="6588"/>
    </w:p>
    <w:p>
      <w:pPr>
        <w:pStyle w:val="Normal"/>
      </w:pPr>
      <w:r>
        <w:t xml:space="preserve">¿Qué afirmaciones sobre la estructura del arquetipo «Crecimiento y subinversión» son correctas?</w:t>
      </w:r>
    </w:p>
    <w:p>
      <w:pPr>
        <w:pStyle w:val="Fuente"/>
      </w:pPr>
      <w:r>
        <w:t xml:space="preserve">Ordinal de la fuente: 18 · complemento editorial.</w:t>
      </w:r>
    </w:p>
    <w:p>
      <w:pPr>
        <w:pStyle w:val="Normal"/>
      </w:pPr>
      <w:r>
        <w:t xml:space="preserve">a) Contiene la estructura de los límites del crecimiento: un refuerzo de la demanda y un balance que la frena por el desempeño</w:t>
      </w:r>
    </w:p>
    <w:p>
      <w:pPr>
        <w:pStyle w:val="Normal"/>
      </w:pPr>
      <w:r>
        <w:t xml:space="preserve">b) Un segundo ciclo de balance pasa por la necesidad percibida de inversión y la inversión en capacidad, que llega con demora</w:t>
      </w:r>
    </w:p>
    <w:p>
      <w:pPr>
        <w:pStyle w:val="Normal"/>
      </w:pPr>
      <w:r>
        <w:t xml:space="preserve">c) Se disminuyen los estándares de desempeño para justificar la ausencia de inversión</w:t>
      </w:r>
    </w:p>
    <w:p>
      <w:pPr>
        <w:pStyle w:val="Normal"/>
      </w:pPr>
      <w:r>
        <w:t xml:space="preserve">d) Tiene dos ciclos de refuerzo y ninguno de balance</w:t>
      </w:r>
    </w:p>
    <w:p>
      <w:pPr>
        <w:pStyle w:val="Normal"/>
      </w:pPr>
      <w:r>
        <w:t xml:space="preserve">e) La guía de Kim recomienda decidir la inversión con base en los estándares derivados del desempeño pasado</w:t>
      </w:r>
    </w:p>
    <w:p>
      <w:pPr>
        <w:pStyle w:val="Heading3"/>
      </w:pPr>
      <w:bookmarkStart w:name="b_pregunta_p3c_74_cobertura" w:id="6589"/>
      <w:r>
        <w:t xml:space="preserve">S3-19 · Unidad 4 · 4.1 · Procedimientos de Kim</w:t>
      </w:r>
      <w:bookmarkEnd w:id="6589"/>
    </w:p>
    <w:p>
      <w:pPr>
        <w:pStyle w:val="Normal"/>
      </w:pPr>
      <w:r>
        <w:t xml:space="preserve">¿Cómo se usan los siete pasos de Kim al diagnosticar los ocho arquetipos?</w:t>
      </w:r>
    </w:p>
    <w:p>
      <w:pPr>
        <w:pStyle w:val="Fuente"/>
      </w:pPr>
      <w:r>
        <w:t xml:space="preserve">Ordinal de la fuente: 74 · complemento editorial.</w:t>
      </w:r>
    </w:p>
    <w:p>
      <w:pPr>
        <w:pStyle w:val="Normal"/>
      </w:pPr>
      <w:r>
        <w:t xml:space="preserve">a) Cada arquetipo tiene una secuencia específica y un propósito de aplicación.</w:t>
      </w:r>
    </w:p>
    <w:p>
      <w:pPr>
        <w:pStyle w:val="Normal"/>
      </w:pPr>
      <w:r>
        <w:t xml:space="preserve">b) Son una receta universal idéntica para todos.</w:t>
      </w:r>
    </w:p>
    <w:p>
      <w:pPr>
        <w:pStyle w:val="Normal"/>
      </w:pPr>
      <w:r>
        <w:t xml:space="preserve">c) Son los diez lineamientos de dibujo causal resumidos.</w:t>
      </w:r>
    </w:p>
    <w:p>
      <w:pPr>
        <w:pStyle w:val="Normal"/>
      </w:pPr>
      <w:r>
        <w:t xml:space="preserve">d) También se atribuyen a las dos variantes de Valentini.</w:t>
      </w:r>
    </w:p>
    <w:p>
      <w:pPr>
        <w:pStyle w:val="Heading3"/>
      </w:pPr>
      <w:r>
        <w:t xml:space="preserve">Tema 4.2 · Flujos y niveles</w:t>
      </w:r>
    </w:p>
    <w:p>
      <w:pPr>
        <w:pStyle w:val="Heading3"/>
      </w:pPr>
      <w:bookmarkStart w:name="b_pregunta_p3c_19_acumulaciones_7ee21299" w:id="6590"/>
      <w:r>
        <w:t xml:space="preserve">S3-20 · Unidad 4 · 4.2 · Flujos y niveles: acumulaciones concretas y abstractas</w:t>
      </w:r>
      <w:bookmarkEnd w:id="6590"/>
    </w:p>
    <w:p>
      <w:pPr>
        <w:pStyle w:val="Normal"/>
      </w:pPr>
      <w:r>
        <w:t xml:space="preserve">Según la presentación 4a, algunas acumulaciones son muy concretas y fáciles de medir, mientras que otras son más abstractas. ¿Cuáles de las siguientes son acumulaciones abstractas?</w:t>
      </w:r>
    </w:p>
    <w:p>
      <w:pPr>
        <w:pStyle w:val="Fuente"/>
      </w:pPr>
      <w:r>
        <w:t xml:space="preserve">Ordinal de la fuente: 19 · complemento editorial.</w:t>
      </w:r>
    </w:p>
    <w:p>
      <w:pPr>
        <w:pStyle w:val="Normal"/>
      </w:pPr>
      <w:r>
        <w:t xml:space="preserve">a) El nivel cambiante de miedo mientras se mira una película de terror</w:t>
      </w:r>
    </w:p>
    <w:p>
      <w:pPr>
        <w:pStyle w:val="Normal"/>
      </w:pPr>
      <w:r>
        <w:t xml:space="preserve">b) La cantidad de gasolina en el tanque de un automóvil</w:t>
      </w:r>
    </w:p>
    <w:p>
      <w:pPr>
        <w:pStyle w:val="Normal"/>
      </w:pPr>
      <w:r>
        <w:t xml:space="preserve">c) La confianza en una organización o en una familia</w:t>
      </w:r>
    </w:p>
    <w:p>
      <w:pPr>
        <w:pStyle w:val="Normal"/>
      </w:pPr>
      <w:r>
        <w:t xml:space="preserve">d) El número de estudiantes matriculados en una escuela</w:t>
      </w:r>
    </w:p>
    <w:p>
      <w:pPr>
        <w:pStyle w:val="Normal"/>
      </w:pPr>
      <w:r>
        <w:t xml:space="preserve">e) El agua en un baño para pájaros</w:t>
      </w:r>
    </w:p>
    <w:p>
      <w:pPr>
        <w:pStyle w:val="Heading3"/>
      </w:pPr>
      <w:bookmarkStart w:name="b_pregunta_p3c_20_bano_para_pajaros" w:id="6591"/>
      <w:r>
        <w:t xml:space="preserve">S3-21 · Unidad 4 · 4.2 · Flujos y niveles: el baño para pájaros</w:t>
      </w:r>
      <w:bookmarkEnd w:id="6591"/>
    </w:p>
    <w:p>
      <w:pPr>
        <w:pStyle w:val="Normal"/>
      </w:pPr>
      <w:r>
        <w:t xml:space="preserve">En el escenario del baño para pájaros de la presentación 4a, se considera el agua como la acumulación del sistema. Relacione cada elemento del escenario con lo que representa.</w:t>
      </w:r>
    </w:p>
    <w:p>
      <w:pPr>
        <w:pStyle w:val="Fuente"/>
      </w:pPr>
      <w:r>
        <w:t xml:space="preserve">Ordinal de la fuente: 20 · complemento editorial.</w:t>
      </w:r>
    </w:p>
    <w:p>
      <w:pPr>
        <w:pStyle w:val="Normal"/>
      </w:pPr>
      <w:r>
        <w:t xml:space="preserve">a) Fila: El agua en el baño para pájaros</w:t>
      </w:r>
    </w:p>
    <w:p>
      <w:pPr>
        <w:pStyle w:val="Normal"/>
      </w:pPr>
      <w:r>
        <w:t xml:space="preserve">b) Fila: El agua que entra por la manguera</w:t>
      </w:r>
    </w:p>
    <w:p>
      <w:pPr>
        <w:pStyle w:val="Normal"/>
      </w:pPr>
      <w:r>
        <w:t xml:space="preserve">c) Fila: El calor del sol que resulta en la evaporación</w:t>
      </w:r>
    </w:p>
    <w:p>
      <w:pPr>
        <w:pStyle w:val="Normal"/>
      </w:pPr>
      <w:r>
        <w:t xml:space="preserve">d) Fila: Las aves que se llevan el agua al beber</w:t>
      </w:r>
    </w:p>
    <w:p>
      <w:pPr>
        <w:pStyle w:val="Normal"/>
      </w:pPr>
      <w:r>
        <w:t xml:space="preserve">e) Fila: El esfuerzo de la mujer para mantener un nivel de agua confortable para las aves</w:t>
      </w:r>
    </w:p>
    <w:p>
      <w:pPr>
        <w:pStyle w:val="Normal"/>
      </w:pPr>
      <w:r>
        <w:t xml:space="preserve">f) a) Flujo de entrada: aumenta el nivel</w:t>
      </w:r>
    </w:p>
    <w:p>
      <w:pPr>
        <w:pStyle w:val="Normal"/>
      </w:pPr>
      <w:r>
        <w:t xml:space="preserve">g) b) Variable auxiliar: un cálculo intermedio</w:t>
      </w:r>
    </w:p>
    <w:p>
      <w:pPr>
        <w:pStyle w:val="Normal"/>
      </w:pPr>
      <w:r>
        <w:t xml:space="preserve">h) c) Acumulación abstracta</w:t>
      </w:r>
    </w:p>
    <w:p>
      <w:pPr>
        <w:pStyle w:val="Normal"/>
      </w:pPr>
      <w:r>
        <w:t xml:space="preserve">i) d) Flujo de salida: disminuye el nivel</w:t>
      </w:r>
    </w:p>
    <w:p>
      <w:pPr>
        <w:pStyle w:val="Normal"/>
      </w:pPr>
      <w:r>
        <w:t xml:space="preserve">j) e) Nube: una fuente o un sumidero fuera del sistema</w:t>
      </w:r>
    </w:p>
    <w:p>
      <w:pPr>
        <w:pStyle w:val="Normal"/>
      </w:pPr>
      <w:r>
        <w:t xml:space="preserve">k) f) Acumulación concreta y fácil de medir</w:t>
      </w:r>
    </w:p>
    <w:p>
      <w:pPr>
        <w:pStyle w:val="Heading3"/>
      </w:pPr>
      <w:bookmarkStart w:name="b_pregunta_p3c_21_escuela_que_p_633616c8" w:id="6592"/>
      <w:r>
        <w:t xml:space="preserve">S3-22 · Unidad 4 · 4.2 · Flujos y niveles: la escuela que pierde estudiantes</w:t>
      </w:r>
      <w:bookmarkEnd w:id="6592"/>
    </w:p>
    <w:p>
      <w:pPr>
        <w:pStyle w:val="Normal"/>
      </w:pPr>
      <w:r>
        <w:t xml:space="preserve">En el caso del director de una escuela de la presentación 4a, cada vez más estudiantes visitan la escuela y se inscriben, pero el número de estudiantes matriculados sigue disminuyendo. ¿Cuáles de las siguientes afirmaciones son correctas según la presentación?</w:t>
      </w:r>
    </w:p>
    <w:p>
      <w:pPr>
        <w:pStyle w:val="Fuente"/>
      </w:pPr>
      <w:r>
        <w:t xml:space="preserve">Ordinal de la fuente: 21 · complemento editorial.</w:t>
      </w:r>
    </w:p>
    <w:p>
      <w:pPr>
        <w:pStyle w:val="Normal"/>
      </w:pPr>
      <w:r>
        <w:t xml:space="preserve">a) El número de estudiantes matriculados es un nivel (stock) tangible, fácil de contar</w:t>
      </w:r>
    </w:p>
    <w:p>
      <w:pPr>
        <w:pStyle w:val="Normal"/>
      </w:pPr>
      <w:r>
        <w:t xml:space="preserve">b) Mientras el flujo de entrada aumente, la matrícula tiene que aumentar</w:t>
      </w:r>
    </w:p>
    <w:p>
      <w:pPr>
        <w:pStyle w:val="Normal"/>
      </w:pPr>
      <w:r>
        <w:t xml:space="preserve">c) Muchos estudiantes eligen irse porque una escuela competitiva cercana ofrece clases más pequeñas</w:t>
      </w:r>
    </w:p>
    <w:p>
      <w:pPr>
        <w:pStyle w:val="Normal"/>
      </w:pPr>
      <w:r>
        <w:t xml:space="preserve">d) La causa principal de las salidas son las mudanzas familiares y otras circunstancias inevitables</w:t>
      </w:r>
    </w:p>
    <w:p>
      <w:pPr>
        <w:pStyle w:val="Normal"/>
      </w:pPr>
      <w:r>
        <w:t xml:space="preserve">e) Los recorridos y los eventos de reclutamiento forman el flujo de salida de la matrícula</w:t>
      </w:r>
    </w:p>
    <w:p>
      <w:pPr>
        <w:pStyle w:val="Heading3"/>
      </w:pPr>
      <w:bookmarkStart w:name="b_pregunta_p3c_22_confianza_como_nivel" w:id="6593"/>
      <w:r>
        <w:t xml:space="preserve">S3-23 · Unidad 4 · 4.2 · Flujos y niveles: la confianza como acumulación</w:t>
      </w:r>
      <w:bookmarkEnd w:id="6593"/>
    </w:p>
    <w:p>
      <w:pPr>
        <w:pStyle w:val="Normal"/>
      </w:pPr>
      <w:r>
        <w:t xml:space="preserve">Según la presentación 4a, la confianza no puede tratarse como un nivel (stock) de un sistema, porque no se puede contar.</w:t>
      </w:r>
    </w:p>
    <w:p>
      <w:pPr>
        <w:pStyle w:val="Fuente"/>
      </w:pPr>
      <w:r>
        <w:t xml:space="preserve">Ordinal de la fuente: 22 · complemento editorial.</w:t>
      </w:r>
    </w:p>
    <w:p>
      <w:pPr>
        <w:pStyle w:val="Normal"/>
      </w:pPr>
      <w:r>
        <w:t xml:space="preserve">a) Verdadero</w:t>
      </w:r>
    </w:p>
    <w:p>
      <w:pPr>
        <w:pStyle w:val="Normal"/>
      </w:pPr>
      <w:r>
        <w:t xml:space="preserve">b) Falso</w:t>
      </w:r>
    </w:p>
    <w:p>
      <w:pPr>
        <w:pStyle w:val="Heading3"/>
      </w:pPr>
      <w:bookmarkStart w:name="b_pregunta_p3c_23_preguntas_del_604c84ef" w:id="6594"/>
      <w:r>
        <w:t xml:space="preserve">S3-24 · Unidad 4 · 4.2 · Flujos y niveles: las preguntas del hábito 12</w:t>
      </w:r>
      <w:bookmarkEnd w:id="6594"/>
    </w:p>
    <w:p>
      <w:pPr>
        <w:pStyle w:val="Normal"/>
      </w:pPr>
      <w:r>
        <w:t xml:space="preserve">¿Cuáles de las siguientes preguntas trae la tarjeta del hábito «Presta atención a las acumulaciones y sus tasas de cambio», con la que la presentación 4a abre los niveles y los flujos?</w:t>
      </w:r>
    </w:p>
    <w:p>
      <w:pPr>
        <w:pStyle w:val="Fuente"/>
      </w:pPr>
      <w:r>
        <w:t xml:space="preserve">Ordinal de la fuente: 23 · complemento editorial.</w:t>
      </w:r>
    </w:p>
    <w:p>
      <w:pPr>
        <w:pStyle w:val="Normal"/>
      </w:pPr>
      <w:r>
        <w:t xml:space="preserve">a) ¿Qué tan rápido (o lento) aumentan o disminuyen estas acumulaciones?</w:t>
      </w:r>
    </w:p>
    <w:p>
      <w:pPr>
        <w:pStyle w:val="Normal"/>
      </w:pPr>
      <w:r>
        <w:t xml:space="preserve">b) ¿Cuánto tiempo necesitamos para considerar el asunto?</w:t>
      </w:r>
    </w:p>
    <w:p>
      <w:pPr>
        <w:pStyle w:val="Normal"/>
      </w:pPr>
      <w:r>
        <w:t xml:space="preserve">c) ¿En dónde podría un cambio pequeño tener un efecto duradero y deseado?</w:t>
      </w:r>
    </w:p>
    <w:p>
      <w:pPr>
        <w:pStyle w:val="Normal"/>
      </w:pPr>
      <w:r>
        <w:t xml:space="preserve">d) ¿Qué pasaría si una acumulación alcanza un punto de inflexión?</w:t>
      </w:r>
    </w:p>
    <w:p>
      <w:pPr>
        <w:pStyle w:val="Normal"/>
      </w:pPr>
      <w:r>
        <w:t xml:space="preserve">e) ¿Hay consecuencias imprevistas que pudieran llevar a nuevas acciones?</w:t>
      </w:r>
    </w:p>
    <w:p>
      <w:pPr>
        <w:pStyle w:val="Heading3"/>
      </w:pPr>
      <w:bookmarkStart w:name="b_pregunta_p3c_24_iconos_del_di_5b3e38c1" w:id="6595"/>
      <w:r>
        <w:t xml:space="preserve">S3-25 · Unidad 4 · 4.2 · Flujos y niveles: los iconos del diagrama de Forrester</w:t>
      </w:r>
      <w:bookmarkEnd w:id="6595"/>
    </w:p>
    <w:p>
      <w:pPr>
        <w:pStyle w:val="Normal"/>
      </w:pPr>
      <w:r>
        <w:t xml:space="preserve">Según la presentación 4a, ¿qué iconos se asocian a las variables de nivel, de flujo y auxiliares en un diagrama de Forrester?</w:t>
      </w:r>
    </w:p>
    <w:p>
      <w:pPr>
        <w:pStyle w:val="Fuente"/>
      </w:pPr>
      <w:r>
        <w:t xml:space="preserve">Ordinal de la fuente: 24 · complemento editorial.</w:t>
      </w:r>
    </w:p>
    <w:p>
      <w:pPr>
        <w:pStyle w:val="Normal"/>
      </w:pPr>
      <w:r>
        <w:t xml:space="preserve">a) Al nivel, un círculo; al flujo, una flecha simple; a las auxiliares, rectángulos</w:t>
      </w:r>
    </w:p>
    <w:p>
      <w:pPr>
        <w:pStyle w:val="Normal"/>
      </w:pPr>
      <w:r>
        <w:t xml:space="preserve">b) Al nivel, un rectángulo; al flujo, un icono que recuerda una válvula, que en la literatura se dibuja de dos formas; a las auxiliares, círculos</w:t>
      </w:r>
    </w:p>
    <w:p>
      <w:pPr>
        <w:pStyle w:val="Normal"/>
      </w:pPr>
      <w:r>
        <w:t xml:space="preserve">c) Al nivel, una válvula; al flujo, un rectángulo; a las auxiliares, nubes</w:t>
      </w:r>
    </w:p>
    <w:p>
      <w:pPr>
        <w:pStyle w:val="Normal"/>
      </w:pPr>
      <w:r>
        <w:t xml:space="preserve">d) Al nivel, un rectángulo; al flujo, una nube; a las auxiliares, círculos</w:t>
      </w:r>
    </w:p>
    <w:p>
      <w:pPr>
        <w:pStyle w:val="Normal"/>
      </w:pPr>
      <w:r>
        <w:t xml:space="preserve">e) Al nivel, un rectángulo; al flujo, una válvula que se dibuja de una sola forma; a las auxiliares, flechas</w:t>
      </w:r>
    </w:p>
    <w:p>
      <w:pPr>
        <w:pStyle w:val="Heading3"/>
      </w:pPr>
      <w:bookmarkStart w:name="b_pregunta_p3c_25_recomendacion_e013b6ae" w:id="6596"/>
      <w:r>
        <w:t xml:space="preserve">S3-26 · Unidad 4 · 4.2 · Flujos y niveles: cómo reconocerlos según L-16</w:t>
      </w:r>
      <w:bookmarkEnd w:id="6596"/>
    </w:p>
    <w:p>
      <w:pPr>
        <w:pStyle w:val="Normal"/>
      </w:pPr>
      <w:r>
        <w:t xml:space="preserve">La lectura L-16 da algunas recomendaciones para reconocer los niveles y los flujos. ¿Cuáles de las siguientes son recomendaciones de la lectura?</w:t>
      </w:r>
    </w:p>
    <w:p>
      <w:pPr>
        <w:pStyle w:val="Fuente"/>
      </w:pPr>
      <w:r>
        <w:t xml:space="preserve">Ordinal de la fuente: 25 · complemento editorial.</w:t>
      </w:r>
    </w:p>
    <w:p>
      <w:pPr>
        <w:pStyle w:val="Normal"/>
      </w:pPr>
      <w:r>
        <w:t xml:space="preserve">a) Los niveles son generalmente una cantidad, mientras que los flujos se miden en las mismas unidades del nivel por unidad de tiempo</w:t>
      </w:r>
    </w:p>
    <w:p>
      <w:pPr>
        <w:pStyle w:val="Normal"/>
      </w:pPr>
      <w:r>
        <w:t xml:space="preserve">b) Si se congela el sistema como en una foto, los niveles son las cosas que se pueden contar</w:t>
      </w:r>
    </w:p>
    <w:p>
      <w:pPr>
        <w:pStyle w:val="Normal"/>
      </w:pPr>
      <w:r>
        <w:t xml:space="preserve">c) Una variable auxiliar conectada a un nivel lo incrementa o lo disminuye directamente durante la simulación</w:t>
      </w:r>
    </w:p>
    <w:p>
      <w:pPr>
        <w:pStyle w:val="Normal"/>
      </w:pPr>
      <w:r>
        <w:t xml:space="preserve">d) Se debe respetar la conservación de la materia: lo que está en un nivel permanece ahí hasta que sale por un flujo</w:t>
      </w:r>
    </w:p>
    <w:p>
      <w:pPr>
        <w:pStyle w:val="Normal"/>
      </w:pPr>
      <w:r>
        <w:t xml:space="preserve">e) Los flujos son medibles en sí mismos en cualquier instante, igual que los niveles</w:t>
      </w:r>
    </w:p>
    <w:p>
      <w:pPr>
        <w:pStyle w:val="Heading3"/>
      </w:pPr>
      <w:bookmarkStart w:name="b_pregunta_p3c_26_el_nivel_como_integral" w:id="6597"/>
      <w:r>
        <w:t xml:space="preserve">S3-27 · Unidad 4 · 4.2 · Flujos y niveles: el nivel como integral de sus flujos</w:t>
      </w:r>
      <w:bookmarkEnd w:id="6597"/>
    </w:p>
    <w:p>
      <w:pPr>
        <w:pStyle w:val="Normal"/>
      </w:pPr>
      <w:r>
        <w:t xml:space="preserve">En la lámina «Comportamiento de flujos de entrada y salida de un acumulador» de la presentación 4a, el nivel CAPITAL tiene un flujo de entrada, depósitos, y uno de salida, retiros, como en el diagrama. ¿Cuál de las siguientes expresiones da el valor del capital en el instante t?</w:t>
      </w:r>
    </w:p>
    <w:p>
      <w:pPr>
        <w:pStyle w:val="Fuente"/>
      </w:pPr>
      <w:r>
        <w:t xml:space="preserve">Ordinal de la fuente: 26 · complemento editorial.</w:t>
      </w:r>
    </w:p>
    <w:p>
      <w:pPr>
        <w:keepNext/>
        <w:spacing w:after="40" w:before="150"/>
        <w:jc w:val="center"/>
      </w:pPr>
      <w:bookmarkStart w:name="b_figura_original_p3c_26_el_niv_36c13a1e" w:id="6598"/>
      <w:bookmarkEnd w:id="6598"/>
      <w:r>
        <w:drawing>
          <wp:inline distT="0" distB="0" distL="0" distR="0">
            <wp:extent cx="5381625" cy="923925"/>
            <wp:effectExtent t="0" r="0" b="0" l="0"/>
            <wp:docPr id="270" name="p3c-26-el-nivel-como-integral-enunciado" descr="Presentación 4a (C-3), lámina 26 · lectura L-16, págs. 9 y 10" title="Unidad 4 · 4.2 · Flujos y niveles: el nivel como integral de sus fluj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31" cstate="none"/>
                    <a:srcRect/>
                    <a:stretch>
                      <a:fillRect/>
                    </a:stretch>
                  </pic:blipFill>
                  <pic:spPr bwMode="auto">
                    <a:xfrm>
                      <a:off x="0" y="0"/>
                      <a:ext cx="5381625" cy="923925"/>
                    </a:xfrm>
                    <a:prstGeom prst="rect">
                      <a:avLst/>
                    </a:prstGeom>
                  </pic:spPr>
                </pic:pic>
              </a:graphicData>
            </a:graphic>
          </wp:inline>
        </w:drawing>
      </w:r>
    </w:p>
    <w:p>
      <w:pPr>
        <w:pStyle w:val="PieFigura"/>
        <w:keepNext/>
      </w:pPr>
      <w:bookmarkStart w:name="b_fig_S3_4" w:id="6599"/>
      <w:r>
        <w:t xml:space="preserve">Figura S3.</w:t>
      </w:r>
      <w:fldSimple w:instr="SEQ Figura \n \* ARABIC">
        <w:r>
          <w:t xml:space="preserve">4</w:t>
        </w:r>
      </w:fldSimple>
      <w:r>
        <w:t xml:space="preserve"> · Unidad 4 · 4.2 · Flujos y niveles: el nivel como integral de sus flujos</w:t>
      </w:r>
      <w:bookmarkEnd w:id="6599"/>
    </w:p>
    <w:p>
      <w:pPr>
        <w:pStyle w:val="Fuente"/>
      </w:pPr>
      <w:r>
        <w:t xml:space="preserve">Presentación 4a (C-3), lámina 26 · lectura L-16, págs. 9 y 10</w:t>
      </w:r>
    </w:p>
    <w:p>
      <w:pPr>
        <w:pStyle w:val="Normal"/>
      </w:pPr>
      <w:r>
        <w:t xml:space="preserve">a) CAPITAL(t) = depósitos(t) − retiros(t)</w:t>
      </w:r>
    </w:p>
    <w:p>
      <w:pPr>
        <w:pStyle w:val="Normal"/>
      </w:pPr>
      <w:r>
        <w:t xml:space="preserve">b) CAPITAL(t) = ∫</w:t>
      </w:r>
      <w:r>
        <w:rPr>
          <w:vertAlign w:val="subscript"/>
        </w:rPr>
        <w:t xml:space="preserve">0</w:t>
      </w:r>
      <w:r>
        <w:rPr>
          <w:vertAlign w:val="superscript"/>
        </w:rPr>
        <w:t xml:space="preserve">t</w:t>
      </w:r>
      <w:r>
        <w:t xml:space="preserve"> (depósitos(τ) + retiros(τ)) dτ + C</w:t>
      </w:r>
    </w:p>
    <w:p>
      <w:pPr>
        <w:pStyle w:val="Normal"/>
      </w:pPr>
      <w:r>
        <w:t xml:space="preserve">c) CAPITAL(t) = ∫</w:t>
      </w:r>
      <w:r>
        <w:rPr>
          <w:vertAlign w:val="subscript"/>
        </w:rPr>
        <w:t xml:space="preserve">0</w:t>
      </w:r>
      <w:r>
        <w:rPr>
          <w:vertAlign w:val="superscript"/>
        </w:rPr>
        <w:t xml:space="preserve">t</w:t>
      </w:r>
      <w:r>
        <w:t xml:space="preserve"> (depósitos(τ) − retiros(τ)) dτ + C</w:t>
      </w:r>
    </w:p>
    <w:p>
      <w:pPr>
        <w:pStyle w:val="Normal"/>
      </w:pPr>
      <w:r>
        <w:t xml:space="preserve">d) CAPITAL(t) = d(depósitos(t) − retiros(t))/dt</w:t>
      </w:r>
    </w:p>
    <w:p>
      <w:pPr>
        <w:pStyle w:val="Normal"/>
      </w:pPr>
      <w:r>
        <w:t xml:space="preserve">e) CAPITAL(t) = C · (depósitos(t) − retiros(t))</w:t>
      </w:r>
    </w:p>
    <w:p>
      <w:pPr>
        <w:pStyle w:val="Heading3"/>
      </w:pPr>
      <w:bookmarkStart w:name="b_pregunta_p3c_27_nivel_sin_flujos" w:id="6600"/>
      <w:r>
        <w:t xml:space="preserve">S3-28 · Unidad 4 · 4.2 · Flujos y niveles: un nivel sin flujos</w:t>
      </w:r>
      <w:bookmarkEnd w:id="6600"/>
    </w:p>
    <w:p>
      <w:pPr>
        <w:pStyle w:val="Normal"/>
      </w:pPr>
      <w:r>
        <w:t xml:space="preserve">Según la lectura L-16, un nivel que no tiene ningún flujo de entrada ni de salida conserva su valor inicial durante toda la simulación, y por eso se comporta como una constante.</w:t>
      </w:r>
    </w:p>
    <w:p>
      <w:pPr>
        <w:pStyle w:val="Fuente"/>
      </w:pPr>
      <w:r>
        <w:t xml:space="preserve">Ordinal de la fuente: 27 · complemento editorial.</w:t>
      </w:r>
    </w:p>
    <w:p>
      <w:pPr>
        <w:pStyle w:val="Normal"/>
      </w:pPr>
      <w:r>
        <w:t xml:space="preserve">a) Verdadero</w:t>
      </w:r>
    </w:p>
    <w:p>
      <w:pPr>
        <w:pStyle w:val="Normal"/>
      </w:pPr>
      <w:r>
        <w:t xml:space="preserve">b) Falso</w:t>
      </w:r>
    </w:p>
    <w:p>
      <w:pPr>
        <w:pStyle w:val="Heading3"/>
      </w:pPr>
      <w:bookmarkStart w:name="b_pregunta_p3c_75_cobertura" w:id="6601"/>
      <w:r>
        <w:t xml:space="preserve">S3-29 · Unidad 4 · 4.2 · Multiplicador y unidades</w:t>
      </w:r>
      <w:bookmarkEnd w:id="6601"/>
    </w:p>
    <w:p>
      <w:pPr>
        <w:pStyle w:val="Normal"/>
      </w:pPr>
      <w:r>
        <w:t xml:space="preserve">Una tasa de 0.2/mes actúa sobre 100 unidades, modificada por un factor 0.6. ¿Cuál es el flujo resultante?</w:t>
      </w:r>
    </w:p>
    <w:p>
      <w:pPr>
        <w:pStyle w:val="Fuente"/>
      </w:pPr>
      <w:r>
        <w:t xml:space="preserve">Ordinal de la fuente: 75 · complemento editorial.</w:t>
      </w:r>
    </w:p>
    <w:p>
      <w:pPr>
        <w:pStyle w:val="Normal"/>
      </w:pPr>
      <w:r>
        <w:t xml:space="preserve">a) 12 unidades</w:t>
      </w:r>
    </w:p>
    <w:p>
      <w:pPr>
        <w:pStyle w:val="Normal"/>
      </w:pPr>
      <w:r>
        <w:t xml:space="preserve">b) 12 unidades/mes</w:t>
      </w:r>
    </w:p>
    <w:p>
      <w:pPr>
        <w:pStyle w:val="Normal"/>
      </w:pPr>
      <w:r>
        <w:t xml:space="preserve">c) 120 unidades</w:t>
      </w:r>
    </w:p>
    <w:p>
      <w:pPr>
        <w:pStyle w:val="Normal"/>
      </w:pPr>
      <w:r>
        <w:t xml:space="preserve">d) 20.6 unidades/mes</w:t>
      </w:r>
    </w:p>
    <w:p>
      <w:pPr>
        <w:pStyle w:val="Heading3"/>
      </w:pPr>
      <w:bookmarkStart w:name="b_pregunta_p3c_76_cobertura" w:id="6602"/>
      <w:r>
        <w:t xml:space="preserve">S3-30 · Unidad 4 · 4.2 · Demora material</w:t>
      </w:r>
      <w:bookmarkEnd w:id="6602"/>
    </w:p>
    <w:p>
      <w:pPr>
        <w:pStyle w:val="Normal"/>
      </w:pPr>
      <w:r>
        <w:t xml:space="preserve">Hay 60 paquetes en tránsito y un tiempo medio de salida de 3 días. En una demora de primer orden, ¿qué salida inicial corresponde?</w:t>
      </w:r>
    </w:p>
    <w:p>
      <w:pPr>
        <w:pStyle w:val="Fuente"/>
      </w:pPr>
      <w:r>
        <w:t xml:space="preserve">Ordinal de la fuente: 76 · complemento editorial.</w:t>
      </w:r>
    </w:p>
    <w:p>
      <w:pPr>
        <w:pStyle w:val="Normal"/>
      </w:pPr>
      <w:r>
        <w:t xml:space="preserve">a) 180 paquetes/día.</w:t>
      </w:r>
    </w:p>
    <w:p>
      <w:pPr>
        <w:pStyle w:val="Normal"/>
      </w:pPr>
      <w:r>
        <w:t xml:space="preserve">b) 3 paquetes/día, porque el tiempo medio es el flujo.</w:t>
      </w:r>
    </w:p>
    <w:p>
      <w:pPr>
        <w:pStyle w:val="Normal"/>
      </w:pPr>
      <w:r>
        <w:t xml:space="preserve">c) 20 paquetes/día; no implica que cada paquete permanezca exactamente tres días.</w:t>
      </w:r>
    </w:p>
    <w:p>
      <w:pPr>
        <w:pStyle w:val="Normal"/>
      </w:pPr>
      <w:r>
        <w:t xml:space="preserve">d) 20 paquetes; todos salen exactamente al tercer día.</w:t>
      </w:r>
    </w:p>
    <w:p>
      <w:pPr>
        <w:pStyle w:val="Heading3"/>
      </w:pPr>
      <w:r>
        <w:t xml:space="preserve">Tema 4.3 · De ciclos causales a flujos</w:t>
      </w:r>
    </w:p>
    <w:p>
      <w:pPr>
        <w:pStyle w:val="Heading3"/>
      </w:pPr>
      <w:bookmarkStart w:name="b_pregunta_p3c_28_clientes_pote_fa2969f2" w:id="6603"/>
      <w:r>
        <w:t xml:space="preserve">S3-31 · Unidad 4 · 4.3 · Conversión de DCC: las reglas con los clientes</w:t>
      </w:r>
      <w:bookmarkEnd w:id="6603"/>
    </w:p>
    <w:p>
      <w:pPr>
        <w:pStyle w:val="Normal"/>
      </w:pPr>
      <w:r>
        <w:t xml:space="preserve">En el ejemplo de la lámina 18 de la presentación 4a (en la lámina, en inglés: Potential Customers, sales y Actual Customers), el diagrama de ciclos causales une Clientes potenciales, Ventas y Clientes actuales: Clientes potenciales → Ventas (+), Ventas → Clientes potenciales (−) y Ventas → Clientes actuales (+). Al aplicar las reglas de conversión a un diagrama de flujos y niveles, ¿cuáles de las siguientes afirmaciones son correctas?</w:t>
      </w:r>
    </w:p>
    <w:p>
      <w:pPr>
        <w:pStyle w:val="Fuente"/>
      </w:pPr>
      <w:r>
        <w:t xml:space="preserve">Ordinal de la fuente: 28 · complemento editorial.</w:t>
      </w:r>
    </w:p>
    <w:p>
      <w:pPr>
        <w:pStyle w:val="Normal"/>
      </w:pPr>
      <w:r>
        <w:t xml:space="preserve">a) Clientes potenciales y Clientes actuales son niveles, porque son poblaciones</w:t>
      </w:r>
    </w:p>
    <w:p>
      <w:pPr>
        <w:pStyle w:val="Normal"/>
      </w:pPr>
      <w:r>
        <w:t xml:space="preserve">b) Como la flecha de Clientes potenciales a Ventas tiene polaridad +, Clientes potenciales es un flujo de entrada</w:t>
      </w:r>
    </w:p>
    <w:p>
      <w:pPr>
        <w:pStyle w:val="Normal"/>
      </w:pPr>
      <w:r>
        <w:t xml:space="preserve">c) Ventas es un flujo de salida de Clientes potenciales y un flujo de entrada de Clientes actuales</w:t>
      </w:r>
    </w:p>
    <w:p>
      <w:pPr>
        <w:pStyle w:val="Normal"/>
      </w:pPr>
      <w:r>
        <w:t xml:space="preserve">d) Clientes actuales es un flujo, porque recibe una flecha de Ventas</w:t>
      </w:r>
    </w:p>
    <w:p>
      <w:pPr>
        <w:pStyle w:val="Normal"/>
      </w:pPr>
      <w:r>
        <w:t xml:space="preserve">e) Ventas es un nivel, porque las ventas de un mes se pueden contar</w:t>
      </w:r>
    </w:p>
    <w:p>
      <w:pPr>
        <w:pStyle w:val="Heading3"/>
      </w:pPr>
      <w:bookmarkStart w:name="b_pregunta_p3c_29_poblacion_vul_c62b321b" w:id="6604"/>
      <w:r>
        <w:t xml:space="preserve">S3-32 · Unidad 4 · 4.3 · Conversión de DCC: las variables de la epidemia</w:t>
      </w:r>
      <w:bookmarkEnd w:id="6604"/>
    </w:p>
    <w:p>
      <w:pPr>
        <w:pStyle w:val="Normal"/>
      </w:pPr>
      <w:r>
        <w:t xml:space="preserve">En el diagrama de flujo y nivel para la propagación de una epidemia de la presentación 4a, ¿qué tipo de variable es la población vulnerable PV, y por qué?</w:t>
      </w:r>
    </w:p>
    <w:p>
      <w:pPr>
        <w:pStyle w:val="Fuente"/>
      </w:pPr>
      <w:r>
        <w:t xml:space="preserve">Ordinal de la fuente: 29 · complemento editorial.</w:t>
      </w:r>
    </w:p>
    <w:p>
      <w:pPr>
        <w:pStyle w:val="Normal"/>
      </w:pPr>
      <w:r>
        <w:t xml:space="preserve">a) Un nivel, porque es una población y las poblaciones son stocks</w:t>
      </w:r>
    </w:p>
    <w:p>
      <w:pPr>
        <w:pStyle w:val="Normal"/>
      </w:pPr>
      <w:r>
        <w:t xml:space="preserve">b) Un flujo, porque cambia a lo largo del tiempo</w:t>
      </w:r>
    </w:p>
    <w:p>
      <w:pPr>
        <w:pStyle w:val="Normal"/>
      </w:pPr>
      <w:r>
        <w:t xml:space="preserve">c) Una variable auxiliar, porque representa un paso intermedio en la determinación de TC a partir de PI</w:t>
      </w:r>
    </w:p>
    <w:p>
      <w:pPr>
        <w:pStyle w:val="Normal"/>
      </w:pPr>
      <w:r>
        <w:t xml:space="preserve">d) Una constante, como la población total PT</w:t>
      </w:r>
    </w:p>
    <w:p>
      <w:pPr>
        <w:pStyle w:val="Normal"/>
      </w:pPr>
      <w:r>
        <w:t xml:space="preserve">e) Un flujo de salida de PI, porque la flecha de PI a PV tiene polaridad −</w:t>
      </w:r>
    </w:p>
    <w:p>
      <w:pPr>
        <w:pStyle w:val="Heading3"/>
      </w:pPr>
      <w:bookmarkStart w:name="b_pregunta_p3c_30_capacidad_de_planta" w:id="6605"/>
      <w:r>
        <w:t xml:space="preserve">S3-33 · Unidad 4 · 4.3 · Conversión de DCC: ejercicio 1, la capacidad de planta</w:t>
      </w:r>
      <w:bookmarkEnd w:id="6605"/>
    </w:p>
    <w:p>
      <w:pPr>
        <w:pStyle w:val="Normal"/>
      </w:pPr>
      <w:r>
        <w:t xml:space="preserve">En el ejercicio 1 de conversión de la presentación 4a, el diagrama de ciclos causales es un ciclo de balance entre Capacidad de planta, Falta de capacidad y Ajustes de capacidad, al que llega la Demanda promedio de los clientes. Si la capacidad de planta es el nivel, ¿cuál es su flujo y de qué tipo es?</w:t>
      </w:r>
    </w:p>
    <w:p>
      <w:pPr>
        <w:pStyle w:val="Fuente"/>
      </w:pPr>
      <w:r>
        <w:t xml:space="preserve">Ordinal de la fuente: 30 · complemento editorial.</w:t>
      </w:r>
    </w:p>
    <w:p>
      <w:pPr>
        <w:keepNext/>
        <w:spacing w:after="40" w:before="150"/>
        <w:jc w:val="center"/>
      </w:pPr>
      <w:bookmarkStart w:name="b_figura_original_p3c_30_capaci_6f560f2e" w:id="6606"/>
      <w:bookmarkEnd w:id="6606"/>
      <w:r>
        <w:drawing>
          <wp:inline distT="0" distB="0" distL="0" distR="0">
            <wp:extent cx="5381625" cy="3143250"/>
            <wp:effectExtent t="0" r="0" b="0" l="0"/>
            <wp:docPr id="271" name="p3c-30-capacidad-de-planta-enunciado" descr="Presentación 4a (C-3), láminas 18, 19 y 20" title="Unidad 4 · 4.3 · Conversión de DCC: ejercicio 1, la capacidad de plan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25" cstate="none"/>
                    <a:srcRect/>
                    <a:stretch>
                      <a:fillRect/>
                    </a:stretch>
                  </pic:blipFill>
                  <pic:spPr bwMode="auto">
                    <a:xfrm>
                      <a:off x="0" y="0"/>
                      <a:ext cx="5381625" cy="3143250"/>
                    </a:xfrm>
                    <a:prstGeom prst="rect">
                      <a:avLst/>
                    </a:prstGeom>
                  </pic:spPr>
                </pic:pic>
              </a:graphicData>
            </a:graphic>
          </wp:inline>
        </w:drawing>
      </w:r>
    </w:p>
    <w:p>
      <w:pPr>
        <w:pStyle w:val="PieFigura"/>
        <w:keepNext/>
      </w:pPr>
      <w:bookmarkStart w:name="b_fig_S3_5" w:id="6607"/>
      <w:r>
        <w:t xml:space="preserve">Figura S3.</w:t>
      </w:r>
      <w:fldSimple w:instr="SEQ Figura \n \* ARABIC">
        <w:r>
          <w:t xml:space="preserve">5</w:t>
        </w:r>
      </w:fldSimple>
      <w:r>
        <w:t xml:space="preserve"> · Unidad 4 · 4.3 · Conversión de DCC: ejercicio 1, la capacidad de planta</w:t>
      </w:r>
      <w:bookmarkEnd w:id="6607"/>
    </w:p>
    <w:p>
      <w:pPr>
        <w:pStyle w:val="LecturaFigura"/>
        <w:keepNext/>
      </w:pPr>
      <w:r>
        <w:rPr>
          <w:b/>
          <w:bCs/>
        </w:rPr>
        <w:t xml:space="preserve">Lectura del diagrama: </w:t>
      </w:r>
      <w:r>
        <w:t xml:space="preserve">Presentación 4a · pág. 19 · Ejercicio #1 de conversión de DCC a diagramas de flujo y niveles</w:t>
      </w:r>
    </w:p>
    <w:p>
      <w:pPr>
        <w:pStyle w:val="Fuente"/>
      </w:pPr>
      <w:r>
        <w:t xml:space="preserve">Presentación 4a (C-3), láminas 18, 19 y 20</w:t>
      </w:r>
    </w:p>
    <w:p>
      <w:pPr>
        <w:pStyle w:val="Normal"/>
      </w:pPr>
      <w:r>
        <w:t xml:space="preserve">a) Ajustes de capacidad, un flujo de entrada, porque su flecha llega a la capacidad con polaridad +</w:t>
      </w:r>
    </w:p>
    <w:p>
      <w:pPr>
        <w:pStyle w:val="Normal"/>
      </w:pPr>
      <w:r>
        <w:t xml:space="preserve">b) Ajustes de capacidad, un flujo de salida, porque el ciclo es de balance</w:t>
      </w:r>
    </w:p>
    <w:p>
      <w:pPr>
        <w:pStyle w:val="Normal"/>
      </w:pPr>
      <w:r>
        <w:t xml:space="preserve">c) Falta de capacidad, un flujo de salida, porque la flecha entre la capacidad y la falta tiene polaridad −</w:t>
      </w:r>
    </w:p>
    <w:p>
      <w:pPr>
        <w:pStyle w:val="Normal"/>
      </w:pPr>
      <w:r>
        <w:t xml:space="preserve">d) Demanda promedio de los clientes, un flujo de entrada, porque llega desde fuera del ciclo</w:t>
      </w:r>
    </w:p>
    <w:p>
      <w:pPr>
        <w:pStyle w:val="Heading3"/>
      </w:pPr>
      <w:bookmarkStart w:name="b_pregunta_p3c_31_huevos_y_gallinas" w:id="6608"/>
      <w:r>
        <w:t xml:space="preserve">S3-34 · Unidad 4 · 4.3 · Conversión de DCC: ejercicio 2, huevos y gallinas</w:t>
      </w:r>
      <w:bookmarkEnd w:id="6608"/>
    </w:p>
    <w:p>
      <w:pPr>
        <w:pStyle w:val="Normal"/>
      </w:pPr>
      <w:r>
        <w:t xml:space="preserve">El ejercicio 2 de conversión de la presentación 4a relaciona, en inglés, huevos (Eggs), puesta (Laying), eclosión (Hatching), gallinas (Chicken), cruces de carretera (Road Crossings) y muertes (Expiring). Según la solución de la presentación, ¿cuáles de las siguientes afirmaciones sobre el diagrama de flujos y niveles son correctas?</w:t>
      </w:r>
    </w:p>
    <w:p>
      <w:pPr>
        <w:pStyle w:val="Fuente"/>
      </w:pPr>
      <w:r>
        <w:t xml:space="preserve">Ordinal de la fuente: 31 · complemento editorial.</w:t>
      </w:r>
    </w:p>
    <w:p>
      <w:pPr>
        <w:keepNext/>
        <w:spacing w:after="40" w:before="150"/>
        <w:jc w:val="center"/>
      </w:pPr>
      <w:bookmarkStart w:name="b_figura_original_p3c_31_huevos_1e33274b" w:id="6609"/>
      <w:bookmarkEnd w:id="6609"/>
      <w:r>
        <w:drawing>
          <wp:inline distT="0" distB="0" distL="0" distR="0">
            <wp:extent cx="5381625" cy="3143250"/>
            <wp:effectExtent t="0" r="0" b="0" l="0"/>
            <wp:docPr id="272" name="p3c-31-huevos-y-gallinas-enunciado" descr="Presentación 4a (C-3), láminas 18, 22 y 32" title="Unidad 4 · 4.3 · Conversión de DCC: ejercicio 2, huevos y gallin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32" cstate="none"/>
                    <a:srcRect/>
                    <a:stretch>
                      <a:fillRect/>
                    </a:stretch>
                  </pic:blipFill>
                  <pic:spPr bwMode="auto">
                    <a:xfrm>
                      <a:off x="0" y="0"/>
                      <a:ext cx="5381625" cy="3143250"/>
                    </a:xfrm>
                    <a:prstGeom prst="rect">
                      <a:avLst/>
                    </a:prstGeom>
                  </pic:spPr>
                </pic:pic>
              </a:graphicData>
            </a:graphic>
          </wp:inline>
        </w:drawing>
      </w:r>
    </w:p>
    <w:p>
      <w:pPr>
        <w:pStyle w:val="PieFigura"/>
        <w:keepNext/>
      </w:pPr>
      <w:bookmarkStart w:name="b_fig_S3_6" w:id="6610"/>
      <w:r>
        <w:t xml:space="preserve">Figura S3.</w:t>
      </w:r>
      <w:fldSimple w:instr="SEQ Figura \n \* ARABIC">
        <w:r>
          <w:t xml:space="preserve">6</w:t>
        </w:r>
      </w:fldSimple>
      <w:r>
        <w:t xml:space="preserve"> · Unidad 4 · 4.3 · Conversión de DCC: ejercicio 2, huevos y gallinas</w:t>
      </w:r>
      <w:bookmarkEnd w:id="6610"/>
    </w:p>
    <w:p>
      <w:pPr>
        <w:pStyle w:val="LecturaFigura"/>
        <w:keepNext/>
      </w:pPr>
      <w:r>
        <w:rPr>
          <w:b/>
          <w:bCs/>
        </w:rPr>
        <w:t xml:space="preserve">Lectura del diagrama: </w:t>
      </w:r>
      <w:r>
        <w:t xml:space="preserve">Presentación 4a · pág. 22 · Ejercicio #2 de conversión de DCC a diagramas de flujo y niveles</w:t>
      </w:r>
    </w:p>
    <w:p>
      <w:pPr>
        <w:pStyle w:val="Fuente"/>
      </w:pPr>
      <w:r>
        <w:t xml:space="preserve">Presentación 4a (C-3), láminas 18, 22 y 32</w:t>
      </w:r>
    </w:p>
    <w:p>
      <w:pPr>
        <w:pStyle w:val="Normal"/>
      </w:pPr>
      <w:r>
        <w:t xml:space="preserve">a) Huevos y Gallinas son los dos niveles del modelo</w:t>
      </w:r>
    </w:p>
    <w:p>
      <w:pPr>
        <w:pStyle w:val="Normal"/>
      </w:pPr>
      <w:r>
        <w:t xml:space="preserve">b) Los cruces de carretera son un flujo de salida de Gallinas</w:t>
      </w:r>
    </w:p>
    <w:p>
      <w:pPr>
        <w:pStyle w:val="Normal"/>
      </w:pPr>
      <w:r>
        <w:t xml:space="preserve">c) La eclosión es un flujo que sale de Huevos y entra a Gallinas</w:t>
      </w:r>
    </w:p>
    <w:p>
      <w:pPr>
        <w:pStyle w:val="Normal"/>
      </w:pPr>
      <w:r>
        <w:t xml:space="preserve">d) La puesta es un flujo que sale de Gallinas y entra a Huevos</w:t>
      </w:r>
    </w:p>
    <w:p>
      <w:pPr>
        <w:pStyle w:val="Normal"/>
      </w:pPr>
      <w:r>
        <w:t xml:space="preserve">e) Las muertes son un flujo de entrada de Gallinas</w:t>
      </w:r>
    </w:p>
    <w:p>
      <w:pPr>
        <w:pStyle w:val="Heading3"/>
      </w:pPr>
      <w:bookmarkStart w:name="b_pregunta_p3c_32_capital_e_interes" w:id="6611"/>
      <w:r>
        <w:t xml:space="preserve">S3-35 · Unidad 4 · 4.3 · Conversión de DCC: el capital y su interés</w:t>
      </w:r>
      <w:bookmarkEnd w:id="6611"/>
    </w:p>
    <w:p>
      <w:pPr>
        <w:pStyle w:val="Normal"/>
      </w:pPr>
      <w:r>
        <w:t xml:space="preserve">En el ejemplo de crecimiento exponencial de la lámina 21 de la presentación 4a, el diagrama causal une Interés y Capital con dos flechas positivas, y la tasa influye en el interés. Al convertirlo, el capital queda como nivel con un único flujo, el interés. ¿Por qué el capital simulado crece de forma exponencial y no en línea recta?</w:t>
      </w:r>
    </w:p>
    <w:p>
      <w:pPr>
        <w:pStyle w:val="Fuente"/>
      </w:pPr>
      <w:r>
        <w:t xml:space="preserve">Ordinal de la fuente: 32 · complemento editorial.</w:t>
      </w:r>
    </w:p>
    <w:p>
      <w:pPr>
        <w:pStyle w:val="Normal"/>
      </w:pPr>
      <w:r>
        <w:t xml:space="preserve">a) Porque la tasa de interés aumenta mes a mes</w:t>
      </w:r>
    </w:p>
    <w:p>
      <w:pPr>
        <w:pStyle w:val="Normal"/>
      </w:pPr>
      <w:r>
        <w:t xml:space="preserve">b) Porque el interés, su flujo de entrada, depende del propio capital: más capital da más interés, en un ciclo de refuerzo</w:t>
      </w:r>
    </w:p>
    <w:p>
      <w:pPr>
        <w:pStyle w:val="Normal"/>
      </w:pPr>
      <w:r>
        <w:t xml:space="preserve">c) Porque el interés es un segundo nivel que se acumula junto al capital</w:t>
      </w:r>
    </w:p>
    <w:p>
      <w:pPr>
        <w:pStyle w:val="Normal"/>
      </w:pPr>
      <w:r>
        <w:t xml:space="preserve">d) Porque el capital recibe cada mes un flujo de entrada constante</w:t>
      </w:r>
    </w:p>
    <w:p>
      <w:pPr>
        <w:pStyle w:val="Normal"/>
      </w:pPr>
      <w:r>
        <w:t xml:space="preserve">e) Porque el ciclo entre el interés y el capital es de balance</w:t>
      </w:r>
    </w:p>
    <w:p>
      <w:pPr>
        <w:pStyle w:val="Heading3"/>
      </w:pPr>
      <w:bookmarkStart w:name="b_pregunta_p3c_33_confiar_en_el_4fae480b" w:id="6612"/>
      <w:r>
        <w:t xml:space="preserve">S3-36 · Unidad 4 · 4.3 · Conversión de DCC: por qué pasar al diagrama de Forrester</w:t>
      </w:r>
      <w:bookmarkEnd w:id="6612"/>
    </w:p>
    <w:p>
      <w:pPr>
        <w:pStyle w:val="Normal"/>
      </w:pPr>
      <w:r>
        <w:t xml:space="preserve">Según la lectura L-16, ¿por qué no se debe confiar plenamente en la versión final de un diagrama causal a menos que se haya hecho a partir de él un diagrama de flujos y niveles?</w:t>
      </w:r>
    </w:p>
    <w:p>
      <w:pPr>
        <w:pStyle w:val="Fuente"/>
      </w:pPr>
      <w:r>
        <w:t xml:space="preserve">Ordinal de la fuente: 33 · complemento editorial.</w:t>
      </w:r>
    </w:p>
    <w:p>
      <w:pPr>
        <w:pStyle w:val="Normal"/>
      </w:pPr>
      <w:r>
        <w:t xml:space="preserve">a) Porque el diagrama causal no captura las relaciones de realimentación del fenómeno</w:t>
      </w:r>
    </w:p>
    <w:p>
      <w:pPr>
        <w:pStyle w:val="Normal"/>
      </w:pPr>
      <w:r>
        <w:t xml:space="preserve">b) Porque al pasar al diagrama de Forrester desaparecen los ciclos de realimentación del diagrama causal</w:t>
      </w:r>
    </w:p>
    <w:p>
      <w:pPr>
        <w:pStyle w:val="Normal"/>
      </w:pPr>
      <w:r>
        <w:t xml:space="preserve">c) Porque la construcción del diagrama de Forrester permite corregir relaciones que se pasan por alto cuando se hace un diagrama de influencias</w:t>
      </w:r>
    </w:p>
    <w:p>
      <w:pPr>
        <w:pStyle w:val="Normal"/>
      </w:pPr>
      <w:r>
        <w:t xml:space="preserve">d) Porque el diagrama causal no indica si una influencia es positiva o negativa</w:t>
      </w:r>
    </w:p>
    <w:p>
      <w:pPr>
        <w:pStyle w:val="Normal"/>
      </w:pPr>
      <w:r>
        <w:t xml:space="preserve">e) Porque un diagrama causal sólo puede representar sistemas sin acumulaciones</w:t>
      </w:r>
    </w:p>
    <w:p>
      <w:pPr>
        <w:pStyle w:val="Heading3"/>
      </w:pPr>
      <w:bookmarkStart w:name="b_pregunta_p3c_34_lineas_de_dynamo" w:id="6613"/>
      <w:r>
        <w:t xml:space="preserve">S3-37 · Unidad 4 · 4.3 · Conversión de DCC: el modelo programado en DYNAMO</w:t>
      </w:r>
      <w:bookmarkEnd w:id="6613"/>
    </w:p>
    <w:p>
      <w:pPr>
        <w:pStyle w:val="Normal"/>
      </w:pPr>
      <w:r>
        <w:t xml:space="preserve">La lámina 13 de la presentación 4a trae el modelo de la epidemia programado en DYNAMO. Cada línea empieza con una letra que indica el tipo de ecuación. Relacione cada línea del listado con lo que declara.</w:t>
      </w:r>
    </w:p>
    <w:p>
      <w:pPr>
        <w:pStyle w:val="Fuente"/>
      </w:pPr>
      <w:r>
        <w:t xml:space="preserve">Ordinal de la fuente: 34 · complemento editorial.</w:t>
      </w:r>
    </w:p>
    <w:p>
      <w:pPr>
        <w:pStyle w:val="Normal"/>
      </w:pPr>
      <w:r>
        <w:t xml:space="preserve">a) Fila: l   pi.k = pi.j+dt * tc.jk</w:t>
      </w:r>
    </w:p>
    <w:p>
      <w:pPr>
        <w:pStyle w:val="Normal"/>
      </w:pPr>
      <w:r>
        <w:t xml:space="preserve">b) Fila: r   tc.kl = ipc * tcn * pi.k * pv.k</w:t>
      </w:r>
    </w:p>
    <w:p>
      <w:pPr>
        <w:pStyle w:val="Normal"/>
      </w:pPr>
      <w:r>
        <w:t xml:space="preserve">c) Fila: a   pv.k = pt - pi.k</w:t>
      </w:r>
    </w:p>
    <w:p>
      <w:pPr>
        <w:pStyle w:val="Normal"/>
      </w:pPr>
      <w:r>
        <w:t xml:space="preserve">d) Fila: c   pt = 100</w:t>
      </w:r>
    </w:p>
    <w:p>
      <w:pPr>
        <w:pStyle w:val="Normal"/>
      </w:pPr>
      <w:r>
        <w:t xml:space="preserve">e) Fila: n   pi = 10</w:t>
      </w:r>
    </w:p>
    <w:p>
      <w:pPr>
        <w:pStyle w:val="Normal"/>
      </w:pPr>
      <w:r>
        <w:t xml:space="preserve">f) a) Ecuación de flujo</w:t>
      </w:r>
    </w:p>
    <w:p>
      <w:pPr>
        <w:pStyle w:val="Normal"/>
      </w:pPr>
      <w:r>
        <w:t xml:space="preserve">g) b) Función tabla: una relación no lineal</w:t>
      </w:r>
    </w:p>
    <w:p>
      <w:pPr>
        <w:pStyle w:val="Normal"/>
      </w:pPr>
      <w:r>
        <w:t xml:space="preserve">h) c) Condición inicial de una variable de nivel</w:t>
      </w:r>
    </w:p>
    <w:p>
      <w:pPr>
        <w:pStyle w:val="Normal"/>
      </w:pPr>
      <w:r>
        <w:t xml:space="preserve">i) d) Ecuación de nivel</w:t>
      </w:r>
    </w:p>
    <w:p>
      <w:pPr>
        <w:pStyle w:val="Normal"/>
      </w:pPr>
      <w:r>
        <w:t xml:space="preserve">j) e) Retardo de material</w:t>
      </w:r>
    </w:p>
    <w:p>
      <w:pPr>
        <w:pStyle w:val="Normal"/>
      </w:pPr>
      <w:r>
        <w:t xml:space="preserve">k) f) Constante</w:t>
      </w:r>
    </w:p>
    <w:p>
      <w:pPr>
        <w:pStyle w:val="Normal"/>
      </w:pPr>
      <w:r>
        <w:t xml:space="preserve">l) g) Variable auxiliar</w:t>
      </w:r>
    </w:p>
    <w:p>
      <w:pPr>
        <w:pStyle w:val="Heading3"/>
      </w:pPr>
      <w:bookmarkStart w:name="b_pregunta_p3c_35_comportamient_ec2db3b5" w:id="6614"/>
      <w:r>
        <w:t xml:space="preserve">S3-38 · Unidad 4 · 4.3 · Conversión de DCC: el comportamiento de la epidemia</w:t>
      </w:r>
      <w:bookmarkEnd w:id="6614"/>
    </w:p>
    <w:p>
      <w:pPr>
        <w:pStyle w:val="Normal"/>
      </w:pPr>
      <w:r>
        <w:t xml:space="preserve">Con los valores del listado DYNAMO de la lámina 13 de la presentación 4a —PI inicial de 10, PT = 100, IPC = 0.15, TNC = 0.025, dt = 0.25 y 40 unidades de tiempo—, ¿cuáles de las siguientes afirmaciones describen el comportamiento simulado del modelo de la epidemia?</w:t>
      </w:r>
    </w:p>
    <w:p>
      <w:pPr>
        <w:pStyle w:val="Fuente"/>
      </w:pPr>
      <w:r>
        <w:t xml:space="preserve">Ordinal de la fuente: 35 · complemento editorial.</w:t>
      </w:r>
    </w:p>
    <w:p>
      <w:pPr>
        <w:pStyle w:val="Normal"/>
      </w:pPr>
      <w:r>
        <w:t xml:space="preserve">a) La población infectada PI crece en forma de S y se acerca a la población total</w:t>
      </w:r>
    </w:p>
    <w:p>
      <w:pPr>
        <w:pStyle w:val="Normal"/>
      </w:pPr>
      <w:r>
        <w:t xml:space="preserve">b) La tasa de contagio TC crece exponencialmente durante toda la simulación</w:t>
      </w:r>
    </w:p>
    <w:p>
      <w:pPr>
        <w:pStyle w:val="Normal"/>
      </w:pPr>
      <w:r>
        <w:t xml:space="preserve">c) La tasa de contagio TC sube hasta un máximo, cuando cerca de la mitad de la población está infectada, y después vuelve a cero</w:t>
      </w:r>
    </w:p>
    <w:p>
      <w:pPr>
        <w:pStyle w:val="Normal"/>
      </w:pPr>
      <w:r>
        <w:t xml:space="preserve">d) La población vulnerable PV crece junto con la población infectada</w:t>
      </w:r>
    </w:p>
    <w:p>
      <w:pPr>
        <w:pStyle w:val="Normal"/>
      </w:pPr>
      <w:r>
        <w:t xml:space="preserve">e) La población infectada oscila alrededor de la mitad de la población total</w:t>
      </w:r>
    </w:p>
    <w:p>
      <w:pPr>
        <w:pStyle w:val="Heading3"/>
      </w:pPr>
      <w:bookmarkStart w:name="b_pregunta_p3c_36_de_los_enunci_5e151a32" w:id="6615"/>
      <w:r>
        <w:t xml:space="preserve">S3-39 · Unidad 4 · 4.3 · Conversión de DCC: de los enunciados a la simulación</w:t>
      </w:r>
      <w:bookmarkEnd w:id="6615"/>
    </w:p>
    <w:p>
      <w:pPr>
        <w:pStyle w:val="Normal"/>
      </w:pPr>
      <w:r>
        <w:t xml:space="preserve">La presentación 4a lleva el modelo de la epidemia desde su descripción verbal hasta la simulación, en las láminas 10 a 13. Ordene los pasos como los sigue la presentación.</w:t>
      </w:r>
    </w:p>
    <w:p>
      <w:pPr>
        <w:pStyle w:val="Fuente"/>
      </w:pPr>
      <w:r>
        <w:t xml:space="preserve">Ordinal de la fuente: 36 · complemento editorial.</w:t>
      </w:r>
    </w:p>
    <w:p>
      <w:pPr>
        <w:pStyle w:val="Normal"/>
      </w:pPr>
      <w:r>
        <w:t xml:space="preserve">a) Asociar a cada variable su icono y dibujar el diagrama de Forrester</w:t>
      </w:r>
    </w:p>
    <w:p>
      <w:pPr>
        <w:pStyle w:val="Normal"/>
      </w:pPr>
      <w:r>
        <w:t xml:space="preserve">b) Describir el proceso con enunciados en lenguaje ordinario, de R1 a R4</w:t>
      </w:r>
    </w:p>
    <w:p>
      <w:pPr>
        <w:pStyle w:val="Normal"/>
      </w:pPr>
      <w:r>
        <w:t xml:space="preserve">c) Escribir las ecuaciones de nivel, de flujo y de la variable auxiliar</w:t>
      </w:r>
    </w:p>
    <w:p>
      <w:pPr>
        <w:pStyle w:val="Normal"/>
      </w:pPr>
      <w:r>
        <w:t xml:space="preserve">d) Clasificar las variables en niveles, flujos y auxiliares</w:t>
      </w:r>
    </w:p>
    <w:p>
      <w:pPr>
        <w:pStyle w:val="Normal"/>
      </w:pPr>
      <w:r>
        <w:t xml:space="preserve">e) Programar el modelo en DYNAMO y generar las trayectorias</w:t>
      </w:r>
    </w:p>
    <w:p>
      <w:pPr>
        <w:pStyle w:val="Normal"/>
      </w:pPr>
      <w:r>
        <w:t xml:space="preserve">f) Convertir los enunciados en relaciones de influencia y reunirlas en un diagrama de influencias</w:t>
      </w:r>
    </w:p>
    <w:p>
      <w:pPr>
        <w:pStyle w:val="Heading3"/>
      </w:pPr>
      <w:bookmarkStart w:name="b_pregunta_p3c_37_unidades_de_los_flujos" w:id="6616"/>
      <w:r>
        <w:t xml:space="preserve">S3-40 · Unidad 4 · 4.3 · Conversión de DCC: las unidades de los flujos</w:t>
      </w:r>
      <w:bookmarkEnd w:id="6616"/>
    </w:p>
    <w:p>
      <w:pPr>
        <w:pStyle w:val="Normal"/>
      </w:pPr>
      <w:r>
        <w:t xml:space="preserve">Según las reglas de conversión de la lámina 18 de la presentación 4a, si un nivel Y se mide en kg/s, sus flujos X y Z podrían medirse en kg/s².</w:t>
      </w:r>
    </w:p>
    <w:p>
      <w:pPr>
        <w:pStyle w:val="Fuente"/>
      </w:pPr>
      <w:r>
        <w:t xml:space="preserve">Ordinal de la fuente: 37 · complemento editorial.</w:t>
      </w:r>
    </w:p>
    <w:p>
      <w:pPr>
        <w:pStyle w:val="Normal"/>
      </w:pPr>
      <w:r>
        <w:t xml:space="preserve">a) Verdadero</w:t>
      </w:r>
    </w:p>
    <w:p>
      <w:pPr>
        <w:pStyle w:val="Normal"/>
      </w:pPr>
      <w:r>
        <w:t xml:space="preserve">b) Falso</w:t>
      </w:r>
    </w:p>
    <w:p>
      <w:pPr>
        <w:pStyle w:val="Heading3"/>
      </w:pPr>
      <w:bookmarkStart w:name="b_pregunta_p3c_81_proyecto_alivio" w:id="6617"/>
      <w:r>
        <w:t xml:space="preserve">S3-41 · Unidad 4 · 4.3 · Proyecto: alivio aparente</w:t>
      </w:r>
      <w:bookmarkEnd w:id="6617"/>
    </w:p>
    <w:p>
      <w:pPr>
        <w:pStyle w:val="Normal"/>
      </w:pPr>
      <w:r>
        <w:t xml:space="preserve">En el caso del trabajador de la clase 20, ¿qué explica B1 y por qué no demuestra avance real del proyecto?</w:t>
      </w:r>
    </w:p>
    <w:p>
      <w:pPr>
        <w:pStyle w:val="Fuente"/>
      </w:pPr>
      <w:r>
        <w:t xml:space="preserve">Ordinal de la fuente: 81 · complemento editorial.</w:t>
      </w:r>
    </w:p>
    <w:p>
      <w:pPr>
        <w:pStyle w:val="Normal"/>
      </w:pPr>
      <w:r>
        <w:t xml:space="preserve">a) Hacer tareas menores aumenta la percepción de progreso y reduce las dificultades percibidas, aunque queden tareas críticas.</w:t>
      </w:r>
    </w:p>
    <w:p>
      <w:pPr>
        <w:pStyle w:val="Normal"/>
      </w:pPr>
      <w:r>
        <w:t xml:space="preserve">b) El cansancio por horas extra reduce el rendimiento de Ana.</w:t>
      </w:r>
    </w:p>
    <w:p>
      <w:pPr>
        <w:pStyle w:val="Normal"/>
      </w:pPr>
      <w:r>
        <w:t xml:space="preserve">c) Completar tareas menores elimina necesariamente los pendientes difíciles.</w:t>
      </w:r>
    </w:p>
    <w:p>
      <w:pPr>
        <w:pStyle w:val="Normal"/>
      </w:pPr>
      <w:r>
        <w:t xml:space="preserve">d) B1 sólo es una secuencia sin retorno a dificultades.</w:t>
      </w:r>
    </w:p>
    <w:p>
      <w:pPr>
        <w:pStyle w:val="Heading3"/>
      </w:pPr>
      <w:bookmarkStart w:name="b_pregunta_p3c_82_proyecto_pendientes" w:id="6618"/>
      <w:r>
        <w:t xml:space="preserve">S3-42 · Unidad 4 · 4.3 · Proyecto: pendientes difíciles</w:t>
      </w:r>
      <w:bookmarkEnd w:id="6618"/>
    </w:p>
    <w:p>
      <w:pPr>
        <w:pStyle w:val="Normal"/>
      </w:pPr>
      <w:r>
        <w:t xml:space="preserve">¿Cómo se cierra R2 en el proyecto del trabajador que evita las tareas difíciles?</w:t>
      </w:r>
    </w:p>
    <w:p>
      <w:pPr>
        <w:pStyle w:val="Fuente"/>
      </w:pPr>
      <w:r>
        <w:t xml:space="preserve">Ordinal de la fuente: 82 · complemento editorial.</w:t>
      </w:r>
    </w:p>
    <w:p>
      <w:pPr>
        <w:pStyle w:val="Normal"/>
      </w:pPr>
      <w:r>
        <w:t xml:space="preserve">a) Dificultades → horas extra → fatiga → dificultades.</w:t>
      </w:r>
    </w:p>
    <w:p>
      <w:pPr>
        <w:pStyle w:val="Normal"/>
      </w:pPr>
      <w:r>
        <w:t xml:space="preserve">b) Dificultades → tareas menos importantes → tareas difíciles sin completar → dificultades, con tres relaciones positivas.</w:t>
      </w:r>
    </w:p>
    <w:p>
      <w:pPr>
        <w:pStyle w:val="Normal"/>
      </w:pPr>
      <w:r>
        <w:t xml:space="preserve">c) Tareas menores → percepción de progreso → dificultades, sin volver a tareas menores.</w:t>
      </w:r>
    </w:p>
    <w:p>
      <w:pPr>
        <w:pStyle w:val="Normal"/>
      </w:pPr>
      <w:r>
        <w:t xml:space="preserve">d) Pendientes difíciles → dificultades con signo negativo, porque los pendientes ayudan.</w:t>
      </w:r>
    </w:p>
    <w:p>
      <w:pPr>
        <w:pStyle w:val="Heading3"/>
      </w:pPr>
      <w:bookmarkStart w:name="b_pregunta_p3c_83_proyecto_tiempo" w:id="6619"/>
      <w:r>
        <w:t xml:space="preserve">S3-43 · Unidad 4 · 4.3 · Proyecto: tiempo disponible</w:t>
      </w:r>
      <w:bookmarkEnd w:id="6619"/>
    </w:p>
    <w:p>
      <w:pPr>
        <w:pStyle w:val="Normal"/>
      </w:pPr>
      <w:r>
        <w:t xml:space="preserve">En R3 del proyecto, tareas menores → tiempo disponible (−) → dificultades (−) → tareas menores (+). ¿Qué ciclo resulta?</w:t>
      </w:r>
    </w:p>
    <w:p>
      <w:pPr>
        <w:pStyle w:val="Fuente"/>
      </w:pPr>
      <w:r>
        <w:t xml:space="preserve">Ordinal de la fuente: 83 · complemento editorial.</w:t>
      </w:r>
    </w:p>
    <w:p>
      <w:pPr>
        <w:pStyle w:val="Normal"/>
      </w:pPr>
      <w:r>
        <w:t xml:space="preserve">a) Balance, porque hay relaciones negativas.</w:t>
      </w:r>
    </w:p>
    <w:p>
      <w:pPr>
        <w:pStyle w:val="Normal"/>
      </w:pPr>
      <w:r>
        <w:t xml:space="preserve">b) No hay ciclo, porque el tiempo no puede ser variable.</w:t>
      </w:r>
    </w:p>
    <w:p>
      <w:pPr>
        <w:pStyle w:val="Normal"/>
      </w:pPr>
      <w:r>
        <w:t xml:space="preserve">c) Refuerzo: dos negativas se compensan y la evasión agrava las dificultades.</w:t>
      </w:r>
    </w:p>
    <w:p>
      <w:pPr>
        <w:pStyle w:val="Normal"/>
      </w:pPr>
      <w:r>
        <w:t xml:space="preserve">d) Balance, porque todo empeoramiento es compensación.</w:t>
      </w:r>
    </w:p>
    <w:p>
      <w:pPr>
        <w:pStyle w:val="Heading3"/>
      </w:pPr>
      <w:bookmarkStart w:name="b_pregunta_p3c_84_proyecto_recursos" w:id="6620"/>
      <w:r>
        <w:t xml:space="preserve">S3-44 · Unidad 4 · 4.3 · Proyecto: información y recursos</w:t>
      </w:r>
      <w:bookmarkEnd w:id="6620"/>
    </w:p>
    <w:p>
      <w:pPr>
        <w:pStyle w:val="Normal"/>
      </w:pPr>
      <w:r>
        <w:t xml:space="preserve">¿Qué lectura de R4 y qué límite para convertir el proyecto en una simulación son correctos?</w:t>
      </w:r>
    </w:p>
    <w:p>
      <w:pPr>
        <w:pStyle w:val="Fuente"/>
      </w:pPr>
      <w:r>
        <w:t xml:space="preserve">Ordinal de la fuente: 84 · complemento editorial.</w:t>
      </w:r>
    </w:p>
    <w:p>
      <w:pPr>
        <w:pStyle w:val="Normal"/>
      </w:pPr>
      <w:r>
        <w:t xml:space="preserve">a) La información causa fatiga; basta dibujar flechas para obtener una corrida.</w:t>
      </w:r>
    </w:p>
    <w:p>
      <w:pPr>
        <w:pStyle w:val="Normal"/>
      </w:pPr>
      <w:r>
        <w:t xml:space="preserve">b) Dos negativas siempre forman balance y fijan un plazo numérico.</w:t>
      </w:r>
    </w:p>
    <w:p>
      <w:pPr>
        <w:pStyle w:val="Normal"/>
      </w:pPr>
      <w:r>
        <w:t xml:space="preserve">c) Toda información es necesariamente un nivel; sus parámetros pueden suponerse oficiales.</w:t>
      </w:r>
    </w:p>
    <w:p>
      <w:pPr>
        <w:pStyle w:val="Normal"/>
      </w:pPr>
      <w:r>
        <w:t xml:space="preserve">d) Las tareas menores reducen información/recursos disponibles; su reducción agrava dificultades: es refuerzo y faltan datos para una corrida.</w:t>
      </w:r>
    </w:p>
    <w:p>
      <w:pPr>
        <w:pStyle w:val="Heading3"/>
      </w:pPr>
      <w:r>
        <w:t xml:space="preserve">Tema 4.4 · Simulación con VENSIM</w:t>
      </w:r>
    </w:p>
    <w:p>
      <w:pPr>
        <w:pStyle w:val="Heading3"/>
      </w:pPr>
      <w:bookmarkStart w:name="b_pregunta_p3c_38_fase_de_formalizacion" w:id="6621"/>
      <w:r>
        <w:t xml:space="preserve">S3-45 · Unidad 4 · 4.4 · Simulación: la fase de formalización</w:t>
      </w:r>
      <w:bookmarkEnd w:id="6621"/>
    </w:p>
    <w:p>
      <w:pPr>
        <w:pStyle w:val="Normal"/>
      </w:pPr>
      <w:r>
        <w:t xml:space="preserve">«En esta fase se pretende convertir el diagrama de influencias, alcanzado en la anterior, en el de Forrester. A partir de este diagrama se pueden escribir las ecuaciones del modelo». ¿A qué fase de la construcción de un modelo de simulación dinámica se refiere esta descripción?</w:t>
      </w:r>
    </w:p>
    <w:p>
      <w:pPr>
        <w:pStyle w:val="Fuente"/>
      </w:pPr>
      <w:r>
        <w:t xml:space="preserve">Ordinal de la fuente: 38 · complemento editorial.</w:t>
      </w:r>
    </w:p>
    <w:p>
      <w:pPr>
        <w:pStyle w:val="Normal"/>
      </w:pPr>
      <w:r>
        <w:t xml:space="preserve">a) Conceptualización del sistema</w:t>
      </w:r>
    </w:p>
    <w:p>
      <w:pPr>
        <w:pStyle w:val="Normal"/>
      </w:pPr>
      <w:r>
        <w:t xml:space="preserve">b) Formalización</w:t>
      </w:r>
    </w:p>
    <w:p>
      <w:pPr>
        <w:pStyle w:val="Normal"/>
      </w:pPr>
      <w:r>
        <w:t xml:space="preserve">c) Comportamiento del modelo</w:t>
      </w:r>
    </w:p>
    <w:p>
      <w:pPr>
        <w:pStyle w:val="Normal"/>
      </w:pPr>
      <w:r>
        <w:t xml:space="preserve">d) Evaluación del modelo</w:t>
      </w:r>
    </w:p>
    <w:p>
      <w:pPr>
        <w:pStyle w:val="Normal"/>
      </w:pPr>
      <w:r>
        <w:t xml:space="preserve">e) Explotación del modelo</w:t>
      </w:r>
    </w:p>
    <w:p>
      <w:pPr>
        <w:pStyle w:val="Heading3"/>
      </w:pPr>
      <w:bookmarkStart w:name="b_pregunta_p3c_39_fases_de_aracil" w:id="6622"/>
      <w:r>
        <w:t xml:space="preserve">S3-46 · Unidad 4 · 4.4 · Simulación: las fases de la construcción de un modelo</w:t>
      </w:r>
      <w:bookmarkEnd w:id="6622"/>
    </w:p>
    <w:p>
      <w:pPr>
        <w:pStyle w:val="Normal"/>
      </w:pPr>
      <w:r>
        <w:t xml:space="preserve">La presentación 4a reproduce la figura de Aracil con las fases en la construcción de un modelo de simulación dinámica. Ordénelas desde la primera hasta la última.</w:t>
      </w:r>
    </w:p>
    <w:p>
      <w:pPr>
        <w:pStyle w:val="Fuente"/>
      </w:pPr>
      <w:r>
        <w:t xml:space="preserve">Ordinal de la fuente: 39 · complemento editorial.</w:t>
      </w:r>
    </w:p>
    <w:p>
      <w:pPr>
        <w:pStyle w:val="Normal"/>
      </w:pPr>
      <w:r>
        <w:t xml:space="preserve">a) Comportamiento del modelo</w:t>
      </w:r>
    </w:p>
    <w:p>
      <w:pPr>
        <w:pStyle w:val="Normal"/>
      </w:pPr>
      <w:r>
        <w:t xml:space="preserve">b) Definición del problema</w:t>
      </w:r>
    </w:p>
    <w:p>
      <w:pPr>
        <w:pStyle w:val="Normal"/>
      </w:pPr>
      <w:r>
        <w:t xml:space="preserve">c) Explotación del modelo</w:t>
      </w:r>
    </w:p>
    <w:p>
      <w:pPr>
        <w:pStyle w:val="Normal"/>
      </w:pPr>
      <w:r>
        <w:t xml:space="preserve">d) Formalización</w:t>
      </w:r>
    </w:p>
    <w:p>
      <w:pPr>
        <w:pStyle w:val="Normal"/>
      </w:pPr>
      <w:r>
        <w:t xml:space="preserve">e) Evaluación del modelo</w:t>
      </w:r>
    </w:p>
    <w:p>
      <w:pPr>
        <w:pStyle w:val="Normal"/>
      </w:pPr>
      <w:r>
        <w:t xml:space="preserve">f) Conceptualización del sistema</w:t>
      </w:r>
    </w:p>
    <w:p>
      <w:pPr>
        <w:pStyle w:val="Heading3"/>
      </w:pPr>
      <w:bookmarkStart w:name="b_pregunta_p3c_40_parametros_de_a0c06397" w:id="6623"/>
      <w:r>
        <w:t xml:space="preserve">S3-47 · Unidad 4 · 4.4 · Simulación: los componentes del modelo</w:t>
      </w:r>
      <w:bookmarkEnd w:id="6623"/>
    </w:p>
    <w:p>
      <w:pPr>
        <w:pStyle w:val="Normal"/>
      </w:pPr>
      <w:r>
        <w:t xml:space="preserve">En el modelo de crecimiento de una población con recursos limitados con que la presentación 4a señala los componentes de un modelo de simulación dinámica, ¿qué elementos lleva rotulados como parámetro?</w:t>
      </w:r>
    </w:p>
    <w:p>
      <w:pPr>
        <w:pStyle w:val="Fuente"/>
      </w:pPr>
      <w:r>
        <w:t xml:space="preserve">Ordinal de la fuente: 40 · complemento editorial.</w:t>
      </w:r>
    </w:p>
    <w:p>
      <w:pPr>
        <w:pStyle w:val="Normal"/>
      </w:pPr>
      <w:r>
        <w:t xml:space="preserve">a) Tasa Natalidad</w:t>
      </w:r>
    </w:p>
    <w:p>
      <w:pPr>
        <w:pStyle w:val="Normal"/>
      </w:pPr>
      <w:r>
        <w:t xml:space="preserve">b) Coef. Carga</w:t>
      </w:r>
    </w:p>
    <w:p>
      <w:pPr>
        <w:pStyle w:val="Normal"/>
      </w:pPr>
      <w:r>
        <w:t xml:space="preserve">c) K</w:t>
      </w:r>
    </w:p>
    <w:p>
      <w:pPr>
        <w:pStyle w:val="Normal"/>
      </w:pPr>
      <w:r>
        <w:t xml:space="preserve">d) Tasa Mortalidad</w:t>
      </w:r>
    </w:p>
    <w:p>
      <w:pPr>
        <w:pStyle w:val="Normal"/>
      </w:pPr>
      <w:r>
        <w:t xml:space="preserve">e) Población</w:t>
      </w:r>
    </w:p>
    <w:p>
      <w:pPr>
        <w:pStyle w:val="Heading3"/>
      </w:pPr>
      <w:bookmarkStart w:name="b_pregunta_p3c_41_inconveniente_b350b8f3" w:id="6624"/>
      <w:r>
        <w:t xml:space="preserve">S3-48 · Unidad 4 · 4.4 · Simulación: ventajas e inconvenientes</w:t>
      </w:r>
      <w:bookmarkEnd w:id="6624"/>
    </w:p>
    <w:p>
      <w:pPr>
        <w:pStyle w:val="Normal"/>
      </w:pPr>
      <w:r>
        <w:t xml:space="preserve">Según la tabla de ventajas e inconvenientes de la simulación dinámica de sistemas de la presentación 4a, ¿cuáles de las siguientes son inconvenientes?</w:t>
      </w:r>
    </w:p>
    <w:p>
      <w:pPr>
        <w:pStyle w:val="Fuente"/>
      </w:pPr>
      <w:r>
        <w:t xml:space="preserve">Ordinal de la fuente: 41 · complemento editorial.</w:t>
      </w:r>
    </w:p>
    <w:p>
      <w:pPr>
        <w:pStyle w:val="Normal"/>
      </w:pPr>
      <w:r>
        <w:t xml:space="preserve">a) La complejidad, el elevado coste y la inversión en tiempo que puede acarrear la elaboración de un modelo de simulación que recoja adecuadamente el comportamiento de un sistema dinámico</w:t>
      </w:r>
    </w:p>
    <w:p>
      <w:pPr>
        <w:pStyle w:val="Normal"/>
      </w:pPr>
      <w:r>
        <w:t xml:space="preserve">b) Que existan los métodos y el modelo, pero el procedimiento para resolverlo sea excesivamente complejo</w:t>
      </w:r>
    </w:p>
    <w:p>
      <w:pPr>
        <w:pStyle w:val="Normal"/>
      </w:pPr>
      <w:r>
        <w:t xml:space="preserve">c) El riesgo de no incluir en el modelo algún elemento o variable aparentemente innecesaria y que, por su importancia, conduzca a que los resultados obtenidos con el modelo sean falsos</w:t>
      </w:r>
    </w:p>
    <w:p>
      <w:pPr>
        <w:pStyle w:val="Normal"/>
      </w:pPr>
      <w:r>
        <w:t xml:space="preserve">d) Que el sistema del que se desea obtener información evolucione muy lentamente</w:t>
      </w:r>
    </w:p>
    <w:p>
      <w:pPr>
        <w:pStyle w:val="Normal"/>
      </w:pPr>
      <w:r>
        <w:t xml:space="preserve">e) La dificultad o incluso imposibilidad de conocer el nivel de imprecisión de los resultados obtenidos de la simulación</w:t>
      </w:r>
    </w:p>
    <w:p>
      <w:pPr>
        <w:pStyle w:val="Heading3"/>
      </w:pPr>
      <w:bookmarkStart w:name="b_pregunta_p3c_42_aprendizaje_formal" w:id="6625"/>
      <w:r>
        <w:t xml:space="preserve">S3-49 · Unidad 4 · 4.4 · Modelado según su uso: el aprendizaje formal</w:t>
      </w:r>
      <w:bookmarkEnd w:id="6625"/>
    </w:p>
    <w:p>
      <w:pPr>
        <w:pStyle w:val="Normal"/>
      </w:pPr>
      <w:r>
        <w:t xml:space="preserve">En el esquema del modelado para el aprendizaje, el modelador transforma su modelo mental en un modelo formal, «que al simular permite reformular el» modelo mental. ¿Cómo se llama el ciclo que se cierra así?</w:t>
      </w:r>
    </w:p>
    <w:p>
      <w:pPr>
        <w:pStyle w:val="Fuente"/>
      </w:pPr>
      <w:r>
        <w:t xml:space="preserve">Ordinal de la fuente: 42 · complemento editorial.</w:t>
      </w:r>
    </w:p>
    <w:p>
      <w:pPr>
        <w:pStyle w:val="Normal"/>
      </w:pPr>
      <w:r>
        <w:t xml:space="preserve">a) Aprendizaje informal</w:t>
      </w:r>
    </w:p>
    <w:p>
      <w:pPr>
        <w:pStyle w:val="Normal"/>
      </w:pPr>
      <w:r>
        <w:t xml:space="preserve">b) Aprendizaje formal</w:t>
      </w:r>
    </w:p>
    <w:p>
      <w:pPr>
        <w:pStyle w:val="Normal"/>
      </w:pPr>
      <w:r>
        <w:t xml:space="preserve">c) Ciclo de la explicación</w:t>
      </w:r>
    </w:p>
    <w:p>
      <w:pPr>
        <w:pStyle w:val="Normal"/>
      </w:pPr>
      <w:r>
        <w:t xml:space="preserve">d) Ciclo para la intervención</w:t>
      </w:r>
    </w:p>
    <w:p>
      <w:pPr>
        <w:pStyle w:val="Normal"/>
      </w:pPr>
      <w:r>
        <w:t xml:space="preserve">e) Modelado de reconstrucción</w:t>
      </w:r>
    </w:p>
    <w:p>
      <w:pPr>
        <w:pStyle w:val="Heading3"/>
      </w:pPr>
      <w:bookmarkStart w:name="b_pregunta_p3c_43_intervencion__5053a9fa" w:id="6626"/>
      <w:r>
        <w:t xml:space="preserve">S3-50 · Unidad 4 · 4.4 · Modelado según su uso: la intervención</w:t>
      </w:r>
      <w:bookmarkEnd w:id="6626"/>
    </w:p>
    <w:p>
      <w:pPr>
        <w:pStyle w:val="Normal"/>
      </w:pPr>
      <w:r>
        <w:t xml:space="preserve">El modelado para la intervención incluye el modelado para el aprendizaje y el modelado para la explicación: además de aprender y de explicar, el modelador usa el modelo como referente para intervenir en lo real.</w:t>
      </w:r>
    </w:p>
    <w:p>
      <w:pPr>
        <w:pStyle w:val="Fuente"/>
      </w:pPr>
      <w:r>
        <w:t xml:space="preserve">Ordinal de la fuente: 43 · complemento editorial.</w:t>
      </w:r>
    </w:p>
    <w:p>
      <w:pPr>
        <w:pStyle w:val="Normal"/>
      </w:pPr>
      <w:r>
        <w:t xml:space="preserve">a) Verdadero</w:t>
      </w:r>
    </w:p>
    <w:p>
      <w:pPr>
        <w:pStyle w:val="Normal"/>
      </w:pPr>
      <w:r>
        <w:t xml:space="preserve">b) Falso</w:t>
      </w:r>
    </w:p>
    <w:p>
      <w:pPr>
        <w:pStyle w:val="Heading3"/>
      </w:pPr>
      <w:bookmarkStart w:name="b_pregunta_p3c_44_modelado_de_replica" w:id="6627"/>
      <w:r>
        <w:t xml:space="preserve">S3-51 · Unidad 4 · 4.4 · Modelado según su proceso: la réplica</w:t>
      </w:r>
      <w:bookmarkEnd w:id="6627"/>
    </w:p>
    <w:p>
      <w:pPr>
        <w:pStyle w:val="Normal"/>
      </w:pPr>
      <w:r>
        <w:t xml:space="preserve">¿En qué forma de modelado «el modelador cumple meramente con un papel secundario, el de traductor del lenguaje de la teoría al lenguaje de la forma de modelado»?</w:t>
      </w:r>
    </w:p>
    <w:p>
      <w:pPr>
        <w:pStyle w:val="Fuente"/>
      </w:pPr>
      <w:r>
        <w:t xml:space="preserve">Ordinal de la fuente: 44 · complemento editorial.</w:t>
      </w:r>
    </w:p>
    <w:p>
      <w:pPr>
        <w:pStyle w:val="Normal"/>
      </w:pPr>
      <w:r>
        <w:t xml:space="preserve">a) Modelado de réplica</w:t>
      </w:r>
    </w:p>
    <w:p>
      <w:pPr>
        <w:pStyle w:val="Normal"/>
      </w:pPr>
      <w:r>
        <w:t xml:space="preserve">b) Modelado de reconstrucción</w:t>
      </w:r>
    </w:p>
    <w:p>
      <w:pPr>
        <w:pStyle w:val="Normal"/>
      </w:pPr>
      <w:r>
        <w:t xml:space="preserve">c) Modelado de construcción</w:t>
      </w:r>
    </w:p>
    <w:p>
      <w:pPr>
        <w:pStyle w:val="Normal"/>
      </w:pPr>
      <w:r>
        <w:t xml:space="preserve">d) Modelado para la explicación</w:t>
      </w:r>
    </w:p>
    <w:p>
      <w:pPr>
        <w:pStyle w:val="Normal"/>
      </w:pPr>
      <w:r>
        <w:t xml:space="preserve">e) Modelado para la intervención</w:t>
      </w:r>
    </w:p>
    <w:p>
      <w:pPr>
        <w:pStyle w:val="Heading3"/>
      </w:pPr>
      <w:bookmarkStart w:name="b_pregunta_p3c_45_ambientes_de__74336431" w:id="6628"/>
      <w:r>
        <w:t xml:space="preserve">S3-52 · Unidad 4 · 4.4 · Simulación: los ambientes de desarrollo</w:t>
      </w:r>
      <w:bookmarkEnd w:id="6628"/>
    </w:p>
    <w:p>
      <w:pPr>
        <w:pStyle w:val="Normal"/>
      </w:pPr>
      <w:r>
        <w:t xml:space="preserve">Relacione cada descripción con el ambiente de desarrollo de modelos de simulación dinámica al que corresponde.</w:t>
      </w:r>
    </w:p>
    <w:p>
      <w:pPr>
        <w:pStyle w:val="Fuente"/>
      </w:pPr>
      <w:r>
        <w:t xml:space="preserve">Ordinal de la fuente: 45 · complemento editorial.</w:t>
      </w:r>
    </w:p>
    <w:p>
      <w:pPr>
        <w:pStyle w:val="Normal"/>
      </w:pPr>
      <w:r>
        <w:t xml:space="preserve">a) Fila: «Es el más clásico de los lenguajes. No presenta posibilidades de modelado mediante iconos, pero sin embargo permite tratar ecuaciones de gran dimensión»</w:t>
      </w:r>
    </w:p>
    <w:p>
      <w:pPr>
        <w:pStyle w:val="Normal"/>
      </w:pPr>
      <w:r>
        <w:t xml:space="preserve">b) Fila: Dos entornos de estructura similar que construyen los diagramas de Forrester en la pantalla: «mientras el primero se encuentra más orientado hacia usos académicos el segundo lo hace hacia aplicaciones profesionales»</w:t>
      </w:r>
    </w:p>
    <w:p>
      <w:pPr>
        <w:pStyle w:val="Normal"/>
      </w:pPr>
      <w:r>
        <w:t xml:space="preserve">c) Fila: Un entorno europeo, no americano, que «Permite desarrollar varios modelos simultáneamente, e interconectarlos posteriormente entre sí»</w:t>
      </w:r>
    </w:p>
    <w:p>
      <w:pPr>
        <w:pStyle w:val="Normal"/>
      </w:pPr>
      <w:r>
        <w:t xml:space="preserve">d) Fila: «Permite documentar automáticamente el modelo según se va construyendo, y crea árboles que permiten seguir las relaciones de causa efecto a lo largo del modelo»</w:t>
      </w:r>
    </w:p>
    <w:p>
      <w:pPr>
        <w:pStyle w:val="Normal"/>
      </w:pPr>
      <w:r>
        <w:t xml:space="preserve">e) a) Professional DYNAMO</w:t>
      </w:r>
    </w:p>
    <w:p>
      <w:pPr>
        <w:pStyle w:val="Normal"/>
      </w:pPr>
      <w:r>
        <w:t xml:space="preserve">f) b) STELLA e i-think</w:t>
      </w:r>
    </w:p>
    <w:p>
      <w:pPr>
        <w:pStyle w:val="Normal"/>
      </w:pPr>
      <w:r>
        <w:t xml:space="preserve">g) c) Mosaikk-SimTek</w:t>
      </w:r>
    </w:p>
    <w:p>
      <w:pPr>
        <w:pStyle w:val="Normal"/>
      </w:pPr>
      <w:r>
        <w:t xml:space="preserve">h) d) PowerSim</w:t>
      </w:r>
    </w:p>
    <w:p>
      <w:pPr>
        <w:pStyle w:val="Normal"/>
      </w:pPr>
      <w:r>
        <w:t xml:space="preserve">i) e) VenSim</w:t>
      </w:r>
    </w:p>
    <w:p>
      <w:pPr>
        <w:pStyle w:val="Heading3"/>
      </w:pPr>
      <w:bookmarkStart w:name="b_pregunta_p3c_46_analisis_de_s_23441bbf" w:id="6629"/>
      <w:r>
        <w:t xml:space="preserve">S3-53 · Unidad 4 · 4.4 · Simulación: el análisis de sensibilidad</w:t>
      </w:r>
      <w:bookmarkEnd w:id="6629"/>
    </w:p>
    <w:p>
      <w:pPr>
        <w:pStyle w:val="Normal"/>
      </w:pPr>
      <w:r>
        <w:t xml:space="preserve">Para Aracil, el análisis de sensibilidad de un modelo «constituye uno de los elementos esenciales para evaluación». ¿A qué cuestiones permite dar respuesta?</w:t>
      </w:r>
    </w:p>
    <w:p>
      <w:pPr>
        <w:pStyle w:val="Fuente"/>
      </w:pPr>
      <w:r>
        <w:t xml:space="preserve">Ordinal de la fuente: 46 · complemento editorial.</w:t>
      </w:r>
    </w:p>
    <w:p>
      <w:pPr>
        <w:pStyle w:val="Normal"/>
      </w:pPr>
      <w:r>
        <w:t xml:space="preserve">a) En qué medida el modelo es insensible a variaciones en su estructura y, por tanto, resulta robusto</w:t>
      </w:r>
    </w:p>
    <w:p>
      <w:pPr>
        <w:pStyle w:val="Normal"/>
      </w:pPr>
      <w:r>
        <w:t xml:space="preserve">b) Qué valor exacto tomará una magnitud en un instante determinado del futuro</w:t>
      </w:r>
    </w:p>
    <w:p>
      <w:pPr>
        <w:pStyle w:val="Normal"/>
      </w:pPr>
      <w:r>
        <w:t xml:space="preserve">c) Cuáles son los puntos de máxima sensibilidad del modelo, que sugieren qué actuaciones sobre el proceso real serán más efectivas</w:t>
      </w:r>
    </w:p>
    <w:p>
      <w:pPr>
        <w:pStyle w:val="Normal"/>
      </w:pPr>
      <w:r>
        <w:t xml:space="preserve">d) Cómo convertir el diagrama de influencias en el diagrama de Forrester</w:t>
      </w:r>
    </w:p>
    <w:p>
      <w:pPr>
        <w:pStyle w:val="Normal"/>
      </w:pPr>
      <w:r>
        <w:t xml:space="preserve">e) Qué variables del diagrama de ciclos causales son niveles y cuáles son flujos</w:t>
      </w:r>
    </w:p>
    <w:p>
      <w:pPr>
        <w:pStyle w:val="Heading3"/>
      </w:pPr>
      <w:bookmarkStart w:name="b_pregunta_p3c_47_time_step_del_prestamo" w:id="6630"/>
      <w:r>
        <w:t xml:space="preserve">S3-54 · Unidad 4 · 4.4 · Vensim: el TIME STEP y el método de Euler</w:t>
      </w:r>
      <w:bookmarkEnd w:id="6630"/>
    </w:p>
    <w:p>
      <w:pPr>
        <w:pStyle w:val="Normal"/>
      </w:pPr>
      <w:r>
        <w:t xml:space="preserve">El saldo del banco 1 del ejercicio del préstamo ($2,000.00 al 5 % mensual, sin pagos) se arma en Vensim como un nivel cuyo único flujo es Intereses = 0.05 * Saldo. Con TIME STEP = 1 mes, la corrida da $3,591.71 a los 12 meses. Si se corre el mismo modelo con TIME STEP = 0.25 y el método de Euler, ¿qué saldo muestra a los 12 meses?</w:t>
      </w:r>
    </w:p>
    <w:p>
      <w:pPr>
        <w:pStyle w:val="Fuente"/>
      </w:pPr>
      <w:r>
        <w:t xml:space="preserve">Ordinal de la fuente: 47 · complemento editorial.</w:t>
      </w:r>
    </w:p>
    <w:p>
      <w:pPr>
        <w:pStyle w:val="Normal"/>
      </w:pPr>
      <w:r>
        <w:t xml:space="preserve">a) $3,591.71</w:t>
      </w:r>
    </w:p>
    <w:p>
      <w:pPr>
        <w:pStyle w:val="Normal"/>
      </w:pPr>
      <w:r>
        <w:t xml:space="preserve">b) $3,630.71</w:t>
      </w:r>
    </w:p>
    <w:p>
      <w:pPr>
        <w:pStyle w:val="Normal"/>
      </w:pPr>
      <w:r>
        <w:t xml:space="preserve">c) $3,644.24</w:t>
      </w:r>
    </w:p>
    <w:p>
      <w:pPr>
        <w:pStyle w:val="Normal"/>
      </w:pPr>
      <w:r>
        <w:t xml:space="preserve">d) $3,200.00</w:t>
      </w:r>
    </w:p>
    <w:p>
      <w:pPr>
        <w:pStyle w:val="Normal"/>
      </w:pPr>
      <w:r>
        <w:t xml:space="preserve">e) $20,802.54</w:t>
      </w:r>
    </w:p>
    <w:p>
      <w:pPr>
        <w:pStyle w:val="Heading3"/>
      </w:pPr>
      <w:bookmarkStart w:name="b_pregunta_p3c_77_cobertura" w:id="6631"/>
      <w:r>
        <w:t xml:space="preserve">S3-55 · Unidad 4 · 4.4 · Validación</w:t>
      </w:r>
      <w:bookmarkEnd w:id="6631"/>
    </w:p>
    <w:p>
      <w:pPr>
        <w:pStyle w:val="Normal"/>
      </w:pPr>
      <w:r>
        <w:t xml:space="preserve">Un modelo ejecuta sin errores y reproduce una curva observada. ¿Qué conclusión está justificada?</w:t>
      </w:r>
    </w:p>
    <w:p>
      <w:pPr>
        <w:pStyle w:val="Fuente"/>
      </w:pPr>
      <w:r>
        <w:t xml:space="preserve">Ordinal de la fuente: 77 · complemento editorial.</w:t>
      </w:r>
    </w:p>
    <w:p>
      <w:pPr>
        <w:pStyle w:val="Normal"/>
      </w:pPr>
      <w:r>
        <w:t xml:space="preserve">a) La estructura causal queda demostrada.</w:t>
      </w:r>
    </w:p>
    <w:p>
      <w:pPr>
        <w:pStyle w:val="Normal"/>
      </w:pPr>
      <w:r>
        <w:t xml:space="preserve">b) Las políticas funcionarán en cualquier contexto.</w:t>
      </w:r>
    </w:p>
    <w:p>
      <w:pPr>
        <w:pStyle w:val="Normal"/>
      </w:pPr>
      <w:r>
        <w:t xml:space="preserve">c) Ya no hace falta revisar los valores iniciales.</w:t>
      </w:r>
    </w:p>
    <w:p>
      <w:pPr>
        <w:pStyle w:val="Normal"/>
      </w:pPr>
      <w:r>
        <w:t xml:space="preserve">d) Aún deben contrastarse estructura, unidades, supuestos, extremos y sensibilidad.</w:t>
      </w:r>
    </w:p>
    <w:p>
      <w:pPr>
        <w:pStyle w:val="Heading3"/>
      </w:pPr>
      <w:bookmarkStart w:name="b_pregunta_p3c_85_parametros_significado" w:id="6632"/>
      <w:r>
        <w:t xml:space="preserve">S3-56 · Unidad 4 · 4.4 · Parámetros: significado y especialistas</w:t>
      </w:r>
      <w:bookmarkEnd w:id="6632"/>
    </w:p>
    <w:p>
      <w:pPr>
        <w:pStyle w:val="Normal"/>
      </w:pPr>
      <w:r>
        <w:t xml:space="preserve">¿Cuál es la vía de la lámina 15 para asignar IPC y TNC cuando se dispone de información sobre su significado concreto?</w:t>
      </w:r>
    </w:p>
    <w:p>
      <w:pPr>
        <w:pStyle w:val="Fuente"/>
      </w:pPr>
      <w:r>
        <w:t xml:space="preserve">Ordinal de la fuente: 85 · complemento editorial.</w:t>
      </w:r>
    </w:p>
    <w:p>
      <w:pPr>
        <w:pStyle w:val="Normal"/>
      </w:pPr>
      <w:r>
        <w:t xml:space="preserve">a) Consultar conocimiento y mediciones pertinentes, incluidos especialistas, para estimar infecciones por contagio y tasa normal de contagio.</w:t>
      </w:r>
    </w:p>
    <w:p>
      <w:pPr>
        <w:pStyle w:val="Normal"/>
      </w:pPr>
      <w:r>
        <w:t xml:space="preserve">b) Mover deslizadores hasta obtener una curva atractiva, sin declarar la fuente.</w:t>
      </w:r>
    </w:p>
    <w:p>
      <w:pPr>
        <w:pStyle w:val="Normal"/>
      </w:pPr>
      <w:r>
        <w:t xml:space="preserve">c) Afirmar que validar unidades proporciona automáticamente sus valores.</w:t>
      </w:r>
    </w:p>
    <w:p>
      <w:pPr>
        <w:pStyle w:val="Normal"/>
      </w:pPr>
      <w:r>
        <w:t xml:space="preserve">d) Intercambiar PT y PV para que ambos sean parámetros libres.</w:t>
      </w:r>
    </w:p>
    <w:p>
      <w:pPr>
        <w:pStyle w:val="Heading3"/>
      </w:pPr>
      <w:bookmarkStart w:name="b_pregunta_p3c_86_calibracion_historica" w:id="6633"/>
      <w:r>
        <w:t xml:space="preserve">S3-57 · Unidad 4 · 4.4 · Ajuste con registros históricos</w:t>
      </w:r>
      <w:bookmarkEnd w:id="6633"/>
    </w:p>
    <w:p>
      <w:pPr>
        <w:pStyle w:val="Normal"/>
      </w:pPr>
      <w:r>
        <w:t xml:space="preserve">Si hay registros de la evolución del sistema, ¿qué distingue calibrar parámetros de explorar sensibilidad?</w:t>
      </w:r>
    </w:p>
    <w:p>
      <w:pPr>
        <w:pStyle w:val="Fuente"/>
      </w:pPr>
      <w:r>
        <w:t xml:space="preserve">Ordinal de la fuente: 86 · complemento editorial.</w:t>
      </w:r>
    </w:p>
    <w:p>
      <w:pPr>
        <w:pStyle w:val="Normal"/>
      </w:pPr>
      <w:r>
        <w:t xml:space="preserve">a) Calibrar consiste en variar valores sin comparar con observaciones.</w:t>
      </w:r>
    </w:p>
    <w:p>
      <w:pPr>
        <w:pStyle w:val="Normal"/>
      </w:pPr>
      <w:r>
        <w:t xml:space="preserve">b) Calibrar busca valores que minimicen una discrepancia observada/simulada; sensibilidad estudia cómo cambian resultados al variar valores.</w:t>
      </w:r>
    </w:p>
    <w:p>
      <w:pPr>
        <w:pStyle w:val="Normal"/>
      </w:pPr>
      <w:r>
        <w:t xml:space="preserve">c) Una curva ajustada demuestra que la estructura causal es verdadera.</w:t>
      </w:r>
    </w:p>
    <w:p>
      <w:pPr>
        <w:pStyle w:val="Normal"/>
      </w:pPr>
      <w:r>
        <w:t xml:space="preserve">d) Calibrar elimina la necesidad de declarar valores iniciales y unidades.</w:t>
      </w:r>
    </w:p>
    <w:p>
      <w:pPr>
        <w:pStyle w:val="Heading3"/>
      </w:pPr>
      <w:bookmarkStart w:name="b_pregunta_p3c_87_ambientes_historicos" w:id="6634"/>
      <w:r>
        <w:t xml:space="preserve">S3-58 · Unidad 4 · 4.4 · Cinco ambientes en la lámina histórica</w:t>
      </w:r>
      <w:bookmarkEnd w:id="6634"/>
    </w:p>
    <w:p>
      <w:pPr>
        <w:pStyle w:val="Normal"/>
      </w:pPr>
      <w:r>
        <w:t xml:space="preserve">Según la síntesis histórica de C-3, lámina 53, ¿qué correspondencia entre ambientes y características es correcta?</w:t>
      </w:r>
    </w:p>
    <w:p>
      <w:pPr>
        <w:pStyle w:val="Fuente"/>
      </w:pPr>
      <w:r>
        <w:t xml:space="preserve">Ordinal de la fuente: 87 · complemento editorial.</w:t>
      </w:r>
    </w:p>
    <w:p>
      <w:pPr>
        <w:pStyle w:val="Normal"/>
      </w:pPr>
      <w:r>
        <w:t xml:space="preserve">a) DYNAMO: iconos; STELLA: sólo texto; Mosaikk: sin conexión a SimTek; PowerSim: un modelo único; Vensim: sin documentación.</w:t>
      </w:r>
    </w:p>
    <w:p>
      <w:pPr>
        <w:pStyle w:val="Normal"/>
      </w:pPr>
      <w:r>
        <w:t xml:space="preserve">b) Todos se describen únicamente como programas para dibujar flechas, sin más diferencias.</w:t>
      </w:r>
    </w:p>
    <w:p>
      <w:pPr>
        <w:pStyle w:val="Normal"/>
      </w:pPr>
      <w:r>
        <w:t xml:space="preserve">c) DYNAMO: ecuaciones; STELLA/i-think: interacción gráfica y ecuaciones desde diagramas; Mosaikk–SimTek: interfaz y lenguaje tipo DYNAMO; PowerSim: modelos conectables; Vensim: datos, optimización, documentación y análisis.</w:t>
      </w:r>
    </w:p>
    <w:p>
      <w:pPr>
        <w:pStyle w:val="Normal"/>
      </w:pPr>
      <w:r>
        <w:t xml:space="preserve">d) La lámina demuestra qué producto y versión conviene comprar hoy.</w:t>
      </w:r>
    </w:p>
    <w:p>
      <w:pPr>
        <w:pStyle w:val="Heading3"/>
      </w:pPr>
      <w:bookmarkStart w:name="b_pregunta_p3c_88_unidades_estructura" w:id="6635"/>
      <w:r>
        <w:t xml:space="preserve">S3-59 · Unidad 4 · 4.4 · Alcance de la consistencia dimensional</w:t>
      </w:r>
      <w:bookmarkEnd w:id="6635"/>
    </w:p>
    <w:p>
      <w:pPr>
        <w:pStyle w:val="Normal"/>
      </w:pPr>
      <w:r>
        <w:t xml:space="preserve">Si Units Check acepta las ecuaciones, ¿qué puede concluirse sobre la estructura causal?</w:t>
      </w:r>
    </w:p>
    <w:p>
      <w:pPr>
        <w:pStyle w:val="Fuente"/>
      </w:pPr>
      <w:r>
        <w:t xml:space="preserve">Ordinal de la fuente: 88 · complemento editorial.</w:t>
      </w:r>
    </w:p>
    <w:p>
      <w:pPr>
        <w:pStyle w:val="Normal"/>
      </w:pPr>
      <w:r>
        <w:t xml:space="preserve">a) La estructura queda demostrada para cualquier política.</w:t>
      </w:r>
    </w:p>
    <w:p>
      <w:pPr>
        <w:pStyle w:val="Normal"/>
      </w:pPr>
      <w:r>
        <w:t xml:space="preserve">b) Toda variable relevante está incluida.</w:t>
      </w:r>
    </w:p>
    <w:p>
      <w:pPr>
        <w:pStyle w:val="Normal"/>
      </w:pPr>
      <w:r>
        <w:t xml:space="preserve">c) La calibración histórica ya terminó.</w:t>
      </w:r>
    </w:p>
    <w:p>
      <w:pPr>
        <w:pStyle w:val="Normal"/>
      </w:pPr>
      <w:r>
        <w:t xml:space="preserve">d) La consistencia dimensional es necesaria, pero aún deben contrastarse estructura, supuestos y comportamiento.</w:t>
      </w:r>
    </w:p>
    <w:p>
      <w:pPr>
        <w:pStyle w:val="Heading3"/>
      </w:pPr>
      <w:bookmarkStart w:name="b_pregunta_p3c_94_emparejar_amb_f95b1670" w:id="6636"/>
      <w:r>
        <w:t xml:space="preserve">S3-60 · Unidad 4 · 4.4 · Ambientes históricos de simulación</w:t>
      </w:r>
      <w:bookmarkEnd w:id="6636"/>
    </w:p>
    <w:p>
      <w:pPr>
        <w:pStyle w:val="Normal"/>
      </w:pPr>
      <w:r>
        <w:t xml:space="preserve">Empareje los cinco ambientes con el matiz que les atribuye la presentación histórica C-3, lámina 53. Las descripciones pertenecen a ese material, sin evaluar versiones actuales.</w:t>
      </w:r>
    </w:p>
    <w:p>
      <w:pPr>
        <w:pStyle w:val="Fuente"/>
      </w:pPr>
      <w:r>
        <w:t xml:space="preserve">Ordinal de la fuente: 94 · complemento editorial.</w:t>
      </w:r>
    </w:p>
    <w:p>
      <w:pPr>
        <w:pStyle w:val="Normal"/>
      </w:pPr>
      <w:r>
        <w:t xml:space="preserve">a) Fila: Professional DYNAMO</w:t>
      </w:r>
    </w:p>
    <w:p>
      <w:pPr>
        <w:pStyle w:val="Normal"/>
      </w:pPr>
      <w:r>
        <w:t xml:space="preserve">b) Fila: STELLA / i-think</w:t>
      </w:r>
    </w:p>
    <w:p>
      <w:pPr>
        <w:pStyle w:val="Normal"/>
      </w:pPr>
      <w:r>
        <w:t xml:space="preserve">c) Fila: Mosaikk–SimTek</w:t>
      </w:r>
    </w:p>
    <w:p>
      <w:pPr>
        <w:pStyle w:val="Normal"/>
      </w:pPr>
      <w:r>
        <w:t xml:space="preserve">d) Fila: PowerSim</w:t>
      </w:r>
    </w:p>
    <w:p>
      <w:pPr>
        <w:pStyle w:val="Normal"/>
      </w:pPr>
      <w:r>
        <w:t xml:space="preserve">e) Fila: Vensim</w:t>
      </w:r>
    </w:p>
    <w:p>
      <w:pPr>
        <w:pStyle w:val="Normal"/>
      </w:pPr>
      <w:r>
        <w:t xml:space="preserve">f) a) Lenguaje de ecuaciones sin modelado por iconos</w:t>
      </w:r>
    </w:p>
    <w:p>
      <w:pPr>
        <w:pStyle w:val="Normal"/>
      </w:pPr>
      <w:r>
        <w:t xml:space="preserve">g) b) Interacción gráfica; orientación académica/profesional; ecuaciones desde diagramas</w:t>
      </w:r>
    </w:p>
    <w:p>
      <w:pPr>
        <w:pStyle w:val="Normal"/>
      </w:pPr>
      <w:r>
        <w:t xml:space="preserve">h) c) Interfaz gráfica conectada al lenguaje SimTek, tipo DYNAMO</w:t>
      </w:r>
    </w:p>
    <w:p>
      <w:pPr>
        <w:pStyle w:val="Normal"/>
      </w:pPr>
      <w:r>
        <w:t xml:space="preserve">i) d) Varios modelos simultáneos que pueden interconectarse</w:t>
      </w:r>
    </w:p>
    <w:p>
      <w:pPr>
        <w:pStyle w:val="Normal"/>
      </w:pPr>
      <w:r>
        <w:t xml:space="preserve">j) e) Organización de datos, optimización, documentación, árboles causales y análisis estadístico</w:t>
      </w:r>
    </w:p>
    <w:p>
      <w:pPr>
        <w:pStyle w:val="Normal"/>
      </w:pPr>
      <w:r>
        <w:t xml:space="preserve">k) f) Comparación de precios y versiones actuales</w:t>
      </w:r>
    </w:p>
    <w:p>
      <w:pPr>
        <w:pStyle w:val="Heading3"/>
      </w:pPr>
      <w:r>
        <w:t xml:space="preserve">Tema 4.5 · Ejemplos en VENSIM</w:t>
      </w:r>
    </w:p>
    <w:p>
      <w:pPr>
        <w:pStyle w:val="Heading3"/>
      </w:pPr>
      <w:bookmarkStart w:name="b_pregunta_p3c_48_prestamo_a_ca_f4c91229" w:id="6637"/>
      <w:r>
        <w:t xml:space="preserve">S3-61 · Unidad 4 · 4.5 · El préstamo bancario: los saldos a 14 meses</w:t>
      </w:r>
      <w:bookmarkEnd w:id="6637"/>
    </w:p>
    <w:p>
      <w:pPr>
        <w:pStyle w:val="Normal"/>
      </w:pPr>
      <w:r>
        <w:t xml:space="preserve">En el ejercicio del préstamo, el banco 1 presta $2,000.00 al 5 % mensual y el banco 2 perdona $1,000.00 y cobra el 10 % mensual. Con la perspectiva 1, sin pagos y con el saldo acumulándose cada mes, ¿cuál sería el saldo en cada uno de los dos bancos después de 14 meses?</w:t>
      </w:r>
    </w:p>
    <w:p>
      <w:pPr>
        <w:pStyle w:val="Fuente"/>
      </w:pPr>
      <w:r>
        <w:t xml:space="preserve">Ordinal de la fuente: 48 · complemento editorial.</w:t>
      </w:r>
    </w:p>
    <w:p>
      <w:pPr>
        <w:keepNext/>
        <w:spacing w:after="40" w:before="150"/>
        <w:jc w:val="center"/>
      </w:pPr>
      <w:bookmarkStart w:name="b_figura_original_p3c_48_presta_91efeb2c" w:id="6638"/>
      <w:bookmarkEnd w:id="6638"/>
      <w:r>
        <w:drawing>
          <wp:inline distT="0" distB="0" distL="0" distR="0">
            <wp:extent cx="5381625" cy="3143250"/>
            <wp:effectExtent t="0" r="0" b="0" l="0"/>
            <wp:docPr id="273" name="p3c-48-prestamo-a-catorce-meses-enunciado" descr="Presentación 4a (C-3), láminas 23, 33 y 34" title="Unidad 4 · 4.5 · El préstamo bancario: los saldos a 14 me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24" cstate="none"/>
                    <a:srcRect/>
                    <a:stretch>
                      <a:fillRect/>
                    </a:stretch>
                  </pic:blipFill>
                  <pic:spPr bwMode="auto">
                    <a:xfrm>
                      <a:off x="0" y="0"/>
                      <a:ext cx="5381625" cy="3143250"/>
                    </a:xfrm>
                    <a:prstGeom prst="rect">
                      <a:avLst/>
                    </a:prstGeom>
                  </pic:spPr>
                </pic:pic>
              </a:graphicData>
            </a:graphic>
          </wp:inline>
        </w:drawing>
      </w:r>
    </w:p>
    <w:p>
      <w:pPr>
        <w:pStyle w:val="PieFigura"/>
        <w:keepNext/>
      </w:pPr>
      <w:bookmarkStart w:name="b_fig_S3_7" w:id="6639"/>
      <w:r>
        <w:t xml:space="preserve">Figura S3.</w:t>
      </w:r>
      <w:fldSimple w:instr="SEQ Figura \n \* ARABIC">
        <w:r>
          <w:t xml:space="preserve">7</w:t>
        </w:r>
      </w:fldSimple>
      <w:r>
        <w:t xml:space="preserve"> · Unidad 4 · 4.5 · El préstamo bancario: los saldos a 14 meses</w:t>
      </w:r>
      <w:bookmarkEnd w:id="6639"/>
    </w:p>
    <w:p>
      <w:pPr>
        <w:pStyle w:val="LecturaFigura"/>
        <w:keepNext/>
      </w:pPr>
      <w:r>
        <w:rPr>
          <w:b/>
          <w:bCs/>
        </w:rPr>
        <w:t xml:space="preserve">Lectura del diagrama: </w:t>
      </w:r>
      <w:r>
        <w:t xml:space="preserve">Presentación 4a · pág. 23 · Ejercicio de modelación de simulación dinámica</w:t>
      </w:r>
    </w:p>
    <w:p>
      <w:pPr>
        <w:pStyle w:val="Fuente"/>
      </w:pPr>
      <w:r>
        <w:t xml:space="preserve">Presentación 4a (C-3), láminas 23, 33 y 34</w:t>
      </w:r>
    </w:p>
    <w:p>
      <w:pPr>
        <w:pStyle w:val="Normal"/>
      </w:pPr>
      <w:r>
        <w:t xml:space="preserve">a) Banco 1: $3,400.00; banco 2: $2,400.00</w:t>
      </w:r>
    </w:p>
    <w:p>
      <w:pPr>
        <w:pStyle w:val="Normal"/>
      </w:pPr>
      <w:r>
        <w:t xml:space="preserve">b) Banco 1: $3,959.86; banco 2: $3,797.50</w:t>
      </w:r>
    </w:p>
    <w:p>
      <w:pPr>
        <w:pStyle w:val="Normal"/>
      </w:pPr>
      <w:r>
        <w:t xml:space="preserve">c) Banco 1: $3,797.50; banco 2: $3,959.86</w:t>
      </w:r>
    </w:p>
    <w:p>
      <w:pPr>
        <w:pStyle w:val="Normal"/>
      </w:pPr>
      <w:r>
        <w:t xml:space="preserve">d) Banco 1: $3,591.71; banco 2: $3,138.43</w:t>
      </w:r>
    </w:p>
    <w:p>
      <w:pPr>
        <w:pStyle w:val="Normal"/>
      </w:pPr>
      <w:r>
        <w:t xml:space="preserve">e) Banco 1: $4,157.86; banco 2: $4,177.25</w:t>
      </w:r>
    </w:p>
    <w:p>
      <w:pPr>
        <w:pStyle w:val="Heading3"/>
      </w:pPr>
      <w:bookmarkStart w:name="b_pregunta_p3c_49_prestamo_a_dos_anos" w:id="6640"/>
      <w:r>
        <w:t xml:space="preserve">S3-62 · Unidad 4 · 4.5 · El préstamo bancario: el plazo y la negociación</w:t>
      </w:r>
      <w:bookmarkEnd w:id="6640"/>
    </w:p>
    <w:p>
      <w:pPr>
        <w:pStyle w:val="Normal"/>
      </w:pPr>
      <w:r>
        <w:t xml:space="preserve">Con el mismo modelo del préstamo sin pagos (banco 1: $2,000.00 al 5 % mensual; banco 2: $1,000.00 al 10 % mensual), ¿cuáles de las siguientes afirmaciones son correctas?</w:t>
      </w:r>
    </w:p>
    <w:p>
      <w:pPr>
        <w:pStyle w:val="Fuente"/>
      </w:pPr>
      <w:r>
        <w:t xml:space="preserve">Ordinal de la fuente: 49 · complemento editorial.</w:t>
      </w:r>
    </w:p>
    <w:p>
      <w:pPr>
        <w:pStyle w:val="Normal"/>
      </w:pPr>
      <w:r>
        <w:t xml:space="preserve">a) A 12 meses conviene el banco 2, pero a 24 meses conviene el banco 1: $6,450.20 contra $9,849.73</w:t>
      </w:r>
    </w:p>
    <w:p>
      <w:pPr>
        <w:pStyle w:val="Normal"/>
      </w:pPr>
      <w:r>
        <w:t xml:space="preserve">b) Los dos saldos se igualan entre el mes 14 y el 15; desde ahí el banco 2 debe más</w:t>
      </w:r>
    </w:p>
    <w:p>
      <w:pPr>
        <w:pStyle w:val="Normal"/>
      </w:pPr>
      <w:r>
        <w:t xml:space="preserve">c) Si se negocian tasas del 2 % en el banco 1 y del 4 % en el banco 2, a 24 meses conviene el banco 1, porque su tasa es la mitad</w:t>
      </w:r>
    </w:p>
    <w:p>
      <w:pPr>
        <w:pStyle w:val="Normal"/>
      </w:pPr>
      <w:r>
        <w:t xml:space="preserve">d) El banco 2 conviene a cualquier plazo, porque perdona la mitad de la deuda</w:t>
      </w:r>
    </w:p>
    <w:p>
      <w:pPr>
        <w:pStyle w:val="Normal"/>
      </w:pPr>
      <w:r>
        <w:t xml:space="preserve">e) Los saldos crecen en línea recta, porque cada mes se cobra la misma tasa</w:t>
      </w:r>
    </w:p>
    <w:p>
      <w:pPr>
        <w:pStyle w:val="Heading3"/>
      </w:pPr>
      <w:bookmarkStart w:name="b_pregunta_p3c_50_duracion_y_pa_fdb45c6b" w:id="6641"/>
      <w:r>
        <w:t xml:space="preserve">S3-63 · Unidad 4 · 4.5 · El préstamo bancario: la perspectiva 2</w:t>
      </w:r>
      <w:bookmarkEnd w:id="6641"/>
    </w:p>
    <w:p>
      <w:pPr>
        <w:pStyle w:val="Normal"/>
      </w:pPr>
      <w:r>
        <w:t xml:space="preserve">En el diagrama causal de la perspectiva 2 del préstamo, en la que se paga cada mes, un plazo más largo aumenta el pago mensual, de modo que la flecha de Duración Prestamo a Pago M. debe llevar signo +.</w:t>
      </w:r>
    </w:p>
    <w:p>
      <w:pPr>
        <w:pStyle w:val="Fuente"/>
      </w:pPr>
      <w:r>
        <w:t xml:space="preserve">Ordinal de la fuente: 50 · complemento editorial.</w:t>
      </w:r>
    </w:p>
    <w:p>
      <w:pPr>
        <w:pStyle w:val="Normal"/>
      </w:pPr>
      <w:r>
        <w:t xml:space="preserve">a) Verdadero</w:t>
      </w:r>
    </w:p>
    <w:p>
      <w:pPr>
        <w:pStyle w:val="Normal"/>
      </w:pPr>
      <w:r>
        <w:t xml:space="preserve">b) Falso</w:t>
      </w:r>
    </w:p>
    <w:p>
      <w:pPr>
        <w:pStyle w:val="Heading3"/>
      </w:pPr>
      <w:bookmarkStart w:name="b_pregunta_p3c_51_telefonos_del_757d2f16" w:id="6642"/>
      <w:r>
        <w:t xml:space="preserve">S3-64 · Unidad 4 · 4.5 · Los teléfonos del residencial: el comportamiento</w:t>
      </w:r>
      <w:bookmarkEnd w:id="6642"/>
    </w:p>
    <w:p>
      <w:pPr>
        <w:pStyle w:val="Normal"/>
      </w:pPr>
      <w:r>
        <w:t xml:space="preserve">En el ejercicio de los teléfonos, 300 casas construidas no tienen teléfono al inicio, y cada mes lo instala el 9 % de las que todavía no lo tienen. Al simularlo con un paso de un mes, ¿cuáles de las siguientes afirmaciones son correctas?</w:t>
      </w:r>
    </w:p>
    <w:p>
      <w:pPr>
        <w:pStyle w:val="Fuente"/>
      </w:pPr>
      <w:r>
        <w:t xml:space="preserve">Ordinal de la fuente: 51 · complemento editorial.</w:t>
      </w:r>
    </w:p>
    <w:p>
      <w:pPr>
        <w:pStyle w:val="Normal"/>
      </w:pPr>
      <w:r>
        <w:t xml:space="preserve">a) Las instalaciones de cada mes son proporcionales a las casas que todavía no tienen teléfono, así que se frenan a medida que se instalan</w:t>
      </w:r>
    </w:p>
    <w:p>
      <w:pPr>
        <w:pStyle w:val="Normal"/>
      </w:pPr>
      <w:r>
        <w:t xml:space="preserve">b) Las casas con teléfono siguen un patrón convergente a un valor: se acercan a 300 sin llegar nunca exactamente</w:t>
      </w:r>
    </w:p>
    <w:p>
      <w:pPr>
        <w:pStyle w:val="Normal"/>
      </w:pPr>
      <w:r>
        <w:t xml:space="preserve">c) A los 12 meses ya tienen teléfono más de 250 casas</w:t>
      </w:r>
    </w:p>
    <w:p>
      <w:pPr>
        <w:pStyle w:val="Normal"/>
      </w:pPr>
      <w:r>
        <w:t xml:space="preserve">d) A los 32 meses ya tiene teléfono el 95 % de las casas, y ese plazo sería el mismo si el residencial tuviera 500 casas</w:t>
      </w:r>
    </w:p>
    <w:p>
      <w:pPr>
        <w:pStyle w:val="Normal"/>
      </w:pPr>
      <w:r>
        <w:t xml:space="preserve">e) Las casas con teléfono crecen en forma de curva en S, porque cada mes los vecinos influyen más</w:t>
      </w:r>
    </w:p>
    <w:p>
      <w:pPr>
        <w:pStyle w:val="Heading3"/>
      </w:pPr>
      <w:bookmarkStart w:name="b_pregunta_p3c_52_telefonos_con_fe22b58d" w:id="6643"/>
      <w:r>
        <w:t xml:space="preserve">S3-65 · Unidad 4 · 4.5 · Los teléfonos del residencial: más casas</w:t>
      </w:r>
      <w:bookmarkEnd w:id="6643"/>
    </w:p>
    <w:p>
      <w:pPr>
        <w:pStyle w:val="Normal"/>
      </w:pPr>
      <w:r>
        <w:t xml:space="preserve">Con 300 casas y el 9 % mensual, el modelo de los teléfonos deja por primera vez menos de una casa sin teléfono en el mes 61. Si la tasa de uso se mantiene en el 9 % pero el residencial tuviera 500 casas, ¿en qué mes faltaría por primera vez menos de una casa?</w:t>
      </w:r>
    </w:p>
    <w:p>
      <w:pPr>
        <w:pStyle w:val="Fuente"/>
      </w:pPr>
      <w:r>
        <w:t xml:space="preserve">Ordinal de la fuente: 52 · complemento editorial.</w:t>
      </w:r>
    </w:p>
    <w:p>
      <w:pPr>
        <w:keepNext/>
        <w:spacing w:after="40" w:before="150"/>
        <w:jc w:val="center"/>
      </w:pPr>
      <w:bookmarkStart w:name="b_figura_original_p3c_52_telefo_ebcf8ef7" w:id="6644"/>
      <w:bookmarkEnd w:id="6644"/>
      <w:r>
        <w:drawing>
          <wp:inline distT="0" distB="0" distL="0" distR="0">
            <wp:extent cx="5381625" cy="3143250"/>
            <wp:effectExtent t="0" r="0" b="0" l="0"/>
            <wp:docPr id="274" name="p3c-52-telefonos-con-quinientas-casas-enunciado" descr="Presentación 4a (C-3), lámina 37" title="Unidad 4 · 4.5 · Los teléfonos del residencial: más cas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27" cstate="none"/>
                    <a:srcRect/>
                    <a:stretch>
                      <a:fillRect/>
                    </a:stretch>
                  </pic:blipFill>
                  <pic:spPr bwMode="auto">
                    <a:xfrm>
                      <a:off x="0" y="0"/>
                      <a:ext cx="5381625" cy="3143250"/>
                    </a:xfrm>
                    <a:prstGeom prst="rect">
                      <a:avLst/>
                    </a:prstGeom>
                  </pic:spPr>
                </pic:pic>
              </a:graphicData>
            </a:graphic>
          </wp:inline>
        </w:drawing>
      </w:r>
    </w:p>
    <w:p>
      <w:pPr>
        <w:pStyle w:val="PieFigura"/>
        <w:keepNext/>
      </w:pPr>
      <w:bookmarkStart w:name="b_fig_S3_8" w:id="6645"/>
      <w:r>
        <w:t xml:space="preserve">Figura S3.</w:t>
      </w:r>
      <w:fldSimple w:instr="SEQ Figura \n \* ARABIC">
        <w:r>
          <w:t xml:space="preserve">8</w:t>
        </w:r>
      </w:fldSimple>
      <w:r>
        <w:t xml:space="preserve"> · Unidad 4 · 4.5 · Los teléfonos del residencial: más casas</w:t>
      </w:r>
      <w:bookmarkEnd w:id="6645"/>
    </w:p>
    <w:p>
      <w:pPr>
        <w:pStyle w:val="LecturaFigura"/>
        <w:keepNext/>
      </w:pPr>
      <w:r>
        <w:rPr>
          <w:b/>
          <w:bCs/>
        </w:rPr>
        <w:t xml:space="preserve">Lectura del diagrama: </w:t>
      </w:r>
      <w:r>
        <w:t xml:space="preserve">Presentación 4a · pág. 37 · Modelando un sistema con diagramas DCC (diagramas de ciclos causales): ejercicio 2</w:t>
      </w:r>
    </w:p>
    <w:p>
      <w:pPr>
        <w:pStyle w:val="Fuente"/>
      </w:pPr>
      <w:r>
        <w:t xml:space="preserve">Presentación 4a (C-3), lámina 37</w:t>
      </w:r>
    </w:p>
    <w:p>
      <w:pPr>
        <w:pStyle w:val="Normal"/>
      </w:pPr>
      <w:r>
        <w:t xml:space="preserve">a) En el mes 61</w:t>
      </w:r>
    </w:p>
    <w:p>
      <w:pPr>
        <w:pStyle w:val="Normal"/>
      </w:pPr>
      <w:r>
        <w:t xml:space="preserve">b) En el mes 66</w:t>
      </w:r>
    </w:p>
    <w:p>
      <w:pPr>
        <w:pStyle w:val="Normal"/>
      </w:pPr>
      <w:r>
        <w:t xml:space="preserve">c) En el mes 102</w:t>
      </w:r>
    </w:p>
    <w:p>
      <w:pPr>
        <w:pStyle w:val="Normal"/>
      </w:pPr>
      <w:r>
        <w:t xml:space="preserve">d) En el mes 140</w:t>
      </w:r>
    </w:p>
    <w:p>
      <w:pPr>
        <w:pStyle w:val="Normal"/>
      </w:pPr>
      <w:r>
        <w:t xml:space="preserve">e) En el mes 32</w:t>
      </w:r>
    </w:p>
    <w:p>
      <w:pPr>
        <w:pStyle w:val="Heading3"/>
      </w:pPr>
      <w:bookmarkStart w:name="b_pregunta_p3c_53_reglas_y_patrones" w:id="6646"/>
      <w:r>
        <w:t xml:space="preserve">S3-66 · Unidad 4 · 4.5 · Comportamientos habituales: de las reglas al patrón</w:t>
      </w:r>
      <w:bookmarkEnd w:id="6646"/>
    </w:p>
    <w:p>
      <w:pPr>
        <w:pStyle w:val="Normal"/>
      </w:pPr>
      <w:r>
        <w:t xml:space="preserve">En los ejemplos de la presentación 4a, un STOCK que empieza en 1000 tiene un flujo de ENTRADA y uno de SALIDA. Relacione cada par de reglas con el patrón de comportamiento que genera.</w:t>
      </w:r>
    </w:p>
    <w:p>
      <w:pPr>
        <w:pStyle w:val="Fuente"/>
      </w:pPr>
      <w:r>
        <w:t xml:space="preserve">Ordinal de la fuente: 53 · complemento editorial.</w:t>
      </w:r>
    </w:p>
    <w:p>
      <w:pPr>
        <w:pStyle w:val="Normal"/>
      </w:pPr>
      <w:r>
        <w:t xml:space="preserve">a) Fila: ENTRADA = 100 y SALIDA = 50, las dos constantes</w:t>
      </w:r>
    </w:p>
    <w:p>
      <w:pPr>
        <w:pStyle w:val="Normal"/>
      </w:pPr>
      <w:r>
        <w:t xml:space="preserve">b) Fila: ENTRADA (t) = 50·t + 50 y SALIDA = 50</w:t>
      </w:r>
    </w:p>
    <w:p>
      <w:pPr>
        <w:pStyle w:val="Normal"/>
      </w:pPr>
      <w:r>
        <w:t xml:space="preserve">c) Fila: ENTRADA (t) = 0,1·STOCK(t) y SALIDA = 50</w:t>
      </w:r>
    </w:p>
    <w:p>
      <w:pPr>
        <w:pStyle w:val="Normal"/>
      </w:pPr>
      <w:r>
        <w:t xml:space="preserve">d) Fila: ENTRADA (t) = 0,1·STOCK(t) y SALIDA (t) = 0,11·STOCK(t)</w:t>
      </w:r>
    </w:p>
    <w:p>
      <w:pPr>
        <w:pStyle w:val="Normal"/>
      </w:pPr>
      <w:r>
        <w:t xml:space="preserve">e) Fila: ENTRADA (t) = 0,2·ERROR(t), con ERROR = REFERENCIA − STOCK(t), y SALIDA (t) = 0,1·STOCK(t)</w:t>
      </w:r>
    </w:p>
    <w:p>
      <w:pPr>
        <w:pStyle w:val="Normal"/>
      </w:pPr>
      <w:r>
        <w:t xml:space="preserve">f) a) Crecimiento lineal</w:t>
      </w:r>
    </w:p>
    <w:p>
      <w:pPr>
        <w:pStyle w:val="Normal"/>
      </w:pPr>
      <w:r>
        <w:t xml:space="preserve">g) b) Crecimiento cuadrático</w:t>
      </w:r>
    </w:p>
    <w:p>
      <w:pPr>
        <w:pStyle w:val="Normal"/>
      </w:pPr>
      <w:r>
        <w:t xml:space="preserve">h) c) Crecimiento exponencial</w:t>
      </w:r>
    </w:p>
    <w:p>
      <w:pPr>
        <w:pStyle w:val="Normal"/>
      </w:pPr>
      <w:r>
        <w:t xml:space="preserve">i) d) Decrecimiento exponencial</w:t>
      </w:r>
    </w:p>
    <w:p>
      <w:pPr>
        <w:pStyle w:val="Normal"/>
      </w:pPr>
      <w:r>
        <w:t xml:space="preserve">j) e) Convergente a un valor</w:t>
      </w:r>
    </w:p>
    <w:p>
      <w:pPr>
        <w:pStyle w:val="Normal"/>
      </w:pPr>
      <w:r>
        <w:t xml:space="preserve">k) f) Oscilante</w:t>
      </w:r>
    </w:p>
    <w:p>
      <w:pPr>
        <w:pStyle w:val="Normal"/>
      </w:pPr>
      <w:r>
        <w:t xml:space="preserve">l) g) Crecimiento en forma de curva en S</w:t>
      </w:r>
    </w:p>
    <w:p>
      <w:pPr>
        <w:pStyle w:val="Heading3"/>
      </w:pPr>
      <w:bookmarkStart w:name="b_pregunta_p3c_54_solucion_del__6f29f607" w:id="6647"/>
      <w:r>
        <w:t xml:space="preserve">S3-67 · Unidad 4 · 4.5 · Comportamientos habituales: el crecimiento con retroalimentación</w:t>
      </w:r>
      <w:bookmarkEnd w:id="6647"/>
    </w:p>
    <w:p>
      <w:pPr>
        <w:pStyle w:val="Normal"/>
      </w:pPr>
      <w:r>
        <w:t xml:space="preserve">En el crecimiento con retroalimentación de la presentación 4a, el stock empieza en 1000, la entrada es 0,1·STOCK(t) y la salida es constante, 50, de modo que dS/dt = 0,1·S − 50 con S(0) = 1000. ¿Qué función describe el stock?</w:t>
      </w:r>
    </w:p>
    <w:p>
      <w:pPr>
        <w:pStyle w:val="Fuente"/>
      </w:pPr>
      <w:r>
        <w:t xml:space="preserve">Ordinal de la fuente: 54 · complemento editorial.</w:t>
      </w:r>
    </w:p>
    <w:p>
      <w:pPr>
        <w:pStyle w:val="Normal"/>
      </w:pPr>
      <w:r>
        <w:t xml:space="preserve">a) S(t) = 1000·e^(0,1·t) − 50·t + 1000</w:t>
      </w:r>
    </w:p>
    <w:p>
      <w:pPr>
        <w:pStyle w:val="Normal"/>
      </w:pPr>
      <w:r>
        <w:t xml:space="preserve">b) S(t) = 500 + 500·e^(0,1·t)</w:t>
      </w:r>
    </w:p>
    <w:p>
      <w:pPr>
        <w:pStyle w:val="Normal"/>
      </w:pPr>
      <w:r>
        <w:t xml:space="preserve">c) S(t) = 1000·e^(0,1·t)</w:t>
      </w:r>
    </w:p>
    <w:p>
      <w:pPr>
        <w:pStyle w:val="Normal"/>
      </w:pPr>
      <w:r>
        <w:t xml:space="preserve">d) S(t) = 1000 + 50·t</w:t>
      </w:r>
    </w:p>
    <w:p>
      <w:pPr>
        <w:pStyle w:val="Normal"/>
      </w:pPr>
      <w:r>
        <w:t xml:space="preserve">e) S(t) = 1000·e^(0,1·t) − 500</w:t>
      </w:r>
    </w:p>
    <w:p>
      <w:pPr>
        <w:pStyle w:val="Heading3"/>
      </w:pPr>
      <w:bookmarkStart w:name="b_pregunta_p3c_55_poblacion_con_e7b66eaa" w:id="6648"/>
      <w:r>
        <w:t xml:space="preserve">S3-68 · Unidad 4 · 4.5 · Una población con recursos limitados: la corrida</w:t>
      </w:r>
      <w:bookmarkEnd w:id="6648"/>
    </w:p>
    <w:p>
      <w:pPr>
        <w:pStyle w:val="Normal"/>
      </w:pPr>
      <w:r>
        <w:t xml:space="preserve">Se arma en Vensim el modelo de crecimiento de una población con recursos limitados de la presentación 4a, con su escenario: población inicial de 60 individuos, tasa de natalidad 0.085, tasa de mortalidad 0.035 y K = 6000 individuos, con Coef. Carga = (K − Población) / K. ¿Qué muestra la corrida?</w:t>
      </w:r>
    </w:p>
    <w:p>
      <w:pPr>
        <w:pStyle w:val="Fuente"/>
      </w:pPr>
      <w:r>
        <w:t xml:space="preserve">Ordinal de la fuente: 55 · complemento editorial.</w:t>
      </w:r>
    </w:p>
    <w:p>
      <w:pPr>
        <w:pStyle w:val="Normal"/>
      </w:pPr>
      <w:r>
        <w:t xml:space="preserve">a) Un crecimiento exponencial sin límite, al 5 % por unidad de tiempo, porque la natalidad supera a la mortalidad</w:t>
      </w:r>
    </w:p>
    <w:p>
      <w:pPr>
        <w:pStyle w:val="Normal"/>
      </w:pPr>
      <w:r>
        <w:t xml:space="preserve">b) Una curva en S que se estabiliza en 3000 individuos, la mitad de K</w:t>
      </w:r>
    </w:p>
    <w:p>
      <w:pPr>
        <w:pStyle w:val="Normal"/>
      </w:pPr>
      <w:r>
        <w:t xml:space="preserve">c) Una curva en S que se acerca a 6000 individuos y pasa por la mitad, 3000, hacia t = 92</w:t>
      </w:r>
    </w:p>
    <w:p>
      <w:pPr>
        <w:pStyle w:val="Normal"/>
      </w:pPr>
      <w:r>
        <w:t xml:space="preserve">d) Una oscilación alrededor de 6000 individuos</w:t>
      </w:r>
    </w:p>
    <w:p>
      <w:pPr>
        <w:pStyle w:val="Normal"/>
      </w:pPr>
      <w:r>
        <w:t xml:space="preserve">e) Una curva en S que a t = 100 ya está prácticamente en 6000 individuos</w:t>
      </w:r>
    </w:p>
    <w:p>
      <w:pPr>
        <w:pStyle w:val="Heading3"/>
      </w:pPr>
      <w:bookmarkStart w:name="b_pregunta_p3c_56_almacen_con_d_5c461c93" w:id="6649"/>
      <w:r>
        <w:t xml:space="preserve">S3-69 · Unidad 4 · 4.5 · Otro ejemplo: el almacén</w:t>
      </w:r>
      <w:bookmarkEnd w:id="6649"/>
    </w:p>
    <w:p>
      <w:pPr>
        <w:pStyle w:val="Normal"/>
      </w:pPr>
      <w:r>
        <w:t xml:space="preserve">En «Otro ejemplo», un almacén recibe entradas de mercancías y pierde las salidas de mercancías y las mercancías deterioradas. Si en Vensim las mercancías del almacén son el nivel, ¿qué ecuación le corresponde?</w:t>
      </w:r>
    </w:p>
    <w:p>
      <w:pPr>
        <w:pStyle w:val="Fuente"/>
      </w:pPr>
      <w:r>
        <w:t xml:space="preserve">Ordinal de la fuente: 56 · complemento editorial.</w:t>
      </w:r>
    </w:p>
    <w:p>
      <w:pPr>
        <w:keepNext/>
        <w:spacing w:after="40" w:before="150"/>
        <w:jc w:val="center"/>
      </w:pPr>
      <w:bookmarkStart w:name="b_figura_original_p3c_56_almace_30cb6277" w:id="6650"/>
      <w:bookmarkEnd w:id="6650"/>
      <w:r>
        <w:drawing>
          <wp:inline distT="0" distB="0" distL="0" distR="0">
            <wp:extent cx="5381625" cy="3143250"/>
            <wp:effectExtent t="0" r="0" b="0" l="0"/>
            <wp:docPr id="275" name="p3c-56-almacen-con-dos-salidas-enunciado" descr="Presentación 4a (C-3), láminas 26 y 56" title="Unidad 4 · 4.5 · Otro ejemplo: el almacé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33" cstate="none"/>
                    <a:srcRect/>
                    <a:stretch>
                      <a:fillRect/>
                    </a:stretch>
                  </pic:blipFill>
                  <pic:spPr bwMode="auto">
                    <a:xfrm>
                      <a:off x="0" y="0"/>
                      <a:ext cx="5381625" cy="3143250"/>
                    </a:xfrm>
                    <a:prstGeom prst="rect">
                      <a:avLst/>
                    </a:prstGeom>
                  </pic:spPr>
                </pic:pic>
              </a:graphicData>
            </a:graphic>
          </wp:inline>
        </w:drawing>
      </w:r>
    </w:p>
    <w:p>
      <w:pPr>
        <w:pStyle w:val="PieFigura"/>
        <w:keepNext/>
      </w:pPr>
      <w:bookmarkStart w:name="b_fig_S3_9" w:id="6651"/>
      <w:r>
        <w:t xml:space="preserve">Figura S3.</w:t>
      </w:r>
      <w:fldSimple w:instr="SEQ Figura \n \* ARABIC">
        <w:r>
          <w:t xml:space="preserve">9</w:t>
        </w:r>
      </w:fldSimple>
      <w:r>
        <w:t xml:space="preserve"> · Unidad 4 · 4.5 · Otro ejemplo: el almacén</w:t>
      </w:r>
      <w:bookmarkEnd w:id="6651"/>
    </w:p>
    <w:p>
      <w:pPr>
        <w:pStyle w:val="LecturaFigura"/>
        <w:keepNext/>
      </w:pPr>
      <w:r>
        <w:rPr>
          <w:b/>
          <w:bCs/>
        </w:rPr>
        <w:t xml:space="preserve">Lectura del diagrama: </w:t>
      </w:r>
      <w:r>
        <w:t xml:space="preserve">Presentación 4a · pág. 56 · Otro ejemplo</w:t>
      </w:r>
    </w:p>
    <w:p>
      <w:pPr>
        <w:pStyle w:val="Fuente"/>
      </w:pPr>
      <w:r>
        <w:t xml:space="preserve">Presentación 4a (C-3), láminas 26 y 56</w:t>
      </w:r>
    </w:p>
    <w:p>
      <w:pPr>
        <w:pStyle w:val="Normal"/>
      </w:pPr>
      <w:r>
        <w:t xml:space="preserve">a) Almacén = INTEG(Entradas mercancías − Salidas mercancías − Mercancías deterioradas, Almacén inicial)</w:t>
      </w:r>
    </w:p>
    <w:p>
      <w:pPr>
        <w:pStyle w:val="Normal"/>
      </w:pPr>
      <w:r>
        <w:t xml:space="preserve">b) Almacén = INTEG(Entradas mercancías − Salidas mercancías + Mercancías deterioradas, Almacén inicial)</w:t>
      </w:r>
    </w:p>
    <w:p>
      <w:pPr>
        <w:pStyle w:val="Normal"/>
      </w:pPr>
      <w:r>
        <w:t xml:space="preserve">c) Almacén = Entradas mercancías − Salidas mercancías − Mercancías deterioradas</w:t>
      </w:r>
    </w:p>
    <w:p>
      <w:pPr>
        <w:pStyle w:val="Normal"/>
      </w:pPr>
      <w:r>
        <w:t xml:space="preserve">d) Almacén = INTEG(Entradas mercancías, Almacén inicial) − Salidas mercancías − Mercancías deterioradas</w:t>
      </w:r>
    </w:p>
    <w:p>
      <w:pPr>
        <w:pStyle w:val="Normal"/>
      </w:pPr>
      <w:r>
        <w:t xml:space="preserve">e) Entradas mercancías = INTEG(Almacén − Salidas mercancías, Almacén inicial)</w:t>
      </w:r>
    </w:p>
    <w:p>
      <w:pPr>
        <w:pStyle w:val="Heading3"/>
      </w:pPr>
      <w:bookmarkStart w:name="b_pregunta_p3c_78_cobertura" w:id="6652"/>
      <w:r>
        <w:t xml:space="preserve">S3-70 · Unidad 4 · 4.5 · Teléfonos detallados</w:t>
      </w:r>
      <w:bookmarkEnd w:id="6652"/>
    </w:p>
    <w:p>
      <w:pPr>
        <w:pStyle w:val="Normal"/>
      </w:pPr>
      <w:r>
        <w:t xml:space="preserve">¿Qué puede afirmarse del modelo detallado de teléfonos explicado en la clase 24?</w:t>
      </w:r>
    </w:p>
    <w:p>
      <w:pPr>
        <w:pStyle w:val="Fuente"/>
      </w:pPr>
      <w:r>
        <w:t xml:space="preserve">Ordinal de la fuente: 78 · complemento editorial.</w:t>
      </w:r>
    </w:p>
    <w:p>
      <w:pPr>
        <w:pStyle w:val="Normal"/>
      </w:pPr>
      <w:r>
        <w:t xml:space="preserve">a) Debe formalizarse la influencia de usuarios; no se dio una corrida completa ni puede atribuirse automáticamente la fórmula de Bass.</w:t>
      </w:r>
    </w:p>
    <w:p>
      <w:pPr>
        <w:pStyle w:val="Normal"/>
      </w:pPr>
      <w:r>
        <w:t xml:space="preserve">b) Es idéntico al balance con 9 % fijo de pendientes.</w:t>
      </w:r>
    </w:p>
    <w:p>
      <w:pPr>
        <w:pStyle w:val="Normal"/>
      </w:pPr>
      <w:r>
        <w:t xml:space="preserve">c) Su pico ocurre necesariamente cuando se instala la mitad.</w:t>
      </w:r>
    </w:p>
    <w:p>
      <w:pPr>
        <w:pStyle w:val="Normal"/>
      </w:pPr>
      <w:r>
        <w:t xml:space="preserve">d) B1 y B2 identifican necesariamente dos ciclos de balance.</w:t>
      </w:r>
    </w:p>
    <w:p>
      <w:pPr>
        <w:pStyle w:val="Heading3"/>
      </w:pPr>
      <w:bookmarkStart w:name="b_pregunta_p3c_89_telefonos_recorridos" w:id="6653"/>
      <w:r>
        <w:t xml:space="preserve">S3-71 · Unidad 4 · 4.5 · Teléfonos: difusión y saturación</w:t>
      </w:r>
      <w:bookmarkEnd w:id="6653"/>
    </w:p>
    <w:p>
      <w:pPr>
        <w:pStyle w:val="Normal"/>
      </w:pPr>
      <w:r>
        <w:t xml:space="preserve">En la alternativa vecinal de teléfonos, ¿qué recorridos forman R y B?</w:t>
      </w:r>
    </w:p>
    <w:p>
      <w:pPr>
        <w:pStyle w:val="Fuente"/>
      </w:pPr>
      <w:r>
        <w:t xml:space="preserve">Ordinal de la fuente: 89 · complemento editorial.</w:t>
      </w:r>
    </w:p>
    <w:p>
      <w:pPr>
        <w:pStyle w:val="Normal"/>
      </w:pPr>
      <w:r>
        <w:t xml:space="preserve">a) R: instalaciones → con teléfono → tasa de uso → instalaciones (+,+,+); B: instalaciones → con teléfono → sin teléfono → instalaciones (+,−,+).</w:t>
      </w:r>
    </w:p>
    <w:p>
      <w:pPr>
        <w:pStyle w:val="Normal"/>
      </w:pPr>
      <w:r>
        <w:t xml:space="preserve">b) Ambos recorridos son B porque existe una población finita.</w:t>
      </w:r>
    </w:p>
    <w:p>
      <w:pPr>
        <w:pStyle w:val="Normal"/>
      </w:pPr>
      <w:r>
        <w:t xml:space="preserve">c) R pasa por sin teléfono con una única negativa y B por tres positivas.</w:t>
      </w:r>
    </w:p>
    <w:p>
      <w:pPr>
        <w:pStyle w:val="Normal"/>
      </w:pPr>
      <w:r>
        <w:t xml:space="preserve">d) La figura fija las ecuaciones de uso y permite una corrida numérica oficial sin más datos.</w:t>
      </w:r>
    </w:p>
    <w:p>
      <w:pPr>
        <w:pStyle w:val="Heading3"/>
      </w:pPr>
      <w:r>
        <w:t xml:space="preserve">Tema 4.6 · Toma de decisiones</w:t>
      </w:r>
    </w:p>
    <w:p>
      <w:pPr>
        <w:pStyle w:val="Heading3"/>
      </w:pPr>
      <w:bookmarkStart w:name="b_pregunta_p3c_57_consecuencias_a373ea5e" w:id="6654"/>
      <w:r>
        <w:t xml:space="preserve">S3-72 · Unidad 4 · 4.6 · Toma de decisiones: las consecuencias no deseadas</w:t>
      </w:r>
      <w:bookmarkEnd w:id="6654"/>
    </w:p>
    <w:p>
      <w:pPr>
        <w:pStyle w:val="Normal"/>
      </w:pPr>
      <w:r>
        <w:t xml:space="preserve">Además de las consecuencias a corto y largo plazo, la presentación pide considerar las consecuencias no deseadas de las decisiones, y propone unas preguntas para «esos momentos reflexivos antes de continuar con una decisión importante». ¿Cuáles de las siguientes son de esas preguntas?</w:t>
      </w:r>
    </w:p>
    <w:p>
      <w:pPr>
        <w:pStyle w:val="Fuente"/>
      </w:pPr>
      <w:r>
        <w:t xml:space="preserve">Ordinal de la fuente: 57 · complemento editorial.</w:t>
      </w:r>
    </w:p>
    <w:p>
      <w:pPr>
        <w:pStyle w:val="Normal"/>
      </w:pPr>
      <w:r>
        <w:t xml:space="preserve">a) ¿Quién se verá afectado por esta acción / decisión?</w:t>
      </w:r>
    </w:p>
    <w:p>
      <w:pPr>
        <w:pStyle w:val="Normal"/>
      </w:pPr>
      <w:r>
        <w:t xml:space="preserve">b) ¿Cuánto tiempo necesitamos para considerar el asunto?</w:t>
      </w:r>
    </w:p>
    <w:p>
      <w:pPr>
        <w:pStyle w:val="Normal"/>
      </w:pPr>
      <w:r>
        <w:t xml:space="preserve">c) ¿Verán los demás las consecuencias de esta decisión de manera diferente, especialmente en comparación con mi opinión de los resultados?</w:t>
      </w:r>
    </w:p>
    <w:p>
      <w:pPr>
        <w:pStyle w:val="Normal"/>
      </w:pPr>
      <w:r>
        <w:t xml:space="preserve">d) ¿En dónde podría un cambio pequeño tener un efecto duradero y deseado?</w:t>
      </w:r>
    </w:p>
    <w:p>
      <w:pPr>
        <w:pStyle w:val="Normal"/>
      </w:pPr>
      <w:r>
        <w:t xml:space="preserve">e) ¿Qué indicadores esperamos ver cuando buscamos el progreso?</w:t>
      </w:r>
    </w:p>
    <w:p>
      <w:pPr>
        <w:pStyle w:val="Heading3"/>
      </w:pPr>
      <w:bookmarkStart w:name="b_pregunta_p3c_58_minimizar_no_eliminar" w:id="6655"/>
      <w:r>
        <w:t xml:space="preserve">S3-73 · Unidad 4 · 4.6 · Toma de decisiones: anticipar las consecuencias</w:t>
      </w:r>
      <w:bookmarkEnd w:id="6655"/>
    </w:p>
    <w:p>
      <w:pPr>
        <w:pStyle w:val="Normal"/>
      </w:pPr>
      <w:r>
        <w:t xml:space="preserve">Según la presentación, tomarse el tiempo para anticipar las consecuencias de una decisión, tanto a corto como a largo plazo, elimina las consecuencias no deseadas.</w:t>
      </w:r>
    </w:p>
    <w:p>
      <w:pPr>
        <w:pStyle w:val="Fuente"/>
      </w:pPr>
      <w:r>
        <w:t xml:space="preserve">Ordinal de la fuente: 58 · complemento editorial.</w:t>
      </w:r>
    </w:p>
    <w:p>
      <w:pPr>
        <w:pStyle w:val="Normal"/>
      </w:pPr>
      <w:r>
        <w:t xml:space="preserve">a) Verdadero</w:t>
      </w:r>
    </w:p>
    <w:p>
      <w:pPr>
        <w:pStyle w:val="Normal"/>
      </w:pPr>
      <w:r>
        <w:t xml:space="preserve">b) Falso</w:t>
      </w:r>
    </w:p>
    <w:p>
      <w:pPr>
        <w:pStyle w:val="Heading3"/>
      </w:pPr>
      <w:bookmarkStart w:name="b_pregunta_p3c_59_tabla_de_judy_bb7948eb" w:id="6656"/>
      <w:r>
        <w:t xml:space="preserve">S3-74 · Unidad 4 · 4.6 · Toma de decisiones: la tabla de Judy y los escenarios</w:t>
      </w:r>
      <w:bookmarkEnd w:id="6656"/>
    </w:p>
    <w:p>
      <w:pPr>
        <w:pStyle w:val="Normal"/>
      </w:pPr>
      <w:r>
        <w:t xml:space="preserve">Judy debe decidir si contrata a su amiga María, y la presentación muestra dos estrategias para anticipar las consecuencias: una tabla comparativa y la planificación de escenarios. Relacione cada enunciado con el lugar que ocupa en ese análisis.</w:t>
      </w:r>
    </w:p>
    <w:p>
      <w:pPr>
        <w:pStyle w:val="Fuente"/>
      </w:pPr>
      <w:r>
        <w:t xml:space="preserve">Ordinal de la fuente: 59 · complemento editorial.</w:t>
      </w:r>
    </w:p>
    <w:p>
      <w:pPr>
        <w:pStyle w:val="Normal"/>
      </w:pPr>
      <w:r>
        <w:t xml:space="preserve">a) Fila: María aprende rápido y trabaja en equipo: a todos les gustará Maria</w:t>
      </w:r>
    </w:p>
    <w:p>
      <w:pPr>
        <w:pStyle w:val="Normal"/>
      </w:pPr>
      <w:r>
        <w:t xml:space="preserve">b) Fila: ¿Qué pasaría con nuestra amistad si tuviera que despedir a María?</w:t>
      </w:r>
    </w:p>
    <w:p>
      <w:pPr>
        <w:pStyle w:val="Normal"/>
      </w:pPr>
      <w:r>
        <w:t xml:space="preserve">c) Fila: María puede suponer que a todos les gusta porque a mí me gusta.</w:t>
      </w:r>
    </w:p>
    <w:p>
      <w:pPr>
        <w:pStyle w:val="Normal"/>
      </w:pPr>
      <w:r>
        <w:t xml:space="preserve">d) Fila: ¿Qué pasa si María tiene un rendimiento inferior?</w:t>
      </w:r>
    </w:p>
    <w:p>
      <w:pPr>
        <w:pStyle w:val="Normal"/>
      </w:pPr>
      <w:r>
        <w:t xml:space="preserve">e) Fila: Maria puede ver nuestra amistad como una forma de darle una ventaja en nuestra compañía.</w:t>
      </w:r>
    </w:p>
    <w:p>
      <w:pPr>
        <w:pStyle w:val="Normal"/>
      </w:pPr>
      <w:r>
        <w:t xml:space="preserve">f) a) Ventaja en la tabla comparativa</w:t>
      </w:r>
    </w:p>
    <w:p>
      <w:pPr>
        <w:pStyle w:val="Normal"/>
      </w:pPr>
      <w:r>
        <w:t xml:space="preserve">g) b) Desventaja en la tabla comparativa</w:t>
      </w:r>
    </w:p>
    <w:p>
      <w:pPr>
        <w:pStyle w:val="Normal"/>
      </w:pPr>
      <w:r>
        <w:t xml:space="preserve">h) c) Pregunta para la planificación de escenarios</w:t>
      </w:r>
    </w:p>
    <w:p>
      <w:pPr>
        <w:pStyle w:val="Normal"/>
      </w:pPr>
      <w:r>
        <w:t xml:space="preserve">i) d) Indicador de progreso de la aproximación sucesiva</w:t>
      </w:r>
    </w:p>
    <w:p>
      <w:pPr>
        <w:pStyle w:val="Heading3"/>
      </w:pPr>
      <w:bookmarkStart w:name="b_pregunta_p3c_60_tarjeta_del_habito_8" w:id="6657"/>
      <w:r>
        <w:t xml:space="preserve">S3-75 · Unidad 4 · 4.6 · Toma de decisiones: la tarjeta del hábito 8</w:t>
      </w:r>
      <w:bookmarkEnd w:id="6657"/>
    </w:p>
    <w:p>
      <w:pPr>
        <w:pStyle w:val="Normal"/>
      </w:pPr>
      <w:r>
        <w:t xml:space="preserve">«Un Pensador Sistémico toma el tiempo necesario para entender la dinámica de un sistema antes de actuar» es la descripción de la tarjeta de un hábito del modelo de Waters Foundation. ¿De cuál?</w:t>
      </w:r>
    </w:p>
    <w:p>
      <w:pPr>
        <w:pStyle w:val="Fuente"/>
      </w:pPr>
      <w:r>
        <w:t xml:space="preserve">Ordinal de la fuente: 60 · complemento editorial.</w:t>
      </w:r>
    </w:p>
    <w:p>
      <w:pPr>
        <w:pStyle w:val="Normal"/>
      </w:pPr>
      <w:r>
        <w:t xml:space="preserve">a) Tarjeta 13 · Reconoce el impacto de las demoras cuando se están explorando las relaciones de causa y efecto</w:t>
      </w:r>
    </w:p>
    <w:p>
      <w:pPr>
        <w:pStyle w:val="Normal"/>
      </w:pPr>
      <w:r>
        <w:t xml:space="preserve">b) Tarjeta 11 · Considera las consecuencias a corto plazo, a largo plazo, e inesperadas de las acciones</w:t>
      </w:r>
    </w:p>
    <w:p>
      <w:pPr>
        <w:pStyle w:val="Normal"/>
      </w:pPr>
      <w:r>
        <w:t xml:space="preserve">c) Tarjeta 8 · Considera un tema completamente y resiste al impulso de llegar a una conclusión rápida</w:t>
      </w:r>
    </w:p>
    <w:p>
      <w:pPr>
        <w:pStyle w:val="Normal"/>
      </w:pPr>
      <w:r>
        <w:t xml:space="preserve">d) Tarjeta 14 · Examina los resultados y cambia las acciones si es necesario: “aproximación sucesiva”</w:t>
      </w:r>
    </w:p>
    <w:p>
      <w:pPr>
        <w:pStyle w:val="Normal"/>
      </w:pPr>
      <w:r>
        <w:t xml:space="preserve">e) Tarjeta 2 · Observa cómo los elementos de un sistema cambian a través del tiempo, generando patrones y tendencias</w:t>
      </w:r>
    </w:p>
    <w:p>
      <w:pPr>
        <w:pStyle w:val="Heading3"/>
      </w:pPr>
      <w:bookmarkStart w:name="b_pregunta_p3c_61_eficiencia_y__d5713de8" w:id="6658"/>
      <w:r>
        <w:t xml:space="preserve">S3-76 · Unidad 4 · 4.6 · Toma de decisiones: eficiencia y efectividad</w:t>
      </w:r>
      <w:bookmarkEnd w:id="6658"/>
    </w:p>
    <w:p>
      <w:pPr>
        <w:pStyle w:val="Normal"/>
      </w:pPr>
      <w:r>
        <w:t xml:space="preserve">Junto al hábito 8, la presentación incluye la lámina «Abordar deliberadamente desafíos y resolver problemas». ¿Cuáles de las siguientes afirmaciones corresponden a lo que dice?</w:t>
      </w:r>
    </w:p>
    <w:p>
      <w:pPr>
        <w:pStyle w:val="Fuente"/>
      </w:pPr>
      <w:r>
        <w:t xml:space="preserve">Ordinal de la fuente: 61 · complemento editorial.</w:t>
      </w:r>
    </w:p>
    <w:p>
      <w:pPr>
        <w:pStyle w:val="Normal"/>
      </w:pPr>
      <w:r>
        <w:t xml:space="preserve">a) El pensador sistémico actúa rápidamente para no frenar a la organización</w:t>
      </w:r>
    </w:p>
    <w:p>
      <w:pPr>
        <w:pStyle w:val="Normal"/>
      </w:pPr>
      <w:r>
        <w:t xml:space="preserve">b) Tomarse el tiempo para pensar detenidamente y considerar un problema aumenta la probabilidad de un resultado de alta calidad</w:t>
      </w:r>
    </w:p>
    <w:p>
      <w:pPr>
        <w:pStyle w:val="Normal"/>
      </w:pPr>
      <w:r>
        <w:t xml:space="preserve">c) Los pensadores de sistemas ralentizan la organización hasta eliminar toda incertidumbre antes de decidir</w:t>
      </w:r>
    </w:p>
    <w:p>
      <w:pPr>
        <w:pStyle w:val="Normal"/>
      </w:pPr>
      <w:r>
        <w:t xml:space="preserve">d) Los pensadores de sistemas ofrecen una perspectiva que fomenta el equilibrio entre eficiencia y efectividad</w:t>
      </w:r>
    </w:p>
    <w:p>
      <w:pPr>
        <w:pStyle w:val="Normal"/>
      </w:pPr>
      <w:r>
        <w:t xml:space="preserve">e) Una decisión rápida que da una idea nueva y prometedora asegura un buen resultado</w:t>
      </w:r>
    </w:p>
    <w:p>
      <w:pPr>
        <w:pStyle w:val="Heading3"/>
      </w:pPr>
      <w:bookmarkStart w:name="b_pregunta_p3c_62_pensamiento_c_1c636a68" w:id="6659"/>
      <w:r>
        <w:t xml:space="preserve">S3-77 · Unidad 4 · 4.6 · Toma de decisiones: pensamiento causal y sistémico</w:t>
      </w:r>
      <w:bookmarkEnd w:id="6659"/>
    </w:p>
    <w:p>
      <w:pPr>
        <w:pStyle w:val="Normal"/>
      </w:pPr>
      <w:r>
        <w:t xml:space="preserve">La lámina «Resolviendo situaciones problemáticas en los sistemas» contrapone el pensamiento causal y el pensamiento sistémico. ¿Cuáles de los siguientes elementos corresponden al lado del pensamiento sistémico?</w:t>
      </w:r>
    </w:p>
    <w:p>
      <w:pPr>
        <w:pStyle w:val="Fuente"/>
      </w:pPr>
      <w:r>
        <w:t xml:space="preserve">Ordinal de la fuente: 62 · complemento editorial.</w:t>
      </w:r>
    </w:p>
    <w:p>
      <w:pPr>
        <w:pStyle w:val="Normal"/>
      </w:pPr>
      <w:r>
        <w:t xml:space="preserve">a) Varias causas, X1, X2, …, Xn, que apuntan con flechas a un mismo efecto: el problema</w:t>
      </w:r>
    </w:p>
    <w:p>
      <w:pPr>
        <w:pStyle w:val="Normal"/>
      </w:pPr>
      <w:r>
        <w:t xml:space="preserve">b) La pregunta «¿Cuál es el sistema que produce…?»</w:t>
      </w:r>
    </w:p>
    <w:p>
      <w:pPr>
        <w:pStyle w:val="Normal"/>
      </w:pPr>
      <w:r>
        <w:t xml:space="preserve">c) Una cámara fotográfica junto a las variables x, y, z</w:t>
      </w:r>
    </w:p>
    <w:p>
      <w:pPr>
        <w:pStyle w:val="Normal"/>
      </w:pPr>
      <w:r>
        <w:t xml:space="preserve">d) Una red de elementos conectados por flechas, con el problema dentro de ella</w:t>
      </w:r>
    </w:p>
    <w:p>
      <w:pPr>
        <w:pStyle w:val="Normal"/>
      </w:pPr>
      <w:r>
        <w:t xml:space="preserve">e) La pregunta «¿Cuáles son las causas de…?»</w:t>
      </w:r>
    </w:p>
    <w:p>
      <w:pPr>
        <w:pStyle w:val="Heading3"/>
      </w:pPr>
      <w:bookmarkStart w:name="b_pregunta_p3c_63_ejemplos_de_a_5f4cbad1" w:id="6660"/>
      <w:r>
        <w:t xml:space="preserve">S3-78 · Unidad 4 · 4.6 · Toma de decisiones: ejemplos de apalancamiento</w:t>
      </w:r>
      <w:bookmarkEnd w:id="6660"/>
    </w:p>
    <w:p>
      <w:pPr>
        <w:pStyle w:val="Normal"/>
      </w:pPr>
      <w:r>
        <w:t xml:space="preserve">La presentación ilustra el hábito del apalancamiento con varios casos. ¿Cuáles de los siguientes presenta como apalancamiento?</w:t>
      </w:r>
    </w:p>
    <w:p>
      <w:pPr>
        <w:pStyle w:val="Fuente"/>
      </w:pPr>
      <w:r>
        <w:t xml:space="preserve">Ordinal de la fuente: 63 · complemento editorial.</w:t>
      </w:r>
    </w:p>
    <w:p>
      <w:pPr>
        <w:pStyle w:val="Normal"/>
      </w:pPr>
      <w:r>
        <w:t xml:space="preserve">a) El ángulo y la holgura de la caña de pescar, y el pie de la mujer apoyado sobre la roca</w:t>
      </w:r>
    </w:p>
    <w:p>
      <w:pPr>
        <w:pStyle w:val="Normal"/>
      </w:pPr>
      <w:r>
        <w:t xml:space="preserve">b) Lamerse los labios agrietados cada vez que se sienten secos</w:t>
      </w:r>
    </w:p>
    <w:p>
      <w:pPr>
        <w:pStyle w:val="Normal"/>
      </w:pPr>
      <w:r>
        <w:t xml:space="preserve">c) Un imán para ubicar una aguja en un pajar</w:t>
      </w:r>
    </w:p>
    <w:p>
      <w:pPr>
        <w:pStyle w:val="Normal"/>
      </w:pPr>
      <w:r>
        <w:t xml:space="preserve">d) Usar materiales menos costosos en la empresa XYZ</w:t>
      </w:r>
    </w:p>
    <w:p>
      <w:pPr>
        <w:pStyle w:val="Normal"/>
      </w:pPr>
      <w:r>
        <w:t xml:space="preserve">e) Eliminar pasos no esenciales en el empaque de productos de la empresa XYZ</w:t>
      </w:r>
    </w:p>
    <w:p>
      <w:pPr>
        <w:pStyle w:val="Heading3"/>
      </w:pPr>
      <w:bookmarkStart w:name="b_pregunta_p3c_64_lugares_para__0cb1b14f" w:id="6661"/>
      <w:r>
        <w:t xml:space="preserve">S3-79 · Unidad 4 · 4.6 · Toma de decisiones: los lugares para intervenir de Meadows</w:t>
      </w:r>
      <w:bookmarkEnd w:id="6661"/>
    </w:p>
    <w:p>
      <w:pPr>
        <w:pStyle w:val="Normal"/>
      </w:pPr>
      <w:r>
        <w:t xml:space="preserve">La presentación enumera los lugares para intervenir en un sistema según Donella Meadows «en orden creciente de efectividad». Ordene estos cinco como los presenta la lámina: del menos efectivo al más efectivo.</w:t>
      </w:r>
    </w:p>
    <w:p>
      <w:pPr>
        <w:pStyle w:val="Fuente"/>
      </w:pPr>
      <w:r>
        <w:t xml:space="preserve">Ordinal de la fuente: 64 · complemento editorial.</w:t>
      </w:r>
    </w:p>
    <w:p>
      <w:pPr>
        <w:pStyle w:val="Normal"/>
      </w:pPr>
      <w:r>
        <w:t xml:space="preserve">a) La duración de los retrasos, en relación con la tasa de cambio del sistema</w:t>
      </w:r>
    </w:p>
    <w:p>
      <w:pPr>
        <w:pStyle w:val="Normal"/>
      </w:pPr>
      <w:r>
        <w:t xml:space="preserve">b) El poder de agregar, cambiar, evolucionar o autoorganizar la estructura del sistema</w:t>
      </w:r>
    </w:p>
    <w:p>
      <w:pPr>
        <w:pStyle w:val="Normal"/>
      </w:pPr>
      <w:r>
        <w:t xml:space="preserve">c) Los tamaños de los amortiguadores y otras existencias estabilizadoras, en relación con sus flujos</w:t>
      </w:r>
    </w:p>
    <w:p>
      <w:pPr>
        <w:pStyle w:val="Normal"/>
      </w:pPr>
      <w:r>
        <w:t xml:space="preserve">d) La estructura de los flujos de información (quién tiene y no tiene acceso a la información)</w:t>
      </w:r>
    </w:p>
    <w:p>
      <w:pPr>
        <w:pStyle w:val="Normal"/>
      </w:pPr>
      <w:r>
        <w:t xml:space="preserve">e) La fuerza de los bucles de retroalimentación negativa, en relación con los impactos que están tratando de corregir</w:t>
      </w:r>
    </w:p>
    <w:p>
      <w:pPr>
        <w:pStyle w:val="Heading3"/>
      </w:pPr>
      <w:bookmarkStart w:name="b_pregunta_p3c_65_modelo_visual_130b7b29" w:id="6662"/>
      <w:r>
        <w:t xml:space="preserve">S3-80 · Unidad 4 · 4.6 · Toma de decisiones: el modelo visual del sistema</w:t>
      </w:r>
      <w:bookmarkEnd w:id="6662"/>
    </w:p>
    <w:p>
      <w:pPr>
        <w:pStyle w:val="Normal"/>
      </w:pPr>
      <w:r>
        <w:t xml:space="preserve">Según la presentación, los pensadores sistémicos cuentan con herramientas que les ayudan a profundizar su comprensión de los sistemas, «especialmente cuando las cosas no salen según lo previsto». ¿Cuál de ellas puede ayudarlos a identificar acciones de apalancamiento?</w:t>
      </w:r>
    </w:p>
    <w:p>
      <w:pPr>
        <w:pStyle w:val="Fuente"/>
      </w:pPr>
      <w:r>
        <w:t xml:space="preserve">Ordinal de la fuente: 65 · complemento editorial.</w:t>
      </w:r>
    </w:p>
    <w:p>
      <w:pPr>
        <w:pStyle w:val="Normal"/>
      </w:pPr>
      <w:r>
        <w:t xml:space="preserve">a) Una tabla comparativa de las ventajas y desventajas de la acción</w:t>
      </w:r>
    </w:p>
    <w:p>
      <w:pPr>
        <w:pStyle w:val="Normal"/>
      </w:pPr>
      <w:r>
        <w:t xml:space="preserve">b) La intuición de quien conoce bien el problema</w:t>
      </w:r>
    </w:p>
    <w:p>
      <w:pPr>
        <w:pStyle w:val="Normal"/>
      </w:pPr>
      <w:r>
        <w:t xml:space="preserve">c) Un modelo visual del sistema, como un diagrama de ciclos causales</w:t>
      </w:r>
    </w:p>
    <w:p>
      <w:pPr>
        <w:pStyle w:val="Normal"/>
      </w:pPr>
      <w:r>
        <w:t xml:space="preserve">d) La planificación de escenarios con preguntas sobre lo que podría pasar</w:t>
      </w:r>
    </w:p>
    <w:p>
      <w:pPr>
        <w:pStyle w:val="Normal"/>
      </w:pPr>
      <w:r>
        <w:t xml:space="preserve">e) La lista de las causas del problema: «¿Cuáles son las causas de…?»</w:t>
      </w:r>
    </w:p>
    <w:p>
      <w:pPr>
        <w:pStyle w:val="Heading3"/>
      </w:pPr>
      <w:bookmarkStart w:name="b_pregunta_p3c_90_atenuar_reforzar" w:id="6663"/>
      <w:r>
        <w:t xml:space="preserve">S3-81 · Unidad 4 · 4.6 · Dos intervenciones en la realimentación</w:t>
      </w:r>
      <w:bookmarkEnd w:id="6663"/>
    </w:p>
    <w:p>
      <w:pPr>
        <w:pStyle w:val="Normal"/>
      </w:pPr>
      <w:r>
        <w:t xml:space="preserve">Ante presión → errores → retrabajo → presión, ¿qué distingue atenuar R de reforzar o agregar B?</w:t>
      </w:r>
    </w:p>
    <w:p>
      <w:pPr>
        <w:pStyle w:val="Fuente"/>
      </w:pPr>
      <w:r>
        <w:t xml:space="preserve">Ordinal de la fuente: 90 · complemento editorial.</w:t>
      </w:r>
    </w:p>
    <w:p>
      <w:pPr>
        <w:pStyle w:val="Normal"/>
      </w:pPr>
      <w:r>
        <w:t xml:space="preserve">a) Ambas maniobras consisten sólo en aumentar una constante sin mirar variables.</w:t>
      </w:r>
    </w:p>
    <w:p>
      <w:pPr>
        <w:pStyle w:val="Normal"/>
      </w:pPr>
      <w:r>
        <w:t xml:space="preserve">b) Atenuar R reduce una relación amplificadora, como errores por presión; agregar B hace que más trabajo pendiente active capacidad correctiva que lo reduzca.</w:t>
      </w:r>
    </w:p>
    <w:p>
      <w:pPr>
        <w:pStyle w:val="Normal"/>
      </w:pPr>
      <w:r>
        <w:t xml:space="preserve">c) Siempre es superior reforzar B, cualquiera que sea su demora.</w:t>
      </w:r>
    </w:p>
    <w:p>
      <w:pPr>
        <w:pStyle w:val="Normal"/>
      </w:pPr>
      <w:r>
        <w:t xml:space="preserve">d) Atenuar R elimina la necesidad de contrastar consecuencias.</w:t>
      </w:r>
    </w:p>
    <w:p>
      <w:pPr>
        <w:pStyle w:val="Heading3"/>
      </w:pPr>
      <w:bookmarkStart w:name="b_pregunta_p3c_91_quien_fija_reglas" w:id="6664"/>
      <w:r>
        <w:t xml:space="preserve">S3-82 · Unidad 4 · 4.6 · El poder de fijar reglas</w:t>
      </w:r>
      <w:bookmarkEnd w:id="6664"/>
    </w:p>
    <w:p>
      <w:pPr>
        <w:pStyle w:val="Normal"/>
      </w:pPr>
      <w:r>
        <w:t xml:space="preserve">Al estudiar incentivos y restricciones de una organización, ¿qué pregunta completa el análisis de las reglas?</w:t>
      </w:r>
    </w:p>
    <w:p>
      <w:pPr>
        <w:pStyle w:val="Fuente"/>
      </w:pPr>
      <w:r>
        <w:t xml:space="preserve">Ordinal de la fuente: 91 · complemento editorial.</w:t>
      </w:r>
    </w:p>
    <w:p>
      <w:pPr>
        <w:pStyle w:val="Normal"/>
      </w:pPr>
      <w:r>
        <w:t xml:space="preserve">a) ¿Cómo cumplirlas sin conocer su propósito?</w:t>
      </w:r>
    </w:p>
    <w:p>
      <w:pPr>
        <w:pStyle w:val="Normal"/>
      </w:pPr>
      <w:r>
        <w:t xml:space="preserve">b) ¿Cómo aumentar todos los premios por igual?</w:t>
      </w:r>
    </w:p>
    <w:p>
      <w:pPr>
        <w:pStyle w:val="Normal"/>
      </w:pPr>
      <w:r>
        <w:t xml:space="preserve">c) ¿Quién tiene autoridad para fijarlas o cambiarlas y quién queda sin voz en esa decisión?</w:t>
      </w:r>
    </w:p>
    <w:p>
      <w:pPr>
        <w:pStyle w:val="Normal"/>
      </w:pPr>
      <w:r>
        <w:t xml:space="preserve">d) ¿Cómo evitar cualquier revisión de sus efectos?</w:t>
      </w:r>
    </w:p>
    <w:p>
      <w:pPr>
        <w:pStyle w:val="Heading3"/>
      </w:pPr>
      <w:bookmarkStart w:name="b_pregunta_p3c_92_judy_decision_787123f3" w:id="6665"/>
      <w:r>
        <w:t xml:space="preserve">S3-83 · Unidad 4 · 4.6 · Judy: escenarios y decisiones sucesivas</w:t>
      </w:r>
      <w:bookmarkEnd w:id="6665"/>
    </w:p>
    <w:p>
      <w:pPr>
        <w:pStyle w:val="Normal"/>
      </w:pPr>
      <w:r>
        <w:t xml:space="preserve">¿Qué significa anticipar un árbol de decisiones en la discusión de Judy de la clase 22?</w:t>
      </w:r>
    </w:p>
    <w:p>
      <w:pPr>
        <w:pStyle w:val="Fuente"/>
      </w:pPr>
      <w:r>
        <w:t xml:space="preserve">Ordinal de la fuente: 92 · complemento editorial.</w:t>
      </w:r>
    </w:p>
    <w:p>
      <w:pPr>
        <w:pStyle w:val="Normal"/>
      </w:pPr>
      <w:r>
        <w:t xml:space="preserve">a) Que toda consecuencia futura es segura.</w:t>
      </w:r>
    </w:p>
    <w:p>
      <w:pPr>
        <w:pStyle w:val="Normal"/>
      </w:pPr>
      <w:r>
        <w:t xml:space="preserve">b) Que ya se dieron probabilidades para calcular un valor esperado.</w:t>
      </w:r>
    </w:p>
    <w:p>
      <w:pPr>
        <w:pStyle w:val="Normal"/>
      </w:pPr>
      <w:r>
        <w:t xml:space="preserve">c) Que después de decidir desaparecen las alternativas.</w:t>
      </w:r>
    </w:p>
    <w:p>
      <w:pPr>
        <w:pStyle w:val="Normal"/>
      </w:pPr>
      <w:r>
        <w:t xml:space="preserve">d) Que una decisión abre escenarios que pueden exigir nuevas decisiones; conviene anticipar esas ramificaciones y revisar consecuencias.</w:t>
      </w:r>
    </w:p>
    <w:p>
      <w:pPr>
        <w:pStyle w:val="Heading3"/>
      </w:pPr>
      <w:bookmarkStart w:name="b_pregunta_p3c_93_xyz_costos_liquidez" w:id="6666"/>
      <w:r>
        <w:t xml:space="preserve">S3-84 · Unidad 4 · 4.6 · XYZ: costos e inversión inicial</w:t>
      </w:r>
      <w:bookmarkEnd w:id="6666"/>
    </w:p>
    <w:p>
      <w:pPr>
        <w:pStyle w:val="Normal"/>
      </w:pPr>
      <w:r>
        <w:t xml:space="preserve">En el caso didáctico XYZ, ¿por qué un posible ahorro de mano de obra no basta para elegir automatización?</w:t>
      </w:r>
    </w:p>
    <w:p>
      <w:pPr>
        <w:pStyle w:val="Fuente"/>
      </w:pPr>
      <w:r>
        <w:t xml:space="preserve">Ordinal de la fuente: 93 · complemento editorial.</w:t>
      </w:r>
    </w:p>
    <w:p>
      <w:pPr>
        <w:pStyle w:val="Normal"/>
      </w:pPr>
      <w:r>
        <w:t xml:space="preserve">a) Porque salarios por trabajo y materias primas son costos de producción, pero la inversión inicial exige liquidez disponible hoy y puede afectar a las personas.</w:t>
      </w:r>
    </w:p>
    <w:p>
      <w:pPr>
        <w:pStyle w:val="Normal"/>
      </w:pPr>
      <w:r>
        <w:t xml:space="preserve">b) Porque mano de obra significa sólo materia prima y no incluye remuneraciones.</w:t>
      </w:r>
    </w:p>
    <w:p>
      <w:pPr>
        <w:pStyle w:val="Normal"/>
      </w:pPr>
      <w:r>
        <w:t xml:space="preserve">c) Porque un ahorro futuro garantiza dinero suficiente para invertir hoy.</w:t>
      </w:r>
    </w:p>
    <w:p>
      <w:pPr>
        <w:pStyle w:val="Normal"/>
      </w:pPr>
      <w:r>
        <w:t xml:space="preserve">d) Porque una decisión debe analizar sólo los costos directos e ignorar calidad y demanda.</w:t>
      </w:r>
    </w:p>
    <w:p>
      <w:pPr>
        <w:pStyle w:val="Heading3"/>
      </w:pPr>
      <w:r>
        <w:t xml:space="preserve">Tema 4.7 · Hábitos (simulación)</w:t>
      </w:r>
    </w:p>
    <w:p>
      <w:pPr>
        <w:pStyle w:val="Heading3"/>
      </w:pPr>
      <w:bookmarkStart w:name="b_pregunta_p3c_66_habitos_en_rojo" w:id="6667"/>
      <w:r>
        <w:t xml:space="preserve">S3-85 · Unidad 4 · 4.7 · Hábitos: los marcados en rojo para la unidad 4</w:t>
      </w:r>
      <w:bookmarkEnd w:id="6667"/>
    </w:p>
    <w:p>
      <w:pPr>
        <w:pStyle w:val="Normal"/>
      </w:pPr>
      <w:r>
        <w:t xml:space="preserve">En el póster de los hábitos de un pensador sistémico de la presentación 4a, algunas tarjetas aparecen enmarcadas en rojo: son los hábitos que trabaja la unidad 4. ¿Cuáles de las siguientes están marcadas?</w:t>
      </w:r>
    </w:p>
    <w:p>
      <w:pPr>
        <w:pStyle w:val="Fuente"/>
      </w:pPr>
      <w:r>
        <w:t xml:space="preserve">Ordinal de la fuente: 66 · complemento editorial.</w:t>
      </w:r>
    </w:p>
    <w:p>
      <w:pPr>
        <w:pStyle w:val="Normal"/>
      </w:pPr>
      <w:r>
        <w:t xml:space="preserve">a) Tarjeta 13 · Reconoce el impacto de las demoras cuando se están explorando las relaciones de causa y efecto</w:t>
      </w:r>
    </w:p>
    <w:p>
      <w:pPr>
        <w:pStyle w:val="Normal"/>
      </w:pPr>
      <w:r>
        <w:t xml:space="preserve">b) Tarjeta 12 · Presta atención a las acumulaciones y sus tasas de cambio</w:t>
      </w:r>
    </w:p>
    <w:p>
      <w:pPr>
        <w:pStyle w:val="Normal"/>
      </w:pPr>
      <w:r>
        <w:t xml:space="preserve">c) Tarjeta 9 · Considera cómo los modelos mentales afectan la realidad actual y el futuro</w:t>
      </w:r>
    </w:p>
    <w:p>
      <w:pPr>
        <w:pStyle w:val="Normal"/>
      </w:pPr>
      <w:r>
        <w:t xml:space="preserve">d) Tarjeta 8 · Considera un tema completamente y resiste al impulso de llegar a una conclusión rápida</w:t>
      </w:r>
    </w:p>
    <w:p>
      <w:pPr>
        <w:pStyle w:val="Normal"/>
      </w:pPr>
      <w:r>
        <w:t xml:space="preserve">e) Tarjeta 3 · Reconoce que la estructura de un sistema genera su comportamiento</w:t>
      </w:r>
    </w:p>
    <w:p>
      <w:pPr>
        <w:pStyle w:val="Heading3"/>
      </w:pPr>
      <w:bookmarkStart w:name="b_pregunta_p3c_67_etapas_de_resolucion" w:id="6668"/>
      <w:r>
        <w:t xml:space="preserve">S3-86 · Unidad 4 · 4.7 · Hábitos: las cuatro etapas de resolución de problemas</w:t>
      </w:r>
      <w:bookmarkEnd w:id="6668"/>
    </w:p>
    <w:p>
      <w:pPr>
        <w:pStyle w:val="Normal"/>
      </w:pPr>
      <w:r>
        <w:t xml:space="preserve">La presentación agrupa los hábitos de un pensador sistémico en cuatro categorías secuenciales para resolver problemas. Relacione cada hábito del póster con la etapa en que la presentación lo aplica.</w:t>
      </w:r>
    </w:p>
    <w:p>
      <w:pPr>
        <w:pStyle w:val="Fuente"/>
      </w:pPr>
      <w:r>
        <w:t xml:space="preserve">Ordinal de la fuente: 67 · complemento editorial.</w:t>
      </w:r>
    </w:p>
    <w:p>
      <w:pPr>
        <w:keepNext/>
        <w:spacing w:after="40" w:before="150"/>
        <w:jc w:val="center"/>
      </w:pPr>
      <w:bookmarkStart w:name="b_figura_original_p3c_67_etapas_5dbae90b" w:id="6669"/>
      <w:bookmarkEnd w:id="6669"/>
      <w:r>
        <w:drawing>
          <wp:inline distT="0" distB="0" distL="0" distR="0">
            <wp:extent cx="5381625" cy="3143250"/>
            <wp:effectExtent t="0" r="0" b="0" l="0"/>
            <wp:docPr id="276" name="p3c-67-etapas-de-resolucion-enunciado" descr="Presentación 4b (C-4), láminas 43, 44, 45, 46 y 47" title="Unidad 4 · 4.7 · Hábitos: las cuatro etapas de resolución de proble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34" cstate="none"/>
                    <a:srcRect/>
                    <a:stretch>
                      <a:fillRect/>
                    </a:stretch>
                  </pic:blipFill>
                  <pic:spPr bwMode="auto">
                    <a:xfrm>
                      <a:off x="0" y="0"/>
                      <a:ext cx="5381625" cy="3143250"/>
                    </a:xfrm>
                    <a:prstGeom prst="rect">
                      <a:avLst/>
                    </a:prstGeom>
                  </pic:spPr>
                </pic:pic>
              </a:graphicData>
            </a:graphic>
          </wp:inline>
        </w:drawing>
      </w:r>
    </w:p>
    <w:p>
      <w:pPr>
        <w:pStyle w:val="PieFigura"/>
        <w:keepNext/>
      </w:pPr>
      <w:bookmarkStart w:name="b_fig_S3_10" w:id="6670"/>
      <w:r>
        <w:t xml:space="preserve">Figura S3.</w:t>
      </w:r>
      <w:fldSimple w:instr="SEQ Figura \n \* ARABIC">
        <w:r>
          <w:t xml:space="preserve">10</w:t>
        </w:r>
      </w:fldSimple>
      <w:r>
        <w:t xml:space="preserve"> · Unidad 4 · 4.7 · Hábitos: las cuatro etapas de resolución de problemas</w:t>
      </w:r>
      <w:bookmarkEnd w:id="6670"/>
    </w:p>
    <w:p>
      <w:pPr>
        <w:pStyle w:val="LecturaFigura"/>
        <w:keepNext/>
      </w:pPr>
      <w:r>
        <w:rPr>
          <w:b/>
          <w:bCs/>
        </w:rPr>
        <w:t xml:space="preserve">Lectura del diagrama: </w:t>
      </w:r>
      <w:r>
        <w:t xml:space="preserve">Presentación 4b · pág. 43 · Resolución de problemas de un pensador sistémico usando los hábitos que lo distinguen</w:t>
      </w:r>
    </w:p>
    <w:p>
      <w:pPr>
        <w:pStyle w:val="Fuente"/>
      </w:pPr>
      <w:r>
        <w:t xml:space="preserve">Presentación 4b (C-4), láminas 43, 44, 45, 46 y 47</w:t>
      </w:r>
    </w:p>
    <w:p>
      <w:pPr>
        <w:pStyle w:val="Normal"/>
      </w:pPr>
      <w:r>
        <w:t xml:space="preserve">a) Fila: Tarjeta 8 · Considera un tema completamente y resiste al impulso de llegar a una conclusión rápida</w:t>
      </w:r>
    </w:p>
    <w:p>
      <w:pPr>
        <w:pStyle w:val="Normal"/>
      </w:pPr>
      <w:r>
        <w:t xml:space="preserve">b) Fila: Tarjeta 13 · Reconoce el impacto de las demoras cuando se están explorando las relaciones de causa y efecto</w:t>
      </w:r>
    </w:p>
    <w:p>
      <w:pPr>
        <w:pStyle w:val="Normal"/>
      </w:pPr>
      <w:r>
        <w:t xml:space="preserve">c) Fila: Tarjeta 4 · Identifica la naturaleza circular de relaciones complejas entre causa y efecto</w:t>
      </w:r>
    </w:p>
    <w:p>
      <w:pPr>
        <w:pStyle w:val="Normal"/>
      </w:pPr>
      <w:r>
        <w:t xml:space="preserve">d) Fila: Tarjeta 12 · Presta atención a las acumulaciones y sus tasas de cambio</w:t>
      </w:r>
    </w:p>
    <w:p>
      <w:pPr>
        <w:pStyle w:val="Normal"/>
      </w:pPr>
      <w:r>
        <w:t xml:space="preserve">e) Fila: Tarjeta 9 · Considera cómo los modelos mentales afectan la realidad actual y el futuro</w:t>
      </w:r>
    </w:p>
    <w:p>
      <w:pPr>
        <w:pStyle w:val="Normal"/>
      </w:pPr>
      <w:r>
        <w:t xml:space="preserve">f) a) 1. Desarrollar conciencia del problema</w:t>
      </w:r>
    </w:p>
    <w:p>
      <w:pPr>
        <w:pStyle w:val="Normal"/>
      </w:pPr>
      <w:r>
        <w:t xml:space="preserve">g) b) 2. Aumenta la comprensión del problema</w:t>
      </w:r>
    </w:p>
    <w:p>
      <w:pPr>
        <w:pStyle w:val="Normal"/>
      </w:pPr>
      <w:r>
        <w:t xml:space="preserve">h) c) 3. Planificando y tomando medidas para resolver el problema</w:t>
      </w:r>
    </w:p>
    <w:p>
      <w:pPr>
        <w:pStyle w:val="Normal"/>
      </w:pPr>
      <w:r>
        <w:t xml:space="preserve">i) d) 4. Y una vez implementada la solución aplica “aproximación sucesiva”</w:t>
      </w:r>
    </w:p>
    <w:p>
      <w:pPr>
        <w:pStyle w:val="Normal"/>
      </w:pPr>
      <w:r>
        <w:t xml:space="preserve">j) e) En ninguna de las cuatro etapas</w:t>
      </w:r>
    </w:p>
    <w:p>
      <w:pPr>
        <w:pStyle w:val="Heading3"/>
      </w:pPr>
      <w:bookmarkStart w:name="b_pregunta_p3c_68_iniciativas_d_e3fd0ca0" w:id="6671"/>
      <w:r>
        <w:t xml:space="preserve">S3-87 · Unidad 4 · 4.7 · Hábitos: las iniciativas de la aproximación sucesiva</w:t>
      </w:r>
      <w:bookmarkEnd w:id="6671"/>
    </w:p>
    <w:p>
      <w:pPr>
        <w:pStyle w:val="Normal"/>
      </w:pPr>
      <w:r>
        <w:t xml:space="preserve">Como hábito fundamental de un pensador sistémico, la aproximación sucesiva «implica la disposición a asumir riesgos y superar el fracaso». Según la presentación, ¿a cuáles de las siguientes iniciativas de cambio se aplica el proceso?</w:t>
      </w:r>
    </w:p>
    <w:p>
      <w:pPr>
        <w:pStyle w:val="Fuente"/>
      </w:pPr>
      <w:r>
        <w:t xml:space="preserve">Ordinal de la fuente: 68 · complemento editorial.</w:t>
      </w:r>
    </w:p>
    <w:p>
      <w:pPr>
        <w:pStyle w:val="Normal"/>
      </w:pPr>
      <w:r>
        <w:t xml:space="preserve">a) El aprendizaje de una nueva habilidad</w:t>
      </w:r>
    </w:p>
    <w:p>
      <w:pPr>
        <w:pStyle w:val="Normal"/>
      </w:pPr>
      <w:r>
        <w:t xml:space="preserve">b) La eliminación de todo riesgo antes de implementar un cambio</w:t>
      </w:r>
    </w:p>
    <w:p>
      <w:pPr>
        <w:pStyle w:val="Normal"/>
      </w:pPr>
      <w:r>
        <w:t xml:space="preserve">c) Planes para realizar mejoras</w:t>
      </w:r>
    </w:p>
    <w:p>
      <w:pPr>
        <w:pStyle w:val="Normal"/>
      </w:pPr>
      <w:r>
        <w:t xml:space="preserve">d) La búsqueda de un plan definitivo que no vuelva a modificarse</w:t>
      </w:r>
    </w:p>
    <w:p>
      <w:pPr>
        <w:pStyle w:val="Normal"/>
      </w:pPr>
      <w:r>
        <w:t xml:space="preserve">e) El alivio inmediato de los síntomas de un problema</w:t>
      </w:r>
    </w:p>
    <w:p>
      <w:pPr>
        <w:pStyle w:val="Heading3"/>
      </w:pPr>
      <w:bookmarkStart w:name="b_pregunta_p3c_69_ciclo_continuo" w:id="6672"/>
      <w:r>
        <w:t xml:space="preserve">S3-88 · Unidad 4 · 4.7 · Hábitos: el ciclo de aproximación sucesiva</w:t>
      </w:r>
      <w:bookmarkEnd w:id="6672"/>
    </w:p>
    <w:p>
      <w:pPr>
        <w:pStyle w:val="Normal"/>
      </w:pPr>
      <w:r>
        <w:t xml:space="preserve">En el ciclo de aproximación sucesiva, el proceso de mejora es continuo; sin embargo, si el plan ofrece beneficios sustanciales, el próximo ciclo de mejora puede retrasarse.</w:t>
      </w:r>
    </w:p>
    <w:p>
      <w:pPr>
        <w:pStyle w:val="Fuente"/>
      </w:pPr>
      <w:r>
        <w:t xml:space="preserve">Ordinal de la fuente: 69 · complemento editorial.</w:t>
      </w:r>
    </w:p>
    <w:p>
      <w:pPr>
        <w:pStyle w:val="Normal"/>
      </w:pPr>
      <w:r>
        <w:t xml:space="preserve">a) Verdadero</w:t>
      </w:r>
    </w:p>
    <w:p>
      <w:pPr>
        <w:pStyle w:val="Normal"/>
      </w:pPr>
      <w:r>
        <w:t xml:space="preserve">b) Falso</w:t>
      </w:r>
    </w:p>
    <w:p>
      <w:pPr>
        <w:pStyle w:val="Heading3"/>
      </w:pPr>
      <w:bookmarkStart w:name="b_pregunta_p3c_70_pilar_hacer_c_2634986b" w:id="6673"/>
      <w:r>
        <w:t xml:space="preserve">S3-89 · Unidad 4 · 4.7 · Hábitos: los pilares de la resiliencia</w:t>
      </w:r>
      <w:bookmarkEnd w:id="6673"/>
    </w:p>
    <w:p>
      <w:pPr>
        <w:pStyle w:val="Normal"/>
      </w:pPr>
      <w:r>
        <w:t xml:space="preserve">En el enfoque sistémico de la resiliencia, ¿qué pilar es el que «establece la relación entre el hoy (la realidad) y el mañana (los objetivos)» y permite improvisar soluciones con las herramientas disponibles en ese momento?</w:t>
      </w:r>
    </w:p>
    <w:p>
      <w:pPr>
        <w:pStyle w:val="Fuente"/>
      </w:pPr>
      <w:r>
        <w:t xml:space="preserve">Ordinal de la fuente: 70 · complemento editorial.</w:t>
      </w:r>
    </w:p>
    <w:p>
      <w:pPr>
        <w:pStyle w:val="Normal"/>
      </w:pPr>
      <w:r>
        <w:t xml:space="preserve">a) Existencia de objetivos futuros</w:t>
      </w:r>
    </w:p>
    <w:p>
      <w:pPr>
        <w:pStyle w:val="Normal"/>
      </w:pPr>
      <w:r>
        <w:t xml:space="preserve">b) Flexibles</w:t>
      </w:r>
    </w:p>
    <w:p>
      <w:pPr>
        <w:pStyle w:val="Normal"/>
      </w:pPr>
      <w:r>
        <w:t xml:space="preserve">c) Enfrentando la realidad</w:t>
      </w:r>
    </w:p>
    <w:p>
      <w:pPr>
        <w:pStyle w:val="Normal"/>
      </w:pPr>
      <w:r>
        <w:t xml:space="preserve">d) La habilidad de hacer las cosas con los elementos que se tengan a mano</w:t>
      </w:r>
    </w:p>
    <w:p>
      <w:pPr>
        <w:pStyle w:val="Normal"/>
      </w:pPr>
      <w:r>
        <w:t xml:space="preserve">e) La búsqueda de sentido</w:t>
      </w:r>
    </w:p>
    <w:p>
      <w:pPr>
        <w:pStyle w:val="Heading3"/>
      </w:pPr>
      <w:bookmarkStart w:name="b_pregunta_p3c_71_modelo_del_feedback" w:id="6674"/>
      <w:r>
        <w:t xml:space="preserve">S3-90 · Unidad 4 · 4.7 · Hábitos: el modelo sistémico de la resiliencia</w:t>
      </w:r>
      <w:bookmarkEnd w:id="6674"/>
    </w:p>
    <w:p>
      <w:pPr>
        <w:pStyle w:val="Normal"/>
      </w:pPr>
      <w:r>
        <w:t xml:space="preserve">En el modelo del enfoque sistémico de la resiliencia, que va del Hoy al Mañana, ¿qué componente responde a la necesidad de «establecer un sistema de feedback que, fuertemente unido a nuestro sistemas de valores, nos permitan medir los éxitos logrados en el camino hacia el cumplimiento de los objetivos»?</w:t>
      </w:r>
    </w:p>
    <w:p>
      <w:pPr>
        <w:pStyle w:val="Fuente"/>
      </w:pPr>
      <w:r>
        <w:t xml:space="preserve">Ordinal de la fuente: 71 · complemento editorial.</w:t>
      </w:r>
    </w:p>
    <w:p>
      <w:pPr>
        <w:pStyle w:val="Normal"/>
      </w:pPr>
      <w:r>
        <w:t xml:space="preserve">a) Dónde queremos estar: el Mañana</w:t>
      </w:r>
    </w:p>
    <w:p>
      <w:pPr>
        <w:pStyle w:val="Normal"/>
      </w:pPr>
      <w:r>
        <w:t xml:space="preserve">b) El proceso: el poder hacer las cosas con lo que tengamos a mano</w:t>
      </w:r>
    </w:p>
    <w:p>
      <w:pPr>
        <w:pStyle w:val="Normal"/>
      </w:pPr>
      <w:r>
        <w:t xml:space="preserve">c) Cómo sabremos que hemos llegado a ese futuro deseado</w:t>
      </w:r>
    </w:p>
    <w:p>
      <w:pPr>
        <w:pStyle w:val="Normal"/>
      </w:pPr>
      <w:r>
        <w:t xml:space="preserve">d) Dónde estamos: el Hoy</w:t>
      </w:r>
    </w:p>
    <w:p>
      <w:pPr>
        <w:pStyle w:val="Normal"/>
      </w:pPr>
      <w:r>
        <w:t xml:space="preserve">e) El medio ambiente: el entorno</w:t>
      </w:r>
    </w:p>
    <w:p>
      <w:pPr>
        <w:pStyle w:val="Heading3"/>
      </w:pPr>
      <w:bookmarkStart w:name="b_pregunta_p3c_72_habilidad_proactivos" w:id="6675"/>
      <w:r>
        <w:t xml:space="preserve">S3-91 · Unidad 4 · 4.7 · Hábitos: las habilidades de la resiliencia</w:t>
      </w:r>
      <w:bookmarkEnd w:id="6675"/>
    </w:p>
    <w:p>
      <w:pPr>
        <w:pStyle w:val="Normal"/>
      </w:pPr>
      <w:r>
        <w:t xml:space="preserve">«Individuos (o empresas) resilientes toman la acción cuando enfrentan la incertidumbre; se adaptan a los riesgos, los miden y se ajustan, en lugar de buscar el confort». ¿A qué habilidad requerida por la resiliencia corresponde esta descripción?</w:t>
      </w:r>
    </w:p>
    <w:p>
      <w:pPr>
        <w:pStyle w:val="Fuente"/>
      </w:pPr>
      <w:r>
        <w:t xml:space="preserve">Ordinal de la fuente: 72 · complemento editorial.</w:t>
      </w:r>
    </w:p>
    <w:p>
      <w:pPr>
        <w:pStyle w:val="Normal"/>
      </w:pPr>
      <w:r>
        <w:t xml:space="preserve">a) Adaptables</w:t>
      </w:r>
    </w:p>
    <w:p>
      <w:pPr>
        <w:pStyle w:val="Normal"/>
      </w:pPr>
      <w:r>
        <w:t xml:space="preserve">b) Organizados</w:t>
      </w:r>
    </w:p>
    <w:p>
      <w:pPr>
        <w:pStyle w:val="Normal"/>
      </w:pPr>
      <w:r>
        <w:t xml:space="preserve">c) Proactivos</w:t>
      </w:r>
    </w:p>
    <w:p>
      <w:pPr>
        <w:pStyle w:val="Normal"/>
      </w:pPr>
      <w:r>
        <w:t xml:space="preserve">d) Flexibles</w:t>
      </w:r>
    </w:p>
    <w:p>
      <w:pPr>
        <w:pStyle w:val="Normal"/>
      </w:pPr>
      <w:r>
        <w:t xml:space="preserve">e) Concentrados</w:t>
      </w:r>
    </w:p>
    <w:p>
      <w:pPr>
        <w:pStyle w:val="Heading3"/>
      </w:pPr>
      <w:bookmarkStart w:name="b_pregunta_p3c_73_racionalizacion" w:id="6676"/>
      <w:r>
        <w:t xml:space="preserve">S3-92 · Unidad 4 · 4.7 · Hábitos: la montaña rusa del cambio</w:t>
      </w:r>
      <w:bookmarkEnd w:id="6676"/>
    </w:p>
    <w:p>
      <w:pPr>
        <w:pStyle w:val="Normal"/>
      </w:pPr>
      <w:r>
        <w:t xml:space="preserve">Según la lectura de Castello, ¿qué etapa de la montaña rusa del cambio es «una de la etapas más peligrosas», porque a través de ella «podemos terminar en un cuasi-autismo que nos aleje de la realidad»?</w:t>
      </w:r>
    </w:p>
    <w:p>
      <w:pPr>
        <w:pStyle w:val="Fuente"/>
      </w:pPr>
      <w:r>
        <w:t xml:space="preserve">Ordinal de la fuente: 73 · complemento editorial.</w:t>
      </w:r>
    </w:p>
    <w:p>
      <w:pPr>
        <w:pStyle w:val="Normal"/>
      </w:pPr>
      <w:r>
        <w:t xml:space="preserve">a) Negación</w:t>
      </w:r>
    </w:p>
    <w:p>
      <w:pPr>
        <w:pStyle w:val="Normal"/>
      </w:pPr>
      <w:r>
        <w:t xml:space="preserve">b) Depresión</w:t>
      </w:r>
    </w:p>
    <w:p>
      <w:pPr>
        <w:pStyle w:val="Normal"/>
      </w:pPr>
      <w:r>
        <w:t xml:space="preserve">c) Racionalización</w:t>
      </w:r>
    </w:p>
    <w:p>
      <w:pPr>
        <w:pStyle w:val="Normal"/>
      </w:pPr>
      <w:r>
        <w:t xml:space="preserve">d) Parálisis</w:t>
      </w:r>
    </w:p>
    <w:p>
      <w:pPr>
        <w:pStyle w:val="Normal"/>
      </w:pPr>
      <w:r>
        <w:t xml:space="preserve">e) Ira</w:t>
      </w:r>
    </w:p>
    <w:p>
      <w:pPr>
        <w:pStyle w:val="Heading3"/>
      </w:pPr>
      <w:bookmarkStart w:name="b_pregunta_p3c_79_cobertura" w:id="6677"/>
      <w:r>
        <w:t xml:space="preserve">S3-93 · Unidad 4 · 4.7 · Resiliencia: diseño previo</w:t>
      </w:r>
      <w:bookmarkEnd w:id="6677"/>
    </w:p>
    <w:p>
      <w:pPr>
        <w:pStyle w:val="Normal"/>
      </w:pPr>
      <w:r>
        <w:t xml:space="preserve">Antes de implementar un proceso organizacional de resiliencia, ¿qué conjunto corresponde al diseño previo?</w:t>
      </w:r>
    </w:p>
    <w:p>
      <w:pPr>
        <w:pStyle w:val="Fuente"/>
      </w:pPr>
      <w:r>
        <w:t xml:space="preserve">Ordinal de la fuente: 79 · complemento editorial.</w:t>
      </w:r>
    </w:p>
    <w:p>
      <w:pPr>
        <w:pStyle w:val="Normal"/>
      </w:pPr>
      <w:r>
        <w:t xml:space="preserve">a) Eliminar el feedback para evitar cambios de rumbo.</w:t>
      </w:r>
    </w:p>
    <w:p>
      <w:pPr>
        <w:pStyle w:val="Normal"/>
      </w:pPr>
      <w:r>
        <w:t xml:space="preserve">b) Presentar el proceso, diagnosticar, revisar valores, definir objetivos, asignar roles y diseñar seguimiento.</w:t>
      </w:r>
    </w:p>
    <w:p>
      <w:pPr>
        <w:pStyle w:val="Normal"/>
      </w:pPr>
      <w:r>
        <w:t xml:space="preserve">c) Dar una charla y esperar que cada persona improvise.</w:t>
      </w:r>
    </w:p>
    <w:p>
      <w:pPr>
        <w:pStyle w:val="Normal"/>
      </w:pPr>
      <w:r>
        <w:t xml:space="preserve">d) Medir resultados sin establecer objetivos.</w:t>
      </w:r>
    </w:p>
    <w:p>
      <w:pPr>
        <w:pStyle w:val="Heading3"/>
      </w:pPr>
      <w:bookmarkStart w:name="b_pregunta_p3c_80_cobertura" w:id="6678"/>
      <w:r>
        <w:t xml:space="preserve">S3-94 · Unidad 4 · 4.7 · Resiliencia: implementación</w:t>
      </w:r>
      <w:bookmarkEnd w:id="6678"/>
    </w:p>
    <w:p>
      <w:pPr>
        <w:pStyle w:val="Normal"/>
      </w:pPr>
      <w:r>
        <w:t xml:space="preserve">¿Qué acción forma parte de la implementación y seguimiento de resiliencia empresarial?</w:t>
      </w:r>
    </w:p>
    <w:p>
      <w:pPr>
        <w:pStyle w:val="Fuente"/>
      </w:pPr>
      <w:r>
        <w:t xml:space="preserve">Ordinal de la fuente: 80 · complemento editorial.</w:t>
      </w:r>
    </w:p>
    <w:p>
      <w:pPr>
        <w:pStyle w:val="Normal"/>
      </w:pPr>
      <w:r>
        <w:t xml:space="preserve">a) Evaluar solamente actividades realizadas, sin resultados.</w:t>
      </w:r>
    </w:p>
    <w:p>
      <w:pPr>
        <w:pStyle w:val="Normal"/>
      </w:pPr>
      <w:r>
        <w:t xml:space="preserve">b) Suponer que todas las personas atraviesan las mismas etapas a igual velocidad.</w:t>
      </w:r>
    </w:p>
    <w:p>
      <w:pPr>
        <w:pStyle w:val="Normal"/>
      </w:pPr>
      <w:r>
        <w:t xml:space="preserve">c) Desarrollar habilidades, obtener feedback, analizar alternativas y entorno, acompañar ajustes y mantener seguimiento.</w:t>
      </w:r>
    </w:p>
    <w:p>
      <w:pPr>
        <w:pStyle w:val="Normal"/>
      </w:pPr>
      <w:r>
        <w:t xml:space="preserve">d) Congelar el plan después del diagnóstico.</w:t>
      </w:r>
    </w:p>
    <w:p>
      <w:pPr>
        <w:pStyle w:val="Heading3"/>
      </w:pPr>
      <w:bookmarkStart w:name="b_solucionario_banco_p3" w:id="6679"/>
      <w:r>
        <w:t xml:space="preserve">Solucionario del banco</w:t>
      </w:r>
      <w:bookmarkEnd w:id="6679"/>
    </w:p>
    <w:p>
      <w:pPr>
        <w:pStyle w:val="Heading3"/>
      </w:pPr>
      <w:bookmarkStart w:name="b_solucion_p3c_01_origen_de_los_df59c9cd" w:id="6680"/>
      <w:r>
        <w:t xml:space="preserve">Solución S3-1</w:t>
      </w:r>
      <w:bookmarkEnd w:id="6680"/>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a) La palabra viene del griego Archetypos, que significa «modelo primitivo u original»</w:t>
            </w:r>
          </w:p>
          <w:p>
            <w:pPr>
              <w:pStyle w:val="Recuadro"/>
            </w:pPr>
            <w:r>
              <w:t xml:space="preserve">b) Fueron desarrollados en Innovation Associates a mediados de los años ochenta</w:t>
            </w:r>
          </w:p>
          <w:p>
            <w:pPr>
              <w:pStyle w:val="Recuadro"/>
            </w:pPr>
            <w:r>
              <w:t xml:space="preserve">d) Algunos, como «Límites del crecimiento» y «Desplazamiento de la carga», son traducciones de las «estructuras genéricas» de Forrester</w:t>
            </w:r>
          </w:p>
        </w:tc>
      </w:tr>
    </w:tbl>
    <w:p>
      <w:pPr>
        <w:pStyle w:val="Heading3"/>
      </w:pPr>
      <w:r>
        <w:t xml:space="preserve">Separe a quien dibujó de quien describió</w:t>
      </w:r>
    </w:p>
    <w:p>
      <w:pPr>
        <w:pStyle w:val="Normal"/>
      </w:pPr>
      <w:r>
        <w:t xml:space="preserve">Kemeny, Goodman y Senge dibujaron los ocho diagramas en los ochenta; Forrester había descrito antes las estructuras genéricas de las que salen algunos.</w:t>
      </w:r>
    </w:p>
    <w:p>
      <w:pPr>
        <w:pStyle w:val="Fuente"/>
      </w:pPr>
      <w:r>
        <w:t xml:space="preserve">Opciones descartadas: c).</w:t>
      </w:r>
    </w:p>
    <w:p>
      <w:pPr>
        <w:pStyle w:val="Heading3"/>
      </w:pPr>
      <w:r>
        <w:t xml:space="preserve">Cuente los arquetipos de la lista</w:t>
      </w:r>
    </w:p>
    <w:p>
      <w:pPr>
        <w:pStyle w:val="Normal"/>
      </w:pPr>
      <w:r>
        <w:t xml:space="preserve">La lista «Arquetipos más conocidos» de Valentini llega hasta el 10, y la presentación 4b la reúne con los de Pegasus en la lámina 20.</w:t>
      </w:r>
    </w:p>
    <w:p>
      <w:pPr>
        <w:pStyle w:val="Fuente"/>
      </w:pPr>
      <w:r>
        <w:t xml:space="preserve">Opciones descartadas: e).</w:t>
      </w:r>
    </w:p>
    <w:p>
      <w:pPr>
        <w:pStyle w:val="Normal"/>
      </w:pPr>
      <w:r>
        <w:t xml:space="preserve">a) La palabra viene del griego Archetypos, que significa «modelo primitivo u original» — Correcta: es la primera línea de la lectura.</w:t>
      </w:r>
    </w:p>
    <w:p>
      <w:pPr>
        <w:pStyle w:val="Normal"/>
      </w:pPr>
      <w:r>
        <w:t xml:space="preserve">b) Fueron desarrollados en Innovation Associates a mediados de los años ochenta — Correcta: la lectura los sitúa en Innovation Associates a mediados de los ochenta, por sugerencia de su presidente, Charles Kiefer.</w:t>
      </w:r>
    </w:p>
    <w:p>
      <w:pPr>
        <w:pStyle w:val="Normal"/>
      </w:pPr>
      <w:r>
        <w:t xml:space="preserve">c) Jay Forrester dibujó los ocho diagramas originales en los años sesenta — Los ocho diagramas los desarrolló Jennifer Kemeny, con Michael Goodman y Peter Senge, en parte sobre notas de John Sterman. Forrester describió antes las estructuras genéricas.</w:t>
      </w:r>
    </w:p>
    <w:p>
      <w:pPr>
        <w:pStyle w:val="Normal"/>
      </w:pPr>
      <w:r>
        <w:t xml:space="preserve">d) Algunos, como «Límites del crecimiento» y «Desplazamiento de la carga», son traducciones de las «estructuras genéricas» de Forrester — Correcta: la lectura lo dice así; las estructuras genéricas son mecanismos que Forrester y otros pioneros describieron en los sesenta y setenta.</w:t>
      </w:r>
    </w:p>
    <w:p>
      <w:pPr>
        <w:pStyle w:val="Normal"/>
      </w:pPr>
      <w:r>
        <w:t xml:space="preserve">e) La lista de Valentini trae ocho arquetipos, los mismos de la hoja de Pegasus — Valentini lista diez: los ocho de Pegasus más la compensación entre proceso y demora y el desplazamiento de la carga hacia la intervención.</w:t>
      </w:r>
    </w:p>
    <w:p>
      <w:pPr>
        <w:pStyle w:val="Normal"/>
      </w:pPr>
      <w:r>
        <w:t xml:space="preserve">Criterio de resolución: Valentini abre con la etimología y la historia: los arquetipos nacieron en Innovation Associates para comunicar más simplemente lo que hasta entonces exigía diagramas causales complejos y modelos por computador. Kemeny, con Goodman y Senge, dibujó ocho; algunos traducen estructuras genéricas que Forrester ya había descrito.</w:t>
      </w:r>
    </w:p>
    <w:p>
      <w:pPr>
        <w:pStyle w:val="Normal"/>
      </w:pPr>
      <w:r>
        <w:t xml:space="preserve">Defensa: Las tres correctas son frases de la primera página de L-19; la lectura atribuye los ocho diagramas a Kemeny y numera diez arquetipos, no ocho.</w:t>
      </w:r>
    </w:p>
    <w:p>
      <w:pPr>
        <w:pStyle w:val="Fuente"/>
      </w:pPr>
      <w:r>
        <w:t xml:space="preserve">lectura L-19, pág. 1</w:t>
      </w:r>
    </w:p>
    <w:p>
      <w:pPr>
        <w:pStyle w:val="Heading3"/>
      </w:pPr>
      <w:bookmarkStart w:name="b_solucion_p3c_02_los_dos_de_valentini" w:id="6681"/>
      <w:r>
        <w:t xml:space="preserve">Solución S3-2</w:t>
      </w:r>
      <w:bookmarkEnd w:id="6681"/>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a) Compensación entre proceso y demora</w:t>
            </w:r>
          </w:p>
          <w:p>
            <w:pPr>
              <w:pStyle w:val="Recuadro"/>
            </w:pPr>
            <w:r>
              <w:t xml:space="preserve">c) Desplazamiento de la carga hacia la intervención</w:t>
            </w:r>
          </w:p>
        </w:tc>
      </w:tr>
    </w:tbl>
    <w:p>
      <w:pPr>
        <w:pStyle w:val="Heading3"/>
      </w:pPr>
      <w:r>
        <w:t xml:space="preserve">Recuerde las ocho filas de Pegasus</w:t>
      </w:r>
    </w:p>
    <w:p>
      <w:pPr>
        <w:pStyle w:val="Normal"/>
      </w:pPr>
      <w:r>
        <w:t xml:space="preserve">Límites del crecimiento, desplazamiento de la carga, erosión de metas, escalada, éxito para quien tiene éxito, tragedia de los comunes, soluciones rápidas que fallan y crecimiento y subinversión.</w:t>
      </w:r>
    </w:p>
    <w:p>
      <w:pPr>
        <w:pStyle w:val="Fuente"/>
      </w:pPr>
      <w:r>
        <w:t xml:space="preserve">Opciones descartadas: b), d), e).</w:t>
      </w:r>
    </w:p>
    <w:p>
      <w:pPr>
        <w:pStyle w:val="Heading3"/>
      </w:pPr>
      <w:r>
        <w:t xml:space="preserve">Compare con la lista de Valentini</w:t>
      </w:r>
    </w:p>
    <w:p>
      <w:pPr>
        <w:pStyle w:val="Normal"/>
      </w:pPr>
      <w:r>
        <w:t xml:space="preserve">De sus diez, los que sobran son el 1 y el 4: la compensación entre proceso y demora y el caso especial de la intervención.</w:t>
      </w:r>
    </w:p>
    <w:p>
      <w:pPr>
        <w:pStyle w:val="Normal"/>
      </w:pPr>
      <w:r>
        <w:t xml:space="preserve">a) Compensación entre proceso y demora — Correcta: es el número 1 de Valentini y no aparece en la hoja de Pegasus.</w:t>
      </w:r>
    </w:p>
    <w:p>
      <w:pPr>
        <w:pStyle w:val="Normal"/>
      </w:pPr>
      <w:r>
        <w:t xml:space="preserve">b) Erosión de metas — Está en las dos fuentes: es una de las ocho filas de la hoja de Pegasus.</w:t>
      </w:r>
    </w:p>
    <w:p>
      <w:pPr>
        <w:pStyle w:val="Normal"/>
      </w:pPr>
      <w:r>
        <w:t xml:space="preserve">c) Desplazamiento de la carga hacia la intervención — Correcta: Valentini lo trata como «caso especial» del desplazamiento de la carga; Pegasus no lo trae.</w:t>
      </w:r>
    </w:p>
    <w:p>
      <w:pPr>
        <w:pStyle w:val="Normal"/>
      </w:pPr>
      <w:r>
        <w:t xml:space="preserve">d) Crecimiento y subinversión — Está en las dos fuentes: es la última fila de la hoja de Pegasus.</w:t>
      </w:r>
    </w:p>
    <w:p>
      <w:pPr>
        <w:pStyle w:val="Normal"/>
      </w:pPr>
      <w:r>
        <w:t xml:space="preserve">e) Éxito para quien tiene éxito — Está en las dos fuentes: Pegasus lo llama «Éxito para quien tiene éxito» y Kim lo ejemplifica con el teclado QWERTY.</w:t>
      </w:r>
    </w:p>
    <w:p>
      <w:pPr>
        <w:pStyle w:val="Normal"/>
      </w:pPr>
      <w:r>
        <w:t xml:space="preserve">Criterio de resolución: La hoja de Pegasus (L-17) y la guía de Kim (L-18) traen ocho arquetipos. La lista de Valentini (L-19) suma dos: la compensación entre proceso y demora y el desplazamiento de la carga hacia la intervención. La lámina 20 de la presentación 4b junta los diez.</w:t>
      </w:r>
    </w:p>
    <w:p>
      <w:pPr>
        <w:pStyle w:val="Normal"/>
      </w:pPr>
      <w:r>
        <w:t xml:space="preserve">Defensa: La hoja de Pegasus tiene ocho filas y la lista de Valentini diez; las dos que no coinciden son la compensación entre proceso y demora y el desplazamiento de la carga hacia la intervención.</w:t>
      </w:r>
    </w:p>
    <w:p>
      <w:pPr>
        <w:pStyle w:val="Fuente"/>
      </w:pPr>
      <w:r>
        <w:t xml:space="preserve">Presentación 4b (C-4), lámina 20 · lectura L-17 · lectura L-19, pág. 1</w:t>
      </w:r>
    </w:p>
    <w:p>
      <w:pPr>
        <w:pStyle w:val="Heading3"/>
      </w:pPr>
      <w:bookmarkStart w:name="b_solucion_p3c_03_sintomas_de_a_614b5916" w:id="6682"/>
      <w:r>
        <w:t xml:space="preserve">Solución S3-3</w:t>
      </w:r>
      <w:bookmarkEnd w:id="6682"/>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«Siempre funcionó antes. ¿Por qué no funciona ahora?» → Soluciones rápidas que fallan</w:t>
            </w:r>
          </w:p>
          <w:p>
            <w:pPr>
              <w:pStyle w:val="Recuadro"/>
            </w:pPr>
            <w:r>
              <w:t xml:space="preserve">«No importa que nuestras pautas de desempeño se deterioren un poco, sólo hasta que termine la crisis» → Erosión de metas</w:t>
            </w:r>
          </w:p>
          <w:p>
            <w:pPr>
              <w:pStyle w:val="Recuadro"/>
            </w:pPr>
            <w:r>
              <w:t xml:space="preserve">«Si nuestro oponente se aplacara, podríamos dejar de librar esta batalla para hacer otras cosas» → Escalada</w:t>
            </w:r>
          </w:p>
          <w:p>
            <w:pPr>
              <w:pStyle w:val="Recuadro"/>
            </w:pPr>
            <w:r>
              <w:t xml:space="preserve">«¡Esta solución ha funcionado hasta ahora! ¿Quién dice que nos esperan problemas?» → Desplazamiento de la carga</w:t>
            </w:r>
          </w:p>
          <w:p>
            <w:pPr>
              <w:pStyle w:val="Recuadro"/>
            </w:pPr>
            <w:r>
              <w:t xml:space="preserve">«Bien, éramos los mejores, y lo seremos de nuevo, pero ahora tenemos que conservar los recursos y no invertir en exceso» → Crecimiento y subinversión</w:t>
            </w:r>
          </w:p>
        </w:tc>
      </w:tr>
    </w:tbl>
    <w:p>
      <w:pPr>
        <w:pStyle w:val="Heading3"/>
      </w:pPr>
      <w:r>
        <w:t xml:space="preserve">Busque la palabra clave de cada frase</w:t>
      </w:r>
    </w:p>
    <w:p>
      <w:pPr>
        <w:pStyle w:val="Normal"/>
      </w:pPr>
      <w:r>
        <w:t xml:space="preserve">«Pautas de desempeño» que se deterioran es una meta que baja; «oponente» es la otra parte de una escalada; «no invertir» es la subinversión.</w:t>
      </w:r>
    </w:p>
    <w:p>
      <w:pPr>
        <w:pStyle w:val="Heading3"/>
      </w:pPr>
      <w:r>
        <w:t xml:space="preserve">Distinga las dos frases sobre una solución</w:t>
      </w:r>
    </w:p>
    <w:p>
      <w:pPr>
        <w:pStyle w:val="Normal"/>
      </w:pPr>
      <w:r>
        <w:t xml:space="preserve">«Siempre funcionó antes» habla de una solución que ya falla: soluciones rápidas. «Ha funcionado hasta ahora» habla de una que todavía alivia mientras la fundamental se atrofia: desplazamiento de la carga.</w:t>
      </w:r>
    </w:p>
    <w:p>
      <w:pPr>
        <w:pStyle w:val="Normal"/>
      </w:pPr>
      <w:r>
        <w:t xml:space="preserve">Distractor sin fila correspondiente: Límites del crecimiento.</w:t>
      </w:r>
    </w:p>
    <w:p>
      <w:pPr>
        <w:pStyle w:val="Normal"/>
      </w:pPr>
      <w:r>
        <w:t xml:space="preserve">Distractor sin fila correspondiente: Tragedia del terreno común.</w:t>
      </w:r>
    </w:p>
    <w:p>
      <w:pPr>
        <w:pStyle w:val="Normal"/>
      </w:pPr>
      <w:r>
        <w:t xml:space="preserve">Criterio de resolución: Las cinco frases son literales de L-19. Las dos más parecidas se separan por el tiempo verbal: en las soluciones rápidas la solución ya dejó de funcionar («¿por qué no funciona ahora?»); en el desplazamiento de la carga todavía funciona y por eso nadie ve venir el problema.</w:t>
      </w:r>
    </w:p>
    <w:p>
      <w:pPr>
        <w:pStyle w:val="Normal"/>
      </w:pPr>
      <w:r>
        <w:t xml:space="preserve">Defensa: Cada frase está escrita en L-19 bajo «Síntoma de advertencia» del arquetipo correspondiente; los límites del crecimiento y la tragedia tienen frases propias que no aparecen aquí.</w:t>
      </w:r>
    </w:p>
    <w:p>
      <w:pPr>
        <w:pStyle w:val="Fuente"/>
      </w:pPr>
      <w:r>
        <w:t xml:space="preserve">lectura L-19, págs. 2, 4 y 7</w:t>
      </w:r>
    </w:p>
    <w:p>
      <w:pPr>
        <w:pStyle w:val="Heading3"/>
      </w:pPr>
      <w:bookmarkStart w:name="b_solucion_p3c_04_principios_ad_eae62f29" w:id="6683"/>
      <w:r>
        <w:t xml:space="preserve">Solución S3-4</w:t>
      </w:r>
      <w:bookmarkEnd w:id="6683"/>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«No presiones el proceso reforzador (de crecimiento); elimina (o debilita) el factor limitativo.» → Límites del crecimiento</w:t>
            </w:r>
          </w:p>
          <w:p>
            <w:pPr>
              <w:pStyle w:val="Recuadro"/>
            </w:pPr>
            <w:r>
              <w:t xml:space="preserve">«Sostén la visión.» → Erosión de metas</w:t>
            </w:r>
          </w:p>
          <w:p>
            <w:pPr>
              <w:pStyle w:val="Recuadro"/>
            </w:pPr>
            <w:r>
              <w:t xml:space="preserve">«Enseña a la gente a pescar, en vez de darle pescado» → Desplazamiento de la carga hacia la intervención</w:t>
            </w:r>
          </w:p>
          <w:p>
            <w:pPr>
              <w:pStyle w:val="Recuadro"/>
            </w:pPr>
            <w:r>
              <w:t xml:space="preserve">«En un sistema lento, la agresividad produce inestabilidad. Debes ser paciente o lograr que el sistema reaccione mejor.» → Compensación entre proceso y demora</w:t>
            </w:r>
          </w:p>
          <w:p>
            <w:pPr>
              <w:pStyle w:val="Recuadro"/>
            </w:pPr>
            <w:r>
              <w:t xml:space="preserve">Administrar el terreno común educando a todos y creando formas de autorregulación y presiones de pares, o mediante un mecanismo de regulación oficial → Tragedia del terreno común</w:t>
            </w:r>
          </w:p>
        </w:tc>
      </w:tr>
    </w:tbl>
    <w:p>
      <w:pPr>
        <w:pStyle w:val="Heading3"/>
      </w:pPr>
      <w:r>
        <w:t xml:space="preserve">Lea qué pide cuidar cada principio</w:t>
      </w:r>
    </w:p>
    <w:p>
      <w:pPr>
        <w:pStyle w:val="Normal"/>
      </w:pPr>
      <w:r>
        <w:t xml:space="preserve">Un factor limitativo, una visión, la capacidad de pescar, la paciencia en un sistema lento y un terreno común son, cada uno, la pieza central de un arquetipo distinto.</w:t>
      </w:r>
    </w:p>
    <w:p>
      <w:pPr>
        <w:pStyle w:val="Heading3"/>
      </w:pPr>
      <w:r>
        <w:t xml:space="preserve">Descarte los arquetipos sin principio en la lista</w:t>
      </w:r>
    </w:p>
    <w:p>
      <w:pPr>
        <w:pStyle w:val="Normal"/>
      </w:pPr>
      <w:r>
        <w:t xml:space="preserve">El éxito para quien tiene éxito pide buscar una meta abarcadora de logro equilibrado; la escalada, que ambas partes ganen. Ninguno de los dos está entre las cinco frases.</w:t>
      </w:r>
    </w:p>
    <w:p>
      <w:pPr>
        <w:pStyle w:val="Normal"/>
      </w:pPr>
      <w:r>
        <w:t xml:space="preserve">Distractor sin fila correspondiente: Éxito para quien tiene éxito.</w:t>
      </w:r>
    </w:p>
    <w:p>
      <w:pPr>
        <w:pStyle w:val="Normal"/>
      </w:pPr>
      <w:r>
        <w:t xml:space="preserve">Distractor sin fila correspondiente: Escalada.</w:t>
      </w:r>
    </w:p>
    <w:p>
      <w:pPr>
        <w:pStyle w:val="Normal"/>
      </w:pPr>
      <w:r>
        <w:t xml:space="preserve">Criterio de resolución: Los principios dicen dónde está la palanca de cada estructura: en los límites, el factor limitativo y no el refuerzo; en la erosión, la meta; en la intervención, la capacidad propia de los de adentro; en la compensación, la paciencia ante la demora; en la tragedia, la administración del recurso común.</w:t>
      </w:r>
    </w:p>
    <w:p>
      <w:pPr>
        <w:pStyle w:val="Normal"/>
      </w:pPr>
      <w:r>
        <w:t xml:space="preserve">Defensa: Las frases están en L-19 bajo «Principio administrativo» de cada arquetipo; la del terreno común se parafrasea sin cambiar sus tres medios: educación, autorregulación con presión de pares y regulación oficial.</w:t>
      </w:r>
    </w:p>
    <w:p>
      <w:pPr>
        <w:pStyle w:val="Fuente"/>
      </w:pPr>
      <w:r>
        <w:t xml:space="preserve">lectura L-19, págs. 1, 2, 3, 4 y 6</w:t>
      </w:r>
    </w:p>
    <w:p>
      <w:pPr>
        <w:pStyle w:val="Heading3"/>
      </w:pPr>
      <w:bookmarkStart w:name="b_solucion_p3c_05_diagrama_desp_e6059acd" w:id="6684"/>
      <w:r>
        <w:t xml:space="preserve">Solución S3-5</w:t>
      </w:r>
      <w:bookmarkEnd w:id="6684"/>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a) Es el arquetipo «Desplazamiento de la carga»</w:t>
            </w:r>
          </w:p>
          <w:p>
            <w:pPr>
              <w:pStyle w:val="Recuadro"/>
            </w:pPr>
            <w:r>
              <w:t xml:space="preserve">b) Tiene dos ciclos de balance y uno de refuerzo</w:t>
            </w:r>
          </w:p>
        </w:tc>
      </w:tr>
    </w:tbl>
    <w:p>
      <w:pPr>
        <w:pStyle w:val="Heading3"/>
      </w:pPr>
      <w:r>
        <w:t xml:space="preserve">Identifique las dos soluciones</w:t>
      </w:r>
    </w:p>
    <w:p>
      <w:pPr>
        <w:pStyle w:val="Normal"/>
      </w:pPr>
      <w:r>
        <w:t xml:space="preserve">«Solución del síntoma» y «Solución fundamental» actúan sobre el mismo síntoma: eso basta para descartar las soluciones rápidas que fallan, que tienen una sola.</w:t>
      </w:r>
    </w:p>
    <w:p>
      <w:pPr>
        <w:pStyle w:val="Fuente"/>
      </w:pPr>
      <w:r>
        <w:t xml:space="preserve">Opciones descartadas: c).</w:t>
      </w:r>
    </w:p>
    <w:p>
      <w:pPr>
        <w:pStyle w:val="Heading3"/>
      </w:pPr>
      <w:r>
        <w:t xml:space="preserve">Ubique la demora</w:t>
      </w:r>
    </w:p>
    <w:p>
      <w:pPr>
        <w:pStyle w:val="Normal"/>
      </w:pPr>
      <w:r>
        <w:t xml:space="preserve">La marca de demora está en la flecha de la solución fundamental al síntoma: la fundamental es la lenta.</w:t>
      </w:r>
    </w:p>
    <w:p>
      <w:pPr>
        <w:pStyle w:val="Fuente"/>
      </w:pPr>
      <w:r>
        <w:t xml:space="preserve">Opciones descartadas: d).</w:t>
      </w:r>
    </w:p>
    <w:p>
      <w:pPr>
        <w:pStyle w:val="Heading3"/>
      </w:pPr>
      <w:r>
        <w:t xml:space="preserve">Cuente las negativas de cada ciclo</w:t>
      </w:r>
    </w:p>
    <w:p>
      <w:pPr>
        <w:pStyle w:val="Normal"/>
      </w:pPr>
      <w:r>
        <w:t xml:space="preserve">Los dos ciclos cortos tienen una relación negativa (balance); el que pasa por el efecto lateral tiene dos, la del efecto sobre la solución fundamental y la de esta sobre el síntoma (refuerzo).</w:t>
      </w:r>
    </w:p>
    <w:p>
      <w:pPr>
        <w:pStyle w:val="Fuente"/>
      </w:pPr>
      <w:r>
        <w:t xml:space="preserve">Opciones descartadas: e).</w:t>
      </w:r>
    </w:p>
    <w:p>
      <w:pPr>
        <w:pStyle w:val="Normal"/>
      </w:pPr>
      <w:r>
        <w:t xml:space="preserve">a) Es el arquetipo «Desplazamiento de la carga» — Correcta: dos soluciones para un mismo síntoma, una sintomática y otra fundamental, más un efecto lateral de la primera que debilita la segunda.</w:t>
      </w:r>
    </w:p>
    <w:p>
      <w:pPr>
        <w:pStyle w:val="Normal"/>
      </w:pPr>
      <w:r>
        <w:t xml:space="preserve">b) Tiene dos ciclos de balance y uno de refuerzo — Correcta: B1 pasa por la solución del síntoma, B2 por la fundamental y R1 recorre las cuatro variables con dos relaciones negativas.</w:t>
      </w:r>
    </w:p>
    <w:p>
      <w:pPr>
        <w:pStyle w:val="Normal"/>
      </w:pPr>
      <w:r>
        <w:t xml:space="preserve">c) Es «Soluciones rápidas que fallan»: la solución sintomática agudiza el síntoma — En las soluciones rápidas no hay solución fundamental: las consecuencias no intencionadas vuelven sobre el síntoma. Aquí el efecto lateral actúa sobre la otra solución.</w:t>
      </w:r>
    </w:p>
    <w:p>
      <w:pPr>
        <w:pStyle w:val="Normal"/>
      </w:pPr>
      <w:r>
        <w:t xml:space="preserve">d) La demora está en la solución del síntoma, y por eso alivia tan rápido — La demora está en la solución fundamental: por eso la sintomática, que no tiene demora, resulta tan tentadora.</w:t>
      </w:r>
    </w:p>
    <w:p>
      <w:pPr>
        <w:pStyle w:val="Normal"/>
      </w:pPr>
      <w:r>
        <w:t xml:space="preserve">e) El efecto lateral fortalece la solución fundamental — La flecha del efecto lateral a la solución fundamental es negativa: la debilita. Es lo que convierte el arquetipo en una trampa.</w:t>
      </w:r>
    </w:p>
    <w:p>
      <w:pPr>
        <w:pStyle w:val="Normal"/>
      </w:pPr>
      <w:r>
        <w:t xml:space="preserve">Criterio de resolución: L-17 lo describe así: un problema se «resuelve» con una solución sintomática (B1) que desvía la atención de las soluciones más fundamentales. El rótulo R1 de esa descripción impresa es una errata: la solución fundamental cierra su propio ciclo de balance (B2), pero con demora. Contando los signos: B1 y B2 tienen una relación negativa cada uno; R1, dos.</w:t>
      </w:r>
    </w:p>
    <w:p>
      <w:pPr>
        <w:pStyle w:val="Normal"/>
      </w:pPr>
      <w:r>
        <w:t xml:space="preserve">Defensa: Es el diagrama de L-17 para el desplazamiento de la carga, con B1, B2 y R1; la presentación 4b lo reproduce en la lámina 15 y lo cuenta con el soporte técnico en la 16.</w:t>
      </w:r>
    </w:p>
    <w:p>
      <w:pPr>
        <w:pStyle w:val="Fuente"/>
      </w:pPr>
      <w:r>
        <w:t xml:space="preserve">lectura L-17 · Presentación 4b (C-4), láminas 15 y 16</w:t>
      </w:r>
    </w:p>
    <w:p>
      <w:pPr>
        <w:pStyle w:val="Heading3"/>
      </w:pPr>
      <w:bookmarkStart w:name="b_solucion_p3c_06_contar_ciclos_tragedia" w:id="6685"/>
      <w:r>
        <w:t xml:space="preserve">Solución S3-6</w:t>
      </w:r>
      <w:bookmarkEnd w:id="6685"/>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a) Dos de refuerzo y dos de balance</w:t>
            </w:r>
          </w:p>
        </w:tc>
      </w:tr>
    </w:tbl>
    <w:p>
      <w:pPr>
        <w:pStyle w:val="Heading3"/>
      </w:pPr>
      <w:r>
        <w:t xml:space="preserve">Recorra el ciclo de cada actor</w:t>
      </w:r>
    </w:p>
    <w:p>
      <w:pPr>
        <w:pStyle w:val="Normal"/>
      </w:pPr>
      <w:r>
        <w:t xml:space="preserve">Actividad de A → ganancia neta para A → actividad de A, todo positivo: refuerzo. Lo mismo para B.</w:t>
      </w:r>
    </w:p>
    <w:p>
      <w:pPr>
        <w:pStyle w:val="Fuente"/>
      </w:pPr>
      <w:r>
        <w:t xml:space="preserve">Opciones descartadas: c), e).</w:t>
      </w:r>
    </w:p>
    <w:p>
      <w:pPr>
        <w:pStyle w:val="Heading3"/>
      </w:pPr>
      <w:r>
        <w:t xml:space="preserve">Recorra los ciclos por el recurso común</w:t>
      </w:r>
    </w:p>
    <w:p>
      <w:pPr>
        <w:pStyle w:val="Normal"/>
      </w:pPr>
      <w:r>
        <w:t xml:space="preserve">Actividad de A → actividad total → ganancia por actividad individual (−) → ganancia neta para A → actividad de A: una negativa, balance. El de B es su espejo.</w:t>
      </w:r>
    </w:p>
    <w:p>
      <w:pPr>
        <w:pStyle w:val="Fuente"/>
      </w:pPr>
      <w:r>
        <w:t xml:space="preserve">Opciones descartadas: b), d).</w:t>
      </w:r>
    </w:p>
    <w:p>
      <w:pPr>
        <w:pStyle w:val="Normal"/>
      </w:pPr>
      <w:r>
        <w:t xml:space="preserve">a) Dos de refuerzo y dos de balance — Correcta: la actividad de cada parte y su ganancia neta forman un refuerzo (R1 y R2); la actividad total, a través de la ganancia por actividad individual, frena a cada parte (B3 y B4).</w:t>
      </w:r>
    </w:p>
    <w:p>
      <w:pPr>
        <w:pStyle w:val="Normal"/>
      </w:pPr>
      <w:r>
        <w:t xml:space="preserve">b) Uno de refuerzo y tres de balance — Los ciclos de A y de B son simétricos: si hubiera uno solo de refuerzo, la figura no lo sería.</w:t>
      </w:r>
    </w:p>
    <w:p>
      <w:pPr>
        <w:pStyle w:val="Normal"/>
      </w:pPr>
      <w:r>
        <w:t xml:space="preserve">c) Cuatro de balance — Los ciclos actividad → ganancia neta → actividad no tienen ninguna relación negativa: son de refuerzo.</w:t>
      </w:r>
    </w:p>
    <w:p>
      <w:pPr>
        <w:pStyle w:val="Normal"/>
      </w:pPr>
      <w:r>
        <w:t xml:space="preserve">d) Dos de refuerzo y uno de balance — Falta uno de balance: la actividad total frena por igual a A y a B, y cada uno de esos recorridos es un ciclo.</w:t>
      </w:r>
    </w:p>
    <w:p>
      <w:pPr>
        <w:pStyle w:val="Normal"/>
      </w:pPr>
      <w:r>
        <w:t xml:space="preserve">e) Uno de refuerzo y uno de balance — Faltan los ciclos de la segunda parte: hay dos actores y cada uno tiene los suyos.</w:t>
      </w:r>
    </w:p>
    <w:p>
      <w:pPr>
        <w:pStyle w:val="Normal"/>
      </w:pPr>
      <w:r>
        <w:t xml:space="preserve">Criterio de resolución: Es la tragedia de los comunes. L-17: «cada persona busca acciones que son benéficas individualmente (R1 y R2). Sin embargo, si la cantidad de actividad crece más allá de lo que el sistema soporta, los «comunes» se sobrecargan y todos experimentan beneficios decrecientes (B3 y B4)». La relación negativa está en la ganancia por actividad individual, que baja cuando la actividad total sube.</w:t>
      </w:r>
    </w:p>
    <w:p>
      <w:pPr>
        <w:pStyle w:val="Normal"/>
      </w:pPr>
      <w:r>
        <w:t xml:space="preserve">Defensa: La hoja de Pegasus marca R1, R2, B3 y B4 en la tragedia de los comunes, y el recuento por signos del diagrama da lo mismo: dos ciclos sin negativas y dos con una.</w:t>
      </w:r>
    </w:p>
    <w:p>
      <w:pPr>
        <w:pStyle w:val="Fuente"/>
      </w:pPr>
      <w:r>
        <w:t xml:space="preserve">lectura L-17</w:t>
      </w:r>
    </w:p>
    <w:p>
      <w:pPr>
        <w:pStyle w:val="Heading3"/>
      </w:pPr>
      <w:bookmarkStart w:name="b_solucion_p3c_07_escalada_figura_de_8" w:id="6686"/>
      <w:r>
        <w:t xml:space="preserve">Solución S3-7</w:t>
      </w:r>
      <w:bookmarkEnd w:id="6686"/>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a) Tiene dos ciclos de balance, uno por cada parte</w:t>
            </w:r>
          </w:p>
          <w:p>
            <w:pPr>
              <w:pStyle w:val="Recuadro"/>
            </w:pPr>
            <w:r>
              <w:t xml:space="preserve">b) El refuerzo se advierte siguiendo la figura de 8 que forman los dos ciclos de balance</w:t>
            </w:r>
          </w:p>
        </w:tc>
      </w:tr>
    </w:tbl>
    <w:p>
      <w:pPr>
        <w:pStyle w:val="Heading3"/>
      </w:pPr>
      <w:r>
        <w:t xml:space="preserve">Cuente los ciclos elementales</w:t>
      </w:r>
    </w:p>
    <w:p>
      <w:pPr>
        <w:pStyle w:val="Normal"/>
      </w:pPr>
      <w:r>
        <w:t xml:space="preserve">Cada ciclo pasa una sola vez por cada variable: hay dos, uno a cada lado del resultado relativo, y cada uno tiene una relación negativa.</w:t>
      </w:r>
    </w:p>
    <w:p>
      <w:pPr>
        <w:pStyle w:val="Fuente"/>
      </w:pPr>
      <w:r>
        <w:t xml:space="preserve">Opciones descartadas: c).</w:t>
      </w:r>
    </w:p>
    <w:p>
      <w:pPr>
        <w:pStyle w:val="Heading3"/>
      </w:pPr>
      <w:r>
        <w:t xml:space="preserve">Lea la variable del centro</w:t>
      </w:r>
    </w:p>
    <w:p>
      <w:pPr>
        <w:pStyle w:val="Normal"/>
      </w:pPr>
      <w:r>
        <w:t xml:space="preserve">«Resultado de A relativo a B» compara a las partes: lo que importa es la diferencia, no el resultado propio.</w:t>
      </w:r>
    </w:p>
    <w:p>
      <w:pPr>
        <w:pStyle w:val="Fuente"/>
      </w:pPr>
      <w:r>
        <w:t xml:space="preserve">Opciones descartadas: d).</w:t>
      </w:r>
    </w:p>
    <w:p>
      <w:pPr>
        <w:pStyle w:val="Heading3"/>
      </w:pPr>
      <w:r>
        <w:t xml:space="preserve">Recuerde la salida que propone Kim</w:t>
      </w:r>
    </w:p>
    <w:p>
      <w:pPr>
        <w:pStyle w:val="Normal"/>
      </w:pPr>
      <w:r>
        <w:t xml:space="preserve">Sus pasos terminan en una meta mayor que englobe ambas y en evitar futuras escaladas «creando un sistema de competencia en colaboración».</w:t>
      </w:r>
    </w:p>
    <w:p>
      <w:pPr>
        <w:pStyle w:val="Fuente"/>
      </w:pPr>
      <w:r>
        <w:t xml:space="preserve">Opciones descartadas: e).</w:t>
      </w:r>
    </w:p>
    <w:p>
      <w:pPr>
        <w:pStyle w:val="Normal"/>
      </w:pPr>
      <w:r>
        <w:t xml:space="preserve">a) Tiene dos ciclos de balance, uno por cada parte — Correcta: cada parte busca cerrar la brecha con la otra, y eso es un ciclo de balance (B1 para A, B2 para B).</w:t>
      </w:r>
    </w:p>
    <w:p>
      <w:pPr>
        <w:pStyle w:val="Normal"/>
      </w:pPr>
      <w:r>
        <w:t xml:space="preserve">b) El refuerzo se advierte siguiendo la figura de 8 que forman los dos ciclos de balance — Correcta: es la frase de L-17: «El ciclo de refuerzo se puede advertir siguiendo la figura de 8 producida por los dos ciclos de balance».</w:t>
      </w:r>
    </w:p>
    <w:p>
      <w:pPr>
        <w:pStyle w:val="Normal"/>
      </w:pPr>
      <w:r>
        <w:t xml:space="preserve">c) Tiene un tercer ciclo, de refuerzo, que la hoja marca con su propia letra — La hoja no marca un tercer ciclo: el 8 pasa dos veces por el resultado relativo, así que no es un ciclo elemental más.</w:t>
      </w:r>
    </w:p>
    <w:p>
      <w:pPr>
        <w:pStyle w:val="Normal"/>
      </w:pPr>
      <w:r>
        <w:t xml:space="preserve">d) Cada parte reacciona a su resultado absoluto, sin compararse con la otra — La variable central es «Resultado de A relativo a B»: cada parte se mide contra la otra, y eso la encadena.</w:t>
      </w:r>
    </w:p>
    <w:p>
      <w:pPr>
        <w:pStyle w:val="Normal"/>
      </w:pPr>
      <w:r>
        <w:t xml:space="preserve">e) La guía de Kim propone romperla aumentando la amenaza hasta que la otra parte ceda — Kim propone lo contrario: identificar una meta mayor que englobe las de ambas partes y crear un sistema de competencia en colaboración.</w:t>
      </w:r>
    </w:p>
    <w:p>
      <w:pPr>
        <w:pStyle w:val="Normal"/>
      </w:pPr>
      <w:r>
        <w:t xml:space="preserve">Criterio de resolución: En la escalada una parte actúa, la otra lo percibe como amenaza y responde igual. Cada lado, por separado, es un ciclo de balance que intenta cerrar su brecha; juntos producen la espiral. L-17 lo dice con la figura de 8, y el recuento por signos sólo encuentra dos ciclos elementales, ambos de balance.</w:t>
      </w:r>
    </w:p>
    <w:p>
      <w:pPr>
        <w:pStyle w:val="Normal"/>
      </w:pPr>
      <w:r>
        <w:t xml:space="preserve">Defensa: La hoja de Pegasus marca sólo B1 y B2 en la escalada y explica el refuerzo como la figura de 8 de esos dos ciclos; así lo cuenta también el portal desde los signos.</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9C620A" w:sz="20"/>
              <w:bottom w:val="nil"/>
              <w:right w:val="nil"/>
            </w:tcBorders>
            <w:shd w:fill="FBF3DF" w:val="clear"/>
            <w:tcMar>
              <w:top w:type="dxa" w:w="130"/>
              <w:left w:type="dxa" w:w="180"/>
              <w:bottom w:type="dxa" w:w="130"/>
              <w:right w:type="dxa" w:w="180"/>
            </w:tcMar>
          </w:tcPr>
          <w:p>
            <w:pPr>
              <w:pStyle w:val="RecuadroTitulo"/>
            </w:pPr>
            <w:r>
              <w:rPr>
                <w:b/>
                <w:bCs/>
                <w:color w:val="9C620A"/>
              </w:rPr>
              <w:t xml:space="preserve">Advertencia y límites</w:t>
            </w:r>
          </w:p>
          <w:p>
            <w:pPr>
              <w:pStyle w:val="Recuadro"/>
            </w:pPr>
            <w:r>
              <w:t xml:space="preserve">Es una trampa frecuente al contar ciclos: el 8 recorre dos veces el resultado relativo y por eso no se cuenta como un tercer ciclo.</w:t>
            </w:r>
          </w:p>
        </w:tc>
      </w:tr>
    </w:tbl>
    <w:p>
      <w:pPr>
        <w:pStyle w:val="Fuente"/>
      </w:pPr>
      <w:r>
        <w:t xml:space="preserve">lectura L-17 · lectura L-18 · lectura L-19, pág. 4</w:t>
      </w:r>
    </w:p>
    <w:p>
      <w:pPr>
        <w:pStyle w:val="Heading3"/>
      </w:pPr>
      <w:bookmarkStart w:name="b_solucion_p3c_08_erosion_instantanea" w:id="6687"/>
      <w:r>
        <w:t xml:space="preserve">Solución S3-8</w:t>
      </w:r>
      <w:bookmarkEnd w:id="6687"/>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a) Verdadero</w:t>
            </w:r>
          </w:p>
        </w:tc>
      </w:tr>
    </w:tbl>
    <w:p>
      <w:pPr>
        <w:pStyle w:val="Heading3"/>
      </w:pPr>
      <w:r>
        <w:t xml:space="preserve">Ubique los dos caminos para cerrar la diferencia</w:t>
      </w:r>
    </w:p>
    <w:p>
      <w:pPr>
        <w:pStyle w:val="Normal"/>
      </w:pPr>
      <w:r>
        <w:t xml:space="preserve">Mejorar lo actual con acciones correctivas (B1) o bajar la meta (B2).</w:t>
      </w:r>
    </w:p>
    <w:p>
      <w:pPr>
        <w:pStyle w:val="Heading3"/>
      </w:pPr>
      <w:r>
        <w:t xml:space="preserve">Compare sus demoras</w:t>
      </w:r>
    </w:p>
    <w:p>
      <w:pPr>
        <w:pStyle w:val="Normal"/>
      </w:pPr>
      <w:r>
        <w:t xml:space="preserve">La acción correctiva lleva la demora; bajar la meta, no. Eso es lo que dice el enunciado.</w:t>
      </w:r>
    </w:p>
    <w:p>
      <w:pPr>
        <w:pStyle w:val="Fuente"/>
      </w:pPr>
      <w:r>
        <w:t xml:space="preserve">Opciones descartadas: b).</w:t>
      </w:r>
    </w:p>
    <w:p>
      <w:pPr>
        <w:pStyle w:val="Normal"/>
      </w:pPr>
      <w:r>
        <w:t xml:space="preserve">a) Verdadero — Correcta: es casi literal de la descripción de L-17: «La diferencia crítica es que bajar la meta cierra de forma instantánea la diferencia, mientras que usualmente las acciones correctivas toman tiempo».</w:t>
      </w:r>
    </w:p>
    <w:p>
      <w:pPr>
        <w:pStyle w:val="Normal"/>
      </w:pPr>
      <w:r>
        <w:t xml:space="preserve">b) Falso — La afirmación reproduce la descripción del arquetipo; por eso la erosión gana: el atajo de bajar la meta no tiene demora.</w:t>
      </w:r>
    </w:p>
    <w:p>
      <w:pPr>
        <w:pStyle w:val="Normal"/>
      </w:pPr>
      <w:r>
        <w:t xml:space="preserve">Criterio de resolución: La erosión de metas tiene dos ciclos de balance que cierran la misma diferencia: uno por la acción correctiva (B1), con demora, y otro por la presión para reducir la meta (B2), sin ella. Como el segundo es inmediato, termina dominando y la meta baja escalón por escalón.</w:t>
      </w:r>
    </w:p>
    <w:p>
      <w:pPr>
        <w:pStyle w:val="Normal"/>
      </w:pPr>
      <w:r>
        <w:t xml:space="preserve">Defensa: Es la frase de la descripción de L-17, y por eso los lineamientos insisten en cómo se fijan las metas: las fijadas fuera del sistema resisten mejor la erosión.</w:t>
      </w:r>
    </w:p>
    <w:p>
      <w:pPr>
        <w:pStyle w:val="Fuente"/>
      </w:pPr>
      <w:r>
        <w:t xml:space="preserve">lectura L-17</w:t>
      </w:r>
    </w:p>
    <w:p>
      <w:pPr>
        <w:pStyle w:val="Heading3"/>
      </w:pPr>
      <w:bookmarkStart w:name="b_solucion_p3c_09_caso_cafeteria" w:id="6688"/>
      <w:r>
        <w:t xml:space="preserve">Solución S3-9</w:t>
      </w:r>
      <w:bookmarkEnd w:id="6688"/>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a) Crecimiento y subinversión</w:t>
            </w:r>
          </w:p>
        </w:tc>
      </w:tr>
    </w:tbl>
    <w:p>
      <w:pPr>
        <w:pStyle w:val="Heading3"/>
      </w:pPr>
      <w:r>
        <w:t xml:space="preserve">Encuentre el límite</w:t>
      </w:r>
    </w:p>
    <w:p>
      <w:pPr>
        <w:pStyle w:val="Normal"/>
      </w:pPr>
      <w:r>
        <w:t xml:space="preserve">La cafetera y los dos empleados: una capacidad que se puede ampliar. Si el límite fuera inamovible, bastaría con los límites del crecimiento.</w:t>
      </w:r>
    </w:p>
    <w:p>
      <w:pPr>
        <w:pStyle w:val="Fuente"/>
      </w:pPr>
      <w:r>
        <w:t xml:space="preserve">Opciones descartadas: b).</w:t>
      </w:r>
    </w:p>
    <w:p>
      <w:pPr>
        <w:pStyle w:val="Heading3"/>
      </w:pPr>
      <w:r>
        <w:t xml:space="preserve">Mire qué justifica no invertir</w:t>
      </w:r>
    </w:p>
    <w:p>
      <w:pPr>
        <w:pStyle w:val="Normal"/>
      </w:pPr>
      <w:r>
        <w:t xml:space="preserve">La caída de la demanda, causada por el mal servicio, se usa como razón para no ampliar la capacidad: el ciclo de la inversión queda bloqueado por el desempeño.</w:t>
      </w:r>
    </w:p>
    <w:p>
      <w:pPr>
        <w:pStyle w:val="Fuente"/>
      </w:pPr>
      <w:r>
        <w:t xml:space="preserve">Opciones descartadas: c).</w:t>
      </w:r>
    </w:p>
    <w:p>
      <w:pPr>
        <w:pStyle w:val="Heading3"/>
      </w:pPr>
      <w:r>
        <w:t xml:space="preserve">Descarte las estructuras sin crecimiento</w:t>
      </w:r>
    </w:p>
    <w:p>
      <w:pPr>
        <w:pStyle w:val="Normal"/>
      </w:pPr>
      <w:r>
        <w:t xml:space="preserve">No hay dos actores que compitan ni una solución sintomática que se repita.</w:t>
      </w:r>
    </w:p>
    <w:p>
      <w:pPr>
        <w:pStyle w:val="Fuente"/>
      </w:pPr>
      <w:r>
        <w:t xml:space="preserve">Opciones descartadas: d), e).</w:t>
      </w:r>
    </w:p>
    <w:p>
      <w:pPr>
        <w:pStyle w:val="Normal"/>
      </w:pPr>
      <w:r>
        <w:t xml:space="preserve">a) Crecimiento y subinversión — Correcta: el límite es la capacidad, que podría ampliarse invirtiendo, y la decisión de no invertir se justifica con la caída de la demanda que esa misma falta de capacidad provocó.</w:t>
      </w:r>
    </w:p>
    <w:p>
      <w:pPr>
        <w:pStyle w:val="Normal"/>
      </w:pPr>
      <w:r>
        <w:t xml:space="preserve">b) Límites del crecimiento — Es la base de la estructura, pero aquí el límite podría eliminarse con inversión y la decisión de no invertir es la que lo mantiene: eso agrega el ciclo de la subinversión.</w:t>
      </w:r>
    </w:p>
    <w:p>
      <w:pPr>
        <w:pStyle w:val="Normal"/>
      </w:pPr>
      <w:r>
        <w:t xml:space="preserve">c) Erosión de metas — No hay una meta que se rebaje explícitamente; lo que falta es inversión en capacidad. La erosión está dentro de la subinversión, no la sustituye.</w:t>
      </w:r>
    </w:p>
    <w:p>
      <w:pPr>
        <w:pStyle w:val="Normal"/>
      </w:pPr>
      <w:r>
        <w:t xml:space="preserve">d) Éxito para quien tiene éxito — No hay dos actores compitiendo por un recurso que se asigne según su éxito.</w:t>
      </w:r>
    </w:p>
    <w:p>
      <w:pPr>
        <w:pStyle w:val="Normal"/>
      </w:pPr>
      <w:r>
        <w:t xml:space="preserve">e) Soluciones rápidas que fallan — No se aplica ninguna solución que alivie un síntoma: el problema es no actuar sobre la capacidad.</w:t>
      </w:r>
    </w:p>
    <w:p>
      <w:pPr>
        <w:pStyle w:val="Normal"/>
      </w:pPr>
      <w:r>
        <w:t xml:space="preserve">Criterio de resolución: L-17: «el crecimiento se acerca a un límite que puede ser eliminado o postergado si se hacen inversiones en capacidad. En su defecto, se disminuyen los estándares de desempeño para justificar la ausencia de inversión, creando menor desempeño, lo que justifica aún más la falta de inversión». La dueña lee la caída de la demanda como un dato externo y no como efecto de su propia capacidad: una profecía que se cumple a sí misma.</w:t>
      </w:r>
    </w:p>
    <w:p>
      <w:pPr>
        <w:pStyle w:val="Normal"/>
      </w:pPr>
      <w:r>
        <w:t xml:space="preserve">Defensa: Crecimiento y subinversión es límites del crecimiento más una inversión en capacidad que se decide mirando el desempeño; Valentini resume su síntoma en «tenemos que conservar los recursos y no invertir en exceso».</w:t>
      </w:r>
    </w:p>
    <w:p>
      <w:pPr>
        <w:pStyle w:val="Fuente"/>
      </w:pPr>
      <w:r>
        <w:t xml:space="preserve">lectura L-17 · lectura L-19, pág. 7</w:t>
      </w:r>
    </w:p>
    <w:p>
      <w:pPr>
        <w:pStyle w:val="Heading3"/>
      </w:pPr>
      <w:bookmarkStart w:name="b_solucion_p3c_10_caso_ayuda_externa" w:id="6689"/>
      <w:r>
        <w:t xml:space="preserve">Solución S3-10</w:t>
      </w:r>
      <w:bookmarkEnd w:id="6689"/>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a) Desplazamiento de la carga hacia la intervención</w:t>
            </w:r>
          </w:p>
          <w:p>
            <w:pPr>
              <w:pStyle w:val="Recuadro"/>
            </w:pPr>
            <w:r>
              <w:t xml:space="preserve">b) Desplazamiento de la carga</w:t>
            </w:r>
          </w:p>
        </w:tc>
      </w:tr>
    </w:tbl>
    <w:p>
      <w:pPr>
        <w:pStyle w:val="Heading3"/>
      </w:pPr>
      <w:r>
        <w:t xml:space="preserve">Separe la solución sintomática de la fundamental</w:t>
      </w:r>
    </w:p>
    <w:p>
      <w:pPr>
        <w:pStyle w:val="Normal"/>
      </w:pPr>
      <w:r>
        <w:t xml:space="preserve">El reparto alivia el síntoma; guardar semilla y mantener el riego es la solución fundamental, la que se atrofia.</w:t>
      </w:r>
    </w:p>
    <w:p>
      <w:pPr>
        <w:pStyle w:val="Heading3"/>
      </w:pPr>
      <w:r>
        <w:t xml:space="preserve">Note de dónde viene la ayuda</w:t>
      </w:r>
    </w:p>
    <w:p>
      <w:pPr>
        <w:pStyle w:val="Normal"/>
      </w:pPr>
      <w:r>
        <w:t xml:space="preserve">La solución sintomática la aplica alguien de afuera: es el caso especial de la intervención, que sigue siendo un desplazamiento de la carga.</w:t>
      </w:r>
    </w:p>
    <w:p>
      <w:pPr>
        <w:pStyle w:val="Heading3"/>
      </w:pPr>
      <w:r>
        <w:t xml:space="preserve">Descarte las estructuras ajenas</w:t>
      </w:r>
    </w:p>
    <w:p>
      <w:pPr>
        <w:pStyle w:val="Normal"/>
      </w:pPr>
      <w:r>
        <w:t xml:space="preserve">No hay recurso común sobreexplotado, ni oscilación por demora, ni dos actores que compitan.</w:t>
      </w:r>
    </w:p>
    <w:p>
      <w:pPr>
        <w:pStyle w:val="Fuente"/>
      </w:pPr>
      <w:r>
        <w:t xml:space="preserve">Opciones descartadas: c), d), e).</w:t>
      </w:r>
    </w:p>
    <w:p>
      <w:pPr>
        <w:pStyle w:val="Normal"/>
      </w:pPr>
      <w:r>
        <w:t xml:space="preserve">a) Desplazamiento de la carga hacia la intervención — Correcta: la solución sintomática viene de afuera y funciona tan bien que los de adentro dejan de aprender a resolver el problema.</w:t>
      </w:r>
    </w:p>
    <w:p>
      <w:pPr>
        <w:pStyle w:val="Normal"/>
      </w:pPr>
      <w:r>
        <w:t xml:space="preserve">b) Desplazamiento de la carga — Correcta: Valentini presenta la intervención como «caso especial» del desplazamiento de la carga; la estructura general también describe el caso.</w:t>
      </w:r>
    </w:p>
    <w:p>
      <w:pPr>
        <w:pStyle w:val="Normal"/>
      </w:pPr>
      <w:r>
        <w:t xml:space="preserve">c) Tragedia del terreno común — No hay usuarios que sobreexploten un recurso compartido: el problema es la pérdida de la capacidad propia.</w:t>
      </w:r>
    </w:p>
    <w:p>
      <w:pPr>
        <w:pStyle w:val="Normal"/>
      </w:pPr>
      <w:r>
        <w:t xml:space="preserve">d) Compensación entre proceso y demora — No hay una corrección demorada que se pase de la meta y oscile.</w:t>
      </w:r>
    </w:p>
    <w:p>
      <w:pPr>
        <w:pStyle w:val="Normal"/>
      </w:pPr>
      <w:r>
        <w:t xml:space="preserve">e) Éxito para quien tiene éxito — No hay dos actores que compitan por recursos asignados según su éxito.</w:t>
      </w:r>
    </w:p>
    <w:p>
      <w:pPr>
        <w:pStyle w:val="Normal"/>
      </w:pPr>
      <w:r>
        <w:t xml:space="preserve">Criterio de resolución: L-19: «La intervención procura aliviar síntomas de problemas obvios, y lo hace tan bien que los integrantes del sistema jamás aprenden a afrontar los problemas». Entre sus otros ejemplos está la asistencia alimentaria que resuelve lo urgente y alienta la dependencia. Como es un caso especial del desplazamiento de la carga, las dos respuestas son correctas.</w:t>
      </w:r>
    </w:p>
    <w:p>
      <w:pPr>
        <w:pStyle w:val="Normal"/>
      </w:pPr>
      <w:r>
        <w:t xml:space="preserve">Defensa: Valentini numera el desplazamiento hacia la intervención como «Caso especial» del desplazamiento de la carga y su principio es «Enseña a la gente a pescar, en vez de darle pescado»: el caso cumple los dos.</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9C620A" w:sz="20"/>
              <w:bottom w:val="nil"/>
              <w:right w:val="nil"/>
            </w:tcBorders>
            <w:shd w:fill="FBF3DF" w:val="clear"/>
            <w:tcMar>
              <w:top w:type="dxa" w:w="130"/>
              <w:left w:type="dxa" w:w="180"/>
              <w:bottom w:type="dxa" w:w="130"/>
              <w:right w:type="dxa" w:w="180"/>
            </w:tcMar>
          </w:tcPr>
          <w:p>
            <w:pPr>
              <w:pStyle w:val="RecuadroTitulo"/>
            </w:pPr>
            <w:r>
              <w:rPr>
                <w:b/>
                <w:bCs/>
                <w:color w:val="9C620A"/>
              </w:rPr>
              <w:t xml:space="preserve">Advertencia y límites</w:t>
            </w:r>
          </w:p>
          <w:p>
            <w:pPr>
              <w:pStyle w:val="Recuadro"/>
            </w:pPr>
            <w:r>
              <w:t xml:space="preserve">Con «seleccione una o más de una», marcar sólo una de las dos vale la mitad: el caso especial no deja de ser el caso general.</w:t>
            </w:r>
          </w:p>
        </w:tc>
      </w:tr>
    </w:tbl>
    <w:p>
      <w:pPr>
        <w:pStyle w:val="Fuente"/>
      </w:pPr>
      <w:r>
        <w:t xml:space="preserve">lectura L-19, págs. 2 y 3</w:t>
      </w:r>
    </w:p>
    <w:p>
      <w:pPr>
        <w:pStyle w:val="Heading3"/>
      </w:pPr>
      <w:bookmarkStart w:name="b_solucion_p3c_11_caso_laboratorios" w:id="6690"/>
      <w:r>
        <w:t xml:space="preserve">Solución S3-11</w:t>
      </w:r>
      <w:bookmarkEnd w:id="6690"/>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a) Éxito para quien tiene éxito</w:t>
            </w:r>
          </w:p>
        </w:tc>
      </w:tr>
    </w:tbl>
    <w:p>
      <w:pPr>
        <w:pStyle w:val="Heading3"/>
      </w:pPr>
      <w:r>
        <w:t xml:space="preserve">Busque la regla de asignación</w:t>
      </w:r>
    </w:p>
    <w:p>
      <w:pPr>
        <w:pStyle w:val="Normal"/>
      </w:pPr>
      <w:r>
        <w:t xml:space="preserve">La dirección reparte según el número de usuarios: el éxito de uno decide los recursos de los dos.</w:t>
      </w:r>
    </w:p>
    <w:p>
      <w:pPr>
        <w:pStyle w:val="Heading3"/>
      </w:pPr>
      <w:r>
        <w:t xml:space="preserve">Compruebe que los dos ciclos refuerzan</w:t>
      </w:r>
    </w:p>
    <w:p>
      <w:pPr>
        <w:pStyle w:val="Normal"/>
      </w:pPr>
      <w:r>
        <w:t xml:space="preserve">Más recursos, más éxito, más asignación para A; menos recursos, menos éxito, menos asignación para B.</w:t>
      </w:r>
    </w:p>
    <w:p>
      <w:pPr>
        <w:pStyle w:val="Fuente"/>
      </w:pPr>
      <w:r>
        <w:t xml:space="preserve">Opciones descartadas: d), e).</w:t>
      </w:r>
    </w:p>
    <w:p>
      <w:pPr>
        <w:pStyle w:val="Heading3"/>
      </w:pPr>
      <w:r>
        <w:t xml:space="preserve">Distinga el recurso repartido del recurso común</w:t>
      </w:r>
    </w:p>
    <w:p>
      <w:pPr>
        <w:pStyle w:val="Normal"/>
      </w:pPr>
      <w:r>
        <w:t xml:space="preserve">En la tragedia todos explotan lo mismo hasta agotarlo; aquí un tercero reparte y nadie compite directamente con el otro.</w:t>
      </w:r>
    </w:p>
    <w:p>
      <w:pPr>
        <w:pStyle w:val="Fuente"/>
      </w:pPr>
      <w:r>
        <w:t xml:space="preserve">Opciones descartadas: b), c).</w:t>
      </w:r>
    </w:p>
    <w:p>
      <w:pPr>
        <w:pStyle w:val="Normal"/>
      </w:pPr>
      <w:r>
        <w:t xml:space="preserve">a) Éxito para quien tiene éxito — Correcta: el éxito inicial de A justifica asignarle más recursos (R1); como B recibe menos, su éxito disminuye y eso justifica dar todavía más a A (R2).</w:t>
      </w:r>
    </w:p>
    <w:p>
      <w:pPr>
        <w:pStyle w:val="Normal"/>
      </w:pPr>
      <w:r>
        <w:t xml:space="preserve">b) Tragedia del terreno común — En la tragedia los actores sobreexplotan un recurso común hasta agotarlo; aquí el presupuesto no se agota, se reparte según el éxito.</w:t>
      </w:r>
    </w:p>
    <w:p>
      <w:pPr>
        <w:pStyle w:val="Normal"/>
      </w:pPr>
      <w:r>
        <w:t xml:space="preserve">c) Escalada — En la escalada cada parte responde a la amenaza de la otra; los laboratorios no actúan uno contra otro, decide la dirección.</w:t>
      </w:r>
    </w:p>
    <w:p>
      <w:pPr>
        <w:pStyle w:val="Normal"/>
      </w:pPr>
      <w:r>
        <w:t xml:space="preserve">d) Límites del crecimiento — No hay un crecimiento que choque con un límite: hay una divergencia entre dos opciones.</w:t>
      </w:r>
    </w:p>
    <w:p>
      <w:pPr>
        <w:pStyle w:val="Normal"/>
      </w:pPr>
      <w:r>
        <w:t xml:space="preserve">e) Erosión de metas — No hay una meta que se rebaje.</w:t>
      </w:r>
    </w:p>
    <w:p>
      <w:pPr>
        <w:pStyle w:val="Normal"/>
      </w:pPr>
      <w:r>
        <w:t xml:space="preserve">Criterio de resolución: L-17: «si una persona o grupo (A) está recibiendo más recursos, es muy probable que tenga más éxito que B (asumiendo que son igualmente capaces). El éxito inicial justifica asignar más recursos a A que a B (R1). Como B recibe menos recursos, su éxito disminuye, justificando la asignación de más recursos para A (R2)». Son dos ciclos de refuerzo enlazados por la asignación.</w:t>
      </w:r>
    </w:p>
    <w:p>
      <w:pPr>
        <w:pStyle w:val="Normal"/>
      </w:pPr>
      <w:r>
        <w:t xml:space="preserve">Defensa: Es la estructura de L-17 con A y B igualmente capaces: la ventaja inicial, no el mérito, decide quién prospera, como en el teclado QWERTY de la guía de Kim.</w:t>
      </w:r>
    </w:p>
    <w:p>
      <w:pPr>
        <w:pStyle w:val="Fuente"/>
      </w:pPr>
      <w:r>
        <w:t xml:space="preserve">lectura L-17 · lectura L-19, pág. 5</w:t>
      </w:r>
    </w:p>
    <w:p>
      <w:pPr>
        <w:pStyle w:val="Heading3"/>
      </w:pPr>
      <w:bookmarkStart w:name="b_solucion_p3c_12_pasos_de_kim" w:id="6691"/>
      <w:r>
        <w:t xml:space="preserve">Solución S3-12</w:t>
      </w:r>
      <w:bookmarkEnd w:id="6691"/>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1. Identifique el síntoma del problema.</w:t>
            </w:r>
          </w:p>
          <w:p>
            <w:pPr>
              <w:pStyle w:val="Recuadro"/>
            </w:pPr>
            <w:r>
              <w:t xml:space="preserve">2. Verifique las intervenciones actuales y cómo se esperaba que rectificaran el problema.</w:t>
            </w:r>
          </w:p>
          <w:p>
            <w:pPr>
              <w:pStyle w:val="Recuadro"/>
            </w:pPr>
            <w:r>
              <w:t xml:space="preserve">3. Verifique consecuencias no intencionadas de las intervenciones.</w:t>
            </w:r>
          </w:p>
          <w:p>
            <w:pPr>
              <w:pStyle w:val="Recuadro"/>
            </w:pPr>
            <w:r>
              <w:t xml:space="preserve">4. Identifique causas fundamentales de los síntomas del problema.</w:t>
            </w:r>
          </w:p>
          <w:p>
            <w:pPr>
              <w:pStyle w:val="Recuadro"/>
            </w:pPr>
            <w:r>
              <w:t xml:space="preserve">5. Encuentre relaciones entre ambos conjuntos de ciclos.</w:t>
            </w:r>
          </w:p>
          <w:p>
            <w:pPr>
              <w:pStyle w:val="Recuadro"/>
            </w:pPr>
            <w:r>
              <w:t xml:space="preserve">6. Identifique intervenciones de alto apalancamiento.</w:t>
            </w:r>
          </w:p>
          <w:p>
            <w:pPr>
              <w:pStyle w:val="Recuadro"/>
            </w:pPr>
            <w:r>
              <w:t xml:space="preserve">7. Identifique efectos laterales potenciales para cada intervención.</w:t>
            </w:r>
          </w:p>
        </w:tc>
      </w:tr>
    </w:tbl>
    <w:p>
      <w:pPr>
        <w:pStyle w:val="Heading3"/>
      </w:pPr>
      <w:r>
        <w:t xml:space="preserve">Empiece por lo visible</w:t>
      </w:r>
    </w:p>
    <w:p>
      <w:pPr>
        <w:pStyle w:val="Normal"/>
      </w:pPr>
      <w:r>
        <w:t xml:space="preserve">El síntoma y las intervenciones actuales son lo que la organización ya ve; Kim los pone primero.</w:t>
      </w:r>
    </w:p>
    <w:p>
      <w:pPr>
        <w:pStyle w:val="Heading3"/>
      </w:pPr>
      <w:r>
        <w:t xml:space="preserve">Siga el ciclo de refuerzo</w:t>
      </w:r>
    </w:p>
    <w:p>
      <w:pPr>
        <w:pStyle w:val="Normal"/>
      </w:pPr>
      <w:r>
        <w:t xml:space="preserve">Las consecuencias no intencionadas vienen después de las intervenciones, y sólo entonces se buscan las causas fundamentales.</w:t>
      </w:r>
    </w:p>
    <w:p>
      <w:pPr>
        <w:pStyle w:val="Heading3"/>
      </w:pPr>
      <w:r>
        <w:t xml:space="preserve">Termine en la acción</w:t>
      </w:r>
    </w:p>
    <w:p>
      <w:pPr>
        <w:pStyle w:val="Normal"/>
      </w:pPr>
      <w:r>
        <w:t xml:space="preserve">Las relaciones entre los dos conjuntos de ciclos señalan el apalancamiento; el último paso prepara contra los efectos laterales de esa nueva intervención.</w:t>
      </w:r>
    </w:p>
    <w:p>
      <w:pPr>
        <w:pStyle w:val="Normal"/>
      </w:pPr>
      <w:r>
        <w:t xml:space="preserve">Criterio de resolución: Los pasos siguen el diagrama: primero el síntoma y las soluciones que se le aplican (el ciclo B1), luego sus consecuencias no intencionadas (R2), después las causas de fondo y cómo se ligan con lo anterior, y al final las intervenciones de alto apalancamiento con sus propios efectos laterales.</w:t>
      </w:r>
    </w:p>
    <w:p>
      <w:pPr>
        <w:pStyle w:val="Normal"/>
      </w:pPr>
      <w:r>
        <w:t xml:space="preserve">Defensa: Es el orden de los siete pasos de L-18 para este arquetipo, que la presentación 4b reproduce en la lámina 5 junto a la fila de Pegasus.</w:t>
      </w:r>
    </w:p>
    <w:p>
      <w:pPr>
        <w:pStyle w:val="Fuente"/>
      </w:pPr>
      <w:r>
        <w:t xml:space="preserve">lectura L-18 · Presentación 4b (C-4), lámina 5</w:t>
      </w:r>
    </w:p>
    <w:p>
      <w:pPr>
        <w:pStyle w:val="Heading3"/>
      </w:pPr>
      <w:bookmarkStart w:name="b_solucion_p3c_13_lineamientos_tragedia" w:id="6692"/>
      <w:r>
        <w:t xml:space="preserve">Solución S3-13</w:t>
      </w:r>
      <w:bookmarkEnd w:id="6692"/>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a) Las soluciones efectivas para un escenario de «Tragedia de los Comunes» nunca se encuentran en el nivel individual.</w:t>
            </w:r>
          </w:p>
          <w:p>
            <w:pPr>
              <w:pStyle w:val="Recuadro"/>
            </w:pPr>
            <w:r>
              <w:t xml:space="preserve">c) Busque maneras de reconciliar las recompensas individuales de corto plazo con las consecuencias acumuladas de largo plazo.</w:t>
            </w:r>
          </w:p>
        </w:tc>
      </w:tr>
    </w:tbl>
    <w:p>
      <w:pPr>
        <w:pStyle w:val="Heading3"/>
      </w:pPr>
      <w:r>
        <w:t xml:space="preserve">Busque la tensión individual y colectiva</w:t>
      </w:r>
    </w:p>
    <w:p>
      <w:pPr>
        <w:pStyle w:val="Normal"/>
      </w:pPr>
      <w:r>
        <w:t xml:space="preserve">Los lineamientos de la tragedia hablan del nivel individual frente a la consecuencia acumulada; los demás hablan de grupos, metas o límites.</w:t>
      </w:r>
    </w:p>
    <w:p>
      <w:pPr>
        <w:pStyle w:val="Heading3"/>
      </w:pPr>
      <w:r>
        <w:t xml:space="preserve">Asigne los otros lineamientos a su arquetipo</w:t>
      </w:r>
    </w:p>
    <w:p>
      <w:pPr>
        <w:pStyle w:val="Normal"/>
      </w:pPr>
      <w:r>
        <w:t xml:space="preserve">Cortar a la mitad la competencia es del éxito para quien tiene éxito; las metas fijadas fuera, de la erosión; liberar la presión antes de que explote, de los límites del crecimiento.</w:t>
      </w:r>
    </w:p>
    <w:p>
      <w:pPr>
        <w:pStyle w:val="Fuente"/>
      </w:pPr>
      <w:r>
        <w:t xml:space="preserve">Opciones descartadas: b), d), e).</w:t>
      </w:r>
    </w:p>
    <w:p>
      <w:pPr>
        <w:pStyle w:val="Normal"/>
      </w:pPr>
      <w:r>
        <w:t xml:space="preserve">a) Las soluciones efectivas para un escenario de «Tragedia de los Comunes» nunca se encuentran en el nivel individual. — Correcta: es el primer lineamiento de la tragedia en L-17.</w:t>
      </w:r>
    </w:p>
    <w:p>
      <w:pPr>
        <w:pStyle w:val="Normal"/>
      </w:pPr>
      <w:r>
        <w:t xml:space="preserve">b) Corte el arquetipo a la mitad, enfocando los esfuerzos en un grupo, en lugar de crear una competencia en la que «el ganador toma todo». — Es un lineamiento del éxito para quien tiene éxito.</w:t>
      </w:r>
    </w:p>
    <w:p>
      <w:pPr>
        <w:pStyle w:val="Normal"/>
      </w:pPr>
      <w:r>
        <w:t xml:space="preserve">c) Busque maneras de reconciliar las recompensas individuales de corto plazo con las consecuencias acumuladas de largo plazo. — Correcta: es el último lineamiento de la tragedia, que agrega que puede ayudar una entidad gobernante que cuide el recurso límite.</w:t>
      </w:r>
    </w:p>
    <w:p>
      <w:pPr>
        <w:pStyle w:val="Normal"/>
      </w:pPr>
      <w:r>
        <w:t xml:space="preserve">d) Las metas fijadas fuera del sistema serán menos susceptibles a presiones de erosión de metas. — Es un lineamiento de la erosión de metas.</w:t>
      </w:r>
    </w:p>
    <w:p>
      <w:pPr>
        <w:pStyle w:val="Normal"/>
      </w:pPr>
      <w:r>
        <w:t xml:space="preserve">e) Busque maneras de liberar la presión o eliminar los límites antes de que explote la unión en la organización. — Es un lineamiento de los límites del crecimiento.</w:t>
      </w:r>
    </w:p>
    <w:p>
      <w:pPr>
        <w:pStyle w:val="Normal"/>
      </w:pPr>
      <w:r>
        <w:t xml:space="preserve">Criterio de resolución: En la tragedia cada actor gana individualmente con su actividad, y la pérdida es colectiva y llega después. Por eso los lineamientos de L-17 llevan la solución fuera del nivel individual: hacer real e inmediata la pérdida colectiva y reconciliar la recompensa de corto plazo con la consecuencia acumulada de largo plazo.</w:t>
      </w:r>
    </w:p>
    <w:p>
      <w:pPr>
        <w:pStyle w:val="Normal"/>
      </w:pPr>
      <w:r>
        <w:t xml:space="preserve">Defensa: Las dos frases correctas están en la fila de la tragedia de L-17; las otras tres son literales de las filas del éxito, la erosión y los límites.</w:t>
      </w:r>
    </w:p>
    <w:p>
      <w:pPr>
        <w:pStyle w:val="Fuente"/>
      </w:pPr>
      <w:r>
        <w:t xml:space="preserve">lectura L-17</w:t>
      </w:r>
    </w:p>
    <w:p>
      <w:pPr>
        <w:pStyle w:val="Heading3"/>
      </w:pPr>
      <w:bookmarkStart w:name="b_solucion_p3c_14_limites_del_c_4773fd8b" w:id="6693"/>
      <w:r>
        <w:t xml:space="preserve">Solución S3-14</w:t>
      </w:r>
      <w:bookmarkEnd w:id="6693"/>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a) Inicialmente los esfuerzos continuados llevan a un desempeño mejorado, en un ciclo de refuerzo</w:t>
            </w:r>
          </w:p>
          <w:p>
            <w:pPr>
              <w:pStyle w:val="Recuadro"/>
            </w:pPr>
            <w:r>
              <w:t xml:space="preserve">b) Con el tiempo el sistema encuentra un límite que hace que el desempeño baje, aun cuando el esfuerzo siga aumentando</w:t>
            </w:r>
          </w:p>
          <w:p>
            <w:pPr>
              <w:pStyle w:val="Recuadro"/>
            </w:pPr>
            <w:r>
              <w:t xml:space="preserve">d) La guía de Kim pide determinar el tiempo de duplicación de los procesos de crecimiento</w:t>
            </w:r>
          </w:p>
        </w:tc>
      </w:tr>
    </w:tbl>
    <w:p>
      <w:pPr>
        <w:pStyle w:val="Heading3"/>
      </w:pPr>
      <w:r>
        <w:t xml:space="preserve">Separe los dos ciclos</w:t>
      </w:r>
    </w:p>
    <w:p>
      <w:pPr>
        <w:pStyle w:val="Normal"/>
      </w:pPr>
      <w:r>
        <w:t xml:space="preserve">R1 es el crecimiento por el esfuerzo; B2, el freno que pone el límite.</w:t>
      </w:r>
    </w:p>
    <w:p>
      <w:pPr>
        <w:pStyle w:val="Heading3"/>
      </w:pPr>
      <w:r>
        <w:t xml:space="preserve">Recuerde dónde está la palanca</w:t>
      </w:r>
    </w:p>
    <w:p>
      <w:pPr>
        <w:pStyle w:val="Normal"/>
      </w:pPr>
      <w:r>
        <w:t xml:space="preserve">Empujar el refuerzo sólo activa más el freno: la palanca es el factor limitativo.</w:t>
      </w:r>
    </w:p>
    <w:p>
      <w:pPr>
        <w:pStyle w:val="Fuente"/>
      </w:pPr>
      <w:r>
        <w:t xml:space="preserve">Opciones descartadas: c).</w:t>
      </w:r>
    </w:p>
    <w:p>
      <w:pPr>
        <w:pStyle w:val="Heading3"/>
      </w:pPr>
      <w:r>
        <w:t xml:space="preserve">Lea para qué sirve el arquetipo</w:t>
      </w:r>
    </w:p>
    <w:p>
      <w:pPr>
        <w:pStyle w:val="Normal"/>
      </w:pPr>
      <w:r>
        <w:t xml:space="preserve">Los lineamientos de L-17 lo proponen para anticiparse, y Kim para planear: se usa antes del problema.</w:t>
      </w:r>
    </w:p>
    <w:p>
      <w:pPr>
        <w:pStyle w:val="Fuente"/>
      </w:pPr>
      <w:r>
        <w:t xml:space="preserve">Opciones descartadas: e).</w:t>
      </w:r>
    </w:p>
    <w:p>
      <w:pPr>
        <w:pStyle w:val="Normal"/>
      </w:pPr>
      <w:r>
        <w:t xml:space="preserve">a) Inicialmente los esfuerzos continuados llevan a un desempeño mejorado, en un ciclo de refuerzo — Correcta: es el ciclo R1 de la descripción de L-17.</w:t>
      </w:r>
    </w:p>
    <w:p>
      <w:pPr>
        <w:pStyle w:val="Normal"/>
      </w:pPr>
      <w:r>
        <w:t xml:space="preserve">b) Con el tiempo el sistema encuentra un límite que hace que el desempeño baje, aun cuando el esfuerzo siga aumentando — Correcta: es el ciclo B2 de la descripción de L-17: el límite frena el desempeño aunque el esfuerzo crezca.</w:t>
      </w:r>
    </w:p>
    <w:p>
      <w:pPr>
        <w:pStyle w:val="Normal"/>
      </w:pPr>
      <w:r>
        <w:t xml:space="preserve">c) Su principio administrativo es presionar más el proceso reforzador para superar el límite — Es justo al revés: «No presiones el proceso reforzador (de crecimiento); elimina (o debilita) el factor limitativo».</w:t>
      </w:r>
    </w:p>
    <w:p>
      <w:pPr>
        <w:pStyle w:val="Normal"/>
      </w:pPr>
      <w:r>
        <w:t xml:space="preserve">d) La guía de Kim pide determinar el tiempo de duplicación de los procesos de crecimiento — Correcta: es el segundo de los siete pasos de Kim para este arquetipo: «Determine el tiempo de duplicación de esos procesos».</w:t>
      </w:r>
    </w:p>
    <w:p>
      <w:pPr>
        <w:pStyle w:val="Normal"/>
      </w:pPr>
      <w:r>
        <w:t xml:space="preserve">e) Sólo sirve para explicar un colapso después de que ocurrió — L-17 dice que es más útil para anticiparse a los problemas, viendo cómo los efectos acumulados del éxito pueden causar problemas futuros.</w:t>
      </w:r>
    </w:p>
    <w:p>
      <w:pPr>
        <w:pStyle w:val="Normal"/>
      </w:pPr>
      <w:r>
        <w:t xml:space="preserve">Criterio de resolución: La estructura tiene un ciclo de refuerzo que produce el crecimiento y uno de balance que se activa al acercarse al límite. Valentini describe el comportamiento —crecimiento acelerado que se vuelve lento, se detiene y puede revertirse en colapso— y su principio: no empujar el refuerzo, sino quitar o debilitar el límite.</w:t>
      </w:r>
    </w:p>
    <w:p>
      <w:pPr>
        <w:pStyle w:val="Normal"/>
      </w:pPr>
      <w:r>
        <w:t xml:space="preserve">Defensa: Las dos primeras opciones son la descripción de L-17, la cuarta es el paso 2 de Kim y las otras dos contradicen el principio de Valentini y los lineamientos de Pegasus.</w:t>
      </w:r>
    </w:p>
    <w:p>
      <w:pPr>
        <w:pStyle w:val="Fuente"/>
      </w:pPr>
      <w:r>
        <w:t xml:space="preserve">lectura L-17 · lectura L-18 · lectura L-19, pág. 2</w:t>
      </w:r>
    </w:p>
    <w:p>
      <w:pPr>
        <w:pStyle w:val="Heading3"/>
      </w:pPr>
      <w:bookmarkStart w:name="b_solucion_p3c_15_compensacion_demora" w:id="6694"/>
      <w:r>
        <w:t xml:space="preserve">Solución S3-15</w:t>
      </w:r>
      <w:bookmarkEnd w:id="6694"/>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a) Quien actúa adapta su conducta en respuesta a una realimentación demorada</w:t>
            </w:r>
          </w:p>
          <w:p>
            <w:pPr>
              <w:pStyle w:val="Recuadro"/>
            </w:pPr>
            <w:r>
              <w:t xml:space="preserve">b) Si no es consciente de la demora, realiza más acciones correctivas de las necesarias</w:t>
            </w:r>
          </w:p>
        </w:tc>
      </w:tr>
    </w:tbl>
    <w:p>
      <w:pPr>
        <w:pStyle w:val="Heading3"/>
      </w:pPr>
      <w:r>
        <w:t xml:space="preserve">Identifique el ciclo y su demora</w:t>
      </w:r>
    </w:p>
    <w:p>
      <w:pPr>
        <w:pStyle w:val="Normal"/>
      </w:pPr>
      <w:r>
        <w:t xml:space="preserve">El grifo corrige la temperatura hacia la deseada (balance), pero el agua responde tarde (demora).</w:t>
      </w:r>
    </w:p>
    <w:p>
      <w:pPr>
        <w:pStyle w:val="Fuente"/>
      </w:pPr>
      <w:r>
        <w:t xml:space="preserve">Opciones descartadas: d).</w:t>
      </w:r>
    </w:p>
    <w:p>
      <w:pPr>
        <w:pStyle w:val="Heading3"/>
      </w:pPr>
      <w:r>
        <w:t xml:space="preserve">Deduzca el comportamiento</w:t>
      </w:r>
    </w:p>
    <w:p>
      <w:pPr>
        <w:pStyle w:val="Normal"/>
      </w:pPr>
      <w:r>
        <w:t xml:space="preserve">Un balance con demora y una acción impaciente produce oscilación, no crecimiento.</w:t>
      </w:r>
    </w:p>
    <w:p>
      <w:pPr>
        <w:pStyle w:val="Fuente"/>
      </w:pPr>
      <w:r>
        <w:t xml:space="preserve">Opciones descartadas: e).</w:t>
      </w:r>
    </w:p>
    <w:p>
      <w:pPr>
        <w:pStyle w:val="Heading3"/>
      </w:pPr>
      <w:r>
        <w:t xml:space="preserve">Aplique el principio administrativo</w:t>
      </w:r>
    </w:p>
    <w:p>
      <w:pPr>
        <w:pStyle w:val="Normal"/>
      </w:pPr>
      <w:r>
        <w:t xml:space="preserve">La agresividad en un sistema lento produce inestabilidad: la salida es la paciencia.</w:t>
      </w:r>
    </w:p>
    <w:p>
      <w:pPr>
        <w:pStyle w:val="Fuente"/>
      </w:pPr>
      <w:r>
        <w:t xml:space="preserve">Opciones descartadas: c).</w:t>
      </w:r>
    </w:p>
    <w:p>
      <w:pPr>
        <w:pStyle w:val="Normal"/>
      </w:pPr>
      <w:r>
        <w:t xml:space="preserve">a) Quien actúa adapta su conducta en respuesta a una realimentación demorada — Correcta: es la descripción de la compensación entre proceso y demora en L-19.</w:t>
      </w:r>
    </w:p>
    <w:p>
      <w:pPr>
        <w:pStyle w:val="Normal"/>
      </w:pPr>
      <w:r>
        <w:t xml:space="preserve">b) Si no es consciente de la demora, realiza más acciones correctivas de las necesarias — Correcta: continúa la descripción: «realizan más acciones correctivas de las necesarias o a veces desisten por que no ven ningún progreso».</w:t>
      </w:r>
    </w:p>
    <w:p>
      <w:pPr>
        <w:pStyle w:val="Normal"/>
      </w:pPr>
      <w:r>
        <w:t xml:space="preserve">c) En un sistema lento conviene actuar con más agresividad para compensar la demora — El principio dice lo contrario: «En un sistema lento, la agresividad produce inestabilidad».</w:t>
      </w:r>
    </w:p>
    <w:p>
      <w:pPr>
        <w:pStyle w:val="Normal"/>
      </w:pPr>
      <w:r>
        <w:t xml:space="preserve">d) Su estructura son dos ciclos de refuerzo encadenados — Es un solo ciclo de balance con una demora: la acción busca llevar las condiciones a la meta.</w:t>
      </w:r>
    </w:p>
    <w:p>
      <w:pPr>
        <w:pStyle w:val="Normal"/>
      </w:pPr>
      <w:r>
        <w:t xml:space="preserve">e) Su comportamiento típico es un crecimiento exponencial sostenido — El comportamiento es la oscilación: se corrige de más, se pasa de la meta y se corrige en sentido contrario.</w:t>
      </w:r>
    </w:p>
    <w:p>
      <w:pPr>
        <w:pStyle w:val="Normal"/>
      </w:pPr>
      <w:r>
        <w:t xml:space="preserve">Criterio de resolución: La ducha es uno de los «otros ejemplos» de Valentini para la compensación entre proceso y demora: un ciclo de balance cuya realimentación llega tarde. Quien no la tiene en cuenta sobrecorrige, y el sistema oscila. El principio pide paciencia o lograr que el sistema reaccione mejor.</w:t>
      </w:r>
    </w:p>
    <w:p>
      <w:pPr>
        <w:pStyle w:val="Normal"/>
      </w:pPr>
      <w:r>
        <w:t xml:space="preserve">Defensa: L-19 pone la ducha entre los ejemplos de este arquetipo y su principio administrativo rechaza la agresividad; las dos correctas son su descripción literal.</w:t>
      </w:r>
    </w:p>
    <w:p>
      <w:pPr>
        <w:pStyle w:val="Fuente"/>
      </w:pPr>
      <w:r>
        <w:t xml:space="preserve">lectura L-19, pág. 1</w:t>
      </w:r>
    </w:p>
    <w:p>
      <w:pPr>
        <w:pStyle w:val="Heading3"/>
      </w:pPr>
      <w:bookmarkStart w:name="b_solucion_p3c_16_soluciones_fr_c0bd11b3" w:id="6695"/>
      <w:r>
        <w:t xml:space="preserve">Solución S3-16</w:t>
      </w:r>
      <w:bookmarkEnd w:id="6695"/>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a) En el desplazamiento de la carga hay una solución fundamental, con demora, que se aplica cada vez menos mientras se usa la sintomática</w:t>
            </w:r>
          </w:p>
          <w:p>
            <w:pPr>
              <w:pStyle w:val="Recuadro"/>
            </w:pPr>
            <w:r>
              <w:t xml:space="preserve">b) En las soluciones rápidas que fallan, las consecuencias no intencionadas de la solución agudizan el mismo síntoma</w:t>
            </w:r>
          </w:p>
        </w:tc>
      </w:tr>
    </w:tbl>
    <w:p>
      <w:pPr>
        <w:pStyle w:val="Heading3"/>
      </w:pPr>
      <w:r>
        <w:t xml:space="preserve">Busque lo que comparten</w:t>
      </w:r>
    </w:p>
    <w:p>
      <w:pPr>
        <w:pStyle w:val="Normal"/>
      </w:pPr>
      <w:r>
        <w:t xml:space="preserve">Los dos tienen un ciclo de balance rápido por la solución del síntoma.</w:t>
      </w:r>
    </w:p>
    <w:p>
      <w:pPr>
        <w:pStyle w:val="Fuente"/>
      </w:pPr>
      <w:r>
        <w:t xml:space="preserve">Opciones descartadas: c), e).</w:t>
      </w:r>
    </w:p>
    <w:p>
      <w:pPr>
        <w:pStyle w:val="Heading3"/>
      </w:pPr>
      <w:r>
        <w:t xml:space="preserve">Busque lo que los separa</w:t>
      </w:r>
    </w:p>
    <w:p>
      <w:pPr>
        <w:pStyle w:val="Normal"/>
      </w:pPr>
      <w:r>
        <w:t xml:space="preserve">¿Hay una segunda solución, la fundamental? Entonces es desplazamiento de la carga, y su efecto lateral cierra un refuerzo. ¿La consecuencia empeora el mismo síntoma? Entonces son soluciones rápidas que fallan.</w:t>
      </w:r>
    </w:p>
    <w:p>
      <w:pPr>
        <w:pStyle w:val="Fuente"/>
      </w:pPr>
      <w:r>
        <w:t xml:space="preserve">Opciones descartadas: d).</w:t>
      </w:r>
    </w:p>
    <w:p>
      <w:pPr>
        <w:pStyle w:val="Normal"/>
      </w:pPr>
      <w:r>
        <w:t xml:space="preserve">a) En el desplazamiento de la carga hay una solución fundamental, con demora, que se aplica cada vez menos mientras se usa la sintomática — Correcta: Valentini: «A medida que esta corrección se usa cada vez más, las medidas correctivas fundamentales se aplican cada vez menos».</w:t>
      </w:r>
    </w:p>
    <w:p>
      <w:pPr>
        <w:pStyle w:val="Normal"/>
      </w:pPr>
      <w:r>
        <w:t xml:space="preserve">b) En las soluciones rápidas que fallan, las consecuencias no intencionadas de la solución agudizan el mismo síntoma — Correcta: L-17: la solución rápida alivia el síntoma (B1), pero sus consecuencias no intencionadas agudizan el problema (R2).</w:t>
      </w:r>
    </w:p>
    <w:p>
      <w:pPr>
        <w:pStyle w:val="Normal"/>
      </w:pPr>
      <w:r>
        <w:t xml:space="preserve">c) Sólo las soluciones rápidas que fallan tienen un ciclo de balance que alivia el síntoma — Los dos tienen ese ciclo: B1 en ambos es la solución que alivia el síntoma.</w:t>
      </w:r>
    </w:p>
    <w:p>
      <w:pPr>
        <w:pStyle w:val="Normal"/>
      </w:pPr>
      <w:r>
        <w:t xml:space="preserve">d) El desplazamiento de la carga no tiene ningún ciclo de refuerzo — Tiene uno, R1: la solución sintomática debilita, por su efecto lateral, a la fundamental.</w:t>
      </w:r>
    </w:p>
    <w:p>
      <w:pPr>
        <w:pStyle w:val="Normal"/>
      </w:pPr>
      <w:r>
        <w:t xml:space="preserve">e) En los dos arquetipos la solución del síntoma tiene una demora larga — La solución del síntoma es rápida en los dos; la demora está en la solución fundamental del desplazamiento o en las consecuencias de las soluciones rápidas.</w:t>
      </w:r>
    </w:p>
    <w:p>
      <w:pPr>
        <w:pStyle w:val="Normal"/>
      </w:pPr>
      <w:r>
        <w:t xml:space="preserve">Criterio de resolución: Los dos empiezan igual: una solución que alivia el síntoma (B1). Se separan en lo que viene después. En las soluciones rápidas, la consecuencia no intencionada vuelve sobre el mismo síntoma. En el desplazamiento de la carga, el efecto lateral debilita una segunda solución, la fundamental, que se atrofia.</w:t>
      </w:r>
    </w:p>
    <w:p>
      <w:pPr>
        <w:pStyle w:val="Normal"/>
      </w:pPr>
      <w:r>
        <w:t xml:space="preserve">Defensa: La presentación 4b muestra los dos con sus historias: los labios agrietados (láminas 5 y 6), donde la solución misma empeora el síntoma, y el soporte técnico (láminas 15 y 16), donde la solución fundamental se deja de aplicar.</w:t>
      </w:r>
    </w:p>
    <w:p>
      <w:pPr>
        <w:pStyle w:val="Fuente"/>
      </w:pPr>
      <w:r>
        <w:t xml:space="preserve">lectura L-17 · lectura L-19, págs. 2 y 6 · Presentación 4b (C-4), láminas 5, 6, 15 y 16</w:t>
      </w:r>
    </w:p>
    <w:p>
      <w:pPr>
        <w:pStyle w:val="Heading3"/>
      </w:pPr>
      <w:bookmarkStart w:name="b_solucion_p3c_17_notacion_de_valentini" w:id="6696"/>
      <w:r>
        <w:t xml:space="preserve">Solución S3-17</w:t>
      </w:r>
      <w:bookmarkEnd w:id="6696"/>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b) Falso</w:t>
            </w:r>
          </w:p>
        </w:tc>
      </w:tr>
    </w:tbl>
    <w:p>
      <w:pPr>
        <w:pStyle w:val="Heading3"/>
      </w:pPr>
      <w:r>
        <w:t xml:space="preserve">Recuerde cómo dibuja cada lectura</w:t>
      </w:r>
    </w:p>
    <w:p>
      <w:pPr>
        <w:pStyle w:val="Normal"/>
      </w:pPr>
      <w:r>
        <w:t xml:space="preserve">Pegasus y Kim: signos y letras. Valentini: balanza y bola de nieve.</w:t>
      </w:r>
    </w:p>
    <w:p>
      <w:pPr>
        <w:pStyle w:val="Fuente"/>
      </w:pPr>
      <w:r>
        <w:t xml:space="preserve">Opciones descartadas: a).</w:t>
      </w:r>
    </w:p>
    <w:p>
      <w:pPr>
        <w:pStyle w:val="Heading3"/>
      </w:pPr>
      <w:r>
        <w:t xml:space="preserve">Lea el ícono en lugar del signo</w:t>
      </w:r>
    </w:p>
    <w:p>
      <w:pPr>
        <w:pStyle w:val="Normal"/>
      </w:pPr>
      <w:r>
        <w:t xml:space="preserve">En una figura de Valentini, la balanza indica un ciclo de balance y la bola de nieve uno de refuerzo.</w:t>
      </w:r>
    </w:p>
    <w:p>
      <w:pPr>
        <w:pStyle w:val="Normal"/>
      </w:pPr>
      <w:r>
        <w:t xml:space="preserve">a) Verdadero — Esa es la notación de la hoja de Pegasus y de la guía de Kim, no la de Valentini.</w:t>
      </w:r>
    </w:p>
    <w:p>
      <w:pPr>
        <w:pStyle w:val="Normal"/>
      </w:pPr>
      <w:r>
        <w:t xml:space="preserve">b) Falso — Correcta: Valentini usa los íconos de La quinta disciplina de Senge —una balanza para el balance y una bola de nieve para el refuerzo— y no pone signos en las flechas.</w:t>
      </w:r>
    </w:p>
    <w:p>
      <w:pPr>
        <w:pStyle w:val="Normal"/>
      </w:pPr>
      <w:r>
        <w:t xml:space="preserve">Criterio de resolución: Las lecturas del curso usan dos notaciones. L-17 y L-18 dibujan diagramas de ciclos causales con signo en cada flecha, letra en cada ciclo y la palabra «Demora». L-19 dibuja la estructura con los íconos de Senge, sin signos; para contar ciclos hay que leer el ícono, no las flechas.</w:t>
      </w:r>
    </w:p>
    <w:p>
      <w:pPr>
        <w:pStyle w:val="Normal"/>
      </w:pPr>
      <w:r>
        <w:t xml:space="preserve">Defensa: Las estructuras de L-19 llevan los íconos de Senge y ninguna flecha con signo; las letras R y B y los signos son de L-17 y L-18.</w:t>
      </w:r>
    </w:p>
    <w:p>
      <w:pPr>
        <w:pStyle w:val="Fuente"/>
      </w:pPr>
      <w:r>
        <w:t xml:space="preserve">lectura L-19 · lectura L-17</w:t>
      </w:r>
    </w:p>
    <w:p>
      <w:pPr>
        <w:pStyle w:val="Heading3"/>
      </w:pPr>
      <w:bookmarkStart w:name="b_solucion_p3c_18_estructura_su_b3719892" w:id="6697"/>
      <w:r>
        <w:t xml:space="preserve">Solución S3-18</w:t>
      </w:r>
      <w:bookmarkEnd w:id="6697"/>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a) Contiene la estructura de los límites del crecimiento: un refuerzo de la demanda y un balance que la frena por el desempeño</w:t>
            </w:r>
          </w:p>
          <w:p>
            <w:pPr>
              <w:pStyle w:val="Recuadro"/>
            </w:pPr>
            <w:r>
              <w:t xml:space="preserve">b) Un segundo ciclo de balance pasa por la necesidad percibida de inversión y la inversión en capacidad, que llega con demora</w:t>
            </w:r>
          </w:p>
          <w:p>
            <w:pPr>
              <w:pStyle w:val="Recuadro"/>
            </w:pPr>
            <w:r>
              <w:t xml:space="preserve">c) Se disminuyen los estándares de desempeño para justificar la ausencia de inversión</w:t>
            </w:r>
          </w:p>
        </w:tc>
      </w:tr>
    </w:tbl>
    <w:p>
      <w:pPr>
        <w:pStyle w:val="Heading3"/>
      </w:pPr>
      <w:r>
        <w:t xml:space="preserve">Reconozca la base de límites del crecimiento</w:t>
      </w:r>
    </w:p>
    <w:p>
      <w:pPr>
        <w:pStyle w:val="Normal"/>
      </w:pPr>
      <w:r>
        <w:t xml:space="preserve">La acción creciente y la demanda se refuerzan; el desempeño frena la demanda.</w:t>
      </w:r>
    </w:p>
    <w:p>
      <w:pPr>
        <w:pStyle w:val="Heading3"/>
      </w:pPr>
      <w:r>
        <w:t xml:space="preserve">Añada el ciclo de la inversión</w:t>
      </w:r>
    </w:p>
    <w:p>
      <w:pPr>
        <w:pStyle w:val="Normal"/>
      </w:pPr>
      <w:r>
        <w:t xml:space="preserve">El desempeño, comparado con su estándar, decide la necesidad percibida de invertir; la inversión llega con demora a la capacidad, que mejora el desempeño: otro balance.</w:t>
      </w:r>
    </w:p>
    <w:p>
      <w:pPr>
        <w:pStyle w:val="Fuente"/>
      </w:pPr>
      <w:r>
        <w:t xml:space="preserve">Opciones descartadas: d).</w:t>
      </w:r>
    </w:p>
    <w:p>
      <w:pPr>
        <w:pStyle w:val="Heading3"/>
      </w:pPr>
      <w:r>
        <w:t xml:space="preserve">Recuerde la recomendación de Kim</w:t>
      </w:r>
    </w:p>
    <w:p>
      <w:pPr>
        <w:pStyle w:val="Normal"/>
      </w:pPr>
      <w:r>
        <w:t xml:space="preserve">Decidir con señales externas evita la profecía que se cumple a sí misma.</w:t>
      </w:r>
    </w:p>
    <w:p>
      <w:pPr>
        <w:pStyle w:val="Fuente"/>
      </w:pPr>
      <w:r>
        <w:t xml:space="preserve">Opciones descartadas: e).</w:t>
      </w:r>
    </w:p>
    <w:p>
      <w:pPr>
        <w:pStyle w:val="Normal"/>
      </w:pPr>
      <w:r>
        <w:t xml:space="preserve">a) Contiene la estructura de los límites del crecimiento: un refuerzo de la demanda y un balance que la frena por el desempeño — Correcta: R1 (acción creciente y demanda) y B2 (demanda y desempeño) son los dos ciclos de los límites del crecimiento.</w:t>
      </w:r>
    </w:p>
    <w:p>
      <w:pPr>
        <w:pStyle w:val="Normal"/>
      </w:pPr>
      <w:r>
        <w:t xml:space="preserve">b) Un segundo ciclo de balance pasa por la necesidad percibida de inversión y la inversión en capacidad, que llega con demora — Correcta: B3 recorre desempeño, necesidad percibida de inversión, inversión en capacidad y capacidad, y la inversión tarda en volverse capacidad.</w:t>
      </w:r>
    </w:p>
    <w:p>
      <w:pPr>
        <w:pStyle w:val="Normal"/>
      </w:pPr>
      <w:r>
        <w:t xml:space="preserve">c) Se disminuyen los estándares de desempeño para justificar la ausencia de inversión — Correcta: es la descripción de L-17: así se cierra la brecha sin invertir, como en una erosión de metas.</w:t>
      </w:r>
    </w:p>
    <w:p>
      <w:pPr>
        <w:pStyle w:val="Normal"/>
      </w:pPr>
      <w:r>
        <w:t xml:space="preserve">d) Tiene dos ciclos de refuerzo y ninguno de balance — Tiene un refuerzo (R1) y dos de balance (B2 y B3).</w:t>
      </w:r>
    </w:p>
    <w:p>
      <w:pPr>
        <w:pStyle w:val="Normal"/>
      </w:pPr>
      <w:r>
        <w:t xml:space="preserve">e) La guía de Kim recomienda decidir la inversión con base en los estándares derivados del desempeño pasado — Kim dice lo contrario: «Tome decisiones de inversión con base en señales externas, no en estándares derivados del desempeño en el pasado».</w:t>
      </w:r>
    </w:p>
    <w:p>
      <w:pPr>
        <w:pStyle w:val="Normal"/>
      </w:pPr>
      <w:r>
        <w:t xml:space="preserve">Criterio de resolución: L-17: «el crecimiento se acerca a un límite que puede ser eliminado o postergado si se hacen inversiones en capacidad. En su defecto, se disminuyen los estándares de desempeño para justificar la ausencia de inversión». La hoja marca R1, B2 y B3; el recuento por signos da un ciclo de refuerzo y dos de balance.</w:t>
      </w:r>
    </w:p>
    <w:p>
      <w:pPr>
        <w:pStyle w:val="Normal"/>
      </w:pPr>
      <w:r>
        <w:t xml:space="preserve">Defensa: La fila de L-17 marca R1, B2 y B3 y describe la baja de estándares; el paso 5 de Kim pide decidir con señales externas.</w:t>
      </w:r>
    </w:p>
    <w:p>
      <w:pPr>
        <w:pStyle w:val="Fuente"/>
      </w:pPr>
      <w:r>
        <w:t xml:space="preserve">lectura L-17 · lectura L-18</w:t>
      </w:r>
    </w:p>
    <w:p>
      <w:pPr>
        <w:pStyle w:val="Heading3"/>
      </w:pPr>
      <w:bookmarkStart w:name="b_solucion_p3c_74_cobertura" w:id="6698"/>
      <w:r>
        <w:t xml:space="preserve">Solución S3-19</w:t>
      </w:r>
      <w:bookmarkEnd w:id="6698"/>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a) Cada arquetipo tiene una secuencia específica y un propósito de aplicación.</w:t>
            </w:r>
          </w:p>
        </w:tc>
      </w:tr>
    </w:tbl>
    <w:p>
      <w:pPr>
        <w:pStyle w:val="Heading3"/>
      </w:pPr>
      <w:r>
        <w:t xml:space="preserve">Identificar el mecanismo</w:t>
      </w:r>
    </w:p>
    <w:p>
      <w:pPr>
        <w:pStyle w:val="Normal"/>
      </w:pPr>
      <w:r>
        <w:t xml:space="preserve">L-18 presenta siete pasos específicos para cada arquetipo. No deben sustituirse por los diez lineamientos de DCC ni inventarse para las variantes de L-19.</w:t>
      </w:r>
    </w:p>
    <w:p>
      <w:pPr>
        <w:pStyle w:val="Heading3"/>
      </w:pPr>
      <w:r>
        <w:t xml:space="preserve">Comprobar las alternativas</w:t>
      </w:r>
    </w:p>
    <w:p>
      <w:pPr>
        <w:pStyle w:val="Normal"/>
      </w:pPr>
      <w:r>
        <w:t xml:space="preserve">Cada procedimiento responde a un mecanismo distinto. Los lineamientos de DCC se refieren al dibujo, no son los siete pasos de cada arquetipo. L-19 no aporta siete pasos de Kim para sus variantes adicionales.</w:t>
      </w:r>
    </w:p>
    <w:p>
      <w:pPr>
        <w:pStyle w:val="Normal"/>
      </w:pPr>
      <w:r>
        <w:t xml:space="preserve">a) Cada arquetipo tiene una secuencia específica y un propósito de aplicación. — L-18 presenta siete pasos específicos para cada arquetipo. No deben sustituirse por los diez lineamientos de DCC ni inventarse para las variantes de L-19.</w:t>
      </w:r>
    </w:p>
    <w:p>
      <w:pPr>
        <w:pStyle w:val="Normal"/>
      </w:pPr>
      <w:r>
        <w:t xml:space="preserve">b) Son una receta universal idéntica para todos. — Cada procedimiento responde a un mecanismo distinto.</w:t>
      </w:r>
    </w:p>
    <w:p>
      <w:pPr>
        <w:pStyle w:val="Normal"/>
      </w:pPr>
      <w:r>
        <w:t xml:space="preserve">c) Son los diez lineamientos de dibujo causal resumidos. — Los lineamientos de DCC se refieren al dibujo, no son los siete pasos de cada arquetipo.</w:t>
      </w:r>
    </w:p>
    <w:p>
      <w:pPr>
        <w:pStyle w:val="Normal"/>
      </w:pPr>
      <w:r>
        <w:t xml:space="preserve">d) También se atribuyen a las dos variantes de Valentini. — L-19 no aporta siete pasos de Kim para sus variantes adicionales.</w:t>
      </w:r>
    </w:p>
    <w:p>
      <w:pPr>
        <w:pStyle w:val="Normal"/>
      </w:pPr>
      <w:r>
        <w:t xml:space="preserve">Criterio de resolución: L-18 presenta siete pasos específicos para cada arquetipo. No deben sustituirse por los diez lineamientos de DCC ni inventarse para las variantes de L-19.</w:t>
      </w:r>
    </w:p>
    <w:p>
      <w:pPr>
        <w:pStyle w:val="Normal"/>
      </w:pPr>
      <w:r>
        <w:t xml:space="preserve">Defensa: L-18 presenta siete pasos específicos para cada arquetipo. No deben sustituirse por los diez lineamientos de DCC ni inventarse para las variantes de L-19.</w:t>
      </w:r>
    </w:p>
    <w:p>
      <w:pPr>
        <w:pStyle w:val="Fuente"/>
      </w:pPr>
      <w:r>
        <w:t xml:space="preserve">lectura L-18 · procedimientos por arquetipo</w:t>
      </w:r>
    </w:p>
    <w:p>
      <w:pPr>
        <w:pStyle w:val="Heading3"/>
      </w:pPr>
      <w:bookmarkStart w:name="b_solucion_p3c_19_acumulaciones_369e1e46" w:id="6699"/>
      <w:r>
        <w:t xml:space="preserve">Solución S3-20</w:t>
      </w:r>
      <w:bookmarkEnd w:id="6699"/>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a) El nivel cambiante de miedo mientras se mira una película de terror</w:t>
            </w:r>
          </w:p>
          <w:p>
            <w:pPr>
              <w:pStyle w:val="Recuadro"/>
            </w:pPr>
            <w:r>
              <w:t xml:space="preserve">c) La confianza en una organización o en una familia</w:t>
            </w:r>
          </w:p>
        </w:tc>
      </w:tr>
    </w:tbl>
    <w:p>
      <w:pPr>
        <w:pStyle w:val="Heading3"/>
      </w:pPr>
      <w:r>
        <w:t xml:space="preserve">Recuerde las dos clases de la lámina 7</w:t>
      </w:r>
    </w:p>
    <w:p>
      <w:pPr>
        <w:pStyle w:val="Normal"/>
      </w:pPr>
      <w:r>
        <w:t xml:space="preserve">Unas acumulaciones son «muy concretas y fáciles de medir»; las abstractas se perciben más de lo que se miden: «Este tipo de acumulación a menudo se basa en la percepción».</w:t>
      </w:r>
    </w:p>
    <w:p>
      <w:pPr>
        <w:pStyle w:val="Heading3"/>
      </w:pPr>
      <w:r>
        <w:t xml:space="preserve">Descarte lo que se puede contar</w:t>
      </w:r>
    </w:p>
    <w:p>
      <w:pPr>
        <w:pStyle w:val="Normal"/>
      </w:pPr>
      <w:r>
        <w:t xml:space="preserve">La gasolina del tanque, los estudiantes matriculados y el agua del baño para pájaros son los ejemplos concretos de las láminas 7 y 8.</w:t>
      </w:r>
    </w:p>
    <w:p>
      <w:pPr>
        <w:pStyle w:val="Fuente"/>
      </w:pPr>
      <w:r>
        <w:t xml:space="preserve">Opciones descartadas: b), d), e).</w:t>
      </w:r>
    </w:p>
    <w:p>
      <w:pPr>
        <w:pStyle w:val="Heading3"/>
      </w:pPr>
      <w:r>
        <w:t xml:space="preserve">Reconozca lo menos tangible</w:t>
      </w:r>
    </w:p>
    <w:p>
      <w:pPr>
        <w:pStyle w:val="Normal"/>
      </w:pPr>
      <w:r>
        <w:t xml:space="preserve">El miedo ante una película de terror es abstracto según la lámina 7, y la confianza es una acumulación menos tangible según la lámina 8: las dos son niveles, aunque cueste ponerles número.</w:t>
      </w:r>
    </w:p>
    <w:p>
      <w:pPr>
        <w:pStyle w:val="Normal"/>
      </w:pPr>
      <w:r>
        <w:t xml:space="preserve">a) El nivel cambiante de miedo mientras se mira una película de terror — Correcta: es el primero de los ejemplos de acumulaciones abstractas del día a día de la lámina 7, junto con «la cantidad de estrés experimentado en diferentes momentos durante un día laboral o trimestre fiscal».</w:t>
      </w:r>
    </w:p>
    <w:p>
      <w:pPr>
        <w:pStyle w:val="Normal"/>
      </w:pPr>
      <w:r>
        <w:t xml:space="preserve">b) La cantidad de gasolina en el tanque de un automóvil — Es concreta: la lámina 7 la pone entre los ejemplos de «acumulación de concreto», con los animales de un bosque y los estudiantes de una escuela.</w:t>
      </w:r>
    </w:p>
    <w:p>
      <w:pPr>
        <w:pStyle w:val="Normal"/>
      </w:pPr>
      <w:r>
        <w:t xml:space="preserve">c) La confianza en una organización o en una familia — Correcta: la lámina 8 dice que las acumulaciones «también pueden ser menos tangibles, como la amabilidad, el respeto o la confianza», y estudia la confianza como un nivel clave de la cultura organizacional o de la dinámica familiar.</w:t>
      </w:r>
    </w:p>
    <w:p>
      <w:pPr>
        <w:pStyle w:val="Normal"/>
      </w:pPr>
      <w:r>
        <w:t xml:space="preserve">d) El número de estudiantes matriculados en una escuela — Es tangible: la lámina 8 lo dice con todas sus letras, «El número de estudiantes matriculados en una escuela es un nivel (stock) tangible. Es fácil contar».</w:t>
      </w:r>
    </w:p>
    <w:p>
      <w:pPr>
        <w:pStyle w:val="Normal"/>
      </w:pPr>
      <w:r>
        <w:t xml:space="preserve">e) El agua en un baño para pájaros — Es el ejemplo concreto con que abre la lámina 7: algunas acumulaciones, «como el agua en el baño para pájaros, son muy concretas y fáciles de medir».</w:t>
      </w:r>
    </w:p>
    <w:p>
      <w:pPr>
        <w:pStyle w:val="Normal"/>
      </w:pPr>
      <w:r>
        <w:t xml:space="preserve">Criterio de resolución: La presentación 4a llama acumulaciones a «los elementos en los sistemas que cambian con el tiempo» y las reparte en dos clases. Las concretas se cuentan o se miden: el agua del baño para pájaros, los animales de un bosque, los estudiantes de una escuela, la gasolina de un tanque. Las abstractas, como el miedo o el estrés, «pueden ser difíciles de cuantificar numéricamente, pero se puede observar o sentir la velocidad y la naturaleza del cambio». La lámina 8 suma la amabilidad, el respeto y la confianza como acumulaciones menos tangibles.</w:t>
      </w:r>
    </w:p>
    <w:p>
      <w:pPr>
        <w:pStyle w:val="Normal"/>
      </w:pPr>
      <w:r>
        <w:t xml:space="preserve">Defensa: La lámina 7 da el miedo «mientras mira una película de terror» como ejemplo de acumulación abstracta, y la lámina 8 dice que las acumulaciones pueden ser «menos tangibles, como la amabilidad, el respeto o la confianza». Las otras tres opciones son ejemplos concretos de las mismas láminas.</w:t>
      </w:r>
    </w:p>
    <w:p>
      <w:pPr>
        <w:pStyle w:val="Fuente"/>
      </w:pPr>
      <w:r>
        <w:t xml:space="preserve">Presentación 4a (C-3), láminas 7 y 8</w:t>
      </w:r>
    </w:p>
    <w:p>
      <w:pPr>
        <w:pStyle w:val="Heading3"/>
      </w:pPr>
      <w:bookmarkStart w:name="b_solucion_p3c_20_bano_para_pajaros" w:id="6700"/>
      <w:r>
        <w:t xml:space="preserve">Solución S3-21</w:t>
      </w:r>
      <w:bookmarkEnd w:id="6700"/>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El agua en el baño para pájaros → Acumulación concreta y fácil de medir</w:t>
            </w:r>
          </w:p>
          <w:p>
            <w:pPr>
              <w:pStyle w:val="Recuadro"/>
            </w:pPr>
            <w:r>
              <w:t xml:space="preserve">El agua que entra por la manguera → Flujo de entrada: aumenta el nivel</w:t>
            </w:r>
          </w:p>
          <w:p>
            <w:pPr>
              <w:pStyle w:val="Recuadro"/>
            </w:pPr>
            <w:r>
              <w:t xml:space="preserve">El calor del sol que resulta en la evaporación → Flujo de salida: disminuye el nivel</w:t>
            </w:r>
          </w:p>
          <w:p>
            <w:pPr>
              <w:pStyle w:val="Recuadro"/>
            </w:pPr>
            <w:r>
              <w:t xml:space="preserve">Las aves que se llevan el agua al beber → Flujo de salida: disminuye el nivel</w:t>
            </w:r>
          </w:p>
          <w:p>
            <w:pPr>
              <w:pStyle w:val="Recuadro"/>
            </w:pPr>
            <w:r>
              <w:t xml:space="preserve">El esfuerzo de la mujer para mantener un nivel de agua confortable para las aves → Acumulación abstracta</w:t>
            </w:r>
          </w:p>
        </w:tc>
      </w:tr>
    </w:tbl>
    <w:p>
      <w:pPr>
        <w:pStyle w:val="Heading3"/>
      </w:pPr>
      <w:r>
        <w:t xml:space="preserve">Fije la acumulación</w:t>
      </w:r>
    </w:p>
    <w:p>
      <w:pPr>
        <w:pStyle w:val="Normal"/>
      </w:pPr>
      <w:r>
        <w:t xml:space="preserve">«Si consideramos el agua como la acumulación en este sistema», dice la lámina 7, todo lo demás se lee contra el nivel del agua: lo que lo sube y lo que lo baja.</w:t>
      </w:r>
    </w:p>
    <w:p>
      <w:pPr>
        <w:pStyle w:val="Heading3"/>
      </w:pPr>
      <w:r>
        <w:t xml:space="preserve">Separe lo que llena de lo que vacía</w:t>
      </w:r>
    </w:p>
    <w:p>
      <w:pPr>
        <w:pStyle w:val="Normal"/>
      </w:pPr>
      <w:r>
        <w:t xml:space="preserve">La manguera aumenta el nivel, como el grifo de la bañera; la evaporación, las salpicaduras y las aves que beben lo disminuyen, como el drenaje. Un mismo nivel puede tener varios flujos de salida.</w:t>
      </w:r>
    </w:p>
    <w:p>
      <w:pPr>
        <w:pStyle w:val="Heading3"/>
      </w:pPr>
      <w:r>
        <w:t xml:space="preserve">Clasifique el esfuerzo de la mujer</w:t>
      </w:r>
    </w:p>
    <w:p>
      <w:pPr>
        <w:pStyle w:val="Normal"/>
      </w:pPr>
      <w:r>
        <w:t xml:space="preserve">La lámina 7 lo pone entre las acumulaciones «más abstractas»: también cambia con el tiempo, pero no se mide como el agua.</w:t>
      </w:r>
    </w:p>
    <w:p>
      <w:pPr>
        <w:pStyle w:val="Normal"/>
      </w:pPr>
      <w:r>
        <w:t xml:space="preserve">Distractor sin fila correspondiente: Variable auxiliar: un cálculo intermedio.</w:t>
      </w:r>
    </w:p>
    <w:p>
      <w:pPr>
        <w:pStyle w:val="Normal"/>
      </w:pPr>
      <w:r>
        <w:t xml:space="preserve">Distractor sin fila correspondiente: Nube: una fuente o un sumidero fuera del sistema.</w:t>
      </w:r>
    </w:p>
    <w:p>
      <w:pPr>
        <w:pStyle w:val="Normal"/>
      </w:pPr>
      <w:r>
        <w:t xml:space="preserve">Criterio de resolución: La lámina 7 pide considerar el agua como la acumulación y enumera lo que cambia su nivel: el flujo de entrada de la manguera, el calor del sol que resulta en la evaporación, las gotas que salpican por el costado y las aves que beben. La manguera llena el baño; el sol, las salpicaduras y las aves lo vacían, como el grifo y el drenaje de la bañera de la lámina 6. La misma lámina contrapone el agua, una acumulación concreta, al esfuerzo de la mujer, que es abstracto. Sobran la variable auxiliar y la nube: el escenario no las usa.</w:t>
      </w:r>
    </w:p>
    <w:p>
      <w:pPr>
        <w:pStyle w:val="Normal"/>
      </w:pPr>
      <w:r>
        <w:t xml:space="preserve">Defensa: La lámina 7 enumera la manguera, la evaporación, las salpicaduras y las aves como los factores que cambian el nivel del agua, y contrapone el agua, acumulación concreta, al esfuerzo de la mujer, acumulación abstracta. La lámina 6 da la regla: la entrada aumenta el nivel y la salida lo disminuye.</w:t>
      </w:r>
    </w:p>
    <w:p>
      <w:pPr>
        <w:pStyle w:val="Fuente"/>
      </w:pPr>
      <w:r>
        <w:t xml:space="preserve">Presentación 4a (C-3), láminas 6 y 7</w:t>
      </w:r>
    </w:p>
    <w:p>
      <w:pPr>
        <w:pStyle w:val="Heading3"/>
      </w:pPr>
      <w:bookmarkStart w:name="b_solucion_p3c_21_escuela_que_p_9f9f062b" w:id="6701"/>
      <w:r>
        <w:t xml:space="preserve">Solución S3-22</w:t>
      </w:r>
      <w:bookmarkEnd w:id="6701"/>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a) El número de estudiantes matriculados es un nivel (stock) tangible, fácil de contar</w:t>
            </w:r>
          </w:p>
          <w:p>
            <w:pPr>
              <w:pStyle w:val="Recuadro"/>
            </w:pPr>
            <w:r>
              <w:t xml:space="preserve">c) Muchos estudiantes eligen irse porque una escuela competitiva cercana ofrece clases más pequeñas</w:t>
            </w:r>
          </w:p>
        </w:tc>
      </w:tr>
    </w:tbl>
    <w:p>
      <w:pPr>
        <w:pStyle w:val="Heading3"/>
      </w:pPr>
      <w:r>
        <w:t xml:space="preserve">Identifique el nivel y sus flujos</w:t>
      </w:r>
    </w:p>
    <w:p>
      <w:pPr>
        <w:pStyle w:val="Normal"/>
      </w:pPr>
      <w:r>
        <w:t xml:space="preserve">La matrícula es el nivel; los estudiantes que se inscriben, la entrada; los que se van, la salida. El número de estudiantes de un instante se cuenta: es un nivel tangible.</w:t>
      </w:r>
    </w:p>
    <w:p>
      <w:pPr>
        <w:pStyle w:val="Heading3"/>
      </w:pPr>
      <w:r>
        <w:t xml:space="preserve">Ubique las acciones del director</w:t>
      </w:r>
    </w:p>
    <w:p>
      <w:pPr>
        <w:pStyle w:val="Normal"/>
      </w:pPr>
      <w:r>
        <w:t xml:space="preserve">Los recorridos, los eventos de reclutamiento y la publicidad atraen inscripciones: actúan sobre la entrada, no sobre la salida.</w:t>
      </w:r>
    </w:p>
    <w:p>
      <w:pPr>
        <w:pStyle w:val="Fuente"/>
      </w:pPr>
      <w:r>
        <w:t xml:space="preserve">Opciones descartadas: e).</w:t>
      </w:r>
    </w:p>
    <w:p>
      <w:pPr>
        <w:pStyle w:val="Heading3"/>
      </w:pPr>
      <w:r>
        <w:t xml:space="preserve">Compare la entrada con la salida</w:t>
      </w:r>
    </w:p>
    <w:p>
      <w:pPr>
        <w:pStyle w:val="Normal"/>
      </w:pPr>
      <w:r>
        <w:t xml:space="preserve">Que la entrada crezca no basta: si la salida es mayor, el nivel baja. Y la lámina dice por qué la salida es grande: algunos se mudan, pero «muchos más» se van a la escuela competitiva.</w:t>
      </w:r>
    </w:p>
    <w:p>
      <w:pPr>
        <w:pStyle w:val="Fuente"/>
      </w:pPr>
      <w:r>
        <w:t xml:space="preserve">Opciones descartadas: b), d).</w:t>
      </w:r>
    </w:p>
    <w:p>
      <w:pPr>
        <w:pStyle w:val="Normal"/>
      </w:pPr>
      <w:r>
        <w:t xml:space="preserve">a) El número de estudiantes matriculados es un nivel (stock) tangible, fácil de contar — Correcta: la lámina 8 lo dice así: «El número de estudiantes matriculados en una escuela es un nivel (stock) tangible. Es fácil contar».</w:t>
      </w:r>
    </w:p>
    <w:p>
      <w:pPr>
        <w:pStyle w:val="Normal"/>
      </w:pPr>
      <w:r>
        <w:t xml:space="preserve">b) Mientras el flujo de entrada aumente, la matrícula tiene que aumentar — El nivel sube sólo si la entrada supera a la salida. Aquí las inscripciones crecen, pero se van más estudiantes de los que entran, y la matrícula baja.</w:t>
      </w:r>
    </w:p>
    <w:p>
      <w:pPr>
        <w:pStyle w:val="Normal"/>
      </w:pPr>
      <w:r>
        <w:t xml:space="preserve">c) Muchos estudiantes eligen irse porque una escuela competitiva cercana ofrece clases más pequeñas — Correcta: la lámina 8 explica que algunos se van por circunstancias inevitables, «pero muchos más eligen irse porque una escuela competitiva cercana ofrece clases más pequeñas».</w:t>
      </w:r>
    </w:p>
    <w:p>
      <w:pPr>
        <w:pStyle w:val="Normal"/>
      </w:pPr>
      <w:r>
        <w:t xml:space="preserve">d) La causa principal de las salidas son las mudanzas familiares y otras circunstancias inevitables — La lámina 8 dice lo contrario: las mudanzas explican sólo a «algunos estudiantes»; «muchos más» se van a la escuela competitiva.</w:t>
      </w:r>
    </w:p>
    <w:p>
      <w:pPr>
        <w:pStyle w:val="Normal"/>
      </w:pPr>
      <w:r>
        <w:t xml:space="preserve">e) Los recorridos y los eventos de reclutamiento forman el flujo de salida de la matrícula — Son las acciones del director para atraer estudiantes: alimentan el flujo de entrada, el de los que se inscriben. El de salida es el de los estudiantes que se van.</w:t>
      </w:r>
    </w:p>
    <w:p>
      <w:pPr>
        <w:pStyle w:val="Normal"/>
      </w:pPr>
      <w:r>
        <w:t xml:space="preserve">Criterio de resolución: La matrícula es el nivel; las inscripciones, su flujo de entrada, y los estudiantes que se van, su flujo de salida. El director se ocupa sólo de la entrada —recorridos, eventos de reclutamiento, publicidad— y la presentación concluye que prestar «demasiada atención al flujo de entrada (estudiantes que se inscriben) sin que se preste la misma atención al flujo de salida (estudiantes que se van) da como resultado una acumulación o nivel (stock) decreciente». La salida es mayor porque muchos estudiantes eligen la escuela competitiva de clases más pequeñas.</w:t>
      </w:r>
    </w:p>
    <w:p>
      <w:pPr>
        <w:pStyle w:val="Normal"/>
      </w:pPr>
      <w:r>
        <w:t xml:space="preserve">Defensa: Las dos opciones correctas son frases de la lámina 8: la matrícula es «un nivel (stock) tangible» y «muchos más eligen irse porque una escuela competitiva cercana ofrece clases más pequeñas». La lección de la lámina es que atender sólo el flujo de entrada deja un nivel decreciente.</w:t>
      </w:r>
    </w:p>
    <w:p>
      <w:pPr>
        <w:pStyle w:val="Fuente"/>
      </w:pPr>
      <w:r>
        <w:t xml:space="preserve">Presentación 4a (C-3), lámina 8</w:t>
      </w:r>
    </w:p>
    <w:p>
      <w:pPr>
        <w:pStyle w:val="Heading3"/>
      </w:pPr>
      <w:bookmarkStart w:name="b_solucion_p3c_22_confianza_como_nivel" w:id="6702"/>
      <w:r>
        <w:t xml:space="preserve">Solución S3-23</w:t>
      </w:r>
      <w:bookmarkEnd w:id="6702"/>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b) Falso</w:t>
            </w:r>
          </w:p>
        </w:tc>
      </w:tr>
    </w:tbl>
    <w:p>
      <w:pPr>
        <w:pStyle w:val="Heading3"/>
      </w:pPr>
      <w:r>
        <w:t xml:space="preserve">Lea cómo la lámina 8 trata la confianza</w:t>
      </w:r>
    </w:p>
    <w:p>
      <w:pPr>
        <w:pStyle w:val="Normal"/>
      </w:pPr>
      <w:r>
        <w:t xml:space="preserve">La llama «un nivel (stock) clave en un sistema» y le asigna factores que la aumentan y factores que la disminuyen: entradas y salidas.</w:t>
      </w:r>
    </w:p>
    <w:p>
      <w:pPr>
        <w:pStyle w:val="Fuente"/>
      </w:pPr>
      <w:r>
        <w:t xml:space="preserve">Opciones descartadas: a).</w:t>
      </w:r>
    </w:p>
    <w:p>
      <w:pPr>
        <w:pStyle w:val="Heading3"/>
      </w:pPr>
      <w:r>
        <w:t xml:space="preserve">Recuerde la primera pregunta del hábito 12</w:t>
      </w:r>
    </w:p>
    <w:p>
      <w:pPr>
        <w:pStyle w:val="Normal"/>
      </w:pPr>
      <w:r>
        <w:t xml:space="preserve">La tarjeta pregunta «¿Qué elementos en un sistema puedo ver, sentir, contar o medir como cantidades que cambian a través del tiempo, p.ej. el nivel de felicidad?». Lo que se siente también puede ser una acumulación.</w:t>
      </w:r>
    </w:p>
    <w:p>
      <w:pPr>
        <w:pStyle w:val="Normal"/>
      </w:pPr>
      <w:r>
        <w:t xml:space="preserve">a) Verdadero — Contradice la lámina 8, que propone: «Investiguemos más a fondo la confianza como un nivel (stock) clave en un sistema».</w:t>
      </w:r>
    </w:p>
    <w:p>
      <w:pPr>
        <w:pStyle w:val="Normal"/>
      </w:pPr>
      <w:r>
        <w:t xml:space="preserve">b) Falso — Correcta: la lámina 8 admite acumulaciones «menos tangibles, como la amabilidad, el respeto o la confianza», y explica que la confianza crece o decrece según dominen los factores que la generan o los que la disminuyen.</w:t>
      </w:r>
    </w:p>
    <w:p>
      <w:pPr>
        <w:pStyle w:val="Normal"/>
      </w:pPr>
      <w:r>
        <w:t xml:space="preserve">Criterio de resolución: La lámina 8 contrapone dos niveles: la matrícula de una escuela, tangible y fácil de contar, y la confianza, menos tangible pero igualmente una acumulación. La trata como un nivel con sus flujos: «Si los factores que contribuyen a la confianza son más dominantes que aquellos que disminuyen la confianza, la confianza crecerá con el tiempo. Sin embargo, lo contrario también es cierto». Que no se cuente no le quita el carácter de nivel: la lámina 7 ya había dicho que las acumulaciones abstractas son difíciles de cuantificar, pero que se puede observar o sentir su cambio.</w:t>
      </w:r>
    </w:p>
    <w:p>
      <w:pPr>
        <w:pStyle w:val="Normal"/>
      </w:pPr>
      <w:r>
        <w:t xml:space="preserve">Defensa: La lámina 8 dice textualmente que las acumulaciones pueden ser «menos tangibles, como la amabilidad, el respeto o la confianza», y propone estudiar la confianza «como un nivel (stock) clave en un sistema». La afirmación es falsa.</w:t>
      </w:r>
    </w:p>
    <w:p>
      <w:pPr>
        <w:pStyle w:val="Fuente"/>
      </w:pPr>
      <w:r>
        <w:t xml:space="preserve">Presentación 4a (C-3), láminas 5, 7 y 8</w:t>
      </w:r>
    </w:p>
    <w:p>
      <w:pPr>
        <w:pStyle w:val="Heading3"/>
      </w:pPr>
      <w:bookmarkStart w:name="b_solucion_p3c_23_preguntas_del_9afd9711" w:id="6703"/>
      <w:r>
        <w:t xml:space="preserve">Solución S3-24</w:t>
      </w:r>
      <w:bookmarkEnd w:id="6703"/>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a) ¿Qué tan rápido (o lento) aumentan o disminuyen estas acumulaciones?</w:t>
            </w:r>
          </w:p>
          <w:p>
            <w:pPr>
              <w:pStyle w:val="Recuadro"/>
            </w:pPr>
            <w:r>
              <w:t xml:space="preserve">d) ¿Qué pasaría si una acumulación alcanza un punto de inflexión?</w:t>
            </w:r>
          </w:p>
        </w:tc>
      </w:tr>
    </w:tbl>
    <w:p>
      <w:pPr>
        <w:pStyle w:val="Heading3"/>
      </w:pPr>
      <w:r>
        <w:t xml:space="preserve">Busque la palabra acumulación</w:t>
      </w:r>
    </w:p>
    <w:p>
      <w:pPr>
        <w:pStyle w:val="Normal"/>
      </w:pPr>
      <w:r>
        <w:t xml:space="preserve">Las cuatro preguntas del hábito 12 hablan de acumulaciones o de cantidades que cambian a través del tiempo: es el vocabulario de los niveles y los flujos.</w:t>
      </w:r>
    </w:p>
    <w:p>
      <w:pPr>
        <w:pStyle w:val="Heading3"/>
      </w:pPr>
      <w:r>
        <w:t xml:space="preserve">Reconozca las tarjetas de la toma de decisiones</w:t>
      </w:r>
    </w:p>
    <w:p>
      <w:pPr>
        <w:pStyle w:val="Normal"/>
      </w:pPr>
      <w:r>
        <w:t xml:space="preserve">Pensar cuánto tiempo considerar un asunto es del hábito 8; buscar dónde un cambio pequeño tiene un efecto duradero, del 10; las consecuencias imprevistas, del 11. Las tres tarjetas están en la presentación 4b.</w:t>
      </w:r>
    </w:p>
    <w:p>
      <w:pPr>
        <w:pStyle w:val="Fuente"/>
      </w:pPr>
      <w:r>
        <w:t xml:space="preserve">Opciones descartadas: b), c), e).</w:t>
      </w:r>
    </w:p>
    <w:p>
      <w:pPr>
        <w:pStyle w:val="Normal"/>
      </w:pPr>
      <w:r>
        <w:t xml:space="preserve">a) ¿Qué tan rápido (o lento) aumentan o disminuyen estas acumulaciones? — Correcta: es la segunda de las cuatro preguntas de la tarjeta del hábito 12, en la lámina 5 de la presentación 4a. Pregunta por la tasa de cambio, el flujo.</w:t>
      </w:r>
    </w:p>
    <w:p>
      <w:pPr>
        <w:pStyle w:val="Normal"/>
      </w:pPr>
      <w:r>
        <w:t xml:space="preserve">b) ¿Cuánto tiempo necesitamos para considerar el asunto? — Es de la tarjeta del hábito 8, «Considera un tema completamente y resiste al impulso de llegar a una conclusión rápida» (presentación 4b, lámina 12).</w:t>
      </w:r>
    </w:p>
    <w:p>
      <w:pPr>
        <w:pStyle w:val="Normal"/>
      </w:pPr>
      <w:r>
        <w:t xml:space="preserve">c) ¿En dónde podría un cambio pequeño tener un efecto duradero y deseado? — Es de la tarjeta del hábito 10, el de las acciones de apalancamiento (presentación 4b, lámina 23).</w:t>
      </w:r>
    </w:p>
    <w:p>
      <w:pPr>
        <w:pStyle w:val="Normal"/>
      </w:pPr>
      <w:r>
        <w:t xml:space="preserve">d) ¿Qué pasaría si una acumulación alcanza un punto de inflexión? — Correcta: es la cuarta y última pregunta de la tarjeta del hábito 12, en la lámina 5 de la presentación 4a.</w:t>
      </w:r>
    </w:p>
    <w:p>
      <w:pPr>
        <w:pStyle w:val="Normal"/>
      </w:pPr>
      <w:r>
        <w:t xml:space="preserve">e) ¿Hay consecuencias imprevistas que pudieran llevar a nuevas acciones? — Es de la tarjeta del hábito 11, «Considera las consecuencias a corto plazo, a largo plazo, e inesperadas de las acciones» (presentación 4b, lámina 3).</w:t>
      </w:r>
    </w:p>
    <w:p>
      <w:pPr>
        <w:pStyle w:val="Normal"/>
      </w:pPr>
      <w:r>
        <w:t xml:space="preserve">Criterio de resolución: La presentación 4a abre la simulación con la tarjeta del hábito 12 del póster de la Waters Foundation: «Un Pensador Sistémico ve cantidades de material o información que se han acumulado o disminuido a través del tiempo». Sus cuatro preguntas giran alrededor de la acumulación y su ritmo: qué se puede ver, sentir, contar o medir como cantidad que cambia; qué tan rápido aumenta o disminuye; cómo impacta a otros elementos, y qué pasaría si alcanza un punto de inflexión. Las otras tres opciones son preguntas de los hábitos 8, 10 y 11, que la presentación 4b usa para la toma de decisiones.</w:t>
      </w:r>
    </w:p>
    <w:p>
      <w:pPr>
        <w:pStyle w:val="Normal"/>
      </w:pPr>
      <w:r>
        <w:t xml:space="preserve">Defensa: Las dos preguntas correctas están, literales, en la tarjeta del hábito 12 de la lámina 5 de la presentación 4a; las otras tres son de las tarjetas de los hábitos 8, 10 y 11, en las láminas 12, 23 y 3 de la presentación 4b.</w:t>
      </w:r>
    </w:p>
    <w:p>
      <w:pPr>
        <w:pStyle w:val="Fuente"/>
      </w:pPr>
      <w:r>
        <w:t xml:space="preserve">Presentación 4a (C-3), láminas 5 y 16 · Presentación 4b (C-4), láminas 3, 12 y 23</w:t>
      </w:r>
    </w:p>
    <w:p>
      <w:pPr>
        <w:pStyle w:val="Heading3"/>
      </w:pPr>
      <w:bookmarkStart w:name="b_solucion_p3c_24_iconos_del_di_903f439e" w:id="6704"/>
      <w:r>
        <w:t xml:space="preserve">Solución S3-25</w:t>
      </w:r>
      <w:bookmarkEnd w:id="6704"/>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b) Al nivel, un rectángulo; al flujo, un icono que recuerda una válvula, que en la literatura se dibuja de dos formas; a las auxiliares, círculos</w:t>
            </w:r>
          </w:p>
        </w:tc>
      </w:tr>
    </w:tbl>
    <w:p>
      <w:pPr>
        <w:pStyle w:val="Heading3"/>
      </w:pPr>
      <w:r>
        <w:t xml:space="preserve">Asocie el rectángulo con el nivel</w:t>
      </w:r>
    </w:p>
    <w:p>
      <w:pPr>
        <w:pStyle w:val="Normal"/>
      </w:pPr>
      <w:r>
        <w:t xml:space="preserve">El nivel es el tanque del símil hidrodinámico. Lo dicen la lámina 9 y L-16, pág. 6: «Los niveles se representan por medio de un rectángulo».</w:t>
      </w:r>
    </w:p>
    <w:p>
      <w:pPr>
        <w:pStyle w:val="Fuente"/>
      </w:pPr>
      <w:r>
        <w:t xml:space="preserve">Opciones descartadas: a), c).</w:t>
      </w:r>
    </w:p>
    <w:p>
      <w:pPr>
        <w:pStyle w:val="Heading3"/>
      </w:pPr>
      <w:r>
        <w:t xml:space="preserve">Identifique el icono del flujo</w:t>
      </w:r>
    </w:p>
    <w:p>
      <w:pPr>
        <w:pStyle w:val="Normal"/>
      </w:pPr>
      <w:r>
        <w:t xml:space="preserve">El flujo es la llave del tanque: una válvula sobre la tubería, que la lámina 9 dibuja de dos formas. La nube es otra cosa: la fuente o el sumidero del extremo.</w:t>
      </w:r>
    </w:p>
    <w:p>
      <w:pPr>
        <w:pStyle w:val="Fuente"/>
      </w:pPr>
      <w:r>
        <w:t xml:space="preserve">Opciones descartadas: d), e).</w:t>
      </w:r>
    </w:p>
    <w:p>
      <w:pPr>
        <w:pStyle w:val="Normal"/>
      </w:pPr>
      <w:r>
        <w:t xml:space="preserve">a) Al nivel, un círculo; al flujo, una flecha simple; a las auxiliares, rectángulos — Invierte los iconos: el círculo es de las auxiliares y el rectángulo, del nivel. La flecha simple no es el icono del flujo.</w:t>
      </w:r>
    </w:p>
    <w:p>
      <w:pPr>
        <w:pStyle w:val="Normal"/>
      </w:pPr>
      <w:r>
        <w:t xml:space="preserve">b) Al nivel, un rectángulo; al flujo, un icono que recuerda una válvula, que en la literatura se dibuja de dos formas; a las auxiliares, círculos — Correcta: en la lámina 9, «a una variable de nivel se asocia un rectángulo y a una de flujo un icono que recuerda una válvula»; en la literatura «se encuentran las dos formas de representar las variables de flujo», y «Las variables auxiliares se representan mediante círculos».</w:t>
      </w:r>
    </w:p>
    <w:p>
      <w:pPr>
        <w:pStyle w:val="Normal"/>
      </w:pPr>
      <w:r>
        <w:t xml:space="preserve">c) Al nivel, una válvula; al flujo, un rectángulo; a las auxiliares, nubes — La válvula es del flujo y el rectángulo del nivel; la nube no representa una variable auxiliar sino una fuente o un sumidero.</w:t>
      </w:r>
    </w:p>
    <w:p>
      <w:pPr>
        <w:pStyle w:val="Normal"/>
      </w:pPr>
      <w:r>
        <w:t xml:space="preserve">d) Al nivel, un rectángulo; al flujo, una nube; a las auxiliares, círculos — La nube marca una fuente o un sumidero en el extremo de un flujo; el flujo es la válvula.</w:t>
      </w:r>
    </w:p>
    <w:p>
      <w:pPr>
        <w:pStyle w:val="Normal"/>
      </w:pPr>
      <w:r>
        <w:t xml:space="preserve">e) Al nivel, un rectángulo; al flujo, una válvula que se dibuja de una sola forma; a las auxiliares, flechas — La lámina 9 muestra dos formas de dibujar la válvula, no una, y las auxiliares son círculos.</w:t>
      </w:r>
    </w:p>
    <w:p>
      <w:pPr>
        <w:pStyle w:val="Normal"/>
      </w:pPr>
      <w:r>
        <w:t xml:space="preserve">Criterio de resolución: La lámina 9 de la presentación 4a, tomada de Aracil, asocia a cada tipo de variable su icono: el rectángulo al nivel; al flujo, un icono que recuerda una válvula, «cuya apertura se regula precisamente mediante el flujo que representa esta variable», con dos formas de dibujo en la literatura —una con un círculo colgado de la tubería y otra con una válvula en forma de reloj de arena—, y el círculo a las auxiliares. Con esos iconos, el diagrama que se obtiene de un diagrama de influencias «recibe la denominación de diagrama de Forrester o diagrama de flujos-niveles». La nube, en el extremo de una tubería, no es una variable del modelo.</w:t>
      </w:r>
    </w:p>
    <w:p>
      <w:pPr>
        <w:pStyle w:val="Normal"/>
      </w:pPr>
      <w:r>
        <w:t xml:space="preserve">Defensa: La lámina 9 de la presentación 4a enumera los tres iconos —rectángulo para el nivel, válvula para el flujo, en sus dos formas, y círculo para las auxiliares—, y sólo la opción b los asigna así.</w:t>
      </w:r>
    </w:p>
    <w:p>
      <w:pPr>
        <w:pStyle w:val="Fuente"/>
      </w:pPr>
      <w:r>
        <w:t xml:space="preserve">Presentación 4a (C-3), lámina 9 · lectura L-16, págs. 6 y 7</w:t>
      </w:r>
    </w:p>
    <w:p>
      <w:pPr>
        <w:pStyle w:val="Heading3"/>
      </w:pPr>
      <w:bookmarkStart w:name="b_solucion_p3c_25_recomendacion_295bbbd2" w:id="6705"/>
      <w:r>
        <w:t xml:space="preserve">Solución S3-26</w:t>
      </w:r>
      <w:bookmarkEnd w:id="6705"/>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a) Los niveles son generalmente una cantidad, mientras que los flujos se miden en las mismas unidades del nivel por unidad de tiempo</w:t>
            </w:r>
          </w:p>
          <w:p>
            <w:pPr>
              <w:pStyle w:val="Recuadro"/>
            </w:pPr>
            <w:r>
              <w:t xml:space="preserve">b) Si se congela el sistema como en una foto, los niveles son las cosas que se pueden contar</w:t>
            </w:r>
          </w:p>
          <w:p>
            <w:pPr>
              <w:pStyle w:val="Recuadro"/>
            </w:pPr>
            <w:r>
              <w:t xml:space="preserve">d) Se debe respetar la conservación de la materia: lo que está en un nivel permanece ahí hasta que sale por un flujo</w:t>
            </w:r>
          </w:p>
        </w:tc>
      </w:tr>
    </w:tbl>
    <w:p>
      <w:pPr>
        <w:pStyle w:val="Heading3"/>
      </w:pPr>
      <w:r>
        <w:t xml:space="preserve">Busque las recomendaciones de la lección 18</w:t>
      </w:r>
    </w:p>
    <w:p>
      <w:pPr>
        <w:pStyle w:val="Normal"/>
      </w:pPr>
      <w:r>
        <w:t xml:space="preserve">Bajo «Algunas recomendaciones para reconocer los niveles y los flujos», L-16 da las unidades, la foto y la conservación de la materia (págs. 10 y 11).</w:t>
      </w:r>
    </w:p>
    <w:p>
      <w:pPr>
        <w:pStyle w:val="Heading3"/>
      </w:pPr>
      <w:r>
        <w:t xml:space="preserve">Aplique la regla de que sólo los flujos tocan el nivel</w:t>
      </w:r>
    </w:p>
    <w:p>
      <w:pPr>
        <w:pStyle w:val="Normal"/>
      </w:pPr>
      <w:r>
        <w:t xml:space="preserve">«Sólo los flujos deben estar relacionados directamente con los niveles, es decir, que un nivel únicamente cambia por flujos de entrada y salida» (pág. 11).</w:t>
      </w:r>
    </w:p>
    <w:p>
      <w:pPr>
        <w:pStyle w:val="Fuente"/>
      </w:pPr>
      <w:r>
        <w:t xml:space="preserve">Opciones descartadas: c).</w:t>
      </w:r>
    </w:p>
    <w:p>
      <w:pPr>
        <w:pStyle w:val="Heading3"/>
      </w:pPr>
      <w:r>
        <w:t xml:space="preserve">Recuerde cómo se mide un flujo</w:t>
      </w:r>
    </w:p>
    <w:p>
      <w:pPr>
        <w:pStyle w:val="Normal"/>
      </w:pPr>
      <w:r>
        <w:t xml:space="preserve">L-16, pág. 27: «nadie podrá medir el valor instantáneo de ningún flujo, pues siempre el flujo se dará entre dos instantes de tiempo». Por eso se mide por los efectos que produce en los niveles.</w:t>
      </w:r>
    </w:p>
    <w:p>
      <w:pPr>
        <w:pStyle w:val="Fuente"/>
      </w:pPr>
      <w:r>
        <w:t xml:space="preserve">Opciones descartadas: e).</w:t>
      </w:r>
    </w:p>
    <w:p>
      <w:pPr>
        <w:pStyle w:val="Normal"/>
      </w:pPr>
      <w:r>
        <w:t xml:space="preserve">a) Los niveles son generalmente una cantidad, mientras que los flujos se miden en las mismas unidades del nivel por unidad de tiempo — Correcta: es la primera recomendación de la pág. 10: «los niveles son generalmente una cantidad mientras que los flujos son medidos en las mismas unidades del nivel por unidad de tiempo», como personas y personas/año.</w:t>
      </w:r>
    </w:p>
    <w:p>
      <w:pPr>
        <w:pStyle w:val="Normal"/>
      </w:pPr>
      <w:r>
        <w:t xml:space="preserve">b) Si se congela el sistema como en una foto, los niveles son las cosas que se pueden contar — Correcta: es la metáfora de la pág. 10: «Imagine usted lector que se congela el sistema como en una foto; los niveles serían las cosas que se pueden contar».</w:t>
      </w:r>
    </w:p>
    <w:p>
      <w:pPr>
        <w:pStyle w:val="Normal"/>
      </w:pPr>
      <w:r>
        <w:t xml:space="preserve">c) Una variable auxiliar conectada a un nivel lo incrementa o lo disminuye directamente durante la simulación — L-16 lo niega: «Solamente las variables de nivel pueden ser incrementadas o disminuidas por variables de flujo». Una auxiliar conectada a un nivel sólo da su condición inicial (págs. 25 y 26).</w:t>
      </w:r>
    </w:p>
    <w:p>
      <w:pPr>
        <w:pStyle w:val="Normal"/>
      </w:pPr>
      <w:r>
        <w:t xml:space="preserve">d) Se debe respetar la conservación de la materia: lo que está en un nivel permanece ahí hasta que sale por un flujo — Correcta: es la recomendación de la pág. 11, «se debe respetar la ley de la conservación de la materia»: las cuentas por cobrar permanecen en el nivel «hasta que salen por pagos o por defaults».</w:t>
      </w:r>
    </w:p>
    <w:p>
      <w:pPr>
        <w:pStyle w:val="Normal"/>
      </w:pPr>
      <w:r>
        <w:t xml:space="preserve">e) Los flujos son medibles en sí mismos en cualquier instante, igual que los niveles — La pág. 6 dice lo contrario: los flujos son variables que «no son medibles en sí, sino que se miden por los efectos que se producen en las variables de nivel».</w:t>
      </w:r>
    </w:p>
    <w:p>
      <w:pPr>
        <w:pStyle w:val="Normal"/>
      </w:pPr>
      <w:r>
        <w:t xml:space="preserve">Criterio de resolución: En la lección 18, L-16 reúne recomendaciones para distinguir niveles y flujos: el análisis de unidades (el nivel es una cantidad; el flujo, esa cantidad por unidad de tiempo), la prueba de la foto (congelado el sistema, los niveles son lo que se puede contar) y la conservación de la materia (lo que está en un nivel permanece hasta que sale). Añade que sólo los flujos deben estar relacionados directamente con los niveles, de modo que una auxiliar no puede cambiar un nivel durante la simulación, y en la pág. 6 aclara que los flujos no se miden en sí, sino por sus efectos sobre los niveles.</w:t>
      </w:r>
    </w:p>
    <w:p>
      <w:pPr>
        <w:pStyle w:val="Normal"/>
      </w:pPr>
      <w:r>
        <w:t xml:space="preserve">Defensa: Las tres opciones correctas parafrasean las recomendaciones de L-16, págs. 10 y 11: unidades, foto y conservación de la materia. Las otras dos contradicen la pág. 11 y la pág. 6 de la misma lectura.</w:t>
      </w:r>
    </w:p>
    <w:p>
      <w:pPr>
        <w:pStyle w:val="Fuente"/>
      </w:pPr>
      <w:r>
        <w:t xml:space="preserve">lectura L-16, págs. 6, 10, 11, 25, 26 y 27</w:t>
      </w:r>
    </w:p>
    <w:p>
      <w:pPr>
        <w:pStyle w:val="Heading3"/>
      </w:pPr>
      <w:bookmarkStart w:name="b_solucion_p3c_26_el_nivel_como_integral" w:id="6706"/>
      <w:r>
        <w:t xml:space="preserve">Solución S3-27</w:t>
      </w:r>
      <w:bookmarkEnd w:id="6706"/>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c) CAPITAL(t) = ∫</w:t>
            </w:r>
            <w:r>
              <w:rPr>
                <w:vertAlign w:val="subscript"/>
              </w:rPr>
              <w:t xml:space="preserve">0</w:t>
            </w:r>
            <w:r>
              <w:rPr>
                <w:vertAlign w:val="superscript"/>
              </w:rPr>
              <w:t xml:space="preserve">t</w:t>
            </w:r>
            <w:r>
              <w:t xml:space="preserve"> (depósitos(τ) − retiros(τ)) dτ + C</w:t>
            </w:r>
          </w:p>
        </w:tc>
      </w:tr>
    </w:tbl>
    <w:p>
      <w:pPr>
        <w:pStyle w:val="Heading3"/>
      </w:pPr>
      <w:r>
        <w:t xml:space="preserve">Escriba la ecuación de nivel</w:t>
      </w:r>
    </w:p>
    <w:p>
      <w:pPr>
        <w:pStyle w:val="Normal"/>
      </w:pPr>
      <w:r>
        <w:t xml:space="preserve">dCAPITAL(t)/dt = depósitos(t) − retiros(t): el flujo de entrada suma y el de salida resta. L-16, pág. 9, llama ecuación de nivel a esta relación entre un nivel y sus flujos.</w:t>
      </w:r>
    </w:p>
    <w:p>
      <w:pPr>
        <w:pStyle w:val="Fuente"/>
      </w:pPr>
      <w:r>
        <w:t xml:space="preserve">Opciones descartadas: b).</w:t>
      </w:r>
    </w:p>
    <w:p>
      <w:pPr>
        <w:pStyle w:val="Heading3"/>
      </w:pPr>
      <w:r>
        <w:t xml:space="preserve">Separe el nivel de su tasa de cambio</w:t>
      </w:r>
    </w:p>
    <w:p>
      <w:pPr>
        <w:pStyle w:val="Normal"/>
      </w:pPr>
      <w:r>
        <w:t xml:space="preserve">depósitos − retiros es lo que el capital cambia por unidad de tiempo. Igualarlo al capital, derivarlo otra vez o multiplicarlo por una constante no da el nivel.</w:t>
      </w:r>
    </w:p>
    <w:p>
      <w:pPr>
        <w:pStyle w:val="Fuente"/>
      </w:pPr>
      <w:r>
        <w:t xml:space="preserve">Opciones descartadas: a), d), e).</w:t>
      </w:r>
    </w:p>
    <w:p>
      <w:pPr>
        <w:pStyle w:val="Heading3"/>
      </w:pPr>
      <w:r>
        <w:t xml:space="preserve">Integre de 0 a t</w:t>
      </w:r>
    </w:p>
    <w:p>
      <w:pPr>
        <w:pStyle w:val="Normal"/>
      </w:pPr>
      <w:r>
        <w:t xml:space="preserve">Despejando dCAPITAL e integrando se obtiene la última línea de la lámina: el nivel es la integral de sus flujos más una constante.</w:t>
      </w:r>
    </w:p>
    <w:p>
      <w:pPr>
        <w:pStyle w:val="Normal"/>
      </w:pPr>
      <w:r>
        <w:t xml:space="preserve">a) CAPITAL(t) = depósitos(t) − retiros(t) — Es la tasa de cambio del capital, no el capital: la lámina 26 escribe dCAPITAL(t)/dt = depósitos(t) − retiros(t).</w:t>
      </w:r>
    </w:p>
    <w:p>
      <w:pPr>
        <w:pStyle w:val="Normal"/>
      </w:pPr>
      <w:r>
        <w:t xml:space="preserve">b) CAPITAL(t) = ∫</w:t>
      </w:r>
      <w:r>
        <w:rPr>
          <w:vertAlign w:val="subscript"/>
        </w:rPr>
        <w:t xml:space="preserve">0</w:t>
      </w:r>
      <w:r>
        <w:rPr>
          <w:vertAlign w:val="superscript"/>
        </w:rPr>
        <w:t xml:space="preserve">t</w:t>
      </w:r>
      <w:r>
        <w:t xml:space="preserve"> (depósitos(τ) + retiros(τ)) dτ + C — Suma los retiros, que son un flujo de salida: lo que sale resta al nivel.</w:t>
      </w:r>
    </w:p>
    <w:p>
      <w:pPr>
        <w:pStyle w:val="Normal"/>
      </w:pPr>
      <w:r>
        <w:t xml:space="preserve">c) CAPITAL(t) = ∫</w:t>
      </w:r>
      <w:r>
        <w:rPr>
          <w:vertAlign w:val="subscript"/>
        </w:rPr>
        <w:t xml:space="preserve">0</w:t>
      </w:r>
      <w:r>
        <w:rPr>
          <w:vertAlign w:val="superscript"/>
        </w:rPr>
        <w:t xml:space="preserve">t</w:t>
      </w:r>
      <w:r>
        <w:t xml:space="preserve"> (depósitos(τ) − retiros(τ)) dτ + C — Correcta: es la última línea de la lámina 26. El nivel acumula, desde 0 hasta t, la diferencia entre lo que entra y lo que sale, más la constante C, que es el capital en t = 0.</w:t>
      </w:r>
    </w:p>
    <w:p>
      <w:pPr>
        <w:pStyle w:val="Normal"/>
      </w:pPr>
      <w:r>
        <w:t xml:space="preserve">d) CAPITAL(t) = d(depósitos(t) − retiros(t))/dt — Deriva el flujo neto, que ya es una tasa; el nivel se obtiene al integrarlo, no al derivarlo.</w:t>
      </w:r>
    </w:p>
    <w:p>
      <w:pPr>
        <w:pStyle w:val="Normal"/>
      </w:pPr>
      <w:r>
        <w:t xml:space="preserve">e) CAPITAL(t) = C · (depósitos(t) − retiros(t)) — Multiplicar el flujo neto del instante por una constante no acumula nada: el capital depende de toda la historia de los flujos, no sólo de su valor en t.</w:t>
      </w:r>
    </w:p>
    <w:p>
      <w:pPr>
        <w:pStyle w:val="Normal"/>
      </w:pPr>
      <w:r>
        <w:t xml:space="preserve">Criterio de resolución: La lámina 26 escribe el nivel en tres pasos: dCAPITAL(t)/dt = depósitos(t) − retiros(t); dCAPITAL(t) = (depósitos(t) − retiros(t)) dt, y CAPITAL(t) = ∫</w:t>
      </w:r>
      <w:r>
        <w:rPr>
          <w:vertAlign w:val="subscript"/>
        </w:rPr>
        <w:t xml:space="preserve">0</w:t>
      </w:r>
      <w:r>
        <w:rPr>
          <w:vertAlign w:val="superscript"/>
        </w:rPr>
        <w:t xml:space="preserve">t</w:t>
      </w:r>
      <w:r>
        <w:t xml:space="preserve"> (depósitos(τ) − retiros(τ)) dτ + C. La derivada del nivel es la diferencia de sus flujos, y el nivel es su integral: guarda la memoria de todo lo que entró y salió. Por eso, si en un tramo los depósitos igualan a los retiros, el capital no se vacía: se queda con el valor que traía. Y si el capital se mide en quetzales, los flujos se miden en quetzales por unidad de tiempo.</w:t>
      </w:r>
    </w:p>
    <w:p>
      <w:pPr>
        <w:pStyle w:val="Normal"/>
      </w:pPr>
      <w:r>
        <w:t xml:space="preserve">Defensa: La opción c es la última ecuación de la lámina 26 de la presentación 4a. La a es la primera ecuación de la misma lámina con el lado izquierdo cambiado: confunde el nivel con su tasa de cambio.</w:t>
      </w:r>
    </w:p>
    <w:p>
      <w:pPr>
        <w:pStyle w:val="Fuente"/>
      </w:pPr>
      <w:r>
        <w:t xml:space="preserve">Presentación 4a (C-3), lámina 26 · lectura L-16, págs. 9 y 10</w:t>
      </w:r>
    </w:p>
    <w:p>
      <w:pPr>
        <w:pStyle w:val="Heading3"/>
      </w:pPr>
      <w:bookmarkStart w:name="b_solucion_p3c_27_nivel_sin_flujos" w:id="6707"/>
      <w:r>
        <w:t xml:space="preserve">Solución S3-28</w:t>
      </w:r>
      <w:bookmarkEnd w:id="6707"/>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a) Verdadero</w:t>
            </w:r>
          </w:p>
        </w:tc>
      </w:tr>
    </w:tbl>
    <w:p>
      <w:pPr>
        <w:pStyle w:val="Heading3"/>
      </w:pPr>
      <w:r>
        <w:t xml:space="preserve">Recuerde qué cambia un nivel</w:t>
      </w:r>
    </w:p>
    <w:p>
      <w:pPr>
        <w:pStyle w:val="Normal"/>
      </w:pPr>
      <w:r>
        <w:t xml:space="preserve">«Un nivel únicamente cambia por flujos de entrada y salida» (pág. 11): ni las auxiliares ni las constantes lo mueven durante la simulación.</w:t>
      </w:r>
    </w:p>
    <w:p>
      <w:pPr>
        <w:pStyle w:val="Heading3"/>
      </w:pPr>
      <w:r>
        <w:t xml:space="preserve">Quite todos los flujos</w:t>
      </w:r>
    </w:p>
    <w:p>
      <w:pPr>
        <w:pStyle w:val="Normal"/>
      </w:pPr>
      <w:r>
        <w:t xml:space="preserve">Sin entradas ni salidas, la derivada del nivel es cero y su valor no se mueve del inicial: la pág. 9 dice que parecerá «más una constante o parámetro».</w:t>
      </w:r>
    </w:p>
    <w:p>
      <w:pPr>
        <w:pStyle w:val="Fuente"/>
      </w:pPr>
      <w:r>
        <w:t xml:space="preserve">Opciones descartadas: b).</w:t>
      </w:r>
    </w:p>
    <w:p>
      <w:pPr>
        <w:pStyle w:val="Normal"/>
      </w:pPr>
      <w:r>
        <w:t xml:space="preserve">a) Verdadero — Correcta: L-16, pág. 9: «siempre debe haber por lo menos un flujo relacionado con un nivel, en caso contrario ese nivel permanecerá invariable, es decir, parecerá más una constante o parámetro».</w:t>
      </w:r>
    </w:p>
    <w:p>
      <w:pPr>
        <w:pStyle w:val="Normal"/>
      </w:pPr>
      <w:r>
        <w:t xml:space="preserve">b) Falso — Sólo sería falso si un nivel pudiera cambiar por otra vía; pero L-16, pág. 11, dice que «un nivel únicamente cambia por flujos de entrada y salida».</w:t>
      </w:r>
    </w:p>
    <w:p>
      <w:pPr>
        <w:pStyle w:val="Normal"/>
      </w:pPr>
      <w:r>
        <w:t xml:space="preserve">Criterio de resolución: Un nivel acumula lo que sus flujos meten y sacan; sin flujos no tiene por dónde cambiar. L-16 lo advierte al construir el diagrama de Forrester: siempre debe haber por lo menos un flujo relacionado con un nivel, porque de lo contrario permanecerá invariable y parecerá más una constante o parámetro. Es el caso extremo de lo que la misma lectura dice de los conejos: si los nacimientos y las muertes son iguales, «el nivel se mantendrá con el mismo valor inicial».</w:t>
      </w:r>
    </w:p>
    <w:p>
      <w:pPr>
        <w:pStyle w:val="Normal"/>
      </w:pPr>
      <w:r>
        <w:t xml:space="preserve">Defensa: La pág. 9 de L-16 lo dice casi con las mismas palabras: sin al menos un flujo, el nivel «permanecerá invariable, es decir, parecerá más una constante o parámetro». La afirmación es verdadera.</w:t>
      </w:r>
    </w:p>
    <w:p>
      <w:pPr>
        <w:pStyle w:val="Fuente"/>
      </w:pPr>
      <w:r>
        <w:t xml:space="preserve">lectura L-16, págs. 9, 11 y 28</w:t>
      </w:r>
    </w:p>
    <w:p>
      <w:pPr>
        <w:pStyle w:val="Heading3"/>
      </w:pPr>
      <w:bookmarkStart w:name="b_solucion_p3c_75_cobertura" w:id="6708"/>
      <w:r>
        <w:t xml:space="preserve">Solución S3-29</w:t>
      </w:r>
      <w:bookmarkEnd w:id="6708"/>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b) 12 unidades/mes</w:t>
            </w:r>
          </w:p>
        </w:tc>
      </w:tr>
    </w:tbl>
    <w:p>
      <w:pPr>
        <w:pStyle w:val="Heading3"/>
      </w:pPr>
      <w:r>
        <w:t xml:space="preserve">Identificar el mecanismo</w:t>
      </w:r>
    </w:p>
    <w:p>
      <w:pPr>
        <w:pStyle w:val="Normal"/>
      </w:pPr>
      <w:r>
        <w:t xml:space="preserve">0.2/mes × 100 unidades × 0.6 = 12 unidades/mes. El multiplicador es adimensional y, al ser menor que uno, reduce la tasa normal.</w:t>
      </w:r>
    </w:p>
    <w:p>
      <w:pPr>
        <w:pStyle w:val="Heading3"/>
      </w:pPr>
      <w:r>
        <w:t xml:space="preserve">Comprobar las alternativas</w:t>
      </w:r>
    </w:p>
    <w:p>
      <w:pPr>
        <w:pStyle w:val="Normal"/>
      </w:pPr>
      <w:r>
        <w:t xml:space="preserve">El factor 0.6 multiplica una tasa; no multiplica directamente el nivel ni elimina la unidad temporal. El factor es multiplicativo: no se suma a la tasa. El resultado es una tasa, por lo que conserva la unidad por mes.</w:t>
      </w:r>
    </w:p>
    <w:p>
      <w:pPr>
        <w:pStyle w:val="Normal"/>
      </w:pPr>
      <w:r>
        <w:t xml:space="preserve">a) 12 unidades — El resultado es una tasa, por lo que conserva la unidad por mes.</w:t>
      </w:r>
    </w:p>
    <w:p>
      <w:pPr>
        <w:pStyle w:val="Normal"/>
      </w:pPr>
      <w:r>
        <w:t xml:space="preserve">b) 12 unidades/mes — 0.2/mes × 100 unidades × 0.6 = 12 unidades/mes. El multiplicador es adimensional y, al ser menor que uno, reduce la tasa normal.</w:t>
      </w:r>
    </w:p>
    <w:p>
      <w:pPr>
        <w:pStyle w:val="Normal"/>
      </w:pPr>
      <w:r>
        <w:t xml:space="preserve">c) 120 unidades — El factor 0.6 multiplica una tasa; no multiplica directamente el nivel ni elimina la unidad temporal.</w:t>
      </w:r>
    </w:p>
    <w:p>
      <w:pPr>
        <w:pStyle w:val="Normal"/>
      </w:pPr>
      <w:r>
        <w:t xml:space="preserve">d) 20.6 unidades/mes — El factor es multiplicativo: no se suma a la tasa.</w:t>
      </w:r>
    </w:p>
    <w:p>
      <w:pPr>
        <w:pStyle w:val="Normal"/>
      </w:pPr>
      <w:r>
        <w:t xml:space="preserve">Criterio de resolución: 0.2/mes × 100 unidades × 0.6 = 12 unidades/mes. El multiplicador es adimensional y, al ser menor que uno, reduce la tasa normal.</w:t>
      </w:r>
    </w:p>
    <w:p>
      <w:pPr>
        <w:pStyle w:val="Normal"/>
      </w:pPr>
      <w:r>
        <w:t xml:space="preserve">Defensa: 0.2/mes × 100 unidades × 0.6 = 12 unidades/mes. El multiplicador es adimensional y, al ser menor que uno, reduce la tasa normal.</w:t>
      </w:r>
    </w:p>
    <w:p>
      <w:pPr>
        <w:pStyle w:val="Fuente"/>
      </w:pPr>
      <w:r>
        <w:t xml:space="preserve">lectura L-15, pp. 44–45; L-16, pp. 13–15</w:t>
      </w:r>
    </w:p>
    <w:p>
      <w:pPr>
        <w:pStyle w:val="Heading3"/>
      </w:pPr>
      <w:bookmarkStart w:name="b_solucion_p3c_76_cobertura" w:id="6709"/>
      <w:r>
        <w:t xml:space="preserve">Solución S3-30</w:t>
      </w:r>
      <w:bookmarkEnd w:id="6709"/>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c) 20 paquetes/día; no implica que cada paquete permanezca exactamente tres días.</w:t>
            </w:r>
          </w:p>
        </w:tc>
      </w:tr>
    </w:tbl>
    <w:p>
      <w:pPr>
        <w:pStyle w:val="Heading3"/>
      </w:pPr>
      <w:r>
        <w:t xml:space="preserve">Identificar el mecanismo</w:t>
      </w:r>
    </w:p>
    <w:p>
      <w:pPr>
        <w:pStyle w:val="Normal"/>
      </w:pPr>
      <w:r>
        <w:t xml:space="preserve">Salida = contenido/tiempo medio = 60/3. El nivel en tránsito conserva material. El tiempo medio no equivale a una demora fija para cada elemento ni al número de etapas.</w:t>
      </w:r>
    </w:p>
    <w:p>
      <w:pPr>
        <w:pStyle w:val="Heading3"/>
      </w:pPr>
      <w:r>
        <w:t xml:space="preserve">Comprobar las alternativas</w:t>
      </w:r>
    </w:p>
    <w:p>
      <w:pPr>
        <w:pStyle w:val="Normal"/>
      </w:pPr>
      <w:r>
        <w:t xml:space="preserve">Una demora de primer orden tiene tiempo medio; no una permanencia fija idéntica para cada elemento. Se divide contenido entre tiempo; multiplicar produciría unidades incorrectas. El tiempo de residencia no es una cantidad por tiempo.</w:t>
      </w:r>
    </w:p>
    <w:p>
      <w:pPr>
        <w:pStyle w:val="Normal"/>
      </w:pPr>
      <w:r>
        <w:t xml:space="preserve">a) 180 paquetes/día. — Se divide contenido entre tiempo; multiplicar produciría unidades incorrectas.</w:t>
      </w:r>
    </w:p>
    <w:p>
      <w:pPr>
        <w:pStyle w:val="Normal"/>
      </w:pPr>
      <w:r>
        <w:t xml:space="preserve">b) 3 paquetes/día, porque el tiempo medio es el flujo. — El tiempo de residencia no es una cantidad por tiempo.</w:t>
      </w:r>
    </w:p>
    <w:p>
      <w:pPr>
        <w:pStyle w:val="Normal"/>
      </w:pPr>
      <w:r>
        <w:t xml:space="preserve">c) 20 paquetes/día; no implica que cada paquete permanezca exactamente tres días. — Salida = contenido/tiempo medio = 60/3. El nivel en tránsito conserva material. El tiempo medio no equivale a una demora fija para cada elemento ni al número de etapas.</w:t>
      </w:r>
    </w:p>
    <w:p>
      <w:pPr>
        <w:pStyle w:val="Normal"/>
      </w:pPr>
      <w:r>
        <w:t xml:space="preserve">d) 20 paquetes; todos salen exactamente al tercer día. — Una demora de primer orden tiene tiempo medio; no una permanencia fija idéntica para cada elemento.</w:t>
      </w:r>
    </w:p>
    <w:p>
      <w:pPr>
        <w:pStyle w:val="Normal"/>
      </w:pPr>
      <w:r>
        <w:t xml:space="preserve">Criterio de resolución: Salida = contenido/tiempo medio = 60/3. El nivel en tránsito conserva material. El tiempo medio no equivale a una demora fija para cada elemento ni al número de etapas.</w:t>
      </w:r>
    </w:p>
    <w:p>
      <w:pPr>
        <w:pStyle w:val="Normal"/>
      </w:pPr>
      <w:r>
        <w:t xml:space="preserve">Defensa: Salida = contenido/tiempo medio = 60/3. El nivel en tránsito conserva material. El tiempo medio no equivale a una demora fija para cada elemento ni al número de etapas.</w:t>
      </w:r>
    </w:p>
    <w:p>
      <w:pPr>
        <w:pStyle w:val="Fuente"/>
      </w:pPr>
      <w:r>
        <w:t xml:space="preserve">lectura L-16, pp. 16–20</w:t>
      </w:r>
    </w:p>
    <w:p>
      <w:pPr>
        <w:pStyle w:val="Heading3"/>
      </w:pPr>
      <w:bookmarkStart w:name="b_solucion_p3c_28_clientes_pote_74034710" w:id="6710"/>
      <w:r>
        <w:t xml:space="preserve">Solución S3-31</w:t>
      </w:r>
      <w:bookmarkEnd w:id="6710"/>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a) Clientes potenciales y Clientes actuales son niveles, porque son poblaciones</w:t>
            </w:r>
          </w:p>
          <w:p>
            <w:pPr>
              <w:pStyle w:val="Recuadro"/>
            </w:pPr>
            <w:r>
              <w:t xml:space="preserve">c) Ventas es un flujo de salida de Clientes potenciales y un flujo de entrada de Clientes actuales</w:t>
            </w:r>
          </w:p>
        </w:tc>
      </w:tr>
    </w:tbl>
    <w:p>
      <w:pPr>
        <w:pStyle w:val="Heading3"/>
      </w:pPr>
      <w:r>
        <w:t xml:space="preserve">Identifique los niveles por el contexto</w:t>
      </w:r>
    </w:p>
    <w:p>
      <w:pPr>
        <w:pStyle w:val="Normal"/>
      </w:pPr>
      <w:r>
        <w:t xml:space="preserve">Una población se cuenta en un instante: Clientes potenciales y Clientes actuales son stocks, como deduce la lámina.</w:t>
      </w:r>
    </w:p>
    <w:p>
      <w:pPr>
        <w:pStyle w:val="Fuente"/>
      </w:pPr>
      <w:r>
        <w:t xml:space="preserve">Opciones descartadas: d).</w:t>
      </w:r>
    </w:p>
    <w:p>
      <w:pPr>
        <w:pStyle w:val="Heading3"/>
      </w:pPr>
      <w:r>
        <w:t xml:space="preserve">Aplique la regla de las flechas que entran</w:t>
      </w:r>
    </w:p>
    <w:p>
      <w:pPr>
        <w:pStyle w:val="Normal"/>
      </w:pPr>
      <w:r>
        <w:t xml:space="preserve">«Las flechas que ENTRAN a cualquier stock tienen que ser FLUJOS»: las dos que llegan a los niveles salen de Ventas. La que va de Clientes potenciales a Ventas no entra a un nivel, y la regla no la toca.</w:t>
      </w:r>
    </w:p>
    <w:p>
      <w:pPr>
        <w:pStyle w:val="Fuente"/>
      </w:pPr>
      <w:r>
        <w:t xml:space="preserve">Opciones descartadas: b), e).</w:t>
      </w:r>
    </w:p>
    <w:p>
      <w:pPr>
        <w:pStyle w:val="Heading3"/>
      </w:pPr>
      <w:r>
        <w:t xml:space="preserve">Lea la polaridad de cada flecha</w:t>
      </w:r>
    </w:p>
    <w:p>
      <w:pPr>
        <w:pStyle w:val="Normal"/>
      </w:pPr>
      <w:r>
        <w:t xml:space="preserve">Con − hacia Clientes potenciales, Ventas es su salida; con + hacia Clientes actuales, es su entrada. Un mismo flujo vacía un nivel y llena el otro.</w:t>
      </w:r>
    </w:p>
    <w:p>
      <w:pPr>
        <w:pStyle w:val="Normal"/>
      </w:pPr>
      <w:r>
        <w:t xml:space="preserve">a) Clientes potenciales y Clientes actuales son niveles, porque son poblaciones — Correcta: la primera regla pide identificar, a partir del contexto, cuáles variables son flujos y cuáles son niveles, y la lámina deduce que los clientes potenciales y los actuales son stocks porque son poblaciones.</w:t>
      </w:r>
    </w:p>
    <w:p>
      <w:pPr>
        <w:pStyle w:val="Normal"/>
      </w:pPr>
      <w:r>
        <w:t xml:space="preserve">b) Como la flecha de Clientes potenciales a Ventas tiene polaridad +, Clientes potenciales es un flujo de entrada — La regla de la polaridad se aplica a las flechas que entran a un nivel. Esta flecha entra a Ventas, no a un nivel: dice que hay más ventas cuando hay más clientes potenciales.</w:t>
      </w:r>
    </w:p>
    <w:p>
      <w:pPr>
        <w:pStyle w:val="Normal"/>
      </w:pPr>
      <w:r>
        <w:t xml:space="preserve">c) Ventas es un flujo de salida de Clientes potenciales y un flujo de entrada de Clientes actuales — Correcta: Ventas llega a Clientes potenciales con − y a Clientes actuales con +, y la regla dice: «Si la flecha tiene polaridad POSITIVA es un flujo de ENTRADA, si tiene polaridad NEGATIVA es un flujo de SALIDA».</w:t>
      </w:r>
    </w:p>
    <w:p>
      <w:pPr>
        <w:pStyle w:val="Normal"/>
      </w:pPr>
      <w:r>
        <w:t xml:space="preserve">d) Clientes actuales es un flujo, porque recibe una flecha de Ventas — Recibir una flecha no hace flujo a una variable: es al revés, las flechas que entran a un stock tienen que venir de un flujo. Clientes actuales es una población, un nivel.</w:t>
      </w:r>
    </w:p>
    <w:p>
      <w:pPr>
        <w:pStyle w:val="Normal"/>
      </w:pPr>
      <w:r>
        <w:t xml:space="preserve">e) Ventas es un nivel, porque las ventas de un mes se pueden contar — Las ventas cambian el número de clientes por unidad de tiempo. Las dos flechas que entran a los niveles salen de Ventas, y «Las flechas que ENTRAN a cualquier stock tienen que ser FLUJOS».</w:t>
      </w:r>
    </w:p>
    <w:p>
      <w:pPr>
        <w:pStyle w:val="Normal"/>
      </w:pPr>
      <w:r>
        <w:t xml:space="preserve">Criterio de resolución: La lámina 18 aplica las reglas en orden. Primero, por el contexto, Clientes potenciales y Clientes actuales son poblaciones y, por tanto, niveles. Después, las flechas que entran a un nivel tienen que ser flujos: las dos salen de Ventas, que queda como el flujo que pasa clientes de un nivel al otro. Por último, la polaridad: Ventas llega a los potenciales con − (salida) y a los actuales con + (entrada). En el diagrama de flujos y niveles de la lámina, la tubería de Ventas va de Clientes potenciales a Clientes actuales, y la flecha de Clientes potenciales a Ventas queda como canal de información.</w:t>
      </w:r>
    </w:p>
    <w:p>
      <w:pPr>
        <w:pStyle w:val="Normal"/>
      </w:pPr>
      <w:r>
        <w:t xml:space="preserve">Defensa: La lámina 18 resuelve este mismo caso: deduce que los dos grupos de clientes son stocks porque son poblaciones y dibuja Ventas como la válvula que los une. La regla de polaridad de la misma lámina hace a Ventas salida de los potenciales y entrada de los actuales.</w:t>
      </w:r>
    </w:p>
    <w:p>
      <w:pPr>
        <w:pStyle w:val="Fuente"/>
      </w:pPr>
      <w:r>
        <w:t xml:space="preserve">Presentación 4a (C-3), lámina 18</w:t>
      </w:r>
    </w:p>
    <w:p>
      <w:pPr>
        <w:pStyle w:val="Heading3"/>
      </w:pPr>
      <w:bookmarkStart w:name="b_solucion_p3c_29_poblacion_vul_2f3fc0ab" w:id="6711"/>
      <w:r>
        <w:t xml:space="preserve">Solución S3-32</w:t>
      </w:r>
      <w:bookmarkEnd w:id="6711"/>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c) Una variable auxiliar, porque representa un paso intermedio en la determinación de TC a partir de PI</w:t>
            </w:r>
          </w:p>
        </w:tc>
      </w:tr>
    </w:tbl>
    <w:p>
      <w:pPr>
        <w:pStyle w:val="Heading3"/>
      </w:pPr>
      <w:r>
        <w:t xml:space="preserve">Ubique el único nivel</w:t>
      </w:r>
    </w:p>
    <w:p>
      <w:pPr>
        <w:pStyle w:val="Normal"/>
      </w:pPr>
      <w:r>
        <w:t xml:space="preserve">La lámina 11 dice que «existe una única variable de nivel que corresponde a la población infectada PI»: ninguna otra población del diagrama se acumula.</w:t>
      </w:r>
    </w:p>
    <w:p>
      <w:pPr>
        <w:pStyle w:val="Fuente"/>
      </w:pPr>
      <w:r>
        <w:t xml:space="preserve">Opciones descartadas: a).</w:t>
      </w:r>
    </w:p>
    <w:p>
      <w:pPr>
        <w:pStyle w:val="Heading3"/>
      </w:pPr>
      <w:r>
        <w:t xml:space="preserve">Lea la ecuación de PV</w:t>
      </w:r>
    </w:p>
    <w:p>
      <w:pPr>
        <w:pStyle w:val="Normal"/>
      </w:pPr>
      <w:r>
        <w:t xml:space="preserve">PV = PT − PI: se calcula con el nivel y una constante en cada instante. No es una tasa ni un valor fijo.</w:t>
      </w:r>
    </w:p>
    <w:p>
      <w:pPr>
        <w:pStyle w:val="Fuente"/>
      </w:pPr>
      <w:r>
        <w:t xml:space="preserve">Opciones descartadas: b), d).</w:t>
      </w:r>
    </w:p>
    <w:p>
      <w:pPr>
        <w:pStyle w:val="Heading3"/>
      </w:pPr>
      <w:r>
        <w:t xml:space="preserve">No aplique la polaridad a una flecha que sale del nivel</w:t>
      </w:r>
    </w:p>
    <w:p>
      <w:pPr>
        <w:pStyle w:val="Normal"/>
      </w:pPr>
      <w:r>
        <w:t xml:space="preserve">La regla de la lámina 18 habla de las flechas que entran a un nivel. La de PI a PV sale de él y lleva información, no material.</w:t>
      </w:r>
    </w:p>
    <w:p>
      <w:pPr>
        <w:pStyle w:val="Fuente"/>
      </w:pPr>
      <w:r>
        <w:t xml:space="preserve">Opciones descartadas: e).</w:t>
      </w:r>
    </w:p>
    <w:p>
      <w:pPr>
        <w:pStyle w:val="Normal"/>
      </w:pPr>
      <w:r>
        <w:t xml:space="preserve">a) Un nivel, porque es una población y las poblaciones son stocks — Es la trampa de la regla del contexto: PV es una población, pero no acumula nada. Se calcula en cada instante como PV = PT − PI, y la lámina 11 dice que hay una única variable de nivel, PI.</w:t>
      </w:r>
    </w:p>
    <w:p>
      <w:pPr>
        <w:pStyle w:val="Normal"/>
      </w:pPr>
      <w:r>
        <w:t xml:space="preserve">b) Un flujo, porque cambia a lo largo del tiempo — Cambiar con el tiempo no hace flujo a una variable: también cambia PI, que es el nivel. El flujo es TC, cuyo significado es «el de la variación de la población infectada con respecto al tiempo».</w:t>
      </w:r>
    </w:p>
    <w:p>
      <w:pPr>
        <w:pStyle w:val="Normal"/>
      </w:pPr>
      <w:r>
        <w:t xml:space="preserve">c) Una variable auxiliar, porque representa un paso intermedio en la determinación de TC a partir de PI — Correcta: es literal de la lámina 12: «La restante PV es una variable auxiliar, ya que representa un paso intermedio en la determinación de TC a partir de PI».</w:t>
      </w:r>
    </w:p>
    <w:p>
      <w:pPr>
        <w:pStyle w:val="Normal"/>
      </w:pPr>
      <w:r>
        <w:t xml:space="preserve">d) Una constante, como la población total PT — Las constantes del modelo son IPC, TNC y PT. PV cambia cuando cambia PI.</w:t>
      </w:r>
    </w:p>
    <w:p>
      <w:pPr>
        <w:pStyle w:val="Normal"/>
      </w:pPr>
      <w:r>
        <w:t xml:space="preserve">e) Un flujo de salida de PI, porque la flecha de PI a PV tiene polaridad − — La regla de la polaridad vale para las flechas que entran a un nivel. La flecha de PI a PV sale del nivel: es información, no material que se lleve de PI.</w:t>
      </w:r>
    </w:p>
    <w:p>
      <w:pPr>
        <w:pStyle w:val="Normal"/>
      </w:pPr>
      <w:r>
        <w:t xml:space="preserve">Criterio de resolución: La lámina 11 clasifica las variables del diagrama de influencias en niveles, flujos y auxiliares: PI es el único nivel y TC su flujo, porque su significado es la variación de PI con respecto al tiempo. La lámina 12 completa la clasificación: «La restante PV es una variable auxiliar, ya que representa un paso intermedio en la determinación de TC a partir de PI», e IPC, TNC y PT son constantes. Las ecuaciones de la lámina 13 lo confirman: PV = PT − PI se calcula en cada instante y no se acumula, y TC = IPC · TNC · PI · PV la usa para obtener el flujo.</w:t>
      </w:r>
    </w:p>
    <w:p>
      <w:pPr>
        <w:pStyle w:val="Normal"/>
      </w:pPr>
      <w:r>
        <w:t xml:space="preserve">Defensa: La lámina 12 de la presentación 4a lo dice con estas palabras: PV «es una variable auxiliar, ya que representa un paso intermedio en la determinación de TC a partir de PI». Que sea una población no basta para hacerla nivel: no se acumula.</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9C620A" w:sz="20"/>
              <w:bottom w:val="nil"/>
              <w:right w:val="nil"/>
            </w:tcBorders>
            <w:shd w:fill="FBF3DF" w:val="clear"/>
            <w:tcMar>
              <w:top w:type="dxa" w:w="130"/>
              <w:left w:type="dxa" w:w="180"/>
              <w:bottom w:type="dxa" w:w="130"/>
              <w:right w:type="dxa" w:w="180"/>
            </w:tcMar>
          </w:tcPr>
          <w:p>
            <w:pPr>
              <w:pStyle w:val="RecuadroTitulo"/>
            </w:pPr>
            <w:r>
              <w:rPr>
                <w:b/>
                <w:bCs/>
                <w:color w:val="9C620A"/>
              </w:rPr>
              <w:t xml:space="preserve">Advertencia y límites</w:t>
            </w:r>
          </w:p>
          <w:p>
            <w:pPr>
              <w:pStyle w:val="Recuadro"/>
            </w:pPr>
            <w:r>
              <w:t xml:space="preserve">La lectura L-15, de donde la presentación toma el ejemplo, intercambia en una frase de la pág. 43 los papeles de PT y PV, y en la pág. 42 describe PV = PT − PI como la diferencia «entre la población vulnerable PV y la población infectada PI». La clave sigue a la lámina 12 y a la ecuación PV = PT − PI.</w:t>
            </w:r>
          </w:p>
        </w:tc>
      </w:tr>
    </w:tbl>
    <w:p>
      <w:pPr>
        <w:pStyle w:val="Fuente"/>
      </w:pPr>
      <w:r>
        <w:t xml:space="preserve">Presentación 4a (C-3), láminas 11, 12 y 13 · lectura L-15, págs. 39, 41, 42 y 43</w:t>
      </w:r>
    </w:p>
    <w:p>
      <w:pPr>
        <w:pStyle w:val="Heading3"/>
      </w:pPr>
      <w:bookmarkStart w:name="b_solucion_p3c_30_capacidad_de_planta" w:id="6712"/>
      <w:r>
        <w:t xml:space="preserve">Solución S3-33</w:t>
      </w:r>
      <w:bookmarkEnd w:id="6712"/>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a) Ajustes de capacidad, un flujo de entrada, porque su flecha llega a la capacidad con polaridad +</w:t>
            </w:r>
          </w:p>
        </w:tc>
      </w:tr>
    </w:tbl>
    <w:p>
      <w:pPr>
        <w:pStyle w:val="Heading3"/>
      </w:pPr>
      <w:r>
        <w:t xml:space="preserve">Busque las flechas que entran al nivel</w:t>
      </w:r>
    </w:p>
    <w:p>
      <w:pPr>
        <w:pStyle w:val="Normal"/>
      </w:pPr>
      <w:r>
        <w:t xml:space="preserve">A Capacidad de planta sólo llega una flecha, la de Ajustes de capacidad. La falta de capacidad recibe la flecha que sale de la capacidad, y la demanda llega a la falta, no al nivel.</w:t>
      </w:r>
    </w:p>
    <w:p>
      <w:pPr>
        <w:pStyle w:val="Fuente"/>
      </w:pPr>
      <w:r>
        <w:t xml:space="preserve">Opciones descartadas: c), d).</w:t>
      </w:r>
    </w:p>
    <w:p>
      <w:pPr>
        <w:pStyle w:val="Heading3"/>
      </w:pPr>
      <w:r>
        <w:t xml:space="preserve">Aplique la regla de la polaridad</w:t>
      </w:r>
    </w:p>
    <w:p>
      <w:pPr>
        <w:pStyle w:val="Normal"/>
      </w:pPr>
      <w:r>
        <w:t xml:space="preserve">La flecha de los ajustes llega con +: flujo de entrada. La polaridad que se lee es la de la flecha que entra al nivel, no la del ciclo.</w:t>
      </w:r>
    </w:p>
    <w:p>
      <w:pPr>
        <w:pStyle w:val="Fuente"/>
      </w:pPr>
      <w:r>
        <w:t xml:space="preserve">Opciones descartadas: b).</w:t>
      </w:r>
    </w:p>
    <w:p>
      <w:pPr>
        <w:pStyle w:val="Heading3"/>
      </w:pPr>
      <w:r>
        <w:t xml:space="preserve">Compare con la solución de la lámina 20</w:t>
      </w:r>
    </w:p>
    <w:p>
      <w:pPr>
        <w:pStyle w:val="Normal"/>
      </w:pPr>
      <w:r>
        <w:t xml:space="preserve">Nube → AJUSTES → CAPACIDAD; CAPACIDAD y DEMANDA informan al FALTANTE, y el FALTANTE a los AJUSTES.</w:t>
      </w:r>
    </w:p>
    <w:p>
      <w:pPr>
        <w:pStyle w:val="Normal"/>
      </w:pPr>
      <w:r>
        <w:t xml:space="preserve">a) Ajustes de capacidad, un flujo de entrada, porque su flecha llega a la capacidad con polaridad + — Correcta: Ajustes de capacidad es la única flecha que entra a la capacidad, y llega con +. En la solución de la lámina 20, AJUSTES es la válvula que llena CAPACIDAD desde una nube.</w:t>
      </w:r>
    </w:p>
    <w:p>
      <w:pPr>
        <w:pStyle w:val="Normal"/>
      </w:pPr>
      <w:r>
        <w:t xml:space="preserve">b) Ajustes de capacidad, un flujo de salida, porque el ciclo es de balance — Confunde la polaridad del ciclo con la de la flecha. El ciclo es de balance porque tiene un signo −, pero ese − está en la flecha de la capacidad a la falta, no en la que llega al nivel.</w:t>
      </w:r>
    </w:p>
    <w:p>
      <w:pPr>
        <w:pStyle w:val="Normal"/>
      </w:pPr>
      <w:r>
        <w:t xml:space="preserve">c) Falta de capacidad, un flujo de salida, porque la flecha entre la capacidad y la falta tiene polaridad − — La flecha con − sale de la capacidad hacia la falta: no entra al nivel. La falta de capacidad es una auxiliar, FALTANTE en la solución, calculada desde la demanda y la capacidad.</w:t>
      </w:r>
    </w:p>
    <w:p>
      <w:pPr>
        <w:pStyle w:val="Normal"/>
      </w:pPr>
      <w:r>
        <w:t xml:space="preserve">d) Demanda promedio de los clientes, un flujo de entrada, porque llega desde fuera del ciclo — La demanda entra a la falta de capacidad, no al nivel. En la solución queda como DEMANDA, que informa al FALTANTE.</w:t>
      </w:r>
    </w:p>
    <w:p>
      <w:pPr>
        <w:pStyle w:val="Normal"/>
      </w:pPr>
      <w:r>
        <w:t xml:space="preserve">Criterio de resolución: Las reglas de la lámina 18 resuelven el ejercicio: las flechas que entran a un nivel tienen que ser flujos, y su polaridad dice si entran o salen. A la capacidad de planta sólo llega la flecha de Ajustes de capacidad, con +: es su flujo de entrada. La solución de la lámina 20 lo dibuja así: una nube alimenta CAPACIDAD por la válvula AJUSTES; la capacidad y la DEMANDA informan al FALTANTE, y el faltante a los ajustes. El ciclo de balance se conserva: a más capacidad, menos faltante y menos ajustes.</w:t>
      </w:r>
    </w:p>
    <w:p>
      <w:pPr>
        <w:pStyle w:val="Normal"/>
      </w:pPr>
      <w:r>
        <w:t xml:space="preserve">Defensa: Por la regla de la lámina 18, la única flecha que entra al nivel, la de los ajustes, es su flujo, y su signo + lo hace de entrada. La lámina 20 dibuja exactamente eso: AJUSTES llena CAPACIDAD desde una nube.</w:t>
      </w:r>
    </w:p>
    <w:p>
      <w:pPr>
        <w:pStyle w:val="Fuente"/>
      </w:pPr>
      <w:r>
        <w:t xml:space="preserve">Presentación 4a (C-3), láminas 18, 19 y 20</w:t>
      </w:r>
    </w:p>
    <w:p>
      <w:pPr>
        <w:pStyle w:val="Heading3"/>
      </w:pPr>
      <w:bookmarkStart w:name="b_solucion_p3c_31_huevos_y_gallinas" w:id="6713"/>
      <w:r>
        <w:t xml:space="preserve">Solución S3-34</w:t>
      </w:r>
      <w:bookmarkEnd w:id="6713"/>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a) Huevos y Gallinas son los dos niveles del modelo</w:t>
            </w:r>
          </w:p>
          <w:p>
            <w:pPr>
              <w:pStyle w:val="Recuadro"/>
            </w:pPr>
            <w:r>
              <w:t xml:space="preserve">c) La eclosión es un flujo que sale de Huevos y entra a Gallinas</w:t>
            </w:r>
          </w:p>
        </w:tc>
      </w:tr>
    </w:tbl>
    <w:p>
      <w:pPr>
        <w:pStyle w:val="Heading3"/>
      </w:pPr>
      <w:r>
        <w:t xml:space="preserve">Identifique los dos niveles</w:t>
      </w:r>
    </w:p>
    <w:p>
      <w:pPr>
        <w:pStyle w:val="Normal"/>
      </w:pPr>
      <w:r>
        <w:t xml:space="preserve">Huevos y gallinas son poblaciones: se cuentan en un instante. El diagrama causal del ejercicio los destaca en rojo.</w:t>
      </w:r>
    </w:p>
    <w:p>
      <w:pPr>
        <w:pStyle w:val="Heading3"/>
      </w:pPr>
      <w:r>
        <w:t xml:space="preserve">Lea la polaridad de las flechas que entran a cada nivel</w:t>
      </w:r>
    </w:p>
    <w:p>
      <w:pPr>
        <w:pStyle w:val="Normal"/>
      </w:pPr>
      <w:r>
        <w:t xml:space="preserve">Puesta → Huevos (+) es entrada; Eclosión → Huevos (−) es salida y Eclosión → Gallinas (+) es entrada; Muertes → Gallinas (−) es salida. La eclosión une los dos niveles.</w:t>
      </w:r>
    </w:p>
    <w:p>
      <w:pPr>
        <w:pStyle w:val="Fuente"/>
      </w:pPr>
      <w:r>
        <w:t xml:space="preserve">Opciones descartadas: e).</w:t>
      </w:r>
    </w:p>
    <w:p>
      <w:pPr>
        <w:pStyle w:val="Heading3"/>
      </w:pPr>
      <w:r>
        <w:t xml:space="preserve">Separe el material de la información</w:t>
      </w:r>
    </w:p>
    <w:p>
      <w:pPr>
        <w:pStyle w:val="Normal"/>
      </w:pPr>
      <w:r>
        <w:t xml:space="preserve">Los cruces de carretera no entran a ningún nivel, y la flecha de Gallinas a Puesta no saca gallinas: las dos llevan información.</w:t>
      </w:r>
    </w:p>
    <w:p>
      <w:pPr>
        <w:pStyle w:val="Fuente"/>
      </w:pPr>
      <w:r>
        <w:t xml:space="preserve">Opciones descartadas: b), d).</w:t>
      </w:r>
    </w:p>
    <w:p>
      <w:pPr>
        <w:pStyle w:val="Normal"/>
      </w:pPr>
      <w:r>
        <w:t xml:space="preserve">a) Huevos y Gallinas son los dos niveles del modelo — Correcta: en la lámina 32, Eggs y Chickens son los dos rectángulos; son poblaciones que se cuentan en un instante.</w:t>
      </w:r>
    </w:p>
    <w:p>
      <w:pPr>
        <w:pStyle w:val="Normal"/>
      </w:pPr>
      <w:r>
        <w:t xml:space="preserve">b) Los cruces de carretera son un flujo de salida de Gallinas — Ninguna flecha de los cruces de carretera llega a un nivel: llegan a las muertes. En la solución son una variable que las gallinas informan y que, a su vez, informa a las muertes.</w:t>
      </w:r>
    </w:p>
    <w:p>
      <w:pPr>
        <w:pStyle w:val="Normal"/>
      </w:pPr>
      <w:r>
        <w:t xml:space="preserve">c) La eclosión es un flujo que sale de Huevos y entra a Gallinas — Correcta: en el diagrama causal, la eclosión llega a Huevos con − y a Gallinas con +; en la solución es la válvula de la tubería que va de Eggs a Chickens.</w:t>
      </w:r>
    </w:p>
    <w:p>
      <w:pPr>
        <w:pStyle w:val="Normal"/>
      </w:pPr>
      <w:r>
        <w:t xml:space="preserve">d) La puesta es un flujo que sale de Gallinas y entra a Huevos — La flecha de Gallinas a Puesta es de información: poner huevos no gasta gallinas. En la solución, la puesta llena Huevos desde una nube.</w:t>
      </w:r>
    </w:p>
    <w:p>
      <w:pPr>
        <w:pStyle w:val="Normal"/>
      </w:pPr>
      <w:r>
        <w:t xml:space="preserve">e) Las muertes son un flujo de entrada de Gallinas — Las muertes llegan a Gallinas con −: son su flujo de salida, que en la solución termina en una nube.</w:t>
      </w:r>
    </w:p>
    <w:p>
      <w:pPr>
        <w:pStyle w:val="Normal"/>
      </w:pPr>
      <w:r>
        <w:t xml:space="preserve">Criterio de resolución: Con las reglas de la lámina 18, los niveles son las dos poblaciones, huevos y gallinas, y cada flecha que entra a ellas es un flujo: la puesta entra a Huevos con +; la eclosión sale de Huevos con − y entra a Gallinas con +; las muertes salen de Gallinas con −. La solución de la lámina 32 dibuja una sola cadena: nube → Laying → Eggs → Hatching → Chickens → Expiring → nube. Los cruces de carretera quedan fuera de las tuberías: dependen de las gallinas y aumentan las muertes. Los ciclos se conservan: la solución marca el de refuerzo de la reproducción y el de balance de los cruces.</w:t>
      </w:r>
    </w:p>
    <w:p>
      <w:pPr>
        <w:pStyle w:val="Normal"/>
      </w:pPr>
      <w:r>
        <w:t xml:space="preserve">Defensa: La lámina 32 dibuja Eggs y Chickens como rectángulos unidos por la tubería de Hatching: la eclosión vacía un nivel y llena el otro. La puesta sale de una nube y los cruces de carretera no llevan tubería.</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9C620A" w:sz="20"/>
              <w:bottom w:val="nil"/>
              <w:right w:val="nil"/>
            </w:tcBorders>
            <w:shd w:fill="FBF3DF" w:val="clear"/>
            <w:tcMar>
              <w:top w:type="dxa" w:w="130"/>
              <w:left w:type="dxa" w:w="180"/>
              <w:bottom w:type="dxa" w:w="130"/>
              <w:right w:type="dxa" w:w="180"/>
            </w:tcMar>
          </w:tcPr>
          <w:p>
            <w:pPr>
              <w:pStyle w:val="RecuadroTitulo"/>
            </w:pPr>
            <w:r>
              <w:rPr>
                <w:b/>
                <w:bCs/>
                <w:color w:val="9C620A"/>
              </w:rPr>
              <w:t xml:space="preserve">Advertencia y límites</w:t>
            </w:r>
          </w:p>
          <w:p>
            <w:pPr>
              <w:pStyle w:val="Recuadro"/>
            </w:pPr>
            <w:r>
              <w:t xml:space="preserve">La presentación usa el nombre «Ejercicio 2» también para el modelo de los teléfonos de la lámina 37; son ejercicios distintos. El de los huevos se plantea en las láminas 22 y 31 y se resuelve en la 32.</w:t>
            </w:r>
          </w:p>
        </w:tc>
      </w:tr>
    </w:tbl>
    <w:p>
      <w:pPr>
        <w:pStyle w:val="Fuente"/>
      </w:pPr>
      <w:r>
        <w:t xml:space="preserve">Presentación 4a (C-3), láminas 18, 22 y 32</w:t>
      </w:r>
    </w:p>
    <w:p>
      <w:pPr>
        <w:pStyle w:val="Heading3"/>
      </w:pPr>
      <w:bookmarkStart w:name="b_solucion_p3c_32_capital_e_interes" w:id="6714"/>
      <w:r>
        <w:t xml:space="preserve">Solución S3-35</w:t>
      </w:r>
      <w:bookmarkEnd w:id="6714"/>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b) Porque el interés, su flujo de entrada, depende del propio capital: más capital da más interés, en un ciclo de refuerzo</w:t>
            </w:r>
          </w:p>
        </w:tc>
      </w:tr>
    </w:tbl>
    <w:p>
      <w:pPr>
        <w:pStyle w:val="Heading3"/>
      </w:pPr>
      <w:r>
        <w:t xml:space="preserve">Convierta el diagrama</w:t>
      </w:r>
    </w:p>
    <w:p>
      <w:pPr>
        <w:pStyle w:val="Normal"/>
      </w:pPr>
      <w:r>
        <w:t xml:space="preserve">Capital es el nivel; Interés, la única flecha que le entra, con +, es su flujo de entrada; la tasa, a la que no llega ninguna flecha, es un parámetro.</w:t>
      </w:r>
    </w:p>
    <w:p>
      <w:pPr>
        <w:pStyle w:val="Fuente"/>
      </w:pPr>
      <w:r>
        <w:t xml:space="preserve">Opciones descartadas: c).</w:t>
      </w:r>
    </w:p>
    <w:p>
      <w:pPr>
        <w:pStyle w:val="Heading3"/>
      </w:pPr>
      <w:r>
        <w:t xml:space="preserve">Busque el ciclo que se conserva</w:t>
      </w:r>
    </w:p>
    <w:p>
      <w:pPr>
        <w:pStyle w:val="Normal"/>
      </w:pPr>
      <w:r>
        <w:t xml:space="preserve">Capital → Interés (+) e Interés → Capital (+): un ciclo de refuerzo. En el diagrama de flujos y niveles sigue ahí, como la flecha del capital a la válvula del interés.</w:t>
      </w:r>
    </w:p>
    <w:p>
      <w:pPr>
        <w:pStyle w:val="Fuente"/>
      </w:pPr>
      <w:r>
        <w:t xml:space="preserve">Opciones descartadas: e).</w:t>
      </w:r>
    </w:p>
    <w:p>
      <w:pPr>
        <w:pStyle w:val="Heading3"/>
      </w:pPr>
      <w:r>
        <w:t xml:space="preserve">Distinga un flujo constante de uno que depende del nivel</w:t>
      </w:r>
    </w:p>
    <w:p>
      <w:pPr>
        <w:pStyle w:val="Normal"/>
      </w:pPr>
      <w:r>
        <w:t xml:space="preserve">Con una entrada constante, el nivel sube en línea recta; con una entrada que crece con el nivel, sube cada vez más rápido. La tasa no cambia: lo que crece es el capital sobre el que se aplica.</w:t>
      </w:r>
    </w:p>
    <w:p>
      <w:pPr>
        <w:pStyle w:val="Fuente"/>
      </w:pPr>
      <w:r>
        <w:t xml:space="preserve">Opciones descartadas: a), d).</w:t>
      </w:r>
    </w:p>
    <w:p>
      <w:pPr>
        <w:pStyle w:val="Normal"/>
      </w:pPr>
      <w:r>
        <w:t xml:space="preserve">a) Porque la tasa de interés aumenta mes a mes — Ninguna flecha llega a la tasa: es un parámetro del modelo y sólo influye en el interés. El crecimiento no viene de que la tasa cambie.</w:t>
      </w:r>
    </w:p>
    <w:p>
      <w:pPr>
        <w:pStyle w:val="Normal"/>
      </w:pPr>
      <w:r>
        <w:t xml:space="preserve">b) Porque el interés, su flujo de entrada, depende del propio capital: más capital da más interés, en un ciclo de refuerzo — Correcta: en el diagrama de flujos y niveles de la lámina 21, una flecha va del Capital a la válvula del Interés. El flujo crece con el nivel y el nivel con el flujo: un ciclo de refuerzo, que genera crecimiento exponencial.</w:t>
      </w:r>
    </w:p>
    <w:p>
      <w:pPr>
        <w:pStyle w:val="Normal"/>
      </w:pPr>
      <w:r>
        <w:t xml:space="preserve">c) Porque el interés es un segundo nivel que se acumula junto al capital — El interés es la válvula de la tubería que llena el capital, no un rectángulo. Su gráfica sube porque se calcula con el capital, no porque acumule.</w:t>
      </w:r>
    </w:p>
    <w:p>
      <w:pPr>
        <w:pStyle w:val="Normal"/>
      </w:pPr>
      <w:r>
        <w:t xml:space="preserve">d) Porque el capital recibe cada mes un flujo de entrada constante — Un flujo constante da un crecimiento lineal, como el de la lámina 43. Aquí el flujo no es constante: crece con el capital.</w:t>
      </w:r>
    </w:p>
    <w:p>
      <w:pPr>
        <w:pStyle w:val="Normal"/>
      </w:pPr>
      <w:r>
        <w:t xml:space="preserve">e) Porque el ciclo entre el interés y el capital es de balance — Las dos flechas son positivas, y un ciclo sin ningún signo − es de refuerzo, no de balance: por eso el capital no se estabiliza, sino que se dispara.</w:t>
      </w:r>
    </w:p>
    <w:p>
      <w:pPr>
        <w:pStyle w:val="Normal"/>
      </w:pPr>
      <w:r>
        <w:t xml:space="preserve">Criterio de resolución: Al convertir, el capital es dinero acumulado —un nivel— y el interés, que le llega con +, es su flujo de entrada; la tasa queda como parámetro. Pero en el diagrama de flujos y niveles de la lámina 21 sigue habiendo una flecha del capital al interés: el ciclo de refuerzo del diagrama causal se conserva. Como el flujo depende del nivel, cada mes entra más que el anterior, y las dos gráficas de la lámina, la del capital y la del interés, suben cada vez más rápido en los 100 meses. Si la entrada fuera constante, el nivel crecería en línea recta, como en el crecimiento simple de la lámina 43.</w:t>
      </w:r>
    </w:p>
    <w:p>
      <w:pPr>
        <w:pStyle w:val="Normal"/>
      </w:pPr>
      <w:r>
        <w:t xml:space="preserve">Defensa: La lámina 21 titula el caso «Ejemplo: Crecimiento Exponencial» y muestra, en el diagrama de flujos y niveles, la flecha del Capital al Interés: el flujo depende del nivel y el ciclo de refuerzo se conserva. Con un flujo constante el crecimiento sería lineal, como en la lámina 43.</w:t>
      </w:r>
    </w:p>
    <w:p>
      <w:pPr>
        <w:pStyle w:val="Fuente"/>
      </w:pPr>
      <w:r>
        <w:t xml:space="preserve">Presentación 4a (C-3), láminas 18, 21 y 43</w:t>
      </w:r>
    </w:p>
    <w:p>
      <w:pPr>
        <w:pStyle w:val="Heading3"/>
      </w:pPr>
      <w:bookmarkStart w:name="b_solucion_p3c_33_confiar_en_el_05980bdd" w:id="6715"/>
      <w:r>
        <w:t xml:space="preserve">Solución S3-36</w:t>
      </w:r>
      <w:bookmarkEnd w:id="6715"/>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c) Porque la construcción del diagrama de Forrester permite corregir relaciones que se pasan por alto cuando se hace un diagrama de influencias</w:t>
            </w:r>
          </w:p>
        </w:tc>
      </w:tr>
    </w:tbl>
    <w:p>
      <w:pPr>
        <w:pStyle w:val="Heading3"/>
      </w:pPr>
      <w:r>
        <w:t xml:space="preserve">Recuerde lo que sí recoge el diagrama causal</w:t>
      </w:r>
    </w:p>
    <w:p>
      <w:pPr>
        <w:pStyle w:val="Normal"/>
      </w:pPr>
      <w:r>
        <w:t xml:space="preserve">Las influencias con su polaridad y los ciclos de realimentación: L-16 lo llama la hipótesis dinámica.</w:t>
      </w:r>
    </w:p>
    <w:p>
      <w:pPr>
        <w:pStyle w:val="Fuente"/>
      </w:pPr>
      <w:r>
        <w:t xml:space="preserve">Opciones descartadas: a), d).</w:t>
      </w:r>
    </w:p>
    <w:p>
      <w:pPr>
        <w:pStyle w:val="Heading3"/>
      </w:pPr>
      <w:r>
        <w:t xml:space="preserve">Señale lo que le falta</w:t>
      </w:r>
    </w:p>
    <w:p>
      <w:pPr>
        <w:pStyle w:val="Normal"/>
      </w:pPr>
      <w:r>
        <w:t xml:space="preserve">No distingue niveles, flujos ni auxiliares, ni da magnitudes ni relaciones funcionales. Construir el diagrama de Forrester obliga a precisarlo, y ahí se corrigen las relaciones pasadas por alto.</w:t>
      </w:r>
    </w:p>
    <w:p>
      <w:pPr>
        <w:pStyle w:val="Heading3"/>
      </w:pPr>
      <w:r>
        <w:t xml:space="preserve">Verifique qué se conserva al convertir</w:t>
      </w:r>
    </w:p>
    <w:p>
      <w:pPr>
        <w:pStyle w:val="Normal"/>
      </w:pPr>
      <w:r>
        <w:t xml:space="preserve">En la epidemia y en los huevos y las gallinas, los ciclos de refuerzo y de balance siguen en el diagrama de flujos y niveles, y en los dos hay acumulaciones.</w:t>
      </w:r>
    </w:p>
    <w:p>
      <w:pPr>
        <w:pStyle w:val="Fuente"/>
      </w:pPr>
      <w:r>
        <w:t xml:space="preserve">Opciones descartadas: b), e).</w:t>
      </w:r>
    </w:p>
    <w:p>
      <w:pPr>
        <w:pStyle w:val="Normal"/>
      </w:pPr>
      <w:r>
        <w:t xml:space="preserve">a) Porque el diagrama causal no captura las relaciones de realimentación del fenómeno — Al revés: L-16 dice que el diagrama de influencias, como hipótesis dinámica, «debe capturar las relaciones básicas de realimentación que dan cuenta del fenómeno estudiado».</w:t>
      </w:r>
    </w:p>
    <w:p>
      <w:pPr>
        <w:pStyle w:val="Normal"/>
      </w:pPr>
      <w:r>
        <w:t xml:space="preserve">b) Porque al pasar al diagrama de Forrester desaparecen los ciclos de realimentación del diagrama causal — Los ciclos se conservan al convertir: en la presentación 4a, la epidemia y los huevos y las gallinas mantienen sus ciclos de refuerzo y de balance en el diagrama de flujos y niveles.</w:t>
      </w:r>
    </w:p>
    <w:p>
      <w:pPr>
        <w:pStyle w:val="Normal"/>
      </w:pPr>
      <w:r>
        <w:t xml:space="preserve">c) Porque la construcción del diagrama de Forrester permite corregir relaciones que se pasan por alto cuando se hace un diagrama de influencias — Correcta: es literal de L-16, pág. 24: «la construcción del diagrama de Forrester permite corregir relaciones que se pasan por alto cuando se hace un diagrama de influencias».</w:t>
      </w:r>
    </w:p>
    <w:p>
      <w:pPr>
        <w:pStyle w:val="Normal"/>
      </w:pPr>
      <w:r>
        <w:t xml:space="preserve">d) Porque el diagrama causal no indica si una influencia es positiva o negativa — Cada flecha de un diagrama causal lleva su signo + o −; con esa polaridad, la lámina 18 decide si un flujo es de entrada o de salida.</w:t>
      </w:r>
    </w:p>
    <w:p>
      <w:pPr>
        <w:pStyle w:val="Normal"/>
      </w:pPr>
      <w:r>
        <w:t xml:space="preserve">e) Porque un diagrama causal sólo puede representar sistemas sin acumulaciones — El diagrama de influencias de la epidemia tiene una acumulación, la población infectada, y de él sale el diagrama de Forrester de la lámina 12.</w:t>
      </w:r>
    </w:p>
    <w:p>
      <w:pPr>
        <w:pStyle w:val="Normal"/>
      </w:pPr>
      <w:r>
        <w:t xml:space="preserve">Criterio de resolución: L-16 reconoce lo que el diagrama de influencias sí hace —capturar las relaciones básicas de realimentación, la hipótesis dinámica— y lo que le falta: «no se tiene información sobre el tiempo de simulación, ni se explica sí una variable está describiendo el estado del sistema», ni la magnitud de las relaciones ni su relación funcional; es decir, «no informa claramente sobre los niveles, los flujos o las variables auxiliares». Al clasificar cada variable para dibujar el diagrama de Forrester, el modelador tiene que precisar todo eso, y aparecen las relaciones que había pasado por alto.</w:t>
      </w:r>
    </w:p>
    <w:p>
      <w:pPr>
        <w:pStyle w:val="Normal"/>
      </w:pPr>
      <w:r>
        <w:t xml:space="preserve">Defensa: La opción c copia la razón que da L-16, pág. 24. Las demás atribuyen al diagrama causal carencias que no tiene —realimentación y polaridad— o a la conversión efectos que no produce.</w:t>
      </w:r>
    </w:p>
    <w:p>
      <w:pPr>
        <w:pStyle w:val="Fuente"/>
      </w:pPr>
      <w:r>
        <w:t xml:space="preserve">lectura L-16, pág. 24 · Presentación 4a (C-3), láminas 10, 12, 18 y 32</w:t>
      </w:r>
    </w:p>
    <w:p>
      <w:pPr>
        <w:pStyle w:val="Heading3"/>
      </w:pPr>
      <w:bookmarkStart w:name="b_solucion_p3c_34_lineas_de_dynamo" w:id="6716"/>
      <w:r>
        <w:t xml:space="preserve">Solución S3-37</w:t>
      </w:r>
      <w:bookmarkEnd w:id="6716"/>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l   pi.k = pi.j+dt * tc.jk → Ecuación de nivel</w:t>
            </w:r>
          </w:p>
          <w:p>
            <w:pPr>
              <w:pStyle w:val="Recuadro"/>
            </w:pPr>
            <w:r>
              <w:t xml:space="preserve">r   tc.kl = ipc * tcn * pi.k * pv.k → Ecuación de flujo</w:t>
            </w:r>
          </w:p>
          <w:p>
            <w:pPr>
              <w:pStyle w:val="Recuadro"/>
            </w:pPr>
            <w:r>
              <w:t xml:space="preserve">a   pv.k = pt - pi.k → Variable auxiliar</w:t>
            </w:r>
          </w:p>
          <w:p>
            <w:pPr>
              <w:pStyle w:val="Recuadro"/>
            </w:pPr>
            <w:r>
              <w:t xml:space="preserve">c   pt = 100 → Constante</w:t>
            </w:r>
          </w:p>
          <w:p>
            <w:pPr>
              <w:pStyle w:val="Recuadro"/>
            </w:pPr>
            <w:r>
              <w:t xml:space="preserve">n   pi = 10 → Condición inicial de una variable de nivel</w:t>
            </w:r>
          </w:p>
        </w:tc>
      </w:tr>
    </w:tbl>
    <w:p>
      <w:pPr>
        <w:pStyle w:val="Heading3"/>
      </w:pPr>
      <w:r>
        <w:t xml:space="preserve">Lea la letra de cada línea</w:t>
      </w:r>
    </w:p>
    <w:p>
      <w:pPr>
        <w:pStyle w:val="Normal"/>
      </w:pPr>
      <w:r>
        <w:t xml:space="preserve">l de nivel, r de flujo, a de auxiliar, c de constante y n de condición inicial, según L-15, pág. 47.</w:t>
      </w:r>
    </w:p>
    <w:p>
      <w:pPr>
        <w:pStyle w:val="Heading3"/>
      </w:pPr>
      <w:r>
        <w:t xml:space="preserve">Compruebe con la Tabla 1</w:t>
      </w:r>
    </w:p>
    <w:p>
      <w:pPr>
        <w:pStyle w:val="Normal"/>
      </w:pPr>
      <w:r>
        <w:t xml:space="preserve">La línea l suma a PI lo que entra en un dt; la r calcula la tasa de contagio; la a, la población vulnerable. pt = 100 es un valor fijo, y pi = 10 es el valor con que arranca el nivel.</w:t>
      </w:r>
    </w:p>
    <w:p>
      <w:pPr>
        <w:pStyle w:val="Heading3"/>
      </w:pPr>
      <w:r>
        <w:t xml:space="preserve">Fíjese en los subíndices de tiempo</w:t>
      </w:r>
    </w:p>
    <w:p>
      <w:pPr>
        <w:pStyle w:val="Normal"/>
      </w:pPr>
      <w:r>
        <w:t xml:space="preserve">pi.k es el valor de pi en el instante k; tc.kl, el de la tasa en el intervalo entre k y l: un flujo se da entre dos instantes, y un nivel se lee en uno.</w:t>
      </w:r>
    </w:p>
    <w:p>
      <w:pPr>
        <w:pStyle w:val="Normal"/>
      </w:pPr>
      <w:r>
        <w:t xml:space="preserve">Distractor sin fila correspondiente: Función tabla: una relación no lineal.</w:t>
      </w:r>
    </w:p>
    <w:p>
      <w:pPr>
        <w:pStyle w:val="Normal"/>
      </w:pPr>
      <w:r>
        <w:t xml:space="preserve">Distractor sin fila correspondiente: Retardo de material.</w:t>
      </w:r>
    </w:p>
    <w:p>
      <w:pPr>
        <w:pStyle w:val="Normal"/>
      </w:pPr>
      <w:r>
        <w:t xml:space="preserve">Criterio de resolución: Aracil, de quien la presentación toma el listado, explica que a la izquierda de cada línea «aparece una letra que representa el tipo de la ecuación: l si se trata de una ecuación de nivel; r si lo es de flujo; a si es una auxiliar; c para indicar una constante; y n para las condiciones iniciales de una variable de nivel». Las líneas repiten la Tabla 1 de la misma lámina: pi.k = pi.j+dt * tc.jk es PI(t + Δt) = PI(t) + Δt · TC; tc.kl es TC = IPC · TNC · PI · PV, y pv.k = pt − pi.k es PV = PT − PI. El listado no usa funciones tabla ni retardos.</w:t>
      </w:r>
    </w:p>
    <w:p>
      <w:pPr>
        <w:pStyle w:val="Normal"/>
      </w:pPr>
      <w:r>
        <w:t xml:space="preserve">Defensa: L-15, pág. 47, da el significado de cada letra del listado DYNAMO, y cada línea coincide con una ecuación de la Tabla 1 de la lámina 13: l con la de nivel, r con la de flujo, a con la auxiliar; c y n fijan una constante y el valor inicial del nivel.</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9C620A" w:sz="20"/>
              <w:bottom w:val="nil"/>
              <w:right w:val="nil"/>
            </w:tcBorders>
            <w:shd w:fill="FBF3DF" w:val="clear"/>
            <w:tcMar>
              <w:top w:type="dxa" w:w="130"/>
              <w:left w:type="dxa" w:w="180"/>
              <w:bottom w:type="dxa" w:w="130"/>
              <w:right w:type="dxa" w:w="180"/>
            </w:tcMar>
          </w:tcPr>
          <w:p>
            <w:pPr>
              <w:pStyle w:val="RecuadroTitulo"/>
            </w:pPr>
            <w:r>
              <w:rPr>
                <w:b/>
                <w:bCs/>
                <w:color w:val="9C620A"/>
              </w:rPr>
              <w:t xml:space="preserve">Advertencia y límites</w:t>
            </w:r>
          </w:p>
          <w:p>
            <w:pPr>
              <w:pStyle w:val="Recuadro"/>
            </w:pPr>
            <w:r>
              <w:t xml:space="preserve">El listado llama tcn a la constante que la Tabla 1 de la misma lámina llama TNC, la tasa normal de contagio, y la leyenda de la gráfica dice PS y PA donde el modelo usa PI y PV. Es el mismo modelo.</w:t>
            </w:r>
          </w:p>
        </w:tc>
      </w:tr>
    </w:tbl>
    <w:p>
      <w:pPr>
        <w:pStyle w:val="Fuente"/>
      </w:pPr>
      <w:r>
        <w:t xml:space="preserve">Presentación 4a (C-3), lámina 13 · lectura L-15, págs. 46 y 47</w:t>
      </w:r>
    </w:p>
    <w:p>
      <w:pPr>
        <w:pStyle w:val="Heading3"/>
      </w:pPr>
      <w:bookmarkStart w:name="b_solucion_p3c_35_comportamient_96cee697" w:id="6717"/>
      <w:r>
        <w:t xml:space="preserve">Solución S3-38</w:t>
      </w:r>
      <w:bookmarkEnd w:id="6717"/>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a) La población infectada PI crece en forma de S y se acerca a la población total</w:t>
            </w:r>
          </w:p>
          <w:p>
            <w:pPr>
              <w:pStyle w:val="Recuadro"/>
            </w:pPr>
            <w:r>
              <w:t xml:space="preserve">c) La tasa de contagio TC sube hasta un máximo, cuando cerca de la mitad de la población está infectada, y después vuelve a cero</w:t>
            </w:r>
          </w:p>
        </w:tc>
      </w:tr>
    </w:tbl>
    <w:p>
      <w:pPr>
        <w:pStyle w:val="Heading3"/>
      </w:pPr>
      <w:r>
        <w:t xml:space="preserve">Calcule el contagio inicial</w:t>
      </w:r>
    </w:p>
    <w:p>
      <w:pPr>
        <w:pStyle w:val="Normal"/>
      </w:pPr>
      <w:r>
        <w:t xml:space="preserve">TC = IPC · TNC · PI · PV = 0.15 · 0.025 · 10 · 90 = 3.375 por unidad de tiempo: la población infectada empieza a subir.</w:t>
      </w:r>
    </w:p>
    <w:p>
      <w:pPr>
        <w:pStyle w:val="Heading3"/>
      </w:pPr>
      <w:r>
        <w:t xml:space="preserve">Siga la dominancia de los ciclos</w:t>
      </w:r>
    </w:p>
    <w:p>
      <w:pPr>
        <w:pStyle w:val="Normal"/>
      </w:pPr>
      <w:r>
        <w:t xml:space="preserve">Primero domina el refuerzo (más infectados, más contagio) y después el balance (menos vulnerables, menos contagio). Esa sucesión da la S de PI y la subida y bajada de TC.</w:t>
      </w:r>
    </w:p>
    <w:p>
      <w:pPr>
        <w:pStyle w:val="Fuente"/>
      </w:pPr>
      <w:r>
        <w:t xml:space="preserve">Opciones descartadas: b), e).</w:t>
      </w:r>
    </w:p>
    <w:p>
      <w:pPr>
        <w:pStyle w:val="Heading3"/>
      </w:pPr>
      <w:r>
        <w:t xml:space="preserve">Use la ecuación de la población vulnerable</w:t>
      </w:r>
    </w:p>
    <w:p>
      <w:pPr>
        <w:pStyle w:val="Normal"/>
      </w:pPr>
      <w:r>
        <w:t xml:space="preserve">PV = PT − PI: si PI sube, PV baja en la misma cantidad.</w:t>
      </w:r>
    </w:p>
    <w:p>
      <w:pPr>
        <w:pStyle w:val="Fuente"/>
      </w:pPr>
      <w:r>
        <w:t xml:space="preserve">Opciones descartadas: d).</w:t>
      </w:r>
    </w:p>
    <w:p>
      <w:pPr>
        <w:pStyle w:val="Normal"/>
      </w:pPr>
      <w:r>
        <w:t xml:space="preserve">a) La población infectada PI crece en forma de S y se acerca a la población total — Correcta: Aracil lo dice de este mismo modelo, «la población infectada PI muestra un crecimiento sigmoidal»; en la simulación pasa de 10 a casi 100 hacia t = 20.</w:t>
      </w:r>
    </w:p>
    <w:p>
      <w:pPr>
        <w:pStyle w:val="Normal"/>
      </w:pPr>
      <w:r>
        <w:t xml:space="preserve">b) La tasa de contagio TC crece exponencialmente durante toda la simulación — TC = IPC · TNC · PI · PV crece mientras aumentan los infectados, pero PV se agota y la tasa cae. En la gráfica de la lámina, la curva punteada de TC sube y baja.</w:t>
      </w:r>
    </w:p>
    <w:p>
      <w:pPr>
        <w:pStyle w:val="Normal"/>
      </w:pPr>
      <w:r>
        <w:t xml:space="preserve">c) La tasa de contagio TC sube hasta un máximo, cuando cerca de la mitad de la población está infectada, y después vuelve a cero — Correcta: TC parte de 3.375, llega a su máximo, cerca de 9.37, hacia t = 6, cuando PI ronda 50, y vuelve a cero cuando ya casi no quedan vulnerables.</w:t>
      </w:r>
    </w:p>
    <w:p>
      <w:pPr>
        <w:pStyle w:val="Normal"/>
      </w:pPr>
      <w:r>
        <w:t xml:space="preserve">d) La población vulnerable PV crece junto con la población infectada — PV = PT − PI: cada nuevo infectado es un vulnerable menos. PV baja de 90 a casi 0 mientras PI sube.</w:t>
      </w:r>
    </w:p>
    <w:p>
      <w:pPr>
        <w:pStyle w:val="Normal"/>
      </w:pPr>
      <w:r>
        <w:t xml:space="preserve">e) La población infectada oscila alrededor de la mitad de la población total — Con un solo nivel no hay oscilación: L-15 dice que los fenómenos oscilatorios pueden presentarse «si en un mismo bucle de realimentación hay dos o más variables de nivel», y aquí hay uno.</w:t>
      </w:r>
    </w:p>
    <w:p>
      <w:pPr>
        <w:pStyle w:val="Normal"/>
      </w:pPr>
      <w:r>
        <w:t xml:space="preserve">Criterio de resolución: Al principio, con pocos infectados, domina el ciclo de refuerzo: cada infectado contagia a otros y el contagio se acelera. Después, al agotarse la población vulnerable, domina el ciclo de balance y frena el crecimiento; L-15 lo resume así: «es el negativo el que empieza a dominar, limitando el crecimiento por el efecto que representa el agotamiento de la población vulnerable». Con los valores del listado, TC parte de 0.15 · 0.025 · 10 · 90 = 3.375, llega a su máximo, cerca de 9.37, hacia t = 6, cuando la mitad de la población está infectada, y luego cae a cero; PI describe una S que se acerca a 100 y PV, su imagen invertida, baja hacia 0.</w:t>
      </w:r>
    </w:p>
    <w:p>
      <w:pPr>
        <w:pStyle w:val="Normal"/>
      </w:pPr>
      <w:r>
        <w:t xml:space="preserve">Defensa: La gráfica de la lámina 13 muestra una curva que sube en S hasta 100, la de PI, y una de TC que sube y vuelve a cero; L-15 llama sigmoidal a ese crecimiento. Simulado con los valores del listado, el máximo de TC, cerca de 9.37, cae hacia t = 6.</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9C620A" w:sz="20"/>
              <w:bottom w:val="nil"/>
              <w:right w:val="nil"/>
            </w:tcBorders>
            <w:shd w:fill="FBF3DF" w:val="clear"/>
            <w:tcMar>
              <w:top w:type="dxa" w:w="130"/>
              <w:left w:type="dxa" w:w="180"/>
              <w:bottom w:type="dxa" w:w="130"/>
              <w:right w:type="dxa" w:w="180"/>
            </w:tcMar>
          </w:tcPr>
          <w:p>
            <w:pPr>
              <w:pStyle w:val="RecuadroTitulo"/>
            </w:pPr>
            <w:r>
              <w:rPr>
                <w:b/>
                <w:bCs/>
                <w:color w:val="9C620A"/>
              </w:rPr>
              <w:t xml:space="preserve">Advertencia y límites</w:t>
            </w:r>
          </w:p>
          <w:p>
            <w:pPr>
              <w:pStyle w:val="Recuadro"/>
            </w:pPr>
            <w:r>
              <w:t xml:space="preserve">La leyenda de la gráfica de la lámina 13 dice PS y PA donde el modelo usa PI y PV, y el listado escribe tcn por la TNC de la tabla. Es el mismo modelo; las cifras de esta pregunta salen de simularlo con los valores del listado.</w:t>
            </w:r>
          </w:p>
        </w:tc>
      </w:tr>
    </w:tbl>
    <w:p>
      <w:pPr>
        <w:pStyle w:val="Fuente"/>
      </w:pPr>
      <w:r>
        <w:t xml:space="preserve">Presentación 4a (C-3), láminas 10 y 13 · lectura L-15, págs. 47 y 49</w:t>
      </w:r>
    </w:p>
    <w:p>
      <w:pPr>
        <w:pStyle w:val="Heading3"/>
      </w:pPr>
      <w:bookmarkStart w:name="b_solucion_p3c_36_de_los_enunci_f9cbb803" w:id="6718"/>
      <w:r>
        <w:t xml:space="preserve">Solución S3-39</w:t>
      </w:r>
      <w:bookmarkEnd w:id="6718"/>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1. Describir el proceso con enunciados en lenguaje ordinario, de R1 a R4</w:t>
            </w:r>
          </w:p>
          <w:p>
            <w:pPr>
              <w:pStyle w:val="Recuadro"/>
            </w:pPr>
            <w:r>
              <w:t xml:space="preserve">2. Convertir los enunciados en relaciones de influencia y reunirlas en un diagrama de influencias</w:t>
            </w:r>
          </w:p>
          <w:p>
            <w:pPr>
              <w:pStyle w:val="Recuadro"/>
            </w:pPr>
            <w:r>
              <w:t xml:space="preserve">3. Clasificar las variables en niveles, flujos y auxiliares</w:t>
            </w:r>
          </w:p>
          <w:p>
            <w:pPr>
              <w:pStyle w:val="Recuadro"/>
            </w:pPr>
            <w:r>
              <w:t xml:space="preserve">4. Asociar a cada variable su icono y dibujar el diagrama de Forrester</w:t>
            </w:r>
          </w:p>
          <w:p>
            <w:pPr>
              <w:pStyle w:val="Recuadro"/>
            </w:pPr>
            <w:r>
              <w:t xml:space="preserve">5. Escribir las ecuaciones de nivel, de flujo y de la variable auxiliar</w:t>
            </w:r>
          </w:p>
          <w:p>
            <w:pPr>
              <w:pStyle w:val="Recuadro"/>
            </w:pPr>
            <w:r>
              <w:t xml:space="preserve">6. Programar el modelo en DYNAMO y generar las trayectorias</w:t>
            </w:r>
          </w:p>
        </w:tc>
      </w:tr>
    </w:tbl>
    <w:p>
      <w:pPr>
        <w:pStyle w:val="Heading3"/>
      </w:pPr>
      <w:r>
        <w:t xml:space="preserve">Parta del modelo mental</w:t>
      </w:r>
    </w:p>
    <w:p>
      <w:pPr>
        <w:pStyle w:val="Normal"/>
      </w:pPr>
      <w:r>
        <w:t xml:space="preserve">Los enunciados R1 a R4 son lo que, según L-15, la literatura llama el «modelo mental de los correspondientes especialistas»; de ellos salen las relaciones de influencia y el diagrama.</w:t>
      </w:r>
    </w:p>
    <w:p>
      <w:pPr>
        <w:pStyle w:val="Heading3"/>
      </w:pPr>
      <w:r>
        <w:t xml:space="preserve">Clasifique antes de dibujar</w:t>
      </w:r>
    </w:p>
    <w:p>
      <w:pPr>
        <w:pStyle w:val="Normal"/>
      </w:pPr>
      <w:r>
        <w:t xml:space="preserve">El diagrama de Forrester se obtiene «clasificando sus nodos en variables de nivel, flujo o auxiliares y asociando a esos nodos los iconos correspondientes» (lámina 9): primero la clasificación, después los iconos.</w:t>
      </w:r>
    </w:p>
    <w:p>
      <w:pPr>
        <w:pStyle w:val="Heading3"/>
      </w:pPr>
      <w:r>
        <w:t xml:space="preserve">Escriba y luego programe</w:t>
      </w:r>
    </w:p>
    <w:p>
      <w:pPr>
        <w:pStyle w:val="Normal"/>
      </w:pPr>
      <w:r>
        <w:t xml:space="preserve">Al diagrama de Forrester se asocian las ecuaciones de la Tabla 1; el listado DYNAMO las traduce línea por línea, y al correrlo se obtienen las trayectorias.</w:t>
      </w:r>
    </w:p>
    <w:p>
      <w:pPr>
        <w:pStyle w:val="Normal"/>
      </w:pPr>
      <w:r>
        <w:t xml:space="preserve">Criterio de resolución: La presentación sigue a Aracil. La lámina 10 parte de cuatro enunciados verbales, R1 a R4, los convierte en relaciones de influencia (TC + PI, PI + TC, PI − PV, PV + TC) y los reúne en el diagrama de influencias. La lámina 11 clasifica sus variables en niveles, flujos y auxiliares; la 12 les asocia los iconos y dibuja el diagrama de Forrester, con las constantes y la nube; la 13 escribe las ecuaciones de la Tabla 1, las programa en DYNAMO y muestra el comportamiento generado. Es el proceso de modelado del glosario de Aracil: modelo mental, diagrama de influencias y diagrama de Forrester, «a partir del cual se dispone ya de un modelo matemático que puede ser programado en un computador».</w:t>
      </w:r>
    </w:p>
    <w:p>
      <w:pPr>
        <w:pStyle w:val="Normal"/>
      </w:pPr>
      <w:r>
        <w:t xml:space="preserve">Defensa: Es el orden de las láminas 10 a 13 de la presentación 4a y el de Aracil, L-15, págs. 37 a 47: enunciados, diagrama de influencias, clasificación, diagrama de Forrester, ecuaciones y programa.</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9C620A" w:sz="20"/>
              <w:bottom w:val="nil"/>
              <w:right w:val="nil"/>
            </w:tcBorders>
            <w:shd w:fill="FBF3DF" w:val="clear"/>
            <w:tcMar>
              <w:top w:type="dxa" w:w="130"/>
              <w:left w:type="dxa" w:w="180"/>
              <w:bottom w:type="dxa" w:w="130"/>
              <w:right w:type="dxa" w:w="180"/>
            </w:tcMar>
          </w:tcPr>
          <w:p>
            <w:pPr>
              <w:pStyle w:val="RecuadroTitulo"/>
            </w:pPr>
            <w:r>
              <w:rPr>
                <w:b/>
                <w:bCs/>
                <w:color w:val="9C620A"/>
              </w:rPr>
              <w:t xml:space="preserve">Advertencia y límites</w:t>
            </w:r>
          </w:p>
          <w:p>
            <w:pPr>
              <w:pStyle w:val="Recuadro"/>
            </w:pPr>
            <w:r>
              <w:t xml:space="preserve">En la lámina 10, R1 a R4 nombran las cuatro relaciones de la descripción verbal, no ciclos de realimentación: el diagrama tiene un ciclo de refuerzo y uno de balance.</w:t>
            </w:r>
          </w:p>
        </w:tc>
      </w:tr>
    </w:tbl>
    <w:p>
      <w:pPr>
        <w:pStyle w:val="Fuente"/>
      </w:pPr>
      <w:r>
        <w:t xml:space="preserve">Presentación 4a (C-3), láminas 9, 10, 11, 12 y 13 · lectura L-15, págs. 37 a 47 y 83</w:t>
      </w:r>
    </w:p>
    <w:p>
      <w:pPr>
        <w:pStyle w:val="Heading3"/>
      </w:pPr>
      <w:bookmarkStart w:name="b_solucion_p3c_37_unidades_de_los_flujos" w:id="6719"/>
      <w:r>
        <w:t xml:space="preserve">Solución S3-40</w:t>
      </w:r>
      <w:bookmarkEnd w:id="6719"/>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a) Verdadero</w:t>
            </w:r>
          </w:p>
        </w:tc>
      </w:tr>
    </w:tbl>
    <w:p>
      <w:pPr>
        <w:pStyle w:val="Heading3"/>
      </w:pPr>
      <w:r>
        <w:t xml:space="preserve">Aplique la regla de las unidades</w:t>
      </w:r>
    </w:p>
    <w:p>
      <w:pPr>
        <w:pStyle w:val="Normal"/>
      </w:pPr>
      <w:r>
        <w:t xml:space="preserve">Si el nivel se mide en u, sus flujos se miden en u/tiempo: es la regla que la lámina 18 aplica al ejemplo de X, Y y Z.</w:t>
      </w:r>
    </w:p>
    <w:p>
      <w:pPr>
        <w:pStyle w:val="Heading3"/>
      </w:pPr>
      <w:r>
        <w:t xml:space="preserve">Sustituya u por kg/s</w:t>
      </w:r>
    </w:p>
    <w:p>
      <w:pPr>
        <w:pStyle w:val="Normal"/>
      </w:pPr>
      <w:r>
        <w:t xml:space="preserve">(kg/s)/s = kg/s²: es exactamente el ejemplo de la lámina, y por eso la afirmación es verdadera.</w:t>
      </w:r>
    </w:p>
    <w:p>
      <w:pPr>
        <w:pStyle w:val="Fuente"/>
      </w:pPr>
      <w:r>
        <w:t xml:space="preserve">Opciones descartadas: b).</w:t>
      </w:r>
    </w:p>
    <w:p>
      <w:pPr>
        <w:pStyle w:val="Normal"/>
      </w:pPr>
      <w:r>
        <w:t xml:space="preserve">a) Verdadero — Correcta: es el ejemplo de la lámina 18, «Por ejemplo si Y se mide en kg/s, X y Z podrían estar en kg/s²». Si el nivel se mide en u, sus flujos se miden en u/tiempo, y aquí u ya es kg/s.</w:t>
      </w:r>
    </w:p>
    <w:p>
      <w:pPr>
        <w:pStyle w:val="Normal"/>
      </w:pPr>
      <w:r>
        <w:t xml:space="preserve">b) Falso — Sería falso si la unidad de un nivel no pudiera llevar tiempo; la regla no lo impide: los flujos llevan la unidad del nivel partida por tiempo, sea cual sea esa unidad.</w:t>
      </w:r>
    </w:p>
    <w:p>
      <w:pPr>
        <w:pStyle w:val="Normal"/>
      </w:pPr>
      <w:r>
        <w:t xml:space="preserve">Criterio de resolución: La lámina 18 enuncia la regla de las unidades —«si Y se mide en unidades u, X y Z se miden en u/tiempo»— y la ilustra con dos ejemplos: kg/s y kg/s², y litros y litros/min. Es el análisis dimensional de la lámina 11: en la influencia de un flujo sobre su nivel, «el consecuente viene medido en unas ciertas unidades y el antecedente en esas mismas unidades partidas por tiempo». Lo que importa no es que la unidad del nivel sea una cantidad simple, sino que el flujo sea esa unidad por unidad de tiempo.</w:t>
      </w:r>
    </w:p>
    <w:p>
      <w:pPr>
        <w:pStyle w:val="Normal"/>
      </w:pPr>
      <w:r>
        <w:t xml:space="preserve">Defensa: La lámina 18 trae este ejemplo, literal: «si Y se mide en kg/s, X y Z podrían estar en kg/s²». Es la regla general de que los flujos se miden en las unidades del nivel por unidad de tiempo.</w:t>
      </w:r>
    </w:p>
    <w:p>
      <w:pPr>
        <w:pStyle w:val="Fuente"/>
      </w:pPr>
      <w:r>
        <w:t xml:space="preserve">Presentación 4a (C-3), láminas 11 y 18 · lectura L-16, pág. 10</w:t>
      </w:r>
    </w:p>
    <w:p>
      <w:pPr>
        <w:pStyle w:val="Heading3"/>
      </w:pPr>
      <w:bookmarkStart w:name="b_solucion_p3c_81_proyecto_alivio" w:id="6720"/>
      <w:r>
        <w:t xml:space="preserve">Solución S3-41</w:t>
      </w:r>
      <w:bookmarkEnd w:id="6720"/>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a) Hacer tareas menores aumenta la percepción de progreso y reduce las dificultades percibidas, aunque queden tareas críticas.</w:t>
            </w:r>
          </w:p>
        </w:tc>
      </w:tr>
    </w:tbl>
    <w:p>
      <w:pPr>
        <w:pStyle w:val="Heading3"/>
      </w:pPr>
      <w:r>
        <w:t xml:space="preserve">Identificar la estructura y la evidencia</w:t>
      </w:r>
    </w:p>
    <w:p>
      <w:pPr>
        <w:pStyle w:val="Normal"/>
      </w:pPr>
      <w:r>
        <w:t xml:space="preserve">Dificultades → tareas menos importantes → progreso en tareas → percepción de progreso → dificultades tiene signos +,+,+,−: es balance. El alivio es aparente: la historia repite la evasión cada día y llega al plazo con trabajo crítico pendiente. Un diagrama distinto es admisible si sus nombres y signos conservan ambos comportamientos: alivio aparente y agravamiento real.</w:t>
      </w:r>
    </w:p>
    <w:p>
      <w:pPr>
        <w:pStyle w:val="Heading3"/>
      </w:pPr>
      <w:r>
        <w:t xml:space="preserve">Comprobar el alcance</w:t>
      </w:r>
    </w:p>
    <w:p>
      <w:pPr>
        <w:pStyle w:val="Normal"/>
      </w:pPr>
      <w:r>
        <w:t xml:space="preserve">Distinga lo que permite concluir la fuente de lo que requeriría ecuaciones, datos o una validación adicional.</w:t>
      </w:r>
    </w:p>
    <w:p>
      <w:pPr>
        <w:pStyle w:val="Normal"/>
      </w:pPr>
      <w:r>
        <w:t xml:space="preserve">a) Hacer tareas menores aumenta la percepción de progreso y reduce las dificultades percibidas, aunque queden tareas críticas. — Correcta. Dificultades → tareas menos importantes → progreso en tareas → percepción de progreso → dificultades tiene signos +,+,+,−: es balance. El alivio es aparente: la historia repite la evasión cada día y llega al plazo con trabajo crítico pendiente. Un diagrama distinto es admisible si sus nombres y signos conservan ambos comportamientos: alivio aparente y agravamiento real.</w:t>
      </w:r>
    </w:p>
    <w:p>
      <w:pPr>
        <w:pStyle w:val="Normal"/>
      </w:pPr>
      <w:r>
        <w:t xml:space="preserve">b) El cansancio por horas extra reduce el rendimiento de Ana. — Esta opción no conserva la distinción del caso. Dificultades → tareas menos importantes → progreso en tareas → percepción de progreso → dificultades tiene signos +,+,+,−: es balance. El alivio es aparente: la historia repite la evasión cada día y llega al plazo con trabajo crítico pendiente. Un diagrama distinto es admisible si sus nombres y signos conservan ambos comportamientos: alivio aparente y agravamiento real.</w:t>
      </w:r>
    </w:p>
    <w:p>
      <w:pPr>
        <w:pStyle w:val="Normal"/>
      </w:pPr>
      <w:r>
        <w:t xml:space="preserve">c) Completar tareas menores elimina necesariamente los pendientes difíciles. — Esta opción no conserva la distinción del caso. Dificultades → tareas menos importantes → progreso en tareas → percepción de progreso → dificultades tiene signos +,+,+,−: es balance. El alivio es aparente: la historia repite la evasión cada día y llega al plazo con trabajo crítico pendiente. Un diagrama distinto es admisible si sus nombres y signos conservan ambos comportamientos: alivio aparente y agravamiento real.</w:t>
      </w:r>
    </w:p>
    <w:p>
      <w:pPr>
        <w:pStyle w:val="Normal"/>
      </w:pPr>
      <w:r>
        <w:t xml:space="preserve">d) B1 sólo es una secuencia sin retorno a dificultades. — Esta opción no conserva la distinción del caso. Dificultades → tareas menos importantes → progreso en tareas → percepción de progreso → dificultades tiene signos +,+,+,−: es balance. El alivio es aparente: la historia repite la evasión cada día y llega al plazo con trabajo crítico pendiente. Un diagrama distinto es admisible si sus nombres y signos conservan ambos comportamientos: alivio aparente y agravamiento real.</w:t>
      </w:r>
    </w:p>
    <w:p>
      <w:pPr>
        <w:pStyle w:val="Normal"/>
      </w:pPr>
      <w:r>
        <w:t xml:space="preserve">Criterio de resolución: Dificultades → tareas menos importantes → progreso en tareas → percepción de progreso → dificultades tiene signos +,+,+,−: es balance. El alivio es aparente: la historia repite la evasión cada día y llega al plazo con trabajo crítico pendiente. Un diagrama distinto es admisible si sus nombres y signos conservan ambos comportamientos: alivio aparente y agravamiento real.</w:t>
      </w:r>
    </w:p>
    <w:p>
      <w:pPr>
        <w:pStyle w:val="Normal"/>
      </w:pPr>
      <w:r>
        <w:t xml:space="preserve">Defensa: Dificultades → tareas menos importantes → progreso en tareas → percepción de progreso → dificultades tiene signos +,+,+,−: es balance. El alivio es aparente: la historia repite la evasión cada día y llega al plazo con trabajo crítico pendiente. Un diagrama distinto es admisible si sus nombres y signos conservan ambos comportamientos: alivio aparente y agravamiento real.</w:t>
      </w:r>
    </w:p>
    <w:p>
      <w:pPr>
        <w:pStyle w:val="Fuente"/>
      </w:pPr>
      <w:r>
        <w:t xml:space="preserve">Clase 20 · 00:17:05 · 00:21:46 · 00:24:08 · 00:26:43 · láminas c20-02 y c20-03</w:t>
      </w:r>
    </w:p>
    <w:p>
      <w:pPr>
        <w:pStyle w:val="Heading3"/>
      </w:pPr>
      <w:bookmarkStart w:name="b_solucion_p3c_82_proyecto_pendientes" w:id="6721"/>
      <w:r>
        <w:t xml:space="preserve">Solución S3-42</w:t>
      </w:r>
      <w:bookmarkEnd w:id="6721"/>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b) Dificultades → tareas menos importantes → tareas difíciles sin completar → dificultades, con tres relaciones positivas.</w:t>
            </w:r>
          </w:p>
        </w:tc>
      </w:tr>
    </w:tbl>
    <w:p>
      <w:pPr>
        <w:pStyle w:val="Heading3"/>
      </w:pPr>
      <w:r>
        <w:t xml:space="preserve">Identificar la estructura y la evidencia</w:t>
      </w:r>
    </w:p>
    <w:p>
      <w:pPr>
        <w:pStyle w:val="Normal"/>
      </w:pPr>
      <w:r>
        <w:t xml:space="preserve">R2 conserva el trabajo difícil sin completar: al desviar esfuerzo hacia tareas menores crecen los pendientes difíciles; éstos agravan las dificultades y alientan más evasión. Las tres relaciones positivas cierran un refuerzo del atraso. Fatiga y horas extra corresponden a otra historia.</w:t>
      </w:r>
    </w:p>
    <w:p>
      <w:pPr>
        <w:pStyle w:val="Heading3"/>
      </w:pPr>
      <w:r>
        <w:t xml:space="preserve">Comprobar el alcance</w:t>
      </w:r>
    </w:p>
    <w:p>
      <w:pPr>
        <w:pStyle w:val="Normal"/>
      </w:pPr>
      <w:r>
        <w:t xml:space="preserve">Distinga lo que permite concluir la fuente de lo que requeriría ecuaciones, datos o una validación adicional.</w:t>
      </w:r>
    </w:p>
    <w:p>
      <w:pPr>
        <w:pStyle w:val="Normal"/>
      </w:pPr>
      <w:r>
        <w:t xml:space="preserve">a) Dificultades → horas extra → fatiga → dificultades. — Esta opción no conserva la distinción del caso. R2 conserva el trabajo difícil sin completar: al desviar esfuerzo hacia tareas menores crecen los pendientes difíciles; éstos agravan las dificultades y alientan más evasión. Las tres relaciones positivas cierran un refuerzo del atraso. Fatiga y horas extra corresponden a otra historia.</w:t>
      </w:r>
    </w:p>
    <w:p>
      <w:pPr>
        <w:pStyle w:val="Normal"/>
      </w:pPr>
      <w:r>
        <w:t xml:space="preserve">b) Dificultades → tareas menos importantes → tareas difíciles sin completar → dificultades, con tres relaciones positivas. — Correcta. R2 conserva el trabajo difícil sin completar: al desviar esfuerzo hacia tareas menores crecen los pendientes difíciles; éstos agravan las dificultades y alientan más evasión. Las tres relaciones positivas cierran un refuerzo del atraso. Fatiga y horas extra corresponden a otra historia.</w:t>
      </w:r>
    </w:p>
    <w:p>
      <w:pPr>
        <w:pStyle w:val="Normal"/>
      </w:pPr>
      <w:r>
        <w:t xml:space="preserve">c) Tareas menores → percepción de progreso → dificultades, sin volver a tareas menores. — Esta opción no conserva la distinción del caso. R2 conserva el trabajo difícil sin completar: al desviar esfuerzo hacia tareas menores crecen los pendientes difíciles; éstos agravan las dificultades y alientan más evasión. Las tres relaciones positivas cierran un refuerzo del atraso. Fatiga y horas extra corresponden a otra historia.</w:t>
      </w:r>
    </w:p>
    <w:p>
      <w:pPr>
        <w:pStyle w:val="Normal"/>
      </w:pPr>
      <w:r>
        <w:t xml:space="preserve">d) Pendientes difíciles → dificultades con signo negativo, porque los pendientes ayudan. — Esta opción no conserva la distinción del caso. R2 conserva el trabajo difícil sin completar: al desviar esfuerzo hacia tareas menores crecen los pendientes difíciles; éstos agravan las dificultades y alientan más evasión. Las tres relaciones positivas cierran un refuerzo del atraso. Fatiga y horas extra corresponden a otra historia.</w:t>
      </w:r>
    </w:p>
    <w:p>
      <w:pPr>
        <w:pStyle w:val="Normal"/>
      </w:pPr>
      <w:r>
        <w:t xml:space="preserve">Criterio de resolución: R2 conserva el trabajo difícil sin completar: al desviar esfuerzo hacia tareas menores crecen los pendientes difíciles; éstos agravan las dificultades y alientan más evasión. Las tres relaciones positivas cierran un refuerzo del atraso. Fatiga y horas extra corresponden a otra historia.</w:t>
      </w:r>
    </w:p>
    <w:p>
      <w:pPr>
        <w:pStyle w:val="Normal"/>
      </w:pPr>
      <w:r>
        <w:t xml:space="preserve">Defensa: R2 conserva el trabajo difícil sin completar: al desviar esfuerzo hacia tareas menores crecen los pendientes difíciles; éstos agravan las dificultades y alientan más evasión. Las tres relaciones positivas cierran un refuerzo del atraso. Fatiga y horas extra corresponden a otra historia.</w:t>
      </w:r>
    </w:p>
    <w:p>
      <w:pPr>
        <w:pStyle w:val="Fuente"/>
      </w:pPr>
      <w:r>
        <w:t xml:space="preserve">Clase 20 · 00:30:04 · lámina c20-03</w:t>
      </w:r>
    </w:p>
    <w:p>
      <w:pPr>
        <w:pStyle w:val="Heading3"/>
      </w:pPr>
      <w:bookmarkStart w:name="b_solucion_p3c_83_proyecto_tiempo" w:id="6722"/>
      <w:r>
        <w:t xml:space="preserve">Solución S3-43</w:t>
      </w:r>
      <w:bookmarkEnd w:id="6722"/>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c) Refuerzo: dos negativas se compensan y la evasión agrava las dificultades.</w:t>
            </w:r>
          </w:p>
        </w:tc>
      </w:tr>
    </w:tbl>
    <w:p>
      <w:pPr>
        <w:pStyle w:val="Heading3"/>
      </w:pPr>
      <w:r>
        <w:t xml:space="preserve">Identificar la estructura y la evidencia</w:t>
      </w:r>
    </w:p>
    <w:p>
      <w:pPr>
        <w:pStyle w:val="Normal"/>
      </w:pPr>
      <w:r>
        <w:t xml:space="preserve">Más tareas menores consumen tiempo; menos tiempo disponible eleva las dificultades, que impulsan más tareas menores. Dos relaciones negativas producen paridad positiva: refuerzo, aunque su efecto sea perjudicial. El signo no expresa conveniencia.</w:t>
      </w:r>
    </w:p>
    <w:p>
      <w:pPr>
        <w:pStyle w:val="Heading3"/>
      </w:pPr>
      <w:r>
        <w:t xml:space="preserve">Comprobar el alcance</w:t>
      </w:r>
    </w:p>
    <w:p>
      <w:pPr>
        <w:pStyle w:val="Normal"/>
      </w:pPr>
      <w:r>
        <w:t xml:space="preserve">Distinga lo que permite concluir la fuente de lo que requeriría ecuaciones, datos o una validación adicional.</w:t>
      </w:r>
    </w:p>
    <w:p>
      <w:pPr>
        <w:pStyle w:val="Normal"/>
      </w:pPr>
      <w:r>
        <w:t xml:space="preserve">a) Balance, porque hay relaciones negativas. — Esta opción no conserva la distinción del caso. Más tareas menores consumen tiempo; menos tiempo disponible eleva las dificultades, que impulsan más tareas menores. Dos relaciones negativas producen paridad positiva: refuerzo, aunque su efecto sea perjudicial. El signo no expresa conveniencia.</w:t>
      </w:r>
    </w:p>
    <w:p>
      <w:pPr>
        <w:pStyle w:val="Normal"/>
      </w:pPr>
      <w:r>
        <w:t xml:space="preserve">b) No hay ciclo, porque el tiempo no puede ser variable. — Esta opción no conserva la distinción del caso. Más tareas menores consumen tiempo; menos tiempo disponible eleva las dificultades, que impulsan más tareas menores. Dos relaciones negativas producen paridad positiva: refuerzo, aunque su efecto sea perjudicial. El signo no expresa conveniencia.</w:t>
      </w:r>
    </w:p>
    <w:p>
      <w:pPr>
        <w:pStyle w:val="Normal"/>
      </w:pPr>
      <w:r>
        <w:t xml:space="preserve">c) Refuerzo: dos negativas se compensan y la evasión agrava las dificultades. — Correcta. Más tareas menores consumen tiempo; menos tiempo disponible eleva las dificultades, que impulsan más tareas menores. Dos relaciones negativas producen paridad positiva: refuerzo, aunque su efecto sea perjudicial. El signo no expresa conveniencia.</w:t>
      </w:r>
    </w:p>
    <w:p>
      <w:pPr>
        <w:pStyle w:val="Normal"/>
      </w:pPr>
      <w:r>
        <w:t xml:space="preserve">d) Balance, porque todo empeoramiento es compensación. — Esta opción no conserva la distinción del caso. Más tareas menores consumen tiempo; menos tiempo disponible eleva las dificultades, que impulsan más tareas menores. Dos relaciones negativas producen paridad positiva: refuerzo, aunque su efecto sea perjudicial. El signo no expresa conveniencia.</w:t>
      </w:r>
    </w:p>
    <w:p>
      <w:pPr>
        <w:pStyle w:val="Normal"/>
      </w:pPr>
      <w:r>
        <w:t xml:space="preserve">Criterio de resolución: Más tareas menores consumen tiempo; menos tiempo disponible eleva las dificultades, que impulsan más tareas menores. Dos relaciones negativas producen paridad positiva: refuerzo, aunque su efecto sea perjudicial. El signo no expresa conveniencia.</w:t>
      </w:r>
    </w:p>
    <w:p>
      <w:pPr>
        <w:pStyle w:val="Normal"/>
      </w:pPr>
      <w:r>
        <w:t xml:space="preserve">Defensa: Más tareas menores consumen tiempo; menos tiempo disponible eleva las dificultades, que impulsan más tareas menores. Dos relaciones negativas producen paridad positiva: refuerzo, aunque su efecto sea perjudicial. El signo no expresa conveniencia.</w:t>
      </w:r>
    </w:p>
    <w:p>
      <w:pPr>
        <w:pStyle w:val="Fuente"/>
      </w:pPr>
      <w:r>
        <w:t xml:space="preserve">Clase 20 · 00:31:53 · lámina c20-03</w:t>
      </w:r>
    </w:p>
    <w:p>
      <w:pPr>
        <w:pStyle w:val="Heading3"/>
      </w:pPr>
      <w:bookmarkStart w:name="b_solucion_p3c_84_proyecto_recursos" w:id="6723"/>
      <w:r>
        <w:t xml:space="preserve">Solución S3-44</w:t>
      </w:r>
      <w:bookmarkEnd w:id="6723"/>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d) Las tareas menores reducen información/recursos disponibles; su reducción agrava dificultades: es refuerzo y faltan datos para una corrida.</w:t>
            </w:r>
          </w:p>
        </w:tc>
      </w:tr>
    </w:tbl>
    <w:p>
      <w:pPr>
        <w:pStyle w:val="Heading3"/>
      </w:pPr>
      <w:r>
        <w:t xml:space="preserve">Identificar la estructura y la evidencia</w:t>
      </w:r>
    </w:p>
    <w:p>
      <w:pPr>
        <w:pStyle w:val="Normal"/>
      </w:pPr>
      <w:r>
        <w:t xml:space="preserve">Dificultades → tareas menores (+) → información y recursos (−) → dificultades (−) es R4. Las dos negativas forman refuerzo. La revisión causal precede a elegir niveles, flujos y ecuaciones; sin cantidades, tasas y condiciones iniciales no se calcula ni se atribuye una simulación al profesor.</w:t>
      </w:r>
    </w:p>
    <w:p>
      <w:pPr>
        <w:pStyle w:val="Heading3"/>
      </w:pPr>
      <w:r>
        <w:t xml:space="preserve">Comprobar el alcance</w:t>
      </w:r>
    </w:p>
    <w:p>
      <w:pPr>
        <w:pStyle w:val="Normal"/>
      </w:pPr>
      <w:r>
        <w:t xml:space="preserve">Distinga lo que permite concluir la fuente de lo que requeriría ecuaciones, datos o una validación adicional.</w:t>
      </w:r>
    </w:p>
    <w:p>
      <w:pPr>
        <w:pStyle w:val="Normal"/>
      </w:pPr>
      <w:r>
        <w:t xml:space="preserve">a) La información causa fatiga; basta dibujar flechas para obtener una corrida. — Esta opción no conserva la distinción del caso. Dificultades → tareas menores (+) → información y recursos (−) → dificultades (−) es R4. Las dos negativas forman refuerzo. La revisión causal precede a elegir niveles, flujos y ecuaciones; sin cantidades, tasas y condiciones iniciales no se calcula ni se atribuye una simulación al profesor.</w:t>
      </w:r>
    </w:p>
    <w:p>
      <w:pPr>
        <w:pStyle w:val="Normal"/>
      </w:pPr>
      <w:r>
        <w:t xml:space="preserve">b) Dos negativas siempre forman balance y fijan un plazo numérico. — Esta opción no conserva la distinción del caso. Dificultades → tareas menores (+) → información y recursos (−) → dificultades (−) es R4. Las dos negativas forman refuerzo. La revisión causal precede a elegir niveles, flujos y ecuaciones; sin cantidades, tasas y condiciones iniciales no se calcula ni se atribuye una simulación al profesor.</w:t>
      </w:r>
    </w:p>
    <w:p>
      <w:pPr>
        <w:pStyle w:val="Normal"/>
      </w:pPr>
      <w:r>
        <w:t xml:space="preserve">c) Toda información es necesariamente un nivel; sus parámetros pueden suponerse oficiales. — Esta opción no conserva la distinción del caso. Dificultades → tareas menores (+) → información y recursos (−) → dificultades (−) es R4. Las dos negativas forman refuerzo. La revisión causal precede a elegir niveles, flujos y ecuaciones; sin cantidades, tasas y condiciones iniciales no se calcula ni se atribuye una simulación al profesor.</w:t>
      </w:r>
    </w:p>
    <w:p>
      <w:pPr>
        <w:pStyle w:val="Normal"/>
      </w:pPr>
      <w:r>
        <w:t xml:space="preserve">d) Las tareas menores reducen información/recursos disponibles; su reducción agrava dificultades: es refuerzo y faltan datos para una corrida. — Correcta. Dificultades → tareas menores (+) → información y recursos (−) → dificultades (−) es R4. Las dos negativas forman refuerzo. La revisión causal precede a elegir niveles, flujos y ecuaciones; sin cantidades, tasas y condiciones iniciales no se calcula ni se atribuye una simulación al profesor.</w:t>
      </w:r>
    </w:p>
    <w:p>
      <w:pPr>
        <w:pStyle w:val="Normal"/>
      </w:pPr>
      <w:r>
        <w:t xml:space="preserve">Criterio de resolución: Dificultades → tareas menores (+) → información y recursos (−) → dificultades (−) es R4. Las dos negativas forman refuerzo. La revisión causal precede a elegir niveles, flujos y ecuaciones; sin cantidades, tasas y condiciones iniciales no se calcula ni se atribuye una simulación al profesor.</w:t>
      </w:r>
    </w:p>
    <w:p>
      <w:pPr>
        <w:pStyle w:val="Normal"/>
      </w:pPr>
      <w:r>
        <w:t xml:space="preserve">Defensa: Dificultades → tareas menores (+) → información y recursos (−) → dificultades (−) es R4. Las dos negativas forman refuerzo. La revisión causal precede a elegir niveles, flujos y ecuaciones; sin cantidades, tasas y condiciones iniciales no se calcula ni se atribuye una simulación al profesor.</w:t>
      </w:r>
    </w:p>
    <w:p>
      <w:pPr>
        <w:pStyle w:val="Fuente"/>
      </w:pPr>
      <w:r>
        <w:t xml:space="preserve">Clase 20 · 00:31:53 · lámina c20-03</w:t>
      </w:r>
    </w:p>
    <w:p>
      <w:pPr>
        <w:pStyle w:val="Heading3"/>
      </w:pPr>
      <w:bookmarkStart w:name="b_solucion_p3c_38_fase_de_formalizacion" w:id="6724"/>
      <w:r>
        <w:t xml:space="preserve">Solución S3-45</w:t>
      </w:r>
      <w:bookmarkEnd w:id="6724"/>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b) Formalización</w:t>
            </w:r>
          </w:p>
        </w:tc>
      </w:tr>
    </w:tbl>
    <w:p>
      <w:pPr>
        <w:pStyle w:val="Heading3"/>
      </w:pPr>
      <w:r>
        <w:t xml:space="preserve">Identifique el punto de partida</w:t>
      </w:r>
    </w:p>
    <w:p>
      <w:pPr>
        <w:pStyle w:val="Normal"/>
      </w:pPr>
      <w:r>
        <w:t xml:space="preserve">La descripción parte del diagrama de influencias «alcanzado en la anterior»: la fase buscada viene justo después de la conceptualización, que es la que produce ese diagrama.</w:t>
      </w:r>
    </w:p>
    <w:p>
      <w:pPr>
        <w:pStyle w:val="Fuente"/>
      </w:pPr>
      <w:r>
        <w:t xml:space="preserve">Opciones descartadas: a).</w:t>
      </w:r>
    </w:p>
    <w:p>
      <w:pPr>
        <w:pStyle w:val="Heading3"/>
      </w:pPr>
      <w:r>
        <w:t xml:space="preserve">Ubique el producto de la fase</w:t>
      </w:r>
    </w:p>
    <w:p>
      <w:pPr>
        <w:pStyle w:val="Normal"/>
      </w:pPr>
      <w:r>
        <w:t xml:space="preserve">Lo que sale es el diagrama de Forrester con sus ecuaciones: un modelo programado, todavía sin simular. Simularlo es el comportamiento; validarlo, la evaluación; usarlo para comparar políticas, la explotación.</w:t>
      </w:r>
    </w:p>
    <w:p>
      <w:pPr>
        <w:pStyle w:val="Fuente"/>
      </w:pPr>
      <w:r>
        <w:t xml:space="preserve">Opciones descartadas: c), d), e).</w:t>
      </w:r>
    </w:p>
    <w:p>
      <w:pPr>
        <w:pStyle w:val="Normal"/>
      </w:pPr>
      <w:r>
        <w:t xml:space="preserve">a) Conceptualización del sistema — Es la fase anterior: define los elementos y sus influencias, y «El resultado de esta fase es el establecimiento del diagrama de influencias del sistema». La formalización parte de ese diagrama.</w:t>
      </w:r>
    </w:p>
    <w:p>
      <w:pPr>
        <w:pStyle w:val="Normal"/>
      </w:pPr>
      <w:r>
        <w:t xml:space="preserve">b) Formalización — Correcta: es literal de Aracil (L-15, pág. 60), que cierra la descripción así: «Al final de la fase se dispone de un modelo del sistema programado en un computador».</w:t>
      </w:r>
    </w:p>
    <w:p>
      <w:pPr>
        <w:pStyle w:val="Normal"/>
      </w:pPr>
      <w:r>
        <w:t xml:space="preserve">c) Comportamiento del modelo — Viene después: consiste en «la simulación informática del modelo para determinar las trayectorias que genera», con el modelo ya programado.</w:t>
      </w:r>
    </w:p>
    <w:p>
      <w:pPr>
        <w:pStyle w:val="Normal"/>
      </w:pPr>
      <w:r>
        <w:t xml:space="preserve">d) Evaluación del modelo — Somete el modelo, ya simulado, a «una serie de ensayos y análisis para evaluar su validez y calidad»; no lo construye.</w:t>
      </w:r>
    </w:p>
    <w:p>
      <w:pPr>
        <w:pStyle w:val="Normal"/>
      </w:pPr>
      <w:r>
        <w:t xml:space="preserve">e) Explotación del modelo — Es la última fase: el modelo «se emplea para analizar políticas alternativas», definidas mediante escenarios.</w:t>
      </w:r>
    </w:p>
    <w:p>
      <w:pPr>
        <w:pStyle w:val="Normal"/>
      </w:pPr>
      <w:r>
        <w:t xml:space="preserve">Criterio de resolución: Aracil (L-15) distingue seis fases: definición del problema, conceptualización, formalización, comportamiento, evaluación y explotación, y la lámina 27 de la presentación 4a reproduce su figura. La conceptualización entrega el diagrama de influencias; la formalización lo convierte en el diagrama de Forrester, escribe sus ecuaciones y termina con el modelo programado en un computador, listo para que la fase de comportamiento lo simule.</w:t>
      </w:r>
    </w:p>
    <w:p>
      <w:pPr>
        <w:pStyle w:val="Normal"/>
      </w:pPr>
      <w:r>
        <w:t xml:space="preserve">Defensa: La frase del enunciado es literal de la definición de la formalización en L-15, pág. 60, que termina con el modelo «programado en un computador». La conceptualización es la que entrega el diagrama de influencias que esta fase convierte.</w:t>
      </w:r>
    </w:p>
    <w:p>
      <w:pPr>
        <w:pStyle w:val="Fuente"/>
      </w:pPr>
      <w:r>
        <w:t xml:space="preserve">lectura L-15, pág. 60 · Presentación 4a (C-3), lámina 27</w:t>
      </w:r>
    </w:p>
    <w:p>
      <w:pPr>
        <w:pStyle w:val="Heading3"/>
      </w:pPr>
      <w:bookmarkStart w:name="b_solucion_p3c_39_fases_de_aracil" w:id="6725"/>
      <w:r>
        <w:t xml:space="preserve">Solución S3-46</w:t>
      </w:r>
      <w:bookmarkEnd w:id="6725"/>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1. Definición del problema</w:t>
            </w:r>
          </w:p>
          <w:p>
            <w:pPr>
              <w:pStyle w:val="Recuadro"/>
            </w:pPr>
            <w:r>
              <w:t xml:space="preserve">2. Conceptualización del sistema</w:t>
            </w:r>
          </w:p>
          <w:p>
            <w:pPr>
              <w:pStyle w:val="Recuadro"/>
            </w:pPr>
            <w:r>
              <w:t xml:space="preserve">3. Formalización</w:t>
            </w:r>
          </w:p>
          <w:p>
            <w:pPr>
              <w:pStyle w:val="Recuadro"/>
            </w:pPr>
            <w:r>
              <w:t xml:space="preserve">4. Comportamiento del modelo</w:t>
            </w:r>
          </w:p>
          <w:p>
            <w:pPr>
              <w:pStyle w:val="Recuadro"/>
            </w:pPr>
            <w:r>
              <w:t xml:space="preserve">5. Evaluación del modelo</w:t>
            </w:r>
          </w:p>
          <w:p>
            <w:pPr>
              <w:pStyle w:val="Recuadro"/>
            </w:pPr>
            <w:r>
              <w:t xml:space="preserve">6. Explotación del modelo</w:t>
            </w:r>
          </w:p>
        </w:tc>
      </w:tr>
    </w:tbl>
    <w:p>
      <w:pPr>
        <w:pStyle w:val="Heading3"/>
      </w:pPr>
      <w:r>
        <w:t xml:space="preserve">Empiece por el problema</w:t>
      </w:r>
    </w:p>
    <w:p>
      <w:pPr>
        <w:pStyle w:val="Normal"/>
      </w:pPr>
      <w:r>
        <w:t xml:space="preserve">Antes de modelar hay que saber qué se quiere estudiar: la definición del problema abre el proceso, y la conceptualización produce el diagrama de influencias.</w:t>
      </w:r>
    </w:p>
    <w:p>
      <w:pPr>
        <w:pStyle w:val="Heading3"/>
      </w:pPr>
      <w:r>
        <w:t xml:space="preserve">Programe antes de simular</w:t>
      </w:r>
    </w:p>
    <w:p>
      <w:pPr>
        <w:pStyle w:val="Normal"/>
      </w:pPr>
      <w:r>
        <w:t xml:space="preserve">La formalización convierte el diagrama de influencias en el de Forrester y escribe las ecuaciones; sólo con el modelo programado se simula su comportamiento.</w:t>
      </w:r>
    </w:p>
    <w:p>
      <w:pPr>
        <w:pStyle w:val="Heading3"/>
      </w:pPr>
      <w:r>
        <w:t xml:space="preserve">Valide antes de usar</w:t>
      </w:r>
    </w:p>
    <w:p>
      <w:pPr>
        <w:pStyle w:val="Normal"/>
      </w:pPr>
      <w:r>
        <w:t xml:space="preserve">La evaluación somete el modelo simulado a ensayos de validez; la explotación, al final, lo usa para comparar políticas alternativas.</w:t>
      </w:r>
    </w:p>
    <w:p>
      <w:pPr>
        <w:pStyle w:val="Normal"/>
      </w:pPr>
      <w:r>
        <w:t xml:space="preserve">Criterio de resolución: Aracil (L-15) describe seis fases y la lámina 27 de la presentación 4a dibuja su figura: se define el problema; se conceptualiza el sistema hasta tener el diagrama de influencias; se formaliza, convirtiéndolo en el diagrama de Forrester con sus ecuaciones y programándolo; se estudia el comportamiento simulándolo; se evalúa su validez y calidad, y se explota para analizar políticas alternativas. Las flechas de regreso de la figura indican que el proceso es iterativo, pero no cambian el orden en que se recorre.</w:t>
      </w:r>
    </w:p>
    <w:p>
      <w:pPr>
        <w:pStyle w:val="Normal"/>
      </w:pPr>
      <w:r>
        <w:t xml:space="preserve">Defensa: Es el orden de la figura de Aracil que la lámina 27 de la presentación 4a reproduce y de su descripción en L-15, pág. 60: definición del problema, conceptualización, formalización, comportamiento, evaluación y explotación.</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9C620A" w:sz="20"/>
              <w:bottom w:val="nil"/>
              <w:right w:val="nil"/>
            </w:tcBorders>
            <w:shd w:fill="FBF3DF" w:val="clear"/>
            <w:tcMar>
              <w:top w:type="dxa" w:w="130"/>
              <w:left w:type="dxa" w:w="180"/>
              <w:bottom w:type="dxa" w:w="130"/>
              <w:right w:type="dxa" w:w="180"/>
            </w:tcMar>
          </w:tcPr>
          <w:p>
            <w:pPr>
              <w:pStyle w:val="RecuadroTitulo"/>
            </w:pPr>
            <w:r>
              <w:rPr>
                <w:b/>
                <w:bCs/>
                <w:color w:val="9C620A"/>
              </w:rPr>
              <w:t xml:space="preserve">Advertencia y límites</w:t>
            </w:r>
          </w:p>
          <w:p>
            <w:pPr>
              <w:pStyle w:val="Recuadro"/>
            </w:pPr>
            <w:r>
              <w:t xml:space="preserve">La lámina 17 dibuja el mismo proceso como una rueda, con otros nombres —formulación, simulación, análisis y puesta en práctica de políticas— y con la comprensión del sistema al centro; como es un ciclo, se pregunta por las fases de Aracil, que tienen un primer y un último paso.</w:t>
            </w:r>
          </w:p>
        </w:tc>
      </w:tr>
    </w:tbl>
    <w:p>
      <w:pPr>
        <w:pStyle w:val="Fuente"/>
      </w:pPr>
      <w:r>
        <w:t xml:space="preserve">Presentación 4a (C-3), lámina 27 · lectura L-15, pág. 60</w:t>
      </w:r>
    </w:p>
    <w:p>
      <w:pPr>
        <w:pStyle w:val="Heading3"/>
      </w:pPr>
      <w:bookmarkStart w:name="b_solucion_p3c_40_parametros_de_7bd5ce91" w:id="6726"/>
      <w:r>
        <w:t xml:space="preserve">Solución S3-47</w:t>
      </w:r>
      <w:bookmarkEnd w:id="6726"/>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a) Tasa Natalidad</w:t>
            </w:r>
          </w:p>
          <w:p>
            <w:pPr>
              <w:pStyle w:val="Recuadro"/>
            </w:pPr>
            <w:r>
              <w:t xml:space="preserve">d) Tasa Mortalidad</w:t>
            </w:r>
          </w:p>
        </w:tc>
      </w:tr>
    </w:tbl>
    <w:p>
      <w:pPr>
        <w:pStyle w:val="Heading3"/>
      </w:pPr>
      <w:r>
        <w:t xml:space="preserve">Lea los rótulos de la parte baja</w:t>
      </w:r>
    </w:p>
    <w:p>
      <w:pPr>
        <w:pStyle w:val="Normal"/>
      </w:pPr>
      <w:r>
        <w:t xml:space="preserve">Debajo de los flujos hay tres constantes: Tasa Natalidad, Tasa Mortalidad y K. Las dos tasas llevan el rótulo «Parámetro»; K, el de «Variable exógena».</w:t>
      </w:r>
    </w:p>
    <w:p>
      <w:pPr>
        <w:pStyle w:val="Fuente"/>
      </w:pPr>
      <w:r>
        <w:t xml:space="preserve">Opciones descartadas: c).</w:t>
      </w:r>
    </w:p>
    <w:p>
      <w:pPr>
        <w:pStyle w:val="Heading3"/>
      </w:pPr>
      <w:r>
        <w:t xml:space="preserve">Separe lo que se calcula de lo que se fija</w:t>
      </w:r>
    </w:p>
    <w:p>
      <w:pPr>
        <w:pStyle w:val="Normal"/>
      </w:pPr>
      <w:r>
        <w:t xml:space="preserve">Coef. Carga se recalcula en cada instante con la población, por eso es auxiliar; Población acumula, por eso es la variable de estado. Ninguna de las dos es un valor fijo del escenario.</w:t>
      </w:r>
    </w:p>
    <w:p>
      <w:pPr>
        <w:pStyle w:val="Fuente"/>
      </w:pPr>
      <w:r>
        <w:t xml:space="preserve">Opciones descartadas: b), e).</w:t>
      </w:r>
    </w:p>
    <w:p>
      <w:pPr>
        <w:pStyle w:val="Normal"/>
      </w:pPr>
      <w:r>
        <w:t xml:space="preserve">a) Tasa Natalidad — Correcta: la lámina 28 le pone el rótulo «Parámetro»; en el escenario vale 0.085 y fija qué fracción de la población nace por unidad de tiempo.</w:t>
      </w:r>
    </w:p>
    <w:p>
      <w:pPr>
        <w:pStyle w:val="Normal"/>
      </w:pPr>
      <w:r>
        <w:t xml:space="preserve">b) Coef. Carga — Lleva el rótulo «Variable auxiliar»: es un cálculo intermedio, (K − Población) / K, que cambia con la población.</w:t>
      </w:r>
    </w:p>
    <w:p>
      <w:pPr>
        <w:pStyle w:val="Normal"/>
      </w:pPr>
      <w:r>
        <w:t xml:space="preserve">c) K — Lleva el rótulo «Variable exógena»: es la capacidad del medio, 6000 individuos, que entra al modelo desde fuera a través del coeficiente de carga.</w:t>
      </w:r>
    </w:p>
    <w:p>
      <w:pPr>
        <w:pStyle w:val="Normal"/>
      </w:pPr>
      <w:r>
        <w:t xml:space="preserve">d) Tasa Mortalidad — Correcta: es el segundo «Parámetro» de la lámina 28; vale 0.035 y fija la fracción de la población que muere por unidad de tiempo.</w:t>
      </w:r>
    </w:p>
    <w:p>
      <w:pPr>
        <w:pStyle w:val="Normal"/>
      </w:pPr>
      <w:r>
        <w:t xml:space="preserve">e) Población — Es la «Variable de estado»: el rectángulo que acumula los nacimientos menos las muertes.</w:t>
      </w:r>
    </w:p>
    <w:p>
      <w:pPr>
        <w:pStyle w:val="Normal"/>
      </w:pPr>
      <w:r>
        <w:t xml:space="preserve">Criterio de resolución: La lámina 28 rotula cada pieza del modelo: las nubes son fuente y sumidero, Población es la variable de estado, los nacimientos y las muertes son los flujos de entrada y de salida, Coef. Carga es una variable auxiliar, las flechas azules son canales de información, K es la variable exógena y las dos tasas son los parámetros. Las tasas son constantes del escenario que gobiernan los flujos: Nacimientos = Tasa Natalidad * Población y Muertes = Tasa Mortalidad * Población.</w:t>
      </w:r>
    </w:p>
    <w:p>
      <w:pPr>
        <w:pStyle w:val="Normal"/>
      </w:pPr>
      <w:r>
        <w:t xml:space="preserve">Defensa: La lámina 28 de la presentación 4a pone el rótulo «Parámetro» junto a Tasa Natalidad y junto a Tasa Mortalidad; a K le pone «Variable exógena» y a Coef. Carga, «Variable auxiliar».</w:t>
      </w:r>
    </w:p>
    <w:p>
      <w:pPr>
        <w:pStyle w:val="Fuente"/>
      </w:pPr>
      <w:r>
        <w:t xml:space="preserve">Presentación 4a (C-3), lámina 28</w:t>
      </w:r>
    </w:p>
    <w:p>
      <w:pPr>
        <w:pStyle w:val="Heading3"/>
      </w:pPr>
      <w:bookmarkStart w:name="b_solucion_p3c_41_inconveniente_3957830f" w:id="6727"/>
      <w:r>
        <w:t xml:space="preserve">Solución S3-48</w:t>
      </w:r>
      <w:bookmarkEnd w:id="6727"/>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a) La complejidad, el elevado coste y la inversión en tiempo que puede acarrear la elaboración de un modelo de simulación que recoja adecuadamente el comportamiento de un sistema dinámico</w:t>
            </w:r>
          </w:p>
          <w:p>
            <w:pPr>
              <w:pStyle w:val="Recuadro"/>
            </w:pPr>
            <w:r>
              <w:t xml:space="preserve">c) El riesgo de no incluir en el modelo algún elemento o variable aparentemente innecesaria y que, por su importancia, conduzca a que los resultados obtenidos con el modelo sean falsos</w:t>
            </w:r>
          </w:p>
          <w:p>
            <w:pPr>
              <w:pStyle w:val="Recuadro"/>
            </w:pPr>
            <w:r>
              <w:t xml:space="preserve">e) La dificultad o incluso imposibilidad de conocer el nivel de imprecisión de los resultados obtenidos de la simulación</w:t>
            </w:r>
          </w:p>
        </w:tc>
      </w:tr>
    </w:tbl>
    <w:p>
      <w:pPr>
        <w:pStyle w:val="Heading3"/>
      </w:pPr>
      <w:r>
        <w:t xml:space="preserve">Separe las dos columnas</w:t>
      </w:r>
    </w:p>
    <w:p>
      <w:pPr>
        <w:pStyle w:val="Normal"/>
      </w:pPr>
      <w:r>
        <w:t xml:space="preserve">Las ventajas describen situaciones del sistema estudiado en que simular conviene; los inconvenientes describen costos y riesgos del propio modelo de simulación.</w:t>
      </w:r>
    </w:p>
    <w:p>
      <w:pPr>
        <w:pStyle w:val="Heading3"/>
      </w:pPr>
      <w:r>
        <w:t xml:space="preserve">Distinga las dos complejidades</w:t>
      </w:r>
    </w:p>
    <w:p>
      <w:pPr>
        <w:pStyle w:val="Normal"/>
      </w:pPr>
      <w:r>
        <w:t xml:space="preserve">Un procedimiento analítico «excesivamente complejo» es una razón para simular; la complejidad de elaborar el modelo de simulación es un costo de hacerlo.</w:t>
      </w:r>
    </w:p>
    <w:p>
      <w:pPr>
        <w:pStyle w:val="Fuente"/>
      </w:pPr>
      <w:r>
        <w:t xml:space="preserve">Opciones descartadas: b).</w:t>
      </w:r>
    </w:p>
    <w:p>
      <w:pPr>
        <w:pStyle w:val="Heading3"/>
      </w:pPr>
      <w:r>
        <w:t xml:space="preserve">Descarte la otra ventaja</w:t>
      </w:r>
    </w:p>
    <w:p>
      <w:pPr>
        <w:pStyle w:val="Normal"/>
      </w:pPr>
      <w:r>
        <w:t xml:space="preserve">Un sistema que evoluciona muy lentamente es justo donde la simulación ayuda, porque permite reducir ese horizonte temporal.</w:t>
      </w:r>
    </w:p>
    <w:p>
      <w:pPr>
        <w:pStyle w:val="Fuente"/>
      </w:pPr>
      <w:r>
        <w:t xml:space="preserve">Opciones descartadas: d).</w:t>
      </w:r>
    </w:p>
    <w:p>
      <w:pPr>
        <w:pStyle w:val="Normal"/>
      </w:pPr>
      <w:r>
        <w:t xml:space="preserve">a) La complejidad, el elevado coste y la inversión en tiempo que puede acarrear la elaboración de un modelo de simulación que recoja adecuadamente el comportamiento de un sistema dinámico — Correcta: es el primer inconveniente de la lámina 29, literal: construir un modelo que recoja bien el comportamiento cuesta complejidad, dinero y tiempo.</w:t>
      </w:r>
    </w:p>
    <w:p>
      <w:pPr>
        <w:pStyle w:val="Normal"/>
      </w:pPr>
      <w:r>
        <w:t xml:space="preserve">b) Que existan los métodos y el modelo, pero el procedimiento para resolverlo sea excesivamente complejo — Es una ventaja: la lámina 29 la pone entre las «Situaciones en que existen los métodos y el modelo, pero el procedimiento es excesivamente complejo». La complejidad que estorba es la de elaborar el modelo de simulación, no la del procedimiento analítico.</w:t>
      </w:r>
    </w:p>
    <w:p>
      <w:pPr>
        <w:pStyle w:val="Normal"/>
      </w:pPr>
      <w:r>
        <w:t xml:space="preserve">c) El riesgo de no incluir en el modelo algún elemento o variable aparentemente innecesaria y que, por su importancia, conduzca a que los resultados obtenidos con el modelo sean falsos — Correcta: es el segundo inconveniente, literal de la lámina 29.</w:t>
      </w:r>
    </w:p>
    <w:p>
      <w:pPr>
        <w:pStyle w:val="Normal"/>
      </w:pPr>
      <w:r>
        <w:t xml:space="preserve">d) Que el sistema del que se desea obtener información evolucione muy lentamente — Es una ventaja: en esos casos, dice la lámina 29, «la simulación permite reducir ese horizonte temporal».</w:t>
      </w:r>
    </w:p>
    <w:p>
      <w:pPr>
        <w:pStyle w:val="Normal"/>
      </w:pPr>
      <w:r>
        <w:t xml:space="preserve">e) La dificultad o incluso imposibilidad de conocer el nivel de imprecisión de los resultados obtenidos de la simulación — Correcta: es el tercer inconveniente, literal de la lámina 29.</w:t>
      </w:r>
    </w:p>
    <w:p>
      <w:pPr>
        <w:pStyle w:val="Normal"/>
      </w:pPr>
      <w:r>
        <w:t xml:space="preserve">Criterio de resolución: La lámina 29 tiene dos columnas. Las ventajas son siete situaciones en que conviene simular: no hay formulación matemática o no hay modelos analíticos para resolverla, el procedimiento es excesivamente complejo, se quiere experimentar antes de construir el sistema, experimentar es imposible o no es ético, el sistema evoluciona muy lentamente, o se quiere estudiar en tiempo real. Los inconvenientes son tres: la complejidad, el costo y el tiempo de construir el modelo, el riesgo de omitir una variable importante y la dificultad de conocer la imprecisión de los resultados.</w:t>
      </w:r>
    </w:p>
    <w:p>
      <w:pPr>
        <w:pStyle w:val="Normal"/>
      </w:pPr>
      <w:r>
        <w:t xml:space="preserve">Defensa: Las tres opciones correctas son los tres inconvenientes de la lámina 29 de la presentación 4a, copiados de su columna derecha. Las otras dos son situaciones de la columna de ventajas.</w:t>
      </w:r>
    </w:p>
    <w:p>
      <w:pPr>
        <w:pStyle w:val="Fuente"/>
      </w:pPr>
      <w:r>
        <w:t xml:space="preserve">Presentación 4a (C-3), lámina 29</w:t>
      </w:r>
    </w:p>
    <w:p>
      <w:pPr>
        <w:pStyle w:val="Heading3"/>
      </w:pPr>
      <w:bookmarkStart w:name="b_solucion_p3c_42_aprendizaje_formal" w:id="6728"/>
      <w:r>
        <w:t xml:space="preserve">Solución S3-49</w:t>
      </w:r>
      <w:bookmarkEnd w:id="6728"/>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b) Aprendizaje formal</w:t>
            </w:r>
          </w:p>
        </w:tc>
      </w:tr>
    </w:tbl>
    <w:p>
      <w:pPr>
        <w:pStyle w:val="Heading3"/>
      </w:pPr>
      <w:r>
        <w:t xml:space="preserve">Identifique dónde está el modelo formal</w:t>
      </w:r>
    </w:p>
    <w:p>
      <w:pPr>
        <w:pStyle w:val="Normal"/>
      </w:pPr>
      <w:r>
        <w:t xml:space="preserve">El ciclo por el que se pregunta pasa por el modelo formal y por la simulación. El aprendizaje informal se queda en la mente del modelador, sin modelo formal.</w:t>
      </w:r>
    </w:p>
    <w:p>
      <w:pPr>
        <w:pStyle w:val="Fuente"/>
      </w:pPr>
      <w:r>
        <w:t xml:space="preserve">Opciones descartadas: a).</w:t>
      </w:r>
    </w:p>
    <w:p>
      <w:pPr>
        <w:pStyle w:val="Heading3"/>
      </w:pPr>
      <w:r>
        <w:t xml:space="preserve">Distinga los ciclos de los otros usos</w:t>
      </w:r>
    </w:p>
    <w:p>
      <w:pPr>
        <w:pStyle w:val="Normal"/>
      </w:pPr>
      <w:r>
        <w:t xml:space="preserve">La explicación y la intervención añaden ciclos que salen del modelo formal hacia la percepción de otros o hacia lo real; el ciclo del enunciado vuelve al modelo mental del propio modelador.</w:t>
      </w:r>
    </w:p>
    <w:p>
      <w:pPr>
        <w:pStyle w:val="Fuente"/>
      </w:pPr>
      <w:r>
        <w:t xml:space="preserve">Opciones descartadas: c), d).</w:t>
      </w:r>
    </w:p>
    <w:p>
      <w:pPr>
        <w:pStyle w:val="Heading3"/>
      </w:pPr>
      <w:r>
        <w:t xml:space="preserve">Separe el uso del proceso</w:t>
      </w:r>
    </w:p>
    <w:p>
      <w:pPr>
        <w:pStyle w:val="Normal"/>
      </w:pPr>
      <w:r>
        <w:t xml:space="preserve">Réplica, reconstrucción y construcción clasifican el modelado según su proceso (láminas 57 a 59), no según su uso.</w:t>
      </w:r>
    </w:p>
    <w:p>
      <w:pPr>
        <w:pStyle w:val="Fuente"/>
      </w:pPr>
      <w:r>
        <w:t xml:space="preserve">Opciones descartadas: e).</w:t>
      </w:r>
    </w:p>
    <w:p>
      <w:pPr>
        <w:pStyle w:val="Normal"/>
      </w:pPr>
      <w:r>
        <w:t xml:space="preserve">a) Aprendizaje informal — Es el primer ciclo, entre la percepción de lo real y el modelo mental, sin modelo formal: en él «no hay más presencia de dicho aprendizaje que en la mente del modelador».</w:t>
      </w:r>
    </w:p>
    <w:p>
      <w:pPr>
        <w:pStyle w:val="Normal"/>
      </w:pPr>
      <w:r>
        <w:t xml:space="preserve">b) Aprendizaje formal — Correcta: L-14 lo llama así: con la simulación por computador «surge un segundo ciclo de aprendizaje denominado aprendizaje formal».</w:t>
      </w:r>
    </w:p>
    <w:p>
      <w:pPr>
        <w:pStyle w:val="Normal"/>
      </w:pPr>
      <w:r>
        <w:t xml:space="preserve">c) Ciclo de la explicación — Va del modelo formal a la percepción de lo real: es el ciclo que añade el modelado para la explicación, cuando el modelo se usa «para dar cuenta a otros».</w:t>
      </w:r>
    </w:p>
    <w:p>
      <w:pPr>
        <w:pStyle w:val="Normal"/>
      </w:pPr>
      <w:r>
        <w:t xml:space="preserve">d) Ciclo para la intervención — Va del modelo formal a lo real: es el ciclo que añade el modelado para la intervención.</w:t>
      </w:r>
    </w:p>
    <w:p>
      <w:pPr>
        <w:pStyle w:val="Normal"/>
      </w:pPr>
      <w:r>
        <w:t xml:space="preserve">e) Modelado de reconstrucción — No es un ciclo del modelado según su uso, sino una de las tres formas de modelado según su proceso, junto con la réplica y la construcción.</w:t>
      </w:r>
    </w:p>
    <w:p>
      <w:pPr>
        <w:pStyle w:val="Normal"/>
      </w:pPr>
      <w:r>
        <w:t xml:space="preserve">Criterio de resolución: La lámina 38 de la presentación 4a reproduce la figura 8 de L-14. Lo real, percibido por observación o por teorías, se aloja en la mente como modelo mental: ese primer ciclo es el aprendizaje informal. Cuando el modelador explicita su modelo mental en un modelo formal y lo simula, los estados que genera, contrastados con la percepción de lo real, pueden cambiar su modelo mental: ese segundo ciclo es el aprendizaje formal.</w:t>
      </w:r>
    </w:p>
    <w:p>
      <w:pPr>
        <w:pStyle w:val="Normal"/>
      </w:pPr>
      <w:r>
        <w:t xml:space="preserve">Defensa: La lámina 38 rotula «Aprendizaje formal» el ciclo entre el modelo mental y el modelo formal, y L-14, pág. 9, dice que con la simulación «surge un segundo ciclo de aprendizaje denominado aprendizaje formal».</w:t>
      </w:r>
    </w:p>
    <w:p>
      <w:pPr>
        <w:pStyle w:val="Fuente"/>
      </w:pPr>
      <w:r>
        <w:t xml:space="preserve">Presentación 4a (C-3), lámina 38 · lectura L-14, págs. 8 y 9</w:t>
      </w:r>
    </w:p>
    <w:p>
      <w:pPr>
        <w:pStyle w:val="Heading3"/>
      </w:pPr>
      <w:bookmarkStart w:name="b_solucion_p3c_43_intervencion__fb7a8329" w:id="6729"/>
      <w:r>
        <w:t xml:space="preserve">Solución S3-50</w:t>
      </w:r>
      <w:bookmarkEnd w:id="6729"/>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a) Verdadero</w:t>
            </w:r>
          </w:p>
        </w:tc>
      </w:tr>
    </w:tbl>
    <w:p>
      <w:pPr>
        <w:pStyle w:val="Heading3"/>
      </w:pPr>
      <w:r>
        <w:t xml:space="preserve">Compare las tres láminas</w:t>
      </w:r>
    </w:p>
    <w:p>
      <w:pPr>
        <w:pStyle w:val="Normal"/>
      </w:pPr>
      <w:r>
        <w:t xml:space="preserve">La lámina 38 tiene los ciclos de aprendizaje informal y formal; la 39 les suma «Explicar»; la 40 conserva los tres y añade «Intervención».</w:t>
      </w:r>
    </w:p>
    <w:p>
      <w:pPr>
        <w:pStyle w:val="Heading3"/>
      </w:pPr>
      <w:r>
        <w:t xml:space="preserve">Confirme con la lectura</w:t>
      </w:r>
    </w:p>
    <w:p>
      <w:pPr>
        <w:pStyle w:val="Normal"/>
      </w:pPr>
      <w:r>
        <w:t xml:space="preserve">L-14, pág. 10: el modelado para la intervención, «además de incluir las dos anteriores formas de modelado», considera la intervención directa del modelador sobre lo modelado.</w:t>
      </w:r>
    </w:p>
    <w:p>
      <w:pPr>
        <w:pStyle w:val="Fuente"/>
      </w:pPr>
      <w:r>
        <w:t xml:space="preserve">Opciones descartadas: b).</w:t>
      </w:r>
    </w:p>
    <w:p>
      <w:pPr>
        <w:pStyle w:val="Normal"/>
      </w:pPr>
      <w:r>
        <w:t xml:space="preserve">a) Verdadero — Correcta: L-14 dice que este modelado, «además de incluir las dos anteriores formas de modelado», considera la intervención directa del modelador sobre lo modelado, y la lámina 40 dibuja los ciclos de los tres usos juntos.</w:t>
      </w:r>
    </w:p>
    <w:p>
      <w:pPr>
        <w:pStyle w:val="Normal"/>
      </w:pPr>
      <w:r>
        <w:t xml:space="preserve">b) Falso — Sería falso si los tres usos fueran alternativos, pero la clasificación es acumulativa: la explicación ya contiene al aprendizaje y la intervención contiene a los dos.</w:t>
      </w:r>
    </w:p>
    <w:p>
      <w:pPr>
        <w:pStyle w:val="Normal"/>
      </w:pPr>
      <w:r>
        <w:t xml:space="preserve">Criterio de resolución: La clasificación del modelado según su uso es acumulativa. L-14 dice que «El modelado para la explicación contiene dentro de sí el modelado para el aprendizaje», y que el modelado para la intervención, además de incluir las dos formas anteriores, añade un «ciclo para la intervención» que va del modelo formal a lo real. Las láminas 38, 39 y 40 lo muestran así: cada esquema conserva los ciclos del anterior y agrega uno, hasta «Puede ser usado como referente para intervenir en lo real».</w:t>
      </w:r>
    </w:p>
    <w:p>
      <w:pPr>
        <w:pStyle w:val="Normal"/>
      </w:pPr>
      <w:r>
        <w:t xml:space="preserve">Defensa: L-14, pág. 10, lo dice literalmente: el modelado para la intervención, «además de incluir las dos anteriores formas de modelado», agrega la intervención directa sobre lo modelado. La lámina 40 conserva los ciclos de las láminas 38 y 39.</w:t>
      </w:r>
    </w:p>
    <w:p>
      <w:pPr>
        <w:pStyle w:val="Fuente"/>
      </w:pPr>
      <w:r>
        <w:t xml:space="preserve">Presentación 4a (C-3), láminas 38, 39 y 40 · lectura L-14, págs. 10 y 11</w:t>
      </w:r>
    </w:p>
    <w:p>
      <w:pPr>
        <w:pStyle w:val="Heading3"/>
      </w:pPr>
      <w:bookmarkStart w:name="b_solucion_p3c_44_modelado_de_replica" w:id="6730"/>
      <w:r>
        <w:t xml:space="preserve">Solución S3-51</w:t>
      </w:r>
      <w:bookmarkEnd w:id="6730"/>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a) Modelado de réplica</w:t>
            </w:r>
          </w:p>
        </w:tc>
      </w:tr>
    </w:tbl>
    <w:p>
      <w:pPr>
        <w:pStyle w:val="Heading3"/>
      </w:pPr>
      <w:r>
        <w:t xml:space="preserve">Separe el uso del proceso</w:t>
      </w:r>
    </w:p>
    <w:p>
      <w:pPr>
        <w:pStyle w:val="Normal"/>
      </w:pPr>
      <w:r>
        <w:t xml:space="preserve">Aprendizaje, explicación e intervención clasifican el modelado según su uso; réplica, reconstrucción y construcción, según su proceso. El enunciado habla del papel del modelador frente a la teoría: es una forma de proceso.</w:t>
      </w:r>
    </w:p>
    <w:p>
      <w:pPr>
        <w:pStyle w:val="Fuente"/>
      </w:pPr>
      <w:r>
        <w:t xml:space="preserve">Opciones descartadas: d), e).</w:t>
      </w:r>
    </w:p>
    <w:p>
      <w:pPr>
        <w:pStyle w:val="Heading3"/>
      </w:pPr>
      <w:r>
        <w:t xml:space="preserve">Gradúe el papel de la teoría</w:t>
      </w:r>
    </w:p>
    <w:p>
      <w:pPr>
        <w:pStyle w:val="Normal"/>
      </w:pPr>
      <w:r>
        <w:t xml:space="preserve">De la réplica a la construcción la teoría pierde peso y el modelador lo gana: traductor pasivo en la réplica, reconstructor desde su perspectiva en la reconstrucción y autor de explicaciones propias en la construcción.</w:t>
      </w:r>
    </w:p>
    <w:p>
      <w:pPr>
        <w:pStyle w:val="Fuente"/>
      </w:pPr>
      <w:r>
        <w:t xml:space="preserve">Opciones descartadas: b), c).</w:t>
      </w:r>
    </w:p>
    <w:p>
      <w:pPr>
        <w:pStyle w:val="Normal"/>
      </w:pPr>
      <w:r>
        <w:t xml:space="preserve">a) Modelado de réplica — Correcta: según L-14, pág. 12, la réplica «parte de la teoría que explica el fenómeno» y el rol del modelador «es pasivo», porque su perspectiva de lo real no interesa.</w:t>
      </w:r>
    </w:p>
    <w:p>
      <w:pPr>
        <w:pStyle w:val="Normal"/>
      </w:pPr>
      <w:r>
        <w:t xml:space="preserve">b) Modelado de reconstrucción — En la reconstrucción «la teoría es una guía y el modelista intenta, a partir de su propia perspectiva de lo real, reconstruir el conocimiento que representa la teoría»: el modelador ya participa.</w:t>
      </w:r>
    </w:p>
    <w:p>
      <w:pPr>
        <w:pStyle w:val="Normal"/>
      </w:pPr>
      <w:r>
        <w:t xml:space="preserve">c) Modelado de construcción — En la construcción la teoría «pierde su papel protagónico cediéndoselo a la realidad o percepción de lo real», y el modelador propone explicaciones desde su propia perspectiva.</w:t>
      </w:r>
    </w:p>
    <w:p>
      <w:pPr>
        <w:pStyle w:val="Normal"/>
      </w:pPr>
      <w:r>
        <w:t xml:space="preserve">d) Modelado para la explicación — Es un uso del modelado, no una forma de su proceso: el modelo sirve para dar cuenta a otros del fenómeno.</w:t>
      </w:r>
    </w:p>
    <w:p>
      <w:pPr>
        <w:pStyle w:val="Normal"/>
      </w:pPr>
      <w:r>
        <w:t xml:space="preserve">e) Modelado para la intervención — Es un uso del modelado, no una forma de su proceso: el modelo sirve de referente para intervenir en lo real.</w:t>
      </w:r>
    </w:p>
    <w:p>
      <w:pPr>
        <w:pStyle w:val="Normal"/>
      </w:pPr>
      <w:r>
        <w:t xml:space="preserve">Criterio de resolución: L-14 clasifica el modelado según su proceso en tres formas, que la presentación 4a dibuja en las láminas 57, 58 y 59. En la réplica la teoría manda y el modelador sólo la traduce al lenguaje de modelado; en la reconstrucción la teoría es una guía y el modelador aporta su propia perspectiva; en la construcción la percepción de lo real toma el papel protagónico, y la realidad inspiradora y la intervenida son la misma.</w:t>
      </w:r>
    </w:p>
    <w:p>
      <w:pPr>
        <w:pStyle w:val="Normal"/>
      </w:pPr>
      <w:r>
        <w:t xml:space="preserve">Defensa: La frase del enunciado es literal de L-14, pág. 12, en el apartado del modelado de réplica. La lámina 57 lo dibuja así: la realidad inspiradora es fuente de la teoría, y la teoría y la matemática aportan al proceso de modelado.</w:t>
      </w:r>
    </w:p>
    <w:p>
      <w:pPr>
        <w:pStyle w:val="Fuente"/>
      </w:pPr>
      <w:r>
        <w:t xml:space="preserve">lectura L-14, págs. 12, 13 y 14 · Presentación 4a (C-3), láminas 57, 58 y 59</w:t>
      </w:r>
    </w:p>
    <w:p>
      <w:pPr>
        <w:pStyle w:val="Heading3"/>
      </w:pPr>
      <w:bookmarkStart w:name="b_solucion_p3c_45_ambientes_de__eadfba3e" w:id="6731"/>
      <w:r>
        <w:t xml:space="preserve">Solución S3-52</w:t>
      </w:r>
      <w:bookmarkEnd w:id="6731"/>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«Es el más clásico de los lenguajes. No presenta posibilidades de modelado mediante iconos, pero sin embargo permite tratar ecuaciones de gran dimensión» → Professional DYNAMO</w:t>
            </w:r>
          </w:p>
          <w:p>
            <w:pPr>
              <w:pStyle w:val="Recuadro"/>
            </w:pPr>
            <w:r>
              <w:t xml:space="preserve">Dos entornos de estructura similar que construyen los diagramas de Forrester en la pantalla: «mientras el primero se encuentra más orientado hacia usos académicos el segundo lo hace hacia aplicaciones profesionales» → STELLA e i-think</w:t>
            </w:r>
          </w:p>
          <w:p>
            <w:pPr>
              <w:pStyle w:val="Recuadro"/>
            </w:pPr>
            <w:r>
              <w:t xml:space="preserve">Un entorno europeo, no americano, que «Permite desarrollar varios modelos simultáneamente, e interconectarlos posteriormente entre sí» → PowerSim</w:t>
            </w:r>
          </w:p>
          <w:p>
            <w:pPr>
              <w:pStyle w:val="Recuadro"/>
            </w:pPr>
            <w:r>
              <w:t xml:space="preserve">«Permite documentar automáticamente el modelo según se va construyendo, y crea árboles que permiten seguir las relaciones de causa efecto a lo largo del modelo» → VenSim</w:t>
            </w:r>
          </w:p>
        </w:tc>
      </w:tr>
    </w:tbl>
    <w:p>
      <w:pPr>
        <w:pStyle w:val="Heading3"/>
      </w:pPr>
      <w:r>
        <w:t xml:space="preserve">Busque la pista de cada descripción</w:t>
      </w:r>
    </w:p>
    <w:p>
      <w:pPr>
        <w:pStyle w:val="Normal"/>
      </w:pPr>
      <w:r>
        <w:t xml:space="preserve">Sin iconos y con ecuaciones de gran dimensión es DYNAMO; académico frente a profesional es la pareja STELLA e i-think; europeo es PowerSim; los árboles de causas son de VenSim.</w:t>
      </w:r>
    </w:p>
    <w:p>
      <w:pPr>
        <w:pStyle w:val="Heading3"/>
      </w:pPr>
      <w:r>
        <w:t xml:space="preserve">Identifique la opción sobrante</w:t>
      </w:r>
    </w:p>
    <w:p>
      <w:pPr>
        <w:pStyle w:val="Normal"/>
      </w:pPr>
      <w:r>
        <w:t xml:space="preserve">Mosaikk-SimTek es la herramienta para PC que conecta con SimTek, «un lenguaje de modelado tipo DYNAMO»: ninguna de las cuatro descripciones es la suya.</w:t>
      </w:r>
    </w:p>
    <w:p>
      <w:pPr>
        <w:pStyle w:val="Normal"/>
      </w:pPr>
      <w:r>
        <w:t xml:space="preserve">Distractor sin fila correspondiente: Mosaikk-SimTek.</w:t>
      </w:r>
    </w:p>
    <w:p>
      <w:pPr>
        <w:pStyle w:val="Normal"/>
      </w:pPr>
      <w:r>
        <w:t xml:space="preserve">Criterio de resolución: La lámina 53 copia de Aracil (L-15, págs. 64 y 65) los entornos más empleados. DYNAMO es el lenguaje clásico, sin iconos; STELLA e i-think construyen el diagrama de Forrester con iconos y generan las ecuaciones, uno orientado a usos académicos y el otro a aplicaciones profesionales; PowerSim es noruego e interconecta varios modelos; VenSim documenta el modelo mientras se construye y crea árboles de causas. Mosaikk-SimTek, que conecta con un lenguaje de tipo DYNAMO, queda sin pareja.</w:t>
      </w:r>
    </w:p>
    <w:p>
      <w:pPr>
        <w:pStyle w:val="Normal"/>
      </w:pPr>
      <w:r>
        <w:t xml:space="preserve">Defensa: Las cuatro descripciones son de la lámina 53 de la presentación 4a, que copia la lista de Aracil en L-15, págs. 64 y 65; cada una aparece bajo el nombre del entorno con que se empareja.</w:t>
      </w:r>
    </w:p>
    <w:p>
      <w:pPr>
        <w:pStyle w:val="Fuente"/>
      </w:pPr>
      <w:r>
        <w:t xml:space="preserve">Presentación 4a (C-3), lámina 53 · lectura L-15, págs. 64 y 65</w:t>
      </w:r>
    </w:p>
    <w:p>
      <w:pPr>
        <w:pStyle w:val="Heading3"/>
      </w:pPr>
      <w:bookmarkStart w:name="b_solucion_p3c_46_analisis_de_s_2a367333" w:id="6732"/>
      <w:r>
        <w:t xml:space="preserve">Solución S3-53</w:t>
      </w:r>
      <w:bookmarkEnd w:id="6732"/>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a) En qué medida el modelo es insensible a variaciones en su estructura y, por tanto, resulta robusto</w:t>
            </w:r>
          </w:p>
          <w:p>
            <w:pPr>
              <w:pStyle w:val="Recuadro"/>
            </w:pPr>
            <w:r>
              <w:t xml:space="preserve">c) Cuáles son los puntos de máxima sensibilidad del modelo, que sugieren qué actuaciones sobre el proceso real serán más efectivas</w:t>
            </w:r>
          </w:p>
        </w:tc>
      </w:tr>
    </w:tbl>
    <w:p>
      <w:pPr>
        <w:pStyle w:val="Heading3"/>
      </w:pPr>
      <w:r>
        <w:t xml:space="preserve">Ubique el análisis en su fase</w:t>
      </w:r>
    </w:p>
    <w:p>
      <w:pPr>
        <w:pStyle w:val="Normal"/>
      </w:pPr>
      <w:r>
        <w:t xml:space="preserve">La fase de evaluación, dice L-15, pág. 60, incluye «análisis de sensibilidad»: se aplica a un modelo ya formalizado y simulado.</w:t>
      </w:r>
    </w:p>
    <w:p>
      <w:pPr>
        <w:pStyle w:val="Fuente"/>
      </w:pPr>
      <w:r>
        <w:t xml:space="preserve">Opciones descartadas: d), e).</w:t>
      </w:r>
    </w:p>
    <w:p>
      <w:pPr>
        <w:pStyle w:val="Heading3"/>
      </w:pPr>
      <w:r>
        <w:t xml:space="preserve">Distinga sensibilidad de predicción</w:t>
      </w:r>
    </w:p>
    <w:p>
      <w:pPr>
        <w:pStyle w:val="Normal"/>
      </w:pPr>
      <w:r>
        <w:t xml:space="preserve">Predecir valores exactos es una forma de explotación que pide gran precisión; la sensibilidad mide cómo cambian las conclusiones cuando cambian los parámetros o las relaciones.</w:t>
      </w:r>
    </w:p>
    <w:p>
      <w:pPr>
        <w:pStyle w:val="Fuente"/>
      </w:pPr>
      <w:r>
        <w:t xml:space="preserve">Opciones descartadas: b).</w:t>
      </w:r>
    </w:p>
    <w:p>
      <w:pPr>
        <w:pStyle w:val="Heading3"/>
      </w:pPr>
      <w:r>
        <w:t xml:space="preserve">Lea las dos cuestiones de la pág. 67</w:t>
      </w:r>
    </w:p>
    <w:p>
      <w:pPr>
        <w:pStyle w:val="Normal"/>
      </w:pPr>
      <w:r>
        <w:t xml:space="preserve">Si el modelo es insensible a variaciones en su estructura, es robusto; sus puntos de máxima sensibilidad sugieren dónde actuar sobre el proceso real.</w:t>
      </w:r>
    </w:p>
    <w:p>
      <w:pPr>
        <w:pStyle w:val="Normal"/>
      </w:pPr>
      <w:r>
        <w:t xml:space="preserve">a) En qué medida el modelo es insensible a variaciones en su estructura y, por tanto, resulta robusto — Correcta: es la primera de las dos cuestiones que, según L-15, pág. 67, permite responder el análisis de sensibilidad: «en qué medida el modelo es insensible a variaciones en su estructura».</w:t>
      </w:r>
    </w:p>
    <w:p>
      <w:pPr>
        <w:pStyle w:val="Normal"/>
      </w:pPr>
      <w:r>
        <w:t xml:space="preserve">b) Qué valor exacto tomará una magnitud en un instante determinado del futuro — Es la explotación predictiva, que L-15, pág. 68, reserva a modelos de gran precisión, sobre todo de las ciencias físicas; la sensibilidad examina, al contrario, cuánto cambian las conclusiones si cambian los parámetros.</w:t>
      </w:r>
    </w:p>
    <w:p>
      <w:pPr>
        <w:pStyle w:val="Normal"/>
      </w:pPr>
      <w:r>
        <w:t xml:space="preserve">c) Cuáles son los puntos de máxima sensibilidad del modelo, que sugieren qué actuaciones sobre el proceso real serán más efectivas — Correcta: es la segunda cuestión de L-15, pág. 67; por eso la sensibilidad también ayuda a elegir dónde actuar sobre el sistema real.</w:t>
      </w:r>
    </w:p>
    <w:p>
      <w:pPr>
        <w:pStyle w:val="Normal"/>
      </w:pPr>
      <w:r>
        <w:t xml:space="preserve">d) Cómo convertir el diagrama de influencias en el diagrama de Forrester — Es lo que se hace en la formalización, antes de simular; la sensibilidad se estudia sobre el modelo ya simulado.</w:t>
      </w:r>
    </w:p>
    <w:p>
      <w:pPr>
        <w:pStyle w:val="Normal"/>
      </w:pPr>
      <w:r>
        <w:t xml:space="preserve">e) Qué variables del diagrama de ciclos causales son niveles y cuáles son flujos — Es la primera tarea al convertir un diagrama de ciclos causales en uno de flujos y niveles, dentro de la formalización; no es una cuestión de la evaluación.</w:t>
      </w:r>
    </w:p>
    <w:p>
      <w:pPr>
        <w:pStyle w:val="Normal"/>
      </w:pPr>
      <w:r>
        <w:t xml:space="preserve">Criterio de resolución: Todo modelo arrastra imprecisión: los valores de los parámetros y las formas de las relaciones son supuestos. El análisis de sensibilidad es «un estudio sistemático de cómo afectan a las conclusiones de un modelo las posibles variaciones en los valores de los parámetros y en las relaciones funcionales que incluye». Se hace variando cada parámetro en un porcentaje o, para las variaciones conjuntas, sorteándolos con el método de Montecarlo. Responde si el modelo es robusto y dónde está su máxima sensibilidad, que señala las actuaciones más efectivas.</w:t>
      </w:r>
    </w:p>
    <w:p>
      <w:pPr>
        <w:pStyle w:val="Normal"/>
      </w:pPr>
      <w:r>
        <w:t xml:space="preserve">Defensa: L-15, pág. 67, dice del análisis de sensibilidad: «Nos permite dar respuesta a dos tipos de cuestiones», la robustez del modelo y sus puntos de máxima sensibilidad. Las opciones a y c las copian.</w:t>
      </w:r>
    </w:p>
    <w:p>
      <w:pPr>
        <w:pStyle w:val="Fuente"/>
      </w:pPr>
      <w:r>
        <w:t xml:space="preserve">lectura L-15, págs. 60, 66, 67 y 68</w:t>
      </w:r>
    </w:p>
    <w:p>
      <w:pPr>
        <w:pStyle w:val="Heading3"/>
      </w:pPr>
      <w:bookmarkStart w:name="b_solucion_p3c_47_time_step_del_prestamo" w:id="6733"/>
      <w:r>
        <w:t xml:space="preserve">Solución S3-54</w:t>
      </w:r>
      <w:bookmarkEnd w:id="6733"/>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b) $3,630.71</w:t>
            </w:r>
          </w:p>
        </w:tc>
      </w:tr>
    </w:tbl>
    <w:p>
      <w:pPr>
        <w:pStyle w:val="Heading3"/>
      </w:pPr>
      <w:r>
        <w:t xml:space="preserve">Escriba el paso de Euler</w:t>
      </w:r>
    </w:p>
    <w:p>
      <w:pPr>
        <w:pStyle w:val="Normal"/>
      </w:pPr>
      <w:r>
        <w:t xml:space="preserve">Saldo(t + dt) = Saldo(t) + dt · 0.05 · Saldo(t) = Saldo(t) · (1 + 0.05 · dt). Con dt = 0.25 el factor de cada paso es 1.0125, no 1.05.</w:t>
      </w:r>
    </w:p>
    <w:p>
      <w:pPr>
        <w:pStyle w:val="Fuente"/>
      </w:pPr>
      <w:r>
        <w:t xml:space="preserve">Opciones descartadas: e).</w:t>
      </w:r>
    </w:p>
    <w:p>
      <w:pPr>
        <w:pStyle w:val="Heading3"/>
      </w:pPr>
      <w:r>
        <w:t xml:space="preserve">Cuente los pasos</w:t>
      </w:r>
    </w:p>
    <w:p>
      <w:pPr>
        <w:pStyle w:val="Normal"/>
      </w:pPr>
      <w:r>
        <w:t xml:space="preserve">En 12 meses caben 12 / 0.25 = 48 pasos: 2000 · 1.0125</w:t>
      </w:r>
      <w:r>
        <w:rPr>
          <w:vertAlign w:val="superscript"/>
        </w:rPr>
        <w:t xml:space="preserve">48</w:t>
      </w:r>
      <w:r>
        <w:t xml:space="preserve"> = 3,630.71, más que con un paso de un mes porque el interés se capitaliza más veces.</w:t>
      </w:r>
    </w:p>
    <w:p>
      <w:pPr>
        <w:pStyle w:val="Fuente"/>
      </w:pPr>
      <w:r>
        <w:t xml:space="preserve">Opciones descartadas: a), d).</w:t>
      </w:r>
    </w:p>
    <w:p>
      <w:pPr>
        <w:pStyle w:val="Heading3"/>
      </w:pPr>
      <w:r>
        <w:t xml:space="preserve">Compare con el límite continuo</w:t>
      </w:r>
    </w:p>
    <w:p>
      <w:pPr>
        <w:pStyle w:val="Normal"/>
      </w:pPr>
      <w:r>
        <w:t xml:space="preserve">Al achicar el paso, la corrida se acerca a la solución exacta de dSaldo/dt = 0.05 · Saldo, 2000 · e^0.6 = 3,644.24; con 0.25 queda por debajo.</w:t>
      </w:r>
    </w:p>
    <w:p>
      <w:pPr>
        <w:pStyle w:val="Fuente"/>
      </w:pPr>
      <w:r>
        <w:t xml:space="preserve">Opciones descartadas: c).</w:t>
      </w:r>
    </w:p>
    <w:p>
      <w:pPr>
        <w:pStyle w:val="Normal"/>
      </w:pPr>
      <w:r>
        <w:t xml:space="preserve">a) $3,591.71 — Sería así si el paso no influyera en la integración; pero con Euler el interés de cada paso se suma al saldo y genera interés en los pasos siguientes.</w:t>
      </w:r>
    </w:p>
    <w:p>
      <w:pPr>
        <w:pStyle w:val="Normal"/>
      </w:pPr>
      <w:r>
        <w:t xml:space="preserve">b) $3,630.71 — Correcta: cada paso suma 0.25 · 0.05 · Saldo, el 1.25 % del saldo vigente, y en 12 meses hay 48 pasos: 2000 · 1.0125</w:t>
      </w:r>
      <w:r>
        <w:rPr>
          <w:vertAlign w:val="superscript"/>
        </w:rPr>
        <w:t xml:space="preserve">48</w:t>
      </w:r>
      <w:r>
        <w:t xml:space="preserve"> = 3,630.71.</w:t>
      </w:r>
    </w:p>
    <w:p>
      <w:pPr>
        <w:pStyle w:val="Normal"/>
      </w:pPr>
      <w:r>
        <w:t xml:space="preserve">c) $3,644.24 — Es el límite al que tiende la corrida cuando el TIME STEP se hace muy pequeño, 2000 · e^0.6; con un paso de 0.25 todavía no se alcanza.</w:t>
      </w:r>
    </w:p>
    <w:p>
      <w:pPr>
        <w:pStyle w:val="Normal"/>
      </w:pPr>
      <w:r>
        <w:t xml:space="preserve">d) $3,200.00 — Es el interés simple, 2000 + 12 · 100: supone que el interés se calcula siempre sobre los $2,000.00 iniciales, sin el ciclo de refuerzo.</w:t>
      </w:r>
    </w:p>
    <w:p>
      <w:pPr>
        <w:pStyle w:val="Normal"/>
      </w:pPr>
      <w:r>
        <w:t xml:space="preserve">e) $20,802.54 — Supone que Vensim cobra el 5 % completo en cada paso de un cuarto de mes; pero el flujo está en dólares por mes, y Euler lo multiplica por el TIME STEP.</w:t>
      </w:r>
    </w:p>
    <w:p>
      <w:pPr>
        <w:pStyle w:val="Normal"/>
      </w:pPr>
      <w:r>
        <w:t xml:space="preserve">Criterio de resolución: Vensim integra los niveles con el método de Euler: en cada paso, Saldo nuevo = Saldo + TIME STEP · Intereses. Con TIME STEP = 1 eso es el interés compuesto mensual del ejercicio, 2000 · 1.05¹² = 3,591.71. Con TIME STEP = 0.25 el interés se capitaliza cuatro veces al mes, cada vez sobre un saldo un poco mayor, y la cifra sube a 3,630.71; si el paso se sigue achicando, se acerca a 2000 · e^0.6 = 3,644.24. Por eso, en un ejercicio con interés mensual, el TIME STEP tiene que ser 1.</w:t>
      </w:r>
    </w:p>
    <w:p>
      <w:pPr>
        <w:pStyle w:val="Normal"/>
      </w:pPr>
      <w:r>
        <w:t xml:space="preserve">Defensa: Con Euler cada paso multiplica el saldo por 1 + 0.05 · 0.25 = 1.0125, y en 12 meses hay 48 pasos: $3,630.71. En la lámina 34 el saldo y sus intereses forman un ciclo de refuerzo, así que el interés que se capitaliza antes vuelve a generar interés.</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9C620A" w:sz="20"/>
              <w:bottom w:val="nil"/>
              <w:right w:val="nil"/>
            </w:tcBorders>
            <w:shd w:fill="FBF3DF" w:val="clear"/>
            <w:tcMar>
              <w:top w:type="dxa" w:w="130"/>
              <w:left w:type="dxa" w:w="180"/>
              <w:bottom w:type="dxa" w:w="130"/>
              <w:right w:type="dxa" w:w="180"/>
            </w:tcMar>
          </w:tcPr>
          <w:p>
            <w:pPr>
              <w:pStyle w:val="RecuadroTitulo"/>
            </w:pPr>
            <w:r>
              <w:rPr>
                <w:b/>
                <w:bCs/>
                <w:color w:val="9C620A"/>
              </w:rPr>
              <w:t xml:space="preserve">Advertencia y límites</w:t>
            </w:r>
          </w:p>
          <w:p>
            <w:pPr>
              <w:pStyle w:val="Recuadro"/>
            </w:pPr>
            <w:r>
              <w:t xml:space="preserve">La presentación no da cifras ni TIME STEP para el préstamo: las cifras salen de la función del portal que integra el saldo con Euler, la misma del laboratorio del préstamo.</w:t>
            </w:r>
          </w:p>
        </w:tc>
      </w:tr>
    </w:tbl>
    <w:p>
      <w:pPr>
        <w:pStyle w:val="Fuente"/>
      </w:pPr>
      <w:r>
        <w:t xml:space="preserve">Presentación 4a (C-3), láminas 23 y 34</w:t>
      </w:r>
    </w:p>
    <w:p>
      <w:pPr>
        <w:pStyle w:val="Heading3"/>
      </w:pPr>
      <w:bookmarkStart w:name="b_solucion_p3c_77_cobertura" w:id="6734"/>
      <w:r>
        <w:t xml:space="preserve">Solución S3-55</w:t>
      </w:r>
      <w:bookmarkEnd w:id="6734"/>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d) Aún deben contrastarse estructura, unidades, supuestos, extremos y sensibilidad.</w:t>
            </w:r>
          </w:p>
        </w:tc>
      </w:tr>
    </w:tbl>
    <w:p>
      <w:pPr>
        <w:pStyle w:val="Heading3"/>
      </w:pPr>
      <w:r>
        <w:t xml:space="preserve">Identificar el mecanismo</w:t>
      </w:r>
    </w:p>
    <w:p>
      <w:pPr>
        <w:pStyle w:val="Normal"/>
      </w:pPr>
      <w:r>
        <w:t xml:space="preserve">Ejecutar comprueba ciertas condiciones formales; reproducir una curva aporta evidencia de comportamiento. Modelos con estructuras distintas pueden ajustar una misma curva.</w:t>
      </w:r>
    </w:p>
    <w:p>
      <w:pPr>
        <w:pStyle w:val="Heading3"/>
      </w:pPr>
      <w:r>
        <w:t xml:space="preserve">Comprobar las alternativas</w:t>
      </w:r>
    </w:p>
    <w:p>
      <w:pPr>
        <w:pStyle w:val="Normal"/>
      </w:pPr>
      <w:r>
        <w:t xml:space="preserve">Una curva puede ser producida por estructuras diferentes. Las conclusiones dependen de los supuestos, datos y contexto del modelo. Los iniciales forman parte de la especificación que debe revisarse.</w:t>
      </w:r>
    </w:p>
    <w:p>
      <w:pPr>
        <w:pStyle w:val="Normal"/>
      </w:pPr>
      <w:r>
        <w:t xml:space="preserve">a) La estructura causal queda demostrada. — Una curva puede ser producida por estructuras diferentes.</w:t>
      </w:r>
    </w:p>
    <w:p>
      <w:pPr>
        <w:pStyle w:val="Normal"/>
      </w:pPr>
      <w:r>
        <w:t xml:space="preserve">b) Las políticas funcionarán en cualquier contexto. — Las conclusiones dependen de los supuestos, datos y contexto del modelo.</w:t>
      </w:r>
    </w:p>
    <w:p>
      <w:pPr>
        <w:pStyle w:val="Normal"/>
      </w:pPr>
      <w:r>
        <w:t xml:space="preserve">c) Ya no hace falta revisar los valores iniciales. — Los iniciales forman parte de la especificación que debe revisarse.</w:t>
      </w:r>
    </w:p>
    <w:p>
      <w:pPr>
        <w:pStyle w:val="Normal"/>
      </w:pPr>
      <w:r>
        <w:t xml:space="preserve">d) Aún deben contrastarse estructura, unidades, supuestos, extremos y sensibilidad. — Ejecutar comprueba ciertas condiciones formales; reproducir una curva aporta evidencia de comportamiento. Modelos con estructuras distintas pueden ajustar una misma curva.</w:t>
      </w:r>
    </w:p>
    <w:p>
      <w:pPr>
        <w:pStyle w:val="Normal"/>
      </w:pPr>
      <w:r>
        <w:t xml:space="preserve">Criterio de resolución: Ejecutar comprueba ciertas condiciones formales; reproducir una curva aporta evidencia de comportamiento. Modelos con estructuras distintas pueden ajustar una misma curva.</w:t>
      </w:r>
    </w:p>
    <w:p>
      <w:pPr>
        <w:pStyle w:val="Normal"/>
      </w:pPr>
      <w:r>
        <w:t xml:space="preserve">Defensa: Ejecutar comprueba ciertas condiciones formales; reproducir una curva aporta evidencia de comportamiento. Modelos con estructuras distintas pueden ajustar una misma curva.</w:t>
      </w:r>
    </w:p>
    <w:p>
      <w:pPr>
        <w:pStyle w:val="Fuente"/>
      </w:pPr>
      <w:r>
        <w:t xml:space="preserve">Clase 24 · 00:31:30 · capítulos 4–7; presentación 4a, pp. 27–29</w:t>
      </w:r>
    </w:p>
    <w:p>
      <w:pPr>
        <w:pStyle w:val="Heading3"/>
      </w:pPr>
      <w:bookmarkStart w:name="b_solucion_p3c_85_parametros_significado" w:id="6735"/>
      <w:r>
        <w:t xml:space="preserve">Solución S3-56</w:t>
      </w:r>
      <w:bookmarkEnd w:id="6735"/>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a) Consultar conocimiento y mediciones pertinentes, incluidos especialistas, para estimar infecciones por contagio y tasa normal de contagio.</w:t>
            </w:r>
          </w:p>
        </w:tc>
      </w:tr>
    </w:tbl>
    <w:p>
      <w:pPr>
        <w:pStyle w:val="Heading3"/>
      </w:pPr>
      <w:r>
        <w:t xml:space="preserve">Identificar la estructura y la evidencia</w:t>
      </w:r>
    </w:p>
    <w:p>
      <w:pPr>
        <w:pStyle w:val="Normal"/>
      </w:pPr>
      <w:r>
        <w:t xml:space="preserve">La primera vía usa el significado del parámetro y conocimiento cuantitativo suficiente, aportado por especialistas cuando corresponde. En este modelo IPC expresa infecciones por contagio y TNC la tasa normal de contagio. PV = PT − PI hace de PV una auxiliar; PT es constante/exógena en este modelo: el párrafo impreso invierte esos dos rótulos.</w:t>
      </w:r>
    </w:p>
    <w:p>
      <w:pPr>
        <w:pStyle w:val="Heading3"/>
      </w:pPr>
      <w:r>
        <w:t xml:space="preserve">Comprobar el alcance</w:t>
      </w:r>
    </w:p>
    <w:p>
      <w:pPr>
        <w:pStyle w:val="Normal"/>
      </w:pPr>
      <w:r>
        <w:t xml:space="preserve">Distinga lo que permite concluir la fuente de lo que requeriría ecuaciones, datos o una validación adicional.</w:t>
      </w:r>
    </w:p>
    <w:p>
      <w:pPr>
        <w:pStyle w:val="Normal"/>
      </w:pPr>
      <w:r>
        <w:t xml:space="preserve">a) Consultar conocimiento y mediciones pertinentes, incluidos especialistas, para estimar infecciones por contagio y tasa normal de contagio. — Correcta. La primera vía usa el significado del parámetro y conocimiento cuantitativo suficiente, aportado por especialistas cuando corresponde. En este modelo IPC expresa infecciones por contagio y TNC la tasa normal de contagio. PV = PT − PI hace de PV una auxiliar; PT es constante/exógena en este modelo: el párrafo impreso invierte esos dos rótulos.</w:t>
      </w:r>
    </w:p>
    <w:p>
      <w:pPr>
        <w:pStyle w:val="Normal"/>
      </w:pPr>
      <w:r>
        <w:t xml:space="preserve">b) Mover deslizadores hasta obtener una curva atractiva, sin declarar la fuente. — Esta opción no conserva la distinción del caso. La primera vía usa el significado del parámetro y conocimiento cuantitativo suficiente, aportado por especialistas cuando corresponde. En este modelo IPC expresa infecciones por contagio y TNC la tasa normal de contagio. PV = PT − PI hace de PV una auxiliar; PT es constante/exógena en este modelo: el párrafo impreso invierte esos dos rótulos.</w:t>
      </w:r>
    </w:p>
    <w:p>
      <w:pPr>
        <w:pStyle w:val="Normal"/>
      </w:pPr>
      <w:r>
        <w:t xml:space="preserve">c) Afirmar que validar unidades proporciona automáticamente sus valores. — Esta opción no conserva la distinción del caso. La primera vía usa el significado del parámetro y conocimiento cuantitativo suficiente, aportado por especialistas cuando corresponde. En este modelo IPC expresa infecciones por contagio y TNC la tasa normal de contagio. PV = PT − PI hace de PV una auxiliar; PT es constante/exógena en este modelo: el párrafo impreso invierte esos dos rótulos.</w:t>
      </w:r>
    </w:p>
    <w:p>
      <w:pPr>
        <w:pStyle w:val="Normal"/>
      </w:pPr>
      <w:r>
        <w:t xml:space="preserve">d) Intercambiar PT y PV para que ambos sean parámetros libres. — Esta opción no conserva la distinción del caso. La primera vía usa el significado del parámetro y conocimiento cuantitativo suficiente, aportado por especialistas cuando corresponde. En este modelo IPC expresa infecciones por contagio y TNC la tasa normal de contagio. PV = PT − PI hace de PV una auxiliar; PT es constante/exógena en este modelo: el párrafo impreso invierte esos dos rótulos.</w:t>
      </w:r>
    </w:p>
    <w:p>
      <w:pPr>
        <w:pStyle w:val="Normal"/>
      </w:pPr>
      <w:r>
        <w:t xml:space="preserve">Criterio de resolución: La primera vía usa el significado del parámetro y conocimiento cuantitativo suficiente, aportado por especialistas cuando corresponde. En este modelo IPC expresa infecciones por contagio y TNC la tasa normal de contagio. PV = PT − PI hace de PV una auxiliar; PT es constante/exógena en este modelo: el párrafo impreso invierte esos dos rótulos.</w:t>
      </w:r>
    </w:p>
    <w:p>
      <w:pPr>
        <w:pStyle w:val="Normal"/>
      </w:pPr>
      <w:r>
        <w:t xml:space="preserve">Defensa: La primera vía usa el significado del parámetro y conocimiento cuantitativo suficiente, aportado por especialistas cuando corresponde. En este modelo IPC expresa infecciones por contagio y TNC la tasa normal de contagio. PV = PT − PI hace de PV una auxiliar; PT es constante/exógena en este modelo: el párrafo impreso invierte esos dos rótulos.</w:t>
      </w:r>
    </w:p>
    <w:p>
      <w:pPr>
        <w:pStyle w:val="Fuente"/>
      </w:pPr>
      <w:r>
        <w:t xml:space="preserve">Presentación 4a de octubre (C-7), lámina 15</w:t>
      </w:r>
    </w:p>
    <w:p>
      <w:pPr>
        <w:pStyle w:val="Heading3"/>
      </w:pPr>
      <w:bookmarkStart w:name="b_solucion_p3c_86_calibracion_historica" w:id="6736"/>
      <w:r>
        <w:t xml:space="preserve">Solución S3-57</w:t>
      </w:r>
      <w:bookmarkEnd w:id="6736"/>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b) Calibrar busca valores que minimicen una discrepancia observada/simulada; sensibilidad estudia cómo cambian resultados al variar valores.</w:t>
            </w:r>
          </w:p>
        </w:tc>
      </w:tr>
    </w:tbl>
    <w:p>
      <w:pPr>
        <w:pStyle w:val="Heading3"/>
      </w:pPr>
      <w:r>
        <w:t xml:space="preserve">Identificar la estructura y la evidencia</w:t>
      </w:r>
    </w:p>
    <w:p>
      <w:pPr>
        <w:pStyle w:val="Normal"/>
      </w:pPr>
      <w:r>
        <w:t xml:space="preserve">La segunda vía compara una serie histórica con la serie simulada y reduce un índice de discrepancia, por ejemplo suma de errores cuadrados en instantes comparables. Deben declararse variable observada, unidad, iniciales, período y criterio de ajuste. El curso no aporta aquí una serie histórica para ejecutar esa estimación; ajustar no sustituye validar estructura ni explorar sensibilidad.</w:t>
      </w:r>
    </w:p>
    <w:p>
      <w:pPr>
        <w:pStyle w:val="Heading3"/>
      </w:pPr>
      <w:r>
        <w:t xml:space="preserve">Comprobar el alcance</w:t>
      </w:r>
    </w:p>
    <w:p>
      <w:pPr>
        <w:pStyle w:val="Normal"/>
      </w:pPr>
      <w:r>
        <w:t xml:space="preserve">Distinga lo que permite concluir la fuente de lo que requeriría ecuaciones, datos o una validación adicional.</w:t>
      </w:r>
    </w:p>
    <w:p>
      <w:pPr>
        <w:pStyle w:val="Normal"/>
      </w:pPr>
      <w:r>
        <w:t xml:space="preserve">a) Calibrar consiste en variar valores sin comparar con observaciones. — Esta opción no conserva la distinción del caso. La segunda vía compara una serie histórica con la serie simulada y reduce un índice de discrepancia, por ejemplo suma de errores cuadrados en instantes comparables. Deben declararse variable observada, unidad, iniciales, período y criterio de ajuste. El curso no aporta aquí una serie histórica para ejecutar esa estimación; ajustar no sustituye validar estructura ni explorar sensibilidad.</w:t>
      </w:r>
    </w:p>
    <w:p>
      <w:pPr>
        <w:pStyle w:val="Normal"/>
      </w:pPr>
      <w:r>
        <w:t xml:space="preserve">b) Calibrar busca valores que minimicen una discrepancia observada/simulada; sensibilidad estudia cómo cambian resultados al variar valores. — Correcta. La segunda vía compara una serie histórica con la serie simulada y reduce un índice de discrepancia, por ejemplo suma de errores cuadrados en instantes comparables. Deben declararse variable observada, unidad, iniciales, período y criterio de ajuste. El curso no aporta aquí una serie histórica para ejecutar esa estimación; ajustar no sustituye validar estructura ni explorar sensibilidad.</w:t>
      </w:r>
    </w:p>
    <w:p>
      <w:pPr>
        <w:pStyle w:val="Normal"/>
      </w:pPr>
      <w:r>
        <w:t xml:space="preserve">c) Una curva ajustada demuestra que la estructura causal es verdadera. — Esta opción no conserva la distinción del caso. La segunda vía compara una serie histórica con la serie simulada y reduce un índice de discrepancia, por ejemplo suma de errores cuadrados en instantes comparables. Deben declararse variable observada, unidad, iniciales, período y criterio de ajuste. El curso no aporta aquí una serie histórica para ejecutar esa estimación; ajustar no sustituye validar estructura ni explorar sensibilidad.</w:t>
      </w:r>
    </w:p>
    <w:p>
      <w:pPr>
        <w:pStyle w:val="Normal"/>
      </w:pPr>
      <w:r>
        <w:t xml:space="preserve">d) Calibrar elimina la necesidad de declarar valores iniciales y unidades. — Esta opción no conserva la distinción del caso. La segunda vía compara una serie histórica con la serie simulada y reduce un índice de discrepancia, por ejemplo suma de errores cuadrados en instantes comparables. Deben declararse variable observada, unidad, iniciales, período y criterio de ajuste. El curso no aporta aquí una serie histórica para ejecutar esa estimación; ajustar no sustituye validar estructura ni explorar sensibilidad.</w:t>
      </w:r>
    </w:p>
    <w:p>
      <w:pPr>
        <w:pStyle w:val="Normal"/>
      </w:pPr>
      <w:r>
        <w:t xml:space="preserve">Criterio de resolución: La segunda vía compara una serie histórica con la serie simulada y reduce un índice de discrepancia, por ejemplo suma de errores cuadrados en instantes comparables. Deben declararse variable observada, unidad, iniciales, período y criterio de ajuste. El curso no aporta aquí una serie histórica para ejecutar esa estimación; ajustar no sustituye validar estructura ni explorar sensibilidad.</w:t>
      </w:r>
    </w:p>
    <w:p>
      <w:pPr>
        <w:pStyle w:val="Normal"/>
      </w:pPr>
      <w:r>
        <w:t xml:space="preserve">Defensa: La segunda vía compara una serie histórica con la serie simulada y reduce un índice de discrepancia, por ejemplo suma de errores cuadrados en instantes comparables. Deben declararse variable observada, unidad, iniciales, período y criterio de ajuste. El curso no aporta aquí una serie histórica para ejecutar esa estimación; ajustar no sustituye validar estructura ni explorar sensibilidad.</w:t>
      </w:r>
    </w:p>
    <w:p>
      <w:pPr>
        <w:pStyle w:val="Fuente"/>
      </w:pPr>
      <w:r>
        <w:t xml:space="preserve">Presentación 4a de octubre (C-7), lámina 15</w:t>
      </w:r>
    </w:p>
    <w:p>
      <w:pPr>
        <w:pStyle w:val="Heading3"/>
      </w:pPr>
      <w:bookmarkStart w:name="b_solucion_p3c_87_ambientes_historicos" w:id="6737"/>
      <w:r>
        <w:t xml:space="preserve">Solución S3-58</w:t>
      </w:r>
      <w:bookmarkEnd w:id="6737"/>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c) DYNAMO: ecuaciones; STELLA/i-think: interacción gráfica y ecuaciones desde diagramas; Mosaikk–SimTek: interfaz y lenguaje tipo DYNAMO; PowerSim: modelos conectables; Vensim: datos, optimización, documentación y análisis.</w:t>
            </w:r>
          </w:p>
        </w:tc>
      </w:tr>
    </w:tbl>
    <w:p>
      <w:pPr>
        <w:pStyle w:val="Heading3"/>
      </w:pPr>
      <w:r>
        <w:t xml:space="preserve">Identificar la estructura y la evidencia</w:t>
      </w:r>
    </w:p>
    <w:p>
      <w:pPr>
        <w:pStyle w:val="Normal"/>
      </w:pPr>
      <w:r>
        <w:t xml:space="preserve">Es una comparación histórica atribuida a la lámina: DYNAMO sin modelado por iconos; STELLA de orientación académica e i-think profesional; Mosaikk conectado a SimTek; PowerSim con varios modelos interconectables; Vensim con organización de datos, optimización, documentación, árboles causales y análisis estadístico. No evalúa versiones actuales.</w:t>
      </w:r>
    </w:p>
    <w:p>
      <w:pPr>
        <w:pStyle w:val="Heading3"/>
      </w:pPr>
      <w:r>
        <w:t xml:space="preserve">Comprobar el alcance</w:t>
      </w:r>
    </w:p>
    <w:p>
      <w:pPr>
        <w:pStyle w:val="Normal"/>
      </w:pPr>
      <w:r>
        <w:t xml:space="preserve">Distinga lo que permite concluir la fuente de lo que requeriría ecuaciones, datos o una validación adicional.</w:t>
      </w:r>
    </w:p>
    <w:p>
      <w:pPr>
        <w:pStyle w:val="Normal"/>
      </w:pPr>
      <w:r>
        <w:t xml:space="preserve">a) DYNAMO: iconos; STELLA: sólo texto; Mosaikk: sin conexión a SimTek; PowerSim: un modelo único; Vensim: sin documentación. — Esta opción no conserva la distinción del caso. Es una comparación histórica atribuida a la lámina: DYNAMO sin modelado por iconos; STELLA de orientación académica e i-think profesional; Mosaikk conectado a SimTek; PowerSim con varios modelos interconectables; Vensim con organización de datos, optimización, documentación, árboles causales y análisis estadístico. No evalúa versiones actuales.</w:t>
      </w:r>
    </w:p>
    <w:p>
      <w:pPr>
        <w:pStyle w:val="Normal"/>
      </w:pPr>
      <w:r>
        <w:t xml:space="preserve">b) Todos se describen únicamente como programas para dibujar flechas, sin más diferencias. — Esta opción no conserva la distinción del caso. Es una comparación histórica atribuida a la lámina: DYNAMO sin modelado por iconos; STELLA de orientación académica e i-think profesional; Mosaikk conectado a SimTek; PowerSim con varios modelos interconectables; Vensim con organización de datos, optimización, documentación, árboles causales y análisis estadístico. No evalúa versiones actuales.</w:t>
      </w:r>
    </w:p>
    <w:p>
      <w:pPr>
        <w:pStyle w:val="Normal"/>
      </w:pPr>
      <w:r>
        <w:t xml:space="preserve">c) DYNAMO: ecuaciones; STELLA/i-think: interacción gráfica y ecuaciones desde diagramas; Mosaikk–SimTek: interfaz y lenguaje tipo DYNAMO; PowerSim: modelos conectables; Vensim: datos, optimización, documentación y análisis. — Correcta. Es una comparación histórica atribuida a la lámina: DYNAMO sin modelado por iconos; STELLA de orientación académica e i-think profesional; Mosaikk conectado a SimTek; PowerSim con varios modelos interconectables; Vensim con organización de datos, optimización, documentación, árboles causales y análisis estadístico. No evalúa versiones actuales.</w:t>
      </w:r>
    </w:p>
    <w:p>
      <w:pPr>
        <w:pStyle w:val="Normal"/>
      </w:pPr>
      <w:r>
        <w:t xml:space="preserve">d) La lámina demuestra qué producto y versión conviene comprar hoy. — Esta opción no conserva la distinción del caso. Es una comparación histórica atribuida a la lámina: DYNAMO sin modelado por iconos; STELLA de orientación académica e i-think profesional; Mosaikk conectado a SimTek; PowerSim con varios modelos interconectables; Vensim con organización de datos, optimización, documentación, árboles causales y análisis estadístico. No evalúa versiones actuales.</w:t>
      </w:r>
    </w:p>
    <w:p>
      <w:pPr>
        <w:pStyle w:val="Normal"/>
      </w:pPr>
      <w:r>
        <w:t xml:space="preserve">Criterio de resolución: Es una comparación histórica atribuida a la lámina: DYNAMO sin modelado por iconos; STELLA de orientación académica e i-think profesional; Mosaikk conectado a SimTek; PowerSim con varios modelos interconectables; Vensim con organización de datos, optimización, documentación, árboles causales y análisis estadístico. No evalúa versiones actuales.</w:t>
      </w:r>
    </w:p>
    <w:p>
      <w:pPr>
        <w:pStyle w:val="Normal"/>
      </w:pPr>
      <w:r>
        <w:t xml:space="preserve">Defensa: Es una comparación histórica atribuida a la lámina: DYNAMO sin modelado por iconos; STELLA de orientación académica e i-think profesional; Mosaikk conectado a SimTek; PowerSim con varios modelos interconectables; Vensim con organización de datos, optimización, documentación, árboles causales y análisis estadístico. No evalúa versiones actuales.</w:t>
      </w:r>
    </w:p>
    <w:p>
      <w:pPr>
        <w:pStyle w:val="Fuente"/>
      </w:pPr>
      <w:r>
        <w:t xml:space="preserve">Presentación 4a (C-3), lámina 53</w:t>
      </w:r>
    </w:p>
    <w:p>
      <w:pPr>
        <w:pStyle w:val="Heading3"/>
      </w:pPr>
      <w:bookmarkStart w:name="b_solucion_p3c_88_unidades_estructura" w:id="6738"/>
      <w:r>
        <w:t xml:space="preserve">Solución S3-59</w:t>
      </w:r>
      <w:bookmarkEnd w:id="6738"/>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d) La consistencia dimensional es necesaria, pero aún deben contrastarse estructura, supuestos y comportamiento.</w:t>
            </w:r>
          </w:p>
        </w:tc>
      </w:tr>
    </w:tbl>
    <w:p>
      <w:pPr>
        <w:pStyle w:val="Heading3"/>
      </w:pPr>
      <w:r>
        <w:t xml:space="preserve">Identificar la estructura y la evidencia</w:t>
      </w:r>
    </w:p>
    <w:p>
      <w:pPr>
        <w:pStyle w:val="Normal"/>
      </w:pPr>
      <w:r>
        <w:t xml:space="preserve">Dos flujos causalmente distintos pueden tener las mismas unidades. Units Check ayuda a detectar incompatibilidades dimensionales; no prueba la dirección causal, los signos, las variables omitidas ni la validez de las políticas. Hay que contrastar estructura, extremos, datos y sensibilidad por separado.</w:t>
      </w:r>
    </w:p>
    <w:p>
      <w:pPr>
        <w:pStyle w:val="Heading3"/>
      </w:pPr>
      <w:r>
        <w:t xml:space="preserve">Comprobar el alcance</w:t>
      </w:r>
    </w:p>
    <w:p>
      <w:pPr>
        <w:pStyle w:val="Normal"/>
      </w:pPr>
      <w:r>
        <w:t xml:space="preserve">Distinga lo que permite concluir la fuente de lo que requeriría ecuaciones, datos o una validación adicional.</w:t>
      </w:r>
    </w:p>
    <w:p>
      <w:pPr>
        <w:pStyle w:val="Normal"/>
      </w:pPr>
      <w:r>
        <w:t xml:space="preserve">a) La estructura queda demostrada para cualquier política. — Esta opción no conserva la distinción del caso. Dos flujos causalmente distintos pueden tener las mismas unidades. Units Check ayuda a detectar incompatibilidades dimensionales; no prueba la dirección causal, los signos, las variables omitidas ni la validez de las políticas. Hay que contrastar estructura, extremos, datos y sensibilidad por separado.</w:t>
      </w:r>
    </w:p>
    <w:p>
      <w:pPr>
        <w:pStyle w:val="Normal"/>
      </w:pPr>
      <w:r>
        <w:t xml:space="preserve">b) Toda variable relevante está incluida. — Esta opción no conserva la distinción del caso. Dos flujos causalmente distintos pueden tener las mismas unidades. Units Check ayuda a detectar incompatibilidades dimensionales; no prueba la dirección causal, los signos, las variables omitidas ni la validez de las políticas. Hay que contrastar estructura, extremos, datos y sensibilidad por separado.</w:t>
      </w:r>
    </w:p>
    <w:p>
      <w:pPr>
        <w:pStyle w:val="Normal"/>
      </w:pPr>
      <w:r>
        <w:t xml:space="preserve">c) La calibración histórica ya terminó. — Esta opción no conserva la distinción del caso. Dos flujos causalmente distintos pueden tener las mismas unidades. Units Check ayuda a detectar incompatibilidades dimensionales; no prueba la dirección causal, los signos, las variables omitidas ni la validez de las políticas. Hay que contrastar estructura, extremos, datos y sensibilidad por separado.</w:t>
      </w:r>
    </w:p>
    <w:p>
      <w:pPr>
        <w:pStyle w:val="Normal"/>
      </w:pPr>
      <w:r>
        <w:t xml:space="preserve">d) La consistencia dimensional es necesaria, pero aún deben contrastarse estructura, supuestos y comportamiento. — Correcta. Dos flujos causalmente distintos pueden tener las mismas unidades. Units Check ayuda a detectar incompatibilidades dimensionales; no prueba la dirección causal, los signos, las variables omitidas ni la validez de las políticas. Hay que contrastar estructura, extremos, datos y sensibilidad por separado.</w:t>
      </w:r>
    </w:p>
    <w:p>
      <w:pPr>
        <w:pStyle w:val="Normal"/>
      </w:pPr>
      <w:r>
        <w:t xml:space="preserve">Criterio de resolución: Dos flujos causalmente distintos pueden tener las mismas unidades. Units Check ayuda a detectar incompatibilidades dimensionales; no prueba la dirección causal, los signos, las variables omitidas ni la validez de las políticas. Hay que contrastar estructura, extremos, datos y sensibilidad por separado.</w:t>
      </w:r>
    </w:p>
    <w:p>
      <w:pPr>
        <w:pStyle w:val="Normal"/>
      </w:pPr>
      <w:r>
        <w:t xml:space="preserve">Defensa: Dos flujos causalmente distintos pueden tener las mismas unidades. Units Check ayuda a detectar incompatibilidades dimensionales; no prueba la dirección causal, los signos, las variables omitidas ni la validez de las políticas. Hay que contrastar estructura, extremos, datos y sensibilidad por separado.</w:t>
      </w:r>
    </w:p>
    <w:p>
      <w:pPr>
        <w:pStyle w:val="Fuente"/>
      </w:pPr>
      <w:r>
        <w:t xml:space="preserve">Clase 20 · 01:46:06 · Presentación 4a (C-3), lámina 27</w:t>
      </w:r>
    </w:p>
    <w:p>
      <w:pPr>
        <w:pStyle w:val="Heading3"/>
      </w:pPr>
      <w:bookmarkStart w:name="b_solucion_p3c_94_emparejar_amb_996cc884" w:id="6739"/>
      <w:r>
        <w:t xml:space="preserve">Solución S3-60</w:t>
      </w:r>
      <w:bookmarkEnd w:id="6739"/>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Professional DYNAMO → Lenguaje de ecuaciones sin modelado por iconos</w:t>
            </w:r>
          </w:p>
          <w:p>
            <w:pPr>
              <w:pStyle w:val="Recuadro"/>
            </w:pPr>
            <w:r>
              <w:t xml:space="preserve">STELLA / i-think → Interacción gráfica; orientación académica/profesional; ecuaciones desde diagramas</w:t>
            </w:r>
          </w:p>
          <w:p>
            <w:pPr>
              <w:pStyle w:val="Recuadro"/>
            </w:pPr>
            <w:r>
              <w:t xml:space="preserve">Mosaikk–SimTek → Interfaz gráfica conectada al lenguaje SimTek, tipo DYNAMO</w:t>
            </w:r>
          </w:p>
          <w:p>
            <w:pPr>
              <w:pStyle w:val="Recuadro"/>
            </w:pPr>
            <w:r>
              <w:t xml:space="preserve">PowerSim → Varios modelos simultáneos que pueden interconectarse</w:t>
            </w:r>
          </w:p>
          <w:p>
            <w:pPr>
              <w:pStyle w:val="Recuadro"/>
            </w:pPr>
            <w:r>
              <w:t xml:space="preserve">Vensim → Organización de datos, optimización, documentación, árboles causales y análisis estadístico</w:t>
            </w:r>
          </w:p>
        </w:tc>
      </w:tr>
    </w:tbl>
    <w:p>
      <w:pPr>
        <w:pStyle w:val="Heading3"/>
      </w:pPr>
      <w:r>
        <w:t xml:space="preserve">Separar representación y conexión</w:t>
      </w:r>
    </w:p>
    <w:p>
      <w:pPr>
        <w:pStyle w:val="Normal"/>
      </w:pPr>
      <w:r>
        <w:t xml:space="preserve">DYNAMO trabaja con ecuaciones; STELLA/i-think con interacción gráfica; Mosaikk conecta con SimTek.</w:t>
      </w:r>
    </w:p>
    <w:p>
      <w:pPr>
        <w:pStyle w:val="Heading3"/>
      </w:pPr>
      <w:r>
        <w:t xml:space="preserve">Distinguir los otros énfasis</w:t>
      </w:r>
    </w:p>
    <w:p>
      <w:pPr>
        <w:pStyle w:val="Normal"/>
      </w:pPr>
      <w:r>
        <w:t xml:space="preserve">PowerSim se asocia a interconectar modelos; Vensim a datos, optimización, documentación y análisis.</w:t>
      </w:r>
    </w:p>
    <w:p>
      <w:pPr>
        <w:pStyle w:val="Normal"/>
      </w:pPr>
      <w:r>
        <w:t xml:space="preserve">Distractor sin fila correspondiente: Comparación de precios y versiones actuales.</w:t>
      </w:r>
    </w:p>
    <w:p>
      <w:pPr>
        <w:pStyle w:val="Normal"/>
      </w:pPr>
      <w:r>
        <w:t xml:space="preserve">Criterio de resolución: La comparación histórica distingue trabajo con ecuaciones, construcción gráfica interactiva, conexión interfaz/lenguaje, interconexión de modelos y funciones de análisis. STELLA se presenta orientado a usos académicos e i-think a profesionales. No es una evaluación de productos actuales.</w:t>
      </w:r>
    </w:p>
    <w:p>
      <w:pPr>
        <w:pStyle w:val="Normal"/>
      </w:pPr>
      <w:r>
        <w:t xml:space="preserve">Defensa: Los cinco pares parafrasean la lámina 53 y preservan su carácter histórico.</w:t>
      </w:r>
    </w:p>
    <w:p>
      <w:pPr>
        <w:pStyle w:val="Fuente"/>
      </w:pPr>
      <w:r>
        <w:t xml:space="preserve">Presentación 4a (C-3), lámina 53</w:t>
      </w:r>
    </w:p>
    <w:p>
      <w:pPr>
        <w:pStyle w:val="Heading3"/>
      </w:pPr>
      <w:bookmarkStart w:name="b_solucion_p3c_48_prestamo_a_ca_6e8dd269" w:id="6740"/>
      <w:r>
        <w:t xml:space="preserve">Solución S3-61</w:t>
      </w:r>
      <w:bookmarkEnd w:id="6740"/>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b) Banco 1: $3,959.86; banco 2: $3,797.50</w:t>
            </w:r>
          </w:p>
        </w:tc>
      </w:tr>
    </w:tbl>
    <w:p>
      <w:pPr>
        <w:pStyle w:val="Heading3"/>
      </w:pPr>
      <w:r>
        <w:t xml:space="preserve">Identifique la estructura</w:t>
      </w:r>
    </w:p>
    <w:p>
      <w:pPr>
        <w:pStyle w:val="Normal"/>
      </w:pPr>
      <w:r>
        <w:t xml:space="preserve">La lámina 34 marca R el ciclo intereses → saldo bancario → intereses: el saldo crece en proporción a sí mismo, no una cantidad fija cada mes.</w:t>
      </w:r>
    </w:p>
    <w:p>
      <w:pPr>
        <w:pStyle w:val="Fuente"/>
      </w:pPr>
      <w:r>
        <w:t xml:space="preserve">Opciones descartadas: a).</w:t>
      </w:r>
    </w:p>
    <w:p>
      <w:pPr>
        <w:pStyle w:val="Heading3"/>
      </w:pPr>
      <w:r>
        <w:t xml:space="preserve">Calcule los saldos a 14 meses</w:t>
      </w:r>
    </w:p>
    <w:p>
      <w:pPr>
        <w:pStyle w:val="Normal"/>
      </w:pPr>
      <w:r>
        <w:t xml:space="preserve">Banco 1: 2000 · 1.05¹</w:t>
      </w:r>
      <w:r>
        <w:rPr>
          <w:vertAlign w:val="superscript"/>
        </w:rPr>
        <w:t xml:space="preserve">4</w:t>
      </w:r>
      <w:r>
        <w:t xml:space="preserve"> = 3,959.86. Banco 2: 1000 · 1.10¹</w:t>
      </w:r>
      <w:r>
        <w:rPr>
          <w:vertAlign w:val="superscript"/>
        </w:rPr>
        <w:t xml:space="preserve">4</w:t>
      </w:r>
      <w:r>
        <w:t xml:space="preserve"> = 3,797.50. Los valores de 12 y de 15 meses responden a otros plazos.</w:t>
      </w:r>
    </w:p>
    <w:p>
      <w:pPr>
        <w:pStyle w:val="Fuente"/>
      </w:pPr>
      <w:r>
        <w:t xml:space="preserve">Opciones descartadas: d), e).</w:t>
      </w:r>
    </w:p>
    <w:p>
      <w:pPr>
        <w:pStyle w:val="Heading3"/>
      </w:pPr>
      <w:r>
        <w:t xml:space="preserve">Verifique qué banco debe menos</w:t>
      </w:r>
    </w:p>
    <w:p>
      <w:pPr>
        <w:pStyle w:val="Normal"/>
      </w:pPr>
      <w:r>
        <w:t xml:space="preserve">A los 14 meses el banco 2 todavía debe menos, porque parte de la mitad de la deuda; la opción que lo invierte asigna mal los saldos.</w:t>
      </w:r>
    </w:p>
    <w:p>
      <w:pPr>
        <w:pStyle w:val="Fuente"/>
      </w:pPr>
      <w:r>
        <w:t xml:space="preserve">Opciones descartadas: c).</w:t>
      </w:r>
    </w:p>
    <w:p>
      <w:pPr>
        <w:pStyle w:val="Normal"/>
      </w:pPr>
      <w:r>
        <w:t xml:space="preserve">a) Banco 1: $3,400.00; banco 2: $2,400.00 — Es el interés simple: 2000 + 14 · 100 y 1000 + 14 · 100. Ignora que cada mes el interés se calcula sobre el saldo vigente, que ya incluye los intereses anteriores.</w:t>
      </w:r>
    </w:p>
    <w:p>
      <w:pPr>
        <w:pStyle w:val="Normal"/>
      </w:pPr>
      <w:r>
        <w:t xml:space="preserve">b) Banco 1: $3,959.86; banco 2: $3,797.50 — Correcta: 2000 · 1.05¹</w:t>
      </w:r>
      <w:r>
        <w:rPr>
          <w:vertAlign w:val="superscript"/>
        </w:rPr>
        <w:t xml:space="preserve">4</w:t>
      </w:r>
      <w:r>
        <w:t xml:space="preserve"> = 3,959.86 y 1000 · 1.10¹</w:t>
      </w:r>
      <w:r>
        <w:rPr>
          <w:vertAlign w:val="superscript"/>
        </w:rPr>
        <w:t xml:space="preserve">4</w:t>
      </w:r>
      <w:r>
        <w:t xml:space="preserve"> = 3,797.50. A los 14 meses todavía conviene el banco 2.</w:t>
      </w:r>
    </w:p>
    <w:p>
      <w:pPr>
        <w:pStyle w:val="Normal"/>
      </w:pPr>
      <w:r>
        <w:t xml:space="preserve">c) Banco 1: $3,797.50; banco 2: $3,959.86 — Invierte los bancos: el banco 2 parte de la mitad de la deuda y, aunque su saldo crece más rápido, a los 14 meses todavía debe menos.</w:t>
      </w:r>
    </w:p>
    <w:p>
      <w:pPr>
        <w:pStyle w:val="Normal"/>
      </w:pPr>
      <w:r>
        <w:t xml:space="preserve">d) Banco 1: $3,591.71; banco 2: $3,138.43 — Son los saldos a 12 meses, los de la pregunta a) del ejercicio.</w:t>
      </w:r>
    </w:p>
    <w:p>
      <w:pPr>
        <w:pStyle w:val="Normal"/>
      </w:pPr>
      <w:r>
        <w:t xml:space="preserve">e) Banco 1: $4,157.86; banco 2: $4,177.25 — Son los saldos a 15 meses: para entonces los saldos ya se cruzaron y el banco 2 debe más.</w:t>
      </w:r>
    </w:p>
    <w:p>
      <w:pPr>
        <w:pStyle w:val="Normal"/>
      </w:pPr>
      <w:r>
        <w:t xml:space="preserve">Criterio de resolución: En la perspectiva 1 (lámina 34) los intereses y el saldo forman un ciclo de refuerzo: cada mes se suma al saldo la tasa de interés por el saldo vigente. Con TIME STEP = 1 eso es el interés compuesto mensual: Saldo(t) = monto · (1 + tasa)</w:t>
      </w:r>
      <w:r>
        <w:rPr>
          <w:vertAlign w:val="superscript"/>
        </w:rPr>
        <w:t xml:space="preserve">t</w:t>
      </w:r>
      <w:r>
        <w:t xml:space="preserve">. A los 14 meses el banco 1 debe 2000 · 1.05¹</w:t>
      </w:r>
      <w:r>
        <w:rPr>
          <w:vertAlign w:val="superscript"/>
        </w:rPr>
        <w:t xml:space="preserve">4</w:t>
      </w:r>
      <w:r>
        <w:t xml:space="preserve"> = 3,959.86 y el banco 2, 1000 · 1.10¹</w:t>
      </w:r>
      <w:r>
        <w:rPr>
          <w:vertAlign w:val="superscript"/>
        </w:rPr>
        <w:t xml:space="preserve">4</w:t>
      </w:r>
      <w:r>
        <w:t xml:space="preserve"> = 3,797.50; la diferencia a favor del banco 2 se achica cada mes y desaparece hacia los 14.90 meses.</w:t>
      </w:r>
    </w:p>
    <w:p>
      <w:pPr>
        <w:pStyle w:val="Normal"/>
      </w:pPr>
      <w:r>
        <w:t xml:space="preserve">Defensa: Con el saldo acumulándose cada mes, 2000 · 1.05¹</w:t>
      </w:r>
      <w:r>
        <w:rPr>
          <w:vertAlign w:val="superscript"/>
        </w:rPr>
        <w:t xml:space="preserve">4</w:t>
      </w:r>
      <w:r>
        <w:t xml:space="preserve"> = $3,959.86 y 1000 · 1.10¹</w:t>
      </w:r>
      <w:r>
        <w:rPr>
          <w:vertAlign w:val="superscript"/>
        </w:rPr>
        <w:t xml:space="preserve">4</w:t>
      </w:r>
      <w:r>
        <w:t xml:space="preserve"> = $3,797.50. Es la pregunta c) del ejercicio de la lámina 23, y la lámina 34 da su estructura: un ciclo de refuerzo entre intereses y saldo.</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9C620A" w:sz="20"/>
              <w:bottom w:val="nil"/>
              <w:right w:val="nil"/>
            </w:tcBorders>
            <w:shd w:fill="FBF3DF" w:val="clear"/>
            <w:tcMar>
              <w:top w:type="dxa" w:w="130"/>
              <w:left w:type="dxa" w:w="180"/>
              <w:bottom w:type="dxa" w:w="130"/>
              <w:right w:type="dxa" w:w="180"/>
            </w:tcMar>
          </w:tcPr>
          <w:p>
            <w:pPr>
              <w:pStyle w:val="RecuadroTitulo"/>
            </w:pPr>
            <w:r>
              <w:rPr>
                <w:b/>
                <w:bCs/>
                <w:color w:val="9C620A"/>
              </w:rPr>
              <w:t xml:space="preserve">Advertencia y límites</w:t>
            </w:r>
          </w:p>
          <w:p>
            <w:pPr>
              <w:pStyle w:val="Recuadro"/>
            </w:pPr>
            <w:r>
              <w:t xml:space="preserve">La presentación plantea el ejercicio dos veces, en las láminas 23 y 33, y no da las cifras: la clave sale de la función del portal que integra el saldo mes a mes, con TIME STEP = 1.</w:t>
            </w:r>
          </w:p>
        </w:tc>
      </w:tr>
    </w:tbl>
    <w:p>
      <w:pPr>
        <w:pStyle w:val="Fuente"/>
      </w:pPr>
      <w:r>
        <w:t xml:space="preserve">Presentación 4a (C-3), láminas 23, 33 y 34</w:t>
      </w:r>
    </w:p>
    <w:p>
      <w:pPr>
        <w:pStyle w:val="Heading3"/>
      </w:pPr>
      <w:bookmarkStart w:name="b_solucion_p3c_49_prestamo_a_dos_anos" w:id="6741"/>
      <w:r>
        <w:t xml:space="preserve">Solución S3-62</w:t>
      </w:r>
      <w:bookmarkEnd w:id="6741"/>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a) A 12 meses conviene el banco 2, pero a 24 meses conviene el banco 1: $6,450.20 contra $9,849.73</w:t>
            </w:r>
          </w:p>
          <w:p>
            <w:pPr>
              <w:pStyle w:val="Recuadro"/>
            </w:pPr>
            <w:r>
              <w:t xml:space="preserve">b) Los dos saldos se igualan entre el mes 14 y el 15; desde ahí el banco 2 debe más</w:t>
            </w:r>
          </w:p>
        </w:tc>
      </w:tr>
    </w:tbl>
    <w:p>
      <w:pPr>
        <w:pStyle w:val="Heading3"/>
      </w:pPr>
      <w:r>
        <w:t xml:space="preserve">Calcule los saldos a 24 meses</w:t>
      </w:r>
    </w:p>
    <w:p>
      <w:pPr>
        <w:pStyle w:val="Normal"/>
      </w:pPr>
      <w:r>
        <w:t xml:space="preserve">Banco 1: 2000 · 1.05²</w:t>
      </w:r>
      <w:r>
        <w:rPr>
          <w:vertAlign w:val="superscript"/>
        </w:rPr>
        <w:t xml:space="preserve">4</w:t>
      </w:r>
      <w:r>
        <w:t xml:space="preserve"> = 6,450.20; banco 2: 1000 · 1.10²</w:t>
      </w:r>
      <w:r>
        <w:rPr>
          <w:vertAlign w:val="superscript"/>
        </w:rPr>
        <w:t xml:space="preserve">4</w:t>
      </w:r>
      <w:r>
        <w:t xml:space="preserve"> = 9,849.73. A los dos años conviene el banco 1.</w:t>
      </w:r>
    </w:p>
    <w:p>
      <w:pPr>
        <w:pStyle w:val="Fuente"/>
      </w:pPr>
      <w:r>
        <w:t xml:space="preserve">Opciones descartadas: d).</w:t>
      </w:r>
    </w:p>
    <w:p>
      <w:pPr>
        <w:pStyle w:val="Heading3"/>
      </w:pPr>
      <w:r>
        <w:t xml:space="preserve">Ubique el cruce</w:t>
      </w:r>
    </w:p>
    <w:p>
      <w:pPr>
        <w:pStyle w:val="Normal"/>
      </w:pPr>
      <w:r>
        <w:t xml:space="preserve">Igualando 2000 · 1.05</w:t>
      </w:r>
      <w:r>
        <w:rPr>
          <w:vertAlign w:val="superscript"/>
        </w:rPr>
        <w:t xml:space="preserve">t</w:t>
      </w:r>
      <w:r>
        <w:t xml:space="preserve"> = 1000 · 1.10</w:t>
      </w:r>
      <w:r>
        <w:rPr>
          <w:vertAlign w:val="superscript"/>
        </w:rPr>
        <w:t xml:space="preserve">t</w:t>
      </w:r>
      <w:r>
        <w:t xml:space="preserve"> sale t = ln 2 / ln(1.10 / 1.05) ≈ 14.90 meses: entre el mes 14 y el 15.</w:t>
      </w:r>
    </w:p>
    <w:p>
      <w:pPr>
        <w:pStyle w:val="Heading3"/>
      </w:pPr>
      <w:r>
        <w:t xml:space="preserve">Recalcule con las tasas negociadas</w:t>
      </w:r>
    </w:p>
    <w:p>
      <w:pPr>
        <w:pStyle w:val="Normal"/>
      </w:pPr>
      <w:r>
        <w:t xml:space="preserve">Banco 1 al 2 %: 2000 · 1.02²</w:t>
      </w:r>
      <w:r>
        <w:rPr>
          <w:vertAlign w:val="superscript"/>
        </w:rPr>
        <w:t xml:space="preserve">4</w:t>
      </w:r>
      <w:r>
        <w:t xml:space="preserve"> = 3,216.87; banco 2 al 4 %: 1000 · 1.04²</w:t>
      </w:r>
      <w:r>
        <w:rPr>
          <w:vertAlign w:val="superscript"/>
        </w:rPr>
        <w:t xml:space="preserve">4</w:t>
      </w:r>
      <w:r>
        <w:t xml:space="preserve"> = 2,563.30. La mitad de la tasa no compensa el doble de la deuda en dos años.</w:t>
      </w:r>
    </w:p>
    <w:p>
      <w:pPr>
        <w:pStyle w:val="Fuente"/>
      </w:pPr>
      <w:r>
        <w:t xml:space="preserve">Opciones descartadas: c).</w:t>
      </w:r>
    </w:p>
    <w:p>
      <w:pPr>
        <w:pStyle w:val="Heading3"/>
      </w:pPr>
      <w:r>
        <w:t xml:space="preserve">Descarte la línea recta</w:t>
      </w:r>
    </w:p>
    <w:p>
      <w:pPr>
        <w:pStyle w:val="Normal"/>
      </w:pPr>
      <w:r>
        <w:t xml:space="preserve">Un nivel cuyo flujo es proporcional a él mismo crece de forma exponencial, el primero de los comportamientos habituales de la lámina 42.</w:t>
      </w:r>
    </w:p>
    <w:p>
      <w:pPr>
        <w:pStyle w:val="Fuente"/>
      </w:pPr>
      <w:r>
        <w:t xml:space="preserve">Opciones descartadas: e).</w:t>
      </w:r>
    </w:p>
    <w:p>
      <w:pPr>
        <w:pStyle w:val="Normal"/>
      </w:pPr>
      <w:r>
        <w:t xml:space="preserve">a) A 12 meses conviene el banco 2, pero a 24 meses conviene el banco 1: $6,450.20 contra $9,849.73 — Correcta: 2000 · 1.05²</w:t>
      </w:r>
      <w:r>
        <w:rPr>
          <w:vertAlign w:val="superscript"/>
        </w:rPr>
        <w:t xml:space="preserve">4</w:t>
      </w:r>
      <w:r>
        <w:t xml:space="preserve"> = 6,450.20 y 1000 · 1.10²</w:t>
      </w:r>
      <w:r>
        <w:rPr>
          <w:vertAlign w:val="superscript"/>
        </w:rPr>
        <w:t xml:space="preserve">4</w:t>
      </w:r>
      <w:r>
        <w:t xml:space="preserve"> = 9,849.73; es la respuesta de la pregunta b).</w:t>
      </w:r>
    </w:p>
    <w:p>
      <w:pPr>
        <w:pStyle w:val="Normal"/>
      </w:pPr>
      <w:r>
        <w:t xml:space="preserve">b) Los dos saldos se igualan entre el mes 14 y el 15; desde ahí el banco 2 debe más — Correcta: el cruce está hacia los 14.90 meses; en el mes 14 el banco 2 debe 3,797.50 frente a 3,959.86, y en el 15 debe 4,177.25 frente a 4,157.86.</w:t>
      </w:r>
    </w:p>
    <w:p>
      <w:pPr>
        <w:pStyle w:val="Normal"/>
      </w:pPr>
      <w:r>
        <w:t xml:space="preserve">c) Si se negocian tasas del 2 % en el banco 1 y del 4 % en el banco 2, a 24 meses conviene el banco 1, porque su tasa es la mitad — Con el 2 % y el 4 %, a 24 meses el banco 1 debe 3,216.87 y el banco 2, 2,563.30: conviene el banco 2. La tasa del banco 1 es la mitad, pero su deuda inicial es el doble.</w:t>
      </w:r>
    </w:p>
    <w:p>
      <w:pPr>
        <w:pStyle w:val="Normal"/>
      </w:pPr>
      <w:r>
        <w:t xml:space="preserve">d) El banco 2 conviene a cualquier plazo, porque perdona la mitad de la deuda — Sólo conviene mientras su saldo, que crece al 10 %, no alcance al del banco 1: después de los 14.90 meses el banco 2 debe más.</w:t>
      </w:r>
    </w:p>
    <w:p>
      <w:pPr>
        <w:pStyle w:val="Normal"/>
      </w:pPr>
      <w:r>
        <w:t xml:space="preserve">e) Los saldos crecen en línea recta, porque cada mes se cobra la misma tasa — La tasa es la misma, pero se aplica a un saldo cada vez mayor: el crecimiento es exponencial, el patrón de un ciclo de refuerzo.</w:t>
      </w:r>
    </w:p>
    <w:p>
      <w:pPr>
        <w:pStyle w:val="Normal"/>
      </w:pPr>
      <w:r>
        <w:t xml:space="preserve">Criterio de resolución: Cada saldo crece de forma exponencial, monto · (1 + tasa)</w:t>
      </w:r>
      <w:r>
        <w:rPr>
          <w:vertAlign w:val="superscript"/>
        </w:rPr>
        <w:t xml:space="preserve">t</w:t>
      </w:r>
      <w:r>
        <w:t xml:space="preserve">, y el del banco 2 lo hace más rápido. Por eso la ventaja de partir de $1,000.00 es temporal: los saldos se cruzan hacia los 14.90 meses, y a 24 meses el banco 2 debe $9,849.73 frente a $6,450.20. Con las tasas negociadas de la pregunta d), el banco 2 cobra el 4 % sobre $1,000.00 y el banco 1 el 2 % sobre $2,000.00: los saldos se cruzarían hacia los 35.7 meses, así que a 24 meses el banco 2 todavía debe menos, $2,563.30 frente a $3,216.87, y vuelve a convenir.</w:t>
      </w:r>
    </w:p>
    <w:p>
      <w:pPr>
        <w:pStyle w:val="Normal"/>
      </w:pPr>
      <w:r>
        <w:t xml:space="preserve">Defensa: Las cifras salen de integrar el saldo mes a mes, como en Vensim con TIME STEP = 1: a 24 meses $6,450.20 contra $9,849.73, y con las tasas negociadas $3,216.87 contra $2,563.30. Son las preguntas b) y d) de la lámina 23.</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9C620A" w:sz="20"/>
              <w:bottom w:val="nil"/>
              <w:right w:val="nil"/>
            </w:tcBorders>
            <w:shd w:fill="FBF3DF" w:val="clear"/>
            <w:tcMar>
              <w:top w:type="dxa" w:w="130"/>
              <w:left w:type="dxa" w:w="180"/>
              <w:bottom w:type="dxa" w:w="130"/>
              <w:right w:type="dxa" w:w="180"/>
            </w:tcMar>
          </w:tcPr>
          <w:p>
            <w:pPr>
              <w:pStyle w:val="RecuadroTitulo"/>
            </w:pPr>
            <w:r>
              <w:rPr>
                <w:b/>
                <w:bCs/>
                <w:color w:val="9C620A"/>
              </w:rPr>
              <w:t xml:space="preserve">Advertencia y límites</w:t>
            </w:r>
          </w:p>
          <w:p>
            <w:pPr>
              <w:pStyle w:val="Recuadro"/>
            </w:pPr>
            <w:r>
              <w:t xml:space="preserve">La presentación no da las respuestas del ejercicio: las cifras son del portal. La pregunta d) no dice si el banco 2 sigue perdonando $1,000.00; aquí se supone que sí, como en las demás.</w:t>
            </w:r>
          </w:p>
        </w:tc>
      </w:tr>
    </w:tbl>
    <w:p>
      <w:pPr>
        <w:pStyle w:val="Fuente"/>
      </w:pPr>
      <w:r>
        <w:t xml:space="preserve">Presentación 4a (C-3), láminas 23, 34 y 42</w:t>
      </w:r>
    </w:p>
    <w:p>
      <w:pPr>
        <w:pStyle w:val="Heading3"/>
      </w:pPr>
      <w:bookmarkStart w:name="b_solucion_p3c_50_duracion_y_pa_2ab6f429" w:id="6742"/>
      <w:r>
        <w:t xml:space="preserve">Solución S3-63</w:t>
      </w:r>
      <w:bookmarkEnd w:id="6742"/>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b) Falso</w:t>
            </w:r>
          </w:p>
        </w:tc>
      </w:tr>
    </w:tbl>
    <w:p>
      <w:pPr>
        <w:pStyle w:val="Heading3"/>
      </w:pPr>
      <w:r>
        <w:t xml:space="preserve">Aplique la prueba de la polaridad</w:t>
      </w:r>
    </w:p>
    <w:p>
      <w:pPr>
        <w:pStyle w:val="Normal"/>
      </w:pPr>
      <w:r>
        <w:t xml:space="preserve">Suponga que sólo cambia la duración: si sube de 12 a 24 meses, ¿el pago mensual sube o baja? Baja, porque el capital se reparte en más cuotas.</w:t>
      </w:r>
    </w:p>
    <w:p>
      <w:pPr>
        <w:pStyle w:val="Heading3"/>
      </w:pPr>
      <w:r>
        <w:t xml:space="preserve">Contraste con la lámina 35</w:t>
      </w:r>
    </w:p>
    <w:p>
      <w:pPr>
        <w:pStyle w:val="Normal"/>
      </w:pPr>
      <w:r>
        <w:t xml:space="preserve">La flecha Monto Prestamo → Pago M. lleva + y está bien; la de Duración Prestamo → Pago M. también lleva +, y ahí está la errata: debe ser −.</w:t>
      </w:r>
    </w:p>
    <w:p>
      <w:pPr>
        <w:pStyle w:val="Fuente"/>
      </w:pPr>
      <w:r>
        <w:t xml:space="preserve">Opciones descartadas: a).</w:t>
      </w:r>
    </w:p>
    <w:p>
      <w:pPr>
        <w:pStyle w:val="Normal"/>
      </w:pPr>
      <w:r>
        <w:t xml:space="preserve">a) Verdadero — Es lo que dibuja la lámina 35, pero es una errata: con el mismo monto, más meses reparten el capital en más cuotas y cada pago mensual baja.</w:t>
      </w:r>
    </w:p>
    <w:p>
      <w:pPr>
        <w:pStyle w:val="Normal"/>
      </w:pPr>
      <w:r>
        <w:t xml:space="preserve">b) Falso — Correcta: la relación es inversa. Si la duración sube, el pago mensual baja, y la flecha debe llevar signo −.</w:t>
      </w:r>
    </w:p>
    <w:p>
      <w:pPr>
        <w:pStyle w:val="Normal"/>
      </w:pPr>
      <w:r>
        <w:t xml:space="preserve">Criterio de resolución: En la perspectiva 2 el pago mensual depende del monto del préstamo, de la duración y de los intereses. El monto y los intereses lo suben: relaciones +. La duración lo baja: el mismo capital repartido en más meses da cuotas más pequeñas; $2,000.00 de capital en 12 meses son $166.67 por mes, y en 24 meses, $83.33. La lámina 35 marca + en esa flecha; el signo correcto es −.</w:t>
      </w:r>
    </w:p>
    <w:p>
      <w:pPr>
        <w:pStyle w:val="Normal"/>
      </w:pPr>
      <w:r>
        <w:t xml:space="preserve">Defensa: Con el monto fijo, el pago mensual es inversamente proporcional a la duración: $2,000.00 en 12 meses son $166.67 de capital por mes y en 24, $83.33. El + de la lámina 35 en esa flecha es una errata.</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9C620A" w:sz="20"/>
              <w:bottom w:val="nil"/>
              <w:right w:val="nil"/>
            </w:tcBorders>
            <w:shd w:fill="FBF3DF" w:val="clear"/>
            <w:tcMar>
              <w:top w:type="dxa" w:w="130"/>
              <w:left w:type="dxa" w:w="180"/>
              <w:bottom w:type="dxa" w:w="130"/>
              <w:right w:type="dxa" w:w="180"/>
            </w:tcMar>
          </w:tcPr>
          <w:p>
            <w:pPr>
              <w:pStyle w:val="RecuadroTitulo"/>
            </w:pPr>
            <w:r>
              <w:rPr>
                <w:b/>
                <w:bCs/>
                <w:color w:val="9C620A"/>
              </w:rPr>
              <w:t xml:space="preserve">Advertencia y límites</w:t>
            </w:r>
          </w:p>
          <w:p>
            <w:pPr>
              <w:pStyle w:val="Recuadro"/>
            </w:pPr>
            <w:r>
              <w:t xml:space="preserve">Errata de la lámina 35: la flecha de Duración Prestamo a Pago M. lleva +, y debería llevar −. Además, la lámina no marca el ciclo saldo → intereses → pago → saldo, que es de balance.</w:t>
            </w:r>
          </w:p>
        </w:tc>
      </w:tr>
    </w:tbl>
    <w:p>
      <w:pPr>
        <w:pStyle w:val="Fuente"/>
      </w:pPr>
      <w:r>
        <w:t xml:space="preserve">Presentación 4a (C-3), láminas 23 y 35</w:t>
      </w:r>
    </w:p>
    <w:p>
      <w:pPr>
        <w:pStyle w:val="Heading3"/>
      </w:pPr>
      <w:bookmarkStart w:name="b_solucion_p3c_51_telefonos_del_163811bb" w:id="6743"/>
      <w:r>
        <w:t xml:space="preserve">Solución S3-64</w:t>
      </w:r>
      <w:bookmarkEnd w:id="6743"/>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a) Las instalaciones de cada mes son proporcionales a las casas que todavía no tienen teléfono, así que se frenan a medida que se instalan</w:t>
            </w:r>
          </w:p>
          <w:p>
            <w:pPr>
              <w:pStyle w:val="Recuadro"/>
            </w:pPr>
            <w:r>
              <w:t xml:space="preserve">b) Las casas con teléfono siguen un patrón convergente a un valor: se acercan a 300 sin llegar nunca exactamente</w:t>
            </w:r>
          </w:p>
          <w:p>
            <w:pPr>
              <w:pStyle w:val="Recuadro"/>
            </w:pPr>
            <w:r>
              <w:t xml:space="preserve">d) A los 32 meses ya tiene teléfono el 95 % de las casas, y ese plazo sería el mismo si el residencial tuviera 500 casas</w:t>
            </w:r>
          </w:p>
        </w:tc>
      </w:tr>
    </w:tbl>
    <w:p>
      <w:pPr>
        <w:pStyle w:val="Heading3"/>
      </w:pPr>
      <w:r>
        <w:t xml:space="preserve">Identifique el flujo</w:t>
      </w:r>
    </w:p>
    <w:p>
      <w:pPr>
        <w:pStyle w:val="Normal"/>
      </w:pPr>
      <w:r>
        <w:t xml:space="preserve">Instalaciones = 0.09 · (Casas construidas − Casas con teléfono): depende de lo que falta, no de lo instalado. Eso cierra un ciclo de balance, no uno de refuerzo.</w:t>
      </w:r>
    </w:p>
    <w:p>
      <w:pPr>
        <w:pStyle w:val="Fuente"/>
      </w:pPr>
      <w:r>
        <w:t xml:space="preserve">Opciones descartadas: e).</w:t>
      </w:r>
    </w:p>
    <w:p>
      <w:pPr>
        <w:pStyle w:val="Heading3"/>
      </w:pPr>
      <w:r>
        <w:t xml:space="preserve">Calcule lo que falta mes a mes</w:t>
      </w:r>
    </w:p>
    <w:p>
      <w:pPr>
        <w:pStyle w:val="Normal"/>
      </w:pPr>
      <w:r>
        <w:t xml:space="preserve">Casas sin teléfono = 300 · 0.91</w:t>
      </w:r>
      <w:r>
        <w:rPr>
          <w:vertAlign w:val="superscript"/>
        </w:rPr>
        <w:t xml:space="preserve">n</w:t>
      </w:r>
      <w:r>
        <w:t xml:space="preserve">. A los 12 meses faltan unas 97, así que hay unas 203 con teléfono; a los 32 faltan menos de 15, el 5 %.</w:t>
      </w:r>
    </w:p>
    <w:p>
      <w:pPr>
        <w:pStyle w:val="Fuente"/>
      </w:pPr>
      <w:r>
        <w:t xml:space="preserve">Opciones descartadas: c).</w:t>
      </w:r>
    </w:p>
    <w:p>
      <w:pPr>
        <w:pStyle w:val="Heading3"/>
      </w:pPr>
      <w:r>
        <w:t xml:space="preserve">Compruebe la proporción</w:t>
      </w:r>
    </w:p>
    <w:p>
      <w:pPr>
        <w:pStyle w:val="Normal"/>
      </w:pPr>
      <w:r>
        <w:t xml:space="preserve">La fracción que falta, 0.91</w:t>
      </w:r>
      <w:r>
        <w:rPr>
          <w:vertAlign w:val="superscript"/>
        </w:rPr>
        <w:t xml:space="preserve">n</w:t>
      </w:r>
      <w:r>
        <w:t xml:space="preserve">, no depende del total de casas: el 95 % llega en el mes 32 con 300 o con 500. Lo que sí cambia con el total es el mes en que falta menos de una casa.</w:t>
      </w:r>
    </w:p>
    <w:p>
      <w:pPr>
        <w:pStyle w:val="Normal"/>
      </w:pPr>
      <w:r>
        <w:t xml:space="preserve">a) Las instalaciones de cada mes son proporcionales a las casas que todavía no tienen teléfono, así que se frenan a medida que se instalan — Correcta: es el enunciado de la lámina 37: la velocidad de instalación «es proporcional a la cantidad de casas que habiendo sido construidas todavía no tienen teléfono».</w:t>
      </w:r>
    </w:p>
    <w:p>
      <w:pPr>
        <w:pStyle w:val="Normal"/>
      </w:pPr>
      <w:r>
        <w:t xml:space="preserve">b) Las casas con teléfono siguen un patrón convergente a un valor: se acercan a 300 sin llegar nunca exactamente — Correcta: es la convergencia a un valor de la lámina 42. Cada mes se instala el 9 % de lo que falta, así que siempre queda algo; por eso hay que fijar un criterio, como que falte menos de una casa (mes 61).</w:t>
      </w:r>
    </w:p>
    <w:p>
      <w:pPr>
        <w:pStyle w:val="Normal"/>
      </w:pPr>
      <w:r>
        <w:t xml:space="preserve">c) A los 12 meses ya tienen teléfono más de 250 casas — A los 12 meses tienen teléfono unas 203 casas: 300 · (1 − 0.91¹²) = 203.26.</w:t>
      </w:r>
    </w:p>
    <w:p>
      <w:pPr>
        <w:pStyle w:val="Normal"/>
      </w:pPr>
      <w:r>
        <w:t xml:space="preserve">d) A los 32 meses ya tiene teléfono el 95 % de las casas, y ese plazo sería el mismo si el residencial tuviera 500 casas — Correcta: con 300 casas el 95 % se alcanza en el mes 32; como lo que falta baja al ritmo de 0.91 por mes sin importar el total, con 500 casas también.</w:t>
      </w:r>
    </w:p>
    <w:p>
      <w:pPr>
        <w:pStyle w:val="Normal"/>
      </w:pPr>
      <w:r>
        <w:t xml:space="preserve">e) Las casas con teléfono crecen en forma de curva en S, porque cada mes los vecinos influyen más — Con una tasa fija del 9 % la influencia de los vecinos no crece con los teléfonos instalados: no hay ciclo de refuerzo y la curva no tiene la fase acelerada de una S.</w:t>
      </w:r>
    </w:p>
    <w:p>
      <w:pPr>
        <w:pStyle w:val="Normal"/>
      </w:pPr>
      <w:r>
        <w:t xml:space="preserve">Criterio de resolución: El modelo tiene un nivel, Casas con teléfono, y un flujo, Instalaciones = 0.09 · (Casas construidas − Casas con teléfono). Las casas sin teléfono bajan un 9 % cada mes: 300 · 0.91</w:t>
      </w:r>
      <w:r>
        <w:rPr>
          <w:vertAlign w:val="superscript"/>
        </w:rPr>
        <w:t xml:space="preserve">n</w:t>
      </w:r>
      <w:r>
        <w:t xml:space="preserve">. Es un ciclo de balance: más casas con teléfono dejan menos por instalar y el flujo se frena, de modo que el nivel converge a 300 sin llegar nunca. A los 12 meses hay unas 203 casas con teléfono, a los 32 el 95 %, y falta menos de una casa a partir del mes 61.</w:t>
      </w:r>
    </w:p>
    <w:p>
      <w:pPr>
        <w:pStyle w:val="Normal"/>
      </w:pPr>
      <w:r>
        <w:t xml:space="preserve">Defensa: La lámina 37 dice que la instalación es proporcional a las casas que todavía no tienen teléfono: es un ciclo de balance que converge a 300. Integrado mes a mes, a los 12 meses hay unas 203 casas con teléfono y el 95 % llega en el mes 32, con 300 o con 500 casas.</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9C620A" w:sz="20"/>
              <w:bottom w:val="nil"/>
              <w:right w:val="nil"/>
            </w:tcBorders>
            <w:shd w:fill="FBF3DF" w:val="clear"/>
            <w:tcMar>
              <w:top w:type="dxa" w:w="130"/>
              <w:left w:type="dxa" w:w="180"/>
              <w:bottom w:type="dxa" w:w="130"/>
              <w:right w:type="dxa" w:w="180"/>
            </w:tcMar>
          </w:tcPr>
          <w:p>
            <w:pPr>
              <w:pStyle w:val="RecuadroTitulo"/>
            </w:pPr>
            <w:r>
              <w:rPr>
                <w:b/>
                <w:bCs/>
                <w:color w:val="9C620A"/>
              </w:rPr>
              <w:t xml:space="preserve">Advertencia y límites</w:t>
            </w:r>
          </w:p>
          <w:p>
            <w:pPr>
              <w:pStyle w:val="Recuadro"/>
            </w:pPr>
            <w:r>
              <w:t xml:space="preserve">La presentación no da las respuestas: las cifras son del portal, con un paso de un mes. Además, llama «Ejercicio 2» a los teléfonos de la lámina 37 y también a los huevos y las gallinas de la lámina 22: son ejercicios distintos.</w:t>
            </w:r>
          </w:p>
        </w:tc>
      </w:tr>
    </w:tbl>
    <w:p>
      <w:pPr>
        <w:pStyle w:val="Fuente"/>
      </w:pPr>
      <w:r>
        <w:t xml:space="preserve">Presentación 4a (C-3), láminas 37 y 42</w:t>
      </w:r>
    </w:p>
    <w:p>
      <w:pPr>
        <w:pStyle w:val="Heading3"/>
      </w:pPr>
      <w:bookmarkStart w:name="b_solucion_p3c_52_telefonos_con_df90a2c9" w:id="6744"/>
      <w:r>
        <w:t xml:space="preserve">Solución S3-65</w:t>
      </w:r>
      <w:bookmarkEnd w:id="6744"/>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b) En el mes 66</w:t>
            </w:r>
          </w:p>
        </w:tc>
      </w:tr>
    </w:tbl>
    <w:p>
      <w:pPr>
        <w:pStyle w:val="Heading3"/>
      </w:pPr>
      <w:r>
        <w:t xml:space="preserve">Escriba lo que falta</w:t>
      </w:r>
    </w:p>
    <w:p>
      <w:pPr>
        <w:pStyle w:val="Normal"/>
      </w:pPr>
      <w:r>
        <w:t xml:space="preserve">Cada mes queda sin teléfono el 91 % de las casas que no lo tenían el mes anterior: faltan 500 · 0.91</w:t>
      </w:r>
      <w:r>
        <w:rPr>
          <w:vertAlign w:val="superscript"/>
        </w:rPr>
        <w:t xml:space="preserve">n</w:t>
      </w:r>
      <w:r>
        <w:t xml:space="preserve"> después de n meses.</w:t>
      </w:r>
    </w:p>
    <w:p>
      <w:pPr>
        <w:pStyle w:val="Heading3"/>
      </w:pPr>
      <w:r>
        <w:t xml:space="preserve">Aplique el criterio</w:t>
      </w:r>
    </w:p>
    <w:p>
      <w:pPr>
        <w:pStyle w:val="Normal"/>
      </w:pPr>
      <w:r>
        <w:t xml:space="preserve">500 · 0.91</w:t>
      </w:r>
      <w:r>
        <w:rPr>
          <w:vertAlign w:val="superscript"/>
        </w:rPr>
        <w:t xml:space="preserve">n</w:t>
      </w:r>
      <w:r>
        <w:t xml:space="preserve"> &lt; 1 da n &gt; ln 500 / −ln 0.91 = 65.9: el primer mes entero es el 66.</w:t>
      </w:r>
    </w:p>
    <w:p>
      <w:pPr>
        <w:pStyle w:val="Fuente"/>
      </w:pPr>
      <w:r>
        <w:t xml:space="preserve">Opciones descartadas: a), e).</w:t>
      </w:r>
    </w:p>
    <w:p>
      <w:pPr>
        <w:pStyle w:val="Heading3"/>
      </w:pPr>
      <w:r>
        <w:t xml:space="preserve">Descarte el razonamiento proporcional</w:t>
      </w:r>
    </w:p>
    <w:p>
      <w:pPr>
        <w:pStyle w:val="Normal"/>
      </w:pPr>
      <w:r>
        <w:t xml:space="preserve">Multiplicar 61 por 500/300 supone un ritmo fijo de casas por mes; aquí el ritmo es una fracción de lo que falta. El 140 es la respuesta con el 4 %, otra pregunta.</w:t>
      </w:r>
    </w:p>
    <w:p>
      <w:pPr>
        <w:pStyle w:val="Fuente"/>
      </w:pPr>
      <w:r>
        <w:t xml:space="preserve">Opciones descartadas: c), d).</w:t>
      </w:r>
    </w:p>
    <w:p>
      <w:pPr>
        <w:pStyle w:val="Normal"/>
      </w:pPr>
      <w:r>
        <w:t xml:space="preserve">a) En el mes 61 — Sería así si el criterio fuera una fracción de las casas; pero «menos de una casa» es una cantidad fija, y con más casas queda más por cubrir.</w:t>
      </w:r>
    </w:p>
    <w:p>
      <w:pPr>
        <w:pStyle w:val="Normal"/>
      </w:pPr>
      <w:r>
        <w:t xml:space="preserve">b) En el mes 66 — Correcta: 500 · 0.91</w:t>
      </w:r>
      <w:r>
        <w:rPr>
          <w:vertAlign w:val="superscript"/>
        </w:rPr>
        <w:t xml:space="preserve">n</w:t>
      </w:r>
      <w:r>
        <w:t xml:space="preserve"> &lt; 1 a partir de n = 66.</w:t>
      </w:r>
    </w:p>
    <w:p>
      <w:pPr>
        <w:pStyle w:val="Normal"/>
      </w:pPr>
      <w:r>
        <w:t xml:space="preserve">c) En el mes 102 — Es 61 · 500 / 300: supone que el tiempo crece en proporción a las casas. Pero cada mes se instala el 9 % de lo que falta, y lo que falta se reduce a la mitad cada 7.35 meses, sin importar el total.</w:t>
      </w:r>
    </w:p>
    <w:p>
      <w:pPr>
        <w:pStyle w:val="Normal"/>
      </w:pPr>
      <w:r>
        <w:t xml:space="preserve">d) En el mes 140 — Es el tiempo con 300 casas y una tasa del 4 %, la segunda pregunta de la lámina 37.</w:t>
      </w:r>
    </w:p>
    <w:p>
      <w:pPr>
        <w:pStyle w:val="Normal"/>
      </w:pPr>
      <w:r>
        <w:t xml:space="preserve">e) En el mes 32 — Es el mes en que se alcanza el 95 % de las casas, con 300 o con 500; a esas alturas todavía faltan unas 24 de las 500.</w:t>
      </w:r>
    </w:p>
    <w:p>
      <w:pPr>
        <w:pStyle w:val="Normal"/>
      </w:pPr>
      <w:r>
        <w:t xml:space="preserve">Criterio de resolución: Las casas sin teléfono bajan un 9 % cada mes: 500 · 0.91</w:t>
      </w:r>
      <w:r>
        <w:rPr>
          <w:vertAlign w:val="superscript"/>
        </w:rPr>
        <w:t xml:space="preserve">n</w:t>
      </w:r>
      <w:r>
        <w:t xml:space="preserve">. Para que falte menos de una casa hace falta 0.91</w:t>
      </w:r>
      <w:r>
        <w:rPr>
          <w:vertAlign w:val="superscript"/>
        </w:rPr>
        <w:t xml:space="preserve">n</w:t>
      </w:r>
      <w:r>
        <w:t xml:space="preserve"> &lt; 1/500, es decir, n &gt; ln 500 / −ln 0.91 = 65.9: el mes 66. Con 300 casas era n &gt; 60.5, el mes 61. Pasar de 300 a 500 casas añade sólo cinco meses, porque el tiempo depende del logaritmo del número de casas, no del número.</w:t>
      </w:r>
    </w:p>
    <w:p>
      <w:pPr>
        <w:pStyle w:val="Normal"/>
      </w:pPr>
      <w:r>
        <w:t xml:space="preserve">Defensa: Integrado mes a mes con el 9 % de lo que falta, el modelo deja menos de una casa sin teléfono en el mes 66 con 500 casas, contra el 61 con 300. Es la tercera pregunta de la lámina 37.</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9C620A" w:sz="20"/>
              <w:bottom w:val="nil"/>
              <w:right w:val="nil"/>
            </w:tcBorders>
            <w:shd w:fill="FBF3DF" w:val="clear"/>
            <w:tcMar>
              <w:top w:type="dxa" w:w="130"/>
              <w:left w:type="dxa" w:w="180"/>
              <w:bottom w:type="dxa" w:w="130"/>
              <w:right w:type="dxa" w:w="180"/>
            </w:tcMar>
          </w:tcPr>
          <w:p>
            <w:pPr>
              <w:pStyle w:val="RecuadroTitulo"/>
            </w:pPr>
            <w:r>
              <w:rPr>
                <w:b/>
                <w:bCs/>
                <w:color w:val="9C620A"/>
              </w:rPr>
              <w:t xml:space="preserve">Advertencia y límites</w:t>
            </w:r>
          </w:p>
          <w:p>
            <w:pPr>
              <w:pStyle w:val="Recuadro"/>
            </w:pPr>
            <w:r>
              <w:t xml:space="preserve">La presentación no da la respuesta, y el nivel nunca llega exactamente a 500: la clave depende del criterio, que aquí es que falte menos de una casa, con un paso de un mes. La lámina 37 se titula «Ejercicio 2», nombre que la presentación también da a los huevos y las gallinas de la lámina 22.</w:t>
            </w:r>
          </w:p>
        </w:tc>
      </w:tr>
    </w:tbl>
    <w:p>
      <w:pPr>
        <w:pStyle w:val="Fuente"/>
      </w:pPr>
      <w:r>
        <w:t xml:space="preserve">Presentación 4a (C-3), lámina 37</w:t>
      </w:r>
    </w:p>
    <w:p>
      <w:pPr>
        <w:pStyle w:val="Heading3"/>
      </w:pPr>
      <w:bookmarkStart w:name="b_solucion_p3c_53_reglas_y_patrones" w:id="6745"/>
      <w:r>
        <w:t xml:space="preserve">Solución S3-66</w:t>
      </w:r>
      <w:bookmarkEnd w:id="6745"/>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ENTRADA = 100 y SALIDA = 50, las dos constantes → Crecimiento lineal</w:t>
            </w:r>
          </w:p>
          <w:p>
            <w:pPr>
              <w:pStyle w:val="Recuadro"/>
            </w:pPr>
            <w:r>
              <w:t xml:space="preserve">ENTRADA (t) = 50·t + 50 y SALIDA = 50 → Crecimiento cuadrático</w:t>
            </w:r>
          </w:p>
          <w:p>
            <w:pPr>
              <w:pStyle w:val="Recuadro"/>
            </w:pPr>
            <w:r>
              <w:t xml:space="preserve">ENTRADA (t) = 0,1·STOCK(t) y SALIDA = 50 → Crecimiento exponencial</w:t>
            </w:r>
          </w:p>
          <w:p>
            <w:pPr>
              <w:pStyle w:val="Recuadro"/>
            </w:pPr>
            <w:r>
              <w:t xml:space="preserve">ENTRADA (t) = 0,1·STOCK(t) y SALIDA (t) = 0,11·STOCK(t) → Decrecimiento exponencial</w:t>
            </w:r>
          </w:p>
          <w:p>
            <w:pPr>
              <w:pStyle w:val="Recuadro"/>
            </w:pPr>
            <w:r>
              <w:t xml:space="preserve">ENTRADA (t) = 0,2·ERROR(t), con ERROR = REFERENCIA − STOCK(t), y SALIDA (t) = 0,1·STOCK(t) → Convergente a un valor</w:t>
            </w:r>
          </w:p>
        </w:tc>
      </w:tr>
    </w:tbl>
    <w:p>
      <w:pPr>
        <w:pStyle w:val="Heading3"/>
      </w:pPr>
      <w:r>
        <w:t xml:space="preserve">Mire de qué depende cada flujo</w:t>
      </w:r>
    </w:p>
    <w:p>
      <w:pPr>
        <w:pStyle w:val="Normal"/>
      </w:pPr>
      <w:r>
        <w:t xml:space="preserve">Constante, del tiempo, del stock o de la distancia a una referencia: esa dependencia, no los números, decide el patrón.</w:t>
      </w:r>
    </w:p>
    <w:p>
      <w:pPr>
        <w:pStyle w:val="Heading3"/>
      </w:pPr>
      <w:r>
        <w:t xml:space="preserve">Calcule el flujo neto</w:t>
      </w:r>
    </w:p>
    <w:p>
      <w:pPr>
        <w:pStyle w:val="Normal"/>
      </w:pPr>
      <w:r>
        <w:t xml:space="preserve">100 − 50 = 50 fijo da una recta; 50·t + 50 − 50 = 50·t crece con el tiempo y da una parábola; 0,1·S − 0,11·S = −0,01·S hace que el stock pierda una fracción fija y decrezca exponencialmente.</w:t>
      </w:r>
    </w:p>
    <w:p>
      <w:pPr>
        <w:pStyle w:val="Heading3"/>
      </w:pPr>
      <w:r>
        <w:t xml:space="preserve">Reconozca la búsqueda de una meta</w:t>
      </w:r>
    </w:p>
    <w:p>
      <w:pPr>
        <w:pStyle w:val="Normal"/>
      </w:pPr>
      <w:r>
        <w:t xml:space="preserve">Con ERROR = REFERENCIA − STOCK la entrada se apaga al acercarse a la referencia: es el patrón convergente a un valor, con el stock estabilizado por debajo de ella porque la salida sigue activa.</w:t>
      </w:r>
    </w:p>
    <w:p>
      <w:pPr>
        <w:pStyle w:val="Normal"/>
      </w:pPr>
      <w:r>
        <w:t xml:space="preserve">Distractor sin fila correspondiente: Oscilante.</w:t>
      </w:r>
    </w:p>
    <w:p>
      <w:pPr>
        <w:pStyle w:val="Normal"/>
      </w:pPr>
      <w:r>
        <w:t xml:space="preserve">Distractor sin fila correspondiente: Crecimiento en forma de curva en S.</w:t>
      </w:r>
    </w:p>
    <w:p>
      <w:pPr>
        <w:pStyle w:val="Normal"/>
      </w:pPr>
      <w:r>
        <w:t xml:space="preserve">Criterio de resolución: Con flujos constantes el stock cambia a ritmo fijo: S = 1000 + 50·t (lámina 43). Si la entrada crece con el tiempo, el ritmo crece y la curva es una parábola: S = 1000 + 25·t² (lámina 44). Si la entrada depende del propio stock, aparece un ciclo de refuerzo y el crecimiento es exponencial: S = 500 + 500·e^(0,1·t) (láminas 45 y 46). Con los dos flujos proporcionales al stock manda la diferencia de tasas: −0,01 da S = 1000·e^(−0,01·t) (lámina 49). Y si la entrada corrige la distancia a una referencia, el stock busca un valor y se estabiliza (lámina 50). Oscilar pide una demora, y la curva en S, que un refuerzo inicial ceda ante un balance: ninguna de las cinco reglas los produce.</w:t>
      </w:r>
    </w:p>
    <w:p>
      <w:pPr>
        <w:pStyle w:val="Normal"/>
      </w:pPr>
      <w:r>
        <w:t xml:space="preserve">Defensa: Las cinco reglas son las de las láminas 43, 44, 46, 49 y 50 de la presentación 4a, y cada lámina nombra el patrón que generan sus reglas: crecimiento lineal, cuadrático, exponencial, decrecimiento exponencial y convergencia a un valor.</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9C620A" w:sz="20"/>
              <w:bottom w:val="nil"/>
              <w:right w:val="nil"/>
            </w:tcBorders>
            <w:shd w:fill="FBF3DF" w:val="clear"/>
            <w:tcMar>
              <w:top w:type="dxa" w:w="130"/>
              <w:left w:type="dxa" w:w="180"/>
              <w:bottom w:type="dxa" w:w="130"/>
              <w:right w:type="dxa" w:w="180"/>
            </w:tcMar>
          </w:tcPr>
          <w:p>
            <w:pPr>
              <w:pStyle w:val="RecuadroTitulo"/>
            </w:pPr>
            <w:r>
              <w:rPr>
                <w:b/>
                <w:bCs/>
                <w:color w:val="9C620A"/>
              </w:rPr>
              <w:t xml:space="preserve">Advertencia y límites</w:t>
            </w:r>
          </w:p>
          <w:p>
            <w:pPr>
              <w:pStyle w:val="Recuadro"/>
            </w:pPr>
            <w:r>
              <w:t xml:space="preserve">Tres de estas láminas tienen erratas que no cambian el patrón. La gráfica de la 44 termina cerca de 51 000, que corresponde a una entrada de 10·t + 50, no a la fórmula declarada, que da 251 000 a las 100 horas. La solución impresa en la 46 no vale 1000 en t = 0; la correcta es S(t) = 500 + 500·e^(0,1·t). Y en la 50 el panel izquierdo pone la entrada para ERROR(t) &lt; 0, al revés que el derecho, y no da la referencia: con la de la lámina 51, 5000, el stock se estabiliza en 3333.</w:t>
            </w:r>
          </w:p>
        </w:tc>
      </w:tr>
    </w:tbl>
    <w:p>
      <w:pPr>
        <w:pStyle w:val="Fuente"/>
      </w:pPr>
      <w:r>
        <w:t xml:space="preserve">Presentación 4a (C-3), láminas 42, 43, 44, 45, 46, 49 y 50</w:t>
      </w:r>
    </w:p>
    <w:p>
      <w:pPr>
        <w:pStyle w:val="Heading3"/>
      </w:pPr>
      <w:bookmarkStart w:name="b_solucion_p3c_54_solucion_del__c169cfc8" w:id="6746"/>
      <w:r>
        <w:t xml:space="preserve">Solución S3-67</w:t>
      </w:r>
      <w:bookmarkEnd w:id="6746"/>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b) S(t) = 500 + 500·e^(0,1·t)</w:t>
            </w:r>
          </w:p>
        </w:tc>
      </w:tr>
    </w:tbl>
    <w:p>
      <w:pPr>
        <w:pStyle w:val="Heading3"/>
      </w:pPr>
      <w:r>
        <w:t xml:space="preserve">Compruebe el valor inicial</w:t>
      </w:r>
    </w:p>
    <w:p>
      <w:pPr>
        <w:pStyle w:val="Normal"/>
      </w:pPr>
      <w:r>
        <w:t xml:space="preserve">Evalúe cada función en t = 0: la impresa en la lámina 46 da 2000 y la última da 500. Sólo sirven las que valen 1000.</w:t>
      </w:r>
    </w:p>
    <w:p>
      <w:pPr>
        <w:pStyle w:val="Fuente"/>
      </w:pPr>
      <w:r>
        <w:t xml:space="preserve">Opciones descartadas: a), e).</w:t>
      </w:r>
    </w:p>
    <w:p>
      <w:pPr>
        <w:pStyle w:val="Heading3"/>
      </w:pPr>
      <w:r>
        <w:t xml:space="preserve">Derive y compare con la ecuación</w:t>
      </w:r>
    </w:p>
    <w:p>
      <w:pPr>
        <w:pStyle w:val="Normal"/>
      </w:pPr>
      <w:r>
        <w:t xml:space="preserve">La derivada de 500 + 500·e^(0,1·t) es 50·e^(0,1·t), que es 0,1·S − 50. La de 1000·e^(0,1·t) es 0,1·S, sin la salida, y la de 1000 + 50·t es constante.</w:t>
      </w:r>
    </w:p>
    <w:p>
      <w:pPr>
        <w:pStyle w:val="Fuente"/>
      </w:pPr>
      <w:r>
        <w:t xml:space="preserve">Opciones descartadas: c), d).</w:t>
      </w:r>
    </w:p>
    <w:p>
      <w:pPr>
        <w:pStyle w:val="Heading3"/>
      </w:pPr>
      <w:r>
        <w:t xml:space="preserve">Interprete el equilibrio</w:t>
      </w:r>
    </w:p>
    <w:p>
      <w:pPr>
        <w:pStyle w:val="Normal"/>
      </w:pPr>
      <w:r>
        <w:t xml:space="preserve">Con S = 500 la entrada, 0,1 · 500, iguala a la salida: lo que está por encima de 500 crece al 10 %. Por eso la solución es 500 más un término exponencial.</w:t>
      </w:r>
    </w:p>
    <w:p>
      <w:pPr>
        <w:pStyle w:val="Normal"/>
      </w:pPr>
      <w:r>
        <w:t xml:space="preserve">a) S(t) = 1000·e^(0,1·t) − 50·t + 1000 — Es la que imprime la lámina 46, y es una errata: en t = 0 vale 2000, no 1000, y su derivada no es 0,1·S − 50.</w:t>
      </w:r>
    </w:p>
    <w:p>
      <w:pPr>
        <w:pStyle w:val="Normal"/>
      </w:pPr>
      <w:r>
        <w:t xml:space="preserve">b) S(t) = 500 + 500·e^(0,1·t) — Correcta: en t = 0 vale 500 + 500 = 1000, y su derivada, 50·e^(0,1·t), es igual a 0,1·S − 50.</w:t>
      </w:r>
    </w:p>
    <w:p>
      <w:pPr>
        <w:pStyle w:val="Normal"/>
      </w:pPr>
      <w:r>
        <w:t xml:space="preserve">c) S(t) = 1000·e^(0,1·t) — Es la solución sin salida, dS/dt = 0,1·S: olvida los 50 que se van cada hora, y a las 10 horas daría 2718 en vez de 1859.</w:t>
      </w:r>
    </w:p>
    <w:p>
      <w:pPr>
        <w:pStyle w:val="Normal"/>
      </w:pPr>
      <w:r>
        <w:t xml:space="preserve">d) S(t) = 1000 + 50·t — Es el crecimiento simple de la lámina 43, con flujos constantes; aquí la entrada depende del stock.</w:t>
      </w:r>
    </w:p>
    <w:p>
      <w:pPr>
        <w:pStyle w:val="Normal"/>
      </w:pPr>
      <w:r>
        <w:t xml:space="preserve">e) S(t) = 1000·e^(0,1·t) − 500 — Vale 500 en t = 0, no 1000, y su derivada es 0,1·S + 50: cambia el signo de la salida.</w:t>
      </w:r>
    </w:p>
    <w:p>
      <w:pPr>
        <w:pStyle w:val="Normal"/>
      </w:pPr>
      <w:r>
        <w:t xml:space="preserve">Criterio de resolución: Una salida constante de 50 se compensa con un stock de 500, porque 0,1 · 500 = 50: ése es el punto de equilibrio. Lo que el stock tiene por encima de 500 crece al 10 % por hora, así que S(t) = 500 + (1000 − 500)·e^(0,1·t). En las primeras 10 horas parece casi una recta (lámina 45): a las 10 horas vale 1859, frente a 1500 del crecimiento simple. A más largo plazo domina la exponencial (lámina 46).</w:t>
      </w:r>
    </w:p>
    <w:p>
      <w:pPr>
        <w:pStyle w:val="Normal"/>
      </w:pPr>
      <w:r>
        <w:t xml:space="preserve">Defensa: S(t) = 500 + 500·e^(0,1·t) vale 1000 en t = 0 y su derivada es 0,1·S − 50: cumple las dos condiciones de la lámina 46. La solución impresa en esa lámina vale 2000 en t = 0.</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9C620A" w:sz="20"/>
              <w:bottom w:val="nil"/>
              <w:right w:val="nil"/>
            </w:tcBorders>
            <w:shd w:fill="FBF3DF" w:val="clear"/>
            <w:tcMar>
              <w:top w:type="dxa" w:w="130"/>
              <w:left w:type="dxa" w:w="180"/>
              <w:bottom w:type="dxa" w:w="130"/>
              <w:right w:type="dxa" w:w="180"/>
            </w:tcMar>
          </w:tcPr>
          <w:p>
            <w:pPr>
              <w:pStyle w:val="RecuadroTitulo"/>
            </w:pPr>
            <w:r>
              <w:rPr>
                <w:b/>
                <w:bCs/>
                <w:color w:val="9C620A"/>
              </w:rPr>
              <w:t xml:space="preserve">Advertencia y límites</w:t>
            </w:r>
          </w:p>
          <w:p>
            <w:pPr>
              <w:pStyle w:val="Recuadro"/>
            </w:pPr>
            <w:r>
              <w:t xml:space="preserve">Errata de la lámina 46: la solución impresa, S(t) = 1000·e^(0,1·t) − 50·t + 1000, no cumple ni el valor inicial ni la ecuación dS/dt = 0,1·S − 50, que sí está bien escrita. La correcta es S(t) = 500 + 500·e^(0,1·t).</w:t>
            </w:r>
          </w:p>
        </w:tc>
      </w:tr>
    </w:tbl>
    <w:p>
      <w:pPr>
        <w:pStyle w:val="Fuente"/>
      </w:pPr>
      <w:r>
        <w:t xml:space="preserve">Presentación 4a (C-3), láminas 43, 45 y 46</w:t>
      </w:r>
    </w:p>
    <w:p>
      <w:pPr>
        <w:pStyle w:val="Heading3"/>
      </w:pPr>
      <w:bookmarkStart w:name="b_solucion_p3c_55_poblacion_con_c3a36da9" w:id="6747"/>
      <w:r>
        <w:t xml:space="preserve">Solución S3-68</w:t>
      </w:r>
      <w:bookmarkEnd w:id="6747"/>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c) Una curva en S que se acerca a 6000 individuos y pasa por la mitad, 3000, hacia t = 92</w:t>
            </w:r>
          </w:p>
        </w:tc>
      </w:tr>
    </w:tbl>
    <w:p>
      <w:pPr>
        <w:pStyle w:val="Heading3"/>
      </w:pPr>
      <w:r>
        <w:t xml:space="preserve">Lea el freno del modelo</w:t>
      </w:r>
    </w:p>
    <w:p>
      <w:pPr>
        <w:pStyle w:val="Normal"/>
      </w:pPr>
      <w:r>
        <w:t xml:space="preserve">Coef. Carga = (K − Población) / K multiplica al crecimiento: vale 0.99 con 60 individuos y 0 con 6000. Ningún crecimiento exponencial sin límite sobrevive a ese factor.</w:t>
      </w:r>
    </w:p>
    <w:p>
      <w:pPr>
        <w:pStyle w:val="Fuente"/>
      </w:pPr>
      <w:r>
        <w:t xml:space="preserve">Opciones descartadas: a).</w:t>
      </w:r>
    </w:p>
    <w:p>
      <w:pPr>
        <w:pStyle w:val="Heading3"/>
      </w:pPr>
      <w:r>
        <w:t xml:space="preserve">Ubique el valor final y la inflexión</w:t>
      </w:r>
    </w:p>
    <w:p>
      <w:pPr>
        <w:pStyle w:val="Normal"/>
      </w:pPr>
      <w:r>
        <w:t xml:space="preserve">El crecimiento se detiene cuando Población = K = 6000, sin pasarse, porque nada lo retrasa. La mitad de K es donde el crecimiento es más rápido: el punto de inflexión de la S, no el techo.</w:t>
      </w:r>
    </w:p>
    <w:p>
      <w:pPr>
        <w:pStyle w:val="Fuente"/>
      </w:pPr>
      <w:r>
        <w:t xml:space="preserve">Opciones descartadas: b), d).</w:t>
      </w:r>
    </w:p>
    <w:p>
      <w:pPr>
        <w:pStyle w:val="Heading3"/>
      </w:pPr>
      <w:r>
        <w:t xml:space="preserve">Calcule cuándo pasa por la mitad</w:t>
      </w:r>
    </w:p>
    <w:p>
      <w:pPr>
        <w:pStyle w:val="Normal"/>
      </w:pPr>
      <w:r>
        <w:t xml:space="preserve">Con la solución logística, t = ln((6000 − 60) / 60) / 0.05 = 91.9: a t = 100 la población apenas pasa de la mitad, con unos 3600 individuos.</w:t>
      </w:r>
    </w:p>
    <w:p>
      <w:pPr>
        <w:pStyle w:val="Fuente"/>
      </w:pPr>
      <w:r>
        <w:t xml:space="preserve">Opciones descartadas: e).</w:t>
      </w:r>
    </w:p>
    <w:p>
      <w:pPr>
        <w:pStyle w:val="Normal"/>
      </w:pPr>
      <w:r>
        <w:t xml:space="preserve">a) Un crecimiento exponencial sin límite, al 5 % por unidad de tiempo, porque la natalidad supera a la mortalidad — Sería así sin el coeficiente de carga: (K − Población) / K va de casi 1 a 0 a medida que la población se acerca a K, y apaga el crecimiento.</w:t>
      </w:r>
    </w:p>
    <w:p>
      <w:pPr>
        <w:pStyle w:val="Normal"/>
      </w:pPr>
      <w:r>
        <w:t xml:space="preserve">b) Una curva en S que se estabiliza en 3000 individuos, la mitad de K — La mitad de K es el punto de inflexión, donde el crecimiento es más rápido, no el valor final: la población sigue subiendo hasta acercarse a 6000.</w:t>
      </w:r>
    </w:p>
    <w:p>
      <w:pPr>
        <w:pStyle w:val="Normal"/>
      </w:pPr>
      <w:r>
        <w:t xml:space="preserve">c) Una curva en S que se acerca a 6000 individuos y pasa por la mitad, 3000, hacia t = 92 — Correcta: dP/dt = 0.05 · P · (6000 − P) / 6000. La población pasa por 3000 hacia t = 91.9 (92.5 con TIME STEP 0.25) y después se frena hacia 6000.</w:t>
      </w:r>
    </w:p>
    <w:p>
      <w:pPr>
        <w:pStyle w:val="Normal"/>
      </w:pPr>
      <w:r>
        <w:t xml:space="preserve">d) Una oscilación alrededor de 6000 individuos — Oscilar pide una demora o dos niveles que se persigan; aquí el freno actúa sin retraso y la población se acerca a K sin pasarse.</w:t>
      </w:r>
    </w:p>
    <w:p>
      <w:pPr>
        <w:pStyle w:val="Normal"/>
      </w:pPr>
      <w:r>
        <w:t xml:space="preserve">e) Una curva en S que a t = 100 ya está prácticamente en 6000 individuos — A t = 100 vale unos 3600, apenas por encima de la mitad; cerca de 6000 está hacia t = 200, con unos 5973.</w:t>
      </w:r>
    </w:p>
    <w:p>
      <w:pPr>
        <w:pStyle w:val="Normal"/>
      </w:pPr>
      <w:r>
        <w:t xml:space="preserve">Criterio de resolución: Las ecuaciones de la lámina 28 multiplican el crecimiento neto por el coeficiente de carga: dP/dt = (0.085 − 0.035) · P · (K − P) / K. Al principio el coeficiente vale casi 1 y la población crece casi exponencialmente, al 5 %; cuando P se acerca a K, el coeficiente tiende a 0 y el crecimiento se apaga. Es el crecimiento en forma de curva en S de la lámina 42: la mitad de K, 3000, llega hacia t = 91.9; a t = 100 hay unos 3600 individuos y a t = 200, unos 5973.</w:t>
      </w:r>
    </w:p>
    <w:p>
      <w:pPr>
        <w:pStyle w:val="Normal"/>
      </w:pPr>
      <w:r>
        <w:t xml:space="preserve">Defensa: Con las ecuaciones y el escenario de la lámina 28, el coeficiente de carga lleva la población a K = 6000 en forma de S, con la mitad hacia t = 91.9; a t = 100 hay unos 3600 individuos. Es el patrón «Curva-S» de la lámina 42.</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9C620A" w:sz="20"/>
              <w:bottom w:val="nil"/>
              <w:right w:val="nil"/>
            </w:tcBorders>
            <w:shd w:fill="FBF3DF" w:val="clear"/>
            <w:tcMar>
              <w:top w:type="dxa" w:w="130"/>
              <w:left w:type="dxa" w:w="180"/>
              <w:bottom w:type="dxa" w:w="130"/>
              <w:right w:type="dxa" w:w="180"/>
            </w:tcMar>
          </w:tcPr>
          <w:p>
            <w:pPr>
              <w:pStyle w:val="RecuadroTitulo"/>
            </w:pPr>
            <w:r>
              <w:rPr>
                <w:b/>
                <w:bCs/>
                <w:color w:val="9C620A"/>
              </w:rPr>
              <w:t xml:space="preserve">Advertencia y límites</w:t>
            </w:r>
          </w:p>
          <w:p>
            <w:pPr>
              <w:pStyle w:val="Recuadro"/>
            </w:pPr>
            <w:r>
              <w:t xml:space="preserve">La presentación no da la corrida ni las unidades de tiempo: las cifras son del portal, con la solución exacta de la ecuación. La lámina 28 escribe la ecuación del nivel como (Nacimientos − Muertes) * Coef. Carga; la receta del portal reparte el coeficiente entre los dos flujos, con el mismo resultado.</w:t>
            </w:r>
          </w:p>
        </w:tc>
      </w:tr>
    </w:tbl>
    <w:p>
      <w:pPr>
        <w:pStyle w:val="Fuente"/>
      </w:pPr>
      <w:r>
        <w:t xml:space="preserve">Presentación 4a (C-3), láminas 28 y 42</w:t>
      </w:r>
    </w:p>
    <w:p>
      <w:pPr>
        <w:pStyle w:val="Heading3"/>
      </w:pPr>
      <w:bookmarkStart w:name="b_solucion_p3c_56_almacen_con_d_535e6a84" w:id="6748"/>
      <w:r>
        <w:t xml:space="preserve">Solución S3-69</w:t>
      </w:r>
      <w:bookmarkEnd w:id="6748"/>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a) Almacén = INTEG(Entradas mercancías − Salidas mercancías − Mercancías deterioradas, Almacén inicial)</w:t>
            </w:r>
          </w:p>
        </w:tc>
      </w:tr>
    </w:tbl>
    <w:p>
      <w:pPr>
        <w:pStyle w:val="Heading3"/>
      </w:pPr>
      <w:r>
        <w:t xml:space="preserve">Clasifique las tres flechas</w:t>
      </w:r>
    </w:p>
    <w:p>
      <w:pPr>
        <w:pStyle w:val="Normal"/>
      </w:pPr>
      <w:r>
        <w:t xml:space="preserve">En la lámina 56 una flecha llega al almacén y dos salen de él: las salidas de mercancías y las mercancías deterioradas. Las dos salidas restan.</w:t>
      </w:r>
    </w:p>
    <w:p>
      <w:pPr>
        <w:pStyle w:val="Fuente"/>
      </w:pPr>
      <w:r>
        <w:t xml:space="preserve">Opciones descartadas: b).</w:t>
      </w:r>
    </w:p>
    <w:p>
      <w:pPr>
        <w:pStyle w:val="Heading3"/>
      </w:pPr>
      <w:r>
        <w:t xml:space="preserve">Escriba el nivel como integral</w:t>
      </w:r>
    </w:p>
    <w:p>
      <w:pPr>
        <w:pStyle w:val="Normal"/>
      </w:pPr>
      <w:r>
        <w:t xml:space="preserve">Como el CAPITAL de la lámina 26, el almacén es la integral de entradas menos salidas más su valor inicial: INTEG(flujo neto, valor inicial).</w:t>
      </w:r>
    </w:p>
    <w:p>
      <w:pPr>
        <w:pStyle w:val="Fuente"/>
      </w:pPr>
      <w:r>
        <w:t xml:space="preserve">Opciones descartadas: c), d).</w:t>
      </w:r>
    </w:p>
    <w:p>
      <w:pPr>
        <w:pStyle w:val="Heading3"/>
      </w:pPr>
      <w:r>
        <w:t xml:space="preserve">Verifique qué es nivel y qué es flujo</w:t>
      </w:r>
    </w:p>
    <w:p>
      <w:pPr>
        <w:pStyle w:val="Normal"/>
      </w:pPr>
      <w:r>
        <w:t xml:space="preserve">Lo que se acumula son las mercancías en el almacén; las entradas son una tasa. Una ecuación que integra para obtener las entradas trata un flujo como nivel.</w:t>
      </w:r>
    </w:p>
    <w:p>
      <w:pPr>
        <w:pStyle w:val="Fuente"/>
      </w:pPr>
      <w:r>
        <w:t xml:space="preserve">Opciones descartadas: e).</w:t>
      </w:r>
    </w:p>
    <w:p>
      <w:pPr>
        <w:pStyle w:val="Normal"/>
      </w:pPr>
      <w:r>
        <w:t xml:space="preserve">a) Almacén = INTEG(Entradas mercancías − Salidas mercancías − Mercancías deterioradas, Almacén inicial) — Correcta: el nivel acumula su flujo neto, la entrada menos las dos salidas, a partir de un valor inicial.</w:t>
      </w:r>
    </w:p>
    <w:p>
      <w:pPr>
        <w:pStyle w:val="Normal"/>
      </w:pPr>
      <w:r>
        <w:t xml:space="preserve">b) Almacén = INTEG(Entradas mercancías − Salidas mercancías + Mercancías deterioradas, Almacén inicial) — Las mercancías deterioradas salen del almacén, igual que las salidas de mercancías: se restan, no se suman.</w:t>
      </w:r>
    </w:p>
    <w:p>
      <w:pPr>
        <w:pStyle w:val="Normal"/>
      </w:pPr>
      <w:r>
        <w:t xml:space="preserve">c) Almacén = Entradas mercancías − Salidas mercancías − Mercancías deterioradas — Es el flujo neto, no el nivel: sin INTEG el almacén no acumularía y valdría, en cada instante, lo que entra menos lo que sale en ese instante.</w:t>
      </w:r>
    </w:p>
    <w:p>
      <w:pPr>
        <w:pStyle w:val="Normal"/>
      </w:pPr>
      <w:r>
        <w:t xml:space="preserve">d) Almacén = INTEG(Entradas mercancías, Almacén inicial) − Salidas mercancías − Mercancías deterioradas — Integra sólo la entrada y resta las salidas fuera de la integral: mezcla mercancías con mercancías por unidad de tiempo, y lo que salió en los periodos anteriores no quedaría descontado.</w:t>
      </w:r>
    </w:p>
    <w:p>
      <w:pPr>
        <w:pStyle w:val="Normal"/>
      </w:pPr>
      <w:r>
        <w:t xml:space="preserve">e) Entradas mercancías = INTEG(Almacén − Salidas mercancías, Almacén inicial) — Confunde el nivel con el flujo: las entradas son una tasa que llena el almacén, no algo que se acumule.</w:t>
      </w:r>
    </w:p>
    <w:p>
      <w:pPr>
        <w:pStyle w:val="Normal"/>
      </w:pPr>
      <w:r>
        <w:t xml:space="preserve">Criterio de resolución: El almacén es un nivel con un flujo de entrada y dos de salida. La lámina 26 da la regla general: la derivada del nivel es la diferencia de los flujos, d CAPITAL(t)/dt = depósitos(t) − retiros(t), y el nivel es su integral más una constante. En Vensim esa integral se escribe INTEG(flujo neto, valor inicial), y con dos salidas el flujo neto es la entrada menos las salidas menos las deterioradas.</w:t>
      </w:r>
    </w:p>
    <w:p>
      <w:pPr>
        <w:pStyle w:val="Normal"/>
      </w:pPr>
      <w:r>
        <w:t xml:space="preserve">Defensa: La lámina 26 de la presentación 4a escribe el nivel como la integral de sus entradas menos sus salidas más una constante, y en la lámina 56 el almacén tiene una entrada y dos salidas. En Vensim eso es INTEG(Entradas − Salidas − Deterioradas, valor inicial).</w:t>
      </w:r>
    </w:p>
    <w:p>
      <w:pPr>
        <w:pStyle w:val="Fuente"/>
      </w:pPr>
      <w:r>
        <w:t xml:space="preserve">Presentación 4a (C-3), láminas 26 y 56</w:t>
      </w:r>
    </w:p>
    <w:p>
      <w:pPr>
        <w:pStyle w:val="Heading3"/>
      </w:pPr>
      <w:bookmarkStart w:name="b_solucion_p3c_78_cobertura" w:id="6749"/>
      <w:r>
        <w:t xml:space="preserve">Solución S3-70</w:t>
      </w:r>
      <w:bookmarkEnd w:id="6749"/>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a) Debe formalizarse la influencia de usuarios; no se dio una corrida completa ni puede atribuirse automáticamente la fórmula de Bass.</w:t>
            </w:r>
          </w:p>
        </w:tc>
      </w:tr>
    </w:tbl>
    <w:p>
      <w:pPr>
        <w:pStyle w:val="Heading3"/>
      </w:pPr>
      <w:r>
        <w:t xml:space="preserve">Identificar el mecanismo</w:t>
      </w:r>
    </w:p>
    <w:p>
      <w:pPr>
        <w:pStyle w:val="Normal"/>
      </w:pPr>
      <w:r>
        <w:t xml:space="preserve">La explicación identifica dependencias y parámetros B1/B2. El 9 % fijo y Bass son formulaciones diferentes; sin ecuaciones completas y valores no se reconstruye una corrida oficial.</w:t>
      </w:r>
    </w:p>
    <w:p>
      <w:pPr>
        <w:pStyle w:val="Heading3"/>
      </w:pPr>
      <w:r>
        <w:t xml:space="preserve">Comprobar las alternativas</w:t>
      </w:r>
    </w:p>
    <w:p>
      <w:pPr>
        <w:pStyle w:val="Normal"/>
      </w:pPr>
      <w:r>
        <w:t xml:space="preserve">Una tasa fija de pendientes no modela influencia variable de usuarios. La posición del pico depende de las ecuaciones y parámetros. B1 y B2 se usan como parámetros en esa explicación; la letra no demuestra polaridad.</w:t>
      </w:r>
    </w:p>
    <w:p>
      <w:pPr>
        <w:pStyle w:val="Normal"/>
      </w:pPr>
      <w:r>
        <w:t xml:space="preserve">a) Debe formalizarse la influencia de usuarios; no se dio una corrida completa ni puede atribuirse automáticamente la fórmula de Bass. — La explicación identifica dependencias y parámetros B1/B2. El 9 % fijo y Bass son formulaciones diferentes; sin ecuaciones completas y valores no se reconstruye una corrida oficial.</w:t>
      </w:r>
    </w:p>
    <w:p>
      <w:pPr>
        <w:pStyle w:val="Normal"/>
      </w:pPr>
      <w:r>
        <w:t xml:space="preserve">b) Es idéntico al balance con 9 % fijo de pendientes. — Una tasa fija de pendientes no modela influencia variable de usuarios.</w:t>
      </w:r>
    </w:p>
    <w:p>
      <w:pPr>
        <w:pStyle w:val="Normal"/>
      </w:pPr>
      <w:r>
        <w:t xml:space="preserve">c) Su pico ocurre necesariamente cuando se instala la mitad. — La posición del pico depende de las ecuaciones y parámetros.</w:t>
      </w:r>
    </w:p>
    <w:p>
      <w:pPr>
        <w:pStyle w:val="Normal"/>
      </w:pPr>
      <w:r>
        <w:t xml:space="preserve">d) B1 y B2 identifican necesariamente dos ciclos de balance. — B1 y B2 se usan como parámetros en esa explicación; la letra no demuestra polaridad.</w:t>
      </w:r>
    </w:p>
    <w:p>
      <w:pPr>
        <w:pStyle w:val="Normal"/>
      </w:pPr>
      <w:r>
        <w:t xml:space="preserve">Criterio de resolución: La explicación identifica dependencias y parámetros B1/B2. El 9 % fijo y Bass son formulaciones diferentes; sin ecuaciones completas y valores no se reconstruye una corrida oficial.</w:t>
      </w:r>
    </w:p>
    <w:p>
      <w:pPr>
        <w:pStyle w:val="Normal"/>
      </w:pPr>
      <w:r>
        <w:t xml:space="preserve">Defensa: La explicación identifica dependencias y parámetros B1/B2. El 9 % fijo y Bass son formulaciones diferentes; sin ecuaciones completas y valores no se reconstruye una corrida oficial.</w:t>
      </w:r>
    </w:p>
    <w:p>
      <w:pPr>
        <w:pStyle w:val="Fuente"/>
      </w:pPr>
      <w:r>
        <w:t xml:space="preserve">Clase 24 · 01:01:19 · capítulos 9–10</w:t>
      </w:r>
    </w:p>
    <w:p>
      <w:pPr>
        <w:pStyle w:val="Heading3"/>
      </w:pPr>
      <w:bookmarkStart w:name="b_solucion_p3c_89_telefonos_recorridos" w:id="6750"/>
      <w:r>
        <w:t xml:space="preserve">Solución S3-71</w:t>
      </w:r>
      <w:bookmarkEnd w:id="6750"/>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a) R: instalaciones → con teléfono → tasa de uso → instalaciones (+,+,+); B: instalaciones → con teléfono → sin teléfono → instalaciones (+,−,+).</w:t>
            </w:r>
          </w:p>
        </w:tc>
      </w:tr>
    </w:tbl>
    <w:p>
      <w:pPr>
        <w:pStyle w:val="Heading3"/>
      </w:pPr>
      <w:r>
        <w:t xml:space="preserve">Identificar la estructura y la evidencia</w:t>
      </w:r>
    </w:p>
    <w:p>
      <w:pPr>
        <w:pStyle w:val="Normal"/>
      </w:pPr>
      <w:r>
        <w:t xml:space="preserve">La difusión vecinal refuerza instalaciones mediante más usuarios y uso; el agotamiento de familias sin teléfono compensa instalaciones. Familias totales influye positivamente en sin teléfono y en tasa de uso; B2 influye positivamente en instalaciones y aquí es un parámetro, no el nombre de un ciclo. El esquema no da todas las ecuaciones/valores de uso: no equivale al balance simple de porcentaje fijo ni autoriza inventar una corrida detallada.</w:t>
      </w:r>
    </w:p>
    <w:p>
      <w:pPr>
        <w:pStyle w:val="Heading3"/>
      </w:pPr>
      <w:r>
        <w:t xml:space="preserve">Comprobar el alcance</w:t>
      </w:r>
    </w:p>
    <w:p>
      <w:pPr>
        <w:pStyle w:val="Normal"/>
      </w:pPr>
      <w:r>
        <w:t xml:space="preserve">Distinga lo que permite concluir la fuente de lo que requeriría ecuaciones, datos o una validación adicional.</w:t>
      </w:r>
    </w:p>
    <w:p>
      <w:pPr>
        <w:pStyle w:val="Normal"/>
      </w:pPr>
      <w:r>
        <w:t xml:space="preserve">a) R: instalaciones → con teléfono → tasa de uso → instalaciones (+,+,+); B: instalaciones → con teléfono → sin teléfono → instalaciones (+,−,+). — Correcta. La difusión vecinal refuerza instalaciones mediante más usuarios y uso; el agotamiento de familias sin teléfono compensa instalaciones. Familias totales influye positivamente en sin teléfono y en tasa de uso; B2 influye positivamente en instalaciones y aquí es un parámetro, no el nombre de un ciclo. El esquema no da todas las ecuaciones/valores de uso: no equivale al balance simple de porcentaje fijo ni autoriza inventar una corrida detallada.</w:t>
      </w:r>
    </w:p>
    <w:p>
      <w:pPr>
        <w:pStyle w:val="Normal"/>
      </w:pPr>
      <w:r>
        <w:t xml:space="preserve">b) Ambos recorridos son B porque existe una población finita. — Esta opción no conserva la distinción del caso. La difusión vecinal refuerza instalaciones mediante más usuarios y uso; el agotamiento de familias sin teléfono compensa instalaciones. Familias totales influye positivamente en sin teléfono y en tasa de uso; B2 influye positivamente en instalaciones y aquí es un parámetro, no el nombre de un ciclo. El esquema no da todas las ecuaciones/valores de uso: no equivale al balance simple de porcentaje fijo ni autoriza inventar una corrida detallada.</w:t>
      </w:r>
    </w:p>
    <w:p>
      <w:pPr>
        <w:pStyle w:val="Normal"/>
      </w:pPr>
      <w:r>
        <w:t xml:space="preserve">c) R pasa por sin teléfono con una única negativa y B por tres positivas. — Esta opción no conserva la distinción del caso. La difusión vecinal refuerza instalaciones mediante más usuarios y uso; el agotamiento de familias sin teléfono compensa instalaciones. Familias totales influye positivamente en sin teléfono y en tasa de uso; B2 influye positivamente en instalaciones y aquí es un parámetro, no el nombre de un ciclo. El esquema no da todas las ecuaciones/valores de uso: no equivale al balance simple de porcentaje fijo ni autoriza inventar una corrida detallada.</w:t>
      </w:r>
    </w:p>
    <w:p>
      <w:pPr>
        <w:pStyle w:val="Normal"/>
      </w:pPr>
      <w:r>
        <w:t xml:space="preserve">d) La figura fija las ecuaciones de uso y permite una corrida numérica oficial sin más datos. — Esta opción no conserva la distinción del caso. La difusión vecinal refuerza instalaciones mediante más usuarios y uso; el agotamiento de familias sin teléfono compensa instalaciones. Familias totales influye positivamente en sin teléfono y en tasa de uso; B2 influye positivamente en instalaciones y aquí es un parámetro, no el nombre de un ciclo. El esquema no da todas las ecuaciones/valores de uso: no equivale al balance simple de porcentaje fijo ni autoriza inventar una corrida detallada.</w:t>
      </w:r>
    </w:p>
    <w:p>
      <w:pPr>
        <w:pStyle w:val="Normal"/>
      </w:pPr>
      <w:r>
        <w:t xml:space="preserve">Criterio de resolución: La difusión vecinal refuerza instalaciones mediante más usuarios y uso; el agotamiento de familias sin teléfono compensa instalaciones. Familias totales influye positivamente en sin teléfono y en tasa de uso; B2 influye positivamente en instalaciones y aquí es un parámetro, no el nombre de un ciclo. El esquema no da todas las ecuaciones/valores de uso: no equivale al balance simple de porcentaje fijo ni autoriza inventar una corrida detallada.</w:t>
      </w:r>
    </w:p>
    <w:p>
      <w:pPr>
        <w:pStyle w:val="Normal"/>
      </w:pPr>
      <w:r>
        <w:t xml:space="preserve">Defensa: La difusión vecinal refuerza instalaciones mediante más usuarios y uso; el agotamiento de familias sin teléfono compensa instalaciones. Familias totales influye positivamente en sin teléfono y en tasa de uso; B2 influye positivamente en instalaciones y aquí es un parámetro, no el nombre de un ciclo. El esquema no da todas las ecuaciones/valores de uso: no equivale al balance simple de porcentaje fijo ni autoriza inventar una corrida detallada.</w:t>
      </w:r>
    </w:p>
    <w:p>
      <w:pPr>
        <w:pStyle w:val="Fuente"/>
      </w:pPr>
      <w:r>
        <w:t xml:space="preserve">Presentación 4b de octubre (C-8), lámina 57 · Clase 24 · 01:11:23</w:t>
      </w:r>
    </w:p>
    <w:p>
      <w:pPr>
        <w:pStyle w:val="Heading3"/>
      </w:pPr>
      <w:bookmarkStart w:name="b_solucion_p3c_57_consecuencias_7afd23b2" w:id="6751"/>
      <w:r>
        <w:t xml:space="preserve">Solución S3-72</w:t>
      </w:r>
      <w:bookmarkEnd w:id="6751"/>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a) ¿Quién se verá afectado por esta acción / decisión?</w:t>
            </w:r>
          </w:p>
          <w:p>
            <w:pPr>
              <w:pStyle w:val="Recuadro"/>
            </w:pPr>
            <w:r>
              <w:t xml:space="preserve">c) ¿Verán los demás las consecuencias de esta decisión de manera diferente, especialmente en comparación con mi opinión de los resultados?</w:t>
            </w:r>
          </w:p>
        </w:tc>
      </w:tr>
    </w:tbl>
    <w:p>
      <w:pPr>
        <w:pStyle w:val="Heading3"/>
      </w:pPr>
      <w:r>
        <w:t xml:space="preserve">Ubique la lámina de las consecuencias no deseadas</w:t>
      </w:r>
    </w:p>
    <w:p>
      <w:pPr>
        <w:pStyle w:val="Normal"/>
      </w:pPr>
      <w:r>
        <w:t xml:space="preserve">Es la lámina 7 de la presentación 4b, junto al diagrama de las soluciones rápidas que fallan. Sus tres preguntas miran a los afectados, a los resultados deseables e indeseables y a la opinión de los demás.</w:t>
      </w:r>
    </w:p>
    <w:p>
      <w:pPr>
        <w:pStyle w:val="Heading3"/>
      </w:pPr>
      <w:r>
        <w:t xml:space="preserve">Reconozca las preguntas de otras tarjetas</w:t>
      </w:r>
    </w:p>
    <w:p>
      <w:pPr>
        <w:pStyle w:val="Normal"/>
      </w:pPr>
      <w:r>
        <w:t xml:space="preserve">«¿Cuánto tiempo necesitamos…?» es de la tarjeta del hábito 8; «¿En dónde podría un cambio pequeño…?», de la del 10, y «¿Qué indicadores esperamos ver…?», de la del 14.</w:t>
      </w:r>
    </w:p>
    <w:p>
      <w:pPr>
        <w:pStyle w:val="Fuente"/>
      </w:pPr>
      <w:r>
        <w:t xml:space="preserve">Opciones descartadas: b), d), e).</w:t>
      </w:r>
    </w:p>
    <w:p>
      <w:pPr>
        <w:pStyle w:val="Normal"/>
      </w:pPr>
      <w:r>
        <w:t xml:space="preserve">a) ¿Quién se verá afectado por esta acción / decisión? — Correcta: es la primera de las tres preguntas de la lámina 7, «Consecuencias no deseadas».</w:t>
      </w:r>
    </w:p>
    <w:p>
      <w:pPr>
        <w:pStyle w:val="Normal"/>
      </w:pPr>
      <w:r>
        <w:t xml:space="preserve">b) ¿Cuánto tiempo necesitamos para considerar el asunto? — Es de la tarjeta del hábito 8, el de considerar un tema completamente (lámina 12): pregunta por el tiempo de reflexión, no por los afectados ni por los resultados.</w:t>
      </w:r>
    </w:p>
    <w:p>
      <w:pPr>
        <w:pStyle w:val="Normal"/>
      </w:pPr>
      <w:r>
        <w:t xml:space="preserve">c) ¿Verán los demás las consecuencias de esta decisión de manera diferente, especialmente en comparación con mi opinión de los resultados? — Correcta: es la tercera pregunta de la lámina 7, que mira la decisión desde la perspectiva de los demás.</w:t>
      </w:r>
    </w:p>
    <w:p>
      <w:pPr>
        <w:pStyle w:val="Normal"/>
      </w:pPr>
      <w:r>
        <w:t xml:space="preserve">d) ¿En dónde podría un cambio pequeño tener un efecto duradero y deseado? — Es de la tarjeta del hábito 10, el del apalancamiento (lámina 23): busca dónde intervenir, no qué consecuencias traerá una decisión.</w:t>
      </w:r>
    </w:p>
    <w:p>
      <w:pPr>
        <w:pStyle w:val="Normal"/>
      </w:pPr>
      <w:r>
        <w:t xml:space="preserve">e) ¿Qué indicadores esperamos ver cuando buscamos el progreso? — Es de la tarjeta del hábito 14, la aproximación sucesiva (lámina 31): se hace después de implementar, para evaluar el progreso.</w:t>
      </w:r>
    </w:p>
    <w:p>
      <w:pPr>
        <w:pStyle w:val="Normal"/>
      </w:pPr>
      <w:r>
        <w:t xml:space="preserve">Criterio de resolución: La lámina 7 de la presentación 4b, dentro del bloque del hábito 11, pregunta si además del corto y el largo plazo se consideran las consecuencias no deseadas, porque «pensar cuidadosamente en las posibles consecuencias de las decisiones es un hábito cotidiano de los pensadores de sistemas». Propone tres preguntas: quién se verá afectado, qué resultados deseables e indeseables traerá la decisión y si los demás verán sus consecuencias de otra manera. Las otras opciones son «Preguntas que hacer» de las tarjetas de los hábitos 8, 10 y 14.</w:t>
      </w:r>
    </w:p>
    <w:p>
      <w:pPr>
        <w:pStyle w:val="Normal"/>
      </w:pPr>
      <w:r>
        <w:t xml:space="preserve">Defensa: Las dos opciones correctas son literales de la lámina 7 de la presentación 4b, la de las consecuencias no deseadas. Las otras tres son preguntas de las tarjetas de los hábitos 8, 10 y 14 (láminas 12, 23 y 31).</w:t>
      </w:r>
    </w:p>
    <w:p>
      <w:pPr>
        <w:pStyle w:val="Fuente"/>
      </w:pPr>
      <w:r>
        <w:t xml:space="preserve">Presentación 4b (C-4), láminas 7, 12, 23 y 31</w:t>
      </w:r>
    </w:p>
    <w:p>
      <w:pPr>
        <w:pStyle w:val="Heading3"/>
      </w:pPr>
      <w:bookmarkStart w:name="b_solucion_p3c_58_minimizar_no_eliminar" w:id="6752"/>
      <w:r>
        <w:t xml:space="preserve">Solución S3-73</w:t>
      </w:r>
      <w:bookmarkEnd w:id="6752"/>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b) Falso</w:t>
            </w:r>
          </w:p>
        </w:tc>
      </w:tr>
    </w:tbl>
    <w:p>
      <w:pPr>
        <w:pStyle w:val="Heading3"/>
      </w:pPr>
      <w:r>
        <w:t xml:space="preserve">Busque el verbo en la lámina 4</w:t>
      </w:r>
    </w:p>
    <w:p>
      <w:pPr>
        <w:pStyle w:val="Normal"/>
      </w:pPr>
      <w:r>
        <w:t xml:space="preserve">Las dos frases de la lámina dicen minimizar: las posibilidades de que la decisión fracase y las consecuencias no deseadas que ocurrirán.</w:t>
      </w:r>
    </w:p>
    <w:p>
      <w:pPr>
        <w:pStyle w:val="Heading3"/>
      </w:pPr>
      <w:r>
        <w:t xml:space="preserve">Compare con el enunciado</w:t>
      </w:r>
    </w:p>
    <w:p>
      <w:pPr>
        <w:pStyle w:val="Normal"/>
      </w:pPr>
      <w:r>
        <w:t xml:space="preserve">Eliminar es más fuerte que minimizar. La lámina 7 lo confirma: las consecuencias no deseadas «se ven mejor» desde el corto y el largo plazo, no desaparecen.</w:t>
      </w:r>
    </w:p>
    <w:p>
      <w:pPr>
        <w:pStyle w:val="Fuente"/>
      </w:pPr>
      <w:r>
        <w:t xml:space="preserve">Opciones descartadas: a).</w:t>
      </w:r>
    </w:p>
    <w:p>
      <w:pPr>
        <w:pStyle w:val="Normal"/>
      </w:pPr>
      <w:r>
        <w:t xml:space="preserve">a) Verdadero — La lámina 4 no promete eliminarlas: dice que anticipar las consecuencias «puede minimizar las consecuencias no deseadas que ocurrirán», y da por hecho que algunas ocurrirán.</w:t>
      </w:r>
    </w:p>
    <w:p>
      <w:pPr>
        <w:pStyle w:val="Normal"/>
      </w:pPr>
      <w:r>
        <w:t xml:space="preserve">b) Falso — Correcta: anticipar ayuda a minimizar, no a eliminar; la lámina 4 habla de minimizar las posibilidades de que las decisiones fracasen y las consecuencias no deseadas que ocurrirán.</w:t>
      </w:r>
    </w:p>
    <w:p>
      <w:pPr>
        <w:pStyle w:val="Normal"/>
      </w:pPr>
      <w:r>
        <w:t xml:space="preserve">Criterio de resolución: En la lámina 4 de la presentación 4b, un joven duda entre gastar sus ganancias en un capricho o ahorrarlas. La conclusión es que «la práctica de anticipar consecuencias, tanto a corto como a largo plazo, ayuda a minimizar las posibilidades de que las decisiones fracasen y produzcan efectos nocivos», y que tomarse el tiempo para anticiparlas «puede minimizar las consecuencias no deseadas que ocurrirán». El verbo es minimizar: el enunciado lo cambia por eliminar.</w:t>
      </w:r>
    </w:p>
    <w:p>
      <w:pPr>
        <w:pStyle w:val="Normal"/>
      </w:pPr>
      <w:r>
        <w:t xml:space="preserve">Defensa: La lámina 4 de la presentación 4b dice que anticipar las consecuencias «puede minimizar las consecuencias no deseadas que ocurrirán»: minimizar, no eliminar, y con consecuencias que ocurrirán de todos modos.</w:t>
      </w:r>
    </w:p>
    <w:p>
      <w:pPr>
        <w:pStyle w:val="Fuente"/>
      </w:pPr>
      <w:r>
        <w:t xml:space="preserve">Presentación 4b (C-4), láminas 4 y 7</w:t>
      </w:r>
    </w:p>
    <w:p>
      <w:pPr>
        <w:pStyle w:val="Heading3"/>
      </w:pPr>
      <w:bookmarkStart w:name="b_solucion_p3c_59_tabla_de_judy_f8cbdcd4" w:id="6753"/>
      <w:r>
        <w:t xml:space="preserve">Solución S3-74</w:t>
      </w:r>
      <w:bookmarkEnd w:id="6753"/>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María aprende rápido y trabaja en equipo: a todos les gustará Maria → Ventaja en la tabla comparativa</w:t>
            </w:r>
          </w:p>
          <w:p>
            <w:pPr>
              <w:pStyle w:val="Recuadro"/>
            </w:pPr>
            <w:r>
              <w:t xml:space="preserve">¿Qué pasaría con nuestra amistad si tuviera que despedir a María? → Pregunta para la planificación de escenarios</w:t>
            </w:r>
          </w:p>
          <w:p>
            <w:pPr>
              <w:pStyle w:val="Recuadro"/>
            </w:pPr>
            <w:r>
              <w:t xml:space="preserve">María puede suponer que a todos les gusta porque a mí me gusta. → Desventaja en la tabla comparativa</w:t>
            </w:r>
          </w:p>
          <w:p>
            <w:pPr>
              <w:pStyle w:val="Recuadro"/>
            </w:pPr>
            <w:r>
              <w:t xml:space="preserve">¿Qué pasa si María tiene un rendimiento inferior? → Pregunta para la planificación de escenarios</w:t>
            </w:r>
          </w:p>
          <w:p>
            <w:pPr>
              <w:pStyle w:val="Recuadro"/>
            </w:pPr>
            <w:r>
              <w:t xml:space="preserve">Maria puede ver nuestra amistad como una forma de darle una ventaja en nuestra compañía. → Desventaja en la tabla comparativa</w:t>
            </w:r>
          </w:p>
        </w:tc>
      </w:tr>
    </w:tbl>
    <w:p>
      <w:pPr>
        <w:pStyle w:val="Heading3"/>
      </w:pPr>
      <w:r>
        <w:t xml:space="preserve">Separe las afirmaciones de las preguntas</w:t>
      </w:r>
    </w:p>
    <w:p>
      <w:pPr>
        <w:pStyle w:val="Normal"/>
      </w:pPr>
      <w:r>
        <w:t xml:space="preserve">La tabla de la lámina 8 tiene dos columnas de afirmaciones, ventajas y desventajas; la lámina 9 formula preguntas sobre lo que podría pasar: son los escenarios.</w:t>
      </w:r>
    </w:p>
    <w:p>
      <w:pPr>
        <w:pStyle w:val="Heading3"/>
      </w:pPr>
      <w:r>
        <w:t xml:space="preserve">Distinga la ventaja de la desventaja que se le parece</w:t>
      </w:r>
    </w:p>
    <w:p>
      <w:pPr>
        <w:pStyle w:val="Normal"/>
      </w:pPr>
      <w:r>
        <w:t xml:space="preserve">Que a todos les gustará María es una ventaja: aprende rápido y trabaja en equipo. Que María suponga que a todos les gusta porque a Judy le gusta es una desventaja, igual que ver la amistad como una ventaja en la compañía.</w:t>
      </w:r>
    </w:p>
    <w:p>
      <w:pPr>
        <w:pStyle w:val="Heading3"/>
      </w:pPr>
      <w:r>
        <w:t xml:space="preserve">Reconozca para qué sirve cada estrategia</w:t>
      </w:r>
    </w:p>
    <w:p>
      <w:pPr>
        <w:pStyle w:val="Normal"/>
      </w:pPr>
      <w:r>
        <w:t xml:space="preserve">La tabla es muy efectiva para el corto plazo; los escenarios ayudan a anticipar consecuencias más lejanas, como lo que pasaría con la amistad si hubiera que despedir a María.</w:t>
      </w:r>
    </w:p>
    <w:p>
      <w:pPr>
        <w:pStyle w:val="Normal"/>
      </w:pPr>
      <w:r>
        <w:t xml:space="preserve">Distractor sin fila correspondiente: Indicador de progreso de la aproximación sucesiva.</w:t>
      </w:r>
    </w:p>
    <w:p>
      <w:pPr>
        <w:pStyle w:val="Normal"/>
      </w:pPr>
      <w:r>
        <w:t xml:space="preserve">Criterio de resolución: La lámina 8 de la presentación 4b muestra la tabla en que Judy organizó las ventajas y desventajas de contratar a María, y advierte que esa estrategia es «muy efectiva para analizar las consecuencias a corto plazo de las decisiones». La lámina 9 añade otra: reflexionar sobre preguntas que desarrollen una variedad de escenarios, porque «la planificación de escenarios es una estrategia para ayudarlo a anticipar las consecuencias de las acciones y la toma de decisiones». Las ventajas y desventajas son afirmaciones de la tabla; las preguntas sobre lo que podría pasar son escenarios. Ningún enunciado es un indicador del hábito 14.</w:t>
      </w:r>
    </w:p>
    <w:p>
      <w:pPr>
        <w:pStyle w:val="Normal"/>
      </w:pPr>
      <w:r>
        <w:t xml:space="preserve">Defensa: Los tres textos de ventajas y desventajas son celdas de la tabla de la lámina 8 de la presentación 4b, y las dos preguntas están en la lista de la lámina 9, «Evaluando escenarios futuros». La tabla analiza el corto plazo; los escenarios anticipan las consecuencias de la contratación.</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9C620A" w:sz="20"/>
              <w:bottom w:val="nil"/>
              <w:right w:val="nil"/>
            </w:tcBorders>
            <w:shd w:fill="FBF3DF" w:val="clear"/>
            <w:tcMar>
              <w:top w:type="dxa" w:w="130"/>
              <w:left w:type="dxa" w:w="180"/>
              <w:bottom w:type="dxa" w:w="130"/>
              <w:right w:type="dxa" w:w="180"/>
            </w:tcMar>
          </w:tcPr>
          <w:p>
            <w:pPr>
              <w:pStyle w:val="RecuadroTitulo"/>
            </w:pPr>
            <w:r>
              <w:rPr>
                <w:b/>
                <w:bCs/>
                <w:color w:val="9C620A"/>
              </w:rPr>
              <w:t xml:space="preserve">Advertencia y límites</w:t>
            </w:r>
          </w:p>
          <w:p>
            <w:pPr>
              <w:pStyle w:val="Recuadro"/>
            </w:pPr>
            <w:r>
              <w:t xml:space="preserve">Las celdas de la tabla se transcriben con su grafía: la lámina escribe «Maria» sin tilde en varias de ellas.</w:t>
            </w:r>
          </w:p>
        </w:tc>
      </w:tr>
    </w:tbl>
    <w:p>
      <w:pPr>
        <w:pStyle w:val="Fuente"/>
      </w:pPr>
      <w:r>
        <w:t xml:space="preserve">Presentación 4b (C-4), láminas 8 y 9</w:t>
      </w:r>
    </w:p>
    <w:p>
      <w:pPr>
        <w:pStyle w:val="Heading3"/>
      </w:pPr>
      <w:bookmarkStart w:name="b_solucion_p3c_60_tarjeta_del_habito_8" w:id="6754"/>
      <w:r>
        <w:t xml:space="preserve">Solución S3-75</w:t>
      </w:r>
      <w:bookmarkEnd w:id="6754"/>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c) Tarjeta 8 · Considera un tema completamente y resiste al impulso de llegar a una conclusión rápida</w:t>
            </w:r>
          </w:p>
        </w:tc>
      </w:tr>
    </w:tbl>
    <w:p>
      <w:pPr>
        <w:pStyle w:val="Heading3"/>
      </w:pPr>
      <w:r>
        <w:t xml:space="preserve">Lea qué tiempo describe la tarjeta</w:t>
      </w:r>
    </w:p>
    <w:p>
      <w:pPr>
        <w:pStyle w:val="Normal"/>
      </w:pPr>
      <w:r>
        <w:t xml:space="preserve">Es el tiempo de quien piensa, «antes de actuar», para entender la dinámica del sistema: lo contrario de una conclusión rápida.</w:t>
      </w:r>
    </w:p>
    <w:p>
      <w:pPr>
        <w:pStyle w:val="Heading3"/>
      </w:pPr>
      <w:r>
        <w:t xml:space="preserve">Distinga ese tiempo del tiempo del sistema</w:t>
      </w:r>
    </w:p>
    <w:p>
      <w:pPr>
        <w:pStyle w:val="Normal"/>
      </w:pPr>
      <w:r>
        <w:t xml:space="preserve">Las demoras de la tarjeta 13 y los patrones de la tarjeta 2 son tiempos del sistema, no de la reflexión de quien decide.</w:t>
      </w:r>
    </w:p>
    <w:p>
      <w:pPr>
        <w:pStyle w:val="Fuente"/>
      </w:pPr>
      <w:r>
        <w:t xml:space="preserve">Opciones descartadas: a), e).</w:t>
      </w:r>
    </w:p>
    <w:p>
      <w:pPr>
        <w:pStyle w:val="Heading3"/>
      </w:pPr>
      <w:r>
        <w:t xml:space="preserve">Compare con las tarjetas vecinas de la decisión</w:t>
      </w:r>
    </w:p>
    <w:p>
      <w:pPr>
        <w:pStyle w:val="Normal"/>
      </w:pPr>
      <w:r>
        <w:t xml:space="preserve">La 11 prevé los efectos futuros de las acciones y la 14 evalúa la mejora una vez implementada la solución; ninguna describe detenerse a entender antes de actuar.</w:t>
      </w:r>
    </w:p>
    <w:p>
      <w:pPr>
        <w:pStyle w:val="Fuente"/>
      </w:pPr>
      <w:r>
        <w:t xml:space="preserve">Opciones descartadas: b), d).</w:t>
      </w:r>
    </w:p>
    <w:p>
      <w:pPr>
        <w:pStyle w:val="Normal"/>
      </w:pPr>
      <w:r>
        <w:t xml:space="preserve">a) Tarjeta 13 · Reconoce el impacto de las demoras cuando se están explorando las relaciones de causa y efecto — Las demoras son el tiempo que tarda un efecto en aparecer dentro del sistema, no el tiempo que se toma quien piensa antes de actuar; es un hábito de la banda «Profundizando en los modelos de estructuras sistémicas».</w:t>
      </w:r>
    </w:p>
    <w:p>
      <w:pPr>
        <w:pStyle w:val="Normal"/>
      </w:pPr>
      <w:r>
        <w:t xml:space="preserve">b) Tarjeta 11 · Considera las consecuencias a corto plazo, a largo plazo, e inesperadas de las acciones — Su tarjeta dice que el pensador sistémico «se adelanta y prevé no sólo los resultados inmediatos de las acciones sino también los efectos futuros» (lámina 3): mira las consecuencias, no el tiempo de reflexión.</w:t>
      </w:r>
    </w:p>
    <w:p>
      <w:pPr>
        <w:pStyle w:val="Normal"/>
      </w:pPr>
      <w:r>
        <w:t xml:space="preserve">c) Tarjeta 8 · Considera un tema completamente y resiste al impulso de llegar a una conclusión rápida — Correcta: es la descripción de la tarjeta de la lámina 12, que pregunta «¿Cuánto tiempo necesitamos para considerar el asunto?».</w:t>
      </w:r>
    </w:p>
    <w:p>
      <w:pPr>
        <w:pStyle w:val="Normal"/>
      </w:pPr>
      <w:r>
        <w:t xml:space="preserve">d) Tarjeta 14 · Examina los resultados y cambia las acciones si es necesario: “aproximación sucesiva” — Su tarjeta dice que el pensador sistémico «establece puntos de referencia para lograr evaluar la mejora paulatina» (lámina 31): actúa después de implementar.</w:t>
      </w:r>
    </w:p>
    <w:p>
      <w:pPr>
        <w:pStyle w:val="Normal"/>
      </w:pPr>
      <w:r>
        <w:t xml:space="preserve">e) Tarjeta 2 · Observa cómo los elementos de un sistema cambian a través del tiempo, generando patrones y tendencias — Habla del tiempo, pero del cambio de los elementos del sistema, que generan patrones y tendencias; no del tiempo que se toma el pensador.</w:t>
      </w:r>
    </w:p>
    <w:p>
      <w:pPr>
        <w:pStyle w:val="Normal"/>
      </w:pPr>
      <w:r>
        <w:t xml:space="preserve">Criterio de resolución: La tarjeta del hábito 8, en la lámina 12 de la presentación 4b, muestra a una persona sentada sobre un reloj junto a la frase del enunciado, y sus preguntas giran en torno al tiempo: cuánto se necesita para considerar el asunto, cómo manejar la tensión cuando los asuntos no se resuelven de inmediato y cómo ayudar a otros a ser pacientes. Es el hábito que «resiste al impulso de llegar a una conclusión rápida»: el tiempo es para entender la dinámica antes de actuar.</w:t>
      </w:r>
    </w:p>
    <w:p>
      <w:pPr>
        <w:pStyle w:val="Normal"/>
      </w:pPr>
      <w:r>
        <w:t xml:space="preserve">Defensa: La frase es la descripción literal de la tarjeta de la lámina 12 de la presentación 4b, la del hábito 8 del póster. Las tarjetas 11 y 14 traen otras descripciones (láminas 3 y 31), y la 2 y la 13 hablan del tiempo del sistema.</w:t>
      </w:r>
    </w:p>
    <w:p>
      <w:pPr>
        <w:pStyle w:val="Fuente"/>
      </w:pPr>
      <w:r>
        <w:t xml:space="preserve">Presentación 4b (C-4), láminas 2, 3, 12 y 31</w:t>
      </w:r>
    </w:p>
    <w:p>
      <w:pPr>
        <w:pStyle w:val="Heading3"/>
      </w:pPr>
      <w:bookmarkStart w:name="b_solucion_p3c_61_eficiencia_y__d61dd6f8" w:id="6755"/>
      <w:r>
        <w:t xml:space="preserve">Solución S3-76</w:t>
      </w:r>
      <w:bookmarkEnd w:id="6755"/>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b) Tomarse el tiempo para pensar detenidamente y considerar un problema aumenta la probabilidad de un resultado de alta calidad</w:t>
            </w:r>
          </w:p>
          <w:p>
            <w:pPr>
              <w:pStyle w:val="Recuadro"/>
            </w:pPr>
            <w:r>
              <w:t xml:space="preserve">d) Los pensadores de sistemas ofrecen una perspectiva que fomenta el equilibrio entre eficiencia y efectividad</w:t>
            </w:r>
          </w:p>
        </w:tc>
      </w:tr>
    </w:tbl>
    <w:p>
      <w:pPr>
        <w:pStyle w:val="Heading3"/>
      </w:pPr>
      <w:r>
        <w:t xml:space="preserve">Lea la lámina 14 completa</w:t>
      </w:r>
    </w:p>
    <w:p>
      <w:pPr>
        <w:pStyle w:val="Normal"/>
      </w:pPr>
      <w:r>
        <w:t xml:space="preserve">Sus tres ideas: no concluir sin sopesar las opciones, tomarse el tiempo aumenta la probabilidad de un resultado de alta calidad y buscar el equilibrio entre eficiencia y efectividad.</w:t>
      </w:r>
    </w:p>
    <w:p>
      <w:pPr>
        <w:pStyle w:val="Heading3"/>
      </w:pPr>
      <w:r>
        <w:t xml:space="preserve">Descarte los extremos</w:t>
      </w:r>
    </w:p>
    <w:p>
      <w:pPr>
        <w:pStyle w:val="Normal"/>
      </w:pPr>
      <w:r>
        <w:t xml:space="preserve">Ni la prisa ni la lentitud: actuar rápido es del pensamiento reduccionista (lámina 13), y la lámina 14 aclara que el pensador sistémico no ralentiza innecesariamente la organización.</w:t>
      </w:r>
    </w:p>
    <w:p>
      <w:pPr>
        <w:pStyle w:val="Fuente"/>
      </w:pPr>
      <w:r>
        <w:t xml:space="preserve">Opciones descartadas: a), c).</w:t>
      </w:r>
    </w:p>
    <w:p>
      <w:pPr>
        <w:pStyle w:val="Heading3"/>
      </w:pPr>
      <w:r>
        <w:t xml:space="preserve">Lea la pregunta de la lámina como advertencia</w:t>
      </w:r>
    </w:p>
    <w:p>
      <w:pPr>
        <w:pStyle w:val="Normal"/>
      </w:pPr>
      <w:r>
        <w:t xml:space="preserve">«¿Y si una decisión rápida que resulta en una nueva idea prometedora se implementa mal?»: una buena idea decidida a la carrera no asegura nada.</w:t>
      </w:r>
    </w:p>
    <w:p>
      <w:pPr>
        <w:pStyle w:val="Fuente"/>
      </w:pPr>
      <w:r>
        <w:t xml:space="preserve">Opciones descartadas: e).</w:t>
      </w:r>
    </w:p>
    <w:p>
      <w:pPr>
        <w:pStyle w:val="Normal"/>
      </w:pPr>
      <w:r>
        <w:t xml:space="preserve">a) El pensador sistémico actúa rápidamente para no frenar a la organización — Es lo que la lámina 13 dice del pensamiento reduccionista: «actúa rápidamente pero no ve las cadenas circulares de causa y efecto que producen el “efecto dominó”».</w:t>
      </w:r>
    </w:p>
    <w:p>
      <w:pPr>
        <w:pStyle w:val="Normal"/>
      </w:pPr>
      <w:r>
        <w:t xml:space="preserve">b) Tomarse el tiempo para pensar detenidamente y considerar un problema aumenta la probabilidad de un resultado de alta calidad — Correcta: la lámina dice que tomarse ese tiempo «aumenta por completo la probabilidad de un resultado de alta calidad».</w:t>
      </w:r>
    </w:p>
    <w:p>
      <w:pPr>
        <w:pStyle w:val="Normal"/>
      </w:pPr>
      <w:r>
        <w:t xml:space="preserve">c) Los pensadores de sistemas ralentizan la organización hasta eliminar toda incertidumbre antes de decidir — La lámina lo niega: «los pensadores de sistemas no ralentizan innecesariamente una organización».</w:t>
      </w:r>
    </w:p>
    <w:p>
      <w:pPr>
        <w:pStyle w:val="Normal"/>
      </w:pPr>
      <w:r>
        <w:t xml:space="preserve">d) Los pensadores de sistemas ofrecen una perspectiva que fomenta el equilibrio entre eficiencia y efectividad — Correcta: es la frase con que cierra la lámina 14.</w:t>
      </w:r>
    </w:p>
    <w:p>
      <w:pPr>
        <w:pStyle w:val="Normal"/>
      </w:pPr>
      <w:r>
        <w:t xml:space="preserve">e) Una decisión rápida que da una idea nueva y prometedora asegura un buen resultado — La lámina lo pone en duda: «¿Y si una decisión rápida que resulta en una nueva idea prometedora se implementa mal?».</w:t>
      </w:r>
    </w:p>
    <w:p>
      <w:pPr>
        <w:pStyle w:val="Normal"/>
      </w:pPr>
      <w:r>
        <w:t xml:space="preserve">Criterio de resolución: La lámina 14 de la presentación 4b desarrolla el hábito 8: «es importante no llegar a una conclusión sin sopesar las opciones y los posibles resultados de nuestras elecciones», y tomarse el tiempo para considerar un problema aumenta la probabilidad de un resultado de alta calidad. Pero no defiende la lentitud: «Los pensadores de sistemas no ralentizan innecesariamente una organización. Más bien, ofrecen una perspectiva que fomenta el equilibrio entre eficiencia y efectividad». Actuar rápido sin ver las cadenas circulares es, en la lámina 13, el pensamiento reduccionista.</w:t>
      </w:r>
    </w:p>
    <w:p>
      <w:pPr>
        <w:pStyle w:val="Normal"/>
      </w:pPr>
      <w:r>
        <w:t xml:space="preserve">Defensa: Las dos correctas reproducen la lámina 14 de la presentación 4b: el tiempo para considerar un problema «aumenta por completo la probabilidad de un resultado de alta calidad» y los pensadores de sistemas fomentan «el equilibrio entre eficiencia y efectividad».</w:t>
      </w:r>
    </w:p>
    <w:p>
      <w:pPr>
        <w:pStyle w:val="Fuente"/>
      </w:pPr>
      <w:r>
        <w:t xml:space="preserve">Presentación 4b (C-4), láminas 12, 13 y 14</w:t>
      </w:r>
    </w:p>
    <w:p>
      <w:pPr>
        <w:pStyle w:val="Heading3"/>
      </w:pPr>
      <w:bookmarkStart w:name="b_solucion_p3c_62_pensamiento_c_6ad8bd54" w:id="6756"/>
      <w:r>
        <w:t xml:space="preserve">Solución S3-77</w:t>
      </w:r>
      <w:bookmarkEnd w:id="6756"/>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b) La pregunta «¿Cuál es el sistema que produce…?»</w:t>
            </w:r>
          </w:p>
          <w:p>
            <w:pPr>
              <w:pStyle w:val="Recuadro"/>
            </w:pPr>
            <w:r>
              <w:t xml:space="preserve">d) Una red de elementos conectados por flechas, con el problema dentro de ella</w:t>
            </w:r>
          </w:p>
        </w:tc>
      </w:tr>
    </w:tbl>
    <w:p>
      <w:pPr>
        <w:pStyle w:val="Heading3"/>
      </w:pPr>
      <w:r>
        <w:t xml:space="preserve">Separe las dos preguntas</w:t>
      </w:r>
    </w:p>
    <w:p>
      <w:pPr>
        <w:pStyle w:val="Normal"/>
      </w:pPr>
      <w:r>
        <w:t xml:space="preserve">«Causas de…» es el pensamiento causal; «el sistema que produce…» es el pensamiento sistémico.</w:t>
      </w:r>
    </w:p>
    <w:p>
      <w:pPr>
        <w:pStyle w:val="Fuente"/>
      </w:pPr>
      <w:r>
        <w:t xml:space="preserve">Opciones descartadas: e).</w:t>
      </w:r>
    </w:p>
    <w:p>
      <w:pPr>
        <w:pStyle w:val="Heading3"/>
      </w:pPr>
      <w:r>
        <w:t xml:space="preserve">Compare los dibujos de cada lado</w:t>
      </w:r>
    </w:p>
    <w:p>
      <w:pPr>
        <w:pStyle w:val="Normal"/>
      </w:pPr>
      <w:r>
        <w:t xml:space="preserve">Flechas sueltas de X1 a Xn hacia un efecto y una cámara: el lado causal, una fotografía. Una red de relaciones con el problema dentro y una cinta de cine: el lado sistémico, una película.</w:t>
      </w:r>
    </w:p>
    <w:p>
      <w:pPr>
        <w:pStyle w:val="Fuente"/>
      </w:pPr>
      <w:r>
        <w:t xml:space="preserve">Opciones descartadas: a), c).</w:t>
      </w:r>
    </w:p>
    <w:p>
      <w:pPr>
        <w:pStyle w:val="Normal"/>
      </w:pPr>
      <w:r>
        <w:t xml:space="preserve">a) Varias causas, X1, X2, …, Xn, que apuntan con flechas a un mismo efecto: el problema — Es el lado del pensamiento causal: una lista de causas sueltas que desembocan en el efecto.</w:t>
      </w:r>
    </w:p>
    <w:p>
      <w:pPr>
        <w:pStyle w:val="Normal"/>
      </w:pPr>
      <w:r>
        <w:t xml:space="preserve">b) La pregunta «¿Cuál es el sistema que produce…?» — Correcta: es la pregunta resaltada al pie del lado del pensamiento sistémico.</w:t>
      </w:r>
    </w:p>
    <w:p>
      <w:pPr>
        <w:pStyle w:val="Normal"/>
      </w:pPr>
      <w:r>
        <w:t xml:space="preserve">c) Una cámara fotográfica junto a las variables x, y, z — La cámara está del lado causal: una fotografía fija. El lado sistémico trae una cinta de cine, la película.</w:t>
      </w:r>
    </w:p>
    <w:p>
      <w:pPr>
        <w:pStyle w:val="Normal"/>
      </w:pPr>
      <w:r>
        <w:t xml:space="preserve">d) Una red de elementos conectados por flechas, con el problema dentro de ella — Correcta: el lado sistémico dibuja un sistema de elementos unidos por flechas que vuelven sobre sí, y el problema es uno de sus elementos.</w:t>
      </w:r>
    </w:p>
    <w:p>
      <w:pPr>
        <w:pStyle w:val="Normal"/>
      </w:pPr>
      <w:r>
        <w:t xml:space="preserve">e) La pregunta «¿Cuáles son las causas de…?» — Es la pregunta del pensamiento causal.</w:t>
      </w:r>
    </w:p>
    <w:p>
      <w:pPr>
        <w:pStyle w:val="Normal"/>
      </w:pPr>
      <w:r>
        <w:t xml:space="preserve">Criterio de resolución: La lámina 24 de la presentación 4b, en el bloque del hábito 10, pone dos cuadros. El del pensamiento causal busca causas X1…Xn que apuntan al problema, el efecto, con una cámara de fotos y la pregunta «¿Cuáles son las causas de…?». El del pensamiento sistémico muestra un sistema de elementos interconectados con el problema adentro, una cinta de cine y la pregunta «¿Cuál es el sistema que produce…?». Para resolver el problema no se persiguen causas aisladas: se entiende la estructura que lo produce.</w:t>
      </w:r>
    </w:p>
    <w:p>
      <w:pPr>
        <w:pStyle w:val="Normal"/>
      </w:pPr>
      <w:r>
        <w:t xml:space="preserve">Defensa: En la lámina 24 de la presentación 4b, el lado del pensamiento sistémico lleva la pregunta «¿Cuál es el sistema que produce…?» y un sistema de elementos interconectados con el «Problema» dentro; la lista de causas, la cámara y «¿Cuáles son las causas de…?» son del lado causal.</w:t>
      </w:r>
    </w:p>
    <w:p>
      <w:pPr>
        <w:pStyle w:val="Fuente"/>
      </w:pPr>
      <w:r>
        <w:t xml:space="preserve">Presentación 4b (C-4), láminas 23 y 24</w:t>
      </w:r>
    </w:p>
    <w:p>
      <w:pPr>
        <w:pStyle w:val="Heading3"/>
      </w:pPr>
      <w:bookmarkStart w:name="b_solucion_p3c_63_ejemplos_de_a_1550806b" w:id="6757"/>
      <w:r>
        <w:t xml:space="preserve">Solución S3-78</w:t>
      </w:r>
      <w:bookmarkEnd w:id="6757"/>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a) El ángulo y la holgura de la caña de pescar, y el pie de la mujer apoyado sobre la roca</w:t>
            </w:r>
          </w:p>
          <w:p>
            <w:pPr>
              <w:pStyle w:val="Recuadro"/>
            </w:pPr>
            <w:r>
              <w:t xml:space="preserve">c) Un imán para ubicar una aguja en un pajar</w:t>
            </w:r>
          </w:p>
          <w:p>
            <w:pPr>
              <w:pStyle w:val="Recuadro"/>
            </w:pPr>
            <w:r>
              <w:t xml:space="preserve">e) Eliminar pasos no esenciales en el empaque de productos de la empresa XYZ</w:t>
            </w:r>
          </w:p>
        </w:tc>
      </w:tr>
    </w:tbl>
    <w:p>
      <w:pPr>
        <w:pStyle w:val="Heading3"/>
      </w:pPr>
      <w:r>
        <w:t xml:space="preserve">Recuerde qué es apalancamiento</w:t>
      </w:r>
    </w:p>
    <w:p>
      <w:pPr>
        <w:pStyle w:val="Normal"/>
      </w:pPr>
      <w:r>
        <w:t xml:space="preserve">Una acción pequeña, elegida desde la comprensión del sistema, que produce el resultado deseado: la tarjeta del hábito 10 habla de «pequeñas acciones» (lámina 23).</w:t>
      </w:r>
    </w:p>
    <w:p>
      <w:pPr>
        <w:pStyle w:val="Heading3"/>
      </w:pPr>
      <w:r>
        <w:t xml:space="preserve">Repase las tres imágenes de la presentación</w:t>
      </w:r>
    </w:p>
    <w:p>
      <w:pPr>
        <w:pStyle w:val="Normal"/>
      </w:pPr>
      <w:r>
        <w:t xml:space="preserve">La pesca (lámina 25), el imán en el pajar (lámina 27) y el empaque de la empresa XYZ (lámina 28).</w:t>
      </w:r>
    </w:p>
    <w:p>
      <w:pPr>
        <w:pStyle w:val="Heading3"/>
      </w:pPr>
      <w:r>
        <w:t xml:space="preserve">Descarte lo que empeora o no se eligió</w:t>
      </w:r>
    </w:p>
    <w:p>
      <w:pPr>
        <w:pStyle w:val="Normal"/>
      </w:pPr>
      <w:r>
        <w:t xml:space="preserve">Lamerse los labios es una solución rápida que falla; los materiales menos costosos ponían en riesgo la calidad y la empresa no los eligió.</w:t>
      </w:r>
    </w:p>
    <w:p>
      <w:pPr>
        <w:pStyle w:val="Fuente"/>
      </w:pPr>
      <w:r>
        <w:t xml:space="preserve">Opciones descartadas: b), d).</w:t>
      </w:r>
    </w:p>
    <w:p>
      <w:pPr>
        <w:pStyle w:val="Normal"/>
      </w:pPr>
      <w:r>
        <w:t xml:space="preserve">a) El ángulo y la holgura de la caña de pescar, y el pie de la mujer apoyado sobre la roca — Correcta: la lámina 25 dice que «son puntos de influencia»: la ventaja mecánica que se obtiene al pescar.</w:t>
      </w:r>
    </w:p>
    <w:p>
      <w:pPr>
        <w:pStyle w:val="Normal"/>
      </w:pPr>
      <w:r>
        <w:t xml:space="preserve">b) Lamerse los labios agrietados cada vez que se sienten secos — Es la solución rápida que falla de la lámina 6: alivia la resequedad a corto plazo y tiene la consecuencia no deseada de agrietar los labios.</w:t>
      </w:r>
    </w:p>
    <w:p>
      <w:pPr>
        <w:pStyle w:val="Normal"/>
      </w:pPr>
      <w:r>
        <w:t xml:space="preserve">c) Un imán para ubicar una aguja en un pajar — Correcta: «un imán es un apalancamiento para ubicar una pieza muy pequeña de metal en una gran pila de paja» (lámina 27).</w:t>
      </w:r>
    </w:p>
    <w:p>
      <w:pPr>
        <w:pStyle w:val="Normal"/>
      </w:pPr>
      <w:r>
        <w:t xml:space="preserve">d) Usar materiales menos costosos en la empresa XYZ — Fue la propuesta de Héctor en la lámina 28, y él mismo advirtió que podía «afectar la calidad del producto»; la empresa no la eligió.</w:t>
      </w:r>
    </w:p>
    <w:p>
      <w:pPr>
        <w:pStyle w:val="Normal"/>
      </w:pPr>
      <w:r>
        <w:t xml:space="preserve">e) Eliminar pasos no esenciales en el empaque de productos de la empresa XYZ — Correcta: fue la propuesta de Daniel, y «la reducción de los costos de embalaje sirvió como palanca» para reducir los costos de producción (lámina 28).</w:t>
      </w:r>
    </w:p>
    <w:p>
      <w:pPr>
        <w:pStyle w:val="Normal"/>
      </w:pPr>
      <w:r>
        <w:t xml:space="preserve">Criterio de resolución: La presentación 4b explica el apalancamiento con tres imágenes: la pesca, donde el ángulo y la holgura de la caña y el pie sobre la roca «son puntos de influencia» (lámina 25); el imán que encuentra la aguja, porque «pequeñas acciones pueden producir soluciones muy útiles» (lámina 27), y la empresa XYZ, que al recortar el empaque redujo sus costos, mantuvo su local de producción y lo hizo con una interrupción mínima de su proceso de fabricación (lámina 28). Lamerse los labios es lo opuesto: una solución a corto plazo que empeora el problema.</w:t>
      </w:r>
    </w:p>
    <w:p>
      <w:pPr>
        <w:pStyle w:val="Normal"/>
      </w:pPr>
      <w:r>
        <w:t xml:space="preserve">Defensa: Las tres correctas son las imágenes del apalancamiento de la presentación 4b: la pesca (lámina 25), el imán (lámina 27) y el empaque de XYZ (lámina 28). Los labios agrietados son la solución rápida que falla de la lámina 6.</w:t>
      </w:r>
    </w:p>
    <w:p>
      <w:pPr>
        <w:pStyle w:val="Fuente"/>
      </w:pPr>
      <w:r>
        <w:t xml:space="preserve">Presentación 4b (C-4), láminas 6, 23, 25, 27 y 28</w:t>
      </w:r>
    </w:p>
    <w:p>
      <w:pPr>
        <w:pStyle w:val="Heading3"/>
      </w:pPr>
      <w:bookmarkStart w:name="b_solucion_p3c_64_lugares_para__648e1f5a" w:id="6758"/>
      <w:r>
        <w:t xml:space="preserve">Solución S3-79</w:t>
      </w:r>
      <w:bookmarkEnd w:id="6758"/>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1. Los tamaños de los amortiguadores y otras existencias estabilizadoras, en relación con sus flujos</w:t>
            </w:r>
          </w:p>
          <w:p>
            <w:pPr>
              <w:pStyle w:val="Recuadro"/>
            </w:pPr>
            <w:r>
              <w:t xml:space="preserve">2. La duración de los retrasos, en relación con la tasa de cambio del sistema</w:t>
            </w:r>
          </w:p>
          <w:p>
            <w:pPr>
              <w:pStyle w:val="Recuadro"/>
            </w:pPr>
            <w:r>
              <w:t xml:space="preserve">3. La fuerza de los bucles de retroalimentación negativa, en relación con los impactos que están tratando de corregir</w:t>
            </w:r>
          </w:p>
          <w:p>
            <w:pPr>
              <w:pStyle w:val="Recuadro"/>
            </w:pPr>
            <w:r>
              <w:t xml:space="preserve">4. La estructura de los flujos de información (quién tiene y no tiene acceso a la información)</w:t>
            </w:r>
          </w:p>
          <w:p>
            <w:pPr>
              <w:pStyle w:val="Recuadro"/>
            </w:pPr>
            <w:r>
              <w:t xml:space="preserve">5. El poder de agregar, cambiar, evolucionar o autoorganizar la estructura del sistema</w:t>
            </w:r>
          </w:p>
        </w:tc>
      </w:tr>
    </w:tbl>
    <w:p>
      <w:pPr>
        <w:pStyle w:val="Heading3"/>
      </w:pPr>
      <w:r>
        <w:t xml:space="preserve">Recuerde el sentido de la lista</w:t>
      </w:r>
    </w:p>
    <w:p>
      <w:pPr>
        <w:pStyle w:val="Normal"/>
      </w:pPr>
      <w:r>
        <w:t xml:space="preserve">La lámina va en orden creciente de efectividad: empieza en el 12, constantes y parámetros, y termina en el 1, el poder de trascender los paradigmas.</w:t>
      </w:r>
    </w:p>
    <w:p>
      <w:pPr>
        <w:pStyle w:val="Heading3"/>
      </w:pPr>
      <w:r>
        <w:t xml:space="preserve">Ubique primero lo físico</w:t>
      </w:r>
    </w:p>
    <w:p>
      <w:pPr>
        <w:pStyle w:val="Normal"/>
      </w:pPr>
      <w:r>
        <w:t xml:space="preserve">Los amortiguadores (11) y los retrasos (9) son parte de la estructura física del sistema: van al principio.</w:t>
      </w:r>
    </w:p>
    <w:p>
      <w:pPr>
        <w:pStyle w:val="Heading3"/>
      </w:pPr>
      <w:r>
        <w:t xml:space="preserve">Avance hacia la realimentación y la información</w:t>
      </w:r>
    </w:p>
    <w:p>
      <w:pPr>
        <w:pStyle w:val="Normal"/>
      </w:pPr>
      <w:r>
        <w:t xml:space="preserve">Después vienen los bucles de retroalimentación negativa (8) y la estructura de los flujos de información (6), y al final el poder de autoorganizar la estructura (4), el más efectivo de los cinco.</w:t>
      </w:r>
    </w:p>
    <w:p>
      <w:pPr>
        <w:pStyle w:val="Normal"/>
      </w:pPr>
      <w:r>
        <w:t xml:space="preserve">Criterio de resolución: La lámina 29 de la presentación 4b lista los doce lugares del 12, el menos efectivo, al 1, el más efectivo. Los cinco de la pregunta son el 11 (los amortiguadores), el 9 (los retrasos), el 8 (los bucles de retroalimentación negativa), el 6 (los flujos de información) y el 4 (autoorganizar la estructura). Los menos efectivos son los parámetros y la estructura física; los más efectivos, la información, las reglas, la autoorganización, los objetivos y los paradigmas. La misma lámina advierte que «los puntos de apalancamiento no son intuitivos».</w:t>
      </w:r>
    </w:p>
    <w:p>
      <w:pPr>
        <w:pStyle w:val="Normal"/>
      </w:pPr>
      <w:r>
        <w:t xml:space="preserve">Defensa: La lámina 29 de la presentación 4b numera estos lugares 11, 9, 8, 6 y 4 en una lista que va «en orden creciente de efectividad», del 12 al 1: ese es el orden del menos al más efectivo.</w:t>
      </w:r>
    </w:p>
    <w:p>
      <w:pPr>
        <w:pStyle w:val="Fuente"/>
      </w:pPr>
      <w:r>
        <w:t xml:space="preserve">Presentación 4b (C-4), lámina 29</w:t>
      </w:r>
    </w:p>
    <w:p>
      <w:pPr>
        <w:pStyle w:val="Heading3"/>
      </w:pPr>
      <w:bookmarkStart w:name="b_solucion_p3c_65_modelo_visual_59af21d7" w:id="6759"/>
      <w:r>
        <w:t xml:space="preserve">Solución S3-80</w:t>
      </w:r>
      <w:bookmarkEnd w:id="6759"/>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c) Un modelo visual del sistema, como un diagrama de ciclos causales</w:t>
            </w:r>
          </w:p>
        </w:tc>
      </w:tr>
    </w:tbl>
    <w:p>
      <w:pPr>
        <w:pStyle w:val="Heading3"/>
      </w:pPr>
      <w:r>
        <w:t xml:space="preserve">Busque la frase de la lámina 25</w:t>
      </w:r>
    </w:p>
    <w:p>
      <w:pPr>
        <w:pStyle w:val="Normal"/>
      </w:pPr>
      <w:r>
        <w:t xml:space="preserve">Después de la imagen de la pesca, la lámina dice que hacer un modelo visual del sistema, un diagrama de ciclos causales, puede ayudar a identificar acciones de apalancamiento.</w:t>
      </w:r>
    </w:p>
    <w:p>
      <w:pPr>
        <w:pStyle w:val="Heading3"/>
      </w:pPr>
      <w:r>
        <w:t xml:space="preserve">Asigne las otras herramientas a su propósito</w:t>
      </w:r>
    </w:p>
    <w:p>
      <w:pPr>
        <w:pStyle w:val="Normal"/>
      </w:pPr>
      <w:r>
        <w:t xml:space="preserve">La tabla de ventajas y desventajas y la planificación de escenarios son las estrategias de Judy para anticipar consecuencias (láminas 8 y 9).</w:t>
      </w:r>
    </w:p>
    <w:p>
      <w:pPr>
        <w:pStyle w:val="Fuente"/>
      </w:pPr>
      <w:r>
        <w:t xml:space="preserve">Opciones descartadas: a), d).</w:t>
      </w:r>
    </w:p>
    <w:p>
      <w:pPr>
        <w:pStyle w:val="Heading3"/>
      </w:pPr>
      <w:r>
        <w:t xml:space="preserve">Descarte la intuición y las causas sueltas</w:t>
      </w:r>
    </w:p>
    <w:p>
      <w:pPr>
        <w:pStyle w:val="Normal"/>
      </w:pPr>
      <w:r>
        <w:t xml:space="preserve">La lámina 29 advierte que los puntos de apalancamiento no son intuitivos, y la 24 opone la pregunta por las causas a la pregunta por el sistema.</w:t>
      </w:r>
    </w:p>
    <w:p>
      <w:pPr>
        <w:pStyle w:val="Fuente"/>
      </w:pPr>
      <w:r>
        <w:t xml:space="preserve">Opciones descartadas: b), e).</w:t>
      </w:r>
    </w:p>
    <w:p>
      <w:pPr>
        <w:pStyle w:val="Normal"/>
      </w:pPr>
      <w:r>
        <w:t xml:space="preserve">a) Una tabla comparativa de las ventajas y desventajas de la acción — Es la estrategia de Judy (lámina 8), «muy efectiva para analizar las consecuencias a corto plazo de las decisiones», no para encontrar la palanca.</w:t>
      </w:r>
    </w:p>
    <w:p>
      <w:pPr>
        <w:pStyle w:val="Normal"/>
      </w:pPr>
      <w:r>
        <w:t xml:space="preserve">b) La intuición de quien conoce bien el problema — La lámina 29 lo descarta: «los puntos de apalancamiento no son intuitivos», y si lo son, los usamos a la inversa.</w:t>
      </w:r>
    </w:p>
    <w:p>
      <w:pPr>
        <w:pStyle w:val="Normal"/>
      </w:pPr>
      <w:r>
        <w:t xml:space="preserve">c) Un modelo visual del sistema, como un diagrama de ciclos causales — Correcta: «hacer un modelo visual del sistema puede ayudarlo a identificar acciones de apalancamiento (diagramas de ciclos causales)» (lámina 25).</w:t>
      </w:r>
    </w:p>
    <w:p>
      <w:pPr>
        <w:pStyle w:val="Normal"/>
      </w:pPr>
      <w:r>
        <w:t xml:space="preserve">d) La planificación de escenarios con preguntas sobre lo que podría pasar — Es la segunda estrategia del caso de Judy (lámina 9): sirve para anticipar las consecuencias de una decisión.</w:t>
      </w:r>
    </w:p>
    <w:p>
      <w:pPr>
        <w:pStyle w:val="Normal"/>
      </w:pPr>
      <w:r>
        <w:t xml:space="preserve">e) La lista de las causas del problema: «¿Cuáles son las causas de…?» — Es la pregunta del pensamiento causal de la lámina 24; el apalancamiento sale de entender la estructura, el sistema que produce el problema.</w:t>
      </w:r>
    </w:p>
    <w:p>
      <w:pPr>
        <w:pStyle w:val="Normal"/>
      </w:pPr>
      <w:r>
        <w:t xml:space="preserve">Criterio de resolución: La lámina 25 de la presentación 4b, «La comprensión de la estructura del sistema permite identificar acciones de apalancamiento», dice que los pensadores sistémicos tienen la ventaja de contar con herramientas para profundizar su comprensión de los sistemas, y que un modelo visual del sistema, como los diagramas de ciclos causales, puede ayudarlos a identificar el apalancamiento. Es lo que pide el hábito 10: encontrar la palanca usando la comprensión de la estructura. La tabla y los escenarios de Judy anticipan consecuencias, la intuición engaña y la pregunta por las causas mira una fotografía.</w:t>
      </w:r>
    </w:p>
    <w:p>
      <w:pPr>
        <w:pStyle w:val="Normal"/>
      </w:pPr>
      <w:r>
        <w:t xml:space="preserve">Defensa: La lámina 25 de la presentación 4b lo dice literal: «Hacer un modelo visual del sistema puede ayudarlo a identificar acciones de apalancamiento (diagramas de ciclos causales)».</w:t>
      </w:r>
    </w:p>
    <w:p>
      <w:pPr>
        <w:pStyle w:val="Fuente"/>
      </w:pPr>
      <w:r>
        <w:t xml:space="preserve">Presentación 4b (C-4), láminas 8, 9, 24, 25 y 29</w:t>
      </w:r>
    </w:p>
    <w:p>
      <w:pPr>
        <w:pStyle w:val="Heading3"/>
      </w:pPr>
      <w:bookmarkStart w:name="b_solucion_p3c_90_atenuar_reforzar" w:id="6760"/>
      <w:r>
        <w:t xml:space="preserve">Solución S3-81</w:t>
      </w:r>
      <w:bookmarkEnd w:id="6760"/>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b) Atenuar R reduce una relación amplificadora, como errores por presión; agregar B hace que más trabajo pendiente active capacidad correctiva que lo reduzca.</w:t>
            </w:r>
          </w:p>
        </w:tc>
      </w:tr>
    </w:tbl>
    <w:p>
      <w:pPr>
        <w:pStyle w:val="Heading3"/>
      </w:pPr>
      <w:r>
        <w:t xml:space="preserve">Identificar la estructura y la evidencia</w:t>
      </w:r>
    </w:p>
    <w:p>
      <w:pPr>
        <w:pStyle w:val="Normal"/>
      </w:pPr>
      <w:r>
        <w:t xml:space="preserve">El ejemplo editorial concreta las maniobras: formación o cambios de proceso pueden reducir errores por presión y atenuar el refuerzo presión → errores → retrabajo → presión. Un control de carga puede activar capacidad efectiva ante pendientes y reducirlos: B. La lámina propone considerar atenuar R en muchos casos; clase 23 explica agregar compensación anidada. No hay regla universal: importan demora, capacidad, costo y efectos laterales.</w:t>
      </w:r>
    </w:p>
    <w:p>
      <w:pPr>
        <w:pStyle w:val="Heading3"/>
      </w:pPr>
      <w:r>
        <w:t xml:space="preserve">Comprobar el alcance</w:t>
      </w:r>
    </w:p>
    <w:p>
      <w:pPr>
        <w:pStyle w:val="Normal"/>
      </w:pPr>
      <w:r>
        <w:t xml:space="preserve">Distinga lo que permite concluir la fuente de lo que requeriría ecuaciones, datos o una validación adicional.</w:t>
      </w:r>
    </w:p>
    <w:p>
      <w:pPr>
        <w:pStyle w:val="Normal"/>
      </w:pPr>
      <w:r>
        <w:t xml:space="preserve">a) Ambas maniobras consisten sólo en aumentar una constante sin mirar variables. — Esta opción no conserva la distinción del caso. El ejemplo editorial concreta las maniobras: formación o cambios de proceso pueden reducir errores por presión y atenuar el refuerzo presión → errores → retrabajo → presión. Un control de carga puede activar capacidad efectiva ante pendientes y reducirlos: B. La lámina propone considerar atenuar R en muchos casos; clase 23 explica agregar compensación anidada. No hay regla universal: importan demora, capacidad, costo y efectos laterales.</w:t>
      </w:r>
    </w:p>
    <w:p>
      <w:pPr>
        <w:pStyle w:val="Normal"/>
      </w:pPr>
      <w:r>
        <w:t xml:space="preserve">b) Atenuar R reduce una relación amplificadora, como errores por presión; agregar B hace que más trabajo pendiente active capacidad correctiva que lo reduzca. — Correcta. El ejemplo editorial concreta las maniobras: formación o cambios de proceso pueden reducir errores por presión y atenuar el refuerzo presión → errores → retrabajo → presión. Un control de carga puede activar capacidad efectiva ante pendientes y reducirlos: B. La lámina propone considerar atenuar R en muchos casos; clase 23 explica agregar compensación anidada. No hay regla universal: importan demora, capacidad, costo y efectos laterales.</w:t>
      </w:r>
    </w:p>
    <w:p>
      <w:pPr>
        <w:pStyle w:val="Normal"/>
      </w:pPr>
      <w:r>
        <w:t xml:space="preserve">c) Siempre es superior reforzar B, cualquiera que sea su demora. — Esta opción no conserva la distinción del caso. El ejemplo editorial concreta las maniobras: formación o cambios de proceso pueden reducir errores por presión y atenuar el refuerzo presión → errores → retrabajo → presión. Un control de carga puede activar capacidad efectiva ante pendientes y reducirlos: B. La lámina propone considerar atenuar R en muchos casos; clase 23 explica agregar compensación anidada. No hay regla universal: importan demora, capacidad, costo y efectos laterales.</w:t>
      </w:r>
    </w:p>
    <w:p>
      <w:pPr>
        <w:pStyle w:val="Normal"/>
      </w:pPr>
      <w:r>
        <w:t xml:space="preserve">d) Atenuar R elimina la necesidad de contrastar consecuencias. — Esta opción no conserva la distinción del caso. El ejemplo editorial concreta las maniobras: formación o cambios de proceso pueden reducir errores por presión y atenuar el refuerzo presión → errores → retrabajo → presión. Un control de carga puede activar capacidad efectiva ante pendientes y reducirlos: B. La lámina propone considerar atenuar R en muchos casos; clase 23 explica agregar compensación anidada. No hay regla universal: importan demora, capacidad, costo y efectos laterales.</w:t>
      </w:r>
    </w:p>
    <w:p>
      <w:pPr>
        <w:pStyle w:val="Normal"/>
      </w:pPr>
      <w:r>
        <w:t xml:space="preserve">Criterio de resolución: El ejemplo editorial concreta las maniobras: formación o cambios de proceso pueden reducir errores por presión y atenuar el refuerzo presión → errores → retrabajo → presión. Un control de carga puede activar capacidad efectiva ante pendientes y reducirlos: B. La lámina propone considerar atenuar R en muchos casos; clase 23 explica agregar compensación anidada. No hay regla universal: importan demora, capacidad, costo y efectos laterales.</w:t>
      </w:r>
    </w:p>
    <w:p>
      <w:pPr>
        <w:pStyle w:val="Normal"/>
      </w:pPr>
      <w:r>
        <w:t xml:space="preserve">Defensa: El ejemplo editorial concreta las maniobras: formación o cambios de proceso pueden reducir errores por presión y atenuar el refuerzo presión → errores → retrabajo → presión. Un control de carga puede activar capacidad efectiva ante pendientes y reducirlos: B. La lámina propone considerar atenuar R en muchos casos; clase 23 explica agregar compensación anidada. No hay regla universal: importan demora, capacidad, costo y efectos laterales.</w:t>
      </w:r>
    </w:p>
    <w:p>
      <w:pPr>
        <w:pStyle w:val="Fuente"/>
      </w:pPr>
      <w:r>
        <w:t xml:space="preserve">Presentación 4b de octubre (C-8), lámina 29 · Clase 23 · 00:51:51</w:t>
      </w:r>
    </w:p>
    <w:p>
      <w:pPr>
        <w:pStyle w:val="Heading3"/>
      </w:pPr>
      <w:bookmarkStart w:name="b_solucion_p3c_91_quien_fija_reglas" w:id="6761"/>
      <w:r>
        <w:t xml:space="preserve">Solución S3-82</w:t>
      </w:r>
      <w:bookmarkEnd w:id="6761"/>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c) ¿Quién tiene autoridad para fijarlas o cambiarlas y quién queda sin voz en esa decisión?</w:t>
            </w:r>
          </w:p>
        </w:tc>
      </w:tr>
    </w:tbl>
    <w:p>
      <w:pPr>
        <w:pStyle w:val="Heading3"/>
      </w:pPr>
      <w:r>
        <w:t xml:space="preserve">Identificar la estructura y la evidencia</w:t>
      </w:r>
    </w:p>
    <w:p>
      <w:pPr>
        <w:pStyle w:val="Normal"/>
      </w:pPr>
      <w:r>
        <w:t xml:space="preserve">Además de la regla escrita, interesa quién la establece y puede modificarla. Por ejemplo, un premio por volumen puede inducir producción defectuosa; revisar sólo el monto deja intacta la decisión de premiar volumen. Identificar autoridad, participación y consecuencias permite discutir una regla diferente con quienes pueden cambiarla.</w:t>
      </w:r>
    </w:p>
    <w:p>
      <w:pPr>
        <w:pStyle w:val="Heading3"/>
      </w:pPr>
      <w:r>
        <w:t xml:space="preserve">Comprobar el alcance</w:t>
      </w:r>
    </w:p>
    <w:p>
      <w:pPr>
        <w:pStyle w:val="Normal"/>
      </w:pPr>
      <w:r>
        <w:t xml:space="preserve">Distinga lo que permite concluir la fuente de lo que requeriría ecuaciones, datos o una validación adicional.</w:t>
      </w:r>
    </w:p>
    <w:p>
      <w:pPr>
        <w:pStyle w:val="Normal"/>
      </w:pPr>
      <w:r>
        <w:t xml:space="preserve">a) ¿Cómo cumplirlas sin conocer su propósito? — Esta opción no conserva la distinción del caso. Además de la regla escrita, interesa quién la establece y puede modificarla. Por ejemplo, un premio por volumen puede inducir producción defectuosa; revisar sólo el monto deja intacta la decisión de premiar volumen. Identificar autoridad, participación y consecuencias permite discutir una regla diferente con quienes pueden cambiarla.</w:t>
      </w:r>
    </w:p>
    <w:p>
      <w:pPr>
        <w:pStyle w:val="Normal"/>
      </w:pPr>
      <w:r>
        <w:t xml:space="preserve">b) ¿Cómo aumentar todos los premios por igual? — Esta opción no conserva la distinción del caso. Además de la regla escrita, interesa quién la establece y puede modificarla. Por ejemplo, un premio por volumen puede inducir producción defectuosa; revisar sólo el monto deja intacta la decisión de premiar volumen. Identificar autoridad, participación y consecuencias permite discutir una regla diferente con quienes pueden cambiarla.</w:t>
      </w:r>
    </w:p>
    <w:p>
      <w:pPr>
        <w:pStyle w:val="Normal"/>
      </w:pPr>
      <w:r>
        <w:t xml:space="preserve">c) ¿Quién tiene autoridad para fijarlas o cambiarlas y quién queda sin voz en esa decisión? — Correcta. Además de la regla escrita, interesa quién la establece y puede modificarla. Por ejemplo, un premio por volumen puede inducir producción defectuosa; revisar sólo el monto deja intacta la decisión de premiar volumen. Identificar autoridad, participación y consecuencias permite discutir una regla diferente con quienes pueden cambiarla.</w:t>
      </w:r>
    </w:p>
    <w:p>
      <w:pPr>
        <w:pStyle w:val="Normal"/>
      </w:pPr>
      <w:r>
        <w:t xml:space="preserve">d) ¿Cómo evitar cualquier revisión de sus efectos? — Esta opción no conserva la distinción del caso. Además de la regla escrita, interesa quién la establece y puede modificarla. Por ejemplo, un premio por volumen puede inducir producción defectuosa; revisar sólo el monto deja intacta la decisión de premiar volumen. Identificar autoridad, participación y consecuencias permite discutir una regla diferente con quienes pueden cambiarla.</w:t>
      </w:r>
    </w:p>
    <w:p>
      <w:pPr>
        <w:pStyle w:val="Normal"/>
      </w:pPr>
      <w:r>
        <w:t xml:space="preserve">Criterio de resolución: Además de la regla escrita, interesa quién la establece y puede modificarla. Por ejemplo, un premio por volumen puede inducir producción defectuosa; revisar sólo el monto deja intacta la decisión de premiar volumen. Identificar autoridad, participación y consecuencias permite discutir una regla diferente con quienes pueden cambiarla.</w:t>
      </w:r>
    </w:p>
    <w:p>
      <w:pPr>
        <w:pStyle w:val="Normal"/>
      </w:pPr>
      <w:r>
        <w:t xml:space="preserve">Defensa: Además de la regla escrita, interesa quién la establece y puede modificarla. Por ejemplo, un premio por volumen puede inducir producción defectuosa; revisar sólo el monto deja intacta la decisión de premiar volumen. Identificar autoridad, participación y consecuencias permite discutir una regla diferente con quienes pueden cambiarla.</w:t>
      </w:r>
    </w:p>
    <w:p>
      <w:pPr>
        <w:pStyle w:val="Fuente"/>
      </w:pPr>
      <w:r>
        <w:t xml:space="preserve">Presentación 4b de octubre (C-8), lámina 29</w:t>
      </w:r>
    </w:p>
    <w:p>
      <w:pPr>
        <w:pStyle w:val="Heading3"/>
      </w:pPr>
      <w:bookmarkStart w:name="b_solucion_p3c_92_judy_decision_f6321567" w:id="6762"/>
      <w:r>
        <w:t xml:space="preserve">Solución S3-83</w:t>
      </w:r>
      <w:bookmarkEnd w:id="6762"/>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d) Que una decisión abre escenarios que pueden exigir nuevas decisiones; conviene anticipar esas ramificaciones y revisar consecuencias.</w:t>
            </w:r>
          </w:p>
        </w:tc>
      </w:tr>
    </w:tbl>
    <w:p>
      <w:pPr>
        <w:pStyle w:val="Heading3"/>
      </w:pPr>
      <w:r>
        <w:t xml:space="preserve">Identificar la estructura y la evidencia</w:t>
      </w:r>
    </w:p>
    <w:p>
      <w:pPr>
        <w:pStyle w:val="Normal"/>
      </w:pPr>
      <w:r>
        <w:t xml:space="preserve">Las preguntas de Judy ayudan a explorar alternativas, personas afectadas y consecuencias a distintos plazos. La elección inicial puede llevar a un escenario que requiera otra decisión. La clase usa árboles en ese sentido temporal y cualitativo; no proporciona probabilidades, pesos ni un algoritmo de optimización.</w:t>
      </w:r>
    </w:p>
    <w:p>
      <w:pPr>
        <w:pStyle w:val="Heading3"/>
      </w:pPr>
      <w:r>
        <w:t xml:space="preserve">Comprobar el alcance</w:t>
      </w:r>
    </w:p>
    <w:p>
      <w:pPr>
        <w:pStyle w:val="Normal"/>
      </w:pPr>
      <w:r>
        <w:t xml:space="preserve">Distinga lo que permite concluir la fuente de lo que requeriría ecuaciones, datos o una validación adicional.</w:t>
      </w:r>
    </w:p>
    <w:p>
      <w:pPr>
        <w:pStyle w:val="Normal"/>
      </w:pPr>
      <w:r>
        <w:t xml:space="preserve">a) Que toda consecuencia futura es segura. — Esta opción no conserva la distinción del caso. Las preguntas de Judy ayudan a explorar alternativas, personas afectadas y consecuencias a distintos plazos. La elección inicial puede llevar a un escenario que requiera otra decisión. La clase usa árboles en ese sentido temporal y cualitativo; no proporciona probabilidades, pesos ni un algoritmo de optimización.</w:t>
      </w:r>
    </w:p>
    <w:p>
      <w:pPr>
        <w:pStyle w:val="Normal"/>
      </w:pPr>
      <w:r>
        <w:t xml:space="preserve">b) Que ya se dieron probabilidades para calcular un valor esperado. — Esta opción no conserva la distinción del caso. Las preguntas de Judy ayudan a explorar alternativas, personas afectadas y consecuencias a distintos plazos. La elección inicial puede llevar a un escenario que requiera otra decisión. La clase usa árboles en ese sentido temporal y cualitativo; no proporciona probabilidades, pesos ni un algoritmo de optimización.</w:t>
      </w:r>
    </w:p>
    <w:p>
      <w:pPr>
        <w:pStyle w:val="Normal"/>
      </w:pPr>
      <w:r>
        <w:t xml:space="preserve">c) Que después de decidir desaparecen las alternativas. — Esta opción no conserva la distinción del caso. Las preguntas de Judy ayudan a explorar alternativas, personas afectadas y consecuencias a distintos plazos. La elección inicial puede llevar a un escenario que requiera otra decisión. La clase usa árboles en ese sentido temporal y cualitativo; no proporciona probabilidades, pesos ni un algoritmo de optimización.</w:t>
      </w:r>
    </w:p>
    <w:p>
      <w:pPr>
        <w:pStyle w:val="Normal"/>
      </w:pPr>
      <w:r>
        <w:t xml:space="preserve">d) Que una decisión abre escenarios que pueden exigir nuevas decisiones; conviene anticipar esas ramificaciones y revisar consecuencias. — Correcta. Las preguntas de Judy ayudan a explorar alternativas, personas afectadas y consecuencias a distintos plazos. La elección inicial puede llevar a un escenario que requiera otra decisión. La clase usa árboles en ese sentido temporal y cualitativo; no proporciona probabilidades, pesos ni un algoritmo de optimización.</w:t>
      </w:r>
    </w:p>
    <w:p>
      <w:pPr>
        <w:pStyle w:val="Normal"/>
      </w:pPr>
      <w:r>
        <w:t xml:space="preserve">Criterio de resolución: Las preguntas de Judy ayudan a explorar alternativas, personas afectadas y consecuencias a distintos plazos. La elección inicial puede llevar a un escenario que requiera otra decisión. La clase usa árboles en ese sentido temporal y cualitativo; no proporciona probabilidades, pesos ni un algoritmo de optimización.</w:t>
      </w:r>
    </w:p>
    <w:p>
      <w:pPr>
        <w:pStyle w:val="Normal"/>
      </w:pPr>
      <w:r>
        <w:t xml:space="preserve">Defensa: Las preguntas de Judy ayudan a explorar alternativas, personas afectadas y consecuencias a distintos plazos. La elección inicial puede llevar a un escenario que requiera otra decisión. La clase usa árboles en ese sentido temporal y cualitativo; no proporciona probabilidades, pesos ni un algoritmo de optimización.</w:t>
      </w:r>
    </w:p>
    <w:p>
      <w:pPr>
        <w:pStyle w:val="Fuente"/>
      </w:pPr>
      <w:r>
        <w:t xml:space="preserve">Clase 22 · 00:43:57 · Presentación 4b de octubre (C-8), lámina 9</w:t>
      </w:r>
    </w:p>
    <w:p>
      <w:pPr>
        <w:pStyle w:val="Heading3"/>
      </w:pPr>
      <w:bookmarkStart w:name="b_solucion_p3c_93_xyz_costos_liquidez" w:id="6763"/>
      <w:r>
        <w:t xml:space="preserve">Solución S3-84</w:t>
      </w:r>
      <w:bookmarkEnd w:id="6763"/>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a) Porque salarios por trabajo y materias primas son costos de producción, pero la inversión inicial exige liquidez disponible hoy y puede afectar a las personas.</w:t>
            </w:r>
          </w:p>
        </w:tc>
      </w:tr>
    </w:tbl>
    <w:p>
      <w:pPr>
        <w:pStyle w:val="Heading3"/>
      </w:pPr>
      <w:r>
        <w:t xml:space="preserve">Identificar la estructura y la evidencia</w:t>
      </w:r>
    </w:p>
    <w:p>
      <w:pPr>
        <w:pStyle w:val="Normal"/>
      </w:pPr>
      <w:r>
        <w:t xml:space="preserve">La mano de obra remunera el trabajo de fabricar; materias primas son los insumos empleados. Automatizar puede reducir costos futuros y requerir un desembolso inicial que la liquidez actual no permite, además de despidos y efectos sobre motivación. El ejercicio compara consecuencias, calidad y horizontes; no calcula rentabilidad ni prescribe una decisión empresarial real.</w:t>
      </w:r>
    </w:p>
    <w:p>
      <w:pPr>
        <w:pStyle w:val="Heading3"/>
      </w:pPr>
      <w:r>
        <w:t xml:space="preserve">Comprobar el alcance</w:t>
      </w:r>
    </w:p>
    <w:p>
      <w:pPr>
        <w:pStyle w:val="Normal"/>
      </w:pPr>
      <w:r>
        <w:t xml:space="preserve">Distinga lo que permite concluir la fuente de lo que requeriría ecuaciones, datos o una validación adicional.</w:t>
      </w:r>
    </w:p>
    <w:p>
      <w:pPr>
        <w:pStyle w:val="Normal"/>
      </w:pPr>
      <w:r>
        <w:t xml:space="preserve">a) Porque salarios por trabajo y materias primas son costos de producción, pero la inversión inicial exige liquidez disponible hoy y puede afectar a las personas. — Correcta. La mano de obra remunera el trabajo de fabricar; materias primas son los insumos empleados. Automatizar puede reducir costos futuros y requerir un desembolso inicial que la liquidez actual no permite, además de despidos y efectos sobre motivación. El ejercicio compara consecuencias, calidad y horizontes; no calcula rentabilidad ni prescribe una decisión empresarial real.</w:t>
      </w:r>
    </w:p>
    <w:p>
      <w:pPr>
        <w:pStyle w:val="Normal"/>
      </w:pPr>
      <w:r>
        <w:t xml:space="preserve">b) Porque mano de obra significa sólo materia prima y no incluye remuneraciones. — Esta opción no conserva la distinción del caso. La mano de obra remunera el trabajo de fabricar; materias primas son los insumos empleados. Automatizar puede reducir costos futuros y requerir un desembolso inicial que la liquidez actual no permite, además de despidos y efectos sobre motivación. El ejercicio compara consecuencias, calidad y horizontes; no calcula rentabilidad ni prescribe una decisión empresarial real.</w:t>
      </w:r>
    </w:p>
    <w:p>
      <w:pPr>
        <w:pStyle w:val="Normal"/>
      </w:pPr>
      <w:r>
        <w:t xml:space="preserve">c) Porque un ahorro futuro garantiza dinero suficiente para invertir hoy. — Esta opción no conserva la distinción del caso. La mano de obra remunera el trabajo de fabricar; materias primas son los insumos empleados. Automatizar puede reducir costos futuros y requerir un desembolso inicial que la liquidez actual no permite, además de despidos y efectos sobre motivación. El ejercicio compara consecuencias, calidad y horizontes; no calcula rentabilidad ni prescribe una decisión empresarial real.</w:t>
      </w:r>
    </w:p>
    <w:p>
      <w:pPr>
        <w:pStyle w:val="Normal"/>
      </w:pPr>
      <w:r>
        <w:t xml:space="preserve">d) Porque una decisión debe analizar sólo los costos directos e ignorar calidad y demanda. — Esta opción no conserva la distinción del caso. La mano de obra remunera el trabajo de fabricar; materias primas son los insumos empleados. Automatizar puede reducir costos futuros y requerir un desembolso inicial que la liquidez actual no permite, además de despidos y efectos sobre motivación. El ejercicio compara consecuencias, calidad y horizontes; no calcula rentabilidad ni prescribe una decisión empresarial real.</w:t>
      </w:r>
    </w:p>
    <w:p>
      <w:pPr>
        <w:pStyle w:val="Normal"/>
      </w:pPr>
      <w:r>
        <w:t xml:space="preserve">Criterio de resolución: La mano de obra remunera el trabajo de fabricar; materias primas son los insumos empleados. Automatizar puede reducir costos futuros y requerir un desembolso inicial que la liquidez actual no permite, además de despidos y efectos sobre motivación. El ejercicio compara consecuencias, calidad y horizontes; no calcula rentabilidad ni prescribe una decisión empresarial real.</w:t>
      </w:r>
    </w:p>
    <w:p>
      <w:pPr>
        <w:pStyle w:val="Normal"/>
      </w:pPr>
      <w:r>
        <w:t xml:space="preserve">Defensa: La mano de obra remunera el trabajo de fabricar; materias primas son los insumos empleados. Automatizar puede reducir costos futuros y requerir un desembolso inicial que la liquidez actual no permite, además de despidos y efectos sobre motivación. El ejercicio compara consecuencias, calidad y horizontes; no calcula rentabilidad ni prescribe una decisión empresarial real.</w:t>
      </w:r>
    </w:p>
    <w:p>
      <w:pPr>
        <w:pStyle w:val="Fuente"/>
      </w:pPr>
      <w:r>
        <w:t xml:space="preserve">Clase 23 · 00:23:19 · 00:28:43 · Presentación 4b de octubre (C-8), lámina 26</w:t>
      </w:r>
    </w:p>
    <w:p>
      <w:pPr>
        <w:pStyle w:val="Heading3"/>
      </w:pPr>
      <w:bookmarkStart w:name="b_solucion_p3c_66_habitos_en_rojo" w:id="6764"/>
      <w:r>
        <w:t xml:space="preserve">Solución S3-85</w:t>
      </w:r>
      <w:bookmarkEnd w:id="6764"/>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b) Tarjeta 12 · Presta atención a las acumulaciones y sus tasas de cambio</w:t>
            </w:r>
          </w:p>
          <w:p>
            <w:pPr>
              <w:pStyle w:val="Recuadro"/>
            </w:pPr>
            <w:r>
              <w:t xml:space="preserve">d) Tarjeta 8 · Considera un tema completamente y resiste al impulso de llegar a una conclusión rápida</w:t>
            </w:r>
          </w:p>
        </w:tc>
      </w:tr>
    </w:tbl>
    <w:p>
      <w:pPr>
        <w:pStyle w:val="Heading3"/>
      </w:pPr>
      <w:r>
        <w:t xml:space="preserve">Recuerde los dos grupos de la lámina 3</w:t>
      </w:r>
    </w:p>
    <w:p>
      <w:pPr>
        <w:pStyle w:val="Normal"/>
      </w:pPr>
      <w:r>
        <w:t xml:space="preserve">Básicos: 9, 7, 6 y 1. Profundizando en las estructuras: 2, 3, 5, 4 y 13. Ninguna de esas tarjetas está en rojo.</w:t>
      </w:r>
    </w:p>
    <w:p>
      <w:pPr>
        <w:pStyle w:val="Fuente"/>
      </w:pPr>
      <w:r>
        <w:t xml:space="preserve">Opciones descartadas: a), c), e).</w:t>
      </w:r>
    </w:p>
    <w:p>
      <w:pPr>
        <w:pStyle w:val="Heading3"/>
      </w:pPr>
      <w:r>
        <w:t xml:space="preserve">Complete los catorce con los de la unidad 4</w:t>
      </w:r>
    </w:p>
    <w:p>
      <w:pPr>
        <w:pStyle w:val="Normal"/>
      </w:pPr>
      <w:r>
        <w:t xml:space="preserve">Quedan el 8, el 10, el 11, el 12 y el 14: los enmarcados en rojo en la lámina 4 de la presentación 4a.</w:t>
      </w:r>
    </w:p>
    <w:p>
      <w:pPr>
        <w:pStyle w:val="Normal"/>
      </w:pPr>
      <w:r>
        <w:t xml:space="preserve">a) Tarjeta 13 · Reconoce el impacto de las demoras cuando se están explorando las relaciones de causa y efecto — Es de la banda «Profundizando en los modelos de estructuras sistémicas» de la lámina 3 de la presentación 4a, con los hábitos de la unidad 3.</w:t>
      </w:r>
    </w:p>
    <w:p>
      <w:pPr>
        <w:pStyle w:val="Normal"/>
      </w:pPr>
      <w:r>
        <w:t xml:space="preserve">b) Tarjeta 12 · Presta atención a las acumulaciones y sus tasas de cambio — Correcta: está enmarcada en rojo en la lámina 4, y la presentación 4a abre con su tarjeta los niveles y los flujos (lámina 5).</w:t>
      </w:r>
    </w:p>
    <w:p>
      <w:pPr>
        <w:pStyle w:val="Normal"/>
      </w:pPr>
      <w:r>
        <w:t xml:space="preserve">c) Tarjeta 9 · Considera cómo los modelos mentales afectan la realidad actual y el futuro — Es uno de los «Hábitos básicos de un pensador sistémico» de la lámina 3, los de los modelos mentales.</w:t>
      </w:r>
    </w:p>
    <w:p>
      <w:pPr>
        <w:pStyle w:val="Normal"/>
      </w:pPr>
      <w:r>
        <w:t xml:space="preserve">d) Tarjeta 8 · Considera un tema completamente y resiste al impulso de llegar a una conclusión rápida — Correcta: está enmarcada en rojo en la lámina 4 de la presentación 4a y en la lámina 2 de la 4b, que la desarrolla en sus láminas 12 a 14.</w:t>
      </w:r>
    </w:p>
    <w:p>
      <w:pPr>
        <w:pStyle w:val="Normal"/>
      </w:pPr>
      <w:r>
        <w:t xml:space="preserve">e) Tarjeta 3 · Reconoce que la estructura de un sistema genera su comportamiento — Es de la banda «Profundizando en los modelos de estructuras sistémicas», que sostiene los ciclos causales de la unidad 3.</w:t>
      </w:r>
    </w:p>
    <w:p>
      <w:pPr>
        <w:pStyle w:val="Normal"/>
      </w:pPr>
      <w:r>
        <w:t xml:space="preserve">Criterio de resolución: La lámina 3 de la presentación 4a reúne los cuatro «Hábitos básicos de un pensador sistémico» (9, 7, 6 y 1) y los cinco de «Profundizando en los modelos de estructuras sistémicas» (2, 3, 5, 4 y 13). La lámina 4 muestra el póster completo con los otros cinco en rojo: el 8, el 10, el 11, el 12 y el 14. Son los de la unidad 4: el 12, el de las acumulaciones, para modelar y simular, y los demás, para decidir.</w:t>
      </w:r>
    </w:p>
    <w:p>
      <w:pPr>
        <w:pStyle w:val="Normal"/>
      </w:pPr>
      <w:r>
        <w:t xml:space="preserve">Defensa: En la lámina 4 de la presentación 4a están enmarcadas en rojo las tarjetas 8, 10, 11, 12 y 14; la 3, la 9 y la 13 están en los grupos de la lámina 3, básicos y profundizando.</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9C620A" w:sz="20"/>
              <w:bottom w:val="nil"/>
              <w:right w:val="nil"/>
            </w:tcBorders>
            <w:shd w:fill="FBF3DF" w:val="clear"/>
            <w:tcMar>
              <w:top w:type="dxa" w:w="130"/>
              <w:left w:type="dxa" w:w="180"/>
              <w:bottom w:type="dxa" w:w="130"/>
              <w:right w:type="dxa" w:w="180"/>
            </w:tcMar>
          </w:tcPr>
          <w:p>
            <w:pPr>
              <w:pStyle w:val="RecuadroTitulo"/>
            </w:pPr>
            <w:r>
              <w:rPr>
                <w:b/>
                <w:bCs/>
                <w:color w:val="9C620A"/>
              </w:rPr>
              <w:t xml:space="preserve">Advertencia y límites</w:t>
            </w:r>
          </w:p>
          <w:p>
            <w:pPr>
              <w:pStyle w:val="Recuadro"/>
            </w:pPr>
            <w:r>
              <w:t xml:space="preserve">El póster de la lámina 2 de la presentación 4b, que abre la toma de decisiones, marca en rojo sólo el 8, el 10, el 11 y el 14: allí la tarjeta 12 queda en verde. Por eso la pregunta se refiere a la presentación 4a.</w:t>
            </w:r>
          </w:p>
        </w:tc>
      </w:tr>
    </w:tbl>
    <w:p>
      <w:pPr>
        <w:pStyle w:val="Fuente"/>
      </w:pPr>
      <w:r>
        <w:t xml:space="preserve">Presentación 4a (C-3), láminas 3, 4 y 5 · Presentación 4b (C-4), lámina 2</w:t>
      </w:r>
    </w:p>
    <w:p>
      <w:pPr>
        <w:pStyle w:val="Heading3"/>
      </w:pPr>
      <w:bookmarkStart w:name="b_solucion_p3c_67_etapas_de_resolucion" w:id="6765"/>
      <w:r>
        <w:t xml:space="preserve">Solución S3-86</w:t>
      </w:r>
      <w:bookmarkEnd w:id="6765"/>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Tarjeta 8 · Considera un tema completamente y resiste al impulso de llegar a una conclusión rápida → 2. Aumenta la comprensión del problema</w:t>
            </w:r>
          </w:p>
          <w:p>
            <w:pPr>
              <w:pStyle w:val="Recuadro"/>
            </w:pPr>
            <w:r>
              <w:t xml:space="preserve">Tarjeta 13 · Reconoce el impacto de las demoras cuando se están explorando las relaciones de causa y efecto → 3. Planificando y tomando medidas para resolver el problema</w:t>
            </w:r>
          </w:p>
          <w:p>
            <w:pPr>
              <w:pStyle w:val="Recuadro"/>
            </w:pPr>
            <w:r>
              <w:t xml:space="preserve">Tarjeta 4 · Identifica la naturaleza circular de relaciones complejas entre causa y efecto → 1. Desarrollar conciencia del problema</w:t>
            </w:r>
          </w:p>
          <w:p>
            <w:pPr>
              <w:pStyle w:val="Recuadro"/>
            </w:pPr>
            <w:r>
              <w:t xml:space="preserve">Tarjeta 12 · Presta atención a las acumulaciones y sus tasas de cambio → 3. Planificando y tomando medidas para resolver el problema</w:t>
            </w:r>
          </w:p>
          <w:p>
            <w:pPr>
              <w:pStyle w:val="Recuadro"/>
            </w:pPr>
            <w:r>
              <w:t xml:space="preserve">Tarjeta 9 · Considera cómo los modelos mentales afectan la realidad actual y el futuro → 2. Aumenta la comprensión del problema</w:t>
            </w:r>
          </w:p>
        </w:tc>
      </w:tr>
    </w:tbl>
    <w:p>
      <w:pPr>
        <w:pStyle w:val="Heading3"/>
      </w:pPr>
      <w:r>
        <w:t xml:space="preserve">Recuerde los bloques de números</w:t>
      </w:r>
    </w:p>
    <w:p>
      <w:pPr>
        <w:pStyle w:val="Normal"/>
      </w:pPr>
      <w:r>
        <w:t xml:space="preserve">Las etapas recorren el póster casi en orden: 1 a 4, 6 a 9, 10 a 13 y 14. El 5 es el único que no aparece.</w:t>
      </w:r>
    </w:p>
    <w:p>
      <w:pPr>
        <w:pStyle w:val="Heading3"/>
      </w:pPr>
      <w:r>
        <w:t xml:space="preserve">No confunda la etapa con el grupo</w:t>
      </w:r>
    </w:p>
    <w:p>
      <w:pPr>
        <w:pStyle w:val="Normal"/>
      </w:pPr>
      <w:r>
        <w:t xml:space="preserve">El 8 está marcado en rojo como de la unidad 4, pero la lámina 45 lo pone en la comprensión del problema; el 13 es de la banda de estructuras, pero la lámina 46 lo pone en la planificación.</w:t>
      </w:r>
    </w:p>
    <w:p>
      <w:pPr>
        <w:pStyle w:val="Heading3"/>
      </w:pPr>
      <w:r>
        <w:t xml:space="preserve">Revise los distractores</w:t>
      </w:r>
    </w:p>
    <w:p>
      <w:pPr>
        <w:pStyle w:val="Normal"/>
      </w:pPr>
      <w:r>
        <w:t xml:space="preserve">Ninguna fila es el hábito 14, el de la cuarta etapa, ni el 5, el que no está en ninguna.</w:t>
      </w:r>
    </w:p>
    <w:p>
      <w:pPr>
        <w:pStyle w:val="Normal"/>
      </w:pPr>
      <w:r>
        <w:t xml:space="preserve">Distractor sin fila correspondiente: 4. Y una vez implementada la solución aplica “aproximación sucesiva”.</w:t>
      </w:r>
    </w:p>
    <w:p>
      <w:pPr>
        <w:pStyle w:val="Normal"/>
      </w:pPr>
      <w:r>
        <w:t xml:space="preserve">Distractor sin fila correspondiente: En ninguna de las cuatro etapas.</w:t>
      </w:r>
    </w:p>
    <w:p>
      <w:pPr>
        <w:pStyle w:val="Normal"/>
      </w:pPr>
      <w:r>
        <w:t xml:space="preserve">Criterio de resolución: Las láminas 44 a 47 de la presentación 4b reparten los hábitos así: para desarrollar conciencia del problema, el 1, el 2, el 3 y el 4; para aumentar su comprensión, el 6, el 7, el 8 y el 9; para planificar y tomar medidas, el 10, el 11, el 12 y el 13, y una vez implementada la solución, el 14. Las etapas no siguen los grupos de la presentación 4a: el 8, de la unidad 4, está en la etapa de comprensión, y el 13, de la banda de estructuras, en la de planificación. Sólo el 5 queda fuera de las cuatro, y no está entre las filas.</w:t>
      </w:r>
    </w:p>
    <w:p>
      <w:pPr>
        <w:pStyle w:val="Normal"/>
      </w:pPr>
      <w:r>
        <w:t xml:space="preserve">Defensa: Es la repartición literal de las láminas 44 a 47 de la presentación 4b: el 4 en la primera etapa, el 8 y el 9 en la segunda, y el 12 y el 13 en la tercera.</w:t>
      </w:r>
    </w:p>
    <w:p>
      <w:pPr>
        <w:pStyle w:val="Fuente"/>
      </w:pPr>
      <w:r>
        <w:t xml:space="preserve">Presentación 4b (C-4), láminas 43, 44, 45, 46 y 47</w:t>
      </w:r>
    </w:p>
    <w:p>
      <w:pPr>
        <w:pStyle w:val="Heading3"/>
      </w:pPr>
      <w:bookmarkStart w:name="b_solucion_p3c_68_iniciativas_d_266ab910" w:id="6766"/>
      <w:r>
        <w:t xml:space="preserve">Solución S3-87</w:t>
      </w:r>
      <w:bookmarkEnd w:id="6766"/>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a) El aprendizaje de una nueva habilidad</w:t>
            </w:r>
          </w:p>
          <w:p>
            <w:pPr>
              <w:pStyle w:val="Recuadro"/>
            </w:pPr>
            <w:r>
              <w:t xml:space="preserve">c) Planes para realizar mejoras</w:t>
            </w:r>
          </w:p>
        </w:tc>
      </w:tr>
    </w:tbl>
    <w:p>
      <w:pPr>
        <w:pStyle w:val="Heading3"/>
      </w:pPr>
      <w:r>
        <w:t xml:space="preserve">Recuerde la lista de la lámina 34</w:t>
      </w:r>
    </w:p>
    <w:p>
      <w:pPr>
        <w:pStyle w:val="Normal"/>
      </w:pPr>
      <w:r>
        <w:t xml:space="preserve">Innovación, planes de mejora, aprendizaje de una nueva habilidad y esfuerzos para resolver problemas y hacer cambios.</w:t>
      </w:r>
    </w:p>
    <w:p>
      <w:pPr>
        <w:pStyle w:val="Heading3"/>
      </w:pPr>
      <w:r>
        <w:t xml:space="preserve">Contraste con la disposición al riesgo</w:t>
      </w:r>
    </w:p>
    <w:p>
      <w:pPr>
        <w:pStyle w:val="Normal"/>
      </w:pPr>
      <w:r>
        <w:t xml:space="preserve">El hábito asume riesgos y supera el fracaso; eliminar todo riesgo antes de actuar es lo contrario.</w:t>
      </w:r>
    </w:p>
    <w:p>
      <w:pPr>
        <w:pStyle w:val="Fuente"/>
      </w:pPr>
      <w:r>
        <w:t xml:space="preserve">Opciones descartadas: b).</w:t>
      </w:r>
    </w:p>
    <w:p>
      <w:pPr>
        <w:pStyle w:val="Heading3"/>
      </w:pPr>
      <w:r>
        <w:t xml:space="preserve">Descarte lo que no se revisa</w:t>
      </w:r>
    </w:p>
    <w:p>
      <w:pPr>
        <w:pStyle w:val="Normal"/>
      </w:pPr>
      <w:r>
        <w:t xml:space="preserve">Un plan que no vuelve a modificarse contradice el ciclo de la lámina 35, y aliviar sólo el síntoma es una solución rápida, no una mejora paulatina.</w:t>
      </w:r>
    </w:p>
    <w:p>
      <w:pPr>
        <w:pStyle w:val="Fuente"/>
      </w:pPr>
      <w:r>
        <w:t xml:space="preserve">Opciones descartadas: d), e).</w:t>
      </w:r>
    </w:p>
    <w:p>
      <w:pPr>
        <w:pStyle w:val="Normal"/>
      </w:pPr>
      <w:r>
        <w:t xml:space="preserve">a) El aprendizaje de una nueva habilidad — Correcta: es la tercera de las cuatro iniciativas de la lámina 34.</w:t>
      </w:r>
    </w:p>
    <w:p>
      <w:pPr>
        <w:pStyle w:val="Normal"/>
      </w:pPr>
      <w:r>
        <w:t xml:space="preserve">b) La eliminación de todo riesgo antes de implementar un cambio — Contradice la misma lámina: el hábito implica «la disposición a asumir riesgos», no eliminarlos antes de actuar.</w:t>
      </w:r>
    </w:p>
    <w:p>
      <w:pPr>
        <w:pStyle w:val="Normal"/>
      </w:pPr>
      <w:r>
        <w:t xml:space="preserve">c) Planes para realizar mejoras — Correcta: es la segunda iniciativa de la lámina 34.</w:t>
      </w:r>
    </w:p>
    <w:p>
      <w:pPr>
        <w:pStyle w:val="Normal"/>
      </w:pPr>
      <w:r>
        <w:t xml:space="preserve">d) La búsqueda de un plan definitivo que no vuelva a modificarse — Contradice la lámina 35: «Un buen plan es maleable y puede modificarse y refinarse hasta que se logren los beneficios deseados (o la meta)».</w:t>
      </w:r>
    </w:p>
    <w:p>
      <w:pPr>
        <w:pStyle w:val="Normal"/>
      </w:pPr>
      <w:r>
        <w:t xml:space="preserve">e) El alivio inmediato de los síntomas de un problema — Aliviar el síntoma de inmediato es la solución rápida que falla de la lámina 5; la aproximación sucesiva examina los resultados y ajusta las acciones con el tiempo.</w:t>
      </w:r>
    </w:p>
    <w:p>
      <w:pPr>
        <w:pStyle w:val="Normal"/>
      </w:pPr>
      <w:r>
        <w:t xml:space="preserve">Criterio de resolución: La lámina 34 de la presentación 4b compara al pensador sistémico con un cocinero que hace «mejoras y refinamientos continuos en una receta»: adopta el cambio como un proceso continuo y aprende de la experiencia. El proceso se aplica a cuatro iniciativas: el diseño e implementación de una innovación, planes para realizar mejoras, el aprendizaje de una nueva habilidad y esfuerzos para resolver problemas y hacer cambios. Las opciones incorrectas contradicen el hábito: evitar todo riesgo, congelar el plan o tratar sólo el síntoma.</w:t>
      </w:r>
    </w:p>
    <w:p>
      <w:pPr>
        <w:pStyle w:val="Normal"/>
      </w:pPr>
      <w:r>
        <w:t xml:space="preserve">Defensa: La lámina 34 de la presentación 4b enumera como iniciativas «planes para realizar mejoras» y «el aprendizaje de una nueva habilidad»; las demás opciones contradicen la disposición a asumir riesgos y el plan maleable de la lámina 35.</w:t>
      </w:r>
    </w:p>
    <w:p>
      <w:pPr>
        <w:pStyle w:val="Fuente"/>
      </w:pPr>
      <w:r>
        <w:t xml:space="preserve">Presentación 4b (C-4), láminas 5, 31, 34 y 35</w:t>
      </w:r>
    </w:p>
    <w:p>
      <w:pPr>
        <w:pStyle w:val="Heading3"/>
      </w:pPr>
      <w:bookmarkStart w:name="b_solucion_p3c_69_ciclo_continuo" w:id="6767"/>
      <w:r>
        <w:t xml:space="preserve">Solución S3-88</w:t>
      </w:r>
      <w:bookmarkEnd w:id="6767"/>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a) Verdadero</w:t>
            </w:r>
          </w:p>
        </w:tc>
      </w:tr>
    </w:tbl>
    <w:p>
      <w:pPr>
        <w:pStyle w:val="Heading3"/>
      </w:pPr>
      <w:r>
        <w:t xml:space="preserve">Ubique el paso de mejorar</w:t>
      </w:r>
    </w:p>
    <w:p>
      <w:pPr>
        <w:pStyle w:val="Normal"/>
      </w:pPr>
      <w:r>
        <w:t xml:space="preserve">Es el cuarto paso del ciclo: después de evaluar, se implementan cambios para mejorar, porque un buen plan es maleable.</w:t>
      </w:r>
    </w:p>
    <w:p>
      <w:pPr>
        <w:pStyle w:val="Heading3"/>
      </w:pPr>
      <w:r>
        <w:t xml:space="preserve">Lea las dos frases que lo cierran</w:t>
      </w:r>
    </w:p>
    <w:p>
      <w:pPr>
        <w:pStyle w:val="Normal"/>
      </w:pPr>
      <w:r>
        <w:t xml:space="preserve">El proceso es continuo porque siempre habrá espacio para mejoras, y el próximo ciclo puede retrasarse si el plan ya ofrece beneficios sustanciales. El enunciado no contradice ninguna.</w:t>
      </w:r>
    </w:p>
    <w:p>
      <w:pPr>
        <w:pStyle w:val="Fuente"/>
      </w:pPr>
      <w:r>
        <w:t xml:space="preserve">Opciones descartadas: b).</w:t>
      </w:r>
    </w:p>
    <w:p>
      <w:pPr>
        <w:pStyle w:val="Normal"/>
      </w:pPr>
      <w:r>
        <w:t xml:space="preserve">a) Verdadero — Correcta: la lámina 35 lo dice al describir el paso de mejorar: el proceso «será continuo», pero si el plan ofrece beneficios sustanciales, «el próximo ciclo de mejora puede retrasarse».</w:t>
      </w:r>
    </w:p>
    <w:p>
      <w:pPr>
        <w:pStyle w:val="Normal"/>
      </w:pPr>
      <w:r>
        <w:t xml:space="preserve">b) Falso — Sería falso si el ciclo exigiera repetir la mejora de inmediato o si terminara al lograr la meta; la lámina 35 no dice ninguna de las dos cosas.</w:t>
      </w:r>
    </w:p>
    <w:p>
      <w:pPr>
        <w:pStyle w:val="Normal"/>
      </w:pPr>
      <w:r>
        <w:t xml:space="preserve">Criterio de resolución: La lámina 35 de la presentación 4b describe el ciclo adaptado del PDSA de W. Edwards Deming: diseñar un plan, implementar, evaluar y mejorar. Del último paso dice: «Este proceso será continuo, ya que siempre habrá espacio para mejoras y mejores resultados. Sin embargo, si su plan ofrece beneficios sustanciales, el próximo ciclo de mejora puede retrasarse». El enunciado junta las dos frases: el ciclo no termina, pero su ritmo depende de los beneficios del plan.</w:t>
      </w:r>
    </w:p>
    <w:p>
      <w:pPr>
        <w:pStyle w:val="Normal"/>
      </w:pPr>
      <w:r>
        <w:t xml:space="preserve">Defensa: Es casi literal de la lámina 35 de la presentación 4b: «Este proceso será continuo, ya que siempre habrá espacio para mejoras y mejores resultados. Sin embargo, si su plan ofrece beneficios sustanciales, el próximo ciclo de mejora puede retrasarse».</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9C620A" w:sz="20"/>
              <w:bottom w:val="nil"/>
              <w:right w:val="nil"/>
            </w:tcBorders>
            <w:shd w:fill="FBF3DF" w:val="clear"/>
            <w:tcMar>
              <w:top w:type="dxa" w:w="130"/>
              <w:left w:type="dxa" w:w="180"/>
              <w:bottom w:type="dxa" w:w="130"/>
              <w:right w:type="dxa" w:w="180"/>
            </w:tcMar>
          </w:tcPr>
          <w:p>
            <w:pPr>
              <w:pStyle w:val="RecuadroTitulo"/>
            </w:pPr>
            <w:r>
              <w:rPr>
                <w:b/>
                <w:bCs/>
                <w:color w:val="9C620A"/>
              </w:rPr>
              <w:t xml:space="preserve">Advertencia y límites</w:t>
            </w:r>
          </w:p>
          <w:p>
            <w:pPr>
              <w:pStyle w:val="Recuadro"/>
            </w:pPr>
            <w:r>
              <w:t xml:space="preserve">El texto de la lámina 35 nombra el ciclo de Deming «Planificar, hacer, estudiar, actuar»; la rueda dibujada en la misma lámina dice planear, hacer, verificar y actuar.</w:t>
            </w:r>
          </w:p>
        </w:tc>
      </w:tr>
    </w:tbl>
    <w:p>
      <w:pPr>
        <w:pStyle w:val="Fuente"/>
      </w:pPr>
      <w:r>
        <w:t xml:space="preserve">Presentación 4b (C-4), láminas 34 y 35</w:t>
      </w:r>
    </w:p>
    <w:p>
      <w:pPr>
        <w:pStyle w:val="Heading3"/>
      </w:pPr>
      <w:bookmarkStart w:name="b_solucion_p3c_70_pilar_hacer_c_bbe7c510" w:id="6768"/>
      <w:r>
        <w:t xml:space="preserve">Solución S3-89</w:t>
      </w:r>
      <w:bookmarkEnd w:id="6768"/>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d) La habilidad de hacer las cosas con los elementos que se tengan a mano</w:t>
            </w:r>
          </w:p>
        </w:tc>
      </w:tr>
    </w:tbl>
    <w:p>
      <w:pPr>
        <w:pStyle w:val="Heading3"/>
      </w:pPr>
      <w:r>
        <w:t xml:space="preserve">Separe los pilares de las habilidades</w:t>
      </w:r>
    </w:p>
    <w:p>
      <w:pPr>
        <w:pStyle w:val="Normal"/>
      </w:pPr>
      <w:r>
        <w:t xml:space="preserve">Los pilares son cuatro (lámina 37); las habilidades, seis adjetivos: positivos, concentrados, flexibles, organizados, proactivos y adaptables (lámina 39).</w:t>
      </w:r>
    </w:p>
    <w:p>
      <w:pPr>
        <w:pStyle w:val="Fuente"/>
      </w:pPr>
      <w:r>
        <w:t xml:space="preserve">Opciones descartadas: b).</w:t>
      </w:r>
    </w:p>
    <w:p>
      <w:pPr>
        <w:pStyle w:val="Heading3"/>
      </w:pPr>
      <w:r>
        <w:t xml:space="preserve">Ubique el hoy y el mañana</w:t>
      </w:r>
    </w:p>
    <w:p>
      <w:pPr>
        <w:pStyle w:val="Normal"/>
      </w:pPr>
      <w:r>
        <w:t xml:space="preserve">Enfrentar la realidad es el hoy y los objetivos futuros son el mañana; la búsqueda de sentido descansa en los valores. El pilar que une el hoy con el mañana es hacer las cosas con lo que se tenga a mano.</w:t>
      </w:r>
    </w:p>
    <w:p>
      <w:pPr>
        <w:pStyle w:val="Fuente"/>
      </w:pPr>
      <w:r>
        <w:t xml:space="preserve">Opciones descartadas: a), c), e).</w:t>
      </w:r>
    </w:p>
    <w:p>
      <w:pPr>
        <w:pStyle w:val="Normal"/>
      </w:pPr>
      <w:r>
        <w:t xml:space="preserve">a) Existencia de objetivos futuros — Es el primer pilar: poseer objetivos y resultados a obtener, porque «el hombre que no puede ver ninguna meta futura se dejará vencer». Es el mañana, no el puente entre el hoy y el mañana.</w:t>
      </w:r>
    </w:p>
    <w:p>
      <w:pPr>
        <w:pStyle w:val="Normal"/>
      </w:pPr>
      <w:r>
        <w:t xml:space="preserve">b) Flexibles — Es una de las seis habilidades que requiere la resiliencia (lámina 39), no uno de los cuatro pilares, aunque el pilar hable de inventiva y flexibilidad.</w:t>
      </w:r>
    </w:p>
    <w:p>
      <w:pPr>
        <w:pStyle w:val="Normal"/>
      </w:pPr>
      <w:r>
        <w:t xml:space="preserve">c) Enfrentando la realidad — Es el segundo pilar: la aceptación de la realidad de la propia situación. Es el hoy, no la relación entre el hoy y el mañana.</w:t>
      </w:r>
    </w:p>
    <w:p>
      <w:pPr>
        <w:pStyle w:val="Normal"/>
      </w:pPr>
      <w:r>
        <w:t xml:space="preserve">d) La habilidad de hacer las cosas con los elementos que se tengan a mano — Correcta: es el cuarto pilar; la lectura lo llama «este último pilar» y le asigna esa relación.</w:t>
      </w:r>
    </w:p>
    <w:p>
      <w:pPr>
        <w:pStyle w:val="Normal"/>
      </w:pPr>
      <w:r>
        <w:t xml:space="preserve">e) La búsqueda de sentido — Es el tercer pilar, basado en el sistema de valores: encontrarle sentido a las cosas terribles sin verse como víctima.</w:t>
      </w:r>
    </w:p>
    <w:p>
      <w:pPr>
        <w:pStyle w:val="Normal"/>
      </w:pPr>
      <w:r>
        <w:t xml:space="preserve">Criterio de resolución: La lámina 37 de la presentación 4b resume los cuatro pilares de la lectura L-20: existencia de objetivos futuros, enfrentando la realidad, la búsqueda de sentido y la habilidad de hacer las cosas con los elementos que se tengan a mano. Del cuarto dice la lectura que «es el que establece la relación entre el hoy (la realidad) y el mañana (los objetivos)» y que, en crisis, da una habilidad de inventiva y flexibilidad para improvisar soluciones con las herramientas disponibles: es el proceso que va del Hoy al Mañana «con lo que contamos».</w:t>
      </w:r>
    </w:p>
    <w:p>
      <w:pPr>
        <w:pStyle w:val="Normal"/>
      </w:pPr>
      <w:r>
        <w:t xml:space="preserve">Defensa: La lectura L-20, pág. 3, dice del cuarto pilar, «La habilidad de hacer las cosas con los elementos que se tengan a mano», que «es el que establece la relación entre el hoy (la realidad) y el mañana (los objetivos)». La lámina 37 lo reproduce en el comentario de ese pilar.</w:t>
      </w:r>
    </w:p>
    <w:p>
      <w:pPr>
        <w:pStyle w:val="Fuente"/>
      </w:pPr>
      <w:r>
        <w:t xml:space="preserve">Presentación 4b (C-4), láminas 37 y 39 · lectura L-20, págs. 2 y 3</w:t>
      </w:r>
    </w:p>
    <w:p>
      <w:pPr>
        <w:pStyle w:val="Heading3"/>
      </w:pPr>
      <w:bookmarkStart w:name="b_solucion_p3c_71_modelo_del_feedback" w:id="6769"/>
      <w:r>
        <w:t xml:space="preserve">Solución S3-90</w:t>
      </w:r>
      <w:bookmarkEnd w:id="6769"/>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c) Cómo sabremos que hemos llegado a ese futuro deseado</w:t>
            </w:r>
          </w:p>
        </w:tc>
      </w:tr>
    </w:tbl>
    <w:p>
      <w:pPr>
        <w:pStyle w:val="Heading3"/>
      </w:pPr>
      <w:r>
        <w:t xml:space="preserve">Busque la palabra clave</w:t>
      </w:r>
    </w:p>
    <w:p>
      <w:pPr>
        <w:pStyle w:val="Normal"/>
      </w:pPr>
      <w:r>
        <w:t xml:space="preserve">Medir los éxitos en el camino es saber si se ha llegado: el feedback.</w:t>
      </w:r>
    </w:p>
    <w:p>
      <w:pPr>
        <w:pStyle w:val="Heading3"/>
      </w:pPr>
      <w:r>
        <w:t xml:space="preserve">Ubique los otros componentes en el diagrama</w:t>
      </w:r>
    </w:p>
    <w:p>
      <w:pPr>
        <w:pStyle w:val="Normal"/>
      </w:pPr>
      <w:r>
        <w:t xml:space="preserve">El Hoy (C) y el Mañana (A) son los extremos; el proceso (D) es la flecha que los une, y el entorno (E) es el ambiente cambiante alrededor.</w:t>
      </w:r>
    </w:p>
    <w:p>
      <w:pPr>
        <w:pStyle w:val="Fuente"/>
      </w:pPr>
      <w:r>
        <w:t xml:space="preserve">Opciones descartadas: a), b), d), e).</w:t>
      </w:r>
    </w:p>
    <w:p>
      <w:pPr>
        <w:pStyle w:val="Normal"/>
      </w:pPr>
      <w:r>
        <w:t xml:space="preserve">a) Dónde queremos estar: el Mañana — Es el componente A: los objetivos que nos proponemos cumplir, con la capacidad de visualizar oportunidades en un futuro incierto.</w:t>
      </w:r>
    </w:p>
    <w:p>
      <w:pPr>
        <w:pStyle w:val="Normal"/>
      </w:pPr>
      <w:r>
        <w:t xml:space="preserve">b) El proceso: el poder hacer las cosas con lo que tengamos a mano — Es el componente D: planificar el camino y establecer un modelo de implementación y seguimiento con las herramientas disponibles.</w:t>
      </w:r>
    </w:p>
    <w:p>
      <w:pPr>
        <w:pStyle w:val="Normal"/>
      </w:pPr>
      <w:r>
        <w:t xml:space="preserve">c) Cómo sabremos que hemos llegado a ese futuro deseado — Correcta: es el componente B, el feedback, que en el diagrama se dibuja como un ciclo encima de los valores.</w:t>
      </w:r>
    </w:p>
    <w:p>
      <w:pPr>
        <w:pStyle w:val="Normal"/>
      </w:pPr>
      <w:r>
        <w:t xml:space="preserve">d) Dónde estamos: el Hoy — Es el componente C: conocer adecuadamente nuestra realidad, con sus fortalezas, oportunidades, debilidades y amenazas.</w:t>
      </w:r>
    </w:p>
    <w:p>
      <w:pPr>
        <w:pStyle w:val="Normal"/>
      </w:pPr>
      <w:r>
        <w:t xml:space="preserve">e) El medio ambiente: el entorno — Es el componente E: el entorno siempre cambiante, ambiguo y complejo, que exige análisis y ajustes permanentes.</w:t>
      </w:r>
    </w:p>
    <w:p>
      <w:pPr>
        <w:pStyle w:val="Normal"/>
      </w:pPr>
      <w:r>
        <w:t xml:space="preserve">Criterio de resolución: La lámina 38 de la presentación 4b reproduce el modelo de la lectura L-20, pág. 4: A, dónde queremos estar, el Mañana; B, cómo sabremos que hemos llegado a ese futuro deseado, el feedback; C, dónde estamos, el Hoy; D, el proceso de hacer las cosas con lo que tengamos a mano, y E, el entorno. El feedback mide los éxitos en el camino hacia los objetivos y, a su vez, refuerza el sistema de valores: es la realimentación del modelo.</w:t>
      </w:r>
    </w:p>
    <w:p>
      <w:pPr>
        <w:pStyle w:val="Normal"/>
      </w:pPr>
      <w:r>
        <w:t xml:space="preserve">Defensa: En la lámina 38 de la presentación 4b y en la lectura L-20, pág. 4, la frase del enunciado explica el componente B, «Cómo sabremos que hemos llegado a ese futuro deseado».</w:t>
      </w:r>
    </w:p>
    <w:p>
      <w:pPr>
        <w:pStyle w:val="Fuente"/>
      </w:pPr>
      <w:r>
        <w:t xml:space="preserve">Presentación 4b (C-4), lámina 38 · lectura L-20, pág. 4</w:t>
      </w:r>
    </w:p>
    <w:p>
      <w:pPr>
        <w:pStyle w:val="Heading3"/>
      </w:pPr>
      <w:bookmarkStart w:name="b_solucion_p3c_72_habilidad_proactivos" w:id="6770"/>
      <w:r>
        <w:t xml:space="preserve">Solución S3-91</w:t>
      </w:r>
      <w:bookmarkEnd w:id="6770"/>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c) Proactivos</w:t>
            </w:r>
          </w:p>
        </w:tc>
      </w:tr>
    </w:tbl>
    <w:p>
      <w:pPr>
        <w:pStyle w:val="Heading3"/>
      </w:pPr>
      <w:r>
        <w:t xml:space="preserve">Busque el verbo que define la habilidad</w:t>
      </w:r>
    </w:p>
    <w:p>
      <w:pPr>
        <w:pStyle w:val="Normal"/>
      </w:pPr>
      <w:r>
        <w:t xml:space="preserve">Toman la acción cuando enfrentan la incertidumbre: actuar en lugar de esperar es ser proactivo.</w:t>
      </w:r>
    </w:p>
    <w:p>
      <w:pPr>
        <w:pStyle w:val="Heading3"/>
      </w:pPr>
      <w:r>
        <w:t xml:space="preserve">No se deje llevar por «se adaptan»</w:t>
      </w:r>
    </w:p>
    <w:p>
      <w:pPr>
        <w:pStyle w:val="Normal"/>
      </w:pPr>
      <w:r>
        <w:t xml:space="preserve">La habilidad de los adaptables es otra: cada individuo y cada empresa tiene su propia velocidad para el cambio.</w:t>
      </w:r>
    </w:p>
    <w:p>
      <w:pPr>
        <w:pStyle w:val="Fuente"/>
      </w:pPr>
      <w:r>
        <w:t xml:space="preserve">Opciones descartadas: a).</w:t>
      </w:r>
    </w:p>
    <w:p>
      <w:pPr>
        <w:pStyle w:val="Heading3"/>
      </w:pPr>
      <w:r>
        <w:t xml:space="preserve">Compare con las demás descripciones</w:t>
      </w:r>
    </w:p>
    <w:p>
      <w:pPr>
        <w:pStyle w:val="Normal"/>
      </w:pPr>
      <w:r>
        <w:t xml:space="preserve">Los organizados manejan la ambigüedad con estructura, los flexibles usan con amplitud sus recursos y los concentrados se guían por una visión clara.</w:t>
      </w:r>
    </w:p>
    <w:p>
      <w:pPr>
        <w:pStyle w:val="Fuente"/>
      </w:pPr>
      <w:r>
        <w:t xml:space="preserve">Opciones descartadas: b), d), e).</w:t>
      </w:r>
    </w:p>
    <w:p>
      <w:pPr>
        <w:pStyle w:val="Normal"/>
      </w:pPr>
      <w:r>
        <w:t xml:space="preserve">a) Adaptables — Aunque la descripción dice «se adaptan», los adaptables son los que aceptan que el desarrollo de la resiliencia no es uniforme ni lineal y que cada uno tiene su propia velocidad para el cambio.</w:t>
      </w:r>
    </w:p>
    <w:p>
      <w:pPr>
        <w:pStyle w:val="Normal"/>
      </w:pPr>
      <w:r>
        <w:t xml:space="preserve">b) Organizados — Los organizados usan un enfoque estructurado para manejar la ambigüedad y coordinar la implementación de sus estrategias.</w:t>
      </w:r>
    </w:p>
    <w:p>
      <w:pPr>
        <w:pStyle w:val="Normal"/>
      </w:pPr>
      <w:r>
        <w:t xml:space="preserve">c) Proactivos — Correcta: es la descripción de los proactivos en la lámina 39 y en la lectura L-20, pág. 5.</w:t>
      </w:r>
    </w:p>
    <w:p>
      <w:pPr>
        <w:pStyle w:val="Normal"/>
      </w:pPr>
      <w:r>
        <w:t xml:space="preserve">d) Flexibles — Los flexibles actúan con un amplio margen en el uso de los recursos internos y externos y desarrollan su creatividad.</w:t>
      </w:r>
    </w:p>
    <w:p>
      <w:pPr>
        <w:pStyle w:val="Normal"/>
      </w:pPr>
      <w:r>
        <w:t xml:space="preserve">e) Concentrados — Los concentrados tienen una visión clara de lo que quieren alcanzar y la usan como su estrella personal.</w:t>
      </w:r>
    </w:p>
    <w:p>
      <w:pPr>
        <w:pStyle w:val="Normal"/>
      </w:pPr>
      <w:r>
        <w:t xml:space="preserve">Criterio de resolución: La lámina 39 de la presentación 4b enumera las seis habilidades que requiere la resiliencia, tanto en las personas como en las empresas: positivos, concentrados, flexibles, organizados, proactivos y adaptables. La de los proactivos es tomar la acción ante la incertidumbre, medir los riesgos y ajustarse en vez de buscar el confort. La trampa es el verbo «se adaptan»: la habilidad de los adaptables habla de la velocidad propia de cada uno para el cambio.</w:t>
      </w:r>
    </w:p>
    <w:p>
      <w:pPr>
        <w:pStyle w:val="Normal"/>
      </w:pPr>
      <w:r>
        <w:t xml:space="preserve">Defensa: La lámina 39 de la presentación 4b y la lectura L-20, pág. 5, ponen esa descripción bajo «Proactivos».</w:t>
      </w:r>
    </w:p>
    <w:p>
      <w:pPr>
        <w:pStyle w:val="Fuente"/>
      </w:pPr>
      <w:r>
        <w:t xml:space="preserve">Presentación 4b (C-4), lámina 39 · lectura L-20, págs. 4 y 5</w:t>
      </w:r>
    </w:p>
    <w:p>
      <w:pPr>
        <w:pStyle w:val="Heading3"/>
      </w:pPr>
      <w:bookmarkStart w:name="b_solucion_p3c_73_racionalizacion" w:id="6771"/>
      <w:r>
        <w:t xml:space="preserve">Solución S3-92</w:t>
      </w:r>
      <w:bookmarkEnd w:id="6771"/>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c) Racionalización</w:t>
            </w:r>
          </w:p>
        </w:tc>
      </w:tr>
    </w:tbl>
    <w:p>
      <w:pPr>
        <w:pStyle w:val="Heading3"/>
      </w:pPr>
      <w:r>
        <w:t xml:space="preserve">Ordene la montaña rusa</w:t>
      </w:r>
    </w:p>
    <w:p>
      <w:pPr>
        <w:pStyle w:val="Normal"/>
      </w:pPr>
      <w:r>
        <w:t xml:space="preserve">Shock, parálisis, negación, ira, depresión, racionalización y aceptación y compromiso.</w:t>
      </w:r>
    </w:p>
    <w:p>
      <w:pPr>
        <w:pStyle w:val="Heading3"/>
      </w:pPr>
      <w:r>
        <w:t xml:space="preserve">Distinga las dos etapas que se alejan de la realidad</w:t>
      </w:r>
    </w:p>
    <w:p>
      <w:pPr>
        <w:pStyle w:val="Normal"/>
      </w:pPr>
      <w:r>
        <w:t xml:space="preserve">La negación rechaza la situación como si no fuera parte de mi realidad; en la racionalización ya no somos víctimas, pero tampoco parte de la realidad. La lectura llama peligrosa a la segunda: por ella se puede terminar en un cuasi-autismo.</w:t>
      </w:r>
    </w:p>
    <w:p>
      <w:pPr>
        <w:pStyle w:val="Fuente"/>
      </w:pPr>
      <w:r>
        <w:t xml:space="preserve">Opciones descartadas: a).</w:t>
      </w:r>
    </w:p>
    <w:p>
      <w:pPr>
        <w:pStyle w:val="Heading3"/>
      </w:pPr>
      <w:r>
        <w:t xml:space="preserve">Descarte los valles y la reacción inicial</w:t>
      </w:r>
    </w:p>
    <w:p>
      <w:pPr>
        <w:pStyle w:val="Normal"/>
      </w:pPr>
      <w:r>
        <w:t xml:space="preserve">La parálisis y la depresión son los dos valles pasivos de la gráfica; la ira es la reacción al aceptar que la situación existe.</w:t>
      </w:r>
    </w:p>
    <w:p>
      <w:pPr>
        <w:pStyle w:val="Fuente"/>
      </w:pPr>
      <w:r>
        <w:t xml:space="preserve">Opciones descartadas: b), d), e).</w:t>
      </w:r>
    </w:p>
    <w:p>
      <w:pPr>
        <w:pStyle w:val="Normal"/>
      </w:pPr>
      <w:r>
        <w:t xml:space="preserve">a) Negación — En la negación no se admite la situación actual, «se la niega como si no fuera parte de mi realidad»; es una etapa temprana, cuando la resiliencia no se ha desarrollado.</w:t>
      </w:r>
    </w:p>
    <w:p>
      <w:pPr>
        <w:pStyle w:val="Normal"/>
      </w:pPr>
      <w:r>
        <w:t xml:space="preserve">b) Depresión — Es el segundo valle de la gráfica, del lado pasivo, después del sentimiento de víctima; la lectura no la llama peligrosa.</w:t>
      </w:r>
    </w:p>
    <w:p>
      <w:pPr>
        <w:pStyle w:val="Normal"/>
      </w:pPr>
      <w:r>
        <w:t xml:space="preserve">c) Racionalización — Correcta: la lectura dice que a través de la racionalización podemos terminar en un cuasi-autismo que nos aleje de la realidad.</w:t>
      </w:r>
    </w:p>
    <w:p>
      <w:pPr>
        <w:pStyle w:val="Normal"/>
      </w:pPr>
      <w:r>
        <w:t xml:space="preserve">d) Parálisis — Es el resultado inmediato del shock: el primer valle de la gráfica.</w:t>
      </w:r>
    </w:p>
    <w:p>
      <w:pPr>
        <w:pStyle w:val="Normal"/>
      </w:pPr>
      <w:r>
        <w:t xml:space="preserve">e) Ira — Es el efecto inicial de aceptar que la situación existe, el primer paso de afirmación positiva, seguido de un sentimiento de víctima.</w:t>
      </w:r>
    </w:p>
    <w:p>
      <w:pPr>
        <w:pStyle w:val="Normal"/>
      </w:pPr>
      <w:r>
        <w:t xml:space="preserve">Criterio de resolución: La montaña rusa del cambio de la lámina 40 de la presentación 4b y de la lectura L-20 va del shock y la parálisis a la negación, la ira, la depresión, la racionalización y, por fin, la aceptación y compromiso. En la racionalización «no somos víctimas pero tampoco somos parte de la realidad», ni buscamos nuevos objetivos. La lectura añade que es «una de la etapas más peligrosas», porque puede alejarnos de la realidad; sólo un coaching adecuado y un modelo de feedback evitan el retroceso a la etapa anterior.</w:t>
      </w:r>
    </w:p>
    <w:p>
      <w:pPr>
        <w:pStyle w:val="Normal"/>
      </w:pPr>
      <w:r>
        <w:t xml:space="preserve">Defensa: La lectura L-20, pág. 6, lo dice junto a la gráfica: «Ésta es una de la etapas más peligrosas pues, a través de la racionalización, podemos terminar en un cuasi-autismo que nos aleje de la realidad».</w:t>
      </w:r>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9C620A" w:sz="20"/>
              <w:bottom w:val="nil"/>
              <w:right w:val="nil"/>
            </w:tcBorders>
            <w:shd w:fill="FBF3DF" w:val="clear"/>
            <w:tcMar>
              <w:top w:type="dxa" w:w="130"/>
              <w:left w:type="dxa" w:w="180"/>
              <w:bottom w:type="dxa" w:w="130"/>
              <w:right w:type="dxa" w:w="180"/>
            </w:tcMar>
          </w:tcPr>
          <w:p>
            <w:pPr>
              <w:pStyle w:val="RecuadroTitulo"/>
            </w:pPr>
            <w:r>
              <w:rPr>
                <w:b/>
                <w:bCs/>
                <w:color w:val="9C620A"/>
              </w:rPr>
              <w:t xml:space="preserve">Advertencia y límites</w:t>
            </w:r>
          </w:p>
          <w:p>
            <w:pPr>
              <w:pStyle w:val="Recuadro"/>
            </w:pPr>
            <w:r>
              <w:t xml:space="preserve">La frase de la etapa más peligrosa está en la lectura L-20, no en la lámina 40, que transcribe el resto de la descripción. «De la etapas» es la grafía de la lectura.</w:t>
            </w:r>
          </w:p>
        </w:tc>
      </w:tr>
    </w:tbl>
    <w:p>
      <w:pPr>
        <w:pStyle w:val="Fuente"/>
      </w:pPr>
      <w:r>
        <w:t xml:space="preserve">Presentación 4b (C-4), lámina 40 · lectura L-20, págs. 5 y 6</w:t>
      </w:r>
    </w:p>
    <w:p>
      <w:pPr>
        <w:pStyle w:val="Heading3"/>
      </w:pPr>
      <w:bookmarkStart w:name="b_solucion_p3c_79_cobertura" w:id="6772"/>
      <w:r>
        <w:t xml:space="preserve">Solución S3-93</w:t>
      </w:r>
      <w:bookmarkEnd w:id="6772"/>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b) Presentar el proceso, diagnosticar, revisar valores, definir objetivos, asignar roles y diseñar seguimiento.</w:t>
            </w:r>
          </w:p>
        </w:tc>
      </w:tr>
    </w:tbl>
    <w:p>
      <w:pPr>
        <w:pStyle w:val="Heading3"/>
      </w:pPr>
      <w:r>
        <w:t xml:space="preserve">Identificar el mecanismo</w:t>
      </w:r>
    </w:p>
    <w:p>
      <w:pPr>
        <w:pStyle w:val="Normal"/>
      </w:pPr>
      <w:r>
        <w:t xml:space="preserve">La lectura distingue seis pasos de diseño: proceso y participantes, diagnóstico, valores, objetivos, responsabilidades e implementación/seguimiento. No basta una acción motivacional aislada.</w:t>
      </w:r>
    </w:p>
    <w:p>
      <w:pPr>
        <w:pStyle w:val="Heading3"/>
      </w:pPr>
      <w:r>
        <w:t xml:space="preserve">Comprobar las alternativas</w:t>
      </w:r>
    </w:p>
    <w:p>
      <w:pPr>
        <w:pStyle w:val="Normal"/>
      </w:pPr>
      <w:r>
        <w:t xml:space="preserve">Una charla no define la estructura necesaria de diseño y evaluación. Evaluar avances requiere objetivos y referencias. El feedback es parte del diseño y del seguimiento.</w:t>
      </w:r>
    </w:p>
    <w:p>
      <w:pPr>
        <w:pStyle w:val="Normal"/>
      </w:pPr>
      <w:r>
        <w:t xml:space="preserve">a) Eliminar el feedback para evitar cambios de rumbo. — El feedback es parte del diseño y del seguimiento.</w:t>
      </w:r>
    </w:p>
    <w:p>
      <w:pPr>
        <w:pStyle w:val="Normal"/>
      </w:pPr>
      <w:r>
        <w:t xml:space="preserve">b) Presentar el proceso, diagnosticar, revisar valores, definir objetivos, asignar roles y diseñar seguimiento. — La lectura distingue seis pasos de diseño: proceso y participantes, diagnóstico, valores, objetivos, responsabilidades e implementación/seguimiento. No basta una acción motivacional aislada.</w:t>
      </w:r>
    </w:p>
    <w:p>
      <w:pPr>
        <w:pStyle w:val="Normal"/>
      </w:pPr>
      <w:r>
        <w:t xml:space="preserve">c) Dar una charla y esperar que cada persona improvise. — Una charla no define la estructura necesaria de diseño y evaluación.</w:t>
      </w:r>
    </w:p>
    <w:p>
      <w:pPr>
        <w:pStyle w:val="Normal"/>
      </w:pPr>
      <w:r>
        <w:t xml:space="preserve">d) Medir resultados sin establecer objetivos. — Evaluar avances requiere objetivos y referencias.</w:t>
      </w:r>
    </w:p>
    <w:p>
      <w:pPr>
        <w:pStyle w:val="Normal"/>
      </w:pPr>
      <w:r>
        <w:t xml:space="preserve">Criterio de resolución: La lectura distingue seis pasos de diseño: proceso y participantes, diagnóstico, valores, objetivos, responsabilidades e implementación/seguimiento. No basta una acción motivacional aislada.</w:t>
      </w:r>
    </w:p>
    <w:p>
      <w:pPr>
        <w:pStyle w:val="Normal"/>
      </w:pPr>
      <w:r>
        <w:t xml:space="preserve">Defensa: La lectura distingue seis pasos de diseño: proceso y participantes, diagnóstico, valores, objetivos, responsabilidades e implementación/seguimiento. No basta una acción motivacional aislada.</w:t>
      </w:r>
    </w:p>
    <w:p>
      <w:pPr>
        <w:pStyle w:val="Fuente"/>
      </w:pPr>
      <w:r>
        <w:t xml:space="preserve">lectura L-20, p. 7</w:t>
      </w:r>
    </w:p>
    <w:p>
      <w:pPr>
        <w:pStyle w:val="Heading3"/>
      </w:pPr>
      <w:bookmarkStart w:name="b_solucion_p3c_80_cobertura" w:id="6773"/>
      <w:r>
        <w:t xml:space="preserve">Solución S3-94</w:t>
      </w:r>
      <w:bookmarkEnd w:id="6773"/>
    </w:p>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Clave razonada</w:t>
            </w:r>
          </w:p>
          <w:p>
            <w:pPr>
              <w:pStyle w:val="Recuadro"/>
            </w:pPr>
            <w:r>
              <w:t xml:space="preserve">c) Desarrollar habilidades, obtener feedback, analizar alternativas y entorno, acompañar ajustes y mantener seguimiento.</w:t>
            </w:r>
          </w:p>
        </w:tc>
      </w:tr>
    </w:tbl>
    <w:p>
      <w:pPr>
        <w:pStyle w:val="Heading3"/>
      </w:pPr>
      <w:r>
        <w:t xml:space="preserve">Identificar el mecanismo</w:t>
      </w:r>
    </w:p>
    <w:p>
      <w:pPr>
        <w:pStyle w:val="Normal"/>
      </w:pPr>
      <w:r>
        <w:t xml:space="preserve">Los cinco pasos de implementación conectan habilidades, evaluación, alternativas y acompañamiento. La adaptación se revisa con evidencia y las trayectorias de cambio pueden variar.</w:t>
      </w:r>
    </w:p>
    <w:p>
      <w:pPr>
        <w:pStyle w:val="Heading3"/>
      </w:pPr>
      <w:r>
        <w:t xml:space="preserve">Comprobar las alternativas</w:t>
      </w:r>
    </w:p>
    <w:p>
      <w:pPr>
        <w:pStyle w:val="Normal"/>
      </w:pPr>
      <w:r>
        <w:t xml:space="preserve">El seguimiento exige revisar resultados y ajustar cuando corresponda. Completar actividades no prueba alcanzar los objetivos. El material reconoce distintas velocidades y formas de adaptación.</w:t>
      </w:r>
    </w:p>
    <w:p>
      <w:pPr>
        <w:pStyle w:val="Normal"/>
      </w:pPr>
      <w:r>
        <w:t xml:space="preserve">a) Evaluar solamente actividades realizadas, sin resultados. — Completar actividades no prueba alcanzar los objetivos.</w:t>
      </w:r>
    </w:p>
    <w:p>
      <w:pPr>
        <w:pStyle w:val="Normal"/>
      </w:pPr>
      <w:r>
        <w:t xml:space="preserve">b) Suponer que todas las personas atraviesan las mismas etapas a igual velocidad. — El material reconoce distintas velocidades y formas de adaptación.</w:t>
      </w:r>
    </w:p>
    <w:p>
      <w:pPr>
        <w:pStyle w:val="Normal"/>
      </w:pPr>
      <w:r>
        <w:t xml:space="preserve">c) Desarrollar habilidades, obtener feedback, analizar alternativas y entorno, acompañar ajustes y mantener seguimiento. — Los cinco pasos de implementación conectan habilidades, evaluación, alternativas y acompañamiento. La adaptación se revisa con evidencia y las trayectorias de cambio pueden variar.</w:t>
      </w:r>
    </w:p>
    <w:p>
      <w:pPr>
        <w:pStyle w:val="Normal"/>
      </w:pPr>
      <w:r>
        <w:t xml:space="preserve">d) Congelar el plan después del diagnóstico. — El seguimiento exige revisar resultados y ajustar cuando corresponda.</w:t>
      </w:r>
    </w:p>
    <w:p>
      <w:pPr>
        <w:pStyle w:val="Normal"/>
      </w:pPr>
      <w:r>
        <w:t xml:space="preserve">Criterio de resolución: Los cinco pasos de implementación conectan habilidades, evaluación, alternativas y acompañamiento. La adaptación se revisa con evidencia y las trayectorias de cambio pueden variar.</w:t>
      </w:r>
    </w:p>
    <w:p>
      <w:pPr>
        <w:pStyle w:val="Normal"/>
      </w:pPr>
      <w:r>
        <w:t xml:space="preserve">Defensa: Los cinco pasos de implementación conectan habilidades, evaluación, alternativas y acompañamiento. La adaptación se revisa con evidencia y las trayectorias de cambio pueden variar.</w:t>
      </w:r>
    </w:p>
    <w:p>
      <w:pPr>
        <w:pStyle w:val="Fuente"/>
        <w:sectPr>
          <w:headerReference w:type="default" r:id="rId330"/>
          <w:headerReference w:type="first" r:id="rId331"/>
          <w:headerReference w:type="even" r:id="rId332"/>
          <w:footerReference w:type="default" r:id="rId333"/>
          <w:footerReference w:type="first" r:id="rId334"/>
          <w:footerReference w:type="even" r:id="rId335"/>
          <w:type w:val="nextPage"/>
          <w:pgSz w:w="12240" w:h="15840" w:orient="portrait"/>
          <w:pgMar w:top="1361" w:right="1134" w:bottom="1361" w:left="1474" w:header="650" w:footer="680" w:gutter="0"/>
          <w:pgNumType/>
          <w:titlePg/>
          <w:docGrid w:linePitch="360"/>
        </w:sectPr>
      </w:pPr>
      <w:r>
        <w:t xml:space="preserve">lectura L-20, p. 7</w:t>
      </w:r>
    </w:p>
    <w:p>
      <w:pPr>
        <w:pStyle w:val="Heading1"/>
      </w:pPr>
      <w:bookmarkStart w:name="b_apendices" w:id="6774"/>
      <w:r>
        <w:t xml:space="preserve">Apéndices</w:t>
      </w:r>
      <w:bookmarkEnd w:id="6774"/>
    </w:p>
    <w:p>
      <w:pPr>
        <w:pStyle w:val="Normal"/>
        <w:sectPr>
          <w:headerReference w:type="default" r:id="rId336"/>
          <w:headerReference w:type="first" r:id="rId337"/>
          <w:headerReference w:type="even" r:id="rId338"/>
          <w:footerReference w:type="default" r:id="rId339"/>
          <w:footerReference w:type="first" r:id="rId340"/>
          <w:footerReference w:type="even" r:id="rId341"/>
          <w:type w:val="nextPage"/>
          <w:pgSz w:w="12240" w:h="15840" w:orient="portrait"/>
          <w:pgMar w:top="1361" w:right="1134" w:bottom="1361" w:left="1474" w:header="650" w:footer="680" w:gutter="0"/>
          <w:pgNumType/>
          <w:titlePg/>
          <w:docGrid w:linePitch="360"/>
        </w:sectPr>
      </w:pPr>
      <w:r>
        <w:t xml:space="preserve">Referencias para comprobar énfasis de clase, reproducir modelos y localizar el contenido del libro.</w:t>
      </w:r>
    </w:p>
    <w:p>
      <w:pPr>
        <w:pStyle w:val="Heading2"/>
      </w:pPr>
      <w:bookmarkStart w:name="b_senales_examen" w:id="6775"/>
      <w:r>
        <w:t xml:space="preserve">A · Señales de examen</w:t>
      </w:r>
      <w:bookmarkEnd w:id="6775"/>
    </w:p>
    <w:p>
      <w:pPr>
        <w:pStyle w:val="Normal"/>
      </w:pPr>
      <w:r>
        <w:t xml:space="preserve">Orden cronológico. Se conserva el contexto de parcial, corto, práctica o reposición; ninguna señal se convierte en una regla nueva del final.</w:t>
      </w:r>
    </w:p>
    <w:p>
      <w:pPr>
        <w:pStyle w:val="Heading3"/>
      </w:pPr>
      <w:bookmarkStart w:name="b_senal_c1_cap_05_1" w:id="6776"/>
      <w:r>
        <w:t xml:space="preserve">Clase 1 · 00:47:50</w:t>
      </w:r>
      <w:bookmarkEnd w:id="6776"/>
    </w:p>
    <w:p>
      <w:pPr>
        <w:pStyle w:val="Normal"/>
      </w:pPr>
      <w:r>
        <w:t xml:space="preserve">El primer parcial se anuncia expresamente con las Unidades 1 y 2; es evidencia histórica de ese parcial, sin extrapolar al formato del final.</w:t>
      </w:r>
    </w:p>
    <w:p>
      <w:pPr>
        <w:pStyle w:val="Fuente"/>
      </w:pPr>
      <w:r>
        <w:t xml:space="preserve">Ancla breve de comprobación: «Esa primera evaluación parcial del curso cubrirá tanto la unidad uno».</w:t>
      </w:r>
    </w:p>
    <w:p>
      <w:pPr>
        <w:pStyle w:val="Heading3"/>
      </w:pPr>
      <w:bookmarkStart w:name="b_senal_c1_cap_10_1" w:id="6777"/>
      <w:r>
        <w:t xml:space="preserve">Clase 1 · 01:34:45</w:t>
      </w:r>
      <w:bookmarkEnd w:id="6777"/>
    </w:p>
    <w:p>
      <w:pPr>
        <w:pStyle w:val="Normal"/>
      </w:pPr>
      <w:r>
        <w:t xml:space="preserve">Anuncia una comprobación de lectura sobre paradigmas y tipos de pensamiento para la siguiente clase.</w:t>
      </w:r>
    </w:p>
    <w:p>
      <w:pPr>
        <w:pStyle w:val="Fuente"/>
      </w:pPr>
      <w:r>
        <w:t xml:space="preserve">Ancla breve de comprobación: «les voy a hacer ahí una comprobación de».</w:t>
      </w:r>
    </w:p>
    <w:p>
      <w:pPr>
        <w:pStyle w:val="Heading3"/>
      </w:pPr>
      <w:bookmarkStart w:name="b_senal_c2_cap_02_1" w:id="6778"/>
      <w:r>
        <w:t xml:space="preserve">Clase 2 · 00:14:18</w:t>
      </w:r>
      <w:bookmarkEnd w:id="6778"/>
    </w:p>
    <w:p>
      <w:pPr>
        <w:pStyle w:val="Normal"/>
      </w:pPr>
      <w:r>
        <w:t xml:space="preserve">El profesor señala como énfasis del curso los tres tipos que la lámina numera10,11 y12: sistémico, metacognitivo y crítico.</w:t>
      </w:r>
    </w:p>
    <w:p>
      <w:pPr>
        <w:pStyle w:val="Fuente"/>
      </w:pPr>
      <w:r>
        <w:t xml:space="preserve">Ancla breve de comprobación: «en alguna momento este el pensamiento que titulaba».</w:t>
      </w:r>
    </w:p>
    <w:p>
      <w:pPr>
        <w:pStyle w:val="Heading3"/>
      </w:pPr>
      <w:bookmarkStart w:name="b_senal_c3_cap_06_1" w:id="6779"/>
      <w:r>
        <w:t xml:space="preserve">Clase 3 · 01:08:38</w:t>
      </w:r>
      <w:bookmarkEnd w:id="6779"/>
    </w:p>
    <w:p>
      <w:pPr>
        <w:pStyle w:val="Normal"/>
      </w:pPr>
      <w:r>
        <w:t xml:space="preserve">Enfatiza estudiar la escalera y las cuatro operaciones para reconocer percepciones incompletas y ponerlas a prueba.</w:t>
      </w:r>
    </w:p>
    <w:p>
      <w:pPr>
        <w:pStyle w:val="Fuente"/>
      </w:pPr>
      <w:r>
        <w:t xml:space="preserve">Ancla breve de comprobación: «estudiar la escalera de inferiencias es muy importante».</w:t>
      </w:r>
    </w:p>
    <w:p>
      <w:pPr>
        <w:pStyle w:val="Heading3"/>
      </w:pPr>
      <w:bookmarkStart w:name="b_senal_c3_cap_10_1" w:id="6780"/>
      <w:r>
        <w:t xml:space="preserve">Clase 3 · 01:37:18</w:t>
      </w:r>
      <w:bookmarkEnd w:id="6780"/>
    </w:p>
    <w:p>
      <w:pPr>
        <w:pStyle w:val="Normal"/>
      </w:pPr>
      <w:r>
        <w:t xml:space="preserve">Insiste en releer y ver el video para comprender la escalera y la validación de supuestos.</w:t>
      </w:r>
    </w:p>
    <w:p>
      <w:pPr>
        <w:pStyle w:val="Fuente"/>
      </w:pPr>
      <w:r>
        <w:t xml:space="preserve">Ancla breve de comprobación: «Por eso les invito a que lean, vean el vídeo nuevamente».</w:t>
      </w:r>
    </w:p>
    <w:p>
      <w:pPr>
        <w:pStyle w:val="Heading3"/>
      </w:pPr>
      <w:bookmarkStart w:name="b_senal_c4_cap_03_1" w:id="6781"/>
      <w:r>
        <w:t xml:space="preserve">Clase 4 · 00:23:52</w:t>
      </w:r>
      <w:bookmarkEnd w:id="6781"/>
    </w:p>
    <w:p>
      <w:pPr>
        <w:pStyle w:val="Normal"/>
      </w:pPr>
      <w:r>
        <w:t xml:space="preserve">Énfasis de estudio: el tiempo es indispensable para reconocer tendencias; no es anuncio de pregunta específica.</w:t>
      </w:r>
    </w:p>
    <w:p>
      <w:pPr>
        <w:pStyle w:val="Fuente"/>
      </w:pPr>
      <w:r>
        <w:t xml:space="preserve">Ancla breve de comprobación: «el tiempo es muy importante».</w:t>
      </w:r>
    </w:p>
    <w:p>
      <w:pPr>
        <w:pStyle w:val="Heading3"/>
      </w:pPr>
      <w:bookmarkStart w:name="b_senal_c4_cap_05_1" w:id="6782"/>
      <w:r>
        <w:t xml:space="preserve">Clase 4 · 00:42:06</w:t>
      </w:r>
      <w:bookmarkEnd w:id="6782"/>
    </w:p>
    <w:p>
      <w:pPr>
        <w:pStyle w:val="Normal"/>
      </w:pPr>
      <w:r>
        <w:t xml:space="preserve">Énfasis de estudio: hacer consciente el nivel de modelos mentales es especialmente importante y difícil.</w:t>
      </w:r>
    </w:p>
    <w:p>
      <w:pPr>
        <w:pStyle w:val="Fuente"/>
      </w:pPr>
      <w:r>
        <w:t xml:space="preserve">Ancla breve de comprobación: «el más importante de tener».</w:t>
      </w:r>
    </w:p>
    <w:p>
      <w:pPr>
        <w:pStyle w:val="Heading3"/>
      </w:pPr>
      <w:bookmarkStart w:name="b_senal_c4_cap_06_1" w:id="6783"/>
      <w:r>
        <w:t xml:space="preserve">Clase 4 · 00:54:43</w:t>
      </w:r>
      <w:bookmarkEnd w:id="6783"/>
    </w:p>
    <w:p>
      <w:pPr>
        <w:pStyle w:val="Normal"/>
      </w:pPr>
      <w:r>
        <w:t xml:space="preserve">Énfasis inmediato: comprender cómo los modelos mentales afectan presente y futuro y unir ese hábito a la escalera.</w:t>
      </w:r>
    </w:p>
    <w:p>
      <w:pPr>
        <w:pStyle w:val="Fuente"/>
      </w:pPr>
      <w:r>
        <w:t xml:space="preserve">Ancla breve de comprobación: «De momento es suficiente con que ustedes comprendan».</w:t>
      </w:r>
    </w:p>
    <w:p>
      <w:pPr>
        <w:pStyle w:val="Heading3"/>
      </w:pPr>
      <w:bookmarkStart w:name="b_senal_c4_cap_08_1" w:id="6784"/>
      <w:r>
        <w:t xml:space="preserve">Clase 4 · 01:17:16</w:t>
      </w:r>
      <w:bookmarkEnd w:id="6784"/>
    </w:p>
    <w:p>
      <w:pPr>
        <w:pStyle w:val="Normal"/>
      </w:pPr>
      <w:r>
        <w:t xml:space="preserve">Énfasis de estudio: reconocer por qué los sistemas abstractos adquiridos inconscientemente resultan complejos.</w:t>
      </w:r>
    </w:p>
    <w:p>
      <w:pPr>
        <w:pStyle w:val="Fuente"/>
      </w:pPr>
      <w:r>
        <w:t xml:space="preserve">Ancla breve de comprobación: «es importante eh reconocer por qué surge esta complejidad».</w:t>
      </w:r>
    </w:p>
    <w:p>
      <w:pPr>
        <w:pStyle w:val="Heading3"/>
      </w:pPr>
      <w:bookmarkStart w:name="b_senal_c4_cap_10_1" w:id="6785"/>
      <w:r>
        <w:t xml:space="preserve">Clase 4 · 01:38:29</w:t>
      </w:r>
      <w:bookmarkEnd w:id="6785"/>
    </w:p>
    <w:p>
      <w:pPr>
        <w:pStyle w:val="Normal"/>
      </w:pPr>
      <w:r>
        <w:t xml:space="preserve">Orientación de estudio: las láminas y la clase sintetizan; se pide profundizar lecturas y videos y llevar dudas.</w:t>
      </w:r>
    </w:p>
    <w:p>
      <w:pPr>
        <w:pStyle w:val="Fuente"/>
      </w:pPr>
      <w:r>
        <w:t xml:space="preserve">Ancla breve de comprobación: «sigan profundizando las lecturas y los materiales».</w:t>
      </w:r>
    </w:p>
    <w:p>
      <w:pPr>
        <w:pStyle w:val="Heading3"/>
      </w:pPr>
      <w:bookmarkStart w:name="b_senal_c5_cap_02_1" w:id="6786"/>
      <w:r>
        <w:t xml:space="preserve">Clase 5 · 00:09:25</w:t>
      </w:r>
      <w:bookmarkEnd w:id="6786"/>
    </w:p>
    <w:p>
      <w:pPr>
        <w:pStyle w:val="Normal"/>
      </w:pPr>
      <w:r>
        <w:t xml:space="preserve">Énfasis de estudio: descubrir los supuestos de otras interpretaciones y contrastar su validez.</w:t>
      </w:r>
    </w:p>
    <w:p>
      <w:pPr>
        <w:pStyle w:val="Fuente"/>
      </w:pPr>
      <w:r>
        <w:t xml:space="preserve">Ancla breve de comprobación: «lo más importante es que al poder percibir esas interpretaciones».</w:t>
      </w:r>
    </w:p>
    <w:p>
      <w:pPr>
        <w:pStyle w:val="Heading3"/>
      </w:pPr>
      <w:bookmarkStart w:name="b_senal_c5_cap_05_1" w:id="6787"/>
      <w:r>
        <w:t xml:space="preserve">Clase 5 · 00:30:19</w:t>
      </w:r>
      <w:bookmarkEnd w:id="6787"/>
    </w:p>
    <w:p>
      <w:pPr>
        <w:pStyle w:val="Normal"/>
      </w:pPr>
      <w:r>
        <w:t xml:space="preserve">Énfasis de estudio: en actividad humana hay que identificar lo que piensan y creen las personas, además de la estructura.</w:t>
      </w:r>
    </w:p>
    <w:p>
      <w:pPr>
        <w:pStyle w:val="Fuente"/>
      </w:pPr>
      <w:r>
        <w:t xml:space="preserve">Ancla breve de comprobación: «importante también saber identificar».</w:t>
      </w:r>
    </w:p>
    <w:p>
      <w:pPr>
        <w:pStyle w:val="Heading3"/>
      </w:pPr>
      <w:bookmarkStart w:name="b_senal_c5_cap_06_1" w:id="6788"/>
      <w:r>
        <w:t xml:space="preserve">Clase 5 · 00:39:52</w:t>
      </w:r>
      <w:bookmarkEnd w:id="6788"/>
    </w:p>
    <w:p>
      <w:pPr>
        <w:pStyle w:val="Normal"/>
      </w:pPr>
      <w:r>
        <w:t xml:space="preserve">Énfasis de estudio: dialogar con quien piensa distinto puede aportar perspectivas e información nuevas.</w:t>
      </w:r>
    </w:p>
    <w:p>
      <w:pPr>
        <w:pStyle w:val="Fuente"/>
      </w:pPr>
      <w:r>
        <w:t xml:space="preserve">Ancla breve de comprobación: «es importante ese diálogo con esas otras personas que piensan».</w:t>
      </w:r>
    </w:p>
    <w:p>
      <w:pPr>
        <w:pStyle w:val="Heading3"/>
      </w:pPr>
      <w:bookmarkStart w:name="b_senal_c5_cap_10_1" w:id="6789"/>
      <w:r>
        <w:t xml:space="preserve">Clase 5 · 01:16:07</w:t>
      </w:r>
      <w:bookmarkEnd w:id="6789"/>
    </w:p>
    <w:p>
      <w:pPr>
        <w:pStyle w:val="Normal"/>
      </w:pPr>
      <w:r>
        <w:t xml:space="preserve">Recordatorio de estudio: reflexión, indagación y argumentación ayudan a construir modelos mentales sistémicos.</w:t>
      </w:r>
    </w:p>
    <w:p>
      <w:pPr>
        <w:pStyle w:val="Fuente"/>
      </w:pPr>
      <w:r>
        <w:t xml:space="preserve">Ancla breve de comprobación: «Recuerden las prácticas que hemos estado hablando aquí».</w:t>
      </w:r>
    </w:p>
    <w:p>
      <w:pPr>
        <w:pStyle w:val="Heading3"/>
      </w:pPr>
      <w:bookmarkStart w:name="b_senal_c5_cap_11_1" w:id="6790"/>
      <w:r>
        <w:t xml:space="preserve">Clase 5 · 01:25:25</w:t>
      </w:r>
      <w:bookmarkEnd w:id="6790"/>
    </w:p>
    <w:p>
      <w:pPr>
        <w:pStyle w:val="Normal"/>
      </w:pPr>
      <w:r>
        <w:t xml:space="preserve">Énfasis de estudio: identificar si existe un patrón antes de interpretar una queja como problema completo.</w:t>
      </w:r>
    </w:p>
    <w:p>
      <w:pPr>
        <w:pStyle w:val="Fuente"/>
      </w:pPr>
      <w:r>
        <w:t xml:space="preserve">Ancla breve de comprobación: «es importante identificar este patrón si existiera».</w:t>
      </w:r>
    </w:p>
    <w:p>
      <w:pPr>
        <w:pStyle w:val="Heading3"/>
      </w:pPr>
      <w:bookmarkStart w:name="b_senal_c5_cap_12_1" w:id="6791"/>
      <w:r>
        <w:t xml:space="preserve">Clase 5 · 01:34:25</w:t>
      </w:r>
      <w:bookmarkEnd w:id="6791"/>
    </w:p>
    <w:p>
      <w:pPr>
        <w:pStyle w:val="Normal"/>
      </w:pPr>
      <w:r>
        <w:t xml:space="preserve">Anuncio histórico del primer parcial: Unidades1–2 y fecha programada15 de agosto; no prueba el temario específico del final.</w:t>
      </w:r>
    </w:p>
    <w:p>
      <w:pPr>
        <w:pStyle w:val="Fuente"/>
      </w:pPr>
      <w:r>
        <w:t xml:space="preserve">Ancla breve de comprobación: «El parcial está».</w:t>
      </w:r>
    </w:p>
    <w:p>
      <w:pPr>
        <w:pStyle w:val="Heading3"/>
      </w:pPr>
      <w:bookmarkStart w:name="b_senal_c6_cap_02_1" w:id="6792"/>
      <w:r>
        <w:t xml:space="preserve">Clase 6 · 00:07:42</w:t>
      </w:r>
      <w:bookmarkEnd w:id="6792"/>
    </w:p>
    <w:p>
      <w:pPr>
        <w:pStyle w:val="Normal"/>
      </w:pPr>
      <w:r>
        <w:t xml:space="preserve">Anuncio del primer parcial del 15 de agosto, condicionado a la programación del feriado; es un aviso histórico del parcial.</w:t>
      </w:r>
    </w:p>
    <w:p>
      <w:pPr>
        <w:pStyle w:val="Fuente"/>
      </w:pPr>
      <w:r>
        <w:t xml:space="preserve">Ancla breve de comprobación: «el primer pasal del curso el sábado 15 de».</w:t>
      </w:r>
    </w:p>
    <w:p>
      <w:pPr>
        <w:pStyle w:val="Heading3"/>
      </w:pPr>
      <w:bookmarkStart w:name="b_senal_c6_cap_09_1" w:id="6793"/>
      <w:r>
        <w:t xml:space="preserve">Clase 6 · 00:55:01</w:t>
      </w:r>
      <w:bookmarkEnd w:id="6793"/>
    </w:p>
    <w:p>
      <w:pPr>
        <w:pStyle w:val="Normal"/>
      </w:pPr>
      <w:r>
        <w:t xml:space="preserve">Énfasis conceptual: incluir el tiempo para interpretar procesos operativos y evolutivos; una fotografía no basta para describir toda relación.</w:t>
      </w:r>
    </w:p>
    <w:p>
      <w:pPr>
        <w:pStyle w:val="Fuente"/>
      </w:pPr>
      <w:r>
        <w:t xml:space="preserve">Ancla breve de comprobación: «la variable tiempo es también importante».</w:t>
      </w:r>
    </w:p>
    <w:p>
      <w:pPr>
        <w:pStyle w:val="Heading3"/>
      </w:pPr>
      <w:bookmarkStart w:name="b_senal_c6_cap_12_1" w:id="6794"/>
      <w:r>
        <w:t xml:space="preserve">Clase 6 · 01:36:47</w:t>
      </w:r>
      <w:bookmarkEnd w:id="6794"/>
    </w:p>
    <w:p>
      <w:pPr>
        <w:pStyle w:val="Normal"/>
      </w:pPr>
      <w:r>
        <w:t xml:space="preserve">Énfasis conceptual explícito: las cuatro reglas son fundamentales para pensar sistémicamente.</w:t>
      </w:r>
    </w:p>
    <w:p>
      <w:pPr>
        <w:pStyle w:val="Fuente"/>
      </w:pPr>
      <w:r>
        <w:t xml:space="preserve">Ancla breve de comprobación: «Esas cuatro reglas son las fundamentales para pensar sistémicamente.».</w:t>
      </w:r>
    </w:p>
    <w:p>
      <w:pPr>
        <w:pStyle w:val="Heading3"/>
      </w:pPr>
      <w:bookmarkStart w:name="b_senal_c7_cap_04_1" w:id="6795"/>
      <w:r>
        <w:t xml:space="preserve">Clase 7 · 00:49:58</w:t>
      </w:r>
      <w:bookmarkEnd w:id="6795"/>
    </w:p>
    <w:p>
      <w:pPr>
        <w:pStyle w:val="Normal"/>
      </w:pPr>
      <w:r>
        <w:t xml:space="preserve">Énfasis del docente en la regla de sistemas como base importante de la modelación; no excluye las otras tres reglas.</w:t>
      </w:r>
    </w:p>
    <w:p>
      <w:pPr>
        <w:pStyle w:val="Fuente"/>
      </w:pPr>
      <w:r>
        <w:t xml:space="preserve">Ancla breve de comprobación: «Básicamente la regla básica principal más importante de pensamiento sistémico».</w:t>
      </w:r>
    </w:p>
    <w:p>
      <w:pPr>
        <w:pStyle w:val="Heading3"/>
      </w:pPr>
      <w:bookmarkStart w:name="b_senal_c7_cap_09_1" w:id="6796"/>
      <w:r>
        <w:t xml:space="preserve">Clase 7 · 01:39:52</w:t>
      </w:r>
      <w:bookmarkEnd w:id="6796"/>
    </w:p>
    <w:p>
      <w:pPr>
        <w:pStyle w:val="Normal"/>
      </w:pPr>
      <w:r>
        <w:t xml:space="preserve">Recomendación explícita de comenzar la modelación por las perspectivas ontológica, funcional y genética, sin excluir otras.</w:t>
      </w:r>
    </w:p>
    <w:p>
      <w:pPr>
        <w:pStyle w:val="Fuente"/>
      </w:pPr>
      <w:r>
        <w:t xml:space="preserve">Ancla breve de comprobación: «estas tres perspectivas son las básicas, aunque pueden haber más.».</w:t>
      </w:r>
    </w:p>
    <w:p>
      <w:pPr>
        <w:pStyle w:val="Heading3"/>
      </w:pPr>
      <w:bookmarkStart w:name="b_senal_c8_cap_04_1" w:id="6797"/>
      <w:r>
        <w:t xml:space="preserve">Clase 8 · 00:48:22</w:t>
      </w:r>
      <w:bookmarkEnd w:id="6797"/>
    </w:p>
    <w:p>
      <w:pPr>
        <w:pStyle w:val="Normal"/>
      </w:pPr>
      <w:r>
        <w:t xml:space="preserve">Se señala como importante el comparativo sistema/conglomerado y conocer la lógica relacional además de reunir piezas.</w:t>
      </w:r>
    </w:p>
    <w:p>
      <w:pPr>
        <w:pStyle w:val="Fuente"/>
      </w:pPr>
      <w:r>
        <w:t xml:space="preserve">Ancla breve de comprobación: «este comparativo que es importante».</w:t>
      </w:r>
    </w:p>
    <w:p>
      <w:pPr>
        <w:pStyle w:val="Heading3"/>
      </w:pPr>
      <w:bookmarkStart w:name="b_senal_c8_cap_07_1" w:id="6798"/>
      <w:r>
        <w:t xml:space="preserve">Clase 8 · 01:09:30</w:t>
      </w:r>
      <w:bookmarkEnd w:id="6798"/>
    </w:p>
    <w:p>
      <w:pPr>
        <w:pStyle w:val="Normal"/>
      </w:pPr>
      <w:r>
        <w:t xml:space="preserve">Pregunta de comprobación: explicar qué vuelve complejo un sistema usando ya la jerga sistémica de relaciones, estados y perspectivas.</w:t>
      </w:r>
    </w:p>
    <w:p>
      <w:pPr>
        <w:pStyle w:val="Fuente"/>
      </w:pPr>
      <w:r>
        <w:t xml:space="preserve">Ancla breve de comprobación: «qué hace que un sistema sea complejo».</w:t>
      </w:r>
    </w:p>
    <w:p>
      <w:pPr>
        <w:pStyle w:val="Heading3"/>
      </w:pPr>
      <w:bookmarkStart w:name="b_senal_c8_cap_11_1" w:id="6799"/>
      <w:r>
        <w:t xml:space="preserve">Clase 8 · 01:33:08</w:t>
      </w:r>
      <w:bookmarkEnd w:id="6799"/>
    </w:p>
    <w:p>
      <w:pPr>
        <w:pStyle w:val="Normal"/>
      </w:pPr>
      <w:r>
        <w:t xml:space="preserve">Alcance del primer parcial: conceptos TGS y todo lo visto de sistemas abstractos diseñados (U1–2); no es un anuncio del final.</w:t>
      </w:r>
    </w:p>
    <w:p>
      <w:pPr>
        <w:pStyle w:val="Fuente"/>
      </w:pPr>
      <w:r>
        <w:t xml:space="preserve">Ancla breve de comprobación: «examen parcial que cubrirá todos estos conceptos».</w:t>
      </w:r>
    </w:p>
    <w:p>
      <w:pPr>
        <w:pStyle w:val="Heading3"/>
      </w:pPr>
      <w:bookmarkStart w:name="b_senal_c8_cap_11_2" w:id="6800"/>
      <w:r>
        <w:t xml:space="preserve">Clase 8 · 01:33:43</w:t>
      </w:r>
      <w:bookmarkEnd w:id="6800"/>
    </w:p>
    <w:p>
      <w:pPr>
        <w:pStyle w:val="Normal"/>
      </w:pPr>
      <w:r>
        <w:t xml:space="preserve">Se anuncia otro corto con algunas preguntas que podrían servir de práctica del primer parcial.</w:t>
      </w:r>
    </w:p>
    <w:p>
      <w:pPr>
        <w:pStyle w:val="Fuente"/>
      </w:pPr>
      <w:r>
        <w:t xml:space="preserve">Ancla breve de comprobación: «preguntas que pueden ser como las del examen».</w:t>
      </w:r>
    </w:p>
    <w:p>
      <w:pPr>
        <w:pStyle w:val="Heading3"/>
      </w:pPr>
      <w:bookmarkStart w:name="b_senal_c9_cap_03_1" w:id="6801"/>
      <w:r>
        <w:t xml:space="preserve">Clase 9 · 00:15:51</w:t>
      </w:r>
      <w:bookmarkEnd w:id="6801"/>
    </w:p>
    <w:p>
      <w:pPr>
        <w:pStyle w:val="Normal"/>
      </w:pPr>
      <w:r>
        <w:t xml:space="preserve">Énfasis previo al video: manejar los conceptos y saber qué expresa la jerga de la teoría de sistemas.</w:t>
      </w:r>
    </w:p>
    <w:p>
      <w:pPr>
        <w:pStyle w:val="Fuente"/>
      </w:pPr>
      <w:r>
        <w:t xml:space="preserve">Ancla breve de comprobación: «lo importante es que ustedes manejen los conceptos».</w:t>
      </w:r>
    </w:p>
    <w:p>
      <w:pPr>
        <w:pStyle w:val="Heading3"/>
      </w:pPr>
      <w:bookmarkStart w:name="b_senal_c9_cap_10_1" w:id="6802"/>
      <w:r>
        <w:t xml:space="preserve">Clase 9 · 01:30:49</w:t>
      </w:r>
      <w:bookmarkEnd w:id="6802"/>
    </w:p>
    <w:p>
      <w:pPr>
        <w:pStyle w:val="Normal"/>
      </w:pPr>
      <w:r>
        <w:t xml:space="preserve">U3 se adelantará el jueves 20, pero no se evalúa en el primer parcial del 22; esta exclusión no define el final.</w:t>
      </w:r>
    </w:p>
    <w:p>
      <w:pPr>
        <w:pStyle w:val="Fuente"/>
      </w:pPr>
      <w:r>
        <w:t xml:space="preserve">Ancla breve de comprobación: «esa temática no la vamos a evaluar en el examen».</w:t>
      </w:r>
    </w:p>
    <w:p>
      <w:pPr>
        <w:pStyle w:val="Heading3"/>
      </w:pPr>
      <w:bookmarkStart w:name="b_senal_c10_cap_01_1" w:id="6803"/>
      <w:r>
        <w:t xml:space="preserve">Clase 10 · 00:10:04</w:t>
      </w:r>
      <w:bookmarkEnd w:id="6803"/>
    </w:p>
    <w:p>
      <w:pPr>
        <w:pStyle w:val="Normal"/>
      </w:pPr>
      <w:r>
        <w:t xml:space="preserve">Alcance del primer parcial del22 de agosto: sólo unidades 1–2; no define el alcance ni formato del final.</w:t>
      </w:r>
    </w:p>
    <w:p>
      <w:pPr>
        <w:pStyle w:val="Fuente"/>
      </w:pPr>
      <w:r>
        <w:t xml:space="preserve">Ancla breve de comprobación: «solamente la unidad uno y la unidad dos».</w:t>
      </w:r>
    </w:p>
    <w:p>
      <w:pPr>
        <w:pStyle w:val="Heading3"/>
      </w:pPr>
      <w:bookmarkStart w:name="b_senal_c10_cap_02_1" w:id="6804"/>
      <w:r>
        <w:t xml:space="preserve">Clase 10 · 00:12:44</w:t>
      </w:r>
      <w:bookmarkEnd w:id="6804"/>
    </w:p>
    <w:p>
      <w:pPr>
        <w:pStyle w:val="Normal"/>
      </w:pPr>
      <w:r>
        <w:t xml:space="preserve">Énfasis de habilidad en Unidad 3: reconocer mapas, construirlos, interpretarlos y utilizarlos.</w:t>
      </w:r>
    </w:p>
    <w:p>
      <w:pPr>
        <w:pStyle w:val="Fuente"/>
      </w:pPr>
      <w:r>
        <w:t xml:space="preserve">Ancla breve de comprobación: «es importante que eh».</w:t>
      </w:r>
    </w:p>
    <w:p>
      <w:pPr>
        <w:pStyle w:val="Heading3"/>
      </w:pPr>
      <w:bookmarkStart w:name="b_senal_c10_cap_05_1" w:id="6805"/>
      <w:r>
        <w:t xml:space="preserve">Clase 10 · 00:40:16</w:t>
      </w:r>
      <w:bookmarkEnd w:id="6805"/>
    </w:p>
    <w:p>
      <w:pPr>
        <w:pStyle w:val="Normal"/>
      </w:pPr>
      <w:r>
        <w:t xml:space="preserve">Toda relación, sistema o perspectiva necesita distinguir sus conceptos: énfasis docente de modelación.</w:t>
      </w:r>
    </w:p>
    <w:p>
      <w:pPr>
        <w:pStyle w:val="Fuente"/>
      </w:pPr>
      <w:r>
        <w:t xml:space="preserve">Ancla breve de comprobación: «siempre es importante porque».</w:t>
      </w:r>
    </w:p>
    <w:p>
      <w:pPr>
        <w:pStyle w:val="Heading3"/>
      </w:pPr>
      <w:bookmarkStart w:name="b_senal_c10_cap_08_1" w:id="6806"/>
      <w:r>
        <w:t xml:space="preserve">Clase 10 · 01:02:10</w:t>
      </w:r>
      <w:bookmarkEnd w:id="6806"/>
    </w:p>
    <w:p>
      <w:pPr>
        <w:pStyle w:val="Normal"/>
      </w:pPr>
      <w:r>
        <w:t xml:space="preserve">Construir modelos gráficos es parte del trabajo de Unidad 3; no se presenta como formato oficial del final.</w:t>
      </w:r>
    </w:p>
    <w:p>
      <w:pPr>
        <w:pStyle w:val="Fuente"/>
      </w:pPr>
      <w:r>
        <w:t xml:space="preserve">Ancla breve de comprobación: «parte de contenido de esta unidad será».</w:t>
      </w:r>
    </w:p>
    <w:p>
      <w:pPr>
        <w:pStyle w:val="Heading3"/>
      </w:pPr>
      <w:bookmarkStart w:name="b_senal_c10_cap_08_2" w:id="6807"/>
      <w:r>
        <w:t xml:space="preserve">Clase 10 · 01:11:00</w:t>
      </w:r>
      <w:bookmarkEnd w:id="6807"/>
    </w:p>
    <w:p>
      <w:pPr>
        <w:pStyle w:val="Normal"/>
      </w:pPr>
      <w:r>
        <w:t xml:space="preserve">Énfasis: detenerse ante el mapa para reflexionar y corregir su estructura.</w:t>
      </w:r>
    </w:p>
    <w:p>
      <w:pPr>
        <w:pStyle w:val="Fuente"/>
      </w:pPr>
      <w:r>
        <w:t xml:space="preserve">Ancla breve de comprobación: «Esto es importante porque luego podemos utilizar un mapa».</w:t>
      </w:r>
    </w:p>
    <w:p>
      <w:pPr>
        <w:pStyle w:val="Heading3"/>
      </w:pPr>
      <w:bookmarkStart w:name="b_senal_c10_cap_12_1" w:id="6808"/>
      <w:r>
        <w:t xml:space="preserve">Clase 10 · 01:40:04</w:t>
      </w:r>
      <w:bookmarkEnd w:id="6808"/>
    </w:p>
    <w:p>
      <w:pPr>
        <w:pStyle w:val="Normal"/>
      </w:pPr>
      <w:r>
        <w:t xml:space="preserve">El primer parcial anunciado combina selección múltiple y abiertas en papel; no se extrapola al formato del final.</w:t>
      </w:r>
    </w:p>
    <w:p>
      <w:pPr>
        <w:pStyle w:val="Fuente"/>
      </w:pPr>
      <w:r>
        <w:t xml:space="preserve">Ancla breve de comprobación: «preguntas muy diversas».</w:t>
      </w:r>
    </w:p>
    <w:p>
      <w:pPr>
        <w:pStyle w:val="Heading3"/>
      </w:pPr>
      <w:bookmarkStart w:name="b_senal_c11_cap_08_1" w:id="6809"/>
      <w:r>
        <w:t xml:space="preserve">Clase 11 · 01:09:36</w:t>
      </w:r>
      <w:bookmarkEnd w:id="6809"/>
    </w:p>
    <w:p>
      <w:pPr>
        <w:pStyle w:val="Normal"/>
      </w:pPr>
      <w:r>
        <w:t xml:space="preserve">Énfasis de corrección: la estructura sistémica debe estar inmersa en el contenido informacional.</w:t>
      </w:r>
    </w:p>
    <w:p>
      <w:pPr>
        <w:pStyle w:val="Fuente"/>
      </w:pPr>
      <w:r>
        <w:t xml:space="preserve">Ancla breve de comprobación: «es muy importante».</w:t>
      </w:r>
    </w:p>
    <w:p>
      <w:pPr>
        <w:pStyle w:val="Heading3"/>
      </w:pPr>
      <w:bookmarkStart w:name="b_senal_c12_cap_01_1" w:id="6810"/>
      <w:r>
        <w:t xml:space="preserve">Clase 12 · 00:07:28</w:t>
      </w:r>
      <w:bookmarkEnd w:id="6810"/>
    </w:p>
    <w:p>
      <w:pPr>
        <w:pStyle w:val="Normal"/>
      </w:pPr>
      <w:r>
        <w:t xml:space="preserve">La recuperación del primer parcial pide resolver el examen investigando fuentes de unidades 1–2; no define el final.</w:t>
      </w:r>
    </w:p>
    <w:p>
      <w:pPr>
        <w:pStyle w:val="Fuente"/>
      </w:pPr>
      <w:r>
        <w:t xml:space="preserve">Ancla breve de comprobación: «resuelvan el examen».</w:t>
      </w:r>
    </w:p>
    <w:p>
      <w:pPr>
        <w:pStyle w:val="Heading3"/>
      </w:pPr>
      <w:bookmarkStart w:name="b_senal_c12_cap_03_1" w:id="6811"/>
      <w:r>
        <w:t xml:space="preserve">Clase 12 · 00:23:47</w:t>
      </w:r>
      <w:bookmarkEnd w:id="6811"/>
    </w:p>
    <w:p>
      <w:pPr>
        <w:pStyle w:val="Normal"/>
      </w:pPr>
      <w:r>
        <w:t xml:space="preserve">Criterio de revisión de tareas: comprender y mantener la sintaxis gráfica DSRP.</w:t>
      </w:r>
    </w:p>
    <w:p>
      <w:pPr>
        <w:pStyle w:val="Fuente"/>
      </w:pPr>
      <w:r>
        <w:t xml:space="preserve">Ancla breve de comprobación: «la sintaxis es importante».</w:t>
      </w:r>
    </w:p>
    <w:p>
      <w:pPr>
        <w:pStyle w:val="Heading3"/>
      </w:pPr>
      <w:bookmarkStart w:name="b_senal_c12_cap_03_2" w:id="6812"/>
      <w:r>
        <w:t xml:space="preserve">Clase 12 · 00:28:25</w:t>
      </w:r>
      <w:bookmarkEnd w:id="6812"/>
    </w:p>
    <w:p>
      <w:pPr>
        <w:pStyle w:val="Normal"/>
      </w:pPr>
      <w:r>
        <w:t xml:space="preserve">Las cuatro operaciones deben estar representadas en contenido relativo al sistema modelado.</w:t>
      </w:r>
    </w:p>
    <w:p>
      <w:pPr>
        <w:pStyle w:val="Fuente"/>
      </w:pPr>
      <w:r>
        <w:t xml:space="preserve">Ancla breve de comprobación: «Lo importante aquí es que».</w:t>
      </w:r>
    </w:p>
    <w:p>
      <w:pPr>
        <w:pStyle w:val="Heading3"/>
      </w:pPr>
      <w:bookmarkStart w:name="b_senal_c13_cap_04_1" w:id="6813"/>
      <w:r>
        <w:t xml:space="preserve">Clase 13 · 00:35:45</w:t>
      </w:r>
      <w:bookmarkEnd w:id="6813"/>
    </w:p>
    <w:p>
      <w:pPr>
        <w:pStyle w:val="Normal"/>
      </w:pPr>
      <w:r>
        <w:t xml:space="preserve">Énfasis de estudio: el tiempo es determinante para percibir la estructura y el curso trabaja escalas observables por personas.</w:t>
      </w:r>
    </w:p>
    <w:p>
      <w:pPr>
        <w:pStyle w:val="Fuente"/>
      </w:pPr>
      <w:r>
        <w:t xml:space="preserve">Ancla breve de comprobación: «Así que no lo pierdan de vista.».</w:t>
      </w:r>
    </w:p>
    <w:p>
      <w:pPr>
        <w:pStyle w:val="Heading3"/>
      </w:pPr>
      <w:bookmarkStart w:name="b_senal_c13_cap_07_1" w:id="6814"/>
      <w:r>
        <w:t xml:space="preserve">Clase 13 · 01:02:08</w:t>
      </w:r>
      <w:bookmarkEnd w:id="6814"/>
    </w:p>
    <w:p>
      <w:pPr>
        <w:pStyle w:val="Normal"/>
      </w:pPr>
      <w:r>
        <w:t xml:space="preserve">Método de modelación: añadir el detalle necesario para hacer explícita la circularidad del inventario.</w:t>
      </w:r>
    </w:p>
    <w:p>
      <w:pPr>
        <w:pStyle w:val="Fuente"/>
      </w:pPr>
      <w:r>
        <w:t xml:space="preserve">Ancla breve de comprobación: «le hace falta un poquito de detalle».</w:t>
      </w:r>
    </w:p>
    <w:p>
      <w:pPr>
        <w:pStyle w:val="Heading3"/>
      </w:pPr>
      <w:bookmarkStart w:name="b_senal_c13_cap_08_1" w:id="6815"/>
      <w:r>
        <w:t xml:space="preserve">Clase 13 · 01:14:13</w:t>
      </w:r>
      <w:bookmarkEnd w:id="6815"/>
    </w:p>
    <w:p>
      <w:pPr>
        <w:pStyle w:val="Normal"/>
      </w:pPr>
      <w:r>
        <w:t xml:space="preserve">Énfasis de práctica: aprender a visualizar la circularidad antes de dibujar el caso de hervir agua.</w:t>
      </w:r>
    </w:p>
    <w:p>
      <w:pPr>
        <w:pStyle w:val="Fuente"/>
      </w:pPr>
      <w:r>
        <w:t xml:space="preserve">Ancla breve de comprobación: «ustedes tienen que aprender a desarrollar esa visualización circular».</w:t>
      </w:r>
    </w:p>
    <w:p>
      <w:pPr>
        <w:pStyle w:val="Heading3"/>
      </w:pPr>
      <w:bookmarkStart w:name="b_senal_c13_cap_09_1" w:id="6816"/>
      <w:r>
        <w:t xml:space="preserve">Clase 13 · 01:38:13</w:t>
      </w:r>
      <w:bookmarkEnd w:id="6816"/>
    </w:p>
    <w:p>
      <w:pPr>
        <w:pStyle w:val="Normal"/>
      </w:pPr>
      <w:r>
        <w:t xml:space="preserve">El profesor recomienda leer los cinco pasos del material para desarrollar historias y teorías a partir del diagrama.</w:t>
      </w:r>
    </w:p>
    <w:p>
      <w:pPr>
        <w:pStyle w:val="Fuente"/>
      </w:pPr>
      <w:r>
        <w:t xml:space="preserve">Ancla breve de comprobación: «cinco pasos que pueden ustedes leer».</w:t>
      </w:r>
    </w:p>
    <w:p>
      <w:pPr>
        <w:pStyle w:val="Heading3"/>
      </w:pPr>
      <w:bookmarkStart w:name="b_senal_c13_cap_10_1" w:id="6817"/>
      <w:r>
        <w:t xml:space="preserve">Clase 13 · 01:44:16</w:t>
      </w:r>
      <w:bookmarkEnd w:id="6817"/>
    </w:p>
    <w:p>
      <w:pPr>
        <w:pStyle w:val="Normal"/>
      </w:pPr>
      <w:r>
        <w:t xml:space="preserve">Tarea de estudio para la siguiente sesión: investigar definiciones y dos o tres ejemplos de ciclos R/B.</w:t>
      </w:r>
    </w:p>
    <w:p>
      <w:pPr>
        <w:pStyle w:val="Fuente"/>
      </w:pPr>
      <w:r>
        <w:t xml:space="preserve">Ancla breve de comprobación: «Les voy a dejar para el próximo día que investiguen».</w:t>
      </w:r>
    </w:p>
    <w:p>
      <w:pPr>
        <w:pStyle w:val="Heading3"/>
      </w:pPr>
      <w:bookmarkStart w:name="b_senal_c13_cap_10_2" w:id="6818"/>
      <w:r>
        <w:t xml:space="preserve">Clase 13 · 01:46:43</w:t>
      </w:r>
      <w:bookmarkEnd w:id="6818"/>
    </w:p>
    <w:p>
      <w:pPr>
        <w:pStyle w:val="Normal"/>
      </w:pPr>
      <w:r>
        <w:t xml:space="preserve">Señal explícita del segundo parcial: practicar las tareas sirve para lo que se pedirá en ese examen, no es un anuncio del formato del final.</w:t>
      </w:r>
    </w:p>
    <w:p>
      <w:pPr>
        <w:pStyle w:val="Fuente"/>
      </w:pPr>
      <w:r>
        <w:t xml:space="preserve">Ancla breve de comprobación: «también sirve para que practiquen».</w:t>
      </w:r>
    </w:p>
    <w:p>
      <w:pPr>
        <w:pStyle w:val="Heading3"/>
      </w:pPr>
      <w:bookmarkStart w:name="b_senal_c14_cap_02_1" w:id="6819"/>
      <w:r>
        <w:t xml:space="preserve">Clase 14 · 00:05:23</w:t>
      </w:r>
      <w:bookmarkEnd w:id="6819"/>
    </w:p>
    <w:p>
      <w:pPr>
        <w:pStyle w:val="Normal"/>
      </w:pPr>
      <w:r>
        <w:t xml:space="preserve">Énfasis de estudio: tener claras las características de las estructuras circulares.</w:t>
      </w:r>
    </w:p>
    <w:p>
      <w:pPr>
        <w:pStyle w:val="Fuente"/>
      </w:pPr>
      <w:r>
        <w:t xml:space="preserve">Ancla breve de comprobación: «tenemos que tener muy claras las características».</w:t>
      </w:r>
    </w:p>
    <w:p>
      <w:pPr>
        <w:pStyle w:val="Heading3"/>
      </w:pPr>
      <w:bookmarkStart w:name="b_senal_c14_cap_05_1" w:id="6820"/>
      <w:r>
        <w:t xml:space="preserve">Clase 14 · 00:34:25</w:t>
      </w:r>
      <w:bookmarkEnd w:id="6820"/>
    </w:p>
    <w:p>
      <w:pPr>
        <w:pStyle w:val="Normal"/>
      </w:pPr>
      <w:r>
        <w:t xml:space="preserve">Comprobación en vivo: decidir y justificar la polaridad flotador→flujo en ambas direcciones.</w:t>
      </w:r>
    </w:p>
    <w:p>
      <w:pPr>
        <w:pStyle w:val="Fuente"/>
      </w:pPr>
      <w:r>
        <w:t xml:space="preserve">Ancla breve de comprobación: «hagamos el ejercicio para ver si se nos quedó».</w:t>
      </w:r>
    </w:p>
    <w:p>
      <w:pPr>
        <w:pStyle w:val="Heading3"/>
      </w:pPr>
      <w:bookmarkStart w:name="b_senal_c14_cap_08_1" w:id="6821"/>
      <w:r>
        <w:t xml:space="preserve">Clase 14 · 01:05:04</w:t>
      </w:r>
      <w:bookmarkEnd w:id="6821"/>
    </w:p>
    <w:p>
      <w:pPr>
        <w:pStyle w:val="Normal"/>
      </w:pPr>
      <w:r>
        <w:t xml:space="preserve">Ejercicio en vivo: completar los signos y clasificar el ciclo de pesca junto a nacimientos y muertes.</w:t>
      </w:r>
    </w:p>
    <w:p>
      <w:pPr>
        <w:pStyle w:val="Fuente"/>
      </w:pPr>
      <w:r>
        <w:t xml:space="preserve">Ancla breve de comprobación: «¿Cómo sería el ciclo de pesca?».</w:t>
      </w:r>
    </w:p>
    <w:p>
      <w:pPr>
        <w:pStyle w:val="Heading3"/>
      </w:pPr>
      <w:bookmarkStart w:name="b_senal_c14_cap_09_1" w:id="6822"/>
      <w:r>
        <w:t xml:space="preserve">Clase 14 · 01:20:25</w:t>
      </w:r>
      <w:bookmarkEnd w:id="6822"/>
    </w:p>
    <w:p>
      <w:pPr>
        <w:pStyle w:val="Normal"/>
      </w:pPr>
      <w:r>
        <w:t xml:space="preserve">Énfasis del alcance académico: comprender estructuras sistémicas y sus condiciones, no memorizar particularidades de tilapias o ballenas.</w:t>
      </w:r>
    </w:p>
    <w:p>
      <w:pPr>
        <w:pStyle w:val="Fuente"/>
      </w:pPr>
      <w:r>
        <w:t xml:space="preserve">Ancla breve de comprobación: «es un curso de estructuras sistémicas».</w:t>
      </w:r>
    </w:p>
    <w:p>
      <w:pPr>
        <w:pStyle w:val="Heading3"/>
      </w:pPr>
      <w:bookmarkStart w:name="b_senal_c14_cap_10_1" w:id="6823"/>
      <w:r>
        <w:t xml:space="preserve">Clase 14 · 01:36:24</w:t>
      </w:r>
      <w:bookmarkEnd w:id="6823"/>
    </w:p>
    <w:p>
      <w:pPr>
        <w:pStyle w:val="Normal"/>
      </w:pPr>
      <w:r>
        <w:t xml:space="preserve">Definición breve avalada por el docente: virtuoso/vicioso difieren en la valoración de consecuencias, ambos son de refuerzo.</w:t>
      </w:r>
    </w:p>
    <w:p>
      <w:pPr>
        <w:pStyle w:val="Fuente"/>
      </w:pPr>
      <w:r>
        <w:t xml:space="preserve">Ancla breve de comprobación: «Ambos son ciclos de refuerzo».</w:t>
      </w:r>
    </w:p>
    <w:p>
      <w:pPr>
        <w:pStyle w:val="Heading3"/>
      </w:pPr>
      <w:bookmarkStart w:name="b_senal_c15_cap_03_1" w:id="6824"/>
      <w:r>
        <w:t xml:space="preserve">Clase 15 · 00:19:45</w:t>
      </w:r>
      <w:bookmarkEnd w:id="6824"/>
    </w:p>
    <w:p>
      <w:pPr>
        <w:pStyle w:val="Normal"/>
      </w:pPr>
      <w:r>
        <w:t xml:space="preserve">Énfasis académico: distinguir polaridades de relaciones y del ciclo al construir e interpretar.</w:t>
      </w:r>
    </w:p>
    <w:p>
      <w:pPr>
        <w:pStyle w:val="Fuente"/>
      </w:pPr>
      <w:r>
        <w:t xml:space="preserve">Ancla breve de comprobación: «sí es importante para hacer un diagrama».</w:t>
      </w:r>
    </w:p>
    <w:p>
      <w:pPr>
        <w:pStyle w:val="Heading3"/>
      </w:pPr>
      <w:bookmarkStart w:name="b_senal_c15_cap_05_1" w:id="6825"/>
      <w:r>
        <w:t xml:space="preserve">Clase 15 · 00:29:44</w:t>
      </w:r>
      <w:bookmarkEnd w:id="6825"/>
    </w:p>
    <w:p>
      <w:pPr>
        <w:pStyle w:val="Normal"/>
      </w:pPr>
      <w:r>
        <w:t xml:space="preserve">Énfasis en reconocer e interpretar polaridades antes de explicar la estructura.</w:t>
      </w:r>
    </w:p>
    <w:p>
      <w:pPr>
        <w:pStyle w:val="Fuente"/>
      </w:pPr>
      <w:r>
        <w:t xml:space="preserve">Ancla breve de comprobación: «lo importante es que ustedes sepan reconocer esas polaridades».</w:t>
      </w:r>
    </w:p>
    <w:p>
      <w:pPr>
        <w:pStyle w:val="Heading3"/>
      </w:pPr>
      <w:bookmarkStart w:name="b_senal_c15_cap_09_1" w:id="6826"/>
      <w:r>
        <w:t xml:space="preserve">Clase 15 · 01:12:00</w:t>
      </w:r>
      <w:bookmarkEnd w:id="6826"/>
    </w:p>
    <w:p>
      <w:pPr>
        <w:pStyle w:val="Normal"/>
      </w:pPr>
      <w:r>
        <w:t xml:space="preserve">Regla de estudio remitida a lectura: par de negativas implica R e impar implica B.</w:t>
      </w:r>
    </w:p>
    <w:p>
      <w:pPr>
        <w:pStyle w:val="Fuente"/>
      </w:pPr>
      <w:r>
        <w:t xml:space="preserve">Ancla breve de comprobación: «cuando tenemos un número par de relaciones negativas».</w:t>
      </w:r>
    </w:p>
    <w:p>
      <w:pPr>
        <w:pStyle w:val="Heading3"/>
      </w:pPr>
      <w:bookmarkStart w:name="b_senal_c16_cap_01_1" w:id="6827"/>
      <w:r>
        <w:t xml:space="preserve">Clase 16 · 00:11:11</w:t>
      </w:r>
      <w:bookmarkEnd w:id="6827"/>
    </w:p>
    <w:p>
      <w:pPr>
        <w:pStyle w:val="Normal"/>
      </w:pPr>
      <w:r>
        <w:t xml:space="preserve">Preparación del segundo parcial: construir e interpretar mapas con sintaxis gráfica.</w:t>
      </w:r>
    </w:p>
    <w:p>
      <w:pPr>
        <w:pStyle w:val="Fuente"/>
      </w:pPr>
      <w:r>
        <w:t xml:space="preserve">Ancla breve de comprobación: «es importante que ustedes sepan».</w:t>
      </w:r>
    </w:p>
    <w:p>
      <w:pPr>
        <w:pStyle w:val="Heading3"/>
      </w:pPr>
      <w:bookmarkStart w:name="b_senal_c16_cap_02_1" w:id="6828"/>
      <w:r>
        <w:t xml:space="preserve">Clase 16 · 00:19:11</w:t>
      </w:r>
      <w:bookmarkEnd w:id="6828"/>
    </w:p>
    <w:p>
      <w:pPr>
        <w:pStyle w:val="Normal"/>
      </w:pPr>
      <w:r>
        <w:t xml:space="preserve">Alcance de U3 antes del segundo parcial: estructuras circulares; simulación diferida a U4.</w:t>
      </w:r>
    </w:p>
    <w:p>
      <w:pPr>
        <w:pStyle w:val="Fuente"/>
      </w:pPr>
      <w:r>
        <w:t xml:space="preserve">Ancla breve de comprobación: «para fines de esta unidad dejar hasta las estructuras circulares».</w:t>
      </w:r>
    </w:p>
    <w:p>
      <w:pPr>
        <w:pStyle w:val="Heading3"/>
      </w:pPr>
      <w:bookmarkStart w:name="b_senal_c16_cap_04_1" w:id="6829"/>
      <w:r>
        <w:t xml:space="preserve">Clase 16 · 00:42:33</w:t>
      </w:r>
      <w:bookmarkEnd w:id="6829"/>
    </w:p>
    <w:p>
      <w:pPr>
        <w:pStyle w:val="Normal"/>
      </w:pPr>
      <w:r>
        <w:t xml:space="preserve">Indicación de estudiar los lineamientos para hacer mejor los diagramas.</w:t>
      </w:r>
    </w:p>
    <w:p>
      <w:pPr>
        <w:pStyle w:val="Fuente"/>
      </w:pPr>
      <w:r>
        <w:t xml:space="preserve">Ancla breve de comprobación: «Léanlas, por favor, para que hagan sus diagramas».</w:t>
      </w:r>
    </w:p>
    <w:p>
      <w:pPr>
        <w:pStyle w:val="Heading3"/>
      </w:pPr>
      <w:bookmarkStart w:name="b_senal_c16_cap_08_1" w:id="6830"/>
      <w:r>
        <w:t xml:space="preserve">Clase 16 · 01:14:25</w:t>
      </w:r>
      <w:bookmarkEnd w:id="6830"/>
    </w:p>
    <w:p>
      <w:pPr>
        <w:pStyle w:val="Normal"/>
      </w:pPr>
      <w:r>
        <w:t xml:space="preserve">Recomendaciones de notación para producir un modelo preciso en la evaluación.</w:t>
      </w:r>
    </w:p>
    <w:p>
      <w:pPr>
        <w:pStyle w:val="Fuente"/>
      </w:pPr>
      <w:r>
        <w:t xml:space="preserve">Ancla breve de comprobación: «les puede servir más que todo para fines de la evaluación».</w:t>
      </w:r>
    </w:p>
    <w:p>
      <w:pPr>
        <w:pStyle w:val="Heading3"/>
      </w:pPr>
      <w:bookmarkStart w:name="b_senal_c16_cap_08_2" w:id="6831"/>
      <w:r>
        <w:t xml:space="preserve">Clase 16 · 01:16:35</w:t>
      </w:r>
      <w:bookmarkEnd w:id="6831"/>
    </w:p>
    <w:p>
      <w:pPr>
        <w:pStyle w:val="Normal"/>
      </w:pPr>
      <w:r>
        <w:t xml:space="preserve">Poner polaridad del ciclo al centro aunque parezca obvia.</w:t>
      </w:r>
    </w:p>
    <w:p>
      <w:pPr>
        <w:pStyle w:val="Fuente"/>
      </w:pPr>
      <w:r>
        <w:t xml:space="preserve">Ancla breve de comprobación: «para ser explícitos, pónganle la polaridad al centro».</w:t>
      </w:r>
    </w:p>
    <w:p>
      <w:pPr>
        <w:pStyle w:val="Heading3"/>
      </w:pPr>
      <w:bookmarkStart w:name="b_senal_c16_cap_09_1" w:id="6832"/>
      <w:r>
        <w:t xml:space="preserve">Clase 16 · 01:34:26</w:t>
      </w:r>
      <w:bookmarkEnd w:id="6832"/>
    </w:p>
    <w:p>
      <w:pPr>
        <w:pStyle w:val="Normal"/>
      </w:pPr>
      <w:r>
        <w:t xml:space="preserve">Criterio de corrección: no hay dibujo ideal único; la sintaxis debe contar el sistema pedido.</w:t>
      </w:r>
    </w:p>
    <w:p>
      <w:pPr>
        <w:pStyle w:val="Fuente"/>
      </w:pPr>
      <w:r>
        <w:t xml:space="preserve">Ancla breve de comprobación: «no existe un diagrama ideal único».</w:t>
      </w:r>
    </w:p>
    <w:p>
      <w:pPr>
        <w:pStyle w:val="Heading3"/>
      </w:pPr>
      <w:bookmarkStart w:name="b_senal_c16_cap_09_2" w:id="6833"/>
      <w:r>
        <w:t xml:space="preserve">Clase 16 · 01:35:59</w:t>
      </w:r>
      <w:bookmarkEnd w:id="6833"/>
    </w:p>
    <w:p>
      <w:pPr>
        <w:pStyle w:val="Normal"/>
      </w:pPr>
      <w:r>
        <w:t xml:space="preserve">En el ejercicio evaluado usar las variables del relato sin inventar otras.</w:t>
      </w:r>
    </w:p>
    <w:p>
      <w:pPr>
        <w:pStyle w:val="Fuente"/>
      </w:pPr>
      <w:r>
        <w:t xml:space="preserve">Ancla breve de comprobación: «solo las que están en la historia contada».</w:t>
      </w:r>
    </w:p>
    <w:p>
      <w:pPr>
        <w:pStyle w:val="Heading3"/>
      </w:pPr>
      <w:bookmarkStart w:name="b_senal_c16_cap_11_1" w:id="6834"/>
      <w:r>
        <w:t xml:space="preserve">Clase 16 · 01:45:42</w:t>
      </w:r>
      <w:bookmarkEnd w:id="6834"/>
    </w:p>
    <w:p>
      <w:pPr>
        <w:pStyle w:val="Normal"/>
      </w:pPr>
      <w:r>
        <w:t xml:space="preserve">Segundo parcial con lápiz y papel, sin computadora; dibujar signos y sintaxis.</w:t>
      </w:r>
    </w:p>
    <w:p>
      <w:pPr>
        <w:pStyle w:val="Fuente"/>
      </w:pPr>
      <w:r>
        <w:t xml:space="preserve">Ancla breve de comprobación: «Lápiz y papel».</w:t>
      </w:r>
    </w:p>
    <w:p>
      <w:pPr>
        <w:pStyle w:val="Heading3"/>
      </w:pPr>
      <w:bookmarkStart w:name="b_senal_c16_cap_11_2" w:id="6835"/>
      <w:r>
        <w:t xml:space="preserve">Clase 16 · 01:46:23</w:t>
      </w:r>
      <w:bookmarkEnd w:id="6835"/>
    </w:p>
    <w:p>
      <w:pPr>
        <w:pStyle w:val="Normal"/>
      </w:pPr>
      <w:r>
        <w:t xml:space="preserve">Segundo parcial: preguntas, modelos dados para interpretar o historias para diagramar.</w:t>
      </w:r>
    </w:p>
    <w:p>
      <w:pPr>
        <w:pStyle w:val="Fuente"/>
      </w:pPr>
      <w:r>
        <w:t xml:space="preserve">Ancla breve de comprobación: «algunos modelos, ya sea que se los de».</w:t>
      </w:r>
    </w:p>
    <w:p>
      <w:pPr>
        <w:pStyle w:val="Heading3"/>
      </w:pPr>
      <w:bookmarkStart w:name="b_senal_c16_cap_11_3" w:id="6836"/>
      <w:r>
        <w:t xml:space="preserve">Clase 16 · 01:47:08</w:t>
      </w:r>
      <w:bookmarkEnd w:id="6836"/>
    </w:p>
    <w:p>
      <w:pPr>
        <w:pStyle w:val="Normal"/>
      </w:pPr>
      <w:r>
        <w:t xml:space="preserve">Indicación histórica: el segundo parcial cubre U3; no define el final.</w:t>
      </w:r>
    </w:p>
    <w:p>
      <w:pPr>
        <w:pStyle w:val="Fuente"/>
      </w:pPr>
      <w:r>
        <w:t xml:space="preserve">Ancla breve de comprobación: «es solo la unidad 3».</w:t>
      </w:r>
    </w:p>
    <w:p>
      <w:pPr>
        <w:pStyle w:val="Heading3"/>
      </w:pPr>
      <w:bookmarkStart w:name="b_senal_c18_cap_01_1" w:id="6837"/>
      <w:r>
        <w:t xml:space="preserve">Clase 18 · 00:21:41</w:t>
      </w:r>
      <w:bookmarkEnd w:id="6837"/>
    </w:p>
    <w:p>
      <w:pPr>
        <w:pStyle w:val="Normal"/>
      </w:pPr>
      <w:r>
        <w:t xml:space="preserve">Revisión del primer parcial: el profesor acepta una alternativa por ambigüedad de perspectiva; no define una clave futura.</w:t>
      </w:r>
    </w:p>
    <w:p>
      <w:pPr>
        <w:pStyle w:val="Fuente"/>
      </w:pPr>
      <w:r>
        <w:t xml:space="preserve">Ancla breve de comprobación: «ambigüedad acá, les voy a tomar eh su interpretación ambigua como».</w:t>
      </w:r>
    </w:p>
    <w:p>
      <w:pPr>
        <w:pStyle w:val="Heading3"/>
      </w:pPr>
      <w:bookmarkStart w:name="b_senal_c18_cap_02_1" w:id="6838"/>
      <w:r>
        <w:t xml:space="preserve">Clase 18 · 00:28:30</w:t>
      </w:r>
      <w:bookmarkEnd w:id="6838"/>
    </w:p>
    <w:p>
      <w:pPr>
        <w:pStyle w:val="Normal"/>
      </w:pPr>
      <w:r>
        <w:t xml:space="preserve">Respuesta esperada en el primer parcial: metacognición como foco de la Unidad 1 frente al objetivo sistémico general.</w:t>
      </w:r>
    </w:p>
    <w:p>
      <w:pPr>
        <w:pStyle w:val="Fuente"/>
      </w:pPr>
      <w:r>
        <w:t xml:space="preserve">Ancla breve de comprobación: «Y eh la respuesta esperada correcta es el pensamiento metacognitivo.».</w:t>
      </w:r>
    </w:p>
    <w:p>
      <w:pPr>
        <w:pStyle w:val="Heading3"/>
      </w:pPr>
      <w:bookmarkStart w:name="b_senal_c18_cap_04_1" w:id="6839"/>
      <w:r>
        <w:t xml:space="preserve">Clase 18 · 00:52:37</w:t>
      </w:r>
      <w:bookmarkEnd w:id="6839"/>
    </w:p>
    <w:p>
      <w:pPr>
        <w:pStyle w:val="Normal"/>
      </w:pPr>
      <w:r>
        <w:t xml:space="preserve">Pregunta abierta del primer parcial: reconocer el riesgo de representación incompleta y explicar apertura y revisión para afrontarlo.</w:t>
      </w:r>
    </w:p>
    <w:p>
      <w:pPr>
        <w:pStyle w:val="Fuente"/>
      </w:pPr>
      <w:r>
        <w:t xml:space="preserve">Ancla breve de comprobación: «Por lo tanto, la segunda parte de la pregunta que decía y».</w:t>
      </w:r>
    </w:p>
    <w:p>
      <w:pPr>
        <w:pStyle w:val="Heading3"/>
      </w:pPr>
      <w:bookmarkStart w:name="b_senal_c18_cap_07_1" w:id="6840"/>
      <w:r>
        <w:t xml:space="preserve">Clase 18 · 01:14:06</w:t>
      </w:r>
      <w:bookmarkEnd w:id="6840"/>
    </w:p>
    <w:p>
      <w:pPr>
        <w:pStyle w:val="Normal"/>
      </w:pPr>
      <w:r>
        <w:t xml:space="preserve">Clasificar acumulaciones y tasas de cambio es el centro del hábito 12 al preparar una simulación.</w:t>
      </w:r>
    </w:p>
    <w:p>
      <w:pPr>
        <w:pStyle w:val="Fuente"/>
      </w:pPr>
      <w:r>
        <w:t xml:space="preserve">Ancla breve de comprobación: «Entonces, para llegar a simular, tenemos que clasificar las variables de un».</w:t>
      </w:r>
    </w:p>
    <w:p>
      <w:pPr>
        <w:pStyle w:val="Heading3"/>
      </w:pPr>
      <w:bookmarkStart w:name="b_senal_c18_cap_08_1" w:id="6841"/>
      <w:r>
        <w:t xml:space="preserve">Clase 18 · 01:28:27</w:t>
      </w:r>
      <w:bookmarkEnd w:id="6841"/>
    </w:p>
    <w:p>
      <w:pPr>
        <w:pStyle w:val="Normal"/>
      </w:pPr>
      <w:r>
        <w:t xml:space="preserve">Énfasis académico: el concepto de acumulación debe quedar claro para reconocer el nivel y sus tasas.</w:t>
      </w:r>
    </w:p>
    <w:p>
      <w:pPr>
        <w:pStyle w:val="Fuente"/>
      </w:pPr>
      <w:r>
        <w:t xml:space="preserve">Ancla breve de comprobación: «Eh, por eso el concepto de acumulación tiene que quedar muy claro».</w:t>
      </w:r>
    </w:p>
    <w:p>
      <w:pPr>
        <w:pStyle w:val="Heading3"/>
      </w:pPr>
      <w:bookmarkStart w:name="b_senal_c19_cap_07_2" w:id="6842"/>
      <w:r>
        <w:t xml:space="preserve">Clase 19 · 01:06:59</w:t>
      </w:r>
      <w:bookmarkEnd w:id="6842"/>
    </w:p>
    <w:p>
      <w:pPr>
        <w:pStyle w:val="Normal"/>
      </w:pPr>
      <w:r>
        <w:t xml:space="preserve">Énfasis de notación: válvula y rectángulo son las marcas relevantes; el círculo de la auxiliar no determina su función.</w:t>
      </w:r>
    </w:p>
    <w:p>
      <w:pPr>
        <w:pStyle w:val="Fuente"/>
      </w:pPr>
      <w:r>
        <w:t xml:space="preserve">Ancla breve de comprobación: «interpretación del mapa. Lo más relevante es el símbolo de la».</w:t>
      </w:r>
    </w:p>
    <w:p>
      <w:pPr>
        <w:pStyle w:val="Heading3"/>
      </w:pPr>
      <w:bookmarkStart w:name="b_senal_c19_cap_07_1" w:id="6843"/>
      <w:r>
        <w:t xml:space="preserve">Clase 19 · 01:17:18</w:t>
      </w:r>
      <w:bookmarkEnd w:id="6843"/>
    </w:p>
    <w:p>
      <w:pPr>
        <w:pStyle w:val="Normal"/>
      </w:pPr>
      <w:r>
        <w:t xml:space="preserve">Definición operativa de escenario: parámetros y condiciones iniciales; el cambio debe identificarse al comparar corridas.</w:t>
      </w:r>
    </w:p>
    <w:p>
      <w:pPr>
        <w:pStyle w:val="Fuente"/>
      </w:pPr>
      <w:r>
        <w:t xml:space="preserve">Ancla breve de comprobación: «diferenciación de qué es un escenario. Básicamente un escenario es aquel en».</w:t>
      </w:r>
    </w:p>
    <w:p>
      <w:pPr>
        <w:pStyle w:val="Heading3"/>
      </w:pPr>
      <w:bookmarkStart w:name="b_senal_c19_cap_08_1" w:id="6844"/>
      <w:r>
        <w:t xml:space="preserve">Clase 19 · 01:27:04</w:t>
      </w:r>
      <w:bookmarkEnd w:id="6844"/>
    </w:p>
    <w:p>
      <w:pPr>
        <w:pStyle w:val="Normal"/>
      </w:pPr>
      <w:r>
        <w:t xml:space="preserve">Población negativa o superior a PT exige revisar reglas y configuración, no aceptarla como predicción.</w:t>
      </w:r>
    </w:p>
    <w:p>
      <w:pPr>
        <w:pStyle w:val="Fuente"/>
      </w:pPr>
      <w:r>
        <w:t xml:space="preserve">Ancla breve de comprobación: «representativa porque no puede haber población negativa, personas negativas y».</w:t>
      </w:r>
    </w:p>
    <w:p>
      <w:pPr>
        <w:pStyle w:val="Heading3"/>
      </w:pPr>
      <w:bookmarkStart w:name="b_senal_c20_cap_03_1" w:id="6845"/>
      <w:r>
        <w:t xml:space="preserve">Clase 20 · 00:25:48</w:t>
      </w:r>
      <w:bookmarkEnd w:id="6845"/>
    </w:p>
    <w:p>
      <w:pPr>
        <w:pStyle w:val="Normal"/>
      </w:pPr>
      <w:r>
        <w:t xml:space="preserve">Criterio explícito del segundo parcial: nombres, signos y lectura del modelo deben ser coherentes con la historia.</w:t>
      </w:r>
    </w:p>
    <w:p>
      <w:pPr>
        <w:pStyle w:val="Fuente"/>
      </w:pPr>
      <w:r>
        <w:t xml:space="preserve">Ancla breve de comprobación: «Para calificar sus modelos, yo hacía esto que les voy a mostrar».</w:t>
      </w:r>
    </w:p>
    <w:p>
      <w:pPr>
        <w:pStyle w:val="Heading3"/>
      </w:pPr>
      <w:bookmarkStart w:name="b_senal_c20_cap_06_1" w:id="6846"/>
      <w:r>
        <w:t xml:space="preserve">Clase 20 · 01:10:32</w:t>
      </w:r>
      <w:bookmarkEnd w:id="6846"/>
    </w:p>
    <w:p>
      <w:pPr>
        <w:pStyle w:val="Normal"/>
      </w:pPr>
      <w:r>
        <w:t xml:space="preserve">Para resolver un DCC hay que tomar tiempo para encontrar estructuras circulares y sostenerlas con la información del caso.</w:t>
      </w:r>
    </w:p>
    <w:p>
      <w:pPr>
        <w:pStyle w:val="Fuente"/>
      </w:pPr>
      <w:r>
        <w:t xml:space="preserve">Ancla breve de comprobación: «Pero sí, los los diagramas de ciclos causales, por favor, tienen que».</w:t>
      </w:r>
    </w:p>
    <w:p>
      <w:pPr>
        <w:pStyle w:val="Heading3"/>
      </w:pPr>
      <w:bookmarkStart w:name="b_senal_c20_cap_07_1" w:id="6847"/>
      <w:r>
        <w:t xml:space="preserve">Clase 20 · 01:14:27</w:t>
      </w:r>
      <w:bookmarkEnd w:id="6847"/>
    </w:p>
    <w:p>
      <w:pPr>
        <w:pStyle w:val="Normal"/>
      </w:pPr>
      <w:r>
        <w:t xml:space="preserve">El objetivo de la primera tarea práctica es empezar por identificar acumulaciones y flujos, antes de ejecutar el caso.</w:t>
      </w:r>
    </w:p>
    <w:p>
      <w:pPr>
        <w:pStyle w:val="Fuente"/>
      </w:pPr>
      <w:r>
        <w:t xml:space="preserve">Ancla breve de comprobación: «Ahorita lo importante solo era que ustedes empezaran a hacer un ejercicio».</w:t>
      </w:r>
    </w:p>
    <w:p>
      <w:pPr>
        <w:pStyle w:val="Heading3"/>
      </w:pPr>
      <w:bookmarkStart w:name="b_senal_c20_cap_08_1" w:id="6848"/>
      <w:r>
        <w:t xml:space="preserve">Clase 20 · 01:29:22</w:t>
      </w:r>
      <w:bookmarkEnd w:id="6848"/>
    </w:p>
    <w:p>
      <w:pPr>
        <w:pStyle w:val="Normal"/>
      </w:pPr>
      <w:r>
        <w:t xml:space="preserve">Práctica introductoria: deducir las respuestas de la corrida; la comprobación a mano no sustituye la ejecución solicitada.</w:t>
      </w:r>
    </w:p>
    <w:p>
      <w:pPr>
        <w:pStyle w:val="Fuente"/>
      </w:pPr>
      <w:r>
        <w:t xml:space="preserve">Ancla breve de comprobación: «Eh, siempre vamos a pedirles que los valores numéricos que estén asociados».</w:t>
      </w:r>
    </w:p>
    <w:p>
      <w:pPr>
        <w:pStyle w:val="Heading3"/>
      </w:pPr>
      <w:bookmarkStart w:name="b_senal_c20_cap_11_1" w:id="6849"/>
      <w:r>
        <w:t xml:space="preserve">Clase 20 · 01:48:32</w:t>
      </w:r>
      <w:bookmarkEnd w:id="6849"/>
    </w:p>
    <w:p>
      <w:pPr>
        <w:pStyle w:val="Normal"/>
      </w:pPr>
      <w:r>
        <w:t xml:space="preserve">Práctica del curso: el informe PDF demuestra procedimiento y respuestas con imágenes de gráficas o tablas, no sólo una cifra.</w:t>
      </w:r>
    </w:p>
    <w:p>
      <w:pPr>
        <w:pStyle w:val="Fuente"/>
      </w:pPr>
      <w:r>
        <w:t xml:space="preserve">Ancla breve de comprobación: «ustedes me vieron acá, entonces les voy a pedir que me informen,».</w:t>
      </w:r>
    </w:p>
    <w:p>
      <w:pPr>
        <w:pStyle w:val="Heading3"/>
      </w:pPr>
      <w:bookmarkStart w:name="b_senal_c21_cap_03_1" w:id="6850"/>
      <w:r>
        <w:t xml:space="preserve">Clase 21 · 00:32:07</w:t>
      </w:r>
      <w:bookmarkEnd w:id="6850"/>
    </w:p>
    <w:p>
      <w:pPr>
        <w:pStyle w:val="Normal"/>
      </w:pPr>
      <w:r>
        <w:t xml:space="preserve">Recomienda estudiar los patrones habituales para reconocer comportamientos en muchos sistemas.</w:t>
      </w:r>
    </w:p>
    <w:p>
      <w:pPr>
        <w:pStyle w:val="Fuente"/>
      </w:pPr>
      <w:r>
        <w:t xml:space="preserve">Ancla breve de comprobación: «si lo estudian y se los aprenden».</w:t>
      </w:r>
    </w:p>
    <w:p>
      <w:pPr>
        <w:pStyle w:val="Heading3"/>
      </w:pPr>
      <w:bookmarkStart w:name="b_senal_c21_cap_07_1" w:id="6851"/>
      <w:r>
        <w:t xml:space="preserve">Clase 21 · 01:27:59</w:t>
      </w:r>
      <w:bookmarkEnd w:id="6851"/>
    </w:p>
    <w:p>
      <w:pPr>
        <w:pStyle w:val="Normal"/>
      </w:pPr>
      <w:r>
        <w:t xml:space="preserve">Para el informe del ejercicio pide tablas o gráficas e interpretación del mes y del banco elegido.</w:t>
      </w:r>
    </w:p>
    <w:p>
      <w:pPr>
        <w:pStyle w:val="Fuente"/>
      </w:pPr>
      <w:r>
        <w:t xml:space="preserve">Ancla breve de comprobación: «tablas de valores o gráficas de tendencias».</w:t>
      </w:r>
    </w:p>
    <w:p>
      <w:pPr>
        <w:pStyle w:val="Heading3"/>
      </w:pPr>
      <w:bookmarkStart w:name="b_senal_c21_cap_09_1" w:id="6852"/>
      <w:r>
        <w:t xml:space="preserve">Clase 21 · 01:34:05</w:t>
      </w:r>
      <w:bookmarkEnd w:id="6852"/>
    </w:p>
    <w:p>
      <w:pPr>
        <w:pStyle w:val="Normal"/>
      </w:pPr>
      <w:r>
        <w:t xml:space="preserve">Sobre el tercer parcial anuncia problemas sencillos de simulación; el uso de computadora seguía pendiente de confirmación. No fija el formato del final.</w:t>
      </w:r>
    </w:p>
    <w:p>
      <w:pPr>
        <w:pStyle w:val="Fuente"/>
      </w:pPr>
      <w:r>
        <w:t xml:space="preserve">Ancla breve de comprobación: «vamos a poner en el examen».</w:t>
      </w:r>
    </w:p>
    <w:p>
      <w:pPr>
        <w:pStyle w:val="Heading3"/>
      </w:pPr>
      <w:bookmarkStart w:name="b_senal_c21_cap_10_1" w:id="6853"/>
      <w:r>
        <w:t xml:space="preserve">Clase 21 · 01:44:46</w:t>
      </w:r>
      <w:bookmarkEnd w:id="6853"/>
    </w:p>
    <w:p>
      <w:pPr>
        <w:pStyle w:val="Normal"/>
      </w:pPr>
      <w:r>
        <w:t xml:space="preserve">Insiste en practicar modelos de simulación y deja otro caso para analizar y responder.</w:t>
      </w:r>
    </w:p>
    <w:p>
      <w:pPr>
        <w:pStyle w:val="Fuente"/>
      </w:pPr>
      <w:r>
        <w:t xml:space="preserve">Ancla breve de comprobación: «práctica, práctica, práctica».</w:t>
      </w:r>
    </w:p>
    <w:p>
      <w:pPr>
        <w:pStyle w:val="Heading3"/>
      </w:pPr>
      <w:bookmarkStart w:name="b_senal_c22_cap_05_1" w:id="6854"/>
      <w:r>
        <w:t xml:space="preserve">Clase 22 · 00:42:49</w:t>
      </w:r>
      <w:bookmarkEnd w:id="6854"/>
    </w:p>
    <w:p>
      <w:pPr>
        <w:pStyle w:val="Normal"/>
      </w:pPr>
      <w:r>
        <w:t xml:space="preserve">Aclara que lo importante es identificar y evaluar escenarios y consecuencias, sin exigir simulación para toda decisión.</w:t>
      </w:r>
    </w:p>
    <w:p>
      <w:pPr>
        <w:pStyle w:val="Fuente"/>
      </w:pPr>
      <w:r>
        <w:t xml:space="preserve">Ancla breve de comprobación: «lo importante es identificar, evaluar y reconocer».</w:t>
      </w:r>
    </w:p>
    <w:p>
      <w:pPr>
        <w:pStyle w:val="Heading3"/>
      </w:pPr>
      <w:bookmarkStart w:name="b_senal_c22_cap_06_1" w:id="6855"/>
      <w:r>
        <w:t xml:space="preserve">Clase 22 · 00:53:50</w:t>
      </w:r>
      <w:bookmarkEnd w:id="6855"/>
    </w:p>
    <w:p>
      <w:pPr>
        <w:pStyle w:val="Normal"/>
      </w:pPr>
      <w:r>
        <w:t xml:space="preserve">Recuerda que las preguntas asociadas a los hábitos son guías para indagarse y generar otras pertinentes.</w:t>
      </w:r>
    </w:p>
    <w:p>
      <w:pPr>
        <w:pStyle w:val="Fuente"/>
      </w:pPr>
      <w:r>
        <w:t xml:space="preserve">Ancla breve de comprobación: «las preguntas que aparecen en estas láminas».</w:t>
      </w:r>
    </w:p>
    <w:p>
      <w:pPr>
        <w:pStyle w:val="Heading3"/>
      </w:pPr>
      <w:bookmarkStart w:name="b_senal_c22_cap_09_1" w:id="6856"/>
      <w:r>
        <w:t xml:space="preserve">Clase 22 · 01:24:24</w:t>
      </w:r>
      <w:bookmarkEnd w:id="6856"/>
    </w:p>
    <w:p>
      <w:pPr>
        <w:pStyle w:val="Normal"/>
      </w:pPr>
      <w:r>
        <w:t xml:space="preserve">Destaca como competencia aprender a tomarse tiempo y distinguir alivio temporal de solución fundamental.</w:t>
      </w:r>
    </w:p>
    <w:p>
      <w:pPr>
        <w:pStyle w:val="Fuente"/>
      </w:pPr>
      <w:r>
        <w:t xml:space="preserve">Ancla breve de comprobación: «un pensador sistémico tiene que aprender a hacer».</w:t>
      </w:r>
    </w:p>
    <w:p>
      <w:pPr>
        <w:pStyle w:val="Heading3"/>
      </w:pPr>
      <w:bookmarkStart w:name="b_senal_c22_cap_10_1" w:id="6857"/>
      <w:r>
        <w:t xml:space="preserve">Clase 22 · 01:31:51</w:t>
      </w:r>
      <w:bookmarkEnd w:id="6857"/>
    </w:p>
    <w:p>
      <w:pPr>
        <w:pStyle w:val="Normal"/>
      </w:pPr>
      <w:r>
        <w:t xml:space="preserve">Deja como lectura los ocho arquetipos y el video de tragedia de los comunes; se desarrollaron oralmente sólo dos.</w:t>
      </w:r>
    </w:p>
    <w:p>
      <w:pPr>
        <w:pStyle w:val="Fuente"/>
      </w:pPr>
      <w:r>
        <w:t xml:space="preserve">Ancla breve de comprobación: «les voy a dejar ahí de tarea».</w:t>
      </w:r>
    </w:p>
    <w:p>
      <w:pPr>
        <w:pStyle w:val="Heading3"/>
      </w:pPr>
      <w:bookmarkStart w:name="b_senal_c22_cap_10_2" w:id="6858"/>
      <w:r>
        <w:t xml:space="preserve">Clase 22 · 01:33:58</w:t>
      </w:r>
      <w:bookmarkEnd w:id="6858"/>
    </w:p>
    <w:p>
      <w:pPr>
        <w:pStyle w:val="Normal"/>
      </w:pPr>
      <w:r>
        <w:t xml:space="preserve">Pide complementar lo sintetizado en clase con lecturas y videos, y preguntar sobre lo no comprendido.</w:t>
      </w:r>
    </w:p>
    <w:p>
      <w:pPr>
        <w:pStyle w:val="Fuente"/>
      </w:pPr>
      <w:r>
        <w:t xml:space="preserve">Ancla breve de comprobación: «complementando lo sintetizado aquí en clase».</w:t>
      </w:r>
    </w:p>
    <w:p>
      <w:pPr>
        <w:pStyle w:val="Heading3"/>
      </w:pPr>
      <w:bookmarkStart w:name="b_senal_c23_cap_01_1" w:id="6859"/>
      <w:r>
        <w:t xml:space="preserve">Clase 23 · 00:02:42</w:t>
      </w:r>
      <w:bookmarkEnd w:id="6859"/>
    </w:p>
    <w:p>
      <w:pPr>
        <w:pStyle w:val="Normal"/>
      </w:pPr>
      <w:r>
        <w:t xml:space="preserve">El tercer parcial cubre simulación, flujos y niveles, arquetipos y los cuatro hábitos de decisión.</w:t>
      </w:r>
    </w:p>
    <w:p>
      <w:pPr>
        <w:pStyle w:val="Fuente"/>
      </w:pPr>
      <w:r>
        <w:t xml:space="preserve">Ancla breve de comprobación: «los contenidos que cubre esta unidad».</w:t>
      </w:r>
    </w:p>
    <w:p>
      <w:pPr>
        <w:pStyle w:val="Heading3"/>
      </w:pPr>
      <w:bookmarkStart w:name="b_senal_c23_cap_07_1" w:id="6860"/>
      <w:r>
        <w:t xml:space="preserve">Clase 23 · 00:57:51</w:t>
      </w:r>
      <w:bookmarkEnd w:id="6860"/>
    </w:p>
    <w:p>
      <w:pPr>
        <w:pStyle w:val="Normal"/>
      </w:pPr>
      <w:r>
        <w:t xml:space="preserve">El profesor pide formular una definición del efecto palanca; sirve como práctica de definición, no como anuncio del formato del final.</w:t>
      </w:r>
    </w:p>
    <w:p>
      <w:pPr>
        <w:pStyle w:val="Fuente"/>
      </w:pPr>
      <w:r>
        <w:t xml:space="preserve">Ancla breve de comprobación: «Si tuvieran que dar una definición».</w:t>
      </w:r>
    </w:p>
    <w:p>
      <w:pPr>
        <w:pStyle w:val="Heading3"/>
      </w:pPr>
      <w:bookmarkStart w:name="b_senal_c23_cap_08_1" w:id="6861"/>
      <w:r>
        <w:t xml:space="preserve">Clase 23 · 01:04:14</w:t>
      </w:r>
      <w:bookmarkEnd w:id="6861"/>
    </w:p>
    <w:p>
      <w:pPr>
        <w:pStyle w:val="Normal"/>
      </w:pPr>
      <w:r>
        <w:t xml:space="preserve">Relaciona los ajustes menores con una respuesta del segundo parcial sobre demoras; conservar ese contexto histórico.</w:t>
      </w:r>
    </w:p>
    <w:p>
      <w:pPr>
        <w:pStyle w:val="Fuente"/>
      </w:pPr>
      <w:r>
        <w:t xml:space="preserve">Ancla breve de comprobación: «preguntas del segundo examen parcial».</w:t>
      </w:r>
    </w:p>
    <w:p>
      <w:pPr>
        <w:pStyle w:val="Heading3"/>
      </w:pPr>
      <w:bookmarkStart w:name="b_senal_c23_cap_11_1" w:id="6862"/>
      <w:r>
        <w:t xml:space="preserve">Clase 23 · 01:35:05</w:t>
      </w:r>
      <w:bookmarkEnd w:id="6862"/>
    </w:p>
    <w:p>
      <w:pPr>
        <w:pStyle w:val="Normal"/>
      </w:pPr>
      <w:r>
        <w:t xml:space="preserve">Completar lecturas de últimos hábitos para el corto del sábado y resolver dudas.</w:t>
      </w:r>
    </w:p>
    <w:p>
      <w:pPr>
        <w:pStyle w:val="Fuente"/>
      </w:pPr>
      <w:r>
        <w:t xml:space="preserve">Ancla breve de comprobación: «completen su lectura».</w:t>
      </w:r>
    </w:p>
    <w:p>
      <w:pPr>
        <w:pStyle w:val="Heading3"/>
      </w:pPr>
      <w:bookmarkStart w:name="b_senal_c23_cap_11_2" w:id="6863"/>
      <w:r>
        <w:t xml:space="preserve">Clase 23 · 01:36:45</w:t>
      </w:r>
      <w:bookmarkEnd w:id="6863"/>
    </w:p>
    <w:p>
      <w:pPr>
        <w:pStyle w:val="Normal"/>
      </w:pPr>
      <w:r>
        <w:t xml:space="preserve">La división del tercer parcial en presencial y práctica virtual se propone, aún por confirmar.</w:t>
      </w:r>
    </w:p>
    <w:p>
      <w:pPr>
        <w:pStyle w:val="Fuente"/>
      </w:pPr>
      <w:r>
        <w:t xml:space="preserve">Ancla breve de comprobación: «les confirmo el próximo día».</w:t>
      </w:r>
    </w:p>
    <w:p>
      <w:pPr>
        <w:pStyle w:val="Heading3"/>
      </w:pPr>
      <w:bookmarkStart w:name="b_senal_c23_cap_11_3" w:id="6864"/>
      <w:r>
        <w:t xml:space="preserve">Clase 23 · 01:38:36</w:t>
      </w:r>
      <w:bookmarkEnd w:id="6864"/>
    </w:p>
    <w:p>
      <w:pPr>
        <w:pStyle w:val="Normal"/>
      </w:pPr>
      <w:r>
        <w:t xml:space="preserve">Advierte una confusión real en evaluaciones anteriores: no mezclar hábitos de paradigmas con los de estructura y los de decisión.</w:t>
      </w:r>
    </w:p>
    <w:p>
      <w:pPr>
        <w:pStyle w:val="Fuente"/>
      </w:pPr>
      <w:r>
        <w:t xml:space="preserve">Ancla breve de comprobación: «hubo confusión entre los hábitos».</w:t>
      </w:r>
    </w:p>
    <w:p>
      <w:pPr>
        <w:pStyle w:val="Heading3"/>
      </w:pPr>
      <w:bookmarkStart w:name="b_senal_c24_cap_01_1" w:id="6865"/>
      <w:r>
        <w:t xml:space="preserve">Clase 24 · 00:12:16</w:t>
      </w:r>
      <w:bookmarkEnd w:id="6865"/>
    </w:p>
    <w:p>
      <w:pPr>
        <w:pStyle w:val="Normal"/>
      </w:pPr>
      <w:r>
        <w:t xml:space="preserve">Confirma separar la ejecución de Vensim para la práctica virtual del 24; porcentajes aproximados del tercer parcial.</w:t>
      </w:r>
    </w:p>
    <w:p>
      <w:pPr>
        <w:pStyle w:val="Fuente"/>
      </w:pPr>
      <w:r>
        <w:t xml:space="preserve">Ancla breve de comprobación: «el jueves 22 de octubre».</w:t>
      </w:r>
    </w:p>
    <w:p>
      <w:pPr>
        <w:pStyle w:val="Heading3"/>
      </w:pPr>
      <w:bookmarkStart w:name="b_senal_c24_cap_03_1" w:id="6866"/>
      <w:r>
        <w:t xml:space="preserve">Clase 24 · 00:29:05</w:t>
      </w:r>
      <w:bookmarkEnd w:id="6866"/>
    </w:p>
    <w:p>
      <w:pPr>
        <w:pStyle w:val="Normal"/>
      </w:pPr>
      <w:r>
        <w:t xml:space="preserve">Teórico incluye interpretar, reconocer o dibujar diagramas en papel; no equivale a preguntas de memoria únicamente.</w:t>
      </w:r>
    </w:p>
    <w:p>
      <w:pPr>
        <w:pStyle w:val="Fuente"/>
      </w:pPr>
      <w:r>
        <w:t xml:space="preserve">Ancla breve de comprobación: «puede haber algunos modelos».</w:t>
      </w:r>
    </w:p>
    <w:p>
      <w:pPr>
        <w:pStyle w:val="Heading3"/>
      </w:pPr>
      <w:bookmarkStart w:name="b_senal_c24_cap_03_2" w:id="6867"/>
      <w:r>
        <w:t xml:space="preserve">Clase 24 · 00:31:21</w:t>
      </w:r>
      <w:bookmarkEnd w:id="6867"/>
    </w:p>
    <w:p>
      <w:pPr>
        <w:pStyle w:val="Normal"/>
      </w:pPr>
      <w:r>
        <w:t xml:space="preserve">Las lecturas y videos complementan lo explicado en clase para preparar la evaluación.</w:t>
      </w:r>
    </w:p>
    <w:p>
      <w:pPr>
        <w:pStyle w:val="Fuente"/>
      </w:pPr>
      <w:r>
        <w:t xml:space="preserve">Ancla breve de comprobación: «hayan estado revisando las lecturas».</w:t>
      </w:r>
    </w:p>
    <w:p>
      <w:pPr>
        <w:pStyle w:val="Heading3"/>
      </w:pPr>
      <w:bookmarkStart w:name="b_senal_c24_cap_08_1" w:id="6868"/>
      <w:r>
        <w:t xml:space="preserve">Clase 24 · 00:57:24</w:t>
      </w:r>
      <w:bookmarkEnd w:id="6868"/>
    </w:p>
    <w:p>
      <w:pPr>
        <w:pStyle w:val="Normal"/>
      </w:pPr>
      <w:r>
        <w:t xml:space="preserve">La posible cobertura de todo el contenido se refiere a la reposición del 29 y no queda confirmada; no prueba alcance ni formato oficial del final.</w:t>
      </w:r>
    </w:p>
    <w:p>
      <w:pPr>
        <w:pStyle w:val="Fuente"/>
      </w:pPr>
      <w:r>
        <w:t xml:space="preserve">Ancla breve de comprobación: «tipo cobertura de todo el contenido».</w:t>
      </w:r>
    </w:p>
    <w:p>
      <w:pPr>
        <w:pStyle w:val="Heading3"/>
      </w:pPr>
      <w:bookmarkStart w:name="b_senal_c24_cap_11_1" w:id="6869"/>
      <w:r>
        <w:t xml:space="preserve">Clase 24 · 01:15:19</w:t>
      </w:r>
      <w:bookmarkEnd w:id="6869"/>
    </w:p>
    <w:p>
      <w:pPr>
        <w:pStyle w:val="Normal"/>
      </w:pPr>
      <w:r>
        <w:t xml:space="preserve">La calificación incluye el procedimiento seguido y la interpretación; documentarlos en PDF.</w:t>
      </w:r>
    </w:p>
    <w:p>
      <w:pPr>
        <w:pStyle w:val="Fuente"/>
      </w:pPr>
      <w:r>
        <w:t xml:space="preserve">Ancla breve de comprobación: «no solo el resultado al final».</w:t>
      </w:r>
    </w:p>
    <w:p>
      <w:pPr>
        <w:pStyle w:val="Heading3"/>
      </w:pPr>
      <w:bookmarkStart w:name="b_senal_c24_cap_12_1" w:id="6870"/>
      <w:r>
        <w:t xml:space="preserve">Clase 24 · 01:16:09</w:t>
      </w:r>
      <w:bookmarkEnd w:id="6870"/>
    </w:p>
    <w:p>
      <w:pPr>
        <w:pStyle w:val="Normal"/>
      </w:pPr>
      <w:r>
        <w:t xml:space="preserve">El corto se presenta como práctica introductoria de lo que podría ser el tercer parcial; no se leen sus preguntas.</w:t>
      </w:r>
    </w:p>
    <w:p>
      <w:pPr>
        <w:pStyle w:val="Fuente"/>
      </w:pPr>
      <w:r>
        <w:t xml:space="preserve">Ancla breve de comprobación: «introductoria de lo que podría ser».</w:t>
      </w:r>
    </w:p>
    <w:p>
      <w:pPr>
        <w:pStyle w:val="Heading3"/>
      </w:pPr>
      <w:bookmarkStart w:name="b_senal_c24_cap_12_2" w:id="6871"/>
      <w:r>
        <w:t xml:space="preserve">Clase 24 · 01:17:09</w:t>
      </w:r>
      <w:bookmarkEnd w:id="6871"/>
    </w:p>
    <w:p>
      <w:pPr>
        <w:pStyle w:val="Normal"/>
      </w:pPr>
      <w:r>
        <w:t xml:space="preserve">El corto ofrece retroalimentación sobre su contenido; usar resultados para estudiar.</w:t>
      </w:r>
    </w:p>
    <w:p>
      <w:pPr>
        <w:pStyle w:val="Fuente"/>
      </w:pPr>
      <w:r>
        <w:t xml:space="preserve">Ancla breve de comprobación: «van a obtener la retroalimentación».</w:t>
      </w:r>
    </w:p>
    <w:p>
      <w:pPr>
        <w:pStyle w:val="Heading3"/>
      </w:pPr>
      <w:bookmarkStart w:name="b_senal_c24_cap_12_3" w:id="6872"/>
      <w:r>
        <w:t xml:space="preserve">Clase 24 · 01:17:56</w:t>
      </w:r>
      <w:bookmarkEnd w:id="6872"/>
    </w:p>
    <w:p>
      <w:pPr>
        <w:pStyle w:val="Normal"/>
      </w:pPr>
      <w:r>
        <w:t xml:space="preserve">Confirma capturas de datos y patrones Vensim como evidencia práctica.</w:t>
      </w:r>
    </w:p>
    <w:p>
      <w:pPr>
        <w:pStyle w:val="Fuente"/>
      </w:pPr>
      <w:r>
        <w:t xml:space="preserve">Ancla breve de comprobación: «capturas de pantalla de los datos».</w:t>
      </w:r>
    </w:p>
    <w:p>
      <w:pPr>
        <w:pStyle w:val="Heading3"/>
      </w:pPr>
      <w:bookmarkStart w:name="b_senal_c24_cap_12_4" w:id="6873"/>
      <w:r>
        <w:t xml:space="preserve">Clase 24 · 01:31:23</w:t>
      </w:r>
      <w:bookmarkEnd w:id="6873"/>
    </w:p>
    <w:p>
      <w:pPr>
        <w:pStyle w:val="Normal"/>
      </w:pPr>
      <w:r>
        <w:t xml:space="preserve">Las preguntas del corto son aleatorias sobre el contenido del tercer parcial; no equivalen al alcance del final.</w:t>
      </w:r>
    </w:p>
    <w:p>
      <w:pPr>
        <w:pStyle w:val="Fuente"/>
        <w:sectPr>
          <w:headerReference w:type="default" r:id="rId342"/>
          <w:headerReference w:type="first" r:id="rId343"/>
          <w:headerReference w:type="even" r:id="rId344"/>
          <w:footerReference w:type="default" r:id="rId345"/>
          <w:footerReference w:type="first" r:id="rId346"/>
          <w:footerReference w:type="even" r:id="rId347"/>
          <w:type w:val="nextPage"/>
          <w:pgSz w:w="12240" w:h="15840" w:orient="portrait"/>
          <w:pgMar w:top="1361" w:right="1134" w:bottom="1361" w:left="1474" w:header="650" w:footer="680" w:gutter="0"/>
          <w:pgNumType/>
          <w:titlePg/>
          <w:docGrid w:linePitch="360"/>
        </w:sectPr>
      </w:pPr>
      <w:r>
        <w:t xml:space="preserve">Ancla breve de comprobación: «preguntas aleatorias sobre el contenido».</w:t>
      </w:r>
    </w:p>
    <w:p>
      <w:pPr>
        <w:pStyle w:val="Heading2"/>
      </w:pPr>
      <w:bookmarkStart w:name="b_recetas" w:id="6874"/>
      <w:r>
        <w:t xml:space="preserve">B · Recetas reproducibles de Vensim</w:t>
      </w:r>
      <w:bookmarkEnd w:id="6874"/>
    </w:p>
    <w:p>
      <w:pPr>
        <w:pStyle w:val="Heading3"/>
      </w:pPr>
      <w:bookmarkStart w:name="b_receta_francisco" w:id="6875"/>
      <w:r>
        <w:t xml:space="preserve">Francisco: modelo original y variante sin compras negativas</w:t>
      </w:r>
      <w:bookmarkEnd w:id="6875"/>
    </w:p>
    <w:tbl>
      <w:tblPr>
        <w:tblW w:type="dxa" w:w="9632"/>
        <w:tblBorders>
          <w:top w:val="single" w:color="C5D5DB" w:sz="4"/>
          <w:left w:val="single" w:color="C5D5DB" w:sz="4"/>
          <w:bottom w:val="single" w:color="C5D5DB" w:sz="4"/>
          <w:right w:val="single" w:color="C5D5DB" w:sz="4"/>
          <w:insideH w:val="single" w:color="E4E9EB" w:sz="3"/>
          <w:insideV w:val="single" w:color="E4E9EB" w:sz="3"/>
        </w:tblBorders>
        <w:tblLayout w:type="fixed"/>
      </w:tblPr>
      <w:tblGrid>
        <w:gridCol w:w="4816"/>
        <w:gridCol w:w="4816"/>
      </w:tblGrid>
      <w:tr>
        <w:trPr>
          <w:cantSplit/>
          <w:tblHeader/>
        </w:trPr>
        <w:tc>
          <w:tcPr>
            <w:tcW w:type="dxa" w:w="4816"/>
            <w:shd w:fill="DFEAF0" w:val="clear"/>
            <w:tcMar>
              <w:top w:type="dxa" w:w="80"/>
              <w:left w:type="dxa" w:w="100"/>
              <w:bottom w:type="dxa" w:w="80"/>
              <w:right w:type="dxa" w:w="100"/>
            </w:tcMar>
          </w:tcPr>
          <w:p>
            <w:pPr>
              <w:pStyle w:val="Tabla"/>
            </w:pPr>
            <w:r>
              <w:rPr>
                <w:b/>
                <w:bCs/>
              </w:rPr>
              <w:t xml:space="preserve">Ajuste</w:t>
            </w:r>
          </w:p>
        </w:tc>
        <w:tc>
          <w:tcPr>
            <w:tcW w:type="dxa" w:w="4816"/>
            <w:shd w:fill="DFEAF0" w:val="clear"/>
            <w:tcMar>
              <w:top w:type="dxa" w:w="80"/>
              <w:left w:type="dxa" w:w="100"/>
              <w:bottom w:type="dxa" w:w="80"/>
              <w:right w:type="dxa" w:w="100"/>
            </w:tcMar>
          </w:tcPr>
          <w:p>
            <w:pPr>
              <w:pStyle w:val="Tabla"/>
            </w:pPr>
            <w:r>
              <w:rPr>
                <w:b/>
                <w:bCs/>
              </w:rPr>
              <w:t xml:space="preserve">Valor</w:t>
            </w:r>
          </w:p>
        </w:tc>
      </w:tr>
      <w:tr>
        <w:trPr>
          <w:cantSplit/>
          <w:tblHeader w:val="off"/>
        </w:trPr>
        <w:tc>
          <w:tcPr>
            <w:tcW w:type="dxa" w:w="4816"/>
            <w:tcMar>
              <w:top w:type="dxa" w:w="80"/>
              <w:left w:type="dxa" w:w="100"/>
              <w:bottom w:type="dxa" w:w="80"/>
              <w:right w:type="dxa" w:w="100"/>
            </w:tcMar>
          </w:tcPr>
          <w:p>
            <w:pPr>
              <w:pStyle w:val="Tabla"/>
            </w:pPr>
            <w:r>
              <w:t xml:space="preserve">INITIAL TIME</w:t>
            </w:r>
          </w:p>
        </w:tc>
        <w:tc>
          <w:tcPr>
            <w:tcW w:type="dxa" w:w="4816"/>
            <w:tcMar>
              <w:top w:type="dxa" w:w="80"/>
              <w:left w:type="dxa" w:w="100"/>
              <w:bottom w:type="dxa" w:w="80"/>
              <w:right w:type="dxa" w:w="100"/>
            </w:tcMar>
          </w:tcPr>
          <w:p>
            <w:pPr>
              <w:pStyle w:val="Tabla"/>
            </w:pPr>
            <w:r>
              <w:t xml:space="preserve">0</w:t>
            </w:r>
          </w:p>
        </w:tc>
      </w:tr>
      <w:tr>
        <w:trPr>
          <w:cantSplit/>
          <w:tblHeader w:val="off"/>
        </w:trPr>
        <w:tc>
          <w:tcPr>
            <w:tcW w:type="dxa" w:w="4816"/>
            <w:tcMar>
              <w:top w:type="dxa" w:w="80"/>
              <w:left w:type="dxa" w:w="100"/>
              <w:bottom w:type="dxa" w:w="80"/>
              <w:right w:type="dxa" w:w="100"/>
            </w:tcMar>
          </w:tcPr>
          <w:p>
            <w:pPr>
              <w:pStyle w:val="Tabla"/>
            </w:pPr>
            <w:r>
              <w:t xml:space="preserve">FINAL TIME</w:t>
            </w:r>
          </w:p>
        </w:tc>
        <w:tc>
          <w:tcPr>
            <w:tcW w:type="dxa" w:w="4816"/>
            <w:tcMar>
              <w:top w:type="dxa" w:w="80"/>
              <w:left w:type="dxa" w:w="100"/>
              <w:bottom w:type="dxa" w:w="80"/>
              <w:right w:type="dxa" w:w="100"/>
            </w:tcMar>
          </w:tcPr>
          <w:p>
            <w:pPr>
              <w:pStyle w:val="Tabla"/>
            </w:pPr>
            <w:r>
              <w:t xml:space="preserve">24</w:t>
            </w:r>
          </w:p>
        </w:tc>
      </w:tr>
      <w:tr>
        <w:trPr>
          <w:cantSplit/>
          <w:tblHeader w:val="off"/>
        </w:trPr>
        <w:tc>
          <w:tcPr>
            <w:tcW w:type="dxa" w:w="4816"/>
            <w:tcMar>
              <w:top w:type="dxa" w:w="80"/>
              <w:left w:type="dxa" w:w="100"/>
              <w:bottom w:type="dxa" w:w="80"/>
              <w:right w:type="dxa" w:w="100"/>
            </w:tcMar>
          </w:tcPr>
          <w:p>
            <w:pPr>
              <w:pStyle w:val="Tabla"/>
            </w:pPr>
            <w:r>
              <w:t xml:space="preserve">TIME STEP</w:t>
            </w:r>
          </w:p>
        </w:tc>
        <w:tc>
          <w:tcPr>
            <w:tcW w:type="dxa" w:w="4816"/>
            <w:tcMar>
              <w:top w:type="dxa" w:w="80"/>
              <w:left w:type="dxa" w:w="100"/>
              <w:bottom w:type="dxa" w:w="80"/>
              <w:right w:type="dxa" w:w="100"/>
            </w:tcMar>
          </w:tcPr>
          <w:p>
            <w:pPr>
              <w:pStyle w:val="Tabla"/>
            </w:pPr>
            <w:r>
              <w:t xml:space="preserve">1</w:t>
            </w:r>
          </w:p>
        </w:tc>
      </w:tr>
      <w:tr>
        <w:trPr>
          <w:cantSplit/>
          <w:tblHeader w:val="off"/>
        </w:trPr>
        <w:tc>
          <w:tcPr>
            <w:tcW w:type="dxa" w:w="4816"/>
            <w:tcMar>
              <w:top w:type="dxa" w:w="80"/>
              <w:left w:type="dxa" w:w="100"/>
              <w:bottom w:type="dxa" w:w="80"/>
              <w:right w:type="dxa" w:w="100"/>
            </w:tcMar>
          </w:tcPr>
          <w:p>
            <w:pPr>
              <w:pStyle w:val="Tabla"/>
            </w:pPr>
            <w:r>
              <w:t xml:space="preserve">Units for Time</w:t>
            </w:r>
          </w:p>
        </w:tc>
        <w:tc>
          <w:tcPr>
            <w:tcW w:type="dxa" w:w="4816"/>
            <w:tcMar>
              <w:top w:type="dxa" w:w="80"/>
              <w:left w:type="dxa" w:w="100"/>
              <w:bottom w:type="dxa" w:w="80"/>
              <w:right w:type="dxa" w:w="100"/>
            </w:tcMar>
          </w:tcPr>
          <w:p>
            <w:pPr>
              <w:pStyle w:val="Tabla"/>
            </w:pPr>
            <w:r>
              <w:t xml:space="preserve">Month</w:t>
            </w:r>
          </w:p>
        </w:tc>
      </w:tr>
      <w:tr>
        <w:trPr>
          <w:cantSplit/>
          <w:tblHeader w:val="off"/>
        </w:trPr>
        <w:tc>
          <w:tcPr>
            <w:tcW w:type="dxa" w:w="4816"/>
            <w:tcMar>
              <w:top w:type="dxa" w:w="80"/>
              <w:left w:type="dxa" w:w="100"/>
              <w:bottom w:type="dxa" w:w="80"/>
              <w:right w:type="dxa" w:w="100"/>
            </w:tcMar>
          </w:tcPr>
          <w:p>
            <w:pPr>
              <w:pStyle w:val="Tabla"/>
            </w:pPr>
            <w:r>
              <w:t xml:space="preserve">Integration Type</w:t>
            </w:r>
          </w:p>
        </w:tc>
        <w:tc>
          <w:tcPr>
            <w:tcW w:type="dxa" w:w="4816"/>
            <w:tcMar>
              <w:top w:type="dxa" w:w="80"/>
              <w:left w:type="dxa" w:w="100"/>
              <w:bottom w:type="dxa" w:w="80"/>
              <w:right w:type="dxa" w:w="100"/>
            </w:tcMar>
          </w:tcPr>
          <w:p>
            <w:pPr>
              <w:pStyle w:val="Tabla"/>
            </w:pPr>
            <w:r>
              <w:t xml:space="preserve">Euler</w:t>
            </w:r>
          </w:p>
        </w:tc>
      </w:tr>
    </w:tbl>
    <w:tbl>
      <w:tblPr>
        <w:tblW w:type="dxa" w:w="9632"/>
        <w:tblBorders>
          <w:top w:val="single" w:color="C5D5DB" w:sz="4"/>
          <w:left w:val="single" w:color="C5D5DB" w:sz="4"/>
          <w:bottom w:val="single" w:color="C5D5DB" w:sz="4"/>
          <w:right w:val="single" w:color="C5D5DB" w:sz="4"/>
          <w:insideH w:val="single" w:color="E4E9EB" w:sz="3"/>
          <w:insideV w:val="single" w:color="E4E9EB" w:sz="3"/>
        </w:tblBorders>
        <w:tblLayout w:type="fixed"/>
      </w:tblPr>
      <w:tblGrid>
        <w:gridCol w:w="2408"/>
        <w:gridCol w:w="2408"/>
        <w:gridCol w:w="2408"/>
        <w:gridCol w:w="2408"/>
      </w:tblGrid>
      <w:tr>
        <w:trPr>
          <w:cantSplit/>
          <w:tblHeader/>
        </w:trPr>
        <w:tc>
          <w:tcPr>
            <w:tcW w:type="dxa" w:w="2408"/>
            <w:shd w:fill="DFEAF0" w:val="clear"/>
            <w:tcMar>
              <w:top w:type="dxa" w:w="80"/>
              <w:left w:type="dxa" w:w="100"/>
              <w:bottom w:type="dxa" w:w="80"/>
              <w:right w:type="dxa" w:w="100"/>
            </w:tcMar>
          </w:tcPr>
          <w:p>
            <w:pPr>
              <w:pStyle w:val="Tabla"/>
            </w:pPr>
            <w:r>
              <w:rPr>
                <w:b/>
                <w:bCs/>
              </w:rPr>
              <w:t xml:space="preserve">Variable</w:t>
            </w:r>
          </w:p>
        </w:tc>
        <w:tc>
          <w:tcPr>
            <w:tcW w:type="dxa" w:w="2408"/>
            <w:shd w:fill="DFEAF0" w:val="clear"/>
            <w:tcMar>
              <w:top w:type="dxa" w:w="80"/>
              <w:left w:type="dxa" w:w="100"/>
              <w:bottom w:type="dxa" w:w="80"/>
              <w:right w:type="dxa" w:w="100"/>
            </w:tcMar>
          </w:tcPr>
          <w:p>
            <w:pPr>
              <w:pStyle w:val="Tabla"/>
            </w:pPr>
            <w:r>
              <w:rPr>
                <w:b/>
                <w:bCs/>
              </w:rPr>
              <w:t xml:space="preserve">Tipo</w:t>
            </w:r>
          </w:p>
        </w:tc>
        <w:tc>
          <w:tcPr>
            <w:tcW w:type="dxa" w:w="2408"/>
            <w:shd w:fill="DFEAF0" w:val="clear"/>
            <w:tcMar>
              <w:top w:type="dxa" w:w="80"/>
              <w:left w:type="dxa" w:w="100"/>
              <w:bottom w:type="dxa" w:w="80"/>
              <w:right w:type="dxa" w:w="100"/>
            </w:tcMar>
          </w:tcPr>
          <w:p>
            <w:pPr>
              <w:pStyle w:val="Tabla"/>
            </w:pPr>
            <w:r>
              <w:rPr>
                <w:b/>
                <w:bCs/>
              </w:rPr>
              <w:t xml:space="preserve">Ecuación</w:t>
            </w:r>
          </w:p>
        </w:tc>
        <w:tc>
          <w:tcPr>
            <w:tcW w:type="dxa" w:w="2408"/>
            <w:shd w:fill="DFEAF0" w:val="clear"/>
            <w:tcMar>
              <w:top w:type="dxa" w:w="80"/>
              <w:left w:type="dxa" w:w="100"/>
              <w:bottom w:type="dxa" w:w="80"/>
              <w:right w:type="dxa" w:w="100"/>
            </w:tcMar>
          </w:tcPr>
          <w:p>
            <w:pPr>
              <w:pStyle w:val="Tabla"/>
            </w:pPr>
            <w:r>
              <w:rPr>
                <w:b/>
                <w:bCs/>
              </w:rPr>
              <w:t xml:space="preserve">Unidades</w:t>
            </w:r>
          </w:p>
        </w:tc>
      </w:tr>
      <w:tr>
        <w:trPr>
          <w:cantSplit/>
          <w:tblHeader w:val="off"/>
        </w:trPr>
        <w:tc>
          <w:tcPr>
            <w:tcW w:type="dxa" w:w="2408"/>
            <w:tcMar>
              <w:top w:type="dxa" w:w="80"/>
              <w:left w:type="dxa" w:w="100"/>
              <w:bottom w:type="dxa" w:w="80"/>
              <w:right w:type="dxa" w:w="100"/>
            </w:tcMar>
          </w:tcPr>
          <w:p>
            <w:pPr>
              <w:pStyle w:val="Tabla"/>
            </w:pPr>
            <w:r>
              <w:t xml:space="preserve">Pendientes</w:t>
            </w:r>
          </w:p>
        </w:tc>
        <w:tc>
          <w:tcPr>
            <w:tcW w:type="dxa" w:w="2408"/>
            <w:tcMar>
              <w:top w:type="dxa" w:w="80"/>
              <w:left w:type="dxa" w:w="100"/>
              <w:bottom w:type="dxa" w:w="80"/>
              <w:right w:type="dxa" w:w="100"/>
            </w:tcMar>
          </w:tcPr>
          <w:p>
            <w:pPr>
              <w:pStyle w:val="Tabla"/>
            </w:pPr>
            <w:r>
              <w:t xml:space="preserve">Nivel</w:t>
            </w:r>
          </w:p>
        </w:tc>
        <w:tc>
          <w:tcPr>
            <w:tcW w:type="dxa" w:w="2408"/>
            <w:tcMar>
              <w:top w:type="dxa" w:w="80"/>
              <w:left w:type="dxa" w:w="100"/>
              <w:bottom w:type="dxa" w:w="80"/>
              <w:right w:type="dxa" w:w="100"/>
            </w:tcMar>
          </w:tcPr>
          <w:p>
            <w:pPr>
              <w:pStyle w:val="Tabla"/>
            </w:pPr>
            <w:r>
              <w:rPr>
                <w:rFonts w:ascii="Source Code Pro" w:cs="Source Code Pro" w:eastAsia="Source Code Pro" w:hAnsi="Source Code Pro"/>
                <w:sz w:val="16"/>
                <w:szCs w:val="16"/>
              </w:rPr>
              <w:t xml:space="preserve">INTEG(Compras - Lecturas, 20)</w:t>
            </w:r>
          </w:p>
        </w:tc>
        <w:tc>
          <w:tcPr>
            <w:tcW w:type="dxa" w:w="2408"/>
            <w:tcMar>
              <w:top w:type="dxa" w:w="80"/>
              <w:left w:type="dxa" w:w="100"/>
              <w:bottom w:type="dxa" w:w="80"/>
              <w:right w:type="dxa" w:w="100"/>
            </w:tcMar>
          </w:tcPr>
          <w:p>
            <w:pPr>
              <w:pStyle w:val="Tabla"/>
            </w:pPr>
            <w:r>
              <w:t xml:space="preserve">Libro</w:t>
            </w:r>
          </w:p>
        </w:tc>
      </w:tr>
      <w:tr>
        <w:trPr>
          <w:cantSplit/>
          <w:tblHeader w:val="off"/>
        </w:trPr>
        <w:tc>
          <w:tcPr>
            <w:tcW w:type="dxa" w:w="2408"/>
            <w:tcMar>
              <w:top w:type="dxa" w:w="80"/>
              <w:left w:type="dxa" w:w="100"/>
              <w:bottom w:type="dxa" w:w="80"/>
              <w:right w:type="dxa" w:w="100"/>
            </w:tcMar>
          </w:tcPr>
          <w:p>
            <w:pPr>
              <w:pStyle w:val="Tabla"/>
            </w:pPr>
            <w:r>
              <w:t xml:space="preserve">Compras</w:t>
            </w:r>
          </w:p>
        </w:tc>
        <w:tc>
          <w:tcPr>
            <w:tcW w:type="dxa" w:w="2408"/>
            <w:tcMar>
              <w:top w:type="dxa" w:w="80"/>
              <w:left w:type="dxa" w:w="100"/>
              <w:bottom w:type="dxa" w:w="80"/>
              <w:right w:type="dxa" w:w="100"/>
            </w:tcMar>
          </w:tcPr>
          <w:p>
            <w:pPr>
              <w:pStyle w:val="Tabla"/>
            </w:pPr>
            <w:r>
              <w:t xml:space="preserve">Flujo</w:t>
            </w:r>
          </w:p>
        </w:tc>
        <w:tc>
          <w:tcPr>
            <w:tcW w:type="dxa" w:w="2408"/>
            <w:tcMar>
              <w:top w:type="dxa" w:w="80"/>
              <w:left w:type="dxa" w:w="100"/>
              <w:bottom w:type="dxa" w:w="80"/>
              <w:right w:type="dxa" w:w="100"/>
            </w:tcMar>
          </w:tcPr>
          <w:p>
            <w:pPr>
              <w:pStyle w:val="Tabla"/>
            </w:pPr>
            <w:r>
              <w:rPr>
                <w:rFonts w:ascii="Source Code Pro" w:cs="Source Code Pro" w:eastAsia="Source Code Pro" w:hAnsi="Source Code Pro"/>
                <w:sz w:val="16"/>
                <w:szCs w:val="16"/>
              </w:rPr>
              <w:t xml:space="preserve">Adquisicion * Faltante</w:t>
            </w:r>
          </w:p>
        </w:tc>
        <w:tc>
          <w:tcPr>
            <w:tcW w:type="dxa" w:w="2408"/>
            <w:tcMar>
              <w:top w:type="dxa" w:w="80"/>
              <w:left w:type="dxa" w:w="100"/>
              <w:bottom w:type="dxa" w:w="80"/>
              <w:right w:type="dxa" w:w="100"/>
            </w:tcMar>
          </w:tcPr>
          <w:p>
            <w:pPr>
              <w:pStyle w:val="Tabla"/>
            </w:pPr>
            <w:r>
              <w:t xml:space="preserve">Libro/Month</w:t>
            </w:r>
          </w:p>
        </w:tc>
      </w:tr>
      <w:tr>
        <w:trPr>
          <w:cantSplit/>
          <w:tblHeader w:val="off"/>
        </w:trPr>
        <w:tc>
          <w:tcPr>
            <w:tcW w:type="dxa" w:w="2408"/>
            <w:tcMar>
              <w:top w:type="dxa" w:w="80"/>
              <w:left w:type="dxa" w:w="100"/>
              <w:bottom w:type="dxa" w:w="80"/>
              <w:right w:type="dxa" w:w="100"/>
            </w:tcMar>
          </w:tcPr>
          <w:p>
            <w:pPr>
              <w:pStyle w:val="Tabla"/>
            </w:pPr>
            <w:r>
              <w:t xml:space="preserve">Lecturas</w:t>
            </w:r>
          </w:p>
        </w:tc>
        <w:tc>
          <w:tcPr>
            <w:tcW w:type="dxa" w:w="2408"/>
            <w:tcMar>
              <w:top w:type="dxa" w:w="80"/>
              <w:left w:type="dxa" w:w="100"/>
              <w:bottom w:type="dxa" w:w="80"/>
              <w:right w:type="dxa" w:w="100"/>
            </w:tcMar>
          </w:tcPr>
          <w:p>
            <w:pPr>
              <w:pStyle w:val="Tabla"/>
            </w:pPr>
            <w:r>
              <w:t xml:space="preserve">Flujo</w:t>
            </w:r>
          </w:p>
        </w:tc>
        <w:tc>
          <w:tcPr>
            <w:tcW w:type="dxa" w:w="2408"/>
            <w:tcMar>
              <w:top w:type="dxa" w:w="80"/>
              <w:left w:type="dxa" w:w="100"/>
              <w:bottom w:type="dxa" w:w="80"/>
              <w:right w:type="dxa" w:w="100"/>
            </w:tcMar>
          </w:tcPr>
          <w:p>
            <w:pPr>
              <w:pStyle w:val="Tabla"/>
            </w:pPr>
            <w:r>
              <w:rPr>
                <w:rFonts w:ascii="Source Code Pro" w:cs="Source Code Pro" w:eastAsia="Source Code Pro" w:hAnsi="Source Code Pro"/>
                <w:sz w:val="16"/>
                <w:szCs w:val="16"/>
              </w:rPr>
              <w:t xml:space="preserve">Tasa lectura * Pendientes</w:t>
            </w:r>
          </w:p>
        </w:tc>
        <w:tc>
          <w:tcPr>
            <w:tcW w:type="dxa" w:w="2408"/>
            <w:tcMar>
              <w:top w:type="dxa" w:w="80"/>
              <w:left w:type="dxa" w:w="100"/>
              <w:bottom w:type="dxa" w:w="80"/>
              <w:right w:type="dxa" w:w="100"/>
            </w:tcMar>
          </w:tcPr>
          <w:p>
            <w:pPr>
              <w:pStyle w:val="Tabla"/>
            </w:pPr>
            <w:r>
              <w:t xml:space="preserve">Libro/Month</w:t>
            </w:r>
          </w:p>
        </w:tc>
      </w:tr>
      <w:tr>
        <w:trPr>
          <w:cantSplit/>
          <w:tblHeader w:val="off"/>
        </w:trPr>
        <w:tc>
          <w:tcPr>
            <w:tcW w:type="dxa" w:w="2408"/>
            <w:tcMar>
              <w:top w:type="dxa" w:w="80"/>
              <w:left w:type="dxa" w:w="100"/>
              <w:bottom w:type="dxa" w:w="80"/>
              <w:right w:type="dxa" w:w="100"/>
            </w:tcMar>
          </w:tcPr>
          <w:p>
            <w:pPr>
              <w:pStyle w:val="Tabla"/>
            </w:pPr>
            <w:r>
              <w:t xml:space="preserve">Faltante</w:t>
            </w:r>
          </w:p>
        </w:tc>
        <w:tc>
          <w:tcPr>
            <w:tcW w:type="dxa" w:w="2408"/>
            <w:tcMar>
              <w:top w:type="dxa" w:w="80"/>
              <w:left w:type="dxa" w:w="100"/>
              <w:bottom w:type="dxa" w:w="80"/>
              <w:right w:type="dxa" w:w="100"/>
            </w:tcMar>
          </w:tcPr>
          <w:p>
            <w:pPr>
              <w:pStyle w:val="Tabla"/>
            </w:pPr>
            <w:r>
              <w:t xml:space="preserve">Auxiliar</w:t>
            </w:r>
          </w:p>
        </w:tc>
        <w:tc>
          <w:tcPr>
            <w:tcW w:type="dxa" w:w="2408"/>
            <w:tcMar>
              <w:top w:type="dxa" w:w="80"/>
              <w:left w:type="dxa" w:w="100"/>
              <w:bottom w:type="dxa" w:w="80"/>
              <w:right w:type="dxa" w:w="100"/>
            </w:tcMar>
          </w:tcPr>
          <w:p>
            <w:pPr>
              <w:pStyle w:val="Tabla"/>
            </w:pPr>
            <w:r>
              <w:rPr>
                <w:rFonts w:ascii="Source Code Pro" w:cs="Source Code Pro" w:eastAsia="Source Code Pro" w:hAnsi="Source Code Pro"/>
                <w:sz w:val="16"/>
                <w:szCs w:val="16"/>
              </w:rPr>
              <w:t xml:space="preserve">Deseados - Pendientes</w:t>
            </w:r>
          </w:p>
        </w:tc>
        <w:tc>
          <w:tcPr>
            <w:tcW w:type="dxa" w:w="2408"/>
            <w:tcMar>
              <w:top w:type="dxa" w:w="80"/>
              <w:left w:type="dxa" w:w="100"/>
              <w:bottom w:type="dxa" w:w="80"/>
              <w:right w:type="dxa" w:w="100"/>
            </w:tcMar>
          </w:tcPr>
          <w:p>
            <w:pPr>
              <w:pStyle w:val="Tabla"/>
            </w:pPr>
            <w:r>
              <w:t xml:space="preserve">Libro</w:t>
            </w:r>
          </w:p>
        </w:tc>
      </w:tr>
      <w:tr>
        <w:trPr>
          <w:cantSplit/>
          <w:tblHeader w:val="off"/>
        </w:trPr>
        <w:tc>
          <w:tcPr>
            <w:tcW w:type="dxa" w:w="2408"/>
            <w:tcMar>
              <w:top w:type="dxa" w:w="80"/>
              <w:left w:type="dxa" w:w="100"/>
              <w:bottom w:type="dxa" w:w="80"/>
              <w:right w:type="dxa" w:w="100"/>
            </w:tcMar>
          </w:tcPr>
          <w:p>
            <w:pPr>
              <w:pStyle w:val="Tabla"/>
            </w:pPr>
            <w:r>
              <w:t xml:space="preserve">Deseados</w:t>
            </w:r>
          </w:p>
        </w:tc>
        <w:tc>
          <w:tcPr>
            <w:tcW w:type="dxa" w:w="2408"/>
            <w:tcMar>
              <w:top w:type="dxa" w:w="80"/>
              <w:left w:type="dxa" w:w="100"/>
              <w:bottom w:type="dxa" w:w="80"/>
              <w:right w:type="dxa" w:w="100"/>
            </w:tcMar>
          </w:tcPr>
          <w:p>
            <w:pPr>
              <w:pStyle w:val="Tabla"/>
            </w:pPr>
            <w:r>
              <w:t xml:space="preserve">Constante</w:t>
            </w:r>
          </w:p>
        </w:tc>
        <w:tc>
          <w:tcPr>
            <w:tcW w:type="dxa" w:w="2408"/>
            <w:tcMar>
              <w:top w:type="dxa" w:w="80"/>
              <w:left w:type="dxa" w:w="100"/>
              <w:bottom w:type="dxa" w:w="80"/>
              <w:right w:type="dxa" w:w="100"/>
            </w:tcMar>
          </w:tcPr>
          <w:p>
            <w:pPr>
              <w:pStyle w:val="Tabla"/>
            </w:pPr>
            <w:r>
              <w:rPr>
                <w:rFonts w:ascii="Source Code Pro" w:cs="Source Code Pro" w:eastAsia="Source Code Pro" w:hAnsi="Source Code Pro"/>
                <w:sz w:val="16"/>
                <w:szCs w:val="16"/>
              </w:rPr>
              <w:t xml:space="preserve">15</w:t>
            </w:r>
          </w:p>
        </w:tc>
        <w:tc>
          <w:tcPr>
            <w:tcW w:type="dxa" w:w="2408"/>
            <w:tcMar>
              <w:top w:type="dxa" w:w="80"/>
              <w:left w:type="dxa" w:w="100"/>
              <w:bottom w:type="dxa" w:w="80"/>
              <w:right w:type="dxa" w:w="100"/>
            </w:tcMar>
          </w:tcPr>
          <w:p>
            <w:pPr>
              <w:pStyle w:val="Tabla"/>
            </w:pPr>
            <w:r>
              <w:t xml:space="preserve">Libro</w:t>
            </w:r>
          </w:p>
        </w:tc>
      </w:tr>
      <w:tr>
        <w:trPr>
          <w:cantSplit/>
          <w:tblHeader w:val="off"/>
        </w:trPr>
        <w:tc>
          <w:tcPr>
            <w:tcW w:type="dxa" w:w="2408"/>
            <w:tcMar>
              <w:top w:type="dxa" w:w="80"/>
              <w:left w:type="dxa" w:w="100"/>
              <w:bottom w:type="dxa" w:w="80"/>
              <w:right w:type="dxa" w:w="100"/>
            </w:tcMar>
          </w:tcPr>
          <w:p>
            <w:pPr>
              <w:pStyle w:val="Tabla"/>
            </w:pPr>
            <w:r>
              <w:t xml:space="preserve">Adquisicion</w:t>
            </w:r>
          </w:p>
        </w:tc>
        <w:tc>
          <w:tcPr>
            <w:tcW w:type="dxa" w:w="2408"/>
            <w:tcMar>
              <w:top w:type="dxa" w:w="80"/>
              <w:left w:type="dxa" w:w="100"/>
              <w:bottom w:type="dxa" w:w="80"/>
              <w:right w:type="dxa" w:w="100"/>
            </w:tcMar>
          </w:tcPr>
          <w:p>
            <w:pPr>
              <w:pStyle w:val="Tabla"/>
            </w:pPr>
            <w:r>
              <w:t xml:space="preserve">Constante</w:t>
            </w:r>
          </w:p>
        </w:tc>
        <w:tc>
          <w:tcPr>
            <w:tcW w:type="dxa" w:w="2408"/>
            <w:tcMar>
              <w:top w:type="dxa" w:w="80"/>
              <w:left w:type="dxa" w:w="100"/>
              <w:bottom w:type="dxa" w:w="80"/>
              <w:right w:type="dxa" w:w="100"/>
            </w:tcMar>
          </w:tcPr>
          <w:p>
            <w:pPr>
              <w:pStyle w:val="Tabla"/>
            </w:pPr>
            <w:r>
              <w:rPr>
                <w:rFonts w:ascii="Source Code Pro" w:cs="Source Code Pro" w:eastAsia="Source Code Pro" w:hAnsi="Source Code Pro"/>
                <w:sz w:val="16"/>
                <w:szCs w:val="16"/>
              </w:rPr>
              <w:t xml:space="preserve">0.75</w:t>
            </w:r>
          </w:p>
        </w:tc>
        <w:tc>
          <w:tcPr>
            <w:tcW w:type="dxa" w:w="2408"/>
            <w:tcMar>
              <w:top w:type="dxa" w:w="80"/>
              <w:left w:type="dxa" w:w="100"/>
              <w:bottom w:type="dxa" w:w="80"/>
              <w:right w:type="dxa" w:w="100"/>
            </w:tcMar>
          </w:tcPr>
          <w:p>
            <w:pPr>
              <w:pStyle w:val="Tabla"/>
            </w:pPr>
            <w:r>
              <w:t xml:space="preserve">1/Month</w:t>
            </w:r>
          </w:p>
        </w:tc>
      </w:tr>
      <w:tr>
        <w:trPr>
          <w:cantSplit/>
          <w:tblHeader w:val="off"/>
        </w:trPr>
        <w:tc>
          <w:tcPr>
            <w:tcW w:type="dxa" w:w="2408"/>
            <w:tcMar>
              <w:top w:type="dxa" w:w="80"/>
              <w:left w:type="dxa" w:w="100"/>
              <w:bottom w:type="dxa" w:w="80"/>
              <w:right w:type="dxa" w:w="100"/>
            </w:tcMar>
          </w:tcPr>
          <w:p>
            <w:pPr>
              <w:pStyle w:val="Tabla"/>
            </w:pPr>
            <w:r>
              <w:t xml:space="preserve">Tasa lectura</w:t>
            </w:r>
          </w:p>
        </w:tc>
        <w:tc>
          <w:tcPr>
            <w:tcW w:type="dxa" w:w="2408"/>
            <w:tcMar>
              <w:top w:type="dxa" w:w="80"/>
              <w:left w:type="dxa" w:w="100"/>
              <w:bottom w:type="dxa" w:w="80"/>
              <w:right w:type="dxa" w:w="100"/>
            </w:tcMar>
          </w:tcPr>
          <w:p>
            <w:pPr>
              <w:pStyle w:val="Tabla"/>
            </w:pPr>
            <w:r>
              <w:t xml:space="preserve">Constante</w:t>
            </w:r>
          </w:p>
        </w:tc>
        <w:tc>
          <w:tcPr>
            <w:tcW w:type="dxa" w:w="2408"/>
            <w:tcMar>
              <w:top w:type="dxa" w:w="80"/>
              <w:left w:type="dxa" w:w="100"/>
              <w:bottom w:type="dxa" w:w="80"/>
              <w:right w:type="dxa" w:w="100"/>
            </w:tcMar>
          </w:tcPr>
          <w:p>
            <w:pPr>
              <w:pStyle w:val="Tabla"/>
            </w:pPr>
            <w:r>
              <w:rPr>
                <w:rFonts w:ascii="Source Code Pro" w:cs="Source Code Pro" w:eastAsia="Source Code Pro" w:hAnsi="Source Code Pro"/>
                <w:sz w:val="16"/>
                <w:szCs w:val="16"/>
              </w:rPr>
              <w:t xml:space="preserve">0.5</w:t>
            </w:r>
          </w:p>
        </w:tc>
        <w:tc>
          <w:tcPr>
            <w:tcW w:type="dxa" w:w="2408"/>
            <w:tcMar>
              <w:top w:type="dxa" w:w="80"/>
              <w:left w:type="dxa" w:w="100"/>
              <w:bottom w:type="dxa" w:w="80"/>
              <w:right w:type="dxa" w:w="100"/>
            </w:tcMar>
          </w:tcPr>
          <w:p>
            <w:pPr>
              <w:pStyle w:val="Tabla"/>
            </w:pPr>
            <w:r>
              <w:t xml:space="preserve">1/Month</w:t>
            </w:r>
          </w:p>
        </w:tc>
      </w:tr>
    </w:tbl>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Comprobación de la corrida</w:t>
            </w:r>
          </w:p>
          <w:p>
            <w:pPr>
              <w:pStyle w:val="Recuadro"/>
            </w:pPr>
            <w:r>
              <w:t xml:space="preserve">Modelo original: compras iniciales −3.75, lecturas 10 libros/mes; primer nivel 6.25 libros.</w:t>
            </w:r>
          </w:p>
          <w:p>
            <w:pPr>
              <w:pStyle w:val="Recuadro"/>
            </w:pPr>
            <w:r>
              <w:t xml:space="preserve">Equilibrio 9 libros: compras y lecturas 4.5 libros/mes. La referencia 15 no es el equilibrio.</w:t>
            </w:r>
          </w:p>
          <w:p>
            <w:pPr>
              <w:pStyle w:val="Recuadro"/>
            </w:pPr>
            <w:r>
              <w:t xml:space="preserve">Variante editorial: Compras = Adquisicion * MAX(0, Faltante). Primer nivel 10 libros. Guárdala con otro nombre y compara con el original.</w:t>
            </w:r>
          </w:p>
        </w:tc>
      </w:tr>
    </w:tbl>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9C620A" w:sz="20"/>
              <w:bottom w:val="nil"/>
              <w:right w:val="nil"/>
            </w:tcBorders>
            <w:shd w:fill="FBF3DF" w:val="clear"/>
            <w:tcMar>
              <w:top w:type="dxa" w:w="130"/>
              <w:left w:type="dxa" w:w="180"/>
              <w:bottom w:type="dxa" w:w="130"/>
              <w:right w:type="dxa" w:w="180"/>
            </w:tcMar>
          </w:tcPr>
          <w:p>
            <w:pPr>
              <w:pStyle w:val="RecuadroTitulo"/>
            </w:pPr>
            <w:r>
              <w:rPr>
                <w:b/>
                <w:bCs/>
                <w:color w:val="9C620A"/>
              </w:rPr>
              <w:t xml:space="preserve">Condiciones y límites</w:t>
            </w:r>
          </w:p>
          <w:p>
            <w:pPr>
              <w:pStyle w:val="Recuadro"/>
            </w:pPr>
            <w:r>
              <w:t xml:space="preserve">Conserva los estados fraccionarios. La oscilación de Euler mensual no es la trayectoria de la solución continua. Compras negativas son un problema de interpretación que debe explicarse, no ocultarse cambiando silenciosamente el modelo.</w:t>
            </w:r>
          </w:p>
        </w:tc>
      </w:tr>
    </w:tbl>
    <w:p>
      <w:pPr>
        <w:pStyle w:val="Fuente"/>
      </w:pPr>
      <w:r>
        <w:t xml:space="preserve">Presentación 4a de octubre (C-7), láminas 20 y 21 · Clase 20 · 00:51:13</w:t>
      </w:r>
    </w:p>
    <w:p>
      <w:pPr>
        <w:pStyle w:val="Heading3"/>
      </w:pPr>
      <w:bookmarkStart w:name="b_receta_prestamo" w:id="6876"/>
      <w:r>
        <w:t xml:space="preserve">El préstamo bancario sin pagos</w:t>
      </w:r>
      <w:bookmarkEnd w:id="6876"/>
    </w:p>
    <w:tbl>
      <w:tblPr>
        <w:tblW w:type="dxa" w:w="9632"/>
        <w:tblBorders>
          <w:top w:val="single" w:color="C5D5DB" w:sz="4"/>
          <w:left w:val="single" w:color="C5D5DB" w:sz="4"/>
          <w:bottom w:val="single" w:color="C5D5DB" w:sz="4"/>
          <w:right w:val="single" w:color="C5D5DB" w:sz="4"/>
          <w:insideH w:val="single" w:color="E4E9EB" w:sz="3"/>
          <w:insideV w:val="single" w:color="E4E9EB" w:sz="3"/>
        </w:tblBorders>
        <w:tblLayout w:type="fixed"/>
      </w:tblPr>
      <w:tblGrid>
        <w:gridCol w:w="4816"/>
        <w:gridCol w:w="4816"/>
      </w:tblGrid>
      <w:tr>
        <w:trPr>
          <w:cantSplit/>
          <w:tblHeader/>
        </w:trPr>
        <w:tc>
          <w:tcPr>
            <w:tcW w:type="dxa" w:w="4816"/>
            <w:shd w:fill="DFEAF0" w:val="clear"/>
            <w:tcMar>
              <w:top w:type="dxa" w:w="80"/>
              <w:left w:type="dxa" w:w="100"/>
              <w:bottom w:type="dxa" w:w="80"/>
              <w:right w:type="dxa" w:w="100"/>
            </w:tcMar>
          </w:tcPr>
          <w:p>
            <w:pPr>
              <w:pStyle w:val="Tabla"/>
            </w:pPr>
            <w:r>
              <w:rPr>
                <w:b/>
                <w:bCs/>
              </w:rPr>
              <w:t xml:space="preserve">Ajuste</w:t>
            </w:r>
          </w:p>
        </w:tc>
        <w:tc>
          <w:tcPr>
            <w:tcW w:type="dxa" w:w="4816"/>
            <w:shd w:fill="DFEAF0" w:val="clear"/>
            <w:tcMar>
              <w:top w:type="dxa" w:w="80"/>
              <w:left w:type="dxa" w:w="100"/>
              <w:bottom w:type="dxa" w:w="80"/>
              <w:right w:type="dxa" w:w="100"/>
            </w:tcMar>
          </w:tcPr>
          <w:p>
            <w:pPr>
              <w:pStyle w:val="Tabla"/>
            </w:pPr>
            <w:r>
              <w:rPr>
                <w:b/>
                <w:bCs/>
              </w:rPr>
              <w:t xml:space="preserve">Valor</w:t>
            </w:r>
          </w:p>
        </w:tc>
      </w:tr>
      <w:tr>
        <w:trPr>
          <w:cantSplit/>
          <w:tblHeader w:val="off"/>
        </w:trPr>
        <w:tc>
          <w:tcPr>
            <w:tcW w:type="dxa" w:w="4816"/>
            <w:tcMar>
              <w:top w:type="dxa" w:w="80"/>
              <w:left w:type="dxa" w:w="100"/>
              <w:bottom w:type="dxa" w:w="80"/>
              <w:right w:type="dxa" w:w="100"/>
            </w:tcMar>
          </w:tcPr>
          <w:p>
            <w:pPr>
              <w:pStyle w:val="Tabla"/>
            </w:pPr>
            <w:r>
              <w:t xml:space="preserve">INITIAL TIME</w:t>
            </w:r>
          </w:p>
        </w:tc>
        <w:tc>
          <w:tcPr>
            <w:tcW w:type="dxa" w:w="4816"/>
            <w:tcMar>
              <w:top w:type="dxa" w:w="80"/>
              <w:left w:type="dxa" w:w="100"/>
              <w:bottom w:type="dxa" w:w="80"/>
              <w:right w:type="dxa" w:w="100"/>
            </w:tcMar>
          </w:tcPr>
          <w:p>
            <w:pPr>
              <w:pStyle w:val="Tabla"/>
            </w:pPr>
            <w:r>
              <w:t xml:space="preserve">0</w:t>
            </w:r>
          </w:p>
        </w:tc>
      </w:tr>
      <w:tr>
        <w:trPr>
          <w:cantSplit/>
          <w:tblHeader w:val="off"/>
        </w:trPr>
        <w:tc>
          <w:tcPr>
            <w:tcW w:type="dxa" w:w="4816"/>
            <w:tcMar>
              <w:top w:type="dxa" w:w="80"/>
              <w:left w:type="dxa" w:w="100"/>
              <w:bottom w:type="dxa" w:w="80"/>
              <w:right w:type="dxa" w:w="100"/>
            </w:tcMar>
          </w:tcPr>
          <w:p>
            <w:pPr>
              <w:pStyle w:val="Tabla"/>
            </w:pPr>
            <w:r>
              <w:t xml:space="preserve">FINAL TIME</w:t>
            </w:r>
          </w:p>
        </w:tc>
        <w:tc>
          <w:tcPr>
            <w:tcW w:type="dxa" w:w="4816"/>
            <w:tcMar>
              <w:top w:type="dxa" w:w="80"/>
              <w:left w:type="dxa" w:w="100"/>
              <w:bottom w:type="dxa" w:w="80"/>
              <w:right w:type="dxa" w:w="100"/>
            </w:tcMar>
          </w:tcPr>
          <w:p>
            <w:pPr>
              <w:pStyle w:val="Tabla"/>
            </w:pPr>
            <w:r>
              <w:t xml:space="preserve">24</w:t>
            </w:r>
          </w:p>
        </w:tc>
      </w:tr>
      <w:tr>
        <w:trPr>
          <w:cantSplit/>
          <w:tblHeader w:val="off"/>
        </w:trPr>
        <w:tc>
          <w:tcPr>
            <w:tcW w:type="dxa" w:w="4816"/>
            <w:tcMar>
              <w:top w:type="dxa" w:w="80"/>
              <w:left w:type="dxa" w:w="100"/>
              <w:bottom w:type="dxa" w:w="80"/>
              <w:right w:type="dxa" w:w="100"/>
            </w:tcMar>
          </w:tcPr>
          <w:p>
            <w:pPr>
              <w:pStyle w:val="Tabla"/>
            </w:pPr>
            <w:r>
              <w:t xml:space="preserve">TIME STEP</w:t>
            </w:r>
          </w:p>
        </w:tc>
        <w:tc>
          <w:tcPr>
            <w:tcW w:type="dxa" w:w="4816"/>
            <w:tcMar>
              <w:top w:type="dxa" w:w="80"/>
              <w:left w:type="dxa" w:w="100"/>
              <w:bottom w:type="dxa" w:w="80"/>
              <w:right w:type="dxa" w:w="100"/>
            </w:tcMar>
          </w:tcPr>
          <w:p>
            <w:pPr>
              <w:pStyle w:val="Tabla"/>
            </w:pPr>
            <w:r>
              <w:t xml:space="preserve">1</w:t>
            </w:r>
          </w:p>
        </w:tc>
      </w:tr>
      <w:tr>
        <w:trPr>
          <w:cantSplit/>
          <w:tblHeader w:val="off"/>
        </w:trPr>
        <w:tc>
          <w:tcPr>
            <w:tcW w:type="dxa" w:w="4816"/>
            <w:tcMar>
              <w:top w:type="dxa" w:w="80"/>
              <w:left w:type="dxa" w:w="100"/>
              <w:bottom w:type="dxa" w:w="80"/>
              <w:right w:type="dxa" w:w="100"/>
            </w:tcMar>
          </w:tcPr>
          <w:p>
            <w:pPr>
              <w:pStyle w:val="Tabla"/>
            </w:pPr>
            <w:r>
              <w:t xml:space="preserve">Units for Time</w:t>
            </w:r>
          </w:p>
        </w:tc>
        <w:tc>
          <w:tcPr>
            <w:tcW w:type="dxa" w:w="4816"/>
            <w:tcMar>
              <w:top w:type="dxa" w:w="80"/>
              <w:left w:type="dxa" w:w="100"/>
              <w:bottom w:type="dxa" w:w="80"/>
              <w:right w:type="dxa" w:w="100"/>
            </w:tcMar>
          </w:tcPr>
          <w:p>
            <w:pPr>
              <w:pStyle w:val="Tabla"/>
            </w:pPr>
            <w:r>
              <w:t xml:space="preserve">Month</w:t>
            </w:r>
          </w:p>
        </w:tc>
      </w:tr>
      <w:tr>
        <w:trPr>
          <w:cantSplit/>
          <w:tblHeader w:val="off"/>
        </w:trPr>
        <w:tc>
          <w:tcPr>
            <w:tcW w:type="dxa" w:w="4816"/>
            <w:tcMar>
              <w:top w:type="dxa" w:w="80"/>
              <w:left w:type="dxa" w:w="100"/>
              <w:bottom w:type="dxa" w:w="80"/>
              <w:right w:type="dxa" w:w="100"/>
            </w:tcMar>
          </w:tcPr>
          <w:p>
            <w:pPr>
              <w:pStyle w:val="Tabla"/>
            </w:pPr>
            <w:r>
              <w:t xml:space="preserve">Integration Type</w:t>
            </w:r>
          </w:p>
        </w:tc>
        <w:tc>
          <w:tcPr>
            <w:tcW w:type="dxa" w:w="4816"/>
            <w:tcMar>
              <w:top w:type="dxa" w:w="80"/>
              <w:left w:type="dxa" w:w="100"/>
              <w:bottom w:type="dxa" w:w="80"/>
              <w:right w:type="dxa" w:w="100"/>
            </w:tcMar>
          </w:tcPr>
          <w:p>
            <w:pPr>
              <w:pStyle w:val="Tabla"/>
            </w:pPr>
            <w:r>
              <w:t xml:space="preserve">Euler</w:t>
            </w:r>
          </w:p>
        </w:tc>
      </w:tr>
    </w:tbl>
    <w:tbl>
      <w:tblPr>
        <w:tblW w:type="dxa" w:w="9632"/>
        <w:tblBorders>
          <w:top w:val="single" w:color="C5D5DB" w:sz="4"/>
          <w:left w:val="single" w:color="C5D5DB" w:sz="4"/>
          <w:bottom w:val="single" w:color="C5D5DB" w:sz="4"/>
          <w:right w:val="single" w:color="C5D5DB" w:sz="4"/>
          <w:insideH w:val="single" w:color="E4E9EB" w:sz="3"/>
          <w:insideV w:val="single" w:color="E4E9EB" w:sz="3"/>
        </w:tblBorders>
        <w:tblLayout w:type="fixed"/>
      </w:tblPr>
      <w:tblGrid>
        <w:gridCol w:w="2408"/>
        <w:gridCol w:w="2408"/>
        <w:gridCol w:w="2408"/>
        <w:gridCol w:w="2408"/>
      </w:tblGrid>
      <w:tr>
        <w:trPr>
          <w:cantSplit/>
          <w:tblHeader/>
        </w:trPr>
        <w:tc>
          <w:tcPr>
            <w:tcW w:type="dxa" w:w="2408"/>
            <w:shd w:fill="DFEAF0" w:val="clear"/>
            <w:tcMar>
              <w:top w:type="dxa" w:w="80"/>
              <w:left w:type="dxa" w:w="100"/>
              <w:bottom w:type="dxa" w:w="80"/>
              <w:right w:type="dxa" w:w="100"/>
            </w:tcMar>
          </w:tcPr>
          <w:p>
            <w:pPr>
              <w:pStyle w:val="Tabla"/>
            </w:pPr>
            <w:r>
              <w:rPr>
                <w:b/>
                <w:bCs/>
              </w:rPr>
              <w:t xml:space="preserve">Variable</w:t>
            </w:r>
          </w:p>
        </w:tc>
        <w:tc>
          <w:tcPr>
            <w:tcW w:type="dxa" w:w="2408"/>
            <w:shd w:fill="DFEAF0" w:val="clear"/>
            <w:tcMar>
              <w:top w:type="dxa" w:w="80"/>
              <w:left w:type="dxa" w:w="100"/>
              <w:bottom w:type="dxa" w:w="80"/>
              <w:right w:type="dxa" w:w="100"/>
            </w:tcMar>
          </w:tcPr>
          <w:p>
            <w:pPr>
              <w:pStyle w:val="Tabla"/>
            </w:pPr>
            <w:r>
              <w:rPr>
                <w:b/>
                <w:bCs/>
              </w:rPr>
              <w:t xml:space="preserve">Tipo</w:t>
            </w:r>
          </w:p>
        </w:tc>
        <w:tc>
          <w:tcPr>
            <w:tcW w:type="dxa" w:w="2408"/>
            <w:shd w:fill="DFEAF0" w:val="clear"/>
            <w:tcMar>
              <w:top w:type="dxa" w:w="80"/>
              <w:left w:type="dxa" w:w="100"/>
              <w:bottom w:type="dxa" w:w="80"/>
              <w:right w:type="dxa" w:w="100"/>
            </w:tcMar>
          </w:tcPr>
          <w:p>
            <w:pPr>
              <w:pStyle w:val="Tabla"/>
            </w:pPr>
            <w:r>
              <w:rPr>
                <w:b/>
                <w:bCs/>
              </w:rPr>
              <w:t xml:space="preserve">Ecuación</w:t>
            </w:r>
          </w:p>
        </w:tc>
        <w:tc>
          <w:tcPr>
            <w:tcW w:type="dxa" w:w="2408"/>
            <w:shd w:fill="DFEAF0" w:val="clear"/>
            <w:tcMar>
              <w:top w:type="dxa" w:w="80"/>
              <w:left w:type="dxa" w:w="100"/>
              <w:bottom w:type="dxa" w:w="80"/>
              <w:right w:type="dxa" w:w="100"/>
            </w:tcMar>
          </w:tcPr>
          <w:p>
            <w:pPr>
              <w:pStyle w:val="Tabla"/>
            </w:pPr>
            <w:r>
              <w:rPr>
                <w:b/>
                <w:bCs/>
              </w:rPr>
              <w:t xml:space="preserve">Unidades</w:t>
            </w:r>
          </w:p>
        </w:tc>
      </w:tr>
      <w:tr>
        <w:trPr>
          <w:cantSplit/>
          <w:tblHeader w:val="off"/>
        </w:trPr>
        <w:tc>
          <w:tcPr>
            <w:tcW w:type="dxa" w:w="2408"/>
            <w:tcMar>
              <w:top w:type="dxa" w:w="80"/>
              <w:left w:type="dxa" w:w="100"/>
              <w:bottom w:type="dxa" w:w="80"/>
              <w:right w:type="dxa" w:w="100"/>
            </w:tcMar>
          </w:tcPr>
          <w:p>
            <w:pPr>
              <w:pStyle w:val="Tabla"/>
            </w:pPr>
            <w:r>
              <w:t xml:space="preserve">Saldo banco 1</w:t>
            </w:r>
          </w:p>
        </w:tc>
        <w:tc>
          <w:tcPr>
            <w:tcW w:type="dxa" w:w="2408"/>
            <w:tcMar>
              <w:top w:type="dxa" w:w="80"/>
              <w:left w:type="dxa" w:w="100"/>
              <w:bottom w:type="dxa" w:w="80"/>
              <w:right w:type="dxa" w:w="100"/>
            </w:tcMar>
          </w:tcPr>
          <w:p>
            <w:pPr>
              <w:pStyle w:val="Tabla"/>
            </w:pPr>
            <w:r>
              <w:t xml:space="preserve">Nivel</w:t>
            </w:r>
          </w:p>
        </w:tc>
        <w:tc>
          <w:tcPr>
            <w:tcW w:type="dxa" w:w="2408"/>
            <w:tcMar>
              <w:top w:type="dxa" w:w="80"/>
              <w:left w:type="dxa" w:w="100"/>
              <w:bottom w:type="dxa" w:w="80"/>
              <w:right w:type="dxa" w:w="100"/>
            </w:tcMar>
          </w:tcPr>
          <w:p>
            <w:pPr>
              <w:pStyle w:val="Tabla"/>
            </w:pPr>
            <w:r>
              <w:rPr>
                <w:rFonts w:ascii="Source Code Pro" w:cs="Source Code Pro" w:eastAsia="Source Code Pro" w:hAnsi="Source Code Pro"/>
                <w:sz w:val="16"/>
                <w:szCs w:val="16"/>
              </w:rPr>
              <w:t xml:space="preserve">INTEG(Intereses banco 1, 2000)</w:t>
            </w:r>
          </w:p>
        </w:tc>
        <w:tc>
          <w:tcPr>
            <w:tcW w:type="dxa" w:w="2408"/>
            <w:tcMar>
              <w:top w:type="dxa" w:w="80"/>
              <w:left w:type="dxa" w:w="100"/>
              <w:bottom w:type="dxa" w:w="80"/>
              <w:right w:type="dxa" w:w="100"/>
            </w:tcMar>
          </w:tcPr>
          <w:p>
            <w:pPr>
              <w:pStyle w:val="Tabla"/>
            </w:pPr>
            <w:r>
              <w:t xml:space="preserve">Dollar</w:t>
            </w:r>
          </w:p>
        </w:tc>
      </w:tr>
      <w:tr>
        <w:trPr>
          <w:cantSplit/>
          <w:tblHeader w:val="off"/>
        </w:trPr>
        <w:tc>
          <w:tcPr>
            <w:tcW w:type="dxa" w:w="2408"/>
            <w:tcMar>
              <w:top w:type="dxa" w:w="80"/>
              <w:left w:type="dxa" w:w="100"/>
              <w:bottom w:type="dxa" w:w="80"/>
              <w:right w:type="dxa" w:w="100"/>
            </w:tcMar>
          </w:tcPr>
          <w:p>
            <w:pPr>
              <w:pStyle w:val="Tabla"/>
            </w:pPr>
            <w:r>
              <w:t xml:space="preserve">Intereses banco 1</w:t>
            </w:r>
          </w:p>
        </w:tc>
        <w:tc>
          <w:tcPr>
            <w:tcW w:type="dxa" w:w="2408"/>
            <w:tcMar>
              <w:top w:type="dxa" w:w="80"/>
              <w:left w:type="dxa" w:w="100"/>
              <w:bottom w:type="dxa" w:w="80"/>
              <w:right w:type="dxa" w:w="100"/>
            </w:tcMar>
          </w:tcPr>
          <w:p>
            <w:pPr>
              <w:pStyle w:val="Tabla"/>
            </w:pPr>
            <w:r>
              <w:t xml:space="preserve">Flujo</w:t>
            </w:r>
          </w:p>
        </w:tc>
        <w:tc>
          <w:tcPr>
            <w:tcW w:type="dxa" w:w="2408"/>
            <w:tcMar>
              <w:top w:type="dxa" w:w="80"/>
              <w:left w:type="dxa" w:w="100"/>
              <w:bottom w:type="dxa" w:w="80"/>
              <w:right w:type="dxa" w:w="100"/>
            </w:tcMar>
          </w:tcPr>
          <w:p>
            <w:pPr>
              <w:pStyle w:val="Tabla"/>
            </w:pPr>
            <w:r>
              <w:rPr>
                <w:rFonts w:ascii="Source Code Pro" w:cs="Source Code Pro" w:eastAsia="Source Code Pro" w:hAnsi="Source Code Pro"/>
                <w:sz w:val="16"/>
                <w:szCs w:val="16"/>
              </w:rPr>
              <w:t xml:space="preserve">Tasa banco 1 * Saldo banco 1</w:t>
            </w:r>
          </w:p>
        </w:tc>
        <w:tc>
          <w:tcPr>
            <w:tcW w:type="dxa" w:w="2408"/>
            <w:tcMar>
              <w:top w:type="dxa" w:w="80"/>
              <w:left w:type="dxa" w:w="100"/>
              <w:bottom w:type="dxa" w:w="80"/>
              <w:right w:type="dxa" w:w="100"/>
            </w:tcMar>
          </w:tcPr>
          <w:p>
            <w:pPr>
              <w:pStyle w:val="Tabla"/>
            </w:pPr>
            <w:r>
              <w:t xml:space="preserve">Dollar/Month</w:t>
            </w:r>
          </w:p>
        </w:tc>
      </w:tr>
      <w:tr>
        <w:trPr>
          <w:cantSplit/>
          <w:tblHeader w:val="off"/>
        </w:trPr>
        <w:tc>
          <w:tcPr>
            <w:tcW w:type="dxa" w:w="2408"/>
            <w:tcMar>
              <w:top w:type="dxa" w:w="80"/>
              <w:left w:type="dxa" w:w="100"/>
              <w:bottom w:type="dxa" w:w="80"/>
              <w:right w:type="dxa" w:w="100"/>
            </w:tcMar>
          </w:tcPr>
          <w:p>
            <w:pPr>
              <w:pStyle w:val="Tabla"/>
            </w:pPr>
            <w:r>
              <w:t xml:space="preserve">Tasa banco 1</w:t>
            </w:r>
          </w:p>
        </w:tc>
        <w:tc>
          <w:tcPr>
            <w:tcW w:type="dxa" w:w="2408"/>
            <w:tcMar>
              <w:top w:type="dxa" w:w="80"/>
              <w:left w:type="dxa" w:w="100"/>
              <w:bottom w:type="dxa" w:w="80"/>
              <w:right w:type="dxa" w:w="100"/>
            </w:tcMar>
          </w:tcPr>
          <w:p>
            <w:pPr>
              <w:pStyle w:val="Tabla"/>
            </w:pPr>
            <w:r>
              <w:t xml:space="preserve">Constante</w:t>
            </w:r>
          </w:p>
        </w:tc>
        <w:tc>
          <w:tcPr>
            <w:tcW w:type="dxa" w:w="2408"/>
            <w:tcMar>
              <w:top w:type="dxa" w:w="80"/>
              <w:left w:type="dxa" w:w="100"/>
              <w:bottom w:type="dxa" w:w="80"/>
              <w:right w:type="dxa" w:w="100"/>
            </w:tcMar>
          </w:tcPr>
          <w:p>
            <w:pPr>
              <w:pStyle w:val="Tabla"/>
            </w:pPr>
            <w:r>
              <w:rPr>
                <w:rFonts w:ascii="Source Code Pro" w:cs="Source Code Pro" w:eastAsia="Source Code Pro" w:hAnsi="Source Code Pro"/>
                <w:sz w:val="16"/>
                <w:szCs w:val="16"/>
              </w:rPr>
              <w:t xml:space="preserve">0.05</w:t>
            </w:r>
          </w:p>
        </w:tc>
        <w:tc>
          <w:tcPr>
            <w:tcW w:type="dxa" w:w="2408"/>
            <w:tcMar>
              <w:top w:type="dxa" w:w="80"/>
              <w:left w:type="dxa" w:w="100"/>
              <w:bottom w:type="dxa" w:w="80"/>
              <w:right w:type="dxa" w:w="100"/>
            </w:tcMar>
          </w:tcPr>
          <w:p>
            <w:pPr>
              <w:pStyle w:val="Tabla"/>
            </w:pPr>
            <w:r>
              <w:t xml:space="preserve">1/Month</w:t>
            </w:r>
          </w:p>
        </w:tc>
      </w:tr>
      <w:tr>
        <w:trPr>
          <w:cantSplit/>
          <w:tblHeader w:val="off"/>
        </w:trPr>
        <w:tc>
          <w:tcPr>
            <w:tcW w:type="dxa" w:w="2408"/>
            <w:tcMar>
              <w:top w:type="dxa" w:w="80"/>
              <w:left w:type="dxa" w:w="100"/>
              <w:bottom w:type="dxa" w:w="80"/>
              <w:right w:type="dxa" w:w="100"/>
            </w:tcMar>
          </w:tcPr>
          <w:p>
            <w:pPr>
              <w:pStyle w:val="Tabla"/>
            </w:pPr>
            <w:r>
              <w:t xml:space="preserve">Saldo banco 2</w:t>
            </w:r>
          </w:p>
        </w:tc>
        <w:tc>
          <w:tcPr>
            <w:tcW w:type="dxa" w:w="2408"/>
            <w:tcMar>
              <w:top w:type="dxa" w:w="80"/>
              <w:left w:type="dxa" w:w="100"/>
              <w:bottom w:type="dxa" w:w="80"/>
              <w:right w:type="dxa" w:w="100"/>
            </w:tcMar>
          </w:tcPr>
          <w:p>
            <w:pPr>
              <w:pStyle w:val="Tabla"/>
            </w:pPr>
            <w:r>
              <w:t xml:space="preserve">Nivel</w:t>
            </w:r>
          </w:p>
        </w:tc>
        <w:tc>
          <w:tcPr>
            <w:tcW w:type="dxa" w:w="2408"/>
            <w:tcMar>
              <w:top w:type="dxa" w:w="80"/>
              <w:left w:type="dxa" w:w="100"/>
              <w:bottom w:type="dxa" w:w="80"/>
              <w:right w:type="dxa" w:w="100"/>
            </w:tcMar>
          </w:tcPr>
          <w:p>
            <w:pPr>
              <w:pStyle w:val="Tabla"/>
            </w:pPr>
            <w:r>
              <w:rPr>
                <w:rFonts w:ascii="Source Code Pro" w:cs="Source Code Pro" w:eastAsia="Source Code Pro" w:hAnsi="Source Code Pro"/>
                <w:sz w:val="16"/>
                <w:szCs w:val="16"/>
              </w:rPr>
              <w:t xml:space="preserve">INTEG(Intereses banco 2, 1000)</w:t>
            </w:r>
          </w:p>
        </w:tc>
        <w:tc>
          <w:tcPr>
            <w:tcW w:type="dxa" w:w="2408"/>
            <w:tcMar>
              <w:top w:type="dxa" w:w="80"/>
              <w:left w:type="dxa" w:w="100"/>
              <w:bottom w:type="dxa" w:w="80"/>
              <w:right w:type="dxa" w:w="100"/>
            </w:tcMar>
          </w:tcPr>
          <w:p>
            <w:pPr>
              <w:pStyle w:val="Tabla"/>
            </w:pPr>
            <w:r>
              <w:t xml:space="preserve">Dollar</w:t>
            </w:r>
          </w:p>
        </w:tc>
      </w:tr>
      <w:tr>
        <w:trPr>
          <w:cantSplit/>
          <w:tblHeader w:val="off"/>
        </w:trPr>
        <w:tc>
          <w:tcPr>
            <w:tcW w:type="dxa" w:w="2408"/>
            <w:tcMar>
              <w:top w:type="dxa" w:w="80"/>
              <w:left w:type="dxa" w:w="100"/>
              <w:bottom w:type="dxa" w:w="80"/>
              <w:right w:type="dxa" w:w="100"/>
            </w:tcMar>
          </w:tcPr>
          <w:p>
            <w:pPr>
              <w:pStyle w:val="Tabla"/>
            </w:pPr>
            <w:r>
              <w:t xml:space="preserve">Intereses banco 2</w:t>
            </w:r>
          </w:p>
        </w:tc>
        <w:tc>
          <w:tcPr>
            <w:tcW w:type="dxa" w:w="2408"/>
            <w:tcMar>
              <w:top w:type="dxa" w:w="80"/>
              <w:left w:type="dxa" w:w="100"/>
              <w:bottom w:type="dxa" w:w="80"/>
              <w:right w:type="dxa" w:w="100"/>
            </w:tcMar>
          </w:tcPr>
          <w:p>
            <w:pPr>
              <w:pStyle w:val="Tabla"/>
            </w:pPr>
            <w:r>
              <w:t xml:space="preserve">Flujo</w:t>
            </w:r>
          </w:p>
        </w:tc>
        <w:tc>
          <w:tcPr>
            <w:tcW w:type="dxa" w:w="2408"/>
            <w:tcMar>
              <w:top w:type="dxa" w:w="80"/>
              <w:left w:type="dxa" w:w="100"/>
              <w:bottom w:type="dxa" w:w="80"/>
              <w:right w:type="dxa" w:w="100"/>
            </w:tcMar>
          </w:tcPr>
          <w:p>
            <w:pPr>
              <w:pStyle w:val="Tabla"/>
            </w:pPr>
            <w:r>
              <w:rPr>
                <w:rFonts w:ascii="Source Code Pro" w:cs="Source Code Pro" w:eastAsia="Source Code Pro" w:hAnsi="Source Code Pro"/>
                <w:sz w:val="16"/>
                <w:szCs w:val="16"/>
              </w:rPr>
              <w:t xml:space="preserve">Tasa banco 2 * Saldo banco 2</w:t>
            </w:r>
          </w:p>
        </w:tc>
        <w:tc>
          <w:tcPr>
            <w:tcW w:type="dxa" w:w="2408"/>
            <w:tcMar>
              <w:top w:type="dxa" w:w="80"/>
              <w:left w:type="dxa" w:w="100"/>
              <w:bottom w:type="dxa" w:w="80"/>
              <w:right w:type="dxa" w:w="100"/>
            </w:tcMar>
          </w:tcPr>
          <w:p>
            <w:pPr>
              <w:pStyle w:val="Tabla"/>
            </w:pPr>
            <w:r>
              <w:t xml:space="preserve">Dollar/Month</w:t>
            </w:r>
          </w:p>
        </w:tc>
      </w:tr>
      <w:tr>
        <w:trPr>
          <w:cantSplit/>
          <w:tblHeader w:val="off"/>
        </w:trPr>
        <w:tc>
          <w:tcPr>
            <w:tcW w:type="dxa" w:w="2408"/>
            <w:tcMar>
              <w:top w:type="dxa" w:w="80"/>
              <w:left w:type="dxa" w:w="100"/>
              <w:bottom w:type="dxa" w:w="80"/>
              <w:right w:type="dxa" w:w="100"/>
            </w:tcMar>
          </w:tcPr>
          <w:p>
            <w:pPr>
              <w:pStyle w:val="Tabla"/>
            </w:pPr>
            <w:r>
              <w:t xml:space="preserve">Tasa banco 2</w:t>
            </w:r>
          </w:p>
        </w:tc>
        <w:tc>
          <w:tcPr>
            <w:tcW w:type="dxa" w:w="2408"/>
            <w:tcMar>
              <w:top w:type="dxa" w:w="80"/>
              <w:left w:type="dxa" w:w="100"/>
              <w:bottom w:type="dxa" w:w="80"/>
              <w:right w:type="dxa" w:w="100"/>
            </w:tcMar>
          </w:tcPr>
          <w:p>
            <w:pPr>
              <w:pStyle w:val="Tabla"/>
            </w:pPr>
            <w:r>
              <w:t xml:space="preserve">Constante</w:t>
            </w:r>
          </w:p>
        </w:tc>
        <w:tc>
          <w:tcPr>
            <w:tcW w:type="dxa" w:w="2408"/>
            <w:tcMar>
              <w:top w:type="dxa" w:w="80"/>
              <w:left w:type="dxa" w:w="100"/>
              <w:bottom w:type="dxa" w:w="80"/>
              <w:right w:type="dxa" w:w="100"/>
            </w:tcMar>
          </w:tcPr>
          <w:p>
            <w:pPr>
              <w:pStyle w:val="Tabla"/>
            </w:pPr>
            <w:r>
              <w:rPr>
                <w:rFonts w:ascii="Source Code Pro" w:cs="Source Code Pro" w:eastAsia="Source Code Pro" w:hAnsi="Source Code Pro"/>
                <w:sz w:val="16"/>
                <w:szCs w:val="16"/>
              </w:rPr>
              <w:t xml:space="preserve">0.1</w:t>
            </w:r>
          </w:p>
        </w:tc>
        <w:tc>
          <w:tcPr>
            <w:tcW w:type="dxa" w:w="2408"/>
            <w:tcMar>
              <w:top w:type="dxa" w:w="80"/>
              <w:left w:type="dxa" w:w="100"/>
              <w:bottom w:type="dxa" w:w="80"/>
              <w:right w:type="dxa" w:w="100"/>
            </w:tcMar>
          </w:tcPr>
          <w:p>
            <w:pPr>
              <w:pStyle w:val="Tabla"/>
            </w:pPr>
            <w:r>
              <w:t xml:space="preserve">1/Month</w:t>
            </w:r>
          </w:p>
        </w:tc>
      </w:tr>
    </w:tbl>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Comprobación de la corrida</w:t>
            </w:r>
          </w:p>
          <w:p>
            <w:pPr>
              <w:pStyle w:val="Recuadro"/>
            </w:pPr>
            <w:r>
              <w:t xml:space="preserve">Mes 12: banco 1 $3,591.71, banco 2 $3,138.43 → a) conviene el banco 2.</w:t>
            </w:r>
          </w:p>
          <w:p>
            <w:pPr>
              <w:pStyle w:val="Recuadro"/>
            </w:pPr>
            <w:r>
              <w:t xml:space="preserve">Mes 24: banco 1 $6,450.20, banco 2 $9,849.73 → b) conviene el banco 1.</w:t>
            </w:r>
          </w:p>
          <w:p>
            <w:pPr>
              <w:pStyle w:val="Recuadro"/>
            </w:pPr>
            <w:r>
              <w:t xml:space="preserve">Mes 14: banco 1 $3,959.86, banco 2 $3,797.50 → c).</w:t>
            </w:r>
          </w:p>
          <w:p>
            <w:pPr>
              <w:pStyle w:val="Recuadro"/>
            </w:pPr>
            <w:r>
              <w:t xml:space="preserve">Con tasas de 0.02 y 0.04, mes 24: banco 1 $3,216.87, banco 2 $2,563.30 → d) conviene el banco 2.</w:t>
            </w:r>
          </w:p>
        </w:tc>
      </w:tr>
    </w:tbl>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9C620A" w:sz="20"/>
              <w:bottom w:val="nil"/>
              <w:right w:val="nil"/>
            </w:tcBorders>
            <w:shd w:fill="FBF3DF" w:val="clear"/>
            <w:tcMar>
              <w:top w:type="dxa" w:w="130"/>
              <w:left w:type="dxa" w:w="180"/>
              <w:bottom w:type="dxa" w:w="130"/>
              <w:right w:type="dxa" w:w="180"/>
            </w:tcMar>
          </w:tcPr>
          <w:p>
            <w:pPr>
              <w:pStyle w:val="RecuadroTitulo"/>
            </w:pPr>
            <w:r>
              <w:rPr>
                <w:b/>
                <w:bCs/>
                <w:color w:val="9C620A"/>
              </w:rPr>
              <w:t xml:space="preserve">Condiciones y límites</w:t>
            </w:r>
          </w:p>
          <w:p>
            <w:pPr>
              <w:pStyle w:val="Recuadro"/>
            </w:pPr>
            <w:r>
              <w:t xml:space="preserve">Con FINAL TIME = 24 la tabla de resultados da los cuatro meses. Con un TIME STEP menor que 1 Vensim cobraría el interés más de una vez al mes y las cifras subirían.</w:t>
            </w:r>
          </w:p>
        </w:tc>
      </w:tr>
    </w:tbl>
    <w:p>
      <w:pPr>
        <w:pStyle w:val="Fuente"/>
      </w:pPr>
      <w:r>
        <w:t xml:space="preserve">presentación 4a · págs. 23 y 34</w:t>
      </w:r>
    </w:p>
    <w:p>
      <w:pPr>
        <w:pStyle w:val="Heading3"/>
      </w:pPr>
      <w:bookmarkStart w:name="b_receta_telefonos" w:id="6877"/>
      <w:r>
        <w:t xml:space="preserve">Los teléfonos del residencial</w:t>
      </w:r>
      <w:bookmarkEnd w:id="6877"/>
    </w:p>
    <w:tbl>
      <w:tblPr>
        <w:tblW w:type="dxa" w:w="9632"/>
        <w:tblBorders>
          <w:top w:val="single" w:color="C5D5DB" w:sz="4"/>
          <w:left w:val="single" w:color="C5D5DB" w:sz="4"/>
          <w:bottom w:val="single" w:color="C5D5DB" w:sz="4"/>
          <w:right w:val="single" w:color="C5D5DB" w:sz="4"/>
          <w:insideH w:val="single" w:color="E4E9EB" w:sz="3"/>
          <w:insideV w:val="single" w:color="E4E9EB" w:sz="3"/>
        </w:tblBorders>
        <w:tblLayout w:type="fixed"/>
      </w:tblPr>
      <w:tblGrid>
        <w:gridCol w:w="4816"/>
        <w:gridCol w:w="4816"/>
      </w:tblGrid>
      <w:tr>
        <w:trPr>
          <w:cantSplit/>
          <w:tblHeader/>
        </w:trPr>
        <w:tc>
          <w:tcPr>
            <w:tcW w:type="dxa" w:w="4816"/>
            <w:shd w:fill="DFEAF0" w:val="clear"/>
            <w:tcMar>
              <w:top w:type="dxa" w:w="80"/>
              <w:left w:type="dxa" w:w="100"/>
              <w:bottom w:type="dxa" w:w="80"/>
              <w:right w:type="dxa" w:w="100"/>
            </w:tcMar>
          </w:tcPr>
          <w:p>
            <w:pPr>
              <w:pStyle w:val="Tabla"/>
            </w:pPr>
            <w:r>
              <w:rPr>
                <w:b/>
                <w:bCs/>
              </w:rPr>
              <w:t xml:space="preserve">Ajuste</w:t>
            </w:r>
          </w:p>
        </w:tc>
        <w:tc>
          <w:tcPr>
            <w:tcW w:type="dxa" w:w="4816"/>
            <w:shd w:fill="DFEAF0" w:val="clear"/>
            <w:tcMar>
              <w:top w:type="dxa" w:w="80"/>
              <w:left w:type="dxa" w:w="100"/>
              <w:bottom w:type="dxa" w:w="80"/>
              <w:right w:type="dxa" w:w="100"/>
            </w:tcMar>
          </w:tcPr>
          <w:p>
            <w:pPr>
              <w:pStyle w:val="Tabla"/>
            </w:pPr>
            <w:r>
              <w:rPr>
                <w:b/>
                <w:bCs/>
              </w:rPr>
              <w:t xml:space="preserve">Valor</w:t>
            </w:r>
          </w:p>
        </w:tc>
      </w:tr>
      <w:tr>
        <w:trPr>
          <w:cantSplit/>
          <w:tblHeader w:val="off"/>
        </w:trPr>
        <w:tc>
          <w:tcPr>
            <w:tcW w:type="dxa" w:w="4816"/>
            <w:tcMar>
              <w:top w:type="dxa" w:w="80"/>
              <w:left w:type="dxa" w:w="100"/>
              <w:bottom w:type="dxa" w:w="80"/>
              <w:right w:type="dxa" w:w="100"/>
            </w:tcMar>
          </w:tcPr>
          <w:p>
            <w:pPr>
              <w:pStyle w:val="Tabla"/>
            </w:pPr>
            <w:r>
              <w:t xml:space="preserve">INITIAL TIME</w:t>
            </w:r>
          </w:p>
        </w:tc>
        <w:tc>
          <w:tcPr>
            <w:tcW w:type="dxa" w:w="4816"/>
            <w:tcMar>
              <w:top w:type="dxa" w:w="80"/>
              <w:left w:type="dxa" w:w="100"/>
              <w:bottom w:type="dxa" w:w="80"/>
              <w:right w:type="dxa" w:w="100"/>
            </w:tcMar>
          </w:tcPr>
          <w:p>
            <w:pPr>
              <w:pStyle w:val="Tabla"/>
            </w:pPr>
            <w:r>
              <w:t xml:space="preserve">0</w:t>
            </w:r>
          </w:p>
        </w:tc>
      </w:tr>
      <w:tr>
        <w:trPr>
          <w:cantSplit/>
          <w:tblHeader w:val="off"/>
        </w:trPr>
        <w:tc>
          <w:tcPr>
            <w:tcW w:type="dxa" w:w="4816"/>
            <w:tcMar>
              <w:top w:type="dxa" w:w="80"/>
              <w:left w:type="dxa" w:w="100"/>
              <w:bottom w:type="dxa" w:w="80"/>
              <w:right w:type="dxa" w:w="100"/>
            </w:tcMar>
          </w:tcPr>
          <w:p>
            <w:pPr>
              <w:pStyle w:val="Tabla"/>
            </w:pPr>
            <w:r>
              <w:t xml:space="preserve">FINAL TIME</w:t>
            </w:r>
          </w:p>
        </w:tc>
        <w:tc>
          <w:tcPr>
            <w:tcW w:type="dxa" w:w="4816"/>
            <w:tcMar>
              <w:top w:type="dxa" w:w="80"/>
              <w:left w:type="dxa" w:w="100"/>
              <w:bottom w:type="dxa" w:w="80"/>
              <w:right w:type="dxa" w:w="100"/>
            </w:tcMar>
          </w:tcPr>
          <w:p>
            <w:pPr>
              <w:pStyle w:val="Tabla"/>
            </w:pPr>
            <w:r>
              <w:t xml:space="preserve">150</w:t>
            </w:r>
          </w:p>
        </w:tc>
      </w:tr>
      <w:tr>
        <w:trPr>
          <w:cantSplit/>
          <w:tblHeader w:val="off"/>
        </w:trPr>
        <w:tc>
          <w:tcPr>
            <w:tcW w:type="dxa" w:w="4816"/>
            <w:tcMar>
              <w:top w:type="dxa" w:w="80"/>
              <w:left w:type="dxa" w:w="100"/>
              <w:bottom w:type="dxa" w:w="80"/>
              <w:right w:type="dxa" w:w="100"/>
            </w:tcMar>
          </w:tcPr>
          <w:p>
            <w:pPr>
              <w:pStyle w:val="Tabla"/>
            </w:pPr>
            <w:r>
              <w:t xml:space="preserve">TIME STEP</w:t>
            </w:r>
          </w:p>
        </w:tc>
        <w:tc>
          <w:tcPr>
            <w:tcW w:type="dxa" w:w="4816"/>
            <w:tcMar>
              <w:top w:type="dxa" w:w="80"/>
              <w:left w:type="dxa" w:w="100"/>
              <w:bottom w:type="dxa" w:w="80"/>
              <w:right w:type="dxa" w:w="100"/>
            </w:tcMar>
          </w:tcPr>
          <w:p>
            <w:pPr>
              <w:pStyle w:val="Tabla"/>
            </w:pPr>
            <w:r>
              <w:t xml:space="preserve">1</w:t>
            </w:r>
          </w:p>
        </w:tc>
      </w:tr>
      <w:tr>
        <w:trPr>
          <w:cantSplit/>
          <w:tblHeader w:val="off"/>
        </w:trPr>
        <w:tc>
          <w:tcPr>
            <w:tcW w:type="dxa" w:w="4816"/>
            <w:tcMar>
              <w:top w:type="dxa" w:w="80"/>
              <w:left w:type="dxa" w:w="100"/>
              <w:bottom w:type="dxa" w:w="80"/>
              <w:right w:type="dxa" w:w="100"/>
            </w:tcMar>
          </w:tcPr>
          <w:p>
            <w:pPr>
              <w:pStyle w:val="Tabla"/>
            </w:pPr>
            <w:r>
              <w:t xml:space="preserve">Units for Time</w:t>
            </w:r>
          </w:p>
        </w:tc>
        <w:tc>
          <w:tcPr>
            <w:tcW w:type="dxa" w:w="4816"/>
            <w:tcMar>
              <w:top w:type="dxa" w:w="80"/>
              <w:left w:type="dxa" w:w="100"/>
              <w:bottom w:type="dxa" w:w="80"/>
              <w:right w:type="dxa" w:w="100"/>
            </w:tcMar>
          </w:tcPr>
          <w:p>
            <w:pPr>
              <w:pStyle w:val="Tabla"/>
            </w:pPr>
            <w:r>
              <w:t xml:space="preserve">Month</w:t>
            </w:r>
          </w:p>
        </w:tc>
      </w:tr>
      <w:tr>
        <w:trPr>
          <w:cantSplit/>
          <w:tblHeader w:val="off"/>
        </w:trPr>
        <w:tc>
          <w:tcPr>
            <w:tcW w:type="dxa" w:w="4816"/>
            <w:tcMar>
              <w:top w:type="dxa" w:w="80"/>
              <w:left w:type="dxa" w:w="100"/>
              <w:bottom w:type="dxa" w:w="80"/>
              <w:right w:type="dxa" w:w="100"/>
            </w:tcMar>
          </w:tcPr>
          <w:p>
            <w:pPr>
              <w:pStyle w:val="Tabla"/>
            </w:pPr>
            <w:r>
              <w:t xml:space="preserve">Integration Type</w:t>
            </w:r>
          </w:p>
        </w:tc>
        <w:tc>
          <w:tcPr>
            <w:tcW w:type="dxa" w:w="4816"/>
            <w:tcMar>
              <w:top w:type="dxa" w:w="80"/>
              <w:left w:type="dxa" w:w="100"/>
              <w:bottom w:type="dxa" w:w="80"/>
              <w:right w:type="dxa" w:w="100"/>
            </w:tcMar>
          </w:tcPr>
          <w:p>
            <w:pPr>
              <w:pStyle w:val="Tabla"/>
            </w:pPr>
            <w:r>
              <w:t xml:space="preserve">Euler</w:t>
            </w:r>
          </w:p>
        </w:tc>
      </w:tr>
    </w:tbl>
    <w:tbl>
      <w:tblPr>
        <w:tblW w:type="dxa" w:w="9632"/>
        <w:tblBorders>
          <w:top w:val="single" w:color="C5D5DB" w:sz="4"/>
          <w:left w:val="single" w:color="C5D5DB" w:sz="4"/>
          <w:bottom w:val="single" w:color="C5D5DB" w:sz="4"/>
          <w:right w:val="single" w:color="C5D5DB" w:sz="4"/>
          <w:insideH w:val="single" w:color="E4E9EB" w:sz="3"/>
          <w:insideV w:val="single" w:color="E4E9EB" w:sz="3"/>
        </w:tblBorders>
        <w:tblLayout w:type="fixed"/>
      </w:tblPr>
      <w:tblGrid>
        <w:gridCol w:w="2408"/>
        <w:gridCol w:w="2408"/>
        <w:gridCol w:w="2408"/>
        <w:gridCol w:w="2408"/>
      </w:tblGrid>
      <w:tr>
        <w:trPr>
          <w:cantSplit/>
          <w:tblHeader/>
        </w:trPr>
        <w:tc>
          <w:tcPr>
            <w:tcW w:type="dxa" w:w="2408"/>
            <w:shd w:fill="DFEAF0" w:val="clear"/>
            <w:tcMar>
              <w:top w:type="dxa" w:w="80"/>
              <w:left w:type="dxa" w:w="100"/>
              <w:bottom w:type="dxa" w:w="80"/>
              <w:right w:type="dxa" w:w="100"/>
            </w:tcMar>
          </w:tcPr>
          <w:p>
            <w:pPr>
              <w:pStyle w:val="Tabla"/>
            </w:pPr>
            <w:r>
              <w:rPr>
                <w:b/>
                <w:bCs/>
              </w:rPr>
              <w:t xml:space="preserve">Variable</w:t>
            </w:r>
          </w:p>
        </w:tc>
        <w:tc>
          <w:tcPr>
            <w:tcW w:type="dxa" w:w="2408"/>
            <w:shd w:fill="DFEAF0" w:val="clear"/>
            <w:tcMar>
              <w:top w:type="dxa" w:w="80"/>
              <w:left w:type="dxa" w:w="100"/>
              <w:bottom w:type="dxa" w:w="80"/>
              <w:right w:type="dxa" w:w="100"/>
            </w:tcMar>
          </w:tcPr>
          <w:p>
            <w:pPr>
              <w:pStyle w:val="Tabla"/>
            </w:pPr>
            <w:r>
              <w:rPr>
                <w:b/>
                <w:bCs/>
              </w:rPr>
              <w:t xml:space="preserve">Tipo</w:t>
            </w:r>
          </w:p>
        </w:tc>
        <w:tc>
          <w:tcPr>
            <w:tcW w:type="dxa" w:w="2408"/>
            <w:shd w:fill="DFEAF0" w:val="clear"/>
            <w:tcMar>
              <w:top w:type="dxa" w:w="80"/>
              <w:left w:type="dxa" w:w="100"/>
              <w:bottom w:type="dxa" w:w="80"/>
              <w:right w:type="dxa" w:w="100"/>
            </w:tcMar>
          </w:tcPr>
          <w:p>
            <w:pPr>
              <w:pStyle w:val="Tabla"/>
            </w:pPr>
            <w:r>
              <w:rPr>
                <w:b/>
                <w:bCs/>
              </w:rPr>
              <w:t xml:space="preserve">Ecuación</w:t>
            </w:r>
          </w:p>
        </w:tc>
        <w:tc>
          <w:tcPr>
            <w:tcW w:type="dxa" w:w="2408"/>
            <w:shd w:fill="DFEAF0" w:val="clear"/>
            <w:tcMar>
              <w:top w:type="dxa" w:w="80"/>
              <w:left w:type="dxa" w:w="100"/>
              <w:bottom w:type="dxa" w:w="80"/>
              <w:right w:type="dxa" w:w="100"/>
            </w:tcMar>
          </w:tcPr>
          <w:p>
            <w:pPr>
              <w:pStyle w:val="Tabla"/>
            </w:pPr>
            <w:r>
              <w:rPr>
                <w:b/>
                <w:bCs/>
              </w:rPr>
              <w:t xml:space="preserve">Unidades</w:t>
            </w:r>
          </w:p>
        </w:tc>
      </w:tr>
      <w:tr>
        <w:trPr>
          <w:cantSplit/>
          <w:tblHeader w:val="off"/>
        </w:trPr>
        <w:tc>
          <w:tcPr>
            <w:tcW w:type="dxa" w:w="2408"/>
            <w:tcMar>
              <w:top w:type="dxa" w:w="80"/>
              <w:left w:type="dxa" w:w="100"/>
              <w:bottom w:type="dxa" w:w="80"/>
              <w:right w:type="dxa" w:w="100"/>
            </w:tcMar>
          </w:tcPr>
          <w:p>
            <w:pPr>
              <w:pStyle w:val="Tabla"/>
            </w:pPr>
            <w:r>
              <w:t xml:space="preserve">Casas con telefono</w:t>
            </w:r>
          </w:p>
        </w:tc>
        <w:tc>
          <w:tcPr>
            <w:tcW w:type="dxa" w:w="2408"/>
            <w:tcMar>
              <w:top w:type="dxa" w:w="80"/>
              <w:left w:type="dxa" w:w="100"/>
              <w:bottom w:type="dxa" w:w="80"/>
              <w:right w:type="dxa" w:w="100"/>
            </w:tcMar>
          </w:tcPr>
          <w:p>
            <w:pPr>
              <w:pStyle w:val="Tabla"/>
            </w:pPr>
            <w:r>
              <w:t xml:space="preserve">Nivel</w:t>
            </w:r>
          </w:p>
        </w:tc>
        <w:tc>
          <w:tcPr>
            <w:tcW w:type="dxa" w:w="2408"/>
            <w:tcMar>
              <w:top w:type="dxa" w:w="80"/>
              <w:left w:type="dxa" w:w="100"/>
              <w:bottom w:type="dxa" w:w="80"/>
              <w:right w:type="dxa" w:w="100"/>
            </w:tcMar>
          </w:tcPr>
          <w:p>
            <w:pPr>
              <w:pStyle w:val="Tabla"/>
            </w:pPr>
            <w:r>
              <w:rPr>
                <w:rFonts w:ascii="Source Code Pro" w:cs="Source Code Pro" w:eastAsia="Source Code Pro" w:hAnsi="Source Code Pro"/>
                <w:sz w:val="16"/>
                <w:szCs w:val="16"/>
              </w:rPr>
              <w:t xml:space="preserve">INTEG(Instalaciones, 0)</w:t>
            </w:r>
          </w:p>
        </w:tc>
        <w:tc>
          <w:tcPr>
            <w:tcW w:type="dxa" w:w="2408"/>
            <w:tcMar>
              <w:top w:type="dxa" w:w="80"/>
              <w:left w:type="dxa" w:w="100"/>
              <w:bottom w:type="dxa" w:w="80"/>
              <w:right w:type="dxa" w:w="100"/>
            </w:tcMar>
          </w:tcPr>
          <w:p>
            <w:pPr>
              <w:pStyle w:val="Tabla"/>
            </w:pPr>
            <w:r>
              <w:t xml:space="preserve">Casa</w:t>
            </w:r>
          </w:p>
        </w:tc>
      </w:tr>
      <w:tr>
        <w:trPr>
          <w:cantSplit/>
          <w:tblHeader w:val="off"/>
        </w:trPr>
        <w:tc>
          <w:tcPr>
            <w:tcW w:type="dxa" w:w="2408"/>
            <w:tcMar>
              <w:top w:type="dxa" w:w="80"/>
              <w:left w:type="dxa" w:w="100"/>
              <w:bottom w:type="dxa" w:w="80"/>
              <w:right w:type="dxa" w:w="100"/>
            </w:tcMar>
          </w:tcPr>
          <w:p>
            <w:pPr>
              <w:pStyle w:val="Tabla"/>
            </w:pPr>
            <w:r>
              <w:t xml:space="preserve">Instalaciones</w:t>
            </w:r>
          </w:p>
        </w:tc>
        <w:tc>
          <w:tcPr>
            <w:tcW w:type="dxa" w:w="2408"/>
            <w:tcMar>
              <w:top w:type="dxa" w:w="80"/>
              <w:left w:type="dxa" w:w="100"/>
              <w:bottom w:type="dxa" w:w="80"/>
              <w:right w:type="dxa" w:w="100"/>
            </w:tcMar>
          </w:tcPr>
          <w:p>
            <w:pPr>
              <w:pStyle w:val="Tabla"/>
            </w:pPr>
            <w:r>
              <w:t xml:space="preserve">Flujo</w:t>
            </w:r>
          </w:p>
        </w:tc>
        <w:tc>
          <w:tcPr>
            <w:tcW w:type="dxa" w:w="2408"/>
            <w:tcMar>
              <w:top w:type="dxa" w:w="80"/>
              <w:left w:type="dxa" w:w="100"/>
              <w:bottom w:type="dxa" w:w="80"/>
              <w:right w:type="dxa" w:w="100"/>
            </w:tcMar>
          </w:tcPr>
          <w:p>
            <w:pPr>
              <w:pStyle w:val="Tabla"/>
            </w:pPr>
            <w:r>
              <w:rPr>
                <w:rFonts w:ascii="Source Code Pro" w:cs="Source Code Pro" w:eastAsia="Source Code Pro" w:hAnsi="Source Code Pro"/>
                <w:sz w:val="16"/>
                <w:szCs w:val="16"/>
              </w:rPr>
              <w:t xml:space="preserve">Tasa de uso * (Casas construidas - Casas con telefono)</w:t>
            </w:r>
          </w:p>
        </w:tc>
        <w:tc>
          <w:tcPr>
            <w:tcW w:type="dxa" w:w="2408"/>
            <w:tcMar>
              <w:top w:type="dxa" w:w="80"/>
              <w:left w:type="dxa" w:w="100"/>
              <w:bottom w:type="dxa" w:w="80"/>
              <w:right w:type="dxa" w:w="100"/>
            </w:tcMar>
          </w:tcPr>
          <w:p>
            <w:pPr>
              <w:pStyle w:val="Tabla"/>
            </w:pPr>
            <w:r>
              <w:t xml:space="preserve">Casa/Month</w:t>
            </w:r>
          </w:p>
        </w:tc>
      </w:tr>
      <w:tr>
        <w:trPr>
          <w:cantSplit/>
          <w:tblHeader w:val="off"/>
        </w:trPr>
        <w:tc>
          <w:tcPr>
            <w:tcW w:type="dxa" w:w="2408"/>
            <w:tcMar>
              <w:top w:type="dxa" w:w="80"/>
              <w:left w:type="dxa" w:w="100"/>
              <w:bottom w:type="dxa" w:w="80"/>
              <w:right w:type="dxa" w:w="100"/>
            </w:tcMar>
          </w:tcPr>
          <w:p>
            <w:pPr>
              <w:pStyle w:val="Tabla"/>
            </w:pPr>
            <w:r>
              <w:t xml:space="preserve">Tasa de uso</w:t>
            </w:r>
          </w:p>
        </w:tc>
        <w:tc>
          <w:tcPr>
            <w:tcW w:type="dxa" w:w="2408"/>
            <w:tcMar>
              <w:top w:type="dxa" w:w="80"/>
              <w:left w:type="dxa" w:w="100"/>
              <w:bottom w:type="dxa" w:w="80"/>
              <w:right w:type="dxa" w:w="100"/>
            </w:tcMar>
          </w:tcPr>
          <w:p>
            <w:pPr>
              <w:pStyle w:val="Tabla"/>
            </w:pPr>
            <w:r>
              <w:t xml:space="preserve">Constante</w:t>
            </w:r>
          </w:p>
        </w:tc>
        <w:tc>
          <w:tcPr>
            <w:tcW w:type="dxa" w:w="2408"/>
            <w:tcMar>
              <w:top w:type="dxa" w:w="80"/>
              <w:left w:type="dxa" w:w="100"/>
              <w:bottom w:type="dxa" w:w="80"/>
              <w:right w:type="dxa" w:w="100"/>
            </w:tcMar>
          </w:tcPr>
          <w:p>
            <w:pPr>
              <w:pStyle w:val="Tabla"/>
            </w:pPr>
            <w:r>
              <w:rPr>
                <w:rFonts w:ascii="Source Code Pro" w:cs="Source Code Pro" w:eastAsia="Source Code Pro" w:hAnsi="Source Code Pro"/>
                <w:sz w:val="16"/>
                <w:szCs w:val="16"/>
              </w:rPr>
              <w:t xml:space="preserve">0.09</w:t>
            </w:r>
          </w:p>
        </w:tc>
        <w:tc>
          <w:tcPr>
            <w:tcW w:type="dxa" w:w="2408"/>
            <w:tcMar>
              <w:top w:type="dxa" w:w="80"/>
              <w:left w:type="dxa" w:w="100"/>
              <w:bottom w:type="dxa" w:w="80"/>
              <w:right w:type="dxa" w:w="100"/>
            </w:tcMar>
          </w:tcPr>
          <w:p>
            <w:pPr>
              <w:pStyle w:val="Tabla"/>
            </w:pPr>
            <w:r>
              <w:t xml:space="preserve">1/Month</w:t>
            </w:r>
          </w:p>
        </w:tc>
      </w:tr>
      <w:tr>
        <w:trPr>
          <w:cantSplit/>
          <w:tblHeader w:val="off"/>
        </w:trPr>
        <w:tc>
          <w:tcPr>
            <w:tcW w:type="dxa" w:w="2408"/>
            <w:tcMar>
              <w:top w:type="dxa" w:w="80"/>
              <w:left w:type="dxa" w:w="100"/>
              <w:bottom w:type="dxa" w:w="80"/>
              <w:right w:type="dxa" w:w="100"/>
            </w:tcMar>
          </w:tcPr>
          <w:p>
            <w:pPr>
              <w:pStyle w:val="Tabla"/>
            </w:pPr>
            <w:r>
              <w:t xml:space="preserve">Casas construidas</w:t>
            </w:r>
          </w:p>
        </w:tc>
        <w:tc>
          <w:tcPr>
            <w:tcW w:type="dxa" w:w="2408"/>
            <w:tcMar>
              <w:top w:type="dxa" w:w="80"/>
              <w:left w:type="dxa" w:w="100"/>
              <w:bottom w:type="dxa" w:w="80"/>
              <w:right w:type="dxa" w:w="100"/>
            </w:tcMar>
          </w:tcPr>
          <w:p>
            <w:pPr>
              <w:pStyle w:val="Tabla"/>
            </w:pPr>
            <w:r>
              <w:t xml:space="preserve">Constante</w:t>
            </w:r>
          </w:p>
        </w:tc>
        <w:tc>
          <w:tcPr>
            <w:tcW w:type="dxa" w:w="2408"/>
            <w:tcMar>
              <w:top w:type="dxa" w:w="80"/>
              <w:left w:type="dxa" w:w="100"/>
              <w:bottom w:type="dxa" w:w="80"/>
              <w:right w:type="dxa" w:w="100"/>
            </w:tcMar>
          </w:tcPr>
          <w:p>
            <w:pPr>
              <w:pStyle w:val="Tabla"/>
            </w:pPr>
            <w:r>
              <w:rPr>
                <w:rFonts w:ascii="Source Code Pro" w:cs="Source Code Pro" w:eastAsia="Source Code Pro" w:hAnsi="Source Code Pro"/>
                <w:sz w:val="16"/>
                <w:szCs w:val="16"/>
              </w:rPr>
              <w:t xml:space="preserve">300</w:t>
            </w:r>
          </w:p>
        </w:tc>
        <w:tc>
          <w:tcPr>
            <w:tcW w:type="dxa" w:w="2408"/>
            <w:tcMar>
              <w:top w:type="dxa" w:w="80"/>
              <w:left w:type="dxa" w:w="100"/>
              <w:bottom w:type="dxa" w:w="80"/>
              <w:right w:type="dxa" w:w="100"/>
            </w:tcMar>
          </w:tcPr>
          <w:p>
            <w:pPr>
              <w:pStyle w:val="Tabla"/>
            </w:pPr>
            <w:r>
              <w:t xml:space="preserve">Casa</w:t>
            </w:r>
          </w:p>
        </w:tc>
      </w:tr>
    </w:tbl>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Comprobación de la corrida</w:t>
            </w:r>
          </w:p>
          <w:p>
            <w:pPr>
              <w:pStyle w:val="Recuadro"/>
            </w:pPr>
            <w:r>
              <w:t xml:space="preserve">Con 300 casas y 0.09, en la tabla falta menos de una casa por primera vez en el mes 61.</w:t>
            </w:r>
          </w:p>
          <w:p>
            <w:pPr>
              <w:pStyle w:val="Recuadro"/>
            </w:pPr>
            <w:r>
              <w:t xml:space="preserve">Con Tasa de uso = 0.04, en el mes 140.</w:t>
            </w:r>
          </w:p>
          <w:p>
            <w:pPr>
              <w:pStyle w:val="Recuadro"/>
            </w:pPr>
            <w:r>
              <w:t xml:space="preserve">Con Casas construidas = 500 y 0.09, en el mes 66.</w:t>
            </w:r>
          </w:p>
        </w:tc>
      </w:tr>
    </w:tbl>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9C620A" w:sz="20"/>
              <w:bottom w:val="nil"/>
              <w:right w:val="nil"/>
            </w:tcBorders>
            <w:shd w:fill="FBF3DF" w:val="clear"/>
            <w:tcMar>
              <w:top w:type="dxa" w:w="130"/>
              <w:left w:type="dxa" w:w="180"/>
              <w:bottom w:type="dxa" w:w="130"/>
              <w:right w:type="dxa" w:w="180"/>
            </w:tcMar>
          </w:tcPr>
          <w:p>
            <w:pPr>
              <w:pStyle w:val="RecuadroTitulo"/>
            </w:pPr>
            <w:r>
              <w:rPr>
                <w:b/>
                <w:bCs/>
                <w:color w:val="9C620A"/>
              </w:rPr>
              <w:t xml:space="preserve">Condiciones y límites</w:t>
            </w:r>
          </w:p>
          <w:p>
            <w:pPr>
              <w:pStyle w:val="Recuadro"/>
            </w:pPr>
            <w:r>
              <w:t xml:space="preserve">El nivel se acerca al total sin llegar nunca: la respuesta depende del criterio. Diga cuál usa (aquí, que falte menos de una casa).</w:t>
            </w:r>
          </w:p>
        </w:tc>
      </w:tr>
    </w:tbl>
    <w:p>
      <w:pPr>
        <w:pStyle w:val="Fuente"/>
      </w:pPr>
      <w:r>
        <w:t xml:space="preserve">presentación 4a · pág. 37</w:t>
      </w:r>
    </w:p>
    <w:p>
      <w:pPr>
        <w:pStyle w:val="Heading3"/>
      </w:pPr>
      <w:bookmarkStart w:name="b_receta_epidemia" w:id="6878"/>
      <w:r>
        <w:t xml:space="preserve">La propagación de una epidemia</w:t>
      </w:r>
      <w:bookmarkEnd w:id="6878"/>
    </w:p>
    <w:tbl>
      <w:tblPr>
        <w:tblW w:type="dxa" w:w="9632"/>
        <w:tblBorders>
          <w:top w:val="single" w:color="C5D5DB" w:sz="4"/>
          <w:left w:val="single" w:color="C5D5DB" w:sz="4"/>
          <w:bottom w:val="single" w:color="C5D5DB" w:sz="4"/>
          <w:right w:val="single" w:color="C5D5DB" w:sz="4"/>
          <w:insideH w:val="single" w:color="E4E9EB" w:sz="3"/>
          <w:insideV w:val="single" w:color="E4E9EB" w:sz="3"/>
        </w:tblBorders>
        <w:tblLayout w:type="fixed"/>
      </w:tblPr>
      <w:tblGrid>
        <w:gridCol w:w="4816"/>
        <w:gridCol w:w="4816"/>
      </w:tblGrid>
      <w:tr>
        <w:trPr>
          <w:cantSplit/>
          <w:tblHeader/>
        </w:trPr>
        <w:tc>
          <w:tcPr>
            <w:tcW w:type="dxa" w:w="4816"/>
            <w:shd w:fill="DFEAF0" w:val="clear"/>
            <w:tcMar>
              <w:top w:type="dxa" w:w="80"/>
              <w:left w:type="dxa" w:w="100"/>
              <w:bottom w:type="dxa" w:w="80"/>
              <w:right w:type="dxa" w:w="100"/>
            </w:tcMar>
          </w:tcPr>
          <w:p>
            <w:pPr>
              <w:pStyle w:val="Tabla"/>
            </w:pPr>
            <w:r>
              <w:rPr>
                <w:b/>
                <w:bCs/>
              </w:rPr>
              <w:t xml:space="preserve">Ajuste</w:t>
            </w:r>
          </w:p>
        </w:tc>
        <w:tc>
          <w:tcPr>
            <w:tcW w:type="dxa" w:w="4816"/>
            <w:shd w:fill="DFEAF0" w:val="clear"/>
            <w:tcMar>
              <w:top w:type="dxa" w:w="80"/>
              <w:left w:type="dxa" w:w="100"/>
              <w:bottom w:type="dxa" w:w="80"/>
              <w:right w:type="dxa" w:w="100"/>
            </w:tcMar>
          </w:tcPr>
          <w:p>
            <w:pPr>
              <w:pStyle w:val="Tabla"/>
            </w:pPr>
            <w:r>
              <w:rPr>
                <w:b/>
                <w:bCs/>
              </w:rPr>
              <w:t xml:space="preserve">Valor</w:t>
            </w:r>
          </w:p>
        </w:tc>
      </w:tr>
      <w:tr>
        <w:trPr>
          <w:cantSplit/>
          <w:tblHeader w:val="off"/>
        </w:trPr>
        <w:tc>
          <w:tcPr>
            <w:tcW w:type="dxa" w:w="4816"/>
            <w:tcMar>
              <w:top w:type="dxa" w:w="80"/>
              <w:left w:type="dxa" w:w="100"/>
              <w:bottom w:type="dxa" w:w="80"/>
              <w:right w:type="dxa" w:w="100"/>
            </w:tcMar>
          </w:tcPr>
          <w:p>
            <w:pPr>
              <w:pStyle w:val="Tabla"/>
            </w:pPr>
            <w:r>
              <w:t xml:space="preserve">INITIAL TIME</w:t>
            </w:r>
          </w:p>
        </w:tc>
        <w:tc>
          <w:tcPr>
            <w:tcW w:type="dxa" w:w="4816"/>
            <w:tcMar>
              <w:top w:type="dxa" w:w="80"/>
              <w:left w:type="dxa" w:w="100"/>
              <w:bottom w:type="dxa" w:w="80"/>
              <w:right w:type="dxa" w:w="100"/>
            </w:tcMar>
          </w:tcPr>
          <w:p>
            <w:pPr>
              <w:pStyle w:val="Tabla"/>
            </w:pPr>
            <w:r>
              <w:t xml:space="preserve">0</w:t>
            </w:r>
          </w:p>
        </w:tc>
      </w:tr>
      <w:tr>
        <w:trPr>
          <w:cantSplit/>
          <w:tblHeader w:val="off"/>
        </w:trPr>
        <w:tc>
          <w:tcPr>
            <w:tcW w:type="dxa" w:w="4816"/>
            <w:tcMar>
              <w:top w:type="dxa" w:w="80"/>
              <w:left w:type="dxa" w:w="100"/>
              <w:bottom w:type="dxa" w:w="80"/>
              <w:right w:type="dxa" w:w="100"/>
            </w:tcMar>
          </w:tcPr>
          <w:p>
            <w:pPr>
              <w:pStyle w:val="Tabla"/>
            </w:pPr>
            <w:r>
              <w:t xml:space="preserve">FINAL TIME</w:t>
            </w:r>
          </w:p>
        </w:tc>
        <w:tc>
          <w:tcPr>
            <w:tcW w:type="dxa" w:w="4816"/>
            <w:tcMar>
              <w:top w:type="dxa" w:w="80"/>
              <w:left w:type="dxa" w:w="100"/>
              <w:bottom w:type="dxa" w:w="80"/>
              <w:right w:type="dxa" w:w="100"/>
            </w:tcMar>
          </w:tcPr>
          <w:p>
            <w:pPr>
              <w:pStyle w:val="Tabla"/>
            </w:pPr>
            <w:r>
              <w:t xml:space="preserve">40</w:t>
            </w:r>
          </w:p>
        </w:tc>
      </w:tr>
      <w:tr>
        <w:trPr>
          <w:cantSplit/>
          <w:tblHeader w:val="off"/>
        </w:trPr>
        <w:tc>
          <w:tcPr>
            <w:tcW w:type="dxa" w:w="4816"/>
            <w:tcMar>
              <w:top w:type="dxa" w:w="80"/>
              <w:left w:type="dxa" w:w="100"/>
              <w:bottom w:type="dxa" w:w="80"/>
              <w:right w:type="dxa" w:w="100"/>
            </w:tcMar>
          </w:tcPr>
          <w:p>
            <w:pPr>
              <w:pStyle w:val="Tabla"/>
            </w:pPr>
            <w:r>
              <w:t xml:space="preserve">TIME STEP</w:t>
            </w:r>
          </w:p>
        </w:tc>
        <w:tc>
          <w:tcPr>
            <w:tcW w:type="dxa" w:w="4816"/>
            <w:tcMar>
              <w:top w:type="dxa" w:w="80"/>
              <w:left w:type="dxa" w:w="100"/>
              <w:bottom w:type="dxa" w:w="80"/>
              <w:right w:type="dxa" w:w="100"/>
            </w:tcMar>
          </w:tcPr>
          <w:p>
            <w:pPr>
              <w:pStyle w:val="Tabla"/>
            </w:pPr>
            <w:r>
              <w:t xml:space="preserve">0.25</w:t>
            </w:r>
          </w:p>
        </w:tc>
      </w:tr>
      <w:tr>
        <w:trPr>
          <w:cantSplit/>
          <w:tblHeader w:val="off"/>
        </w:trPr>
        <w:tc>
          <w:tcPr>
            <w:tcW w:type="dxa" w:w="4816"/>
            <w:tcMar>
              <w:top w:type="dxa" w:w="80"/>
              <w:left w:type="dxa" w:w="100"/>
              <w:bottom w:type="dxa" w:w="80"/>
              <w:right w:type="dxa" w:w="100"/>
            </w:tcMar>
          </w:tcPr>
          <w:p>
            <w:pPr>
              <w:pStyle w:val="Tabla"/>
            </w:pPr>
            <w:r>
              <w:t xml:space="preserve">Integration Type</w:t>
            </w:r>
          </w:p>
        </w:tc>
        <w:tc>
          <w:tcPr>
            <w:tcW w:type="dxa" w:w="4816"/>
            <w:tcMar>
              <w:top w:type="dxa" w:w="80"/>
              <w:left w:type="dxa" w:w="100"/>
              <w:bottom w:type="dxa" w:w="80"/>
              <w:right w:type="dxa" w:w="100"/>
            </w:tcMar>
          </w:tcPr>
          <w:p>
            <w:pPr>
              <w:pStyle w:val="Tabla"/>
            </w:pPr>
            <w:r>
              <w:t xml:space="preserve">Euler</w:t>
            </w:r>
          </w:p>
        </w:tc>
      </w:tr>
    </w:tbl>
    <w:tbl>
      <w:tblPr>
        <w:tblW w:type="dxa" w:w="9632"/>
        <w:tblBorders>
          <w:top w:val="single" w:color="C5D5DB" w:sz="4"/>
          <w:left w:val="single" w:color="C5D5DB" w:sz="4"/>
          <w:bottom w:val="single" w:color="C5D5DB" w:sz="4"/>
          <w:right w:val="single" w:color="C5D5DB" w:sz="4"/>
          <w:insideH w:val="single" w:color="E4E9EB" w:sz="3"/>
          <w:insideV w:val="single" w:color="E4E9EB" w:sz="3"/>
        </w:tblBorders>
        <w:tblLayout w:type="fixed"/>
      </w:tblPr>
      <w:tblGrid>
        <w:gridCol w:w="2408"/>
        <w:gridCol w:w="2408"/>
        <w:gridCol w:w="2408"/>
        <w:gridCol w:w="2408"/>
      </w:tblGrid>
      <w:tr>
        <w:trPr>
          <w:cantSplit/>
          <w:tblHeader/>
        </w:trPr>
        <w:tc>
          <w:tcPr>
            <w:tcW w:type="dxa" w:w="2408"/>
            <w:shd w:fill="DFEAF0" w:val="clear"/>
            <w:tcMar>
              <w:top w:type="dxa" w:w="80"/>
              <w:left w:type="dxa" w:w="100"/>
              <w:bottom w:type="dxa" w:w="80"/>
              <w:right w:type="dxa" w:w="100"/>
            </w:tcMar>
          </w:tcPr>
          <w:p>
            <w:pPr>
              <w:pStyle w:val="Tabla"/>
            </w:pPr>
            <w:r>
              <w:rPr>
                <w:b/>
                <w:bCs/>
              </w:rPr>
              <w:t xml:space="preserve">Variable</w:t>
            </w:r>
          </w:p>
        </w:tc>
        <w:tc>
          <w:tcPr>
            <w:tcW w:type="dxa" w:w="2408"/>
            <w:shd w:fill="DFEAF0" w:val="clear"/>
            <w:tcMar>
              <w:top w:type="dxa" w:w="80"/>
              <w:left w:type="dxa" w:w="100"/>
              <w:bottom w:type="dxa" w:w="80"/>
              <w:right w:type="dxa" w:w="100"/>
            </w:tcMar>
          </w:tcPr>
          <w:p>
            <w:pPr>
              <w:pStyle w:val="Tabla"/>
            </w:pPr>
            <w:r>
              <w:rPr>
                <w:b/>
                <w:bCs/>
              </w:rPr>
              <w:t xml:space="preserve">Tipo</w:t>
            </w:r>
          </w:p>
        </w:tc>
        <w:tc>
          <w:tcPr>
            <w:tcW w:type="dxa" w:w="2408"/>
            <w:shd w:fill="DFEAF0" w:val="clear"/>
            <w:tcMar>
              <w:top w:type="dxa" w:w="80"/>
              <w:left w:type="dxa" w:w="100"/>
              <w:bottom w:type="dxa" w:w="80"/>
              <w:right w:type="dxa" w:w="100"/>
            </w:tcMar>
          </w:tcPr>
          <w:p>
            <w:pPr>
              <w:pStyle w:val="Tabla"/>
            </w:pPr>
            <w:r>
              <w:rPr>
                <w:b/>
                <w:bCs/>
              </w:rPr>
              <w:t xml:space="preserve">Ecuación</w:t>
            </w:r>
          </w:p>
        </w:tc>
        <w:tc>
          <w:tcPr>
            <w:tcW w:type="dxa" w:w="2408"/>
            <w:shd w:fill="DFEAF0" w:val="clear"/>
            <w:tcMar>
              <w:top w:type="dxa" w:w="80"/>
              <w:left w:type="dxa" w:w="100"/>
              <w:bottom w:type="dxa" w:w="80"/>
              <w:right w:type="dxa" w:w="100"/>
            </w:tcMar>
          </w:tcPr>
          <w:p>
            <w:pPr>
              <w:pStyle w:val="Tabla"/>
            </w:pPr>
            <w:r>
              <w:rPr>
                <w:b/>
                <w:bCs/>
              </w:rPr>
              <w:t xml:space="preserve">Unidades</w:t>
            </w:r>
          </w:p>
        </w:tc>
      </w:tr>
      <w:tr>
        <w:trPr>
          <w:cantSplit/>
          <w:tblHeader w:val="off"/>
        </w:trPr>
        <w:tc>
          <w:tcPr>
            <w:tcW w:type="dxa" w:w="2408"/>
            <w:tcMar>
              <w:top w:type="dxa" w:w="80"/>
              <w:left w:type="dxa" w:w="100"/>
              <w:bottom w:type="dxa" w:w="80"/>
              <w:right w:type="dxa" w:w="100"/>
            </w:tcMar>
          </w:tcPr>
          <w:p>
            <w:pPr>
              <w:pStyle w:val="Tabla"/>
            </w:pPr>
            <w:r>
              <w:t xml:space="preserve">PI</w:t>
            </w:r>
          </w:p>
        </w:tc>
        <w:tc>
          <w:tcPr>
            <w:tcW w:type="dxa" w:w="2408"/>
            <w:tcMar>
              <w:top w:type="dxa" w:w="80"/>
              <w:left w:type="dxa" w:w="100"/>
              <w:bottom w:type="dxa" w:w="80"/>
              <w:right w:type="dxa" w:w="100"/>
            </w:tcMar>
          </w:tcPr>
          <w:p>
            <w:pPr>
              <w:pStyle w:val="Tabla"/>
            </w:pPr>
            <w:r>
              <w:t xml:space="preserve">Nivel</w:t>
            </w:r>
          </w:p>
        </w:tc>
        <w:tc>
          <w:tcPr>
            <w:tcW w:type="dxa" w:w="2408"/>
            <w:tcMar>
              <w:top w:type="dxa" w:w="80"/>
              <w:left w:type="dxa" w:w="100"/>
              <w:bottom w:type="dxa" w:w="80"/>
              <w:right w:type="dxa" w:w="100"/>
            </w:tcMar>
          </w:tcPr>
          <w:p>
            <w:pPr>
              <w:pStyle w:val="Tabla"/>
            </w:pPr>
            <w:r>
              <w:rPr>
                <w:rFonts w:ascii="Source Code Pro" w:cs="Source Code Pro" w:eastAsia="Source Code Pro" w:hAnsi="Source Code Pro"/>
                <w:sz w:val="16"/>
                <w:szCs w:val="16"/>
              </w:rPr>
              <w:t xml:space="preserve">INTEG(TC, 10)</w:t>
            </w:r>
          </w:p>
        </w:tc>
        <w:tc>
          <w:tcPr>
            <w:tcW w:type="dxa" w:w="2408"/>
            <w:tcMar>
              <w:top w:type="dxa" w:w="80"/>
              <w:left w:type="dxa" w:w="100"/>
              <w:bottom w:type="dxa" w:w="80"/>
              <w:right w:type="dxa" w:w="100"/>
            </w:tcMar>
          </w:tcPr>
          <w:p>
            <w:pPr>
              <w:pStyle w:val="Tabla"/>
            </w:pPr>
            <w:r>
              <w:t xml:space="preserve">Persona</w:t>
            </w:r>
          </w:p>
        </w:tc>
      </w:tr>
      <w:tr>
        <w:trPr>
          <w:cantSplit/>
          <w:tblHeader w:val="off"/>
        </w:trPr>
        <w:tc>
          <w:tcPr>
            <w:tcW w:type="dxa" w:w="2408"/>
            <w:tcMar>
              <w:top w:type="dxa" w:w="80"/>
              <w:left w:type="dxa" w:w="100"/>
              <w:bottom w:type="dxa" w:w="80"/>
              <w:right w:type="dxa" w:w="100"/>
            </w:tcMar>
          </w:tcPr>
          <w:p>
            <w:pPr>
              <w:pStyle w:val="Tabla"/>
            </w:pPr>
            <w:r>
              <w:t xml:space="preserve">TC</w:t>
            </w:r>
          </w:p>
        </w:tc>
        <w:tc>
          <w:tcPr>
            <w:tcW w:type="dxa" w:w="2408"/>
            <w:tcMar>
              <w:top w:type="dxa" w:w="80"/>
              <w:left w:type="dxa" w:w="100"/>
              <w:bottom w:type="dxa" w:w="80"/>
              <w:right w:type="dxa" w:w="100"/>
            </w:tcMar>
          </w:tcPr>
          <w:p>
            <w:pPr>
              <w:pStyle w:val="Tabla"/>
            </w:pPr>
            <w:r>
              <w:t xml:space="preserve">Flujo</w:t>
            </w:r>
          </w:p>
        </w:tc>
        <w:tc>
          <w:tcPr>
            <w:tcW w:type="dxa" w:w="2408"/>
            <w:tcMar>
              <w:top w:type="dxa" w:w="80"/>
              <w:left w:type="dxa" w:w="100"/>
              <w:bottom w:type="dxa" w:w="80"/>
              <w:right w:type="dxa" w:w="100"/>
            </w:tcMar>
          </w:tcPr>
          <w:p>
            <w:pPr>
              <w:pStyle w:val="Tabla"/>
            </w:pPr>
            <w:r>
              <w:rPr>
                <w:rFonts w:ascii="Source Code Pro" w:cs="Source Code Pro" w:eastAsia="Source Code Pro" w:hAnsi="Source Code Pro"/>
                <w:sz w:val="16"/>
                <w:szCs w:val="16"/>
              </w:rPr>
              <w:t xml:space="preserve">IPC * TNC * PI * PV</w:t>
            </w:r>
          </w:p>
        </w:tc>
        <w:tc>
          <w:tcPr>
            <w:tcW w:type="dxa" w:w="2408"/>
            <w:tcMar>
              <w:top w:type="dxa" w:w="80"/>
              <w:left w:type="dxa" w:w="100"/>
              <w:bottom w:type="dxa" w:w="80"/>
              <w:right w:type="dxa" w:w="100"/>
            </w:tcMar>
          </w:tcPr>
          <w:p>
            <w:pPr>
              <w:pStyle w:val="Tabla"/>
            </w:pPr>
            <w:r>
              <w:t xml:space="preserve">Persona/Time</w:t>
            </w:r>
          </w:p>
        </w:tc>
      </w:tr>
      <w:tr>
        <w:trPr>
          <w:cantSplit/>
          <w:tblHeader w:val="off"/>
        </w:trPr>
        <w:tc>
          <w:tcPr>
            <w:tcW w:type="dxa" w:w="2408"/>
            <w:tcMar>
              <w:top w:type="dxa" w:w="80"/>
              <w:left w:type="dxa" w:w="100"/>
              <w:bottom w:type="dxa" w:w="80"/>
              <w:right w:type="dxa" w:w="100"/>
            </w:tcMar>
          </w:tcPr>
          <w:p>
            <w:pPr>
              <w:pStyle w:val="Tabla"/>
            </w:pPr>
            <w:r>
              <w:t xml:space="preserve">PV</w:t>
            </w:r>
          </w:p>
        </w:tc>
        <w:tc>
          <w:tcPr>
            <w:tcW w:type="dxa" w:w="2408"/>
            <w:tcMar>
              <w:top w:type="dxa" w:w="80"/>
              <w:left w:type="dxa" w:w="100"/>
              <w:bottom w:type="dxa" w:w="80"/>
              <w:right w:type="dxa" w:w="100"/>
            </w:tcMar>
          </w:tcPr>
          <w:p>
            <w:pPr>
              <w:pStyle w:val="Tabla"/>
            </w:pPr>
            <w:r>
              <w:t xml:space="preserve">Auxiliar</w:t>
            </w:r>
          </w:p>
        </w:tc>
        <w:tc>
          <w:tcPr>
            <w:tcW w:type="dxa" w:w="2408"/>
            <w:tcMar>
              <w:top w:type="dxa" w:w="80"/>
              <w:left w:type="dxa" w:w="100"/>
              <w:bottom w:type="dxa" w:w="80"/>
              <w:right w:type="dxa" w:w="100"/>
            </w:tcMar>
          </w:tcPr>
          <w:p>
            <w:pPr>
              <w:pStyle w:val="Tabla"/>
            </w:pPr>
            <w:r>
              <w:rPr>
                <w:rFonts w:ascii="Source Code Pro" w:cs="Source Code Pro" w:eastAsia="Source Code Pro" w:hAnsi="Source Code Pro"/>
                <w:sz w:val="16"/>
                <w:szCs w:val="16"/>
              </w:rPr>
              <w:t xml:space="preserve">PT - PI</w:t>
            </w:r>
          </w:p>
        </w:tc>
        <w:tc>
          <w:tcPr>
            <w:tcW w:type="dxa" w:w="2408"/>
            <w:tcMar>
              <w:top w:type="dxa" w:w="80"/>
              <w:left w:type="dxa" w:w="100"/>
              <w:bottom w:type="dxa" w:w="80"/>
              <w:right w:type="dxa" w:w="100"/>
            </w:tcMar>
          </w:tcPr>
          <w:p>
            <w:pPr>
              <w:pStyle w:val="Tabla"/>
            </w:pPr>
            <w:r>
              <w:t xml:space="preserve">Persona</w:t>
            </w:r>
          </w:p>
        </w:tc>
      </w:tr>
      <w:tr>
        <w:trPr>
          <w:cantSplit/>
          <w:tblHeader w:val="off"/>
        </w:trPr>
        <w:tc>
          <w:tcPr>
            <w:tcW w:type="dxa" w:w="2408"/>
            <w:tcMar>
              <w:top w:type="dxa" w:w="80"/>
              <w:left w:type="dxa" w:w="100"/>
              <w:bottom w:type="dxa" w:w="80"/>
              <w:right w:type="dxa" w:w="100"/>
            </w:tcMar>
          </w:tcPr>
          <w:p>
            <w:pPr>
              <w:pStyle w:val="Tabla"/>
            </w:pPr>
            <w:r>
              <w:t xml:space="preserve">IPC</w:t>
            </w:r>
          </w:p>
        </w:tc>
        <w:tc>
          <w:tcPr>
            <w:tcW w:type="dxa" w:w="2408"/>
            <w:tcMar>
              <w:top w:type="dxa" w:w="80"/>
              <w:left w:type="dxa" w:w="100"/>
              <w:bottom w:type="dxa" w:w="80"/>
              <w:right w:type="dxa" w:w="100"/>
            </w:tcMar>
          </w:tcPr>
          <w:p>
            <w:pPr>
              <w:pStyle w:val="Tabla"/>
            </w:pPr>
            <w:r>
              <w:t xml:space="preserve">Constante</w:t>
            </w:r>
          </w:p>
        </w:tc>
        <w:tc>
          <w:tcPr>
            <w:tcW w:type="dxa" w:w="2408"/>
            <w:tcMar>
              <w:top w:type="dxa" w:w="80"/>
              <w:left w:type="dxa" w:w="100"/>
              <w:bottom w:type="dxa" w:w="80"/>
              <w:right w:type="dxa" w:w="100"/>
            </w:tcMar>
          </w:tcPr>
          <w:p>
            <w:pPr>
              <w:pStyle w:val="Tabla"/>
            </w:pPr>
            <w:r>
              <w:rPr>
                <w:rFonts w:ascii="Source Code Pro" w:cs="Source Code Pro" w:eastAsia="Source Code Pro" w:hAnsi="Source Code Pro"/>
                <w:sz w:val="16"/>
                <w:szCs w:val="16"/>
              </w:rPr>
              <w:t xml:space="preserve">0.15</w:t>
            </w:r>
          </w:p>
        </w:tc>
        <w:tc>
          <w:tcPr>
            <w:tcW w:type="dxa" w:w="2408"/>
            <w:tcMar>
              <w:top w:type="dxa" w:w="80"/>
              <w:left w:type="dxa" w:w="100"/>
              <w:bottom w:type="dxa" w:w="80"/>
              <w:right w:type="dxa" w:w="100"/>
            </w:tcMar>
          </w:tcPr>
          <w:p>
            <w:pPr>
              <w:pStyle w:val="Tabla"/>
            </w:pPr>
            <w:r>
              <w:t xml:space="preserve">Dmnl</w:t>
            </w:r>
          </w:p>
        </w:tc>
      </w:tr>
      <w:tr>
        <w:trPr>
          <w:cantSplit/>
          <w:tblHeader w:val="off"/>
        </w:trPr>
        <w:tc>
          <w:tcPr>
            <w:tcW w:type="dxa" w:w="2408"/>
            <w:tcMar>
              <w:top w:type="dxa" w:w="80"/>
              <w:left w:type="dxa" w:w="100"/>
              <w:bottom w:type="dxa" w:w="80"/>
              <w:right w:type="dxa" w:w="100"/>
            </w:tcMar>
          </w:tcPr>
          <w:p>
            <w:pPr>
              <w:pStyle w:val="Tabla"/>
            </w:pPr>
            <w:r>
              <w:t xml:space="preserve">TNC</w:t>
            </w:r>
          </w:p>
        </w:tc>
        <w:tc>
          <w:tcPr>
            <w:tcW w:type="dxa" w:w="2408"/>
            <w:tcMar>
              <w:top w:type="dxa" w:w="80"/>
              <w:left w:type="dxa" w:w="100"/>
              <w:bottom w:type="dxa" w:w="80"/>
              <w:right w:type="dxa" w:w="100"/>
            </w:tcMar>
          </w:tcPr>
          <w:p>
            <w:pPr>
              <w:pStyle w:val="Tabla"/>
            </w:pPr>
            <w:r>
              <w:t xml:space="preserve">Constante</w:t>
            </w:r>
          </w:p>
        </w:tc>
        <w:tc>
          <w:tcPr>
            <w:tcW w:type="dxa" w:w="2408"/>
            <w:tcMar>
              <w:top w:type="dxa" w:w="80"/>
              <w:left w:type="dxa" w:w="100"/>
              <w:bottom w:type="dxa" w:w="80"/>
              <w:right w:type="dxa" w:w="100"/>
            </w:tcMar>
          </w:tcPr>
          <w:p>
            <w:pPr>
              <w:pStyle w:val="Tabla"/>
            </w:pPr>
            <w:r>
              <w:rPr>
                <w:rFonts w:ascii="Source Code Pro" w:cs="Source Code Pro" w:eastAsia="Source Code Pro" w:hAnsi="Source Code Pro"/>
                <w:sz w:val="16"/>
                <w:szCs w:val="16"/>
              </w:rPr>
              <w:t xml:space="preserve">0.025</w:t>
            </w:r>
          </w:p>
        </w:tc>
        <w:tc>
          <w:tcPr>
            <w:tcW w:type="dxa" w:w="2408"/>
            <w:tcMar>
              <w:top w:type="dxa" w:w="80"/>
              <w:left w:type="dxa" w:w="100"/>
              <w:bottom w:type="dxa" w:w="80"/>
              <w:right w:type="dxa" w:w="100"/>
            </w:tcMar>
          </w:tcPr>
          <w:p>
            <w:pPr>
              <w:pStyle w:val="Tabla"/>
            </w:pPr>
            <w:r>
              <w:t xml:space="preserve">1/(Persona*Time)</w:t>
            </w:r>
          </w:p>
        </w:tc>
      </w:tr>
      <w:tr>
        <w:trPr>
          <w:cantSplit/>
          <w:tblHeader w:val="off"/>
        </w:trPr>
        <w:tc>
          <w:tcPr>
            <w:tcW w:type="dxa" w:w="2408"/>
            <w:tcMar>
              <w:top w:type="dxa" w:w="80"/>
              <w:left w:type="dxa" w:w="100"/>
              <w:bottom w:type="dxa" w:w="80"/>
              <w:right w:type="dxa" w:w="100"/>
            </w:tcMar>
          </w:tcPr>
          <w:p>
            <w:pPr>
              <w:pStyle w:val="Tabla"/>
            </w:pPr>
            <w:r>
              <w:t xml:space="preserve">PT</w:t>
            </w:r>
          </w:p>
        </w:tc>
        <w:tc>
          <w:tcPr>
            <w:tcW w:type="dxa" w:w="2408"/>
            <w:tcMar>
              <w:top w:type="dxa" w:w="80"/>
              <w:left w:type="dxa" w:w="100"/>
              <w:bottom w:type="dxa" w:w="80"/>
              <w:right w:type="dxa" w:w="100"/>
            </w:tcMar>
          </w:tcPr>
          <w:p>
            <w:pPr>
              <w:pStyle w:val="Tabla"/>
            </w:pPr>
            <w:r>
              <w:t xml:space="preserve">Constante</w:t>
            </w:r>
          </w:p>
        </w:tc>
        <w:tc>
          <w:tcPr>
            <w:tcW w:type="dxa" w:w="2408"/>
            <w:tcMar>
              <w:top w:type="dxa" w:w="80"/>
              <w:left w:type="dxa" w:w="100"/>
              <w:bottom w:type="dxa" w:w="80"/>
              <w:right w:type="dxa" w:w="100"/>
            </w:tcMar>
          </w:tcPr>
          <w:p>
            <w:pPr>
              <w:pStyle w:val="Tabla"/>
            </w:pPr>
            <w:r>
              <w:rPr>
                <w:rFonts w:ascii="Source Code Pro" w:cs="Source Code Pro" w:eastAsia="Source Code Pro" w:hAnsi="Source Code Pro"/>
                <w:sz w:val="16"/>
                <w:szCs w:val="16"/>
              </w:rPr>
              <w:t xml:space="preserve">100</w:t>
            </w:r>
          </w:p>
        </w:tc>
        <w:tc>
          <w:tcPr>
            <w:tcW w:type="dxa" w:w="2408"/>
            <w:tcMar>
              <w:top w:type="dxa" w:w="80"/>
              <w:left w:type="dxa" w:w="100"/>
              <w:bottom w:type="dxa" w:w="80"/>
              <w:right w:type="dxa" w:w="100"/>
            </w:tcMar>
          </w:tcPr>
          <w:p>
            <w:pPr>
              <w:pStyle w:val="Tabla"/>
            </w:pPr>
            <w:r>
              <w:t xml:space="preserve">Persona</w:t>
            </w:r>
          </w:p>
        </w:tc>
      </w:tr>
    </w:tbl>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Comprobación de la corrida</w:t>
            </w:r>
          </w:p>
          <w:p>
            <w:pPr>
              <w:pStyle w:val="Recuadro"/>
            </w:pPr>
            <w:r>
              <w:t xml:space="preserve">TC llega a su máximo, 9.37, cerca de t = 6.</w:t>
            </w:r>
          </w:p>
          <w:p>
            <w:pPr>
              <w:pStyle w:val="Recuadro"/>
            </w:pPr>
            <w:r>
              <w:t xml:space="preserve">PI termina en 100.00 de 100: una curva en S.</w:t>
            </w:r>
          </w:p>
        </w:tc>
      </w:tr>
    </w:tbl>
    <w:p>
      <w:pPr>
        <w:pStyle w:val="Fuente"/>
      </w:pPr>
      <w:r>
        <w:t xml:space="preserve">presentación 4a · págs. 12 y 13</w:t>
      </w:r>
    </w:p>
    <w:p>
      <w:pPr>
        <w:pStyle w:val="Heading3"/>
      </w:pPr>
      <w:bookmarkStart w:name="b_receta_poblacion" w:id="6879"/>
      <w:r>
        <w:t xml:space="preserve">Una población con recursos limitados</w:t>
      </w:r>
      <w:bookmarkEnd w:id="6879"/>
    </w:p>
    <w:tbl>
      <w:tblPr>
        <w:tblW w:type="dxa" w:w="9632"/>
        <w:tblBorders>
          <w:top w:val="single" w:color="C5D5DB" w:sz="4"/>
          <w:left w:val="single" w:color="C5D5DB" w:sz="4"/>
          <w:bottom w:val="single" w:color="C5D5DB" w:sz="4"/>
          <w:right w:val="single" w:color="C5D5DB" w:sz="4"/>
          <w:insideH w:val="single" w:color="E4E9EB" w:sz="3"/>
          <w:insideV w:val="single" w:color="E4E9EB" w:sz="3"/>
        </w:tblBorders>
        <w:tblLayout w:type="fixed"/>
      </w:tblPr>
      <w:tblGrid>
        <w:gridCol w:w="4816"/>
        <w:gridCol w:w="4816"/>
      </w:tblGrid>
      <w:tr>
        <w:trPr>
          <w:cantSplit/>
          <w:tblHeader/>
        </w:trPr>
        <w:tc>
          <w:tcPr>
            <w:tcW w:type="dxa" w:w="4816"/>
            <w:shd w:fill="DFEAF0" w:val="clear"/>
            <w:tcMar>
              <w:top w:type="dxa" w:w="80"/>
              <w:left w:type="dxa" w:w="100"/>
              <w:bottom w:type="dxa" w:w="80"/>
              <w:right w:type="dxa" w:w="100"/>
            </w:tcMar>
          </w:tcPr>
          <w:p>
            <w:pPr>
              <w:pStyle w:val="Tabla"/>
            </w:pPr>
            <w:r>
              <w:rPr>
                <w:b/>
                <w:bCs/>
              </w:rPr>
              <w:t xml:space="preserve">Ajuste</w:t>
            </w:r>
          </w:p>
        </w:tc>
        <w:tc>
          <w:tcPr>
            <w:tcW w:type="dxa" w:w="4816"/>
            <w:shd w:fill="DFEAF0" w:val="clear"/>
            <w:tcMar>
              <w:top w:type="dxa" w:w="80"/>
              <w:left w:type="dxa" w:w="100"/>
              <w:bottom w:type="dxa" w:w="80"/>
              <w:right w:type="dxa" w:w="100"/>
            </w:tcMar>
          </w:tcPr>
          <w:p>
            <w:pPr>
              <w:pStyle w:val="Tabla"/>
            </w:pPr>
            <w:r>
              <w:rPr>
                <w:b/>
                <w:bCs/>
              </w:rPr>
              <w:t xml:space="preserve">Valor</w:t>
            </w:r>
          </w:p>
        </w:tc>
      </w:tr>
      <w:tr>
        <w:trPr>
          <w:cantSplit/>
          <w:tblHeader w:val="off"/>
        </w:trPr>
        <w:tc>
          <w:tcPr>
            <w:tcW w:type="dxa" w:w="4816"/>
            <w:tcMar>
              <w:top w:type="dxa" w:w="80"/>
              <w:left w:type="dxa" w:w="100"/>
              <w:bottom w:type="dxa" w:w="80"/>
              <w:right w:type="dxa" w:w="100"/>
            </w:tcMar>
          </w:tcPr>
          <w:p>
            <w:pPr>
              <w:pStyle w:val="Tabla"/>
            </w:pPr>
            <w:r>
              <w:t xml:space="preserve">INITIAL TIME</w:t>
            </w:r>
          </w:p>
        </w:tc>
        <w:tc>
          <w:tcPr>
            <w:tcW w:type="dxa" w:w="4816"/>
            <w:tcMar>
              <w:top w:type="dxa" w:w="80"/>
              <w:left w:type="dxa" w:w="100"/>
              <w:bottom w:type="dxa" w:w="80"/>
              <w:right w:type="dxa" w:w="100"/>
            </w:tcMar>
          </w:tcPr>
          <w:p>
            <w:pPr>
              <w:pStyle w:val="Tabla"/>
            </w:pPr>
            <w:r>
              <w:t xml:space="preserve">0</w:t>
            </w:r>
          </w:p>
        </w:tc>
      </w:tr>
      <w:tr>
        <w:trPr>
          <w:cantSplit/>
          <w:tblHeader w:val="off"/>
        </w:trPr>
        <w:tc>
          <w:tcPr>
            <w:tcW w:type="dxa" w:w="4816"/>
            <w:tcMar>
              <w:top w:type="dxa" w:w="80"/>
              <w:left w:type="dxa" w:w="100"/>
              <w:bottom w:type="dxa" w:w="80"/>
              <w:right w:type="dxa" w:w="100"/>
            </w:tcMar>
          </w:tcPr>
          <w:p>
            <w:pPr>
              <w:pStyle w:val="Tabla"/>
            </w:pPr>
            <w:r>
              <w:t xml:space="preserve">FINAL TIME</w:t>
            </w:r>
          </w:p>
        </w:tc>
        <w:tc>
          <w:tcPr>
            <w:tcW w:type="dxa" w:w="4816"/>
            <w:tcMar>
              <w:top w:type="dxa" w:w="80"/>
              <w:left w:type="dxa" w:w="100"/>
              <w:bottom w:type="dxa" w:w="80"/>
              <w:right w:type="dxa" w:w="100"/>
            </w:tcMar>
          </w:tcPr>
          <w:p>
            <w:pPr>
              <w:pStyle w:val="Tabla"/>
            </w:pPr>
            <w:r>
              <w:t xml:space="preserve">200</w:t>
            </w:r>
          </w:p>
        </w:tc>
      </w:tr>
      <w:tr>
        <w:trPr>
          <w:cantSplit/>
          <w:tblHeader w:val="off"/>
        </w:trPr>
        <w:tc>
          <w:tcPr>
            <w:tcW w:type="dxa" w:w="4816"/>
            <w:tcMar>
              <w:top w:type="dxa" w:w="80"/>
              <w:left w:type="dxa" w:w="100"/>
              <w:bottom w:type="dxa" w:w="80"/>
              <w:right w:type="dxa" w:w="100"/>
            </w:tcMar>
          </w:tcPr>
          <w:p>
            <w:pPr>
              <w:pStyle w:val="Tabla"/>
            </w:pPr>
            <w:r>
              <w:t xml:space="preserve">TIME STEP</w:t>
            </w:r>
          </w:p>
        </w:tc>
        <w:tc>
          <w:tcPr>
            <w:tcW w:type="dxa" w:w="4816"/>
            <w:tcMar>
              <w:top w:type="dxa" w:w="80"/>
              <w:left w:type="dxa" w:w="100"/>
              <w:bottom w:type="dxa" w:w="80"/>
              <w:right w:type="dxa" w:w="100"/>
            </w:tcMar>
          </w:tcPr>
          <w:p>
            <w:pPr>
              <w:pStyle w:val="Tabla"/>
            </w:pPr>
            <w:r>
              <w:t xml:space="preserve">0.25</w:t>
            </w:r>
          </w:p>
        </w:tc>
      </w:tr>
      <w:tr>
        <w:trPr>
          <w:cantSplit/>
          <w:tblHeader w:val="off"/>
        </w:trPr>
        <w:tc>
          <w:tcPr>
            <w:tcW w:type="dxa" w:w="4816"/>
            <w:tcMar>
              <w:top w:type="dxa" w:w="80"/>
              <w:left w:type="dxa" w:w="100"/>
              <w:bottom w:type="dxa" w:w="80"/>
              <w:right w:type="dxa" w:w="100"/>
            </w:tcMar>
          </w:tcPr>
          <w:p>
            <w:pPr>
              <w:pStyle w:val="Tabla"/>
            </w:pPr>
            <w:r>
              <w:t xml:space="preserve">Integration Type</w:t>
            </w:r>
          </w:p>
        </w:tc>
        <w:tc>
          <w:tcPr>
            <w:tcW w:type="dxa" w:w="4816"/>
            <w:tcMar>
              <w:top w:type="dxa" w:w="80"/>
              <w:left w:type="dxa" w:w="100"/>
              <w:bottom w:type="dxa" w:w="80"/>
              <w:right w:type="dxa" w:w="100"/>
            </w:tcMar>
          </w:tcPr>
          <w:p>
            <w:pPr>
              <w:pStyle w:val="Tabla"/>
            </w:pPr>
            <w:r>
              <w:t xml:space="preserve">Euler</w:t>
            </w:r>
          </w:p>
        </w:tc>
      </w:tr>
    </w:tbl>
    <w:tbl>
      <w:tblPr>
        <w:tblW w:type="dxa" w:w="9632"/>
        <w:tblBorders>
          <w:top w:val="single" w:color="C5D5DB" w:sz="4"/>
          <w:left w:val="single" w:color="C5D5DB" w:sz="4"/>
          <w:bottom w:val="single" w:color="C5D5DB" w:sz="4"/>
          <w:right w:val="single" w:color="C5D5DB" w:sz="4"/>
          <w:insideH w:val="single" w:color="E4E9EB" w:sz="3"/>
          <w:insideV w:val="single" w:color="E4E9EB" w:sz="3"/>
        </w:tblBorders>
        <w:tblLayout w:type="fixed"/>
      </w:tblPr>
      <w:tblGrid>
        <w:gridCol w:w="2408"/>
        <w:gridCol w:w="2408"/>
        <w:gridCol w:w="2408"/>
        <w:gridCol w:w="2408"/>
      </w:tblGrid>
      <w:tr>
        <w:trPr>
          <w:cantSplit/>
          <w:tblHeader/>
        </w:trPr>
        <w:tc>
          <w:tcPr>
            <w:tcW w:type="dxa" w:w="2408"/>
            <w:shd w:fill="DFEAF0" w:val="clear"/>
            <w:tcMar>
              <w:top w:type="dxa" w:w="80"/>
              <w:left w:type="dxa" w:w="100"/>
              <w:bottom w:type="dxa" w:w="80"/>
              <w:right w:type="dxa" w:w="100"/>
            </w:tcMar>
          </w:tcPr>
          <w:p>
            <w:pPr>
              <w:pStyle w:val="Tabla"/>
            </w:pPr>
            <w:r>
              <w:rPr>
                <w:b/>
                <w:bCs/>
              </w:rPr>
              <w:t xml:space="preserve">Variable</w:t>
            </w:r>
          </w:p>
        </w:tc>
        <w:tc>
          <w:tcPr>
            <w:tcW w:type="dxa" w:w="2408"/>
            <w:shd w:fill="DFEAF0" w:val="clear"/>
            <w:tcMar>
              <w:top w:type="dxa" w:w="80"/>
              <w:left w:type="dxa" w:w="100"/>
              <w:bottom w:type="dxa" w:w="80"/>
              <w:right w:type="dxa" w:w="100"/>
            </w:tcMar>
          </w:tcPr>
          <w:p>
            <w:pPr>
              <w:pStyle w:val="Tabla"/>
            </w:pPr>
            <w:r>
              <w:rPr>
                <w:b/>
                <w:bCs/>
              </w:rPr>
              <w:t xml:space="preserve">Tipo</w:t>
            </w:r>
          </w:p>
        </w:tc>
        <w:tc>
          <w:tcPr>
            <w:tcW w:type="dxa" w:w="2408"/>
            <w:shd w:fill="DFEAF0" w:val="clear"/>
            <w:tcMar>
              <w:top w:type="dxa" w:w="80"/>
              <w:left w:type="dxa" w:w="100"/>
              <w:bottom w:type="dxa" w:w="80"/>
              <w:right w:type="dxa" w:w="100"/>
            </w:tcMar>
          </w:tcPr>
          <w:p>
            <w:pPr>
              <w:pStyle w:val="Tabla"/>
            </w:pPr>
            <w:r>
              <w:rPr>
                <w:b/>
                <w:bCs/>
              </w:rPr>
              <w:t xml:space="preserve">Ecuación</w:t>
            </w:r>
          </w:p>
        </w:tc>
        <w:tc>
          <w:tcPr>
            <w:tcW w:type="dxa" w:w="2408"/>
            <w:shd w:fill="DFEAF0" w:val="clear"/>
            <w:tcMar>
              <w:top w:type="dxa" w:w="80"/>
              <w:left w:type="dxa" w:w="100"/>
              <w:bottom w:type="dxa" w:w="80"/>
              <w:right w:type="dxa" w:w="100"/>
            </w:tcMar>
          </w:tcPr>
          <w:p>
            <w:pPr>
              <w:pStyle w:val="Tabla"/>
            </w:pPr>
            <w:r>
              <w:rPr>
                <w:b/>
                <w:bCs/>
              </w:rPr>
              <w:t xml:space="preserve">Unidades</w:t>
            </w:r>
          </w:p>
        </w:tc>
      </w:tr>
      <w:tr>
        <w:trPr>
          <w:cantSplit/>
          <w:tblHeader w:val="off"/>
        </w:trPr>
        <w:tc>
          <w:tcPr>
            <w:tcW w:type="dxa" w:w="2408"/>
            <w:tcMar>
              <w:top w:type="dxa" w:w="80"/>
              <w:left w:type="dxa" w:w="100"/>
              <w:bottom w:type="dxa" w:w="80"/>
              <w:right w:type="dxa" w:w="100"/>
            </w:tcMar>
          </w:tcPr>
          <w:p>
            <w:pPr>
              <w:pStyle w:val="Tabla"/>
            </w:pPr>
            <w:r>
              <w:t xml:space="preserve">Poblacion</w:t>
            </w:r>
          </w:p>
        </w:tc>
        <w:tc>
          <w:tcPr>
            <w:tcW w:type="dxa" w:w="2408"/>
            <w:tcMar>
              <w:top w:type="dxa" w:w="80"/>
              <w:left w:type="dxa" w:w="100"/>
              <w:bottom w:type="dxa" w:w="80"/>
              <w:right w:type="dxa" w:w="100"/>
            </w:tcMar>
          </w:tcPr>
          <w:p>
            <w:pPr>
              <w:pStyle w:val="Tabla"/>
            </w:pPr>
            <w:r>
              <w:t xml:space="preserve">Nivel</w:t>
            </w:r>
          </w:p>
        </w:tc>
        <w:tc>
          <w:tcPr>
            <w:tcW w:type="dxa" w:w="2408"/>
            <w:tcMar>
              <w:top w:type="dxa" w:w="80"/>
              <w:left w:type="dxa" w:w="100"/>
              <w:bottom w:type="dxa" w:w="80"/>
              <w:right w:type="dxa" w:w="100"/>
            </w:tcMar>
          </w:tcPr>
          <w:p>
            <w:pPr>
              <w:pStyle w:val="Tabla"/>
            </w:pPr>
            <w:r>
              <w:rPr>
                <w:rFonts w:ascii="Source Code Pro" w:cs="Source Code Pro" w:eastAsia="Source Code Pro" w:hAnsi="Source Code Pro"/>
                <w:sz w:val="16"/>
                <w:szCs w:val="16"/>
              </w:rPr>
              <w:t xml:space="preserve">INTEG(Nacimientos - Muertes, 60)</w:t>
            </w:r>
          </w:p>
        </w:tc>
        <w:tc>
          <w:tcPr>
            <w:tcW w:type="dxa" w:w="2408"/>
            <w:tcMar>
              <w:top w:type="dxa" w:w="80"/>
              <w:left w:type="dxa" w:w="100"/>
              <w:bottom w:type="dxa" w:w="80"/>
              <w:right w:type="dxa" w:w="100"/>
            </w:tcMar>
          </w:tcPr>
          <w:p>
            <w:pPr>
              <w:pStyle w:val="Tabla"/>
            </w:pPr>
            <w:r>
              <w:t xml:space="preserve">Individuo</w:t>
            </w:r>
          </w:p>
        </w:tc>
      </w:tr>
      <w:tr>
        <w:trPr>
          <w:cantSplit/>
          <w:tblHeader w:val="off"/>
        </w:trPr>
        <w:tc>
          <w:tcPr>
            <w:tcW w:type="dxa" w:w="2408"/>
            <w:tcMar>
              <w:top w:type="dxa" w:w="80"/>
              <w:left w:type="dxa" w:w="100"/>
              <w:bottom w:type="dxa" w:w="80"/>
              <w:right w:type="dxa" w:w="100"/>
            </w:tcMar>
          </w:tcPr>
          <w:p>
            <w:pPr>
              <w:pStyle w:val="Tabla"/>
            </w:pPr>
            <w:r>
              <w:t xml:space="preserve">Nacimientos</w:t>
            </w:r>
          </w:p>
        </w:tc>
        <w:tc>
          <w:tcPr>
            <w:tcW w:type="dxa" w:w="2408"/>
            <w:tcMar>
              <w:top w:type="dxa" w:w="80"/>
              <w:left w:type="dxa" w:w="100"/>
              <w:bottom w:type="dxa" w:w="80"/>
              <w:right w:type="dxa" w:w="100"/>
            </w:tcMar>
          </w:tcPr>
          <w:p>
            <w:pPr>
              <w:pStyle w:val="Tabla"/>
            </w:pPr>
            <w:r>
              <w:t xml:space="preserve">Flujo</w:t>
            </w:r>
          </w:p>
        </w:tc>
        <w:tc>
          <w:tcPr>
            <w:tcW w:type="dxa" w:w="2408"/>
            <w:tcMar>
              <w:top w:type="dxa" w:w="80"/>
              <w:left w:type="dxa" w:w="100"/>
              <w:bottom w:type="dxa" w:w="80"/>
              <w:right w:type="dxa" w:w="100"/>
            </w:tcMar>
          </w:tcPr>
          <w:p>
            <w:pPr>
              <w:pStyle w:val="Tabla"/>
            </w:pPr>
            <w:r>
              <w:rPr>
                <w:rFonts w:ascii="Source Code Pro" w:cs="Source Code Pro" w:eastAsia="Source Code Pro" w:hAnsi="Source Code Pro"/>
                <w:sz w:val="16"/>
                <w:szCs w:val="16"/>
              </w:rPr>
              <w:t xml:space="preserve">Tasa Natalidad * Poblacion * Coef Carga</w:t>
            </w:r>
          </w:p>
        </w:tc>
        <w:tc>
          <w:tcPr>
            <w:tcW w:type="dxa" w:w="2408"/>
            <w:tcMar>
              <w:top w:type="dxa" w:w="80"/>
              <w:left w:type="dxa" w:w="100"/>
              <w:bottom w:type="dxa" w:w="80"/>
              <w:right w:type="dxa" w:w="100"/>
            </w:tcMar>
          </w:tcPr>
          <w:p>
            <w:pPr>
              <w:pStyle w:val="Tabla"/>
            </w:pPr>
            <w:r>
              <w:t xml:space="preserve">Individuo/Time</w:t>
            </w:r>
          </w:p>
        </w:tc>
      </w:tr>
      <w:tr>
        <w:trPr>
          <w:cantSplit/>
          <w:tblHeader w:val="off"/>
        </w:trPr>
        <w:tc>
          <w:tcPr>
            <w:tcW w:type="dxa" w:w="2408"/>
            <w:tcMar>
              <w:top w:type="dxa" w:w="80"/>
              <w:left w:type="dxa" w:w="100"/>
              <w:bottom w:type="dxa" w:w="80"/>
              <w:right w:type="dxa" w:w="100"/>
            </w:tcMar>
          </w:tcPr>
          <w:p>
            <w:pPr>
              <w:pStyle w:val="Tabla"/>
            </w:pPr>
            <w:r>
              <w:t xml:space="preserve">Muertes</w:t>
            </w:r>
          </w:p>
        </w:tc>
        <w:tc>
          <w:tcPr>
            <w:tcW w:type="dxa" w:w="2408"/>
            <w:tcMar>
              <w:top w:type="dxa" w:w="80"/>
              <w:left w:type="dxa" w:w="100"/>
              <w:bottom w:type="dxa" w:w="80"/>
              <w:right w:type="dxa" w:w="100"/>
            </w:tcMar>
          </w:tcPr>
          <w:p>
            <w:pPr>
              <w:pStyle w:val="Tabla"/>
            </w:pPr>
            <w:r>
              <w:t xml:space="preserve">Flujo</w:t>
            </w:r>
          </w:p>
        </w:tc>
        <w:tc>
          <w:tcPr>
            <w:tcW w:type="dxa" w:w="2408"/>
            <w:tcMar>
              <w:top w:type="dxa" w:w="80"/>
              <w:left w:type="dxa" w:w="100"/>
              <w:bottom w:type="dxa" w:w="80"/>
              <w:right w:type="dxa" w:w="100"/>
            </w:tcMar>
          </w:tcPr>
          <w:p>
            <w:pPr>
              <w:pStyle w:val="Tabla"/>
            </w:pPr>
            <w:r>
              <w:rPr>
                <w:rFonts w:ascii="Source Code Pro" w:cs="Source Code Pro" w:eastAsia="Source Code Pro" w:hAnsi="Source Code Pro"/>
                <w:sz w:val="16"/>
                <w:szCs w:val="16"/>
              </w:rPr>
              <w:t xml:space="preserve">Tasa Mortalidad * Poblacion * Coef Carga</w:t>
            </w:r>
          </w:p>
        </w:tc>
        <w:tc>
          <w:tcPr>
            <w:tcW w:type="dxa" w:w="2408"/>
            <w:tcMar>
              <w:top w:type="dxa" w:w="80"/>
              <w:left w:type="dxa" w:w="100"/>
              <w:bottom w:type="dxa" w:w="80"/>
              <w:right w:type="dxa" w:w="100"/>
            </w:tcMar>
          </w:tcPr>
          <w:p>
            <w:pPr>
              <w:pStyle w:val="Tabla"/>
            </w:pPr>
            <w:r>
              <w:t xml:space="preserve">Individuo/Time</w:t>
            </w:r>
          </w:p>
        </w:tc>
      </w:tr>
      <w:tr>
        <w:trPr>
          <w:cantSplit/>
          <w:tblHeader w:val="off"/>
        </w:trPr>
        <w:tc>
          <w:tcPr>
            <w:tcW w:type="dxa" w:w="2408"/>
            <w:tcMar>
              <w:top w:type="dxa" w:w="80"/>
              <w:left w:type="dxa" w:w="100"/>
              <w:bottom w:type="dxa" w:w="80"/>
              <w:right w:type="dxa" w:w="100"/>
            </w:tcMar>
          </w:tcPr>
          <w:p>
            <w:pPr>
              <w:pStyle w:val="Tabla"/>
            </w:pPr>
            <w:r>
              <w:t xml:space="preserve">Coef Carga</w:t>
            </w:r>
          </w:p>
        </w:tc>
        <w:tc>
          <w:tcPr>
            <w:tcW w:type="dxa" w:w="2408"/>
            <w:tcMar>
              <w:top w:type="dxa" w:w="80"/>
              <w:left w:type="dxa" w:w="100"/>
              <w:bottom w:type="dxa" w:w="80"/>
              <w:right w:type="dxa" w:w="100"/>
            </w:tcMar>
          </w:tcPr>
          <w:p>
            <w:pPr>
              <w:pStyle w:val="Tabla"/>
            </w:pPr>
            <w:r>
              <w:t xml:space="preserve">Auxiliar</w:t>
            </w:r>
          </w:p>
        </w:tc>
        <w:tc>
          <w:tcPr>
            <w:tcW w:type="dxa" w:w="2408"/>
            <w:tcMar>
              <w:top w:type="dxa" w:w="80"/>
              <w:left w:type="dxa" w:w="100"/>
              <w:bottom w:type="dxa" w:w="80"/>
              <w:right w:type="dxa" w:w="100"/>
            </w:tcMar>
          </w:tcPr>
          <w:p>
            <w:pPr>
              <w:pStyle w:val="Tabla"/>
            </w:pPr>
            <w:r>
              <w:rPr>
                <w:rFonts w:ascii="Source Code Pro" w:cs="Source Code Pro" w:eastAsia="Source Code Pro" w:hAnsi="Source Code Pro"/>
                <w:sz w:val="16"/>
                <w:szCs w:val="16"/>
              </w:rPr>
              <w:t xml:space="preserve">(K - Poblacion) / K</w:t>
            </w:r>
          </w:p>
        </w:tc>
        <w:tc>
          <w:tcPr>
            <w:tcW w:type="dxa" w:w="2408"/>
            <w:tcMar>
              <w:top w:type="dxa" w:w="80"/>
              <w:left w:type="dxa" w:w="100"/>
              <w:bottom w:type="dxa" w:w="80"/>
              <w:right w:type="dxa" w:w="100"/>
            </w:tcMar>
          </w:tcPr>
          <w:p>
            <w:pPr>
              <w:pStyle w:val="Tabla"/>
            </w:pPr>
            <w:r>
              <w:t xml:space="preserve">Dmnl</w:t>
            </w:r>
          </w:p>
        </w:tc>
      </w:tr>
      <w:tr>
        <w:trPr>
          <w:cantSplit/>
          <w:tblHeader w:val="off"/>
        </w:trPr>
        <w:tc>
          <w:tcPr>
            <w:tcW w:type="dxa" w:w="2408"/>
            <w:tcMar>
              <w:top w:type="dxa" w:w="80"/>
              <w:left w:type="dxa" w:w="100"/>
              <w:bottom w:type="dxa" w:w="80"/>
              <w:right w:type="dxa" w:w="100"/>
            </w:tcMar>
          </w:tcPr>
          <w:p>
            <w:pPr>
              <w:pStyle w:val="Tabla"/>
            </w:pPr>
            <w:r>
              <w:t xml:space="preserve">Tasa Natalidad</w:t>
            </w:r>
          </w:p>
        </w:tc>
        <w:tc>
          <w:tcPr>
            <w:tcW w:type="dxa" w:w="2408"/>
            <w:tcMar>
              <w:top w:type="dxa" w:w="80"/>
              <w:left w:type="dxa" w:w="100"/>
              <w:bottom w:type="dxa" w:w="80"/>
              <w:right w:type="dxa" w:w="100"/>
            </w:tcMar>
          </w:tcPr>
          <w:p>
            <w:pPr>
              <w:pStyle w:val="Tabla"/>
            </w:pPr>
            <w:r>
              <w:t xml:space="preserve">Constante</w:t>
            </w:r>
          </w:p>
        </w:tc>
        <w:tc>
          <w:tcPr>
            <w:tcW w:type="dxa" w:w="2408"/>
            <w:tcMar>
              <w:top w:type="dxa" w:w="80"/>
              <w:left w:type="dxa" w:w="100"/>
              <w:bottom w:type="dxa" w:w="80"/>
              <w:right w:type="dxa" w:w="100"/>
            </w:tcMar>
          </w:tcPr>
          <w:p>
            <w:pPr>
              <w:pStyle w:val="Tabla"/>
            </w:pPr>
            <w:r>
              <w:rPr>
                <w:rFonts w:ascii="Source Code Pro" w:cs="Source Code Pro" w:eastAsia="Source Code Pro" w:hAnsi="Source Code Pro"/>
                <w:sz w:val="16"/>
                <w:szCs w:val="16"/>
              </w:rPr>
              <w:t xml:space="preserve">0.085</w:t>
            </w:r>
          </w:p>
        </w:tc>
        <w:tc>
          <w:tcPr>
            <w:tcW w:type="dxa" w:w="2408"/>
            <w:tcMar>
              <w:top w:type="dxa" w:w="80"/>
              <w:left w:type="dxa" w:w="100"/>
              <w:bottom w:type="dxa" w:w="80"/>
              <w:right w:type="dxa" w:w="100"/>
            </w:tcMar>
          </w:tcPr>
          <w:p>
            <w:pPr>
              <w:pStyle w:val="Tabla"/>
            </w:pPr>
            <w:r>
              <w:t xml:space="preserve">1/Time</w:t>
            </w:r>
          </w:p>
        </w:tc>
      </w:tr>
      <w:tr>
        <w:trPr>
          <w:cantSplit/>
          <w:tblHeader w:val="off"/>
        </w:trPr>
        <w:tc>
          <w:tcPr>
            <w:tcW w:type="dxa" w:w="2408"/>
            <w:tcMar>
              <w:top w:type="dxa" w:w="80"/>
              <w:left w:type="dxa" w:w="100"/>
              <w:bottom w:type="dxa" w:w="80"/>
              <w:right w:type="dxa" w:w="100"/>
            </w:tcMar>
          </w:tcPr>
          <w:p>
            <w:pPr>
              <w:pStyle w:val="Tabla"/>
            </w:pPr>
            <w:r>
              <w:t xml:space="preserve">Tasa Mortalidad</w:t>
            </w:r>
          </w:p>
        </w:tc>
        <w:tc>
          <w:tcPr>
            <w:tcW w:type="dxa" w:w="2408"/>
            <w:tcMar>
              <w:top w:type="dxa" w:w="80"/>
              <w:left w:type="dxa" w:w="100"/>
              <w:bottom w:type="dxa" w:w="80"/>
              <w:right w:type="dxa" w:w="100"/>
            </w:tcMar>
          </w:tcPr>
          <w:p>
            <w:pPr>
              <w:pStyle w:val="Tabla"/>
            </w:pPr>
            <w:r>
              <w:t xml:space="preserve">Constante</w:t>
            </w:r>
          </w:p>
        </w:tc>
        <w:tc>
          <w:tcPr>
            <w:tcW w:type="dxa" w:w="2408"/>
            <w:tcMar>
              <w:top w:type="dxa" w:w="80"/>
              <w:left w:type="dxa" w:w="100"/>
              <w:bottom w:type="dxa" w:w="80"/>
              <w:right w:type="dxa" w:w="100"/>
            </w:tcMar>
          </w:tcPr>
          <w:p>
            <w:pPr>
              <w:pStyle w:val="Tabla"/>
            </w:pPr>
            <w:r>
              <w:rPr>
                <w:rFonts w:ascii="Source Code Pro" w:cs="Source Code Pro" w:eastAsia="Source Code Pro" w:hAnsi="Source Code Pro"/>
                <w:sz w:val="16"/>
                <w:szCs w:val="16"/>
              </w:rPr>
              <w:t xml:space="preserve">0.035</w:t>
            </w:r>
          </w:p>
        </w:tc>
        <w:tc>
          <w:tcPr>
            <w:tcW w:type="dxa" w:w="2408"/>
            <w:tcMar>
              <w:top w:type="dxa" w:w="80"/>
              <w:left w:type="dxa" w:w="100"/>
              <w:bottom w:type="dxa" w:w="80"/>
              <w:right w:type="dxa" w:w="100"/>
            </w:tcMar>
          </w:tcPr>
          <w:p>
            <w:pPr>
              <w:pStyle w:val="Tabla"/>
            </w:pPr>
            <w:r>
              <w:t xml:space="preserve">1/Time</w:t>
            </w:r>
          </w:p>
        </w:tc>
      </w:tr>
      <w:tr>
        <w:trPr>
          <w:cantSplit/>
          <w:tblHeader w:val="off"/>
        </w:trPr>
        <w:tc>
          <w:tcPr>
            <w:tcW w:type="dxa" w:w="2408"/>
            <w:tcMar>
              <w:top w:type="dxa" w:w="80"/>
              <w:left w:type="dxa" w:w="100"/>
              <w:bottom w:type="dxa" w:w="80"/>
              <w:right w:type="dxa" w:w="100"/>
            </w:tcMar>
          </w:tcPr>
          <w:p>
            <w:pPr>
              <w:pStyle w:val="Tabla"/>
            </w:pPr>
            <w:r>
              <w:t xml:space="preserve">K</w:t>
            </w:r>
          </w:p>
        </w:tc>
        <w:tc>
          <w:tcPr>
            <w:tcW w:type="dxa" w:w="2408"/>
            <w:tcMar>
              <w:top w:type="dxa" w:w="80"/>
              <w:left w:type="dxa" w:w="100"/>
              <w:bottom w:type="dxa" w:w="80"/>
              <w:right w:type="dxa" w:w="100"/>
            </w:tcMar>
          </w:tcPr>
          <w:p>
            <w:pPr>
              <w:pStyle w:val="Tabla"/>
            </w:pPr>
            <w:r>
              <w:t xml:space="preserve">Constante</w:t>
            </w:r>
          </w:p>
        </w:tc>
        <w:tc>
          <w:tcPr>
            <w:tcW w:type="dxa" w:w="2408"/>
            <w:tcMar>
              <w:top w:type="dxa" w:w="80"/>
              <w:left w:type="dxa" w:w="100"/>
              <w:bottom w:type="dxa" w:w="80"/>
              <w:right w:type="dxa" w:w="100"/>
            </w:tcMar>
          </w:tcPr>
          <w:p>
            <w:pPr>
              <w:pStyle w:val="Tabla"/>
            </w:pPr>
            <w:r>
              <w:rPr>
                <w:rFonts w:ascii="Source Code Pro" w:cs="Source Code Pro" w:eastAsia="Source Code Pro" w:hAnsi="Source Code Pro"/>
                <w:sz w:val="16"/>
                <w:szCs w:val="16"/>
              </w:rPr>
              <w:t xml:space="preserve">6000</w:t>
            </w:r>
          </w:p>
        </w:tc>
        <w:tc>
          <w:tcPr>
            <w:tcW w:type="dxa" w:w="2408"/>
            <w:tcMar>
              <w:top w:type="dxa" w:w="80"/>
              <w:left w:type="dxa" w:w="100"/>
              <w:bottom w:type="dxa" w:w="80"/>
              <w:right w:type="dxa" w:w="100"/>
            </w:tcMar>
          </w:tcPr>
          <w:p>
            <w:pPr>
              <w:pStyle w:val="Tabla"/>
            </w:pPr>
            <w:r>
              <w:t xml:space="preserve">Individuo</w:t>
            </w:r>
          </w:p>
        </w:tc>
      </w:tr>
    </w:tbl>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Comprobación de la corrida</w:t>
            </w:r>
          </w:p>
          <w:p>
            <w:pPr>
              <w:pStyle w:val="Recuadro"/>
            </w:pPr>
            <w:r>
              <w:t xml:space="preserve">La población crece en S y se acerca a K = 6000.</w:t>
            </w:r>
          </w:p>
          <w:p>
            <w:pPr>
              <w:pStyle w:val="Recuadro"/>
            </w:pPr>
            <w:r>
              <w:t xml:space="preserve">En t = 100 vale unos 3599 individuos (solución exacta; con TIME STEP 0.25 la corrida da un valor muy cercano).</w:t>
            </w:r>
          </w:p>
        </w:tc>
      </w:tr>
    </w:tbl>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9C620A" w:sz="20"/>
              <w:bottom w:val="nil"/>
              <w:right w:val="nil"/>
            </w:tcBorders>
            <w:shd w:fill="FBF3DF" w:val="clear"/>
            <w:tcMar>
              <w:top w:type="dxa" w:w="130"/>
              <w:left w:type="dxa" w:w="180"/>
              <w:bottom w:type="dxa" w:w="130"/>
              <w:right w:type="dxa" w:w="180"/>
            </w:tcMar>
          </w:tcPr>
          <w:p>
            <w:pPr>
              <w:pStyle w:val="RecuadroTitulo"/>
            </w:pPr>
            <w:r>
              <w:rPr>
                <w:b/>
                <w:bCs/>
                <w:color w:val="9C620A"/>
              </w:rPr>
              <w:t xml:space="preserve">Condiciones y límites</w:t>
            </w:r>
          </w:p>
          <w:p>
            <w:pPr>
              <w:pStyle w:val="Recuadro"/>
            </w:pPr>
            <w:r>
              <w:t xml:space="preserve">La presentación escribe la población como (Nacimientos − Muertes) * Coef. Carga. Repartir el coeficiente entre los dos flujos da la misma ecuación y deja cada flujo con su válvula.</w:t>
            </w:r>
          </w:p>
        </w:tc>
      </w:tr>
    </w:tbl>
    <w:p>
      <w:pPr>
        <w:pStyle w:val="Fuente"/>
      </w:pPr>
      <w:r>
        <w:t xml:space="preserve">presentación 4a · pág. 28</w:t>
      </w:r>
    </w:p>
    <w:p>
      <w:pPr>
        <w:pStyle w:val="Heading3"/>
      </w:pPr>
      <w:bookmarkStart w:name="b_receta_almacen" w:id="6880"/>
      <w:r>
        <w:t xml:space="preserve">El almacén con mercancías deterioradas</w:t>
      </w:r>
      <w:bookmarkEnd w:id="6880"/>
    </w:p>
    <w:tbl>
      <w:tblPr>
        <w:tblW w:type="dxa" w:w="9632"/>
        <w:tblBorders>
          <w:top w:val="single" w:color="C5D5DB" w:sz="4"/>
          <w:left w:val="single" w:color="C5D5DB" w:sz="4"/>
          <w:bottom w:val="single" w:color="C5D5DB" w:sz="4"/>
          <w:right w:val="single" w:color="C5D5DB" w:sz="4"/>
          <w:insideH w:val="single" w:color="E4E9EB" w:sz="3"/>
          <w:insideV w:val="single" w:color="E4E9EB" w:sz="3"/>
        </w:tblBorders>
        <w:tblLayout w:type="fixed"/>
      </w:tblPr>
      <w:tblGrid>
        <w:gridCol w:w="4816"/>
        <w:gridCol w:w="4816"/>
      </w:tblGrid>
      <w:tr>
        <w:trPr>
          <w:cantSplit/>
          <w:tblHeader/>
        </w:trPr>
        <w:tc>
          <w:tcPr>
            <w:tcW w:type="dxa" w:w="4816"/>
            <w:shd w:fill="DFEAF0" w:val="clear"/>
            <w:tcMar>
              <w:top w:type="dxa" w:w="80"/>
              <w:left w:type="dxa" w:w="100"/>
              <w:bottom w:type="dxa" w:w="80"/>
              <w:right w:type="dxa" w:w="100"/>
            </w:tcMar>
          </w:tcPr>
          <w:p>
            <w:pPr>
              <w:pStyle w:val="Tabla"/>
            </w:pPr>
            <w:r>
              <w:rPr>
                <w:b/>
                <w:bCs/>
              </w:rPr>
              <w:t xml:space="preserve">Ajuste</w:t>
            </w:r>
          </w:p>
        </w:tc>
        <w:tc>
          <w:tcPr>
            <w:tcW w:type="dxa" w:w="4816"/>
            <w:shd w:fill="DFEAF0" w:val="clear"/>
            <w:tcMar>
              <w:top w:type="dxa" w:w="80"/>
              <w:left w:type="dxa" w:w="100"/>
              <w:bottom w:type="dxa" w:w="80"/>
              <w:right w:type="dxa" w:w="100"/>
            </w:tcMar>
          </w:tcPr>
          <w:p>
            <w:pPr>
              <w:pStyle w:val="Tabla"/>
            </w:pPr>
            <w:r>
              <w:rPr>
                <w:b/>
                <w:bCs/>
              </w:rPr>
              <w:t xml:space="preserve">Valor</w:t>
            </w:r>
          </w:p>
        </w:tc>
      </w:tr>
      <w:tr>
        <w:trPr>
          <w:cantSplit/>
          <w:tblHeader w:val="off"/>
        </w:trPr>
        <w:tc>
          <w:tcPr>
            <w:tcW w:type="dxa" w:w="4816"/>
            <w:tcMar>
              <w:top w:type="dxa" w:w="80"/>
              <w:left w:type="dxa" w:w="100"/>
              <w:bottom w:type="dxa" w:w="80"/>
              <w:right w:type="dxa" w:w="100"/>
            </w:tcMar>
          </w:tcPr>
          <w:p>
            <w:pPr>
              <w:pStyle w:val="Tabla"/>
            </w:pPr>
            <w:r>
              <w:t xml:space="preserve">INITIAL TIME</w:t>
            </w:r>
          </w:p>
        </w:tc>
        <w:tc>
          <w:tcPr>
            <w:tcW w:type="dxa" w:w="4816"/>
            <w:tcMar>
              <w:top w:type="dxa" w:w="80"/>
              <w:left w:type="dxa" w:w="100"/>
              <w:bottom w:type="dxa" w:w="80"/>
              <w:right w:type="dxa" w:w="100"/>
            </w:tcMar>
          </w:tcPr>
          <w:p>
            <w:pPr>
              <w:pStyle w:val="Tabla"/>
            </w:pPr>
            <w:r>
              <w:t xml:space="preserve">0</w:t>
            </w:r>
          </w:p>
        </w:tc>
      </w:tr>
      <w:tr>
        <w:trPr>
          <w:cantSplit/>
          <w:tblHeader w:val="off"/>
        </w:trPr>
        <w:tc>
          <w:tcPr>
            <w:tcW w:type="dxa" w:w="4816"/>
            <w:tcMar>
              <w:top w:type="dxa" w:w="80"/>
              <w:left w:type="dxa" w:w="100"/>
              <w:bottom w:type="dxa" w:w="80"/>
              <w:right w:type="dxa" w:w="100"/>
            </w:tcMar>
          </w:tcPr>
          <w:p>
            <w:pPr>
              <w:pStyle w:val="Tabla"/>
            </w:pPr>
            <w:r>
              <w:t xml:space="preserve">FINAL TIME</w:t>
            </w:r>
          </w:p>
        </w:tc>
        <w:tc>
          <w:tcPr>
            <w:tcW w:type="dxa" w:w="4816"/>
            <w:tcMar>
              <w:top w:type="dxa" w:w="80"/>
              <w:left w:type="dxa" w:w="100"/>
              <w:bottom w:type="dxa" w:w="80"/>
              <w:right w:type="dxa" w:w="100"/>
            </w:tcMar>
          </w:tcPr>
          <w:p>
            <w:pPr>
              <w:pStyle w:val="Tabla"/>
            </w:pPr>
            <w:r>
              <w:t xml:space="preserve">240</w:t>
            </w:r>
          </w:p>
        </w:tc>
      </w:tr>
      <w:tr>
        <w:trPr>
          <w:cantSplit/>
          <w:tblHeader w:val="off"/>
        </w:trPr>
        <w:tc>
          <w:tcPr>
            <w:tcW w:type="dxa" w:w="4816"/>
            <w:tcMar>
              <w:top w:type="dxa" w:w="80"/>
              <w:left w:type="dxa" w:w="100"/>
              <w:bottom w:type="dxa" w:w="80"/>
              <w:right w:type="dxa" w:w="100"/>
            </w:tcMar>
          </w:tcPr>
          <w:p>
            <w:pPr>
              <w:pStyle w:val="Tabla"/>
            </w:pPr>
            <w:r>
              <w:t xml:space="preserve">TIME STEP</w:t>
            </w:r>
          </w:p>
        </w:tc>
        <w:tc>
          <w:tcPr>
            <w:tcW w:type="dxa" w:w="4816"/>
            <w:tcMar>
              <w:top w:type="dxa" w:w="80"/>
              <w:left w:type="dxa" w:w="100"/>
              <w:bottom w:type="dxa" w:w="80"/>
              <w:right w:type="dxa" w:w="100"/>
            </w:tcMar>
          </w:tcPr>
          <w:p>
            <w:pPr>
              <w:pStyle w:val="Tabla"/>
            </w:pPr>
            <w:r>
              <w:t xml:space="preserve">1</w:t>
            </w:r>
          </w:p>
        </w:tc>
      </w:tr>
      <w:tr>
        <w:trPr>
          <w:cantSplit/>
          <w:tblHeader w:val="off"/>
        </w:trPr>
        <w:tc>
          <w:tcPr>
            <w:tcW w:type="dxa" w:w="4816"/>
            <w:tcMar>
              <w:top w:type="dxa" w:w="80"/>
              <w:left w:type="dxa" w:w="100"/>
              <w:bottom w:type="dxa" w:w="80"/>
              <w:right w:type="dxa" w:w="100"/>
            </w:tcMar>
          </w:tcPr>
          <w:p>
            <w:pPr>
              <w:pStyle w:val="Tabla"/>
            </w:pPr>
            <w:r>
              <w:t xml:space="preserve">SAVEPER</w:t>
            </w:r>
          </w:p>
        </w:tc>
        <w:tc>
          <w:tcPr>
            <w:tcW w:type="dxa" w:w="4816"/>
            <w:tcMar>
              <w:top w:type="dxa" w:w="80"/>
              <w:left w:type="dxa" w:w="100"/>
              <w:bottom w:type="dxa" w:w="80"/>
              <w:right w:type="dxa" w:w="100"/>
            </w:tcMar>
          </w:tcPr>
          <w:p>
            <w:pPr>
              <w:pStyle w:val="Tabla"/>
            </w:pPr>
            <w:r>
              <w:t xml:space="preserve">1 (igual a TIME STEP, nunca menor)</w:t>
            </w:r>
          </w:p>
        </w:tc>
      </w:tr>
      <w:tr>
        <w:trPr>
          <w:cantSplit/>
          <w:tblHeader w:val="off"/>
        </w:trPr>
        <w:tc>
          <w:tcPr>
            <w:tcW w:type="dxa" w:w="4816"/>
            <w:tcMar>
              <w:top w:type="dxa" w:w="80"/>
              <w:left w:type="dxa" w:w="100"/>
              <w:bottom w:type="dxa" w:w="80"/>
              <w:right w:type="dxa" w:w="100"/>
            </w:tcMar>
          </w:tcPr>
          <w:p>
            <w:pPr>
              <w:pStyle w:val="Tabla"/>
            </w:pPr>
            <w:r>
              <w:t xml:space="preserve">Units for Time</w:t>
            </w:r>
          </w:p>
        </w:tc>
        <w:tc>
          <w:tcPr>
            <w:tcW w:type="dxa" w:w="4816"/>
            <w:tcMar>
              <w:top w:type="dxa" w:w="80"/>
              <w:left w:type="dxa" w:w="100"/>
              <w:bottom w:type="dxa" w:w="80"/>
              <w:right w:type="dxa" w:w="100"/>
            </w:tcMar>
          </w:tcPr>
          <w:p>
            <w:pPr>
              <w:pStyle w:val="Tabla"/>
            </w:pPr>
            <w:r>
              <w:t xml:space="preserve">Mes</w:t>
            </w:r>
          </w:p>
        </w:tc>
      </w:tr>
      <w:tr>
        <w:trPr>
          <w:cantSplit/>
          <w:tblHeader w:val="off"/>
        </w:trPr>
        <w:tc>
          <w:tcPr>
            <w:tcW w:type="dxa" w:w="4816"/>
            <w:tcMar>
              <w:top w:type="dxa" w:w="80"/>
              <w:left w:type="dxa" w:w="100"/>
              <w:bottom w:type="dxa" w:w="80"/>
              <w:right w:type="dxa" w:w="100"/>
            </w:tcMar>
          </w:tcPr>
          <w:p>
            <w:pPr>
              <w:pStyle w:val="Tabla"/>
            </w:pPr>
            <w:r>
              <w:t xml:space="preserve">Integration Type</w:t>
            </w:r>
          </w:p>
        </w:tc>
        <w:tc>
          <w:tcPr>
            <w:tcW w:type="dxa" w:w="4816"/>
            <w:tcMar>
              <w:top w:type="dxa" w:w="80"/>
              <w:left w:type="dxa" w:w="100"/>
              <w:bottom w:type="dxa" w:w="80"/>
              <w:right w:type="dxa" w:w="100"/>
            </w:tcMar>
          </w:tcPr>
          <w:p>
            <w:pPr>
              <w:pStyle w:val="Tabla"/>
            </w:pPr>
            <w:r>
              <w:t xml:space="preserve">Euler</w:t>
            </w:r>
          </w:p>
        </w:tc>
      </w:tr>
    </w:tbl>
    <w:tbl>
      <w:tblPr>
        <w:tblW w:type="dxa" w:w="9632"/>
        <w:tblBorders>
          <w:top w:val="single" w:color="C5D5DB" w:sz="4"/>
          <w:left w:val="single" w:color="C5D5DB" w:sz="4"/>
          <w:bottom w:val="single" w:color="C5D5DB" w:sz="4"/>
          <w:right w:val="single" w:color="C5D5DB" w:sz="4"/>
          <w:insideH w:val="single" w:color="E4E9EB" w:sz="3"/>
          <w:insideV w:val="single" w:color="E4E9EB" w:sz="3"/>
        </w:tblBorders>
        <w:tblLayout w:type="fixed"/>
      </w:tblPr>
      <w:tblGrid>
        <w:gridCol w:w="2408"/>
        <w:gridCol w:w="2408"/>
        <w:gridCol w:w="2408"/>
        <w:gridCol w:w="2408"/>
      </w:tblGrid>
      <w:tr>
        <w:trPr>
          <w:cantSplit/>
          <w:tblHeader/>
        </w:trPr>
        <w:tc>
          <w:tcPr>
            <w:tcW w:type="dxa" w:w="2408"/>
            <w:shd w:fill="DFEAF0" w:val="clear"/>
            <w:tcMar>
              <w:top w:type="dxa" w:w="80"/>
              <w:left w:type="dxa" w:w="100"/>
              <w:bottom w:type="dxa" w:w="80"/>
              <w:right w:type="dxa" w:w="100"/>
            </w:tcMar>
          </w:tcPr>
          <w:p>
            <w:pPr>
              <w:pStyle w:val="Tabla"/>
            </w:pPr>
            <w:r>
              <w:rPr>
                <w:b/>
                <w:bCs/>
              </w:rPr>
              <w:t xml:space="preserve">Variable</w:t>
            </w:r>
          </w:p>
        </w:tc>
        <w:tc>
          <w:tcPr>
            <w:tcW w:type="dxa" w:w="2408"/>
            <w:shd w:fill="DFEAF0" w:val="clear"/>
            <w:tcMar>
              <w:top w:type="dxa" w:w="80"/>
              <w:left w:type="dxa" w:w="100"/>
              <w:bottom w:type="dxa" w:w="80"/>
              <w:right w:type="dxa" w:w="100"/>
            </w:tcMar>
          </w:tcPr>
          <w:p>
            <w:pPr>
              <w:pStyle w:val="Tabla"/>
            </w:pPr>
            <w:r>
              <w:rPr>
                <w:b/>
                <w:bCs/>
              </w:rPr>
              <w:t xml:space="preserve">Tipo</w:t>
            </w:r>
          </w:p>
        </w:tc>
        <w:tc>
          <w:tcPr>
            <w:tcW w:type="dxa" w:w="2408"/>
            <w:shd w:fill="DFEAF0" w:val="clear"/>
            <w:tcMar>
              <w:top w:type="dxa" w:w="80"/>
              <w:left w:type="dxa" w:w="100"/>
              <w:bottom w:type="dxa" w:w="80"/>
              <w:right w:type="dxa" w:w="100"/>
            </w:tcMar>
          </w:tcPr>
          <w:p>
            <w:pPr>
              <w:pStyle w:val="Tabla"/>
            </w:pPr>
            <w:r>
              <w:rPr>
                <w:b/>
                <w:bCs/>
              </w:rPr>
              <w:t xml:space="preserve">Ecuación</w:t>
            </w:r>
          </w:p>
        </w:tc>
        <w:tc>
          <w:tcPr>
            <w:tcW w:type="dxa" w:w="2408"/>
            <w:shd w:fill="DFEAF0" w:val="clear"/>
            <w:tcMar>
              <w:top w:type="dxa" w:w="80"/>
              <w:left w:type="dxa" w:w="100"/>
              <w:bottom w:type="dxa" w:w="80"/>
              <w:right w:type="dxa" w:w="100"/>
            </w:tcMar>
          </w:tcPr>
          <w:p>
            <w:pPr>
              <w:pStyle w:val="Tabla"/>
            </w:pPr>
            <w:r>
              <w:rPr>
                <w:b/>
                <w:bCs/>
              </w:rPr>
              <w:t xml:space="preserve">Unidades</w:t>
            </w:r>
          </w:p>
        </w:tc>
      </w:tr>
      <w:tr>
        <w:trPr>
          <w:cantSplit/>
          <w:tblHeader w:val="off"/>
        </w:trPr>
        <w:tc>
          <w:tcPr>
            <w:tcW w:type="dxa" w:w="2408"/>
            <w:tcMar>
              <w:top w:type="dxa" w:w="80"/>
              <w:left w:type="dxa" w:w="100"/>
              <w:bottom w:type="dxa" w:w="80"/>
              <w:right w:type="dxa" w:w="100"/>
            </w:tcMar>
          </w:tcPr>
          <w:p>
            <w:pPr>
              <w:pStyle w:val="Tabla"/>
            </w:pPr>
            <w:r>
              <w:t xml:space="preserve">Mercancías almacén</w:t>
            </w:r>
          </w:p>
        </w:tc>
        <w:tc>
          <w:tcPr>
            <w:tcW w:type="dxa" w:w="2408"/>
            <w:tcMar>
              <w:top w:type="dxa" w:w="80"/>
              <w:left w:type="dxa" w:w="100"/>
              <w:bottom w:type="dxa" w:w="80"/>
              <w:right w:type="dxa" w:w="100"/>
            </w:tcMar>
          </w:tcPr>
          <w:p>
            <w:pPr>
              <w:pStyle w:val="Tabla"/>
            </w:pPr>
            <w:r>
              <w:t xml:space="preserve">Nivel</w:t>
            </w:r>
          </w:p>
        </w:tc>
        <w:tc>
          <w:tcPr>
            <w:tcW w:type="dxa" w:w="2408"/>
            <w:tcMar>
              <w:top w:type="dxa" w:w="80"/>
              <w:left w:type="dxa" w:w="100"/>
              <w:bottom w:type="dxa" w:w="80"/>
              <w:right w:type="dxa" w:w="100"/>
            </w:tcMar>
          </w:tcPr>
          <w:p>
            <w:pPr>
              <w:pStyle w:val="Tabla"/>
            </w:pPr>
            <w:r>
              <w:rPr>
                <w:rFonts w:ascii="Source Code Pro" w:cs="Source Code Pro" w:eastAsia="Source Code Pro" w:hAnsi="Source Code Pro"/>
                <w:sz w:val="16"/>
                <w:szCs w:val="16"/>
              </w:rPr>
              <w:t xml:space="preserve">INTEG(Entradas mercancías - Salidas mercancías - Deterioro mercancías, 200)</w:t>
            </w:r>
          </w:p>
        </w:tc>
        <w:tc>
          <w:tcPr>
            <w:tcW w:type="dxa" w:w="2408"/>
            <w:tcMar>
              <w:top w:type="dxa" w:w="80"/>
              <w:left w:type="dxa" w:w="100"/>
              <w:bottom w:type="dxa" w:w="80"/>
              <w:right w:type="dxa" w:w="100"/>
            </w:tcMar>
          </w:tcPr>
          <w:p>
            <w:pPr>
              <w:pStyle w:val="Tabla"/>
            </w:pPr>
            <w:r>
              <w:t xml:space="preserve">Unidades</w:t>
            </w:r>
          </w:p>
        </w:tc>
      </w:tr>
      <w:tr>
        <w:trPr>
          <w:cantSplit/>
          <w:tblHeader w:val="off"/>
        </w:trPr>
        <w:tc>
          <w:tcPr>
            <w:tcW w:type="dxa" w:w="2408"/>
            <w:tcMar>
              <w:top w:type="dxa" w:w="80"/>
              <w:left w:type="dxa" w:w="100"/>
              <w:bottom w:type="dxa" w:w="80"/>
              <w:right w:type="dxa" w:w="100"/>
            </w:tcMar>
          </w:tcPr>
          <w:p>
            <w:pPr>
              <w:pStyle w:val="Tabla"/>
            </w:pPr>
            <w:r>
              <w:t xml:space="preserve">Entradas mercancías</w:t>
            </w:r>
          </w:p>
        </w:tc>
        <w:tc>
          <w:tcPr>
            <w:tcW w:type="dxa" w:w="2408"/>
            <w:tcMar>
              <w:top w:type="dxa" w:w="80"/>
              <w:left w:type="dxa" w:w="100"/>
              <w:bottom w:type="dxa" w:w="80"/>
              <w:right w:type="dxa" w:w="100"/>
            </w:tcMar>
          </w:tcPr>
          <w:p>
            <w:pPr>
              <w:pStyle w:val="Tabla"/>
            </w:pPr>
            <w:r>
              <w:t xml:space="preserve">Flujo</w:t>
            </w:r>
          </w:p>
        </w:tc>
        <w:tc>
          <w:tcPr>
            <w:tcW w:type="dxa" w:w="2408"/>
            <w:tcMar>
              <w:top w:type="dxa" w:w="80"/>
              <w:left w:type="dxa" w:w="100"/>
              <w:bottom w:type="dxa" w:w="80"/>
              <w:right w:type="dxa" w:w="100"/>
            </w:tcMar>
          </w:tcPr>
          <w:p>
            <w:pPr>
              <w:pStyle w:val="Tabla"/>
            </w:pPr>
            <w:r>
              <w:rPr>
                <w:rFonts w:ascii="Source Code Pro" w:cs="Source Code Pro" w:eastAsia="Source Code Pro" w:hAnsi="Source Code Pro"/>
                <w:sz w:val="16"/>
                <w:szCs w:val="16"/>
              </w:rPr>
              <w:t xml:space="preserve">Tasa entrada mercancías</w:t>
            </w:r>
          </w:p>
        </w:tc>
        <w:tc>
          <w:tcPr>
            <w:tcW w:type="dxa" w:w="2408"/>
            <w:tcMar>
              <w:top w:type="dxa" w:w="80"/>
              <w:left w:type="dxa" w:w="100"/>
              <w:bottom w:type="dxa" w:w="80"/>
              <w:right w:type="dxa" w:w="100"/>
            </w:tcMar>
          </w:tcPr>
          <w:p>
            <w:pPr>
              <w:pStyle w:val="Tabla"/>
            </w:pPr>
            <w:r>
              <w:t xml:space="preserve">Unidades/Mes</w:t>
            </w:r>
          </w:p>
        </w:tc>
      </w:tr>
      <w:tr>
        <w:trPr>
          <w:cantSplit/>
          <w:tblHeader w:val="off"/>
        </w:trPr>
        <w:tc>
          <w:tcPr>
            <w:tcW w:type="dxa" w:w="2408"/>
            <w:tcMar>
              <w:top w:type="dxa" w:w="80"/>
              <w:left w:type="dxa" w:w="100"/>
              <w:bottom w:type="dxa" w:w="80"/>
              <w:right w:type="dxa" w:w="100"/>
            </w:tcMar>
          </w:tcPr>
          <w:p>
            <w:pPr>
              <w:pStyle w:val="Tabla"/>
            </w:pPr>
            <w:r>
              <w:t xml:space="preserve">Deterioro mercancías</w:t>
            </w:r>
          </w:p>
        </w:tc>
        <w:tc>
          <w:tcPr>
            <w:tcW w:type="dxa" w:w="2408"/>
            <w:tcMar>
              <w:top w:type="dxa" w:w="80"/>
              <w:left w:type="dxa" w:w="100"/>
              <w:bottom w:type="dxa" w:w="80"/>
              <w:right w:type="dxa" w:w="100"/>
            </w:tcMar>
          </w:tcPr>
          <w:p>
            <w:pPr>
              <w:pStyle w:val="Tabla"/>
            </w:pPr>
            <w:r>
              <w:t xml:space="preserve">Flujo</w:t>
            </w:r>
          </w:p>
        </w:tc>
        <w:tc>
          <w:tcPr>
            <w:tcW w:type="dxa" w:w="2408"/>
            <w:tcMar>
              <w:top w:type="dxa" w:w="80"/>
              <w:left w:type="dxa" w:w="100"/>
              <w:bottom w:type="dxa" w:w="80"/>
              <w:right w:type="dxa" w:w="100"/>
            </w:tcMar>
          </w:tcPr>
          <w:p>
            <w:pPr>
              <w:pStyle w:val="Tabla"/>
            </w:pPr>
            <w:r>
              <w:rPr>
                <w:rFonts w:ascii="Source Code Pro" w:cs="Source Code Pro" w:eastAsia="Source Code Pro" w:hAnsi="Source Code Pro"/>
                <w:sz w:val="16"/>
                <w:szCs w:val="16"/>
              </w:rPr>
              <w:t xml:space="preserve">Mercancías almacén * Tasa deterioro mercancías</w:t>
            </w:r>
          </w:p>
        </w:tc>
        <w:tc>
          <w:tcPr>
            <w:tcW w:type="dxa" w:w="2408"/>
            <w:tcMar>
              <w:top w:type="dxa" w:w="80"/>
              <w:left w:type="dxa" w:w="100"/>
              <w:bottom w:type="dxa" w:w="80"/>
              <w:right w:type="dxa" w:w="100"/>
            </w:tcMar>
          </w:tcPr>
          <w:p>
            <w:pPr>
              <w:pStyle w:val="Tabla"/>
            </w:pPr>
            <w:r>
              <w:t xml:space="preserve">Unidades/Mes</w:t>
            </w:r>
          </w:p>
        </w:tc>
      </w:tr>
      <w:tr>
        <w:trPr>
          <w:cantSplit/>
          <w:tblHeader w:val="off"/>
        </w:trPr>
        <w:tc>
          <w:tcPr>
            <w:tcW w:type="dxa" w:w="2408"/>
            <w:tcMar>
              <w:top w:type="dxa" w:w="80"/>
              <w:left w:type="dxa" w:w="100"/>
              <w:bottom w:type="dxa" w:w="80"/>
              <w:right w:type="dxa" w:w="100"/>
            </w:tcMar>
          </w:tcPr>
          <w:p>
            <w:pPr>
              <w:pStyle w:val="Tabla"/>
            </w:pPr>
            <w:r>
              <w:t xml:space="preserve">Salidas mercancías</w:t>
            </w:r>
          </w:p>
        </w:tc>
        <w:tc>
          <w:tcPr>
            <w:tcW w:type="dxa" w:w="2408"/>
            <w:tcMar>
              <w:top w:type="dxa" w:w="80"/>
              <w:left w:type="dxa" w:w="100"/>
              <w:bottom w:type="dxa" w:w="80"/>
              <w:right w:type="dxa" w:w="100"/>
            </w:tcMar>
          </w:tcPr>
          <w:p>
            <w:pPr>
              <w:pStyle w:val="Tabla"/>
            </w:pPr>
            <w:r>
              <w:t xml:space="preserve">Flujo</w:t>
            </w:r>
          </w:p>
        </w:tc>
        <w:tc>
          <w:tcPr>
            <w:tcW w:type="dxa" w:w="2408"/>
            <w:tcMar>
              <w:top w:type="dxa" w:w="80"/>
              <w:left w:type="dxa" w:w="100"/>
              <w:bottom w:type="dxa" w:w="80"/>
              <w:right w:type="dxa" w:w="100"/>
            </w:tcMar>
          </w:tcPr>
          <w:p>
            <w:pPr>
              <w:pStyle w:val="Tabla"/>
            </w:pPr>
            <w:r>
              <w:rPr>
                <w:rFonts w:ascii="Source Code Pro" w:cs="Source Code Pro" w:eastAsia="Source Code Pro" w:hAnsi="Source Code Pro"/>
                <w:sz w:val="16"/>
                <w:szCs w:val="16"/>
              </w:rPr>
              <w:t xml:space="preserve">IF THEN ELSE(Mercancías almacén &gt; 150, Salidas deseadas mercancías, 60)</w:t>
            </w:r>
          </w:p>
        </w:tc>
        <w:tc>
          <w:tcPr>
            <w:tcW w:type="dxa" w:w="2408"/>
            <w:tcMar>
              <w:top w:type="dxa" w:w="80"/>
              <w:left w:type="dxa" w:w="100"/>
              <w:bottom w:type="dxa" w:w="80"/>
              <w:right w:type="dxa" w:w="100"/>
            </w:tcMar>
          </w:tcPr>
          <w:p>
            <w:pPr>
              <w:pStyle w:val="Tabla"/>
            </w:pPr>
            <w:r>
              <w:t xml:space="preserve">Unidades/Mes</w:t>
            </w:r>
          </w:p>
        </w:tc>
      </w:tr>
      <w:tr>
        <w:trPr>
          <w:cantSplit/>
          <w:tblHeader w:val="off"/>
        </w:trPr>
        <w:tc>
          <w:tcPr>
            <w:tcW w:type="dxa" w:w="2408"/>
            <w:tcMar>
              <w:top w:type="dxa" w:w="80"/>
              <w:left w:type="dxa" w:w="100"/>
              <w:bottom w:type="dxa" w:w="80"/>
              <w:right w:type="dxa" w:w="100"/>
            </w:tcMar>
          </w:tcPr>
          <w:p>
            <w:pPr>
              <w:pStyle w:val="Tabla"/>
            </w:pPr>
            <w:r>
              <w:t xml:space="preserve">Salidas deseadas mercancías</w:t>
            </w:r>
          </w:p>
        </w:tc>
        <w:tc>
          <w:tcPr>
            <w:tcW w:type="dxa" w:w="2408"/>
            <w:tcMar>
              <w:top w:type="dxa" w:w="80"/>
              <w:left w:type="dxa" w:w="100"/>
              <w:bottom w:type="dxa" w:w="80"/>
              <w:right w:type="dxa" w:w="100"/>
            </w:tcMar>
          </w:tcPr>
          <w:p>
            <w:pPr>
              <w:pStyle w:val="Tabla"/>
            </w:pPr>
            <w:r>
              <w:t xml:space="preserve">Auxiliar</w:t>
            </w:r>
          </w:p>
        </w:tc>
        <w:tc>
          <w:tcPr>
            <w:tcW w:type="dxa" w:w="2408"/>
            <w:tcMar>
              <w:top w:type="dxa" w:w="80"/>
              <w:left w:type="dxa" w:w="100"/>
              <w:bottom w:type="dxa" w:w="80"/>
              <w:right w:type="dxa" w:w="100"/>
            </w:tcMar>
          </w:tcPr>
          <w:p>
            <w:pPr>
              <w:pStyle w:val="Tabla"/>
            </w:pPr>
            <w:r>
              <w:rPr>
                <w:rFonts w:ascii="Source Code Pro" w:cs="Source Code Pro" w:eastAsia="Source Code Pro" w:hAnsi="Source Code Pro"/>
                <w:sz w:val="16"/>
                <w:szCs w:val="16"/>
              </w:rPr>
              <w:t xml:space="preserve">RANDOM UNIFORM(80, 110, 234)</w:t>
            </w:r>
          </w:p>
        </w:tc>
        <w:tc>
          <w:tcPr>
            <w:tcW w:type="dxa" w:w="2408"/>
            <w:tcMar>
              <w:top w:type="dxa" w:w="80"/>
              <w:left w:type="dxa" w:w="100"/>
              <w:bottom w:type="dxa" w:w="80"/>
              <w:right w:type="dxa" w:w="100"/>
            </w:tcMar>
          </w:tcPr>
          <w:p>
            <w:pPr>
              <w:pStyle w:val="Tabla"/>
            </w:pPr>
            <w:r>
              <w:t xml:space="preserve">Unidades/Mes</w:t>
            </w:r>
          </w:p>
        </w:tc>
      </w:tr>
      <w:tr>
        <w:trPr>
          <w:cantSplit/>
          <w:tblHeader w:val="off"/>
        </w:trPr>
        <w:tc>
          <w:tcPr>
            <w:tcW w:type="dxa" w:w="2408"/>
            <w:tcMar>
              <w:top w:type="dxa" w:w="80"/>
              <w:left w:type="dxa" w:w="100"/>
              <w:bottom w:type="dxa" w:w="80"/>
              <w:right w:type="dxa" w:w="100"/>
            </w:tcMar>
          </w:tcPr>
          <w:p>
            <w:pPr>
              <w:pStyle w:val="Tabla"/>
            </w:pPr>
            <w:r>
              <w:t xml:space="preserve">Tasa entrada mercancías</w:t>
            </w:r>
          </w:p>
        </w:tc>
        <w:tc>
          <w:tcPr>
            <w:tcW w:type="dxa" w:w="2408"/>
            <w:tcMar>
              <w:top w:type="dxa" w:w="80"/>
              <w:left w:type="dxa" w:w="100"/>
              <w:bottom w:type="dxa" w:w="80"/>
              <w:right w:type="dxa" w:w="100"/>
            </w:tcMar>
          </w:tcPr>
          <w:p>
            <w:pPr>
              <w:pStyle w:val="Tabla"/>
            </w:pPr>
            <w:r>
              <w:t xml:space="preserve">Constante</w:t>
            </w:r>
          </w:p>
        </w:tc>
        <w:tc>
          <w:tcPr>
            <w:tcW w:type="dxa" w:w="2408"/>
            <w:tcMar>
              <w:top w:type="dxa" w:w="80"/>
              <w:left w:type="dxa" w:w="100"/>
              <w:bottom w:type="dxa" w:w="80"/>
              <w:right w:type="dxa" w:w="100"/>
            </w:tcMar>
          </w:tcPr>
          <w:p>
            <w:pPr>
              <w:pStyle w:val="Tabla"/>
            </w:pPr>
            <w:r>
              <w:rPr>
                <w:rFonts w:ascii="Source Code Pro" w:cs="Source Code Pro" w:eastAsia="Source Code Pro" w:hAnsi="Source Code Pro"/>
                <w:sz w:val="16"/>
                <w:szCs w:val="16"/>
              </w:rPr>
              <w:t xml:space="preserve">100</w:t>
            </w:r>
          </w:p>
        </w:tc>
        <w:tc>
          <w:tcPr>
            <w:tcW w:type="dxa" w:w="2408"/>
            <w:tcMar>
              <w:top w:type="dxa" w:w="80"/>
              <w:left w:type="dxa" w:w="100"/>
              <w:bottom w:type="dxa" w:w="80"/>
              <w:right w:type="dxa" w:w="100"/>
            </w:tcMar>
          </w:tcPr>
          <w:p>
            <w:pPr>
              <w:pStyle w:val="Tabla"/>
            </w:pPr>
            <w:r>
              <w:t xml:space="preserve">Unidades/Mes</w:t>
            </w:r>
          </w:p>
        </w:tc>
      </w:tr>
      <w:tr>
        <w:trPr>
          <w:cantSplit/>
          <w:tblHeader w:val="off"/>
        </w:trPr>
        <w:tc>
          <w:tcPr>
            <w:tcW w:type="dxa" w:w="2408"/>
            <w:tcMar>
              <w:top w:type="dxa" w:w="80"/>
              <w:left w:type="dxa" w:w="100"/>
              <w:bottom w:type="dxa" w:w="80"/>
              <w:right w:type="dxa" w:w="100"/>
            </w:tcMar>
          </w:tcPr>
          <w:p>
            <w:pPr>
              <w:pStyle w:val="Tabla"/>
            </w:pPr>
            <w:r>
              <w:t xml:space="preserve">Tasa deterioro mercancías</w:t>
            </w:r>
          </w:p>
        </w:tc>
        <w:tc>
          <w:tcPr>
            <w:tcW w:type="dxa" w:w="2408"/>
            <w:tcMar>
              <w:top w:type="dxa" w:w="80"/>
              <w:left w:type="dxa" w:w="100"/>
              <w:bottom w:type="dxa" w:w="80"/>
              <w:right w:type="dxa" w:w="100"/>
            </w:tcMar>
          </w:tcPr>
          <w:p>
            <w:pPr>
              <w:pStyle w:val="Tabla"/>
            </w:pPr>
            <w:r>
              <w:t xml:space="preserve">Constante</w:t>
            </w:r>
          </w:p>
        </w:tc>
        <w:tc>
          <w:tcPr>
            <w:tcW w:type="dxa" w:w="2408"/>
            <w:tcMar>
              <w:top w:type="dxa" w:w="80"/>
              <w:left w:type="dxa" w:w="100"/>
              <w:bottom w:type="dxa" w:w="80"/>
              <w:right w:type="dxa" w:w="100"/>
            </w:tcMar>
          </w:tcPr>
          <w:p>
            <w:pPr>
              <w:pStyle w:val="Tabla"/>
            </w:pPr>
            <w:r>
              <w:rPr>
                <w:rFonts w:ascii="Source Code Pro" w:cs="Source Code Pro" w:eastAsia="Source Code Pro" w:hAnsi="Source Code Pro"/>
                <w:sz w:val="16"/>
                <w:szCs w:val="16"/>
              </w:rPr>
              <w:t xml:space="preserve">0.05</w:t>
            </w:r>
          </w:p>
        </w:tc>
        <w:tc>
          <w:tcPr>
            <w:tcW w:type="dxa" w:w="2408"/>
            <w:tcMar>
              <w:top w:type="dxa" w:w="80"/>
              <w:left w:type="dxa" w:w="100"/>
              <w:bottom w:type="dxa" w:w="80"/>
              <w:right w:type="dxa" w:w="100"/>
            </w:tcMar>
          </w:tcPr>
          <w:p>
            <w:pPr>
              <w:pStyle w:val="Tabla"/>
            </w:pPr>
            <w:r>
              <w:t xml:space="preserve">Dmnl</w:t>
            </w:r>
          </w:p>
        </w:tc>
      </w:tr>
    </w:tbl>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156B70" w:sz="20"/>
              <w:bottom w:val="nil"/>
              <w:right w:val="nil"/>
            </w:tcBorders>
            <w:shd w:fill="EEF4F5" w:val="clear"/>
            <w:tcMar>
              <w:top w:type="dxa" w:w="130"/>
              <w:left w:type="dxa" w:w="180"/>
              <w:bottom w:type="dxa" w:w="130"/>
              <w:right w:type="dxa" w:w="180"/>
            </w:tcMar>
          </w:tcPr>
          <w:p>
            <w:pPr>
              <w:pStyle w:val="RecuadroTitulo"/>
            </w:pPr>
            <w:r>
              <w:rPr>
                <w:b/>
                <w:bCs/>
                <w:color w:val="156B70"/>
              </w:rPr>
              <w:t xml:space="preserve">Comprobación de la corrida</w:t>
            </w:r>
          </w:p>
          <w:p>
            <w:pPr>
              <w:pStyle w:val="Recuadro"/>
            </w:pPr>
            <w:r>
              <w:t xml:space="preserve">Model › Check Model responde «Model is OK».</w:t>
            </w:r>
          </w:p>
          <w:p>
            <w:pPr>
              <w:pStyle w:val="Recuadro"/>
            </w:pPr>
            <w:r>
              <w:t xml:space="preserve">Con Tasa entrada mercancías = 100, el almacén no se asienta: ronda las 150 unidades del umbral del IF THEN ELSE.</w:t>
            </w:r>
          </w:p>
          <w:p>
            <w:pPr>
              <w:pStyle w:val="Recuadro"/>
            </w:pPr>
            <w:r>
              <w:t xml:space="preserve">Con 120, sube hasta rondar las 500 unidades: (120 − 95) / 0.05, con 95 la media de las salidas deseadas.</w:t>
            </w:r>
          </w:p>
        </w:tc>
      </w:tr>
    </w:tbl>
    <w:tbl>
      <w:tblPr>
        <w:tblW w:type="dxa" w:w="96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2"/>
      </w:tblGrid>
      <w:tr>
        <w:trPr>
          <w:cantSplit w:val="off"/>
        </w:trPr>
        <w:tc>
          <w:tcPr>
            <w:tcW w:type="dxa" w:w="9632"/>
            <w:tcBorders>
              <w:top w:val="nil"/>
              <w:left w:val="single" w:color="9C620A" w:sz="20"/>
              <w:bottom w:val="nil"/>
              <w:right w:val="nil"/>
            </w:tcBorders>
            <w:shd w:fill="FBF3DF" w:val="clear"/>
            <w:tcMar>
              <w:top w:type="dxa" w:w="130"/>
              <w:left w:type="dxa" w:w="180"/>
              <w:bottom w:type="dxa" w:w="130"/>
              <w:right w:type="dxa" w:w="180"/>
            </w:tcMar>
          </w:tcPr>
          <w:p>
            <w:pPr>
              <w:pStyle w:val="RecuadroTitulo"/>
            </w:pPr>
            <w:r>
              <w:rPr>
                <w:b/>
                <w:bCs/>
                <w:color w:val="9C620A"/>
              </w:rPr>
              <w:t xml:space="preserve">Condiciones y límites</w:t>
            </w:r>
          </w:p>
          <w:p>
            <w:pPr>
              <w:pStyle w:val="Recuadro"/>
            </w:pPr>
            <w:r>
              <w:t xml:space="preserve">RANDOM UNIFORM cambia la curva mes a mes según la semilla, pero no a dónde se asienta. Si se activa Units Check, Vensim advierte que Deterioro no cuadra: con la tasa sin dimensión da Unidades, no Unidades/Mes; la tasa tendría que medirse en 1/Mes.</w:t>
            </w:r>
          </w:p>
        </w:tc>
      </w:tr>
    </w:tbl>
    <w:p>
      <w:pPr>
        <w:pStyle w:val="Fuente"/>
        <w:sectPr>
          <w:headerReference w:type="default" r:id="rId348"/>
          <w:headerReference w:type="first" r:id="rId349"/>
          <w:headerReference w:type="even" r:id="rId350"/>
          <w:footerReference w:type="default" r:id="rId351"/>
          <w:footerReference w:type="first" r:id="rId352"/>
          <w:footerReference w:type="even" r:id="rId353"/>
          <w:type w:val="nextPage"/>
          <w:pgSz w:w="12240" w:h="15840" w:orient="portrait"/>
          <w:pgMar w:top="1361" w:right="1134" w:bottom="1361" w:left="1474" w:header="650" w:footer="680" w:gutter="0"/>
          <w:pgNumType/>
          <w:titlePg/>
          <w:docGrid w:linePitch="360"/>
        </w:sectPr>
      </w:pPr>
      <w:r>
        <w:t xml:space="preserve">tutorial de Vensim, lecciones 3 y 4 · presentación 4a · pág. 56</w:t>
      </w:r>
    </w:p>
    <w:p>
      <w:pPr>
        <w:pStyle w:val="Heading2"/>
      </w:pPr>
      <w:bookmarkStart w:name="b_glosario" w:id="6881"/>
      <w:r>
        <w:t xml:space="preserve">C · Glosario de vocabulario clave</w:t>
      </w:r>
      <w:bookmarkEnd w:id="6881"/>
    </w:p>
    <w:p>
      <w:pPr>
        <w:pStyle w:val="Heading3"/>
      </w:pPr>
      <w:r>
        <w:t xml:space="preserve">1.1 · Paradigmas y modelos mentales</w:t>
      </w:r>
    </w:p>
    <w:tbl>
      <w:tblPr>
        <w:tblW w:type="dxa" w:w="9632"/>
        <w:tblBorders>
          <w:top w:val="single" w:color="C5D5DB" w:sz="4"/>
          <w:left w:val="single" w:color="C5D5DB" w:sz="4"/>
          <w:bottom w:val="single" w:color="C5D5DB" w:sz="4"/>
          <w:right w:val="single" w:color="C5D5DB" w:sz="4"/>
          <w:insideH w:val="single" w:color="E4E9EB" w:sz="3"/>
          <w:insideV w:val="single" w:color="E4E9EB" w:sz="3"/>
        </w:tblBorders>
        <w:tblLayout w:type="fixed"/>
      </w:tblPr>
      <w:tblGrid>
        <w:gridCol w:w="4816"/>
        <w:gridCol w:w="4816"/>
      </w:tblGrid>
      <w:tr>
        <w:trPr>
          <w:cantSplit/>
          <w:tblHeader/>
        </w:trPr>
        <w:tc>
          <w:tcPr>
            <w:tcW w:type="dxa" w:w="4816"/>
            <w:shd w:fill="DFEAF0" w:val="clear"/>
            <w:tcMar>
              <w:top w:type="dxa" w:w="80"/>
              <w:left w:type="dxa" w:w="100"/>
              <w:bottom w:type="dxa" w:w="80"/>
              <w:right w:type="dxa" w:w="100"/>
            </w:tcMar>
          </w:tcPr>
          <w:p>
            <w:pPr>
              <w:pStyle w:val="Tabla"/>
            </w:pPr>
            <w:r>
              <w:rPr>
                <w:b/>
                <w:bCs/>
              </w:rPr>
              <w:t xml:space="preserve">Vocabulario del tema</w:t>
            </w:r>
          </w:p>
        </w:tc>
        <w:tc>
          <w:tcPr>
            <w:tcW w:type="dxa" w:w="4816"/>
            <w:shd w:fill="DFEAF0" w:val="clear"/>
            <w:tcMar>
              <w:top w:type="dxa" w:w="80"/>
              <w:left w:type="dxa" w:w="100"/>
              <w:bottom w:type="dxa" w:w="80"/>
              <w:right w:type="dxa" w:w="100"/>
            </w:tcMar>
          </w:tcPr>
          <w:p>
            <w:pPr>
              <w:pStyle w:val="Tabla"/>
            </w:pPr>
            <w:r>
              <w:rPr>
                <w:b/>
                <w:bCs/>
              </w:rPr>
              <w:t xml:space="preserve">Localización y contexto</w:t>
            </w:r>
          </w:p>
        </w:tc>
      </w:tr>
      <w:tr>
        <w:trPr>
          <w:cantSplit/>
          <w:tblHeader w:val="off"/>
        </w:trPr>
        <w:tc>
          <w:tcPr>
            <w:tcW w:type="dxa" w:w="4816"/>
            <w:tcMar>
              <w:top w:type="dxa" w:w="80"/>
              <w:left w:type="dxa" w:w="100"/>
              <w:bottom w:type="dxa" w:w="80"/>
              <w:right w:type="dxa" w:w="100"/>
            </w:tcMar>
          </w:tcPr>
          <w:p>
            <w:pPr>
              <w:pStyle w:val="Tabla"/>
            </w:pPr>
            <w:r>
              <w:t xml:space="preserve">paradigma (modelo mental, sistema abstracto diseñado, sistema de creencias, patrón o modelo)</w:t>
            </w:r>
          </w:p>
        </w:tc>
        <w:tc>
          <w:tcPr>
            <w:tcW w:type="dxa" w:w="4816"/>
            <w:tcMar>
              <w:top w:type="dxa" w:w="80"/>
              <w:left w:type="dxa" w:w="100"/>
              <w:bottom w:type="dxa" w:w="80"/>
              <w:right w:type="dxa" w:w="100"/>
            </w:tcMar>
          </w:tcPr>
          <w:p>
            <w:pPr>
              <w:pStyle w:val="Tabla"/>
            </w:pPr>
            <w:r>
              <w:t xml:space="preserve">Paradigma, modelo mental y sistema abstracto diseñado son nombres equivalentes en este curso.</w:t>
            </w:r>
          </w:p>
        </w:tc>
      </w:tr>
      <w:tr>
        <w:trPr>
          <w:cantSplit/>
          <w:tblHeader w:val="off"/>
        </w:trPr>
        <w:tc>
          <w:tcPr>
            <w:tcW w:type="dxa" w:w="4816"/>
            <w:tcMar>
              <w:top w:type="dxa" w:w="80"/>
              <w:left w:type="dxa" w:w="100"/>
              <w:bottom w:type="dxa" w:w="80"/>
              <w:right w:type="dxa" w:w="100"/>
            </w:tcMar>
          </w:tcPr>
          <w:p>
            <w:pPr>
              <w:pStyle w:val="Tabla"/>
            </w:pPr>
            <w:r>
              <w:t xml:space="preserve">efecto paradigma («lo veré cuando lo crea»)</w:t>
            </w:r>
          </w:p>
        </w:tc>
        <w:tc>
          <w:tcPr>
            <w:tcW w:type="dxa" w:w="4816"/>
            <w:tcMar>
              <w:top w:type="dxa" w:w="80"/>
              <w:left w:type="dxa" w:w="100"/>
              <w:bottom w:type="dxa" w:w="80"/>
              <w:right w:type="dxa" w:w="100"/>
            </w:tcMar>
          </w:tcPr>
          <w:p>
            <w:pPr>
              <w:pStyle w:val="Tabla"/>
            </w:pPr>
            <w:r>
              <w:t xml:space="preserve">Efecto paradigma: el paradigma actúa como filtro; cada paradigma da una perspectiva, sesga lo que vemos y lo diferente se descarta; según Barker (punto 7) invierte la relación entre ver y creer: sólo vemos aquello en lo que creemos, «lo veré cuando lo crea».</w:t>
            </w:r>
          </w:p>
        </w:tc>
      </w:tr>
      <w:tr>
        <w:trPr>
          <w:cantSplit/>
          <w:tblHeader w:val="off"/>
        </w:trPr>
        <w:tc>
          <w:tcPr>
            <w:tcW w:type="dxa" w:w="4816"/>
            <w:tcMar>
              <w:top w:type="dxa" w:w="80"/>
              <w:left w:type="dxa" w:w="100"/>
              <w:bottom w:type="dxa" w:w="80"/>
              <w:right w:type="dxa" w:w="100"/>
            </w:tcMar>
          </w:tcPr>
          <w:p>
            <w:pPr>
              <w:pStyle w:val="Tabla"/>
            </w:pPr>
            <w:r>
              <w:t xml:space="preserve">parálisis de paradigma (parálisis paradigmática, enfermedad de certidumbre)</w:t>
            </w:r>
          </w:p>
        </w:tc>
        <w:tc>
          <w:tcPr>
            <w:tcW w:type="dxa" w:w="4816"/>
            <w:tcMar>
              <w:top w:type="dxa" w:w="80"/>
              <w:left w:type="dxa" w:w="100"/>
              <w:bottom w:type="dxa" w:w="80"/>
              <w:right w:type="dxa" w:w="100"/>
            </w:tcMar>
          </w:tcPr>
          <w:p>
            <w:pPr>
              <w:pStyle w:val="Tabla"/>
            </w:pPr>
            <w:r>
              <w:t xml:space="preserve">Parálisis de paradigma (Barker: «enfermedad de certidumbre», «parálisis paradigmática»): sin conciencia del paradigma, este se vuelve verdad absoluta y se rechaza lo que no coincide; provoca la resistencia al cambio, que impide transformar un paradigma útil.</w:t>
            </w:r>
          </w:p>
        </w:tc>
      </w:tr>
      <w:tr>
        <w:trPr>
          <w:cantSplit/>
          <w:tblHeader w:val="off"/>
        </w:trPr>
        <w:tc>
          <w:tcPr>
            <w:tcW w:type="dxa" w:w="4816"/>
            <w:tcMar>
              <w:top w:type="dxa" w:w="80"/>
              <w:left w:type="dxa" w:w="100"/>
              <w:bottom w:type="dxa" w:w="80"/>
              <w:right w:type="dxa" w:w="100"/>
            </w:tcMar>
          </w:tcPr>
          <w:p>
            <w:pPr>
              <w:pStyle w:val="Tabla"/>
            </w:pPr>
            <w:r>
              <w:t xml:space="preserve">resistencia al cambio</w:t>
            </w:r>
          </w:p>
        </w:tc>
        <w:tc>
          <w:tcPr>
            <w:tcW w:type="dxa" w:w="4816"/>
            <w:tcMar>
              <w:top w:type="dxa" w:w="80"/>
              <w:left w:type="dxa" w:w="100"/>
              <w:bottom w:type="dxa" w:w="80"/>
              <w:right w:type="dxa" w:w="100"/>
            </w:tcMar>
          </w:tcPr>
          <w:p>
            <w:pPr>
              <w:pStyle w:val="Tabla"/>
            </w:pPr>
            <w:r>
              <w:t xml:space="preserve">Aferrarse a reglas o creencias puede producir resistencia al cambio y parálisis paradigmática.</w:t>
            </w:r>
          </w:p>
        </w:tc>
      </w:tr>
      <w:tr>
        <w:trPr>
          <w:cantSplit/>
          <w:tblHeader w:val="off"/>
        </w:trPr>
        <w:tc>
          <w:tcPr>
            <w:tcW w:type="dxa" w:w="4816"/>
            <w:tcMar>
              <w:top w:type="dxa" w:w="80"/>
              <w:left w:type="dxa" w:w="100"/>
              <w:bottom w:type="dxa" w:w="80"/>
              <w:right w:type="dxa" w:w="100"/>
            </w:tcMar>
          </w:tcPr>
          <w:p>
            <w:pPr>
              <w:pStyle w:val="Tabla"/>
            </w:pPr>
            <w:r>
              <w:t xml:space="preserve">pioneros de paradigma (gente de fuera)</w:t>
            </w:r>
          </w:p>
        </w:tc>
        <w:tc>
          <w:tcPr>
            <w:tcW w:type="dxa" w:w="4816"/>
            <w:tcMar>
              <w:top w:type="dxa" w:w="80"/>
              <w:left w:type="dxa" w:w="100"/>
              <w:bottom w:type="dxa" w:w="80"/>
              <w:right w:type="dxa" w:w="100"/>
            </w:tcMar>
          </w:tcPr>
          <w:p>
            <w:pPr>
              <w:pStyle w:val="Tabla"/>
            </w:pPr>
            <w:r>
              <w:t xml:space="preserve">Pioneros de paradigma (Barker): crean paradigmas sin estar sometidos al contexto dominante, «de fuera» mentalmente; deben ser valientes porque un paradigma temprano choca con los viejos.</w:t>
            </w:r>
          </w:p>
        </w:tc>
      </w:tr>
      <w:tr>
        <w:trPr>
          <w:cantSplit/>
          <w:tblHeader w:val="off"/>
        </w:trPr>
        <w:tc>
          <w:tcPr>
            <w:tcW w:type="dxa" w:w="4816"/>
            <w:tcMar>
              <w:top w:type="dxa" w:w="80"/>
              <w:left w:type="dxa" w:w="100"/>
              <w:bottom w:type="dxa" w:w="80"/>
              <w:right w:type="dxa" w:w="100"/>
            </w:tcMar>
          </w:tcPr>
          <w:p>
            <w:pPr>
              <w:pStyle w:val="Tabla"/>
            </w:pPr>
            <w:r>
              <w:t xml:space="preserve">flexibilidad de paradigmas</w:t>
            </w:r>
          </w:p>
        </w:tc>
        <w:tc>
          <w:tcPr>
            <w:tcW w:type="dxa" w:w="4816"/>
            <w:tcMar>
              <w:top w:type="dxa" w:w="80"/>
              <w:left w:type="dxa" w:w="100"/>
              <w:bottom w:type="dxa" w:w="80"/>
              <w:right w:type="dxa" w:w="100"/>
            </w:tcMar>
          </w:tcPr>
          <w:p>
            <w:pPr>
              <w:pStyle w:val="Tabla"/>
            </w:pPr>
            <w:r>
              <w:t xml:space="preserve">Flexibilidad de paradigmas (según Barker): la habilidad de ver otras perspectivas y ser conscientes del propio paradigma, de los puntos de vista que limitan, del efecto paradigma y del peligro de la parálisis; la mejor estrategia para tiempos turbulentos.</w:t>
            </w:r>
          </w:p>
        </w:tc>
      </w:tr>
      <w:tr>
        <w:trPr>
          <w:cantSplit/>
          <w:tblHeader w:val="off"/>
        </w:trPr>
        <w:tc>
          <w:tcPr>
            <w:tcW w:type="dxa" w:w="4816"/>
            <w:tcMar>
              <w:top w:type="dxa" w:w="80"/>
              <w:left w:type="dxa" w:w="100"/>
              <w:bottom w:type="dxa" w:w="80"/>
              <w:right w:type="dxa" w:w="100"/>
            </w:tcMar>
          </w:tcPr>
          <w:p>
            <w:pPr>
              <w:pStyle w:val="Tabla"/>
            </w:pPr>
            <w:r>
              <w:t xml:space="preserve">inducción de paradigmas (aprendizaje social, transferencia)</w:t>
            </w:r>
          </w:p>
        </w:tc>
        <w:tc>
          <w:tcPr>
            <w:tcW w:type="dxa" w:w="4816"/>
            <w:tcMar>
              <w:top w:type="dxa" w:w="80"/>
              <w:left w:type="dxa" w:w="100"/>
              <w:bottom w:type="dxa" w:w="80"/>
              <w:right w:type="dxa" w:w="100"/>
            </w:tcMar>
          </w:tcPr>
          <w:p>
            <w:pPr>
              <w:pStyle w:val="Tabla"/>
            </w:pPr>
            <w:r>
              <w:t xml:space="preserve">Inducción de paradigmas y aprendizaje social nombran la copia de comportamientos y supuestos implícitos, influyente desde infancia y adolescencia.</w:t>
            </w:r>
          </w:p>
        </w:tc>
      </w:tr>
      <w:tr>
        <w:trPr>
          <w:cantSplit/>
          <w:tblHeader w:val="off"/>
        </w:trPr>
        <w:tc>
          <w:tcPr>
            <w:tcW w:type="dxa" w:w="4816"/>
            <w:tcMar>
              <w:top w:type="dxa" w:w="80"/>
              <w:left w:type="dxa" w:w="100"/>
              <w:bottom w:type="dxa" w:w="80"/>
              <w:right w:type="dxa" w:w="100"/>
            </w:tcMar>
          </w:tcPr>
          <w:p>
            <w:pPr>
              <w:pStyle w:val="Tabla"/>
            </w:pPr>
            <w:r>
              <w:t xml:space="preserve">certidumbre e incertidumbre</w:t>
            </w:r>
          </w:p>
        </w:tc>
        <w:tc>
          <w:tcPr>
            <w:tcW w:type="dxa" w:w="4816"/>
            <w:tcMar>
              <w:top w:type="dxa" w:w="80"/>
              <w:left w:type="dxa" w:w="100"/>
              <w:bottom w:type="dxa" w:w="80"/>
              <w:right w:type="dxa" w:w="100"/>
            </w:tcMar>
          </w:tcPr>
          <w:p>
            <w:pPr>
              <w:pStyle w:val="Tabla"/>
            </w:pPr>
            <w:r>
              <w:t xml:space="preserve">Referencia de estudio: Paradigma, modelo mental y sistema abstracto diseñado nombran la misma cosa; lo que cambia es quién la nombró.</w:t>
            </w:r>
          </w:p>
        </w:tc>
      </w:tr>
      <w:tr>
        <w:trPr>
          <w:cantSplit/>
          <w:tblHeader w:val="off"/>
        </w:trPr>
        <w:tc>
          <w:tcPr>
            <w:tcW w:type="dxa" w:w="4816"/>
            <w:tcMar>
              <w:top w:type="dxa" w:w="80"/>
              <w:left w:type="dxa" w:w="100"/>
              <w:bottom w:type="dxa" w:w="80"/>
              <w:right w:type="dxa" w:w="100"/>
            </w:tcMar>
          </w:tcPr>
          <w:p>
            <w:pPr>
              <w:pStyle w:val="Tabla"/>
            </w:pPr>
            <w:r>
              <w:t xml:space="preserve">modelo realista, útil y vigente</w:t>
            </w:r>
          </w:p>
        </w:tc>
        <w:tc>
          <w:tcPr>
            <w:tcW w:type="dxa" w:w="4816"/>
            <w:tcMar>
              <w:top w:type="dxa" w:w="80"/>
              <w:left w:type="dxa" w:w="100"/>
              <w:bottom w:type="dxa" w:w="80"/>
              <w:right w:type="dxa" w:w="100"/>
            </w:tcMar>
          </w:tcPr>
          <w:p>
            <w:pPr>
              <w:pStyle w:val="Tabla"/>
            </w:pPr>
            <w:r>
              <w:t xml:space="preserve">Referencia de estudio: Paradigma, modelo mental y sistema abstracto diseñado nombran la misma cosa; lo que cambia es quién la nombró.</w:t>
            </w:r>
          </w:p>
        </w:tc>
      </w:tr>
      <w:tr>
        <w:trPr>
          <w:cantSplit/>
          <w:tblHeader w:val="off"/>
        </w:trPr>
        <w:tc>
          <w:tcPr>
            <w:tcW w:type="dxa" w:w="4816"/>
            <w:tcMar>
              <w:top w:type="dxa" w:w="80"/>
              <w:left w:type="dxa" w:w="100"/>
              <w:bottom w:type="dxa" w:w="80"/>
              <w:right w:type="dxa" w:w="100"/>
            </w:tcMar>
          </w:tcPr>
          <w:p>
            <w:pPr>
              <w:pStyle w:val="Tabla"/>
            </w:pPr>
            <w:r>
              <w:t xml:space="preserve">retroalimentación del mundo real</w:t>
            </w:r>
          </w:p>
        </w:tc>
        <w:tc>
          <w:tcPr>
            <w:tcW w:type="dxa" w:w="4816"/>
            <w:tcMar>
              <w:top w:type="dxa" w:w="80"/>
              <w:left w:type="dxa" w:w="100"/>
              <w:bottom w:type="dxa" w:w="80"/>
              <w:right w:type="dxa" w:w="100"/>
            </w:tcMar>
          </w:tcPr>
          <w:p>
            <w:pPr>
              <w:pStyle w:val="Tabla"/>
            </w:pPr>
            <w:r>
              <w:t xml:space="preserve">Referencia de estudio: Paradigma, modelo mental y sistema abstracto diseñado nombran la misma cosa; lo que cambia es quién la nombró.</w:t>
            </w:r>
          </w:p>
        </w:tc>
      </w:tr>
    </w:tbl>
    <w:p>
      <w:pPr>
        <w:pStyle w:val="Fuente"/>
      </w:pPr>
      <w:r>
        <w:t xml:space="preserve">Véase </w:t>
      </w:r>
      <w:hyperlink w:history="1" w:anchor="b_1_1">
        <w:r>
          <w:rPr>
            <w:color w:val="156B70"/>
            <w:u w:val="single"/>
          </w:rPr>
          <w:t xml:space="preserve">1.1 · Paradigmas y modelos mentales</w:t>
        </w:r>
      </w:hyperlink>
      <w:r>
        <w:t xml:space="preserve">, pág. </w:t>
      </w:r>
      <w:r>
        <w:fldChar w:fldCharType="begin"/>
        <w:instrText xml:space="preserve">PAGEREF b_1_1 \h</w:instrText>
        <w:fldChar w:fldCharType="separate"/>
        <w:t xml:space="preserve">19</w:t>
        <w:fldChar w:fldCharType="end"/>
      </w:r>
      <w:r>
        <w:t xml:space="preserve">.</w:t>
      </w:r>
    </w:p>
    <w:p>
      <w:pPr>
        <w:pStyle w:val="Heading3"/>
      </w:pPr>
      <w:r>
        <w:t xml:space="preserve">1.2 · Escalera de inferencias</w:t>
      </w:r>
    </w:p>
    <w:tbl>
      <w:tblPr>
        <w:tblW w:type="dxa" w:w="9632"/>
        <w:tblBorders>
          <w:top w:val="single" w:color="C5D5DB" w:sz="4"/>
          <w:left w:val="single" w:color="C5D5DB" w:sz="4"/>
          <w:bottom w:val="single" w:color="C5D5DB" w:sz="4"/>
          <w:right w:val="single" w:color="C5D5DB" w:sz="4"/>
          <w:insideH w:val="single" w:color="E4E9EB" w:sz="3"/>
          <w:insideV w:val="single" w:color="E4E9EB" w:sz="3"/>
        </w:tblBorders>
        <w:tblLayout w:type="fixed"/>
      </w:tblPr>
      <w:tblGrid>
        <w:gridCol w:w="4816"/>
        <w:gridCol w:w="4816"/>
      </w:tblGrid>
      <w:tr>
        <w:trPr>
          <w:cantSplit/>
          <w:tblHeader/>
        </w:trPr>
        <w:tc>
          <w:tcPr>
            <w:tcW w:type="dxa" w:w="4816"/>
            <w:shd w:fill="DFEAF0" w:val="clear"/>
            <w:tcMar>
              <w:top w:type="dxa" w:w="80"/>
              <w:left w:type="dxa" w:w="100"/>
              <w:bottom w:type="dxa" w:w="80"/>
              <w:right w:type="dxa" w:w="100"/>
            </w:tcMar>
          </w:tcPr>
          <w:p>
            <w:pPr>
              <w:pStyle w:val="Tabla"/>
            </w:pPr>
            <w:r>
              <w:rPr>
                <w:b/>
                <w:bCs/>
              </w:rPr>
              <w:t xml:space="preserve">Vocabulario del tema</w:t>
            </w:r>
          </w:p>
        </w:tc>
        <w:tc>
          <w:tcPr>
            <w:tcW w:type="dxa" w:w="4816"/>
            <w:shd w:fill="DFEAF0" w:val="clear"/>
            <w:tcMar>
              <w:top w:type="dxa" w:w="80"/>
              <w:left w:type="dxa" w:w="100"/>
              <w:bottom w:type="dxa" w:w="80"/>
              <w:right w:type="dxa" w:w="100"/>
            </w:tcMar>
          </w:tcPr>
          <w:p>
            <w:pPr>
              <w:pStyle w:val="Tabla"/>
            </w:pPr>
            <w:r>
              <w:rPr>
                <w:b/>
                <w:bCs/>
              </w:rPr>
              <w:t xml:space="preserve">Localización y contexto</w:t>
            </w:r>
          </w:p>
        </w:tc>
      </w:tr>
      <w:tr>
        <w:trPr>
          <w:cantSplit/>
          <w:tblHeader w:val="off"/>
        </w:trPr>
        <w:tc>
          <w:tcPr>
            <w:tcW w:type="dxa" w:w="4816"/>
            <w:tcMar>
              <w:top w:type="dxa" w:w="80"/>
              <w:left w:type="dxa" w:w="100"/>
              <w:bottom w:type="dxa" w:w="80"/>
              <w:right w:type="dxa" w:w="100"/>
            </w:tcMar>
          </w:tcPr>
          <w:p>
            <w:pPr>
              <w:pStyle w:val="Tabla"/>
            </w:pPr>
            <w:r>
              <w:t xml:space="preserve">escalera de inferencias (proceso inferencial, pensamiento inductivo)</w:t>
            </w:r>
          </w:p>
        </w:tc>
        <w:tc>
          <w:tcPr>
            <w:tcW w:type="dxa" w:w="4816"/>
            <w:tcMar>
              <w:top w:type="dxa" w:w="80"/>
              <w:left w:type="dxa" w:w="100"/>
              <w:bottom w:type="dxa" w:w="80"/>
              <w:right w:type="dxa" w:w="100"/>
            </w:tcMar>
          </w:tcPr>
          <w:p>
            <w:pPr>
              <w:pStyle w:val="Tabla"/>
            </w:pPr>
            <w:r>
              <w:t xml:space="preserve">Referencia de estudio: Del dato observable a la acción hay siete peldaños, y cuatro operaciones inconscientes que los suben por usted.</w:t>
            </w:r>
          </w:p>
        </w:tc>
      </w:tr>
      <w:tr>
        <w:trPr>
          <w:cantSplit/>
          <w:tblHeader w:val="off"/>
        </w:trPr>
        <w:tc>
          <w:tcPr>
            <w:tcW w:type="dxa" w:w="4816"/>
            <w:tcMar>
              <w:top w:type="dxa" w:w="80"/>
              <w:left w:type="dxa" w:w="100"/>
              <w:bottom w:type="dxa" w:w="80"/>
              <w:right w:type="dxa" w:w="100"/>
            </w:tcMar>
          </w:tcPr>
          <w:p>
            <w:pPr>
              <w:pStyle w:val="Tabla"/>
            </w:pPr>
            <w:r>
              <w:t xml:space="preserve">datos disponibles (nivel cero, la realidad)</w:t>
            </w:r>
          </w:p>
        </w:tc>
        <w:tc>
          <w:tcPr>
            <w:tcW w:type="dxa" w:w="4816"/>
            <w:tcMar>
              <w:top w:type="dxa" w:w="80"/>
              <w:left w:type="dxa" w:w="100"/>
              <w:bottom w:type="dxa" w:w="80"/>
              <w:right w:type="dxa" w:w="100"/>
            </w:tcMar>
          </w:tcPr>
          <w:p>
            <w:pPr>
              <w:pStyle w:val="Tabla"/>
            </w:pPr>
            <w:r>
              <w:t xml:space="preserve">Nivel 0: realidad y datos disponibles antes del filtro.</w:t>
            </w:r>
          </w:p>
        </w:tc>
      </w:tr>
      <w:tr>
        <w:trPr>
          <w:cantSplit/>
          <w:tblHeader w:val="off"/>
        </w:trPr>
        <w:tc>
          <w:tcPr>
            <w:tcW w:type="dxa" w:w="4816"/>
            <w:tcMar>
              <w:top w:type="dxa" w:w="80"/>
              <w:left w:type="dxa" w:w="100"/>
              <w:bottom w:type="dxa" w:w="80"/>
              <w:right w:type="dxa" w:w="100"/>
            </w:tcMar>
          </w:tcPr>
          <w:p>
            <w:pPr>
              <w:pStyle w:val="Tabla"/>
            </w:pPr>
            <w:r>
              <w:t xml:space="preserve">selección de datos (eliminación, filtro)</w:t>
            </w:r>
          </w:p>
        </w:tc>
        <w:tc>
          <w:tcPr>
            <w:tcW w:type="dxa" w:w="4816"/>
            <w:tcMar>
              <w:top w:type="dxa" w:w="80"/>
              <w:left w:type="dxa" w:w="100"/>
              <w:bottom w:type="dxa" w:w="80"/>
              <w:right w:type="dxa" w:w="100"/>
            </w:tcMar>
          </w:tcPr>
          <w:p>
            <w:pPr>
              <w:pStyle w:val="Tabla"/>
            </w:pPr>
            <w:r>
              <w:t xml:space="preserve">La reflexión suspende el juicio y hace consciente el propio razonamiento y la selección de datos.</w:t>
            </w:r>
          </w:p>
        </w:tc>
      </w:tr>
      <w:tr>
        <w:trPr>
          <w:cantSplit/>
          <w:tblHeader w:val="off"/>
        </w:trPr>
        <w:tc>
          <w:tcPr>
            <w:tcW w:type="dxa" w:w="4816"/>
            <w:tcMar>
              <w:top w:type="dxa" w:w="80"/>
              <w:left w:type="dxa" w:w="100"/>
              <w:bottom w:type="dxa" w:w="80"/>
              <w:right w:type="dxa" w:w="100"/>
            </w:tcMar>
          </w:tcPr>
          <w:p>
            <w:pPr>
              <w:pStyle w:val="Tabla"/>
            </w:pPr>
            <w:r>
              <w:t xml:space="preserve">construcción (agregar significados, suposiciones)</w:t>
            </w:r>
          </w:p>
        </w:tc>
        <w:tc>
          <w:tcPr>
            <w:tcW w:type="dxa" w:w="4816"/>
            <w:tcMar>
              <w:top w:type="dxa" w:w="80"/>
              <w:left w:type="dxa" w:w="100"/>
              <w:bottom w:type="dxa" w:w="80"/>
              <w:right w:type="dxa" w:w="100"/>
            </w:tcMar>
          </w:tcPr>
          <w:p>
            <w:pPr>
              <w:pStyle w:val="Tabla"/>
            </w:pPr>
            <w:r>
              <w:t xml:space="preserve">Construcción: dar sentido a lo filtrado con patrones previos; se lanza el primer sentido que se ocurre, un vínculo causa probable–posible efecto, «una historia que queremos que sea verdad».</w:t>
            </w:r>
          </w:p>
        </w:tc>
      </w:tr>
      <w:tr>
        <w:trPr>
          <w:cantSplit/>
          <w:tblHeader w:val="off"/>
        </w:trPr>
        <w:tc>
          <w:tcPr>
            <w:tcW w:type="dxa" w:w="4816"/>
            <w:tcMar>
              <w:top w:type="dxa" w:w="80"/>
              <w:left w:type="dxa" w:w="100"/>
              <w:bottom w:type="dxa" w:w="80"/>
              <w:right w:type="dxa" w:w="100"/>
            </w:tcMar>
          </w:tcPr>
          <w:p>
            <w:pPr>
              <w:pStyle w:val="Tabla"/>
            </w:pPr>
            <w:r>
              <w:t xml:space="preserve">distorsión</w:t>
            </w:r>
          </w:p>
        </w:tc>
        <w:tc>
          <w:tcPr>
            <w:tcW w:type="dxa" w:w="4816"/>
            <w:tcMar>
              <w:top w:type="dxa" w:w="80"/>
              <w:left w:type="dxa" w:w="100"/>
              <w:bottom w:type="dxa" w:w="80"/>
              <w:right w:type="dxa" w:w="100"/>
            </w:tcMar>
          </w:tcPr>
          <w:p>
            <w:pPr>
              <w:pStyle w:val="Tabla"/>
            </w:pPr>
            <w:r>
              <w:t xml:space="preserve">Distorsión: amplifica o disminuye la importancia de una parte y llena lo que falta con creatividad, sin datos filtrados ni históricos; la que más dificulta apreciar problemas complejos.</w:t>
            </w:r>
          </w:p>
        </w:tc>
      </w:tr>
      <w:tr>
        <w:trPr>
          <w:cantSplit/>
          <w:tblHeader w:val="off"/>
        </w:trPr>
        <w:tc>
          <w:tcPr>
            <w:tcW w:type="dxa" w:w="4816"/>
            <w:tcMar>
              <w:top w:type="dxa" w:w="80"/>
              <w:left w:type="dxa" w:w="100"/>
              <w:bottom w:type="dxa" w:w="80"/>
              <w:right w:type="dxa" w:w="100"/>
            </w:tcMar>
          </w:tcPr>
          <w:p>
            <w:pPr>
              <w:pStyle w:val="Tabla"/>
            </w:pPr>
            <w:r>
              <w:t xml:space="preserve">generalización (creencias que retroalimentan los modelos mentales)</w:t>
            </w:r>
          </w:p>
        </w:tc>
        <w:tc>
          <w:tcPr>
            <w:tcW w:type="dxa" w:w="4816"/>
            <w:tcMar>
              <w:top w:type="dxa" w:w="80"/>
              <w:left w:type="dxa" w:w="100"/>
              <w:bottom w:type="dxa" w:w="80"/>
              <w:right w:type="dxa" w:w="100"/>
            </w:tcMar>
          </w:tcPr>
          <w:p>
            <w:pPr>
              <w:pStyle w:val="Tabla"/>
            </w:pPr>
            <w:r>
              <w:t xml:space="preserve">Generalización: las conclusiones se vuelven creencias que retroalimentan los modelos mentales, grabadas por repetición como reglas para toda realidad semejante («todos» o «ninguno»).</w:t>
            </w:r>
          </w:p>
        </w:tc>
      </w:tr>
      <w:tr>
        <w:trPr>
          <w:cantSplit/>
          <w:tblHeader w:val="off"/>
        </w:trPr>
        <w:tc>
          <w:tcPr>
            <w:tcW w:type="dxa" w:w="4816"/>
            <w:tcMar>
              <w:top w:type="dxa" w:w="80"/>
              <w:left w:type="dxa" w:w="100"/>
              <w:bottom w:type="dxa" w:w="80"/>
              <w:right w:type="dxa" w:w="100"/>
            </w:tcMar>
          </w:tcPr>
          <w:p>
            <w:pPr>
              <w:pStyle w:val="Tabla"/>
            </w:pPr>
            <w:r>
              <w:t xml:space="preserve">indagación («¿en qué datos te basas?, ¿qué supones?»)</w:t>
            </w:r>
          </w:p>
        </w:tc>
        <w:tc>
          <w:tcPr>
            <w:tcW w:type="dxa" w:w="4816"/>
            <w:tcMar>
              <w:top w:type="dxa" w:w="80"/>
              <w:left w:type="dxa" w:w="100"/>
              <w:bottom w:type="dxa" w:w="80"/>
              <w:right w:type="dxa" w:w="100"/>
            </w:tcMar>
          </w:tcPr>
          <w:p>
            <w:pPr>
              <w:pStyle w:val="Tabla"/>
            </w:pPr>
            <w:r>
              <w:t xml:space="preserve">La indagación usa preguntas abiertas para comprender los datos y el proceso del otro.</w:t>
            </w:r>
          </w:p>
        </w:tc>
      </w:tr>
      <w:tr>
        <w:trPr>
          <w:cantSplit/>
          <w:tblHeader w:val="off"/>
        </w:trPr>
        <w:tc>
          <w:tcPr>
            <w:tcW w:type="dxa" w:w="4816"/>
            <w:tcMar>
              <w:top w:type="dxa" w:w="80"/>
              <w:left w:type="dxa" w:w="100"/>
              <w:bottom w:type="dxa" w:w="80"/>
              <w:right w:type="dxa" w:w="100"/>
            </w:tcMar>
          </w:tcPr>
          <w:p>
            <w:pPr>
              <w:pStyle w:val="Tabla"/>
            </w:pPr>
            <w:r>
              <w:t xml:space="preserve">reflexión, indagación y argumentación</w:t>
            </w:r>
          </w:p>
        </w:tc>
        <w:tc>
          <w:tcPr>
            <w:tcW w:type="dxa" w:w="4816"/>
            <w:tcMar>
              <w:top w:type="dxa" w:w="80"/>
              <w:left w:type="dxa" w:w="100"/>
              <w:bottom w:type="dxa" w:w="80"/>
              <w:right w:type="dxa" w:w="100"/>
            </w:tcMar>
          </w:tcPr>
          <w:p>
            <w:pPr>
              <w:pStyle w:val="Tabla"/>
            </w:pPr>
            <w:r>
              <w:t xml:space="preserve">Referencia de estudio: Del dato observable a la acción hay siete peldaños, y cuatro operaciones inconscientes que los suben por usted.</w:t>
            </w:r>
          </w:p>
        </w:tc>
      </w:tr>
      <w:tr>
        <w:trPr>
          <w:cantSplit/>
          <w:tblHeader w:val="off"/>
        </w:trPr>
        <w:tc>
          <w:tcPr>
            <w:tcW w:type="dxa" w:w="4816"/>
            <w:tcMar>
              <w:top w:type="dxa" w:w="80"/>
              <w:left w:type="dxa" w:w="100"/>
              <w:bottom w:type="dxa" w:w="80"/>
              <w:right w:type="dxa" w:w="100"/>
            </w:tcMar>
          </w:tcPr>
          <w:p>
            <w:pPr>
              <w:pStyle w:val="Tabla"/>
            </w:pPr>
            <w:r>
              <w:t xml:space="preserve">Carlos y Pedro</w:t>
            </w:r>
          </w:p>
        </w:tc>
        <w:tc>
          <w:tcPr>
            <w:tcW w:type="dxa" w:w="4816"/>
            <w:tcMar>
              <w:top w:type="dxa" w:w="80"/>
              <w:left w:type="dxa" w:w="100"/>
              <w:bottom w:type="dxa" w:w="80"/>
              <w:right w:type="dxa" w:w="100"/>
            </w:tcMar>
          </w:tcPr>
          <w:p>
            <w:pPr>
              <w:pStyle w:val="Tabla"/>
            </w:pPr>
            <w:r>
              <w:t xml:space="preserve">La indagación a otros pone a prueba el proceso; Carlos y Pedro muestran cómo las preguntas hacen visible la escalera ajena.</w:t>
            </w:r>
          </w:p>
        </w:tc>
      </w:tr>
    </w:tbl>
    <w:p>
      <w:pPr>
        <w:pStyle w:val="Fuente"/>
      </w:pPr>
      <w:r>
        <w:t xml:space="preserve">Véase </w:t>
      </w:r>
      <w:hyperlink w:history="1" w:anchor="b_1_2">
        <w:r>
          <w:rPr>
            <w:color w:val="156B70"/>
            <w:u w:val="single"/>
          </w:rPr>
          <w:t xml:space="preserve">1.2 · Escalera de inferencias</w:t>
        </w:r>
      </w:hyperlink>
      <w:r>
        <w:t xml:space="preserve">, pág. </w:t>
      </w:r>
      <w:r>
        <w:fldChar w:fldCharType="begin"/>
        <w:instrText xml:space="preserve">PAGEREF b_1_2 \h</w:instrText>
        <w:fldChar w:fldCharType="separate"/>
        <w:t xml:space="preserve">55</w:t>
        <w:fldChar w:fldCharType="end"/>
      </w:r>
      <w:r>
        <w:t xml:space="preserve">.</w:t>
      </w:r>
    </w:p>
    <w:p>
      <w:pPr>
        <w:pStyle w:val="Heading3"/>
      </w:pPr>
      <w:r>
        <w:t xml:space="preserve">1.3 · El paradigma de sistemas</w:t>
      </w:r>
    </w:p>
    <w:tbl>
      <w:tblPr>
        <w:tblW w:type="dxa" w:w="9632"/>
        <w:tblBorders>
          <w:top w:val="single" w:color="C5D5DB" w:sz="4"/>
          <w:left w:val="single" w:color="C5D5DB" w:sz="4"/>
          <w:bottom w:val="single" w:color="C5D5DB" w:sz="4"/>
          <w:right w:val="single" w:color="C5D5DB" w:sz="4"/>
          <w:insideH w:val="single" w:color="E4E9EB" w:sz="3"/>
          <w:insideV w:val="single" w:color="E4E9EB" w:sz="3"/>
        </w:tblBorders>
        <w:tblLayout w:type="fixed"/>
      </w:tblPr>
      <w:tblGrid>
        <w:gridCol w:w="4816"/>
        <w:gridCol w:w="4816"/>
      </w:tblGrid>
      <w:tr>
        <w:trPr>
          <w:cantSplit/>
          <w:tblHeader/>
        </w:trPr>
        <w:tc>
          <w:tcPr>
            <w:tcW w:type="dxa" w:w="4816"/>
            <w:shd w:fill="DFEAF0" w:val="clear"/>
            <w:tcMar>
              <w:top w:type="dxa" w:w="80"/>
              <w:left w:type="dxa" w:w="100"/>
              <w:bottom w:type="dxa" w:w="80"/>
              <w:right w:type="dxa" w:w="100"/>
            </w:tcMar>
          </w:tcPr>
          <w:p>
            <w:pPr>
              <w:pStyle w:val="Tabla"/>
            </w:pPr>
            <w:r>
              <w:rPr>
                <w:b/>
                <w:bCs/>
              </w:rPr>
              <w:t xml:space="preserve">Vocabulario del tema</w:t>
            </w:r>
          </w:p>
        </w:tc>
        <w:tc>
          <w:tcPr>
            <w:tcW w:type="dxa" w:w="4816"/>
            <w:shd w:fill="DFEAF0" w:val="clear"/>
            <w:tcMar>
              <w:top w:type="dxa" w:w="80"/>
              <w:left w:type="dxa" w:w="100"/>
              <w:bottom w:type="dxa" w:w="80"/>
              <w:right w:type="dxa" w:w="100"/>
            </w:tcMar>
          </w:tcPr>
          <w:p>
            <w:pPr>
              <w:pStyle w:val="Tabla"/>
            </w:pPr>
            <w:r>
              <w:rPr>
                <w:b/>
                <w:bCs/>
              </w:rPr>
              <w:t xml:space="preserve">Localización y contexto</w:t>
            </w:r>
          </w:p>
        </w:tc>
      </w:tr>
      <w:tr>
        <w:trPr>
          <w:cantSplit/>
          <w:tblHeader w:val="off"/>
        </w:trPr>
        <w:tc>
          <w:tcPr>
            <w:tcW w:type="dxa" w:w="4816"/>
            <w:tcMar>
              <w:top w:type="dxa" w:w="80"/>
              <w:left w:type="dxa" w:w="100"/>
              <w:bottom w:type="dxa" w:w="80"/>
              <w:right w:type="dxa" w:w="100"/>
            </w:tcMar>
          </w:tcPr>
          <w:p>
            <w:pPr>
              <w:pStyle w:val="Tabla"/>
            </w:pPr>
            <w:r>
              <w:t xml:space="preserve">paradigma de sistemas (paradigma sistémico; el pensamiento sistémico como paradigma)</w:t>
            </w:r>
          </w:p>
        </w:tc>
        <w:tc>
          <w:tcPr>
            <w:tcW w:type="dxa" w:w="4816"/>
            <w:tcMar>
              <w:top w:type="dxa" w:w="80"/>
              <w:left w:type="dxa" w:w="100"/>
              <w:bottom w:type="dxa" w:w="80"/>
              <w:right w:type="dxa" w:w="100"/>
            </w:tcMar>
          </w:tcPr>
          <w:p>
            <w:pPr>
              <w:pStyle w:val="Tabla"/>
            </w:pPr>
            <w:r>
              <w:t xml:space="preserve">1.3 Realidad interpretada como sistemas y paradigma de sistemas.</w:t>
            </w:r>
          </w:p>
        </w:tc>
      </w:tr>
      <w:tr>
        <w:trPr>
          <w:cantSplit/>
          <w:tblHeader w:val="off"/>
        </w:trPr>
        <w:tc>
          <w:tcPr>
            <w:tcW w:type="dxa" w:w="4816"/>
            <w:tcMar>
              <w:top w:type="dxa" w:w="80"/>
              <w:left w:type="dxa" w:w="100"/>
              <w:bottom w:type="dxa" w:w="80"/>
              <w:right w:type="dxa" w:w="100"/>
            </w:tcMar>
          </w:tcPr>
          <w:p>
            <w:pPr>
              <w:pStyle w:val="Tabla"/>
            </w:pPr>
            <w:r>
              <w:t xml:space="preserve">teoría generalista de visión unitaria (integral, holística, global)</w:t>
            </w:r>
          </w:p>
        </w:tc>
        <w:tc>
          <w:tcPr>
            <w:tcW w:type="dxa" w:w="4816"/>
            <w:tcMar>
              <w:top w:type="dxa" w:w="80"/>
              <w:left w:type="dxa" w:w="100"/>
              <w:bottom w:type="dxa" w:w="80"/>
              <w:right w:type="dxa" w:w="100"/>
            </w:tcMar>
          </w:tcPr>
          <w:p>
            <w:pPr>
              <w:pStyle w:val="Tabla"/>
            </w:pPr>
            <w:r>
              <w:t xml:space="preserve">Muchos autores lo llaman metaparadigma: un modelo mental amplio que determina las reglas con que construimos nuestros propios modelos mentales, basado en una teoría generalista de visión unitaria del mundo.</w:t>
            </w:r>
          </w:p>
        </w:tc>
      </w:tr>
      <w:tr>
        <w:trPr>
          <w:cantSplit/>
          <w:tblHeader w:val="off"/>
        </w:trPr>
        <w:tc>
          <w:tcPr>
            <w:tcW w:type="dxa" w:w="4816"/>
            <w:tcMar>
              <w:top w:type="dxa" w:w="80"/>
              <w:left w:type="dxa" w:w="100"/>
              <w:bottom w:type="dxa" w:w="80"/>
              <w:right w:type="dxa" w:w="100"/>
            </w:tcMar>
          </w:tcPr>
          <w:p>
            <w:pPr>
              <w:pStyle w:val="Tabla"/>
            </w:pPr>
            <w:r>
              <w:t xml:space="preserve">metaparadigma</w:t>
            </w:r>
          </w:p>
        </w:tc>
        <w:tc>
          <w:tcPr>
            <w:tcW w:type="dxa" w:w="4816"/>
            <w:tcMar>
              <w:top w:type="dxa" w:w="80"/>
              <w:left w:type="dxa" w:w="100"/>
              <w:bottom w:type="dxa" w:w="80"/>
              <w:right w:type="dxa" w:w="100"/>
            </w:tcMar>
          </w:tcPr>
          <w:p>
            <w:pPr>
              <w:pStyle w:val="Tabla"/>
            </w:pPr>
            <w:r>
              <w:t xml:space="preserve">El paradigma sistémico es un metaparadigma: influye en las reglas con que se construyen los propios modelos mentales.</w:t>
            </w:r>
          </w:p>
        </w:tc>
      </w:tr>
      <w:tr>
        <w:trPr>
          <w:cantSplit/>
          <w:tblHeader w:val="off"/>
        </w:trPr>
        <w:tc>
          <w:tcPr>
            <w:tcW w:type="dxa" w:w="4816"/>
            <w:tcMar>
              <w:top w:type="dxa" w:w="80"/>
              <w:left w:type="dxa" w:w="100"/>
              <w:bottom w:type="dxa" w:w="80"/>
              <w:right w:type="dxa" w:w="100"/>
            </w:tcMar>
          </w:tcPr>
          <w:p>
            <w:pPr>
              <w:pStyle w:val="Tabla"/>
            </w:pPr>
            <w:r>
              <w:t xml:space="preserve">concepto de sistema como filtro (patrón de modelaje)</w:t>
            </w:r>
          </w:p>
        </w:tc>
        <w:tc>
          <w:tcPr>
            <w:tcW w:type="dxa" w:w="4816"/>
            <w:tcMar>
              <w:top w:type="dxa" w:w="80"/>
              <w:left w:type="dxa" w:w="100"/>
              <w:bottom w:type="dxa" w:w="80"/>
              <w:right w:type="dxa" w:w="100"/>
            </w:tcMar>
          </w:tcPr>
          <w:p>
            <w:pPr>
              <w:pStyle w:val="Tabla"/>
            </w:pPr>
            <w:r>
              <w:t xml:space="preserve">Referencia de estudio: Un paradigma cuyo concepto central, el de sistema, decide qué información de la realidad se toma en cuenta.</w:t>
            </w:r>
          </w:p>
        </w:tc>
      </w:tr>
      <w:tr>
        <w:trPr>
          <w:cantSplit/>
          <w:tblHeader w:val="off"/>
        </w:trPr>
        <w:tc>
          <w:tcPr>
            <w:tcW w:type="dxa" w:w="4816"/>
            <w:tcMar>
              <w:top w:type="dxa" w:w="80"/>
              <w:left w:type="dxa" w:w="100"/>
              <w:bottom w:type="dxa" w:w="80"/>
              <w:right w:type="dxa" w:w="100"/>
            </w:tcMar>
          </w:tcPr>
          <w:p>
            <w:pPr>
              <w:pStyle w:val="Tabla"/>
            </w:pPr>
            <w:r>
              <w:t xml:space="preserve">objeto modelizado (objeto → filtro → modelo)</w:t>
            </w:r>
          </w:p>
        </w:tc>
        <w:tc>
          <w:tcPr>
            <w:tcW w:type="dxa" w:w="4816"/>
            <w:tcMar>
              <w:top w:type="dxa" w:w="80"/>
              <w:left w:type="dxa" w:w="100"/>
              <w:bottom w:type="dxa" w:w="80"/>
              <w:right w:type="dxa" w:w="100"/>
            </w:tcMar>
          </w:tcPr>
          <w:p>
            <w:pPr>
              <w:pStyle w:val="Tabla"/>
            </w:pPr>
            <w:r>
              <w:t xml:space="preserve">Esquema de la lámina: cualquier objeto (computadora, empresa, país) pasa por el filtro «concepto general de sistema» y se vuelve objeto modelizado en un entorno; sistema, medio, entradas, salidas, interacciones y objetivos son conceptos de esa definición.</w:t>
            </w:r>
          </w:p>
        </w:tc>
      </w:tr>
      <w:tr>
        <w:trPr>
          <w:cantSplit/>
          <w:tblHeader w:val="off"/>
        </w:trPr>
        <w:tc>
          <w:tcPr>
            <w:tcW w:type="dxa" w:w="4816"/>
            <w:tcMar>
              <w:top w:type="dxa" w:w="80"/>
              <w:left w:type="dxa" w:w="100"/>
              <w:bottom w:type="dxa" w:w="80"/>
              <w:right w:type="dxa" w:w="100"/>
            </w:tcMar>
          </w:tcPr>
          <w:p>
            <w:pPr>
              <w:pStyle w:val="Tabla"/>
            </w:pPr>
            <w:r>
              <w:t xml:space="preserve">premisa sistémica: el universo es un conjunto de sistemas</w:t>
            </w:r>
          </w:p>
        </w:tc>
        <w:tc>
          <w:tcPr>
            <w:tcW w:type="dxa" w:w="4816"/>
            <w:tcMar>
              <w:top w:type="dxa" w:w="80"/>
              <w:left w:type="dxa" w:w="100"/>
              <w:bottom w:type="dxa" w:w="80"/>
              <w:right w:type="dxa" w:w="100"/>
            </w:tcMar>
          </w:tcPr>
          <w:p>
            <w:pPr>
              <w:pStyle w:val="Tabla"/>
            </w:pPr>
            <w:r>
              <w:t xml:space="preserve">Referencia de estudio: Un paradigma cuyo concepto central, el de sistema, decide qué información de la realidad se toma en cuenta.</w:t>
            </w:r>
          </w:p>
        </w:tc>
      </w:tr>
      <w:tr>
        <w:trPr>
          <w:cantSplit/>
          <w:tblHeader w:val="off"/>
        </w:trPr>
        <w:tc>
          <w:tcPr>
            <w:tcW w:type="dxa" w:w="4816"/>
            <w:tcMar>
              <w:top w:type="dxa" w:w="80"/>
              <w:left w:type="dxa" w:w="100"/>
              <w:bottom w:type="dxa" w:w="80"/>
              <w:right w:type="dxa" w:w="100"/>
            </w:tcMar>
          </w:tcPr>
          <w:p>
            <w:pPr>
              <w:pStyle w:val="Tabla"/>
            </w:pPr>
            <w:r>
              <w:t xml:space="preserve">discordancia (según Cabrera)</w:t>
            </w:r>
          </w:p>
        </w:tc>
        <w:tc>
          <w:tcPr>
            <w:tcW w:type="dxa" w:w="4816"/>
            <w:tcMar>
              <w:top w:type="dxa" w:w="80"/>
              <w:left w:type="dxa" w:w="100"/>
              <w:bottom w:type="dxa" w:w="80"/>
              <w:right w:type="dxa" w:w="100"/>
            </w:tcMar>
          </w:tcPr>
          <w:p>
            <w:pPr>
              <w:pStyle w:val="Tabla"/>
            </w:pPr>
            <w:r>
              <w:t xml:space="preserve">Los problemas complejos se asocian a la discordancia entre el sistema real y cómo pensamos que funciona.</w:t>
            </w:r>
          </w:p>
        </w:tc>
      </w:tr>
      <w:tr>
        <w:trPr>
          <w:cantSplit/>
          <w:tblHeader w:val="off"/>
        </w:trPr>
        <w:tc>
          <w:tcPr>
            <w:tcW w:type="dxa" w:w="4816"/>
            <w:tcMar>
              <w:top w:type="dxa" w:w="80"/>
              <w:left w:type="dxa" w:w="100"/>
              <w:bottom w:type="dxa" w:w="80"/>
              <w:right w:type="dxa" w:w="100"/>
            </w:tcMar>
          </w:tcPr>
          <w:p>
            <w:pPr>
              <w:pStyle w:val="Tabla"/>
            </w:pPr>
            <w:r>
              <w:t xml:space="preserve">enfoque sistémico frente a pensamiento sistémico</w:t>
            </w:r>
          </w:p>
        </w:tc>
        <w:tc>
          <w:tcPr>
            <w:tcW w:type="dxa" w:w="4816"/>
            <w:tcMar>
              <w:top w:type="dxa" w:w="80"/>
              <w:left w:type="dxa" w:w="100"/>
              <w:bottom w:type="dxa" w:w="80"/>
              <w:right w:type="dxa" w:w="100"/>
            </w:tcMar>
          </w:tcPr>
          <w:p>
            <w:pPr>
              <w:pStyle w:val="Tabla"/>
            </w:pPr>
            <w:r>
              <w:t xml:space="preserve">Referencia de estudio: Un paradigma cuyo concepto central, el de sistema, decide qué información de la realidad se toma en cuenta.</w:t>
            </w:r>
          </w:p>
        </w:tc>
      </w:tr>
      <w:tr>
        <w:trPr>
          <w:cantSplit/>
          <w:tblHeader w:val="off"/>
        </w:trPr>
        <w:tc>
          <w:tcPr>
            <w:tcW w:type="dxa" w:w="4816"/>
            <w:tcMar>
              <w:top w:type="dxa" w:w="80"/>
              <w:left w:type="dxa" w:w="100"/>
              <w:bottom w:type="dxa" w:w="80"/>
              <w:right w:type="dxa" w:w="100"/>
            </w:tcMar>
          </w:tcPr>
          <w:p>
            <w:pPr>
              <w:pStyle w:val="Tabla"/>
            </w:pPr>
            <w:r>
              <w:t xml:space="preserve">la teoría de sistemas como filtro completo</w:t>
            </w:r>
          </w:p>
        </w:tc>
        <w:tc>
          <w:tcPr>
            <w:tcW w:type="dxa" w:w="4816"/>
            <w:tcMar>
              <w:top w:type="dxa" w:w="80"/>
              <w:left w:type="dxa" w:w="100"/>
              <w:bottom w:type="dxa" w:w="80"/>
              <w:right w:type="dxa" w:w="100"/>
            </w:tcMar>
          </w:tcPr>
          <w:p>
            <w:pPr>
              <w:pStyle w:val="Tabla"/>
            </w:pPr>
            <w:r>
              <w:t xml:space="preserve">Referencia de estudio: Un paradigma cuyo concepto central, el de sistema, decide qué información de la realidad se toma en cuenta.</w:t>
            </w:r>
          </w:p>
        </w:tc>
      </w:tr>
    </w:tbl>
    <w:p>
      <w:pPr>
        <w:pStyle w:val="Fuente"/>
      </w:pPr>
      <w:r>
        <w:t xml:space="preserve">Véase </w:t>
      </w:r>
      <w:hyperlink w:history="1" w:anchor="b_1_3">
        <w:r>
          <w:rPr>
            <w:color w:val="156B70"/>
            <w:u w:val="single"/>
          </w:rPr>
          <w:t xml:space="preserve">1.3 · El paradigma de sistemas</w:t>
        </w:r>
      </w:hyperlink>
      <w:r>
        <w:t xml:space="preserve">, pág. </w:t>
      </w:r>
      <w:r>
        <w:fldChar w:fldCharType="begin"/>
        <w:instrText xml:space="preserve">PAGEREF b_1_3 \h</w:instrText>
        <w:fldChar w:fldCharType="separate"/>
        <w:t xml:space="preserve">83</w:t>
        <w:fldChar w:fldCharType="end"/>
      </w:r>
      <w:r>
        <w:t xml:space="preserve">.</w:t>
      </w:r>
    </w:p>
    <w:p>
      <w:pPr>
        <w:pStyle w:val="Heading3"/>
      </w:pPr>
      <w:r>
        <w:t xml:space="preserve">1.4 · Sistémico vs no sistémico</w:t>
      </w:r>
    </w:p>
    <w:tbl>
      <w:tblPr>
        <w:tblW w:type="dxa" w:w="9632"/>
        <w:tblBorders>
          <w:top w:val="single" w:color="C5D5DB" w:sz="4"/>
          <w:left w:val="single" w:color="C5D5DB" w:sz="4"/>
          <w:bottom w:val="single" w:color="C5D5DB" w:sz="4"/>
          <w:right w:val="single" w:color="C5D5DB" w:sz="4"/>
          <w:insideH w:val="single" w:color="E4E9EB" w:sz="3"/>
          <w:insideV w:val="single" w:color="E4E9EB" w:sz="3"/>
        </w:tblBorders>
        <w:tblLayout w:type="fixed"/>
      </w:tblPr>
      <w:tblGrid>
        <w:gridCol w:w="4816"/>
        <w:gridCol w:w="4816"/>
      </w:tblGrid>
      <w:tr>
        <w:trPr>
          <w:cantSplit/>
          <w:tblHeader/>
        </w:trPr>
        <w:tc>
          <w:tcPr>
            <w:tcW w:type="dxa" w:w="4816"/>
            <w:shd w:fill="DFEAF0" w:val="clear"/>
            <w:tcMar>
              <w:top w:type="dxa" w:w="80"/>
              <w:left w:type="dxa" w:w="100"/>
              <w:bottom w:type="dxa" w:w="80"/>
              <w:right w:type="dxa" w:w="100"/>
            </w:tcMar>
          </w:tcPr>
          <w:p>
            <w:pPr>
              <w:pStyle w:val="Tabla"/>
            </w:pPr>
            <w:r>
              <w:rPr>
                <w:b/>
                <w:bCs/>
              </w:rPr>
              <w:t xml:space="preserve">Vocabulario del tema</w:t>
            </w:r>
          </w:p>
        </w:tc>
        <w:tc>
          <w:tcPr>
            <w:tcW w:type="dxa" w:w="4816"/>
            <w:shd w:fill="DFEAF0" w:val="clear"/>
            <w:tcMar>
              <w:top w:type="dxa" w:w="80"/>
              <w:left w:type="dxa" w:w="100"/>
              <w:bottom w:type="dxa" w:w="80"/>
              <w:right w:type="dxa" w:w="100"/>
            </w:tcMar>
          </w:tcPr>
          <w:p>
            <w:pPr>
              <w:pStyle w:val="Tabla"/>
            </w:pPr>
            <w:r>
              <w:rPr>
                <w:b/>
                <w:bCs/>
              </w:rPr>
              <w:t xml:space="preserve">Localización y contexto</w:t>
            </w:r>
          </w:p>
        </w:tc>
      </w:tr>
      <w:tr>
        <w:trPr>
          <w:cantSplit/>
          <w:tblHeader w:val="off"/>
        </w:trPr>
        <w:tc>
          <w:tcPr>
            <w:tcW w:type="dxa" w:w="4816"/>
            <w:tcMar>
              <w:top w:type="dxa" w:w="80"/>
              <w:left w:type="dxa" w:w="100"/>
              <w:bottom w:type="dxa" w:w="80"/>
              <w:right w:type="dxa" w:w="100"/>
            </w:tcMar>
          </w:tcPr>
          <w:p>
            <w:pPr>
              <w:pStyle w:val="Tabla"/>
            </w:pPr>
            <w:r>
              <w:t xml:space="preserve">tipos de pensamiento (inductivo, deductivo, creativo, divergente, convergente)</w:t>
            </w:r>
          </w:p>
        </w:tc>
        <w:tc>
          <w:tcPr>
            <w:tcW w:type="dxa" w:w="4816"/>
            <w:tcMar>
              <w:top w:type="dxa" w:w="80"/>
              <w:left w:type="dxa" w:w="100"/>
              <w:bottom w:type="dxa" w:w="80"/>
              <w:right w:type="dxa" w:w="100"/>
            </w:tcMar>
          </w:tcPr>
          <w:p>
            <w:pPr>
              <w:pStyle w:val="Tabla"/>
            </w:pPr>
            <w:r>
              <w:t xml:space="preserve">Existen distintos tipos de pensamiento, vinculados con las emociones, las acciones y los modelos mentales; el sistémico no es exclusivo ni sustituye a los otros.</w:t>
            </w:r>
          </w:p>
        </w:tc>
      </w:tr>
      <w:tr>
        <w:trPr>
          <w:cantSplit/>
          <w:tblHeader w:val="off"/>
        </w:trPr>
        <w:tc>
          <w:tcPr>
            <w:tcW w:type="dxa" w:w="4816"/>
            <w:tcMar>
              <w:top w:type="dxa" w:w="80"/>
              <w:left w:type="dxa" w:w="100"/>
              <w:bottom w:type="dxa" w:w="80"/>
              <w:right w:type="dxa" w:w="100"/>
            </w:tcMar>
          </w:tcPr>
          <w:p>
            <w:pPr>
              <w:pStyle w:val="Tabla"/>
            </w:pPr>
            <w:r>
              <w:t xml:space="preserve">pensamiento metacognitivo (pensar sobre el pensamiento)</w:t>
            </w:r>
          </w:p>
        </w:tc>
        <w:tc>
          <w:tcPr>
            <w:tcW w:type="dxa" w:w="4816"/>
            <w:tcMar>
              <w:top w:type="dxa" w:w="80"/>
              <w:left w:type="dxa" w:w="100"/>
              <w:bottom w:type="dxa" w:w="80"/>
              <w:right w:type="dxa" w:w="100"/>
            </w:tcMar>
          </w:tcPr>
          <w:p>
            <w:pPr>
              <w:pStyle w:val="Tabla"/>
            </w:pPr>
            <w:r>
              <w:t xml:space="preserve">Referencia de estudio: No todo modelo mental sirve igual: unos cierran la mirada y otros la abren.</w:t>
            </w:r>
          </w:p>
        </w:tc>
      </w:tr>
      <w:tr>
        <w:trPr>
          <w:cantSplit/>
          <w:tblHeader w:val="off"/>
        </w:trPr>
        <w:tc>
          <w:tcPr>
            <w:tcW w:type="dxa" w:w="4816"/>
            <w:tcMar>
              <w:top w:type="dxa" w:w="80"/>
              <w:left w:type="dxa" w:w="100"/>
              <w:bottom w:type="dxa" w:w="80"/>
              <w:right w:type="dxa" w:w="100"/>
            </w:tcMar>
          </w:tcPr>
          <w:p>
            <w:pPr>
              <w:pStyle w:val="Tabla"/>
            </w:pPr>
            <w:r>
              <w:t xml:space="preserve">pensamiento crítico</w:t>
            </w:r>
          </w:p>
        </w:tc>
        <w:tc>
          <w:tcPr>
            <w:tcW w:type="dxa" w:w="4816"/>
            <w:tcMar>
              <w:top w:type="dxa" w:w="80"/>
              <w:left w:type="dxa" w:w="100"/>
              <w:bottom w:type="dxa" w:w="80"/>
              <w:right w:type="dxa" w:w="100"/>
            </w:tcMar>
          </w:tcPr>
          <w:p>
            <w:pPr>
              <w:pStyle w:val="Tabla"/>
            </w:pPr>
            <w:r>
              <w:t xml:space="preserve">El pensamiento crítico evalúa la validez de ideas, argumentos e información con lógica, análisis, síntesis y evidencia, distinguiendo objetividad de subjetividad.</w:t>
            </w:r>
          </w:p>
        </w:tc>
      </w:tr>
      <w:tr>
        <w:trPr>
          <w:cantSplit/>
          <w:tblHeader w:val="off"/>
        </w:trPr>
        <w:tc>
          <w:tcPr>
            <w:tcW w:type="dxa" w:w="4816"/>
            <w:tcMar>
              <w:top w:type="dxa" w:w="80"/>
              <w:left w:type="dxa" w:w="100"/>
              <w:bottom w:type="dxa" w:w="80"/>
              <w:right w:type="dxa" w:w="100"/>
            </w:tcMar>
          </w:tcPr>
          <w:p>
            <w:pPr>
              <w:pStyle w:val="Tabla"/>
            </w:pPr>
            <w:r>
              <w:t xml:space="preserve">modelo mental sistémico frente a limitador (no sistémico, rígido, reduccionista)</w:t>
            </w:r>
          </w:p>
        </w:tc>
        <w:tc>
          <w:tcPr>
            <w:tcW w:type="dxa" w:w="4816"/>
            <w:tcMar>
              <w:top w:type="dxa" w:w="80"/>
              <w:left w:type="dxa" w:w="100"/>
              <w:bottom w:type="dxa" w:w="80"/>
              <w:right w:type="dxa" w:w="100"/>
            </w:tcMar>
          </w:tcPr>
          <w:p>
            <w:pPr>
              <w:pStyle w:val="Tabla"/>
            </w:pPr>
            <w:r>
              <w:t xml:space="preserve">Referencia de estudio: No todo modelo mental sirve igual: unos cierran la mirada y otros la abren.</w:t>
            </w:r>
          </w:p>
        </w:tc>
      </w:tr>
      <w:tr>
        <w:trPr>
          <w:cantSplit/>
          <w:tblHeader w:val="off"/>
        </w:trPr>
        <w:tc>
          <w:tcPr>
            <w:tcW w:type="dxa" w:w="4816"/>
            <w:tcMar>
              <w:top w:type="dxa" w:w="80"/>
              <w:left w:type="dxa" w:w="100"/>
              <w:bottom w:type="dxa" w:w="80"/>
              <w:right w:type="dxa" w:w="100"/>
            </w:tcMar>
          </w:tcPr>
          <w:p>
            <w:pPr>
              <w:pStyle w:val="Tabla"/>
            </w:pPr>
            <w:r>
              <w:t xml:space="preserve">isomorfismo (forma similar al concepto general de sistema)</w:t>
            </w:r>
          </w:p>
        </w:tc>
        <w:tc>
          <w:tcPr>
            <w:tcW w:type="dxa" w:w="4816"/>
            <w:tcMar>
              <w:top w:type="dxa" w:w="80"/>
              <w:left w:type="dxa" w:w="100"/>
              <w:bottom w:type="dxa" w:w="80"/>
              <w:right w:type="dxa" w:w="100"/>
            </w:tcMar>
          </w:tcPr>
          <w:p>
            <w:pPr>
              <w:pStyle w:val="Tabla"/>
            </w:pPr>
            <w:r>
              <w:t xml:space="preserve">Isomorfismo: los modelos del pensador sistémico son isomórficos respecto al concepto general de sistema; conociendo los sistemas en general se halla, para cualquier objeto, un modelo con sus términos propios.</w:t>
            </w:r>
          </w:p>
        </w:tc>
      </w:tr>
      <w:tr>
        <w:trPr>
          <w:cantSplit/>
          <w:tblHeader w:val="off"/>
        </w:trPr>
        <w:tc>
          <w:tcPr>
            <w:tcW w:type="dxa" w:w="4816"/>
            <w:tcMar>
              <w:top w:type="dxa" w:w="80"/>
              <w:left w:type="dxa" w:w="100"/>
              <w:bottom w:type="dxa" w:w="80"/>
              <w:right w:type="dxa" w:w="100"/>
            </w:tcMar>
          </w:tcPr>
          <w:p>
            <w:pPr>
              <w:pStyle w:val="Tabla"/>
            </w:pPr>
            <w:r>
              <w:t xml:space="preserve">homomorfismo (representación simplificada de la realidad)</w:t>
            </w:r>
          </w:p>
        </w:tc>
        <w:tc>
          <w:tcPr>
            <w:tcW w:type="dxa" w:w="4816"/>
            <w:tcMar>
              <w:top w:type="dxa" w:w="80"/>
              <w:left w:type="dxa" w:w="100"/>
              <w:bottom w:type="dxa" w:w="80"/>
              <w:right w:type="dxa" w:w="100"/>
            </w:tcMar>
          </w:tcPr>
          <w:p>
            <w:pPr>
              <w:pStyle w:val="Tabla"/>
            </w:pPr>
            <w:r>
              <w:t xml:space="preserve">Homomorfismo: a la vez son homomórficos respecto a la realidad, «como es todo morfismo»: una representación simplificada que busca ser representativa; el concepto representa la realidad sin ser igual en forma, y cuanto más representativo el modelo, más preciso.</w:t>
            </w:r>
          </w:p>
        </w:tc>
      </w:tr>
      <w:tr>
        <w:trPr>
          <w:cantSplit/>
          <w:tblHeader w:val="off"/>
        </w:trPr>
        <w:tc>
          <w:tcPr>
            <w:tcW w:type="dxa" w:w="4816"/>
            <w:tcMar>
              <w:top w:type="dxa" w:w="80"/>
              <w:left w:type="dxa" w:w="100"/>
              <w:bottom w:type="dxa" w:w="80"/>
              <w:right w:type="dxa" w:w="100"/>
            </w:tcMar>
          </w:tcPr>
          <w:p>
            <w:pPr>
              <w:pStyle w:val="Tabla"/>
            </w:pPr>
            <w:r>
              <w:t xml:space="preserve">la maqueta y el edificio</w:t>
            </w:r>
          </w:p>
        </w:tc>
        <w:tc>
          <w:tcPr>
            <w:tcW w:type="dxa" w:w="4816"/>
            <w:tcMar>
              <w:top w:type="dxa" w:w="80"/>
              <w:left w:type="dxa" w:w="100"/>
              <w:bottom w:type="dxa" w:w="80"/>
              <w:right w:type="dxa" w:w="100"/>
            </w:tcMar>
          </w:tcPr>
          <w:p>
            <w:pPr>
              <w:pStyle w:val="Tabla"/>
            </w:pPr>
            <w:r>
              <w:t xml:space="preserve">La maqueta y el edificio: primero la maqueta representa un edificio que no existe; construido, es fiel y simplificada (niveles, estructura visual, puertas, ventanas), no en material ni dimensiones; así se construyen los modelos sistémicos.</w:t>
            </w:r>
          </w:p>
        </w:tc>
      </w:tr>
      <w:tr>
        <w:trPr>
          <w:cantSplit/>
          <w:tblHeader w:val="off"/>
        </w:trPr>
        <w:tc>
          <w:tcPr>
            <w:tcW w:type="dxa" w:w="4816"/>
            <w:tcMar>
              <w:top w:type="dxa" w:w="80"/>
              <w:left w:type="dxa" w:w="100"/>
              <w:bottom w:type="dxa" w:w="80"/>
              <w:right w:type="dxa" w:w="100"/>
            </w:tcMar>
          </w:tcPr>
          <w:p>
            <w:pPr>
              <w:pStyle w:val="Tabla"/>
            </w:pPr>
            <w:r>
              <w:t xml:space="preserve">realista y útil (según O'Connor)</w:t>
            </w:r>
          </w:p>
        </w:tc>
        <w:tc>
          <w:tcPr>
            <w:tcW w:type="dxa" w:w="4816"/>
            <w:tcMar>
              <w:top w:type="dxa" w:w="80"/>
              <w:left w:type="dxa" w:w="100"/>
              <w:bottom w:type="dxa" w:w="80"/>
              <w:right w:type="dxa" w:w="100"/>
            </w:tcMar>
          </w:tcPr>
          <w:p>
            <w:pPr>
              <w:pStyle w:val="Tabla"/>
            </w:pPr>
            <w:r>
              <w:t xml:space="preserve">Referencia de estudio: No todo modelo mental sirve igual: unos cierran la mirada y otros la abren.</w:t>
            </w:r>
          </w:p>
        </w:tc>
      </w:tr>
      <w:tr>
        <w:trPr>
          <w:cantSplit/>
          <w:tblHeader w:val="off"/>
        </w:trPr>
        <w:tc>
          <w:tcPr>
            <w:tcW w:type="dxa" w:w="4816"/>
            <w:tcMar>
              <w:top w:type="dxa" w:w="80"/>
              <w:left w:type="dxa" w:w="100"/>
              <w:bottom w:type="dxa" w:w="80"/>
              <w:right w:type="dxa" w:w="100"/>
            </w:tcMar>
          </w:tcPr>
          <w:p>
            <w:pPr>
              <w:pStyle w:val="Tabla"/>
            </w:pPr>
            <w:r>
              <w:t xml:space="preserve">tolerar la ambigüedad frente a la certeza inmediata</w:t>
            </w:r>
          </w:p>
        </w:tc>
        <w:tc>
          <w:tcPr>
            <w:tcW w:type="dxa" w:w="4816"/>
            <w:tcMar>
              <w:top w:type="dxa" w:w="80"/>
              <w:left w:type="dxa" w:w="100"/>
              <w:bottom w:type="dxa" w:w="80"/>
              <w:right w:type="dxa" w:w="100"/>
            </w:tcMar>
          </w:tcPr>
          <w:p>
            <w:pPr>
              <w:pStyle w:val="Tabla"/>
            </w:pPr>
            <w:r>
              <w:t xml:space="preserve">Referencia de estudio: No todo modelo mental sirve igual: unos cierran la mirada y otros la abren.</w:t>
            </w:r>
          </w:p>
        </w:tc>
      </w:tr>
      <w:tr>
        <w:trPr>
          <w:cantSplit/>
          <w:tblHeader w:val="off"/>
        </w:trPr>
        <w:tc>
          <w:tcPr>
            <w:tcW w:type="dxa" w:w="4816"/>
            <w:tcMar>
              <w:top w:type="dxa" w:w="80"/>
              <w:left w:type="dxa" w:w="100"/>
              <w:bottom w:type="dxa" w:w="80"/>
              <w:right w:type="dxa" w:w="100"/>
            </w:tcMar>
          </w:tcPr>
          <w:p>
            <w:pPr>
              <w:pStyle w:val="Tabla"/>
            </w:pPr>
            <w:r>
              <w:t xml:space="preserve">análisis sistémico (no analítico)</w:t>
            </w:r>
          </w:p>
        </w:tc>
        <w:tc>
          <w:tcPr>
            <w:tcW w:type="dxa" w:w="4816"/>
            <w:tcMar>
              <w:top w:type="dxa" w:w="80"/>
              <w:left w:type="dxa" w:w="100"/>
              <w:bottom w:type="dxa" w:w="80"/>
              <w:right w:type="dxa" w:w="100"/>
            </w:tcMar>
          </w:tcPr>
          <w:p>
            <w:pPr>
              <w:pStyle w:val="Tabla"/>
            </w:pPr>
            <w:r>
              <w:t xml:space="preserve">Análisis sistémico no es el analítico: profundiza hasta las estructuras que originan los comportamientos; estas herramientas dan la visión holística del pensamiento sistémico.</w:t>
            </w:r>
          </w:p>
        </w:tc>
      </w:tr>
    </w:tbl>
    <w:p>
      <w:pPr>
        <w:pStyle w:val="Fuente"/>
      </w:pPr>
      <w:r>
        <w:t xml:space="preserve">Véase </w:t>
      </w:r>
      <w:hyperlink w:history="1" w:anchor="b_1_4">
        <w:r>
          <w:rPr>
            <w:color w:val="156B70"/>
            <w:u w:val="single"/>
          </w:rPr>
          <w:t xml:space="preserve">1.4 · Sistémico vs no sistémico</w:t>
        </w:r>
      </w:hyperlink>
      <w:r>
        <w:t xml:space="preserve">, pág. </w:t>
      </w:r>
      <w:r>
        <w:fldChar w:fldCharType="begin"/>
        <w:instrText xml:space="preserve">PAGEREF b_1_4 \h</w:instrText>
        <w:fldChar w:fldCharType="separate"/>
        <w:t xml:space="preserve">104</w:t>
        <w:fldChar w:fldCharType="end"/>
      </w:r>
      <w:r>
        <w:t xml:space="preserve">.</w:t>
      </w:r>
    </w:p>
    <w:p>
      <w:pPr>
        <w:pStyle w:val="Heading3"/>
      </w:pPr>
      <w:r>
        <w:t xml:space="preserve">1.5 · Perspectivas</w:t>
      </w:r>
    </w:p>
    <w:tbl>
      <w:tblPr>
        <w:tblW w:type="dxa" w:w="9632"/>
        <w:tblBorders>
          <w:top w:val="single" w:color="C5D5DB" w:sz="4"/>
          <w:left w:val="single" w:color="C5D5DB" w:sz="4"/>
          <w:bottom w:val="single" w:color="C5D5DB" w:sz="4"/>
          <w:right w:val="single" w:color="C5D5DB" w:sz="4"/>
          <w:insideH w:val="single" w:color="E4E9EB" w:sz="3"/>
          <w:insideV w:val="single" w:color="E4E9EB" w:sz="3"/>
        </w:tblBorders>
        <w:tblLayout w:type="fixed"/>
      </w:tblPr>
      <w:tblGrid>
        <w:gridCol w:w="4816"/>
        <w:gridCol w:w="4816"/>
      </w:tblGrid>
      <w:tr>
        <w:trPr>
          <w:cantSplit/>
          <w:tblHeader/>
        </w:trPr>
        <w:tc>
          <w:tcPr>
            <w:tcW w:type="dxa" w:w="4816"/>
            <w:shd w:fill="DFEAF0" w:val="clear"/>
            <w:tcMar>
              <w:top w:type="dxa" w:w="80"/>
              <w:left w:type="dxa" w:w="100"/>
              <w:bottom w:type="dxa" w:w="80"/>
              <w:right w:type="dxa" w:w="100"/>
            </w:tcMar>
          </w:tcPr>
          <w:p>
            <w:pPr>
              <w:pStyle w:val="Tabla"/>
            </w:pPr>
            <w:r>
              <w:rPr>
                <w:b/>
                <w:bCs/>
              </w:rPr>
              <w:t xml:space="preserve">Vocabulario del tema</w:t>
            </w:r>
          </w:p>
        </w:tc>
        <w:tc>
          <w:tcPr>
            <w:tcW w:type="dxa" w:w="4816"/>
            <w:shd w:fill="DFEAF0" w:val="clear"/>
            <w:tcMar>
              <w:top w:type="dxa" w:w="80"/>
              <w:left w:type="dxa" w:w="100"/>
              <w:bottom w:type="dxa" w:w="80"/>
              <w:right w:type="dxa" w:w="100"/>
            </w:tcMar>
          </w:tcPr>
          <w:p>
            <w:pPr>
              <w:pStyle w:val="Tabla"/>
            </w:pPr>
            <w:r>
              <w:rPr>
                <w:b/>
                <w:bCs/>
              </w:rPr>
              <w:t xml:space="preserve">Localización y contexto</w:t>
            </w:r>
          </w:p>
        </w:tc>
      </w:tr>
      <w:tr>
        <w:trPr>
          <w:cantSplit/>
          <w:tblHeader w:val="off"/>
        </w:trPr>
        <w:tc>
          <w:tcPr>
            <w:tcW w:type="dxa" w:w="4816"/>
            <w:tcMar>
              <w:top w:type="dxa" w:w="80"/>
              <w:left w:type="dxa" w:w="100"/>
              <w:bottom w:type="dxa" w:w="80"/>
              <w:right w:type="dxa" w:w="100"/>
            </w:tcMar>
          </w:tcPr>
          <w:p>
            <w:pPr>
              <w:pStyle w:val="Tabla"/>
            </w:pPr>
            <w:r>
              <w:t xml:space="preserve">perspectiva (punto de vista que genera un modelo mental)</w:t>
            </w:r>
          </w:p>
        </w:tc>
        <w:tc>
          <w:tcPr>
            <w:tcW w:type="dxa" w:w="4816"/>
            <w:tcMar>
              <w:top w:type="dxa" w:w="80"/>
              <w:left w:type="dxa" w:w="100"/>
              <w:bottom w:type="dxa" w:w="80"/>
              <w:right w:type="dxa" w:w="100"/>
            </w:tcMar>
          </w:tcPr>
          <w:p>
            <w:pPr>
              <w:pStyle w:val="Tabla"/>
            </w:pPr>
            <w:r>
              <w:t xml:space="preserve">Perspectiva subjetiva: apreciación personal desde un rol dentro del sistema; objetiva: ver el sistema desde fuera; el pensamiento sistémico usa las dos. Según O'Connor no hay objetividad definitiva, porque no es posible salirse del sistema del que uno forma parte; cambiando de perspectiva se suspende la subjetiva hacia «la película completa».</w:t>
            </w:r>
          </w:p>
        </w:tc>
      </w:tr>
      <w:tr>
        <w:trPr>
          <w:cantSplit/>
          <w:tblHeader w:val="off"/>
        </w:trPr>
        <w:tc>
          <w:tcPr>
            <w:tcW w:type="dxa" w:w="4816"/>
            <w:tcMar>
              <w:top w:type="dxa" w:w="80"/>
              <w:left w:type="dxa" w:w="100"/>
              <w:bottom w:type="dxa" w:w="80"/>
              <w:right w:type="dxa" w:w="100"/>
            </w:tcMar>
          </w:tcPr>
          <w:p>
            <w:pPr>
              <w:pStyle w:val="Tabla"/>
            </w:pPr>
            <w:r>
              <w:t xml:space="preserve">múltiples perspectivas, todas correctas</w:t>
            </w:r>
          </w:p>
        </w:tc>
        <w:tc>
          <w:tcPr>
            <w:tcW w:type="dxa" w:w="4816"/>
            <w:tcMar>
              <w:top w:type="dxa" w:w="80"/>
              <w:left w:type="dxa" w:w="100"/>
              <w:bottom w:type="dxa" w:w="80"/>
              <w:right w:type="dxa" w:w="100"/>
            </w:tcMar>
          </w:tcPr>
          <w:p>
            <w:pPr>
              <w:pStyle w:val="Tabla"/>
            </w:pPr>
            <w:r>
              <w:t xml:space="preserve">Referencia de estudio: Dos personas honestas ante el mismo dato no ven lo mismo, y ninguna de las dos está mintiendo.</w:t>
            </w:r>
          </w:p>
        </w:tc>
      </w:tr>
      <w:tr>
        <w:trPr>
          <w:cantSplit/>
          <w:tblHeader w:val="off"/>
        </w:trPr>
        <w:tc>
          <w:tcPr>
            <w:tcW w:type="dxa" w:w="4816"/>
            <w:tcMar>
              <w:top w:type="dxa" w:w="80"/>
              <w:left w:type="dxa" w:w="100"/>
              <w:bottom w:type="dxa" w:w="80"/>
              <w:right w:type="dxa" w:w="100"/>
            </w:tcMar>
          </w:tcPr>
          <w:p>
            <w:pPr>
              <w:pStyle w:val="Tabla"/>
            </w:pPr>
            <w:r>
              <w:t xml:space="preserve">cambiar las perspectivas para aumentar la comprensión (tercer hábito)</w:t>
            </w:r>
          </w:p>
        </w:tc>
        <w:tc>
          <w:tcPr>
            <w:tcW w:type="dxa" w:w="4816"/>
            <w:tcMar>
              <w:top w:type="dxa" w:w="80"/>
              <w:left w:type="dxa" w:w="100"/>
              <w:bottom w:type="dxa" w:w="80"/>
              <w:right w:type="dxa" w:w="100"/>
            </w:tcMar>
          </w:tcPr>
          <w:p>
            <w:pPr>
              <w:pStyle w:val="Tabla"/>
            </w:pPr>
            <w:r>
              <w:t xml:space="preserve">Referencia de estudio: Dos personas honestas ante el mismo dato no ven lo mismo, y ninguna de las dos está mintiendo.</w:t>
            </w:r>
          </w:p>
        </w:tc>
      </w:tr>
      <w:tr>
        <w:trPr>
          <w:cantSplit/>
          <w:tblHeader w:val="off"/>
        </w:trPr>
        <w:tc>
          <w:tcPr>
            <w:tcW w:type="dxa" w:w="4816"/>
            <w:tcMar>
              <w:top w:type="dxa" w:w="80"/>
              <w:left w:type="dxa" w:w="100"/>
              <w:bottom w:type="dxa" w:w="80"/>
              <w:right w:type="dxa" w:w="100"/>
            </w:tcMar>
          </w:tcPr>
          <w:p>
            <w:pPr>
              <w:pStyle w:val="Tabla"/>
            </w:pPr>
            <w:r>
              <w:t xml:space="preserve">suspender el juicio personal (y la propia escalera)</w:t>
            </w:r>
          </w:p>
        </w:tc>
        <w:tc>
          <w:tcPr>
            <w:tcW w:type="dxa" w:w="4816"/>
            <w:tcMar>
              <w:top w:type="dxa" w:w="80"/>
              <w:left w:type="dxa" w:w="100"/>
              <w:bottom w:type="dxa" w:w="80"/>
              <w:right w:type="dxa" w:w="100"/>
            </w:tcMar>
          </w:tcPr>
          <w:p>
            <w:pPr>
              <w:pStyle w:val="Tabla"/>
            </w:pPr>
            <w:r>
              <w:t xml:space="preserve">Referencia de estudio: Dos personas honestas ante el mismo dato no ven lo mismo, y ninguna de las dos está mintiendo.</w:t>
            </w:r>
          </w:p>
        </w:tc>
      </w:tr>
      <w:tr>
        <w:trPr>
          <w:cantSplit/>
          <w:tblHeader w:val="off"/>
        </w:trPr>
        <w:tc>
          <w:tcPr>
            <w:tcW w:type="dxa" w:w="4816"/>
            <w:tcMar>
              <w:top w:type="dxa" w:w="80"/>
              <w:left w:type="dxa" w:w="100"/>
              <w:bottom w:type="dxa" w:w="80"/>
              <w:right w:type="dxa" w:w="100"/>
            </w:tcMar>
          </w:tcPr>
          <w:p>
            <w:pPr>
              <w:pStyle w:val="Tabla"/>
            </w:pPr>
            <w:r>
              <w:t xml:space="preserve">diálogo (disciplina de comunicación abierta; no debate, discurso ni charla)</w:t>
            </w:r>
          </w:p>
        </w:tc>
        <w:tc>
          <w:tcPr>
            <w:tcW w:type="dxa" w:w="4816"/>
            <w:tcMar>
              <w:top w:type="dxa" w:w="80"/>
              <w:left w:type="dxa" w:w="100"/>
              <w:bottom w:type="dxa" w:w="80"/>
              <w:right w:type="dxa" w:w="100"/>
            </w:tcMar>
          </w:tcPr>
          <w:p>
            <w:pPr>
              <w:pStyle w:val="Tabla"/>
            </w:pPr>
            <w:r>
              <w:t xml:space="preserve">Definir el tiempo del diálogo y de cada intervención.</w:t>
            </w:r>
          </w:p>
        </w:tc>
      </w:tr>
      <w:tr>
        <w:trPr>
          <w:cantSplit/>
          <w:tblHeader w:val="off"/>
        </w:trPr>
        <w:tc>
          <w:tcPr>
            <w:tcW w:type="dxa" w:w="4816"/>
            <w:tcMar>
              <w:top w:type="dxa" w:w="80"/>
              <w:left w:type="dxa" w:w="100"/>
              <w:bottom w:type="dxa" w:w="80"/>
              <w:right w:type="dxa" w:w="100"/>
            </w:tcMar>
          </w:tcPr>
          <w:p>
            <w:pPr>
              <w:pStyle w:val="Tabla"/>
            </w:pPr>
            <w:r>
              <w:t xml:space="preserve">la verdad está repartida</w:t>
            </w:r>
          </w:p>
        </w:tc>
        <w:tc>
          <w:tcPr>
            <w:tcW w:type="dxa" w:w="4816"/>
            <w:tcMar>
              <w:top w:type="dxa" w:w="80"/>
              <w:left w:type="dxa" w:w="100"/>
              <w:bottom w:type="dxa" w:w="80"/>
              <w:right w:type="dxa" w:w="100"/>
            </w:tcMar>
          </w:tcPr>
          <w:p>
            <w:pPr>
              <w:pStyle w:val="Tabla"/>
            </w:pPr>
            <w:r>
              <w:t xml:space="preserve">Partir de que la verdad está repartida entre los participantes.</w:t>
            </w:r>
          </w:p>
        </w:tc>
      </w:tr>
      <w:tr>
        <w:trPr>
          <w:cantSplit/>
          <w:tblHeader w:val="off"/>
        </w:trPr>
        <w:tc>
          <w:tcPr>
            <w:tcW w:type="dxa" w:w="4816"/>
            <w:tcMar>
              <w:top w:type="dxa" w:w="80"/>
              <w:left w:type="dxa" w:w="100"/>
              <w:bottom w:type="dxa" w:w="80"/>
              <w:right w:type="dxa" w:w="100"/>
            </w:tcMar>
          </w:tcPr>
          <w:p>
            <w:pPr>
              <w:pStyle w:val="Tabla"/>
            </w:pPr>
            <w:r>
              <w:t xml:space="preserve">perspectiva subjetiva y objetiva (la del espectador)</w:t>
            </w:r>
          </w:p>
        </w:tc>
        <w:tc>
          <w:tcPr>
            <w:tcW w:type="dxa" w:w="4816"/>
            <w:tcMar>
              <w:top w:type="dxa" w:w="80"/>
              <w:left w:type="dxa" w:w="100"/>
              <w:bottom w:type="dxa" w:w="80"/>
              <w:right w:type="dxa" w:w="100"/>
            </w:tcMar>
          </w:tcPr>
          <w:p>
            <w:pPr>
              <w:pStyle w:val="Tabla"/>
            </w:pPr>
            <w:r>
              <w:t xml:space="preserve">Referencia de estudio: Dos personas honestas ante el mismo dato no ven lo mismo, y ninguna de las dos está mintiendo.</w:t>
            </w:r>
          </w:p>
        </w:tc>
      </w:tr>
      <w:tr>
        <w:trPr>
          <w:cantSplit/>
          <w:tblHeader w:val="off"/>
        </w:trPr>
        <w:tc>
          <w:tcPr>
            <w:tcW w:type="dxa" w:w="4816"/>
            <w:tcMar>
              <w:top w:type="dxa" w:w="80"/>
              <w:left w:type="dxa" w:w="100"/>
              <w:bottom w:type="dxa" w:w="80"/>
              <w:right w:type="dxa" w:w="100"/>
            </w:tcMar>
          </w:tcPr>
          <w:p>
            <w:pPr>
              <w:pStyle w:val="Tabla"/>
            </w:pPr>
            <w:r>
              <w:t xml:space="preserve">empatía («los zapatos de otro»)</w:t>
            </w:r>
          </w:p>
        </w:tc>
        <w:tc>
          <w:tcPr>
            <w:tcW w:type="dxa" w:w="4816"/>
            <w:tcMar>
              <w:top w:type="dxa" w:w="80"/>
              <w:left w:type="dxa" w:w="100"/>
              <w:bottom w:type="dxa" w:w="80"/>
              <w:right w:type="dxa" w:w="100"/>
            </w:tcMar>
          </w:tcPr>
          <w:p>
            <w:pPr>
              <w:pStyle w:val="Tabla"/>
            </w:pPr>
            <w:r>
              <w:t xml:space="preserve">La empatía tiene una dinámica causal y circular: comprender y apoyar al otro puede producir apoyo recíproco.</w:t>
            </w:r>
          </w:p>
        </w:tc>
      </w:tr>
      <w:tr>
        <w:trPr>
          <w:cantSplit/>
          <w:tblHeader w:val="off"/>
        </w:trPr>
        <w:tc>
          <w:tcPr>
            <w:tcW w:type="dxa" w:w="4816"/>
            <w:tcMar>
              <w:top w:type="dxa" w:w="80"/>
              <w:left w:type="dxa" w:w="100"/>
              <w:bottom w:type="dxa" w:w="80"/>
              <w:right w:type="dxa" w:w="100"/>
            </w:tcMar>
          </w:tcPr>
          <w:p>
            <w:pPr>
              <w:pStyle w:val="Tabla"/>
            </w:pPr>
            <w:r>
              <w:t xml:space="preserve">otro paradigma, otro idioma (según Barker)</w:t>
            </w:r>
          </w:p>
        </w:tc>
        <w:tc>
          <w:tcPr>
            <w:tcW w:type="dxa" w:w="4816"/>
            <w:tcMar>
              <w:top w:type="dxa" w:w="80"/>
              <w:left w:type="dxa" w:w="100"/>
              <w:bottom w:type="dxa" w:w="80"/>
              <w:right w:type="dxa" w:w="100"/>
            </w:tcMar>
          </w:tcPr>
          <w:p>
            <w:pPr>
              <w:pStyle w:val="Tabla"/>
            </w:pPr>
            <w:r>
              <w:t xml:space="preserve">Referencia de estudio: Dos personas honestas ante el mismo dato no ven lo mismo, y ninguna de las dos está mintiendo.</w:t>
            </w:r>
          </w:p>
        </w:tc>
      </w:tr>
      <w:tr>
        <w:trPr>
          <w:cantSplit/>
          <w:tblHeader w:val="off"/>
        </w:trPr>
        <w:tc>
          <w:tcPr>
            <w:tcW w:type="dxa" w:w="4816"/>
            <w:tcMar>
              <w:top w:type="dxa" w:w="80"/>
              <w:left w:type="dxa" w:w="100"/>
              <w:bottom w:type="dxa" w:w="80"/>
              <w:right w:type="dxa" w:w="100"/>
            </w:tcMar>
          </w:tcPr>
          <w:p>
            <w:pPr>
              <w:pStyle w:val="Tabla"/>
            </w:pPr>
            <w:r>
              <w:t xml:space="preserve">separar las ideas de las personas (Nogués)</w:t>
            </w:r>
          </w:p>
        </w:tc>
        <w:tc>
          <w:tcPr>
            <w:tcW w:type="dxa" w:w="4816"/>
            <w:tcMar>
              <w:top w:type="dxa" w:w="80"/>
              <w:left w:type="dxa" w:w="100"/>
              <w:bottom w:type="dxa" w:w="80"/>
              <w:right w:type="dxa" w:w="100"/>
            </w:tcMar>
          </w:tcPr>
          <w:p>
            <w:pPr>
              <w:pStyle w:val="Tabla"/>
            </w:pPr>
            <w:r>
              <w:t xml:space="preserve">Separar las ideas de las personas: respetar a la persona y someter las creencias a prueba.</w:t>
            </w:r>
          </w:p>
        </w:tc>
      </w:tr>
    </w:tbl>
    <w:p>
      <w:pPr>
        <w:pStyle w:val="Fuente"/>
      </w:pPr>
      <w:r>
        <w:t xml:space="preserve">Véase </w:t>
      </w:r>
      <w:hyperlink w:history="1" w:anchor="b_1_5">
        <w:r>
          <w:rPr>
            <w:color w:val="156B70"/>
            <w:u w:val="single"/>
          </w:rPr>
          <w:t xml:space="preserve">1.5 · Perspectivas</w:t>
        </w:r>
      </w:hyperlink>
      <w:r>
        <w:t xml:space="preserve">, pág. </w:t>
      </w:r>
      <w:r>
        <w:fldChar w:fldCharType="begin"/>
        <w:instrText xml:space="preserve">PAGEREF b_1_5 \h</w:instrText>
        <w:fldChar w:fldCharType="separate"/>
        <w:t xml:space="preserve">125</w:t>
        <w:fldChar w:fldCharType="end"/>
      </w:r>
      <w:r>
        <w:t xml:space="preserve">.</w:t>
      </w:r>
    </w:p>
    <w:p>
      <w:pPr>
        <w:pStyle w:val="Heading3"/>
      </w:pPr>
      <w:r>
        <w:t xml:space="preserve">1.6 · Operaciones DSRP</w:t>
      </w:r>
    </w:p>
    <w:tbl>
      <w:tblPr>
        <w:tblW w:type="dxa" w:w="9632"/>
        <w:tblBorders>
          <w:top w:val="single" w:color="C5D5DB" w:sz="4"/>
          <w:left w:val="single" w:color="C5D5DB" w:sz="4"/>
          <w:bottom w:val="single" w:color="C5D5DB" w:sz="4"/>
          <w:right w:val="single" w:color="C5D5DB" w:sz="4"/>
          <w:insideH w:val="single" w:color="E4E9EB" w:sz="3"/>
          <w:insideV w:val="single" w:color="E4E9EB" w:sz="3"/>
        </w:tblBorders>
        <w:tblLayout w:type="fixed"/>
      </w:tblPr>
      <w:tblGrid>
        <w:gridCol w:w="4816"/>
        <w:gridCol w:w="4816"/>
      </w:tblGrid>
      <w:tr>
        <w:trPr>
          <w:cantSplit/>
          <w:tblHeader/>
        </w:trPr>
        <w:tc>
          <w:tcPr>
            <w:tcW w:type="dxa" w:w="4816"/>
            <w:shd w:fill="DFEAF0" w:val="clear"/>
            <w:tcMar>
              <w:top w:type="dxa" w:w="80"/>
              <w:left w:type="dxa" w:w="100"/>
              <w:bottom w:type="dxa" w:w="80"/>
              <w:right w:type="dxa" w:w="100"/>
            </w:tcMar>
          </w:tcPr>
          <w:p>
            <w:pPr>
              <w:pStyle w:val="Tabla"/>
            </w:pPr>
            <w:r>
              <w:rPr>
                <w:b/>
                <w:bCs/>
              </w:rPr>
              <w:t xml:space="preserve">Vocabulario del tema</w:t>
            </w:r>
          </w:p>
        </w:tc>
        <w:tc>
          <w:tcPr>
            <w:tcW w:type="dxa" w:w="4816"/>
            <w:shd w:fill="DFEAF0" w:val="clear"/>
            <w:tcMar>
              <w:top w:type="dxa" w:w="80"/>
              <w:left w:type="dxa" w:w="100"/>
              <w:bottom w:type="dxa" w:w="80"/>
              <w:right w:type="dxa" w:w="100"/>
            </w:tcMar>
          </w:tcPr>
          <w:p>
            <w:pPr>
              <w:pStyle w:val="Tabla"/>
            </w:pPr>
            <w:r>
              <w:rPr>
                <w:b/>
                <w:bCs/>
              </w:rPr>
              <w:t xml:space="preserve">Localización y contexto</w:t>
            </w:r>
          </w:p>
        </w:tc>
      </w:tr>
      <w:tr>
        <w:trPr>
          <w:cantSplit/>
          <w:tblHeader w:val="off"/>
        </w:trPr>
        <w:tc>
          <w:tcPr>
            <w:tcW w:type="dxa" w:w="4816"/>
            <w:tcMar>
              <w:top w:type="dxa" w:w="80"/>
              <w:left w:type="dxa" w:w="100"/>
              <w:bottom w:type="dxa" w:w="80"/>
              <w:right w:type="dxa" w:w="100"/>
            </w:tcMar>
          </w:tcPr>
          <w:p>
            <w:pPr>
              <w:pStyle w:val="Tabla"/>
            </w:pPr>
            <w:r>
              <w:t xml:space="preserve">DSRP (distinciones, sistemas, relaciones, perspectivas)</w:t>
            </w:r>
          </w:p>
        </w:tc>
        <w:tc>
          <w:tcPr>
            <w:tcW w:type="dxa" w:w="4816"/>
            <w:tcMar>
              <w:top w:type="dxa" w:w="80"/>
              <w:left w:type="dxa" w:w="100"/>
              <w:bottom w:type="dxa" w:w="80"/>
              <w:right w:type="dxa" w:w="100"/>
            </w:tcMar>
          </w:tcPr>
          <w:p>
            <w:pPr>
              <w:pStyle w:val="Tabla"/>
            </w:pPr>
            <w:r>
              <w:t xml:space="preserve">DSRP son las siglas de las cuatro operaciones mentales sistémicas del curso, su modelo principal; los mapas DSRP son diagramas de sistemas que luego se simplifican en ciclos causales y en flujos y niveles.</w:t>
            </w:r>
          </w:p>
        </w:tc>
      </w:tr>
      <w:tr>
        <w:trPr>
          <w:cantSplit/>
          <w:tblHeader w:val="off"/>
        </w:trPr>
        <w:tc>
          <w:tcPr>
            <w:tcW w:type="dxa" w:w="4816"/>
            <w:tcMar>
              <w:top w:type="dxa" w:w="80"/>
              <w:left w:type="dxa" w:w="100"/>
              <w:bottom w:type="dxa" w:w="80"/>
              <w:right w:type="dxa" w:w="100"/>
            </w:tcMar>
          </w:tcPr>
          <w:p>
            <w:pPr>
              <w:pStyle w:val="Tabla"/>
            </w:pPr>
            <w:r>
              <w:t xml:space="preserve">distinción (conceptualización; A no es ni B ni C)</w:t>
            </w:r>
          </w:p>
        </w:tc>
        <w:tc>
          <w:tcPr>
            <w:tcW w:type="dxa" w:w="4816"/>
            <w:tcMar>
              <w:top w:type="dxa" w:w="80"/>
              <w:left w:type="dxa" w:w="100"/>
              <w:bottom w:type="dxa" w:w="80"/>
              <w:right w:type="dxa" w:w="100"/>
            </w:tcMar>
          </w:tcPr>
          <w:p>
            <w:pPr>
              <w:pStyle w:val="Tabla"/>
            </w:pPr>
            <w:r>
              <w:t xml:space="preserve">Distinción: una cosa y otras cosas, equivalentes al par identidad/otro del portal.</w:t>
            </w:r>
          </w:p>
        </w:tc>
      </w:tr>
      <w:tr>
        <w:trPr>
          <w:cantSplit/>
          <w:tblHeader w:val="off"/>
        </w:trPr>
        <w:tc>
          <w:tcPr>
            <w:tcW w:type="dxa" w:w="4816"/>
            <w:tcMar>
              <w:top w:type="dxa" w:w="80"/>
              <w:left w:type="dxa" w:w="100"/>
              <w:bottom w:type="dxa" w:w="80"/>
              <w:right w:type="dxa" w:w="100"/>
            </w:tcMar>
          </w:tcPr>
          <w:p>
            <w:pPr>
              <w:pStyle w:val="Tabla"/>
            </w:pPr>
            <w:r>
              <w:t xml:space="preserve">sistemas (partes dentro de un todo, todo compuesto de partes; subsistemas)</w:t>
            </w:r>
          </w:p>
        </w:tc>
        <w:tc>
          <w:tcPr>
            <w:tcW w:type="dxa" w:w="4816"/>
            <w:tcMar>
              <w:top w:type="dxa" w:w="80"/>
              <w:left w:type="dxa" w:w="100"/>
              <w:bottom w:type="dxa" w:w="80"/>
              <w:right w:type="dxa" w:w="100"/>
            </w:tcMar>
          </w:tcPr>
          <w:p>
            <w:pPr>
              <w:pStyle w:val="Tabla"/>
            </w:pPr>
            <w:r>
              <w:t xml:space="preserve">Sistemas: una idea o cosa puede dividirse en partes o agruparse en un todo.</w:t>
            </w:r>
          </w:p>
        </w:tc>
      </w:tr>
      <w:tr>
        <w:trPr>
          <w:cantSplit/>
          <w:tblHeader w:val="off"/>
        </w:trPr>
        <w:tc>
          <w:tcPr>
            <w:tcW w:type="dxa" w:w="4816"/>
            <w:tcMar>
              <w:top w:type="dxa" w:w="80"/>
              <w:left w:type="dxa" w:w="100"/>
              <w:bottom w:type="dxa" w:w="80"/>
              <w:right w:type="dxa" w:w="100"/>
            </w:tcMar>
          </w:tcPr>
          <w:p>
            <w:pPr>
              <w:pStyle w:val="Tabla"/>
            </w:pPr>
            <w:r>
              <w:t xml:space="preserve">relaciones (flecha o línea; la salida de uno es entrada del otro)</w:t>
            </w:r>
          </w:p>
        </w:tc>
        <w:tc>
          <w:tcPr>
            <w:tcW w:type="dxa" w:w="4816"/>
            <w:tcMar>
              <w:top w:type="dxa" w:w="80"/>
              <w:left w:type="dxa" w:w="100"/>
              <w:bottom w:type="dxa" w:w="80"/>
              <w:right w:type="dxa" w:w="100"/>
            </w:tcMar>
          </w:tcPr>
          <w:p>
            <w:pPr>
              <w:pStyle w:val="Tabla"/>
            </w:pPr>
            <w:r>
              <w:t xml:space="preserve">Relaciones: una idea o cosa puede relacionarse con otra.</w:t>
            </w:r>
          </w:p>
        </w:tc>
      </w:tr>
      <w:tr>
        <w:trPr>
          <w:cantSplit/>
          <w:tblHeader w:val="off"/>
        </w:trPr>
        <w:tc>
          <w:tcPr>
            <w:tcW w:type="dxa" w:w="4816"/>
            <w:tcMar>
              <w:top w:type="dxa" w:w="80"/>
              <w:left w:type="dxa" w:w="100"/>
              <w:bottom w:type="dxa" w:w="80"/>
              <w:right w:type="dxa" w:w="100"/>
            </w:tcMar>
          </w:tcPr>
          <w:p>
            <w:pPr>
              <w:pStyle w:val="Tabla"/>
            </w:pPr>
            <w:r>
              <w:t xml:space="preserve">perspectivas (punto de vista desde el que se entiende una idea)</w:t>
            </w:r>
          </w:p>
        </w:tc>
        <w:tc>
          <w:tcPr>
            <w:tcW w:type="dxa" w:w="4816"/>
            <w:tcMar>
              <w:top w:type="dxa" w:w="80"/>
              <w:left w:type="dxa" w:w="100"/>
              <w:bottom w:type="dxa" w:w="80"/>
              <w:right w:type="dxa" w:w="100"/>
            </w:tcMar>
          </w:tcPr>
          <w:p>
            <w:pPr>
              <w:pStyle w:val="Tabla"/>
            </w:pPr>
            <w:r>
              <w:t xml:space="preserve">Perspectivas: una idea o cosa puede ser punto de observación o cosa vista.</w:t>
            </w:r>
          </w:p>
        </w:tc>
      </w:tr>
      <w:tr>
        <w:trPr>
          <w:cantSplit/>
          <w:tblHeader w:val="off"/>
        </w:trPr>
        <w:tc>
          <w:tcPr>
            <w:tcW w:type="dxa" w:w="4816"/>
            <w:tcMar>
              <w:top w:type="dxa" w:w="80"/>
              <w:left w:type="dxa" w:w="100"/>
              <w:bottom w:type="dxa" w:w="80"/>
              <w:right w:type="dxa" w:w="100"/>
            </w:tcMar>
          </w:tcPr>
          <w:p>
            <w:pPr>
              <w:pStyle w:val="Tabla"/>
            </w:pPr>
            <w:r>
              <w:t xml:space="preserve">algoritmo de Cabrera (¿es suficiente?; repetir con cualquier regla)</w:t>
            </w:r>
          </w:p>
        </w:tc>
        <w:tc>
          <w:tcPr>
            <w:tcW w:type="dxa" w:w="4816"/>
            <w:tcMar>
              <w:top w:type="dxa" w:w="80"/>
              <w:left w:type="dxa" w:w="100"/>
              <w:bottom w:type="dxa" w:w="80"/>
              <w:right w:type="dxa" w:w="100"/>
            </w:tcMar>
          </w:tcPr>
          <w:p>
            <w:pPr>
              <w:pStyle w:val="Tabla"/>
            </w:pPr>
            <w:r>
              <w:t xml:space="preserve">Referencia de estudio: Cuatro reglas simples, y de su combinación emerge el pensamiento sistémico.</w:t>
            </w:r>
          </w:p>
        </w:tc>
      </w:tr>
      <w:tr>
        <w:trPr>
          <w:cantSplit/>
          <w:tblHeader w:val="off"/>
        </w:trPr>
        <w:tc>
          <w:tcPr>
            <w:tcW w:type="dxa" w:w="4816"/>
            <w:tcMar>
              <w:top w:type="dxa" w:w="80"/>
              <w:left w:type="dxa" w:w="100"/>
              <w:bottom w:type="dxa" w:w="80"/>
              <w:right w:type="dxa" w:w="100"/>
            </w:tcMar>
          </w:tcPr>
          <w:p>
            <w:pPr>
              <w:pStyle w:val="Tabla"/>
            </w:pPr>
            <w:r>
              <w:t xml:space="preserve">técnica de la indagación (una pregunta por regla)</w:t>
            </w:r>
          </w:p>
        </w:tc>
        <w:tc>
          <w:tcPr>
            <w:tcW w:type="dxa" w:w="4816"/>
            <w:tcMar>
              <w:top w:type="dxa" w:w="80"/>
              <w:left w:type="dxa" w:w="100"/>
              <w:bottom w:type="dxa" w:w="80"/>
              <w:right w:type="dxa" w:w="100"/>
            </w:tcMar>
          </w:tcPr>
          <w:p>
            <w:pPr>
              <w:pStyle w:val="Tabla"/>
            </w:pPr>
            <w:r>
              <w:t xml:space="preserve">Referencia de estudio: Cuatro reglas simples, y de su combinación emerge el pensamiento sistémico.</w:t>
            </w:r>
          </w:p>
        </w:tc>
      </w:tr>
      <w:tr>
        <w:trPr>
          <w:cantSplit/>
          <w:tblHeader w:val="off"/>
        </w:trPr>
        <w:tc>
          <w:tcPr>
            <w:tcW w:type="dxa" w:w="4816"/>
            <w:tcMar>
              <w:top w:type="dxa" w:w="80"/>
              <w:left w:type="dxa" w:w="100"/>
              <w:bottom w:type="dxa" w:w="80"/>
              <w:right w:type="dxa" w:w="100"/>
            </w:tcMar>
          </w:tcPr>
          <w:p>
            <w:pPr>
              <w:pStyle w:val="Tabla"/>
            </w:pPr>
            <w:r>
              <w:t xml:space="preserve">propiedad emergente (el pensamiento sistémico no es un pensamiento en sí)</w:t>
            </w:r>
          </w:p>
        </w:tc>
        <w:tc>
          <w:tcPr>
            <w:tcW w:type="dxa" w:w="4816"/>
            <w:tcMar>
              <w:top w:type="dxa" w:w="80"/>
              <w:left w:type="dxa" w:w="100"/>
              <w:bottom w:type="dxa" w:w="80"/>
              <w:right w:type="dxa" w:w="100"/>
            </w:tcMar>
          </w:tcPr>
          <w:p>
            <w:pPr>
              <w:pStyle w:val="Tabla"/>
            </w:pPr>
            <w:r>
              <w:t xml:space="preserve">Surge como propiedad emergente de reglas simples al combinarse.</w:t>
            </w:r>
          </w:p>
        </w:tc>
      </w:tr>
      <w:tr>
        <w:trPr>
          <w:cantSplit/>
          <w:tblHeader w:val="off"/>
        </w:trPr>
        <w:tc>
          <w:tcPr>
            <w:tcW w:type="dxa" w:w="4816"/>
            <w:tcMar>
              <w:top w:type="dxa" w:w="80"/>
              <w:left w:type="dxa" w:w="100"/>
              <w:bottom w:type="dxa" w:w="80"/>
              <w:right w:type="dxa" w:w="100"/>
            </w:tcMar>
          </w:tcPr>
          <w:p>
            <w:pPr>
              <w:pStyle w:val="Tabla"/>
            </w:pPr>
            <w:r>
              <w:t xml:space="preserve">modelar (ordenar la información según las cuatro reglas)</w:t>
            </w:r>
          </w:p>
        </w:tc>
        <w:tc>
          <w:tcPr>
            <w:tcW w:type="dxa" w:w="4816"/>
            <w:tcMar>
              <w:top w:type="dxa" w:w="80"/>
              <w:left w:type="dxa" w:w="100"/>
              <w:bottom w:type="dxa" w:w="80"/>
              <w:right w:type="dxa" w:w="100"/>
            </w:tcMar>
          </w:tcPr>
          <w:p>
            <w:pPr>
              <w:pStyle w:val="Tabla"/>
            </w:pPr>
            <w:r>
              <w:t xml:space="preserve">Modelar ordena información con las cuatro reglas para construir una representación coherente: partes, contexto, entradas y salidas se identifican en niveles relacionados.</w:t>
            </w:r>
          </w:p>
        </w:tc>
      </w:tr>
    </w:tbl>
    <w:p>
      <w:pPr>
        <w:pStyle w:val="Fuente"/>
      </w:pPr>
      <w:r>
        <w:t xml:space="preserve">Véase </w:t>
      </w:r>
      <w:hyperlink w:history="1" w:anchor="b_1_6">
        <w:r>
          <w:rPr>
            <w:color w:val="156B70"/>
            <w:u w:val="single"/>
          </w:rPr>
          <w:t xml:space="preserve">1.6 · Operaciones DSRP</w:t>
        </w:r>
      </w:hyperlink>
      <w:r>
        <w:t xml:space="preserve">, pág. </w:t>
      </w:r>
      <w:r>
        <w:fldChar w:fldCharType="begin"/>
        <w:instrText xml:space="preserve">PAGEREF b_1_6 \h</w:instrText>
        <w:fldChar w:fldCharType="separate"/>
        <w:t xml:space="preserve">150</w:t>
        <w:fldChar w:fldCharType="end"/>
      </w:r>
      <w:r>
        <w:t xml:space="preserve">.</w:t>
      </w:r>
    </w:p>
    <w:p>
      <w:pPr>
        <w:pStyle w:val="Heading3"/>
      </w:pPr>
      <w:r>
        <w:t xml:space="preserve">1.7 · Niveles — modelo del iceberg</w:t>
      </w:r>
    </w:p>
    <w:tbl>
      <w:tblPr>
        <w:tblW w:type="dxa" w:w="9632"/>
        <w:tblBorders>
          <w:top w:val="single" w:color="C5D5DB" w:sz="4"/>
          <w:left w:val="single" w:color="C5D5DB" w:sz="4"/>
          <w:bottom w:val="single" w:color="C5D5DB" w:sz="4"/>
          <w:right w:val="single" w:color="C5D5DB" w:sz="4"/>
          <w:insideH w:val="single" w:color="E4E9EB" w:sz="3"/>
          <w:insideV w:val="single" w:color="E4E9EB" w:sz="3"/>
        </w:tblBorders>
        <w:tblLayout w:type="fixed"/>
      </w:tblPr>
      <w:tblGrid>
        <w:gridCol w:w="4816"/>
        <w:gridCol w:w="4816"/>
      </w:tblGrid>
      <w:tr>
        <w:trPr>
          <w:cantSplit/>
          <w:tblHeader/>
        </w:trPr>
        <w:tc>
          <w:tcPr>
            <w:tcW w:type="dxa" w:w="4816"/>
            <w:shd w:fill="DFEAF0" w:val="clear"/>
            <w:tcMar>
              <w:top w:type="dxa" w:w="80"/>
              <w:left w:type="dxa" w:w="100"/>
              <w:bottom w:type="dxa" w:w="80"/>
              <w:right w:type="dxa" w:w="100"/>
            </w:tcMar>
          </w:tcPr>
          <w:p>
            <w:pPr>
              <w:pStyle w:val="Tabla"/>
            </w:pPr>
            <w:r>
              <w:rPr>
                <w:b/>
                <w:bCs/>
              </w:rPr>
              <w:t xml:space="preserve">Vocabulario del tema</w:t>
            </w:r>
          </w:p>
        </w:tc>
        <w:tc>
          <w:tcPr>
            <w:tcW w:type="dxa" w:w="4816"/>
            <w:shd w:fill="DFEAF0" w:val="clear"/>
            <w:tcMar>
              <w:top w:type="dxa" w:w="80"/>
              <w:left w:type="dxa" w:w="100"/>
              <w:bottom w:type="dxa" w:w="80"/>
              <w:right w:type="dxa" w:w="100"/>
            </w:tcMar>
          </w:tcPr>
          <w:p>
            <w:pPr>
              <w:pStyle w:val="Tabla"/>
            </w:pPr>
            <w:r>
              <w:rPr>
                <w:b/>
                <w:bCs/>
              </w:rPr>
              <w:t xml:space="preserve">Localización y contexto</w:t>
            </w:r>
          </w:p>
        </w:tc>
      </w:tr>
      <w:tr>
        <w:trPr>
          <w:cantSplit/>
          <w:tblHeader w:val="off"/>
        </w:trPr>
        <w:tc>
          <w:tcPr>
            <w:tcW w:type="dxa" w:w="4816"/>
            <w:tcMar>
              <w:top w:type="dxa" w:w="80"/>
              <w:left w:type="dxa" w:w="100"/>
              <w:bottom w:type="dxa" w:w="80"/>
              <w:right w:type="dxa" w:w="100"/>
            </w:tcMar>
          </w:tcPr>
          <w:p>
            <w:pPr>
              <w:pStyle w:val="Tabla"/>
            </w:pPr>
            <w:r>
              <w:t xml:space="preserve">iceberg (modelo de Waters Foundation; perspectivas sistémicas)</w:t>
            </w:r>
          </w:p>
        </w:tc>
        <w:tc>
          <w:tcPr>
            <w:tcW w:type="dxa" w:w="4816"/>
            <w:tcMar>
              <w:top w:type="dxa" w:w="80"/>
              <w:left w:type="dxa" w:w="100"/>
              <w:bottom w:type="dxa" w:w="80"/>
              <w:right w:type="dxa" w:w="100"/>
            </w:tcMar>
          </w:tcPr>
          <w:p>
            <w:pPr>
              <w:pStyle w:val="Tabla"/>
            </w:pPr>
            <w:r>
              <w:t xml:space="preserve">1.7 Niveles de perspectiva e iceberg.</w:t>
            </w:r>
          </w:p>
        </w:tc>
      </w:tr>
      <w:tr>
        <w:trPr>
          <w:cantSplit/>
          <w:tblHeader w:val="off"/>
        </w:trPr>
        <w:tc>
          <w:tcPr>
            <w:tcW w:type="dxa" w:w="4816"/>
            <w:tcMar>
              <w:top w:type="dxa" w:w="80"/>
              <w:left w:type="dxa" w:w="100"/>
              <w:bottom w:type="dxa" w:w="80"/>
              <w:right w:type="dxa" w:w="100"/>
            </w:tcMar>
          </w:tcPr>
          <w:p>
            <w:pPr>
              <w:pStyle w:val="Tabla"/>
            </w:pPr>
            <w:r>
              <w:t xml:space="preserve">eventos (hechos; escalón cero de la escalera)</w:t>
            </w:r>
          </w:p>
        </w:tc>
        <w:tc>
          <w:tcPr>
            <w:tcW w:type="dxa" w:w="4816"/>
            <w:tcMar>
              <w:top w:type="dxa" w:w="80"/>
              <w:left w:type="dxa" w:w="100"/>
              <w:bottom w:type="dxa" w:w="80"/>
              <w:right w:type="dxa" w:w="100"/>
            </w:tcMar>
          </w:tcPr>
          <w:p>
            <w:pPr>
              <w:pStyle w:val="Tabla"/>
            </w:pPr>
            <w:r>
              <w:t xml:space="preserve">Eventos son la parte visible; patrones de comportamiento, estructuras subyacentes y modelos mentales quedan debajo.</w:t>
            </w:r>
          </w:p>
        </w:tc>
      </w:tr>
      <w:tr>
        <w:trPr>
          <w:cantSplit/>
          <w:tblHeader w:val="off"/>
        </w:trPr>
        <w:tc>
          <w:tcPr>
            <w:tcW w:type="dxa" w:w="4816"/>
            <w:tcMar>
              <w:top w:type="dxa" w:w="80"/>
              <w:left w:type="dxa" w:w="100"/>
              <w:bottom w:type="dxa" w:w="80"/>
              <w:right w:type="dxa" w:w="100"/>
            </w:tcMar>
          </w:tcPr>
          <w:p>
            <w:pPr>
              <w:pStyle w:val="Tabla"/>
            </w:pPr>
            <w:r>
              <w:t xml:space="preserve">tendencias (patrones de comportamiento; la historia de una variable)</w:t>
            </w:r>
          </w:p>
        </w:tc>
        <w:tc>
          <w:tcPr>
            <w:tcW w:type="dxa" w:w="4816"/>
            <w:tcMar>
              <w:top w:type="dxa" w:w="80"/>
              <w:left w:type="dxa" w:w="100"/>
              <w:bottom w:type="dxa" w:w="80"/>
              <w:right w:type="dxa" w:w="100"/>
            </w:tcMar>
          </w:tcPr>
          <w:p>
            <w:pPr>
              <w:pStyle w:val="Tabla"/>
            </w:pPr>
            <w:r>
              <w:t xml:space="preserve">Tendencias o «patrones de comportamiento»: la historia, una variable medible cuyos valores se observan a lo largo del tiempo. Ventas: el evento es vender por debajo de lo necesario («bancarrota»); la variable, los ingresos por ventas, medida meses o años antes, mostraría valores altos que bajaron.</w:t>
            </w:r>
          </w:p>
        </w:tc>
      </w:tr>
      <w:tr>
        <w:trPr>
          <w:cantSplit/>
          <w:tblHeader w:val="off"/>
        </w:trPr>
        <w:tc>
          <w:tcPr>
            <w:tcW w:type="dxa" w:w="4816"/>
            <w:tcMar>
              <w:top w:type="dxa" w:w="80"/>
              <w:left w:type="dxa" w:w="100"/>
              <w:bottom w:type="dxa" w:w="80"/>
              <w:right w:type="dxa" w:w="100"/>
            </w:tcMar>
          </w:tcPr>
          <w:p>
            <w:pPr>
              <w:pStyle w:val="Tabla"/>
            </w:pPr>
            <w:r>
              <w:t xml:space="preserve">estructuras (subyacentes, sistémicas, complejas; relaciones causales)</w:t>
            </w:r>
          </w:p>
        </w:tc>
        <w:tc>
          <w:tcPr>
            <w:tcW w:type="dxa" w:w="4816"/>
            <w:tcMar>
              <w:top w:type="dxa" w:w="80"/>
              <w:left w:type="dxa" w:w="100"/>
              <w:bottom w:type="dxa" w:w="80"/>
              <w:right w:type="dxa" w:w="100"/>
            </w:tcMar>
          </w:tcPr>
          <w:p>
            <w:pPr>
              <w:pStyle w:val="Tabla"/>
            </w:pPr>
            <w:r>
              <w:t xml:space="preserve">Estructuras (subyacentes, sistémicas, «complejas»): cómo los elementos forman interacciones y comportamientos; las interacciones entre las partes son relaciones causales que originan las tendencias, y éstas los eventos; exigen bucear.</w:t>
            </w:r>
          </w:p>
        </w:tc>
      </w:tr>
      <w:tr>
        <w:trPr>
          <w:cantSplit/>
          <w:tblHeader w:val="off"/>
        </w:trPr>
        <w:tc>
          <w:tcPr>
            <w:tcW w:type="dxa" w:w="4816"/>
            <w:tcMar>
              <w:top w:type="dxa" w:w="80"/>
              <w:left w:type="dxa" w:w="100"/>
              <w:bottom w:type="dxa" w:w="80"/>
              <w:right w:type="dxa" w:w="100"/>
            </w:tcMar>
          </w:tcPr>
          <w:p>
            <w:pPr>
              <w:pStyle w:val="Tabla"/>
            </w:pPr>
            <w:r>
              <w:t xml:space="preserve">modelos mentales (cuarto nivel; perspectivas subjetivas de las personas)</w:t>
            </w:r>
          </w:p>
        </w:tc>
        <w:tc>
          <w:tcPr>
            <w:tcW w:type="dxa" w:w="4816"/>
            <w:tcMar>
              <w:top w:type="dxa" w:w="80"/>
              <w:left w:type="dxa" w:w="100"/>
              <w:bottom w:type="dxa" w:w="80"/>
              <w:right w:type="dxa" w:w="100"/>
            </w:tcMar>
          </w:tcPr>
          <w:p>
            <w:pPr>
              <w:pStyle w:val="Tabla"/>
            </w:pPr>
            <w:r>
              <w:t xml:space="preserve">Modelos mentales: teorías propias hechas de creencias replicadas de otros; el nivel más complejo de acceder y el más importante de tener consciente, porque está en la mente de las personas y determina a los demás. Los cuatro niveles son «perspectivas sistémicas», incluida la de lo que pienso yo; según Meadows, todo lo que uno sabe y todos saben es sólo un modelo.</w:t>
            </w:r>
          </w:p>
        </w:tc>
      </w:tr>
      <w:tr>
        <w:trPr>
          <w:cantSplit/>
          <w:tblHeader w:val="off"/>
        </w:trPr>
        <w:tc>
          <w:tcPr>
            <w:tcW w:type="dxa" w:w="4816"/>
            <w:tcMar>
              <w:top w:type="dxa" w:w="80"/>
              <w:left w:type="dxa" w:w="100"/>
              <w:bottom w:type="dxa" w:w="80"/>
              <w:right w:type="dxa" w:w="100"/>
            </w:tcMar>
          </w:tcPr>
          <w:p>
            <w:pPr>
              <w:pStyle w:val="Tabla"/>
            </w:pPr>
            <w:r>
              <w:t xml:space="preserve">el agua (lo que no se ve a simple vista)</w:t>
            </w:r>
          </w:p>
        </w:tc>
        <w:tc>
          <w:tcPr>
            <w:tcW w:type="dxa" w:w="4816"/>
            <w:tcMar>
              <w:top w:type="dxa" w:w="80"/>
              <w:left w:type="dxa" w:w="100"/>
              <w:bottom w:type="dxa" w:w="80"/>
              <w:right w:type="dxa" w:w="100"/>
            </w:tcMar>
          </w:tcPr>
          <w:p>
            <w:pPr>
              <w:pStyle w:val="Tabla"/>
            </w:pPr>
            <w:r>
              <w:t xml:space="preserve">El agua es lo que no se ve a simple vista; profundizar revela historia y factores del acontecimiento. Oír una detonación sin verla también permite percibir un evento.</w:t>
            </w:r>
          </w:p>
        </w:tc>
      </w:tr>
      <w:tr>
        <w:trPr>
          <w:cantSplit/>
          <w:tblHeader w:val="off"/>
        </w:trPr>
        <w:tc>
          <w:tcPr>
            <w:tcW w:type="dxa" w:w="4816"/>
            <w:tcMar>
              <w:top w:type="dxa" w:w="80"/>
              <w:left w:type="dxa" w:w="100"/>
              <w:bottom w:type="dxa" w:w="80"/>
              <w:right w:type="dxa" w:w="100"/>
            </w:tcMar>
          </w:tcPr>
          <w:p>
            <w:pPr>
              <w:pStyle w:val="Tabla"/>
            </w:pPr>
            <w:r>
              <w:t xml:space="preserve">quinto nivel (motivación intrínseca, valores, emoción, voluntad)</w:t>
            </w:r>
          </w:p>
        </w:tc>
        <w:tc>
          <w:tcPr>
            <w:tcW w:type="dxa" w:w="4816"/>
            <w:tcMar>
              <w:top w:type="dxa" w:w="80"/>
              <w:left w:type="dxa" w:w="100"/>
              <w:bottom w:type="dxa" w:w="80"/>
              <w:right w:type="dxa" w:w="100"/>
            </w:tcMar>
          </w:tcPr>
          <w:p>
            <w:pPr>
              <w:pStyle w:val="Tabla"/>
            </w:pPr>
            <w:r>
              <w:t xml:space="preserve">Quinto nivel, de un profesor chileno en un video de UEDI: motivación intrínseca, valores, emoción y voluntad; se alcanza reflexionando o dialogando.</w:t>
            </w:r>
          </w:p>
        </w:tc>
      </w:tr>
      <w:tr>
        <w:trPr>
          <w:cantSplit/>
          <w:tblHeader w:val="off"/>
        </w:trPr>
        <w:tc>
          <w:tcPr>
            <w:tcW w:type="dxa" w:w="4816"/>
            <w:tcMar>
              <w:top w:type="dxa" w:w="80"/>
              <w:left w:type="dxa" w:w="100"/>
              <w:bottom w:type="dxa" w:w="80"/>
              <w:right w:type="dxa" w:w="100"/>
            </w:tcMar>
          </w:tcPr>
          <w:p>
            <w:pPr>
              <w:pStyle w:val="Tabla"/>
            </w:pPr>
            <w:r>
              <w:t xml:space="preserve">caso Acme (Senge, La quinta disciplina en la práctica)</w:t>
            </w:r>
          </w:p>
        </w:tc>
        <w:tc>
          <w:tcPr>
            <w:tcW w:type="dxa" w:w="4816"/>
            <w:tcMar>
              <w:top w:type="dxa" w:w="80"/>
              <w:left w:type="dxa" w:w="100"/>
              <w:bottom w:type="dxa" w:w="80"/>
              <w:right w:type="dxa" w:w="100"/>
            </w:tcMar>
          </w:tcPr>
          <w:p>
            <w:pPr>
              <w:pStyle w:val="Tabla"/>
            </w:pPr>
            <w:r>
              <w:t xml:space="preserve">Caso Acme (Senge, La quinta disciplina en la práctica): los gerentes debaten la caída de ventas por hechos, tendencias de varios años y estructuras; las soluciones estructurales fallaron porque los modelos mentales de quienes venden las impedían: vendían de cualquier manera y dañaban el servicio, y cambiar las reglas no bastó sin cambiar hábitos y creencias. Tarea: tabla de cuatro filas con lo hallado en cada nivel y su dificultad.</w:t>
            </w:r>
          </w:p>
        </w:tc>
      </w:tr>
    </w:tbl>
    <w:p>
      <w:pPr>
        <w:pStyle w:val="Fuente"/>
      </w:pPr>
      <w:r>
        <w:t xml:space="preserve">Véase </w:t>
      </w:r>
      <w:hyperlink w:history="1" w:anchor="b_1_7">
        <w:r>
          <w:rPr>
            <w:color w:val="156B70"/>
            <w:u w:val="single"/>
          </w:rPr>
          <w:t xml:space="preserve">1.7 · Niveles — modelo del iceberg</w:t>
        </w:r>
      </w:hyperlink>
      <w:r>
        <w:t xml:space="preserve">, pág. </w:t>
      </w:r>
      <w:r>
        <w:fldChar w:fldCharType="begin"/>
        <w:instrText xml:space="preserve">PAGEREF b_1_7 \h</w:instrText>
        <w:fldChar w:fldCharType="separate"/>
        <w:t xml:space="preserve">175</w:t>
        <w:fldChar w:fldCharType="end"/>
      </w:r>
      <w:r>
        <w:t xml:space="preserve">.</w:t>
      </w:r>
    </w:p>
    <w:p>
      <w:pPr>
        <w:pStyle w:val="Heading3"/>
      </w:pPr>
      <w:r>
        <w:t xml:space="preserve">1.8 · Hábitos del pensador</w:t>
      </w:r>
    </w:p>
    <w:tbl>
      <w:tblPr>
        <w:tblW w:type="dxa" w:w="9632"/>
        <w:tblBorders>
          <w:top w:val="single" w:color="C5D5DB" w:sz="4"/>
          <w:left w:val="single" w:color="C5D5DB" w:sz="4"/>
          <w:bottom w:val="single" w:color="C5D5DB" w:sz="4"/>
          <w:right w:val="single" w:color="C5D5DB" w:sz="4"/>
          <w:insideH w:val="single" w:color="E4E9EB" w:sz="3"/>
          <w:insideV w:val="single" w:color="E4E9EB" w:sz="3"/>
        </w:tblBorders>
        <w:tblLayout w:type="fixed"/>
      </w:tblPr>
      <w:tblGrid>
        <w:gridCol w:w="4816"/>
        <w:gridCol w:w="4816"/>
      </w:tblGrid>
      <w:tr>
        <w:trPr>
          <w:cantSplit/>
          <w:tblHeader/>
        </w:trPr>
        <w:tc>
          <w:tcPr>
            <w:tcW w:type="dxa" w:w="4816"/>
            <w:shd w:fill="DFEAF0" w:val="clear"/>
            <w:tcMar>
              <w:top w:type="dxa" w:w="80"/>
              <w:left w:type="dxa" w:w="100"/>
              <w:bottom w:type="dxa" w:w="80"/>
              <w:right w:type="dxa" w:w="100"/>
            </w:tcMar>
          </w:tcPr>
          <w:p>
            <w:pPr>
              <w:pStyle w:val="Tabla"/>
            </w:pPr>
            <w:r>
              <w:rPr>
                <w:b/>
                <w:bCs/>
              </w:rPr>
              <w:t xml:space="preserve">Vocabulario del tema</w:t>
            </w:r>
          </w:p>
        </w:tc>
        <w:tc>
          <w:tcPr>
            <w:tcW w:type="dxa" w:w="4816"/>
            <w:shd w:fill="DFEAF0" w:val="clear"/>
            <w:tcMar>
              <w:top w:type="dxa" w:w="80"/>
              <w:left w:type="dxa" w:w="100"/>
              <w:bottom w:type="dxa" w:w="80"/>
              <w:right w:type="dxa" w:w="100"/>
            </w:tcMar>
          </w:tcPr>
          <w:p>
            <w:pPr>
              <w:pStyle w:val="Tabla"/>
            </w:pPr>
            <w:r>
              <w:rPr>
                <w:b/>
                <w:bCs/>
              </w:rPr>
              <w:t xml:space="preserve">Localización y contexto</w:t>
            </w:r>
          </w:p>
        </w:tc>
      </w:tr>
      <w:tr>
        <w:trPr>
          <w:cantSplit/>
          <w:tblHeader w:val="off"/>
        </w:trPr>
        <w:tc>
          <w:tcPr>
            <w:tcW w:type="dxa" w:w="4816"/>
            <w:tcMar>
              <w:top w:type="dxa" w:w="80"/>
              <w:left w:type="dxa" w:w="100"/>
              <w:bottom w:type="dxa" w:w="80"/>
              <w:right w:type="dxa" w:w="100"/>
            </w:tcMar>
          </w:tcPr>
          <w:p>
            <w:pPr>
              <w:pStyle w:val="Tabla"/>
            </w:pPr>
            <w:r>
              <w:t xml:space="preserve">hábitos del pensador sistémico (Waters Foundation; catorce en el póster)</w:t>
            </w:r>
          </w:p>
        </w:tc>
        <w:tc>
          <w:tcPr>
            <w:tcW w:type="dxa" w:w="4816"/>
            <w:tcMar>
              <w:top w:type="dxa" w:w="80"/>
              <w:left w:type="dxa" w:w="100"/>
              <w:bottom w:type="dxa" w:w="80"/>
              <w:right w:type="dxa" w:w="100"/>
            </w:tcMar>
          </w:tcPr>
          <w:p>
            <w:pPr>
              <w:pStyle w:val="Tabla"/>
            </w:pPr>
            <w:r>
              <w:t xml:space="preserve">Referencia de estudio: Cuatro hábitos, y cada uno se reconoce por las preguntas que obliga a hacerse.</w:t>
            </w:r>
          </w:p>
        </w:tc>
      </w:tr>
      <w:tr>
        <w:trPr>
          <w:cantSplit/>
          <w:tblHeader w:val="off"/>
        </w:trPr>
        <w:tc>
          <w:tcPr>
            <w:tcW w:type="dxa" w:w="4816"/>
            <w:tcMar>
              <w:top w:type="dxa" w:w="80"/>
              <w:left w:type="dxa" w:w="100"/>
              <w:bottom w:type="dxa" w:w="80"/>
              <w:right w:type="dxa" w:w="100"/>
            </w:tcMar>
          </w:tcPr>
          <w:p>
            <w:pPr>
              <w:pStyle w:val="Tabla"/>
            </w:pPr>
            <w:r>
              <w:t xml:space="preserve">reconoce y prueba suposiciones (escalera de inferencias)</w:t>
            </w:r>
          </w:p>
        </w:tc>
        <w:tc>
          <w:tcPr>
            <w:tcW w:type="dxa" w:w="4816"/>
            <w:tcMar>
              <w:top w:type="dxa" w:w="80"/>
              <w:left w:type="dxa" w:w="100"/>
              <w:bottom w:type="dxa" w:w="80"/>
              <w:right w:type="dxa" w:w="100"/>
            </w:tcMar>
          </w:tcPr>
          <w:p>
            <w:pPr>
              <w:pStyle w:val="Tabla"/>
            </w:pPr>
            <w:r>
              <w:t xml:space="preserve">«Un pensador sistémico reconoce y prueba suposiciones»; su modelo es la escalera de inferencias: conclusiones y percepciones pueden no ser completas y hay que reconocer cuáles son y ponerlas a prueba antes de darlas por válidas.</w:t>
            </w:r>
          </w:p>
        </w:tc>
      </w:tr>
      <w:tr>
        <w:trPr>
          <w:cantSplit/>
          <w:tblHeader w:val="off"/>
        </w:trPr>
        <w:tc>
          <w:tcPr>
            <w:tcW w:type="dxa" w:w="4816"/>
            <w:tcMar>
              <w:top w:type="dxa" w:w="80"/>
              <w:left w:type="dxa" w:w="100"/>
              <w:bottom w:type="dxa" w:w="80"/>
              <w:right w:type="dxa" w:w="100"/>
            </w:tcMar>
          </w:tcPr>
          <w:p>
            <w:pPr>
              <w:pStyle w:val="Tabla"/>
            </w:pPr>
            <w:r>
              <w:t xml:space="preserve">considera cómo los modelos mentales afectan la realidad actual y futura (iceberg)</w:t>
            </w:r>
          </w:p>
        </w:tc>
        <w:tc>
          <w:tcPr>
            <w:tcW w:type="dxa" w:w="4816"/>
            <w:tcMar>
              <w:top w:type="dxa" w:w="80"/>
              <w:left w:type="dxa" w:w="100"/>
              <w:bottom w:type="dxa" w:w="80"/>
              <w:right w:type="dxa" w:w="100"/>
            </w:tcMar>
          </w:tcPr>
          <w:p>
            <w:pPr>
              <w:pStyle w:val="Tabla"/>
            </w:pPr>
            <w:r>
              <w:t xml:space="preserve">Referencia de estudio: Cuatro hábitos, y cada uno se reconoce por las preguntas que obliga a hacerse.</w:t>
            </w:r>
          </w:p>
        </w:tc>
      </w:tr>
      <w:tr>
        <w:trPr>
          <w:cantSplit/>
          <w:tblHeader w:val="off"/>
        </w:trPr>
        <w:tc>
          <w:tcPr>
            <w:tcW w:type="dxa" w:w="4816"/>
            <w:tcMar>
              <w:top w:type="dxa" w:w="80"/>
              <w:left w:type="dxa" w:w="100"/>
              <w:bottom w:type="dxa" w:w="80"/>
              <w:right w:type="dxa" w:w="100"/>
            </w:tcMar>
          </w:tcPr>
          <w:p>
            <w:pPr>
              <w:pStyle w:val="Tabla"/>
            </w:pPr>
            <w:r>
              <w:t xml:space="preserve">cambia las perspectivas para aumentar la comprensión («los zapatos de otro»)</w:t>
            </w:r>
          </w:p>
        </w:tc>
        <w:tc>
          <w:tcPr>
            <w:tcW w:type="dxa" w:w="4816"/>
            <w:tcMar>
              <w:top w:type="dxa" w:w="80"/>
              <w:left w:type="dxa" w:w="100"/>
              <w:bottom w:type="dxa" w:w="80"/>
              <w:right w:type="dxa" w:w="100"/>
            </w:tcMar>
          </w:tcPr>
          <w:p>
            <w:pPr>
              <w:pStyle w:val="Tabla"/>
            </w:pPr>
            <w:r>
              <w:t xml:space="preserve">«Un pensador sistémico cambia las perspectivas para aumentar la comprensión»: consciente de la escalera y de la eliminación, adopta temporalmente otras perspectivas, «los zapatos de otro», para ver qué elementos, relaciones e información no considera y recuperar lo que eliminó.</w:t>
            </w:r>
          </w:p>
        </w:tc>
      </w:tr>
      <w:tr>
        <w:trPr>
          <w:cantSplit/>
          <w:tblHeader w:val="off"/>
        </w:trPr>
        <w:tc>
          <w:tcPr>
            <w:tcW w:type="dxa" w:w="4816"/>
            <w:tcMar>
              <w:top w:type="dxa" w:w="80"/>
              <w:left w:type="dxa" w:w="100"/>
              <w:bottom w:type="dxa" w:w="80"/>
              <w:right w:type="dxa" w:w="100"/>
            </w:tcMar>
          </w:tcPr>
          <w:p>
            <w:pPr>
              <w:pStyle w:val="Tabla"/>
            </w:pPr>
            <w:r>
              <w:t xml:space="preserve">intenta entender la película completa (el bosque en vez del árbol)</w:t>
            </w:r>
          </w:p>
        </w:tc>
        <w:tc>
          <w:tcPr>
            <w:tcW w:type="dxa" w:w="4816"/>
            <w:tcMar>
              <w:top w:type="dxa" w:w="80"/>
              <w:left w:type="dxa" w:w="100"/>
              <w:bottom w:type="dxa" w:w="80"/>
              <w:right w:type="dxa" w:w="100"/>
            </w:tcMar>
          </w:tcPr>
          <w:p>
            <w:pPr>
              <w:pStyle w:val="Tabla"/>
            </w:pPr>
            <w:r>
              <w:t xml:space="preserve">«El pensador sistémico intenta entender la película completa», no un fragmento; percibir parcialmente produce decisiones parciales. Se centra en el bosque en vez de los detalles de cualquier árbol: sólo con detalles no se aprecia el sistema.</w:t>
            </w:r>
          </w:p>
        </w:tc>
      </w:tr>
      <w:tr>
        <w:trPr>
          <w:cantSplit/>
          <w:tblHeader w:val="off"/>
        </w:trPr>
        <w:tc>
          <w:tcPr>
            <w:tcW w:type="dxa" w:w="4816"/>
            <w:tcMar>
              <w:top w:type="dxa" w:w="80"/>
              <w:left w:type="dxa" w:w="100"/>
              <w:bottom w:type="dxa" w:w="80"/>
              <w:right w:type="dxa" w:w="100"/>
            </w:tcMar>
          </w:tcPr>
          <w:p>
            <w:pPr>
              <w:pStyle w:val="Tabla"/>
            </w:pPr>
            <w:r>
              <w:t xml:space="preserve">perspectiva del espectador (objetiva; vista panorámica)</w:t>
            </w:r>
          </w:p>
        </w:tc>
        <w:tc>
          <w:tcPr>
            <w:tcW w:type="dxa" w:w="4816"/>
            <w:tcMar>
              <w:top w:type="dxa" w:w="80"/>
              <w:left w:type="dxa" w:w="100"/>
              <w:bottom w:type="dxa" w:w="80"/>
              <w:right w:type="dxa" w:w="100"/>
            </w:tcMar>
          </w:tcPr>
          <w:p>
            <w:pPr>
              <w:pStyle w:val="Tabla"/>
            </w:pPr>
            <w:r>
              <w:t xml:space="preserve">Perspectiva del espectador: la objetiva, de película completa, que ve todo lo que hay que ver; «vista panorámica» que pierde detalles y aprecia la totalidad.</w:t>
            </w:r>
          </w:p>
        </w:tc>
      </w:tr>
      <w:tr>
        <w:trPr>
          <w:cantSplit/>
          <w:tblHeader w:val="off"/>
        </w:trPr>
        <w:tc>
          <w:tcPr>
            <w:tcW w:type="dxa" w:w="4816"/>
            <w:tcMar>
              <w:top w:type="dxa" w:w="80"/>
              <w:left w:type="dxa" w:w="100"/>
              <w:bottom w:type="dxa" w:w="80"/>
              <w:right w:type="dxa" w:w="100"/>
            </w:tcMar>
          </w:tcPr>
          <w:p>
            <w:pPr>
              <w:pStyle w:val="Tabla"/>
            </w:pPr>
            <w:r>
              <w:t xml:space="preserve">columna de la mano izquierda (O'Connor)</w:t>
            </w:r>
          </w:p>
        </w:tc>
        <w:tc>
          <w:tcPr>
            <w:tcW w:type="dxa" w:w="4816"/>
            <w:tcMar>
              <w:top w:type="dxa" w:w="80"/>
              <w:left w:type="dxa" w:w="100"/>
              <w:bottom w:type="dxa" w:w="80"/>
              <w:right w:type="dxa" w:w="100"/>
            </w:tcMar>
          </w:tcPr>
          <w:p>
            <w:pPr>
              <w:pStyle w:val="Tabla"/>
            </w:pPr>
            <w:r>
              <w:t xml:space="preserve">Columna de la mano izquierda (O'Connor): a la derecha de la hoja, la síntesis de lo que se dice; a la izquierda, lo que se cree y no se dice; a veces lo dicho no refleja lo creído, por eso los modelos mentales están al fondo.</w:t>
            </w:r>
          </w:p>
        </w:tc>
      </w:tr>
      <w:tr>
        <w:trPr>
          <w:cantSplit/>
          <w:tblHeader w:val="off"/>
        </w:trPr>
        <w:tc>
          <w:tcPr>
            <w:tcW w:type="dxa" w:w="4816"/>
            <w:tcMar>
              <w:top w:type="dxa" w:w="80"/>
              <w:left w:type="dxa" w:w="100"/>
              <w:bottom w:type="dxa" w:w="80"/>
              <w:right w:type="dxa" w:w="100"/>
            </w:tcMar>
          </w:tcPr>
          <w:p>
            <w:pPr>
              <w:pStyle w:val="Tabla"/>
            </w:pPr>
            <w:r>
              <w:t xml:space="preserve">creadores de teorías</w:t>
            </w:r>
          </w:p>
        </w:tc>
        <w:tc>
          <w:tcPr>
            <w:tcW w:type="dxa" w:w="4816"/>
            <w:tcMar>
              <w:top w:type="dxa" w:w="80"/>
              <w:left w:type="dxa" w:w="100"/>
              <w:bottom w:type="dxa" w:w="80"/>
              <w:right w:type="dxa" w:w="100"/>
            </w:tcMar>
          </w:tcPr>
          <w:p>
            <w:pPr>
              <w:pStyle w:val="Tabla"/>
            </w:pPr>
            <w:r>
              <w:t xml:space="preserve">Desde la clase 1: todos somos creadores de teorías, generales y sistémicas o incompletas bajo supuestos no comprobados; el pensador sistémico reconoce que las suyas pueden ser equivocadas o imprecisas y se abre a validarlas, ampliarlas o completarlas.</w:t>
            </w:r>
          </w:p>
        </w:tc>
      </w:tr>
    </w:tbl>
    <w:p>
      <w:pPr>
        <w:pStyle w:val="Fuente"/>
      </w:pPr>
      <w:r>
        <w:t xml:space="preserve">Véase </w:t>
      </w:r>
      <w:hyperlink w:history="1" w:anchor="b_1_8">
        <w:r>
          <w:rPr>
            <w:color w:val="156B70"/>
            <w:u w:val="single"/>
          </w:rPr>
          <w:t xml:space="preserve">1.8 · Hábitos del pensador</w:t>
        </w:r>
      </w:hyperlink>
      <w:r>
        <w:t xml:space="preserve">, pág. </w:t>
      </w:r>
      <w:r>
        <w:fldChar w:fldCharType="begin"/>
        <w:instrText xml:space="preserve">PAGEREF b_1_8 \h</w:instrText>
        <w:fldChar w:fldCharType="separate"/>
        <w:t xml:space="preserve">194</w:t>
        <w:fldChar w:fldCharType="end"/>
      </w:r>
      <w:r>
        <w:t xml:space="preserve">.</w:t>
      </w:r>
    </w:p>
    <w:p>
      <w:pPr>
        <w:pStyle w:val="Heading3"/>
      </w:pPr>
      <w:r>
        <w:t xml:space="preserve">2.1 · Visión general</w:t>
      </w:r>
    </w:p>
    <w:tbl>
      <w:tblPr>
        <w:tblW w:type="dxa" w:w="9632"/>
        <w:tblBorders>
          <w:top w:val="single" w:color="C5D5DB" w:sz="4"/>
          <w:left w:val="single" w:color="C5D5DB" w:sz="4"/>
          <w:bottom w:val="single" w:color="C5D5DB" w:sz="4"/>
          <w:right w:val="single" w:color="C5D5DB" w:sz="4"/>
          <w:insideH w:val="single" w:color="E4E9EB" w:sz="3"/>
          <w:insideV w:val="single" w:color="E4E9EB" w:sz="3"/>
        </w:tblBorders>
        <w:tblLayout w:type="fixed"/>
      </w:tblPr>
      <w:tblGrid>
        <w:gridCol w:w="4816"/>
        <w:gridCol w:w="4816"/>
      </w:tblGrid>
      <w:tr>
        <w:trPr>
          <w:cantSplit/>
          <w:tblHeader/>
        </w:trPr>
        <w:tc>
          <w:tcPr>
            <w:tcW w:type="dxa" w:w="4816"/>
            <w:shd w:fill="DFEAF0" w:val="clear"/>
            <w:tcMar>
              <w:top w:type="dxa" w:w="80"/>
              <w:left w:type="dxa" w:w="100"/>
              <w:bottom w:type="dxa" w:w="80"/>
              <w:right w:type="dxa" w:w="100"/>
            </w:tcMar>
          </w:tcPr>
          <w:p>
            <w:pPr>
              <w:pStyle w:val="Tabla"/>
            </w:pPr>
            <w:r>
              <w:rPr>
                <w:b/>
                <w:bCs/>
              </w:rPr>
              <w:t xml:space="preserve">Vocabulario del tema</w:t>
            </w:r>
          </w:p>
        </w:tc>
        <w:tc>
          <w:tcPr>
            <w:tcW w:type="dxa" w:w="4816"/>
            <w:shd w:fill="DFEAF0" w:val="clear"/>
            <w:tcMar>
              <w:top w:type="dxa" w:w="80"/>
              <w:left w:type="dxa" w:w="100"/>
              <w:bottom w:type="dxa" w:w="80"/>
              <w:right w:type="dxa" w:w="100"/>
            </w:tcMar>
          </w:tcPr>
          <w:p>
            <w:pPr>
              <w:pStyle w:val="Tabla"/>
            </w:pPr>
            <w:r>
              <w:rPr>
                <w:b/>
                <w:bCs/>
              </w:rPr>
              <w:t xml:space="preserve">Localización y contexto</w:t>
            </w:r>
          </w:p>
        </w:tc>
      </w:tr>
      <w:tr>
        <w:trPr>
          <w:cantSplit/>
          <w:tblHeader w:val="off"/>
        </w:trPr>
        <w:tc>
          <w:tcPr>
            <w:tcW w:type="dxa" w:w="4816"/>
            <w:tcMar>
              <w:top w:type="dxa" w:w="80"/>
              <w:left w:type="dxa" w:w="100"/>
              <w:bottom w:type="dxa" w:w="80"/>
              <w:right w:type="dxa" w:w="100"/>
            </w:tcMar>
          </w:tcPr>
          <w:p>
            <w:pPr>
              <w:pStyle w:val="Tabla"/>
            </w:pPr>
            <w:r>
              <w:t xml:space="preserve">totalidad (el todo, cualquier realidad vista entera)</w:t>
            </w:r>
          </w:p>
        </w:tc>
        <w:tc>
          <w:tcPr>
            <w:tcW w:type="dxa" w:w="4816"/>
            <w:tcMar>
              <w:top w:type="dxa" w:w="80"/>
              <w:left w:type="dxa" w:w="100"/>
              <w:bottom w:type="dxa" w:w="80"/>
              <w:right w:type="dxa" w:w="100"/>
            </w:tcMar>
          </w:tcPr>
          <w:p>
            <w:pPr>
              <w:pStyle w:val="Tabla"/>
            </w:pPr>
            <w:r>
              <w:t xml:space="preserve">Se define como percepción del mundo real en términos de totalidades para observar, comprender y actuar.</w:t>
            </w:r>
          </w:p>
        </w:tc>
      </w:tr>
      <w:tr>
        <w:trPr>
          <w:cantSplit/>
          <w:tblHeader w:val="off"/>
        </w:trPr>
        <w:tc>
          <w:tcPr>
            <w:tcW w:type="dxa" w:w="4816"/>
            <w:tcMar>
              <w:top w:type="dxa" w:w="80"/>
              <w:left w:type="dxa" w:w="100"/>
              <w:bottom w:type="dxa" w:w="80"/>
              <w:right w:type="dxa" w:w="100"/>
            </w:tcMar>
          </w:tcPr>
          <w:p>
            <w:pPr>
              <w:pStyle w:val="Tabla"/>
            </w:pPr>
            <w:r>
              <w:t xml:space="preserve">paradigma reduccionista (pensamiento analítico, simplista)</w:t>
            </w:r>
          </w:p>
        </w:tc>
        <w:tc>
          <w:tcPr>
            <w:tcW w:type="dxa" w:w="4816"/>
            <w:tcMar>
              <w:top w:type="dxa" w:w="80"/>
              <w:left w:type="dxa" w:w="100"/>
              <w:bottom w:type="dxa" w:w="80"/>
              <w:right w:type="dxa" w:w="100"/>
            </w:tcMar>
          </w:tcPr>
          <w:p>
            <w:pPr>
              <w:pStyle w:val="Tabla"/>
            </w:pPr>
            <w:r>
              <w:t xml:space="preserve">Referencia de estudio: El pensamiento sistémico se define mejor por contraste: frente al reduccionista, ve el todo.</w:t>
            </w:r>
          </w:p>
        </w:tc>
      </w:tr>
      <w:tr>
        <w:trPr>
          <w:cantSplit/>
          <w:tblHeader w:val="off"/>
        </w:trPr>
        <w:tc>
          <w:tcPr>
            <w:tcW w:type="dxa" w:w="4816"/>
            <w:tcMar>
              <w:top w:type="dxa" w:w="80"/>
              <w:left w:type="dxa" w:w="100"/>
              <w:bottom w:type="dxa" w:w="80"/>
              <w:right w:type="dxa" w:w="100"/>
            </w:tcMar>
          </w:tcPr>
          <w:p>
            <w:pPr>
              <w:pStyle w:val="Tabla"/>
            </w:pPr>
            <w:r>
              <w:t xml:space="preserve">análisis (descomponer en partes más simples)</w:t>
            </w:r>
          </w:p>
        </w:tc>
        <w:tc>
          <w:tcPr>
            <w:tcW w:type="dxa" w:w="4816"/>
            <w:tcMar>
              <w:top w:type="dxa" w:w="80"/>
              <w:left w:type="dxa" w:w="100"/>
              <w:bottom w:type="dxa" w:w="80"/>
              <w:right w:type="dxa" w:w="100"/>
            </w:tcMar>
          </w:tcPr>
          <w:p>
            <w:pPr>
              <w:pStyle w:val="Tabla"/>
            </w:pPr>
            <w:r>
              <w:t xml:space="preserve">Análisis: descomponer en partes más simples la realidad compleja; acerca a la información pero no basta, porque atiende los detalles y pierde la totalidad; se complementa con la síntesis, la perspectiva sistémica.</w:t>
            </w:r>
          </w:p>
        </w:tc>
      </w:tr>
      <w:tr>
        <w:trPr>
          <w:cantSplit/>
          <w:tblHeader w:val="off"/>
        </w:trPr>
        <w:tc>
          <w:tcPr>
            <w:tcW w:type="dxa" w:w="4816"/>
            <w:tcMar>
              <w:top w:type="dxa" w:w="80"/>
              <w:left w:type="dxa" w:w="100"/>
              <w:bottom w:type="dxa" w:w="80"/>
              <w:right w:type="dxa" w:w="100"/>
            </w:tcMar>
          </w:tcPr>
          <w:p>
            <w:pPr>
              <w:pStyle w:val="Tabla"/>
            </w:pPr>
            <w:r>
              <w:t xml:space="preserve">síntesis (pensamiento sintético, inductivo, holístico)</w:t>
            </w:r>
          </w:p>
        </w:tc>
        <w:tc>
          <w:tcPr>
            <w:tcW w:type="dxa" w:w="4816"/>
            <w:tcMar>
              <w:top w:type="dxa" w:w="80"/>
              <w:left w:type="dxa" w:w="100"/>
              <w:bottom w:type="dxa" w:w="80"/>
              <w:right w:type="dxa" w:w="100"/>
            </w:tcMar>
          </w:tcPr>
          <w:p>
            <w:pPr>
              <w:pStyle w:val="Tabla"/>
            </w:pPr>
            <w:r>
              <w:t xml:space="preserve">Síntesis combina componentes en una totalidad conectada y explica una entidad por su función y relaciones dentro del todo; el video la llama holística.</w:t>
            </w:r>
          </w:p>
        </w:tc>
      </w:tr>
      <w:tr>
        <w:trPr>
          <w:cantSplit/>
          <w:tblHeader w:val="off"/>
        </w:trPr>
        <w:tc>
          <w:tcPr>
            <w:tcW w:type="dxa" w:w="4816"/>
            <w:tcMar>
              <w:top w:type="dxa" w:w="80"/>
              <w:left w:type="dxa" w:w="100"/>
              <w:bottom w:type="dxa" w:w="80"/>
              <w:right w:type="dxa" w:w="100"/>
            </w:tcMar>
          </w:tcPr>
          <w:p>
            <w:pPr>
              <w:pStyle w:val="Tabla"/>
            </w:pPr>
            <w:r>
              <w:t xml:space="preserve">holístico (visión unitaria, integral, más completa)</w:t>
            </w:r>
          </w:p>
        </w:tc>
        <w:tc>
          <w:tcPr>
            <w:tcW w:type="dxa" w:w="4816"/>
            <w:tcMar>
              <w:top w:type="dxa" w:w="80"/>
              <w:left w:type="dxa" w:w="100"/>
              <w:bottom w:type="dxa" w:w="80"/>
              <w:right w:type="dxa" w:w="100"/>
            </w:tcMar>
          </w:tcPr>
          <w:p>
            <w:pPr>
              <w:pStyle w:val="Tabla"/>
            </w:pPr>
            <w:r>
              <w:t xml:space="preserve">Parcial frente a total u holístico.</w:t>
            </w:r>
          </w:p>
        </w:tc>
      </w:tr>
      <w:tr>
        <w:trPr>
          <w:cantSplit/>
          <w:tblHeader w:val="off"/>
        </w:trPr>
        <w:tc>
          <w:tcPr>
            <w:tcW w:type="dxa" w:w="4816"/>
            <w:tcMar>
              <w:top w:type="dxa" w:w="80"/>
              <w:left w:type="dxa" w:w="100"/>
              <w:bottom w:type="dxa" w:w="80"/>
              <w:right w:type="dxa" w:w="100"/>
            </w:tcMar>
          </w:tcPr>
          <w:p>
            <w:pPr>
              <w:pStyle w:val="Tabla"/>
            </w:pPr>
            <w:r>
              <w:t xml:space="preserve">enfoque sistémico (perspectiva sistémica)</w:t>
            </w:r>
          </w:p>
        </w:tc>
        <w:tc>
          <w:tcPr>
            <w:tcW w:type="dxa" w:w="4816"/>
            <w:tcMar>
              <w:top w:type="dxa" w:w="80"/>
              <w:left w:type="dxa" w:w="100"/>
              <w:bottom w:type="dxa" w:w="80"/>
              <w:right w:type="dxa" w:w="100"/>
            </w:tcMar>
          </w:tcPr>
          <w:p>
            <w:pPr>
              <w:pStyle w:val="Tabla"/>
            </w:pPr>
            <w:r>
              <w:t xml:space="preserve">El reduccionismo es simple; el enfoque sistémico es complejo.</w:t>
            </w:r>
          </w:p>
        </w:tc>
      </w:tr>
      <w:tr>
        <w:trPr>
          <w:cantSplit/>
          <w:tblHeader w:val="off"/>
        </w:trPr>
        <w:tc>
          <w:tcPr>
            <w:tcW w:type="dxa" w:w="4816"/>
            <w:tcMar>
              <w:top w:type="dxa" w:w="80"/>
              <w:left w:type="dxa" w:w="100"/>
              <w:bottom w:type="dxa" w:w="80"/>
              <w:right w:type="dxa" w:w="100"/>
            </w:tcMar>
          </w:tcPr>
          <w:p>
            <w:pPr>
              <w:pStyle w:val="Tabla"/>
            </w:pPr>
            <w:r>
              <w:t xml:space="preserve">énfasis en las relaciones</w:t>
            </w:r>
          </w:p>
        </w:tc>
        <w:tc>
          <w:tcPr>
            <w:tcW w:type="dxa" w:w="4816"/>
            <w:tcMar>
              <w:top w:type="dxa" w:w="80"/>
              <w:left w:type="dxa" w:w="100"/>
              <w:bottom w:type="dxa" w:w="80"/>
              <w:right w:type="dxa" w:w="100"/>
            </w:tcMar>
          </w:tcPr>
          <w:p>
            <w:pPr>
              <w:pStyle w:val="Tabla"/>
            </w:pPr>
            <w:r>
              <w:t xml:space="preserve">Referencia de estudio: El pensamiento sistémico se define mejor por contraste: frente al reduccionista, ve el todo.</w:t>
            </w:r>
          </w:p>
        </w:tc>
      </w:tr>
      <w:tr>
        <w:trPr>
          <w:cantSplit/>
          <w:tblHeader w:val="off"/>
        </w:trPr>
        <w:tc>
          <w:tcPr>
            <w:tcW w:type="dxa" w:w="4816"/>
            <w:tcMar>
              <w:top w:type="dxa" w:w="80"/>
              <w:left w:type="dxa" w:w="100"/>
              <w:bottom w:type="dxa" w:w="80"/>
              <w:right w:type="dxa" w:w="100"/>
            </w:tcMar>
          </w:tcPr>
          <w:p>
            <w:pPr>
              <w:pStyle w:val="Tabla"/>
            </w:pPr>
            <w:r>
              <w:t xml:space="preserve">propiedades emergentes</w:t>
            </w:r>
          </w:p>
        </w:tc>
        <w:tc>
          <w:tcPr>
            <w:tcW w:type="dxa" w:w="4816"/>
            <w:tcMar>
              <w:top w:type="dxa" w:w="80"/>
              <w:left w:type="dxa" w:w="100"/>
              <w:bottom w:type="dxa" w:w="80"/>
              <w:right w:type="dxa" w:w="100"/>
            </w:tcMar>
          </w:tcPr>
          <w:p>
            <w:pPr>
              <w:pStyle w:val="Tabla"/>
            </w:pPr>
            <w:r>
              <w:t xml:space="preserve">Comportamiento en las partes frente a propiedades emergentes del conjunto.</w:t>
            </w:r>
          </w:p>
        </w:tc>
      </w:tr>
      <w:tr>
        <w:trPr>
          <w:cantSplit/>
          <w:tblHeader w:val="off"/>
        </w:trPr>
        <w:tc>
          <w:tcPr>
            <w:tcW w:type="dxa" w:w="4816"/>
            <w:tcMar>
              <w:top w:type="dxa" w:w="80"/>
              <w:left w:type="dxa" w:w="100"/>
              <w:bottom w:type="dxa" w:w="80"/>
              <w:right w:type="dxa" w:w="100"/>
            </w:tcMar>
          </w:tcPr>
          <w:p>
            <w:pPr>
              <w:pStyle w:val="Tabla"/>
            </w:pPr>
            <w:r>
              <w:t xml:space="preserve">procesos operativos y evolutivos</w:t>
            </w:r>
          </w:p>
        </w:tc>
        <w:tc>
          <w:tcPr>
            <w:tcW w:type="dxa" w:w="4816"/>
            <w:tcMar>
              <w:top w:type="dxa" w:w="80"/>
              <w:left w:type="dxa" w:w="100"/>
              <w:bottom w:type="dxa" w:w="80"/>
              <w:right w:type="dxa" w:w="100"/>
            </w:tcMar>
          </w:tcPr>
          <w:p>
            <w:pPr>
              <w:pStyle w:val="Tabla"/>
            </w:pPr>
            <w:r>
              <w:t xml:space="preserve">El pensamiento sistémico no descarta partes; las necesita como extremos de relaciones que explican procesos operativos y evolutivos.</w:t>
            </w:r>
          </w:p>
        </w:tc>
      </w:tr>
      <w:tr>
        <w:trPr>
          <w:cantSplit/>
          <w:tblHeader w:val="off"/>
        </w:trPr>
        <w:tc>
          <w:tcPr>
            <w:tcW w:type="dxa" w:w="4816"/>
            <w:tcMar>
              <w:top w:type="dxa" w:w="80"/>
              <w:left w:type="dxa" w:w="100"/>
              <w:bottom w:type="dxa" w:w="80"/>
              <w:right w:type="dxa" w:w="100"/>
            </w:tcMar>
          </w:tcPr>
          <w:p>
            <w:pPr>
              <w:pStyle w:val="Tabla"/>
            </w:pPr>
            <w:r>
              <w:t xml:space="preserve">el bosque y el árbol</w:t>
            </w:r>
          </w:p>
        </w:tc>
        <w:tc>
          <w:tcPr>
            <w:tcW w:type="dxa" w:w="4816"/>
            <w:tcMar>
              <w:top w:type="dxa" w:w="80"/>
              <w:left w:type="dxa" w:w="100"/>
              <w:bottom w:type="dxa" w:w="80"/>
              <w:right w:type="dxa" w:w="100"/>
            </w:tcMar>
          </w:tcPr>
          <w:p>
            <w:pPr>
              <w:pStyle w:val="Tabla"/>
            </w:pPr>
            <w:r>
              <w:t xml:space="preserve">Referencia de estudio: El pensamiento sistémico se define mejor por contraste: frente al reduccionista, ve el todo.</w:t>
            </w:r>
          </w:p>
        </w:tc>
      </w:tr>
    </w:tbl>
    <w:p>
      <w:pPr>
        <w:pStyle w:val="Fuente"/>
      </w:pPr>
      <w:r>
        <w:t xml:space="preserve">Véase </w:t>
      </w:r>
      <w:hyperlink w:history="1" w:anchor="b_2_1">
        <w:r>
          <w:rPr>
            <w:color w:val="156B70"/>
            <w:u w:val="single"/>
          </w:rPr>
          <w:t xml:space="preserve">2.1 · Visión general</w:t>
        </w:r>
      </w:hyperlink>
      <w:r>
        <w:t xml:space="preserve">, pág. </w:t>
      </w:r>
      <w:r>
        <w:fldChar w:fldCharType="begin"/>
        <w:instrText xml:space="preserve">PAGEREF b_2_1 \h</w:instrText>
        <w:fldChar w:fldCharType="separate"/>
        <w:t xml:space="preserve">222</w:t>
        <w:fldChar w:fldCharType="end"/>
      </w:r>
      <w:r>
        <w:t xml:space="preserve">.</w:t>
      </w:r>
    </w:p>
    <w:p>
      <w:pPr>
        <w:pStyle w:val="Heading3"/>
      </w:pPr>
      <w:r>
        <w:t xml:space="preserve">2.2 · Conceptos de un sistema</w:t>
      </w:r>
    </w:p>
    <w:tbl>
      <w:tblPr>
        <w:tblW w:type="dxa" w:w="9632"/>
        <w:tblBorders>
          <w:top w:val="single" w:color="C5D5DB" w:sz="4"/>
          <w:left w:val="single" w:color="C5D5DB" w:sz="4"/>
          <w:bottom w:val="single" w:color="C5D5DB" w:sz="4"/>
          <w:right w:val="single" w:color="C5D5DB" w:sz="4"/>
          <w:insideH w:val="single" w:color="E4E9EB" w:sz="3"/>
          <w:insideV w:val="single" w:color="E4E9EB" w:sz="3"/>
        </w:tblBorders>
        <w:tblLayout w:type="fixed"/>
      </w:tblPr>
      <w:tblGrid>
        <w:gridCol w:w="4816"/>
        <w:gridCol w:w="4816"/>
      </w:tblGrid>
      <w:tr>
        <w:trPr>
          <w:cantSplit/>
          <w:tblHeader/>
        </w:trPr>
        <w:tc>
          <w:tcPr>
            <w:tcW w:type="dxa" w:w="4816"/>
            <w:shd w:fill="DFEAF0" w:val="clear"/>
            <w:tcMar>
              <w:top w:type="dxa" w:w="80"/>
              <w:left w:type="dxa" w:w="100"/>
              <w:bottom w:type="dxa" w:w="80"/>
              <w:right w:type="dxa" w:w="100"/>
            </w:tcMar>
          </w:tcPr>
          <w:p>
            <w:pPr>
              <w:pStyle w:val="Tabla"/>
            </w:pPr>
            <w:r>
              <w:rPr>
                <w:b/>
                <w:bCs/>
              </w:rPr>
              <w:t xml:space="preserve">Vocabulario del tema</w:t>
            </w:r>
          </w:p>
        </w:tc>
        <w:tc>
          <w:tcPr>
            <w:tcW w:type="dxa" w:w="4816"/>
            <w:shd w:fill="DFEAF0" w:val="clear"/>
            <w:tcMar>
              <w:top w:type="dxa" w:w="80"/>
              <w:left w:type="dxa" w:w="100"/>
              <w:bottom w:type="dxa" w:w="80"/>
              <w:right w:type="dxa" w:w="100"/>
            </w:tcMar>
          </w:tcPr>
          <w:p>
            <w:pPr>
              <w:pStyle w:val="Tabla"/>
            </w:pPr>
            <w:r>
              <w:rPr>
                <w:b/>
                <w:bCs/>
              </w:rPr>
              <w:t xml:space="preserve">Localización y contexto</w:t>
            </w:r>
          </w:p>
        </w:tc>
      </w:tr>
      <w:tr>
        <w:trPr>
          <w:cantSplit/>
          <w:tblHeader w:val="off"/>
        </w:trPr>
        <w:tc>
          <w:tcPr>
            <w:tcW w:type="dxa" w:w="4816"/>
            <w:tcMar>
              <w:top w:type="dxa" w:w="80"/>
              <w:left w:type="dxa" w:w="100"/>
              <w:bottom w:type="dxa" w:w="80"/>
              <w:right w:type="dxa" w:w="100"/>
            </w:tcMar>
          </w:tcPr>
          <w:p>
            <w:pPr>
              <w:pStyle w:val="Tabla"/>
            </w:pPr>
            <w:r>
              <w:t xml:space="preserve">sistema (conjunto de partes o elementos que interactúan)</w:t>
            </w:r>
          </w:p>
        </w:tc>
        <w:tc>
          <w:tcPr>
            <w:tcW w:type="dxa" w:w="4816"/>
            <w:tcMar>
              <w:top w:type="dxa" w:w="80"/>
              <w:left w:type="dxa" w:w="100"/>
              <w:bottom w:type="dxa" w:w="80"/>
              <w:right w:type="dxa" w:w="100"/>
            </w:tcMar>
          </w:tcPr>
          <w:p>
            <w:pPr>
              <w:pStyle w:val="Tabla"/>
            </w:pPr>
            <w:r>
              <w:t xml:space="preserve">Sistema: partes interconectadas como todo; montón: serie de partes.</w:t>
            </w:r>
          </w:p>
        </w:tc>
      </w:tr>
      <w:tr>
        <w:trPr>
          <w:cantSplit/>
          <w:tblHeader w:val="off"/>
        </w:trPr>
        <w:tc>
          <w:tcPr>
            <w:tcW w:type="dxa" w:w="4816"/>
            <w:tcMar>
              <w:top w:type="dxa" w:w="80"/>
              <w:left w:type="dxa" w:w="100"/>
              <w:bottom w:type="dxa" w:w="80"/>
              <w:right w:type="dxa" w:w="100"/>
            </w:tcMar>
          </w:tcPr>
          <w:p>
            <w:pPr>
              <w:pStyle w:val="Tabla"/>
            </w:pPr>
            <w:r>
              <w:t xml:space="preserve">totalidad (el todo: partes más relaciones)</w:t>
            </w:r>
          </w:p>
        </w:tc>
        <w:tc>
          <w:tcPr>
            <w:tcW w:type="dxa" w:w="4816"/>
            <w:tcMar>
              <w:top w:type="dxa" w:w="80"/>
              <w:left w:type="dxa" w:w="100"/>
              <w:bottom w:type="dxa" w:w="80"/>
              <w:right w:type="dxa" w:w="100"/>
            </w:tcMar>
          </w:tcPr>
          <w:p>
            <w:pPr>
              <w:pStyle w:val="Tabla"/>
            </w:pPr>
            <w:r>
              <w:t xml:space="preserve">Totalidad o todo integra partes y relaciones.</w:t>
            </w:r>
          </w:p>
        </w:tc>
      </w:tr>
      <w:tr>
        <w:trPr>
          <w:cantSplit/>
          <w:tblHeader w:val="off"/>
        </w:trPr>
        <w:tc>
          <w:tcPr>
            <w:tcW w:type="dxa" w:w="4816"/>
            <w:tcMar>
              <w:top w:type="dxa" w:w="80"/>
              <w:left w:type="dxa" w:w="100"/>
              <w:bottom w:type="dxa" w:w="80"/>
              <w:right w:type="dxa" w:w="100"/>
            </w:tcMar>
          </w:tcPr>
          <w:p>
            <w:pPr>
              <w:pStyle w:val="Tabla"/>
            </w:pPr>
            <w:r>
              <w:t xml:space="preserve">componentes (partes, elementos, subsistemas)</w:t>
            </w:r>
          </w:p>
        </w:tc>
        <w:tc>
          <w:tcPr>
            <w:tcW w:type="dxa" w:w="4816"/>
            <w:tcMar>
              <w:top w:type="dxa" w:w="80"/>
              <w:left w:type="dxa" w:w="100"/>
              <w:bottom w:type="dxa" w:w="80"/>
              <w:right w:type="dxa" w:w="100"/>
            </w:tcMar>
          </w:tcPr>
          <w:p>
            <w:pPr>
              <w:pStyle w:val="Tabla"/>
            </w:pPr>
            <w:r>
              <w:t xml:space="preserve">Componentes, partes o elementos pueden ser subsistemas.</w:t>
            </w:r>
          </w:p>
        </w:tc>
      </w:tr>
      <w:tr>
        <w:trPr>
          <w:cantSplit/>
          <w:tblHeader w:val="off"/>
        </w:trPr>
        <w:tc>
          <w:tcPr>
            <w:tcW w:type="dxa" w:w="4816"/>
            <w:tcMar>
              <w:top w:type="dxa" w:w="80"/>
              <w:left w:type="dxa" w:w="100"/>
              <w:bottom w:type="dxa" w:w="80"/>
              <w:right w:type="dxa" w:w="100"/>
            </w:tcMar>
          </w:tcPr>
          <w:p>
            <w:pPr>
              <w:pStyle w:val="Tabla"/>
            </w:pPr>
            <w:r>
              <w:t xml:space="preserve">relaciones (interacciones: «dan vida al sistema»)</w:t>
            </w:r>
          </w:p>
        </w:tc>
        <w:tc>
          <w:tcPr>
            <w:tcW w:type="dxa" w:w="4816"/>
            <w:tcMar>
              <w:top w:type="dxa" w:w="80"/>
              <w:left w:type="dxa" w:w="100"/>
              <w:bottom w:type="dxa" w:w="80"/>
              <w:right w:type="dxa" w:w="100"/>
            </w:tcMar>
          </w:tcPr>
          <w:p>
            <w:pPr>
              <w:pStyle w:val="Tabla"/>
            </w:pPr>
            <w:r>
              <w:t xml:space="preserve">Relaciones se expresan como interacciones, conexiones e interdependencias.</w:t>
            </w:r>
          </w:p>
        </w:tc>
      </w:tr>
      <w:tr>
        <w:trPr>
          <w:cantSplit/>
          <w:tblHeader w:val="off"/>
        </w:trPr>
        <w:tc>
          <w:tcPr>
            <w:tcW w:type="dxa" w:w="4816"/>
            <w:tcMar>
              <w:top w:type="dxa" w:w="80"/>
              <w:left w:type="dxa" w:w="100"/>
              <w:bottom w:type="dxa" w:w="80"/>
              <w:right w:type="dxa" w:w="100"/>
            </w:tcMar>
          </w:tcPr>
          <w:p>
            <w:pPr>
              <w:pStyle w:val="Tabla"/>
            </w:pPr>
            <w:r>
              <w:t xml:space="preserve">objetivo (meta, razón de ser)</w:t>
            </w:r>
          </w:p>
        </w:tc>
        <w:tc>
          <w:tcPr>
            <w:tcW w:type="dxa" w:w="4816"/>
            <w:tcMar>
              <w:top w:type="dxa" w:w="80"/>
              <w:left w:type="dxa" w:w="100"/>
              <w:bottom w:type="dxa" w:w="80"/>
              <w:right w:type="dxa" w:w="100"/>
            </w:tcMar>
          </w:tcPr>
          <w:p>
            <w:pPr>
              <w:pStyle w:val="Tabla"/>
            </w:pPr>
            <w:r>
              <w:t xml:space="preserve">Objetivos, metas y razón de ser forman parte del vocabulario general.</w:t>
            </w:r>
          </w:p>
        </w:tc>
      </w:tr>
      <w:tr>
        <w:trPr>
          <w:cantSplit/>
          <w:tblHeader w:val="off"/>
        </w:trPr>
        <w:tc>
          <w:tcPr>
            <w:tcW w:type="dxa" w:w="4816"/>
            <w:tcMar>
              <w:top w:type="dxa" w:w="80"/>
              <w:left w:type="dxa" w:w="100"/>
              <w:bottom w:type="dxa" w:w="80"/>
              <w:right w:type="dxa" w:w="100"/>
            </w:tcMar>
          </w:tcPr>
          <w:p>
            <w:pPr>
              <w:pStyle w:val="Tabla"/>
            </w:pPr>
            <w:r>
              <w:t xml:space="preserve">evolución (el tiempo: no una fotografía)</w:t>
            </w:r>
          </w:p>
        </w:tc>
        <w:tc>
          <w:tcPr>
            <w:tcW w:type="dxa" w:w="4816"/>
            <w:tcMar>
              <w:top w:type="dxa" w:w="80"/>
              <w:left w:type="dxa" w:w="100"/>
              <w:bottom w:type="dxa" w:w="80"/>
              <w:right w:type="dxa" w:w="100"/>
            </w:tcMar>
          </w:tcPr>
          <w:p>
            <w:pPr>
              <w:pStyle w:val="Tabla"/>
            </w:pPr>
            <w:r>
              <w:t xml:space="preserve">Evolución y tiempo: el sistema no es una fotografía; muchas conexiones sólo se ven en la dinámica, y las de siglos son las más difíciles.</w:t>
            </w:r>
          </w:p>
        </w:tc>
      </w:tr>
      <w:tr>
        <w:trPr>
          <w:cantSplit/>
          <w:tblHeader w:val="off"/>
        </w:trPr>
        <w:tc>
          <w:tcPr>
            <w:tcW w:type="dxa" w:w="4816"/>
            <w:tcMar>
              <w:top w:type="dxa" w:w="80"/>
              <w:left w:type="dxa" w:w="100"/>
              <w:bottom w:type="dxa" w:w="80"/>
              <w:right w:type="dxa" w:w="100"/>
            </w:tcMar>
          </w:tcPr>
          <w:p>
            <w:pPr>
              <w:pStyle w:val="Tabla"/>
            </w:pPr>
            <w:r>
              <w:t xml:space="preserve">entorno (contexto, ambiente, medio) y frontera (límite)</w:t>
            </w:r>
          </w:p>
        </w:tc>
        <w:tc>
          <w:tcPr>
            <w:tcW w:type="dxa" w:w="4816"/>
            <w:tcMar>
              <w:top w:type="dxa" w:w="80"/>
              <w:left w:type="dxa" w:w="100"/>
              <w:bottom w:type="dxa" w:w="80"/>
              <w:right w:type="dxa" w:w="100"/>
            </w:tcMar>
          </w:tcPr>
          <w:p>
            <w:pPr>
              <w:pStyle w:val="Tabla"/>
            </w:pPr>
            <w:r>
              <w:t xml:space="preserve">Le Moigne: objeto con fines, entorno, actividad y estructura que evoluciona sin perder identidad.</w:t>
            </w:r>
          </w:p>
        </w:tc>
      </w:tr>
      <w:tr>
        <w:trPr>
          <w:cantSplit/>
          <w:tblHeader w:val="off"/>
        </w:trPr>
        <w:tc>
          <w:tcPr>
            <w:tcW w:type="dxa" w:w="4816"/>
            <w:tcMar>
              <w:top w:type="dxa" w:w="80"/>
              <w:left w:type="dxa" w:w="100"/>
              <w:bottom w:type="dxa" w:w="80"/>
              <w:right w:type="dxa" w:w="100"/>
            </w:tcMar>
          </w:tcPr>
          <w:p>
            <w:pPr>
              <w:pStyle w:val="Tabla"/>
            </w:pPr>
            <w:r>
              <w:t xml:space="preserve">estructura organizada (procedimientos, principios, serie de pasos)</w:t>
            </w:r>
          </w:p>
        </w:tc>
        <w:tc>
          <w:tcPr>
            <w:tcW w:type="dxa" w:w="4816"/>
            <w:tcMar>
              <w:top w:type="dxa" w:w="80"/>
              <w:left w:type="dxa" w:w="100"/>
              <w:bottom w:type="dxa" w:w="80"/>
              <w:right w:type="dxa" w:w="100"/>
            </w:tcMar>
          </w:tcPr>
          <w:p>
            <w:pPr>
              <w:pStyle w:val="Tabla"/>
            </w:pPr>
            <w:r>
              <w:t xml:space="preserve">Estructura organizada: cómo partes y relaciones se ordenan y cómo se transforman las entradas del medio (se desarrolla en 2.3); entradas y salidas: la salida de un sistema es entrada de otro, «un gran mapa de entradas y salidas».</w:t>
            </w:r>
          </w:p>
        </w:tc>
      </w:tr>
      <w:tr>
        <w:trPr>
          <w:cantSplit/>
          <w:tblHeader w:val="off"/>
        </w:trPr>
        <w:tc>
          <w:tcPr>
            <w:tcW w:type="dxa" w:w="4816"/>
            <w:tcMar>
              <w:top w:type="dxa" w:w="80"/>
              <w:left w:type="dxa" w:w="100"/>
              <w:bottom w:type="dxa" w:w="80"/>
              <w:right w:type="dxa" w:w="100"/>
            </w:tcMar>
          </w:tcPr>
          <w:p>
            <w:pPr>
              <w:pStyle w:val="Tabla"/>
            </w:pPr>
            <w:r>
              <w:t xml:space="preserve">entradas y salidas (proceso de transformación)</w:t>
            </w:r>
          </w:p>
        </w:tc>
        <w:tc>
          <w:tcPr>
            <w:tcW w:type="dxa" w:w="4816"/>
            <w:tcMar>
              <w:top w:type="dxa" w:w="80"/>
              <w:left w:type="dxa" w:w="100"/>
              <w:bottom w:type="dxa" w:w="80"/>
              <w:right w:type="dxa" w:w="100"/>
            </w:tcMar>
          </w:tcPr>
          <w:p>
            <w:pPr>
              <w:pStyle w:val="Tabla"/>
            </w:pPr>
            <w:r>
              <w:t xml:space="preserve">Comprenderlo por completo exige ver elementos y relaciones en varios niveles: físico, temporal y entre totalidades que interactúan por entradas y salidas.</w:t>
            </w:r>
          </w:p>
        </w:tc>
      </w:tr>
      <w:tr>
        <w:trPr>
          <w:cantSplit/>
          <w:tblHeader w:val="off"/>
        </w:trPr>
        <w:tc>
          <w:tcPr>
            <w:tcW w:type="dxa" w:w="4816"/>
            <w:tcMar>
              <w:top w:type="dxa" w:w="80"/>
              <w:left w:type="dxa" w:w="100"/>
              <w:bottom w:type="dxa" w:w="80"/>
              <w:right w:type="dxa" w:w="100"/>
            </w:tcMar>
          </w:tcPr>
          <w:p>
            <w:pPr>
              <w:pStyle w:val="Tabla"/>
            </w:pPr>
            <w:r>
              <w:t xml:space="preserve">montón o conglomerado</w:t>
            </w:r>
          </w:p>
        </w:tc>
        <w:tc>
          <w:tcPr>
            <w:tcW w:type="dxa" w:w="4816"/>
            <w:tcMar>
              <w:top w:type="dxa" w:w="80"/>
              <w:left w:type="dxa" w:w="100"/>
              <w:bottom w:type="dxa" w:w="80"/>
              <w:right w:type="dxa" w:w="100"/>
            </w:tcMar>
          </w:tcPr>
          <w:p>
            <w:pPr>
              <w:pStyle w:val="Tabla"/>
            </w:pPr>
            <w:r>
              <w:t xml:space="preserve">Referencia de estudio: Un sistema es una totalidad: partes más relaciones, con objetivo, frontera, entradas y salidas.</w:t>
            </w:r>
          </w:p>
        </w:tc>
      </w:tr>
    </w:tbl>
    <w:p>
      <w:pPr>
        <w:pStyle w:val="Fuente"/>
      </w:pPr>
      <w:r>
        <w:t xml:space="preserve">Véase </w:t>
      </w:r>
      <w:hyperlink w:history="1" w:anchor="b_2_2">
        <w:r>
          <w:rPr>
            <w:color w:val="156B70"/>
            <w:u w:val="single"/>
          </w:rPr>
          <w:t xml:space="preserve">2.2 · Conceptos de un sistema</w:t>
        </w:r>
      </w:hyperlink>
      <w:r>
        <w:t xml:space="preserve">, pág. </w:t>
      </w:r>
      <w:r>
        <w:fldChar w:fldCharType="begin"/>
        <w:instrText xml:space="preserve">PAGEREF b_2_2 \h</w:instrText>
        <w:fldChar w:fldCharType="separate"/>
        <w:t xml:space="preserve">242</w:t>
        <w:fldChar w:fldCharType="end"/>
      </w:r>
      <w:r>
        <w:t xml:space="preserve">.</w:t>
      </w:r>
    </w:p>
    <w:p>
      <w:pPr>
        <w:pStyle w:val="Heading3"/>
      </w:pPr>
      <w:r>
        <w:t xml:space="preserve">2.3 · Estructura de los sistemas</w:t>
      </w:r>
    </w:p>
    <w:tbl>
      <w:tblPr>
        <w:tblW w:type="dxa" w:w="9632"/>
        <w:tblBorders>
          <w:top w:val="single" w:color="C5D5DB" w:sz="4"/>
          <w:left w:val="single" w:color="C5D5DB" w:sz="4"/>
          <w:bottom w:val="single" w:color="C5D5DB" w:sz="4"/>
          <w:right w:val="single" w:color="C5D5DB" w:sz="4"/>
          <w:insideH w:val="single" w:color="E4E9EB" w:sz="3"/>
          <w:insideV w:val="single" w:color="E4E9EB" w:sz="3"/>
        </w:tblBorders>
        <w:tblLayout w:type="fixed"/>
      </w:tblPr>
      <w:tblGrid>
        <w:gridCol w:w="4816"/>
        <w:gridCol w:w="4816"/>
      </w:tblGrid>
      <w:tr>
        <w:trPr>
          <w:cantSplit/>
          <w:tblHeader/>
        </w:trPr>
        <w:tc>
          <w:tcPr>
            <w:tcW w:type="dxa" w:w="4816"/>
            <w:shd w:fill="DFEAF0" w:val="clear"/>
            <w:tcMar>
              <w:top w:type="dxa" w:w="80"/>
              <w:left w:type="dxa" w:w="100"/>
              <w:bottom w:type="dxa" w:w="80"/>
              <w:right w:type="dxa" w:w="100"/>
            </w:tcMar>
          </w:tcPr>
          <w:p>
            <w:pPr>
              <w:pStyle w:val="Tabla"/>
            </w:pPr>
            <w:r>
              <w:rPr>
                <w:b/>
                <w:bCs/>
              </w:rPr>
              <w:t xml:space="preserve">Vocabulario del tema</w:t>
            </w:r>
          </w:p>
        </w:tc>
        <w:tc>
          <w:tcPr>
            <w:tcW w:type="dxa" w:w="4816"/>
            <w:shd w:fill="DFEAF0" w:val="clear"/>
            <w:tcMar>
              <w:top w:type="dxa" w:w="80"/>
              <w:left w:type="dxa" w:w="100"/>
              <w:bottom w:type="dxa" w:w="80"/>
              <w:right w:type="dxa" w:w="100"/>
            </w:tcMar>
          </w:tcPr>
          <w:p>
            <w:pPr>
              <w:pStyle w:val="Tabla"/>
            </w:pPr>
            <w:r>
              <w:rPr>
                <w:b/>
                <w:bCs/>
              </w:rPr>
              <w:t xml:space="preserve">Localización y contexto</w:t>
            </w:r>
          </w:p>
        </w:tc>
      </w:tr>
      <w:tr>
        <w:trPr>
          <w:cantSplit/>
          <w:tblHeader w:val="off"/>
        </w:trPr>
        <w:tc>
          <w:tcPr>
            <w:tcW w:type="dxa" w:w="4816"/>
            <w:tcMar>
              <w:top w:type="dxa" w:w="80"/>
              <w:left w:type="dxa" w:w="100"/>
              <w:bottom w:type="dxa" w:w="80"/>
              <w:right w:type="dxa" w:w="100"/>
            </w:tcMar>
          </w:tcPr>
          <w:p>
            <w:pPr>
              <w:pStyle w:val="Tabla"/>
            </w:pPr>
            <w:r>
              <w:t xml:space="preserve">estructura (organizada, interna, relacional)</w:t>
            </w:r>
          </w:p>
        </w:tc>
        <w:tc>
          <w:tcPr>
            <w:tcW w:type="dxa" w:w="4816"/>
            <w:tcMar>
              <w:top w:type="dxa" w:w="80"/>
              <w:left w:type="dxa" w:w="100"/>
              <w:bottom w:type="dxa" w:w="80"/>
              <w:right w:type="dxa" w:w="100"/>
            </w:tcMar>
          </w:tcPr>
          <w:p>
            <w:pPr>
              <w:pStyle w:val="Tabla"/>
            </w:pPr>
            <w:r>
              <w:t xml:space="preserve">Estructura organizada: concepto de la teoría de sistemas que describe cómo partes y relaciones se ordenan y cómo se transforman las entradas del medio; la estructura interna genera los comportamientos (procedimientos, principios de trabajo, series de pasos).</w:t>
            </w:r>
          </w:p>
        </w:tc>
      </w:tr>
      <w:tr>
        <w:trPr>
          <w:cantSplit/>
          <w:tblHeader w:val="off"/>
        </w:trPr>
        <w:tc>
          <w:tcPr>
            <w:tcW w:type="dxa" w:w="4816"/>
            <w:tcMar>
              <w:top w:type="dxa" w:w="80"/>
              <w:left w:type="dxa" w:w="100"/>
              <w:bottom w:type="dxa" w:w="80"/>
              <w:right w:type="dxa" w:w="100"/>
            </w:tcMar>
          </w:tcPr>
          <w:p>
            <w:pPr>
              <w:pStyle w:val="Tabla"/>
            </w:pPr>
            <w:r>
              <w:t xml:space="preserve">relaciones causales (interacciones que determinan el comportamiento)</w:t>
            </w:r>
          </w:p>
        </w:tc>
        <w:tc>
          <w:tcPr>
            <w:tcW w:type="dxa" w:w="4816"/>
            <w:tcMar>
              <w:top w:type="dxa" w:w="80"/>
              <w:left w:type="dxa" w:w="100"/>
              <w:bottom w:type="dxa" w:w="80"/>
              <w:right w:type="dxa" w:w="100"/>
            </w:tcMar>
          </w:tcPr>
          <w:p>
            <w:pPr>
              <w:pStyle w:val="Tabla"/>
            </w:pPr>
            <w:r>
              <w:t xml:space="preserve">Cada parte interactúa con las demás, «como dice la definición de sistema»: esas interacciones son relaciones causales que determinan el comportamiento de cada parte y el global; la estructura representa esas interacciones y comportamientos.</w:t>
            </w:r>
          </w:p>
        </w:tc>
      </w:tr>
      <w:tr>
        <w:trPr>
          <w:cantSplit/>
          <w:tblHeader w:val="off"/>
        </w:trPr>
        <w:tc>
          <w:tcPr>
            <w:tcW w:type="dxa" w:w="4816"/>
            <w:tcMar>
              <w:top w:type="dxa" w:w="80"/>
              <w:left w:type="dxa" w:w="100"/>
              <w:bottom w:type="dxa" w:w="80"/>
              <w:right w:type="dxa" w:w="100"/>
            </w:tcMar>
          </w:tcPr>
          <w:p>
            <w:pPr>
              <w:pStyle w:val="Tabla"/>
            </w:pPr>
            <w:r>
              <w:t xml:space="preserve">perspectiva ontológica (estructural, orgánica: «una fotografía»)</w:t>
            </w:r>
          </w:p>
        </w:tc>
        <w:tc>
          <w:tcPr>
            <w:tcW w:type="dxa" w:w="4816"/>
            <w:tcMar>
              <w:top w:type="dxa" w:w="80"/>
              <w:left w:type="dxa" w:w="100"/>
              <w:bottom w:type="dxa" w:w="80"/>
              <w:right w:type="dxa" w:w="100"/>
            </w:tcMar>
          </w:tcPr>
          <w:p>
            <w:pPr>
              <w:pStyle w:val="Tabla"/>
            </w:pPr>
            <w:r>
              <w:t xml:space="preserve">Perspectiva ontológica pregunta qué partes y relaciones constituyen su estructura.</w:t>
            </w:r>
          </w:p>
        </w:tc>
      </w:tr>
      <w:tr>
        <w:trPr>
          <w:cantSplit/>
          <w:tblHeader w:val="off"/>
        </w:trPr>
        <w:tc>
          <w:tcPr>
            <w:tcW w:type="dxa" w:w="4816"/>
            <w:tcMar>
              <w:top w:type="dxa" w:w="80"/>
              <w:left w:type="dxa" w:w="100"/>
              <w:bottom w:type="dxa" w:w="80"/>
              <w:right w:type="dxa" w:w="100"/>
            </w:tcMar>
          </w:tcPr>
          <w:p>
            <w:pPr>
              <w:pStyle w:val="Tabla"/>
            </w:pPr>
            <w:r>
              <w:t xml:space="preserve">perspectiva funcional (dinámica: entradas, procesos, salidas)</w:t>
            </w:r>
          </w:p>
        </w:tc>
        <w:tc>
          <w:tcPr>
            <w:tcW w:type="dxa" w:w="4816"/>
            <w:tcMar>
              <w:top w:type="dxa" w:w="80"/>
              <w:left w:type="dxa" w:w="100"/>
              <w:bottom w:type="dxa" w:w="80"/>
              <w:right w:type="dxa" w:w="100"/>
            </w:tcMar>
          </w:tcPr>
          <w:p>
            <w:pPr>
              <w:pStyle w:val="Tabla"/>
            </w:pPr>
            <w:r>
              <w:t xml:space="preserve">Perspectiva funcional pregunta qué recibe, transforma y entrega.</w:t>
            </w:r>
          </w:p>
        </w:tc>
      </w:tr>
      <w:tr>
        <w:trPr>
          <w:cantSplit/>
          <w:tblHeader w:val="off"/>
        </w:trPr>
        <w:tc>
          <w:tcPr>
            <w:tcW w:type="dxa" w:w="4816"/>
            <w:tcMar>
              <w:top w:type="dxa" w:w="80"/>
              <w:left w:type="dxa" w:w="100"/>
              <w:bottom w:type="dxa" w:w="80"/>
              <w:right w:type="dxa" w:w="100"/>
            </w:tcMar>
          </w:tcPr>
          <w:p>
            <w:pPr>
              <w:pStyle w:val="Tabla"/>
            </w:pPr>
            <w:r>
              <w:t xml:space="preserve">perspectiva genética (evolutiva: los grandes estados)</w:t>
            </w:r>
          </w:p>
        </w:tc>
        <w:tc>
          <w:tcPr>
            <w:tcW w:type="dxa" w:w="4816"/>
            <w:tcMar>
              <w:top w:type="dxa" w:w="80"/>
              <w:left w:type="dxa" w:w="100"/>
              <w:bottom w:type="dxa" w:w="80"/>
              <w:right w:type="dxa" w:w="100"/>
            </w:tcMar>
          </w:tcPr>
          <w:p>
            <w:pPr>
              <w:pStyle w:val="Tabla"/>
            </w:pPr>
            <w:r>
              <w:t xml:space="preserve">Perspectiva genética pregunta por origen y estados a lo largo del tiempo.</w:t>
            </w:r>
          </w:p>
        </w:tc>
      </w:tr>
      <w:tr>
        <w:trPr>
          <w:cantSplit/>
          <w:tblHeader w:val="off"/>
        </w:trPr>
        <w:tc>
          <w:tcPr>
            <w:tcW w:type="dxa" w:w="4816"/>
            <w:tcMar>
              <w:top w:type="dxa" w:w="80"/>
              <w:left w:type="dxa" w:w="100"/>
              <w:bottom w:type="dxa" w:w="80"/>
              <w:right w:type="dxa" w:w="100"/>
            </w:tcMar>
          </w:tcPr>
          <w:p>
            <w:pPr>
              <w:pStyle w:val="Tabla"/>
            </w:pPr>
            <w:r>
              <w:t xml:space="preserve">topologías (jerárquica, matricial, circular, lineal, centralizada, descentralizada)</w:t>
            </w:r>
          </w:p>
        </w:tc>
        <w:tc>
          <w:tcPr>
            <w:tcW w:type="dxa" w:w="4816"/>
            <w:tcMar>
              <w:top w:type="dxa" w:w="80"/>
              <w:left w:type="dxa" w:w="100"/>
              <w:bottom w:type="dxa" w:w="80"/>
              <w:right w:type="dxa" w:w="100"/>
            </w:tcMar>
          </w:tcPr>
          <w:p>
            <w:pPr>
              <w:pStyle w:val="Tabla"/>
            </w:pPr>
            <w:r>
              <w:t xml:space="preserve">Las topologías son estáticas; no se infieren causalidad, polaridad, eficiencia ni vulnerabilidad de líneas sin flechas.</w:t>
            </w:r>
          </w:p>
        </w:tc>
      </w:tr>
      <w:tr>
        <w:trPr>
          <w:cantSplit/>
          <w:tblHeader w:val="off"/>
        </w:trPr>
        <w:tc>
          <w:tcPr>
            <w:tcW w:type="dxa" w:w="4816"/>
            <w:tcMar>
              <w:top w:type="dxa" w:w="80"/>
              <w:left w:type="dxa" w:w="100"/>
              <w:bottom w:type="dxa" w:w="80"/>
              <w:right w:type="dxa" w:w="100"/>
            </w:tcMar>
          </w:tcPr>
          <w:p>
            <w:pPr>
              <w:pStyle w:val="Tabla"/>
            </w:pPr>
            <w:r>
              <w:t xml:space="preserve">al cambiar la estructura cambia el comportamiento</w:t>
            </w:r>
          </w:p>
        </w:tc>
        <w:tc>
          <w:tcPr>
            <w:tcW w:type="dxa" w:w="4816"/>
            <w:tcMar>
              <w:top w:type="dxa" w:w="80"/>
              <w:left w:type="dxa" w:w="100"/>
              <w:bottom w:type="dxa" w:w="80"/>
              <w:right w:type="dxa" w:w="100"/>
            </w:tcMar>
          </w:tcPr>
          <w:p>
            <w:pPr>
              <w:pStyle w:val="Tabla"/>
            </w:pPr>
            <w:r>
              <w:t xml:space="preserve">«Al cambiar la estructura cambia el comportamiento»: el del sistema depende de la estructura global y el del montón, del número de piezas; una pieza mal puesta o una relación no propicia cambian la característica emergente.</w:t>
            </w:r>
          </w:p>
        </w:tc>
      </w:tr>
      <w:tr>
        <w:trPr>
          <w:cantSplit/>
          <w:tblHeader w:val="off"/>
        </w:trPr>
        <w:tc>
          <w:tcPr>
            <w:tcW w:type="dxa" w:w="4816"/>
            <w:tcMar>
              <w:top w:type="dxa" w:w="80"/>
              <w:left w:type="dxa" w:w="100"/>
              <w:bottom w:type="dxa" w:w="80"/>
              <w:right w:type="dxa" w:w="100"/>
            </w:tcMar>
          </w:tcPr>
          <w:p>
            <w:pPr>
              <w:pStyle w:val="Tabla"/>
            </w:pPr>
            <w:r>
              <w:t xml:space="preserve">cadenas causales no lineales y ciclos</w:t>
            </w:r>
          </w:p>
        </w:tc>
        <w:tc>
          <w:tcPr>
            <w:tcW w:type="dxa" w:w="4816"/>
            <w:tcMar>
              <w:top w:type="dxa" w:w="80"/>
              <w:left w:type="dxa" w:w="100"/>
              <w:bottom w:type="dxa" w:w="80"/>
              <w:right w:type="dxa" w:w="100"/>
            </w:tcMar>
          </w:tcPr>
          <w:p>
            <w:pPr>
              <w:pStyle w:val="Tabla"/>
            </w:pPr>
            <w:r>
              <w:t xml:space="preserve">Los problemas surgen de la estructura, no de una parte culpable: cadenas causales no lineales y ciclos donde «ya no sabemos ni quién es la culpable».</w:t>
            </w:r>
          </w:p>
        </w:tc>
      </w:tr>
      <w:tr>
        <w:trPr>
          <w:cantSplit/>
          <w:tblHeader w:val="off"/>
        </w:trPr>
        <w:tc>
          <w:tcPr>
            <w:tcW w:type="dxa" w:w="4816"/>
            <w:tcMar>
              <w:top w:type="dxa" w:w="80"/>
              <w:left w:type="dxa" w:w="100"/>
              <w:bottom w:type="dxa" w:w="80"/>
              <w:right w:type="dxa" w:w="100"/>
            </w:tcMar>
          </w:tcPr>
          <w:p>
            <w:pPr>
              <w:pStyle w:val="Tabla"/>
            </w:pPr>
            <w:r>
              <w:t xml:space="preserve">subperspectivas de roles o disciplinas</w:t>
            </w:r>
          </w:p>
        </w:tc>
        <w:tc>
          <w:tcPr>
            <w:tcW w:type="dxa" w:w="4816"/>
            <w:tcMar>
              <w:top w:type="dxa" w:w="80"/>
              <w:left w:type="dxa" w:w="100"/>
              <w:bottom w:type="dxa" w:w="80"/>
              <w:right w:type="dxa" w:w="100"/>
            </w:tcMar>
          </w:tcPr>
          <w:p>
            <w:pPr>
              <w:pStyle w:val="Tabla"/>
            </w:pPr>
            <w:r>
              <w:t xml:space="preserve">Referencia de estudio: La estructura es el patrón de organización, y es lo que genera el comportamiento.</w:t>
            </w:r>
          </w:p>
        </w:tc>
      </w:tr>
    </w:tbl>
    <w:p>
      <w:pPr>
        <w:pStyle w:val="Fuente"/>
      </w:pPr>
      <w:r>
        <w:t xml:space="preserve">Véase </w:t>
      </w:r>
      <w:hyperlink w:history="1" w:anchor="b_2_3">
        <w:r>
          <w:rPr>
            <w:color w:val="156B70"/>
            <w:u w:val="single"/>
          </w:rPr>
          <w:t xml:space="preserve">2.3 · Estructura de los sistemas</w:t>
        </w:r>
      </w:hyperlink>
      <w:r>
        <w:t xml:space="preserve">, pág. </w:t>
      </w:r>
      <w:r>
        <w:fldChar w:fldCharType="begin"/>
        <w:instrText xml:space="preserve">PAGEREF b_2_3 \h</w:instrText>
        <w:fldChar w:fldCharType="separate"/>
        <w:t xml:space="preserve">259</w:t>
        <w:fldChar w:fldCharType="end"/>
      </w:r>
      <w:r>
        <w:t xml:space="preserve">.</w:t>
      </w:r>
    </w:p>
    <w:p>
      <w:pPr>
        <w:pStyle w:val="Heading3"/>
      </w:pPr>
      <w:r>
        <w:t xml:space="preserve">2.4 · Sub y suprasistemas</w:t>
      </w:r>
    </w:p>
    <w:tbl>
      <w:tblPr>
        <w:tblW w:type="dxa" w:w="9632"/>
        <w:tblBorders>
          <w:top w:val="single" w:color="C5D5DB" w:sz="4"/>
          <w:left w:val="single" w:color="C5D5DB" w:sz="4"/>
          <w:bottom w:val="single" w:color="C5D5DB" w:sz="4"/>
          <w:right w:val="single" w:color="C5D5DB" w:sz="4"/>
          <w:insideH w:val="single" w:color="E4E9EB" w:sz="3"/>
          <w:insideV w:val="single" w:color="E4E9EB" w:sz="3"/>
        </w:tblBorders>
        <w:tblLayout w:type="fixed"/>
      </w:tblPr>
      <w:tblGrid>
        <w:gridCol w:w="4816"/>
        <w:gridCol w:w="4816"/>
      </w:tblGrid>
      <w:tr>
        <w:trPr>
          <w:cantSplit/>
          <w:tblHeader/>
        </w:trPr>
        <w:tc>
          <w:tcPr>
            <w:tcW w:type="dxa" w:w="4816"/>
            <w:shd w:fill="DFEAF0" w:val="clear"/>
            <w:tcMar>
              <w:top w:type="dxa" w:w="80"/>
              <w:left w:type="dxa" w:w="100"/>
              <w:bottom w:type="dxa" w:w="80"/>
              <w:right w:type="dxa" w:w="100"/>
            </w:tcMar>
          </w:tcPr>
          <w:p>
            <w:pPr>
              <w:pStyle w:val="Tabla"/>
            </w:pPr>
            <w:r>
              <w:rPr>
                <w:b/>
                <w:bCs/>
              </w:rPr>
              <w:t xml:space="preserve">Vocabulario del tema</w:t>
            </w:r>
          </w:p>
        </w:tc>
        <w:tc>
          <w:tcPr>
            <w:tcW w:type="dxa" w:w="4816"/>
            <w:shd w:fill="DFEAF0" w:val="clear"/>
            <w:tcMar>
              <w:top w:type="dxa" w:w="80"/>
              <w:left w:type="dxa" w:w="100"/>
              <w:bottom w:type="dxa" w:w="80"/>
              <w:right w:type="dxa" w:w="100"/>
            </w:tcMar>
          </w:tcPr>
          <w:p>
            <w:pPr>
              <w:pStyle w:val="Tabla"/>
            </w:pPr>
            <w:r>
              <w:rPr>
                <w:b/>
                <w:bCs/>
              </w:rPr>
              <w:t xml:space="preserve">Localización y contexto</w:t>
            </w:r>
          </w:p>
        </w:tc>
      </w:tr>
      <w:tr>
        <w:trPr>
          <w:cantSplit/>
          <w:tblHeader w:val="off"/>
        </w:trPr>
        <w:tc>
          <w:tcPr>
            <w:tcW w:type="dxa" w:w="4816"/>
            <w:tcMar>
              <w:top w:type="dxa" w:w="80"/>
              <w:left w:type="dxa" w:w="100"/>
              <w:bottom w:type="dxa" w:w="80"/>
              <w:right w:type="dxa" w:w="100"/>
            </w:tcMar>
          </w:tcPr>
          <w:p>
            <w:pPr>
              <w:pStyle w:val="Tabla"/>
            </w:pPr>
            <w:r>
              <w:t xml:space="preserve">subsistema (parte que es a su vez sistema)</w:t>
            </w:r>
          </w:p>
        </w:tc>
        <w:tc>
          <w:tcPr>
            <w:tcW w:type="dxa" w:w="4816"/>
            <w:tcMar>
              <w:top w:type="dxa" w:w="80"/>
              <w:left w:type="dxa" w:w="100"/>
              <w:bottom w:type="dxa" w:w="80"/>
              <w:right w:type="dxa" w:w="100"/>
            </w:tcMar>
          </w:tcPr>
          <w:p>
            <w:pPr>
              <w:pStyle w:val="Tabla"/>
            </w:pPr>
            <w:r>
              <w:t xml:space="preserve">Los sistemas pertenecen a sistemas mayores y se componen de subsistemas.</w:t>
            </w:r>
          </w:p>
        </w:tc>
      </w:tr>
      <w:tr>
        <w:trPr>
          <w:cantSplit/>
          <w:tblHeader w:val="off"/>
        </w:trPr>
        <w:tc>
          <w:tcPr>
            <w:tcW w:type="dxa" w:w="4816"/>
            <w:tcMar>
              <w:top w:type="dxa" w:w="80"/>
              <w:left w:type="dxa" w:w="100"/>
              <w:bottom w:type="dxa" w:w="80"/>
              <w:right w:type="dxa" w:w="100"/>
            </w:tcMar>
          </w:tcPr>
          <w:p>
            <w:pPr>
              <w:pStyle w:val="Tabla"/>
            </w:pPr>
            <w:r>
              <w:t xml:space="preserve">sistema global (sistema de referencia)</w:t>
            </w:r>
          </w:p>
        </w:tc>
        <w:tc>
          <w:tcPr>
            <w:tcW w:type="dxa" w:w="4816"/>
            <w:tcMar>
              <w:top w:type="dxa" w:w="80"/>
              <w:left w:type="dxa" w:w="100"/>
              <w:bottom w:type="dxa" w:w="80"/>
              <w:right w:type="dxa" w:w="100"/>
            </w:tcMar>
          </w:tcPr>
          <w:p>
            <w:pPr>
              <w:pStyle w:val="Tabla"/>
            </w:pPr>
            <w:r>
              <w:t xml:space="preserve">Una parte de un sistema complejo puede ser un sistema menor con un rol en el sistema global: un subsistema.</w:t>
            </w:r>
          </w:p>
        </w:tc>
      </w:tr>
      <w:tr>
        <w:trPr>
          <w:cantSplit/>
          <w:tblHeader w:val="off"/>
        </w:trPr>
        <w:tc>
          <w:tcPr>
            <w:tcW w:type="dxa" w:w="4816"/>
            <w:tcMar>
              <w:top w:type="dxa" w:w="80"/>
              <w:left w:type="dxa" w:w="100"/>
              <w:bottom w:type="dxa" w:w="80"/>
              <w:right w:type="dxa" w:w="100"/>
            </w:tcMar>
          </w:tcPr>
          <w:p>
            <w:pPr>
              <w:pStyle w:val="Tabla"/>
            </w:pPr>
            <w:r>
              <w:t xml:space="preserve">suprasistema (supersistema, megasistema)</w:t>
            </w:r>
          </w:p>
        </w:tc>
        <w:tc>
          <w:tcPr>
            <w:tcW w:type="dxa" w:w="4816"/>
            <w:tcMar>
              <w:top w:type="dxa" w:w="80"/>
              <w:left w:type="dxa" w:w="100"/>
              <w:bottom w:type="dxa" w:w="80"/>
              <w:right w:type="dxa" w:w="100"/>
            </w:tcMar>
          </w:tcPr>
          <w:p>
            <w:pPr>
              <w:pStyle w:val="Tabla"/>
            </w:pPr>
            <w:r>
              <w:t xml:space="preserve">Ampliar hacia un suprasistema puede revelar dependencias: un país dentro de un continente y sus interacciones con otros países.</w:t>
            </w:r>
          </w:p>
        </w:tc>
      </w:tr>
      <w:tr>
        <w:trPr>
          <w:cantSplit/>
          <w:tblHeader w:val="off"/>
        </w:trPr>
        <w:tc>
          <w:tcPr>
            <w:tcW w:type="dxa" w:w="4816"/>
            <w:tcMar>
              <w:top w:type="dxa" w:w="80"/>
              <w:left w:type="dxa" w:w="100"/>
              <w:bottom w:type="dxa" w:w="80"/>
              <w:right w:type="dxa" w:w="100"/>
            </w:tcMar>
          </w:tcPr>
          <w:p>
            <w:pPr>
              <w:pStyle w:val="Tabla"/>
            </w:pPr>
            <w:r>
              <w:t xml:space="preserve">medio o contexto (sistemas del mismo nivel)</w:t>
            </w:r>
          </w:p>
        </w:tc>
        <w:tc>
          <w:tcPr>
            <w:tcW w:type="dxa" w:w="4816"/>
            <w:tcMar>
              <w:top w:type="dxa" w:w="80"/>
              <w:left w:type="dxa" w:w="100"/>
              <w:bottom w:type="dxa" w:w="80"/>
              <w:right w:type="dxa" w:w="100"/>
            </w:tcMar>
          </w:tcPr>
          <w:p>
            <w:pPr>
              <w:pStyle w:val="Tabla"/>
            </w:pPr>
            <w:r>
              <w:t xml:space="preserve">Al enfocar una parte del mundo se enfoca un subsistema de un sistema mayor, con un medio o contexto de otros sistemas que interactúan con él.</w:t>
            </w:r>
          </w:p>
        </w:tc>
      </w:tr>
      <w:tr>
        <w:trPr>
          <w:cantSplit/>
          <w:tblHeader w:val="off"/>
        </w:trPr>
        <w:tc>
          <w:tcPr>
            <w:tcW w:type="dxa" w:w="4816"/>
            <w:tcMar>
              <w:top w:type="dxa" w:w="80"/>
              <w:left w:type="dxa" w:w="100"/>
              <w:bottom w:type="dxa" w:w="80"/>
              <w:right w:type="dxa" w:w="100"/>
            </w:tcMar>
          </w:tcPr>
          <w:p>
            <w:pPr>
              <w:pStyle w:val="Tabla"/>
            </w:pPr>
            <w:r>
              <w:t xml:space="preserve">nivel de jerarquía</w:t>
            </w:r>
          </w:p>
        </w:tc>
        <w:tc>
          <w:tcPr>
            <w:tcW w:type="dxa" w:w="4816"/>
            <w:tcMar>
              <w:top w:type="dxa" w:w="80"/>
              <w:left w:type="dxa" w:w="100"/>
              <w:bottom w:type="dxa" w:w="80"/>
              <w:right w:type="dxa" w:w="100"/>
            </w:tcMar>
          </w:tcPr>
          <w:p>
            <w:pPr>
              <w:pStyle w:val="Tabla"/>
            </w:pPr>
            <w:r>
              <w:t xml:space="preserve">Referencia de estudio: Todo sistema es a la vez un todo y una parte; elegir el nivel es parte del análisis.</w:t>
            </w:r>
          </w:p>
        </w:tc>
      </w:tr>
      <w:tr>
        <w:trPr>
          <w:cantSplit/>
          <w:tblHeader w:val="off"/>
        </w:trPr>
        <w:tc>
          <w:tcPr>
            <w:tcW w:type="dxa" w:w="4816"/>
            <w:tcMar>
              <w:top w:type="dxa" w:w="80"/>
              <w:left w:type="dxa" w:w="100"/>
              <w:bottom w:type="dxa" w:w="80"/>
              <w:right w:type="dxa" w:w="100"/>
            </w:tcMar>
          </w:tcPr>
          <w:p>
            <w:pPr>
              <w:pStyle w:val="Tabla"/>
            </w:pPr>
            <w:r>
              <w:t xml:space="preserve">definición recursiva (sistemas dentro de sistemas)</w:t>
            </w:r>
          </w:p>
        </w:tc>
        <w:tc>
          <w:tcPr>
            <w:tcW w:type="dxa" w:w="4816"/>
            <w:tcMar>
              <w:top w:type="dxa" w:w="80"/>
              <w:left w:type="dxa" w:w="100"/>
              <w:bottom w:type="dxa" w:w="80"/>
              <w:right w:type="dxa" w:w="100"/>
            </w:tcMar>
          </w:tcPr>
          <w:p>
            <w:pPr>
              <w:pStyle w:val="Tabla"/>
            </w:pPr>
            <w:r>
              <w:t xml:space="preserve">Referencia de estudio: Todo sistema es a la vez un todo y una parte; elegir el nivel es parte del análisis.</w:t>
            </w:r>
          </w:p>
        </w:tc>
      </w:tr>
      <w:tr>
        <w:trPr>
          <w:cantSplit/>
          <w:tblHeader w:val="off"/>
        </w:trPr>
        <w:tc>
          <w:tcPr>
            <w:tcW w:type="dxa" w:w="4816"/>
            <w:tcMar>
              <w:top w:type="dxa" w:w="80"/>
              <w:left w:type="dxa" w:w="100"/>
              <w:bottom w:type="dxa" w:w="80"/>
              <w:right w:type="dxa" w:w="100"/>
            </w:tcMar>
          </w:tcPr>
          <w:p>
            <w:pPr>
              <w:pStyle w:val="Tabla"/>
            </w:pPr>
            <w:r>
              <w:t xml:space="preserve">estructuras anidadas</w:t>
            </w:r>
          </w:p>
        </w:tc>
        <w:tc>
          <w:tcPr>
            <w:tcW w:type="dxa" w:w="4816"/>
            <w:tcMar>
              <w:top w:type="dxa" w:w="80"/>
              <w:left w:type="dxa" w:w="100"/>
              <w:bottom w:type="dxa" w:w="80"/>
              <w:right w:type="dxa" w:w="100"/>
            </w:tcMar>
          </w:tcPr>
          <w:p>
            <w:pPr>
              <w:pStyle w:val="Tabla"/>
            </w:pPr>
            <w:r>
              <w:t xml:space="preserve">La realidad tiene estructuras anidadas, recursivas: lo que era sistema a un nivel resulta subsistema de otro, y así sucesivamente, y en cada nivel crece la complejidad.</w:t>
            </w:r>
          </w:p>
        </w:tc>
      </w:tr>
      <w:tr>
        <w:trPr>
          <w:cantSplit/>
          <w:tblHeader w:val="off"/>
        </w:trPr>
        <w:tc>
          <w:tcPr>
            <w:tcW w:type="dxa" w:w="4816"/>
            <w:tcMar>
              <w:top w:type="dxa" w:w="80"/>
              <w:left w:type="dxa" w:w="100"/>
              <w:bottom w:type="dxa" w:w="80"/>
              <w:right w:type="dxa" w:w="100"/>
            </w:tcMar>
          </w:tcPr>
          <w:p>
            <w:pPr>
              <w:pStyle w:val="Tabla"/>
            </w:pPr>
            <w:r>
              <w:t xml:space="preserve">zoom al nivel superior</w:t>
            </w:r>
          </w:p>
        </w:tc>
        <w:tc>
          <w:tcPr>
            <w:tcW w:type="dxa" w:w="4816"/>
            <w:tcMar>
              <w:top w:type="dxa" w:w="80"/>
              <w:left w:type="dxa" w:w="100"/>
              <w:bottom w:type="dxa" w:w="80"/>
              <w:right w:type="dxa" w:w="100"/>
            </w:tcMar>
          </w:tcPr>
          <w:p>
            <w:pPr>
              <w:pStyle w:val="Tabla"/>
            </w:pPr>
            <w:r>
              <w:t xml:space="preserve">Referencia de estudio: Todo sistema es a la vez un todo y una parte; elegir el nivel es parte del análisis.</w:t>
            </w:r>
          </w:p>
        </w:tc>
      </w:tr>
    </w:tbl>
    <w:p>
      <w:pPr>
        <w:pStyle w:val="Fuente"/>
      </w:pPr>
      <w:r>
        <w:t xml:space="preserve">Véase </w:t>
      </w:r>
      <w:hyperlink w:history="1" w:anchor="b_2_4">
        <w:r>
          <w:rPr>
            <w:color w:val="156B70"/>
            <w:u w:val="single"/>
          </w:rPr>
          <w:t xml:space="preserve">2.4 · Sub y suprasistemas</w:t>
        </w:r>
      </w:hyperlink>
      <w:r>
        <w:t xml:space="preserve">, pág. </w:t>
      </w:r>
      <w:r>
        <w:fldChar w:fldCharType="begin"/>
        <w:instrText xml:space="preserve">PAGEREF b_2_4 \h</w:instrText>
        <w:fldChar w:fldCharType="separate"/>
        <w:t xml:space="preserve">277</w:t>
        <w:fldChar w:fldCharType="end"/>
      </w:r>
      <w:r>
        <w:t xml:space="preserve">.</w:t>
      </w:r>
    </w:p>
    <w:p>
      <w:pPr>
        <w:pStyle w:val="Heading3"/>
      </w:pPr>
      <w:r>
        <w:t xml:space="preserve">2.5 · Sinergia y emergencia</w:t>
      </w:r>
    </w:p>
    <w:tbl>
      <w:tblPr>
        <w:tblW w:type="dxa" w:w="9632"/>
        <w:tblBorders>
          <w:top w:val="single" w:color="C5D5DB" w:sz="4"/>
          <w:left w:val="single" w:color="C5D5DB" w:sz="4"/>
          <w:bottom w:val="single" w:color="C5D5DB" w:sz="4"/>
          <w:right w:val="single" w:color="C5D5DB" w:sz="4"/>
          <w:insideH w:val="single" w:color="E4E9EB" w:sz="3"/>
          <w:insideV w:val="single" w:color="E4E9EB" w:sz="3"/>
        </w:tblBorders>
        <w:tblLayout w:type="fixed"/>
      </w:tblPr>
      <w:tblGrid>
        <w:gridCol w:w="4816"/>
        <w:gridCol w:w="4816"/>
      </w:tblGrid>
      <w:tr>
        <w:trPr>
          <w:cantSplit/>
          <w:tblHeader/>
        </w:trPr>
        <w:tc>
          <w:tcPr>
            <w:tcW w:type="dxa" w:w="4816"/>
            <w:shd w:fill="DFEAF0" w:val="clear"/>
            <w:tcMar>
              <w:top w:type="dxa" w:w="80"/>
              <w:left w:type="dxa" w:w="100"/>
              <w:bottom w:type="dxa" w:w="80"/>
              <w:right w:type="dxa" w:w="100"/>
            </w:tcMar>
          </w:tcPr>
          <w:p>
            <w:pPr>
              <w:pStyle w:val="Tabla"/>
            </w:pPr>
            <w:r>
              <w:rPr>
                <w:b/>
                <w:bCs/>
              </w:rPr>
              <w:t xml:space="preserve">Vocabulario del tema</w:t>
            </w:r>
          </w:p>
        </w:tc>
        <w:tc>
          <w:tcPr>
            <w:tcW w:type="dxa" w:w="4816"/>
            <w:shd w:fill="DFEAF0" w:val="clear"/>
            <w:tcMar>
              <w:top w:type="dxa" w:w="80"/>
              <w:left w:type="dxa" w:w="100"/>
              <w:bottom w:type="dxa" w:w="80"/>
              <w:right w:type="dxa" w:w="100"/>
            </w:tcMar>
          </w:tcPr>
          <w:p>
            <w:pPr>
              <w:pStyle w:val="Tabla"/>
            </w:pPr>
            <w:r>
              <w:rPr>
                <w:b/>
                <w:bCs/>
              </w:rPr>
              <w:t xml:space="preserve">Localización y contexto</w:t>
            </w:r>
          </w:p>
        </w:tc>
      </w:tr>
      <w:tr>
        <w:trPr>
          <w:cantSplit/>
          <w:tblHeader w:val="off"/>
        </w:trPr>
        <w:tc>
          <w:tcPr>
            <w:tcW w:type="dxa" w:w="4816"/>
            <w:tcMar>
              <w:top w:type="dxa" w:w="80"/>
              <w:left w:type="dxa" w:w="100"/>
              <w:bottom w:type="dxa" w:w="80"/>
              <w:right w:type="dxa" w:w="100"/>
            </w:tcMar>
          </w:tcPr>
          <w:p>
            <w:pPr>
              <w:pStyle w:val="Tabla"/>
            </w:pPr>
            <w:r>
              <w:t xml:space="preserve">sinergia («un tipo de energía»)</w:t>
            </w:r>
          </w:p>
        </w:tc>
        <w:tc>
          <w:tcPr>
            <w:tcW w:type="dxa" w:w="4816"/>
            <w:tcMar>
              <w:top w:type="dxa" w:w="80"/>
              <w:left w:type="dxa" w:w="100"/>
              <w:bottom w:type="dxa" w:w="80"/>
              <w:right w:type="dxa" w:w="100"/>
            </w:tcMar>
          </w:tcPr>
          <w:p>
            <w:pPr>
              <w:pStyle w:val="Tabla"/>
            </w:pPr>
            <w:r>
              <w:t xml:space="preserve">Sinergia: «un tipo de energía» por la que las partes juntas dan algo más allá de ellas; emerge sólo cuando las partes están bien sincronizadas, y es la característica fundamental que diferencia un sistema de un montón de partes o conglomerado.</w:t>
            </w:r>
          </w:p>
        </w:tc>
      </w:tr>
      <w:tr>
        <w:trPr>
          <w:cantSplit/>
          <w:tblHeader w:val="off"/>
        </w:trPr>
        <w:tc>
          <w:tcPr>
            <w:tcW w:type="dxa" w:w="4816"/>
            <w:tcMar>
              <w:top w:type="dxa" w:w="80"/>
              <w:left w:type="dxa" w:w="100"/>
              <w:bottom w:type="dxa" w:w="80"/>
              <w:right w:type="dxa" w:w="100"/>
            </w:tcMar>
          </w:tcPr>
          <w:p>
            <w:pPr>
              <w:pStyle w:val="Tabla"/>
            </w:pPr>
            <w:r>
              <w:t xml:space="preserve">conglomerado (montón, «sistema sin emergencia»)</w:t>
            </w:r>
          </w:p>
        </w:tc>
        <w:tc>
          <w:tcPr>
            <w:tcW w:type="dxa" w:w="4816"/>
            <w:tcMar>
              <w:top w:type="dxa" w:w="80"/>
              <w:left w:type="dxa" w:w="100"/>
              <w:bottom w:type="dxa" w:w="80"/>
              <w:right w:type="dxa" w:w="100"/>
            </w:tcMar>
          </w:tcPr>
          <w:p>
            <w:pPr>
              <w:pStyle w:val="Tabla"/>
            </w:pPr>
            <w:r>
              <w:t xml:space="preserve">Conglomerado: partes juntas sin sentido, sin sinergia, sin objetivo, sin estructura ni dinámica en conjunto.</w:t>
            </w:r>
          </w:p>
        </w:tc>
      </w:tr>
      <w:tr>
        <w:trPr>
          <w:cantSplit/>
          <w:tblHeader w:val="off"/>
        </w:trPr>
        <w:tc>
          <w:tcPr>
            <w:tcW w:type="dxa" w:w="4816"/>
            <w:tcMar>
              <w:top w:type="dxa" w:w="80"/>
              <w:left w:type="dxa" w:w="100"/>
              <w:bottom w:type="dxa" w:w="80"/>
              <w:right w:type="dxa" w:w="100"/>
            </w:tcMar>
          </w:tcPr>
          <w:p>
            <w:pPr>
              <w:pStyle w:val="Tabla"/>
            </w:pPr>
            <w:r>
              <w:t xml:space="preserve">propiedad emergente (característica del sistema en su totalidad)</w:t>
            </w:r>
          </w:p>
        </w:tc>
        <w:tc>
          <w:tcPr>
            <w:tcW w:type="dxa" w:w="4816"/>
            <w:tcMar>
              <w:top w:type="dxa" w:w="80"/>
              <w:left w:type="dxa" w:w="100"/>
              <w:bottom w:type="dxa" w:w="80"/>
              <w:right w:type="dxa" w:w="100"/>
            </w:tcMar>
          </w:tcPr>
          <w:p>
            <w:pPr>
              <w:pStyle w:val="Tabla"/>
            </w:pPr>
            <w:r>
              <w:t xml:space="preserve">Quitar piezas devuelve el mosaico al conglomerado: la propiedad emergente se pierde.</w:t>
            </w:r>
          </w:p>
        </w:tc>
      </w:tr>
      <w:tr>
        <w:trPr>
          <w:cantSplit/>
          <w:tblHeader w:val="off"/>
        </w:trPr>
        <w:tc>
          <w:tcPr>
            <w:tcW w:type="dxa" w:w="4816"/>
            <w:tcMar>
              <w:top w:type="dxa" w:w="80"/>
              <w:left w:type="dxa" w:w="100"/>
              <w:bottom w:type="dxa" w:w="80"/>
              <w:right w:type="dxa" w:w="100"/>
            </w:tcMar>
          </w:tcPr>
          <w:p>
            <w:pPr>
              <w:pStyle w:val="Tabla"/>
            </w:pPr>
            <w:r>
              <w:t xml:space="preserve">emergencia (generación dinámica)</w:t>
            </w:r>
          </w:p>
        </w:tc>
        <w:tc>
          <w:tcPr>
            <w:tcW w:type="dxa" w:w="4816"/>
            <w:tcMar>
              <w:top w:type="dxa" w:w="80"/>
              <w:left w:type="dxa" w:w="100"/>
              <w:bottom w:type="dxa" w:w="80"/>
              <w:right w:type="dxa" w:w="100"/>
            </w:tcMar>
          </w:tcPr>
          <w:p>
            <w:pPr>
              <w:pStyle w:val="Tabla"/>
            </w:pPr>
            <w:r>
              <w:t xml:space="preserve">Conservar la emergencia exige organización de partes e interacciones.</w:t>
            </w:r>
          </w:p>
        </w:tc>
      </w:tr>
      <w:tr>
        <w:trPr>
          <w:cantSplit/>
          <w:tblHeader w:val="off"/>
        </w:trPr>
        <w:tc>
          <w:tcPr>
            <w:tcW w:type="dxa" w:w="4816"/>
            <w:tcMar>
              <w:top w:type="dxa" w:w="80"/>
              <w:left w:type="dxa" w:w="100"/>
              <w:bottom w:type="dxa" w:w="80"/>
              <w:right w:type="dxa" w:w="100"/>
            </w:tcMar>
          </w:tcPr>
          <w:p>
            <w:pPr>
              <w:pStyle w:val="Tabla"/>
            </w:pPr>
            <w:r>
              <w:t xml:space="preserve">«uno más uno es igual a tres» (tercera cualidad, no tercera parte)</w:t>
            </w:r>
          </w:p>
        </w:tc>
        <w:tc>
          <w:tcPr>
            <w:tcW w:type="dxa" w:w="4816"/>
            <w:tcMar>
              <w:top w:type="dxa" w:w="80"/>
              <w:left w:type="dxa" w:w="100"/>
              <w:bottom w:type="dxa" w:w="80"/>
              <w:right w:type="dxa" w:w="100"/>
            </w:tcMar>
          </w:tcPr>
          <w:p>
            <w:pPr>
              <w:pStyle w:val="Tabla"/>
            </w:pPr>
            <w:r>
              <w:t xml:space="preserve">Referencia de estudio: De la interacción entre las partes surge algo que ninguna parte tenía.</w:t>
            </w:r>
          </w:p>
        </w:tc>
      </w:tr>
      <w:tr>
        <w:trPr>
          <w:cantSplit/>
          <w:tblHeader w:val="off"/>
        </w:trPr>
        <w:tc>
          <w:tcPr>
            <w:tcW w:type="dxa" w:w="4816"/>
            <w:tcMar>
              <w:top w:type="dxa" w:w="80"/>
              <w:left w:type="dxa" w:w="100"/>
              <w:bottom w:type="dxa" w:w="80"/>
              <w:right w:type="dxa" w:w="100"/>
            </w:tcMar>
          </w:tcPr>
          <w:p>
            <w:pPr>
              <w:pStyle w:val="Tabla"/>
            </w:pPr>
            <w:r>
              <w:t xml:space="preserve">integración completa de las partes</w:t>
            </w:r>
          </w:p>
        </w:tc>
        <w:tc>
          <w:tcPr>
            <w:tcW w:type="dxa" w:w="4816"/>
            <w:tcMar>
              <w:top w:type="dxa" w:w="80"/>
              <w:left w:type="dxa" w:w="100"/>
              <w:bottom w:type="dxa" w:w="80"/>
              <w:right w:type="dxa" w:w="100"/>
            </w:tcMar>
          </w:tcPr>
          <w:p>
            <w:pPr>
              <w:pStyle w:val="Tabla"/>
            </w:pPr>
            <w:r>
              <w:t xml:space="preserve">La propiedad emergente es una característica del sistema en su totalidad, no de una parte; surge de la integración completa de las partes interactuando adecuadamente: propiedades del conjunto, no de las partes.</w:t>
            </w:r>
          </w:p>
        </w:tc>
      </w:tr>
      <w:tr>
        <w:trPr>
          <w:cantSplit/>
          <w:tblHeader w:val="off"/>
        </w:trPr>
        <w:tc>
          <w:tcPr>
            <w:tcW w:type="dxa" w:w="4816"/>
            <w:tcMar>
              <w:top w:type="dxa" w:w="80"/>
              <w:left w:type="dxa" w:w="100"/>
              <w:bottom w:type="dxa" w:w="80"/>
              <w:right w:type="dxa" w:w="100"/>
            </w:tcMar>
          </w:tcPr>
          <w:p>
            <w:pPr>
              <w:pStyle w:val="Tabla"/>
            </w:pPr>
            <w:r>
              <w:t xml:space="preserve">relaciones sinergéticas (interconectividad)</w:t>
            </w:r>
          </w:p>
        </w:tc>
        <w:tc>
          <w:tcPr>
            <w:tcW w:type="dxa" w:w="4816"/>
            <w:tcMar>
              <w:top w:type="dxa" w:w="80"/>
              <w:left w:type="dxa" w:w="100"/>
              <w:bottom w:type="dxa" w:w="80"/>
              <w:right w:type="dxa" w:w="100"/>
            </w:tcMar>
          </w:tcPr>
          <w:p>
            <w:pPr>
              <w:pStyle w:val="Tabla"/>
            </w:pPr>
            <w:r>
              <w:t xml:space="preserve">Los sistemas sin emergencia del video equivalen a conglomerados: sin relaciones sinergéticas no se aplica plenamente el concepto de sistema.</w:t>
            </w:r>
          </w:p>
        </w:tc>
      </w:tr>
      <w:tr>
        <w:trPr>
          <w:cantSplit/>
          <w:tblHeader w:val="off"/>
        </w:trPr>
        <w:tc>
          <w:tcPr>
            <w:tcW w:type="dxa" w:w="4816"/>
            <w:tcMar>
              <w:top w:type="dxa" w:w="80"/>
              <w:left w:type="dxa" w:w="100"/>
              <w:bottom w:type="dxa" w:w="80"/>
              <w:right w:type="dxa" w:w="100"/>
            </w:tcMar>
          </w:tcPr>
          <w:p>
            <w:pPr>
              <w:pStyle w:val="Tabla"/>
            </w:pPr>
            <w:r>
              <w:t xml:space="preserve">mosaico de la mariposa</w:t>
            </w:r>
          </w:p>
        </w:tc>
        <w:tc>
          <w:tcPr>
            <w:tcW w:type="dxa" w:w="4816"/>
            <w:tcMar>
              <w:top w:type="dxa" w:w="80"/>
              <w:left w:type="dxa" w:w="100"/>
              <w:bottom w:type="dxa" w:w="80"/>
              <w:right w:type="dxa" w:w="100"/>
            </w:tcMar>
          </w:tcPr>
          <w:p>
            <w:pPr>
              <w:pStyle w:val="Tabla"/>
            </w:pPr>
            <w:r>
              <w:t xml:space="preserve">Referencia de estudio: De la interacción entre las partes surge algo que ninguna parte tenía.</w:t>
            </w:r>
          </w:p>
        </w:tc>
      </w:tr>
      <w:tr>
        <w:trPr>
          <w:cantSplit/>
          <w:tblHeader w:val="off"/>
        </w:trPr>
        <w:tc>
          <w:tcPr>
            <w:tcW w:type="dxa" w:w="4816"/>
            <w:tcMar>
              <w:top w:type="dxa" w:w="80"/>
              <w:left w:type="dxa" w:w="100"/>
              <w:bottom w:type="dxa" w:w="80"/>
              <w:right w:type="dxa" w:w="100"/>
            </w:tcMar>
          </w:tcPr>
          <w:p>
            <w:pPr>
              <w:pStyle w:val="Tabla"/>
            </w:pPr>
            <w:r>
              <w:t xml:space="preserve">análisis y síntesis</w:t>
            </w:r>
          </w:p>
        </w:tc>
        <w:tc>
          <w:tcPr>
            <w:tcW w:type="dxa" w:w="4816"/>
            <w:tcMar>
              <w:top w:type="dxa" w:w="80"/>
              <w:left w:type="dxa" w:w="100"/>
              <w:bottom w:type="dxa" w:w="80"/>
              <w:right w:type="dxa" w:w="100"/>
            </w:tcMar>
          </w:tcPr>
          <w:p>
            <w:pPr>
              <w:pStyle w:val="Tabla"/>
            </w:pPr>
            <w:r>
              <w:t xml:space="preserve">Referencia de estudio: De la interacción entre las partes surge algo que ninguna parte tenía.</w:t>
            </w:r>
          </w:p>
        </w:tc>
      </w:tr>
    </w:tbl>
    <w:p>
      <w:pPr>
        <w:pStyle w:val="Fuente"/>
      </w:pPr>
      <w:r>
        <w:t xml:space="preserve">Véase </w:t>
      </w:r>
      <w:hyperlink w:history="1" w:anchor="b_2_5">
        <w:r>
          <w:rPr>
            <w:color w:val="156B70"/>
            <w:u w:val="single"/>
          </w:rPr>
          <w:t xml:space="preserve">2.5 · Sinergia y emergencia</w:t>
        </w:r>
      </w:hyperlink>
      <w:r>
        <w:t xml:space="preserve">, pág. </w:t>
      </w:r>
      <w:r>
        <w:fldChar w:fldCharType="begin"/>
        <w:instrText xml:space="preserve">PAGEREF b_2_5 \h</w:instrText>
        <w:fldChar w:fldCharType="separate"/>
        <w:t xml:space="preserve">292</w:t>
        <w:fldChar w:fldCharType="end"/>
      </w:r>
      <w:r>
        <w:t xml:space="preserve">.</w:t>
      </w:r>
    </w:p>
    <w:p>
      <w:pPr>
        <w:pStyle w:val="Heading3"/>
      </w:pPr>
      <w:r>
        <w:t xml:space="preserve">2.6 · Complejidad sistémica</w:t>
      </w:r>
    </w:p>
    <w:tbl>
      <w:tblPr>
        <w:tblW w:type="dxa" w:w="9632"/>
        <w:tblBorders>
          <w:top w:val="single" w:color="C5D5DB" w:sz="4"/>
          <w:left w:val="single" w:color="C5D5DB" w:sz="4"/>
          <w:bottom w:val="single" w:color="C5D5DB" w:sz="4"/>
          <w:right w:val="single" w:color="C5D5DB" w:sz="4"/>
          <w:insideH w:val="single" w:color="E4E9EB" w:sz="3"/>
          <w:insideV w:val="single" w:color="E4E9EB" w:sz="3"/>
        </w:tblBorders>
        <w:tblLayout w:type="fixed"/>
      </w:tblPr>
      <w:tblGrid>
        <w:gridCol w:w="4816"/>
        <w:gridCol w:w="4816"/>
      </w:tblGrid>
      <w:tr>
        <w:trPr>
          <w:cantSplit/>
          <w:tblHeader/>
        </w:trPr>
        <w:tc>
          <w:tcPr>
            <w:tcW w:type="dxa" w:w="4816"/>
            <w:shd w:fill="DFEAF0" w:val="clear"/>
            <w:tcMar>
              <w:top w:type="dxa" w:w="80"/>
              <w:left w:type="dxa" w:w="100"/>
              <w:bottom w:type="dxa" w:w="80"/>
              <w:right w:type="dxa" w:w="100"/>
            </w:tcMar>
          </w:tcPr>
          <w:p>
            <w:pPr>
              <w:pStyle w:val="Tabla"/>
            </w:pPr>
            <w:r>
              <w:rPr>
                <w:b/>
                <w:bCs/>
              </w:rPr>
              <w:t xml:space="preserve">Vocabulario del tema</w:t>
            </w:r>
          </w:p>
        </w:tc>
        <w:tc>
          <w:tcPr>
            <w:tcW w:type="dxa" w:w="4816"/>
            <w:shd w:fill="DFEAF0" w:val="clear"/>
            <w:tcMar>
              <w:top w:type="dxa" w:w="80"/>
              <w:left w:type="dxa" w:w="100"/>
              <w:bottom w:type="dxa" w:w="80"/>
              <w:right w:type="dxa" w:w="100"/>
            </w:tcMar>
          </w:tcPr>
          <w:p>
            <w:pPr>
              <w:pStyle w:val="Tabla"/>
            </w:pPr>
            <w:r>
              <w:rPr>
                <w:b/>
                <w:bCs/>
              </w:rPr>
              <w:t xml:space="preserve">Localización y contexto</w:t>
            </w:r>
          </w:p>
        </w:tc>
      </w:tr>
      <w:tr>
        <w:trPr>
          <w:cantSplit/>
          <w:tblHeader w:val="off"/>
        </w:trPr>
        <w:tc>
          <w:tcPr>
            <w:tcW w:type="dxa" w:w="4816"/>
            <w:tcMar>
              <w:top w:type="dxa" w:w="80"/>
              <w:left w:type="dxa" w:w="100"/>
              <w:bottom w:type="dxa" w:w="80"/>
              <w:right w:type="dxa" w:w="100"/>
            </w:tcMar>
          </w:tcPr>
          <w:p>
            <w:pPr>
              <w:pStyle w:val="Tabla"/>
            </w:pPr>
            <w:r>
              <w:t xml:space="preserve">complejidad (muchas relaciones, más que elementos)</w:t>
            </w:r>
          </w:p>
        </w:tc>
        <w:tc>
          <w:tcPr>
            <w:tcW w:type="dxa" w:w="4816"/>
            <w:tcMar>
              <w:top w:type="dxa" w:w="80"/>
              <w:left w:type="dxa" w:w="100"/>
              <w:bottom w:type="dxa" w:w="80"/>
              <w:right w:type="dxa" w:w="100"/>
            </w:tcMar>
          </w:tcPr>
          <w:p>
            <w:pPr>
              <w:pStyle w:val="Tabla"/>
            </w:pPr>
            <w:r>
              <w:t xml:space="preserve">Complejidad: muchas distinciones y, sobre todo, muchas relaciones; mapeadas forman una telaraña, la estructura más común (internet). La ciudad es compleja por sus muchos sistemas interactuando y sus relaciones implícitas.</w:t>
            </w:r>
          </w:p>
        </w:tc>
      </w:tr>
      <w:tr>
        <w:trPr>
          <w:cantSplit/>
          <w:tblHeader w:val="off"/>
        </w:trPr>
        <w:tc>
          <w:tcPr>
            <w:tcW w:type="dxa" w:w="4816"/>
            <w:tcMar>
              <w:top w:type="dxa" w:w="80"/>
              <w:left w:type="dxa" w:w="100"/>
              <w:bottom w:type="dxa" w:w="80"/>
              <w:right w:type="dxa" w:w="100"/>
            </w:tcMar>
          </w:tcPr>
          <w:p>
            <w:pPr>
              <w:pStyle w:val="Tabla"/>
            </w:pPr>
            <w:r>
              <w:t xml:space="preserve">telaraña (estructura de red)</w:t>
            </w:r>
          </w:p>
        </w:tc>
        <w:tc>
          <w:tcPr>
            <w:tcW w:type="dxa" w:w="4816"/>
            <w:tcMar>
              <w:top w:type="dxa" w:w="80"/>
              <w:left w:type="dxa" w:w="100"/>
              <w:bottom w:type="dxa" w:w="80"/>
              <w:right w:type="dxa" w:w="100"/>
            </w:tcMar>
          </w:tcPr>
          <w:p>
            <w:pPr>
              <w:pStyle w:val="Tabla"/>
            </w:pPr>
            <w:r>
              <w:t xml:space="preserve">Combinar perspectivas agrega distinciones y relaciones hasta formar una estructura compleja que puede mapearse como telaraña.</w:t>
            </w:r>
          </w:p>
        </w:tc>
      </w:tr>
      <w:tr>
        <w:trPr>
          <w:cantSplit/>
          <w:tblHeader w:val="off"/>
        </w:trPr>
        <w:tc>
          <w:tcPr>
            <w:tcW w:type="dxa" w:w="4816"/>
            <w:tcMar>
              <w:top w:type="dxa" w:w="80"/>
              <w:left w:type="dxa" w:w="100"/>
              <w:bottom w:type="dxa" w:w="80"/>
              <w:right w:type="dxa" w:w="100"/>
            </w:tcMar>
          </w:tcPr>
          <w:p>
            <w:pPr>
              <w:pStyle w:val="Tabla"/>
            </w:pPr>
            <w:r>
              <w:t xml:space="preserve">punto de apalancamiento (efecto palanca, efecto dominó)</w:t>
            </w:r>
          </w:p>
        </w:tc>
        <w:tc>
          <w:tcPr>
            <w:tcW w:type="dxa" w:w="4816"/>
            <w:tcMar>
              <w:top w:type="dxa" w:w="80"/>
              <w:left w:type="dxa" w:w="100"/>
              <w:bottom w:type="dxa" w:w="80"/>
              <w:right w:type="dxa" w:w="100"/>
            </w:tcMar>
          </w:tcPr>
          <w:p>
            <w:pPr>
              <w:pStyle w:val="Tabla"/>
            </w:pPr>
            <w:r>
              <w:t xml:space="preserve">Punto de apalancamiento: la parte de la estructura donde un cambio de mínimo esfuerzo se propaga en cadena («efecto dominó», «efecto palanca»); cambiar toda la estructura es muy difícil por su sinergia. Telaraña real: tomarla de una parte la mueve toda.</w:t>
            </w:r>
          </w:p>
        </w:tc>
      </w:tr>
      <w:tr>
        <w:trPr>
          <w:cantSplit/>
          <w:tblHeader w:val="off"/>
        </w:trPr>
        <w:tc>
          <w:tcPr>
            <w:tcW w:type="dxa" w:w="4816"/>
            <w:tcMar>
              <w:top w:type="dxa" w:w="80"/>
              <w:left w:type="dxa" w:w="100"/>
              <w:bottom w:type="dxa" w:w="80"/>
              <w:right w:type="dxa" w:w="100"/>
            </w:tcMar>
          </w:tcPr>
          <w:p>
            <w:pPr>
              <w:pStyle w:val="Tabla"/>
            </w:pPr>
            <w:r>
              <w:t xml:space="preserve">sistema adaptativo complejo (diverso, interconectado; cambia y aprende)</w:t>
            </w:r>
          </w:p>
        </w:tc>
        <w:tc>
          <w:tcPr>
            <w:tcW w:type="dxa" w:w="4816"/>
            <w:tcMar>
              <w:top w:type="dxa" w:w="80"/>
              <w:left w:type="dxa" w:w="100"/>
              <w:bottom w:type="dxa" w:w="80"/>
              <w:right w:type="dxa" w:w="100"/>
            </w:tcMar>
          </w:tcPr>
          <w:p>
            <w:pPr>
              <w:pStyle w:val="Tabla"/>
            </w:pPr>
            <w:r>
              <w:t xml:space="preserve">El pensamiento abstracto se compara con un sistema adaptativo complejo: reglas elementales producen estructuras mentales más complejas.</w:t>
            </w:r>
          </w:p>
        </w:tc>
      </w:tr>
      <w:tr>
        <w:trPr>
          <w:cantSplit/>
          <w:tblHeader w:val="off"/>
        </w:trPr>
        <w:tc>
          <w:tcPr>
            <w:tcW w:type="dxa" w:w="4816"/>
            <w:tcMar>
              <w:top w:type="dxa" w:w="80"/>
              <w:left w:type="dxa" w:w="100"/>
              <w:bottom w:type="dxa" w:w="80"/>
              <w:right w:type="dxa" w:w="100"/>
            </w:tcMar>
          </w:tcPr>
          <w:p>
            <w:pPr>
              <w:pStyle w:val="Tabla"/>
            </w:pPr>
            <w:r>
              <w:t xml:space="preserve">autoorganización (de subsistemas a suprasistemas)</w:t>
            </w:r>
          </w:p>
        </w:tc>
        <w:tc>
          <w:tcPr>
            <w:tcW w:type="dxa" w:w="4816"/>
            <w:tcMar>
              <w:top w:type="dxa" w:w="80"/>
              <w:left w:type="dxa" w:w="100"/>
              <w:bottom w:type="dxa" w:w="80"/>
              <w:right w:type="dxa" w:w="100"/>
            </w:tcMar>
          </w:tcPr>
          <w:p>
            <w:pPr>
              <w:pStyle w:val="Tabla"/>
            </w:pPr>
            <w:r>
              <w:t xml:space="preserve">Las estructuras de control aparecen entre compuestos y autoorganización en el eje de escala.</w:t>
            </w:r>
          </w:p>
        </w:tc>
      </w:tr>
      <w:tr>
        <w:trPr>
          <w:cantSplit/>
          <w:tblHeader w:val="off"/>
        </w:trPr>
        <w:tc>
          <w:tcPr>
            <w:tcW w:type="dxa" w:w="4816"/>
            <w:tcMar>
              <w:top w:type="dxa" w:w="80"/>
              <w:left w:type="dxa" w:w="100"/>
              <w:bottom w:type="dxa" w:w="80"/>
              <w:right w:type="dxa" w:w="100"/>
            </w:tcMar>
          </w:tcPr>
          <w:p>
            <w:pPr>
              <w:pStyle w:val="Tabla"/>
            </w:pPr>
            <w:r>
              <w:t xml:space="preserve">transdisciplinariedad (equipos multidisciplinarios)</w:t>
            </w:r>
          </w:p>
        </w:tc>
        <w:tc>
          <w:tcPr>
            <w:tcW w:type="dxa" w:w="4816"/>
            <w:tcMar>
              <w:top w:type="dxa" w:w="80"/>
              <w:left w:type="dxa" w:w="100"/>
              <w:bottom w:type="dxa" w:w="80"/>
              <w:right w:type="dxa" w:w="100"/>
            </w:tcMar>
          </w:tcPr>
          <w:p>
            <w:pPr>
              <w:pStyle w:val="Tabla"/>
            </w:pPr>
            <w:r>
              <w:t xml:space="preserve">Transdisciplinariedad: muchos sistemas sólo se entienden con varios enfoques científicos; de ahí los equipos multidisciplinarios, como los departamentos de una empresa (recursos humanos, procesos, gerencia, finanzas, atención al cliente).</w:t>
            </w:r>
          </w:p>
        </w:tc>
      </w:tr>
      <w:tr>
        <w:trPr>
          <w:cantSplit/>
          <w:tblHeader w:val="off"/>
        </w:trPr>
        <w:tc>
          <w:tcPr>
            <w:tcW w:type="dxa" w:w="4816"/>
            <w:tcMar>
              <w:top w:type="dxa" w:w="80"/>
              <w:left w:type="dxa" w:w="100"/>
              <w:bottom w:type="dxa" w:w="80"/>
              <w:right w:type="dxa" w:w="100"/>
            </w:tcMar>
          </w:tcPr>
          <w:p>
            <w:pPr>
              <w:pStyle w:val="Tabla"/>
            </w:pPr>
            <w:r>
              <w:t xml:space="preserve">teoría del caos y efecto mariposa</w:t>
            </w:r>
          </w:p>
        </w:tc>
        <w:tc>
          <w:tcPr>
            <w:tcW w:type="dxa" w:w="4816"/>
            <w:tcMar>
              <w:top w:type="dxa" w:w="80"/>
              <w:left w:type="dxa" w:w="100"/>
              <w:bottom w:type="dxa" w:w="80"/>
              <w:right w:type="dxa" w:w="100"/>
            </w:tcMar>
          </w:tcPr>
          <w:p>
            <w:pPr>
              <w:pStyle w:val="Tabla"/>
            </w:pPr>
            <w:r>
              <w:t xml:space="preserve">Referencia de estudio: Complejo no es complicado: es denso en interacciones y capaz de aprender.</w:t>
            </w:r>
          </w:p>
        </w:tc>
      </w:tr>
      <w:tr>
        <w:trPr>
          <w:cantSplit/>
          <w:tblHeader w:val="off"/>
        </w:trPr>
        <w:tc>
          <w:tcPr>
            <w:tcW w:type="dxa" w:w="4816"/>
            <w:tcMar>
              <w:top w:type="dxa" w:w="80"/>
              <w:left w:type="dxa" w:w="100"/>
              <w:bottom w:type="dxa" w:w="80"/>
              <w:right w:type="dxa" w:w="100"/>
            </w:tcMar>
          </w:tcPr>
          <w:p>
            <w:pPr>
              <w:pStyle w:val="Tabla"/>
            </w:pPr>
            <w:r>
              <w:t xml:space="preserve">sensibilidad a las condiciones iniciales (según el video)</w:t>
            </w:r>
          </w:p>
        </w:tc>
        <w:tc>
          <w:tcPr>
            <w:tcW w:type="dxa" w:w="4816"/>
            <w:tcMar>
              <w:top w:type="dxa" w:w="80"/>
              <w:left w:type="dxa" w:w="100"/>
              <w:bottom w:type="dxa" w:w="80"/>
              <w:right w:type="dxa" w:w="100"/>
            </w:tcMar>
          </w:tcPr>
          <w:p>
            <w:pPr>
              <w:pStyle w:val="Tabla"/>
            </w:pPr>
            <w:r>
              <w:t xml:space="preserve">El video afirma que la complejidad depende de cuatro parámetros: elementos y niveles de jerarquía; no linealidad (bucles de retroalimentación, transiciones de fase, sensibilidad a las condiciones iniciales); conectividad (redes); autonomía y adaptación (autoorganización, evolución).</w:t>
            </w:r>
          </w:p>
        </w:tc>
      </w:tr>
      <w:tr>
        <w:trPr>
          <w:cantSplit/>
          <w:tblHeader w:val="off"/>
        </w:trPr>
        <w:tc>
          <w:tcPr>
            <w:tcW w:type="dxa" w:w="4816"/>
            <w:tcMar>
              <w:top w:type="dxa" w:w="80"/>
              <w:left w:type="dxa" w:w="100"/>
              <w:bottom w:type="dxa" w:w="80"/>
              <w:right w:type="dxa" w:w="100"/>
            </w:tcMar>
          </w:tcPr>
          <w:p>
            <w:pPr>
              <w:pStyle w:val="Tabla"/>
            </w:pPr>
            <w:r>
              <w:t xml:space="preserve">macroscopio y sistematografía</w:t>
            </w:r>
          </w:p>
        </w:tc>
        <w:tc>
          <w:tcPr>
            <w:tcW w:type="dxa" w:w="4816"/>
            <w:tcMar>
              <w:top w:type="dxa" w:w="80"/>
              <w:left w:type="dxa" w:w="100"/>
              <w:bottom w:type="dxa" w:w="80"/>
              <w:right w:type="dxa" w:w="100"/>
            </w:tcMar>
          </w:tcPr>
          <w:p>
            <w:pPr>
              <w:pStyle w:val="Tabla"/>
            </w:pPr>
            <w:r>
              <w:t xml:space="preserve">Referencia de estudio: Complejo no es complicado: es denso en interacciones y capaz de aprender.</w:t>
            </w:r>
          </w:p>
        </w:tc>
      </w:tr>
    </w:tbl>
    <w:p>
      <w:pPr>
        <w:pStyle w:val="Fuente"/>
      </w:pPr>
      <w:r>
        <w:t xml:space="preserve">Véase </w:t>
      </w:r>
      <w:hyperlink w:history="1" w:anchor="b_2_6">
        <w:r>
          <w:rPr>
            <w:color w:val="156B70"/>
            <w:u w:val="single"/>
          </w:rPr>
          <w:t xml:space="preserve">2.6 · Complejidad sistémica</w:t>
        </w:r>
      </w:hyperlink>
      <w:r>
        <w:t xml:space="preserve">, pág. </w:t>
      </w:r>
      <w:r>
        <w:fldChar w:fldCharType="begin"/>
        <w:instrText xml:space="preserve">PAGEREF b_2_6 \h</w:instrText>
        <w:fldChar w:fldCharType="separate"/>
        <w:t xml:space="preserve">308</w:t>
        <w:fldChar w:fldCharType="end"/>
      </w:r>
      <w:r>
        <w:t xml:space="preserve">.</w:t>
      </w:r>
    </w:p>
    <w:p>
      <w:pPr>
        <w:pStyle w:val="Heading3"/>
      </w:pPr>
      <w:r>
        <w:t xml:space="preserve">2.7 · El universo como sistemas</w:t>
      </w:r>
    </w:p>
    <w:tbl>
      <w:tblPr>
        <w:tblW w:type="dxa" w:w="9632"/>
        <w:tblBorders>
          <w:top w:val="single" w:color="C5D5DB" w:sz="4"/>
          <w:left w:val="single" w:color="C5D5DB" w:sz="4"/>
          <w:bottom w:val="single" w:color="C5D5DB" w:sz="4"/>
          <w:right w:val="single" w:color="C5D5DB" w:sz="4"/>
          <w:insideH w:val="single" w:color="E4E9EB" w:sz="3"/>
          <w:insideV w:val="single" w:color="E4E9EB" w:sz="3"/>
        </w:tblBorders>
        <w:tblLayout w:type="fixed"/>
      </w:tblPr>
      <w:tblGrid>
        <w:gridCol w:w="4816"/>
        <w:gridCol w:w="4816"/>
      </w:tblGrid>
      <w:tr>
        <w:trPr>
          <w:cantSplit/>
          <w:tblHeader/>
        </w:trPr>
        <w:tc>
          <w:tcPr>
            <w:tcW w:type="dxa" w:w="4816"/>
            <w:shd w:fill="DFEAF0" w:val="clear"/>
            <w:tcMar>
              <w:top w:type="dxa" w:w="80"/>
              <w:left w:type="dxa" w:w="100"/>
              <w:bottom w:type="dxa" w:w="80"/>
              <w:right w:type="dxa" w:w="100"/>
            </w:tcMar>
          </w:tcPr>
          <w:p>
            <w:pPr>
              <w:pStyle w:val="Tabla"/>
            </w:pPr>
            <w:r>
              <w:rPr>
                <w:b/>
                <w:bCs/>
              </w:rPr>
              <w:t xml:space="preserve">Vocabulario del tema</w:t>
            </w:r>
          </w:p>
        </w:tc>
        <w:tc>
          <w:tcPr>
            <w:tcW w:type="dxa" w:w="4816"/>
            <w:shd w:fill="DFEAF0" w:val="clear"/>
            <w:tcMar>
              <w:top w:type="dxa" w:w="80"/>
              <w:left w:type="dxa" w:w="100"/>
              <w:bottom w:type="dxa" w:w="80"/>
              <w:right w:type="dxa" w:w="100"/>
            </w:tcMar>
          </w:tcPr>
          <w:p>
            <w:pPr>
              <w:pStyle w:val="Tabla"/>
            </w:pPr>
            <w:r>
              <w:rPr>
                <w:b/>
                <w:bCs/>
              </w:rPr>
              <w:t xml:space="preserve">Localización y contexto</w:t>
            </w:r>
          </w:p>
        </w:tc>
      </w:tr>
      <w:tr>
        <w:trPr>
          <w:cantSplit/>
          <w:tblHeader w:val="off"/>
        </w:trPr>
        <w:tc>
          <w:tcPr>
            <w:tcW w:type="dxa" w:w="4816"/>
            <w:tcMar>
              <w:top w:type="dxa" w:w="80"/>
              <w:left w:type="dxa" w:w="100"/>
              <w:bottom w:type="dxa" w:w="80"/>
              <w:right w:type="dxa" w:w="100"/>
            </w:tcMar>
          </w:tcPr>
          <w:p>
            <w:pPr>
              <w:pStyle w:val="Tabla"/>
            </w:pPr>
            <w:r>
              <w:t xml:space="preserve">mapa sistémico del universo (Checkland)</w:t>
            </w:r>
          </w:p>
        </w:tc>
        <w:tc>
          <w:tcPr>
            <w:tcW w:type="dxa" w:w="4816"/>
            <w:tcMar>
              <w:top w:type="dxa" w:w="80"/>
              <w:left w:type="dxa" w:w="100"/>
              <w:bottom w:type="dxa" w:w="80"/>
              <w:right w:type="dxa" w:w="100"/>
            </w:tcMar>
          </w:tcPr>
          <w:p>
            <w:pPr>
              <w:pStyle w:val="Tabla"/>
            </w:pPr>
            <w:r>
              <w:t xml:space="preserve">Referencia de estudio: Cuatro familias de sistemas, y usted ya estudió una entera durante toda la unidad 1.</w:t>
            </w:r>
          </w:p>
        </w:tc>
      </w:tr>
      <w:tr>
        <w:trPr>
          <w:cantSplit/>
          <w:tblHeader w:val="off"/>
        </w:trPr>
        <w:tc>
          <w:tcPr>
            <w:tcW w:type="dxa" w:w="4816"/>
            <w:tcMar>
              <w:top w:type="dxa" w:w="80"/>
              <w:left w:type="dxa" w:w="100"/>
              <w:bottom w:type="dxa" w:w="80"/>
              <w:right w:type="dxa" w:w="100"/>
            </w:tcMar>
          </w:tcPr>
          <w:p>
            <w:pPr>
              <w:pStyle w:val="Tabla"/>
            </w:pPr>
            <w:r>
              <w:t xml:space="preserve">sistema natural (la creación)</w:t>
            </w:r>
          </w:p>
        </w:tc>
        <w:tc>
          <w:tcPr>
            <w:tcW w:type="dxa" w:w="4816"/>
            <w:tcMar>
              <w:top w:type="dxa" w:w="80"/>
              <w:left w:type="dxa" w:w="100"/>
              <w:bottom w:type="dxa" w:w="80"/>
              <w:right w:type="dxa" w:w="100"/>
            </w:tcMar>
          </w:tcPr>
          <w:p>
            <w:pPr>
              <w:pStyle w:val="Tabla"/>
            </w:pPr>
            <w:r>
              <w:t xml:space="preserve">La familia puede estudiarse como actividad humana y también como sistema natural bajo otra perspectiva compatible.</w:t>
            </w:r>
          </w:p>
        </w:tc>
      </w:tr>
      <w:tr>
        <w:trPr>
          <w:cantSplit/>
          <w:tblHeader w:val="off"/>
        </w:trPr>
        <w:tc>
          <w:tcPr>
            <w:tcW w:type="dxa" w:w="4816"/>
            <w:tcMar>
              <w:top w:type="dxa" w:w="80"/>
              <w:left w:type="dxa" w:w="100"/>
              <w:bottom w:type="dxa" w:w="80"/>
              <w:right w:type="dxa" w:w="100"/>
            </w:tcMar>
          </w:tcPr>
          <w:p>
            <w:pPr>
              <w:pStyle w:val="Tabla"/>
            </w:pPr>
            <w:r>
              <w:t xml:space="preserve">sistema de actividad humana</w:t>
            </w:r>
          </w:p>
        </w:tc>
        <w:tc>
          <w:tcPr>
            <w:tcW w:type="dxa" w:w="4816"/>
            <w:tcMar>
              <w:top w:type="dxa" w:w="80"/>
              <w:left w:type="dxa" w:w="100"/>
              <w:bottom w:type="dxa" w:w="80"/>
              <w:right w:type="dxa" w:w="100"/>
            </w:tcMar>
          </w:tcPr>
          <w:p>
            <w:pPr>
              <w:pStyle w:val="Tabla"/>
            </w:pPr>
            <w:r>
              <w:t xml:space="preserve">Referencia de estudio: Cuatro familias de sistemas, y usted ya estudió una entera durante toda la unidad 1.</w:t>
            </w:r>
          </w:p>
        </w:tc>
      </w:tr>
      <w:tr>
        <w:trPr>
          <w:cantSplit/>
          <w:tblHeader w:val="off"/>
        </w:trPr>
        <w:tc>
          <w:tcPr>
            <w:tcW w:type="dxa" w:w="4816"/>
            <w:tcMar>
              <w:top w:type="dxa" w:w="80"/>
              <w:left w:type="dxa" w:w="100"/>
              <w:bottom w:type="dxa" w:w="80"/>
              <w:right w:type="dxa" w:w="100"/>
            </w:tcMar>
          </w:tcPr>
          <w:p>
            <w:pPr>
              <w:pStyle w:val="Tabla"/>
            </w:pPr>
            <w:r>
              <w:t xml:space="preserve">sistema físico diseñado</w:t>
            </w:r>
          </w:p>
        </w:tc>
        <w:tc>
          <w:tcPr>
            <w:tcW w:type="dxa" w:w="4816"/>
            <w:tcMar>
              <w:top w:type="dxa" w:w="80"/>
              <w:left w:type="dxa" w:w="100"/>
              <w:bottom w:type="dxa" w:w="80"/>
              <w:right w:type="dxa" w:w="100"/>
            </w:tcMar>
          </w:tcPr>
          <w:p>
            <w:pPr>
              <w:pStyle w:val="Tabla"/>
            </w:pPr>
            <w:r>
              <w:t xml:space="preserve">Referencia de estudio: Cuatro familias de sistemas, y usted ya estudió una entera durante toda la unidad 1.</w:t>
            </w:r>
          </w:p>
        </w:tc>
      </w:tr>
      <w:tr>
        <w:trPr>
          <w:cantSplit/>
          <w:tblHeader w:val="off"/>
        </w:trPr>
        <w:tc>
          <w:tcPr>
            <w:tcW w:type="dxa" w:w="4816"/>
            <w:tcMar>
              <w:top w:type="dxa" w:w="80"/>
              <w:left w:type="dxa" w:w="100"/>
              <w:bottom w:type="dxa" w:w="80"/>
              <w:right w:type="dxa" w:w="100"/>
            </w:tcMar>
          </w:tcPr>
          <w:p>
            <w:pPr>
              <w:pStyle w:val="Tabla"/>
            </w:pPr>
            <w:r>
              <w:t xml:space="preserve">sistema abstracto diseñado (paradigma, modelo mental)</w:t>
            </w:r>
          </w:p>
        </w:tc>
        <w:tc>
          <w:tcPr>
            <w:tcW w:type="dxa" w:w="4816"/>
            <w:tcMar>
              <w:top w:type="dxa" w:w="80"/>
              <w:left w:type="dxa" w:w="100"/>
              <w:bottom w:type="dxa" w:w="80"/>
              <w:right w:type="dxa" w:w="100"/>
            </w:tcMar>
          </w:tcPr>
          <w:p>
            <w:pPr>
              <w:pStyle w:val="Tabla"/>
            </w:pPr>
            <w:r>
              <w:t xml:space="preserve">Referencia de estudio: Cuatro familias de sistemas, y usted ya estudió una entera durante toda la unidad 1.</w:t>
            </w:r>
          </w:p>
        </w:tc>
      </w:tr>
      <w:tr>
        <w:trPr>
          <w:cantSplit/>
          <w:tblHeader w:val="off"/>
        </w:trPr>
        <w:tc>
          <w:tcPr>
            <w:tcW w:type="dxa" w:w="4816"/>
            <w:tcMar>
              <w:top w:type="dxa" w:w="80"/>
              <w:left w:type="dxa" w:w="100"/>
              <w:bottom w:type="dxa" w:w="80"/>
              <w:right w:type="dxa" w:w="100"/>
            </w:tcMar>
          </w:tcPr>
          <w:p>
            <w:pPr>
              <w:pStyle w:val="Tabla"/>
            </w:pPr>
            <w:r>
              <w:t xml:space="preserve">premisa sistémica (el universo como conjunto de sistemas)</w:t>
            </w:r>
          </w:p>
        </w:tc>
        <w:tc>
          <w:tcPr>
            <w:tcW w:type="dxa" w:w="4816"/>
            <w:tcMar>
              <w:top w:type="dxa" w:w="80"/>
              <w:left w:type="dxa" w:w="100"/>
              <w:bottom w:type="dxa" w:w="80"/>
              <w:right w:type="dxa" w:w="100"/>
            </w:tcMar>
          </w:tcPr>
          <w:p>
            <w:pPr>
              <w:pStyle w:val="Tabla"/>
            </w:pPr>
            <w:r>
              <w:t xml:space="preserve">Referencia de estudio: Cuatro familias de sistemas, y usted ya estudió una entera durante toda la unidad 1.</w:t>
            </w:r>
          </w:p>
        </w:tc>
      </w:tr>
      <w:tr>
        <w:trPr>
          <w:cantSplit/>
          <w:tblHeader w:val="off"/>
        </w:trPr>
        <w:tc>
          <w:tcPr>
            <w:tcW w:type="dxa" w:w="4816"/>
            <w:tcMar>
              <w:top w:type="dxa" w:w="80"/>
              <w:left w:type="dxa" w:w="100"/>
              <w:bottom w:type="dxa" w:w="80"/>
              <w:right w:type="dxa" w:w="100"/>
            </w:tcMar>
          </w:tcPr>
          <w:p>
            <w:pPr>
              <w:pStyle w:val="Tabla"/>
            </w:pPr>
            <w:r>
              <w:t xml:space="preserve">orientación por tipo (aprender, usar, ingeniar)</w:t>
            </w:r>
          </w:p>
        </w:tc>
        <w:tc>
          <w:tcPr>
            <w:tcW w:type="dxa" w:w="4816"/>
            <w:tcMar>
              <w:top w:type="dxa" w:w="80"/>
              <w:left w:type="dxa" w:w="100"/>
              <w:bottom w:type="dxa" w:w="80"/>
              <w:right w:type="dxa" w:w="100"/>
            </w:tcMar>
          </w:tcPr>
          <w:p>
            <w:pPr>
              <w:pStyle w:val="Tabla"/>
            </w:pPr>
            <w:r>
              <w:t xml:space="preserve">Referencia de estudio: Cuatro familias de sistemas, y usted ya estudió una entera durante toda la unidad 1.</w:t>
            </w:r>
          </w:p>
        </w:tc>
      </w:tr>
      <w:tr>
        <w:trPr>
          <w:cantSplit/>
          <w:tblHeader w:val="off"/>
        </w:trPr>
        <w:tc>
          <w:tcPr>
            <w:tcW w:type="dxa" w:w="4816"/>
            <w:tcMar>
              <w:top w:type="dxa" w:w="80"/>
              <w:left w:type="dxa" w:w="100"/>
              <w:bottom w:type="dxa" w:w="80"/>
              <w:right w:type="dxa" w:w="100"/>
            </w:tcMar>
          </w:tcPr>
          <w:p>
            <w:pPr>
              <w:pStyle w:val="Tabla"/>
            </w:pPr>
            <w:r>
              <w:t xml:space="preserve">ambigüedad de la clasificación (zoológico, familia)</w:t>
            </w:r>
          </w:p>
        </w:tc>
        <w:tc>
          <w:tcPr>
            <w:tcW w:type="dxa" w:w="4816"/>
            <w:tcMar>
              <w:top w:type="dxa" w:w="80"/>
              <w:left w:type="dxa" w:w="100"/>
              <w:bottom w:type="dxa" w:w="80"/>
              <w:right w:type="dxa" w:w="100"/>
            </w:tcMar>
          </w:tcPr>
          <w:p>
            <w:pPr>
              <w:pStyle w:val="Tabla"/>
            </w:pPr>
            <w:r>
              <w:t xml:space="preserve">Referencia de estudio: Cuatro familias de sistemas, y usted ya estudió una entera durante toda la unidad 1.</w:t>
            </w:r>
          </w:p>
        </w:tc>
      </w:tr>
    </w:tbl>
    <w:p>
      <w:pPr>
        <w:pStyle w:val="Fuente"/>
      </w:pPr>
      <w:r>
        <w:t xml:space="preserve">Véase </w:t>
      </w:r>
      <w:hyperlink w:history="1" w:anchor="b_2_7">
        <w:r>
          <w:rPr>
            <w:color w:val="156B70"/>
            <w:u w:val="single"/>
          </w:rPr>
          <w:t xml:space="preserve">2.7 · El universo como sistemas</w:t>
        </w:r>
      </w:hyperlink>
      <w:r>
        <w:t xml:space="preserve">, pág. </w:t>
      </w:r>
      <w:r>
        <w:fldChar w:fldCharType="begin"/>
        <w:instrText xml:space="preserve">PAGEREF b_2_7 \h</w:instrText>
        <w:fldChar w:fldCharType="separate"/>
        <w:t xml:space="preserve">329</w:t>
        <w:fldChar w:fldCharType="end"/>
      </w:r>
      <w:r>
        <w:t xml:space="preserve">.</w:t>
      </w:r>
    </w:p>
    <w:p>
      <w:pPr>
        <w:pStyle w:val="Heading3"/>
      </w:pPr>
      <w:r>
        <w:t xml:space="preserve">2.8 · Otros conceptos de la TGS</w:t>
      </w:r>
    </w:p>
    <w:tbl>
      <w:tblPr>
        <w:tblW w:type="dxa" w:w="9632"/>
        <w:tblBorders>
          <w:top w:val="single" w:color="C5D5DB" w:sz="4"/>
          <w:left w:val="single" w:color="C5D5DB" w:sz="4"/>
          <w:bottom w:val="single" w:color="C5D5DB" w:sz="4"/>
          <w:right w:val="single" w:color="C5D5DB" w:sz="4"/>
          <w:insideH w:val="single" w:color="E4E9EB" w:sz="3"/>
          <w:insideV w:val="single" w:color="E4E9EB" w:sz="3"/>
        </w:tblBorders>
        <w:tblLayout w:type="fixed"/>
      </w:tblPr>
      <w:tblGrid>
        <w:gridCol w:w="4816"/>
        <w:gridCol w:w="4816"/>
      </w:tblGrid>
      <w:tr>
        <w:trPr>
          <w:cantSplit/>
          <w:tblHeader/>
        </w:trPr>
        <w:tc>
          <w:tcPr>
            <w:tcW w:type="dxa" w:w="4816"/>
            <w:shd w:fill="DFEAF0" w:val="clear"/>
            <w:tcMar>
              <w:top w:type="dxa" w:w="80"/>
              <w:left w:type="dxa" w:w="100"/>
              <w:bottom w:type="dxa" w:w="80"/>
              <w:right w:type="dxa" w:w="100"/>
            </w:tcMar>
          </w:tcPr>
          <w:p>
            <w:pPr>
              <w:pStyle w:val="Tabla"/>
            </w:pPr>
            <w:r>
              <w:rPr>
                <w:b/>
                <w:bCs/>
              </w:rPr>
              <w:t xml:space="preserve">Vocabulario del tema</w:t>
            </w:r>
          </w:p>
        </w:tc>
        <w:tc>
          <w:tcPr>
            <w:tcW w:type="dxa" w:w="4816"/>
            <w:shd w:fill="DFEAF0" w:val="clear"/>
            <w:tcMar>
              <w:top w:type="dxa" w:w="80"/>
              <w:left w:type="dxa" w:w="100"/>
              <w:bottom w:type="dxa" w:w="80"/>
              <w:right w:type="dxa" w:w="100"/>
            </w:tcMar>
          </w:tcPr>
          <w:p>
            <w:pPr>
              <w:pStyle w:val="Tabla"/>
            </w:pPr>
            <w:r>
              <w:rPr>
                <w:b/>
                <w:bCs/>
              </w:rPr>
              <w:t xml:space="preserve">Localización y contexto</w:t>
            </w:r>
          </w:p>
        </w:tc>
      </w:tr>
      <w:tr>
        <w:trPr>
          <w:cantSplit/>
          <w:tblHeader w:val="off"/>
        </w:trPr>
        <w:tc>
          <w:tcPr>
            <w:tcW w:type="dxa" w:w="4816"/>
            <w:tcMar>
              <w:top w:type="dxa" w:w="80"/>
              <w:left w:type="dxa" w:w="100"/>
              <w:bottom w:type="dxa" w:w="80"/>
              <w:right w:type="dxa" w:w="100"/>
            </w:tcMar>
          </w:tcPr>
          <w:p>
            <w:pPr>
              <w:pStyle w:val="Tabla"/>
            </w:pPr>
            <w:r>
              <w:t xml:space="preserve">retroacción (retroalimentación, realimentación)</w:t>
            </w:r>
          </w:p>
        </w:tc>
        <w:tc>
          <w:tcPr>
            <w:tcW w:type="dxa" w:w="4816"/>
            <w:tcMar>
              <w:top w:type="dxa" w:w="80"/>
              <w:left w:type="dxa" w:w="100"/>
              <w:bottom w:type="dxa" w:w="80"/>
              <w:right w:type="dxa" w:w="100"/>
            </w:tcMar>
          </w:tcPr>
          <w:p>
            <w:pPr>
              <w:pStyle w:val="Tabla"/>
            </w:pPr>
            <w:r>
              <w:t xml:space="preserve">Retroacción es una salida que vuelve como entrada, directa o indirectamente.</w:t>
            </w:r>
          </w:p>
        </w:tc>
      </w:tr>
      <w:tr>
        <w:trPr>
          <w:cantSplit/>
          <w:tblHeader w:val="off"/>
        </w:trPr>
        <w:tc>
          <w:tcPr>
            <w:tcW w:type="dxa" w:w="4816"/>
            <w:tcMar>
              <w:top w:type="dxa" w:w="80"/>
              <w:left w:type="dxa" w:w="100"/>
              <w:bottom w:type="dxa" w:w="80"/>
              <w:right w:type="dxa" w:w="100"/>
            </w:tcMar>
          </w:tcPr>
          <w:p>
            <w:pPr>
              <w:pStyle w:val="Tabla"/>
            </w:pPr>
            <w:r>
              <w:t xml:space="preserve">retroalimentación negativa (sistemas de control)</w:t>
            </w:r>
          </w:p>
        </w:tc>
        <w:tc>
          <w:tcPr>
            <w:tcW w:type="dxa" w:w="4816"/>
            <w:tcMar>
              <w:top w:type="dxa" w:w="80"/>
              <w:left w:type="dxa" w:w="100"/>
              <w:bottom w:type="dxa" w:w="80"/>
              <w:right w:type="dxa" w:w="100"/>
            </w:tcMar>
          </w:tcPr>
          <w:p>
            <w:pPr>
              <w:pStyle w:val="Tabla"/>
            </w:pPr>
            <w:r>
              <w:t xml:space="preserve">Los modelos mentales son un sistema de retroalimentación: la información de los resultados confirma los supuestos o revela que algo no encaja; corregir el modelo, mantenerlo bajo control, será la retroalimentación negativa.</w:t>
            </w:r>
          </w:p>
        </w:tc>
      </w:tr>
      <w:tr>
        <w:trPr>
          <w:cantSplit/>
          <w:tblHeader w:val="off"/>
        </w:trPr>
        <w:tc>
          <w:tcPr>
            <w:tcW w:type="dxa" w:w="4816"/>
            <w:tcMar>
              <w:top w:type="dxa" w:w="80"/>
              <w:left w:type="dxa" w:w="100"/>
              <w:bottom w:type="dxa" w:w="80"/>
              <w:right w:type="dxa" w:w="100"/>
            </w:tcMar>
          </w:tcPr>
          <w:p>
            <w:pPr>
              <w:pStyle w:val="Tabla"/>
            </w:pPr>
            <w:r>
              <w:t xml:space="preserve">homeostasis (equilibrio dinámico)</w:t>
            </w:r>
          </w:p>
        </w:tc>
        <w:tc>
          <w:tcPr>
            <w:tcW w:type="dxa" w:w="4816"/>
            <w:tcMar>
              <w:top w:type="dxa" w:w="80"/>
              <w:left w:type="dxa" w:w="100"/>
              <w:bottom w:type="dxa" w:w="80"/>
              <w:right w:type="dxa" w:w="100"/>
            </w:tcMar>
          </w:tcPr>
          <w:p>
            <w:pPr>
              <w:pStyle w:val="Tabla"/>
            </w:pPr>
            <w:r>
              <w:t xml:space="preserve">Homeostasis es regulación del ambiente interno para sostener condiciones relativamente constantes y estables.</w:t>
            </w:r>
          </w:p>
        </w:tc>
      </w:tr>
      <w:tr>
        <w:trPr>
          <w:cantSplit/>
          <w:tblHeader w:val="off"/>
        </w:trPr>
        <w:tc>
          <w:tcPr>
            <w:tcW w:type="dxa" w:w="4816"/>
            <w:tcMar>
              <w:top w:type="dxa" w:w="80"/>
              <w:left w:type="dxa" w:w="100"/>
              <w:bottom w:type="dxa" w:w="80"/>
              <w:right w:type="dxa" w:w="100"/>
            </w:tcMar>
          </w:tcPr>
          <w:p>
            <w:pPr>
              <w:pStyle w:val="Tabla"/>
            </w:pPr>
            <w:r>
              <w:t xml:space="preserve">entropía (grado de orden o desorden)</w:t>
            </w:r>
          </w:p>
        </w:tc>
        <w:tc>
          <w:tcPr>
            <w:tcW w:type="dxa" w:w="4816"/>
            <w:tcMar>
              <w:top w:type="dxa" w:w="80"/>
              <w:left w:type="dxa" w:w="100"/>
              <w:bottom w:type="dxa" w:w="80"/>
              <w:right w:type="dxa" w:w="100"/>
            </w:tcMar>
          </w:tcPr>
          <w:p>
            <w:pPr>
              <w:pStyle w:val="Tabla"/>
            </w:pPr>
            <w:r>
              <w:t xml:space="preserve">Entropía es desorden y pérdida progresiva de relaciones que forman el sistema.</w:t>
            </w:r>
          </w:p>
        </w:tc>
      </w:tr>
      <w:tr>
        <w:trPr>
          <w:cantSplit/>
          <w:tblHeader w:val="off"/>
        </w:trPr>
        <w:tc>
          <w:tcPr>
            <w:tcW w:type="dxa" w:w="4816"/>
            <w:tcMar>
              <w:top w:type="dxa" w:w="80"/>
              <w:left w:type="dxa" w:w="100"/>
              <w:bottom w:type="dxa" w:w="80"/>
              <w:right w:type="dxa" w:w="100"/>
            </w:tcMar>
          </w:tcPr>
          <w:p>
            <w:pPr>
              <w:pStyle w:val="Tabla"/>
            </w:pPr>
            <w:r>
              <w:t xml:space="preserve">neguentropía (energía opuesta, mecanismo regulador)</w:t>
            </w:r>
          </w:p>
        </w:tc>
        <w:tc>
          <w:tcPr>
            <w:tcW w:type="dxa" w:w="4816"/>
            <w:tcMar>
              <w:top w:type="dxa" w:w="80"/>
              <w:left w:type="dxa" w:w="100"/>
              <w:bottom w:type="dxa" w:w="80"/>
              <w:right w:type="dxa" w:w="100"/>
            </w:tcMar>
          </w:tcPr>
          <w:p>
            <w:pPr>
              <w:pStyle w:val="Tabla"/>
            </w:pPr>
            <w:r>
              <w:t xml:space="preserve">Neguentropía es una fuerza que produce niveles mayores de orden.</w:t>
            </w:r>
          </w:p>
        </w:tc>
      </w:tr>
      <w:tr>
        <w:trPr>
          <w:cantSplit/>
          <w:tblHeader w:val="off"/>
        </w:trPr>
        <w:tc>
          <w:tcPr>
            <w:tcW w:type="dxa" w:w="4816"/>
            <w:tcMar>
              <w:top w:type="dxa" w:w="80"/>
              <w:left w:type="dxa" w:w="100"/>
              <w:bottom w:type="dxa" w:w="80"/>
              <w:right w:type="dxa" w:w="100"/>
            </w:tcMar>
          </w:tcPr>
          <w:p>
            <w:pPr>
              <w:pStyle w:val="Tabla"/>
            </w:pPr>
            <w:r>
              <w:t xml:space="preserve">sistema abierto y sistema cerrado</w:t>
            </w:r>
          </w:p>
        </w:tc>
        <w:tc>
          <w:tcPr>
            <w:tcW w:type="dxa" w:w="4816"/>
            <w:tcMar>
              <w:top w:type="dxa" w:w="80"/>
              <w:left w:type="dxa" w:w="100"/>
              <w:bottom w:type="dxa" w:w="80"/>
              <w:right w:type="dxa" w:w="100"/>
            </w:tcMar>
          </w:tcPr>
          <w:p>
            <w:pPr>
              <w:pStyle w:val="Tabla"/>
            </w:pPr>
            <w:r>
              <w:t xml:space="preserve">Referencia de estudio: El resto del vocabulario con el que se describe cualquier sistema.</w:t>
            </w:r>
          </w:p>
        </w:tc>
      </w:tr>
      <w:tr>
        <w:trPr>
          <w:cantSplit/>
          <w:tblHeader w:val="off"/>
        </w:trPr>
        <w:tc>
          <w:tcPr>
            <w:tcW w:type="dxa" w:w="4816"/>
            <w:tcMar>
              <w:top w:type="dxa" w:w="80"/>
              <w:left w:type="dxa" w:w="100"/>
              <w:bottom w:type="dxa" w:w="80"/>
              <w:right w:type="dxa" w:w="100"/>
            </w:tcMar>
          </w:tcPr>
          <w:p>
            <w:pPr>
              <w:pStyle w:val="Tabla"/>
            </w:pPr>
            <w:r>
              <w:t xml:space="preserve">equifinalidad</w:t>
            </w:r>
          </w:p>
        </w:tc>
        <w:tc>
          <w:tcPr>
            <w:tcW w:type="dxa" w:w="4816"/>
            <w:tcMar>
              <w:top w:type="dxa" w:w="80"/>
              <w:left w:type="dxa" w:w="100"/>
              <w:bottom w:type="dxa" w:w="80"/>
              <w:right w:type="dxa" w:w="100"/>
            </w:tcMar>
          </w:tcPr>
          <w:p>
            <w:pPr>
              <w:pStyle w:val="Tabla"/>
            </w:pPr>
            <w:r>
              <w:t xml:space="preserve">Equifinalidad es la propiedad de sistemas abiertos de alcanzar objetivos por caminos distintos.</w:t>
            </w:r>
          </w:p>
        </w:tc>
      </w:tr>
      <w:tr>
        <w:trPr>
          <w:cantSplit/>
          <w:tblHeader w:val="off"/>
        </w:trPr>
        <w:tc>
          <w:tcPr>
            <w:tcW w:type="dxa" w:w="4816"/>
            <w:tcMar>
              <w:top w:type="dxa" w:w="80"/>
              <w:left w:type="dxa" w:w="100"/>
              <w:bottom w:type="dxa" w:w="80"/>
              <w:right w:type="dxa" w:w="100"/>
            </w:tcMar>
          </w:tcPr>
          <w:p>
            <w:pPr>
              <w:pStyle w:val="Tabla"/>
            </w:pPr>
            <w:r>
              <w:t xml:space="preserve">multifinalidad (sólo nombrada)</w:t>
            </w:r>
          </w:p>
        </w:tc>
        <w:tc>
          <w:tcPr>
            <w:tcW w:type="dxa" w:w="4816"/>
            <w:tcMar>
              <w:top w:type="dxa" w:w="80"/>
              <w:left w:type="dxa" w:w="100"/>
              <w:bottom w:type="dxa" w:w="80"/>
              <w:right w:type="dxa" w:w="100"/>
            </w:tcMar>
          </w:tcPr>
          <w:p>
            <w:pPr>
              <w:pStyle w:val="Tabla"/>
            </w:pPr>
            <w:r>
              <w:t xml:space="preserve">Equifinalidad y multifinalidad se oyen en otros enfoques científicos, pero son característica sistémica; la multifinalidad es «el sentido opuesto», similar pero opuesta a la equifinalidad, como neguentropía y entropía: no se definió y quedó de investigación.</w:t>
            </w:r>
          </w:p>
        </w:tc>
      </w:tr>
      <w:tr>
        <w:trPr>
          <w:cantSplit/>
          <w:tblHeader w:val="off"/>
        </w:trPr>
        <w:tc>
          <w:tcPr>
            <w:tcW w:type="dxa" w:w="4816"/>
            <w:tcMar>
              <w:top w:type="dxa" w:w="80"/>
              <w:left w:type="dxa" w:w="100"/>
              <w:bottom w:type="dxa" w:w="80"/>
              <w:right w:type="dxa" w:w="100"/>
            </w:tcMar>
          </w:tcPr>
          <w:p>
            <w:pPr>
              <w:pStyle w:val="Tabla"/>
            </w:pPr>
            <w:r>
              <w:t xml:space="preserve">jerarquía sistémica (subsistemas, sistemas, suprasistemas)</w:t>
            </w:r>
          </w:p>
        </w:tc>
        <w:tc>
          <w:tcPr>
            <w:tcW w:type="dxa" w:w="4816"/>
            <w:tcMar>
              <w:top w:type="dxa" w:w="80"/>
              <w:left w:type="dxa" w:w="100"/>
              <w:bottom w:type="dxa" w:w="80"/>
              <w:right w:type="dxa" w:w="100"/>
            </w:tcMar>
          </w:tcPr>
          <w:p>
            <w:pPr>
              <w:pStyle w:val="Tabla"/>
            </w:pPr>
            <w:r>
              <w:t xml:space="preserve">En el diagrama de la clase, la retroalimentación («feedback» negativo o positivo) forma los ciclos no lineales de los sistemas, y la jerarquía sistémica va de subsistemas a sistemas y a suprasistemas.</w:t>
            </w:r>
          </w:p>
        </w:tc>
      </w:tr>
      <w:tr>
        <w:trPr>
          <w:cantSplit/>
          <w:tblHeader w:val="off"/>
        </w:trPr>
        <w:tc>
          <w:tcPr>
            <w:tcW w:type="dxa" w:w="4816"/>
            <w:tcMar>
              <w:top w:type="dxa" w:w="80"/>
              <w:left w:type="dxa" w:w="100"/>
              <w:bottom w:type="dxa" w:w="80"/>
              <w:right w:type="dxa" w:w="100"/>
            </w:tcMar>
          </w:tcPr>
          <w:p>
            <w:pPr>
              <w:pStyle w:val="Tabla"/>
            </w:pPr>
            <w:r>
              <w:t xml:space="preserve">entradas y salidas</w:t>
            </w:r>
          </w:p>
        </w:tc>
        <w:tc>
          <w:tcPr>
            <w:tcW w:type="dxa" w:w="4816"/>
            <w:tcMar>
              <w:top w:type="dxa" w:w="80"/>
              <w:left w:type="dxa" w:w="100"/>
              <w:bottom w:type="dxa" w:w="80"/>
              <w:right w:type="dxa" w:w="100"/>
            </w:tcMar>
          </w:tcPr>
          <w:p>
            <w:pPr>
              <w:pStyle w:val="Tabla"/>
            </w:pPr>
            <w:r>
              <w:t xml:space="preserve">Otra clasificación fundamental: el abierto se diferencia del cerrado por su interacción con el medio; como todo sistema tiene entradas y salidas, «la mayoría de sistemas son abiertos».</w:t>
            </w:r>
          </w:p>
        </w:tc>
      </w:tr>
    </w:tbl>
    <w:p>
      <w:pPr>
        <w:pStyle w:val="Fuente"/>
      </w:pPr>
      <w:r>
        <w:t xml:space="preserve">Véase </w:t>
      </w:r>
      <w:hyperlink w:history="1" w:anchor="b_2_8">
        <w:r>
          <w:rPr>
            <w:color w:val="156B70"/>
            <w:u w:val="single"/>
          </w:rPr>
          <w:t xml:space="preserve">2.8 · Otros conceptos de la TGS</w:t>
        </w:r>
      </w:hyperlink>
      <w:r>
        <w:t xml:space="preserve">, pág. </w:t>
      </w:r>
      <w:r>
        <w:fldChar w:fldCharType="begin"/>
        <w:instrText xml:space="preserve">PAGEREF b_2_8 \h</w:instrText>
        <w:fldChar w:fldCharType="separate"/>
        <w:t xml:space="preserve">345</w:t>
        <w:fldChar w:fldCharType="end"/>
      </w:r>
      <w:r>
        <w:t xml:space="preserve">.</w:t>
      </w:r>
    </w:p>
    <w:p>
      <w:pPr>
        <w:pStyle w:val="Heading3"/>
      </w:pPr>
      <w:r>
        <w:t xml:space="preserve">2.9 · Introducción a los hábitos</w:t>
      </w:r>
    </w:p>
    <w:tbl>
      <w:tblPr>
        <w:tblW w:type="dxa" w:w="9632"/>
        <w:tblBorders>
          <w:top w:val="single" w:color="C5D5DB" w:sz="4"/>
          <w:left w:val="single" w:color="C5D5DB" w:sz="4"/>
          <w:bottom w:val="single" w:color="C5D5DB" w:sz="4"/>
          <w:right w:val="single" w:color="C5D5DB" w:sz="4"/>
          <w:insideH w:val="single" w:color="E4E9EB" w:sz="3"/>
          <w:insideV w:val="single" w:color="E4E9EB" w:sz="3"/>
        </w:tblBorders>
        <w:tblLayout w:type="fixed"/>
      </w:tblPr>
      <w:tblGrid>
        <w:gridCol w:w="4816"/>
        <w:gridCol w:w="4816"/>
      </w:tblGrid>
      <w:tr>
        <w:trPr>
          <w:cantSplit/>
          <w:tblHeader/>
        </w:trPr>
        <w:tc>
          <w:tcPr>
            <w:tcW w:type="dxa" w:w="4816"/>
            <w:shd w:fill="DFEAF0" w:val="clear"/>
            <w:tcMar>
              <w:top w:type="dxa" w:w="80"/>
              <w:left w:type="dxa" w:w="100"/>
              <w:bottom w:type="dxa" w:w="80"/>
              <w:right w:type="dxa" w:w="100"/>
            </w:tcMar>
          </w:tcPr>
          <w:p>
            <w:pPr>
              <w:pStyle w:val="Tabla"/>
            </w:pPr>
            <w:r>
              <w:rPr>
                <w:b/>
                <w:bCs/>
              </w:rPr>
              <w:t xml:space="preserve">Vocabulario del tema</w:t>
            </w:r>
          </w:p>
        </w:tc>
        <w:tc>
          <w:tcPr>
            <w:tcW w:type="dxa" w:w="4816"/>
            <w:shd w:fill="DFEAF0" w:val="clear"/>
            <w:tcMar>
              <w:top w:type="dxa" w:w="80"/>
              <w:left w:type="dxa" w:w="100"/>
              <w:bottom w:type="dxa" w:w="80"/>
              <w:right w:type="dxa" w:w="100"/>
            </w:tcMar>
          </w:tcPr>
          <w:p>
            <w:pPr>
              <w:pStyle w:val="Tabla"/>
            </w:pPr>
            <w:r>
              <w:rPr>
                <w:b/>
                <w:bCs/>
              </w:rPr>
              <w:t xml:space="preserve">Localización y contexto</w:t>
            </w:r>
          </w:p>
        </w:tc>
      </w:tr>
      <w:tr>
        <w:trPr>
          <w:cantSplit/>
          <w:tblHeader w:val="off"/>
        </w:trPr>
        <w:tc>
          <w:tcPr>
            <w:tcW w:type="dxa" w:w="4816"/>
            <w:tcMar>
              <w:top w:type="dxa" w:w="80"/>
              <w:left w:type="dxa" w:w="100"/>
              <w:bottom w:type="dxa" w:w="80"/>
              <w:right w:type="dxa" w:w="100"/>
            </w:tcMar>
          </w:tcPr>
          <w:p>
            <w:pPr>
              <w:pStyle w:val="Tabla"/>
            </w:pPr>
            <w:r>
              <w:t xml:space="preserve">pensador sistémico</w:t>
            </w:r>
          </w:p>
        </w:tc>
        <w:tc>
          <w:tcPr>
            <w:tcW w:type="dxa" w:w="4816"/>
            <w:tcMar>
              <w:top w:type="dxa" w:w="80"/>
              <w:left w:type="dxa" w:w="100"/>
              <w:bottom w:type="dxa" w:w="80"/>
              <w:right w:type="dxa" w:w="100"/>
            </w:tcMar>
          </w:tcPr>
          <w:p>
            <w:pPr>
              <w:pStyle w:val="Tabla"/>
            </w:pPr>
            <w:r>
              <w:t xml:space="preserve">Meta del curso: comprender e identificarse con el perfil del pensador sistémico, más consciente de su desempeño personal y profesional y del entorno, para decidir mejor e intervenir eficiente y efectivamente.</w:t>
            </w:r>
          </w:p>
        </w:tc>
      </w:tr>
      <w:tr>
        <w:trPr>
          <w:cantSplit/>
          <w:tblHeader w:val="off"/>
        </w:trPr>
        <w:tc>
          <w:tcPr>
            <w:tcW w:type="dxa" w:w="4816"/>
            <w:tcMar>
              <w:top w:type="dxa" w:w="80"/>
              <w:left w:type="dxa" w:w="100"/>
              <w:bottom w:type="dxa" w:w="80"/>
              <w:right w:type="dxa" w:w="100"/>
            </w:tcMar>
          </w:tcPr>
          <w:p>
            <w:pPr>
              <w:pStyle w:val="Tabla"/>
            </w:pPr>
            <w:r>
              <w:t xml:space="preserve">perfil del pensador sistémico</w:t>
            </w:r>
          </w:p>
        </w:tc>
        <w:tc>
          <w:tcPr>
            <w:tcW w:type="dxa" w:w="4816"/>
            <w:tcMar>
              <w:top w:type="dxa" w:w="80"/>
              <w:left w:type="dxa" w:w="100"/>
              <w:bottom w:type="dxa" w:w="80"/>
              <w:right w:type="dxa" w:w="100"/>
            </w:tcMar>
          </w:tcPr>
          <w:p>
            <w:pPr>
              <w:pStyle w:val="Tabla"/>
            </w:pPr>
            <w:r>
              <w:t xml:space="preserve">Meta del curso: comprender e identificarse con el perfil del pensador sistémico, más consciente de su desempeño personal y profesional y del entorno, para decidir mejor e intervenir eficiente y efectivamente.</w:t>
            </w:r>
          </w:p>
        </w:tc>
      </w:tr>
      <w:tr>
        <w:trPr>
          <w:cantSplit/>
          <w:tblHeader w:val="off"/>
        </w:trPr>
        <w:tc>
          <w:tcPr>
            <w:tcW w:type="dxa" w:w="4816"/>
            <w:tcMar>
              <w:top w:type="dxa" w:w="80"/>
              <w:left w:type="dxa" w:w="100"/>
              <w:bottom w:type="dxa" w:w="80"/>
              <w:right w:type="dxa" w:w="100"/>
            </w:tcMar>
          </w:tcPr>
          <w:p>
            <w:pPr>
              <w:pStyle w:val="Tabla"/>
            </w:pPr>
            <w:r>
              <w:t xml:space="preserve">hábito (comportamiento repetido)</w:t>
            </w:r>
          </w:p>
        </w:tc>
        <w:tc>
          <w:tcPr>
            <w:tcW w:type="dxa" w:w="4816"/>
            <w:tcMar>
              <w:top w:type="dxa" w:w="80"/>
              <w:left w:type="dxa" w:w="100"/>
              <w:bottom w:type="dxa" w:w="80"/>
              <w:right w:type="dxa" w:w="100"/>
            </w:tcMar>
          </w:tcPr>
          <w:p>
            <w:pPr>
              <w:pStyle w:val="Tabla"/>
            </w:pPr>
            <w:r>
              <w:t xml:space="preserve">Hábitos: comportamientos diarios y repetidos; esos comportamientos repetitivos moldean el comportamiento y crean la personalidad.</w:t>
            </w:r>
          </w:p>
        </w:tc>
      </w:tr>
      <w:tr>
        <w:trPr>
          <w:cantSplit/>
          <w:tblHeader w:val="off"/>
        </w:trPr>
        <w:tc>
          <w:tcPr>
            <w:tcW w:type="dxa" w:w="4816"/>
            <w:tcMar>
              <w:top w:type="dxa" w:w="80"/>
              <w:left w:type="dxa" w:w="100"/>
              <w:bottom w:type="dxa" w:w="80"/>
              <w:right w:type="dxa" w:w="100"/>
            </w:tcMar>
          </w:tcPr>
          <w:p>
            <w:pPr>
              <w:pStyle w:val="Tabla"/>
            </w:pPr>
            <w:r>
              <w:t xml:space="preserve">modelo de hábitos de la Waters Foundation (14 hábitos)</w:t>
            </w:r>
          </w:p>
        </w:tc>
        <w:tc>
          <w:tcPr>
            <w:tcW w:type="dxa" w:w="4816"/>
            <w:tcMar>
              <w:top w:type="dxa" w:w="80"/>
              <w:left w:type="dxa" w:w="100"/>
              <w:bottom w:type="dxa" w:w="80"/>
              <w:right w:type="dxa" w:w="100"/>
            </w:tcMar>
          </w:tcPr>
          <w:p>
            <w:pPr>
              <w:pStyle w:val="Tabla"/>
            </w:pPr>
            <w:r>
              <w:t xml:space="preserve">Referencia de estudio: El puente entre la teoría de sistemas y la manera concreta de mirar.</w:t>
            </w:r>
          </w:p>
        </w:tc>
      </w:tr>
      <w:tr>
        <w:trPr>
          <w:cantSplit/>
          <w:tblHeader w:val="off"/>
        </w:trPr>
        <w:tc>
          <w:tcPr>
            <w:tcW w:type="dxa" w:w="4816"/>
            <w:tcMar>
              <w:top w:type="dxa" w:w="80"/>
              <w:left w:type="dxa" w:w="100"/>
              <w:bottom w:type="dxa" w:w="80"/>
              <w:right w:type="dxa" w:w="100"/>
            </w:tcMar>
          </w:tcPr>
          <w:p>
            <w:pPr>
              <w:pStyle w:val="Tabla"/>
            </w:pPr>
            <w:r>
              <w:t xml:space="preserve">maneja el paradigma de sistemas</w:t>
            </w:r>
          </w:p>
        </w:tc>
        <w:tc>
          <w:tcPr>
            <w:tcW w:type="dxa" w:w="4816"/>
            <w:tcMar>
              <w:top w:type="dxa" w:w="80"/>
              <w:left w:type="dxa" w:w="100"/>
              <w:bottom w:type="dxa" w:w="80"/>
              <w:right w:type="dxa" w:w="100"/>
            </w:tcMar>
          </w:tcPr>
          <w:p>
            <w:pPr>
              <w:pStyle w:val="Tabla"/>
            </w:pPr>
            <w:r>
              <w:t xml:space="preserve">Cierre de la unidad 2: maneja el paradigma de sistemas y construye modelos mentales sistémicos con estos conceptos, empezando por el de sistema, básico y fundamental; ese hábito se desglosará en subhábitos.</w:t>
            </w:r>
          </w:p>
        </w:tc>
      </w:tr>
      <w:tr>
        <w:trPr>
          <w:cantSplit/>
          <w:tblHeader w:val="off"/>
        </w:trPr>
        <w:tc>
          <w:tcPr>
            <w:tcW w:type="dxa" w:w="4816"/>
            <w:tcMar>
              <w:top w:type="dxa" w:w="80"/>
              <w:left w:type="dxa" w:w="100"/>
              <w:bottom w:type="dxa" w:w="80"/>
              <w:right w:type="dxa" w:w="100"/>
            </w:tcMar>
          </w:tcPr>
          <w:p>
            <w:pPr>
              <w:pStyle w:val="Tabla"/>
            </w:pPr>
            <w:r>
              <w:t xml:space="preserve">construye modelos mentales sistémicos</w:t>
            </w:r>
          </w:p>
        </w:tc>
        <w:tc>
          <w:tcPr>
            <w:tcW w:type="dxa" w:w="4816"/>
            <w:tcMar>
              <w:top w:type="dxa" w:w="80"/>
              <w:left w:type="dxa" w:w="100"/>
              <w:bottom w:type="dxa" w:w="80"/>
              <w:right w:type="dxa" w:w="100"/>
            </w:tcMar>
          </w:tcPr>
          <w:p>
            <w:pPr>
              <w:pStyle w:val="Tabla"/>
            </w:pPr>
            <w:r>
              <w:t xml:space="preserve">Cierre de la unidad 2: maneja el paradigma de sistemas y construye modelos mentales sistémicos con estos conceptos, empezando por el de sistema, básico y fundamental; ese hábito se desglosará en subhábitos.</w:t>
            </w:r>
          </w:p>
        </w:tc>
      </w:tr>
      <w:tr>
        <w:trPr>
          <w:cantSplit/>
          <w:tblHeader w:val="off"/>
        </w:trPr>
        <w:tc>
          <w:tcPr>
            <w:tcW w:type="dxa" w:w="4816"/>
            <w:tcMar>
              <w:top w:type="dxa" w:w="80"/>
              <w:left w:type="dxa" w:w="100"/>
              <w:bottom w:type="dxa" w:w="80"/>
              <w:right w:type="dxa" w:w="100"/>
            </w:tcMar>
          </w:tcPr>
          <w:p>
            <w:pPr>
              <w:pStyle w:val="Tabla"/>
            </w:pPr>
            <w:r>
              <w:t xml:space="preserve">creadores de teorías</w:t>
            </w:r>
          </w:p>
        </w:tc>
        <w:tc>
          <w:tcPr>
            <w:tcW w:type="dxa" w:w="4816"/>
            <w:tcMar>
              <w:top w:type="dxa" w:w="80"/>
              <w:left w:type="dxa" w:w="100"/>
              <w:bottom w:type="dxa" w:w="80"/>
              <w:right w:type="dxa" w:w="100"/>
            </w:tcMar>
          </w:tcPr>
          <w:p>
            <w:pPr>
              <w:pStyle w:val="Tabla"/>
            </w:pPr>
            <w:r>
              <w:t xml:space="preserve">Todos somos creadores de teorías; hay que distinguir si la teoría es general y sistémica o incompleta y bajo supuestos no comprobados; el pensador sistémico reconoce que sus teorías pueden ser equivocadas o imprecisas y se abre a validarlas, ampliarlas o completarlas.</w:t>
            </w:r>
          </w:p>
        </w:tc>
      </w:tr>
      <w:tr>
        <w:trPr>
          <w:cantSplit/>
          <w:tblHeader w:val="off"/>
        </w:trPr>
        <w:tc>
          <w:tcPr>
            <w:tcW w:type="dxa" w:w="4816"/>
            <w:tcMar>
              <w:top w:type="dxa" w:w="80"/>
              <w:left w:type="dxa" w:w="100"/>
              <w:bottom w:type="dxa" w:w="80"/>
              <w:right w:type="dxa" w:w="100"/>
            </w:tcMar>
          </w:tcPr>
          <w:p>
            <w:pPr>
              <w:pStyle w:val="Tabla"/>
            </w:pPr>
            <w:r>
              <w:t xml:space="preserve">subhábitos (unidad 3)</w:t>
            </w:r>
          </w:p>
        </w:tc>
        <w:tc>
          <w:tcPr>
            <w:tcW w:type="dxa" w:w="4816"/>
            <w:tcMar>
              <w:top w:type="dxa" w:w="80"/>
              <w:left w:type="dxa" w:w="100"/>
              <w:bottom w:type="dxa" w:w="80"/>
              <w:right w:type="dxa" w:w="100"/>
            </w:tcMar>
          </w:tcPr>
          <w:p>
            <w:pPr>
              <w:pStyle w:val="Tabla"/>
            </w:pPr>
            <w:r>
              <w:t xml:space="preserve">Cierre de la unidad 2: maneja el paradigma de sistemas y construye modelos mentales sistémicos con estos conceptos, empezando por el de sistema, básico y fundamental; ese hábito se desglosará en subhábitos.</w:t>
            </w:r>
          </w:p>
        </w:tc>
      </w:tr>
    </w:tbl>
    <w:p>
      <w:pPr>
        <w:pStyle w:val="Fuente"/>
      </w:pPr>
      <w:r>
        <w:t xml:space="preserve">Véase </w:t>
      </w:r>
      <w:hyperlink w:history="1" w:anchor="b_2_9">
        <w:r>
          <w:rPr>
            <w:color w:val="156B70"/>
            <w:u w:val="single"/>
          </w:rPr>
          <w:t xml:space="preserve">2.9 · Introducción a los hábitos</w:t>
        </w:r>
      </w:hyperlink>
      <w:r>
        <w:t xml:space="preserve">, pág. </w:t>
      </w:r>
      <w:r>
        <w:fldChar w:fldCharType="begin"/>
        <w:instrText xml:space="preserve">PAGEREF b_2_9 \h</w:instrText>
        <w:fldChar w:fldCharType="separate"/>
        <w:t xml:space="preserve">366</w:t>
        <w:fldChar w:fldCharType="end"/>
      </w:r>
      <w:r>
        <w:t xml:space="preserve">.</w:t>
      </w:r>
    </w:p>
    <w:p>
      <w:pPr>
        <w:pStyle w:val="Heading3"/>
      </w:pPr>
      <w:r>
        <w:t xml:space="preserve">3.1 · Mapas sistémicos</w:t>
      </w:r>
    </w:p>
    <w:tbl>
      <w:tblPr>
        <w:tblW w:type="dxa" w:w="9632"/>
        <w:tblBorders>
          <w:top w:val="single" w:color="C5D5DB" w:sz="4"/>
          <w:left w:val="single" w:color="C5D5DB" w:sz="4"/>
          <w:bottom w:val="single" w:color="C5D5DB" w:sz="4"/>
          <w:right w:val="single" w:color="C5D5DB" w:sz="4"/>
          <w:insideH w:val="single" w:color="E4E9EB" w:sz="3"/>
          <w:insideV w:val="single" w:color="E4E9EB" w:sz="3"/>
        </w:tblBorders>
        <w:tblLayout w:type="fixed"/>
      </w:tblPr>
      <w:tblGrid>
        <w:gridCol w:w="4816"/>
        <w:gridCol w:w="4816"/>
      </w:tblGrid>
      <w:tr>
        <w:trPr>
          <w:cantSplit/>
          <w:tblHeader/>
        </w:trPr>
        <w:tc>
          <w:tcPr>
            <w:tcW w:type="dxa" w:w="4816"/>
            <w:shd w:fill="DFEAF0" w:val="clear"/>
            <w:tcMar>
              <w:top w:type="dxa" w:w="80"/>
              <w:left w:type="dxa" w:w="100"/>
              <w:bottom w:type="dxa" w:w="80"/>
              <w:right w:type="dxa" w:w="100"/>
            </w:tcMar>
          </w:tcPr>
          <w:p>
            <w:pPr>
              <w:pStyle w:val="Tabla"/>
            </w:pPr>
            <w:r>
              <w:rPr>
                <w:b/>
                <w:bCs/>
              </w:rPr>
              <w:t xml:space="preserve">Vocabulario del tema</w:t>
            </w:r>
          </w:p>
        </w:tc>
        <w:tc>
          <w:tcPr>
            <w:tcW w:type="dxa" w:w="4816"/>
            <w:shd w:fill="DFEAF0" w:val="clear"/>
            <w:tcMar>
              <w:top w:type="dxa" w:w="80"/>
              <w:left w:type="dxa" w:w="100"/>
              <w:bottom w:type="dxa" w:w="80"/>
              <w:right w:type="dxa" w:w="100"/>
            </w:tcMar>
          </w:tcPr>
          <w:p>
            <w:pPr>
              <w:pStyle w:val="Tabla"/>
            </w:pPr>
            <w:r>
              <w:rPr>
                <w:b/>
                <w:bCs/>
              </w:rPr>
              <w:t xml:space="preserve">Localización y contexto</w:t>
            </w:r>
          </w:p>
        </w:tc>
      </w:tr>
      <w:tr>
        <w:trPr>
          <w:cantSplit/>
          <w:tblHeader w:val="off"/>
        </w:trPr>
        <w:tc>
          <w:tcPr>
            <w:tcW w:type="dxa" w:w="4816"/>
            <w:tcMar>
              <w:top w:type="dxa" w:w="80"/>
              <w:left w:type="dxa" w:w="100"/>
              <w:bottom w:type="dxa" w:w="80"/>
              <w:right w:type="dxa" w:w="100"/>
            </w:tcMar>
          </w:tcPr>
          <w:p>
            <w:pPr>
              <w:pStyle w:val="Tabla"/>
            </w:pPr>
            <w:r>
              <w:t xml:space="preserve">mapa sistémico (modelo sistémico gráfico, modelo formal del sistema, notación gráfica)</w:t>
            </w:r>
          </w:p>
        </w:tc>
        <w:tc>
          <w:tcPr>
            <w:tcW w:type="dxa" w:w="4816"/>
            <w:tcMar>
              <w:top w:type="dxa" w:w="80"/>
              <w:left w:type="dxa" w:w="100"/>
              <w:bottom w:type="dxa" w:w="80"/>
              <w:right w:type="dxa" w:w="100"/>
            </w:tcMar>
          </w:tcPr>
          <w:p>
            <w:pPr>
              <w:pStyle w:val="Tabla"/>
            </w:pPr>
            <w:r>
              <w:t xml:space="preserve">Mapa sistémico: representación gráfica de comportamientos con sintaxis que se aprende a construir, interpretar y utilizar.</w:t>
            </w:r>
          </w:p>
        </w:tc>
      </w:tr>
      <w:tr>
        <w:trPr>
          <w:cantSplit/>
          <w:tblHeader w:val="off"/>
        </w:trPr>
        <w:tc>
          <w:tcPr>
            <w:tcW w:type="dxa" w:w="4816"/>
            <w:tcMar>
              <w:top w:type="dxa" w:w="80"/>
              <w:left w:type="dxa" w:w="100"/>
              <w:bottom w:type="dxa" w:w="80"/>
              <w:right w:type="dxa" w:w="100"/>
            </w:tcMar>
          </w:tcPr>
          <w:p>
            <w:pPr>
              <w:pStyle w:val="Tabla"/>
            </w:pPr>
            <w:r>
              <w:t xml:space="preserve">modelación sistémica (modelaje sistémico, modelaje haciendo mapas)</w:t>
            </w:r>
          </w:p>
        </w:tc>
        <w:tc>
          <w:tcPr>
            <w:tcW w:type="dxa" w:w="4816"/>
            <w:tcMar>
              <w:top w:type="dxa" w:w="80"/>
              <w:left w:type="dxa" w:w="100"/>
              <w:bottom w:type="dxa" w:w="80"/>
              <w:right w:type="dxa" w:w="100"/>
            </w:tcMar>
          </w:tcPr>
          <w:p>
            <w:pPr>
              <w:pStyle w:val="Tabla"/>
            </w:pPr>
            <w:r>
              <w:t xml:space="preserve">Referencia de estudio: Un mapa sistémico es un modelo: una sintaxis gráfica que se aprende a hacer, a leer y a discutir, no un dibujo decorativo.</w:t>
            </w:r>
          </w:p>
        </w:tc>
      </w:tr>
      <w:tr>
        <w:trPr>
          <w:cantSplit/>
          <w:tblHeader w:val="off"/>
        </w:trPr>
        <w:tc>
          <w:tcPr>
            <w:tcW w:type="dxa" w:w="4816"/>
            <w:tcMar>
              <w:top w:type="dxa" w:w="80"/>
              <w:left w:type="dxa" w:w="100"/>
              <w:bottom w:type="dxa" w:w="80"/>
              <w:right w:type="dxa" w:w="100"/>
            </w:tcMar>
          </w:tcPr>
          <w:p>
            <w:pPr>
              <w:pStyle w:val="Tabla"/>
            </w:pPr>
            <w:r>
              <w:t xml:space="preserve">modelo mental sistémico (estructura más bits de información)</w:t>
            </w:r>
          </w:p>
        </w:tc>
        <w:tc>
          <w:tcPr>
            <w:tcW w:type="dxa" w:w="4816"/>
            <w:tcMar>
              <w:top w:type="dxa" w:w="80"/>
              <w:left w:type="dxa" w:w="100"/>
              <w:bottom w:type="dxa" w:w="80"/>
              <w:right w:type="dxa" w:w="100"/>
            </w:tcMar>
          </w:tcPr>
          <w:p>
            <w:pPr>
              <w:pStyle w:val="Tabla"/>
            </w:pPr>
            <w:r>
              <w:t xml:space="preserve">Modelo mental sistémico: estructura más bits de información ordenados según las cuatro operaciones; el mapa balancea contenido informacional (conceptos) y estructura (sistemas, relaciones, perspectivas). «El modelo es el mapa, visualmente hablando», aunque nace en la abstracción del pensamiento; se concreta en diagrama o en texto.</w:t>
            </w:r>
          </w:p>
        </w:tc>
      </w:tr>
      <w:tr>
        <w:trPr>
          <w:cantSplit/>
          <w:tblHeader w:val="off"/>
        </w:trPr>
        <w:tc>
          <w:tcPr>
            <w:tcW w:type="dxa" w:w="4816"/>
            <w:tcMar>
              <w:top w:type="dxa" w:w="80"/>
              <w:left w:type="dxa" w:w="100"/>
              <w:bottom w:type="dxa" w:w="80"/>
              <w:right w:type="dxa" w:w="100"/>
            </w:tcMar>
          </w:tcPr>
          <w:p>
            <w:pPr>
              <w:pStyle w:val="Tabla"/>
            </w:pPr>
            <w:r>
              <w:t xml:space="preserve">bits de información</w:t>
            </w:r>
          </w:p>
        </w:tc>
        <w:tc>
          <w:tcPr>
            <w:tcW w:type="dxa" w:w="4816"/>
            <w:tcMar>
              <w:top w:type="dxa" w:w="80"/>
              <w:left w:type="dxa" w:w="100"/>
              <w:bottom w:type="dxa" w:w="80"/>
              <w:right w:type="dxa" w:w="100"/>
            </w:tcMar>
          </w:tcPr>
          <w:p>
            <w:pPr>
              <w:pStyle w:val="Tabla"/>
            </w:pPr>
            <w:r>
              <w:t xml:space="preserve">Bits de información (Cabrera): pequeños elementos conceptuales que, como los peces de un banco, se unen y hacen emerger el pensamiento sistémico; los modelos mentales son sistemas adaptativos complejos.</w:t>
            </w:r>
          </w:p>
        </w:tc>
      </w:tr>
      <w:tr>
        <w:trPr>
          <w:cantSplit/>
          <w:tblHeader w:val="off"/>
        </w:trPr>
        <w:tc>
          <w:tcPr>
            <w:tcW w:type="dxa" w:w="4816"/>
            <w:tcMar>
              <w:top w:type="dxa" w:w="80"/>
              <w:left w:type="dxa" w:w="100"/>
              <w:bottom w:type="dxa" w:w="80"/>
              <w:right w:type="dxa" w:w="100"/>
            </w:tcMar>
          </w:tcPr>
          <w:p>
            <w:pPr>
              <w:pStyle w:val="Tabla"/>
            </w:pPr>
            <w:r>
              <w:t xml:space="preserve">teoría del mapa (supuestos y creencias sobre el sistema)</w:t>
            </w:r>
          </w:p>
        </w:tc>
        <w:tc>
          <w:tcPr>
            <w:tcW w:type="dxa" w:w="4816"/>
            <w:tcMar>
              <w:top w:type="dxa" w:w="80"/>
              <w:left w:type="dxa" w:w="100"/>
              <w:bottom w:type="dxa" w:w="80"/>
              <w:right w:type="dxa" w:w="100"/>
            </w:tcMar>
          </w:tcPr>
          <w:p>
            <w:pPr>
              <w:pStyle w:val="Tabla"/>
            </w:pPr>
            <w:r>
              <w:t xml:space="preserve">Referencia de estudio: Un mapa sistémico es un modelo: una sintaxis gráfica que se aprende a hacer, a leer y a discutir, no un dibujo decorativo.</w:t>
            </w:r>
          </w:p>
        </w:tc>
      </w:tr>
      <w:tr>
        <w:trPr>
          <w:cantSplit/>
          <w:tblHeader w:val="off"/>
        </w:trPr>
        <w:tc>
          <w:tcPr>
            <w:tcW w:type="dxa" w:w="4816"/>
            <w:tcMar>
              <w:top w:type="dxa" w:w="80"/>
              <w:left w:type="dxa" w:w="100"/>
              <w:bottom w:type="dxa" w:w="80"/>
              <w:right w:type="dxa" w:w="100"/>
            </w:tcMar>
          </w:tcPr>
          <w:p>
            <w:pPr>
              <w:pStyle w:val="Tabla"/>
            </w:pPr>
            <w:r>
              <w:t xml:space="preserve">sistema original o real de referencia</w:t>
            </w:r>
          </w:p>
        </w:tc>
        <w:tc>
          <w:tcPr>
            <w:tcW w:type="dxa" w:w="4816"/>
            <w:tcMar>
              <w:top w:type="dxa" w:w="80"/>
              <w:left w:type="dxa" w:w="100"/>
              <w:bottom w:type="dxa" w:w="80"/>
              <w:right w:type="dxa" w:w="100"/>
            </w:tcMar>
          </w:tcPr>
          <w:p>
            <w:pPr>
              <w:pStyle w:val="Tabla"/>
            </w:pPr>
            <w:r>
              <w:t xml:space="preserve">Referencia de estudio: Un mapa sistémico es un modelo: una sintaxis gráfica que se aprende a hacer, a leer y a discutir, no un dibujo decorativo.</w:t>
            </w:r>
          </w:p>
        </w:tc>
      </w:tr>
      <w:tr>
        <w:trPr>
          <w:cantSplit/>
          <w:tblHeader w:val="off"/>
        </w:trPr>
        <w:tc>
          <w:tcPr>
            <w:tcW w:type="dxa" w:w="4816"/>
            <w:tcMar>
              <w:top w:type="dxa" w:w="80"/>
              <w:left w:type="dxa" w:w="100"/>
              <w:bottom w:type="dxa" w:w="80"/>
              <w:right w:type="dxa" w:w="100"/>
            </w:tcMar>
          </w:tcPr>
          <w:p>
            <w:pPr>
              <w:pStyle w:val="Tabla"/>
            </w:pPr>
            <w:r>
              <w:t xml:space="preserve">modelo representativo</w:t>
            </w:r>
          </w:p>
        </w:tc>
        <w:tc>
          <w:tcPr>
            <w:tcW w:type="dxa" w:w="4816"/>
            <w:tcMar>
              <w:top w:type="dxa" w:w="80"/>
              <w:left w:type="dxa" w:w="100"/>
              <w:bottom w:type="dxa" w:w="80"/>
              <w:right w:type="dxa" w:w="100"/>
            </w:tcMar>
          </w:tcPr>
          <w:p>
            <w:pPr>
              <w:pStyle w:val="Tabla"/>
            </w:pPr>
            <w:r>
              <w:t xml:space="preserve">Referencia de estudio: Un mapa sistémico es un modelo: una sintaxis gráfica que se aprende a hacer, a leer y a discutir, no un dibujo decorativo.</w:t>
            </w:r>
          </w:p>
        </w:tc>
      </w:tr>
      <w:tr>
        <w:trPr>
          <w:cantSplit/>
          <w:tblHeader w:val="off"/>
        </w:trPr>
        <w:tc>
          <w:tcPr>
            <w:tcW w:type="dxa" w:w="4816"/>
            <w:tcMar>
              <w:top w:type="dxa" w:w="80"/>
              <w:left w:type="dxa" w:w="100"/>
              <w:bottom w:type="dxa" w:w="80"/>
              <w:right w:type="dxa" w:w="100"/>
            </w:tcMar>
          </w:tcPr>
          <w:p>
            <w:pPr>
              <w:pStyle w:val="Tabla"/>
            </w:pPr>
            <w:r>
              <w:t xml:space="preserve">modelo concreto frente a modelo general (con variables)</w:t>
            </w:r>
          </w:p>
        </w:tc>
        <w:tc>
          <w:tcPr>
            <w:tcW w:type="dxa" w:w="4816"/>
            <w:tcMar>
              <w:top w:type="dxa" w:w="80"/>
              <w:left w:type="dxa" w:w="100"/>
              <w:bottom w:type="dxa" w:w="80"/>
              <w:right w:type="dxa" w:w="100"/>
            </w:tcMar>
          </w:tcPr>
          <w:p>
            <w:pPr>
              <w:pStyle w:val="Tabla"/>
            </w:pPr>
            <w:r>
              <w:t xml:space="preserve">Referencia de estudio: Un mapa sistémico es un modelo: una sintaxis gráfica que se aprende a hacer, a leer y a discutir, no un dibujo decorativo.</w:t>
            </w:r>
          </w:p>
        </w:tc>
      </w:tr>
      <w:tr>
        <w:trPr>
          <w:cantSplit/>
          <w:tblHeader w:val="off"/>
        </w:trPr>
        <w:tc>
          <w:tcPr>
            <w:tcW w:type="dxa" w:w="4816"/>
            <w:tcMar>
              <w:top w:type="dxa" w:w="80"/>
              <w:left w:type="dxa" w:w="100"/>
              <w:bottom w:type="dxa" w:w="80"/>
              <w:right w:type="dxa" w:w="100"/>
            </w:tcMar>
          </w:tcPr>
          <w:p>
            <w:pPr>
              <w:pStyle w:val="Tabla"/>
            </w:pPr>
            <w:r>
              <w:t xml:space="preserve">perspectiva delimitada del modelo</w:t>
            </w:r>
          </w:p>
        </w:tc>
        <w:tc>
          <w:tcPr>
            <w:tcW w:type="dxa" w:w="4816"/>
            <w:tcMar>
              <w:top w:type="dxa" w:w="80"/>
              <w:left w:type="dxa" w:w="100"/>
              <w:bottom w:type="dxa" w:w="80"/>
              <w:right w:type="dxa" w:w="100"/>
            </w:tcMar>
          </w:tcPr>
          <w:p>
            <w:pPr>
              <w:pStyle w:val="Tabla"/>
            </w:pPr>
            <w:r>
              <w:t xml:space="preserve">Referencia de estudio: Un mapa sistémico es un modelo: una sintaxis gráfica que se aprende a hacer, a leer y a discutir, no un dibujo decorativo.</w:t>
            </w:r>
          </w:p>
        </w:tc>
      </w:tr>
    </w:tbl>
    <w:p>
      <w:pPr>
        <w:pStyle w:val="Fuente"/>
      </w:pPr>
      <w:r>
        <w:t xml:space="preserve">Véase </w:t>
      </w:r>
      <w:hyperlink w:history="1" w:anchor="b_3_1">
        <w:r>
          <w:rPr>
            <w:color w:val="156B70"/>
            <w:u w:val="single"/>
          </w:rPr>
          <w:t xml:space="preserve">3.1 · Mapas sistémicos</w:t>
        </w:r>
      </w:hyperlink>
      <w:r>
        <w:t xml:space="preserve">, pág. </w:t>
      </w:r>
      <w:r>
        <w:fldChar w:fldCharType="begin"/>
        <w:instrText xml:space="preserve">PAGEREF b_3_1 \h</w:instrText>
        <w:fldChar w:fldCharType="separate"/>
        <w:t xml:space="preserve">379</w:t>
        <w:fldChar w:fldCharType="end"/>
      </w:r>
      <w:r>
        <w:t xml:space="preserve">.</w:t>
      </w:r>
    </w:p>
    <w:p>
      <w:pPr>
        <w:pStyle w:val="Heading3"/>
      </w:pPr>
      <w:r>
        <w:t xml:space="preserve">3.2 · Mapas DSRP generales</w:t>
      </w:r>
    </w:p>
    <w:tbl>
      <w:tblPr>
        <w:tblW w:type="dxa" w:w="9632"/>
        <w:tblBorders>
          <w:top w:val="single" w:color="C5D5DB" w:sz="4"/>
          <w:left w:val="single" w:color="C5D5DB" w:sz="4"/>
          <w:bottom w:val="single" w:color="C5D5DB" w:sz="4"/>
          <w:right w:val="single" w:color="C5D5DB" w:sz="4"/>
          <w:insideH w:val="single" w:color="E4E9EB" w:sz="3"/>
          <w:insideV w:val="single" w:color="E4E9EB" w:sz="3"/>
        </w:tblBorders>
        <w:tblLayout w:type="fixed"/>
      </w:tblPr>
      <w:tblGrid>
        <w:gridCol w:w="4816"/>
        <w:gridCol w:w="4816"/>
      </w:tblGrid>
      <w:tr>
        <w:trPr>
          <w:cantSplit/>
          <w:tblHeader/>
        </w:trPr>
        <w:tc>
          <w:tcPr>
            <w:tcW w:type="dxa" w:w="4816"/>
            <w:shd w:fill="DFEAF0" w:val="clear"/>
            <w:tcMar>
              <w:top w:type="dxa" w:w="80"/>
              <w:left w:type="dxa" w:w="100"/>
              <w:bottom w:type="dxa" w:w="80"/>
              <w:right w:type="dxa" w:w="100"/>
            </w:tcMar>
          </w:tcPr>
          <w:p>
            <w:pPr>
              <w:pStyle w:val="Tabla"/>
            </w:pPr>
            <w:r>
              <w:rPr>
                <w:b/>
                <w:bCs/>
              </w:rPr>
              <w:t xml:space="preserve">Vocabulario del tema</w:t>
            </w:r>
          </w:p>
        </w:tc>
        <w:tc>
          <w:tcPr>
            <w:tcW w:type="dxa" w:w="4816"/>
            <w:shd w:fill="DFEAF0" w:val="clear"/>
            <w:tcMar>
              <w:top w:type="dxa" w:w="80"/>
              <w:left w:type="dxa" w:w="100"/>
              <w:bottom w:type="dxa" w:w="80"/>
              <w:right w:type="dxa" w:w="100"/>
            </w:tcMar>
          </w:tcPr>
          <w:p>
            <w:pPr>
              <w:pStyle w:val="Tabla"/>
            </w:pPr>
            <w:r>
              <w:rPr>
                <w:b/>
                <w:bCs/>
              </w:rPr>
              <w:t xml:space="preserve">Localización y contexto</w:t>
            </w:r>
          </w:p>
        </w:tc>
      </w:tr>
      <w:tr>
        <w:trPr>
          <w:cantSplit/>
          <w:tblHeader w:val="off"/>
        </w:trPr>
        <w:tc>
          <w:tcPr>
            <w:tcW w:type="dxa" w:w="4816"/>
            <w:tcMar>
              <w:top w:type="dxa" w:w="80"/>
              <w:left w:type="dxa" w:w="100"/>
              <w:bottom w:type="dxa" w:w="80"/>
              <w:right w:type="dxa" w:w="100"/>
            </w:tcMar>
          </w:tcPr>
          <w:p>
            <w:pPr>
              <w:pStyle w:val="Tabla"/>
            </w:pPr>
            <w:r>
              <w:t xml:space="preserve">mapa DSRP (distinciones, sistemas, relaciones, perspectivas)</w:t>
            </w:r>
          </w:p>
        </w:tc>
        <w:tc>
          <w:tcPr>
            <w:tcW w:type="dxa" w:w="4816"/>
            <w:tcMar>
              <w:top w:type="dxa" w:w="80"/>
              <w:left w:type="dxa" w:w="100"/>
              <w:bottom w:type="dxa" w:w="80"/>
              <w:right w:type="dxa" w:w="100"/>
            </w:tcMar>
          </w:tcPr>
          <w:p>
            <w:pPr>
              <w:pStyle w:val="Tabla"/>
            </w:pPr>
            <w:r>
              <w:t xml:space="preserve">La figura aplica simultáneamente distinciones,contención,relaciones y perspectivas; sus conceptos son el contenido informativo de un mapa DSRP.</w:t>
            </w:r>
          </w:p>
        </w:tc>
      </w:tr>
      <w:tr>
        <w:trPr>
          <w:cantSplit/>
          <w:tblHeader w:val="off"/>
        </w:trPr>
        <w:tc>
          <w:tcPr>
            <w:tcW w:type="dxa" w:w="4816"/>
            <w:tcMar>
              <w:top w:type="dxa" w:w="80"/>
              <w:left w:type="dxa" w:w="100"/>
              <w:bottom w:type="dxa" w:w="80"/>
              <w:right w:type="dxa" w:w="100"/>
            </w:tcMar>
          </w:tcPr>
          <w:p>
            <w:pPr>
              <w:pStyle w:val="Tabla"/>
            </w:pPr>
            <w:r>
              <w:t xml:space="preserve">distinción (rectángulo con nombre, concepto)</w:t>
            </w:r>
          </w:p>
        </w:tc>
        <w:tc>
          <w:tcPr>
            <w:tcW w:type="dxa" w:w="4816"/>
            <w:tcMar>
              <w:top w:type="dxa" w:w="80"/>
              <w:left w:type="dxa" w:w="100"/>
              <w:bottom w:type="dxa" w:w="80"/>
              <w:right w:type="dxa" w:w="100"/>
            </w:tcMar>
          </w:tcPr>
          <w:p>
            <w:pPr>
              <w:pStyle w:val="Tabla"/>
            </w:pPr>
            <w:r>
              <w:t xml:space="preserve">Distinción: cualquier idea o cosa puede distinguirse de aquellas con las que se encuentra. La taza de té se define por lo que es y por lo que no es; el límite separa sin ser él mismo una cosa, y trazarlo crea a la vez la cosa y lo otro.</w:t>
            </w:r>
          </w:p>
        </w:tc>
      </w:tr>
      <w:tr>
        <w:trPr>
          <w:cantSplit/>
          <w:tblHeader w:val="off"/>
        </w:trPr>
        <w:tc>
          <w:tcPr>
            <w:tcW w:type="dxa" w:w="4816"/>
            <w:tcMar>
              <w:top w:type="dxa" w:w="80"/>
              <w:left w:type="dxa" w:w="100"/>
              <w:bottom w:type="dxa" w:w="80"/>
              <w:right w:type="dxa" w:w="100"/>
            </w:tcMar>
          </w:tcPr>
          <w:p>
            <w:pPr>
              <w:pStyle w:val="Tabla"/>
            </w:pPr>
            <w:r>
              <w:t xml:space="preserve">sistema (todo y partes, recuadros anidados, contención)</w:t>
            </w:r>
          </w:p>
        </w:tc>
        <w:tc>
          <w:tcPr>
            <w:tcW w:type="dxa" w:w="4816"/>
            <w:tcMar>
              <w:top w:type="dxa" w:w="80"/>
              <w:left w:type="dxa" w:w="100"/>
              <w:bottom w:type="dxa" w:w="80"/>
              <w:right w:type="dxa" w:w="100"/>
            </w:tcMar>
          </w:tcPr>
          <w:p>
            <w:pPr>
              <w:pStyle w:val="Tabla"/>
            </w:pPr>
            <w:r>
              <w:t xml:space="preserve">Sistemas anidados y partes relacionadas se combinan; una disposición exterior por legibilidad no cambia por sí sola la pertenencia pensada.</w:t>
            </w:r>
          </w:p>
        </w:tc>
      </w:tr>
      <w:tr>
        <w:trPr>
          <w:cantSplit/>
          <w:tblHeader w:val="off"/>
        </w:trPr>
        <w:tc>
          <w:tcPr>
            <w:tcW w:type="dxa" w:w="4816"/>
            <w:tcMar>
              <w:top w:type="dxa" w:w="80"/>
              <w:left w:type="dxa" w:w="100"/>
              <w:bottom w:type="dxa" w:w="80"/>
              <w:right w:type="dxa" w:w="100"/>
            </w:tcMar>
          </w:tcPr>
          <w:p>
            <w:pPr>
              <w:pStyle w:val="Tabla"/>
            </w:pPr>
            <w:r>
              <w:t xml:space="preserve">relación (línea; con cabeza de flecha, causal: causa y efecto, acción y reacción)</w:t>
            </w:r>
          </w:p>
        </w:tc>
        <w:tc>
          <w:tcPr>
            <w:tcW w:type="dxa" w:w="4816"/>
            <w:tcMar>
              <w:top w:type="dxa" w:w="80"/>
              <w:left w:type="dxa" w:w="100"/>
              <w:bottom w:type="dxa" w:w="80"/>
              <w:right w:type="dxa" w:w="100"/>
            </w:tcMar>
          </w:tcPr>
          <w:p>
            <w:pPr>
              <w:pStyle w:val="Tabla"/>
            </w:pPr>
            <w:r>
              <w:t xml:space="preserve">La relación puede distinguirse y nombrarse como vender o comprar.</w:t>
            </w:r>
          </w:p>
        </w:tc>
      </w:tr>
      <w:tr>
        <w:trPr>
          <w:cantSplit/>
          <w:tblHeader w:val="off"/>
        </w:trPr>
        <w:tc>
          <w:tcPr>
            <w:tcW w:type="dxa" w:w="4816"/>
            <w:tcMar>
              <w:top w:type="dxa" w:w="80"/>
              <w:left w:type="dxa" w:w="100"/>
              <w:bottom w:type="dxa" w:w="80"/>
              <w:right w:type="dxa" w:w="100"/>
            </w:tcMar>
          </w:tcPr>
          <w:p>
            <w:pPr>
              <w:pStyle w:val="Tabla"/>
            </w:pPr>
            <w:r>
              <w:t xml:space="preserve">interdependencia (dos cabezas o dos flechas opuestas, relación de doble vía)</w:t>
            </w:r>
          </w:p>
        </w:tc>
        <w:tc>
          <w:tcPr>
            <w:tcW w:type="dxa" w:w="4816"/>
            <w:tcMar>
              <w:top w:type="dxa" w:w="80"/>
              <w:left w:type="dxa" w:w="100"/>
              <w:bottom w:type="dxa" w:w="80"/>
              <w:right w:type="dxa" w:w="100"/>
            </w:tcMar>
          </w:tcPr>
          <w:p>
            <w:pPr>
              <w:pStyle w:val="Tabla"/>
            </w:pPr>
            <w:r>
              <w:t xml:space="preserve">Interdependencia: relaciones en ambos sentidos, con línea de dos cabezas o dos flechas opuestas; A interactúa con B y B con A (comportamiento circular). Estudiantes «aprenden de» docentes y docentes «enseñan a» estudiantes.</w:t>
            </w:r>
          </w:p>
        </w:tc>
      </w:tr>
      <w:tr>
        <w:trPr>
          <w:cantSplit/>
          <w:tblHeader w:val="off"/>
        </w:trPr>
        <w:tc>
          <w:tcPr>
            <w:tcW w:type="dxa" w:w="4816"/>
            <w:tcMar>
              <w:top w:type="dxa" w:w="80"/>
              <w:left w:type="dxa" w:w="100"/>
              <w:bottom w:type="dxa" w:w="80"/>
              <w:right w:type="dxa" w:w="100"/>
            </w:tcMar>
          </w:tcPr>
          <w:p>
            <w:pPr>
              <w:pStyle w:val="Tabla"/>
            </w:pPr>
            <w:r>
              <w:t xml:space="preserve">barras (relación nombrada o detallada con la regla de sistemas)</w:t>
            </w:r>
          </w:p>
        </w:tc>
        <w:tc>
          <w:tcPr>
            <w:tcW w:type="dxa" w:w="4816"/>
            <w:tcMar>
              <w:top w:type="dxa" w:w="80"/>
              <w:left w:type="dxa" w:w="100"/>
              <w:bottom w:type="dxa" w:w="80"/>
              <w:right w:type="dxa" w:w="100"/>
            </w:tcMar>
          </w:tcPr>
          <w:p>
            <w:pPr>
              <w:pStyle w:val="Tabla"/>
            </w:pPr>
            <w:r>
              <w:t xml:space="preserve">Barras: la relación entre ideas se nombra o se detalla con la regla de sistemas y puede unir cuatro o más variables: «comprar» = solicitud → confirmación → pago → producto.</w:t>
            </w:r>
          </w:p>
        </w:tc>
      </w:tr>
      <w:tr>
        <w:trPr>
          <w:cantSplit/>
          <w:tblHeader w:val="off"/>
        </w:trPr>
        <w:tc>
          <w:tcPr>
            <w:tcW w:type="dxa" w:w="4816"/>
            <w:tcMar>
              <w:top w:type="dxa" w:w="80"/>
              <w:left w:type="dxa" w:w="100"/>
              <w:bottom w:type="dxa" w:w="80"/>
              <w:right w:type="dxa" w:w="100"/>
            </w:tcMar>
          </w:tcPr>
          <w:p>
            <w:pPr>
              <w:pStyle w:val="Tabla"/>
            </w:pPr>
            <w:r>
              <w:t xml:space="preserve">variable (distinción con un concepto general)</w:t>
            </w:r>
          </w:p>
        </w:tc>
        <w:tc>
          <w:tcPr>
            <w:tcW w:type="dxa" w:w="4816"/>
            <w:tcMar>
              <w:top w:type="dxa" w:w="80"/>
              <w:left w:type="dxa" w:w="100"/>
              <w:bottom w:type="dxa" w:w="80"/>
              <w:right w:type="dxa" w:w="100"/>
            </w:tcMar>
          </w:tcPr>
          <w:p>
            <w:pPr>
              <w:pStyle w:val="Tabla"/>
            </w:pPr>
            <w:r>
              <w:t xml:space="preserve">Variable: distinción con un concepto general (maestro, padres, estudiante, temario). Mapa con variables que toman diferentes valores (más abstracto) o concreto, con términos específicos.</w:t>
            </w:r>
          </w:p>
        </w:tc>
      </w:tr>
      <w:tr>
        <w:trPr>
          <w:cantSplit/>
          <w:tblHeader w:val="off"/>
        </w:trPr>
        <w:tc>
          <w:tcPr>
            <w:tcW w:type="dxa" w:w="4816"/>
            <w:tcMar>
              <w:top w:type="dxa" w:w="80"/>
              <w:left w:type="dxa" w:w="100"/>
              <w:bottom w:type="dxa" w:w="80"/>
              <w:right w:type="dxa" w:w="100"/>
            </w:tcMar>
          </w:tcPr>
          <w:p>
            <w:pPr>
              <w:pStyle w:val="Tabla"/>
            </w:pPr>
            <w:r>
              <w:t xml:space="preserve">perspectiva (punto de vista: ojo; lo que se ve: punto del mismo color)</w:t>
            </w:r>
          </w:p>
        </w:tc>
        <w:tc>
          <w:tcPr>
            <w:tcW w:type="dxa" w:w="4816"/>
            <w:tcMar>
              <w:top w:type="dxa" w:w="80"/>
              <w:left w:type="dxa" w:w="100"/>
              <w:bottom w:type="dxa" w:w="80"/>
              <w:right w:type="dxa" w:w="100"/>
            </w:tcMar>
          </w:tcPr>
          <w:p>
            <w:pPr>
              <w:pStyle w:val="Tabla"/>
            </w:pPr>
            <w:r>
              <w:t xml:space="preserve">Perspectivas: cualquier idea o cosa puede ser el punto o la vista de una perspectiva; el mismo objeto proyecta dos sombras distintas según desde dónde se ilumine.</w:t>
            </w:r>
          </w:p>
        </w:tc>
      </w:tr>
      <w:tr>
        <w:trPr>
          <w:cantSplit/>
          <w:tblHeader w:val="off"/>
        </w:trPr>
        <w:tc>
          <w:tcPr>
            <w:tcW w:type="dxa" w:w="4816"/>
            <w:tcMar>
              <w:top w:type="dxa" w:w="80"/>
              <w:left w:type="dxa" w:w="100"/>
              <w:bottom w:type="dxa" w:w="80"/>
              <w:right w:type="dxa" w:w="100"/>
            </w:tcMar>
          </w:tcPr>
          <w:p>
            <w:pPr>
              <w:pStyle w:val="Tabla"/>
            </w:pPr>
            <w:r>
              <w:t xml:space="preserve">perspectiva implícita (la del autor del mapa)</w:t>
            </w:r>
          </w:p>
        </w:tc>
        <w:tc>
          <w:tcPr>
            <w:tcW w:type="dxa" w:w="4816"/>
            <w:tcMar>
              <w:top w:type="dxa" w:w="80"/>
              <w:left w:type="dxa" w:w="100"/>
              <w:bottom w:type="dxa" w:w="80"/>
              <w:right w:type="dxa" w:w="100"/>
            </w:tcMar>
          </w:tcPr>
          <w:p>
            <w:pPr>
              <w:pStyle w:val="Tabla"/>
            </w:pPr>
            <w:r>
              <w:t xml:space="preserve">Sin ojos ni puntos permanece una perspectiva implícita: la del autor.</w:t>
            </w:r>
          </w:p>
        </w:tc>
      </w:tr>
      <w:tr>
        <w:trPr>
          <w:cantSplit/>
          <w:tblHeader w:val="off"/>
        </w:trPr>
        <w:tc>
          <w:tcPr>
            <w:tcW w:type="dxa" w:w="4816"/>
            <w:tcMar>
              <w:top w:type="dxa" w:w="80"/>
              <w:left w:type="dxa" w:w="100"/>
              <w:bottom w:type="dxa" w:w="80"/>
              <w:right w:type="dxa" w:w="100"/>
            </w:tcMar>
          </w:tcPr>
          <w:p>
            <w:pPr>
              <w:pStyle w:val="Tabla"/>
            </w:pPr>
            <w:r>
              <w:t xml:space="preserve">P-círculos, mapas de múltiples perspectivas y sub-perspectivas</w:t>
            </w:r>
          </w:p>
        </w:tc>
        <w:tc>
          <w:tcPr>
            <w:tcW w:type="dxa" w:w="4816"/>
            <w:tcMar>
              <w:top w:type="dxa" w:w="80"/>
              <w:left w:type="dxa" w:w="100"/>
              <w:bottom w:type="dxa" w:w="80"/>
              <w:right w:type="dxa" w:w="100"/>
            </w:tcMar>
          </w:tcPr>
          <w:p>
            <w:pPr>
              <w:pStyle w:val="Tabla"/>
            </w:pPr>
            <w:r>
              <w:t xml:space="preserve">Referencia de estudio: Rectángulo para distinguir, contención para el todo y las partes, línea para relacionar, ojo y punto para la perspectiva.</w:t>
            </w:r>
          </w:p>
        </w:tc>
      </w:tr>
    </w:tbl>
    <w:p>
      <w:pPr>
        <w:pStyle w:val="Fuente"/>
      </w:pPr>
      <w:r>
        <w:t xml:space="preserve">Véase </w:t>
      </w:r>
      <w:hyperlink w:history="1" w:anchor="b_3_2">
        <w:r>
          <w:rPr>
            <w:color w:val="156B70"/>
            <w:u w:val="single"/>
          </w:rPr>
          <w:t xml:space="preserve">3.2 · Mapas DSRP generales</w:t>
        </w:r>
      </w:hyperlink>
      <w:r>
        <w:t xml:space="preserve">, pág. </w:t>
      </w:r>
      <w:r>
        <w:fldChar w:fldCharType="begin"/>
        <w:instrText xml:space="preserve">PAGEREF b_3_2 \h</w:instrText>
        <w:fldChar w:fldCharType="separate"/>
        <w:t xml:space="preserve">404</w:t>
        <w:fldChar w:fldCharType="end"/>
      </w:r>
      <w:r>
        <w:t xml:space="preserve">.</w:t>
      </w:r>
    </w:p>
    <w:p>
      <w:pPr>
        <w:pStyle w:val="Heading3"/>
      </w:pPr>
      <w:r>
        <w:t xml:space="preserve">3.3 · Diagramas de ciclos causales</w:t>
      </w:r>
    </w:p>
    <w:tbl>
      <w:tblPr>
        <w:tblW w:type="dxa" w:w="9632"/>
        <w:tblBorders>
          <w:top w:val="single" w:color="C5D5DB" w:sz="4"/>
          <w:left w:val="single" w:color="C5D5DB" w:sz="4"/>
          <w:bottom w:val="single" w:color="C5D5DB" w:sz="4"/>
          <w:right w:val="single" w:color="C5D5DB" w:sz="4"/>
          <w:insideH w:val="single" w:color="E4E9EB" w:sz="3"/>
          <w:insideV w:val="single" w:color="E4E9EB" w:sz="3"/>
        </w:tblBorders>
        <w:tblLayout w:type="fixed"/>
      </w:tblPr>
      <w:tblGrid>
        <w:gridCol w:w="4816"/>
        <w:gridCol w:w="4816"/>
      </w:tblGrid>
      <w:tr>
        <w:trPr>
          <w:cantSplit/>
          <w:tblHeader/>
        </w:trPr>
        <w:tc>
          <w:tcPr>
            <w:tcW w:type="dxa" w:w="4816"/>
            <w:shd w:fill="DFEAF0" w:val="clear"/>
            <w:tcMar>
              <w:top w:type="dxa" w:w="80"/>
              <w:left w:type="dxa" w:w="100"/>
              <w:bottom w:type="dxa" w:w="80"/>
              <w:right w:type="dxa" w:w="100"/>
            </w:tcMar>
          </w:tcPr>
          <w:p>
            <w:pPr>
              <w:pStyle w:val="Tabla"/>
            </w:pPr>
            <w:r>
              <w:rPr>
                <w:b/>
                <w:bCs/>
              </w:rPr>
              <w:t xml:space="preserve">Vocabulario del tema</w:t>
            </w:r>
          </w:p>
        </w:tc>
        <w:tc>
          <w:tcPr>
            <w:tcW w:type="dxa" w:w="4816"/>
            <w:shd w:fill="DFEAF0" w:val="clear"/>
            <w:tcMar>
              <w:top w:type="dxa" w:w="80"/>
              <w:left w:type="dxa" w:w="100"/>
              <w:bottom w:type="dxa" w:w="80"/>
              <w:right w:type="dxa" w:w="100"/>
            </w:tcMar>
          </w:tcPr>
          <w:p>
            <w:pPr>
              <w:pStyle w:val="Tabla"/>
            </w:pPr>
            <w:r>
              <w:rPr>
                <w:b/>
                <w:bCs/>
              </w:rPr>
              <w:t xml:space="preserve">Localización y contexto</w:t>
            </w:r>
          </w:p>
        </w:tc>
      </w:tr>
      <w:tr>
        <w:trPr>
          <w:cantSplit/>
          <w:tblHeader w:val="off"/>
        </w:trPr>
        <w:tc>
          <w:tcPr>
            <w:tcW w:type="dxa" w:w="4816"/>
            <w:tcMar>
              <w:top w:type="dxa" w:w="80"/>
              <w:left w:type="dxa" w:w="100"/>
              <w:bottom w:type="dxa" w:w="80"/>
              <w:right w:type="dxa" w:w="100"/>
            </w:tcMar>
          </w:tcPr>
          <w:p>
            <w:pPr>
              <w:pStyle w:val="Tabla"/>
            </w:pPr>
            <w:r>
              <w:t xml:space="preserve">diagrama de ciclos causales (de bucles causales, de relaciones causales; mapa o modelo de causa y efecto)</w:t>
            </w:r>
          </w:p>
        </w:tc>
        <w:tc>
          <w:tcPr>
            <w:tcW w:type="dxa" w:w="4816"/>
            <w:tcMar>
              <w:top w:type="dxa" w:w="80"/>
              <w:left w:type="dxa" w:w="100"/>
              <w:bottom w:type="dxa" w:w="80"/>
              <w:right w:type="dxa" w:w="100"/>
            </w:tcMar>
          </w:tcPr>
          <w:p>
            <w:pPr>
              <w:pStyle w:val="Tabla"/>
            </w:pPr>
            <w:r>
              <w:t xml:space="preserve">Es el mapa relacional enfocado en la estructura subyacente, nivel 3 del iceberg; según el autor se llama mapa o diagrama de ciclos causales, de bucles causales, de relaciones causales o de causa y efecto.</w:t>
            </w:r>
          </w:p>
        </w:tc>
      </w:tr>
      <w:tr>
        <w:trPr>
          <w:cantSplit/>
          <w:tblHeader w:val="off"/>
        </w:trPr>
        <w:tc>
          <w:tcPr>
            <w:tcW w:type="dxa" w:w="4816"/>
            <w:tcMar>
              <w:top w:type="dxa" w:w="80"/>
              <w:left w:type="dxa" w:w="100"/>
              <w:bottom w:type="dxa" w:w="80"/>
              <w:right w:type="dxa" w:w="100"/>
            </w:tcMar>
          </w:tcPr>
          <w:p>
            <w:pPr>
              <w:pStyle w:val="Tabla"/>
            </w:pPr>
            <w:r>
              <w:t xml:space="preserve">variable (distinción conceptual del sistema)</w:t>
            </w:r>
          </w:p>
        </w:tc>
        <w:tc>
          <w:tcPr>
            <w:tcW w:type="dxa" w:w="4816"/>
            <w:tcMar>
              <w:top w:type="dxa" w:w="80"/>
              <w:left w:type="dxa" w:w="100"/>
              <w:bottom w:type="dxa" w:w="80"/>
              <w:right w:type="dxa" w:w="100"/>
            </w:tcMar>
          </w:tcPr>
          <w:p>
            <w:pPr>
              <w:pStyle w:val="Tabla"/>
            </w:pPr>
            <w:r>
              <w:t xml:space="preserve">El diagrama sistémico describe variables nombradas con sustantivos.</w:t>
            </w:r>
          </w:p>
        </w:tc>
      </w:tr>
      <w:tr>
        <w:trPr>
          <w:cantSplit/>
          <w:tblHeader w:val="off"/>
        </w:trPr>
        <w:tc>
          <w:tcPr>
            <w:tcW w:type="dxa" w:w="4816"/>
            <w:tcMar>
              <w:top w:type="dxa" w:w="80"/>
              <w:left w:type="dxa" w:w="100"/>
              <w:bottom w:type="dxa" w:w="80"/>
              <w:right w:type="dxa" w:w="100"/>
            </w:tcMar>
          </w:tcPr>
          <w:p>
            <w:pPr>
              <w:pStyle w:val="Tabla"/>
            </w:pPr>
            <w:r>
              <w:t xml:space="preserve">flecha causal (cola = causa o causante; cabeza o punta = efecto)</w:t>
            </w:r>
          </w:p>
        </w:tc>
        <w:tc>
          <w:tcPr>
            <w:tcW w:type="dxa" w:w="4816"/>
            <w:tcMar>
              <w:top w:type="dxa" w:w="80"/>
              <w:left w:type="dxa" w:w="100"/>
              <w:bottom w:type="dxa" w:w="80"/>
              <w:right w:type="dxa" w:w="100"/>
            </w:tcMar>
          </w:tcPr>
          <w:p>
            <w:pPr>
              <w:pStyle w:val="Tabla"/>
            </w:pPr>
            <w:r>
              <w:t xml:space="preserve">Referencia de estudio: Variables unidas por flechas con polaridad; donde la cadena vuelve sobre sí misma, hay un ciclo.</w:t>
            </w:r>
          </w:p>
        </w:tc>
      </w:tr>
      <w:tr>
        <w:trPr>
          <w:cantSplit/>
          <w:tblHeader w:val="off"/>
        </w:trPr>
        <w:tc>
          <w:tcPr>
            <w:tcW w:type="dxa" w:w="4816"/>
            <w:tcMar>
              <w:top w:type="dxa" w:w="80"/>
              <w:left w:type="dxa" w:w="100"/>
              <w:bottom w:type="dxa" w:w="80"/>
              <w:right w:type="dxa" w:w="100"/>
            </w:tcMar>
          </w:tcPr>
          <w:p>
            <w:pPr>
              <w:pStyle w:val="Tabla"/>
            </w:pPr>
            <w:r>
              <w:t xml:space="preserve">polaridad (signo sobre la flecha)</w:t>
            </w:r>
          </w:p>
        </w:tc>
        <w:tc>
          <w:tcPr>
            <w:tcW w:type="dxa" w:w="4816"/>
            <w:tcMar>
              <w:top w:type="dxa" w:w="80"/>
              <w:left w:type="dxa" w:w="100"/>
              <w:bottom w:type="dxa" w:w="80"/>
              <w:right w:type="dxa" w:w="100"/>
            </w:tcMar>
          </w:tcPr>
          <w:p>
            <w:pPr>
              <w:pStyle w:val="Tabla"/>
            </w:pPr>
            <w:r>
              <w:t xml:space="preserve">Polaridad es el nombre del signo sobre la flecha; al bajar el flotador aumenta el flujo y se comprueba de nuevo el signo negativo.</w:t>
            </w:r>
          </w:p>
        </w:tc>
      </w:tr>
      <w:tr>
        <w:trPr>
          <w:cantSplit/>
          <w:tblHeader w:val="off"/>
        </w:trPr>
        <w:tc>
          <w:tcPr>
            <w:tcW w:type="dxa" w:w="4816"/>
            <w:tcMar>
              <w:top w:type="dxa" w:w="80"/>
              <w:left w:type="dxa" w:w="100"/>
              <w:bottom w:type="dxa" w:w="80"/>
              <w:right w:type="dxa" w:w="100"/>
            </w:tcMar>
          </w:tcPr>
          <w:p>
            <w:pPr>
              <w:pStyle w:val="Tabla"/>
            </w:pPr>
            <w:r>
              <w:t xml:space="preserve">relación positiva «+» (mismo sentido)</w:t>
            </w:r>
          </w:p>
        </w:tc>
        <w:tc>
          <w:tcPr>
            <w:tcW w:type="dxa" w:w="4816"/>
            <w:tcMar>
              <w:top w:type="dxa" w:w="80"/>
              <w:left w:type="dxa" w:w="100"/>
              <w:bottom w:type="dxa" w:w="80"/>
              <w:right w:type="dxa" w:w="100"/>
            </w:tcMar>
          </w:tcPr>
          <w:p>
            <w:pPr>
              <w:pStyle w:val="Tabla"/>
            </w:pPr>
            <w:r>
              <w:t xml:space="preserve">Referencia de estudio: Variables unidas por flechas con polaridad; donde la cadena vuelve sobre sí misma, hay un ciclo.</w:t>
            </w:r>
          </w:p>
        </w:tc>
      </w:tr>
      <w:tr>
        <w:trPr>
          <w:cantSplit/>
          <w:tblHeader w:val="off"/>
        </w:trPr>
        <w:tc>
          <w:tcPr>
            <w:tcW w:type="dxa" w:w="4816"/>
            <w:tcMar>
              <w:top w:type="dxa" w:w="80"/>
              <w:left w:type="dxa" w:w="100"/>
              <w:bottom w:type="dxa" w:w="80"/>
              <w:right w:type="dxa" w:w="100"/>
            </w:tcMar>
          </w:tcPr>
          <w:p>
            <w:pPr>
              <w:pStyle w:val="Tabla"/>
            </w:pPr>
            <w:r>
              <w:t xml:space="preserve">relación negativa «−» (sentido opuesto, efecto inverso)</w:t>
            </w:r>
          </w:p>
        </w:tc>
        <w:tc>
          <w:tcPr>
            <w:tcW w:type="dxa" w:w="4816"/>
            <w:tcMar>
              <w:top w:type="dxa" w:w="80"/>
              <w:left w:type="dxa" w:w="100"/>
              <w:bottom w:type="dxa" w:w="80"/>
              <w:right w:type="dxa" w:w="100"/>
            </w:tcMar>
          </w:tcPr>
          <w:p>
            <w:pPr>
              <w:pStyle w:val="Tabla"/>
            </w:pPr>
            <w:r>
              <w:t xml:space="preserve">Referencia de estudio: Variables unidas por flechas con polaridad; donde la cadena vuelve sobre sí misma, hay un ciclo.</w:t>
            </w:r>
          </w:p>
        </w:tc>
      </w:tr>
      <w:tr>
        <w:trPr>
          <w:cantSplit/>
          <w:tblHeader w:val="off"/>
        </w:trPr>
        <w:tc>
          <w:tcPr>
            <w:tcW w:type="dxa" w:w="4816"/>
            <w:tcMar>
              <w:top w:type="dxa" w:w="80"/>
              <w:left w:type="dxa" w:w="100"/>
              <w:bottom w:type="dxa" w:w="80"/>
              <w:right w:type="dxa" w:w="100"/>
            </w:tcMar>
          </w:tcPr>
          <w:p>
            <w:pPr>
              <w:pStyle w:val="Tabla"/>
            </w:pPr>
            <w:r>
              <w:t xml:space="preserve">polaridad del ciclo (al centro: «+», R, bola de nieve; «−», B, C, balanza)</w:t>
            </w:r>
          </w:p>
        </w:tc>
        <w:tc>
          <w:tcPr>
            <w:tcW w:type="dxa" w:w="4816"/>
            <w:tcMar>
              <w:top w:type="dxa" w:w="80"/>
              <w:left w:type="dxa" w:w="100"/>
              <w:bottom w:type="dxa" w:w="80"/>
              <w:right w:type="dxa" w:w="100"/>
            </w:tcMar>
          </w:tcPr>
          <w:p>
            <w:pPr>
              <w:pStyle w:val="Tabla"/>
            </w:pPr>
            <w:r>
              <w:t xml:space="preserve">Omitir la polaridad del ciclo fue el fallo común; también se marcan demoras y variables que permitan leer la historia.</w:t>
            </w:r>
          </w:p>
        </w:tc>
      </w:tr>
      <w:tr>
        <w:trPr>
          <w:cantSplit/>
          <w:tblHeader w:val="off"/>
        </w:trPr>
        <w:tc>
          <w:tcPr>
            <w:tcW w:type="dxa" w:w="4816"/>
            <w:tcMar>
              <w:top w:type="dxa" w:w="80"/>
              <w:left w:type="dxa" w:w="100"/>
              <w:bottom w:type="dxa" w:w="80"/>
              <w:right w:type="dxa" w:w="100"/>
            </w:tcMar>
          </w:tcPr>
          <w:p>
            <w:pPr>
              <w:pStyle w:val="Tabla"/>
            </w:pPr>
            <w:r>
              <w:t xml:space="preserve">demora (dos líneas atravesadas o la palabra «demora»)</w:t>
            </w:r>
          </w:p>
        </w:tc>
        <w:tc>
          <w:tcPr>
            <w:tcW w:type="dxa" w:w="4816"/>
            <w:tcMar>
              <w:top w:type="dxa" w:w="80"/>
              <w:left w:type="dxa" w:w="100"/>
              <w:bottom w:type="dxa" w:w="80"/>
              <w:right w:type="dxa" w:w="100"/>
            </w:tcMar>
          </w:tcPr>
          <w:p>
            <w:pPr>
              <w:pStyle w:val="Tabla"/>
            </w:pPr>
            <w:r>
              <w:t xml:space="preserve">Omitir la polaridad del ciclo fue el fallo común; también se marcan demoras y variables que permitan leer la historia.</w:t>
            </w:r>
          </w:p>
        </w:tc>
      </w:tr>
      <w:tr>
        <w:trPr>
          <w:cantSplit/>
          <w:tblHeader w:val="off"/>
        </w:trPr>
        <w:tc>
          <w:tcPr>
            <w:tcW w:type="dxa" w:w="4816"/>
            <w:tcMar>
              <w:top w:type="dxa" w:w="80"/>
              <w:left w:type="dxa" w:w="100"/>
              <w:bottom w:type="dxa" w:w="80"/>
              <w:right w:type="dxa" w:w="100"/>
            </w:tcMar>
          </w:tcPr>
          <w:p>
            <w:pPr>
              <w:pStyle w:val="Tabla"/>
            </w:pPr>
            <w:r>
              <w:t xml:space="preserve">historia del diagrama (la firma del autor)</w:t>
            </w:r>
          </w:p>
        </w:tc>
        <w:tc>
          <w:tcPr>
            <w:tcW w:type="dxa" w:w="4816"/>
            <w:tcMar>
              <w:top w:type="dxa" w:w="80"/>
              <w:left w:type="dxa" w:w="100"/>
              <w:bottom w:type="dxa" w:w="80"/>
              <w:right w:type="dxa" w:w="100"/>
            </w:tcMar>
          </w:tcPr>
          <w:p>
            <w:pPr>
              <w:pStyle w:val="Tabla"/>
            </w:pPr>
            <w:r>
              <w:t xml:space="preserve">Referencia de estudio: Variables unidas por flechas con polaridad; donde la cadena vuelve sobre sí misma, hay un ciclo.</w:t>
            </w:r>
          </w:p>
        </w:tc>
      </w:tr>
      <w:tr>
        <w:trPr>
          <w:cantSplit/>
          <w:tblHeader w:val="off"/>
        </w:trPr>
        <w:tc>
          <w:tcPr>
            <w:tcW w:type="dxa" w:w="4816"/>
            <w:tcMar>
              <w:top w:type="dxa" w:w="80"/>
              <w:left w:type="dxa" w:w="100"/>
              <w:bottom w:type="dxa" w:w="80"/>
              <w:right w:type="dxa" w:w="100"/>
            </w:tcMar>
          </w:tcPr>
          <w:p>
            <w:pPr>
              <w:pStyle w:val="Tabla"/>
            </w:pPr>
            <w:r>
              <w:t xml:space="preserve">diagrama de proceso (lineal) frente a diagrama sistémico</w:t>
            </w:r>
          </w:p>
        </w:tc>
        <w:tc>
          <w:tcPr>
            <w:tcW w:type="dxa" w:w="4816"/>
            <w:tcMar>
              <w:top w:type="dxa" w:w="80"/>
              <w:left w:type="dxa" w:w="100"/>
              <w:bottom w:type="dxa" w:w="80"/>
              <w:right w:type="dxa" w:w="100"/>
            </w:tcMar>
          </w:tcPr>
          <w:p>
            <w:pPr>
              <w:pStyle w:val="Tabla"/>
            </w:pPr>
            <w:r>
              <w:t xml:space="preserve">El diagrama de proceso es lineal, del paso 1 al 10 («enciendo el fuego, hiervo el agua, apago el fuego» es parcial); con flechas hacia atrás pasa a ser diagrama sistémico.</w:t>
            </w:r>
          </w:p>
        </w:tc>
      </w:tr>
    </w:tbl>
    <w:p>
      <w:pPr>
        <w:pStyle w:val="Fuente"/>
      </w:pPr>
      <w:r>
        <w:t xml:space="preserve">Véase </w:t>
      </w:r>
      <w:hyperlink w:history="1" w:anchor="b_3_3">
        <w:r>
          <w:rPr>
            <w:color w:val="156B70"/>
            <w:u w:val="single"/>
          </w:rPr>
          <w:t xml:space="preserve">3.3 · Diagramas de ciclos causales</w:t>
        </w:r>
      </w:hyperlink>
      <w:r>
        <w:t xml:space="preserve">, pág. </w:t>
      </w:r>
      <w:r>
        <w:fldChar w:fldCharType="begin"/>
        <w:instrText xml:space="preserve">PAGEREF b_3_3 \h</w:instrText>
        <w:fldChar w:fldCharType="separate"/>
        <w:t xml:space="preserve">443</w:t>
        <w:fldChar w:fldCharType="end"/>
      </w:r>
      <w:r>
        <w:t xml:space="preserve">.</w:t>
      </w:r>
    </w:p>
    <w:p>
      <w:pPr>
        <w:pStyle w:val="Heading3"/>
      </w:pPr>
      <w:r>
        <w:t xml:space="preserve">3.4 · Interdependencias sistémicas</w:t>
      </w:r>
    </w:p>
    <w:tbl>
      <w:tblPr>
        <w:tblW w:type="dxa" w:w="9632"/>
        <w:tblBorders>
          <w:top w:val="single" w:color="C5D5DB" w:sz="4"/>
          <w:left w:val="single" w:color="C5D5DB" w:sz="4"/>
          <w:bottom w:val="single" w:color="C5D5DB" w:sz="4"/>
          <w:right w:val="single" w:color="C5D5DB" w:sz="4"/>
          <w:insideH w:val="single" w:color="E4E9EB" w:sz="3"/>
          <w:insideV w:val="single" w:color="E4E9EB" w:sz="3"/>
        </w:tblBorders>
        <w:tblLayout w:type="fixed"/>
      </w:tblPr>
      <w:tblGrid>
        <w:gridCol w:w="4816"/>
        <w:gridCol w:w="4816"/>
      </w:tblGrid>
      <w:tr>
        <w:trPr>
          <w:cantSplit/>
          <w:tblHeader/>
        </w:trPr>
        <w:tc>
          <w:tcPr>
            <w:tcW w:type="dxa" w:w="4816"/>
            <w:shd w:fill="DFEAF0" w:val="clear"/>
            <w:tcMar>
              <w:top w:type="dxa" w:w="80"/>
              <w:left w:type="dxa" w:w="100"/>
              <w:bottom w:type="dxa" w:w="80"/>
              <w:right w:type="dxa" w:w="100"/>
            </w:tcMar>
          </w:tcPr>
          <w:p>
            <w:pPr>
              <w:pStyle w:val="Tabla"/>
            </w:pPr>
            <w:r>
              <w:rPr>
                <w:b/>
                <w:bCs/>
              </w:rPr>
              <w:t xml:space="preserve">Vocabulario del tema</w:t>
            </w:r>
          </w:p>
        </w:tc>
        <w:tc>
          <w:tcPr>
            <w:tcW w:type="dxa" w:w="4816"/>
            <w:shd w:fill="DFEAF0" w:val="clear"/>
            <w:tcMar>
              <w:top w:type="dxa" w:w="80"/>
              <w:left w:type="dxa" w:w="100"/>
              <w:bottom w:type="dxa" w:w="80"/>
              <w:right w:type="dxa" w:w="100"/>
            </w:tcMar>
          </w:tcPr>
          <w:p>
            <w:pPr>
              <w:pStyle w:val="Tabla"/>
            </w:pPr>
            <w:r>
              <w:rPr>
                <w:b/>
                <w:bCs/>
              </w:rPr>
              <w:t xml:space="preserve">Localización y contexto</w:t>
            </w:r>
          </w:p>
        </w:tc>
      </w:tr>
      <w:tr>
        <w:trPr>
          <w:cantSplit/>
          <w:tblHeader w:val="off"/>
        </w:trPr>
        <w:tc>
          <w:tcPr>
            <w:tcW w:type="dxa" w:w="4816"/>
            <w:tcMar>
              <w:top w:type="dxa" w:w="80"/>
              <w:left w:type="dxa" w:w="100"/>
              <w:bottom w:type="dxa" w:w="80"/>
              <w:right w:type="dxa" w:w="100"/>
            </w:tcMar>
          </w:tcPr>
          <w:p>
            <w:pPr>
              <w:pStyle w:val="Tabla"/>
            </w:pPr>
            <w:r>
              <w:t xml:space="preserve">interdependencia (relaciones en ambos sentidos: dos cabezas de flecha o dos flechas opuestas)</w:t>
            </w:r>
          </w:p>
        </w:tc>
        <w:tc>
          <w:tcPr>
            <w:tcW w:type="dxa" w:w="4816"/>
            <w:tcMar>
              <w:top w:type="dxa" w:w="80"/>
              <w:left w:type="dxa" w:w="100"/>
              <w:bottom w:type="dxa" w:w="80"/>
              <w:right w:type="dxa" w:w="100"/>
            </w:tcMar>
          </w:tcPr>
          <w:p>
            <w:pPr>
              <w:pStyle w:val="Tabla"/>
            </w:pPr>
            <w:r>
              <w:t xml:space="preserve">Interdependencia: relaciones en ambos sentidos entre dos conceptos (línea de dos cabezas o dos flechas opuestas): A interactúa con B y B con A. Con alta interdependencia los sistemas presentan estructuras no lineales.</w:t>
            </w:r>
          </w:p>
        </w:tc>
      </w:tr>
      <w:tr>
        <w:trPr>
          <w:cantSplit/>
          <w:tblHeader w:val="off"/>
        </w:trPr>
        <w:tc>
          <w:tcPr>
            <w:tcW w:type="dxa" w:w="4816"/>
            <w:tcMar>
              <w:top w:type="dxa" w:w="80"/>
              <w:left w:type="dxa" w:w="100"/>
              <w:bottom w:type="dxa" w:w="80"/>
              <w:right w:type="dxa" w:w="100"/>
            </w:tcMar>
          </w:tcPr>
          <w:p>
            <w:pPr>
              <w:pStyle w:val="Tabla"/>
            </w:pPr>
            <w:r>
              <w:t xml:space="preserve">comportamiento circular (no lineal)</w:t>
            </w:r>
          </w:p>
        </w:tc>
        <w:tc>
          <w:tcPr>
            <w:tcW w:type="dxa" w:w="4816"/>
            <w:tcMar>
              <w:top w:type="dxa" w:w="80"/>
              <w:left w:type="dxa" w:w="100"/>
              <w:bottom w:type="dxa" w:w="80"/>
              <w:right w:type="dxa" w:w="100"/>
            </w:tcMar>
          </w:tcPr>
          <w:p>
            <w:pPr>
              <w:pStyle w:val="Tabla"/>
            </w:pPr>
            <w:r>
              <w:t xml:space="preserve">Comportamiento circular, no lineal: un ciclo de relaciones entre las partes del sistema.</w:t>
            </w:r>
          </w:p>
        </w:tc>
      </w:tr>
      <w:tr>
        <w:trPr>
          <w:cantSplit/>
          <w:tblHeader w:val="off"/>
        </w:trPr>
        <w:tc>
          <w:tcPr>
            <w:tcW w:type="dxa" w:w="4816"/>
            <w:tcMar>
              <w:top w:type="dxa" w:w="80"/>
              <w:left w:type="dxa" w:w="100"/>
              <w:bottom w:type="dxa" w:w="80"/>
              <w:right w:type="dxa" w:w="100"/>
            </w:tcMar>
          </w:tcPr>
          <w:p>
            <w:pPr>
              <w:pStyle w:val="Tabla"/>
            </w:pPr>
            <w:r>
              <w:t xml:space="preserve">estructura sistémica (relaciones y partes que crean la dinámica)</w:t>
            </w:r>
          </w:p>
        </w:tc>
        <w:tc>
          <w:tcPr>
            <w:tcW w:type="dxa" w:w="4816"/>
            <w:tcMar>
              <w:top w:type="dxa" w:w="80"/>
              <w:left w:type="dxa" w:w="100"/>
              <w:bottom w:type="dxa" w:w="80"/>
              <w:right w:type="dxa" w:w="100"/>
            </w:tcMar>
          </w:tcPr>
          <w:p>
            <w:pPr>
              <w:pStyle w:val="Tabla"/>
            </w:pPr>
            <w:r>
              <w:t xml:space="preserve">Estructura sistémica: conjunto de relaciones y de elementos o partes que forman el sistema y crean en el tiempo su dinámica de comportamiento. Conexiones significativas: las flechas que la crean, «la base fundamental», llamadas también interacciones, relaciones de causa y efecto o interdependencias.</w:t>
            </w:r>
          </w:p>
        </w:tc>
      </w:tr>
      <w:tr>
        <w:trPr>
          <w:cantSplit/>
          <w:tblHeader w:val="off"/>
        </w:trPr>
        <w:tc>
          <w:tcPr>
            <w:tcW w:type="dxa" w:w="4816"/>
            <w:tcMar>
              <w:top w:type="dxa" w:w="80"/>
              <w:left w:type="dxa" w:w="100"/>
              <w:bottom w:type="dxa" w:w="80"/>
              <w:right w:type="dxa" w:w="100"/>
            </w:tcMar>
          </w:tcPr>
          <w:p>
            <w:pPr>
              <w:pStyle w:val="Tabla"/>
            </w:pPr>
            <w:r>
              <w:t xml:space="preserve">conexiones significativas (interacciones, relaciones de causa y efecto, interdependencias)</w:t>
            </w:r>
          </w:p>
        </w:tc>
        <w:tc>
          <w:tcPr>
            <w:tcW w:type="dxa" w:w="4816"/>
            <w:tcMar>
              <w:top w:type="dxa" w:w="80"/>
              <w:left w:type="dxa" w:w="100"/>
              <w:bottom w:type="dxa" w:w="80"/>
              <w:right w:type="dxa" w:w="100"/>
            </w:tcMar>
          </w:tcPr>
          <w:p>
            <w:pPr>
              <w:pStyle w:val="Tabla"/>
            </w:pPr>
            <w:r>
              <w:t xml:space="preserve">Estructura sistémica: conjunto de relaciones y de elementos o partes que forman el sistema y crean en el tiempo su dinámica de comportamiento. Conexiones significativas: las flechas que la crean, «la base fundamental», llamadas también interacciones, relaciones de causa y efecto o interdependencias.</w:t>
            </w:r>
          </w:p>
        </w:tc>
      </w:tr>
      <w:tr>
        <w:trPr>
          <w:cantSplit/>
          <w:tblHeader w:val="off"/>
        </w:trPr>
        <w:tc>
          <w:tcPr>
            <w:tcW w:type="dxa" w:w="4816"/>
            <w:tcMar>
              <w:top w:type="dxa" w:w="80"/>
              <w:left w:type="dxa" w:w="100"/>
              <w:bottom w:type="dxa" w:w="80"/>
              <w:right w:type="dxa" w:w="100"/>
            </w:tcMar>
          </w:tcPr>
          <w:p>
            <w:pPr>
              <w:pStyle w:val="Tabla"/>
            </w:pPr>
            <w:r>
              <w:t xml:space="preserve">ciclo (cadena que regresa a la variable de partida; completo o parcial)</w:t>
            </w:r>
          </w:p>
        </w:tc>
        <w:tc>
          <w:tcPr>
            <w:tcW w:type="dxa" w:w="4816"/>
            <w:tcMar>
              <w:top w:type="dxa" w:w="80"/>
              <w:left w:type="dxa" w:w="100"/>
              <w:bottom w:type="dxa" w:w="80"/>
              <w:right w:type="dxa" w:w="100"/>
            </w:tcMar>
          </w:tcPr>
          <w:p>
            <w:pPr>
              <w:pStyle w:val="Tabla"/>
            </w:pPr>
            <w:r>
              <w:t xml:space="preserve">Ciclo: partiendo de una variable y recorriendo relaciones causales se regresa a ella; «si es ciclo, siempre regresará», empiece donde se empiece.</w:t>
            </w:r>
          </w:p>
        </w:tc>
      </w:tr>
      <w:tr>
        <w:trPr>
          <w:cantSplit/>
          <w:tblHeader w:val="off"/>
        </w:trPr>
        <w:tc>
          <w:tcPr>
            <w:tcW w:type="dxa" w:w="4816"/>
            <w:tcMar>
              <w:top w:type="dxa" w:w="80"/>
              <w:left w:type="dxa" w:w="100"/>
              <w:bottom w:type="dxa" w:w="80"/>
              <w:right w:type="dxa" w:w="100"/>
            </w:tcMar>
          </w:tcPr>
          <w:p>
            <w:pPr>
              <w:pStyle w:val="Tabla"/>
            </w:pPr>
            <w:r>
              <w:t xml:space="preserve">retroalimentación de causalidad circular</w:t>
            </w:r>
          </w:p>
        </w:tc>
        <w:tc>
          <w:tcPr>
            <w:tcW w:type="dxa" w:w="4816"/>
            <w:tcMar>
              <w:top w:type="dxa" w:w="80"/>
              <w:left w:type="dxa" w:w="100"/>
              <w:bottom w:type="dxa" w:w="80"/>
              <w:right w:type="dxa" w:w="100"/>
            </w:tcMar>
          </w:tcPr>
          <w:p>
            <w:pPr>
              <w:pStyle w:val="Tabla"/>
            </w:pPr>
            <w:r>
              <w:t xml:space="preserve">El pensador pregunta cómo se afectan las partes y dónde aparece la retroalimentación de causalidad circular.</w:t>
            </w:r>
          </w:p>
        </w:tc>
      </w:tr>
      <w:tr>
        <w:trPr>
          <w:cantSplit/>
          <w:tblHeader w:val="off"/>
        </w:trPr>
        <w:tc>
          <w:tcPr>
            <w:tcW w:type="dxa" w:w="4816"/>
            <w:tcMar>
              <w:top w:type="dxa" w:w="80"/>
              <w:left w:type="dxa" w:w="100"/>
              <w:bottom w:type="dxa" w:w="80"/>
              <w:right w:type="dxa" w:w="100"/>
            </w:tcMar>
          </w:tcPr>
          <w:p>
            <w:pPr>
              <w:pStyle w:val="Tabla"/>
            </w:pPr>
            <w:r>
              <w:t xml:space="preserve">segundo hábito: la naturaleza circular de las relaciones</w:t>
            </w:r>
          </w:p>
        </w:tc>
        <w:tc>
          <w:tcPr>
            <w:tcW w:type="dxa" w:w="4816"/>
            <w:tcMar>
              <w:top w:type="dxa" w:w="80"/>
              <w:left w:type="dxa" w:w="100"/>
              <w:bottom w:type="dxa" w:w="80"/>
              <w:right w:type="dxa" w:w="100"/>
            </w:tcMar>
          </w:tcPr>
          <w:p>
            <w:pPr>
              <w:pStyle w:val="Tabla"/>
            </w:pPr>
            <w:r>
              <w:t xml:space="preserve">Referencia de estudio: La primera impresión de una cadena causal es que es secuencial, hasta que una variable vuelve sobre otra anterior.</w:t>
            </w:r>
          </w:p>
        </w:tc>
      </w:tr>
      <w:tr>
        <w:trPr>
          <w:cantSplit/>
          <w:tblHeader w:val="off"/>
        </w:trPr>
        <w:tc>
          <w:tcPr>
            <w:tcW w:type="dxa" w:w="4816"/>
            <w:tcMar>
              <w:top w:type="dxa" w:w="80"/>
              <w:left w:type="dxa" w:w="100"/>
              <w:bottom w:type="dxa" w:w="80"/>
              <w:right w:type="dxa" w:w="100"/>
            </w:tcMar>
          </w:tcPr>
          <w:p>
            <w:pPr>
              <w:pStyle w:val="Tabla"/>
            </w:pPr>
            <w:r>
              <w:t xml:space="preserve">telaraña de ciclos (anidados, en paralelo o solapados)</w:t>
            </w:r>
          </w:p>
        </w:tc>
        <w:tc>
          <w:tcPr>
            <w:tcW w:type="dxa" w:w="4816"/>
            <w:tcMar>
              <w:top w:type="dxa" w:w="80"/>
              <w:left w:type="dxa" w:w="100"/>
              <w:bottom w:type="dxa" w:w="80"/>
              <w:right w:type="dxa" w:w="100"/>
            </w:tcMar>
          </w:tcPr>
          <w:p>
            <w:pPr>
              <w:pStyle w:val="Tabla"/>
            </w:pPr>
            <w:r>
              <w:t xml:space="preserve">Referencia de estudio: La primera impresión de una cadena causal es que es secuencial, hasta que una variable vuelve sobre otra anterior.</w:t>
            </w:r>
          </w:p>
        </w:tc>
      </w:tr>
      <w:tr>
        <w:trPr>
          <w:cantSplit/>
          <w:tblHeader w:val="off"/>
        </w:trPr>
        <w:tc>
          <w:tcPr>
            <w:tcW w:type="dxa" w:w="4816"/>
            <w:tcMar>
              <w:top w:type="dxa" w:w="80"/>
              <w:left w:type="dxa" w:w="100"/>
              <w:bottom w:type="dxa" w:w="80"/>
              <w:right w:type="dxa" w:w="100"/>
            </w:tcMar>
          </w:tcPr>
          <w:p>
            <w:pPr>
              <w:pStyle w:val="Tabla"/>
            </w:pPr>
            <w:r>
              <w:t xml:space="preserve">tiempo lineal y tiempo circular</w:t>
            </w:r>
          </w:p>
        </w:tc>
        <w:tc>
          <w:tcPr>
            <w:tcW w:type="dxa" w:w="4816"/>
            <w:tcMar>
              <w:top w:type="dxa" w:w="80"/>
              <w:left w:type="dxa" w:w="100"/>
              <w:bottom w:type="dxa" w:w="80"/>
              <w:right w:type="dxa" w:w="100"/>
            </w:tcMar>
          </w:tcPr>
          <w:p>
            <w:pPr>
              <w:pStyle w:val="Tabla"/>
            </w:pPr>
            <w:r>
              <w:t xml:space="preserve">Referencia de estudio: La primera impresión de una cadena causal es que es secuencial, hasta que una variable vuelve sobre otra anterior.</w:t>
            </w:r>
          </w:p>
        </w:tc>
      </w:tr>
      <w:tr>
        <w:trPr>
          <w:cantSplit/>
          <w:tblHeader w:val="off"/>
        </w:trPr>
        <w:tc>
          <w:tcPr>
            <w:tcW w:type="dxa" w:w="4816"/>
            <w:tcMar>
              <w:top w:type="dxa" w:w="80"/>
              <w:left w:type="dxa" w:w="100"/>
              <w:bottom w:type="dxa" w:w="80"/>
              <w:right w:type="dxa" w:w="100"/>
            </w:tcMar>
          </w:tcPr>
          <w:p>
            <w:pPr>
              <w:pStyle w:val="Tabla"/>
            </w:pPr>
            <w:r>
              <w:t xml:space="preserve">interdependencias contraintuitivas</w:t>
            </w:r>
          </w:p>
        </w:tc>
        <w:tc>
          <w:tcPr>
            <w:tcW w:type="dxa" w:w="4816"/>
            <w:tcMar>
              <w:top w:type="dxa" w:w="80"/>
              <w:left w:type="dxa" w:w="100"/>
              <w:bottom w:type="dxa" w:w="80"/>
              <w:right w:type="dxa" w:w="100"/>
            </w:tcMar>
          </w:tcPr>
          <w:p>
            <w:pPr>
              <w:pStyle w:val="Tabla"/>
            </w:pPr>
            <w:r>
              <w:t xml:space="preserve">La causa lineal puede servir en sistemas de baja complejidad, no en los de alta, cuyas relaciones son circulares. La circularidad produce interdependencias contraintuitivas: el culpable hallado puede no ser la causa.</w:t>
            </w:r>
          </w:p>
        </w:tc>
      </w:tr>
    </w:tbl>
    <w:p>
      <w:pPr>
        <w:pStyle w:val="Fuente"/>
      </w:pPr>
      <w:r>
        <w:t xml:space="preserve">Véase </w:t>
      </w:r>
      <w:hyperlink w:history="1" w:anchor="b_3_4">
        <w:r>
          <w:rPr>
            <w:color w:val="156B70"/>
            <w:u w:val="single"/>
          </w:rPr>
          <w:t xml:space="preserve">3.4 · Interdependencias sistémicas</w:t>
        </w:r>
      </w:hyperlink>
      <w:r>
        <w:t xml:space="preserve">, pág. </w:t>
      </w:r>
      <w:r>
        <w:fldChar w:fldCharType="begin"/>
        <w:instrText xml:space="preserve">PAGEREF b_3_4 \h</w:instrText>
        <w:fldChar w:fldCharType="separate"/>
        <w:t xml:space="preserve">476</w:t>
        <w:fldChar w:fldCharType="end"/>
      </w:r>
      <w:r>
        <w:t xml:space="preserve">.</w:t>
      </w:r>
    </w:p>
    <w:p>
      <w:pPr>
        <w:pStyle w:val="Heading3"/>
      </w:pPr>
      <w:r>
        <w:t xml:space="preserve">3.5 · Refuerzo y compensación</w:t>
      </w:r>
    </w:p>
    <w:tbl>
      <w:tblPr>
        <w:tblW w:type="dxa" w:w="9632"/>
        <w:tblBorders>
          <w:top w:val="single" w:color="C5D5DB" w:sz="4"/>
          <w:left w:val="single" w:color="C5D5DB" w:sz="4"/>
          <w:bottom w:val="single" w:color="C5D5DB" w:sz="4"/>
          <w:right w:val="single" w:color="C5D5DB" w:sz="4"/>
          <w:insideH w:val="single" w:color="E4E9EB" w:sz="3"/>
          <w:insideV w:val="single" w:color="E4E9EB" w:sz="3"/>
        </w:tblBorders>
        <w:tblLayout w:type="fixed"/>
      </w:tblPr>
      <w:tblGrid>
        <w:gridCol w:w="4816"/>
        <w:gridCol w:w="4816"/>
      </w:tblGrid>
      <w:tr>
        <w:trPr>
          <w:cantSplit/>
          <w:tblHeader/>
        </w:trPr>
        <w:tc>
          <w:tcPr>
            <w:tcW w:type="dxa" w:w="4816"/>
            <w:shd w:fill="DFEAF0" w:val="clear"/>
            <w:tcMar>
              <w:top w:type="dxa" w:w="80"/>
              <w:left w:type="dxa" w:w="100"/>
              <w:bottom w:type="dxa" w:w="80"/>
              <w:right w:type="dxa" w:w="100"/>
            </w:tcMar>
          </w:tcPr>
          <w:p>
            <w:pPr>
              <w:pStyle w:val="Tabla"/>
            </w:pPr>
            <w:r>
              <w:rPr>
                <w:b/>
                <w:bCs/>
              </w:rPr>
              <w:t xml:space="preserve">Vocabulario del tema</w:t>
            </w:r>
          </w:p>
        </w:tc>
        <w:tc>
          <w:tcPr>
            <w:tcW w:type="dxa" w:w="4816"/>
            <w:shd w:fill="DFEAF0" w:val="clear"/>
            <w:tcMar>
              <w:top w:type="dxa" w:w="80"/>
              <w:left w:type="dxa" w:w="100"/>
              <w:bottom w:type="dxa" w:w="80"/>
              <w:right w:type="dxa" w:w="100"/>
            </w:tcMar>
          </w:tcPr>
          <w:p>
            <w:pPr>
              <w:pStyle w:val="Tabla"/>
            </w:pPr>
            <w:r>
              <w:rPr>
                <w:b/>
                <w:bCs/>
              </w:rPr>
              <w:t xml:space="preserve">Localización y contexto</w:t>
            </w:r>
          </w:p>
        </w:tc>
      </w:tr>
      <w:tr>
        <w:trPr>
          <w:cantSplit/>
          <w:tblHeader w:val="off"/>
        </w:trPr>
        <w:tc>
          <w:tcPr>
            <w:tcW w:type="dxa" w:w="4816"/>
            <w:tcMar>
              <w:top w:type="dxa" w:w="80"/>
              <w:left w:type="dxa" w:w="100"/>
              <w:bottom w:type="dxa" w:w="80"/>
              <w:right w:type="dxa" w:w="100"/>
            </w:tcMar>
          </w:tcPr>
          <w:p>
            <w:pPr>
              <w:pStyle w:val="Tabla"/>
            </w:pPr>
            <w:r>
              <w:t xml:space="preserve">ciclo de retroalimentación (bucle de retroalimentación, retroalimentación de causalidad circular)</w:t>
            </w:r>
          </w:p>
        </w:tc>
        <w:tc>
          <w:tcPr>
            <w:tcW w:type="dxa" w:w="4816"/>
            <w:tcMar>
              <w:top w:type="dxa" w:w="80"/>
              <w:left w:type="dxa" w:w="100"/>
              <w:bottom w:type="dxa" w:w="80"/>
              <w:right w:type="dxa" w:w="100"/>
            </w:tcMar>
          </w:tcPr>
          <w:p>
            <w:pPr>
              <w:pStyle w:val="Tabla"/>
            </w:pPr>
            <w:r>
              <w:t xml:space="preserve">Referencia de estudio: Número impar de relaciones negativas, ciclo de balance; número par o ninguna, ciclo de refuerzo.</w:t>
            </w:r>
          </w:p>
        </w:tc>
      </w:tr>
      <w:tr>
        <w:trPr>
          <w:cantSplit/>
          <w:tblHeader w:val="off"/>
        </w:trPr>
        <w:tc>
          <w:tcPr>
            <w:tcW w:type="dxa" w:w="4816"/>
            <w:tcMar>
              <w:top w:type="dxa" w:w="80"/>
              <w:left w:type="dxa" w:w="100"/>
              <w:bottom w:type="dxa" w:w="80"/>
              <w:right w:type="dxa" w:w="100"/>
            </w:tcMar>
          </w:tcPr>
          <w:p>
            <w:pPr>
              <w:pStyle w:val="Tabla"/>
            </w:pPr>
            <w:r>
              <w:t xml:space="preserve">ciclo de compensación (de balance, de control, retroalimentación negativa, ciclo negativo)</w:t>
            </w:r>
          </w:p>
        </w:tc>
        <w:tc>
          <w:tcPr>
            <w:tcW w:type="dxa" w:w="4816"/>
            <w:tcMar>
              <w:top w:type="dxa" w:w="80"/>
              <w:left w:type="dxa" w:w="100"/>
              <w:bottom w:type="dxa" w:w="80"/>
              <w:right w:type="dxa" w:w="100"/>
            </w:tcMar>
          </w:tcPr>
          <w:p>
            <w:pPr>
              <w:pStyle w:val="Tabla"/>
            </w:pPr>
            <w:r>
              <w:t xml:space="preserve">Referencia de estudio: Número impar de relaciones negativas, ciclo de balance; número par o ninguna, ciclo de refuerzo.</w:t>
            </w:r>
          </w:p>
        </w:tc>
      </w:tr>
      <w:tr>
        <w:trPr>
          <w:cantSplit/>
          <w:tblHeader w:val="off"/>
        </w:trPr>
        <w:tc>
          <w:tcPr>
            <w:tcW w:type="dxa" w:w="4816"/>
            <w:tcMar>
              <w:top w:type="dxa" w:w="80"/>
              <w:left w:type="dxa" w:w="100"/>
              <w:bottom w:type="dxa" w:w="80"/>
              <w:right w:type="dxa" w:w="100"/>
            </w:tcMar>
          </w:tcPr>
          <w:p>
            <w:pPr>
              <w:pStyle w:val="Tabla"/>
            </w:pPr>
            <w:r>
              <w:t xml:space="preserve">ciclo de refuerzo (retroalimentación positiva, ciclo positivo)</w:t>
            </w:r>
          </w:p>
        </w:tc>
        <w:tc>
          <w:tcPr>
            <w:tcW w:type="dxa" w:w="4816"/>
            <w:tcMar>
              <w:top w:type="dxa" w:w="80"/>
              <w:left w:type="dxa" w:w="100"/>
              <w:bottom w:type="dxa" w:w="80"/>
              <w:right w:type="dxa" w:w="100"/>
            </w:tcMar>
          </w:tcPr>
          <w:p>
            <w:pPr>
              <w:pStyle w:val="Tabla"/>
            </w:pPr>
            <w:r>
              <w:t xml:space="preserve">Referencia de estudio: Número impar de relaciones negativas, ciclo de balance; número par o ninguna, ciclo de refuerzo.</w:t>
            </w:r>
          </w:p>
        </w:tc>
      </w:tr>
      <w:tr>
        <w:trPr>
          <w:cantSplit/>
          <w:tblHeader w:val="off"/>
        </w:trPr>
        <w:tc>
          <w:tcPr>
            <w:tcW w:type="dxa" w:w="4816"/>
            <w:tcMar>
              <w:top w:type="dxa" w:w="80"/>
              <w:left w:type="dxa" w:w="100"/>
              <w:bottom w:type="dxa" w:w="80"/>
              <w:right w:type="dxa" w:w="100"/>
            </w:tcMar>
          </w:tcPr>
          <w:p>
            <w:pPr>
              <w:pStyle w:val="Tabla"/>
            </w:pPr>
            <w:r>
              <w:t xml:space="preserve">arquetipos sistémicos básicos</w:t>
            </w:r>
          </w:p>
        </w:tc>
        <w:tc>
          <w:tcPr>
            <w:tcW w:type="dxa" w:w="4816"/>
            <w:tcMar>
              <w:top w:type="dxa" w:w="80"/>
              <w:left w:type="dxa" w:w="100"/>
              <w:bottom w:type="dxa" w:w="80"/>
              <w:right w:type="dxa" w:w="100"/>
            </w:tcMar>
          </w:tcPr>
          <w:p>
            <w:pPr>
              <w:pStyle w:val="Tabla"/>
            </w:pPr>
            <w:r>
              <w:t xml:space="preserve">Son dos tipos, refuerzo y compensación (retroalimentación o ciclos positivos y negativos): los «arquetipos sistémicos básicos», patrones presentes en las estructuras de cualquier sistema.</w:t>
            </w:r>
          </w:p>
        </w:tc>
      </w:tr>
      <w:tr>
        <w:trPr>
          <w:cantSplit/>
          <w:tblHeader w:val="off"/>
        </w:trPr>
        <w:tc>
          <w:tcPr>
            <w:tcW w:type="dxa" w:w="4816"/>
            <w:tcMar>
              <w:top w:type="dxa" w:w="80"/>
              <w:left w:type="dxa" w:w="100"/>
              <w:bottom w:type="dxa" w:w="80"/>
              <w:right w:type="dxa" w:w="100"/>
            </w:tcMar>
          </w:tcPr>
          <w:p>
            <w:pPr>
              <w:pStyle w:val="Tabla"/>
            </w:pPr>
            <w:r>
              <w:t xml:space="preserve">objetivo (meta, valor explícito o implícito) y brecha percibida</w:t>
            </w:r>
          </w:p>
        </w:tc>
        <w:tc>
          <w:tcPr>
            <w:tcW w:type="dxa" w:w="4816"/>
            <w:tcMar>
              <w:top w:type="dxa" w:w="80"/>
              <w:left w:type="dxa" w:w="100"/>
              <w:bottom w:type="dxa" w:w="80"/>
              <w:right w:type="dxa" w:w="100"/>
            </w:tcMar>
          </w:tcPr>
          <w:p>
            <w:pPr>
              <w:pStyle w:val="Tabla"/>
            </w:pPr>
            <w:r>
              <w:t xml:space="preserve">La realimentación negativa tiende a producir equilibrio o aproximación al objetivo.</w:t>
            </w:r>
          </w:p>
        </w:tc>
      </w:tr>
      <w:tr>
        <w:trPr>
          <w:cantSplit/>
          <w:tblHeader w:val="off"/>
        </w:trPr>
        <w:tc>
          <w:tcPr>
            <w:tcW w:type="dxa" w:w="4816"/>
            <w:tcMar>
              <w:top w:type="dxa" w:w="80"/>
              <w:left w:type="dxa" w:w="100"/>
              <w:bottom w:type="dxa" w:w="80"/>
              <w:right w:type="dxa" w:w="100"/>
            </w:tcMar>
          </w:tcPr>
          <w:p>
            <w:pPr>
              <w:pStyle w:val="Tabla"/>
            </w:pPr>
            <w:r>
              <w:t xml:space="preserve">estado estable (equilibrio)</w:t>
            </w:r>
          </w:p>
        </w:tc>
        <w:tc>
          <w:tcPr>
            <w:tcW w:type="dxa" w:w="4816"/>
            <w:tcMar>
              <w:top w:type="dxa" w:w="80"/>
              <w:left w:type="dxa" w:w="100"/>
              <w:bottom w:type="dxa" w:w="80"/>
              <w:right w:type="dxa" w:w="100"/>
            </w:tcMar>
          </w:tcPr>
          <w:p>
            <w:pPr>
              <w:pStyle w:val="Tabla"/>
            </w:pPr>
            <w:r>
              <w:t xml:space="preserve">La tendencia se revierte, de golpe o gradualmente, hasta un estado estable, sostenible largo tiempo y «más o menos oscilatorio», que puede perderse y requerir control otra vez. En esos modelos sencillos la corrección reduce la brecha; el resultado puede cambiar con retardos y otros ciclos.</w:t>
            </w:r>
          </w:p>
        </w:tc>
      </w:tr>
      <w:tr>
        <w:trPr>
          <w:cantSplit/>
          <w:tblHeader w:val="off"/>
        </w:trPr>
        <w:tc>
          <w:tcPr>
            <w:tcW w:type="dxa" w:w="4816"/>
            <w:tcMar>
              <w:top w:type="dxa" w:w="80"/>
              <w:left w:type="dxa" w:w="100"/>
              <w:bottom w:type="dxa" w:w="80"/>
              <w:right w:type="dxa" w:w="100"/>
            </w:tcMar>
          </w:tcPr>
          <w:p>
            <w:pPr>
              <w:pStyle w:val="Tabla"/>
            </w:pPr>
            <w:r>
              <w:t xml:space="preserve">polaridad del ciclo (B, C, «−» o balanza; R, «+» o bola de nieve)</w:t>
            </w:r>
          </w:p>
        </w:tc>
        <w:tc>
          <w:tcPr>
            <w:tcW w:type="dxa" w:w="4816"/>
            <w:tcMar>
              <w:top w:type="dxa" w:w="80"/>
              <w:left w:type="dxa" w:w="100"/>
              <w:bottom w:type="dxa" w:w="80"/>
              <w:right w:type="dxa" w:w="100"/>
            </w:tcMar>
          </w:tcPr>
          <w:p>
            <w:pPr>
              <w:pStyle w:val="Tabla"/>
            </w:pPr>
            <w:r>
              <w:t xml:space="preserve">Referencia de estudio: Número impar de relaciones negativas, ciclo de balance; número par o ninguna, ciclo de refuerzo.</w:t>
            </w:r>
          </w:p>
        </w:tc>
      </w:tr>
      <w:tr>
        <w:trPr>
          <w:cantSplit/>
          <w:tblHeader w:val="off"/>
        </w:trPr>
        <w:tc>
          <w:tcPr>
            <w:tcW w:type="dxa" w:w="4816"/>
            <w:tcMar>
              <w:top w:type="dxa" w:w="80"/>
              <w:left w:type="dxa" w:w="100"/>
              <w:bottom w:type="dxa" w:w="80"/>
              <w:right w:type="dxa" w:w="100"/>
            </w:tcMar>
          </w:tcPr>
          <w:p>
            <w:pPr>
              <w:pStyle w:val="Tabla"/>
            </w:pPr>
            <w:r>
              <w:t xml:space="preserve">regla del número par de relaciones negativas</w:t>
            </w:r>
          </w:p>
        </w:tc>
        <w:tc>
          <w:tcPr>
            <w:tcW w:type="dxa" w:w="4816"/>
            <w:tcMar>
              <w:top w:type="dxa" w:w="80"/>
              <w:left w:type="dxa" w:w="100"/>
              <w:bottom w:type="dxa" w:w="80"/>
              <w:right w:type="dxa" w:w="100"/>
            </w:tcMar>
          </w:tcPr>
          <w:p>
            <w:pPr>
              <w:pStyle w:val="Tabla"/>
            </w:pPr>
            <w:r>
              <w:t xml:space="preserve">Referencia de estudio: Número impar de relaciones negativas, ciclo de balance; número par o ninguna, ciclo de refuerzo.</w:t>
            </w:r>
          </w:p>
        </w:tc>
      </w:tr>
      <w:tr>
        <w:trPr>
          <w:cantSplit/>
          <w:tblHeader w:val="off"/>
        </w:trPr>
        <w:tc>
          <w:tcPr>
            <w:tcW w:type="dxa" w:w="4816"/>
            <w:tcMar>
              <w:top w:type="dxa" w:w="80"/>
              <w:left w:type="dxa" w:w="100"/>
              <w:bottom w:type="dxa" w:w="80"/>
              <w:right w:type="dxa" w:w="100"/>
            </w:tcMar>
          </w:tcPr>
          <w:p>
            <w:pPr>
              <w:pStyle w:val="Tabla"/>
            </w:pPr>
            <w:r>
              <w:t xml:space="preserve">círculo virtuoso y círculo vicioso</w:t>
            </w:r>
          </w:p>
        </w:tc>
        <w:tc>
          <w:tcPr>
            <w:tcW w:type="dxa" w:w="4816"/>
            <w:tcMar>
              <w:top w:type="dxa" w:w="80"/>
              <w:left w:type="dxa" w:w="100"/>
              <w:bottom w:type="dxa" w:w="80"/>
              <w:right w:type="dxa" w:w="100"/>
            </w:tcMar>
          </w:tcPr>
          <w:p>
            <w:pPr>
              <w:pStyle w:val="Tabla"/>
            </w:pPr>
            <w:r>
              <w:t xml:space="preserve">Referencia de estudio: Número impar de relaciones negativas, ciclo de balance; número par o ninguna, ciclo de refuerzo.</w:t>
            </w:r>
          </w:p>
        </w:tc>
      </w:tr>
      <w:tr>
        <w:trPr>
          <w:cantSplit/>
          <w:tblHeader w:val="off"/>
        </w:trPr>
        <w:tc>
          <w:tcPr>
            <w:tcW w:type="dxa" w:w="4816"/>
            <w:tcMar>
              <w:top w:type="dxa" w:w="80"/>
              <w:left w:type="dxa" w:w="100"/>
              <w:bottom w:type="dxa" w:w="80"/>
              <w:right w:type="dxa" w:w="100"/>
            </w:tcMar>
          </w:tcPr>
          <w:p>
            <w:pPr>
              <w:pStyle w:val="Tabla"/>
            </w:pPr>
            <w:r>
              <w:t xml:space="preserve">proalimentación de compensación y de refuerzo</w:t>
            </w:r>
          </w:p>
        </w:tc>
        <w:tc>
          <w:tcPr>
            <w:tcW w:type="dxa" w:w="4816"/>
            <w:tcMar>
              <w:top w:type="dxa" w:w="80"/>
              <w:left w:type="dxa" w:w="100"/>
              <w:bottom w:type="dxa" w:w="80"/>
              <w:right w:type="dxa" w:w="100"/>
            </w:tcMar>
          </w:tcPr>
          <w:p>
            <w:pPr>
              <w:pStyle w:val="Tabla"/>
            </w:pPr>
            <w:r>
              <w:t xml:space="preserve">Referencia de estudio: Número impar de relaciones negativas, ciclo de balance; número par o ninguna, ciclo de refuerzo.</w:t>
            </w:r>
          </w:p>
        </w:tc>
      </w:tr>
    </w:tbl>
    <w:p>
      <w:pPr>
        <w:pStyle w:val="Fuente"/>
      </w:pPr>
      <w:r>
        <w:t xml:space="preserve">Véase </w:t>
      </w:r>
      <w:hyperlink w:history="1" w:anchor="b_3_5">
        <w:r>
          <w:rPr>
            <w:color w:val="156B70"/>
            <w:u w:val="single"/>
          </w:rPr>
          <w:t xml:space="preserve">3.5 · Refuerzo y compensación</w:t>
        </w:r>
      </w:hyperlink>
      <w:r>
        <w:t xml:space="preserve">, pág. </w:t>
      </w:r>
      <w:r>
        <w:fldChar w:fldCharType="begin"/>
        <w:instrText xml:space="preserve">PAGEREF b_3_5 \h</w:instrText>
        <w:fldChar w:fldCharType="separate"/>
        <w:t xml:space="preserve">501</w:t>
        <w:fldChar w:fldCharType="end"/>
      </w:r>
      <w:r>
        <w:t xml:space="preserve">.</w:t>
      </w:r>
    </w:p>
    <w:p>
      <w:pPr>
        <w:pStyle w:val="Heading3"/>
      </w:pPr>
      <w:r>
        <w:t xml:space="preserve">3.6 · Modelación dinámica</w:t>
      </w:r>
    </w:p>
    <w:tbl>
      <w:tblPr>
        <w:tblW w:type="dxa" w:w="9632"/>
        <w:tblBorders>
          <w:top w:val="single" w:color="C5D5DB" w:sz="4"/>
          <w:left w:val="single" w:color="C5D5DB" w:sz="4"/>
          <w:bottom w:val="single" w:color="C5D5DB" w:sz="4"/>
          <w:right w:val="single" w:color="C5D5DB" w:sz="4"/>
          <w:insideH w:val="single" w:color="E4E9EB" w:sz="3"/>
          <w:insideV w:val="single" w:color="E4E9EB" w:sz="3"/>
        </w:tblBorders>
        <w:tblLayout w:type="fixed"/>
      </w:tblPr>
      <w:tblGrid>
        <w:gridCol w:w="4816"/>
        <w:gridCol w:w="4816"/>
      </w:tblGrid>
      <w:tr>
        <w:trPr>
          <w:cantSplit/>
          <w:tblHeader/>
        </w:trPr>
        <w:tc>
          <w:tcPr>
            <w:tcW w:type="dxa" w:w="4816"/>
            <w:shd w:fill="DFEAF0" w:val="clear"/>
            <w:tcMar>
              <w:top w:type="dxa" w:w="80"/>
              <w:left w:type="dxa" w:w="100"/>
              <w:bottom w:type="dxa" w:w="80"/>
              <w:right w:type="dxa" w:w="100"/>
            </w:tcMar>
          </w:tcPr>
          <w:p>
            <w:pPr>
              <w:pStyle w:val="Tabla"/>
            </w:pPr>
            <w:r>
              <w:rPr>
                <w:b/>
                <w:bCs/>
              </w:rPr>
              <w:t xml:space="preserve">Vocabulario del tema</w:t>
            </w:r>
          </w:p>
        </w:tc>
        <w:tc>
          <w:tcPr>
            <w:tcW w:type="dxa" w:w="4816"/>
            <w:shd w:fill="DFEAF0" w:val="clear"/>
            <w:tcMar>
              <w:top w:type="dxa" w:w="80"/>
              <w:left w:type="dxa" w:w="100"/>
              <w:bottom w:type="dxa" w:w="80"/>
              <w:right w:type="dxa" w:w="100"/>
            </w:tcMar>
          </w:tcPr>
          <w:p>
            <w:pPr>
              <w:pStyle w:val="Tabla"/>
            </w:pPr>
            <w:r>
              <w:rPr>
                <w:b/>
                <w:bCs/>
              </w:rPr>
              <w:t xml:space="preserve">Localización y contexto</w:t>
            </w:r>
          </w:p>
        </w:tc>
      </w:tr>
      <w:tr>
        <w:trPr>
          <w:cantSplit/>
          <w:tblHeader w:val="off"/>
        </w:trPr>
        <w:tc>
          <w:tcPr>
            <w:tcW w:type="dxa" w:w="4816"/>
            <w:tcMar>
              <w:top w:type="dxa" w:w="80"/>
              <w:left w:type="dxa" w:w="100"/>
              <w:bottom w:type="dxa" w:w="80"/>
              <w:right w:type="dxa" w:w="100"/>
            </w:tcMar>
          </w:tcPr>
          <w:p>
            <w:pPr>
              <w:pStyle w:val="Tabla"/>
            </w:pPr>
            <w:r>
              <w:t xml:space="preserve">la estructura genera el comportamiento (los comportamientos dependen de las estructuras; los sistemas están perfectamente diseñados para producir los resultados que se obtienen)</w:t>
            </w:r>
          </w:p>
        </w:tc>
        <w:tc>
          <w:tcPr>
            <w:tcW w:type="dxa" w:w="4816"/>
            <w:tcMar>
              <w:top w:type="dxa" w:w="80"/>
              <w:left w:type="dxa" w:w="100"/>
              <w:bottom w:type="dxa" w:w="80"/>
              <w:right w:type="dxa" w:w="100"/>
            </w:tcMar>
          </w:tcPr>
          <w:p>
            <w:pPr>
              <w:pStyle w:val="Tabla"/>
            </w:pPr>
            <w:r>
              <w:t xml:space="preserve">Referencia de estudio: La estructura del sistema genera su comportamiento: los sistemas están perfectamente diseñados para producir los resultados que obtienen.</w:t>
            </w:r>
          </w:p>
        </w:tc>
      </w:tr>
      <w:tr>
        <w:trPr>
          <w:cantSplit/>
          <w:tblHeader w:val="off"/>
        </w:trPr>
        <w:tc>
          <w:tcPr>
            <w:tcW w:type="dxa" w:w="4816"/>
            <w:tcMar>
              <w:top w:type="dxa" w:w="80"/>
              <w:left w:type="dxa" w:w="100"/>
              <w:bottom w:type="dxa" w:w="80"/>
              <w:right w:type="dxa" w:w="100"/>
            </w:tcMar>
          </w:tcPr>
          <w:p>
            <w:pPr>
              <w:pStyle w:val="Tabla"/>
            </w:pPr>
            <w:r>
              <w:t xml:space="preserve">emergencia del comportamiento (surge de todas las interacciones, no de una parte)</w:t>
            </w:r>
          </w:p>
        </w:tc>
        <w:tc>
          <w:tcPr>
            <w:tcW w:type="dxa" w:w="4816"/>
            <w:tcMar>
              <w:top w:type="dxa" w:w="80"/>
              <w:left w:type="dxa" w:w="100"/>
              <w:bottom w:type="dxa" w:w="80"/>
              <w:right w:type="dxa" w:w="100"/>
            </w:tcMar>
          </w:tcPr>
          <w:p>
            <w:pPr>
              <w:pStyle w:val="Tabla"/>
            </w:pPr>
            <w:r>
              <w:t xml:space="preserve">Referencia de estudio: La estructura del sistema genera su comportamiento: los sistemas están perfectamente diseñados para producir los resultados que obtienen.</w:t>
            </w:r>
          </w:p>
        </w:tc>
      </w:tr>
      <w:tr>
        <w:trPr>
          <w:cantSplit/>
          <w:tblHeader w:val="off"/>
        </w:trPr>
        <w:tc>
          <w:tcPr>
            <w:tcW w:type="dxa" w:w="4816"/>
            <w:tcMar>
              <w:top w:type="dxa" w:w="80"/>
              <w:left w:type="dxa" w:w="100"/>
              <w:bottom w:type="dxa" w:w="80"/>
              <w:right w:type="dxa" w:w="100"/>
            </w:tcMar>
          </w:tcPr>
          <w:p>
            <w:pPr>
              <w:pStyle w:val="Tabla"/>
            </w:pPr>
            <w:r>
              <w:t xml:space="preserve">estructuras físicas, lógicas y sociales (tangibles o intangibles)</w:t>
            </w:r>
          </w:p>
        </w:tc>
        <w:tc>
          <w:tcPr>
            <w:tcW w:type="dxa" w:w="4816"/>
            <w:tcMar>
              <w:top w:type="dxa" w:w="80"/>
              <w:left w:type="dxa" w:w="100"/>
              <w:bottom w:type="dxa" w:w="80"/>
              <w:right w:type="dxa" w:w="100"/>
            </w:tcMar>
          </w:tcPr>
          <w:p>
            <w:pPr>
              <w:pStyle w:val="Tabla"/>
            </w:pPr>
            <w:r>
              <w:t xml:space="preserve">Referencia de estudio: La estructura del sistema genera su comportamiento: los sistemas están perfectamente diseñados para producir los resultados que obtienen.</w:t>
            </w:r>
          </w:p>
        </w:tc>
      </w:tr>
      <w:tr>
        <w:trPr>
          <w:cantSplit/>
          <w:tblHeader w:val="off"/>
        </w:trPr>
        <w:tc>
          <w:tcPr>
            <w:tcW w:type="dxa" w:w="4816"/>
            <w:tcMar>
              <w:top w:type="dxa" w:w="80"/>
              <w:left w:type="dxa" w:w="100"/>
              <w:bottom w:type="dxa" w:w="80"/>
              <w:right w:type="dxa" w:w="100"/>
            </w:tcMar>
          </w:tcPr>
          <w:p>
            <w:pPr>
              <w:pStyle w:val="Tabla"/>
            </w:pPr>
            <w:r>
              <w:t xml:space="preserve">ciclo (recorrido causal que siempre regresa a la variable de partida)</w:t>
            </w:r>
          </w:p>
        </w:tc>
        <w:tc>
          <w:tcPr>
            <w:tcW w:type="dxa" w:w="4816"/>
            <w:tcMar>
              <w:top w:type="dxa" w:w="80"/>
              <w:left w:type="dxa" w:w="100"/>
              <w:bottom w:type="dxa" w:w="80"/>
              <w:right w:type="dxa" w:w="100"/>
            </w:tcMar>
          </w:tcPr>
          <w:p>
            <w:pPr>
              <w:pStyle w:val="Tabla"/>
            </w:pPr>
            <w:r>
              <w:t xml:space="preserve">Ciclos y variables compartidas hacen compleja la dinámica; de la estructura emergen patrones y eventos.</w:t>
            </w:r>
          </w:p>
        </w:tc>
      </w:tr>
      <w:tr>
        <w:trPr>
          <w:cantSplit/>
          <w:tblHeader w:val="off"/>
        </w:trPr>
        <w:tc>
          <w:tcPr>
            <w:tcW w:type="dxa" w:w="4816"/>
            <w:tcMar>
              <w:top w:type="dxa" w:w="80"/>
              <w:left w:type="dxa" w:w="100"/>
              <w:bottom w:type="dxa" w:w="80"/>
              <w:right w:type="dxa" w:w="100"/>
            </w:tcMar>
          </w:tcPr>
          <w:p>
            <w:pPr>
              <w:pStyle w:val="Tabla"/>
            </w:pPr>
            <w:r>
              <w:t xml:space="preserve">ciclos anidados o solapados (por variables compartidas)</w:t>
            </w:r>
          </w:p>
        </w:tc>
        <w:tc>
          <w:tcPr>
            <w:tcW w:type="dxa" w:w="4816"/>
            <w:tcMar>
              <w:top w:type="dxa" w:w="80"/>
              <w:left w:type="dxa" w:w="100"/>
              <w:bottom w:type="dxa" w:w="80"/>
              <w:right w:type="dxa" w:w="100"/>
            </w:tcMar>
          </w:tcPr>
          <w:p>
            <w:pPr>
              <w:pStyle w:val="Tabla"/>
            </w:pPr>
            <w:r>
              <w:t xml:space="preserve">Referencia de estudio: La estructura del sistema genera su comportamiento: los sistemas están perfectamente diseñados para producir los resultados que obtienen.</w:t>
            </w:r>
          </w:p>
        </w:tc>
      </w:tr>
      <w:tr>
        <w:trPr>
          <w:cantSplit/>
          <w:tblHeader w:val="off"/>
        </w:trPr>
        <w:tc>
          <w:tcPr>
            <w:tcW w:type="dxa" w:w="4816"/>
            <w:tcMar>
              <w:top w:type="dxa" w:w="80"/>
              <w:left w:type="dxa" w:w="100"/>
              <w:bottom w:type="dxa" w:w="80"/>
              <w:right w:type="dxa" w:w="100"/>
            </w:tcMar>
          </w:tcPr>
          <w:p>
            <w:pPr>
              <w:pStyle w:val="Tabla"/>
            </w:pPr>
            <w:r>
              <w:t xml:space="preserve">regla del número de negativas (par: refuerzo; impar: compensación)</w:t>
            </w:r>
          </w:p>
        </w:tc>
        <w:tc>
          <w:tcPr>
            <w:tcW w:type="dxa" w:w="4816"/>
            <w:tcMar>
              <w:top w:type="dxa" w:w="80"/>
              <w:left w:type="dxa" w:w="100"/>
              <w:bottom w:type="dxa" w:w="80"/>
              <w:right w:type="dxa" w:w="100"/>
            </w:tcMar>
          </w:tcPr>
          <w:p>
            <w:pPr>
              <w:pStyle w:val="Tabla"/>
            </w:pPr>
            <w:r>
              <w:t xml:space="preserve">Referencia de estudio: La estructura del sistema genera su comportamiento: los sistemas están perfectamente diseñados para producir los resultados que obtienen.</w:t>
            </w:r>
          </w:p>
        </w:tc>
      </w:tr>
      <w:tr>
        <w:trPr>
          <w:cantSplit/>
          <w:tblHeader w:val="off"/>
        </w:trPr>
        <w:tc>
          <w:tcPr>
            <w:tcW w:type="dxa" w:w="4816"/>
            <w:tcMar>
              <w:top w:type="dxa" w:w="80"/>
              <w:left w:type="dxa" w:w="100"/>
              <w:bottom w:type="dxa" w:w="80"/>
              <w:right w:type="dxa" w:w="100"/>
            </w:tcMar>
          </w:tcPr>
          <w:p>
            <w:pPr>
              <w:pStyle w:val="Tabla"/>
            </w:pPr>
            <w:r>
              <w:t xml:space="preserve">búsqueda de culpables (estructura de culpabilidad, lectura lineal o reduccionista)</w:t>
            </w:r>
          </w:p>
        </w:tc>
        <w:tc>
          <w:tcPr>
            <w:tcW w:type="dxa" w:w="4816"/>
            <w:tcMar>
              <w:top w:type="dxa" w:w="80"/>
              <w:left w:type="dxa" w:w="100"/>
              <w:bottom w:type="dxa" w:w="80"/>
              <w:right w:type="dxa" w:w="100"/>
            </w:tcMar>
          </w:tcPr>
          <w:p>
            <w:pPr>
              <w:pStyle w:val="Tabla"/>
            </w:pPr>
            <w:r>
              <w:t xml:space="preserve">Modelo 2, análogo a un arquetipo: B1, problema →+ búsqueda de culpables →− problema («supuestamente»), con menos voluntad de compartir información como efecto colateral; B2, la solución real, con demora.</w:t>
            </w:r>
          </w:p>
        </w:tc>
      </w:tr>
      <w:tr>
        <w:trPr>
          <w:cantSplit/>
          <w:tblHeader w:val="off"/>
        </w:trPr>
        <w:tc>
          <w:tcPr>
            <w:tcW w:type="dxa" w:w="4816"/>
            <w:tcMar>
              <w:top w:type="dxa" w:w="80"/>
              <w:left w:type="dxa" w:w="100"/>
              <w:bottom w:type="dxa" w:w="80"/>
              <w:right w:type="dxa" w:w="100"/>
            </w:tcMar>
          </w:tcPr>
          <w:p>
            <w:pPr>
              <w:pStyle w:val="Tabla"/>
            </w:pPr>
            <w:r>
              <w:t xml:space="preserve">estructura de causalidad circular</w:t>
            </w:r>
          </w:p>
        </w:tc>
        <w:tc>
          <w:tcPr>
            <w:tcW w:type="dxa" w:w="4816"/>
            <w:tcMar>
              <w:top w:type="dxa" w:w="80"/>
              <w:left w:type="dxa" w:w="100"/>
              <w:bottom w:type="dxa" w:w="80"/>
              <w:right w:type="dxa" w:w="100"/>
            </w:tcMar>
          </w:tcPr>
          <w:p>
            <w:pPr>
              <w:pStyle w:val="Tabla"/>
            </w:pPr>
            <w:r>
              <w:t xml:space="preserve">Referencia de estudio: La estructura del sistema genera su comportamiento: los sistemas están perfectamente diseñados para producir los resultados que obtienen.</w:t>
            </w:r>
          </w:p>
        </w:tc>
      </w:tr>
      <w:tr>
        <w:trPr>
          <w:cantSplit/>
          <w:tblHeader w:val="off"/>
        </w:trPr>
        <w:tc>
          <w:tcPr>
            <w:tcW w:type="dxa" w:w="4816"/>
            <w:tcMar>
              <w:top w:type="dxa" w:w="80"/>
              <w:left w:type="dxa" w:w="100"/>
              <w:bottom w:type="dxa" w:w="80"/>
              <w:right w:type="dxa" w:w="100"/>
            </w:tcMar>
          </w:tcPr>
          <w:p>
            <w:pPr>
              <w:pStyle w:val="Tabla"/>
            </w:pPr>
            <w:r>
              <w:t xml:space="preserve">iceberg (eventos, patrones, estructuras, modelos mentales)</w:t>
            </w:r>
          </w:p>
        </w:tc>
        <w:tc>
          <w:tcPr>
            <w:tcW w:type="dxa" w:w="4816"/>
            <w:tcMar>
              <w:top w:type="dxa" w:w="80"/>
              <w:left w:type="dxa" w:w="100"/>
              <w:bottom w:type="dxa" w:w="80"/>
              <w:right w:type="dxa" w:w="100"/>
            </w:tcMar>
          </w:tcPr>
          <w:p>
            <w:pPr>
              <w:pStyle w:val="Tabla"/>
            </w:pPr>
            <w:r>
              <w:t xml:space="preserve">Iceberg: eventos, patrones, estructuras y modelos mentales; los modelos mentales determinan las estructuras, y éstas, los patrones y los eventos.</w:t>
            </w:r>
          </w:p>
        </w:tc>
      </w:tr>
      <w:tr>
        <w:trPr>
          <w:cantSplit/>
          <w:tblHeader w:val="off"/>
        </w:trPr>
        <w:tc>
          <w:tcPr>
            <w:tcW w:type="dxa" w:w="4816"/>
            <w:tcMar>
              <w:top w:type="dxa" w:w="80"/>
              <w:left w:type="dxa" w:w="100"/>
              <w:bottom w:type="dxa" w:w="80"/>
              <w:right w:type="dxa" w:w="100"/>
            </w:tcMar>
          </w:tcPr>
          <w:p>
            <w:pPr>
              <w:pStyle w:val="Tabla"/>
            </w:pPr>
            <w:r>
              <w:t xml:space="preserve">puntos de apalancamiento</w:t>
            </w:r>
          </w:p>
        </w:tc>
        <w:tc>
          <w:tcPr>
            <w:tcW w:type="dxa" w:w="4816"/>
            <w:tcMar>
              <w:top w:type="dxa" w:w="80"/>
              <w:left w:type="dxa" w:w="100"/>
              <w:bottom w:type="dxa" w:w="80"/>
              <w:right w:type="dxa" w:w="100"/>
            </w:tcMar>
          </w:tcPr>
          <w:p>
            <w:pPr>
              <w:pStyle w:val="Tabla"/>
            </w:pPr>
            <w:r>
              <w:t xml:space="preserve">Referencia de estudio: La estructura del sistema genera su comportamiento: los sistemas están perfectamente diseñados para producir los resultados que obtienen.</w:t>
            </w:r>
          </w:p>
        </w:tc>
      </w:tr>
    </w:tbl>
    <w:p>
      <w:pPr>
        <w:pStyle w:val="Fuente"/>
      </w:pPr>
      <w:r>
        <w:t xml:space="preserve">Véase </w:t>
      </w:r>
      <w:hyperlink w:history="1" w:anchor="b_3_6">
        <w:r>
          <w:rPr>
            <w:color w:val="156B70"/>
            <w:u w:val="single"/>
          </w:rPr>
          <w:t xml:space="preserve">3.6 · Modelación dinámica</w:t>
        </w:r>
      </w:hyperlink>
      <w:r>
        <w:t xml:space="preserve">, pág. </w:t>
      </w:r>
      <w:r>
        <w:fldChar w:fldCharType="begin"/>
        <w:instrText xml:space="preserve">PAGEREF b_3_6 \h</w:instrText>
        <w:fldChar w:fldCharType="separate"/>
        <w:t xml:space="preserve">537</w:t>
        <w:fldChar w:fldCharType="end"/>
      </w:r>
      <w:r>
        <w:t xml:space="preserve">.</w:t>
      </w:r>
    </w:p>
    <w:p>
      <w:pPr>
        <w:pStyle w:val="Heading3"/>
      </w:pPr>
      <w:r>
        <w:t xml:space="preserve">3.7 · Demoras de tiempo</w:t>
      </w:r>
    </w:p>
    <w:tbl>
      <w:tblPr>
        <w:tblW w:type="dxa" w:w="9632"/>
        <w:tblBorders>
          <w:top w:val="single" w:color="C5D5DB" w:sz="4"/>
          <w:left w:val="single" w:color="C5D5DB" w:sz="4"/>
          <w:bottom w:val="single" w:color="C5D5DB" w:sz="4"/>
          <w:right w:val="single" w:color="C5D5DB" w:sz="4"/>
          <w:insideH w:val="single" w:color="E4E9EB" w:sz="3"/>
          <w:insideV w:val="single" w:color="E4E9EB" w:sz="3"/>
        </w:tblBorders>
        <w:tblLayout w:type="fixed"/>
      </w:tblPr>
      <w:tblGrid>
        <w:gridCol w:w="4816"/>
        <w:gridCol w:w="4816"/>
      </w:tblGrid>
      <w:tr>
        <w:trPr>
          <w:cantSplit/>
          <w:tblHeader/>
        </w:trPr>
        <w:tc>
          <w:tcPr>
            <w:tcW w:type="dxa" w:w="4816"/>
            <w:shd w:fill="DFEAF0" w:val="clear"/>
            <w:tcMar>
              <w:top w:type="dxa" w:w="80"/>
              <w:left w:type="dxa" w:w="100"/>
              <w:bottom w:type="dxa" w:w="80"/>
              <w:right w:type="dxa" w:w="100"/>
            </w:tcMar>
          </w:tcPr>
          <w:p>
            <w:pPr>
              <w:pStyle w:val="Tabla"/>
            </w:pPr>
            <w:r>
              <w:rPr>
                <w:b/>
                <w:bCs/>
              </w:rPr>
              <w:t xml:space="preserve">Vocabulario del tema</w:t>
            </w:r>
          </w:p>
        </w:tc>
        <w:tc>
          <w:tcPr>
            <w:tcW w:type="dxa" w:w="4816"/>
            <w:shd w:fill="DFEAF0" w:val="clear"/>
            <w:tcMar>
              <w:top w:type="dxa" w:w="80"/>
              <w:left w:type="dxa" w:w="100"/>
              <w:bottom w:type="dxa" w:w="80"/>
              <w:right w:type="dxa" w:w="100"/>
            </w:tcMar>
          </w:tcPr>
          <w:p>
            <w:pPr>
              <w:pStyle w:val="Tabla"/>
            </w:pPr>
            <w:r>
              <w:rPr>
                <w:b/>
                <w:bCs/>
              </w:rPr>
              <w:t xml:space="preserve">Localización y contexto</w:t>
            </w:r>
          </w:p>
        </w:tc>
      </w:tr>
      <w:tr>
        <w:trPr>
          <w:cantSplit/>
          <w:tblHeader w:val="off"/>
        </w:trPr>
        <w:tc>
          <w:tcPr>
            <w:tcW w:type="dxa" w:w="4816"/>
            <w:tcMar>
              <w:top w:type="dxa" w:w="80"/>
              <w:left w:type="dxa" w:w="100"/>
              <w:bottom w:type="dxa" w:w="80"/>
              <w:right w:type="dxa" w:w="100"/>
            </w:tcMar>
          </w:tcPr>
          <w:p>
            <w:pPr>
              <w:pStyle w:val="Tabla"/>
            </w:pPr>
            <w:r>
              <w:t xml:space="preserve">demora (retraso, retardo)</w:t>
            </w:r>
          </w:p>
        </w:tc>
        <w:tc>
          <w:tcPr>
            <w:tcW w:type="dxa" w:w="4816"/>
            <w:tcMar>
              <w:top w:type="dxa" w:w="80"/>
              <w:left w:type="dxa" w:w="100"/>
              <w:bottom w:type="dxa" w:w="80"/>
              <w:right w:type="dxa" w:w="100"/>
            </w:tcMar>
          </w:tcPr>
          <w:p>
            <w:pPr>
              <w:pStyle w:val="Tabla"/>
            </w:pPr>
            <w:r>
              <w:t xml:space="preserve">Demoras: reconocer su efecto al explorar causalidad.</w:t>
            </w:r>
          </w:p>
        </w:tc>
      </w:tr>
      <w:tr>
        <w:trPr>
          <w:cantSplit/>
          <w:tblHeader w:val="off"/>
        </w:trPr>
        <w:tc>
          <w:tcPr>
            <w:tcW w:type="dxa" w:w="4816"/>
            <w:tcMar>
              <w:top w:type="dxa" w:w="80"/>
              <w:left w:type="dxa" w:w="100"/>
              <w:bottom w:type="dxa" w:w="80"/>
              <w:right w:type="dxa" w:w="100"/>
            </w:tcMar>
          </w:tcPr>
          <w:p>
            <w:pPr>
              <w:pStyle w:val="Tabla"/>
            </w:pPr>
            <w:r>
              <w:t xml:space="preserve">dos líneas atravesadas sobre la flecha</w:t>
            </w:r>
          </w:p>
        </w:tc>
        <w:tc>
          <w:tcPr>
            <w:tcW w:type="dxa" w:w="4816"/>
            <w:tcMar>
              <w:top w:type="dxa" w:w="80"/>
              <w:left w:type="dxa" w:w="100"/>
              <w:bottom w:type="dxa" w:w="80"/>
              <w:right w:type="dxa" w:w="100"/>
            </w:tcMar>
          </w:tcPr>
          <w:p>
            <w:pPr>
              <w:pStyle w:val="Tabla"/>
            </w:pPr>
            <w:r>
              <w:t xml:space="preserve">Referencia de estudio: Dos rayas sobre la flecha avisan de que causa y efecto no están cerca en el tiempo, y por eso la relación se vuelve invisible.</w:t>
            </w:r>
          </w:p>
        </w:tc>
      </w:tr>
      <w:tr>
        <w:trPr>
          <w:cantSplit/>
          <w:tblHeader w:val="off"/>
        </w:trPr>
        <w:tc>
          <w:tcPr>
            <w:tcW w:type="dxa" w:w="4816"/>
            <w:tcMar>
              <w:top w:type="dxa" w:w="80"/>
              <w:left w:type="dxa" w:w="100"/>
              <w:bottom w:type="dxa" w:w="80"/>
              <w:right w:type="dxa" w:w="100"/>
            </w:tcMar>
          </w:tcPr>
          <w:p>
            <w:pPr>
              <w:pStyle w:val="Tabla"/>
            </w:pPr>
            <w:r>
              <w:t xml:space="preserve">relojito de arena o de agujas</w:t>
            </w:r>
          </w:p>
        </w:tc>
        <w:tc>
          <w:tcPr>
            <w:tcW w:type="dxa" w:w="4816"/>
            <w:tcMar>
              <w:top w:type="dxa" w:w="80"/>
              <w:left w:type="dxa" w:w="100"/>
              <w:bottom w:type="dxa" w:w="80"/>
              <w:right w:type="dxa" w:w="100"/>
            </w:tcMar>
          </w:tcPr>
          <w:p>
            <w:pPr>
              <w:pStyle w:val="Tabla"/>
            </w:pPr>
            <w:r>
              <w:t xml:space="preserve">Notación: dos líneas sobre la flecha, con la palabra «demora» o sin ella; otros autores dibujan en su lugar un relojito de arena o de agujas.</w:t>
            </w:r>
          </w:p>
        </w:tc>
      </w:tr>
      <w:tr>
        <w:trPr>
          <w:cantSplit/>
          <w:tblHeader w:val="off"/>
        </w:trPr>
        <w:tc>
          <w:tcPr>
            <w:tcW w:type="dxa" w:w="4816"/>
            <w:tcMar>
              <w:top w:type="dxa" w:w="80"/>
              <w:left w:type="dxa" w:w="100"/>
              <w:bottom w:type="dxa" w:w="80"/>
              <w:right w:type="dxa" w:w="100"/>
            </w:tcMar>
          </w:tcPr>
          <w:p>
            <w:pPr>
              <w:pStyle w:val="Tabla"/>
            </w:pPr>
            <w:r>
              <w:t xml:space="preserve">escala de tiempo o ventana de observación</w:t>
            </w:r>
          </w:p>
        </w:tc>
        <w:tc>
          <w:tcPr>
            <w:tcW w:type="dxa" w:w="4816"/>
            <w:tcMar>
              <w:top w:type="dxa" w:w="80"/>
              <w:left w:type="dxa" w:w="100"/>
              <w:bottom w:type="dxa" w:w="80"/>
              <w:right w:type="dxa" w:w="100"/>
            </w:tcMar>
          </w:tcPr>
          <w:p>
            <w:pPr>
              <w:pStyle w:val="Tabla"/>
            </w:pPr>
            <w:r>
              <w:t xml:space="preserve">Referencia de estudio: Dos rayas sobre la flecha avisan de que causa y efecto no están cerca en el tiempo, y por eso la relación se vuelve invisible.</w:t>
            </w:r>
          </w:p>
        </w:tc>
      </w:tr>
      <w:tr>
        <w:trPr>
          <w:cantSplit/>
          <w:tblHeader w:val="off"/>
        </w:trPr>
        <w:tc>
          <w:tcPr>
            <w:tcW w:type="dxa" w:w="4816"/>
            <w:tcMar>
              <w:top w:type="dxa" w:w="80"/>
              <w:left w:type="dxa" w:w="100"/>
              <w:bottom w:type="dxa" w:w="80"/>
              <w:right w:type="dxa" w:w="100"/>
            </w:tcMar>
          </w:tcPr>
          <w:p>
            <w:pPr>
              <w:pStyle w:val="Tabla"/>
            </w:pPr>
            <w:r>
              <w:t xml:space="preserve">ciclo presente pero imperceptible</w:t>
            </w:r>
          </w:p>
        </w:tc>
        <w:tc>
          <w:tcPr>
            <w:tcW w:type="dxa" w:w="4816"/>
            <w:tcMar>
              <w:top w:type="dxa" w:w="80"/>
              <w:left w:type="dxa" w:w="100"/>
              <w:bottom w:type="dxa" w:w="80"/>
              <w:right w:type="dxa" w:w="100"/>
            </w:tcMar>
          </w:tcPr>
          <w:p>
            <w:pPr>
              <w:pStyle w:val="Tabla"/>
            </w:pPr>
            <w:r>
              <w:t xml:space="preserve">Referencia de estudio: Dos rayas sobre la flecha avisan de que causa y efecto no están cerca en el tiempo, y por eso la relación se vuelve invisible.</w:t>
            </w:r>
          </w:p>
        </w:tc>
      </w:tr>
      <w:tr>
        <w:trPr>
          <w:cantSplit/>
          <w:tblHeader w:val="off"/>
        </w:trPr>
        <w:tc>
          <w:tcPr>
            <w:tcW w:type="dxa" w:w="4816"/>
            <w:tcMar>
              <w:top w:type="dxa" w:w="80"/>
              <w:left w:type="dxa" w:w="100"/>
              <w:bottom w:type="dxa" w:w="80"/>
              <w:right w:type="dxa" w:w="100"/>
            </w:tcMar>
          </w:tcPr>
          <w:p>
            <w:pPr>
              <w:pStyle w:val="Tabla"/>
            </w:pPr>
            <w:r>
              <w:t xml:space="preserve">desistir antes de tiempo</w:t>
            </w:r>
          </w:p>
        </w:tc>
        <w:tc>
          <w:tcPr>
            <w:tcW w:type="dxa" w:w="4816"/>
            <w:tcMar>
              <w:top w:type="dxa" w:w="80"/>
              <w:left w:type="dxa" w:w="100"/>
              <w:bottom w:type="dxa" w:w="80"/>
              <w:right w:type="dxa" w:w="100"/>
            </w:tcMar>
          </w:tcPr>
          <w:p>
            <w:pPr>
              <w:pStyle w:val="Tabla"/>
            </w:pPr>
            <w:r>
              <w:t xml:space="preserve">Referencia de estudio: Dos rayas sobre la flecha avisan de que causa y efecto no están cerca en el tiempo, y por eso la relación se vuelve invisible.</w:t>
            </w:r>
          </w:p>
        </w:tc>
      </w:tr>
      <w:tr>
        <w:trPr>
          <w:cantSplit/>
          <w:tblHeader w:val="off"/>
        </w:trPr>
        <w:tc>
          <w:tcPr>
            <w:tcW w:type="dxa" w:w="4816"/>
            <w:tcMar>
              <w:top w:type="dxa" w:w="80"/>
              <w:left w:type="dxa" w:w="100"/>
              <w:bottom w:type="dxa" w:w="80"/>
              <w:right w:type="dxa" w:w="100"/>
            </w:tcMar>
          </w:tcPr>
          <w:p>
            <w:pPr>
              <w:pStyle w:val="Tabla"/>
            </w:pPr>
            <w:r>
              <w:t xml:space="preserve">monitoreo de los resultados y sus pequeños cambios</w:t>
            </w:r>
          </w:p>
        </w:tc>
        <w:tc>
          <w:tcPr>
            <w:tcW w:type="dxa" w:w="4816"/>
            <w:tcMar>
              <w:top w:type="dxa" w:w="80"/>
              <w:left w:type="dxa" w:w="100"/>
              <w:bottom w:type="dxa" w:w="80"/>
              <w:right w:type="dxa" w:w="100"/>
            </w:tcMar>
          </w:tcPr>
          <w:p>
            <w:pPr>
              <w:pStyle w:val="Tabla"/>
            </w:pPr>
            <w:r>
              <w:t xml:space="preserve">Referencia de estudio: Dos rayas sobre la flecha avisan de que causa y efecto no están cerca en el tiempo, y por eso la relación se vuelve invisible.</w:t>
            </w:r>
          </w:p>
        </w:tc>
      </w:tr>
    </w:tbl>
    <w:p>
      <w:pPr>
        <w:pStyle w:val="Fuente"/>
      </w:pPr>
      <w:r>
        <w:t xml:space="preserve">Véase </w:t>
      </w:r>
      <w:hyperlink w:history="1" w:anchor="b_3_7">
        <w:r>
          <w:rPr>
            <w:color w:val="156B70"/>
            <w:u w:val="single"/>
          </w:rPr>
          <w:t xml:space="preserve">3.7 · Demoras de tiempo</w:t>
        </w:r>
      </w:hyperlink>
      <w:r>
        <w:t xml:space="preserve">, pág. </w:t>
      </w:r>
      <w:r>
        <w:fldChar w:fldCharType="begin"/>
        <w:instrText xml:space="preserve">PAGEREF b_3_7 \h</w:instrText>
        <w:fldChar w:fldCharType="separate"/>
        <w:t xml:space="preserve">580</w:t>
        <w:fldChar w:fldCharType="end"/>
      </w:r>
      <w:r>
        <w:t xml:space="preserve">.</w:t>
      </w:r>
    </w:p>
    <w:p>
      <w:pPr>
        <w:pStyle w:val="Heading3"/>
      </w:pPr>
      <w:r>
        <w:t xml:space="preserve">3.8 · Patrones y tendencias</w:t>
      </w:r>
    </w:p>
    <w:tbl>
      <w:tblPr>
        <w:tblW w:type="dxa" w:w="9632"/>
        <w:tblBorders>
          <w:top w:val="single" w:color="C5D5DB" w:sz="4"/>
          <w:left w:val="single" w:color="C5D5DB" w:sz="4"/>
          <w:bottom w:val="single" w:color="C5D5DB" w:sz="4"/>
          <w:right w:val="single" w:color="C5D5DB" w:sz="4"/>
          <w:insideH w:val="single" w:color="E4E9EB" w:sz="3"/>
          <w:insideV w:val="single" w:color="E4E9EB" w:sz="3"/>
        </w:tblBorders>
        <w:tblLayout w:type="fixed"/>
      </w:tblPr>
      <w:tblGrid>
        <w:gridCol w:w="4816"/>
        <w:gridCol w:w="4816"/>
      </w:tblGrid>
      <w:tr>
        <w:trPr>
          <w:cantSplit/>
          <w:tblHeader/>
        </w:trPr>
        <w:tc>
          <w:tcPr>
            <w:tcW w:type="dxa" w:w="4816"/>
            <w:shd w:fill="DFEAF0" w:val="clear"/>
            <w:tcMar>
              <w:top w:type="dxa" w:w="80"/>
              <w:left w:type="dxa" w:w="100"/>
              <w:bottom w:type="dxa" w:w="80"/>
              <w:right w:type="dxa" w:w="100"/>
            </w:tcMar>
          </w:tcPr>
          <w:p>
            <w:pPr>
              <w:pStyle w:val="Tabla"/>
            </w:pPr>
            <w:r>
              <w:rPr>
                <w:b/>
                <w:bCs/>
              </w:rPr>
              <w:t xml:space="preserve">Vocabulario del tema</w:t>
            </w:r>
          </w:p>
        </w:tc>
        <w:tc>
          <w:tcPr>
            <w:tcW w:type="dxa" w:w="4816"/>
            <w:shd w:fill="DFEAF0" w:val="clear"/>
            <w:tcMar>
              <w:top w:type="dxa" w:w="80"/>
              <w:left w:type="dxa" w:w="100"/>
              <w:bottom w:type="dxa" w:w="80"/>
              <w:right w:type="dxa" w:w="100"/>
            </w:tcMar>
          </w:tcPr>
          <w:p>
            <w:pPr>
              <w:pStyle w:val="Tabla"/>
            </w:pPr>
            <w:r>
              <w:rPr>
                <w:b/>
                <w:bCs/>
              </w:rPr>
              <w:t xml:space="preserve">Localización y contexto</w:t>
            </w:r>
          </w:p>
        </w:tc>
      </w:tr>
      <w:tr>
        <w:trPr>
          <w:cantSplit/>
          <w:tblHeader w:val="off"/>
        </w:trPr>
        <w:tc>
          <w:tcPr>
            <w:tcW w:type="dxa" w:w="4816"/>
            <w:tcMar>
              <w:top w:type="dxa" w:w="80"/>
              <w:left w:type="dxa" w:w="100"/>
              <w:bottom w:type="dxa" w:w="80"/>
              <w:right w:type="dxa" w:w="100"/>
            </w:tcMar>
          </w:tcPr>
          <w:p>
            <w:pPr>
              <w:pStyle w:val="Tabla"/>
            </w:pPr>
            <w:r>
              <w:t xml:space="preserve">tendencia (patrón de comportamiento, propiedad emergente de la estructura en el tiempo)</w:t>
            </w:r>
          </w:p>
        </w:tc>
        <w:tc>
          <w:tcPr>
            <w:tcW w:type="dxa" w:w="4816"/>
            <w:tcMar>
              <w:top w:type="dxa" w:w="80"/>
              <w:left w:type="dxa" w:w="100"/>
              <w:bottom w:type="dxa" w:w="80"/>
              <w:right w:type="dxa" w:w="100"/>
            </w:tcMar>
          </w:tcPr>
          <w:p>
            <w:pPr>
              <w:pStyle w:val="Tabla"/>
            </w:pPr>
            <w:r>
              <w:t xml:space="preserve">Tendencia: propiedad emergente de la estructura a lo largo del tiempo, observable en cualquiera de sus variables; toda estructura tiene una o más tendencias.</w:t>
            </w:r>
          </w:p>
        </w:tc>
      </w:tr>
      <w:tr>
        <w:trPr>
          <w:cantSplit/>
          <w:tblHeader w:val="off"/>
        </w:trPr>
        <w:tc>
          <w:tcPr>
            <w:tcW w:type="dxa" w:w="4816"/>
            <w:tcMar>
              <w:top w:type="dxa" w:w="80"/>
              <w:left w:type="dxa" w:w="100"/>
              <w:bottom w:type="dxa" w:w="80"/>
              <w:right w:type="dxa" w:w="100"/>
            </w:tcMar>
          </w:tcPr>
          <w:p>
            <w:pPr>
              <w:pStyle w:val="Tabla"/>
            </w:pPr>
            <w:r>
              <w:t xml:space="preserve">nivel de patrones del iceberg (nivel 2, sobre las estructuras del nivel 3)</w:t>
            </w:r>
          </w:p>
        </w:tc>
        <w:tc>
          <w:tcPr>
            <w:tcW w:type="dxa" w:w="4816"/>
            <w:tcMar>
              <w:top w:type="dxa" w:w="80"/>
              <w:left w:type="dxa" w:w="100"/>
              <w:bottom w:type="dxa" w:w="80"/>
              <w:right w:type="dxa" w:w="100"/>
            </w:tcMar>
          </w:tcPr>
          <w:p>
            <w:pPr>
              <w:pStyle w:val="Tabla"/>
            </w:pPr>
            <w:r>
              <w:t xml:space="preserve">Referencia de estudio: El tiempo en el eje X, la variable en el eje Y: el ciclo de balance dibuja un crecimiento acotado y el de refuerzo, uno sin techo.</w:t>
            </w:r>
          </w:p>
        </w:tc>
      </w:tr>
      <w:tr>
        <w:trPr>
          <w:cantSplit/>
          <w:tblHeader w:val="off"/>
        </w:trPr>
        <w:tc>
          <w:tcPr>
            <w:tcW w:type="dxa" w:w="4816"/>
            <w:tcMar>
              <w:top w:type="dxa" w:w="80"/>
              <w:left w:type="dxa" w:w="100"/>
              <w:bottom w:type="dxa" w:w="80"/>
              <w:right w:type="dxa" w:w="100"/>
            </w:tcMar>
          </w:tcPr>
          <w:p>
            <w:pPr>
              <w:pStyle w:val="Tabla"/>
            </w:pPr>
            <w:r>
              <w:t xml:space="preserve">gráfico de comportamiento (diagrama de tiempo, diagrama de tendencias, BOTG, behavior over time graph)</w:t>
            </w:r>
          </w:p>
        </w:tc>
        <w:tc>
          <w:tcPr>
            <w:tcW w:type="dxa" w:w="4816"/>
            <w:tcMar>
              <w:top w:type="dxa" w:w="80"/>
              <w:left w:type="dxa" w:w="100"/>
              <w:bottom w:type="dxa" w:w="80"/>
              <w:right w:type="dxa" w:w="100"/>
            </w:tcMar>
          </w:tcPr>
          <w:p>
            <w:pPr>
              <w:pStyle w:val="Tabla"/>
            </w:pPr>
            <w:r>
              <w:t xml:space="preserve">Gráfico de comportamiento a lo largo del tiempo: una herramienta simple que ilustra patrones y tendencias, con el tiempo siempre en el eje horizontal y el elemento que cambia en el vertical. Puede mostrar también el cambio previsto después de la línea del presente.</w:t>
            </w:r>
          </w:p>
        </w:tc>
      </w:tr>
      <w:tr>
        <w:trPr>
          <w:cantSplit/>
          <w:tblHeader w:val="off"/>
        </w:trPr>
        <w:tc>
          <w:tcPr>
            <w:tcW w:type="dxa" w:w="4816"/>
            <w:tcMar>
              <w:top w:type="dxa" w:w="80"/>
              <w:left w:type="dxa" w:w="100"/>
              <w:bottom w:type="dxa" w:w="80"/>
              <w:right w:type="dxa" w:w="100"/>
            </w:tcMar>
          </w:tcPr>
          <w:p>
            <w:pPr>
              <w:pStyle w:val="Tabla"/>
            </w:pPr>
            <w:r>
              <w:t xml:space="preserve">exponencial no acotado (refuerzo)</w:t>
            </w:r>
          </w:p>
        </w:tc>
        <w:tc>
          <w:tcPr>
            <w:tcW w:type="dxa" w:w="4816"/>
            <w:tcMar>
              <w:top w:type="dxa" w:w="80"/>
              <w:left w:type="dxa" w:w="100"/>
              <w:bottom w:type="dxa" w:w="80"/>
              <w:right w:type="dxa" w:w="100"/>
            </w:tcMar>
          </w:tcPr>
          <w:p>
            <w:pPr>
              <w:pStyle w:val="Tabla"/>
            </w:pPr>
            <w:r>
              <w:t xml:space="preserve">Referencia de estudio: El tiempo en el eje X, la variable en el eje Y: el ciclo de balance dibuja un crecimiento acotado y el de refuerzo, uno sin techo.</w:t>
            </w:r>
          </w:p>
        </w:tc>
      </w:tr>
      <w:tr>
        <w:trPr>
          <w:cantSplit/>
          <w:tblHeader w:val="off"/>
        </w:trPr>
        <w:tc>
          <w:tcPr>
            <w:tcW w:type="dxa" w:w="4816"/>
            <w:tcMar>
              <w:top w:type="dxa" w:w="80"/>
              <w:left w:type="dxa" w:w="100"/>
              <w:bottom w:type="dxa" w:w="80"/>
              <w:right w:type="dxa" w:w="100"/>
            </w:tcMar>
          </w:tcPr>
          <w:p>
            <w:pPr>
              <w:pStyle w:val="Tabla"/>
            </w:pPr>
            <w:r>
              <w:t xml:space="preserve">exponencial acotado (compensación)</w:t>
            </w:r>
          </w:p>
        </w:tc>
        <w:tc>
          <w:tcPr>
            <w:tcW w:type="dxa" w:w="4816"/>
            <w:tcMar>
              <w:top w:type="dxa" w:w="80"/>
              <w:left w:type="dxa" w:w="100"/>
              <w:bottom w:type="dxa" w:w="80"/>
              <w:right w:type="dxa" w:w="100"/>
            </w:tcMar>
          </w:tcPr>
          <w:p>
            <w:pPr>
              <w:pStyle w:val="Tabla"/>
            </w:pPr>
            <w:r>
              <w:t xml:space="preserve">Patrones que se reconocen: lineal, exponencial acotado o no acotado, oscilatorio y estable (parámetros).</w:t>
            </w:r>
          </w:p>
        </w:tc>
      </w:tr>
      <w:tr>
        <w:trPr>
          <w:cantSplit/>
          <w:tblHeader w:val="off"/>
        </w:trPr>
        <w:tc>
          <w:tcPr>
            <w:tcW w:type="dxa" w:w="4816"/>
            <w:tcMar>
              <w:top w:type="dxa" w:w="80"/>
              <w:left w:type="dxa" w:w="100"/>
              <w:bottom w:type="dxa" w:w="80"/>
              <w:right w:type="dxa" w:w="100"/>
            </w:tcMar>
          </w:tcPr>
          <w:p>
            <w:pPr>
              <w:pStyle w:val="Tabla"/>
            </w:pPr>
            <w:r>
              <w:t xml:space="preserve">patrón oscilatorio</w:t>
            </w:r>
          </w:p>
        </w:tc>
        <w:tc>
          <w:tcPr>
            <w:tcW w:type="dxa" w:w="4816"/>
            <w:tcMar>
              <w:top w:type="dxa" w:w="80"/>
              <w:left w:type="dxa" w:w="100"/>
              <w:bottom w:type="dxa" w:w="80"/>
              <w:right w:type="dxa" w:w="100"/>
            </w:tcMar>
          </w:tcPr>
          <w:p>
            <w:pPr>
              <w:pStyle w:val="Tabla"/>
            </w:pPr>
            <w:r>
              <w:t xml:space="preserve">Ejemplos: la altura de una persona; el nenúfar que se duplica y a los 30 días cubre medio estanque, de modo que lo cubre entero el día 31 (en clase se oyó «39 días», que no cuadra con el enunciado); la luna, con patrón oscilatorio.</w:t>
            </w:r>
          </w:p>
        </w:tc>
      </w:tr>
      <w:tr>
        <w:trPr>
          <w:cantSplit/>
          <w:tblHeader w:val="off"/>
        </w:trPr>
        <w:tc>
          <w:tcPr>
            <w:tcW w:type="dxa" w:w="4816"/>
            <w:tcMar>
              <w:top w:type="dxa" w:w="80"/>
              <w:left w:type="dxa" w:w="100"/>
              <w:bottom w:type="dxa" w:w="80"/>
              <w:right w:type="dxa" w:w="100"/>
            </w:tcMar>
          </w:tcPr>
          <w:p>
            <w:pPr>
              <w:pStyle w:val="Tabla"/>
            </w:pPr>
            <w:r>
              <w:t xml:space="preserve">patrón estable (parámetros)</w:t>
            </w:r>
          </w:p>
        </w:tc>
        <w:tc>
          <w:tcPr>
            <w:tcW w:type="dxa" w:w="4816"/>
            <w:tcMar>
              <w:top w:type="dxa" w:w="80"/>
              <w:left w:type="dxa" w:w="100"/>
              <w:bottom w:type="dxa" w:w="80"/>
              <w:right w:type="dxa" w:w="100"/>
            </w:tcMar>
          </w:tcPr>
          <w:p>
            <w:pPr>
              <w:pStyle w:val="Tabla"/>
            </w:pPr>
            <w:r>
              <w:t xml:space="preserve">Referencia de estudio: El tiempo en el eje X, la variable en el eje Y: el ciclo de balance dibuja un crecimiento acotado y el de refuerzo, uno sin techo.</w:t>
            </w:r>
          </w:p>
        </w:tc>
      </w:tr>
      <w:tr>
        <w:trPr>
          <w:cantSplit/>
          <w:tblHeader w:val="off"/>
        </w:trPr>
        <w:tc>
          <w:tcPr>
            <w:tcW w:type="dxa" w:w="4816"/>
            <w:tcMar>
              <w:top w:type="dxa" w:w="80"/>
              <w:left w:type="dxa" w:w="100"/>
              <w:bottom w:type="dxa" w:w="80"/>
              <w:right w:type="dxa" w:w="100"/>
            </w:tcMar>
          </w:tcPr>
          <w:p>
            <w:pPr>
              <w:pStyle w:val="Tabla"/>
            </w:pPr>
            <w:r>
              <w:t xml:space="preserve">patrón lineal</w:t>
            </w:r>
          </w:p>
        </w:tc>
        <w:tc>
          <w:tcPr>
            <w:tcW w:type="dxa" w:w="4816"/>
            <w:tcMar>
              <w:top w:type="dxa" w:w="80"/>
              <w:left w:type="dxa" w:w="100"/>
              <w:bottom w:type="dxa" w:w="80"/>
              <w:right w:type="dxa" w:w="100"/>
            </w:tcMar>
          </w:tcPr>
          <w:p>
            <w:pPr>
              <w:pStyle w:val="Tabla"/>
            </w:pPr>
            <w:r>
              <w:t xml:space="preserve">Referencia de estudio: El tiempo en el eje X, la variable en el eje Y: el ciclo de balance dibuja un crecimiento acotado y el de refuerzo, uno sin techo.</w:t>
            </w:r>
          </w:p>
        </w:tc>
      </w:tr>
      <w:tr>
        <w:trPr>
          <w:cantSplit/>
          <w:tblHeader w:val="off"/>
        </w:trPr>
        <w:tc>
          <w:tcPr>
            <w:tcW w:type="dxa" w:w="4816"/>
            <w:tcMar>
              <w:top w:type="dxa" w:w="80"/>
              <w:left w:type="dxa" w:w="100"/>
              <w:bottom w:type="dxa" w:w="80"/>
              <w:right w:type="dxa" w:w="100"/>
            </w:tcMar>
          </w:tcPr>
          <w:p>
            <w:pPr>
              <w:pStyle w:val="Tabla"/>
            </w:pPr>
            <w:r>
              <w:t xml:space="preserve">ciclo de vida</w:t>
            </w:r>
          </w:p>
        </w:tc>
        <w:tc>
          <w:tcPr>
            <w:tcW w:type="dxa" w:w="4816"/>
            <w:tcMar>
              <w:top w:type="dxa" w:w="80"/>
              <w:left w:type="dxa" w:w="100"/>
              <w:bottom w:type="dxa" w:w="80"/>
              <w:right w:type="dxa" w:w="100"/>
            </w:tcMar>
          </w:tcPr>
          <w:p>
            <w:pPr>
              <w:pStyle w:val="Tabla"/>
            </w:pPr>
            <w:r>
              <w:t xml:space="preserve">Ciclo de vida: ventana de observación que abarca toda la vida del sistema, como la de una persona o la de un proyecto.</w:t>
            </w:r>
          </w:p>
        </w:tc>
      </w:tr>
      <w:tr>
        <w:trPr>
          <w:cantSplit/>
          <w:tblHeader w:val="off"/>
        </w:trPr>
        <w:tc>
          <w:tcPr>
            <w:tcW w:type="dxa" w:w="4816"/>
            <w:tcMar>
              <w:top w:type="dxa" w:w="80"/>
              <w:left w:type="dxa" w:w="100"/>
              <w:bottom w:type="dxa" w:w="80"/>
              <w:right w:type="dxa" w:w="100"/>
            </w:tcMar>
          </w:tcPr>
          <w:p>
            <w:pPr>
              <w:pStyle w:val="Tabla"/>
            </w:pPr>
            <w:r>
              <w:t xml:space="preserve">quinto hábito: observar cómo cambian los elementos a lo largo del tiempo</w:t>
            </w:r>
          </w:p>
        </w:tc>
        <w:tc>
          <w:tcPr>
            <w:tcW w:type="dxa" w:w="4816"/>
            <w:tcMar>
              <w:top w:type="dxa" w:w="80"/>
              <w:left w:type="dxa" w:w="100"/>
              <w:bottom w:type="dxa" w:w="80"/>
              <w:right w:type="dxa" w:w="100"/>
            </w:tcMar>
          </w:tcPr>
          <w:p>
            <w:pPr>
              <w:pStyle w:val="Tabla"/>
            </w:pPr>
            <w:r>
              <w:t xml:space="preserve">Referencia de estudio: El tiempo en el eje X, la variable en el eje Y: el ciclo de balance dibuja un crecimiento acotado y el de refuerzo, uno sin techo.</w:t>
            </w:r>
          </w:p>
        </w:tc>
      </w:tr>
    </w:tbl>
    <w:p>
      <w:pPr>
        <w:pStyle w:val="Fuente"/>
      </w:pPr>
      <w:r>
        <w:t xml:space="preserve">Véase </w:t>
      </w:r>
      <w:hyperlink w:history="1" w:anchor="b_3_8">
        <w:r>
          <w:rPr>
            <w:color w:val="156B70"/>
            <w:u w:val="single"/>
          </w:rPr>
          <w:t xml:space="preserve">3.8 · Patrones y tendencias</w:t>
        </w:r>
      </w:hyperlink>
      <w:r>
        <w:t xml:space="preserve">, pág. </w:t>
      </w:r>
      <w:r>
        <w:fldChar w:fldCharType="begin"/>
        <w:instrText xml:space="preserve">PAGEREF b_3_8 \h</w:instrText>
        <w:fldChar w:fldCharType="separate"/>
        <w:t xml:space="preserve">597</w:t>
        <w:fldChar w:fldCharType="end"/>
      </w:r>
      <w:r>
        <w:t xml:space="preserve">.</w:t>
      </w:r>
    </w:p>
    <w:p>
      <w:pPr>
        <w:pStyle w:val="Heading3"/>
      </w:pPr>
      <w:r>
        <w:t xml:space="preserve">3.9 · Hábitos (complejo)</w:t>
      </w:r>
    </w:p>
    <w:tbl>
      <w:tblPr>
        <w:tblW w:type="dxa" w:w="9632"/>
        <w:tblBorders>
          <w:top w:val="single" w:color="C5D5DB" w:sz="4"/>
          <w:left w:val="single" w:color="C5D5DB" w:sz="4"/>
          <w:bottom w:val="single" w:color="C5D5DB" w:sz="4"/>
          <w:right w:val="single" w:color="C5D5DB" w:sz="4"/>
          <w:insideH w:val="single" w:color="E4E9EB" w:sz="3"/>
          <w:insideV w:val="single" w:color="E4E9EB" w:sz="3"/>
        </w:tblBorders>
        <w:tblLayout w:type="fixed"/>
      </w:tblPr>
      <w:tblGrid>
        <w:gridCol w:w="4816"/>
        <w:gridCol w:w="4816"/>
      </w:tblGrid>
      <w:tr>
        <w:trPr>
          <w:cantSplit/>
          <w:tblHeader/>
        </w:trPr>
        <w:tc>
          <w:tcPr>
            <w:tcW w:type="dxa" w:w="4816"/>
            <w:shd w:fill="DFEAF0" w:val="clear"/>
            <w:tcMar>
              <w:top w:type="dxa" w:w="80"/>
              <w:left w:type="dxa" w:w="100"/>
              <w:bottom w:type="dxa" w:w="80"/>
              <w:right w:type="dxa" w:w="100"/>
            </w:tcMar>
          </w:tcPr>
          <w:p>
            <w:pPr>
              <w:pStyle w:val="Tabla"/>
            </w:pPr>
            <w:r>
              <w:rPr>
                <w:b/>
                <w:bCs/>
              </w:rPr>
              <w:t xml:space="preserve">Vocabulario del tema</w:t>
            </w:r>
          </w:p>
        </w:tc>
        <w:tc>
          <w:tcPr>
            <w:tcW w:type="dxa" w:w="4816"/>
            <w:shd w:fill="DFEAF0" w:val="clear"/>
            <w:tcMar>
              <w:top w:type="dxa" w:w="80"/>
              <w:left w:type="dxa" w:w="100"/>
              <w:bottom w:type="dxa" w:w="80"/>
              <w:right w:type="dxa" w:w="100"/>
            </w:tcMar>
          </w:tcPr>
          <w:p>
            <w:pPr>
              <w:pStyle w:val="Tabla"/>
            </w:pPr>
            <w:r>
              <w:rPr>
                <w:b/>
                <w:bCs/>
              </w:rPr>
              <w:t xml:space="preserve">Localización y contexto</w:t>
            </w:r>
          </w:p>
        </w:tc>
      </w:tr>
      <w:tr>
        <w:trPr>
          <w:cantSplit/>
          <w:tblHeader w:val="off"/>
        </w:trPr>
        <w:tc>
          <w:tcPr>
            <w:tcW w:type="dxa" w:w="4816"/>
            <w:tcMar>
              <w:top w:type="dxa" w:w="80"/>
              <w:left w:type="dxa" w:w="100"/>
              <w:bottom w:type="dxa" w:w="80"/>
              <w:right w:type="dxa" w:w="100"/>
            </w:tcMar>
          </w:tcPr>
          <w:p>
            <w:pPr>
              <w:pStyle w:val="Tabla"/>
            </w:pPr>
            <w:r>
              <w:t xml:space="preserve">hábitos (competencias, prácticas, habilidades o destrezas)</w:t>
            </w:r>
          </w:p>
        </w:tc>
        <w:tc>
          <w:tcPr>
            <w:tcW w:type="dxa" w:w="4816"/>
            <w:tcMar>
              <w:top w:type="dxa" w:w="80"/>
              <w:left w:type="dxa" w:w="100"/>
              <w:bottom w:type="dxa" w:w="80"/>
              <w:right w:type="dxa" w:w="100"/>
            </w:tcMar>
          </w:tcPr>
          <w:p>
            <w:pPr>
              <w:pStyle w:val="Tabla"/>
            </w:pPr>
            <w:r>
              <w:t xml:space="preserve">A los cuatro hábitos de modelos mentales se añaden cinco de estructuras: el póster tiene dos bandas.</w:t>
            </w:r>
          </w:p>
        </w:tc>
      </w:tr>
      <w:tr>
        <w:trPr>
          <w:cantSplit/>
          <w:tblHeader w:val="off"/>
        </w:trPr>
        <w:tc>
          <w:tcPr>
            <w:tcW w:type="dxa" w:w="4816"/>
            <w:tcMar>
              <w:top w:type="dxa" w:w="80"/>
              <w:left w:type="dxa" w:w="100"/>
              <w:bottom w:type="dxa" w:w="80"/>
              <w:right w:type="dxa" w:w="100"/>
            </w:tcMar>
          </w:tcPr>
          <w:p>
            <w:pPr>
              <w:pStyle w:val="Tabla"/>
            </w:pPr>
            <w:r>
              <w:t xml:space="preserve">conexiones significativas (hacia dentro del sistema y hacia sistemas del medio)</w:t>
            </w:r>
          </w:p>
        </w:tc>
        <w:tc>
          <w:tcPr>
            <w:tcW w:type="dxa" w:w="4816"/>
            <w:tcMar>
              <w:top w:type="dxa" w:w="80"/>
              <w:left w:type="dxa" w:w="100"/>
              <w:bottom w:type="dxa" w:w="80"/>
              <w:right w:type="dxa" w:w="100"/>
            </w:tcMar>
          </w:tcPr>
          <w:p>
            <w:pPr>
              <w:pStyle w:val="Tabla"/>
            </w:pPr>
            <w:r>
              <w:t xml:space="preserve">Conexiones significativas es el primero de los cinco hábitos de estructuras por desarrollar con sistemas de naturaleza distinta.</w:t>
            </w:r>
          </w:p>
        </w:tc>
      </w:tr>
      <w:tr>
        <w:trPr>
          <w:cantSplit/>
          <w:tblHeader w:val="off"/>
        </w:trPr>
        <w:tc>
          <w:tcPr>
            <w:tcW w:type="dxa" w:w="4816"/>
            <w:tcMar>
              <w:top w:type="dxa" w:w="80"/>
              <w:left w:type="dxa" w:w="100"/>
              <w:bottom w:type="dxa" w:w="80"/>
              <w:right w:type="dxa" w:w="100"/>
            </w:tcMar>
          </w:tcPr>
          <w:p>
            <w:pPr>
              <w:pStyle w:val="Tabla"/>
            </w:pPr>
            <w:r>
              <w:t xml:space="preserve">filtro de lo significativo</w:t>
            </w:r>
          </w:p>
        </w:tc>
        <w:tc>
          <w:tcPr>
            <w:tcW w:type="dxa" w:w="4816"/>
            <w:tcMar>
              <w:top w:type="dxa" w:w="80"/>
              <w:left w:type="dxa" w:w="100"/>
              <w:bottom w:type="dxa" w:w="80"/>
              <w:right w:type="dxa" w:w="100"/>
            </w:tcMar>
          </w:tcPr>
          <w:p>
            <w:pPr>
              <w:pStyle w:val="Tabla"/>
            </w:pPr>
            <w:r>
              <w:t xml:space="preserve">Referencia de estudio: Cinco hábitos que profundizan en la estructura: patrones, conexiones, causalidad circular, estructura y demoras.</w:t>
            </w:r>
          </w:p>
        </w:tc>
      </w:tr>
      <w:tr>
        <w:trPr>
          <w:cantSplit/>
          <w:tblHeader w:val="off"/>
        </w:trPr>
        <w:tc>
          <w:tcPr>
            <w:tcW w:type="dxa" w:w="4816"/>
            <w:tcMar>
              <w:top w:type="dxa" w:w="80"/>
              <w:left w:type="dxa" w:w="100"/>
              <w:bottom w:type="dxa" w:w="80"/>
              <w:right w:type="dxa" w:w="100"/>
            </w:tcMar>
          </w:tcPr>
          <w:p>
            <w:pPr>
              <w:pStyle w:val="Tabla"/>
            </w:pPr>
            <w:r>
              <w:t xml:space="preserve">transferencia (comprensión por analogía entre sistemas de igual estructura)</w:t>
            </w:r>
          </w:p>
        </w:tc>
        <w:tc>
          <w:tcPr>
            <w:tcW w:type="dxa" w:w="4816"/>
            <w:tcMar>
              <w:top w:type="dxa" w:w="80"/>
              <w:left w:type="dxa" w:w="100"/>
              <w:bottom w:type="dxa" w:w="80"/>
              <w:right w:type="dxa" w:w="100"/>
            </w:tcMar>
          </w:tcPr>
          <w:p>
            <w:pPr>
              <w:pStyle w:val="Tabla"/>
            </w:pPr>
            <w:r>
              <w:t xml:space="preserve">Transferencia es aplicar comprensión por analogía a otro sistema de estructura similar.</w:t>
            </w:r>
          </w:p>
        </w:tc>
      </w:tr>
      <w:tr>
        <w:trPr>
          <w:cantSplit/>
          <w:tblHeader w:val="off"/>
        </w:trPr>
        <w:tc>
          <w:tcPr>
            <w:tcW w:type="dxa" w:w="4816"/>
            <w:tcMar>
              <w:top w:type="dxa" w:w="80"/>
              <w:left w:type="dxa" w:w="100"/>
              <w:bottom w:type="dxa" w:w="80"/>
              <w:right w:type="dxa" w:w="100"/>
            </w:tcMar>
          </w:tcPr>
          <w:p>
            <w:pPr>
              <w:pStyle w:val="Tabla"/>
            </w:pPr>
            <w:r>
              <w:t xml:space="preserve">mentalidad de crecimiento</w:t>
            </w:r>
          </w:p>
        </w:tc>
        <w:tc>
          <w:tcPr>
            <w:tcW w:type="dxa" w:w="4816"/>
            <w:tcMar>
              <w:top w:type="dxa" w:w="80"/>
              <w:left w:type="dxa" w:w="100"/>
              <w:bottom w:type="dxa" w:w="80"/>
              <w:right w:type="dxa" w:w="100"/>
            </w:tcMar>
          </w:tcPr>
          <w:p>
            <w:pPr>
              <w:pStyle w:val="Tabla"/>
            </w:pPr>
            <w:r>
              <w:t xml:space="preserve">La mentalidad de crecimiento se compara con cultivo: conocimientos producen aprendizajes, nuevos modelos y conceptos.</w:t>
            </w:r>
          </w:p>
        </w:tc>
      </w:tr>
      <w:tr>
        <w:trPr>
          <w:cantSplit/>
          <w:tblHeader w:val="off"/>
        </w:trPr>
        <w:tc>
          <w:tcPr>
            <w:tcW w:type="dxa" w:w="4816"/>
            <w:tcMar>
              <w:top w:type="dxa" w:w="80"/>
              <w:left w:type="dxa" w:w="100"/>
              <w:bottom w:type="dxa" w:w="80"/>
              <w:right w:type="dxa" w:w="100"/>
            </w:tcMar>
          </w:tcPr>
          <w:p>
            <w:pPr>
              <w:pStyle w:val="Tabla"/>
            </w:pPr>
            <w:r>
              <w:t xml:space="preserve">naturaleza circular de las relaciones complejas</w:t>
            </w:r>
          </w:p>
        </w:tc>
        <w:tc>
          <w:tcPr>
            <w:tcW w:type="dxa" w:w="4816"/>
            <w:tcMar>
              <w:top w:type="dxa" w:w="80"/>
              <w:left w:type="dxa" w:w="100"/>
              <w:bottom w:type="dxa" w:w="80"/>
              <w:right w:type="dxa" w:w="100"/>
            </w:tcMar>
          </w:tcPr>
          <w:p>
            <w:pPr>
              <w:pStyle w:val="Tabla"/>
            </w:pPr>
            <w:r>
              <w:t xml:space="preserve">Identificar la naturaleza circular de las relaciones complejas integra ese repertorio.</w:t>
            </w:r>
          </w:p>
        </w:tc>
      </w:tr>
      <w:tr>
        <w:trPr>
          <w:cantSplit/>
          <w:tblHeader w:val="off"/>
        </w:trPr>
        <w:tc>
          <w:tcPr>
            <w:tcW w:type="dxa" w:w="4816"/>
            <w:tcMar>
              <w:top w:type="dxa" w:w="80"/>
              <w:left w:type="dxa" w:w="100"/>
              <w:bottom w:type="dxa" w:w="80"/>
              <w:right w:type="dxa" w:w="100"/>
            </w:tcMar>
          </w:tcPr>
          <w:p>
            <w:pPr>
              <w:pStyle w:val="Tabla"/>
            </w:pPr>
            <w:r>
              <w:t xml:space="preserve">la estructura genera el comportamiento (los sistemas están perfectamente diseñados para producir los resultados que se obtienen)</w:t>
            </w:r>
          </w:p>
        </w:tc>
        <w:tc>
          <w:tcPr>
            <w:tcW w:type="dxa" w:w="4816"/>
            <w:tcMar>
              <w:top w:type="dxa" w:w="80"/>
              <w:left w:type="dxa" w:w="100"/>
              <w:bottom w:type="dxa" w:w="80"/>
              <w:right w:type="dxa" w:w="100"/>
            </w:tcMar>
          </w:tcPr>
          <w:p>
            <w:pPr>
              <w:pStyle w:val="Tabla"/>
            </w:pPr>
            <w:r>
              <w:t xml:space="preserve">Reconocer que la estructura genera el comportamiento dirige la búsqueda de explicaciones.</w:t>
            </w:r>
          </w:p>
        </w:tc>
      </w:tr>
      <w:tr>
        <w:trPr>
          <w:cantSplit/>
          <w:tblHeader w:val="off"/>
        </w:trPr>
        <w:tc>
          <w:tcPr>
            <w:tcW w:type="dxa" w:w="4816"/>
            <w:tcMar>
              <w:top w:type="dxa" w:w="80"/>
              <w:left w:type="dxa" w:w="100"/>
              <w:bottom w:type="dxa" w:w="80"/>
              <w:right w:type="dxa" w:w="100"/>
            </w:tcMar>
          </w:tcPr>
          <w:p>
            <w:pPr>
              <w:pStyle w:val="Tabla"/>
            </w:pPr>
            <w:r>
              <w:t xml:space="preserve">observar cambios en el tiempo (patrones y tendencias)</w:t>
            </w:r>
          </w:p>
        </w:tc>
        <w:tc>
          <w:tcPr>
            <w:tcW w:type="dxa" w:w="4816"/>
            <w:tcMar>
              <w:top w:type="dxa" w:w="80"/>
              <w:left w:type="dxa" w:w="100"/>
              <w:bottom w:type="dxa" w:w="80"/>
              <w:right w:type="dxa" w:w="100"/>
            </w:tcMar>
          </w:tcPr>
          <w:p>
            <w:pPr>
              <w:pStyle w:val="Tabla"/>
            </w:pPr>
            <w:r>
              <w:t xml:space="preserve">Repaso de la clase 16: conexiones significativas; estructuras circulares; la estructura genera el comportamiento; quinto, observar cambios en el tiempo. En ese repaso, la demora: la relación causal tarda y, si su escala de tiempo excede lo que se percibe, se pierde la dinámica.</w:t>
            </w:r>
          </w:p>
        </w:tc>
      </w:tr>
      <w:tr>
        <w:trPr>
          <w:cantSplit/>
          <w:tblHeader w:val="off"/>
        </w:trPr>
        <w:tc>
          <w:tcPr>
            <w:tcW w:type="dxa" w:w="4816"/>
            <w:tcMar>
              <w:top w:type="dxa" w:w="80"/>
              <w:left w:type="dxa" w:w="100"/>
              <w:bottom w:type="dxa" w:w="80"/>
              <w:right w:type="dxa" w:w="100"/>
            </w:tcMar>
          </w:tcPr>
          <w:p>
            <w:pPr>
              <w:pStyle w:val="Tabla"/>
            </w:pPr>
            <w:r>
              <w:t xml:space="preserve">estructura de culpabilidad frente a estructura de causalidad circular</w:t>
            </w:r>
          </w:p>
        </w:tc>
        <w:tc>
          <w:tcPr>
            <w:tcW w:type="dxa" w:w="4816"/>
            <w:tcMar>
              <w:top w:type="dxa" w:w="80"/>
              <w:left w:type="dxa" w:w="100"/>
              <w:bottom w:type="dxa" w:w="80"/>
              <w:right w:type="dxa" w:w="100"/>
            </w:tcMar>
          </w:tcPr>
          <w:p>
            <w:pPr>
              <w:pStyle w:val="Tabla"/>
            </w:pPr>
            <w:r>
              <w:t xml:space="preserve">Referencia de estudio: Cinco hábitos que profundizan en la estructura: patrones, conexiones, causalidad circular, estructura y demoras.</w:t>
            </w:r>
          </w:p>
        </w:tc>
      </w:tr>
      <w:tr>
        <w:trPr>
          <w:cantSplit/>
          <w:tblHeader w:val="off"/>
        </w:trPr>
        <w:tc>
          <w:tcPr>
            <w:tcW w:type="dxa" w:w="4816"/>
            <w:tcMar>
              <w:top w:type="dxa" w:w="80"/>
              <w:left w:type="dxa" w:w="100"/>
              <w:bottom w:type="dxa" w:w="80"/>
              <w:right w:type="dxa" w:w="100"/>
            </w:tcMar>
          </w:tcPr>
          <w:p>
            <w:pPr>
              <w:pStyle w:val="Tabla"/>
            </w:pPr>
            <w:r>
              <w:t xml:space="preserve">prospección de escenarios futuros</w:t>
            </w:r>
          </w:p>
        </w:tc>
        <w:tc>
          <w:tcPr>
            <w:tcW w:type="dxa" w:w="4816"/>
            <w:tcMar>
              <w:top w:type="dxa" w:w="80"/>
              <w:left w:type="dxa" w:w="100"/>
              <w:bottom w:type="dxa" w:w="80"/>
              <w:right w:type="dxa" w:w="100"/>
            </w:tcMar>
          </w:tcPr>
          <w:p>
            <w:pPr>
              <w:pStyle w:val="Tabla"/>
            </w:pPr>
            <w:r>
              <w:t xml:space="preserve">Sin ese hábito sólo se ve una visión parcial; el pensador se toma el tiempo porque lo complejo no se modela rápido. La prospección de escenarios futuros anticipa estructuras circulares.</w:t>
            </w:r>
          </w:p>
        </w:tc>
      </w:tr>
    </w:tbl>
    <w:p>
      <w:pPr>
        <w:pStyle w:val="Fuente"/>
      </w:pPr>
      <w:r>
        <w:t xml:space="preserve">Véase </w:t>
      </w:r>
      <w:hyperlink w:history="1" w:anchor="b_3_9">
        <w:r>
          <w:rPr>
            <w:color w:val="156B70"/>
            <w:u w:val="single"/>
          </w:rPr>
          <w:t xml:space="preserve">3.9 · Hábitos (complejo)</w:t>
        </w:r>
      </w:hyperlink>
      <w:r>
        <w:t xml:space="preserve">, pág. </w:t>
      </w:r>
      <w:r>
        <w:fldChar w:fldCharType="begin"/>
        <w:instrText xml:space="preserve">PAGEREF b_3_9 \h</w:instrText>
        <w:fldChar w:fldCharType="separate"/>
        <w:t xml:space="preserve">622</w:t>
        <w:fldChar w:fldCharType="end"/>
      </w:r>
      <w:r>
        <w:t xml:space="preserve">.</w:t>
      </w:r>
    </w:p>
    <w:p>
      <w:pPr>
        <w:pStyle w:val="Heading3"/>
      </w:pPr>
      <w:r>
        <w:t xml:space="preserve">4.1 · Arquetipos sistémicos</w:t>
      </w:r>
    </w:p>
    <w:tbl>
      <w:tblPr>
        <w:tblW w:type="dxa" w:w="9632"/>
        <w:tblBorders>
          <w:top w:val="single" w:color="C5D5DB" w:sz="4"/>
          <w:left w:val="single" w:color="C5D5DB" w:sz="4"/>
          <w:bottom w:val="single" w:color="C5D5DB" w:sz="4"/>
          <w:right w:val="single" w:color="C5D5DB" w:sz="4"/>
          <w:insideH w:val="single" w:color="E4E9EB" w:sz="3"/>
          <w:insideV w:val="single" w:color="E4E9EB" w:sz="3"/>
        </w:tblBorders>
        <w:tblLayout w:type="fixed"/>
      </w:tblPr>
      <w:tblGrid>
        <w:gridCol w:w="4816"/>
        <w:gridCol w:w="4816"/>
      </w:tblGrid>
      <w:tr>
        <w:trPr>
          <w:cantSplit/>
          <w:tblHeader/>
        </w:trPr>
        <w:tc>
          <w:tcPr>
            <w:tcW w:type="dxa" w:w="4816"/>
            <w:shd w:fill="DFEAF0" w:val="clear"/>
            <w:tcMar>
              <w:top w:type="dxa" w:w="80"/>
              <w:left w:type="dxa" w:w="100"/>
              <w:bottom w:type="dxa" w:w="80"/>
              <w:right w:type="dxa" w:w="100"/>
            </w:tcMar>
          </w:tcPr>
          <w:p>
            <w:pPr>
              <w:pStyle w:val="Tabla"/>
            </w:pPr>
            <w:r>
              <w:rPr>
                <w:b/>
                <w:bCs/>
              </w:rPr>
              <w:t xml:space="preserve">Vocabulario del tema</w:t>
            </w:r>
          </w:p>
        </w:tc>
        <w:tc>
          <w:tcPr>
            <w:tcW w:type="dxa" w:w="4816"/>
            <w:shd w:fill="DFEAF0" w:val="clear"/>
            <w:tcMar>
              <w:top w:type="dxa" w:w="80"/>
              <w:left w:type="dxa" w:w="100"/>
              <w:bottom w:type="dxa" w:w="80"/>
              <w:right w:type="dxa" w:w="100"/>
            </w:tcMar>
          </w:tcPr>
          <w:p>
            <w:pPr>
              <w:pStyle w:val="Tabla"/>
            </w:pPr>
            <w:r>
              <w:rPr>
                <w:b/>
                <w:bCs/>
              </w:rPr>
              <w:t xml:space="preserve">Localización y contexto</w:t>
            </w:r>
          </w:p>
        </w:tc>
      </w:tr>
      <w:tr>
        <w:trPr>
          <w:cantSplit/>
          <w:tblHeader w:val="off"/>
        </w:trPr>
        <w:tc>
          <w:tcPr>
            <w:tcW w:type="dxa" w:w="4816"/>
            <w:tcMar>
              <w:top w:type="dxa" w:w="80"/>
              <w:left w:type="dxa" w:w="100"/>
              <w:bottom w:type="dxa" w:w="80"/>
              <w:right w:type="dxa" w:w="100"/>
            </w:tcMar>
          </w:tcPr>
          <w:p>
            <w:pPr>
              <w:pStyle w:val="Tabla"/>
            </w:pPr>
            <w:r>
              <w:t xml:space="preserve">arquetipo</w:t>
            </w:r>
          </w:p>
        </w:tc>
        <w:tc>
          <w:tcPr>
            <w:tcW w:type="dxa" w:w="4816"/>
            <w:tcMar>
              <w:top w:type="dxa" w:w="80"/>
              <w:left w:type="dxa" w:w="100"/>
              <w:bottom w:type="dxa" w:w="80"/>
              <w:right w:type="dxa" w:w="100"/>
            </w:tcMar>
          </w:tcPr>
          <w:p>
            <w:pPr>
              <w:pStyle w:val="Tabla"/>
            </w:pPr>
            <w:r>
              <w:t xml:space="preserve">Enumera arquetipos, acumulaciones, conversión, Vensim, ejemplos, decisiones y hábitos.</w:t>
            </w:r>
          </w:p>
        </w:tc>
      </w:tr>
      <w:tr>
        <w:trPr>
          <w:cantSplit/>
          <w:tblHeader w:val="off"/>
        </w:trPr>
        <w:tc>
          <w:tcPr>
            <w:tcW w:type="dxa" w:w="4816"/>
            <w:tcMar>
              <w:top w:type="dxa" w:w="80"/>
              <w:left w:type="dxa" w:w="100"/>
              <w:bottom w:type="dxa" w:w="80"/>
              <w:right w:type="dxa" w:w="100"/>
            </w:tcMar>
          </w:tcPr>
          <w:p>
            <w:pPr>
              <w:pStyle w:val="Tabla"/>
            </w:pPr>
            <w:r>
              <w:t xml:space="preserve">refuerzo R</w:t>
            </w:r>
          </w:p>
        </w:tc>
        <w:tc>
          <w:tcPr>
            <w:tcW w:type="dxa" w:w="4816"/>
            <w:tcMar>
              <w:top w:type="dxa" w:w="80"/>
              <w:left w:type="dxa" w:w="100"/>
              <w:bottom w:type="dxa" w:w="80"/>
              <w:right w:type="dxa" w:w="100"/>
            </w:tcMar>
          </w:tcPr>
          <w:p>
            <w:pPr>
              <w:pStyle w:val="Tabla"/>
            </w:pPr>
            <w:r>
              <w:t xml:space="preserve">Referencia de estudio: Reconocer los arquetipos por su historia y sus ciclos, asignar signos y proponer una intervención.</w:t>
            </w:r>
          </w:p>
        </w:tc>
      </w:tr>
      <w:tr>
        <w:trPr>
          <w:cantSplit/>
          <w:tblHeader w:val="off"/>
        </w:trPr>
        <w:tc>
          <w:tcPr>
            <w:tcW w:type="dxa" w:w="4816"/>
            <w:tcMar>
              <w:top w:type="dxa" w:w="80"/>
              <w:left w:type="dxa" w:w="100"/>
              <w:bottom w:type="dxa" w:w="80"/>
              <w:right w:type="dxa" w:w="100"/>
            </w:tcMar>
          </w:tcPr>
          <w:p>
            <w:pPr>
              <w:pStyle w:val="Tabla"/>
            </w:pPr>
            <w:r>
              <w:t xml:space="preserve">balance B</w:t>
            </w:r>
          </w:p>
        </w:tc>
        <w:tc>
          <w:tcPr>
            <w:tcW w:type="dxa" w:w="4816"/>
            <w:tcMar>
              <w:top w:type="dxa" w:w="80"/>
              <w:left w:type="dxa" w:w="100"/>
              <w:bottom w:type="dxa" w:w="80"/>
              <w:right w:type="dxa" w:w="100"/>
            </w:tcMar>
          </w:tcPr>
          <w:p>
            <w:pPr>
              <w:pStyle w:val="Tabla"/>
            </w:pPr>
            <w:r>
              <w:t xml:space="preserve">Referencia de estudio: Reconocer los arquetipos por su historia y sus ciclos, asignar signos y proponer una intervención.</w:t>
            </w:r>
          </w:p>
        </w:tc>
      </w:tr>
      <w:tr>
        <w:trPr>
          <w:cantSplit/>
          <w:tblHeader w:val="off"/>
        </w:trPr>
        <w:tc>
          <w:tcPr>
            <w:tcW w:type="dxa" w:w="4816"/>
            <w:tcMar>
              <w:top w:type="dxa" w:w="80"/>
              <w:left w:type="dxa" w:w="100"/>
              <w:bottom w:type="dxa" w:w="80"/>
              <w:right w:type="dxa" w:w="100"/>
            </w:tcMar>
          </w:tcPr>
          <w:p>
            <w:pPr>
              <w:pStyle w:val="Tabla"/>
            </w:pPr>
            <w:r>
              <w:t xml:space="preserve">demora</w:t>
            </w:r>
          </w:p>
        </w:tc>
        <w:tc>
          <w:tcPr>
            <w:tcW w:type="dxa" w:w="4816"/>
            <w:tcMar>
              <w:top w:type="dxa" w:w="80"/>
              <w:left w:type="dxa" w:w="100"/>
              <w:bottom w:type="dxa" w:w="80"/>
              <w:right w:type="dxa" w:w="100"/>
            </w:tcMar>
          </w:tcPr>
          <w:p>
            <w:pPr>
              <w:pStyle w:val="Tabla"/>
            </w:pPr>
            <w:r>
              <w:t xml:space="preserve">Compensación entre proceso y demora: el esquema marcaB.</w:t>
            </w:r>
          </w:p>
        </w:tc>
      </w:tr>
      <w:tr>
        <w:trPr>
          <w:cantSplit/>
          <w:tblHeader w:val="off"/>
        </w:trPr>
        <w:tc>
          <w:tcPr>
            <w:tcW w:type="dxa" w:w="4816"/>
            <w:tcMar>
              <w:top w:type="dxa" w:w="80"/>
              <w:left w:type="dxa" w:w="100"/>
              <w:bottom w:type="dxa" w:w="80"/>
              <w:right w:type="dxa" w:w="100"/>
            </w:tcMar>
          </w:tcPr>
          <w:p>
            <w:pPr>
              <w:pStyle w:val="Tabla"/>
            </w:pPr>
            <w:r>
              <w:t xml:space="preserve">síntoma</w:t>
            </w:r>
          </w:p>
        </w:tc>
        <w:tc>
          <w:tcPr>
            <w:tcW w:type="dxa" w:w="4816"/>
            <w:tcMar>
              <w:top w:type="dxa" w:w="80"/>
              <w:left w:type="dxa" w:w="100"/>
              <w:bottom w:type="dxa" w:w="80"/>
              <w:right w:type="dxa" w:w="100"/>
            </w:tcMar>
          </w:tcPr>
          <w:p>
            <w:pPr>
              <w:pStyle w:val="Tabla"/>
            </w:pPr>
            <w:r>
              <w:t xml:space="preserve">El esquema de síntoma, solución y consecuencias representaB 1yR2.</w:t>
            </w:r>
          </w:p>
        </w:tc>
      </w:tr>
      <w:tr>
        <w:trPr>
          <w:cantSplit/>
          <w:tblHeader w:val="off"/>
        </w:trPr>
        <w:tc>
          <w:tcPr>
            <w:tcW w:type="dxa" w:w="4816"/>
            <w:tcMar>
              <w:top w:type="dxa" w:w="80"/>
              <w:left w:type="dxa" w:w="100"/>
              <w:bottom w:type="dxa" w:w="80"/>
              <w:right w:type="dxa" w:w="100"/>
            </w:tcMar>
          </w:tcPr>
          <w:p>
            <w:pPr>
              <w:pStyle w:val="Tabla"/>
            </w:pPr>
            <w:r>
              <w:t xml:space="preserve">solución fundamental</w:t>
            </w:r>
          </w:p>
        </w:tc>
        <w:tc>
          <w:tcPr>
            <w:tcW w:type="dxa" w:w="4816"/>
            <w:tcMar>
              <w:top w:type="dxa" w:w="80"/>
              <w:left w:type="dxa" w:w="100"/>
              <w:bottom w:type="dxa" w:w="80"/>
              <w:right w:type="dxa" w:w="100"/>
            </w:tcMar>
          </w:tcPr>
          <w:p>
            <w:pPr>
              <w:pStyle w:val="Tabla"/>
            </w:pPr>
            <w:r>
              <w:t xml:space="preserve">Aprender y practicar son solución fundamental demorada, que exige disciplina del usuario y del soporte.</w:t>
            </w:r>
          </w:p>
        </w:tc>
      </w:tr>
    </w:tbl>
    <w:p>
      <w:pPr>
        <w:pStyle w:val="Fuente"/>
      </w:pPr>
      <w:r>
        <w:t xml:space="preserve">Véase </w:t>
      </w:r>
      <w:hyperlink w:history="1" w:anchor="b_4_1">
        <w:r>
          <w:rPr>
            <w:color w:val="156B70"/>
            <w:u w:val="single"/>
          </w:rPr>
          <w:t xml:space="preserve">4.1 · Arquetipos sistémicos</w:t>
        </w:r>
      </w:hyperlink>
      <w:r>
        <w:t xml:space="preserve">, pág. </w:t>
      </w:r>
      <w:r>
        <w:fldChar w:fldCharType="begin"/>
        <w:instrText xml:space="preserve">PAGEREF b_4_1 \h</w:instrText>
        <w:fldChar w:fldCharType="separate"/>
        <w:t xml:space="preserve">646</w:t>
        <w:fldChar w:fldCharType="end"/>
      </w:r>
      <w:r>
        <w:t xml:space="preserve">.</w:t>
      </w:r>
    </w:p>
    <w:p>
      <w:pPr>
        <w:pStyle w:val="Heading3"/>
      </w:pPr>
      <w:r>
        <w:t xml:space="preserve">4.2 · Flujos y niveles</w:t>
      </w:r>
    </w:p>
    <w:tbl>
      <w:tblPr>
        <w:tblW w:type="dxa" w:w="9632"/>
        <w:tblBorders>
          <w:top w:val="single" w:color="C5D5DB" w:sz="4"/>
          <w:left w:val="single" w:color="C5D5DB" w:sz="4"/>
          <w:bottom w:val="single" w:color="C5D5DB" w:sz="4"/>
          <w:right w:val="single" w:color="C5D5DB" w:sz="4"/>
          <w:insideH w:val="single" w:color="E4E9EB" w:sz="3"/>
          <w:insideV w:val="single" w:color="E4E9EB" w:sz="3"/>
        </w:tblBorders>
        <w:tblLayout w:type="fixed"/>
      </w:tblPr>
      <w:tblGrid>
        <w:gridCol w:w="4816"/>
        <w:gridCol w:w="4816"/>
      </w:tblGrid>
      <w:tr>
        <w:trPr>
          <w:cantSplit/>
          <w:tblHeader/>
        </w:trPr>
        <w:tc>
          <w:tcPr>
            <w:tcW w:type="dxa" w:w="4816"/>
            <w:shd w:fill="DFEAF0" w:val="clear"/>
            <w:tcMar>
              <w:top w:type="dxa" w:w="80"/>
              <w:left w:type="dxa" w:w="100"/>
              <w:bottom w:type="dxa" w:w="80"/>
              <w:right w:type="dxa" w:w="100"/>
            </w:tcMar>
          </w:tcPr>
          <w:p>
            <w:pPr>
              <w:pStyle w:val="Tabla"/>
            </w:pPr>
            <w:r>
              <w:rPr>
                <w:b/>
                <w:bCs/>
              </w:rPr>
              <w:t xml:space="preserve">Vocabulario del tema</w:t>
            </w:r>
          </w:p>
        </w:tc>
        <w:tc>
          <w:tcPr>
            <w:tcW w:type="dxa" w:w="4816"/>
            <w:shd w:fill="DFEAF0" w:val="clear"/>
            <w:tcMar>
              <w:top w:type="dxa" w:w="80"/>
              <w:left w:type="dxa" w:w="100"/>
              <w:bottom w:type="dxa" w:w="80"/>
              <w:right w:type="dxa" w:w="100"/>
            </w:tcMar>
          </w:tcPr>
          <w:p>
            <w:pPr>
              <w:pStyle w:val="Tabla"/>
            </w:pPr>
            <w:r>
              <w:rPr>
                <w:b/>
                <w:bCs/>
              </w:rPr>
              <w:t xml:space="preserve">Localización y contexto</w:t>
            </w:r>
          </w:p>
        </w:tc>
      </w:tr>
      <w:tr>
        <w:trPr>
          <w:cantSplit/>
          <w:tblHeader w:val="off"/>
        </w:trPr>
        <w:tc>
          <w:tcPr>
            <w:tcW w:type="dxa" w:w="4816"/>
            <w:tcMar>
              <w:top w:type="dxa" w:w="80"/>
              <w:left w:type="dxa" w:w="100"/>
              <w:bottom w:type="dxa" w:w="80"/>
              <w:right w:type="dxa" w:w="100"/>
            </w:tcMar>
          </w:tcPr>
          <w:p>
            <w:pPr>
              <w:pStyle w:val="Tabla"/>
            </w:pPr>
            <w:r>
              <w:t xml:space="preserve">nivel</w:t>
            </w:r>
          </w:p>
        </w:tc>
        <w:tc>
          <w:tcPr>
            <w:tcW w:type="dxa" w:w="4816"/>
            <w:tcMar>
              <w:top w:type="dxa" w:w="80"/>
              <w:left w:type="dxa" w:w="100"/>
              <w:bottom w:type="dxa" w:w="80"/>
              <w:right w:type="dxa" w:w="100"/>
            </w:tcMar>
          </w:tcPr>
          <w:p>
            <w:pPr>
              <w:pStyle w:val="Tabla"/>
            </w:pPr>
            <w:r>
              <w:t xml:space="preserve">Nivel=rectángulo y flujo=válvula sobre tubería; dos dibujos de válvula conservan el mismo significado.</w:t>
            </w:r>
          </w:p>
        </w:tc>
      </w:tr>
      <w:tr>
        <w:trPr>
          <w:cantSplit/>
          <w:tblHeader w:val="off"/>
        </w:trPr>
        <w:tc>
          <w:tcPr>
            <w:tcW w:type="dxa" w:w="4816"/>
            <w:tcMar>
              <w:top w:type="dxa" w:w="80"/>
              <w:left w:type="dxa" w:w="100"/>
              <w:bottom w:type="dxa" w:w="80"/>
              <w:right w:type="dxa" w:w="100"/>
            </w:tcMar>
          </w:tcPr>
          <w:p>
            <w:pPr>
              <w:pStyle w:val="Tabla"/>
            </w:pPr>
            <w:r>
              <w:t xml:space="preserve">flujo neto</w:t>
            </w:r>
          </w:p>
        </w:tc>
        <w:tc>
          <w:tcPr>
            <w:tcW w:type="dxa" w:w="4816"/>
            <w:tcMar>
              <w:top w:type="dxa" w:w="80"/>
              <w:left w:type="dxa" w:w="100"/>
              <w:bottom w:type="dxa" w:w="80"/>
              <w:right w:type="dxa" w:w="100"/>
            </w:tcMar>
          </w:tcPr>
          <w:p>
            <w:pPr>
              <w:pStyle w:val="Tabla"/>
            </w:pPr>
            <w:r>
              <w:t xml:space="preserve">El capital es integral del flujo neto más el valor inicialC.</w:t>
            </w:r>
          </w:p>
        </w:tc>
      </w:tr>
      <w:tr>
        <w:trPr>
          <w:cantSplit/>
          <w:tblHeader w:val="off"/>
        </w:trPr>
        <w:tc>
          <w:tcPr>
            <w:tcW w:type="dxa" w:w="4816"/>
            <w:tcMar>
              <w:top w:type="dxa" w:w="80"/>
              <w:left w:type="dxa" w:w="100"/>
              <w:bottom w:type="dxa" w:w="80"/>
              <w:right w:type="dxa" w:w="100"/>
            </w:tcMar>
          </w:tcPr>
          <w:p>
            <w:pPr>
              <w:pStyle w:val="Tabla"/>
            </w:pPr>
            <w:r>
              <w:t xml:space="preserve">unidades</w:t>
            </w:r>
          </w:p>
        </w:tc>
        <w:tc>
          <w:tcPr>
            <w:tcW w:type="dxa" w:w="4816"/>
            <w:tcMar>
              <w:top w:type="dxa" w:w="80"/>
              <w:left w:type="dxa" w:w="100"/>
              <w:bottom w:type="dxa" w:w="80"/>
              <w:right w:type="dxa" w:w="100"/>
            </w:tcMar>
          </w:tcPr>
          <w:p>
            <w:pPr>
              <w:pStyle w:val="Tabla"/>
            </w:pPr>
            <w:r>
              <w:t xml:space="preserve">Nivel: rectángulo, medido en litros, personas, libros o dinero. Flujo: tubería con válvula, medido en esas unidades por unidad de tiempo.</w:t>
            </w:r>
          </w:p>
        </w:tc>
      </w:tr>
      <w:tr>
        <w:trPr>
          <w:cantSplit/>
          <w:tblHeader w:val="off"/>
        </w:trPr>
        <w:tc>
          <w:tcPr>
            <w:tcW w:type="dxa" w:w="4816"/>
            <w:tcMar>
              <w:top w:type="dxa" w:w="80"/>
              <w:left w:type="dxa" w:w="100"/>
              <w:bottom w:type="dxa" w:w="80"/>
              <w:right w:type="dxa" w:w="100"/>
            </w:tcMar>
          </w:tcPr>
          <w:p>
            <w:pPr>
              <w:pStyle w:val="Tabla"/>
            </w:pPr>
            <w:r>
              <w:t xml:space="preserve">INTEG</w:t>
            </w:r>
          </w:p>
        </w:tc>
        <w:tc>
          <w:tcPr>
            <w:tcW w:type="dxa" w:w="4816"/>
            <w:tcMar>
              <w:top w:type="dxa" w:w="80"/>
              <w:left w:type="dxa" w:w="100"/>
              <w:bottom w:type="dxa" w:w="80"/>
              <w:right w:type="dxa" w:w="100"/>
            </w:tcMar>
          </w:tcPr>
          <w:p>
            <w:pPr>
              <w:pStyle w:val="Tabla"/>
            </w:pPr>
            <w:r>
              <w:t xml:space="preserve">El capital es integral del flujo neto más el valor inicialC.</w:t>
            </w:r>
          </w:p>
        </w:tc>
      </w:tr>
      <w:tr>
        <w:trPr>
          <w:cantSplit/>
          <w:tblHeader w:val="off"/>
        </w:trPr>
        <w:tc>
          <w:tcPr>
            <w:tcW w:type="dxa" w:w="4816"/>
            <w:tcMar>
              <w:top w:type="dxa" w:w="80"/>
              <w:left w:type="dxa" w:w="100"/>
              <w:bottom w:type="dxa" w:w="80"/>
              <w:right w:type="dxa" w:w="100"/>
            </w:tcMar>
          </w:tcPr>
          <w:p>
            <w:pPr>
              <w:pStyle w:val="Tabla"/>
            </w:pPr>
            <w:r>
              <w:t xml:space="preserve">Euler</w:t>
            </w:r>
          </w:p>
        </w:tc>
        <w:tc>
          <w:tcPr>
            <w:tcW w:type="dxa" w:w="4816"/>
            <w:tcMar>
              <w:top w:type="dxa" w:w="80"/>
              <w:left w:type="dxa" w:w="100"/>
              <w:bottom w:type="dxa" w:w="80"/>
              <w:right w:type="dxa" w:w="100"/>
            </w:tcMar>
          </w:tcPr>
          <w:p>
            <w:pPr>
              <w:pStyle w:val="Tabla"/>
            </w:pPr>
            <w:r>
              <w:t xml:space="preserve">dN/dt = entradas − salidas. Con Euler: N(t + Δt) = N(t) + (entradas(t) − salidas(t)) · Δt.</w:t>
            </w:r>
          </w:p>
        </w:tc>
      </w:tr>
      <w:tr>
        <w:trPr>
          <w:cantSplit/>
          <w:tblHeader w:val="off"/>
        </w:trPr>
        <w:tc>
          <w:tcPr>
            <w:tcW w:type="dxa" w:w="4816"/>
            <w:tcMar>
              <w:top w:type="dxa" w:w="80"/>
              <w:left w:type="dxa" w:w="100"/>
              <w:bottom w:type="dxa" w:w="80"/>
              <w:right w:type="dxa" w:w="100"/>
            </w:tcMar>
          </w:tcPr>
          <w:p>
            <w:pPr>
              <w:pStyle w:val="Tabla"/>
            </w:pPr>
            <w:r>
              <w:t xml:space="preserve">equilibrio dinámico</w:t>
            </w:r>
          </w:p>
        </w:tc>
        <w:tc>
          <w:tcPr>
            <w:tcW w:type="dxa" w:w="4816"/>
            <w:tcMar>
              <w:top w:type="dxa" w:w="80"/>
              <w:left w:type="dxa" w:w="100"/>
              <w:bottom w:type="dxa" w:w="80"/>
              <w:right w:type="dxa" w:w="100"/>
            </w:tcMar>
          </w:tcPr>
          <w:p>
            <w:pPr>
              <w:pStyle w:val="Tabla"/>
            </w:pPr>
            <w:r>
              <w:t xml:space="preserve">Referencia de estudio: Distinguir niveles, flujos, auxiliares, constantes y nubes; calcular el balance de una acumulación con sus unidades.</w:t>
            </w:r>
          </w:p>
        </w:tc>
      </w:tr>
    </w:tbl>
    <w:p>
      <w:pPr>
        <w:pStyle w:val="Fuente"/>
      </w:pPr>
      <w:r>
        <w:t xml:space="preserve">Véase </w:t>
      </w:r>
      <w:hyperlink w:history="1" w:anchor="b_4_2">
        <w:r>
          <w:rPr>
            <w:color w:val="156B70"/>
            <w:u w:val="single"/>
          </w:rPr>
          <w:t xml:space="preserve">4.2 · Flujos y niveles</w:t>
        </w:r>
      </w:hyperlink>
      <w:r>
        <w:t xml:space="preserve">, pág. </w:t>
      </w:r>
      <w:r>
        <w:fldChar w:fldCharType="begin"/>
        <w:instrText xml:space="preserve">PAGEREF b_4_2 \h</w:instrText>
        <w:fldChar w:fldCharType="separate"/>
        <w:t xml:space="preserve">709</w:t>
        <w:fldChar w:fldCharType="end"/>
      </w:r>
      <w:r>
        <w:t xml:space="preserve">.</w:t>
      </w:r>
    </w:p>
    <w:p>
      <w:pPr>
        <w:pStyle w:val="Heading3"/>
      </w:pPr>
      <w:r>
        <w:t xml:space="preserve">4.3 · De ciclos causales a flujos</w:t>
      </w:r>
    </w:p>
    <w:tbl>
      <w:tblPr>
        <w:tblW w:type="dxa" w:w="9632"/>
        <w:tblBorders>
          <w:top w:val="single" w:color="C5D5DB" w:sz="4"/>
          <w:left w:val="single" w:color="C5D5DB" w:sz="4"/>
          <w:bottom w:val="single" w:color="C5D5DB" w:sz="4"/>
          <w:right w:val="single" w:color="C5D5DB" w:sz="4"/>
          <w:insideH w:val="single" w:color="E4E9EB" w:sz="3"/>
          <w:insideV w:val="single" w:color="E4E9EB" w:sz="3"/>
        </w:tblBorders>
        <w:tblLayout w:type="fixed"/>
      </w:tblPr>
      <w:tblGrid>
        <w:gridCol w:w="4816"/>
        <w:gridCol w:w="4816"/>
      </w:tblGrid>
      <w:tr>
        <w:trPr>
          <w:cantSplit/>
          <w:tblHeader/>
        </w:trPr>
        <w:tc>
          <w:tcPr>
            <w:tcW w:type="dxa" w:w="4816"/>
            <w:shd w:fill="DFEAF0" w:val="clear"/>
            <w:tcMar>
              <w:top w:type="dxa" w:w="80"/>
              <w:left w:type="dxa" w:w="100"/>
              <w:bottom w:type="dxa" w:w="80"/>
              <w:right w:type="dxa" w:w="100"/>
            </w:tcMar>
          </w:tcPr>
          <w:p>
            <w:pPr>
              <w:pStyle w:val="Tabla"/>
            </w:pPr>
            <w:r>
              <w:rPr>
                <w:b/>
                <w:bCs/>
              </w:rPr>
              <w:t xml:space="preserve">Vocabulario del tema</w:t>
            </w:r>
          </w:p>
        </w:tc>
        <w:tc>
          <w:tcPr>
            <w:tcW w:type="dxa" w:w="4816"/>
            <w:shd w:fill="DFEAF0" w:val="clear"/>
            <w:tcMar>
              <w:top w:type="dxa" w:w="80"/>
              <w:left w:type="dxa" w:w="100"/>
              <w:bottom w:type="dxa" w:w="80"/>
              <w:right w:type="dxa" w:w="100"/>
            </w:tcMar>
          </w:tcPr>
          <w:p>
            <w:pPr>
              <w:pStyle w:val="Tabla"/>
            </w:pPr>
            <w:r>
              <w:rPr>
                <w:b/>
                <w:bCs/>
              </w:rPr>
              <w:t xml:space="preserve">Localización y contexto</w:t>
            </w:r>
          </w:p>
        </w:tc>
      </w:tr>
      <w:tr>
        <w:trPr>
          <w:cantSplit/>
          <w:tblHeader w:val="off"/>
        </w:trPr>
        <w:tc>
          <w:tcPr>
            <w:tcW w:type="dxa" w:w="4816"/>
            <w:tcMar>
              <w:top w:type="dxa" w:w="80"/>
              <w:left w:type="dxa" w:w="100"/>
              <w:bottom w:type="dxa" w:w="80"/>
              <w:right w:type="dxa" w:w="100"/>
            </w:tcMar>
          </w:tcPr>
          <w:p>
            <w:pPr>
              <w:pStyle w:val="Tabla"/>
            </w:pPr>
            <w:r>
              <w:t xml:space="preserve">frontera</w:t>
            </w:r>
          </w:p>
        </w:tc>
        <w:tc>
          <w:tcPr>
            <w:tcW w:type="dxa" w:w="4816"/>
            <w:tcMar>
              <w:top w:type="dxa" w:w="80"/>
              <w:left w:type="dxa" w:w="100"/>
              <w:bottom w:type="dxa" w:w="80"/>
              <w:right w:type="dxa" w:w="100"/>
            </w:tcMar>
          </w:tcPr>
          <w:p>
            <w:pPr>
              <w:pStyle w:val="Tabla"/>
            </w:pPr>
            <w:r>
              <w:t xml:space="preserve">La nube representa fuente o sumidero fuera de la frontera relevante.</w:t>
            </w:r>
          </w:p>
        </w:tc>
      </w:tr>
      <w:tr>
        <w:trPr>
          <w:cantSplit/>
          <w:tblHeader w:val="off"/>
        </w:trPr>
        <w:tc>
          <w:tcPr>
            <w:tcW w:type="dxa" w:w="4816"/>
            <w:tcMar>
              <w:top w:type="dxa" w:w="80"/>
              <w:left w:type="dxa" w:w="100"/>
              <w:bottom w:type="dxa" w:w="80"/>
              <w:right w:type="dxa" w:w="100"/>
            </w:tcMar>
          </w:tcPr>
          <w:p>
            <w:pPr>
              <w:pStyle w:val="Tabla"/>
            </w:pPr>
            <w:r>
              <w:t xml:space="preserve">Forrester</w:t>
            </w:r>
          </w:p>
        </w:tc>
        <w:tc>
          <w:tcPr>
            <w:tcW w:type="dxa" w:w="4816"/>
            <w:tcMar>
              <w:top w:type="dxa" w:w="80"/>
              <w:left w:type="dxa" w:w="100"/>
              <w:bottom w:type="dxa" w:w="80"/>
              <w:right w:type="dxa" w:w="100"/>
            </w:tcMar>
          </w:tcPr>
          <w:p>
            <w:pPr>
              <w:pStyle w:val="Tabla"/>
            </w:pPr>
            <w:r>
              <w:t xml:space="preserve">El recorrido de ajustes es balance y el Forrester tiene entradaAjustes hacia el nivelCapacidad.</w:t>
            </w:r>
          </w:p>
        </w:tc>
      </w:tr>
      <w:tr>
        <w:trPr>
          <w:cantSplit/>
          <w:tblHeader w:val="off"/>
        </w:trPr>
        <w:tc>
          <w:tcPr>
            <w:tcW w:type="dxa" w:w="4816"/>
            <w:tcMar>
              <w:top w:type="dxa" w:w="80"/>
              <w:left w:type="dxa" w:w="100"/>
              <w:bottom w:type="dxa" w:w="80"/>
              <w:right w:type="dxa" w:w="100"/>
            </w:tcMar>
          </w:tcPr>
          <w:p>
            <w:pPr>
              <w:pStyle w:val="Tabla"/>
            </w:pPr>
            <w:r>
              <w:t xml:space="preserve">acumulación</w:t>
            </w:r>
          </w:p>
        </w:tc>
        <w:tc>
          <w:tcPr>
            <w:tcW w:type="dxa" w:w="4816"/>
            <w:tcMar>
              <w:top w:type="dxa" w:w="80"/>
              <w:left w:type="dxa" w:w="100"/>
              <w:bottom w:type="dxa" w:w="80"/>
              <w:right w:type="dxa" w:w="100"/>
            </w:tcMar>
          </w:tcPr>
          <w:p>
            <w:pPr>
              <w:pStyle w:val="Tabla"/>
            </w:pPr>
            <w:r>
              <w:t xml:space="preserve">PI es acumulación y TC su cambio por tiempo: dX/dt→X.</w:t>
            </w:r>
          </w:p>
        </w:tc>
      </w:tr>
      <w:tr>
        <w:trPr>
          <w:cantSplit/>
          <w:tblHeader w:val="off"/>
        </w:trPr>
        <w:tc>
          <w:tcPr>
            <w:tcW w:type="dxa" w:w="4816"/>
            <w:tcMar>
              <w:top w:type="dxa" w:w="80"/>
              <w:left w:type="dxa" w:w="100"/>
              <w:bottom w:type="dxa" w:w="80"/>
              <w:right w:type="dxa" w:w="100"/>
            </w:tcMar>
          </w:tcPr>
          <w:p>
            <w:pPr>
              <w:pStyle w:val="Tabla"/>
            </w:pPr>
            <w:r>
              <w:t xml:space="preserve">tubería</w:t>
            </w:r>
          </w:p>
        </w:tc>
        <w:tc>
          <w:tcPr>
            <w:tcW w:type="dxa" w:w="4816"/>
            <w:tcMar>
              <w:top w:type="dxa" w:w="80"/>
              <w:left w:type="dxa" w:w="100"/>
              <w:bottom w:type="dxa" w:w="80"/>
              <w:right w:type="dxa" w:w="100"/>
            </w:tcMar>
          </w:tcPr>
          <w:p>
            <w:pPr>
              <w:pStyle w:val="Tabla"/>
            </w:pPr>
            <w:r>
              <w:t xml:space="preserve">El Forrester conserva transferencias einformación; los balances no autorizan a convertir cada influencia en tubería.</w:t>
            </w:r>
          </w:p>
        </w:tc>
      </w:tr>
      <w:tr>
        <w:trPr>
          <w:cantSplit/>
          <w:tblHeader w:val="off"/>
        </w:trPr>
        <w:tc>
          <w:tcPr>
            <w:tcW w:type="dxa" w:w="4816"/>
            <w:tcMar>
              <w:top w:type="dxa" w:w="80"/>
              <w:left w:type="dxa" w:w="100"/>
              <w:bottom w:type="dxa" w:w="80"/>
              <w:right w:type="dxa" w:w="100"/>
            </w:tcMar>
          </w:tcPr>
          <w:p>
            <w:pPr>
              <w:pStyle w:val="Tabla"/>
            </w:pPr>
            <w:r>
              <w:t xml:space="preserve">información</w:t>
            </w:r>
          </w:p>
        </w:tc>
        <w:tc>
          <w:tcPr>
            <w:tcW w:type="dxa" w:w="4816"/>
            <w:tcMar>
              <w:top w:type="dxa" w:w="80"/>
              <w:left w:type="dxa" w:w="100"/>
              <w:bottom w:type="dxa" w:w="80"/>
              <w:right w:type="dxa" w:w="100"/>
            </w:tcMar>
          </w:tcPr>
          <w:p>
            <w:pPr>
              <w:pStyle w:val="Tabla"/>
            </w:pPr>
            <w:r>
              <w:t xml:space="preserve">El Forrester conserva transferencias einformación; los balances no autorizan a convertir cada influencia en tubería.</w:t>
            </w:r>
          </w:p>
        </w:tc>
      </w:tr>
      <w:tr>
        <w:trPr>
          <w:cantSplit/>
          <w:tblHeader w:val="off"/>
        </w:trPr>
        <w:tc>
          <w:tcPr>
            <w:tcW w:type="dxa" w:w="4816"/>
            <w:tcMar>
              <w:top w:type="dxa" w:w="80"/>
              <w:left w:type="dxa" w:w="100"/>
              <w:bottom w:type="dxa" w:w="80"/>
              <w:right w:type="dxa" w:w="100"/>
            </w:tcMar>
          </w:tcPr>
          <w:p>
            <w:pPr>
              <w:pStyle w:val="Tabla"/>
            </w:pPr>
            <w:r>
              <w:t xml:space="preserve">condición inicial</w:t>
            </w:r>
          </w:p>
        </w:tc>
        <w:tc>
          <w:tcPr>
            <w:tcW w:type="dxa" w:w="4816"/>
            <w:tcMar>
              <w:top w:type="dxa" w:w="80"/>
              <w:left w:type="dxa" w:w="100"/>
              <w:bottom w:type="dxa" w:w="80"/>
              <w:right w:type="dxa" w:w="100"/>
            </w:tcMar>
          </w:tcPr>
          <w:p>
            <w:pPr>
              <w:pStyle w:val="Tabla"/>
            </w:pPr>
            <w:r>
              <w:t xml:space="preserve">Pendientes = INTEG(compras − lecturas,20): el nivel acumula el flujo neto desde su condición inicial.</w:t>
            </w:r>
          </w:p>
        </w:tc>
      </w:tr>
    </w:tbl>
    <w:p>
      <w:pPr>
        <w:pStyle w:val="Fuente"/>
      </w:pPr>
      <w:r>
        <w:t xml:space="preserve">Véase </w:t>
      </w:r>
      <w:hyperlink w:history="1" w:anchor="b_4_3">
        <w:r>
          <w:rPr>
            <w:color w:val="156B70"/>
            <w:u w:val="single"/>
          </w:rPr>
          <w:t xml:space="preserve">4.3 · De ciclos causales a flujos</w:t>
        </w:r>
      </w:hyperlink>
      <w:r>
        <w:t xml:space="preserve">, pág. </w:t>
      </w:r>
      <w:r>
        <w:fldChar w:fldCharType="begin"/>
        <w:instrText xml:space="preserve">PAGEREF b_4_3 \h</w:instrText>
        <w:fldChar w:fldCharType="separate"/>
        <w:t xml:space="preserve">737</w:t>
        <w:fldChar w:fldCharType="end"/>
      </w:r>
      <w:r>
        <w:t xml:space="preserve">.</w:t>
      </w:r>
    </w:p>
    <w:p>
      <w:pPr>
        <w:pStyle w:val="Heading3"/>
      </w:pPr>
      <w:r>
        <w:t xml:space="preserve">4.4 · Simulación con VENSIM</w:t>
      </w:r>
    </w:p>
    <w:tbl>
      <w:tblPr>
        <w:tblW w:type="dxa" w:w="9632"/>
        <w:tblBorders>
          <w:top w:val="single" w:color="C5D5DB" w:sz="4"/>
          <w:left w:val="single" w:color="C5D5DB" w:sz="4"/>
          <w:bottom w:val="single" w:color="C5D5DB" w:sz="4"/>
          <w:right w:val="single" w:color="C5D5DB" w:sz="4"/>
          <w:insideH w:val="single" w:color="E4E9EB" w:sz="3"/>
          <w:insideV w:val="single" w:color="E4E9EB" w:sz="3"/>
        </w:tblBorders>
        <w:tblLayout w:type="fixed"/>
      </w:tblPr>
      <w:tblGrid>
        <w:gridCol w:w="4816"/>
        <w:gridCol w:w="4816"/>
      </w:tblGrid>
      <w:tr>
        <w:trPr>
          <w:cantSplit/>
          <w:tblHeader/>
        </w:trPr>
        <w:tc>
          <w:tcPr>
            <w:tcW w:type="dxa" w:w="4816"/>
            <w:shd w:fill="DFEAF0" w:val="clear"/>
            <w:tcMar>
              <w:top w:type="dxa" w:w="80"/>
              <w:left w:type="dxa" w:w="100"/>
              <w:bottom w:type="dxa" w:w="80"/>
              <w:right w:type="dxa" w:w="100"/>
            </w:tcMar>
          </w:tcPr>
          <w:p>
            <w:pPr>
              <w:pStyle w:val="Tabla"/>
            </w:pPr>
            <w:r>
              <w:rPr>
                <w:b/>
                <w:bCs/>
              </w:rPr>
              <w:t xml:space="preserve">Vocabulario del tema</w:t>
            </w:r>
          </w:p>
        </w:tc>
        <w:tc>
          <w:tcPr>
            <w:tcW w:type="dxa" w:w="4816"/>
            <w:shd w:fill="DFEAF0" w:val="clear"/>
            <w:tcMar>
              <w:top w:type="dxa" w:w="80"/>
              <w:left w:type="dxa" w:w="100"/>
              <w:bottom w:type="dxa" w:w="80"/>
              <w:right w:type="dxa" w:w="100"/>
            </w:tcMar>
          </w:tcPr>
          <w:p>
            <w:pPr>
              <w:pStyle w:val="Tabla"/>
            </w:pPr>
            <w:r>
              <w:rPr>
                <w:b/>
                <w:bCs/>
              </w:rPr>
              <w:t xml:space="preserve">Localización y contexto</w:t>
            </w:r>
          </w:p>
        </w:tc>
      </w:tr>
      <w:tr>
        <w:trPr>
          <w:cantSplit/>
          <w:tblHeader w:val="off"/>
        </w:trPr>
        <w:tc>
          <w:tcPr>
            <w:tcW w:type="dxa" w:w="4816"/>
            <w:tcMar>
              <w:top w:type="dxa" w:w="80"/>
              <w:left w:type="dxa" w:w="100"/>
              <w:bottom w:type="dxa" w:w="80"/>
              <w:right w:type="dxa" w:w="100"/>
            </w:tcMar>
          </w:tcPr>
          <w:p>
            <w:pPr>
              <w:pStyle w:val="Tabla"/>
            </w:pPr>
            <w:r>
              <w:t xml:space="preserve">formalización</w:t>
            </w:r>
          </w:p>
        </w:tc>
        <w:tc>
          <w:tcPr>
            <w:tcW w:type="dxa" w:w="4816"/>
            <w:tcMar>
              <w:top w:type="dxa" w:w="80"/>
              <w:left w:type="dxa" w:w="100"/>
              <w:bottom w:type="dxa" w:w="80"/>
              <w:right w:type="dxa" w:w="100"/>
            </w:tcMar>
          </w:tcPr>
          <w:p>
            <w:pPr>
              <w:pStyle w:val="Tabla"/>
            </w:pPr>
            <w:r>
              <w:t xml:space="preserve">Las seis fases son definición, conceptualización, formalización, comportamiento, evaluación y explotación.</w:t>
            </w:r>
          </w:p>
        </w:tc>
      </w:tr>
      <w:tr>
        <w:trPr>
          <w:cantSplit/>
          <w:tblHeader w:val="off"/>
        </w:trPr>
        <w:tc>
          <w:tcPr>
            <w:tcW w:type="dxa" w:w="4816"/>
            <w:tcMar>
              <w:top w:type="dxa" w:w="80"/>
              <w:left w:type="dxa" w:w="100"/>
              <w:bottom w:type="dxa" w:w="80"/>
              <w:right w:type="dxa" w:w="100"/>
            </w:tcMar>
          </w:tcPr>
          <w:p>
            <w:pPr>
              <w:pStyle w:val="Tabla"/>
            </w:pPr>
            <w:r>
              <w:t xml:space="preserve">comportamiento</w:t>
            </w:r>
          </w:p>
        </w:tc>
        <w:tc>
          <w:tcPr>
            <w:tcW w:type="dxa" w:w="4816"/>
            <w:tcMar>
              <w:top w:type="dxa" w:w="80"/>
              <w:left w:type="dxa" w:w="100"/>
              <w:bottom w:type="dxa" w:w="80"/>
              <w:right w:type="dxa" w:w="100"/>
            </w:tcMar>
          </w:tcPr>
          <w:p>
            <w:pPr>
              <w:pStyle w:val="Tabla"/>
            </w:pPr>
            <w:r>
              <w:t xml:space="preserve">Comportamiento obtiene trayectorias; explotación compara escenarios y políticas. Que una simulación ejecute no significa que haya quedado validada.</w:t>
            </w:r>
          </w:p>
        </w:tc>
      </w:tr>
      <w:tr>
        <w:trPr>
          <w:cantSplit/>
          <w:tblHeader w:val="off"/>
        </w:trPr>
        <w:tc>
          <w:tcPr>
            <w:tcW w:type="dxa" w:w="4816"/>
            <w:tcMar>
              <w:top w:type="dxa" w:w="80"/>
              <w:left w:type="dxa" w:w="100"/>
              <w:bottom w:type="dxa" w:w="80"/>
              <w:right w:type="dxa" w:w="100"/>
            </w:tcMar>
          </w:tcPr>
          <w:p>
            <w:pPr>
              <w:pStyle w:val="Tabla"/>
            </w:pPr>
            <w:r>
              <w:t xml:space="preserve">evaluación</w:t>
            </w:r>
          </w:p>
        </w:tc>
        <w:tc>
          <w:tcPr>
            <w:tcW w:type="dxa" w:w="4816"/>
            <w:tcMar>
              <w:top w:type="dxa" w:w="80"/>
              <w:left w:type="dxa" w:w="100"/>
              <w:bottom w:type="dxa" w:w="80"/>
              <w:right w:type="dxa" w:w="100"/>
            </w:tcMar>
          </w:tcPr>
          <w:p>
            <w:pPr>
              <w:pStyle w:val="Tabla"/>
            </w:pPr>
            <w:r>
              <w:t xml:space="preserve">Las seis fases son definición, conceptualización, formalización, comportamiento, evaluación y explotación.</w:t>
            </w:r>
          </w:p>
        </w:tc>
      </w:tr>
      <w:tr>
        <w:trPr>
          <w:cantSplit/>
          <w:tblHeader w:val="off"/>
        </w:trPr>
        <w:tc>
          <w:tcPr>
            <w:tcW w:type="dxa" w:w="4816"/>
            <w:tcMar>
              <w:top w:type="dxa" w:w="80"/>
              <w:left w:type="dxa" w:w="100"/>
              <w:bottom w:type="dxa" w:w="80"/>
              <w:right w:type="dxa" w:w="100"/>
            </w:tcMar>
          </w:tcPr>
          <w:p>
            <w:pPr>
              <w:pStyle w:val="Tabla"/>
            </w:pPr>
            <w:r>
              <w:t xml:space="preserve">explotación</w:t>
            </w:r>
          </w:p>
        </w:tc>
        <w:tc>
          <w:tcPr>
            <w:tcW w:type="dxa" w:w="4816"/>
            <w:tcMar>
              <w:top w:type="dxa" w:w="80"/>
              <w:left w:type="dxa" w:w="100"/>
              <w:bottom w:type="dxa" w:w="80"/>
              <w:right w:type="dxa" w:w="100"/>
            </w:tcMar>
          </w:tcPr>
          <w:p>
            <w:pPr>
              <w:pStyle w:val="Tabla"/>
            </w:pPr>
            <w:r>
              <w:t xml:space="preserve">Las seis fases son definición, conceptualización, formalización, comportamiento, evaluación y explotación.</w:t>
            </w:r>
          </w:p>
        </w:tc>
      </w:tr>
      <w:tr>
        <w:trPr>
          <w:cantSplit/>
          <w:tblHeader w:val="off"/>
        </w:trPr>
        <w:tc>
          <w:tcPr>
            <w:tcW w:type="dxa" w:w="4816"/>
            <w:tcMar>
              <w:top w:type="dxa" w:w="80"/>
              <w:left w:type="dxa" w:w="100"/>
              <w:bottom w:type="dxa" w:w="80"/>
              <w:right w:type="dxa" w:w="100"/>
            </w:tcMar>
          </w:tcPr>
          <w:p>
            <w:pPr>
              <w:pStyle w:val="Tabla"/>
            </w:pPr>
            <w:r>
              <w:t xml:space="preserve">TIME STEP</w:t>
            </w:r>
          </w:p>
        </w:tc>
        <w:tc>
          <w:tcPr>
            <w:tcW w:type="dxa" w:w="4816"/>
            <w:tcMar>
              <w:top w:type="dxa" w:w="80"/>
              <w:left w:type="dxa" w:w="100"/>
              <w:bottom w:type="dxa" w:w="80"/>
              <w:right w:type="dxa" w:w="100"/>
            </w:tcMar>
          </w:tcPr>
          <w:p>
            <w:pPr>
              <w:pStyle w:val="Tabla"/>
            </w:pPr>
            <w:r>
              <w:t xml:space="preserve">Se configuran inicio, final, unidad y TIME STEP; pasos de media semana o una semana son configuraciones distintas.</w:t>
            </w:r>
          </w:p>
        </w:tc>
      </w:tr>
      <w:tr>
        <w:trPr>
          <w:cantSplit/>
          <w:tblHeader w:val="off"/>
        </w:trPr>
        <w:tc>
          <w:tcPr>
            <w:tcW w:type="dxa" w:w="4816"/>
            <w:tcMar>
              <w:top w:type="dxa" w:w="80"/>
              <w:left w:type="dxa" w:w="100"/>
              <w:bottom w:type="dxa" w:w="80"/>
              <w:right w:type="dxa" w:w="100"/>
            </w:tcMar>
          </w:tcPr>
          <w:p>
            <w:pPr>
              <w:pStyle w:val="Tabla"/>
            </w:pPr>
            <w:r>
              <w:t xml:space="preserve">validación</w:t>
            </w:r>
          </w:p>
        </w:tc>
        <w:tc>
          <w:tcPr>
            <w:tcW w:type="dxa" w:w="4816"/>
            <w:tcMar>
              <w:top w:type="dxa" w:w="80"/>
              <w:left w:type="dxa" w:w="100"/>
              <w:bottom w:type="dxa" w:w="80"/>
              <w:right w:type="dxa" w:w="100"/>
            </w:tcMar>
          </w:tcPr>
          <w:p>
            <w:pPr>
              <w:pStyle w:val="Tabla"/>
            </w:pPr>
            <w:r>
              <w:t xml:space="preserve">Validación y acción se incorporan a un ciclo de aprendizaje sobre la realidad.</w:t>
            </w:r>
          </w:p>
        </w:tc>
      </w:tr>
    </w:tbl>
    <w:p>
      <w:pPr>
        <w:pStyle w:val="Fuente"/>
      </w:pPr>
      <w:r>
        <w:t xml:space="preserve">Véase </w:t>
      </w:r>
      <w:hyperlink w:history="1" w:anchor="b_4_4">
        <w:r>
          <w:rPr>
            <w:color w:val="156B70"/>
            <w:u w:val="single"/>
          </w:rPr>
          <w:t xml:space="preserve">4.4 · Simulación con VENSIM</w:t>
        </w:r>
      </w:hyperlink>
      <w:r>
        <w:t xml:space="preserve">, pág. </w:t>
      </w:r>
      <w:r>
        <w:fldChar w:fldCharType="begin"/>
        <w:instrText xml:space="preserve">PAGEREF b_4_4 \h</w:instrText>
        <w:fldChar w:fldCharType="separate"/>
        <w:t xml:space="preserve">776</w:t>
        <w:fldChar w:fldCharType="end"/>
      </w:r>
      <w:r>
        <w:t xml:space="preserve">.</w:t>
      </w:r>
    </w:p>
    <w:p>
      <w:pPr>
        <w:pStyle w:val="Heading3"/>
      </w:pPr>
      <w:r>
        <w:t xml:space="preserve">4.5 · Ejemplos en VENSIM</w:t>
      </w:r>
    </w:p>
    <w:tbl>
      <w:tblPr>
        <w:tblW w:type="dxa" w:w="9632"/>
        <w:tblBorders>
          <w:top w:val="single" w:color="C5D5DB" w:sz="4"/>
          <w:left w:val="single" w:color="C5D5DB" w:sz="4"/>
          <w:bottom w:val="single" w:color="C5D5DB" w:sz="4"/>
          <w:right w:val="single" w:color="C5D5DB" w:sz="4"/>
          <w:insideH w:val="single" w:color="E4E9EB" w:sz="3"/>
          <w:insideV w:val="single" w:color="E4E9EB" w:sz="3"/>
        </w:tblBorders>
        <w:tblLayout w:type="fixed"/>
      </w:tblPr>
      <w:tblGrid>
        <w:gridCol w:w="4816"/>
        <w:gridCol w:w="4816"/>
      </w:tblGrid>
      <w:tr>
        <w:trPr>
          <w:cantSplit/>
          <w:tblHeader/>
        </w:trPr>
        <w:tc>
          <w:tcPr>
            <w:tcW w:type="dxa" w:w="4816"/>
            <w:shd w:fill="DFEAF0" w:val="clear"/>
            <w:tcMar>
              <w:top w:type="dxa" w:w="80"/>
              <w:left w:type="dxa" w:w="100"/>
              <w:bottom w:type="dxa" w:w="80"/>
              <w:right w:type="dxa" w:w="100"/>
            </w:tcMar>
          </w:tcPr>
          <w:p>
            <w:pPr>
              <w:pStyle w:val="Tabla"/>
            </w:pPr>
            <w:r>
              <w:rPr>
                <w:b/>
                <w:bCs/>
              </w:rPr>
              <w:t xml:space="preserve">Vocabulario del tema</w:t>
            </w:r>
          </w:p>
        </w:tc>
        <w:tc>
          <w:tcPr>
            <w:tcW w:type="dxa" w:w="4816"/>
            <w:shd w:fill="DFEAF0" w:val="clear"/>
            <w:tcMar>
              <w:top w:type="dxa" w:w="80"/>
              <w:left w:type="dxa" w:w="100"/>
              <w:bottom w:type="dxa" w:w="80"/>
              <w:right w:type="dxa" w:w="100"/>
            </w:tcMar>
          </w:tcPr>
          <w:p>
            <w:pPr>
              <w:pStyle w:val="Tabla"/>
            </w:pPr>
            <w:r>
              <w:rPr>
                <w:b/>
                <w:bCs/>
              </w:rPr>
              <w:t xml:space="preserve">Localización y contexto</w:t>
            </w:r>
          </w:p>
        </w:tc>
      </w:tr>
      <w:tr>
        <w:trPr>
          <w:cantSplit/>
          <w:tblHeader w:val="off"/>
        </w:trPr>
        <w:tc>
          <w:tcPr>
            <w:tcW w:type="dxa" w:w="4816"/>
            <w:tcMar>
              <w:top w:type="dxa" w:w="80"/>
              <w:left w:type="dxa" w:w="100"/>
              <w:bottom w:type="dxa" w:w="80"/>
              <w:right w:type="dxa" w:w="100"/>
            </w:tcMar>
          </w:tcPr>
          <w:p>
            <w:pPr>
              <w:pStyle w:val="Tabla"/>
            </w:pPr>
            <w:r>
              <w:t xml:space="preserve">epidemia</w:t>
            </w:r>
          </w:p>
        </w:tc>
        <w:tc>
          <w:tcPr>
            <w:tcW w:type="dxa" w:w="4816"/>
            <w:tcMar>
              <w:top w:type="dxa" w:w="80"/>
              <w:left w:type="dxa" w:w="100"/>
              <w:bottom w:type="dxa" w:w="80"/>
              <w:right w:type="dxa" w:w="100"/>
            </w:tcMar>
          </w:tcPr>
          <w:p>
            <w:pPr>
              <w:pStyle w:val="Tabla"/>
            </w:pPr>
            <w:r>
              <w:t xml:space="preserve">En la epidemia, la población infectada es un nivel y el contagio es su flujo de entrada. La población vulnerable depende de la frontera y las ecuaciones del modelo.</w:t>
            </w:r>
          </w:p>
        </w:tc>
      </w:tr>
      <w:tr>
        <w:trPr>
          <w:cantSplit/>
          <w:tblHeader w:val="off"/>
        </w:trPr>
        <w:tc>
          <w:tcPr>
            <w:tcW w:type="dxa" w:w="4816"/>
            <w:tcMar>
              <w:top w:type="dxa" w:w="80"/>
              <w:left w:type="dxa" w:w="100"/>
              <w:bottom w:type="dxa" w:w="80"/>
              <w:right w:type="dxa" w:w="100"/>
            </w:tcMar>
          </w:tcPr>
          <w:p>
            <w:pPr>
              <w:pStyle w:val="Tabla"/>
            </w:pPr>
            <w:r>
              <w:t xml:space="preserve">Francisco</w:t>
            </w:r>
          </w:p>
        </w:tc>
        <w:tc>
          <w:tcPr>
            <w:tcW w:type="dxa" w:w="4816"/>
            <w:tcMar>
              <w:top w:type="dxa" w:w="80"/>
              <w:left w:type="dxa" w:w="100"/>
              <w:bottom w:type="dxa" w:w="80"/>
              <w:right w:type="dxa" w:w="100"/>
            </w:tcMar>
          </w:tcPr>
          <w:p>
            <w:pPr>
              <w:pStyle w:val="Tabla"/>
            </w:pPr>
            <w:r>
              <w:t xml:space="preserve">Francisco lee cada mes la mitad de los libros disponibles; esa fracción determina el flujo de lectura.</w:t>
            </w:r>
          </w:p>
        </w:tc>
      </w:tr>
      <w:tr>
        <w:trPr>
          <w:cantSplit/>
          <w:tblHeader w:val="off"/>
        </w:trPr>
        <w:tc>
          <w:tcPr>
            <w:tcW w:type="dxa" w:w="4816"/>
            <w:tcMar>
              <w:top w:type="dxa" w:w="80"/>
              <w:left w:type="dxa" w:w="100"/>
              <w:bottom w:type="dxa" w:w="80"/>
              <w:right w:type="dxa" w:w="100"/>
            </w:tcMar>
          </w:tcPr>
          <w:p>
            <w:pPr>
              <w:pStyle w:val="Tabla"/>
            </w:pPr>
            <w:r>
              <w:t xml:space="preserve">préstamos</w:t>
            </w:r>
          </w:p>
        </w:tc>
        <w:tc>
          <w:tcPr>
            <w:tcW w:type="dxa" w:w="4816"/>
            <w:tcMar>
              <w:top w:type="dxa" w:w="80"/>
              <w:left w:type="dxa" w:w="100"/>
              <w:bottom w:type="dxa" w:w="80"/>
              <w:right w:type="dxa" w:w="100"/>
            </w:tcMar>
          </w:tcPr>
          <w:p>
            <w:pPr>
              <w:pStyle w:val="Tabla"/>
            </w:pPr>
            <w:r>
              <w:t xml:space="preserve">Referencia de estudio: Practicar los casos de epidemia, libros pendientes de Francisco, préstamos bancarios e instalación de teléfonos.</w:t>
            </w:r>
          </w:p>
        </w:tc>
      </w:tr>
      <w:tr>
        <w:trPr>
          <w:cantSplit/>
          <w:tblHeader w:val="off"/>
        </w:trPr>
        <w:tc>
          <w:tcPr>
            <w:tcW w:type="dxa" w:w="4816"/>
            <w:tcMar>
              <w:top w:type="dxa" w:w="80"/>
              <w:left w:type="dxa" w:w="100"/>
              <w:bottom w:type="dxa" w:w="80"/>
              <w:right w:type="dxa" w:w="100"/>
            </w:tcMar>
          </w:tcPr>
          <w:p>
            <w:pPr>
              <w:pStyle w:val="Tabla"/>
            </w:pPr>
            <w:r>
              <w:t xml:space="preserve">teléfonos</w:t>
            </w:r>
          </w:p>
        </w:tc>
        <w:tc>
          <w:tcPr>
            <w:tcW w:type="dxa" w:w="4816"/>
            <w:tcMar>
              <w:top w:type="dxa" w:w="80"/>
              <w:left w:type="dxa" w:w="100"/>
              <w:bottom w:type="dxa" w:w="80"/>
              <w:right w:type="dxa" w:w="100"/>
            </w:tcMar>
          </w:tcPr>
          <w:p>
            <w:pPr>
              <w:pStyle w:val="Tabla"/>
            </w:pPr>
            <w:r>
              <w:t xml:space="preserve">Teléfonos: instalaciones = tasa × casas sin teléfono; las casas con servicio crecen mientras el flujo de nuevas instalaciones disminuye.</w:t>
            </w:r>
          </w:p>
        </w:tc>
      </w:tr>
      <w:tr>
        <w:trPr>
          <w:cantSplit/>
          <w:tblHeader w:val="off"/>
        </w:trPr>
        <w:tc>
          <w:tcPr>
            <w:tcW w:type="dxa" w:w="4816"/>
            <w:tcMar>
              <w:top w:type="dxa" w:w="80"/>
              <w:left w:type="dxa" w:w="100"/>
              <w:bottom w:type="dxa" w:w="80"/>
              <w:right w:type="dxa" w:w="100"/>
            </w:tcMar>
          </w:tcPr>
          <w:p>
            <w:pPr>
              <w:pStyle w:val="Tabla"/>
            </w:pPr>
            <w:r>
              <w:t xml:space="preserve">equilibrio</w:t>
            </w:r>
          </w:p>
        </w:tc>
        <w:tc>
          <w:tcPr>
            <w:tcW w:type="dxa" w:w="4816"/>
            <w:tcMar>
              <w:top w:type="dxa" w:w="80"/>
              <w:left w:type="dxa" w:w="100"/>
              <w:bottom w:type="dxa" w:w="80"/>
              <w:right w:type="dxa" w:w="100"/>
            </w:tcMar>
          </w:tcPr>
          <w:p>
            <w:pPr>
              <w:pStyle w:val="Tabla"/>
            </w:pPr>
            <w:r>
              <w:t xml:space="preserve">La salida permanente 0.1S exige igualar ambos flujos en equilibrio.</w:t>
            </w:r>
          </w:p>
        </w:tc>
      </w:tr>
      <w:tr>
        <w:trPr>
          <w:cantSplit/>
          <w:tblHeader w:val="off"/>
        </w:trPr>
        <w:tc>
          <w:tcPr>
            <w:tcW w:type="dxa" w:w="4816"/>
            <w:tcMar>
              <w:top w:type="dxa" w:w="80"/>
              <w:left w:type="dxa" w:w="100"/>
              <w:bottom w:type="dxa" w:w="80"/>
              <w:right w:type="dxa" w:w="100"/>
            </w:tcMar>
          </w:tcPr>
          <w:p>
            <w:pPr>
              <w:pStyle w:val="Tabla"/>
            </w:pPr>
            <w:r>
              <w:t xml:space="preserve">escenario</w:t>
            </w:r>
          </w:p>
        </w:tc>
        <w:tc>
          <w:tcPr>
            <w:tcW w:type="dxa" w:w="4816"/>
            <w:tcMar>
              <w:top w:type="dxa" w:w="80"/>
              <w:left w:type="dxa" w:w="100"/>
              <w:bottom w:type="dxa" w:w="80"/>
              <w:right w:type="dxa" w:w="100"/>
            </w:tcMar>
          </w:tcPr>
          <w:p>
            <w:pPr>
              <w:pStyle w:val="Tabla"/>
            </w:pPr>
            <w:r>
              <w:t xml:space="preserve">Tres escenarios: 300 casas inicialmente sin servicio a 9 % mensual de pendientes; 300 a 4 %; 500 a 9 %. Cambian tasa o total por separado.</w:t>
            </w:r>
          </w:p>
        </w:tc>
      </w:tr>
    </w:tbl>
    <w:p>
      <w:pPr>
        <w:pStyle w:val="Fuente"/>
      </w:pPr>
      <w:r>
        <w:t xml:space="preserve">Véase </w:t>
      </w:r>
      <w:hyperlink w:history="1" w:anchor="b_4_5">
        <w:r>
          <w:rPr>
            <w:color w:val="156B70"/>
            <w:u w:val="single"/>
          </w:rPr>
          <w:t xml:space="preserve">4.5 · Ejemplos en VENSIM</w:t>
        </w:r>
      </w:hyperlink>
      <w:r>
        <w:t xml:space="preserve">, pág. </w:t>
      </w:r>
      <w:r>
        <w:fldChar w:fldCharType="begin"/>
        <w:instrText xml:space="preserve">PAGEREF b_4_5 \h</w:instrText>
        <w:fldChar w:fldCharType="separate"/>
        <w:t xml:space="preserve">830</w:t>
        <w:fldChar w:fldCharType="end"/>
      </w:r>
      <w:r>
        <w:t xml:space="preserve">.</w:t>
      </w:r>
    </w:p>
    <w:p>
      <w:pPr>
        <w:pStyle w:val="Heading3"/>
      </w:pPr>
      <w:r>
        <w:t xml:space="preserve">4.6 · Toma de decisiones</w:t>
      </w:r>
    </w:p>
    <w:tbl>
      <w:tblPr>
        <w:tblW w:type="dxa" w:w="9632"/>
        <w:tblBorders>
          <w:top w:val="single" w:color="C5D5DB" w:sz="4"/>
          <w:left w:val="single" w:color="C5D5DB" w:sz="4"/>
          <w:bottom w:val="single" w:color="C5D5DB" w:sz="4"/>
          <w:right w:val="single" w:color="C5D5DB" w:sz="4"/>
          <w:insideH w:val="single" w:color="E4E9EB" w:sz="3"/>
          <w:insideV w:val="single" w:color="E4E9EB" w:sz="3"/>
        </w:tblBorders>
        <w:tblLayout w:type="fixed"/>
      </w:tblPr>
      <w:tblGrid>
        <w:gridCol w:w="4816"/>
        <w:gridCol w:w="4816"/>
      </w:tblGrid>
      <w:tr>
        <w:trPr>
          <w:cantSplit/>
          <w:tblHeader/>
        </w:trPr>
        <w:tc>
          <w:tcPr>
            <w:tcW w:type="dxa" w:w="4816"/>
            <w:shd w:fill="DFEAF0" w:val="clear"/>
            <w:tcMar>
              <w:top w:type="dxa" w:w="80"/>
              <w:left w:type="dxa" w:w="100"/>
              <w:bottom w:type="dxa" w:w="80"/>
              <w:right w:type="dxa" w:w="100"/>
            </w:tcMar>
          </w:tcPr>
          <w:p>
            <w:pPr>
              <w:pStyle w:val="Tabla"/>
            </w:pPr>
            <w:r>
              <w:rPr>
                <w:b/>
                <w:bCs/>
              </w:rPr>
              <w:t xml:space="preserve">Vocabulario del tema</w:t>
            </w:r>
          </w:p>
        </w:tc>
        <w:tc>
          <w:tcPr>
            <w:tcW w:type="dxa" w:w="4816"/>
            <w:shd w:fill="DFEAF0" w:val="clear"/>
            <w:tcMar>
              <w:top w:type="dxa" w:w="80"/>
              <w:left w:type="dxa" w:w="100"/>
              <w:bottom w:type="dxa" w:w="80"/>
              <w:right w:type="dxa" w:w="100"/>
            </w:tcMar>
          </w:tcPr>
          <w:p>
            <w:pPr>
              <w:pStyle w:val="Tabla"/>
            </w:pPr>
            <w:r>
              <w:rPr>
                <w:b/>
                <w:bCs/>
              </w:rPr>
              <w:t xml:space="preserve">Localización y contexto</w:t>
            </w:r>
          </w:p>
        </w:tc>
      </w:tr>
      <w:tr>
        <w:trPr>
          <w:cantSplit/>
          <w:tblHeader w:val="off"/>
        </w:trPr>
        <w:tc>
          <w:tcPr>
            <w:tcW w:type="dxa" w:w="4816"/>
            <w:tcMar>
              <w:top w:type="dxa" w:w="80"/>
              <w:left w:type="dxa" w:w="100"/>
              <w:bottom w:type="dxa" w:w="80"/>
              <w:right w:type="dxa" w:w="100"/>
            </w:tcMar>
          </w:tcPr>
          <w:p>
            <w:pPr>
              <w:pStyle w:val="Tabla"/>
            </w:pPr>
            <w:r>
              <w:t xml:space="preserve">alternativas</w:t>
            </w:r>
          </w:p>
        </w:tc>
        <w:tc>
          <w:tcPr>
            <w:tcW w:type="dxa" w:w="4816"/>
            <w:tcMar>
              <w:top w:type="dxa" w:w="80"/>
              <w:left w:type="dxa" w:w="100"/>
              <w:bottom w:type="dxa" w:w="80"/>
              <w:right w:type="dxa" w:w="100"/>
            </w:tcMar>
          </w:tcPr>
          <w:p>
            <w:pPr>
              <w:pStyle w:val="Tabla"/>
            </w:pPr>
            <w:r>
              <w:t xml:space="preserve">La opción obvia, rápida o fácil no tiene por qué ser la mejor; considerar alternativas requiere revisar sus consecuencias.</w:t>
            </w:r>
          </w:p>
        </w:tc>
      </w:tr>
      <w:tr>
        <w:trPr>
          <w:cantSplit/>
          <w:tblHeader w:val="off"/>
        </w:trPr>
        <w:tc>
          <w:tcPr>
            <w:tcW w:type="dxa" w:w="4816"/>
            <w:tcMar>
              <w:top w:type="dxa" w:w="80"/>
              <w:left w:type="dxa" w:w="100"/>
              <w:bottom w:type="dxa" w:w="80"/>
              <w:right w:type="dxa" w:w="100"/>
            </w:tcMar>
          </w:tcPr>
          <w:p>
            <w:pPr>
              <w:pStyle w:val="Tabla"/>
            </w:pPr>
            <w:r>
              <w:t xml:space="preserve">apalancamiento</w:t>
            </w:r>
          </w:p>
        </w:tc>
        <w:tc>
          <w:tcPr>
            <w:tcW w:type="dxa" w:w="4816"/>
            <w:tcMar>
              <w:top w:type="dxa" w:w="80"/>
              <w:left w:type="dxa" w:w="100"/>
              <w:bottom w:type="dxa" w:w="80"/>
              <w:right w:type="dxa" w:w="100"/>
            </w:tcMar>
          </w:tcPr>
          <w:p>
            <w:pPr>
              <w:pStyle w:val="Tabla"/>
            </w:pPr>
            <w:r>
              <w:t xml:space="preserve">Apalancamiento: comprender la estructura para identificar acciones eficaces.</w:t>
            </w:r>
          </w:p>
        </w:tc>
      </w:tr>
      <w:tr>
        <w:trPr>
          <w:cantSplit/>
          <w:tblHeader w:val="off"/>
        </w:trPr>
        <w:tc>
          <w:tcPr>
            <w:tcW w:type="dxa" w:w="4816"/>
            <w:tcMar>
              <w:top w:type="dxa" w:w="80"/>
              <w:left w:type="dxa" w:w="100"/>
              <w:bottom w:type="dxa" w:w="80"/>
              <w:right w:type="dxa" w:w="100"/>
            </w:tcMar>
          </w:tcPr>
          <w:p>
            <w:pPr>
              <w:pStyle w:val="Tabla"/>
            </w:pPr>
            <w:r>
              <w:t xml:space="preserve">consecuencias</w:t>
            </w:r>
          </w:p>
        </w:tc>
        <w:tc>
          <w:tcPr>
            <w:tcW w:type="dxa" w:w="4816"/>
            <w:tcMar>
              <w:top w:type="dxa" w:w="80"/>
              <w:left w:type="dxa" w:w="100"/>
              <w:bottom w:type="dxa" w:w="80"/>
              <w:right w:type="dxa" w:w="100"/>
            </w:tcMar>
          </w:tcPr>
          <w:p>
            <w:pPr>
              <w:pStyle w:val="Tabla"/>
            </w:pPr>
            <w:r>
              <w:t xml:space="preserve">Consecuencias: anticipar resultados inmediatos, futuros e inesperados.</w:t>
            </w:r>
          </w:p>
        </w:tc>
      </w:tr>
      <w:tr>
        <w:trPr>
          <w:cantSplit/>
          <w:tblHeader w:val="off"/>
        </w:trPr>
        <w:tc>
          <w:tcPr>
            <w:tcW w:type="dxa" w:w="4816"/>
            <w:tcMar>
              <w:top w:type="dxa" w:w="80"/>
              <w:left w:type="dxa" w:w="100"/>
              <w:bottom w:type="dxa" w:w="80"/>
              <w:right w:type="dxa" w:w="100"/>
            </w:tcMar>
          </w:tcPr>
          <w:p>
            <w:pPr>
              <w:pStyle w:val="Tabla"/>
            </w:pPr>
            <w:r>
              <w:t xml:space="preserve">indicadores</w:t>
            </w:r>
          </w:p>
        </w:tc>
        <w:tc>
          <w:tcPr>
            <w:tcW w:type="dxa" w:w="4816"/>
            <w:tcMar>
              <w:top w:type="dxa" w:w="80"/>
              <w:left w:type="dxa" w:w="100"/>
              <w:bottom w:type="dxa" w:w="80"/>
              <w:right w:type="dxa" w:w="100"/>
            </w:tcMar>
          </w:tcPr>
          <w:p>
            <w:pPr>
              <w:pStyle w:val="Tabla"/>
            </w:pPr>
            <w:r>
              <w:t xml:space="preserve">Aproximación sucesiva: diseñar un plan, implementar, evaluar y mejorar. Define indicadores y puntos de referencia para decidir cuándo ajustar.</w:t>
            </w:r>
          </w:p>
        </w:tc>
      </w:tr>
      <w:tr>
        <w:trPr>
          <w:cantSplit/>
          <w:tblHeader w:val="off"/>
        </w:trPr>
        <w:tc>
          <w:tcPr>
            <w:tcW w:type="dxa" w:w="4816"/>
            <w:tcMar>
              <w:top w:type="dxa" w:w="80"/>
              <w:left w:type="dxa" w:w="100"/>
              <w:bottom w:type="dxa" w:w="80"/>
              <w:right w:type="dxa" w:w="100"/>
            </w:tcMar>
          </w:tcPr>
          <w:p>
            <w:pPr>
              <w:pStyle w:val="Tabla"/>
            </w:pPr>
            <w:r>
              <w:t xml:space="preserve">aproximación sucesiva</w:t>
            </w:r>
          </w:p>
        </w:tc>
        <w:tc>
          <w:tcPr>
            <w:tcW w:type="dxa" w:w="4816"/>
            <w:tcMar>
              <w:top w:type="dxa" w:w="80"/>
              <w:left w:type="dxa" w:w="100"/>
              <w:bottom w:type="dxa" w:w="80"/>
              <w:right w:type="dxa" w:w="100"/>
            </w:tcMar>
          </w:tcPr>
          <w:p>
            <w:pPr>
              <w:pStyle w:val="Tabla"/>
            </w:pPr>
            <w:r>
              <w:t xml:space="preserve">Aproximación sucesiva: revisar resultados y ajustar las acciones cuando haga falta.</w:t>
            </w:r>
          </w:p>
        </w:tc>
      </w:tr>
    </w:tbl>
    <w:p>
      <w:pPr>
        <w:pStyle w:val="Fuente"/>
      </w:pPr>
      <w:r>
        <w:t xml:space="preserve">Véase </w:t>
      </w:r>
      <w:hyperlink w:history="1" w:anchor="b_4_6">
        <w:r>
          <w:rPr>
            <w:color w:val="156B70"/>
            <w:u w:val="single"/>
          </w:rPr>
          <w:t xml:space="preserve">4.6 · Toma de decisiones</w:t>
        </w:r>
      </w:hyperlink>
      <w:r>
        <w:t xml:space="preserve">, pág. </w:t>
      </w:r>
      <w:r>
        <w:fldChar w:fldCharType="begin"/>
        <w:instrText xml:space="preserve">PAGEREF b_4_6 \h</w:instrText>
        <w:fldChar w:fldCharType="separate"/>
        <w:t xml:space="preserve">884</w:t>
        <w:fldChar w:fldCharType="end"/>
      </w:r>
      <w:r>
        <w:t xml:space="preserve">.</w:t>
      </w:r>
    </w:p>
    <w:p>
      <w:pPr>
        <w:pStyle w:val="Heading3"/>
      </w:pPr>
      <w:r>
        <w:t xml:space="preserve">4.7 · Hábitos (simulación)</w:t>
      </w:r>
    </w:p>
    <w:tbl>
      <w:tblPr>
        <w:tblW w:type="dxa" w:w="9632"/>
        <w:tblBorders>
          <w:top w:val="single" w:color="C5D5DB" w:sz="4"/>
          <w:left w:val="single" w:color="C5D5DB" w:sz="4"/>
          <w:bottom w:val="single" w:color="C5D5DB" w:sz="4"/>
          <w:right w:val="single" w:color="C5D5DB" w:sz="4"/>
          <w:insideH w:val="single" w:color="E4E9EB" w:sz="3"/>
          <w:insideV w:val="single" w:color="E4E9EB" w:sz="3"/>
        </w:tblBorders>
        <w:tblLayout w:type="fixed"/>
      </w:tblPr>
      <w:tblGrid>
        <w:gridCol w:w="4816"/>
        <w:gridCol w:w="4816"/>
      </w:tblGrid>
      <w:tr>
        <w:trPr>
          <w:cantSplit/>
          <w:tblHeader/>
        </w:trPr>
        <w:tc>
          <w:tcPr>
            <w:tcW w:type="dxa" w:w="4816"/>
            <w:shd w:fill="DFEAF0" w:val="clear"/>
            <w:tcMar>
              <w:top w:type="dxa" w:w="80"/>
              <w:left w:type="dxa" w:w="100"/>
              <w:bottom w:type="dxa" w:w="80"/>
              <w:right w:type="dxa" w:w="100"/>
            </w:tcMar>
          </w:tcPr>
          <w:p>
            <w:pPr>
              <w:pStyle w:val="Tabla"/>
            </w:pPr>
            <w:r>
              <w:rPr>
                <w:b/>
                <w:bCs/>
              </w:rPr>
              <w:t xml:space="preserve">Vocabulario del tema</w:t>
            </w:r>
          </w:p>
        </w:tc>
        <w:tc>
          <w:tcPr>
            <w:tcW w:type="dxa" w:w="4816"/>
            <w:shd w:fill="DFEAF0" w:val="clear"/>
            <w:tcMar>
              <w:top w:type="dxa" w:w="80"/>
              <w:left w:type="dxa" w:w="100"/>
              <w:bottom w:type="dxa" w:w="80"/>
              <w:right w:type="dxa" w:w="100"/>
            </w:tcMar>
          </w:tcPr>
          <w:p>
            <w:pPr>
              <w:pStyle w:val="Tabla"/>
            </w:pPr>
            <w:r>
              <w:rPr>
                <w:b/>
                <w:bCs/>
              </w:rPr>
              <w:t xml:space="preserve">Localización y contexto</w:t>
            </w:r>
          </w:p>
        </w:tc>
      </w:tr>
      <w:tr>
        <w:trPr>
          <w:cantSplit/>
          <w:tblHeader w:val="off"/>
        </w:trPr>
        <w:tc>
          <w:tcPr>
            <w:tcW w:type="dxa" w:w="4816"/>
            <w:tcMar>
              <w:top w:type="dxa" w:w="80"/>
              <w:left w:type="dxa" w:w="100"/>
              <w:bottom w:type="dxa" w:w="80"/>
              <w:right w:type="dxa" w:w="100"/>
            </w:tcMar>
          </w:tcPr>
          <w:p>
            <w:pPr>
              <w:pStyle w:val="Tabla"/>
            </w:pPr>
            <w:r>
              <w:t xml:space="preserve">hábitos 8, 10, 11, 12 y 14</w:t>
            </w:r>
          </w:p>
        </w:tc>
        <w:tc>
          <w:tcPr>
            <w:tcW w:type="dxa" w:w="4816"/>
            <w:tcMar>
              <w:top w:type="dxa" w:w="80"/>
              <w:left w:type="dxa" w:w="100"/>
              <w:bottom w:type="dxa" w:w="80"/>
              <w:right w:type="dxa" w:w="100"/>
            </w:tcMar>
          </w:tcPr>
          <w:p>
            <w:pPr>
              <w:pStyle w:val="Tabla"/>
            </w:pPr>
            <w:r>
              <w:t xml:space="preserve">4a destaca los hábitos 8, 10, 11, 12 y 14; 4b destaca sólo los cuatro de decisiones.</w:t>
            </w:r>
          </w:p>
        </w:tc>
      </w:tr>
      <w:tr>
        <w:trPr>
          <w:cantSplit/>
          <w:tblHeader w:val="off"/>
        </w:trPr>
        <w:tc>
          <w:tcPr>
            <w:tcW w:type="dxa" w:w="4816"/>
            <w:tcMar>
              <w:top w:type="dxa" w:w="80"/>
              <w:left w:type="dxa" w:w="100"/>
              <w:bottom w:type="dxa" w:w="80"/>
              <w:right w:type="dxa" w:w="100"/>
            </w:tcMar>
          </w:tcPr>
          <w:p>
            <w:pPr>
              <w:pStyle w:val="Tabla"/>
            </w:pPr>
            <w:r>
              <w:t xml:space="preserve">cuatro etapas</w:t>
            </w:r>
          </w:p>
        </w:tc>
        <w:tc>
          <w:tcPr>
            <w:tcW w:type="dxa" w:w="4816"/>
            <w:tcMar>
              <w:top w:type="dxa" w:w="80"/>
              <w:left w:type="dxa" w:w="100"/>
              <w:bottom w:type="dxa" w:w="80"/>
              <w:right w:type="dxa" w:w="100"/>
            </w:tcMar>
          </w:tcPr>
          <w:p>
            <w:pPr>
              <w:pStyle w:val="Tabla"/>
            </w:pPr>
            <w:r>
              <w:t xml:space="preserve">Los grupos de aprendizaje son distintos de las cuatro etapas de resolución.</w:t>
            </w:r>
          </w:p>
        </w:tc>
      </w:tr>
      <w:tr>
        <w:trPr>
          <w:cantSplit/>
          <w:tblHeader w:val="off"/>
        </w:trPr>
        <w:tc>
          <w:tcPr>
            <w:tcW w:type="dxa" w:w="4816"/>
            <w:tcMar>
              <w:top w:type="dxa" w:w="80"/>
              <w:left w:type="dxa" w:w="100"/>
              <w:bottom w:type="dxa" w:w="80"/>
              <w:right w:type="dxa" w:w="100"/>
            </w:tcMar>
          </w:tcPr>
          <w:p>
            <w:pPr>
              <w:pStyle w:val="Tabla"/>
            </w:pPr>
            <w:r>
              <w:t xml:space="preserve">resiliencia</w:t>
            </w:r>
          </w:p>
        </w:tc>
        <w:tc>
          <w:tcPr>
            <w:tcW w:type="dxa" w:w="4816"/>
            <w:tcMar>
              <w:top w:type="dxa" w:w="80"/>
              <w:left w:type="dxa" w:w="100"/>
              <w:bottom w:type="dxa" w:w="80"/>
              <w:right w:type="dxa" w:w="100"/>
            </w:tcMar>
          </w:tcPr>
          <w:p>
            <w:pPr>
              <w:pStyle w:val="Tabla"/>
            </w:pPr>
            <w:r>
              <w:t xml:space="preserve">Resiliencia se vincula con recuperar capacidad de actuar ante estrés, resistencia al cambio, frustración o resultados contrarios.</w:t>
            </w:r>
          </w:p>
        </w:tc>
      </w:tr>
      <w:tr>
        <w:trPr>
          <w:cantSplit/>
          <w:tblHeader w:val="off"/>
        </w:trPr>
        <w:tc>
          <w:tcPr>
            <w:tcW w:type="dxa" w:w="4816"/>
            <w:tcMar>
              <w:top w:type="dxa" w:w="80"/>
              <w:left w:type="dxa" w:w="100"/>
              <w:bottom w:type="dxa" w:w="80"/>
              <w:right w:type="dxa" w:w="100"/>
            </w:tcMar>
          </w:tcPr>
          <w:p>
            <w:pPr>
              <w:pStyle w:val="Tabla"/>
            </w:pPr>
            <w:r>
              <w:t xml:space="preserve">feedback</w:t>
            </w:r>
          </w:p>
        </w:tc>
        <w:tc>
          <w:tcPr>
            <w:tcW w:type="dxa" w:w="4816"/>
            <w:tcMar>
              <w:top w:type="dxa" w:w="80"/>
              <w:left w:type="dxa" w:w="100"/>
              <w:bottom w:type="dxa" w:w="80"/>
              <w:right w:type="dxa" w:w="100"/>
            </w:tcMar>
          </w:tcPr>
          <w:p>
            <w:pPr>
              <w:pStyle w:val="Tabla"/>
            </w:pPr>
            <w:r>
              <w:t xml:space="preserve">B: feedback ligado a valores permite medir avances hacia el futuro.</w:t>
            </w:r>
          </w:p>
        </w:tc>
      </w:tr>
      <w:tr>
        <w:trPr>
          <w:cantSplit/>
          <w:tblHeader w:val="off"/>
        </w:trPr>
        <w:tc>
          <w:tcPr>
            <w:tcW w:type="dxa" w:w="4816"/>
            <w:tcMar>
              <w:top w:type="dxa" w:w="80"/>
              <w:left w:type="dxa" w:w="100"/>
              <w:bottom w:type="dxa" w:w="80"/>
              <w:right w:type="dxa" w:w="100"/>
            </w:tcMar>
          </w:tcPr>
          <w:p>
            <w:pPr>
              <w:pStyle w:val="Tabla"/>
            </w:pPr>
            <w:r>
              <w:t xml:space="preserve">póster</w:t>
            </w:r>
          </w:p>
        </w:tc>
        <w:tc>
          <w:tcPr>
            <w:tcW w:type="dxa" w:w="4816"/>
            <w:tcMar>
              <w:top w:type="dxa" w:w="80"/>
              <w:left w:type="dxa" w:w="100"/>
              <w:bottom w:type="dxa" w:w="80"/>
              <w:right w:type="dxa" w:w="100"/>
            </w:tcMar>
          </w:tcPr>
          <w:p>
            <w:pPr>
              <w:pStyle w:val="Tabla"/>
            </w:pPr>
            <w:r>
              <w:t xml:space="preserve">Hábito 13 del póster: Reconocer demoras causales.</w:t>
            </w:r>
          </w:p>
        </w:tc>
      </w:tr>
    </w:tbl>
    <w:p>
      <w:pPr>
        <w:pStyle w:val="Fuente"/>
        <w:sectPr>
          <w:headerReference w:type="default" r:id="rId354"/>
          <w:headerReference w:type="first" r:id="rId355"/>
          <w:headerReference w:type="even" r:id="rId356"/>
          <w:footerReference w:type="default" r:id="rId357"/>
          <w:footerReference w:type="first" r:id="rId358"/>
          <w:footerReference w:type="even" r:id="rId359"/>
          <w:type w:val="nextPage"/>
          <w:pgSz w:w="12240" w:h="15840" w:orient="portrait"/>
          <w:pgMar w:top="1361" w:right="1134" w:bottom="1361" w:left="1474" w:header="650" w:footer="680" w:gutter="0"/>
          <w:pgNumType/>
          <w:titlePg/>
          <w:docGrid w:linePitch="360"/>
        </w:sectPr>
      </w:pPr>
      <w:r>
        <w:t xml:space="preserve">Véase </w:t>
      </w:r>
      <w:hyperlink w:history="1" w:anchor="b_4_7">
        <w:r>
          <w:rPr>
            <w:color w:val="156B70"/>
            <w:u w:val="single"/>
          </w:rPr>
          <w:t xml:space="preserve">4.7 · Hábitos (simulación)</w:t>
        </w:r>
      </w:hyperlink>
      <w:r>
        <w:t xml:space="preserve">, pág. </w:t>
      </w:r>
      <w:r>
        <w:fldChar w:fldCharType="begin"/>
        <w:instrText xml:space="preserve">PAGEREF b_4_7 \h</w:instrText>
        <w:fldChar w:fldCharType="separate"/>
        <w:t xml:space="preserve">932</w:t>
        <w:fldChar w:fldCharType="end"/>
      </w:r>
      <w:r>
        <w:t xml:space="preserve">.</w:t>
      </w:r>
    </w:p>
    <w:p>
      <w:pPr>
        <w:pStyle w:val="Heading2"/>
      </w:pPr>
      <w:bookmarkStart w:name="b_correspondencias" w:id="6882"/>
      <w:r>
        <w:t xml:space="preserve">D · Correspondencia de presentaciones</w:t>
      </w:r>
      <w:bookmarkEnd w:id="6882"/>
    </w:p>
    <w:p>
      <w:pPr>
        <w:pStyle w:val="Normal"/>
      </w:pPr>
      <w:r>
        <w:t xml:space="preserve">Abril y octubre son versiones distintas. «Misma página» corresponde a identidad de imagen; una página revisada conserva su explicación y errata. Las páginas que desaparecieron de octubre siguen siendo material de las clases.</w:t>
      </w:r>
    </w:p>
    <w:p>
      <w:pPr>
        <w:pStyle w:val="Heading3"/>
      </w:pPr>
      <w:r>
        <w:t xml:space="preserve">C-3 ↔ C-7</w:t>
      </w:r>
    </w:p>
    <w:tbl>
      <w:tblPr>
        <w:tblW w:type="dxa" w:w="9632"/>
        <w:tblBorders>
          <w:top w:val="single" w:color="C5D5DB" w:sz="4"/>
          <w:left w:val="single" w:color="C5D5DB" w:sz="4"/>
          <w:bottom w:val="single" w:color="C5D5DB" w:sz="4"/>
          <w:right w:val="single" w:color="C5D5DB" w:sz="4"/>
          <w:insideH w:val="single" w:color="E4E9EB" w:sz="3"/>
          <w:insideV w:val="single" w:color="E4E9EB" w:sz="3"/>
        </w:tblBorders>
        <w:tblLayout w:type="fixed"/>
      </w:tblPr>
      <w:tblGrid>
        <w:gridCol w:w="3212"/>
        <w:gridCol w:w="3210"/>
        <w:gridCol w:w="3210"/>
      </w:tblGrid>
      <w:tr>
        <w:trPr>
          <w:cantSplit/>
          <w:tblHeader/>
        </w:trPr>
        <w:tc>
          <w:tcPr>
            <w:tcW w:type="dxa" w:w="3212"/>
            <w:shd w:fill="DFEAF0" w:val="clear"/>
            <w:tcMar>
              <w:top w:type="dxa" w:w="80"/>
              <w:left w:type="dxa" w:w="100"/>
              <w:bottom w:type="dxa" w:w="80"/>
              <w:right w:type="dxa" w:w="100"/>
            </w:tcMar>
          </w:tcPr>
          <w:p>
            <w:pPr>
              <w:pStyle w:val="Tabla"/>
            </w:pPr>
            <w:r>
              <w:rPr>
                <w:b/>
                <w:bCs/>
              </w:rPr>
              <w:t xml:space="preserve">Abril</w:t>
            </w:r>
          </w:p>
        </w:tc>
        <w:tc>
          <w:tcPr>
            <w:tcW w:type="dxa" w:w="3210"/>
            <w:shd w:fill="DFEAF0" w:val="clear"/>
            <w:tcMar>
              <w:top w:type="dxa" w:w="80"/>
              <w:left w:type="dxa" w:w="100"/>
              <w:bottom w:type="dxa" w:w="80"/>
              <w:right w:type="dxa" w:w="100"/>
            </w:tcMar>
          </w:tcPr>
          <w:p>
            <w:pPr>
              <w:pStyle w:val="Tabla"/>
            </w:pPr>
            <w:r>
              <w:rPr>
                <w:b/>
                <w:bCs/>
              </w:rPr>
              <w:t xml:space="preserve">Octubre</w:t>
            </w:r>
          </w:p>
        </w:tc>
        <w:tc>
          <w:tcPr>
            <w:tcW w:type="dxa" w:w="3210"/>
            <w:shd w:fill="DFEAF0" w:val="clear"/>
            <w:tcMar>
              <w:top w:type="dxa" w:w="80"/>
              <w:left w:type="dxa" w:w="100"/>
              <w:bottom w:type="dxa" w:w="80"/>
              <w:right w:type="dxa" w:w="100"/>
            </w:tcMar>
          </w:tcPr>
          <w:p>
            <w:pPr>
              <w:pStyle w:val="Tabla"/>
            </w:pPr>
            <w:r>
              <w:rPr>
                <w:b/>
                <w:bCs/>
              </w:rPr>
              <w:t xml:space="preserve">Relación</w:t>
            </w:r>
          </w:p>
        </w:tc>
      </w:tr>
      <w:tr>
        <w:trPr>
          <w:cantSplit/>
          <w:tblHeader w:val="off"/>
        </w:trPr>
        <w:tc>
          <w:tcPr>
            <w:tcW w:type="dxa" w:w="3212"/>
            <w:tcMar>
              <w:top w:type="dxa" w:w="80"/>
              <w:left w:type="dxa" w:w="100"/>
              <w:bottom w:type="dxa" w:w="80"/>
              <w:right w:type="dxa" w:w="100"/>
            </w:tcMar>
          </w:tcPr>
          <w:p>
            <w:pPr>
              <w:pStyle w:val="Tabla"/>
            </w:pPr>
            <w:r>
              <w:t xml:space="preserve">C-3:1</w:t>
            </w:r>
          </w:p>
        </w:tc>
        <w:tc>
          <w:tcPr>
            <w:tcW w:type="dxa" w:w="3210"/>
            <w:tcMar>
              <w:top w:type="dxa" w:w="80"/>
              <w:left w:type="dxa" w:w="100"/>
              <w:bottom w:type="dxa" w:w="80"/>
              <w:right w:type="dxa" w:w="100"/>
            </w:tcMar>
          </w:tcPr>
          <w:p>
            <w:pPr>
              <w:pStyle w:val="Tabla"/>
            </w:pPr>
            <w:r>
              <w:t xml:space="preserve">C-7:1</w:t>
            </w:r>
          </w:p>
        </w:tc>
        <w:tc>
          <w:tcPr>
            <w:tcW w:type="dxa" w:w="3210"/>
            <w:tcMar>
              <w:top w:type="dxa" w:w="80"/>
              <w:left w:type="dxa" w:w="100"/>
              <w:bottom w:type="dxa" w:w="80"/>
              <w:right w:type="dxa" w:w="100"/>
            </w:tcMar>
          </w:tcPr>
          <w:p>
            <w:pPr>
              <w:pStyle w:val="Tabla"/>
            </w:pPr>
            <w:r>
              <w:t xml:space="preserve">identica. Identidad por SHA-256 de la página renderizada a 200 px; se conserva el contenido y cambia su posición en el PDF.</w:t>
            </w:r>
          </w:p>
        </w:tc>
      </w:tr>
      <w:tr>
        <w:trPr>
          <w:cantSplit/>
          <w:tblHeader w:val="off"/>
        </w:trPr>
        <w:tc>
          <w:tcPr>
            <w:tcW w:type="dxa" w:w="3212"/>
            <w:tcMar>
              <w:top w:type="dxa" w:w="80"/>
              <w:left w:type="dxa" w:w="100"/>
              <w:bottom w:type="dxa" w:w="80"/>
              <w:right w:type="dxa" w:w="100"/>
            </w:tcMar>
          </w:tcPr>
          <w:p>
            <w:pPr>
              <w:pStyle w:val="Tabla"/>
            </w:pPr>
            <w:r>
              <w:t xml:space="preserve">C-3:3</w:t>
            </w:r>
          </w:p>
        </w:tc>
        <w:tc>
          <w:tcPr>
            <w:tcW w:type="dxa" w:w="3210"/>
            <w:tcMar>
              <w:top w:type="dxa" w:w="80"/>
              <w:left w:type="dxa" w:w="100"/>
              <w:bottom w:type="dxa" w:w="80"/>
              <w:right w:type="dxa" w:w="100"/>
            </w:tcMar>
          </w:tcPr>
          <w:p>
            <w:pPr>
              <w:pStyle w:val="Tabla"/>
            </w:pPr>
            <w:r>
              <w:t xml:space="preserve">C-7:3</w:t>
            </w:r>
          </w:p>
        </w:tc>
        <w:tc>
          <w:tcPr>
            <w:tcW w:type="dxa" w:w="3210"/>
            <w:tcMar>
              <w:top w:type="dxa" w:w="80"/>
              <w:left w:type="dxa" w:w="100"/>
              <w:bottom w:type="dxa" w:w="80"/>
              <w:right w:type="dxa" w:w="100"/>
            </w:tcMar>
          </w:tcPr>
          <w:p>
            <w:pPr>
              <w:pStyle w:val="Tabla"/>
            </w:pPr>
            <w:r>
              <w:t xml:space="preserve">identica. Identidad por SHA-256 de la página renderizada a 200 px; se conserva el contenido y cambia su posición en el PDF.</w:t>
            </w:r>
          </w:p>
        </w:tc>
      </w:tr>
      <w:tr>
        <w:trPr>
          <w:cantSplit/>
          <w:tblHeader w:val="off"/>
        </w:trPr>
        <w:tc>
          <w:tcPr>
            <w:tcW w:type="dxa" w:w="3212"/>
            <w:tcMar>
              <w:top w:type="dxa" w:w="80"/>
              <w:left w:type="dxa" w:w="100"/>
              <w:bottom w:type="dxa" w:w="80"/>
              <w:right w:type="dxa" w:w="100"/>
            </w:tcMar>
          </w:tcPr>
          <w:p>
            <w:pPr>
              <w:pStyle w:val="Tabla"/>
            </w:pPr>
            <w:r>
              <w:t xml:space="preserve">C-3:4</w:t>
            </w:r>
          </w:p>
        </w:tc>
        <w:tc>
          <w:tcPr>
            <w:tcW w:type="dxa" w:w="3210"/>
            <w:tcMar>
              <w:top w:type="dxa" w:w="80"/>
              <w:left w:type="dxa" w:w="100"/>
              <w:bottom w:type="dxa" w:w="80"/>
              <w:right w:type="dxa" w:w="100"/>
            </w:tcMar>
          </w:tcPr>
          <w:p>
            <w:pPr>
              <w:pStyle w:val="Tabla"/>
            </w:pPr>
            <w:r>
              <w:t xml:space="preserve">C-7:4</w:t>
            </w:r>
          </w:p>
        </w:tc>
        <w:tc>
          <w:tcPr>
            <w:tcW w:type="dxa" w:w="3210"/>
            <w:tcMar>
              <w:top w:type="dxa" w:w="80"/>
              <w:left w:type="dxa" w:w="100"/>
              <w:bottom w:type="dxa" w:w="80"/>
              <w:right w:type="dxa" w:w="100"/>
            </w:tcMar>
          </w:tcPr>
          <w:p>
            <w:pPr>
              <w:pStyle w:val="Tabla"/>
            </w:pPr>
            <w:r>
              <w:t xml:space="preserve">identica. Identidad por SHA-256 de la página renderizada a 200 px; se conserva el contenido y cambia su posición en el PDF.</w:t>
            </w:r>
          </w:p>
        </w:tc>
      </w:tr>
      <w:tr>
        <w:trPr>
          <w:cantSplit/>
          <w:tblHeader w:val="off"/>
        </w:trPr>
        <w:tc>
          <w:tcPr>
            <w:tcW w:type="dxa" w:w="3212"/>
            <w:tcMar>
              <w:top w:type="dxa" w:w="80"/>
              <w:left w:type="dxa" w:w="100"/>
              <w:bottom w:type="dxa" w:w="80"/>
              <w:right w:type="dxa" w:w="100"/>
            </w:tcMar>
          </w:tcPr>
          <w:p>
            <w:pPr>
              <w:pStyle w:val="Tabla"/>
            </w:pPr>
            <w:r>
              <w:t xml:space="preserve">C-3:5, C-3:16</w:t>
            </w:r>
          </w:p>
        </w:tc>
        <w:tc>
          <w:tcPr>
            <w:tcW w:type="dxa" w:w="3210"/>
            <w:tcMar>
              <w:top w:type="dxa" w:w="80"/>
              <w:left w:type="dxa" w:w="100"/>
              <w:bottom w:type="dxa" w:w="80"/>
              <w:right w:type="dxa" w:w="100"/>
            </w:tcMar>
          </w:tcPr>
          <w:p>
            <w:pPr>
              <w:pStyle w:val="Tabla"/>
            </w:pPr>
            <w:r>
              <w:t xml:space="preserve">C-7:5</w:t>
            </w:r>
          </w:p>
        </w:tc>
        <w:tc>
          <w:tcPr>
            <w:tcW w:type="dxa" w:w="3210"/>
            <w:tcMar>
              <w:top w:type="dxa" w:w="80"/>
              <w:left w:type="dxa" w:w="100"/>
              <w:bottom w:type="dxa" w:w="80"/>
              <w:right w:type="dxa" w:w="100"/>
            </w:tcMar>
          </w:tcPr>
          <w:p>
            <w:pPr>
              <w:pStyle w:val="Tabla"/>
            </w:pPr>
            <w:r>
              <w:t xml:space="preserve">identica. Identidad por SHA-256 de la página renderizada a 200 px; se conserva el contenido y cambia su posición en el PDF.</w:t>
            </w:r>
          </w:p>
        </w:tc>
      </w:tr>
      <w:tr>
        <w:trPr>
          <w:cantSplit/>
          <w:tblHeader w:val="off"/>
        </w:trPr>
        <w:tc>
          <w:tcPr>
            <w:tcW w:type="dxa" w:w="3212"/>
            <w:tcMar>
              <w:top w:type="dxa" w:w="80"/>
              <w:left w:type="dxa" w:w="100"/>
              <w:bottom w:type="dxa" w:w="80"/>
              <w:right w:type="dxa" w:w="100"/>
            </w:tcMar>
          </w:tcPr>
          <w:p>
            <w:pPr>
              <w:pStyle w:val="Tabla"/>
            </w:pPr>
            <w:r>
              <w:t xml:space="preserve">C-3:6</w:t>
            </w:r>
          </w:p>
        </w:tc>
        <w:tc>
          <w:tcPr>
            <w:tcW w:type="dxa" w:w="3210"/>
            <w:tcMar>
              <w:top w:type="dxa" w:w="80"/>
              <w:left w:type="dxa" w:w="100"/>
              <w:bottom w:type="dxa" w:w="80"/>
              <w:right w:type="dxa" w:w="100"/>
            </w:tcMar>
          </w:tcPr>
          <w:p>
            <w:pPr>
              <w:pStyle w:val="Tabla"/>
            </w:pPr>
            <w:r>
              <w:t xml:space="preserve">C-7:6</w:t>
            </w:r>
          </w:p>
        </w:tc>
        <w:tc>
          <w:tcPr>
            <w:tcW w:type="dxa" w:w="3210"/>
            <w:tcMar>
              <w:top w:type="dxa" w:w="80"/>
              <w:left w:type="dxa" w:w="100"/>
              <w:bottom w:type="dxa" w:w="80"/>
              <w:right w:type="dxa" w:w="100"/>
            </w:tcMar>
          </w:tcPr>
          <w:p>
            <w:pPr>
              <w:pStyle w:val="Tabla"/>
            </w:pPr>
            <w:r>
              <w:t xml:space="preserve">identica. Identidad por SHA-256 de la página renderizada a 200 px; se conserva el contenido y cambia su posición en el PDF.</w:t>
            </w:r>
          </w:p>
        </w:tc>
      </w:tr>
      <w:tr>
        <w:trPr>
          <w:cantSplit/>
          <w:tblHeader w:val="off"/>
        </w:trPr>
        <w:tc>
          <w:tcPr>
            <w:tcW w:type="dxa" w:w="3212"/>
            <w:tcMar>
              <w:top w:type="dxa" w:w="80"/>
              <w:left w:type="dxa" w:w="100"/>
              <w:bottom w:type="dxa" w:w="80"/>
              <w:right w:type="dxa" w:w="100"/>
            </w:tcMar>
          </w:tcPr>
          <w:p>
            <w:pPr>
              <w:pStyle w:val="Tabla"/>
            </w:pPr>
            <w:r>
              <w:t xml:space="preserve">C-3:7</w:t>
            </w:r>
          </w:p>
        </w:tc>
        <w:tc>
          <w:tcPr>
            <w:tcW w:type="dxa" w:w="3210"/>
            <w:tcMar>
              <w:top w:type="dxa" w:w="80"/>
              <w:left w:type="dxa" w:w="100"/>
              <w:bottom w:type="dxa" w:w="80"/>
              <w:right w:type="dxa" w:w="100"/>
            </w:tcMar>
          </w:tcPr>
          <w:p>
            <w:pPr>
              <w:pStyle w:val="Tabla"/>
            </w:pPr>
            <w:r>
              <w:t xml:space="preserve">C-7:7</w:t>
            </w:r>
          </w:p>
        </w:tc>
        <w:tc>
          <w:tcPr>
            <w:tcW w:type="dxa" w:w="3210"/>
            <w:tcMar>
              <w:top w:type="dxa" w:w="80"/>
              <w:left w:type="dxa" w:w="100"/>
              <w:bottom w:type="dxa" w:w="80"/>
              <w:right w:type="dxa" w:w="100"/>
            </w:tcMar>
          </w:tcPr>
          <w:p>
            <w:pPr>
              <w:pStyle w:val="Tabla"/>
            </w:pPr>
            <w:r>
              <w:t xml:space="preserve">identica. Identidad por SHA-256 de la página renderizada a 200 px; se conserva el contenido y cambia su posición en el PDF.</w:t>
            </w:r>
          </w:p>
        </w:tc>
      </w:tr>
      <w:tr>
        <w:trPr>
          <w:cantSplit/>
          <w:tblHeader w:val="off"/>
        </w:trPr>
        <w:tc>
          <w:tcPr>
            <w:tcW w:type="dxa" w:w="3212"/>
            <w:tcMar>
              <w:top w:type="dxa" w:w="80"/>
              <w:left w:type="dxa" w:w="100"/>
              <w:bottom w:type="dxa" w:w="80"/>
              <w:right w:type="dxa" w:w="100"/>
            </w:tcMar>
          </w:tcPr>
          <w:p>
            <w:pPr>
              <w:pStyle w:val="Tabla"/>
            </w:pPr>
            <w:r>
              <w:t xml:space="preserve">C-3:8</w:t>
            </w:r>
          </w:p>
        </w:tc>
        <w:tc>
          <w:tcPr>
            <w:tcW w:type="dxa" w:w="3210"/>
            <w:tcMar>
              <w:top w:type="dxa" w:w="80"/>
              <w:left w:type="dxa" w:w="100"/>
              <w:bottom w:type="dxa" w:w="80"/>
              <w:right w:type="dxa" w:w="100"/>
            </w:tcMar>
          </w:tcPr>
          <w:p>
            <w:pPr>
              <w:pStyle w:val="Tabla"/>
            </w:pPr>
            <w:r>
              <w:t xml:space="preserve">C-7:8</w:t>
            </w:r>
          </w:p>
        </w:tc>
        <w:tc>
          <w:tcPr>
            <w:tcW w:type="dxa" w:w="3210"/>
            <w:tcMar>
              <w:top w:type="dxa" w:w="80"/>
              <w:left w:type="dxa" w:w="100"/>
              <w:bottom w:type="dxa" w:w="80"/>
              <w:right w:type="dxa" w:w="100"/>
            </w:tcMar>
          </w:tcPr>
          <w:p>
            <w:pPr>
              <w:pStyle w:val="Tabla"/>
            </w:pPr>
            <w:r>
              <w:t xml:space="preserve">identica. Identidad por SHA-256 de la página renderizada a 200 px; se conserva el contenido y cambia su posición en el PDF.</w:t>
            </w:r>
          </w:p>
        </w:tc>
      </w:tr>
      <w:tr>
        <w:trPr>
          <w:cantSplit/>
          <w:tblHeader w:val="off"/>
        </w:trPr>
        <w:tc>
          <w:tcPr>
            <w:tcW w:type="dxa" w:w="3212"/>
            <w:tcMar>
              <w:top w:type="dxa" w:w="80"/>
              <w:left w:type="dxa" w:w="100"/>
              <w:bottom w:type="dxa" w:w="80"/>
              <w:right w:type="dxa" w:w="100"/>
            </w:tcMar>
          </w:tcPr>
          <w:p>
            <w:pPr>
              <w:pStyle w:val="Tabla"/>
            </w:pPr>
            <w:r>
              <w:t xml:space="preserve">C-3:9</w:t>
            </w:r>
          </w:p>
        </w:tc>
        <w:tc>
          <w:tcPr>
            <w:tcW w:type="dxa" w:w="3210"/>
            <w:tcMar>
              <w:top w:type="dxa" w:w="80"/>
              <w:left w:type="dxa" w:w="100"/>
              <w:bottom w:type="dxa" w:w="80"/>
              <w:right w:type="dxa" w:w="100"/>
            </w:tcMar>
          </w:tcPr>
          <w:p>
            <w:pPr>
              <w:pStyle w:val="Tabla"/>
            </w:pPr>
            <w:r>
              <w:t xml:space="preserve">C-7:9</w:t>
            </w:r>
          </w:p>
        </w:tc>
        <w:tc>
          <w:tcPr>
            <w:tcW w:type="dxa" w:w="3210"/>
            <w:tcMar>
              <w:top w:type="dxa" w:w="80"/>
              <w:left w:type="dxa" w:w="100"/>
              <w:bottom w:type="dxa" w:w="80"/>
              <w:right w:type="dxa" w:w="100"/>
            </w:tcMar>
          </w:tcPr>
          <w:p>
            <w:pPr>
              <w:pStyle w:val="Tabla"/>
            </w:pPr>
            <w:r>
              <w:t xml:space="preserve">identica. Identidad por SHA-256 de la página renderizada a 200 px; se conserva el contenido y cambia su posición en el PDF.</w:t>
            </w:r>
          </w:p>
        </w:tc>
      </w:tr>
      <w:tr>
        <w:trPr>
          <w:cantSplit/>
          <w:tblHeader w:val="off"/>
        </w:trPr>
        <w:tc>
          <w:tcPr>
            <w:tcW w:type="dxa" w:w="3212"/>
            <w:tcMar>
              <w:top w:type="dxa" w:w="80"/>
              <w:left w:type="dxa" w:w="100"/>
              <w:bottom w:type="dxa" w:w="80"/>
              <w:right w:type="dxa" w:w="100"/>
            </w:tcMar>
          </w:tcPr>
          <w:p>
            <w:pPr>
              <w:pStyle w:val="Tabla"/>
            </w:pPr>
            <w:r>
              <w:t xml:space="preserve">C-3:5, C-3:16</w:t>
            </w:r>
          </w:p>
        </w:tc>
        <w:tc>
          <w:tcPr>
            <w:tcW w:type="dxa" w:w="3210"/>
            <w:tcMar>
              <w:top w:type="dxa" w:w="80"/>
              <w:left w:type="dxa" w:w="100"/>
              <w:bottom w:type="dxa" w:w="80"/>
              <w:right w:type="dxa" w:w="100"/>
            </w:tcMar>
          </w:tcPr>
          <w:p>
            <w:pPr>
              <w:pStyle w:val="Tabla"/>
            </w:pPr>
            <w:r>
              <w:t xml:space="preserve">C-7:11</w:t>
            </w:r>
          </w:p>
        </w:tc>
        <w:tc>
          <w:tcPr>
            <w:tcW w:type="dxa" w:w="3210"/>
            <w:tcMar>
              <w:top w:type="dxa" w:w="80"/>
              <w:left w:type="dxa" w:w="100"/>
              <w:bottom w:type="dxa" w:w="80"/>
              <w:right w:type="dxa" w:w="100"/>
            </w:tcMar>
          </w:tcPr>
          <w:p>
            <w:pPr>
              <w:pStyle w:val="Tabla"/>
            </w:pPr>
            <w:r>
              <w:t xml:space="preserve">identica. Identidad por SHA-256 de la página renderizada a 200 px; se conserva el contenido y cambia su posición en el PDF.</w:t>
            </w:r>
          </w:p>
        </w:tc>
      </w:tr>
      <w:tr>
        <w:trPr>
          <w:cantSplit/>
          <w:tblHeader w:val="off"/>
        </w:trPr>
        <w:tc>
          <w:tcPr>
            <w:tcW w:type="dxa" w:w="3212"/>
            <w:tcMar>
              <w:top w:type="dxa" w:w="80"/>
              <w:left w:type="dxa" w:w="100"/>
              <w:bottom w:type="dxa" w:w="80"/>
              <w:right w:type="dxa" w:w="100"/>
            </w:tcMar>
          </w:tcPr>
          <w:p>
            <w:pPr>
              <w:pStyle w:val="Tabla"/>
            </w:pPr>
            <w:r>
              <w:t xml:space="preserve">C-3:10</w:t>
            </w:r>
          </w:p>
        </w:tc>
        <w:tc>
          <w:tcPr>
            <w:tcW w:type="dxa" w:w="3210"/>
            <w:tcMar>
              <w:top w:type="dxa" w:w="80"/>
              <w:left w:type="dxa" w:w="100"/>
              <w:bottom w:type="dxa" w:w="80"/>
              <w:right w:type="dxa" w:w="100"/>
            </w:tcMar>
          </w:tcPr>
          <w:p>
            <w:pPr>
              <w:pStyle w:val="Tabla"/>
            </w:pPr>
            <w:r>
              <w:t xml:space="preserve">C-7:12</w:t>
            </w:r>
          </w:p>
        </w:tc>
        <w:tc>
          <w:tcPr>
            <w:tcW w:type="dxa" w:w="3210"/>
            <w:tcMar>
              <w:top w:type="dxa" w:w="80"/>
              <w:left w:type="dxa" w:w="100"/>
              <w:bottom w:type="dxa" w:w="80"/>
              <w:right w:type="dxa" w:w="100"/>
            </w:tcMar>
          </w:tcPr>
          <w:p>
            <w:pPr>
              <w:pStyle w:val="Tabla"/>
            </w:pPr>
            <w:r>
              <w:t xml:space="preserve">identica. Identidad por SHA-256 de la página renderizada a 200 px; se conserva el contenido y cambia su posición en el PDF.</w:t>
            </w:r>
          </w:p>
        </w:tc>
      </w:tr>
      <w:tr>
        <w:trPr>
          <w:cantSplit/>
          <w:tblHeader w:val="off"/>
        </w:trPr>
        <w:tc>
          <w:tcPr>
            <w:tcW w:type="dxa" w:w="3212"/>
            <w:tcMar>
              <w:top w:type="dxa" w:w="80"/>
              <w:left w:type="dxa" w:w="100"/>
              <w:bottom w:type="dxa" w:w="80"/>
              <w:right w:type="dxa" w:w="100"/>
            </w:tcMar>
          </w:tcPr>
          <w:p>
            <w:pPr>
              <w:pStyle w:val="Tabla"/>
            </w:pPr>
            <w:r>
              <w:t xml:space="preserve">C-3:11</w:t>
            </w:r>
          </w:p>
        </w:tc>
        <w:tc>
          <w:tcPr>
            <w:tcW w:type="dxa" w:w="3210"/>
            <w:tcMar>
              <w:top w:type="dxa" w:w="80"/>
              <w:left w:type="dxa" w:w="100"/>
              <w:bottom w:type="dxa" w:w="80"/>
              <w:right w:type="dxa" w:w="100"/>
            </w:tcMar>
          </w:tcPr>
          <w:p>
            <w:pPr>
              <w:pStyle w:val="Tabla"/>
            </w:pPr>
            <w:r>
              <w:t xml:space="preserve">C-7:13</w:t>
            </w:r>
          </w:p>
        </w:tc>
        <w:tc>
          <w:tcPr>
            <w:tcW w:type="dxa" w:w="3210"/>
            <w:tcMar>
              <w:top w:type="dxa" w:w="80"/>
              <w:left w:type="dxa" w:w="100"/>
              <w:bottom w:type="dxa" w:w="80"/>
              <w:right w:type="dxa" w:w="100"/>
            </w:tcMar>
          </w:tcPr>
          <w:p>
            <w:pPr>
              <w:pStyle w:val="Tabla"/>
            </w:pPr>
            <w:r>
              <w:t xml:space="preserve">identica. Identidad por SHA-256 de la página renderizada a 200 px; se conserva el contenido y cambia su posición en el PDF.</w:t>
            </w:r>
          </w:p>
        </w:tc>
      </w:tr>
      <w:tr>
        <w:trPr>
          <w:cantSplit/>
          <w:tblHeader w:val="off"/>
        </w:trPr>
        <w:tc>
          <w:tcPr>
            <w:tcW w:type="dxa" w:w="3212"/>
            <w:tcMar>
              <w:top w:type="dxa" w:w="80"/>
              <w:left w:type="dxa" w:w="100"/>
              <w:bottom w:type="dxa" w:w="80"/>
              <w:right w:type="dxa" w:w="100"/>
            </w:tcMar>
          </w:tcPr>
          <w:p>
            <w:pPr>
              <w:pStyle w:val="Tabla"/>
            </w:pPr>
            <w:r>
              <w:t xml:space="preserve">C-3:12</w:t>
            </w:r>
          </w:p>
        </w:tc>
        <w:tc>
          <w:tcPr>
            <w:tcW w:type="dxa" w:w="3210"/>
            <w:tcMar>
              <w:top w:type="dxa" w:w="80"/>
              <w:left w:type="dxa" w:w="100"/>
              <w:bottom w:type="dxa" w:w="80"/>
              <w:right w:type="dxa" w:w="100"/>
            </w:tcMar>
          </w:tcPr>
          <w:p>
            <w:pPr>
              <w:pStyle w:val="Tabla"/>
            </w:pPr>
            <w:r>
              <w:t xml:space="preserve">C-7:14</w:t>
            </w:r>
          </w:p>
        </w:tc>
        <w:tc>
          <w:tcPr>
            <w:tcW w:type="dxa" w:w="3210"/>
            <w:tcMar>
              <w:top w:type="dxa" w:w="80"/>
              <w:left w:type="dxa" w:w="100"/>
              <w:bottom w:type="dxa" w:w="80"/>
              <w:right w:type="dxa" w:w="100"/>
            </w:tcMar>
          </w:tcPr>
          <w:p>
            <w:pPr>
              <w:pStyle w:val="Tabla"/>
            </w:pPr>
            <w:r>
              <w:t xml:space="preserve">identica. Identidad por SHA-256 de la página renderizada a 200 px; se conserva el contenido y cambia su posición en el PDF.</w:t>
            </w:r>
          </w:p>
        </w:tc>
      </w:tr>
      <w:tr>
        <w:trPr>
          <w:cantSplit/>
          <w:tblHeader w:val="off"/>
        </w:trPr>
        <w:tc>
          <w:tcPr>
            <w:tcW w:type="dxa" w:w="3212"/>
            <w:tcMar>
              <w:top w:type="dxa" w:w="80"/>
              <w:left w:type="dxa" w:w="100"/>
              <w:bottom w:type="dxa" w:w="80"/>
              <w:right w:type="dxa" w:w="100"/>
            </w:tcMar>
          </w:tcPr>
          <w:p>
            <w:pPr>
              <w:pStyle w:val="Tabla"/>
            </w:pPr>
            <w:r>
              <w:t xml:space="preserve">C-3:17</w:t>
            </w:r>
          </w:p>
        </w:tc>
        <w:tc>
          <w:tcPr>
            <w:tcW w:type="dxa" w:w="3210"/>
            <w:tcMar>
              <w:top w:type="dxa" w:w="80"/>
              <w:left w:type="dxa" w:w="100"/>
              <w:bottom w:type="dxa" w:w="80"/>
              <w:right w:type="dxa" w:w="100"/>
            </w:tcMar>
          </w:tcPr>
          <w:p>
            <w:pPr>
              <w:pStyle w:val="Tabla"/>
            </w:pPr>
            <w:r>
              <w:t xml:space="preserve">C-7:17</w:t>
            </w:r>
          </w:p>
        </w:tc>
        <w:tc>
          <w:tcPr>
            <w:tcW w:type="dxa" w:w="3210"/>
            <w:tcMar>
              <w:top w:type="dxa" w:w="80"/>
              <w:left w:type="dxa" w:w="100"/>
              <w:bottom w:type="dxa" w:w="80"/>
              <w:right w:type="dxa" w:w="100"/>
            </w:tcMar>
          </w:tcPr>
          <w:p>
            <w:pPr>
              <w:pStyle w:val="Tabla"/>
            </w:pPr>
            <w:r>
              <w:t xml:space="preserve">identica. Identidad por SHA-256 de la página renderizada a 200 px; se conserva el contenido y cambia su posición en el PDF.</w:t>
            </w:r>
          </w:p>
        </w:tc>
      </w:tr>
      <w:tr>
        <w:trPr>
          <w:cantSplit/>
          <w:tblHeader w:val="off"/>
        </w:trPr>
        <w:tc>
          <w:tcPr>
            <w:tcW w:type="dxa" w:w="3212"/>
            <w:tcMar>
              <w:top w:type="dxa" w:w="80"/>
              <w:left w:type="dxa" w:w="100"/>
              <w:bottom w:type="dxa" w:w="80"/>
              <w:right w:type="dxa" w:w="100"/>
            </w:tcMar>
          </w:tcPr>
          <w:p>
            <w:pPr>
              <w:pStyle w:val="Tabla"/>
            </w:pPr>
            <w:r>
              <w:t xml:space="preserve">C-3:12</w:t>
            </w:r>
          </w:p>
        </w:tc>
        <w:tc>
          <w:tcPr>
            <w:tcW w:type="dxa" w:w="3210"/>
            <w:tcMar>
              <w:top w:type="dxa" w:w="80"/>
              <w:left w:type="dxa" w:w="100"/>
              <w:bottom w:type="dxa" w:w="80"/>
              <w:right w:type="dxa" w:w="100"/>
            </w:tcMar>
          </w:tcPr>
          <w:p>
            <w:pPr>
              <w:pStyle w:val="Tabla"/>
            </w:pPr>
            <w:r>
              <w:t xml:space="preserve">C-7:18</w:t>
            </w:r>
          </w:p>
        </w:tc>
        <w:tc>
          <w:tcPr>
            <w:tcW w:type="dxa" w:w="3210"/>
            <w:tcMar>
              <w:top w:type="dxa" w:w="80"/>
              <w:left w:type="dxa" w:w="100"/>
              <w:bottom w:type="dxa" w:w="80"/>
              <w:right w:type="dxa" w:w="100"/>
            </w:tcMar>
          </w:tcPr>
          <w:p>
            <w:pPr>
              <w:pStyle w:val="Tabla"/>
            </w:pPr>
            <w:r>
              <w:t xml:space="preserve">identica. Identidad por SHA-256 de la página renderizada a 200 px; se conserva el contenido y cambia su posición en el PDF.</w:t>
            </w:r>
          </w:p>
        </w:tc>
      </w:tr>
      <w:tr>
        <w:trPr>
          <w:cantSplit/>
          <w:tblHeader w:val="off"/>
        </w:trPr>
        <w:tc>
          <w:tcPr>
            <w:tcW w:type="dxa" w:w="3212"/>
            <w:tcMar>
              <w:top w:type="dxa" w:w="80"/>
              <w:left w:type="dxa" w:w="100"/>
              <w:bottom w:type="dxa" w:w="80"/>
              <w:right w:type="dxa" w:w="100"/>
            </w:tcMar>
          </w:tcPr>
          <w:p>
            <w:pPr>
              <w:pStyle w:val="Tabla"/>
            </w:pPr>
            <w:r>
              <w:t xml:space="preserve">C-3:36</w:t>
            </w:r>
          </w:p>
        </w:tc>
        <w:tc>
          <w:tcPr>
            <w:tcW w:type="dxa" w:w="3210"/>
            <w:tcMar>
              <w:top w:type="dxa" w:w="80"/>
              <w:left w:type="dxa" w:w="100"/>
              <w:bottom w:type="dxa" w:w="80"/>
              <w:right w:type="dxa" w:w="100"/>
            </w:tcMar>
          </w:tcPr>
          <w:p>
            <w:pPr>
              <w:pStyle w:val="Tabla"/>
            </w:pPr>
            <w:r>
              <w:t xml:space="preserve">C-7:22</w:t>
            </w:r>
          </w:p>
        </w:tc>
        <w:tc>
          <w:tcPr>
            <w:tcW w:type="dxa" w:w="3210"/>
            <w:tcMar>
              <w:top w:type="dxa" w:w="80"/>
              <w:left w:type="dxa" w:w="100"/>
              <w:bottom w:type="dxa" w:w="80"/>
              <w:right w:type="dxa" w:w="100"/>
            </w:tcMar>
          </w:tcPr>
          <w:p>
            <w:pPr>
              <w:pStyle w:val="Tabla"/>
            </w:pPr>
            <w:r>
              <w:t xml:space="preserve">identica. Identidad por SHA-256 de la página renderizada a 200 px; se conserva el contenido y cambia su posición en el PDF.</w:t>
            </w:r>
          </w:p>
        </w:tc>
      </w:tr>
      <w:tr>
        <w:trPr>
          <w:cantSplit/>
          <w:tblHeader w:val="off"/>
        </w:trPr>
        <w:tc>
          <w:tcPr>
            <w:tcW w:type="dxa" w:w="3212"/>
            <w:tcMar>
              <w:top w:type="dxa" w:w="80"/>
              <w:left w:type="dxa" w:w="100"/>
              <w:bottom w:type="dxa" w:w="80"/>
              <w:right w:type="dxa" w:w="100"/>
            </w:tcMar>
          </w:tcPr>
          <w:p>
            <w:pPr>
              <w:pStyle w:val="Tabla"/>
            </w:pPr>
            <w:r>
              <w:t xml:space="preserve">C-3:28, C-3:60</w:t>
            </w:r>
          </w:p>
        </w:tc>
        <w:tc>
          <w:tcPr>
            <w:tcW w:type="dxa" w:w="3210"/>
            <w:tcMar>
              <w:top w:type="dxa" w:w="80"/>
              <w:left w:type="dxa" w:w="100"/>
              <w:bottom w:type="dxa" w:w="80"/>
              <w:right w:type="dxa" w:w="100"/>
            </w:tcMar>
          </w:tcPr>
          <w:p>
            <w:pPr>
              <w:pStyle w:val="Tabla"/>
            </w:pPr>
            <w:r>
              <w:t xml:space="preserve">C-7:23</w:t>
            </w:r>
          </w:p>
        </w:tc>
        <w:tc>
          <w:tcPr>
            <w:tcW w:type="dxa" w:w="3210"/>
            <w:tcMar>
              <w:top w:type="dxa" w:w="80"/>
              <w:left w:type="dxa" w:w="100"/>
              <w:bottom w:type="dxa" w:w="80"/>
              <w:right w:type="dxa" w:w="100"/>
            </w:tcMar>
          </w:tcPr>
          <w:p>
            <w:pPr>
              <w:pStyle w:val="Tabla"/>
            </w:pPr>
            <w:r>
              <w:t xml:space="preserve">identica. Identidad por SHA-256 de la página renderizada a 200 px; se conserva el contenido y cambia su posición en el PDF.</w:t>
            </w:r>
          </w:p>
        </w:tc>
      </w:tr>
      <w:tr>
        <w:trPr>
          <w:cantSplit/>
          <w:tblHeader w:val="off"/>
        </w:trPr>
        <w:tc>
          <w:tcPr>
            <w:tcW w:type="dxa" w:w="3212"/>
            <w:tcMar>
              <w:top w:type="dxa" w:w="80"/>
              <w:left w:type="dxa" w:w="100"/>
              <w:bottom w:type="dxa" w:w="80"/>
              <w:right w:type="dxa" w:w="100"/>
            </w:tcMar>
          </w:tcPr>
          <w:p>
            <w:pPr>
              <w:pStyle w:val="Tabla"/>
            </w:pPr>
            <w:r>
              <w:t xml:space="preserve">C-3:18</w:t>
            </w:r>
          </w:p>
        </w:tc>
        <w:tc>
          <w:tcPr>
            <w:tcW w:type="dxa" w:w="3210"/>
            <w:tcMar>
              <w:top w:type="dxa" w:w="80"/>
              <w:left w:type="dxa" w:w="100"/>
              <w:bottom w:type="dxa" w:w="80"/>
              <w:right w:type="dxa" w:w="100"/>
            </w:tcMar>
          </w:tcPr>
          <w:p>
            <w:pPr>
              <w:pStyle w:val="Tabla"/>
            </w:pPr>
            <w:r>
              <w:t xml:space="preserve">C-7:24</w:t>
            </w:r>
          </w:p>
        </w:tc>
        <w:tc>
          <w:tcPr>
            <w:tcW w:type="dxa" w:w="3210"/>
            <w:tcMar>
              <w:top w:type="dxa" w:w="80"/>
              <w:left w:type="dxa" w:w="100"/>
              <w:bottom w:type="dxa" w:w="80"/>
              <w:right w:type="dxa" w:w="100"/>
            </w:tcMar>
          </w:tcPr>
          <w:p>
            <w:pPr>
              <w:pStyle w:val="Tabla"/>
            </w:pPr>
            <w:r>
              <w:t xml:space="preserve">identica. Identidad por SHA-256 de la página renderizada a 200 px; se conserva el contenido y cambia su posición en el PDF.</w:t>
            </w:r>
          </w:p>
        </w:tc>
      </w:tr>
      <w:tr>
        <w:trPr>
          <w:cantSplit/>
          <w:tblHeader w:val="off"/>
        </w:trPr>
        <w:tc>
          <w:tcPr>
            <w:tcW w:type="dxa" w:w="3212"/>
            <w:tcMar>
              <w:top w:type="dxa" w:w="80"/>
              <w:left w:type="dxa" w:w="100"/>
              <w:bottom w:type="dxa" w:w="80"/>
              <w:right w:type="dxa" w:w="100"/>
            </w:tcMar>
          </w:tcPr>
          <w:p>
            <w:pPr>
              <w:pStyle w:val="Tabla"/>
            </w:pPr>
            <w:r>
              <w:t xml:space="preserve">C-3:41</w:t>
            </w:r>
          </w:p>
        </w:tc>
        <w:tc>
          <w:tcPr>
            <w:tcW w:type="dxa" w:w="3210"/>
            <w:tcMar>
              <w:top w:type="dxa" w:w="80"/>
              <w:left w:type="dxa" w:w="100"/>
              <w:bottom w:type="dxa" w:w="80"/>
              <w:right w:type="dxa" w:w="100"/>
            </w:tcMar>
          </w:tcPr>
          <w:p>
            <w:pPr>
              <w:pStyle w:val="Tabla"/>
            </w:pPr>
            <w:r>
              <w:t xml:space="preserve">C-7:25</w:t>
            </w:r>
          </w:p>
        </w:tc>
        <w:tc>
          <w:tcPr>
            <w:tcW w:type="dxa" w:w="3210"/>
            <w:tcMar>
              <w:top w:type="dxa" w:w="80"/>
              <w:left w:type="dxa" w:w="100"/>
              <w:bottom w:type="dxa" w:w="80"/>
              <w:right w:type="dxa" w:w="100"/>
            </w:tcMar>
          </w:tcPr>
          <w:p>
            <w:pPr>
              <w:pStyle w:val="Tabla"/>
            </w:pPr>
            <w:r>
              <w:t xml:space="preserve">identica. Identidad por SHA-256 de la página renderizada a 200 px; se conserva el contenido y cambia su posición en el PDF.</w:t>
            </w:r>
          </w:p>
        </w:tc>
      </w:tr>
      <w:tr>
        <w:trPr>
          <w:cantSplit/>
          <w:tblHeader w:val="off"/>
        </w:trPr>
        <w:tc>
          <w:tcPr>
            <w:tcW w:type="dxa" w:w="3212"/>
            <w:tcMar>
              <w:top w:type="dxa" w:w="80"/>
              <w:left w:type="dxa" w:w="100"/>
              <w:bottom w:type="dxa" w:w="80"/>
              <w:right w:type="dxa" w:w="100"/>
            </w:tcMar>
          </w:tcPr>
          <w:p>
            <w:pPr>
              <w:pStyle w:val="Tabla"/>
            </w:pPr>
            <w:r>
              <w:t xml:space="preserve">C-3:42</w:t>
            </w:r>
          </w:p>
        </w:tc>
        <w:tc>
          <w:tcPr>
            <w:tcW w:type="dxa" w:w="3210"/>
            <w:tcMar>
              <w:top w:type="dxa" w:w="80"/>
              <w:left w:type="dxa" w:w="100"/>
              <w:bottom w:type="dxa" w:w="80"/>
              <w:right w:type="dxa" w:w="100"/>
            </w:tcMar>
          </w:tcPr>
          <w:p>
            <w:pPr>
              <w:pStyle w:val="Tabla"/>
            </w:pPr>
            <w:r>
              <w:t xml:space="preserve">C-7:26</w:t>
            </w:r>
          </w:p>
        </w:tc>
        <w:tc>
          <w:tcPr>
            <w:tcW w:type="dxa" w:w="3210"/>
            <w:tcMar>
              <w:top w:type="dxa" w:w="80"/>
              <w:left w:type="dxa" w:w="100"/>
              <w:bottom w:type="dxa" w:w="80"/>
              <w:right w:type="dxa" w:w="100"/>
            </w:tcMar>
          </w:tcPr>
          <w:p>
            <w:pPr>
              <w:pStyle w:val="Tabla"/>
            </w:pPr>
            <w:r>
              <w:t xml:space="preserve">identica. Identidad por SHA-256 de la página renderizada a 200 px; se conserva el contenido y cambia su posición en el PDF.</w:t>
            </w:r>
          </w:p>
        </w:tc>
      </w:tr>
      <w:tr>
        <w:trPr>
          <w:cantSplit/>
          <w:tblHeader w:val="off"/>
        </w:trPr>
        <w:tc>
          <w:tcPr>
            <w:tcW w:type="dxa" w:w="3212"/>
            <w:tcMar>
              <w:top w:type="dxa" w:w="80"/>
              <w:left w:type="dxa" w:w="100"/>
              <w:bottom w:type="dxa" w:w="80"/>
              <w:right w:type="dxa" w:w="100"/>
            </w:tcMar>
          </w:tcPr>
          <w:p>
            <w:pPr>
              <w:pStyle w:val="Tabla"/>
            </w:pPr>
            <w:r>
              <w:t xml:space="preserve">C-3:43</w:t>
            </w:r>
          </w:p>
        </w:tc>
        <w:tc>
          <w:tcPr>
            <w:tcW w:type="dxa" w:w="3210"/>
            <w:tcMar>
              <w:top w:type="dxa" w:w="80"/>
              <w:left w:type="dxa" w:w="100"/>
              <w:bottom w:type="dxa" w:w="80"/>
              <w:right w:type="dxa" w:w="100"/>
            </w:tcMar>
          </w:tcPr>
          <w:p>
            <w:pPr>
              <w:pStyle w:val="Tabla"/>
            </w:pPr>
            <w:r>
              <w:t xml:space="preserve">C-7:27</w:t>
            </w:r>
          </w:p>
        </w:tc>
        <w:tc>
          <w:tcPr>
            <w:tcW w:type="dxa" w:w="3210"/>
            <w:tcMar>
              <w:top w:type="dxa" w:w="80"/>
              <w:left w:type="dxa" w:w="100"/>
              <w:bottom w:type="dxa" w:w="80"/>
              <w:right w:type="dxa" w:w="100"/>
            </w:tcMar>
          </w:tcPr>
          <w:p>
            <w:pPr>
              <w:pStyle w:val="Tabla"/>
            </w:pPr>
            <w:r>
              <w:t xml:space="preserve">identica. Identidad por SHA-256 de la página renderizada a 200 px; se conserva el contenido y cambia su posición en el PDF.</w:t>
            </w:r>
          </w:p>
        </w:tc>
      </w:tr>
      <w:tr>
        <w:trPr>
          <w:cantSplit/>
          <w:tblHeader w:val="off"/>
        </w:trPr>
        <w:tc>
          <w:tcPr>
            <w:tcW w:type="dxa" w:w="3212"/>
            <w:tcMar>
              <w:top w:type="dxa" w:w="80"/>
              <w:left w:type="dxa" w:w="100"/>
              <w:bottom w:type="dxa" w:w="80"/>
              <w:right w:type="dxa" w:w="100"/>
            </w:tcMar>
          </w:tcPr>
          <w:p>
            <w:pPr>
              <w:pStyle w:val="Tabla"/>
            </w:pPr>
            <w:r>
              <w:t xml:space="preserve">C-3:44</w:t>
            </w:r>
          </w:p>
        </w:tc>
        <w:tc>
          <w:tcPr>
            <w:tcW w:type="dxa" w:w="3210"/>
            <w:tcMar>
              <w:top w:type="dxa" w:w="80"/>
              <w:left w:type="dxa" w:w="100"/>
              <w:bottom w:type="dxa" w:w="80"/>
              <w:right w:type="dxa" w:w="100"/>
            </w:tcMar>
          </w:tcPr>
          <w:p>
            <w:pPr>
              <w:pStyle w:val="Tabla"/>
            </w:pPr>
            <w:r>
              <w:t xml:space="preserve">C-7:28</w:t>
            </w:r>
          </w:p>
        </w:tc>
        <w:tc>
          <w:tcPr>
            <w:tcW w:type="dxa" w:w="3210"/>
            <w:tcMar>
              <w:top w:type="dxa" w:w="80"/>
              <w:left w:type="dxa" w:w="100"/>
              <w:bottom w:type="dxa" w:w="80"/>
              <w:right w:type="dxa" w:w="100"/>
            </w:tcMar>
          </w:tcPr>
          <w:p>
            <w:pPr>
              <w:pStyle w:val="Tabla"/>
            </w:pPr>
            <w:r>
              <w:t xml:space="preserve">identica. Identidad por SHA-256 de la página renderizada a 200 px; se conserva el contenido y cambia su posición en el PDF.</w:t>
            </w:r>
          </w:p>
        </w:tc>
      </w:tr>
      <w:tr>
        <w:trPr>
          <w:cantSplit/>
          <w:tblHeader w:val="off"/>
        </w:trPr>
        <w:tc>
          <w:tcPr>
            <w:tcW w:type="dxa" w:w="3212"/>
            <w:tcMar>
              <w:top w:type="dxa" w:w="80"/>
              <w:left w:type="dxa" w:w="100"/>
              <w:bottom w:type="dxa" w:w="80"/>
              <w:right w:type="dxa" w:w="100"/>
            </w:tcMar>
          </w:tcPr>
          <w:p>
            <w:pPr>
              <w:pStyle w:val="Tabla"/>
            </w:pPr>
            <w:r>
              <w:t xml:space="preserve">C-3:45</w:t>
            </w:r>
          </w:p>
        </w:tc>
        <w:tc>
          <w:tcPr>
            <w:tcW w:type="dxa" w:w="3210"/>
            <w:tcMar>
              <w:top w:type="dxa" w:w="80"/>
              <w:left w:type="dxa" w:w="100"/>
              <w:bottom w:type="dxa" w:w="80"/>
              <w:right w:type="dxa" w:w="100"/>
            </w:tcMar>
          </w:tcPr>
          <w:p>
            <w:pPr>
              <w:pStyle w:val="Tabla"/>
            </w:pPr>
            <w:r>
              <w:t xml:space="preserve">C-7:29</w:t>
            </w:r>
          </w:p>
        </w:tc>
        <w:tc>
          <w:tcPr>
            <w:tcW w:type="dxa" w:w="3210"/>
            <w:tcMar>
              <w:top w:type="dxa" w:w="80"/>
              <w:left w:type="dxa" w:w="100"/>
              <w:bottom w:type="dxa" w:w="80"/>
              <w:right w:type="dxa" w:w="100"/>
            </w:tcMar>
          </w:tcPr>
          <w:p>
            <w:pPr>
              <w:pStyle w:val="Tabla"/>
            </w:pPr>
            <w:r>
              <w:t xml:space="preserve">identica. Identidad por SHA-256 de la página renderizada a 200 px; se conserva el contenido y cambia su posición en el PDF.</w:t>
            </w:r>
          </w:p>
        </w:tc>
      </w:tr>
      <w:tr>
        <w:trPr>
          <w:cantSplit/>
          <w:tblHeader w:val="off"/>
        </w:trPr>
        <w:tc>
          <w:tcPr>
            <w:tcW w:type="dxa" w:w="3212"/>
            <w:tcMar>
              <w:top w:type="dxa" w:w="80"/>
              <w:left w:type="dxa" w:w="100"/>
              <w:bottom w:type="dxa" w:w="80"/>
              <w:right w:type="dxa" w:w="100"/>
            </w:tcMar>
          </w:tcPr>
          <w:p>
            <w:pPr>
              <w:pStyle w:val="Tabla"/>
            </w:pPr>
            <w:r>
              <w:t xml:space="preserve">C-3:46</w:t>
            </w:r>
          </w:p>
        </w:tc>
        <w:tc>
          <w:tcPr>
            <w:tcW w:type="dxa" w:w="3210"/>
            <w:tcMar>
              <w:top w:type="dxa" w:w="80"/>
              <w:left w:type="dxa" w:w="100"/>
              <w:bottom w:type="dxa" w:w="80"/>
              <w:right w:type="dxa" w:w="100"/>
            </w:tcMar>
          </w:tcPr>
          <w:p>
            <w:pPr>
              <w:pStyle w:val="Tabla"/>
            </w:pPr>
            <w:r>
              <w:t xml:space="preserve">C-7:30</w:t>
            </w:r>
          </w:p>
        </w:tc>
        <w:tc>
          <w:tcPr>
            <w:tcW w:type="dxa" w:w="3210"/>
            <w:tcMar>
              <w:top w:type="dxa" w:w="80"/>
              <w:left w:type="dxa" w:w="100"/>
              <w:bottom w:type="dxa" w:w="80"/>
              <w:right w:type="dxa" w:w="100"/>
            </w:tcMar>
          </w:tcPr>
          <w:p>
            <w:pPr>
              <w:pStyle w:val="Tabla"/>
            </w:pPr>
            <w:r>
              <w:t xml:space="preserve">identica. Identidad por SHA-256 de la página renderizada a 200 px; se conserva el contenido y cambia su posición en el PDF.</w:t>
            </w:r>
          </w:p>
        </w:tc>
      </w:tr>
      <w:tr>
        <w:trPr>
          <w:cantSplit/>
          <w:tblHeader w:val="off"/>
        </w:trPr>
        <w:tc>
          <w:tcPr>
            <w:tcW w:type="dxa" w:w="3212"/>
            <w:tcMar>
              <w:top w:type="dxa" w:w="80"/>
              <w:left w:type="dxa" w:w="100"/>
              <w:bottom w:type="dxa" w:w="80"/>
              <w:right w:type="dxa" w:w="100"/>
            </w:tcMar>
          </w:tcPr>
          <w:p>
            <w:pPr>
              <w:pStyle w:val="Tabla"/>
            </w:pPr>
            <w:r>
              <w:t xml:space="preserve">C-3:47</w:t>
            </w:r>
          </w:p>
        </w:tc>
        <w:tc>
          <w:tcPr>
            <w:tcW w:type="dxa" w:w="3210"/>
            <w:tcMar>
              <w:top w:type="dxa" w:w="80"/>
              <w:left w:type="dxa" w:w="100"/>
              <w:bottom w:type="dxa" w:w="80"/>
              <w:right w:type="dxa" w:w="100"/>
            </w:tcMar>
          </w:tcPr>
          <w:p>
            <w:pPr>
              <w:pStyle w:val="Tabla"/>
            </w:pPr>
            <w:r>
              <w:t xml:space="preserve">C-7:31</w:t>
            </w:r>
          </w:p>
        </w:tc>
        <w:tc>
          <w:tcPr>
            <w:tcW w:type="dxa" w:w="3210"/>
            <w:tcMar>
              <w:top w:type="dxa" w:w="80"/>
              <w:left w:type="dxa" w:w="100"/>
              <w:bottom w:type="dxa" w:w="80"/>
              <w:right w:type="dxa" w:w="100"/>
            </w:tcMar>
          </w:tcPr>
          <w:p>
            <w:pPr>
              <w:pStyle w:val="Tabla"/>
            </w:pPr>
            <w:r>
              <w:t xml:space="preserve">identica. Identidad por SHA-256 de la página renderizada a 200 px; se conserva el contenido y cambia su posición en el PDF.</w:t>
            </w:r>
          </w:p>
        </w:tc>
      </w:tr>
      <w:tr>
        <w:trPr>
          <w:cantSplit/>
          <w:tblHeader w:val="off"/>
        </w:trPr>
        <w:tc>
          <w:tcPr>
            <w:tcW w:type="dxa" w:w="3212"/>
            <w:tcMar>
              <w:top w:type="dxa" w:w="80"/>
              <w:left w:type="dxa" w:w="100"/>
              <w:bottom w:type="dxa" w:w="80"/>
              <w:right w:type="dxa" w:w="100"/>
            </w:tcMar>
          </w:tcPr>
          <w:p>
            <w:pPr>
              <w:pStyle w:val="Tabla"/>
            </w:pPr>
            <w:r>
              <w:t xml:space="preserve">C-3:48</w:t>
            </w:r>
          </w:p>
        </w:tc>
        <w:tc>
          <w:tcPr>
            <w:tcW w:type="dxa" w:w="3210"/>
            <w:tcMar>
              <w:top w:type="dxa" w:w="80"/>
              <w:left w:type="dxa" w:w="100"/>
              <w:bottom w:type="dxa" w:w="80"/>
              <w:right w:type="dxa" w:w="100"/>
            </w:tcMar>
          </w:tcPr>
          <w:p>
            <w:pPr>
              <w:pStyle w:val="Tabla"/>
            </w:pPr>
            <w:r>
              <w:t xml:space="preserve">C-7:32</w:t>
            </w:r>
          </w:p>
        </w:tc>
        <w:tc>
          <w:tcPr>
            <w:tcW w:type="dxa" w:w="3210"/>
            <w:tcMar>
              <w:top w:type="dxa" w:w="80"/>
              <w:left w:type="dxa" w:w="100"/>
              <w:bottom w:type="dxa" w:w="80"/>
              <w:right w:type="dxa" w:w="100"/>
            </w:tcMar>
          </w:tcPr>
          <w:p>
            <w:pPr>
              <w:pStyle w:val="Tabla"/>
            </w:pPr>
            <w:r>
              <w:t xml:space="preserve">identica. Identidad por SHA-256 de la página renderizada a 200 px; se conserva el contenido y cambia su posición en el PDF.</w:t>
            </w:r>
          </w:p>
        </w:tc>
      </w:tr>
      <w:tr>
        <w:trPr>
          <w:cantSplit/>
          <w:tblHeader w:val="off"/>
        </w:trPr>
        <w:tc>
          <w:tcPr>
            <w:tcW w:type="dxa" w:w="3212"/>
            <w:tcMar>
              <w:top w:type="dxa" w:w="80"/>
              <w:left w:type="dxa" w:w="100"/>
              <w:bottom w:type="dxa" w:w="80"/>
              <w:right w:type="dxa" w:w="100"/>
            </w:tcMar>
          </w:tcPr>
          <w:p>
            <w:pPr>
              <w:pStyle w:val="Tabla"/>
            </w:pPr>
            <w:r>
              <w:t xml:space="preserve">C-3:49</w:t>
            </w:r>
          </w:p>
        </w:tc>
        <w:tc>
          <w:tcPr>
            <w:tcW w:type="dxa" w:w="3210"/>
            <w:tcMar>
              <w:top w:type="dxa" w:w="80"/>
              <w:left w:type="dxa" w:w="100"/>
              <w:bottom w:type="dxa" w:w="80"/>
              <w:right w:type="dxa" w:w="100"/>
            </w:tcMar>
          </w:tcPr>
          <w:p>
            <w:pPr>
              <w:pStyle w:val="Tabla"/>
            </w:pPr>
            <w:r>
              <w:t xml:space="preserve">C-7:33</w:t>
            </w:r>
          </w:p>
        </w:tc>
        <w:tc>
          <w:tcPr>
            <w:tcW w:type="dxa" w:w="3210"/>
            <w:tcMar>
              <w:top w:type="dxa" w:w="80"/>
              <w:left w:type="dxa" w:w="100"/>
              <w:bottom w:type="dxa" w:w="80"/>
              <w:right w:type="dxa" w:w="100"/>
            </w:tcMar>
          </w:tcPr>
          <w:p>
            <w:pPr>
              <w:pStyle w:val="Tabla"/>
            </w:pPr>
            <w:r>
              <w:t xml:space="preserve">identica. Identidad por SHA-256 de la página renderizada a 200 px; se conserva el contenido y cambia su posición en el PDF.</w:t>
            </w:r>
          </w:p>
        </w:tc>
      </w:tr>
      <w:tr>
        <w:trPr>
          <w:cantSplit/>
          <w:tblHeader w:val="off"/>
        </w:trPr>
        <w:tc>
          <w:tcPr>
            <w:tcW w:type="dxa" w:w="3212"/>
            <w:tcMar>
              <w:top w:type="dxa" w:w="80"/>
              <w:left w:type="dxa" w:w="100"/>
              <w:bottom w:type="dxa" w:w="80"/>
              <w:right w:type="dxa" w:w="100"/>
            </w:tcMar>
          </w:tcPr>
          <w:p>
            <w:pPr>
              <w:pStyle w:val="Tabla"/>
            </w:pPr>
            <w:r>
              <w:t xml:space="preserve">C-3:50</w:t>
            </w:r>
          </w:p>
        </w:tc>
        <w:tc>
          <w:tcPr>
            <w:tcW w:type="dxa" w:w="3210"/>
            <w:tcMar>
              <w:top w:type="dxa" w:w="80"/>
              <w:left w:type="dxa" w:w="100"/>
              <w:bottom w:type="dxa" w:w="80"/>
              <w:right w:type="dxa" w:w="100"/>
            </w:tcMar>
          </w:tcPr>
          <w:p>
            <w:pPr>
              <w:pStyle w:val="Tabla"/>
            </w:pPr>
            <w:r>
              <w:t xml:space="preserve">C-7:34</w:t>
            </w:r>
          </w:p>
        </w:tc>
        <w:tc>
          <w:tcPr>
            <w:tcW w:type="dxa" w:w="3210"/>
            <w:tcMar>
              <w:top w:type="dxa" w:w="80"/>
              <w:left w:type="dxa" w:w="100"/>
              <w:bottom w:type="dxa" w:w="80"/>
              <w:right w:type="dxa" w:w="100"/>
            </w:tcMar>
          </w:tcPr>
          <w:p>
            <w:pPr>
              <w:pStyle w:val="Tabla"/>
            </w:pPr>
            <w:r>
              <w:t xml:space="preserve">identica. Identidad por SHA-256 de la página renderizada a 200 px; se conserva el contenido y cambia su posición en el PDF.</w:t>
            </w:r>
          </w:p>
        </w:tc>
      </w:tr>
      <w:tr>
        <w:trPr>
          <w:cantSplit/>
          <w:tblHeader w:val="off"/>
        </w:trPr>
        <w:tc>
          <w:tcPr>
            <w:tcW w:type="dxa" w:w="3212"/>
            <w:tcMar>
              <w:top w:type="dxa" w:w="80"/>
              <w:left w:type="dxa" w:w="100"/>
              <w:bottom w:type="dxa" w:w="80"/>
              <w:right w:type="dxa" w:w="100"/>
            </w:tcMar>
          </w:tcPr>
          <w:p>
            <w:pPr>
              <w:pStyle w:val="Tabla"/>
            </w:pPr>
            <w:r>
              <w:t xml:space="preserve">C-3:51</w:t>
            </w:r>
          </w:p>
        </w:tc>
        <w:tc>
          <w:tcPr>
            <w:tcW w:type="dxa" w:w="3210"/>
            <w:tcMar>
              <w:top w:type="dxa" w:w="80"/>
              <w:left w:type="dxa" w:w="100"/>
              <w:bottom w:type="dxa" w:w="80"/>
              <w:right w:type="dxa" w:w="100"/>
            </w:tcMar>
          </w:tcPr>
          <w:p>
            <w:pPr>
              <w:pStyle w:val="Tabla"/>
            </w:pPr>
            <w:r>
              <w:t xml:space="preserve">C-7:35</w:t>
            </w:r>
          </w:p>
        </w:tc>
        <w:tc>
          <w:tcPr>
            <w:tcW w:type="dxa" w:w="3210"/>
            <w:tcMar>
              <w:top w:type="dxa" w:w="80"/>
              <w:left w:type="dxa" w:w="100"/>
              <w:bottom w:type="dxa" w:w="80"/>
              <w:right w:type="dxa" w:w="100"/>
            </w:tcMar>
          </w:tcPr>
          <w:p>
            <w:pPr>
              <w:pStyle w:val="Tabla"/>
            </w:pPr>
            <w:r>
              <w:t xml:space="preserve">identica. Identidad por SHA-256 de la página renderizada a 200 px; se conserva el contenido y cambia su posición en el PDF.</w:t>
            </w:r>
          </w:p>
        </w:tc>
      </w:tr>
      <w:tr>
        <w:trPr>
          <w:cantSplit/>
          <w:tblHeader w:val="off"/>
        </w:trPr>
        <w:tc>
          <w:tcPr>
            <w:tcW w:type="dxa" w:w="3212"/>
            <w:tcMar>
              <w:top w:type="dxa" w:w="80"/>
              <w:left w:type="dxa" w:w="100"/>
              <w:bottom w:type="dxa" w:w="80"/>
              <w:right w:type="dxa" w:w="100"/>
            </w:tcMar>
          </w:tcPr>
          <w:p>
            <w:pPr>
              <w:pStyle w:val="Tabla"/>
            </w:pPr>
            <w:r>
              <w:t xml:space="preserve">C-3:52</w:t>
            </w:r>
          </w:p>
        </w:tc>
        <w:tc>
          <w:tcPr>
            <w:tcW w:type="dxa" w:w="3210"/>
            <w:tcMar>
              <w:top w:type="dxa" w:w="80"/>
              <w:left w:type="dxa" w:w="100"/>
              <w:bottom w:type="dxa" w:w="80"/>
              <w:right w:type="dxa" w:w="100"/>
            </w:tcMar>
          </w:tcPr>
          <w:p>
            <w:pPr>
              <w:pStyle w:val="Tabla"/>
            </w:pPr>
            <w:r>
              <w:t xml:space="preserve">C-7:36</w:t>
            </w:r>
          </w:p>
        </w:tc>
        <w:tc>
          <w:tcPr>
            <w:tcW w:type="dxa" w:w="3210"/>
            <w:tcMar>
              <w:top w:type="dxa" w:w="80"/>
              <w:left w:type="dxa" w:w="100"/>
              <w:bottom w:type="dxa" w:w="80"/>
              <w:right w:type="dxa" w:w="100"/>
            </w:tcMar>
          </w:tcPr>
          <w:p>
            <w:pPr>
              <w:pStyle w:val="Tabla"/>
            </w:pPr>
            <w:r>
              <w:t xml:space="preserve">identica. Identidad por SHA-256 de la página renderizada a 200 px; se conserva el contenido y cambia su posición en el PDF.</w:t>
            </w:r>
          </w:p>
        </w:tc>
      </w:tr>
      <w:tr>
        <w:trPr>
          <w:cantSplit/>
          <w:tblHeader w:val="off"/>
        </w:trPr>
        <w:tc>
          <w:tcPr>
            <w:tcW w:type="dxa" w:w="3212"/>
            <w:tcMar>
              <w:top w:type="dxa" w:w="80"/>
              <w:left w:type="dxa" w:w="100"/>
              <w:bottom w:type="dxa" w:w="80"/>
              <w:right w:type="dxa" w:w="100"/>
            </w:tcMar>
          </w:tcPr>
          <w:p>
            <w:pPr>
              <w:pStyle w:val="Tabla"/>
            </w:pPr>
            <w:r>
              <w:t xml:space="preserve">C-3:23, C-3:33</w:t>
            </w:r>
          </w:p>
        </w:tc>
        <w:tc>
          <w:tcPr>
            <w:tcW w:type="dxa" w:w="3210"/>
            <w:tcMar>
              <w:top w:type="dxa" w:w="80"/>
              <w:left w:type="dxa" w:w="100"/>
              <w:bottom w:type="dxa" w:w="80"/>
              <w:right w:type="dxa" w:w="100"/>
            </w:tcMar>
          </w:tcPr>
          <w:p>
            <w:pPr>
              <w:pStyle w:val="Tabla"/>
            </w:pPr>
            <w:r>
              <w:t xml:space="preserve">C-7:37</w:t>
            </w:r>
          </w:p>
        </w:tc>
        <w:tc>
          <w:tcPr>
            <w:tcW w:type="dxa" w:w="3210"/>
            <w:tcMar>
              <w:top w:type="dxa" w:w="80"/>
              <w:left w:type="dxa" w:w="100"/>
              <w:bottom w:type="dxa" w:w="80"/>
              <w:right w:type="dxa" w:w="100"/>
            </w:tcMar>
          </w:tcPr>
          <w:p>
            <w:pPr>
              <w:pStyle w:val="Tabla"/>
            </w:pPr>
            <w:r>
              <w:t xml:space="preserve">identica. Identidad por SHA-256 de la página renderizada a 200 px; se conserva el contenido y cambia su posición en el PDF.</w:t>
            </w:r>
          </w:p>
        </w:tc>
      </w:tr>
      <w:tr>
        <w:trPr>
          <w:cantSplit/>
          <w:tblHeader w:val="off"/>
        </w:trPr>
        <w:tc>
          <w:tcPr>
            <w:tcW w:type="dxa" w:w="3212"/>
            <w:tcMar>
              <w:top w:type="dxa" w:w="80"/>
              <w:left w:type="dxa" w:w="100"/>
              <w:bottom w:type="dxa" w:w="80"/>
              <w:right w:type="dxa" w:w="100"/>
            </w:tcMar>
          </w:tcPr>
          <w:p>
            <w:pPr>
              <w:pStyle w:val="Tabla"/>
            </w:pPr>
            <w:r>
              <w:t xml:space="preserve">C-3:34</w:t>
            </w:r>
          </w:p>
        </w:tc>
        <w:tc>
          <w:tcPr>
            <w:tcW w:type="dxa" w:w="3210"/>
            <w:tcMar>
              <w:top w:type="dxa" w:w="80"/>
              <w:left w:type="dxa" w:w="100"/>
              <w:bottom w:type="dxa" w:w="80"/>
              <w:right w:type="dxa" w:w="100"/>
            </w:tcMar>
          </w:tcPr>
          <w:p>
            <w:pPr>
              <w:pStyle w:val="Tabla"/>
            </w:pPr>
            <w:r>
              <w:t xml:space="preserve">C-7:38</w:t>
            </w:r>
          </w:p>
        </w:tc>
        <w:tc>
          <w:tcPr>
            <w:tcW w:type="dxa" w:w="3210"/>
            <w:tcMar>
              <w:top w:type="dxa" w:w="80"/>
              <w:left w:type="dxa" w:w="100"/>
              <w:bottom w:type="dxa" w:w="80"/>
              <w:right w:type="dxa" w:w="100"/>
            </w:tcMar>
          </w:tcPr>
          <w:p>
            <w:pPr>
              <w:pStyle w:val="Tabla"/>
            </w:pPr>
            <w:r>
              <w:t xml:space="preserve">identica. Identidad por SHA-256 de la página renderizada a 200 px; se conserva el contenido y cambia su posición en el PDF.</w:t>
            </w:r>
          </w:p>
        </w:tc>
      </w:tr>
      <w:tr>
        <w:trPr>
          <w:cantSplit/>
          <w:tblHeader w:val="off"/>
        </w:trPr>
        <w:tc>
          <w:tcPr>
            <w:tcW w:type="dxa" w:w="3212"/>
            <w:tcMar>
              <w:top w:type="dxa" w:w="80"/>
              <w:left w:type="dxa" w:w="100"/>
              <w:bottom w:type="dxa" w:w="80"/>
              <w:right w:type="dxa" w:w="100"/>
            </w:tcMar>
          </w:tcPr>
          <w:p>
            <w:pPr>
              <w:pStyle w:val="Tabla"/>
            </w:pPr>
            <w:r>
              <w:t xml:space="preserve">C-3:35</w:t>
            </w:r>
          </w:p>
        </w:tc>
        <w:tc>
          <w:tcPr>
            <w:tcW w:type="dxa" w:w="3210"/>
            <w:tcMar>
              <w:top w:type="dxa" w:w="80"/>
              <w:left w:type="dxa" w:w="100"/>
              <w:bottom w:type="dxa" w:w="80"/>
              <w:right w:type="dxa" w:w="100"/>
            </w:tcMar>
          </w:tcPr>
          <w:p>
            <w:pPr>
              <w:pStyle w:val="Tabla"/>
            </w:pPr>
            <w:r>
              <w:t xml:space="preserve">C-7:39</w:t>
            </w:r>
          </w:p>
        </w:tc>
        <w:tc>
          <w:tcPr>
            <w:tcW w:type="dxa" w:w="3210"/>
            <w:tcMar>
              <w:top w:type="dxa" w:w="80"/>
              <w:left w:type="dxa" w:w="100"/>
              <w:bottom w:type="dxa" w:w="80"/>
              <w:right w:type="dxa" w:w="100"/>
            </w:tcMar>
          </w:tcPr>
          <w:p>
            <w:pPr>
              <w:pStyle w:val="Tabla"/>
            </w:pPr>
            <w:r>
              <w:t xml:space="preserve">identica. Identidad por SHA-256 de la página renderizada a 200 px; se conserva el contenido y cambia su posición en el PDF.</w:t>
            </w:r>
          </w:p>
        </w:tc>
      </w:tr>
      <w:tr>
        <w:trPr>
          <w:cantSplit/>
          <w:tblHeader w:val="off"/>
        </w:trPr>
        <w:tc>
          <w:tcPr>
            <w:tcW w:type="dxa" w:w="3212"/>
            <w:tcMar>
              <w:top w:type="dxa" w:w="80"/>
              <w:left w:type="dxa" w:w="100"/>
              <w:bottom w:type="dxa" w:w="80"/>
              <w:right w:type="dxa" w:w="100"/>
            </w:tcMar>
          </w:tcPr>
          <w:p>
            <w:pPr>
              <w:pStyle w:val="Tabla"/>
            </w:pPr>
            <w:r>
              <w:t xml:space="preserve">C-3:2, C-3:15</w:t>
            </w:r>
          </w:p>
        </w:tc>
        <w:tc>
          <w:tcPr>
            <w:tcW w:type="dxa" w:w="3210"/>
            <w:tcMar>
              <w:top w:type="dxa" w:w="80"/>
              <w:left w:type="dxa" w:w="100"/>
              <w:bottom w:type="dxa" w:w="80"/>
              <w:right w:type="dxa" w:w="100"/>
            </w:tcMar>
          </w:tcPr>
          <w:p>
            <w:pPr>
              <w:pStyle w:val="Tabla"/>
            </w:pPr>
            <w:r>
              <w:t xml:space="preserve">C-7:2</w:t>
            </w:r>
          </w:p>
        </w:tc>
        <w:tc>
          <w:tcPr>
            <w:tcW w:type="dxa" w:w="3210"/>
            <w:tcMar>
              <w:top w:type="dxa" w:w="80"/>
              <w:left w:type="dxa" w:w="100"/>
              <w:bottom w:type="dxa" w:w="80"/>
              <w:right w:type="dxa" w:w="100"/>
            </w:tcMar>
          </w:tcPr>
          <w:p>
            <w:pPr>
              <w:pStyle w:val="Tabla"/>
            </w:pPr>
            <w:r>
              <w:t xml:space="preserve">revisada. Actualiza el calendario de marzo/abril al semestre de septiembre/octubre y final de noviembre; el temario se conserva.</w:t>
            </w:r>
          </w:p>
        </w:tc>
      </w:tr>
      <w:tr>
        <w:trPr>
          <w:cantSplit/>
          <w:tblHeader w:val="off"/>
        </w:trPr>
        <w:tc>
          <w:tcPr>
            <w:tcW w:type="dxa" w:w="3212"/>
            <w:tcMar>
              <w:top w:type="dxa" w:w="80"/>
              <w:left w:type="dxa" w:w="100"/>
              <w:bottom w:type="dxa" w:w="80"/>
              <w:right w:type="dxa" w:w="100"/>
            </w:tcMar>
          </w:tcPr>
          <w:p>
            <w:pPr>
              <w:pStyle w:val="Tabla"/>
            </w:pPr>
            <w:r>
              <w:t xml:space="preserve">C-3:4</w:t>
            </w:r>
          </w:p>
        </w:tc>
        <w:tc>
          <w:tcPr>
            <w:tcW w:type="dxa" w:w="3210"/>
            <w:tcMar>
              <w:top w:type="dxa" w:w="80"/>
              <w:left w:type="dxa" w:w="100"/>
              <w:bottom w:type="dxa" w:w="80"/>
              <w:right w:type="dxa" w:w="100"/>
            </w:tcMar>
          </w:tcPr>
          <w:p>
            <w:pPr>
              <w:pStyle w:val="Tabla"/>
            </w:pPr>
            <w:r>
              <w:t xml:space="preserve">C-7:10</w:t>
            </w:r>
          </w:p>
        </w:tc>
        <w:tc>
          <w:tcPr>
            <w:tcW w:type="dxa" w:w="3210"/>
            <w:tcMar>
              <w:top w:type="dxa" w:w="80"/>
              <w:left w:type="dxa" w:w="100"/>
              <w:bottom w:type="dxa" w:w="80"/>
              <w:right w:type="dxa" w:w="100"/>
            </w:tcMar>
          </w:tcPr>
          <w:p>
            <w:pPr>
              <w:pStyle w:val="Tabla"/>
            </w:pPr>
            <w:r>
              <w:t xml:space="preserve">revisada. Extrae como tarjetas los cinco hábitos que el póster destacaba para simulación y decisiones.</w:t>
            </w:r>
          </w:p>
        </w:tc>
      </w:tr>
      <w:tr>
        <w:trPr>
          <w:cantSplit/>
          <w:tblHeader w:val="off"/>
        </w:trPr>
        <w:tc>
          <w:tcPr>
            <w:tcW w:type="dxa" w:w="3212"/>
            <w:tcMar>
              <w:top w:type="dxa" w:w="80"/>
              <w:left w:type="dxa" w:w="100"/>
              <w:bottom w:type="dxa" w:w="80"/>
              <w:right w:type="dxa" w:w="100"/>
            </w:tcMar>
          </w:tcPr>
          <w:p>
            <w:pPr>
              <w:pStyle w:val="Tabla"/>
            </w:pPr>
            <w:r>
              <w:t xml:space="preserve">C-3:13</w:t>
            </w:r>
          </w:p>
        </w:tc>
        <w:tc>
          <w:tcPr>
            <w:tcW w:type="dxa" w:w="3210"/>
            <w:tcMar>
              <w:top w:type="dxa" w:w="80"/>
              <w:left w:type="dxa" w:w="100"/>
              <w:bottom w:type="dxa" w:w="80"/>
              <w:right w:type="dxa" w:w="100"/>
            </w:tcMar>
          </w:tcPr>
          <w:p>
            <w:pPr>
              <w:pStyle w:val="Tabla"/>
            </w:pPr>
            <w:r>
              <w:t xml:space="preserve">C-7:15</w:t>
            </w:r>
          </w:p>
        </w:tc>
        <w:tc>
          <w:tcPr>
            <w:tcW w:type="dxa" w:w="3210"/>
            <w:tcMar>
              <w:top w:type="dxa" w:w="80"/>
              <w:left w:type="dxa" w:w="100"/>
              <w:bottom w:type="dxa" w:w="80"/>
              <w:right w:type="dxa" w:w="100"/>
            </w:tcMar>
          </w:tcPr>
          <w:p>
            <w:pPr>
              <w:pStyle w:val="Tabla"/>
            </w:pPr>
            <w:r>
              <w:t xml:space="preserve">revisada. Separa la tabla de ecuaciones y añade las dos vías de obtener parámetros: especialistas oajuste histórico. IntercambiaPT/PV en una frase.</w:t>
            </w:r>
          </w:p>
        </w:tc>
      </w:tr>
      <w:tr>
        <w:trPr>
          <w:cantSplit/>
          <w:tblHeader w:val="off"/>
        </w:trPr>
        <w:tc>
          <w:tcPr>
            <w:tcW w:type="dxa" w:w="3212"/>
            <w:tcMar>
              <w:top w:type="dxa" w:w="80"/>
              <w:left w:type="dxa" w:w="100"/>
              <w:bottom w:type="dxa" w:w="80"/>
              <w:right w:type="dxa" w:w="100"/>
            </w:tcMar>
          </w:tcPr>
          <w:p>
            <w:pPr>
              <w:pStyle w:val="Tabla"/>
            </w:pPr>
            <w:r>
              <w:t xml:space="preserve">C-3:13</w:t>
            </w:r>
          </w:p>
        </w:tc>
        <w:tc>
          <w:tcPr>
            <w:tcW w:type="dxa" w:w="3210"/>
            <w:tcMar>
              <w:top w:type="dxa" w:w="80"/>
              <w:left w:type="dxa" w:w="100"/>
              <w:bottom w:type="dxa" w:w="80"/>
              <w:right w:type="dxa" w:w="100"/>
            </w:tcMar>
          </w:tcPr>
          <w:p>
            <w:pPr>
              <w:pStyle w:val="Tabla"/>
            </w:pPr>
            <w:r>
              <w:t xml:space="preserve">C-7:16, C-7:19</w:t>
            </w:r>
          </w:p>
        </w:tc>
        <w:tc>
          <w:tcPr>
            <w:tcW w:type="dxa" w:w="3210"/>
            <w:tcMar>
              <w:top w:type="dxa" w:w="80"/>
              <w:left w:type="dxa" w:w="100"/>
              <w:bottom w:type="dxa" w:w="80"/>
              <w:right w:type="dxa" w:w="100"/>
            </w:tcMar>
          </w:tcPr>
          <w:p>
            <w:pPr>
              <w:pStyle w:val="Tabla"/>
            </w:pPr>
            <w:r>
              <w:t xml:space="preserve">revisada. Retira la tabla anterior y repite listadoDYNAMO y curva; se conservan tcn/tnc y PS/PA.</w:t>
            </w:r>
          </w:p>
        </w:tc>
      </w:tr>
      <w:tr>
        <w:trPr>
          <w:cantSplit/>
          <w:tblHeader w:val="off"/>
        </w:trPr>
        <w:tc>
          <w:tcPr>
            <w:tcW w:type="dxa" w:w="3212"/>
            <w:tcMar>
              <w:top w:type="dxa" w:w="80"/>
              <w:left w:type="dxa" w:w="100"/>
              <w:bottom w:type="dxa" w:w="80"/>
              <w:right w:type="dxa" w:w="100"/>
            </w:tcMar>
          </w:tcPr>
          <w:p>
            <w:pPr>
              <w:pStyle w:val="Tabla"/>
            </w:pPr>
            <w:r>
              <w:t xml:space="preserve">—</w:t>
            </w:r>
          </w:p>
        </w:tc>
        <w:tc>
          <w:tcPr>
            <w:tcW w:type="dxa" w:w="3210"/>
            <w:tcMar>
              <w:top w:type="dxa" w:w="80"/>
              <w:left w:type="dxa" w:w="100"/>
              <w:bottom w:type="dxa" w:w="80"/>
              <w:right w:type="dxa" w:w="100"/>
            </w:tcMar>
          </w:tcPr>
          <w:p>
            <w:pPr>
              <w:pStyle w:val="Tabla"/>
            </w:pPr>
            <w:r>
              <w:t xml:space="preserve">C-7:20, C-7:21</w:t>
            </w:r>
          </w:p>
        </w:tc>
        <w:tc>
          <w:tcPr>
            <w:tcW w:type="dxa" w:w="3210"/>
            <w:tcMar>
              <w:top w:type="dxa" w:w="80"/>
              <w:left w:type="dxa" w:w="100"/>
              <w:bottom w:type="dxa" w:w="80"/>
              <w:right w:type="dxa" w:w="100"/>
            </w:tcMar>
          </w:tcPr>
          <w:p>
            <w:pPr>
              <w:pStyle w:val="Tabla"/>
            </w:pPr>
            <w:r>
              <w:t xml:space="preserve">solo-octubre. Añade el caso deFrancisco y suDCC; se desarrolló en clase 20 y no estaba en 4a de abril.</w:t>
            </w:r>
          </w:p>
        </w:tc>
      </w:tr>
      <w:tr>
        <w:trPr>
          <w:cantSplit/>
          <w:tblHeader w:val="off"/>
        </w:trPr>
        <w:tc>
          <w:tcPr>
            <w:tcW w:type="dxa" w:w="3212"/>
            <w:tcMar>
              <w:top w:type="dxa" w:w="80"/>
              <w:left w:type="dxa" w:w="100"/>
              <w:bottom w:type="dxa" w:w="80"/>
              <w:right w:type="dxa" w:w="100"/>
            </w:tcMar>
          </w:tcPr>
          <w:p>
            <w:pPr>
              <w:pStyle w:val="Tabla"/>
            </w:pPr>
            <w:r>
              <w:t xml:space="preserve">C-3:37</w:t>
            </w:r>
          </w:p>
        </w:tc>
        <w:tc>
          <w:tcPr>
            <w:tcW w:type="dxa" w:w="3210"/>
            <w:tcMar>
              <w:top w:type="dxa" w:w="80"/>
              <w:left w:type="dxa" w:w="100"/>
              <w:bottom w:type="dxa" w:w="80"/>
              <w:right w:type="dxa" w:w="100"/>
            </w:tcMar>
          </w:tcPr>
          <w:p>
            <w:pPr>
              <w:pStyle w:val="Tabla"/>
            </w:pPr>
            <w:r>
              <w:t xml:space="preserve">C-7:40</w:t>
            </w:r>
          </w:p>
        </w:tc>
        <w:tc>
          <w:tcPr>
            <w:tcW w:type="dxa" w:w="3210"/>
            <w:tcMar>
              <w:top w:type="dxa" w:w="80"/>
              <w:left w:type="dxa" w:w="100"/>
              <w:bottom w:type="dxa" w:w="80"/>
              <w:right w:type="dxa" w:w="100"/>
            </w:tcMar>
          </w:tcPr>
          <w:p>
            <w:pPr>
              <w:pStyle w:val="Tabla"/>
            </w:pPr>
            <w:r>
              <w:t xml:space="preserve">revisada. Misma historia deteléfonos; ahora pide simulación en Vensim y se rotulaejercicio 3.</w:t>
            </w:r>
          </w:p>
        </w:tc>
      </w:tr>
      <w:tr>
        <w:trPr>
          <w:cantSplit/>
          <w:tblHeader w:val="off"/>
        </w:trPr>
        <w:tc>
          <w:tcPr>
            <w:tcW w:type="dxa" w:w="3212"/>
            <w:tcMar>
              <w:top w:type="dxa" w:w="80"/>
              <w:left w:type="dxa" w:w="100"/>
              <w:bottom w:type="dxa" w:w="80"/>
              <w:right w:type="dxa" w:w="100"/>
            </w:tcMar>
          </w:tcPr>
          <w:p>
            <w:pPr>
              <w:pStyle w:val="Tabla"/>
            </w:pPr>
            <w:r>
              <w:t xml:space="preserve">C-3:38</w:t>
            </w:r>
          </w:p>
        </w:tc>
        <w:tc>
          <w:tcPr>
            <w:tcW w:type="dxa" w:w="3210"/>
            <w:tcMar>
              <w:top w:type="dxa" w:w="80"/>
              <w:left w:type="dxa" w:w="100"/>
              <w:bottom w:type="dxa" w:w="80"/>
              <w:right w:type="dxa" w:w="100"/>
            </w:tcMar>
          </w:tcPr>
          <w:p>
            <w:pPr>
              <w:pStyle w:val="Tabla"/>
            </w:pPr>
            <w:r>
              <w:t xml:space="preserve">C-8:49</w:t>
            </w:r>
          </w:p>
        </w:tc>
        <w:tc>
          <w:tcPr>
            <w:tcW w:type="dxa" w:w="3210"/>
            <w:tcMar>
              <w:top w:type="dxa" w:w="80"/>
              <w:left w:type="dxa" w:w="100"/>
              <w:bottom w:type="dxa" w:w="80"/>
              <w:right w:type="dxa" w:w="100"/>
            </w:tcMar>
          </w:tcPr>
          <w:p>
            <w:pPr>
              <w:pStyle w:val="Tabla"/>
            </w:pPr>
            <w:r>
              <w:t xml:space="preserve">trasladada. Migra de 4a de abril a4b de octubre. Identidad comprobada por sha 256 deimagen a200 px.</w:t>
            </w:r>
          </w:p>
        </w:tc>
      </w:tr>
      <w:tr>
        <w:trPr>
          <w:cantSplit/>
          <w:tblHeader w:val="off"/>
        </w:trPr>
        <w:tc>
          <w:tcPr>
            <w:tcW w:type="dxa" w:w="3212"/>
            <w:tcMar>
              <w:top w:type="dxa" w:w="80"/>
              <w:left w:type="dxa" w:w="100"/>
              <w:bottom w:type="dxa" w:w="80"/>
              <w:right w:type="dxa" w:w="100"/>
            </w:tcMar>
          </w:tcPr>
          <w:p>
            <w:pPr>
              <w:pStyle w:val="Tabla"/>
            </w:pPr>
            <w:r>
              <w:t xml:space="preserve">C-3:39</w:t>
            </w:r>
          </w:p>
        </w:tc>
        <w:tc>
          <w:tcPr>
            <w:tcW w:type="dxa" w:w="3210"/>
            <w:tcMar>
              <w:top w:type="dxa" w:w="80"/>
              <w:left w:type="dxa" w:w="100"/>
              <w:bottom w:type="dxa" w:w="80"/>
              <w:right w:type="dxa" w:w="100"/>
            </w:tcMar>
          </w:tcPr>
          <w:p>
            <w:pPr>
              <w:pStyle w:val="Tabla"/>
            </w:pPr>
            <w:r>
              <w:t xml:space="preserve">C-8:50</w:t>
            </w:r>
          </w:p>
        </w:tc>
        <w:tc>
          <w:tcPr>
            <w:tcW w:type="dxa" w:w="3210"/>
            <w:tcMar>
              <w:top w:type="dxa" w:w="80"/>
              <w:left w:type="dxa" w:w="100"/>
              <w:bottom w:type="dxa" w:w="80"/>
              <w:right w:type="dxa" w:w="100"/>
            </w:tcMar>
          </w:tcPr>
          <w:p>
            <w:pPr>
              <w:pStyle w:val="Tabla"/>
            </w:pPr>
            <w:r>
              <w:t xml:space="preserve">trasladada. Migra de 4a de abril a4b de octubre. Identidad comprobada por sha 256 deimagen a200 px.</w:t>
            </w:r>
          </w:p>
        </w:tc>
      </w:tr>
      <w:tr>
        <w:trPr>
          <w:cantSplit/>
          <w:tblHeader w:val="off"/>
        </w:trPr>
        <w:tc>
          <w:tcPr>
            <w:tcW w:type="dxa" w:w="3212"/>
            <w:tcMar>
              <w:top w:type="dxa" w:w="80"/>
              <w:left w:type="dxa" w:w="100"/>
              <w:bottom w:type="dxa" w:w="80"/>
              <w:right w:type="dxa" w:w="100"/>
            </w:tcMar>
          </w:tcPr>
          <w:p>
            <w:pPr>
              <w:pStyle w:val="Tabla"/>
            </w:pPr>
            <w:r>
              <w:t xml:space="preserve">C-3:40</w:t>
            </w:r>
          </w:p>
        </w:tc>
        <w:tc>
          <w:tcPr>
            <w:tcW w:type="dxa" w:w="3210"/>
            <w:tcMar>
              <w:top w:type="dxa" w:w="80"/>
              <w:left w:type="dxa" w:w="100"/>
              <w:bottom w:type="dxa" w:w="80"/>
              <w:right w:type="dxa" w:w="100"/>
            </w:tcMar>
          </w:tcPr>
          <w:p>
            <w:pPr>
              <w:pStyle w:val="Tabla"/>
            </w:pPr>
            <w:r>
              <w:t xml:space="preserve">C-8:51</w:t>
            </w:r>
          </w:p>
        </w:tc>
        <w:tc>
          <w:tcPr>
            <w:tcW w:type="dxa" w:w="3210"/>
            <w:tcMar>
              <w:top w:type="dxa" w:w="80"/>
              <w:left w:type="dxa" w:w="100"/>
              <w:bottom w:type="dxa" w:w="80"/>
              <w:right w:type="dxa" w:w="100"/>
            </w:tcMar>
          </w:tcPr>
          <w:p>
            <w:pPr>
              <w:pStyle w:val="Tabla"/>
            </w:pPr>
            <w:r>
              <w:t xml:space="preserve">trasladada. Migra de 4a de abril a4b de octubre. Identidad comprobada por sha 256 deimagen a200 px.</w:t>
            </w:r>
          </w:p>
        </w:tc>
      </w:tr>
      <w:tr>
        <w:trPr>
          <w:cantSplit/>
          <w:tblHeader w:val="off"/>
        </w:trPr>
        <w:tc>
          <w:tcPr>
            <w:tcW w:type="dxa" w:w="3212"/>
            <w:tcMar>
              <w:top w:type="dxa" w:w="80"/>
              <w:left w:type="dxa" w:w="100"/>
              <w:bottom w:type="dxa" w:w="80"/>
              <w:right w:type="dxa" w:w="100"/>
            </w:tcMar>
          </w:tcPr>
          <w:p>
            <w:pPr>
              <w:pStyle w:val="Tabla"/>
            </w:pPr>
            <w:r>
              <w:t xml:space="preserve">C-3:57</w:t>
            </w:r>
          </w:p>
        </w:tc>
        <w:tc>
          <w:tcPr>
            <w:tcW w:type="dxa" w:w="3210"/>
            <w:tcMar>
              <w:top w:type="dxa" w:w="80"/>
              <w:left w:type="dxa" w:w="100"/>
              <w:bottom w:type="dxa" w:w="80"/>
              <w:right w:type="dxa" w:w="100"/>
            </w:tcMar>
          </w:tcPr>
          <w:p>
            <w:pPr>
              <w:pStyle w:val="Tabla"/>
            </w:pPr>
            <w:r>
              <w:t xml:space="preserve">C-8:52</w:t>
            </w:r>
          </w:p>
        </w:tc>
        <w:tc>
          <w:tcPr>
            <w:tcW w:type="dxa" w:w="3210"/>
            <w:tcMar>
              <w:top w:type="dxa" w:w="80"/>
              <w:left w:type="dxa" w:w="100"/>
              <w:bottom w:type="dxa" w:w="80"/>
              <w:right w:type="dxa" w:w="100"/>
            </w:tcMar>
          </w:tcPr>
          <w:p>
            <w:pPr>
              <w:pStyle w:val="Tabla"/>
            </w:pPr>
            <w:r>
              <w:t xml:space="preserve">trasladada. Migra de 4a de abril a4b de octubre. Identidad comprobada por sha 256 deimagen a200 px.</w:t>
            </w:r>
          </w:p>
        </w:tc>
      </w:tr>
      <w:tr>
        <w:trPr>
          <w:cantSplit/>
          <w:tblHeader w:val="off"/>
        </w:trPr>
        <w:tc>
          <w:tcPr>
            <w:tcW w:type="dxa" w:w="3212"/>
            <w:tcMar>
              <w:top w:type="dxa" w:w="80"/>
              <w:left w:type="dxa" w:w="100"/>
              <w:bottom w:type="dxa" w:w="80"/>
              <w:right w:type="dxa" w:w="100"/>
            </w:tcMar>
          </w:tcPr>
          <w:p>
            <w:pPr>
              <w:pStyle w:val="Tabla"/>
            </w:pPr>
            <w:r>
              <w:t xml:space="preserve">C-3:58</w:t>
            </w:r>
          </w:p>
        </w:tc>
        <w:tc>
          <w:tcPr>
            <w:tcW w:type="dxa" w:w="3210"/>
            <w:tcMar>
              <w:top w:type="dxa" w:w="80"/>
              <w:left w:type="dxa" w:w="100"/>
              <w:bottom w:type="dxa" w:w="80"/>
              <w:right w:type="dxa" w:w="100"/>
            </w:tcMar>
          </w:tcPr>
          <w:p>
            <w:pPr>
              <w:pStyle w:val="Tabla"/>
            </w:pPr>
            <w:r>
              <w:t xml:space="preserve">C-8:53</w:t>
            </w:r>
          </w:p>
        </w:tc>
        <w:tc>
          <w:tcPr>
            <w:tcW w:type="dxa" w:w="3210"/>
            <w:tcMar>
              <w:top w:type="dxa" w:w="80"/>
              <w:left w:type="dxa" w:w="100"/>
              <w:bottom w:type="dxa" w:w="80"/>
              <w:right w:type="dxa" w:w="100"/>
            </w:tcMar>
          </w:tcPr>
          <w:p>
            <w:pPr>
              <w:pStyle w:val="Tabla"/>
            </w:pPr>
            <w:r>
              <w:t xml:space="preserve">trasladada. Migra de 4a de abril a4b de octubre. Identidad comprobada por sha 256 deimagen a200 px.</w:t>
            </w:r>
          </w:p>
        </w:tc>
      </w:tr>
      <w:tr>
        <w:trPr>
          <w:cantSplit/>
          <w:tblHeader w:val="off"/>
        </w:trPr>
        <w:tc>
          <w:tcPr>
            <w:tcW w:type="dxa" w:w="3212"/>
            <w:tcMar>
              <w:top w:type="dxa" w:w="80"/>
              <w:left w:type="dxa" w:w="100"/>
              <w:bottom w:type="dxa" w:w="80"/>
              <w:right w:type="dxa" w:w="100"/>
            </w:tcMar>
          </w:tcPr>
          <w:p>
            <w:pPr>
              <w:pStyle w:val="Tabla"/>
            </w:pPr>
            <w:r>
              <w:t xml:space="preserve">C-3:59</w:t>
            </w:r>
          </w:p>
        </w:tc>
        <w:tc>
          <w:tcPr>
            <w:tcW w:type="dxa" w:w="3210"/>
            <w:tcMar>
              <w:top w:type="dxa" w:w="80"/>
              <w:left w:type="dxa" w:w="100"/>
              <w:bottom w:type="dxa" w:w="80"/>
              <w:right w:type="dxa" w:w="100"/>
            </w:tcMar>
          </w:tcPr>
          <w:p>
            <w:pPr>
              <w:pStyle w:val="Tabla"/>
            </w:pPr>
            <w:r>
              <w:t xml:space="preserve">C-8:54</w:t>
            </w:r>
          </w:p>
        </w:tc>
        <w:tc>
          <w:tcPr>
            <w:tcW w:type="dxa" w:w="3210"/>
            <w:tcMar>
              <w:top w:type="dxa" w:w="80"/>
              <w:left w:type="dxa" w:w="100"/>
              <w:bottom w:type="dxa" w:w="80"/>
              <w:right w:type="dxa" w:w="100"/>
            </w:tcMar>
          </w:tcPr>
          <w:p>
            <w:pPr>
              <w:pStyle w:val="Tabla"/>
            </w:pPr>
            <w:r>
              <w:t xml:space="preserve">trasladada. Migra de 4a de abril a4b de octubre. Identidad comprobada por sha 256 deimagen a200 px.</w:t>
            </w:r>
          </w:p>
        </w:tc>
      </w:tr>
      <w:tr>
        <w:trPr>
          <w:cantSplit/>
          <w:tblHeader w:val="off"/>
        </w:trPr>
        <w:tc>
          <w:tcPr>
            <w:tcW w:type="dxa" w:w="3212"/>
            <w:tcMar>
              <w:top w:type="dxa" w:w="80"/>
              <w:left w:type="dxa" w:w="100"/>
              <w:bottom w:type="dxa" w:w="80"/>
              <w:right w:type="dxa" w:w="100"/>
            </w:tcMar>
          </w:tcPr>
          <w:p>
            <w:pPr>
              <w:pStyle w:val="Tabla"/>
            </w:pPr>
            <w:r>
              <w:t xml:space="preserve">C-3:37</w:t>
            </w:r>
          </w:p>
        </w:tc>
        <w:tc>
          <w:tcPr>
            <w:tcW w:type="dxa" w:w="3210"/>
            <w:tcMar>
              <w:top w:type="dxa" w:w="80"/>
              <w:left w:type="dxa" w:w="100"/>
              <w:bottom w:type="dxa" w:w="80"/>
              <w:right w:type="dxa" w:w="100"/>
            </w:tcMar>
          </w:tcPr>
          <w:p>
            <w:pPr>
              <w:pStyle w:val="Tabla"/>
            </w:pPr>
            <w:r>
              <w:t xml:space="preserve">C-8:55</w:t>
            </w:r>
          </w:p>
        </w:tc>
        <w:tc>
          <w:tcPr>
            <w:tcW w:type="dxa" w:w="3210"/>
            <w:tcMar>
              <w:top w:type="dxa" w:w="80"/>
              <w:left w:type="dxa" w:w="100"/>
              <w:bottom w:type="dxa" w:w="80"/>
              <w:right w:type="dxa" w:w="100"/>
            </w:tcMar>
          </w:tcPr>
          <w:p>
            <w:pPr>
              <w:pStyle w:val="Tabla"/>
            </w:pPr>
            <w:r>
              <w:t xml:space="preserve">revisada. Repite la historia deteléfonos para DCC con encabezadoejercicio 3; en 4a de abril se llamabaejercicio 2.</w:t>
            </w:r>
          </w:p>
        </w:tc>
      </w:tr>
      <w:tr>
        <w:trPr>
          <w:cantSplit/>
          <w:tblHeader w:val="off"/>
        </w:trPr>
        <w:tc>
          <w:tcPr>
            <w:tcW w:type="dxa" w:w="3212"/>
            <w:tcMar>
              <w:top w:type="dxa" w:w="80"/>
              <w:left w:type="dxa" w:w="100"/>
              <w:bottom w:type="dxa" w:w="80"/>
              <w:right w:type="dxa" w:w="100"/>
            </w:tcMar>
          </w:tcPr>
          <w:p>
            <w:pPr>
              <w:pStyle w:val="Tabla"/>
            </w:pPr>
            <w:r>
              <w:t xml:space="preserve">C-3:14</w:t>
            </w:r>
          </w:p>
        </w:tc>
        <w:tc>
          <w:tcPr>
            <w:tcW w:type="dxa" w:w="3210"/>
            <w:tcMar>
              <w:top w:type="dxa" w:w="80"/>
              <w:left w:type="dxa" w:w="100"/>
              <w:bottom w:type="dxa" w:w="80"/>
              <w:right w:type="dxa" w:w="100"/>
            </w:tcMar>
          </w:tcPr>
          <w:p>
            <w:pPr>
              <w:pStyle w:val="Tabla"/>
            </w:pPr>
            <w:r>
              <w:t xml:space="preserve">—</w:t>
            </w:r>
          </w:p>
        </w:tc>
        <w:tc>
          <w:tcPr>
            <w:tcW w:type="dxa" w:w="3210"/>
            <w:tcMar>
              <w:top w:type="dxa" w:w="80"/>
              <w:left w:type="dxa" w:w="100"/>
              <w:bottom w:type="dxa" w:w="80"/>
              <w:right w:type="dxa" w:w="100"/>
            </w:tcMar>
          </w:tcPr>
          <w:p>
            <w:pPr>
              <w:pStyle w:val="Tabla"/>
            </w:pPr>
            <w:r>
              <w:t xml:space="preserve">solo-abril. Lámina de transición hacia una demostración de modelado. Se conserva en la versión de abril con su destino de estudio.</w:t>
            </w:r>
          </w:p>
        </w:tc>
      </w:tr>
      <w:tr>
        <w:trPr>
          <w:cantSplit/>
          <w:tblHeader w:val="off"/>
        </w:trPr>
        <w:tc>
          <w:tcPr>
            <w:tcW w:type="dxa" w:w="3212"/>
            <w:tcMar>
              <w:top w:type="dxa" w:w="80"/>
              <w:left w:type="dxa" w:w="100"/>
              <w:bottom w:type="dxa" w:w="80"/>
              <w:right w:type="dxa" w:w="100"/>
            </w:tcMar>
          </w:tcPr>
          <w:p>
            <w:pPr>
              <w:pStyle w:val="Tabla"/>
            </w:pPr>
            <w:r>
              <w:t xml:space="preserve">C-3:19</w:t>
            </w:r>
          </w:p>
        </w:tc>
        <w:tc>
          <w:tcPr>
            <w:tcW w:type="dxa" w:w="3210"/>
            <w:tcMar>
              <w:top w:type="dxa" w:w="80"/>
              <w:left w:type="dxa" w:w="100"/>
              <w:bottom w:type="dxa" w:w="80"/>
              <w:right w:type="dxa" w:w="100"/>
            </w:tcMar>
          </w:tcPr>
          <w:p>
            <w:pPr>
              <w:pStyle w:val="Tabla"/>
            </w:pPr>
            <w:r>
              <w:t xml:space="preserve">—</w:t>
            </w:r>
          </w:p>
        </w:tc>
        <w:tc>
          <w:tcPr>
            <w:tcW w:type="dxa" w:w="3210"/>
            <w:tcMar>
              <w:top w:type="dxa" w:w="80"/>
              <w:left w:type="dxa" w:w="100"/>
              <w:bottom w:type="dxa" w:w="80"/>
              <w:right w:type="dxa" w:w="100"/>
            </w:tcMar>
          </w:tcPr>
          <w:p>
            <w:pPr>
              <w:pStyle w:val="Tabla"/>
            </w:pPr>
            <w:r>
              <w:t xml:space="preserve">solo-abril. El faltante respecto de la demanda provoca ajustes que aumentan la capacidad. Se conserva en la versión de abril con su destino de estudio.</w:t>
            </w:r>
          </w:p>
        </w:tc>
      </w:tr>
      <w:tr>
        <w:trPr>
          <w:cantSplit/>
          <w:tblHeader w:val="off"/>
        </w:trPr>
        <w:tc>
          <w:tcPr>
            <w:tcW w:type="dxa" w:w="3212"/>
            <w:tcMar>
              <w:top w:type="dxa" w:w="80"/>
              <w:left w:type="dxa" w:w="100"/>
              <w:bottom w:type="dxa" w:w="80"/>
              <w:right w:type="dxa" w:w="100"/>
            </w:tcMar>
          </w:tcPr>
          <w:p>
            <w:pPr>
              <w:pStyle w:val="Tabla"/>
            </w:pPr>
            <w:r>
              <w:t xml:space="preserve">C-3:20</w:t>
            </w:r>
          </w:p>
        </w:tc>
        <w:tc>
          <w:tcPr>
            <w:tcW w:type="dxa" w:w="3210"/>
            <w:tcMar>
              <w:top w:type="dxa" w:w="80"/>
              <w:left w:type="dxa" w:w="100"/>
              <w:bottom w:type="dxa" w:w="80"/>
              <w:right w:type="dxa" w:w="100"/>
            </w:tcMar>
          </w:tcPr>
          <w:p>
            <w:pPr>
              <w:pStyle w:val="Tabla"/>
            </w:pPr>
            <w:r>
              <w:t xml:space="preserve">—</w:t>
            </w:r>
          </w:p>
        </w:tc>
        <w:tc>
          <w:tcPr>
            <w:tcW w:type="dxa" w:w="3210"/>
            <w:tcMar>
              <w:top w:type="dxa" w:w="80"/>
              <w:left w:type="dxa" w:w="100"/>
              <w:bottom w:type="dxa" w:w="80"/>
              <w:right w:type="dxa" w:w="100"/>
            </w:tcMar>
          </w:tcPr>
          <w:p>
            <w:pPr>
              <w:pStyle w:val="Tabla"/>
            </w:pPr>
            <w:r>
              <w:t xml:space="preserve">solo-abril. El faltante respecto de la demanda provoca ajustes que aumentan la capacidad. Se conserva en la versión de abril con su destino de estudio.</w:t>
            </w:r>
          </w:p>
        </w:tc>
      </w:tr>
      <w:tr>
        <w:trPr>
          <w:cantSplit/>
          <w:tblHeader w:val="off"/>
        </w:trPr>
        <w:tc>
          <w:tcPr>
            <w:tcW w:type="dxa" w:w="3212"/>
            <w:tcMar>
              <w:top w:type="dxa" w:w="80"/>
              <w:left w:type="dxa" w:w="100"/>
              <w:bottom w:type="dxa" w:w="80"/>
              <w:right w:type="dxa" w:w="100"/>
            </w:tcMar>
          </w:tcPr>
          <w:p>
            <w:pPr>
              <w:pStyle w:val="Tabla"/>
            </w:pPr>
            <w:r>
              <w:t xml:space="preserve">C-3:21</w:t>
            </w:r>
          </w:p>
        </w:tc>
        <w:tc>
          <w:tcPr>
            <w:tcW w:type="dxa" w:w="3210"/>
            <w:tcMar>
              <w:top w:type="dxa" w:w="80"/>
              <w:left w:type="dxa" w:w="100"/>
              <w:bottom w:type="dxa" w:w="80"/>
              <w:right w:type="dxa" w:w="100"/>
            </w:tcMar>
          </w:tcPr>
          <w:p>
            <w:pPr>
              <w:pStyle w:val="Tabla"/>
            </w:pPr>
            <w:r>
              <w:t xml:space="preserve">—</w:t>
            </w:r>
          </w:p>
        </w:tc>
        <w:tc>
          <w:tcPr>
            <w:tcW w:type="dxa" w:w="3210"/>
            <w:tcMar>
              <w:top w:type="dxa" w:w="80"/>
              <w:left w:type="dxa" w:w="100"/>
              <w:bottom w:type="dxa" w:w="80"/>
              <w:right w:type="dxa" w:w="100"/>
            </w:tcMar>
          </w:tcPr>
          <w:p>
            <w:pPr>
              <w:pStyle w:val="Tabla"/>
            </w:pPr>
            <w:r>
              <w:t xml:space="preserve">solo-abril. El interés es flujo de entrada al capital y ambos crecen en un refuerzo. Se conserva en la versión de abril con su destino de estudio.</w:t>
            </w:r>
          </w:p>
        </w:tc>
      </w:tr>
      <w:tr>
        <w:trPr>
          <w:cantSplit/>
          <w:tblHeader w:val="off"/>
        </w:trPr>
        <w:tc>
          <w:tcPr>
            <w:tcW w:type="dxa" w:w="3212"/>
            <w:tcMar>
              <w:top w:type="dxa" w:w="80"/>
              <w:left w:type="dxa" w:w="100"/>
              <w:bottom w:type="dxa" w:w="80"/>
              <w:right w:type="dxa" w:w="100"/>
            </w:tcMar>
          </w:tcPr>
          <w:p>
            <w:pPr>
              <w:pStyle w:val="Tabla"/>
            </w:pPr>
            <w:r>
              <w:t xml:space="preserve">C-3:22</w:t>
            </w:r>
          </w:p>
        </w:tc>
        <w:tc>
          <w:tcPr>
            <w:tcW w:type="dxa" w:w="3210"/>
            <w:tcMar>
              <w:top w:type="dxa" w:w="80"/>
              <w:left w:type="dxa" w:w="100"/>
              <w:bottom w:type="dxa" w:w="80"/>
              <w:right w:type="dxa" w:w="100"/>
            </w:tcMar>
          </w:tcPr>
          <w:p>
            <w:pPr>
              <w:pStyle w:val="Tabla"/>
            </w:pPr>
            <w:r>
              <w:t xml:space="preserve">—</w:t>
            </w:r>
          </w:p>
        </w:tc>
        <w:tc>
          <w:tcPr>
            <w:tcW w:type="dxa" w:w="3210"/>
            <w:tcMar>
              <w:top w:type="dxa" w:w="80"/>
              <w:left w:type="dxa" w:w="100"/>
              <w:bottom w:type="dxa" w:w="80"/>
              <w:right w:type="dxa" w:w="100"/>
            </w:tcMar>
          </w:tcPr>
          <w:p>
            <w:pPr>
              <w:pStyle w:val="Tabla"/>
            </w:pPr>
            <w:r>
              <w:t xml:space="preserve">solo-abril. Puesta, eclosión y muertes modifican dos niveles y conservan los bucles de la historia. Se conserva en la versión de abril con su destino de estudio.</w:t>
            </w:r>
          </w:p>
        </w:tc>
      </w:tr>
      <w:tr>
        <w:trPr>
          <w:cantSplit/>
          <w:tblHeader w:val="off"/>
        </w:trPr>
        <w:tc>
          <w:tcPr>
            <w:tcW w:type="dxa" w:w="3212"/>
            <w:tcMar>
              <w:top w:type="dxa" w:w="80"/>
              <w:left w:type="dxa" w:w="100"/>
              <w:bottom w:type="dxa" w:w="80"/>
              <w:right w:type="dxa" w:w="100"/>
            </w:tcMar>
          </w:tcPr>
          <w:p>
            <w:pPr>
              <w:pStyle w:val="Tabla"/>
            </w:pPr>
            <w:r>
              <w:t xml:space="preserve">C-3:24</w:t>
            </w:r>
          </w:p>
        </w:tc>
        <w:tc>
          <w:tcPr>
            <w:tcW w:type="dxa" w:w="3210"/>
            <w:tcMar>
              <w:top w:type="dxa" w:w="80"/>
              <w:left w:type="dxa" w:w="100"/>
              <w:bottom w:type="dxa" w:w="80"/>
              <w:right w:type="dxa" w:w="100"/>
            </w:tcMar>
          </w:tcPr>
          <w:p>
            <w:pPr>
              <w:pStyle w:val="Tabla"/>
            </w:pPr>
            <w:r>
              <w:t xml:space="preserve">—</w:t>
            </w:r>
          </w:p>
        </w:tc>
        <w:tc>
          <w:tcPr>
            <w:tcW w:type="dxa" w:w="3210"/>
            <w:tcMar>
              <w:top w:type="dxa" w:w="80"/>
              <w:left w:type="dxa" w:w="100"/>
              <w:bottom w:type="dxa" w:w="80"/>
              <w:right w:type="dxa" w:w="100"/>
            </w:tcMar>
          </w:tcPr>
          <w:p>
            <w:pPr>
              <w:pStyle w:val="Tabla"/>
            </w:pPr>
            <w:r>
              <w:t xml:space="preserve">solo-abril. Para explicar un comportamiento se formula una estructura capaz de generarlo. Se conserva en la versión de abril con su destino de estudio.</w:t>
            </w:r>
          </w:p>
        </w:tc>
      </w:tr>
      <w:tr>
        <w:trPr>
          <w:cantSplit/>
          <w:tblHeader w:val="off"/>
        </w:trPr>
        <w:tc>
          <w:tcPr>
            <w:tcW w:type="dxa" w:w="3212"/>
            <w:tcMar>
              <w:top w:type="dxa" w:w="80"/>
              <w:left w:type="dxa" w:w="100"/>
              <w:bottom w:type="dxa" w:w="80"/>
              <w:right w:type="dxa" w:w="100"/>
            </w:tcMar>
          </w:tcPr>
          <w:p>
            <w:pPr>
              <w:pStyle w:val="Tabla"/>
            </w:pPr>
            <w:r>
              <w:t xml:space="preserve">C-3:25</w:t>
            </w:r>
          </w:p>
        </w:tc>
        <w:tc>
          <w:tcPr>
            <w:tcW w:type="dxa" w:w="3210"/>
            <w:tcMar>
              <w:top w:type="dxa" w:w="80"/>
              <w:left w:type="dxa" w:w="100"/>
              <w:bottom w:type="dxa" w:w="80"/>
              <w:right w:type="dxa" w:w="100"/>
            </w:tcMar>
          </w:tcPr>
          <w:p>
            <w:pPr>
              <w:pStyle w:val="Tabla"/>
            </w:pPr>
            <w:r>
              <w:t xml:space="preserve">—</w:t>
            </w:r>
          </w:p>
        </w:tc>
        <w:tc>
          <w:tcPr>
            <w:tcW w:type="dxa" w:w="3210"/>
            <w:tcMar>
              <w:top w:type="dxa" w:w="80"/>
              <w:left w:type="dxa" w:w="100"/>
              <w:bottom w:type="dxa" w:w="80"/>
              <w:right w:type="dxa" w:w="100"/>
            </w:tcMar>
          </w:tcPr>
          <w:p>
            <w:pPr>
              <w:pStyle w:val="Tabla"/>
            </w:pPr>
            <w:r>
              <w:t xml:space="preserve">solo-abril. Una vez formulado el modelo, se simulan las trayectorias que genera. Se conserva en la versión de abril con su destino de estudio.</w:t>
            </w:r>
          </w:p>
        </w:tc>
      </w:tr>
      <w:tr>
        <w:trPr>
          <w:cantSplit/>
          <w:tblHeader w:val="off"/>
        </w:trPr>
        <w:tc>
          <w:tcPr>
            <w:tcW w:type="dxa" w:w="3212"/>
            <w:tcMar>
              <w:top w:type="dxa" w:w="80"/>
              <w:left w:type="dxa" w:w="100"/>
              <w:bottom w:type="dxa" w:w="80"/>
              <w:right w:type="dxa" w:w="100"/>
            </w:tcMar>
          </w:tcPr>
          <w:p>
            <w:pPr>
              <w:pStyle w:val="Tabla"/>
            </w:pPr>
            <w:r>
              <w:t xml:space="preserve">C-3:26</w:t>
            </w:r>
          </w:p>
        </w:tc>
        <w:tc>
          <w:tcPr>
            <w:tcW w:type="dxa" w:w="3210"/>
            <w:tcMar>
              <w:top w:type="dxa" w:w="80"/>
              <w:left w:type="dxa" w:w="100"/>
              <w:bottom w:type="dxa" w:w="80"/>
              <w:right w:type="dxa" w:w="100"/>
            </w:tcMar>
          </w:tcPr>
          <w:p>
            <w:pPr>
              <w:pStyle w:val="Tabla"/>
            </w:pPr>
            <w:r>
              <w:t xml:space="preserve">—</w:t>
            </w:r>
          </w:p>
        </w:tc>
        <w:tc>
          <w:tcPr>
            <w:tcW w:type="dxa" w:w="3210"/>
            <w:tcMar>
              <w:top w:type="dxa" w:w="80"/>
              <w:left w:type="dxa" w:w="100"/>
              <w:bottom w:type="dxa" w:w="80"/>
              <w:right w:type="dxa" w:w="100"/>
            </w:tcMar>
          </w:tcPr>
          <w:p>
            <w:pPr>
              <w:pStyle w:val="Tabla"/>
            </w:pPr>
            <w:r>
              <w:t xml:space="preserve">solo-abril. Depósitos menos retiros determinan la variación del nivel y su integral desde un inicial. Se conserva en la versión de abril con su destino de estudio.</w:t>
            </w:r>
          </w:p>
        </w:tc>
      </w:tr>
      <w:tr>
        <w:trPr>
          <w:cantSplit/>
          <w:tblHeader w:val="off"/>
        </w:trPr>
        <w:tc>
          <w:tcPr>
            <w:tcW w:type="dxa" w:w="3212"/>
            <w:tcMar>
              <w:top w:type="dxa" w:w="80"/>
              <w:left w:type="dxa" w:w="100"/>
              <w:bottom w:type="dxa" w:w="80"/>
              <w:right w:type="dxa" w:w="100"/>
            </w:tcMar>
          </w:tcPr>
          <w:p>
            <w:pPr>
              <w:pStyle w:val="Tabla"/>
            </w:pPr>
            <w:r>
              <w:t xml:space="preserve">C-3:27</w:t>
            </w:r>
          </w:p>
        </w:tc>
        <w:tc>
          <w:tcPr>
            <w:tcW w:type="dxa" w:w="3210"/>
            <w:tcMar>
              <w:top w:type="dxa" w:w="80"/>
              <w:left w:type="dxa" w:w="100"/>
              <w:bottom w:type="dxa" w:w="80"/>
              <w:right w:type="dxa" w:w="100"/>
            </w:tcMar>
          </w:tcPr>
          <w:p>
            <w:pPr>
              <w:pStyle w:val="Tabla"/>
            </w:pPr>
            <w:r>
              <w:t xml:space="preserve">—</w:t>
            </w:r>
          </w:p>
        </w:tc>
        <w:tc>
          <w:tcPr>
            <w:tcW w:type="dxa" w:w="3210"/>
            <w:tcMar>
              <w:top w:type="dxa" w:w="80"/>
              <w:left w:type="dxa" w:w="100"/>
              <w:bottom w:type="dxa" w:w="80"/>
              <w:right w:type="dxa" w:w="100"/>
            </w:tcMar>
          </w:tcPr>
          <w:p>
            <w:pPr>
              <w:pStyle w:val="Tabla"/>
            </w:pPr>
            <w:r>
              <w:t xml:space="preserve">solo-abril. Definir, conceptualizar, formalizar, observar comportamiento, evaluar y explotar con retornos iterativos. Se conserva en la versión de abril con su destino de estudio.</w:t>
            </w:r>
          </w:p>
        </w:tc>
      </w:tr>
      <w:tr>
        <w:trPr>
          <w:cantSplit/>
          <w:tblHeader w:val="off"/>
        </w:trPr>
        <w:tc>
          <w:tcPr>
            <w:tcW w:type="dxa" w:w="3212"/>
            <w:tcMar>
              <w:top w:type="dxa" w:w="80"/>
              <w:left w:type="dxa" w:w="100"/>
              <w:bottom w:type="dxa" w:w="80"/>
              <w:right w:type="dxa" w:w="100"/>
            </w:tcMar>
          </w:tcPr>
          <w:p>
            <w:pPr>
              <w:pStyle w:val="Tabla"/>
            </w:pPr>
            <w:r>
              <w:t xml:space="preserve">C-3:29</w:t>
            </w:r>
          </w:p>
        </w:tc>
        <w:tc>
          <w:tcPr>
            <w:tcW w:type="dxa" w:w="3210"/>
            <w:tcMar>
              <w:top w:type="dxa" w:w="80"/>
              <w:left w:type="dxa" w:w="100"/>
              <w:bottom w:type="dxa" w:w="80"/>
              <w:right w:type="dxa" w:w="100"/>
            </w:tcMar>
          </w:tcPr>
          <w:p>
            <w:pPr>
              <w:pStyle w:val="Tabla"/>
            </w:pPr>
            <w:r>
              <w:t xml:space="preserve">—</w:t>
            </w:r>
          </w:p>
        </w:tc>
        <w:tc>
          <w:tcPr>
            <w:tcW w:type="dxa" w:w="3210"/>
            <w:tcMar>
              <w:top w:type="dxa" w:w="80"/>
              <w:left w:type="dxa" w:w="100"/>
              <w:bottom w:type="dxa" w:w="80"/>
              <w:right w:type="dxa" w:w="100"/>
            </w:tcMar>
          </w:tcPr>
          <w:p>
            <w:pPr>
              <w:pStyle w:val="Tabla"/>
            </w:pPr>
            <w:r>
              <w:t xml:space="preserve">solo-abril. Cuándo simular y qué limitaciones debe conservar quien interpreta resultados. Se conserva en la versión de abril con su destino de estudio.</w:t>
            </w:r>
          </w:p>
        </w:tc>
      </w:tr>
      <w:tr>
        <w:trPr>
          <w:cantSplit/>
          <w:tblHeader w:val="off"/>
        </w:trPr>
        <w:tc>
          <w:tcPr>
            <w:tcW w:type="dxa" w:w="3212"/>
            <w:tcMar>
              <w:top w:type="dxa" w:w="80"/>
              <w:left w:type="dxa" w:w="100"/>
              <w:bottom w:type="dxa" w:w="80"/>
              <w:right w:type="dxa" w:w="100"/>
            </w:tcMar>
          </w:tcPr>
          <w:p>
            <w:pPr>
              <w:pStyle w:val="Tabla"/>
            </w:pPr>
            <w:r>
              <w:t xml:space="preserve">C-3:30</w:t>
            </w:r>
          </w:p>
        </w:tc>
        <w:tc>
          <w:tcPr>
            <w:tcW w:type="dxa" w:w="3210"/>
            <w:tcMar>
              <w:top w:type="dxa" w:w="80"/>
              <w:left w:type="dxa" w:w="100"/>
              <w:bottom w:type="dxa" w:w="80"/>
              <w:right w:type="dxa" w:w="100"/>
            </w:tcMar>
          </w:tcPr>
          <w:p>
            <w:pPr>
              <w:pStyle w:val="Tabla"/>
            </w:pPr>
            <w:r>
              <w:t xml:space="preserve">—</w:t>
            </w:r>
          </w:p>
        </w:tc>
        <w:tc>
          <w:tcPr>
            <w:tcW w:type="dxa" w:w="3210"/>
            <w:tcMar>
              <w:top w:type="dxa" w:w="80"/>
              <w:left w:type="dxa" w:w="100"/>
              <w:bottom w:type="dxa" w:w="80"/>
              <w:right w:type="dxa" w:w="100"/>
            </w:tcMar>
          </w:tcPr>
          <w:p>
            <w:pPr>
              <w:pStyle w:val="Tabla"/>
            </w:pPr>
            <w:r>
              <w:t xml:space="preserve">solo-abril. La captura identifica gestión de archivos, dibujo, ecuaciones, simulación y análisis de resultados. Se conserva en la versión de abril con su destino de estudio.</w:t>
            </w:r>
          </w:p>
        </w:tc>
      </w:tr>
      <w:tr>
        <w:trPr>
          <w:cantSplit/>
          <w:tblHeader w:val="off"/>
        </w:trPr>
        <w:tc>
          <w:tcPr>
            <w:tcW w:type="dxa" w:w="3212"/>
            <w:tcMar>
              <w:top w:type="dxa" w:w="80"/>
              <w:left w:type="dxa" w:w="100"/>
              <w:bottom w:type="dxa" w:w="80"/>
              <w:right w:type="dxa" w:w="100"/>
            </w:tcMar>
          </w:tcPr>
          <w:p>
            <w:pPr>
              <w:pStyle w:val="Tabla"/>
            </w:pPr>
            <w:r>
              <w:t xml:space="preserve">C-3:31</w:t>
            </w:r>
          </w:p>
        </w:tc>
        <w:tc>
          <w:tcPr>
            <w:tcW w:type="dxa" w:w="3210"/>
            <w:tcMar>
              <w:top w:type="dxa" w:w="80"/>
              <w:left w:type="dxa" w:w="100"/>
              <w:bottom w:type="dxa" w:w="80"/>
              <w:right w:type="dxa" w:w="100"/>
            </w:tcMar>
          </w:tcPr>
          <w:p>
            <w:pPr>
              <w:pStyle w:val="Tabla"/>
            </w:pPr>
            <w:r>
              <w:t xml:space="preserve">—</w:t>
            </w:r>
          </w:p>
        </w:tc>
        <w:tc>
          <w:tcPr>
            <w:tcW w:type="dxa" w:w="3210"/>
            <w:tcMar>
              <w:top w:type="dxa" w:w="80"/>
              <w:left w:type="dxa" w:w="100"/>
              <w:bottom w:type="dxa" w:w="80"/>
              <w:right w:type="dxa" w:w="100"/>
            </w:tcMar>
          </w:tcPr>
          <w:p>
            <w:pPr>
              <w:pStyle w:val="Tabla"/>
            </w:pPr>
            <w:r>
              <w:t xml:space="preserve">solo-abril. Puesta, eclosión y muertes modifican dos niveles y conservan los bucles de la historia. Se conserva en la versión de abril con su destino de estudio.</w:t>
            </w:r>
          </w:p>
        </w:tc>
      </w:tr>
      <w:tr>
        <w:trPr>
          <w:cantSplit/>
          <w:tblHeader w:val="off"/>
        </w:trPr>
        <w:tc>
          <w:tcPr>
            <w:tcW w:type="dxa" w:w="3212"/>
            <w:tcMar>
              <w:top w:type="dxa" w:w="80"/>
              <w:left w:type="dxa" w:w="100"/>
              <w:bottom w:type="dxa" w:w="80"/>
              <w:right w:type="dxa" w:w="100"/>
            </w:tcMar>
          </w:tcPr>
          <w:p>
            <w:pPr>
              <w:pStyle w:val="Tabla"/>
            </w:pPr>
            <w:r>
              <w:t xml:space="preserve">C-3:32</w:t>
            </w:r>
          </w:p>
        </w:tc>
        <w:tc>
          <w:tcPr>
            <w:tcW w:type="dxa" w:w="3210"/>
            <w:tcMar>
              <w:top w:type="dxa" w:w="80"/>
              <w:left w:type="dxa" w:w="100"/>
              <w:bottom w:type="dxa" w:w="80"/>
              <w:right w:type="dxa" w:w="100"/>
            </w:tcMar>
          </w:tcPr>
          <w:p>
            <w:pPr>
              <w:pStyle w:val="Tabla"/>
            </w:pPr>
            <w:r>
              <w:t xml:space="preserve">—</w:t>
            </w:r>
          </w:p>
        </w:tc>
        <w:tc>
          <w:tcPr>
            <w:tcW w:type="dxa" w:w="3210"/>
            <w:tcMar>
              <w:top w:type="dxa" w:w="80"/>
              <w:left w:type="dxa" w:w="100"/>
              <w:bottom w:type="dxa" w:w="80"/>
              <w:right w:type="dxa" w:w="100"/>
            </w:tcMar>
          </w:tcPr>
          <w:p>
            <w:pPr>
              <w:pStyle w:val="Tabla"/>
            </w:pPr>
            <w:r>
              <w:t xml:space="preserve">solo-abril. Puesta, eclosión y muertes modifican dos niveles y conservan los bucles de la historia. Se conserva en la versión de abril con su destino de estudio.</w:t>
            </w:r>
          </w:p>
        </w:tc>
      </w:tr>
      <w:tr>
        <w:trPr>
          <w:cantSplit/>
          <w:tblHeader w:val="off"/>
        </w:trPr>
        <w:tc>
          <w:tcPr>
            <w:tcW w:type="dxa" w:w="3212"/>
            <w:tcMar>
              <w:top w:type="dxa" w:w="80"/>
              <w:left w:type="dxa" w:w="100"/>
              <w:bottom w:type="dxa" w:w="80"/>
              <w:right w:type="dxa" w:w="100"/>
            </w:tcMar>
          </w:tcPr>
          <w:p>
            <w:pPr>
              <w:pStyle w:val="Tabla"/>
            </w:pPr>
            <w:r>
              <w:t xml:space="preserve">C-3:53</w:t>
            </w:r>
          </w:p>
        </w:tc>
        <w:tc>
          <w:tcPr>
            <w:tcW w:type="dxa" w:w="3210"/>
            <w:tcMar>
              <w:top w:type="dxa" w:w="80"/>
              <w:left w:type="dxa" w:w="100"/>
              <w:bottom w:type="dxa" w:w="80"/>
              <w:right w:type="dxa" w:w="100"/>
            </w:tcMar>
          </w:tcPr>
          <w:p>
            <w:pPr>
              <w:pStyle w:val="Tabla"/>
            </w:pPr>
            <w:r>
              <w:t xml:space="preserve">—</w:t>
            </w:r>
          </w:p>
        </w:tc>
        <w:tc>
          <w:tcPr>
            <w:tcW w:type="dxa" w:w="3210"/>
            <w:tcMar>
              <w:top w:type="dxa" w:w="80"/>
              <w:left w:type="dxa" w:w="100"/>
              <w:bottom w:type="dxa" w:w="80"/>
              <w:right w:type="dxa" w:w="100"/>
            </w:tcMar>
          </w:tcPr>
          <w:p>
            <w:pPr>
              <w:pStyle w:val="Tabla"/>
            </w:pPr>
            <w:r>
              <w:t xml:space="preserve">solo-abril. Comparación histórica de cinco herramientas de simulación del material de abril. Se conserva en la versión de abril con su destino de estudio.</w:t>
            </w:r>
          </w:p>
        </w:tc>
      </w:tr>
      <w:tr>
        <w:trPr>
          <w:cantSplit/>
          <w:tblHeader w:val="off"/>
        </w:trPr>
        <w:tc>
          <w:tcPr>
            <w:tcW w:type="dxa" w:w="3212"/>
            <w:tcMar>
              <w:top w:type="dxa" w:w="80"/>
              <w:left w:type="dxa" w:w="100"/>
              <w:bottom w:type="dxa" w:w="80"/>
              <w:right w:type="dxa" w:w="100"/>
            </w:tcMar>
          </w:tcPr>
          <w:p>
            <w:pPr>
              <w:pStyle w:val="Tabla"/>
            </w:pPr>
            <w:r>
              <w:t xml:space="preserve">C-3:54</w:t>
            </w:r>
          </w:p>
        </w:tc>
        <w:tc>
          <w:tcPr>
            <w:tcW w:type="dxa" w:w="3210"/>
            <w:tcMar>
              <w:top w:type="dxa" w:w="80"/>
              <w:left w:type="dxa" w:w="100"/>
              <w:bottom w:type="dxa" w:w="80"/>
              <w:right w:type="dxa" w:w="100"/>
            </w:tcMar>
          </w:tcPr>
          <w:p>
            <w:pPr>
              <w:pStyle w:val="Tabla"/>
            </w:pPr>
            <w:r>
              <w:t xml:space="preserve">—</w:t>
            </w:r>
          </w:p>
        </w:tc>
        <w:tc>
          <w:tcPr>
            <w:tcW w:type="dxa" w:w="3210"/>
            <w:tcMar>
              <w:top w:type="dxa" w:w="80"/>
              <w:left w:type="dxa" w:w="100"/>
              <w:bottom w:type="dxa" w:w="80"/>
              <w:right w:type="dxa" w:w="100"/>
            </w:tcMar>
          </w:tcPr>
          <w:p>
            <w:pPr>
              <w:pStyle w:val="Tabla"/>
            </w:pPr>
            <w:r>
              <w:t xml:space="preserve">solo-abril. El video incorpora mortalidad natural, depredación, superpoblación y tablas de respuesta. Se conserva en la versión de abril con su destino de estudio.</w:t>
            </w:r>
          </w:p>
        </w:tc>
      </w:tr>
      <w:tr>
        <w:trPr>
          <w:cantSplit/>
          <w:tblHeader w:val="off"/>
        </w:trPr>
        <w:tc>
          <w:tcPr>
            <w:tcW w:type="dxa" w:w="3212"/>
            <w:tcMar>
              <w:top w:type="dxa" w:w="80"/>
              <w:left w:type="dxa" w:w="100"/>
              <w:bottom w:type="dxa" w:w="80"/>
              <w:right w:type="dxa" w:w="100"/>
            </w:tcMar>
          </w:tcPr>
          <w:p>
            <w:pPr>
              <w:pStyle w:val="Tabla"/>
            </w:pPr>
            <w:r>
              <w:t xml:space="preserve">C-3:55</w:t>
            </w:r>
          </w:p>
        </w:tc>
        <w:tc>
          <w:tcPr>
            <w:tcW w:type="dxa" w:w="3210"/>
            <w:tcMar>
              <w:top w:type="dxa" w:w="80"/>
              <w:left w:type="dxa" w:w="100"/>
              <w:bottom w:type="dxa" w:w="80"/>
              <w:right w:type="dxa" w:w="100"/>
            </w:tcMar>
          </w:tcPr>
          <w:p>
            <w:pPr>
              <w:pStyle w:val="Tabla"/>
            </w:pPr>
            <w:r>
              <w:t xml:space="preserve">—</w:t>
            </w:r>
          </w:p>
        </w:tc>
        <w:tc>
          <w:tcPr>
            <w:tcW w:type="dxa" w:w="3210"/>
            <w:tcMar>
              <w:top w:type="dxa" w:w="80"/>
              <w:left w:type="dxa" w:w="100"/>
              <w:bottom w:type="dxa" w:w="80"/>
              <w:right w:type="dxa" w:w="100"/>
            </w:tcMar>
          </w:tcPr>
          <w:p>
            <w:pPr>
              <w:pStyle w:val="Tabla"/>
            </w:pPr>
            <w:r>
              <w:t xml:space="preserve">solo-abril. Las dos poblaciones y los flujos muestran oscilaciones desfasadas durante cien años. Se conserva en la versión de abril con su destino de estudio.</w:t>
            </w:r>
          </w:p>
        </w:tc>
      </w:tr>
      <w:tr>
        <w:trPr>
          <w:cantSplit/>
          <w:tblHeader w:val="off"/>
        </w:trPr>
        <w:tc>
          <w:tcPr>
            <w:tcW w:type="dxa" w:w="3212"/>
            <w:tcMar>
              <w:top w:type="dxa" w:w="80"/>
              <w:left w:type="dxa" w:w="100"/>
              <w:bottom w:type="dxa" w:w="80"/>
              <w:right w:type="dxa" w:w="100"/>
            </w:tcMar>
          </w:tcPr>
          <w:p>
            <w:pPr>
              <w:pStyle w:val="Tabla"/>
            </w:pPr>
            <w:r>
              <w:t xml:space="preserve">C-3:56</w:t>
            </w:r>
          </w:p>
        </w:tc>
        <w:tc>
          <w:tcPr>
            <w:tcW w:type="dxa" w:w="3210"/>
            <w:tcMar>
              <w:top w:type="dxa" w:w="80"/>
              <w:left w:type="dxa" w:w="100"/>
              <w:bottom w:type="dxa" w:w="80"/>
              <w:right w:type="dxa" w:w="100"/>
            </w:tcMar>
          </w:tcPr>
          <w:p>
            <w:pPr>
              <w:pStyle w:val="Tabla"/>
            </w:pPr>
            <w:r>
              <w:t xml:space="preserve">—</w:t>
            </w:r>
          </w:p>
        </w:tc>
        <w:tc>
          <w:tcPr>
            <w:tcW w:type="dxa" w:w="3210"/>
            <w:tcMar>
              <w:top w:type="dxa" w:w="80"/>
              <w:left w:type="dxa" w:w="100"/>
              <w:bottom w:type="dxa" w:w="80"/>
              <w:right w:type="dxa" w:w="100"/>
            </w:tcMar>
          </w:tcPr>
          <w:p>
            <w:pPr>
              <w:pStyle w:val="Tabla"/>
            </w:pPr>
            <w:r>
              <w:t xml:space="preserve">solo-abril. Mercancías acumula entradas menos ventas/salidas y deterioro. Se conserva en la versión de abril con su destino de estudio.</w:t>
            </w:r>
          </w:p>
        </w:tc>
      </w:tr>
    </w:tbl>
    <w:p>
      <w:pPr>
        <w:pStyle w:val="Heading3"/>
      </w:pPr>
      <w:r>
        <w:t xml:space="preserve">C-4 ↔ C-8</w:t>
      </w:r>
    </w:p>
    <w:tbl>
      <w:tblPr>
        <w:tblW w:type="dxa" w:w="9632"/>
        <w:tblBorders>
          <w:top w:val="single" w:color="C5D5DB" w:sz="4"/>
          <w:left w:val="single" w:color="C5D5DB" w:sz="4"/>
          <w:bottom w:val="single" w:color="C5D5DB" w:sz="4"/>
          <w:right w:val="single" w:color="C5D5DB" w:sz="4"/>
          <w:insideH w:val="single" w:color="E4E9EB" w:sz="3"/>
          <w:insideV w:val="single" w:color="E4E9EB" w:sz="3"/>
        </w:tblBorders>
        <w:tblLayout w:type="fixed"/>
      </w:tblPr>
      <w:tblGrid>
        <w:gridCol w:w="3212"/>
        <w:gridCol w:w="3210"/>
        <w:gridCol w:w="3210"/>
      </w:tblGrid>
      <w:tr>
        <w:trPr>
          <w:cantSplit/>
          <w:tblHeader/>
        </w:trPr>
        <w:tc>
          <w:tcPr>
            <w:tcW w:type="dxa" w:w="3212"/>
            <w:shd w:fill="DFEAF0" w:val="clear"/>
            <w:tcMar>
              <w:top w:type="dxa" w:w="80"/>
              <w:left w:type="dxa" w:w="100"/>
              <w:bottom w:type="dxa" w:w="80"/>
              <w:right w:type="dxa" w:w="100"/>
            </w:tcMar>
          </w:tcPr>
          <w:p>
            <w:pPr>
              <w:pStyle w:val="Tabla"/>
            </w:pPr>
            <w:r>
              <w:rPr>
                <w:b/>
                <w:bCs/>
              </w:rPr>
              <w:t xml:space="preserve">Abril</w:t>
            </w:r>
          </w:p>
        </w:tc>
        <w:tc>
          <w:tcPr>
            <w:tcW w:type="dxa" w:w="3210"/>
            <w:shd w:fill="DFEAF0" w:val="clear"/>
            <w:tcMar>
              <w:top w:type="dxa" w:w="80"/>
              <w:left w:type="dxa" w:w="100"/>
              <w:bottom w:type="dxa" w:w="80"/>
              <w:right w:type="dxa" w:w="100"/>
            </w:tcMar>
          </w:tcPr>
          <w:p>
            <w:pPr>
              <w:pStyle w:val="Tabla"/>
            </w:pPr>
            <w:r>
              <w:rPr>
                <w:b/>
                <w:bCs/>
              </w:rPr>
              <w:t xml:space="preserve">Octubre</w:t>
            </w:r>
          </w:p>
        </w:tc>
        <w:tc>
          <w:tcPr>
            <w:tcW w:type="dxa" w:w="3210"/>
            <w:shd w:fill="DFEAF0" w:val="clear"/>
            <w:tcMar>
              <w:top w:type="dxa" w:w="80"/>
              <w:left w:type="dxa" w:w="100"/>
              <w:bottom w:type="dxa" w:w="80"/>
              <w:right w:type="dxa" w:w="100"/>
            </w:tcMar>
          </w:tcPr>
          <w:p>
            <w:pPr>
              <w:pStyle w:val="Tabla"/>
            </w:pPr>
            <w:r>
              <w:rPr>
                <w:b/>
                <w:bCs/>
              </w:rPr>
              <w:t xml:space="preserve">Relación</w:t>
            </w:r>
          </w:p>
        </w:tc>
      </w:tr>
      <w:tr>
        <w:trPr>
          <w:cantSplit/>
          <w:tblHeader w:val="off"/>
        </w:trPr>
        <w:tc>
          <w:tcPr>
            <w:tcW w:type="dxa" w:w="3212"/>
            <w:tcMar>
              <w:top w:type="dxa" w:w="80"/>
              <w:left w:type="dxa" w:w="100"/>
              <w:bottom w:type="dxa" w:w="80"/>
              <w:right w:type="dxa" w:w="100"/>
            </w:tcMar>
          </w:tcPr>
          <w:p>
            <w:pPr>
              <w:pStyle w:val="Tabla"/>
            </w:pPr>
            <w:r>
              <w:t xml:space="preserve">C-4:1</w:t>
            </w:r>
          </w:p>
        </w:tc>
        <w:tc>
          <w:tcPr>
            <w:tcW w:type="dxa" w:w="3210"/>
            <w:tcMar>
              <w:top w:type="dxa" w:w="80"/>
              <w:left w:type="dxa" w:w="100"/>
              <w:bottom w:type="dxa" w:w="80"/>
              <w:right w:type="dxa" w:w="100"/>
            </w:tcMar>
          </w:tcPr>
          <w:p>
            <w:pPr>
              <w:pStyle w:val="Tabla"/>
            </w:pPr>
            <w:r>
              <w:t xml:space="preserve">C-8:1</w:t>
            </w:r>
          </w:p>
        </w:tc>
        <w:tc>
          <w:tcPr>
            <w:tcW w:type="dxa" w:w="3210"/>
            <w:tcMar>
              <w:top w:type="dxa" w:w="80"/>
              <w:left w:type="dxa" w:w="100"/>
              <w:bottom w:type="dxa" w:w="80"/>
              <w:right w:type="dxa" w:w="100"/>
            </w:tcMar>
          </w:tcPr>
          <w:p>
            <w:pPr>
              <w:pStyle w:val="Tabla"/>
            </w:pPr>
            <w:r>
              <w:t xml:space="preserve">identica. Identidad por SHA-256 de la página renderizada a 200 px; se conserva el contenido y cambia su posición en el PDF.</w:t>
            </w:r>
          </w:p>
        </w:tc>
      </w:tr>
      <w:tr>
        <w:trPr>
          <w:cantSplit/>
          <w:tblHeader w:val="off"/>
        </w:trPr>
        <w:tc>
          <w:tcPr>
            <w:tcW w:type="dxa" w:w="3212"/>
            <w:tcMar>
              <w:top w:type="dxa" w:w="80"/>
              <w:left w:type="dxa" w:w="100"/>
              <w:bottom w:type="dxa" w:w="80"/>
              <w:right w:type="dxa" w:w="100"/>
            </w:tcMar>
          </w:tcPr>
          <w:p>
            <w:pPr>
              <w:pStyle w:val="Tabla"/>
            </w:pPr>
            <w:r>
              <w:t xml:space="preserve">C-4:2, C-4:10</w:t>
            </w:r>
          </w:p>
        </w:tc>
        <w:tc>
          <w:tcPr>
            <w:tcW w:type="dxa" w:w="3210"/>
            <w:tcMar>
              <w:top w:type="dxa" w:w="80"/>
              <w:left w:type="dxa" w:w="100"/>
              <w:bottom w:type="dxa" w:w="80"/>
              <w:right w:type="dxa" w:w="100"/>
            </w:tcMar>
          </w:tcPr>
          <w:p>
            <w:pPr>
              <w:pStyle w:val="Tabla"/>
            </w:pPr>
            <w:r>
              <w:t xml:space="preserve">C-8:2</w:t>
            </w:r>
          </w:p>
        </w:tc>
        <w:tc>
          <w:tcPr>
            <w:tcW w:type="dxa" w:w="3210"/>
            <w:tcMar>
              <w:top w:type="dxa" w:w="80"/>
              <w:left w:type="dxa" w:w="100"/>
              <w:bottom w:type="dxa" w:w="80"/>
              <w:right w:type="dxa" w:w="100"/>
            </w:tcMar>
          </w:tcPr>
          <w:p>
            <w:pPr>
              <w:pStyle w:val="Tabla"/>
            </w:pPr>
            <w:r>
              <w:t xml:space="preserve">identica. Identidad por SHA-256 de la página renderizada a 200 px; se conserva el contenido y cambia su posición en el PDF.</w:t>
            </w:r>
          </w:p>
        </w:tc>
      </w:tr>
      <w:tr>
        <w:trPr>
          <w:cantSplit/>
          <w:tblHeader w:val="off"/>
        </w:trPr>
        <w:tc>
          <w:tcPr>
            <w:tcW w:type="dxa" w:w="3212"/>
            <w:tcMar>
              <w:top w:type="dxa" w:w="80"/>
              <w:left w:type="dxa" w:w="100"/>
              <w:bottom w:type="dxa" w:w="80"/>
              <w:right w:type="dxa" w:w="100"/>
            </w:tcMar>
          </w:tcPr>
          <w:p>
            <w:pPr>
              <w:pStyle w:val="Tabla"/>
            </w:pPr>
            <w:r>
              <w:t xml:space="preserve">C-4:3</w:t>
            </w:r>
          </w:p>
        </w:tc>
        <w:tc>
          <w:tcPr>
            <w:tcW w:type="dxa" w:w="3210"/>
            <w:tcMar>
              <w:top w:type="dxa" w:w="80"/>
              <w:left w:type="dxa" w:w="100"/>
              <w:bottom w:type="dxa" w:w="80"/>
              <w:right w:type="dxa" w:w="100"/>
            </w:tcMar>
          </w:tcPr>
          <w:p>
            <w:pPr>
              <w:pStyle w:val="Tabla"/>
            </w:pPr>
            <w:r>
              <w:t xml:space="preserve">C-8:3</w:t>
            </w:r>
          </w:p>
        </w:tc>
        <w:tc>
          <w:tcPr>
            <w:tcW w:type="dxa" w:w="3210"/>
            <w:tcMar>
              <w:top w:type="dxa" w:w="80"/>
              <w:left w:type="dxa" w:w="100"/>
              <w:bottom w:type="dxa" w:w="80"/>
              <w:right w:type="dxa" w:w="100"/>
            </w:tcMar>
          </w:tcPr>
          <w:p>
            <w:pPr>
              <w:pStyle w:val="Tabla"/>
            </w:pPr>
            <w:r>
              <w:t xml:space="preserve">identica. Identidad por SHA-256 de la página renderizada a 200 px; se conserva el contenido y cambia su posición en el PDF.</w:t>
            </w:r>
          </w:p>
        </w:tc>
      </w:tr>
      <w:tr>
        <w:trPr>
          <w:cantSplit/>
          <w:tblHeader w:val="off"/>
        </w:trPr>
        <w:tc>
          <w:tcPr>
            <w:tcW w:type="dxa" w:w="3212"/>
            <w:tcMar>
              <w:top w:type="dxa" w:w="80"/>
              <w:left w:type="dxa" w:w="100"/>
              <w:bottom w:type="dxa" w:w="80"/>
              <w:right w:type="dxa" w:w="100"/>
            </w:tcMar>
          </w:tcPr>
          <w:p>
            <w:pPr>
              <w:pStyle w:val="Tabla"/>
            </w:pPr>
            <w:r>
              <w:t xml:space="preserve">C-4:4</w:t>
            </w:r>
          </w:p>
        </w:tc>
        <w:tc>
          <w:tcPr>
            <w:tcW w:type="dxa" w:w="3210"/>
            <w:tcMar>
              <w:top w:type="dxa" w:w="80"/>
              <w:left w:type="dxa" w:w="100"/>
              <w:bottom w:type="dxa" w:w="80"/>
              <w:right w:type="dxa" w:w="100"/>
            </w:tcMar>
          </w:tcPr>
          <w:p>
            <w:pPr>
              <w:pStyle w:val="Tabla"/>
            </w:pPr>
            <w:r>
              <w:t xml:space="preserve">C-8:4</w:t>
            </w:r>
          </w:p>
        </w:tc>
        <w:tc>
          <w:tcPr>
            <w:tcW w:type="dxa" w:w="3210"/>
            <w:tcMar>
              <w:top w:type="dxa" w:w="80"/>
              <w:left w:type="dxa" w:w="100"/>
              <w:bottom w:type="dxa" w:w="80"/>
              <w:right w:type="dxa" w:w="100"/>
            </w:tcMar>
          </w:tcPr>
          <w:p>
            <w:pPr>
              <w:pStyle w:val="Tabla"/>
            </w:pPr>
            <w:r>
              <w:t xml:space="preserve">identica. Identidad por SHA-256 de la página renderizada a 200 px; se conserva el contenido y cambia su posición en el PDF.</w:t>
            </w:r>
          </w:p>
        </w:tc>
      </w:tr>
      <w:tr>
        <w:trPr>
          <w:cantSplit/>
          <w:tblHeader w:val="off"/>
        </w:trPr>
        <w:tc>
          <w:tcPr>
            <w:tcW w:type="dxa" w:w="3212"/>
            <w:tcMar>
              <w:top w:type="dxa" w:w="80"/>
              <w:left w:type="dxa" w:w="100"/>
              <w:bottom w:type="dxa" w:w="80"/>
              <w:right w:type="dxa" w:w="100"/>
            </w:tcMar>
          </w:tcPr>
          <w:p>
            <w:pPr>
              <w:pStyle w:val="Tabla"/>
            </w:pPr>
            <w:r>
              <w:t xml:space="preserve">C-4:5</w:t>
            </w:r>
          </w:p>
        </w:tc>
        <w:tc>
          <w:tcPr>
            <w:tcW w:type="dxa" w:w="3210"/>
            <w:tcMar>
              <w:top w:type="dxa" w:w="80"/>
              <w:left w:type="dxa" w:w="100"/>
              <w:bottom w:type="dxa" w:w="80"/>
              <w:right w:type="dxa" w:w="100"/>
            </w:tcMar>
          </w:tcPr>
          <w:p>
            <w:pPr>
              <w:pStyle w:val="Tabla"/>
            </w:pPr>
            <w:r>
              <w:t xml:space="preserve">C-8:5</w:t>
            </w:r>
          </w:p>
        </w:tc>
        <w:tc>
          <w:tcPr>
            <w:tcW w:type="dxa" w:w="3210"/>
            <w:tcMar>
              <w:top w:type="dxa" w:w="80"/>
              <w:left w:type="dxa" w:w="100"/>
              <w:bottom w:type="dxa" w:w="80"/>
              <w:right w:type="dxa" w:w="100"/>
            </w:tcMar>
          </w:tcPr>
          <w:p>
            <w:pPr>
              <w:pStyle w:val="Tabla"/>
            </w:pPr>
            <w:r>
              <w:t xml:space="preserve">identica. Identidad por SHA-256 de la página renderizada a 200 px; se conserva el contenido y cambia su posición en el PDF.</w:t>
            </w:r>
          </w:p>
        </w:tc>
      </w:tr>
      <w:tr>
        <w:trPr>
          <w:cantSplit/>
          <w:tblHeader w:val="off"/>
        </w:trPr>
        <w:tc>
          <w:tcPr>
            <w:tcW w:type="dxa" w:w="3212"/>
            <w:tcMar>
              <w:top w:type="dxa" w:w="80"/>
              <w:left w:type="dxa" w:w="100"/>
              <w:bottom w:type="dxa" w:w="80"/>
              <w:right w:type="dxa" w:w="100"/>
            </w:tcMar>
          </w:tcPr>
          <w:p>
            <w:pPr>
              <w:pStyle w:val="Tabla"/>
            </w:pPr>
            <w:r>
              <w:t xml:space="preserve">C-4:6</w:t>
            </w:r>
          </w:p>
        </w:tc>
        <w:tc>
          <w:tcPr>
            <w:tcW w:type="dxa" w:w="3210"/>
            <w:tcMar>
              <w:top w:type="dxa" w:w="80"/>
              <w:left w:type="dxa" w:w="100"/>
              <w:bottom w:type="dxa" w:w="80"/>
              <w:right w:type="dxa" w:w="100"/>
            </w:tcMar>
          </w:tcPr>
          <w:p>
            <w:pPr>
              <w:pStyle w:val="Tabla"/>
            </w:pPr>
            <w:r>
              <w:t xml:space="preserve">C-8:6</w:t>
            </w:r>
          </w:p>
        </w:tc>
        <w:tc>
          <w:tcPr>
            <w:tcW w:type="dxa" w:w="3210"/>
            <w:tcMar>
              <w:top w:type="dxa" w:w="80"/>
              <w:left w:type="dxa" w:w="100"/>
              <w:bottom w:type="dxa" w:w="80"/>
              <w:right w:type="dxa" w:w="100"/>
            </w:tcMar>
          </w:tcPr>
          <w:p>
            <w:pPr>
              <w:pStyle w:val="Tabla"/>
            </w:pPr>
            <w:r>
              <w:t xml:space="preserve">identica. Identidad por SHA-256 de la página renderizada a 200 px; se conserva el contenido y cambia su posición en el PDF.</w:t>
            </w:r>
          </w:p>
        </w:tc>
      </w:tr>
      <w:tr>
        <w:trPr>
          <w:cantSplit/>
          <w:tblHeader w:val="off"/>
        </w:trPr>
        <w:tc>
          <w:tcPr>
            <w:tcW w:type="dxa" w:w="3212"/>
            <w:tcMar>
              <w:top w:type="dxa" w:w="80"/>
              <w:left w:type="dxa" w:w="100"/>
              <w:bottom w:type="dxa" w:w="80"/>
              <w:right w:type="dxa" w:w="100"/>
            </w:tcMar>
          </w:tcPr>
          <w:p>
            <w:pPr>
              <w:pStyle w:val="Tabla"/>
            </w:pPr>
            <w:r>
              <w:t xml:space="preserve">C-4:7</w:t>
            </w:r>
          </w:p>
        </w:tc>
        <w:tc>
          <w:tcPr>
            <w:tcW w:type="dxa" w:w="3210"/>
            <w:tcMar>
              <w:top w:type="dxa" w:w="80"/>
              <w:left w:type="dxa" w:w="100"/>
              <w:bottom w:type="dxa" w:w="80"/>
              <w:right w:type="dxa" w:w="100"/>
            </w:tcMar>
          </w:tcPr>
          <w:p>
            <w:pPr>
              <w:pStyle w:val="Tabla"/>
            </w:pPr>
            <w:r>
              <w:t xml:space="preserve">C-8:7</w:t>
            </w:r>
          </w:p>
        </w:tc>
        <w:tc>
          <w:tcPr>
            <w:tcW w:type="dxa" w:w="3210"/>
            <w:tcMar>
              <w:top w:type="dxa" w:w="80"/>
              <w:left w:type="dxa" w:w="100"/>
              <w:bottom w:type="dxa" w:w="80"/>
              <w:right w:type="dxa" w:w="100"/>
            </w:tcMar>
          </w:tcPr>
          <w:p>
            <w:pPr>
              <w:pStyle w:val="Tabla"/>
            </w:pPr>
            <w:r>
              <w:t xml:space="preserve">identica. Identidad por SHA-256 de la página renderizada a 200 px; se conserva el contenido y cambia su posición en el PDF.</w:t>
            </w:r>
          </w:p>
        </w:tc>
      </w:tr>
      <w:tr>
        <w:trPr>
          <w:cantSplit/>
          <w:tblHeader w:val="off"/>
        </w:trPr>
        <w:tc>
          <w:tcPr>
            <w:tcW w:type="dxa" w:w="3212"/>
            <w:tcMar>
              <w:top w:type="dxa" w:w="80"/>
              <w:left w:type="dxa" w:w="100"/>
              <w:bottom w:type="dxa" w:w="80"/>
              <w:right w:type="dxa" w:w="100"/>
            </w:tcMar>
          </w:tcPr>
          <w:p>
            <w:pPr>
              <w:pStyle w:val="Tabla"/>
            </w:pPr>
            <w:r>
              <w:t xml:space="preserve">C-4:8</w:t>
            </w:r>
          </w:p>
        </w:tc>
        <w:tc>
          <w:tcPr>
            <w:tcW w:type="dxa" w:w="3210"/>
            <w:tcMar>
              <w:top w:type="dxa" w:w="80"/>
              <w:left w:type="dxa" w:w="100"/>
              <w:bottom w:type="dxa" w:w="80"/>
              <w:right w:type="dxa" w:w="100"/>
            </w:tcMar>
          </w:tcPr>
          <w:p>
            <w:pPr>
              <w:pStyle w:val="Tabla"/>
            </w:pPr>
            <w:r>
              <w:t xml:space="preserve">C-8:8</w:t>
            </w:r>
          </w:p>
        </w:tc>
        <w:tc>
          <w:tcPr>
            <w:tcW w:type="dxa" w:w="3210"/>
            <w:tcMar>
              <w:top w:type="dxa" w:w="80"/>
              <w:left w:type="dxa" w:w="100"/>
              <w:bottom w:type="dxa" w:w="80"/>
              <w:right w:type="dxa" w:w="100"/>
            </w:tcMar>
          </w:tcPr>
          <w:p>
            <w:pPr>
              <w:pStyle w:val="Tabla"/>
            </w:pPr>
            <w:r>
              <w:t xml:space="preserve">identica. Identidad por SHA-256 de la página renderizada a 200 px; se conserva el contenido y cambia su posición en el PDF.</w:t>
            </w:r>
          </w:p>
        </w:tc>
      </w:tr>
      <w:tr>
        <w:trPr>
          <w:cantSplit/>
          <w:tblHeader w:val="off"/>
        </w:trPr>
        <w:tc>
          <w:tcPr>
            <w:tcW w:type="dxa" w:w="3212"/>
            <w:tcMar>
              <w:top w:type="dxa" w:w="80"/>
              <w:left w:type="dxa" w:w="100"/>
              <w:bottom w:type="dxa" w:w="80"/>
              <w:right w:type="dxa" w:w="100"/>
            </w:tcMar>
          </w:tcPr>
          <w:p>
            <w:pPr>
              <w:pStyle w:val="Tabla"/>
            </w:pPr>
            <w:r>
              <w:t xml:space="preserve">C-4:9</w:t>
            </w:r>
          </w:p>
        </w:tc>
        <w:tc>
          <w:tcPr>
            <w:tcW w:type="dxa" w:w="3210"/>
            <w:tcMar>
              <w:top w:type="dxa" w:w="80"/>
              <w:left w:type="dxa" w:w="100"/>
              <w:bottom w:type="dxa" w:w="80"/>
              <w:right w:type="dxa" w:w="100"/>
            </w:tcMar>
          </w:tcPr>
          <w:p>
            <w:pPr>
              <w:pStyle w:val="Tabla"/>
            </w:pPr>
            <w:r>
              <w:t xml:space="preserve">C-8:9</w:t>
            </w:r>
          </w:p>
        </w:tc>
        <w:tc>
          <w:tcPr>
            <w:tcW w:type="dxa" w:w="3210"/>
            <w:tcMar>
              <w:top w:type="dxa" w:w="80"/>
              <w:left w:type="dxa" w:w="100"/>
              <w:bottom w:type="dxa" w:w="80"/>
              <w:right w:type="dxa" w:w="100"/>
            </w:tcMar>
          </w:tcPr>
          <w:p>
            <w:pPr>
              <w:pStyle w:val="Tabla"/>
            </w:pPr>
            <w:r>
              <w:t xml:space="preserve">identica. Identidad por SHA-256 de la página renderizada a 200 px; se conserva el contenido y cambia su posición en el PDF.</w:t>
            </w:r>
          </w:p>
        </w:tc>
      </w:tr>
      <w:tr>
        <w:trPr>
          <w:cantSplit/>
          <w:tblHeader w:val="off"/>
        </w:trPr>
        <w:tc>
          <w:tcPr>
            <w:tcW w:type="dxa" w:w="3212"/>
            <w:tcMar>
              <w:top w:type="dxa" w:w="80"/>
              <w:left w:type="dxa" w:w="100"/>
              <w:bottom w:type="dxa" w:w="80"/>
              <w:right w:type="dxa" w:w="100"/>
            </w:tcMar>
          </w:tcPr>
          <w:p>
            <w:pPr>
              <w:pStyle w:val="Tabla"/>
            </w:pPr>
            <w:r>
              <w:t xml:space="preserve">C-4:11</w:t>
            </w:r>
          </w:p>
        </w:tc>
        <w:tc>
          <w:tcPr>
            <w:tcW w:type="dxa" w:w="3210"/>
            <w:tcMar>
              <w:top w:type="dxa" w:w="80"/>
              <w:left w:type="dxa" w:w="100"/>
              <w:bottom w:type="dxa" w:w="80"/>
              <w:right w:type="dxa" w:w="100"/>
            </w:tcMar>
          </w:tcPr>
          <w:p>
            <w:pPr>
              <w:pStyle w:val="Tabla"/>
            </w:pPr>
            <w:r>
              <w:t xml:space="preserve">C-8:10</w:t>
            </w:r>
          </w:p>
        </w:tc>
        <w:tc>
          <w:tcPr>
            <w:tcW w:type="dxa" w:w="3210"/>
            <w:tcMar>
              <w:top w:type="dxa" w:w="80"/>
              <w:left w:type="dxa" w:w="100"/>
              <w:bottom w:type="dxa" w:w="80"/>
              <w:right w:type="dxa" w:w="100"/>
            </w:tcMar>
          </w:tcPr>
          <w:p>
            <w:pPr>
              <w:pStyle w:val="Tabla"/>
            </w:pPr>
            <w:r>
              <w:t xml:space="preserve">identica. Identidad por SHA-256 de la página renderizada a 200 px; se conserva el contenido y cambia su posición en el PDF.</w:t>
            </w:r>
          </w:p>
        </w:tc>
      </w:tr>
      <w:tr>
        <w:trPr>
          <w:cantSplit/>
          <w:tblHeader w:val="off"/>
        </w:trPr>
        <w:tc>
          <w:tcPr>
            <w:tcW w:type="dxa" w:w="3212"/>
            <w:tcMar>
              <w:top w:type="dxa" w:w="80"/>
              <w:left w:type="dxa" w:w="100"/>
              <w:bottom w:type="dxa" w:w="80"/>
              <w:right w:type="dxa" w:w="100"/>
            </w:tcMar>
          </w:tcPr>
          <w:p>
            <w:pPr>
              <w:pStyle w:val="Tabla"/>
            </w:pPr>
            <w:r>
              <w:t xml:space="preserve">C-4:12</w:t>
            </w:r>
          </w:p>
        </w:tc>
        <w:tc>
          <w:tcPr>
            <w:tcW w:type="dxa" w:w="3210"/>
            <w:tcMar>
              <w:top w:type="dxa" w:w="80"/>
              <w:left w:type="dxa" w:w="100"/>
              <w:bottom w:type="dxa" w:w="80"/>
              <w:right w:type="dxa" w:w="100"/>
            </w:tcMar>
          </w:tcPr>
          <w:p>
            <w:pPr>
              <w:pStyle w:val="Tabla"/>
            </w:pPr>
            <w:r>
              <w:t xml:space="preserve">C-8:11</w:t>
            </w:r>
          </w:p>
        </w:tc>
        <w:tc>
          <w:tcPr>
            <w:tcW w:type="dxa" w:w="3210"/>
            <w:tcMar>
              <w:top w:type="dxa" w:w="80"/>
              <w:left w:type="dxa" w:w="100"/>
              <w:bottom w:type="dxa" w:w="80"/>
              <w:right w:type="dxa" w:w="100"/>
            </w:tcMar>
          </w:tcPr>
          <w:p>
            <w:pPr>
              <w:pStyle w:val="Tabla"/>
            </w:pPr>
            <w:r>
              <w:t xml:space="preserve">identica. Identidad por SHA-256 de la página renderizada a 200 px; se conserva el contenido y cambia su posición en el PDF.</w:t>
            </w:r>
          </w:p>
        </w:tc>
      </w:tr>
      <w:tr>
        <w:trPr>
          <w:cantSplit/>
          <w:tblHeader w:val="off"/>
        </w:trPr>
        <w:tc>
          <w:tcPr>
            <w:tcW w:type="dxa" w:w="3212"/>
            <w:tcMar>
              <w:top w:type="dxa" w:w="80"/>
              <w:left w:type="dxa" w:w="100"/>
              <w:bottom w:type="dxa" w:w="80"/>
              <w:right w:type="dxa" w:w="100"/>
            </w:tcMar>
          </w:tcPr>
          <w:p>
            <w:pPr>
              <w:pStyle w:val="Tabla"/>
            </w:pPr>
            <w:r>
              <w:t xml:space="preserve">C-4:13</w:t>
            </w:r>
          </w:p>
        </w:tc>
        <w:tc>
          <w:tcPr>
            <w:tcW w:type="dxa" w:w="3210"/>
            <w:tcMar>
              <w:top w:type="dxa" w:w="80"/>
              <w:left w:type="dxa" w:w="100"/>
              <w:bottom w:type="dxa" w:w="80"/>
              <w:right w:type="dxa" w:w="100"/>
            </w:tcMar>
          </w:tcPr>
          <w:p>
            <w:pPr>
              <w:pStyle w:val="Tabla"/>
            </w:pPr>
            <w:r>
              <w:t xml:space="preserve">C-8:12</w:t>
            </w:r>
          </w:p>
        </w:tc>
        <w:tc>
          <w:tcPr>
            <w:tcW w:type="dxa" w:w="3210"/>
            <w:tcMar>
              <w:top w:type="dxa" w:w="80"/>
              <w:left w:type="dxa" w:w="100"/>
              <w:bottom w:type="dxa" w:w="80"/>
              <w:right w:type="dxa" w:w="100"/>
            </w:tcMar>
          </w:tcPr>
          <w:p>
            <w:pPr>
              <w:pStyle w:val="Tabla"/>
            </w:pPr>
            <w:r>
              <w:t xml:space="preserve">identica. Identidad por SHA-256 de la página renderizada a 200 px; se conserva el contenido y cambia su posición en el PDF.</w:t>
            </w:r>
          </w:p>
        </w:tc>
      </w:tr>
      <w:tr>
        <w:trPr>
          <w:cantSplit/>
          <w:tblHeader w:val="off"/>
        </w:trPr>
        <w:tc>
          <w:tcPr>
            <w:tcW w:type="dxa" w:w="3212"/>
            <w:tcMar>
              <w:top w:type="dxa" w:w="80"/>
              <w:left w:type="dxa" w:w="100"/>
              <w:bottom w:type="dxa" w:w="80"/>
              <w:right w:type="dxa" w:w="100"/>
            </w:tcMar>
          </w:tcPr>
          <w:p>
            <w:pPr>
              <w:pStyle w:val="Tabla"/>
            </w:pPr>
            <w:r>
              <w:t xml:space="preserve">C-4:14</w:t>
            </w:r>
          </w:p>
        </w:tc>
        <w:tc>
          <w:tcPr>
            <w:tcW w:type="dxa" w:w="3210"/>
            <w:tcMar>
              <w:top w:type="dxa" w:w="80"/>
              <w:left w:type="dxa" w:w="100"/>
              <w:bottom w:type="dxa" w:w="80"/>
              <w:right w:type="dxa" w:w="100"/>
            </w:tcMar>
          </w:tcPr>
          <w:p>
            <w:pPr>
              <w:pStyle w:val="Tabla"/>
            </w:pPr>
            <w:r>
              <w:t xml:space="preserve">C-8:13</w:t>
            </w:r>
          </w:p>
        </w:tc>
        <w:tc>
          <w:tcPr>
            <w:tcW w:type="dxa" w:w="3210"/>
            <w:tcMar>
              <w:top w:type="dxa" w:w="80"/>
              <w:left w:type="dxa" w:w="100"/>
              <w:bottom w:type="dxa" w:w="80"/>
              <w:right w:type="dxa" w:w="100"/>
            </w:tcMar>
          </w:tcPr>
          <w:p>
            <w:pPr>
              <w:pStyle w:val="Tabla"/>
            </w:pPr>
            <w:r>
              <w:t xml:space="preserve">identica. Identidad por SHA-256 de la página renderizada a 200 px; se conserva el contenido y cambia su posición en el PDF.</w:t>
            </w:r>
          </w:p>
        </w:tc>
      </w:tr>
      <w:tr>
        <w:trPr>
          <w:cantSplit/>
          <w:tblHeader w:val="off"/>
        </w:trPr>
        <w:tc>
          <w:tcPr>
            <w:tcW w:type="dxa" w:w="3212"/>
            <w:tcMar>
              <w:top w:type="dxa" w:w="80"/>
              <w:left w:type="dxa" w:w="100"/>
              <w:bottom w:type="dxa" w:w="80"/>
              <w:right w:type="dxa" w:w="100"/>
            </w:tcMar>
          </w:tcPr>
          <w:p>
            <w:pPr>
              <w:pStyle w:val="Tabla"/>
            </w:pPr>
            <w:r>
              <w:t xml:space="preserve">C-4:15, C-4:18</w:t>
            </w:r>
          </w:p>
        </w:tc>
        <w:tc>
          <w:tcPr>
            <w:tcW w:type="dxa" w:w="3210"/>
            <w:tcMar>
              <w:top w:type="dxa" w:w="80"/>
              <w:left w:type="dxa" w:w="100"/>
              <w:bottom w:type="dxa" w:w="80"/>
              <w:right w:type="dxa" w:w="100"/>
            </w:tcMar>
          </w:tcPr>
          <w:p>
            <w:pPr>
              <w:pStyle w:val="Tabla"/>
            </w:pPr>
            <w:r>
              <w:t xml:space="preserve">C-8:14</w:t>
            </w:r>
          </w:p>
        </w:tc>
        <w:tc>
          <w:tcPr>
            <w:tcW w:type="dxa" w:w="3210"/>
            <w:tcMar>
              <w:top w:type="dxa" w:w="80"/>
              <w:left w:type="dxa" w:w="100"/>
              <w:bottom w:type="dxa" w:w="80"/>
              <w:right w:type="dxa" w:w="100"/>
            </w:tcMar>
          </w:tcPr>
          <w:p>
            <w:pPr>
              <w:pStyle w:val="Tabla"/>
            </w:pPr>
            <w:r>
              <w:t xml:space="preserve">identica. Identidad por SHA-256 de la página renderizada a 200 px; se conserva el contenido y cambia su posición en el PDF.</w:t>
            </w:r>
          </w:p>
        </w:tc>
      </w:tr>
      <w:tr>
        <w:trPr>
          <w:cantSplit/>
          <w:tblHeader w:val="off"/>
        </w:trPr>
        <w:tc>
          <w:tcPr>
            <w:tcW w:type="dxa" w:w="3212"/>
            <w:tcMar>
              <w:top w:type="dxa" w:w="80"/>
              <w:left w:type="dxa" w:w="100"/>
              <w:bottom w:type="dxa" w:w="80"/>
              <w:right w:type="dxa" w:w="100"/>
            </w:tcMar>
          </w:tcPr>
          <w:p>
            <w:pPr>
              <w:pStyle w:val="Tabla"/>
            </w:pPr>
            <w:r>
              <w:t xml:space="preserve">C-4:16, C-4:19</w:t>
            </w:r>
          </w:p>
        </w:tc>
        <w:tc>
          <w:tcPr>
            <w:tcW w:type="dxa" w:w="3210"/>
            <w:tcMar>
              <w:top w:type="dxa" w:w="80"/>
              <w:left w:type="dxa" w:w="100"/>
              <w:bottom w:type="dxa" w:w="80"/>
              <w:right w:type="dxa" w:w="100"/>
            </w:tcMar>
          </w:tcPr>
          <w:p>
            <w:pPr>
              <w:pStyle w:val="Tabla"/>
            </w:pPr>
            <w:r>
              <w:t xml:space="preserve">C-8:15</w:t>
            </w:r>
          </w:p>
        </w:tc>
        <w:tc>
          <w:tcPr>
            <w:tcW w:type="dxa" w:w="3210"/>
            <w:tcMar>
              <w:top w:type="dxa" w:w="80"/>
              <w:left w:type="dxa" w:w="100"/>
              <w:bottom w:type="dxa" w:w="80"/>
              <w:right w:type="dxa" w:w="100"/>
            </w:tcMar>
          </w:tcPr>
          <w:p>
            <w:pPr>
              <w:pStyle w:val="Tabla"/>
            </w:pPr>
            <w:r>
              <w:t xml:space="preserve">identica. Identidad por SHA-256 de la página renderizada a 200 px; se conserva el contenido y cambia su posición en el PDF.</w:t>
            </w:r>
          </w:p>
        </w:tc>
      </w:tr>
      <w:tr>
        <w:trPr>
          <w:cantSplit/>
          <w:tblHeader w:val="off"/>
        </w:trPr>
        <w:tc>
          <w:tcPr>
            <w:tcW w:type="dxa" w:w="3212"/>
            <w:tcMar>
              <w:top w:type="dxa" w:w="80"/>
              <w:left w:type="dxa" w:w="100"/>
              <w:bottom w:type="dxa" w:w="80"/>
              <w:right w:type="dxa" w:w="100"/>
            </w:tcMar>
          </w:tcPr>
          <w:p>
            <w:pPr>
              <w:pStyle w:val="Tabla"/>
            </w:pPr>
            <w:r>
              <w:t xml:space="preserve">C-4:20</w:t>
            </w:r>
          </w:p>
        </w:tc>
        <w:tc>
          <w:tcPr>
            <w:tcW w:type="dxa" w:w="3210"/>
            <w:tcMar>
              <w:top w:type="dxa" w:w="80"/>
              <w:left w:type="dxa" w:w="100"/>
              <w:bottom w:type="dxa" w:w="80"/>
              <w:right w:type="dxa" w:w="100"/>
            </w:tcMar>
          </w:tcPr>
          <w:p>
            <w:pPr>
              <w:pStyle w:val="Tabla"/>
            </w:pPr>
            <w:r>
              <w:t xml:space="preserve">C-8:16</w:t>
            </w:r>
          </w:p>
        </w:tc>
        <w:tc>
          <w:tcPr>
            <w:tcW w:type="dxa" w:w="3210"/>
            <w:tcMar>
              <w:top w:type="dxa" w:w="80"/>
              <w:left w:type="dxa" w:w="100"/>
              <w:bottom w:type="dxa" w:w="80"/>
              <w:right w:type="dxa" w:w="100"/>
            </w:tcMar>
          </w:tcPr>
          <w:p>
            <w:pPr>
              <w:pStyle w:val="Tabla"/>
            </w:pPr>
            <w:r>
              <w:t xml:space="preserve">identica. Identidad por SHA-256 de la página renderizada a 200 px; se conserva el contenido y cambia su posición en el PDF.</w:t>
            </w:r>
          </w:p>
        </w:tc>
      </w:tr>
      <w:tr>
        <w:trPr>
          <w:cantSplit/>
          <w:tblHeader w:val="off"/>
        </w:trPr>
        <w:tc>
          <w:tcPr>
            <w:tcW w:type="dxa" w:w="3212"/>
            <w:tcMar>
              <w:top w:type="dxa" w:w="80"/>
              <w:left w:type="dxa" w:w="100"/>
              <w:bottom w:type="dxa" w:w="80"/>
              <w:right w:type="dxa" w:w="100"/>
            </w:tcMar>
          </w:tcPr>
          <w:p>
            <w:pPr>
              <w:pStyle w:val="Tabla"/>
            </w:pPr>
            <w:r>
              <w:t xml:space="preserve">C-4:21</w:t>
            </w:r>
          </w:p>
        </w:tc>
        <w:tc>
          <w:tcPr>
            <w:tcW w:type="dxa" w:w="3210"/>
            <w:tcMar>
              <w:top w:type="dxa" w:w="80"/>
              <w:left w:type="dxa" w:w="100"/>
              <w:bottom w:type="dxa" w:w="80"/>
              <w:right w:type="dxa" w:w="100"/>
            </w:tcMar>
          </w:tcPr>
          <w:p>
            <w:pPr>
              <w:pStyle w:val="Tabla"/>
            </w:pPr>
            <w:r>
              <w:t xml:space="preserve">C-8:17</w:t>
            </w:r>
          </w:p>
        </w:tc>
        <w:tc>
          <w:tcPr>
            <w:tcW w:type="dxa" w:w="3210"/>
            <w:tcMar>
              <w:top w:type="dxa" w:w="80"/>
              <w:left w:type="dxa" w:w="100"/>
              <w:bottom w:type="dxa" w:w="80"/>
              <w:right w:type="dxa" w:w="100"/>
            </w:tcMar>
          </w:tcPr>
          <w:p>
            <w:pPr>
              <w:pStyle w:val="Tabla"/>
            </w:pPr>
            <w:r>
              <w:t xml:space="preserve">identica. Identidad por SHA-256 de la página renderizada a 200 px; se conserva el contenido y cambia su posición en el PDF.</w:t>
            </w:r>
          </w:p>
        </w:tc>
      </w:tr>
      <w:tr>
        <w:trPr>
          <w:cantSplit/>
          <w:tblHeader w:val="off"/>
        </w:trPr>
        <w:tc>
          <w:tcPr>
            <w:tcW w:type="dxa" w:w="3212"/>
            <w:tcMar>
              <w:top w:type="dxa" w:w="80"/>
              <w:left w:type="dxa" w:w="100"/>
              <w:bottom w:type="dxa" w:w="80"/>
              <w:right w:type="dxa" w:w="100"/>
            </w:tcMar>
          </w:tcPr>
          <w:p>
            <w:pPr>
              <w:pStyle w:val="Tabla"/>
            </w:pPr>
            <w:r>
              <w:t xml:space="preserve">C-4:15, C-4:18</w:t>
            </w:r>
          </w:p>
        </w:tc>
        <w:tc>
          <w:tcPr>
            <w:tcW w:type="dxa" w:w="3210"/>
            <w:tcMar>
              <w:top w:type="dxa" w:w="80"/>
              <w:left w:type="dxa" w:w="100"/>
              <w:bottom w:type="dxa" w:w="80"/>
              <w:right w:type="dxa" w:w="100"/>
            </w:tcMar>
          </w:tcPr>
          <w:p>
            <w:pPr>
              <w:pStyle w:val="Tabla"/>
            </w:pPr>
            <w:r>
              <w:t xml:space="preserve">C-8:18</w:t>
            </w:r>
          </w:p>
        </w:tc>
        <w:tc>
          <w:tcPr>
            <w:tcW w:type="dxa" w:w="3210"/>
            <w:tcMar>
              <w:top w:type="dxa" w:w="80"/>
              <w:left w:type="dxa" w:w="100"/>
              <w:bottom w:type="dxa" w:w="80"/>
              <w:right w:type="dxa" w:w="100"/>
            </w:tcMar>
          </w:tcPr>
          <w:p>
            <w:pPr>
              <w:pStyle w:val="Tabla"/>
            </w:pPr>
            <w:r>
              <w:t xml:space="preserve">identica. Identidad por SHA-256 de la página renderizada a 200 px; se conserva el contenido y cambia su posición en el PDF.</w:t>
            </w:r>
          </w:p>
        </w:tc>
      </w:tr>
      <w:tr>
        <w:trPr>
          <w:cantSplit/>
          <w:tblHeader w:val="off"/>
        </w:trPr>
        <w:tc>
          <w:tcPr>
            <w:tcW w:type="dxa" w:w="3212"/>
            <w:tcMar>
              <w:top w:type="dxa" w:w="80"/>
              <w:left w:type="dxa" w:w="100"/>
              <w:bottom w:type="dxa" w:w="80"/>
              <w:right w:type="dxa" w:w="100"/>
            </w:tcMar>
          </w:tcPr>
          <w:p>
            <w:pPr>
              <w:pStyle w:val="Tabla"/>
            </w:pPr>
            <w:r>
              <w:t xml:space="preserve">C-4:16, C-4:19</w:t>
            </w:r>
          </w:p>
        </w:tc>
        <w:tc>
          <w:tcPr>
            <w:tcW w:type="dxa" w:w="3210"/>
            <w:tcMar>
              <w:top w:type="dxa" w:w="80"/>
              <w:left w:type="dxa" w:w="100"/>
              <w:bottom w:type="dxa" w:w="80"/>
              <w:right w:type="dxa" w:w="100"/>
            </w:tcMar>
          </w:tcPr>
          <w:p>
            <w:pPr>
              <w:pStyle w:val="Tabla"/>
            </w:pPr>
            <w:r>
              <w:t xml:space="preserve">C-8:19</w:t>
            </w:r>
          </w:p>
        </w:tc>
        <w:tc>
          <w:tcPr>
            <w:tcW w:type="dxa" w:w="3210"/>
            <w:tcMar>
              <w:top w:type="dxa" w:w="80"/>
              <w:left w:type="dxa" w:w="100"/>
              <w:bottom w:type="dxa" w:w="80"/>
              <w:right w:type="dxa" w:w="100"/>
            </w:tcMar>
          </w:tcPr>
          <w:p>
            <w:pPr>
              <w:pStyle w:val="Tabla"/>
            </w:pPr>
            <w:r>
              <w:t xml:space="preserve">identica. Identidad por SHA-256 de la página renderizada a 200 px; se conserva el contenido y cambia su posición en el PDF.</w:t>
            </w:r>
          </w:p>
        </w:tc>
      </w:tr>
      <w:tr>
        <w:trPr>
          <w:cantSplit/>
          <w:tblHeader w:val="off"/>
        </w:trPr>
        <w:tc>
          <w:tcPr>
            <w:tcW w:type="dxa" w:w="3212"/>
            <w:tcMar>
              <w:top w:type="dxa" w:w="80"/>
              <w:left w:type="dxa" w:w="100"/>
              <w:bottom w:type="dxa" w:w="80"/>
              <w:right w:type="dxa" w:w="100"/>
            </w:tcMar>
          </w:tcPr>
          <w:p>
            <w:pPr>
              <w:pStyle w:val="Tabla"/>
            </w:pPr>
            <w:r>
              <w:t xml:space="preserve">C-4:22</w:t>
            </w:r>
          </w:p>
        </w:tc>
        <w:tc>
          <w:tcPr>
            <w:tcW w:type="dxa" w:w="3210"/>
            <w:tcMar>
              <w:top w:type="dxa" w:w="80"/>
              <w:left w:type="dxa" w:w="100"/>
              <w:bottom w:type="dxa" w:w="80"/>
              <w:right w:type="dxa" w:w="100"/>
            </w:tcMar>
          </w:tcPr>
          <w:p>
            <w:pPr>
              <w:pStyle w:val="Tabla"/>
            </w:pPr>
            <w:r>
              <w:t xml:space="preserve">C-8:21</w:t>
            </w:r>
          </w:p>
        </w:tc>
        <w:tc>
          <w:tcPr>
            <w:tcW w:type="dxa" w:w="3210"/>
            <w:tcMar>
              <w:top w:type="dxa" w:w="80"/>
              <w:left w:type="dxa" w:w="100"/>
              <w:bottom w:type="dxa" w:w="80"/>
              <w:right w:type="dxa" w:w="100"/>
            </w:tcMar>
          </w:tcPr>
          <w:p>
            <w:pPr>
              <w:pStyle w:val="Tabla"/>
            </w:pPr>
            <w:r>
              <w:t xml:space="preserve">identica. Identidad por SHA-256 de la página renderizada a 200 px; se conserva el contenido y cambia su posición en el PDF.</w:t>
            </w:r>
          </w:p>
        </w:tc>
      </w:tr>
      <w:tr>
        <w:trPr>
          <w:cantSplit/>
          <w:tblHeader w:val="off"/>
        </w:trPr>
        <w:tc>
          <w:tcPr>
            <w:tcW w:type="dxa" w:w="3212"/>
            <w:tcMar>
              <w:top w:type="dxa" w:w="80"/>
              <w:left w:type="dxa" w:w="100"/>
              <w:bottom w:type="dxa" w:w="80"/>
              <w:right w:type="dxa" w:w="100"/>
            </w:tcMar>
          </w:tcPr>
          <w:p>
            <w:pPr>
              <w:pStyle w:val="Tabla"/>
            </w:pPr>
            <w:r>
              <w:t xml:space="preserve">C-4:23, C-4:26</w:t>
            </w:r>
          </w:p>
        </w:tc>
        <w:tc>
          <w:tcPr>
            <w:tcW w:type="dxa" w:w="3210"/>
            <w:tcMar>
              <w:top w:type="dxa" w:w="80"/>
              <w:left w:type="dxa" w:w="100"/>
              <w:bottom w:type="dxa" w:w="80"/>
              <w:right w:type="dxa" w:w="100"/>
            </w:tcMar>
          </w:tcPr>
          <w:p>
            <w:pPr>
              <w:pStyle w:val="Tabla"/>
            </w:pPr>
            <w:r>
              <w:t xml:space="preserve">C-8:22</w:t>
            </w:r>
          </w:p>
        </w:tc>
        <w:tc>
          <w:tcPr>
            <w:tcW w:type="dxa" w:w="3210"/>
            <w:tcMar>
              <w:top w:type="dxa" w:w="80"/>
              <w:left w:type="dxa" w:w="100"/>
              <w:bottom w:type="dxa" w:w="80"/>
              <w:right w:type="dxa" w:w="100"/>
            </w:tcMar>
          </w:tcPr>
          <w:p>
            <w:pPr>
              <w:pStyle w:val="Tabla"/>
            </w:pPr>
            <w:r>
              <w:t xml:space="preserve">identica. Identidad por SHA-256 de la página renderizada a 200 px; se conserva el contenido y cambia su posición en el PDF.</w:t>
            </w:r>
          </w:p>
        </w:tc>
      </w:tr>
      <w:tr>
        <w:trPr>
          <w:cantSplit/>
          <w:tblHeader w:val="off"/>
        </w:trPr>
        <w:tc>
          <w:tcPr>
            <w:tcW w:type="dxa" w:w="3212"/>
            <w:tcMar>
              <w:top w:type="dxa" w:w="80"/>
              <w:left w:type="dxa" w:w="100"/>
              <w:bottom w:type="dxa" w:w="80"/>
              <w:right w:type="dxa" w:w="100"/>
            </w:tcMar>
          </w:tcPr>
          <w:p>
            <w:pPr>
              <w:pStyle w:val="Tabla"/>
            </w:pPr>
            <w:r>
              <w:t xml:space="preserve">C-4:24</w:t>
            </w:r>
          </w:p>
        </w:tc>
        <w:tc>
          <w:tcPr>
            <w:tcW w:type="dxa" w:w="3210"/>
            <w:tcMar>
              <w:top w:type="dxa" w:w="80"/>
              <w:left w:type="dxa" w:w="100"/>
              <w:bottom w:type="dxa" w:w="80"/>
              <w:right w:type="dxa" w:w="100"/>
            </w:tcMar>
          </w:tcPr>
          <w:p>
            <w:pPr>
              <w:pStyle w:val="Tabla"/>
            </w:pPr>
            <w:r>
              <w:t xml:space="preserve">C-8:23</w:t>
            </w:r>
          </w:p>
        </w:tc>
        <w:tc>
          <w:tcPr>
            <w:tcW w:type="dxa" w:w="3210"/>
            <w:tcMar>
              <w:top w:type="dxa" w:w="80"/>
              <w:left w:type="dxa" w:w="100"/>
              <w:bottom w:type="dxa" w:w="80"/>
              <w:right w:type="dxa" w:w="100"/>
            </w:tcMar>
          </w:tcPr>
          <w:p>
            <w:pPr>
              <w:pStyle w:val="Tabla"/>
            </w:pPr>
            <w:r>
              <w:t xml:space="preserve">identica. Identidad por SHA-256 de la página renderizada a 200 px; se conserva el contenido y cambia su posición en el PDF.</w:t>
            </w:r>
          </w:p>
        </w:tc>
      </w:tr>
      <w:tr>
        <w:trPr>
          <w:cantSplit/>
          <w:tblHeader w:val="off"/>
        </w:trPr>
        <w:tc>
          <w:tcPr>
            <w:tcW w:type="dxa" w:w="3212"/>
            <w:tcMar>
              <w:top w:type="dxa" w:w="80"/>
              <w:left w:type="dxa" w:w="100"/>
              <w:bottom w:type="dxa" w:w="80"/>
              <w:right w:type="dxa" w:w="100"/>
            </w:tcMar>
          </w:tcPr>
          <w:p>
            <w:pPr>
              <w:pStyle w:val="Tabla"/>
            </w:pPr>
            <w:r>
              <w:t xml:space="preserve">C-4:25</w:t>
            </w:r>
          </w:p>
        </w:tc>
        <w:tc>
          <w:tcPr>
            <w:tcW w:type="dxa" w:w="3210"/>
            <w:tcMar>
              <w:top w:type="dxa" w:w="80"/>
              <w:left w:type="dxa" w:w="100"/>
              <w:bottom w:type="dxa" w:w="80"/>
              <w:right w:type="dxa" w:w="100"/>
            </w:tcMar>
          </w:tcPr>
          <w:p>
            <w:pPr>
              <w:pStyle w:val="Tabla"/>
            </w:pPr>
            <w:r>
              <w:t xml:space="preserve">C-8:24</w:t>
            </w:r>
          </w:p>
        </w:tc>
        <w:tc>
          <w:tcPr>
            <w:tcW w:type="dxa" w:w="3210"/>
            <w:tcMar>
              <w:top w:type="dxa" w:w="80"/>
              <w:left w:type="dxa" w:w="100"/>
              <w:bottom w:type="dxa" w:w="80"/>
              <w:right w:type="dxa" w:w="100"/>
            </w:tcMar>
          </w:tcPr>
          <w:p>
            <w:pPr>
              <w:pStyle w:val="Tabla"/>
            </w:pPr>
            <w:r>
              <w:t xml:space="preserve">identica. Identidad por SHA-256 de la página renderizada a 200 px; se conserva el contenido y cambia su posición en el PDF.</w:t>
            </w:r>
          </w:p>
        </w:tc>
      </w:tr>
      <w:tr>
        <w:trPr>
          <w:cantSplit/>
          <w:tblHeader w:val="off"/>
        </w:trPr>
        <w:tc>
          <w:tcPr>
            <w:tcW w:type="dxa" w:w="3212"/>
            <w:tcMar>
              <w:top w:type="dxa" w:w="80"/>
              <w:left w:type="dxa" w:w="100"/>
              <w:bottom w:type="dxa" w:w="80"/>
              <w:right w:type="dxa" w:w="100"/>
            </w:tcMar>
          </w:tcPr>
          <w:p>
            <w:pPr>
              <w:pStyle w:val="Tabla"/>
            </w:pPr>
            <w:r>
              <w:t xml:space="preserve">C-4:27</w:t>
            </w:r>
          </w:p>
        </w:tc>
        <w:tc>
          <w:tcPr>
            <w:tcW w:type="dxa" w:w="3210"/>
            <w:tcMar>
              <w:top w:type="dxa" w:w="80"/>
              <w:left w:type="dxa" w:w="100"/>
              <w:bottom w:type="dxa" w:w="80"/>
              <w:right w:type="dxa" w:w="100"/>
            </w:tcMar>
          </w:tcPr>
          <w:p>
            <w:pPr>
              <w:pStyle w:val="Tabla"/>
            </w:pPr>
            <w:r>
              <w:t xml:space="preserve">C-8:25</w:t>
            </w:r>
          </w:p>
        </w:tc>
        <w:tc>
          <w:tcPr>
            <w:tcW w:type="dxa" w:w="3210"/>
            <w:tcMar>
              <w:top w:type="dxa" w:w="80"/>
              <w:left w:type="dxa" w:w="100"/>
              <w:bottom w:type="dxa" w:w="80"/>
              <w:right w:type="dxa" w:w="100"/>
            </w:tcMar>
          </w:tcPr>
          <w:p>
            <w:pPr>
              <w:pStyle w:val="Tabla"/>
            </w:pPr>
            <w:r>
              <w:t xml:space="preserve">identica. Identidad por SHA-256 de la página renderizada a 200 px; se conserva el contenido y cambia su posición en el PDF.</w:t>
            </w:r>
          </w:p>
        </w:tc>
      </w:tr>
      <w:tr>
        <w:trPr>
          <w:cantSplit/>
          <w:tblHeader w:val="off"/>
        </w:trPr>
        <w:tc>
          <w:tcPr>
            <w:tcW w:type="dxa" w:w="3212"/>
            <w:tcMar>
              <w:top w:type="dxa" w:w="80"/>
              <w:left w:type="dxa" w:w="100"/>
              <w:bottom w:type="dxa" w:w="80"/>
              <w:right w:type="dxa" w:w="100"/>
            </w:tcMar>
          </w:tcPr>
          <w:p>
            <w:pPr>
              <w:pStyle w:val="Tabla"/>
            </w:pPr>
            <w:r>
              <w:t xml:space="preserve">C-4:28</w:t>
            </w:r>
          </w:p>
        </w:tc>
        <w:tc>
          <w:tcPr>
            <w:tcW w:type="dxa" w:w="3210"/>
            <w:tcMar>
              <w:top w:type="dxa" w:w="80"/>
              <w:left w:type="dxa" w:w="100"/>
              <w:bottom w:type="dxa" w:w="80"/>
              <w:right w:type="dxa" w:w="100"/>
            </w:tcMar>
          </w:tcPr>
          <w:p>
            <w:pPr>
              <w:pStyle w:val="Tabla"/>
            </w:pPr>
            <w:r>
              <w:t xml:space="preserve">C-8:26</w:t>
            </w:r>
          </w:p>
        </w:tc>
        <w:tc>
          <w:tcPr>
            <w:tcW w:type="dxa" w:w="3210"/>
            <w:tcMar>
              <w:top w:type="dxa" w:w="80"/>
              <w:left w:type="dxa" w:w="100"/>
              <w:bottom w:type="dxa" w:w="80"/>
              <w:right w:type="dxa" w:w="100"/>
            </w:tcMar>
          </w:tcPr>
          <w:p>
            <w:pPr>
              <w:pStyle w:val="Tabla"/>
            </w:pPr>
            <w:r>
              <w:t xml:space="preserve">identica. Identidad por SHA-256 de la página renderizada a 200 px; se conserva el contenido y cambia su posición en el PDF.</w:t>
            </w:r>
          </w:p>
        </w:tc>
      </w:tr>
      <w:tr>
        <w:trPr>
          <w:cantSplit/>
          <w:tblHeader w:val="off"/>
        </w:trPr>
        <w:tc>
          <w:tcPr>
            <w:tcW w:type="dxa" w:w="3212"/>
            <w:tcMar>
              <w:top w:type="dxa" w:w="80"/>
              <w:left w:type="dxa" w:w="100"/>
              <w:bottom w:type="dxa" w:w="80"/>
              <w:right w:type="dxa" w:w="100"/>
            </w:tcMar>
          </w:tcPr>
          <w:p>
            <w:pPr>
              <w:pStyle w:val="Tabla"/>
            </w:pPr>
            <w:r>
              <w:t xml:space="preserve">C-4:29</w:t>
            </w:r>
          </w:p>
        </w:tc>
        <w:tc>
          <w:tcPr>
            <w:tcW w:type="dxa" w:w="3210"/>
            <w:tcMar>
              <w:top w:type="dxa" w:w="80"/>
              <w:left w:type="dxa" w:w="100"/>
              <w:bottom w:type="dxa" w:w="80"/>
              <w:right w:type="dxa" w:w="100"/>
            </w:tcMar>
          </w:tcPr>
          <w:p>
            <w:pPr>
              <w:pStyle w:val="Tabla"/>
            </w:pPr>
            <w:r>
              <w:t xml:space="preserve">C-8:27</w:t>
            </w:r>
          </w:p>
        </w:tc>
        <w:tc>
          <w:tcPr>
            <w:tcW w:type="dxa" w:w="3210"/>
            <w:tcMar>
              <w:top w:type="dxa" w:w="80"/>
              <w:left w:type="dxa" w:w="100"/>
              <w:bottom w:type="dxa" w:w="80"/>
              <w:right w:type="dxa" w:w="100"/>
            </w:tcMar>
          </w:tcPr>
          <w:p>
            <w:pPr>
              <w:pStyle w:val="Tabla"/>
            </w:pPr>
            <w:r>
              <w:t xml:space="preserve">identica. Identidad por SHA-256 de la página renderizada a 200 px; se conserva el contenido y cambia su posición en el PDF.</w:t>
            </w:r>
          </w:p>
        </w:tc>
      </w:tr>
      <w:tr>
        <w:trPr>
          <w:cantSplit/>
          <w:tblHeader w:val="off"/>
        </w:trPr>
        <w:tc>
          <w:tcPr>
            <w:tcW w:type="dxa" w:w="3212"/>
            <w:tcMar>
              <w:top w:type="dxa" w:w="80"/>
              <w:left w:type="dxa" w:w="100"/>
              <w:bottom w:type="dxa" w:w="80"/>
              <w:right w:type="dxa" w:w="100"/>
            </w:tcMar>
          </w:tcPr>
          <w:p>
            <w:pPr>
              <w:pStyle w:val="Tabla"/>
            </w:pPr>
            <w:r>
              <w:t xml:space="preserve">C-4:30, C-4:32, C-4:42</w:t>
            </w:r>
          </w:p>
        </w:tc>
        <w:tc>
          <w:tcPr>
            <w:tcW w:type="dxa" w:w="3210"/>
            <w:tcMar>
              <w:top w:type="dxa" w:w="80"/>
              <w:left w:type="dxa" w:w="100"/>
              <w:bottom w:type="dxa" w:w="80"/>
              <w:right w:type="dxa" w:w="100"/>
            </w:tcMar>
          </w:tcPr>
          <w:p>
            <w:pPr>
              <w:pStyle w:val="Tabla"/>
            </w:pPr>
            <w:r>
              <w:t xml:space="preserve">C-8:31</w:t>
            </w:r>
          </w:p>
        </w:tc>
        <w:tc>
          <w:tcPr>
            <w:tcW w:type="dxa" w:w="3210"/>
            <w:tcMar>
              <w:top w:type="dxa" w:w="80"/>
              <w:left w:type="dxa" w:w="100"/>
              <w:bottom w:type="dxa" w:w="80"/>
              <w:right w:type="dxa" w:w="100"/>
            </w:tcMar>
          </w:tcPr>
          <w:p>
            <w:pPr>
              <w:pStyle w:val="Tabla"/>
            </w:pPr>
            <w:r>
              <w:t xml:space="preserve">identica. Identidad por SHA-256 de la página renderizada a 200 px; se conserva el contenido y cambia su posición en el PDF.</w:t>
            </w:r>
          </w:p>
        </w:tc>
      </w:tr>
      <w:tr>
        <w:trPr>
          <w:cantSplit/>
          <w:tblHeader w:val="off"/>
        </w:trPr>
        <w:tc>
          <w:tcPr>
            <w:tcW w:type="dxa" w:w="3212"/>
            <w:tcMar>
              <w:top w:type="dxa" w:w="80"/>
              <w:left w:type="dxa" w:w="100"/>
              <w:bottom w:type="dxa" w:w="80"/>
              <w:right w:type="dxa" w:w="100"/>
            </w:tcMar>
          </w:tcPr>
          <w:p>
            <w:pPr>
              <w:pStyle w:val="Tabla"/>
            </w:pPr>
            <w:r>
              <w:t xml:space="preserve">C-4:31, C-4:33</w:t>
            </w:r>
          </w:p>
        </w:tc>
        <w:tc>
          <w:tcPr>
            <w:tcW w:type="dxa" w:w="3210"/>
            <w:tcMar>
              <w:top w:type="dxa" w:w="80"/>
              <w:left w:type="dxa" w:w="100"/>
              <w:bottom w:type="dxa" w:w="80"/>
              <w:right w:type="dxa" w:w="100"/>
            </w:tcMar>
          </w:tcPr>
          <w:p>
            <w:pPr>
              <w:pStyle w:val="Tabla"/>
            </w:pPr>
            <w:r>
              <w:t xml:space="preserve">C-8:32</w:t>
            </w:r>
          </w:p>
        </w:tc>
        <w:tc>
          <w:tcPr>
            <w:tcW w:type="dxa" w:w="3210"/>
            <w:tcMar>
              <w:top w:type="dxa" w:w="80"/>
              <w:left w:type="dxa" w:w="100"/>
              <w:bottom w:type="dxa" w:w="80"/>
              <w:right w:type="dxa" w:w="100"/>
            </w:tcMar>
          </w:tcPr>
          <w:p>
            <w:pPr>
              <w:pStyle w:val="Tabla"/>
            </w:pPr>
            <w:r>
              <w:t xml:space="preserve">identica. Identidad por SHA-256 de la página renderizada a 200 px; se conserva el contenido y cambia su posición en el PDF.</w:t>
            </w:r>
          </w:p>
        </w:tc>
      </w:tr>
      <w:tr>
        <w:trPr>
          <w:cantSplit/>
          <w:tblHeader w:val="off"/>
        </w:trPr>
        <w:tc>
          <w:tcPr>
            <w:tcW w:type="dxa" w:w="3212"/>
            <w:tcMar>
              <w:top w:type="dxa" w:w="80"/>
              <w:left w:type="dxa" w:w="100"/>
              <w:bottom w:type="dxa" w:w="80"/>
              <w:right w:type="dxa" w:w="100"/>
            </w:tcMar>
          </w:tcPr>
          <w:p>
            <w:pPr>
              <w:pStyle w:val="Tabla"/>
            </w:pPr>
            <w:r>
              <w:t xml:space="preserve">C-4:34</w:t>
            </w:r>
          </w:p>
        </w:tc>
        <w:tc>
          <w:tcPr>
            <w:tcW w:type="dxa" w:w="3210"/>
            <w:tcMar>
              <w:top w:type="dxa" w:w="80"/>
              <w:left w:type="dxa" w:w="100"/>
              <w:bottom w:type="dxa" w:w="80"/>
              <w:right w:type="dxa" w:w="100"/>
            </w:tcMar>
          </w:tcPr>
          <w:p>
            <w:pPr>
              <w:pStyle w:val="Tabla"/>
            </w:pPr>
            <w:r>
              <w:t xml:space="preserve">C-8:33</w:t>
            </w:r>
          </w:p>
        </w:tc>
        <w:tc>
          <w:tcPr>
            <w:tcW w:type="dxa" w:w="3210"/>
            <w:tcMar>
              <w:top w:type="dxa" w:w="80"/>
              <w:left w:type="dxa" w:w="100"/>
              <w:bottom w:type="dxa" w:w="80"/>
              <w:right w:type="dxa" w:w="100"/>
            </w:tcMar>
          </w:tcPr>
          <w:p>
            <w:pPr>
              <w:pStyle w:val="Tabla"/>
            </w:pPr>
            <w:r>
              <w:t xml:space="preserve">identica. Identidad por SHA-256 de la página renderizada a 200 px; se conserva el contenido y cambia su posición en el PDF.</w:t>
            </w:r>
          </w:p>
        </w:tc>
      </w:tr>
      <w:tr>
        <w:trPr>
          <w:cantSplit/>
          <w:tblHeader w:val="off"/>
        </w:trPr>
        <w:tc>
          <w:tcPr>
            <w:tcW w:type="dxa" w:w="3212"/>
            <w:tcMar>
              <w:top w:type="dxa" w:w="80"/>
              <w:left w:type="dxa" w:w="100"/>
              <w:bottom w:type="dxa" w:w="80"/>
              <w:right w:type="dxa" w:w="100"/>
            </w:tcMar>
          </w:tcPr>
          <w:p>
            <w:pPr>
              <w:pStyle w:val="Tabla"/>
            </w:pPr>
            <w:r>
              <w:t xml:space="preserve">C-4:35</w:t>
            </w:r>
          </w:p>
        </w:tc>
        <w:tc>
          <w:tcPr>
            <w:tcW w:type="dxa" w:w="3210"/>
            <w:tcMar>
              <w:top w:type="dxa" w:w="80"/>
              <w:left w:type="dxa" w:w="100"/>
              <w:bottom w:type="dxa" w:w="80"/>
              <w:right w:type="dxa" w:w="100"/>
            </w:tcMar>
          </w:tcPr>
          <w:p>
            <w:pPr>
              <w:pStyle w:val="Tabla"/>
            </w:pPr>
            <w:r>
              <w:t xml:space="preserve">C-8:34</w:t>
            </w:r>
          </w:p>
        </w:tc>
        <w:tc>
          <w:tcPr>
            <w:tcW w:type="dxa" w:w="3210"/>
            <w:tcMar>
              <w:top w:type="dxa" w:w="80"/>
              <w:left w:type="dxa" w:w="100"/>
              <w:bottom w:type="dxa" w:w="80"/>
              <w:right w:type="dxa" w:w="100"/>
            </w:tcMar>
          </w:tcPr>
          <w:p>
            <w:pPr>
              <w:pStyle w:val="Tabla"/>
            </w:pPr>
            <w:r>
              <w:t xml:space="preserve">identica. Identidad por SHA-256 de la página renderizada a 200 px; se conserva el contenido y cambia su posición en el PDF.</w:t>
            </w:r>
          </w:p>
        </w:tc>
      </w:tr>
      <w:tr>
        <w:trPr>
          <w:cantSplit/>
          <w:tblHeader w:val="off"/>
        </w:trPr>
        <w:tc>
          <w:tcPr>
            <w:tcW w:type="dxa" w:w="3212"/>
            <w:tcMar>
              <w:top w:type="dxa" w:w="80"/>
              <w:left w:type="dxa" w:w="100"/>
              <w:bottom w:type="dxa" w:w="80"/>
              <w:right w:type="dxa" w:w="100"/>
            </w:tcMar>
          </w:tcPr>
          <w:p>
            <w:pPr>
              <w:pStyle w:val="Tabla"/>
            </w:pPr>
            <w:r>
              <w:t xml:space="preserve">C-4:36</w:t>
            </w:r>
          </w:p>
        </w:tc>
        <w:tc>
          <w:tcPr>
            <w:tcW w:type="dxa" w:w="3210"/>
            <w:tcMar>
              <w:top w:type="dxa" w:w="80"/>
              <w:left w:type="dxa" w:w="100"/>
              <w:bottom w:type="dxa" w:w="80"/>
              <w:right w:type="dxa" w:w="100"/>
            </w:tcMar>
          </w:tcPr>
          <w:p>
            <w:pPr>
              <w:pStyle w:val="Tabla"/>
            </w:pPr>
            <w:r>
              <w:t xml:space="preserve">C-8:35</w:t>
            </w:r>
          </w:p>
        </w:tc>
        <w:tc>
          <w:tcPr>
            <w:tcW w:type="dxa" w:w="3210"/>
            <w:tcMar>
              <w:top w:type="dxa" w:w="80"/>
              <w:left w:type="dxa" w:w="100"/>
              <w:bottom w:type="dxa" w:w="80"/>
              <w:right w:type="dxa" w:w="100"/>
            </w:tcMar>
          </w:tcPr>
          <w:p>
            <w:pPr>
              <w:pStyle w:val="Tabla"/>
            </w:pPr>
            <w:r>
              <w:t xml:space="preserve">identica. Identidad por SHA-256 de la página renderizada a 200 px; se conserva el contenido y cambia su posición en el PDF.</w:t>
            </w:r>
          </w:p>
        </w:tc>
      </w:tr>
      <w:tr>
        <w:trPr>
          <w:cantSplit/>
          <w:tblHeader w:val="off"/>
        </w:trPr>
        <w:tc>
          <w:tcPr>
            <w:tcW w:type="dxa" w:w="3212"/>
            <w:tcMar>
              <w:top w:type="dxa" w:w="80"/>
              <w:left w:type="dxa" w:w="100"/>
              <w:bottom w:type="dxa" w:w="80"/>
              <w:right w:type="dxa" w:w="100"/>
            </w:tcMar>
          </w:tcPr>
          <w:p>
            <w:pPr>
              <w:pStyle w:val="Tabla"/>
            </w:pPr>
            <w:r>
              <w:t xml:space="preserve">C-4:37</w:t>
            </w:r>
          </w:p>
        </w:tc>
        <w:tc>
          <w:tcPr>
            <w:tcW w:type="dxa" w:w="3210"/>
            <w:tcMar>
              <w:top w:type="dxa" w:w="80"/>
              <w:left w:type="dxa" w:w="100"/>
              <w:bottom w:type="dxa" w:w="80"/>
              <w:right w:type="dxa" w:w="100"/>
            </w:tcMar>
          </w:tcPr>
          <w:p>
            <w:pPr>
              <w:pStyle w:val="Tabla"/>
            </w:pPr>
            <w:r>
              <w:t xml:space="preserve">C-8:36</w:t>
            </w:r>
          </w:p>
        </w:tc>
        <w:tc>
          <w:tcPr>
            <w:tcW w:type="dxa" w:w="3210"/>
            <w:tcMar>
              <w:top w:type="dxa" w:w="80"/>
              <w:left w:type="dxa" w:w="100"/>
              <w:bottom w:type="dxa" w:w="80"/>
              <w:right w:type="dxa" w:w="100"/>
            </w:tcMar>
          </w:tcPr>
          <w:p>
            <w:pPr>
              <w:pStyle w:val="Tabla"/>
            </w:pPr>
            <w:r>
              <w:t xml:space="preserve">identica. Identidad por SHA-256 de la página renderizada a 200 px; se conserva el contenido y cambia su posición en el PDF.</w:t>
            </w:r>
          </w:p>
        </w:tc>
      </w:tr>
      <w:tr>
        <w:trPr>
          <w:cantSplit/>
          <w:tblHeader w:val="off"/>
        </w:trPr>
        <w:tc>
          <w:tcPr>
            <w:tcW w:type="dxa" w:w="3212"/>
            <w:tcMar>
              <w:top w:type="dxa" w:w="80"/>
              <w:left w:type="dxa" w:w="100"/>
              <w:bottom w:type="dxa" w:w="80"/>
              <w:right w:type="dxa" w:w="100"/>
            </w:tcMar>
          </w:tcPr>
          <w:p>
            <w:pPr>
              <w:pStyle w:val="Tabla"/>
            </w:pPr>
            <w:r>
              <w:t xml:space="preserve">C-4:38</w:t>
            </w:r>
          </w:p>
        </w:tc>
        <w:tc>
          <w:tcPr>
            <w:tcW w:type="dxa" w:w="3210"/>
            <w:tcMar>
              <w:top w:type="dxa" w:w="80"/>
              <w:left w:type="dxa" w:w="100"/>
              <w:bottom w:type="dxa" w:w="80"/>
              <w:right w:type="dxa" w:w="100"/>
            </w:tcMar>
          </w:tcPr>
          <w:p>
            <w:pPr>
              <w:pStyle w:val="Tabla"/>
            </w:pPr>
            <w:r>
              <w:t xml:space="preserve">C-8:37</w:t>
            </w:r>
          </w:p>
        </w:tc>
        <w:tc>
          <w:tcPr>
            <w:tcW w:type="dxa" w:w="3210"/>
            <w:tcMar>
              <w:top w:type="dxa" w:w="80"/>
              <w:left w:type="dxa" w:w="100"/>
              <w:bottom w:type="dxa" w:w="80"/>
              <w:right w:type="dxa" w:w="100"/>
            </w:tcMar>
          </w:tcPr>
          <w:p>
            <w:pPr>
              <w:pStyle w:val="Tabla"/>
            </w:pPr>
            <w:r>
              <w:t xml:space="preserve">identica. Identidad por SHA-256 de la página renderizada a 200 px; se conserva el contenido y cambia su posición en el PDF.</w:t>
            </w:r>
          </w:p>
        </w:tc>
      </w:tr>
      <w:tr>
        <w:trPr>
          <w:cantSplit/>
          <w:tblHeader w:val="off"/>
        </w:trPr>
        <w:tc>
          <w:tcPr>
            <w:tcW w:type="dxa" w:w="3212"/>
            <w:tcMar>
              <w:top w:type="dxa" w:w="80"/>
              <w:left w:type="dxa" w:w="100"/>
              <w:bottom w:type="dxa" w:w="80"/>
              <w:right w:type="dxa" w:w="100"/>
            </w:tcMar>
          </w:tcPr>
          <w:p>
            <w:pPr>
              <w:pStyle w:val="Tabla"/>
            </w:pPr>
            <w:r>
              <w:t xml:space="preserve">C-4:39</w:t>
            </w:r>
          </w:p>
        </w:tc>
        <w:tc>
          <w:tcPr>
            <w:tcW w:type="dxa" w:w="3210"/>
            <w:tcMar>
              <w:top w:type="dxa" w:w="80"/>
              <w:left w:type="dxa" w:w="100"/>
              <w:bottom w:type="dxa" w:w="80"/>
              <w:right w:type="dxa" w:w="100"/>
            </w:tcMar>
          </w:tcPr>
          <w:p>
            <w:pPr>
              <w:pStyle w:val="Tabla"/>
            </w:pPr>
            <w:r>
              <w:t xml:space="preserve">C-8:38</w:t>
            </w:r>
          </w:p>
        </w:tc>
        <w:tc>
          <w:tcPr>
            <w:tcW w:type="dxa" w:w="3210"/>
            <w:tcMar>
              <w:top w:type="dxa" w:w="80"/>
              <w:left w:type="dxa" w:w="100"/>
              <w:bottom w:type="dxa" w:w="80"/>
              <w:right w:type="dxa" w:w="100"/>
            </w:tcMar>
          </w:tcPr>
          <w:p>
            <w:pPr>
              <w:pStyle w:val="Tabla"/>
            </w:pPr>
            <w:r>
              <w:t xml:space="preserve">identica. Identidad por SHA-256 de la página renderizada a 200 px; se conserva el contenido y cambia su posición en el PDF.</w:t>
            </w:r>
          </w:p>
        </w:tc>
      </w:tr>
      <w:tr>
        <w:trPr>
          <w:cantSplit/>
          <w:tblHeader w:val="off"/>
        </w:trPr>
        <w:tc>
          <w:tcPr>
            <w:tcW w:type="dxa" w:w="3212"/>
            <w:tcMar>
              <w:top w:type="dxa" w:w="80"/>
              <w:left w:type="dxa" w:w="100"/>
              <w:bottom w:type="dxa" w:w="80"/>
              <w:right w:type="dxa" w:w="100"/>
            </w:tcMar>
          </w:tcPr>
          <w:p>
            <w:pPr>
              <w:pStyle w:val="Tabla"/>
            </w:pPr>
            <w:r>
              <w:t xml:space="preserve">C-4:40</w:t>
            </w:r>
          </w:p>
        </w:tc>
        <w:tc>
          <w:tcPr>
            <w:tcW w:type="dxa" w:w="3210"/>
            <w:tcMar>
              <w:top w:type="dxa" w:w="80"/>
              <w:left w:type="dxa" w:w="100"/>
              <w:bottom w:type="dxa" w:w="80"/>
              <w:right w:type="dxa" w:w="100"/>
            </w:tcMar>
          </w:tcPr>
          <w:p>
            <w:pPr>
              <w:pStyle w:val="Tabla"/>
            </w:pPr>
            <w:r>
              <w:t xml:space="preserve">C-8:39</w:t>
            </w:r>
          </w:p>
        </w:tc>
        <w:tc>
          <w:tcPr>
            <w:tcW w:type="dxa" w:w="3210"/>
            <w:tcMar>
              <w:top w:type="dxa" w:w="80"/>
              <w:left w:type="dxa" w:w="100"/>
              <w:bottom w:type="dxa" w:w="80"/>
              <w:right w:type="dxa" w:w="100"/>
            </w:tcMar>
          </w:tcPr>
          <w:p>
            <w:pPr>
              <w:pStyle w:val="Tabla"/>
            </w:pPr>
            <w:r>
              <w:t xml:space="preserve">identica. Identidad por SHA-256 de la página renderizada a 200 px; se conserva el contenido y cambia su posición en el PDF.</w:t>
            </w:r>
          </w:p>
        </w:tc>
      </w:tr>
      <w:tr>
        <w:trPr>
          <w:cantSplit/>
          <w:tblHeader w:val="off"/>
        </w:trPr>
        <w:tc>
          <w:tcPr>
            <w:tcW w:type="dxa" w:w="3212"/>
            <w:tcMar>
              <w:top w:type="dxa" w:w="80"/>
              <w:left w:type="dxa" w:w="100"/>
              <w:bottom w:type="dxa" w:w="80"/>
              <w:right w:type="dxa" w:w="100"/>
            </w:tcMar>
          </w:tcPr>
          <w:p>
            <w:pPr>
              <w:pStyle w:val="Tabla"/>
            </w:pPr>
            <w:r>
              <w:t xml:space="preserve">C-4:41</w:t>
            </w:r>
          </w:p>
        </w:tc>
        <w:tc>
          <w:tcPr>
            <w:tcW w:type="dxa" w:w="3210"/>
            <w:tcMar>
              <w:top w:type="dxa" w:w="80"/>
              <w:left w:type="dxa" w:w="100"/>
              <w:bottom w:type="dxa" w:w="80"/>
              <w:right w:type="dxa" w:w="100"/>
            </w:tcMar>
          </w:tcPr>
          <w:p>
            <w:pPr>
              <w:pStyle w:val="Tabla"/>
            </w:pPr>
            <w:r>
              <w:t xml:space="preserve">C-8:40</w:t>
            </w:r>
          </w:p>
        </w:tc>
        <w:tc>
          <w:tcPr>
            <w:tcW w:type="dxa" w:w="3210"/>
            <w:tcMar>
              <w:top w:type="dxa" w:w="80"/>
              <w:left w:type="dxa" w:w="100"/>
              <w:bottom w:type="dxa" w:w="80"/>
              <w:right w:type="dxa" w:w="100"/>
            </w:tcMar>
          </w:tcPr>
          <w:p>
            <w:pPr>
              <w:pStyle w:val="Tabla"/>
            </w:pPr>
            <w:r>
              <w:t xml:space="preserve">identica. Identidad por SHA-256 de la página renderizada a 200 px; se conserva el contenido y cambia su posición en el PDF.</w:t>
            </w:r>
          </w:p>
        </w:tc>
      </w:tr>
      <w:tr>
        <w:trPr>
          <w:cantSplit/>
          <w:tblHeader w:val="off"/>
        </w:trPr>
        <w:tc>
          <w:tcPr>
            <w:tcW w:type="dxa" w:w="3212"/>
            <w:tcMar>
              <w:top w:type="dxa" w:w="80"/>
              <w:left w:type="dxa" w:w="100"/>
              <w:bottom w:type="dxa" w:w="80"/>
              <w:right w:type="dxa" w:w="100"/>
            </w:tcMar>
          </w:tcPr>
          <w:p>
            <w:pPr>
              <w:pStyle w:val="Tabla"/>
            </w:pPr>
            <w:r>
              <w:t xml:space="preserve">C-4:48</w:t>
            </w:r>
          </w:p>
        </w:tc>
        <w:tc>
          <w:tcPr>
            <w:tcW w:type="dxa" w:w="3210"/>
            <w:tcMar>
              <w:top w:type="dxa" w:w="80"/>
              <w:left w:type="dxa" w:w="100"/>
              <w:bottom w:type="dxa" w:w="80"/>
              <w:right w:type="dxa" w:w="100"/>
            </w:tcMar>
          </w:tcPr>
          <w:p>
            <w:pPr>
              <w:pStyle w:val="Tabla"/>
            </w:pPr>
            <w:r>
              <w:t xml:space="preserve">C-8:42</w:t>
            </w:r>
          </w:p>
        </w:tc>
        <w:tc>
          <w:tcPr>
            <w:tcW w:type="dxa" w:w="3210"/>
            <w:tcMar>
              <w:top w:type="dxa" w:w="80"/>
              <w:left w:type="dxa" w:w="100"/>
              <w:bottom w:type="dxa" w:w="80"/>
              <w:right w:type="dxa" w:w="100"/>
            </w:tcMar>
          </w:tcPr>
          <w:p>
            <w:pPr>
              <w:pStyle w:val="Tabla"/>
            </w:pPr>
            <w:r>
              <w:t xml:space="preserve">identica. Identidad por SHA-256 de la página renderizada a 200 px; se conserva el contenido y cambia su posición en el PDF.</w:t>
            </w:r>
          </w:p>
        </w:tc>
      </w:tr>
      <w:tr>
        <w:trPr>
          <w:cantSplit/>
          <w:tblHeader w:val="off"/>
        </w:trPr>
        <w:tc>
          <w:tcPr>
            <w:tcW w:type="dxa" w:w="3212"/>
            <w:tcMar>
              <w:top w:type="dxa" w:w="80"/>
              <w:left w:type="dxa" w:w="100"/>
              <w:bottom w:type="dxa" w:w="80"/>
              <w:right w:type="dxa" w:w="100"/>
            </w:tcMar>
          </w:tcPr>
          <w:p>
            <w:pPr>
              <w:pStyle w:val="Tabla"/>
            </w:pPr>
            <w:r>
              <w:t xml:space="preserve">C-4:43</w:t>
            </w:r>
          </w:p>
        </w:tc>
        <w:tc>
          <w:tcPr>
            <w:tcW w:type="dxa" w:w="3210"/>
            <w:tcMar>
              <w:top w:type="dxa" w:w="80"/>
              <w:left w:type="dxa" w:w="100"/>
              <w:bottom w:type="dxa" w:w="80"/>
              <w:right w:type="dxa" w:w="100"/>
            </w:tcMar>
          </w:tcPr>
          <w:p>
            <w:pPr>
              <w:pStyle w:val="Tabla"/>
            </w:pPr>
            <w:r>
              <w:t xml:space="preserve">C-8:43</w:t>
            </w:r>
          </w:p>
        </w:tc>
        <w:tc>
          <w:tcPr>
            <w:tcW w:type="dxa" w:w="3210"/>
            <w:tcMar>
              <w:top w:type="dxa" w:w="80"/>
              <w:left w:type="dxa" w:w="100"/>
              <w:bottom w:type="dxa" w:w="80"/>
              <w:right w:type="dxa" w:w="100"/>
            </w:tcMar>
          </w:tcPr>
          <w:p>
            <w:pPr>
              <w:pStyle w:val="Tabla"/>
            </w:pPr>
            <w:r>
              <w:t xml:space="preserve">identica. Identidad por SHA-256 de la página renderizada a 200 px; se conserva el contenido y cambia su posición en el PDF.</w:t>
            </w:r>
          </w:p>
        </w:tc>
      </w:tr>
      <w:tr>
        <w:trPr>
          <w:cantSplit/>
          <w:tblHeader w:val="off"/>
        </w:trPr>
        <w:tc>
          <w:tcPr>
            <w:tcW w:type="dxa" w:w="3212"/>
            <w:tcMar>
              <w:top w:type="dxa" w:w="80"/>
              <w:left w:type="dxa" w:w="100"/>
              <w:bottom w:type="dxa" w:w="80"/>
              <w:right w:type="dxa" w:w="100"/>
            </w:tcMar>
          </w:tcPr>
          <w:p>
            <w:pPr>
              <w:pStyle w:val="Tabla"/>
            </w:pPr>
            <w:r>
              <w:t xml:space="preserve">C-4:44</w:t>
            </w:r>
          </w:p>
        </w:tc>
        <w:tc>
          <w:tcPr>
            <w:tcW w:type="dxa" w:w="3210"/>
            <w:tcMar>
              <w:top w:type="dxa" w:w="80"/>
              <w:left w:type="dxa" w:w="100"/>
              <w:bottom w:type="dxa" w:w="80"/>
              <w:right w:type="dxa" w:w="100"/>
            </w:tcMar>
          </w:tcPr>
          <w:p>
            <w:pPr>
              <w:pStyle w:val="Tabla"/>
            </w:pPr>
            <w:r>
              <w:t xml:space="preserve">C-8:44</w:t>
            </w:r>
          </w:p>
        </w:tc>
        <w:tc>
          <w:tcPr>
            <w:tcW w:type="dxa" w:w="3210"/>
            <w:tcMar>
              <w:top w:type="dxa" w:w="80"/>
              <w:left w:type="dxa" w:w="100"/>
              <w:bottom w:type="dxa" w:w="80"/>
              <w:right w:type="dxa" w:w="100"/>
            </w:tcMar>
          </w:tcPr>
          <w:p>
            <w:pPr>
              <w:pStyle w:val="Tabla"/>
            </w:pPr>
            <w:r>
              <w:t xml:space="preserve">identica. Identidad por SHA-256 de la página renderizada a 200 px; se conserva el contenido y cambia su posición en el PDF.</w:t>
            </w:r>
          </w:p>
        </w:tc>
      </w:tr>
      <w:tr>
        <w:trPr>
          <w:cantSplit/>
          <w:tblHeader w:val="off"/>
        </w:trPr>
        <w:tc>
          <w:tcPr>
            <w:tcW w:type="dxa" w:w="3212"/>
            <w:tcMar>
              <w:top w:type="dxa" w:w="80"/>
              <w:left w:type="dxa" w:w="100"/>
              <w:bottom w:type="dxa" w:w="80"/>
              <w:right w:type="dxa" w:w="100"/>
            </w:tcMar>
          </w:tcPr>
          <w:p>
            <w:pPr>
              <w:pStyle w:val="Tabla"/>
            </w:pPr>
            <w:r>
              <w:t xml:space="preserve">C-4:45</w:t>
            </w:r>
          </w:p>
        </w:tc>
        <w:tc>
          <w:tcPr>
            <w:tcW w:type="dxa" w:w="3210"/>
            <w:tcMar>
              <w:top w:type="dxa" w:w="80"/>
              <w:left w:type="dxa" w:w="100"/>
              <w:bottom w:type="dxa" w:w="80"/>
              <w:right w:type="dxa" w:w="100"/>
            </w:tcMar>
          </w:tcPr>
          <w:p>
            <w:pPr>
              <w:pStyle w:val="Tabla"/>
            </w:pPr>
            <w:r>
              <w:t xml:space="preserve">C-8:45</w:t>
            </w:r>
          </w:p>
        </w:tc>
        <w:tc>
          <w:tcPr>
            <w:tcW w:type="dxa" w:w="3210"/>
            <w:tcMar>
              <w:top w:type="dxa" w:w="80"/>
              <w:left w:type="dxa" w:w="100"/>
              <w:bottom w:type="dxa" w:w="80"/>
              <w:right w:type="dxa" w:w="100"/>
            </w:tcMar>
          </w:tcPr>
          <w:p>
            <w:pPr>
              <w:pStyle w:val="Tabla"/>
            </w:pPr>
            <w:r>
              <w:t xml:space="preserve">identica. Identidad por SHA-256 de la página renderizada a 200 px; se conserva el contenido y cambia su posición en el PDF.</w:t>
            </w:r>
          </w:p>
        </w:tc>
      </w:tr>
      <w:tr>
        <w:trPr>
          <w:cantSplit/>
          <w:tblHeader w:val="off"/>
        </w:trPr>
        <w:tc>
          <w:tcPr>
            <w:tcW w:type="dxa" w:w="3212"/>
            <w:tcMar>
              <w:top w:type="dxa" w:w="80"/>
              <w:left w:type="dxa" w:w="100"/>
              <w:bottom w:type="dxa" w:w="80"/>
              <w:right w:type="dxa" w:w="100"/>
            </w:tcMar>
          </w:tcPr>
          <w:p>
            <w:pPr>
              <w:pStyle w:val="Tabla"/>
            </w:pPr>
            <w:r>
              <w:t xml:space="preserve">C-4:46</w:t>
            </w:r>
          </w:p>
        </w:tc>
        <w:tc>
          <w:tcPr>
            <w:tcW w:type="dxa" w:w="3210"/>
            <w:tcMar>
              <w:top w:type="dxa" w:w="80"/>
              <w:left w:type="dxa" w:w="100"/>
              <w:bottom w:type="dxa" w:w="80"/>
              <w:right w:type="dxa" w:w="100"/>
            </w:tcMar>
          </w:tcPr>
          <w:p>
            <w:pPr>
              <w:pStyle w:val="Tabla"/>
            </w:pPr>
            <w:r>
              <w:t xml:space="preserve">C-8:46</w:t>
            </w:r>
          </w:p>
        </w:tc>
        <w:tc>
          <w:tcPr>
            <w:tcW w:type="dxa" w:w="3210"/>
            <w:tcMar>
              <w:top w:type="dxa" w:w="80"/>
              <w:left w:type="dxa" w:w="100"/>
              <w:bottom w:type="dxa" w:w="80"/>
              <w:right w:type="dxa" w:w="100"/>
            </w:tcMar>
          </w:tcPr>
          <w:p>
            <w:pPr>
              <w:pStyle w:val="Tabla"/>
            </w:pPr>
            <w:r>
              <w:t xml:space="preserve">identica. Identidad por SHA-256 de la página renderizada a 200 px; se conserva el contenido y cambia su posición en el PDF.</w:t>
            </w:r>
          </w:p>
        </w:tc>
      </w:tr>
      <w:tr>
        <w:trPr>
          <w:cantSplit/>
          <w:tblHeader w:val="off"/>
        </w:trPr>
        <w:tc>
          <w:tcPr>
            <w:tcW w:type="dxa" w:w="3212"/>
            <w:tcMar>
              <w:top w:type="dxa" w:w="80"/>
              <w:left w:type="dxa" w:w="100"/>
              <w:bottom w:type="dxa" w:w="80"/>
              <w:right w:type="dxa" w:w="100"/>
            </w:tcMar>
          </w:tcPr>
          <w:p>
            <w:pPr>
              <w:pStyle w:val="Tabla"/>
            </w:pPr>
            <w:r>
              <w:t xml:space="preserve">C-4:47</w:t>
            </w:r>
          </w:p>
        </w:tc>
        <w:tc>
          <w:tcPr>
            <w:tcW w:type="dxa" w:w="3210"/>
            <w:tcMar>
              <w:top w:type="dxa" w:w="80"/>
              <w:left w:type="dxa" w:w="100"/>
              <w:bottom w:type="dxa" w:w="80"/>
              <w:right w:type="dxa" w:w="100"/>
            </w:tcMar>
          </w:tcPr>
          <w:p>
            <w:pPr>
              <w:pStyle w:val="Tabla"/>
            </w:pPr>
            <w:r>
              <w:t xml:space="preserve">C-8:47</w:t>
            </w:r>
          </w:p>
        </w:tc>
        <w:tc>
          <w:tcPr>
            <w:tcW w:type="dxa" w:w="3210"/>
            <w:tcMar>
              <w:top w:type="dxa" w:w="80"/>
              <w:left w:type="dxa" w:w="100"/>
              <w:bottom w:type="dxa" w:w="80"/>
              <w:right w:type="dxa" w:w="100"/>
            </w:tcMar>
          </w:tcPr>
          <w:p>
            <w:pPr>
              <w:pStyle w:val="Tabla"/>
            </w:pPr>
            <w:r>
              <w:t xml:space="preserve">identica. Identidad por SHA-256 de la página renderizada a 200 px; se conserva el contenido y cambia su posición en el PDF.</w:t>
            </w:r>
          </w:p>
        </w:tc>
      </w:tr>
      <w:tr>
        <w:trPr>
          <w:cantSplit/>
          <w:tblHeader w:val="off"/>
        </w:trPr>
        <w:tc>
          <w:tcPr>
            <w:tcW w:type="dxa" w:w="3212"/>
            <w:tcMar>
              <w:top w:type="dxa" w:w="80"/>
              <w:left w:type="dxa" w:w="100"/>
              <w:bottom w:type="dxa" w:w="80"/>
              <w:right w:type="dxa" w:w="100"/>
            </w:tcMar>
          </w:tcPr>
          <w:p>
            <w:pPr>
              <w:pStyle w:val="Tabla"/>
            </w:pPr>
            <w:r>
              <w:t xml:space="preserve">C-4:48</w:t>
            </w:r>
          </w:p>
        </w:tc>
        <w:tc>
          <w:tcPr>
            <w:tcW w:type="dxa" w:w="3210"/>
            <w:tcMar>
              <w:top w:type="dxa" w:w="80"/>
              <w:left w:type="dxa" w:w="100"/>
              <w:bottom w:type="dxa" w:w="80"/>
              <w:right w:type="dxa" w:w="100"/>
            </w:tcMar>
          </w:tcPr>
          <w:p>
            <w:pPr>
              <w:pStyle w:val="Tabla"/>
            </w:pPr>
            <w:r>
              <w:t xml:space="preserve">C-8:48</w:t>
            </w:r>
          </w:p>
        </w:tc>
        <w:tc>
          <w:tcPr>
            <w:tcW w:type="dxa" w:w="3210"/>
            <w:tcMar>
              <w:top w:type="dxa" w:w="80"/>
              <w:left w:type="dxa" w:w="100"/>
              <w:bottom w:type="dxa" w:w="80"/>
              <w:right w:type="dxa" w:w="100"/>
            </w:tcMar>
          </w:tcPr>
          <w:p>
            <w:pPr>
              <w:pStyle w:val="Tabla"/>
            </w:pPr>
            <w:r>
              <w:t xml:space="preserve">identica. Identidad por SHA-256 de la página renderizada a 200 px; se conserva el contenido y cambia su posición en el PDF.</w:t>
            </w:r>
          </w:p>
        </w:tc>
      </w:tr>
      <w:tr>
        <w:trPr>
          <w:cantSplit/>
          <w:tblHeader w:val="off"/>
        </w:trPr>
        <w:tc>
          <w:tcPr>
            <w:tcW w:type="dxa" w:w="3212"/>
            <w:tcMar>
              <w:top w:type="dxa" w:w="80"/>
              <w:left w:type="dxa" w:w="100"/>
              <w:bottom w:type="dxa" w:w="80"/>
              <w:right w:type="dxa" w:w="100"/>
            </w:tcMar>
          </w:tcPr>
          <w:p>
            <w:pPr>
              <w:pStyle w:val="Tabla"/>
            </w:pPr>
            <w:r>
              <w:t xml:space="preserve">C-4:17</w:t>
            </w:r>
          </w:p>
        </w:tc>
        <w:tc>
          <w:tcPr>
            <w:tcW w:type="dxa" w:w="3210"/>
            <w:tcMar>
              <w:top w:type="dxa" w:w="80"/>
              <w:left w:type="dxa" w:w="100"/>
              <w:bottom w:type="dxa" w:w="80"/>
              <w:right w:type="dxa" w:w="100"/>
            </w:tcMar>
          </w:tcPr>
          <w:p>
            <w:pPr>
              <w:pStyle w:val="Tabla"/>
            </w:pPr>
            <w:r>
              <w:t xml:space="preserve">C-8:20</w:t>
            </w:r>
          </w:p>
        </w:tc>
        <w:tc>
          <w:tcPr>
            <w:tcW w:type="dxa" w:w="3210"/>
            <w:tcMar>
              <w:top w:type="dxa" w:w="80"/>
              <w:left w:type="dxa" w:w="100"/>
              <w:bottom w:type="dxa" w:w="80"/>
              <w:right w:type="dxa" w:w="100"/>
            </w:tcMar>
          </w:tcPr>
          <w:p>
            <w:pPr>
              <w:pStyle w:val="Tabla"/>
            </w:pPr>
            <w:r>
              <w:t xml:space="preserve">revisada. La síntesis añade explícitamente tomar decisiones con inteligencia sistémica.</w:t>
            </w:r>
          </w:p>
        </w:tc>
      </w:tr>
      <w:tr>
        <w:trPr>
          <w:cantSplit/>
          <w:tblHeader w:val="off"/>
        </w:trPr>
        <w:tc>
          <w:tcPr>
            <w:tcW w:type="dxa" w:w="3212"/>
            <w:tcMar>
              <w:top w:type="dxa" w:w="80"/>
              <w:left w:type="dxa" w:w="100"/>
              <w:bottom w:type="dxa" w:w="80"/>
              <w:right w:type="dxa" w:w="100"/>
            </w:tcMar>
          </w:tcPr>
          <w:p>
            <w:pPr>
              <w:pStyle w:val="Tabla"/>
            </w:pPr>
            <w:r>
              <w:t xml:space="preserve">C-4:29</w:t>
            </w:r>
          </w:p>
        </w:tc>
        <w:tc>
          <w:tcPr>
            <w:tcW w:type="dxa" w:w="3210"/>
            <w:tcMar>
              <w:top w:type="dxa" w:w="80"/>
              <w:left w:type="dxa" w:w="100"/>
              <w:bottom w:type="dxa" w:w="80"/>
              <w:right w:type="dxa" w:w="100"/>
            </w:tcMar>
          </w:tcPr>
          <w:p>
            <w:pPr>
              <w:pStyle w:val="Tabla"/>
            </w:pPr>
            <w:r>
              <w:t xml:space="preserve">C-8:28</w:t>
            </w:r>
          </w:p>
        </w:tc>
        <w:tc>
          <w:tcPr>
            <w:tcW w:type="dxa" w:w="3210"/>
            <w:tcMar>
              <w:top w:type="dxa" w:w="80"/>
              <w:left w:type="dxa" w:w="100"/>
              <w:bottom w:type="dxa" w:w="80"/>
              <w:right w:type="dxa" w:w="100"/>
            </w:tcMar>
          </w:tcPr>
          <w:p>
            <w:pPr>
              <w:pStyle w:val="Tabla"/>
            </w:pPr>
            <w:r>
              <w:t xml:space="preserve">revisada. Amplía la enumeración de Meadows con explicaciones por punto; es una relación temática, no identidad visual.</w:t>
            </w:r>
          </w:p>
        </w:tc>
      </w:tr>
      <w:tr>
        <w:trPr>
          <w:cantSplit/>
          <w:tblHeader w:val="off"/>
        </w:trPr>
        <w:tc>
          <w:tcPr>
            <w:tcW w:type="dxa" w:w="3212"/>
            <w:tcMar>
              <w:top w:type="dxa" w:w="80"/>
              <w:left w:type="dxa" w:w="100"/>
              <w:bottom w:type="dxa" w:w="80"/>
              <w:right w:type="dxa" w:w="100"/>
            </w:tcMar>
          </w:tcPr>
          <w:p>
            <w:pPr>
              <w:pStyle w:val="Tabla"/>
            </w:pPr>
            <w:r>
              <w:t xml:space="preserve">C-4:29</w:t>
            </w:r>
          </w:p>
        </w:tc>
        <w:tc>
          <w:tcPr>
            <w:tcW w:type="dxa" w:w="3210"/>
            <w:tcMar>
              <w:top w:type="dxa" w:w="80"/>
              <w:left w:type="dxa" w:w="100"/>
              <w:bottom w:type="dxa" w:w="80"/>
              <w:right w:type="dxa" w:w="100"/>
            </w:tcMar>
          </w:tcPr>
          <w:p>
            <w:pPr>
              <w:pStyle w:val="Tabla"/>
            </w:pPr>
            <w:r>
              <w:t xml:space="preserve">C-8:29</w:t>
            </w:r>
          </w:p>
        </w:tc>
        <w:tc>
          <w:tcPr>
            <w:tcW w:type="dxa" w:w="3210"/>
            <w:tcMar>
              <w:top w:type="dxa" w:w="80"/>
              <w:left w:type="dxa" w:w="100"/>
              <w:bottom w:type="dxa" w:w="80"/>
              <w:right w:type="dxa" w:w="100"/>
            </w:tcMar>
          </w:tcPr>
          <w:p>
            <w:pPr>
              <w:pStyle w:val="Tabla"/>
            </w:pPr>
            <w:r>
              <w:t xml:space="preserve">revisada. Amplía la enumeración de Meadows con explicaciones por punto; es una relación temática, no identidad visual.</w:t>
            </w:r>
          </w:p>
        </w:tc>
      </w:tr>
      <w:tr>
        <w:trPr>
          <w:cantSplit/>
          <w:tblHeader w:val="off"/>
        </w:trPr>
        <w:tc>
          <w:tcPr>
            <w:tcW w:type="dxa" w:w="3212"/>
            <w:tcMar>
              <w:top w:type="dxa" w:w="80"/>
              <w:left w:type="dxa" w:w="100"/>
              <w:bottom w:type="dxa" w:w="80"/>
              <w:right w:type="dxa" w:w="100"/>
            </w:tcMar>
          </w:tcPr>
          <w:p>
            <w:pPr>
              <w:pStyle w:val="Tabla"/>
            </w:pPr>
            <w:r>
              <w:t xml:space="preserve">C-4:29</w:t>
            </w:r>
          </w:p>
        </w:tc>
        <w:tc>
          <w:tcPr>
            <w:tcW w:type="dxa" w:w="3210"/>
            <w:tcMar>
              <w:top w:type="dxa" w:w="80"/>
              <w:left w:type="dxa" w:w="100"/>
              <w:bottom w:type="dxa" w:w="80"/>
              <w:right w:type="dxa" w:w="100"/>
            </w:tcMar>
          </w:tcPr>
          <w:p>
            <w:pPr>
              <w:pStyle w:val="Tabla"/>
            </w:pPr>
            <w:r>
              <w:t xml:space="preserve">C-8:30</w:t>
            </w:r>
          </w:p>
        </w:tc>
        <w:tc>
          <w:tcPr>
            <w:tcW w:type="dxa" w:w="3210"/>
            <w:tcMar>
              <w:top w:type="dxa" w:w="80"/>
              <w:left w:type="dxa" w:w="100"/>
              <w:bottom w:type="dxa" w:w="80"/>
              <w:right w:type="dxa" w:w="100"/>
            </w:tcMar>
          </w:tcPr>
          <w:p>
            <w:pPr>
              <w:pStyle w:val="Tabla"/>
            </w:pPr>
            <w:r>
              <w:t xml:space="preserve">revisada. Amplía la enumeración de Meadows con explicaciones por punto; es una relación temática, no identidad visual.</w:t>
            </w:r>
          </w:p>
        </w:tc>
      </w:tr>
      <w:tr>
        <w:trPr>
          <w:cantSplit/>
          <w:tblHeader w:val="off"/>
        </w:trPr>
        <w:tc>
          <w:tcPr>
            <w:tcW w:type="dxa" w:w="3212"/>
            <w:tcMar>
              <w:top w:type="dxa" w:w="80"/>
              <w:left w:type="dxa" w:w="100"/>
              <w:bottom w:type="dxa" w:w="80"/>
              <w:right w:type="dxa" w:w="100"/>
            </w:tcMar>
          </w:tcPr>
          <w:p>
            <w:pPr>
              <w:pStyle w:val="Tabla"/>
            </w:pPr>
            <w:r>
              <w:t xml:space="preserve">—</w:t>
            </w:r>
          </w:p>
        </w:tc>
        <w:tc>
          <w:tcPr>
            <w:tcW w:type="dxa" w:w="3210"/>
            <w:tcMar>
              <w:top w:type="dxa" w:w="80"/>
              <w:left w:type="dxa" w:w="100"/>
              <w:bottom w:type="dxa" w:w="80"/>
              <w:right w:type="dxa" w:w="100"/>
            </w:tcMar>
          </w:tcPr>
          <w:p>
            <w:pPr>
              <w:pStyle w:val="Tabla"/>
            </w:pPr>
            <w:r>
              <w:t xml:space="preserve">C-8:41</w:t>
            </w:r>
          </w:p>
        </w:tc>
        <w:tc>
          <w:tcPr>
            <w:tcW w:type="dxa" w:w="3210"/>
            <w:tcMar>
              <w:top w:type="dxa" w:w="80"/>
              <w:left w:type="dxa" w:w="100"/>
              <w:bottom w:type="dxa" w:w="80"/>
              <w:right w:type="dxa" w:w="100"/>
            </w:tcMar>
          </w:tcPr>
          <w:p>
            <w:pPr>
              <w:pStyle w:val="Tabla"/>
            </w:pPr>
            <w:r>
              <w:t xml:space="preserve">solo-octubre. Añade calendario de Unidad 4 actualizado; 4b de abril no tenía esta página de calendario.</w:t>
            </w:r>
          </w:p>
        </w:tc>
      </w:tr>
      <w:tr>
        <w:trPr>
          <w:cantSplit/>
          <w:tblHeader w:val="off"/>
        </w:trPr>
        <w:tc>
          <w:tcPr>
            <w:tcW w:type="dxa" w:w="3212"/>
            <w:tcMar>
              <w:top w:type="dxa" w:w="80"/>
              <w:left w:type="dxa" w:w="100"/>
              <w:bottom w:type="dxa" w:w="80"/>
              <w:right w:type="dxa" w:w="100"/>
            </w:tcMar>
          </w:tcPr>
          <w:p>
            <w:pPr>
              <w:pStyle w:val="Tabla"/>
            </w:pPr>
            <w:r>
              <w:t xml:space="preserve">C-3:38</w:t>
            </w:r>
          </w:p>
        </w:tc>
        <w:tc>
          <w:tcPr>
            <w:tcW w:type="dxa" w:w="3210"/>
            <w:tcMar>
              <w:top w:type="dxa" w:w="80"/>
              <w:left w:type="dxa" w:w="100"/>
              <w:bottom w:type="dxa" w:w="80"/>
              <w:right w:type="dxa" w:w="100"/>
            </w:tcMar>
          </w:tcPr>
          <w:p>
            <w:pPr>
              <w:pStyle w:val="Tabla"/>
            </w:pPr>
            <w:r>
              <w:t xml:space="preserve">C-8:49</w:t>
            </w:r>
          </w:p>
        </w:tc>
        <w:tc>
          <w:tcPr>
            <w:tcW w:type="dxa" w:w="3210"/>
            <w:tcMar>
              <w:top w:type="dxa" w:w="80"/>
              <w:left w:type="dxa" w:w="100"/>
              <w:bottom w:type="dxa" w:w="80"/>
              <w:right w:type="dxa" w:w="100"/>
            </w:tcMar>
          </w:tcPr>
          <w:p>
            <w:pPr>
              <w:pStyle w:val="Tabla"/>
            </w:pPr>
            <w:r>
              <w:t xml:space="preserve">trasladada. Migra de 4a de abril a4b de octubre. Identidad comprobada por sha 256 deimagen a200 px.</w:t>
            </w:r>
          </w:p>
        </w:tc>
      </w:tr>
      <w:tr>
        <w:trPr>
          <w:cantSplit/>
          <w:tblHeader w:val="off"/>
        </w:trPr>
        <w:tc>
          <w:tcPr>
            <w:tcW w:type="dxa" w:w="3212"/>
            <w:tcMar>
              <w:top w:type="dxa" w:w="80"/>
              <w:left w:type="dxa" w:w="100"/>
              <w:bottom w:type="dxa" w:w="80"/>
              <w:right w:type="dxa" w:w="100"/>
            </w:tcMar>
          </w:tcPr>
          <w:p>
            <w:pPr>
              <w:pStyle w:val="Tabla"/>
            </w:pPr>
            <w:r>
              <w:t xml:space="preserve">C-3:39</w:t>
            </w:r>
          </w:p>
        </w:tc>
        <w:tc>
          <w:tcPr>
            <w:tcW w:type="dxa" w:w="3210"/>
            <w:tcMar>
              <w:top w:type="dxa" w:w="80"/>
              <w:left w:type="dxa" w:w="100"/>
              <w:bottom w:type="dxa" w:w="80"/>
              <w:right w:type="dxa" w:w="100"/>
            </w:tcMar>
          </w:tcPr>
          <w:p>
            <w:pPr>
              <w:pStyle w:val="Tabla"/>
            </w:pPr>
            <w:r>
              <w:t xml:space="preserve">C-8:50</w:t>
            </w:r>
          </w:p>
        </w:tc>
        <w:tc>
          <w:tcPr>
            <w:tcW w:type="dxa" w:w="3210"/>
            <w:tcMar>
              <w:top w:type="dxa" w:w="80"/>
              <w:left w:type="dxa" w:w="100"/>
              <w:bottom w:type="dxa" w:w="80"/>
              <w:right w:type="dxa" w:w="100"/>
            </w:tcMar>
          </w:tcPr>
          <w:p>
            <w:pPr>
              <w:pStyle w:val="Tabla"/>
            </w:pPr>
            <w:r>
              <w:t xml:space="preserve">trasladada. Migra de 4a de abril a4b de octubre. Identidad comprobada por sha 256 deimagen a200 px.</w:t>
            </w:r>
          </w:p>
        </w:tc>
      </w:tr>
      <w:tr>
        <w:trPr>
          <w:cantSplit/>
          <w:tblHeader w:val="off"/>
        </w:trPr>
        <w:tc>
          <w:tcPr>
            <w:tcW w:type="dxa" w:w="3212"/>
            <w:tcMar>
              <w:top w:type="dxa" w:w="80"/>
              <w:left w:type="dxa" w:w="100"/>
              <w:bottom w:type="dxa" w:w="80"/>
              <w:right w:type="dxa" w:w="100"/>
            </w:tcMar>
          </w:tcPr>
          <w:p>
            <w:pPr>
              <w:pStyle w:val="Tabla"/>
            </w:pPr>
            <w:r>
              <w:t xml:space="preserve">C-3:40</w:t>
            </w:r>
          </w:p>
        </w:tc>
        <w:tc>
          <w:tcPr>
            <w:tcW w:type="dxa" w:w="3210"/>
            <w:tcMar>
              <w:top w:type="dxa" w:w="80"/>
              <w:left w:type="dxa" w:w="100"/>
              <w:bottom w:type="dxa" w:w="80"/>
              <w:right w:type="dxa" w:w="100"/>
            </w:tcMar>
          </w:tcPr>
          <w:p>
            <w:pPr>
              <w:pStyle w:val="Tabla"/>
            </w:pPr>
            <w:r>
              <w:t xml:space="preserve">C-8:51</w:t>
            </w:r>
          </w:p>
        </w:tc>
        <w:tc>
          <w:tcPr>
            <w:tcW w:type="dxa" w:w="3210"/>
            <w:tcMar>
              <w:top w:type="dxa" w:w="80"/>
              <w:left w:type="dxa" w:w="100"/>
              <w:bottom w:type="dxa" w:w="80"/>
              <w:right w:type="dxa" w:w="100"/>
            </w:tcMar>
          </w:tcPr>
          <w:p>
            <w:pPr>
              <w:pStyle w:val="Tabla"/>
            </w:pPr>
            <w:r>
              <w:t xml:space="preserve">trasladada. Migra de 4a de abril a4b de octubre. Identidad comprobada por sha 256 deimagen a200 px.</w:t>
            </w:r>
          </w:p>
        </w:tc>
      </w:tr>
      <w:tr>
        <w:trPr>
          <w:cantSplit/>
          <w:tblHeader w:val="off"/>
        </w:trPr>
        <w:tc>
          <w:tcPr>
            <w:tcW w:type="dxa" w:w="3212"/>
            <w:tcMar>
              <w:top w:type="dxa" w:w="80"/>
              <w:left w:type="dxa" w:w="100"/>
              <w:bottom w:type="dxa" w:w="80"/>
              <w:right w:type="dxa" w:w="100"/>
            </w:tcMar>
          </w:tcPr>
          <w:p>
            <w:pPr>
              <w:pStyle w:val="Tabla"/>
            </w:pPr>
            <w:r>
              <w:t xml:space="preserve">C-3:57</w:t>
            </w:r>
          </w:p>
        </w:tc>
        <w:tc>
          <w:tcPr>
            <w:tcW w:type="dxa" w:w="3210"/>
            <w:tcMar>
              <w:top w:type="dxa" w:w="80"/>
              <w:left w:type="dxa" w:w="100"/>
              <w:bottom w:type="dxa" w:w="80"/>
              <w:right w:type="dxa" w:w="100"/>
            </w:tcMar>
          </w:tcPr>
          <w:p>
            <w:pPr>
              <w:pStyle w:val="Tabla"/>
            </w:pPr>
            <w:r>
              <w:t xml:space="preserve">C-8:52</w:t>
            </w:r>
          </w:p>
        </w:tc>
        <w:tc>
          <w:tcPr>
            <w:tcW w:type="dxa" w:w="3210"/>
            <w:tcMar>
              <w:top w:type="dxa" w:w="80"/>
              <w:left w:type="dxa" w:w="100"/>
              <w:bottom w:type="dxa" w:w="80"/>
              <w:right w:type="dxa" w:w="100"/>
            </w:tcMar>
          </w:tcPr>
          <w:p>
            <w:pPr>
              <w:pStyle w:val="Tabla"/>
            </w:pPr>
            <w:r>
              <w:t xml:space="preserve">trasladada. Migra de 4a de abril a4b de octubre. Identidad comprobada por sha 256 deimagen a200 px.</w:t>
            </w:r>
          </w:p>
        </w:tc>
      </w:tr>
      <w:tr>
        <w:trPr>
          <w:cantSplit/>
          <w:tblHeader w:val="off"/>
        </w:trPr>
        <w:tc>
          <w:tcPr>
            <w:tcW w:type="dxa" w:w="3212"/>
            <w:tcMar>
              <w:top w:type="dxa" w:w="80"/>
              <w:left w:type="dxa" w:w="100"/>
              <w:bottom w:type="dxa" w:w="80"/>
              <w:right w:type="dxa" w:w="100"/>
            </w:tcMar>
          </w:tcPr>
          <w:p>
            <w:pPr>
              <w:pStyle w:val="Tabla"/>
            </w:pPr>
            <w:r>
              <w:t xml:space="preserve">C-3:58</w:t>
            </w:r>
          </w:p>
        </w:tc>
        <w:tc>
          <w:tcPr>
            <w:tcW w:type="dxa" w:w="3210"/>
            <w:tcMar>
              <w:top w:type="dxa" w:w="80"/>
              <w:left w:type="dxa" w:w="100"/>
              <w:bottom w:type="dxa" w:w="80"/>
              <w:right w:type="dxa" w:w="100"/>
            </w:tcMar>
          </w:tcPr>
          <w:p>
            <w:pPr>
              <w:pStyle w:val="Tabla"/>
            </w:pPr>
            <w:r>
              <w:t xml:space="preserve">C-8:53</w:t>
            </w:r>
          </w:p>
        </w:tc>
        <w:tc>
          <w:tcPr>
            <w:tcW w:type="dxa" w:w="3210"/>
            <w:tcMar>
              <w:top w:type="dxa" w:w="80"/>
              <w:left w:type="dxa" w:w="100"/>
              <w:bottom w:type="dxa" w:w="80"/>
              <w:right w:type="dxa" w:w="100"/>
            </w:tcMar>
          </w:tcPr>
          <w:p>
            <w:pPr>
              <w:pStyle w:val="Tabla"/>
            </w:pPr>
            <w:r>
              <w:t xml:space="preserve">trasladada. Migra de 4a de abril a4b de octubre. Identidad comprobada por sha 256 deimagen a200 px.</w:t>
            </w:r>
          </w:p>
        </w:tc>
      </w:tr>
      <w:tr>
        <w:trPr>
          <w:cantSplit/>
          <w:tblHeader w:val="off"/>
        </w:trPr>
        <w:tc>
          <w:tcPr>
            <w:tcW w:type="dxa" w:w="3212"/>
            <w:tcMar>
              <w:top w:type="dxa" w:w="80"/>
              <w:left w:type="dxa" w:w="100"/>
              <w:bottom w:type="dxa" w:w="80"/>
              <w:right w:type="dxa" w:w="100"/>
            </w:tcMar>
          </w:tcPr>
          <w:p>
            <w:pPr>
              <w:pStyle w:val="Tabla"/>
            </w:pPr>
            <w:r>
              <w:t xml:space="preserve">C-3:59</w:t>
            </w:r>
          </w:p>
        </w:tc>
        <w:tc>
          <w:tcPr>
            <w:tcW w:type="dxa" w:w="3210"/>
            <w:tcMar>
              <w:top w:type="dxa" w:w="80"/>
              <w:left w:type="dxa" w:w="100"/>
              <w:bottom w:type="dxa" w:w="80"/>
              <w:right w:type="dxa" w:w="100"/>
            </w:tcMar>
          </w:tcPr>
          <w:p>
            <w:pPr>
              <w:pStyle w:val="Tabla"/>
            </w:pPr>
            <w:r>
              <w:t xml:space="preserve">C-8:54</w:t>
            </w:r>
          </w:p>
        </w:tc>
        <w:tc>
          <w:tcPr>
            <w:tcW w:type="dxa" w:w="3210"/>
            <w:tcMar>
              <w:top w:type="dxa" w:w="80"/>
              <w:left w:type="dxa" w:w="100"/>
              <w:bottom w:type="dxa" w:w="80"/>
              <w:right w:type="dxa" w:w="100"/>
            </w:tcMar>
          </w:tcPr>
          <w:p>
            <w:pPr>
              <w:pStyle w:val="Tabla"/>
            </w:pPr>
            <w:r>
              <w:t xml:space="preserve">trasladada. Migra de 4a de abril a4b de octubre. Identidad comprobada por sha 256 deimagen a200 px.</w:t>
            </w:r>
          </w:p>
        </w:tc>
      </w:tr>
      <w:tr>
        <w:trPr>
          <w:cantSplit/>
          <w:tblHeader w:val="off"/>
        </w:trPr>
        <w:tc>
          <w:tcPr>
            <w:tcW w:type="dxa" w:w="3212"/>
            <w:tcMar>
              <w:top w:type="dxa" w:w="80"/>
              <w:left w:type="dxa" w:w="100"/>
              <w:bottom w:type="dxa" w:w="80"/>
              <w:right w:type="dxa" w:w="100"/>
            </w:tcMar>
          </w:tcPr>
          <w:p>
            <w:pPr>
              <w:pStyle w:val="Tabla"/>
            </w:pPr>
            <w:r>
              <w:t xml:space="preserve">C-3:37</w:t>
            </w:r>
          </w:p>
        </w:tc>
        <w:tc>
          <w:tcPr>
            <w:tcW w:type="dxa" w:w="3210"/>
            <w:tcMar>
              <w:top w:type="dxa" w:w="80"/>
              <w:left w:type="dxa" w:w="100"/>
              <w:bottom w:type="dxa" w:w="80"/>
              <w:right w:type="dxa" w:w="100"/>
            </w:tcMar>
          </w:tcPr>
          <w:p>
            <w:pPr>
              <w:pStyle w:val="Tabla"/>
            </w:pPr>
            <w:r>
              <w:t xml:space="preserve">C-8:55</w:t>
            </w:r>
          </w:p>
        </w:tc>
        <w:tc>
          <w:tcPr>
            <w:tcW w:type="dxa" w:w="3210"/>
            <w:tcMar>
              <w:top w:type="dxa" w:w="80"/>
              <w:left w:type="dxa" w:w="100"/>
              <w:bottom w:type="dxa" w:w="80"/>
              <w:right w:type="dxa" w:w="100"/>
            </w:tcMar>
          </w:tcPr>
          <w:p>
            <w:pPr>
              <w:pStyle w:val="Tabla"/>
            </w:pPr>
            <w:r>
              <w:t xml:space="preserve">revisada. Repite la historia deteléfonos para DCC con encabezadoejercicio 3; en 4a de abril se llamabaejercicio 2.</w:t>
            </w:r>
          </w:p>
        </w:tc>
      </w:tr>
      <w:tr>
        <w:trPr>
          <w:cantSplit/>
          <w:tblHeader w:val="off"/>
        </w:trPr>
        <w:tc>
          <w:tcPr>
            <w:tcW w:type="dxa" w:w="3212"/>
            <w:tcMar>
              <w:top w:type="dxa" w:w="80"/>
              <w:left w:type="dxa" w:w="100"/>
              <w:bottom w:type="dxa" w:w="80"/>
              <w:right w:type="dxa" w:w="100"/>
            </w:tcMar>
          </w:tcPr>
          <w:p>
            <w:pPr>
              <w:pStyle w:val="Tabla"/>
            </w:pPr>
            <w:r>
              <w:t xml:space="preserve">—</w:t>
            </w:r>
          </w:p>
        </w:tc>
        <w:tc>
          <w:tcPr>
            <w:tcW w:type="dxa" w:w="3210"/>
            <w:tcMar>
              <w:top w:type="dxa" w:w="80"/>
              <w:left w:type="dxa" w:w="100"/>
              <w:bottom w:type="dxa" w:w="80"/>
              <w:right w:type="dxa" w:w="100"/>
            </w:tcMar>
          </w:tcPr>
          <w:p>
            <w:pPr>
              <w:pStyle w:val="Tabla"/>
            </w:pPr>
            <w:r>
              <w:t xml:space="preserve">C-8:56, C-8:57</w:t>
            </w:r>
          </w:p>
        </w:tc>
        <w:tc>
          <w:tcPr>
            <w:tcW w:type="dxa" w:w="3210"/>
            <w:tcMar>
              <w:top w:type="dxa" w:w="80"/>
              <w:left w:type="dxa" w:w="100"/>
              <w:bottom w:type="dxa" w:w="80"/>
              <w:right w:type="dxa" w:w="100"/>
            </w:tcMar>
          </w:tcPr>
          <w:p>
            <w:pPr>
              <w:pStyle w:val="Tabla"/>
            </w:pPr>
            <w:r>
              <w:t xml:space="preserve">solo-octubre. Añade dos alternativas causales deteléfonos vistas en clase 24; cambian la representación de influencia vecinal. Los encabezados conservan erróneamenteejercicio 2.</w:t>
            </w:r>
          </w:p>
        </w:tc>
      </w:tr>
    </w:tbl>
    <w:p>
      <w:pPr>
        <w:sectPr>
          <w:headerReference w:type="default" r:id="rId360"/>
          <w:headerReference w:type="first" r:id="rId361"/>
          <w:headerReference w:type="even" r:id="rId362"/>
          <w:footerReference w:type="default" r:id="rId363"/>
          <w:footerReference w:type="first" r:id="rId364"/>
          <w:footerReference w:type="even" r:id="rId365"/>
          <w:type w:val="nextPage"/>
          <w:pgSz w:w="12240" w:h="15840" w:orient="portrait"/>
          <w:pgMar w:top="1361" w:right="1134" w:bottom="1361" w:left="1474" w:header="650" w:footer="680" w:gutter="0"/>
          <w:pgNumType/>
          <w:titlePg/>
          <w:docGrid w:linePitch="360"/>
        </w:sectPr>
      </w:pPr>
    </w:p>
    <w:p>
      <w:pPr>
        <w:pStyle w:val="Heading2"/>
      </w:pPr>
      <w:bookmarkStart w:name="b_matriz" w:id="6883"/>
      <w:r>
        <w:t xml:space="preserve">E · Matriz de cobertura</w:t>
      </w:r>
      <w:bookmarkEnd w:id="6883"/>
    </w:p>
    <w:p>
      <w:pPr>
        <w:pStyle w:val="Normal"/>
      </w:pPr>
      <w:r>
        <w:t xml:space="preserve">Cada punto verificado se ubica una sola vez por su primer destino resoluble. Una página o capítulo puede remitir a varios temas; sus afirmaciones se reparten y las remisiones reúnen la explicación.</w:t>
      </w:r>
    </w:p>
    <w:p>
      <w:pPr>
        <w:pStyle w:val="Heading3"/>
      </w:pPr>
      <w:r>
        <w:t xml:space="preserve">1.1 · Paradigmas y modelos mentales</w:t>
      </w:r>
    </w:p>
    <w:tbl>
      <w:tblPr>
        <w:tblW w:type="dxa" w:w="9632"/>
        <w:tblBorders>
          <w:top w:val="single" w:color="C5D5DB" w:sz="4"/>
          <w:left w:val="single" w:color="C5D5DB" w:sz="4"/>
          <w:bottom w:val="single" w:color="C5D5DB" w:sz="4"/>
          <w:right w:val="single" w:color="C5D5DB" w:sz="4"/>
          <w:insideH w:val="single" w:color="E4E9EB" w:sz="3"/>
          <w:insideV w:val="single" w:color="E4E9EB" w:sz="3"/>
        </w:tblBorders>
        <w:tblLayout w:type="fixed"/>
      </w:tblPr>
      <w:tblGrid>
        <w:gridCol w:w="4816"/>
        <w:gridCol w:w="4816"/>
      </w:tblGrid>
      <w:tr>
        <w:trPr>
          <w:cantSplit/>
          <w:tblHeader/>
        </w:trPr>
        <w:tc>
          <w:tcPr>
            <w:tcW w:type="dxa" w:w="4816"/>
            <w:shd w:fill="DFEAF0" w:val="clear"/>
            <w:tcMar>
              <w:top w:type="dxa" w:w="80"/>
              <w:left w:type="dxa" w:w="100"/>
              <w:bottom w:type="dxa" w:w="80"/>
              <w:right w:type="dxa" w:w="100"/>
            </w:tcMar>
          </w:tcPr>
          <w:p>
            <w:pPr>
              <w:pStyle w:val="Tabla"/>
            </w:pPr>
            <w:r>
              <w:rPr>
                <w:b/>
                <w:bCs/>
              </w:rPr>
              <w:t xml:space="preserve">Evidencia</w:t>
            </w:r>
          </w:p>
        </w:tc>
        <w:tc>
          <w:tcPr>
            <w:tcW w:type="dxa" w:w="4816"/>
            <w:shd w:fill="DFEAF0" w:val="clear"/>
            <w:tcMar>
              <w:top w:type="dxa" w:w="80"/>
              <w:left w:type="dxa" w:w="100"/>
              <w:bottom w:type="dxa" w:w="80"/>
              <w:right w:type="dxa" w:w="100"/>
            </w:tcMar>
          </w:tcPr>
          <w:p>
            <w:pPr>
              <w:pStyle w:val="Tabla"/>
            </w:pPr>
            <w:r>
              <w:rPr>
                <w:b/>
                <w:bCs/>
              </w:rPr>
              <w:t xml:space="preserve">Localizaciones</w:t>
            </w:r>
          </w:p>
        </w:tc>
      </w:tr>
      <w:tr>
        <w:trPr>
          <w:cantSplit/>
          <w:tblHeader w:val="off"/>
        </w:trPr>
        <w:tc>
          <w:tcPr>
            <w:tcW w:type="dxa" w:w="4816"/>
            <w:tcMar>
              <w:top w:type="dxa" w:w="80"/>
              <w:left w:type="dxa" w:w="100"/>
              <w:bottom w:type="dxa" w:w="80"/>
              <w:right w:type="dxa" w:w="100"/>
            </w:tcMar>
          </w:tcPr>
          <w:p>
            <w:pPr>
              <w:pStyle w:val="Tabla"/>
            </w:pPr>
            <w:r>
              <w:t xml:space="preserve">Presentaciones</w:t>
            </w:r>
          </w:p>
        </w:tc>
        <w:tc>
          <w:tcPr>
            <w:tcW w:type="dxa" w:w="4816"/>
            <w:tcMar>
              <w:top w:type="dxa" w:w="80"/>
              <w:left w:type="dxa" w:w="100"/>
              <w:bottom w:type="dxa" w:w="80"/>
              <w:right w:type="dxa" w:w="100"/>
            </w:tcMar>
          </w:tcPr>
          <w:p>
            <w:pPr>
              <w:pStyle w:val="Tabla"/>
            </w:pPr>
            <w:r>
              <w:t xml:space="preserve">C-5:1, C-5:2, C-5:4, C-5:5, C-5:6, C-5:8, C-5:9, C-5:10, C-5:11, C-5:12, C-5:13, C-5:14, C-5:15, C-5:17, C-5:20, C-5:34, C-5:36, C-5:38, C-5:40, C-5:41, C-5:52, C-5:53, C-5:59, C-5:62, C-6:2, C-6:10, C-8:30</w:t>
            </w:r>
          </w:p>
        </w:tc>
      </w:tr>
      <w:tr>
        <w:trPr>
          <w:cantSplit/>
          <w:tblHeader w:val="off"/>
        </w:trPr>
        <w:tc>
          <w:tcPr>
            <w:tcW w:type="dxa" w:w="4816"/>
            <w:tcMar>
              <w:top w:type="dxa" w:w="80"/>
              <w:left w:type="dxa" w:w="100"/>
              <w:bottom w:type="dxa" w:w="80"/>
              <w:right w:type="dxa" w:w="100"/>
            </w:tcMar>
          </w:tcPr>
          <w:p>
            <w:pPr>
              <w:pStyle w:val="Tabla"/>
            </w:pPr>
            <w:r>
              <w:t xml:space="preserve">Capítulos de clase</w:t>
            </w:r>
          </w:p>
        </w:tc>
        <w:tc>
          <w:tcPr>
            <w:tcW w:type="dxa" w:w="4816"/>
            <w:tcMar>
              <w:top w:type="dxa" w:w="80"/>
              <w:left w:type="dxa" w:w="100"/>
              <w:bottom w:type="dxa" w:w="80"/>
              <w:right w:type="dxa" w:w="100"/>
            </w:tcMar>
          </w:tcPr>
          <w:p>
            <w:pPr>
              <w:pStyle w:val="Tabla"/>
            </w:pPr>
            <w:r>
              <w:t xml:space="preserve">1:02, 1:03, 1:06, 1:07, 1:08, 1:09, 1:10, 2:01, 2:03, 2:04, 2:05, 2:06, 2:07, 2:08, 2:09, 3:01, 3:02, 4:01, 4:05, 4:07, 4:08, 4:09, 4:10, 5:05, 5:07, 5:08, 5:09, 5:10, 6:01, 6:02, 6:03, 6:05, 6:06, 6:12, 9:06, 18:01</w:t>
            </w:r>
          </w:p>
        </w:tc>
      </w:tr>
      <w:tr>
        <w:trPr>
          <w:cantSplit/>
          <w:tblHeader w:val="off"/>
        </w:trPr>
        <w:tc>
          <w:tcPr>
            <w:tcW w:type="dxa" w:w="4816"/>
            <w:tcMar>
              <w:top w:type="dxa" w:w="80"/>
              <w:left w:type="dxa" w:w="100"/>
              <w:bottom w:type="dxa" w:w="80"/>
              <w:right w:type="dxa" w:w="100"/>
            </w:tcMar>
          </w:tcPr>
          <w:p>
            <w:pPr>
              <w:pStyle w:val="Tabla"/>
            </w:pPr>
            <w:r>
              <w:t xml:space="preserve">Práctica</w:t>
            </w:r>
          </w:p>
        </w:tc>
        <w:tc>
          <w:tcPr>
            <w:tcW w:type="dxa" w:w="4816"/>
            <w:tcMar>
              <w:top w:type="dxa" w:w="80"/>
              <w:left w:type="dxa" w:w="100"/>
              <w:bottom w:type="dxa" w:w="80"/>
              <w:right w:type="dxa" w:w="100"/>
            </w:tcMar>
          </w:tcPr>
          <w:p>
            <w:pPr>
              <w:pStyle w:val="Tabla"/>
            </w:pPr>
            <w:r>
              <w:t xml:space="preserve">10 autoevaluaciones; 0 ejercicios; 22 preguntas de exámenes y bancos.</w:t>
            </w:r>
          </w:p>
        </w:tc>
      </w:tr>
      <w:tr>
        <w:trPr>
          <w:cantSplit/>
          <w:tblHeader w:val="off"/>
        </w:trPr>
        <w:tc>
          <w:tcPr>
            <w:tcW w:type="dxa" w:w="4816"/>
            <w:tcMar>
              <w:top w:type="dxa" w:w="80"/>
              <w:left w:type="dxa" w:w="100"/>
              <w:bottom w:type="dxa" w:w="80"/>
              <w:right w:type="dxa" w:w="100"/>
            </w:tcMar>
          </w:tcPr>
          <w:p>
            <w:pPr>
              <w:pStyle w:val="Tabla"/>
            </w:pPr>
            <w:r>
              <w:t xml:space="preserve">Puntos verificados</w:t>
            </w:r>
          </w:p>
        </w:tc>
        <w:tc>
          <w:tcPr>
            <w:tcW w:type="dxa" w:w="4816"/>
            <w:tcMar>
              <w:top w:type="dxa" w:w="80"/>
              <w:left w:type="dxa" w:w="100"/>
              <w:bottom w:type="dxa" w:w="80"/>
              <w:right w:type="dxa" w:w="100"/>
            </w:tcMar>
          </w:tcPr>
          <w:p>
            <w:pPr>
              <w:pStyle w:val="Tabla"/>
            </w:pPr>
            <w:r>
              <w:t xml:space="preserve">232</w:t>
            </w:r>
          </w:p>
        </w:tc>
      </w:tr>
    </w:tbl>
    <w:p>
      <w:pPr>
        <w:pStyle w:val="Fuente"/>
      </w:pPr>
      <w:r>
        <w:t xml:space="preserve">Véase </w:t>
      </w:r>
      <w:hyperlink w:history="1" w:anchor="b_1_1">
        <w:r>
          <w:rPr>
            <w:color w:val="156B70"/>
            <w:u w:val="single"/>
          </w:rPr>
          <w:t xml:space="preserve">1.1 · Paradigmas y modelos mentales</w:t>
        </w:r>
      </w:hyperlink>
      <w:r>
        <w:t xml:space="preserve">, pág. </w:t>
      </w:r>
      <w:r>
        <w:fldChar w:fldCharType="begin"/>
        <w:instrText xml:space="preserve">PAGEREF b_1_1 \h</w:instrText>
        <w:fldChar w:fldCharType="separate"/>
        <w:t xml:space="preserve">19</w:t>
        <w:fldChar w:fldCharType="end"/>
      </w:r>
      <w:r>
        <w:t xml:space="preserve">.</w:t>
      </w:r>
    </w:p>
    <w:p>
      <w:pPr>
        <w:pStyle w:val="Heading3"/>
      </w:pPr>
      <w:r>
        <w:t xml:space="preserve">1.2 · Escalera de inferencias</w:t>
      </w:r>
    </w:p>
    <w:tbl>
      <w:tblPr>
        <w:tblW w:type="dxa" w:w="9632"/>
        <w:tblBorders>
          <w:top w:val="single" w:color="C5D5DB" w:sz="4"/>
          <w:left w:val="single" w:color="C5D5DB" w:sz="4"/>
          <w:bottom w:val="single" w:color="C5D5DB" w:sz="4"/>
          <w:right w:val="single" w:color="C5D5DB" w:sz="4"/>
          <w:insideH w:val="single" w:color="E4E9EB" w:sz="3"/>
          <w:insideV w:val="single" w:color="E4E9EB" w:sz="3"/>
        </w:tblBorders>
        <w:tblLayout w:type="fixed"/>
      </w:tblPr>
      <w:tblGrid>
        <w:gridCol w:w="4816"/>
        <w:gridCol w:w="4816"/>
      </w:tblGrid>
      <w:tr>
        <w:trPr>
          <w:cantSplit/>
          <w:tblHeader/>
        </w:trPr>
        <w:tc>
          <w:tcPr>
            <w:tcW w:type="dxa" w:w="4816"/>
            <w:shd w:fill="DFEAF0" w:val="clear"/>
            <w:tcMar>
              <w:top w:type="dxa" w:w="80"/>
              <w:left w:type="dxa" w:w="100"/>
              <w:bottom w:type="dxa" w:w="80"/>
              <w:right w:type="dxa" w:w="100"/>
            </w:tcMar>
          </w:tcPr>
          <w:p>
            <w:pPr>
              <w:pStyle w:val="Tabla"/>
            </w:pPr>
            <w:r>
              <w:rPr>
                <w:b/>
                <w:bCs/>
              </w:rPr>
              <w:t xml:space="preserve">Evidencia</w:t>
            </w:r>
          </w:p>
        </w:tc>
        <w:tc>
          <w:tcPr>
            <w:tcW w:type="dxa" w:w="4816"/>
            <w:shd w:fill="DFEAF0" w:val="clear"/>
            <w:tcMar>
              <w:top w:type="dxa" w:w="80"/>
              <w:left w:type="dxa" w:w="100"/>
              <w:bottom w:type="dxa" w:w="80"/>
              <w:right w:type="dxa" w:w="100"/>
            </w:tcMar>
          </w:tcPr>
          <w:p>
            <w:pPr>
              <w:pStyle w:val="Tabla"/>
            </w:pPr>
            <w:r>
              <w:rPr>
                <w:b/>
                <w:bCs/>
              </w:rPr>
              <w:t xml:space="preserve">Localizaciones</w:t>
            </w:r>
          </w:p>
        </w:tc>
      </w:tr>
      <w:tr>
        <w:trPr>
          <w:cantSplit/>
          <w:tblHeader w:val="off"/>
        </w:trPr>
        <w:tc>
          <w:tcPr>
            <w:tcW w:type="dxa" w:w="4816"/>
            <w:tcMar>
              <w:top w:type="dxa" w:w="80"/>
              <w:left w:type="dxa" w:w="100"/>
              <w:bottom w:type="dxa" w:w="80"/>
              <w:right w:type="dxa" w:w="100"/>
            </w:tcMar>
          </w:tcPr>
          <w:p>
            <w:pPr>
              <w:pStyle w:val="Tabla"/>
            </w:pPr>
            <w:r>
              <w:t xml:space="preserve">Presentaciones</w:t>
            </w:r>
          </w:p>
        </w:tc>
        <w:tc>
          <w:tcPr>
            <w:tcW w:type="dxa" w:w="4816"/>
            <w:tcMar>
              <w:top w:type="dxa" w:w="80"/>
              <w:left w:type="dxa" w:w="100"/>
              <w:bottom w:type="dxa" w:w="80"/>
              <w:right w:type="dxa" w:w="100"/>
            </w:tcMar>
          </w:tcPr>
          <w:p>
            <w:pPr>
              <w:pStyle w:val="Tabla"/>
            </w:pPr>
            <w:r>
              <w:t xml:space="preserve">C-5:2, C-5:21, C-5:24, C-5:25, C-5:26, C-5:27, C-5:28, C-5:29, C-5:30, C-5:33, C-5:42, C-5:43, C-5:53, C-5:55</w:t>
            </w:r>
          </w:p>
        </w:tc>
      </w:tr>
      <w:tr>
        <w:trPr>
          <w:cantSplit/>
          <w:tblHeader w:val="off"/>
        </w:trPr>
        <w:tc>
          <w:tcPr>
            <w:tcW w:type="dxa" w:w="4816"/>
            <w:tcMar>
              <w:top w:type="dxa" w:w="80"/>
              <w:left w:type="dxa" w:w="100"/>
              <w:bottom w:type="dxa" w:w="80"/>
              <w:right w:type="dxa" w:w="100"/>
            </w:tcMar>
          </w:tcPr>
          <w:p>
            <w:pPr>
              <w:pStyle w:val="Tabla"/>
            </w:pPr>
            <w:r>
              <w:t xml:space="preserve">Capítulos de clase</w:t>
            </w:r>
          </w:p>
        </w:tc>
        <w:tc>
          <w:tcPr>
            <w:tcW w:type="dxa" w:w="4816"/>
            <w:tcMar>
              <w:top w:type="dxa" w:w="80"/>
              <w:left w:type="dxa" w:w="100"/>
              <w:bottom w:type="dxa" w:w="80"/>
              <w:right w:type="dxa" w:w="100"/>
            </w:tcMar>
          </w:tcPr>
          <w:p>
            <w:pPr>
              <w:pStyle w:val="Tabla"/>
            </w:pPr>
            <w:r>
              <w:t xml:space="preserve">2:08, 3:02, 3:03, 3:04, 3:05, 3:06, 3:07, 3:08, 3:09, 3:10, 4:01, 4:02, 4:06, 5:03, 5:04, 5:09, 5:10</w:t>
            </w:r>
          </w:p>
        </w:tc>
      </w:tr>
      <w:tr>
        <w:trPr>
          <w:cantSplit/>
          <w:tblHeader w:val="off"/>
        </w:trPr>
        <w:tc>
          <w:tcPr>
            <w:tcW w:type="dxa" w:w="4816"/>
            <w:tcMar>
              <w:top w:type="dxa" w:w="80"/>
              <w:left w:type="dxa" w:w="100"/>
              <w:bottom w:type="dxa" w:w="80"/>
              <w:right w:type="dxa" w:w="100"/>
            </w:tcMar>
          </w:tcPr>
          <w:p>
            <w:pPr>
              <w:pStyle w:val="Tabla"/>
            </w:pPr>
            <w:r>
              <w:t xml:space="preserve">Práctica</w:t>
            </w:r>
          </w:p>
        </w:tc>
        <w:tc>
          <w:tcPr>
            <w:tcW w:type="dxa" w:w="4816"/>
            <w:tcMar>
              <w:top w:type="dxa" w:w="80"/>
              <w:left w:type="dxa" w:w="100"/>
              <w:bottom w:type="dxa" w:w="80"/>
              <w:right w:type="dxa" w:w="100"/>
            </w:tcMar>
          </w:tcPr>
          <w:p>
            <w:pPr>
              <w:pStyle w:val="Tabla"/>
            </w:pPr>
            <w:r>
              <w:t xml:space="preserve">10 autoevaluaciones; 1 ejercicios; 16 preguntas de exámenes y bancos.</w:t>
            </w:r>
          </w:p>
        </w:tc>
      </w:tr>
      <w:tr>
        <w:trPr>
          <w:cantSplit/>
          <w:tblHeader w:val="off"/>
        </w:trPr>
        <w:tc>
          <w:tcPr>
            <w:tcW w:type="dxa" w:w="4816"/>
            <w:tcMar>
              <w:top w:type="dxa" w:w="80"/>
              <w:left w:type="dxa" w:w="100"/>
              <w:bottom w:type="dxa" w:w="80"/>
              <w:right w:type="dxa" w:w="100"/>
            </w:tcMar>
          </w:tcPr>
          <w:p>
            <w:pPr>
              <w:pStyle w:val="Tabla"/>
            </w:pPr>
            <w:r>
              <w:t xml:space="preserve">Puntos verificados</w:t>
            </w:r>
          </w:p>
        </w:tc>
        <w:tc>
          <w:tcPr>
            <w:tcW w:type="dxa" w:w="4816"/>
            <w:tcMar>
              <w:top w:type="dxa" w:w="80"/>
              <w:left w:type="dxa" w:w="100"/>
              <w:bottom w:type="dxa" w:w="80"/>
              <w:right w:type="dxa" w:w="100"/>
            </w:tcMar>
          </w:tcPr>
          <w:p>
            <w:pPr>
              <w:pStyle w:val="Tabla"/>
            </w:pPr>
            <w:r>
              <w:t xml:space="preserve">124</w:t>
            </w:r>
          </w:p>
        </w:tc>
      </w:tr>
    </w:tbl>
    <w:p>
      <w:pPr>
        <w:pStyle w:val="Fuente"/>
      </w:pPr>
      <w:r>
        <w:t xml:space="preserve">Véase </w:t>
      </w:r>
      <w:hyperlink w:history="1" w:anchor="b_1_2">
        <w:r>
          <w:rPr>
            <w:color w:val="156B70"/>
            <w:u w:val="single"/>
          </w:rPr>
          <w:t xml:space="preserve">1.2 · Escalera de inferencias</w:t>
        </w:r>
      </w:hyperlink>
      <w:r>
        <w:t xml:space="preserve">, pág. </w:t>
      </w:r>
      <w:r>
        <w:fldChar w:fldCharType="begin"/>
        <w:instrText xml:space="preserve">PAGEREF b_1_2 \h</w:instrText>
        <w:fldChar w:fldCharType="separate"/>
        <w:t xml:space="preserve">55</w:t>
        <w:fldChar w:fldCharType="end"/>
      </w:r>
      <w:r>
        <w:t xml:space="preserve">.</w:t>
      </w:r>
    </w:p>
    <w:p>
      <w:pPr>
        <w:pStyle w:val="Heading3"/>
      </w:pPr>
      <w:r>
        <w:t xml:space="preserve">1.3 · El paradigma de sistemas</w:t>
      </w:r>
    </w:p>
    <w:tbl>
      <w:tblPr>
        <w:tblW w:type="dxa" w:w="9632"/>
        <w:tblBorders>
          <w:top w:val="single" w:color="C5D5DB" w:sz="4"/>
          <w:left w:val="single" w:color="C5D5DB" w:sz="4"/>
          <w:bottom w:val="single" w:color="C5D5DB" w:sz="4"/>
          <w:right w:val="single" w:color="C5D5DB" w:sz="4"/>
          <w:insideH w:val="single" w:color="E4E9EB" w:sz="3"/>
          <w:insideV w:val="single" w:color="E4E9EB" w:sz="3"/>
        </w:tblBorders>
        <w:tblLayout w:type="fixed"/>
      </w:tblPr>
      <w:tblGrid>
        <w:gridCol w:w="4816"/>
        <w:gridCol w:w="4816"/>
      </w:tblGrid>
      <w:tr>
        <w:trPr>
          <w:cantSplit/>
          <w:tblHeader/>
        </w:trPr>
        <w:tc>
          <w:tcPr>
            <w:tcW w:type="dxa" w:w="4816"/>
            <w:shd w:fill="DFEAF0" w:val="clear"/>
            <w:tcMar>
              <w:top w:type="dxa" w:w="80"/>
              <w:left w:type="dxa" w:w="100"/>
              <w:bottom w:type="dxa" w:w="80"/>
              <w:right w:type="dxa" w:w="100"/>
            </w:tcMar>
          </w:tcPr>
          <w:p>
            <w:pPr>
              <w:pStyle w:val="Tabla"/>
            </w:pPr>
            <w:r>
              <w:rPr>
                <w:b/>
                <w:bCs/>
              </w:rPr>
              <w:t xml:space="preserve">Evidencia</w:t>
            </w:r>
          </w:p>
        </w:tc>
        <w:tc>
          <w:tcPr>
            <w:tcW w:type="dxa" w:w="4816"/>
            <w:shd w:fill="DFEAF0" w:val="clear"/>
            <w:tcMar>
              <w:top w:type="dxa" w:w="80"/>
              <w:left w:type="dxa" w:w="100"/>
              <w:bottom w:type="dxa" w:w="80"/>
              <w:right w:type="dxa" w:w="100"/>
            </w:tcMar>
          </w:tcPr>
          <w:p>
            <w:pPr>
              <w:pStyle w:val="Tabla"/>
            </w:pPr>
            <w:r>
              <w:rPr>
                <w:b/>
                <w:bCs/>
              </w:rPr>
              <w:t xml:space="preserve">Localizaciones</w:t>
            </w:r>
          </w:p>
        </w:tc>
      </w:tr>
      <w:tr>
        <w:trPr>
          <w:cantSplit/>
          <w:tblHeader w:val="off"/>
        </w:trPr>
        <w:tc>
          <w:tcPr>
            <w:tcW w:type="dxa" w:w="4816"/>
            <w:tcMar>
              <w:top w:type="dxa" w:w="80"/>
              <w:left w:type="dxa" w:w="100"/>
              <w:bottom w:type="dxa" w:w="80"/>
              <w:right w:type="dxa" w:w="100"/>
            </w:tcMar>
          </w:tcPr>
          <w:p>
            <w:pPr>
              <w:pStyle w:val="Tabla"/>
            </w:pPr>
            <w:r>
              <w:t xml:space="preserve">Presentaciones</w:t>
            </w:r>
          </w:p>
        </w:tc>
        <w:tc>
          <w:tcPr>
            <w:tcW w:type="dxa" w:w="4816"/>
            <w:tcMar>
              <w:top w:type="dxa" w:w="80"/>
              <w:left w:type="dxa" w:w="100"/>
              <w:bottom w:type="dxa" w:w="80"/>
              <w:right w:type="dxa" w:w="100"/>
            </w:tcMar>
          </w:tcPr>
          <w:p>
            <w:pPr>
              <w:pStyle w:val="Tabla"/>
            </w:pPr>
            <w:r>
              <w:t xml:space="preserve">C-5:2, C-5:3, C-5:16, C-5:18, C-5:19, C-5:53, C-6:52, C-6:55, C-6:60</w:t>
            </w:r>
          </w:p>
        </w:tc>
      </w:tr>
      <w:tr>
        <w:trPr>
          <w:cantSplit/>
          <w:tblHeader w:val="off"/>
        </w:trPr>
        <w:tc>
          <w:tcPr>
            <w:tcW w:type="dxa" w:w="4816"/>
            <w:tcMar>
              <w:top w:type="dxa" w:w="80"/>
              <w:left w:type="dxa" w:w="100"/>
              <w:bottom w:type="dxa" w:w="80"/>
              <w:right w:type="dxa" w:w="100"/>
            </w:tcMar>
          </w:tcPr>
          <w:p>
            <w:pPr>
              <w:pStyle w:val="Tabla"/>
            </w:pPr>
            <w:r>
              <w:t xml:space="preserve">Capítulos de clase</w:t>
            </w:r>
          </w:p>
        </w:tc>
        <w:tc>
          <w:tcPr>
            <w:tcW w:type="dxa" w:w="4816"/>
            <w:tcMar>
              <w:top w:type="dxa" w:w="80"/>
              <w:left w:type="dxa" w:w="100"/>
              <w:bottom w:type="dxa" w:w="80"/>
              <w:right w:type="dxa" w:w="100"/>
            </w:tcMar>
          </w:tcPr>
          <w:p>
            <w:pPr>
              <w:pStyle w:val="Tabla"/>
            </w:pPr>
            <w:r>
              <w:t xml:space="preserve">1:03, 1:08, 6:01, 6:07, 6:08, 6:09, 6:10, 6:11, 7:01, 7:07, 8:06, 8:09, 9:05, 9:09</w:t>
            </w:r>
          </w:p>
        </w:tc>
      </w:tr>
      <w:tr>
        <w:trPr>
          <w:cantSplit/>
          <w:tblHeader w:val="off"/>
        </w:trPr>
        <w:tc>
          <w:tcPr>
            <w:tcW w:type="dxa" w:w="4816"/>
            <w:tcMar>
              <w:top w:type="dxa" w:w="80"/>
              <w:left w:type="dxa" w:w="100"/>
              <w:bottom w:type="dxa" w:w="80"/>
              <w:right w:type="dxa" w:w="100"/>
            </w:tcMar>
          </w:tcPr>
          <w:p>
            <w:pPr>
              <w:pStyle w:val="Tabla"/>
            </w:pPr>
            <w:r>
              <w:t xml:space="preserve">Práctica</w:t>
            </w:r>
          </w:p>
        </w:tc>
        <w:tc>
          <w:tcPr>
            <w:tcW w:type="dxa" w:w="4816"/>
            <w:tcMar>
              <w:top w:type="dxa" w:w="80"/>
              <w:left w:type="dxa" w:w="100"/>
              <w:bottom w:type="dxa" w:w="80"/>
              <w:right w:type="dxa" w:w="100"/>
            </w:tcMar>
          </w:tcPr>
          <w:p>
            <w:pPr>
              <w:pStyle w:val="Tabla"/>
            </w:pPr>
            <w:r>
              <w:t xml:space="preserve">10 autoevaluaciones; 0 ejercicios; 11 preguntas de exámenes y bancos.</w:t>
            </w:r>
          </w:p>
        </w:tc>
      </w:tr>
      <w:tr>
        <w:trPr>
          <w:cantSplit/>
          <w:tblHeader w:val="off"/>
        </w:trPr>
        <w:tc>
          <w:tcPr>
            <w:tcW w:type="dxa" w:w="4816"/>
            <w:tcMar>
              <w:top w:type="dxa" w:w="80"/>
              <w:left w:type="dxa" w:w="100"/>
              <w:bottom w:type="dxa" w:w="80"/>
              <w:right w:type="dxa" w:w="100"/>
            </w:tcMar>
          </w:tcPr>
          <w:p>
            <w:pPr>
              <w:pStyle w:val="Tabla"/>
            </w:pPr>
            <w:r>
              <w:t xml:space="preserve">Puntos verificados</w:t>
            </w:r>
          </w:p>
        </w:tc>
        <w:tc>
          <w:tcPr>
            <w:tcW w:type="dxa" w:w="4816"/>
            <w:tcMar>
              <w:top w:type="dxa" w:w="80"/>
              <w:left w:type="dxa" w:w="100"/>
              <w:bottom w:type="dxa" w:w="80"/>
              <w:right w:type="dxa" w:w="100"/>
            </w:tcMar>
          </w:tcPr>
          <w:p>
            <w:pPr>
              <w:pStyle w:val="Tabla"/>
            </w:pPr>
            <w:r>
              <w:t xml:space="preserve">76</w:t>
            </w:r>
          </w:p>
        </w:tc>
      </w:tr>
    </w:tbl>
    <w:p>
      <w:pPr>
        <w:pStyle w:val="Fuente"/>
      </w:pPr>
      <w:r>
        <w:t xml:space="preserve">Véase </w:t>
      </w:r>
      <w:hyperlink w:history="1" w:anchor="b_1_3">
        <w:r>
          <w:rPr>
            <w:color w:val="156B70"/>
            <w:u w:val="single"/>
          </w:rPr>
          <w:t xml:space="preserve">1.3 · El paradigma de sistemas</w:t>
        </w:r>
      </w:hyperlink>
      <w:r>
        <w:t xml:space="preserve">, pág. </w:t>
      </w:r>
      <w:r>
        <w:fldChar w:fldCharType="begin"/>
        <w:instrText xml:space="preserve">PAGEREF b_1_3 \h</w:instrText>
        <w:fldChar w:fldCharType="separate"/>
        <w:t xml:space="preserve">83</w:t>
        <w:fldChar w:fldCharType="end"/>
      </w:r>
      <w:r>
        <w:t xml:space="preserve">.</w:t>
      </w:r>
    </w:p>
    <w:p>
      <w:pPr>
        <w:pStyle w:val="Heading3"/>
      </w:pPr>
      <w:r>
        <w:t xml:space="preserve">1.4 · Sistémico vs no sistémico</w:t>
      </w:r>
    </w:p>
    <w:tbl>
      <w:tblPr>
        <w:tblW w:type="dxa" w:w="9632"/>
        <w:tblBorders>
          <w:top w:val="single" w:color="C5D5DB" w:sz="4"/>
          <w:left w:val="single" w:color="C5D5DB" w:sz="4"/>
          <w:bottom w:val="single" w:color="C5D5DB" w:sz="4"/>
          <w:right w:val="single" w:color="C5D5DB" w:sz="4"/>
          <w:insideH w:val="single" w:color="E4E9EB" w:sz="3"/>
          <w:insideV w:val="single" w:color="E4E9EB" w:sz="3"/>
        </w:tblBorders>
        <w:tblLayout w:type="fixed"/>
      </w:tblPr>
      <w:tblGrid>
        <w:gridCol w:w="4816"/>
        <w:gridCol w:w="4816"/>
      </w:tblGrid>
      <w:tr>
        <w:trPr>
          <w:cantSplit/>
          <w:tblHeader/>
        </w:trPr>
        <w:tc>
          <w:tcPr>
            <w:tcW w:type="dxa" w:w="4816"/>
            <w:shd w:fill="DFEAF0" w:val="clear"/>
            <w:tcMar>
              <w:top w:type="dxa" w:w="80"/>
              <w:left w:type="dxa" w:w="100"/>
              <w:bottom w:type="dxa" w:w="80"/>
              <w:right w:type="dxa" w:w="100"/>
            </w:tcMar>
          </w:tcPr>
          <w:p>
            <w:pPr>
              <w:pStyle w:val="Tabla"/>
            </w:pPr>
            <w:r>
              <w:rPr>
                <w:b/>
                <w:bCs/>
              </w:rPr>
              <w:t xml:space="preserve">Evidencia</w:t>
            </w:r>
          </w:p>
        </w:tc>
        <w:tc>
          <w:tcPr>
            <w:tcW w:type="dxa" w:w="4816"/>
            <w:shd w:fill="DFEAF0" w:val="clear"/>
            <w:tcMar>
              <w:top w:type="dxa" w:w="80"/>
              <w:left w:type="dxa" w:w="100"/>
              <w:bottom w:type="dxa" w:w="80"/>
              <w:right w:type="dxa" w:w="100"/>
            </w:tcMar>
          </w:tcPr>
          <w:p>
            <w:pPr>
              <w:pStyle w:val="Tabla"/>
            </w:pPr>
            <w:r>
              <w:rPr>
                <w:b/>
                <w:bCs/>
              </w:rPr>
              <w:t xml:space="preserve">Localizaciones</w:t>
            </w:r>
          </w:p>
        </w:tc>
      </w:tr>
      <w:tr>
        <w:trPr>
          <w:cantSplit/>
          <w:tblHeader w:val="off"/>
        </w:trPr>
        <w:tc>
          <w:tcPr>
            <w:tcW w:type="dxa" w:w="4816"/>
            <w:tcMar>
              <w:top w:type="dxa" w:w="80"/>
              <w:left w:type="dxa" w:w="100"/>
              <w:bottom w:type="dxa" w:w="80"/>
              <w:right w:type="dxa" w:w="100"/>
            </w:tcMar>
          </w:tcPr>
          <w:p>
            <w:pPr>
              <w:pStyle w:val="Tabla"/>
            </w:pPr>
            <w:r>
              <w:t xml:space="preserve">Presentaciones</w:t>
            </w:r>
          </w:p>
        </w:tc>
        <w:tc>
          <w:tcPr>
            <w:tcW w:type="dxa" w:w="4816"/>
            <w:tcMar>
              <w:top w:type="dxa" w:w="80"/>
              <w:left w:type="dxa" w:w="100"/>
              <w:bottom w:type="dxa" w:w="80"/>
              <w:right w:type="dxa" w:w="100"/>
            </w:tcMar>
          </w:tcPr>
          <w:p>
            <w:pPr>
              <w:pStyle w:val="Tabla"/>
            </w:pPr>
            <w:r>
              <w:t xml:space="preserve">C-5:2, C-5:7, C-5:36, C-5:52, C-5:59, C-5:60, C-2:50</w:t>
            </w:r>
          </w:p>
        </w:tc>
      </w:tr>
      <w:tr>
        <w:trPr>
          <w:cantSplit/>
          <w:tblHeader w:val="off"/>
        </w:trPr>
        <w:tc>
          <w:tcPr>
            <w:tcW w:type="dxa" w:w="4816"/>
            <w:tcMar>
              <w:top w:type="dxa" w:w="80"/>
              <w:left w:type="dxa" w:w="100"/>
              <w:bottom w:type="dxa" w:w="80"/>
              <w:right w:type="dxa" w:w="100"/>
            </w:tcMar>
          </w:tcPr>
          <w:p>
            <w:pPr>
              <w:pStyle w:val="Tabla"/>
            </w:pPr>
            <w:r>
              <w:t xml:space="preserve">Capítulos de clase</w:t>
            </w:r>
          </w:p>
        </w:tc>
        <w:tc>
          <w:tcPr>
            <w:tcW w:type="dxa" w:w="4816"/>
            <w:tcMar>
              <w:top w:type="dxa" w:w="80"/>
              <w:left w:type="dxa" w:w="100"/>
              <w:bottom w:type="dxa" w:w="80"/>
              <w:right w:type="dxa" w:w="100"/>
            </w:tcMar>
          </w:tcPr>
          <w:p>
            <w:pPr>
              <w:pStyle w:val="Tabla"/>
            </w:pPr>
            <w:r>
              <w:t xml:space="preserve">1:02, 1:03, 1:04, 1:06, 1:08, 1:10, 2:01, 2:02, 2:05, 2:09, 3:01, 4:09, 4:10, 5:02, 5:08, 5:10, 5:12, 6:10, 7:05, 14:09, 18:02</w:t>
            </w:r>
          </w:p>
        </w:tc>
      </w:tr>
      <w:tr>
        <w:trPr>
          <w:cantSplit/>
          <w:tblHeader w:val="off"/>
        </w:trPr>
        <w:tc>
          <w:tcPr>
            <w:tcW w:type="dxa" w:w="4816"/>
            <w:tcMar>
              <w:top w:type="dxa" w:w="80"/>
              <w:left w:type="dxa" w:w="100"/>
              <w:bottom w:type="dxa" w:w="80"/>
              <w:right w:type="dxa" w:w="100"/>
            </w:tcMar>
          </w:tcPr>
          <w:p>
            <w:pPr>
              <w:pStyle w:val="Tabla"/>
            </w:pPr>
            <w:r>
              <w:t xml:space="preserve">Práctica</w:t>
            </w:r>
          </w:p>
        </w:tc>
        <w:tc>
          <w:tcPr>
            <w:tcW w:type="dxa" w:w="4816"/>
            <w:tcMar>
              <w:top w:type="dxa" w:w="80"/>
              <w:left w:type="dxa" w:w="100"/>
              <w:bottom w:type="dxa" w:w="80"/>
              <w:right w:type="dxa" w:w="100"/>
            </w:tcMar>
          </w:tcPr>
          <w:p>
            <w:pPr>
              <w:pStyle w:val="Tabla"/>
            </w:pPr>
            <w:r>
              <w:t xml:space="preserve">10 autoevaluaciones; 0 ejercicios; 14 preguntas de exámenes y bancos.</w:t>
            </w:r>
          </w:p>
        </w:tc>
      </w:tr>
      <w:tr>
        <w:trPr>
          <w:cantSplit/>
          <w:tblHeader w:val="off"/>
        </w:trPr>
        <w:tc>
          <w:tcPr>
            <w:tcW w:type="dxa" w:w="4816"/>
            <w:tcMar>
              <w:top w:type="dxa" w:w="80"/>
              <w:left w:type="dxa" w:w="100"/>
              <w:bottom w:type="dxa" w:w="80"/>
              <w:right w:type="dxa" w:w="100"/>
            </w:tcMar>
          </w:tcPr>
          <w:p>
            <w:pPr>
              <w:pStyle w:val="Tabla"/>
            </w:pPr>
            <w:r>
              <w:t xml:space="preserve">Puntos verificados</w:t>
            </w:r>
          </w:p>
        </w:tc>
        <w:tc>
          <w:tcPr>
            <w:tcW w:type="dxa" w:w="4816"/>
            <w:tcMar>
              <w:top w:type="dxa" w:w="80"/>
              <w:left w:type="dxa" w:w="100"/>
              <w:bottom w:type="dxa" w:w="80"/>
              <w:right w:type="dxa" w:w="100"/>
            </w:tcMar>
          </w:tcPr>
          <w:p>
            <w:pPr>
              <w:pStyle w:val="Tabla"/>
            </w:pPr>
            <w:r>
              <w:t xml:space="preserve">66</w:t>
            </w:r>
          </w:p>
        </w:tc>
      </w:tr>
    </w:tbl>
    <w:p>
      <w:pPr>
        <w:pStyle w:val="Fuente"/>
      </w:pPr>
      <w:r>
        <w:t xml:space="preserve">Véase </w:t>
      </w:r>
      <w:hyperlink w:history="1" w:anchor="b_1_4">
        <w:r>
          <w:rPr>
            <w:color w:val="156B70"/>
            <w:u w:val="single"/>
          </w:rPr>
          <w:t xml:space="preserve">1.4 · Sistémico vs no sistémico</w:t>
        </w:r>
      </w:hyperlink>
      <w:r>
        <w:t xml:space="preserve">, pág. </w:t>
      </w:r>
      <w:r>
        <w:fldChar w:fldCharType="begin"/>
        <w:instrText xml:space="preserve">PAGEREF b_1_4 \h</w:instrText>
        <w:fldChar w:fldCharType="separate"/>
        <w:t xml:space="preserve">104</w:t>
        <w:fldChar w:fldCharType="end"/>
      </w:r>
      <w:r>
        <w:t xml:space="preserve">.</w:t>
      </w:r>
    </w:p>
    <w:p>
      <w:pPr>
        <w:pStyle w:val="Heading3"/>
      </w:pPr>
      <w:r>
        <w:t xml:space="preserve">1.5 · Perspectivas</w:t>
      </w:r>
    </w:p>
    <w:tbl>
      <w:tblPr>
        <w:tblW w:type="dxa" w:w="9632"/>
        <w:tblBorders>
          <w:top w:val="single" w:color="C5D5DB" w:sz="4"/>
          <w:left w:val="single" w:color="C5D5DB" w:sz="4"/>
          <w:bottom w:val="single" w:color="C5D5DB" w:sz="4"/>
          <w:right w:val="single" w:color="C5D5DB" w:sz="4"/>
          <w:insideH w:val="single" w:color="E4E9EB" w:sz="3"/>
          <w:insideV w:val="single" w:color="E4E9EB" w:sz="3"/>
        </w:tblBorders>
        <w:tblLayout w:type="fixed"/>
      </w:tblPr>
      <w:tblGrid>
        <w:gridCol w:w="4816"/>
        <w:gridCol w:w="4816"/>
      </w:tblGrid>
      <w:tr>
        <w:trPr>
          <w:cantSplit/>
          <w:tblHeader/>
        </w:trPr>
        <w:tc>
          <w:tcPr>
            <w:tcW w:type="dxa" w:w="4816"/>
            <w:shd w:fill="DFEAF0" w:val="clear"/>
            <w:tcMar>
              <w:top w:type="dxa" w:w="80"/>
              <w:left w:type="dxa" w:w="100"/>
              <w:bottom w:type="dxa" w:w="80"/>
              <w:right w:type="dxa" w:w="100"/>
            </w:tcMar>
          </w:tcPr>
          <w:p>
            <w:pPr>
              <w:pStyle w:val="Tabla"/>
            </w:pPr>
            <w:r>
              <w:rPr>
                <w:b/>
                <w:bCs/>
              </w:rPr>
              <w:t xml:space="preserve">Evidencia</w:t>
            </w:r>
          </w:p>
        </w:tc>
        <w:tc>
          <w:tcPr>
            <w:tcW w:type="dxa" w:w="4816"/>
            <w:shd w:fill="DFEAF0" w:val="clear"/>
            <w:tcMar>
              <w:top w:type="dxa" w:w="80"/>
              <w:left w:type="dxa" w:w="100"/>
              <w:bottom w:type="dxa" w:w="80"/>
              <w:right w:type="dxa" w:w="100"/>
            </w:tcMar>
          </w:tcPr>
          <w:p>
            <w:pPr>
              <w:pStyle w:val="Tabla"/>
            </w:pPr>
            <w:r>
              <w:rPr>
                <w:b/>
                <w:bCs/>
              </w:rPr>
              <w:t xml:space="preserve">Localizaciones</w:t>
            </w:r>
          </w:p>
        </w:tc>
      </w:tr>
      <w:tr>
        <w:trPr>
          <w:cantSplit/>
          <w:tblHeader w:val="off"/>
        </w:trPr>
        <w:tc>
          <w:tcPr>
            <w:tcW w:type="dxa" w:w="4816"/>
            <w:tcMar>
              <w:top w:type="dxa" w:w="80"/>
              <w:left w:type="dxa" w:w="100"/>
              <w:bottom w:type="dxa" w:w="80"/>
              <w:right w:type="dxa" w:w="100"/>
            </w:tcMar>
          </w:tcPr>
          <w:p>
            <w:pPr>
              <w:pStyle w:val="Tabla"/>
            </w:pPr>
            <w:r>
              <w:t xml:space="preserve">Presentaciones</w:t>
            </w:r>
          </w:p>
        </w:tc>
        <w:tc>
          <w:tcPr>
            <w:tcW w:type="dxa" w:w="4816"/>
            <w:tcMar>
              <w:top w:type="dxa" w:w="80"/>
              <w:left w:type="dxa" w:w="100"/>
              <w:bottom w:type="dxa" w:w="80"/>
              <w:right w:type="dxa" w:w="100"/>
            </w:tcMar>
          </w:tcPr>
          <w:p>
            <w:pPr>
              <w:pStyle w:val="Tabla"/>
            </w:pPr>
            <w:r>
              <w:t xml:space="preserve">C-5:2, C-5:38, C-5:45, C-5:46, C-5:47, C-5:48, C-5:49, C-5:50, C-5:52, C-5:56, C-5:57, C-5:63, C-6:22, C-6:39, C-6:50</w:t>
            </w:r>
          </w:p>
        </w:tc>
      </w:tr>
      <w:tr>
        <w:trPr>
          <w:cantSplit/>
          <w:tblHeader w:val="off"/>
        </w:trPr>
        <w:tc>
          <w:tcPr>
            <w:tcW w:type="dxa" w:w="4816"/>
            <w:tcMar>
              <w:top w:type="dxa" w:w="80"/>
              <w:left w:type="dxa" w:w="100"/>
              <w:bottom w:type="dxa" w:w="80"/>
              <w:right w:type="dxa" w:w="100"/>
            </w:tcMar>
          </w:tcPr>
          <w:p>
            <w:pPr>
              <w:pStyle w:val="Tabla"/>
            </w:pPr>
            <w:r>
              <w:t xml:space="preserve">Capítulos de clase</w:t>
            </w:r>
          </w:p>
        </w:tc>
        <w:tc>
          <w:tcPr>
            <w:tcW w:type="dxa" w:w="4816"/>
            <w:tcMar>
              <w:top w:type="dxa" w:w="80"/>
              <w:left w:type="dxa" w:w="100"/>
              <w:bottom w:type="dxa" w:w="80"/>
              <w:right w:type="dxa" w:w="100"/>
            </w:tcMar>
          </w:tcPr>
          <w:p>
            <w:pPr>
              <w:pStyle w:val="Tabla"/>
            </w:pPr>
            <w:r>
              <w:t xml:space="preserve">2:07, 5:02, 5:03, 5:04, 5:05, 5:06, 5:08, 5:10, 5:11, 7:05, 7:08, 8:01, 8:03</w:t>
            </w:r>
          </w:p>
        </w:tc>
      </w:tr>
      <w:tr>
        <w:trPr>
          <w:cantSplit/>
          <w:tblHeader w:val="off"/>
        </w:trPr>
        <w:tc>
          <w:tcPr>
            <w:tcW w:type="dxa" w:w="4816"/>
            <w:tcMar>
              <w:top w:type="dxa" w:w="80"/>
              <w:left w:type="dxa" w:w="100"/>
              <w:bottom w:type="dxa" w:w="80"/>
              <w:right w:type="dxa" w:w="100"/>
            </w:tcMar>
          </w:tcPr>
          <w:p>
            <w:pPr>
              <w:pStyle w:val="Tabla"/>
            </w:pPr>
            <w:r>
              <w:t xml:space="preserve">Práctica</w:t>
            </w:r>
          </w:p>
        </w:tc>
        <w:tc>
          <w:tcPr>
            <w:tcW w:type="dxa" w:w="4816"/>
            <w:tcMar>
              <w:top w:type="dxa" w:w="80"/>
              <w:left w:type="dxa" w:w="100"/>
              <w:bottom w:type="dxa" w:w="80"/>
              <w:right w:type="dxa" w:w="100"/>
            </w:tcMar>
          </w:tcPr>
          <w:p>
            <w:pPr>
              <w:pStyle w:val="Tabla"/>
            </w:pPr>
            <w:r>
              <w:t xml:space="preserve">13 autoevaluaciones; 1 ejercicios; 14 preguntas de exámenes y bancos.</w:t>
            </w:r>
          </w:p>
        </w:tc>
      </w:tr>
      <w:tr>
        <w:trPr>
          <w:cantSplit/>
          <w:tblHeader w:val="off"/>
        </w:trPr>
        <w:tc>
          <w:tcPr>
            <w:tcW w:type="dxa" w:w="4816"/>
            <w:tcMar>
              <w:top w:type="dxa" w:w="80"/>
              <w:left w:type="dxa" w:w="100"/>
              <w:bottom w:type="dxa" w:w="80"/>
              <w:right w:type="dxa" w:w="100"/>
            </w:tcMar>
          </w:tcPr>
          <w:p>
            <w:pPr>
              <w:pStyle w:val="Tabla"/>
            </w:pPr>
            <w:r>
              <w:t xml:space="preserve">Puntos verificados</w:t>
            </w:r>
          </w:p>
        </w:tc>
        <w:tc>
          <w:tcPr>
            <w:tcW w:type="dxa" w:w="4816"/>
            <w:tcMar>
              <w:top w:type="dxa" w:w="80"/>
              <w:left w:type="dxa" w:w="100"/>
              <w:bottom w:type="dxa" w:w="80"/>
              <w:right w:type="dxa" w:w="100"/>
            </w:tcMar>
          </w:tcPr>
          <w:p>
            <w:pPr>
              <w:pStyle w:val="Tabla"/>
            </w:pPr>
            <w:r>
              <w:t xml:space="preserve">98</w:t>
            </w:r>
          </w:p>
        </w:tc>
      </w:tr>
    </w:tbl>
    <w:p>
      <w:pPr>
        <w:pStyle w:val="Fuente"/>
      </w:pPr>
      <w:r>
        <w:t xml:space="preserve">Véase </w:t>
      </w:r>
      <w:hyperlink w:history="1" w:anchor="b_1_5">
        <w:r>
          <w:rPr>
            <w:color w:val="156B70"/>
            <w:u w:val="single"/>
          </w:rPr>
          <w:t xml:space="preserve">1.5 · Perspectivas</w:t>
        </w:r>
      </w:hyperlink>
      <w:r>
        <w:t xml:space="preserve">, pág. </w:t>
      </w:r>
      <w:r>
        <w:fldChar w:fldCharType="begin"/>
        <w:instrText xml:space="preserve">PAGEREF b_1_5 \h</w:instrText>
        <w:fldChar w:fldCharType="separate"/>
        <w:t xml:space="preserve">125</w:t>
        <w:fldChar w:fldCharType="end"/>
      </w:r>
      <w:r>
        <w:t xml:space="preserve">.</w:t>
      </w:r>
    </w:p>
    <w:p>
      <w:pPr>
        <w:pStyle w:val="Heading3"/>
      </w:pPr>
      <w:r>
        <w:t xml:space="preserve">1.6 · Operaciones DSRP</w:t>
      </w:r>
    </w:p>
    <w:tbl>
      <w:tblPr>
        <w:tblW w:type="dxa" w:w="9632"/>
        <w:tblBorders>
          <w:top w:val="single" w:color="C5D5DB" w:sz="4"/>
          <w:left w:val="single" w:color="C5D5DB" w:sz="4"/>
          <w:bottom w:val="single" w:color="C5D5DB" w:sz="4"/>
          <w:right w:val="single" w:color="C5D5DB" w:sz="4"/>
          <w:insideH w:val="single" w:color="E4E9EB" w:sz="3"/>
          <w:insideV w:val="single" w:color="E4E9EB" w:sz="3"/>
        </w:tblBorders>
        <w:tblLayout w:type="fixed"/>
      </w:tblPr>
      <w:tblGrid>
        <w:gridCol w:w="4816"/>
        <w:gridCol w:w="4816"/>
      </w:tblGrid>
      <w:tr>
        <w:trPr>
          <w:cantSplit/>
          <w:tblHeader/>
        </w:trPr>
        <w:tc>
          <w:tcPr>
            <w:tcW w:type="dxa" w:w="4816"/>
            <w:shd w:fill="DFEAF0" w:val="clear"/>
            <w:tcMar>
              <w:top w:type="dxa" w:w="80"/>
              <w:left w:type="dxa" w:w="100"/>
              <w:bottom w:type="dxa" w:w="80"/>
              <w:right w:type="dxa" w:w="100"/>
            </w:tcMar>
          </w:tcPr>
          <w:p>
            <w:pPr>
              <w:pStyle w:val="Tabla"/>
            </w:pPr>
            <w:r>
              <w:rPr>
                <w:b/>
                <w:bCs/>
              </w:rPr>
              <w:t xml:space="preserve">Evidencia</w:t>
            </w:r>
          </w:p>
        </w:tc>
        <w:tc>
          <w:tcPr>
            <w:tcW w:type="dxa" w:w="4816"/>
            <w:shd w:fill="DFEAF0" w:val="clear"/>
            <w:tcMar>
              <w:top w:type="dxa" w:w="80"/>
              <w:left w:type="dxa" w:w="100"/>
              <w:bottom w:type="dxa" w:w="80"/>
              <w:right w:type="dxa" w:w="100"/>
            </w:tcMar>
          </w:tcPr>
          <w:p>
            <w:pPr>
              <w:pStyle w:val="Tabla"/>
            </w:pPr>
            <w:r>
              <w:rPr>
                <w:b/>
                <w:bCs/>
              </w:rPr>
              <w:t xml:space="preserve">Localizaciones</w:t>
            </w:r>
          </w:p>
        </w:tc>
      </w:tr>
      <w:tr>
        <w:trPr>
          <w:cantSplit/>
          <w:tblHeader w:val="off"/>
        </w:trPr>
        <w:tc>
          <w:tcPr>
            <w:tcW w:type="dxa" w:w="4816"/>
            <w:tcMar>
              <w:top w:type="dxa" w:w="80"/>
              <w:left w:type="dxa" w:w="100"/>
              <w:bottom w:type="dxa" w:w="80"/>
              <w:right w:type="dxa" w:w="100"/>
            </w:tcMar>
          </w:tcPr>
          <w:p>
            <w:pPr>
              <w:pStyle w:val="Tabla"/>
            </w:pPr>
            <w:r>
              <w:t xml:space="preserve">Presentaciones</w:t>
            </w:r>
          </w:p>
        </w:tc>
        <w:tc>
          <w:tcPr>
            <w:tcW w:type="dxa" w:w="4816"/>
            <w:tcMar>
              <w:top w:type="dxa" w:w="80"/>
              <w:left w:type="dxa" w:w="100"/>
              <w:bottom w:type="dxa" w:w="80"/>
              <w:right w:type="dxa" w:w="100"/>
            </w:tcMar>
          </w:tcPr>
          <w:p>
            <w:pPr>
              <w:pStyle w:val="Tabla"/>
            </w:pPr>
            <w:r>
              <w:t xml:space="preserve">C-5:2, C-6:14, C-6:15, C-6:18, C-6:19, C-6:20, C-6:21, C-6:22, C-6:23, C-6:24, C-6:25, C-6:26, C-6:28, C-6:38, C-6:39, C-6:40, C-6:50</w:t>
            </w:r>
          </w:p>
        </w:tc>
      </w:tr>
      <w:tr>
        <w:trPr>
          <w:cantSplit/>
          <w:tblHeader w:val="off"/>
        </w:trPr>
        <w:tc>
          <w:tcPr>
            <w:tcW w:type="dxa" w:w="4816"/>
            <w:tcMar>
              <w:top w:type="dxa" w:w="80"/>
              <w:left w:type="dxa" w:w="100"/>
              <w:bottom w:type="dxa" w:w="80"/>
              <w:right w:type="dxa" w:w="100"/>
            </w:tcMar>
          </w:tcPr>
          <w:p>
            <w:pPr>
              <w:pStyle w:val="Tabla"/>
            </w:pPr>
            <w:r>
              <w:t xml:space="preserve">Capítulos de clase</w:t>
            </w:r>
          </w:p>
        </w:tc>
        <w:tc>
          <w:tcPr>
            <w:tcW w:type="dxa" w:w="4816"/>
            <w:tcMar>
              <w:top w:type="dxa" w:w="80"/>
              <w:left w:type="dxa" w:w="100"/>
              <w:bottom w:type="dxa" w:w="80"/>
              <w:right w:type="dxa" w:w="100"/>
            </w:tcMar>
          </w:tcPr>
          <w:p>
            <w:pPr>
              <w:pStyle w:val="Tabla"/>
            </w:pPr>
            <w:r>
              <w:t xml:space="preserve">6:12, 7:04, 7:05, 7:06, 7:07, 7:08, 7:10, 8:01, 8:02</w:t>
            </w:r>
          </w:p>
        </w:tc>
      </w:tr>
      <w:tr>
        <w:trPr>
          <w:cantSplit/>
          <w:tblHeader w:val="off"/>
        </w:trPr>
        <w:tc>
          <w:tcPr>
            <w:tcW w:type="dxa" w:w="4816"/>
            <w:tcMar>
              <w:top w:type="dxa" w:w="80"/>
              <w:left w:type="dxa" w:w="100"/>
              <w:bottom w:type="dxa" w:w="80"/>
              <w:right w:type="dxa" w:w="100"/>
            </w:tcMar>
          </w:tcPr>
          <w:p>
            <w:pPr>
              <w:pStyle w:val="Tabla"/>
            </w:pPr>
            <w:r>
              <w:t xml:space="preserve">Práctica</w:t>
            </w:r>
          </w:p>
        </w:tc>
        <w:tc>
          <w:tcPr>
            <w:tcW w:type="dxa" w:w="4816"/>
            <w:tcMar>
              <w:top w:type="dxa" w:w="80"/>
              <w:left w:type="dxa" w:w="100"/>
              <w:bottom w:type="dxa" w:w="80"/>
              <w:right w:type="dxa" w:w="100"/>
            </w:tcMar>
          </w:tcPr>
          <w:p>
            <w:pPr>
              <w:pStyle w:val="Tabla"/>
            </w:pPr>
            <w:r>
              <w:t xml:space="preserve">13 autoevaluaciones; 0 ejercicios; 15 preguntas de exámenes y bancos.</w:t>
            </w:r>
          </w:p>
        </w:tc>
      </w:tr>
      <w:tr>
        <w:trPr>
          <w:cantSplit/>
          <w:tblHeader w:val="off"/>
        </w:trPr>
        <w:tc>
          <w:tcPr>
            <w:tcW w:type="dxa" w:w="4816"/>
            <w:tcMar>
              <w:top w:type="dxa" w:w="80"/>
              <w:left w:type="dxa" w:w="100"/>
              <w:bottom w:type="dxa" w:w="80"/>
              <w:right w:type="dxa" w:w="100"/>
            </w:tcMar>
          </w:tcPr>
          <w:p>
            <w:pPr>
              <w:pStyle w:val="Tabla"/>
            </w:pPr>
            <w:r>
              <w:t xml:space="preserve">Puntos verificados</w:t>
            </w:r>
          </w:p>
        </w:tc>
        <w:tc>
          <w:tcPr>
            <w:tcW w:type="dxa" w:w="4816"/>
            <w:tcMar>
              <w:top w:type="dxa" w:w="80"/>
              <w:left w:type="dxa" w:w="100"/>
              <w:bottom w:type="dxa" w:w="80"/>
              <w:right w:type="dxa" w:w="100"/>
            </w:tcMar>
          </w:tcPr>
          <w:p>
            <w:pPr>
              <w:pStyle w:val="Tabla"/>
            </w:pPr>
            <w:r>
              <w:t xml:space="preserve">102</w:t>
            </w:r>
          </w:p>
        </w:tc>
      </w:tr>
    </w:tbl>
    <w:p>
      <w:pPr>
        <w:pStyle w:val="Fuente"/>
      </w:pPr>
      <w:r>
        <w:t xml:space="preserve">Véase </w:t>
      </w:r>
      <w:hyperlink w:history="1" w:anchor="b_1_6">
        <w:r>
          <w:rPr>
            <w:color w:val="156B70"/>
            <w:u w:val="single"/>
          </w:rPr>
          <w:t xml:space="preserve">1.6 · Operaciones DSRP</w:t>
        </w:r>
      </w:hyperlink>
      <w:r>
        <w:t xml:space="preserve">, pág. </w:t>
      </w:r>
      <w:r>
        <w:fldChar w:fldCharType="begin"/>
        <w:instrText xml:space="preserve">PAGEREF b_1_6 \h</w:instrText>
        <w:fldChar w:fldCharType="separate"/>
        <w:t xml:space="preserve">150</w:t>
        <w:fldChar w:fldCharType="end"/>
      </w:r>
      <w:r>
        <w:t xml:space="preserve">.</w:t>
      </w:r>
    </w:p>
    <w:p>
      <w:pPr>
        <w:pStyle w:val="Heading3"/>
      </w:pPr>
      <w:r>
        <w:t xml:space="preserve">1.7 · Niveles — modelo del iceberg</w:t>
      </w:r>
    </w:p>
    <w:tbl>
      <w:tblPr>
        <w:tblW w:type="dxa" w:w="9632"/>
        <w:tblBorders>
          <w:top w:val="single" w:color="C5D5DB" w:sz="4"/>
          <w:left w:val="single" w:color="C5D5DB" w:sz="4"/>
          <w:bottom w:val="single" w:color="C5D5DB" w:sz="4"/>
          <w:right w:val="single" w:color="C5D5DB" w:sz="4"/>
          <w:insideH w:val="single" w:color="E4E9EB" w:sz="3"/>
          <w:insideV w:val="single" w:color="E4E9EB" w:sz="3"/>
        </w:tblBorders>
        <w:tblLayout w:type="fixed"/>
      </w:tblPr>
      <w:tblGrid>
        <w:gridCol w:w="4816"/>
        <w:gridCol w:w="4816"/>
      </w:tblGrid>
      <w:tr>
        <w:trPr>
          <w:cantSplit/>
          <w:tblHeader/>
        </w:trPr>
        <w:tc>
          <w:tcPr>
            <w:tcW w:type="dxa" w:w="4816"/>
            <w:shd w:fill="DFEAF0" w:val="clear"/>
            <w:tcMar>
              <w:top w:type="dxa" w:w="80"/>
              <w:left w:type="dxa" w:w="100"/>
              <w:bottom w:type="dxa" w:w="80"/>
              <w:right w:type="dxa" w:w="100"/>
            </w:tcMar>
          </w:tcPr>
          <w:p>
            <w:pPr>
              <w:pStyle w:val="Tabla"/>
            </w:pPr>
            <w:r>
              <w:rPr>
                <w:b/>
                <w:bCs/>
              </w:rPr>
              <w:t xml:space="preserve">Evidencia</w:t>
            </w:r>
          </w:p>
        </w:tc>
        <w:tc>
          <w:tcPr>
            <w:tcW w:type="dxa" w:w="4816"/>
            <w:shd w:fill="DFEAF0" w:val="clear"/>
            <w:tcMar>
              <w:top w:type="dxa" w:w="80"/>
              <w:left w:type="dxa" w:w="100"/>
              <w:bottom w:type="dxa" w:w="80"/>
              <w:right w:type="dxa" w:w="100"/>
            </w:tcMar>
          </w:tcPr>
          <w:p>
            <w:pPr>
              <w:pStyle w:val="Tabla"/>
            </w:pPr>
            <w:r>
              <w:rPr>
                <w:b/>
                <w:bCs/>
              </w:rPr>
              <w:t xml:space="preserve">Localizaciones</w:t>
            </w:r>
          </w:p>
        </w:tc>
      </w:tr>
      <w:tr>
        <w:trPr>
          <w:cantSplit/>
          <w:tblHeader w:val="off"/>
        </w:trPr>
        <w:tc>
          <w:tcPr>
            <w:tcW w:type="dxa" w:w="4816"/>
            <w:tcMar>
              <w:top w:type="dxa" w:w="80"/>
              <w:left w:type="dxa" w:w="100"/>
              <w:bottom w:type="dxa" w:w="80"/>
              <w:right w:type="dxa" w:w="100"/>
            </w:tcMar>
          </w:tcPr>
          <w:p>
            <w:pPr>
              <w:pStyle w:val="Tabla"/>
            </w:pPr>
            <w:r>
              <w:t xml:space="preserve">Presentaciones</w:t>
            </w:r>
          </w:p>
        </w:tc>
        <w:tc>
          <w:tcPr>
            <w:tcW w:type="dxa" w:w="4816"/>
            <w:tcMar>
              <w:top w:type="dxa" w:w="80"/>
              <w:left w:type="dxa" w:w="100"/>
              <w:bottom w:type="dxa" w:w="80"/>
              <w:right w:type="dxa" w:w="100"/>
            </w:tcMar>
          </w:tcPr>
          <w:p>
            <w:pPr>
              <w:pStyle w:val="Tabla"/>
            </w:pPr>
            <w:r>
              <w:t xml:space="preserve">C-5:2, C-5:34, C-5:35, C-5:37, C-5:39, C-5:58, C-6:16, C-6:51, C-2:98, C-2:108, C-2:122</w:t>
            </w:r>
          </w:p>
        </w:tc>
      </w:tr>
      <w:tr>
        <w:trPr>
          <w:cantSplit/>
          <w:tblHeader w:val="off"/>
        </w:trPr>
        <w:tc>
          <w:tcPr>
            <w:tcW w:type="dxa" w:w="4816"/>
            <w:tcMar>
              <w:top w:type="dxa" w:w="80"/>
              <w:left w:type="dxa" w:w="100"/>
              <w:bottom w:type="dxa" w:w="80"/>
              <w:right w:type="dxa" w:w="100"/>
            </w:tcMar>
          </w:tcPr>
          <w:p>
            <w:pPr>
              <w:pStyle w:val="Tabla"/>
            </w:pPr>
            <w:r>
              <w:t xml:space="preserve">Capítulos de clase</w:t>
            </w:r>
          </w:p>
        </w:tc>
        <w:tc>
          <w:tcPr>
            <w:tcW w:type="dxa" w:w="4816"/>
            <w:tcMar>
              <w:top w:type="dxa" w:w="80"/>
              <w:left w:type="dxa" w:w="100"/>
              <w:bottom w:type="dxa" w:w="80"/>
              <w:right w:type="dxa" w:w="100"/>
            </w:tcMar>
          </w:tcPr>
          <w:p>
            <w:pPr>
              <w:pStyle w:val="Tabla"/>
            </w:pPr>
            <w:r>
              <w:t xml:space="preserve">4:02, 4:03, 4:04, 4:05, 4:06, 4:10, 5:05, 5:11, 6:10</w:t>
            </w:r>
          </w:p>
        </w:tc>
      </w:tr>
      <w:tr>
        <w:trPr>
          <w:cantSplit/>
          <w:tblHeader w:val="off"/>
        </w:trPr>
        <w:tc>
          <w:tcPr>
            <w:tcW w:type="dxa" w:w="4816"/>
            <w:tcMar>
              <w:top w:type="dxa" w:w="80"/>
              <w:left w:type="dxa" w:w="100"/>
              <w:bottom w:type="dxa" w:w="80"/>
              <w:right w:type="dxa" w:w="100"/>
            </w:tcMar>
          </w:tcPr>
          <w:p>
            <w:pPr>
              <w:pStyle w:val="Tabla"/>
            </w:pPr>
            <w:r>
              <w:t xml:space="preserve">Práctica</w:t>
            </w:r>
          </w:p>
        </w:tc>
        <w:tc>
          <w:tcPr>
            <w:tcW w:type="dxa" w:w="4816"/>
            <w:tcMar>
              <w:top w:type="dxa" w:w="80"/>
              <w:left w:type="dxa" w:w="100"/>
              <w:bottom w:type="dxa" w:w="80"/>
              <w:right w:type="dxa" w:w="100"/>
            </w:tcMar>
          </w:tcPr>
          <w:p>
            <w:pPr>
              <w:pStyle w:val="Tabla"/>
            </w:pPr>
            <w:r>
              <w:t xml:space="preserve">8 autoevaluaciones; 1 ejercicios; 13 preguntas de exámenes y bancos.</w:t>
            </w:r>
          </w:p>
        </w:tc>
      </w:tr>
      <w:tr>
        <w:trPr>
          <w:cantSplit/>
          <w:tblHeader w:val="off"/>
        </w:trPr>
        <w:tc>
          <w:tcPr>
            <w:tcW w:type="dxa" w:w="4816"/>
            <w:tcMar>
              <w:top w:type="dxa" w:w="80"/>
              <w:left w:type="dxa" w:w="100"/>
              <w:bottom w:type="dxa" w:w="80"/>
              <w:right w:type="dxa" w:w="100"/>
            </w:tcMar>
          </w:tcPr>
          <w:p>
            <w:pPr>
              <w:pStyle w:val="Tabla"/>
            </w:pPr>
            <w:r>
              <w:t xml:space="preserve">Puntos verificados</w:t>
            </w:r>
          </w:p>
        </w:tc>
        <w:tc>
          <w:tcPr>
            <w:tcW w:type="dxa" w:w="4816"/>
            <w:tcMar>
              <w:top w:type="dxa" w:w="80"/>
              <w:left w:type="dxa" w:w="100"/>
              <w:bottom w:type="dxa" w:w="80"/>
              <w:right w:type="dxa" w:w="100"/>
            </w:tcMar>
          </w:tcPr>
          <w:p>
            <w:pPr>
              <w:pStyle w:val="Tabla"/>
            </w:pPr>
            <w:r>
              <w:t xml:space="preserve">56</w:t>
            </w:r>
          </w:p>
        </w:tc>
      </w:tr>
    </w:tbl>
    <w:p>
      <w:pPr>
        <w:pStyle w:val="Fuente"/>
      </w:pPr>
      <w:r>
        <w:t xml:space="preserve">Véase </w:t>
      </w:r>
      <w:hyperlink w:history="1" w:anchor="b_1_7">
        <w:r>
          <w:rPr>
            <w:color w:val="156B70"/>
            <w:u w:val="single"/>
          </w:rPr>
          <w:t xml:space="preserve">1.7 · Niveles — modelo del iceberg</w:t>
        </w:r>
      </w:hyperlink>
      <w:r>
        <w:t xml:space="preserve">, pág. </w:t>
      </w:r>
      <w:r>
        <w:fldChar w:fldCharType="begin"/>
        <w:instrText xml:space="preserve">PAGEREF b_1_7 \h</w:instrText>
        <w:fldChar w:fldCharType="separate"/>
        <w:t xml:space="preserve">175</w:t>
        <w:fldChar w:fldCharType="end"/>
      </w:r>
      <w:r>
        <w:t xml:space="preserve">.</w:t>
      </w:r>
    </w:p>
    <w:p>
      <w:pPr>
        <w:pStyle w:val="Heading3"/>
      </w:pPr>
      <w:r>
        <w:t xml:space="preserve">1.8 · Hábitos del pensador</w:t>
      </w:r>
    </w:p>
    <w:tbl>
      <w:tblPr>
        <w:tblW w:type="dxa" w:w="9632"/>
        <w:tblBorders>
          <w:top w:val="single" w:color="C5D5DB" w:sz="4"/>
          <w:left w:val="single" w:color="C5D5DB" w:sz="4"/>
          <w:bottom w:val="single" w:color="C5D5DB" w:sz="4"/>
          <w:right w:val="single" w:color="C5D5DB" w:sz="4"/>
          <w:insideH w:val="single" w:color="E4E9EB" w:sz="3"/>
          <w:insideV w:val="single" w:color="E4E9EB" w:sz="3"/>
        </w:tblBorders>
        <w:tblLayout w:type="fixed"/>
      </w:tblPr>
      <w:tblGrid>
        <w:gridCol w:w="4816"/>
        <w:gridCol w:w="4816"/>
      </w:tblGrid>
      <w:tr>
        <w:trPr>
          <w:cantSplit/>
          <w:tblHeader/>
        </w:trPr>
        <w:tc>
          <w:tcPr>
            <w:tcW w:type="dxa" w:w="4816"/>
            <w:shd w:fill="DFEAF0" w:val="clear"/>
            <w:tcMar>
              <w:top w:type="dxa" w:w="80"/>
              <w:left w:type="dxa" w:w="100"/>
              <w:bottom w:type="dxa" w:w="80"/>
              <w:right w:type="dxa" w:w="100"/>
            </w:tcMar>
          </w:tcPr>
          <w:p>
            <w:pPr>
              <w:pStyle w:val="Tabla"/>
            </w:pPr>
            <w:r>
              <w:rPr>
                <w:b/>
                <w:bCs/>
              </w:rPr>
              <w:t xml:space="preserve">Evidencia</w:t>
            </w:r>
          </w:p>
        </w:tc>
        <w:tc>
          <w:tcPr>
            <w:tcW w:type="dxa" w:w="4816"/>
            <w:shd w:fill="DFEAF0" w:val="clear"/>
            <w:tcMar>
              <w:top w:type="dxa" w:w="80"/>
              <w:left w:type="dxa" w:w="100"/>
              <w:bottom w:type="dxa" w:w="80"/>
              <w:right w:type="dxa" w:w="100"/>
            </w:tcMar>
          </w:tcPr>
          <w:p>
            <w:pPr>
              <w:pStyle w:val="Tabla"/>
            </w:pPr>
            <w:r>
              <w:rPr>
                <w:b/>
                <w:bCs/>
              </w:rPr>
              <w:t xml:space="preserve">Localizaciones</w:t>
            </w:r>
          </w:p>
        </w:tc>
      </w:tr>
      <w:tr>
        <w:trPr>
          <w:cantSplit/>
          <w:tblHeader w:val="off"/>
        </w:trPr>
        <w:tc>
          <w:tcPr>
            <w:tcW w:type="dxa" w:w="4816"/>
            <w:tcMar>
              <w:top w:type="dxa" w:w="80"/>
              <w:left w:type="dxa" w:w="100"/>
              <w:bottom w:type="dxa" w:w="80"/>
              <w:right w:type="dxa" w:w="100"/>
            </w:tcMar>
          </w:tcPr>
          <w:p>
            <w:pPr>
              <w:pStyle w:val="Tabla"/>
            </w:pPr>
            <w:r>
              <w:t xml:space="preserve">Presentaciones</w:t>
            </w:r>
          </w:p>
        </w:tc>
        <w:tc>
          <w:tcPr>
            <w:tcW w:type="dxa" w:w="4816"/>
            <w:tcMar>
              <w:top w:type="dxa" w:w="80"/>
              <w:left w:type="dxa" w:w="100"/>
              <w:bottom w:type="dxa" w:w="80"/>
              <w:right w:type="dxa" w:w="100"/>
            </w:tcMar>
          </w:tcPr>
          <w:p>
            <w:pPr>
              <w:pStyle w:val="Tabla"/>
            </w:pPr>
            <w:r>
              <w:t xml:space="preserve">C-5:2, C-5:22, C-5:23, C-5:31, C-5:32, C-5:33, C-5:34, C-5:36, C-5:37, C-5:42, C-5:44, C-5:51, C-5:54, C-5:61, C-5:63, C-2:33, C-2:41</w:t>
            </w:r>
          </w:p>
        </w:tc>
      </w:tr>
      <w:tr>
        <w:trPr>
          <w:cantSplit/>
          <w:tblHeader w:val="off"/>
        </w:trPr>
        <w:tc>
          <w:tcPr>
            <w:tcW w:type="dxa" w:w="4816"/>
            <w:tcMar>
              <w:top w:type="dxa" w:w="80"/>
              <w:left w:type="dxa" w:w="100"/>
              <w:bottom w:type="dxa" w:w="80"/>
              <w:right w:type="dxa" w:w="100"/>
            </w:tcMar>
          </w:tcPr>
          <w:p>
            <w:pPr>
              <w:pStyle w:val="Tabla"/>
            </w:pPr>
            <w:r>
              <w:t xml:space="preserve">Capítulos de clase</w:t>
            </w:r>
          </w:p>
        </w:tc>
        <w:tc>
          <w:tcPr>
            <w:tcW w:type="dxa" w:w="4816"/>
            <w:tcMar>
              <w:top w:type="dxa" w:w="80"/>
              <w:left w:type="dxa" w:w="100"/>
              <w:bottom w:type="dxa" w:w="80"/>
              <w:right w:type="dxa" w:w="100"/>
            </w:tcMar>
          </w:tcPr>
          <w:p>
            <w:pPr>
              <w:pStyle w:val="Tabla"/>
            </w:pPr>
            <w:r>
              <w:t xml:space="preserve">1:04, 1:06, 3:06, 4:01, 4:02, 4:06, 4:10, 5:01, 5:02, 5:07, 5:09</w:t>
            </w:r>
          </w:p>
        </w:tc>
      </w:tr>
      <w:tr>
        <w:trPr>
          <w:cantSplit/>
          <w:tblHeader w:val="off"/>
        </w:trPr>
        <w:tc>
          <w:tcPr>
            <w:tcW w:type="dxa" w:w="4816"/>
            <w:tcMar>
              <w:top w:type="dxa" w:w="80"/>
              <w:left w:type="dxa" w:w="100"/>
              <w:bottom w:type="dxa" w:w="80"/>
              <w:right w:type="dxa" w:w="100"/>
            </w:tcMar>
          </w:tcPr>
          <w:p>
            <w:pPr>
              <w:pStyle w:val="Tabla"/>
            </w:pPr>
            <w:r>
              <w:t xml:space="preserve">Práctica</w:t>
            </w:r>
          </w:p>
        </w:tc>
        <w:tc>
          <w:tcPr>
            <w:tcW w:type="dxa" w:w="4816"/>
            <w:tcMar>
              <w:top w:type="dxa" w:w="80"/>
              <w:left w:type="dxa" w:w="100"/>
              <w:bottom w:type="dxa" w:w="80"/>
              <w:right w:type="dxa" w:w="100"/>
            </w:tcMar>
          </w:tcPr>
          <w:p>
            <w:pPr>
              <w:pStyle w:val="Tabla"/>
            </w:pPr>
            <w:r>
              <w:t xml:space="preserve">10 autoevaluaciones; 0 ejercicios; 10 preguntas de exámenes y bancos.</w:t>
            </w:r>
          </w:p>
        </w:tc>
      </w:tr>
      <w:tr>
        <w:trPr>
          <w:cantSplit/>
          <w:tblHeader w:val="off"/>
        </w:trPr>
        <w:tc>
          <w:tcPr>
            <w:tcW w:type="dxa" w:w="4816"/>
            <w:tcMar>
              <w:top w:type="dxa" w:w="80"/>
              <w:left w:type="dxa" w:w="100"/>
              <w:bottom w:type="dxa" w:w="80"/>
              <w:right w:type="dxa" w:w="100"/>
            </w:tcMar>
          </w:tcPr>
          <w:p>
            <w:pPr>
              <w:pStyle w:val="Tabla"/>
            </w:pPr>
            <w:r>
              <w:t xml:space="preserve">Puntos verificados</w:t>
            </w:r>
          </w:p>
        </w:tc>
        <w:tc>
          <w:tcPr>
            <w:tcW w:type="dxa" w:w="4816"/>
            <w:tcMar>
              <w:top w:type="dxa" w:w="80"/>
              <w:left w:type="dxa" w:w="100"/>
              <w:bottom w:type="dxa" w:w="80"/>
              <w:right w:type="dxa" w:w="100"/>
            </w:tcMar>
          </w:tcPr>
          <w:p>
            <w:pPr>
              <w:pStyle w:val="Tabla"/>
            </w:pPr>
            <w:r>
              <w:t xml:space="preserve">73</w:t>
            </w:r>
          </w:p>
        </w:tc>
      </w:tr>
    </w:tbl>
    <w:p>
      <w:pPr>
        <w:pStyle w:val="Fuente"/>
      </w:pPr>
      <w:r>
        <w:t xml:space="preserve">Véase </w:t>
      </w:r>
      <w:hyperlink w:history="1" w:anchor="b_1_8">
        <w:r>
          <w:rPr>
            <w:color w:val="156B70"/>
            <w:u w:val="single"/>
          </w:rPr>
          <w:t xml:space="preserve">1.8 · Hábitos del pensador</w:t>
        </w:r>
      </w:hyperlink>
      <w:r>
        <w:t xml:space="preserve">, pág. </w:t>
      </w:r>
      <w:r>
        <w:fldChar w:fldCharType="begin"/>
        <w:instrText xml:space="preserve">PAGEREF b_1_8 \h</w:instrText>
        <w:fldChar w:fldCharType="separate"/>
        <w:t xml:space="preserve">194</w:t>
        <w:fldChar w:fldCharType="end"/>
      </w:r>
      <w:r>
        <w:t xml:space="preserve">.</w:t>
      </w:r>
    </w:p>
    <w:p>
      <w:pPr>
        <w:pStyle w:val="Heading3"/>
      </w:pPr>
      <w:r>
        <w:t xml:space="preserve">2.1 · Visión general</w:t>
      </w:r>
    </w:p>
    <w:tbl>
      <w:tblPr>
        <w:tblW w:type="dxa" w:w="9632"/>
        <w:tblBorders>
          <w:top w:val="single" w:color="C5D5DB" w:sz="4"/>
          <w:left w:val="single" w:color="C5D5DB" w:sz="4"/>
          <w:bottom w:val="single" w:color="C5D5DB" w:sz="4"/>
          <w:right w:val="single" w:color="C5D5DB" w:sz="4"/>
          <w:insideH w:val="single" w:color="E4E9EB" w:sz="3"/>
          <w:insideV w:val="single" w:color="E4E9EB" w:sz="3"/>
        </w:tblBorders>
        <w:tblLayout w:type="fixed"/>
      </w:tblPr>
      <w:tblGrid>
        <w:gridCol w:w="4816"/>
        <w:gridCol w:w="4816"/>
      </w:tblGrid>
      <w:tr>
        <w:trPr>
          <w:cantSplit/>
          <w:tblHeader/>
        </w:trPr>
        <w:tc>
          <w:tcPr>
            <w:tcW w:type="dxa" w:w="4816"/>
            <w:shd w:fill="DFEAF0" w:val="clear"/>
            <w:tcMar>
              <w:top w:type="dxa" w:w="80"/>
              <w:left w:type="dxa" w:w="100"/>
              <w:bottom w:type="dxa" w:w="80"/>
              <w:right w:type="dxa" w:w="100"/>
            </w:tcMar>
          </w:tcPr>
          <w:p>
            <w:pPr>
              <w:pStyle w:val="Tabla"/>
            </w:pPr>
            <w:r>
              <w:rPr>
                <w:b/>
                <w:bCs/>
              </w:rPr>
              <w:t xml:space="preserve">Evidencia</w:t>
            </w:r>
          </w:p>
        </w:tc>
        <w:tc>
          <w:tcPr>
            <w:tcW w:type="dxa" w:w="4816"/>
            <w:shd w:fill="DFEAF0" w:val="clear"/>
            <w:tcMar>
              <w:top w:type="dxa" w:w="80"/>
              <w:left w:type="dxa" w:w="100"/>
              <w:bottom w:type="dxa" w:w="80"/>
              <w:right w:type="dxa" w:w="100"/>
            </w:tcMar>
          </w:tcPr>
          <w:p>
            <w:pPr>
              <w:pStyle w:val="Tabla"/>
            </w:pPr>
            <w:r>
              <w:rPr>
                <w:b/>
                <w:bCs/>
              </w:rPr>
              <w:t xml:space="preserve">Localizaciones</w:t>
            </w:r>
          </w:p>
        </w:tc>
      </w:tr>
      <w:tr>
        <w:trPr>
          <w:cantSplit/>
          <w:tblHeader w:val="off"/>
        </w:trPr>
        <w:tc>
          <w:tcPr>
            <w:tcW w:type="dxa" w:w="4816"/>
            <w:tcMar>
              <w:top w:type="dxa" w:w="80"/>
              <w:left w:type="dxa" w:w="100"/>
              <w:bottom w:type="dxa" w:w="80"/>
              <w:right w:type="dxa" w:w="100"/>
            </w:tcMar>
          </w:tcPr>
          <w:p>
            <w:pPr>
              <w:pStyle w:val="Tabla"/>
            </w:pPr>
            <w:r>
              <w:t xml:space="preserve">Presentaciones</w:t>
            </w:r>
          </w:p>
        </w:tc>
        <w:tc>
          <w:tcPr>
            <w:tcW w:type="dxa" w:w="4816"/>
            <w:tcMar>
              <w:top w:type="dxa" w:w="80"/>
              <w:left w:type="dxa" w:w="100"/>
              <w:bottom w:type="dxa" w:w="80"/>
              <w:right w:type="dxa" w:w="100"/>
            </w:tcMar>
          </w:tcPr>
          <w:p>
            <w:pPr>
              <w:pStyle w:val="Tabla"/>
            </w:pPr>
            <w:r>
              <w:t xml:space="preserve">C-6:1, C-6:2, C-6:3, C-6:4, C-6:7, C-6:8, C-6:9, C-6:16, C-6:17, C-6:27, C-6:53</w:t>
            </w:r>
          </w:p>
        </w:tc>
      </w:tr>
      <w:tr>
        <w:trPr>
          <w:cantSplit/>
          <w:tblHeader w:val="off"/>
        </w:trPr>
        <w:tc>
          <w:tcPr>
            <w:tcW w:type="dxa" w:w="4816"/>
            <w:tcMar>
              <w:top w:type="dxa" w:w="80"/>
              <w:left w:type="dxa" w:w="100"/>
              <w:bottom w:type="dxa" w:w="80"/>
              <w:right w:type="dxa" w:w="100"/>
            </w:tcMar>
          </w:tcPr>
          <w:p>
            <w:pPr>
              <w:pStyle w:val="Tabla"/>
            </w:pPr>
            <w:r>
              <w:t xml:space="preserve">Capítulos de clase</w:t>
            </w:r>
          </w:p>
        </w:tc>
        <w:tc>
          <w:tcPr>
            <w:tcW w:type="dxa" w:w="4816"/>
            <w:tcMar>
              <w:top w:type="dxa" w:w="80"/>
              <w:left w:type="dxa" w:w="100"/>
              <w:bottom w:type="dxa" w:w="80"/>
              <w:right w:type="dxa" w:w="100"/>
            </w:tcMar>
          </w:tcPr>
          <w:p>
            <w:pPr>
              <w:pStyle w:val="Tabla"/>
            </w:pPr>
            <w:r>
              <w:t xml:space="preserve">1:02, 6:01, 6:11, 7:02, 7:03, 8:03, 8:04, 8:05, 9:05, 9:09</w:t>
            </w:r>
          </w:p>
        </w:tc>
      </w:tr>
      <w:tr>
        <w:trPr>
          <w:cantSplit/>
          <w:tblHeader w:val="off"/>
        </w:trPr>
        <w:tc>
          <w:tcPr>
            <w:tcW w:type="dxa" w:w="4816"/>
            <w:tcMar>
              <w:top w:type="dxa" w:w="80"/>
              <w:left w:type="dxa" w:w="100"/>
              <w:bottom w:type="dxa" w:w="80"/>
              <w:right w:type="dxa" w:w="100"/>
            </w:tcMar>
          </w:tcPr>
          <w:p>
            <w:pPr>
              <w:pStyle w:val="Tabla"/>
            </w:pPr>
            <w:r>
              <w:t xml:space="preserve">Práctica</w:t>
            </w:r>
          </w:p>
        </w:tc>
        <w:tc>
          <w:tcPr>
            <w:tcW w:type="dxa" w:w="4816"/>
            <w:tcMar>
              <w:top w:type="dxa" w:w="80"/>
              <w:left w:type="dxa" w:w="100"/>
              <w:bottom w:type="dxa" w:w="80"/>
              <w:right w:type="dxa" w:w="100"/>
            </w:tcMar>
          </w:tcPr>
          <w:p>
            <w:pPr>
              <w:pStyle w:val="Tabla"/>
            </w:pPr>
            <w:r>
              <w:t xml:space="preserve">11 autoevaluaciones; 0 ejercicios; 11 preguntas de exámenes y bancos.</w:t>
            </w:r>
          </w:p>
        </w:tc>
      </w:tr>
      <w:tr>
        <w:trPr>
          <w:cantSplit/>
          <w:tblHeader w:val="off"/>
        </w:trPr>
        <w:tc>
          <w:tcPr>
            <w:tcW w:type="dxa" w:w="4816"/>
            <w:tcMar>
              <w:top w:type="dxa" w:w="80"/>
              <w:left w:type="dxa" w:w="100"/>
              <w:bottom w:type="dxa" w:w="80"/>
              <w:right w:type="dxa" w:w="100"/>
            </w:tcMar>
          </w:tcPr>
          <w:p>
            <w:pPr>
              <w:pStyle w:val="Tabla"/>
            </w:pPr>
            <w:r>
              <w:t xml:space="preserve">Puntos verificados</w:t>
            </w:r>
          </w:p>
        </w:tc>
        <w:tc>
          <w:tcPr>
            <w:tcW w:type="dxa" w:w="4816"/>
            <w:tcMar>
              <w:top w:type="dxa" w:w="80"/>
              <w:left w:type="dxa" w:w="100"/>
              <w:bottom w:type="dxa" w:w="80"/>
              <w:right w:type="dxa" w:w="100"/>
            </w:tcMar>
          </w:tcPr>
          <w:p>
            <w:pPr>
              <w:pStyle w:val="Tabla"/>
            </w:pPr>
            <w:r>
              <w:t xml:space="preserve">69</w:t>
            </w:r>
          </w:p>
        </w:tc>
      </w:tr>
    </w:tbl>
    <w:p>
      <w:pPr>
        <w:pStyle w:val="Fuente"/>
      </w:pPr>
      <w:r>
        <w:t xml:space="preserve">Véase </w:t>
      </w:r>
      <w:hyperlink w:history="1" w:anchor="b_2_1">
        <w:r>
          <w:rPr>
            <w:color w:val="156B70"/>
            <w:u w:val="single"/>
          </w:rPr>
          <w:t xml:space="preserve">2.1 · Visión general</w:t>
        </w:r>
      </w:hyperlink>
      <w:r>
        <w:t xml:space="preserve">, pág. </w:t>
      </w:r>
      <w:r>
        <w:fldChar w:fldCharType="begin"/>
        <w:instrText xml:space="preserve">PAGEREF b_2_1 \h</w:instrText>
        <w:fldChar w:fldCharType="separate"/>
        <w:t xml:space="preserve">222</w:t>
        <w:fldChar w:fldCharType="end"/>
      </w:r>
      <w:r>
        <w:t xml:space="preserve">.</w:t>
      </w:r>
    </w:p>
    <w:p>
      <w:pPr>
        <w:pStyle w:val="Heading3"/>
      </w:pPr>
      <w:r>
        <w:t xml:space="preserve">2.2 · Conceptos de un sistema</w:t>
      </w:r>
    </w:p>
    <w:tbl>
      <w:tblPr>
        <w:tblW w:type="dxa" w:w="9632"/>
        <w:tblBorders>
          <w:top w:val="single" w:color="C5D5DB" w:sz="4"/>
          <w:left w:val="single" w:color="C5D5DB" w:sz="4"/>
          <w:bottom w:val="single" w:color="C5D5DB" w:sz="4"/>
          <w:right w:val="single" w:color="C5D5DB" w:sz="4"/>
          <w:insideH w:val="single" w:color="E4E9EB" w:sz="3"/>
          <w:insideV w:val="single" w:color="E4E9EB" w:sz="3"/>
        </w:tblBorders>
        <w:tblLayout w:type="fixed"/>
      </w:tblPr>
      <w:tblGrid>
        <w:gridCol w:w="4816"/>
        <w:gridCol w:w="4816"/>
      </w:tblGrid>
      <w:tr>
        <w:trPr>
          <w:cantSplit/>
          <w:tblHeader/>
        </w:trPr>
        <w:tc>
          <w:tcPr>
            <w:tcW w:type="dxa" w:w="4816"/>
            <w:shd w:fill="DFEAF0" w:val="clear"/>
            <w:tcMar>
              <w:top w:type="dxa" w:w="80"/>
              <w:left w:type="dxa" w:w="100"/>
              <w:bottom w:type="dxa" w:w="80"/>
              <w:right w:type="dxa" w:w="100"/>
            </w:tcMar>
          </w:tcPr>
          <w:p>
            <w:pPr>
              <w:pStyle w:val="Tabla"/>
            </w:pPr>
            <w:r>
              <w:rPr>
                <w:b/>
                <w:bCs/>
              </w:rPr>
              <w:t xml:space="preserve">Evidencia</w:t>
            </w:r>
          </w:p>
        </w:tc>
        <w:tc>
          <w:tcPr>
            <w:tcW w:type="dxa" w:w="4816"/>
            <w:shd w:fill="DFEAF0" w:val="clear"/>
            <w:tcMar>
              <w:top w:type="dxa" w:w="80"/>
              <w:left w:type="dxa" w:w="100"/>
              <w:bottom w:type="dxa" w:w="80"/>
              <w:right w:type="dxa" w:w="100"/>
            </w:tcMar>
          </w:tcPr>
          <w:p>
            <w:pPr>
              <w:pStyle w:val="Tabla"/>
            </w:pPr>
            <w:r>
              <w:rPr>
                <w:b/>
                <w:bCs/>
              </w:rPr>
              <w:t xml:space="preserve">Localizaciones</w:t>
            </w:r>
          </w:p>
        </w:tc>
      </w:tr>
      <w:tr>
        <w:trPr>
          <w:cantSplit/>
          <w:tblHeader w:val="off"/>
        </w:trPr>
        <w:tc>
          <w:tcPr>
            <w:tcW w:type="dxa" w:w="4816"/>
            <w:tcMar>
              <w:top w:type="dxa" w:w="80"/>
              <w:left w:type="dxa" w:w="100"/>
              <w:bottom w:type="dxa" w:w="80"/>
              <w:right w:type="dxa" w:w="100"/>
            </w:tcMar>
          </w:tcPr>
          <w:p>
            <w:pPr>
              <w:pStyle w:val="Tabla"/>
            </w:pPr>
            <w:r>
              <w:t xml:space="preserve">Presentaciones</w:t>
            </w:r>
          </w:p>
        </w:tc>
        <w:tc>
          <w:tcPr>
            <w:tcW w:type="dxa" w:w="4816"/>
            <w:tcMar>
              <w:top w:type="dxa" w:w="80"/>
              <w:left w:type="dxa" w:w="100"/>
              <w:bottom w:type="dxa" w:w="80"/>
              <w:right w:type="dxa" w:w="100"/>
            </w:tcMar>
          </w:tcPr>
          <w:p>
            <w:pPr>
              <w:pStyle w:val="Tabla"/>
            </w:pPr>
            <w:r>
              <w:t xml:space="preserve">C-6:5, C-6:6, C-6:47, C-6:48, C-6:49, C-6:50</w:t>
            </w:r>
          </w:p>
        </w:tc>
      </w:tr>
      <w:tr>
        <w:trPr>
          <w:cantSplit/>
          <w:tblHeader w:val="off"/>
        </w:trPr>
        <w:tc>
          <w:tcPr>
            <w:tcW w:type="dxa" w:w="4816"/>
            <w:tcMar>
              <w:top w:type="dxa" w:w="80"/>
              <w:left w:type="dxa" w:w="100"/>
              <w:bottom w:type="dxa" w:w="80"/>
              <w:right w:type="dxa" w:w="100"/>
            </w:tcMar>
          </w:tcPr>
          <w:p>
            <w:pPr>
              <w:pStyle w:val="Tabla"/>
            </w:pPr>
            <w:r>
              <w:t xml:space="preserve">Capítulos de clase</w:t>
            </w:r>
          </w:p>
        </w:tc>
        <w:tc>
          <w:tcPr>
            <w:tcW w:type="dxa" w:w="4816"/>
            <w:tcMar>
              <w:top w:type="dxa" w:w="80"/>
              <w:left w:type="dxa" w:w="100"/>
              <w:bottom w:type="dxa" w:w="80"/>
              <w:right w:type="dxa" w:w="100"/>
            </w:tcMar>
          </w:tcPr>
          <w:p>
            <w:pPr>
              <w:pStyle w:val="Tabla"/>
            </w:pPr>
            <w:r>
              <w:t xml:space="preserve">6:08, 6:09, 6:10, 7:01</w:t>
            </w:r>
          </w:p>
        </w:tc>
      </w:tr>
      <w:tr>
        <w:trPr>
          <w:cantSplit/>
          <w:tblHeader w:val="off"/>
        </w:trPr>
        <w:tc>
          <w:tcPr>
            <w:tcW w:type="dxa" w:w="4816"/>
            <w:tcMar>
              <w:top w:type="dxa" w:w="80"/>
              <w:left w:type="dxa" w:w="100"/>
              <w:bottom w:type="dxa" w:w="80"/>
              <w:right w:type="dxa" w:w="100"/>
            </w:tcMar>
          </w:tcPr>
          <w:p>
            <w:pPr>
              <w:pStyle w:val="Tabla"/>
            </w:pPr>
            <w:r>
              <w:t xml:space="preserve">Práctica</w:t>
            </w:r>
          </w:p>
        </w:tc>
        <w:tc>
          <w:tcPr>
            <w:tcW w:type="dxa" w:w="4816"/>
            <w:tcMar>
              <w:top w:type="dxa" w:w="80"/>
              <w:left w:type="dxa" w:w="100"/>
              <w:bottom w:type="dxa" w:w="80"/>
              <w:right w:type="dxa" w:w="100"/>
            </w:tcMar>
          </w:tcPr>
          <w:p>
            <w:pPr>
              <w:pStyle w:val="Tabla"/>
            </w:pPr>
            <w:r>
              <w:t xml:space="preserve">9 autoevaluaciones; 1 ejercicios; 12 preguntas de exámenes y bancos.</w:t>
            </w:r>
          </w:p>
        </w:tc>
      </w:tr>
      <w:tr>
        <w:trPr>
          <w:cantSplit/>
          <w:tblHeader w:val="off"/>
        </w:trPr>
        <w:tc>
          <w:tcPr>
            <w:tcW w:type="dxa" w:w="4816"/>
            <w:tcMar>
              <w:top w:type="dxa" w:w="80"/>
              <w:left w:type="dxa" w:w="100"/>
              <w:bottom w:type="dxa" w:w="80"/>
              <w:right w:type="dxa" w:w="100"/>
            </w:tcMar>
          </w:tcPr>
          <w:p>
            <w:pPr>
              <w:pStyle w:val="Tabla"/>
            </w:pPr>
            <w:r>
              <w:t xml:space="preserve">Puntos verificados</w:t>
            </w:r>
          </w:p>
        </w:tc>
        <w:tc>
          <w:tcPr>
            <w:tcW w:type="dxa" w:w="4816"/>
            <w:tcMar>
              <w:top w:type="dxa" w:w="80"/>
              <w:left w:type="dxa" w:w="100"/>
              <w:bottom w:type="dxa" w:w="80"/>
              <w:right w:type="dxa" w:w="100"/>
            </w:tcMar>
          </w:tcPr>
          <w:p>
            <w:pPr>
              <w:pStyle w:val="Tabla"/>
            </w:pPr>
            <w:r>
              <w:t xml:space="preserve">27</w:t>
            </w:r>
          </w:p>
        </w:tc>
      </w:tr>
    </w:tbl>
    <w:p>
      <w:pPr>
        <w:pStyle w:val="Fuente"/>
      </w:pPr>
      <w:r>
        <w:t xml:space="preserve">Véase </w:t>
      </w:r>
      <w:hyperlink w:history="1" w:anchor="b_2_2">
        <w:r>
          <w:rPr>
            <w:color w:val="156B70"/>
            <w:u w:val="single"/>
          </w:rPr>
          <w:t xml:space="preserve">2.2 · Conceptos de un sistema</w:t>
        </w:r>
      </w:hyperlink>
      <w:r>
        <w:t xml:space="preserve">, pág. </w:t>
      </w:r>
      <w:r>
        <w:fldChar w:fldCharType="begin"/>
        <w:instrText xml:space="preserve">PAGEREF b_2_2 \h</w:instrText>
        <w:fldChar w:fldCharType="separate"/>
        <w:t xml:space="preserve">242</w:t>
        <w:fldChar w:fldCharType="end"/>
      </w:r>
      <w:r>
        <w:t xml:space="preserve">.</w:t>
      </w:r>
    </w:p>
    <w:p>
      <w:pPr>
        <w:pStyle w:val="Heading3"/>
      </w:pPr>
      <w:r>
        <w:t xml:space="preserve">2.3 · Estructura de los sistemas</w:t>
      </w:r>
    </w:p>
    <w:tbl>
      <w:tblPr>
        <w:tblW w:type="dxa" w:w="9632"/>
        <w:tblBorders>
          <w:top w:val="single" w:color="C5D5DB" w:sz="4"/>
          <w:left w:val="single" w:color="C5D5DB" w:sz="4"/>
          <w:bottom w:val="single" w:color="C5D5DB" w:sz="4"/>
          <w:right w:val="single" w:color="C5D5DB" w:sz="4"/>
          <w:insideH w:val="single" w:color="E4E9EB" w:sz="3"/>
          <w:insideV w:val="single" w:color="E4E9EB" w:sz="3"/>
        </w:tblBorders>
        <w:tblLayout w:type="fixed"/>
      </w:tblPr>
      <w:tblGrid>
        <w:gridCol w:w="4816"/>
        <w:gridCol w:w="4816"/>
      </w:tblGrid>
      <w:tr>
        <w:trPr>
          <w:cantSplit/>
          <w:tblHeader/>
        </w:trPr>
        <w:tc>
          <w:tcPr>
            <w:tcW w:type="dxa" w:w="4816"/>
            <w:shd w:fill="DFEAF0" w:val="clear"/>
            <w:tcMar>
              <w:top w:type="dxa" w:w="80"/>
              <w:left w:type="dxa" w:w="100"/>
              <w:bottom w:type="dxa" w:w="80"/>
              <w:right w:type="dxa" w:w="100"/>
            </w:tcMar>
          </w:tcPr>
          <w:p>
            <w:pPr>
              <w:pStyle w:val="Tabla"/>
            </w:pPr>
            <w:r>
              <w:rPr>
                <w:b/>
                <w:bCs/>
              </w:rPr>
              <w:t xml:space="preserve">Evidencia</w:t>
            </w:r>
          </w:p>
        </w:tc>
        <w:tc>
          <w:tcPr>
            <w:tcW w:type="dxa" w:w="4816"/>
            <w:shd w:fill="DFEAF0" w:val="clear"/>
            <w:tcMar>
              <w:top w:type="dxa" w:w="80"/>
              <w:left w:type="dxa" w:w="100"/>
              <w:bottom w:type="dxa" w:w="80"/>
              <w:right w:type="dxa" w:w="100"/>
            </w:tcMar>
          </w:tcPr>
          <w:p>
            <w:pPr>
              <w:pStyle w:val="Tabla"/>
            </w:pPr>
            <w:r>
              <w:rPr>
                <w:b/>
                <w:bCs/>
              </w:rPr>
              <w:t xml:space="preserve">Localizaciones</w:t>
            </w:r>
          </w:p>
        </w:tc>
      </w:tr>
      <w:tr>
        <w:trPr>
          <w:cantSplit/>
          <w:tblHeader w:val="off"/>
        </w:trPr>
        <w:tc>
          <w:tcPr>
            <w:tcW w:type="dxa" w:w="4816"/>
            <w:tcMar>
              <w:top w:type="dxa" w:w="80"/>
              <w:left w:type="dxa" w:w="100"/>
              <w:bottom w:type="dxa" w:w="80"/>
              <w:right w:type="dxa" w:w="100"/>
            </w:tcMar>
          </w:tcPr>
          <w:p>
            <w:pPr>
              <w:pStyle w:val="Tabla"/>
            </w:pPr>
            <w:r>
              <w:t xml:space="preserve">Presentaciones</w:t>
            </w:r>
          </w:p>
        </w:tc>
        <w:tc>
          <w:tcPr>
            <w:tcW w:type="dxa" w:w="4816"/>
            <w:tcMar>
              <w:top w:type="dxa" w:w="80"/>
              <w:left w:type="dxa" w:w="100"/>
              <w:bottom w:type="dxa" w:w="80"/>
              <w:right w:type="dxa" w:w="100"/>
            </w:tcMar>
          </w:tcPr>
          <w:p>
            <w:pPr>
              <w:pStyle w:val="Tabla"/>
            </w:pPr>
            <w:r>
              <w:t xml:space="preserve">C-6:6, C-6:27, C-6:29, C-6:30, C-6:31, C-6:32, C-6:33, C-6:34, C-6:35, C-6:36, C-6:37, C-6:39</w:t>
            </w:r>
          </w:p>
        </w:tc>
      </w:tr>
      <w:tr>
        <w:trPr>
          <w:cantSplit/>
          <w:tblHeader w:val="off"/>
        </w:trPr>
        <w:tc>
          <w:tcPr>
            <w:tcW w:type="dxa" w:w="4816"/>
            <w:tcMar>
              <w:top w:type="dxa" w:w="80"/>
              <w:left w:type="dxa" w:w="100"/>
              <w:bottom w:type="dxa" w:w="80"/>
              <w:right w:type="dxa" w:w="100"/>
            </w:tcMar>
          </w:tcPr>
          <w:p>
            <w:pPr>
              <w:pStyle w:val="Tabla"/>
            </w:pPr>
            <w:r>
              <w:t xml:space="preserve">Capítulos de clase</w:t>
            </w:r>
          </w:p>
        </w:tc>
        <w:tc>
          <w:tcPr>
            <w:tcW w:type="dxa" w:w="4816"/>
            <w:tcMar>
              <w:top w:type="dxa" w:w="80"/>
              <w:left w:type="dxa" w:w="100"/>
              <w:bottom w:type="dxa" w:w="80"/>
              <w:right w:type="dxa" w:w="100"/>
            </w:tcMar>
          </w:tcPr>
          <w:p>
            <w:pPr>
              <w:pStyle w:val="Tabla"/>
            </w:pPr>
            <w:r>
              <w:t xml:space="preserve">6:09, 7:09, 8:01, 8:03, 8:04, 8:05</w:t>
            </w:r>
          </w:p>
        </w:tc>
      </w:tr>
      <w:tr>
        <w:trPr>
          <w:cantSplit/>
          <w:tblHeader w:val="off"/>
        </w:trPr>
        <w:tc>
          <w:tcPr>
            <w:tcW w:type="dxa" w:w="4816"/>
            <w:tcMar>
              <w:top w:type="dxa" w:w="80"/>
              <w:left w:type="dxa" w:w="100"/>
              <w:bottom w:type="dxa" w:w="80"/>
              <w:right w:type="dxa" w:w="100"/>
            </w:tcMar>
          </w:tcPr>
          <w:p>
            <w:pPr>
              <w:pStyle w:val="Tabla"/>
            </w:pPr>
            <w:r>
              <w:t xml:space="preserve">Práctica</w:t>
            </w:r>
          </w:p>
        </w:tc>
        <w:tc>
          <w:tcPr>
            <w:tcW w:type="dxa" w:w="4816"/>
            <w:tcMar>
              <w:top w:type="dxa" w:w="80"/>
              <w:left w:type="dxa" w:w="100"/>
              <w:bottom w:type="dxa" w:w="80"/>
              <w:right w:type="dxa" w:w="100"/>
            </w:tcMar>
          </w:tcPr>
          <w:p>
            <w:pPr>
              <w:pStyle w:val="Tabla"/>
            </w:pPr>
            <w:r>
              <w:t xml:space="preserve">10 autoevaluaciones; 0 ejercicios; 8 preguntas de exámenes y bancos.</w:t>
            </w:r>
          </w:p>
        </w:tc>
      </w:tr>
      <w:tr>
        <w:trPr>
          <w:cantSplit/>
          <w:tblHeader w:val="off"/>
        </w:trPr>
        <w:tc>
          <w:tcPr>
            <w:tcW w:type="dxa" w:w="4816"/>
            <w:tcMar>
              <w:top w:type="dxa" w:w="80"/>
              <w:left w:type="dxa" w:w="100"/>
              <w:bottom w:type="dxa" w:w="80"/>
              <w:right w:type="dxa" w:w="100"/>
            </w:tcMar>
          </w:tcPr>
          <w:p>
            <w:pPr>
              <w:pStyle w:val="Tabla"/>
            </w:pPr>
            <w:r>
              <w:t xml:space="preserve">Puntos verificados</w:t>
            </w:r>
          </w:p>
        </w:tc>
        <w:tc>
          <w:tcPr>
            <w:tcW w:type="dxa" w:w="4816"/>
            <w:tcMar>
              <w:top w:type="dxa" w:w="80"/>
              <w:left w:type="dxa" w:w="100"/>
              <w:bottom w:type="dxa" w:w="80"/>
              <w:right w:type="dxa" w:w="100"/>
            </w:tcMar>
          </w:tcPr>
          <w:p>
            <w:pPr>
              <w:pStyle w:val="Tabla"/>
            </w:pPr>
            <w:r>
              <w:t xml:space="preserve">57</w:t>
            </w:r>
          </w:p>
        </w:tc>
      </w:tr>
    </w:tbl>
    <w:p>
      <w:pPr>
        <w:pStyle w:val="Fuente"/>
      </w:pPr>
      <w:r>
        <w:t xml:space="preserve">Véase </w:t>
      </w:r>
      <w:hyperlink w:history="1" w:anchor="b_2_3">
        <w:r>
          <w:rPr>
            <w:color w:val="156B70"/>
            <w:u w:val="single"/>
          </w:rPr>
          <w:t xml:space="preserve">2.3 · Estructura de los sistemas</w:t>
        </w:r>
      </w:hyperlink>
      <w:r>
        <w:t xml:space="preserve">, pág. </w:t>
      </w:r>
      <w:r>
        <w:fldChar w:fldCharType="begin"/>
        <w:instrText xml:space="preserve">PAGEREF b_2_3 \h</w:instrText>
        <w:fldChar w:fldCharType="separate"/>
        <w:t xml:space="preserve">259</w:t>
        <w:fldChar w:fldCharType="end"/>
      </w:r>
      <w:r>
        <w:t xml:space="preserve">.</w:t>
      </w:r>
    </w:p>
    <w:p>
      <w:pPr>
        <w:pStyle w:val="Heading3"/>
      </w:pPr>
      <w:r>
        <w:t xml:space="preserve">2.4 · Sub y suprasistemas</w:t>
      </w:r>
    </w:p>
    <w:tbl>
      <w:tblPr>
        <w:tblW w:type="dxa" w:w="9632"/>
        <w:tblBorders>
          <w:top w:val="single" w:color="C5D5DB" w:sz="4"/>
          <w:left w:val="single" w:color="C5D5DB" w:sz="4"/>
          <w:bottom w:val="single" w:color="C5D5DB" w:sz="4"/>
          <w:right w:val="single" w:color="C5D5DB" w:sz="4"/>
          <w:insideH w:val="single" w:color="E4E9EB" w:sz="3"/>
          <w:insideV w:val="single" w:color="E4E9EB" w:sz="3"/>
        </w:tblBorders>
        <w:tblLayout w:type="fixed"/>
      </w:tblPr>
      <w:tblGrid>
        <w:gridCol w:w="4816"/>
        <w:gridCol w:w="4816"/>
      </w:tblGrid>
      <w:tr>
        <w:trPr>
          <w:cantSplit/>
          <w:tblHeader/>
        </w:trPr>
        <w:tc>
          <w:tcPr>
            <w:tcW w:type="dxa" w:w="4816"/>
            <w:shd w:fill="DFEAF0" w:val="clear"/>
            <w:tcMar>
              <w:top w:type="dxa" w:w="80"/>
              <w:left w:type="dxa" w:w="100"/>
              <w:bottom w:type="dxa" w:w="80"/>
              <w:right w:type="dxa" w:w="100"/>
            </w:tcMar>
          </w:tcPr>
          <w:p>
            <w:pPr>
              <w:pStyle w:val="Tabla"/>
            </w:pPr>
            <w:r>
              <w:rPr>
                <w:b/>
                <w:bCs/>
              </w:rPr>
              <w:t xml:space="preserve">Evidencia</w:t>
            </w:r>
          </w:p>
        </w:tc>
        <w:tc>
          <w:tcPr>
            <w:tcW w:type="dxa" w:w="4816"/>
            <w:shd w:fill="DFEAF0" w:val="clear"/>
            <w:tcMar>
              <w:top w:type="dxa" w:w="80"/>
              <w:left w:type="dxa" w:w="100"/>
              <w:bottom w:type="dxa" w:w="80"/>
              <w:right w:type="dxa" w:w="100"/>
            </w:tcMar>
          </w:tcPr>
          <w:p>
            <w:pPr>
              <w:pStyle w:val="Tabla"/>
            </w:pPr>
            <w:r>
              <w:rPr>
                <w:b/>
                <w:bCs/>
              </w:rPr>
              <w:t xml:space="preserve">Localizaciones</w:t>
            </w:r>
          </w:p>
        </w:tc>
      </w:tr>
      <w:tr>
        <w:trPr>
          <w:cantSplit/>
          <w:tblHeader w:val="off"/>
        </w:trPr>
        <w:tc>
          <w:tcPr>
            <w:tcW w:type="dxa" w:w="4816"/>
            <w:tcMar>
              <w:top w:type="dxa" w:w="80"/>
              <w:left w:type="dxa" w:w="100"/>
              <w:bottom w:type="dxa" w:w="80"/>
              <w:right w:type="dxa" w:w="100"/>
            </w:tcMar>
          </w:tcPr>
          <w:p>
            <w:pPr>
              <w:pStyle w:val="Tabla"/>
            </w:pPr>
            <w:r>
              <w:t xml:space="preserve">Presentaciones</w:t>
            </w:r>
          </w:p>
        </w:tc>
        <w:tc>
          <w:tcPr>
            <w:tcW w:type="dxa" w:w="4816"/>
            <w:tcMar>
              <w:top w:type="dxa" w:w="80"/>
              <w:left w:type="dxa" w:w="100"/>
              <w:bottom w:type="dxa" w:w="80"/>
              <w:right w:type="dxa" w:w="100"/>
            </w:tcMar>
          </w:tcPr>
          <w:p>
            <w:pPr>
              <w:pStyle w:val="Tabla"/>
            </w:pPr>
            <w:r>
              <w:t xml:space="preserve">C-6:20, C-6:31, C-6:36, C-6:39, C-6:50, C-6:54, C-6:58</w:t>
            </w:r>
          </w:p>
        </w:tc>
      </w:tr>
      <w:tr>
        <w:trPr>
          <w:cantSplit/>
          <w:tblHeader w:val="off"/>
        </w:trPr>
        <w:tc>
          <w:tcPr>
            <w:tcW w:type="dxa" w:w="4816"/>
            <w:tcMar>
              <w:top w:type="dxa" w:w="80"/>
              <w:left w:type="dxa" w:w="100"/>
              <w:bottom w:type="dxa" w:w="80"/>
              <w:right w:type="dxa" w:w="100"/>
            </w:tcMar>
          </w:tcPr>
          <w:p>
            <w:pPr>
              <w:pStyle w:val="Tabla"/>
            </w:pPr>
            <w:r>
              <w:t xml:space="preserve">Capítulos de clase</w:t>
            </w:r>
          </w:p>
        </w:tc>
        <w:tc>
          <w:tcPr>
            <w:tcW w:type="dxa" w:w="4816"/>
            <w:tcMar>
              <w:top w:type="dxa" w:w="80"/>
              <w:left w:type="dxa" w:w="100"/>
              <w:bottom w:type="dxa" w:w="80"/>
              <w:right w:type="dxa" w:w="100"/>
            </w:tcMar>
          </w:tcPr>
          <w:p>
            <w:pPr>
              <w:pStyle w:val="Tabla"/>
            </w:pPr>
            <w:r>
              <w:t xml:space="preserve">6:09, 6:10, 7:01, 7:02, 7:04, 7:05, 8:01, 8:07</w:t>
            </w:r>
          </w:p>
        </w:tc>
      </w:tr>
      <w:tr>
        <w:trPr>
          <w:cantSplit/>
          <w:tblHeader w:val="off"/>
        </w:trPr>
        <w:tc>
          <w:tcPr>
            <w:tcW w:type="dxa" w:w="4816"/>
            <w:tcMar>
              <w:top w:type="dxa" w:w="80"/>
              <w:left w:type="dxa" w:w="100"/>
              <w:bottom w:type="dxa" w:w="80"/>
              <w:right w:type="dxa" w:w="100"/>
            </w:tcMar>
          </w:tcPr>
          <w:p>
            <w:pPr>
              <w:pStyle w:val="Tabla"/>
            </w:pPr>
            <w:r>
              <w:t xml:space="preserve">Práctica</w:t>
            </w:r>
          </w:p>
        </w:tc>
        <w:tc>
          <w:tcPr>
            <w:tcW w:type="dxa" w:w="4816"/>
            <w:tcMar>
              <w:top w:type="dxa" w:w="80"/>
              <w:left w:type="dxa" w:w="100"/>
              <w:bottom w:type="dxa" w:w="80"/>
              <w:right w:type="dxa" w:w="100"/>
            </w:tcMar>
          </w:tcPr>
          <w:p>
            <w:pPr>
              <w:pStyle w:val="Tabla"/>
            </w:pPr>
            <w:r>
              <w:t xml:space="preserve">10 autoevaluaciones; 0 ejercicios; 9 preguntas de exámenes y bancos.</w:t>
            </w:r>
          </w:p>
        </w:tc>
      </w:tr>
      <w:tr>
        <w:trPr>
          <w:cantSplit/>
          <w:tblHeader w:val="off"/>
        </w:trPr>
        <w:tc>
          <w:tcPr>
            <w:tcW w:type="dxa" w:w="4816"/>
            <w:tcMar>
              <w:top w:type="dxa" w:w="80"/>
              <w:left w:type="dxa" w:w="100"/>
              <w:bottom w:type="dxa" w:w="80"/>
              <w:right w:type="dxa" w:w="100"/>
            </w:tcMar>
          </w:tcPr>
          <w:p>
            <w:pPr>
              <w:pStyle w:val="Tabla"/>
            </w:pPr>
            <w:r>
              <w:t xml:space="preserve">Puntos verificados</w:t>
            </w:r>
          </w:p>
        </w:tc>
        <w:tc>
          <w:tcPr>
            <w:tcW w:type="dxa" w:w="4816"/>
            <w:tcMar>
              <w:top w:type="dxa" w:w="80"/>
              <w:left w:type="dxa" w:w="100"/>
              <w:bottom w:type="dxa" w:w="80"/>
              <w:right w:type="dxa" w:w="100"/>
            </w:tcMar>
          </w:tcPr>
          <w:p>
            <w:pPr>
              <w:pStyle w:val="Tabla"/>
            </w:pPr>
            <w:r>
              <w:t xml:space="preserve">29</w:t>
            </w:r>
          </w:p>
        </w:tc>
      </w:tr>
    </w:tbl>
    <w:p>
      <w:pPr>
        <w:pStyle w:val="Fuente"/>
      </w:pPr>
      <w:r>
        <w:t xml:space="preserve">Véase </w:t>
      </w:r>
      <w:hyperlink w:history="1" w:anchor="b_2_4">
        <w:r>
          <w:rPr>
            <w:color w:val="156B70"/>
            <w:u w:val="single"/>
          </w:rPr>
          <w:t xml:space="preserve">2.4 · Sub y suprasistemas</w:t>
        </w:r>
      </w:hyperlink>
      <w:r>
        <w:t xml:space="preserve">, pág. </w:t>
      </w:r>
      <w:r>
        <w:fldChar w:fldCharType="begin"/>
        <w:instrText xml:space="preserve">PAGEREF b_2_4 \h</w:instrText>
        <w:fldChar w:fldCharType="separate"/>
        <w:t xml:space="preserve">277</w:t>
        <w:fldChar w:fldCharType="end"/>
      </w:r>
      <w:r>
        <w:t xml:space="preserve">.</w:t>
      </w:r>
    </w:p>
    <w:p>
      <w:pPr>
        <w:pStyle w:val="Heading3"/>
      </w:pPr>
      <w:r>
        <w:t xml:space="preserve">2.5 · Sinergia y emergencia</w:t>
      </w:r>
    </w:p>
    <w:tbl>
      <w:tblPr>
        <w:tblW w:type="dxa" w:w="9632"/>
        <w:tblBorders>
          <w:top w:val="single" w:color="C5D5DB" w:sz="4"/>
          <w:left w:val="single" w:color="C5D5DB" w:sz="4"/>
          <w:bottom w:val="single" w:color="C5D5DB" w:sz="4"/>
          <w:right w:val="single" w:color="C5D5DB" w:sz="4"/>
          <w:insideH w:val="single" w:color="E4E9EB" w:sz="3"/>
          <w:insideV w:val="single" w:color="E4E9EB" w:sz="3"/>
        </w:tblBorders>
        <w:tblLayout w:type="fixed"/>
      </w:tblPr>
      <w:tblGrid>
        <w:gridCol w:w="4816"/>
        <w:gridCol w:w="4816"/>
      </w:tblGrid>
      <w:tr>
        <w:trPr>
          <w:cantSplit/>
          <w:tblHeader/>
        </w:trPr>
        <w:tc>
          <w:tcPr>
            <w:tcW w:type="dxa" w:w="4816"/>
            <w:shd w:fill="DFEAF0" w:val="clear"/>
            <w:tcMar>
              <w:top w:type="dxa" w:w="80"/>
              <w:left w:type="dxa" w:w="100"/>
              <w:bottom w:type="dxa" w:w="80"/>
              <w:right w:type="dxa" w:w="100"/>
            </w:tcMar>
          </w:tcPr>
          <w:p>
            <w:pPr>
              <w:pStyle w:val="Tabla"/>
            </w:pPr>
            <w:r>
              <w:rPr>
                <w:b/>
                <w:bCs/>
              </w:rPr>
              <w:t xml:space="preserve">Evidencia</w:t>
            </w:r>
          </w:p>
        </w:tc>
        <w:tc>
          <w:tcPr>
            <w:tcW w:type="dxa" w:w="4816"/>
            <w:shd w:fill="DFEAF0" w:val="clear"/>
            <w:tcMar>
              <w:top w:type="dxa" w:w="80"/>
              <w:left w:type="dxa" w:w="100"/>
              <w:bottom w:type="dxa" w:w="80"/>
              <w:right w:type="dxa" w:w="100"/>
            </w:tcMar>
          </w:tcPr>
          <w:p>
            <w:pPr>
              <w:pStyle w:val="Tabla"/>
            </w:pPr>
            <w:r>
              <w:rPr>
                <w:b/>
                <w:bCs/>
              </w:rPr>
              <w:t xml:space="preserve">Localizaciones</w:t>
            </w:r>
          </w:p>
        </w:tc>
      </w:tr>
      <w:tr>
        <w:trPr>
          <w:cantSplit/>
          <w:tblHeader w:val="off"/>
        </w:trPr>
        <w:tc>
          <w:tcPr>
            <w:tcW w:type="dxa" w:w="4816"/>
            <w:tcMar>
              <w:top w:type="dxa" w:w="80"/>
              <w:left w:type="dxa" w:w="100"/>
              <w:bottom w:type="dxa" w:w="80"/>
              <w:right w:type="dxa" w:w="100"/>
            </w:tcMar>
          </w:tcPr>
          <w:p>
            <w:pPr>
              <w:pStyle w:val="Tabla"/>
            </w:pPr>
            <w:r>
              <w:t xml:space="preserve">Presentaciones</w:t>
            </w:r>
          </w:p>
        </w:tc>
        <w:tc>
          <w:tcPr>
            <w:tcW w:type="dxa" w:w="4816"/>
            <w:tcMar>
              <w:top w:type="dxa" w:w="80"/>
              <w:left w:type="dxa" w:w="100"/>
              <w:bottom w:type="dxa" w:w="80"/>
              <w:right w:type="dxa" w:w="100"/>
            </w:tcMar>
          </w:tcPr>
          <w:p>
            <w:pPr>
              <w:pStyle w:val="Tabla"/>
            </w:pPr>
            <w:r>
              <w:t xml:space="preserve">C-6:41, C-6:42, C-6:43, C-6:44, C-6:45, C-6:46, C-6:47, C-6:49, C-6:50</w:t>
            </w:r>
          </w:p>
        </w:tc>
      </w:tr>
      <w:tr>
        <w:trPr>
          <w:cantSplit/>
          <w:tblHeader w:val="off"/>
        </w:trPr>
        <w:tc>
          <w:tcPr>
            <w:tcW w:type="dxa" w:w="4816"/>
            <w:tcMar>
              <w:top w:type="dxa" w:w="80"/>
              <w:left w:type="dxa" w:w="100"/>
              <w:bottom w:type="dxa" w:w="80"/>
              <w:right w:type="dxa" w:w="100"/>
            </w:tcMar>
          </w:tcPr>
          <w:p>
            <w:pPr>
              <w:pStyle w:val="Tabla"/>
            </w:pPr>
            <w:r>
              <w:t xml:space="preserve">Capítulos de clase</w:t>
            </w:r>
          </w:p>
        </w:tc>
        <w:tc>
          <w:tcPr>
            <w:tcW w:type="dxa" w:w="4816"/>
            <w:tcMar>
              <w:top w:type="dxa" w:w="80"/>
              <w:left w:type="dxa" w:w="100"/>
              <w:bottom w:type="dxa" w:w="80"/>
              <w:right w:type="dxa" w:w="100"/>
            </w:tcMar>
          </w:tcPr>
          <w:p>
            <w:pPr>
              <w:pStyle w:val="Tabla"/>
            </w:pPr>
            <w:r>
              <w:t xml:space="preserve">6:11, 8:04, 9:04, 9:08</w:t>
            </w:r>
          </w:p>
        </w:tc>
      </w:tr>
      <w:tr>
        <w:trPr>
          <w:cantSplit/>
          <w:tblHeader w:val="off"/>
        </w:trPr>
        <w:tc>
          <w:tcPr>
            <w:tcW w:type="dxa" w:w="4816"/>
            <w:tcMar>
              <w:top w:type="dxa" w:w="80"/>
              <w:left w:type="dxa" w:w="100"/>
              <w:bottom w:type="dxa" w:w="80"/>
              <w:right w:type="dxa" w:w="100"/>
            </w:tcMar>
          </w:tcPr>
          <w:p>
            <w:pPr>
              <w:pStyle w:val="Tabla"/>
            </w:pPr>
            <w:r>
              <w:t xml:space="preserve">Práctica</w:t>
            </w:r>
          </w:p>
        </w:tc>
        <w:tc>
          <w:tcPr>
            <w:tcW w:type="dxa" w:w="4816"/>
            <w:tcMar>
              <w:top w:type="dxa" w:w="80"/>
              <w:left w:type="dxa" w:w="100"/>
              <w:bottom w:type="dxa" w:w="80"/>
              <w:right w:type="dxa" w:w="100"/>
            </w:tcMar>
          </w:tcPr>
          <w:p>
            <w:pPr>
              <w:pStyle w:val="Tabla"/>
            </w:pPr>
            <w:r>
              <w:t xml:space="preserve">9 autoevaluaciones; 0 ejercicios; 12 preguntas de exámenes y bancos.</w:t>
            </w:r>
          </w:p>
        </w:tc>
      </w:tr>
      <w:tr>
        <w:trPr>
          <w:cantSplit/>
          <w:tblHeader w:val="off"/>
        </w:trPr>
        <w:tc>
          <w:tcPr>
            <w:tcW w:type="dxa" w:w="4816"/>
            <w:tcMar>
              <w:top w:type="dxa" w:w="80"/>
              <w:left w:type="dxa" w:w="100"/>
              <w:bottom w:type="dxa" w:w="80"/>
              <w:right w:type="dxa" w:w="100"/>
            </w:tcMar>
          </w:tcPr>
          <w:p>
            <w:pPr>
              <w:pStyle w:val="Tabla"/>
            </w:pPr>
            <w:r>
              <w:t xml:space="preserve">Puntos verificados</w:t>
            </w:r>
          </w:p>
        </w:tc>
        <w:tc>
          <w:tcPr>
            <w:tcW w:type="dxa" w:w="4816"/>
            <w:tcMar>
              <w:top w:type="dxa" w:w="80"/>
              <w:left w:type="dxa" w:w="100"/>
              <w:bottom w:type="dxa" w:w="80"/>
              <w:right w:type="dxa" w:w="100"/>
            </w:tcMar>
          </w:tcPr>
          <w:p>
            <w:pPr>
              <w:pStyle w:val="Tabla"/>
            </w:pPr>
            <w:r>
              <w:t xml:space="preserve">47</w:t>
            </w:r>
          </w:p>
        </w:tc>
      </w:tr>
    </w:tbl>
    <w:p>
      <w:pPr>
        <w:pStyle w:val="Fuente"/>
      </w:pPr>
      <w:r>
        <w:t xml:space="preserve">Véase </w:t>
      </w:r>
      <w:hyperlink w:history="1" w:anchor="b_2_5">
        <w:r>
          <w:rPr>
            <w:color w:val="156B70"/>
            <w:u w:val="single"/>
          </w:rPr>
          <w:t xml:space="preserve">2.5 · Sinergia y emergencia</w:t>
        </w:r>
      </w:hyperlink>
      <w:r>
        <w:t xml:space="preserve">, pág. </w:t>
      </w:r>
      <w:r>
        <w:fldChar w:fldCharType="begin"/>
        <w:instrText xml:space="preserve">PAGEREF b_2_5 \h</w:instrText>
        <w:fldChar w:fldCharType="separate"/>
        <w:t xml:space="preserve">292</w:t>
        <w:fldChar w:fldCharType="end"/>
      </w:r>
      <w:r>
        <w:t xml:space="preserve">.</w:t>
      </w:r>
    </w:p>
    <w:p>
      <w:pPr>
        <w:pStyle w:val="Heading3"/>
      </w:pPr>
      <w:r>
        <w:t xml:space="preserve">2.6 · Complejidad sistémica</w:t>
      </w:r>
    </w:p>
    <w:tbl>
      <w:tblPr>
        <w:tblW w:type="dxa" w:w="9632"/>
        <w:tblBorders>
          <w:top w:val="single" w:color="C5D5DB" w:sz="4"/>
          <w:left w:val="single" w:color="C5D5DB" w:sz="4"/>
          <w:bottom w:val="single" w:color="C5D5DB" w:sz="4"/>
          <w:right w:val="single" w:color="C5D5DB" w:sz="4"/>
          <w:insideH w:val="single" w:color="E4E9EB" w:sz="3"/>
          <w:insideV w:val="single" w:color="E4E9EB" w:sz="3"/>
        </w:tblBorders>
        <w:tblLayout w:type="fixed"/>
      </w:tblPr>
      <w:tblGrid>
        <w:gridCol w:w="4816"/>
        <w:gridCol w:w="4816"/>
      </w:tblGrid>
      <w:tr>
        <w:trPr>
          <w:cantSplit/>
          <w:tblHeader/>
        </w:trPr>
        <w:tc>
          <w:tcPr>
            <w:tcW w:type="dxa" w:w="4816"/>
            <w:shd w:fill="DFEAF0" w:val="clear"/>
            <w:tcMar>
              <w:top w:type="dxa" w:w="80"/>
              <w:left w:type="dxa" w:w="100"/>
              <w:bottom w:type="dxa" w:w="80"/>
              <w:right w:type="dxa" w:w="100"/>
            </w:tcMar>
          </w:tcPr>
          <w:p>
            <w:pPr>
              <w:pStyle w:val="Tabla"/>
            </w:pPr>
            <w:r>
              <w:rPr>
                <w:b/>
                <w:bCs/>
              </w:rPr>
              <w:t xml:space="preserve">Evidencia</w:t>
            </w:r>
          </w:p>
        </w:tc>
        <w:tc>
          <w:tcPr>
            <w:tcW w:type="dxa" w:w="4816"/>
            <w:shd w:fill="DFEAF0" w:val="clear"/>
            <w:tcMar>
              <w:top w:type="dxa" w:w="80"/>
              <w:left w:type="dxa" w:w="100"/>
              <w:bottom w:type="dxa" w:w="80"/>
              <w:right w:type="dxa" w:w="100"/>
            </w:tcMar>
          </w:tcPr>
          <w:p>
            <w:pPr>
              <w:pStyle w:val="Tabla"/>
            </w:pPr>
            <w:r>
              <w:rPr>
                <w:b/>
                <w:bCs/>
              </w:rPr>
              <w:t xml:space="preserve">Localizaciones</w:t>
            </w:r>
          </w:p>
        </w:tc>
      </w:tr>
      <w:tr>
        <w:trPr>
          <w:cantSplit/>
          <w:tblHeader w:val="off"/>
        </w:trPr>
        <w:tc>
          <w:tcPr>
            <w:tcW w:type="dxa" w:w="4816"/>
            <w:tcMar>
              <w:top w:type="dxa" w:w="80"/>
              <w:left w:type="dxa" w:w="100"/>
              <w:bottom w:type="dxa" w:w="80"/>
              <w:right w:type="dxa" w:w="100"/>
            </w:tcMar>
          </w:tcPr>
          <w:p>
            <w:pPr>
              <w:pStyle w:val="Tabla"/>
            </w:pPr>
            <w:r>
              <w:t xml:space="preserve">Presentaciones</w:t>
            </w:r>
          </w:p>
        </w:tc>
        <w:tc>
          <w:tcPr>
            <w:tcW w:type="dxa" w:w="4816"/>
            <w:tcMar>
              <w:top w:type="dxa" w:w="80"/>
              <w:left w:type="dxa" w:w="100"/>
              <w:bottom w:type="dxa" w:w="80"/>
              <w:right w:type="dxa" w:w="100"/>
            </w:tcMar>
          </w:tcPr>
          <w:p>
            <w:pPr>
              <w:pStyle w:val="Tabla"/>
            </w:pPr>
            <w:r>
              <w:t xml:space="preserve">C-5:18, C-6:11, C-6:12, C-6:13, C-6:14, C-6:50, C-6:51, C-6:54, C-6:58, C-6:59, C-6:60</w:t>
            </w:r>
          </w:p>
        </w:tc>
      </w:tr>
      <w:tr>
        <w:trPr>
          <w:cantSplit/>
          <w:tblHeader w:val="off"/>
        </w:trPr>
        <w:tc>
          <w:tcPr>
            <w:tcW w:type="dxa" w:w="4816"/>
            <w:tcMar>
              <w:top w:type="dxa" w:w="80"/>
              <w:left w:type="dxa" w:w="100"/>
              <w:bottom w:type="dxa" w:w="80"/>
              <w:right w:type="dxa" w:w="100"/>
            </w:tcMar>
          </w:tcPr>
          <w:p>
            <w:pPr>
              <w:pStyle w:val="Tabla"/>
            </w:pPr>
            <w:r>
              <w:t xml:space="preserve">Capítulos de clase</w:t>
            </w:r>
          </w:p>
        </w:tc>
        <w:tc>
          <w:tcPr>
            <w:tcW w:type="dxa" w:w="4816"/>
            <w:tcMar>
              <w:top w:type="dxa" w:w="80"/>
              <w:left w:type="dxa" w:w="100"/>
              <w:bottom w:type="dxa" w:w="80"/>
              <w:right w:type="dxa" w:w="100"/>
            </w:tcMar>
          </w:tcPr>
          <w:p>
            <w:pPr>
              <w:pStyle w:val="Tabla"/>
            </w:pPr>
            <w:r>
              <w:t xml:space="preserve">8:02, 8:05, 8:06, 8:07, 8:08, 9:03, 9:04, 9:06</w:t>
            </w:r>
          </w:p>
        </w:tc>
      </w:tr>
      <w:tr>
        <w:trPr>
          <w:cantSplit/>
          <w:tblHeader w:val="off"/>
        </w:trPr>
        <w:tc>
          <w:tcPr>
            <w:tcW w:type="dxa" w:w="4816"/>
            <w:tcMar>
              <w:top w:type="dxa" w:w="80"/>
              <w:left w:type="dxa" w:w="100"/>
              <w:bottom w:type="dxa" w:w="80"/>
              <w:right w:type="dxa" w:w="100"/>
            </w:tcMar>
          </w:tcPr>
          <w:p>
            <w:pPr>
              <w:pStyle w:val="Tabla"/>
            </w:pPr>
            <w:r>
              <w:t xml:space="preserve">Práctica</w:t>
            </w:r>
          </w:p>
        </w:tc>
        <w:tc>
          <w:tcPr>
            <w:tcW w:type="dxa" w:w="4816"/>
            <w:tcMar>
              <w:top w:type="dxa" w:w="80"/>
              <w:left w:type="dxa" w:w="100"/>
              <w:bottom w:type="dxa" w:w="80"/>
              <w:right w:type="dxa" w:w="100"/>
            </w:tcMar>
          </w:tcPr>
          <w:p>
            <w:pPr>
              <w:pStyle w:val="Tabla"/>
            </w:pPr>
            <w:r>
              <w:t xml:space="preserve">10 autoevaluaciones; 1 ejercicios; 11 preguntas de exámenes y bancos.</w:t>
            </w:r>
          </w:p>
        </w:tc>
      </w:tr>
      <w:tr>
        <w:trPr>
          <w:cantSplit/>
          <w:tblHeader w:val="off"/>
        </w:trPr>
        <w:tc>
          <w:tcPr>
            <w:tcW w:type="dxa" w:w="4816"/>
            <w:tcMar>
              <w:top w:type="dxa" w:w="80"/>
              <w:left w:type="dxa" w:w="100"/>
              <w:bottom w:type="dxa" w:w="80"/>
              <w:right w:type="dxa" w:w="100"/>
            </w:tcMar>
          </w:tcPr>
          <w:p>
            <w:pPr>
              <w:pStyle w:val="Tabla"/>
            </w:pPr>
            <w:r>
              <w:t xml:space="preserve">Puntos verificados</w:t>
            </w:r>
          </w:p>
        </w:tc>
        <w:tc>
          <w:tcPr>
            <w:tcW w:type="dxa" w:w="4816"/>
            <w:tcMar>
              <w:top w:type="dxa" w:w="80"/>
              <w:left w:type="dxa" w:w="100"/>
              <w:bottom w:type="dxa" w:w="80"/>
              <w:right w:type="dxa" w:w="100"/>
            </w:tcMar>
          </w:tcPr>
          <w:p>
            <w:pPr>
              <w:pStyle w:val="Tabla"/>
            </w:pPr>
            <w:r>
              <w:t xml:space="preserve">60</w:t>
            </w:r>
          </w:p>
        </w:tc>
      </w:tr>
    </w:tbl>
    <w:p>
      <w:pPr>
        <w:pStyle w:val="Fuente"/>
      </w:pPr>
      <w:r>
        <w:t xml:space="preserve">Véase </w:t>
      </w:r>
      <w:hyperlink w:history="1" w:anchor="b_2_6">
        <w:r>
          <w:rPr>
            <w:color w:val="156B70"/>
            <w:u w:val="single"/>
          </w:rPr>
          <w:t xml:space="preserve">2.6 · Complejidad sistémica</w:t>
        </w:r>
      </w:hyperlink>
      <w:r>
        <w:t xml:space="preserve">, pág. </w:t>
      </w:r>
      <w:r>
        <w:fldChar w:fldCharType="begin"/>
        <w:instrText xml:space="preserve">PAGEREF b_2_6 \h</w:instrText>
        <w:fldChar w:fldCharType="separate"/>
        <w:t xml:space="preserve">308</w:t>
        <w:fldChar w:fldCharType="end"/>
      </w:r>
      <w:r>
        <w:t xml:space="preserve">.</w:t>
      </w:r>
    </w:p>
    <w:p>
      <w:pPr>
        <w:pStyle w:val="Heading3"/>
      </w:pPr>
      <w:r>
        <w:t xml:space="preserve">2.7 · El universo como sistemas</w:t>
      </w:r>
    </w:p>
    <w:tbl>
      <w:tblPr>
        <w:tblW w:type="dxa" w:w="9632"/>
        <w:tblBorders>
          <w:top w:val="single" w:color="C5D5DB" w:sz="4"/>
          <w:left w:val="single" w:color="C5D5DB" w:sz="4"/>
          <w:bottom w:val="single" w:color="C5D5DB" w:sz="4"/>
          <w:right w:val="single" w:color="C5D5DB" w:sz="4"/>
          <w:insideH w:val="single" w:color="E4E9EB" w:sz="3"/>
          <w:insideV w:val="single" w:color="E4E9EB" w:sz="3"/>
        </w:tblBorders>
        <w:tblLayout w:type="fixed"/>
      </w:tblPr>
      <w:tblGrid>
        <w:gridCol w:w="4816"/>
        <w:gridCol w:w="4816"/>
      </w:tblGrid>
      <w:tr>
        <w:trPr>
          <w:cantSplit/>
          <w:tblHeader/>
        </w:trPr>
        <w:tc>
          <w:tcPr>
            <w:tcW w:type="dxa" w:w="4816"/>
            <w:shd w:fill="DFEAF0" w:val="clear"/>
            <w:tcMar>
              <w:top w:type="dxa" w:w="80"/>
              <w:left w:type="dxa" w:w="100"/>
              <w:bottom w:type="dxa" w:w="80"/>
              <w:right w:type="dxa" w:w="100"/>
            </w:tcMar>
          </w:tcPr>
          <w:p>
            <w:pPr>
              <w:pStyle w:val="Tabla"/>
            </w:pPr>
            <w:r>
              <w:rPr>
                <w:b/>
                <w:bCs/>
              </w:rPr>
              <w:t xml:space="preserve">Evidencia</w:t>
            </w:r>
          </w:p>
        </w:tc>
        <w:tc>
          <w:tcPr>
            <w:tcW w:type="dxa" w:w="4816"/>
            <w:shd w:fill="DFEAF0" w:val="clear"/>
            <w:tcMar>
              <w:top w:type="dxa" w:w="80"/>
              <w:left w:type="dxa" w:w="100"/>
              <w:bottom w:type="dxa" w:w="80"/>
              <w:right w:type="dxa" w:w="100"/>
            </w:tcMar>
          </w:tcPr>
          <w:p>
            <w:pPr>
              <w:pStyle w:val="Tabla"/>
            </w:pPr>
            <w:r>
              <w:rPr>
                <w:b/>
                <w:bCs/>
              </w:rPr>
              <w:t xml:space="preserve">Localizaciones</w:t>
            </w:r>
          </w:p>
        </w:tc>
      </w:tr>
      <w:tr>
        <w:trPr>
          <w:cantSplit/>
          <w:tblHeader w:val="off"/>
        </w:trPr>
        <w:tc>
          <w:tcPr>
            <w:tcW w:type="dxa" w:w="4816"/>
            <w:tcMar>
              <w:top w:type="dxa" w:w="80"/>
              <w:left w:type="dxa" w:w="100"/>
              <w:bottom w:type="dxa" w:w="80"/>
              <w:right w:type="dxa" w:w="100"/>
            </w:tcMar>
          </w:tcPr>
          <w:p>
            <w:pPr>
              <w:pStyle w:val="Tabla"/>
            </w:pPr>
            <w:r>
              <w:t xml:space="preserve">Presentaciones</w:t>
            </w:r>
          </w:p>
        </w:tc>
        <w:tc>
          <w:tcPr>
            <w:tcW w:type="dxa" w:w="4816"/>
            <w:tcMar>
              <w:top w:type="dxa" w:w="80"/>
              <w:left w:type="dxa" w:w="100"/>
              <w:bottom w:type="dxa" w:w="80"/>
              <w:right w:type="dxa" w:w="100"/>
            </w:tcMar>
          </w:tcPr>
          <w:p>
            <w:pPr>
              <w:pStyle w:val="Tabla"/>
            </w:pPr>
            <w:r>
              <w:t xml:space="preserve">C-6:55, C-6:56</w:t>
            </w:r>
          </w:p>
        </w:tc>
      </w:tr>
      <w:tr>
        <w:trPr>
          <w:cantSplit/>
          <w:tblHeader w:val="off"/>
        </w:trPr>
        <w:tc>
          <w:tcPr>
            <w:tcW w:type="dxa" w:w="4816"/>
            <w:tcMar>
              <w:top w:type="dxa" w:w="80"/>
              <w:left w:type="dxa" w:w="100"/>
              <w:bottom w:type="dxa" w:w="80"/>
              <w:right w:type="dxa" w:w="100"/>
            </w:tcMar>
          </w:tcPr>
          <w:p>
            <w:pPr>
              <w:pStyle w:val="Tabla"/>
            </w:pPr>
            <w:r>
              <w:t xml:space="preserve">Capítulos de clase</w:t>
            </w:r>
          </w:p>
        </w:tc>
        <w:tc>
          <w:tcPr>
            <w:tcW w:type="dxa" w:w="4816"/>
            <w:tcMar>
              <w:top w:type="dxa" w:w="80"/>
              <w:left w:type="dxa" w:w="100"/>
              <w:bottom w:type="dxa" w:w="80"/>
              <w:right w:type="dxa" w:w="100"/>
            </w:tcMar>
          </w:tcPr>
          <w:p>
            <w:pPr>
              <w:pStyle w:val="Tabla"/>
            </w:pPr>
            <w:r>
              <w:t xml:space="preserve">8:08, 8:09, 8:10, 9:02, 18:03</w:t>
            </w:r>
          </w:p>
        </w:tc>
      </w:tr>
      <w:tr>
        <w:trPr>
          <w:cantSplit/>
          <w:tblHeader w:val="off"/>
        </w:trPr>
        <w:tc>
          <w:tcPr>
            <w:tcW w:type="dxa" w:w="4816"/>
            <w:tcMar>
              <w:top w:type="dxa" w:w="80"/>
              <w:left w:type="dxa" w:w="100"/>
              <w:bottom w:type="dxa" w:w="80"/>
              <w:right w:type="dxa" w:w="100"/>
            </w:tcMar>
          </w:tcPr>
          <w:p>
            <w:pPr>
              <w:pStyle w:val="Tabla"/>
            </w:pPr>
            <w:r>
              <w:t xml:space="preserve">Práctica</w:t>
            </w:r>
          </w:p>
        </w:tc>
        <w:tc>
          <w:tcPr>
            <w:tcW w:type="dxa" w:w="4816"/>
            <w:tcMar>
              <w:top w:type="dxa" w:w="80"/>
              <w:left w:type="dxa" w:w="100"/>
              <w:bottom w:type="dxa" w:w="80"/>
              <w:right w:type="dxa" w:w="100"/>
            </w:tcMar>
          </w:tcPr>
          <w:p>
            <w:pPr>
              <w:pStyle w:val="Tabla"/>
            </w:pPr>
            <w:r>
              <w:t xml:space="preserve">11 autoevaluaciones; 0 ejercicios; 11 preguntas de exámenes y bancos.</w:t>
            </w:r>
          </w:p>
        </w:tc>
      </w:tr>
      <w:tr>
        <w:trPr>
          <w:cantSplit/>
          <w:tblHeader w:val="off"/>
        </w:trPr>
        <w:tc>
          <w:tcPr>
            <w:tcW w:type="dxa" w:w="4816"/>
            <w:tcMar>
              <w:top w:type="dxa" w:w="80"/>
              <w:left w:type="dxa" w:w="100"/>
              <w:bottom w:type="dxa" w:w="80"/>
              <w:right w:type="dxa" w:w="100"/>
            </w:tcMar>
          </w:tcPr>
          <w:p>
            <w:pPr>
              <w:pStyle w:val="Tabla"/>
            </w:pPr>
            <w:r>
              <w:t xml:space="preserve">Puntos verificados</w:t>
            </w:r>
          </w:p>
        </w:tc>
        <w:tc>
          <w:tcPr>
            <w:tcW w:type="dxa" w:w="4816"/>
            <w:tcMar>
              <w:top w:type="dxa" w:w="80"/>
              <w:left w:type="dxa" w:w="100"/>
              <w:bottom w:type="dxa" w:w="80"/>
              <w:right w:type="dxa" w:w="100"/>
            </w:tcMar>
          </w:tcPr>
          <w:p>
            <w:pPr>
              <w:pStyle w:val="Tabla"/>
            </w:pPr>
            <w:r>
              <w:t xml:space="preserve">32</w:t>
            </w:r>
          </w:p>
        </w:tc>
      </w:tr>
    </w:tbl>
    <w:p>
      <w:pPr>
        <w:pStyle w:val="Fuente"/>
      </w:pPr>
      <w:r>
        <w:t xml:space="preserve">Véase </w:t>
      </w:r>
      <w:hyperlink w:history="1" w:anchor="b_2_7">
        <w:r>
          <w:rPr>
            <w:color w:val="156B70"/>
            <w:u w:val="single"/>
          </w:rPr>
          <w:t xml:space="preserve">2.7 · El universo como sistemas</w:t>
        </w:r>
      </w:hyperlink>
      <w:r>
        <w:t xml:space="preserve">, pág. </w:t>
      </w:r>
      <w:r>
        <w:fldChar w:fldCharType="begin"/>
        <w:instrText xml:space="preserve">PAGEREF b_2_7 \h</w:instrText>
        <w:fldChar w:fldCharType="separate"/>
        <w:t xml:space="preserve">329</w:t>
        <w:fldChar w:fldCharType="end"/>
      </w:r>
      <w:r>
        <w:t xml:space="preserve">.</w:t>
      </w:r>
    </w:p>
    <w:p>
      <w:pPr>
        <w:pStyle w:val="Heading3"/>
      </w:pPr>
      <w:r>
        <w:t xml:space="preserve">2.8 · Otros conceptos de la TGS</w:t>
      </w:r>
    </w:p>
    <w:tbl>
      <w:tblPr>
        <w:tblW w:type="dxa" w:w="9632"/>
        <w:tblBorders>
          <w:top w:val="single" w:color="C5D5DB" w:sz="4"/>
          <w:left w:val="single" w:color="C5D5DB" w:sz="4"/>
          <w:bottom w:val="single" w:color="C5D5DB" w:sz="4"/>
          <w:right w:val="single" w:color="C5D5DB" w:sz="4"/>
          <w:insideH w:val="single" w:color="E4E9EB" w:sz="3"/>
          <w:insideV w:val="single" w:color="E4E9EB" w:sz="3"/>
        </w:tblBorders>
        <w:tblLayout w:type="fixed"/>
      </w:tblPr>
      <w:tblGrid>
        <w:gridCol w:w="4816"/>
        <w:gridCol w:w="4816"/>
      </w:tblGrid>
      <w:tr>
        <w:trPr>
          <w:cantSplit/>
          <w:tblHeader/>
        </w:trPr>
        <w:tc>
          <w:tcPr>
            <w:tcW w:type="dxa" w:w="4816"/>
            <w:shd w:fill="DFEAF0" w:val="clear"/>
            <w:tcMar>
              <w:top w:type="dxa" w:w="80"/>
              <w:left w:type="dxa" w:w="100"/>
              <w:bottom w:type="dxa" w:w="80"/>
              <w:right w:type="dxa" w:w="100"/>
            </w:tcMar>
          </w:tcPr>
          <w:p>
            <w:pPr>
              <w:pStyle w:val="Tabla"/>
            </w:pPr>
            <w:r>
              <w:rPr>
                <w:b/>
                <w:bCs/>
              </w:rPr>
              <w:t xml:space="preserve">Evidencia</w:t>
            </w:r>
          </w:p>
        </w:tc>
        <w:tc>
          <w:tcPr>
            <w:tcW w:type="dxa" w:w="4816"/>
            <w:shd w:fill="DFEAF0" w:val="clear"/>
            <w:tcMar>
              <w:top w:type="dxa" w:w="80"/>
              <w:left w:type="dxa" w:w="100"/>
              <w:bottom w:type="dxa" w:w="80"/>
              <w:right w:type="dxa" w:w="100"/>
            </w:tcMar>
          </w:tcPr>
          <w:p>
            <w:pPr>
              <w:pStyle w:val="Tabla"/>
            </w:pPr>
            <w:r>
              <w:rPr>
                <w:b/>
                <w:bCs/>
              </w:rPr>
              <w:t xml:space="preserve">Localizaciones</w:t>
            </w:r>
          </w:p>
        </w:tc>
      </w:tr>
      <w:tr>
        <w:trPr>
          <w:cantSplit/>
          <w:tblHeader w:val="off"/>
        </w:trPr>
        <w:tc>
          <w:tcPr>
            <w:tcW w:type="dxa" w:w="4816"/>
            <w:tcMar>
              <w:top w:type="dxa" w:w="80"/>
              <w:left w:type="dxa" w:w="100"/>
              <w:bottom w:type="dxa" w:w="80"/>
              <w:right w:type="dxa" w:w="100"/>
            </w:tcMar>
          </w:tcPr>
          <w:p>
            <w:pPr>
              <w:pStyle w:val="Tabla"/>
            </w:pPr>
            <w:r>
              <w:t xml:space="preserve">Presentaciones</w:t>
            </w:r>
          </w:p>
        </w:tc>
        <w:tc>
          <w:tcPr>
            <w:tcW w:type="dxa" w:w="4816"/>
            <w:tcMar>
              <w:top w:type="dxa" w:w="80"/>
              <w:left w:type="dxa" w:w="100"/>
              <w:bottom w:type="dxa" w:w="80"/>
              <w:right w:type="dxa" w:w="100"/>
            </w:tcMar>
          </w:tcPr>
          <w:p>
            <w:pPr>
              <w:pStyle w:val="Tabla"/>
            </w:pPr>
            <w:r>
              <w:t xml:space="preserve">C-6:35, C-6:59, C-6:61, C-6:62, C-6:63, C-6:64</w:t>
            </w:r>
          </w:p>
        </w:tc>
      </w:tr>
      <w:tr>
        <w:trPr>
          <w:cantSplit/>
          <w:tblHeader w:val="off"/>
        </w:trPr>
        <w:tc>
          <w:tcPr>
            <w:tcW w:type="dxa" w:w="4816"/>
            <w:tcMar>
              <w:top w:type="dxa" w:w="80"/>
              <w:left w:type="dxa" w:w="100"/>
              <w:bottom w:type="dxa" w:w="80"/>
              <w:right w:type="dxa" w:w="100"/>
            </w:tcMar>
          </w:tcPr>
          <w:p>
            <w:pPr>
              <w:pStyle w:val="Tabla"/>
            </w:pPr>
            <w:r>
              <w:t xml:space="preserve">Capítulos de clase</w:t>
            </w:r>
          </w:p>
        </w:tc>
        <w:tc>
          <w:tcPr>
            <w:tcW w:type="dxa" w:w="4816"/>
            <w:tcMar>
              <w:top w:type="dxa" w:w="80"/>
              <w:left w:type="dxa" w:w="100"/>
              <w:bottom w:type="dxa" w:w="80"/>
              <w:right w:type="dxa" w:w="100"/>
            </w:tcMar>
          </w:tcPr>
          <w:p>
            <w:pPr>
              <w:pStyle w:val="Tabla"/>
            </w:pPr>
            <w:r>
              <w:t xml:space="preserve">7:09, 9:07, 9:08, 9:09, 9:10</w:t>
            </w:r>
          </w:p>
        </w:tc>
      </w:tr>
      <w:tr>
        <w:trPr>
          <w:cantSplit/>
          <w:tblHeader w:val="off"/>
        </w:trPr>
        <w:tc>
          <w:tcPr>
            <w:tcW w:type="dxa" w:w="4816"/>
            <w:tcMar>
              <w:top w:type="dxa" w:w="80"/>
              <w:left w:type="dxa" w:w="100"/>
              <w:bottom w:type="dxa" w:w="80"/>
              <w:right w:type="dxa" w:w="100"/>
            </w:tcMar>
          </w:tcPr>
          <w:p>
            <w:pPr>
              <w:pStyle w:val="Tabla"/>
            </w:pPr>
            <w:r>
              <w:t xml:space="preserve">Práctica</w:t>
            </w:r>
          </w:p>
        </w:tc>
        <w:tc>
          <w:tcPr>
            <w:tcW w:type="dxa" w:w="4816"/>
            <w:tcMar>
              <w:top w:type="dxa" w:w="80"/>
              <w:left w:type="dxa" w:w="100"/>
              <w:bottom w:type="dxa" w:w="80"/>
              <w:right w:type="dxa" w:w="100"/>
            </w:tcMar>
          </w:tcPr>
          <w:p>
            <w:pPr>
              <w:pStyle w:val="Tabla"/>
            </w:pPr>
            <w:r>
              <w:t xml:space="preserve">10 autoevaluaciones; 1 ejercicios; 19 preguntas de exámenes y bancos.</w:t>
            </w:r>
          </w:p>
        </w:tc>
      </w:tr>
      <w:tr>
        <w:trPr>
          <w:cantSplit/>
          <w:tblHeader w:val="off"/>
        </w:trPr>
        <w:tc>
          <w:tcPr>
            <w:tcW w:type="dxa" w:w="4816"/>
            <w:tcMar>
              <w:top w:type="dxa" w:w="80"/>
              <w:left w:type="dxa" w:w="100"/>
              <w:bottom w:type="dxa" w:w="80"/>
              <w:right w:type="dxa" w:w="100"/>
            </w:tcMar>
          </w:tcPr>
          <w:p>
            <w:pPr>
              <w:pStyle w:val="Tabla"/>
            </w:pPr>
            <w:r>
              <w:t xml:space="preserve">Puntos verificados</w:t>
            </w:r>
          </w:p>
        </w:tc>
        <w:tc>
          <w:tcPr>
            <w:tcW w:type="dxa" w:w="4816"/>
            <w:tcMar>
              <w:top w:type="dxa" w:w="80"/>
              <w:left w:type="dxa" w:w="100"/>
              <w:bottom w:type="dxa" w:w="80"/>
              <w:right w:type="dxa" w:w="100"/>
            </w:tcMar>
          </w:tcPr>
          <w:p>
            <w:pPr>
              <w:pStyle w:val="Tabla"/>
            </w:pPr>
            <w:r>
              <w:t xml:space="preserve">34</w:t>
            </w:r>
          </w:p>
        </w:tc>
      </w:tr>
    </w:tbl>
    <w:p>
      <w:pPr>
        <w:pStyle w:val="Fuente"/>
      </w:pPr>
      <w:r>
        <w:t xml:space="preserve">Véase </w:t>
      </w:r>
      <w:hyperlink w:history="1" w:anchor="b_2_8">
        <w:r>
          <w:rPr>
            <w:color w:val="156B70"/>
            <w:u w:val="single"/>
          </w:rPr>
          <w:t xml:space="preserve">2.8 · Otros conceptos de la TGS</w:t>
        </w:r>
      </w:hyperlink>
      <w:r>
        <w:t xml:space="preserve">, pág. </w:t>
      </w:r>
      <w:r>
        <w:fldChar w:fldCharType="begin"/>
        <w:instrText xml:space="preserve">PAGEREF b_2_8 \h</w:instrText>
        <w:fldChar w:fldCharType="separate"/>
        <w:t xml:space="preserve">345</w:t>
        <w:fldChar w:fldCharType="end"/>
      </w:r>
      <w:r>
        <w:t xml:space="preserve">.</w:t>
      </w:r>
    </w:p>
    <w:p>
      <w:pPr>
        <w:pStyle w:val="Heading3"/>
      </w:pPr>
      <w:r>
        <w:t xml:space="preserve">2.9 · Introducción a los hábitos</w:t>
      </w:r>
    </w:p>
    <w:tbl>
      <w:tblPr>
        <w:tblW w:type="dxa" w:w="9632"/>
        <w:tblBorders>
          <w:top w:val="single" w:color="C5D5DB" w:sz="4"/>
          <w:left w:val="single" w:color="C5D5DB" w:sz="4"/>
          <w:bottom w:val="single" w:color="C5D5DB" w:sz="4"/>
          <w:right w:val="single" w:color="C5D5DB" w:sz="4"/>
          <w:insideH w:val="single" w:color="E4E9EB" w:sz="3"/>
          <w:insideV w:val="single" w:color="E4E9EB" w:sz="3"/>
        </w:tblBorders>
        <w:tblLayout w:type="fixed"/>
      </w:tblPr>
      <w:tblGrid>
        <w:gridCol w:w="4816"/>
        <w:gridCol w:w="4816"/>
      </w:tblGrid>
      <w:tr>
        <w:trPr>
          <w:cantSplit/>
          <w:tblHeader/>
        </w:trPr>
        <w:tc>
          <w:tcPr>
            <w:tcW w:type="dxa" w:w="4816"/>
            <w:shd w:fill="DFEAF0" w:val="clear"/>
            <w:tcMar>
              <w:top w:type="dxa" w:w="80"/>
              <w:left w:type="dxa" w:w="100"/>
              <w:bottom w:type="dxa" w:w="80"/>
              <w:right w:type="dxa" w:w="100"/>
            </w:tcMar>
          </w:tcPr>
          <w:p>
            <w:pPr>
              <w:pStyle w:val="Tabla"/>
            </w:pPr>
            <w:r>
              <w:rPr>
                <w:b/>
                <w:bCs/>
              </w:rPr>
              <w:t xml:space="preserve">Evidencia</w:t>
            </w:r>
          </w:p>
        </w:tc>
        <w:tc>
          <w:tcPr>
            <w:tcW w:type="dxa" w:w="4816"/>
            <w:shd w:fill="DFEAF0" w:val="clear"/>
            <w:tcMar>
              <w:top w:type="dxa" w:w="80"/>
              <w:left w:type="dxa" w:w="100"/>
              <w:bottom w:type="dxa" w:w="80"/>
              <w:right w:type="dxa" w:w="100"/>
            </w:tcMar>
          </w:tcPr>
          <w:p>
            <w:pPr>
              <w:pStyle w:val="Tabla"/>
            </w:pPr>
            <w:r>
              <w:rPr>
                <w:b/>
                <w:bCs/>
              </w:rPr>
              <w:t xml:space="preserve">Localizaciones</w:t>
            </w:r>
          </w:p>
        </w:tc>
      </w:tr>
      <w:tr>
        <w:trPr>
          <w:cantSplit/>
          <w:tblHeader w:val="off"/>
        </w:trPr>
        <w:tc>
          <w:tcPr>
            <w:tcW w:type="dxa" w:w="4816"/>
            <w:tcMar>
              <w:top w:type="dxa" w:w="80"/>
              <w:left w:type="dxa" w:w="100"/>
              <w:bottom w:type="dxa" w:w="80"/>
              <w:right w:type="dxa" w:w="100"/>
            </w:tcMar>
          </w:tcPr>
          <w:p>
            <w:pPr>
              <w:pStyle w:val="Tabla"/>
            </w:pPr>
            <w:r>
              <w:t xml:space="preserve">Presentaciones</w:t>
            </w:r>
          </w:p>
        </w:tc>
        <w:tc>
          <w:tcPr>
            <w:tcW w:type="dxa" w:w="4816"/>
            <w:tcMar>
              <w:top w:type="dxa" w:w="80"/>
              <w:left w:type="dxa" w:w="100"/>
              <w:bottom w:type="dxa" w:w="80"/>
              <w:right w:type="dxa" w:w="100"/>
            </w:tcMar>
          </w:tcPr>
          <w:p>
            <w:pPr>
              <w:pStyle w:val="Tabla"/>
            </w:pPr>
            <w:r>
              <w:t xml:space="preserve">Clases y lecturas</w:t>
            </w:r>
          </w:p>
        </w:tc>
      </w:tr>
      <w:tr>
        <w:trPr>
          <w:cantSplit/>
          <w:tblHeader w:val="off"/>
        </w:trPr>
        <w:tc>
          <w:tcPr>
            <w:tcW w:type="dxa" w:w="4816"/>
            <w:tcMar>
              <w:top w:type="dxa" w:w="80"/>
              <w:left w:type="dxa" w:w="100"/>
              <w:bottom w:type="dxa" w:w="80"/>
              <w:right w:type="dxa" w:w="100"/>
            </w:tcMar>
          </w:tcPr>
          <w:p>
            <w:pPr>
              <w:pStyle w:val="Tabla"/>
            </w:pPr>
            <w:r>
              <w:t xml:space="preserve">Capítulos de clase</w:t>
            </w:r>
          </w:p>
        </w:tc>
        <w:tc>
          <w:tcPr>
            <w:tcW w:type="dxa" w:w="4816"/>
            <w:tcMar>
              <w:top w:type="dxa" w:w="80"/>
              <w:left w:type="dxa" w:w="100"/>
              <w:bottom w:type="dxa" w:w="80"/>
              <w:right w:type="dxa" w:w="100"/>
            </w:tcMar>
          </w:tcPr>
          <w:p>
            <w:pPr>
              <w:pStyle w:val="Tabla"/>
            </w:pPr>
            <w:r>
              <w:t xml:space="preserve">1:04, 3:06, 9:10</w:t>
            </w:r>
          </w:p>
        </w:tc>
      </w:tr>
      <w:tr>
        <w:trPr>
          <w:cantSplit/>
          <w:tblHeader w:val="off"/>
        </w:trPr>
        <w:tc>
          <w:tcPr>
            <w:tcW w:type="dxa" w:w="4816"/>
            <w:tcMar>
              <w:top w:type="dxa" w:w="80"/>
              <w:left w:type="dxa" w:w="100"/>
              <w:bottom w:type="dxa" w:w="80"/>
              <w:right w:type="dxa" w:w="100"/>
            </w:tcMar>
          </w:tcPr>
          <w:p>
            <w:pPr>
              <w:pStyle w:val="Tabla"/>
            </w:pPr>
            <w:r>
              <w:t xml:space="preserve">Práctica</w:t>
            </w:r>
          </w:p>
        </w:tc>
        <w:tc>
          <w:tcPr>
            <w:tcW w:type="dxa" w:w="4816"/>
            <w:tcMar>
              <w:top w:type="dxa" w:w="80"/>
              <w:left w:type="dxa" w:w="100"/>
              <w:bottom w:type="dxa" w:w="80"/>
              <w:right w:type="dxa" w:w="100"/>
            </w:tcMar>
          </w:tcPr>
          <w:p>
            <w:pPr>
              <w:pStyle w:val="Tabla"/>
            </w:pPr>
            <w:r>
              <w:t xml:space="preserve">9 autoevaluaciones; 0 ejercicios; 6 preguntas de exámenes y bancos.</w:t>
            </w:r>
          </w:p>
        </w:tc>
      </w:tr>
      <w:tr>
        <w:trPr>
          <w:cantSplit/>
          <w:tblHeader w:val="off"/>
        </w:trPr>
        <w:tc>
          <w:tcPr>
            <w:tcW w:type="dxa" w:w="4816"/>
            <w:tcMar>
              <w:top w:type="dxa" w:w="80"/>
              <w:left w:type="dxa" w:w="100"/>
              <w:bottom w:type="dxa" w:w="80"/>
              <w:right w:type="dxa" w:w="100"/>
            </w:tcMar>
          </w:tcPr>
          <w:p>
            <w:pPr>
              <w:pStyle w:val="Tabla"/>
            </w:pPr>
            <w:r>
              <w:t xml:space="preserve">Puntos verificados</w:t>
            </w:r>
          </w:p>
        </w:tc>
        <w:tc>
          <w:tcPr>
            <w:tcW w:type="dxa" w:w="4816"/>
            <w:tcMar>
              <w:top w:type="dxa" w:w="80"/>
              <w:left w:type="dxa" w:w="100"/>
              <w:bottom w:type="dxa" w:w="80"/>
              <w:right w:type="dxa" w:w="100"/>
            </w:tcMar>
          </w:tcPr>
          <w:p>
            <w:pPr>
              <w:pStyle w:val="Tabla"/>
            </w:pPr>
            <w:r>
              <w:t xml:space="preserve">7</w:t>
            </w:r>
          </w:p>
        </w:tc>
      </w:tr>
    </w:tbl>
    <w:p>
      <w:pPr>
        <w:pStyle w:val="Fuente"/>
      </w:pPr>
      <w:r>
        <w:t xml:space="preserve">Véase </w:t>
      </w:r>
      <w:hyperlink w:history="1" w:anchor="b_2_9">
        <w:r>
          <w:rPr>
            <w:color w:val="156B70"/>
            <w:u w:val="single"/>
          </w:rPr>
          <w:t xml:space="preserve">2.9 · Introducción a los hábitos</w:t>
        </w:r>
      </w:hyperlink>
      <w:r>
        <w:t xml:space="preserve">, pág. </w:t>
      </w:r>
      <w:r>
        <w:fldChar w:fldCharType="begin"/>
        <w:instrText xml:space="preserve">PAGEREF b_2_9 \h</w:instrText>
        <w:fldChar w:fldCharType="separate"/>
        <w:t xml:space="preserve">366</w:t>
        <w:fldChar w:fldCharType="end"/>
      </w:r>
      <w:r>
        <w:t xml:space="preserve">.</w:t>
      </w:r>
    </w:p>
    <w:p>
      <w:pPr>
        <w:pStyle w:val="Heading3"/>
      </w:pPr>
      <w:r>
        <w:t xml:space="preserve">3.1 · Mapas sistémicos</w:t>
      </w:r>
    </w:p>
    <w:tbl>
      <w:tblPr>
        <w:tblW w:type="dxa" w:w="9632"/>
        <w:tblBorders>
          <w:top w:val="single" w:color="C5D5DB" w:sz="4"/>
          <w:left w:val="single" w:color="C5D5DB" w:sz="4"/>
          <w:bottom w:val="single" w:color="C5D5DB" w:sz="4"/>
          <w:right w:val="single" w:color="C5D5DB" w:sz="4"/>
          <w:insideH w:val="single" w:color="E4E9EB" w:sz="3"/>
          <w:insideV w:val="single" w:color="E4E9EB" w:sz="3"/>
        </w:tblBorders>
        <w:tblLayout w:type="fixed"/>
      </w:tblPr>
      <w:tblGrid>
        <w:gridCol w:w="4816"/>
        <w:gridCol w:w="4816"/>
      </w:tblGrid>
      <w:tr>
        <w:trPr>
          <w:cantSplit/>
          <w:tblHeader/>
        </w:trPr>
        <w:tc>
          <w:tcPr>
            <w:tcW w:type="dxa" w:w="4816"/>
            <w:shd w:fill="DFEAF0" w:val="clear"/>
            <w:tcMar>
              <w:top w:type="dxa" w:w="80"/>
              <w:left w:type="dxa" w:w="100"/>
              <w:bottom w:type="dxa" w:w="80"/>
              <w:right w:type="dxa" w:w="100"/>
            </w:tcMar>
          </w:tcPr>
          <w:p>
            <w:pPr>
              <w:pStyle w:val="Tabla"/>
            </w:pPr>
            <w:r>
              <w:rPr>
                <w:b/>
                <w:bCs/>
              </w:rPr>
              <w:t xml:space="preserve">Evidencia</w:t>
            </w:r>
          </w:p>
        </w:tc>
        <w:tc>
          <w:tcPr>
            <w:tcW w:type="dxa" w:w="4816"/>
            <w:shd w:fill="DFEAF0" w:val="clear"/>
            <w:tcMar>
              <w:top w:type="dxa" w:w="80"/>
              <w:left w:type="dxa" w:w="100"/>
              <w:bottom w:type="dxa" w:w="80"/>
              <w:right w:type="dxa" w:w="100"/>
            </w:tcMar>
          </w:tcPr>
          <w:p>
            <w:pPr>
              <w:pStyle w:val="Tabla"/>
            </w:pPr>
            <w:r>
              <w:rPr>
                <w:b/>
                <w:bCs/>
              </w:rPr>
              <w:t xml:space="preserve">Localizaciones</w:t>
            </w:r>
          </w:p>
        </w:tc>
      </w:tr>
      <w:tr>
        <w:trPr>
          <w:cantSplit/>
          <w:tblHeader w:val="off"/>
        </w:trPr>
        <w:tc>
          <w:tcPr>
            <w:tcW w:type="dxa" w:w="4816"/>
            <w:tcMar>
              <w:top w:type="dxa" w:w="80"/>
              <w:left w:type="dxa" w:w="100"/>
              <w:bottom w:type="dxa" w:w="80"/>
              <w:right w:type="dxa" w:w="100"/>
            </w:tcMar>
          </w:tcPr>
          <w:p>
            <w:pPr>
              <w:pStyle w:val="Tabla"/>
            </w:pPr>
            <w:r>
              <w:t xml:space="preserve">Presentaciones</w:t>
            </w:r>
          </w:p>
        </w:tc>
        <w:tc>
          <w:tcPr>
            <w:tcW w:type="dxa" w:w="4816"/>
            <w:tcMar>
              <w:top w:type="dxa" w:w="80"/>
              <w:left w:type="dxa" w:w="100"/>
              <w:bottom w:type="dxa" w:w="80"/>
              <w:right w:type="dxa" w:w="100"/>
            </w:tcMar>
          </w:tcPr>
          <w:p>
            <w:pPr>
              <w:pStyle w:val="Tabla"/>
            </w:pPr>
            <w:r>
              <w:t xml:space="preserve">C-2:2, C-2:3, C-2:4, C-2:5, C-2:14, C-2:15, C-2:16, C-2:21, C-2:22, C-2:24, C-2:32, C-2:37, C-2:38, C-2:40, C-2:77, C-2:78</w:t>
            </w:r>
          </w:p>
        </w:tc>
      </w:tr>
      <w:tr>
        <w:trPr>
          <w:cantSplit/>
          <w:tblHeader w:val="off"/>
        </w:trPr>
        <w:tc>
          <w:tcPr>
            <w:tcW w:type="dxa" w:w="4816"/>
            <w:tcMar>
              <w:top w:type="dxa" w:w="80"/>
              <w:left w:type="dxa" w:w="100"/>
              <w:bottom w:type="dxa" w:w="80"/>
              <w:right w:type="dxa" w:w="100"/>
            </w:tcMar>
          </w:tcPr>
          <w:p>
            <w:pPr>
              <w:pStyle w:val="Tabla"/>
            </w:pPr>
            <w:r>
              <w:t xml:space="preserve">Capítulos de clase</w:t>
            </w:r>
          </w:p>
        </w:tc>
        <w:tc>
          <w:tcPr>
            <w:tcW w:type="dxa" w:w="4816"/>
            <w:tcMar>
              <w:top w:type="dxa" w:w="80"/>
              <w:left w:type="dxa" w:w="100"/>
              <w:bottom w:type="dxa" w:w="80"/>
              <w:right w:type="dxa" w:w="100"/>
            </w:tcMar>
          </w:tcPr>
          <w:p>
            <w:pPr>
              <w:pStyle w:val="Tabla"/>
            </w:pPr>
            <w:r>
              <w:t xml:space="preserve">1:03, 10:02, 10:03, 10:05, 10:08, 10:11, 10:12, 11:03, 11:04, 11:05, 11:06, 11:08, 11:09, 11:10, 12:02, 12:04, 12:07, 12:08, 12:09, 13:02, 13:09, 14:04, 14:08, 14:09, 16:09</w:t>
            </w:r>
          </w:p>
        </w:tc>
      </w:tr>
      <w:tr>
        <w:trPr>
          <w:cantSplit/>
          <w:tblHeader w:val="off"/>
        </w:trPr>
        <w:tc>
          <w:tcPr>
            <w:tcW w:type="dxa" w:w="4816"/>
            <w:tcMar>
              <w:top w:type="dxa" w:w="80"/>
              <w:left w:type="dxa" w:w="100"/>
              <w:bottom w:type="dxa" w:w="80"/>
              <w:right w:type="dxa" w:w="100"/>
            </w:tcMar>
          </w:tcPr>
          <w:p>
            <w:pPr>
              <w:pStyle w:val="Tabla"/>
            </w:pPr>
            <w:r>
              <w:t xml:space="preserve">Práctica</w:t>
            </w:r>
          </w:p>
        </w:tc>
        <w:tc>
          <w:tcPr>
            <w:tcW w:type="dxa" w:w="4816"/>
            <w:tcMar>
              <w:top w:type="dxa" w:w="80"/>
              <w:left w:type="dxa" w:w="100"/>
              <w:bottom w:type="dxa" w:w="80"/>
              <w:right w:type="dxa" w:w="100"/>
            </w:tcMar>
          </w:tcPr>
          <w:p>
            <w:pPr>
              <w:pStyle w:val="Tabla"/>
            </w:pPr>
            <w:r>
              <w:t xml:space="preserve">15 autoevaluaciones; 0 ejercicios; 16 preguntas de exámenes y bancos.</w:t>
            </w:r>
          </w:p>
        </w:tc>
      </w:tr>
      <w:tr>
        <w:trPr>
          <w:cantSplit/>
          <w:tblHeader w:val="off"/>
        </w:trPr>
        <w:tc>
          <w:tcPr>
            <w:tcW w:type="dxa" w:w="4816"/>
            <w:tcMar>
              <w:top w:type="dxa" w:w="80"/>
              <w:left w:type="dxa" w:w="100"/>
              <w:bottom w:type="dxa" w:w="80"/>
              <w:right w:type="dxa" w:w="100"/>
            </w:tcMar>
          </w:tcPr>
          <w:p>
            <w:pPr>
              <w:pStyle w:val="Tabla"/>
            </w:pPr>
            <w:r>
              <w:t xml:space="preserve">Puntos verificados</w:t>
            </w:r>
          </w:p>
        </w:tc>
        <w:tc>
          <w:tcPr>
            <w:tcW w:type="dxa" w:w="4816"/>
            <w:tcMar>
              <w:top w:type="dxa" w:w="80"/>
              <w:left w:type="dxa" w:w="100"/>
              <w:bottom w:type="dxa" w:w="80"/>
              <w:right w:type="dxa" w:w="100"/>
            </w:tcMar>
          </w:tcPr>
          <w:p>
            <w:pPr>
              <w:pStyle w:val="Tabla"/>
            </w:pPr>
            <w:r>
              <w:t xml:space="preserve">95</w:t>
            </w:r>
          </w:p>
        </w:tc>
      </w:tr>
    </w:tbl>
    <w:p>
      <w:pPr>
        <w:pStyle w:val="Fuente"/>
      </w:pPr>
      <w:r>
        <w:t xml:space="preserve">Véase </w:t>
      </w:r>
      <w:hyperlink w:history="1" w:anchor="b_3_1">
        <w:r>
          <w:rPr>
            <w:color w:val="156B70"/>
            <w:u w:val="single"/>
          </w:rPr>
          <w:t xml:space="preserve">3.1 · Mapas sistémicos</w:t>
        </w:r>
      </w:hyperlink>
      <w:r>
        <w:t xml:space="preserve">, pág. </w:t>
      </w:r>
      <w:r>
        <w:fldChar w:fldCharType="begin"/>
        <w:instrText xml:space="preserve">PAGEREF b_3_1 \h</w:instrText>
        <w:fldChar w:fldCharType="separate"/>
        <w:t xml:space="preserve">379</w:t>
        <w:fldChar w:fldCharType="end"/>
      </w:r>
      <w:r>
        <w:t xml:space="preserve">.</w:t>
      </w:r>
    </w:p>
    <w:p>
      <w:pPr>
        <w:pStyle w:val="Heading3"/>
      </w:pPr>
      <w:r>
        <w:t xml:space="preserve">3.2 · Mapas DSRP generales</w:t>
      </w:r>
    </w:p>
    <w:tbl>
      <w:tblPr>
        <w:tblW w:type="dxa" w:w="9632"/>
        <w:tblBorders>
          <w:top w:val="single" w:color="C5D5DB" w:sz="4"/>
          <w:left w:val="single" w:color="C5D5DB" w:sz="4"/>
          <w:bottom w:val="single" w:color="C5D5DB" w:sz="4"/>
          <w:right w:val="single" w:color="C5D5DB" w:sz="4"/>
          <w:insideH w:val="single" w:color="E4E9EB" w:sz="3"/>
          <w:insideV w:val="single" w:color="E4E9EB" w:sz="3"/>
        </w:tblBorders>
        <w:tblLayout w:type="fixed"/>
      </w:tblPr>
      <w:tblGrid>
        <w:gridCol w:w="4816"/>
        <w:gridCol w:w="4816"/>
      </w:tblGrid>
      <w:tr>
        <w:trPr>
          <w:cantSplit/>
          <w:tblHeader/>
        </w:trPr>
        <w:tc>
          <w:tcPr>
            <w:tcW w:type="dxa" w:w="4816"/>
            <w:shd w:fill="DFEAF0" w:val="clear"/>
            <w:tcMar>
              <w:top w:type="dxa" w:w="80"/>
              <w:left w:type="dxa" w:w="100"/>
              <w:bottom w:type="dxa" w:w="80"/>
              <w:right w:type="dxa" w:w="100"/>
            </w:tcMar>
          </w:tcPr>
          <w:p>
            <w:pPr>
              <w:pStyle w:val="Tabla"/>
            </w:pPr>
            <w:r>
              <w:rPr>
                <w:b/>
                <w:bCs/>
              </w:rPr>
              <w:t xml:space="preserve">Evidencia</w:t>
            </w:r>
          </w:p>
        </w:tc>
        <w:tc>
          <w:tcPr>
            <w:tcW w:type="dxa" w:w="4816"/>
            <w:shd w:fill="DFEAF0" w:val="clear"/>
            <w:tcMar>
              <w:top w:type="dxa" w:w="80"/>
              <w:left w:type="dxa" w:w="100"/>
              <w:bottom w:type="dxa" w:w="80"/>
              <w:right w:type="dxa" w:w="100"/>
            </w:tcMar>
          </w:tcPr>
          <w:p>
            <w:pPr>
              <w:pStyle w:val="Tabla"/>
            </w:pPr>
            <w:r>
              <w:rPr>
                <w:b/>
                <w:bCs/>
              </w:rPr>
              <w:t xml:space="preserve">Localizaciones</w:t>
            </w:r>
          </w:p>
        </w:tc>
      </w:tr>
      <w:tr>
        <w:trPr>
          <w:cantSplit/>
          <w:tblHeader w:val="off"/>
        </w:trPr>
        <w:tc>
          <w:tcPr>
            <w:tcW w:type="dxa" w:w="4816"/>
            <w:tcMar>
              <w:top w:type="dxa" w:w="80"/>
              <w:left w:type="dxa" w:w="100"/>
              <w:bottom w:type="dxa" w:w="80"/>
              <w:right w:type="dxa" w:w="100"/>
            </w:tcMar>
          </w:tcPr>
          <w:p>
            <w:pPr>
              <w:pStyle w:val="Tabla"/>
            </w:pPr>
            <w:r>
              <w:t xml:space="preserve">Presentaciones</w:t>
            </w:r>
          </w:p>
        </w:tc>
        <w:tc>
          <w:tcPr>
            <w:tcW w:type="dxa" w:w="4816"/>
            <w:tcMar>
              <w:top w:type="dxa" w:w="80"/>
              <w:left w:type="dxa" w:w="100"/>
              <w:bottom w:type="dxa" w:w="80"/>
              <w:right w:type="dxa" w:w="100"/>
            </w:tcMar>
          </w:tcPr>
          <w:p>
            <w:pPr>
              <w:pStyle w:val="Tabla"/>
            </w:pPr>
            <w:r>
              <w:t xml:space="preserve">C-2:3, C-2:5, C-2:6, C-2:7, C-2:8, C-2:9, C-2:10, C-2:11, C-2:12, C-2:13, C-2:16, C-2:17, C-2:18, C-2:19, C-2:20, C-2:23, C-2:24, C-2:25, C-2:26, C-2:27, C-2:28, C-2:29, C-2:30, C-2:31</w:t>
            </w:r>
          </w:p>
        </w:tc>
      </w:tr>
      <w:tr>
        <w:trPr>
          <w:cantSplit/>
          <w:tblHeader w:val="off"/>
        </w:trPr>
        <w:tc>
          <w:tcPr>
            <w:tcW w:type="dxa" w:w="4816"/>
            <w:tcMar>
              <w:top w:type="dxa" w:w="80"/>
              <w:left w:type="dxa" w:w="100"/>
              <w:bottom w:type="dxa" w:w="80"/>
              <w:right w:type="dxa" w:w="100"/>
            </w:tcMar>
          </w:tcPr>
          <w:p>
            <w:pPr>
              <w:pStyle w:val="Tabla"/>
            </w:pPr>
            <w:r>
              <w:t xml:space="preserve">Capítulos de clase</w:t>
            </w:r>
          </w:p>
        </w:tc>
        <w:tc>
          <w:tcPr>
            <w:tcW w:type="dxa" w:w="4816"/>
            <w:tcMar>
              <w:top w:type="dxa" w:w="80"/>
              <w:left w:type="dxa" w:w="100"/>
              <w:bottom w:type="dxa" w:w="80"/>
              <w:right w:type="dxa" w:w="100"/>
            </w:tcMar>
          </w:tcPr>
          <w:p>
            <w:pPr>
              <w:pStyle w:val="Tabla"/>
            </w:pPr>
            <w:r>
              <w:t xml:space="preserve">10:03, 10:04, 10:05, 10:06, 10:07, 10:08, 10:09, 10:10, 10:11, 10:12, 11:01, 11:02, 11:03, 11:05, 11:06, 11:08, 11:09, 11:10, 12:02, 12:03, 12:07, 14:07, 15:10</w:t>
            </w:r>
          </w:p>
        </w:tc>
      </w:tr>
      <w:tr>
        <w:trPr>
          <w:cantSplit/>
          <w:tblHeader w:val="off"/>
        </w:trPr>
        <w:tc>
          <w:tcPr>
            <w:tcW w:type="dxa" w:w="4816"/>
            <w:tcMar>
              <w:top w:type="dxa" w:w="80"/>
              <w:left w:type="dxa" w:w="100"/>
              <w:bottom w:type="dxa" w:w="80"/>
              <w:right w:type="dxa" w:w="100"/>
            </w:tcMar>
          </w:tcPr>
          <w:p>
            <w:pPr>
              <w:pStyle w:val="Tabla"/>
            </w:pPr>
            <w:r>
              <w:t xml:space="preserve">Práctica</w:t>
            </w:r>
          </w:p>
        </w:tc>
        <w:tc>
          <w:tcPr>
            <w:tcW w:type="dxa" w:w="4816"/>
            <w:tcMar>
              <w:top w:type="dxa" w:w="80"/>
              <w:left w:type="dxa" w:w="100"/>
              <w:bottom w:type="dxa" w:w="80"/>
              <w:right w:type="dxa" w:w="100"/>
            </w:tcMar>
          </w:tcPr>
          <w:p>
            <w:pPr>
              <w:pStyle w:val="Tabla"/>
            </w:pPr>
            <w:r>
              <w:t xml:space="preserve">28 autoevaluaciones; 0 ejercicios; 44 preguntas de exámenes y bancos.</w:t>
            </w:r>
          </w:p>
        </w:tc>
      </w:tr>
      <w:tr>
        <w:trPr>
          <w:cantSplit/>
          <w:tblHeader w:val="off"/>
        </w:trPr>
        <w:tc>
          <w:tcPr>
            <w:tcW w:type="dxa" w:w="4816"/>
            <w:tcMar>
              <w:top w:type="dxa" w:w="80"/>
              <w:left w:type="dxa" w:w="100"/>
              <w:bottom w:type="dxa" w:w="80"/>
              <w:right w:type="dxa" w:w="100"/>
            </w:tcMar>
          </w:tcPr>
          <w:p>
            <w:pPr>
              <w:pStyle w:val="Tabla"/>
            </w:pPr>
            <w:r>
              <w:t xml:space="preserve">Puntos verificados</w:t>
            </w:r>
          </w:p>
        </w:tc>
        <w:tc>
          <w:tcPr>
            <w:tcW w:type="dxa" w:w="4816"/>
            <w:tcMar>
              <w:top w:type="dxa" w:w="80"/>
              <w:left w:type="dxa" w:w="100"/>
              <w:bottom w:type="dxa" w:w="80"/>
              <w:right w:type="dxa" w:w="100"/>
            </w:tcMar>
          </w:tcPr>
          <w:p>
            <w:pPr>
              <w:pStyle w:val="Tabla"/>
            </w:pPr>
            <w:r>
              <w:t xml:space="preserve">198</w:t>
            </w:r>
          </w:p>
        </w:tc>
      </w:tr>
    </w:tbl>
    <w:p>
      <w:pPr>
        <w:pStyle w:val="Fuente"/>
      </w:pPr>
      <w:r>
        <w:t xml:space="preserve">Véase </w:t>
      </w:r>
      <w:hyperlink w:history="1" w:anchor="b_3_2">
        <w:r>
          <w:rPr>
            <w:color w:val="156B70"/>
            <w:u w:val="single"/>
          </w:rPr>
          <w:t xml:space="preserve">3.2 · Mapas DSRP generales</w:t>
        </w:r>
      </w:hyperlink>
      <w:r>
        <w:t xml:space="preserve">, pág. </w:t>
      </w:r>
      <w:r>
        <w:fldChar w:fldCharType="begin"/>
        <w:instrText xml:space="preserve">PAGEREF b_3_2 \h</w:instrText>
        <w:fldChar w:fldCharType="separate"/>
        <w:t xml:space="preserve">404</w:t>
        <w:fldChar w:fldCharType="end"/>
      </w:r>
      <w:r>
        <w:t xml:space="preserve">.</w:t>
      </w:r>
    </w:p>
    <w:p>
      <w:pPr>
        <w:pStyle w:val="Heading3"/>
      </w:pPr>
      <w:r>
        <w:t xml:space="preserve">3.3 · Diagramas de ciclos causales</w:t>
      </w:r>
    </w:p>
    <w:tbl>
      <w:tblPr>
        <w:tblW w:type="dxa" w:w="9632"/>
        <w:tblBorders>
          <w:top w:val="single" w:color="C5D5DB" w:sz="4"/>
          <w:left w:val="single" w:color="C5D5DB" w:sz="4"/>
          <w:bottom w:val="single" w:color="C5D5DB" w:sz="4"/>
          <w:right w:val="single" w:color="C5D5DB" w:sz="4"/>
          <w:insideH w:val="single" w:color="E4E9EB" w:sz="3"/>
          <w:insideV w:val="single" w:color="E4E9EB" w:sz="3"/>
        </w:tblBorders>
        <w:tblLayout w:type="fixed"/>
      </w:tblPr>
      <w:tblGrid>
        <w:gridCol w:w="4816"/>
        <w:gridCol w:w="4816"/>
      </w:tblGrid>
      <w:tr>
        <w:trPr>
          <w:cantSplit/>
          <w:tblHeader/>
        </w:trPr>
        <w:tc>
          <w:tcPr>
            <w:tcW w:type="dxa" w:w="4816"/>
            <w:shd w:fill="DFEAF0" w:val="clear"/>
            <w:tcMar>
              <w:top w:type="dxa" w:w="80"/>
              <w:left w:type="dxa" w:w="100"/>
              <w:bottom w:type="dxa" w:w="80"/>
              <w:right w:type="dxa" w:w="100"/>
            </w:tcMar>
          </w:tcPr>
          <w:p>
            <w:pPr>
              <w:pStyle w:val="Tabla"/>
            </w:pPr>
            <w:r>
              <w:rPr>
                <w:b/>
                <w:bCs/>
              </w:rPr>
              <w:t xml:space="preserve">Evidencia</w:t>
            </w:r>
          </w:p>
        </w:tc>
        <w:tc>
          <w:tcPr>
            <w:tcW w:type="dxa" w:w="4816"/>
            <w:shd w:fill="DFEAF0" w:val="clear"/>
            <w:tcMar>
              <w:top w:type="dxa" w:w="80"/>
              <w:left w:type="dxa" w:w="100"/>
              <w:bottom w:type="dxa" w:w="80"/>
              <w:right w:type="dxa" w:w="100"/>
            </w:tcMar>
          </w:tcPr>
          <w:p>
            <w:pPr>
              <w:pStyle w:val="Tabla"/>
            </w:pPr>
            <w:r>
              <w:rPr>
                <w:b/>
                <w:bCs/>
              </w:rPr>
              <w:t xml:space="preserve">Localizaciones</w:t>
            </w:r>
          </w:p>
        </w:tc>
      </w:tr>
      <w:tr>
        <w:trPr>
          <w:cantSplit/>
          <w:tblHeader w:val="off"/>
        </w:trPr>
        <w:tc>
          <w:tcPr>
            <w:tcW w:type="dxa" w:w="4816"/>
            <w:tcMar>
              <w:top w:type="dxa" w:w="80"/>
              <w:left w:type="dxa" w:w="100"/>
              <w:bottom w:type="dxa" w:w="80"/>
              <w:right w:type="dxa" w:w="100"/>
            </w:tcMar>
          </w:tcPr>
          <w:p>
            <w:pPr>
              <w:pStyle w:val="Tabla"/>
            </w:pPr>
            <w:r>
              <w:t xml:space="preserve">Presentaciones</w:t>
            </w:r>
          </w:p>
        </w:tc>
        <w:tc>
          <w:tcPr>
            <w:tcW w:type="dxa" w:w="4816"/>
            <w:tcMar>
              <w:top w:type="dxa" w:w="80"/>
              <w:left w:type="dxa" w:w="100"/>
              <w:bottom w:type="dxa" w:w="80"/>
              <w:right w:type="dxa" w:w="100"/>
            </w:tcMar>
          </w:tcPr>
          <w:p>
            <w:pPr>
              <w:pStyle w:val="Tabla"/>
            </w:pPr>
            <w:r>
              <w:t xml:space="preserve">C-2:36, C-2:37, C-2:44, C-2:45, C-2:46, C-2:47, C-2:48, C-2:49, C-2:51, C-2:54, C-2:75, C-2:77, C-2:79, C-2:85, C-2:86, C-2:92, C-2:93, C-2:101, C-2:106, C-2:124, C-2:125</w:t>
            </w:r>
          </w:p>
        </w:tc>
      </w:tr>
      <w:tr>
        <w:trPr>
          <w:cantSplit/>
          <w:tblHeader w:val="off"/>
        </w:trPr>
        <w:tc>
          <w:tcPr>
            <w:tcW w:type="dxa" w:w="4816"/>
            <w:tcMar>
              <w:top w:type="dxa" w:w="80"/>
              <w:left w:type="dxa" w:w="100"/>
              <w:bottom w:type="dxa" w:w="80"/>
              <w:right w:type="dxa" w:w="100"/>
            </w:tcMar>
          </w:tcPr>
          <w:p>
            <w:pPr>
              <w:pStyle w:val="Tabla"/>
            </w:pPr>
            <w:r>
              <w:t xml:space="preserve">Capítulos de clase</w:t>
            </w:r>
          </w:p>
        </w:tc>
        <w:tc>
          <w:tcPr>
            <w:tcW w:type="dxa" w:w="4816"/>
            <w:tcMar>
              <w:top w:type="dxa" w:w="80"/>
              <w:left w:type="dxa" w:w="100"/>
              <w:bottom w:type="dxa" w:w="80"/>
              <w:right w:type="dxa" w:w="100"/>
            </w:tcMar>
          </w:tcPr>
          <w:p>
            <w:pPr>
              <w:pStyle w:val="Tabla"/>
            </w:pPr>
            <w:r>
              <w:t xml:space="preserve">10:07, 12:06, 13:04, 13:05, 13:08, 13:09, 14:03, 14:04, 14:05, 14:06, 15:02, 15:03, 16:01, 16:03, 16:04, 16:05, 16:08, 16:09, 16:10, 16:11</w:t>
            </w:r>
          </w:p>
        </w:tc>
      </w:tr>
      <w:tr>
        <w:trPr>
          <w:cantSplit/>
          <w:tblHeader w:val="off"/>
        </w:trPr>
        <w:tc>
          <w:tcPr>
            <w:tcW w:type="dxa" w:w="4816"/>
            <w:tcMar>
              <w:top w:type="dxa" w:w="80"/>
              <w:left w:type="dxa" w:w="100"/>
              <w:bottom w:type="dxa" w:w="80"/>
              <w:right w:type="dxa" w:w="100"/>
            </w:tcMar>
          </w:tcPr>
          <w:p>
            <w:pPr>
              <w:pStyle w:val="Tabla"/>
            </w:pPr>
            <w:r>
              <w:t xml:space="preserve">Práctica</w:t>
            </w:r>
          </w:p>
        </w:tc>
        <w:tc>
          <w:tcPr>
            <w:tcW w:type="dxa" w:w="4816"/>
            <w:tcMar>
              <w:top w:type="dxa" w:w="80"/>
              <w:left w:type="dxa" w:w="100"/>
              <w:bottom w:type="dxa" w:w="80"/>
              <w:right w:type="dxa" w:w="100"/>
            </w:tcMar>
          </w:tcPr>
          <w:p>
            <w:pPr>
              <w:pStyle w:val="Tabla"/>
            </w:pPr>
            <w:r>
              <w:t xml:space="preserve">16 autoevaluaciones; 2 ejercicios; 34 preguntas de exámenes y bancos.</w:t>
            </w:r>
          </w:p>
        </w:tc>
      </w:tr>
      <w:tr>
        <w:trPr>
          <w:cantSplit/>
          <w:tblHeader w:val="off"/>
        </w:trPr>
        <w:tc>
          <w:tcPr>
            <w:tcW w:type="dxa" w:w="4816"/>
            <w:tcMar>
              <w:top w:type="dxa" w:w="80"/>
              <w:left w:type="dxa" w:w="100"/>
              <w:bottom w:type="dxa" w:w="80"/>
              <w:right w:type="dxa" w:w="100"/>
            </w:tcMar>
          </w:tcPr>
          <w:p>
            <w:pPr>
              <w:pStyle w:val="Tabla"/>
            </w:pPr>
            <w:r>
              <w:t xml:space="preserve">Puntos verificados</w:t>
            </w:r>
          </w:p>
        </w:tc>
        <w:tc>
          <w:tcPr>
            <w:tcW w:type="dxa" w:w="4816"/>
            <w:tcMar>
              <w:top w:type="dxa" w:w="80"/>
              <w:left w:type="dxa" w:w="100"/>
              <w:bottom w:type="dxa" w:w="80"/>
              <w:right w:type="dxa" w:w="100"/>
            </w:tcMar>
          </w:tcPr>
          <w:p>
            <w:pPr>
              <w:pStyle w:val="Tabla"/>
            </w:pPr>
            <w:r>
              <w:t xml:space="preserve">129</w:t>
            </w:r>
          </w:p>
        </w:tc>
      </w:tr>
    </w:tbl>
    <w:p>
      <w:pPr>
        <w:pStyle w:val="Fuente"/>
      </w:pPr>
      <w:r>
        <w:t xml:space="preserve">Véase </w:t>
      </w:r>
      <w:hyperlink w:history="1" w:anchor="b_3_3">
        <w:r>
          <w:rPr>
            <w:color w:val="156B70"/>
            <w:u w:val="single"/>
          </w:rPr>
          <w:t xml:space="preserve">3.3 · Diagramas de ciclos causales</w:t>
        </w:r>
      </w:hyperlink>
      <w:r>
        <w:t xml:space="preserve">, pág. </w:t>
      </w:r>
      <w:r>
        <w:fldChar w:fldCharType="begin"/>
        <w:instrText xml:space="preserve">PAGEREF b_3_3 \h</w:instrText>
        <w:fldChar w:fldCharType="separate"/>
        <w:t xml:space="preserve">443</w:t>
        <w:fldChar w:fldCharType="end"/>
      </w:r>
      <w:r>
        <w:t xml:space="preserve">.</w:t>
      </w:r>
    </w:p>
    <w:p>
      <w:pPr>
        <w:pStyle w:val="Heading3"/>
      </w:pPr>
      <w:r>
        <w:t xml:space="preserve">3.4 · Interdependencias sistémicas</w:t>
      </w:r>
    </w:p>
    <w:tbl>
      <w:tblPr>
        <w:tblW w:type="dxa" w:w="9632"/>
        <w:tblBorders>
          <w:top w:val="single" w:color="C5D5DB" w:sz="4"/>
          <w:left w:val="single" w:color="C5D5DB" w:sz="4"/>
          <w:bottom w:val="single" w:color="C5D5DB" w:sz="4"/>
          <w:right w:val="single" w:color="C5D5DB" w:sz="4"/>
          <w:insideH w:val="single" w:color="E4E9EB" w:sz="3"/>
          <w:insideV w:val="single" w:color="E4E9EB" w:sz="3"/>
        </w:tblBorders>
        <w:tblLayout w:type="fixed"/>
      </w:tblPr>
      <w:tblGrid>
        <w:gridCol w:w="4816"/>
        <w:gridCol w:w="4816"/>
      </w:tblGrid>
      <w:tr>
        <w:trPr>
          <w:cantSplit/>
          <w:tblHeader/>
        </w:trPr>
        <w:tc>
          <w:tcPr>
            <w:tcW w:type="dxa" w:w="4816"/>
            <w:shd w:fill="DFEAF0" w:val="clear"/>
            <w:tcMar>
              <w:top w:type="dxa" w:w="80"/>
              <w:left w:type="dxa" w:w="100"/>
              <w:bottom w:type="dxa" w:w="80"/>
              <w:right w:type="dxa" w:w="100"/>
            </w:tcMar>
          </w:tcPr>
          <w:p>
            <w:pPr>
              <w:pStyle w:val="Tabla"/>
            </w:pPr>
            <w:r>
              <w:rPr>
                <w:b/>
                <w:bCs/>
              </w:rPr>
              <w:t xml:space="preserve">Evidencia</w:t>
            </w:r>
          </w:p>
        </w:tc>
        <w:tc>
          <w:tcPr>
            <w:tcW w:type="dxa" w:w="4816"/>
            <w:shd w:fill="DFEAF0" w:val="clear"/>
            <w:tcMar>
              <w:top w:type="dxa" w:w="80"/>
              <w:left w:type="dxa" w:w="100"/>
              <w:bottom w:type="dxa" w:w="80"/>
              <w:right w:type="dxa" w:w="100"/>
            </w:tcMar>
          </w:tcPr>
          <w:p>
            <w:pPr>
              <w:pStyle w:val="Tabla"/>
            </w:pPr>
            <w:r>
              <w:rPr>
                <w:b/>
                <w:bCs/>
              </w:rPr>
              <w:t xml:space="preserve">Localizaciones</w:t>
            </w:r>
          </w:p>
        </w:tc>
      </w:tr>
      <w:tr>
        <w:trPr>
          <w:cantSplit/>
          <w:tblHeader w:val="off"/>
        </w:trPr>
        <w:tc>
          <w:tcPr>
            <w:tcW w:type="dxa" w:w="4816"/>
            <w:tcMar>
              <w:top w:type="dxa" w:w="80"/>
              <w:left w:type="dxa" w:w="100"/>
              <w:bottom w:type="dxa" w:w="80"/>
              <w:right w:type="dxa" w:w="100"/>
            </w:tcMar>
          </w:tcPr>
          <w:p>
            <w:pPr>
              <w:pStyle w:val="Tabla"/>
            </w:pPr>
            <w:r>
              <w:t xml:space="preserve">Presentaciones</w:t>
            </w:r>
          </w:p>
        </w:tc>
        <w:tc>
          <w:tcPr>
            <w:tcW w:type="dxa" w:w="4816"/>
            <w:tcMar>
              <w:top w:type="dxa" w:w="80"/>
              <w:left w:type="dxa" w:w="100"/>
              <w:bottom w:type="dxa" w:w="80"/>
              <w:right w:type="dxa" w:w="100"/>
            </w:tcMar>
          </w:tcPr>
          <w:p>
            <w:pPr>
              <w:pStyle w:val="Tabla"/>
            </w:pPr>
            <w:r>
              <w:t xml:space="preserve">C-2:35, C-2:38, C-2:42, C-2:43, C-2:45, C-2:47, C-2:52, C-2:53, C-2:55, C-2:73, C-2:76, C-2:79, C-2:80, C-2:85</w:t>
            </w:r>
          </w:p>
        </w:tc>
      </w:tr>
      <w:tr>
        <w:trPr>
          <w:cantSplit/>
          <w:tblHeader w:val="off"/>
        </w:trPr>
        <w:tc>
          <w:tcPr>
            <w:tcW w:type="dxa" w:w="4816"/>
            <w:tcMar>
              <w:top w:type="dxa" w:w="80"/>
              <w:left w:type="dxa" w:w="100"/>
              <w:bottom w:type="dxa" w:w="80"/>
              <w:right w:type="dxa" w:w="100"/>
            </w:tcMar>
          </w:tcPr>
          <w:p>
            <w:pPr>
              <w:pStyle w:val="Tabla"/>
            </w:pPr>
            <w:r>
              <w:t xml:space="preserve">Capítulos de clase</w:t>
            </w:r>
          </w:p>
        </w:tc>
        <w:tc>
          <w:tcPr>
            <w:tcW w:type="dxa" w:w="4816"/>
            <w:tcMar>
              <w:top w:type="dxa" w:w="80"/>
              <w:left w:type="dxa" w:w="100"/>
              <w:bottom w:type="dxa" w:w="80"/>
              <w:right w:type="dxa" w:w="100"/>
            </w:tcMar>
          </w:tcPr>
          <w:p>
            <w:pPr>
              <w:pStyle w:val="Tabla"/>
            </w:pPr>
            <w:r>
              <w:t xml:space="preserve">10:02, 10:09, 11:10, 12:05, 12:06, 12:07, 12:08, 12:09, 12:10, 13:02, 13:03, 13:04, 13:06, 13:07, 13:09, 13:10, 14:02, 14:10, 15:09</w:t>
            </w:r>
          </w:p>
        </w:tc>
      </w:tr>
      <w:tr>
        <w:trPr>
          <w:cantSplit/>
          <w:tblHeader w:val="off"/>
        </w:trPr>
        <w:tc>
          <w:tcPr>
            <w:tcW w:type="dxa" w:w="4816"/>
            <w:tcMar>
              <w:top w:type="dxa" w:w="80"/>
              <w:left w:type="dxa" w:w="100"/>
              <w:bottom w:type="dxa" w:w="80"/>
              <w:right w:type="dxa" w:w="100"/>
            </w:tcMar>
          </w:tcPr>
          <w:p>
            <w:pPr>
              <w:pStyle w:val="Tabla"/>
            </w:pPr>
            <w:r>
              <w:t xml:space="preserve">Práctica</w:t>
            </w:r>
          </w:p>
        </w:tc>
        <w:tc>
          <w:tcPr>
            <w:tcW w:type="dxa" w:w="4816"/>
            <w:tcMar>
              <w:top w:type="dxa" w:w="80"/>
              <w:left w:type="dxa" w:w="100"/>
              <w:bottom w:type="dxa" w:w="80"/>
              <w:right w:type="dxa" w:w="100"/>
            </w:tcMar>
          </w:tcPr>
          <w:p>
            <w:pPr>
              <w:pStyle w:val="Tabla"/>
            </w:pPr>
            <w:r>
              <w:t xml:space="preserve">11 autoevaluaciones; 2 ejercicios; 18 preguntas de exámenes y bancos.</w:t>
            </w:r>
          </w:p>
        </w:tc>
      </w:tr>
      <w:tr>
        <w:trPr>
          <w:cantSplit/>
          <w:tblHeader w:val="off"/>
        </w:trPr>
        <w:tc>
          <w:tcPr>
            <w:tcW w:type="dxa" w:w="4816"/>
            <w:tcMar>
              <w:top w:type="dxa" w:w="80"/>
              <w:left w:type="dxa" w:w="100"/>
              <w:bottom w:type="dxa" w:w="80"/>
              <w:right w:type="dxa" w:w="100"/>
            </w:tcMar>
          </w:tcPr>
          <w:p>
            <w:pPr>
              <w:pStyle w:val="Tabla"/>
            </w:pPr>
            <w:r>
              <w:t xml:space="preserve">Puntos verificados</w:t>
            </w:r>
          </w:p>
        </w:tc>
        <w:tc>
          <w:tcPr>
            <w:tcW w:type="dxa" w:w="4816"/>
            <w:tcMar>
              <w:top w:type="dxa" w:w="80"/>
              <w:left w:type="dxa" w:w="100"/>
              <w:bottom w:type="dxa" w:w="80"/>
              <w:right w:type="dxa" w:w="100"/>
            </w:tcMar>
          </w:tcPr>
          <w:p>
            <w:pPr>
              <w:pStyle w:val="Tabla"/>
            </w:pPr>
            <w:r>
              <w:t xml:space="preserve">81</w:t>
            </w:r>
          </w:p>
        </w:tc>
      </w:tr>
    </w:tbl>
    <w:p>
      <w:pPr>
        <w:pStyle w:val="Fuente"/>
      </w:pPr>
      <w:r>
        <w:t xml:space="preserve">Véase </w:t>
      </w:r>
      <w:hyperlink w:history="1" w:anchor="b_3_4">
        <w:r>
          <w:rPr>
            <w:color w:val="156B70"/>
            <w:u w:val="single"/>
          </w:rPr>
          <w:t xml:space="preserve">3.4 · Interdependencias sistémicas</w:t>
        </w:r>
      </w:hyperlink>
      <w:r>
        <w:t xml:space="preserve">, pág. </w:t>
      </w:r>
      <w:r>
        <w:fldChar w:fldCharType="begin"/>
        <w:instrText xml:space="preserve">PAGEREF b_3_4 \h</w:instrText>
        <w:fldChar w:fldCharType="separate"/>
        <w:t xml:space="preserve">476</w:t>
        <w:fldChar w:fldCharType="end"/>
      </w:r>
      <w:r>
        <w:t xml:space="preserve">.</w:t>
      </w:r>
    </w:p>
    <w:p>
      <w:pPr>
        <w:pStyle w:val="Heading3"/>
      </w:pPr>
      <w:r>
        <w:t xml:space="preserve">3.5 · Refuerzo y compensación</w:t>
      </w:r>
    </w:p>
    <w:tbl>
      <w:tblPr>
        <w:tblW w:type="dxa" w:w="9632"/>
        <w:tblBorders>
          <w:top w:val="single" w:color="C5D5DB" w:sz="4"/>
          <w:left w:val="single" w:color="C5D5DB" w:sz="4"/>
          <w:bottom w:val="single" w:color="C5D5DB" w:sz="4"/>
          <w:right w:val="single" w:color="C5D5DB" w:sz="4"/>
          <w:insideH w:val="single" w:color="E4E9EB" w:sz="3"/>
          <w:insideV w:val="single" w:color="E4E9EB" w:sz="3"/>
        </w:tblBorders>
        <w:tblLayout w:type="fixed"/>
      </w:tblPr>
      <w:tblGrid>
        <w:gridCol w:w="4816"/>
        <w:gridCol w:w="4816"/>
      </w:tblGrid>
      <w:tr>
        <w:trPr>
          <w:cantSplit/>
          <w:tblHeader/>
        </w:trPr>
        <w:tc>
          <w:tcPr>
            <w:tcW w:type="dxa" w:w="4816"/>
            <w:shd w:fill="DFEAF0" w:val="clear"/>
            <w:tcMar>
              <w:top w:type="dxa" w:w="80"/>
              <w:left w:type="dxa" w:w="100"/>
              <w:bottom w:type="dxa" w:w="80"/>
              <w:right w:type="dxa" w:w="100"/>
            </w:tcMar>
          </w:tcPr>
          <w:p>
            <w:pPr>
              <w:pStyle w:val="Tabla"/>
            </w:pPr>
            <w:r>
              <w:rPr>
                <w:b/>
                <w:bCs/>
              </w:rPr>
              <w:t xml:space="preserve">Evidencia</w:t>
            </w:r>
          </w:p>
        </w:tc>
        <w:tc>
          <w:tcPr>
            <w:tcW w:type="dxa" w:w="4816"/>
            <w:shd w:fill="DFEAF0" w:val="clear"/>
            <w:tcMar>
              <w:top w:type="dxa" w:w="80"/>
              <w:left w:type="dxa" w:w="100"/>
              <w:bottom w:type="dxa" w:w="80"/>
              <w:right w:type="dxa" w:w="100"/>
            </w:tcMar>
          </w:tcPr>
          <w:p>
            <w:pPr>
              <w:pStyle w:val="Tabla"/>
            </w:pPr>
            <w:r>
              <w:rPr>
                <w:b/>
                <w:bCs/>
              </w:rPr>
              <w:t xml:space="preserve">Localizaciones</w:t>
            </w:r>
          </w:p>
        </w:tc>
      </w:tr>
      <w:tr>
        <w:trPr>
          <w:cantSplit/>
          <w:tblHeader w:val="off"/>
        </w:trPr>
        <w:tc>
          <w:tcPr>
            <w:tcW w:type="dxa" w:w="4816"/>
            <w:tcMar>
              <w:top w:type="dxa" w:w="80"/>
              <w:left w:type="dxa" w:w="100"/>
              <w:bottom w:type="dxa" w:w="80"/>
              <w:right w:type="dxa" w:w="100"/>
            </w:tcMar>
          </w:tcPr>
          <w:p>
            <w:pPr>
              <w:pStyle w:val="Tabla"/>
            </w:pPr>
            <w:r>
              <w:t xml:space="preserve">Presentaciones</w:t>
            </w:r>
          </w:p>
        </w:tc>
        <w:tc>
          <w:tcPr>
            <w:tcW w:type="dxa" w:w="4816"/>
            <w:tcMar>
              <w:top w:type="dxa" w:w="80"/>
              <w:left w:type="dxa" w:w="100"/>
              <w:bottom w:type="dxa" w:w="80"/>
              <w:right w:type="dxa" w:w="100"/>
            </w:tcMar>
          </w:tcPr>
          <w:p>
            <w:pPr>
              <w:pStyle w:val="Tabla"/>
            </w:pPr>
            <w:r>
              <w:t xml:space="preserve">C-2:74, C-2:75, C-2:76, C-2:77, C-2:78, C-2:80, C-2:81, C-2:84, C-2:85, C-2:87, C-2:93, C-2:94, C-2:100, C-2:101, C-2:102, C-2:103, C-2:109, C-2:114, C-2:115, C-2:116, C-2:117, C-2:118, C-2:119, C-2:126, C-2:127, C-2:128, C-2:129</w:t>
            </w:r>
          </w:p>
        </w:tc>
      </w:tr>
      <w:tr>
        <w:trPr>
          <w:cantSplit/>
          <w:tblHeader w:val="off"/>
        </w:trPr>
        <w:tc>
          <w:tcPr>
            <w:tcW w:type="dxa" w:w="4816"/>
            <w:tcMar>
              <w:top w:type="dxa" w:w="80"/>
              <w:left w:type="dxa" w:w="100"/>
              <w:bottom w:type="dxa" w:w="80"/>
              <w:right w:type="dxa" w:w="100"/>
            </w:tcMar>
          </w:tcPr>
          <w:p>
            <w:pPr>
              <w:pStyle w:val="Tabla"/>
            </w:pPr>
            <w:r>
              <w:t xml:space="preserve">Capítulos de clase</w:t>
            </w:r>
          </w:p>
        </w:tc>
        <w:tc>
          <w:tcPr>
            <w:tcW w:type="dxa" w:w="4816"/>
            <w:tcMar>
              <w:top w:type="dxa" w:w="80"/>
              <w:left w:type="dxa" w:w="100"/>
              <w:bottom w:type="dxa" w:w="80"/>
              <w:right w:type="dxa" w:w="100"/>
            </w:tcMar>
          </w:tcPr>
          <w:p>
            <w:pPr>
              <w:pStyle w:val="Tabla"/>
            </w:pPr>
            <w:r>
              <w:t xml:space="preserve">13:05, 13:07, 13:08, 13:10, 14:02, 14:03, 14:04, 14:06, 14:07, 14:08, 14:09, 14:10, 15:02, 15:04, 15:08, 15:09, 16:04, 16:05</w:t>
            </w:r>
          </w:p>
        </w:tc>
      </w:tr>
      <w:tr>
        <w:trPr>
          <w:cantSplit/>
          <w:tblHeader w:val="off"/>
        </w:trPr>
        <w:tc>
          <w:tcPr>
            <w:tcW w:type="dxa" w:w="4816"/>
            <w:tcMar>
              <w:top w:type="dxa" w:w="80"/>
              <w:left w:type="dxa" w:w="100"/>
              <w:bottom w:type="dxa" w:w="80"/>
              <w:right w:type="dxa" w:w="100"/>
            </w:tcMar>
          </w:tcPr>
          <w:p>
            <w:pPr>
              <w:pStyle w:val="Tabla"/>
            </w:pPr>
            <w:r>
              <w:t xml:space="preserve">Práctica</w:t>
            </w:r>
          </w:p>
        </w:tc>
        <w:tc>
          <w:tcPr>
            <w:tcW w:type="dxa" w:w="4816"/>
            <w:tcMar>
              <w:top w:type="dxa" w:w="80"/>
              <w:left w:type="dxa" w:w="100"/>
              <w:bottom w:type="dxa" w:w="80"/>
              <w:right w:type="dxa" w:w="100"/>
            </w:tcMar>
          </w:tcPr>
          <w:p>
            <w:pPr>
              <w:pStyle w:val="Tabla"/>
            </w:pPr>
            <w:r>
              <w:t xml:space="preserve">18 autoevaluaciones; 1 ejercicios; 65 preguntas de exámenes y bancos.</w:t>
            </w:r>
          </w:p>
        </w:tc>
      </w:tr>
      <w:tr>
        <w:trPr>
          <w:cantSplit/>
          <w:tblHeader w:val="off"/>
        </w:trPr>
        <w:tc>
          <w:tcPr>
            <w:tcW w:type="dxa" w:w="4816"/>
            <w:tcMar>
              <w:top w:type="dxa" w:w="80"/>
              <w:left w:type="dxa" w:w="100"/>
              <w:bottom w:type="dxa" w:w="80"/>
              <w:right w:type="dxa" w:w="100"/>
            </w:tcMar>
          </w:tcPr>
          <w:p>
            <w:pPr>
              <w:pStyle w:val="Tabla"/>
            </w:pPr>
            <w:r>
              <w:t xml:space="preserve">Puntos verificados</w:t>
            </w:r>
          </w:p>
        </w:tc>
        <w:tc>
          <w:tcPr>
            <w:tcW w:type="dxa" w:w="4816"/>
            <w:tcMar>
              <w:top w:type="dxa" w:w="80"/>
              <w:left w:type="dxa" w:w="100"/>
              <w:bottom w:type="dxa" w:w="80"/>
              <w:right w:type="dxa" w:w="100"/>
            </w:tcMar>
          </w:tcPr>
          <w:p>
            <w:pPr>
              <w:pStyle w:val="Tabla"/>
            </w:pPr>
            <w:r>
              <w:t xml:space="preserve">121</w:t>
            </w:r>
          </w:p>
        </w:tc>
      </w:tr>
    </w:tbl>
    <w:p>
      <w:pPr>
        <w:pStyle w:val="Fuente"/>
      </w:pPr>
      <w:r>
        <w:t xml:space="preserve">Véase </w:t>
      </w:r>
      <w:hyperlink w:history="1" w:anchor="b_3_5">
        <w:r>
          <w:rPr>
            <w:color w:val="156B70"/>
            <w:u w:val="single"/>
          </w:rPr>
          <w:t xml:space="preserve">3.5 · Refuerzo y compensación</w:t>
        </w:r>
      </w:hyperlink>
      <w:r>
        <w:t xml:space="preserve">, pág. </w:t>
      </w:r>
      <w:r>
        <w:fldChar w:fldCharType="begin"/>
        <w:instrText xml:space="preserve">PAGEREF b_3_5 \h</w:instrText>
        <w:fldChar w:fldCharType="separate"/>
        <w:t xml:space="preserve">501</w:t>
        <w:fldChar w:fldCharType="end"/>
      </w:r>
      <w:r>
        <w:t xml:space="preserve">.</w:t>
      </w:r>
    </w:p>
    <w:p>
      <w:pPr>
        <w:pStyle w:val="Heading3"/>
      </w:pPr>
      <w:r>
        <w:t xml:space="preserve">3.6 · Modelación dinámica</w:t>
      </w:r>
    </w:p>
    <w:tbl>
      <w:tblPr>
        <w:tblW w:type="dxa" w:w="9632"/>
        <w:tblBorders>
          <w:top w:val="single" w:color="C5D5DB" w:sz="4"/>
          <w:left w:val="single" w:color="C5D5DB" w:sz="4"/>
          <w:bottom w:val="single" w:color="C5D5DB" w:sz="4"/>
          <w:right w:val="single" w:color="C5D5DB" w:sz="4"/>
          <w:insideH w:val="single" w:color="E4E9EB" w:sz="3"/>
          <w:insideV w:val="single" w:color="E4E9EB" w:sz="3"/>
        </w:tblBorders>
        <w:tblLayout w:type="fixed"/>
      </w:tblPr>
      <w:tblGrid>
        <w:gridCol w:w="4816"/>
        <w:gridCol w:w="4816"/>
      </w:tblGrid>
      <w:tr>
        <w:trPr>
          <w:cantSplit/>
          <w:tblHeader/>
        </w:trPr>
        <w:tc>
          <w:tcPr>
            <w:tcW w:type="dxa" w:w="4816"/>
            <w:shd w:fill="DFEAF0" w:val="clear"/>
            <w:tcMar>
              <w:top w:type="dxa" w:w="80"/>
              <w:left w:type="dxa" w:w="100"/>
              <w:bottom w:type="dxa" w:w="80"/>
              <w:right w:type="dxa" w:w="100"/>
            </w:tcMar>
          </w:tcPr>
          <w:p>
            <w:pPr>
              <w:pStyle w:val="Tabla"/>
            </w:pPr>
            <w:r>
              <w:rPr>
                <w:b/>
                <w:bCs/>
              </w:rPr>
              <w:t xml:space="preserve">Evidencia</w:t>
            </w:r>
          </w:p>
        </w:tc>
        <w:tc>
          <w:tcPr>
            <w:tcW w:type="dxa" w:w="4816"/>
            <w:shd w:fill="DFEAF0" w:val="clear"/>
            <w:tcMar>
              <w:top w:type="dxa" w:w="80"/>
              <w:left w:type="dxa" w:w="100"/>
              <w:bottom w:type="dxa" w:w="80"/>
              <w:right w:type="dxa" w:w="100"/>
            </w:tcMar>
          </w:tcPr>
          <w:p>
            <w:pPr>
              <w:pStyle w:val="Tabla"/>
            </w:pPr>
            <w:r>
              <w:rPr>
                <w:b/>
                <w:bCs/>
              </w:rPr>
              <w:t xml:space="preserve">Localizaciones</w:t>
            </w:r>
          </w:p>
        </w:tc>
      </w:tr>
      <w:tr>
        <w:trPr>
          <w:cantSplit/>
          <w:tblHeader w:val="off"/>
        </w:trPr>
        <w:tc>
          <w:tcPr>
            <w:tcW w:type="dxa" w:w="4816"/>
            <w:tcMar>
              <w:top w:type="dxa" w:w="80"/>
              <w:left w:type="dxa" w:w="100"/>
              <w:bottom w:type="dxa" w:w="80"/>
              <w:right w:type="dxa" w:w="100"/>
            </w:tcMar>
          </w:tcPr>
          <w:p>
            <w:pPr>
              <w:pStyle w:val="Tabla"/>
            </w:pPr>
            <w:r>
              <w:t xml:space="preserve">Presentaciones</w:t>
            </w:r>
          </w:p>
        </w:tc>
        <w:tc>
          <w:tcPr>
            <w:tcW w:type="dxa" w:w="4816"/>
            <w:tcMar>
              <w:top w:type="dxa" w:w="80"/>
              <w:left w:type="dxa" w:w="100"/>
              <w:bottom w:type="dxa" w:w="80"/>
              <w:right w:type="dxa" w:w="100"/>
            </w:tcMar>
          </w:tcPr>
          <w:p>
            <w:pPr>
              <w:pStyle w:val="Tabla"/>
            </w:pPr>
            <w:r>
              <w:t xml:space="preserve">C-2:55, C-2:56, C-2:57, C-2:58, C-2:59, C-2:60, C-2:61, C-2:62, C-2:63, C-2:64, C-2:65, C-2:66, C-2:67, C-2:68, C-2:69, C-2:70, C-2:71, C-2:73, C-2:76, C-2:88, C-2:89, C-2:90, C-2:91, C-2:92, C-2:99</w:t>
            </w:r>
          </w:p>
        </w:tc>
      </w:tr>
      <w:tr>
        <w:trPr>
          <w:cantSplit/>
          <w:tblHeader w:val="off"/>
        </w:trPr>
        <w:tc>
          <w:tcPr>
            <w:tcW w:type="dxa" w:w="4816"/>
            <w:tcMar>
              <w:top w:type="dxa" w:w="80"/>
              <w:left w:type="dxa" w:w="100"/>
              <w:bottom w:type="dxa" w:w="80"/>
              <w:right w:type="dxa" w:w="100"/>
            </w:tcMar>
          </w:tcPr>
          <w:p>
            <w:pPr>
              <w:pStyle w:val="Tabla"/>
            </w:pPr>
            <w:r>
              <w:t xml:space="preserve">Capítulos de clase</w:t>
            </w:r>
          </w:p>
        </w:tc>
        <w:tc>
          <w:tcPr>
            <w:tcW w:type="dxa" w:w="4816"/>
            <w:tcMar>
              <w:top w:type="dxa" w:w="80"/>
              <w:left w:type="dxa" w:w="100"/>
              <w:bottom w:type="dxa" w:w="80"/>
              <w:right w:type="dxa" w:w="100"/>
            </w:tcMar>
          </w:tcPr>
          <w:p>
            <w:pPr>
              <w:pStyle w:val="Tabla"/>
            </w:pPr>
            <w:r>
              <w:t xml:space="preserve">15:05, 15:06, 15:07, 15:08, 15:09, 15:10, 16:01, 16:02, 16:03, 16:06</w:t>
            </w:r>
          </w:p>
        </w:tc>
      </w:tr>
      <w:tr>
        <w:trPr>
          <w:cantSplit/>
          <w:tblHeader w:val="off"/>
        </w:trPr>
        <w:tc>
          <w:tcPr>
            <w:tcW w:type="dxa" w:w="4816"/>
            <w:tcMar>
              <w:top w:type="dxa" w:w="80"/>
              <w:left w:type="dxa" w:w="100"/>
              <w:bottom w:type="dxa" w:w="80"/>
              <w:right w:type="dxa" w:w="100"/>
            </w:tcMar>
          </w:tcPr>
          <w:p>
            <w:pPr>
              <w:pStyle w:val="Tabla"/>
            </w:pPr>
            <w:r>
              <w:t xml:space="preserve">Práctica</w:t>
            </w:r>
          </w:p>
        </w:tc>
        <w:tc>
          <w:tcPr>
            <w:tcW w:type="dxa" w:w="4816"/>
            <w:tcMar>
              <w:top w:type="dxa" w:w="80"/>
              <w:left w:type="dxa" w:w="100"/>
              <w:bottom w:type="dxa" w:w="80"/>
              <w:right w:type="dxa" w:w="100"/>
            </w:tcMar>
          </w:tcPr>
          <w:p>
            <w:pPr>
              <w:pStyle w:val="Tabla"/>
            </w:pPr>
            <w:r>
              <w:t xml:space="preserve">24 autoevaluaciones; 0 ejercicios; 42 preguntas de exámenes y bancos.</w:t>
            </w:r>
          </w:p>
        </w:tc>
      </w:tr>
      <w:tr>
        <w:trPr>
          <w:cantSplit/>
          <w:tblHeader w:val="off"/>
        </w:trPr>
        <w:tc>
          <w:tcPr>
            <w:tcW w:type="dxa" w:w="4816"/>
            <w:tcMar>
              <w:top w:type="dxa" w:w="80"/>
              <w:left w:type="dxa" w:w="100"/>
              <w:bottom w:type="dxa" w:w="80"/>
              <w:right w:type="dxa" w:w="100"/>
            </w:tcMar>
          </w:tcPr>
          <w:p>
            <w:pPr>
              <w:pStyle w:val="Tabla"/>
            </w:pPr>
            <w:r>
              <w:t xml:space="preserve">Puntos verificados</w:t>
            </w:r>
          </w:p>
        </w:tc>
        <w:tc>
          <w:tcPr>
            <w:tcW w:type="dxa" w:w="4816"/>
            <w:tcMar>
              <w:top w:type="dxa" w:w="80"/>
              <w:left w:type="dxa" w:w="100"/>
              <w:bottom w:type="dxa" w:w="80"/>
              <w:right w:type="dxa" w:w="100"/>
            </w:tcMar>
          </w:tcPr>
          <w:p>
            <w:pPr>
              <w:pStyle w:val="Tabla"/>
            </w:pPr>
            <w:r>
              <w:t xml:space="preserve">86</w:t>
            </w:r>
          </w:p>
        </w:tc>
      </w:tr>
    </w:tbl>
    <w:p>
      <w:pPr>
        <w:pStyle w:val="Fuente"/>
      </w:pPr>
      <w:r>
        <w:t xml:space="preserve">Véase </w:t>
      </w:r>
      <w:hyperlink w:history="1" w:anchor="b_3_6">
        <w:r>
          <w:rPr>
            <w:color w:val="156B70"/>
            <w:u w:val="single"/>
          </w:rPr>
          <w:t xml:space="preserve">3.6 · Modelación dinámica</w:t>
        </w:r>
      </w:hyperlink>
      <w:r>
        <w:t xml:space="preserve">, pág. </w:t>
      </w:r>
      <w:r>
        <w:fldChar w:fldCharType="begin"/>
        <w:instrText xml:space="preserve">PAGEREF b_3_6 \h</w:instrText>
        <w:fldChar w:fldCharType="separate"/>
        <w:t xml:space="preserve">537</w:t>
        <w:fldChar w:fldCharType="end"/>
      </w:r>
      <w:r>
        <w:t xml:space="preserve">.</w:t>
      </w:r>
    </w:p>
    <w:p>
      <w:pPr>
        <w:pStyle w:val="Heading3"/>
      </w:pPr>
      <w:r>
        <w:t xml:space="preserve">3.7 · Demoras de tiempo</w:t>
      </w:r>
    </w:p>
    <w:tbl>
      <w:tblPr>
        <w:tblW w:type="dxa" w:w="9632"/>
        <w:tblBorders>
          <w:top w:val="single" w:color="C5D5DB" w:sz="4"/>
          <w:left w:val="single" w:color="C5D5DB" w:sz="4"/>
          <w:bottom w:val="single" w:color="C5D5DB" w:sz="4"/>
          <w:right w:val="single" w:color="C5D5DB" w:sz="4"/>
          <w:insideH w:val="single" w:color="E4E9EB" w:sz="3"/>
          <w:insideV w:val="single" w:color="E4E9EB" w:sz="3"/>
        </w:tblBorders>
        <w:tblLayout w:type="fixed"/>
      </w:tblPr>
      <w:tblGrid>
        <w:gridCol w:w="4816"/>
        <w:gridCol w:w="4816"/>
      </w:tblGrid>
      <w:tr>
        <w:trPr>
          <w:cantSplit/>
          <w:tblHeader/>
        </w:trPr>
        <w:tc>
          <w:tcPr>
            <w:tcW w:type="dxa" w:w="4816"/>
            <w:shd w:fill="DFEAF0" w:val="clear"/>
            <w:tcMar>
              <w:top w:type="dxa" w:w="80"/>
              <w:left w:type="dxa" w:w="100"/>
              <w:bottom w:type="dxa" w:w="80"/>
              <w:right w:type="dxa" w:w="100"/>
            </w:tcMar>
          </w:tcPr>
          <w:p>
            <w:pPr>
              <w:pStyle w:val="Tabla"/>
            </w:pPr>
            <w:r>
              <w:rPr>
                <w:b/>
                <w:bCs/>
              </w:rPr>
              <w:t xml:space="preserve">Evidencia</w:t>
            </w:r>
          </w:p>
        </w:tc>
        <w:tc>
          <w:tcPr>
            <w:tcW w:type="dxa" w:w="4816"/>
            <w:shd w:fill="DFEAF0" w:val="clear"/>
            <w:tcMar>
              <w:top w:type="dxa" w:w="80"/>
              <w:left w:type="dxa" w:w="100"/>
              <w:bottom w:type="dxa" w:w="80"/>
              <w:right w:type="dxa" w:w="100"/>
            </w:tcMar>
          </w:tcPr>
          <w:p>
            <w:pPr>
              <w:pStyle w:val="Tabla"/>
            </w:pPr>
            <w:r>
              <w:rPr>
                <w:b/>
                <w:bCs/>
              </w:rPr>
              <w:t xml:space="preserve">Localizaciones</w:t>
            </w:r>
          </w:p>
        </w:tc>
      </w:tr>
      <w:tr>
        <w:trPr>
          <w:cantSplit/>
          <w:tblHeader w:val="off"/>
        </w:trPr>
        <w:tc>
          <w:tcPr>
            <w:tcW w:type="dxa" w:w="4816"/>
            <w:tcMar>
              <w:top w:type="dxa" w:w="80"/>
              <w:left w:type="dxa" w:w="100"/>
              <w:bottom w:type="dxa" w:w="80"/>
              <w:right w:type="dxa" w:w="100"/>
            </w:tcMar>
          </w:tcPr>
          <w:p>
            <w:pPr>
              <w:pStyle w:val="Tabla"/>
            </w:pPr>
            <w:r>
              <w:t xml:space="preserve">Presentaciones</w:t>
            </w:r>
          </w:p>
        </w:tc>
        <w:tc>
          <w:tcPr>
            <w:tcW w:type="dxa" w:w="4816"/>
            <w:tcMar>
              <w:top w:type="dxa" w:w="80"/>
              <w:left w:type="dxa" w:w="100"/>
              <w:bottom w:type="dxa" w:w="80"/>
              <w:right w:type="dxa" w:w="100"/>
            </w:tcMar>
          </w:tcPr>
          <w:p>
            <w:pPr>
              <w:pStyle w:val="Tabla"/>
            </w:pPr>
            <w:r>
              <w:t xml:space="preserve">C-5:22, C-2:83, C-2:95, C-2:96, C-2:97, C-2:103, C-2:104, C-2:105, C-2:106, C-2:123, C-2:127, C-2:129</w:t>
            </w:r>
          </w:p>
        </w:tc>
      </w:tr>
      <w:tr>
        <w:trPr>
          <w:cantSplit/>
          <w:tblHeader w:val="off"/>
        </w:trPr>
        <w:tc>
          <w:tcPr>
            <w:tcW w:type="dxa" w:w="4816"/>
            <w:tcMar>
              <w:top w:type="dxa" w:w="80"/>
              <w:left w:type="dxa" w:w="100"/>
              <w:bottom w:type="dxa" w:w="80"/>
              <w:right w:type="dxa" w:w="100"/>
            </w:tcMar>
          </w:tcPr>
          <w:p>
            <w:pPr>
              <w:pStyle w:val="Tabla"/>
            </w:pPr>
            <w:r>
              <w:t xml:space="preserve">Capítulos de clase</w:t>
            </w:r>
          </w:p>
        </w:tc>
        <w:tc>
          <w:tcPr>
            <w:tcW w:type="dxa" w:w="4816"/>
            <w:tcMar>
              <w:top w:type="dxa" w:w="80"/>
              <w:left w:type="dxa" w:w="100"/>
              <w:bottom w:type="dxa" w:w="80"/>
              <w:right w:type="dxa" w:w="100"/>
            </w:tcMar>
          </w:tcPr>
          <w:p>
            <w:pPr>
              <w:pStyle w:val="Tabla"/>
            </w:pPr>
            <w:r>
              <w:t xml:space="preserve">12:06, 12:09, 14:10, 15:10, 16:01, 16:06, 16:07, 16:08, 16:11</w:t>
            </w:r>
          </w:p>
        </w:tc>
      </w:tr>
      <w:tr>
        <w:trPr>
          <w:cantSplit/>
          <w:tblHeader w:val="off"/>
        </w:trPr>
        <w:tc>
          <w:tcPr>
            <w:tcW w:type="dxa" w:w="4816"/>
            <w:tcMar>
              <w:top w:type="dxa" w:w="80"/>
              <w:left w:type="dxa" w:w="100"/>
              <w:bottom w:type="dxa" w:w="80"/>
              <w:right w:type="dxa" w:w="100"/>
            </w:tcMar>
          </w:tcPr>
          <w:p>
            <w:pPr>
              <w:pStyle w:val="Tabla"/>
            </w:pPr>
            <w:r>
              <w:t xml:space="preserve">Práctica</w:t>
            </w:r>
          </w:p>
        </w:tc>
        <w:tc>
          <w:tcPr>
            <w:tcW w:type="dxa" w:w="4816"/>
            <w:tcMar>
              <w:top w:type="dxa" w:w="80"/>
              <w:left w:type="dxa" w:w="100"/>
              <w:bottom w:type="dxa" w:w="80"/>
              <w:right w:type="dxa" w:w="100"/>
            </w:tcMar>
          </w:tcPr>
          <w:p>
            <w:pPr>
              <w:pStyle w:val="Tabla"/>
            </w:pPr>
            <w:r>
              <w:t xml:space="preserve">10 autoevaluaciones; 2 ejercicios; 18 preguntas de exámenes y bancos.</w:t>
            </w:r>
          </w:p>
        </w:tc>
      </w:tr>
      <w:tr>
        <w:trPr>
          <w:cantSplit/>
          <w:tblHeader w:val="off"/>
        </w:trPr>
        <w:tc>
          <w:tcPr>
            <w:tcW w:type="dxa" w:w="4816"/>
            <w:tcMar>
              <w:top w:type="dxa" w:w="80"/>
              <w:left w:type="dxa" w:w="100"/>
              <w:bottom w:type="dxa" w:w="80"/>
              <w:right w:type="dxa" w:w="100"/>
            </w:tcMar>
          </w:tcPr>
          <w:p>
            <w:pPr>
              <w:pStyle w:val="Tabla"/>
            </w:pPr>
            <w:r>
              <w:t xml:space="preserve">Puntos verificados</w:t>
            </w:r>
          </w:p>
        </w:tc>
        <w:tc>
          <w:tcPr>
            <w:tcW w:type="dxa" w:w="4816"/>
            <w:tcMar>
              <w:top w:type="dxa" w:w="80"/>
              <w:left w:type="dxa" w:w="100"/>
              <w:bottom w:type="dxa" w:w="80"/>
              <w:right w:type="dxa" w:w="100"/>
            </w:tcMar>
          </w:tcPr>
          <w:p>
            <w:pPr>
              <w:pStyle w:val="Tabla"/>
            </w:pPr>
            <w:r>
              <w:t xml:space="preserve">44</w:t>
            </w:r>
          </w:p>
        </w:tc>
      </w:tr>
    </w:tbl>
    <w:p>
      <w:pPr>
        <w:pStyle w:val="Fuente"/>
      </w:pPr>
      <w:r>
        <w:t xml:space="preserve">Véase </w:t>
      </w:r>
      <w:hyperlink w:history="1" w:anchor="b_3_7">
        <w:r>
          <w:rPr>
            <w:color w:val="156B70"/>
            <w:u w:val="single"/>
          </w:rPr>
          <w:t xml:space="preserve">3.7 · Demoras de tiempo</w:t>
        </w:r>
      </w:hyperlink>
      <w:r>
        <w:t xml:space="preserve">, pág. </w:t>
      </w:r>
      <w:r>
        <w:fldChar w:fldCharType="begin"/>
        <w:instrText xml:space="preserve">PAGEREF b_3_7 \h</w:instrText>
        <w:fldChar w:fldCharType="separate"/>
        <w:t xml:space="preserve">580</w:t>
        <w:fldChar w:fldCharType="end"/>
      </w:r>
      <w:r>
        <w:t xml:space="preserve">.</w:t>
      </w:r>
    </w:p>
    <w:p>
      <w:pPr>
        <w:pStyle w:val="Heading3"/>
      </w:pPr>
      <w:r>
        <w:t xml:space="preserve">3.8 · Patrones y tendencias</w:t>
      </w:r>
    </w:p>
    <w:tbl>
      <w:tblPr>
        <w:tblW w:type="dxa" w:w="9632"/>
        <w:tblBorders>
          <w:top w:val="single" w:color="C5D5DB" w:sz="4"/>
          <w:left w:val="single" w:color="C5D5DB" w:sz="4"/>
          <w:bottom w:val="single" w:color="C5D5DB" w:sz="4"/>
          <w:right w:val="single" w:color="C5D5DB" w:sz="4"/>
          <w:insideH w:val="single" w:color="E4E9EB" w:sz="3"/>
          <w:insideV w:val="single" w:color="E4E9EB" w:sz="3"/>
        </w:tblBorders>
        <w:tblLayout w:type="fixed"/>
      </w:tblPr>
      <w:tblGrid>
        <w:gridCol w:w="4816"/>
        <w:gridCol w:w="4816"/>
      </w:tblGrid>
      <w:tr>
        <w:trPr>
          <w:cantSplit/>
          <w:tblHeader/>
        </w:trPr>
        <w:tc>
          <w:tcPr>
            <w:tcW w:type="dxa" w:w="4816"/>
            <w:shd w:fill="DFEAF0" w:val="clear"/>
            <w:tcMar>
              <w:top w:type="dxa" w:w="80"/>
              <w:left w:type="dxa" w:w="100"/>
              <w:bottom w:type="dxa" w:w="80"/>
              <w:right w:type="dxa" w:w="100"/>
            </w:tcMar>
          </w:tcPr>
          <w:p>
            <w:pPr>
              <w:pStyle w:val="Tabla"/>
            </w:pPr>
            <w:r>
              <w:rPr>
                <w:b/>
                <w:bCs/>
              </w:rPr>
              <w:t xml:space="preserve">Evidencia</w:t>
            </w:r>
          </w:p>
        </w:tc>
        <w:tc>
          <w:tcPr>
            <w:tcW w:type="dxa" w:w="4816"/>
            <w:shd w:fill="DFEAF0" w:val="clear"/>
            <w:tcMar>
              <w:top w:type="dxa" w:w="80"/>
              <w:left w:type="dxa" w:w="100"/>
              <w:bottom w:type="dxa" w:w="80"/>
              <w:right w:type="dxa" w:w="100"/>
            </w:tcMar>
          </w:tcPr>
          <w:p>
            <w:pPr>
              <w:pStyle w:val="Tabla"/>
            </w:pPr>
            <w:r>
              <w:rPr>
                <w:b/>
                <w:bCs/>
              </w:rPr>
              <w:t xml:space="preserve">Localizaciones</w:t>
            </w:r>
          </w:p>
        </w:tc>
      </w:tr>
      <w:tr>
        <w:trPr>
          <w:cantSplit/>
          <w:tblHeader w:val="off"/>
        </w:trPr>
        <w:tc>
          <w:tcPr>
            <w:tcW w:type="dxa" w:w="4816"/>
            <w:tcMar>
              <w:top w:type="dxa" w:w="80"/>
              <w:left w:type="dxa" w:w="100"/>
              <w:bottom w:type="dxa" w:w="80"/>
              <w:right w:type="dxa" w:w="100"/>
            </w:tcMar>
          </w:tcPr>
          <w:p>
            <w:pPr>
              <w:pStyle w:val="Tabla"/>
            </w:pPr>
            <w:r>
              <w:t xml:space="preserve">Presentaciones</w:t>
            </w:r>
          </w:p>
        </w:tc>
        <w:tc>
          <w:tcPr>
            <w:tcW w:type="dxa" w:w="4816"/>
            <w:tcMar>
              <w:top w:type="dxa" w:w="80"/>
              <w:left w:type="dxa" w:w="100"/>
              <w:bottom w:type="dxa" w:w="80"/>
              <w:right w:type="dxa" w:w="100"/>
            </w:tcMar>
          </w:tcPr>
          <w:p>
            <w:pPr>
              <w:pStyle w:val="Tabla"/>
            </w:pPr>
            <w:r>
              <w:t xml:space="preserve">C-2:97, C-2:98, C-2:103, C-2:104, C-2:107, C-2:108, C-2:110, C-2:111, C-2:112, C-2:113, C-2:117, C-2:120, C-2:121, C-2:123</w:t>
            </w:r>
          </w:p>
        </w:tc>
      </w:tr>
      <w:tr>
        <w:trPr>
          <w:cantSplit/>
          <w:tblHeader w:val="off"/>
        </w:trPr>
        <w:tc>
          <w:tcPr>
            <w:tcW w:type="dxa" w:w="4816"/>
            <w:tcMar>
              <w:top w:type="dxa" w:w="80"/>
              <w:left w:type="dxa" w:w="100"/>
              <w:bottom w:type="dxa" w:w="80"/>
              <w:right w:type="dxa" w:w="100"/>
            </w:tcMar>
          </w:tcPr>
          <w:p>
            <w:pPr>
              <w:pStyle w:val="Tabla"/>
            </w:pPr>
            <w:r>
              <w:t xml:space="preserve">Capítulos de clase</w:t>
            </w:r>
          </w:p>
        </w:tc>
        <w:tc>
          <w:tcPr>
            <w:tcW w:type="dxa" w:w="4816"/>
            <w:tcMar>
              <w:top w:type="dxa" w:w="80"/>
              <w:left w:type="dxa" w:w="100"/>
              <w:bottom w:type="dxa" w:w="80"/>
              <w:right w:type="dxa" w:w="100"/>
            </w:tcMar>
          </w:tcPr>
          <w:p>
            <w:pPr>
              <w:pStyle w:val="Tabla"/>
            </w:pPr>
            <w:r>
              <w:t xml:space="preserve">14:05, 14:07, 14:08, 14:09, 15:06, 15:10, 16:02, 16:06, 16:09, 16:10</w:t>
            </w:r>
          </w:p>
        </w:tc>
      </w:tr>
      <w:tr>
        <w:trPr>
          <w:cantSplit/>
          <w:tblHeader w:val="off"/>
        </w:trPr>
        <w:tc>
          <w:tcPr>
            <w:tcW w:type="dxa" w:w="4816"/>
            <w:tcMar>
              <w:top w:type="dxa" w:w="80"/>
              <w:left w:type="dxa" w:w="100"/>
              <w:bottom w:type="dxa" w:w="80"/>
              <w:right w:type="dxa" w:w="100"/>
            </w:tcMar>
          </w:tcPr>
          <w:p>
            <w:pPr>
              <w:pStyle w:val="Tabla"/>
            </w:pPr>
            <w:r>
              <w:t xml:space="preserve">Práctica</w:t>
            </w:r>
          </w:p>
        </w:tc>
        <w:tc>
          <w:tcPr>
            <w:tcW w:type="dxa" w:w="4816"/>
            <w:tcMar>
              <w:top w:type="dxa" w:w="80"/>
              <w:left w:type="dxa" w:w="100"/>
              <w:bottom w:type="dxa" w:w="80"/>
              <w:right w:type="dxa" w:w="100"/>
            </w:tcMar>
          </w:tcPr>
          <w:p>
            <w:pPr>
              <w:pStyle w:val="Tabla"/>
            </w:pPr>
            <w:r>
              <w:t xml:space="preserve">14 autoevaluaciones; 1 ejercicios; 27 preguntas de exámenes y bancos.</w:t>
            </w:r>
          </w:p>
        </w:tc>
      </w:tr>
      <w:tr>
        <w:trPr>
          <w:cantSplit/>
          <w:tblHeader w:val="off"/>
        </w:trPr>
        <w:tc>
          <w:tcPr>
            <w:tcW w:type="dxa" w:w="4816"/>
            <w:tcMar>
              <w:top w:type="dxa" w:w="80"/>
              <w:left w:type="dxa" w:w="100"/>
              <w:bottom w:type="dxa" w:w="80"/>
              <w:right w:type="dxa" w:w="100"/>
            </w:tcMar>
          </w:tcPr>
          <w:p>
            <w:pPr>
              <w:pStyle w:val="Tabla"/>
            </w:pPr>
            <w:r>
              <w:t xml:space="preserve">Puntos verificados</w:t>
            </w:r>
          </w:p>
        </w:tc>
        <w:tc>
          <w:tcPr>
            <w:tcW w:type="dxa" w:w="4816"/>
            <w:tcMar>
              <w:top w:type="dxa" w:w="80"/>
              <w:left w:type="dxa" w:w="100"/>
              <w:bottom w:type="dxa" w:w="80"/>
              <w:right w:type="dxa" w:w="100"/>
            </w:tcMar>
          </w:tcPr>
          <w:p>
            <w:pPr>
              <w:pStyle w:val="Tabla"/>
            </w:pPr>
            <w:r>
              <w:t xml:space="preserve">55</w:t>
            </w:r>
          </w:p>
        </w:tc>
      </w:tr>
    </w:tbl>
    <w:p>
      <w:pPr>
        <w:pStyle w:val="Fuente"/>
      </w:pPr>
      <w:r>
        <w:t xml:space="preserve">Véase </w:t>
      </w:r>
      <w:hyperlink w:history="1" w:anchor="b_3_8">
        <w:r>
          <w:rPr>
            <w:color w:val="156B70"/>
            <w:u w:val="single"/>
          </w:rPr>
          <w:t xml:space="preserve">3.8 · Patrones y tendencias</w:t>
        </w:r>
      </w:hyperlink>
      <w:r>
        <w:t xml:space="preserve">, pág. </w:t>
      </w:r>
      <w:r>
        <w:fldChar w:fldCharType="begin"/>
        <w:instrText xml:space="preserve">PAGEREF b_3_8 \h</w:instrText>
        <w:fldChar w:fldCharType="separate"/>
        <w:t xml:space="preserve">597</w:t>
        <w:fldChar w:fldCharType="end"/>
      </w:r>
      <w:r>
        <w:t xml:space="preserve">.</w:t>
      </w:r>
    </w:p>
    <w:p>
      <w:pPr>
        <w:pStyle w:val="Heading3"/>
      </w:pPr>
      <w:r>
        <w:t xml:space="preserve">3.9 · Hábitos (complejo)</w:t>
      </w:r>
    </w:p>
    <w:tbl>
      <w:tblPr>
        <w:tblW w:type="dxa" w:w="9632"/>
        <w:tblBorders>
          <w:top w:val="single" w:color="C5D5DB" w:sz="4"/>
          <w:left w:val="single" w:color="C5D5DB" w:sz="4"/>
          <w:bottom w:val="single" w:color="C5D5DB" w:sz="4"/>
          <w:right w:val="single" w:color="C5D5DB" w:sz="4"/>
          <w:insideH w:val="single" w:color="E4E9EB" w:sz="3"/>
          <w:insideV w:val="single" w:color="E4E9EB" w:sz="3"/>
        </w:tblBorders>
        <w:tblLayout w:type="fixed"/>
      </w:tblPr>
      <w:tblGrid>
        <w:gridCol w:w="4816"/>
        <w:gridCol w:w="4816"/>
      </w:tblGrid>
      <w:tr>
        <w:trPr>
          <w:cantSplit/>
          <w:tblHeader/>
        </w:trPr>
        <w:tc>
          <w:tcPr>
            <w:tcW w:type="dxa" w:w="4816"/>
            <w:shd w:fill="DFEAF0" w:val="clear"/>
            <w:tcMar>
              <w:top w:type="dxa" w:w="80"/>
              <w:left w:type="dxa" w:w="100"/>
              <w:bottom w:type="dxa" w:w="80"/>
              <w:right w:type="dxa" w:w="100"/>
            </w:tcMar>
          </w:tcPr>
          <w:p>
            <w:pPr>
              <w:pStyle w:val="Tabla"/>
            </w:pPr>
            <w:r>
              <w:rPr>
                <w:b/>
                <w:bCs/>
              </w:rPr>
              <w:t xml:space="preserve">Evidencia</w:t>
            </w:r>
          </w:p>
        </w:tc>
        <w:tc>
          <w:tcPr>
            <w:tcW w:type="dxa" w:w="4816"/>
            <w:shd w:fill="DFEAF0" w:val="clear"/>
            <w:tcMar>
              <w:top w:type="dxa" w:w="80"/>
              <w:left w:type="dxa" w:w="100"/>
              <w:bottom w:type="dxa" w:w="80"/>
              <w:right w:type="dxa" w:w="100"/>
            </w:tcMar>
          </w:tcPr>
          <w:p>
            <w:pPr>
              <w:pStyle w:val="Tabla"/>
            </w:pPr>
            <w:r>
              <w:rPr>
                <w:b/>
                <w:bCs/>
              </w:rPr>
              <w:t xml:space="preserve">Localizaciones</w:t>
            </w:r>
          </w:p>
        </w:tc>
      </w:tr>
      <w:tr>
        <w:trPr>
          <w:cantSplit/>
          <w:tblHeader w:val="off"/>
        </w:trPr>
        <w:tc>
          <w:tcPr>
            <w:tcW w:type="dxa" w:w="4816"/>
            <w:tcMar>
              <w:top w:type="dxa" w:w="80"/>
              <w:left w:type="dxa" w:w="100"/>
              <w:bottom w:type="dxa" w:w="80"/>
              <w:right w:type="dxa" w:w="100"/>
            </w:tcMar>
          </w:tcPr>
          <w:p>
            <w:pPr>
              <w:pStyle w:val="Tabla"/>
            </w:pPr>
            <w:r>
              <w:t xml:space="preserve">Presentaciones</w:t>
            </w:r>
          </w:p>
        </w:tc>
        <w:tc>
          <w:tcPr>
            <w:tcW w:type="dxa" w:w="4816"/>
            <w:tcMar>
              <w:top w:type="dxa" w:w="80"/>
              <w:left w:type="dxa" w:w="100"/>
              <w:bottom w:type="dxa" w:w="80"/>
              <w:right w:type="dxa" w:w="100"/>
            </w:tcMar>
          </w:tcPr>
          <w:p>
            <w:pPr>
              <w:pStyle w:val="Tabla"/>
            </w:pPr>
            <w:r>
              <w:t xml:space="preserve">C-2:33, C-2:34, C-2:35, C-2:39, C-2:40, C-2:41, C-2:42, C-2:43, C-2:72, C-2:82, C-2:88, C-2:89, C-2:97, C-2:104, C-2:123</w:t>
            </w:r>
          </w:p>
        </w:tc>
      </w:tr>
      <w:tr>
        <w:trPr>
          <w:cantSplit/>
          <w:tblHeader w:val="off"/>
        </w:trPr>
        <w:tc>
          <w:tcPr>
            <w:tcW w:type="dxa" w:w="4816"/>
            <w:tcMar>
              <w:top w:type="dxa" w:w="80"/>
              <w:left w:type="dxa" w:w="100"/>
              <w:bottom w:type="dxa" w:w="80"/>
              <w:right w:type="dxa" w:w="100"/>
            </w:tcMar>
          </w:tcPr>
          <w:p>
            <w:pPr>
              <w:pStyle w:val="Tabla"/>
            </w:pPr>
            <w:r>
              <w:t xml:space="preserve">Capítulos de clase</w:t>
            </w:r>
          </w:p>
        </w:tc>
        <w:tc>
          <w:tcPr>
            <w:tcW w:type="dxa" w:w="4816"/>
            <w:tcMar>
              <w:top w:type="dxa" w:w="80"/>
              <w:left w:type="dxa" w:w="100"/>
              <w:bottom w:type="dxa" w:w="80"/>
              <w:right w:type="dxa" w:w="100"/>
            </w:tcMar>
          </w:tcPr>
          <w:p>
            <w:pPr>
              <w:pStyle w:val="Tabla"/>
            </w:pPr>
            <w:r>
              <w:t xml:space="preserve">10:09, 11:07, 11:10, 12:04, 12:05, 12:09, 12:10, 13:02, 13:04, 14:02, 14:09, 15:01, 15:05, 15:06, 15:07, 16:01, 16:02, 16:03</w:t>
            </w:r>
          </w:p>
        </w:tc>
      </w:tr>
      <w:tr>
        <w:trPr>
          <w:cantSplit/>
          <w:tblHeader w:val="off"/>
        </w:trPr>
        <w:tc>
          <w:tcPr>
            <w:tcW w:type="dxa" w:w="4816"/>
            <w:tcMar>
              <w:top w:type="dxa" w:w="80"/>
              <w:left w:type="dxa" w:w="100"/>
              <w:bottom w:type="dxa" w:w="80"/>
              <w:right w:type="dxa" w:w="100"/>
            </w:tcMar>
          </w:tcPr>
          <w:p>
            <w:pPr>
              <w:pStyle w:val="Tabla"/>
            </w:pPr>
            <w:r>
              <w:t xml:space="preserve">Práctica</w:t>
            </w:r>
          </w:p>
        </w:tc>
        <w:tc>
          <w:tcPr>
            <w:tcW w:type="dxa" w:w="4816"/>
            <w:tcMar>
              <w:top w:type="dxa" w:w="80"/>
              <w:left w:type="dxa" w:w="100"/>
              <w:bottom w:type="dxa" w:w="80"/>
              <w:right w:type="dxa" w:w="100"/>
            </w:tcMar>
          </w:tcPr>
          <w:p>
            <w:pPr>
              <w:pStyle w:val="Tabla"/>
            </w:pPr>
            <w:r>
              <w:t xml:space="preserve">8 autoevaluaciones; 1 ejercicios; 19 preguntas de exámenes y bancos.</w:t>
            </w:r>
          </w:p>
        </w:tc>
      </w:tr>
      <w:tr>
        <w:trPr>
          <w:cantSplit/>
          <w:tblHeader w:val="off"/>
        </w:trPr>
        <w:tc>
          <w:tcPr>
            <w:tcW w:type="dxa" w:w="4816"/>
            <w:tcMar>
              <w:top w:type="dxa" w:w="80"/>
              <w:left w:type="dxa" w:w="100"/>
              <w:bottom w:type="dxa" w:w="80"/>
              <w:right w:type="dxa" w:w="100"/>
            </w:tcMar>
          </w:tcPr>
          <w:p>
            <w:pPr>
              <w:pStyle w:val="Tabla"/>
            </w:pPr>
            <w:r>
              <w:t xml:space="preserve">Puntos verificados</w:t>
            </w:r>
          </w:p>
        </w:tc>
        <w:tc>
          <w:tcPr>
            <w:tcW w:type="dxa" w:w="4816"/>
            <w:tcMar>
              <w:top w:type="dxa" w:w="80"/>
              <w:left w:type="dxa" w:w="100"/>
              <w:bottom w:type="dxa" w:w="80"/>
              <w:right w:type="dxa" w:w="100"/>
            </w:tcMar>
          </w:tcPr>
          <w:p>
            <w:pPr>
              <w:pStyle w:val="Tabla"/>
            </w:pPr>
            <w:r>
              <w:t xml:space="preserve">92</w:t>
            </w:r>
          </w:p>
        </w:tc>
      </w:tr>
    </w:tbl>
    <w:p>
      <w:pPr>
        <w:pStyle w:val="Fuente"/>
      </w:pPr>
      <w:r>
        <w:t xml:space="preserve">Véase </w:t>
      </w:r>
      <w:hyperlink w:history="1" w:anchor="b_3_9">
        <w:r>
          <w:rPr>
            <w:color w:val="156B70"/>
            <w:u w:val="single"/>
          </w:rPr>
          <w:t xml:space="preserve">3.9 · Hábitos (complejo)</w:t>
        </w:r>
      </w:hyperlink>
      <w:r>
        <w:t xml:space="preserve">, pág. </w:t>
      </w:r>
      <w:r>
        <w:fldChar w:fldCharType="begin"/>
        <w:instrText xml:space="preserve">PAGEREF b_3_9 \h</w:instrText>
        <w:fldChar w:fldCharType="separate"/>
        <w:t xml:space="preserve">622</w:t>
        <w:fldChar w:fldCharType="end"/>
      </w:r>
      <w:r>
        <w:t xml:space="preserve">.</w:t>
      </w:r>
    </w:p>
    <w:p>
      <w:pPr>
        <w:pStyle w:val="Heading3"/>
      </w:pPr>
      <w:r>
        <w:t xml:space="preserve">4.1 · Arquetipos sistémicos</w:t>
      </w:r>
    </w:p>
    <w:tbl>
      <w:tblPr>
        <w:tblW w:type="dxa" w:w="9632"/>
        <w:tblBorders>
          <w:top w:val="single" w:color="C5D5DB" w:sz="4"/>
          <w:left w:val="single" w:color="C5D5DB" w:sz="4"/>
          <w:bottom w:val="single" w:color="C5D5DB" w:sz="4"/>
          <w:right w:val="single" w:color="C5D5DB" w:sz="4"/>
          <w:insideH w:val="single" w:color="E4E9EB" w:sz="3"/>
          <w:insideV w:val="single" w:color="E4E9EB" w:sz="3"/>
        </w:tblBorders>
        <w:tblLayout w:type="fixed"/>
      </w:tblPr>
      <w:tblGrid>
        <w:gridCol w:w="4816"/>
        <w:gridCol w:w="4816"/>
      </w:tblGrid>
      <w:tr>
        <w:trPr>
          <w:cantSplit/>
          <w:tblHeader/>
        </w:trPr>
        <w:tc>
          <w:tcPr>
            <w:tcW w:type="dxa" w:w="4816"/>
            <w:shd w:fill="DFEAF0" w:val="clear"/>
            <w:tcMar>
              <w:top w:type="dxa" w:w="80"/>
              <w:left w:type="dxa" w:w="100"/>
              <w:bottom w:type="dxa" w:w="80"/>
              <w:right w:type="dxa" w:w="100"/>
            </w:tcMar>
          </w:tcPr>
          <w:p>
            <w:pPr>
              <w:pStyle w:val="Tabla"/>
            </w:pPr>
            <w:r>
              <w:rPr>
                <w:b/>
                <w:bCs/>
              </w:rPr>
              <w:t xml:space="preserve">Evidencia</w:t>
            </w:r>
          </w:p>
        </w:tc>
        <w:tc>
          <w:tcPr>
            <w:tcW w:type="dxa" w:w="4816"/>
            <w:shd w:fill="DFEAF0" w:val="clear"/>
            <w:tcMar>
              <w:top w:type="dxa" w:w="80"/>
              <w:left w:type="dxa" w:w="100"/>
              <w:bottom w:type="dxa" w:w="80"/>
              <w:right w:type="dxa" w:w="100"/>
            </w:tcMar>
          </w:tcPr>
          <w:p>
            <w:pPr>
              <w:pStyle w:val="Tabla"/>
            </w:pPr>
            <w:r>
              <w:rPr>
                <w:b/>
                <w:bCs/>
              </w:rPr>
              <w:t xml:space="preserve">Localizaciones</w:t>
            </w:r>
          </w:p>
        </w:tc>
      </w:tr>
      <w:tr>
        <w:trPr>
          <w:cantSplit/>
          <w:tblHeader w:val="off"/>
        </w:trPr>
        <w:tc>
          <w:tcPr>
            <w:tcW w:type="dxa" w:w="4816"/>
            <w:tcMar>
              <w:top w:type="dxa" w:w="80"/>
              <w:left w:type="dxa" w:w="100"/>
              <w:bottom w:type="dxa" w:w="80"/>
              <w:right w:type="dxa" w:w="100"/>
            </w:tcMar>
          </w:tcPr>
          <w:p>
            <w:pPr>
              <w:pStyle w:val="Tabla"/>
            </w:pPr>
            <w:r>
              <w:t xml:space="preserve">Presentaciones</w:t>
            </w:r>
          </w:p>
        </w:tc>
        <w:tc>
          <w:tcPr>
            <w:tcW w:type="dxa" w:w="4816"/>
            <w:tcMar>
              <w:top w:type="dxa" w:w="80"/>
              <w:left w:type="dxa" w:w="100"/>
              <w:bottom w:type="dxa" w:w="80"/>
              <w:right w:type="dxa" w:w="100"/>
            </w:tcMar>
          </w:tcPr>
          <w:p>
            <w:pPr>
              <w:pStyle w:val="Tabla"/>
            </w:pPr>
            <w:r>
              <w:t xml:space="preserve">C-7:2, C-8:5, C-8:6, C-8:7, C-8:14, C-8:15, C-8:16, C-8:17, C-8:18, C-8:19, C-8:20, C-8:41, C-3:2, C-3:15, C-4:17</w:t>
            </w:r>
          </w:p>
        </w:tc>
      </w:tr>
      <w:tr>
        <w:trPr>
          <w:cantSplit/>
          <w:tblHeader w:val="off"/>
        </w:trPr>
        <w:tc>
          <w:tcPr>
            <w:tcW w:type="dxa" w:w="4816"/>
            <w:tcMar>
              <w:top w:type="dxa" w:w="80"/>
              <w:left w:type="dxa" w:w="100"/>
              <w:bottom w:type="dxa" w:w="80"/>
              <w:right w:type="dxa" w:w="100"/>
            </w:tcMar>
          </w:tcPr>
          <w:p>
            <w:pPr>
              <w:pStyle w:val="Tabla"/>
            </w:pPr>
            <w:r>
              <w:t xml:space="preserve">Capítulos de clase</w:t>
            </w:r>
          </w:p>
        </w:tc>
        <w:tc>
          <w:tcPr>
            <w:tcW w:type="dxa" w:w="4816"/>
            <w:tcMar>
              <w:top w:type="dxa" w:w="80"/>
              <w:left w:type="dxa" w:w="100"/>
              <w:bottom w:type="dxa" w:w="80"/>
              <w:right w:type="dxa" w:w="100"/>
            </w:tcMar>
          </w:tcPr>
          <w:p>
            <w:pPr>
              <w:pStyle w:val="Tabla"/>
            </w:pPr>
            <w:r>
              <w:t xml:space="preserve">18:05, 22:03, 22:04, 22:05, 22:08, 22:09, 22:10, 24:01</w:t>
            </w:r>
          </w:p>
        </w:tc>
      </w:tr>
      <w:tr>
        <w:trPr>
          <w:cantSplit/>
          <w:tblHeader w:val="off"/>
        </w:trPr>
        <w:tc>
          <w:tcPr>
            <w:tcW w:type="dxa" w:w="4816"/>
            <w:tcMar>
              <w:top w:type="dxa" w:w="80"/>
              <w:left w:type="dxa" w:w="100"/>
              <w:bottom w:type="dxa" w:w="80"/>
              <w:right w:type="dxa" w:w="100"/>
            </w:tcMar>
          </w:tcPr>
          <w:p>
            <w:pPr>
              <w:pStyle w:val="Tabla"/>
            </w:pPr>
            <w:r>
              <w:t xml:space="preserve">Práctica</w:t>
            </w:r>
          </w:p>
        </w:tc>
        <w:tc>
          <w:tcPr>
            <w:tcW w:type="dxa" w:w="4816"/>
            <w:tcMar>
              <w:top w:type="dxa" w:w="80"/>
              <w:left w:type="dxa" w:w="100"/>
              <w:bottom w:type="dxa" w:w="80"/>
              <w:right w:type="dxa" w:w="100"/>
            </w:tcMar>
          </w:tcPr>
          <w:p>
            <w:pPr>
              <w:pStyle w:val="Tabla"/>
            </w:pPr>
            <w:r>
              <w:t xml:space="preserve">17 autoevaluaciones; 12 ejercicios; 22 preguntas de exámenes y bancos.</w:t>
            </w:r>
          </w:p>
        </w:tc>
      </w:tr>
      <w:tr>
        <w:trPr>
          <w:cantSplit/>
          <w:tblHeader w:val="off"/>
        </w:trPr>
        <w:tc>
          <w:tcPr>
            <w:tcW w:type="dxa" w:w="4816"/>
            <w:tcMar>
              <w:top w:type="dxa" w:w="80"/>
              <w:left w:type="dxa" w:w="100"/>
              <w:bottom w:type="dxa" w:w="80"/>
              <w:right w:type="dxa" w:w="100"/>
            </w:tcMar>
          </w:tcPr>
          <w:p>
            <w:pPr>
              <w:pStyle w:val="Tabla"/>
            </w:pPr>
            <w:r>
              <w:t xml:space="preserve">Puntos verificados</w:t>
            </w:r>
          </w:p>
        </w:tc>
        <w:tc>
          <w:tcPr>
            <w:tcW w:type="dxa" w:w="4816"/>
            <w:tcMar>
              <w:top w:type="dxa" w:w="80"/>
              <w:left w:type="dxa" w:w="100"/>
              <w:bottom w:type="dxa" w:w="80"/>
              <w:right w:type="dxa" w:w="100"/>
            </w:tcMar>
          </w:tcPr>
          <w:p>
            <w:pPr>
              <w:pStyle w:val="Tabla"/>
            </w:pPr>
            <w:r>
              <w:t xml:space="preserve">104</w:t>
            </w:r>
          </w:p>
        </w:tc>
      </w:tr>
    </w:tbl>
    <w:p>
      <w:pPr>
        <w:pStyle w:val="Fuente"/>
      </w:pPr>
      <w:r>
        <w:t xml:space="preserve">Véase </w:t>
      </w:r>
      <w:hyperlink w:history="1" w:anchor="b_4_1">
        <w:r>
          <w:rPr>
            <w:color w:val="156B70"/>
            <w:u w:val="single"/>
          </w:rPr>
          <w:t xml:space="preserve">4.1 · Arquetipos sistémicos</w:t>
        </w:r>
      </w:hyperlink>
      <w:r>
        <w:t xml:space="preserve">, pág. </w:t>
      </w:r>
      <w:r>
        <w:fldChar w:fldCharType="begin"/>
        <w:instrText xml:space="preserve">PAGEREF b_4_1 \h</w:instrText>
        <w:fldChar w:fldCharType="separate"/>
        <w:t xml:space="preserve">646</w:t>
        <w:fldChar w:fldCharType="end"/>
      </w:r>
      <w:r>
        <w:t xml:space="preserve">.</w:t>
      </w:r>
    </w:p>
    <w:p>
      <w:pPr>
        <w:pStyle w:val="Heading3"/>
      </w:pPr>
      <w:r>
        <w:t xml:space="preserve">4.2 · Flujos y niveles</w:t>
      </w:r>
    </w:p>
    <w:tbl>
      <w:tblPr>
        <w:tblW w:type="dxa" w:w="9632"/>
        <w:tblBorders>
          <w:top w:val="single" w:color="C5D5DB" w:sz="4"/>
          <w:left w:val="single" w:color="C5D5DB" w:sz="4"/>
          <w:bottom w:val="single" w:color="C5D5DB" w:sz="4"/>
          <w:right w:val="single" w:color="C5D5DB" w:sz="4"/>
          <w:insideH w:val="single" w:color="E4E9EB" w:sz="3"/>
          <w:insideV w:val="single" w:color="E4E9EB" w:sz="3"/>
        </w:tblBorders>
        <w:tblLayout w:type="fixed"/>
      </w:tblPr>
      <w:tblGrid>
        <w:gridCol w:w="4816"/>
        <w:gridCol w:w="4816"/>
      </w:tblGrid>
      <w:tr>
        <w:trPr>
          <w:cantSplit/>
          <w:tblHeader/>
        </w:trPr>
        <w:tc>
          <w:tcPr>
            <w:tcW w:type="dxa" w:w="4816"/>
            <w:shd w:fill="DFEAF0" w:val="clear"/>
            <w:tcMar>
              <w:top w:type="dxa" w:w="80"/>
              <w:left w:type="dxa" w:w="100"/>
              <w:bottom w:type="dxa" w:w="80"/>
              <w:right w:type="dxa" w:w="100"/>
            </w:tcMar>
          </w:tcPr>
          <w:p>
            <w:pPr>
              <w:pStyle w:val="Tabla"/>
            </w:pPr>
            <w:r>
              <w:rPr>
                <w:b/>
                <w:bCs/>
              </w:rPr>
              <w:t xml:space="preserve">Evidencia</w:t>
            </w:r>
          </w:p>
        </w:tc>
        <w:tc>
          <w:tcPr>
            <w:tcW w:type="dxa" w:w="4816"/>
            <w:shd w:fill="DFEAF0" w:val="clear"/>
            <w:tcMar>
              <w:top w:type="dxa" w:w="80"/>
              <w:left w:type="dxa" w:w="100"/>
              <w:bottom w:type="dxa" w:w="80"/>
              <w:right w:type="dxa" w:w="100"/>
            </w:tcMar>
          </w:tcPr>
          <w:p>
            <w:pPr>
              <w:pStyle w:val="Tabla"/>
            </w:pPr>
            <w:r>
              <w:rPr>
                <w:b/>
                <w:bCs/>
              </w:rPr>
              <w:t xml:space="preserve">Localizaciones</w:t>
            </w:r>
          </w:p>
        </w:tc>
      </w:tr>
      <w:tr>
        <w:trPr>
          <w:cantSplit/>
          <w:tblHeader w:val="off"/>
        </w:trPr>
        <w:tc>
          <w:tcPr>
            <w:tcW w:type="dxa" w:w="4816"/>
            <w:tcMar>
              <w:top w:type="dxa" w:w="80"/>
              <w:left w:type="dxa" w:w="100"/>
              <w:bottom w:type="dxa" w:w="80"/>
              <w:right w:type="dxa" w:w="100"/>
            </w:tcMar>
          </w:tcPr>
          <w:p>
            <w:pPr>
              <w:pStyle w:val="Tabla"/>
            </w:pPr>
            <w:r>
              <w:t xml:space="preserve">Presentaciones</w:t>
            </w:r>
          </w:p>
        </w:tc>
        <w:tc>
          <w:tcPr>
            <w:tcW w:type="dxa" w:w="4816"/>
            <w:tcMar>
              <w:top w:type="dxa" w:w="80"/>
              <w:left w:type="dxa" w:w="100"/>
              <w:bottom w:type="dxa" w:w="80"/>
              <w:right w:type="dxa" w:w="100"/>
            </w:tcMar>
          </w:tcPr>
          <w:p>
            <w:pPr>
              <w:pStyle w:val="Tabla"/>
            </w:pPr>
            <w:r>
              <w:t xml:space="preserve">C-5:22, C-2:79, C-7:5, C-7:6, C-7:7, C-7:8, C-7:9, C-7:11, C-3:26</w:t>
            </w:r>
          </w:p>
        </w:tc>
      </w:tr>
      <w:tr>
        <w:trPr>
          <w:cantSplit/>
          <w:tblHeader w:val="off"/>
        </w:trPr>
        <w:tc>
          <w:tcPr>
            <w:tcW w:type="dxa" w:w="4816"/>
            <w:tcMar>
              <w:top w:type="dxa" w:w="80"/>
              <w:left w:type="dxa" w:w="100"/>
              <w:bottom w:type="dxa" w:w="80"/>
              <w:right w:type="dxa" w:w="100"/>
            </w:tcMar>
          </w:tcPr>
          <w:p>
            <w:pPr>
              <w:pStyle w:val="Tabla"/>
            </w:pPr>
            <w:r>
              <w:t xml:space="preserve">Capítulos de clase</w:t>
            </w:r>
          </w:p>
        </w:tc>
        <w:tc>
          <w:tcPr>
            <w:tcW w:type="dxa" w:w="4816"/>
            <w:tcMar>
              <w:top w:type="dxa" w:w="80"/>
              <w:left w:type="dxa" w:w="100"/>
              <w:bottom w:type="dxa" w:w="80"/>
              <w:right w:type="dxa" w:w="100"/>
            </w:tcMar>
          </w:tcPr>
          <w:p>
            <w:pPr>
              <w:pStyle w:val="Tabla"/>
            </w:pPr>
            <w:r>
              <w:t xml:space="preserve">18:06, 18:07, 18:08, 18:09, 18:10, 19:01, 19:02, 20:07, 20:08, 21:02, 21:03</w:t>
            </w:r>
          </w:p>
        </w:tc>
      </w:tr>
      <w:tr>
        <w:trPr>
          <w:cantSplit/>
          <w:tblHeader w:val="off"/>
        </w:trPr>
        <w:tc>
          <w:tcPr>
            <w:tcW w:type="dxa" w:w="4816"/>
            <w:tcMar>
              <w:top w:type="dxa" w:w="80"/>
              <w:left w:type="dxa" w:w="100"/>
              <w:bottom w:type="dxa" w:w="80"/>
              <w:right w:type="dxa" w:w="100"/>
            </w:tcMar>
          </w:tcPr>
          <w:p>
            <w:pPr>
              <w:pStyle w:val="Tabla"/>
            </w:pPr>
            <w:r>
              <w:t xml:space="preserve">Práctica</w:t>
            </w:r>
          </w:p>
        </w:tc>
        <w:tc>
          <w:tcPr>
            <w:tcW w:type="dxa" w:w="4816"/>
            <w:tcMar>
              <w:top w:type="dxa" w:w="80"/>
              <w:left w:type="dxa" w:w="100"/>
              <w:bottom w:type="dxa" w:w="80"/>
              <w:right w:type="dxa" w:w="100"/>
            </w:tcMar>
          </w:tcPr>
          <w:p>
            <w:pPr>
              <w:pStyle w:val="Tabla"/>
            </w:pPr>
            <w:r>
              <w:t xml:space="preserve">16 autoevaluaciones; 9 ejercicios; 23 preguntas de exámenes y bancos.</w:t>
            </w:r>
          </w:p>
        </w:tc>
      </w:tr>
      <w:tr>
        <w:trPr>
          <w:cantSplit/>
          <w:tblHeader w:val="off"/>
        </w:trPr>
        <w:tc>
          <w:tcPr>
            <w:tcW w:type="dxa" w:w="4816"/>
            <w:tcMar>
              <w:top w:type="dxa" w:w="80"/>
              <w:left w:type="dxa" w:w="100"/>
              <w:bottom w:type="dxa" w:w="80"/>
              <w:right w:type="dxa" w:w="100"/>
            </w:tcMar>
          </w:tcPr>
          <w:p>
            <w:pPr>
              <w:pStyle w:val="Tabla"/>
            </w:pPr>
            <w:r>
              <w:t xml:space="preserve">Puntos verificados</w:t>
            </w:r>
          </w:p>
        </w:tc>
        <w:tc>
          <w:tcPr>
            <w:tcW w:type="dxa" w:w="4816"/>
            <w:tcMar>
              <w:top w:type="dxa" w:w="80"/>
              <w:left w:type="dxa" w:w="100"/>
              <w:bottom w:type="dxa" w:w="80"/>
              <w:right w:type="dxa" w:w="100"/>
            </w:tcMar>
          </w:tcPr>
          <w:p>
            <w:pPr>
              <w:pStyle w:val="Tabla"/>
            </w:pPr>
            <w:r>
              <w:t xml:space="preserve">49</w:t>
            </w:r>
          </w:p>
        </w:tc>
      </w:tr>
    </w:tbl>
    <w:p>
      <w:pPr>
        <w:pStyle w:val="Fuente"/>
      </w:pPr>
      <w:r>
        <w:t xml:space="preserve">Véase </w:t>
      </w:r>
      <w:hyperlink w:history="1" w:anchor="b_4_2">
        <w:r>
          <w:rPr>
            <w:color w:val="156B70"/>
            <w:u w:val="single"/>
          </w:rPr>
          <w:t xml:space="preserve">4.2 · Flujos y niveles</w:t>
        </w:r>
      </w:hyperlink>
      <w:r>
        <w:t xml:space="preserve">, pág. </w:t>
      </w:r>
      <w:r>
        <w:fldChar w:fldCharType="begin"/>
        <w:instrText xml:space="preserve">PAGEREF b_4_2 \h</w:instrText>
        <w:fldChar w:fldCharType="separate"/>
        <w:t xml:space="preserve">709</w:t>
        <w:fldChar w:fldCharType="end"/>
      </w:r>
      <w:r>
        <w:t xml:space="preserve">.</w:t>
      </w:r>
    </w:p>
    <w:p>
      <w:pPr>
        <w:pStyle w:val="Heading3"/>
      </w:pPr>
      <w:r>
        <w:t xml:space="preserve">4.3 · De ciclos causales a flujos</w:t>
      </w:r>
    </w:p>
    <w:tbl>
      <w:tblPr>
        <w:tblW w:type="dxa" w:w="9632"/>
        <w:tblBorders>
          <w:top w:val="single" w:color="C5D5DB" w:sz="4"/>
          <w:left w:val="single" w:color="C5D5DB" w:sz="4"/>
          <w:bottom w:val="single" w:color="C5D5DB" w:sz="4"/>
          <w:right w:val="single" w:color="C5D5DB" w:sz="4"/>
          <w:insideH w:val="single" w:color="E4E9EB" w:sz="3"/>
          <w:insideV w:val="single" w:color="E4E9EB" w:sz="3"/>
        </w:tblBorders>
        <w:tblLayout w:type="fixed"/>
      </w:tblPr>
      <w:tblGrid>
        <w:gridCol w:w="4816"/>
        <w:gridCol w:w="4816"/>
      </w:tblGrid>
      <w:tr>
        <w:trPr>
          <w:cantSplit/>
          <w:tblHeader/>
        </w:trPr>
        <w:tc>
          <w:tcPr>
            <w:tcW w:type="dxa" w:w="4816"/>
            <w:shd w:fill="DFEAF0" w:val="clear"/>
            <w:tcMar>
              <w:top w:type="dxa" w:w="80"/>
              <w:left w:type="dxa" w:w="100"/>
              <w:bottom w:type="dxa" w:w="80"/>
              <w:right w:type="dxa" w:w="100"/>
            </w:tcMar>
          </w:tcPr>
          <w:p>
            <w:pPr>
              <w:pStyle w:val="Tabla"/>
            </w:pPr>
            <w:r>
              <w:rPr>
                <w:b/>
                <w:bCs/>
              </w:rPr>
              <w:t xml:space="preserve">Evidencia</w:t>
            </w:r>
          </w:p>
        </w:tc>
        <w:tc>
          <w:tcPr>
            <w:tcW w:type="dxa" w:w="4816"/>
            <w:shd w:fill="DFEAF0" w:val="clear"/>
            <w:tcMar>
              <w:top w:type="dxa" w:w="80"/>
              <w:left w:type="dxa" w:w="100"/>
              <w:bottom w:type="dxa" w:w="80"/>
              <w:right w:type="dxa" w:w="100"/>
            </w:tcMar>
          </w:tcPr>
          <w:p>
            <w:pPr>
              <w:pStyle w:val="Tabla"/>
            </w:pPr>
            <w:r>
              <w:rPr>
                <w:b/>
                <w:bCs/>
              </w:rPr>
              <w:t xml:space="preserve">Localizaciones</w:t>
            </w:r>
          </w:p>
        </w:tc>
      </w:tr>
      <w:tr>
        <w:trPr>
          <w:cantSplit/>
          <w:tblHeader w:val="off"/>
        </w:trPr>
        <w:tc>
          <w:tcPr>
            <w:tcW w:type="dxa" w:w="4816"/>
            <w:tcMar>
              <w:top w:type="dxa" w:w="80"/>
              <w:left w:type="dxa" w:w="100"/>
              <w:bottom w:type="dxa" w:w="80"/>
              <w:right w:type="dxa" w:w="100"/>
            </w:tcMar>
          </w:tcPr>
          <w:p>
            <w:pPr>
              <w:pStyle w:val="Tabla"/>
            </w:pPr>
            <w:r>
              <w:t xml:space="preserve">Presentaciones</w:t>
            </w:r>
          </w:p>
        </w:tc>
        <w:tc>
          <w:tcPr>
            <w:tcW w:type="dxa" w:w="4816"/>
            <w:tcMar>
              <w:top w:type="dxa" w:w="80"/>
              <w:left w:type="dxa" w:w="100"/>
              <w:bottom w:type="dxa" w:w="80"/>
              <w:right w:type="dxa" w:w="100"/>
            </w:tcMar>
          </w:tcPr>
          <w:p>
            <w:pPr>
              <w:pStyle w:val="Tabla"/>
            </w:pPr>
            <w:r>
              <w:t xml:space="preserve">C-7:9, C-7:12, C-7:13, C-7:14, C-7:15, C-7:16, C-7:18, C-7:19, C-7:24, C-3:13, C-3:19, C-3:20, C-3:21, C-3:22, C-3:26, C-3:31, C-3:32</w:t>
            </w:r>
          </w:p>
        </w:tc>
      </w:tr>
      <w:tr>
        <w:trPr>
          <w:cantSplit/>
          <w:tblHeader w:val="off"/>
        </w:trPr>
        <w:tc>
          <w:tcPr>
            <w:tcW w:type="dxa" w:w="4816"/>
            <w:tcMar>
              <w:top w:type="dxa" w:w="80"/>
              <w:left w:type="dxa" w:w="100"/>
              <w:bottom w:type="dxa" w:w="80"/>
              <w:right w:type="dxa" w:w="100"/>
            </w:tcMar>
          </w:tcPr>
          <w:p>
            <w:pPr>
              <w:pStyle w:val="Tabla"/>
            </w:pPr>
            <w:r>
              <w:t xml:space="preserve">Capítulos de clase</w:t>
            </w:r>
          </w:p>
        </w:tc>
        <w:tc>
          <w:tcPr>
            <w:tcW w:type="dxa" w:w="4816"/>
            <w:tcMar>
              <w:top w:type="dxa" w:w="80"/>
              <w:left w:type="dxa" w:w="100"/>
              <w:bottom w:type="dxa" w:w="80"/>
              <w:right w:type="dxa" w:w="100"/>
            </w:tcMar>
          </w:tcPr>
          <w:p>
            <w:pPr>
              <w:pStyle w:val="Tabla"/>
            </w:pPr>
            <w:r>
              <w:t xml:space="preserve">18:06, 18:08, 18:09, 19:02, 19:03, 19:04, 19:05, 19:06, 19:07, 19:09, 20:01, 20:02, 20:03, 20:06, 20:07, 20:08, 20:09, 20:10, 21:02, 21:03, 21:05, 21:06, 24:01, 24:09</w:t>
            </w:r>
          </w:p>
        </w:tc>
      </w:tr>
      <w:tr>
        <w:trPr>
          <w:cantSplit/>
          <w:tblHeader w:val="off"/>
        </w:trPr>
        <w:tc>
          <w:tcPr>
            <w:tcW w:type="dxa" w:w="4816"/>
            <w:tcMar>
              <w:top w:type="dxa" w:w="80"/>
              <w:left w:type="dxa" w:w="100"/>
              <w:bottom w:type="dxa" w:w="80"/>
              <w:right w:type="dxa" w:w="100"/>
            </w:tcMar>
          </w:tcPr>
          <w:p>
            <w:pPr>
              <w:pStyle w:val="Tabla"/>
            </w:pPr>
            <w:r>
              <w:t xml:space="preserve">Práctica</w:t>
            </w:r>
          </w:p>
        </w:tc>
        <w:tc>
          <w:tcPr>
            <w:tcW w:type="dxa" w:w="4816"/>
            <w:tcMar>
              <w:top w:type="dxa" w:w="80"/>
              <w:left w:type="dxa" w:w="100"/>
              <w:bottom w:type="dxa" w:w="80"/>
              <w:right w:type="dxa" w:w="100"/>
            </w:tcMar>
          </w:tcPr>
          <w:p>
            <w:pPr>
              <w:pStyle w:val="Tabla"/>
            </w:pPr>
            <w:r>
              <w:t xml:space="preserve">23 autoevaluaciones; 6 ejercicios; 15 preguntas de exámenes y bancos.</w:t>
            </w:r>
          </w:p>
        </w:tc>
      </w:tr>
      <w:tr>
        <w:trPr>
          <w:cantSplit/>
          <w:tblHeader w:val="off"/>
        </w:trPr>
        <w:tc>
          <w:tcPr>
            <w:tcW w:type="dxa" w:w="4816"/>
            <w:tcMar>
              <w:top w:type="dxa" w:w="80"/>
              <w:left w:type="dxa" w:w="100"/>
              <w:bottom w:type="dxa" w:w="80"/>
              <w:right w:type="dxa" w:w="100"/>
            </w:tcMar>
          </w:tcPr>
          <w:p>
            <w:pPr>
              <w:pStyle w:val="Tabla"/>
            </w:pPr>
            <w:r>
              <w:t xml:space="preserve">Puntos verificados</w:t>
            </w:r>
          </w:p>
        </w:tc>
        <w:tc>
          <w:tcPr>
            <w:tcW w:type="dxa" w:w="4816"/>
            <w:tcMar>
              <w:top w:type="dxa" w:w="80"/>
              <w:left w:type="dxa" w:w="100"/>
              <w:bottom w:type="dxa" w:w="80"/>
              <w:right w:type="dxa" w:w="100"/>
            </w:tcMar>
          </w:tcPr>
          <w:p>
            <w:pPr>
              <w:pStyle w:val="Tabla"/>
            </w:pPr>
            <w:r>
              <w:t xml:space="preserve">110</w:t>
            </w:r>
          </w:p>
        </w:tc>
      </w:tr>
    </w:tbl>
    <w:p>
      <w:pPr>
        <w:pStyle w:val="Fuente"/>
      </w:pPr>
      <w:r>
        <w:t xml:space="preserve">Véase </w:t>
      </w:r>
      <w:hyperlink w:history="1" w:anchor="b_4_3">
        <w:r>
          <w:rPr>
            <w:color w:val="156B70"/>
            <w:u w:val="single"/>
          </w:rPr>
          <w:t xml:space="preserve">4.3 · De ciclos causales a flujos</w:t>
        </w:r>
      </w:hyperlink>
      <w:r>
        <w:t xml:space="preserve">, pág. </w:t>
      </w:r>
      <w:r>
        <w:fldChar w:fldCharType="begin"/>
        <w:instrText xml:space="preserve">PAGEREF b_4_3 \h</w:instrText>
        <w:fldChar w:fldCharType="separate"/>
        <w:t xml:space="preserve">737</w:t>
        <w:fldChar w:fldCharType="end"/>
      </w:r>
      <w:r>
        <w:t xml:space="preserve">.</w:t>
      </w:r>
    </w:p>
    <w:p>
      <w:pPr>
        <w:pStyle w:val="Heading3"/>
      </w:pPr>
      <w:r>
        <w:t xml:space="preserve">4.4 · Simulación con VENSIM</w:t>
      </w:r>
    </w:p>
    <w:tbl>
      <w:tblPr>
        <w:tblW w:type="dxa" w:w="9632"/>
        <w:tblBorders>
          <w:top w:val="single" w:color="C5D5DB" w:sz="4"/>
          <w:left w:val="single" w:color="C5D5DB" w:sz="4"/>
          <w:bottom w:val="single" w:color="C5D5DB" w:sz="4"/>
          <w:right w:val="single" w:color="C5D5DB" w:sz="4"/>
          <w:insideH w:val="single" w:color="E4E9EB" w:sz="3"/>
          <w:insideV w:val="single" w:color="E4E9EB" w:sz="3"/>
        </w:tblBorders>
        <w:tblLayout w:type="fixed"/>
      </w:tblPr>
      <w:tblGrid>
        <w:gridCol w:w="4816"/>
        <w:gridCol w:w="4816"/>
      </w:tblGrid>
      <w:tr>
        <w:trPr>
          <w:cantSplit/>
          <w:tblHeader/>
        </w:trPr>
        <w:tc>
          <w:tcPr>
            <w:tcW w:type="dxa" w:w="4816"/>
            <w:shd w:fill="DFEAF0" w:val="clear"/>
            <w:tcMar>
              <w:top w:type="dxa" w:w="80"/>
              <w:left w:type="dxa" w:w="100"/>
              <w:bottom w:type="dxa" w:w="80"/>
              <w:right w:type="dxa" w:w="100"/>
            </w:tcMar>
          </w:tcPr>
          <w:p>
            <w:pPr>
              <w:pStyle w:val="Tabla"/>
            </w:pPr>
            <w:r>
              <w:rPr>
                <w:b/>
                <w:bCs/>
              </w:rPr>
              <w:t xml:space="preserve">Evidencia</w:t>
            </w:r>
          </w:p>
        </w:tc>
        <w:tc>
          <w:tcPr>
            <w:tcW w:type="dxa" w:w="4816"/>
            <w:shd w:fill="DFEAF0" w:val="clear"/>
            <w:tcMar>
              <w:top w:type="dxa" w:w="80"/>
              <w:left w:type="dxa" w:w="100"/>
              <w:bottom w:type="dxa" w:w="80"/>
              <w:right w:type="dxa" w:w="100"/>
            </w:tcMar>
          </w:tcPr>
          <w:p>
            <w:pPr>
              <w:pStyle w:val="Tabla"/>
            </w:pPr>
            <w:r>
              <w:rPr>
                <w:b/>
                <w:bCs/>
              </w:rPr>
              <w:t xml:space="preserve">Localizaciones</w:t>
            </w:r>
          </w:p>
        </w:tc>
      </w:tr>
      <w:tr>
        <w:trPr>
          <w:cantSplit/>
          <w:tblHeader w:val="off"/>
        </w:trPr>
        <w:tc>
          <w:tcPr>
            <w:tcW w:type="dxa" w:w="4816"/>
            <w:tcMar>
              <w:top w:type="dxa" w:w="80"/>
              <w:left w:type="dxa" w:w="100"/>
              <w:bottom w:type="dxa" w:w="80"/>
              <w:right w:type="dxa" w:w="100"/>
            </w:tcMar>
          </w:tcPr>
          <w:p>
            <w:pPr>
              <w:pStyle w:val="Tabla"/>
            </w:pPr>
            <w:r>
              <w:t xml:space="preserve">Presentaciones</w:t>
            </w:r>
          </w:p>
        </w:tc>
        <w:tc>
          <w:tcPr>
            <w:tcW w:type="dxa" w:w="4816"/>
            <w:tcMar>
              <w:top w:type="dxa" w:w="80"/>
              <w:left w:type="dxa" w:w="100"/>
              <w:bottom w:type="dxa" w:w="80"/>
              <w:right w:type="dxa" w:w="100"/>
            </w:tcMar>
          </w:tcPr>
          <w:p>
            <w:pPr>
              <w:pStyle w:val="Tabla"/>
            </w:pPr>
            <w:r>
              <w:t xml:space="preserve">C-7:1, C-7:15, C-7:16, C-7:17, C-7:19, C-7:22, C-7:23, C-7:37, C-7:38, C-7:39, C-8:24, C-8:49, C-8:50, C-8:51, C-8:52, C-8:53, C-8:54, C-3:13, C-3:14, C-3:24, C-3:25, C-3:27, C-3:29, C-3:30, C-3:38, C-3:39, C-3:40, C-3:53, C-3:56, C-3:57, C-3:58, C-3:59</w:t>
            </w:r>
          </w:p>
        </w:tc>
      </w:tr>
      <w:tr>
        <w:trPr>
          <w:cantSplit/>
          <w:tblHeader w:val="off"/>
        </w:trPr>
        <w:tc>
          <w:tcPr>
            <w:tcW w:type="dxa" w:w="4816"/>
            <w:tcMar>
              <w:top w:type="dxa" w:w="80"/>
              <w:left w:type="dxa" w:w="100"/>
              <w:bottom w:type="dxa" w:w="80"/>
              <w:right w:type="dxa" w:w="100"/>
            </w:tcMar>
          </w:tcPr>
          <w:p>
            <w:pPr>
              <w:pStyle w:val="Tabla"/>
            </w:pPr>
            <w:r>
              <w:t xml:space="preserve">Capítulos de clase</w:t>
            </w:r>
          </w:p>
        </w:tc>
        <w:tc>
          <w:tcPr>
            <w:tcW w:type="dxa" w:w="4816"/>
            <w:tcMar>
              <w:top w:type="dxa" w:w="80"/>
              <w:left w:type="dxa" w:w="100"/>
              <w:bottom w:type="dxa" w:w="80"/>
              <w:right w:type="dxa" w:w="100"/>
            </w:tcMar>
          </w:tcPr>
          <w:p>
            <w:pPr>
              <w:pStyle w:val="Tabla"/>
            </w:pPr>
            <w:r>
              <w:t xml:space="preserve">1:03, 18:04, 18:05, 18:07, 19:01, 19:03, 19:04, 19:05, 19:06, 19:07, 19:08, 19:09, 19:10, 20:04, 20:07, 20:10, 20:11, 21:02, 21:03, 21:05, 21:06, 21:07, 21:08, 21:09, 24:04, 24:05, 24:06, 24:07, 24:11, 24:12</w:t>
            </w:r>
          </w:p>
        </w:tc>
      </w:tr>
      <w:tr>
        <w:trPr>
          <w:cantSplit/>
          <w:tblHeader w:val="off"/>
        </w:trPr>
        <w:tc>
          <w:tcPr>
            <w:tcW w:type="dxa" w:w="4816"/>
            <w:tcMar>
              <w:top w:type="dxa" w:w="80"/>
              <w:left w:type="dxa" w:w="100"/>
              <w:bottom w:type="dxa" w:w="80"/>
              <w:right w:type="dxa" w:w="100"/>
            </w:tcMar>
          </w:tcPr>
          <w:p>
            <w:pPr>
              <w:pStyle w:val="Tabla"/>
            </w:pPr>
            <w:r>
              <w:t xml:space="preserve">Práctica</w:t>
            </w:r>
          </w:p>
        </w:tc>
        <w:tc>
          <w:tcPr>
            <w:tcW w:type="dxa" w:w="4816"/>
            <w:tcMar>
              <w:top w:type="dxa" w:w="80"/>
              <w:left w:type="dxa" w:w="100"/>
              <w:bottom w:type="dxa" w:w="80"/>
              <w:right w:type="dxa" w:w="100"/>
            </w:tcMar>
          </w:tcPr>
          <w:p>
            <w:pPr>
              <w:pStyle w:val="Tabla"/>
            </w:pPr>
            <w:r>
              <w:t xml:space="preserve">26 autoevaluaciones; 4 ejercicios; 22 preguntas de exámenes y bancos.</w:t>
            </w:r>
          </w:p>
        </w:tc>
      </w:tr>
      <w:tr>
        <w:trPr>
          <w:cantSplit/>
          <w:tblHeader w:val="off"/>
        </w:trPr>
        <w:tc>
          <w:tcPr>
            <w:tcW w:type="dxa" w:w="4816"/>
            <w:tcMar>
              <w:top w:type="dxa" w:w="80"/>
              <w:left w:type="dxa" w:w="100"/>
              <w:bottom w:type="dxa" w:w="80"/>
              <w:right w:type="dxa" w:w="100"/>
            </w:tcMar>
          </w:tcPr>
          <w:p>
            <w:pPr>
              <w:pStyle w:val="Tabla"/>
            </w:pPr>
            <w:r>
              <w:t xml:space="preserve">Puntos verificados</w:t>
            </w:r>
          </w:p>
        </w:tc>
        <w:tc>
          <w:tcPr>
            <w:tcW w:type="dxa" w:w="4816"/>
            <w:tcMar>
              <w:top w:type="dxa" w:w="80"/>
              <w:left w:type="dxa" w:w="100"/>
              <w:bottom w:type="dxa" w:w="80"/>
              <w:right w:type="dxa" w:w="100"/>
            </w:tcMar>
          </w:tcPr>
          <w:p>
            <w:pPr>
              <w:pStyle w:val="Tabla"/>
            </w:pPr>
            <w:r>
              <w:t xml:space="preserve">201</w:t>
            </w:r>
          </w:p>
        </w:tc>
      </w:tr>
    </w:tbl>
    <w:p>
      <w:pPr>
        <w:pStyle w:val="Fuente"/>
      </w:pPr>
      <w:r>
        <w:t xml:space="preserve">Véase </w:t>
      </w:r>
      <w:hyperlink w:history="1" w:anchor="b_4_4">
        <w:r>
          <w:rPr>
            <w:color w:val="156B70"/>
            <w:u w:val="single"/>
          </w:rPr>
          <w:t xml:space="preserve">4.4 · Simulación con VENSIM</w:t>
        </w:r>
      </w:hyperlink>
      <w:r>
        <w:t xml:space="preserve">, pág. </w:t>
      </w:r>
      <w:r>
        <w:fldChar w:fldCharType="begin"/>
        <w:instrText xml:space="preserve">PAGEREF b_4_4 \h</w:instrText>
        <w:fldChar w:fldCharType="separate"/>
        <w:t xml:space="preserve">776</w:t>
        <w:fldChar w:fldCharType="end"/>
      </w:r>
      <w:r>
        <w:t xml:space="preserve">.</w:t>
      </w:r>
    </w:p>
    <w:p>
      <w:pPr>
        <w:pStyle w:val="Heading3"/>
      </w:pPr>
      <w:r>
        <w:t xml:space="preserve">4.5 · Ejemplos en VENSIM</w:t>
      </w:r>
    </w:p>
    <w:tbl>
      <w:tblPr>
        <w:tblW w:type="dxa" w:w="9632"/>
        <w:tblBorders>
          <w:top w:val="single" w:color="C5D5DB" w:sz="4"/>
          <w:left w:val="single" w:color="C5D5DB" w:sz="4"/>
          <w:bottom w:val="single" w:color="C5D5DB" w:sz="4"/>
          <w:right w:val="single" w:color="C5D5DB" w:sz="4"/>
          <w:insideH w:val="single" w:color="E4E9EB" w:sz="3"/>
          <w:insideV w:val="single" w:color="E4E9EB" w:sz="3"/>
        </w:tblBorders>
        <w:tblLayout w:type="fixed"/>
      </w:tblPr>
      <w:tblGrid>
        <w:gridCol w:w="4816"/>
        <w:gridCol w:w="4816"/>
      </w:tblGrid>
      <w:tr>
        <w:trPr>
          <w:cantSplit/>
          <w:tblHeader/>
        </w:trPr>
        <w:tc>
          <w:tcPr>
            <w:tcW w:type="dxa" w:w="4816"/>
            <w:shd w:fill="DFEAF0" w:val="clear"/>
            <w:tcMar>
              <w:top w:type="dxa" w:w="80"/>
              <w:left w:type="dxa" w:w="100"/>
              <w:bottom w:type="dxa" w:w="80"/>
              <w:right w:type="dxa" w:w="100"/>
            </w:tcMar>
          </w:tcPr>
          <w:p>
            <w:pPr>
              <w:pStyle w:val="Tabla"/>
            </w:pPr>
            <w:r>
              <w:rPr>
                <w:b/>
                <w:bCs/>
              </w:rPr>
              <w:t xml:space="preserve">Evidencia</w:t>
            </w:r>
          </w:p>
        </w:tc>
        <w:tc>
          <w:tcPr>
            <w:tcW w:type="dxa" w:w="4816"/>
            <w:shd w:fill="DFEAF0" w:val="clear"/>
            <w:tcMar>
              <w:top w:type="dxa" w:w="80"/>
              <w:left w:type="dxa" w:w="100"/>
              <w:bottom w:type="dxa" w:w="80"/>
              <w:right w:type="dxa" w:w="100"/>
            </w:tcMar>
          </w:tcPr>
          <w:p>
            <w:pPr>
              <w:pStyle w:val="Tabla"/>
            </w:pPr>
            <w:r>
              <w:rPr>
                <w:b/>
                <w:bCs/>
              </w:rPr>
              <w:t xml:space="preserve">Localizaciones</w:t>
            </w:r>
          </w:p>
        </w:tc>
      </w:tr>
      <w:tr>
        <w:trPr>
          <w:cantSplit/>
          <w:tblHeader w:val="off"/>
        </w:trPr>
        <w:tc>
          <w:tcPr>
            <w:tcW w:type="dxa" w:w="4816"/>
            <w:tcMar>
              <w:top w:type="dxa" w:w="80"/>
              <w:left w:type="dxa" w:w="100"/>
              <w:bottom w:type="dxa" w:w="80"/>
              <w:right w:type="dxa" w:w="100"/>
            </w:tcMar>
          </w:tcPr>
          <w:p>
            <w:pPr>
              <w:pStyle w:val="Tabla"/>
            </w:pPr>
            <w:r>
              <w:t xml:space="preserve">Presentaciones</w:t>
            </w:r>
          </w:p>
        </w:tc>
        <w:tc>
          <w:tcPr>
            <w:tcW w:type="dxa" w:w="4816"/>
            <w:tcMar>
              <w:top w:type="dxa" w:w="80"/>
              <w:left w:type="dxa" w:w="100"/>
              <w:bottom w:type="dxa" w:w="80"/>
              <w:right w:type="dxa" w:w="100"/>
            </w:tcMar>
          </w:tcPr>
          <w:p>
            <w:pPr>
              <w:pStyle w:val="Tabla"/>
            </w:pPr>
            <w:r>
              <w:t xml:space="preserve">C-7:16, C-7:19, C-7:20, C-7:21, C-7:25, C-7:26, C-7:27, C-7:28, C-7:29, C-7:30, C-7:31, C-7:32, C-7:33, C-7:34, C-7:35, C-7:36, C-7:40, C-8:55, C-8:56, C-8:57, C-3:13, C-3:37, C-3:54, C-3:55</w:t>
            </w:r>
          </w:p>
        </w:tc>
      </w:tr>
      <w:tr>
        <w:trPr>
          <w:cantSplit/>
          <w:tblHeader w:val="off"/>
        </w:trPr>
        <w:tc>
          <w:tcPr>
            <w:tcW w:type="dxa" w:w="4816"/>
            <w:tcMar>
              <w:top w:type="dxa" w:w="80"/>
              <w:left w:type="dxa" w:w="100"/>
              <w:bottom w:type="dxa" w:w="80"/>
              <w:right w:type="dxa" w:w="100"/>
            </w:tcMar>
          </w:tcPr>
          <w:p>
            <w:pPr>
              <w:pStyle w:val="Tabla"/>
            </w:pPr>
            <w:r>
              <w:t xml:space="preserve">Capítulos de clase</w:t>
            </w:r>
          </w:p>
        </w:tc>
        <w:tc>
          <w:tcPr>
            <w:tcW w:type="dxa" w:w="4816"/>
            <w:tcMar>
              <w:top w:type="dxa" w:w="80"/>
              <w:left w:type="dxa" w:w="100"/>
              <w:bottom w:type="dxa" w:w="80"/>
              <w:right w:type="dxa" w:w="100"/>
            </w:tcMar>
          </w:tcPr>
          <w:p>
            <w:pPr>
              <w:pStyle w:val="Tabla"/>
            </w:pPr>
            <w:r>
              <w:t xml:space="preserve">19:10, 20:04, 20:05, 20:06, 20:08, 20:09, 20:10, 21:02, 21:03, 21:04, 21:10, 24:09, 24:10</w:t>
            </w:r>
          </w:p>
        </w:tc>
      </w:tr>
      <w:tr>
        <w:trPr>
          <w:cantSplit/>
          <w:tblHeader w:val="off"/>
        </w:trPr>
        <w:tc>
          <w:tcPr>
            <w:tcW w:type="dxa" w:w="4816"/>
            <w:tcMar>
              <w:top w:type="dxa" w:w="80"/>
              <w:left w:type="dxa" w:w="100"/>
              <w:bottom w:type="dxa" w:w="80"/>
              <w:right w:type="dxa" w:w="100"/>
            </w:tcMar>
          </w:tcPr>
          <w:p>
            <w:pPr>
              <w:pStyle w:val="Tabla"/>
            </w:pPr>
            <w:r>
              <w:t xml:space="preserve">Práctica</w:t>
            </w:r>
          </w:p>
        </w:tc>
        <w:tc>
          <w:tcPr>
            <w:tcW w:type="dxa" w:w="4816"/>
            <w:tcMar>
              <w:top w:type="dxa" w:w="80"/>
              <w:left w:type="dxa" w:w="100"/>
              <w:bottom w:type="dxa" w:w="80"/>
              <w:right w:type="dxa" w:w="100"/>
            </w:tcMar>
          </w:tcPr>
          <w:p>
            <w:pPr>
              <w:pStyle w:val="Tabla"/>
            </w:pPr>
            <w:r>
              <w:t xml:space="preserve">22 autoevaluaciones; 15 ejercicios; 15 preguntas de exámenes y bancos.</w:t>
            </w:r>
          </w:p>
        </w:tc>
      </w:tr>
      <w:tr>
        <w:trPr>
          <w:cantSplit/>
          <w:tblHeader w:val="off"/>
        </w:trPr>
        <w:tc>
          <w:tcPr>
            <w:tcW w:type="dxa" w:w="4816"/>
            <w:tcMar>
              <w:top w:type="dxa" w:w="80"/>
              <w:left w:type="dxa" w:w="100"/>
              <w:bottom w:type="dxa" w:w="80"/>
              <w:right w:type="dxa" w:w="100"/>
            </w:tcMar>
          </w:tcPr>
          <w:p>
            <w:pPr>
              <w:pStyle w:val="Tabla"/>
            </w:pPr>
            <w:r>
              <w:t xml:space="preserve">Puntos verificados</w:t>
            </w:r>
          </w:p>
        </w:tc>
        <w:tc>
          <w:tcPr>
            <w:tcW w:type="dxa" w:w="4816"/>
            <w:tcMar>
              <w:top w:type="dxa" w:w="80"/>
              <w:left w:type="dxa" w:w="100"/>
              <w:bottom w:type="dxa" w:w="80"/>
              <w:right w:type="dxa" w:w="100"/>
            </w:tcMar>
          </w:tcPr>
          <w:p>
            <w:pPr>
              <w:pStyle w:val="Tabla"/>
            </w:pPr>
            <w:r>
              <w:t xml:space="preserve">131</w:t>
            </w:r>
          </w:p>
        </w:tc>
      </w:tr>
    </w:tbl>
    <w:p>
      <w:pPr>
        <w:pStyle w:val="Fuente"/>
      </w:pPr>
      <w:r>
        <w:t xml:space="preserve">Véase </w:t>
      </w:r>
      <w:hyperlink w:history="1" w:anchor="b_4_5">
        <w:r>
          <w:rPr>
            <w:color w:val="156B70"/>
            <w:u w:val="single"/>
          </w:rPr>
          <w:t xml:space="preserve">4.5 · Ejemplos en VENSIM</w:t>
        </w:r>
      </w:hyperlink>
      <w:r>
        <w:t xml:space="preserve">, pág. </w:t>
      </w:r>
      <w:r>
        <w:fldChar w:fldCharType="begin"/>
        <w:instrText xml:space="preserve">PAGEREF b_4_5 \h</w:instrText>
        <w:fldChar w:fldCharType="separate"/>
        <w:t xml:space="preserve">830</w:t>
        <w:fldChar w:fldCharType="end"/>
      </w:r>
      <w:r>
        <w:t xml:space="preserve">.</w:t>
      </w:r>
    </w:p>
    <w:p>
      <w:pPr>
        <w:pStyle w:val="Heading3"/>
      </w:pPr>
      <w:r>
        <w:t xml:space="preserve">4.6 · Toma de decisiones</w:t>
      </w:r>
    </w:p>
    <w:tbl>
      <w:tblPr>
        <w:tblW w:type="dxa" w:w="9632"/>
        <w:tblBorders>
          <w:top w:val="single" w:color="C5D5DB" w:sz="4"/>
          <w:left w:val="single" w:color="C5D5DB" w:sz="4"/>
          <w:bottom w:val="single" w:color="C5D5DB" w:sz="4"/>
          <w:right w:val="single" w:color="C5D5DB" w:sz="4"/>
          <w:insideH w:val="single" w:color="E4E9EB" w:sz="3"/>
          <w:insideV w:val="single" w:color="E4E9EB" w:sz="3"/>
        </w:tblBorders>
        <w:tblLayout w:type="fixed"/>
      </w:tblPr>
      <w:tblGrid>
        <w:gridCol w:w="4816"/>
        <w:gridCol w:w="4816"/>
      </w:tblGrid>
      <w:tr>
        <w:trPr>
          <w:cantSplit/>
          <w:tblHeader/>
        </w:trPr>
        <w:tc>
          <w:tcPr>
            <w:tcW w:type="dxa" w:w="4816"/>
            <w:shd w:fill="DFEAF0" w:val="clear"/>
            <w:tcMar>
              <w:top w:type="dxa" w:w="80"/>
              <w:left w:type="dxa" w:w="100"/>
              <w:bottom w:type="dxa" w:w="80"/>
              <w:right w:type="dxa" w:w="100"/>
            </w:tcMar>
          </w:tcPr>
          <w:p>
            <w:pPr>
              <w:pStyle w:val="Tabla"/>
            </w:pPr>
            <w:r>
              <w:rPr>
                <w:b/>
                <w:bCs/>
              </w:rPr>
              <w:t xml:space="preserve">Evidencia</w:t>
            </w:r>
          </w:p>
        </w:tc>
        <w:tc>
          <w:tcPr>
            <w:tcW w:type="dxa" w:w="4816"/>
            <w:shd w:fill="DFEAF0" w:val="clear"/>
            <w:tcMar>
              <w:top w:type="dxa" w:w="80"/>
              <w:left w:type="dxa" w:w="100"/>
              <w:bottom w:type="dxa" w:w="80"/>
              <w:right w:type="dxa" w:w="100"/>
            </w:tcMar>
          </w:tcPr>
          <w:p>
            <w:pPr>
              <w:pStyle w:val="Tabla"/>
            </w:pPr>
            <w:r>
              <w:rPr>
                <w:b/>
                <w:bCs/>
              </w:rPr>
              <w:t xml:space="preserve">Localizaciones</w:t>
            </w:r>
          </w:p>
        </w:tc>
      </w:tr>
      <w:tr>
        <w:trPr>
          <w:cantSplit/>
          <w:tblHeader w:val="off"/>
        </w:trPr>
        <w:tc>
          <w:tcPr>
            <w:tcW w:type="dxa" w:w="4816"/>
            <w:tcMar>
              <w:top w:type="dxa" w:w="80"/>
              <w:left w:type="dxa" w:w="100"/>
              <w:bottom w:type="dxa" w:w="80"/>
              <w:right w:type="dxa" w:w="100"/>
            </w:tcMar>
          </w:tcPr>
          <w:p>
            <w:pPr>
              <w:pStyle w:val="Tabla"/>
            </w:pPr>
            <w:r>
              <w:t xml:space="preserve">Presentaciones</w:t>
            </w:r>
          </w:p>
        </w:tc>
        <w:tc>
          <w:tcPr>
            <w:tcW w:type="dxa" w:w="4816"/>
            <w:tcMar>
              <w:top w:type="dxa" w:w="80"/>
              <w:left w:type="dxa" w:w="100"/>
              <w:bottom w:type="dxa" w:w="80"/>
              <w:right w:type="dxa" w:w="100"/>
            </w:tcMar>
          </w:tcPr>
          <w:p>
            <w:pPr>
              <w:pStyle w:val="Tabla"/>
            </w:pPr>
            <w:r>
              <w:t xml:space="preserve">C-5:22, C-8:1, C-8:3, C-8:4, C-8:7, C-8:8, C-8:9, C-8:11, C-8:12, C-8:13, C-8:22, C-8:23, C-8:24, C-8:25, C-8:26, C-8:27, C-8:28, C-8:29, C-8:30</w:t>
            </w:r>
          </w:p>
        </w:tc>
      </w:tr>
      <w:tr>
        <w:trPr>
          <w:cantSplit/>
          <w:tblHeader w:val="off"/>
        </w:trPr>
        <w:tc>
          <w:tcPr>
            <w:tcW w:type="dxa" w:w="4816"/>
            <w:tcMar>
              <w:top w:type="dxa" w:w="80"/>
              <w:left w:type="dxa" w:w="100"/>
              <w:bottom w:type="dxa" w:w="80"/>
              <w:right w:type="dxa" w:w="100"/>
            </w:tcMar>
          </w:tcPr>
          <w:p>
            <w:pPr>
              <w:pStyle w:val="Tabla"/>
            </w:pPr>
            <w:r>
              <w:t xml:space="preserve">Capítulos de clase</w:t>
            </w:r>
          </w:p>
        </w:tc>
        <w:tc>
          <w:tcPr>
            <w:tcW w:type="dxa" w:w="4816"/>
            <w:tcMar>
              <w:top w:type="dxa" w:w="80"/>
              <w:left w:type="dxa" w:w="100"/>
              <w:bottom w:type="dxa" w:w="80"/>
              <w:right w:type="dxa" w:w="100"/>
            </w:tcMar>
          </w:tcPr>
          <w:p>
            <w:pPr>
              <w:pStyle w:val="Tabla"/>
            </w:pPr>
            <w:r>
              <w:t xml:space="preserve">18:02, 21:05, 21:08, 21:10, 22:02, 22:03, 22:04, 22:05, 22:06, 22:07, 22:09, 23:02, 23:03, 23:04, 23:05, 23:06, 23:07</w:t>
            </w:r>
          </w:p>
        </w:tc>
      </w:tr>
      <w:tr>
        <w:trPr>
          <w:cantSplit/>
          <w:tblHeader w:val="off"/>
        </w:trPr>
        <w:tc>
          <w:tcPr>
            <w:tcW w:type="dxa" w:w="4816"/>
            <w:tcMar>
              <w:top w:type="dxa" w:w="80"/>
              <w:left w:type="dxa" w:w="100"/>
              <w:bottom w:type="dxa" w:w="80"/>
              <w:right w:type="dxa" w:w="100"/>
            </w:tcMar>
          </w:tcPr>
          <w:p>
            <w:pPr>
              <w:pStyle w:val="Tabla"/>
            </w:pPr>
            <w:r>
              <w:t xml:space="preserve">Práctica</w:t>
            </w:r>
          </w:p>
        </w:tc>
        <w:tc>
          <w:tcPr>
            <w:tcW w:type="dxa" w:w="4816"/>
            <w:tcMar>
              <w:top w:type="dxa" w:w="80"/>
              <w:left w:type="dxa" w:w="100"/>
              <w:bottom w:type="dxa" w:w="80"/>
              <w:right w:type="dxa" w:w="100"/>
            </w:tcMar>
          </w:tcPr>
          <w:p>
            <w:pPr>
              <w:pStyle w:val="Tabla"/>
            </w:pPr>
            <w:r>
              <w:t xml:space="preserve">23 autoevaluaciones; 10 ejercicios; 25 preguntas de exámenes y bancos.</w:t>
            </w:r>
          </w:p>
        </w:tc>
      </w:tr>
      <w:tr>
        <w:trPr>
          <w:cantSplit/>
          <w:tblHeader w:val="off"/>
        </w:trPr>
        <w:tc>
          <w:tcPr>
            <w:tcW w:type="dxa" w:w="4816"/>
            <w:tcMar>
              <w:top w:type="dxa" w:w="80"/>
              <w:left w:type="dxa" w:w="100"/>
              <w:bottom w:type="dxa" w:w="80"/>
              <w:right w:type="dxa" w:w="100"/>
            </w:tcMar>
          </w:tcPr>
          <w:p>
            <w:pPr>
              <w:pStyle w:val="Tabla"/>
            </w:pPr>
            <w:r>
              <w:t xml:space="preserve">Puntos verificados</w:t>
            </w:r>
          </w:p>
        </w:tc>
        <w:tc>
          <w:tcPr>
            <w:tcW w:type="dxa" w:w="4816"/>
            <w:tcMar>
              <w:top w:type="dxa" w:w="80"/>
              <w:left w:type="dxa" w:w="100"/>
              <w:bottom w:type="dxa" w:w="80"/>
              <w:right w:type="dxa" w:w="100"/>
            </w:tcMar>
          </w:tcPr>
          <w:p>
            <w:pPr>
              <w:pStyle w:val="Tabla"/>
            </w:pPr>
            <w:r>
              <w:t xml:space="preserve">139</w:t>
            </w:r>
          </w:p>
        </w:tc>
      </w:tr>
    </w:tbl>
    <w:p>
      <w:pPr>
        <w:pStyle w:val="Fuente"/>
      </w:pPr>
      <w:r>
        <w:t xml:space="preserve">Véase </w:t>
      </w:r>
      <w:hyperlink w:history="1" w:anchor="b_4_6">
        <w:r>
          <w:rPr>
            <w:color w:val="156B70"/>
            <w:u w:val="single"/>
          </w:rPr>
          <w:t xml:space="preserve">4.6 · Toma de decisiones</w:t>
        </w:r>
      </w:hyperlink>
      <w:r>
        <w:t xml:space="preserve">, pág. </w:t>
      </w:r>
      <w:r>
        <w:fldChar w:fldCharType="begin"/>
        <w:instrText xml:space="preserve">PAGEREF b_4_6 \h</w:instrText>
        <w:fldChar w:fldCharType="separate"/>
        <w:t xml:space="preserve">884</w:t>
        <w:fldChar w:fldCharType="end"/>
      </w:r>
      <w:r>
        <w:t xml:space="preserve">.</w:t>
      </w:r>
    </w:p>
    <w:p>
      <w:pPr>
        <w:pStyle w:val="Heading3"/>
      </w:pPr>
      <w:r>
        <w:t xml:space="preserve">4.7 · Hábitos (simulación)</w:t>
      </w:r>
    </w:p>
    <w:tbl>
      <w:tblPr>
        <w:tblW w:type="dxa" w:w="9632"/>
        <w:tblBorders>
          <w:top w:val="single" w:color="C5D5DB" w:sz="4"/>
          <w:left w:val="single" w:color="C5D5DB" w:sz="4"/>
          <w:bottom w:val="single" w:color="C5D5DB" w:sz="4"/>
          <w:right w:val="single" w:color="C5D5DB" w:sz="4"/>
          <w:insideH w:val="single" w:color="E4E9EB" w:sz="3"/>
          <w:insideV w:val="single" w:color="E4E9EB" w:sz="3"/>
        </w:tblBorders>
        <w:tblLayout w:type="fixed"/>
      </w:tblPr>
      <w:tblGrid>
        <w:gridCol w:w="4816"/>
        <w:gridCol w:w="4816"/>
      </w:tblGrid>
      <w:tr>
        <w:trPr>
          <w:cantSplit/>
          <w:tblHeader/>
        </w:trPr>
        <w:tc>
          <w:tcPr>
            <w:tcW w:type="dxa" w:w="4816"/>
            <w:shd w:fill="DFEAF0" w:val="clear"/>
            <w:tcMar>
              <w:top w:type="dxa" w:w="80"/>
              <w:left w:type="dxa" w:w="100"/>
              <w:bottom w:type="dxa" w:w="80"/>
              <w:right w:type="dxa" w:w="100"/>
            </w:tcMar>
          </w:tcPr>
          <w:p>
            <w:pPr>
              <w:pStyle w:val="Tabla"/>
            </w:pPr>
            <w:r>
              <w:rPr>
                <w:b/>
                <w:bCs/>
              </w:rPr>
              <w:t xml:space="preserve">Evidencia</w:t>
            </w:r>
          </w:p>
        </w:tc>
        <w:tc>
          <w:tcPr>
            <w:tcW w:type="dxa" w:w="4816"/>
            <w:shd w:fill="DFEAF0" w:val="clear"/>
            <w:tcMar>
              <w:top w:type="dxa" w:w="80"/>
              <w:left w:type="dxa" w:w="100"/>
              <w:bottom w:type="dxa" w:w="80"/>
              <w:right w:type="dxa" w:w="100"/>
            </w:tcMar>
          </w:tcPr>
          <w:p>
            <w:pPr>
              <w:pStyle w:val="Tabla"/>
            </w:pPr>
            <w:r>
              <w:rPr>
                <w:b/>
                <w:bCs/>
              </w:rPr>
              <w:t xml:space="preserve">Localizaciones</w:t>
            </w:r>
          </w:p>
        </w:tc>
      </w:tr>
      <w:tr>
        <w:trPr>
          <w:cantSplit/>
          <w:tblHeader w:val="off"/>
        </w:trPr>
        <w:tc>
          <w:tcPr>
            <w:tcW w:type="dxa" w:w="4816"/>
            <w:tcMar>
              <w:top w:type="dxa" w:w="80"/>
              <w:left w:type="dxa" w:w="100"/>
              <w:bottom w:type="dxa" w:w="80"/>
              <w:right w:type="dxa" w:w="100"/>
            </w:tcMar>
          </w:tcPr>
          <w:p>
            <w:pPr>
              <w:pStyle w:val="Tabla"/>
            </w:pPr>
            <w:r>
              <w:t xml:space="preserve">Presentaciones</w:t>
            </w:r>
          </w:p>
        </w:tc>
        <w:tc>
          <w:tcPr>
            <w:tcW w:type="dxa" w:w="4816"/>
            <w:tcMar>
              <w:top w:type="dxa" w:w="80"/>
              <w:left w:type="dxa" w:w="100"/>
              <w:bottom w:type="dxa" w:w="80"/>
              <w:right w:type="dxa" w:w="100"/>
            </w:tcMar>
          </w:tcPr>
          <w:p>
            <w:pPr>
              <w:pStyle w:val="Tabla"/>
            </w:pPr>
            <w:r>
              <w:t xml:space="preserve">C-7:3, C-7:4, C-7:10, C-8:2, C-8:10, C-8:20, C-8:21, C-8:31, C-8:32, C-8:33, C-8:34, C-8:35, C-8:36, C-8:37, C-8:38, C-8:39, C-8:40, C-8:42, C-8:43, C-8:44, C-8:45, C-8:46, C-8:47, C-8:48, C-4:17</w:t>
            </w:r>
          </w:p>
        </w:tc>
      </w:tr>
      <w:tr>
        <w:trPr>
          <w:cantSplit/>
          <w:tblHeader w:val="off"/>
        </w:trPr>
        <w:tc>
          <w:tcPr>
            <w:tcW w:type="dxa" w:w="4816"/>
            <w:tcMar>
              <w:top w:type="dxa" w:w="80"/>
              <w:left w:type="dxa" w:w="100"/>
              <w:bottom w:type="dxa" w:w="80"/>
              <w:right w:type="dxa" w:w="100"/>
            </w:tcMar>
          </w:tcPr>
          <w:p>
            <w:pPr>
              <w:pStyle w:val="Tabla"/>
            </w:pPr>
            <w:r>
              <w:t xml:space="preserve">Capítulos de clase</w:t>
            </w:r>
          </w:p>
        </w:tc>
        <w:tc>
          <w:tcPr>
            <w:tcW w:type="dxa" w:w="4816"/>
            <w:tcMar>
              <w:top w:type="dxa" w:w="80"/>
              <w:left w:type="dxa" w:w="100"/>
              <w:bottom w:type="dxa" w:w="80"/>
              <w:right w:type="dxa" w:w="100"/>
            </w:tcMar>
          </w:tcPr>
          <w:p>
            <w:pPr>
              <w:pStyle w:val="Tabla"/>
            </w:pPr>
            <w:r>
              <w:t xml:space="preserve">18:02, 18:05, 18:06, 20:10, 22:01, 22:06, 22:10, 23:02, 23:08, 23:09, 23:10, 23:11, 24:02</w:t>
            </w:r>
          </w:p>
        </w:tc>
      </w:tr>
      <w:tr>
        <w:trPr>
          <w:cantSplit/>
          <w:tblHeader w:val="off"/>
        </w:trPr>
        <w:tc>
          <w:tcPr>
            <w:tcW w:type="dxa" w:w="4816"/>
            <w:tcMar>
              <w:top w:type="dxa" w:w="80"/>
              <w:left w:type="dxa" w:w="100"/>
              <w:bottom w:type="dxa" w:w="80"/>
              <w:right w:type="dxa" w:w="100"/>
            </w:tcMar>
          </w:tcPr>
          <w:p>
            <w:pPr>
              <w:pStyle w:val="Tabla"/>
            </w:pPr>
            <w:r>
              <w:t xml:space="preserve">Práctica</w:t>
            </w:r>
          </w:p>
        </w:tc>
        <w:tc>
          <w:tcPr>
            <w:tcW w:type="dxa" w:w="4816"/>
            <w:tcMar>
              <w:top w:type="dxa" w:w="80"/>
              <w:left w:type="dxa" w:w="100"/>
              <w:bottom w:type="dxa" w:w="80"/>
              <w:right w:type="dxa" w:w="100"/>
            </w:tcMar>
          </w:tcPr>
          <w:p>
            <w:pPr>
              <w:pStyle w:val="Tabla"/>
            </w:pPr>
            <w:r>
              <w:t xml:space="preserve">19 autoevaluaciones; 10 ejercicios; 21 preguntas de exámenes y bancos.</w:t>
            </w:r>
          </w:p>
        </w:tc>
      </w:tr>
      <w:tr>
        <w:trPr>
          <w:cantSplit/>
          <w:tblHeader w:val="off"/>
        </w:trPr>
        <w:tc>
          <w:tcPr>
            <w:tcW w:type="dxa" w:w="4816"/>
            <w:tcMar>
              <w:top w:type="dxa" w:w="80"/>
              <w:left w:type="dxa" w:w="100"/>
              <w:bottom w:type="dxa" w:w="80"/>
              <w:right w:type="dxa" w:w="100"/>
            </w:tcMar>
          </w:tcPr>
          <w:p>
            <w:pPr>
              <w:pStyle w:val="Tabla"/>
            </w:pPr>
            <w:r>
              <w:t xml:space="preserve">Puntos verificados</w:t>
            </w:r>
          </w:p>
        </w:tc>
        <w:tc>
          <w:tcPr>
            <w:tcW w:type="dxa" w:w="4816"/>
            <w:tcMar>
              <w:top w:type="dxa" w:w="80"/>
              <w:left w:type="dxa" w:w="100"/>
              <w:bottom w:type="dxa" w:w="80"/>
              <w:right w:type="dxa" w:w="100"/>
            </w:tcMar>
          </w:tcPr>
          <w:p>
            <w:pPr>
              <w:pStyle w:val="Tabla"/>
            </w:pPr>
            <w:r>
              <w:t xml:space="preserve">222</w:t>
            </w:r>
          </w:p>
        </w:tc>
      </w:tr>
    </w:tbl>
    <w:p>
      <w:pPr>
        <w:pStyle w:val="Fuente"/>
        <w:sectPr>
          <w:headerReference w:type="default" r:id="rId366"/>
          <w:headerReference w:type="first" r:id="rId367"/>
          <w:headerReference w:type="even" r:id="rId368"/>
          <w:footerReference w:type="default" r:id="rId369"/>
          <w:footerReference w:type="first" r:id="rId370"/>
          <w:footerReference w:type="even" r:id="rId371"/>
          <w:type w:val="nextPage"/>
          <w:pgSz w:w="12240" w:h="15840" w:orient="portrait"/>
          <w:pgMar w:top="1361" w:right="1134" w:bottom="1361" w:left="1474" w:header="650" w:footer="680" w:gutter="0"/>
          <w:pgNumType/>
          <w:titlePg/>
          <w:docGrid w:linePitch="360"/>
        </w:sectPr>
      </w:pPr>
      <w:r>
        <w:t xml:space="preserve">Véase </w:t>
      </w:r>
      <w:hyperlink w:history="1" w:anchor="b_4_7">
        <w:r>
          <w:rPr>
            <w:color w:val="156B70"/>
            <w:u w:val="single"/>
          </w:rPr>
          <w:t xml:space="preserve">4.7 · Hábitos (simulación)</w:t>
        </w:r>
      </w:hyperlink>
      <w:r>
        <w:t xml:space="preserve">, pág. </w:t>
      </w:r>
      <w:r>
        <w:fldChar w:fldCharType="begin"/>
        <w:instrText xml:space="preserve">PAGEREF b_4_7 \h</w:instrText>
        <w:fldChar w:fldCharType="separate"/>
        <w:t xml:space="preserve">932</w:t>
        <w:fldChar w:fldCharType="end"/>
      </w:r>
      <w:r>
        <w:t xml:space="preserve">.</w:t>
      </w:r>
    </w:p>
    <w:p>
      <w:pPr>
        <w:pStyle w:val="Heading2"/>
      </w:pPr>
      <w:bookmarkStart w:name="b_bibliografia" w:id="6884"/>
      <w:r>
        <w:t xml:space="preserve">F · Bibliografía y materiales</w:t>
      </w:r>
      <w:bookmarkEnd w:id="6884"/>
    </w:p>
    <w:p>
      <w:pPr>
        <w:pStyle w:val="Normal"/>
      </w:pPr>
      <w:r>
        <w:t xml:space="preserve">Los códigos remiten al catálogo del curso. Las descripciones identifican presentación, lectura, tarea, evaluación o guía. Los documentos originales conservan su autoría; el libro añade organización y práctica editorial.</w:t>
      </w:r>
    </w:p>
    <w:p>
      <w:pPr>
        <w:pStyle w:val="Heading3"/>
      </w:pPr>
      <w:r>
        <w:t xml:space="preserve">G-3 · Guía de estudio para el tercer parcial</w:t>
      </w:r>
    </w:p>
    <w:p>
      <w:pPr>
        <w:pStyle w:val="Normal"/>
      </w:pPr>
      <w:r>
        <w:t xml:space="preserve">Síntesis de estudio de la Unidad 4 con el repaso necesario del primer y segundo parcial, diagramas, casos, doce ejercicios, soluciones y plan de estudio. Edición del 20 de octubre de 2026, elaborada con el material del curso.</w:t>
      </w:r>
    </w:p>
    <w:p>
      <w:pPr>
        <w:pStyle w:val="Fuente"/>
      </w:pPr>
      <w:r>
        <w:t xml:space="preserve">Material del portal: /docs/guia-estudio-tercer-parcial-ts1.pdf</w:t>
      </w:r>
    </w:p>
    <w:p>
      <w:pPr>
        <w:pStyle w:val="Heading3"/>
      </w:pPr>
      <w:r>
        <w:t xml:space="preserve">G-3C · Guía completa del tercer parcial · teoría y práctica</w:t>
      </w:r>
    </w:p>
    <w:p>
      <w:pPr>
        <w:pStyle w:val="Normal"/>
      </w:pPr>
      <w:r>
        <w:t xml:space="preserve">136 subtemas, comprobaciones con soluciones separadas, diagramas y recetas de Vensim. Edición del portal del 27/10/2026.</w:t>
      </w:r>
    </w:p>
    <w:p>
      <w:pPr>
        <w:pStyle w:val="Fuente"/>
      </w:pPr>
      <w:r>
        <w:t xml:space="preserve">Material del portal: /docs/guia-tercer-parcial-completa-ts1.pdf</w:t>
      </w:r>
    </w:p>
    <w:p>
      <w:pPr>
        <w:pStyle w:val="Heading3"/>
      </w:pPr>
      <w:r>
        <w:t xml:space="preserve">G-F · Guía completa del examen final · cuatro unidades</w:t>
      </w:r>
    </w:p>
    <w:p>
      <w:pPr>
        <w:pStyle w:val="Normal"/>
      </w:pPr>
      <w:r>
        <w:t xml:space="preserve">Los 33 temas del curso, casos integradores, teoría, práctica de Vensim y soluciones en anexo. Preparación acumulativa editorial.</w:t>
      </w:r>
    </w:p>
    <w:p>
      <w:pPr>
        <w:pStyle w:val="Fuente"/>
      </w:pPr>
      <w:r>
        <w:t xml:space="preserve">Material del portal: /docs/guia-examen-final-ts1.pdf</w:t>
      </w:r>
    </w:p>
    <w:p>
      <w:pPr>
        <w:pStyle w:val="Heading3"/>
      </w:pPr>
      <w:r>
        <w:t xml:space="preserve">E-1 · Primer parcial reconstruido y resuelto</w:t>
      </w:r>
    </w:p>
    <w:p>
      <w:pPr>
        <w:pStyle w:val="Normal"/>
      </w:pPr>
      <w:r>
        <w:t xml:space="preserve">Documento consolidado fuera del curso que reconstruye las treinta preguntas compartidas del primer parcial ya aplicado, con su clave, la explicación según la clase, la defensa académica y las fuentes. Declara que no predice futuras evaluaciones ni sustituye una clave oficial del catedrático.</w:t>
      </w:r>
    </w:p>
    <w:p>
      <w:pPr>
        <w:pStyle w:val="Fuente"/>
      </w:pPr>
      <w:r>
        <w:t xml:space="preserve">Material del portal: /docs/ts1-E-1-parcial-1-resuelto.pdf</w:t>
      </w:r>
    </w:p>
    <w:p>
      <w:pPr>
        <w:pStyle w:val="Heading3"/>
      </w:pPr>
      <w:r>
        <w:t xml:space="preserve">P-1 · Programa del curso 722 · 2S 2026</w:t>
      </w:r>
    </w:p>
    <w:p>
      <w:pPr>
        <w:pStyle w:val="Normal"/>
      </w:pPr>
      <w:r>
        <w:t xml:space="preserve">Programa oficial de Teoría de Sistemas 1: objetivos, metodología, evaluación, contenido programático de las 4 unidades, calendarización y bibliografía.</w:t>
      </w:r>
    </w:p>
    <w:p>
      <w:pPr>
        <w:pStyle w:val="Fuente"/>
      </w:pPr>
      <w:r>
        <w:t xml:space="preserve">Material del portal: /docs/ts1-P-1-programa-722.pdf</w:t>
      </w:r>
    </w:p>
    <w:p>
      <w:pPr>
        <w:pStyle w:val="Heading3"/>
      </w:pPr>
      <w:r>
        <w:t xml:space="preserve">C-1 · Caso de estudio · Niveles de la visión sistémica</w:t>
      </w:r>
    </w:p>
    <w:p>
      <w:pPr>
        <w:pStyle w:val="Normal"/>
      </w:pPr>
      <w:r>
        <w:t xml:space="preserve">Caso de estudio práctico de los cuatro niveles de la visión sistémica (eventos, patrones, estructuras y modelos mentales) — base del modelo del iceberg.</w:t>
      </w:r>
    </w:p>
    <w:p>
      <w:pPr>
        <w:pStyle w:val="Fuente"/>
      </w:pPr>
      <w:r>
        <w:t xml:space="preserve">Material del portal: /docs/ts1-C-1-niveles-vision-sistemica.pdf</w:t>
      </w:r>
    </w:p>
    <w:p>
      <w:pPr>
        <w:pStyle w:val="Heading3"/>
      </w:pPr>
      <w:r>
        <w:t xml:space="preserve">T-1 · La escalera de inferencias y el iceberg de las perspectivas sistémicas</w:t>
      </w:r>
    </w:p>
    <w:p>
      <w:pPr>
        <w:pStyle w:val="Normal"/>
      </w:pPr>
      <w:r>
        <w:t xml:space="preserve">Copia pública anonimizada de la tarea que integra los siete peldaños de la escalera, los cuatro niveles del iceberg, los casos de Pedro y los tres cortos, y la retroalimentación entre pensamiento y sistema.</w:t>
      </w:r>
    </w:p>
    <w:p>
      <w:pPr>
        <w:pStyle w:val="Fuente"/>
      </w:pPr>
      <w:r>
        <w:t xml:space="preserve">Material del portal: /docs/ts1-T-1-escalera-iceberg.pdf</w:t>
      </w:r>
    </w:p>
    <w:p>
      <w:pPr>
        <w:pStyle w:val="Heading3"/>
      </w:pPr>
      <w:r>
        <w:t xml:space="preserve">T-2 · Los cuatro niveles de la visión sistémica</w:t>
      </w:r>
    </w:p>
    <w:p>
      <w:pPr>
        <w:pStyle w:val="Normal"/>
      </w:pPr>
      <w:r>
        <w:t xml:space="preserve">Copia pública anonimizada de la síntesis del caso «La historia de Acme»: qué encontraron los directivos en cada nivel del iceberg, cómo lo lograron, qué dificultad tuvo cada análisis y por qué el descenso fue consecuencia del fracaso.</w:t>
      </w:r>
    </w:p>
    <w:p>
      <w:pPr>
        <w:pStyle w:val="Fuente"/>
      </w:pPr>
      <w:r>
        <w:t xml:space="preserve">Material del portal: /docs/ts1-T-2-cuatro-niveles.pdf</w:t>
      </w:r>
    </w:p>
    <w:p>
      <w:pPr>
        <w:pStyle w:val="Heading3"/>
      </w:pPr>
      <w:r>
        <w:t xml:space="preserve">T-3 · Síntesis del video ¿Cómo hablar con otros que piensan distinto?</w:t>
      </w:r>
    </w:p>
    <w:p>
      <w:pPr>
        <w:pStyle w:val="Normal"/>
      </w:pPr>
      <w:r>
        <w:t xml:space="preserve">Copia pública anonimizada de la síntesis sobre evidencia, identidad, tribalismo, silencio y las prácticas de pluralismo, escucha y separación entre personas e ideas.</w:t>
      </w:r>
    </w:p>
    <w:p>
      <w:pPr>
        <w:pStyle w:val="Fuente"/>
      </w:pPr>
      <w:r>
        <w:t xml:space="preserve">Material del portal: /docs/ts1-T-3-sintesis-dialogo-sin-tribalismo.pdf</w:t>
      </w:r>
    </w:p>
    <w:p>
      <w:pPr>
        <w:pStyle w:val="Heading3"/>
      </w:pPr>
      <w:r>
        <w:t xml:space="preserve">T-4 · Distinción de dos sistemas de la realidad desde tres perspectivas sistémicas</w:t>
      </w:r>
    </w:p>
    <w:p>
      <w:pPr>
        <w:pStyle w:val="Normal"/>
      </w:pPr>
      <w:r>
        <w:t xml:space="preserve">Copia pública anonimizada del ejercicio que modela dos sistemas con DSRP desde las perspectivas ontológica, funcional y genética.</w:t>
      </w:r>
    </w:p>
    <w:p>
      <w:pPr>
        <w:pStyle w:val="Fuente"/>
      </w:pPr>
      <w:r>
        <w:t xml:space="preserve">Material del portal: /docs/ts1-T-4-dos-sistemas-tres-perspectivas.pdf</w:t>
      </w:r>
    </w:p>
    <w:p>
      <w:pPr>
        <w:pStyle w:val="Heading3"/>
      </w:pPr>
      <w:r>
        <w:t xml:space="preserve">T-5 · Teoría del caos y efecto mariposa</w:t>
      </w:r>
    </w:p>
    <w:p>
      <w:pPr>
        <w:pStyle w:val="Normal"/>
      </w:pPr>
      <w:r>
        <w:t xml:space="preserve">Copia pública anonimizada de la investigación sobre sistemas dinámicos no lineales, sensibilidad a las condiciones iniciales y el mini experimento del mapa logístico con dos trayectorias que parten de 0.2000 y 0.2001.</w:t>
      </w:r>
    </w:p>
    <w:p>
      <w:pPr>
        <w:pStyle w:val="Fuente"/>
      </w:pPr>
      <w:r>
        <w:t xml:space="preserve">Material del portal: /docs/ts1-T-5-caos-efecto-mariposa.pdf</w:t>
      </w:r>
    </w:p>
    <w:p>
      <w:pPr>
        <w:pStyle w:val="Heading3"/>
      </w:pPr>
      <w:r>
        <w:t xml:space="preserve">T-6 · Clasificación de sistemas del contexto cercano</w:t>
      </w:r>
    </w:p>
    <w:p>
      <w:pPr>
        <w:pStyle w:val="Normal"/>
      </w:pPr>
      <w:r>
        <w:t xml:space="preserve">Copia pública anonimizada del ejercicio que clasifica ocho sistemas del entorno universitario y cotidiano en las cuatro categorías del mapa de Peter Checkland, con la justificación de cada caso.</w:t>
      </w:r>
    </w:p>
    <w:p>
      <w:pPr>
        <w:pStyle w:val="Fuente"/>
      </w:pPr>
      <w:r>
        <w:t xml:space="preserve">Material del portal: /docs/ts1-T-6-clasificacion-contexto-cercano.pdf</w:t>
      </w:r>
    </w:p>
    <w:p>
      <w:pPr>
        <w:pStyle w:val="Heading3"/>
      </w:pPr>
      <w:r>
        <w:t xml:space="preserve">T-7 · Multifinalidad de los sistemas</w:t>
      </w:r>
    </w:p>
    <w:p>
      <w:pPr>
        <w:pStyle w:val="Normal"/>
      </w:pPr>
      <w:r>
        <w:t xml:space="preserve">Copia pública anonimizada de la investigación sobre multifinalidad: cinco características, la tabla de qué significa y qué no significa, el contraste con la equifinalidad y el ejemplo de dos equipos de software que parten de los mismos recursos.</w:t>
      </w:r>
    </w:p>
    <w:p>
      <w:pPr>
        <w:pStyle w:val="Fuente"/>
      </w:pPr>
      <w:r>
        <w:t xml:space="preserve">Material del portal: /docs/ts1-T-7-multifinalidad.pdf</w:t>
      </w:r>
    </w:p>
    <w:p>
      <w:pPr>
        <w:pStyle w:val="Heading3"/>
      </w:pPr>
      <w:r>
        <w:t xml:space="preserve">T-8 · Ciclos de retroalimentación</w:t>
      </w:r>
    </w:p>
    <w:p>
      <w:pPr>
        <w:pStyle w:val="Normal"/>
      </w:pPr>
      <w:r>
        <w:t xml:space="preserve">Copia pública anonimizada de la investigación que define los ciclos de compensación y de refuerzo, con el termostato y el control de inventario como ejemplos de balance, y el crecimiento de una población y el interés compuesto como ejemplos de refuerzo.</w:t>
      </w:r>
    </w:p>
    <w:p>
      <w:pPr>
        <w:pStyle w:val="Fuente"/>
      </w:pPr>
      <w:r>
        <w:t xml:space="preserve">Material del portal: /docs/ts1-T-8-ciclos-retroalimentacion.pdf</w:t>
      </w:r>
    </w:p>
    <w:p>
      <w:pPr>
        <w:pStyle w:val="Heading3"/>
      </w:pPr>
      <w:r>
        <w:t xml:space="preserve">T-9 · Mapa DSRP del sistema universidad</w:t>
      </w:r>
    </w:p>
    <w:p>
      <w:pPr>
        <w:pStyle w:val="Normal"/>
      </w:pPr>
      <w:r>
        <w:t xml:space="preserve">Copia pública del lienzo de Plectica con el mapa DSRP de una universidad pública: tres contenedores, siete actores del entorno, diecinueve vínculos rotulados y cuatro perspectivas. La portada se antepone y el lienzo queda íntegro en la página 2.</w:t>
      </w:r>
    </w:p>
    <w:p>
      <w:pPr>
        <w:pStyle w:val="Fuente"/>
      </w:pPr>
      <w:r>
        <w:t xml:space="preserve">Material del portal: /docs/ts1-T-9-mapa-dsrp-universidad.pdf</w:t>
      </w:r>
    </w:p>
    <w:p>
      <w:pPr>
        <w:pStyle w:val="Heading3"/>
      </w:pPr>
      <w:r>
        <w:t xml:space="preserve">T-10 · Mapa DSRP de un sistema informático</w:t>
      </w:r>
    </w:p>
    <w:p>
      <w:pPr>
        <w:pStyle w:val="Normal"/>
      </w:pPr>
      <w:r>
        <w:t xml:space="preserve">Copia pública del lienzo con el mapa DSRP de un sistema de inventario y compras: cuatro bloques, un motor de reglas fuera de todos ellos y ocho actores del entorno. El lienzo se rasterizó recortando el pie, que llevaba el carné del autor.</w:t>
      </w:r>
    </w:p>
    <w:p>
      <w:pPr>
        <w:pStyle w:val="Fuente"/>
      </w:pPr>
      <w:r>
        <w:t xml:space="preserve">Material del portal: /docs/ts1-T-10-mapa-dsrp-sistema-informatico.pdf</w:t>
      </w:r>
    </w:p>
    <w:p>
      <w:pPr>
        <w:pStyle w:val="Heading3"/>
      </w:pPr>
      <w:r>
        <w:t xml:space="preserve">T-11 · Refrescos azucarados y caries</w:t>
      </w:r>
    </w:p>
    <w:p>
      <w:pPr>
        <w:pStyle w:val="Normal"/>
      </w:pPr>
      <w:r>
        <w:t xml:space="preserve">Copia pública del lienzo con el diagrama de ciclos causales del consumo de refrescos azucarados: cinco variables, un ciclo de compensación con una sola relación negativa, una demora y una entrada externa.</w:t>
      </w:r>
    </w:p>
    <w:p>
      <w:pPr>
        <w:pStyle w:val="Fuente"/>
      </w:pPr>
      <w:r>
        <w:t xml:space="preserve">Material del portal: /docs/ts1-T-11-mapa-ciclos-caries.pdf</w:t>
      </w:r>
    </w:p>
    <w:p>
      <w:pPr>
        <w:pStyle w:val="Heading3"/>
      </w:pPr>
      <w:r>
        <w:t xml:space="preserve">T-12 · El cronograma de Ana</w:t>
      </w:r>
    </w:p>
    <w:p>
      <w:pPr>
        <w:pStyle w:val="Normal"/>
      </w:pPr>
      <w:r>
        <w:t xml:space="preserve">Copia pública del lienzo con el diagrama de ciclos causales del cronograma de Ana: cuatro variables, tres relaciones positivas y una negativa que cierran un ciclo de compensación, y el tiempo disponible como entrada externa.</w:t>
      </w:r>
    </w:p>
    <w:p>
      <w:pPr>
        <w:pStyle w:val="Fuente"/>
      </w:pPr>
      <w:r>
        <w:t xml:space="preserve">Material del portal: /docs/ts1-T-12-mapa-ciclos-ana.pdf</w:t>
      </w:r>
    </w:p>
    <w:p>
      <w:pPr>
        <w:pStyle w:val="Heading3"/>
      </w:pPr>
      <w:r>
        <w:t xml:space="preserve">L-1 · Modelos mentales — Joseph O’Connor</w:t>
      </w:r>
    </w:p>
    <w:p>
      <w:pPr>
        <w:pStyle w:val="Normal"/>
      </w:pPr>
      <w:r>
        <w:t xml:space="preserve">Lectura sobre los modelos mentales: cómo filtran la percepción, de dónde vienen y cómo se hacen conscientes. Fuente de la Unidad 1.</w:t>
      </w:r>
    </w:p>
    <w:p>
      <w:pPr>
        <w:pStyle w:val="Fuente"/>
      </w:pPr>
      <w:r>
        <w:t xml:space="preserve">Material del portal: /docs/ts1-L-1-modelos-mentales-oconnor.pdf</w:t>
      </w:r>
    </w:p>
    <w:p>
      <w:pPr>
        <w:pStyle w:val="Heading3"/>
      </w:pPr>
      <w:r>
        <w:t xml:space="preserve">L-2 · Perspectivas — Joseph O’Connor</w:t>
      </w:r>
    </w:p>
    <w:p>
      <w:pPr>
        <w:pStyle w:val="Normal"/>
      </w:pPr>
      <w:r>
        <w:t xml:space="preserve">Lectura sobre las perspectivas: punto y vista, y cómo cambiar de perspectiva amplía la comprensión de un sistema.</w:t>
      </w:r>
    </w:p>
    <w:p>
      <w:pPr>
        <w:pStyle w:val="Fuente"/>
      </w:pPr>
      <w:r>
        <w:t xml:space="preserve">Material del portal: /docs/ts1-L-2-perspectivas-oconnor.pdf</w:t>
      </w:r>
    </w:p>
    <w:p>
      <w:pPr>
        <w:pStyle w:val="Heading3"/>
      </w:pPr>
      <w:r>
        <w:t xml:space="preserve">L-3 · La escalera de inferencias — Metamanagement (Kofman)</w:t>
      </w:r>
    </w:p>
    <w:p>
      <w:pPr>
        <w:pStyle w:val="Normal"/>
      </w:pPr>
      <w:r>
        <w:t xml:space="preserve">Capítulo de Metamanagement sobre la escalera de inferencias: de los datos observables a las conclusiones y acciones, y el salto de abstracción.</w:t>
      </w:r>
    </w:p>
    <w:p>
      <w:pPr>
        <w:pStyle w:val="Fuente"/>
      </w:pPr>
      <w:r>
        <w:t xml:space="preserve">Material del portal: /docs/ts1-L-3-escalera-inferencias-metamanagement.pdf</w:t>
      </w:r>
    </w:p>
    <w:p>
      <w:pPr>
        <w:pStyle w:val="Heading3"/>
      </w:pPr>
      <w:r>
        <w:t xml:space="preserve">L-3.1 · La escalera de las inferencias (síntesis)</w:t>
      </w:r>
    </w:p>
    <w:p>
      <w:pPr>
        <w:pStyle w:val="Normal"/>
      </w:pPr>
      <w:r>
        <w:t xml:space="preserve">Síntesis breve de la escalera de inferencias de Chris Argyris para repaso rápido.</w:t>
      </w:r>
    </w:p>
    <w:p>
      <w:pPr>
        <w:pStyle w:val="Fuente"/>
      </w:pPr>
      <w:r>
        <w:t xml:space="preserve">Material del portal: /docs/ts1-L-3-1-escalera-de-las-inferencias.pdf</w:t>
      </w:r>
    </w:p>
    <w:p>
      <w:pPr>
        <w:pStyle w:val="Heading3"/>
      </w:pPr>
      <w:r>
        <w:t xml:space="preserve">L-5 · Enfoque de sistemas y pensamiento sistémico</w:t>
      </w:r>
    </w:p>
    <w:p>
      <w:pPr>
        <w:pStyle w:val="Normal"/>
      </w:pPr>
      <w:r>
        <w:t xml:space="preserve">Lectura de la Unidad 2 sobre el enfoque de sistemas: en qué se diferencia de la mirada analítica clásica y qué implica sostener el pensamiento sistémico como método de trabajo.</w:t>
      </w:r>
    </w:p>
    <w:p>
      <w:pPr>
        <w:pStyle w:val="Fuente"/>
      </w:pPr>
      <w:r>
        <w:t xml:space="preserve">Material del portal: /docs/ts1-L-5-enfoque-de-sistemas.pdf</w:t>
      </w:r>
    </w:p>
    <w:p>
      <w:pPr>
        <w:pStyle w:val="Heading3"/>
      </w:pPr>
      <w:r>
        <w:t xml:space="preserve">L-6 · El paradigma sistémico: Teoría General de Sistemas</w:t>
      </w:r>
    </w:p>
    <w:p>
      <w:pPr>
        <w:pStyle w:val="Normal"/>
      </w:pPr>
      <w:r>
        <w:t xml:space="preserve">Lectura que presenta la Teoría General de Sistemas como paradigma: de dónde surge, qué problema resuelve frente a la fragmentación disciplinaria y qué compromisos impone al observador.</w:t>
      </w:r>
    </w:p>
    <w:p>
      <w:pPr>
        <w:pStyle w:val="Fuente"/>
      </w:pPr>
      <w:r>
        <w:t xml:space="preserve">Material del portal: /docs/ts1-L-6-paradigma-sistemico-tgs.pdf</w:t>
      </w:r>
    </w:p>
    <w:p>
      <w:pPr>
        <w:pStyle w:val="Heading3"/>
      </w:pPr>
      <w:r>
        <w:t xml:space="preserve">L-7 · Introducción a la TGS: conceptos e historia</w:t>
      </w:r>
    </w:p>
    <w:p>
      <w:pPr>
        <w:pStyle w:val="Normal"/>
      </w:pPr>
      <w:r>
        <w:t xml:space="preserve">Lectura que recorre la historia de la Teoría General de Sistemas y fija su vocabulario básico: sistema, frontera, entorno, entradas y salidas, jerarquía y los conceptos que la Unidad 2 desarrolla.</w:t>
      </w:r>
    </w:p>
    <w:p>
      <w:pPr>
        <w:pStyle w:val="Fuente"/>
      </w:pPr>
      <w:r>
        <w:t xml:space="preserve">Material del portal: /docs/ts1-L-7-introduccion-tgs.pdf</w:t>
      </w:r>
    </w:p>
    <w:p>
      <w:pPr>
        <w:pStyle w:val="Heading3"/>
      </w:pPr>
      <w:r>
        <w:t xml:space="preserve">L-8 · Ingeniería de sistemas: orígenes y definición</w:t>
      </w:r>
    </w:p>
    <w:p>
      <w:pPr>
        <w:pStyle w:val="Normal"/>
      </w:pPr>
      <w:r>
        <w:t xml:space="preserve">Documento del catedrático del curso sobre el origen y la definición de la ingeniería de sistemas, y cómo se apoya en el mapa de los sistemas diseñados para intervenir en la realidad.</w:t>
      </w:r>
    </w:p>
    <w:p>
      <w:pPr>
        <w:pStyle w:val="Fuente"/>
      </w:pPr>
      <w:r>
        <w:t xml:space="preserve">Material del portal: /docs/ts1-L-8-ingenieria-de-sistemas.pdf</w:t>
      </w:r>
    </w:p>
    <w:p>
      <w:pPr>
        <w:pStyle w:val="Heading3"/>
      </w:pPr>
      <w:r>
        <w:t xml:space="preserve">L-4 · La fábula de los ciegos y el elefante (extracto)</w:t>
      </w:r>
    </w:p>
    <w:p>
      <w:pPr>
        <w:pStyle w:val="Normal"/>
      </w:pPr>
      <w:r>
        <w:t xml:space="preserve">Extracto sobre la fábula de los ciegos y el elefante: cada perspectiva parcial es verdadera pero incompleta; el sistema se comprende integrando puntos de vista.</w:t>
      </w:r>
    </w:p>
    <w:p>
      <w:pPr>
        <w:pStyle w:val="Fuente"/>
      </w:pPr>
      <w:r>
        <w:t xml:space="preserve">Material del portal: /docs/ts1-L-4-fabula-ciegos-elefante.pdf</w:t>
      </w:r>
    </w:p>
    <w:p>
      <w:pPr>
        <w:pStyle w:val="Heading3"/>
      </w:pPr>
      <w:r>
        <w:t xml:space="preserve">L-9 · Lineamientos para dibujar diagramas de ciclos causales — Daniel H. Kim</w:t>
      </w:r>
    </w:p>
    <w:p>
      <w:pPr>
        <w:pStyle w:val="Normal"/>
      </w:pPr>
      <w:r>
        <w:t xml:space="preserve">Una página con los diez lineamientos de Kim para dibujar diagramas de ciclos causales: variables nombradas con sustantivos que puedan subir y bajar, el objetivo explícito en los ciclos de balance, los términos intermedios, las consecuencias no buscadas y la regla de contar los negativos y releer el ciclo. El profesor mostró dos de ellos en la clase 16.</w:t>
      </w:r>
    </w:p>
    <w:p>
      <w:pPr>
        <w:pStyle w:val="Fuente"/>
      </w:pPr>
      <w:r>
        <w:t xml:space="preserve">Material del portal: /docs/ts1-L-9-lineamientos-ciclos-causales-kim.pdf</w:t>
      </w:r>
    </w:p>
    <w:p>
      <w:pPr>
        <w:pStyle w:val="Heading3"/>
      </w:pPr>
      <w:r>
        <w:t xml:space="preserve">L-10 · Sesión de aprendizaje 2 y 3 · Sistemas dinámicos de primer orden</w:t>
      </w:r>
    </w:p>
    <w:p>
      <w:pPr>
        <w:pStyle w:val="Normal"/>
      </w:pPr>
      <w:r>
        <w:t xml:space="preserve">Guía de sesión sobre sistemas de realimentación: influencias positivas y negativas entre variables («a más X, más Y»), bucles y la regla de los signos, la jerarquía variable → enlace → bucle → sistema, y los ejemplos de las autopistas (refuerzo) y del depósito de agua con nivel objetivo (balance), con su paso a diagramas de Forrester.</w:t>
      </w:r>
    </w:p>
    <w:p>
      <w:pPr>
        <w:pStyle w:val="Fuente"/>
      </w:pPr>
      <w:r>
        <w:t xml:space="preserve">Material del portal: /docs/ts1-L-10-sistemas-dinamicos-primer-orden.pdf</w:t>
      </w:r>
    </w:p>
    <w:p>
      <w:pPr>
        <w:pStyle w:val="Heading3"/>
      </w:pPr>
      <w:r>
        <w:t xml:space="preserve">L-11 · Pensamiento en círculos — O’Connor y McDermott (capítulo 2)</w:t>
      </w:r>
    </w:p>
    <w:p>
      <w:pPr>
        <w:pStyle w:val="Normal"/>
      </w:pPr>
      <w:r>
        <w:t xml:space="preserve">Capítulo 2 de Introducción al pensamiento sistémico: la realimentación como esencia de los sistemas, los bucles de refuerzo y de compensación, la proalimentación, las demoras (la ducha que oscila) y por qué a veces no aprendemos de la experiencia. Copia recomprimida del escaneo que compartió el profesor.</w:t>
      </w:r>
    </w:p>
    <w:p>
      <w:pPr>
        <w:pStyle w:val="Fuente"/>
      </w:pPr>
      <w:r>
        <w:t xml:space="preserve">Material del portal: /docs/ts1-L-11-pensamiento-en-circulos-oconnor.pdf</w:t>
      </w:r>
    </w:p>
    <w:p>
      <w:pPr>
        <w:pStyle w:val="Heading3"/>
      </w:pPr>
      <w:r>
        <w:t xml:space="preserve">L-12 · Del pensamiento lineal al pensamiento sistémico — Echeverri y Franco (capítulos I y II)</w:t>
      </w:r>
    </w:p>
    <w:p>
      <w:pPr>
        <w:pStyle w:val="Normal"/>
      </w:pPr>
      <w:r>
        <w:t xml:space="preserve">Primera parte de Pensamiento sistémico: un enfoque práctico. El capítulo I describe el pensamiento lineal y su idea del tiempo; el capítulo II opone los dos enfoques sobre la causalidad: la cadena causa → efecto y el círculo en el que el efecto vuelve sobre la causa. Copia recomprimida del escaneo.</w:t>
      </w:r>
    </w:p>
    <w:p>
      <w:pPr>
        <w:pStyle w:val="Fuente"/>
      </w:pPr>
      <w:r>
        <w:t xml:space="preserve">Material del portal: /docs/ts1-L-12-pensamiento-lineal-causalidad-echeverri.pdf</w:t>
      </w:r>
    </w:p>
    <w:p>
      <w:pPr>
        <w:pStyle w:val="Heading3"/>
      </w:pPr>
      <w:r>
        <w:t xml:space="preserve">L-13 · Retroalimentación y realimentación · Diagramas lineales y sistémicos — Echeverri y Franco (capítulos III a VIII)</w:t>
      </w:r>
    </w:p>
    <w:p>
      <w:pPr>
        <w:pStyle w:val="Normal"/>
      </w:pPr>
      <w:r>
        <w:t xml:space="preserve">Diagramas lineales frente a sistémicos con el caso de hervir el agua; el sistema para llenar un vaso con agua (nivel deseado, brecha percibida, grifo, flujo y nivel actual); procesos reforzadores y compensadores con demoras; diagramas de acopio y flujo; diagramas de procesos frente a diagramas sistémicos; y la diferencia entre la retroalimentación de la teoría tradicional de sistemas y la realimentación del pensamiento sistémico. Copia recomprimida del escaneo.</w:t>
      </w:r>
    </w:p>
    <w:p>
      <w:pPr>
        <w:pStyle w:val="Fuente"/>
      </w:pPr>
      <w:r>
        <w:t xml:space="preserve">Material del portal: /docs/ts1-L-13-realimentacion-diagramas-sistemicos-echeverri.pdf</w:t>
      </w:r>
    </w:p>
    <w:p>
      <w:pPr>
        <w:pStyle w:val="Heading3"/>
      </w:pPr>
      <w:r>
        <w:t xml:space="preserve">L-14 · El modelado: tipos y clasificaciones — UNAD, Dinámica de sistemas (capítulo 2)</w:t>
      </w:r>
    </w:p>
    <w:p>
      <w:pPr>
        <w:pStyle w:val="Normal"/>
      </w:pPr>
      <w:r>
        <w:t xml:space="preserve">Lecciones 6 a 10 del curso de Dinámica de sistemas de la UNAD: la idea de modelo, el modelo para representar o para ser representado, y la clasificación del modelado según su uso y según su proceso.</w:t>
      </w:r>
    </w:p>
    <w:p>
      <w:pPr>
        <w:pStyle w:val="Fuente"/>
      </w:pPr>
      <w:r>
        <w:t xml:space="preserve">Material del portal: /docs/ts1-L-14-el-modelado-unad.pdf</w:t>
      </w:r>
    </w:p>
    <w:p>
      <w:pPr>
        <w:pStyle w:val="Heading3"/>
      </w:pPr>
      <w:r>
        <w:t xml:space="preserve">L-15 · Dinámica de sistemas — Javier Aracil (ISDEFE)</w:t>
      </w:r>
    </w:p>
    <w:p>
      <w:pPr>
        <w:pStyle w:val="Normal"/>
      </w:pPr>
      <w:r>
        <w:t xml:space="preserve">Monografía de la serie de ingeniería de sistemas de ISDEFE: el diagrama de influencias, los bucles de realimentación negativa y positiva, los retrasos y las estructuras genéricas; cómo la estructura genera el comportamiento; y la construcción, análisis y explotación de modelos. Los capítulos 2 y 3 acompañan la Unidad 3; el 4 anticipa la Unidad 4.</w:t>
      </w:r>
    </w:p>
    <w:p>
      <w:pPr>
        <w:pStyle w:val="Fuente"/>
      </w:pPr>
      <w:r>
        <w:t xml:space="preserve">Material del portal: /docs/ts1-L-15-dinamica-de-sistemas-aracil.pdf</w:t>
      </w:r>
    </w:p>
    <w:p>
      <w:pPr>
        <w:pStyle w:val="Heading3"/>
      </w:pPr>
      <w:r>
        <w:t xml:space="preserve">L-16 · Diagramas de Forrester y simulación — UNAD, Dinámica de sistemas (unidad 2)</w:t>
      </w:r>
    </w:p>
    <w:p>
      <w:pPr>
        <w:pStyle w:val="Normal"/>
      </w:pPr>
      <w:r>
        <w:t xml:space="preserve">Los elementos del diagrama de Forrester (niveles, flujos, variables auxiliares y retardos), cómo elaborarlo a partir del diagrama de influencias y cómo simular: escenarios, sensibilidad, validación y experimentación. Material de la Unidad 4 del curso, para después del segundo parcial.</w:t>
      </w:r>
    </w:p>
    <w:p>
      <w:pPr>
        <w:pStyle w:val="Fuente"/>
      </w:pPr>
      <w:r>
        <w:t xml:space="preserve">Material del portal: /docs/ts1-L-16-diagramas-de-forrester-simulacion-unad.pdf</w:t>
      </w:r>
    </w:p>
    <w:p>
      <w:pPr>
        <w:pStyle w:val="Heading3"/>
      </w:pPr>
      <w:r>
        <w:t xml:space="preserve">C-5 · Unidad 1 · Sistemas abstractos diseñados y paradigmas (presentación)</w:t>
      </w:r>
    </w:p>
    <w:p>
      <w:pPr>
        <w:pStyle w:val="Normal"/>
      </w:pPr>
      <w:r>
        <w:t xml:space="preserve">63 páginas con paradigmas, tipos de pensamiento, escalera de inferencias, iceberg, hábitos, DSRP y modelos sistémicos. Copia íntegra de la presentación del profesor.</w:t>
      </w:r>
    </w:p>
    <w:p>
      <w:pPr>
        <w:pStyle w:val="Fuente"/>
      </w:pPr>
      <w:r>
        <w:t xml:space="preserve">Material del portal: /docs/ts1-C-5-unidad-1-sistemas-abstractos-paradigmas.pdf</w:t>
      </w:r>
    </w:p>
    <w:p>
      <w:pPr>
        <w:pStyle w:val="Heading3"/>
      </w:pPr>
      <w:r>
        <w:t xml:space="preserve">C-6 · Unidad 2 · Teoría de sistemas y pensamiento sistémico (presentación)</w:t>
      </w:r>
    </w:p>
    <w:p>
      <w:pPr>
        <w:pStyle w:val="Normal"/>
      </w:pPr>
      <w:r>
        <w:t xml:space="preserve">65 páginas con teoría de sistemas, elementos, estructura, función, niveles, sinergia, emergencia, complejidad y universo de sistemas. Copia íntegra de la presentación del profesor.</w:t>
      </w:r>
    </w:p>
    <w:p>
      <w:pPr>
        <w:pStyle w:val="Fuente"/>
      </w:pPr>
      <w:r>
        <w:t xml:space="preserve">Material del portal: /docs/ts1-C-6-unidad-2-teoria-de-sistemas.pdf</w:t>
      </w:r>
    </w:p>
    <w:p>
      <w:pPr>
        <w:pStyle w:val="Heading3"/>
      </w:pPr>
      <w:r>
        <w:t xml:space="preserve">C-7 · Unidad 4a · Simulación dinámica (versión de octubre)</w:t>
      </w:r>
    </w:p>
    <w:p>
      <w:pPr>
        <w:pStyle w:val="Normal"/>
      </w:pPr>
      <w:r>
        <w:t xml:space="preserve">40 páginas de octubre: acumulaciones, flujos y niveles, parámetros para escenarios, epidemia, Francisco y teléfonos en Vensim. Se conserva también la versión de abril C-3, cuya numeración mantienen las citas anteriores.</w:t>
      </w:r>
    </w:p>
    <w:p>
      <w:pPr>
        <w:pStyle w:val="Fuente"/>
      </w:pPr>
      <w:r>
        <w:t xml:space="preserve">Material del portal: /docs/ts1-C-7-unidad-4a-simulacion-dinamica-octubre.pdf</w:t>
      </w:r>
    </w:p>
    <w:p>
      <w:pPr>
        <w:pStyle w:val="Heading3"/>
      </w:pPr>
      <w:r>
        <w:t xml:space="preserve">C-8 · Unidad 4b · Toma de decisiones (versión de octubre)</w:t>
      </w:r>
    </w:p>
    <w:p>
      <w:pPr>
        <w:pStyle w:val="Normal"/>
      </w:pPr>
      <w:r>
        <w:t xml:space="preserve">57 páginas de octubre: decisiones, arquetipos, doce puntos de Meadows explicados, resiliencia, usos del modelado y ejercicios de teléfonos. Se conserva también la versión de abril C-4, cuya numeración mantienen las citas anteriores.</w:t>
      </w:r>
    </w:p>
    <w:p>
      <w:pPr>
        <w:pStyle w:val="Fuente"/>
      </w:pPr>
      <w:r>
        <w:t xml:space="preserve">Material del portal: /docs/ts1-C-8-unidad-4b-toma-decisiones-octubre.pdf</w:t>
      </w:r>
    </w:p>
    <w:p>
      <w:pPr>
        <w:pStyle w:val="Heading3"/>
      </w:pPr>
      <w:r>
        <w:t xml:space="preserve">C-2 · Unidad 3 · Desarrollo del pensamiento sistémico complejo (presentación)</w:t>
      </w:r>
    </w:p>
    <w:p>
      <w:pPr>
        <w:pStyle w:val="Normal"/>
      </w:pPr>
      <w:r>
        <w:t xml:space="preserve">La presentación completa de la Unidad 3 tal como la compartió el profesor: 129 páginas con las reglas simples del pensamiento sistémico, los mapas DSRP, los diagramas de ciclos causales, la polaridad y los tipos de ciclo, las demoras, los patrones de comportamiento y los ejercicios trabajados en clase. Complementa las 128 láminas capturadas durante las sesiones.</w:t>
      </w:r>
    </w:p>
    <w:p>
      <w:pPr>
        <w:pStyle w:val="Fuente"/>
      </w:pPr>
      <w:r>
        <w:t xml:space="preserve">Material del portal: /docs/ts1-C-2-unidad-3-pensamiento-sistemico-complejo.pdf</w:t>
      </w:r>
    </w:p>
    <w:p>
      <w:pPr>
        <w:pStyle w:val="Heading3"/>
      </w:pPr>
      <w:r>
        <w:t xml:space="preserve">C-3 · Unidad 4a · Desarrollo de la simulación dinámica de sistemas (versión de abril)</w:t>
      </w:r>
    </w:p>
    <w:p>
      <w:pPr>
        <w:pStyle w:val="Normal"/>
      </w:pPr>
      <w:r>
        <w:t xml:space="preserve">Versión de abril de la presentación de simulación (C-7 contiene la versión de octubre): 60 páginas con el hábito de las acumulaciones, los niveles y los flujos, el diagrama de Forrester y el modelo de la epidemia, las reglas para pasar de un diagrama de ciclos causales a uno de flujos y niveles con sus ejercicios, el préstamo bancario para modelar en Vensim, las fases y los componentes de un modelo, los comportamientos dinámicos habituales y los ejemplos de población, presas y depredadores. Copia sin la impresión automática al abrirse.</w:t>
      </w:r>
    </w:p>
    <w:p>
      <w:pPr>
        <w:pStyle w:val="Fuente"/>
      </w:pPr>
      <w:r>
        <w:t xml:space="preserve">Material del portal: /docs/ts1-C-3-unidad-4a-simulacion-dinamica.pdf</w:t>
      </w:r>
    </w:p>
    <w:p>
      <w:pPr>
        <w:pStyle w:val="Heading3"/>
      </w:pPr>
      <w:r>
        <w:t xml:space="preserve">C-4 · Unidad 4b · Hábitos de un pensador sistémico: toma de decisiones sistémicas (versión de abril)</w:t>
      </w:r>
    </w:p>
    <w:p>
      <w:pPr>
        <w:pStyle w:val="Normal"/>
      </w:pPr>
      <w:r>
        <w:t xml:space="preserve">Versión de abril de la presentación de decisiones (C-8 contiene la versión de octubre): 48 páginas con los hábitos de las consecuencias, de considerar un tema a fondo, del apalancamiento y de la aproximación sucesiva; los arquetipos «soluciones rápidas que fallan» y «desplazamiento de la carga» con sus historias; los doce puntos de apalancamiento de Meadows; el ciclo de mejora continua; la resiliencia y la resolución de problemas con los hábitos en cuatro etapas. Copia sin la impresión automática al abrirse.</w:t>
      </w:r>
    </w:p>
    <w:p>
      <w:pPr>
        <w:pStyle w:val="Fuente"/>
      </w:pPr>
      <w:r>
        <w:t xml:space="preserve">Material del portal: /docs/ts1-C-4-unidad-4b-toma-decisiones-sistemicas.pdf</w:t>
      </w:r>
    </w:p>
    <w:p>
      <w:pPr>
        <w:pStyle w:val="Heading3"/>
      </w:pPr>
      <w:r>
        <w:t xml:space="preserve">L-17 · Arquetipos sistémicos de un vistazo — Pegasus Communications</w:t>
      </w:r>
    </w:p>
    <w:p>
      <w:pPr>
        <w:pStyle w:val="Normal"/>
      </w:pPr>
      <w:r>
        <w:t xml:space="preserve">Una hoja con ocho arquetipos tomados de La quinta disciplina de Senge y reimpresos de The Systems Thinker: para cada uno, su diagrama de ciclos causales con los signos de cada relación, las letras R y B de sus ciclos y las demoras, una descripción y los lineamientos para reconocerlo y actuar.</w:t>
      </w:r>
    </w:p>
    <w:p>
      <w:pPr>
        <w:pStyle w:val="Fuente"/>
      </w:pPr>
      <w:r>
        <w:t xml:space="preserve">Material del portal: /docs/ts1-L-17-arquetipos-de-un-vistazo.pdf</w:t>
      </w:r>
    </w:p>
    <w:p>
      <w:pPr>
        <w:pStyle w:val="Heading3"/>
      </w:pPr>
      <w:r>
        <w:t xml:space="preserve">L-18 · Guía práctica para el uso de los arquetipos — Daniel H. Kim y Colleen Lannon-Kim</w:t>
      </w:r>
    </w:p>
    <w:p>
      <w:pPr>
        <w:pStyle w:val="Normal"/>
      </w:pPr>
      <w:r>
        <w:t xml:space="preserve">Una hoja con los mismos ocho arquetipos vistos como herramientas: para qué sirve cada uno (planear, resolver problemas, competir, asignar recursos), siete pasos para aplicarlo y un ejemplo resuelto con su diagrama, como la escalada de los programas de viajero frecuente o el éxito del teclado QWERTY.</w:t>
      </w:r>
    </w:p>
    <w:p>
      <w:pPr>
        <w:pStyle w:val="Fuente"/>
      </w:pPr>
      <w:r>
        <w:t xml:space="preserve">Material del portal: /docs/ts1-L-18-guia-practica-arquetipos-kim.pdf</w:t>
      </w:r>
    </w:p>
    <w:p>
      <w:pPr>
        <w:pStyle w:val="Heading3"/>
      </w:pPr>
      <w:r>
        <w:t xml:space="preserve">L-19 · Arquetipos sistémicos: detalles y ejemplos — Rodolfo Valentini</w:t>
      </w:r>
    </w:p>
    <w:p>
      <w:pPr>
        <w:pStyle w:val="Normal"/>
      </w:pPr>
      <w:r>
        <w:t xml:space="preserve">Siete páginas con el origen de los arquetipos y diez de ellos en la notación de Senge: estructura, descripción, síntoma de advertencia, principio administrativo y ejemplos. Añade a los ocho de las hojas de Pegasus la compensación entre proceso y demora y el desplazamiento de la carga hacia la intervención.</w:t>
      </w:r>
    </w:p>
    <w:p>
      <w:pPr>
        <w:pStyle w:val="Fuente"/>
      </w:pPr>
      <w:r>
        <w:t xml:space="preserve">Material del portal: /docs/ts1-L-19-arquetipos-detalles-ejemplos-valentini.pdf</w:t>
      </w:r>
    </w:p>
    <w:p>
      <w:pPr>
        <w:pStyle w:val="Heading3"/>
      </w:pPr>
      <w:r>
        <w:t xml:space="preserve">L-20 · Resiliencia: un enfoque sistémico — Oscar R. Castello</w:t>
      </w:r>
    </w:p>
    <w:p>
      <w:pPr>
        <w:pStyle w:val="Normal"/>
      </w:pPr>
      <w:r>
        <w:t xml:space="preserve">Ocho páginas sobre la resiliencia de personas y organizaciones vista como sistema: tres definiciones, cuatro pilares (objetivos futuros, enfrentar la realidad, la búsqueda de sentido y hacer con lo que se tiene a mano), un modelo que une el hoy con el mañana por medio del feedback, seis habilidades y la montaña rusa del cambio. La presentación 4b la resume.</w:t>
      </w:r>
    </w:p>
    <w:p>
      <w:pPr>
        <w:pStyle w:val="Fuente"/>
      </w:pPr>
      <w:r>
        <w:t xml:space="preserve">Material del portal: /docs/ts1-L-20-resiliencia-enfoque-sistemico-castello.pdf</w:t>
      </w:r>
    </w:p>
    <w:p>
      <w:pPr>
        <w:pStyle w:val="Heading3"/>
      </w:pPr>
      <w:r>
        <w:t xml:space="preserve">Fuentes técnicas de esta edición</w:t>
      </w:r>
    </w:p>
    <w:p>
      <w:pPr>
        <w:pStyle w:val="Normal"/>
        <w:sectPr>
          <w:headerReference w:type="default" r:id="rId372"/>
          <w:headerReference w:type="first" r:id="rId373"/>
          <w:headerReference w:type="even" r:id="rId374"/>
          <w:footerReference w:type="default" r:id="rId375"/>
          <w:footerReference w:type="first" r:id="rId376"/>
          <w:footerReference w:type="even" r:id="rId377"/>
          <w:type w:val="nextPage"/>
          <w:pgSz w:w="12240" w:h="15840" w:orient="portrait"/>
          <w:pgMar w:top="1361" w:right="1134" w:bottom="1361" w:left="1474" w:header="650" w:footer="680" w:gutter="0"/>
          <w:pgNumType/>
          <w:titlePg/>
          <w:docGrid w:linePitch="360"/>
        </w:sectPr>
      </w:pPr>
      <w:r>
        <w:t xml:space="preserve">Tipografías Adobe Source (SIL OFL 1.1): </w:t>
      </w:r>
      <w:hyperlink w:history="1" r:id="rIduc4nyzichc47exdgw0trd">
        <w:r>
          <w:rPr>
            <w:color w:val="156B70"/>
            <w:u w:val="single"/>
          </w:rPr>
          <w:t xml:space="preserve">https://github.com/adobe-fonts/source-serif</w:t>
        </w:r>
      </w:hyperlink>
      <w:r>
        <w:t xml:space="preserve">, </w:t>
      </w:r>
      <w:hyperlink w:history="1" r:id="rIdiycsi1bvk9dpot_v1ciqe">
        <w:r>
          <w:rPr>
            <w:color w:val="156B70"/>
            <w:u w:val="single"/>
          </w:rPr>
          <w:t xml:space="preserve">https://github.com/adobe-fonts/source-sans</w:t>
        </w:r>
      </w:hyperlink>
      <w:r>
        <w:t xml:space="preserve"> y </w:t>
      </w:r>
      <w:hyperlink w:history="1" r:id="rId0grlaibvl7p5pqvbiytte">
        <w:r>
          <w:rPr>
            <w:color w:val="156B70"/>
            <w:u w:val="single"/>
          </w:rPr>
          <w:t xml:space="preserve">https://github.com/adobe-fonts/source-code-pro</w:t>
        </w:r>
      </w:hyperlink>
      <w:r>
        <w:t xml:space="preserve">. Generación OOXML con docx 9.11.0: </w:t>
      </w:r>
      <w:hyperlink w:history="1" r:id="rIdwpvwzoy8yaljahiqnirpc">
        <w:r>
          <w:rPr>
            <w:color w:val="156B70"/>
            <w:u w:val="single"/>
          </w:rPr>
          <w:t xml:space="preserve">https://docx.js.org</w:t>
        </w:r>
      </w:hyperlink>
      <w:r>
        <w:t xml:space="preserve">. Maquetación de comprobación con LibreOffice; figuras fotografiadas desde los componentes y datos del portal.</w:t>
      </w:r>
    </w:p>
    <w:p>
      <w:pPr>
        <w:pStyle w:val="Heading2"/>
      </w:pPr>
      <w:bookmarkStart w:name="b_avisos" w:id="6885"/>
      <w:r>
        <w:t xml:space="preserve">G · Avisos y logística no evaluables</w:t>
      </w:r>
      <w:bookmarkEnd w:id="6885"/>
    </w:p>
    <w:p>
      <w:pPr>
        <w:pStyle w:val="Normal"/>
      </w:pPr>
      <w:r>
        <w:t xml:space="preserve">Estas afirmaciones se verificaron en las presentaciones y en las grabaciones, pero no son contenido de examen: portadas, calendarios, instrucciones de plataforma, entregas, notas y avisos de evaluación. Se reúnen aquí, cada una con su motivo, para que el libro conserve la cobertura completa sin interrumpir el estudio de los capítulos. Las señales sobre exámenes están en el apéndice A.</w:t>
      </w:r>
    </w:p>
    <w:p>
      <w:pPr>
        <w:pStyle w:val="Heading3"/>
      </w:pPr>
      <w:bookmarkStart w:name="b_avisos_unidad_1" w:id="6886"/>
      <w:r>
        <w:t xml:space="preserve">Unidad 1</w:t>
      </w:r>
      <w:bookmarkEnd w:id="6886"/>
    </w:p>
    <w:p>
      <w:pPr>
        <w:pStyle w:val="Normal"/>
      </w:pPr>
      <w:r>
        <w:rPr>
          <w:b/>
          <w:bCs/>
        </w:rPr>
        <w:t xml:space="preserve">Clase 1 · 00:00:16–00:07:57 · Bienvenida y encuadre del curso</w:t>
      </w:r>
    </w:p>
    <w:p>
      <w:bookmarkStart w:name="b_punto_c1_cap_01_p01" w:id="6887"/>
      <w:r>
        <w:t xml:space="preserve">Bienvenida, presentación del docente y auxiliar, horario, ausencia de laboratorio formal, clases por Meet, evaluaciones presenciales y acceso a UEDI.</w:t>
      </w:r>
      <w:bookmarkEnd w:id="6887"/>
    </w:p>
    <w:p>
      <w:pPr>
        <w:pStyle w:val="Fuente"/>
      </w:pPr>
      <w:r>
        <w:t xml:space="preserve">Motivo: Encuadre administrativo del semestre; está reconstruido, pero no añade un concepto ni ejercicio evaluable del temario.</w:t>
      </w:r>
    </w:p>
    <w:p>
      <w:pPr>
        <w:pStyle w:val="Fuente"/>
      </w:pPr>
      <w:r>
        <w:t xml:space="preserve">Véase </w:t>
      </w:r>
      <w:hyperlink w:history="1" w:anchor="b_unidad_1">
        <w:r>
          <w:rPr>
            <w:color w:val="156B70"/>
            <w:u w:val="single"/>
          </w:rPr>
          <w:t xml:space="preserve">Parte I</w:t>
        </w:r>
      </w:hyperlink>
      <w:r>
        <w:t xml:space="preserve">, pág. </w:t>
      </w:r>
      <w:r>
        <w:fldChar w:fldCharType="begin"/>
        <w:instrText xml:space="preserve">PAGEREF b_unidad_1 \h</w:instrText>
        <w:fldChar w:fldCharType="separate"/>
        <w:t xml:space="preserve">17</w:t>
        <w:fldChar w:fldCharType="end"/>
      </w:r>
      <w:r>
        <w:t xml:space="preserve">.</w:t>
      </w:r>
    </w:p>
    <w:p>
      <w:pPr>
        <w:pStyle w:val="Normal"/>
      </w:pPr>
      <w:r>
        <w:rPr>
          <w:b/>
          <w:bCs/>
        </w:rPr>
        <w:t xml:space="preserve">Clase 1 · 00:35:11–00:56:29 · Metodología, ponderación y calendario</w:t>
      </w:r>
    </w:p>
    <w:p>
      <w:bookmarkStart w:name="b_punto_c1_cap_05_p01" w:id="6888"/>
      <w:r>
        <w:t xml:space="preserve">Lecturas, videos, investigaciones breves, ejercicios y cortos en UEDI acompañan cada semana y se entregan como participación activa.</w:t>
      </w:r>
      <w:bookmarkEnd w:id="6888"/>
    </w:p>
    <w:p>
      <w:pPr>
        <w:pStyle w:val="Fuente"/>
      </w:pPr>
      <w:r>
        <w:t xml:space="preserve">Motivo: Metodología y entregas del semestre; no es materia conceptual adicional del examen.</w:t>
      </w:r>
    </w:p>
    <w:p>
      <w:bookmarkStart w:name="b_punto_c1_cap_05_p02" w:id="6889"/>
      <w:r>
        <w:t xml:space="preserve">La evaluación se realiza presencialmente: parciales suman 50 puntos, participación activa 15, simulación 10 y final 25; zona total 75.</w:t>
      </w:r>
      <w:bookmarkEnd w:id="6889"/>
    </w:p>
    <w:p>
      <w:pPr>
        <w:pStyle w:val="Fuente"/>
      </w:pPr>
      <w:r>
        <w:t xml:space="preserve">Motivo: Reglas de evaluación publicadas; el 25 % no determina el número ni tipo de preguntas del final.</w:t>
      </w:r>
    </w:p>
    <w:p>
      <w:bookmarkStart w:name="b_punto_c1_cap_05_p03" w:id="6890"/>
      <w:r>
        <w:t xml:space="preserve">Las actividades de participación no se reponen; el docente corrige una nota del programa y admite reposición de un parcial perdido con causa extrema, solicitada por correo cuanto antes.</w:t>
      </w:r>
      <w:bookmarkEnd w:id="6890"/>
    </w:p>
    <w:p>
      <w:pPr>
        <w:pStyle w:val="Fuente"/>
      </w:pPr>
      <w:r>
        <w:t xml:space="preserve">Motivo: Corrección administrativa conservada en el portal, sin trasladarla a preguntas académicas.</w:t>
      </w:r>
    </w:p>
    <w:p>
      <w:bookmarkStart w:name="b_punto_c1_cap_05_p04" w:id="6891"/>
      <w:r>
        <w:t xml:space="preserve">El primer parcial cubre las unidades 1 y 2; la fecha del 15 de agosto era tentativa. La Unidad 3 y el segundo parcial tienen su calendario propio.</w:t>
      </w:r>
      <w:bookmarkEnd w:id="6891"/>
    </w:p>
    <w:p>
      <w:pPr>
        <w:pStyle w:val="Fuente"/>
      </w:pPr>
      <w:r>
        <w:t xml:space="preserve">Motivo: Alcance del primer parcial y calendario histórico; no prueba por sí solo el temario del examen final.</w:t>
      </w:r>
    </w:p>
    <w:p>
      <w:bookmarkStart w:name="b_punto_c1_cap_05_p05" w:id="6892"/>
      <w:r>
        <w:t xml:space="preserve">La Unidad 4 se programa con modelación, decisiones y simulación; se anuncia reposición al cierre de octubre y final en noviembre según calendario de Facultad.</w:t>
      </w:r>
      <w:bookmarkEnd w:id="6892"/>
    </w:p>
    <w:p>
      <w:pPr>
        <w:pStyle w:val="Fuente"/>
      </w:pPr>
      <w:r>
        <w:t xml:space="preserve">Motivo: No se fija fecha concreta ni formato del final en esta sesión.</w:t>
      </w:r>
    </w:p>
    <w:p>
      <w:bookmarkStart w:name="b_punto_c1_cap_05_p06" w:id="6893"/>
      <w:r>
        <w:t xml:space="preserve">La clase no leerá todo el material: las presentaciones sintetizan lecturas y videos disponibles; el estudiante debe estudiar las fuentes además de la exposición.</w:t>
      </w:r>
      <w:bookmarkEnd w:id="6893"/>
    </w:p>
    <w:p>
      <w:pPr>
        <w:pStyle w:val="Fuente"/>
      </w:pPr>
      <w:r>
        <w:t xml:space="preserve">Motivo: Instrucción de estudio y funcionamiento de UEDI, sin contenido nuevo que desarrollar en una lección.</w:t>
      </w:r>
    </w:p>
    <w:p>
      <w:pPr>
        <w:pStyle w:val="Fuente"/>
      </w:pPr>
      <w:r>
        <w:t xml:space="preserve">Véase </w:t>
      </w:r>
      <w:hyperlink w:history="1" w:anchor="b_unidad_1">
        <w:r>
          <w:rPr>
            <w:color w:val="156B70"/>
            <w:u w:val="single"/>
          </w:rPr>
          <w:t xml:space="preserve">Parte I</w:t>
        </w:r>
      </w:hyperlink>
      <w:r>
        <w:t xml:space="preserve">, pág. </w:t>
      </w:r>
      <w:r>
        <w:fldChar w:fldCharType="begin"/>
        <w:instrText xml:space="preserve">PAGEREF b_unidad_1 \h</w:instrText>
        <w:fldChar w:fldCharType="separate"/>
        <w:t xml:space="preserve">17</w:t>
        <w:fldChar w:fldCharType="end"/>
      </w:r>
      <w:r>
        <w:t xml:space="preserve">.</w:t>
      </w:r>
    </w:p>
    <w:p>
      <w:pPr>
        <w:pStyle w:val="Normal"/>
      </w:pPr>
      <w:r>
        <w:rPr>
          <w:b/>
          <w:bCs/>
        </w:rPr>
        <w:t xml:space="preserve">Clase 2 · 01:27:08–01:41:07 · Evaluación corta y tarea: escalera de inferencias e iceberg</w:t>
      </w:r>
    </w:p>
    <w:p>
      <w:bookmarkStart w:name="b_punto_c2_cap_10_p01" w:id="6894"/>
      <w:r>
        <w:t xml:space="preserve">Se realiza la evaluación corta 1 sobre paradigmas y tipos de pensamiento con diez minutos y retroalimentación; participaron 53 estudiantes y el promedio superó 80.</w:t>
      </w:r>
      <w:bookmarkEnd w:id="6894"/>
    </w:p>
    <w:p>
      <w:pPr>
        <w:pStyle w:val="Fuente"/>
      </w:pPr>
      <w:r>
        <w:t xml:space="preserve">Motivo: Actividad evaluativa histórica sin preguntas académicas nuevas legibles en el audio; no fija el formato del final.</w:t>
      </w:r>
    </w:p>
    <w:p>
      <w:bookmarkStart w:name="b_punto_c2_cap_10_p02" w:id="6895"/>
      <w:r>
        <w:t xml:space="preserve">Se asigna síntesis en PDF de la escalera de inferencias y el iceberg o cuatro niveles para la sesión siguiente.</w:t>
      </w:r>
      <w:bookmarkEnd w:id="6895"/>
    </w:p>
    <w:p>
      <w:pPr>
        <w:pStyle w:val="Fuente"/>
      </w:pPr>
      <w:r>
        <w:t xml:space="preserve">Motivo: El encargo no sustituye el desarrollo académico de ambos modelos, ya enlazado a sus lecciones y tarea.</w:t>
      </w:r>
    </w:p>
    <w:p>
      <w:pPr>
        <w:pStyle w:val="Fuente"/>
      </w:pPr>
      <w:r>
        <w:t xml:space="preserve">Véase </w:t>
      </w:r>
      <w:hyperlink w:history="1" w:anchor="b_unidad_1">
        <w:r>
          <w:rPr>
            <w:color w:val="156B70"/>
            <w:u w:val="single"/>
          </w:rPr>
          <w:t xml:space="preserve">Parte I</w:t>
        </w:r>
      </w:hyperlink>
      <w:r>
        <w:t xml:space="preserve">, pág. </w:t>
      </w:r>
      <w:r>
        <w:fldChar w:fldCharType="begin"/>
        <w:instrText xml:space="preserve">PAGEREF b_unidad_1 \h</w:instrText>
        <w:fldChar w:fldCharType="separate"/>
        <w:t xml:space="preserve">17</w:t>
        <w:fldChar w:fldCharType="end"/>
      </w:r>
      <w:r>
        <w:t xml:space="preserve">.</w:t>
      </w:r>
    </w:p>
    <w:p>
      <w:pPr>
        <w:pStyle w:val="Normal"/>
      </w:pPr>
      <w:r>
        <w:rPr>
          <w:b/>
          <w:bCs/>
        </w:rPr>
        <w:t xml:space="preserve">C-5 · página 1 · El pensamiento sistémico y los sistemas abstractos diseñados</w:t>
      </w:r>
    </w:p>
    <w:p>
      <w:bookmarkStart w:name="b_punto_c5_p001_01" w:id="6896"/>
      <w:r>
        <w:t xml:space="preserve">Portada y subtítulo de la presentación.</w:t>
      </w:r>
      <w:bookmarkEnd w:id="6896"/>
    </w:p>
    <w:p>
      <w:pPr>
        <w:pStyle w:val="Fuente"/>
      </w:pPr>
      <w:r>
        <w:t xml:space="preserve">Motivo: No introduce afirmaciones nuevas ni una actividad de estudio; la unidad comienza en la página 3.</w:t>
      </w:r>
    </w:p>
    <w:p>
      <w:pPr>
        <w:pStyle w:val="Fuente"/>
      </w:pPr>
      <w:r>
        <w:t xml:space="preserve">Véase </w:t>
      </w:r>
      <w:hyperlink w:history="1" w:anchor="b_pagina_1_1_C_5_p1">
        <w:r>
          <w:rPr>
            <w:color w:val="156B70"/>
            <w:u w:val="single"/>
          </w:rPr>
          <w:t xml:space="preserve">capítulo 1.1 · Paradigmas y modelos mentales</w:t>
        </w:r>
      </w:hyperlink>
      <w:r>
        <w:t xml:space="preserve">, pág. </w:t>
      </w:r>
      <w:r>
        <w:fldChar w:fldCharType="begin"/>
        <w:instrText xml:space="preserve">PAGEREF b_pagina_1_1_C_5_p1 \h</w:instrText>
        <w:fldChar w:fldCharType="separate"/>
        <w:t xml:space="preserve">25</w:t>
        <w:fldChar w:fldCharType="end"/>
      </w:r>
      <w:r>
        <w:t xml:space="preserve">.</w:t>
      </w:r>
    </w:p>
    <w:p>
      <w:pPr>
        <w:pStyle w:val="Normal"/>
      </w:pPr>
      <w:r>
        <w:rPr>
          <w:b/>
          <w:bCs/>
        </w:rPr>
        <w:t xml:space="preserve">C-5 · página 2 · Programa y planificación de la Unidad 1</w:t>
      </w:r>
    </w:p>
    <w:p>
      <w:bookmarkStart w:name="b_punto_c5_p002_09" w:id="6897"/>
      <w:r>
        <w:t xml:space="preserve">Planificación: cubrir del 16 al 30 de julio.</w:t>
      </w:r>
      <w:bookmarkEnd w:id="6897"/>
    </w:p>
    <w:p>
      <w:pPr>
        <w:pStyle w:val="Fuente"/>
      </w:pPr>
      <w:r>
        <w:t xml:space="preserve">Motivo: Calendarización histórica de impartición; no fija la fecha ni el formato del final.</w:t>
      </w:r>
    </w:p>
    <w:p>
      <w:pPr>
        <w:pStyle w:val="Fuente"/>
      </w:pPr>
      <w:r>
        <w:t xml:space="preserve">Véase </w:t>
      </w:r>
      <w:hyperlink w:history="1" w:anchor="b_pagina_1_1_C_5_p2">
        <w:r>
          <w:rPr>
            <w:color w:val="156B70"/>
            <w:u w:val="single"/>
          </w:rPr>
          <w:t xml:space="preserve">capítulo 1.1 · Paradigmas y modelos mentales</w:t>
        </w:r>
      </w:hyperlink>
      <w:r>
        <w:t xml:space="preserve">, pág. </w:t>
      </w:r>
      <w:r>
        <w:fldChar w:fldCharType="begin"/>
        <w:instrText xml:space="preserve">PAGEREF b_pagina_1_1_C_5_p2 \h</w:instrText>
        <w:fldChar w:fldCharType="separate"/>
        <w:t xml:space="preserve">26</w:t>
        <w:fldChar w:fldCharType="end"/>
      </w:r>
      <w:r>
        <w:t xml:space="preserve">.</w:t>
      </w:r>
    </w:p>
    <w:p>
      <w:pPr>
        <w:pStyle w:val="Normal"/>
      </w:pPr>
      <w:r>
        <w:rPr>
          <w:b/>
          <w:bCs/>
        </w:rPr>
        <w:t xml:space="preserve">C-5 · página 17 · Evaluación corta n.º 1</w:t>
      </w:r>
    </w:p>
    <w:p>
      <w:bookmarkStart w:name="b_punto_c5_p017_01" w:id="6898"/>
      <w:r>
        <w:t xml:space="preserve">Acceder al corto de paradigmas y tipos de pensamiento antes de las 8:49.</w:t>
      </w:r>
      <w:bookmarkEnd w:id="6898"/>
    </w:p>
    <w:p>
      <w:pPr>
        <w:pStyle w:val="Fuente"/>
      </w:pPr>
      <w:r>
        <w:t xml:space="preserve">Motivo: Instrucción operativa caducada; no contiene los enunciados ni la clave de la evaluación y no establece el alcance del final.</w:t>
      </w:r>
    </w:p>
    <w:p>
      <w:pPr>
        <w:pStyle w:val="Fuente"/>
      </w:pPr>
      <w:r>
        <w:t xml:space="preserve">Véase </w:t>
      </w:r>
      <w:hyperlink w:history="1" w:anchor="b_pagina_1_1_C_5_p17">
        <w:r>
          <w:rPr>
            <w:color w:val="156B70"/>
            <w:u w:val="single"/>
          </w:rPr>
          <w:t xml:space="preserve">capítulo 1.1 · Paradigmas y modelos mentales</w:t>
        </w:r>
      </w:hyperlink>
      <w:r>
        <w:t xml:space="preserve">, pág. </w:t>
      </w:r>
      <w:r>
        <w:fldChar w:fldCharType="begin"/>
        <w:instrText xml:space="preserve">PAGEREF b_pagina_1_1_C_5_p17 \h</w:instrText>
        <w:fldChar w:fldCharType="separate"/>
        <w:t xml:space="preserve">30</w:t>
        <w:fldChar w:fldCharType="end"/>
      </w:r>
      <w:r>
        <w:t xml:space="preserve">.</w:t>
      </w:r>
    </w:p>
    <w:p>
      <w:pPr>
        <w:pStyle w:val="Normal"/>
      </w:pPr>
      <w:r>
        <w:rPr>
          <w:b/>
          <w:bCs/>
        </w:rPr>
        <w:t xml:space="preserve">C-6 · página 2 · Unidades 1 y 2 del curso</w:t>
      </w:r>
    </w:p>
    <w:p>
      <w:bookmarkStart w:name="b_punto_c6_p002_03" w:id="6899"/>
      <w:r>
        <w:t xml:space="preserve">La planificación muestra cubrir U1 del 16 al 30 de julio, U2 del 1 al 13 de agosto y evaluación del 15 de agosto por confirmar.</w:t>
      </w:r>
      <w:bookmarkEnd w:id="6899"/>
    </w:p>
    <w:p>
      <w:pPr>
        <w:pStyle w:val="Fuente"/>
      </w:pPr>
      <w:r>
        <w:t xml:space="preserve">Motivo: Calendario histórico del primer parcial, no nueva materia académica del final. Conservar como fuente histórica y no como convocatoria de noviembre.</w:t>
      </w:r>
    </w:p>
    <w:p>
      <w:pPr>
        <w:pStyle w:val="Fuente"/>
      </w:pPr>
      <w:r>
        <w:t xml:space="preserve">Véase </w:t>
      </w:r>
      <w:hyperlink w:history="1" w:anchor="b_pagina_1_1_C_6_p2">
        <w:r>
          <w:rPr>
            <w:color w:val="156B70"/>
            <w:u w:val="single"/>
          </w:rPr>
          <w:t xml:space="preserve">capítulo 1.1 · Paradigmas y modelos mentales</w:t>
        </w:r>
      </w:hyperlink>
      <w:r>
        <w:t xml:space="preserve">, pág. </w:t>
      </w:r>
      <w:r>
        <w:fldChar w:fldCharType="begin"/>
        <w:instrText xml:space="preserve">PAGEREF b_pagina_1_1_C_6_p2 \h</w:instrText>
        <w:fldChar w:fldCharType="separate"/>
        <w:t xml:space="preserve">34</w:t>
        <w:fldChar w:fldCharType="end"/>
      </w:r>
      <w:r>
        <w:t xml:space="preserve">.</w:t>
      </w:r>
    </w:p>
    <w:p>
      <w:pPr>
        <w:pStyle w:val="Normal"/>
      </w:pPr>
      <w:r>
        <w:rPr>
          <w:b/>
          <w:bCs/>
        </w:rPr>
        <w:t xml:space="preserve">Clase 1 · 01:28:06–01:35:22 · Sobre el pensamiento y la tarea para la próxima sesión</w:t>
      </w:r>
    </w:p>
    <w:p>
      <w:bookmarkStart w:name="b_punto_c1_cap_10_p01" w:id="6900"/>
      <w:r>
        <w:t xml:space="preserve">Se solicita revisar el video de Barker, con ejemplos tecnológicos y empresariales de utilidad y limitación de paradigmas.</w:t>
      </w:r>
      <w:bookmarkEnd w:id="6900"/>
    </w:p>
    <w:p>
      <w:pPr>
        <w:pStyle w:val="Fuente"/>
      </w:pPr>
      <w:r>
        <w:t xml:space="preserve">Motivo: Asignación del recurso para la siguiente sesión; su contenido se desarrolla en la lección enlazada.</w:t>
      </w:r>
    </w:p>
    <w:p>
      <w:bookmarkStart w:name="b_punto_c1_cap_10_p05" w:id="6901"/>
      <w:r>
        <w:t xml:space="preserve">La rueda mostrada no incluía el sistémico; se asigna el artículo de tipos de pensamiento y se anuncia comprobación de lectura para el siguiente día.</w:t>
      </w:r>
      <w:bookmarkEnd w:id="6901"/>
    </w:p>
    <w:p>
      <w:pPr>
        <w:pStyle w:val="Fuente"/>
      </w:pPr>
      <w:r>
        <w:t xml:space="preserve">Motivo: La comprobación anunciada es una actividad corta de esa semana, no el formato ni alcance del final.</w:t>
      </w:r>
    </w:p>
    <w:p>
      <w:pPr>
        <w:pStyle w:val="Fuente"/>
      </w:pPr>
      <w:r>
        <w:t xml:space="preserve">Véase </w:t>
      </w:r>
      <w:hyperlink w:history="1" w:anchor="b_clase_1_1_c1_cap_10">
        <w:r>
          <w:rPr>
            <w:color w:val="156B70"/>
            <w:u w:val="single"/>
          </w:rPr>
          <w:t xml:space="preserve">capítulo 1.1 · Paradigmas y modelos mentales</w:t>
        </w:r>
      </w:hyperlink>
      <w:r>
        <w:t xml:space="preserve">, pág. </w:t>
      </w:r>
      <w:r>
        <w:fldChar w:fldCharType="begin"/>
        <w:instrText xml:space="preserve">PAGEREF b_clase_1_1_c1_cap_10 \h</w:instrText>
        <w:fldChar w:fldCharType="separate"/>
        <w:t xml:space="preserve">36</w:t>
        <w:fldChar w:fldCharType="end"/>
      </w:r>
      <w:r>
        <w:t xml:space="preserve">.</w:t>
      </w:r>
    </w:p>
    <w:p>
      <w:pPr>
        <w:pStyle w:val="Normal"/>
      </w:pPr>
      <w:r>
        <w:rPr>
          <w:b/>
          <w:bCs/>
        </w:rPr>
        <w:t xml:space="preserve">Clase 4 · 00:00:21–00:06:41 · Repaso: los cuatro hábitos ligados a los modelos mentales</w:t>
      </w:r>
    </w:p>
    <w:p>
      <w:bookmarkStart w:name="b_punto_c4_cap_01_p01" w:id="6902"/>
      <w:r>
        <w:t xml:space="preserve">Apertura del 25 de julio, comprobación de sonido, acceso y activación de grabaciones; avisos históricos sin concepto adicional del temario.</w:t>
      </w:r>
      <w:bookmarkEnd w:id="6902"/>
    </w:p>
    <w:p>
      <w:pPr>
        <w:pStyle w:val="Fuente"/>
      </w:pPr>
      <w:r>
        <w:t xml:space="preserve">Motivo: Tramo de logística o entrega pasada, sin concepto nuevo; los puntos académicos del capítulo se conservan por separado.</w:t>
      </w:r>
    </w:p>
    <w:p>
      <w:pPr>
        <w:pStyle w:val="Fuente"/>
      </w:pPr>
      <w:r>
        <w:t xml:space="preserve">Véase </w:t>
      </w:r>
      <w:hyperlink w:history="1" w:anchor="b_1_1">
        <w:r>
          <w:rPr>
            <w:color w:val="156B70"/>
            <w:u w:val="single"/>
          </w:rPr>
          <w:t xml:space="preserve">capítulo 1.1 · Paradigmas y modelos mentales</w:t>
        </w:r>
      </w:hyperlink>
      <w:r>
        <w:t xml:space="preserve">, pág. </w:t>
      </w:r>
      <w:r>
        <w:fldChar w:fldCharType="begin"/>
        <w:instrText xml:space="preserve">PAGEREF b_1_1 \h</w:instrText>
        <w:fldChar w:fldCharType="separate"/>
        <w:t xml:space="preserve">19</w:t>
        <w:fldChar w:fldCharType="end"/>
      </w:r>
      <w:r>
        <w:t xml:space="preserve">.</w:t>
      </w:r>
    </w:p>
    <w:p>
      <w:pPr>
        <w:pStyle w:val="Normal"/>
      </w:pPr>
      <w:r>
        <w:rPr>
          <w:b/>
          <w:bCs/>
        </w:rPr>
        <w:t xml:space="preserve">Clase 4 · 01:24:58–01:39:11 · Investigando suposiciones, cambiar las perspectivas y cierre</w:t>
      </w:r>
    </w:p>
    <w:p>
      <w:bookmarkStart w:name="b_punto_c4_cap_10_p08" w:id="6903"/>
      <w:r>
        <w:t xml:space="preserve">PDF, horario con holgura, entrada de entrega, anuncio de cierre de Unidad 1 y despedida son instrucciones históricas; la actividad académica queda en los puntos anteriores.</w:t>
      </w:r>
      <w:bookmarkEnd w:id="6903"/>
    </w:p>
    <w:p>
      <w:pPr>
        <w:pStyle w:val="Fuente"/>
      </w:pPr>
      <w:r>
        <w:t xml:space="preserve">Motivo: Tramo de logística o entrega pasada, sin concepto nuevo; los puntos académicos del capítulo se conservan por separado.</w:t>
      </w:r>
    </w:p>
    <w:p>
      <w:pPr>
        <w:pStyle w:val="Fuente"/>
      </w:pPr>
      <w:r>
        <w:t xml:space="preserve">Véase </w:t>
      </w:r>
      <w:hyperlink w:history="1" w:anchor="b_clase_1_1_c4_cap_10">
        <w:r>
          <w:rPr>
            <w:color w:val="156B70"/>
            <w:u w:val="single"/>
          </w:rPr>
          <w:t xml:space="preserve">capítulo 1.1 · Paradigmas y modelos mentales</w:t>
        </w:r>
      </w:hyperlink>
      <w:r>
        <w:t xml:space="preserve">, pág. </w:t>
      </w:r>
      <w:r>
        <w:fldChar w:fldCharType="begin"/>
        <w:instrText xml:space="preserve">PAGEREF b_clase_1_1_c4_cap_10 \h</w:instrText>
        <w:fldChar w:fldCharType="separate"/>
        <w:t xml:space="preserve">41</w:t>
        <w:fldChar w:fldCharType="end"/>
      </w:r>
      <w:r>
        <w:t xml:space="preserve">.</w:t>
      </w:r>
    </w:p>
    <w:p>
      <w:pPr>
        <w:pStyle w:val="Normal"/>
      </w:pPr>
      <w:r>
        <w:rPr>
          <w:b/>
          <w:bCs/>
        </w:rPr>
        <w:t xml:space="preserve">Clase 6 · 00:01:45–00:07:10 · Apertura: se cierra la unidad 1 y se abre la unidad 2</w:t>
      </w:r>
    </w:p>
    <w:p>
      <w:bookmarkStart w:name="b_punto_c6_cap_01_p01" w:id="6904"/>
      <w:r>
        <w:t xml:space="preserve">Bienvenida, comprobación de audio y fecha de la sesión del primero de agosto.</w:t>
      </w:r>
      <w:bookmarkEnd w:id="6904"/>
    </w:p>
    <w:p>
      <w:pPr>
        <w:pStyle w:val="Fuente"/>
      </w:pPr>
      <w:r>
        <w:t xml:space="preserve">Motivo: Encuadre administrativo; no añade una definición o ejercicio al temario.</w:t>
      </w:r>
    </w:p>
    <w:p>
      <w:pPr>
        <w:pStyle w:val="Fuente"/>
      </w:pPr>
      <w:r>
        <w:t xml:space="preserve">Véase </w:t>
      </w:r>
      <w:hyperlink w:history="1" w:anchor="b_clase_1_1_c6_cap_01">
        <w:r>
          <w:rPr>
            <w:color w:val="156B70"/>
            <w:u w:val="single"/>
          </w:rPr>
          <w:t xml:space="preserve">capítulo 1.1 · Paradigmas y modelos mentales</w:t>
        </w:r>
      </w:hyperlink>
      <w:r>
        <w:t xml:space="preserve">, pág. </w:t>
      </w:r>
      <w:r>
        <w:fldChar w:fldCharType="begin"/>
        <w:instrText xml:space="preserve">PAGEREF b_clase_1_1_c6_cap_01 \h</w:instrText>
        <w:fldChar w:fldCharType="separate"/>
        <w:t xml:space="preserve">43</w:t>
        <w:fldChar w:fldCharType="end"/>
      </w:r>
      <w:r>
        <w:t xml:space="preserve">.</w:t>
      </w:r>
    </w:p>
    <w:p>
      <w:pPr>
        <w:pStyle w:val="Normal"/>
      </w:pPr>
      <w:r>
        <w:rPr>
          <w:b/>
          <w:bCs/>
        </w:rPr>
        <w:t xml:space="preserve">Clase 6 · 00:07:10–00:10:40 · Encuadre de la unidad 2, el parcial y el límite del paradigma</w:t>
      </w:r>
    </w:p>
    <w:p>
      <w:bookmarkStart w:name="b_punto_c6_cap_02_p01" w:id="6905"/>
      <w:r>
        <w:t xml:space="preserve">La conceptualización de Unidad 2 se abordará hasta el 13 de agosto y las unidades posteriores la ampliarán con ejemplos.</w:t>
      </w:r>
      <w:bookmarkEnd w:id="6905"/>
    </w:p>
    <w:p>
      <w:pPr>
        <w:pStyle w:val="Fuente"/>
      </w:pPr>
      <w:r>
        <w:t xml:space="preserve">Motivo: Delimitación temporal de una unidad en agosto; no fija el alcance ni el formato del final.</w:t>
      </w:r>
    </w:p>
    <w:p>
      <w:bookmarkStart w:name="b_punto_c6_cap_02_p02" w:id="6906"/>
      <w:r>
        <w:t xml:space="preserve">El primer parcial se prevé para el sábado 15 de agosto, condicionado a cambios de programación por el feriado.</w:t>
      </w:r>
      <w:bookmarkEnd w:id="6906"/>
    </w:p>
    <w:p>
      <w:pPr>
        <w:pStyle w:val="Fuente"/>
      </w:pPr>
      <w:r>
        <w:t xml:space="preserve">Motivo: Aviso histórico del primer parcial. La fecha y su condición no se extrapolan al examen final.</w:t>
      </w:r>
    </w:p>
    <w:p>
      <w:pPr>
        <w:pStyle w:val="Fuente"/>
      </w:pPr>
      <w:r>
        <w:t xml:space="preserve">Véase </w:t>
      </w:r>
      <w:hyperlink w:history="1" w:anchor="b_clase_1_1_c6_cap_02">
        <w:r>
          <w:rPr>
            <w:color w:val="156B70"/>
            <w:u w:val="single"/>
          </w:rPr>
          <w:t xml:space="preserve">capítulo 1.1 · Paradigmas y modelos mentales</w:t>
        </w:r>
      </w:hyperlink>
      <w:r>
        <w:t xml:space="preserve">, pág. </w:t>
      </w:r>
      <w:r>
        <w:fldChar w:fldCharType="begin"/>
        <w:instrText xml:space="preserve">PAGEREF b_clase_1_1_c6_cap_02 \h</w:instrText>
        <w:fldChar w:fldCharType="separate"/>
        <w:t xml:space="preserve">43</w:t>
        <w:fldChar w:fldCharType="end"/>
      </w:r>
      <w:r>
        <w:t xml:space="preserve">.</w:t>
      </w:r>
    </w:p>
    <w:p>
      <w:pPr>
        <w:pStyle w:val="Normal"/>
      </w:pPr>
      <w:r>
        <w:rPr>
          <w:b/>
          <w:bCs/>
        </w:rPr>
        <w:t xml:space="preserve">Clase 6 · 00:10:40–00:19:20 · El video de Emilio Carrillo y el tramo sin audio</w:t>
      </w:r>
    </w:p>
    <w:p>
      <w:bookmarkStart w:name="b_punto_c6_cap_03_p01" w:id="6907"/>
      <w:r>
        <w:t xml:space="preserve">El profesor presenta el extracto filosófico de Emilio Carrillo como provocación para opinar sobre el uso de sistemas de creencias.</w:t>
      </w:r>
      <w:bookmarkEnd w:id="6907"/>
    </w:p>
    <w:p>
      <w:pPr>
        <w:pStyle w:val="Fuente"/>
      </w:pPr>
      <w:r>
        <w:t xml:space="preserve">Motivo: Presentación de una fuente filosófica que el docente declara fuera del temario en cues 247–249; el comentario académico se contrasta en c6-cap-05.</w:t>
      </w:r>
    </w:p>
    <w:p>
      <w:bookmarkStart w:name="b_punto_c6_cap_03_p02" w:id="6908"/>
      <w:r>
        <w:t xml:space="preserve">El primer intento de proyección no transmitió audio; se registran comprobaciones y tentativas técnicas.</w:t>
      </w:r>
      <w:bookmarkEnd w:id="6908"/>
    </w:p>
    <w:p>
      <w:pPr>
        <w:pStyle w:val="Fuente"/>
      </w:pPr>
      <w:r>
        <w:t xml:space="preserve">Motivo: Falla técnica sin contenido académico omitido; no debe reconstruirse un audio que no quedó registrado.</w:t>
      </w:r>
    </w:p>
    <w:p>
      <w:bookmarkStart w:name="b_punto_c6_cap_03_p03" w:id="6909"/>
      <w:r>
        <w:t xml:space="preserve">El auxiliar realiza el intento que permite escuchar el extracto a partir del capítulo siguiente.</w:t>
      </w:r>
      <w:bookmarkEnd w:id="6909"/>
    </w:p>
    <w:p>
      <w:pPr>
        <w:pStyle w:val="Fuente"/>
      </w:pPr>
      <w:r>
        <w:t xml:space="preserve">Motivo: Transición técnica hacia el video; no añade materia evaluable.</w:t>
      </w:r>
    </w:p>
    <w:p>
      <w:pPr>
        <w:pStyle w:val="Fuente"/>
      </w:pPr>
      <w:r>
        <w:t xml:space="preserve">Véase </w:t>
      </w:r>
      <w:hyperlink w:history="1" w:anchor="b_1_1">
        <w:r>
          <w:rPr>
            <w:color w:val="156B70"/>
            <w:u w:val="single"/>
          </w:rPr>
          <w:t xml:space="preserve">capítulo 1.1 · Paradigmas y modelos mentales</w:t>
        </w:r>
      </w:hyperlink>
      <w:r>
        <w:t xml:space="preserve">, pág. </w:t>
      </w:r>
      <w:r>
        <w:fldChar w:fldCharType="begin"/>
        <w:instrText xml:space="preserve">PAGEREF b_1_1 \h</w:instrText>
        <w:fldChar w:fldCharType="separate"/>
        <w:t xml:space="preserve">19</w:t>
        <w:fldChar w:fldCharType="end"/>
      </w:r>
      <w:r>
        <w:t xml:space="preserve">.</w:t>
      </w:r>
    </w:p>
    <w:p>
      <w:pPr>
        <w:pStyle w:val="Normal"/>
      </w:pPr>
      <w:r>
        <w:rPr>
          <w:b/>
          <w:bCs/>
        </w:rPr>
        <w:t xml:space="preserve">Clase 6 · 00:25:03–00:32:20 · ¿Se puede vivir sin sistemas de creencias?</w:t>
      </w:r>
    </w:p>
    <w:p>
      <w:bookmarkStart w:name="b_punto_c6_cap_05_p01" w:id="6910"/>
      <w:r>
        <w:t xml:space="preserve">Se abre el comentario del chat sobre el extracto una vez recuperado el audio.</w:t>
      </w:r>
      <w:bookmarkEnd w:id="6910"/>
    </w:p>
    <w:p>
      <w:pPr>
        <w:pStyle w:val="Fuente"/>
      </w:pPr>
      <w:r>
        <w:t xml:space="preserve">Motivo: Organización del debate; no contiene por sí misma una definición adicional.</w:t>
      </w:r>
    </w:p>
    <w:p>
      <w:pPr>
        <w:pStyle w:val="Fuente"/>
      </w:pPr>
      <w:r>
        <w:t xml:space="preserve">Véase </w:t>
      </w:r>
      <w:hyperlink w:history="1" w:anchor="b_clase_1_1_c6_cap_05">
        <w:r>
          <w:rPr>
            <w:color w:val="156B70"/>
            <w:u w:val="single"/>
          </w:rPr>
          <w:t xml:space="preserve">capítulo 1.1 · Paradigmas y modelos mentales</w:t>
        </w:r>
      </w:hyperlink>
      <w:r>
        <w:t xml:space="preserve">, pág. </w:t>
      </w:r>
      <w:r>
        <w:fldChar w:fldCharType="begin"/>
        <w:instrText xml:space="preserve">PAGEREF b_clase_1_1_c6_cap_05 \h</w:instrText>
        <w:fldChar w:fldCharType="separate"/>
        <w:t xml:space="preserve">44</w:t>
        <w:fldChar w:fldCharType="end"/>
      </w:r>
      <w:r>
        <w:t xml:space="preserve">.</w:t>
      </w:r>
    </w:p>
    <w:p>
      <w:pPr>
        <w:pStyle w:val="Normal"/>
      </w:pPr>
      <w:r>
        <w:rPr>
          <w:b/>
          <w:bCs/>
        </w:rPr>
        <w:t xml:space="preserve">Clase 6 · 00:32:20–00:40:30 · La tarea de Guadalupe Nogués: tribalismo, pluralismo y escucha</w:t>
      </w:r>
    </w:p>
    <w:p>
      <w:bookmarkStart w:name="b_punto_c6_cap_06_p01" w:id="6911"/>
      <w:r>
        <w:t xml:space="preserve">Puesta en común de la tarea sobre Guadalupe Nogués y registro de 57 entregas.</w:t>
      </w:r>
      <w:bookmarkEnd w:id="6911"/>
    </w:p>
    <w:p>
      <w:pPr>
        <w:pStyle w:val="Fuente"/>
      </w:pPr>
      <w:r>
        <w:t xml:space="preserve">Motivo: La cantidad de entregas y la organización de la tarea son datos históricos, no conceptos del examen.</w:t>
      </w:r>
    </w:p>
    <w:p>
      <w:pPr>
        <w:pStyle w:val="Fuente"/>
      </w:pPr>
      <w:r>
        <w:t xml:space="preserve">Véase </w:t>
      </w:r>
      <w:hyperlink w:history="1" w:anchor="b_clase_1_1_c6_cap_06">
        <w:r>
          <w:rPr>
            <w:color w:val="156B70"/>
            <w:u w:val="single"/>
          </w:rPr>
          <w:t xml:space="preserve">capítulo 1.1 · Paradigmas y modelos mentales</w:t>
        </w:r>
      </w:hyperlink>
      <w:r>
        <w:t xml:space="preserve">, pág. </w:t>
      </w:r>
      <w:r>
        <w:fldChar w:fldCharType="begin"/>
        <w:instrText xml:space="preserve">PAGEREF b_clase_1_1_c6_cap_06 \h</w:instrText>
        <w:fldChar w:fldCharType="separate"/>
        <w:t xml:space="preserve">44</w:t>
        <w:fldChar w:fldCharType="end"/>
      </w:r>
      <w:r>
        <w:t xml:space="preserve">.</w:t>
      </w:r>
    </w:p>
    <w:p>
      <w:pPr>
        <w:pStyle w:val="Normal"/>
      </w:pPr>
      <w:r>
        <w:rPr>
          <w:b/>
          <w:bCs/>
        </w:rPr>
        <w:t xml:space="preserve">Clase 6 · 01:22:09–01:39:23 · El bucle con el mundo real y las cuatro reglas de Cabrera</w:t>
      </w:r>
    </w:p>
    <w:p>
      <w:bookmarkStart w:name="b_punto_c6_cap_12_p14" w:id="6912"/>
      <w:r>
        <w:t xml:space="preserve">Se invita a leer los materiales y videos de Unidad 2 y llevar dudas; los ejemplos y algoritmo de las reglas se desarrollarán en la sesión siguiente.</w:t>
      </w:r>
      <w:bookmarkEnd w:id="6912"/>
    </w:p>
    <w:p>
      <w:pPr>
        <w:pStyle w:val="Fuente"/>
      </w:pPr>
      <w:r>
        <w:t xml:space="preserve">Motivo: Encargo de lectura y continuidad de clase, sin nueva definición ni especificación del examen final.</w:t>
      </w:r>
    </w:p>
    <w:p>
      <w:pPr>
        <w:pStyle w:val="Fuente"/>
      </w:pPr>
      <w:r>
        <w:t xml:space="preserve">Véase </w:t>
      </w:r>
      <w:hyperlink w:history="1" w:anchor="b_clase_1_1_c6_cap_12">
        <w:r>
          <w:rPr>
            <w:color w:val="156B70"/>
            <w:u w:val="single"/>
          </w:rPr>
          <w:t xml:space="preserve">capítulo 1.1 · Paradigmas y modelos mentales</w:t>
        </w:r>
      </w:hyperlink>
      <w:r>
        <w:t xml:space="preserve">, pág. </w:t>
      </w:r>
      <w:r>
        <w:fldChar w:fldCharType="begin"/>
        <w:instrText xml:space="preserve">PAGEREF b_clase_1_1_c6_cap_12 \h</w:instrText>
        <w:fldChar w:fldCharType="separate"/>
        <w:t xml:space="preserve">44</w:t>
        <w:fldChar w:fldCharType="end"/>
      </w:r>
      <w:r>
        <w:t xml:space="preserve">.</w:t>
      </w:r>
    </w:p>
    <w:p>
      <w:pPr>
        <w:pStyle w:val="Normal"/>
      </w:pPr>
      <w:r>
        <w:rPr>
          <w:b/>
          <w:bCs/>
        </w:rPr>
        <w:t xml:space="preserve">Clase 18 · 00:09:30–00:26:24 · Calificaciones y revisión del primer parcial</w:t>
      </w:r>
    </w:p>
    <w:p>
      <w:bookmarkStart w:name="b_punto_c18_cap_01_p01" w:id="6913"/>
      <w:r>
        <w:t xml:space="preserve">Apertura del 19 de septiembre, estado de notas del segundo parcial y preparación de la revisión.</w:t>
      </w:r>
      <w:bookmarkEnd w:id="6913"/>
    </w:p>
    <w:p>
      <w:pPr>
        <w:pStyle w:val="Fuente"/>
      </w:pPr>
      <w:r>
        <w:t xml:space="preserve">Motivo: Organización histórica de la sesión; no añade un concepto.</w:t>
      </w:r>
    </w:p>
    <w:p>
      <w:pPr>
        <w:pStyle w:val="Fuente"/>
      </w:pPr>
      <w:r>
        <w:t xml:space="preserve">Véase </w:t>
      </w:r>
      <w:hyperlink w:history="1" w:anchor="b_clase_1_1_c18_cap_01">
        <w:r>
          <w:rPr>
            <w:color w:val="156B70"/>
            <w:u w:val="single"/>
          </w:rPr>
          <w:t xml:space="preserve">capítulo 1.1 · Paradigmas y modelos mentales</w:t>
        </w:r>
      </w:hyperlink>
      <w:r>
        <w:t xml:space="preserve">, pág. </w:t>
      </w:r>
      <w:r>
        <w:fldChar w:fldCharType="begin"/>
        <w:instrText xml:space="preserve">PAGEREF b_clase_1_1_c18_cap_01 \h</w:instrText>
        <w:fldChar w:fldCharType="separate"/>
        <w:t xml:space="preserve">45</w:t>
        <w:fldChar w:fldCharType="end"/>
      </w:r>
      <w:r>
        <w:t xml:space="preserve">.</w:t>
      </w:r>
    </w:p>
    <w:p>
      <w:pPr>
        <w:pStyle w:val="Normal"/>
      </w:pPr>
      <w:r>
        <w:rPr>
          <w:b/>
          <w:bCs/>
        </w:rPr>
        <w:t xml:space="preserve">C-5 · página 21 · Experimentando las operaciones mentales abstractas</w:t>
      </w:r>
    </w:p>
    <w:p>
      <w:bookmarkStart w:name="b_punto_c5_p021_03" w:id="6914"/>
      <w:r>
        <w:t xml:space="preserve">Rectángulo negro que corresponde a un recurso multimedia sin fotograma visible.</w:t>
      </w:r>
      <w:bookmarkEnd w:id="6914"/>
    </w:p>
    <w:p>
      <w:pPr>
        <w:pStyle w:val="Fuente"/>
      </w:pPr>
      <w:r>
        <w:t xml:space="preserve">Motivo: La página no permite identificar su contenido de forma independiente; no se inventa título, duración ni afirmaciones. El VTT y la clase 3 sí documentan aparte el ejercicio de atención de los pases/gorila.</w:t>
      </w:r>
    </w:p>
    <w:p>
      <w:pPr>
        <w:pStyle w:val="Fuente"/>
      </w:pPr>
      <w:r>
        <w:t xml:space="preserve">Véase </w:t>
      </w:r>
      <w:hyperlink w:history="1" w:anchor="b_pagina_1_2_C_5_p21">
        <w:r>
          <w:rPr>
            <w:color w:val="156B70"/>
            <w:u w:val="single"/>
          </w:rPr>
          <w:t xml:space="preserve">capítulo 1.2 · Escalera de inferencias</w:t>
        </w:r>
      </w:hyperlink>
      <w:r>
        <w:t xml:space="preserve">, pág. </w:t>
      </w:r>
      <w:r>
        <w:fldChar w:fldCharType="begin"/>
        <w:instrText xml:space="preserve">PAGEREF b_pagina_1_2_C_5_p21 \h</w:instrText>
        <w:fldChar w:fldCharType="separate"/>
        <w:t xml:space="preserve">61</w:t>
        <w:fldChar w:fldCharType="end"/>
      </w:r>
      <w:r>
        <w:t xml:space="preserve">.</w:t>
      </w:r>
    </w:p>
    <w:p>
      <w:pPr>
        <w:pStyle w:val="Normal"/>
      </w:pPr>
      <w:r>
        <w:rPr>
          <w:b/>
          <w:bCs/>
        </w:rPr>
        <w:t xml:space="preserve">Clase 3 · 01:28:39–01:39:56 · El Carlos sistémico: el diálogo corregido y cierre</w:t>
      </w:r>
    </w:p>
    <w:p>
      <w:bookmarkStart w:name="b_punto_c3_cap_10_p08" w:id="6915"/>
      <w:r>
        <w:t xml:space="preserve">El iceberg y el hábito de cómo los modelos mentales afectan presente y futuro quedan para la siguiente clase.</w:t>
      </w:r>
      <w:bookmarkEnd w:id="6915"/>
    </w:p>
    <w:p>
      <w:pPr>
        <w:pStyle w:val="Fuente"/>
      </w:pPr>
      <w:r>
        <w:t xml:space="preserve">Motivo: Anuncio de continuación; el desarrollo posterior tiene destino propio en 1.7 y 1.8, sin fingir que se dictó aquí.</w:t>
      </w:r>
    </w:p>
    <w:p>
      <w:pPr>
        <w:pStyle w:val="Fuente"/>
      </w:pPr>
      <w:r>
        <w:t xml:space="preserve">Véase </w:t>
      </w:r>
      <w:hyperlink w:history="1" w:anchor="b_clase_1_2_c3_cap_10">
        <w:r>
          <w:rPr>
            <w:color w:val="156B70"/>
            <w:u w:val="single"/>
          </w:rPr>
          <w:t xml:space="preserve">capítulo 1.2 · Escalera de inferencias</w:t>
        </w:r>
      </w:hyperlink>
      <w:r>
        <w:t xml:space="preserve">, pág. </w:t>
      </w:r>
      <w:r>
        <w:fldChar w:fldCharType="begin"/>
        <w:instrText xml:space="preserve">PAGEREF b_clase_1_2_c3_cap_10 \h</w:instrText>
        <w:fldChar w:fldCharType="separate"/>
        <w:t xml:space="preserve">72</w:t>
        <w:fldChar w:fldCharType="end"/>
      </w:r>
      <w:r>
        <w:t xml:space="preserve">.</w:t>
      </w:r>
    </w:p>
    <w:p>
      <w:pPr>
        <w:pStyle w:val="Normal"/>
      </w:pPr>
      <w:r>
        <w:rPr>
          <w:b/>
          <w:bCs/>
        </w:rPr>
        <w:t xml:space="preserve">Clase 7 · 00:03:20–00:15:02 · Del sistema como totalidad al análisis y la síntesis</w:t>
      </w:r>
    </w:p>
    <w:p>
      <w:bookmarkStart w:name="b_punto_c7_cap_01_p01" w:id="6916"/>
      <w:r>
        <w:t xml:space="preserve">Bienvenida del 6 de agosto y comprobación de señal lenta de internet.</w:t>
      </w:r>
      <w:bookmarkEnd w:id="6916"/>
    </w:p>
    <w:p>
      <w:pPr>
        <w:pStyle w:val="Fuente"/>
      </w:pPr>
      <w:r>
        <w:t xml:space="preserve">Motivo: Encuadre técnico de la sesión; no añade materia de examen.</w:t>
      </w:r>
    </w:p>
    <w:p>
      <w:pPr>
        <w:pStyle w:val="Fuente"/>
      </w:pPr>
      <w:r>
        <w:t xml:space="preserve">Véase </w:t>
      </w:r>
      <w:hyperlink w:history="1" w:anchor="b_clase_1_3_c7_cap_01">
        <w:r>
          <w:rPr>
            <w:color w:val="156B70"/>
            <w:u w:val="single"/>
          </w:rPr>
          <w:t xml:space="preserve">capítulo 1.3 · El paradigma de sistemas</w:t>
        </w:r>
      </w:hyperlink>
      <w:r>
        <w:t xml:space="preserve">, pág. </w:t>
      </w:r>
      <w:r>
        <w:fldChar w:fldCharType="begin"/>
        <w:instrText xml:space="preserve">PAGEREF b_clase_1_3_c7_cap_01 \h</w:instrText>
        <w:fldChar w:fldCharType="separate"/>
        <w:t xml:space="preserve">93</w:t>
        <w:fldChar w:fldCharType="end"/>
      </w:r>
      <w:r>
        <w:t xml:space="preserve">.</w:t>
      </w:r>
    </w:p>
    <w:p>
      <w:pPr>
        <w:pStyle w:val="Normal"/>
      </w:pPr>
      <w:r>
        <w:rPr>
          <w:b/>
          <w:bCs/>
        </w:rPr>
        <w:t xml:space="preserve">Clase 5 · 01:29:19–01:36:28 · Modelos limitadores o sistémicos, y el cierre del día</w:t>
      </w:r>
    </w:p>
    <w:p>
      <w:bookmarkStart w:name="b_punto_c5_cap_12_p05" w:id="6917"/>
      <w:r>
        <w:t xml:space="preserve">El primer parcial se programa 15 de agosto, Unidades 1–2, sujeto a cambios institucionales; evaluaciones presenciales. Es información histórica y no fija formato ni pesos del final.</w:t>
      </w:r>
      <w:bookmarkEnd w:id="6917"/>
    </w:p>
    <w:p>
      <w:pPr>
        <w:pStyle w:val="Fuente"/>
      </w:pPr>
      <w:r>
        <w:t xml:space="preserve">Motivo: Tramo de logística o entrega pasada, sin concepto nuevo; los puntos académicos del capítulo se conservan por separado.</w:t>
      </w:r>
    </w:p>
    <w:p>
      <w:pPr>
        <w:pStyle w:val="Fuente"/>
      </w:pPr>
      <w:r>
        <w:t xml:space="preserve">Véase </w:t>
      </w:r>
      <w:hyperlink w:history="1" w:anchor="b_clase_1_4_c5_cap_12">
        <w:r>
          <w:rPr>
            <w:color w:val="156B70"/>
            <w:u w:val="single"/>
          </w:rPr>
          <w:t xml:space="preserve">capítulo 1.4 · Sistémico vs no sistémico</w:t>
        </w:r>
      </w:hyperlink>
      <w:r>
        <w:t xml:space="preserve">, pág. </w:t>
      </w:r>
      <w:r>
        <w:fldChar w:fldCharType="begin"/>
        <w:instrText xml:space="preserve">PAGEREF b_clase_1_4_c5_cap_12 \h</w:instrText>
        <w:fldChar w:fldCharType="separate"/>
        <w:t xml:space="preserve">116</w:t>
        <w:fldChar w:fldCharType="end"/>
      </w:r>
      <w:r>
        <w:t xml:space="preserve">.</w:t>
      </w:r>
    </w:p>
    <w:p>
      <w:pPr>
        <w:pStyle w:val="Normal"/>
      </w:pPr>
      <w:r>
        <w:rPr>
          <w:b/>
          <w:bCs/>
        </w:rPr>
        <w:t xml:space="preserve">Clase 5 · 00:35:53–00:40:41 · Guadalupe Nogués y la tarea del video TEDx</w:t>
      </w:r>
    </w:p>
    <w:p>
      <w:bookmarkStart w:name="b_punto_c5_cap_06_p02" w:id="6918"/>
      <w:r>
        <w:t xml:space="preserve">Condiciones de entrega de la cuarta síntesis en participación activa; la actividad académica está conservada en su lección.</w:t>
      </w:r>
      <w:bookmarkEnd w:id="6918"/>
    </w:p>
    <w:p>
      <w:pPr>
        <w:pStyle w:val="Fuente"/>
      </w:pPr>
      <w:r>
        <w:t xml:space="preserve">Motivo: Tramo de logística o entrega pasada, sin concepto nuevo; los puntos académicos del capítulo se conservan por separado.</w:t>
      </w:r>
    </w:p>
    <w:p>
      <w:pPr>
        <w:pStyle w:val="Fuente"/>
      </w:pPr>
      <w:r>
        <w:t xml:space="preserve">Véase </w:t>
      </w:r>
      <w:hyperlink w:history="1" w:anchor="b_clase_1_5_c5_cap_06">
        <w:r>
          <w:rPr>
            <w:color w:val="156B70"/>
            <w:u w:val="single"/>
          </w:rPr>
          <w:t xml:space="preserve">capítulo 1.5 · Perspectivas</w:t>
        </w:r>
      </w:hyperlink>
      <w:r>
        <w:t xml:space="preserve">, pág. </w:t>
      </w:r>
      <w:r>
        <w:fldChar w:fldCharType="begin"/>
        <w:instrText xml:space="preserve">PAGEREF b_clase_1_5_c5_cap_06 \h</w:instrText>
        <w:fldChar w:fldCharType="separate"/>
        <w:t xml:space="preserve">137</w:t>
        <w:fldChar w:fldCharType="end"/>
      </w:r>
      <w:r>
        <w:t xml:space="preserve">.</w:t>
      </w:r>
    </w:p>
    <w:p>
      <w:pPr>
        <w:pStyle w:val="Normal"/>
      </w:pPr>
      <w:r>
        <w:rPr>
          <w:b/>
          <w:bCs/>
        </w:rPr>
        <w:t xml:space="preserve">Clase 8 · 00:00:21–00:11:05 · La Tarea #4 como modelo mental de dos sistemas</w:t>
      </w:r>
    </w:p>
    <w:p>
      <w:bookmarkStart w:name="b_punto_c8_cap_01_p01" w:id="6919"/>
      <w:r>
        <w:t xml:space="preserve">Apertura del 8 de agosto y revisión de entregas de la Tarea 4, con cifras de participación y plazo.</w:t>
      </w:r>
      <w:bookmarkEnd w:id="6919"/>
    </w:p>
    <w:p>
      <w:pPr>
        <w:pStyle w:val="Fuente"/>
      </w:pPr>
      <w:r>
        <w:t xml:space="preserve">Motivo: Administración de una actividad pasada; no añade definición ni procedimiento académico.</w:t>
      </w:r>
    </w:p>
    <w:p>
      <w:pPr>
        <w:pStyle w:val="Fuente"/>
      </w:pPr>
      <w:r>
        <w:t xml:space="preserve">Véase </w:t>
      </w:r>
      <w:hyperlink w:history="1" w:anchor="b_clase_1_5_c8_cap_01">
        <w:r>
          <w:rPr>
            <w:color w:val="156B70"/>
            <w:u w:val="single"/>
          </w:rPr>
          <w:t xml:space="preserve">capítulo 1.5 · Perspectivas</w:t>
        </w:r>
      </w:hyperlink>
      <w:r>
        <w:t xml:space="preserve">, pág. </w:t>
      </w:r>
      <w:r>
        <w:fldChar w:fldCharType="begin"/>
        <w:instrText xml:space="preserve">PAGEREF b_clase_1_5_c8_cap_01 \h</w:instrText>
        <w:fldChar w:fldCharType="separate"/>
        <w:t xml:space="preserve">139</w:t>
        <w:fldChar w:fldCharType="end"/>
      </w:r>
      <w:r>
        <w:t xml:space="preserve">.</w:t>
      </w:r>
    </w:p>
    <w:p>
      <w:pPr>
        <w:pStyle w:val="Normal"/>
      </w:pPr>
      <w:r>
        <w:rPr>
          <w:b/>
          <w:bCs/>
        </w:rPr>
        <w:t xml:space="preserve">Clase 7 · 01:40:17–01:43:19 · Tarea #4: dos sistemas descritos desde varias perspectivas</w:t>
      </w:r>
    </w:p>
    <w:p>
      <w:bookmarkStart w:name="b_punto_c7_cap_10_p04" w:id="6920"/>
      <w:r>
        <w:t xml:space="preserve">Ambos modelos deben integrarse en una síntesis PDF como constancia del ejercicio; no se dictan aquí extensión, fecha ni rúbrica oficial.</w:t>
      </w:r>
      <w:bookmarkEnd w:id="6920"/>
    </w:p>
    <w:p>
      <w:pPr>
        <w:pStyle w:val="Fuente"/>
      </w:pPr>
      <w:r>
        <w:t xml:space="preserve">Motivo: La entrega es histórica; el procedimiento académico anterior se conserva como ejercicio. La vista evita inventar condiciones no grabadas.</w:t>
      </w:r>
    </w:p>
    <w:p>
      <w:bookmarkStart w:name="b_punto_c7_cap_10_p05" w:id="6921"/>
      <w:r>
        <w:t xml:space="preserve">Despedida y ofrecimiento de resolver dudas en la clase siguiente.</w:t>
      </w:r>
      <w:bookmarkEnd w:id="6921"/>
    </w:p>
    <w:p>
      <w:pPr>
        <w:pStyle w:val="Fuente"/>
      </w:pPr>
      <w:r>
        <w:t xml:space="preserve">Motivo: Cierre administrativo sin contenido académico adicional.</w:t>
      </w:r>
    </w:p>
    <w:p>
      <w:pPr>
        <w:pStyle w:val="Fuente"/>
      </w:pPr>
      <w:r>
        <w:t xml:space="preserve">Véase </w:t>
      </w:r>
      <w:hyperlink w:history="1" w:anchor="b_clase_1_6_c7_cap_10">
        <w:r>
          <w:rPr>
            <w:color w:val="156B70"/>
            <w:u w:val="single"/>
          </w:rPr>
          <w:t xml:space="preserve">capítulo 1.6 · Operaciones DSRP</w:t>
        </w:r>
      </w:hyperlink>
      <w:r>
        <w:t xml:space="preserve">, pág. </w:t>
      </w:r>
      <w:r>
        <w:fldChar w:fldCharType="begin"/>
        <w:instrText xml:space="preserve">PAGEREF b_clase_1_6_c7_cap_10 \h</w:instrText>
        <w:fldChar w:fldCharType="separate"/>
        <w:t xml:space="preserve">164</w:t>
        <w:fldChar w:fldCharType="end"/>
      </w:r>
      <w:r>
        <w:t xml:space="preserve">.</w:t>
      </w:r>
    </w:p>
    <w:p>
      <w:pPr>
        <w:pStyle w:val="Normal"/>
      </w:pPr>
      <w:r>
        <w:rPr>
          <w:b/>
          <w:bCs/>
        </w:rPr>
        <w:t xml:space="preserve">Clase 5 · 00:00:17–00:02:30 · Apertura: la unidad 1 entra en su última sesión</w:t>
      </w:r>
    </w:p>
    <w:p>
      <w:bookmarkStart w:name="b_punto_c5_cap_01_p01" w:id="6922"/>
      <w:r>
        <w:t xml:space="preserve">Apertura del 30 de julio y aviso de que la entrega del iceberg se acepta hasta las ocho; información administrativa pasada.</w:t>
      </w:r>
      <w:bookmarkEnd w:id="6922"/>
    </w:p>
    <w:p>
      <w:pPr>
        <w:pStyle w:val="Fuente"/>
      </w:pPr>
      <w:r>
        <w:t xml:space="preserve">Motivo: Tramo de logística o entrega pasada, sin concepto nuevo; los puntos académicos del capítulo se conservan por separado.</w:t>
      </w:r>
    </w:p>
    <w:p>
      <w:pPr>
        <w:pStyle w:val="Fuente"/>
      </w:pPr>
      <w:r>
        <w:t xml:space="preserve">Véase </w:t>
      </w:r>
      <w:hyperlink w:history="1" w:anchor="b_clase_1_8_c5_cap_01">
        <w:r>
          <w:rPr>
            <w:color w:val="156B70"/>
            <w:u w:val="single"/>
          </w:rPr>
          <w:t xml:space="preserve">capítulo 1.8 · Hábitos del pensador</w:t>
        </w:r>
      </w:hyperlink>
      <w:r>
        <w:t xml:space="preserve">, pág. </w:t>
      </w:r>
      <w:r>
        <w:fldChar w:fldCharType="begin"/>
        <w:instrText xml:space="preserve">PAGEREF b_clase_1_8_c5_cap_01 \h</w:instrText>
        <w:fldChar w:fldCharType="separate"/>
        <w:t xml:space="preserve">211</w:t>
        <w:fldChar w:fldCharType="end"/>
      </w:r>
      <w:r>
        <w:t xml:space="preserve">.</w:t>
      </w:r>
    </w:p>
    <w:p>
      <w:pPr>
        <w:pStyle w:val="Heading3"/>
      </w:pPr>
      <w:bookmarkStart w:name="b_avisos_unidad_2" w:id="6923"/>
      <w:r>
        <w:t xml:space="preserve">Unidad 2</w:t>
      </w:r>
      <w:bookmarkEnd w:id="6923"/>
    </w:p>
    <w:p>
      <w:pPr>
        <w:pStyle w:val="Normal"/>
      </w:pPr>
      <w:r>
        <w:rPr>
          <w:b/>
          <w:bCs/>
        </w:rPr>
        <w:t xml:space="preserve">C-6 · pág. 57 · Página en blanco</w:t>
      </w:r>
    </w:p>
    <w:p>
      <w:bookmarkStart w:name="b_punto_c6_p057_01" w:id="6924"/>
      <w:r>
        <w:t xml:space="preserve">La página está completamente en blanco y no contiene afirmaciones evaluables.</w:t>
      </w:r>
      <w:bookmarkEnd w:id="6924"/>
    </w:p>
    <w:p>
      <w:pPr>
        <w:pStyle w:val="Fuente"/>
      </w:pPr>
      <w:r>
        <w:t xml:space="preserve">Motivo: Imagen revisada individualmente y extracción de texto vacía; se conserva el registro para no omitir números.</w:t>
      </w:r>
    </w:p>
    <w:p>
      <w:pPr>
        <w:pStyle w:val="Fuente"/>
      </w:pPr>
      <w:r>
        <w:t xml:space="preserve">Véase </w:t>
      </w:r>
      <w:hyperlink w:history="1" w:anchor="b_unidad_2">
        <w:r>
          <w:rPr>
            <w:color w:val="156B70"/>
            <w:u w:val="single"/>
          </w:rPr>
          <w:t xml:space="preserve">Parte II</w:t>
        </w:r>
      </w:hyperlink>
      <w:r>
        <w:t xml:space="preserve">, pág. </w:t>
      </w:r>
      <w:r>
        <w:fldChar w:fldCharType="begin"/>
        <w:instrText xml:space="preserve">PAGEREF b_unidad_2 \h</w:instrText>
        <w:fldChar w:fldCharType="separate"/>
        <w:t xml:space="preserve">220</w:t>
        <w:fldChar w:fldCharType="end"/>
      </w:r>
      <w:r>
        <w:t xml:space="preserve">.</w:t>
      </w:r>
    </w:p>
    <w:p>
      <w:pPr>
        <w:pStyle w:val="Normal"/>
      </w:pPr>
      <w:r>
        <w:rPr>
          <w:b/>
          <w:bCs/>
        </w:rPr>
        <w:t xml:space="preserve">C-6 · pág. 65 · Evaluación corta 2: instrucciones</w:t>
      </w:r>
    </w:p>
    <w:p>
      <w:bookmarkStart w:name="b_punto_c6_p065_01" w:id="6925"/>
      <w:r>
        <w:t xml:space="preserve">Se anuncian diez preguntas de 8:30 a 8:45, nota sobre cien y retroalimentación al finalizar.</w:t>
      </w:r>
      <w:bookmarkEnd w:id="6925"/>
    </w:p>
    <w:p>
      <w:pPr>
        <w:pStyle w:val="Fuente"/>
      </w:pPr>
      <w:r>
        <w:t xml:space="preserve">Motivo: Logística de evaluación corta pasada; no es concepto ni fija alcance, formato, tiempo o puntaje del final.</w:t>
      </w:r>
    </w:p>
    <w:p>
      <w:pPr>
        <w:pStyle w:val="Fuente"/>
      </w:pPr>
      <w:r>
        <w:t xml:space="preserve">Véase </w:t>
      </w:r>
      <w:hyperlink w:history="1" w:anchor="b_unidad_2">
        <w:r>
          <w:rPr>
            <w:color w:val="156B70"/>
            <w:u w:val="single"/>
          </w:rPr>
          <w:t xml:space="preserve">Parte II</w:t>
        </w:r>
      </w:hyperlink>
      <w:r>
        <w:t xml:space="preserve">, pág. </w:t>
      </w:r>
      <w:r>
        <w:fldChar w:fldCharType="begin"/>
        <w:instrText xml:space="preserve">PAGEREF b_unidad_2 \h</w:instrText>
        <w:fldChar w:fldCharType="separate"/>
        <w:t xml:space="preserve">220</w:t>
        <w:fldChar w:fldCharType="end"/>
      </w:r>
      <w:r>
        <w:t xml:space="preserve">.</w:t>
      </w:r>
    </w:p>
    <w:p>
      <w:pPr>
        <w:pStyle w:val="Normal"/>
      </w:pPr>
      <w:r>
        <w:rPr>
          <w:b/>
          <w:bCs/>
        </w:rPr>
        <w:t xml:space="preserve">Clase 6 · 00:19:20–00:25:03 · El video: las limosnas, el Dalái Lama y los automatismos</w:t>
      </w:r>
    </w:p>
    <w:p>
      <w:bookmarkStart w:name="b_punto_c6_cap_04_p01" w:id="6926"/>
      <w:r>
        <w:t xml:space="preserve">Carrillo propone abandonar creencias prefijadas y actuar en el momento; el ejemplo de las limosnas contrasta reglas de dar siempre o nunca con decidir al ocurrir la situación.</w:t>
      </w:r>
      <w:bookmarkEnd w:id="6926"/>
    </w:p>
    <w:p>
      <w:pPr>
        <w:pStyle w:val="Fuente"/>
      </w:pPr>
      <w:r>
        <w:t xml:space="preserve">Motivo: Es tesis y anécdota del video de Carrillo, no una instrucción normativa del profesor ni una receta del curso.</w:t>
      </w:r>
    </w:p>
    <w:p>
      <w:bookmarkStart w:name="b_punto_c6_cap_04_p02" w:id="6927"/>
      <w:r>
        <w:t xml:space="preserve">La anécdota del Dalái Lama ilustra no predeterminar una respuesta para una situación hipotética que aún no se presenta.</w:t>
      </w:r>
      <w:bookmarkEnd w:id="6927"/>
    </w:p>
    <w:p>
      <w:pPr>
        <w:pStyle w:val="Fuente"/>
      </w:pPr>
      <w:r>
        <w:t xml:space="preserve">Motivo: La página atribuye la anécdota al extracto; no se afirma haber verificado el hecho biográfico.</w:t>
      </w:r>
    </w:p>
    <w:p>
      <w:bookmarkStart w:name="b_punto_c6_cap_04_p03" w:id="6928"/>
      <w:r>
        <w:t xml:space="preserve">El extracto vincula creencias con automatismos y compara la conducta con programas que dirigen a un robot.</w:t>
      </w:r>
      <w:bookmarkEnd w:id="6928"/>
    </w:p>
    <w:p>
      <w:pPr>
        <w:pStyle w:val="Fuente"/>
      </w:pPr>
      <w:r>
        <w:t xml:space="preserve">Motivo: Argumento del tercero proyectado; el profesor lo concede y matiza después, en el capítulo 5.</w:t>
      </w:r>
    </w:p>
    <w:p>
      <w:bookmarkStart w:name="b_punto_c6_cap_04_p04" w:id="6929"/>
      <w:r>
        <w:t xml:space="preserve">El propio mandato de abandonar los sistemas de creencias puede convertirse en otro sistema de creencias.</w:t>
      </w:r>
      <w:bookmarkEnd w:id="6929"/>
    </w:p>
    <w:p>
      <w:pPr>
        <w:pStyle w:val="Fuente"/>
      </w:pPr>
      <w:r>
        <w:t xml:space="preserve">Motivo: Paradoja del extracto filosófico, conservada como contexto del debate posterior.</w:t>
      </w:r>
    </w:p>
    <w:p>
      <w:bookmarkStart w:name="b_punto_c6_cap_04_p05" w:id="6930"/>
      <w:r>
        <w:t xml:space="preserve">Carrillo cierra proponiendo vivir el presente y advirtiendo que la mente tiene funciones, pero no sirve para todo.</w:t>
      </w:r>
      <w:bookmarkEnd w:id="6930"/>
    </w:p>
    <w:p>
      <w:pPr>
        <w:pStyle w:val="Fuente"/>
      </w:pPr>
      <w:r>
        <w:t xml:space="preserve">Motivo: El docente declara este terreno filosófico fuera del temario; no se transforma en una definición examinable.</w:t>
      </w:r>
    </w:p>
    <w:p>
      <w:pPr>
        <w:pStyle w:val="Fuente"/>
      </w:pPr>
      <w:r>
        <w:t xml:space="preserve">Véase </w:t>
      </w:r>
      <w:hyperlink w:history="1" w:anchor="b_unidad_2">
        <w:r>
          <w:rPr>
            <w:color w:val="156B70"/>
            <w:u w:val="single"/>
          </w:rPr>
          <w:t xml:space="preserve">Parte II</w:t>
        </w:r>
      </w:hyperlink>
      <w:r>
        <w:t xml:space="preserve">, pág. </w:t>
      </w:r>
      <w:r>
        <w:fldChar w:fldCharType="begin"/>
        <w:instrText xml:space="preserve">PAGEREF b_unidad_2 \h</w:instrText>
        <w:fldChar w:fldCharType="separate"/>
        <w:t xml:space="preserve">220</w:t>
        <w:fldChar w:fldCharType="end"/>
      </w:r>
      <w:r>
        <w:t xml:space="preserve">.</w:t>
      </w:r>
    </w:p>
    <w:p>
      <w:pPr>
        <w:pStyle w:val="Normal"/>
      </w:pPr>
      <w:r>
        <w:rPr>
          <w:b/>
          <w:bCs/>
        </w:rPr>
        <w:t xml:space="preserve">Clase 8 · 01:32:20–01:34:18 · Primer parcial: lugar, hora, modalidad y alcance</w:t>
      </w:r>
    </w:p>
    <w:p>
      <w:bookmarkStart w:name="b_punto_c8_cap_11_p01" w:id="6931"/>
      <w:r>
        <w:t xml:space="preserve">Se anuncia completar U2 antes del parcial, entonces programado para el 15 de agosto, presencial, salón 110 del T3 a las 7:10.</w:t>
      </w:r>
      <w:bookmarkEnd w:id="6931"/>
    </w:p>
    <w:p>
      <w:pPr>
        <w:pStyle w:val="Fuente"/>
      </w:pPr>
      <w:r>
        <w:t xml:space="preserve">Motivo: Calendario histórico sustituido por clase 9; no es contenido conceptual del final.</w:t>
      </w:r>
    </w:p>
    <w:p>
      <w:bookmarkStart w:name="b_punto_c8_cap_11_p02" w:id="6932"/>
      <w:r>
        <w:t xml:space="preserve">El parcial sería en papel sin computadora; se anuncia un corto de práctica y se cierra la sesión.</w:t>
      </w:r>
      <w:bookmarkEnd w:id="6932"/>
    </w:p>
    <w:p>
      <w:pPr>
        <w:pStyle w:val="Fuente"/>
      </w:pPr>
      <w:r>
        <w:t xml:space="preserve">Motivo: Logística de evaluación pasada. La señal de práctica se conserva con su alcance, sin extrapolar al final.</w:t>
      </w:r>
    </w:p>
    <w:p>
      <w:pPr>
        <w:pStyle w:val="Fuente"/>
      </w:pPr>
      <w:r>
        <w:t xml:space="preserve">Véase </w:t>
      </w:r>
      <w:hyperlink w:history="1" w:anchor="b_unidad_2">
        <w:r>
          <w:rPr>
            <w:color w:val="156B70"/>
            <w:u w:val="single"/>
          </w:rPr>
          <w:t xml:space="preserve">Parte II</w:t>
        </w:r>
      </w:hyperlink>
      <w:r>
        <w:t xml:space="preserve">, pág. </w:t>
      </w:r>
      <w:r>
        <w:fldChar w:fldCharType="begin"/>
        <w:instrText xml:space="preserve">PAGEREF b_unidad_2 \h</w:instrText>
        <w:fldChar w:fldCharType="separate"/>
        <w:t xml:space="preserve">220</w:t>
        <w:fldChar w:fldCharType="end"/>
      </w:r>
      <w:r>
        <w:t xml:space="preserve">.</w:t>
      </w:r>
    </w:p>
    <w:p>
      <w:pPr>
        <w:pStyle w:val="Normal"/>
      </w:pPr>
      <w:r>
        <w:rPr>
          <w:b/>
          <w:bCs/>
        </w:rPr>
        <w:t xml:space="preserve">Clase 9 · 00:00:20–00:05:39 · Apertura, logística y hoja de ruta</w:t>
      </w:r>
    </w:p>
    <w:p>
      <w:bookmarkStart w:name="b_punto_c9_cap_01_p01" w:id="6933"/>
      <w:r>
        <w:t xml:space="preserve">Por el feriado 14–15 de agosto se reprograma el primer parcial al sábado 22, de 7:10 a 8:50, salón 410 del T3.</w:t>
      </w:r>
      <w:bookmarkEnd w:id="6933"/>
    </w:p>
    <w:p>
      <w:pPr>
        <w:pStyle w:val="Fuente"/>
      </w:pPr>
      <w:r>
        <w:t xml:space="preserve">Motivo: Calendario pasado sin definición ni ejercicio adicional.</w:t>
      </w:r>
    </w:p>
    <w:p>
      <w:bookmarkStart w:name="b_punto_c9_cap_01_p02" w:id="6934"/>
      <w:r>
        <w:t xml:space="preserve">Agenda de cierre de U2 y próxima U3: estructuras no lineales, mapas sistémicos y hábitos ligados a complejidad.</w:t>
      </w:r>
      <w:bookmarkEnd w:id="6934"/>
    </w:p>
    <w:p>
      <w:pPr>
        <w:pStyle w:val="Fuente"/>
      </w:pPr>
      <w:r>
        <w:t xml:space="preserve">Motivo: Sólo secuencia del curso, sin desarrollar esos subtemas aquí; la síntesis académica del perfil está en c9-cap-10.</w:t>
      </w:r>
    </w:p>
    <w:p>
      <w:bookmarkStart w:name="b_punto_c9_cap_01_p03" w:id="6935"/>
      <w:r>
        <w:t xml:space="preserve">Se agradecen tareas de caos/efecto mariposa y ejemplos de las cuatro categorías del mapa sistémico.</w:t>
      </w:r>
      <w:bookmarkEnd w:id="6935"/>
    </w:p>
    <w:p>
      <w:pPr>
        <w:pStyle w:val="Fuente"/>
      </w:pPr>
      <w:r>
        <w:t xml:space="preserve">Motivo: Acuse de entregas; el ejercicio académico está cotejado en c8-cap-10 y c9-cap-02.</w:t>
      </w:r>
    </w:p>
    <w:p>
      <w:pPr>
        <w:pStyle w:val="Fuente"/>
      </w:pPr>
      <w:r>
        <w:t xml:space="preserve">Véase </w:t>
      </w:r>
      <w:hyperlink w:history="1" w:anchor="b_unidad_2">
        <w:r>
          <w:rPr>
            <w:color w:val="156B70"/>
            <w:u w:val="single"/>
          </w:rPr>
          <w:t xml:space="preserve">Parte II</w:t>
        </w:r>
      </w:hyperlink>
      <w:r>
        <w:t xml:space="preserve">, pág. </w:t>
      </w:r>
      <w:r>
        <w:fldChar w:fldCharType="begin"/>
        <w:instrText xml:space="preserve">PAGEREF b_unidad_2 \h</w:instrText>
        <w:fldChar w:fldCharType="separate"/>
        <w:t xml:space="preserve">220</w:t>
        <w:fldChar w:fldCharType="end"/>
      </w:r>
      <w:r>
        <w:t xml:space="preserve">.</w:t>
      </w:r>
    </w:p>
    <w:p>
      <w:pPr>
        <w:pStyle w:val="Normal"/>
      </w:pPr>
      <w:r>
        <w:rPr>
          <w:b/>
          <w:bCs/>
        </w:rPr>
        <w:t xml:space="preserve">C-6 · página 1 · Introducción al pensamiento sistémico</w:t>
      </w:r>
    </w:p>
    <w:p>
      <w:bookmarkStart w:name="b_punto_c6_p001_01" w:id="6936"/>
      <w:r>
        <w:t xml:space="preserve">Portada sin definición, ejemplo ni ejercicio.</w:t>
      </w:r>
      <w:bookmarkEnd w:id="6936"/>
    </w:p>
    <w:p>
      <w:pPr>
        <w:pStyle w:val="Fuente"/>
      </w:pPr>
      <w:r>
        <w:t xml:space="preserve">Motivo: Identifica el deck; el contenido comienza en p4. No añade materia evaluable.</w:t>
      </w:r>
    </w:p>
    <w:p>
      <w:pPr>
        <w:pStyle w:val="Fuente"/>
      </w:pPr>
      <w:r>
        <w:t xml:space="preserve">Véase </w:t>
      </w:r>
      <w:hyperlink w:history="1" w:anchor="b_pagina_2_1_C_6_p1">
        <w:r>
          <w:rPr>
            <w:color w:val="156B70"/>
            <w:u w:val="single"/>
          </w:rPr>
          <w:t xml:space="preserve">capítulo 2.1 · Visión general</w:t>
        </w:r>
      </w:hyperlink>
      <w:r>
        <w:t xml:space="preserve">, pág. </w:t>
      </w:r>
      <w:r>
        <w:fldChar w:fldCharType="begin"/>
        <w:instrText xml:space="preserve">PAGEREF b_pagina_2_1_C_6_p1 \h</w:instrText>
        <w:fldChar w:fldCharType="separate"/>
        <w:t xml:space="preserve">225</w:t>
        <w:fldChar w:fldCharType="end"/>
      </w:r>
      <w:r>
        <w:t xml:space="preserve">.</w:t>
      </w:r>
    </w:p>
    <w:p>
      <w:pPr>
        <w:pStyle w:val="Normal"/>
      </w:pPr>
      <w:r>
        <w:rPr>
          <w:b/>
          <w:bCs/>
        </w:rPr>
        <w:t xml:space="preserve">C-6 · página 3 · Nota del autor sobre la diapositiva 2</w:t>
      </w:r>
    </w:p>
    <w:p>
      <w:bookmarkStart w:name="b_punto_c6_p003_01" w:id="6937"/>
      <w:r>
        <w:t xml:space="preserve">Página de notas exportada con autor y fecha; sin contenido del temario.</w:t>
      </w:r>
      <w:bookmarkEnd w:id="6937"/>
    </w:p>
    <w:p>
      <w:pPr>
        <w:pStyle w:val="Fuente"/>
      </w:pPr>
      <w:r>
        <w:t xml:space="preserve">Motivo: No es una lámina académica: no convertir la autoría/fecha en pregunta.</w:t>
      </w:r>
    </w:p>
    <w:p>
      <w:pPr>
        <w:pStyle w:val="Fuente"/>
      </w:pPr>
      <w:r>
        <w:t xml:space="preserve">Véase </w:t>
      </w:r>
      <w:hyperlink w:history="1" w:anchor="b_pagina_2_1_C_6_p3">
        <w:r>
          <w:rPr>
            <w:color w:val="156B70"/>
            <w:u w:val="single"/>
          </w:rPr>
          <w:t xml:space="preserve">capítulo 2.1 · Visión general</w:t>
        </w:r>
      </w:hyperlink>
      <w:r>
        <w:t xml:space="preserve">, pág. </w:t>
      </w:r>
      <w:r>
        <w:fldChar w:fldCharType="begin"/>
        <w:instrText xml:space="preserve">PAGEREF b_pagina_2_1_C_6_p3 \h</w:instrText>
        <w:fldChar w:fldCharType="separate"/>
        <w:t xml:space="preserve">226</w:t>
        <w:fldChar w:fldCharType="end"/>
      </w:r>
      <w:r>
        <w:t xml:space="preserve">.</w:t>
      </w:r>
    </w:p>
    <w:p>
      <w:pPr>
        <w:pStyle w:val="Normal"/>
      </w:pPr>
      <w:r>
        <w:rPr>
          <w:b/>
          <w:bCs/>
        </w:rPr>
        <w:t xml:space="preserve">C-6 · página 16 · Pensamiento sistémico</w:t>
      </w:r>
    </w:p>
    <w:p>
      <w:bookmarkStart w:name="b_punto_c6_p016_04" w:id="6938"/>
      <w:r>
        <w:t xml:space="preserve">Portada del libro de Fernando Urbáez Levi como apoyo visual.</w:t>
      </w:r>
      <w:bookmarkEnd w:id="6938"/>
    </w:p>
    <w:p>
      <w:pPr>
        <w:pStyle w:val="Fuente"/>
      </w:pPr>
      <w:r>
        <w:t xml:space="preserve">Motivo: Imagen bibliográfica, sin nuevo procedimiento ni lista que memorizar.</w:t>
      </w:r>
    </w:p>
    <w:p>
      <w:pPr>
        <w:pStyle w:val="Fuente"/>
      </w:pPr>
      <w:r>
        <w:t xml:space="preserve">Véase </w:t>
      </w:r>
      <w:hyperlink w:history="1" w:anchor="b_pagina_2_1_C_6_p16">
        <w:r>
          <w:rPr>
            <w:color w:val="156B70"/>
            <w:u w:val="single"/>
          </w:rPr>
          <w:t xml:space="preserve">capítulo 2.1 · Visión general</w:t>
        </w:r>
      </w:hyperlink>
      <w:r>
        <w:t xml:space="preserve">, pág. </w:t>
      </w:r>
      <w:r>
        <w:fldChar w:fldCharType="begin"/>
        <w:instrText xml:space="preserve">PAGEREF b_pagina_2_1_C_6_p16 \h</w:instrText>
        <w:fldChar w:fldCharType="separate"/>
        <w:t xml:space="preserve">227</w:t>
        <w:fldChar w:fldCharType="end"/>
      </w:r>
      <w:r>
        <w:t xml:space="preserve">.</w:t>
      </w:r>
    </w:p>
    <w:p>
      <w:pPr>
        <w:pStyle w:val="Normal"/>
      </w:pPr>
      <w:r>
        <w:rPr>
          <w:b/>
          <w:bCs/>
        </w:rPr>
        <w:t xml:space="preserve">Clase 7 · 00:15:02–00:27:58 · Video proyectado: reduccionismo, síntesis y holismo</w:t>
      </w:r>
    </w:p>
    <w:p>
      <w:bookmarkStart w:name="b_punto_c7_cap_02_p01" w:id="6939"/>
      <w:r>
        <w:t xml:space="preserve">Preparación del video en español y problemas de reproducción y conexión.</w:t>
      </w:r>
      <w:bookmarkEnd w:id="6939"/>
    </w:p>
    <w:p>
      <w:pPr>
        <w:pStyle w:val="Fuente"/>
      </w:pPr>
      <w:r>
        <w:t xml:space="preserve">Motivo: Problema técnico; el video se reinicia y el contenido completo consta en los cues 166–242.</w:t>
      </w:r>
    </w:p>
    <w:p>
      <w:pPr>
        <w:pStyle w:val="Fuente"/>
      </w:pPr>
      <w:r>
        <w:t xml:space="preserve">Véase </w:t>
      </w:r>
      <w:hyperlink w:history="1" w:anchor="b_clase_2_1_c7_cap_02">
        <w:r>
          <w:rPr>
            <w:color w:val="156B70"/>
            <w:u w:val="single"/>
          </w:rPr>
          <w:t xml:space="preserve">capítulo 2.1 · Visión general</w:t>
        </w:r>
      </w:hyperlink>
      <w:r>
        <w:t xml:space="preserve">, pág. </w:t>
      </w:r>
      <w:r>
        <w:fldChar w:fldCharType="begin"/>
        <w:instrText xml:space="preserve">PAGEREF b_clase_2_1_c7_cap_02 \h</w:instrText>
        <w:fldChar w:fldCharType="separate"/>
        <w:t xml:space="preserve">232</w:t>
        <w:fldChar w:fldCharType="end"/>
      </w:r>
      <w:r>
        <w:t xml:space="preserve">.</w:t>
      </w:r>
    </w:p>
    <w:p>
      <w:pPr>
        <w:pStyle w:val="Normal"/>
      </w:pPr>
      <w:r>
        <w:rPr>
          <w:b/>
          <w:bCs/>
        </w:rPr>
        <w:t xml:space="preserve">Clase 18 · 00:37:43–00:45:11 · Familias de sistemas y revisión presencial</w:t>
      </w:r>
    </w:p>
    <w:p>
      <w:bookmarkStart w:name="b_punto_c18_cap_03_p03" w:id="6940"/>
      <w:r>
        <w:t xml:space="preserve">La combinación de letras cambió entre el examen escrito y UEDI.</w:t>
      </w:r>
      <w:bookmarkEnd w:id="6940"/>
    </w:p>
    <w:p>
      <w:pPr>
        <w:pStyle w:val="Fuente"/>
      </w:pPr>
      <w:r>
        <w:t xml:space="preserve">Motivo: Incidencia sintáctica histórica: la materia académica son las categorías, no las letras.</w:t>
      </w:r>
    </w:p>
    <w:p>
      <w:bookmarkStart w:name="b_punto_c18_cap_03_p04" w:id="6941"/>
      <w:r>
        <w:t xml:space="preserve">Se ofrece revisión presencial del examen y se coordina llevar los temarios.</w:t>
      </w:r>
      <w:bookmarkEnd w:id="6941"/>
    </w:p>
    <w:p>
      <w:pPr>
        <w:pStyle w:val="Fuente"/>
      </w:pPr>
      <w:r>
        <w:t xml:space="preserve">Motivo: Trámite de revisión del primer parcial.</w:t>
      </w:r>
    </w:p>
    <w:p>
      <w:pPr>
        <w:pStyle w:val="Fuente"/>
      </w:pPr>
      <w:r>
        <w:t xml:space="preserve">Véase </w:t>
      </w:r>
      <w:hyperlink w:history="1" w:anchor="b_clase_2_7_c18_cap_03">
        <w:r>
          <w:rPr>
            <w:color w:val="156B70"/>
            <w:u w:val="single"/>
          </w:rPr>
          <w:t xml:space="preserve">capítulo 2.7 · El universo como sistemas</w:t>
        </w:r>
      </w:hyperlink>
      <w:r>
        <w:t xml:space="preserve">, pág. </w:t>
      </w:r>
      <w:r>
        <w:fldChar w:fldCharType="begin"/>
        <w:instrText xml:space="preserve">PAGEREF b_clase_2_7_c18_cap_03 \h</w:instrText>
        <w:fldChar w:fldCharType="separate"/>
        <w:t xml:space="preserve">336</w:t>
        <w:fldChar w:fldCharType="end"/>
      </w:r>
      <w:r>
        <w:t xml:space="preserve">.</w:t>
      </w:r>
    </w:p>
    <w:p>
      <w:pPr>
        <w:pStyle w:val="Normal"/>
      </w:pPr>
      <w:r>
        <w:rPr>
          <w:b/>
          <w:bCs/>
        </w:rPr>
        <w:t xml:space="preserve">Clase 9 · 01:10:00–01:31:42 · Evaluación corta, retroalimentación y cierre</w:t>
      </w:r>
    </w:p>
    <w:p>
      <w:bookmarkStart w:name="b_punto_c9_cap_10_p03" w:id="6942"/>
      <w:r>
        <w:t xml:space="preserve">Se aplica un corto de diez preguntas y se habilita revisión; el VTT no lee ni resuelve enunciados y luego comenta participación/notas.</w:t>
      </w:r>
      <w:bookmarkEnd w:id="6942"/>
    </w:p>
    <w:p>
      <w:pPr>
        <w:pStyle w:val="Fuente"/>
      </w:pPr>
      <w:r>
        <w:t xml:space="preserve">Motivo: Funcionamiento y resultados de evaluación pasada, sin enunciados o soluciones académicas reproducidos en el audio.</w:t>
      </w:r>
    </w:p>
    <w:p>
      <w:bookmarkStart w:name="b_punto_c9_cap_10_p04" w:id="6943"/>
      <w:r>
        <w:t xml:space="preserve">Se recuerda el parcial del 22 y se excluye de ese parcial el adelanto de U3 del jueves 20.</w:t>
      </w:r>
      <w:bookmarkEnd w:id="6943"/>
    </w:p>
    <w:p>
      <w:pPr>
        <w:pStyle w:val="Fuente"/>
      </w:pPr>
      <w:r>
        <w:t xml:space="preserve">Motivo: El alcance corresponde al primer parcial de agosto, no al final acumulativo indicado por el usuario.</w:t>
      </w:r>
    </w:p>
    <w:p>
      <w:bookmarkStart w:name="b_punto_c9_cap_10_p05" w:id="6944"/>
      <w:r>
        <w:t xml:space="preserve">Se invita a revisar retroalimentación y plantear dudas en la próxima sesión antes del saludo final.</w:t>
      </w:r>
      <w:bookmarkEnd w:id="6944"/>
    </w:p>
    <w:p>
      <w:pPr>
        <w:pStyle w:val="Fuente"/>
      </w:pPr>
      <w:r>
        <w:t xml:space="preserve">Motivo: Cierre administrativo sin definición o ejercicio adicional.</w:t>
      </w:r>
    </w:p>
    <w:p>
      <w:pPr>
        <w:pStyle w:val="Fuente"/>
      </w:pPr>
      <w:r>
        <w:t xml:space="preserve">Véase </w:t>
      </w:r>
      <w:hyperlink w:history="1" w:anchor="b_clase_2_9_c9_cap_10">
        <w:r>
          <w:rPr>
            <w:color w:val="156B70"/>
            <w:u w:val="single"/>
          </w:rPr>
          <w:t xml:space="preserve">capítulo 2.9 · Introducción a los hábitos</w:t>
        </w:r>
      </w:hyperlink>
      <w:r>
        <w:t xml:space="preserve">, pág. </w:t>
      </w:r>
      <w:r>
        <w:fldChar w:fldCharType="begin"/>
        <w:instrText xml:space="preserve">PAGEREF b_clase_2_9_c9_cap_10 \h</w:instrText>
        <w:fldChar w:fldCharType="separate"/>
        <w:t xml:space="preserve">370</w:t>
        <w:fldChar w:fldCharType="end"/>
      </w:r>
      <w:r>
        <w:t xml:space="preserve">.</w:t>
      </w:r>
    </w:p>
    <w:p>
      <w:pPr>
        <w:pStyle w:val="Heading3"/>
      </w:pPr>
      <w:bookmarkStart w:name="b_avisos_unidad_3" w:id="6945"/>
      <w:r>
        <w:t xml:space="preserve">Unidad 3</w:t>
      </w:r>
      <w:bookmarkEnd w:id="6945"/>
    </w:p>
    <w:p>
      <w:pPr>
        <w:pStyle w:val="Normal"/>
      </w:pPr>
      <w:r>
        <w:rPr>
          <w:b/>
          <w:bCs/>
        </w:rPr>
        <w:t xml:space="preserve">C-2 · pág. 1 · Desarrollo del pensamiento sistémico complejo</w:t>
      </w:r>
    </w:p>
    <w:p>
      <w:bookmarkStart w:name="b_punto_c2_p001_01" w:id="6946"/>
      <w:r>
        <w:t xml:space="preserve">La portada identifica la Unidad 3 y no desarrolla una definición, ejercicio o procedimiento evaluable.</w:t>
      </w:r>
      <w:bookmarkEnd w:id="6946"/>
    </w:p>
    <w:p>
      <w:pPr>
        <w:pStyle w:val="Fuente"/>
      </w:pPr>
      <w:r>
        <w:t xml:space="preserve">Motivo: Portada sin contenido sustantivo; se conserva como referencia de la presentación.</w:t>
      </w:r>
    </w:p>
    <w:p>
      <w:pPr>
        <w:pStyle w:val="Fuente"/>
      </w:pPr>
      <w:r>
        <w:t xml:space="preserve">Véase </w:t>
      </w:r>
      <w:hyperlink w:history="1" w:anchor="b_unidad_3">
        <w:r>
          <w:rPr>
            <w:color w:val="156B70"/>
            <w:u w:val="single"/>
          </w:rPr>
          <w:t xml:space="preserve">Parte III</w:t>
        </w:r>
      </w:hyperlink>
      <w:r>
        <w:t xml:space="preserve">, pág. </w:t>
      </w:r>
      <w:r>
        <w:fldChar w:fldCharType="begin"/>
        <w:instrText xml:space="preserve">PAGEREF b_unidad_3 \h</w:instrText>
        <w:fldChar w:fldCharType="separate"/>
        <w:t xml:space="preserve">377</w:t>
        <w:fldChar w:fldCharType="end"/>
      </w:r>
      <w:r>
        <w:t xml:space="preserve">.</w:t>
      </w:r>
    </w:p>
    <w:p>
      <w:pPr>
        <w:pStyle w:val="Normal"/>
      </w:pPr>
      <w:r>
        <w:rPr>
          <w:b/>
          <w:bCs/>
        </w:rPr>
        <w:t xml:space="preserve">Clase 10 · 00:08:31–00:11:40 · Apertura y logística del primer parcial</w:t>
      </w:r>
    </w:p>
    <w:p>
      <w:bookmarkStart w:name="b_punto_c10_cap_01_p01" w:id="6947"/>
      <w:r>
        <w:t xml:space="preserve">Apertura del20 de agosto y recordatorio del primer parcial del22, salón 410 del T3.</w:t>
      </w:r>
      <w:bookmarkEnd w:id="6947"/>
    </w:p>
    <w:p>
      <w:pPr>
        <w:pStyle w:val="Fuente"/>
      </w:pPr>
      <w:r>
        <w:t xml:space="preserve">Motivo: Aviso administrativo histórico, sin contenido académico adicional.</w:t>
      </w:r>
    </w:p>
    <w:p>
      <w:bookmarkStart w:name="b_punto_c10_cap_01_p02" w:id="6948"/>
      <w:r>
        <w:t xml:space="preserve">El primer parcial se limita a unidades 1–2, por escrito y sin dispositivos.</w:t>
      </w:r>
      <w:bookmarkEnd w:id="6948"/>
    </w:p>
    <w:p>
      <w:pPr>
        <w:pStyle w:val="Fuente"/>
      </w:pPr>
      <w:r>
        <w:t xml:space="preserve">Motivo: Aviso administrativo histórico, sin contenido académico adicional.</w:t>
      </w:r>
    </w:p>
    <w:p>
      <w:bookmarkStart w:name="b_punto_c10_cap_01_p03" w:id="6949"/>
      <w:r>
        <w:t xml:space="preserve">Comienza la Unidad 3, que no entra en ese primer parcial; segunda evaluación prevista para17 de septiembre.</w:t>
      </w:r>
      <w:bookmarkEnd w:id="6949"/>
    </w:p>
    <w:p>
      <w:pPr>
        <w:pStyle w:val="Fuente"/>
      </w:pPr>
      <w:r>
        <w:t xml:space="preserve">Motivo: Aviso administrativo histórico, sin contenido académico adicional.</w:t>
      </w:r>
    </w:p>
    <w:p>
      <w:pPr>
        <w:pStyle w:val="Fuente"/>
      </w:pPr>
      <w:r>
        <w:t xml:space="preserve">Véase </w:t>
      </w:r>
      <w:hyperlink w:history="1" w:anchor="b_unidad_3">
        <w:r>
          <w:rPr>
            <w:color w:val="156B70"/>
            <w:u w:val="single"/>
          </w:rPr>
          <w:t xml:space="preserve">Parte III</w:t>
        </w:r>
      </w:hyperlink>
      <w:r>
        <w:t xml:space="preserve">, pág. </w:t>
      </w:r>
      <w:r>
        <w:fldChar w:fldCharType="begin"/>
        <w:instrText xml:space="preserve">PAGEREF b_unidad_3 \h</w:instrText>
        <w:fldChar w:fldCharType="separate"/>
        <w:t xml:space="preserve">377</w:t>
        <w:fldChar w:fldCharType="end"/>
      </w:r>
      <w:r>
        <w:t xml:space="preserve">.</w:t>
      </w:r>
    </w:p>
    <w:p>
      <w:pPr>
        <w:pStyle w:val="Normal"/>
      </w:pPr>
      <w:r>
        <w:rPr>
          <w:b/>
          <w:bCs/>
        </w:rPr>
        <w:t xml:space="preserve">Clase 12 · 00:05:43–00:09:44 · Resultados del primer parcial y recuperación</w:t>
      </w:r>
    </w:p>
    <w:p>
      <w:bookmarkStart w:name="b_punto_c12_cap_01_p01" w:id="6950"/>
      <w:r>
        <w:t xml:space="preserve">Se comunican dificultades al cargar notas y promedio inferior a 50 en el primer parcial.</w:t>
      </w:r>
      <w:bookmarkEnd w:id="6950"/>
    </w:p>
    <w:p>
      <w:pPr>
        <w:pStyle w:val="Fuente"/>
      </w:pPr>
      <w:r>
        <w:t xml:space="preserve">Motivo: Aviso administrativo histórico, sin contenido académico adicional.</w:t>
      </w:r>
    </w:p>
    <w:p>
      <w:bookmarkStart w:name="b_punto_c12_cap_01_p02" w:id="6951"/>
      <w:r>
        <w:t xml:space="preserve">La recuperación pide resolver e investigar las preguntas del primer parcial con fuentes de unidades 1–2.</w:t>
      </w:r>
      <w:bookmarkEnd w:id="6951"/>
    </w:p>
    <w:p>
      <w:pPr>
        <w:pStyle w:val="Fuente"/>
      </w:pPr>
      <w:r>
        <w:t xml:space="preserve">Motivo: Aviso administrativo histórico, sin contenido académico adicional.</w:t>
      </w:r>
    </w:p>
    <w:p>
      <w:bookmarkStart w:name="b_punto_c12_cap_01_p03" w:id="6952"/>
      <w:r>
        <w:t xml:space="preserve">La publicación del examen y resultados queda pendiente de aviso en UEDI.</w:t>
      </w:r>
      <w:bookmarkEnd w:id="6952"/>
    </w:p>
    <w:p>
      <w:pPr>
        <w:pStyle w:val="Fuente"/>
      </w:pPr>
      <w:r>
        <w:t xml:space="preserve">Motivo: Aviso administrativo histórico, sin contenido académico adicional.</w:t>
      </w:r>
    </w:p>
    <w:p>
      <w:pPr>
        <w:pStyle w:val="Fuente"/>
      </w:pPr>
      <w:r>
        <w:t xml:space="preserve">Véase </w:t>
      </w:r>
      <w:hyperlink w:history="1" w:anchor="b_unidad_3">
        <w:r>
          <w:rPr>
            <w:color w:val="156B70"/>
            <w:u w:val="single"/>
          </w:rPr>
          <w:t xml:space="preserve">Parte III</w:t>
        </w:r>
      </w:hyperlink>
      <w:r>
        <w:t xml:space="preserve">, pág. </w:t>
      </w:r>
      <w:r>
        <w:fldChar w:fldCharType="begin"/>
        <w:instrText xml:space="preserve">PAGEREF b_unidad_3 \h</w:instrText>
        <w:fldChar w:fldCharType="separate"/>
        <w:t xml:space="preserve">377</w:t>
        <w:fldChar w:fldCharType="end"/>
      </w:r>
      <w:r>
        <w:t xml:space="preserve">.</w:t>
      </w:r>
    </w:p>
    <w:p>
      <w:pPr>
        <w:pStyle w:val="Normal"/>
      </w:pPr>
      <w:r>
        <w:rPr>
          <w:b/>
          <w:bCs/>
        </w:rPr>
        <w:t xml:space="preserve">Clase 13 · 00:10:37–00:15:51 · Apertura y evaluación de recuperación</w:t>
      </w:r>
    </w:p>
    <w:p>
      <w:bookmarkStart w:name="b_punto_c13_cap_01_p01" w:id="6953"/>
      <w:r>
        <w:t xml:space="preserve">Apertura del jueves 3 de septiembre y continuación de los hábitos del pensamiento sistémico complejo.</w:t>
      </w:r>
      <w:bookmarkEnd w:id="6953"/>
    </w:p>
    <w:p>
      <w:pPr>
        <w:pStyle w:val="Fuente"/>
      </w:pPr>
      <w:r>
        <w:t xml:space="preserve">Motivo: Encuadre de una sesión pasada, sin una definición ni un ejercicio nuevo del temario.</w:t>
      </w:r>
    </w:p>
    <w:p>
      <w:bookmarkStart w:name="b_punto_c13_cap_01_p02" w:id="6954"/>
      <w:r>
        <w:t xml:space="preserve">La recuperación del primer parcial pasa a formato virtual, con treinta preguntas, dos horas por intento, habilitación esa mañana y notas del parcial ya actualizadas.</w:t>
      </w:r>
      <w:bookmarkEnd w:id="6954"/>
    </w:p>
    <w:p>
      <w:pPr>
        <w:pStyle w:val="Fuente"/>
      </w:pPr>
      <w:r>
        <w:t xml:space="preserve">Motivo: Es organización histórica de la recuperación del primer parcial; no define temario ni formato del examen final.</w:t>
      </w:r>
    </w:p>
    <w:p>
      <w:bookmarkStart w:name="b_punto_c13_cap_01_p03" w:id="6955"/>
      <w:r>
        <w:t xml:space="preserve">Se pide seguir las lecturas y videos de Unidad 3 antes del cierre del 12 de septiembre y el segundo parcial del 17.</w:t>
      </w:r>
      <w:bookmarkEnd w:id="6955"/>
    </w:p>
    <w:p>
      <w:pPr>
        <w:pStyle w:val="Fuente"/>
      </w:pPr>
      <w:r>
        <w:t xml:space="preserve">Motivo: Calendario y estudio de un parcial pasado; las fechas se conservan como evidencia de aquella sesión.</w:t>
      </w:r>
    </w:p>
    <w:p>
      <w:pPr>
        <w:pStyle w:val="Fuente"/>
      </w:pPr>
      <w:r>
        <w:t xml:space="preserve">Véase </w:t>
      </w:r>
      <w:hyperlink w:history="1" w:anchor="b_unidad_3">
        <w:r>
          <w:rPr>
            <w:color w:val="156B70"/>
            <w:u w:val="single"/>
          </w:rPr>
          <w:t xml:space="preserve">Parte III</w:t>
        </w:r>
      </w:hyperlink>
      <w:r>
        <w:t xml:space="preserve">, pág. </w:t>
      </w:r>
      <w:r>
        <w:fldChar w:fldCharType="begin"/>
        <w:instrText xml:space="preserve">PAGEREF b_unidad_3 \h</w:instrText>
        <w:fldChar w:fldCharType="separate"/>
        <w:t xml:space="preserve">377</w:t>
        <w:fldChar w:fldCharType="end"/>
      </w:r>
      <w:r>
        <w:t xml:space="preserve">.</w:t>
      </w:r>
    </w:p>
    <w:p>
      <w:pPr>
        <w:pStyle w:val="Normal"/>
      </w:pPr>
      <w:r>
        <w:rPr>
          <w:b/>
          <w:bCs/>
        </w:rPr>
        <w:t xml:space="preserve">Clase 14 · 00:01:49–00:03:57 · Apertura, entregas y ponderación de la zona</w:t>
      </w:r>
    </w:p>
    <w:p>
      <w:bookmarkStart w:name="b_punto_c14_cap_01_p01" w:id="6956"/>
      <w:r>
        <w:t xml:space="preserve">Apertura del sábado 5 de septiembre; devolución de recuperación, conteos de entregas y recordatorio de 15 puntos de participación más 10 de modelación.</w:t>
      </w:r>
      <w:bookmarkEnd w:id="6956"/>
    </w:p>
    <w:p>
      <w:pPr>
        <w:pStyle w:val="Fuente"/>
      </w:pPr>
      <w:r>
        <w:t xml:space="preserve">Motivo: Avisos y ponderaciones históricas de la zona; no añaden contenido académico nuevo.</w:t>
      </w:r>
    </w:p>
    <w:p>
      <w:bookmarkStart w:name="b_punto_c14_cap_01_p02" w:id="6957"/>
      <w:r>
        <w:t xml:space="preserve">Se extiende hasta 09:30 la entrega de la investigación de ciclos.</w:t>
      </w:r>
      <w:bookmarkEnd w:id="6957"/>
    </w:p>
    <w:p>
      <w:pPr>
        <w:pStyle w:val="Fuente"/>
      </w:pPr>
      <w:r>
        <w:t xml:space="preserve">Motivo: Plazo pasado, sin relación con la fecha ni formato del final.</w:t>
      </w:r>
    </w:p>
    <w:p>
      <w:pPr>
        <w:pStyle w:val="Fuente"/>
      </w:pPr>
      <w:r>
        <w:t xml:space="preserve">Véase </w:t>
      </w:r>
      <w:hyperlink w:history="1" w:anchor="b_unidad_3">
        <w:r>
          <w:rPr>
            <w:color w:val="156B70"/>
            <w:u w:val="single"/>
          </w:rPr>
          <w:t xml:space="preserve">Parte III</w:t>
        </w:r>
      </w:hyperlink>
      <w:r>
        <w:t xml:space="preserve">, pág. </w:t>
      </w:r>
      <w:r>
        <w:fldChar w:fldCharType="begin"/>
        <w:instrText xml:space="preserve">PAGEREF b_unidad_3 \h</w:instrText>
        <w:fldChar w:fldCharType="separate"/>
        <w:t xml:space="preserve">377</w:t>
        <w:fldChar w:fldCharType="end"/>
      </w:r>
      <w:r>
        <w:t xml:space="preserve">.</w:t>
      </w:r>
    </w:p>
    <w:p>
      <w:pPr>
        <w:pStyle w:val="Normal"/>
      </w:pPr>
      <w:r>
        <w:rPr>
          <w:b/>
          <w:bCs/>
        </w:rPr>
        <w:t xml:space="preserve">C-2 · página 2 · Contenido y programación de la Unidad 3</w:t>
      </w:r>
    </w:p>
    <w:p>
      <w:bookmarkStart w:name="b_punto_c2_p002_02" w:id="6958"/>
      <w:r>
        <w:t xml:space="preserve">La planificación histórica cubre del 20 de agosto al 12 de septiembre y anuncia el segundo parcial del jueves 17 de septiembre, salón402 T3,7:10–8:50.</w:t>
      </w:r>
      <w:bookmarkEnd w:id="6958"/>
    </w:p>
    <w:p>
      <w:pPr>
        <w:pStyle w:val="Fuente"/>
      </w:pPr>
      <w:r>
        <w:t xml:space="preserve">Motivo: Es el calendario de una evaluación ya realizada; no fija fecha, formato ni alcance del examen final.</w:t>
      </w:r>
    </w:p>
    <w:p>
      <w:pPr>
        <w:pStyle w:val="Fuente"/>
      </w:pPr>
      <w:r>
        <w:t xml:space="preserve">Véase </w:t>
      </w:r>
      <w:hyperlink w:history="1" w:anchor="b_pagina_3_1_C_2_p2">
        <w:r>
          <w:rPr>
            <w:color w:val="156B70"/>
            <w:u w:val="single"/>
          </w:rPr>
          <w:t xml:space="preserve">capítulo 3.1 · Mapas sistémicos</w:t>
        </w:r>
      </w:hyperlink>
      <w:r>
        <w:t xml:space="preserve">, pág. </w:t>
      </w:r>
      <w:r>
        <w:fldChar w:fldCharType="begin"/>
        <w:instrText xml:space="preserve">PAGEREF b_pagina_3_1_C_2_p2 \h</w:instrText>
        <w:fldChar w:fldCharType="separate"/>
        <w:t xml:space="preserve">382</w:t>
        <w:fldChar w:fldCharType="end"/>
      </w:r>
      <w:r>
        <w:t xml:space="preserve">.</w:t>
      </w:r>
    </w:p>
    <w:p>
      <w:pPr>
        <w:pStyle w:val="Normal"/>
      </w:pPr>
      <w:r>
        <w:rPr>
          <w:b/>
          <w:bCs/>
        </w:rPr>
        <w:t xml:space="preserve">Clase 12 · 00:09:44–00:13:59 · Entregas de la tarea y anuncio de una segunda</w:t>
      </w:r>
    </w:p>
    <w:p>
      <w:bookmarkStart w:name="b_punto_c12_cap_02_p01" w:id="6959"/>
      <w:r>
        <w:t xml:space="preserve">Se agradecen 31 entregas y se anuncia otra tarea para practicar el mapa.</w:t>
      </w:r>
      <w:bookmarkEnd w:id="6959"/>
    </w:p>
    <w:p>
      <w:pPr>
        <w:pStyle w:val="Fuente"/>
      </w:pPr>
      <w:r>
        <w:t xml:space="preserve">Motivo: Aviso administrativo histórico, sin contenido académico adicional.</w:t>
      </w:r>
    </w:p>
    <w:p>
      <w:pPr>
        <w:pStyle w:val="Fuente"/>
      </w:pPr>
      <w:r>
        <w:t xml:space="preserve">Véase </w:t>
      </w:r>
      <w:hyperlink w:history="1" w:anchor="b_3_1">
        <w:r>
          <w:rPr>
            <w:color w:val="156B70"/>
            <w:u w:val="single"/>
          </w:rPr>
          <w:t xml:space="preserve">capítulo 3.1 · Mapas sistémicos</w:t>
        </w:r>
      </w:hyperlink>
      <w:r>
        <w:t xml:space="preserve">, pág. </w:t>
      </w:r>
      <w:r>
        <w:fldChar w:fldCharType="begin"/>
        <w:instrText xml:space="preserve">PAGEREF b_3_1 \h</w:instrText>
        <w:fldChar w:fldCharType="separate"/>
        <w:t xml:space="preserve">379</w:t>
        <w:fldChar w:fldCharType="end"/>
      </w:r>
      <w:r>
        <w:t xml:space="preserve">.</w:t>
      </w:r>
    </w:p>
    <w:p>
      <w:pPr>
        <w:pStyle w:val="Normal"/>
      </w:pPr>
      <w:r>
        <w:rPr>
          <w:b/>
          <w:bCs/>
        </w:rPr>
        <w:t xml:space="preserve">Clase 10 · 00:26:21–00:38:00 · Video proyectado sobre pensamiento sistémico</w:t>
      </w:r>
    </w:p>
    <w:p>
      <w:bookmarkStart w:name="b_punto_c10_cap_04_p04" w:id="6960"/>
      <w:r>
        <w:t xml:space="preserve">Un fragmento inglés sobre compras con efectivo y débito se filtra en la grabación.</w:t>
      </w:r>
      <w:bookmarkEnd w:id="6960"/>
    </w:p>
    <w:p>
      <w:pPr>
        <w:pStyle w:val="Fuente"/>
      </w:pPr>
      <w:r>
        <w:t xml:space="preserve">Motivo: Audio extraño al curso y al video, sin comentario académico del profesor.</w:t>
      </w:r>
    </w:p>
    <w:p>
      <w:bookmarkStart w:name="b_punto_c10_cap_04_p07" w:id="6961"/>
      <w:r>
        <w:t xml:space="preserve">Se repite audio inglés sobre débito, crédito e intereses.</w:t>
      </w:r>
      <w:bookmarkEnd w:id="6961"/>
    </w:p>
    <w:p>
      <w:pPr>
        <w:pStyle w:val="Fuente"/>
      </w:pPr>
      <w:r>
        <w:t xml:space="preserve">Motivo: Interferencia de otra grabación; no atribuir a esta clase una explicación financiera.</w:t>
      </w:r>
    </w:p>
    <w:p>
      <w:pPr>
        <w:pStyle w:val="Fuente"/>
      </w:pPr>
      <w:r>
        <w:t xml:space="preserve">Véase </w:t>
      </w:r>
      <w:hyperlink w:history="1" w:anchor="b_clase_3_2_c10_cap_04">
        <w:r>
          <w:rPr>
            <w:color w:val="156B70"/>
            <w:u w:val="single"/>
          </w:rPr>
          <w:t xml:space="preserve">capítulo 3.2 · Mapas DSRP generales</w:t>
        </w:r>
      </w:hyperlink>
      <w:r>
        <w:t xml:space="preserve">, pág. </w:t>
      </w:r>
      <w:r>
        <w:fldChar w:fldCharType="begin"/>
        <w:instrText xml:space="preserve">PAGEREF b_clase_3_2_c10_cap_04 \h</w:instrText>
        <w:fldChar w:fldCharType="separate"/>
        <w:t xml:space="preserve">421</w:t>
        <w:fldChar w:fldCharType="end"/>
      </w:r>
      <w:r>
        <w:t xml:space="preserve">.</w:t>
      </w:r>
    </w:p>
    <w:p>
      <w:pPr>
        <w:pStyle w:val="Normal"/>
      </w:pPr>
      <w:r>
        <w:rPr>
          <w:b/>
          <w:bCs/>
        </w:rPr>
        <w:t xml:space="preserve">Clase 10 · 01:37:39–01:41:01 · Tarea y cierre</w:t>
      </w:r>
    </w:p>
    <w:p>
      <w:bookmarkStart w:name="b_punto_c10_cap_12_p03" w:id="6962"/>
      <w:r>
        <w:t xml:space="preserve">Crear usuario, exportar PDF y entregar el mapa son instrucciones de esa tarea pasada.</w:t>
      </w:r>
      <w:bookmarkEnd w:id="6962"/>
    </w:p>
    <w:p>
      <w:pPr>
        <w:pStyle w:val="Fuente"/>
      </w:pPr>
      <w:r>
        <w:t xml:space="preserve">Motivo: Aviso administrativo histórico, sin contenido académico adicional.</w:t>
      </w:r>
    </w:p>
    <w:p>
      <w:bookmarkStart w:name="b_punto_c10_cap_12_p04" w:id="6963"/>
      <w:r>
        <w:t xml:space="preserve">Se recuerda primer parcial en papel con selección múltiple y abiertas, sin dispositivo, y se cierra la clase.</w:t>
      </w:r>
      <w:bookmarkEnd w:id="6963"/>
    </w:p>
    <w:p>
      <w:pPr>
        <w:pStyle w:val="Fuente"/>
      </w:pPr>
      <w:r>
        <w:t xml:space="preserve">Motivo: Aviso administrativo histórico, sin contenido académico adicional.</w:t>
      </w:r>
    </w:p>
    <w:p>
      <w:pPr>
        <w:pStyle w:val="Fuente"/>
      </w:pPr>
      <w:r>
        <w:t xml:space="preserve">Véase </w:t>
      </w:r>
      <w:hyperlink w:history="1" w:anchor="b_clase_3_2_c10_cap_12">
        <w:r>
          <w:rPr>
            <w:color w:val="156B70"/>
            <w:u w:val="single"/>
          </w:rPr>
          <w:t xml:space="preserve">capítulo 3.2 · Mapas DSRP generales</w:t>
        </w:r>
      </w:hyperlink>
      <w:r>
        <w:t xml:space="preserve">, pág. </w:t>
      </w:r>
      <w:r>
        <w:fldChar w:fldCharType="begin"/>
        <w:instrText xml:space="preserve">PAGEREF b_clase_3_2_c10_cap_12 \h</w:instrText>
        <w:fldChar w:fldCharType="separate"/>
        <w:t xml:space="preserve">423</w:t>
        <w:fldChar w:fldCharType="end"/>
      </w:r>
      <w:r>
        <w:t xml:space="preserve">.</w:t>
      </w:r>
    </w:p>
    <w:p>
      <w:pPr>
        <w:pStyle w:val="Normal"/>
      </w:pPr>
      <w:r>
        <w:rPr>
          <w:b/>
          <w:bCs/>
        </w:rPr>
        <w:t xml:space="preserve">Clase 11 · 00:07:52–00:12:00 · Apertura: la tarea del mapa y las notas del parcial</w:t>
      </w:r>
    </w:p>
    <w:p>
      <w:bookmarkStart w:name="b_punto_c11_cap_01_p01" w:id="6964"/>
      <w:r>
        <w:t xml:space="preserve">Se habilita la tarea de universidad, participación activa, con plazo hasta las 10.</w:t>
      </w:r>
      <w:bookmarkEnd w:id="6964"/>
    </w:p>
    <w:p>
      <w:pPr>
        <w:pStyle w:val="Fuente"/>
      </w:pPr>
      <w:r>
        <w:t xml:space="preserve">Motivo: Aviso administrativo histórico, sin contenido académico adicional.</w:t>
      </w:r>
    </w:p>
    <w:p>
      <w:bookmarkStart w:name="b_punto_c11_cap_01_p02" w:id="6965"/>
      <w:r>
        <w:t xml:space="preserve">Las notas quedan pendientes para el sábado; se aclara la diferencia entre hora visible y límite de entrega.</w:t>
      </w:r>
      <w:bookmarkEnd w:id="6965"/>
    </w:p>
    <w:p>
      <w:pPr>
        <w:pStyle w:val="Fuente"/>
      </w:pPr>
      <w:r>
        <w:t xml:space="preserve">Motivo: Aviso administrativo histórico, sin contenido académico adicional.</w:t>
      </w:r>
    </w:p>
    <w:p>
      <w:pPr>
        <w:pStyle w:val="Fuente"/>
      </w:pPr>
      <w:r>
        <w:t xml:space="preserve">Véase </w:t>
      </w:r>
      <w:hyperlink w:history="1" w:anchor="b_clase_3_2_c11_cap_01">
        <w:r>
          <w:rPr>
            <w:color w:val="156B70"/>
            <w:u w:val="single"/>
          </w:rPr>
          <w:t xml:space="preserve">capítulo 3.2 · Mapas DSRP generales</w:t>
        </w:r>
      </w:hyperlink>
      <w:r>
        <w:t xml:space="preserve">, pág. </w:t>
      </w:r>
      <w:r>
        <w:fldChar w:fldCharType="begin"/>
        <w:instrText xml:space="preserve">PAGEREF b_clase_3_2_c11_cap_01 \h</w:instrText>
        <w:fldChar w:fldCharType="separate"/>
        <w:t xml:space="preserve">423</w:t>
        <w:fldChar w:fldCharType="end"/>
      </w:r>
      <w:r>
        <w:t xml:space="preserve">.</w:t>
      </w:r>
    </w:p>
    <w:p>
      <w:pPr>
        <w:pStyle w:val="Normal"/>
      </w:pPr>
      <w:r>
        <w:rPr>
          <w:b/>
          <w:bCs/>
        </w:rPr>
        <w:t xml:space="preserve">Clase 11 · 01:34:07–01:42:02 · Cierre: relaciones significativas y anuncios</w:t>
      </w:r>
    </w:p>
    <w:p>
      <w:bookmarkStart w:name="b_punto_c11_cap_10_p06" w:id="6966"/>
      <w:r>
        <w:t xml:space="preserve">Se amplía la entrega al final del día, se permite actualizar y se advierte no copiar el mapa del profesor.</w:t>
      </w:r>
      <w:bookmarkEnd w:id="6966"/>
    </w:p>
    <w:p>
      <w:pPr>
        <w:pStyle w:val="Fuente"/>
      </w:pPr>
      <w:r>
        <w:t xml:space="preserve">Motivo: Aviso administrativo histórico, sin contenido académico adicional.</w:t>
      </w:r>
    </w:p>
    <w:p>
      <w:pPr>
        <w:pStyle w:val="Fuente"/>
      </w:pPr>
      <w:r>
        <w:t xml:space="preserve">Véase </w:t>
      </w:r>
      <w:hyperlink w:history="1" w:anchor="b_clase_3_2_c11_cap_10">
        <w:r>
          <w:rPr>
            <w:color w:val="156B70"/>
            <w:u w:val="single"/>
          </w:rPr>
          <w:t xml:space="preserve">capítulo 3.2 · Mapas DSRP generales</w:t>
        </w:r>
      </w:hyperlink>
      <w:r>
        <w:t xml:space="preserve">, pág. </w:t>
      </w:r>
      <w:r>
        <w:fldChar w:fldCharType="begin"/>
        <w:instrText xml:space="preserve">PAGEREF b_clase_3_2_c11_cap_10 \h</w:instrText>
        <w:fldChar w:fldCharType="separate"/>
        <w:t xml:space="preserve">426</w:t>
        <w:fldChar w:fldCharType="end"/>
      </w:r>
      <w:r>
        <w:t xml:space="preserve">.</w:t>
      </w:r>
    </w:p>
    <w:p>
      <w:pPr>
        <w:pStyle w:val="Normal"/>
      </w:pPr>
      <w:r>
        <w:rPr>
          <w:b/>
          <w:bCs/>
        </w:rPr>
        <w:t xml:space="preserve">Clase 15 · 01:25:51–01:42:38 · Las demoras y su notación</w:t>
      </w:r>
    </w:p>
    <w:p>
      <w:bookmarkStart w:name="b_punto_c15_cap_10_p09" w:id="6967"/>
      <w:r>
        <w:t xml:space="preserve">Notas del primer parcial y gestiones de actualización en UEDI.</w:t>
      </w:r>
      <w:bookmarkEnd w:id="6967"/>
    </w:p>
    <w:p>
      <w:pPr>
        <w:pStyle w:val="Fuente"/>
      </w:pPr>
      <w:r>
        <w:t xml:space="preserve">Motivo: Avisos administrativos históricos sin concepto nuevo.</w:t>
      </w:r>
    </w:p>
    <w:p>
      <w:pPr>
        <w:pStyle w:val="Fuente"/>
      </w:pPr>
      <w:r>
        <w:t xml:space="preserve">Véase </w:t>
      </w:r>
      <w:hyperlink w:history="1" w:anchor="b_clase_3_2_c15_cap_10">
        <w:r>
          <w:rPr>
            <w:color w:val="156B70"/>
            <w:u w:val="single"/>
          </w:rPr>
          <w:t xml:space="preserve">capítulo 3.2 · Mapas DSRP generales</w:t>
        </w:r>
      </w:hyperlink>
      <w:r>
        <w:t xml:space="preserve">, pág. </w:t>
      </w:r>
      <w:r>
        <w:fldChar w:fldCharType="begin"/>
        <w:instrText xml:space="preserve">PAGEREF b_clase_3_2_c15_cap_10 \h</w:instrText>
        <w:fldChar w:fldCharType="separate"/>
        <w:t xml:space="preserve">427</w:t>
        <w:fldChar w:fldCharType="end"/>
      </w:r>
      <w:r>
        <w:t xml:space="preserve">.</w:t>
      </w:r>
    </w:p>
    <w:p>
      <w:pPr>
        <w:pStyle w:val="Normal"/>
      </w:pPr>
      <w:r>
        <w:rPr>
          <w:b/>
          <w:bCs/>
        </w:rPr>
        <w:t xml:space="preserve">Clase 16 · 00:10:13–00:17:41 · Apertura, entregas y repaso de los hábitos</w:t>
      </w:r>
    </w:p>
    <w:p>
      <w:bookmarkStart w:name="b_punto_c16_cap_01_p01" w:id="6968"/>
      <w:r>
        <w:t xml:space="preserve">Bienvenida y plazos de entrega de caries y Ana.</w:t>
      </w:r>
      <w:bookmarkEnd w:id="6968"/>
    </w:p>
    <w:p>
      <w:pPr>
        <w:pStyle w:val="Fuente"/>
      </w:pPr>
      <w:r>
        <w:t xml:space="preserve">Motivo: Avisos pasados; no definen formato ni alcance del final.</w:t>
      </w:r>
    </w:p>
    <w:p>
      <w:pPr>
        <w:pStyle w:val="Fuente"/>
      </w:pPr>
      <w:r>
        <w:t xml:space="preserve">Véase </w:t>
      </w:r>
      <w:hyperlink w:history="1" w:anchor="b_clase_3_3_c16_cap_01">
        <w:r>
          <w:rPr>
            <w:color w:val="156B70"/>
            <w:u w:val="single"/>
          </w:rPr>
          <w:t xml:space="preserve">capítulo 3.3 · Diagramas de ciclos causales</w:t>
        </w:r>
      </w:hyperlink>
      <w:r>
        <w:t xml:space="preserve">, pág. </w:t>
      </w:r>
      <w:r>
        <w:fldChar w:fldCharType="begin"/>
        <w:instrText xml:space="preserve">PAGEREF b_clase_3_3_c16_cap_01 \h</w:instrText>
        <w:fldChar w:fldCharType="separate"/>
        <w:t xml:space="preserve">461</w:t>
        <w:fldChar w:fldCharType="end"/>
      </w:r>
      <w:r>
        <w:t xml:space="preserve">.</w:t>
      </w:r>
    </w:p>
    <w:p>
      <w:pPr>
        <w:pStyle w:val="Normal"/>
      </w:pPr>
      <w:r>
        <w:rPr>
          <w:b/>
          <w:bCs/>
        </w:rPr>
        <w:t xml:space="preserve">Clase 16 · 01:37:54–01:42:10 · De la estructura a la curva, y los ciclos de vida</w:t>
      </w:r>
    </w:p>
    <w:p>
      <w:bookmarkStart w:name="b_punto_c16_cap_10_p05" w:id="6969"/>
      <w:r>
        <w:t xml:space="preserve">Se busca la lámina de Ana para cerrar.</w:t>
      </w:r>
      <w:bookmarkEnd w:id="6969"/>
    </w:p>
    <w:p>
      <w:pPr>
        <w:pStyle w:val="Fuente"/>
      </w:pPr>
      <w:r>
        <w:t xml:space="preserve">Motivo: Transición entre láminas sin concepto nuevo.</w:t>
      </w:r>
    </w:p>
    <w:p>
      <w:pPr>
        <w:pStyle w:val="Fuente"/>
      </w:pPr>
      <w:r>
        <w:t xml:space="preserve">Véase </w:t>
      </w:r>
      <w:hyperlink w:history="1" w:anchor="b_3_3">
        <w:r>
          <w:rPr>
            <w:color w:val="156B70"/>
            <w:u w:val="single"/>
          </w:rPr>
          <w:t xml:space="preserve">capítulo 3.3 · Diagramas de ciclos causales</w:t>
        </w:r>
      </w:hyperlink>
      <w:r>
        <w:t xml:space="preserve">, pág. </w:t>
      </w:r>
      <w:r>
        <w:fldChar w:fldCharType="begin"/>
        <w:instrText xml:space="preserve">PAGEREF b_3_3 \h</w:instrText>
        <w:fldChar w:fldCharType="separate"/>
        <w:t xml:space="preserve">443</w:t>
        <w:fldChar w:fldCharType="end"/>
      </w:r>
      <w:r>
        <w:t xml:space="preserve">.</w:t>
      </w:r>
    </w:p>
    <w:p>
      <w:pPr>
        <w:pStyle w:val="Normal"/>
      </w:pPr>
      <w:r>
        <w:rPr>
          <w:b/>
          <w:bCs/>
        </w:rPr>
        <w:t xml:space="preserve">Clase 16 · 01:42:10–01:47:55 · El segundo parcial y la solución del caso de Ana</w:t>
      </w:r>
    </w:p>
    <w:p>
      <w:bookmarkStart w:name="b_punto_c16_cap_11_p01" w:id="6970"/>
      <w:r>
        <w:t xml:space="preserve">Se recuerda fecha, salón y horario del segundo parcial.</w:t>
      </w:r>
      <w:bookmarkEnd w:id="6970"/>
    </w:p>
    <w:p>
      <w:pPr>
        <w:pStyle w:val="Fuente"/>
      </w:pPr>
      <w:r>
        <w:t xml:space="preserve">Motivo: Aviso administrativo histórico, no alcance del final.</w:t>
      </w:r>
    </w:p>
    <w:p>
      <w:bookmarkStart w:name="b_punto_c16_cap_11_p07" w:id="6971"/>
      <w:r>
        <w:t xml:space="preserve">Se confirma U3 como alcance del segundo parcial, se difiere U4 y se anuncia subir la presentación.</w:t>
      </w:r>
      <w:bookmarkEnd w:id="6971"/>
    </w:p>
    <w:p>
      <w:pPr>
        <w:pStyle w:val="Fuente"/>
      </w:pPr>
      <w:r>
        <w:t xml:space="preserve">Motivo: No extrapolar este alcance o formato al final acumulativo indicado por el usuario.</w:t>
      </w:r>
    </w:p>
    <w:p>
      <w:pPr>
        <w:pStyle w:val="Fuente"/>
      </w:pPr>
      <w:r>
        <w:t xml:space="preserve">Véase </w:t>
      </w:r>
      <w:hyperlink w:history="1" w:anchor="b_clase_3_3_c16_cap_11">
        <w:r>
          <w:rPr>
            <w:color w:val="156B70"/>
            <w:u w:val="single"/>
          </w:rPr>
          <w:t xml:space="preserve">capítulo 3.3 · Diagramas de ciclos causales</w:t>
        </w:r>
      </w:hyperlink>
      <w:r>
        <w:t xml:space="preserve">, pág. </w:t>
      </w:r>
      <w:r>
        <w:fldChar w:fldCharType="begin"/>
        <w:instrText xml:space="preserve">PAGEREF b_clase_3_3_c16_cap_11 \h</w:instrText>
        <w:fldChar w:fldCharType="separate"/>
        <w:t xml:space="preserve">463</w:t>
        <w:fldChar w:fldCharType="end"/>
      </w:r>
      <w:r>
        <w:t xml:space="preserve">.</w:t>
      </w:r>
    </w:p>
    <w:p>
      <w:pPr>
        <w:pStyle w:val="Normal"/>
      </w:pPr>
      <w:r>
        <w:rPr>
          <w:b/>
          <w:bCs/>
        </w:rPr>
        <w:t xml:space="preserve">Clase 12 · 01:36:55–01:41:12 · Cierre y recordatorio de las dos tareas</w:t>
      </w:r>
    </w:p>
    <w:p>
      <w:bookmarkStart w:name="b_punto_c12_cap_10_p03" w:id="6972"/>
      <w:r>
        <w:t xml:space="preserve">Se recuerdan el mapa informático y la resolución del parcial; el fallo técnico precipita el cierre.</w:t>
      </w:r>
      <w:bookmarkEnd w:id="6972"/>
    </w:p>
    <w:p>
      <w:pPr>
        <w:pStyle w:val="Fuente"/>
      </w:pPr>
      <w:r>
        <w:t xml:space="preserve">Motivo: Aviso administrativo histórico, sin contenido académico adicional.</w:t>
      </w:r>
    </w:p>
    <w:p>
      <w:pPr>
        <w:pStyle w:val="Fuente"/>
      </w:pPr>
      <w:r>
        <w:t xml:space="preserve">Véase </w:t>
      </w:r>
      <w:hyperlink w:history="1" w:anchor="b_clase_3_4_c12_cap_10">
        <w:r>
          <w:rPr>
            <w:color w:val="156B70"/>
            <w:u w:val="single"/>
          </w:rPr>
          <w:t xml:space="preserve">capítulo 3.4 · Interdependencias sistémicas</w:t>
        </w:r>
      </w:hyperlink>
      <w:r>
        <w:t xml:space="preserve">, pág. </w:t>
      </w:r>
      <w:r>
        <w:fldChar w:fldCharType="begin"/>
        <w:instrText xml:space="preserve">PAGEREF b_clase_3_4_c12_cap_10 \h</w:instrText>
        <w:fldChar w:fldCharType="separate"/>
        <w:t xml:space="preserve">488</w:t>
        <w:fldChar w:fldCharType="end"/>
      </w:r>
      <w:r>
        <w:t xml:space="preserve">.</w:t>
      </w:r>
    </w:p>
    <w:p>
      <w:pPr>
        <w:pStyle w:val="Normal"/>
      </w:pPr>
      <w:r>
        <w:rPr>
          <w:b/>
          <w:bCs/>
        </w:rPr>
        <w:t xml:space="preserve">Clase 13 · 01:38:26–01:47:02 · El mapa del jardín y los dos tipos de ciclo</w:t>
      </w:r>
    </w:p>
    <w:p>
      <w:bookmarkStart w:name="b_punto_c13_cap_10_p06" w:id="6973"/>
      <w:r>
        <w:t xml:space="preserve">La entrega de la investigación se prorroga hasta 23:59; se recuerda la ponderación de 25 puntos de participación y que practicar ayuda para el segundo parcial.</w:t>
      </w:r>
      <w:bookmarkEnd w:id="6973"/>
    </w:p>
    <w:p>
      <w:pPr>
        <w:pStyle w:val="Fuente"/>
      </w:pPr>
      <w:r>
        <w:t xml:space="preserve">Motivo: La prórroga y el peso son históricos; la señal de practicar para el segundo parcial se registra aparte y no fija el formato del final.</w:t>
      </w:r>
    </w:p>
    <w:p>
      <w:pPr>
        <w:pStyle w:val="Fuente"/>
      </w:pPr>
      <w:r>
        <w:t xml:space="preserve">Véase </w:t>
      </w:r>
      <w:hyperlink w:history="1" w:anchor="b_clase_3_4_c13_cap_10">
        <w:r>
          <w:rPr>
            <w:color w:val="156B70"/>
            <w:u w:val="single"/>
          </w:rPr>
          <w:t xml:space="preserve">capítulo 3.4 · Interdependencias sistémicas</w:t>
        </w:r>
      </w:hyperlink>
      <w:r>
        <w:t xml:space="preserve">, pág. </w:t>
      </w:r>
      <w:r>
        <w:fldChar w:fldCharType="begin"/>
        <w:instrText xml:space="preserve">PAGEREF b_clase_3_4_c13_cap_10 \h</w:instrText>
        <w:fldChar w:fldCharType="separate"/>
        <w:t xml:space="preserve">490</w:t>
        <w:fldChar w:fldCharType="end"/>
      </w:r>
      <w:r>
        <w:t xml:space="preserve">.</w:t>
      </w:r>
    </w:p>
    <w:p>
      <w:pPr>
        <w:pStyle w:val="Normal"/>
      </w:pPr>
      <w:r>
        <w:rPr>
          <w:b/>
          <w:bCs/>
        </w:rPr>
        <w:t xml:space="preserve">Clase 14 · 01:26:29–01:37:24 · Círculos virtuosos y viciosos, y la tarea</w:t>
      </w:r>
    </w:p>
    <w:p>
      <w:bookmarkStart w:name="b_punto_c14_cap_10_p07" w:id="6974"/>
      <w:r>
        <w:t xml:space="preserve">Despedida y recordatorio de publicar la consigna para el jueves siguiente.</w:t>
      </w:r>
      <w:bookmarkEnd w:id="6974"/>
    </w:p>
    <w:p>
      <w:pPr>
        <w:pStyle w:val="Fuente"/>
      </w:pPr>
      <w:r>
        <w:t xml:space="preserve">Motivo: Cierre y fecha histórica; la tarea académica ya tiene su punto de verificación separado.</w:t>
      </w:r>
    </w:p>
    <w:p>
      <w:pPr>
        <w:pStyle w:val="Fuente"/>
      </w:pPr>
      <w:r>
        <w:t xml:space="preserve">Véase </w:t>
      </w:r>
      <w:hyperlink w:history="1" w:anchor="b_clase_3_4_c14_cap_10">
        <w:r>
          <w:rPr>
            <w:color w:val="156B70"/>
            <w:u w:val="single"/>
          </w:rPr>
          <w:t xml:space="preserve">capítulo 3.4 · Interdependencias sistémicas</w:t>
        </w:r>
      </w:hyperlink>
      <w:r>
        <w:t xml:space="preserve">, pág. </w:t>
      </w:r>
      <w:r>
        <w:fldChar w:fldCharType="begin"/>
        <w:instrText xml:space="preserve">PAGEREF b_clase_3_4_c14_cap_10 \h</w:instrText>
        <w:fldChar w:fldCharType="separate"/>
        <w:t xml:space="preserve">490</w:t>
        <w:fldChar w:fldCharType="end"/>
      </w:r>
      <w:r>
        <w:t xml:space="preserve">.</w:t>
      </w:r>
    </w:p>
    <w:p>
      <w:pPr>
        <w:pStyle w:val="Normal"/>
      </w:pPr>
      <w:r>
        <w:rPr>
          <w:b/>
          <w:bCs/>
        </w:rPr>
        <w:t xml:space="preserve">Clase 15 · 00:07:41–00:10:12 · Apertura y agenda de la última semana</w:t>
      </w:r>
    </w:p>
    <w:p>
      <w:bookmarkStart w:name="b_punto_c15_cap_01_p01" w:id="6975"/>
      <w:r>
        <w:t xml:space="preserve">Bienvenida del 10 de septiembre, fecha del segundo parcial y plazo de la tarea de caries.</w:t>
      </w:r>
      <w:bookmarkEnd w:id="6975"/>
    </w:p>
    <w:p>
      <w:pPr>
        <w:pStyle w:val="Fuente"/>
      </w:pPr>
      <w:r>
        <w:t xml:space="preserve">Motivo: Avisos administrativos pasados; no definen formato ni alcance del final.</w:t>
      </w:r>
    </w:p>
    <w:p>
      <w:pPr>
        <w:pStyle w:val="Fuente"/>
      </w:pPr>
      <w:r>
        <w:t xml:space="preserve">Véase </w:t>
      </w:r>
      <w:hyperlink w:history="1" w:anchor="b_clase_3_9_c15_cap_01">
        <w:r>
          <w:rPr>
            <w:color w:val="156B70"/>
            <w:u w:val="single"/>
          </w:rPr>
          <w:t xml:space="preserve">capítulo 3.9 · Hábitos (complejo)</w:t>
        </w:r>
      </w:hyperlink>
      <w:r>
        <w:t xml:space="preserve">, pág. </w:t>
      </w:r>
      <w:r>
        <w:fldChar w:fldCharType="begin"/>
        <w:instrText xml:space="preserve">PAGEREF b_clase_3_9_c15_cap_01 \h</w:instrText>
        <w:fldChar w:fldCharType="separate"/>
        <w:t xml:space="preserve">635</w:t>
        <w:fldChar w:fldCharType="end"/>
      </w:r>
      <w:r>
        <w:t xml:space="preserve">.</w:t>
      </w:r>
    </w:p>
    <w:p>
      <w:pPr>
        <w:pStyle w:val="Heading3"/>
      </w:pPr>
      <w:bookmarkStart w:name="b_avisos_unidad_4" w:id="6976"/>
      <w:r>
        <w:t xml:space="preserve">Unidad 4</w:t>
      </w:r>
      <w:bookmarkEnd w:id="6976"/>
    </w:p>
    <w:p>
      <w:pPr>
        <w:pStyle w:val="Normal"/>
      </w:pPr>
      <w:r>
        <w:rPr>
          <w:b/>
          <w:bCs/>
        </w:rPr>
        <w:t xml:space="preserve">Clase 18 · 01:42:06–01:42:24 · Audio final ajeno a la explicación</w:t>
      </w:r>
    </w:p>
    <w:p>
      <w:bookmarkStart w:name="b_punto_c18_cap_11_p01" w:id="6977"/>
      <w:r>
        <w:t xml:space="preserve">Conversación final sobre cargar un teléfono, ajena a la explicación.</w:t>
      </w:r>
      <w:bookmarkEnd w:id="6977"/>
    </w:p>
    <w:p>
      <w:pPr>
        <w:pStyle w:val="Fuente"/>
      </w:pPr>
      <w:r>
        <w:t xml:space="preserve">Motivo: No es el caso de difusión de teléfonos ni contenido del temario.</w:t>
      </w:r>
    </w:p>
    <w:p>
      <w:pPr>
        <w:pStyle w:val="Fuente"/>
      </w:pPr>
      <w:r>
        <w:t xml:space="preserve">Véase </w:t>
      </w:r>
      <w:hyperlink w:history="1" w:anchor="b_unidad_4">
        <w:r>
          <w:rPr>
            <w:color w:val="156B70"/>
            <w:u w:val="single"/>
          </w:rPr>
          <w:t xml:space="preserve">Parte IV</w:t>
        </w:r>
      </w:hyperlink>
      <w:r>
        <w:t xml:space="preserve">, pág. </w:t>
      </w:r>
      <w:r>
        <w:fldChar w:fldCharType="begin"/>
        <w:instrText xml:space="preserve">PAGEREF b_unidad_4 \h</w:instrText>
        <w:fldChar w:fldCharType="separate"/>
        <w:t xml:space="preserve">645</w:t>
        <w:fldChar w:fldCharType="end"/>
      </w:r>
      <w:r>
        <w:t xml:space="preserve">.</w:t>
      </w:r>
    </w:p>
    <w:p>
      <w:pPr>
        <w:pStyle w:val="Normal"/>
      </w:pPr>
      <w:r>
        <w:rPr>
          <w:b/>
          <w:bCs/>
        </w:rPr>
        <w:t xml:space="preserve">Clase 21 · 00:07:44–00:13:00 · Conferencia y confirmaciones del auxiliar</w:t>
      </w:r>
    </w:p>
    <w:p>
      <w:bookmarkStart w:name="b_punto_c21_cap_01_p01" w:id="6978"/>
      <w:r>
        <w:t xml:space="preserve">El auxiliar anuncia una conferencia sobre modelos de bucles cerrados e IA, horario y tres puntos extra por asistencia.</w:t>
      </w:r>
      <w:bookmarkEnd w:id="6978"/>
    </w:p>
    <w:p>
      <w:pPr>
        <w:pStyle w:val="Fuente"/>
      </w:pPr>
      <w:r>
        <w:t xml:space="preserve">Motivo: Aviso histórico de una actividad; no desarrolla la temática anunciada ni añade materia evaluable de Teoría de Sistemas 1.</w:t>
      </w:r>
    </w:p>
    <w:p>
      <w:bookmarkStart w:name="b_punto_c21_cap_01_p02" w:id="6979"/>
      <w:r>
        <w:t xml:space="preserve">Se pide verificar correos, listados y confirmaciones de solicitudes de reposición.</w:t>
      </w:r>
      <w:bookmarkEnd w:id="6979"/>
    </w:p>
    <w:p>
      <w:pPr>
        <w:pStyle w:val="Fuente"/>
      </w:pPr>
      <w:r>
        <w:t xml:space="preserve">Motivo: Gestión administrativa del semestre, conservada en la clase y en Anuncios.</w:t>
      </w:r>
    </w:p>
    <w:p>
      <w:pPr>
        <w:pStyle w:val="Fuente"/>
      </w:pPr>
      <w:r>
        <w:t xml:space="preserve">Véase </w:t>
      </w:r>
      <w:hyperlink w:history="1" w:anchor="b_unidad_4">
        <w:r>
          <w:rPr>
            <w:color w:val="156B70"/>
            <w:u w:val="single"/>
          </w:rPr>
          <w:t xml:space="preserve">Parte IV</w:t>
        </w:r>
      </w:hyperlink>
      <w:r>
        <w:t xml:space="preserve">, pág. </w:t>
      </w:r>
      <w:r>
        <w:fldChar w:fldCharType="begin"/>
        <w:instrText xml:space="preserve">PAGEREF b_unidad_4 \h</w:instrText>
        <w:fldChar w:fldCharType="separate"/>
        <w:t xml:space="preserve">645</w:t>
        <w:fldChar w:fldCharType="end"/>
      </w:r>
      <w:r>
        <w:t xml:space="preserve">.</w:t>
      </w:r>
    </w:p>
    <w:p>
      <w:pPr>
        <w:pStyle w:val="Normal"/>
      </w:pPr>
      <w:r>
        <w:rPr>
          <w:b/>
          <w:bCs/>
        </w:rPr>
        <w:t xml:space="preserve">Clase 23 · 00:00:45–00:04:29 · Tercer parcial, notas y reposición</w:t>
      </w:r>
    </w:p>
    <w:p>
      <w:bookmarkStart w:name="b_punto_c23_cap_01_p01" w:id="6980"/>
      <w:r>
        <w:t xml:space="preserve">Agenda de cierre de unidad, presencial del 22 en salón 110, recuperación de quienes sí rindieron el segundo parcial y reposición del 29 con salón pendiente.</w:t>
      </w:r>
      <w:bookmarkEnd w:id="6980"/>
    </w:p>
    <w:p>
      <w:pPr>
        <w:pStyle w:val="Fuente"/>
      </w:pPr>
      <w:r>
        <w:t xml:space="preserve">Motivo: Avisos históricos; no fijan el final acumulativo.</w:t>
      </w:r>
    </w:p>
    <w:p>
      <w:pPr>
        <w:pStyle w:val="Fuente"/>
      </w:pPr>
      <w:r>
        <w:t xml:space="preserve">Véase </w:t>
      </w:r>
      <w:hyperlink w:history="1" w:anchor="b_unidad_4">
        <w:r>
          <w:rPr>
            <w:color w:val="156B70"/>
            <w:u w:val="single"/>
          </w:rPr>
          <w:t xml:space="preserve">Parte IV</w:t>
        </w:r>
      </w:hyperlink>
      <w:r>
        <w:t xml:space="preserve">, pág. </w:t>
      </w:r>
      <w:r>
        <w:fldChar w:fldCharType="begin"/>
        <w:instrText xml:space="preserve">PAGEREF b_unidad_4 \h</w:instrText>
        <w:fldChar w:fldCharType="separate"/>
        <w:t xml:space="preserve">645</w:t>
        <w:fldChar w:fldCharType="end"/>
      </w:r>
      <w:r>
        <w:t xml:space="preserve">.</w:t>
      </w:r>
    </w:p>
    <w:p>
      <w:pPr>
        <w:pStyle w:val="Normal"/>
      </w:pPr>
      <w:r>
        <w:rPr>
          <w:b/>
          <w:bCs/>
        </w:rPr>
        <w:t xml:space="preserve">Clase 24 · 00:28:42–00:31:30 · Qué se hará en el parcial presencial</w:t>
      </w:r>
    </w:p>
    <w:p>
      <w:bookmarkStart w:name="b_punto_c24_cap_03_p01" w:id="6981"/>
      <w:r>
        <w:t xml:space="preserve">El presencial puede exigir interpretar, reconocer y dibujar DCC o flujos/niveles en papel; sólo se traslada ejecutar Vensim al sábado.</w:t>
      </w:r>
      <w:bookmarkEnd w:id="6981"/>
    </w:p>
    <w:p>
      <w:pPr>
        <w:pStyle w:val="Fuente"/>
      </w:pPr>
      <w:r>
        <w:t xml:space="preserve">Motivo: No es evidencia de formato del examen final.</w:t>
      </w:r>
    </w:p>
    <w:p>
      <w:pPr>
        <w:pStyle w:val="Fuente"/>
      </w:pPr>
      <w:r>
        <w:t xml:space="preserve">Véase </w:t>
      </w:r>
      <w:hyperlink w:history="1" w:anchor="b_unidad_4">
        <w:r>
          <w:rPr>
            <w:color w:val="156B70"/>
            <w:u w:val="single"/>
          </w:rPr>
          <w:t xml:space="preserve">Parte IV</w:t>
        </w:r>
      </w:hyperlink>
      <w:r>
        <w:t xml:space="preserve">, pág. </w:t>
      </w:r>
      <w:r>
        <w:fldChar w:fldCharType="begin"/>
        <w:instrText xml:space="preserve">PAGEREF b_unidad_4 \h</w:instrText>
        <w:fldChar w:fldCharType="separate"/>
        <w:t xml:space="preserve">645</w:t>
        <w:fldChar w:fldCharType="end"/>
      </w:r>
      <w:r>
        <w:t xml:space="preserve">.</w:t>
      </w:r>
    </w:p>
    <w:p>
      <w:pPr>
        <w:pStyle w:val="Normal"/>
      </w:pPr>
      <w:r>
        <w:rPr>
          <w:b/>
          <w:bCs/>
        </w:rPr>
        <w:t xml:space="preserve">Clase 24 · 00:54:02–01:01:19 · Reposiciones, solicitudes y publicación de notas</w:t>
      </w:r>
    </w:p>
    <w:p>
      <w:bookmarkStart w:name="b_punto_c24_cap_08_p01" w:id="6982"/>
      <w:r>
        <w:t xml:space="preserve">Corrige confusión con otro curso; reposición del 29 con solicitud previa, alcance y salón pendientes, práctica del 24 recomendable para reponer sólo escrito, cifras aproximadas y notas por publicar.</w:t>
      </w:r>
      <w:bookmarkEnd w:id="6982"/>
    </w:p>
    <w:p>
      <w:pPr>
        <w:pStyle w:val="Fuente"/>
      </w:pPr>
      <w:r>
        <w:t xml:space="preserve">Motivo: Logística de reposición, solicitudes y publicación de notas. No define el alcance ni el formato del final acumulativo.</w:t>
      </w:r>
    </w:p>
    <w:p>
      <w:pPr>
        <w:pStyle w:val="Fuente"/>
      </w:pPr>
      <w:r>
        <w:t xml:space="preserve">Véase </w:t>
      </w:r>
      <w:hyperlink w:history="1" w:anchor="b_unidad_4">
        <w:r>
          <w:rPr>
            <w:color w:val="156B70"/>
            <w:u w:val="single"/>
          </w:rPr>
          <w:t xml:space="preserve">Parte IV</w:t>
        </w:r>
      </w:hyperlink>
      <w:r>
        <w:t xml:space="preserve">, pág. </w:t>
      </w:r>
      <w:r>
        <w:fldChar w:fldCharType="begin"/>
        <w:instrText xml:space="preserve">PAGEREF b_unidad_4 \h</w:instrText>
        <w:fldChar w:fldCharType="separate"/>
        <w:t xml:space="preserve">645</w:t>
        <w:fldChar w:fldCharType="end"/>
      </w:r>
      <w:r>
        <w:t xml:space="preserve">.</w:t>
      </w:r>
    </w:p>
    <w:p>
      <w:pPr>
        <w:pStyle w:val="Normal"/>
      </w:pPr>
      <w:r>
        <w:rPr>
          <w:b/>
          <w:bCs/>
        </w:rPr>
        <w:t xml:space="preserve">C-7 · página 2 · Programa y calendario de Unidad 4</w:t>
      </w:r>
    </w:p>
    <w:p>
      <w:bookmarkStart w:name="b_punto_c7_p002_02" w:id="6983"/>
      <w:r>
        <w:t xml:space="preserve">Parcial 22/10, reposición 29/10 y final en noviembre pendiente de calendario de Facultad.</w:t>
      </w:r>
      <w:bookmarkEnd w:id="6983"/>
    </w:p>
    <w:p>
      <w:pPr>
        <w:pStyle w:val="Fuente"/>
      </w:pPr>
      <w:r>
        <w:t xml:space="preserve">Motivo: Organización y fechas pasadas; no constituye un concepto de examen.</w:t>
      </w:r>
    </w:p>
    <w:p>
      <w:pPr>
        <w:pStyle w:val="Fuente"/>
      </w:pPr>
      <w:r>
        <w:t xml:space="preserve">Véase </w:t>
      </w:r>
      <w:hyperlink w:history="1" w:anchor="b_pagina_4_1_C_7_p2">
        <w:r>
          <w:rPr>
            <w:color w:val="156B70"/>
            <w:u w:val="single"/>
          </w:rPr>
          <w:t xml:space="preserve">capítulo 4.1 · Arquetipos sistémicos</w:t>
        </w:r>
      </w:hyperlink>
      <w:r>
        <w:t xml:space="preserve">, pág. </w:t>
      </w:r>
      <w:r>
        <w:fldChar w:fldCharType="begin"/>
        <w:instrText xml:space="preserve">PAGEREF b_pagina_4_1_C_7_p2 \h</w:instrText>
        <w:fldChar w:fldCharType="separate"/>
        <w:t xml:space="preserve">677</w:t>
        <w:fldChar w:fldCharType="end"/>
      </w:r>
      <w:r>
        <w:t xml:space="preserve">.</w:t>
      </w:r>
    </w:p>
    <w:p>
      <w:pPr>
        <w:pStyle w:val="Normal"/>
      </w:pPr>
      <w:r>
        <w:rPr>
          <w:b/>
          <w:bCs/>
        </w:rPr>
        <w:t xml:space="preserve">C-8 · página 41 · Programa y calendario de Unidad 4</w:t>
      </w:r>
    </w:p>
    <w:p>
      <w:bookmarkStart w:name="b_punto_c8_p041_02" w:id="6984"/>
      <w:r>
        <w:t xml:space="preserve">Parcial 22/10, reposición 29/10 yfinal en noviembre sujeto aFacultad.</w:t>
      </w:r>
      <w:bookmarkEnd w:id="6984"/>
    </w:p>
    <w:p>
      <w:pPr>
        <w:pStyle w:val="Fuente"/>
      </w:pPr>
      <w:r>
        <w:t xml:space="preserve">Motivo: Calendarización, no desarrollo de un concepto; el final no tiene día confirmado en la lámina.</w:t>
      </w:r>
    </w:p>
    <w:p>
      <w:pPr>
        <w:pStyle w:val="Fuente"/>
      </w:pPr>
      <w:r>
        <w:t xml:space="preserve">Véase </w:t>
      </w:r>
      <w:hyperlink w:history="1" w:anchor="b_pagina_4_1_C_8_p41">
        <w:r>
          <w:rPr>
            <w:color w:val="156B70"/>
            <w:u w:val="single"/>
          </w:rPr>
          <w:t xml:space="preserve">capítulo 4.1 · Arquetipos sistémicos</w:t>
        </w:r>
      </w:hyperlink>
      <w:r>
        <w:t xml:space="preserve">, pág. </w:t>
      </w:r>
      <w:r>
        <w:fldChar w:fldCharType="begin"/>
        <w:instrText xml:space="preserve">PAGEREF b_pagina_4_1_C_8_p41 \h</w:instrText>
        <w:fldChar w:fldCharType="separate"/>
        <w:t xml:space="preserve">682</w:t>
        <w:fldChar w:fldCharType="end"/>
      </w:r>
      <w:r>
        <w:t xml:space="preserve">.</w:t>
      </w:r>
    </w:p>
    <w:p>
      <w:pPr>
        <w:pStyle w:val="Normal"/>
      </w:pPr>
      <w:r>
        <w:rPr>
          <w:b/>
          <w:bCs/>
        </w:rPr>
        <w:t xml:space="preserve">C-3 · página 2 · Programa y calendario de abril</w:t>
      </w:r>
    </w:p>
    <w:p>
      <w:bookmarkStart w:name="b_punto_c3_p002_02" w:id="6985"/>
      <w:r>
        <w:t xml:space="preserve">Las fechas de marzo/abril y el parcial del 30 de abril son organización de una edición anterior.</w:t>
      </w:r>
      <w:bookmarkEnd w:id="6985"/>
    </w:p>
    <w:p>
      <w:pPr>
        <w:pStyle w:val="Fuente"/>
      </w:pPr>
      <w:r>
        <w:t xml:space="preserve">Motivo: No reutilizar estas fechas como calendario vigente del semestre ni del final de 2026.</w:t>
      </w:r>
    </w:p>
    <w:p>
      <w:pPr>
        <w:pStyle w:val="Fuente"/>
      </w:pPr>
      <w:r>
        <w:t xml:space="preserve">Véase </w:t>
      </w:r>
      <w:hyperlink w:history="1" w:anchor="b_pagina_4_1_C_3_p2">
        <w:r>
          <w:rPr>
            <w:color w:val="156B70"/>
            <w:u w:val="single"/>
          </w:rPr>
          <w:t xml:space="preserve">capítulo 4.1 · Arquetipos sistémicos</w:t>
        </w:r>
      </w:hyperlink>
      <w:r>
        <w:t xml:space="preserve">, pág. </w:t>
      </w:r>
      <w:r>
        <w:fldChar w:fldCharType="begin"/>
        <w:instrText xml:space="preserve">PAGEREF b_pagina_4_1_C_3_p2 \h</w:instrText>
        <w:fldChar w:fldCharType="separate"/>
        <w:t xml:space="preserve">682</w:t>
        <w:fldChar w:fldCharType="end"/>
      </w:r>
      <w:r>
        <w:t xml:space="preserve">.</w:t>
      </w:r>
    </w:p>
    <w:p>
      <w:pPr>
        <w:pStyle w:val="Normal"/>
      </w:pPr>
      <w:r>
        <w:rPr>
          <w:b/>
          <w:bCs/>
        </w:rPr>
        <w:t xml:space="preserve">C-3 · página 15 · Programa y calendario de abril</w:t>
      </w:r>
    </w:p>
    <w:p>
      <w:bookmarkStart w:name="b_punto_c3_p015_02" w:id="6986"/>
      <w:r>
        <w:t xml:space="preserve">Las fechas de marzo/abril y el parcial del 30 de abril son organización de una edición anterior.</w:t>
      </w:r>
      <w:bookmarkEnd w:id="6986"/>
    </w:p>
    <w:p>
      <w:pPr>
        <w:pStyle w:val="Fuente"/>
      </w:pPr>
      <w:r>
        <w:t xml:space="preserve">Motivo: No reutilizar estas fechas como calendario vigente del semestre ni del final de 2026.</w:t>
      </w:r>
    </w:p>
    <w:p>
      <w:pPr>
        <w:pStyle w:val="Fuente"/>
      </w:pPr>
      <w:r>
        <w:t xml:space="preserve">Véase </w:t>
      </w:r>
      <w:hyperlink w:history="1" w:anchor="b_pagina_4_1_C_3_p15">
        <w:r>
          <w:rPr>
            <w:color w:val="156B70"/>
            <w:u w:val="single"/>
          </w:rPr>
          <w:t xml:space="preserve">capítulo 4.1 · Arquetipos sistémicos</w:t>
        </w:r>
      </w:hyperlink>
      <w:r>
        <w:t xml:space="preserve">, pág. </w:t>
      </w:r>
      <w:r>
        <w:fldChar w:fldCharType="begin"/>
        <w:instrText xml:space="preserve">PAGEREF b_pagina_4_1_C_3_p15 \h</w:instrText>
        <w:fldChar w:fldCharType="separate"/>
        <w:t xml:space="preserve">682</w:t>
        <w:fldChar w:fldCharType="end"/>
      </w:r>
      <w:r>
        <w:t xml:space="preserve">.</w:t>
      </w:r>
    </w:p>
    <w:p>
      <w:pPr>
        <w:pStyle w:val="Normal"/>
      </w:pPr>
      <w:r>
        <w:rPr>
          <w:b/>
          <w:bCs/>
        </w:rPr>
        <w:t xml:space="preserve">Clase 22 · 01:25:45–01:34:49 · Arquetipos como aprendizaje transferible</w:t>
      </w:r>
    </w:p>
    <w:p>
      <w:bookmarkStart w:name="b_punto_c22_cap_10_p08" w:id="6987"/>
      <w:r>
        <w:t xml:space="preserve">La posible solución del caso 3 se difiere a otra sesión o publicación posterior.</w:t>
      </w:r>
      <w:bookmarkEnd w:id="6987"/>
    </w:p>
    <w:p>
      <w:pPr>
        <w:pStyle w:val="Fuente"/>
      </w:pPr>
      <w:r>
        <w:t xml:space="preserve">Motivo: No contiene aquí resultados nuevos del ejercicio; su resolución está auditada en la presentación y en clase 24.</w:t>
      </w:r>
    </w:p>
    <w:p>
      <w:pPr>
        <w:pStyle w:val="Fuente"/>
      </w:pPr>
      <w:r>
        <w:t xml:space="preserve">Véase </w:t>
      </w:r>
      <w:hyperlink w:history="1" w:anchor="b_clase_4_1_c22_cap_10">
        <w:r>
          <w:rPr>
            <w:color w:val="156B70"/>
            <w:u w:val="single"/>
          </w:rPr>
          <w:t xml:space="preserve">capítulo 4.1 · Arquetipos sistémicos</w:t>
        </w:r>
      </w:hyperlink>
      <w:r>
        <w:t xml:space="preserve">, pág. </w:t>
      </w:r>
      <w:r>
        <w:fldChar w:fldCharType="begin"/>
        <w:instrText xml:space="preserve">PAGEREF b_clase_4_1_c22_cap_10 \h</w:instrText>
        <w:fldChar w:fldCharType="separate"/>
        <w:t xml:space="preserve">689</w:t>
        <w:fldChar w:fldCharType="end"/>
      </w:r>
      <w:r>
        <w:t xml:space="preserve">.</w:t>
      </w:r>
    </w:p>
    <w:p>
      <w:pPr>
        <w:pStyle w:val="Normal"/>
      </w:pPr>
      <w:r>
        <w:rPr>
          <w:b/>
          <w:bCs/>
        </w:rPr>
        <w:t xml:space="preserve">Clase 24 · 00:09:33–00:13:22 · Cierre de unidad y parcial en dos partes</w:t>
      </w:r>
    </w:p>
    <w:p>
      <w:bookmarkStart w:name="b_punto_c24_cap_01_p02" w:id="6988"/>
      <w:r>
        <w:t xml:space="preserve">Tercer parcial en papel el 22, práctica virtual el 24 y proporciones aproximadas 75–80 % y restante; no llevar computadora para ejecutar Vensim el 22.</w:t>
      </w:r>
      <w:bookmarkEnd w:id="6988"/>
    </w:p>
    <w:p>
      <w:pPr>
        <w:pStyle w:val="Fuente"/>
      </w:pPr>
      <w:r>
        <w:t xml:space="preserve">Motivo: Las cifras son aproximadas y corresponden al tercer parcial.</w:t>
      </w:r>
    </w:p>
    <w:p>
      <w:pPr>
        <w:pStyle w:val="Fuente"/>
      </w:pPr>
      <w:r>
        <w:t xml:space="preserve">Véase </w:t>
      </w:r>
      <w:hyperlink w:history="1" w:anchor="b_clase_4_1_c24_cap_01">
        <w:r>
          <w:rPr>
            <w:color w:val="156B70"/>
            <w:u w:val="single"/>
          </w:rPr>
          <w:t xml:space="preserve">capítulo 4.1 · Arquetipos sistémicos</w:t>
        </w:r>
      </w:hyperlink>
      <w:r>
        <w:t xml:space="preserve">, pág. </w:t>
      </w:r>
      <w:r>
        <w:fldChar w:fldCharType="begin"/>
        <w:instrText xml:space="preserve">PAGEREF b_clase_4_1_c24_cap_01 \h</w:instrText>
        <w:fldChar w:fldCharType="separate"/>
        <w:t xml:space="preserve">689</w:t>
        <w:fldChar w:fldCharType="end"/>
      </w:r>
      <w:r>
        <w:t xml:space="preserve">.</w:t>
      </w:r>
    </w:p>
    <w:p>
      <w:pPr>
        <w:pStyle w:val="Normal"/>
      </w:pPr>
      <w:r>
        <w:rPr>
          <w:b/>
          <w:bCs/>
        </w:rPr>
        <w:t xml:space="preserve">Clase 18 · 01:08:02–01:12:57 · Calendario y transición a las acumulaciones</w:t>
      </w:r>
    </w:p>
    <w:p>
      <w:bookmarkStart w:name="b_punto_c18_cap_06_p01" w:id="6989"/>
      <w:r>
        <w:t xml:space="preserve">Congreso, cierre de semestre, tercer parcial y reposición tienen un calendario anunciado en septiembre.</w:t>
      </w:r>
      <w:bookmarkEnd w:id="6989"/>
    </w:p>
    <w:p>
      <w:pPr>
        <w:pStyle w:val="Fuente"/>
      </w:pPr>
      <w:r>
        <w:t xml:space="preserve">Motivo: No define fecha de Facultad ni formato del final.</w:t>
      </w:r>
    </w:p>
    <w:p>
      <w:pPr>
        <w:pStyle w:val="Fuente"/>
      </w:pPr>
      <w:r>
        <w:t xml:space="preserve">Véase </w:t>
      </w:r>
      <w:hyperlink w:history="1" w:anchor="b_4_2">
        <w:r>
          <w:rPr>
            <w:color w:val="156B70"/>
            <w:u w:val="single"/>
          </w:rPr>
          <w:t xml:space="preserve">capítulo 4.2 · Flujos y niveles</w:t>
        </w:r>
      </w:hyperlink>
      <w:r>
        <w:t xml:space="preserve">, pág. </w:t>
      </w:r>
      <w:r>
        <w:fldChar w:fldCharType="begin"/>
        <w:instrText xml:space="preserve">PAGEREF b_4_2 \h</w:instrText>
        <w:fldChar w:fldCharType="separate"/>
        <w:t xml:space="preserve">709</w:t>
        <w:fldChar w:fldCharType="end"/>
      </w:r>
      <w:r>
        <w:t xml:space="preserve">.</w:t>
      </w:r>
    </w:p>
    <w:p>
      <w:pPr>
        <w:pStyle w:val="Normal"/>
      </w:pPr>
      <w:r>
        <w:rPr>
          <w:b/>
          <w:bCs/>
        </w:rPr>
        <w:t xml:space="preserve">Clase 19 · 00:06:14–00:12:36 · Notas y solicitudes de reposición</w:t>
      </w:r>
    </w:p>
    <w:p>
      <w:bookmarkStart w:name="b_punto_c19_cap_01_p02" w:id="6990"/>
      <w:r>
        <w:t xml:space="preserve">Notas pendientes y recopilación de solicitudes de reposición.</w:t>
      </w:r>
      <w:bookmarkEnd w:id="6990"/>
    </w:p>
    <w:p>
      <w:pPr>
        <w:pStyle w:val="Fuente"/>
      </w:pPr>
      <w:r>
        <w:t xml:space="preserve">Motivo: Avisos históricos sin definición nueva.</w:t>
      </w:r>
    </w:p>
    <w:p>
      <w:pPr>
        <w:pStyle w:val="Fuente"/>
      </w:pPr>
      <w:r>
        <w:t xml:space="preserve">Véase </w:t>
      </w:r>
      <w:hyperlink w:history="1" w:anchor="b_4_2">
        <w:r>
          <w:rPr>
            <w:color w:val="156B70"/>
            <w:u w:val="single"/>
          </w:rPr>
          <w:t xml:space="preserve">capítulo 4.2 · Flujos y niveles</w:t>
        </w:r>
      </w:hyperlink>
      <w:r>
        <w:t xml:space="preserve">, pág. </w:t>
      </w:r>
      <w:r>
        <w:fldChar w:fldCharType="begin"/>
        <w:instrText xml:space="preserve">PAGEREF b_4_2 \h</w:instrText>
        <w:fldChar w:fldCharType="separate"/>
        <w:t xml:space="preserve">709</w:t>
        <w:fldChar w:fldCharType="end"/>
      </w:r>
      <w:r>
        <w:t xml:space="preserve">.</w:t>
      </w:r>
    </w:p>
    <w:p>
      <w:pPr>
        <w:pStyle w:val="Normal"/>
      </w:pPr>
      <w:r>
        <w:rPr>
          <w:b/>
          <w:bCs/>
        </w:rPr>
        <w:t xml:space="preserve">Clase 20 · 01:11:20–01:21:12 · Extensión de entrega y elección del modelo</w:t>
      </w:r>
    </w:p>
    <w:p>
      <w:bookmarkStart w:name="b_punto_c20_cap_07_p01" w:id="6991"/>
      <w:r>
        <w:t xml:space="preserve">Conteo de entregas y prórroga hasta el final del período.</w:t>
      </w:r>
      <w:bookmarkEnd w:id="6991"/>
    </w:p>
    <w:p>
      <w:pPr>
        <w:pStyle w:val="Fuente"/>
      </w:pPr>
      <w:r>
        <w:t xml:space="preserve">Motivo: No justifica excluir el resto académico del capítulo.</w:t>
      </w:r>
    </w:p>
    <w:p>
      <w:pPr>
        <w:pStyle w:val="Fuente"/>
      </w:pPr>
      <w:r>
        <w:t xml:space="preserve">Véase </w:t>
      </w:r>
      <w:hyperlink w:history="1" w:anchor="b_clase_4_2_c20_cap_07">
        <w:r>
          <w:rPr>
            <w:color w:val="156B70"/>
            <w:u w:val="single"/>
          </w:rPr>
          <w:t xml:space="preserve">capítulo 4.2 · Flujos y niveles</w:t>
        </w:r>
      </w:hyperlink>
      <w:r>
        <w:t xml:space="preserve">, pág. </w:t>
      </w:r>
      <w:r>
        <w:fldChar w:fldCharType="begin"/>
        <w:instrText xml:space="preserve">PAGEREF b_clase_4_2_c20_cap_07 \h</w:instrText>
        <w:fldChar w:fldCharType="separate"/>
        <w:t xml:space="preserve">722</w:t>
        <w:fldChar w:fldCharType="end"/>
      </w:r>
      <w:r>
        <w:t xml:space="preserve">.</w:t>
      </w:r>
    </w:p>
    <w:p>
      <w:pPr>
        <w:pStyle w:val="Normal"/>
      </w:pPr>
      <w:r>
        <w:rPr>
          <w:b/>
          <w:bCs/>
        </w:rPr>
        <w:t xml:space="preserve">Clase 21 · 00:13:00–00:22:42 · Notas y componentes de un modelo</w:t>
      </w:r>
    </w:p>
    <w:p>
      <w:bookmarkStart w:name="b_punto_c21_cap_02_p01" w:id="6992"/>
      <w:r>
        <w:t xml:space="preserve">Se informa de revisión de notas, participación activa y la tarea de construir un modelo en Vensim.</w:t>
      </w:r>
      <w:bookmarkEnd w:id="6992"/>
    </w:p>
    <w:p>
      <w:pPr>
        <w:pStyle w:val="Fuente"/>
      </w:pPr>
      <w:r>
        <w:t xml:space="preserve">Motivo: El aviso no contiene una solución académica nueva; la utilidad de modelar que lo acompaña se registra en los puntos siguientes.</w:t>
      </w:r>
    </w:p>
    <w:p>
      <w:pPr>
        <w:pStyle w:val="Fuente"/>
      </w:pPr>
      <w:r>
        <w:t xml:space="preserve">Véase </w:t>
      </w:r>
      <w:hyperlink w:history="1" w:anchor="b_4_2">
        <w:r>
          <w:rPr>
            <w:color w:val="156B70"/>
            <w:u w:val="single"/>
          </w:rPr>
          <w:t xml:space="preserve">capítulo 4.2 · Flujos y niveles</w:t>
        </w:r>
      </w:hyperlink>
      <w:r>
        <w:t xml:space="preserve">, pág. </w:t>
      </w:r>
      <w:r>
        <w:fldChar w:fldCharType="begin"/>
        <w:instrText xml:space="preserve">PAGEREF b_4_2 \h</w:instrText>
        <w:fldChar w:fldCharType="separate"/>
        <w:t xml:space="preserve">709</w:t>
        <w:fldChar w:fldCharType="end"/>
      </w:r>
      <w:r>
        <w:t xml:space="preserve">.</w:t>
      </w:r>
    </w:p>
    <w:p>
      <w:pPr>
        <w:pStyle w:val="Normal"/>
      </w:pPr>
      <w:r>
        <w:rPr>
          <w:b/>
          <w:bCs/>
        </w:rPr>
        <w:t xml:space="preserve">Clase 20 · 00:12:09–00:17:05 · Notas y recuperación del segundo parcial</w:t>
      </w:r>
    </w:p>
    <w:p>
      <w:bookmarkStart w:name="b_punto_c20_cap_01_p01" w:id="6993"/>
      <w:r>
        <w:t xml:space="preserve">Notas, recuperación del segundo parcial y suspensión por congreso.</w:t>
      </w:r>
      <w:bookmarkEnd w:id="6993"/>
    </w:p>
    <w:p>
      <w:pPr>
        <w:pStyle w:val="Fuente"/>
      </w:pPr>
      <w:r>
        <w:t xml:space="preserve">Motivo: No fija fecha, alcance ni formato del examen final.</w:t>
      </w:r>
    </w:p>
    <w:p>
      <w:pPr>
        <w:pStyle w:val="Fuente"/>
      </w:pPr>
      <w:r>
        <w:t xml:space="preserve">Véase </w:t>
      </w:r>
      <w:hyperlink w:history="1" w:anchor="b_clase_4_3_c20_cap_01">
        <w:r>
          <w:rPr>
            <w:color w:val="156B70"/>
            <w:u w:val="single"/>
          </w:rPr>
          <w:t xml:space="preserve">capítulo 4.3 · De ciclos causales a flujos</w:t>
        </w:r>
      </w:hyperlink>
      <w:r>
        <w:t xml:space="preserve">, pág. </w:t>
      </w:r>
      <w:r>
        <w:fldChar w:fldCharType="begin"/>
        <w:instrText xml:space="preserve">PAGEREF b_clase_4_3_c20_cap_01 \h</w:instrText>
        <w:fldChar w:fldCharType="separate"/>
        <w:t xml:space="preserve">755</w:t>
        <w:fldChar w:fldCharType="end"/>
      </w:r>
      <w:r>
        <w:t xml:space="preserve">.</w:t>
      </w:r>
    </w:p>
    <w:p>
      <w:pPr>
        <w:pStyle w:val="Normal"/>
      </w:pPr>
      <w:r>
        <w:rPr>
          <w:b/>
          <w:bCs/>
        </w:rPr>
        <w:t xml:space="preserve">Clase 20 · 00:25:48–00:35:17 · Polaridad y criterios de corrección</w:t>
      </w:r>
    </w:p>
    <w:p>
      <w:bookmarkStart w:name="b_punto_c20_cap_03_p08" w:id="6994"/>
      <w:r>
        <w:t xml:space="preserve">Se anuncia otro ejercicio de recuperación del segundo parcial.</w:t>
      </w:r>
      <w:bookmarkEnd w:id="6994"/>
    </w:p>
    <w:p>
      <w:pPr>
        <w:pStyle w:val="Fuente"/>
      </w:pPr>
      <w:r>
        <w:t xml:space="preserve">Motivo: Actividad histórica; el criterio académico se conserva en puntos propios.</w:t>
      </w:r>
    </w:p>
    <w:p>
      <w:pPr>
        <w:pStyle w:val="Fuente"/>
      </w:pPr>
      <w:r>
        <w:t xml:space="preserve">Véase </w:t>
      </w:r>
      <w:hyperlink w:history="1" w:anchor="b_clase_4_3_c20_cap_03">
        <w:r>
          <w:rPr>
            <w:color w:val="156B70"/>
            <w:u w:val="single"/>
          </w:rPr>
          <w:t xml:space="preserve">capítulo 4.3 · De ciclos causales a flujos</w:t>
        </w:r>
      </w:hyperlink>
      <w:r>
        <w:t xml:space="preserve">, pág. </w:t>
      </w:r>
      <w:r>
        <w:fldChar w:fldCharType="begin"/>
        <w:instrText xml:space="preserve">PAGEREF b_clase_4_3_c20_cap_03 \h</w:instrText>
        <w:fldChar w:fldCharType="separate"/>
        <w:t xml:space="preserve">756</w:t>
        <w:fldChar w:fldCharType="end"/>
      </w:r>
      <w:r>
        <w:t xml:space="preserve">.</w:t>
      </w:r>
    </w:p>
    <w:p>
      <w:pPr>
        <w:pStyle w:val="Normal"/>
      </w:pPr>
      <w:r>
        <w:rPr>
          <w:b/>
          <w:bCs/>
        </w:rPr>
        <w:t xml:space="preserve">C-7 · página 1 · Simulación dinámica de sistemas</w:t>
      </w:r>
    </w:p>
    <w:p>
      <w:bookmarkStart w:name="b_punto_c7_p001_01" w:id="6995"/>
      <w:r>
        <w:t xml:space="preserve">La portada identifica el bloque de simulación.</w:t>
      </w:r>
      <w:bookmarkEnd w:id="6995"/>
    </w:p>
    <w:p>
      <w:pPr>
        <w:pStyle w:val="Fuente"/>
      </w:pPr>
      <w:r>
        <w:t xml:space="preserve">Motivo: Portada sin definición, procedimiento ni ejercicio adicional.</w:t>
      </w:r>
    </w:p>
    <w:p>
      <w:pPr>
        <w:pStyle w:val="Fuente"/>
      </w:pPr>
      <w:r>
        <w:t xml:space="preserve">Véase </w:t>
      </w:r>
      <w:hyperlink w:history="1" w:anchor="b_pagina_4_4_C_7_p1">
        <w:r>
          <w:rPr>
            <w:color w:val="156B70"/>
            <w:u w:val="single"/>
          </w:rPr>
          <w:t xml:space="preserve">capítulo 4.4 · Simulación con VENSIM</w:t>
        </w:r>
      </w:hyperlink>
      <w:r>
        <w:t xml:space="preserve">, pág. </w:t>
      </w:r>
      <w:r>
        <w:fldChar w:fldCharType="begin"/>
        <w:instrText xml:space="preserve">PAGEREF b_pagina_4_4_C_7_p1 \h</w:instrText>
        <w:fldChar w:fldCharType="separate"/>
        <w:t xml:space="preserve">783</w:t>
        <w:fldChar w:fldCharType="end"/>
      </w:r>
      <w:r>
        <w:t xml:space="preserve">.</w:t>
      </w:r>
    </w:p>
    <w:p>
      <w:pPr>
        <w:pStyle w:val="Normal"/>
      </w:pPr>
      <w:r>
        <w:rPr>
          <w:b/>
          <w:bCs/>
        </w:rPr>
        <w:t xml:space="preserve">C-3 · página 14 · Herramienta gráfica de simulación</w:t>
      </w:r>
    </w:p>
    <w:p>
      <w:bookmarkStart w:name="b_punto_c3_p014_01" w:id="6996"/>
      <w:r>
        <w:t xml:space="preserve">Captura que anuncia un modelo de simulación sin añadir un procedimiento legible.</w:t>
      </w:r>
      <w:bookmarkEnd w:id="6996"/>
    </w:p>
    <w:p>
      <w:pPr>
        <w:pStyle w:val="Fuente"/>
      </w:pPr>
      <w:r>
        <w:t xml:space="preserve">Motivo: Sólo anuncia la demostración con un rótulo; su destino es el recorrido de construcción, no una definición nueva.</w:t>
      </w:r>
    </w:p>
    <w:p>
      <w:pPr>
        <w:pStyle w:val="Fuente"/>
      </w:pPr>
      <w:r>
        <w:t xml:space="preserve">Véase </w:t>
      </w:r>
      <w:hyperlink w:history="1" w:anchor="b_pagina_4_4_C_3_p14">
        <w:r>
          <w:rPr>
            <w:color w:val="156B70"/>
            <w:u w:val="single"/>
          </w:rPr>
          <w:t xml:space="preserve">capítulo 4.4 · Simulación con VENSIM</w:t>
        </w:r>
      </w:hyperlink>
      <w:r>
        <w:t xml:space="preserve">, pág. </w:t>
      </w:r>
      <w:r>
        <w:fldChar w:fldCharType="begin"/>
        <w:instrText xml:space="preserve">PAGEREF b_pagina_4_4_C_3_p14 \h</w:instrText>
        <w:fldChar w:fldCharType="separate"/>
        <w:t xml:space="preserve">789</w:t>
        <w:fldChar w:fldCharType="end"/>
      </w:r>
      <w:r>
        <w:t xml:space="preserve">.</w:t>
      </w:r>
    </w:p>
    <w:p>
      <w:pPr>
        <w:pStyle w:val="Normal"/>
      </w:pPr>
      <w:r>
        <w:rPr>
          <w:b/>
          <w:bCs/>
        </w:rPr>
        <w:t xml:space="preserve">Clase 18 · 00:45:11–00:55:51 · Reposiciones y límites de nuestros modelos</w:t>
      </w:r>
    </w:p>
    <w:p>
      <w:bookmarkStart w:name="b_punto_c18_cap_04_p01" w:id="6997"/>
      <w:r>
        <w:t xml:space="preserve">Solicitudes, listado y fecha tentativa de reposición de parciales ausentes.</w:t>
      </w:r>
      <w:bookmarkEnd w:id="6997"/>
    </w:p>
    <w:p>
      <w:pPr>
        <w:pStyle w:val="Fuente"/>
      </w:pPr>
      <w:r>
        <w:t xml:space="preserve">Motivo: El posible alcance acumulativo citado corresponde a la reposición, no fija el examen final.</w:t>
      </w:r>
    </w:p>
    <w:p>
      <w:bookmarkStart w:name="b_punto_c18_cap_04_p05" w:id="6998"/>
      <w:r>
        <w:t xml:space="preserve">Compromiso de revisar calificaciones y transición a Unidad 4.</w:t>
      </w:r>
      <w:bookmarkEnd w:id="6998"/>
    </w:p>
    <w:p>
      <w:pPr>
        <w:pStyle w:val="Fuente"/>
      </w:pPr>
      <w:r>
        <w:t xml:space="preserve">Motivo: Aviso administrativo sin concepto adicional.</w:t>
      </w:r>
    </w:p>
    <w:p>
      <w:pPr>
        <w:pStyle w:val="Fuente"/>
      </w:pPr>
      <w:r>
        <w:t xml:space="preserve">Véase </w:t>
      </w:r>
      <w:hyperlink w:history="1" w:anchor="b_clase_4_4_c18_cap_04">
        <w:r>
          <w:rPr>
            <w:color w:val="156B70"/>
            <w:u w:val="single"/>
          </w:rPr>
          <w:t xml:space="preserve">capítulo 4.4 · Simulación con VENSIM</w:t>
        </w:r>
      </w:hyperlink>
      <w:r>
        <w:t xml:space="preserve">, pág. </w:t>
      </w:r>
      <w:r>
        <w:fldChar w:fldCharType="begin"/>
        <w:instrText xml:space="preserve">PAGEREF b_clase_4_4_c18_cap_04 \h</w:instrText>
        <w:fldChar w:fldCharType="separate"/>
        <w:t xml:space="preserve">804</w:t>
        <w:fldChar w:fldCharType="end"/>
      </w:r>
      <w:r>
        <w:t xml:space="preserve">.</w:t>
      </w:r>
    </w:p>
    <w:p>
      <w:pPr>
        <w:pStyle w:val="Normal"/>
      </w:pPr>
      <w:r>
        <w:rPr>
          <w:b/>
          <w:bCs/>
        </w:rPr>
        <w:t xml:space="preserve">Clase 20 · 01:47:34–01:52:33 · Práctica para el 8 de octubre</w:t>
      </w:r>
    </w:p>
    <w:p>
      <w:bookmarkStart w:name="b_punto_c20_cap_11_p03" w:id="6999"/>
      <w:r>
        <w:t xml:space="preserve">Plazo de la tarea para el regreso del 8 de octubre.</w:t>
      </w:r>
      <w:bookmarkEnd w:id="6999"/>
    </w:p>
    <w:p>
      <w:pPr>
        <w:pStyle w:val="Fuente"/>
      </w:pPr>
      <w:r>
        <w:t xml:space="preserve">Motivo: Calendario histórico, no componente ni fecha del final.</w:t>
      </w:r>
    </w:p>
    <w:p>
      <w:bookmarkStart w:name="b_punto_c20_cap_11_p04" w:id="7000"/>
      <w:r>
        <w:t xml:space="preserve">Congreso, puntos extras y trámites para habilitar o subir tareas.</w:t>
      </w:r>
      <w:bookmarkEnd w:id="7000"/>
    </w:p>
    <w:p>
      <w:pPr>
        <w:pStyle w:val="Fuente"/>
      </w:pPr>
      <w:r>
        <w:t xml:space="preserve">Motivo: No cambia el requisito académico del informe.</w:t>
      </w:r>
    </w:p>
    <w:p>
      <w:pPr>
        <w:pStyle w:val="Fuente"/>
      </w:pPr>
      <w:r>
        <w:t xml:space="preserve">Véase </w:t>
      </w:r>
      <w:hyperlink w:history="1" w:anchor="b_clase_4_4_c20_cap_11">
        <w:r>
          <w:rPr>
            <w:color w:val="156B70"/>
            <w:u w:val="single"/>
          </w:rPr>
          <w:t xml:space="preserve">capítulo 4.4 · Simulación con VENSIM</w:t>
        </w:r>
      </w:hyperlink>
      <w:r>
        <w:t xml:space="preserve">, pág. </w:t>
      </w:r>
      <w:r>
        <w:fldChar w:fldCharType="begin"/>
        <w:instrText xml:space="preserve">PAGEREF b_clase_4_4_c20_cap_11 \h</w:instrText>
        <w:fldChar w:fldCharType="separate"/>
        <w:t xml:space="preserve">808</w:t>
        <w:fldChar w:fldCharType="end"/>
      </w:r>
      <w:r>
        <w:t xml:space="preserve">.</w:t>
      </w:r>
    </w:p>
    <w:p>
      <w:pPr>
        <w:pStyle w:val="Normal"/>
      </w:pPr>
      <w:r>
        <w:rPr>
          <w:b/>
          <w:bCs/>
        </w:rPr>
        <w:t xml:space="preserve">Clase 21 · 01:33:50–01:38:06 · Negociar las tasas y verificar la conclusión</w:t>
      </w:r>
    </w:p>
    <w:p>
      <w:bookmarkStart w:name="b_punto_c21_cap_09_p01" w:id="7001"/>
      <w:r>
        <w:t xml:space="preserve">Se anuncian problemas sencillos de simulación para el tercer parcial y se plantea usar computadora, pero su logística todavía requiere confirmación.</w:t>
      </w:r>
      <w:bookmarkEnd w:id="7001"/>
    </w:p>
    <w:p>
      <w:pPr>
        <w:pStyle w:val="Fuente"/>
      </w:pPr>
      <w:r>
        <w:t xml:space="preserve">Motivo: Es alcance y logística histórica del tercer parcial; no confirma formato, equipo, duración ni distribución del examen final.</w:t>
      </w:r>
    </w:p>
    <w:p>
      <w:pPr>
        <w:pStyle w:val="Fuente"/>
      </w:pPr>
      <w:r>
        <w:t xml:space="preserve">Véase </w:t>
      </w:r>
      <w:hyperlink w:history="1" w:anchor="b_clase_4_4_c21_cap_09">
        <w:r>
          <w:rPr>
            <w:color w:val="156B70"/>
            <w:u w:val="single"/>
          </w:rPr>
          <w:t xml:space="preserve">capítulo 4.4 · Simulación con VENSIM</w:t>
        </w:r>
      </w:hyperlink>
      <w:r>
        <w:t xml:space="preserve">, pág. </w:t>
      </w:r>
      <w:r>
        <w:fldChar w:fldCharType="begin"/>
        <w:instrText xml:space="preserve">PAGEREF b_clase_4_4_c21_cap_09 \h</w:instrText>
        <w:fldChar w:fldCharType="separate"/>
        <w:t xml:space="preserve">810</w:t>
        <w:fldChar w:fldCharType="end"/>
      </w:r>
      <w:r>
        <w:t xml:space="preserve">.</w:t>
      </w:r>
    </w:p>
    <w:p>
      <w:pPr>
        <w:pStyle w:val="Normal"/>
      </w:pPr>
      <w:r>
        <w:rPr>
          <w:b/>
          <w:bCs/>
        </w:rPr>
        <w:t xml:space="preserve">Clase 24 · 01:16:01–01:33:26 · Examen corto, resultados y cierre del curso</w:t>
      </w:r>
    </w:p>
    <w:p>
      <w:bookmarkStart w:name="b_punto_c24_cap_12_p01" w:id="7002"/>
      <w:r>
        <w:t xml:space="preserve">El corto es práctica introductoria del tercer parcial con diez preguntas y retroalimentación; las preguntas no se leen ni se resuelven en el audio.</w:t>
      </w:r>
      <w:bookmarkEnd w:id="7002"/>
    </w:p>
    <w:p>
      <w:pPr>
        <w:pStyle w:val="Fuente"/>
      </w:pPr>
      <w:r>
        <w:t xml:space="preserve">Motivo: No se exige reconstruir las diez preguntas. Los quizzes del portal están identificados como originales en la vista de clase, líneas 8–12.</w:t>
      </w:r>
    </w:p>
    <w:p>
      <w:bookmarkStart w:name="b_punto_c24_cap_12_p04" w:id="7003"/>
      <w:r>
        <w:t xml:space="preserve">Pausa y consulta sobre la hora de cierre del corto, con intervención de estudiante no identificado.</w:t>
      </w:r>
      <w:bookmarkEnd w:id="7003"/>
    </w:p>
    <w:p>
      <w:pPr>
        <w:pStyle w:val="Fuente"/>
      </w:pPr>
      <w:r>
        <w:t xml:space="preserve">Motivo: Consulta sobre la hora de cierre del corto y pausa; no incorpora contenido del programa.</w:t>
      </w:r>
    </w:p>
    <w:p>
      <w:bookmarkStart w:name="b_punto_c24_cap_12_p05" w:id="7004"/>
      <w:r>
        <w:t xml:space="preserve">Cierre del curso y reiteración de presencial del 22, práctica virtual del 24 y reposición del 29 con salón pendiente.</w:t>
      </w:r>
      <w:bookmarkEnd w:id="7004"/>
    </w:p>
    <w:p>
      <w:pPr>
        <w:pStyle w:val="Fuente"/>
      </w:pPr>
      <w:r>
        <w:t xml:space="preserve">Motivo: No aporta una especificación oficial del final.</w:t>
      </w:r>
    </w:p>
    <w:p>
      <w:pPr>
        <w:pStyle w:val="Fuente"/>
      </w:pPr>
      <w:r>
        <w:t xml:space="preserve">Véase </w:t>
      </w:r>
      <w:hyperlink w:history="1" w:anchor="b_clase_4_4_c24_cap_12">
        <w:r>
          <w:rPr>
            <w:color w:val="156B70"/>
            <w:u w:val="single"/>
          </w:rPr>
          <w:t xml:space="preserve">capítulo 4.4 · Simulación con VENSIM</w:t>
        </w:r>
      </w:hyperlink>
      <w:r>
        <w:t xml:space="preserve">, pág. </w:t>
      </w:r>
      <w:r>
        <w:fldChar w:fldCharType="begin"/>
        <w:instrText xml:space="preserve">PAGEREF b_clase_4_4_c24_cap_12 \h</w:instrText>
        <w:fldChar w:fldCharType="separate"/>
        <w:t xml:space="preserve">811</w:t>
        <w:fldChar w:fldCharType="end"/>
      </w:r>
      <w:r>
        <w:t xml:space="preserve">.</w:t>
      </w:r>
    </w:p>
    <w:p>
      <w:pPr>
        <w:pStyle w:val="Normal"/>
      </w:pPr>
      <w:r>
        <w:rPr>
          <w:b/>
          <w:bCs/>
        </w:rPr>
        <w:t xml:space="preserve">Clase 21 · 01:38:06–01:45:44 · Consecuencias y próximos pasos</w:t>
      </w:r>
    </w:p>
    <w:p>
      <w:bookmarkStart w:name="b_punto_c21_cap_10_p04" w:id="7005"/>
      <w:r>
        <w:t xml:space="preserve">Se insiste en practicar modelos y se encarga resolver el caso 3 con sus tres preguntas para la siguiente sesión.</w:t>
      </w:r>
      <w:bookmarkEnd w:id="7005"/>
    </w:p>
    <w:p>
      <w:pPr>
        <w:pStyle w:val="Fuente"/>
      </w:pPr>
      <w:r>
        <w:t xml:space="preserve">Motivo: En este audio sólo se encarga el ejercicio, sin resolverlo ni leer sus parámetros. El enunciado y el desarrollo están auditados por la presentación y la clase 24.</w:t>
      </w:r>
    </w:p>
    <w:p>
      <w:pPr>
        <w:pStyle w:val="Fuente"/>
      </w:pPr>
      <w:r>
        <w:t xml:space="preserve">Véase </w:t>
      </w:r>
      <w:hyperlink w:history="1" w:anchor="b_clase_4_5_c21_cap_10">
        <w:r>
          <w:rPr>
            <w:color w:val="156B70"/>
            <w:u w:val="single"/>
          </w:rPr>
          <w:t xml:space="preserve">capítulo 4.5 · Ejemplos en VENSIM</w:t>
        </w:r>
      </w:hyperlink>
      <w:r>
        <w:t xml:space="preserve">, pág. </w:t>
      </w:r>
      <w:r>
        <w:fldChar w:fldCharType="begin"/>
        <w:instrText xml:space="preserve">PAGEREF b_clase_4_5_c21_cap_10 \h</w:instrText>
        <w:fldChar w:fldCharType="separate"/>
        <w:t xml:space="preserve">864</w:t>
        <w:fldChar w:fldCharType="end"/>
      </w:r>
      <w:r>
        <w:t xml:space="preserve">.</w:t>
      </w:r>
    </w:p>
    <w:p>
      <w:pPr>
        <w:pStyle w:val="Normal"/>
      </w:pPr>
      <w:r>
        <w:rPr>
          <w:b/>
          <w:bCs/>
        </w:rPr>
        <w:t xml:space="preserve">C-8 · página 1 · Toma de decisiones sistémicas</w:t>
      </w:r>
    </w:p>
    <w:p>
      <w:bookmarkStart w:name="b_punto_c8_p001_01" w:id="7006"/>
      <w:r>
        <w:t xml:space="preserve">Portada que identifica el bloque.</w:t>
      </w:r>
      <w:bookmarkEnd w:id="7006"/>
    </w:p>
    <w:p>
      <w:pPr>
        <w:pStyle w:val="Fuente"/>
      </w:pPr>
      <w:r>
        <w:t xml:space="preserve">Motivo: No añade una definición, procedimiento o ejercicio.</w:t>
      </w:r>
    </w:p>
    <w:p>
      <w:pPr>
        <w:pStyle w:val="Fuente"/>
      </w:pPr>
      <w:r>
        <w:t xml:space="preserve">Véase </w:t>
      </w:r>
      <w:hyperlink w:history="1" w:anchor="b_pagina_4_6_C_8_p1">
        <w:r>
          <w:rPr>
            <w:color w:val="156B70"/>
            <w:u w:val="single"/>
          </w:rPr>
          <w:t xml:space="preserve">capítulo 4.6 · Toma de decisiones</w:t>
        </w:r>
      </w:hyperlink>
      <w:r>
        <w:t xml:space="preserve">, pág. </w:t>
      </w:r>
      <w:r>
        <w:fldChar w:fldCharType="begin"/>
        <w:instrText xml:space="preserve">PAGEREF b_pagina_4_6_C_8_p1 \h</w:instrText>
        <w:fldChar w:fldCharType="separate"/>
        <w:t xml:space="preserve">894</w:t>
        <w:fldChar w:fldCharType="end"/>
      </w:r>
      <w:r>
        <w:t xml:space="preserve">.</w:t>
      </w:r>
    </w:p>
    <w:p>
      <w:pPr>
        <w:pStyle w:val="Normal"/>
      </w:pPr>
      <w:r>
        <w:rPr>
          <w:b/>
          <w:bCs/>
        </w:rPr>
        <w:t xml:space="preserve">Clase 21 · 01:38:06–01:45:44 · Consecuencias y próximos pasos</w:t>
      </w:r>
    </w:p>
    <w:p>
      <w:bookmarkStart w:name="b_punto_c21_cap_10_p03" w:id="7007"/>
      <w:r>
        <w:t xml:space="preserve">Se recuerda el parcial del 22 de octubre y se gestionan solicitudes de reposición; salón y computadora siguen sujetos a confirmación.</w:t>
      </w:r>
      <w:bookmarkEnd w:id="7007"/>
    </w:p>
    <w:p>
      <w:pPr>
        <w:pStyle w:val="Fuente"/>
      </w:pPr>
      <w:r>
        <w:t xml:space="preserve">Motivo: Anuncios del semestre; no se extrapolan a la fecha ni al formato del final.</w:t>
      </w:r>
    </w:p>
    <w:p>
      <w:pPr>
        <w:pStyle w:val="Fuente"/>
      </w:pPr>
      <w:r>
        <w:t xml:space="preserve">Véase </w:t>
      </w:r>
      <w:hyperlink w:history="1" w:anchor="b_clase_4_6_c21_cap_10">
        <w:r>
          <w:rPr>
            <w:color w:val="156B70"/>
            <w:u w:val="single"/>
          </w:rPr>
          <w:t xml:space="preserve">capítulo 4.6 · Toma de decisiones</w:t>
        </w:r>
      </w:hyperlink>
      <w:r>
        <w:t xml:space="preserve">, pág. </w:t>
      </w:r>
      <w:r>
        <w:fldChar w:fldCharType="begin"/>
        <w:instrText xml:space="preserve">PAGEREF b_clase_4_6_c21_cap_10 \h</w:instrText>
        <w:fldChar w:fldCharType="separate"/>
        <w:t xml:space="preserve">908</w:t>
        <w:fldChar w:fldCharType="end"/>
      </w:r>
      <w:r>
        <w:t xml:space="preserve">.</w:t>
      </w:r>
    </w:p>
    <w:p>
      <w:pPr>
        <w:pStyle w:val="Normal"/>
      </w:pPr>
      <w:r>
        <w:rPr>
          <w:b/>
          <w:bCs/>
        </w:rPr>
        <w:t xml:space="preserve">Clase 22 · 00:00:48–00:03:42 · Entrega del caso 3 y hábitos pendientes</w:t>
      </w:r>
    </w:p>
    <w:p>
      <w:bookmarkStart w:name="b_punto_c22_cap_01_p01" w:id="7008"/>
      <w:r>
        <w:t xml:space="preserve">Se informa de asistencia, grabación, más de treinta entregas y posibilidad de completar la tarea del caso 3.</w:t>
      </w:r>
      <w:bookmarkEnd w:id="7008"/>
    </w:p>
    <w:p>
      <w:pPr>
        <w:pStyle w:val="Fuente"/>
      </w:pPr>
      <w:r>
        <w:t xml:space="preserve">Motivo: Aviso de asistencia y entrega, sin un resultado académico nuevo del caso 3.</w:t>
      </w:r>
    </w:p>
    <w:p>
      <w:pPr>
        <w:pStyle w:val="Fuente"/>
      </w:pPr>
      <w:r>
        <w:t xml:space="preserve">Véase </w:t>
      </w:r>
      <w:hyperlink w:history="1" w:anchor="b_clase_4_7_c22_cap_01">
        <w:r>
          <w:rPr>
            <w:color w:val="156B70"/>
            <w:u w:val="single"/>
          </w:rPr>
          <w:t xml:space="preserve">capítulo 4.7 · Hábitos (simulación)</w:t>
        </w:r>
      </w:hyperlink>
      <w:r>
        <w:t xml:space="preserve">, pág. </w:t>
      </w:r>
      <w:r>
        <w:fldChar w:fldCharType="begin"/>
        <w:instrText xml:space="preserve">PAGEREF b_clase_4_7_c22_cap_01 \h</w:instrText>
        <w:fldChar w:fldCharType="separate"/>
        <w:t xml:space="preserve">959</w:t>
        <w:fldChar w:fldCharType="end"/>
      </w:r>
      <w:r>
        <w:t xml:space="preserve">.</w:t>
      </w:r>
    </w:p>
    <w:p>
      <w:pPr>
        <w:pStyle w:val="Normal"/>
      </w:pPr>
      <w:r>
        <w:rPr>
          <w:b/>
          <w:bCs/>
        </w:rPr>
        <w:t xml:space="preserve">Clase 23 · 01:32:58–01:40:24 · Cierre y propuesta de práctica virtual</w:t>
      </w:r>
    </w:p>
    <w:p>
      <w:bookmarkStart w:name="b_punto_c23_cap_11_p03" w:id="7009"/>
      <w:r>
        <w:t xml:space="preserve">Corto del sábado y práctica virtual de Vensim propuesta para el 24, pendiente de confirmación; presencial del 22 sigue confirmado.</w:t>
      </w:r>
      <w:bookmarkEnd w:id="7009"/>
    </w:p>
    <w:p>
      <w:pPr>
        <w:pStyle w:val="Fuente"/>
      </w:pPr>
      <w:r>
        <w:t xml:space="preserve">Motivo: Conservar diferencia entre propuesta de esta sesión y confirmación de clase 24.</w:t>
      </w:r>
    </w:p>
    <w:p>
      <w:bookmarkStart w:name="b_punto_c23_cap_11_p04" w:id="7010"/>
      <w:r>
        <w:t xml:space="preserve">Consulta de notas del segundo parcial y despedida.</w:t>
      </w:r>
      <w:bookmarkEnd w:id="7010"/>
    </w:p>
    <w:p>
      <w:pPr>
        <w:pStyle w:val="Fuente"/>
      </w:pPr>
      <w:r>
        <w:t xml:space="preserve">Motivo: Consulta administrativa de notas y despedida; no desarrolla contenido académico evaluable.</w:t>
      </w:r>
    </w:p>
    <w:p>
      <w:pPr>
        <w:pStyle w:val="Fuente"/>
      </w:pPr>
      <w:r>
        <w:t xml:space="preserve">Véase </w:t>
      </w:r>
      <w:hyperlink w:history="1" w:anchor="b_clase_4_7_c23_cap_11">
        <w:r>
          <w:rPr>
            <w:color w:val="156B70"/>
            <w:u w:val="single"/>
          </w:rPr>
          <w:t xml:space="preserve">capítulo 4.7 · Hábitos (simulación)</w:t>
        </w:r>
      </w:hyperlink>
      <w:r>
        <w:t xml:space="preserve">, pág. </w:t>
      </w:r>
      <w:r>
        <w:fldChar w:fldCharType="begin"/>
        <w:instrText xml:space="preserve">PAGEREF b_clase_4_7_c23_cap_11 \h</w:instrText>
        <w:fldChar w:fldCharType="separate"/>
        <w:t xml:space="preserve">961</w:t>
        <w:fldChar w:fldCharType="end"/>
      </w:r>
      <w:r>
        <w:t xml:space="preserve">.</w:t>
      </w:r>
    </w:p>
    <w:sectPr>
      <w:headerReference w:type="default" r:id="rId378"/>
      <w:headerReference w:type="first" r:id="rId379"/>
      <w:headerReference w:type="even" r:id="rId380"/>
      <w:footerReference w:type="default" r:id="rId381"/>
      <w:footerReference w:type="first" r:id="rId382"/>
      <w:footerReference w:type="even" r:id="rId383"/>
      <w:type w:val="nextPage"/>
      <w:pgSz w:w="12240" w:h="15840" w:orient="portrait"/>
      <w:pgMar w:top="1361" w:right="1134" w:bottom="1361" w:left="1474" w:header="650" w:footer="680" w:gutter="0"/>
      <w:pgNumTyp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ource Serif 4">
    <w:family w:val="auto"/>
    <w:pitch w:val="variable"/>
    <w:sig w:usb0="E0002AFF" w:usb1="C000247B" w:usb2="00000009" w:usb3="00000000" w:csb0="000001FF" w:csb1="00000000"/>
    <w:embedRegular r:id="rId1" w:fontKey="{76791F24-734A-DE50-6E27-E7A9C8EA0E61}"/>
    <w:embedBold r:id="rId2" w:fontKey="{FDC3F8FD-E366-EDA2-F93F-5F4274033B22}"/>
    <w:embedItalic r:id="rId3" w:fontKey="{7E29A26A-30BF-E9F4-D34C-B51515778815}"/>
    <w:embedBoldItalic r:id="rId4" w:fontKey="{21855CD4-47E5-732C-8445-4CBE8434AB78}"/>
  </w:font>
  <w:font w:name="Source Sans 3">
    <w:family w:val="auto"/>
    <w:pitch w:val="variable"/>
    <w:sig w:usb0="E0002AFF" w:usb1="C000247B" w:usb2="00000009" w:usb3="00000000" w:csb0="000001FF" w:csb1="00000000"/>
    <w:embedRegular r:id="rId5" w:fontKey="{D7224A5B-B553-780C-8F49-148583E1398C}"/>
    <w:embedBold r:id="rId6" w:fontKey="{F22B4DFB-7EE7-829F-0B19-D6CBDAFED8F7}"/>
    <w:embedItalic r:id="rId7" w:fontKey="{49E60AC7-1588-BF6B-31C2-300D7B2F2554}"/>
    <w:embedBoldItalic r:id="rId8" w:fontKey="{D2D83CE7-6FDB-5339-BFFD-F674119F6555}"/>
  </w:font>
  <w:font w:name="Source Code Pro">
    <w:family w:val="auto"/>
    <w:pitch w:val="variable"/>
    <w:sig w:usb0="E0002AFF" w:usb1="C000247B" w:usb2="00000009" w:usb3="00000000" w:csb0="000001FF" w:csb1="00000000"/>
    <w:embedRegular r:id="rId9" w:fontKey="{5209E3E3-8E69-E4B8-9229-ADBD3F03AB26}"/>
    <w:embedBold r:id="rId10" w:fontKey="{A58F06EA-ACE4-9827-F5AF-2801E2486E8A}"/>
    <w:embedItalic r:id="rId11" w:fontKey="{E1CD2609-478E-73C2-E3A5-493C44E5D67D}"/>
    <w:embedBoldItalic r:id="rId12" w:fontKey="{382EFA35-F68F-0D96-ADB9-9D1C9C25DC09}"/>
  </w:font>
  <w:font w:name="DejaVu Serif">
    <w:family w:val="auto"/>
    <w:pitch w:val="variable"/>
    <w:sig w:usb0="E0002AFF" w:usb1="C000247B" w:usb2="00000009" w:usb3="00000000" w:csb0="000001FF" w:csb1="00000000"/>
    <w:embedRegular r:id="rId13" w:fontKey="{BEA1F977-079C-7DC7-F3E6-13658BA4419C}"/>
    <w:embedBold r:id="rId14" w:fontKey="{49B027BC-DD1A-A649-572A-666ECE427C2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Encabezado"/>
      <w:jc w:val="right"/>
    </w:pPr>
    <w:r>
      <w:fldChar w:fldCharType="begin"/>
      <w:instrText xml:space="preserve">PAGE</w:instrText>
      <w:fldChar w:fldCharType="separate"/>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Normal"/>
    </w:pPr>
    <w:r>
      <w:t xml:space="preserve"/>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Encabezado"/>
      <w:jc w:val="left"/>
    </w:pPr>
    <w:r>
      <w:fldChar w:fldCharType="begin"/>
      <w:instrText xml:space="preserve">PAGE</w:instrText>
      <w:fldChar w:fldCharType="separate"/>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Encabezado"/>
      <w:jc w:val="right"/>
    </w:pPr>
    <w:r>
      <w:fldChar w:fldCharType="begin"/>
      <w:instrText xml:space="preserve">PAGE</w:instrText>
      <w:fldChar w:fldCharType="separate"/>
      <w:fldChar w:fldCharType="end"/>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Encabezado"/>
      <w:jc w:val="right"/>
    </w:pPr>
    <w:r>
      <w:fldChar w:fldCharType="begin"/>
      <w:instrText xml:space="preserve">PAGE</w:instrText>
      <w:fldChar w:fldCharType="separate"/>
      <w:fldChar w:fldCharType="end"/>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Encabezado"/>
      <w:jc w:val="left"/>
    </w:pPr>
    <w:r>
      <w:fldChar w:fldCharType="begin"/>
      <w:instrText xml:space="preserve">PAGE</w:instrText>
      <w:fldChar w:fldCharType="separate"/>
      <w:fldChar w:fldCharType="end"/>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Encabezado"/>
      <w:jc w:val="right"/>
    </w:pPr>
    <w:r>
      <w:fldChar w:fldCharType="begin"/>
      <w:instrText xml:space="preserve">PAGE</w:instrText>
      <w:fldChar w:fldCharType="separate"/>
      <w:fldChar w:fldCharType="end"/>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Encabezado"/>
      <w:jc w:val="left"/>
    </w:pPr>
    <w:r>
      <w:fldChar w:fldCharType="begin"/>
      <w:instrText xml:space="preserve">PAGE</w:instrText>
      <w:fldChar w:fldCharType="separate"/>
      <w:fldChar w:fldCharType="end"/>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Encabezado"/>
      <w:jc w:val="left"/>
    </w:pPr>
    <w:r>
      <w:fldChar w:fldCharType="begin"/>
      <w:instrText xml:space="preserve">PAGE</w:instrText>
      <w:fldChar w:fldCharType="separate"/>
      <w:fldChar w:fldCharType="end"/>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Encabezado"/>
      <w:jc w:val="right"/>
    </w:pPr>
    <w:r>
      <w:fldChar w:fldCharType="begin"/>
      <w:instrText xml:space="preserve">PAGE</w:instrText>
      <w:fldChar w:fldCharType="separate"/>
      <w:fldChar w:fldCharType="end"/>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Encabezado"/>
      <w:jc w:val="right"/>
    </w:pPr>
    <w:r>
      <w:fldChar w:fldCharType="begin"/>
      <w:instrText xml:space="preserve">PAGE</w:instrText>
      <w:fldChar w:fldCharType="separate"/>
      <w:fldChar w:fldCharType="end"/>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Encabezado"/>
      <w:jc w:val="left"/>
    </w:pPr>
    <w:r>
      <w:fldChar w:fldCharType="begin"/>
      <w:instrText xml:space="preserve">PAGE</w:instrText>
      <w:fldChar w:fldCharType="separate"/>
      <w:fldChar w:fldCharType="end"/>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Encabezado"/>
      <w:jc w:val="right"/>
    </w:pPr>
    <w:r>
      <w:fldChar w:fldCharType="begin"/>
      <w:instrText xml:space="preserve">PAGE</w:instrText>
      <w:fldChar w:fldCharType="separate"/>
      <w:fldChar w:fldCharType="end"/>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Encabezado"/>
      <w:jc w:val="right"/>
    </w:pPr>
    <w:r>
      <w:fldChar w:fldCharType="begin"/>
      <w:instrText xml:space="preserve">PAGE</w:instrText>
      <w:fldChar w:fldCharType="separate"/>
      <w:fldChar w:fldCharType="end"/>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Encabezado"/>
      <w:jc w:val="left"/>
    </w:pPr>
    <w:r>
      <w:fldChar w:fldCharType="begin"/>
      <w:instrText xml:space="preserve">PAGE</w:instrText>
      <w:fldChar w:fldCharType="separate"/>
      <w:fldChar w:fldCharType="end"/>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Encabezado"/>
      <w:jc w:val="right"/>
    </w:pPr>
    <w:r>
      <w:fldChar w:fldCharType="begin"/>
      <w:instrText xml:space="preserve">PAGE</w:instrText>
      <w:fldChar w:fldCharType="separate"/>
      <w:fldChar w:fldCharType="end"/>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Encabezado"/>
      <w:jc w:val="right"/>
    </w:pPr>
    <w:r>
      <w:fldChar w:fldCharType="begin"/>
      <w:instrText xml:space="preserve">PAGE</w:instrText>
      <w:fldChar w:fldCharType="separate"/>
      <w:fldChar w:fldCharType="end"/>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Encabezado"/>
      <w:jc w:val="left"/>
    </w:pPr>
    <w:r>
      <w:fldChar w:fldCharType="begin"/>
      <w:instrText xml:space="preserve">PAGE</w:instrText>
      <w:fldChar w:fldCharType="separate"/>
      <w:fldChar w:fldCharType="end"/>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Encabezado"/>
      <w:jc w:val="right"/>
    </w:pPr>
    <w:r>
      <w:fldChar w:fldCharType="begin"/>
      <w:instrText xml:space="preserve">PAGE</w:instrText>
      <w:fldChar w:fldCharType="separate"/>
      <w:fldChar w:fldCharType="end"/>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Encabezado"/>
      <w:jc w:val="right"/>
    </w:pPr>
    <w:r>
      <w:fldChar w:fldCharType="begin"/>
      <w:instrText xml:space="preserve">PAGE</w:instrText>
      <w:fldChar w:fldCharType="separate"/>
      <w:fldChar w:fldCharType="end"/>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Encabezado"/>
      <w:jc w:val="left"/>
    </w:pPr>
    <w:r>
      <w:fldChar w:fldCharType="begin"/>
      <w:instrText xml:space="preserve">PAGE</w:instrText>
      <w:fldChar w:fldCharType="separate"/>
      <w:fldChar w:fldCharType="end"/>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Encabezado"/>
      <w:jc w:val="right"/>
    </w:pPr>
    <w:r>
      <w:fldChar w:fldCharType="begin"/>
      <w:instrText xml:space="preserve">PAGE</w:instrText>
      <w:fldChar w:fldCharType="separate"/>
      <w:fldChar w:fldCharType="end"/>
    </w: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Encabezado"/>
      <w:jc w:val="right"/>
    </w:pPr>
    <w:r>
      <w:fldChar w:fldCharType="begin"/>
      <w:instrText xml:space="preserve">PAGE</w:instrText>
      <w:fldChar w:fldCharType="separate"/>
      <w:fldChar w:fldCharType="end"/>
    </w: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Encabezado"/>
      <w:jc w:val="left"/>
    </w:pPr>
    <w:r>
      <w:fldChar w:fldCharType="begin"/>
      <w:instrText xml:space="preserve">PAGE</w:instrText>
      <w:fldChar w:fldCharType="separate"/>
      <w:fldChar w:fldCharType="end"/>
    </w: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Encabezado"/>
      <w:jc w:val="right"/>
    </w:pPr>
    <w:r>
      <w:fldChar w:fldCharType="begin"/>
      <w:instrText xml:space="preserve">PAGE</w:instrText>
      <w:fldChar w:fldCharType="separate"/>
      <w:fldChar w:fldCharType="end"/>
    </w: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Encabezado"/>
      <w:jc w:val="right"/>
    </w:pPr>
    <w:r>
      <w:fldChar w:fldCharType="begin"/>
      <w:instrText xml:space="preserve">PAGE</w:instrText>
      <w:fldChar w:fldCharType="separate"/>
      <w:fldChar w:fldCharType="end"/>
    </w:r>
  </w:p>
</w:ftr>
</file>

<file path=word/footer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Encabezado"/>
      <w:jc w:val="left"/>
    </w:pPr>
    <w:r>
      <w:fldChar w:fldCharType="begin"/>
      <w:instrText xml:space="preserve">PAGE</w:instrText>
      <w:fldChar w:fldCharType="separate"/>
      <w:fldChar w:fldCharType="end"/>
    </w:r>
  </w:p>
</w:ftr>
</file>

<file path=word/footer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Encabezado"/>
      <w:jc w:val="right"/>
    </w:pPr>
    <w:r>
      <w:fldChar w:fldCharType="begin"/>
      <w:instrText xml:space="preserve">PAGE</w:instrText>
      <w:fldChar w:fldCharType="separate"/>
      <w:fldChar w:fldCharType="end"/>
    </w:r>
  </w:p>
</w:ftr>
</file>

<file path=word/footer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Encabezado"/>
      <w:jc w:val="left"/>
    </w:pPr>
    <w:r>
      <w:fldChar w:fldCharType="begin"/>
      <w:instrText xml:space="preserve">PAGE</w:instrText>
      <w:fldChar w:fldCharType="separate"/>
      <w:fldChar w:fldCharType="end"/>
    </w:r>
  </w:p>
</w:ftr>
</file>

<file path=word/footer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Encabezado"/>
      <w:jc w:val="left"/>
    </w:pPr>
    <w:r>
      <w:fldChar w:fldCharType="begin"/>
      <w:instrText xml:space="preserve">PAGE</w:instrText>
      <w:fldChar w:fldCharType="separate"/>
      <w:fldChar w:fldCharType="end"/>
    </w:r>
  </w:p>
</w:ftr>
</file>

<file path=word/footer3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Encabezado"/>
      <w:jc w:val="right"/>
    </w:pPr>
    <w:r>
      <w:fldChar w:fldCharType="begin"/>
      <w:instrText xml:space="preserve">PAGE</w:instrText>
      <w:fldChar w:fldCharType="separate"/>
      <w:fldChar w:fldCharType="end"/>
    </w:r>
  </w:p>
</w:ftr>
</file>

<file path=word/footer3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Encabezado"/>
      <w:jc w:val="right"/>
    </w:pPr>
    <w:r>
      <w:fldChar w:fldCharType="begin"/>
      <w:instrText xml:space="preserve">PAGE</w:instrText>
      <w:fldChar w:fldCharType="separate"/>
      <w:fldChar w:fldCharType="end"/>
    </w:r>
  </w:p>
</w:ftr>
</file>

<file path=word/footer3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Encabezado"/>
      <w:jc w:val="left"/>
    </w:pPr>
    <w:r>
      <w:fldChar w:fldCharType="begin"/>
      <w:instrText xml:space="preserve">PAGE</w:instrText>
      <w:fldChar w:fldCharType="separate"/>
      <w:fldChar w:fldCharType="end"/>
    </w:r>
  </w:p>
</w:ftr>
</file>

<file path=word/footer3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Encabezado"/>
      <w:jc w:val="right"/>
    </w:pPr>
    <w:r>
      <w:fldChar w:fldCharType="begin"/>
      <w:instrText xml:space="preserve">PAGE</w:instrText>
      <w:fldChar w:fldCharType="separate"/>
      <w:fldChar w:fldCharType="end"/>
    </w:r>
  </w:p>
</w:ftr>
</file>

<file path=word/footer3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Encabezado"/>
      <w:jc w:val="left"/>
    </w:pPr>
    <w:r>
      <w:fldChar w:fldCharType="begin"/>
      <w:instrText xml:space="preserve">PAGE</w:instrText>
      <w:fldChar w:fldCharType="separate"/>
      <w:fldChar w:fldCharType="end"/>
    </w:r>
  </w:p>
</w:ftr>
</file>

<file path=word/footer3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Encabezado"/>
      <w:jc w:val="left"/>
    </w:pPr>
    <w:r>
      <w:fldChar w:fldCharType="begin"/>
      <w:instrText xml:space="preserve">PAGE</w:instrText>
      <w:fldChar w:fldCharType="separate"/>
      <w:fldChar w:fldCharType="end"/>
    </w:r>
  </w:p>
</w:ftr>
</file>

<file path=word/footer4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Encabezado"/>
      <w:jc w:val="right"/>
    </w:pPr>
    <w:r>
      <w:fldChar w:fldCharType="begin"/>
      <w:instrText xml:space="preserve">PAGE</w:instrText>
      <w:fldChar w:fldCharType="separate"/>
      <w:fldChar w:fldCharType="end"/>
    </w:r>
  </w:p>
</w:ftr>
</file>

<file path=word/footer4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Encabezado"/>
      <w:jc w:val="right"/>
    </w:pPr>
    <w:r>
      <w:fldChar w:fldCharType="begin"/>
      <w:instrText xml:space="preserve">PAGE</w:instrText>
      <w:fldChar w:fldCharType="separate"/>
      <w:fldChar w:fldCharType="end"/>
    </w:r>
  </w:p>
</w:ftr>
</file>

<file path=word/footer4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Encabezado"/>
      <w:jc w:val="left"/>
    </w:pPr>
    <w:r>
      <w:fldChar w:fldCharType="begin"/>
      <w:instrText xml:space="preserve">PAGE</w:instrText>
      <w:fldChar w:fldCharType="separate"/>
      <w:fldChar w:fldCharType="end"/>
    </w:r>
  </w:p>
</w:ftr>
</file>

<file path=word/footer4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Encabezado"/>
      <w:jc w:val="right"/>
    </w:pPr>
    <w:r>
      <w:fldChar w:fldCharType="begin"/>
      <w:instrText xml:space="preserve">PAGE</w:instrText>
      <w:fldChar w:fldCharType="separate"/>
      <w:fldChar w:fldCharType="end"/>
    </w:r>
  </w:p>
</w:ftr>
</file>

<file path=word/footer4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Encabezado"/>
      <w:jc w:val="left"/>
    </w:pPr>
    <w:r>
      <w:fldChar w:fldCharType="begin"/>
      <w:instrText xml:space="preserve">PAGE</w:instrText>
      <w:fldChar w:fldCharType="separate"/>
      <w:fldChar w:fldCharType="end"/>
    </w:r>
  </w:p>
</w:ftr>
</file>

<file path=word/footer4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Encabezado"/>
      <w:jc w:val="left"/>
    </w:pPr>
    <w:r>
      <w:fldChar w:fldCharType="begin"/>
      <w:instrText xml:space="preserve">PAGE</w:instrText>
      <w:fldChar w:fldCharType="separate"/>
      <w:fldChar w:fldCharType="end"/>
    </w:r>
  </w:p>
</w:ftr>
</file>

<file path=word/footer4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Encabezado"/>
      <w:jc w:val="right"/>
    </w:pPr>
    <w:r>
      <w:fldChar w:fldCharType="begin"/>
      <w:instrText xml:space="preserve">PAGE</w:instrText>
      <w:fldChar w:fldCharType="separate"/>
      <w:fldChar w:fldCharType="end"/>
    </w:r>
  </w:p>
</w:ftr>
</file>

<file path=word/footer4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Encabezado"/>
      <w:jc w:val="left"/>
    </w:pPr>
    <w:r>
      <w:fldChar w:fldCharType="begin"/>
      <w:instrText xml:space="preserve">PAGE</w:instrText>
      <w:fldChar w:fldCharType="separate"/>
      <w:fldChar w:fldCharType="end"/>
    </w:r>
  </w:p>
</w:ftr>
</file>

<file path=word/footer4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Encabezado"/>
      <w:jc w:val="left"/>
    </w:pPr>
    <w:r>
      <w:fldChar w:fldCharType="begin"/>
      <w:instrText xml:space="preserve">PAGE</w:instrText>
      <w:fldChar w:fldCharType="separate"/>
      <w:fldChar w:fldCharType="end"/>
    </w:r>
  </w:p>
</w:ftr>
</file>

<file path=word/footer4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Encabezado"/>
      <w:jc w:val="right"/>
    </w:pPr>
    <w:r>
      <w:fldChar w:fldCharType="begin"/>
      <w:instrText xml:space="preserve">PAGE</w:instrText>
      <w:fldChar w:fldCharType="separate"/>
      <w:fldChar w:fldCharType="end"/>
    </w:r>
  </w:p>
</w:ftr>
</file>

<file path=word/footer5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Encabezado"/>
      <w:jc w:val="left"/>
    </w:pPr>
    <w:r>
      <w:fldChar w:fldCharType="begin"/>
      <w:instrText xml:space="preserve">PAGE</w:instrText>
      <w:fldChar w:fldCharType="separate"/>
      <w:fldChar w:fldCharType="end"/>
    </w:r>
  </w:p>
</w:ftr>
</file>

<file path=word/footer5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Encabezado"/>
      <w:jc w:val="left"/>
    </w:pPr>
    <w:r>
      <w:fldChar w:fldCharType="begin"/>
      <w:instrText xml:space="preserve">PAGE</w:instrText>
      <w:fldChar w:fldCharType="separate"/>
      <w:fldChar w:fldCharType="end"/>
    </w:r>
  </w:p>
</w:ftr>
</file>

<file path=word/footer5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Encabezado"/>
      <w:jc w:val="right"/>
    </w:pPr>
    <w:r>
      <w:fldChar w:fldCharType="begin"/>
      <w:instrText xml:space="preserve">PAGE</w:instrText>
      <w:fldChar w:fldCharType="separate"/>
      <w:fldChar w:fldCharType="end"/>
    </w:r>
  </w:p>
</w:ftr>
</file>

<file path=word/footer5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Encabezado"/>
      <w:jc w:val="left"/>
    </w:pPr>
    <w:r>
      <w:fldChar w:fldCharType="begin"/>
      <w:instrText xml:space="preserve">PAGE</w:instrText>
      <w:fldChar w:fldCharType="separate"/>
      <w:fldChar w:fldCharType="end"/>
    </w:r>
  </w:p>
</w:ftr>
</file>

<file path=word/footer5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Encabezado"/>
      <w:jc w:val="left"/>
    </w:pPr>
    <w:r>
      <w:fldChar w:fldCharType="begin"/>
      <w:instrText xml:space="preserve">PAGE</w:instrText>
      <w:fldChar w:fldCharType="separate"/>
      <w:fldChar w:fldCharType="end"/>
    </w:r>
  </w:p>
</w:ftr>
</file>

<file path=word/footer5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Encabezado"/>
      <w:jc w:val="right"/>
    </w:pPr>
    <w:r>
      <w:fldChar w:fldCharType="begin"/>
      <w:instrText xml:space="preserve">PAGE</w:instrText>
      <w:fldChar w:fldCharType="separate"/>
      <w:fldChar w:fldCharType="end"/>
    </w:r>
  </w:p>
</w:ftr>
</file>

<file path=word/footer5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Encabezado"/>
      <w:jc w:val="right"/>
    </w:pPr>
    <w:r>
      <w:fldChar w:fldCharType="begin"/>
      <w:instrText xml:space="preserve">PAGE</w:instrText>
      <w:fldChar w:fldCharType="separate"/>
      <w:fldChar w:fldCharType="end"/>
    </w:r>
  </w:p>
</w:ftr>
</file>

<file path=word/footer5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Encabezado"/>
      <w:jc w:val="left"/>
    </w:pPr>
    <w:r>
      <w:fldChar w:fldCharType="begin"/>
      <w:instrText xml:space="preserve">PAGE</w:instrText>
      <w:fldChar w:fldCharType="separate"/>
      <w:fldChar w:fldCharType="end"/>
    </w:r>
  </w:p>
</w:ftr>
</file>

<file path=word/footer5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Encabezado"/>
      <w:jc w:val="right"/>
    </w:pPr>
    <w:r>
      <w:fldChar w:fldCharType="begin"/>
      <w:instrText xml:space="preserve">PAGE</w:instrText>
      <w:fldChar w:fldCharType="separate"/>
      <w:fldChar w:fldCharType="end"/>
    </w:r>
  </w:p>
</w:ftr>
</file>

<file path=word/footer5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Encabezado"/>
      <w:jc w:val="right"/>
    </w:pPr>
    <w:r>
      <w:fldChar w:fldCharType="begin"/>
      <w:instrText xml:space="preserve">PAGE</w:instrText>
      <w:fldChar w:fldCharType="separate"/>
      <w:fldChar w:fldCharType="end"/>
    </w:r>
  </w:p>
</w:ftr>
</file>

<file path=word/footer6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Encabezado"/>
      <w:jc w:val="left"/>
    </w:pPr>
    <w:r>
      <w:fldChar w:fldCharType="begin"/>
      <w:instrText xml:space="preserve">PAGE</w:instrText>
      <w:fldChar w:fldCharType="separate"/>
      <w:fldChar w:fldCharType="end"/>
    </w:r>
  </w:p>
</w:ftr>
</file>

<file path=word/footer6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Encabezado"/>
      <w:jc w:val="right"/>
    </w:pPr>
    <w:r>
      <w:fldChar w:fldCharType="begin"/>
      <w:instrText xml:space="preserve">PAGE</w:instrText>
      <w:fldChar w:fldCharType="separate"/>
      <w:fldChar w:fldCharType="end"/>
    </w:r>
  </w:p>
</w:ftr>
</file>

<file path=word/footer6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Encabezado"/>
      <w:jc w:val="left"/>
    </w:pPr>
    <w:r>
      <w:fldChar w:fldCharType="begin"/>
      <w:instrText xml:space="preserve">PAGE</w:instrText>
      <w:fldChar w:fldCharType="separate"/>
      <w:fldChar w:fldCharType="end"/>
    </w:r>
  </w:p>
</w:ftr>
</file>

<file path=word/footer6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Encabezado"/>
      <w:jc w:val="left"/>
    </w:pPr>
    <w:r>
      <w:fldChar w:fldCharType="begin"/>
      <w:instrText xml:space="preserve">PAGE</w:instrText>
      <w:fldChar w:fldCharType="separate"/>
      <w:fldChar w:fldCharType="end"/>
    </w:r>
  </w:p>
</w:ftr>
</file>

<file path=word/footer6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Encabezado"/>
      <w:jc w:val="right"/>
    </w:pPr>
    <w:r>
      <w:fldChar w:fldCharType="begin"/>
      <w:instrText xml:space="preserve">PAGE</w:instrText>
      <w:fldChar w:fldCharType="separate"/>
      <w:fldChar w:fldCharType="end"/>
    </w:r>
  </w:p>
</w:ftr>
</file>

<file path=word/footer6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Encabezado"/>
      <w:jc w:val="left"/>
    </w:pPr>
    <w:r>
      <w:fldChar w:fldCharType="begin"/>
      <w:instrText xml:space="preserve">PAGE</w:instrText>
      <w:fldChar w:fldCharType="separate"/>
      <w:fldChar w:fldCharType="end"/>
    </w:r>
  </w:p>
</w:ftr>
</file>

<file path=word/footer6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Encabezado"/>
      <w:jc w:val="left"/>
    </w:pPr>
    <w:r>
      <w:fldChar w:fldCharType="begin"/>
      <w:instrText xml:space="preserve">PAGE</w:instrText>
      <w:fldChar w:fldCharType="separate"/>
      <w:fldChar w:fldCharType="end"/>
    </w:r>
  </w:p>
</w:ftr>
</file>

<file path=word/footer6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Encabezado"/>
      <w:jc w:val="right"/>
    </w:pPr>
    <w:r>
      <w:fldChar w:fldCharType="begin"/>
      <w:instrText xml:space="preserve">PAGE</w:instrText>
      <w:fldChar w:fldCharType="separate"/>
      <w:fldChar w:fldCharType="end"/>
    </w:r>
  </w:p>
</w:ftr>
</file>

<file path=word/footer6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Encabezado"/>
      <w:jc w:val="right"/>
    </w:pPr>
    <w:r>
      <w:fldChar w:fldCharType="begin"/>
      <w:instrText xml:space="preserve">PAGE</w:instrText>
      <w:fldChar w:fldCharType="separate"/>
      <w:fldChar w:fldCharType="end"/>
    </w:r>
  </w:p>
</w:ftr>
</file>

<file path=word/footer6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Encabezado"/>
      <w:jc w:val="left"/>
    </w:pPr>
    <w:r>
      <w:fldChar w:fldCharType="begin"/>
      <w:instrText xml:space="preserve">PAGE</w:instrText>
      <w:fldChar w:fldCharType="separate"/>
      <w:fldChar w:fldCharType="end"/>
    </w:r>
  </w:p>
</w:ftr>
</file>

<file path=word/footer7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Encabezado"/>
      <w:jc w:val="right"/>
    </w:pPr>
    <w:r>
      <w:fldChar w:fldCharType="begin"/>
      <w:instrText xml:space="preserve">PAGE</w:instrText>
      <w:fldChar w:fldCharType="separate"/>
      <w:fldChar w:fldCharType="end"/>
    </w:r>
  </w:p>
</w:ftr>
</file>

<file path=word/footer7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Encabezado"/>
      <w:jc w:val="right"/>
    </w:pPr>
    <w:r>
      <w:fldChar w:fldCharType="begin"/>
      <w:instrText xml:space="preserve">PAGE</w:instrText>
      <w:fldChar w:fldCharType="separate"/>
      <w:fldChar w:fldCharType="end"/>
    </w:r>
  </w:p>
</w:ftr>
</file>

<file path=word/footer7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Encabezado"/>
      <w:jc w:val="left"/>
    </w:pPr>
    <w:r>
      <w:fldChar w:fldCharType="begin"/>
      <w:instrText xml:space="preserve">PAGE</w:instrText>
      <w:fldChar w:fldCharType="separate"/>
      <w:fldChar w:fldCharType="end"/>
    </w:r>
  </w:p>
</w:ftr>
</file>

<file path=word/footer7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Encabezado"/>
      <w:jc w:val="right"/>
    </w:pPr>
    <w:r>
      <w:fldChar w:fldCharType="begin"/>
      <w:instrText xml:space="preserve">PAGE</w:instrText>
      <w:fldChar w:fldCharType="separate"/>
      <w:fldChar w:fldCharType="end"/>
    </w:r>
  </w:p>
</w:ftr>
</file>

<file path=word/footer7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Encabezado"/>
      <w:jc w:val="left"/>
    </w:pPr>
    <w:r>
      <w:fldChar w:fldCharType="begin"/>
      <w:instrText xml:space="preserve">PAGE</w:instrText>
      <w:fldChar w:fldCharType="separate"/>
      <w:fldChar w:fldCharType="end"/>
    </w:r>
  </w:p>
</w:ftr>
</file>

<file path=word/footer7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Encabezado"/>
      <w:jc w:val="left"/>
    </w:pPr>
    <w:r>
      <w:fldChar w:fldCharType="begin"/>
      <w:instrText xml:space="preserve">PAGE</w:instrText>
      <w:fldChar w:fldCharType="separate"/>
      <w:fldChar w:fldCharType="end"/>
    </w:r>
  </w:p>
</w:ftr>
</file>

<file path=word/footer7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Encabezado"/>
      <w:jc w:val="right"/>
    </w:pPr>
    <w:r>
      <w:fldChar w:fldCharType="begin"/>
      <w:instrText xml:space="preserve">PAGE</w:instrText>
      <w:fldChar w:fldCharType="separate"/>
      <w:fldChar w:fldCharType="end"/>
    </w:r>
  </w:p>
</w:ftr>
</file>

<file path=word/footer7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Encabezado"/>
      <w:jc w:val="right"/>
    </w:pPr>
    <w:r>
      <w:fldChar w:fldCharType="begin"/>
      <w:instrText xml:space="preserve">PAGE</w:instrText>
      <w:fldChar w:fldCharType="separate"/>
      <w:fldChar w:fldCharType="end"/>
    </w:r>
  </w:p>
</w:ftr>
</file>

<file path=word/footer7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Encabezado"/>
      <w:jc w:val="left"/>
    </w:pPr>
    <w:r>
      <w:fldChar w:fldCharType="begin"/>
      <w:instrText xml:space="preserve">PAGE</w:instrText>
      <w:fldChar w:fldCharType="separate"/>
      <w:fldChar w:fldCharType="end"/>
    </w:r>
  </w:p>
</w:ftr>
</file>

<file path=word/footer7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Encabezado"/>
      <w:jc w:val="right"/>
    </w:pPr>
    <w:r>
      <w:fldChar w:fldCharType="begin"/>
      <w:instrText xml:space="preserve">PAGE</w:instrText>
      <w:fldChar w:fldCharType="separate"/>
      <w:fldChar w:fldCharType="end"/>
    </w:r>
  </w:p>
</w:ftr>
</file>

<file path=word/footer8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Encabezado"/>
      <w:jc w:val="right"/>
    </w:pPr>
    <w:r>
      <w:fldChar w:fldCharType="begin"/>
      <w:instrText xml:space="preserve">PAGE</w:instrText>
      <w:fldChar w:fldCharType="separate"/>
      <w:fldChar w:fldCharType="end"/>
    </w:r>
  </w:p>
</w:ftr>
</file>

<file path=word/footer8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Encabezado"/>
      <w:jc w:val="left"/>
    </w:pPr>
    <w:r>
      <w:fldChar w:fldCharType="begin"/>
      <w:instrText xml:space="preserve">PAGE</w:instrText>
      <w:fldChar w:fldCharType="separate"/>
      <w:fldChar w:fldCharType="end"/>
    </w:r>
  </w:p>
</w:ftr>
</file>

<file path=word/footer8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Encabezado"/>
      <w:jc w:val="right"/>
    </w:pPr>
    <w:r>
      <w:fldChar w:fldCharType="begin"/>
      <w:instrText xml:space="preserve">PAGE</w:instrText>
      <w:fldChar w:fldCharType="separate"/>
      <w:fldChar w:fldCharType="end"/>
    </w:r>
  </w:p>
</w:ftr>
</file>

<file path=word/footer8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Encabezado"/>
      <w:jc w:val="left"/>
    </w:pPr>
    <w:r>
      <w:fldChar w:fldCharType="begin"/>
      <w:instrText xml:space="preserve">PAGE</w:instrText>
      <w:fldChar w:fldCharType="separate"/>
      <w:fldChar w:fldCharType="end"/>
    </w:r>
  </w:p>
</w:ftr>
</file>

<file path=word/footer8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Encabezado"/>
      <w:jc w:val="left"/>
    </w:pPr>
    <w:r>
      <w:fldChar w:fldCharType="begin"/>
      <w:instrText xml:space="preserve">PAGE</w:instrText>
      <w:fldChar w:fldCharType="separate"/>
      <w:fldChar w:fldCharType="end"/>
    </w:r>
  </w:p>
</w:ftr>
</file>

<file path=word/footer8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Encabezado"/>
      <w:jc w:val="right"/>
    </w:pPr>
    <w:r>
      <w:fldChar w:fldCharType="begin"/>
      <w:instrText xml:space="preserve">PAGE</w:instrText>
      <w:fldChar w:fldCharType="separate"/>
      <w:fldChar w:fldCharType="end"/>
    </w:r>
  </w:p>
</w:ftr>
</file>

<file path=word/footer8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Encabezado"/>
      <w:jc w:val="right"/>
    </w:pPr>
    <w:r>
      <w:fldChar w:fldCharType="begin"/>
      <w:instrText xml:space="preserve">PAGE</w:instrText>
      <w:fldChar w:fldCharType="separate"/>
      <w:fldChar w:fldCharType="end"/>
    </w:r>
  </w:p>
</w:ftr>
</file>

<file path=word/footer8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Encabezado"/>
      <w:jc w:val="left"/>
    </w:pPr>
    <w:r>
      <w:fldChar w:fldCharType="begin"/>
      <w:instrText xml:space="preserve">PAGE</w:instrText>
      <w:fldChar w:fldCharType="separate"/>
      <w:fldChar w:fldCharType="end"/>
    </w:r>
  </w:p>
</w:ftr>
</file>

<file path=word/footer8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Encabezado"/>
      <w:jc w:val="right"/>
    </w:pPr>
    <w:r>
      <w:fldChar w:fldCharType="begin"/>
      <w:instrText xml:space="preserve">PAGE</w:instrText>
      <w:fldChar w:fldCharType="separate"/>
      <w:fldChar w:fldCharType="end"/>
    </w:r>
  </w:p>
</w:ftr>
</file>

<file path=word/footer8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Encabezado"/>
      <w:jc w:val="left"/>
    </w:pPr>
    <w:r>
      <w:fldChar w:fldCharType="begin"/>
      <w:instrText xml:space="preserve">PAGE</w:instrText>
      <w:fldChar w:fldCharType="separate"/>
      <w:fldChar w:fldCharType="end"/>
    </w:r>
  </w:p>
</w:ftr>
</file>

<file path=word/footer9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Encabezado"/>
      <w:jc w:val="left"/>
    </w:pPr>
    <w:r>
      <w:fldChar w:fldCharType="begin"/>
      <w:instrText xml:space="preserve">PAGE</w:instrText>
      <w:fldChar w:fldCharType="separate"/>
      <w:fldChar w:fldCharType="end"/>
    </w:r>
  </w:p>
</w:ftr>
</file>

<file path=word/footer9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Encabezado"/>
      <w:jc w:val="right"/>
    </w:pPr>
    <w:r>
      <w:fldChar w:fldCharType="begin"/>
      <w:instrText xml:space="preserve">PAGE</w:instrText>
      <w:fldChar w:fldCharType="separate"/>
      <w:fldChar w:fldCharType="end"/>
    </w:r>
  </w:p>
</w:ftr>
</file>

<file path=word/footer9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Encabezado"/>
      <w:jc w:val="right"/>
    </w:pPr>
    <w:r>
      <w:fldChar w:fldCharType="begin"/>
      <w:instrText xml:space="preserve">PAGE</w:instrText>
      <w:fldChar w:fldCharType="separate"/>
      <w:fldChar w:fldCharType="end"/>
    </w:r>
  </w:p>
</w:ftr>
</file>

<file path=word/footer9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Encabezado"/>
      <w:jc w:val="left"/>
    </w:pPr>
    <w:r>
      <w:fldChar w:fldCharType="begin"/>
      <w:instrText xml:space="preserve">PAGE</w:instrText>
      <w:fldChar w:fldCharType="separate"/>
      <w:fldChar w:fldCharType="end"/>
    </w:r>
  </w:p>
</w:ftr>
</file>

<file path=word/footer9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Encabezado"/>
      <w:jc w:val="right"/>
    </w:pPr>
    <w:r>
      <w:fldChar w:fldCharType="begin"/>
      <w:instrText xml:space="preserve">PAGE</w:instrText>
      <w:fldChar w:fldCharType="separate"/>
      <w:fldChar w:fldCharType="end"/>
    </w:r>
  </w:p>
</w:ftr>
</file>

<file path=word/footer9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Encabezado"/>
      <w:jc w:val="right"/>
    </w:pPr>
    <w:r>
      <w:fldChar w:fldCharType="begin"/>
      <w:instrText xml:space="preserve">PAGE</w:instrText>
      <w:fldChar w:fldCharType="separate"/>
      <w:fldChar w:fldCharType="end"/>
    </w:r>
  </w:p>
</w:ftr>
</file>

<file path=word/footer9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Encabezado"/>
      <w:jc w:val="left"/>
    </w:pPr>
    <w:r>
      <w:fldChar w:fldCharType="begin"/>
      <w:instrText xml:space="preserve">PAGE</w:instrText>
      <w:fldChar w:fldCharType="separate"/>
      <w:fldChar w:fldCharType="end"/>
    </w:r>
  </w:p>
</w:ftr>
</file>

<file path=word/footer9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Encabezado"/>
      <w:jc w:val="right"/>
    </w:pPr>
    <w:r>
      <w:fldChar w:fldCharType="begin"/>
      <w:instrText xml:space="preserve">PAGE</w:instrText>
      <w:fldChar w:fldCharType="separate"/>
      <w:fldChar w:fldCharType="end"/>
    </w:r>
  </w:p>
</w:ftr>
</file>

<file path=word/footer9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Encabezado"/>
      <w:jc w:val="left"/>
    </w:pPr>
    <w:r>
      <w:fldChar w:fldCharType="begin"/>
      <w:instrText xml:space="preserve">PAGE</w:instrText>
      <w:fldChar w:fldCharType="separate"/>
      <w:fldChar w:fldCharType="end"/>
    </w:r>
  </w:p>
</w:ftr>
</file>

<file path=word/footer9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Encabezado"/>
      <w:jc w:val="left"/>
    </w:pPr>
    <w:r>
      <w:fldChar w:fldCharType="begin"/>
      <w:instrText xml:space="preserve">PAGE</w:instrText>
      <w:fldChar w:fldCharType="separate"/>
      <w:fldChar w:fldCharType="end"/>
    </w:r>
  </w:p>
</w:ftr>
</file>

<file path=word/footer10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Encabezado"/>
      <w:jc w:val="right"/>
    </w:pPr>
    <w:r>
      <w:fldChar w:fldCharType="begin"/>
      <w:instrText xml:space="preserve">PAGE</w:instrText>
      <w:fldChar w:fldCharType="separate"/>
      <w:fldChar w:fldCharType="end"/>
    </w:r>
  </w:p>
</w:ftr>
</file>

<file path=word/footer10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Encabezado"/>
      <w:jc w:val="right"/>
    </w:pPr>
    <w:r>
      <w:fldChar w:fldCharType="begin"/>
      <w:instrText xml:space="preserve">PAGE</w:instrText>
      <w:fldChar w:fldCharType="separate"/>
      <w:fldChar w:fldCharType="end"/>
    </w:r>
  </w:p>
</w:ftr>
</file>

<file path=word/footer10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Encabezado"/>
      <w:jc w:val="left"/>
    </w:pPr>
    <w:r>
      <w:fldChar w:fldCharType="begin"/>
      <w:instrText xml:space="preserve">PAGE</w:instrText>
      <w:fldChar w:fldCharType="separate"/>
      <w:fldChar w:fldCharType="end"/>
    </w:r>
  </w:p>
</w:ftr>
</file>

<file path=word/footer10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Encabezado"/>
      <w:jc w:val="right"/>
    </w:pPr>
    <w:r>
      <w:fldChar w:fldCharType="begin"/>
      <w:instrText xml:space="preserve">PAGE</w:instrText>
      <w:fldChar w:fldCharType="separate"/>
      <w:fldChar w:fldCharType="end"/>
    </w:r>
  </w:p>
</w:ftr>
</file>

<file path=word/footer10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Encabezado"/>
      <w:jc w:val="left"/>
    </w:pPr>
    <w:r>
      <w:fldChar w:fldCharType="begin"/>
      <w:instrText xml:space="preserve">PAGE</w:instrText>
      <w:fldChar w:fldCharType="separate"/>
      <w:fldChar w:fldCharType="end"/>
    </w:r>
  </w:p>
</w:ftr>
</file>

<file path=word/footer10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Encabezado"/>
      <w:jc w:val="left"/>
    </w:pPr>
    <w:r>
      <w:fldChar w:fldCharType="begin"/>
      <w:instrText xml:space="preserve">PAGE</w:instrText>
      <w:fldChar w:fldCharType="separate"/>
      <w:fldChar w:fldCharType="end"/>
    </w:r>
  </w:p>
</w:ftr>
</file>

<file path=word/footer10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Encabezado"/>
      <w:jc w:val="right"/>
    </w:pPr>
    <w:r>
      <w:fldChar w:fldCharType="begin"/>
      <w:instrText xml:space="preserve">PAGE</w:instrText>
      <w:fldChar w:fldCharType="separate"/>
      <w:fldChar w:fldCharType="end"/>
    </w:r>
  </w:p>
</w:ftr>
</file>

<file path=word/footer10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Encabezado"/>
      <w:jc w:val="right"/>
    </w:pPr>
    <w:r>
      <w:fldChar w:fldCharType="begin"/>
      <w:instrText xml:space="preserve">PAGE</w:instrText>
      <w:fldChar w:fldCharType="separate"/>
      <w:fldChar w:fldCharType="end"/>
    </w:r>
  </w:p>
</w:ftr>
</file>

<file path=word/footer10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Encabezado"/>
      <w:jc w:val="left"/>
    </w:pPr>
    <w:r>
      <w:fldChar w:fldCharType="begin"/>
      <w:instrText xml:space="preserve">PAGE</w:instrText>
      <w:fldChar w:fldCharType="separate"/>
      <w:fldChar w:fldCharType="end"/>
    </w:r>
  </w:p>
</w:ftr>
</file>

<file path=word/footer10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Encabezado"/>
      <w:jc w:val="right"/>
    </w:pPr>
    <w:r>
      <w:fldChar w:fldCharType="begin"/>
      <w:instrText xml:space="preserve">PAGE</w:instrText>
      <w:fldChar w:fldCharType="separate"/>
      <w:fldChar w:fldCharType="end"/>
    </w:r>
  </w:p>
</w:ftr>
</file>

<file path=word/footer1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Encabezado"/>
      <w:jc w:val="left"/>
    </w:pPr>
    <w:r>
      <w:fldChar w:fldCharType="begin"/>
      <w:instrText xml:space="preserve">PAGE</w:instrText>
      <w:fldChar w:fldCharType="separate"/>
      <w:fldChar w:fldCharType="end"/>
    </w:r>
  </w:p>
</w:ftr>
</file>

<file path=word/footer1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Encabezado"/>
      <w:jc w:val="left"/>
    </w:pPr>
    <w:r>
      <w:fldChar w:fldCharType="begin"/>
      <w:instrText xml:space="preserve">PAGE</w:instrText>
      <w:fldChar w:fldCharType="separate"/>
      <w:fldChar w:fldCharType="end"/>
    </w:r>
  </w:p>
</w:ftr>
</file>

<file path=word/footer1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Encabezado"/>
      <w:jc w:val="right"/>
    </w:pPr>
    <w:r>
      <w:fldChar w:fldCharType="begin"/>
      <w:instrText xml:space="preserve">PAGE</w:instrText>
      <w:fldChar w:fldCharType="separate"/>
      <w:fldChar w:fldCharType="end"/>
    </w:r>
  </w:p>
</w:ftr>
</file>

<file path=word/footer1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Encabezado"/>
      <w:jc w:val="right"/>
    </w:pPr>
    <w:r>
      <w:fldChar w:fldCharType="begin"/>
      <w:instrText xml:space="preserve">PAGE</w:instrText>
      <w:fldChar w:fldCharType="separate"/>
      <w:fldChar w:fldCharType="end"/>
    </w:r>
  </w:p>
</w:ftr>
</file>

<file path=word/footer1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Encabezado"/>
      <w:jc w:val="left"/>
    </w:pPr>
    <w:r>
      <w:fldChar w:fldCharType="begin"/>
      <w:instrText xml:space="preserve">PAGE</w:instrText>
      <w:fldChar w:fldCharType="separate"/>
      <w:fldChar w:fldCharType="end"/>
    </w:r>
  </w:p>
</w:ftr>
</file>

<file path=word/footer1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Encabezado"/>
      <w:jc w:val="right"/>
    </w:pPr>
    <w:r>
      <w:fldChar w:fldCharType="begin"/>
      <w:instrText xml:space="preserve">PAGE</w:instrText>
      <w:fldChar w:fldCharType="separate"/>
      <w:fldChar w:fldCharType="end"/>
    </w:r>
  </w:p>
</w:ftr>
</file>

<file path=word/footer1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Encabezado"/>
      <w:jc w:val="right"/>
    </w:pPr>
    <w:r>
      <w:fldChar w:fldCharType="begin"/>
      <w:instrText xml:space="preserve">PAGE</w:instrText>
      <w:fldChar w:fldCharType="separate"/>
      <w:fldChar w:fldCharType="end"/>
    </w:r>
  </w:p>
</w:ftr>
</file>

<file path=word/footer1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Encabezado"/>
      <w:jc w:val="left"/>
    </w:pPr>
    <w:r>
      <w:fldChar w:fldCharType="begin"/>
      <w:instrText xml:space="preserve">PAGE</w:instrText>
      <w:fldChar w:fldCharType="separate"/>
      <w:fldChar w:fldCharType="end"/>
    </w:r>
  </w:p>
</w:ftr>
</file>

<file path=word/footer1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Encabezado"/>
      <w:jc w:val="right"/>
    </w:pPr>
    <w:r>
      <w:fldChar w:fldCharType="begin"/>
      <w:instrText xml:space="preserve">PAGE</w:instrText>
      <w:fldChar w:fldCharType="separate"/>
      <w:fldChar w:fldCharType="end"/>
    </w:r>
  </w:p>
</w:ftr>
</file>

<file path=word/footer1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Encabezado"/>
      <w:jc w:val="left"/>
    </w:pPr>
    <w:r>
      <w:fldChar w:fldCharType="begin"/>
      <w:instrText xml:space="preserve">PAGE</w:instrText>
      <w:fldChar w:fldCharType="separate"/>
      <w:fldChar w:fldCharType="end"/>
    </w:r>
  </w:p>
</w:ftr>
</file>

<file path=word/footer1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Encabezado"/>
      <w:jc w:val="left"/>
    </w:pPr>
    <w:r>
      <w:fldChar w:fldCharType="begin"/>
      <w:instrText xml:space="preserve">PAGE</w:instrText>
      <w:fldChar w:fldCharType="separate"/>
      <w:fldChar w:fldCharType="end"/>
    </w:r>
  </w:p>
</w:ftr>
</file>

<file path=word/footer1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Encabezado"/>
      <w:jc w:val="right"/>
    </w:pPr>
    <w:r>
      <w:fldChar w:fldCharType="begin"/>
      <w:instrText xml:space="preserve">PAGE</w:instrText>
      <w:fldChar w:fldCharType="separate"/>
      <w:fldChar w:fldCharType="end"/>
    </w:r>
  </w:p>
</w:ftr>
</file>

<file path=word/footer1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Encabezado"/>
      <w:jc w:val="left"/>
    </w:pPr>
    <w:r>
      <w:fldChar w:fldCharType="begin"/>
      <w:instrText xml:space="preserve">PAGE</w:instrText>
      <w:fldChar w:fldCharType="separate"/>
      <w:fldChar w:fldCharType="end"/>
    </w:r>
  </w:p>
</w:ftr>
</file>

<file path=word/footer1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Encabezado"/>
      <w:jc w:val="left"/>
    </w:pPr>
    <w:r>
      <w:fldChar w:fldCharType="begin"/>
      <w:instrText xml:space="preserve">PAGE</w:instrText>
      <w:fldChar w:fldCharType="separate"/>
      <w:fldChar w:fldCharType="end"/>
    </w:r>
  </w:p>
</w:ftr>
</file>

<file path=word/footer1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Encabezado"/>
      <w:jc w:val="right"/>
    </w:pPr>
    <w:r>
      <w:fldChar w:fldCharType="begin"/>
      <w:instrText xml:space="preserve">PAGE</w:instrText>
      <w:fldChar w:fldCharType="separate"/>
      <w:fldChar w:fldCharType="end"/>
    </w:r>
  </w:p>
</w:ftr>
</file>

<file path=word/footer1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Encabezado"/>
      <w:jc w:val="left"/>
    </w:pPr>
    <w:r>
      <w:fldChar w:fldCharType="begin"/>
      <w:instrText xml:space="preserve">PAGE</w:instrText>
      <w:fldChar w:fldCharType="separate"/>
      <w:fldChar w:fldCharType="end"/>
    </w:r>
  </w:p>
</w:ftr>
</file>

<file path=word/footer1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Encabezado"/>
      <w:jc w:val="left"/>
    </w:pPr>
    <w:r>
      <w:fldChar w:fldCharType="begin"/>
      <w:instrText xml:space="preserve">PAGE</w:instrText>
      <w:fldChar w:fldCharType="separate"/>
      <w:fldChar w:fldCharType="end"/>
    </w:r>
  </w:p>
</w:ftr>
</file>

<file path=word/footer1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Encabezado"/>
      <w:jc w:val="right"/>
    </w:pPr>
    <w:r>
      <w:fldChar w:fldCharType="begin"/>
      <w:instrText xml:space="preserve">PAGE</w:instrText>
      <w:fldChar w:fldCharType="separate"/>
      <w:fldChar w:fldCharType="end"/>
    </w:r>
  </w:p>
</w:ftr>
</file>

<file path=word/footer1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Encabezado"/>
      <w:jc w:val="left"/>
    </w:pPr>
    <w:r>
      <w:fldChar w:fldCharType="begin"/>
      <w:instrText xml:space="preserve">PAGE</w:instrText>
      <w:fldChar w:fldCharType="separate"/>
      <w:fldChar w:fldCharType="end"/>
    </w:r>
  </w:p>
</w:ftr>
</file>

<file path=word/footer1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Encabezado"/>
      <w:jc w:val="left"/>
    </w:pPr>
    <w:r>
      <w:fldChar w:fldCharType="begin"/>
      <w:instrText xml:space="preserve">PAGE</w:instrText>
      <w:fldChar w:fldCharType="separate"/>
      <w:fldChar w:fldCharType="end"/>
    </w:r>
  </w:p>
</w:ftr>
</file>

<file path=word/footer1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Encabezado"/>
      <w:jc w:val="right"/>
    </w:pPr>
    <w:r>
      <w:fldChar w:fldCharType="begin"/>
      <w:instrText xml:space="preserve">PAGE</w:instrText>
      <w:fldChar w:fldCharType="separate"/>
      <w:fldChar w:fldCharType="end"/>
    </w:r>
  </w:p>
</w:ftr>
</file>

<file path=word/footer1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Encabezado"/>
      <w:jc w:val="left"/>
    </w:pPr>
    <w:r>
      <w:fldChar w:fldCharType="begin"/>
      <w:instrText xml:space="preserve">PAGE</w:instrText>
      <w:fldChar w:fldCharType="separate"/>
      <w:fldChar w:fldCharType="end"/>
    </w:r>
  </w:p>
</w:ftr>
</file>

<file path=word/footer1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Encabezado"/>
      <w:jc w:val="left"/>
    </w:pPr>
    <w:r>
      <w:fldChar w:fldCharType="begin"/>
      <w:instrText xml:space="preserve">PAGE</w:instrText>
      <w:fldChar w:fldCharType="separate"/>
      <w:fldChar w:fldCharType="end"/>
    </w:r>
  </w:p>
</w:ftr>
</file>

<file path=word/footer1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Encabezado"/>
      <w:jc w:val="right"/>
    </w:pPr>
    <w:r>
      <w:fldChar w:fldCharType="begin"/>
      <w:instrText xml:space="preserve">PAGE</w:instrText>
      <w:fldChar w:fldCharType="separate"/>
      <w:fldChar w:fldCharType="end"/>
    </w:r>
  </w:p>
</w:ftr>
</file>

<file path=word/footer13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Encabezado"/>
      <w:jc w:val="right"/>
    </w:pPr>
    <w:r>
      <w:fldChar w:fldCharType="begin"/>
      <w:instrText xml:space="preserve">PAGE</w:instrText>
      <w:fldChar w:fldCharType="separate"/>
      <w:fldChar w:fldCharType="end"/>
    </w:r>
  </w:p>
</w:ftr>
</file>

<file path=word/footer13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Encabezado"/>
      <w:jc w:val="left"/>
    </w:pPr>
    <w:r>
      <w:fldChar w:fldCharType="begin"/>
      <w:instrText xml:space="preserve">PAGE</w:instrText>
      <w:fldChar w:fldCharType="separate"/>
      <w:fldChar w:fldCharType="end"/>
    </w:r>
  </w:p>
</w:ftr>
</file>

<file path=word/footer13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Encabezado"/>
      <w:jc w:val="right"/>
    </w:pPr>
    <w:r>
      <w:fldChar w:fldCharType="begin"/>
      <w:instrText xml:space="preserve">PAGE</w:instrText>
      <w:fldChar w:fldCharType="separate"/>
      <w:fldChar w:fldCharType="end"/>
    </w:r>
  </w:p>
</w:ftr>
</file>

<file path=word/footer13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Encabezado"/>
      <w:jc w:val="left"/>
    </w:pPr>
    <w:r>
      <w:fldChar w:fldCharType="begin"/>
      <w:instrText xml:space="preserve">PAGE</w:instrText>
      <w:fldChar w:fldCharType="separate"/>
      <w:fldChar w:fldCharType="end"/>
    </w:r>
  </w:p>
</w:ftr>
</file>

<file path=word/footer13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Encabezado"/>
      <w:jc w:val="left"/>
    </w:pPr>
    <w:r>
      <w:fldChar w:fldCharType="begin"/>
      <w:instrText xml:space="preserve">PAGE</w:instrText>
      <w:fldChar w:fldCharType="separate"/>
      <w:fldChar w:fldCharType="end"/>
    </w:r>
  </w:p>
</w:ftr>
</file>

<file path=word/footer13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Encabezado"/>
      <w:jc w:val="right"/>
    </w:pPr>
    <w:r>
      <w:fldChar w:fldCharType="begin"/>
      <w:instrText xml:space="preserve">PAGE</w:instrText>
      <w:fldChar w:fldCharType="separate"/>
      <w:fldChar w:fldCharType="end"/>
    </w:r>
  </w:p>
</w:ftr>
</file>

<file path=word/footer14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Encabezado"/>
      <w:jc w:val="left"/>
    </w:pPr>
    <w:r>
      <w:fldChar w:fldCharType="begin"/>
      <w:instrText xml:space="preserve">PAGE</w:instrText>
      <w:fldChar w:fldCharType="separate"/>
      <w:fldChar w:fldCharType="end"/>
    </w:r>
  </w:p>
</w:ftr>
</file>

<file path=word/footer14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Encabezado"/>
      <w:jc w:val="left"/>
    </w:pPr>
    <w:r>
      <w:fldChar w:fldCharType="begin"/>
      <w:instrText xml:space="preserve">PAGE</w:instrText>
      <w:fldChar w:fldCharType="separate"/>
      <w:fldChar w:fldCharType="end"/>
    </w:r>
  </w:p>
</w:ftr>
</file>

<file path=word/footer14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Encabezado"/>
      <w:jc w:val="right"/>
    </w:pPr>
    <w:r>
      <w:fldChar w:fldCharType="begin"/>
      <w:instrText xml:space="preserve">PAGE</w:instrText>
      <w:fldChar w:fldCharType="separate"/>
      <w:fldChar w:fldCharType="end"/>
    </w:r>
  </w:p>
</w:ftr>
</file>

<file path=word/footer14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Encabezado"/>
      <w:jc w:val="right"/>
    </w:pPr>
    <w:r>
      <w:fldChar w:fldCharType="begin"/>
      <w:instrText xml:space="preserve">PAGE</w:instrText>
      <w:fldChar w:fldCharType="separate"/>
      <w:fldChar w:fldCharType="end"/>
    </w:r>
  </w:p>
</w:ftr>
</file>

<file path=word/footer14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Encabezado"/>
      <w:jc w:val="left"/>
    </w:pPr>
    <w:r>
      <w:fldChar w:fldCharType="begin"/>
      <w:instrText xml:space="preserve">PAGE</w:instrText>
      <w:fldChar w:fldCharType="separate"/>
      <w:fldChar w:fldCharType="end"/>
    </w:r>
  </w:p>
</w:ftr>
</file>

<file path=word/footer14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Encabezado"/>
      <w:jc w:val="right"/>
    </w:pPr>
    <w:r>
      <w:fldChar w:fldCharType="begin"/>
      <w:instrText xml:space="preserve">PAGE</w:instrText>
      <w:fldChar w:fldCharType="separate"/>
      <w:fldChar w:fldCharType="end"/>
    </w:r>
  </w:p>
</w:ftr>
</file>

<file path=word/footer14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Encabezado"/>
      <w:jc w:val="left"/>
    </w:pPr>
    <w:r>
      <w:fldChar w:fldCharType="begin"/>
      <w:instrText xml:space="preserve">PAGE</w:instrText>
      <w:fldChar w:fldCharType="separate"/>
      <w:fldChar w:fldCharType="end"/>
    </w:r>
  </w:p>
</w:ftr>
</file>

<file path=word/footer14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Encabezado"/>
      <w:jc w:val="left"/>
    </w:pPr>
    <w:r>
      <w:fldChar w:fldCharType="begin"/>
      <w:instrText xml:space="preserve">PAGE</w:instrText>
      <w:fldChar w:fldCharType="separate"/>
      <w:fldChar w:fldCharType="end"/>
    </w:r>
  </w:p>
</w:ftr>
</file>

<file path=word/footer14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Encabezado"/>
      <w:jc w:val="right"/>
    </w:pPr>
    <w:r>
      <w:fldChar w:fldCharType="begin"/>
      <w:instrText xml:space="preserve">PAGE</w:instrText>
      <w:fldChar w:fldCharType="separate"/>
      <w:fldChar w:fldCharType="end"/>
    </w:r>
  </w:p>
</w:ftr>
</file>

<file path=word/footer14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Encabezado"/>
      <w:jc w:val="right"/>
    </w:pPr>
    <w:r>
      <w:fldChar w:fldCharType="begin"/>
      <w:instrText xml:space="preserve">PAGE</w:instrText>
      <w:fldChar w:fldCharType="separate"/>
      <w:fldChar w:fldCharType="end"/>
    </w:r>
  </w:p>
</w:ftr>
</file>

<file path=word/footer15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Encabezado"/>
      <w:jc w:val="left"/>
    </w:pPr>
    <w:r>
      <w:fldChar w:fldCharType="begin"/>
      <w:instrText xml:space="preserve">PAGE</w:instrText>
      <w:fldChar w:fldCharType="separate"/>
      <w:fldChar w:fldCharType="end"/>
    </w:r>
  </w:p>
</w:ftr>
</file>

<file path=word/footer15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Encabezado"/>
      <w:jc w:val="right"/>
    </w:pPr>
    <w:r>
      <w:fldChar w:fldCharType="begin"/>
      <w:instrText xml:space="preserve">PAGE</w:instrText>
      <w:fldChar w:fldCharType="separate"/>
      <w:fldChar w:fldCharType="end"/>
    </w:r>
  </w:p>
</w:ftr>
</file>

<file path=word/footer15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Encabezado"/>
      <w:jc w:val="right"/>
    </w:pPr>
    <w:r>
      <w:fldChar w:fldCharType="begin"/>
      <w:instrText xml:space="preserve">PAGE</w:instrText>
      <w:fldChar w:fldCharType="separate"/>
      <w:fldChar w:fldCharType="end"/>
    </w:r>
  </w:p>
</w:ftr>
</file>

<file path=word/footer15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Encabezado"/>
      <w:jc w:val="left"/>
    </w:pPr>
    <w:r>
      <w:fldChar w:fldCharType="begin"/>
      <w:instrText xml:space="preserve">PAGE</w:instrText>
      <w:fldChar w:fldCharType="separate"/>
      <w:fldChar w:fldCharType="end"/>
    </w:r>
  </w:p>
</w:ftr>
</file>

<file path=word/footer15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Encabezado"/>
      <w:jc w:val="right"/>
    </w:pPr>
    <w:r>
      <w:fldChar w:fldCharType="begin"/>
      <w:instrText xml:space="preserve">PAGE</w:instrText>
      <w:fldChar w:fldCharType="separate"/>
      <w:fldChar w:fldCharType="end"/>
    </w:r>
  </w:p>
</w:ftr>
</file>

<file path=word/footer15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Encabezado"/>
      <w:jc w:val="right"/>
    </w:pPr>
    <w:r>
      <w:fldChar w:fldCharType="begin"/>
      <w:instrText xml:space="preserve">PAGE</w:instrText>
      <w:fldChar w:fldCharType="separate"/>
      <w:fldChar w:fldCharType="end"/>
    </w:r>
  </w:p>
</w:ftr>
</file>

<file path=word/footer15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Encabezado"/>
      <w:jc w:val="left"/>
    </w:pPr>
    <w:r>
      <w:fldChar w:fldCharType="begin"/>
      <w:instrText xml:space="preserve">PAGE</w:instrText>
      <w:fldChar w:fldCharType="separate"/>
      <w:fldChar w:fldCharType="end"/>
    </w:r>
  </w:p>
</w:ftr>
</file>

<file path=word/footer15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Encabezado"/>
      <w:jc w:val="right"/>
    </w:pPr>
    <w:r>
      <w:fldChar w:fldCharType="begin"/>
      <w:instrText xml:space="preserve">PAGE</w:instrText>
      <w:fldChar w:fldCharType="separate"/>
      <w:fldChar w:fldCharType="end"/>
    </w:r>
  </w:p>
</w:ftr>
</file>

<file path=word/footer15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Encabezado"/>
      <w:jc w:val="left"/>
    </w:pPr>
    <w:r>
      <w:fldChar w:fldCharType="begin"/>
      <w:instrText xml:space="preserve">PAGE</w:instrText>
      <w:fldChar w:fldCharType="separate"/>
      <w:fldChar w:fldCharType="end"/>
    </w:r>
  </w:p>
</w:ftr>
</file>

<file path=word/footer15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Encabezado"/>
      <w:jc w:val="left"/>
    </w:pPr>
    <w:r>
      <w:fldChar w:fldCharType="begin"/>
      <w:instrText xml:space="preserve">PAGE</w:instrText>
      <w:fldChar w:fldCharType="separate"/>
      <w:fldChar w:fldCharType="end"/>
    </w:r>
  </w:p>
</w:ftr>
</file>

<file path=word/footer16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Encabezado"/>
      <w:jc w:val="right"/>
    </w:pPr>
    <w:r>
      <w:fldChar w:fldCharType="begin"/>
      <w:instrText xml:space="preserve">PAGE</w:instrText>
      <w:fldChar w:fldCharType="separate"/>
      <w:fldChar w:fldCharType="end"/>
    </w:r>
  </w:p>
</w:ftr>
</file>

<file path=word/footer16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Encabezado"/>
      <w:jc w:val="left"/>
    </w:pPr>
    <w:r>
      <w:fldChar w:fldCharType="begin"/>
      <w:instrText xml:space="preserve">PAGE</w:instrText>
      <w:fldChar w:fldCharType="separate"/>
      <w:fldChar w:fldCharType="end"/>
    </w:r>
  </w:p>
</w:ftr>
</file>

<file path=word/footer16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Encabezado"/>
      <w:jc w:val="left"/>
    </w:pPr>
    <w:r>
      <w:fldChar w:fldCharType="begin"/>
      <w:instrText xml:space="preserve">PAGE</w:instrText>
      <w:fldChar w:fldCharType="separate"/>
      <w:fldChar w:fldCharType="end"/>
    </w:r>
  </w:p>
</w:ftr>
</file>

<file path=word/footer16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Encabezado"/>
      <w:jc w:val="right"/>
    </w:pPr>
    <w:r>
      <w:fldChar w:fldCharType="begin"/>
      <w:instrText xml:space="preserve">PAGE</w:instrText>
      <w:fldChar w:fldCharType="separate"/>
      <w:fldChar w:fldCharType="end"/>
    </w:r>
  </w:p>
</w:ftr>
</file>

<file path=word/footer16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Encabezado"/>
      <w:jc w:val="left"/>
    </w:pPr>
    <w:r>
      <w:fldChar w:fldCharType="begin"/>
      <w:instrText xml:space="preserve">PAGE</w:instrText>
      <w:fldChar w:fldCharType="separate"/>
      <w:fldChar w:fldCharType="end"/>
    </w:r>
  </w:p>
</w:ftr>
</file>

<file path=word/footer16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Encabezado"/>
      <w:jc w:val="left"/>
    </w:pPr>
    <w:r>
      <w:fldChar w:fldCharType="begin"/>
      <w:instrText xml:space="preserve">PAGE</w:instrText>
      <w:fldChar w:fldCharType="separate"/>
      <w:fldChar w:fldCharType="end"/>
    </w:r>
  </w:p>
</w:ftr>
</file>

<file path=word/footer16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Encabezado"/>
      <w:jc w:val="right"/>
    </w:pPr>
    <w:r>
      <w:fldChar w:fldCharType="begin"/>
      <w:instrText xml:space="preserve">PAGE</w:instrText>
      <w:fldChar w:fldCharType="separate"/>
      <w:fldChar w:fldCharType="end"/>
    </w:r>
  </w:p>
</w:ftr>
</file>

<file path=word/footer16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Encabezado"/>
      <w:jc w:val="left"/>
    </w:pPr>
    <w:r>
      <w:fldChar w:fldCharType="begin"/>
      <w:instrText xml:space="preserve">PAGE</w:instrText>
      <w:fldChar w:fldCharType="separate"/>
      <w:fldChar w:fldCharType="end"/>
    </w:r>
  </w:p>
</w:ftr>
</file>

<file path=word/footer16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Encabezado"/>
      <w:jc w:val="left"/>
    </w:pPr>
    <w:r>
      <w:fldChar w:fldCharType="begin"/>
      <w:instrText xml:space="preserve">PAGE</w:instrText>
      <w:fldChar w:fldCharType="separate"/>
      <w:fldChar w:fldCharType="end"/>
    </w:r>
  </w:p>
</w:ftr>
</file>

<file path=word/footer16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Encabezado"/>
      <w:jc w:val="right"/>
    </w:pPr>
    <w:r>
      <w:fldChar w:fldCharType="begin"/>
      <w:instrText xml:space="preserve">PAGE</w:instrText>
      <w:fldChar w:fldCharType="separate"/>
      <w:fldChar w:fldCharType="end"/>
    </w:r>
  </w:p>
</w:ftr>
</file>

<file path=word/footer17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Encabezado"/>
      <w:jc w:val="right"/>
    </w:pPr>
    <w:r>
      <w:fldChar w:fldCharType="begin"/>
      <w:instrText xml:space="preserve">PAGE</w:instrText>
      <w:fldChar w:fldCharType="separate"/>
      <w:fldChar w:fldCharType="end"/>
    </w:r>
  </w:p>
</w:ftr>
</file>

<file path=word/footer17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Encabezado"/>
      <w:jc w:val="left"/>
    </w:pPr>
    <w:r>
      <w:fldChar w:fldCharType="begin"/>
      <w:instrText xml:space="preserve">PAGE</w:instrText>
      <w:fldChar w:fldCharType="separate"/>
      <w:fldChar w:fldCharType="end"/>
    </w:r>
  </w:p>
</w:ftr>
</file>

<file path=word/footer17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Encabezado"/>
      <w:jc w:val="right"/>
    </w:pPr>
    <w:r>
      <w:fldChar w:fldCharType="begin"/>
      <w:instrText xml:space="preserve">PAGE</w:instrText>
      <w:fldChar w:fldCharType="separate"/>
      <w:fldChar w:fldCharType="end"/>
    </w:r>
  </w:p>
</w:ftr>
</file>

<file path=word/footer17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Encabezado"/>
      <w:jc w:val="left"/>
    </w:pPr>
    <w:r>
      <w:fldChar w:fldCharType="begin"/>
      <w:instrText xml:space="preserve">PAGE</w:instrText>
      <w:fldChar w:fldCharType="separate"/>
      <w:fldChar w:fldCharType="end"/>
    </w:r>
  </w:p>
</w:ftr>
</file>

<file path=word/footer17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Encabezado"/>
      <w:jc w:val="left"/>
    </w:pPr>
    <w:r>
      <w:fldChar w:fldCharType="begin"/>
      <w:instrText xml:space="preserve">PAGE</w:instrText>
      <w:fldChar w:fldCharType="separate"/>
      <w:fldChar w:fldCharType="end"/>
    </w:r>
  </w:p>
</w:ftr>
</file>

<file path=word/footer17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Encabezado"/>
      <w:jc w:val="right"/>
    </w:pPr>
    <w:r>
      <w:fldChar w:fldCharType="begin"/>
      <w:instrText xml:space="preserve">PAGE</w:instrText>
      <w:fldChar w:fldCharType="separate"/>
      <w:fldChar w:fldCharType="end"/>
    </w:r>
  </w:p>
</w:ftr>
</file>

<file path=word/footer17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Encabezado"/>
      <w:jc w:val="left"/>
    </w:pPr>
    <w:r>
      <w:fldChar w:fldCharType="begin"/>
      <w:instrText xml:space="preserve">PAGE</w:instrText>
      <w:fldChar w:fldCharType="separate"/>
      <w:fldChar w:fldCharType="end"/>
    </w:r>
  </w:p>
</w:ftr>
</file>

<file path=word/footer17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Encabezado"/>
      <w:jc w:val="left"/>
    </w:pPr>
    <w:r>
      <w:fldChar w:fldCharType="begin"/>
      <w:instrText xml:space="preserve">PAGE</w:instrText>
      <w:fldChar w:fldCharType="separate"/>
      <w:fldChar w:fldCharType="end"/>
    </w:r>
  </w:p>
</w:ftr>
</file>

<file path=word/footer17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Encabezado"/>
      <w:jc w:val="right"/>
    </w:pPr>
    <w:r>
      <w:fldChar w:fldCharType="begin"/>
      <w:instrText xml:space="preserve">PAGE</w:instrText>
      <w:fldChar w:fldCharType="separate"/>
      <w:fldChar w:fldCharType="end"/>
    </w:r>
  </w:p>
</w:ftr>
</file>

<file path=word/footer17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Encabezado"/>
      <w:jc w:val="right"/>
    </w:pPr>
    <w:r>
      <w:fldChar w:fldCharType="begin"/>
      <w:instrText xml:space="preserve">PAGE</w:instrText>
      <w:fldChar w:fldCharType="separate"/>
      <w:fldChar w:fldCharType="end"/>
    </w:r>
  </w:p>
</w:ftr>
</file>

<file path=word/footer18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Encabezado"/>
      <w:jc w:val="left"/>
    </w:pPr>
    <w:r>
      <w:fldChar w:fldCharType="begin"/>
      <w:instrText xml:space="preserve">PAGE</w:instrText>
      <w:fldChar w:fldCharType="separate"/>
      <w:fldChar w:fldCharType="end"/>
    </w:r>
  </w:p>
</w:ftr>
</file>

<file path=word/footer18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Encabezado"/>
      <w:jc w:val="right"/>
    </w:pPr>
    <w:r>
      <w:fldChar w:fldCharType="begin"/>
      <w:instrText xml:space="preserve">PAGE</w:instrText>
      <w:fldChar w:fldCharType="separate"/>
      <w:fldChar w:fldCharType="end"/>
    </w:r>
  </w:p>
</w:ftr>
</file>

<file path=word/footer18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Encabezado"/>
      <w:jc w:val="right"/>
    </w:pPr>
    <w:r>
      <w:fldChar w:fldCharType="begin"/>
      <w:instrText xml:space="preserve">PAGE</w:instrText>
      <w:fldChar w:fldCharType="separate"/>
      <w:fldChar w:fldCharType="end"/>
    </w:r>
  </w:p>
</w:ftr>
</file>

<file path=word/footer18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Encabezado"/>
      <w:jc w:val="left"/>
    </w:pPr>
    <w:r>
      <w:fldChar w:fldCharType="begin"/>
      <w:instrText xml:space="preserve">PAGE</w:instrText>
      <w:fldChar w:fldCharType="separate"/>
      <w:fldChar w:fldCharType="end"/>
    </w:r>
  </w:p>
</w:ftr>
</file>

<file path=word/footer18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Encabezado"/>
      <w:jc w:val="right"/>
    </w:pPr>
    <w:r>
      <w:fldChar w:fldCharType="begin"/>
      <w:instrText xml:space="preserve">PAGE</w:instrText>
      <w:fldChar w:fldCharType="separate"/>
      <w:fldChar w:fldCharType="end"/>
    </w:r>
  </w:p>
</w:ftr>
</file>

<file path=word/footer18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Encabezado"/>
      <w:jc w:val="right"/>
    </w:pPr>
    <w:r>
      <w:fldChar w:fldCharType="begin"/>
      <w:instrText xml:space="preserve">PAGE</w:instrText>
      <w:fldChar w:fldCharType="separate"/>
      <w:fldChar w:fldCharType="end"/>
    </w:r>
  </w:p>
</w:ftr>
</file>

<file path=word/footer18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Encabezado"/>
      <w:jc w:val="left"/>
    </w:pPr>
    <w:r>
      <w:fldChar w:fldCharType="begin"/>
      <w:instrText xml:space="preserve">PAGE</w:instrText>
      <w:fldChar w:fldCharType="separate"/>
      <w:fldChar w:fldCharType="end"/>
    </w:r>
  </w:p>
</w:ftr>
</file>

<file path=word/footer18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Encabezado"/>
      <w:jc w:val="right"/>
    </w:pPr>
    <w:r>
      <w:fldChar w:fldCharType="begin"/>
      <w:instrText xml:space="preserve">PAGE</w:instrText>
      <w:fldChar w:fldCharType="separate"/>
      <w:fldChar w:fldCharType="end"/>
    </w:r>
  </w:p>
</w:ftr>
</file>

<file path=word/footer18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Encabezado"/>
      <w:jc w:val="right"/>
    </w:pPr>
    <w:r>
      <w:fldChar w:fldCharType="begin"/>
      <w:instrText xml:space="preserve">PAGE</w:instrText>
      <w:fldChar w:fldCharType="separate"/>
      <w:fldChar w:fldCharType="end"/>
    </w:r>
  </w:p>
</w:ftr>
</file>

<file path=word/footer18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Encabezado"/>
      <w:jc w:val="left"/>
    </w:pPr>
    <w: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Encabezado"/>
      <w:jc w:val="right"/>
    </w:pPr>
    <w:r>
      <w:t xml:space="preserve">Preliminares</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Normal"/>
    </w:pPr>
    <w:r>
      <w:t xml:space="preserve"/>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Encabezado"/>
      <w:jc w:val="left"/>
    </w:pPr>
    <w:r>
      <w:t xml:space="preserve">Preliminares</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Encabezado"/>
      <w:jc w:val="right"/>
    </w:pPr>
    <w:r>
      <w:t xml:space="preserve">Preliminares</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Normal"/>
    </w:pPr>
    <w:r>
      <w:t xml:space="preserve"/>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Encabezado"/>
      <w:jc w:val="left"/>
    </w:pPr>
    <w:r>
      <w:t xml:space="preserve">Preliminares</w: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Encabezado"/>
      <w:jc w:val="right"/>
    </w:pPr>
    <w:r>
      <w:t xml:space="preserve">Preliminares</w: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Normal"/>
    </w:pPr>
    <w:r>
      <w:t xml:space="preserve"/>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Encabezado"/>
      <w:jc w:val="left"/>
    </w:pPr>
    <w:r>
      <w:t xml:space="preserve">Preliminares</w: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Encabezado"/>
      <w:jc w:val="right"/>
    </w:pPr>
    <w:r>
      <w:t xml:space="preserve">Preliminares</w:t>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Normal"/>
    </w:pPr>
    <w:r>
      <w:t xml:space="preserve"/>
    </w: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Encabezado"/>
      <w:jc w:val="left"/>
    </w:pPr>
    <w:r>
      <w:t xml:space="preserve">Preliminares</w:t>
    </w: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Encabezado"/>
      <w:jc w:val="right"/>
    </w:pPr>
    <w:r>
      <w:t xml:space="preserve">Preliminares</w:t>
    </w: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Normal"/>
    </w:pPr>
    <w:r>
      <w:t xml:space="preserve"/>
    </w: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Encabezado"/>
      <w:jc w:val="left"/>
    </w:pPr>
    <w:r>
      <w:t xml:space="preserve">Preliminares</w:t>
    </w: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Encabezado"/>
      <w:jc w:val="right"/>
    </w:pPr>
    <w:r>
      <w:t xml:space="preserve">Parte I · Unidad 1</w:t>
    </w: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Normal"/>
    </w:pPr>
    <w:r>
      <w:t xml:space="preserve"/>
    </w: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Encabezado"/>
      <w:jc w:val="left"/>
    </w:pPr>
    <w:r>
      <w:t xml:space="preserve">Parte I · Unidad 1</w:t>
    </w: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Encabezado"/>
      <w:jc w:val="right"/>
    </w:pPr>
    <w:r>
      <w:t xml:space="preserve">1.1 · Paradigmas y modelos mentales</w:t>
    </w: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Normal"/>
    </w:pPr>
    <w:r>
      <w:t xml:space="preserve"/>
    </w: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Encabezado"/>
      <w:jc w:val="left"/>
    </w:pPr>
    <w:r>
      <w:t xml:space="preserve">Parte I · Unidad 1</w:t>
    </w: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Encabezado"/>
      <w:jc w:val="right"/>
    </w:pPr>
    <w:r>
      <w:t xml:space="preserve">1.2 · Escalera de inferencias</w:t>
    </w: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Normal"/>
    </w:pPr>
    <w:r>
      <w:t xml:space="preserve"/>
    </w: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Encabezado"/>
      <w:jc w:val="left"/>
    </w:pPr>
    <w:r>
      <w:t xml:space="preserve">Parte I · Unidad 1</w:t>
    </w: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Encabezado"/>
      <w:jc w:val="right"/>
    </w:pPr>
    <w:r>
      <w:t xml:space="preserve">1.3 · El paradigma de sistemas</w:t>
    </w: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Normal"/>
    </w:pPr>
    <w:r>
      <w:t xml:space="preserve"/>
    </w: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Encabezado"/>
      <w:jc w:val="left"/>
    </w:pPr>
    <w:r>
      <w:t xml:space="preserve">Parte I · Unidad 1</w:t>
    </w: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Encabezado"/>
      <w:jc w:val="right"/>
    </w:pPr>
    <w:r>
      <w:t xml:space="preserve">1.4 · Sistémico vs no sistémico</w:t>
    </w:r>
  </w:p>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Normal"/>
    </w:pPr>
    <w:r>
      <w:t xml:space="preserve"/>
    </w:r>
  </w:p>
</w:hdr>
</file>

<file path=word/header3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Encabezado"/>
      <w:jc w:val="left"/>
    </w:pPr>
    <w:r>
      <w:t xml:space="preserve">Parte I · Unidad 1</w:t>
    </w:r>
  </w:p>
</w:hdr>
</file>

<file path=word/header3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Encabezado"/>
      <w:jc w:val="right"/>
    </w:pPr>
    <w:r>
      <w:t xml:space="preserve">1.5 · Perspectivas</w:t>
    </w:r>
  </w:p>
</w:hdr>
</file>

<file path=word/header3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Normal"/>
    </w:pPr>
    <w:r>
      <w:t xml:space="preserve"/>
    </w:r>
  </w:p>
</w:hdr>
</file>

<file path=word/header3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Encabezado"/>
      <w:jc w:val="left"/>
    </w:pPr>
    <w:r>
      <w:t xml:space="preserve">Parte I · Unidad 1</w:t>
    </w:r>
  </w:p>
</w:hdr>
</file>

<file path=word/header3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Encabezado"/>
      <w:jc w:val="right"/>
    </w:pPr>
    <w:r>
      <w:t xml:space="preserve">1.6 · Operaciones DSRP</w:t>
    </w:r>
  </w:p>
</w:hdr>
</file>

<file path=word/header3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Normal"/>
    </w:pPr>
    <w:r>
      <w:t xml:space="preserve"/>
    </w:r>
  </w:p>
</w:hdr>
</file>

<file path=word/header3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Encabezado"/>
      <w:jc w:val="left"/>
    </w:pPr>
    <w:r>
      <w:t xml:space="preserve">Parte I · Unidad 1</w:t>
    </w:r>
  </w:p>
</w:hdr>
</file>

<file path=word/header4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Encabezado"/>
      <w:jc w:val="right"/>
    </w:pPr>
    <w:r>
      <w:t xml:space="preserve">1.7 · Niveles — modelo del iceberg</w:t>
    </w:r>
  </w:p>
</w:hdr>
</file>

<file path=word/header4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Normal"/>
    </w:pPr>
    <w:r>
      <w:t xml:space="preserve"/>
    </w:r>
  </w:p>
</w:hdr>
</file>

<file path=word/header4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Encabezado"/>
      <w:jc w:val="left"/>
    </w:pPr>
    <w:r>
      <w:t xml:space="preserve">Parte I · Unidad 1</w:t>
    </w:r>
  </w:p>
</w:hdr>
</file>

<file path=word/header4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Encabezado"/>
      <w:jc w:val="right"/>
    </w:pPr>
    <w:r>
      <w:t xml:space="preserve">1.8 · Hábitos del pensador</w:t>
    </w:r>
  </w:p>
</w:hdr>
</file>

<file path=word/header4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Normal"/>
    </w:pPr>
    <w:r>
      <w:t xml:space="preserve"/>
    </w:r>
  </w:p>
</w:hdr>
</file>

<file path=word/header4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Encabezado"/>
      <w:jc w:val="left"/>
    </w:pPr>
    <w:r>
      <w:t xml:space="preserve">Parte I · Unidad 1</w:t>
    </w:r>
  </w:p>
</w:hdr>
</file>

<file path=word/header4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Encabezado"/>
      <w:jc w:val="right"/>
    </w:pPr>
    <w:r>
      <w:t xml:space="preserve">Parte II · Unidad 2</w:t>
    </w:r>
  </w:p>
</w:hdr>
</file>

<file path=word/header4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Normal"/>
    </w:pPr>
    <w:r>
      <w:t xml:space="preserve"/>
    </w:r>
  </w:p>
</w:hdr>
</file>

<file path=word/header4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Encabezado"/>
      <w:jc w:val="left"/>
    </w:pPr>
    <w:r>
      <w:t xml:space="preserve">Parte II · Unidad 2</w:t>
    </w:r>
  </w:p>
</w:hdr>
</file>

<file path=word/header4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Encabezado"/>
      <w:jc w:val="right"/>
    </w:pPr>
    <w:r>
      <w:t xml:space="preserve">2.1 · Visión general</w:t>
    </w:r>
  </w:p>
</w:hdr>
</file>

<file path=word/header5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Normal"/>
    </w:pPr>
    <w:r>
      <w:t xml:space="preserve"/>
    </w:r>
  </w:p>
</w:hdr>
</file>

<file path=word/header5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Encabezado"/>
      <w:jc w:val="left"/>
    </w:pPr>
    <w:r>
      <w:t xml:space="preserve">Parte II · Unidad 2</w:t>
    </w:r>
  </w:p>
</w:hdr>
</file>

<file path=word/header5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Encabezado"/>
      <w:jc w:val="right"/>
    </w:pPr>
    <w:r>
      <w:t xml:space="preserve">2.2 · Conceptos de un sistema</w:t>
    </w:r>
  </w:p>
</w:hdr>
</file>

<file path=word/header5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Normal"/>
    </w:pPr>
    <w:r>
      <w:t xml:space="preserve"/>
    </w:r>
  </w:p>
</w:hdr>
</file>

<file path=word/header5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Encabezado"/>
      <w:jc w:val="left"/>
    </w:pPr>
    <w:r>
      <w:t xml:space="preserve">Parte II · Unidad 2</w:t>
    </w:r>
  </w:p>
</w:hdr>
</file>

<file path=word/header5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Encabezado"/>
      <w:jc w:val="right"/>
    </w:pPr>
    <w:r>
      <w:t xml:space="preserve">2.3 · Estructura de los sistemas</w:t>
    </w:r>
  </w:p>
</w:hdr>
</file>

<file path=word/header5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Normal"/>
    </w:pPr>
    <w:r>
      <w:t xml:space="preserve"/>
    </w:r>
  </w:p>
</w:hdr>
</file>

<file path=word/header5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Encabezado"/>
      <w:jc w:val="left"/>
    </w:pPr>
    <w:r>
      <w:t xml:space="preserve">Parte II · Unidad 2</w:t>
    </w:r>
  </w:p>
</w:hdr>
</file>

<file path=word/header5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Encabezado"/>
      <w:jc w:val="right"/>
    </w:pPr>
    <w:r>
      <w:t xml:space="preserve">2.4 · Sub y suprasistemas</w:t>
    </w:r>
  </w:p>
</w:hdr>
</file>

<file path=word/header5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Normal"/>
    </w:pPr>
    <w:r>
      <w:t xml:space="preserve"/>
    </w:r>
  </w:p>
</w:hdr>
</file>

<file path=word/header6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Encabezado"/>
      <w:jc w:val="left"/>
    </w:pPr>
    <w:r>
      <w:t xml:space="preserve">Parte II · Unidad 2</w:t>
    </w:r>
  </w:p>
</w:hdr>
</file>

<file path=word/header6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Encabezado"/>
      <w:jc w:val="right"/>
    </w:pPr>
    <w:r>
      <w:t xml:space="preserve">2.5 · Sinergia y emergencia</w:t>
    </w:r>
  </w:p>
</w:hdr>
</file>

<file path=word/header6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Normal"/>
    </w:pPr>
    <w:r>
      <w:t xml:space="preserve"/>
    </w:r>
  </w:p>
</w:hdr>
</file>

<file path=word/header6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Encabezado"/>
      <w:jc w:val="left"/>
    </w:pPr>
    <w:r>
      <w:t xml:space="preserve">Parte II · Unidad 2</w:t>
    </w:r>
  </w:p>
</w:hdr>
</file>

<file path=word/header6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Encabezado"/>
      <w:jc w:val="right"/>
    </w:pPr>
    <w:r>
      <w:t xml:space="preserve">2.6 · Complejidad sistémica</w:t>
    </w:r>
  </w:p>
</w:hdr>
</file>

<file path=word/header6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Normal"/>
    </w:pPr>
    <w:r>
      <w:t xml:space="preserve"/>
    </w:r>
  </w:p>
</w:hdr>
</file>

<file path=word/header6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Encabezado"/>
      <w:jc w:val="left"/>
    </w:pPr>
    <w:r>
      <w:t xml:space="preserve">Parte II · Unidad 2</w:t>
    </w:r>
  </w:p>
</w:hdr>
</file>

<file path=word/header6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Encabezado"/>
      <w:jc w:val="right"/>
    </w:pPr>
    <w:r>
      <w:t xml:space="preserve">2.7 · El universo como sistemas</w:t>
    </w:r>
  </w:p>
</w:hdr>
</file>

<file path=word/header6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Normal"/>
    </w:pPr>
    <w:r>
      <w:t xml:space="preserve"/>
    </w:r>
  </w:p>
</w:hdr>
</file>

<file path=word/header6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Encabezado"/>
      <w:jc w:val="left"/>
    </w:pPr>
    <w:r>
      <w:t xml:space="preserve">Parte II · Unidad 2</w:t>
    </w:r>
  </w:p>
</w:hdr>
</file>

<file path=word/header7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Encabezado"/>
      <w:jc w:val="right"/>
    </w:pPr>
    <w:r>
      <w:t xml:space="preserve">2.8 · Otros conceptos de la TGS</w:t>
    </w:r>
  </w:p>
</w:hdr>
</file>

<file path=word/header7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Normal"/>
    </w:pPr>
    <w:r>
      <w:t xml:space="preserve"/>
    </w:r>
  </w:p>
</w:hdr>
</file>

<file path=word/header7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Encabezado"/>
      <w:jc w:val="left"/>
    </w:pPr>
    <w:r>
      <w:t xml:space="preserve">Parte II · Unidad 2</w:t>
    </w:r>
  </w:p>
</w:hdr>
</file>

<file path=word/header7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Encabezado"/>
      <w:jc w:val="right"/>
    </w:pPr>
    <w:r>
      <w:t xml:space="preserve">2.9 · Introducción a los hábitos</w:t>
    </w:r>
  </w:p>
</w:hdr>
</file>

<file path=word/header7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Normal"/>
    </w:pPr>
    <w:r>
      <w:t xml:space="preserve"/>
    </w:r>
  </w:p>
</w:hdr>
</file>

<file path=word/header7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Encabezado"/>
      <w:jc w:val="left"/>
    </w:pPr>
    <w:r>
      <w:t xml:space="preserve">Parte II · Unidad 2</w:t>
    </w:r>
  </w:p>
</w:hdr>
</file>

<file path=word/header7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Encabezado"/>
      <w:jc w:val="right"/>
    </w:pPr>
    <w:r>
      <w:t xml:space="preserve">Parte III · Unidad 3</w:t>
    </w:r>
  </w:p>
</w:hdr>
</file>

<file path=word/header7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Normal"/>
    </w:pPr>
    <w:r>
      <w:t xml:space="preserve"/>
    </w:r>
  </w:p>
</w:hdr>
</file>

<file path=word/header7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Encabezado"/>
      <w:jc w:val="left"/>
    </w:pPr>
    <w:r>
      <w:t xml:space="preserve">Parte III · Unidad 3</w:t>
    </w:r>
  </w:p>
</w:hdr>
</file>

<file path=word/header7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Encabezado"/>
      <w:jc w:val="right"/>
    </w:pPr>
    <w:r>
      <w:t xml:space="preserve">3.1 · Mapas sistémicos</w:t>
    </w:r>
  </w:p>
</w:hdr>
</file>

<file path=word/header8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Normal"/>
    </w:pPr>
    <w:r>
      <w:t xml:space="preserve"/>
    </w:r>
  </w:p>
</w:hdr>
</file>

<file path=word/header8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Encabezado"/>
      <w:jc w:val="left"/>
    </w:pPr>
    <w:r>
      <w:t xml:space="preserve">Parte III · Unidad 3</w:t>
    </w:r>
  </w:p>
</w:hdr>
</file>

<file path=word/header8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Encabezado"/>
      <w:jc w:val="right"/>
    </w:pPr>
    <w:r>
      <w:t xml:space="preserve">3.2 · Mapas DSRP generales</w:t>
    </w:r>
  </w:p>
</w:hdr>
</file>

<file path=word/header8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Normal"/>
    </w:pPr>
    <w:r>
      <w:t xml:space="preserve"/>
    </w:r>
  </w:p>
</w:hdr>
</file>

<file path=word/header8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Encabezado"/>
      <w:jc w:val="left"/>
    </w:pPr>
    <w:r>
      <w:t xml:space="preserve">Parte III · Unidad 3</w:t>
    </w:r>
  </w:p>
</w:hdr>
</file>

<file path=word/header8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Encabezado"/>
      <w:jc w:val="right"/>
    </w:pPr>
    <w:r>
      <w:t xml:space="preserve">3.3 · Diagramas de ciclos causales</w:t>
    </w:r>
  </w:p>
</w:hdr>
</file>

<file path=word/header8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Normal"/>
    </w:pPr>
    <w:r>
      <w:t xml:space="preserve"/>
    </w:r>
  </w:p>
</w:hdr>
</file>

<file path=word/header8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Encabezado"/>
      <w:jc w:val="left"/>
    </w:pPr>
    <w:r>
      <w:t xml:space="preserve">Parte III · Unidad 3</w:t>
    </w:r>
  </w:p>
</w:hdr>
</file>

<file path=word/header8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Encabezado"/>
      <w:jc w:val="right"/>
    </w:pPr>
    <w:r>
      <w:t xml:space="preserve">3.4 · Interdependencias sistémicas</w:t>
    </w:r>
  </w:p>
</w:hdr>
</file>

<file path=word/header8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Normal"/>
    </w:pPr>
    <w:r>
      <w:t xml:space="preserve"/>
    </w:r>
  </w:p>
</w:hdr>
</file>

<file path=word/header9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Encabezado"/>
      <w:jc w:val="left"/>
    </w:pPr>
    <w:r>
      <w:t xml:space="preserve">Parte III · Unidad 3</w:t>
    </w:r>
  </w:p>
</w:hdr>
</file>

<file path=word/header9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Encabezado"/>
      <w:jc w:val="right"/>
    </w:pPr>
    <w:r>
      <w:t xml:space="preserve">3.5 · Refuerzo y compensación</w:t>
    </w:r>
  </w:p>
</w:hdr>
</file>

<file path=word/header9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Normal"/>
    </w:pPr>
    <w:r>
      <w:t xml:space="preserve"/>
    </w:r>
  </w:p>
</w:hdr>
</file>

<file path=word/header9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Encabezado"/>
      <w:jc w:val="left"/>
    </w:pPr>
    <w:r>
      <w:t xml:space="preserve">Parte III · Unidad 3</w:t>
    </w:r>
  </w:p>
</w:hdr>
</file>

<file path=word/header9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Encabezado"/>
      <w:jc w:val="right"/>
    </w:pPr>
    <w:r>
      <w:t xml:space="preserve">3.6 · Modelación dinámica</w:t>
    </w:r>
  </w:p>
</w:hdr>
</file>

<file path=word/header9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Normal"/>
    </w:pPr>
    <w:r>
      <w:t xml:space="preserve"/>
    </w:r>
  </w:p>
</w:hdr>
</file>

<file path=word/header9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Encabezado"/>
      <w:jc w:val="left"/>
    </w:pPr>
    <w:r>
      <w:t xml:space="preserve">Parte III · Unidad 3</w:t>
    </w:r>
  </w:p>
</w:hdr>
</file>

<file path=word/header9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Encabezado"/>
      <w:jc w:val="right"/>
    </w:pPr>
    <w:r>
      <w:t xml:space="preserve">3.7 · Demoras de tiempo</w:t>
    </w:r>
  </w:p>
</w:hdr>
</file>

<file path=word/header9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Normal"/>
    </w:pPr>
    <w:r>
      <w:t xml:space="preserve"/>
    </w:r>
  </w:p>
</w:hdr>
</file>

<file path=word/header9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Encabezado"/>
      <w:jc w:val="left"/>
    </w:pPr>
    <w:r>
      <w:t xml:space="preserve">Parte III · Unidad 3</w:t>
    </w:r>
  </w:p>
</w:hdr>
</file>

<file path=word/header10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Encabezado"/>
      <w:jc w:val="right"/>
    </w:pPr>
    <w:r>
      <w:t xml:space="preserve">3.8 · Patrones y tendencias</w:t>
    </w:r>
  </w:p>
</w:hdr>
</file>

<file path=word/header10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Normal"/>
    </w:pPr>
    <w:r>
      <w:t xml:space="preserve"/>
    </w:r>
  </w:p>
</w:hdr>
</file>

<file path=word/header10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Encabezado"/>
      <w:jc w:val="left"/>
    </w:pPr>
    <w:r>
      <w:t xml:space="preserve">Parte III · Unidad 3</w:t>
    </w:r>
  </w:p>
</w:hdr>
</file>

<file path=word/header10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Encabezado"/>
      <w:jc w:val="right"/>
    </w:pPr>
    <w:r>
      <w:t xml:space="preserve">3.9 · Hábitos (complejo)</w:t>
    </w:r>
  </w:p>
</w:hdr>
</file>

<file path=word/header10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Normal"/>
    </w:pPr>
    <w:r>
      <w:t xml:space="preserve"/>
    </w:r>
  </w:p>
</w:hdr>
</file>

<file path=word/header10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Encabezado"/>
      <w:jc w:val="left"/>
    </w:pPr>
    <w:r>
      <w:t xml:space="preserve">Parte III · Unidad 3</w:t>
    </w:r>
  </w:p>
</w:hdr>
</file>

<file path=word/header10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Encabezado"/>
      <w:jc w:val="right"/>
    </w:pPr>
    <w:r>
      <w:t xml:space="preserve">Parte IV · Unidad 4</w:t>
    </w:r>
  </w:p>
</w:hdr>
</file>

<file path=word/header10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Normal"/>
    </w:pPr>
    <w:r>
      <w:t xml:space="preserve"/>
    </w:r>
  </w:p>
</w:hdr>
</file>

<file path=word/header10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Encabezado"/>
      <w:jc w:val="left"/>
    </w:pPr>
    <w:r>
      <w:t xml:space="preserve">Parte IV · Unidad 4</w:t>
    </w:r>
  </w:p>
</w:hdr>
</file>

<file path=word/header10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Encabezado"/>
      <w:jc w:val="right"/>
    </w:pPr>
    <w:r>
      <w:t xml:space="preserve">4.1 · Arquetipos sistémicos</w:t>
    </w:r>
  </w:p>
</w:hdr>
</file>

<file path=word/header1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Normal"/>
    </w:pPr>
    <w:r>
      <w:t xml:space="preserve"/>
    </w:r>
  </w:p>
</w:hdr>
</file>

<file path=word/header1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Encabezado"/>
      <w:jc w:val="left"/>
    </w:pPr>
    <w:r>
      <w:t xml:space="preserve">Parte IV · Unidad 4</w:t>
    </w:r>
  </w:p>
</w:hdr>
</file>

<file path=word/header1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Encabezado"/>
      <w:jc w:val="right"/>
    </w:pPr>
    <w:r>
      <w:t xml:space="preserve">4.2 · Flujos y niveles</w:t>
    </w:r>
  </w:p>
</w:hdr>
</file>

<file path=word/header1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Normal"/>
    </w:pPr>
    <w:r>
      <w:t xml:space="preserve"/>
    </w:r>
  </w:p>
</w:hdr>
</file>

<file path=word/header1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Encabezado"/>
      <w:jc w:val="left"/>
    </w:pPr>
    <w:r>
      <w:t xml:space="preserve">Parte IV · Unidad 4</w:t>
    </w:r>
  </w:p>
</w:hdr>
</file>

<file path=word/header1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Encabezado"/>
      <w:jc w:val="right"/>
    </w:pPr>
    <w:r>
      <w:t xml:space="preserve">4.3 · De ciclos causales a flujos</w:t>
    </w:r>
  </w:p>
</w:hdr>
</file>

<file path=word/header1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Normal"/>
    </w:pPr>
    <w:r>
      <w:t xml:space="preserve"/>
    </w:r>
  </w:p>
</w:hdr>
</file>

<file path=word/header1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Encabezado"/>
      <w:jc w:val="left"/>
    </w:pPr>
    <w:r>
      <w:t xml:space="preserve">Parte IV · Unidad 4</w:t>
    </w:r>
  </w:p>
</w:hdr>
</file>

<file path=word/header1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Encabezado"/>
      <w:jc w:val="right"/>
    </w:pPr>
    <w:r>
      <w:t xml:space="preserve">4.4 · Simulación con VENSIM</w:t>
    </w:r>
  </w:p>
</w:hdr>
</file>

<file path=word/header1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Normal"/>
    </w:pPr>
    <w:r>
      <w:t xml:space="preserve"/>
    </w:r>
  </w:p>
</w:hdr>
</file>

<file path=word/header1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Encabezado"/>
      <w:jc w:val="left"/>
    </w:pPr>
    <w:r>
      <w:t xml:space="preserve">Parte IV · Unidad 4</w:t>
    </w:r>
  </w:p>
</w:hdr>
</file>

<file path=word/header1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Encabezado"/>
      <w:jc w:val="right"/>
    </w:pPr>
    <w:r>
      <w:t xml:space="preserve">4.5 · Ejemplos en VENSIM</w:t>
    </w:r>
  </w:p>
</w:hdr>
</file>

<file path=word/header1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Normal"/>
    </w:pPr>
    <w:r>
      <w:t xml:space="preserve"/>
    </w:r>
  </w:p>
</w:hdr>
</file>

<file path=word/header1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Encabezado"/>
      <w:jc w:val="left"/>
    </w:pPr>
    <w:r>
      <w:t xml:space="preserve">Parte IV · Unidad 4</w:t>
    </w:r>
  </w:p>
</w:hdr>
</file>

<file path=word/header1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Encabezado"/>
      <w:jc w:val="right"/>
    </w:pPr>
    <w:r>
      <w:t xml:space="preserve">4.6 · Toma de decisiones</w:t>
    </w:r>
  </w:p>
</w:hdr>
</file>

<file path=word/header1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Normal"/>
    </w:pPr>
    <w:r>
      <w:t xml:space="preserve"/>
    </w:r>
  </w:p>
</w:hdr>
</file>

<file path=word/header1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Encabezado"/>
      <w:jc w:val="left"/>
    </w:pPr>
    <w:r>
      <w:t xml:space="preserve">Parte IV · Unidad 4</w:t>
    </w:r>
  </w:p>
</w:hdr>
</file>

<file path=word/header1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Encabezado"/>
      <w:jc w:val="right"/>
    </w:pPr>
    <w:r>
      <w:t xml:space="preserve">4.7 · Hábitos (simulación)</w:t>
    </w:r>
  </w:p>
</w:hdr>
</file>

<file path=word/header1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Normal"/>
    </w:pPr>
    <w:r>
      <w:t xml:space="preserve"/>
    </w:r>
  </w:p>
</w:hdr>
</file>

<file path=word/header1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Encabezado"/>
      <w:jc w:val="left"/>
    </w:pPr>
    <w:r>
      <w:t xml:space="preserve">Parte IV · Unidad 4</w:t>
    </w:r>
  </w:p>
</w:hdr>
</file>

<file path=word/header1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Encabezado"/>
      <w:jc w:val="right"/>
    </w:pPr>
    <w:r>
      <w:t xml:space="preserve">Parte V · Exámenes resueltos</w:t>
    </w:r>
  </w:p>
</w:hdr>
</file>

<file path=word/header1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Normal"/>
    </w:pPr>
    <w:r>
      <w:t xml:space="preserve"/>
    </w:r>
  </w:p>
</w:hdr>
</file>

<file path=word/header1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Encabezado"/>
      <w:jc w:val="left"/>
    </w:pPr>
    <w:r>
      <w:t xml:space="preserve">Parte V · Exámenes resueltos</w:t>
    </w:r>
  </w:p>
</w:hdr>
</file>

<file path=word/header13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Encabezado"/>
      <w:jc w:val="right"/>
    </w:pPr>
    <w:r>
      <w:t xml:space="preserve">Primer parcial reconstruido y resuelto</w:t>
    </w:r>
  </w:p>
</w:hdr>
</file>

<file path=word/header13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Normal"/>
    </w:pPr>
    <w:r>
      <w:t xml:space="preserve"/>
    </w:r>
  </w:p>
</w:hdr>
</file>

<file path=word/header13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Encabezado"/>
      <w:jc w:val="left"/>
    </w:pPr>
    <w:r>
      <w:t xml:space="preserve">Parte V · Exámenes resueltos</w:t>
    </w:r>
  </w:p>
</w:hdr>
</file>

<file path=word/header13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Encabezado"/>
      <w:jc w:val="right"/>
    </w:pPr>
    <w:r>
      <w:t xml:space="preserve">Simulacro del primer parcial</w:t>
    </w:r>
  </w:p>
</w:hdr>
</file>

<file path=word/header13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Normal"/>
    </w:pPr>
    <w:r>
      <w:t xml:space="preserve"/>
    </w:r>
  </w:p>
</w:hdr>
</file>

<file path=word/header13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Encabezado"/>
      <w:jc w:val="left"/>
    </w:pPr>
    <w:r>
      <w:t xml:space="preserve">Parte V · Exámenes resueltos</w:t>
    </w:r>
  </w:p>
</w:hdr>
</file>

<file path=word/header13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Encabezado"/>
      <w:jc w:val="right"/>
    </w:pPr>
    <w:r>
      <w:t xml:space="preserve">Segundo parcial aplicado y complemento</w:t>
    </w:r>
  </w:p>
</w:hdr>
</file>

<file path=word/header14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Normal"/>
    </w:pPr>
    <w:r>
      <w:t xml:space="preserve"/>
    </w:r>
  </w:p>
</w:hdr>
</file>

<file path=word/header14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Encabezado"/>
      <w:jc w:val="left"/>
    </w:pPr>
    <w:r>
      <w:t xml:space="preserve">Parte V · Exámenes resueltos</w:t>
    </w:r>
  </w:p>
</w:hdr>
</file>

<file path=word/header14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Encabezado"/>
      <w:jc w:val="right"/>
    </w:pPr>
    <w:r>
      <w:t xml:space="preserve">Desarrollo del segundo parcial</w:t>
    </w:r>
  </w:p>
</w:hdr>
</file>

<file path=word/header14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Normal"/>
    </w:pPr>
    <w:r>
      <w:t xml:space="preserve"/>
    </w:r>
  </w:p>
</w:hdr>
</file>

<file path=word/header14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Encabezado"/>
      <w:jc w:val="left"/>
    </w:pPr>
    <w:r>
      <w:t xml:space="preserve">Parte V · Exámenes resueltos</w:t>
    </w:r>
  </w:p>
</w:hdr>
</file>

<file path=word/header14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Encabezado"/>
      <w:jc w:val="right"/>
    </w:pPr>
    <w:r>
      <w:t xml:space="preserve">Evaluación de la Unidad 4 y variantes</w:t>
    </w:r>
  </w:p>
</w:hdr>
</file>

<file path=word/header14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Normal"/>
    </w:pPr>
    <w:r>
      <w:t xml:space="preserve"/>
    </w:r>
  </w:p>
</w:hdr>
</file>

<file path=word/header14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Encabezado"/>
      <w:jc w:val="left"/>
    </w:pPr>
    <w:r>
      <w:t xml:space="preserve">Parte V · Exámenes resueltos</w:t>
    </w:r>
  </w:p>
</w:hdr>
</file>

<file path=word/header14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Encabezado"/>
      <w:jc w:val="right"/>
    </w:pPr>
    <w:r>
      <w:t xml:space="preserve">Desarrollo del tercer parcial</w:t>
    </w:r>
  </w:p>
</w:hdr>
</file>

<file path=word/header14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Normal"/>
    </w:pPr>
    <w:r>
      <w:t xml:space="preserve"/>
    </w:r>
  </w:p>
</w:hdr>
</file>

<file path=word/header15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Encabezado"/>
      <w:jc w:val="left"/>
    </w:pPr>
    <w:r>
      <w:t xml:space="preserve">Parte V · Exámenes resueltos</w:t>
    </w:r>
  </w:p>
</w:hdr>
</file>

<file path=word/header15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Encabezado"/>
      <w:jc w:val="right"/>
    </w:pPr>
    <w:r>
      <w:t xml:space="preserve">Casos integradores del final</w:t>
    </w:r>
  </w:p>
</w:hdr>
</file>

<file path=word/header15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Normal"/>
    </w:pPr>
    <w:r>
      <w:t xml:space="preserve"/>
    </w:r>
  </w:p>
</w:hdr>
</file>

<file path=word/header15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Encabezado"/>
      <w:jc w:val="left"/>
    </w:pPr>
    <w:r>
      <w:t xml:space="preserve">Parte V · Exámenes resueltos</w:t>
    </w:r>
  </w:p>
</w:hdr>
</file>

<file path=word/header15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Encabezado"/>
      <w:jc w:val="right"/>
    </w:pPr>
    <w:r>
      <w:t xml:space="preserve">Parte VI · Simuladores</w:t>
    </w:r>
  </w:p>
</w:hdr>
</file>

<file path=word/header15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Normal"/>
    </w:pPr>
    <w:r>
      <w:t xml:space="preserve"/>
    </w:r>
  </w:p>
</w:hdr>
</file>

<file path=word/header15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Encabezado"/>
      <w:jc w:val="left"/>
    </w:pPr>
    <w:r>
      <w:t xml:space="preserve">Parte VI · Simuladores</w:t>
    </w:r>
  </w:p>
</w:hdr>
</file>

<file path=word/header15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Encabezado"/>
      <w:jc w:val="right"/>
    </w:pPr>
    <w:r>
      <w:t xml:space="preserve">Banco completo del primer parcial</w:t>
    </w:r>
  </w:p>
</w:hdr>
</file>

<file path=word/header15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Normal"/>
    </w:pPr>
    <w:r>
      <w:t xml:space="preserve"/>
    </w:r>
  </w:p>
</w:hdr>
</file>

<file path=word/header15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Encabezado"/>
      <w:jc w:val="left"/>
    </w:pPr>
    <w:r>
      <w:t xml:space="preserve">Parte VI · Simuladores</w:t>
    </w:r>
  </w:p>
</w:hdr>
</file>

<file path=word/header16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Encabezado"/>
      <w:jc w:val="right"/>
    </w:pPr>
    <w:r>
      <w:t xml:space="preserve">Banco completo del segundo parcial</w:t>
    </w:r>
  </w:p>
</w:hdr>
</file>

<file path=word/header16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Normal"/>
    </w:pPr>
    <w:r>
      <w:t xml:space="preserve"/>
    </w:r>
  </w:p>
</w:hdr>
</file>

<file path=word/header16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Encabezado"/>
      <w:jc w:val="left"/>
    </w:pPr>
    <w:r>
      <w:t xml:space="preserve">Parte VI · Simuladores</w:t>
    </w:r>
  </w:p>
</w:hdr>
</file>

<file path=word/header16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Encabezado"/>
      <w:jc w:val="right"/>
    </w:pPr>
    <w:r>
      <w:t xml:space="preserve">Banco completo del tercer parcial</w:t>
    </w:r>
  </w:p>
</w:hdr>
</file>

<file path=word/header16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Normal"/>
    </w:pPr>
    <w:r>
      <w:t xml:space="preserve"/>
    </w:r>
  </w:p>
</w:hdr>
</file>

<file path=word/header16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Encabezado"/>
      <w:jc w:val="left"/>
    </w:pPr>
    <w:r>
      <w:t xml:space="preserve">Parte VI · Simuladores</w:t>
    </w:r>
  </w:p>
</w:hdr>
</file>

<file path=word/header16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Encabezado"/>
      <w:jc w:val="right"/>
    </w:pPr>
    <w:r>
      <w:t xml:space="preserve">Apéndices</w:t>
    </w:r>
  </w:p>
</w:hdr>
</file>

<file path=word/header16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Normal"/>
    </w:pPr>
    <w:r>
      <w:t xml:space="preserve"/>
    </w:r>
  </w:p>
</w:hdr>
</file>

<file path=word/header16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Encabezado"/>
      <w:jc w:val="left"/>
    </w:pPr>
    <w:r>
      <w:t xml:space="preserve">Apéndices</w:t>
    </w:r>
  </w:p>
</w:hdr>
</file>

<file path=word/header16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Encabezado"/>
      <w:jc w:val="right"/>
    </w:pPr>
    <w:r>
      <w:t xml:space="preserve">Apéndice A · Señales de examen</w:t>
    </w:r>
  </w:p>
</w:hdr>
</file>

<file path=word/header17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Normal"/>
    </w:pPr>
    <w:r>
      <w:t xml:space="preserve"/>
    </w:r>
  </w:p>
</w:hdr>
</file>

<file path=word/header17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Encabezado"/>
      <w:jc w:val="left"/>
    </w:pPr>
    <w:r>
      <w:t xml:space="preserve">Apéndice A · Señales de examen</w:t>
    </w:r>
  </w:p>
</w:hdr>
</file>

<file path=word/header17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Encabezado"/>
      <w:jc w:val="right"/>
    </w:pPr>
    <w:r>
      <w:t xml:space="preserve">Apéndice B · Vensim</w:t>
    </w:r>
  </w:p>
</w:hdr>
</file>

<file path=word/header17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Normal"/>
    </w:pPr>
    <w:r>
      <w:t xml:space="preserve"/>
    </w:r>
  </w:p>
</w:hdr>
</file>

<file path=word/header17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Encabezado"/>
      <w:jc w:val="left"/>
    </w:pPr>
    <w:r>
      <w:t xml:space="preserve">Apéndice B · Vensim</w:t>
    </w:r>
  </w:p>
</w:hdr>
</file>

<file path=word/header17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Encabezado"/>
      <w:jc w:val="right"/>
    </w:pPr>
    <w:r>
      <w:t xml:space="preserve">Apéndice C · Vocabulario</w:t>
    </w:r>
  </w:p>
</w:hdr>
</file>

<file path=word/header17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Normal"/>
    </w:pPr>
    <w:r>
      <w:t xml:space="preserve"/>
    </w:r>
  </w:p>
</w:hdr>
</file>

<file path=word/header17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Encabezado"/>
      <w:jc w:val="left"/>
    </w:pPr>
    <w:r>
      <w:t xml:space="preserve">Apéndice C · Vocabulario</w:t>
    </w:r>
  </w:p>
</w:hdr>
</file>

<file path=word/header17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Encabezado"/>
      <w:jc w:val="right"/>
    </w:pPr>
    <w:r>
      <w:t xml:space="preserve">Apéndice D · Versiones de presentaciones</w:t>
    </w:r>
  </w:p>
</w:hdr>
</file>

<file path=word/header17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Normal"/>
    </w:pPr>
    <w:r>
      <w:t xml:space="preserve"/>
    </w:r>
  </w:p>
</w:hdr>
</file>

<file path=word/header18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Encabezado"/>
      <w:jc w:val="left"/>
    </w:pPr>
    <w:r>
      <w:t xml:space="preserve">Apéndice D · Versiones de presentaciones</w:t>
    </w:r>
  </w:p>
</w:hdr>
</file>

<file path=word/header18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Encabezado"/>
      <w:jc w:val="right"/>
    </w:pPr>
    <w:r>
      <w:t xml:space="preserve">Apéndice E · Cobertura</w:t>
    </w:r>
  </w:p>
</w:hdr>
</file>

<file path=word/header18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Normal"/>
    </w:pPr>
    <w:r>
      <w:t xml:space="preserve"/>
    </w:r>
  </w:p>
</w:hdr>
</file>

<file path=word/header18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Encabezado"/>
      <w:jc w:val="left"/>
    </w:pPr>
    <w:r>
      <w:t xml:space="preserve">Apéndice E · Cobertura</w:t>
    </w:r>
  </w:p>
</w:hdr>
</file>

<file path=word/header18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Encabezado"/>
      <w:jc w:val="right"/>
    </w:pPr>
    <w:r>
      <w:t xml:space="preserve">Apéndice F · Bibliografía</w:t>
    </w:r>
  </w:p>
</w:hdr>
</file>

<file path=word/header18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Normal"/>
    </w:pPr>
    <w:r>
      <w:t xml:space="preserve"/>
    </w:r>
  </w:p>
</w:hdr>
</file>

<file path=word/header18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Encabezado"/>
      <w:jc w:val="left"/>
    </w:pPr>
    <w:r>
      <w:t xml:space="preserve">Apéndice F · Bibliografía</w:t>
    </w:r>
  </w:p>
</w:hdr>
</file>

<file path=word/header18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Encabezado"/>
      <w:jc w:val="right"/>
    </w:pPr>
    <w:r>
      <w:t xml:space="preserve">Apéndice G · Avisos</w:t>
    </w:r>
  </w:p>
</w:hdr>
</file>

<file path=word/header18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Normal"/>
    </w:pPr>
    <w:r>
      <w:t xml:space="preserve"/>
    </w:r>
  </w:p>
</w:hdr>
</file>

<file path=word/header18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Encabezado"/>
      <w:jc w:val="left"/>
    </w:pPr>
    <w:r>
      <w:t xml:space="preserve">Apéndice G · Avisos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280" w:hanging="18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mbedTrueTypeFonts/>
  <w:mirrorMargins/>
  <w:autoHyphenation/>
  <w:consecutiveHyphenLimit w:val="2"/>
  <w:doNotHyphenateCaps/>
  <w:evenAndOddHeaders/>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Source Serif 4" w:cs="Source Serif 4" w:eastAsia="Source Serif 4" w:hAnsi="Source Serif 4"/>
        <w:color w:val="222A30"/>
        <w:sz w:val="21"/>
        <w:szCs w:val="21"/>
        <w:lang w:val="es-GT"/>
      </w:rPr>
    </w:rPrDefault>
    <w:pPrDefault>
      <w:pPr>
        <w:spacing w:after="100" w:line="288"/>
        <w:jc w:val="both"/>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240" w:before="420"/>
      <w:outlineLvl w:val="0"/>
    </w:pPr>
    <w:rPr>
      <w:rFonts w:ascii="Source Sans 3" w:cs="Source Sans 3" w:eastAsia="Source Sans 3" w:hAnsi="Source Sans 3"/>
      <w:b/>
      <w:bCs/>
      <w:color w:val="16384D"/>
      <w:sz w:val="36"/>
      <w:szCs w:val="36"/>
    </w:rPr>
  </w:style>
  <w:style w:type="paragraph" w:styleId="Heading2">
    <w:name w:val="heading 2"/>
    <w:basedOn w:val="Normal"/>
    <w:next w:val="Normal"/>
    <w:qFormat/>
    <w:pPr>
      <w:keepNext/>
      <w:spacing w:after="180" w:before="300"/>
      <w:outlineLvl w:val="1"/>
    </w:pPr>
    <w:rPr>
      <w:rFonts w:ascii="Source Sans 3" w:cs="Source Sans 3" w:eastAsia="Source Sans 3" w:hAnsi="Source Sans 3"/>
      <w:b/>
      <w:bCs/>
      <w:color w:val="16384D"/>
      <w:sz w:val="30"/>
      <w:szCs w:val="30"/>
    </w:rPr>
  </w:style>
  <w:style w:type="paragraph" w:styleId="Heading3">
    <w:name w:val="heading 3"/>
    <w:basedOn w:val="Normal"/>
    <w:next w:val="Normal"/>
    <w:qFormat/>
    <w:pPr>
      <w:keepNext/>
      <w:spacing w:after="100" w:before="220"/>
      <w:outlineLvl w:val="2"/>
    </w:pPr>
    <w:rPr>
      <w:rFonts w:ascii="Source Sans 3" w:cs="Source Sans 3" w:eastAsia="Source Sans 3" w:hAnsi="Source Sans 3"/>
      <w:b/>
      <w:bCs/>
      <w:color w:val="16384D"/>
      <w:sz w:val="24"/>
      <w:szCs w:val="24"/>
    </w:rPr>
  </w:style>
  <w:style w:type="paragraph" w:styleId="Fuente">
    <w:name w:val="Fuente"/>
    <w:basedOn w:val="Normal"/>
    <w:pPr>
      <w:widowControl/>
      <w:spacing w:after="120" w:line="260"/>
      <w:jc w:val="left"/>
    </w:pPr>
    <w:rPr>
      <w:rFonts w:ascii="Source Sans 3" w:cs="Source Sans 3" w:eastAsia="Source Sans 3" w:hAnsi="Source Sans 3"/>
      <w:b w:val="false"/>
      <w:bCs w:val="false"/>
      <w:color w:val="66727A"/>
      <w:sz w:val="17"/>
      <w:szCs w:val="17"/>
    </w:rPr>
  </w:style>
  <w:style w:type="paragraph" w:styleId="PieFigura">
    <w:name w:val="PieFigura"/>
    <w:basedOn w:val="Normal"/>
    <w:pPr>
      <w:widowControl/>
      <w:spacing w:after="80" w:line="260"/>
      <w:jc w:val="both"/>
    </w:pPr>
    <w:rPr>
      <w:rFonts w:ascii="Source Sans 3" w:cs="Source Sans 3" w:eastAsia="Source Sans 3" w:hAnsi="Source Sans 3"/>
      <w:b w:val="false"/>
      <w:bCs w:val="false"/>
      <w:color w:val="16384D"/>
      <w:sz w:val="18"/>
      <w:szCs w:val="18"/>
    </w:rPr>
  </w:style>
  <w:style w:type="paragraph" w:styleId="LecturaFigura">
    <w:name w:val="LecturaFigura"/>
    <w:basedOn w:val="Normal"/>
    <w:pPr>
      <w:widowControl/>
      <w:spacing w:after="80" w:line="260"/>
      <w:jc w:val="left"/>
    </w:pPr>
    <w:rPr>
      <w:rFonts w:ascii="Source Sans 3" w:cs="Source Sans 3" w:eastAsia="Source Sans 3" w:hAnsi="Source Sans 3"/>
      <w:b w:val="false"/>
      <w:bCs w:val="false"/>
      <w:color w:val="222A30"/>
      <w:sz w:val="17"/>
      <w:szCs w:val="17"/>
    </w:rPr>
  </w:style>
  <w:style w:type="paragraph" w:styleId="Tabla">
    <w:name w:val="Tabla"/>
    <w:basedOn w:val="Normal"/>
    <w:pPr>
      <w:widowControl/>
      <w:spacing w:after="80" w:line="260"/>
      <w:jc w:val="both"/>
    </w:pPr>
    <w:rPr>
      <w:rFonts w:ascii="Source Sans 3" w:cs="Source Sans 3" w:eastAsia="Source Sans 3" w:hAnsi="Source Sans 3"/>
      <w:b w:val="false"/>
      <w:bCs w:val="false"/>
      <w:color w:val="222A30"/>
      <w:sz w:val="18"/>
      <w:szCs w:val="18"/>
    </w:rPr>
  </w:style>
  <w:style w:type="paragraph" w:styleId="Recuadro">
    <w:name w:val="Recuadro"/>
    <w:basedOn w:val="Normal"/>
    <w:pPr>
      <w:widowControl/>
      <w:spacing w:after="80" w:line="260"/>
      <w:jc w:val="both"/>
    </w:pPr>
    <w:rPr>
      <w:rFonts w:ascii="Source Serif 4" w:cs="Source Serif 4" w:eastAsia="Source Serif 4" w:hAnsi="Source Serif 4"/>
      <w:b w:val="false"/>
      <w:bCs w:val="false"/>
      <w:color w:val="222A30"/>
      <w:sz w:val="20"/>
      <w:szCs w:val="20"/>
    </w:rPr>
  </w:style>
  <w:style w:type="paragraph" w:styleId="RecuadroTitulo">
    <w:name w:val="RecuadroTitulo"/>
    <w:basedOn w:val="Normal"/>
    <w:pPr>
      <w:widowControl/>
      <w:spacing w:after="80" w:line="260"/>
      <w:jc w:val="both"/>
    </w:pPr>
    <w:rPr>
      <w:rFonts w:ascii="Source Sans 3" w:cs="Source Sans 3" w:eastAsia="Source Sans 3" w:hAnsi="Source Sans 3"/>
      <w:b w:val="false"/>
      <w:bCs w:val="false"/>
      <w:color w:val="156B70"/>
      <w:sz w:val="18"/>
      <w:szCs w:val="18"/>
    </w:rPr>
  </w:style>
  <w:style w:type="paragraph" w:styleId="Encabezado">
    <w:name w:val="Encabezado"/>
    <w:basedOn w:val="Normal"/>
    <w:pPr>
      <w:widowControl/>
      <w:spacing w:after="80" w:line="260"/>
      <w:jc w:val="both"/>
    </w:pPr>
    <w:rPr>
      <w:rFonts w:ascii="Source Sans 3" w:cs="Source Sans 3" w:eastAsia="Source Sans 3" w:hAnsi="Source Sans 3"/>
      <w:b w:val="false"/>
      <w:bCs w:val="false"/>
      <w:color w:val="66727A"/>
      <w:sz w:val="16"/>
      <w:szCs w:val="16"/>
    </w:rPr>
  </w:style>
  <w:style w:type="paragraph" w:styleId="Codigo">
    <w:name w:val="Codigo"/>
    <w:basedOn w:val="Normal"/>
    <w:pPr>
      <w:widowControl/>
      <w:spacing w:after="80" w:line="260"/>
      <w:jc w:val="left"/>
    </w:pPr>
    <w:rPr>
      <w:rFonts w:ascii="Source Code Pro" w:cs="Source Code Pro" w:eastAsia="Source Code Pro" w:hAnsi="Source Code Pro"/>
      <w:b w:val="false"/>
      <w:bCs w:val="false"/>
      <w:color w:val="222A30"/>
      <w:sz w:val="18"/>
      <w:szCs w:val="18"/>
    </w:rPr>
  </w:style>
  <w:style w:type="paragraph" w:styleId="Subtitulo">
    <w:name w:val="Subtitulo"/>
    <w:basedOn w:val="Normal"/>
    <w:pPr>
      <w:widowControl/>
      <w:spacing w:after="80" w:line="260"/>
      <w:jc w:val="both"/>
    </w:pPr>
    <w:rPr>
      <w:rFonts w:ascii="Source Sans 3" w:cs="Source Sans 3" w:eastAsia="Source Sans 3" w:hAnsi="Source Sans 3"/>
      <w:b w:val="false"/>
      <w:bCs w:val="false"/>
      <w:color w:val="66727A"/>
      <w:sz w:val="24"/>
      <w:szCs w:val="24"/>
    </w:rPr>
  </w:style>
  <w:style w:type="paragraph" w:styleId="Portada">
    <w:name w:val="Portada"/>
    <w:basedOn w:val="Normal"/>
    <w:pPr>
      <w:widowControl/>
      <w:spacing w:after="80" w:line="260"/>
      <w:jc w:val="both"/>
    </w:pPr>
    <w:rPr>
      <w:rFonts w:ascii="Source Sans 3" w:cs="Source Sans 3" w:eastAsia="Source Sans 3" w:hAnsi="Source Sans 3"/>
      <w:b/>
      <w:bCs/>
      <w:color w:val="16384D"/>
      <w:sz w:val="64"/>
      <w:szCs w:val="64"/>
    </w:rPr>
  </w:style>
  <w:style w:type="paragraph" w:styleId="SobreTitulo">
    <w:name w:val="SobreTitulo"/>
    <w:basedOn w:val="Normal"/>
    <w:pPr>
      <w:widowControl/>
      <w:spacing w:after="80" w:line="260"/>
      <w:jc w:val="both"/>
    </w:pPr>
    <w:rPr>
      <w:rFonts w:ascii="Source Sans 3" w:cs="Source Sans 3" w:eastAsia="Source Sans 3" w:hAnsi="Source Sans 3"/>
      <w:b/>
      <w:bCs/>
      <w:color w:val="156B70"/>
      <w:sz w:val="20"/>
      <w:szCs w:val="20"/>
    </w:rPr>
  </w:style>
  <w:style w:type="paragraph" w:styleId="TOC1">
    <w:name w:val="TOC 1"/>
    <w:basedOn w:val="Normal"/>
    <w:pPr>
      <w:spacing w:after="50" w:line="240"/>
    </w:pPr>
    <w:rPr>
      <w:rFonts w:ascii="Source Sans 3" w:cs="Source Sans 3" w:eastAsia="Source Sans 3" w:hAnsi="Source Sans 3"/>
      <w:sz w:val="20"/>
      <w:szCs w:val="20"/>
    </w:rPr>
  </w:style>
  <w:style w:type="paragraph" w:styleId="TOC2">
    <w:name w:val="TOC 2"/>
    <w:basedOn w:val="Normal"/>
    <w:pPr>
      <w:spacing w:after="40" w:line="240"/>
      <w:ind w:left="250"/>
    </w:pPr>
    <w:rPr>
      <w:rFonts w:ascii="Source Sans 3" w:cs="Source Sans 3" w:eastAsia="Source Sans 3" w:hAnsi="Source Sans 3"/>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header" Target="header3.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footer" Target="footer3.xml"/><Relationship Id="rId12" Type="http://schemas.openxmlformats.org/officeDocument/2006/relationships/header" Target="header4.xml"/><Relationship Id="rId13" Type="http://schemas.openxmlformats.org/officeDocument/2006/relationships/header" Target="header5.xml"/><Relationship Id="rId14" Type="http://schemas.openxmlformats.org/officeDocument/2006/relationships/header" Target="header6.xml"/><Relationship Id="rId15" Type="http://schemas.openxmlformats.org/officeDocument/2006/relationships/footer" Target="footer4.xml"/><Relationship Id="rId16" Type="http://schemas.openxmlformats.org/officeDocument/2006/relationships/footer" Target="footer5.xml"/><Relationship Id="rId17" Type="http://schemas.openxmlformats.org/officeDocument/2006/relationships/footer" Target="footer6.xml"/><Relationship Id="rId18" Type="http://schemas.openxmlformats.org/officeDocument/2006/relationships/header" Target="header7.xml"/><Relationship Id="rId19" Type="http://schemas.openxmlformats.org/officeDocument/2006/relationships/header" Target="header8.xml"/><Relationship Id="rId20" Type="http://schemas.openxmlformats.org/officeDocument/2006/relationships/header" Target="header9.xml"/><Relationship Id="rId21" Type="http://schemas.openxmlformats.org/officeDocument/2006/relationships/footer" Target="footer7.xml"/><Relationship Id="rId22" Type="http://schemas.openxmlformats.org/officeDocument/2006/relationships/footer" Target="footer8.xml"/><Relationship Id="rId23" Type="http://schemas.openxmlformats.org/officeDocument/2006/relationships/footer" Target="footer9.xml"/><Relationship Id="rId24" Type="http://schemas.openxmlformats.org/officeDocument/2006/relationships/header" Target="header10.xml"/><Relationship Id="rId25" Type="http://schemas.openxmlformats.org/officeDocument/2006/relationships/header" Target="header11.xml"/><Relationship Id="rId26" Type="http://schemas.openxmlformats.org/officeDocument/2006/relationships/header" Target="header12.xml"/><Relationship Id="rId27" Type="http://schemas.openxmlformats.org/officeDocument/2006/relationships/footer" Target="footer10.xml"/><Relationship Id="rId28" Type="http://schemas.openxmlformats.org/officeDocument/2006/relationships/footer" Target="footer11.xml"/><Relationship Id="rId29" Type="http://schemas.openxmlformats.org/officeDocument/2006/relationships/footer" Target="footer12.xml"/><Relationship Id="rId30" Type="http://schemas.openxmlformats.org/officeDocument/2006/relationships/header" Target="header13.xml"/><Relationship Id="rId31" Type="http://schemas.openxmlformats.org/officeDocument/2006/relationships/header" Target="header14.xml"/><Relationship Id="rId32" Type="http://schemas.openxmlformats.org/officeDocument/2006/relationships/header" Target="header15.xml"/><Relationship Id="rId33" Type="http://schemas.openxmlformats.org/officeDocument/2006/relationships/footer" Target="footer13.xml"/><Relationship Id="rId34" Type="http://schemas.openxmlformats.org/officeDocument/2006/relationships/footer" Target="footer14.xml"/><Relationship Id="rId35" Type="http://schemas.openxmlformats.org/officeDocument/2006/relationships/footer" Target="footer15.xml"/><Relationship Id="rId36" Type="http://schemas.openxmlformats.org/officeDocument/2006/relationships/header" Target="header16.xml"/><Relationship Id="rId37" Type="http://schemas.openxmlformats.org/officeDocument/2006/relationships/header" Target="header17.xml"/><Relationship Id="rId38" Type="http://schemas.openxmlformats.org/officeDocument/2006/relationships/header" Target="header18.xml"/><Relationship Id="rId39" Type="http://schemas.openxmlformats.org/officeDocument/2006/relationships/footer" Target="footer16.xml"/><Relationship Id="rId40" Type="http://schemas.openxmlformats.org/officeDocument/2006/relationships/footer" Target="footer17.xml"/><Relationship Id="rId41" Type="http://schemas.openxmlformats.org/officeDocument/2006/relationships/footer" Target="footer18.xml"/><Relationship Id="rId42" Type="http://schemas.openxmlformats.org/officeDocument/2006/relationships/header" Target="header19.xml"/><Relationship Id="rId43" Type="http://schemas.openxmlformats.org/officeDocument/2006/relationships/header" Target="header20.xml"/><Relationship Id="rId44" Type="http://schemas.openxmlformats.org/officeDocument/2006/relationships/header" Target="header21.xml"/><Relationship Id="rId45" Type="http://schemas.openxmlformats.org/officeDocument/2006/relationships/footer" Target="footer19.xml"/><Relationship Id="rId46" Type="http://schemas.openxmlformats.org/officeDocument/2006/relationships/footer" Target="footer20.xml"/><Relationship Id="rId47" Type="http://schemas.openxmlformats.org/officeDocument/2006/relationships/footer" Target="footer21.xml"/><Relationship Id="rId48" Type="http://schemas.openxmlformats.org/officeDocument/2006/relationships/header" Target="header22.xml"/><Relationship Id="rId49" Type="http://schemas.openxmlformats.org/officeDocument/2006/relationships/header" Target="header23.xml"/><Relationship Id="rId50" Type="http://schemas.openxmlformats.org/officeDocument/2006/relationships/header" Target="header24.xml"/><Relationship Id="rId51" Type="http://schemas.openxmlformats.org/officeDocument/2006/relationships/footer" Target="footer22.xml"/><Relationship Id="rId52" Type="http://schemas.openxmlformats.org/officeDocument/2006/relationships/footer" Target="footer23.xml"/><Relationship Id="rId53" Type="http://schemas.openxmlformats.org/officeDocument/2006/relationships/footer" Target="footer24.xml"/><Relationship Id="rId54" Type="http://schemas.openxmlformats.org/officeDocument/2006/relationships/header" Target="header25.xml"/><Relationship Id="rId55" Type="http://schemas.openxmlformats.org/officeDocument/2006/relationships/header" Target="header26.xml"/><Relationship Id="rId56" Type="http://schemas.openxmlformats.org/officeDocument/2006/relationships/header" Target="header27.xml"/><Relationship Id="rId57" Type="http://schemas.openxmlformats.org/officeDocument/2006/relationships/footer" Target="footer25.xml"/><Relationship Id="rId58" Type="http://schemas.openxmlformats.org/officeDocument/2006/relationships/footer" Target="footer26.xml"/><Relationship Id="rId59" Type="http://schemas.openxmlformats.org/officeDocument/2006/relationships/footer" Target="footer27.xml"/><Relationship Id="rId60" Type="http://schemas.openxmlformats.org/officeDocument/2006/relationships/header" Target="header28.xml"/><Relationship Id="rId61" Type="http://schemas.openxmlformats.org/officeDocument/2006/relationships/header" Target="header29.xml"/><Relationship Id="rId62" Type="http://schemas.openxmlformats.org/officeDocument/2006/relationships/header" Target="header30.xml"/><Relationship Id="rId63" Type="http://schemas.openxmlformats.org/officeDocument/2006/relationships/footer" Target="footer28.xml"/><Relationship Id="rId64" Type="http://schemas.openxmlformats.org/officeDocument/2006/relationships/footer" Target="footer29.xml"/><Relationship Id="rId65" Type="http://schemas.openxmlformats.org/officeDocument/2006/relationships/footer" Target="footer30.xml"/><Relationship Id="rId66" Type="http://schemas.openxmlformats.org/officeDocument/2006/relationships/header" Target="header31.xml"/><Relationship Id="rId67" Type="http://schemas.openxmlformats.org/officeDocument/2006/relationships/header" Target="header32.xml"/><Relationship Id="rId68" Type="http://schemas.openxmlformats.org/officeDocument/2006/relationships/header" Target="header33.xml"/><Relationship Id="rId69" Type="http://schemas.openxmlformats.org/officeDocument/2006/relationships/footer" Target="footer31.xml"/><Relationship Id="rId70" Type="http://schemas.openxmlformats.org/officeDocument/2006/relationships/footer" Target="footer32.xml"/><Relationship Id="rId71" Type="http://schemas.openxmlformats.org/officeDocument/2006/relationships/footer" Target="footer33.xml"/><Relationship Id="rId72" Type="http://schemas.openxmlformats.org/officeDocument/2006/relationships/header" Target="header34.xml"/><Relationship Id="rId73" Type="http://schemas.openxmlformats.org/officeDocument/2006/relationships/header" Target="header35.xml"/><Relationship Id="rId74" Type="http://schemas.openxmlformats.org/officeDocument/2006/relationships/header" Target="header36.xml"/><Relationship Id="rId75" Type="http://schemas.openxmlformats.org/officeDocument/2006/relationships/footer" Target="footer34.xml"/><Relationship Id="rId76" Type="http://schemas.openxmlformats.org/officeDocument/2006/relationships/footer" Target="footer35.xml"/><Relationship Id="rId77" Type="http://schemas.openxmlformats.org/officeDocument/2006/relationships/footer" Target="footer36.xml"/><Relationship Id="rId78" Type="http://schemas.openxmlformats.org/officeDocument/2006/relationships/header" Target="header37.xml"/><Relationship Id="rId79" Type="http://schemas.openxmlformats.org/officeDocument/2006/relationships/header" Target="header38.xml"/><Relationship Id="rId80" Type="http://schemas.openxmlformats.org/officeDocument/2006/relationships/header" Target="header39.xml"/><Relationship Id="rId81" Type="http://schemas.openxmlformats.org/officeDocument/2006/relationships/footer" Target="footer37.xml"/><Relationship Id="rId82" Type="http://schemas.openxmlformats.org/officeDocument/2006/relationships/footer" Target="footer38.xml"/><Relationship Id="rId83" Type="http://schemas.openxmlformats.org/officeDocument/2006/relationships/footer" Target="footer39.xml"/><Relationship Id="rId84" Type="http://schemas.openxmlformats.org/officeDocument/2006/relationships/header" Target="header40.xml"/><Relationship Id="rId85" Type="http://schemas.openxmlformats.org/officeDocument/2006/relationships/header" Target="header41.xml"/><Relationship Id="rId86" Type="http://schemas.openxmlformats.org/officeDocument/2006/relationships/header" Target="header42.xml"/><Relationship Id="rId87" Type="http://schemas.openxmlformats.org/officeDocument/2006/relationships/footer" Target="footer40.xml"/><Relationship Id="rId88" Type="http://schemas.openxmlformats.org/officeDocument/2006/relationships/footer" Target="footer41.xml"/><Relationship Id="rId89" Type="http://schemas.openxmlformats.org/officeDocument/2006/relationships/footer" Target="footer42.xml"/><Relationship Id="rId90" Type="http://schemas.openxmlformats.org/officeDocument/2006/relationships/header" Target="header43.xml"/><Relationship Id="rId91" Type="http://schemas.openxmlformats.org/officeDocument/2006/relationships/header" Target="header44.xml"/><Relationship Id="rId92" Type="http://schemas.openxmlformats.org/officeDocument/2006/relationships/header" Target="header45.xml"/><Relationship Id="rId93" Type="http://schemas.openxmlformats.org/officeDocument/2006/relationships/footer" Target="footer43.xml"/><Relationship Id="rId94" Type="http://schemas.openxmlformats.org/officeDocument/2006/relationships/footer" Target="footer44.xml"/><Relationship Id="rId95" Type="http://schemas.openxmlformats.org/officeDocument/2006/relationships/footer" Target="footer45.xml"/><Relationship Id="rId96" Type="http://schemas.openxmlformats.org/officeDocument/2006/relationships/header" Target="header46.xml"/><Relationship Id="rId97" Type="http://schemas.openxmlformats.org/officeDocument/2006/relationships/header" Target="header47.xml"/><Relationship Id="rId98" Type="http://schemas.openxmlformats.org/officeDocument/2006/relationships/header" Target="header48.xml"/><Relationship Id="rId99" Type="http://schemas.openxmlformats.org/officeDocument/2006/relationships/footer" Target="footer46.xml"/><Relationship Id="rId100" Type="http://schemas.openxmlformats.org/officeDocument/2006/relationships/footer" Target="footer47.xml"/><Relationship Id="rId101" Type="http://schemas.openxmlformats.org/officeDocument/2006/relationships/footer" Target="footer48.xml"/><Relationship Id="rId102" Type="http://schemas.openxmlformats.org/officeDocument/2006/relationships/header" Target="header49.xml"/><Relationship Id="rId103" Type="http://schemas.openxmlformats.org/officeDocument/2006/relationships/header" Target="header50.xml"/><Relationship Id="rId104" Type="http://schemas.openxmlformats.org/officeDocument/2006/relationships/header" Target="header51.xml"/><Relationship Id="rId105" Type="http://schemas.openxmlformats.org/officeDocument/2006/relationships/footer" Target="footer49.xml"/><Relationship Id="rId106" Type="http://schemas.openxmlformats.org/officeDocument/2006/relationships/footer" Target="footer50.xml"/><Relationship Id="rId107" Type="http://schemas.openxmlformats.org/officeDocument/2006/relationships/footer" Target="footer51.xml"/><Relationship Id="rId108" Type="http://schemas.openxmlformats.org/officeDocument/2006/relationships/header" Target="header52.xml"/><Relationship Id="rId109" Type="http://schemas.openxmlformats.org/officeDocument/2006/relationships/header" Target="header53.xml"/><Relationship Id="rId110" Type="http://schemas.openxmlformats.org/officeDocument/2006/relationships/header" Target="header54.xml"/><Relationship Id="rId111" Type="http://schemas.openxmlformats.org/officeDocument/2006/relationships/footer" Target="footer52.xml"/><Relationship Id="rId112" Type="http://schemas.openxmlformats.org/officeDocument/2006/relationships/footer" Target="footer53.xml"/><Relationship Id="rId113" Type="http://schemas.openxmlformats.org/officeDocument/2006/relationships/footer" Target="footer54.xml"/><Relationship Id="rId114" Type="http://schemas.openxmlformats.org/officeDocument/2006/relationships/header" Target="header55.xml"/><Relationship Id="rId115" Type="http://schemas.openxmlformats.org/officeDocument/2006/relationships/header" Target="header56.xml"/><Relationship Id="rId116" Type="http://schemas.openxmlformats.org/officeDocument/2006/relationships/header" Target="header57.xml"/><Relationship Id="rId117" Type="http://schemas.openxmlformats.org/officeDocument/2006/relationships/footer" Target="footer55.xml"/><Relationship Id="rId118" Type="http://schemas.openxmlformats.org/officeDocument/2006/relationships/footer" Target="footer56.xml"/><Relationship Id="rId119" Type="http://schemas.openxmlformats.org/officeDocument/2006/relationships/footer" Target="footer57.xml"/><Relationship Id="rId120" Type="http://schemas.openxmlformats.org/officeDocument/2006/relationships/header" Target="header58.xml"/><Relationship Id="rId121" Type="http://schemas.openxmlformats.org/officeDocument/2006/relationships/header" Target="header59.xml"/><Relationship Id="rId122" Type="http://schemas.openxmlformats.org/officeDocument/2006/relationships/header" Target="header60.xml"/><Relationship Id="rId123" Type="http://schemas.openxmlformats.org/officeDocument/2006/relationships/footer" Target="footer58.xml"/><Relationship Id="rId124" Type="http://schemas.openxmlformats.org/officeDocument/2006/relationships/footer" Target="footer59.xml"/><Relationship Id="rId125" Type="http://schemas.openxmlformats.org/officeDocument/2006/relationships/footer" Target="footer60.xml"/><Relationship Id="rId126" Type="http://schemas.openxmlformats.org/officeDocument/2006/relationships/header" Target="header61.xml"/><Relationship Id="rId127" Type="http://schemas.openxmlformats.org/officeDocument/2006/relationships/header" Target="header62.xml"/><Relationship Id="rId128" Type="http://schemas.openxmlformats.org/officeDocument/2006/relationships/header" Target="header63.xml"/><Relationship Id="rId129" Type="http://schemas.openxmlformats.org/officeDocument/2006/relationships/footer" Target="footer61.xml"/><Relationship Id="rId130" Type="http://schemas.openxmlformats.org/officeDocument/2006/relationships/footer" Target="footer62.xml"/><Relationship Id="rId131" Type="http://schemas.openxmlformats.org/officeDocument/2006/relationships/footer" Target="footer63.xml"/><Relationship Id="rId132" Type="http://schemas.openxmlformats.org/officeDocument/2006/relationships/header" Target="header64.xml"/><Relationship Id="rId133" Type="http://schemas.openxmlformats.org/officeDocument/2006/relationships/header" Target="header65.xml"/><Relationship Id="rId134" Type="http://schemas.openxmlformats.org/officeDocument/2006/relationships/header" Target="header66.xml"/><Relationship Id="rId135" Type="http://schemas.openxmlformats.org/officeDocument/2006/relationships/footer" Target="footer64.xml"/><Relationship Id="rId136" Type="http://schemas.openxmlformats.org/officeDocument/2006/relationships/footer" Target="footer65.xml"/><Relationship Id="rId137" Type="http://schemas.openxmlformats.org/officeDocument/2006/relationships/footer" Target="footer66.xml"/><Relationship Id="rId138" Type="http://schemas.openxmlformats.org/officeDocument/2006/relationships/header" Target="header67.xml"/><Relationship Id="rId139" Type="http://schemas.openxmlformats.org/officeDocument/2006/relationships/header" Target="header68.xml"/><Relationship Id="rId140" Type="http://schemas.openxmlformats.org/officeDocument/2006/relationships/header" Target="header69.xml"/><Relationship Id="rId141" Type="http://schemas.openxmlformats.org/officeDocument/2006/relationships/footer" Target="footer67.xml"/><Relationship Id="rId142" Type="http://schemas.openxmlformats.org/officeDocument/2006/relationships/footer" Target="footer68.xml"/><Relationship Id="rId143" Type="http://schemas.openxmlformats.org/officeDocument/2006/relationships/footer" Target="footer69.xml"/><Relationship Id="rId144" Type="http://schemas.openxmlformats.org/officeDocument/2006/relationships/header" Target="header70.xml"/><Relationship Id="rId145" Type="http://schemas.openxmlformats.org/officeDocument/2006/relationships/header" Target="header71.xml"/><Relationship Id="rId146" Type="http://schemas.openxmlformats.org/officeDocument/2006/relationships/header" Target="header72.xml"/><Relationship Id="rId147" Type="http://schemas.openxmlformats.org/officeDocument/2006/relationships/footer" Target="footer70.xml"/><Relationship Id="rId148" Type="http://schemas.openxmlformats.org/officeDocument/2006/relationships/footer" Target="footer71.xml"/><Relationship Id="rId149" Type="http://schemas.openxmlformats.org/officeDocument/2006/relationships/footer" Target="footer72.xml"/><Relationship Id="rId150" Type="http://schemas.openxmlformats.org/officeDocument/2006/relationships/header" Target="header73.xml"/><Relationship Id="rId151" Type="http://schemas.openxmlformats.org/officeDocument/2006/relationships/header" Target="header74.xml"/><Relationship Id="rId152" Type="http://schemas.openxmlformats.org/officeDocument/2006/relationships/header" Target="header75.xml"/><Relationship Id="rId153" Type="http://schemas.openxmlformats.org/officeDocument/2006/relationships/footer" Target="footer73.xml"/><Relationship Id="rId154" Type="http://schemas.openxmlformats.org/officeDocument/2006/relationships/footer" Target="footer74.xml"/><Relationship Id="rId155" Type="http://schemas.openxmlformats.org/officeDocument/2006/relationships/footer" Target="footer75.xml"/><Relationship Id="rId156" Type="http://schemas.openxmlformats.org/officeDocument/2006/relationships/header" Target="header76.xml"/><Relationship Id="rId157" Type="http://schemas.openxmlformats.org/officeDocument/2006/relationships/header" Target="header77.xml"/><Relationship Id="rId158" Type="http://schemas.openxmlformats.org/officeDocument/2006/relationships/header" Target="header78.xml"/><Relationship Id="rId159" Type="http://schemas.openxmlformats.org/officeDocument/2006/relationships/footer" Target="footer76.xml"/><Relationship Id="rId160" Type="http://schemas.openxmlformats.org/officeDocument/2006/relationships/footer" Target="footer77.xml"/><Relationship Id="rId161" Type="http://schemas.openxmlformats.org/officeDocument/2006/relationships/footer" Target="footer78.xml"/><Relationship Id="rId162" Type="http://schemas.openxmlformats.org/officeDocument/2006/relationships/header" Target="header79.xml"/><Relationship Id="rId163" Type="http://schemas.openxmlformats.org/officeDocument/2006/relationships/header" Target="header80.xml"/><Relationship Id="rId164" Type="http://schemas.openxmlformats.org/officeDocument/2006/relationships/header" Target="header81.xml"/><Relationship Id="rId165" Type="http://schemas.openxmlformats.org/officeDocument/2006/relationships/footer" Target="footer79.xml"/><Relationship Id="rId166" Type="http://schemas.openxmlformats.org/officeDocument/2006/relationships/footer" Target="footer80.xml"/><Relationship Id="rId167" Type="http://schemas.openxmlformats.org/officeDocument/2006/relationships/footer" Target="footer81.xml"/><Relationship Id="rId168" Type="http://schemas.openxmlformats.org/officeDocument/2006/relationships/header" Target="header82.xml"/><Relationship Id="rId169" Type="http://schemas.openxmlformats.org/officeDocument/2006/relationships/header" Target="header83.xml"/><Relationship Id="rId170" Type="http://schemas.openxmlformats.org/officeDocument/2006/relationships/header" Target="header84.xml"/><Relationship Id="rId171" Type="http://schemas.openxmlformats.org/officeDocument/2006/relationships/footer" Target="footer82.xml"/><Relationship Id="rId172" Type="http://schemas.openxmlformats.org/officeDocument/2006/relationships/footer" Target="footer83.xml"/><Relationship Id="rId173" Type="http://schemas.openxmlformats.org/officeDocument/2006/relationships/footer" Target="footer84.xml"/><Relationship Id="rId174" Type="http://schemas.openxmlformats.org/officeDocument/2006/relationships/header" Target="header85.xml"/><Relationship Id="rId175" Type="http://schemas.openxmlformats.org/officeDocument/2006/relationships/header" Target="header86.xml"/><Relationship Id="rId176" Type="http://schemas.openxmlformats.org/officeDocument/2006/relationships/header" Target="header87.xml"/><Relationship Id="rId177" Type="http://schemas.openxmlformats.org/officeDocument/2006/relationships/footer" Target="footer85.xml"/><Relationship Id="rId178" Type="http://schemas.openxmlformats.org/officeDocument/2006/relationships/footer" Target="footer86.xml"/><Relationship Id="rId179" Type="http://schemas.openxmlformats.org/officeDocument/2006/relationships/footer" Target="footer87.xml"/><Relationship Id="rId180" Type="http://schemas.openxmlformats.org/officeDocument/2006/relationships/header" Target="header88.xml"/><Relationship Id="rId181" Type="http://schemas.openxmlformats.org/officeDocument/2006/relationships/header" Target="header89.xml"/><Relationship Id="rId182" Type="http://schemas.openxmlformats.org/officeDocument/2006/relationships/header" Target="header90.xml"/><Relationship Id="rId183" Type="http://schemas.openxmlformats.org/officeDocument/2006/relationships/footer" Target="footer88.xml"/><Relationship Id="rId184" Type="http://schemas.openxmlformats.org/officeDocument/2006/relationships/footer" Target="footer89.xml"/><Relationship Id="rId185" Type="http://schemas.openxmlformats.org/officeDocument/2006/relationships/footer" Target="footer90.xml"/><Relationship Id="rId186" Type="http://schemas.openxmlformats.org/officeDocument/2006/relationships/header" Target="header91.xml"/><Relationship Id="rId187" Type="http://schemas.openxmlformats.org/officeDocument/2006/relationships/header" Target="header92.xml"/><Relationship Id="rId188" Type="http://schemas.openxmlformats.org/officeDocument/2006/relationships/header" Target="header93.xml"/><Relationship Id="rId189" Type="http://schemas.openxmlformats.org/officeDocument/2006/relationships/footer" Target="footer91.xml"/><Relationship Id="rId190" Type="http://schemas.openxmlformats.org/officeDocument/2006/relationships/footer" Target="footer92.xml"/><Relationship Id="rId191" Type="http://schemas.openxmlformats.org/officeDocument/2006/relationships/footer" Target="footer93.xml"/><Relationship Id="rId192" Type="http://schemas.openxmlformats.org/officeDocument/2006/relationships/header" Target="header94.xml"/><Relationship Id="rId193" Type="http://schemas.openxmlformats.org/officeDocument/2006/relationships/header" Target="header95.xml"/><Relationship Id="rId194" Type="http://schemas.openxmlformats.org/officeDocument/2006/relationships/header" Target="header96.xml"/><Relationship Id="rId195" Type="http://schemas.openxmlformats.org/officeDocument/2006/relationships/footer" Target="footer94.xml"/><Relationship Id="rId196" Type="http://schemas.openxmlformats.org/officeDocument/2006/relationships/footer" Target="footer95.xml"/><Relationship Id="rId197" Type="http://schemas.openxmlformats.org/officeDocument/2006/relationships/footer" Target="footer96.xml"/><Relationship Id="rId198" Type="http://schemas.openxmlformats.org/officeDocument/2006/relationships/header" Target="header97.xml"/><Relationship Id="rId199" Type="http://schemas.openxmlformats.org/officeDocument/2006/relationships/header" Target="header98.xml"/><Relationship Id="rId200" Type="http://schemas.openxmlformats.org/officeDocument/2006/relationships/header" Target="header99.xml"/><Relationship Id="rId201" Type="http://schemas.openxmlformats.org/officeDocument/2006/relationships/footer" Target="footer97.xml"/><Relationship Id="rId202" Type="http://schemas.openxmlformats.org/officeDocument/2006/relationships/footer" Target="footer98.xml"/><Relationship Id="rId203" Type="http://schemas.openxmlformats.org/officeDocument/2006/relationships/footer" Target="footer99.xml"/><Relationship Id="rId204" Type="http://schemas.openxmlformats.org/officeDocument/2006/relationships/header" Target="header100.xml"/><Relationship Id="rId205" Type="http://schemas.openxmlformats.org/officeDocument/2006/relationships/header" Target="header101.xml"/><Relationship Id="rId206" Type="http://schemas.openxmlformats.org/officeDocument/2006/relationships/header" Target="header102.xml"/><Relationship Id="rId207" Type="http://schemas.openxmlformats.org/officeDocument/2006/relationships/footer" Target="footer100.xml"/><Relationship Id="rId208" Type="http://schemas.openxmlformats.org/officeDocument/2006/relationships/footer" Target="footer101.xml"/><Relationship Id="rId209" Type="http://schemas.openxmlformats.org/officeDocument/2006/relationships/footer" Target="footer102.xml"/><Relationship Id="rId210" Type="http://schemas.openxmlformats.org/officeDocument/2006/relationships/header" Target="header103.xml"/><Relationship Id="rId211" Type="http://schemas.openxmlformats.org/officeDocument/2006/relationships/header" Target="header104.xml"/><Relationship Id="rId212" Type="http://schemas.openxmlformats.org/officeDocument/2006/relationships/header" Target="header105.xml"/><Relationship Id="rId213" Type="http://schemas.openxmlformats.org/officeDocument/2006/relationships/footer" Target="footer103.xml"/><Relationship Id="rId214" Type="http://schemas.openxmlformats.org/officeDocument/2006/relationships/footer" Target="footer104.xml"/><Relationship Id="rId215" Type="http://schemas.openxmlformats.org/officeDocument/2006/relationships/footer" Target="footer105.xml"/><Relationship Id="rId216" Type="http://schemas.openxmlformats.org/officeDocument/2006/relationships/header" Target="header106.xml"/><Relationship Id="rId217" Type="http://schemas.openxmlformats.org/officeDocument/2006/relationships/header" Target="header107.xml"/><Relationship Id="rId218" Type="http://schemas.openxmlformats.org/officeDocument/2006/relationships/header" Target="header108.xml"/><Relationship Id="rId219" Type="http://schemas.openxmlformats.org/officeDocument/2006/relationships/footer" Target="footer106.xml"/><Relationship Id="rId220" Type="http://schemas.openxmlformats.org/officeDocument/2006/relationships/footer" Target="footer107.xml"/><Relationship Id="rId221" Type="http://schemas.openxmlformats.org/officeDocument/2006/relationships/footer" Target="footer108.xml"/><Relationship Id="rId222" Type="http://schemas.openxmlformats.org/officeDocument/2006/relationships/header" Target="header109.xml"/><Relationship Id="rId223" Type="http://schemas.openxmlformats.org/officeDocument/2006/relationships/header" Target="header110.xml"/><Relationship Id="rId224" Type="http://schemas.openxmlformats.org/officeDocument/2006/relationships/header" Target="header111.xml"/><Relationship Id="rId225" Type="http://schemas.openxmlformats.org/officeDocument/2006/relationships/footer" Target="footer109.xml"/><Relationship Id="rId226" Type="http://schemas.openxmlformats.org/officeDocument/2006/relationships/footer" Target="footer110.xml"/><Relationship Id="rId227" Type="http://schemas.openxmlformats.org/officeDocument/2006/relationships/footer" Target="footer111.xml"/><Relationship Id="rId228" Type="http://schemas.openxmlformats.org/officeDocument/2006/relationships/header" Target="header112.xml"/><Relationship Id="rId229" Type="http://schemas.openxmlformats.org/officeDocument/2006/relationships/header" Target="header113.xml"/><Relationship Id="rId230" Type="http://schemas.openxmlformats.org/officeDocument/2006/relationships/header" Target="header114.xml"/><Relationship Id="rId231" Type="http://schemas.openxmlformats.org/officeDocument/2006/relationships/footer" Target="footer112.xml"/><Relationship Id="rId232" Type="http://schemas.openxmlformats.org/officeDocument/2006/relationships/footer" Target="footer113.xml"/><Relationship Id="rId233" Type="http://schemas.openxmlformats.org/officeDocument/2006/relationships/footer" Target="footer114.xml"/><Relationship Id="rId234" Type="http://schemas.openxmlformats.org/officeDocument/2006/relationships/header" Target="header115.xml"/><Relationship Id="rId235" Type="http://schemas.openxmlformats.org/officeDocument/2006/relationships/header" Target="header116.xml"/><Relationship Id="rId236" Type="http://schemas.openxmlformats.org/officeDocument/2006/relationships/header" Target="header117.xml"/><Relationship Id="rId237" Type="http://schemas.openxmlformats.org/officeDocument/2006/relationships/footer" Target="footer115.xml"/><Relationship Id="rId238" Type="http://schemas.openxmlformats.org/officeDocument/2006/relationships/footer" Target="footer116.xml"/><Relationship Id="rId239" Type="http://schemas.openxmlformats.org/officeDocument/2006/relationships/footer" Target="footer117.xml"/><Relationship Id="rId240" Type="http://schemas.openxmlformats.org/officeDocument/2006/relationships/header" Target="header118.xml"/><Relationship Id="rId241" Type="http://schemas.openxmlformats.org/officeDocument/2006/relationships/header" Target="header119.xml"/><Relationship Id="rId242" Type="http://schemas.openxmlformats.org/officeDocument/2006/relationships/header" Target="header120.xml"/><Relationship Id="rId243" Type="http://schemas.openxmlformats.org/officeDocument/2006/relationships/footer" Target="footer118.xml"/><Relationship Id="rId244" Type="http://schemas.openxmlformats.org/officeDocument/2006/relationships/footer" Target="footer119.xml"/><Relationship Id="rId245" Type="http://schemas.openxmlformats.org/officeDocument/2006/relationships/footer" Target="footer120.xml"/><Relationship Id="rId246" Type="http://schemas.openxmlformats.org/officeDocument/2006/relationships/header" Target="header121.xml"/><Relationship Id="rId247" Type="http://schemas.openxmlformats.org/officeDocument/2006/relationships/header" Target="header122.xml"/><Relationship Id="rId248" Type="http://schemas.openxmlformats.org/officeDocument/2006/relationships/header" Target="header123.xml"/><Relationship Id="rId249" Type="http://schemas.openxmlformats.org/officeDocument/2006/relationships/footer" Target="footer121.xml"/><Relationship Id="rId250" Type="http://schemas.openxmlformats.org/officeDocument/2006/relationships/footer" Target="footer122.xml"/><Relationship Id="rId251" Type="http://schemas.openxmlformats.org/officeDocument/2006/relationships/footer" Target="footer123.xml"/><Relationship Id="rId252" Type="http://schemas.openxmlformats.org/officeDocument/2006/relationships/header" Target="header124.xml"/><Relationship Id="rId253" Type="http://schemas.openxmlformats.org/officeDocument/2006/relationships/header" Target="header125.xml"/><Relationship Id="rId254" Type="http://schemas.openxmlformats.org/officeDocument/2006/relationships/header" Target="header126.xml"/><Relationship Id="rId255" Type="http://schemas.openxmlformats.org/officeDocument/2006/relationships/footer" Target="footer124.xml"/><Relationship Id="rId256" Type="http://schemas.openxmlformats.org/officeDocument/2006/relationships/footer" Target="footer125.xml"/><Relationship Id="rId257" Type="http://schemas.openxmlformats.org/officeDocument/2006/relationships/footer" Target="footer126.xml"/><Relationship Id="rId258" Type="http://schemas.openxmlformats.org/officeDocument/2006/relationships/header" Target="header127.xml"/><Relationship Id="rId259" Type="http://schemas.openxmlformats.org/officeDocument/2006/relationships/header" Target="header128.xml"/><Relationship Id="rId260" Type="http://schemas.openxmlformats.org/officeDocument/2006/relationships/header" Target="header129.xml"/><Relationship Id="rId261" Type="http://schemas.openxmlformats.org/officeDocument/2006/relationships/footer" Target="footer127.xml"/><Relationship Id="rId262" Type="http://schemas.openxmlformats.org/officeDocument/2006/relationships/footer" Target="footer128.xml"/><Relationship Id="rId263" Type="http://schemas.openxmlformats.org/officeDocument/2006/relationships/footer" Target="footer129.xml"/><Relationship Id="rId264" Type="http://schemas.openxmlformats.org/officeDocument/2006/relationships/header" Target="header130.xml"/><Relationship Id="rId265" Type="http://schemas.openxmlformats.org/officeDocument/2006/relationships/header" Target="header131.xml"/><Relationship Id="rId266" Type="http://schemas.openxmlformats.org/officeDocument/2006/relationships/header" Target="header132.xml"/><Relationship Id="rId267" Type="http://schemas.openxmlformats.org/officeDocument/2006/relationships/footer" Target="footer130.xml"/><Relationship Id="rId268" Type="http://schemas.openxmlformats.org/officeDocument/2006/relationships/footer" Target="footer131.xml"/><Relationship Id="rId269" Type="http://schemas.openxmlformats.org/officeDocument/2006/relationships/footer" Target="footer132.xml"/><Relationship Id="rId270" Type="http://schemas.openxmlformats.org/officeDocument/2006/relationships/header" Target="header133.xml"/><Relationship Id="rId271" Type="http://schemas.openxmlformats.org/officeDocument/2006/relationships/header" Target="header134.xml"/><Relationship Id="rId272" Type="http://schemas.openxmlformats.org/officeDocument/2006/relationships/header" Target="header135.xml"/><Relationship Id="rId273" Type="http://schemas.openxmlformats.org/officeDocument/2006/relationships/footer" Target="footer133.xml"/><Relationship Id="rId274" Type="http://schemas.openxmlformats.org/officeDocument/2006/relationships/footer" Target="footer134.xml"/><Relationship Id="rId275" Type="http://schemas.openxmlformats.org/officeDocument/2006/relationships/footer" Target="footer135.xml"/><Relationship Id="rId276" Type="http://schemas.openxmlformats.org/officeDocument/2006/relationships/header" Target="header136.xml"/><Relationship Id="rId277" Type="http://schemas.openxmlformats.org/officeDocument/2006/relationships/header" Target="header137.xml"/><Relationship Id="rId278" Type="http://schemas.openxmlformats.org/officeDocument/2006/relationships/header" Target="header138.xml"/><Relationship Id="rId279" Type="http://schemas.openxmlformats.org/officeDocument/2006/relationships/footer" Target="footer136.xml"/><Relationship Id="rId280" Type="http://schemas.openxmlformats.org/officeDocument/2006/relationships/footer" Target="footer137.xml"/><Relationship Id="rId281" Type="http://schemas.openxmlformats.org/officeDocument/2006/relationships/footer" Target="footer138.xml"/><Relationship Id="rId282" Type="http://schemas.openxmlformats.org/officeDocument/2006/relationships/header" Target="header139.xml"/><Relationship Id="rId283" Type="http://schemas.openxmlformats.org/officeDocument/2006/relationships/header" Target="header140.xml"/><Relationship Id="rId284" Type="http://schemas.openxmlformats.org/officeDocument/2006/relationships/header" Target="header141.xml"/><Relationship Id="rId285" Type="http://schemas.openxmlformats.org/officeDocument/2006/relationships/footer" Target="footer139.xml"/><Relationship Id="rId286" Type="http://schemas.openxmlformats.org/officeDocument/2006/relationships/footer" Target="footer140.xml"/><Relationship Id="rId287" Type="http://schemas.openxmlformats.org/officeDocument/2006/relationships/footer" Target="footer141.xml"/><Relationship Id="rId288" Type="http://schemas.openxmlformats.org/officeDocument/2006/relationships/header" Target="header142.xml"/><Relationship Id="rId289" Type="http://schemas.openxmlformats.org/officeDocument/2006/relationships/header" Target="header143.xml"/><Relationship Id="rId290" Type="http://schemas.openxmlformats.org/officeDocument/2006/relationships/header" Target="header144.xml"/><Relationship Id="rId291" Type="http://schemas.openxmlformats.org/officeDocument/2006/relationships/footer" Target="footer142.xml"/><Relationship Id="rId292" Type="http://schemas.openxmlformats.org/officeDocument/2006/relationships/footer" Target="footer143.xml"/><Relationship Id="rId293" Type="http://schemas.openxmlformats.org/officeDocument/2006/relationships/footer" Target="footer144.xml"/><Relationship Id="rId294" Type="http://schemas.openxmlformats.org/officeDocument/2006/relationships/header" Target="header145.xml"/><Relationship Id="rId295" Type="http://schemas.openxmlformats.org/officeDocument/2006/relationships/header" Target="header146.xml"/><Relationship Id="rId296" Type="http://schemas.openxmlformats.org/officeDocument/2006/relationships/header" Target="header147.xml"/><Relationship Id="rId297" Type="http://schemas.openxmlformats.org/officeDocument/2006/relationships/footer" Target="footer145.xml"/><Relationship Id="rId298" Type="http://schemas.openxmlformats.org/officeDocument/2006/relationships/footer" Target="footer146.xml"/><Relationship Id="rId299" Type="http://schemas.openxmlformats.org/officeDocument/2006/relationships/footer" Target="footer147.xml"/><Relationship Id="rId300" Type="http://schemas.openxmlformats.org/officeDocument/2006/relationships/header" Target="header148.xml"/><Relationship Id="rId301" Type="http://schemas.openxmlformats.org/officeDocument/2006/relationships/header" Target="header149.xml"/><Relationship Id="rId302" Type="http://schemas.openxmlformats.org/officeDocument/2006/relationships/header" Target="header150.xml"/><Relationship Id="rId303" Type="http://schemas.openxmlformats.org/officeDocument/2006/relationships/footer" Target="footer148.xml"/><Relationship Id="rId304" Type="http://schemas.openxmlformats.org/officeDocument/2006/relationships/footer" Target="footer149.xml"/><Relationship Id="rId305" Type="http://schemas.openxmlformats.org/officeDocument/2006/relationships/footer" Target="footer150.xml"/><Relationship Id="rId306" Type="http://schemas.openxmlformats.org/officeDocument/2006/relationships/header" Target="header151.xml"/><Relationship Id="rId307" Type="http://schemas.openxmlformats.org/officeDocument/2006/relationships/header" Target="header152.xml"/><Relationship Id="rId308" Type="http://schemas.openxmlformats.org/officeDocument/2006/relationships/header" Target="header153.xml"/><Relationship Id="rId309" Type="http://schemas.openxmlformats.org/officeDocument/2006/relationships/footer" Target="footer151.xml"/><Relationship Id="rId310" Type="http://schemas.openxmlformats.org/officeDocument/2006/relationships/footer" Target="footer152.xml"/><Relationship Id="rId311" Type="http://schemas.openxmlformats.org/officeDocument/2006/relationships/footer" Target="footer153.xml"/><Relationship Id="rId312" Type="http://schemas.openxmlformats.org/officeDocument/2006/relationships/header" Target="header154.xml"/><Relationship Id="rId313" Type="http://schemas.openxmlformats.org/officeDocument/2006/relationships/header" Target="header155.xml"/><Relationship Id="rId314" Type="http://schemas.openxmlformats.org/officeDocument/2006/relationships/header" Target="header156.xml"/><Relationship Id="rId315" Type="http://schemas.openxmlformats.org/officeDocument/2006/relationships/footer" Target="footer154.xml"/><Relationship Id="rId316" Type="http://schemas.openxmlformats.org/officeDocument/2006/relationships/footer" Target="footer155.xml"/><Relationship Id="rId317" Type="http://schemas.openxmlformats.org/officeDocument/2006/relationships/footer" Target="footer156.xml"/><Relationship Id="rId318" Type="http://schemas.openxmlformats.org/officeDocument/2006/relationships/header" Target="header157.xml"/><Relationship Id="rId319" Type="http://schemas.openxmlformats.org/officeDocument/2006/relationships/header" Target="header158.xml"/><Relationship Id="rId320" Type="http://schemas.openxmlformats.org/officeDocument/2006/relationships/header" Target="header159.xml"/><Relationship Id="rId321" Type="http://schemas.openxmlformats.org/officeDocument/2006/relationships/footer" Target="footer157.xml"/><Relationship Id="rId322" Type="http://schemas.openxmlformats.org/officeDocument/2006/relationships/footer" Target="footer158.xml"/><Relationship Id="rId323" Type="http://schemas.openxmlformats.org/officeDocument/2006/relationships/footer" Target="footer159.xml"/><Relationship Id="rId324" Type="http://schemas.openxmlformats.org/officeDocument/2006/relationships/header" Target="header160.xml"/><Relationship Id="rId325" Type="http://schemas.openxmlformats.org/officeDocument/2006/relationships/header" Target="header161.xml"/><Relationship Id="rId326" Type="http://schemas.openxmlformats.org/officeDocument/2006/relationships/header" Target="header162.xml"/><Relationship Id="rId327" Type="http://schemas.openxmlformats.org/officeDocument/2006/relationships/footer" Target="footer160.xml"/><Relationship Id="rId328" Type="http://schemas.openxmlformats.org/officeDocument/2006/relationships/footer" Target="footer161.xml"/><Relationship Id="rId329" Type="http://schemas.openxmlformats.org/officeDocument/2006/relationships/footer" Target="footer162.xml"/><Relationship Id="rId330" Type="http://schemas.openxmlformats.org/officeDocument/2006/relationships/header" Target="header163.xml"/><Relationship Id="rId331" Type="http://schemas.openxmlformats.org/officeDocument/2006/relationships/header" Target="header164.xml"/><Relationship Id="rId332" Type="http://schemas.openxmlformats.org/officeDocument/2006/relationships/header" Target="header165.xml"/><Relationship Id="rId333" Type="http://schemas.openxmlformats.org/officeDocument/2006/relationships/footer" Target="footer163.xml"/><Relationship Id="rId334" Type="http://schemas.openxmlformats.org/officeDocument/2006/relationships/footer" Target="footer164.xml"/><Relationship Id="rId335" Type="http://schemas.openxmlformats.org/officeDocument/2006/relationships/footer" Target="footer165.xml"/><Relationship Id="rId336" Type="http://schemas.openxmlformats.org/officeDocument/2006/relationships/header" Target="header166.xml"/><Relationship Id="rId337" Type="http://schemas.openxmlformats.org/officeDocument/2006/relationships/header" Target="header167.xml"/><Relationship Id="rId338" Type="http://schemas.openxmlformats.org/officeDocument/2006/relationships/header" Target="header168.xml"/><Relationship Id="rId339" Type="http://schemas.openxmlformats.org/officeDocument/2006/relationships/footer" Target="footer166.xml"/><Relationship Id="rId340" Type="http://schemas.openxmlformats.org/officeDocument/2006/relationships/footer" Target="footer167.xml"/><Relationship Id="rId341" Type="http://schemas.openxmlformats.org/officeDocument/2006/relationships/footer" Target="footer168.xml"/><Relationship Id="rId342" Type="http://schemas.openxmlformats.org/officeDocument/2006/relationships/header" Target="header169.xml"/><Relationship Id="rId343" Type="http://schemas.openxmlformats.org/officeDocument/2006/relationships/header" Target="header170.xml"/><Relationship Id="rId344" Type="http://schemas.openxmlformats.org/officeDocument/2006/relationships/header" Target="header171.xml"/><Relationship Id="rId345" Type="http://schemas.openxmlformats.org/officeDocument/2006/relationships/footer" Target="footer169.xml"/><Relationship Id="rId346" Type="http://schemas.openxmlformats.org/officeDocument/2006/relationships/footer" Target="footer170.xml"/><Relationship Id="rId347" Type="http://schemas.openxmlformats.org/officeDocument/2006/relationships/footer" Target="footer171.xml"/><Relationship Id="rId348" Type="http://schemas.openxmlformats.org/officeDocument/2006/relationships/header" Target="header172.xml"/><Relationship Id="rId349" Type="http://schemas.openxmlformats.org/officeDocument/2006/relationships/header" Target="header173.xml"/><Relationship Id="rId350" Type="http://schemas.openxmlformats.org/officeDocument/2006/relationships/header" Target="header174.xml"/><Relationship Id="rId351" Type="http://schemas.openxmlformats.org/officeDocument/2006/relationships/footer" Target="footer172.xml"/><Relationship Id="rId352" Type="http://schemas.openxmlformats.org/officeDocument/2006/relationships/footer" Target="footer173.xml"/><Relationship Id="rId353" Type="http://schemas.openxmlformats.org/officeDocument/2006/relationships/footer" Target="footer174.xml"/><Relationship Id="rId354" Type="http://schemas.openxmlformats.org/officeDocument/2006/relationships/header" Target="header175.xml"/><Relationship Id="rId355" Type="http://schemas.openxmlformats.org/officeDocument/2006/relationships/header" Target="header176.xml"/><Relationship Id="rId356" Type="http://schemas.openxmlformats.org/officeDocument/2006/relationships/header" Target="header177.xml"/><Relationship Id="rId357" Type="http://schemas.openxmlformats.org/officeDocument/2006/relationships/footer" Target="footer175.xml"/><Relationship Id="rId358" Type="http://schemas.openxmlformats.org/officeDocument/2006/relationships/footer" Target="footer176.xml"/><Relationship Id="rId359" Type="http://schemas.openxmlformats.org/officeDocument/2006/relationships/footer" Target="footer177.xml"/><Relationship Id="rId360" Type="http://schemas.openxmlformats.org/officeDocument/2006/relationships/header" Target="header178.xml"/><Relationship Id="rId361" Type="http://schemas.openxmlformats.org/officeDocument/2006/relationships/header" Target="header179.xml"/><Relationship Id="rId362" Type="http://schemas.openxmlformats.org/officeDocument/2006/relationships/header" Target="header180.xml"/><Relationship Id="rId363" Type="http://schemas.openxmlformats.org/officeDocument/2006/relationships/footer" Target="footer178.xml"/><Relationship Id="rId364" Type="http://schemas.openxmlformats.org/officeDocument/2006/relationships/footer" Target="footer179.xml"/><Relationship Id="rId365" Type="http://schemas.openxmlformats.org/officeDocument/2006/relationships/footer" Target="footer180.xml"/><Relationship Id="rId366" Type="http://schemas.openxmlformats.org/officeDocument/2006/relationships/header" Target="header181.xml"/><Relationship Id="rId367" Type="http://schemas.openxmlformats.org/officeDocument/2006/relationships/header" Target="header182.xml"/><Relationship Id="rId368" Type="http://schemas.openxmlformats.org/officeDocument/2006/relationships/header" Target="header183.xml"/><Relationship Id="rId369" Type="http://schemas.openxmlformats.org/officeDocument/2006/relationships/footer" Target="footer181.xml"/><Relationship Id="rId370" Type="http://schemas.openxmlformats.org/officeDocument/2006/relationships/footer" Target="footer182.xml"/><Relationship Id="rId371" Type="http://schemas.openxmlformats.org/officeDocument/2006/relationships/footer" Target="footer183.xml"/><Relationship Id="rId372" Type="http://schemas.openxmlformats.org/officeDocument/2006/relationships/header" Target="header184.xml"/><Relationship Id="rId373" Type="http://schemas.openxmlformats.org/officeDocument/2006/relationships/header" Target="header185.xml"/><Relationship Id="rId374" Type="http://schemas.openxmlformats.org/officeDocument/2006/relationships/header" Target="header186.xml"/><Relationship Id="rId375" Type="http://schemas.openxmlformats.org/officeDocument/2006/relationships/footer" Target="footer184.xml"/><Relationship Id="rId376" Type="http://schemas.openxmlformats.org/officeDocument/2006/relationships/footer" Target="footer185.xml"/><Relationship Id="rId377" Type="http://schemas.openxmlformats.org/officeDocument/2006/relationships/footer" Target="footer186.xml"/><Relationship Id="rId378" Type="http://schemas.openxmlformats.org/officeDocument/2006/relationships/header" Target="header187.xml"/><Relationship Id="rId379" Type="http://schemas.openxmlformats.org/officeDocument/2006/relationships/header" Target="header188.xml"/><Relationship Id="rId380" Type="http://schemas.openxmlformats.org/officeDocument/2006/relationships/header" Target="header189.xml"/><Relationship Id="rId381" Type="http://schemas.openxmlformats.org/officeDocument/2006/relationships/footer" Target="footer187.xml"/><Relationship Id="rId382" Type="http://schemas.openxmlformats.org/officeDocument/2006/relationships/footer" Target="footer188.xml"/><Relationship Id="rId383" Type="http://schemas.openxmlformats.org/officeDocument/2006/relationships/footer" Target="footer189.xml"/><Relationship Id="rId384" Type="http://schemas.openxmlformats.org/officeDocument/2006/relationships/theme" Target="theme/theme1.xml"/><Relationship Id="rIdzgxfvwbqhvaeewoisabyd" Type="http://schemas.openxmlformats.org/officeDocument/2006/relationships/hyperlink" Target="https://github.com/adobe-fonts" TargetMode="External"/><Relationship Id="rIduc4nyzichc47exdgw0trd" Type="http://schemas.openxmlformats.org/officeDocument/2006/relationships/hyperlink" Target="https://github.com/adobe-fonts/source-serif" TargetMode="External"/><Relationship Id="rIdiycsi1bvk9dpot_v1ciqe" Type="http://schemas.openxmlformats.org/officeDocument/2006/relationships/hyperlink" Target="https://github.com/adobe-fonts/source-sans" TargetMode="External"/><Relationship Id="rId0grlaibvl7p5pqvbiytte" Type="http://schemas.openxmlformats.org/officeDocument/2006/relationships/hyperlink" Target="https://github.com/adobe-fonts/source-code-pro" TargetMode="External"/><Relationship Id="rIdwpvwzoy8yaljahiqnirpc" Type="http://schemas.openxmlformats.org/officeDocument/2006/relationships/hyperlink" Target="https://docx.js.org" TargetMode="External"/><Relationship Id="rId390" Type="http://schemas.openxmlformats.org/officeDocument/2006/relationships/image" Target="media/84517162a84388116980a613b4256b00ec1ebc18.jpg"/><Relationship Id="rId391" Type="http://schemas.openxmlformats.org/officeDocument/2006/relationships/image" Target="media/4888f5f433b5a8bb33d04f84cfe064ae0198287a.jpg"/><Relationship Id="rId392" Type="http://schemas.openxmlformats.org/officeDocument/2006/relationships/image" Target="media/10df51db7521a9ae0f9bbaef32868cc811c1766e.jpg"/><Relationship Id="rId393" Type="http://schemas.openxmlformats.org/officeDocument/2006/relationships/image" Target="media/34d0ab6d13693d619aebf8a21dd43a0f608b983e.jpg"/><Relationship Id="rId394" Type="http://schemas.openxmlformats.org/officeDocument/2006/relationships/image" Target="media/7ea6e49bc48db510cde6c27fa070636af20e00b4.jpg"/><Relationship Id="rId395" Type="http://schemas.openxmlformats.org/officeDocument/2006/relationships/image" Target="media/a668987dd9acec23afa449077fba717314646358.jpg"/><Relationship Id="rId396" Type="http://schemas.openxmlformats.org/officeDocument/2006/relationships/image" Target="media/139dbb119670a6cd6317c2235bccd1813cd2fdd0.jpg"/><Relationship Id="rId397" Type="http://schemas.openxmlformats.org/officeDocument/2006/relationships/image" Target="media/9e8e9da0b200f62dd59ef776f6d70c027c02aed8.jpg"/><Relationship Id="rId398" Type="http://schemas.openxmlformats.org/officeDocument/2006/relationships/image" Target="media/69e85b07332edfb3a37d2a120252719a4df338c5.jpg"/><Relationship Id="rId399" Type="http://schemas.openxmlformats.org/officeDocument/2006/relationships/image" Target="media/0b01376efba9008211f05bd4106337d3f93b3c45.jpg"/><Relationship Id="rId400" Type="http://schemas.openxmlformats.org/officeDocument/2006/relationships/image" Target="media/cacb015d601607eb3c8a698928cb7f003fe5e434.jpg"/><Relationship Id="rId401" Type="http://schemas.openxmlformats.org/officeDocument/2006/relationships/image" Target="media/184ca01ddf5d59b5dbcee57910a93a143b6595bb.jpg"/><Relationship Id="rId402" Type="http://schemas.openxmlformats.org/officeDocument/2006/relationships/image" Target="media/3709990e76f396674bf6bf3bbacd20eebfaa1257.jpg"/><Relationship Id="rId403" Type="http://schemas.openxmlformats.org/officeDocument/2006/relationships/image" Target="media/38a5eac846550495be5b9ef9dd4a2ebf05e7902b.jpg"/><Relationship Id="rId404" Type="http://schemas.openxmlformats.org/officeDocument/2006/relationships/image" Target="media/1b5cb261d1578edee40777f89a49ed12005fb60a.jpg"/><Relationship Id="rId405" Type="http://schemas.openxmlformats.org/officeDocument/2006/relationships/image" Target="media/13e53c79ae1ae3711f19166b11819c0acd29f494.jpg"/><Relationship Id="rId406" Type="http://schemas.openxmlformats.org/officeDocument/2006/relationships/image" Target="media/a76b71375aab2057d485d8f9a12bd274f825a1ed.jpg"/><Relationship Id="rId407" Type="http://schemas.openxmlformats.org/officeDocument/2006/relationships/image" Target="media/82434819e56e479e12da428475780adb8333fe3a.jpg"/><Relationship Id="rId408" Type="http://schemas.openxmlformats.org/officeDocument/2006/relationships/image" Target="media/128463a7a0fb90e2fbfbbf8033fa27b018ff74bc.jpg"/><Relationship Id="rId409" Type="http://schemas.openxmlformats.org/officeDocument/2006/relationships/image" Target="media/5c722dff06bed64ebc714efb2431ef020f033676.jpg"/><Relationship Id="rId410" Type="http://schemas.openxmlformats.org/officeDocument/2006/relationships/image" Target="media/cba042e83e1a027051c701d1cb61b8e6cc5bbdbb.jpg"/><Relationship Id="rId411" Type="http://schemas.openxmlformats.org/officeDocument/2006/relationships/image" Target="media/6b27446b35e82339aed77659e7ba44b48d03687f.jpg"/><Relationship Id="rId412" Type="http://schemas.openxmlformats.org/officeDocument/2006/relationships/image" Target="media/8070cebb9f0ad196442ecbbeccb8a8bed8e74d74.jpg"/><Relationship Id="rId413" Type="http://schemas.openxmlformats.org/officeDocument/2006/relationships/image" Target="media/8103f23e0b0853a371ce8642b9ce4ef92f8a536e.jpg"/><Relationship Id="rId414" Type="http://schemas.openxmlformats.org/officeDocument/2006/relationships/image" Target="media/1a7ea309539f54ddbf67feaa3c6ce22137d855cc.jpg"/><Relationship Id="rId415" Type="http://schemas.openxmlformats.org/officeDocument/2006/relationships/image" Target="media/d3b4cd869db153330d8bdfce4d2ffa5f191938bb.jpg"/><Relationship Id="rId416" Type="http://schemas.openxmlformats.org/officeDocument/2006/relationships/image" Target="media/95189b9bc8c5f18899a4033d491a4e2eefb5a4f3.jpg"/><Relationship Id="rId417" Type="http://schemas.openxmlformats.org/officeDocument/2006/relationships/image" Target="media/490c0e6dd5df22e8dcc3cd967e80f1db94190979.jpg"/><Relationship Id="rId418" Type="http://schemas.openxmlformats.org/officeDocument/2006/relationships/image" Target="media/8fffbb5ad03682567cf9dddaa5880b085ec53713.jpg"/><Relationship Id="rId419" Type="http://schemas.openxmlformats.org/officeDocument/2006/relationships/image" Target="media/06939ecc335641a2ddcb7269bd4dfe875a9fa34c.jpg"/><Relationship Id="rId420" Type="http://schemas.openxmlformats.org/officeDocument/2006/relationships/image" Target="media/a661e619ae1f958b1ad80bbc2abdb625adf37da9.jpg"/><Relationship Id="rId421" Type="http://schemas.openxmlformats.org/officeDocument/2006/relationships/image" Target="media/e848b449db7ef1f55270ff73a37351c26aa933ca.jpg"/><Relationship Id="rId422" Type="http://schemas.openxmlformats.org/officeDocument/2006/relationships/image" Target="media/aea81494e8d8b0e7c7e5c61c2e7c82fd96a4e254.jpg"/><Relationship Id="rId423" Type="http://schemas.openxmlformats.org/officeDocument/2006/relationships/image" Target="media/dd3f98b2bcfadef150fe70a91f648895d2c571ac.jpg"/><Relationship Id="rId424" Type="http://schemas.openxmlformats.org/officeDocument/2006/relationships/image" Target="media/c1308495299b2663e73f38cdbaf3b17e664fa701.jpg"/><Relationship Id="rId425" Type="http://schemas.openxmlformats.org/officeDocument/2006/relationships/image" Target="media/4f42173c472cc746d290eb353487068d8bb74301.jpg"/><Relationship Id="rId426" Type="http://schemas.openxmlformats.org/officeDocument/2006/relationships/image" Target="media/51d89117803aa5ecc2c751f3f8b7dc1e5b89fc97.jpg"/><Relationship Id="rId427" Type="http://schemas.openxmlformats.org/officeDocument/2006/relationships/image" Target="media/d0a63a595e17696b9953ab0510b0961e52c7820a.jpg"/><Relationship Id="rId428" Type="http://schemas.openxmlformats.org/officeDocument/2006/relationships/image" Target="media/1891e967175a2fb82ffaeba15f8c1c7f0608c6e2.jpg"/><Relationship Id="rId429" Type="http://schemas.openxmlformats.org/officeDocument/2006/relationships/image" Target="media/bbb0cd66f626cf94c6d162d613b4c34a259bcb58.jpg"/><Relationship Id="rId430" Type="http://schemas.openxmlformats.org/officeDocument/2006/relationships/image" Target="media/5b47d59f29aff42d4d45614c8da00eea7f7e2918.jpg"/><Relationship Id="rId431" Type="http://schemas.openxmlformats.org/officeDocument/2006/relationships/image" Target="media/83a52c67d098a0935694afdfb3851c2a467c9058.jpg"/><Relationship Id="rId432" Type="http://schemas.openxmlformats.org/officeDocument/2006/relationships/image" Target="media/67691dca15b553a34e8c0128ffa7e9f024a2124c.jpg"/><Relationship Id="rId433" Type="http://schemas.openxmlformats.org/officeDocument/2006/relationships/image" Target="media/ff01e599ff9a64cd07db554aa9b0c714ce8b8ae3.jpg"/><Relationship Id="rId434" Type="http://schemas.openxmlformats.org/officeDocument/2006/relationships/image" Target="media/26070fe33c48856fd55d43a87b04622e2d7b32f5.jpg"/><Relationship Id="rId435" Type="http://schemas.openxmlformats.org/officeDocument/2006/relationships/image" Target="media/cf0c845e86cfa3f774a689ded95580917545f89d.jpg"/><Relationship Id="rId436" Type="http://schemas.openxmlformats.org/officeDocument/2006/relationships/image" Target="media/d14016b8c17e4392b64709e0e154b8a3109916e0.jpg"/><Relationship Id="rId437" Type="http://schemas.openxmlformats.org/officeDocument/2006/relationships/image" Target="media/7d8b1b0175ea73dd1e0a002865fa03c9e1eeeff5.jpg"/><Relationship Id="rId438" Type="http://schemas.openxmlformats.org/officeDocument/2006/relationships/image" Target="media/112ebfccb359fc0f8e9649da9517621a0334f7c3.jpg"/><Relationship Id="rId439" Type="http://schemas.openxmlformats.org/officeDocument/2006/relationships/image" Target="media/c7cbef7fc804c3e8f3bfd17d2d803c83b0e9a93f.jpg"/><Relationship Id="rId440" Type="http://schemas.openxmlformats.org/officeDocument/2006/relationships/image" Target="media/792026680a6e072b85ab8063e6b27c7446d4bad5.jpg"/><Relationship Id="rId441" Type="http://schemas.openxmlformats.org/officeDocument/2006/relationships/image" Target="media/3b6b22bf4b46a22692dda782f49380f19d64be79.jpg"/><Relationship Id="rId442" Type="http://schemas.openxmlformats.org/officeDocument/2006/relationships/image" Target="media/fadb3d446f4bef26126f4a880c3facfc161fcc3a.jpg"/><Relationship Id="rId443" Type="http://schemas.openxmlformats.org/officeDocument/2006/relationships/image" Target="media/93d15c12ae86d098f77f534e55109851468e8e01.jpg"/><Relationship Id="rId444" Type="http://schemas.openxmlformats.org/officeDocument/2006/relationships/image" Target="media/be72ddd32fbdceb3f909ea397d74a2af8a0666e0.jpg"/><Relationship Id="rId445" Type="http://schemas.openxmlformats.org/officeDocument/2006/relationships/image" Target="media/f83c910ca0c79266b21f63c5db90de9371ad43bc.jpg"/><Relationship Id="rId446" Type="http://schemas.openxmlformats.org/officeDocument/2006/relationships/image" Target="media/602549864a650b9cddaf3c240f078c8f338369f3.jpg"/><Relationship Id="rId447" Type="http://schemas.openxmlformats.org/officeDocument/2006/relationships/image" Target="media/462872036a6e0f22947a6627c310dc9825887360.jpg"/><Relationship Id="rId448" Type="http://schemas.openxmlformats.org/officeDocument/2006/relationships/image" Target="media/da08992ec1539c78a4f2c286269362e5b173611f.jpg"/><Relationship Id="rId449" Type="http://schemas.openxmlformats.org/officeDocument/2006/relationships/image" Target="media/830dba4924a48000b2f4124ad8cd1f476c441c64.jpg"/><Relationship Id="rId450" Type="http://schemas.openxmlformats.org/officeDocument/2006/relationships/image" Target="media/14aba4e6c3df52e23ad0be5d70593fecc1c6022f.jpg"/><Relationship Id="rId451" Type="http://schemas.openxmlformats.org/officeDocument/2006/relationships/image" Target="media/1d25cd21168df532b4cd47f4bef7b8eed882fe14.jpg"/><Relationship Id="rId452" Type="http://schemas.openxmlformats.org/officeDocument/2006/relationships/image" Target="media/d4ca6c6adfcf57790ec4d8eaca2a3a0504af919c.jpg"/><Relationship Id="rId453" Type="http://schemas.openxmlformats.org/officeDocument/2006/relationships/image" Target="media/a32f16d86a7d90d1b8c8e3650df278fbaf4de052.jpg"/><Relationship Id="rId454" Type="http://schemas.openxmlformats.org/officeDocument/2006/relationships/image" Target="media/a3f392a1864836e421d1f597fceedd12c160b4ed.jpg"/><Relationship Id="rId455" Type="http://schemas.openxmlformats.org/officeDocument/2006/relationships/image" Target="media/cd5c8fc07e0b3a67d8a795ae40d93fc4f304987d.jpg"/><Relationship Id="rId456" Type="http://schemas.openxmlformats.org/officeDocument/2006/relationships/image" Target="media/24d23b95ed2e390e308c8addbf218ef1341ace9d.jpg"/><Relationship Id="rId457" Type="http://schemas.openxmlformats.org/officeDocument/2006/relationships/image" Target="media/790bacc06f2bd4d6171f8bbe7ae1232be56d965a.jpg"/><Relationship Id="rId458" Type="http://schemas.openxmlformats.org/officeDocument/2006/relationships/image" Target="media/faa5e18efa8020ffcd9f79bb6c563f5b9bf7e050.jpg"/><Relationship Id="rId459" Type="http://schemas.openxmlformats.org/officeDocument/2006/relationships/image" Target="media/6482a9dedb7d5f84aa0125028c2a9a6d912a4b45.jpg"/><Relationship Id="rId460" Type="http://schemas.openxmlformats.org/officeDocument/2006/relationships/image" Target="media/044d49a171c730ed8cdf468df03142f40df75fb5.jpg"/><Relationship Id="rId461" Type="http://schemas.openxmlformats.org/officeDocument/2006/relationships/image" Target="media/6cce0a99450597383030ce0e6753663624647945.jpg"/><Relationship Id="rId462" Type="http://schemas.openxmlformats.org/officeDocument/2006/relationships/image" Target="media/36532ac2fa2c81dcb7fd0374db90555c2849b7d0.jpg"/><Relationship Id="rId463" Type="http://schemas.openxmlformats.org/officeDocument/2006/relationships/image" Target="media/66efc0cb1649746d10340a3b036d6d4b8abfed60.jpg"/><Relationship Id="rId464" Type="http://schemas.openxmlformats.org/officeDocument/2006/relationships/image" Target="media/b4e4fe2dfa2cd7c8fdb2896a82c553030779cf9e.jpg"/><Relationship Id="rId465" Type="http://schemas.openxmlformats.org/officeDocument/2006/relationships/image" Target="media/dd8b511c242851edb503c92484e6d31faa93cb42.jpg"/><Relationship Id="rId466" Type="http://schemas.openxmlformats.org/officeDocument/2006/relationships/image" Target="media/0e01c01d91128aec9faa28af20ec5f24218651fe.jpg"/><Relationship Id="rId467" Type="http://schemas.openxmlformats.org/officeDocument/2006/relationships/image" Target="media/dfc9ea3f9b53b7bfd9cca9b6e3bbb6dc0ca15533.jpg"/><Relationship Id="rId468" Type="http://schemas.openxmlformats.org/officeDocument/2006/relationships/image" Target="media/9616f6dbd6fee0b1b1230a0f18c70639faf057e2.jpg"/><Relationship Id="rId469" Type="http://schemas.openxmlformats.org/officeDocument/2006/relationships/image" Target="media/c8c0e57905c6d029383e778048c4a3635f11a22e.jpg"/><Relationship Id="rId470" Type="http://schemas.openxmlformats.org/officeDocument/2006/relationships/image" Target="media/2db4432f56e59c06975e99db0c178791bfd57044.jpg"/><Relationship Id="rId471" Type="http://schemas.openxmlformats.org/officeDocument/2006/relationships/image" Target="media/ed6fe02e96d9a63619324e4902af6bd313fcfbf8.jpg"/><Relationship Id="rId472" Type="http://schemas.openxmlformats.org/officeDocument/2006/relationships/image" Target="media/7b8e84f1cb56a88d73a373eacdbc0959f4ea1e78.jpg"/><Relationship Id="rId473" Type="http://schemas.openxmlformats.org/officeDocument/2006/relationships/image" Target="media/cb2adad162ff9f085e5c75ab6b871562311ea296.jpg"/><Relationship Id="rId474" Type="http://schemas.openxmlformats.org/officeDocument/2006/relationships/image" Target="media/fef792d4ad6f63ffbaeff6356d18820b75a57115.jpg"/><Relationship Id="rId475" Type="http://schemas.openxmlformats.org/officeDocument/2006/relationships/image" Target="media/fd3d9ba54eb473b9c9430e006b231347bc744aa4.jpg"/><Relationship Id="rId476" Type="http://schemas.openxmlformats.org/officeDocument/2006/relationships/image" Target="media/727daa7b4a6de4b5aa83a01c7e9f8790ebd8bc14.jpg"/><Relationship Id="rId477" Type="http://schemas.openxmlformats.org/officeDocument/2006/relationships/image" Target="media/284b10e9a1bed73d02a0b285e252303c4097c257.jpg"/><Relationship Id="rId478" Type="http://schemas.openxmlformats.org/officeDocument/2006/relationships/image" Target="media/3b5ec72e726e828c27a24ca51ca6cf4259edbeeb.jpg"/><Relationship Id="rId479" Type="http://schemas.openxmlformats.org/officeDocument/2006/relationships/image" Target="media/972ee74ed7ab81984673237818ba8174d79747c5.jpg"/><Relationship Id="rId480" Type="http://schemas.openxmlformats.org/officeDocument/2006/relationships/image" Target="media/119452b41496577f20f8ee55d3f827b406ad978a.jpg"/><Relationship Id="rId481" Type="http://schemas.openxmlformats.org/officeDocument/2006/relationships/image" Target="media/2713459a009167ec54bb95b73cbb2052fdae9623.jpg"/><Relationship Id="rId482" Type="http://schemas.openxmlformats.org/officeDocument/2006/relationships/image" Target="media/7e2c8a782a7d741beed6904c934a4e8ce3432593.jpg"/><Relationship Id="rId483" Type="http://schemas.openxmlformats.org/officeDocument/2006/relationships/image" Target="media/9d06a99aceb3b124f63d2edb26dc956124591433.jpg"/><Relationship Id="rId484" Type="http://schemas.openxmlformats.org/officeDocument/2006/relationships/image" Target="media/fcbcb37394bade0cb67805f040c4d592b9745874.jpg"/><Relationship Id="rId485" Type="http://schemas.openxmlformats.org/officeDocument/2006/relationships/image" Target="media/95717123f6aa80ef3d0dec041b72f43f55f74b62.jpg"/><Relationship Id="rId486" Type="http://schemas.openxmlformats.org/officeDocument/2006/relationships/image" Target="media/916db9318d75bca3bf3bea617f73d51aea444fa2.jpg"/><Relationship Id="rId487" Type="http://schemas.openxmlformats.org/officeDocument/2006/relationships/image" Target="media/f9b4ada305af69045e93459876d60997c9f5d25d.jpg"/><Relationship Id="rId488" Type="http://schemas.openxmlformats.org/officeDocument/2006/relationships/image" Target="media/9000fe1f11e08605df39fcb6382e7f2a14778560.jpg"/><Relationship Id="rId489" Type="http://schemas.openxmlformats.org/officeDocument/2006/relationships/image" Target="media/9e4b58d2611964da565f6964ff3b8938393de80c.jpg"/><Relationship Id="rId490" Type="http://schemas.openxmlformats.org/officeDocument/2006/relationships/image" Target="media/bf7b156d97fd59f308311b89f1037ce5d22245ca.jpg"/><Relationship Id="rId491" Type="http://schemas.openxmlformats.org/officeDocument/2006/relationships/image" Target="media/fe510803d5cbf8c7688bcebdd0132f9516991aef.jpg"/><Relationship Id="rId492" Type="http://schemas.openxmlformats.org/officeDocument/2006/relationships/image" Target="media/ef47453620941357becfb71c7ea681f5b949c7b7.jpg"/><Relationship Id="rId493" Type="http://schemas.openxmlformats.org/officeDocument/2006/relationships/image" Target="media/47a5f9355609f9424c66613168d5dba42ae4a30a.jpg"/><Relationship Id="rId494" Type="http://schemas.openxmlformats.org/officeDocument/2006/relationships/image" Target="media/0ae62f24735fd7a63858b1b62f34d7fb423b6545.jpg"/><Relationship Id="rId495" Type="http://schemas.openxmlformats.org/officeDocument/2006/relationships/image" Target="media/b5feed2bdc9cfdf228435b8f2f148776f3c3b4be.jpg"/><Relationship Id="rId496" Type="http://schemas.openxmlformats.org/officeDocument/2006/relationships/image" Target="media/b7c9e27277b49d7a9eec959338d82212d95c0735.jpg"/><Relationship Id="rId497" Type="http://schemas.openxmlformats.org/officeDocument/2006/relationships/image" Target="media/35b8078f63ff9377d552d8d4dfb9a04741b4f7de.jpg"/><Relationship Id="rId498" Type="http://schemas.openxmlformats.org/officeDocument/2006/relationships/image" Target="media/74f9f76ba96d91895448793fbda8bf46b0b151fc.jpg"/><Relationship Id="rId499" Type="http://schemas.openxmlformats.org/officeDocument/2006/relationships/image" Target="media/822c6ceea7846a979b7af52401e0f0be74263c6b.jpg"/><Relationship Id="rId500" Type="http://schemas.openxmlformats.org/officeDocument/2006/relationships/image" Target="media/c4d90da9b36b19be76734f4f7b8f17bc6cf97f5c.jpg"/><Relationship Id="rId501" Type="http://schemas.openxmlformats.org/officeDocument/2006/relationships/image" Target="media/455a4f100a79bee09927c3be89a93c154874fac8.jpg"/><Relationship Id="rId502" Type="http://schemas.openxmlformats.org/officeDocument/2006/relationships/image" Target="media/2d5e37e0063cce7b22dd38d9fcd2e3219852fb64.jpg"/><Relationship Id="rId503" Type="http://schemas.openxmlformats.org/officeDocument/2006/relationships/image" Target="media/2fb1fcf04be5a222cbed568e32f7e5f049dbc5d7.jpg"/><Relationship Id="rId504" Type="http://schemas.openxmlformats.org/officeDocument/2006/relationships/image" Target="media/ec1601b9f1252f8479cb06eafd38fce7ca4cb820.jpg"/><Relationship Id="rId505" Type="http://schemas.openxmlformats.org/officeDocument/2006/relationships/image" Target="media/c154f4b499f2a311e8564a612fa6bf397bfa2b01.jpg"/><Relationship Id="rId506" Type="http://schemas.openxmlformats.org/officeDocument/2006/relationships/image" Target="media/e31aef715e7b5e6f1fc634731006c888916ff795.jpg"/><Relationship Id="rId507" Type="http://schemas.openxmlformats.org/officeDocument/2006/relationships/image" Target="media/6eb0d306acc7ad5d4055308d186c56c1790cc3ab.jpg"/><Relationship Id="rId508" Type="http://schemas.openxmlformats.org/officeDocument/2006/relationships/image" Target="media/da620c2b9732ab96f9eb2e5c2e907396cc955162.jpg"/><Relationship Id="rId509" Type="http://schemas.openxmlformats.org/officeDocument/2006/relationships/image" Target="media/9af62b79d7bac31cc29cfe16e03365a57e9996d2.jpg"/><Relationship Id="rId510" Type="http://schemas.openxmlformats.org/officeDocument/2006/relationships/image" Target="media/9e0de3b64a52f8ca7e472421f1253d705f1eef15.jpg"/><Relationship Id="rId511" Type="http://schemas.openxmlformats.org/officeDocument/2006/relationships/image" Target="media/1e09b9b80b81eff594fdbc445fed9445b9678676.jpg"/><Relationship Id="rId512" Type="http://schemas.openxmlformats.org/officeDocument/2006/relationships/image" Target="media/fe931df883e4372fa61af9fdae042e6f75feda2e.jpg"/><Relationship Id="rId513" Type="http://schemas.openxmlformats.org/officeDocument/2006/relationships/image" Target="media/6107c804f99d421bcc083d2184a4e9a8db61ac88.jpg"/><Relationship Id="rId514" Type="http://schemas.openxmlformats.org/officeDocument/2006/relationships/image" Target="media/393f4bd51f90831b5aa5aab290df5aaaa355eade.jpg"/><Relationship Id="rId515" Type="http://schemas.openxmlformats.org/officeDocument/2006/relationships/image" Target="media/1258db2301815adecbb333d37ad2f9d0455cf3b7.jpg"/><Relationship Id="rId516" Type="http://schemas.openxmlformats.org/officeDocument/2006/relationships/image" Target="media/eac23423fdcd1c977b99e3a49eeea4c08603d810.jpg"/><Relationship Id="rId517" Type="http://schemas.openxmlformats.org/officeDocument/2006/relationships/image" Target="media/c705b08a29f55c051f2833d46144e1530b9572b0.jpg"/><Relationship Id="rId518" Type="http://schemas.openxmlformats.org/officeDocument/2006/relationships/image" Target="media/c45e9ea894d55d20856b6b965990cd63f4dfdfa5.jpg"/><Relationship Id="rId519" Type="http://schemas.openxmlformats.org/officeDocument/2006/relationships/image" Target="media/59438f14159f4b57c25a23f16dcbfff540383ef2.jpg"/><Relationship Id="rId520" Type="http://schemas.openxmlformats.org/officeDocument/2006/relationships/image" Target="media/078c2789833e9da9a090d5984ed9a4fac464ffe3.jpg"/><Relationship Id="rId521" Type="http://schemas.openxmlformats.org/officeDocument/2006/relationships/image" Target="media/ca3b09bb9cc0caba7f83ce010ebc22caf237e51c.jpg"/><Relationship Id="rId522" Type="http://schemas.openxmlformats.org/officeDocument/2006/relationships/image" Target="media/b1cba50004f44cbbe20affab8051fd08a63d3032.jpg"/><Relationship Id="rId523" Type="http://schemas.openxmlformats.org/officeDocument/2006/relationships/image" Target="media/80aaf405d9d8e37e2efc1e4d384c36eddecc73ec.jpg"/><Relationship Id="rId524" Type="http://schemas.openxmlformats.org/officeDocument/2006/relationships/image" Target="media/94130a57bfc078daa716a030c1cf6f17da792b3d.jpg"/><Relationship Id="rId525" Type="http://schemas.openxmlformats.org/officeDocument/2006/relationships/image" Target="media/2332fe91d9c435081854cc933ad07d9f34684d4a.jpg"/><Relationship Id="rId526" Type="http://schemas.openxmlformats.org/officeDocument/2006/relationships/image" Target="media/7425f818c58987b9e7286e242b834cda113b5a75.jpg"/><Relationship Id="rId527" Type="http://schemas.openxmlformats.org/officeDocument/2006/relationships/image" Target="media/b7ca56c96122dcf0cd187bc828e7a9710cf5bd6c.jpg"/><Relationship Id="rId528" Type="http://schemas.openxmlformats.org/officeDocument/2006/relationships/image" Target="media/dc74cc5b2b23d6a224e476a6f2b87fed36c9ff8b.jpg"/><Relationship Id="rId529" Type="http://schemas.openxmlformats.org/officeDocument/2006/relationships/image" Target="media/e4ee06b6bf9e61d290ba7bde11afed3858e9ea90.jpg"/><Relationship Id="rId530" Type="http://schemas.openxmlformats.org/officeDocument/2006/relationships/image" Target="media/bf71a3514ee8924ca98c50285d989c9f1a07f863.jpg"/><Relationship Id="rId531" Type="http://schemas.openxmlformats.org/officeDocument/2006/relationships/image" Target="media/d98b83fb371ab0086b59e99b219bb8375fb88dd5.jpg"/><Relationship Id="rId532" Type="http://schemas.openxmlformats.org/officeDocument/2006/relationships/image" Target="media/f8fe19c09951c991ca9b9f6df6dbc169a2d8af5b.jpg"/><Relationship Id="rId533" Type="http://schemas.openxmlformats.org/officeDocument/2006/relationships/image" Target="media/9be5610dee3b644762fb5f47b34be672bf1b4207.jpg"/><Relationship Id="rId534" Type="http://schemas.openxmlformats.org/officeDocument/2006/relationships/image" Target="media/56cb3ab9d37505d598eee5e0b32b37d1f4570fde.jpg"/><Relationship Id="rId535" Type="http://schemas.openxmlformats.org/officeDocument/2006/relationships/image" Target="media/40109c57c29b99442c48a602e443db16cd398d9e.jpg"/><Relationship Id="rId536" Type="http://schemas.openxmlformats.org/officeDocument/2006/relationships/image" Target="media/b552bbfd56c8ea843e409eb00ab6a683828e7b42.jpg"/><Relationship Id="rId537" Type="http://schemas.openxmlformats.org/officeDocument/2006/relationships/image" Target="media/ee95a18a7d0ec053f420135d1a884f1236ece2ee.jpg"/><Relationship Id="rId538" Type="http://schemas.openxmlformats.org/officeDocument/2006/relationships/image" Target="media/ee623ebcb70ada8943abcc9b68e5b2be5af2e158.jpg"/><Relationship Id="rId539" Type="http://schemas.openxmlformats.org/officeDocument/2006/relationships/image" Target="media/0357a74bc9b71c987f710188ab83808ea6b4c0e3.jpg"/><Relationship Id="rId540" Type="http://schemas.openxmlformats.org/officeDocument/2006/relationships/image" Target="media/9b02ef99897885850fc45694abef4d8ec1e787f9.jpg"/><Relationship Id="rId541" Type="http://schemas.openxmlformats.org/officeDocument/2006/relationships/image" Target="media/49c02a67e97c3b8ddcac05943a3577e2c7dba3f9.jpg"/><Relationship Id="rId542" Type="http://schemas.openxmlformats.org/officeDocument/2006/relationships/image" Target="media/56ff8d53a48aa7955602a2dd3ba645ec6dbde148.jpg"/><Relationship Id="rId543" Type="http://schemas.openxmlformats.org/officeDocument/2006/relationships/image" Target="media/67fbf69f7f008d7145a317271342c31264916336.jpg"/><Relationship Id="rId544" Type="http://schemas.openxmlformats.org/officeDocument/2006/relationships/image" Target="media/e28a8161f3ee98ed05c8403413008f05ce1df2da.jpg"/><Relationship Id="rId545" Type="http://schemas.openxmlformats.org/officeDocument/2006/relationships/image" Target="media/d769e3fae907a08a4b768f8fb6d18b648c598213.jpg"/><Relationship Id="rId546" Type="http://schemas.openxmlformats.org/officeDocument/2006/relationships/image" Target="media/9221e18511268beec82a456ceb40034b3351a154.jpg"/><Relationship Id="rId547" Type="http://schemas.openxmlformats.org/officeDocument/2006/relationships/image" Target="media/ed063aeac9b62f56b534772e94ddd7de36e41bb7.jpg"/><Relationship Id="rId548" Type="http://schemas.openxmlformats.org/officeDocument/2006/relationships/image" Target="media/5e939fbfdb8cd85818f3c62a2c56e734c484e2d9.jpg"/><Relationship Id="rId549" Type="http://schemas.openxmlformats.org/officeDocument/2006/relationships/image" Target="media/2b65ee7d0087d39bc34f4ed0add1b371cefd88f9.jpg"/><Relationship Id="rId550" Type="http://schemas.openxmlformats.org/officeDocument/2006/relationships/image" Target="media/1fa03d2b1563dddae2c80ee091d7ca9c728e6a53.jpg"/><Relationship Id="rId551" Type="http://schemas.openxmlformats.org/officeDocument/2006/relationships/image" Target="media/90feb3624abea5de38aff4869b4a4863719d843c.jpg"/><Relationship Id="rId552" Type="http://schemas.openxmlformats.org/officeDocument/2006/relationships/image" Target="media/2c0219b763abe6c815f1e6c2046abd75a85ea534.jpg"/><Relationship Id="rId553" Type="http://schemas.openxmlformats.org/officeDocument/2006/relationships/image" Target="media/f7051a51581f9f8812f1a442600c33fea0973e9a.jpg"/><Relationship Id="rId554" Type="http://schemas.openxmlformats.org/officeDocument/2006/relationships/image" Target="media/3ac1b9c9d8fb661f1dd05e9a4b0c1f0814977880.jpg"/><Relationship Id="rId555" Type="http://schemas.openxmlformats.org/officeDocument/2006/relationships/image" Target="media/e7f4c7d80327d6e21a219b59ea4f52634cb9b54f.jpg"/><Relationship Id="rId556" Type="http://schemas.openxmlformats.org/officeDocument/2006/relationships/image" Target="media/504c23ce7052eea0a7b3fb2a1e55b1bf27b90ee1.jpg"/><Relationship Id="rId557" Type="http://schemas.openxmlformats.org/officeDocument/2006/relationships/image" Target="media/a6774a2a3c9727ab15cb68b6d2efacc93b1e3f79.jpg"/><Relationship Id="rId558" Type="http://schemas.openxmlformats.org/officeDocument/2006/relationships/image" Target="media/2427b4adea10d96ce67db3d13618fd705d242828.jpg"/><Relationship Id="rId559" Type="http://schemas.openxmlformats.org/officeDocument/2006/relationships/image" Target="media/4bfbf3b5ede18289db23321c1d8f03a50ca0292a.jpg"/><Relationship Id="rId560" Type="http://schemas.openxmlformats.org/officeDocument/2006/relationships/image" Target="media/341f448f56b51bd4b271e40da5a70544a0ba07e4.jpg"/><Relationship Id="rId561" Type="http://schemas.openxmlformats.org/officeDocument/2006/relationships/image" Target="media/d10daba6b561c8a7ce72fd5c81f854e0336620d0.jpg"/><Relationship Id="rId562" Type="http://schemas.openxmlformats.org/officeDocument/2006/relationships/image" Target="media/85dbe00733a94fd7324d915611b24fb29e759d40.jpg"/><Relationship Id="rId563" Type="http://schemas.openxmlformats.org/officeDocument/2006/relationships/image" Target="media/c3e38880c7dbdcd06eaabd55b98ed217faa8b4b7.jpg"/><Relationship Id="rId564" Type="http://schemas.openxmlformats.org/officeDocument/2006/relationships/image" Target="media/91522a047cc563a33b7bc463a2e7ce198d7a925d.jpg"/><Relationship Id="rId565" Type="http://schemas.openxmlformats.org/officeDocument/2006/relationships/image" Target="media/24c8b8a2d2c437e934caeaa8db50cd9a32b90e07.jpg"/><Relationship Id="rId566" Type="http://schemas.openxmlformats.org/officeDocument/2006/relationships/image" Target="media/b1846bae022d966503af27a710042cba66910587.jpg"/><Relationship Id="rId567" Type="http://schemas.openxmlformats.org/officeDocument/2006/relationships/image" Target="media/85e0d77b61ce33ec3f80fcc286f9ac9ab3627493.jpg"/><Relationship Id="rId568" Type="http://schemas.openxmlformats.org/officeDocument/2006/relationships/image" Target="media/861655767804f2b97d41bfcfa838fb100a54e286.jpg"/><Relationship Id="rId569" Type="http://schemas.openxmlformats.org/officeDocument/2006/relationships/image" Target="media/60f595a48f077508937e8232fbb243b7ef92e435.jpg"/><Relationship Id="rId570" Type="http://schemas.openxmlformats.org/officeDocument/2006/relationships/image" Target="media/2432b14ceec431b7f9332292ff42190d7e564ab8.jpg"/><Relationship Id="rId571" Type="http://schemas.openxmlformats.org/officeDocument/2006/relationships/image" Target="media/92b3b9250f7c801bbaa31d82bae6ab8300078d0b.jpg"/><Relationship Id="rId572" Type="http://schemas.openxmlformats.org/officeDocument/2006/relationships/image" Target="media/a74d39506deab75d072f27d4d708728251b2d89e.jpg"/><Relationship Id="rId573" Type="http://schemas.openxmlformats.org/officeDocument/2006/relationships/image" Target="media/e8ec4017b2bf18fa3368429256e549a300afeda8.jpg"/><Relationship Id="rId574" Type="http://schemas.openxmlformats.org/officeDocument/2006/relationships/image" Target="media/5ec2bfc5be2a6f6c35d17188e1592d2ee9fb82e1.jpg"/><Relationship Id="rId575" Type="http://schemas.openxmlformats.org/officeDocument/2006/relationships/image" Target="media/d5c4b5ad6753c960f34a8fec2fb70f7b7f1e01d2.jpg"/><Relationship Id="rId576" Type="http://schemas.openxmlformats.org/officeDocument/2006/relationships/image" Target="media/3faf9a36eac9484fd52dcde7c704e0356029159c.jpg"/><Relationship Id="rId577" Type="http://schemas.openxmlformats.org/officeDocument/2006/relationships/image" Target="media/15bb2e65c42ba46d10ed9adb50f655e4de321cd4.jpg"/><Relationship Id="rId578" Type="http://schemas.openxmlformats.org/officeDocument/2006/relationships/image" Target="media/a7a86a76a27c69a8c4d94afcfb32b3494fd5e8c0.jpg"/><Relationship Id="rId579" Type="http://schemas.openxmlformats.org/officeDocument/2006/relationships/image" Target="media/b233d67b2e94e702d8893c15f1a90de85cf6a0bc.jpg"/><Relationship Id="rId580" Type="http://schemas.openxmlformats.org/officeDocument/2006/relationships/image" Target="media/02c40a8cb99ae02116d59d869cb01de7dfc349cb.jpg"/><Relationship Id="rId581" Type="http://schemas.openxmlformats.org/officeDocument/2006/relationships/image" Target="media/b87ae7889f9d16fb337761f84e9db85bb6cef2a9.jpg"/><Relationship Id="rId582" Type="http://schemas.openxmlformats.org/officeDocument/2006/relationships/image" Target="media/ae6008b83fce8f5bef6715893e5d9c6b612d1d29.jpg"/><Relationship Id="rId583" Type="http://schemas.openxmlformats.org/officeDocument/2006/relationships/image" Target="media/951867fe56e746517ac2568752a78cb002b19a68.jpg"/><Relationship Id="rId584" Type="http://schemas.openxmlformats.org/officeDocument/2006/relationships/image" Target="media/8e3e5d0d7149c5782be9538696a95acdc06e1e1f.jpg"/><Relationship Id="rId585" Type="http://schemas.openxmlformats.org/officeDocument/2006/relationships/image" Target="media/f776f77034663fff2eea54cd13b46efbf6f0f213.jpg"/><Relationship Id="rId586" Type="http://schemas.openxmlformats.org/officeDocument/2006/relationships/image" Target="media/1b999de8f67a7910bfccf8e18a8e12f7ae3d20b8.jpg"/><Relationship Id="rId587" Type="http://schemas.openxmlformats.org/officeDocument/2006/relationships/image" Target="media/f977251a554f09849bc88fa4bdcc8fe8c6c45958.jpg"/><Relationship Id="rId588" Type="http://schemas.openxmlformats.org/officeDocument/2006/relationships/image" Target="media/8290aa8a52e8a655e84e3713820eb6b5239f1d6e.jpg"/><Relationship Id="rId589" Type="http://schemas.openxmlformats.org/officeDocument/2006/relationships/image" Target="media/682375e1e18024a7b54f636a679734f4b9d7975b.jpg"/><Relationship Id="rId590" Type="http://schemas.openxmlformats.org/officeDocument/2006/relationships/image" Target="media/702b0eb1962250b0e5504d787c22319800962c19.jpg"/><Relationship Id="rId591" Type="http://schemas.openxmlformats.org/officeDocument/2006/relationships/image" Target="media/2e84d1bebb0674ad023e63b0a84e9e894c49cef6.jpg"/><Relationship Id="rId592" Type="http://schemas.openxmlformats.org/officeDocument/2006/relationships/image" Target="media/35f58f31e9d4b9ad325367792d27ee714b1db932.jpg"/><Relationship Id="rId593" Type="http://schemas.openxmlformats.org/officeDocument/2006/relationships/image" Target="media/a488b4d778dfbf5d6eadfe6c12d8b3cc5f8e126c.jpg"/><Relationship Id="rId594" Type="http://schemas.openxmlformats.org/officeDocument/2006/relationships/image" Target="media/a63242f2372c7d738bc121db06893baab0427389.jpg"/><Relationship Id="rId595" Type="http://schemas.openxmlformats.org/officeDocument/2006/relationships/image" Target="media/78c29886fbec840aaed7a759a2e4c79974849cef.jpg"/><Relationship Id="rId596" Type="http://schemas.openxmlformats.org/officeDocument/2006/relationships/image" Target="media/ec0ec06f40da47ce0aa3a00db4ca39dddf1e2ca4.jpg"/><Relationship Id="rId597" Type="http://schemas.openxmlformats.org/officeDocument/2006/relationships/image" Target="media/216623238fea35bdfd76ccc188040216a10ffa36.jpg"/><Relationship Id="rId598" Type="http://schemas.openxmlformats.org/officeDocument/2006/relationships/image" Target="media/13edc78b3440a7ca6878eeec23a1b0062b977e40.jpg"/><Relationship Id="rId599" Type="http://schemas.openxmlformats.org/officeDocument/2006/relationships/image" Target="media/08b5b3033bbfcca4ea78e7154642b629e16a4b53.jpg"/><Relationship Id="rId600" Type="http://schemas.openxmlformats.org/officeDocument/2006/relationships/image" Target="media/1bfee620404b185319da380cb8ae62160e845fba.jpg"/><Relationship Id="rId601" Type="http://schemas.openxmlformats.org/officeDocument/2006/relationships/image" Target="media/e27459ed5e3aa8366666725a970d48b38ada51f9.jpg"/><Relationship Id="rId602" Type="http://schemas.openxmlformats.org/officeDocument/2006/relationships/image" Target="media/68e71780db99ad3e21153e3cc59d6d550220b2c3.jpg"/><Relationship Id="rId603" Type="http://schemas.openxmlformats.org/officeDocument/2006/relationships/image" Target="media/930f0e4e3d643e3b387b6232094a963e33b34be6.jpg"/><Relationship Id="rId604" Type="http://schemas.openxmlformats.org/officeDocument/2006/relationships/image" Target="media/a32f656bdc85c58cb346aa5521ce4f1a097337c1.jpg"/><Relationship Id="rId605" Type="http://schemas.openxmlformats.org/officeDocument/2006/relationships/image" Target="media/bda88a290b3f78602ae4be6d101a23b599c42ee2.jpg"/><Relationship Id="rId606" Type="http://schemas.openxmlformats.org/officeDocument/2006/relationships/image" Target="media/5160f04f26ec96d6f17a38ef7603ab72833c4967.jpg"/><Relationship Id="rId607" Type="http://schemas.openxmlformats.org/officeDocument/2006/relationships/image" Target="media/1a2229862493f6a4f203f41cdccb6a803c323d58.jpg"/><Relationship Id="rId608" Type="http://schemas.openxmlformats.org/officeDocument/2006/relationships/image" Target="media/12a029b59f00ca7504467b28108bc12c9617f304.jpg"/><Relationship Id="rId609" Type="http://schemas.openxmlformats.org/officeDocument/2006/relationships/image" Target="media/ec16e2d160fa086ea9f8eed3b604132538dee025.jpg"/><Relationship Id="rId610" Type="http://schemas.openxmlformats.org/officeDocument/2006/relationships/image" Target="media/7afe76362c79683ef3ddb7261865ad14186601f4.jpg"/><Relationship Id="rId611" Type="http://schemas.openxmlformats.org/officeDocument/2006/relationships/image" Target="media/b7fc429bd3e6f71567be8a97f12786d944cdfe90.jpg"/><Relationship Id="rId612" Type="http://schemas.openxmlformats.org/officeDocument/2006/relationships/image" Target="media/928c4645c180119cd5e70e000b332cdc646e98c9.jpg"/><Relationship Id="rId613" Type="http://schemas.openxmlformats.org/officeDocument/2006/relationships/image" Target="media/47f185a63bdd5920409dddccbf2114aca5eb1a8e.jpg"/><Relationship Id="rId614" Type="http://schemas.openxmlformats.org/officeDocument/2006/relationships/image" Target="media/78b7a2bcfb3fcea2a6b65755af52449928e90280.jpg"/><Relationship Id="rId615" Type="http://schemas.openxmlformats.org/officeDocument/2006/relationships/image" Target="media/57e520142e78b01aab880aeaef7493682448faf8.jpg"/><Relationship Id="rId616" Type="http://schemas.openxmlformats.org/officeDocument/2006/relationships/image" Target="media/5e12403daa628ef01747c59e3ae51b8df234673f.jpg"/><Relationship Id="rId617" Type="http://schemas.openxmlformats.org/officeDocument/2006/relationships/image" Target="media/76ba6da7df3197fee02ca75f819e394d333c87c8.jpg"/><Relationship Id="rId618" Type="http://schemas.openxmlformats.org/officeDocument/2006/relationships/image" Target="media/5e4aef2817acbb564d0039d70de16c4329549cce.jpg"/><Relationship Id="rId619" Type="http://schemas.openxmlformats.org/officeDocument/2006/relationships/image" Target="media/5a8b4dd850c098c2b17893509489b9f3a045583e.jpg"/><Relationship Id="rId620" Type="http://schemas.openxmlformats.org/officeDocument/2006/relationships/image" Target="media/86e1e5dcd26a0796d8e002d96f1acc8ce8095d57.jpg"/><Relationship Id="rId621" Type="http://schemas.openxmlformats.org/officeDocument/2006/relationships/image" Target="media/46758d4ac1b27460e8017f02b27344a5d5a44d6e.jpg"/><Relationship Id="rId622" Type="http://schemas.openxmlformats.org/officeDocument/2006/relationships/image" Target="media/09cbacc5ba78c7c3e984b7a46927cd0eddaa5993.jpg"/><Relationship Id="rId623" Type="http://schemas.openxmlformats.org/officeDocument/2006/relationships/image" Target="media/1745952950470ef9b0b30f69ad022529bb44c59b.jpg"/><Relationship Id="rId624" Type="http://schemas.openxmlformats.org/officeDocument/2006/relationships/image" Target="media/dee7495062f183996ad6b3991d1a55fc75be9597.jpg"/><Relationship Id="rId625" Type="http://schemas.openxmlformats.org/officeDocument/2006/relationships/image" Target="media/13fa37e0640a3013e18dce26e7d6b3e470597b94.jpg"/><Relationship Id="rId626" Type="http://schemas.openxmlformats.org/officeDocument/2006/relationships/image" Target="media/03d6cb612723cea5f01484353afee2d64b86af6e.jpg"/><Relationship Id="rId627" Type="http://schemas.openxmlformats.org/officeDocument/2006/relationships/image" Target="media/94fae0bfbfb0073742e6eba2dad9031daf213a9b.jpg"/><Relationship Id="rId628" Type="http://schemas.openxmlformats.org/officeDocument/2006/relationships/image" Target="media/390f687b8a04260696dd2c774a0650643c358a7e.jpg"/><Relationship Id="rId629" Type="http://schemas.openxmlformats.org/officeDocument/2006/relationships/image" Target="media/cdfb4ec361ca309eedc5e76d92de476457195c92.jpg"/><Relationship Id="rId630" Type="http://schemas.openxmlformats.org/officeDocument/2006/relationships/image" Target="media/e874b6916791f042bad723b097520b8e33decc98.jpg"/><Relationship Id="rId631" Type="http://schemas.openxmlformats.org/officeDocument/2006/relationships/image" Target="media/e6da7d2cc0909463adc5f24d3e57e1b42e859b89.jpg"/><Relationship Id="rId632" Type="http://schemas.openxmlformats.org/officeDocument/2006/relationships/image" Target="media/3c61c81e2a7d228e9e67dd825bb99210eb32c5a3.jpg"/><Relationship Id="rId633" Type="http://schemas.openxmlformats.org/officeDocument/2006/relationships/image" Target="media/bcbf68c4bb909fd9bf1fa29fbec1192e8ca8db39.jpg"/><Relationship Id="rId634" Type="http://schemas.openxmlformats.org/officeDocument/2006/relationships/image" Target="media/9775916ec042e4aaa8e80b37d05c0447695a955b.jpg"/><Relationship Id="rId63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er6.xml.rels><?xml version="1.0" encoding="UTF-8"?><Relationships xmlns="http://schemas.openxmlformats.org/package/2006/relationships"/>
</file>

<file path=word/_rels/footer7.xml.rels><?xml version="1.0" encoding="UTF-8"?><Relationships xmlns="http://schemas.openxmlformats.org/package/2006/relationships"/>
</file>

<file path=word/_rels/footer8.xml.rels><?xml version="1.0" encoding="UTF-8"?><Relationships xmlns="http://schemas.openxmlformats.org/package/2006/relationships"/>
</file>

<file path=word/_rels/footer9.xml.rels><?xml version="1.0" encoding="UTF-8"?><Relationships xmlns="http://schemas.openxmlformats.org/package/2006/relationships"/>
</file>

<file path=word/_rels/footer10.xml.rels><?xml version="1.0" encoding="UTF-8"?><Relationships xmlns="http://schemas.openxmlformats.org/package/2006/relationships"/>
</file>

<file path=word/_rels/footer11.xml.rels><?xml version="1.0" encoding="UTF-8"?><Relationships xmlns="http://schemas.openxmlformats.org/package/2006/relationships"/>
</file>

<file path=word/_rels/footer12.xml.rels><?xml version="1.0" encoding="UTF-8"?><Relationships xmlns="http://schemas.openxmlformats.org/package/2006/relationships"/>
</file>

<file path=word/_rels/footer13.xml.rels><?xml version="1.0" encoding="UTF-8"?><Relationships xmlns="http://schemas.openxmlformats.org/package/2006/relationships"/>
</file>

<file path=word/_rels/footer14.xml.rels><?xml version="1.0" encoding="UTF-8"?><Relationships xmlns="http://schemas.openxmlformats.org/package/2006/relationships"/>
</file>

<file path=word/_rels/footer15.xml.rels><?xml version="1.0" encoding="UTF-8"?><Relationships xmlns="http://schemas.openxmlformats.org/package/2006/relationships"/>
</file>

<file path=word/_rels/footer16.xml.rels><?xml version="1.0" encoding="UTF-8"?><Relationships xmlns="http://schemas.openxmlformats.org/package/2006/relationships"/>
</file>

<file path=word/_rels/footer17.xml.rels><?xml version="1.0" encoding="UTF-8"?><Relationships xmlns="http://schemas.openxmlformats.org/package/2006/relationships"/>
</file>

<file path=word/_rels/footer18.xml.rels><?xml version="1.0" encoding="UTF-8"?><Relationships xmlns="http://schemas.openxmlformats.org/package/2006/relationships"/>
</file>

<file path=word/_rels/footer19.xml.rels><?xml version="1.0" encoding="UTF-8"?><Relationships xmlns="http://schemas.openxmlformats.org/package/2006/relationships"/>
</file>

<file path=word/_rels/footer20.xml.rels><?xml version="1.0" encoding="UTF-8"?><Relationships xmlns="http://schemas.openxmlformats.org/package/2006/relationships"/>
</file>

<file path=word/_rels/footer21.xml.rels><?xml version="1.0" encoding="UTF-8"?><Relationships xmlns="http://schemas.openxmlformats.org/package/2006/relationships"/>
</file>

<file path=word/_rels/footer22.xml.rels><?xml version="1.0" encoding="UTF-8"?><Relationships xmlns="http://schemas.openxmlformats.org/package/2006/relationships"/>
</file>

<file path=word/_rels/footer23.xml.rels><?xml version="1.0" encoding="UTF-8"?><Relationships xmlns="http://schemas.openxmlformats.org/package/2006/relationships"/>
</file>

<file path=word/_rels/footer24.xml.rels><?xml version="1.0" encoding="UTF-8"?><Relationships xmlns="http://schemas.openxmlformats.org/package/2006/relationships"/>
</file>

<file path=word/_rels/footer25.xml.rels><?xml version="1.0" encoding="UTF-8"?><Relationships xmlns="http://schemas.openxmlformats.org/package/2006/relationships"/>
</file>

<file path=word/_rels/footer26.xml.rels><?xml version="1.0" encoding="UTF-8"?><Relationships xmlns="http://schemas.openxmlformats.org/package/2006/relationships"/>
</file>

<file path=word/_rels/footer27.xml.rels><?xml version="1.0" encoding="UTF-8"?><Relationships xmlns="http://schemas.openxmlformats.org/package/2006/relationships"/>
</file>

<file path=word/_rels/footer28.xml.rels><?xml version="1.0" encoding="UTF-8"?><Relationships xmlns="http://schemas.openxmlformats.org/package/2006/relationships"/>
</file>

<file path=word/_rels/footer29.xml.rels><?xml version="1.0" encoding="UTF-8"?><Relationships xmlns="http://schemas.openxmlformats.org/package/2006/relationships"/>
</file>

<file path=word/_rels/footer30.xml.rels><?xml version="1.0" encoding="UTF-8"?><Relationships xmlns="http://schemas.openxmlformats.org/package/2006/relationships"/>
</file>

<file path=word/_rels/footer31.xml.rels><?xml version="1.0" encoding="UTF-8"?><Relationships xmlns="http://schemas.openxmlformats.org/package/2006/relationships"/>
</file>

<file path=word/_rels/footer32.xml.rels><?xml version="1.0" encoding="UTF-8"?><Relationships xmlns="http://schemas.openxmlformats.org/package/2006/relationships"/>
</file>

<file path=word/_rels/footer33.xml.rels><?xml version="1.0" encoding="UTF-8"?><Relationships xmlns="http://schemas.openxmlformats.org/package/2006/relationships"/>
</file>

<file path=word/_rels/footer34.xml.rels><?xml version="1.0" encoding="UTF-8"?><Relationships xmlns="http://schemas.openxmlformats.org/package/2006/relationships"/>
</file>

<file path=word/_rels/footer35.xml.rels><?xml version="1.0" encoding="UTF-8"?><Relationships xmlns="http://schemas.openxmlformats.org/package/2006/relationships"/>
</file>

<file path=word/_rels/footer36.xml.rels><?xml version="1.0" encoding="UTF-8"?><Relationships xmlns="http://schemas.openxmlformats.org/package/2006/relationships"/>
</file>

<file path=word/_rels/footer37.xml.rels><?xml version="1.0" encoding="UTF-8"?><Relationships xmlns="http://schemas.openxmlformats.org/package/2006/relationships"/>
</file>

<file path=word/_rels/footer38.xml.rels><?xml version="1.0" encoding="UTF-8"?><Relationships xmlns="http://schemas.openxmlformats.org/package/2006/relationships"/>
</file>

<file path=word/_rels/footer39.xml.rels><?xml version="1.0" encoding="UTF-8"?><Relationships xmlns="http://schemas.openxmlformats.org/package/2006/relationships"/>
</file>

<file path=word/_rels/footer40.xml.rels><?xml version="1.0" encoding="UTF-8"?><Relationships xmlns="http://schemas.openxmlformats.org/package/2006/relationships"/>
</file>

<file path=word/_rels/footer41.xml.rels><?xml version="1.0" encoding="UTF-8"?><Relationships xmlns="http://schemas.openxmlformats.org/package/2006/relationships"/>
</file>

<file path=word/_rels/footer42.xml.rels><?xml version="1.0" encoding="UTF-8"?><Relationships xmlns="http://schemas.openxmlformats.org/package/2006/relationships"/>
</file>

<file path=word/_rels/footer43.xml.rels><?xml version="1.0" encoding="UTF-8"?><Relationships xmlns="http://schemas.openxmlformats.org/package/2006/relationships"/>
</file>

<file path=word/_rels/footer44.xml.rels><?xml version="1.0" encoding="UTF-8"?><Relationships xmlns="http://schemas.openxmlformats.org/package/2006/relationships"/>
</file>

<file path=word/_rels/footer45.xml.rels><?xml version="1.0" encoding="UTF-8"?><Relationships xmlns="http://schemas.openxmlformats.org/package/2006/relationships"/>
</file>

<file path=word/_rels/footer46.xml.rels><?xml version="1.0" encoding="UTF-8"?><Relationships xmlns="http://schemas.openxmlformats.org/package/2006/relationships"/>
</file>

<file path=word/_rels/footer47.xml.rels><?xml version="1.0" encoding="UTF-8"?><Relationships xmlns="http://schemas.openxmlformats.org/package/2006/relationships"/>
</file>

<file path=word/_rels/footer48.xml.rels><?xml version="1.0" encoding="UTF-8"?><Relationships xmlns="http://schemas.openxmlformats.org/package/2006/relationships"/>
</file>

<file path=word/_rels/footer49.xml.rels><?xml version="1.0" encoding="UTF-8"?><Relationships xmlns="http://schemas.openxmlformats.org/package/2006/relationships"/>
</file>

<file path=word/_rels/footer50.xml.rels><?xml version="1.0" encoding="UTF-8"?><Relationships xmlns="http://schemas.openxmlformats.org/package/2006/relationships"/>
</file>

<file path=word/_rels/footer51.xml.rels><?xml version="1.0" encoding="UTF-8"?><Relationships xmlns="http://schemas.openxmlformats.org/package/2006/relationships"/>
</file>

<file path=word/_rels/footer52.xml.rels><?xml version="1.0" encoding="UTF-8"?><Relationships xmlns="http://schemas.openxmlformats.org/package/2006/relationships"/>
</file>

<file path=word/_rels/footer53.xml.rels><?xml version="1.0" encoding="UTF-8"?><Relationships xmlns="http://schemas.openxmlformats.org/package/2006/relationships"/>
</file>

<file path=word/_rels/footer54.xml.rels><?xml version="1.0" encoding="UTF-8"?><Relationships xmlns="http://schemas.openxmlformats.org/package/2006/relationships"/>
</file>

<file path=word/_rels/footer55.xml.rels><?xml version="1.0" encoding="UTF-8"?><Relationships xmlns="http://schemas.openxmlformats.org/package/2006/relationships"/>
</file>

<file path=word/_rels/footer56.xml.rels><?xml version="1.0" encoding="UTF-8"?><Relationships xmlns="http://schemas.openxmlformats.org/package/2006/relationships"/>
</file>

<file path=word/_rels/footer57.xml.rels><?xml version="1.0" encoding="UTF-8"?><Relationships xmlns="http://schemas.openxmlformats.org/package/2006/relationships"/>
</file>

<file path=word/_rels/footer58.xml.rels><?xml version="1.0" encoding="UTF-8"?><Relationships xmlns="http://schemas.openxmlformats.org/package/2006/relationships"/>
</file>

<file path=word/_rels/footer59.xml.rels><?xml version="1.0" encoding="UTF-8"?><Relationships xmlns="http://schemas.openxmlformats.org/package/2006/relationships"/>
</file>

<file path=word/_rels/footer60.xml.rels><?xml version="1.0" encoding="UTF-8"?><Relationships xmlns="http://schemas.openxmlformats.org/package/2006/relationships"/>
</file>

<file path=word/_rels/footer61.xml.rels><?xml version="1.0" encoding="UTF-8"?><Relationships xmlns="http://schemas.openxmlformats.org/package/2006/relationships"/>
</file>

<file path=word/_rels/footer62.xml.rels><?xml version="1.0" encoding="UTF-8"?><Relationships xmlns="http://schemas.openxmlformats.org/package/2006/relationships"/>
</file>

<file path=word/_rels/footer63.xml.rels><?xml version="1.0" encoding="UTF-8"?><Relationships xmlns="http://schemas.openxmlformats.org/package/2006/relationships"/>
</file>

<file path=word/_rels/footer64.xml.rels><?xml version="1.0" encoding="UTF-8"?><Relationships xmlns="http://schemas.openxmlformats.org/package/2006/relationships"/>
</file>

<file path=word/_rels/footer65.xml.rels><?xml version="1.0" encoding="UTF-8"?><Relationships xmlns="http://schemas.openxmlformats.org/package/2006/relationships"/>
</file>

<file path=word/_rels/footer66.xml.rels><?xml version="1.0" encoding="UTF-8"?><Relationships xmlns="http://schemas.openxmlformats.org/package/2006/relationships"/>
</file>

<file path=word/_rels/footer67.xml.rels><?xml version="1.0" encoding="UTF-8"?><Relationships xmlns="http://schemas.openxmlformats.org/package/2006/relationships"/>
</file>

<file path=word/_rels/footer68.xml.rels><?xml version="1.0" encoding="UTF-8"?><Relationships xmlns="http://schemas.openxmlformats.org/package/2006/relationships"/>
</file>

<file path=word/_rels/footer69.xml.rels><?xml version="1.0" encoding="UTF-8"?><Relationships xmlns="http://schemas.openxmlformats.org/package/2006/relationships"/>
</file>

<file path=word/_rels/footer70.xml.rels><?xml version="1.0" encoding="UTF-8"?><Relationships xmlns="http://schemas.openxmlformats.org/package/2006/relationships"/>
</file>

<file path=word/_rels/footer71.xml.rels><?xml version="1.0" encoding="UTF-8"?><Relationships xmlns="http://schemas.openxmlformats.org/package/2006/relationships"/>
</file>

<file path=word/_rels/footer72.xml.rels><?xml version="1.0" encoding="UTF-8"?><Relationships xmlns="http://schemas.openxmlformats.org/package/2006/relationships"/>
</file>

<file path=word/_rels/footer73.xml.rels><?xml version="1.0" encoding="UTF-8"?><Relationships xmlns="http://schemas.openxmlformats.org/package/2006/relationships"/>
</file>

<file path=word/_rels/footer74.xml.rels><?xml version="1.0" encoding="UTF-8"?><Relationships xmlns="http://schemas.openxmlformats.org/package/2006/relationships"/>
</file>

<file path=word/_rels/footer75.xml.rels><?xml version="1.0" encoding="UTF-8"?><Relationships xmlns="http://schemas.openxmlformats.org/package/2006/relationships"/>
</file>

<file path=word/_rels/footer76.xml.rels><?xml version="1.0" encoding="UTF-8"?><Relationships xmlns="http://schemas.openxmlformats.org/package/2006/relationships"/>
</file>

<file path=word/_rels/footer77.xml.rels><?xml version="1.0" encoding="UTF-8"?><Relationships xmlns="http://schemas.openxmlformats.org/package/2006/relationships"/>
</file>

<file path=word/_rels/footer78.xml.rels><?xml version="1.0" encoding="UTF-8"?><Relationships xmlns="http://schemas.openxmlformats.org/package/2006/relationships"/>
</file>

<file path=word/_rels/footer79.xml.rels><?xml version="1.0" encoding="UTF-8"?><Relationships xmlns="http://schemas.openxmlformats.org/package/2006/relationships"/>
</file>

<file path=word/_rels/footer80.xml.rels><?xml version="1.0" encoding="UTF-8"?><Relationships xmlns="http://schemas.openxmlformats.org/package/2006/relationships"/>
</file>

<file path=word/_rels/footer81.xml.rels><?xml version="1.0" encoding="UTF-8"?><Relationships xmlns="http://schemas.openxmlformats.org/package/2006/relationships"/>
</file>

<file path=word/_rels/footer82.xml.rels><?xml version="1.0" encoding="UTF-8"?><Relationships xmlns="http://schemas.openxmlformats.org/package/2006/relationships"/>
</file>

<file path=word/_rels/footer83.xml.rels><?xml version="1.0" encoding="UTF-8"?><Relationships xmlns="http://schemas.openxmlformats.org/package/2006/relationships"/>
</file>

<file path=word/_rels/footer84.xml.rels><?xml version="1.0" encoding="UTF-8"?><Relationships xmlns="http://schemas.openxmlformats.org/package/2006/relationships"/>
</file>

<file path=word/_rels/footer85.xml.rels><?xml version="1.0" encoding="UTF-8"?><Relationships xmlns="http://schemas.openxmlformats.org/package/2006/relationships"/>
</file>

<file path=word/_rels/footer86.xml.rels><?xml version="1.0" encoding="UTF-8"?><Relationships xmlns="http://schemas.openxmlformats.org/package/2006/relationships"/>
</file>

<file path=word/_rels/footer87.xml.rels><?xml version="1.0" encoding="UTF-8"?><Relationships xmlns="http://schemas.openxmlformats.org/package/2006/relationships"/>
</file>

<file path=word/_rels/footer88.xml.rels><?xml version="1.0" encoding="UTF-8"?><Relationships xmlns="http://schemas.openxmlformats.org/package/2006/relationships"/>
</file>

<file path=word/_rels/footer89.xml.rels><?xml version="1.0" encoding="UTF-8"?><Relationships xmlns="http://schemas.openxmlformats.org/package/2006/relationships"/>
</file>

<file path=word/_rels/footer90.xml.rels><?xml version="1.0" encoding="UTF-8"?><Relationships xmlns="http://schemas.openxmlformats.org/package/2006/relationships"/>
</file>

<file path=word/_rels/footer91.xml.rels><?xml version="1.0" encoding="UTF-8"?><Relationships xmlns="http://schemas.openxmlformats.org/package/2006/relationships"/>
</file>

<file path=word/_rels/footer92.xml.rels><?xml version="1.0" encoding="UTF-8"?><Relationships xmlns="http://schemas.openxmlformats.org/package/2006/relationships"/>
</file>

<file path=word/_rels/footer93.xml.rels><?xml version="1.0" encoding="UTF-8"?><Relationships xmlns="http://schemas.openxmlformats.org/package/2006/relationships"/>
</file>

<file path=word/_rels/footer94.xml.rels><?xml version="1.0" encoding="UTF-8"?><Relationships xmlns="http://schemas.openxmlformats.org/package/2006/relationships"/>
</file>

<file path=word/_rels/footer95.xml.rels><?xml version="1.0" encoding="UTF-8"?><Relationships xmlns="http://schemas.openxmlformats.org/package/2006/relationships"/>
</file>

<file path=word/_rels/footer96.xml.rels><?xml version="1.0" encoding="UTF-8"?><Relationships xmlns="http://schemas.openxmlformats.org/package/2006/relationships"/>
</file>

<file path=word/_rels/footer97.xml.rels><?xml version="1.0" encoding="UTF-8"?><Relationships xmlns="http://schemas.openxmlformats.org/package/2006/relationships"/>
</file>

<file path=word/_rels/footer98.xml.rels><?xml version="1.0" encoding="UTF-8"?><Relationships xmlns="http://schemas.openxmlformats.org/package/2006/relationships"/>
</file>

<file path=word/_rels/footer99.xml.rels><?xml version="1.0" encoding="UTF-8"?><Relationships xmlns="http://schemas.openxmlformats.org/package/2006/relationships"/>
</file>

<file path=word/_rels/footer100.xml.rels><?xml version="1.0" encoding="UTF-8"?><Relationships xmlns="http://schemas.openxmlformats.org/package/2006/relationships"/>
</file>

<file path=word/_rels/footer101.xml.rels><?xml version="1.0" encoding="UTF-8"?><Relationships xmlns="http://schemas.openxmlformats.org/package/2006/relationships"/>
</file>

<file path=word/_rels/footer102.xml.rels><?xml version="1.0" encoding="UTF-8"?><Relationships xmlns="http://schemas.openxmlformats.org/package/2006/relationships"/>
</file>

<file path=word/_rels/footer103.xml.rels><?xml version="1.0" encoding="UTF-8"?><Relationships xmlns="http://schemas.openxmlformats.org/package/2006/relationships"/>
</file>

<file path=word/_rels/footer104.xml.rels><?xml version="1.0" encoding="UTF-8"?><Relationships xmlns="http://schemas.openxmlformats.org/package/2006/relationships"/>
</file>

<file path=word/_rels/footer105.xml.rels><?xml version="1.0" encoding="UTF-8"?><Relationships xmlns="http://schemas.openxmlformats.org/package/2006/relationships"/>
</file>

<file path=word/_rels/footer106.xml.rels><?xml version="1.0" encoding="UTF-8"?><Relationships xmlns="http://schemas.openxmlformats.org/package/2006/relationships"/>
</file>

<file path=word/_rels/footer107.xml.rels><?xml version="1.0" encoding="UTF-8"?><Relationships xmlns="http://schemas.openxmlformats.org/package/2006/relationships"/>
</file>

<file path=word/_rels/footer108.xml.rels><?xml version="1.0" encoding="UTF-8"?><Relationships xmlns="http://schemas.openxmlformats.org/package/2006/relationships"/>
</file>

<file path=word/_rels/footer109.xml.rels><?xml version="1.0" encoding="UTF-8"?><Relationships xmlns="http://schemas.openxmlformats.org/package/2006/relationships"/>
</file>

<file path=word/_rels/footer110.xml.rels><?xml version="1.0" encoding="UTF-8"?><Relationships xmlns="http://schemas.openxmlformats.org/package/2006/relationships"/>
</file>

<file path=word/_rels/footer111.xml.rels><?xml version="1.0" encoding="UTF-8"?><Relationships xmlns="http://schemas.openxmlformats.org/package/2006/relationships"/>
</file>

<file path=word/_rels/footer112.xml.rels><?xml version="1.0" encoding="UTF-8"?><Relationships xmlns="http://schemas.openxmlformats.org/package/2006/relationships"/>
</file>

<file path=word/_rels/footer113.xml.rels><?xml version="1.0" encoding="UTF-8"?><Relationships xmlns="http://schemas.openxmlformats.org/package/2006/relationships"/>
</file>

<file path=word/_rels/footer114.xml.rels><?xml version="1.0" encoding="UTF-8"?><Relationships xmlns="http://schemas.openxmlformats.org/package/2006/relationships"/>
</file>

<file path=word/_rels/footer115.xml.rels><?xml version="1.0" encoding="UTF-8"?><Relationships xmlns="http://schemas.openxmlformats.org/package/2006/relationships"/>
</file>

<file path=word/_rels/footer116.xml.rels><?xml version="1.0" encoding="UTF-8"?><Relationships xmlns="http://schemas.openxmlformats.org/package/2006/relationships"/>
</file>

<file path=word/_rels/footer117.xml.rels><?xml version="1.0" encoding="UTF-8"?><Relationships xmlns="http://schemas.openxmlformats.org/package/2006/relationships"/>
</file>

<file path=word/_rels/footer118.xml.rels><?xml version="1.0" encoding="UTF-8"?><Relationships xmlns="http://schemas.openxmlformats.org/package/2006/relationships"/>
</file>

<file path=word/_rels/footer119.xml.rels><?xml version="1.0" encoding="UTF-8"?><Relationships xmlns="http://schemas.openxmlformats.org/package/2006/relationships"/>
</file>

<file path=word/_rels/footer120.xml.rels><?xml version="1.0" encoding="UTF-8"?><Relationships xmlns="http://schemas.openxmlformats.org/package/2006/relationships"/>
</file>

<file path=word/_rels/footer121.xml.rels><?xml version="1.0" encoding="UTF-8"?><Relationships xmlns="http://schemas.openxmlformats.org/package/2006/relationships"/>
</file>

<file path=word/_rels/footer122.xml.rels><?xml version="1.0" encoding="UTF-8"?><Relationships xmlns="http://schemas.openxmlformats.org/package/2006/relationships"/>
</file>

<file path=word/_rels/footer123.xml.rels><?xml version="1.0" encoding="UTF-8"?><Relationships xmlns="http://schemas.openxmlformats.org/package/2006/relationships"/>
</file>

<file path=word/_rels/footer124.xml.rels><?xml version="1.0" encoding="UTF-8"?><Relationships xmlns="http://schemas.openxmlformats.org/package/2006/relationships"/>
</file>

<file path=word/_rels/footer125.xml.rels><?xml version="1.0" encoding="UTF-8"?><Relationships xmlns="http://schemas.openxmlformats.org/package/2006/relationships"/>
</file>

<file path=word/_rels/footer126.xml.rels><?xml version="1.0" encoding="UTF-8"?><Relationships xmlns="http://schemas.openxmlformats.org/package/2006/relationships"/>
</file>

<file path=word/_rels/footer127.xml.rels><?xml version="1.0" encoding="UTF-8"?><Relationships xmlns="http://schemas.openxmlformats.org/package/2006/relationships"/>
</file>

<file path=word/_rels/footer128.xml.rels><?xml version="1.0" encoding="UTF-8"?><Relationships xmlns="http://schemas.openxmlformats.org/package/2006/relationships"/>
</file>

<file path=word/_rels/footer129.xml.rels><?xml version="1.0" encoding="UTF-8"?><Relationships xmlns="http://schemas.openxmlformats.org/package/2006/relationships"/>
</file>

<file path=word/_rels/footer130.xml.rels><?xml version="1.0" encoding="UTF-8"?><Relationships xmlns="http://schemas.openxmlformats.org/package/2006/relationships"/>
</file>

<file path=word/_rels/footer131.xml.rels><?xml version="1.0" encoding="UTF-8"?><Relationships xmlns="http://schemas.openxmlformats.org/package/2006/relationships"/>
</file>

<file path=word/_rels/footer132.xml.rels><?xml version="1.0" encoding="UTF-8"?><Relationships xmlns="http://schemas.openxmlformats.org/package/2006/relationships"/>
</file>

<file path=word/_rels/footer133.xml.rels><?xml version="1.0" encoding="UTF-8"?><Relationships xmlns="http://schemas.openxmlformats.org/package/2006/relationships"/>
</file>

<file path=word/_rels/footer134.xml.rels><?xml version="1.0" encoding="UTF-8"?><Relationships xmlns="http://schemas.openxmlformats.org/package/2006/relationships"/>
</file>

<file path=word/_rels/footer135.xml.rels><?xml version="1.0" encoding="UTF-8"?><Relationships xmlns="http://schemas.openxmlformats.org/package/2006/relationships"/>
</file>

<file path=word/_rels/footer136.xml.rels><?xml version="1.0" encoding="UTF-8"?><Relationships xmlns="http://schemas.openxmlformats.org/package/2006/relationships"/>
</file>

<file path=word/_rels/footer137.xml.rels><?xml version="1.0" encoding="UTF-8"?><Relationships xmlns="http://schemas.openxmlformats.org/package/2006/relationships"/>
</file>

<file path=word/_rels/footer138.xml.rels><?xml version="1.0" encoding="UTF-8"?><Relationships xmlns="http://schemas.openxmlformats.org/package/2006/relationships"/>
</file>

<file path=word/_rels/footer139.xml.rels><?xml version="1.0" encoding="UTF-8"?><Relationships xmlns="http://schemas.openxmlformats.org/package/2006/relationships"/>
</file>

<file path=word/_rels/footer140.xml.rels><?xml version="1.0" encoding="UTF-8"?><Relationships xmlns="http://schemas.openxmlformats.org/package/2006/relationships"/>
</file>

<file path=word/_rels/footer141.xml.rels><?xml version="1.0" encoding="UTF-8"?><Relationships xmlns="http://schemas.openxmlformats.org/package/2006/relationships"/>
</file>

<file path=word/_rels/footer142.xml.rels><?xml version="1.0" encoding="UTF-8"?><Relationships xmlns="http://schemas.openxmlformats.org/package/2006/relationships"/>
</file>

<file path=word/_rels/footer143.xml.rels><?xml version="1.0" encoding="UTF-8"?><Relationships xmlns="http://schemas.openxmlformats.org/package/2006/relationships"/>
</file>

<file path=word/_rels/footer144.xml.rels><?xml version="1.0" encoding="UTF-8"?><Relationships xmlns="http://schemas.openxmlformats.org/package/2006/relationships"/>
</file>

<file path=word/_rels/footer145.xml.rels><?xml version="1.0" encoding="UTF-8"?><Relationships xmlns="http://schemas.openxmlformats.org/package/2006/relationships"/>
</file>

<file path=word/_rels/footer146.xml.rels><?xml version="1.0" encoding="UTF-8"?><Relationships xmlns="http://schemas.openxmlformats.org/package/2006/relationships"/>
</file>

<file path=word/_rels/footer147.xml.rels><?xml version="1.0" encoding="UTF-8"?><Relationships xmlns="http://schemas.openxmlformats.org/package/2006/relationships"/>
</file>

<file path=word/_rels/footer148.xml.rels><?xml version="1.0" encoding="UTF-8"?><Relationships xmlns="http://schemas.openxmlformats.org/package/2006/relationships"/>
</file>

<file path=word/_rels/footer149.xml.rels><?xml version="1.0" encoding="UTF-8"?><Relationships xmlns="http://schemas.openxmlformats.org/package/2006/relationships"/>
</file>

<file path=word/_rels/footer150.xml.rels><?xml version="1.0" encoding="UTF-8"?><Relationships xmlns="http://schemas.openxmlformats.org/package/2006/relationships"/>
</file>

<file path=word/_rels/footer151.xml.rels><?xml version="1.0" encoding="UTF-8"?><Relationships xmlns="http://schemas.openxmlformats.org/package/2006/relationships"/>
</file>

<file path=word/_rels/footer152.xml.rels><?xml version="1.0" encoding="UTF-8"?><Relationships xmlns="http://schemas.openxmlformats.org/package/2006/relationships"/>
</file>

<file path=word/_rels/footer153.xml.rels><?xml version="1.0" encoding="UTF-8"?><Relationships xmlns="http://schemas.openxmlformats.org/package/2006/relationships"/>
</file>

<file path=word/_rels/footer154.xml.rels><?xml version="1.0" encoding="UTF-8"?><Relationships xmlns="http://schemas.openxmlformats.org/package/2006/relationships"/>
</file>

<file path=word/_rels/footer155.xml.rels><?xml version="1.0" encoding="UTF-8"?><Relationships xmlns="http://schemas.openxmlformats.org/package/2006/relationships"/>
</file>

<file path=word/_rels/footer156.xml.rels><?xml version="1.0" encoding="UTF-8"?><Relationships xmlns="http://schemas.openxmlformats.org/package/2006/relationships"/>
</file>

<file path=word/_rels/footer157.xml.rels><?xml version="1.0" encoding="UTF-8"?><Relationships xmlns="http://schemas.openxmlformats.org/package/2006/relationships"/>
</file>

<file path=word/_rels/footer158.xml.rels><?xml version="1.0" encoding="UTF-8"?><Relationships xmlns="http://schemas.openxmlformats.org/package/2006/relationships"/>
</file>

<file path=word/_rels/footer159.xml.rels><?xml version="1.0" encoding="UTF-8"?><Relationships xmlns="http://schemas.openxmlformats.org/package/2006/relationships"/>
</file>

<file path=word/_rels/footer160.xml.rels><?xml version="1.0" encoding="UTF-8"?><Relationships xmlns="http://schemas.openxmlformats.org/package/2006/relationships"/>
</file>

<file path=word/_rels/footer161.xml.rels><?xml version="1.0" encoding="UTF-8"?><Relationships xmlns="http://schemas.openxmlformats.org/package/2006/relationships"/>
</file>

<file path=word/_rels/footer162.xml.rels><?xml version="1.0" encoding="UTF-8"?><Relationships xmlns="http://schemas.openxmlformats.org/package/2006/relationships"/>
</file>

<file path=word/_rels/footer163.xml.rels><?xml version="1.0" encoding="UTF-8"?><Relationships xmlns="http://schemas.openxmlformats.org/package/2006/relationships"/>
</file>

<file path=word/_rels/footer164.xml.rels><?xml version="1.0" encoding="UTF-8"?><Relationships xmlns="http://schemas.openxmlformats.org/package/2006/relationships"/>
</file>

<file path=word/_rels/footer165.xml.rels><?xml version="1.0" encoding="UTF-8"?><Relationships xmlns="http://schemas.openxmlformats.org/package/2006/relationships"/>
</file>

<file path=word/_rels/footer166.xml.rels><?xml version="1.0" encoding="UTF-8"?><Relationships xmlns="http://schemas.openxmlformats.org/package/2006/relationships"/>
</file>

<file path=word/_rels/footer167.xml.rels><?xml version="1.0" encoding="UTF-8"?><Relationships xmlns="http://schemas.openxmlformats.org/package/2006/relationships"/>
</file>

<file path=word/_rels/footer168.xml.rels><?xml version="1.0" encoding="UTF-8"?><Relationships xmlns="http://schemas.openxmlformats.org/package/2006/relationships"/>
</file>

<file path=word/_rels/footer169.xml.rels><?xml version="1.0" encoding="UTF-8"?><Relationships xmlns="http://schemas.openxmlformats.org/package/2006/relationships"/>
</file>

<file path=word/_rels/footer170.xml.rels><?xml version="1.0" encoding="UTF-8"?><Relationships xmlns="http://schemas.openxmlformats.org/package/2006/relationships"/>
</file>

<file path=word/_rels/footer171.xml.rels><?xml version="1.0" encoding="UTF-8"?><Relationships xmlns="http://schemas.openxmlformats.org/package/2006/relationships"/>
</file>

<file path=word/_rels/footer172.xml.rels><?xml version="1.0" encoding="UTF-8"?><Relationships xmlns="http://schemas.openxmlformats.org/package/2006/relationships"/>
</file>

<file path=word/_rels/footer173.xml.rels><?xml version="1.0" encoding="UTF-8"?><Relationships xmlns="http://schemas.openxmlformats.org/package/2006/relationships"/>
</file>

<file path=word/_rels/footer174.xml.rels><?xml version="1.0" encoding="UTF-8"?><Relationships xmlns="http://schemas.openxmlformats.org/package/2006/relationships"/>
</file>

<file path=word/_rels/footer175.xml.rels><?xml version="1.0" encoding="UTF-8"?><Relationships xmlns="http://schemas.openxmlformats.org/package/2006/relationships"/>
</file>

<file path=word/_rels/footer176.xml.rels><?xml version="1.0" encoding="UTF-8"?><Relationships xmlns="http://schemas.openxmlformats.org/package/2006/relationships"/>
</file>

<file path=word/_rels/footer177.xml.rels><?xml version="1.0" encoding="UTF-8"?><Relationships xmlns="http://schemas.openxmlformats.org/package/2006/relationships"/>
</file>

<file path=word/_rels/footer178.xml.rels><?xml version="1.0" encoding="UTF-8"?><Relationships xmlns="http://schemas.openxmlformats.org/package/2006/relationships"/>
</file>

<file path=word/_rels/footer179.xml.rels><?xml version="1.0" encoding="UTF-8"?><Relationships xmlns="http://schemas.openxmlformats.org/package/2006/relationships"/>
</file>

<file path=word/_rels/footer180.xml.rels><?xml version="1.0" encoding="UTF-8"?><Relationships xmlns="http://schemas.openxmlformats.org/package/2006/relationships"/>
</file>

<file path=word/_rels/footer181.xml.rels><?xml version="1.0" encoding="UTF-8"?><Relationships xmlns="http://schemas.openxmlformats.org/package/2006/relationships"/>
</file>

<file path=word/_rels/footer182.xml.rels><?xml version="1.0" encoding="UTF-8"?><Relationships xmlns="http://schemas.openxmlformats.org/package/2006/relationships"/>
</file>

<file path=word/_rels/footer183.xml.rels><?xml version="1.0" encoding="UTF-8"?><Relationships xmlns="http://schemas.openxmlformats.org/package/2006/relationships"/>
</file>

<file path=word/_rels/footer184.xml.rels><?xml version="1.0" encoding="UTF-8"?><Relationships xmlns="http://schemas.openxmlformats.org/package/2006/relationships"/>
</file>

<file path=word/_rels/footer185.xml.rels><?xml version="1.0" encoding="UTF-8"?><Relationships xmlns="http://schemas.openxmlformats.org/package/2006/relationships"/>
</file>

<file path=word/_rels/footer186.xml.rels><?xml version="1.0" encoding="UTF-8"?><Relationships xmlns="http://schemas.openxmlformats.org/package/2006/relationships"/>
</file>

<file path=word/_rels/footer187.xml.rels><?xml version="1.0" encoding="UTF-8"?><Relationships xmlns="http://schemas.openxmlformats.org/package/2006/relationships"/>
</file>

<file path=word/_rels/footer188.xml.rels><?xml version="1.0" encoding="UTF-8"?><Relationships xmlns="http://schemas.openxmlformats.org/package/2006/relationships"/>
</file>

<file path=word/_rels/footer189.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_rels/header3.xml.rels><?xml version="1.0" encoding="UTF-8"?><Relationships xmlns="http://schemas.openxmlformats.org/package/2006/relationships"/>
</file>

<file path=word/_rels/header4.xml.rels><?xml version="1.0" encoding="UTF-8"?><Relationships xmlns="http://schemas.openxmlformats.org/package/2006/relationships"/>
</file>

<file path=word/_rels/header5.xml.rels><?xml version="1.0" encoding="UTF-8"?><Relationships xmlns="http://schemas.openxmlformats.org/package/2006/relationships"/>
</file>

<file path=word/_rels/header6.xml.rels><?xml version="1.0" encoding="UTF-8"?><Relationships xmlns="http://schemas.openxmlformats.org/package/2006/relationships"/>
</file>

<file path=word/_rels/header7.xml.rels><?xml version="1.0" encoding="UTF-8"?><Relationships xmlns="http://schemas.openxmlformats.org/package/2006/relationships"/>
</file>

<file path=word/_rels/header8.xml.rels><?xml version="1.0" encoding="UTF-8"?><Relationships xmlns="http://schemas.openxmlformats.org/package/2006/relationships"/>
</file>

<file path=word/_rels/header9.xml.rels><?xml version="1.0" encoding="UTF-8"?><Relationships xmlns="http://schemas.openxmlformats.org/package/2006/relationships"/>
</file>

<file path=word/_rels/header10.xml.rels><?xml version="1.0" encoding="UTF-8"?><Relationships xmlns="http://schemas.openxmlformats.org/package/2006/relationships"/>
</file>

<file path=word/_rels/header11.xml.rels><?xml version="1.0" encoding="UTF-8"?><Relationships xmlns="http://schemas.openxmlformats.org/package/2006/relationships"/>
</file>

<file path=word/_rels/header12.xml.rels><?xml version="1.0" encoding="UTF-8"?><Relationships xmlns="http://schemas.openxmlformats.org/package/2006/relationships"/>
</file>

<file path=word/_rels/header13.xml.rels><?xml version="1.0" encoding="UTF-8"?><Relationships xmlns="http://schemas.openxmlformats.org/package/2006/relationships"/>
</file>

<file path=word/_rels/header14.xml.rels><?xml version="1.0" encoding="UTF-8"?><Relationships xmlns="http://schemas.openxmlformats.org/package/2006/relationships"/>
</file>

<file path=word/_rels/header15.xml.rels><?xml version="1.0" encoding="UTF-8"?><Relationships xmlns="http://schemas.openxmlformats.org/package/2006/relationships"/>
</file>

<file path=word/_rels/header16.xml.rels><?xml version="1.0" encoding="UTF-8"?><Relationships xmlns="http://schemas.openxmlformats.org/package/2006/relationships"/>
</file>

<file path=word/_rels/header17.xml.rels><?xml version="1.0" encoding="UTF-8"?><Relationships xmlns="http://schemas.openxmlformats.org/package/2006/relationships"/>
</file>

<file path=word/_rels/header18.xml.rels><?xml version="1.0" encoding="UTF-8"?><Relationships xmlns="http://schemas.openxmlformats.org/package/2006/relationships"/>
</file>

<file path=word/_rels/header19.xml.rels><?xml version="1.0" encoding="UTF-8"?><Relationships xmlns="http://schemas.openxmlformats.org/package/2006/relationships"/>
</file>

<file path=word/_rels/header20.xml.rels><?xml version="1.0" encoding="UTF-8"?><Relationships xmlns="http://schemas.openxmlformats.org/package/2006/relationships"/>
</file>

<file path=word/_rels/header21.xml.rels><?xml version="1.0" encoding="UTF-8"?><Relationships xmlns="http://schemas.openxmlformats.org/package/2006/relationships"/>
</file>

<file path=word/_rels/header22.xml.rels><?xml version="1.0" encoding="UTF-8"?><Relationships xmlns="http://schemas.openxmlformats.org/package/2006/relationships"/>
</file>

<file path=word/_rels/header23.xml.rels><?xml version="1.0" encoding="UTF-8"?><Relationships xmlns="http://schemas.openxmlformats.org/package/2006/relationships"/>
</file>

<file path=word/_rels/header24.xml.rels><?xml version="1.0" encoding="UTF-8"?><Relationships xmlns="http://schemas.openxmlformats.org/package/2006/relationships"/>
</file>

<file path=word/_rels/header25.xml.rels><?xml version="1.0" encoding="UTF-8"?><Relationships xmlns="http://schemas.openxmlformats.org/package/2006/relationships"/>
</file>

<file path=word/_rels/header26.xml.rels><?xml version="1.0" encoding="UTF-8"?><Relationships xmlns="http://schemas.openxmlformats.org/package/2006/relationships"/>
</file>

<file path=word/_rels/header27.xml.rels><?xml version="1.0" encoding="UTF-8"?><Relationships xmlns="http://schemas.openxmlformats.org/package/2006/relationships"/>
</file>

<file path=word/_rels/header28.xml.rels><?xml version="1.0" encoding="UTF-8"?><Relationships xmlns="http://schemas.openxmlformats.org/package/2006/relationships"/>
</file>

<file path=word/_rels/header29.xml.rels><?xml version="1.0" encoding="UTF-8"?><Relationships xmlns="http://schemas.openxmlformats.org/package/2006/relationships"/>
</file>

<file path=word/_rels/header30.xml.rels><?xml version="1.0" encoding="UTF-8"?><Relationships xmlns="http://schemas.openxmlformats.org/package/2006/relationships"/>
</file>

<file path=word/_rels/header31.xml.rels><?xml version="1.0" encoding="UTF-8"?><Relationships xmlns="http://schemas.openxmlformats.org/package/2006/relationships"/>
</file>

<file path=word/_rels/header32.xml.rels><?xml version="1.0" encoding="UTF-8"?><Relationships xmlns="http://schemas.openxmlformats.org/package/2006/relationships"/>
</file>

<file path=word/_rels/header33.xml.rels><?xml version="1.0" encoding="UTF-8"?><Relationships xmlns="http://schemas.openxmlformats.org/package/2006/relationships"/>
</file>

<file path=word/_rels/header34.xml.rels><?xml version="1.0" encoding="UTF-8"?><Relationships xmlns="http://schemas.openxmlformats.org/package/2006/relationships"/>
</file>

<file path=word/_rels/header35.xml.rels><?xml version="1.0" encoding="UTF-8"?><Relationships xmlns="http://schemas.openxmlformats.org/package/2006/relationships"/>
</file>

<file path=word/_rels/header36.xml.rels><?xml version="1.0" encoding="UTF-8"?><Relationships xmlns="http://schemas.openxmlformats.org/package/2006/relationships"/>
</file>

<file path=word/_rels/header37.xml.rels><?xml version="1.0" encoding="UTF-8"?><Relationships xmlns="http://schemas.openxmlformats.org/package/2006/relationships"/>
</file>

<file path=word/_rels/header38.xml.rels><?xml version="1.0" encoding="UTF-8"?><Relationships xmlns="http://schemas.openxmlformats.org/package/2006/relationships"/>
</file>

<file path=word/_rels/header39.xml.rels><?xml version="1.0" encoding="UTF-8"?><Relationships xmlns="http://schemas.openxmlformats.org/package/2006/relationships"/>
</file>

<file path=word/_rels/header40.xml.rels><?xml version="1.0" encoding="UTF-8"?><Relationships xmlns="http://schemas.openxmlformats.org/package/2006/relationships"/>
</file>

<file path=word/_rels/header41.xml.rels><?xml version="1.0" encoding="UTF-8"?><Relationships xmlns="http://schemas.openxmlformats.org/package/2006/relationships"/>
</file>

<file path=word/_rels/header42.xml.rels><?xml version="1.0" encoding="UTF-8"?><Relationships xmlns="http://schemas.openxmlformats.org/package/2006/relationships"/>
</file>

<file path=word/_rels/header43.xml.rels><?xml version="1.0" encoding="UTF-8"?><Relationships xmlns="http://schemas.openxmlformats.org/package/2006/relationships"/>
</file>

<file path=word/_rels/header44.xml.rels><?xml version="1.0" encoding="UTF-8"?><Relationships xmlns="http://schemas.openxmlformats.org/package/2006/relationships"/>
</file>

<file path=word/_rels/header45.xml.rels><?xml version="1.0" encoding="UTF-8"?><Relationships xmlns="http://schemas.openxmlformats.org/package/2006/relationships"/>
</file>

<file path=word/_rels/header46.xml.rels><?xml version="1.0" encoding="UTF-8"?><Relationships xmlns="http://schemas.openxmlformats.org/package/2006/relationships"/>
</file>

<file path=word/_rels/header47.xml.rels><?xml version="1.0" encoding="UTF-8"?><Relationships xmlns="http://schemas.openxmlformats.org/package/2006/relationships"/>
</file>

<file path=word/_rels/header48.xml.rels><?xml version="1.0" encoding="UTF-8"?><Relationships xmlns="http://schemas.openxmlformats.org/package/2006/relationships"/>
</file>

<file path=word/_rels/header49.xml.rels><?xml version="1.0" encoding="UTF-8"?><Relationships xmlns="http://schemas.openxmlformats.org/package/2006/relationships"/>
</file>

<file path=word/_rels/header50.xml.rels><?xml version="1.0" encoding="UTF-8"?><Relationships xmlns="http://schemas.openxmlformats.org/package/2006/relationships"/>
</file>

<file path=word/_rels/header51.xml.rels><?xml version="1.0" encoding="UTF-8"?><Relationships xmlns="http://schemas.openxmlformats.org/package/2006/relationships"/>
</file>

<file path=word/_rels/header52.xml.rels><?xml version="1.0" encoding="UTF-8"?><Relationships xmlns="http://schemas.openxmlformats.org/package/2006/relationships"/>
</file>

<file path=word/_rels/header53.xml.rels><?xml version="1.0" encoding="UTF-8"?><Relationships xmlns="http://schemas.openxmlformats.org/package/2006/relationships"/>
</file>

<file path=word/_rels/header54.xml.rels><?xml version="1.0" encoding="UTF-8"?><Relationships xmlns="http://schemas.openxmlformats.org/package/2006/relationships"/>
</file>

<file path=word/_rels/header55.xml.rels><?xml version="1.0" encoding="UTF-8"?><Relationships xmlns="http://schemas.openxmlformats.org/package/2006/relationships"/>
</file>

<file path=word/_rels/header56.xml.rels><?xml version="1.0" encoding="UTF-8"?><Relationships xmlns="http://schemas.openxmlformats.org/package/2006/relationships"/>
</file>

<file path=word/_rels/header57.xml.rels><?xml version="1.0" encoding="UTF-8"?><Relationships xmlns="http://schemas.openxmlformats.org/package/2006/relationships"/>
</file>

<file path=word/_rels/header58.xml.rels><?xml version="1.0" encoding="UTF-8"?><Relationships xmlns="http://schemas.openxmlformats.org/package/2006/relationships"/>
</file>

<file path=word/_rels/header59.xml.rels><?xml version="1.0" encoding="UTF-8"?><Relationships xmlns="http://schemas.openxmlformats.org/package/2006/relationships"/>
</file>

<file path=word/_rels/header60.xml.rels><?xml version="1.0" encoding="UTF-8"?><Relationships xmlns="http://schemas.openxmlformats.org/package/2006/relationships"/>
</file>

<file path=word/_rels/header61.xml.rels><?xml version="1.0" encoding="UTF-8"?><Relationships xmlns="http://schemas.openxmlformats.org/package/2006/relationships"/>
</file>

<file path=word/_rels/header62.xml.rels><?xml version="1.0" encoding="UTF-8"?><Relationships xmlns="http://schemas.openxmlformats.org/package/2006/relationships"/>
</file>

<file path=word/_rels/header63.xml.rels><?xml version="1.0" encoding="UTF-8"?><Relationships xmlns="http://schemas.openxmlformats.org/package/2006/relationships"/>
</file>

<file path=word/_rels/header64.xml.rels><?xml version="1.0" encoding="UTF-8"?><Relationships xmlns="http://schemas.openxmlformats.org/package/2006/relationships"/>
</file>

<file path=word/_rels/header65.xml.rels><?xml version="1.0" encoding="UTF-8"?><Relationships xmlns="http://schemas.openxmlformats.org/package/2006/relationships"/>
</file>

<file path=word/_rels/header66.xml.rels><?xml version="1.0" encoding="UTF-8"?><Relationships xmlns="http://schemas.openxmlformats.org/package/2006/relationships"/>
</file>

<file path=word/_rels/header67.xml.rels><?xml version="1.0" encoding="UTF-8"?><Relationships xmlns="http://schemas.openxmlformats.org/package/2006/relationships"/>
</file>

<file path=word/_rels/header68.xml.rels><?xml version="1.0" encoding="UTF-8"?><Relationships xmlns="http://schemas.openxmlformats.org/package/2006/relationships"/>
</file>

<file path=word/_rels/header69.xml.rels><?xml version="1.0" encoding="UTF-8"?><Relationships xmlns="http://schemas.openxmlformats.org/package/2006/relationships"/>
</file>

<file path=word/_rels/header70.xml.rels><?xml version="1.0" encoding="UTF-8"?><Relationships xmlns="http://schemas.openxmlformats.org/package/2006/relationships"/>
</file>

<file path=word/_rels/header71.xml.rels><?xml version="1.0" encoding="UTF-8"?><Relationships xmlns="http://schemas.openxmlformats.org/package/2006/relationships"/>
</file>

<file path=word/_rels/header72.xml.rels><?xml version="1.0" encoding="UTF-8"?><Relationships xmlns="http://schemas.openxmlformats.org/package/2006/relationships"/>
</file>

<file path=word/_rels/header73.xml.rels><?xml version="1.0" encoding="UTF-8"?><Relationships xmlns="http://schemas.openxmlformats.org/package/2006/relationships"/>
</file>

<file path=word/_rels/header74.xml.rels><?xml version="1.0" encoding="UTF-8"?><Relationships xmlns="http://schemas.openxmlformats.org/package/2006/relationships"/>
</file>

<file path=word/_rels/header75.xml.rels><?xml version="1.0" encoding="UTF-8"?><Relationships xmlns="http://schemas.openxmlformats.org/package/2006/relationships"/>
</file>

<file path=word/_rels/header76.xml.rels><?xml version="1.0" encoding="UTF-8"?><Relationships xmlns="http://schemas.openxmlformats.org/package/2006/relationships"/>
</file>

<file path=word/_rels/header77.xml.rels><?xml version="1.0" encoding="UTF-8"?><Relationships xmlns="http://schemas.openxmlformats.org/package/2006/relationships"/>
</file>

<file path=word/_rels/header78.xml.rels><?xml version="1.0" encoding="UTF-8"?><Relationships xmlns="http://schemas.openxmlformats.org/package/2006/relationships"/>
</file>

<file path=word/_rels/header79.xml.rels><?xml version="1.0" encoding="UTF-8"?><Relationships xmlns="http://schemas.openxmlformats.org/package/2006/relationships"/>
</file>

<file path=word/_rels/header80.xml.rels><?xml version="1.0" encoding="UTF-8"?><Relationships xmlns="http://schemas.openxmlformats.org/package/2006/relationships"/>
</file>

<file path=word/_rels/header81.xml.rels><?xml version="1.0" encoding="UTF-8"?><Relationships xmlns="http://schemas.openxmlformats.org/package/2006/relationships"/>
</file>

<file path=word/_rels/header82.xml.rels><?xml version="1.0" encoding="UTF-8"?><Relationships xmlns="http://schemas.openxmlformats.org/package/2006/relationships"/>
</file>

<file path=word/_rels/header83.xml.rels><?xml version="1.0" encoding="UTF-8"?><Relationships xmlns="http://schemas.openxmlformats.org/package/2006/relationships"/>
</file>

<file path=word/_rels/header84.xml.rels><?xml version="1.0" encoding="UTF-8"?><Relationships xmlns="http://schemas.openxmlformats.org/package/2006/relationships"/>
</file>

<file path=word/_rels/header85.xml.rels><?xml version="1.0" encoding="UTF-8"?><Relationships xmlns="http://schemas.openxmlformats.org/package/2006/relationships"/>
</file>

<file path=word/_rels/header86.xml.rels><?xml version="1.0" encoding="UTF-8"?><Relationships xmlns="http://schemas.openxmlformats.org/package/2006/relationships"/>
</file>

<file path=word/_rels/header87.xml.rels><?xml version="1.0" encoding="UTF-8"?><Relationships xmlns="http://schemas.openxmlformats.org/package/2006/relationships"/>
</file>

<file path=word/_rels/header88.xml.rels><?xml version="1.0" encoding="UTF-8"?><Relationships xmlns="http://schemas.openxmlformats.org/package/2006/relationships"/>
</file>

<file path=word/_rels/header89.xml.rels><?xml version="1.0" encoding="UTF-8"?><Relationships xmlns="http://schemas.openxmlformats.org/package/2006/relationships"/>
</file>

<file path=word/_rels/header90.xml.rels><?xml version="1.0" encoding="UTF-8"?><Relationships xmlns="http://schemas.openxmlformats.org/package/2006/relationships"/>
</file>

<file path=word/_rels/header91.xml.rels><?xml version="1.0" encoding="UTF-8"?><Relationships xmlns="http://schemas.openxmlformats.org/package/2006/relationships"/>
</file>

<file path=word/_rels/header92.xml.rels><?xml version="1.0" encoding="UTF-8"?><Relationships xmlns="http://schemas.openxmlformats.org/package/2006/relationships"/>
</file>

<file path=word/_rels/header93.xml.rels><?xml version="1.0" encoding="UTF-8"?><Relationships xmlns="http://schemas.openxmlformats.org/package/2006/relationships"/>
</file>

<file path=word/_rels/header94.xml.rels><?xml version="1.0" encoding="UTF-8"?><Relationships xmlns="http://schemas.openxmlformats.org/package/2006/relationships"/>
</file>

<file path=word/_rels/header95.xml.rels><?xml version="1.0" encoding="UTF-8"?><Relationships xmlns="http://schemas.openxmlformats.org/package/2006/relationships"/>
</file>

<file path=word/_rels/header96.xml.rels><?xml version="1.0" encoding="UTF-8"?><Relationships xmlns="http://schemas.openxmlformats.org/package/2006/relationships"/>
</file>

<file path=word/_rels/header97.xml.rels><?xml version="1.0" encoding="UTF-8"?><Relationships xmlns="http://schemas.openxmlformats.org/package/2006/relationships"/>
</file>

<file path=word/_rels/header98.xml.rels><?xml version="1.0" encoding="UTF-8"?><Relationships xmlns="http://schemas.openxmlformats.org/package/2006/relationships"/>
</file>

<file path=word/_rels/header99.xml.rels><?xml version="1.0" encoding="UTF-8"?><Relationships xmlns="http://schemas.openxmlformats.org/package/2006/relationships"/>
</file>

<file path=word/_rels/header100.xml.rels><?xml version="1.0" encoding="UTF-8"?><Relationships xmlns="http://schemas.openxmlformats.org/package/2006/relationships"/>
</file>

<file path=word/_rels/header101.xml.rels><?xml version="1.0" encoding="UTF-8"?><Relationships xmlns="http://schemas.openxmlformats.org/package/2006/relationships"/>
</file>

<file path=word/_rels/header102.xml.rels><?xml version="1.0" encoding="UTF-8"?><Relationships xmlns="http://schemas.openxmlformats.org/package/2006/relationships"/>
</file>

<file path=word/_rels/header103.xml.rels><?xml version="1.0" encoding="UTF-8"?><Relationships xmlns="http://schemas.openxmlformats.org/package/2006/relationships"/>
</file>

<file path=word/_rels/header104.xml.rels><?xml version="1.0" encoding="UTF-8"?><Relationships xmlns="http://schemas.openxmlformats.org/package/2006/relationships"/>
</file>

<file path=word/_rels/header105.xml.rels><?xml version="1.0" encoding="UTF-8"?><Relationships xmlns="http://schemas.openxmlformats.org/package/2006/relationships"/>
</file>

<file path=word/_rels/header106.xml.rels><?xml version="1.0" encoding="UTF-8"?><Relationships xmlns="http://schemas.openxmlformats.org/package/2006/relationships"/>
</file>

<file path=word/_rels/header107.xml.rels><?xml version="1.0" encoding="UTF-8"?><Relationships xmlns="http://schemas.openxmlformats.org/package/2006/relationships"/>
</file>

<file path=word/_rels/header108.xml.rels><?xml version="1.0" encoding="UTF-8"?><Relationships xmlns="http://schemas.openxmlformats.org/package/2006/relationships"/>
</file>

<file path=word/_rels/header109.xml.rels><?xml version="1.0" encoding="UTF-8"?><Relationships xmlns="http://schemas.openxmlformats.org/package/2006/relationships"/>
</file>

<file path=word/_rels/header110.xml.rels><?xml version="1.0" encoding="UTF-8"?><Relationships xmlns="http://schemas.openxmlformats.org/package/2006/relationships"/>
</file>

<file path=word/_rels/header111.xml.rels><?xml version="1.0" encoding="UTF-8"?><Relationships xmlns="http://schemas.openxmlformats.org/package/2006/relationships"/>
</file>

<file path=word/_rels/header112.xml.rels><?xml version="1.0" encoding="UTF-8"?><Relationships xmlns="http://schemas.openxmlformats.org/package/2006/relationships"/>
</file>

<file path=word/_rels/header113.xml.rels><?xml version="1.0" encoding="UTF-8"?><Relationships xmlns="http://schemas.openxmlformats.org/package/2006/relationships"/>
</file>

<file path=word/_rels/header114.xml.rels><?xml version="1.0" encoding="UTF-8"?><Relationships xmlns="http://schemas.openxmlformats.org/package/2006/relationships"/>
</file>

<file path=word/_rels/header115.xml.rels><?xml version="1.0" encoding="UTF-8"?><Relationships xmlns="http://schemas.openxmlformats.org/package/2006/relationships"/>
</file>

<file path=word/_rels/header116.xml.rels><?xml version="1.0" encoding="UTF-8"?><Relationships xmlns="http://schemas.openxmlformats.org/package/2006/relationships"/>
</file>

<file path=word/_rels/header117.xml.rels><?xml version="1.0" encoding="UTF-8"?><Relationships xmlns="http://schemas.openxmlformats.org/package/2006/relationships"/>
</file>

<file path=word/_rels/header118.xml.rels><?xml version="1.0" encoding="UTF-8"?><Relationships xmlns="http://schemas.openxmlformats.org/package/2006/relationships"/>
</file>

<file path=word/_rels/header119.xml.rels><?xml version="1.0" encoding="UTF-8"?><Relationships xmlns="http://schemas.openxmlformats.org/package/2006/relationships"/>
</file>

<file path=word/_rels/header120.xml.rels><?xml version="1.0" encoding="UTF-8"?><Relationships xmlns="http://schemas.openxmlformats.org/package/2006/relationships"/>
</file>

<file path=word/_rels/header121.xml.rels><?xml version="1.0" encoding="UTF-8"?><Relationships xmlns="http://schemas.openxmlformats.org/package/2006/relationships"/>
</file>

<file path=word/_rels/header122.xml.rels><?xml version="1.0" encoding="UTF-8"?><Relationships xmlns="http://schemas.openxmlformats.org/package/2006/relationships"/>
</file>

<file path=word/_rels/header123.xml.rels><?xml version="1.0" encoding="UTF-8"?><Relationships xmlns="http://schemas.openxmlformats.org/package/2006/relationships"/>
</file>

<file path=word/_rels/header124.xml.rels><?xml version="1.0" encoding="UTF-8"?><Relationships xmlns="http://schemas.openxmlformats.org/package/2006/relationships"/>
</file>

<file path=word/_rels/header125.xml.rels><?xml version="1.0" encoding="UTF-8"?><Relationships xmlns="http://schemas.openxmlformats.org/package/2006/relationships"/>
</file>

<file path=word/_rels/header126.xml.rels><?xml version="1.0" encoding="UTF-8"?><Relationships xmlns="http://schemas.openxmlformats.org/package/2006/relationships"/>
</file>

<file path=word/_rels/header127.xml.rels><?xml version="1.0" encoding="UTF-8"?><Relationships xmlns="http://schemas.openxmlformats.org/package/2006/relationships"/>
</file>

<file path=word/_rels/header128.xml.rels><?xml version="1.0" encoding="UTF-8"?><Relationships xmlns="http://schemas.openxmlformats.org/package/2006/relationships"/>
</file>

<file path=word/_rels/header129.xml.rels><?xml version="1.0" encoding="UTF-8"?><Relationships xmlns="http://schemas.openxmlformats.org/package/2006/relationships"/>
</file>

<file path=word/_rels/header130.xml.rels><?xml version="1.0" encoding="UTF-8"?><Relationships xmlns="http://schemas.openxmlformats.org/package/2006/relationships"/>
</file>

<file path=word/_rels/header131.xml.rels><?xml version="1.0" encoding="UTF-8"?><Relationships xmlns="http://schemas.openxmlformats.org/package/2006/relationships"/>
</file>

<file path=word/_rels/header132.xml.rels><?xml version="1.0" encoding="UTF-8"?><Relationships xmlns="http://schemas.openxmlformats.org/package/2006/relationships"/>
</file>

<file path=word/_rels/header133.xml.rels><?xml version="1.0" encoding="UTF-8"?><Relationships xmlns="http://schemas.openxmlformats.org/package/2006/relationships"/>
</file>

<file path=word/_rels/header134.xml.rels><?xml version="1.0" encoding="UTF-8"?><Relationships xmlns="http://schemas.openxmlformats.org/package/2006/relationships"/>
</file>

<file path=word/_rels/header135.xml.rels><?xml version="1.0" encoding="UTF-8"?><Relationships xmlns="http://schemas.openxmlformats.org/package/2006/relationships"/>
</file>

<file path=word/_rels/header136.xml.rels><?xml version="1.0" encoding="UTF-8"?><Relationships xmlns="http://schemas.openxmlformats.org/package/2006/relationships"/>
</file>

<file path=word/_rels/header137.xml.rels><?xml version="1.0" encoding="UTF-8"?><Relationships xmlns="http://schemas.openxmlformats.org/package/2006/relationships"/>
</file>

<file path=word/_rels/header138.xml.rels><?xml version="1.0" encoding="UTF-8"?><Relationships xmlns="http://schemas.openxmlformats.org/package/2006/relationships"/>
</file>

<file path=word/_rels/header139.xml.rels><?xml version="1.0" encoding="UTF-8"?><Relationships xmlns="http://schemas.openxmlformats.org/package/2006/relationships"/>
</file>

<file path=word/_rels/header140.xml.rels><?xml version="1.0" encoding="UTF-8"?><Relationships xmlns="http://schemas.openxmlformats.org/package/2006/relationships"/>
</file>

<file path=word/_rels/header141.xml.rels><?xml version="1.0" encoding="UTF-8"?><Relationships xmlns="http://schemas.openxmlformats.org/package/2006/relationships"/>
</file>

<file path=word/_rels/header142.xml.rels><?xml version="1.0" encoding="UTF-8"?><Relationships xmlns="http://schemas.openxmlformats.org/package/2006/relationships"/>
</file>

<file path=word/_rels/header143.xml.rels><?xml version="1.0" encoding="UTF-8"?><Relationships xmlns="http://schemas.openxmlformats.org/package/2006/relationships"/>
</file>

<file path=word/_rels/header144.xml.rels><?xml version="1.0" encoding="UTF-8"?><Relationships xmlns="http://schemas.openxmlformats.org/package/2006/relationships"/>
</file>

<file path=word/_rels/header145.xml.rels><?xml version="1.0" encoding="UTF-8"?><Relationships xmlns="http://schemas.openxmlformats.org/package/2006/relationships"/>
</file>

<file path=word/_rels/header146.xml.rels><?xml version="1.0" encoding="UTF-8"?><Relationships xmlns="http://schemas.openxmlformats.org/package/2006/relationships"/>
</file>

<file path=word/_rels/header147.xml.rels><?xml version="1.0" encoding="UTF-8"?><Relationships xmlns="http://schemas.openxmlformats.org/package/2006/relationships"/>
</file>

<file path=word/_rels/header148.xml.rels><?xml version="1.0" encoding="UTF-8"?><Relationships xmlns="http://schemas.openxmlformats.org/package/2006/relationships"/>
</file>

<file path=word/_rels/header149.xml.rels><?xml version="1.0" encoding="UTF-8"?><Relationships xmlns="http://schemas.openxmlformats.org/package/2006/relationships"/>
</file>

<file path=word/_rels/header150.xml.rels><?xml version="1.0" encoding="UTF-8"?><Relationships xmlns="http://schemas.openxmlformats.org/package/2006/relationships"/>
</file>

<file path=word/_rels/header151.xml.rels><?xml version="1.0" encoding="UTF-8"?><Relationships xmlns="http://schemas.openxmlformats.org/package/2006/relationships"/>
</file>

<file path=word/_rels/header152.xml.rels><?xml version="1.0" encoding="UTF-8"?><Relationships xmlns="http://schemas.openxmlformats.org/package/2006/relationships"/>
</file>

<file path=word/_rels/header153.xml.rels><?xml version="1.0" encoding="UTF-8"?><Relationships xmlns="http://schemas.openxmlformats.org/package/2006/relationships"/>
</file>

<file path=word/_rels/header154.xml.rels><?xml version="1.0" encoding="UTF-8"?><Relationships xmlns="http://schemas.openxmlformats.org/package/2006/relationships"/>
</file>

<file path=word/_rels/header155.xml.rels><?xml version="1.0" encoding="UTF-8"?><Relationships xmlns="http://schemas.openxmlformats.org/package/2006/relationships"/>
</file>

<file path=word/_rels/header156.xml.rels><?xml version="1.0" encoding="UTF-8"?><Relationships xmlns="http://schemas.openxmlformats.org/package/2006/relationships"/>
</file>

<file path=word/_rels/header157.xml.rels><?xml version="1.0" encoding="UTF-8"?><Relationships xmlns="http://schemas.openxmlformats.org/package/2006/relationships"/>
</file>

<file path=word/_rels/header158.xml.rels><?xml version="1.0" encoding="UTF-8"?><Relationships xmlns="http://schemas.openxmlformats.org/package/2006/relationships"/>
</file>

<file path=word/_rels/header159.xml.rels><?xml version="1.0" encoding="UTF-8"?><Relationships xmlns="http://schemas.openxmlformats.org/package/2006/relationships"/>
</file>

<file path=word/_rels/header160.xml.rels><?xml version="1.0" encoding="UTF-8"?><Relationships xmlns="http://schemas.openxmlformats.org/package/2006/relationships"/>
</file>

<file path=word/_rels/header161.xml.rels><?xml version="1.0" encoding="UTF-8"?><Relationships xmlns="http://schemas.openxmlformats.org/package/2006/relationships"/>
</file>

<file path=word/_rels/header162.xml.rels><?xml version="1.0" encoding="UTF-8"?><Relationships xmlns="http://schemas.openxmlformats.org/package/2006/relationships"/>
</file>

<file path=word/_rels/header163.xml.rels><?xml version="1.0" encoding="UTF-8"?><Relationships xmlns="http://schemas.openxmlformats.org/package/2006/relationships"/>
</file>

<file path=word/_rels/header164.xml.rels><?xml version="1.0" encoding="UTF-8"?><Relationships xmlns="http://schemas.openxmlformats.org/package/2006/relationships"/>
</file>

<file path=word/_rels/header165.xml.rels><?xml version="1.0" encoding="UTF-8"?><Relationships xmlns="http://schemas.openxmlformats.org/package/2006/relationships"/>
</file>

<file path=word/_rels/header166.xml.rels><?xml version="1.0" encoding="UTF-8"?><Relationships xmlns="http://schemas.openxmlformats.org/package/2006/relationships"/>
</file>

<file path=word/_rels/header167.xml.rels><?xml version="1.0" encoding="UTF-8"?><Relationships xmlns="http://schemas.openxmlformats.org/package/2006/relationships"/>
</file>

<file path=word/_rels/header168.xml.rels><?xml version="1.0" encoding="UTF-8"?><Relationships xmlns="http://schemas.openxmlformats.org/package/2006/relationships"/>
</file>

<file path=word/_rels/header169.xml.rels><?xml version="1.0" encoding="UTF-8"?><Relationships xmlns="http://schemas.openxmlformats.org/package/2006/relationships"/>
</file>

<file path=word/_rels/header170.xml.rels><?xml version="1.0" encoding="UTF-8"?><Relationships xmlns="http://schemas.openxmlformats.org/package/2006/relationships"/>
</file>

<file path=word/_rels/header171.xml.rels><?xml version="1.0" encoding="UTF-8"?><Relationships xmlns="http://schemas.openxmlformats.org/package/2006/relationships"/>
</file>

<file path=word/_rels/header172.xml.rels><?xml version="1.0" encoding="UTF-8"?><Relationships xmlns="http://schemas.openxmlformats.org/package/2006/relationships"/>
</file>

<file path=word/_rels/header173.xml.rels><?xml version="1.0" encoding="UTF-8"?><Relationships xmlns="http://schemas.openxmlformats.org/package/2006/relationships"/>
</file>

<file path=word/_rels/header174.xml.rels><?xml version="1.0" encoding="UTF-8"?><Relationships xmlns="http://schemas.openxmlformats.org/package/2006/relationships"/>
</file>

<file path=word/_rels/header175.xml.rels><?xml version="1.0" encoding="UTF-8"?><Relationships xmlns="http://schemas.openxmlformats.org/package/2006/relationships"/>
</file>

<file path=word/_rels/header176.xml.rels><?xml version="1.0" encoding="UTF-8"?><Relationships xmlns="http://schemas.openxmlformats.org/package/2006/relationships"/>
</file>

<file path=word/_rels/header177.xml.rels><?xml version="1.0" encoding="UTF-8"?><Relationships xmlns="http://schemas.openxmlformats.org/package/2006/relationships"/>
</file>

<file path=word/_rels/header178.xml.rels><?xml version="1.0" encoding="UTF-8"?><Relationships xmlns="http://schemas.openxmlformats.org/package/2006/relationships"/>
</file>

<file path=word/_rels/header179.xml.rels><?xml version="1.0" encoding="UTF-8"?><Relationships xmlns="http://schemas.openxmlformats.org/package/2006/relationships"/>
</file>

<file path=word/_rels/header180.xml.rels><?xml version="1.0" encoding="UTF-8"?><Relationships xmlns="http://schemas.openxmlformats.org/package/2006/relationships"/>
</file>

<file path=word/_rels/header181.xml.rels><?xml version="1.0" encoding="UTF-8"?><Relationships xmlns="http://schemas.openxmlformats.org/package/2006/relationships"/>
</file>

<file path=word/_rels/header182.xml.rels><?xml version="1.0" encoding="UTF-8"?><Relationships xmlns="http://schemas.openxmlformats.org/package/2006/relationships"/>
</file>

<file path=word/_rels/header183.xml.rels><?xml version="1.0" encoding="UTF-8"?><Relationships xmlns="http://schemas.openxmlformats.org/package/2006/relationships"/>
</file>

<file path=word/_rels/header184.xml.rels><?xml version="1.0" encoding="UTF-8"?><Relationships xmlns="http://schemas.openxmlformats.org/package/2006/relationships"/>
</file>

<file path=word/_rels/header185.xml.rels><?xml version="1.0" encoding="UTF-8"?><Relationships xmlns="http://schemas.openxmlformats.org/package/2006/relationships"/>
</file>

<file path=word/_rels/header186.xml.rels><?xml version="1.0" encoding="UTF-8"?><Relationships xmlns="http://schemas.openxmlformats.org/package/2006/relationships"/>
</file>

<file path=word/_rels/header187.xml.rels><?xml version="1.0" encoding="UTF-8"?><Relationships xmlns="http://schemas.openxmlformats.org/package/2006/relationships"/>
</file>

<file path=word/_rels/header188.xml.rels><?xml version="1.0" encoding="UTF-8"?><Relationships xmlns="http://schemas.openxmlformats.org/package/2006/relationships"/>
</file>

<file path=word/_rels/header189.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Teoría de Sistemas 1 · Libro de estudio del examen final</dc:title>
  <dc:subject>Unidades 1–4 · 33 temas · teoría, práctica y exámenes resueltos</dc:subject>
  <dc:creator>Portal académico TS1</dc:creator>
  <dc:description>Edición de estudio del 27/10/2026. Fuentes verificadas del curso y resolución editorial identificada.</dc:description>
  <cp:lastModifiedBy>Portal académico TS1</cp:lastModifiedBy>
  <cp:revision>1</cp:revision>
  <dcterms:created xsi:type="dcterms:W3CDTF">2026-10-27T15:41:15.238Z</dcterms:created>
  <dcterms:modified xsi:type="dcterms:W3CDTF">2026-10-27T15:41:15.238Z</dcterms:modified>
</cp:coreProperties>
</file>

<file path=docProps/custom.xml><?xml version="1.0" encoding="utf-8"?>
<Properties xmlns="http://schemas.openxmlformats.org/officeDocument/2006/custom-properties" xmlns:vt="http://schemas.openxmlformats.org/officeDocument/2006/docPropsVTypes"/>
</file>